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22832E1" w14:textId="77777777" w:rsidTr="006011C0">
        <w:trPr>
          <w:trHeight w:hRule="exact" w:val="851"/>
        </w:trPr>
        <w:tc>
          <w:tcPr>
            <w:tcW w:w="1280" w:type="dxa"/>
            <w:tcBorders>
              <w:bottom w:val="single" w:sz="4" w:space="0" w:color="auto"/>
            </w:tcBorders>
            <w:shd w:val="clear" w:color="auto" w:fill="auto"/>
          </w:tcPr>
          <w:p w14:paraId="7B4B2D26" w14:textId="77777777" w:rsidR="002D5AAC" w:rsidRDefault="002D5AAC" w:rsidP="006011C0"/>
        </w:tc>
        <w:tc>
          <w:tcPr>
            <w:tcW w:w="2273" w:type="dxa"/>
            <w:tcBorders>
              <w:bottom w:val="single" w:sz="4" w:space="0" w:color="auto"/>
            </w:tcBorders>
            <w:shd w:val="clear" w:color="auto" w:fill="auto"/>
            <w:vAlign w:val="bottom"/>
          </w:tcPr>
          <w:p w14:paraId="0E100B4F" w14:textId="77777777" w:rsidR="002D5AAC" w:rsidRPr="00B10CED" w:rsidRDefault="00BD33EE" w:rsidP="006011C0">
            <w:pPr>
              <w:spacing w:after="80" w:line="300" w:lineRule="exact"/>
              <w:rPr>
                <w:sz w:val="28"/>
              </w:rPr>
            </w:pPr>
            <w:r w:rsidRPr="00B10CED">
              <w:rPr>
                <w:sz w:val="28"/>
              </w:rPr>
              <w:t>Naciones Unidas</w:t>
            </w:r>
          </w:p>
        </w:tc>
        <w:tc>
          <w:tcPr>
            <w:tcW w:w="6086" w:type="dxa"/>
            <w:gridSpan w:val="2"/>
            <w:tcBorders>
              <w:bottom w:val="single" w:sz="4" w:space="0" w:color="auto"/>
            </w:tcBorders>
            <w:shd w:val="clear" w:color="auto" w:fill="auto"/>
            <w:vAlign w:val="bottom"/>
          </w:tcPr>
          <w:p w14:paraId="188E9CF5" w14:textId="6E2CC08B" w:rsidR="002D5AAC" w:rsidRDefault="00625DA2" w:rsidP="00597286">
            <w:pPr>
              <w:jc w:val="right"/>
            </w:pPr>
            <w:proofErr w:type="spellStart"/>
            <w:r w:rsidRPr="007303F2">
              <w:rPr>
                <w:sz w:val="40"/>
              </w:rPr>
              <w:t>CRPD</w:t>
            </w:r>
            <w:proofErr w:type="spellEnd"/>
            <w:r>
              <w:t>/C/2</w:t>
            </w:r>
            <w:r w:rsidR="00272A65">
              <w:t>3</w:t>
            </w:r>
            <w:r>
              <w:t>/D/</w:t>
            </w:r>
            <w:r w:rsidR="00272A65">
              <w:t>41</w:t>
            </w:r>
            <w:r>
              <w:t>/201</w:t>
            </w:r>
            <w:r w:rsidR="00272A65">
              <w:t>7</w:t>
            </w:r>
          </w:p>
        </w:tc>
      </w:tr>
      <w:tr w:rsidR="002D5AAC" w14:paraId="1383E529" w14:textId="77777777" w:rsidTr="006011C0">
        <w:trPr>
          <w:trHeight w:hRule="exact" w:val="2835"/>
        </w:trPr>
        <w:tc>
          <w:tcPr>
            <w:tcW w:w="1280" w:type="dxa"/>
            <w:tcBorders>
              <w:top w:val="single" w:sz="4" w:space="0" w:color="auto"/>
              <w:bottom w:val="single" w:sz="12" w:space="0" w:color="auto"/>
            </w:tcBorders>
            <w:shd w:val="clear" w:color="auto" w:fill="auto"/>
          </w:tcPr>
          <w:p w14:paraId="4B34AD57" w14:textId="77777777" w:rsidR="002D5AAC" w:rsidRDefault="001A5B43" w:rsidP="006011C0">
            <w:pPr>
              <w:spacing w:before="120"/>
              <w:jc w:val="center"/>
            </w:pPr>
            <w:r>
              <w:rPr>
                <w:noProof/>
                <w:lang w:val="en-GB" w:eastAsia="en-GB"/>
              </w:rPr>
              <w:drawing>
                <wp:inline distT="0" distB="0" distL="0" distR="0" wp14:anchorId="173FAE7C" wp14:editId="01158D83">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3EEAC703" w14:textId="77777777" w:rsidR="002D5AAC" w:rsidRPr="00B10CED" w:rsidRDefault="00B21487" w:rsidP="006011C0">
            <w:pPr>
              <w:spacing w:before="120" w:line="420" w:lineRule="exact"/>
              <w:rPr>
                <w:b/>
                <w:sz w:val="40"/>
                <w:szCs w:val="40"/>
              </w:rPr>
            </w:pPr>
            <w:r w:rsidRPr="00B10CED">
              <w:rPr>
                <w:b/>
                <w:sz w:val="34"/>
                <w:szCs w:val="34"/>
              </w:rPr>
              <w:t xml:space="preserve">Convención sobre los </w:t>
            </w:r>
            <w:r w:rsidR="00320F20" w:rsidRPr="00B10CED">
              <w:rPr>
                <w:b/>
                <w:sz w:val="34"/>
                <w:szCs w:val="34"/>
              </w:rPr>
              <w:t>Derechos</w:t>
            </w:r>
            <w:r w:rsidRPr="00B10CED">
              <w:rPr>
                <w:b/>
                <w:sz w:val="34"/>
                <w:szCs w:val="34"/>
              </w:rPr>
              <w:br/>
              <w:t xml:space="preserve">de las </w:t>
            </w:r>
            <w:r w:rsidR="00320F20" w:rsidRPr="00B10CED">
              <w:rPr>
                <w:b/>
                <w:sz w:val="34"/>
                <w:szCs w:val="34"/>
              </w:rPr>
              <w:t xml:space="preserve">Personas </w:t>
            </w:r>
            <w:r w:rsidRPr="00B10CED">
              <w:rPr>
                <w:b/>
                <w:sz w:val="34"/>
                <w:szCs w:val="34"/>
              </w:rPr>
              <w:t xml:space="preserve">con </w:t>
            </w:r>
            <w:r w:rsidR="00320F20" w:rsidRPr="00B10CED">
              <w:rPr>
                <w:b/>
                <w:sz w:val="34"/>
                <w:szCs w:val="34"/>
              </w:rPr>
              <w:t>Discapacidad</w:t>
            </w:r>
          </w:p>
        </w:tc>
        <w:tc>
          <w:tcPr>
            <w:tcW w:w="2819" w:type="dxa"/>
            <w:tcBorders>
              <w:top w:val="single" w:sz="4" w:space="0" w:color="auto"/>
              <w:bottom w:val="single" w:sz="12" w:space="0" w:color="auto"/>
            </w:tcBorders>
            <w:shd w:val="clear" w:color="auto" w:fill="auto"/>
          </w:tcPr>
          <w:p w14:paraId="4FE180DA" w14:textId="470E85E0" w:rsidR="00A95A4E" w:rsidRDefault="00A95A4E" w:rsidP="006011C0">
            <w:pPr>
              <w:spacing w:before="240"/>
            </w:pPr>
            <w:proofErr w:type="spellStart"/>
            <w:r>
              <w:t>Distr</w:t>
            </w:r>
            <w:proofErr w:type="spellEnd"/>
            <w:r>
              <w:t xml:space="preserve">. </w:t>
            </w:r>
            <w:r w:rsidR="00597286">
              <w:t>general</w:t>
            </w:r>
          </w:p>
          <w:p w14:paraId="1918FEF8" w14:textId="1CF5427B" w:rsidR="00A95A4E" w:rsidRDefault="006509C2" w:rsidP="006011C0">
            <w:pPr>
              <w:spacing w:line="240" w:lineRule="exact"/>
            </w:pPr>
            <w:r>
              <w:t>30</w:t>
            </w:r>
            <w:r w:rsidR="00DB3693">
              <w:t xml:space="preserve"> de </w:t>
            </w:r>
            <w:r w:rsidR="00AE0EA2">
              <w:t>septiembre</w:t>
            </w:r>
            <w:r w:rsidR="00DB3693">
              <w:t xml:space="preserve"> </w:t>
            </w:r>
            <w:r w:rsidR="00EE5C47">
              <w:t>de 20</w:t>
            </w:r>
            <w:r w:rsidR="001C5EEB">
              <w:t>20</w:t>
            </w:r>
          </w:p>
          <w:p w14:paraId="6EFA266A" w14:textId="77777777" w:rsidR="00A95A4E" w:rsidRDefault="00A95A4E" w:rsidP="006011C0">
            <w:pPr>
              <w:spacing w:line="240" w:lineRule="exact"/>
            </w:pPr>
          </w:p>
          <w:p w14:paraId="0DA0A4CD" w14:textId="77777777" w:rsidR="00EE5C47" w:rsidRDefault="00EE5C47" w:rsidP="00EE5C47">
            <w:pPr>
              <w:spacing w:line="240" w:lineRule="exact"/>
            </w:pPr>
            <w:r>
              <w:t>Original: español</w:t>
            </w:r>
          </w:p>
          <w:p w14:paraId="66DEFC5A" w14:textId="3E26E8D2" w:rsidR="002D5AAC" w:rsidRDefault="002D5AAC" w:rsidP="005E535B">
            <w:pPr>
              <w:spacing w:line="240" w:lineRule="exact"/>
            </w:pPr>
          </w:p>
        </w:tc>
      </w:tr>
    </w:tbl>
    <w:p w14:paraId="45FB0EEA" w14:textId="75BEA224" w:rsidR="003212CC" w:rsidRPr="000D7C6A" w:rsidRDefault="003212CC" w:rsidP="00EB0FE6">
      <w:pPr>
        <w:suppressAutoHyphens/>
        <w:spacing w:before="120"/>
        <w:rPr>
          <w:b/>
          <w:bCs/>
          <w:sz w:val="24"/>
          <w:lang w:eastAsia="en-US"/>
        </w:rPr>
      </w:pPr>
      <w:r w:rsidRPr="000D7C6A">
        <w:rPr>
          <w:b/>
          <w:bCs/>
          <w:sz w:val="24"/>
          <w:lang w:val="es-CL" w:eastAsia="en-US"/>
        </w:rPr>
        <w:t xml:space="preserve">Comité sobre los Derechos de las Personas </w:t>
      </w:r>
      <w:r w:rsidRPr="000D7C6A">
        <w:rPr>
          <w:b/>
          <w:bCs/>
          <w:sz w:val="24"/>
          <w:lang w:eastAsia="en-US"/>
        </w:rPr>
        <w:t>con Discapacidad</w:t>
      </w:r>
    </w:p>
    <w:p w14:paraId="16BD8959" w14:textId="571FBC48" w:rsidR="003212CC" w:rsidRDefault="003212CC" w:rsidP="00022D66">
      <w:pPr>
        <w:pStyle w:val="HChG"/>
        <w:rPr>
          <w:rFonts w:eastAsia="MS Mincho"/>
          <w:lang w:val="es-CL"/>
        </w:rPr>
      </w:pPr>
      <w:r>
        <w:rPr>
          <w:lang w:val="es-CL"/>
        </w:rPr>
        <w:tab/>
      </w:r>
      <w:r>
        <w:rPr>
          <w:lang w:val="es-CL"/>
        </w:rPr>
        <w:tab/>
      </w:r>
      <w:r w:rsidR="00294F4B" w:rsidRPr="0094024B">
        <w:t xml:space="preserve">Dictamen aprobado por el Comité en virtud del artículo 5 </w:t>
      </w:r>
      <w:r w:rsidR="00294F4B">
        <w:br/>
      </w:r>
      <w:r w:rsidR="00294F4B" w:rsidRPr="0094024B">
        <w:t xml:space="preserve">del Protocolo Facultativo, respecto de la </w:t>
      </w:r>
      <w:r w:rsidR="00294F4B">
        <w:rPr>
          <w:lang w:val="es-ES_tradnl"/>
        </w:rPr>
        <w:t>c</w:t>
      </w:r>
      <w:r w:rsidR="00294F4B" w:rsidRPr="009D1011">
        <w:rPr>
          <w:lang w:val="es-ES_tradnl"/>
        </w:rPr>
        <w:t>omunicación núm.</w:t>
      </w:r>
      <w:r w:rsidR="008F01F0">
        <w:rPr>
          <w:lang w:val="es-ES_tradnl"/>
        </w:rPr>
        <w:t> </w:t>
      </w:r>
      <w:r w:rsidR="00294F4B">
        <w:rPr>
          <w:lang w:val="es-CL" w:eastAsia="en-US"/>
        </w:rPr>
        <w:t>41/2017</w:t>
      </w:r>
      <w:r w:rsidR="00294F4B" w:rsidRPr="00022D66">
        <w:rPr>
          <w:b w:val="0"/>
          <w:sz w:val="20"/>
        </w:rPr>
        <w:footnoteReference w:customMarkFollows="1" w:id="1"/>
        <w:t>*</w:t>
      </w:r>
      <w:r w:rsidR="00294F4B" w:rsidRPr="00022D66">
        <w:rPr>
          <w:bCs/>
          <w:sz w:val="20"/>
          <w:vertAlign w:val="superscript"/>
        </w:rPr>
        <w:t>,</w:t>
      </w:r>
      <w:r w:rsidR="002F198B">
        <w:rPr>
          <w:bCs/>
          <w:sz w:val="20"/>
          <w:vertAlign w:val="superscript"/>
        </w:rPr>
        <w:t xml:space="preserve"> </w:t>
      </w:r>
      <w:r w:rsidR="00DB3693" w:rsidRPr="00022D66">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99"/>
        <w:gridCol w:w="4006"/>
      </w:tblGrid>
      <w:tr w:rsidR="003212CC" w:rsidRPr="0029628D" w14:paraId="7B1274BB" w14:textId="77777777" w:rsidTr="00022D66">
        <w:tc>
          <w:tcPr>
            <w:tcW w:w="2799" w:type="dxa"/>
          </w:tcPr>
          <w:p w14:paraId="004AD82E" w14:textId="77777777" w:rsidR="003212CC" w:rsidRPr="0029628D" w:rsidRDefault="003212CC" w:rsidP="00A700C6">
            <w:pPr>
              <w:pStyle w:val="SingleTxtG"/>
              <w:ind w:left="0" w:right="0"/>
              <w:jc w:val="left"/>
              <w:rPr>
                <w:i/>
              </w:rPr>
            </w:pPr>
            <w:r w:rsidRPr="0029628D">
              <w:rPr>
                <w:i/>
              </w:rPr>
              <w:t>Comunicación presentada por:</w:t>
            </w:r>
          </w:p>
        </w:tc>
        <w:tc>
          <w:tcPr>
            <w:tcW w:w="4006" w:type="dxa"/>
          </w:tcPr>
          <w:p w14:paraId="5253FCB4" w14:textId="17E0C775" w:rsidR="003212CC" w:rsidRPr="0029628D" w:rsidRDefault="0053621B" w:rsidP="00CF6BFE">
            <w:pPr>
              <w:suppressAutoHyphens/>
              <w:spacing w:after="120"/>
            </w:pPr>
            <w:r w:rsidRPr="0053621B">
              <w:t xml:space="preserve">Rubén Calleja Loma y </w:t>
            </w:r>
            <w:r w:rsidR="003F0535" w:rsidRPr="003F0535">
              <w:t>Alejandro Calleja Lucas</w:t>
            </w:r>
          </w:p>
        </w:tc>
      </w:tr>
      <w:tr w:rsidR="003212CC" w:rsidRPr="0029628D" w14:paraId="40F064D3" w14:textId="77777777" w:rsidTr="00022D66">
        <w:tc>
          <w:tcPr>
            <w:tcW w:w="2799" w:type="dxa"/>
          </w:tcPr>
          <w:p w14:paraId="0E153561" w14:textId="6EFF2125" w:rsidR="003212CC" w:rsidRPr="0029628D" w:rsidRDefault="003212CC" w:rsidP="00A700C6">
            <w:pPr>
              <w:pStyle w:val="SingleTxtG"/>
              <w:ind w:left="0" w:right="0"/>
              <w:jc w:val="left"/>
              <w:rPr>
                <w:i/>
              </w:rPr>
            </w:pPr>
            <w:r w:rsidRPr="0029628D">
              <w:rPr>
                <w:i/>
              </w:rPr>
              <w:t>Presunta</w:t>
            </w:r>
            <w:r w:rsidR="0042477F">
              <w:rPr>
                <w:i/>
              </w:rPr>
              <w:t>s</w:t>
            </w:r>
            <w:r w:rsidRPr="0029628D">
              <w:rPr>
                <w:i/>
              </w:rPr>
              <w:t xml:space="preserve"> víctima</w:t>
            </w:r>
            <w:r w:rsidR="0042477F">
              <w:rPr>
                <w:i/>
              </w:rPr>
              <w:t>s</w:t>
            </w:r>
            <w:r w:rsidRPr="0029628D">
              <w:rPr>
                <w:i/>
              </w:rPr>
              <w:t>:</w:t>
            </w:r>
          </w:p>
        </w:tc>
        <w:tc>
          <w:tcPr>
            <w:tcW w:w="4006" w:type="dxa"/>
          </w:tcPr>
          <w:p w14:paraId="5EAD7F10" w14:textId="77777777" w:rsidR="003212CC" w:rsidRPr="0029628D" w:rsidRDefault="003F0535" w:rsidP="00A700C6">
            <w:pPr>
              <w:pStyle w:val="SingleTxtG"/>
              <w:ind w:left="0" w:right="0"/>
              <w:jc w:val="left"/>
            </w:pPr>
            <w:r w:rsidRPr="003F0535">
              <w:t>Rubén Calleja Loma</w:t>
            </w:r>
            <w:r w:rsidR="007346E5">
              <w:t xml:space="preserve"> y Alejandro Calleja Lucas</w:t>
            </w:r>
          </w:p>
        </w:tc>
      </w:tr>
      <w:tr w:rsidR="003212CC" w:rsidRPr="0029628D" w14:paraId="6B3BB6BD" w14:textId="77777777" w:rsidTr="00022D66">
        <w:tc>
          <w:tcPr>
            <w:tcW w:w="2799" w:type="dxa"/>
          </w:tcPr>
          <w:p w14:paraId="6158CE96" w14:textId="77777777" w:rsidR="003212CC" w:rsidRPr="0029628D" w:rsidRDefault="003212CC" w:rsidP="00A700C6">
            <w:pPr>
              <w:pStyle w:val="SingleTxtG"/>
              <w:ind w:left="0" w:right="0"/>
              <w:jc w:val="left"/>
              <w:rPr>
                <w:i/>
              </w:rPr>
            </w:pPr>
            <w:r w:rsidRPr="0029628D">
              <w:rPr>
                <w:i/>
              </w:rPr>
              <w:t>Estado parte:</w:t>
            </w:r>
          </w:p>
        </w:tc>
        <w:tc>
          <w:tcPr>
            <w:tcW w:w="4006" w:type="dxa"/>
          </w:tcPr>
          <w:p w14:paraId="26FA4BD3" w14:textId="77777777" w:rsidR="003212CC" w:rsidRPr="0029628D" w:rsidRDefault="00674197" w:rsidP="00A700C6">
            <w:pPr>
              <w:pStyle w:val="SingleTxtG"/>
              <w:ind w:left="0" w:right="0"/>
              <w:jc w:val="left"/>
            </w:pPr>
            <w:r>
              <w:t xml:space="preserve">España </w:t>
            </w:r>
          </w:p>
        </w:tc>
      </w:tr>
      <w:tr w:rsidR="003212CC" w:rsidRPr="0029628D" w14:paraId="19911F1C" w14:textId="77777777" w:rsidTr="00022D66">
        <w:tc>
          <w:tcPr>
            <w:tcW w:w="2799" w:type="dxa"/>
          </w:tcPr>
          <w:p w14:paraId="6CDE6FBC" w14:textId="77777777" w:rsidR="003212CC" w:rsidRPr="0029628D" w:rsidRDefault="003212CC" w:rsidP="00A700C6">
            <w:pPr>
              <w:pStyle w:val="SingleTxtG"/>
              <w:ind w:left="0" w:right="0"/>
              <w:jc w:val="left"/>
              <w:rPr>
                <w:i/>
              </w:rPr>
            </w:pPr>
            <w:r w:rsidRPr="0029628D">
              <w:rPr>
                <w:i/>
              </w:rPr>
              <w:t>Fecha de la comunicación:</w:t>
            </w:r>
          </w:p>
        </w:tc>
        <w:tc>
          <w:tcPr>
            <w:tcW w:w="4006" w:type="dxa"/>
          </w:tcPr>
          <w:p w14:paraId="2C7181E6" w14:textId="77777777" w:rsidR="003212CC" w:rsidRPr="0029628D" w:rsidRDefault="00674197" w:rsidP="00A700C6">
            <w:pPr>
              <w:pStyle w:val="SingleTxtG"/>
              <w:ind w:left="0" w:right="0"/>
              <w:jc w:val="left"/>
            </w:pPr>
            <w:r>
              <w:t>2 de mayo de 2017</w:t>
            </w:r>
            <w:r w:rsidR="003212CC" w:rsidRPr="0029628D">
              <w:t xml:space="preserve"> (presentación inicial)</w:t>
            </w:r>
          </w:p>
        </w:tc>
      </w:tr>
      <w:tr w:rsidR="003212CC" w:rsidRPr="0029628D" w14:paraId="1AB12249" w14:textId="77777777" w:rsidTr="00022D66">
        <w:tc>
          <w:tcPr>
            <w:tcW w:w="2799" w:type="dxa"/>
          </w:tcPr>
          <w:p w14:paraId="6F6344BE" w14:textId="77777777" w:rsidR="003212CC" w:rsidRPr="0029628D" w:rsidRDefault="003212CC" w:rsidP="00A700C6">
            <w:pPr>
              <w:pStyle w:val="SingleTxtG"/>
              <w:ind w:left="0" w:right="0"/>
              <w:jc w:val="left"/>
              <w:rPr>
                <w:i/>
              </w:rPr>
            </w:pPr>
            <w:r w:rsidRPr="0029628D">
              <w:rPr>
                <w:i/>
              </w:rPr>
              <w:t>Referencias:</w:t>
            </w:r>
          </w:p>
        </w:tc>
        <w:tc>
          <w:tcPr>
            <w:tcW w:w="4006" w:type="dxa"/>
            <w:vAlign w:val="bottom"/>
          </w:tcPr>
          <w:p w14:paraId="4E51297B" w14:textId="1227337B" w:rsidR="003212CC" w:rsidRPr="0029628D" w:rsidRDefault="003212CC" w:rsidP="00A700C6">
            <w:pPr>
              <w:pStyle w:val="SingleTxtG"/>
              <w:ind w:left="0" w:right="0"/>
              <w:jc w:val="left"/>
            </w:pPr>
            <w:r w:rsidRPr="0029628D">
              <w:t>Decisión adoptada con arreglo al artículo 70 del reglamento del Comité, transmitida al Estado parte el</w:t>
            </w:r>
            <w:r w:rsidR="004F7FFA">
              <w:t xml:space="preserve"> 28 de agosto de 2020</w:t>
            </w:r>
            <w:r w:rsidR="0042477F">
              <w:t xml:space="preserve"> (no </w:t>
            </w:r>
            <w:r w:rsidR="00E76556">
              <w:t xml:space="preserve">se publicó </w:t>
            </w:r>
            <w:r w:rsidR="0042477F">
              <w:t>como documento)</w:t>
            </w:r>
          </w:p>
        </w:tc>
      </w:tr>
      <w:tr w:rsidR="003212CC" w:rsidRPr="0029628D" w14:paraId="25EED0CE" w14:textId="77777777" w:rsidTr="00022D66">
        <w:tc>
          <w:tcPr>
            <w:tcW w:w="2799" w:type="dxa"/>
          </w:tcPr>
          <w:p w14:paraId="187D12C1" w14:textId="77777777" w:rsidR="003212CC" w:rsidRPr="0029628D" w:rsidRDefault="003212CC" w:rsidP="00A700C6">
            <w:pPr>
              <w:pStyle w:val="SingleTxtG"/>
              <w:ind w:left="0" w:right="0"/>
              <w:jc w:val="left"/>
              <w:rPr>
                <w:i/>
              </w:rPr>
            </w:pPr>
            <w:r w:rsidRPr="0029628D">
              <w:rPr>
                <w:i/>
              </w:rPr>
              <w:t>Fecha de aprobación del dictamen:</w:t>
            </w:r>
          </w:p>
        </w:tc>
        <w:tc>
          <w:tcPr>
            <w:tcW w:w="4006" w:type="dxa"/>
            <w:vAlign w:val="bottom"/>
          </w:tcPr>
          <w:p w14:paraId="11452D7D" w14:textId="04EEA591" w:rsidR="003212CC" w:rsidRPr="0029628D" w:rsidRDefault="0004751F" w:rsidP="0004751F">
            <w:pPr>
              <w:pStyle w:val="SingleTxtG"/>
              <w:ind w:left="0" w:right="0"/>
              <w:jc w:val="left"/>
            </w:pPr>
            <w:r>
              <w:t>28 de agosto de 2020</w:t>
            </w:r>
          </w:p>
        </w:tc>
      </w:tr>
      <w:tr w:rsidR="003212CC" w:rsidRPr="0029628D" w14:paraId="0C92C32B" w14:textId="77777777" w:rsidTr="00022D66">
        <w:tc>
          <w:tcPr>
            <w:tcW w:w="2799" w:type="dxa"/>
          </w:tcPr>
          <w:p w14:paraId="55CD31BF" w14:textId="77777777" w:rsidR="003212CC" w:rsidRPr="0029628D" w:rsidRDefault="003212CC" w:rsidP="00A700C6">
            <w:pPr>
              <w:pStyle w:val="SingleTxtG"/>
              <w:ind w:left="0" w:right="0"/>
              <w:jc w:val="left"/>
              <w:rPr>
                <w:i/>
              </w:rPr>
            </w:pPr>
            <w:r w:rsidRPr="0029628D">
              <w:rPr>
                <w:i/>
              </w:rPr>
              <w:t>Asunto:</w:t>
            </w:r>
          </w:p>
        </w:tc>
        <w:tc>
          <w:tcPr>
            <w:tcW w:w="4006" w:type="dxa"/>
            <w:vAlign w:val="bottom"/>
          </w:tcPr>
          <w:p w14:paraId="3BFA4E18" w14:textId="77777777" w:rsidR="003212CC" w:rsidRPr="0029628D" w:rsidRDefault="0016322D" w:rsidP="00371527">
            <w:pPr>
              <w:pStyle w:val="SingleTxtG"/>
              <w:ind w:left="0" w:right="0"/>
              <w:jc w:val="left"/>
            </w:pPr>
            <w:r>
              <w:t>D</w:t>
            </w:r>
            <w:r w:rsidRPr="0016322D">
              <w:t>erecho a educación inclusiva</w:t>
            </w:r>
            <w:r w:rsidR="00651354">
              <w:t xml:space="preserve"> </w:t>
            </w:r>
            <w:r w:rsidR="00371527">
              <w:t>de</w:t>
            </w:r>
            <w:r w:rsidR="009A29F3">
              <w:t xml:space="preserve"> un</w:t>
            </w:r>
            <w:r w:rsidR="00651354">
              <w:t xml:space="preserve"> niño con síndrome de </w:t>
            </w:r>
            <w:r w:rsidR="009A29F3">
              <w:t>Down</w:t>
            </w:r>
          </w:p>
        </w:tc>
      </w:tr>
      <w:tr w:rsidR="003212CC" w:rsidRPr="0029628D" w14:paraId="56214FDE" w14:textId="77777777" w:rsidTr="00022D66">
        <w:tc>
          <w:tcPr>
            <w:tcW w:w="2799" w:type="dxa"/>
          </w:tcPr>
          <w:p w14:paraId="7555F0EE" w14:textId="77777777" w:rsidR="003212CC" w:rsidRPr="00A771E7" w:rsidRDefault="003212CC" w:rsidP="00A700C6">
            <w:pPr>
              <w:pStyle w:val="SingleTxtG"/>
              <w:ind w:left="0" w:right="0"/>
              <w:jc w:val="left"/>
              <w:rPr>
                <w:i/>
              </w:rPr>
            </w:pPr>
            <w:r w:rsidRPr="00A771E7">
              <w:rPr>
                <w:i/>
              </w:rPr>
              <w:t>Cuestiones de procedimiento:</w:t>
            </w:r>
          </w:p>
        </w:tc>
        <w:tc>
          <w:tcPr>
            <w:tcW w:w="4006" w:type="dxa"/>
            <w:vAlign w:val="bottom"/>
          </w:tcPr>
          <w:p w14:paraId="7D08D005" w14:textId="525261C6" w:rsidR="003212CC" w:rsidRPr="00A771E7" w:rsidRDefault="003212CC" w:rsidP="00A700C6">
            <w:pPr>
              <w:pStyle w:val="SingleTxtG"/>
              <w:ind w:left="0" w:right="0"/>
              <w:jc w:val="left"/>
            </w:pPr>
            <w:r w:rsidRPr="00A771E7">
              <w:t>Admisibilidad</w:t>
            </w:r>
            <w:r w:rsidR="000D62E6">
              <w:t>;</w:t>
            </w:r>
            <w:r w:rsidRPr="00A771E7">
              <w:t xml:space="preserve"> </w:t>
            </w:r>
            <w:r w:rsidR="00A771E7" w:rsidRPr="00A771E7">
              <w:t>falta de sustanciación de las alegaciones</w:t>
            </w:r>
          </w:p>
        </w:tc>
      </w:tr>
      <w:tr w:rsidR="003212CC" w:rsidRPr="0029628D" w14:paraId="23247D2F" w14:textId="77777777" w:rsidTr="00022D66">
        <w:tc>
          <w:tcPr>
            <w:tcW w:w="2799" w:type="dxa"/>
          </w:tcPr>
          <w:p w14:paraId="5701E1D2" w14:textId="77777777" w:rsidR="003212CC" w:rsidRPr="000C5793" w:rsidRDefault="003212CC" w:rsidP="00A700C6">
            <w:pPr>
              <w:pStyle w:val="SingleTxtG"/>
              <w:ind w:left="0" w:right="0"/>
              <w:jc w:val="left"/>
              <w:rPr>
                <w:i/>
              </w:rPr>
            </w:pPr>
            <w:r w:rsidRPr="000C5793">
              <w:rPr>
                <w:i/>
              </w:rPr>
              <w:t>Cuestiones de fondo:</w:t>
            </w:r>
          </w:p>
        </w:tc>
        <w:tc>
          <w:tcPr>
            <w:tcW w:w="4006" w:type="dxa"/>
            <w:vAlign w:val="bottom"/>
          </w:tcPr>
          <w:p w14:paraId="7E411DE3" w14:textId="77777777" w:rsidR="003212CC" w:rsidRPr="000C5793" w:rsidRDefault="00371527" w:rsidP="007A4771">
            <w:pPr>
              <w:pStyle w:val="SingleTxtG"/>
              <w:ind w:left="0" w:right="0"/>
              <w:jc w:val="left"/>
            </w:pPr>
            <w:r>
              <w:t>Derecho a</w:t>
            </w:r>
            <w:r w:rsidR="00D476EF" w:rsidRPr="000C1EE9">
              <w:t xml:space="preserve"> educación inclusiva, </w:t>
            </w:r>
            <w:r w:rsidR="003212CC" w:rsidRPr="000C1EE9">
              <w:t>discriminación</w:t>
            </w:r>
            <w:r w:rsidR="00D476EF" w:rsidRPr="000C1EE9">
              <w:t xml:space="preserve"> y </w:t>
            </w:r>
            <w:r w:rsidR="000C5793" w:rsidRPr="000C5793">
              <w:t>tratos o penas crueles, inhumanos o degradantes</w:t>
            </w:r>
            <w:r w:rsidR="000C5793">
              <w:t xml:space="preserve"> </w:t>
            </w:r>
            <w:r w:rsidR="003212CC" w:rsidRPr="000C1EE9">
              <w:t>por motivos de discapacidad</w:t>
            </w:r>
            <w:r w:rsidR="007A4771">
              <w:t>, r</w:t>
            </w:r>
            <w:r w:rsidR="007A4771" w:rsidRPr="007A4771">
              <w:t>espeto del hogar y de la familia</w:t>
            </w:r>
          </w:p>
        </w:tc>
      </w:tr>
      <w:tr w:rsidR="003212CC" w:rsidRPr="0029628D" w14:paraId="75341538" w14:textId="77777777" w:rsidTr="00022D66">
        <w:tc>
          <w:tcPr>
            <w:tcW w:w="2799" w:type="dxa"/>
          </w:tcPr>
          <w:p w14:paraId="49E34752" w14:textId="77777777" w:rsidR="003212CC" w:rsidRPr="0029628D" w:rsidRDefault="003212CC" w:rsidP="00A700C6">
            <w:pPr>
              <w:pStyle w:val="SingleTxtG"/>
              <w:keepNext/>
              <w:keepLines/>
              <w:ind w:left="0" w:right="0"/>
              <w:jc w:val="left"/>
              <w:rPr>
                <w:i/>
              </w:rPr>
            </w:pPr>
            <w:r w:rsidRPr="0029628D">
              <w:rPr>
                <w:i/>
              </w:rPr>
              <w:t>Artículos de la Convención:</w:t>
            </w:r>
          </w:p>
        </w:tc>
        <w:tc>
          <w:tcPr>
            <w:tcW w:w="4006" w:type="dxa"/>
            <w:vAlign w:val="bottom"/>
          </w:tcPr>
          <w:p w14:paraId="2F33E710" w14:textId="3D7DC850" w:rsidR="003212CC" w:rsidRPr="00EC23D8" w:rsidRDefault="00D50A21" w:rsidP="001B22A5">
            <w:pPr>
              <w:pStyle w:val="SingleTxtG"/>
              <w:keepNext/>
              <w:keepLines/>
              <w:ind w:left="0" w:right="0"/>
              <w:jc w:val="left"/>
            </w:pPr>
            <w:r w:rsidRPr="00EC23D8">
              <w:t xml:space="preserve">7, 13, 15, 17, </w:t>
            </w:r>
            <w:r w:rsidR="0016322D" w:rsidRPr="00EC23D8">
              <w:t>23</w:t>
            </w:r>
            <w:r w:rsidR="001B22A5">
              <w:t xml:space="preserve"> y</w:t>
            </w:r>
            <w:r w:rsidR="003212CC" w:rsidRPr="00EC23D8">
              <w:t xml:space="preserve"> </w:t>
            </w:r>
            <w:r w:rsidR="0016322D" w:rsidRPr="00EC23D8">
              <w:t>24</w:t>
            </w:r>
            <w:r w:rsidR="000D62E6">
              <w:t>,</w:t>
            </w:r>
            <w:r w:rsidR="0016322D" w:rsidRPr="00EC23D8">
              <w:t xml:space="preserve"> </w:t>
            </w:r>
            <w:r w:rsidR="003212CC" w:rsidRPr="00EC23D8">
              <w:t xml:space="preserve">leídos </w:t>
            </w:r>
            <w:proofErr w:type="gramStart"/>
            <w:r w:rsidR="003212CC" w:rsidRPr="00EC23D8">
              <w:t>conjuntamente con</w:t>
            </w:r>
            <w:proofErr w:type="gramEnd"/>
            <w:r w:rsidR="003212CC" w:rsidRPr="00EC23D8">
              <w:t xml:space="preserve"> </w:t>
            </w:r>
            <w:r w:rsidRPr="00EC23D8">
              <w:t>el art</w:t>
            </w:r>
            <w:r w:rsidR="005C36FD">
              <w:t>í</w:t>
            </w:r>
            <w:r w:rsidRPr="00EC23D8">
              <w:t>culo 4</w:t>
            </w:r>
          </w:p>
        </w:tc>
      </w:tr>
      <w:tr w:rsidR="003212CC" w:rsidRPr="0029628D" w14:paraId="35C3B681" w14:textId="77777777" w:rsidTr="00022D66">
        <w:tc>
          <w:tcPr>
            <w:tcW w:w="2799" w:type="dxa"/>
          </w:tcPr>
          <w:p w14:paraId="6A1EFF53" w14:textId="77777777" w:rsidR="003212CC" w:rsidRPr="00C729D2" w:rsidRDefault="003212CC" w:rsidP="00A700C6">
            <w:pPr>
              <w:pStyle w:val="SingleTxtG"/>
              <w:ind w:left="0" w:right="0"/>
              <w:jc w:val="left"/>
              <w:rPr>
                <w:i/>
              </w:rPr>
            </w:pPr>
            <w:r w:rsidRPr="00C729D2">
              <w:rPr>
                <w:i/>
              </w:rPr>
              <w:t xml:space="preserve">Artículos del Protocolo </w:t>
            </w:r>
            <w:r w:rsidRPr="00C729D2">
              <w:rPr>
                <w:i/>
              </w:rPr>
              <w:br/>
              <w:t>Facultativo:</w:t>
            </w:r>
          </w:p>
        </w:tc>
        <w:tc>
          <w:tcPr>
            <w:tcW w:w="4006" w:type="dxa"/>
            <w:vAlign w:val="bottom"/>
          </w:tcPr>
          <w:p w14:paraId="2DE7EEDF" w14:textId="1D7A87AC" w:rsidR="003212CC" w:rsidRPr="00EC23D8" w:rsidRDefault="003212CC" w:rsidP="005748CF">
            <w:pPr>
              <w:pStyle w:val="SingleTxtG"/>
              <w:ind w:left="0" w:right="0"/>
              <w:jc w:val="left"/>
            </w:pPr>
            <w:r w:rsidRPr="00EC23D8">
              <w:t>1 y 2</w:t>
            </w:r>
          </w:p>
        </w:tc>
      </w:tr>
    </w:tbl>
    <w:p w14:paraId="3C273661" w14:textId="77777777" w:rsidR="003212CC" w:rsidRDefault="003212CC" w:rsidP="00022D66">
      <w:pPr>
        <w:pStyle w:val="SingleTxtG"/>
        <w:spacing w:before="240"/>
      </w:pPr>
      <w:r>
        <w:br w:type="page"/>
      </w:r>
    </w:p>
    <w:p w14:paraId="475E0619" w14:textId="4C0EA00C" w:rsidR="00942800" w:rsidRDefault="003212CC" w:rsidP="005748CF">
      <w:pPr>
        <w:pStyle w:val="SingleTxtG"/>
      </w:pPr>
      <w:r w:rsidRPr="0029628D">
        <w:lastRenderedPageBreak/>
        <w:t>1.</w:t>
      </w:r>
      <w:r w:rsidRPr="0029628D">
        <w:tab/>
      </w:r>
      <w:r w:rsidR="00462EEE">
        <w:t>Los autores</w:t>
      </w:r>
      <w:r w:rsidR="00942800" w:rsidRPr="00942800">
        <w:t xml:space="preserve"> de </w:t>
      </w:r>
      <w:r w:rsidR="00942800" w:rsidRPr="00E15647">
        <w:t>la comunicación</w:t>
      </w:r>
      <w:r w:rsidR="00225039" w:rsidRPr="00E15647">
        <w:t xml:space="preserve"> </w:t>
      </w:r>
      <w:r w:rsidR="00462EEE">
        <w:t>son</w:t>
      </w:r>
      <w:r w:rsidR="00225039" w:rsidRPr="00E15647">
        <w:t xml:space="preserve"> Rubén Calleja Loma</w:t>
      </w:r>
      <w:r w:rsidR="00462EEE" w:rsidRPr="00462EEE">
        <w:t xml:space="preserve"> y Alejandro Calleja Lucas</w:t>
      </w:r>
      <w:r w:rsidR="00942800" w:rsidRPr="00E15647">
        <w:t xml:space="preserve">, </w:t>
      </w:r>
      <w:r w:rsidR="00813D15">
        <w:t xml:space="preserve">ambos </w:t>
      </w:r>
      <w:r w:rsidR="00942800" w:rsidRPr="00E15647">
        <w:t>español</w:t>
      </w:r>
      <w:r w:rsidR="00813D15">
        <w:t>es,</w:t>
      </w:r>
      <w:r w:rsidR="00942800" w:rsidRPr="00E15647">
        <w:t xml:space="preserve"> nacido</w:t>
      </w:r>
      <w:r w:rsidR="00462EEE">
        <w:t>s</w:t>
      </w:r>
      <w:r w:rsidR="00942800" w:rsidRPr="00E15647">
        <w:t xml:space="preserve"> el 25 de agosto de 1999</w:t>
      </w:r>
      <w:r w:rsidR="00462EEE">
        <w:t xml:space="preserve"> y el 25 de octubre de 1962</w:t>
      </w:r>
      <w:r w:rsidR="009C2861">
        <w:t>,</w:t>
      </w:r>
      <w:r w:rsidR="00462EEE">
        <w:t xml:space="preserve"> respectivamente</w:t>
      </w:r>
      <w:r w:rsidR="00942800" w:rsidRPr="00E15647">
        <w:t xml:space="preserve">. </w:t>
      </w:r>
      <w:r w:rsidR="00E15647" w:rsidRPr="00E15647">
        <w:t>Al</w:t>
      </w:r>
      <w:r w:rsidR="00795024" w:rsidRPr="00E15647">
        <w:t xml:space="preserve"> momento de la presentación de esta comunicación, </w:t>
      </w:r>
      <w:r w:rsidR="00462EEE">
        <w:t xml:space="preserve">Rubén </w:t>
      </w:r>
      <w:r w:rsidR="00795024" w:rsidRPr="00E15647">
        <w:t xml:space="preserve">era </w:t>
      </w:r>
      <w:r w:rsidR="005C68E2" w:rsidRPr="00E15647">
        <w:t>niño</w:t>
      </w:r>
      <w:r w:rsidR="000C5793">
        <w:t xml:space="preserve"> y</w:t>
      </w:r>
      <w:r w:rsidR="00E15647" w:rsidRPr="00E15647">
        <w:t xml:space="preserve"> contestaba</w:t>
      </w:r>
      <w:r w:rsidR="004E4D41" w:rsidRPr="00E15647">
        <w:t xml:space="preserve"> la decisión administrativa del Estado parte de matricularlo en un centro de educación especial</w:t>
      </w:r>
      <w:r w:rsidR="000C5793">
        <w:t xml:space="preserve"> </w:t>
      </w:r>
      <w:proofErr w:type="gramStart"/>
      <w:r w:rsidR="000C5793">
        <w:t>en razón de</w:t>
      </w:r>
      <w:proofErr w:type="gramEnd"/>
      <w:r w:rsidR="000C5793">
        <w:t xml:space="preserve"> su síndrome de Down</w:t>
      </w:r>
      <w:r w:rsidR="00942800" w:rsidRPr="00E15647">
        <w:t xml:space="preserve">. </w:t>
      </w:r>
      <w:r w:rsidR="00462EEE">
        <w:t>Los autores afirman</w:t>
      </w:r>
      <w:r w:rsidR="00657159" w:rsidRPr="00657159">
        <w:t xml:space="preserve"> ser víctima</w:t>
      </w:r>
      <w:r w:rsidR="00462EEE">
        <w:t>s</w:t>
      </w:r>
      <w:r w:rsidR="00657159" w:rsidRPr="00657159">
        <w:t xml:space="preserve"> de la violación por el Estado parte de los derechos que le</w:t>
      </w:r>
      <w:r w:rsidR="00BD084C">
        <w:t>s</w:t>
      </w:r>
      <w:r w:rsidR="00657159" w:rsidRPr="00657159">
        <w:t xml:space="preserve"> asisten en virtud de los artículos </w:t>
      </w:r>
      <w:r w:rsidR="00292541">
        <w:t>7,</w:t>
      </w:r>
      <w:r w:rsidR="008F7C1B">
        <w:t xml:space="preserve"> 13,</w:t>
      </w:r>
      <w:r w:rsidR="00292541">
        <w:t xml:space="preserve"> </w:t>
      </w:r>
      <w:r w:rsidR="00EF4F01">
        <w:t>15,</w:t>
      </w:r>
      <w:r w:rsidR="008F7C1B">
        <w:t xml:space="preserve"> 17,</w:t>
      </w:r>
      <w:r w:rsidR="00EF4F01">
        <w:t xml:space="preserve"> </w:t>
      </w:r>
      <w:r w:rsidR="00657159" w:rsidRPr="00657159">
        <w:t>23</w:t>
      </w:r>
      <w:r w:rsidR="00EF4F01">
        <w:t xml:space="preserve"> y 24</w:t>
      </w:r>
      <w:r w:rsidR="00732C6D">
        <w:t>,</w:t>
      </w:r>
      <w:r w:rsidR="00657159" w:rsidRPr="00657159">
        <w:t xml:space="preserve"> leídos </w:t>
      </w:r>
      <w:proofErr w:type="gramStart"/>
      <w:r w:rsidR="00657159" w:rsidRPr="00657159">
        <w:t>conjuntamente con</w:t>
      </w:r>
      <w:proofErr w:type="gramEnd"/>
      <w:r w:rsidR="00657159" w:rsidRPr="00657159">
        <w:t xml:space="preserve"> </w:t>
      </w:r>
      <w:r w:rsidR="008F7C1B">
        <w:t>el artículo</w:t>
      </w:r>
      <w:r w:rsidR="00657159" w:rsidRPr="00657159">
        <w:t xml:space="preserve"> 4</w:t>
      </w:r>
      <w:r w:rsidR="00657159">
        <w:t xml:space="preserve"> </w:t>
      </w:r>
      <w:r w:rsidR="00942800" w:rsidRPr="00942800">
        <w:t xml:space="preserve">de la Convención. </w:t>
      </w:r>
      <w:r w:rsidR="00BD084C">
        <w:t>Rubén</w:t>
      </w:r>
      <w:r w:rsidR="00BB6613">
        <w:t xml:space="preserve"> está representado por su padre, </w:t>
      </w:r>
      <w:r w:rsidR="00BB6613" w:rsidRPr="00942800">
        <w:t>el Sr. Calleja Lucas</w:t>
      </w:r>
      <w:r w:rsidR="00BB6613">
        <w:rPr>
          <w:rStyle w:val="Refdenotaalpie"/>
        </w:rPr>
        <w:footnoteReference w:id="3"/>
      </w:r>
      <w:r w:rsidR="00BB6613" w:rsidRPr="00942800">
        <w:t>.</w:t>
      </w:r>
      <w:r w:rsidR="00657159" w:rsidRPr="00657159">
        <w:t xml:space="preserve"> </w:t>
      </w:r>
      <w:r w:rsidR="00657159" w:rsidRPr="00942800">
        <w:t>El Protocolo Facultativo de la Convención entró en vigor para el Estado parte el 3 de mayo de 2008.</w:t>
      </w:r>
      <w:r w:rsidR="00795024">
        <w:t xml:space="preserve"> </w:t>
      </w:r>
    </w:p>
    <w:p w14:paraId="7D1CC545" w14:textId="77777777" w:rsidR="003212CC" w:rsidRPr="0029628D" w:rsidRDefault="003212CC" w:rsidP="00022D66">
      <w:pPr>
        <w:pStyle w:val="H1G"/>
      </w:pPr>
      <w:r w:rsidRPr="0029628D">
        <w:tab/>
        <w:t>A.</w:t>
      </w:r>
      <w:r w:rsidRPr="0029628D">
        <w:tab/>
        <w:t>Resumen de la información y alegaciones de las partes</w:t>
      </w:r>
    </w:p>
    <w:p w14:paraId="53C8E040" w14:textId="77777777" w:rsidR="003212CC" w:rsidRDefault="003212CC" w:rsidP="005748CF">
      <w:pPr>
        <w:pStyle w:val="H23G"/>
      </w:pPr>
      <w:r>
        <w:tab/>
      </w:r>
      <w:r>
        <w:tab/>
      </w:r>
      <w:r w:rsidRPr="0029628D">
        <w:t xml:space="preserve">Los hechos expuestos por </w:t>
      </w:r>
      <w:r w:rsidR="00234C85">
        <w:t>los autores</w:t>
      </w:r>
    </w:p>
    <w:p w14:paraId="5C4FDE93" w14:textId="68C2E11C" w:rsidR="00574248" w:rsidRPr="00574248" w:rsidRDefault="00574248" w:rsidP="00887F06">
      <w:pPr>
        <w:pStyle w:val="SingleTxtG"/>
        <w:rPr>
          <w:lang w:val="es-ES_tradnl"/>
        </w:rPr>
      </w:pPr>
      <w:r w:rsidRPr="00574248">
        <w:rPr>
          <w:lang w:val="es-ES_tradnl"/>
        </w:rPr>
        <w:t>2.1</w:t>
      </w:r>
      <w:r w:rsidRPr="00574248">
        <w:rPr>
          <w:lang w:val="es-ES_tradnl"/>
        </w:rPr>
        <w:tab/>
        <w:t xml:space="preserve">En septiembre de 2009, </w:t>
      </w:r>
      <w:r w:rsidR="00234C85">
        <w:rPr>
          <w:lang w:val="es-ES_tradnl"/>
        </w:rPr>
        <w:t>Rubén</w:t>
      </w:r>
      <w:r w:rsidRPr="00574248">
        <w:rPr>
          <w:lang w:val="es-ES_tradnl"/>
        </w:rPr>
        <w:t xml:space="preserve">, con 10 </w:t>
      </w:r>
      <w:proofErr w:type="gramStart"/>
      <w:r w:rsidRPr="00574248">
        <w:rPr>
          <w:lang w:val="es-ES_tradnl"/>
        </w:rPr>
        <w:t>años de edad</w:t>
      </w:r>
      <w:proofErr w:type="gramEnd"/>
      <w:r w:rsidRPr="00574248">
        <w:rPr>
          <w:lang w:val="es-ES_tradnl"/>
        </w:rPr>
        <w:t xml:space="preserve">, empezó el 4º curso de educación primaria obligatoria en el </w:t>
      </w:r>
      <w:r w:rsidR="008B0742">
        <w:rPr>
          <w:lang w:val="es-ES_tradnl"/>
        </w:rPr>
        <w:t>c</w:t>
      </w:r>
      <w:r w:rsidRPr="00574248">
        <w:rPr>
          <w:lang w:val="es-ES_tradnl"/>
        </w:rPr>
        <w:t xml:space="preserve">olegio </w:t>
      </w:r>
      <w:r w:rsidR="008B0742">
        <w:rPr>
          <w:lang w:val="es-ES_tradnl"/>
        </w:rPr>
        <w:t>p</w:t>
      </w:r>
      <w:r w:rsidRPr="00574248">
        <w:rPr>
          <w:lang w:val="es-ES_tradnl"/>
        </w:rPr>
        <w:t xml:space="preserve">úblico </w:t>
      </w:r>
      <w:r w:rsidR="008B0742">
        <w:rPr>
          <w:lang w:val="es-ES_tradnl"/>
        </w:rPr>
        <w:t>o</w:t>
      </w:r>
      <w:r w:rsidRPr="00574248">
        <w:rPr>
          <w:lang w:val="es-ES_tradnl"/>
        </w:rPr>
        <w:t>rdinario Antonio González de Lama de León, donde había estudiado los años anteriores</w:t>
      </w:r>
      <w:r w:rsidR="001F2B9F">
        <w:rPr>
          <w:lang w:val="es-ES_tradnl"/>
        </w:rPr>
        <w:t xml:space="preserve"> con </w:t>
      </w:r>
      <w:r w:rsidR="009B3F2A" w:rsidRPr="009B3F2A">
        <w:rPr>
          <w:lang w:val="es-ES_tradnl"/>
        </w:rPr>
        <w:t xml:space="preserve">el apoyo de </w:t>
      </w:r>
      <w:r w:rsidR="009B3F2A">
        <w:rPr>
          <w:lang w:val="es-ES_tradnl"/>
        </w:rPr>
        <w:t>una</w:t>
      </w:r>
      <w:r w:rsidR="009B3F2A" w:rsidRPr="009B3F2A">
        <w:rPr>
          <w:lang w:val="es-ES_tradnl"/>
        </w:rPr>
        <w:t xml:space="preserve"> </w:t>
      </w:r>
      <w:r w:rsidR="00C7268D">
        <w:rPr>
          <w:lang w:val="es-ES_tradnl"/>
        </w:rPr>
        <w:t>a</w:t>
      </w:r>
      <w:r w:rsidR="009B3F2A" w:rsidRPr="009B3F2A">
        <w:rPr>
          <w:lang w:val="es-ES_tradnl"/>
        </w:rPr>
        <w:t>sistent</w:t>
      </w:r>
      <w:r w:rsidR="008924D3">
        <w:rPr>
          <w:lang w:val="es-ES_tradnl"/>
        </w:rPr>
        <w:t>a</w:t>
      </w:r>
      <w:r w:rsidR="009B3F2A" w:rsidRPr="009B3F2A">
        <w:rPr>
          <w:lang w:val="es-ES_tradnl"/>
        </w:rPr>
        <w:t xml:space="preserve"> </w:t>
      </w:r>
      <w:r w:rsidR="00C7268D">
        <w:rPr>
          <w:lang w:val="es-ES_tradnl"/>
        </w:rPr>
        <w:t>t</w:t>
      </w:r>
      <w:r w:rsidR="009B3F2A" w:rsidRPr="009B3F2A">
        <w:rPr>
          <w:lang w:val="es-ES_tradnl"/>
        </w:rPr>
        <w:t>écnico</w:t>
      </w:r>
      <w:r w:rsidR="00C7268D">
        <w:rPr>
          <w:lang w:val="es-ES_tradnl"/>
        </w:rPr>
        <w:t>-e</w:t>
      </w:r>
      <w:r w:rsidR="009B3F2A" w:rsidRPr="009B3F2A">
        <w:rPr>
          <w:lang w:val="es-ES_tradnl"/>
        </w:rPr>
        <w:t>ducativ</w:t>
      </w:r>
      <w:r w:rsidR="003972C5">
        <w:rPr>
          <w:lang w:val="es-ES_tradnl"/>
        </w:rPr>
        <w:t>a</w:t>
      </w:r>
      <w:r w:rsidRPr="00574248">
        <w:rPr>
          <w:lang w:val="es-ES_tradnl"/>
        </w:rPr>
        <w:t xml:space="preserve">. </w:t>
      </w:r>
      <w:r w:rsidR="000C5793">
        <w:rPr>
          <w:lang w:val="es-ES_tradnl"/>
        </w:rPr>
        <w:t>H</w:t>
      </w:r>
      <w:r w:rsidR="00742F94">
        <w:rPr>
          <w:lang w:val="es-ES_tradnl"/>
        </w:rPr>
        <w:t>asta ese momento</w:t>
      </w:r>
      <w:r w:rsidR="005D62CA">
        <w:rPr>
          <w:lang w:val="es-ES_tradnl"/>
        </w:rPr>
        <w:t>,</w:t>
      </w:r>
      <w:r w:rsidR="00742F94">
        <w:rPr>
          <w:lang w:val="es-ES_tradnl"/>
        </w:rPr>
        <w:t xml:space="preserve"> su integración en el colegio </w:t>
      </w:r>
      <w:r w:rsidR="005D62CA">
        <w:rPr>
          <w:lang w:val="es-ES_tradnl"/>
        </w:rPr>
        <w:t>c</w:t>
      </w:r>
      <w:r w:rsidR="00742F94">
        <w:rPr>
          <w:lang w:val="es-ES_tradnl"/>
        </w:rPr>
        <w:t xml:space="preserve">on compañeros </w:t>
      </w:r>
      <w:r w:rsidR="000C5793">
        <w:rPr>
          <w:lang w:val="es-ES_tradnl"/>
        </w:rPr>
        <w:t xml:space="preserve">y </w:t>
      </w:r>
      <w:r w:rsidR="00742F94">
        <w:rPr>
          <w:lang w:val="es-ES_tradnl"/>
        </w:rPr>
        <w:t xml:space="preserve">profesores había sido buena. </w:t>
      </w:r>
      <w:r w:rsidR="001F2B9F">
        <w:rPr>
          <w:lang w:val="es-ES_tradnl"/>
        </w:rPr>
        <w:t xml:space="preserve">Sin embargo, </w:t>
      </w:r>
      <w:r w:rsidR="008B7948">
        <w:rPr>
          <w:lang w:val="es-ES_tradnl"/>
        </w:rPr>
        <w:t>desde el comienzo del</w:t>
      </w:r>
      <w:r w:rsidR="000C5793">
        <w:rPr>
          <w:lang w:val="es-ES_tradnl"/>
        </w:rPr>
        <w:t xml:space="preserve"> 4º </w:t>
      </w:r>
      <w:r w:rsidR="008B7948">
        <w:rPr>
          <w:lang w:val="es-ES_tradnl"/>
        </w:rPr>
        <w:t>curso, su tutor</w:t>
      </w:r>
      <w:r w:rsidR="007B0DB8">
        <w:rPr>
          <w:lang w:val="es-ES_tradnl"/>
        </w:rPr>
        <w:t xml:space="preserve"> X</w:t>
      </w:r>
      <w:r w:rsidR="00562506">
        <w:rPr>
          <w:lang w:val="es-ES_tradnl"/>
        </w:rPr>
        <w:t xml:space="preserve"> </w:t>
      </w:r>
      <w:r w:rsidRPr="00574248">
        <w:rPr>
          <w:lang w:val="es-ES_tradnl"/>
        </w:rPr>
        <w:t>no le aceptó por su discapacidad</w:t>
      </w:r>
      <w:r w:rsidR="005D62CA">
        <w:rPr>
          <w:lang w:val="es-ES_tradnl"/>
        </w:rPr>
        <w:t xml:space="preserve">, discriminándole y sometiéndole </w:t>
      </w:r>
      <w:r w:rsidRPr="00574248">
        <w:rPr>
          <w:lang w:val="es-ES_tradnl"/>
        </w:rPr>
        <w:t xml:space="preserve">a </w:t>
      </w:r>
      <w:r w:rsidR="00C72711">
        <w:rPr>
          <w:lang w:val="es-ES_tradnl"/>
        </w:rPr>
        <w:t xml:space="preserve">situaciones de </w:t>
      </w:r>
      <w:r w:rsidRPr="00574248">
        <w:rPr>
          <w:lang w:val="es-ES_tradnl"/>
        </w:rPr>
        <w:t xml:space="preserve">abandono y </w:t>
      </w:r>
      <w:r w:rsidRPr="00C72711">
        <w:rPr>
          <w:lang w:val="es-ES_tradnl"/>
        </w:rPr>
        <w:t xml:space="preserve">maltrato. </w:t>
      </w:r>
      <w:r w:rsidR="00C12574" w:rsidRPr="00C72711">
        <w:rPr>
          <w:lang w:val="es-ES_tradnl"/>
        </w:rPr>
        <w:t>Según pruebas testificales realizadas el 23 de enero de 2012 ante el Juzgado de lo Contencioso-Administrativo n</w:t>
      </w:r>
      <w:r w:rsidR="0040755C">
        <w:rPr>
          <w:lang w:val="es-ES_tradnl"/>
        </w:rPr>
        <w:t>úm.</w:t>
      </w:r>
      <w:r w:rsidR="00C12574" w:rsidRPr="00C72711">
        <w:rPr>
          <w:lang w:val="es-ES_tradnl"/>
        </w:rPr>
        <w:t xml:space="preserve"> 1 de León, dos madres </w:t>
      </w:r>
      <w:r w:rsidR="00C12574" w:rsidRPr="00C12574">
        <w:rPr>
          <w:lang w:val="es-ES_tradnl"/>
        </w:rPr>
        <w:t xml:space="preserve">de compañeros de clase </w:t>
      </w:r>
      <w:r w:rsidR="00314F0C">
        <w:rPr>
          <w:lang w:val="es-ES_tradnl"/>
        </w:rPr>
        <w:t>de Rubén</w:t>
      </w:r>
      <w:r w:rsidR="00C72711">
        <w:rPr>
          <w:lang w:val="es-ES_tradnl"/>
        </w:rPr>
        <w:t xml:space="preserve"> </w:t>
      </w:r>
      <w:r w:rsidR="00C12574" w:rsidRPr="00C12574">
        <w:rPr>
          <w:lang w:val="es-ES_tradnl"/>
        </w:rPr>
        <w:t xml:space="preserve">declararon que </w:t>
      </w:r>
      <w:r w:rsidR="009043FB">
        <w:rPr>
          <w:lang w:val="es-ES_tradnl"/>
        </w:rPr>
        <w:t>el tutor</w:t>
      </w:r>
      <w:r w:rsidR="00C12574" w:rsidRPr="00C12574">
        <w:rPr>
          <w:lang w:val="es-ES_tradnl"/>
        </w:rPr>
        <w:t xml:space="preserve"> llegó a coger del cuello al autor amenazándolo con tirarlo por la ventana, </w:t>
      </w:r>
      <w:r w:rsidR="005A5755">
        <w:rPr>
          <w:lang w:val="es-ES_tradnl"/>
        </w:rPr>
        <w:t>y le amenazó</w:t>
      </w:r>
      <w:r w:rsidR="00C12574" w:rsidRPr="00C12574">
        <w:rPr>
          <w:lang w:val="es-ES_tradnl"/>
        </w:rPr>
        <w:t xml:space="preserve"> con golpearle con una silla</w:t>
      </w:r>
      <w:r w:rsidR="00005487">
        <w:rPr>
          <w:lang w:val="es-ES_tradnl"/>
        </w:rPr>
        <w:t>. El tutor manifestó a los padres de</w:t>
      </w:r>
      <w:r w:rsidR="005F2836">
        <w:rPr>
          <w:lang w:val="es-ES_tradnl"/>
        </w:rPr>
        <w:t xml:space="preserve"> Rubén</w:t>
      </w:r>
      <w:r w:rsidR="00005487">
        <w:rPr>
          <w:lang w:val="es-ES_tradnl"/>
        </w:rPr>
        <w:t xml:space="preserve"> que era “insociable y peligroso”</w:t>
      </w:r>
      <w:r w:rsidR="009043FB">
        <w:rPr>
          <w:lang w:val="es-ES_tradnl"/>
        </w:rPr>
        <w:t>,</w:t>
      </w:r>
      <w:r w:rsidR="00005487">
        <w:rPr>
          <w:lang w:val="es-ES_tradnl"/>
        </w:rPr>
        <w:t xml:space="preserve"> y le aconsejaron que lo trasladara a un centro de educación especial. </w:t>
      </w:r>
      <w:r w:rsidR="00E90CBF">
        <w:rPr>
          <w:lang w:val="es-ES_tradnl"/>
        </w:rPr>
        <w:t xml:space="preserve">Igualmente, </w:t>
      </w:r>
      <w:r w:rsidR="00314F0C">
        <w:rPr>
          <w:lang w:val="es-ES_tradnl"/>
        </w:rPr>
        <w:t>Rubén</w:t>
      </w:r>
      <w:r w:rsidR="00E90CBF">
        <w:rPr>
          <w:lang w:val="es-ES_tradnl"/>
        </w:rPr>
        <w:t xml:space="preserve"> fue objeto de agresión física por parte de </w:t>
      </w:r>
      <w:r w:rsidR="008924D3">
        <w:rPr>
          <w:lang w:val="es-ES_tradnl"/>
        </w:rPr>
        <w:t>l</w:t>
      </w:r>
      <w:r w:rsidR="009043FB">
        <w:rPr>
          <w:lang w:val="es-ES_tradnl"/>
        </w:rPr>
        <w:t xml:space="preserve">a </w:t>
      </w:r>
      <w:r w:rsidR="00E90CBF">
        <w:rPr>
          <w:lang w:val="es-ES_tradnl"/>
        </w:rPr>
        <w:t>profesora</w:t>
      </w:r>
      <w:r w:rsidR="00562506">
        <w:rPr>
          <w:lang w:val="es-ES_tradnl"/>
        </w:rPr>
        <w:t xml:space="preserve"> Y</w:t>
      </w:r>
      <w:r w:rsidR="0040755C">
        <w:rPr>
          <w:lang w:val="es-ES_tradnl"/>
        </w:rPr>
        <w:t>,</w:t>
      </w:r>
      <w:r w:rsidR="00E90CBF">
        <w:rPr>
          <w:lang w:val="es-ES_tradnl"/>
        </w:rPr>
        <w:t xml:space="preserve"> que le propinó unas bofetadas. A pesar de que los padres de</w:t>
      </w:r>
      <w:r w:rsidR="005F2836">
        <w:rPr>
          <w:lang w:val="es-ES_tradnl"/>
        </w:rPr>
        <w:t xml:space="preserve"> Rubén</w:t>
      </w:r>
      <w:r w:rsidR="00E90CBF">
        <w:rPr>
          <w:lang w:val="es-ES_tradnl"/>
        </w:rPr>
        <w:t xml:space="preserve"> denunciaron los hechos ante la Directora Provincial de Educación</w:t>
      </w:r>
      <w:r w:rsidR="009043FB">
        <w:rPr>
          <w:lang w:val="es-ES_tradnl"/>
        </w:rPr>
        <w:t>,</w:t>
      </w:r>
      <w:r w:rsidR="00E90CBF">
        <w:rPr>
          <w:lang w:val="es-ES_tradnl"/>
        </w:rPr>
        <w:t xml:space="preserve"> estos no fueron investigados.</w:t>
      </w:r>
    </w:p>
    <w:p w14:paraId="7F1A99BF" w14:textId="51556345" w:rsidR="00E423F5" w:rsidRDefault="00E423F5" w:rsidP="00887F06">
      <w:pPr>
        <w:pStyle w:val="SingleTxtG"/>
        <w:rPr>
          <w:lang w:val="es-ES_tradnl"/>
        </w:rPr>
      </w:pPr>
      <w:r>
        <w:rPr>
          <w:lang w:val="es-ES_tradnl"/>
        </w:rPr>
        <w:t>2.</w:t>
      </w:r>
      <w:r w:rsidR="000B3370">
        <w:rPr>
          <w:lang w:val="es-ES_tradnl"/>
        </w:rPr>
        <w:t>2</w:t>
      </w:r>
      <w:r w:rsidR="00887F06">
        <w:rPr>
          <w:lang w:val="es-ES_tradnl"/>
        </w:rPr>
        <w:tab/>
      </w:r>
      <w:r>
        <w:rPr>
          <w:lang w:val="es-ES_tradnl"/>
        </w:rPr>
        <w:t>El 1 de diciembre de 2009</w:t>
      </w:r>
      <w:r w:rsidR="00562506">
        <w:rPr>
          <w:lang w:val="es-ES_tradnl"/>
        </w:rPr>
        <w:t>,</w:t>
      </w:r>
      <w:r>
        <w:rPr>
          <w:lang w:val="es-ES_tradnl"/>
        </w:rPr>
        <w:t xml:space="preserve"> se redactó un informe psicopedagógico que menciona que</w:t>
      </w:r>
      <w:r w:rsidR="00562506">
        <w:rPr>
          <w:lang w:val="es-ES_tradnl"/>
        </w:rPr>
        <w:t xml:space="preserve"> </w:t>
      </w:r>
      <w:r w:rsidR="005F2836">
        <w:rPr>
          <w:lang w:val="es-ES_tradnl"/>
        </w:rPr>
        <w:t>Rubén</w:t>
      </w:r>
      <w:r>
        <w:rPr>
          <w:lang w:val="es-ES_tradnl"/>
        </w:rPr>
        <w:t xml:space="preserve"> tenía un “trastorno por déficit de atención y comportamiento perturbador”, aludiendo incluso a una categoría de “trastorno negativista desafiante”. En enero de 2010</w:t>
      </w:r>
      <w:r w:rsidR="00E42612">
        <w:rPr>
          <w:lang w:val="es-ES_tradnl"/>
        </w:rPr>
        <w:t>, el colegio</w:t>
      </w:r>
      <w:r>
        <w:rPr>
          <w:lang w:val="es-ES_tradnl"/>
        </w:rPr>
        <w:t xml:space="preserve"> solicitó la intervención del </w:t>
      </w:r>
      <w:r w:rsidR="0040755C">
        <w:rPr>
          <w:lang w:val="es-ES_tradnl"/>
        </w:rPr>
        <w:t>e</w:t>
      </w:r>
      <w:r>
        <w:rPr>
          <w:lang w:val="es-ES_tradnl"/>
        </w:rPr>
        <w:t xml:space="preserve">quipo </w:t>
      </w:r>
      <w:r w:rsidR="0040755C">
        <w:rPr>
          <w:lang w:val="es-ES_tradnl"/>
        </w:rPr>
        <w:t>e</w:t>
      </w:r>
      <w:r>
        <w:rPr>
          <w:lang w:val="es-ES_tradnl"/>
        </w:rPr>
        <w:t>spec</w:t>
      </w:r>
      <w:r w:rsidR="0040755C">
        <w:rPr>
          <w:lang w:val="es-ES_tradnl"/>
        </w:rPr>
        <w:t>í</w:t>
      </w:r>
      <w:r>
        <w:rPr>
          <w:lang w:val="es-ES_tradnl"/>
        </w:rPr>
        <w:t xml:space="preserve">fico de </w:t>
      </w:r>
      <w:r w:rsidR="0040755C">
        <w:rPr>
          <w:lang w:val="es-ES_tradnl"/>
        </w:rPr>
        <w:t>c</w:t>
      </w:r>
      <w:r>
        <w:rPr>
          <w:lang w:val="es-ES_tradnl"/>
        </w:rPr>
        <w:t xml:space="preserve">onducta y </w:t>
      </w:r>
      <w:r w:rsidR="000B3370">
        <w:rPr>
          <w:lang w:val="es-ES_tradnl"/>
        </w:rPr>
        <w:t>una</w:t>
      </w:r>
      <w:r>
        <w:rPr>
          <w:lang w:val="es-ES_tradnl"/>
        </w:rPr>
        <w:t xml:space="preserve"> trabajadora social empezó a intervenir de forma periódica con el niño en el </w:t>
      </w:r>
      <w:r w:rsidR="0040755C">
        <w:rPr>
          <w:lang w:val="es-ES_tradnl"/>
        </w:rPr>
        <w:t>c</w:t>
      </w:r>
      <w:r>
        <w:rPr>
          <w:lang w:val="es-ES_tradnl"/>
        </w:rPr>
        <w:t>olegio proporcionando pautas educativas a la familia y al profesorado.</w:t>
      </w:r>
    </w:p>
    <w:p w14:paraId="3A892741" w14:textId="5C4FA54F" w:rsidR="00574248" w:rsidRDefault="00574248" w:rsidP="00876A12">
      <w:pPr>
        <w:pStyle w:val="SingleTxtG"/>
        <w:rPr>
          <w:lang w:val="es-ES_tradnl"/>
        </w:rPr>
      </w:pPr>
      <w:r w:rsidRPr="00574248">
        <w:rPr>
          <w:lang w:val="es-ES_tradnl"/>
        </w:rPr>
        <w:t>2.</w:t>
      </w:r>
      <w:r w:rsidR="000B3370">
        <w:rPr>
          <w:lang w:val="es-ES_tradnl"/>
        </w:rPr>
        <w:t>3</w:t>
      </w:r>
      <w:r w:rsidR="00887F06">
        <w:rPr>
          <w:lang w:val="es-ES_tradnl"/>
        </w:rPr>
        <w:tab/>
      </w:r>
      <w:r w:rsidRPr="00574248">
        <w:rPr>
          <w:lang w:val="es-ES_tradnl"/>
        </w:rPr>
        <w:t xml:space="preserve">En septiembre de 2010, </w:t>
      </w:r>
      <w:r w:rsidR="007B0DB8">
        <w:rPr>
          <w:lang w:val="es-ES_tradnl"/>
        </w:rPr>
        <w:t>Rubén</w:t>
      </w:r>
      <w:r w:rsidRPr="00574248">
        <w:rPr>
          <w:lang w:val="es-ES_tradnl"/>
        </w:rPr>
        <w:t xml:space="preserve"> empezó el 5º curso de educación primaria obligatoria, </w:t>
      </w:r>
      <w:r w:rsidR="00E90CBF">
        <w:rPr>
          <w:lang w:val="es-ES_tradnl"/>
        </w:rPr>
        <w:t xml:space="preserve">con el tutor </w:t>
      </w:r>
      <w:r w:rsidR="00562506">
        <w:rPr>
          <w:lang w:val="es-ES_tradnl"/>
        </w:rPr>
        <w:t>Z</w:t>
      </w:r>
      <w:r w:rsidR="008924D3">
        <w:rPr>
          <w:lang w:val="es-ES_tradnl"/>
        </w:rPr>
        <w:t>.</w:t>
      </w:r>
      <w:r w:rsidRPr="00574248">
        <w:rPr>
          <w:lang w:val="es-ES_tradnl"/>
        </w:rPr>
        <w:t xml:space="preserve"> Desde el principio del curso hasta el 28 de octubre de 2010, </w:t>
      </w:r>
      <w:r w:rsidR="00314F0C">
        <w:rPr>
          <w:lang w:val="es-ES_tradnl"/>
        </w:rPr>
        <w:t>Rubén</w:t>
      </w:r>
      <w:r w:rsidRPr="00574248">
        <w:rPr>
          <w:lang w:val="es-ES_tradnl"/>
        </w:rPr>
        <w:t xml:space="preserve"> no contó con el apoyo de la </w:t>
      </w:r>
      <w:r w:rsidR="002273A4">
        <w:rPr>
          <w:lang w:val="es-ES_tradnl"/>
        </w:rPr>
        <w:t>a</w:t>
      </w:r>
      <w:r w:rsidRPr="00574248">
        <w:rPr>
          <w:lang w:val="es-ES_tradnl"/>
        </w:rPr>
        <w:t>sistent</w:t>
      </w:r>
      <w:r w:rsidR="00A06755">
        <w:rPr>
          <w:lang w:val="es-ES_tradnl"/>
        </w:rPr>
        <w:t>a</w:t>
      </w:r>
      <w:r w:rsidRPr="00574248">
        <w:rPr>
          <w:lang w:val="es-ES_tradnl"/>
        </w:rPr>
        <w:t xml:space="preserve"> </w:t>
      </w:r>
      <w:r w:rsidR="002273A4">
        <w:rPr>
          <w:lang w:val="es-ES_tradnl"/>
        </w:rPr>
        <w:t>t</w:t>
      </w:r>
      <w:r w:rsidRPr="00574248">
        <w:rPr>
          <w:lang w:val="es-ES_tradnl"/>
        </w:rPr>
        <w:t>écnico</w:t>
      </w:r>
      <w:r w:rsidR="002273A4">
        <w:rPr>
          <w:lang w:val="es-ES_tradnl"/>
        </w:rPr>
        <w:t>-e</w:t>
      </w:r>
      <w:r w:rsidRPr="00574248">
        <w:rPr>
          <w:lang w:val="es-ES_tradnl"/>
        </w:rPr>
        <w:t>ducativ</w:t>
      </w:r>
      <w:r w:rsidR="00274586">
        <w:rPr>
          <w:lang w:val="es-ES_tradnl"/>
        </w:rPr>
        <w:t>a</w:t>
      </w:r>
      <w:r w:rsidR="009C7737">
        <w:rPr>
          <w:lang w:val="es-ES_tradnl"/>
        </w:rPr>
        <w:t xml:space="preserve">, como venía haciendo en los años anteriores, ya que el tutor </w:t>
      </w:r>
      <w:r w:rsidR="00562506">
        <w:rPr>
          <w:lang w:val="es-ES_tradnl"/>
        </w:rPr>
        <w:t>Z</w:t>
      </w:r>
      <w:r w:rsidR="009C7737">
        <w:rPr>
          <w:lang w:val="es-ES_tradnl"/>
        </w:rPr>
        <w:t xml:space="preserve"> no lo consideró necesario. Solo después de </w:t>
      </w:r>
      <w:r w:rsidR="000023C6">
        <w:rPr>
          <w:lang w:val="es-ES_tradnl"/>
        </w:rPr>
        <w:t xml:space="preserve">que sus padres presentaran </w:t>
      </w:r>
      <w:r w:rsidR="009C7737">
        <w:rPr>
          <w:lang w:val="es-ES_tradnl"/>
        </w:rPr>
        <w:t xml:space="preserve">quejas </w:t>
      </w:r>
      <w:r w:rsidR="000023C6">
        <w:rPr>
          <w:lang w:val="es-ES_tradnl"/>
        </w:rPr>
        <w:t>al respecto, se le permitió a</w:t>
      </w:r>
      <w:r w:rsidR="00314F0C">
        <w:rPr>
          <w:lang w:val="es-ES_tradnl"/>
        </w:rPr>
        <w:t xml:space="preserve"> Rubén</w:t>
      </w:r>
      <w:r w:rsidR="000023C6">
        <w:rPr>
          <w:lang w:val="es-ES_tradnl"/>
        </w:rPr>
        <w:t xml:space="preserve"> ser acompañado de su </w:t>
      </w:r>
      <w:r w:rsidR="00562506">
        <w:rPr>
          <w:lang w:val="es-ES_tradnl"/>
        </w:rPr>
        <w:t>asistent</w:t>
      </w:r>
      <w:r w:rsidR="007026A4">
        <w:rPr>
          <w:lang w:val="es-ES_tradnl"/>
        </w:rPr>
        <w:t>a</w:t>
      </w:r>
      <w:r w:rsidR="000023C6">
        <w:rPr>
          <w:lang w:val="es-ES_tradnl"/>
        </w:rPr>
        <w:t xml:space="preserve">. Sin embargo, </w:t>
      </w:r>
      <w:r w:rsidR="00562506">
        <w:rPr>
          <w:lang w:val="es-ES_tradnl"/>
        </w:rPr>
        <w:t>el</w:t>
      </w:r>
      <w:r w:rsidR="000023C6">
        <w:rPr>
          <w:lang w:val="es-ES_tradnl"/>
        </w:rPr>
        <w:t xml:space="preserve"> tutor mantuvo una actitud negativa hacia </w:t>
      </w:r>
      <w:r w:rsidR="00562506">
        <w:rPr>
          <w:lang w:val="es-ES_tradnl"/>
        </w:rPr>
        <w:t>l</w:t>
      </w:r>
      <w:r w:rsidR="002273A4">
        <w:rPr>
          <w:lang w:val="es-ES_tradnl"/>
        </w:rPr>
        <w:t>a</w:t>
      </w:r>
      <w:r w:rsidR="00562506">
        <w:rPr>
          <w:lang w:val="es-ES_tradnl"/>
        </w:rPr>
        <w:t xml:space="preserve"> asistent</w:t>
      </w:r>
      <w:r w:rsidR="002273A4">
        <w:rPr>
          <w:lang w:val="es-ES_tradnl"/>
        </w:rPr>
        <w:t>a</w:t>
      </w:r>
      <w:r w:rsidR="00562506">
        <w:rPr>
          <w:lang w:val="es-ES_tradnl"/>
        </w:rPr>
        <w:t xml:space="preserve"> </w:t>
      </w:r>
      <w:r w:rsidR="000023C6">
        <w:rPr>
          <w:lang w:val="es-ES_tradnl"/>
        </w:rPr>
        <w:t>y no colabor</w:t>
      </w:r>
      <w:r w:rsidR="00E918CA">
        <w:rPr>
          <w:lang w:val="es-ES_tradnl"/>
        </w:rPr>
        <w:t>ó</w:t>
      </w:r>
      <w:r w:rsidR="000023C6">
        <w:rPr>
          <w:lang w:val="es-ES_tradnl"/>
        </w:rPr>
        <w:t xml:space="preserve"> con ella. </w:t>
      </w:r>
      <w:r w:rsidR="00605BEA">
        <w:rPr>
          <w:lang w:val="es-ES_tradnl"/>
        </w:rPr>
        <w:t>Los autores</w:t>
      </w:r>
      <w:r w:rsidR="00BD3E19">
        <w:rPr>
          <w:lang w:val="es-ES_tradnl"/>
        </w:rPr>
        <w:t xml:space="preserve"> indica</w:t>
      </w:r>
      <w:r w:rsidR="00605BEA">
        <w:rPr>
          <w:lang w:val="es-ES_tradnl"/>
        </w:rPr>
        <w:t>n</w:t>
      </w:r>
      <w:r w:rsidR="00BD3E19">
        <w:rPr>
          <w:lang w:val="es-ES_tradnl"/>
        </w:rPr>
        <w:t xml:space="preserve"> también que el 19 de enero de 2011, </w:t>
      </w:r>
      <w:r w:rsidR="00562506">
        <w:rPr>
          <w:lang w:val="es-ES_tradnl"/>
        </w:rPr>
        <w:t xml:space="preserve">otra </w:t>
      </w:r>
      <w:r w:rsidR="00BD3E19">
        <w:rPr>
          <w:lang w:val="es-ES_tradnl"/>
        </w:rPr>
        <w:t>profesora man</w:t>
      </w:r>
      <w:r w:rsidR="00D10600">
        <w:rPr>
          <w:lang w:val="es-ES_tradnl"/>
        </w:rPr>
        <w:t>ifestó su rechazo solicitando a su</w:t>
      </w:r>
      <w:r w:rsidR="00BD3E19">
        <w:rPr>
          <w:lang w:val="es-ES_tradnl"/>
        </w:rPr>
        <w:t xml:space="preserve"> padre </w:t>
      </w:r>
      <w:r w:rsidR="00D10600">
        <w:rPr>
          <w:lang w:val="es-ES_tradnl"/>
        </w:rPr>
        <w:t>que le trasladara</w:t>
      </w:r>
      <w:r w:rsidR="00BD3E19">
        <w:rPr>
          <w:lang w:val="es-ES_tradnl"/>
        </w:rPr>
        <w:t xml:space="preserve"> a un centro </w:t>
      </w:r>
      <w:r w:rsidR="00D10600">
        <w:rPr>
          <w:lang w:val="es-ES_tradnl"/>
        </w:rPr>
        <w:t xml:space="preserve">de educación </w:t>
      </w:r>
      <w:r w:rsidR="00BD3E19">
        <w:rPr>
          <w:lang w:val="es-ES_tradnl"/>
        </w:rPr>
        <w:t xml:space="preserve">especial. </w:t>
      </w:r>
      <w:r w:rsidR="00BD3E19" w:rsidRPr="00574248">
        <w:rPr>
          <w:lang w:val="es-ES_tradnl"/>
        </w:rPr>
        <w:t xml:space="preserve">El abandono y maltrato ejercidos por el profesorado continuó, y la dirección del centro </w:t>
      </w:r>
      <w:r w:rsidR="00562506">
        <w:rPr>
          <w:lang w:val="es-ES_tradnl"/>
        </w:rPr>
        <w:t xml:space="preserve">educativo </w:t>
      </w:r>
      <w:r w:rsidR="00BD3E19" w:rsidRPr="00574248">
        <w:rPr>
          <w:lang w:val="es-ES_tradnl"/>
        </w:rPr>
        <w:t>no tomó ninguna iniciativa para solucionar la si</w:t>
      </w:r>
      <w:r w:rsidR="00BD3E19">
        <w:rPr>
          <w:lang w:val="es-ES_tradnl"/>
        </w:rPr>
        <w:t>tuación, a pesar de las queja</w:t>
      </w:r>
      <w:r w:rsidR="00605BEA">
        <w:rPr>
          <w:lang w:val="es-ES_tradnl"/>
        </w:rPr>
        <w:t>s presentadas por los padres de Rubén</w:t>
      </w:r>
      <w:r w:rsidR="00BD3E19">
        <w:rPr>
          <w:lang w:val="es-ES_tradnl"/>
        </w:rPr>
        <w:t xml:space="preserve"> ante la Dirección Provincial de Educación.</w:t>
      </w:r>
    </w:p>
    <w:p w14:paraId="3AB3AD9F" w14:textId="58DF2060" w:rsidR="00E423F5" w:rsidRDefault="00E423F5" w:rsidP="00876A12">
      <w:pPr>
        <w:pStyle w:val="SingleTxtG"/>
        <w:rPr>
          <w:lang w:val="es-ES_tradnl"/>
        </w:rPr>
      </w:pPr>
      <w:r>
        <w:rPr>
          <w:lang w:val="es-ES_tradnl"/>
        </w:rPr>
        <w:t>2.</w:t>
      </w:r>
      <w:r w:rsidR="000B3370">
        <w:rPr>
          <w:lang w:val="es-ES_tradnl"/>
        </w:rPr>
        <w:t>4</w:t>
      </w:r>
      <w:r w:rsidR="00887F06">
        <w:rPr>
          <w:lang w:val="es-ES_tradnl"/>
        </w:rPr>
        <w:tab/>
      </w:r>
      <w:r>
        <w:rPr>
          <w:lang w:val="es-ES_tradnl"/>
        </w:rPr>
        <w:t xml:space="preserve">El 13 de diciembre de 2010, la trabajadora social B elaboró un informe socioeducativo sobre </w:t>
      </w:r>
      <w:r w:rsidR="00314F0C">
        <w:rPr>
          <w:lang w:val="es-ES_tradnl"/>
        </w:rPr>
        <w:t>Rubén</w:t>
      </w:r>
      <w:r>
        <w:rPr>
          <w:lang w:val="es-ES_tradnl"/>
        </w:rPr>
        <w:t xml:space="preserve"> en el que se resalta que en </w:t>
      </w:r>
      <w:r w:rsidR="002F6C62">
        <w:rPr>
          <w:lang w:val="es-ES_tradnl"/>
        </w:rPr>
        <w:t xml:space="preserve">el </w:t>
      </w:r>
      <w:r>
        <w:rPr>
          <w:lang w:val="es-ES_tradnl"/>
        </w:rPr>
        <w:t xml:space="preserve">4° </w:t>
      </w:r>
      <w:r w:rsidR="002F6C62">
        <w:rPr>
          <w:lang w:val="es-ES_tradnl"/>
        </w:rPr>
        <w:t xml:space="preserve">curso </w:t>
      </w:r>
      <w:r>
        <w:rPr>
          <w:lang w:val="es-ES_tradnl"/>
        </w:rPr>
        <w:t xml:space="preserve">de </w:t>
      </w:r>
      <w:r w:rsidR="007026A4">
        <w:rPr>
          <w:lang w:val="es-ES_tradnl"/>
        </w:rPr>
        <w:t>p</w:t>
      </w:r>
      <w:r>
        <w:rPr>
          <w:lang w:val="es-ES_tradnl"/>
        </w:rPr>
        <w:t>rimaria comenzó a manifestar problemas de adaptación escolar por una mala relación con su tutor, según sus padres. La trabajadora hizo una evaluación positiva de</w:t>
      </w:r>
      <w:r w:rsidR="00314F0C">
        <w:rPr>
          <w:lang w:val="es-ES_tradnl"/>
        </w:rPr>
        <w:t xml:space="preserve"> Rubén</w:t>
      </w:r>
      <w:r>
        <w:rPr>
          <w:lang w:val="es-ES_tradnl"/>
        </w:rPr>
        <w:t xml:space="preserve"> en las áreas sensorial, de motricidad, de autonomía personal, de comunicación y de habilidades </w:t>
      </w:r>
      <w:r w:rsidR="00562506">
        <w:rPr>
          <w:lang w:val="es-ES_tradnl"/>
        </w:rPr>
        <w:t>específicas</w:t>
      </w:r>
      <w:r>
        <w:rPr>
          <w:lang w:val="es-ES_tradnl"/>
        </w:rPr>
        <w:t xml:space="preserve">. Concluyó que, analizando el contexto escolar y teniendo en cuenta las complicaciones surgidas en la dinámica de las relaciones alumno-profesores y otros profesionales, así como con el resto de </w:t>
      </w:r>
      <w:r w:rsidR="009408DA">
        <w:rPr>
          <w:lang w:val="es-ES_tradnl"/>
        </w:rPr>
        <w:t>los alumnos</w:t>
      </w:r>
      <w:r>
        <w:rPr>
          <w:lang w:val="es-ES_tradnl"/>
        </w:rPr>
        <w:t xml:space="preserve"> del colegio, parece razonable que </w:t>
      </w:r>
      <w:r w:rsidR="00E811DD">
        <w:rPr>
          <w:lang w:val="es-ES_tradnl"/>
        </w:rPr>
        <w:t>Rubén</w:t>
      </w:r>
      <w:r>
        <w:rPr>
          <w:lang w:val="es-ES_tradnl"/>
        </w:rPr>
        <w:t xml:space="preserve"> cambie de colegio (aunque de similares características y recursos). No es necesario profundizar mucho para </w:t>
      </w:r>
      <w:r>
        <w:rPr>
          <w:lang w:val="es-ES_tradnl"/>
        </w:rPr>
        <w:lastRenderedPageBreak/>
        <w:t xml:space="preserve">llegar a la conclusión de que el niño está aquí muy condicionado para dar respuestas inadaptadas y </w:t>
      </w:r>
      <w:r w:rsidR="002F6C62">
        <w:rPr>
          <w:lang w:val="es-ES_tradnl"/>
        </w:rPr>
        <w:t xml:space="preserve">de que </w:t>
      </w:r>
      <w:r>
        <w:rPr>
          <w:lang w:val="es-ES_tradnl"/>
        </w:rPr>
        <w:t xml:space="preserve">a la vez </w:t>
      </w:r>
      <w:r w:rsidR="002F6C62">
        <w:rPr>
          <w:lang w:val="es-ES_tradnl"/>
        </w:rPr>
        <w:t xml:space="preserve">es </w:t>
      </w:r>
      <w:r>
        <w:rPr>
          <w:lang w:val="es-ES_tradnl"/>
        </w:rPr>
        <w:t xml:space="preserve">muy difícil modificar una dinámica </w:t>
      </w:r>
      <w:r w:rsidR="009408DA">
        <w:rPr>
          <w:lang w:val="es-ES_tradnl"/>
        </w:rPr>
        <w:t>tan compleja y arraigada</w:t>
      </w:r>
      <w:r>
        <w:rPr>
          <w:lang w:val="es-ES_tradnl"/>
        </w:rPr>
        <w:t xml:space="preserve">. Ambos factores convierten a la situación en prácticamente irreversible y muy lesiva para ambas partes, pero fundamentalmente para el niño que es el más vulnerable (primero porque es un ser humano en formación y segundo por tratarse de una persona </w:t>
      </w:r>
      <w:r w:rsidR="002F6C62">
        <w:rPr>
          <w:lang w:val="es-ES_tradnl"/>
        </w:rPr>
        <w:t>“</w:t>
      </w:r>
      <w:r w:rsidR="00E8431E">
        <w:rPr>
          <w:lang w:val="es-ES_tradnl"/>
        </w:rPr>
        <w:t>deficiente</w:t>
      </w:r>
      <w:r>
        <w:rPr>
          <w:lang w:val="es-ES_tradnl"/>
        </w:rPr>
        <w:t>”</w:t>
      </w:r>
      <w:r w:rsidR="00A37C1D">
        <w:rPr>
          <w:lang w:val="es-ES_tradnl"/>
        </w:rPr>
        <w:t>)</w:t>
      </w:r>
      <w:r w:rsidR="00E8431E">
        <w:rPr>
          <w:rStyle w:val="Refdenotaalpie"/>
          <w:lang w:val="es-ES_tradnl"/>
        </w:rPr>
        <w:footnoteReference w:id="4"/>
      </w:r>
      <w:r>
        <w:rPr>
          <w:lang w:val="es-ES_tradnl"/>
        </w:rPr>
        <w:t>. La trabajadora señala que los equipos directivos deberían definir el proceso pedagógico de</w:t>
      </w:r>
      <w:r w:rsidR="00E811DD">
        <w:rPr>
          <w:lang w:val="es-ES_tradnl"/>
        </w:rPr>
        <w:t xml:space="preserve"> Rubén</w:t>
      </w:r>
      <w:r>
        <w:rPr>
          <w:lang w:val="es-ES_tradnl"/>
        </w:rPr>
        <w:t xml:space="preserve"> y garantizar un marco de cooperación con la familia para perseguir su bienestar personal y escolar. </w:t>
      </w:r>
      <w:r w:rsidR="00605BEA">
        <w:rPr>
          <w:lang w:val="es-ES_tradnl"/>
        </w:rPr>
        <w:t>Los autores</w:t>
      </w:r>
      <w:r>
        <w:rPr>
          <w:lang w:val="es-ES_tradnl"/>
        </w:rPr>
        <w:t xml:space="preserve"> resalta</w:t>
      </w:r>
      <w:r w:rsidR="00605BEA">
        <w:rPr>
          <w:lang w:val="es-ES_tradnl"/>
        </w:rPr>
        <w:t>n</w:t>
      </w:r>
      <w:r>
        <w:rPr>
          <w:lang w:val="es-ES_tradnl"/>
        </w:rPr>
        <w:t xml:space="preserve"> que la trabajadora social no consideraba en forma alguna necesario que fuera escolarizado en un centro de educación especial.</w:t>
      </w:r>
    </w:p>
    <w:p w14:paraId="1A1891C5" w14:textId="62C6AD96" w:rsidR="00CB5A0B" w:rsidRDefault="007E5A15" w:rsidP="00876A12">
      <w:pPr>
        <w:pStyle w:val="SingleTxtG"/>
        <w:rPr>
          <w:lang w:val="es-ES_tradnl"/>
        </w:rPr>
      </w:pPr>
      <w:r>
        <w:rPr>
          <w:lang w:val="es-ES_tradnl"/>
        </w:rPr>
        <w:t>2.5</w:t>
      </w:r>
      <w:r w:rsidR="00887F06">
        <w:rPr>
          <w:lang w:val="es-ES_tradnl"/>
        </w:rPr>
        <w:tab/>
      </w:r>
      <w:r w:rsidR="00422515">
        <w:rPr>
          <w:lang w:val="es-ES_tradnl"/>
        </w:rPr>
        <w:t xml:space="preserve">El </w:t>
      </w:r>
      <w:r w:rsidR="006976E2">
        <w:rPr>
          <w:lang w:val="es-ES_tradnl"/>
        </w:rPr>
        <w:t xml:space="preserve">17 de diciembre de 2010, </w:t>
      </w:r>
      <w:r w:rsidR="00422515">
        <w:rPr>
          <w:lang w:val="es-ES_tradnl"/>
        </w:rPr>
        <w:t xml:space="preserve">se realizó un dictamen de escolarización </w:t>
      </w:r>
      <w:r w:rsidR="00605BEA">
        <w:rPr>
          <w:lang w:val="es-ES_tradnl"/>
        </w:rPr>
        <w:t>a Rubén</w:t>
      </w:r>
      <w:r w:rsidR="005247BD">
        <w:rPr>
          <w:lang w:val="es-ES_tradnl"/>
        </w:rPr>
        <w:t xml:space="preserve"> </w:t>
      </w:r>
      <w:r w:rsidR="006976E2">
        <w:rPr>
          <w:lang w:val="es-ES_tradnl"/>
        </w:rPr>
        <w:t xml:space="preserve">sin pedir la </w:t>
      </w:r>
      <w:r w:rsidR="00F82F1F">
        <w:rPr>
          <w:lang w:val="es-ES_tradnl"/>
        </w:rPr>
        <w:t>autorización</w:t>
      </w:r>
      <w:r w:rsidR="006976E2">
        <w:rPr>
          <w:lang w:val="es-ES_tradnl"/>
        </w:rPr>
        <w:t xml:space="preserve"> a sus padres. En dicho </w:t>
      </w:r>
      <w:r w:rsidR="00F82F1F">
        <w:rPr>
          <w:lang w:val="es-ES_tradnl"/>
        </w:rPr>
        <w:t>informe</w:t>
      </w:r>
      <w:r w:rsidR="006976E2">
        <w:rPr>
          <w:lang w:val="es-ES_tradnl"/>
        </w:rPr>
        <w:t xml:space="preserve"> se habla de un “comportamiento perturbador”</w:t>
      </w:r>
      <w:r w:rsidR="00422515">
        <w:rPr>
          <w:lang w:val="es-ES_tradnl"/>
        </w:rPr>
        <w:t xml:space="preserve"> </w:t>
      </w:r>
      <w:r w:rsidR="00E811DD">
        <w:rPr>
          <w:lang w:val="es-ES_tradnl"/>
        </w:rPr>
        <w:t>de Rubén</w:t>
      </w:r>
      <w:r w:rsidR="00422515">
        <w:rPr>
          <w:lang w:val="es-ES_tradnl"/>
        </w:rPr>
        <w:t xml:space="preserve">, </w:t>
      </w:r>
      <w:r w:rsidR="00123BB3">
        <w:rPr>
          <w:lang w:val="es-ES_tradnl"/>
        </w:rPr>
        <w:t xml:space="preserve">de </w:t>
      </w:r>
      <w:r w:rsidR="00422515">
        <w:rPr>
          <w:lang w:val="es-ES_tradnl"/>
        </w:rPr>
        <w:t>“</w:t>
      </w:r>
      <w:r w:rsidR="00F82F1F">
        <w:rPr>
          <w:lang w:val="es-ES_tradnl"/>
        </w:rPr>
        <w:t xml:space="preserve">brotes psicóticos” </w:t>
      </w:r>
      <w:r w:rsidR="00422515">
        <w:rPr>
          <w:lang w:val="es-ES_tradnl"/>
        </w:rPr>
        <w:t>así</w:t>
      </w:r>
      <w:r w:rsidR="00F82F1F">
        <w:rPr>
          <w:lang w:val="es-ES_tradnl"/>
        </w:rPr>
        <w:t xml:space="preserve"> como de un retraso </w:t>
      </w:r>
      <w:r w:rsidR="001B26C5">
        <w:rPr>
          <w:lang w:val="es-ES_tradnl"/>
        </w:rPr>
        <w:t>evolutivo</w:t>
      </w:r>
      <w:r w:rsidR="00F82F1F">
        <w:rPr>
          <w:lang w:val="es-ES_tradnl"/>
        </w:rPr>
        <w:t xml:space="preserve"> general “asociado al </w:t>
      </w:r>
      <w:r w:rsidR="005247BD">
        <w:rPr>
          <w:lang w:val="es-ES_tradnl"/>
        </w:rPr>
        <w:t>s</w:t>
      </w:r>
      <w:r w:rsidR="001B26C5">
        <w:rPr>
          <w:lang w:val="es-ES_tradnl"/>
        </w:rPr>
        <w:t>índrome</w:t>
      </w:r>
      <w:r w:rsidR="00F82F1F">
        <w:rPr>
          <w:lang w:val="es-ES_tradnl"/>
        </w:rPr>
        <w:t xml:space="preserve"> de Down”</w:t>
      </w:r>
      <w:r w:rsidR="005247BD">
        <w:rPr>
          <w:lang w:val="es-ES_tradnl"/>
        </w:rPr>
        <w:t xml:space="preserve">. </w:t>
      </w:r>
      <w:r w:rsidR="00123BB3">
        <w:rPr>
          <w:lang w:val="es-ES_tradnl"/>
        </w:rPr>
        <w:t>D</w:t>
      </w:r>
      <w:r w:rsidR="005247BD">
        <w:rPr>
          <w:lang w:val="es-ES_tradnl"/>
        </w:rPr>
        <w:t>icha terminología es más propia de la</w:t>
      </w:r>
      <w:r w:rsidR="00F82F1F">
        <w:rPr>
          <w:lang w:val="es-ES_tradnl"/>
        </w:rPr>
        <w:t xml:space="preserve"> psicología clínica que de un informe </w:t>
      </w:r>
      <w:r w:rsidR="001B26C5">
        <w:rPr>
          <w:lang w:val="es-ES_tradnl"/>
        </w:rPr>
        <w:t>psicopedagógico</w:t>
      </w:r>
      <w:r w:rsidR="00332235" w:rsidRPr="00332235">
        <w:rPr>
          <w:lang w:val="es-ES_tradnl"/>
        </w:rPr>
        <w:t xml:space="preserve"> </w:t>
      </w:r>
      <w:r w:rsidR="00332235">
        <w:rPr>
          <w:lang w:val="es-ES_tradnl"/>
        </w:rPr>
        <w:t>y, por su especialidad, l</w:t>
      </w:r>
      <w:r w:rsidR="00094A49">
        <w:rPr>
          <w:lang w:val="es-ES_tradnl"/>
        </w:rPr>
        <w:t>a</w:t>
      </w:r>
      <w:r w:rsidR="00332235">
        <w:rPr>
          <w:lang w:val="es-ES_tradnl"/>
        </w:rPr>
        <w:t xml:space="preserve">s autoras </w:t>
      </w:r>
      <w:proofErr w:type="gramStart"/>
      <w:r w:rsidR="00123BB3">
        <w:rPr>
          <w:lang w:val="es-ES_tradnl"/>
        </w:rPr>
        <w:t>del mismo</w:t>
      </w:r>
      <w:proofErr w:type="gramEnd"/>
      <w:r w:rsidR="00123BB3">
        <w:rPr>
          <w:lang w:val="es-ES_tradnl"/>
        </w:rPr>
        <w:t xml:space="preserve"> </w:t>
      </w:r>
      <w:r w:rsidR="00332235">
        <w:rPr>
          <w:lang w:val="es-ES_tradnl"/>
        </w:rPr>
        <w:t>no estaban capacitadas para efectuar esas apreciaciones, insist</w:t>
      </w:r>
      <w:r w:rsidR="00123BB3">
        <w:rPr>
          <w:lang w:val="es-ES_tradnl"/>
        </w:rPr>
        <w:t>iendo</w:t>
      </w:r>
      <w:r w:rsidR="00332235">
        <w:rPr>
          <w:lang w:val="es-ES_tradnl"/>
        </w:rPr>
        <w:t xml:space="preserve"> en </w:t>
      </w:r>
      <w:r w:rsidR="00123BB3">
        <w:rPr>
          <w:lang w:val="es-ES_tradnl"/>
        </w:rPr>
        <w:t xml:space="preserve">la </w:t>
      </w:r>
      <w:r w:rsidR="00332235">
        <w:rPr>
          <w:lang w:val="es-ES_tradnl"/>
        </w:rPr>
        <w:t>discapacidad psíquica</w:t>
      </w:r>
      <w:r w:rsidR="00123BB3">
        <w:rPr>
          <w:lang w:val="es-ES_tradnl"/>
        </w:rPr>
        <w:t xml:space="preserve"> de</w:t>
      </w:r>
      <w:r w:rsidR="004E1B44">
        <w:rPr>
          <w:lang w:val="es-ES_tradnl"/>
        </w:rPr>
        <w:t xml:space="preserve"> Rubén</w:t>
      </w:r>
      <w:r w:rsidR="00332235">
        <w:rPr>
          <w:lang w:val="es-ES_tradnl"/>
        </w:rPr>
        <w:t>.</w:t>
      </w:r>
      <w:r w:rsidR="00F82F1F">
        <w:rPr>
          <w:lang w:val="es-ES_tradnl"/>
        </w:rPr>
        <w:t xml:space="preserve"> Las autoras del informe no contaron con los padres ni se entrevistaron con </w:t>
      </w:r>
      <w:r w:rsidR="00332235">
        <w:rPr>
          <w:lang w:val="es-ES_tradnl"/>
        </w:rPr>
        <w:t xml:space="preserve">ellos. </w:t>
      </w:r>
      <w:r w:rsidR="004E1B44">
        <w:rPr>
          <w:lang w:val="es-ES_tradnl"/>
        </w:rPr>
        <w:t>Los autores</w:t>
      </w:r>
      <w:r w:rsidR="00332235">
        <w:rPr>
          <w:lang w:val="es-ES_tradnl"/>
        </w:rPr>
        <w:t xml:space="preserve"> indica</w:t>
      </w:r>
      <w:r w:rsidR="004E1B44">
        <w:rPr>
          <w:lang w:val="es-ES_tradnl"/>
        </w:rPr>
        <w:t>n</w:t>
      </w:r>
      <w:r w:rsidR="00332235">
        <w:rPr>
          <w:lang w:val="es-ES_tradnl"/>
        </w:rPr>
        <w:t xml:space="preserve"> que e</w:t>
      </w:r>
      <w:r w:rsidR="006976E2">
        <w:rPr>
          <w:lang w:val="es-ES_tradnl"/>
        </w:rPr>
        <w:t>l informe tiene carencias importante</w:t>
      </w:r>
      <w:r w:rsidR="001B26C5">
        <w:rPr>
          <w:lang w:val="es-ES_tradnl"/>
        </w:rPr>
        <w:t>s</w:t>
      </w:r>
      <w:r w:rsidR="006976E2">
        <w:rPr>
          <w:lang w:val="es-ES_tradnl"/>
        </w:rPr>
        <w:t xml:space="preserve"> al no recoger todas las circunstancias </w:t>
      </w:r>
      <w:r w:rsidR="00F82F1F">
        <w:rPr>
          <w:lang w:val="es-ES_tradnl"/>
        </w:rPr>
        <w:t>reseñada</w:t>
      </w:r>
      <w:r w:rsidR="00332235">
        <w:rPr>
          <w:lang w:val="es-ES_tradnl"/>
        </w:rPr>
        <w:t xml:space="preserve">s en lo relativo a los abusos sufridos </w:t>
      </w:r>
      <w:r w:rsidR="006976E2">
        <w:rPr>
          <w:lang w:val="es-ES_tradnl"/>
        </w:rPr>
        <w:t xml:space="preserve">y la falta de apoyo educativo que </w:t>
      </w:r>
      <w:r w:rsidR="005D6A1C">
        <w:rPr>
          <w:lang w:val="es-ES_tradnl"/>
        </w:rPr>
        <w:t xml:space="preserve">sufrió </w:t>
      </w:r>
      <w:r w:rsidR="00605BEA">
        <w:rPr>
          <w:lang w:val="es-ES_tradnl"/>
        </w:rPr>
        <w:t>Rubén</w:t>
      </w:r>
      <w:r w:rsidR="006976E2">
        <w:rPr>
          <w:lang w:val="es-ES_tradnl"/>
        </w:rPr>
        <w:t>.</w:t>
      </w:r>
    </w:p>
    <w:p w14:paraId="3B9CE059" w14:textId="57E1A263" w:rsidR="001F11FA" w:rsidRDefault="00876A12" w:rsidP="00876A12">
      <w:pPr>
        <w:pStyle w:val="SingleTxtG"/>
        <w:rPr>
          <w:lang w:val="es-ES_tradnl"/>
        </w:rPr>
      </w:pPr>
      <w:r>
        <w:rPr>
          <w:lang w:val="es-ES_tradnl"/>
        </w:rPr>
        <w:t>2.6</w:t>
      </w:r>
      <w:r w:rsidR="00887F06">
        <w:rPr>
          <w:lang w:val="es-ES_tradnl"/>
        </w:rPr>
        <w:tab/>
      </w:r>
      <w:r w:rsidR="001A24E1">
        <w:rPr>
          <w:lang w:val="es-ES_tradnl"/>
        </w:rPr>
        <w:t xml:space="preserve">El </w:t>
      </w:r>
      <w:r w:rsidR="001A24E1" w:rsidRPr="00E754F0">
        <w:rPr>
          <w:lang w:val="es-ES_tradnl"/>
        </w:rPr>
        <w:t>21 de marzo de 2011</w:t>
      </w:r>
      <w:r w:rsidR="001A24E1">
        <w:rPr>
          <w:lang w:val="es-ES_tradnl"/>
        </w:rPr>
        <w:t>, después de que l</w:t>
      </w:r>
      <w:r w:rsidR="006976E2" w:rsidRPr="00E754F0">
        <w:rPr>
          <w:lang w:val="es-ES_tradnl"/>
        </w:rPr>
        <w:t>os padres</w:t>
      </w:r>
      <w:r w:rsidR="00E754F0">
        <w:rPr>
          <w:lang w:val="es-ES_tradnl"/>
        </w:rPr>
        <w:t xml:space="preserve"> de</w:t>
      </w:r>
      <w:r w:rsidR="00605BEA">
        <w:rPr>
          <w:lang w:val="es-ES_tradnl"/>
        </w:rPr>
        <w:t xml:space="preserve"> Rubén</w:t>
      </w:r>
      <w:r w:rsidR="006976E2" w:rsidRPr="00E754F0">
        <w:rPr>
          <w:lang w:val="es-ES_tradnl"/>
        </w:rPr>
        <w:t xml:space="preserve"> </w:t>
      </w:r>
      <w:r w:rsidR="00422515" w:rsidRPr="00E754F0">
        <w:rPr>
          <w:lang w:val="es-ES_tradnl"/>
        </w:rPr>
        <w:t>manifestar</w:t>
      </w:r>
      <w:r w:rsidR="001A24E1">
        <w:rPr>
          <w:lang w:val="es-ES_tradnl"/>
        </w:rPr>
        <w:t>a</w:t>
      </w:r>
      <w:r w:rsidR="00422515" w:rsidRPr="00E754F0">
        <w:rPr>
          <w:lang w:val="es-ES_tradnl"/>
        </w:rPr>
        <w:t>n</w:t>
      </w:r>
      <w:r w:rsidR="006976E2" w:rsidRPr="00E754F0">
        <w:rPr>
          <w:lang w:val="es-ES_tradnl"/>
        </w:rPr>
        <w:t xml:space="preserve"> su disconformidad </w:t>
      </w:r>
      <w:r w:rsidR="001A24E1">
        <w:rPr>
          <w:lang w:val="es-ES_tradnl"/>
        </w:rPr>
        <w:t>con el</w:t>
      </w:r>
      <w:r w:rsidR="006976E2" w:rsidRPr="00E754F0">
        <w:rPr>
          <w:lang w:val="es-ES_tradnl"/>
        </w:rPr>
        <w:t xml:space="preserve"> </w:t>
      </w:r>
      <w:r w:rsidR="00C02DFB">
        <w:rPr>
          <w:lang w:val="es-ES_tradnl"/>
        </w:rPr>
        <w:t xml:space="preserve">primer </w:t>
      </w:r>
      <w:r w:rsidR="006976E2" w:rsidRPr="00E754F0">
        <w:rPr>
          <w:lang w:val="es-ES_tradnl"/>
        </w:rPr>
        <w:t>informe</w:t>
      </w:r>
      <w:r w:rsidR="001A24E1">
        <w:rPr>
          <w:lang w:val="es-ES_tradnl"/>
        </w:rPr>
        <w:t>, s</w:t>
      </w:r>
      <w:r w:rsidR="006976E2" w:rsidRPr="00E754F0">
        <w:rPr>
          <w:lang w:val="es-ES_tradnl"/>
        </w:rPr>
        <w:t xml:space="preserve">e </w:t>
      </w:r>
      <w:r w:rsidR="00422515" w:rsidRPr="00E754F0">
        <w:rPr>
          <w:lang w:val="es-ES_tradnl"/>
        </w:rPr>
        <w:t>realizó</w:t>
      </w:r>
      <w:r w:rsidR="006976E2" w:rsidRPr="00E754F0">
        <w:rPr>
          <w:lang w:val="es-ES_tradnl"/>
        </w:rPr>
        <w:t xml:space="preserve"> un segundo dict</w:t>
      </w:r>
      <w:r w:rsidR="00422515" w:rsidRPr="00E754F0">
        <w:rPr>
          <w:lang w:val="es-ES_tradnl"/>
        </w:rPr>
        <w:t>amen</w:t>
      </w:r>
      <w:r w:rsidR="006976E2" w:rsidRPr="00E754F0">
        <w:rPr>
          <w:lang w:val="es-ES_tradnl"/>
        </w:rPr>
        <w:t xml:space="preserve"> </w:t>
      </w:r>
      <w:r w:rsidR="001A24E1">
        <w:rPr>
          <w:lang w:val="es-ES_tradnl"/>
        </w:rPr>
        <w:t>de escolarización</w:t>
      </w:r>
      <w:r w:rsidR="00422515" w:rsidRPr="00E754F0">
        <w:rPr>
          <w:lang w:val="es-ES_tradnl"/>
        </w:rPr>
        <w:t>, sobre el cual los padres de</w:t>
      </w:r>
      <w:r w:rsidR="00605BEA">
        <w:rPr>
          <w:lang w:val="es-ES_tradnl"/>
        </w:rPr>
        <w:t xml:space="preserve"> Rubén</w:t>
      </w:r>
      <w:r w:rsidR="00422515" w:rsidRPr="00E754F0">
        <w:rPr>
          <w:lang w:val="es-ES_tradnl"/>
        </w:rPr>
        <w:t xml:space="preserve"> manifestaron también su disconformidad</w:t>
      </w:r>
      <w:r w:rsidR="006976E2" w:rsidRPr="00E754F0">
        <w:rPr>
          <w:lang w:val="es-ES_tradnl"/>
        </w:rPr>
        <w:t xml:space="preserve">. </w:t>
      </w:r>
      <w:r w:rsidR="005E0323" w:rsidRPr="00E754F0">
        <w:rPr>
          <w:lang w:val="es-ES_tradnl"/>
        </w:rPr>
        <w:t>El informe proponía la escolarización de</w:t>
      </w:r>
      <w:r w:rsidR="00F80A48">
        <w:rPr>
          <w:lang w:val="es-ES_tradnl"/>
        </w:rPr>
        <w:t xml:space="preserve"> Rubén</w:t>
      </w:r>
      <w:r w:rsidR="005E0323" w:rsidRPr="00E754F0">
        <w:rPr>
          <w:lang w:val="es-ES_tradnl"/>
        </w:rPr>
        <w:t xml:space="preserve"> en un centro educativo especial. </w:t>
      </w:r>
      <w:r w:rsidR="005D6A1C">
        <w:rPr>
          <w:lang w:val="es-ES_tradnl"/>
        </w:rPr>
        <w:t>L</w:t>
      </w:r>
      <w:r w:rsidR="005E0323" w:rsidRPr="00E754F0">
        <w:rPr>
          <w:lang w:val="es-ES_tradnl"/>
        </w:rPr>
        <w:t>a conclusión del informe resulta inv</w:t>
      </w:r>
      <w:r w:rsidR="002F6C62">
        <w:rPr>
          <w:lang w:val="es-ES_tradnl"/>
        </w:rPr>
        <w:t>á</w:t>
      </w:r>
      <w:r w:rsidR="005E0323" w:rsidRPr="00E754F0">
        <w:rPr>
          <w:lang w:val="es-ES_tradnl"/>
        </w:rPr>
        <w:t>lida ya que no toma en cuenta el contexto de discriminación</w:t>
      </w:r>
      <w:r w:rsidR="005E0323">
        <w:rPr>
          <w:lang w:val="es-ES_tradnl"/>
        </w:rPr>
        <w:t xml:space="preserve"> y malos tratos que sufrió </w:t>
      </w:r>
      <w:r w:rsidR="00645518">
        <w:rPr>
          <w:lang w:val="es-ES_tradnl"/>
        </w:rPr>
        <w:t>Rubén</w:t>
      </w:r>
      <w:r w:rsidR="005E0323">
        <w:rPr>
          <w:lang w:val="es-ES_tradnl"/>
        </w:rPr>
        <w:t>, como refleja el siguiente apartado del informe</w:t>
      </w:r>
      <w:r w:rsidR="00C02DFB">
        <w:rPr>
          <w:lang w:val="es-ES_tradnl"/>
        </w:rPr>
        <w:t>:</w:t>
      </w:r>
      <w:r w:rsidR="005E0323">
        <w:rPr>
          <w:lang w:val="es-ES_tradnl"/>
        </w:rPr>
        <w:t xml:space="preserve"> “el trato de</w:t>
      </w:r>
      <w:r w:rsidR="00F230A3">
        <w:rPr>
          <w:lang w:val="es-ES_tradnl"/>
        </w:rPr>
        <w:t>l</w:t>
      </w:r>
      <w:r w:rsidR="005E0323">
        <w:rPr>
          <w:lang w:val="es-ES_tradnl"/>
        </w:rPr>
        <w:t xml:space="preserve"> profesorado hacia el niño es bueno. En este momento las relaciones se ven totalmente afectadas por los problemas de conducta del niño y las dificultades para poder controlarlas por parte del profesorado”.</w:t>
      </w:r>
    </w:p>
    <w:p w14:paraId="0C578F80" w14:textId="61F93252" w:rsidR="001F11FA" w:rsidRDefault="00574248" w:rsidP="00876A12">
      <w:pPr>
        <w:pStyle w:val="SingleTxtG"/>
        <w:rPr>
          <w:lang w:val="es-ES_tradnl"/>
        </w:rPr>
      </w:pPr>
      <w:r w:rsidRPr="00574248">
        <w:rPr>
          <w:lang w:val="es-ES_tradnl"/>
        </w:rPr>
        <w:t>2.</w:t>
      </w:r>
      <w:r w:rsidR="007E5A15">
        <w:rPr>
          <w:lang w:val="es-ES_tradnl"/>
        </w:rPr>
        <w:t>7</w:t>
      </w:r>
      <w:r w:rsidRPr="00574248">
        <w:rPr>
          <w:lang w:val="es-ES_tradnl"/>
        </w:rPr>
        <w:tab/>
        <w:t>El 6 de mayo de 2011, los padres de</w:t>
      </w:r>
      <w:r w:rsidR="00605BEA">
        <w:rPr>
          <w:lang w:val="es-ES_tradnl"/>
        </w:rPr>
        <w:t xml:space="preserve"> Rubén</w:t>
      </w:r>
      <w:r w:rsidRPr="00574248">
        <w:rPr>
          <w:lang w:val="es-ES_tradnl"/>
        </w:rPr>
        <w:t xml:space="preserve"> </w:t>
      </w:r>
      <w:r w:rsidR="00CB5A0B">
        <w:rPr>
          <w:lang w:val="es-ES_tradnl"/>
        </w:rPr>
        <w:t>denunciaron</w:t>
      </w:r>
      <w:r w:rsidRPr="00574248">
        <w:rPr>
          <w:lang w:val="es-ES_tradnl"/>
        </w:rPr>
        <w:t xml:space="preserve"> ante la Fiscalía de </w:t>
      </w:r>
      <w:r w:rsidR="002F6C62">
        <w:rPr>
          <w:lang w:val="es-ES_tradnl"/>
        </w:rPr>
        <w:t>M</w:t>
      </w:r>
      <w:r w:rsidRPr="00574248">
        <w:rPr>
          <w:lang w:val="es-ES_tradnl"/>
        </w:rPr>
        <w:t>enores de León</w:t>
      </w:r>
      <w:r w:rsidR="00CB5A0B">
        <w:rPr>
          <w:lang w:val="es-ES_tradnl"/>
        </w:rPr>
        <w:t xml:space="preserve"> el maltrato y discriminación sufrid</w:t>
      </w:r>
      <w:r w:rsidR="005D6A1C">
        <w:rPr>
          <w:lang w:val="es-ES_tradnl"/>
        </w:rPr>
        <w:t>os</w:t>
      </w:r>
      <w:r w:rsidR="00CB5A0B">
        <w:rPr>
          <w:lang w:val="es-ES_tradnl"/>
        </w:rPr>
        <w:t xml:space="preserve"> por </w:t>
      </w:r>
      <w:r w:rsidR="00D106A8">
        <w:rPr>
          <w:lang w:val="es-ES_tradnl"/>
        </w:rPr>
        <w:t>Rubén</w:t>
      </w:r>
      <w:r w:rsidR="00EB4E76">
        <w:rPr>
          <w:lang w:val="es-ES_tradnl"/>
        </w:rPr>
        <w:t xml:space="preserve"> </w:t>
      </w:r>
      <w:r w:rsidRPr="00574248">
        <w:rPr>
          <w:lang w:val="es-ES_tradnl"/>
        </w:rPr>
        <w:t>durante los cursos escolares 2009/</w:t>
      </w:r>
      <w:r w:rsidR="002F6C62">
        <w:rPr>
          <w:lang w:val="es-ES_tradnl"/>
        </w:rPr>
        <w:t>20</w:t>
      </w:r>
      <w:r w:rsidRPr="00574248">
        <w:rPr>
          <w:lang w:val="es-ES_tradnl"/>
        </w:rPr>
        <w:t>10 y 2010/</w:t>
      </w:r>
      <w:r w:rsidR="002F6C62">
        <w:rPr>
          <w:lang w:val="es-ES_tradnl"/>
        </w:rPr>
        <w:t>20</w:t>
      </w:r>
      <w:r w:rsidRPr="00574248">
        <w:rPr>
          <w:lang w:val="es-ES_tradnl"/>
        </w:rPr>
        <w:t xml:space="preserve">11. </w:t>
      </w:r>
      <w:r w:rsidR="00CB5A0B">
        <w:rPr>
          <w:lang w:val="es-ES_tradnl"/>
        </w:rPr>
        <w:t xml:space="preserve">La denuncia fue archivada el 4 de octubre de 2011 “al no apreciar […] </w:t>
      </w:r>
      <w:r w:rsidR="00E25D5D">
        <w:rPr>
          <w:lang w:val="es-ES_tradnl"/>
        </w:rPr>
        <w:t>infracción</w:t>
      </w:r>
      <w:r w:rsidR="00CB5A0B">
        <w:rPr>
          <w:lang w:val="es-ES_tradnl"/>
        </w:rPr>
        <w:t xml:space="preserve"> penal en la actuación de los responsables educativos relativas a agresión, coacciones o maltrato hacia [</w:t>
      </w:r>
      <w:r w:rsidR="00830BCC">
        <w:rPr>
          <w:lang w:val="es-ES_tradnl"/>
        </w:rPr>
        <w:t>Rubén</w:t>
      </w:r>
      <w:r w:rsidR="00CB5A0B">
        <w:rPr>
          <w:lang w:val="es-ES_tradnl"/>
        </w:rPr>
        <w:t xml:space="preserve">] sin que [fuera] competencia de [la] </w:t>
      </w:r>
      <w:r w:rsidR="00E25D5D">
        <w:rPr>
          <w:lang w:val="es-ES_tradnl"/>
        </w:rPr>
        <w:t>Fiscalía</w:t>
      </w:r>
      <w:r w:rsidR="00CB5A0B">
        <w:rPr>
          <w:lang w:val="es-ES_tradnl"/>
        </w:rPr>
        <w:t>, sino de otras instancias jurisdiccionales, la resolución de otros aspectos contemplados en el escrito de 6 de mayo de 2011]</w:t>
      </w:r>
      <w:r w:rsidR="001B30D6">
        <w:rPr>
          <w:lang w:val="es-ES_tradnl"/>
        </w:rPr>
        <w:t>”</w:t>
      </w:r>
      <w:r w:rsidR="00CB5A0B">
        <w:rPr>
          <w:rStyle w:val="Refdenotaalpie"/>
          <w:lang w:val="es-ES_tradnl"/>
        </w:rPr>
        <w:footnoteReference w:id="5"/>
      </w:r>
      <w:r w:rsidR="00CB5A0B">
        <w:rPr>
          <w:lang w:val="es-ES_tradnl"/>
        </w:rPr>
        <w:t>.</w:t>
      </w:r>
    </w:p>
    <w:p w14:paraId="1628DAD3" w14:textId="680A119C" w:rsidR="00E02936" w:rsidRDefault="00574248" w:rsidP="00876A12">
      <w:pPr>
        <w:pStyle w:val="SingleTxtG"/>
        <w:rPr>
          <w:highlight w:val="cyan"/>
          <w:lang w:val="es-ES_tradnl"/>
        </w:rPr>
      </w:pPr>
      <w:r w:rsidRPr="00574248">
        <w:rPr>
          <w:lang w:val="es-ES_tradnl"/>
        </w:rPr>
        <w:t>2.</w:t>
      </w:r>
      <w:r w:rsidR="007E5A15">
        <w:rPr>
          <w:lang w:val="es-ES_tradnl"/>
        </w:rPr>
        <w:t>8</w:t>
      </w:r>
      <w:r w:rsidRPr="00574248">
        <w:rPr>
          <w:lang w:val="es-ES_tradnl"/>
        </w:rPr>
        <w:tab/>
        <w:t xml:space="preserve">El 20 de junio de 2011, la Dirección Provincial de Educación </w:t>
      </w:r>
      <w:r w:rsidR="00470467">
        <w:rPr>
          <w:lang w:val="es-ES_tradnl"/>
        </w:rPr>
        <w:t xml:space="preserve">resolvió autorizar la matriculación </w:t>
      </w:r>
      <w:r w:rsidR="007516DC">
        <w:rPr>
          <w:lang w:val="es-ES_tradnl"/>
        </w:rPr>
        <w:t>de Rubén</w:t>
      </w:r>
      <w:r w:rsidRPr="00574248">
        <w:rPr>
          <w:lang w:val="es-ES_tradnl"/>
        </w:rPr>
        <w:t xml:space="preserve"> </w:t>
      </w:r>
      <w:r w:rsidR="00470467">
        <w:rPr>
          <w:lang w:val="es-ES_tradnl"/>
        </w:rPr>
        <w:t>en el</w:t>
      </w:r>
      <w:r w:rsidRPr="00574248">
        <w:rPr>
          <w:lang w:val="es-ES_tradnl"/>
        </w:rPr>
        <w:t xml:space="preserve"> Centro Educativo Especial Nuestra Señora del Sagrado Corazón en León</w:t>
      </w:r>
      <w:r w:rsidR="00E85BAD">
        <w:rPr>
          <w:lang w:val="es-ES_tradnl"/>
        </w:rPr>
        <w:t xml:space="preserve">. </w:t>
      </w:r>
    </w:p>
    <w:p w14:paraId="385F8268" w14:textId="72416C1D" w:rsidR="00574248" w:rsidRPr="00574248" w:rsidRDefault="00574248" w:rsidP="00876A12">
      <w:pPr>
        <w:pStyle w:val="SingleTxtG"/>
        <w:rPr>
          <w:lang w:val="es-ES_tradnl"/>
        </w:rPr>
      </w:pPr>
      <w:r w:rsidRPr="001170F5">
        <w:rPr>
          <w:lang w:val="es-ES_tradnl"/>
        </w:rPr>
        <w:t>2.</w:t>
      </w:r>
      <w:r w:rsidR="007E5A15">
        <w:rPr>
          <w:lang w:val="es-ES_tradnl"/>
        </w:rPr>
        <w:t>9</w:t>
      </w:r>
      <w:r w:rsidRPr="001170F5">
        <w:rPr>
          <w:lang w:val="es-ES_tradnl"/>
        </w:rPr>
        <w:tab/>
        <w:t>El 19 de se</w:t>
      </w:r>
      <w:r w:rsidR="007516DC">
        <w:rPr>
          <w:lang w:val="es-ES_tradnl"/>
        </w:rPr>
        <w:t xml:space="preserve">ptiembre de 2011, los padres de Rubén </w:t>
      </w:r>
      <w:r w:rsidRPr="001170F5">
        <w:rPr>
          <w:lang w:val="es-ES_tradnl"/>
        </w:rPr>
        <w:t xml:space="preserve">presentaron un recurso por el procedimiento especial </w:t>
      </w:r>
      <w:r w:rsidR="006651C0">
        <w:rPr>
          <w:lang w:val="es-ES_tradnl"/>
        </w:rPr>
        <w:t>de derechos f</w:t>
      </w:r>
      <w:r w:rsidRPr="001170F5">
        <w:rPr>
          <w:lang w:val="es-ES_tradnl"/>
        </w:rPr>
        <w:t>undamentales ante el Juzgado de lo Contencioso-Administrativo n</w:t>
      </w:r>
      <w:r w:rsidR="002F6C62">
        <w:rPr>
          <w:lang w:val="es-ES_tradnl"/>
        </w:rPr>
        <w:t>úm.</w:t>
      </w:r>
      <w:r w:rsidRPr="001170F5">
        <w:rPr>
          <w:lang w:val="es-ES_tradnl"/>
        </w:rPr>
        <w:t xml:space="preserve"> 1 de León</w:t>
      </w:r>
      <w:r w:rsidR="006651C0" w:rsidRPr="006651C0">
        <w:rPr>
          <w:lang w:val="es-ES_tradnl"/>
        </w:rPr>
        <w:t xml:space="preserve"> </w:t>
      </w:r>
      <w:r w:rsidR="006651C0">
        <w:rPr>
          <w:lang w:val="es-ES_tradnl"/>
        </w:rPr>
        <w:t xml:space="preserve">en el que impugnaban </w:t>
      </w:r>
      <w:r w:rsidR="006651C0" w:rsidRPr="001170F5">
        <w:rPr>
          <w:lang w:val="es-ES_tradnl"/>
        </w:rPr>
        <w:t>la decisión de la Dirección Provincial de Educación</w:t>
      </w:r>
      <w:r w:rsidR="006651C0">
        <w:rPr>
          <w:lang w:val="es-ES_tradnl"/>
        </w:rPr>
        <w:t xml:space="preserve">. Solicitaron al Juzgado que declarara la nulidad de dicha resolución y que </w:t>
      </w:r>
      <w:r w:rsidR="00495004">
        <w:rPr>
          <w:lang w:val="es-ES_tradnl"/>
        </w:rPr>
        <w:t>reconociera</w:t>
      </w:r>
      <w:r w:rsidR="006651C0">
        <w:rPr>
          <w:lang w:val="es-ES_tradnl"/>
        </w:rPr>
        <w:t xml:space="preserve"> el derecho de</w:t>
      </w:r>
      <w:r w:rsidR="00F80A48">
        <w:rPr>
          <w:lang w:val="es-ES_tradnl"/>
        </w:rPr>
        <w:t xml:space="preserve"> Rubén</w:t>
      </w:r>
      <w:r w:rsidR="006651C0">
        <w:rPr>
          <w:lang w:val="es-ES_tradnl"/>
        </w:rPr>
        <w:t xml:space="preserve"> a ser escolarizado en un centro púbico educativo ordinario. A</w:t>
      </w:r>
      <w:r w:rsidRPr="001170F5">
        <w:rPr>
          <w:lang w:val="es-ES_tradnl"/>
        </w:rPr>
        <w:t xml:space="preserve">rgumentaron que la </w:t>
      </w:r>
      <w:r w:rsidR="006651C0">
        <w:rPr>
          <w:lang w:val="es-ES_tradnl"/>
        </w:rPr>
        <w:t>resolución</w:t>
      </w:r>
      <w:r w:rsidRPr="001170F5">
        <w:rPr>
          <w:lang w:val="es-ES_tradnl"/>
        </w:rPr>
        <w:t xml:space="preserve"> e</w:t>
      </w:r>
      <w:r w:rsidR="006651C0">
        <w:rPr>
          <w:lang w:val="es-ES_tradnl"/>
        </w:rPr>
        <w:t>ra</w:t>
      </w:r>
      <w:r w:rsidRPr="001170F5">
        <w:rPr>
          <w:lang w:val="es-ES_tradnl"/>
        </w:rPr>
        <w:t xml:space="preserve"> contraria a </w:t>
      </w:r>
      <w:r w:rsidR="006651C0">
        <w:rPr>
          <w:lang w:val="es-ES_tradnl"/>
        </w:rPr>
        <w:t xml:space="preserve">los siguientes </w:t>
      </w:r>
      <w:r w:rsidRPr="001170F5">
        <w:rPr>
          <w:lang w:val="es-ES_tradnl"/>
        </w:rPr>
        <w:t>derec</w:t>
      </w:r>
      <w:r w:rsidR="006651C0">
        <w:rPr>
          <w:lang w:val="es-ES_tradnl"/>
        </w:rPr>
        <w:t xml:space="preserve">hos constitucionales: </w:t>
      </w:r>
      <w:r w:rsidRPr="001170F5">
        <w:rPr>
          <w:lang w:val="es-ES_tradnl"/>
        </w:rPr>
        <w:t xml:space="preserve">el derecho </w:t>
      </w:r>
      <w:r w:rsidR="007D511B">
        <w:rPr>
          <w:lang w:val="es-ES_tradnl"/>
        </w:rPr>
        <w:t>a la igualdad</w:t>
      </w:r>
      <w:r w:rsidRPr="001170F5">
        <w:rPr>
          <w:lang w:val="es-ES_tradnl"/>
        </w:rPr>
        <w:t xml:space="preserve"> (art. 14) en relación con el derecho a la educación (art. 27) y el derecho a la integridad moral del menor (art. 15) en relación con el principio sobre la dignidad de la persona (art. 10</w:t>
      </w:r>
      <w:r w:rsidR="002F6C62">
        <w:rPr>
          <w:lang w:val="es-ES_tradnl"/>
        </w:rPr>
        <w:t>,</w:t>
      </w:r>
      <w:r w:rsidRPr="001170F5">
        <w:rPr>
          <w:lang w:val="es-ES_tradnl"/>
        </w:rPr>
        <w:t xml:space="preserve"> párr</w:t>
      </w:r>
      <w:r w:rsidR="002F6C62">
        <w:rPr>
          <w:lang w:val="es-ES_tradnl"/>
        </w:rPr>
        <w:t xml:space="preserve">. </w:t>
      </w:r>
      <w:r w:rsidRPr="001170F5">
        <w:rPr>
          <w:lang w:val="es-ES_tradnl"/>
        </w:rPr>
        <w:t>1).</w:t>
      </w:r>
    </w:p>
    <w:p w14:paraId="431A9AA2" w14:textId="69BC4E72" w:rsidR="008B7923" w:rsidRDefault="00574248" w:rsidP="00876A12">
      <w:pPr>
        <w:pStyle w:val="SingleTxtG"/>
        <w:rPr>
          <w:lang w:val="es-ES_tradnl"/>
        </w:rPr>
      </w:pPr>
      <w:r w:rsidRPr="00574248">
        <w:rPr>
          <w:lang w:val="es-ES_tradnl"/>
        </w:rPr>
        <w:t>2.</w:t>
      </w:r>
      <w:r w:rsidR="007E5A15">
        <w:rPr>
          <w:lang w:val="es-ES_tradnl"/>
        </w:rPr>
        <w:t>10</w:t>
      </w:r>
      <w:r w:rsidRPr="00574248">
        <w:rPr>
          <w:lang w:val="es-ES_tradnl"/>
        </w:rPr>
        <w:tab/>
        <w:t>El 20 de julio de 2012, el Juzgado de lo Contencioso-Administrativo n</w:t>
      </w:r>
      <w:r w:rsidR="002F6C62">
        <w:rPr>
          <w:lang w:val="es-ES_tradnl"/>
        </w:rPr>
        <w:t>úm.</w:t>
      </w:r>
      <w:r w:rsidRPr="00574248">
        <w:rPr>
          <w:lang w:val="es-ES_tradnl"/>
        </w:rPr>
        <w:t xml:space="preserve"> 1 de León desestimó el recurso presentado por los padres de</w:t>
      </w:r>
      <w:r w:rsidR="0044384B">
        <w:rPr>
          <w:lang w:val="es-ES_tradnl"/>
        </w:rPr>
        <w:t xml:space="preserve"> Rubén</w:t>
      </w:r>
      <w:r w:rsidRPr="00574248">
        <w:rPr>
          <w:lang w:val="es-ES_tradnl"/>
        </w:rPr>
        <w:t xml:space="preserve">. El Juzgado </w:t>
      </w:r>
      <w:r w:rsidR="00495004">
        <w:rPr>
          <w:lang w:val="es-ES_tradnl"/>
        </w:rPr>
        <w:t>consider</w:t>
      </w:r>
      <w:r w:rsidR="00495004" w:rsidRPr="00495004">
        <w:rPr>
          <w:lang w:val="es-ES_tradnl"/>
        </w:rPr>
        <w:t>ó</w:t>
      </w:r>
      <w:r w:rsidR="00495004">
        <w:rPr>
          <w:lang w:val="es-ES_tradnl"/>
        </w:rPr>
        <w:t xml:space="preserve"> </w:t>
      </w:r>
      <w:r w:rsidRPr="00574248">
        <w:rPr>
          <w:lang w:val="es-ES_tradnl"/>
        </w:rPr>
        <w:t>que la decisión de la Dirección Provincial de Educación no violaba ningún derecho constitucional</w:t>
      </w:r>
      <w:r w:rsidR="00175094">
        <w:rPr>
          <w:lang w:val="es-ES_tradnl"/>
        </w:rPr>
        <w:t xml:space="preserve">. </w:t>
      </w:r>
      <w:r w:rsidR="00D6504D">
        <w:rPr>
          <w:lang w:val="es-ES_tradnl"/>
        </w:rPr>
        <w:lastRenderedPageBreak/>
        <w:t>E</w:t>
      </w:r>
      <w:r w:rsidR="007D511B">
        <w:rPr>
          <w:lang w:val="es-ES_tradnl"/>
        </w:rPr>
        <w:t>l Juzgado</w:t>
      </w:r>
      <w:r w:rsidR="00175094">
        <w:rPr>
          <w:lang w:val="es-ES_tradnl"/>
        </w:rPr>
        <w:t xml:space="preserve"> </w:t>
      </w:r>
      <w:r w:rsidR="00BB3167">
        <w:rPr>
          <w:lang w:val="es-ES_tradnl"/>
        </w:rPr>
        <w:t xml:space="preserve">recordó </w:t>
      </w:r>
      <w:r w:rsidRPr="00574248">
        <w:rPr>
          <w:lang w:val="es-ES_tradnl"/>
        </w:rPr>
        <w:t>la doctrina del Tribunal Constitucional</w:t>
      </w:r>
      <w:r w:rsidR="00BB3167">
        <w:rPr>
          <w:lang w:val="es-ES_tradnl"/>
        </w:rPr>
        <w:t xml:space="preserve"> según la cual “conforme a reiterada doctrina de este Tribunal, el principio de igualdad “ante o en la ley” impone al legislador el deber de dispensar un mismo tratamiento a quienes se encuentran en situaciones jurídicas iguales”</w:t>
      </w:r>
      <w:r w:rsidR="00D6504D" w:rsidRPr="00574248">
        <w:rPr>
          <w:vertAlign w:val="superscript"/>
          <w:lang w:val="es-ES_tradnl"/>
        </w:rPr>
        <w:footnoteReference w:id="6"/>
      </w:r>
      <w:r w:rsidR="00BB3167">
        <w:rPr>
          <w:lang w:val="es-ES_tradnl"/>
        </w:rPr>
        <w:t>. El Juzgado consider</w:t>
      </w:r>
      <w:r w:rsidR="00BB3167" w:rsidRPr="00BB3167">
        <w:rPr>
          <w:lang w:val="es-ES_tradnl"/>
        </w:rPr>
        <w:t>ó</w:t>
      </w:r>
      <w:r w:rsidR="00BB3167">
        <w:rPr>
          <w:lang w:val="es-ES_tradnl"/>
        </w:rPr>
        <w:t xml:space="preserve"> que en el presente caso no había habido violación del derecho a la igualdad y a la educación ya que </w:t>
      </w:r>
      <w:r w:rsidR="007516DC">
        <w:rPr>
          <w:lang w:val="es-ES_tradnl"/>
        </w:rPr>
        <w:t>Rubén</w:t>
      </w:r>
      <w:r w:rsidR="00BB3167">
        <w:rPr>
          <w:lang w:val="es-ES_tradnl"/>
        </w:rPr>
        <w:t xml:space="preserve"> no se encuentra</w:t>
      </w:r>
      <w:r w:rsidRPr="00574248">
        <w:rPr>
          <w:lang w:val="es-ES_tradnl"/>
        </w:rPr>
        <w:t xml:space="preserve"> en la misma situación jurídica que </w:t>
      </w:r>
      <w:r w:rsidR="00BB3167">
        <w:rPr>
          <w:lang w:val="es-ES_tradnl"/>
        </w:rPr>
        <w:t>otros niños</w:t>
      </w:r>
      <w:r w:rsidRPr="00574248">
        <w:rPr>
          <w:lang w:val="es-ES_tradnl"/>
        </w:rPr>
        <w:t xml:space="preserve"> sin discapacidad, por lo que no existe un deber legislativo de igualdad de tratamient</w:t>
      </w:r>
      <w:r w:rsidR="00175094">
        <w:rPr>
          <w:lang w:val="es-ES_tradnl"/>
        </w:rPr>
        <w:t>o</w:t>
      </w:r>
      <w:r w:rsidRPr="00574248">
        <w:rPr>
          <w:lang w:val="es-ES_tradnl"/>
        </w:rPr>
        <w:t xml:space="preserve">. </w:t>
      </w:r>
    </w:p>
    <w:p w14:paraId="6EAB244C" w14:textId="24F16CC7" w:rsidR="00574248" w:rsidRPr="00574248" w:rsidRDefault="00876A12" w:rsidP="00876A12">
      <w:pPr>
        <w:pStyle w:val="SingleTxtG"/>
        <w:rPr>
          <w:lang w:val="es-ES_tradnl"/>
        </w:rPr>
      </w:pPr>
      <w:r>
        <w:rPr>
          <w:lang w:val="es-ES_tradnl"/>
        </w:rPr>
        <w:t>2.11</w:t>
      </w:r>
      <w:r>
        <w:rPr>
          <w:lang w:val="es-ES_tradnl"/>
        </w:rPr>
        <w:tab/>
      </w:r>
      <w:r w:rsidR="00D6504D">
        <w:rPr>
          <w:lang w:val="es-ES_tradnl"/>
        </w:rPr>
        <w:t xml:space="preserve">La sentencia </w:t>
      </w:r>
      <w:r w:rsidR="008B7923">
        <w:rPr>
          <w:lang w:val="es-ES_tradnl"/>
        </w:rPr>
        <w:t xml:space="preserve">del Juzgado </w:t>
      </w:r>
      <w:r w:rsidR="00D6504D">
        <w:rPr>
          <w:lang w:val="es-ES_tradnl"/>
        </w:rPr>
        <w:t>recoge que “únicamente en situación de trabajo individual y por las profesoras especialistas que llevan trabajando largo tiempo con [</w:t>
      </w:r>
      <w:r w:rsidR="00830BCC">
        <w:rPr>
          <w:lang w:val="es-ES_tradnl"/>
        </w:rPr>
        <w:t>Rubén</w:t>
      </w:r>
      <w:r w:rsidR="00D6504D">
        <w:rPr>
          <w:lang w:val="es-ES_tradnl"/>
        </w:rPr>
        <w:t xml:space="preserve">] se logra una respuesta aceptable a las situaciones de aprendizaje”. </w:t>
      </w:r>
      <w:r w:rsidR="00650199">
        <w:rPr>
          <w:lang w:val="es-ES_tradnl"/>
        </w:rPr>
        <w:t>Igualmente,</w:t>
      </w:r>
      <w:r w:rsidR="00D23185">
        <w:rPr>
          <w:lang w:val="es-ES_tradnl"/>
        </w:rPr>
        <w:t xml:space="preserve"> la sentencia indica que </w:t>
      </w:r>
      <w:r w:rsidR="008B7923">
        <w:rPr>
          <w:lang w:val="es-ES_tradnl"/>
        </w:rPr>
        <w:t xml:space="preserve">no puede “achacarse </w:t>
      </w:r>
      <w:r w:rsidR="00D23185">
        <w:rPr>
          <w:lang w:val="es-ES_tradnl"/>
        </w:rPr>
        <w:t xml:space="preserve">que la </w:t>
      </w:r>
      <w:r w:rsidR="00650199">
        <w:rPr>
          <w:lang w:val="es-ES_tradnl"/>
        </w:rPr>
        <w:t>Administración</w:t>
      </w:r>
      <w:r w:rsidR="00D23185">
        <w:rPr>
          <w:lang w:val="es-ES_tradnl"/>
        </w:rPr>
        <w:t xml:space="preserve"> no ha brindado al alumno el apoyo y ayuda necesaria […]. Ese apoyo ha sido prestado en todo el proceso educativo del menor, y de hecho ha estado escolarizado en un centro ordinario hasta la </w:t>
      </w:r>
      <w:r w:rsidR="00650199">
        <w:rPr>
          <w:lang w:val="es-ES_tradnl"/>
        </w:rPr>
        <w:t>actualidad</w:t>
      </w:r>
      <w:r w:rsidR="00D23185">
        <w:rPr>
          <w:lang w:val="es-ES_tradnl"/>
        </w:rPr>
        <w:t xml:space="preserve"> con apoyo de un </w:t>
      </w:r>
      <w:r w:rsidR="009179ED">
        <w:rPr>
          <w:lang w:val="es-ES_tradnl"/>
        </w:rPr>
        <w:t>a</w:t>
      </w:r>
      <w:r w:rsidR="00D23185">
        <w:rPr>
          <w:lang w:val="es-ES_tradnl"/>
        </w:rPr>
        <w:t xml:space="preserve">yudante </w:t>
      </w:r>
      <w:r w:rsidR="009179ED">
        <w:rPr>
          <w:lang w:val="es-ES_tradnl"/>
        </w:rPr>
        <w:t>t</w:t>
      </w:r>
      <w:r w:rsidR="00650199">
        <w:rPr>
          <w:lang w:val="es-ES_tradnl"/>
        </w:rPr>
        <w:t>écnico</w:t>
      </w:r>
      <w:r w:rsidR="009179ED">
        <w:rPr>
          <w:lang w:val="es-ES_tradnl"/>
        </w:rPr>
        <w:t>-e</w:t>
      </w:r>
      <w:r w:rsidR="00D23185">
        <w:rPr>
          <w:lang w:val="es-ES_tradnl"/>
        </w:rPr>
        <w:t xml:space="preserve">ducativo, de un especialista en </w:t>
      </w:r>
      <w:r w:rsidR="009179ED">
        <w:rPr>
          <w:lang w:val="es-ES_tradnl"/>
        </w:rPr>
        <w:t>a</w:t>
      </w:r>
      <w:r w:rsidR="00650199">
        <w:rPr>
          <w:lang w:val="es-ES_tradnl"/>
        </w:rPr>
        <w:t>udición</w:t>
      </w:r>
      <w:r w:rsidR="00D23185">
        <w:rPr>
          <w:lang w:val="es-ES_tradnl"/>
        </w:rPr>
        <w:t xml:space="preserve"> y </w:t>
      </w:r>
      <w:r w:rsidR="009179ED">
        <w:rPr>
          <w:lang w:val="es-ES_tradnl"/>
        </w:rPr>
        <w:t>l</w:t>
      </w:r>
      <w:r w:rsidR="00D23185">
        <w:rPr>
          <w:lang w:val="es-ES_tradnl"/>
        </w:rPr>
        <w:t xml:space="preserve">enguaje y de un especialista en </w:t>
      </w:r>
      <w:r w:rsidR="009179ED">
        <w:rPr>
          <w:lang w:val="es-ES_tradnl"/>
        </w:rPr>
        <w:t>p</w:t>
      </w:r>
      <w:r w:rsidR="00650199">
        <w:rPr>
          <w:lang w:val="es-ES_tradnl"/>
        </w:rPr>
        <w:t>edagogía</w:t>
      </w:r>
      <w:r w:rsidR="00D23185">
        <w:rPr>
          <w:lang w:val="es-ES_tradnl"/>
        </w:rPr>
        <w:t xml:space="preserve"> </w:t>
      </w:r>
      <w:r w:rsidR="009179ED">
        <w:rPr>
          <w:lang w:val="es-ES_tradnl"/>
        </w:rPr>
        <w:t>t</w:t>
      </w:r>
      <w:r w:rsidR="00650199">
        <w:rPr>
          <w:lang w:val="es-ES_tradnl"/>
        </w:rPr>
        <w:t>erapéutica</w:t>
      </w:r>
      <w:r w:rsidR="00D23185">
        <w:rPr>
          <w:lang w:val="es-ES_tradnl"/>
        </w:rPr>
        <w:t xml:space="preserve">. </w:t>
      </w:r>
      <w:r w:rsidR="00650199">
        <w:rPr>
          <w:lang w:val="es-ES_tradnl"/>
        </w:rPr>
        <w:t>Cuestión</w:t>
      </w:r>
      <w:r w:rsidR="00D23185">
        <w:rPr>
          <w:lang w:val="es-ES_tradnl"/>
        </w:rPr>
        <w:t xml:space="preserve"> </w:t>
      </w:r>
      <w:r w:rsidR="00650199">
        <w:rPr>
          <w:lang w:val="es-ES_tradnl"/>
        </w:rPr>
        <w:t>distinta</w:t>
      </w:r>
      <w:r w:rsidR="00D23185">
        <w:rPr>
          <w:lang w:val="es-ES_tradnl"/>
        </w:rPr>
        <w:t xml:space="preserve"> es que lleg</w:t>
      </w:r>
      <w:r w:rsidR="008B7923" w:rsidRPr="008B7923">
        <w:rPr>
          <w:lang w:val="es-ES_tradnl"/>
        </w:rPr>
        <w:t>ó</w:t>
      </w:r>
      <w:r w:rsidR="00D23185">
        <w:rPr>
          <w:lang w:val="es-ES_tradnl"/>
        </w:rPr>
        <w:t xml:space="preserve"> un punto en la </w:t>
      </w:r>
      <w:r w:rsidR="00650199">
        <w:rPr>
          <w:lang w:val="es-ES_tradnl"/>
        </w:rPr>
        <w:t>evolución</w:t>
      </w:r>
      <w:r w:rsidR="00D23185">
        <w:rPr>
          <w:lang w:val="es-ES_tradnl"/>
        </w:rPr>
        <w:t xml:space="preserve"> educativa de aprendizaje y conductual del menor qu</w:t>
      </w:r>
      <w:r w:rsidR="00650199">
        <w:rPr>
          <w:lang w:val="es-ES_tradnl"/>
        </w:rPr>
        <w:t>e</w:t>
      </w:r>
      <w:r w:rsidR="00D23185">
        <w:rPr>
          <w:lang w:val="es-ES_tradnl"/>
        </w:rPr>
        <w:t xml:space="preserve"> </w:t>
      </w:r>
      <w:r w:rsidR="008C7F17">
        <w:rPr>
          <w:lang w:val="es-ES_tradnl"/>
        </w:rPr>
        <w:t xml:space="preserve">no </w:t>
      </w:r>
      <w:r w:rsidR="00650199">
        <w:rPr>
          <w:lang w:val="es-ES_tradnl"/>
        </w:rPr>
        <w:t>pueda</w:t>
      </w:r>
      <w:r w:rsidR="00D23185">
        <w:rPr>
          <w:lang w:val="es-ES_tradnl"/>
        </w:rPr>
        <w:t xml:space="preserve"> ser abordado con garantías por </w:t>
      </w:r>
      <w:r w:rsidR="0008711F">
        <w:rPr>
          <w:lang w:val="es-ES_tradnl"/>
        </w:rPr>
        <w:t>los medios</w:t>
      </w:r>
      <w:r w:rsidR="00D23185">
        <w:rPr>
          <w:lang w:val="es-ES_tradnl"/>
        </w:rPr>
        <w:t xml:space="preserve"> de</w:t>
      </w:r>
      <w:r w:rsidR="00650199">
        <w:rPr>
          <w:lang w:val="es-ES_tradnl"/>
        </w:rPr>
        <w:t xml:space="preserve"> l</w:t>
      </w:r>
      <w:r w:rsidR="00D23185">
        <w:rPr>
          <w:lang w:val="es-ES_tradnl"/>
        </w:rPr>
        <w:t xml:space="preserve">os que dispone la </w:t>
      </w:r>
      <w:r w:rsidR="00650199">
        <w:rPr>
          <w:lang w:val="es-ES_tradnl"/>
        </w:rPr>
        <w:t>Administración</w:t>
      </w:r>
      <w:r w:rsidR="00D23185">
        <w:rPr>
          <w:lang w:val="es-ES_tradnl"/>
        </w:rPr>
        <w:t xml:space="preserve"> que como se señalaba </w:t>
      </w:r>
      <w:r w:rsidR="00443D59">
        <w:rPr>
          <w:lang w:val="es-ES_tradnl"/>
        </w:rPr>
        <w:t xml:space="preserve">con cita de la sentencia del </w:t>
      </w:r>
      <w:r w:rsidR="003253A8">
        <w:rPr>
          <w:lang w:val="es-ES_tradnl"/>
        </w:rPr>
        <w:t>T</w:t>
      </w:r>
      <w:r w:rsidR="00443D59">
        <w:rPr>
          <w:lang w:val="es-ES_tradnl"/>
        </w:rPr>
        <w:t xml:space="preserve">ribunal </w:t>
      </w:r>
      <w:r w:rsidR="003253A8">
        <w:rPr>
          <w:lang w:val="es-ES_tradnl"/>
        </w:rPr>
        <w:t>S</w:t>
      </w:r>
      <w:r w:rsidR="00443D59">
        <w:rPr>
          <w:lang w:val="es-ES_tradnl"/>
        </w:rPr>
        <w:t xml:space="preserve">uperior de </w:t>
      </w:r>
      <w:r w:rsidR="003253A8">
        <w:rPr>
          <w:lang w:val="es-ES_tradnl"/>
        </w:rPr>
        <w:t>J</w:t>
      </w:r>
      <w:r w:rsidR="00443D59">
        <w:rPr>
          <w:lang w:val="es-ES_tradnl"/>
        </w:rPr>
        <w:t xml:space="preserve">usticia </w:t>
      </w:r>
      <w:r w:rsidR="00D23185">
        <w:rPr>
          <w:lang w:val="es-ES_tradnl"/>
        </w:rPr>
        <w:t xml:space="preserve">de Castilla y </w:t>
      </w:r>
      <w:r w:rsidR="00650199">
        <w:rPr>
          <w:lang w:val="es-ES_tradnl"/>
        </w:rPr>
        <w:t>León</w:t>
      </w:r>
      <w:r w:rsidR="00D23185">
        <w:rPr>
          <w:lang w:val="es-ES_tradnl"/>
        </w:rPr>
        <w:t xml:space="preserve">, Sala de Burgos de 2009, </w:t>
      </w:r>
      <w:r w:rsidR="008F01F0">
        <w:rPr>
          <w:lang w:val="es-ES_tradnl"/>
        </w:rPr>
        <w:t>‘</w:t>
      </w:r>
      <w:r w:rsidR="00D23185">
        <w:rPr>
          <w:lang w:val="es-ES_tradnl"/>
        </w:rPr>
        <w:t>son los que son y no otros</w:t>
      </w:r>
      <w:r w:rsidR="008F01F0">
        <w:rPr>
          <w:lang w:val="es-ES_tradnl"/>
        </w:rPr>
        <w:t>’</w:t>
      </w:r>
      <w:r w:rsidR="00650199">
        <w:rPr>
          <w:lang w:val="es-ES_tradnl"/>
        </w:rPr>
        <w:t>”.</w:t>
      </w:r>
    </w:p>
    <w:p w14:paraId="369C6395" w14:textId="3AA3A300" w:rsidR="00574248" w:rsidRPr="00574248" w:rsidRDefault="00574248" w:rsidP="00E46DEF">
      <w:pPr>
        <w:pStyle w:val="SingleTxtG"/>
        <w:rPr>
          <w:lang w:val="es-ES_tradnl"/>
        </w:rPr>
      </w:pPr>
      <w:r w:rsidRPr="00574248">
        <w:rPr>
          <w:lang w:val="es-ES_tradnl"/>
        </w:rPr>
        <w:t>2.</w:t>
      </w:r>
      <w:r w:rsidR="007E5A15">
        <w:rPr>
          <w:lang w:val="es-ES_tradnl"/>
        </w:rPr>
        <w:t>12</w:t>
      </w:r>
      <w:r w:rsidRPr="00574248">
        <w:rPr>
          <w:lang w:val="es-ES_tradnl"/>
        </w:rPr>
        <w:tab/>
        <w:t>El 24 de septiembre de 2012, los padres de</w:t>
      </w:r>
      <w:r w:rsidR="00E0012A">
        <w:rPr>
          <w:lang w:val="es-ES_tradnl"/>
        </w:rPr>
        <w:t xml:space="preserve"> Rubén</w:t>
      </w:r>
      <w:r w:rsidRPr="00574248">
        <w:rPr>
          <w:lang w:val="es-ES_tradnl"/>
        </w:rPr>
        <w:t xml:space="preserve"> presentaron un recurso de apelación ante la Sala de lo Contencioso-Administrativo del</w:t>
      </w:r>
      <w:r w:rsidR="003575FA">
        <w:rPr>
          <w:lang w:val="es-ES_tradnl"/>
        </w:rPr>
        <w:t xml:space="preserve"> Tribunal Superior de Justicia</w:t>
      </w:r>
      <w:r w:rsidRPr="00574248">
        <w:rPr>
          <w:lang w:val="es-ES_tradnl"/>
        </w:rPr>
        <w:t xml:space="preserve"> de Castilla y León contra la sentencia del Juzgado de lo Contencioso-Administrativo </w:t>
      </w:r>
      <w:proofErr w:type="spellStart"/>
      <w:r w:rsidRPr="00574248">
        <w:rPr>
          <w:lang w:val="es-ES_tradnl"/>
        </w:rPr>
        <w:t>n</w:t>
      </w:r>
      <w:r w:rsidR="00104F8F">
        <w:rPr>
          <w:lang w:val="es-ES_tradnl"/>
        </w:rPr>
        <w:t>ú</w:t>
      </w:r>
      <w:r w:rsidR="00C02CAC">
        <w:rPr>
          <w:lang w:val="es-ES_tradnl"/>
        </w:rPr>
        <w:t>m.</w:t>
      </w:r>
      <w:r w:rsidRPr="00574248">
        <w:rPr>
          <w:lang w:val="es-ES_tradnl"/>
        </w:rPr>
        <w:t>1</w:t>
      </w:r>
      <w:proofErr w:type="spellEnd"/>
      <w:r w:rsidR="0010443D">
        <w:rPr>
          <w:lang w:val="es-ES_tradnl"/>
        </w:rPr>
        <w:t xml:space="preserve"> de León</w:t>
      </w:r>
      <w:r w:rsidRPr="00574248">
        <w:rPr>
          <w:lang w:val="es-ES_tradnl"/>
        </w:rPr>
        <w:t xml:space="preserve">. </w:t>
      </w:r>
      <w:r w:rsidR="003972C5">
        <w:rPr>
          <w:lang w:val="es-ES_tradnl"/>
        </w:rPr>
        <w:t>S</w:t>
      </w:r>
      <w:r w:rsidRPr="00574248">
        <w:rPr>
          <w:lang w:val="es-ES_tradnl"/>
        </w:rPr>
        <w:t xml:space="preserve">olicitaron la anulación de la sentencia, y </w:t>
      </w:r>
      <w:r w:rsidR="0010443D">
        <w:rPr>
          <w:lang w:val="es-ES_tradnl"/>
        </w:rPr>
        <w:t>volvieron a exigir</w:t>
      </w:r>
      <w:r w:rsidRPr="00574248">
        <w:rPr>
          <w:lang w:val="es-ES_tradnl"/>
        </w:rPr>
        <w:t xml:space="preserve"> el derecho de</w:t>
      </w:r>
      <w:r w:rsidR="00E0012A">
        <w:rPr>
          <w:lang w:val="es-ES_tradnl"/>
        </w:rPr>
        <w:t xml:space="preserve"> Rubén </w:t>
      </w:r>
      <w:r w:rsidRPr="00574248">
        <w:rPr>
          <w:lang w:val="es-ES_tradnl"/>
        </w:rPr>
        <w:t xml:space="preserve">a ser escolarizado en un centro público ordinario. Los padres </w:t>
      </w:r>
      <w:r w:rsidR="003972C5">
        <w:rPr>
          <w:lang w:val="es-ES_tradnl"/>
        </w:rPr>
        <w:t>resaltaron</w:t>
      </w:r>
      <w:r w:rsidR="003972C5" w:rsidRPr="00574248">
        <w:rPr>
          <w:lang w:val="es-ES_tradnl"/>
        </w:rPr>
        <w:t xml:space="preserve"> </w:t>
      </w:r>
      <w:r w:rsidRPr="00574248">
        <w:rPr>
          <w:lang w:val="es-ES_tradnl"/>
        </w:rPr>
        <w:t xml:space="preserve">que la sentencia había ignorado los malos tratos sufridos por </w:t>
      </w:r>
      <w:r w:rsidR="00B32A9D">
        <w:rPr>
          <w:lang w:val="es-ES_tradnl"/>
        </w:rPr>
        <w:t>Rubén</w:t>
      </w:r>
      <w:r w:rsidRPr="00574248">
        <w:rPr>
          <w:lang w:val="es-ES_tradnl"/>
        </w:rPr>
        <w:t xml:space="preserve">, así como el deber de la administración de llevar a cabo ajustes razonables en el colegio público ordinario al que asistía. </w:t>
      </w:r>
      <w:r w:rsidR="003972C5">
        <w:rPr>
          <w:lang w:val="es-ES_tradnl"/>
        </w:rPr>
        <w:t>T</w:t>
      </w:r>
      <w:r w:rsidRPr="00574248">
        <w:rPr>
          <w:lang w:val="es-ES_tradnl"/>
        </w:rPr>
        <w:t xml:space="preserve">ambién alegaron que la sentencia había omitido la existencia de incongruencia entre el </w:t>
      </w:r>
      <w:r w:rsidR="00990C44">
        <w:rPr>
          <w:lang w:val="es-ES_tradnl"/>
        </w:rPr>
        <w:t xml:space="preserve">dictamen de escolarización </w:t>
      </w:r>
      <w:r w:rsidRPr="00574248">
        <w:rPr>
          <w:lang w:val="es-ES_tradnl"/>
        </w:rPr>
        <w:t xml:space="preserve">y el </w:t>
      </w:r>
      <w:r w:rsidR="00990C44">
        <w:rPr>
          <w:lang w:val="es-ES_tradnl"/>
        </w:rPr>
        <w:t xml:space="preserve">informe de la </w:t>
      </w:r>
      <w:r w:rsidRPr="00574248">
        <w:rPr>
          <w:lang w:val="es-ES_tradnl"/>
        </w:rPr>
        <w:t xml:space="preserve">trabajadora social. </w:t>
      </w:r>
      <w:r w:rsidR="00716AE9">
        <w:rPr>
          <w:lang w:val="es-ES_tradnl"/>
        </w:rPr>
        <w:t>Por último, alegaron que la sentencia había ignorado la prueba</w:t>
      </w:r>
      <w:r w:rsidR="00E65F0A">
        <w:rPr>
          <w:lang w:val="es-ES_tradnl"/>
        </w:rPr>
        <w:t xml:space="preserve"> pericial presentada por ellos: </w:t>
      </w:r>
      <w:r w:rsidR="00716AE9">
        <w:rPr>
          <w:lang w:val="es-ES_tradnl"/>
        </w:rPr>
        <w:t>e</w:t>
      </w:r>
      <w:r w:rsidR="003575FA">
        <w:rPr>
          <w:lang w:val="es-ES_tradnl"/>
        </w:rPr>
        <w:t>l informe del psicólogo clínico</w:t>
      </w:r>
      <w:r w:rsidR="00716AE9">
        <w:rPr>
          <w:lang w:val="es-ES_tradnl"/>
        </w:rPr>
        <w:t xml:space="preserve"> </w:t>
      </w:r>
      <w:proofErr w:type="spellStart"/>
      <w:r w:rsidR="003575FA">
        <w:rPr>
          <w:lang w:val="es-ES_tradnl"/>
        </w:rPr>
        <w:t>G.C</w:t>
      </w:r>
      <w:proofErr w:type="spellEnd"/>
      <w:r w:rsidR="003575FA">
        <w:rPr>
          <w:lang w:val="es-ES_tradnl"/>
        </w:rPr>
        <w:t>.</w:t>
      </w:r>
      <w:r w:rsidR="00C02CAC">
        <w:rPr>
          <w:lang w:val="es-ES_tradnl"/>
        </w:rPr>
        <w:t>,</w:t>
      </w:r>
      <w:r w:rsidR="003575FA">
        <w:rPr>
          <w:lang w:val="es-ES_tradnl"/>
        </w:rPr>
        <w:t xml:space="preserve"> </w:t>
      </w:r>
      <w:r w:rsidR="00176E50">
        <w:rPr>
          <w:lang w:val="es-ES_tradnl"/>
        </w:rPr>
        <w:t xml:space="preserve">el cual afirmaba que </w:t>
      </w:r>
      <w:r w:rsidR="00E65F0A">
        <w:rPr>
          <w:lang w:val="es-ES_tradnl"/>
        </w:rPr>
        <w:t>la causa de los desajustes en la escolarización de</w:t>
      </w:r>
      <w:r w:rsidR="00896689">
        <w:rPr>
          <w:lang w:val="es-ES_tradnl"/>
        </w:rPr>
        <w:t xml:space="preserve"> Rubén </w:t>
      </w:r>
      <w:r w:rsidR="00E65F0A">
        <w:rPr>
          <w:lang w:val="es-ES_tradnl"/>
        </w:rPr>
        <w:t>en el centro público ordinario se debió</w:t>
      </w:r>
      <w:r w:rsidR="00716AE9">
        <w:rPr>
          <w:lang w:val="es-ES_tradnl"/>
        </w:rPr>
        <w:t xml:space="preserve"> a la falta de apoyo educativo y al contexto discriminatorio y de hostilidad sufridos por </w:t>
      </w:r>
      <w:r w:rsidR="00896689">
        <w:rPr>
          <w:lang w:val="es-ES_tradnl"/>
        </w:rPr>
        <w:t>Rubén</w:t>
      </w:r>
      <w:r w:rsidR="00716AE9">
        <w:rPr>
          <w:lang w:val="es-ES_tradnl"/>
        </w:rPr>
        <w:t xml:space="preserve">. Reiteraron que, contrariamente a lo que dice la sentencia, </w:t>
      </w:r>
      <w:r w:rsidR="00E201F1">
        <w:rPr>
          <w:lang w:val="es-ES_tradnl"/>
        </w:rPr>
        <w:t>Rubén</w:t>
      </w:r>
      <w:r w:rsidR="002308EA">
        <w:rPr>
          <w:lang w:val="es-ES_tradnl"/>
        </w:rPr>
        <w:t xml:space="preserve"> no contó con la asistent</w:t>
      </w:r>
      <w:r w:rsidR="00C02CAC">
        <w:rPr>
          <w:lang w:val="es-ES_tradnl"/>
        </w:rPr>
        <w:t>a</w:t>
      </w:r>
      <w:r w:rsidR="002308EA">
        <w:rPr>
          <w:lang w:val="es-ES_tradnl"/>
        </w:rPr>
        <w:t xml:space="preserve"> técnico</w:t>
      </w:r>
      <w:r w:rsidR="00C02CAC">
        <w:rPr>
          <w:lang w:val="es-ES_tradnl"/>
        </w:rPr>
        <w:t>-</w:t>
      </w:r>
      <w:r w:rsidR="002308EA">
        <w:rPr>
          <w:lang w:val="es-ES_tradnl"/>
        </w:rPr>
        <w:t>educativa al comienzo del curso escolar 2010</w:t>
      </w:r>
      <w:r w:rsidR="00104F8F">
        <w:rPr>
          <w:lang w:val="es-ES_tradnl"/>
        </w:rPr>
        <w:t>/</w:t>
      </w:r>
      <w:r w:rsidR="002308EA">
        <w:rPr>
          <w:lang w:val="es-ES_tradnl"/>
        </w:rPr>
        <w:t>2011 y que después, según las palabras de la propia asistent</w:t>
      </w:r>
      <w:r w:rsidR="00C02CAC">
        <w:rPr>
          <w:lang w:val="es-ES_tradnl"/>
        </w:rPr>
        <w:t>a</w:t>
      </w:r>
      <w:r w:rsidR="002308EA">
        <w:rPr>
          <w:lang w:val="es-ES_tradnl"/>
        </w:rPr>
        <w:t>, el tutor “se desentendió y abandon</w:t>
      </w:r>
      <w:r w:rsidR="003972C5">
        <w:rPr>
          <w:lang w:val="es-ES_tradnl"/>
        </w:rPr>
        <w:t>ó</w:t>
      </w:r>
      <w:r w:rsidR="002308EA">
        <w:rPr>
          <w:lang w:val="es-ES_tradnl"/>
        </w:rPr>
        <w:t xml:space="preserve"> por completo la escolarización” de</w:t>
      </w:r>
      <w:r w:rsidR="009E31C6">
        <w:rPr>
          <w:lang w:val="es-ES_tradnl"/>
        </w:rPr>
        <w:t xml:space="preserve"> Rubén</w:t>
      </w:r>
      <w:r w:rsidR="002308EA">
        <w:rPr>
          <w:lang w:val="es-ES_tradnl"/>
        </w:rPr>
        <w:t>.</w:t>
      </w:r>
      <w:r w:rsidR="00C64C05">
        <w:rPr>
          <w:lang w:val="es-ES_tradnl"/>
        </w:rPr>
        <w:t xml:space="preserve"> En cuanto a la afirmación del </w:t>
      </w:r>
      <w:r w:rsidR="00C02CAC">
        <w:rPr>
          <w:lang w:val="es-ES_tradnl"/>
        </w:rPr>
        <w:t xml:space="preserve">Juzgado </w:t>
      </w:r>
      <w:r w:rsidR="00C64C05">
        <w:rPr>
          <w:lang w:val="es-ES_tradnl"/>
        </w:rPr>
        <w:t xml:space="preserve">de que </w:t>
      </w:r>
      <w:r w:rsidR="00E63B42">
        <w:rPr>
          <w:lang w:val="es-ES_tradnl"/>
        </w:rPr>
        <w:t>Rubén</w:t>
      </w:r>
      <w:r w:rsidR="00EB4E76">
        <w:rPr>
          <w:lang w:val="es-ES_tradnl"/>
        </w:rPr>
        <w:t xml:space="preserve"> </w:t>
      </w:r>
      <w:r w:rsidR="00C64C05">
        <w:rPr>
          <w:lang w:val="es-ES_tradnl"/>
        </w:rPr>
        <w:t xml:space="preserve">no podía ser escolarizado en un centro ordinario ya que los medios de los que dispone la Administración “son los que son y no otros”, </w:t>
      </w:r>
      <w:r w:rsidR="00E63B42">
        <w:rPr>
          <w:lang w:val="es-ES_tradnl"/>
        </w:rPr>
        <w:t>los autores</w:t>
      </w:r>
      <w:r w:rsidR="00C64C05">
        <w:rPr>
          <w:lang w:val="es-ES_tradnl"/>
        </w:rPr>
        <w:t xml:space="preserve"> </w:t>
      </w:r>
      <w:r w:rsidR="003575FA">
        <w:rPr>
          <w:lang w:val="es-ES_tradnl"/>
        </w:rPr>
        <w:t>aleg</w:t>
      </w:r>
      <w:r w:rsidR="00E63B42">
        <w:rPr>
          <w:lang w:val="es-ES_tradnl"/>
        </w:rPr>
        <w:t>aron</w:t>
      </w:r>
      <w:r w:rsidR="003575FA">
        <w:rPr>
          <w:lang w:val="es-ES_tradnl"/>
        </w:rPr>
        <w:t xml:space="preserve"> que dicha afirmación era</w:t>
      </w:r>
      <w:r w:rsidR="00C64C05">
        <w:rPr>
          <w:lang w:val="es-ES_tradnl"/>
        </w:rPr>
        <w:t xml:space="preserve"> “insostenible y </w:t>
      </w:r>
      <w:proofErr w:type="spellStart"/>
      <w:r w:rsidR="00C64C05">
        <w:rPr>
          <w:lang w:val="es-ES_tradnl"/>
        </w:rPr>
        <w:t>carec</w:t>
      </w:r>
      <w:proofErr w:type="spellEnd"/>
      <w:r w:rsidR="003575FA">
        <w:rPr>
          <w:lang w:val="es-ES_tradnl"/>
        </w:rPr>
        <w:t>[</w:t>
      </w:r>
      <w:proofErr w:type="spellStart"/>
      <w:r w:rsidR="003575FA">
        <w:rPr>
          <w:lang w:val="es-ES_tradnl"/>
        </w:rPr>
        <w:t>ía</w:t>
      </w:r>
      <w:proofErr w:type="spellEnd"/>
      <w:r w:rsidR="003575FA">
        <w:rPr>
          <w:lang w:val="es-ES_tradnl"/>
        </w:rPr>
        <w:t>]</w:t>
      </w:r>
      <w:r w:rsidR="00C64C05">
        <w:rPr>
          <w:lang w:val="es-ES_tradnl"/>
        </w:rPr>
        <w:t xml:space="preserve"> de todo fundamento”. Reitera</w:t>
      </w:r>
      <w:r w:rsidR="004503F9">
        <w:rPr>
          <w:lang w:val="es-ES_tradnl"/>
        </w:rPr>
        <w:t>ron</w:t>
      </w:r>
      <w:r w:rsidR="00C64C05">
        <w:rPr>
          <w:lang w:val="es-ES_tradnl"/>
        </w:rPr>
        <w:t xml:space="preserve"> que cont</w:t>
      </w:r>
      <w:r w:rsidR="003575FA">
        <w:rPr>
          <w:lang w:val="es-ES_tradnl"/>
        </w:rPr>
        <w:t>ó</w:t>
      </w:r>
      <w:r w:rsidR="00C64C05">
        <w:rPr>
          <w:lang w:val="es-ES_tradnl"/>
        </w:rPr>
        <w:t xml:space="preserve"> con los apoyos necesarios hasta que empezaron a producirse los hechos anteriormente narrados y que por las ca</w:t>
      </w:r>
      <w:r w:rsidR="003575FA">
        <w:rPr>
          <w:lang w:val="es-ES_tradnl"/>
        </w:rPr>
        <w:t xml:space="preserve">racterísticas que presentaba </w:t>
      </w:r>
      <w:r w:rsidR="00E201F1">
        <w:rPr>
          <w:lang w:val="es-ES_tradnl"/>
        </w:rPr>
        <w:t>Rubén</w:t>
      </w:r>
      <w:r w:rsidR="004503F9">
        <w:rPr>
          <w:lang w:val="es-ES_tradnl"/>
        </w:rPr>
        <w:t xml:space="preserve">, </w:t>
      </w:r>
      <w:r w:rsidR="003575FA">
        <w:rPr>
          <w:lang w:val="es-ES_tradnl"/>
        </w:rPr>
        <w:t>como niño con s</w:t>
      </w:r>
      <w:r w:rsidR="00C64C05">
        <w:rPr>
          <w:lang w:val="es-ES_tradnl"/>
        </w:rPr>
        <w:t>índrome de Down</w:t>
      </w:r>
      <w:r w:rsidR="004503F9">
        <w:rPr>
          <w:lang w:val="es-ES_tradnl"/>
        </w:rPr>
        <w:t>,</w:t>
      </w:r>
      <w:r w:rsidR="00C64C05">
        <w:rPr>
          <w:lang w:val="es-ES_tradnl"/>
        </w:rPr>
        <w:t xml:space="preserve"> esos medios </w:t>
      </w:r>
      <w:r w:rsidR="003575FA">
        <w:rPr>
          <w:lang w:val="es-ES_tradnl"/>
        </w:rPr>
        <w:t>se hubieran podido prestar</w:t>
      </w:r>
      <w:r w:rsidR="00C64C05">
        <w:rPr>
          <w:lang w:val="es-ES_tradnl"/>
        </w:rPr>
        <w:t xml:space="preserve"> perfectamente en un centro ordinario. Prueba de ello es que la inmensa mayoría de niños con </w:t>
      </w:r>
      <w:r w:rsidR="003575FA">
        <w:rPr>
          <w:lang w:val="es-ES_tradnl"/>
        </w:rPr>
        <w:t>s</w:t>
      </w:r>
      <w:r w:rsidR="00C64C05">
        <w:rPr>
          <w:lang w:val="es-ES_tradnl"/>
        </w:rPr>
        <w:t xml:space="preserve">índrome de Down están escolarizados en centros públicos ordinarios, como puso de manifiesto el </w:t>
      </w:r>
      <w:r w:rsidR="000F340C">
        <w:rPr>
          <w:lang w:val="es-ES_tradnl"/>
        </w:rPr>
        <w:t>perit</w:t>
      </w:r>
      <w:r w:rsidR="00C64C05">
        <w:rPr>
          <w:lang w:val="es-ES_tradnl"/>
        </w:rPr>
        <w:t xml:space="preserve">o </w:t>
      </w:r>
      <w:proofErr w:type="spellStart"/>
      <w:r w:rsidR="003575FA">
        <w:rPr>
          <w:lang w:val="es-ES_tradnl"/>
        </w:rPr>
        <w:t>G.C</w:t>
      </w:r>
      <w:proofErr w:type="spellEnd"/>
      <w:r w:rsidR="003575FA">
        <w:rPr>
          <w:lang w:val="es-ES_tradnl"/>
        </w:rPr>
        <w:t>.</w:t>
      </w:r>
      <w:r w:rsidR="00C64C05">
        <w:rPr>
          <w:lang w:val="es-ES_tradnl"/>
        </w:rPr>
        <w:t>, afirmación que n</w:t>
      </w:r>
      <w:r w:rsidR="003575FA">
        <w:rPr>
          <w:lang w:val="es-ES_tradnl"/>
        </w:rPr>
        <w:t>unca</w:t>
      </w:r>
      <w:r w:rsidR="00C64C05">
        <w:rPr>
          <w:lang w:val="es-ES_tradnl"/>
        </w:rPr>
        <w:t xml:space="preserve"> fue desmentida.</w:t>
      </w:r>
    </w:p>
    <w:p w14:paraId="28A51B3B" w14:textId="31309EA4" w:rsidR="00574248" w:rsidRPr="00574248" w:rsidRDefault="00574248" w:rsidP="00E46DEF">
      <w:pPr>
        <w:pStyle w:val="SingleTxtG"/>
        <w:rPr>
          <w:lang w:val="es-ES_tradnl"/>
        </w:rPr>
      </w:pPr>
      <w:r w:rsidRPr="00274586">
        <w:rPr>
          <w:lang w:val="es-ES_tradnl"/>
        </w:rPr>
        <w:t>2.</w:t>
      </w:r>
      <w:r w:rsidR="007E5A15" w:rsidRPr="00274586">
        <w:rPr>
          <w:lang w:val="es-ES_tradnl"/>
        </w:rPr>
        <w:t>13</w:t>
      </w:r>
      <w:r w:rsidRPr="00274586">
        <w:rPr>
          <w:lang w:val="es-ES_tradnl"/>
        </w:rPr>
        <w:tab/>
        <w:t xml:space="preserve">El 22 de marzo de 2013, el Tribunal Superior de Justicia de Castilla y León desestimó el recurso de apelación alegando que no existía violación del derecho a la </w:t>
      </w:r>
      <w:r w:rsidR="00834B64" w:rsidRPr="00274586">
        <w:rPr>
          <w:lang w:val="es-ES_tradnl"/>
        </w:rPr>
        <w:t>igualdad</w:t>
      </w:r>
      <w:r w:rsidRPr="00274586">
        <w:rPr>
          <w:lang w:val="es-ES_tradnl"/>
        </w:rPr>
        <w:t xml:space="preserve"> (art</w:t>
      </w:r>
      <w:r w:rsidR="00C02CAC">
        <w:rPr>
          <w:lang w:val="es-ES_tradnl"/>
        </w:rPr>
        <w:t>ículo</w:t>
      </w:r>
      <w:r w:rsidRPr="00274586">
        <w:rPr>
          <w:lang w:val="es-ES_tradnl"/>
        </w:rPr>
        <w:t xml:space="preserve"> 14 de la Constitución</w:t>
      </w:r>
      <w:r w:rsidR="00E77FF4" w:rsidRPr="00274586">
        <w:rPr>
          <w:lang w:val="es-ES_tradnl"/>
        </w:rPr>
        <w:t>)</w:t>
      </w:r>
      <w:r w:rsidRPr="00274586">
        <w:rPr>
          <w:lang w:val="es-ES_tradnl"/>
        </w:rPr>
        <w:t>, en relación</w:t>
      </w:r>
      <w:r w:rsidRPr="00574248">
        <w:rPr>
          <w:lang w:val="es-ES_tradnl"/>
        </w:rPr>
        <w:t xml:space="preserve"> con </w:t>
      </w:r>
      <w:r w:rsidR="002C4C68">
        <w:rPr>
          <w:lang w:val="es-ES_tradnl"/>
        </w:rPr>
        <w:t xml:space="preserve">el derecho a la educación y al </w:t>
      </w:r>
      <w:r w:rsidR="002C4C68" w:rsidRPr="002C4C68">
        <w:rPr>
          <w:lang w:val="es-ES_tradnl"/>
        </w:rPr>
        <w:t xml:space="preserve">principio sobre la dignidad de la persona </w:t>
      </w:r>
      <w:r w:rsidR="002C4C68">
        <w:rPr>
          <w:lang w:val="es-ES_tradnl"/>
        </w:rPr>
        <w:t>(</w:t>
      </w:r>
      <w:r w:rsidRPr="00574248">
        <w:rPr>
          <w:lang w:val="es-ES_tradnl"/>
        </w:rPr>
        <w:t>art</w:t>
      </w:r>
      <w:r w:rsidR="00C02CAC">
        <w:rPr>
          <w:lang w:val="es-ES_tradnl"/>
        </w:rPr>
        <w:t>ículo</w:t>
      </w:r>
      <w:r w:rsidRPr="00574248">
        <w:rPr>
          <w:lang w:val="es-ES_tradnl"/>
        </w:rPr>
        <w:t>s 27 y 10</w:t>
      </w:r>
      <w:r w:rsidR="00C02CAC">
        <w:rPr>
          <w:lang w:val="es-ES_tradnl"/>
        </w:rPr>
        <w:t>,</w:t>
      </w:r>
      <w:r w:rsidRPr="00574248">
        <w:rPr>
          <w:lang w:val="es-ES_tradnl"/>
        </w:rPr>
        <w:t xml:space="preserve"> párrafo</w:t>
      </w:r>
      <w:r w:rsidR="00C02CAC">
        <w:rPr>
          <w:lang w:val="es-ES_tradnl"/>
        </w:rPr>
        <w:t>,</w:t>
      </w:r>
      <w:r w:rsidRPr="00574248">
        <w:rPr>
          <w:lang w:val="es-ES_tradnl"/>
        </w:rPr>
        <w:t xml:space="preserve"> 1</w:t>
      </w:r>
      <w:r w:rsidR="00E77FF4">
        <w:rPr>
          <w:lang w:val="es-ES_tradnl"/>
        </w:rPr>
        <w:t xml:space="preserve"> de la Constitución</w:t>
      </w:r>
      <w:r w:rsidR="002C4C68">
        <w:rPr>
          <w:lang w:val="es-ES_tradnl"/>
        </w:rPr>
        <w:t>)</w:t>
      </w:r>
      <w:r w:rsidR="00CB2A34">
        <w:rPr>
          <w:rStyle w:val="Refdenotaalpie"/>
          <w:lang w:val="es-ES_tradnl"/>
        </w:rPr>
        <w:footnoteReference w:id="7"/>
      </w:r>
      <w:r w:rsidRPr="00574248">
        <w:rPr>
          <w:lang w:val="es-ES_tradnl"/>
        </w:rPr>
        <w:t>. El Tribunal consideró, en línea con la sentencia del Juzgado de lo Contencioso-Administrativo n</w:t>
      </w:r>
      <w:r w:rsidR="009408DA">
        <w:rPr>
          <w:lang w:val="es-ES_tradnl"/>
        </w:rPr>
        <w:t>úm.</w:t>
      </w:r>
      <w:r w:rsidRPr="00574248">
        <w:rPr>
          <w:lang w:val="es-ES_tradnl"/>
        </w:rPr>
        <w:t xml:space="preserve"> 1 de León, que no es válido realizar una comparación entre niños con discapacidad y niños sin discapacidad, y </w:t>
      </w:r>
      <w:proofErr w:type="gramStart"/>
      <w:r w:rsidRPr="00574248">
        <w:rPr>
          <w:lang w:val="es-ES_tradnl"/>
        </w:rPr>
        <w:t>que</w:t>
      </w:r>
      <w:proofErr w:type="gramEnd"/>
      <w:r w:rsidRPr="00574248">
        <w:rPr>
          <w:lang w:val="es-ES_tradnl"/>
        </w:rPr>
        <w:t xml:space="preserve"> por lo tanto, la matriculación de niños con discapacidad en centros educativos especiales no puede constituir discriminación.</w:t>
      </w:r>
      <w:r w:rsidR="00E10F2F" w:rsidRPr="00E10F2F">
        <w:t xml:space="preserve"> </w:t>
      </w:r>
      <w:r w:rsidR="00A0650C">
        <w:rPr>
          <w:lang w:val="es-ES_tradnl"/>
        </w:rPr>
        <w:t>La sentencia</w:t>
      </w:r>
      <w:r w:rsidR="00E10F2F" w:rsidRPr="00E10F2F">
        <w:rPr>
          <w:lang w:val="es-ES_tradnl"/>
        </w:rPr>
        <w:t xml:space="preserve"> del Tribunal</w:t>
      </w:r>
      <w:r w:rsidR="00A0650C">
        <w:rPr>
          <w:lang w:val="es-ES_tradnl"/>
        </w:rPr>
        <w:t xml:space="preserve"> reconoce que “</w:t>
      </w:r>
      <w:r w:rsidR="00690F69">
        <w:rPr>
          <w:lang w:val="es-ES_tradnl"/>
        </w:rPr>
        <w:t>[e]</w:t>
      </w:r>
      <w:proofErr w:type="spellStart"/>
      <w:r w:rsidR="00690F69">
        <w:rPr>
          <w:lang w:val="es-ES_tradnl"/>
        </w:rPr>
        <w:t>fectivamente</w:t>
      </w:r>
      <w:proofErr w:type="spellEnd"/>
      <w:r w:rsidR="00690F69">
        <w:rPr>
          <w:lang w:val="es-ES_tradnl"/>
        </w:rPr>
        <w:t xml:space="preserve">, </w:t>
      </w:r>
      <w:r w:rsidR="00A0650C">
        <w:rPr>
          <w:lang w:val="es-ES_tradnl"/>
        </w:rPr>
        <w:t xml:space="preserve">la situación en el centro en los </w:t>
      </w:r>
      <w:r w:rsidR="00A0650C">
        <w:rPr>
          <w:lang w:val="es-ES_tradnl"/>
        </w:rPr>
        <w:lastRenderedPageBreak/>
        <w:t>últimos a</w:t>
      </w:r>
      <w:r w:rsidR="00274586" w:rsidRPr="00574248">
        <w:rPr>
          <w:lang w:val="es-ES_tradnl"/>
        </w:rPr>
        <w:t>ñ</w:t>
      </w:r>
      <w:r w:rsidR="00A0650C">
        <w:rPr>
          <w:lang w:val="es-ES_tradnl"/>
        </w:rPr>
        <w:t>os no fue la adecuada a las necesidades del [</w:t>
      </w:r>
      <w:r w:rsidR="003D2518">
        <w:rPr>
          <w:lang w:val="es-ES_tradnl"/>
        </w:rPr>
        <w:t>Rubén</w:t>
      </w:r>
      <w:r w:rsidR="00A0650C">
        <w:rPr>
          <w:lang w:val="es-ES_tradnl"/>
        </w:rPr>
        <w:t xml:space="preserve">], parte del profesorado no tuvo una </w:t>
      </w:r>
      <w:r w:rsidR="00B16901">
        <w:rPr>
          <w:lang w:val="es-ES_tradnl"/>
        </w:rPr>
        <w:t>mínima</w:t>
      </w:r>
      <w:r w:rsidR="00A0650C">
        <w:rPr>
          <w:lang w:val="es-ES_tradnl"/>
        </w:rPr>
        <w:t xml:space="preserve"> actitud de colaboración, o si se prefiere, </w:t>
      </w:r>
      <w:r w:rsidR="00E10F2F" w:rsidRPr="00E10F2F">
        <w:rPr>
          <w:lang w:val="es-ES_tradnl"/>
        </w:rPr>
        <w:t xml:space="preserve">la reacción del centro no fue </w:t>
      </w:r>
      <w:r w:rsidR="00B16901">
        <w:rPr>
          <w:lang w:val="es-ES_tradnl"/>
        </w:rPr>
        <w:t xml:space="preserve">la </w:t>
      </w:r>
      <w:r w:rsidR="00E10F2F" w:rsidRPr="00E10F2F">
        <w:rPr>
          <w:lang w:val="es-ES_tradnl"/>
        </w:rPr>
        <w:t>inmediatamente exigible para con la actuación del profesorado</w:t>
      </w:r>
      <w:r w:rsidR="00B16901">
        <w:rPr>
          <w:lang w:val="es-ES_tradnl"/>
        </w:rPr>
        <w:t xml:space="preserve"> (asumiendo siquiera a efectos dial</w:t>
      </w:r>
      <w:r w:rsidR="00AE4C21">
        <w:rPr>
          <w:lang w:val="es-ES_tradnl"/>
        </w:rPr>
        <w:t>é</w:t>
      </w:r>
      <w:r w:rsidR="00B16901">
        <w:rPr>
          <w:lang w:val="es-ES_tradnl"/>
        </w:rPr>
        <w:t>cticos las grave</w:t>
      </w:r>
      <w:r w:rsidR="00274586">
        <w:rPr>
          <w:lang w:val="es-ES_tradnl"/>
        </w:rPr>
        <w:t>s</w:t>
      </w:r>
      <w:r w:rsidR="00B16901">
        <w:rPr>
          <w:lang w:val="es-ES_tradnl"/>
        </w:rPr>
        <w:t xml:space="preserve"> imputaciones dirigidas contra varios docentes […]), pudo haber incluso un funcionamiento anormal, pero ese era el clima del centro en el que se ubicaba la educación y asistencia del menor</w:t>
      </w:r>
      <w:r w:rsidR="00E10F2F" w:rsidRPr="00E10F2F">
        <w:rPr>
          <w:lang w:val="es-ES_tradnl"/>
        </w:rPr>
        <w:t>”</w:t>
      </w:r>
      <w:r w:rsidR="00690F69">
        <w:rPr>
          <w:lang w:val="es-ES_tradnl"/>
        </w:rPr>
        <w:t>.</w:t>
      </w:r>
      <w:r w:rsidR="00E10F2F" w:rsidRPr="00E10F2F">
        <w:rPr>
          <w:lang w:val="es-ES_tradnl"/>
        </w:rPr>
        <w:t xml:space="preserve"> No obstante, el Tribunal reiter</w:t>
      </w:r>
      <w:r w:rsidR="00AF69A2">
        <w:rPr>
          <w:lang w:val="es-ES_tradnl"/>
        </w:rPr>
        <w:t>ó</w:t>
      </w:r>
      <w:r w:rsidR="00E10F2F" w:rsidRPr="00E10F2F">
        <w:rPr>
          <w:lang w:val="es-ES_tradnl"/>
        </w:rPr>
        <w:t xml:space="preserve"> que la </w:t>
      </w:r>
      <w:r w:rsidR="00317C50">
        <w:rPr>
          <w:lang w:val="es-ES_tradnl"/>
        </w:rPr>
        <w:t>decisión</w:t>
      </w:r>
      <w:r w:rsidR="00AF69A2">
        <w:rPr>
          <w:lang w:val="es-ES_tradnl"/>
        </w:rPr>
        <w:t xml:space="preserve"> administrativa estaba</w:t>
      </w:r>
      <w:r w:rsidR="00E10F2F" w:rsidRPr="00E10F2F">
        <w:rPr>
          <w:lang w:val="es-ES_tradnl"/>
        </w:rPr>
        <w:t xml:space="preserve"> justificada en tanto que</w:t>
      </w:r>
      <w:r w:rsidR="00317C50">
        <w:rPr>
          <w:lang w:val="es-ES_tradnl"/>
        </w:rPr>
        <w:t xml:space="preserve">, como reflejado en los dos </w:t>
      </w:r>
      <w:r w:rsidR="009450EE">
        <w:rPr>
          <w:lang w:val="es-ES_tradnl"/>
        </w:rPr>
        <w:t>dictámenes de escolarización</w:t>
      </w:r>
      <w:r w:rsidR="00317C50">
        <w:rPr>
          <w:lang w:val="es-ES_tradnl"/>
        </w:rPr>
        <w:t xml:space="preserve"> de fecha</w:t>
      </w:r>
      <w:r w:rsidR="009450EE">
        <w:rPr>
          <w:lang w:val="es-ES_tradnl"/>
        </w:rPr>
        <w:t>s</w:t>
      </w:r>
      <w:r w:rsidR="00317C50">
        <w:rPr>
          <w:lang w:val="es-ES_tradnl"/>
        </w:rPr>
        <w:t xml:space="preserve"> 17 de diciembre de 2010 y de 21 de marzo de 2011, </w:t>
      </w:r>
      <w:r w:rsidR="00E10F2F" w:rsidRPr="00E10F2F">
        <w:rPr>
          <w:lang w:val="es-ES_tradnl"/>
        </w:rPr>
        <w:t>el menor demuestra “un retraso considerable en su desarrollo educativo y cognoscitivo</w:t>
      </w:r>
      <w:r w:rsidR="00317C50">
        <w:rPr>
          <w:lang w:val="es-ES_tradnl"/>
        </w:rPr>
        <w:t>, junto con unos problemas conductuales de especial relevancia, incluyendo brotes psicóticos con actuaciones disruptivas</w:t>
      </w:r>
      <w:r w:rsidR="00E10F2F" w:rsidRPr="00E10F2F">
        <w:rPr>
          <w:lang w:val="es-ES_tradnl"/>
        </w:rPr>
        <w:t>”</w:t>
      </w:r>
      <w:r w:rsidR="00317C50">
        <w:rPr>
          <w:lang w:val="es-ES_tradnl"/>
        </w:rPr>
        <w:t xml:space="preserve">. </w:t>
      </w:r>
      <w:r w:rsidR="00B042CA">
        <w:rPr>
          <w:lang w:val="es-ES_tradnl"/>
        </w:rPr>
        <w:t>Consider</w:t>
      </w:r>
      <w:r w:rsidR="00AF69A2">
        <w:rPr>
          <w:lang w:val="es-ES_tradnl"/>
        </w:rPr>
        <w:t>ó</w:t>
      </w:r>
      <w:r w:rsidR="00B042CA">
        <w:rPr>
          <w:lang w:val="es-ES_tradnl"/>
        </w:rPr>
        <w:t xml:space="preserve"> que el informe del </w:t>
      </w:r>
      <w:r w:rsidR="009450EE">
        <w:rPr>
          <w:lang w:val="es-ES_tradnl"/>
        </w:rPr>
        <w:t xml:space="preserve">perito </w:t>
      </w:r>
      <w:proofErr w:type="spellStart"/>
      <w:r w:rsidR="009450EE">
        <w:rPr>
          <w:lang w:val="es-ES_tradnl"/>
        </w:rPr>
        <w:t>G.C</w:t>
      </w:r>
      <w:proofErr w:type="spellEnd"/>
      <w:r w:rsidR="009450EE">
        <w:rPr>
          <w:lang w:val="es-ES_tradnl"/>
        </w:rPr>
        <w:t>.</w:t>
      </w:r>
      <w:r w:rsidR="00B042CA">
        <w:rPr>
          <w:lang w:val="es-ES_tradnl"/>
        </w:rPr>
        <w:t xml:space="preserve"> no </w:t>
      </w:r>
      <w:r w:rsidR="00AF69A2">
        <w:rPr>
          <w:lang w:val="es-ES_tradnl"/>
        </w:rPr>
        <w:t>ofrecía</w:t>
      </w:r>
      <w:r w:rsidR="00B042CA">
        <w:rPr>
          <w:lang w:val="es-ES_tradnl"/>
        </w:rPr>
        <w:t xml:space="preserve"> garantías de acierto e </w:t>
      </w:r>
      <w:r w:rsidR="00B042CA" w:rsidRPr="00F563BB">
        <w:t>independencia</w:t>
      </w:r>
      <w:r w:rsidR="00B042CA">
        <w:rPr>
          <w:lang w:val="es-ES_tradnl"/>
        </w:rPr>
        <w:t xml:space="preserve"> suficientes para </w:t>
      </w:r>
      <w:r w:rsidR="00AF69A2">
        <w:rPr>
          <w:lang w:val="es-ES_tradnl"/>
        </w:rPr>
        <w:t>desvirtuar</w:t>
      </w:r>
      <w:r w:rsidR="00B042CA">
        <w:rPr>
          <w:lang w:val="es-ES_tradnl"/>
        </w:rPr>
        <w:t xml:space="preserve"> los dos informes realizados por la </w:t>
      </w:r>
      <w:r w:rsidR="00AE4C21">
        <w:rPr>
          <w:lang w:val="es-ES_tradnl"/>
        </w:rPr>
        <w:t>A</w:t>
      </w:r>
      <w:r w:rsidR="00B042CA">
        <w:rPr>
          <w:lang w:val="es-ES_tradnl"/>
        </w:rPr>
        <w:t xml:space="preserve">dministración. </w:t>
      </w:r>
      <w:r w:rsidR="00AF69A2">
        <w:rPr>
          <w:lang w:val="es-ES_tradnl"/>
        </w:rPr>
        <w:t>Estimó</w:t>
      </w:r>
      <w:r w:rsidR="00317C50">
        <w:rPr>
          <w:lang w:val="es-ES_tradnl"/>
        </w:rPr>
        <w:t xml:space="preserve"> que</w:t>
      </w:r>
      <w:r w:rsidR="00E10F2F" w:rsidRPr="00E10F2F">
        <w:rPr>
          <w:lang w:val="es-ES_tradnl"/>
        </w:rPr>
        <w:t xml:space="preserve"> </w:t>
      </w:r>
      <w:r w:rsidR="003C6B50">
        <w:rPr>
          <w:lang w:val="es-ES_tradnl"/>
        </w:rPr>
        <w:t xml:space="preserve">las necesidades específicas de apoyo que requiere </w:t>
      </w:r>
      <w:r w:rsidR="003D2518">
        <w:rPr>
          <w:lang w:val="es-ES_tradnl"/>
        </w:rPr>
        <w:t>Rubén</w:t>
      </w:r>
      <w:r w:rsidR="004B6E99">
        <w:rPr>
          <w:lang w:val="es-ES_tradnl"/>
        </w:rPr>
        <w:t xml:space="preserve"> </w:t>
      </w:r>
      <w:r w:rsidR="003C6B50">
        <w:rPr>
          <w:lang w:val="es-ES_tradnl"/>
        </w:rPr>
        <w:t xml:space="preserve">son tanto de naturaleza educativas especiales como de modificación de su conducta. </w:t>
      </w:r>
      <w:r w:rsidR="00AF69A2">
        <w:rPr>
          <w:lang w:val="es-ES_tradnl"/>
        </w:rPr>
        <w:t>Según el Tribunal, e</w:t>
      </w:r>
      <w:r w:rsidR="003C6B50">
        <w:rPr>
          <w:lang w:val="es-ES_tradnl"/>
        </w:rPr>
        <w:t>sta circunstancia, unida a que tan solo en situaciones de trabajo individualizado con profesora</w:t>
      </w:r>
      <w:r w:rsidR="00AE4C21">
        <w:rPr>
          <w:lang w:val="es-ES_tradnl"/>
        </w:rPr>
        <w:t>s</w:t>
      </w:r>
      <w:r w:rsidR="003C6B50">
        <w:rPr>
          <w:lang w:val="es-ES_tradnl"/>
        </w:rPr>
        <w:t xml:space="preserve"> especialistas con larga relación temporal con </w:t>
      </w:r>
      <w:r w:rsidR="008B3017">
        <w:rPr>
          <w:lang w:val="es-ES_tradnl"/>
        </w:rPr>
        <w:t>Rubén</w:t>
      </w:r>
      <w:r w:rsidR="003C6B50">
        <w:rPr>
          <w:lang w:val="es-ES_tradnl"/>
        </w:rPr>
        <w:t xml:space="preserve"> el </w:t>
      </w:r>
      <w:r w:rsidR="008B3017">
        <w:rPr>
          <w:lang w:val="es-ES_tradnl"/>
        </w:rPr>
        <w:t xml:space="preserve">mismo </w:t>
      </w:r>
      <w:r w:rsidR="003C6B50">
        <w:rPr>
          <w:lang w:val="es-ES_tradnl"/>
        </w:rPr>
        <w:t xml:space="preserve">ofrece respuesta aceptable a las situaciones de aprendizaje, determina que </w:t>
      </w:r>
      <w:r w:rsidR="00AE4C21">
        <w:rPr>
          <w:lang w:val="es-ES_tradnl"/>
        </w:rPr>
        <w:t>e</w:t>
      </w:r>
      <w:r w:rsidR="00AF69A2">
        <w:rPr>
          <w:lang w:val="es-ES_tradnl"/>
        </w:rPr>
        <w:t>ste</w:t>
      </w:r>
      <w:r w:rsidR="003C6B50">
        <w:rPr>
          <w:lang w:val="es-ES_tradnl"/>
        </w:rPr>
        <w:t xml:space="preserve"> debería abandonar su enseñanza en un centro de educación ordinario. </w:t>
      </w:r>
    </w:p>
    <w:p w14:paraId="61126094" w14:textId="56A6D856" w:rsidR="008D15D8" w:rsidRDefault="00574248" w:rsidP="00F563BB">
      <w:pPr>
        <w:pStyle w:val="SingleTxtG"/>
        <w:rPr>
          <w:lang w:val="es-ES_tradnl"/>
        </w:rPr>
      </w:pPr>
      <w:r w:rsidRPr="00574248">
        <w:rPr>
          <w:lang w:val="es-ES_tradnl"/>
        </w:rPr>
        <w:t>2.</w:t>
      </w:r>
      <w:r w:rsidR="000132C9">
        <w:rPr>
          <w:lang w:val="es-ES_tradnl"/>
        </w:rPr>
        <w:t>14</w:t>
      </w:r>
      <w:r w:rsidRPr="00574248">
        <w:rPr>
          <w:lang w:val="es-ES_tradnl"/>
        </w:rPr>
        <w:tab/>
        <w:t>El 30 de abril de 2013, los padres de</w:t>
      </w:r>
      <w:r w:rsidR="00611964">
        <w:rPr>
          <w:lang w:val="es-ES_tradnl"/>
        </w:rPr>
        <w:t xml:space="preserve"> Rubén </w:t>
      </w:r>
      <w:r w:rsidRPr="00574248">
        <w:rPr>
          <w:lang w:val="es-ES_tradnl"/>
        </w:rPr>
        <w:t xml:space="preserve">interpusieron recurso de amparo ante el Tribunal Constitucional contra la sentencia del </w:t>
      </w:r>
      <w:r w:rsidR="00596D59" w:rsidRPr="00596D59">
        <w:rPr>
          <w:lang w:val="es-ES_tradnl"/>
        </w:rPr>
        <w:t xml:space="preserve">Tribunal Superior de Justicia de Castilla y </w:t>
      </w:r>
      <w:r w:rsidR="00596D59" w:rsidRPr="00864B9A">
        <w:rPr>
          <w:lang w:val="es-ES_tradnl"/>
        </w:rPr>
        <w:t>León</w:t>
      </w:r>
      <w:r w:rsidRPr="00864B9A">
        <w:rPr>
          <w:lang w:val="es-ES_tradnl"/>
        </w:rPr>
        <w:t>, alegando la violación del derecho a la educación (art</w:t>
      </w:r>
      <w:r w:rsidR="00AE4C21">
        <w:rPr>
          <w:lang w:val="es-ES_tradnl"/>
        </w:rPr>
        <w:t>ículo</w:t>
      </w:r>
      <w:r w:rsidRPr="00864B9A">
        <w:rPr>
          <w:lang w:val="es-ES_tradnl"/>
        </w:rPr>
        <w:t xml:space="preserve"> 27 de la Constitución), </w:t>
      </w:r>
      <w:proofErr w:type="gramStart"/>
      <w:r w:rsidRPr="00864B9A">
        <w:rPr>
          <w:lang w:val="es-ES_tradnl"/>
        </w:rPr>
        <w:t>conjuntamente con</w:t>
      </w:r>
      <w:proofErr w:type="gramEnd"/>
      <w:r w:rsidRPr="00864B9A">
        <w:rPr>
          <w:lang w:val="es-ES_tradnl"/>
        </w:rPr>
        <w:t xml:space="preserve"> el derecho a </w:t>
      </w:r>
      <w:r w:rsidR="00D2596F" w:rsidRPr="00864B9A">
        <w:rPr>
          <w:lang w:val="es-ES_tradnl"/>
        </w:rPr>
        <w:t>la igualdad</w:t>
      </w:r>
      <w:r w:rsidRPr="00864B9A">
        <w:rPr>
          <w:lang w:val="es-ES_tradnl"/>
        </w:rPr>
        <w:t xml:space="preserve"> (art</w:t>
      </w:r>
      <w:r w:rsidR="00AE4C21">
        <w:rPr>
          <w:lang w:val="es-ES_tradnl"/>
        </w:rPr>
        <w:t>ículo</w:t>
      </w:r>
      <w:r w:rsidRPr="00864B9A">
        <w:rPr>
          <w:lang w:val="es-ES_tradnl"/>
        </w:rPr>
        <w:t xml:space="preserve"> 14 de la Constitución).</w:t>
      </w:r>
      <w:r w:rsidR="00B042CA" w:rsidRPr="00864B9A">
        <w:rPr>
          <w:lang w:val="es-ES_tradnl"/>
        </w:rPr>
        <w:t xml:space="preserve"> E</w:t>
      </w:r>
      <w:r w:rsidR="008D15D8" w:rsidRPr="00864B9A">
        <w:rPr>
          <w:lang w:val="es-ES_tradnl"/>
        </w:rPr>
        <w:t xml:space="preserve">l 31 de marzo de 2014, el </w:t>
      </w:r>
      <w:r w:rsidR="00B042CA" w:rsidRPr="00864B9A">
        <w:rPr>
          <w:lang w:val="es-ES_tradnl"/>
        </w:rPr>
        <w:t>Tribunal Constitucional</w:t>
      </w:r>
      <w:r w:rsidR="008D15D8" w:rsidRPr="00864B9A">
        <w:rPr>
          <w:lang w:val="es-ES_tradnl"/>
        </w:rPr>
        <w:t xml:space="preserve"> notificó al autor la no admisión de su recurso dada la manifiesta ausencia de violación de un derecho fundamental</w:t>
      </w:r>
      <w:r w:rsidR="00B042CA" w:rsidRPr="00864B9A">
        <w:rPr>
          <w:lang w:val="es-ES_tradnl"/>
        </w:rPr>
        <w:t xml:space="preserve"> tutelable en amparo</w:t>
      </w:r>
      <w:r w:rsidR="00B042CA" w:rsidRPr="00864B9A">
        <w:rPr>
          <w:rStyle w:val="Refdenotaalpie"/>
          <w:lang w:val="es-ES_tradnl"/>
        </w:rPr>
        <w:footnoteReference w:id="8"/>
      </w:r>
      <w:r w:rsidR="00B042CA" w:rsidRPr="00864B9A">
        <w:rPr>
          <w:lang w:val="es-ES_tradnl"/>
        </w:rPr>
        <w:t>.</w:t>
      </w:r>
    </w:p>
    <w:p w14:paraId="190FE5CF" w14:textId="50238724" w:rsidR="00574248" w:rsidRPr="00574248" w:rsidRDefault="00E46DEF" w:rsidP="00F563BB">
      <w:pPr>
        <w:pStyle w:val="SingleTxtG"/>
        <w:rPr>
          <w:lang w:val="es-ES_tradnl"/>
        </w:rPr>
      </w:pPr>
      <w:r>
        <w:rPr>
          <w:lang w:val="es-ES_tradnl"/>
        </w:rPr>
        <w:t>2.15</w:t>
      </w:r>
      <w:r>
        <w:rPr>
          <w:lang w:val="es-ES_tradnl"/>
        </w:rPr>
        <w:tab/>
      </w:r>
      <w:r w:rsidR="00574248" w:rsidRPr="00574248">
        <w:rPr>
          <w:lang w:val="es-ES_tradnl"/>
        </w:rPr>
        <w:t xml:space="preserve">El 14 de mayo de 2013, los padres </w:t>
      </w:r>
      <w:r w:rsidR="00611964" w:rsidRPr="00611964">
        <w:rPr>
          <w:lang w:val="es-ES_tradnl"/>
        </w:rPr>
        <w:t xml:space="preserve">de Rubén </w:t>
      </w:r>
      <w:r w:rsidR="00AE4C21">
        <w:rPr>
          <w:lang w:val="es-ES_tradnl"/>
        </w:rPr>
        <w:t>inter</w:t>
      </w:r>
      <w:r w:rsidR="00574248" w:rsidRPr="00574248">
        <w:rPr>
          <w:lang w:val="es-ES_tradnl"/>
        </w:rPr>
        <w:t xml:space="preserve">pusieron una segunda denuncia ante la </w:t>
      </w:r>
      <w:r w:rsidR="006A4293" w:rsidRPr="006A4293">
        <w:rPr>
          <w:lang w:val="es-ES_tradnl"/>
        </w:rPr>
        <w:t xml:space="preserve">Fiscalía Provincial de León </w:t>
      </w:r>
      <w:r w:rsidR="00884111">
        <w:rPr>
          <w:lang w:val="es-ES_tradnl"/>
        </w:rPr>
        <w:t xml:space="preserve">sobre la discriminación y abusos sufridos por </w:t>
      </w:r>
      <w:r w:rsidR="002D17BC" w:rsidRPr="002D17BC">
        <w:rPr>
          <w:lang w:val="es-ES_tradnl"/>
        </w:rPr>
        <w:t>Rubén</w:t>
      </w:r>
      <w:r w:rsidR="004B6E99">
        <w:rPr>
          <w:lang w:val="es-ES_tradnl"/>
        </w:rPr>
        <w:t xml:space="preserve"> </w:t>
      </w:r>
      <w:r w:rsidR="00884111">
        <w:rPr>
          <w:lang w:val="es-ES_tradnl"/>
        </w:rPr>
        <w:t>en el centro escolar</w:t>
      </w:r>
      <w:r w:rsidR="00574248" w:rsidRPr="00574248">
        <w:rPr>
          <w:lang w:val="es-ES_tradnl"/>
        </w:rPr>
        <w:t>.</w:t>
      </w:r>
      <w:r w:rsidR="00884111">
        <w:rPr>
          <w:lang w:val="es-ES_tradnl"/>
        </w:rPr>
        <w:t xml:space="preserve"> La denuncia incluía como elemento nuevo la información reflejada en la sentencia del Tribunal Superior de Justicia de Castilla y León, en particular cuando recoge las declaraciones de las madres de otros</w:t>
      </w:r>
      <w:r w:rsidR="00884111" w:rsidRPr="00F563BB">
        <w:t xml:space="preserve"> </w:t>
      </w:r>
      <w:r w:rsidR="00884111">
        <w:rPr>
          <w:lang w:val="es-ES_tradnl"/>
        </w:rPr>
        <w:t>compañeros de</w:t>
      </w:r>
      <w:r w:rsidR="002D17BC">
        <w:rPr>
          <w:lang w:val="es-ES_tradnl"/>
        </w:rPr>
        <w:t xml:space="preserve"> </w:t>
      </w:r>
      <w:r w:rsidR="002D17BC" w:rsidRPr="002D17BC">
        <w:rPr>
          <w:lang w:val="es-ES_tradnl"/>
        </w:rPr>
        <w:t>Rubén</w:t>
      </w:r>
      <w:r w:rsidR="00884111">
        <w:rPr>
          <w:lang w:val="es-ES_tradnl"/>
        </w:rPr>
        <w:t xml:space="preserve">, y la afirmación del Tribunal según la cual “pudo haber incluso un funcionamiento anormal” en el centro escolar. </w:t>
      </w:r>
      <w:r w:rsidR="00574248" w:rsidRPr="00574248">
        <w:rPr>
          <w:lang w:val="es-ES_tradnl"/>
        </w:rPr>
        <w:t>El 8 de octubre de 2013, la Fiscalía acordó que la denuncia siguiera archivada, como se acordó en la decisión</w:t>
      </w:r>
      <w:r w:rsidR="00C22CEA">
        <w:rPr>
          <w:lang w:val="es-ES_tradnl"/>
        </w:rPr>
        <w:t xml:space="preserve"> </w:t>
      </w:r>
      <w:r w:rsidR="00EC2536" w:rsidRPr="00574248">
        <w:rPr>
          <w:lang w:val="es-ES_tradnl"/>
        </w:rPr>
        <w:t xml:space="preserve">previa </w:t>
      </w:r>
      <w:r w:rsidR="00C22CEA">
        <w:rPr>
          <w:lang w:val="es-ES_tradnl"/>
        </w:rPr>
        <w:t>por no apreciar en las conductas de los profesores o responsable educativos “la habitualidad en el trato degradante, intensidad sufic</w:t>
      </w:r>
      <w:r w:rsidR="00EC2536">
        <w:rPr>
          <w:lang w:val="es-ES_tradnl"/>
        </w:rPr>
        <w:t xml:space="preserve">iente o dolo especifico y </w:t>
      </w:r>
      <w:proofErr w:type="spellStart"/>
      <w:r w:rsidR="00EC2536">
        <w:rPr>
          <w:lang w:val="es-ES_tradnl"/>
        </w:rPr>
        <w:t>finalí</w:t>
      </w:r>
      <w:r w:rsidR="00C22CEA">
        <w:rPr>
          <w:lang w:val="es-ES_tradnl"/>
        </w:rPr>
        <w:t>stico</w:t>
      </w:r>
      <w:proofErr w:type="spellEnd"/>
      <w:r w:rsidR="00C22CEA">
        <w:rPr>
          <w:lang w:val="es-ES_tradnl"/>
        </w:rPr>
        <w:t xml:space="preserve"> de vejación, denigración o humillación</w:t>
      </w:r>
      <w:r w:rsidR="00104F8F">
        <w:rPr>
          <w:lang w:val="es-ES_tradnl"/>
        </w:rPr>
        <w:t>”</w:t>
      </w:r>
      <w:r w:rsidR="006A4293">
        <w:rPr>
          <w:rStyle w:val="Refdenotaalpie"/>
          <w:lang w:val="es-ES_tradnl"/>
        </w:rPr>
        <w:footnoteReference w:id="9"/>
      </w:r>
      <w:r w:rsidR="00C22CEA">
        <w:rPr>
          <w:lang w:val="es-ES_tradnl"/>
        </w:rPr>
        <w:t>.</w:t>
      </w:r>
    </w:p>
    <w:p w14:paraId="11EFFA16" w14:textId="339C6630" w:rsidR="00574248" w:rsidRPr="00574248" w:rsidRDefault="00574248" w:rsidP="00F563BB">
      <w:pPr>
        <w:pStyle w:val="SingleTxtG"/>
        <w:rPr>
          <w:lang w:val="es-ES_tradnl"/>
        </w:rPr>
      </w:pPr>
      <w:r w:rsidRPr="00574248">
        <w:rPr>
          <w:lang w:val="es-ES_tradnl"/>
        </w:rPr>
        <w:t>2.1</w:t>
      </w:r>
      <w:r w:rsidR="000132C9">
        <w:rPr>
          <w:lang w:val="es-ES_tradnl"/>
        </w:rPr>
        <w:t>6</w:t>
      </w:r>
      <w:r w:rsidRPr="00574248">
        <w:rPr>
          <w:lang w:val="es-ES_tradnl"/>
        </w:rPr>
        <w:tab/>
        <w:t xml:space="preserve">El </w:t>
      </w:r>
      <w:r w:rsidR="008C04B0">
        <w:rPr>
          <w:lang w:val="es-ES_tradnl"/>
        </w:rPr>
        <w:t>12 de mayo</w:t>
      </w:r>
      <w:r w:rsidRPr="00574248">
        <w:rPr>
          <w:lang w:val="es-ES_tradnl"/>
        </w:rPr>
        <w:t xml:space="preserve"> de 2014, la Fiscalía </w:t>
      </w:r>
      <w:r w:rsidR="003362AE">
        <w:rPr>
          <w:lang w:val="es-ES_tradnl"/>
        </w:rPr>
        <w:t>Provincial</w:t>
      </w:r>
      <w:r w:rsidRPr="00574248">
        <w:rPr>
          <w:lang w:val="es-ES_tradnl"/>
        </w:rPr>
        <w:t xml:space="preserve"> de León presentó una denuncia ante el Juzgado de Instrucción </w:t>
      </w:r>
      <w:r w:rsidR="00CD4F27">
        <w:rPr>
          <w:lang w:val="es-ES_tradnl"/>
        </w:rPr>
        <w:t>núm.</w:t>
      </w:r>
      <w:r w:rsidRPr="00574248">
        <w:rPr>
          <w:lang w:val="es-ES_tradnl"/>
        </w:rPr>
        <w:t xml:space="preserve"> 3 de León en contra de la decisión de los padres </w:t>
      </w:r>
      <w:r w:rsidR="00CB4A02" w:rsidRPr="00CB4A02">
        <w:rPr>
          <w:lang w:val="es-ES_tradnl"/>
        </w:rPr>
        <w:t xml:space="preserve">de Rubén </w:t>
      </w:r>
      <w:r w:rsidRPr="00574248">
        <w:rPr>
          <w:lang w:val="es-ES_tradnl"/>
        </w:rPr>
        <w:t xml:space="preserve">de no llevarlo al Centro Educativo Especial Nuestra Señora del Sagrado Corazón, </w:t>
      </w:r>
      <w:r w:rsidR="00E15FF5">
        <w:rPr>
          <w:lang w:val="es-ES_tradnl"/>
        </w:rPr>
        <w:t>donde se encontraba matriculado.</w:t>
      </w:r>
      <w:r w:rsidRPr="00574248">
        <w:rPr>
          <w:lang w:val="es-ES_tradnl"/>
        </w:rPr>
        <w:t xml:space="preserve"> La Fiscalía alegó </w:t>
      </w:r>
      <w:r w:rsidR="00E15FF5">
        <w:rPr>
          <w:lang w:val="es-ES_tradnl"/>
        </w:rPr>
        <w:t xml:space="preserve">que tal actuación era constitutiva de </w:t>
      </w:r>
      <w:r w:rsidRPr="00574248">
        <w:rPr>
          <w:lang w:val="es-ES_tradnl"/>
        </w:rPr>
        <w:t>un delito penal de abandono de familia.</w:t>
      </w:r>
      <w:r w:rsidR="007546B5">
        <w:rPr>
          <w:lang w:val="es-ES_tradnl"/>
        </w:rPr>
        <w:t xml:space="preserve"> El 23 de mayo de 2014 el Juzgado requirió a los acusados que prestaran fianza de 2.400 euros cada uno para asegurar las responsabilidades pecuniarias que, en definitiva, pudieran imponérseles, con el apercibimiento de que de no prestarla se les embargar</w:t>
      </w:r>
      <w:r w:rsidR="00104F8F">
        <w:rPr>
          <w:lang w:val="es-ES_tradnl"/>
        </w:rPr>
        <w:t>ía</w:t>
      </w:r>
      <w:r w:rsidR="007546B5">
        <w:rPr>
          <w:lang w:val="es-ES_tradnl"/>
        </w:rPr>
        <w:t xml:space="preserve">n </w:t>
      </w:r>
      <w:r w:rsidR="00274586">
        <w:rPr>
          <w:lang w:val="es-ES_tradnl"/>
        </w:rPr>
        <w:t xml:space="preserve">bienes </w:t>
      </w:r>
      <w:r w:rsidR="007546B5">
        <w:rPr>
          <w:lang w:val="es-ES_tradnl"/>
        </w:rPr>
        <w:t xml:space="preserve">en cantidad suficiente para asegurar la suma señalada. </w:t>
      </w:r>
      <w:r w:rsidR="009676B6" w:rsidRPr="00574248">
        <w:rPr>
          <w:lang w:val="es-ES_tradnl"/>
        </w:rPr>
        <w:t xml:space="preserve">El 20 de abril de 2015, el Juzgado de lo Penal </w:t>
      </w:r>
      <w:r w:rsidR="00CD4F27">
        <w:rPr>
          <w:lang w:val="es-ES_tradnl"/>
        </w:rPr>
        <w:t xml:space="preserve">núm. </w:t>
      </w:r>
      <w:r w:rsidR="00E15FF5">
        <w:rPr>
          <w:lang w:val="es-ES_tradnl"/>
        </w:rPr>
        <w:t xml:space="preserve">1 </w:t>
      </w:r>
      <w:r w:rsidR="009676B6" w:rsidRPr="00574248">
        <w:rPr>
          <w:lang w:val="es-ES_tradnl"/>
        </w:rPr>
        <w:t xml:space="preserve">de León absolvió a los padres </w:t>
      </w:r>
      <w:r w:rsidR="00731DDF" w:rsidRPr="00731DDF">
        <w:rPr>
          <w:lang w:val="es-ES_tradnl"/>
        </w:rPr>
        <w:t xml:space="preserve">de Rubén </w:t>
      </w:r>
      <w:r w:rsidR="009676B6" w:rsidRPr="00574248">
        <w:rPr>
          <w:lang w:val="es-ES_tradnl"/>
        </w:rPr>
        <w:t>por el delito de abandono de familia</w:t>
      </w:r>
      <w:r w:rsidR="00DF132D">
        <w:rPr>
          <w:rStyle w:val="Refdenotaalpie"/>
          <w:lang w:val="es-ES_tradnl"/>
        </w:rPr>
        <w:footnoteReference w:id="10"/>
      </w:r>
      <w:r w:rsidR="009676B6" w:rsidRPr="00574248">
        <w:rPr>
          <w:lang w:val="es-ES_tradnl"/>
        </w:rPr>
        <w:t>.</w:t>
      </w:r>
    </w:p>
    <w:p w14:paraId="3E59E733" w14:textId="07F0F844" w:rsidR="00574248" w:rsidRPr="00274586" w:rsidRDefault="00574248" w:rsidP="00F563BB">
      <w:pPr>
        <w:pStyle w:val="SingleTxtG"/>
        <w:rPr>
          <w:lang w:val="es-ES_tradnl"/>
        </w:rPr>
      </w:pPr>
      <w:r w:rsidRPr="00574248">
        <w:rPr>
          <w:lang w:val="es-ES_tradnl"/>
        </w:rPr>
        <w:t>2.1</w:t>
      </w:r>
      <w:r w:rsidR="000132C9">
        <w:rPr>
          <w:lang w:val="es-ES_tradnl"/>
        </w:rPr>
        <w:t>7</w:t>
      </w:r>
      <w:r w:rsidRPr="00574248">
        <w:rPr>
          <w:lang w:val="es-ES_tradnl"/>
        </w:rPr>
        <w:tab/>
        <w:t xml:space="preserve">El 26 de </w:t>
      </w:r>
      <w:r w:rsidRPr="00F563BB">
        <w:t>septiembre</w:t>
      </w:r>
      <w:r w:rsidRPr="00574248">
        <w:rPr>
          <w:lang w:val="es-ES_tradnl"/>
        </w:rPr>
        <w:t xml:space="preserve"> de 2014, los padres </w:t>
      </w:r>
      <w:r w:rsidR="007D087D" w:rsidRPr="007D087D">
        <w:rPr>
          <w:lang w:val="es-ES_tradnl"/>
        </w:rPr>
        <w:t xml:space="preserve">de Rubén </w:t>
      </w:r>
      <w:r w:rsidRPr="00574248">
        <w:rPr>
          <w:lang w:val="es-ES_tradnl"/>
        </w:rPr>
        <w:t xml:space="preserve">presentaron su caso </w:t>
      </w:r>
      <w:r w:rsidR="00CD4F27">
        <w:rPr>
          <w:lang w:val="es-ES_tradnl"/>
        </w:rPr>
        <w:t>ante e</w:t>
      </w:r>
      <w:r w:rsidRPr="00574248">
        <w:rPr>
          <w:lang w:val="es-ES_tradnl"/>
        </w:rPr>
        <w:t>l Tribun</w:t>
      </w:r>
      <w:r w:rsidR="006F20CA">
        <w:rPr>
          <w:lang w:val="es-ES_tradnl"/>
        </w:rPr>
        <w:t xml:space="preserve">al Europeo de Derechos Humanos, solicitando que se declare que ha existido violación del artículo 14 del </w:t>
      </w:r>
      <w:r w:rsidR="00CD4F27" w:rsidRPr="00022D66">
        <w:rPr>
          <w:lang w:val="es-ES_tradnl"/>
        </w:rPr>
        <w:t>Convenio Europeo para la Protección de los Derechos Humanos y de las Libertades Fundamentale</w:t>
      </w:r>
      <w:r w:rsidR="00926E7C">
        <w:rPr>
          <w:lang w:val="es-ES_tradnl"/>
        </w:rPr>
        <w:t>s</w:t>
      </w:r>
      <w:r w:rsidR="00CD4F27" w:rsidRPr="00022D66">
        <w:rPr>
          <w:lang w:val="es-ES_tradnl"/>
        </w:rPr>
        <w:t xml:space="preserve"> (</w:t>
      </w:r>
      <w:r w:rsidR="006F20CA">
        <w:rPr>
          <w:lang w:val="es-ES_tradnl"/>
        </w:rPr>
        <w:t>Conven</w:t>
      </w:r>
      <w:r w:rsidR="00AE4C21">
        <w:rPr>
          <w:lang w:val="es-ES_tradnl"/>
        </w:rPr>
        <w:t xml:space="preserve">io </w:t>
      </w:r>
      <w:r w:rsidR="006F20CA">
        <w:rPr>
          <w:lang w:val="es-ES_tradnl"/>
        </w:rPr>
        <w:t>Europeo de Derechos Humanos</w:t>
      </w:r>
      <w:r w:rsidR="00CD4F27">
        <w:rPr>
          <w:lang w:val="es-ES_tradnl"/>
        </w:rPr>
        <w:t>)</w:t>
      </w:r>
      <w:r w:rsidR="006F20CA">
        <w:rPr>
          <w:lang w:val="es-ES_tradnl"/>
        </w:rPr>
        <w:t xml:space="preserve"> y que se condene al Estado parte a abonar al autor a la suma de 100.000 euros en concepto de daños morales causados. </w:t>
      </w:r>
      <w:r w:rsidR="008062E3">
        <w:rPr>
          <w:lang w:val="es-ES_tradnl"/>
        </w:rPr>
        <w:t>El 13 de noviembre de 2014, l</w:t>
      </w:r>
      <w:r w:rsidRPr="00574248">
        <w:rPr>
          <w:lang w:val="es-ES_tradnl"/>
        </w:rPr>
        <w:t xml:space="preserve">a demanda fue declarada </w:t>
      </w:r>
      <w:r w:rsidRPr="00574248">
        <w:rPr>
          <w:lang w:val="es-ES_tradnl"/>
        </w:rPr>
        <w:lastRenderedPageBreak/>
        <w:t>inadmisible por una decisión</w:t>
      </w:r>
      <w:r w:rsidR="008062E3">
        <w:rPr>
          <w:lang w:val="es-ES_tradnl"/>
        </w:rPr>
        <w:t xml:space="preserve"> en formación de</w:t>
      </w:r>
      <w:r w:rsidRPr="00574248">
        <w:rPr>
          <w:lang w:val="es-ES_tradnl"/>
        </w:rPr>
        <w:t xml:space="preserve"> juez único, en aplicación de los artículos 34 y 35 del Convenio</w:t>
      </w:r>
      <w:r w:rsidRPr="00574248">
        <w:rPr>
          <w:vertAlign w:val="superscript"/>
          <w:lang w:val="es-ES_tradnl"/>
        </w:rPr>
        <w:footnoteReference w:id="11"/>
      </w:r>
      <w:r w:rsidRPr="00574248">
        <w:rPr>
          <w:lang w:val="es-ES_tradnl"/>
        </w:rPr>
        <w:t>.</w:t>
      </w:r>
    </w:p>
    <w:p w14:paraId="1A0754C4" w14:textId="77777777" w:rsidR="003212CC" w:rsidRDefault="003212CC" w:rsidP="005748CF">
      <w:pPr>
        <w:pStyle w:val="H23G"/>
      </w:pPr>
      <w:r>
        <w:tab/>
      </w:r>
      <w:r>
        <w:tab/>
      </w:r>
      <w:r w:rsidRPr="0029628D">
        <w:t xml:space="preserve">La </w:t>
      </w:r>
      <w:r w:rsidRPr="00F563BB">
        <w:t>denuncia</w:t>
      </w:r>
    </w:p>
    <w:p w14:paraId="264B9063" w14:textId="067E203F" w:rsidR="00574248" w:rsidRPr="00574248" w:rsidRDefault="00574248" w:rsidP="00F563BB">
      <w:pPr>
        <w:pStyle w:val="SingleTxtG"/>
        <w:rPr>
          <w:lang w:val="es-ES_tradnl"/>
        </w:rPr>
      </w:pPr>
      <w:r w:rsidRPr="00574248">
        <w:rPr>
          <w:lang w:val="es-ES_tradnl"/>
        </w:rPr>
        <w:t>3.1</w:t>
      </w:r>
      <w:r w:rsidRPr="00574248">
        <w:rPr>
          <w:lang w:val="es-ES_tradnl"/>
        </w:rPr>
        <w:tab/>
      </w:r>
      <w:r w:rsidR="00B95435">
        <w:rPr>
          <w:lang w:val="es-ES_tradnl"/>
        </w:rPr>
        <w:t>Los autores</w:t>
      </w:r>
      <w:r w:rsidRPr="00574248">
        <w:rPr>
          <w:lang w:val="es-ES_tradnl"/>
        </w:rPr>
        <w:t xml:space="preserve"> </w:t>
      </w:r>
      <w:r w:rsidR="002A6A96">
        <w:rPr>
          <w:lang w:val="es-ES_tradnl"/>
        </w:rPr>
        <w:t>alega</w:t>
      </w:r>
      <w:r w:rsidR="00B95435">
        <w:rPr>
          <w:lang w:val="es-ES_tradnl"/>
        </w:rPr>
        <w:t>n que Rubén es</w:t>
      </w:r>
      <w:r w:rsidRPr="00574248">
        <w:rPr>
          <w:lang w:val="es-ES_tradnl"/>
        </w:rPr>
        <w:t xml:space="preserve"> víctima de una violación del </w:t>
      </w:r>
      <w:r w:rsidR="006921BB" w:rsidRPr="00574248">
        <w:rPr>
          <w:lang w:val="es-ES_tradnl"/>
        </w:rPr>
        <w:t>art</w:t>
      </w:r>
      <w:r w:rsidR="006921BB">
        <w:rPr>
          <w:lang w:val="es-ES_tradnl"/>
        </w:rPr>
        <w:t>ículo</w:t>
      </w:r>
      <w:r w:rsidRPr="00574248">
        <w:rPr>
          <w:lang w:val="es-ES_tradnl"/>
        </w:rPr>
        <w:t xml:space="preserve"> 24 de la Convención, en tanto que la decisión administrativa de matricularlo en el Centro Educativo Especial Nuestra Señora del Sagrado Corazón </w:t>
      </w:r>
      <w:r w:rsidR="006921BB">
        <w:rPr>
          <w:lang w:val="es-ES_tradnl"/>
        </w:rPr>
        <w:t>produjo</w:t>
      </w:r>
      <w:r w:rsidRPr="00574248">
        <w:rPr>
          <w:lang w:val="es-ES_tradnl"/>
        </w:rPr>
        <w:t xml:space="preserve"> una violación de su derecho a la educación inclusiva.</w:t>
      </w:r>
      <w:r w:rsidR="0053635A">
        <w:rPr>
          <w:lang w:val="es-ES_tradnl"/>
        </w:rPr>
        <w:t xml:space="preserve"> </w:t>
      </w:r>
      <w:r w:rsidR="0053635A" w:rsidRPr="00F563BB">
        <w:t>Alega</w:t>
      </w:r>
      <w:r w:rsidR="00C92E5C" w:rsidRPr="00F563BB">
        <w:t>n</w:t>
      </w:r>
      <w:r w:rsidR="0053635A">
        <w:rPr>
          <w:lang w:val="es-ES_tradnl"/>
        </w:rPr>
        <w:t xml:space="preserve"> que los tribunales del Estado parte desestimaron su demanda fundamentándose esencialmente en los informes del equipo de orientación elaborados en estrecha colaboración y a instancias de los tutores que l</w:t>
      </w:r>
      <w:r w:rsidR="00EB5AF4">
        <w:rPr>
          <w:lang w:val="es-ES_tradnl"/>
        </w:rPr>
        <w:t>o</w:t>
      </w:r>
      <w:r w:rsidR="0053635A">
        <w:rPr>
          <w:lang w:val="es-ES_tradnl"/>
        </w:rPr>
        <w:t xml:space="preserve"> rechazaron, discriminaron, abandonaron y maltrataron sin respetar sus derechos y dignidad. Alega</w:t>
      </w:r>
      <w:r w:rsidR="00C92E5C">
        <w:rPr>
          <w:lang w:val="es-ES_tradnl"/>
        </w:rPr>
        <w:t>n</w:t>
      </w:r>
      <w:r w:rsidR="0053635A">
        <w:rPr>
          <w:lang w:val="es-ES_tradnl"/>
        </w:rPr>
        <w:t xml:space="preserve"> también que se vulner</w:t>
      </w:r>
      <w:r w:rsidR="0021320B" w:rsidRPr="0021320B">
        <w:rPr>
          <w:lang w:val="es-ES_tradnl"/>
        </w:rPr>
        <w:t>ó</w:t>
      </w:r>
      <w:r w:rsidR="0053635A">
        <w:rPr>
          <w:lang w:val="es-ES_tradnl"/>
        </w:rPr>
        <w:t xml:space="preserve"> el derecho de </w:t>
      </w:r>
      <w:r w:rsidR="00C92E5C">
        <w:rPr>
          <w:lang w:val="es-ES_tradnl"/>
        </w:rPr>
        <w:t>los</w:t>
      </w:r>
      <w:r w:rsidR="0053635A">
        <w:rPr>
          <w:lang w:val="es-ES_tradnl"/>
        </w:rPr>
        <w:t xml:space="preserve"> padre</w:t>
      </w:r>
      <w:r w:rsidR="006444B6">
        <w:rPr>
          <w:lang w:val="es-ES_tradnl"/>
        </w:rPr>
        <w:t>s</w:t>
      </w:r>
      <w:r w:rsidR="00C92E5C">
        <w:rPr>
          <w:lang w:val="es-ES_tradnl"/>
        </w:rPr>
        <w:t xml:space="preserve"> de Rubén</w:t>
      </w:r>
      <w:r w:rsidR="0053635A">
        <w:rPr>
          <w:lang w:val="es-ES_tradnl"/>
        </w:rPr>
        <w:t xml:space="preserve"> a ser parte activa y respetada en todo el proceso. </w:t>
      </w:r>
    </w:p>
    <w:p w14:paraId="3BEEEDBF" w14:textId="77777777" w:rsidR="00574248" w:rsidRPr="00574248" w:rsidRDefault="00574248" w:rsidP="00F563BB">
      <w:pPr>
        <w:pStyle w:val="SingleTxtG"/>
        <w:rPr>
          <w:lang w:val="es-ES_tradnl"/>
        </w:rPr>
      </w:pPr>
      <w:r w:rsidRPr="00574248">
        <w:rPr>
          <w:lang w:val="es-ES_tradnl"/>
        </w:rPr>
        <w:t>3.2</w:t>
      </w:r>
      <w:r w:rsidRPr="00574248">
        <w:rPr>
          <w:lang w:val="es-ES_tradnl"/>
        </w:rPr>
        <w:tab/>
      </w:r>
      <w:r w:rsidR="00B36230">
        <w:rPr>
          <w:lang w:val="es-ES_tradnl"/>
        </w:rPr>
        <w:t>Los autores s</w:t>
      </w:r>
      <w:r w:rsidRPr="00574248">
        <w:rPr>
          <w:lang w:val="es-ES_tradnl"/>
        </w:rPr>
        <w:t>ostiene</w:t>
      </w:r>
      <w:r w:rsidR="00B36230">
        <w:rPr>
          <w:lang w:val="es-ES_tradnl"/>
        </w:rPr>
        <w:t>n</w:t>
      </w:r>
      <w:r w:rsidRPr="00574248">
        <w:rPr>
          <w:lang w:val="es-ES_tradnl"/>
        </w:rPr>
        <w:t xml:space="preserve"> asimismo </w:t>
      </w:r>
      <w:r w:rsidR="002A6A96" w:rsidRPr="002A6A96">
        <w:rPr>
          <w:lang w:val="es-ES_tradnl"/>
        </w:rPr>
        <w:t xml:space="preserve">que el Estado parte ha violado </w:t>
      </w:r>
      <w:r w:rsidRPr="00574248">
        <w:rPr>
          <w:lang w:val="es-ES_tradnl"/>
        </w:rPr>
        <w:t xml:space="preserve">el </w:t>
      </w:r>
      <w:r w:rsidR="006921BB" w:rsidRPr="00574248">
        <w:rPr>
          <w:lang w:val="es-ES_tradnl"/>
        </w:rPr>
        <w:t>art</w:t>
      </w:r>
      <w:r w:rsidR="006921BB">
        <w:rPr>
          <w:lang w:val="es-ES_tradnl"/>
        </w:rPr>
        <w:t>ículo</w:t>
      </w:r>
      <w:r w:rsidR="006921BB" w:rsidRPr="00574248">
        <w:rPr>
          <w:lang w:val="es-ES_tradnl"/>
        </w:rPr>
        <w:t xml:space="preserve"> </w:t>
      </w:r>
      <w:r w:rsidRPr="00574248">
        <w:rPr>
          <w:lang w:val="es-ES_tradnl"/>
        </w:rPr>
        <w:t xml:space="preserve">23 de la Convención, en relación con la denuncia interpuesta por la Fiscalía </w:t>
      </w:r>
      <w:r w:rsidR="00182F7A">
        <w:rPr>
          <w:lang w:val="es-ES_tradnl"/>
        </w:rPr>
        <w:t>Provincial</w:t>
      </w:r>
      <w:r w:rsidRPr="00574248">
        <w:rPr>
          <w:lang w:val="es-ES_tradnl"/>
        </w:rPr>
        <w:t xml:space="preserve"> de León a </w:t>
      </w:r>
      <w:r w:rsidR="00640589">
        <w:rPr>
          <w:lang w:val="es-ES_tradnl"/>
        </w:rPr>
        <w:t>los</w:t>
      </w:r>
      <w:r w:rsidRPr="00574248">
        <w:rPr>
          <w:lang w:val="es-ES_tradnl"/>
        </w:rPr>
        <w:t xml:space="preserve"> padres</w:t>
      </w:r>
      <w:r w:rsidR="00640589">
        <w:rPr>
          <w:lang w:val="es-ES_tradnl"/>
        </w:rPr>
        <w:t xml:space="preserve"> de Rubén</w:t>
      </w:r>
      <w:r w:rsidRPr="00574248">
        <w:rPr>
          <w:lang w:val="es-ES_tradnl"/>
        </w:rPr>
        <w:t xml:space="preserve"> por abandono de familia</w:t>
      </w:r>
      <w:r w:rsidR="008B39A0">
        <w:rPr>
          <w:lang w:val="es-ES_tradnl"/>
        </w:rPr>
        <w:t xml:space="preserve">. </w:t>
      </w:r>
      <w:r w:rsidR="0061334D">
        <w:rPr>
          <w:lang w:val="es-ES_tradnl"/>
        </w:rPr>
        <w:t>A</w:t>
      </w:r>
      <w:r w:rsidR="008B39A0">
        <w:rPr>
          <w:lang w:val="es-ES_tradnl"/>
        </w:rPr>
        <w:t>firma</w:t>
      </w:r>
      <w:r w:rsidR="007A3A75">
        <w:rPr>
          <w:lang w:val="es-ES_tradnl"/>
        </w:rPr>
        <w:t>n</w:t>
      </w:r>
      <w:r w:rsidR="008B39A0">
        <w:rPr>
          <w:lang w:val="es-ES_tradnl"/>
        </w:rPr>
        <w:t xml:space="preserve"> que esto pudo</w:t>
      </w:r>
      <w:r w:rsidRPr="00574248">
        <w:rPr>
          <w:lang w:val="es-ES_tradnl"/>
        </w:rPr>
        <w:t xml:space="preserve"> haber conllevado la pérdida de patria potestad de </w:t>
      </w:r>
      <w:r w:rsidR="00640589">
        <w:rPr>
          <w:lang w:val="es-ES_tradnl"/>
        </w:rPr>
        <w:t>los</w:t>
      </w:r>
      <w:r w:rsidRPr="00574248">
        <w:rPr>
          <w:lang w:val="es-ES_tradnl"/>
        </w:rPr>
        <w:t xml:space="preserve"> padres</w:t>
      </w:r>
      <w:r w:rsidR="00640589" w:rsidRPr="00640589">
        <w:t xml:space="preserve"> </w:t>
      </w:r>
      <w:r w:rsidR="00640589" w:rsidRPr="00640589">
        <w:rPr>
          <w:lang w:val="es-ES_tradnl"/>
        </w:rPr>
        <w:t>de Rubén</w:t>
      </w:r>
      <w:r w:rsidR="0061334D">
        <w:rPr>
          <w:lang w:val="es-ES_tradnl"/>
        </w:rPr>
        <w:t>. Alega</w:t>
      </w:r>
      <w:r w:rsidR="007A3A75">
        <w:rPr>
          <w:lang w:val="es-ES_tradnl"/>
        </w:rPr>
        <w:t>n</w:t>
      </w:r>
      <w:r w:rsidR="0061334D">
        <w:rPr>
          <w:lang w:val="es-ES_tradnl"/>
        </w:rPr>
        <w:t xml:space="preserve"> que su derecho a la vida familiar </w:t>
      </w:r>
      <w:r w:rsidR="007A3A75">
        <w:rPr>
          <w:lang w:val="es-ES_tradnl"/>
        </w:rPr>
        <w:t>fue</w:t>
      </w:r>
      <w:r w:rsidR="0061334D">
        <w:rPr>
          <w:lang w:val="es-ES_tradnl"/>
        </w:rPr>
        <w:t xml:space="preserve"> vulnerado ya que </w:t>
      </w:r>
      <w:r w:rsidR="00A94F27">
        <w:rPr>
          <w:lang w:val="es-ES_tradnl"/>
        </w:rPr>
        <w:t xml:space="preserve">las decisiones de las autoridades del Estado parte implicaban que </w:t>
      </w:r>
      <w:r w:rsidR="007A3A75">
        <w:rPr>
          <w:lang w:val="es-ES_tradnl"/>
        </w:rPr>
        <w:t xml:space="preserve">Rubén </w:t>
      </w:r>
      <w:r w:rsidR="00A94F27">
        <w:rPr>
          <w:lang w:val="es-ES_tradnl"/>
        </w:rPr>
        <w:t>qued</w:t>
      </w:r>
      <w:r w:rsidR="00080D79">
        <w:rPr>
          <w:lang w:val="es-ES_tradnl"/>
        </w:rPr>
        <w:t>ara</w:t>
      </w:r>
      <w:r w:rsidR="00A94F27">
        <w:rPr>
          <w:lang w:val="es-ES_tradnl"/>
        </w:rPr>
        <w:t xml:space="preserve"> internado y separado de sus padres</w:t>
      </w:r>
      <w:r w:rsidR="0061334D">
        <w:rPr>
          <w:lang w:val="es-ES_tradnl"/>
        </w:rPr>
        <w:t xml:space="preserve">. </w:t>
      </w:r>
    </w:p>
    <w:p w14:paraId="582392AD" w14:textId="2FA7B621" w:rsidR="00574248" w:rsidRPr="00574248" w:rsidRDefault="00574248" w:rsidP="00F563BB">
      <w:pPr>
        <w:pStyle w:val="SingleTxtG"/>
        <w:rPr>
          <w:lang w:val="es-ES_tradnl"/>
        </w:rPr>
      </w:pPr>
      <w:r w:rsidRPr="00574248">
        <w:rPr>
          <w:lang w:val="es-ES_tradnl"/>
        </w:rPr>
        <w:t>3.3</w:t>
      </w:r>
      <w:r w:rsidRPr="00574248">
        <w:rPr>
          <w:lang w:val="es-ES_tradnl"/>
        </w:rPr>
        <w:tab/>
      </w:r>
      <w:r w:rsidR="00813F14">
        <w:rPr>
          <w:lang w:val="es-ES_tradnl"/>
        </w:rPr>
        <w:t>Los autores</w:t>
      </w:r>
      <w:r w:rsidR="00EA6660">
        <w:rPr>
          <w:lang w:val="es-ES_tradnl"/>
        </w:rPr>
        <w:t xml:space="preserve"> a</w:t>
      </w:r>
      <w:r w:rsidR="000E2DB2" w:rsidRPr="000E2DB2">
        <w:rPr>
          <w:lang w:val="es-ES_tradnl"/>
        </w:rPr>
        <w:t>lega</w:t>
      </w:r>
      <w:r w:rsidR="00813F14">
        <w:rPr>
          <w:lang w:val="es-ES_tradnl"/>
        </w:rPr>
        <w:t>n</w:t>
      </w:r>
      <w:r w:rsidR="000E2DB2" w:rsidRPr="000E2DB2">
        <w:rPr>
          <w:lang w:val="es-ES_tradnl"/>
        </w:rPr>
        <w:t xml:space="preserve"> también </w:t>
      </w:r>
      <w:r w:rsidR="00813F14">
        <w:rPr>
          <w:lang w:val="es-ES_tradnl"/>
        </w:rPr>
        <w:t>que Rubén es</w:t>
      </w:r>
      <w:r w:rsidR="000E2DB2" w:rsidRPr="000E2DB2">
        <w:rPr>
          <w:lang w:val="es-ES_tradnl"/>
        </w:rPr>
        <w:t xml:space="preserve"> víctima de una violación del artículo </w:t>
      </w:r>
      <w:r w:rsidRPr="00574248">
        <w:rPr>
          <w:lang w:val="es-ES_tradnl"/>
        </w:rPr>
        <w:t>7, en tanto que el Estado</w:t>
      </w:r>
      <w:r w:rsidR="000E2DB2">
        <w:rPr>
          <w:lang w:val="es-ES_tradnl"/>
        </w:rPr>
        <w:t xml:space="preserve"> parte</w:t>
      </w:r>
      <w:r w:rsidRPr="00574248">
        <w:rPr>
          <w:lang w:val="es-ES_tradnl"/>
        </w:rPr>
        <w:t xml:space="preserve"> no ha tomado las medidas necesarias para garantizar</w:t>
      </w:r>
      <w:r w:rsidR="000E2DB2">
        <w:rPr>
          <w:lang w:val="es-ES_tradnl"/>
        </w:rPr>
        <w:t>le</w:t>
      </w:r>
      <w:r w:rsidRPr="00574248">
        <w:rPr>
          <w:lang w:val="es-ES_tradnl"/>
        </w:rPr>
        <w:t xml:space="preserve"> </w:t>
      </w:r>
      <w:r w:rsidR="000E2DB2">
        <w:rPr>
          <w:lang w:val="es-ES_tradnl"/>
        </w:rPr>
        <w:t xml:space="preserve">el disfrute de todos </w:t>
      </w:r>
      <w:r w:rsidRPr="00574248">
        <w:rPr>
          <w:lang w:val="es-ES_tradnl"/>
        </w:rPr>
        <w:t>los derechos humanos y libertades fundamentales en igualdad de condiciones con los demás niños y niñas.</w:t>
      </w:r>
    </w:p>
    <w:p w14:paraId="67BECBF7" w14:textId="3FC91D40" w:rsidR="00574248" w:rsidRPr="00574248" w:rsidRDefault="00574248" w:rsidP="00F563BB">
      <w:pPr>
        <w:pStyle w:val="SingleTxtG"/>
        <w:rPr>
          <w:lang w:val="es-ES_tradnl"/>
        </w:rPr>
      </w:pPr>
      <w:r w:rsidRPr="00574248">
        <w:rPr>
          <w:lang w:val="es-ES_tradnl"/>
        </w:rPr>
        <w:t>3.4</w:t>
      </w:r>
      <w:r w:rsidRPr="00574248">
        <w:rPr>
          <w:lang w:val="es-ES_tradnl"/>
        </w:rPr>
        <w:tab/>
      </w:r>
      <w:r w:rsidR="000C53ED">
        <w:rPr>
          <w:lang w:val="es-ES_tradnl"/>
        </w:rPr>
        <w:t>A</w:t>
      </w:r>
      <w:r w:rsidRPr="00574248">
        <w:rPr>
          <w:lang w:val="es-ES_tradnl"/>
        </w:rPr>
        <w:t>demás</w:t>
      </w:r>
      <w:r w:rsidR="000C53ED">
        <w:rPr>
          <w:lang w:val="es-ES_tradnl"/>
        </w:rPr>
        <w:t xml:space="preserve">, </w:t>
      </w:r>
      <w:r w:rsidR="00EA6660">
        <w:rPr>
          <w:lang w:val="es-ES_tradnl"/>
        </w:rPr>
        <w:t>los autores</w:t>
      </w:r>
      <w:r w:rsidR="000C53ED">
        <w:rPr>
          <w:lang w:val="es-ES_tradnl"/>
        </w:rPr>
        <w:t xml:space="preserve"> alega</w:t>
      </w:r>
      <w:r w:rsidR="00EA6660">
        <w:rPr>
          <w:lang w:val="es-ES_tradnl"/>
        </w:rPr>
        <w:t>n</w:t>
      </w:r>
      <w:r w:rsidRPr="00574248">
        <w:rPr>
          <w:lang w:val="es-ES_tradnl"/>
        </w:rPr>
        <w:t xml:space="preserve"> que se ha producido una violación del </w:t>
      </w:r>
      <w:r w:rsidR="00E2659F" w:rsidRPr="00574248">
        <w:rPr>
          <w:lang w:val="es-ES_tradnl"/>
        </w:rPr>
        <w:t>a</w:t>
      </w:r>
      <w:r w:rsidR="00E2659F">
        <w:rPr>
          <w:lang w:val="es-ES_tradnl"/>
        </w:rPr>
        <w:t>rtículo</w:t>
      </w:r>
      <w:r w:rsidRPr="00574248">
        <w:rPr>
          <w:lang w:val="es-ES_tradnl"/>
        </w:rPr>
        <w:t xml:space="preserve"> 13 de la Convención</w:t>
      </w:r>
      <w:r w:rsidR="00E2659F">
        <w:rPr>
          <w:lang w:val="es-ES_tradnl"/>
        </w:rPr>
        <w:t xml:space="preserve"> ya que </w:t>
      </w:r>
      <w:r w:rsidRPr="00574248">
        <w:rPr>
          <w:lang w:val="es-ES_tradnl"/>
        </w:rPr>
        <w:t>ninguna sentencia, resolución o decreto</w:t>
      </w:r>
      <w:r w:rsidR="00E2659F">
        <w:rPr>
          <w:lang w:val="es-ES_tradnl"/>
        </w:rPr>
        <w:t xml:space="preserve"> emitido por las autoridades del Estado parte durante el proceso interno ha </w:t>
      </w:r>
      <w:r w:rsidR="00A94F27">
        <w:rPr>
          <w:lang w:val="es-ES_tradnl"/>
        </w:rPr>
        <w:t>mencionado</w:t>
      </w:r>
      <w:r w:rsidRPr="00574248">
        <w:rPr>
          <w:lang w:val="es-ES_tradnl"/>
        </w:rPr>
        <w:t xml:space="preserve"> la Convención y </w:t>
      </w:r>
      <w:r w:rsidR="00A94F27">
        <w:rPr>
          <w:lang w:val="es-ES_tradnl"/>
        </w:rPr>
        <w:t>e</w:t>
      </w:r>
      <w:r w:rsidRPr="00574248">
        <w:rPr>
          <w:lang w:val="es-ES_tradnl"/>
        </w:rPr>
        <w:t>l derecho a la educación inclusiva</w:t>
      </w:r>
      <w:r w:rsidR="00A94F27">
        <w:rPr>
          <w:lang w:val="es-ES_tradnl"/>
        </w:rPr>
        <w:t>,</w:t>
      </w:r>
      <w:r w:rsidR="00E2659F">
        <w:rPr>
          <w:lang w:val="es-ES_tradnl"/>
        </w:rPr>
        <w:t xml:space="preserve"> </w:t>
      </w:r>
      <w:r w:rsidR="00A94F27">
        <w:rPr>
          <w:lang w:val="es-ES_tradnl"/>
        </w:rPr>
        <w:t xml:space="preserve">mientras </w:t>
      </w:r>
      <w:r w:rsidR="00EB5AF4">
        <w:rPr>
          <w:lang w:val="es-ES_tradnl"/>
        </w:rPr>
        <w:t xml:space="preserve">que </w:t>
      </w:r>
      <w:r w:rsidR="00A94F27">
        <w:rPr>
          <w:lang w:val="es-ES_tradnl"/>
        </w:rPr>
        <w:t xml:space="preserve">los autores hicieron referencia a los mismos en todos </w:t>
      </w:r>
      <w:r w:rsidR="00E2659F">
        <w:rPr>
          <w:lang w:val="es-ES_tradnl"/>
        </w:rPr>
        <w:t>sus escritos</w:t>
      </w:r>
      <w:r w:rsidR="00A94F27">
        <w:rPr>
          <w:lang w:val="es-ES_tradnl"/>
        </w:rPr>
        <w:t>.</w:t>
      </w:r>
    </w:p>
    <w:p w14:paraId="1DA3A9C2" w14:textId="068C7285" w:rsidR="00574248" w:rsidRPr="00B7028D" w:rsidRDefault="00574248" w:rsidP="00F563BB">
      <w:pPr>
        <w:pStyle w:val="SingleTxtG"/>
        <w:rPr>
          <w:color w:val="FF0000"/>
          <w:lang w:val="es-ES_tradnl"/>
        </w:rPr>
      </w:pPr>
      <w:r w:rsidRPr="00574248">
        <w:rPr>
          <w:lang w:val="es-ES_tradnl"/>
        </w:rPr>
        <w:t>3.5</w:t>
      </w:r>
      <w:r w:rsidRPr="00574248">
        <w:rPr>
          <w:lang w:val="es-ES_tradnl"/>
        </w:rPr>
        <w:tab/>
      </w:r>
      <w:r w:rsidR="00374990">
        <w:rPr>
          <w:lang w:val="es-ES_tradnl"/>
        </w:rPr>
        <w:t>Los autores</w:t>
      </w:r>
      <w:r w:rsidR="00A94F27">
        <w:rPr>
          <w:lang w:val="es-ES_tradnl"/>
        </w:rPr>
        <w:t xml:space="preserve"> s</w:t>
      </w:r>
      <w:r w:rsidRPr="00574248">
        <w:rPr>
          <w:lang w:val="es-ES_tradnl"/>
        </w:rPr>
        <w:t>ostiene</w:t>
      </w:r>
      <w:r w:rsidR="00374990">
        <w:rPr>
          <w:lang w:val="es-ES_tradnl"/>
        </w:rPr>
        <w:t>n</w:t>
      </w:r>
      <w:r w:rsidRPr="00574248">
        <w:rPr>
          <w:lang w:val="es-ES_tradnl"/>
        </w:rPr>
        <w:t xml:space="preserve"> asimismo que </w:t>
      </w:r>
      <w:r w:rsidR="00374990">
        <w:rPr>
          <w:lang w:val="es-ES_tradnl"/>
        </w:rPr>
        <w:t xml:space="preserve">Rubén </w:t>
      </w:r>
      <w:r w:rsidRPr="00574248">
        <w:rPr>
          <w:lang w:val="es-ES_tradnl"/>
        </w:rPr>
        <w:t>ha sido v</w:t>
      </w:r>
      <w:r w:rsidR="003231EA">
        <w:rPr>
          <w:lang w:val="es-ES_tradnl"/>
        </w:rPr>
        <w:t>íctima de una violación del artículo</w:t>
      </w:r>
      <w:r w:rsidRPr="00574248">
        <w:rPr>
          <w:lang w:val="es-ES_tradnl"/>
        </w:rPr>
        <w:t xml:space="preserve"> 15</w:t>
      </w:r>
      <w:r w:rsidR="003231EA">
        <w:rPr>
          <w:lang w:val="es-ES_tradnl"/>
        </w:rPr>
        <w:t>,</w:t>
      </w:r>
      <w:r w:rsidRPr="00574248">
        <w:rPr>
          <w:lang w:val="es-ES_tradnl"/>
        </w:rPr>
        <w:t xml:space="preserve"> leído </w:t>
      </w:r>
      <w:proofErr w:type="gramStart"/>
      <w:r w:rsidRPr="00574248">
        <w:rPr>
          <w:lang w:val="es-ES_tradnl"/>
        </w:rPr>
        <w:t>conjuntamente con</w:t>
      </w:r>
      <w:proofErr w:type="gramEnd"/>
      <w:r w:rsidRPr="00574248">
        <w:rPr>
          <w:lang w:val="es-ES_tradnl"/>
        </w:rPr>
        <w:t xml:space="preserve"> </w:t>
      </w:r>
      <w:r w:rsidR="003231EA">
        <w:rPr>
          <w:lang w:val="es-ES_tradnl"/>
        </w:rPr>
        <w:t>el artículo 1</w:t>
      </w:r>
      <w:r w:rsidRPr="00574248">
        <w:rPr>
          <w:lang w:val="es-ES_tradnl"/>
        </w:rPr>
        <w:t>7, por el rechazo, discriminación, abandono y maltrato sufridos en los cursos académicos 2009/</w:t>
      </w:r>
      <w:r w:rsidR="00EB5AF4">
        <w:rPr>
          <w:lang w:val="es-ES_tradnl"/>
        </w:rPr>
        <w:t>20</w:t>
      </w:r>
      <w:r w:rsidRPr="00574248">
        <w:rPr>
          <w:lang w:val="es-ES_tradnl"/>
        </w:rPr>
        <w:t>10 y 2010/</w:t>
      </w:r>
      <w:r w:rsidR="00EB5AF4">
        <w:rPr>
          <w:lang w:val="es-ES_tradnl"/>
        </w:rPr>
        <w:t>20</w:t>
      </w:r>
      <w:r w:rsidRPr="00574248">
        <w:rPr>
          <w:lang w:val="es-ES_tradnl"/>
        </w:rPr>
        <w:t xml:space="preserve">11 en el Colegio Público Ordinario Antonio </w:t>
      </w:r>
      <w:r w:rsidRPr="001538DD">
        <w:rPr>
          <w:lang w:val="es-ES_tradnl"/>
        </w:rPr>
        <w:t xml:space="preserve">González de Lama de León. </w:t>
      </w:r>
      <w:r w:rsidR="00B7028D" w:rsidRPr="001538DD">
        <w:rPr>
          <w:lang w:val="es-ES_tradnl"/>
        </w:rPr>
        <w:t>Añade</w:t>
      </w:r>
      <w:r w:rsidR="00374990">
        <w:rPr>
          <w:lang w:val="es-ES_tradnl"/>
        </w:rPr>
        <w:t>n</w:t>
      </w:r>
      <w:r w:rsidR="00B7028D" w:rsidRPr="001538DD">
        <w:rPr>
          <w:lang w:val="es-ES_tradnl"/>
        </w:rPr>
        <w:t xml:space="preserve"> que el </w:t>
      </w:r>
      <w:r w:rsidR="003231EA" w:rsidRPr="001538DD">
        <w:rPr>
          <w:lang w:val="es-ES_tradnl"/>
        </w:rPr>
        <w:t xml:space="preserve">maltrato que </w:t>
      </w:r>
      <w:r w:rsidR="00B7028D" w:rsidRPr="001538DD">
        <w:rPr>
          <w:lang w:val="es-ES_tradnl"/>
        </w:rPr>
        <w:t>sufrió</w:t>
      </w:r>
      <w:r w:rsidR="003231EA" w:rsidRPr="001538DD">
        <w:rPr>
          <w:lang w:val="es-ES_tradnl"/>
        </w:rPr>
        <w:t xml:space="preserve"> </w:t>
      </w:r>
      <w:r w:rsidR="00374990">
        <w:rPr>
          <w:lang w:val="es-ES_tradnl"/>
        </w:rPr>
        <w:t xml:space="preserve">Rubén </w:t>
      </w:r>
      <w:r w:rsidR="003231EA" w:rsidRPr="001538DD">
        <w:rPr>
          <w:lang w:val="es-ES_tradnl"/>
        </w:rPr>
        <w:t xml:space="preserve">por parte de funcionarios educativos </w:t>
      </w:r>
      <w:r w:rsidR="00B7028D" w:rsidRPr="001538DD">
        <w:rPr>
          <w:lang w:val="es-ES_tradnl"/>
        </w:rPr>
        <w:t xml:space="preserve">puso en peligro </w:t>
      </w:r>
      <w:r w:rsidR="003231EA" w:rsidRPr="001538DD">
        <w:rPr>
          <w:lang w:val="es-ES_tradnl"/>
        </w:rPr>
        <w:t>su integridad personal</w:t>
      </w:r>
      <w:r w:rsidR="00B7028D" w:rsidRPr="001538DD">
        <w:rPr>
          <w:lang w:val="es-ES_tradnl"/>
        </w:rPr>
        <w:t>. Alega que la Fiscalía Provincial de León, a la que denunciaron en dos ocasiones los hechos</w:t>
      </w:r>
      <w:r w:rsidR="0053635A" w:rsidRPr="001538DD">
        <w:rPr>
          <w:lang w:val="es-ES_tradnl"/>
        </w:rPr>
        <w:t xml:space="preserve">, nunca quiso reunirse con los padres </w:t>
      </w:r>
      <w:r w:rsidR="00374990" w:rsidRPr="00374990">
        <w:rPr>
          <w:lang w:val="es-ES_tradnl"/>
        </w:rPr>
        <w:t>de Rubén</w:t>
      </w:r>
      <w:r w:rsidR="001538DD" w:rsidRPr="001538DD">
        <w:rPr>
          <w:lang w:val="es-ES_tradnl"/>
        </w:rPr>
        <w:t>, ignoró l</w:t>
      </w:r>
      <w:r w:rsidR="00B7028D" w:rsidRPr="001538DD">
        <w:rPr>
          <w:lang w:val="es-ES_tradnl"/>
        </w:rPr>
        <w:t xml:space="preserve">a prueba testifical </w:t>
      </w:r>
      <w:r w:rsidR="001538DD" w:rsidRPr="001538DD">
        <w:rPr>
          <w:lang w:val="es-ES_tradnl"/>
        </w:rPr>
        <w:t xml:space="preserve">existente, y no intervino </w:t>
      </w:r>
      <w:r w:rsidR="00B7028D" w:rsidRPr="001538DD">
        <w:rPr>
          <w:lang w:val="es-ES_tradnl"/>
        </w:rPr>
        <w:t xml:space="preserve">para proteger los derechos </w:t>
      </w:r>
      <w:r w:rsidR="00374990" w:rsidRPr="00374990">
        <w:rPr>
          <w:lang w:val="es-ES_tradnl"/>
        </w:rPr>
        <w:t>de Rubén</w:t>
      </w:r>
      <w:r w:rsidR="00B7028D" w:rsidRPr="001538DD">
        <w:rPr>
          <w:lang w:val="es-ES_tradnl"/>
        </w:rPr>
        <w:t xml:space="preserve">. </w:t>
      </w:r>
    </w:p>
    <w:p w14:paraId="2AB447F4" w14:textId="5002CE07" w:rsidR="00574248" w:rsidRPr="00574248" w:rsidRDefault="00574248" w:rsidP="00F563BB">
      <w:pPr>
        <w:pStyle w:val="SingleTxtG"/>
        <w:rPr>
          <w:lang w:val="es-ES_tradnl"/>
        </w:rPr>
      </w:pPr>
      <w:r w:rsidRPr="00574248">
        <w:rPr>
          <w:lang w:val="es-ES_tradnl"/>
        </w:rPr>
        <w:t>3.6</w:t>
      </w:r>
      <w:r w:rsidRPr="00574248">
        <w:rPr>
          <w:lang w:val="es-ES_tradnl"/>
        </w:rPr>
        <w:tab/>
        <w:t xml:space="preserve">Finalmente, </w:t>
      </w:r>
      <w:r w:rsidR="00B87393">
        <w:rPr>
          <w:lang w:val="es-ES_tradnl"/>
        </w:rPr>
        <w:t>los autores</w:t>
      </w:r>
      <w:r w:rsidRPr="00574248">
        <w:rPr>
          <w:lang w:val="es-ES_tradnl"/>
        </w:rPr>
        <w:t xml:space="preserve"> </w:t>
      </w:r>
      <w:r w:rsidR="005E2DE8">
        <w:rPr>
          <w:lang w:val="es-ES_tradnl"/>
        </w:rPr>
        <w:t>alega</w:t>
      </w:r>
      <w:r w:rsidR="00B87393">
        <w:rPr>
          <w:lang w:val="es-ES_tradnl"/>
        </w:rPr>
        <w:t>n</w:t>
      </w:r>
      <w:r w:rsidRPr="00574248">
        <w:rPr>
          <w:lang w:val="es-ES_tradnl"/>
        </w:rPr>
        <w:t xml:space="preserve"> ser víctima</w:t>
      </w:r>
      <w:r w:rsidR="00104F8F">
        <w:rPr>
          <w:lang w:val="es-ES_tradnl"/>
        </w:rPr>
        <w:t>s</w:t>
      </w:r>
      <w:r w:rsidRPr="00574248">
        <w:rPr>
          <w:lang w:val="es-ES_tradnl"/>
        </w:rPr>
        <w:t xml:space="preserve"> de una violación del </w:t>
      </w:r>
      <w:r w:rsidR="005E2DE8">
        <w:rPr>
          <w:lang w:val="es-ES_tradnl"/>
        </w:rPr>
        <w:t>artículo</w:t>
      </w:r>
      <w:r w:rsidRPr="00574248">
        <w:rPr>
          <w:lang w:val="es-ES_tradnl"/>
        </w:rPr>
        <w:t xml:space="preserve"> 4 de la Convención, </w:t>
      </w:r>
      <w:r w:rsidR="00DF2386">
        <w:rPr>
          <w:lang w:val="es-ES_tradnl"/>
        </w:rPr>
        <w:t>ya que el</w:t>
      </w:r>
      <w:r w:rsidRPr="00574248">
        <w:rPr>
          <w:lang w:val="es-ES_tradnl"/>
        </w:rPr>
        <w:t xml:space="preserve"> Estado</w:t>
      </w:r>
      <w:r w:rsidR="00DF2386">
        <w:rPr>
          <w:lang w:val="es-ES_tradnl"/>
        </w:rPr>
        <w:t xml:space="preserve"> parte</w:t>
      </w:r>
      <w:r w:rsidRPr="00574248">
        <w:rPr>
          <w:lang w:val="es-ES_tradnl"/>
        </w:rPr>
        <w:t xml:space="preserve"> </w:t>
      </w:r>
      <w:r w:rsidR="00DF2386">
        <w:rPr>
          <w:lang w:val="es-ES_tradnl"/>
        </w:rPr>
        <w:t xml:space="preserve">no ha adoptado todavía un marco legislativo, una política educativa y unas medidas administrativas que </w:t>
      </w:r>
      <w:r w:rsidR="00104F8F">
        <w:rPr>
          <w:lang w:val="es-ES_tradnl"/>
        </w:rPr>
        <w:t xml:space="preserve">puedan </w:t>
      </w:r>
      <w:r w:rsidR="00DF2386">
        <w:rPr>
          <w:lang w:val="es-ES_tradnl"/>
        </w:rPr>
        <w:t>garantizar</w:t>
      </w:r>
      <w:r w:rsidRPr="00574248">
        <w:rPr>
          <w:lang w:val="es-ES_tradnl"/>
        </w:rPr>
        <w:t xml:space="preserve"> el pleno ejercicio de</w:t>
      </w:r>
      <w:r w:rsidR="00DF2386">
        <w:rPr>
          <w:lang w:val="es-ES_tradnl"/>
        </w:rPr>
        <w:t xml:space="preserve"> los derechos humanos de</w:t>
      </w:r>
      <w:r w:rsidR="00F54530">
        <w:rPr>
          <w:lang w:val="es-ES_tradnl"/>
        </w:rPr>
        <w:t xml:space="preserve"> Rubén</w:t>
      </w:r>
      <w:r w:rsidR="00DF2386">
        <w:rPr>
          <w:lang w:val="es-ES_tradnl"/>
        </w:rPr>
        <w:t xml:space="preserve"> a una educación inclusiva, a pesar de que la </w:t>
      </w:r>
      <w:r w:rsidR="006267BE">
        <w:rPr>
          <w:lang w:val="es-ES_tradnl"/>
        </w:rPr>
        <w:t>Convención</w:t>
      </w:r>
      <w:r w:rsidR="00DF2386">
        <w:rPr>
          <w:lang w:val="es-ES_tradnl"/>
        </w:rPr>
        <w:t xml:space="preserve"> entr</w:t>
      </w:r>
      <w:r w:rsidR="006267BE">
        <w:rPr>
          <w:lang w:val="es-ES_tradnl"/>
        </w:rPr>
        <w:t xml:space="preserve">ó </w:t>
      </w:r>
      <w:r w:rsidR="00DF2386">
        <w:rPr>
          <w:lang w:val="es-ES_tradnl"/>
        </w:rPr>
        <w:t>en vigor para el Estado parte el 3 de mayo de 2008</w:t>
      </w:r>
      <w:r w:rsidRPr="00574248">
        <w:rPr>
          <w:lang w:val="es-ES_tradnl"/>
        </w:rPr>
        <w:t xml:space="preserve">. </w:t>
      </w:r>
    </w:p>
    <w:p w14:paraId="61391243" w14:textId="77777777" w:rsidR="003212CC" w:rsidRPr="0029628D" w:rsidRDefault="003212CC" w:rsidP="005748CF">
      <w:pPr>
        <w:pStyle w:val="H23G"/>
      </w:pPr>
      <w:r>
        <w:tab/>
      </w:r>
      <w:r>
        <w:tab/>
      </w:r>
      <w:r w:rsidRPr="007E2066">
        <w:t xml:space="preserve">Observaciones del Estado parte sobre la admisibilidad </w:t>
      </w:r>
    </w:p>
    <w:p w14:paraId="657E7E23" w14:textId="16A6CBAC" w:rsidR="00651354" w:rsidRDefault="00E46DEF" w:rsidP="003212CC">
      <w:pPr>
        <w:pStyle w:val="SingleTxtG"/>
      </w:pPr>
      <w:r>
        <w:t>4.1</w:t>
      </w:r>
      <w:r>
        <w:tab/>
      </w:r>
      <w:r w:rsidR="001E356E">
        <w:t xml:space="preserve">El 26 de diciembre de 2017, el Estado parte </w:t>
      </w:r>
      <w:r w:rsidR="001E356E" w:rsidRPr="001E356E">
        <w:t>presentó sus observaciones sobre la admisibilidad de la comunicación</w:t>
      </w:r>
      <w:r w:rsidR="00BE03C8">
        <w:t>.</w:t>
      </w:r>
      <w:r w:rsidR="001E356E" w:rsidRPr="001E356E">
        <w:t xml:space="preserve"> </w:t>
      </w:r>
      <w:r w:rsidR="00BE03C8">
        <w:t>S</w:t>
      </w:r>
      <w:r w:rsidR="00647CD0" w:rsidRPr="00647CD0">
        <w:t>olicitó</w:t>
      </w:r>
      <w:r w:rsidR="00647CD0">
        <w:t xml:space="preserve"> el archivo de la comunicación o que </w:t>
      </w:r>
      <w:r w:rsidR="005066C2">
        <w:t>e</w:t>
      </w:r>
      <w:r w:rsidR="00647CD0">
        <w:t>sta se</w:t>
      </w:r>
      <w:r w:rsidR="001F10EB">
        <w:t>a</w:t>
      </w:r>
      <w:r w:rsidR="00647CD0">
        <w:t xml:space="preserve"> </w:t>
      </w:r>
      <w:r w:rsidR="00BE03C8">
        <w:t xml:space="preserve">declarada </w:t>
      </w:r>
      <w:r w:rsidR="00647CD0">
        <w:t xml:space="preserve">inadmisible. </w:t>
      </w:r>
    </w:p>
    <w:p w14:paraId="40B9F0D6" w14:textId="567AB836" w:rsidR="00647CD0" w:rsidRDefault="00E46DEF" w:rsidP="003212CC">
      <w:pPr>
        <w:pStyle w:val="SingleTxtG"/>
      </w:pPr>
      <w:r>
        <w:t>4.2</w:t>
      </w:r>
      <w:r>
        <w:tab/>
      </w:r>
      <w:r w:rsidR="00647CD0">
        <w:t xml:space="preserve">El Estado parte </w:t>
      </w:r>
      <w:r w:rsidR="00D841DE">
        <w:t>recuerda</w:t>
      </w:r>
      <w:r w:rsidR="00647CD0">
        <w:t xml:space="preserve"> que </w:t>
      </w:r>
      <w:r w:rsidR="00517EF8">
        <w:t>los autores</w:t>
      </w:r>
      <w:r w:rsidR="00647CD0">
        <w:t xml:space="preserve"> solicitaba</w:t>
      </w:r>
      <w:r w:rsidR="00517EF8">
        <w:t>n</w:t>
      </w:r>
      <w:r w:rsidR="00647CD0">
        <w:t xml:space="preserve"> en su queja como medida de reparación que “Rubén [pudiera] estudiar un módulo de Formación Profesional Básica adaptado de Auxiliar Administrativo y que a la finalización </w:t>
      </w:r>
      <w:proofErr w:type="gramStart"/>
      <w:r w:rsidR="00647CD0">
        <w:t>del mismo</w:t>
      </w:r>
      <w:proofErr w:type="gramEnd"/>
      <w:r w:rsidR="00647CD0">
        <w:t xml:space="preserve"> </w:t>
      </w:r>
      <w:r w:rsidR="00647CD0" w:rsidRPr="00647CD0">
        <w:t xml:space="preserve">[pudiera] </w:t>
      </w:r>
      <w:r w:rsidR="00647CD0">
        <w:t xml:space="preserve">certificar-titular los estudios realizados”. </w:t>
      </w:r>
      <w:r w:rsidR="00D841DE">
        <w:t xml:space="preserve">Al respecto, el Estado parte adjunta un informe de la Dirección Territorial de León por el que se acredita que </w:t>
      </w:r>
      <w:r w:rsidR="00BC679A">
        <w:t>Rubén</w:t>
      </w:r>
      <w:r w:rsidR="00D841DE">
        <w:t xml:space="preserve"> ha resultado admitido en el curso escolar 2017/2018 en 1° de Formación Profesional Básica de Servicios </w:t>
      </w:r>
      <w:r w:rsidR="00D841DE">
        <w:lastRenderedPageBreak/>
        <w:t xml:space="preserve">Administrativos en el Centro Privado Concertado “Down León </w:t>
      </w:r>
      <w:proofErr w:type="spellStart"/>
      <w:r w:rsidR="00D841DE">
        <w:t>Amidown</w:t>
      </w:r>
      <w:proofErr w:type="spellEnd"/>
      <w:r w:rsidR="00D841DE">
        <w:t xml:space="preserve"> Amigos del Síndrome de Down”</w:t>
      </w:r>
      <w:r w:rsidR="00D841DE">
        <w:rPr>
          <w:rStyle w:val="Refdenotaalpie"/>
        </w:rPr>
        <w:footnoteReference w:id="12"/>
      </w:r>
      <w:r w:rsidR="00D841DE">
        <w:t>.</w:t>
      </w:r>
    </w:p>
    <w:p w14:paraId="38591FB4" w14:textId="77777777" w:rsidR="00651354" w:rsidRDefault="00E46DEF" w:rsidP="00BE03C8">
      <w:pPr>
        <w:pStyle w:val="SingleTxtG"/>
      </w:pPr>
      <w:r>
        <w:t>4.3</w:t>
      </w:r>
      <w:r>
        <w:tab/>
      </w:r>
      <w:r w:rsidR="001F10EB">
        <w:t xml:space="preserve">El Estado parte concluye que debido a que </w:t>
      </w:r>
      <w:r w:rsidR="008769FF">
        <w:t>los autores</w:t>
      </w:r>
      <w:r w:rsidR="001F10EB">
        <w:t xml:space="preserve"> ha</w:t>
      </w:r>
      <w:r w:rsidR="008769FF">
        <w:t>n</w:t>
      </w:r>
      <w:r w:rsidR="001F10EB">
        <w:t xml:space="preserve"> visto satisfecha su solicitud en cuanto a la medida de reparación solicitada, ha decaído su interés en la comunicación y no resulta por tanto procedente </w:t>
      </w:r>
      <w:r w:rsidR="00BE03C8">
        <w:t>“</w:t>
      </w:r>
      <w:r w:rsidR="001F10EB">
        <w:t>realizar alegaciones sobre la admisibilidad y el fondo</w:t>
      </w:r>
      <w:r w:rsidR="00BE03C8">
        <w:t>”</w:t>
      </w:r>
      <w:r w:rsidR="001F10EB">
        <w:t xml:space="preserve"> de la </w:t>
      </w:r>
      <w:r w:rsidR="00BE03C8">
        <w:t>misma</w:t>
      </w:r>
      <w:r w:rsidR="001F10EB">
        <w:t xml:space="preserve">. </w:t>
      </w:r>
    </w:p>
    <w:p w14:paraId="4E220DB0" w14:textId="77777777" w:rsidR="003212CC" w:rsidRDefault="003212CC" w:rsidP="005748CF">
      <w:pPr>
        <w:pStyle w:val="H23G"/>
      </w:pPr>
      <w:r>
        <w:tab/>
      </w:r>
      <w:r>
        <w:tab/>
      </w:r>
      <w:r w:rsidRPr="0029628D">
        <w:t>Comentarios de</w:t>
      </w:r>
      <w:r w:rsidR="00912F93">
        <w:t xml:space="preserve"> </w:t>
      </w:r>
      <w:r w:rsidRPr="0029628D">
        <w:t>l</w:t>
      </w:r>
      <w:r w:rsidR="00912F93">
        <w:t>os</w:t>
      </w:r>
      <w:r w:rsidRPr="0029628D">
        <w:t xml:space="preserve"> autor</w:t>
      </w:r>
      <w:r w:rsidR="00912F93">
        <w:t>es</w:t>
      </w:r>
      <w:r w:rsidRPr="0029628D">
        <w:t xml:space="preserve"> sobre las observaciones del Estado parte</w:t>
      </w:r>
    </w:p>
    <w:p w14:paraId="0B73F5DA" w14:textId="17E032E5" w:rsidR="00CB529D" w:rsidRDefault="003212CC" w:rsidP="00A673FE">
      <w:pPr>
        <w:pStyle w:val="SingleTxtG"/>
      </w:pPr>
      <w:r w:rsidRPr="0029628D">
        <w:t>5.1</w:t>
      </w:r>
      <w:r w:rsidRPr="0029628D">
        <w:tab/>
      </w:r>
      <w:r>
        <w:t xml:space="preserve">El </w:t>
      </w:r>
      <w:r w:rsidR="00B25737">
        <w:t>1 de febrero</w:t>
      </w:r>
      <w:r>
        <w:t xml:space="preserve"> de 201</w:t>
      </w:r>
      <w:r w:rsidR="00B25737">
        <w:t>8</w:t>
      </w:r>
      <w:r>
        <w:t xml:space="preserve">, </w:t>
      </w:r>
      <w:r w:rsidR="00172758">
        <w:t>los autores presentaron</w:t>
      </w:r>
      <w:r>
        <w:t xml:space="preserve"> sus comentarios sobre las observaciones d</w:t>
      </w:r>
      <w:r w:rsidR="00CB529D">
        <w:t>el Estado parte. Confirma</w:t>
      </w:r>
      <w:r w:rsidR="00172758">
        <w:t xml:space="preserve">n </w:t>
      </w:r>
      <w:r w:rsidR="00CB529D">
        <w:t>que</w:t>
      </w:r>
      <w:r w:rsidR="00172758">
        <w:t xml:space="preserve"> Rubén</w:t>
      </w:r>
      <w:r w:rsidR="00CB529D">
        <w:t xml:space="preserve"> está matriculado en el año escolar</w:t>
      </w:r>
      <w:r w:rsidR="002E31BB">
        <w:t xml:space="preserve"> en curso</w:t>
      </w:r>
      <w:r w:rsidR="00CB529D">
        <w:t xml:space="preserve"> en el </w:t>
      </w:r>
      <w:r w:rsidR="00CB529D" w:rsidRPr="00CB529D">
        <w:t xml:space="preserve">Centro Privado Concertado “Down León </w:t>
      </w:r>
      <w:proofErr w:type="spellStart"/>
      <w:r w:rsidR="00CB529D" w:rsidRPr="00CB529D">
        <w:t>Amidown</w:t>
      </w:r>
      <w:proofErr w:type="spellEnd"/>
      <w:r w:rsidR="00CB529D" w:rsidRPr="00CB529D">
        <w:t xml:space="preserve"> Amigos del Síndrome de Down</w:t>
      </w:r>
      <w:r w:rsidR="00446E94">
        <w:t>”</w:t>
      </w:r>
      <w:r w:rsidR="00CB529D">
        <w:t xml:space="preserve">. Sin embargo, contrariamente a lo afirmado por el Estado parte, esto no quiere decir que se haya visto satisfecha su solicitud de cumplimiento del </w:t>
      </w:r>
      <w:r w:rsidR="00A673FE">
        <w:t xml:space="preserve">artículo 24 de la Convención relativo al derecho a una educación </w:t>
      </w:r>
      <w:r w:rsidR="002E31BB">
        <w:t>inclusiva</w:t>
      </w:r>
      <w:r w:rsidR="00A673FE">
        <w:t>. Informa</w:t>
      </w:r>
      <w:r w:rsidR="003D1DFC">
        <w:t>n</w:t>
      </w:r>
      <w:r w:rsidR="00A673FE">
        <w:t xml:space="preserve"> que el Centro donde estudia </w:t>
      </w:r>
      <w:r w:rsidR="003D1DFC">
        <w:t xml:space="preserve">Rubén </w:t>
      </w:r>
      <w:r w:rsidR="00A673FE">
        <w:t xml:space="preserve">es un “centro específico fundamentalmente” para personas con </w:t>
      </w:r>
      <w:r w:rsidR="00ED164C">
        <w:t>s</w:t>
      </w:r>
      <w:r w:rsidR="00A673FE">
        <w:t xml:space="preserve">índrome de Down. No se trata de un centro de educación ordinario. Hay seis alumnos matriculados en este curso y todos son personas con discapacidad intelectual y necesidades educativas especiales. </w:t>
      </w:r>
      <w:r w:rsidR="003D1DFC">
        <w:t>Los autores</w:t>
      </w:r>
      <w:r w:rsidR="006F17CD">
        <w:t xml:space="preserve"> considera</w:t>
      </w:r>
      <w:r w:rsidR="003D1DFC">
        <w:t>n</w:t>
      </w:r>
      <w:r w:rsidR="006F17CD">
        <w:t xml:space="preserve"> </w:t>
      </w:r>
      <w:r w:rsidR="00A673FE">
        <w:t xml:space="preserve">que no se puede afirmar que </w:t>
      </w:r>
      <w:r w:rsidR="003D1DFC">
        <w:t>el</w:t>
      </w:r>
      <w:r w:rsidR="00A673FE">
        <w:t xml:space="preserve"> derecho a una educación inclusiva</w:t>
      </w:r>
      <w:r w:rsidR="003D1DFC">
        <w:t xml:space="preserve"> de Rubén</w:t>
      </w:r>
      <w:r w:rsidR="00A673FE">
        <w:t xml:space="preserve"> se </w:t>
      </w:r>
      <w:r w:rsidR="00F978FD">
        <w:t>haya cumplido</w:t>
      </w:r>
      <w:r w:rsidR="00A673FE">
        <w:t xml:space="preserve">. </w:t>
      </w:r>
      <w:r w:rsidR="00476BBD">
        <w:t>Manifiesta</w:t>
      </w:r>
      <w:r w:rsidR="00D96029">
        <w:t>n</w:t>
      </w:r>
      <w:r w:rsidR="00476BBD">
        <w:t xml:space="preserve"> su desacuerdo con la afirmación del Estado parte según la cual ha decaído el interés de la petición formulada ante el Comité, y que esta carece de fundamento. </w:t>
      </w:r>
    </w:p>
    <w:p w14:paraId="7AAB68A9" w14:textId="083162E2" w:rsidR="00476BBD" w:rsidRDefault="00E46DEF" w:rsidP="00A673FE">
      <w:pPr>
        <w:pStyle w:val="SingleTxtG"/>
      </w:pPr>
      <w:r>
        <w:t>5.2</w:t>
      </w:r>
      <w:r>
        <w:tab/>
      </w:r>
      <w:r w:rsidR="00476BBD">
        <w:t>Reitera</w:t>
      </w:r>
      <w:r w:rsidR="00D96029">
        <w:t>n</w:t>
      </w:r>
      <w:r w:rsidR="00476BBD">
        <w:t xml:space="preserve"> que su pretensión es la de que se reconozca </w:t>
      </w:r>
      <w:r w:rsidR="0093492D">
        <w:t>el</w:t>
      </w:r>
      <w:r w:rsidR="00476BBD">
        <w:t xml:space="preserve"> derecho</w:t>
      </w:r>
      <w:r w:rsidR="0093492D">
        <w:t xml:space="preserve"> de Rubén</w:t>
      </w:r>
      <w:r w:rsidR="00476BBD">
        <w:t xml:space="preserve"> a cursar </w:t>
      </w:r>
      <w:r w:rsidR="00381A2B">
        <w:t>Formación</w:t>
      </w:r>
      <w:r w:rsidR="00476BBD">
        <w:t xml:space="preserve"> </w:t>
      </w:r>
      <w:r w:rsidR="00381A2B">
        <w:t>Profesional</w:t>
      </w:r>
      <w:r w:rsidR="00476BBD">
        <w:t xml:space="preserve"> </w:t>
      </w:r>
      <w:r w:rsidR="00104F8F">
        <w:t xml:space="preserve">de </w:t>
      </w:r>
      <w:r w:rsidR="00381A2B">
        <w:t>Básica</w:t>
      </w:r>
      <w:r w:rsidR="00476BBD">
        <w:t xml:space="preserve"> Auxiliar Administrativo en el ámbito de sistema educativo ordinario, con las adaptaciones necesarias en función de sus necesidades educativas especiales, y que al finalizar obtenga el </w:t>
      </w:r>
      <w:r w:rsidR="00104F8F">
        <w:t>título-</w:t>
      </w:r>
      <w:r w:rsidR="00476BBD">
        <w:t xml:space="preserve">certificado oficial que acredite los estudios realizados. </w:t>
      </w:r>
    </w:p>
    <w:p w14:paraId="1CDB0BA4" w14:textId="77777777" w:rsidR="00446E94" w:rsidRDefault="00E46DEF" w:rsidP="00A673FE">
      <w:pPr>
        <w:pStyle w:val="SingleTxtG"/>
      </w:pPr>
      <w:r>
        <w:t>5.3</w:t>
      </w:r>
      <w:r>
        <w:tab/>
      </w:r>
      <w:r w:rsidR="0093492D">
        <w:t xml:space="preserve">Explican que Rubén </w:t>
      </w:r>
      <w:r w:rsidR="00446E94">
        <w:t xml:space="preserve">tuvo que inscribirse en el </w:t>
      </w:r>
      <w:r w:rsidR="00446E94" w:rsidRPr="00446E94">
        <w:t xml:space="preserve">Centro “Down León </w:t>
      </w:r>
      <w:proofErr w:type="spellStart"/>
      <w:r w:rsidR="00446E94" w:rsidRPr="00446E94">
        <w:t>Amidown</w:t>
      </w:r>
      <w:proofErr w:type="spellEnd"/>
      <w:r w:rsidR="00446E94" w:rsidRPr="00446E94">
        <w:t xml:space="preserve"> Amigos del Síndrome de Down”</w:t>
      </w:r>
      <w:r w:rsidR="00446E94">
        <w:t xml:space="preserve"> ya que no existía en su ciudad ni en los alrededores ningún otro centro educativo ordinario adecuado donde la educación inclusiva fuera real, efectiva y de calidad. </w:t>
      </w:r>
    </w:p>
    <w:p w14:paraId="1A5A49F4" w14:textId="669E2D53" w:rsidR="00CB529D" w:rsidRPr="00A70872" w:rsidRDefault="00E46DEF" w:rsidP="00887F06">
      <w:pPr>
        <w:pStyle w:val="SingleTxtG"/>
      </w:pPr>
      <w:r>
        <w:t>5.4</w:t>
      </w:r>
      <w:r>
        <w:tab/>
      </w:r>
      <w:r w:rsidR="00BB1FC4">
        <w:t>Los autores</w:t>
      </w:r>
      <w:r w:rsidR="00E63951" w:rsidRPr="00A70872">
        <w:t xml:space="preserve"> reitera</w:t>
      </w:r>
      <w:r w:rsidR="00BB1FC4">
        <w:t>n</w:t>
      </w:r>
      <w:r w:rsidR="00E63951" w:rsidRPr="00A70872">
        <w:t xml:space="preserve"> sus </w:t>
      </w:r>
      <w:r w:rsidR="00F9555A" w:rsidRPr="00A70872">
        <w:t xml:space="preserve">alegaciones </w:t>
      </w:r>
      <w:r w:rsidR="00E63951" w:rsidRPr="00A70872">
        <w:t>con respecto a</w:t>
      </w:r>
      <w:r w:rsidR="00F9555A" w:rsidRPr="00A70872">
        <w:t xml:space="preserve"> la violación de</w:t>
      </w:r>
      <w:r w:rsidR="00A70872" w:rsidRPr="00A70872">
        <w:t xml:space="preserve"> sus derechos contemplados en</w:t>
      </w:r>
      <w:r w:rsidR="00F9555A" w:rsidRPr="00A70872">
        <w:t xml:space="preserve"> los artículos 4, 7, 13, 15, 17 y 23</w:t>
      </w:r>
      <w:r w:rsidR="00ED164C">
        <w:t xml:space="preserve"> de la Convención, y señalan </w:t>
      </w:r>
      <w:r w:rsidR="00E63951" w:rsidRPr="00A70872">
        <w:t xml:space="preserve">que el Estado parte no ha realizado </w:t>
      </w:r>
      <w:r w:rsidR="00E63951" w:rsidRPr="00887F06">
        <w:t>observaci</w:t>
      </w:r>
      <w:r w:rsidR="006F17CD" w:rsidRPr="00887F06">
        <w:t>ones</w:t>
      </w:r>
      <w:r w:rsidR="00E63951" w:rsidRPr="00A70872">
        <w:t xml:space="preserve"> con respecto a </w:t>
      </w:r>
      <w:r w:rsidR="006F17CD">
        <w:t>sus</w:t>
      </w:r>
      <w:r w:rsidR="006F17CD" w:rsidRPr="00A70872">
        <w:t xml:space="preserve"> </w:t>
      </w:r>
      <w:r w:rsidR="00E63951" w:rsidRPr="00A70872">
        <w:t xml:space="preserve">alegaciones. </w:t>
      </w:r>
    </w:p>
    <w:p w14:paraId="14D3D209" w14:textId="77777777" w:rsidR="003212CC" w:rsidRPr="0029628D" w:rsidRDefault="003212CC" w:rsidP="003212CC">
      <w:pPr>
        <w:pStyle w:val="H23G"/>
      </w:pPr>
      <w:r>
        <w:tab/>
      </w:r>
      <w:r>
        <w:tab/>
      </w:r>
      <w:r w:rsidRPr="0029628D">
        <w:t>Observaciones adicionales de</w:t>
      </w:r>
      <w:r>
        <w:t xml:space="preserve"> las partes</w:t>
      </w:r>
    </w:p>
    <w:p w14:paraId="1D2D662F" w14:textId="5D3DABC2" w:rsidR="004F5402" w:rsidRDefault="003212CC" w:rsidP="003212CC">
      <w:pPr>
        <w:pStyle w:val="SingleTxtG"/>
      </w:pPr>
      <w:r w:rsidRPr="0029628D">
        <w:t>6.1</w:t>
      </w:r>
      <w:r w:rsidRPr="0029628D">
        <w:tab/>
      </w:r>
      <w:r w:rsidR="006E2810">
        <w:t>En sus observaciones de</w:t>
      </w:r>
      <w:r w:rsidRPr="0029628D">
        <w:t xml:space="preserve"> </w:t>
      </w:r>
      <w:r w:rsidR="004F5402">
        <w:t>30</w:t>
      </w:r>
      <w:r w:rsidRPr="0029628D">
        <w:t xml:space="preserve"> de </w:t>
      </w:r>
      <w:r>
        <w:t>mayo</w:t>
      </w:r>
      <w:r w:rsidRPr="0029628D">
        <w:t xml:space="preserve"> de 201</w:t>
      </w:r>
      <w:r w:rsidR="004F5402">
        <w:t>8</w:t>
      </w:r>
      <w:r w:rsidRPr="0029628D">
        <w:t xml:space="preserve">, el Estado parte </w:t>
      </w:r>
      <w:r w:rsidR="004F5402">
        <w:t xml:space="preserve">sostiene que </w:t>
      </w:r>
      <w:r w:rsidR="00BB1FC4">
        <w:t>los autores</w:t>
      </w:r>
      <w:r w:rsidR="004F5402">
        <w:t xml:space="preserve"> se aparta</w:t>
      </w:r>
      <w:r w:rsidR="00BB1FC4">
        <w:t>n</w:t>
      </w:r>
      <w:r w:rsidR="004F5402">
        <w:t xml:space="preserve"> de su petición inicial cuando señala</w:t>
      </w:r>
      <w:r w:rsidR="00311D1C">
        <w:t>n</w:t>
      </w:r>
      <w:r w:rsidR="004F5402">
        <w:t xml:space="preserve"> en sus comentarios que también se han vulnerado los artículos 4, 7, 13, 15, 17 y 23 de la Convención</w:t>
      </w:r>
      <w:r w:rsidR="00691784">
        <w:rPr>
          <w:rStyle w:val="Refdenotaalpie"/>
        </w:rPr>
        <w:footnoteReference w:id="13"/>
      </w:r>
      <w:r w:rsidR="00311D1C">
        <w:t>.</w:t>
      </w:r>
      <w:r w:rsidR="004F5402">
        <w:t xml:space="preserve"> </w:t>
      </w:r>
      <w:r w:rsidR="005D3B9F">
        <w:t>Contestando a lo que el Estado parte entiende ser el objeto de la comunicación, la vulneración del artículo 24 de la Convención, reafirma que se ha satisfecho la pretensión de reparación de</w:t>
      </w:r>
      <w:r w:rsidR="009359DC">
        <w:t xml:space="preserve"> </w:t>
      </w:r>
      <w:r w:rsidR="005D3B9F">
        <w:t>l</w:t>
      </w:r>
      <w:r w:rsidR="009359DC">
        <w:t>os</w:t>
      </w:r>
      <w:r w:rsidR="005D3B9F">
        <w:t xml:space="preserve"> autor</w:t>
      </w:r>
      <w:r w:rsidR="009359DC">
        <w:t>es</w:t>
      </w:r>
      <w:r w:rsidR="005D3B9F">
        <w:t xml:space="preserve">. </w:t>
      </w:r>
    </w:p>
    <w:p w14:paraId="71B5D46A" w14:textId="10F2824A" w:rsidR="007233D6" w:rsidRDefault="00E46DEF" w:rsidP="007233D6">
      <w:pPr>
        <w:pStyle w:val="SingleTxtG"/>
      </w:pPr>
      <w:r>
        <w:t>6.2</w:t>
      </w:r>
      <w:r>
        <w:tab/>
      </w:r>
      <w:r w:rsidR="00B925BD">
        <w:t>T</w:t>
      </w:r>
      <w:r w:rsidR="005D3B9F">
        <w:t>anto el m</w:t>
      </w:r>
      <w:r w:rsidR="00ED164C">
        <w:t>ó</w:t>
      </w:r>
      <w:r w:rsidR="005D3B9F">
        <w:t xml:space="preserve">dulo que cursa </w:t>
      </w:r>
      <w:r w:rsidR="005069B0">
        <w:t>Rubén</w:t>
      </w:r>
      <w:r w:rsidR="005D3B9F">
        <w:t xml:space="preserve"> como el centro que lo imparte integran el sistema </w:t>
      </w:r>
      <w:r w:rsidR="005D3B9F" w:rsidRPr="006E2810">
        <w:t xml:space="preserve">educativo ordinario del Estado parte. </w:t>
      </w:r>
      <w:r w:rsidR="00B925BD">
        <w:t>M</w:t>
      </w:r>
      <w:r w:rsidR="005D3B9F" w:rsidRPr="006E2810">
        <w:t xml:space="preserve">ediante </w:t>
      </w:r>
      <w:r w:rsidR="00104F8F">
        <w:t>o</w:t>
      </w:r>
      <w:r w:rsidR="005D3B9F" w:rsidRPr="006E2810">
        <w:t>rden EDU/465/2017 de 13 de junio de 2017</w:t>
      </w:r>
      <w:r w:rsidR="005D3B9F" w:rsidRPr="006E2810">
        <w:rPr>
          <w:rStyle w:val="Refdenotaalpie"/>
        </w:rPr>
        <w:footnoteReference w:id="14"/>
      </w:r>
      <w:r w:rsidR="005D3B9F" w:rsidRPr="006E2810">
        <w:t xml:space="preserve"> se dispone que</w:t>
      </w:r>
      <w:r w:rsidR="007E496E" w:rsidRPr="006E2810">
        <w:t>:</w:t>
      </w:r>
      <w:r w:rsidR="005D3B9F" w:rsidRPr="006E2810">
        <w:t xml:space="preserve"> “</w:t>
      </w:r>
      <w:r w:rsidR="007233D6" w:rsidRPr="006E2810">
        <w:t>Primero.</w:t>
      </w:r>
      <w:r w:rsidR="007E496E" w:rsidRPr="006E2810">
        <w:t xml:space="preserve"> </w:t>
      </w:r>
      <w:r w:rsidR="007233D6" w:rsidRPr="006E2810">
        <w:t>[…]</w:t>
      </w:r>
      <w:r w:rsidR="007E496E" w:rsidRPr="006E2810">
        <w:t xml:space="preserve"> </w:t>
      </w:r>
      <w:r w:rsidR="007233D6" w:rsidRPr="006E2810">
        <w:t xml:space="preserve">Se aprueba la renovación de los conciertos educativos </w:t>
      </w:r>
      <w:r w:rsidR="007233D6">
        <w:t xml:space="preserve">suscritos por los centros docentes privados conforme a los Anexos I, II y III, con las modificaciones que en los mismos se recogen: a) Anexo I: Renovación de conciertos educativos de segundo ciclo de Educación Infantil, Educación Primaria, Educación Secundaria Obligatoria y Bachillerato. b) Anexo II: Renovación de conciertos educativos en Formación Profesional. c) Anexo III: Renovación de conciertos educativos en Educación </w:t>
      </w:r>
      <w:r w:rsidR="007233D6">
        <w:lastRenderedPageBreak/>
        <w:t xml:space="preserve">Especial. </w:t>
      </w:r>
      <w:r w:rsidR="007E496E">
        <w:t xml:space="preserve">Segundo. </w:t>
      </w:r>
      <w:r w:rsidR="007233D6">
        <w:t>Suscripción por primera vez al régimen de conciertos educativos. Se aprueba la suscripción por primera vez al régimen de conciertos educativos para los centros docentes privados y para las enseñanzas conforme a los Anexos IV y V: a) Anexo IV: Suscripción por primera vez al régimen de conciertos educativos en Formación Profesional. b) Anexo V: Suscripción por primera vez al régimen de conciertos educativos en Educación Especial”</w:t>
      </w:r>
      <w:r w:rsidR="00F377CB">
        <w:t>.</w:t>
      </w:r>
    </w:p>
    <w:p w14:paraId="67A2E150" w14:textId="22179C84" w:rsidR="00EE0F78" w:rsidRDefault="00E46DEF" w:rsidP="007233D6">
      <w:pPr>
        <w:pStyle w:val="SingleTxtG"/>
      </w:pPr>
      <w:r>
        <w:t>6.3</w:t>
      </w:r>
      <w:r>
        <w:tab/>
      </w:r>
      <w:r w:rsidR="00EE0F78">
        <w:t xml:space="preserve">El Estado parte indica que en el </w:t>
      </w:r>
      <w:r w:rsidR="00607D8C">
        <w:t>a</w:t>
      </w:r>
      <w:r w:rsidR="00EE0F78">
        <w:t>nexo IV</w:t>
      </w:r>
      <w:r w:rsidR="00E31756">
        <w:t xml:space="preserve"> (</w:t>
      </w:r>
      <w:r w:rsidR="00EE0F78">
        <w:t>Suscripción por primera vez al régimen de conciertos educativos en Formación Profesional</w:t>
      </w:r>
      <w:r w:rsidR="00E31756">
        <w:t>)</w:t>
      </w:r>
      <w:r w:rsidR="00EE0F78">
        <w:t>, aparece el centro Down León-</w:t>
      </w:r>
      <w:proofErr w:type="spellStart"/>
      <w:r w:rsidR="00EE0F78">
        <w:t>Amidown</w:t>
      </w:r>
      <w:proofErr w:type="spellEnd"/>
      <w:r w:rsidR="00EE0F78">
        <w:t xml:space="preserve">-Asociación Amigos Síndrome de Down. </w:t>
      </w:r>
      <w:r w:rsidR="001040B5">
        <w:t xml:space="preserve">Eso demuestra que el centro tiene suscrito un concierto para impartir una Formación Profesional Básica, no teniendo suscrito un concierto de </w:t>
      </w:r>
      <w:r w:rsidR="00607D8C">
        <w:t>e</w:t>
      </w:r>
      <w:r w:rsidR="001040B5">
        <w:t xml:space="preserve">ducación </w:t>
      </w:r>
      <w:r w:rsidR="00607D8C">
        <w:t>e</w:t>
      </w:r>
      <w:r w:rsidR="001040B5">
        <w:t xml:space="preserve">special de los contemplados en los </w:t>
      </w:r>
      <w:r w:rsidR="00104F8F">
        <w:t>a</w:t>
      </w:r>
      <w:r w:rsidR="001040B5">
        <w:t xml:space="preserve">nexos III y IV. Añade que el centro </w:t>
      </w:r>
      <w:r w:rsidR="00C875E9">
        <w:t>está</w:t>
      </w:r>
      <w:r w:rsidR="001B2F20">
        <w:t xml:space="preserve"> incluido</w:t>
      </w:r>
      <w:r w:rsidR="001040B5">
        <w:t xml:space="preserve"> dentro del directorio de centros de la Consejería de Educación como centro privado de formación específica. </w:t>
      </w:r>
    </w:p>
    <w:p w14:paraId="6EAAAF2C" w14:textId="2DE5025F" w:rsidR="00994152" w:rsidRPr="00CF7490" w:rsidRDefault="003212CC" w:rsidP="003212CC">
      <w:pPr>
        <w:pStyle w:val="SingleTxtG"/>
        <w:rPr>
          <w:color w:val="FF0000"/>
          <w:lang w:val="es-419"/>
        </w:rPr>
      </w:pPr>
      <w:r>
        <w:rPr>
          <w:lang w:val="es-419"/>
        </w:rPr>
        <w:t>6.</w:t>
      </w:r>
      <w:r w:rsidR="00CA22FA">
        <w:rPr>
          <w:lang w:val="es-419"/>
        </w:rPr>
        <w:t>4</w:t>
      </w:r>
      <w:r>
        <w:rPr>
          <w:lang w:val="es-419"/>
        </w:rPr>
        <w:tab/>
        <w:t xml:space="preserve">El </w:t>
      </w:r>
      <w:r w:rsidR="00994152">
        <w:rPr>
          <w:lang w:val="es-419"/>
        </w:rPr>
        <w:t>19 de septiembre de 2018</w:t>
      </w:r>
      <w:r>
        <w:rPr>
          <w:lang w:val="es-419"/>
        </w:rPr>
        <w:t xml:space="preserve">, </w:t>
      </w:r>
      <w:r w:rsidR="005069B0">
        <w:rPr>
          <w:lang w:val="es-419"/>
        </w:rPr>
        <w:t>los autores</w:t>
      </w:r>
      <w:r>
        <w:rPr>
          <w:lang w:val="es-419"/>
        </w:rPr>
        <w:t xml:space="preserve"> present</w:t>
      </w:r>
      <w:r w:rsidR="005069B0">
        <w:rPr>
          <w:lang w:val="es-419"/>
        </w:rPr>
        <w:t>aron</w:t>
      </w:r>
      <w:r>
        <w:rPr>
          <w:lang w:val="es-419"/>
        </w:rPr>
        <w:t xml:space="preserve"> observaciones adicionales</w:t>
      </w:r>
      <w:r w:rsidR="00994152">
        <w:rPr>
          <w:lang w:val="es-419"/>
        </w:rPr>
        <w:t>. Señala</w:t>
      </w:r>
      <w:r w:rsidR="005069B0">
        <w:rPr>
          <w:lang w:val="es-419"/>
        </w:rPr>
        <w:t>n</w:t>
      </w:r>
      <w:r w:rsidR="00994152">
        <w:rPr>
          <w:lang w:val="es-419"/>
        </w:rPr>
        <w:t xml:space="preserve"> que el </w:t>
      </w:r>
      <w:r w:rsidR="001B2F20">
        <w:rPr>
          <w:lang w:val="es-419"/>
        </w:rPr>
        <w:t>módulo</w:t>
      </w:r>
      <w:r w:rsidR="00994152">
        <w:rPr>
          <w:lang w:val="es-419"/>
        </w:rPr>
        <w:t xml:space="preserve"> de </w:t>
      </w:r>
      <w:r w:rsidR="00F377CB">
        <w:rPr>
          <w:lang w:val="es-419"/>
        </w:rPr>
        <w:t>s</w:t>
      </w:r>
      <w:r w:rsidR="00994152">
        <w:rPr>
          <w:lang w:val="es-419"/>
        </w:rPr>
        <w:t xml:space="preserve">ervicios administrativos que se cursa en un aula del centro privado </w:t>
      </w:r>
      <w:proofErr w:type="spellStart"/>
      <w:r w:rsidR="00994152">
        <w:rPr>
          <w:lang w:val="es-419"/>
        </w:rPr>
        <w:t>Amidown</w:t>
      </w:r>
      <w:proofErr w:type="spellEnd"/>
      <w:r w:rsidR="00994152">
        <w:rPr>
          <w:lang w:val="es-419"/>
        </w:rPr>
        <w:t xml:space="preserve"> no es inclusivo ya que se trata de un ciclo de </w:t>
      </w:r>
      <w:r w:rsidR="001B2F20">
        <w:rPr>
          <w:lang w:val="es-419"/>
        </w:rPr>
        <w:t>Formación</w:t>
      </w:r>
      <w:r w:rsidR="00994152">
        <w:rPr>
          <w:lang w:val="es-419"/>
        </w:rPr>
        <w:t xml:space="preserve"> Profesional </w:t>
      </w:r>
      <w:r w:rsidR="001B2F20">
        <w:rPr>
          <w:lang w:val="es-419"/>
        </w:rPr>
        <w:t>Básica</w:t>
      </w:r>
      <w:r w:rsidR="00994152">
        <w:rPr>
          <w:lang w:val="es-419"/>
        </w:rPr>
        <w:t xml:space="preserve"> para </w:t>
      </w:r>
      <w:r w:rsidR="001B2F20">
        <w:rPr>
          <w:lang w:val="es-419"/>
        </w:rPr>
        <w:t>alumnos</w:t>
      </w:r>
      <w:r w:rsidR="00994152">
        <w:rPr>
          <w:lang w:val="es-419"/>
        </w:rPr>
        <w:t xml:space="preserve"> con necesidades </w:t>
      </w:r>
      <w:r w:rsidR="001B2F20">
        <w:rPr>
          <w:lang w:val="es-419"/>
        </w:rPr>
        <w:t>específicas</w:t>
      </w:r>
      <w:r w:rsidR="00994152">
        <w:rPr>
          <w:lang w:val="es-419"/>
        </w:rPr>
        <w:t xml:space="preserve"> de apoyo educativo. Reitera que tanto su familia como las familias del resto de sus compañeros son conscientes de que no están recibiendo una educación inclusiva, pero considera que es la “opción menos mala” que les ofrece el Estado parte al no existir en su entorno otros centros educativos con inclusión efectiva y real. Explica que en la ciudad de </w:t>
      </w:r>
      <w:r w:rsidR="00BA3857">
        <w:rPr>
          <w:lang w:val="es-419"/>
        </w:rPr>
        <w:t>León</w:t>
      </w:r>
      <w:r w:rsidR="00994152">
        <w:rPr>
          <w:lang w:val="es-419"/>
        </w:rPr>
        <w:t xml:space="preserve"> hay dos </w:t>
      </w:r>
      <w:r w:rsidR="00BA3857">
        <w:rPr>
          <w:lang w:val="es-419"/>
        </w:rPr>
        <w:t>módulos</w:t>
      </w:r>
      <w:r w:rsidR="00994152">
        <w:rPr>
          <w:lang w:val="es-419"/>
        </w:rPr>
        <w:t xml:space="preserve"> afines, el ciclo de </w:t>
      </w:r>
      <w:r w:rsidR="00F377CB">
        <w:rPr>
          <w:lang w:val="es-419"/>
        </w:rPr>
        <w:t>s</w:t>
      </w:r>
      <w:r w:rsidR="00994152">
        <w:rPr>
          <w:lang w:val="es-419"/>
        </w:rPr>
        <w:t xml:space="preserve">ervicios administrativos en el </w:t>
      </w:r>
      <w:r w:rsidR="00BA3857">
        <w:rPr>
          <w:lang w:val="es-419"/>
        </w:rPr>
        <w:t>Instituto</w:t>
      </w:r>
      <w:r w:rsidR="00994152">
        <w:rPr>
          <w:lang w:val="es-419"/>
        </w:rPr>
        <w:t xml:space="preserve"> de </w:t>
      </w:r>
      <w:r w:rsidR="00BA3857">
        <w:rPr>
          <w:lang w:val="es-419"/>
        </w:rPr>
        <w:t>Educación</w:t>
      </w:r>
      <w:r w:rsidR="00994152">
        <w:rPr>
          <w:lang w:val="es-419"/>
        </w:rPr>
        <w:t xml:space="preserve"> Secundaria </w:t>
      </w:r>
      <w:r w:rsidR="00BA3857">
        <w:rPr>
          <w:lang w:val="es-419"/>
        </w:rPr>
        <w:t>Ordoño</w:t>
      </w:r>
      <w:r w:rsidR="00994152">
        <w:rPr>
          <w:lang w:val="es-419"/>
        </w:rPr>
        <w:t xml:space="preserve"> II y el ciclo de </w:t>
      </w:r>
      <w:proofErr w:type="spellStart"/>
      <w:r w:rsidR="00F377CB">
        <w:rPr>
          <w:lang w:val="es-419"/>
        </w:rPr>
        <w:t>a</w:t>
      </w:r>
      <w:r w:rsidR="00BA3857">
        <w:rPr>
          <w:lang w:val="es-419"/>
        </w:rPr>
        <w:t>grojardinería</w:t>
      </w:r>
      <w:proofErr w:type="spellEnd"/>
      <w:r w:rsidR="00994152">
        <w:rPr>
          <w:lang w:val="es-419"/>
        </w:rPr>
        <w:t xml:space="preserve"> y componentes florales del Instituto de </w:t>
      </w:r>
      <w:r w:rsidR="00BA3857">
        <w:rPr>
          <w:lang w:val="es-419"/>
        </w:rPr>
        <w:t>Educación Secundario</w:t>
      </w:r>
      <w:r w:rsidR="00994152">
        <w:rPr>
          <w:lang w:val="es-419"/>
        </w:rPr>
        <w:t xml:space="preserve"> Juan del </w:t>
      </w:r>
      <w:proofErr w:type="spellStart"/>
      <w:r w:rsidR="00994152">
        <w:rPr>
          <w:lang w:val="es-419"/>
        </w:rPr>
        <w:t>Enzina</w:t>
      </w:r>
      <w:proofErr w:type="spellEnd"/>
      <w:r w:rsidR="00994152">
        <w:rPr>
          <w:lang w:val="es-419"/>
        </w:rPr>
        <w:t>.</w:t>
      </w:r>
      <w:r w:rsidR="00994152" w:rsidRPr="00C875E9">
        <w:rPr>
          <w:lang w:val="es-419"/>
        </w:rPr>
        <w:t xml:space="preserve"> </w:t>
      </w:r>
    </w:p>
    <w:p w14:paraId="250F2784" w14:textId="79A37486" w:rsidR="00CF7490" w:rsidRPr="00E53803" w:rsidRDefault="00E46DEF" w:rsidP="003212CC">
      <w:pPr>
        <w:pStyle w:val="SingleTxtG"/>
        <w:rPr>
          <w:lang w:val="es-419"/>
        </w:rPr>
      </w:pPr>
      <w:r>
        <w:rPr>
          <w:lang w:val="es-419"/>
        </w:rPr>
        <w:t>6.5</w:t>
      </w:r>
      <w:r>
        <w:rPr>
          <w:lang w:val="es-419"/>
        </w:rPr>
        <w:tab/>
      </w:r>
      <w:r w:rsidR="00B925BD">
        <w:rPr>
          <w:lang w:val="es-419"/>
        </w:rPr>
        <w:t>A</w:t>
      </w:r>
      <w:r w:rsidR="00CF7490" w:rsidRPr="00272113">
        <w:rPr>
          <w:lang w:val="es-419"/>
        </w:rPr>
        <w:t xml:space="preserve">unque estos </w:t>
      </w:r>
      <w:r w:rsidR="00E53803" w:rsidRPr="00272113">
        <w:rPr>
          <w:lang w:val="es-419"/>
        </w:rPr>
        <w:t>módulos</w:t>
      </w:r>
      <w:r w:rsidR="00CF7490" w:rsidRPr="00272113">
        <w:rPr>
          <w:lang w:val="es-419"/>
        </w:rPr>
        <w:t xml:space="preserve"> se cursen en centros públicos </w:t>
      </w:r>
      <w:r w:rsidR="00752CDC" w:rsidRPr="00272113">
        <w:rPr>
          <w:lang w:val="es-419"/>
        </w:rPr>
        <w:t>y ordinarios o privados</w:t>
      </w:r>
      <w:r w:rsidR="00B925BD">
        <w:rPr>
          <w:lang w:val="es-419"/>
        </w:rPr>
        <w:t>,</w:t>
      </w:r>
      <w:r w:rsidR="00752CDC" w:rsidRPr="00272113">
        <w:rPr>
          <w:lang w:val="es-419"/>
        </w:rPr>
        <w:t xml:space="preserve"> no es garantía de que sean i</w:t>
      </w:r>
      <w:r w:rsidR="00CF7490" w:rsidRPr="00272113">
        <w:rPr>
          <w:lang w:val="es-419"/>
        </w:rPr>
        <w:t xml:space="preserve">nclusivos pues se desarrollan en aulas segregadas para alumnos con necesidades </w:t>
      </w:r>
      <w:r w:rsidR="00E53803" w:rsidRPr="00272113">
        <w:rPr>
          <w:lang w:val="es-419"/>
        </w:rPr>
        <w:t>específicas</w:t>
      </w:r>
      <w:r w:rsidR="00CF7490" w:rsidRPr="00272113">
        <w:rPr>
          <w:lang w:val="es-419"/>
        </w:rPr>
        <w:t xml:space="preserve"> de apoyo educativo. </w:t>
      </w:r>
      <w:r w:rsidR="00B925BD">
        <w:rPr>
          <w:lang w:val="es-419"/>
        </w:rPr>
        <w:t>A</w:t>
      </w:r>
      <w:r w:rsidR="006E6438" w:rsidRPr="00272113">
        <w:rPr>
          <w:lang w:val="es-419"/>
        </w:rPr>
        <w:t>demás</w:t>
      </w:r>
      <w:r w:rsidR="00B925BD">
        <w:rPr>
          <w:lang w:val="es-419"/>
        </w:rPr>
        <w:t>,</w:t>
      </w:r>
      <w:r w:rsidR="006E6438" w:rsidRPr="00272113">
        <w:rPr>
          <w:lang w:val="es-419"/>
        </w:rPr>
        <w:t xml:space="preserve"> </w:t>
      </w:r>
      <w:r w:rsidR="00E53803" w:rsidRPr="00272113">
        <w:rPr>
          <w:lang w:val="es-419"/>
        </w:rPr>
        <w:t xml:space="preserve">la “escolarización en un centro, de cualquier tipo de centro educativo, no asegura </w:t>
      </w:r>
      <w:r w:rsidR="00E53803" w:rsidRPr="006E6438">
        <w:rPr>
          <w:lang w:val="es-419"/>
        </w:rPr>
        <w:t>una educación inclusiva de calidad si la realidad y las practicas continúan siendo segregadoras como [ha sido su]</w:t>
      </w:r>
      <w:r w:rsidR="00CE6B31">
        <w:rPr>
          <w:lang w:val="es-419"/>
        </w:rPr>
        <w:t xml:space="preserve"> </w:t>
      </w:r>
      <w:r w:rsidR="00E53803" w:rsidRPr="006E6438">
        <w:rPr>
          <w:lang w:val="es-419"/>
        </w:rPr>
        <w:t xml:space="preserve">vivencia”. </w:t>
      </w:r>
    </w:p>
    <w:p w14:paraId="516BC898" w14:textId="4598B18E" w:rsidR="00994152" w:rsidRDefault="00E46DEF" w:rsidP="00F563BB">
      <w:pPr>
        <w:pStyle w:val="SingleTxtG"/>
        <w:rPr>
          <w:lang w:val="es-419"/>
        </w:rPr>
      </w:pPr>
      <w:r>
        <w:rPr>
          <w:lang w:val="es-419"/>
        </w:rPr>
        <w:t>6.6</w:t>
      </w:r>
      <w:r>
        <w:rPr>
          <w:lang w:val="es-419"/>
        </w:rPr>
        <w:tab/>
      </w:r>
      <w:r w:rsidR="00752CDC">
        <w:rPr>
          <w:lang w:val="es-419"/>
        </w:rPr>
        <w:t xml:space="preserve">Finalmente, </w:t>
      </w:r>
      <w:r w:rsidR="005069B0">
        <w:rPr>
          <w:lang w:val="es-419"/>
        </w:rPr>
        <w:t>los autores</w:t>
      </w:r>
      <w:r w:rsidR="00752CDC">
        <w:rPr>
          <w:lang w:val="es-419"/>
        </w:rPr>
        <w:t xml:space="preserve"> reitera</w:t>
      </w:r>
      <w:r w:rsidR="005069B0">
        <w:rPr>
          <w:lang w:val="es-419"/>
        </w:rPr>
        <w:t>n</w:t>
      </w:r>
      <w:r w:rsidR="00752CDC">
        <w:rPr>
          <w:lang w:val="es-419"/>
        </w:rPr>
        <w:t xml:space="preserve"> sus alegaciones con respecto a las vulneraciones de los artículos </w:t>
      </w:r>
      <w:r w:rsidR="00752CDC" w:rsidRPr="00752CDC">
        <w:rPr>
          <w:lang w:val="es-419"/>
        </w:rPr>
        <w:t>4, 7, 13, 15, 17 y 23 de la Convención</w:t>
      </w:r>
      <w:r w:rsidR="00791866">
        <w:rPr>
          <w:lang w:val="es-419"/>
        </w:rPr>
        <w:t xml:space="preserve">. </w:t>
      </w:r>
      <w:r w:rsidR="00BF1674">
        <w:rPr>
          <w:lang w:val="es-419"/>
        </w:rPr>
        <w:t>N</w:t>
      </w:r>
      <w:r w:rsidR="00791866">
        <w:rPr>
          <w:lang w:val="es-419"/>
        </w:rPr>
        <w:t>unca obtuv</w:t>
      </w:r>
      <w:r w:rsidR="00032998">
        <w:rPr>
          <w:lang w:val="es-419"/>
        </w:rPr>
        <w:t>ieron</w:t>
      </w:r>
      <w:r w:rsidR="00791866">
        <w:rPr>
          <w:lang w:val="es-419"/>
        </w:rPr>
        <w:t xml:space="preserve"> una protección adecuada de la </w:t>
      </w:r>
      <w:r w:rsidR="00791866" w:rsidRPr="00F563BB">
        <w:t>Administración</w:t>
      </w:r>
      <w:r w:rsidR="00791866">
        <w:rPr>
          <w:lang w:val="es-419"/>
        </w:rPr>
        <w:t xml:space="preserve"> ni una tutela efectiva de sus derechos reconocidos en la </w:t>
      </w:r>
      <w:r w:rsidR="004735BC">
        <w:rPr>
          <w:lang w:val="es-419"/>
        </w:rPr>
        <w:t>Convención</w:t>
      </w:r>
      <w:r w:rsidR="00791866">
        <w:rPr>
          <w:lang w:val="es-419"/>
        </w:rPr>
        <w:t xml:space="preserve"> y consagrados en la Constitución del Estado parte. Se vulner</w:t>
      </w:r>
      <w:r w:rsidR="00BF1674">
        <w:rPr>
          <w:lang w:val="es-419"/>
        </w:rPr>
        <w:t>aron</w:t>
      </w:r>
      <w:r w:rsidR="00791866">
        <w:rPr>
          <w:lang w:val="es-419"/>
        </w:rPr>
        <w:t xml:space="preserve"> </w:t>
      </w:r>
      <w:r w:rsidR="00032998">
        <w:rPr>
          <w:lang w:val="es-419"/>
        </w:rPr>
        <w:t>los</w:t>
      </w:r>
      <w:r w:rsidR="00791866">
        <w:rPr>
          <w:lang w:val="es-419"/>
        </w:rPr>
        <w:t xml:space="preserve"> derecho</w:t>
      </w:r>
      <w:r w:rsidR="00BF1674">
        <w:rPr>
          <w:lang w:val="es-419"/>
        </w:rPr>
        <w:t>s</w:t>
      </w:r>
      <w:r w:rsidR="00791866">
        <w:rPr>
          <w:lang w:val="es-419"/>
        </w:rPr>
        <w:t xml:space="preserve"> </w:t>
      </w:r>
      <w:r w:rsidR="00032998">
        <w:rPr>
          <w:lang w:val="es-419"/>
        </w:rPr>
        <w:t xml:space="preserve">de Rubén </w:t>
      </w:r>
      <w:r w:rsidR="00791866">
        <w:rPr>
          <w:lang w:val="es-419"/>
        </w:rPr>
        <w:t xml:space="preserve">a la igualdad y </w:t>
      </w:r>
      <w:r w:rsidR="003B61F2">
        <w:rPr>
          <w:lang w:val="es-419"/>
        </w:rPr>
        <w:t xml:space="preserve">a la </w:t>
      </w:r>
      <w:r w:rsidR="00791866">
        <w:rPr>
          <w:lang w:val="es-419"/>
        </w:rPr>
        <w:t xml:space="preserve">no discriminación </w:t>
      </w:r>
      <w:proofErr w:type="gramStart"/>
      <w:r w:rsidR="00791866">
        <w:rPr>
          <w:lang w:val="es-419"/>
        </w:rPr>
        <w:t>en razón de</w:t>
      </w:r>
      <w:proofErr w:type="gramEnd"/>
      <w:r w:rsidR="00791866">
        <w:rPr>
          <w:lang w:val="es-419"/>
        </w:rPr>
        <w:t xml:space="preserve"> su discapacidad, afectando sin duda y gravemente su dignidad e integridad moral. </w:t>
      </w:r>
    </w:p>
    <w:p w14:paraId="2EFB60A9" w14:textId="6BC06B71" w:rsidR="00994152" w:rsidRPr="00E53803" w:rsidRDefault="00E46DEF" w:rsidP="00BF1674">
      <w:pPr>
        <w:pStyle w:val="SingleTxtG"/>
        <w:rPr>
          <w:lang w:val="es-419"/>
        </w:rPr>
      </w:pPr>
      <w:r>
        <w:rPr>
          <w:lang w:val="es-419"/>
        </w:rPr>
        <w:t>6.7</w:t>
      </w:r>
      <w:r>
        <w:rPr>
          <w:lang w:val="es-419"/>
        </w:rPr>
        <w:tab/>
      </w:r>
      <w:r w:rsidR="00BF1674">
        <w:rPr>
          <w:lang w:val="es-419"/>
        </w:rPr>
        <w:t>L</w:t>
      </w:r>
      <w:r w:rsidR="00CD0053">
        <w:rPr>
          <w:lang w:val="es-419"/>
        </w:rPr>
        <w:t xml:space="preserve">a </w:t>
      </w:r>
      <w:r w:rsidR="00CE6B31">
        <w:rPr>
          <w:lang w:val="es-419"/>
        </w:rPr>
        <w:t>o</w:t>
      </w:r>
      <w:r w:rsidR="00CD0053">
        <w:rPr>
          <w:lang w:val="es-419"/>
        </w:rPr>
        <w:t xml:space="preserve">rden </w:t>
      </w:r>
      <w:r w:rsidR="00CD0053" w:rsidRPr="00EC26C9">
        <w:rPr>
          <w:lang w:val="es-419"/>
        </w:rPr>
        <w:t xml:space="preserve">EDU/465/2017 de 13 de junio de 2017, la cual sigue amparando la existencia de educación especial segregada contraria a la </w:t>
      </w:r>
      <w:r w:rsidR="00EB0FE6" w:rsidRPr="00EC26C9">
        <w:rPr>
          <w:lang w:val="es-419"/>
        </w:rPr>
        <w:t>Convención</w:t>
      </w:r>
      <w:r w:rsidR="00CD0053" w:rsidRPr="00EC26C9">
        <w:rPr>
          <w:lang w:val="es-419"/>
        </w:rPr>
        <w:t>, se emitió con posterioridad a la visita del Comité al Estado parte</w:t>
      </w:r>
      <w:r w:rsidR="004769C7" w:rsidRPr="00EC26C9">
        <w:rPr>
          <w:lang w:val="es-419"/>
        </w:rPr>
        <w:t xml:space="preserve">. </w:t>
      </w:r>
      <w:r w:rsidR="00BF1674">
        <w:rPr>
          <w:lang w:val="es-419"/>
        </w:rPr>
        <w:t>T</w:t>
      </w:r>
      <w:r w:rsidR="004769C7" w:rsidRPr="00EC26C9">
        <w:rPr>
          <w:lang w:val="es-419"/>
        </w:rPr>
        <w:t>ras esa visita</w:t>
      </w:r>
      <w:r w:rsidR="00155159" w:rsidRPr="00EC26C9">
        <w:rPr>
          <w:lang w:val="es-419"/>
        </w:rPr>
        <w:t>,</w:t>
      </w:r>
      <w:r w:rsidR="00BF1674">
        <w:rPr>
          <w:lang w:val="es-419"/>
        </w:rPr>
        <w:t xml:space="preserve"> el Comité concluyó, </w:t>
      </w:r>
      <w:r w:rsidR="00F377CB">
        <w:rPr>
          <w:lang w:val="es-419"/>
        </w:rPr>
        <w:t>entre otras cosas</w:t>
      </w:r>
      <w:r w:rsidR="00BF1674">
        <w:rPr>
          <w:lang w:val="es-419"/>
        </w:rPr>
        <w:t>, que</w:t>
      </w:r>
      <w:r w:rsidR="00155159" w:rsidRPr="00EC26C9">
        <w:rPr>
          <w:lang w:val="es-419"/>
        </w:rPr>
        <w:t xml:space="preserve"> “un sistema inclusivo basado en el derecho a la no discriminación e igualdad de </w:t>
      </w:r>
      <w:proofErr w:type="gramStart"/>
      <w:r w:rsidR="00155159" w:rsidRPr="00EC26C9">
        <w:rPr>
          <w:lang w:val="es-419"/>
        </w:rPr>
        <w:t>oportunidades,</w:t>
      </w:r>
      <w:proofErr w:type="gramEnd"/>
      <w:r w:rsidR="00155159" w:rsidRPr="00EC26C9">
        <w:rPr>
          <w:lang w:val="es-419"/>
        </w:rPr>
        <w:t xml:space="preserve"> requiere la abolición del sistema separado de educación para estudiantes con discapacidad”</w:t>
      </w:r>
      <w:r w:rsidR="004769C7" w:rsidRPr="00EC26C9">
        <w:rPr>
          <w:rStyle w:val="Refdenotaalpie"/>
          <w:lang w:val="es-419"/>
        </w:rPr>
        <w:footnoteReference w:id="15"/>
      </w:r>
      <w:r w:rsidR="004769C7" w:rsidRPr="00EC26C9">
        <w:rPr>
          <w:lang w:val="es-419"/>
        </w:rPr>
        <w:t xml:space="preserve">. </w:t>
      </w:r>
      <w:r w:rsidR="00155159" w:rsidRPr="00EC26C9">
        <w:rPr>
          <w:lang w:val="es-419"/>
        </w:rPr>
        <w:t>Además</w:t>
      </w:r>
      <w:r w:rsidR="002560C6" w:rsidRPr="00EC26C9">
        <w:rPr>
          <w:lang w:val="es-419"/>
        </w:rPr>
        <w:t xml:space="preserve">, </w:t>
      </w:r>
      <w:r w:rsidR="00032998">
        <w:rPr>
          <w:lang w:val="es-419"/>
        </w:rPr>
        <w:t>los autores</w:t>
      </w:r>
      <w:r w:rsidR="002560C6" w:rsidRPr="00EC26C9">
        <w:rPr>
          <w:lang w:val="es-419"/>
        </w:rPr>
        <w:t xml:space="preserve"> recuerda</w:t>
      </w:r>
      <w:r w:rsidR="00032998">
        <w:rPr>
          <w:lang w:val="es-419"/>
        </w:rPr>
        <w:t>n</w:t>
      </w:r>
      <w:r w:rsidR="002560C6" w:rsidRPr="00EC26C9">
        <w:rPr>
          <w:lang w:val="es-419"/>
        </w:rPr>
        <w:t xml:space="preserve"> que </w:t>
      </w:r>
      <w:r w:rsidR="00032998">
        <w:rPr>
          <w:lang w:val="es-419"/>
        </w:rPr>
        <w:t>los</w:t>
      </w:r>
      <w:r w:rsidR="002560C6" w:rsidRPr="00EC26C9">
        <w:rPr>
          <w:lang w:val="es-419"/>
        </w:rPr>
        <w:t xml:space="preserve"> padres</w:t>
      </w:r>
      <w:r w:rsidR="00032998">
        <w:rPr>
          <w:lang w:val="es-419"/>
        </w:rPr>
        <w:t xml:space="preserve"> de Rubén</w:t>
      </w:r>
      <w:r w:rsidR="002560C6" w:rsidRPr="00EC26C9">
        <w:rPr>
          <w:lang w:val="es-419"/>
        </w:rPr>
        <w:t xml:space="preserve"> fueron perseguidos </w:t>
      </w:r>
      <w:r w:rsidR="00A36B0A" w:rsidRPr="00EC26C9">
        <w:rPr>
          <w:lang w:val="es-419"/>
        </w:rPr>
        <w:t>penalmente</w:t>
      </w:r>
      <w:r w:rsidR="002560C6" w:rsidRPr="00EC26C9">
        <w:rPr>
          <w:lang w:val="es-419"/>
        </w:rPr>
        <w:t xml:space="preserve"> por el delito de abandono de familia al exigir </w:t>
      </w:r>
      <w:r w:rsidR="00032998">
        <w:rPr>
          <w:lang w:val="es-419"/>
        </w:rPr>
        <w:t>el</w:t>
      </w:r>
      <w:r w:rsidR="002560C6" w:rsidRPr="00EC26C9">
        <w:rPr>
          <w:lang w:val="es-419"/>
        </w:rPr>
        <w:t xml:space="preserve"> derecho </w:t>
      </w:r>
      <w:r w:rsidR="00032998">
        <w:rPr>
          <w:lang w:val="es-419"/>
        </w:rPr>
        <w:t xml:space="preserve">de Rubén </w:t>
      </w:r>
      <w:r w:rsidR="002560C6" w:rsidRPr="00EC26C9">
        <w:rPr>
          <w:lang w:val="es-419"/>
        </w:rPr>
        <w:t xml:space="preserve">a una educación inclusiva en igualdad de condiciones con un elevado coste personal, familiar, social, de salud y económico asociado al durísimo proceso de defensa del derecho fundamental a la educación inclusiva de </w:t>
      </w:r>
      <w:r w:rsidR="002D17BC" w:rsidRPr="002D17BC">
        <w:rPr>
          <w:lang w:val="es-419"/>
        </w:rPr>
        <w:t>Rubén</w:t>
      </w:r>
      <w:r w:rsidR="002560C6" w:rsidRPr="00EC26C9">
        <w:rPr>
          <w:lang w:val="es-419"/>
        </w:rPr>
        <w:t xml:space="preserve"> durante más de </w:t>
      </w:r>
      <w:r w:rsidR="00BF1674">
        <w:rPr>
          <w:lang w:val="es-419"/>
        </w:rPr>
        <w:t>siete</w:t>
      </w:r>
      <w:r w:rsidR="002560C6" w:rsidRPr="00EC26C9">
        <w:rPr>
          <w:lang w:val="es-419"/>
        </w:rPr>
        <w:t xml:space="preserve"> años. </w:t>
      </w:r>
      <w:r w:rsidR="000E260B" w:rsidRPr="00EC26C9">
        <w:rPr>
          <w:lang w:val="es-419"/>
        </w:rPr>
        <w:t>Resalta</w:t>
      </w:r>
      <w:r w:rsidR="00032998">
        <w:rPr>
          <w:lang w:val="es-419"/>
        </w:rPr>
        <w:t>n</w:t>
      </w:r>
      <w:r w:rsidR="000E260B" w:rsidRPr="00EC26C9">
        <w:rPr>
          <w:lang w:val="es-419"/>
        </w:rPr>
        <w:t xml:space="preserve"> la recomendación del Comité según la cual el Estado parte debe </w:t>
      </w:r>
      <w:r w:rsidR="00A36B0A" w:rsidRPr="00EC26C9">
        <w:rPr>
          <w:lang w:val="es-419"/>
        </w:rPr>
        <w:t>“</w:t>
      </w:r>
      <w:r w:rsidR="00CE6B31">
        <w:rPr>
          <w:lang w:val="es-419"/>
        </w:rPr>
        <w:t>[</w:t>
      </w:r>
      <w:r w:rsidR="000E260B" w:rsidRPr="00EC26C9">
        <w:rPr>
          <w:lang w:val="es-419"/>
        </w:rPr>
        <w:t>v</w:t>
      </w:r>
      <w:r w:rsidR="00CE6B31">
        <w:rPr>
          <w:lang w:val="es-419"/>
        </w:rPr>
        <w:t>]</w:t>
      </w:r>
      <w:proofErr w:type="spellStart"/>
      <w:r w:rsidR="000E260B" w:rsidRPr="00EC26C9">
        <w:rPr>
          <w:lang w:val="es-419"/>
        </w:rPr>
        <w:t>igilar</w:t>
      </w:r>
      <w:proofErr w:type="spellEnd"/>
      <w:r w:rsidR="000E260B" w:rsidRPr="00EC26C9">
        <w:rPr>
          <w:lang w:val="es-419"/>
        </w:rPr>
        <w:t xml:space="preserve"> que no se pueda perseguir penalmente a los padres de alumnos con discapacidad por el delito de abandono familiar por exigir el derecho de sus hijos a una educación inclusiva en igualdad de condiciones”</w:t>
      </w:r>
      <w:r w:rsidR="003325B7" w:rsidRPr="00EC26C9">
        <w:rPr>
          <w:rStyle w:val="Refdenotaalpie"/>
          <w:lang w:val="es-419"/>
        </w:rPr>
        <w:footnoteReference w:id="16"/>
      </w:r>
      <w:r w:rsidR="000E260B" w:rsidRPr="00EC26C9">
        <w:rPr>
          <w:lang w:val="es-419"/>
        </w:rPr>
        <w:t xml:space="preserve">. </w:t>
      </w:r>
      <w:r w:rsidR="00A74478" w:rsidRPr="00EC26C9">
        <w:rPr>
          <w:lang w:val="es-419"/>
        </w:rPr>
        <w:t>Solicita</w:t>
      </w:r>
      <w:r w:rsidR="00032998">
        <w:rPr>
          <w:lang w:val="es-419"/>
        </w:rPr>
        <w:t>n</w:t>
      </w:r>
      <w:r w:rsidR="00A74478" w:rsidRPr="00EC26C9">
        <w:rPr>
          <w:lang w:val="es-419"/>
        </w:rPr>
        <w:t xml:space="preserve"> </w:t>
      </w:r>
      <w:r w:rsidR="00105C9C" w:rsidRPr="00EC26C9">
        <w:rPr>
          <w:lang w:val="es-419"/>
        </w:rPr>
        <w:t>que el</w:t>
      </w:r>
      <w:r w:rsidR="00A74478" w:rsidRPr="00EC26C9">
        <w:rPr>
          <w:lang w:val="es-419"/>
        </w:rPr>
        <w:t xml:space="preserve"> “cumplimiento de la </w:t>
      </w:r>
      <w:r w:rsidR="00EB0FE6" w:rsidRPr="00EC26C9">
        <w:rPr>
          <w:lang w:val="es-419"/>
        </w:rPr>
        <w:t>Convención</w:t>
      </w:r>
      <w:r w:rsidR="00A74478" w:rsidRPr="00EC26C9">
        <w:rPr>
          <w:lang w:val="es-419"/>
        </w:rPr>
        <w:t xml:space="preserve"> sea veraz y cierto para que no se vuelvan a reproducir estas gravísimas violaciones de la </w:t>
      </w:r>
      <w:r w:rsidR="00EB0FE6" w:rsidRPr="00EC26C9">
        <w:rPr>
          <w:lang w:val="es-419"/>
        </w:rPr>
        <w:t>Convención</w:t>
      </w:r>
      <w:r w:rsidR="00A74478" w:rsidRPr="00EC26C9">
        <w:rPr>
          <w:lang w:val="es-419"/>
        </w:rPr>
        <w:t xml:space="preserve"> que provocan gran daño real y efectivo [a</w:t>
      </w:r>
      <w:r w:rsidR="00032998">
        <w:rPr>
          <w:lang w:val="es-419"/>
        </w:rPr>
        <w:t xml:space="preserve"> Rubén</w:t>
      </w:r>
      <w:r w:rsidR="00A74478" w:rsidRPr="00EC26C9">
        <w:rPr>
          <w:lang w:val="es-419"/>
        </w:rPr>
        <w:t xml:space="preserve">] pues todavía sigue soportando esta desprotección ante la situación de discriminación y de lesión de sus derechos fundamentales”. </w:t>
      </w:r>
    </w:p>
    <w:p w14:paraId="7CB80D61" w14:textId="77777777" w:rsidR="003212CC" w:rsidRPr="0029628D" w:rsidRDefault="003212CC" w:rsidP="00022D66">
      <w:pPr>
        <w:pStyle w:val="H1G"/>
      </w:pPr>
      <w:r w:rsidRPr="0029628D">
        <w:lastRenderedPageBreak/>
        <w:tab/>
        <w:t>B.</w:t>
      </w:r>
      <w:r w:rsidRPr="0029628D">
        <w:tab/>
        <w:t>Examen del Comité sobre la admisibilidad y el fondo</w:t>
      </w:r>
    </w:p>
    <w:p w14:paraId="3BE64836" w14:textId="77777777" w:rsidR="003212CC" w:rsidRPr="0029628D" w:rsidRDefault="003212CC" w:rsidP="005748CF">
      <w:pPr>
        <w:pStyle w:val="H23G"/>
      </w:pPr>
      <w:r>
        <w:tab/>
      </w:r>
      <w:r>
        <w:tab/>
      </w:r>
      <w:r w:rsidRPr="0029628D">
        <w:t>Examen de la admisibilidad</w:t>
      </w:r>
    </w:p>
    <w:p w14:paraId="0C6D10C5" w14:textId="77777777" w:rsidR="003212CC" w:rsidRPr="0029628D" w:rsidRDefault="001F4CDB" w:rsidP="003212CC">
      <w:pPr>
        <w:pStyle w:val="SingleTxtG"/>
      </w:pPr>
      <w:r>
        <w:t>7</w:t>
      </w:r>
      <w:r w:rsidR="003212CC" w:rsidRPr="0029628D">
        <w:t>.1</w:t>
      </w:r>
      <w:r w:rsidR="003212CC" w:rsidRPr="0029628D">
        <w:tab/>
        <w:t>Antes de examinar toda reclamación formulada en una comunicación, el Comité debe decidir, de conformidad con el artículo 2 del Protocolo Facultativo y el artículo 65 de su reglamento, si dicha comunicación es admisible en virtud del Protocolo Facultativo.</w:t>
      </w:r>
    </w:p>
    <w:p w14:paraId="4F28FE2D" w14:textId="28793E37" w:rsidR="005D656A" w:rsidRDefault="0057426B" w:rsidP="003212CC">
      <w:pPr>
        <w:pStyle w:val="SingleTxtG"/>
      </w:pPr>
      <w:r>
        <w:t>7</w:t>
      </w:r>
      <w:r w:rsidR="003212CC" w:rsidRPr="0029628D">
        <w:t>.2</w:t>
      </w:r>
      <w:r w:rsidR="003212CC" w:rsidRPr="0029628D">
        <w:tab/>
      </w:r>
      <w:r w:rsidR="005D656A" w:rsidRPr="005D656A">
        <w:t xml:space="preserve">El Comité toma nota de que </w:t>
      </w:r>
      <w:r w:rsidR="00B1116D">
        <w:t>los autores</w:t>
      </w:r>
      <w:r w:rsidR="005D656A" w:rsidRPr="005D656A">
        <w:t xml:space="preserve"> present</w:t>
      </w:r>
      <w:r w:rsidR="00B1116D">
        <w:t>aron</w:t>
      </w:r>
      <w:r w:rsidR="005D656A" w:rsidRPr="005D656A">
        <w:t xml:space="preserve"> una demanda ante el Tribunal Europeo de Derechos Humanos, basada en los mismos hechos presentados ante el Comité. Mediante decisión de </w:t>
      </w:r>
      <w:r w:rsidR="00552BAE">
        <w:t>13 de noviembre</w:t>
      </w:r>
      <w:r w:rsidR="005D656A" w:rsidRPr="005D656A">
        <w:t xml:space="preserve"> de 201</w:t>
      </w:r>
      <w:r w:rsidR="00552BAE">
        <w:t>4</w:t>
      </w:r>
      <w:r w:rsidR="005D656A" w:rsidRPr="005D656A">
        <w:t>, el Tribunal Europeo consideró que su demanda “no cumplía con los criterios de admisibilidad establecidos en los artículos 34 y 35 de</w:t>
      </w:r>
      <w:r w:rsidR="006C7F77">
        <w:t>l Convenio [Europeo de Derechos Humanos]</w:t>
      </w:r>
      <w:r w:rsidR="005D656A" w:rsidRPr="005D656A">
        <w:t xml:space="preserve">”. </w:t>
      </w:r>
      <w:r w:rsidR="007A3CC8" w:rsidRPr="00854D5D">
        <w:t>El Comité recuer</w:t>
      </w:r>
      <w:r w:rsidR="007A3CC8">
        <w:t>d</w:t>
      </w:r>
      <w:r w:rsidR="007A3CC8" w:rsidRPr="00854D5D">
        <w:t>a que, cuando el Tribunal Europeo basa una declaración de inadmisibilidad no s</w:t>
      </w:r>
      <w:r w:rsidR="007A3CC8">
        <w:t>o</w:t>
      </w:r>
      <w:r w:rsidR="007A3CC8" w:rsidRPr="00854D5D">
        <w:t>lo en argumentos de admisibilidad</w:t>
      </w:r>
      <w:r w:rsidR="007A3CC8">
        <w:t>,</w:t>
      </w:r>
      <w:r w:rsidR="007A3CC8" w:rsidRPr="00854D5D">
        <w:t xml:space="preserve"> sino que también incluye una cierta consideración del fondo del asunto, se debe considerar que “la misma cuestión” ha sido examinada en el sentido del artículo 2</w:t>
      </w:r>
      <w:r w:rsidR="007A3CC8">
        <w:t>, apartado</w:t>
      </w:r>
      <w:r w:rsidR="007A3CC8" w:rsidRPr="00854D5D">
        <w:t xml:space="preserve"> c)</w:t>
      </w:r>
      <w:r w:rsidR="007A3CC8">
        <w:t>,</w:t>
      </w:r>
      <w:r w:rsidR="007A3CC8" w:rsidRPr="00854D5D">
        <w:t xml:space="preserve"> del Protocolo Facultativo</w:t>
      </w:r>
      <w:r w:rsidR="007A3CC8" w:rsidRPr="0071113D">
        <w:rPr>
          <w:bCs/>
          <w:sz w:val="18"/>
          <w:szCs w:val="18"/>
          <w:vertAlign w:val="superscript"/>
          <w:lang w:eastAsia="en-US"/>
        </w:rPr>
        <w:footnoteReference w:id="17"/>
      </w:r>
      <w:r w:rsidR="007A3CC8">
        <w:rPr>
          <w:lang w:eastAsia="en-US"/>
        </w:rPr>
        <w:t>.</w:t>
      </w:r>
      <w:r w:rsidR="007A3CC8" w:rsidRPr="00854D5D">
        <w:rPr>
          <w:lang w:eastAsia="en-US"/>
        </w:rPr>
        <w:t xml:space="preserve"> Sin embargo, </w:t>
      </w:r>
      <w:r w:rsidR="007D3DB3">
        <w:rPr>
          <w:lang w:eastAsia="en-US"/>
        </w:rPr>
        <w:t>tomando en cuenta</w:t>
      </w:r>
      <w:r w:rsidR="007A3CC8">
        <w:rPr>
          <w:lang w:eastAsia="en-US"/>
        </w:rPr>
        <w:t xml:space="preserve"> e</w:t>
      </w:r>
      <w:r w:rsidR="007A3CC8" w:rsidRPr="00854D5D">
        <w:rPr>
          <w:lang w:eastAsia="en-US"/>
        </w:rPr>
        <w:t>l car</w:t>
      </w:r>
      <w:r w:rsidR="007A3CC8" w:rsidRPr="00193DAB">
        <w:rPr>
          <w:lang w:eastAsia="en-US"/>
        </w:rPr>
        <w:t>ácter suci</w:t>
      </w:r>
      <w:r w:rsidR="007A3CC8" w:rsidRPr="00854D5D">
        <w:rPr>
          <w:lang w:eastAsia="en-US"/>
        </w:rPr>
        <w:t>nto de la decisión del Tribunal</w:t>
      </w:r>
      <w:r w:rsidR="007A3CC8">
        <w:rPr>
          <w:lang w:eastAsia="en-US"/>
        </w:rPr>
        <w:t xml:space="preserve"> Europeo</w:t>
      </w:r>
      <w:r w:rsidR="007A3CC8" w:rsidRPr="00854D5D">
        <w:rPr>
          <w:lang w:eastAsia="en-US"/>
        </w:rPr>
        <w:t xml:space="preserve">, y en particular, la ausencia de todo argumento o aclaración para justificar el rechazo de la queja </w:t>
      </w:r>
      <w:r w:rsidR="003D2518" w:rsidRPr="00854D5D">
        <w:rPr>
          <w:lang w:eastAsia="en-US"/>
        </w:rPr>
        <w:t>de</w:t>
      </w:r>
      <w:r w:rsidR="003D2518">
        <w:rPr>
          <w:lang w:eastAsia="en-US"/>
        </w:rPr>
        <w:t xml:space="preserve"> los</w:t>
      </w:r>
      <w:r w:rsidR="003D2518" w:rsidRPr="00854D5D">
        <w:rPr>
          <w:lang w:eastAsia="en-US"/>
        </w:rPr>
        <w:t xml:space="preserve"> autor</w:t>
      </w:r>
      <w:r w:rsidR="003D2518">
        <w:rPr>
          <w:lang w:eastAsia="en-US"/>
        </w:rPr>
        <w:t xml:space="preserve">es </w:t>
      </w:r>
      <w:r w:rsidR="007A3CC8">
        <w:rPr>
          <w:lang w:eastAsia="en-US"/>
        </w:rPr>
        <w:t>en cuanto al</w:t>
      </w:r>
      <w:r w:rsidR="007A3CC8" w:rsidRPr="00854D5D">
        <w:rPr>
          <w:lang w:eastAsia="en-US"/>
        </w:rPr>
        <w:t xml:space="preserve"> fondo</w:t>
      </w:r>
      <w:r w:rsidR="007A3CC8" w:rsidRPr="00854D5D">
        <w:rPr>
          <w:bCs/>
          <w:sz w:val="18"/>
          <w:vertAlign w:val="superscript"/>
          <w:lang w:eastAsia="en-US"/>
        </w:rPr>
        <w:footnoteReference w:id="18"/>
      </w:r>
      <w:r w:rsidR="007A3CC8" w:rsidRPr="00854D5D">
        <w:rPr>
          <w:lang w:eastAsia="en-US"/>
        </w:rPr>
        <w:t xml:space="preserve">, el Comité considera que no se encuentra en posición de determinar con certidumbre que el caso presentado por </w:t>
      </w:r>
      <w:r w:rsidR="007055B6">
        <w:rPr>
          <w:lang w:eastAsia="en-US"/>
        </w:rPr>
        <w:t>los</w:t>
      </w:r>
      <w:r w:rsidR="007055B6" w:rsidRPr="00854D5D">
        <w:rPr>
          <w:lang w:eastAsia="en-US"/>
        </w:rPr>
        <w:t xml:space="preserve"> autor</w:t>
      </w:r>
      <w:r w:rsidR="007055B6">
        <w:rPr>
          <w:lang w:eastAsia="en-US"/>
        </w:rPr>
        <w:t xml:space="preserve">es </w:t>
      </w:r>
      <w:r w:rsidR="007A3CC8" w:rsidRPr="00854D5D">
        <w:rPr>
          <w:lang w:eastAsia="en-US"/>
        </w:rPr>
        <w:t>ya haya sido objeto de examen, aun</w:t>
      </w:r>
      <w:r w:rsidR="007A3CC8">
        <w:rPr>
          <w:lang w:eastAsia="en-US"/>
        </w:rPr>
        <w:t>que</w:t>
      </w:r>
      <w:r w:rsidR="007A3CC8" w:rsidRPr="00854D5D">
        <w:rPr>
          <w:lang w:eastAsia="en-US"/>
        </w:rPr>
        <w:t xml:space="preserve"> limitado, en cuanto al fondo</w:t>
      </w:r>
      <w:r w:rsidR="007A3CC8" w:rsidRPr="0071113D">
        <w:rPr>
          <w:bCs/>
          <w:sz w:val="18"/>
          <w:szCs w:val="18"/>
          <w:vertAlign w:val="superscript"/>
          <w:lang w:eastAsia="en-US"/>
        </w:rPr>
        <w:footnoteReference w:id="19"/>
      </w:r>
      <w:r w:rsidR="007A3CC8">
        <w:rPr>
          <w:lang w:eastAsia="en-US"/>
        </w:rPr>
        <w:t>.</w:t>
      </w:r>
      <w:r w:rsidR="007A3CC8" w:rsidRPr="00854D5D">
        <w:rPr>
          <w:lang w:eastAsia="en-US"/>
        </w:rPr>
        <w:t xml:space="preserve"> </w:t>
      </w:r>
      <w:r w:rsidR="007A3CC8" w:rsidRPr="00193DAB">
        <w:t>En consecuencia, el Comité considera que el artículo 2</w:t>
      </w:r>
      <w:r w:rsidR="007A3CC8">
        <w:t>, apartado</w:t>
      </w:r>
      <w:r w:rsidR="007A3CC8" w:rsidRPr="00193DAB">
        <w:t xml:space="preserve"> c)</w:t>
      </w:r>
      <w:r w:rsidR="007A3CC8">
        <w:t>,</w:t>
      </w:r>
      <w:r w:rsidR="007A3CC8" w:rsidRPr="00193DAB">
        <w:t xml:space="preserve"> del Protocolo </w:t>
      </w:r>
      <w:r w:rsidR="007A3CC8" w:rsidRPr="005E32DD">
        <w:t>Facultativo no constituye un obstáculo a la admisibilidad de la presente comunicación.</w:t>
      </w:r>
    </w:p>
    <w:p w14:paraId="72ABEF6B" w14:textId="731EB44C" w:rsidR="004D3C74" w:rsidRPr="001C7514" w:rsidRDefault="00E46DEF" w:rsidP="004D3C74">
      <w:pPr>
        <w:pStyle w:val="SingleTxtG"/>
        <w:rPr>
          <w:lang w:val="es-AR"/>
        </w:rPr>
      </w:pPr>
      <w:r>
        <w:t>7.3</w:t>
      </w:r>
      <w:r>
        <w:tab/>
      </w:r>
      <w:r w:rsidR="004D3C74" w:rsidRPr="001C7514">
        <w:t>El Comité toma nota de la afirmación de</w:t>
      </w:r>
      <w:r w:rsidR="00B1116D">
        <w:t xml:space="preserve"> </w:t>
      </w:r>
      <w:r w:rsidR="004D3C74">
        <w:t>l</w:t>
      </w:r>
      <w:r w:rsidR="00B1116D">
        <w:t>os</w:t>
      </w:r>
      <w:r w:rsidR="004D3C74">
        <w:t xml:space="preserve"> autor</w:t>
      </w:r>
      <w:r w:rsidR="00B1116D">
        <w:t>es</w:t>
      </w:r>
      <w:r w:rsidR="004D3C74" w:rsidRPr="001C7514">
        <w:t xml:space="preserve"> de que ha</w:t>
      </w:r>
      <w:r w:rsidR="00B1116D">
        <w:t>n</w:t>
      </w:r>
      <w:r w:rsidR="004D3C74" w:rsidRPr="001C7514">
        <w:t xml:space="preserve"> agotado todos los recursos internos efectivos de </w:t>
      </w:r>
      <w:r w:rsidR="002768E9">
        <w:t xml:space="preserve">los </w:t>
      </w:r>
      <w:r w:rsidR="004D3C74" w:rsidRPr="001C7514">
        <w:t>que disponía</w:t>
      </w:r>
      <w:r w:rsidR="00754930">
        <w:t>n</w:t>
      </w:r>
      <w:r w:rsidR="004D3C74" w:rsidRPr="001C7514">
        <w:t>.</w:t>
      </w:r>
      <w:r w:rsidR="00032E76">
        <w:t xml:space="preserve"> </w:t>
      </w:r>
      <w:r w:rsidR="004D3C74" w:rsidRPr="001C7514">
        <w:t xml:space="preserve">En ausencia de objeciones del Estado parte </w:t>
      </w:r>
      <w:r w:rsidR="007C4472">
        <w:t>al respecto</w:t>
      </w:r>
      <w:r w:rsidR="004D3C74" w:rsidRPr="001C7514">
        <w:t>, el Comité considera que se han cumplido los requisitos del artículo 2</w:t>
      </w:r>
      <w:r w:rsidR="0089476E">
        <w:t>, apartado</w:t>
      </w:r>
      <w:r w:rsidR="004D3C74" w:rsidRPr="001C7514">
        <w:t xml:space="preserve"> d)</w:t>
      </w:r>
      <w:r w:rsidR="0089476E">
        <w:t>,</w:t>
      </w:r>
      <w:r w:rsidR="004D3C74" w:rsidRPr="001C7514">
        <w:t xml:space="preserve"> del Protocolo Facultativo.</w:t>
      </w:r>
    </w:p>
    <w:p w14:paraId="490CCB5D" w14:textId="12331C55" w:rsidR="00236D9D" w:rsidRPr="007C4472" w:rsidRDefault="00236D9D" w:rsidP="007C4472">
      <w:pPr>
        <w:pStyle w:val="SingleTxtG"/>
        <w:rPr>
          <w:bCs/>
        </w:rPr>
      </w:pPr>
      <w:r>
        <w:t>7.</w:t>
      </w:r>
      <w:r w:rsidR="00791146">
        <w:t>4</w:t>
      </w:r>
      <w:r>
        <w:tab/>
        <w:t xml:space="preserve">El Comité observa, por último, el argumento del Estado parte de que la </w:t>
      </w:r>
      <w:r w:rsidR="007A12F7">
        <w:t xml:space="preserve">comunicación debería ser declarada </w:t>
      </w:r>
      <w:r w:rsidR="007A12F7" w:rsidRPr="00E560B2">
        <w:t xml:space="preserve">inadmisible ya que </w:t>
      </w:r>
      <w:r w:rsidR="00B1116D">
        <w:t xml:space="preserve">los </w:t>
      </w:r>
      <w:r w:rsidR="007A12F7" w:rsidRPr="00E560B2">
        <w:t>autor</w:t>
      </w:r>
      <w:r w:rsidR="00B1116D">
        <w:t>es</w:t>
      </w:r>
      <w:r w:rsidR="007A12F7" w:rsidRPr="00E560B2">
        <w:t xml:space="preserve"> ha</w:t>
      </w:r>
      <w:r w:rsidR="00B1116D">
        <w:t>n</w:t>
      </w:r>
      <w:r w:rsidR="007A12F7" w:rsidRPr="00E560B2">
        <w:t xml:space="preserve"> visto satisfecha su solicitud en cuanto a la medida de reparación solicitada, tras haber sido admitido </w:t>
      </w:r>
      <w:r w:rsidR="00B1116D">
        <w:t xml:space="preserve">Rubén </w:t>
      </w:r>
      <w:r w:rsidR="007A12F7" w:rsidRPr="00E560B2">
        <w:t xml:space="preserve">en el curso </w:t>
      </w:r>
      <w:r w:rsidR="007A12F7" w:rsidRPr="007A12F7">
        <w:t xml:space="preserve">escolar 2017/2018 en 1° de Formación Profesional Básica de Servicios Administrativos en el Centro Privado Concertado “Down León </w:t>
      </w:r>
      <w:proofErr w:type="spellStart"/>
      <w:r w:rsidR="007A12F7" w:rsidRPr="007A12F7">
        <w:t>Amidow</w:t>
      </w:r>
      <w:r w:rsidR="008C5E82">
        <w:t>n</w:t>
      </w:r>
      <w:proofErr w:type="spellEnd"/>
      <w:r w:rsidR="008C5E82">
        <w:t xml:space="preserve"> Amigos del Síndrome de Down”. Sin embargo, el Comité </w:t>
      </w:r>
      <w:r w:rsidR="007C4472">
        <w:t xml:space="preserve">también </w:t>
      </w:r>
      <w:r w:rsidR="008C5E82">
        <w:t xml:space="preserve">observa </w:t>
      </w:r>
      <w:r w:rsidR="00AD3121">
        <w:t xml:space="preserve">que </w:t>
      </w:r>
      <w:r w:rsidR="00B1116D">
        <w:t>los autores</w:t>
      </w:r>
      <w:r w:rsidR="00AD3121">
        <w:t xml:space="preserve"> considera</w:t>
      </w:r>
      <w:r w:rsidR="00B1116D">
        <w:t>n</w:t>
      </w:r>
      <w:r w:rsidR="00AD3121">
        <w:t xml:space="preserve"> que</w:t>
      </w:r>
      <w:r w:rsidR="005F0D7D">
        <w:t xml:space="preserve"> no se ha visto satisfecha su pretensión, ya que dicho centro no es un centro de educación ordinario, y</w:t>
      </w:r>
      <w:r w:rsidR="00120B97">
        <w:t xml:space="preserve"> que el ciclo de formación que recibe</w:t>
      </w:r>
      <w:r w:rsidR="005F0D7D">
        <w:t xml:space="preserve"> no es inclusivo ya que </w:t>
      </w:r>
      <w:r w:rsidR="00120B97">
        <w:t xml:space="preserve">está dirigido </w:t>
      </w:r>
      <w:r w:rsidR="007C4472">
        <w:t xml:space="preserve">únicamente </w:t>
      </w:r>
      <w:r w:rsidR="00120B97">
        <w:t>para</w:t>
      </w:r>
      <w:r w:rsidR="005F0D7D">
        <w:t xml:space="preserve"> alumnos con necesidades específicas de apoyo educativo. </w:t>
      </w:r>
      <w:r w:rsidR="00415896">
        <w:t>Igualmente, el Comité observa las alegaciones de</w:t>
      </w:r>
      <w:r w:rsidR="00AC1324">
        <w:t xml:space="preserve"> </w:t>
      </w:r>
      <w:r w:rsidR="00415896">
        <w:t>l</w:t>
      </w:r>
      <w:r w:rsidR="00AC1324">
        <w:t>os</w:t>
      </w:r>
      <w:r w:rsidR="00415896">
        <w:t xml:space="preserve"> autor</w:t>
      </w:r>
      <w:r w:rsidR="00AC1324">
        <w:t>es</w:t>
      </w:r>
      <w:r w:rsidR="00415896">
        <w:t xml:space="preserve"> según las cuales el Estado parte viol</w:t>
      </w:r>
      <w:r w:rsidR="004E569A">
        <w:t>ó</w:t>
      </w:r>
      <w:r w:rsidR="00415896">
        <w:t xml:space="preserve"> los derechos que le</w:t>
      </w:r>
      <w:r w:rsidR="004C1590">
        <w:t>s</w:t>
      </w:r>
      <w:r w:rsidR="00415896">
        <w:t xml:space="preserve"> asisten en virtud de la Convención ya que: a) la decisión administrativa de matricularlo en el Centro Educativo Especial Nuestra Señora del Sagrado Corazón</w:t>
      </w:r>
      <w:r w:rsidR="00415896" w:rsidRPr="00F27F0A">
        <w:t xml:space="preserve">, sostenida por </w:t>
      </w:r>
      <w:r w:rsidR="00415896">
        <w:t xml:space="preserve">los tribunales del Estado parte vulneró su derecho a una educación inclusiva; b) </w:t>
      </w:r>
      <w:r w:rsidR="00C371B6">
        <w:t>la denuncia interpuesta por la Fiscalía Provincial de León a sus padres por abandono de familia</w:t>
      </w:r>
      <w:r w:rsidR="004E569A">
        <w:t xml:space="preserve"> por</w:t>
      </w:r>
      <w:r w:rsidR="00C371B6">
        <w:t xml:space="preserve"> no aceptar </w:t>
      </w:r>
      <w:r w:rsidR="00F77433">
        <w:t>llevarlo</w:t>
      </w:r>
      <w:r w:rsidR="00C371B6">
        <w:t xml:space="preserve"> a un centro de educación especial vulner</w:t>
      </w:r>
      <w:r w:rsidR="004E569A">
        <w:t>ó</w:t>
      </w:r>
      <w:r w:rsidR="00C371B6">
        <w:t xml:space="preserve"> su derecho a la vida familiar; c) los actos</w:t>
      </w:r>
      <w:r w:rsidR="004E569A">
        <w:t xml:space="preserve"> supuestamente const</w:t>
      </w:r>
      <w:r w:rsidR="00F77433">
        <w:t>it</w:t>
      </w:r>
      <w:r w:rsidR="004E569A">
        <w:t>utivos</w:t>
      </w:r>
      <w:r w:rsidR="00C371B6">
        <w:t xml:space="preserve"> de discriminación y malos tratos sufridos por </w:t>
      </w:r>
      <w:r w:rsidR="007F0E05" w:rsidRPr="007F0E05">
        <w:t>Rubén</w:t>
      </w:r>
      <w:r w:rsidR="007F0E05">
        <w:t xml:space="preserve"> </w:t>
      </w:r>
      <w:r w:rsidR="00C371B6">
        <w:t xml:space="preserve">no han sido debidamente investigados </w:t>
      </w:r>
      <w:r w:rsidR="0093116F">
        <w:t xml:space="preserve">por las autoridades del Estado parte; </w:t>
      </w:r>
      <w:r w:rsidR="007F3B3D">
        <w:t>d</w:t>
      </w:r>
      <w:r w:rsidR="004E569A">
        <w:t xml:space="preserve">) </w:t>
      </w:r>
      <w:r w:rsidR="0093116F">
        <w:t xml:space="preserve">el Estado parte no ha tomado las medidas necesarias para garantizar el disfrute de todos </w:t>
      </w:r>
      <w:r w:rsidR="007C4472">
        <w:t xml:space="preserve">los </w:t>
      </w:r>
      <w:r w:rsidR="0093116F">
        <w:t>derechos</w:t>
      </w:r>
      <w:r w:rsidR="007C4472">
        <w:t xml:space="preserve"> </w:t>
      </w:r>
      <w:r w:rsidR="007F0E05">
        <w:t xml:space="preserve">de </w:t>
      </w:r>
      <w:r w:rsidR="007F0E05" w:rsidRPr="007F0E05">
        <w:t>Rubén</w:t>
      </w:r>
      <w:r w:rsidR="0093116F">
        <w:t xml:space="preserve"> en igualdad de condiciones con los demás niños y </w:t>
      </w:r>
      <w:r w:rsidR="004E569A">
        <w:t>niñas</w:t>
      </w:r>
      <w:r w:rsidR="0093116F">
        <w:t xml:space="preserve">; </w:t>
      </w:r>
      <w:r w:rsidR="004E569A">
        <w:t xml:space="preserve">y </w:t>
      </w:r>
      <w:r w:rsidR="007F3B3D">
        <w:t>e</w:t>
      </w:r>
      <w:r w:rsidR="004E569A">
        <w:t xml:space="preserve">) </w:t>
      </w:r>
      <w:r w:rsidR="0093116F">
        <w:t xml:space="preserve">el Estado parte todavía no ha adoptado un marco legislativo y una política efectiva para garantizar el </w:t>
      </w:r>
      <w:r w:rsidR="004E569A">
        <w:t>pleno</w:t>
      </w:r>
      <w:r w:rsidR="0093116F">
        <w:t xml:space="preserve"> ejercicio de los derechos humanos de</w:t>
      </w:r>
      <w:r w:rsidR="00766DFB">
        <w:t xml:space="preserve"> </w:t>
      </w:r>
      <w:r w:rsidR="00766DFB" w:rsidRPr="00766DFB">
        <w:t>Rubén</w:t>
      </w:r>
      <w:r w:rsidR="0093116F">
        <w:t xml:space="preserve">, a pesar </w:t>
      </w:r>
      <w:r w:rsidR="0093116F" w:rsidRPr="00791146">
        <w:t xml:space="preserve">de que la </w:t>
      </w:r>
      <w:r w:rsidR="004E569A" w:rsidRPr="00791146">
        <w:t>Convención</w:t>
      </w:r>
      <w:r w:rsidR="0093116F" w:rsidRPr="00791146">
        <w:t xml:space="preserve"> entr</w:t>
      </w:r>
      <w:r w:rsidR="007C4472">
        <w:t>ó</w:t>
      </w:r>
      <w:r w:rsidR="0093116F" w:rsidRPr="00791146">
        <w:t xml:space="preserve"> en vigor para el Estado parte el 3 de mayo de 2008. </w:t>
      </w:r>
      <w:r w:rsidR="007C4472">
        <w:t xml:space="preserve">En vista de lo anterior, y tomando nota de </w:t>
      </w:r>
      <w:r w:rsidR="004E569A" w:rsidRPr="00791146">
        <w:t>que el Estado parte no se ha pronunciado sobre ninguna de estas alegaciones</w:t>
      </w:r>
      <w:r w:rsidR="007C4472">
        <w:t xml:space="preserve">, el Comité considera que </w:t>
      </w:r>
      <w:r w:rsidR="004241AF">
        <w:t xml:space="preserve">los </w:t>
      </w:r>
      <w:r w:rsidR="007C4472">
        <w:t>autor</w:t>
      </w:r>
      <w:r w:rsidR="004241AF">
        <w:t>es</w:t>
      </w:r>
      <w:r w:rsidR="007C4472">
        <w:t xml:space="preserve"> ha</w:t>
      </w:r>
      <w:r w:rsidR="004241AF">
        <w:t>n</w:t>
      </w:r>
      <w:r w:rsidR="007C4472" w:rsidRPr="001C7514">
        <w:t xml:space="preserve"> fundamentado suficientemente sus alegaciones a efectos de la admisibilidad.</w:t>
      </w:r>
    </w:p>
    <w:p w14:paraId="0AE2936B" w14:textId="265E685D" w:rsidR="003A6A60" w:rsidRDefault="00E46DEF" w:rsidP="007F3B3D">
      <w:pPr>
        <w:pStyle w:val="SingleTxtG"/>
      </w:pPr>
      <w:r>
        <w:lastRenderedPageBreak/>
        <w:t>7.5</w:t>
      </w:r>
      <w:r>
        <w:tab/>
      </w:r>
      <w:r w:rsidR="007F3B3D" w:rsidRPr="000114FF">
        <w:t>El Comité toma igualmente nota de las alegaciones de los autores según las cuales el Estado parte violó los derechos de Rubén contemplados en el artículo 13 de la Convención</w:t>
      </w:r>
      <w:r w:rsidR="00900A86">
        <w:t>,</w:t>
      </w:r>
      <w:r w:rsidR="007F3B3D" w:rsidRPr="000114FF">
        <w:t xml:space="preserve"> ya que en ninguna de las sentencias, resoluciones o decretos emitidos por las autoridades del Estado parte se hace referencia a la Convención, a pesar de que los autores la hayan invocado de forma recurrente en todos los procedimientos internos. </w:t>
      </w:r>
      <w:r w:rsidR="003A6A60" w:rsidRPr="000114FF">
        <w:t>Sin embargo, el Comité considera que dichas alegaciones no han sido suficientemente fundamentadas</w:t>
      </w:r>
      <w:r w:rsidR="003A6A60">
        <w:t xml:space="preserve"> a los efectos de la admisibilidad, ya que </w:t>
      </w:r>
      <w:r w:rsidR="008E56C9">
        <w:t>los autores no proporcionan</w:t>
      </w:r>
      <w:r w:rsidR="003A6A60">
        <w:t xml:space="preserve"> información alguna sobre la falta de procesos de capacitación dirigida a las personas que trabajan en la administración de justicia</w:t>
      </w:r>
      <w:r w:rsidR="008E56C9">
        <w:t xml:space="preserve"> en el Estado parte</w:t>
      </w:r>
      <w:r w:rsidR="003A6A60">
        <w:t>, y las declara inadmisibles de conformidad con el artículo 7, apartado f)</w:t>
      </w:r>
      <w:r w:rsidR="00900A86">
        <w:t>,</w:t>
      </w:r>
      <w:r w:rsidR="003A6A60">
        <w:t xml:space="preserve"> del Protocolo Facultativo. </w:t>
      </w:r>
    </w:p>
    <w:p w14:paraId="313E212D" w14:textId="4EB8F10F" w:rsidR="003212CC" w:rsidRDefault="00791146" w:rsidP="003212CC">
      <w:pPr>
        <w:pStyle w:val="SingleTxtG"/>
      </w:pPr>
      <w:r>
        <w:t>7.</w:t>
      </w:r>
      <w:r w:rsidR="003A6A60">
        <w:t>6</w:t>
      </w:r>
      <w:r w:rsidR="003212CC" w:rsidRPr="00791146">
        <w:tab/>
        <w:t>En consecuencia, y en ausencia de otros obstáculos a la admisibilidad, el Comité declara la comunicación admisible de conformidad al artículo 2 del Protocolo Facultativo, en lo referente a las alegaciones de</w:t>
      </w:r>
      <w:r w:rsidR="00BB73D0">
        <w:t xml:space="preserve"> </w:t>
      </w:r>
      <w:r w:rsidR="003212CC" w:rsidRPr="00791146">
        <w:t>l</w:t>
      </w:r>
      <w:r w:rsidR="00BB73D0">
        <w:t>os</w:t>
      </w:r>
      <w:r w:rsidR="003212CC" w:rsidRPr="00791146">
        <w:t xml:space="preserve"> autor</w:t>
      </w:r>
      <w:r w:rsidR="00BB73D0">
        <w:t>es</w:t>
      </w:r>
      <w:r w:rsidR="003212CC" w:rsidRPr="00791146">
        <w:t xml:space="preserve"> con relación a la violación de los </w:t>
      </w:r>
      <w:r w:rsidRPr="00791146">
        <w:t xml:space="preserve">artículos 24, 23, 7, 15 y 17 leídos por separado y </w:t>
      </w:r>
      <w:proofErr w:type="gramStart"/>
      <w:r w:rsidRPr="00791146">
        <w:t>conjuntamente con</w:t>
      </w:r>
      <w:proofErr w:type="gramEnd"/>
      <w:r w:rsidRPr="00791146">
        <w:t xml:space="preserve"> el artículo 4 de la Convención</w:t>
      </w:r>
      <w:r w:rsidR="003212CC" w:rsidRPr="00791146">
        <w:t xml:space="preserve"> y procede a examinarlas en cuanto al fondo.</w:t>
      </w:r>
    </w:p>
    <w:p w14:paraId="378B82C1" w14:textId="77777777" w:rsidR="003212CC" w:rsidRPr="0029628D" w:rsidRDefault="003212CC" w:rsidP="003212CC">
      <w:pPr>
        <w:pStyle w:val="H23G"/>
      </w:pPr>
      <w:r>
        <w:tab/>
      </w:r>
      <w:r>
        <w:tab/>
      </w:r>
      <w:r w:rsidRPr="0029628D">
        <w:t>Examen de la cuestión en cuanto al fondo</w:t>
      </w:r>
    </w:p>
    <w:p w14:paraId="7E2403EC" w14:textId="77777777" w:rsidR="003212CC" w:rsidRDefault="006F7553" w:rsidP="003212CC">
      <w:pPr>
        <w:pStyle w:val="SingleTxtG"/>
      </w:pPr>
      <w:r>
        <w:t>8</w:t>
      </w:r>
      <w:r w:rsidR="003212CC" w:rsidRPr="0029628D">
        <w:t>.1</w:t>
      </w:r>
      <w:r w:rsidR="003212CC">
        <w:tab/>
      </w:r>
      <w:r w:rsidR="003212CC" w:rsidRPr="0029628D">
        <w:t>El Comité ha examinado la presente comunicación teniendo en cuenta toda la información recibida, de conformidad con lo dispuesto en el artículo 5 del Protocolo Facultativo y el artículo 73, párrafo 1, del reglamento del Comité.</w:t>
      </w:r>
    </w:p>
    <w:p w14:paraId="46B75E75" w14:textId="7A95E884" w:rsidR="0097030B" w:rsidRDefault="00637BA3" w:rsidP="00F563BB">
      <w:pPr>
        <w:pStyle w:val="SingleTxtG"/>
      </w:pPr>
      <w:r>
        <w:t>8</w:t>
      </w:r>
      <w:r w:rsidRPr="0029628D">
        <w:t>.2</w:t>
      </w:r>
      <w:r w:rsidRPr="0029628D">
        <w:tab/>
        <w:t>En lo que respecta a la</w:t>
      </w:r>
      <w:r>
        <w:t>s alegaciones de violación d</w:t>
      </w:r>
      <w:r w:rsidRPr="0029628D">
        <w:t xml:space="preserve">el artículo </w:t>
      </w:r>
      <w:r w:rsidR="008512C3">
        <w:t>24</w:t>
      </w:r>
      <w:r w:rsidRPr="0029628D">
        <w:t xml:space="preserve">, el Comité </w:t>
      </w:r>
      <w:r>
        <w:t xml:space="preserve">nota que, de acuerdo </w:t>
      </w:r>
      <w:r w:rsidR="00EC26D6">
        <w:t xml:space="preserve">con </w:t>
      </w:r>
      <w:r w:rsidR="00B3725C">
        <w:t>los autores</w:t>
      </w:r>
      <w:r>
        <w:t xml:space="preserve">, </w:t>
      </w:r>
      <w:r w:rsidR="003729F4" w:rsidRPr="003729F4">
        <w:t>la decisión administrativa de matricular</w:t>
      </w:r>
      <w:r w:rsidR="00B3725C">
        <w:t xml:space="preserve"> a Rubén</w:t>
      </w:r>
      <w:r w:rsidR="003729F4" w:rsidRPr="003729F4">
        <w:t xml:space="preserve"> en el Centro Educativo Especial Nuestra Señora del Sagrado Corazón, sostenida por los tribunales del Estado parte vulneró su derecho a una educación inclusiva</w:t>
      </w:r>
      <w:r w:rsidR="003729F4">
        <w:t xml:space="preserve">. El Comité observa las alegaciones </w:t>
      </w:r>
      <w:r w:rsidR="00B3725C">
        <w:t>de los autores</w:t>
      </w:r>
      <w:r w:rsidR="003729F4">
        <w:t xml:space="preserve"> según las cuales dicha </w:t>
      </w:r>
      <w:r w:rsidR="003729F4" w:rsidRPr="00F563BB">
        <w:t>decisión</w:t>
      </w:r>
      <w:r w:rsidR="003729F4">
        <w:t xml:space="preserve"> fue tomada en base a dos informes elaborados por el equipo de orientación en estrecha colaboración y a instancias de los tutores del </w:t>
      </w:r>
      <w:r w:rsidR="00900A86">
        <w:t>c</w:t>
      </w:r>
      <w:r w:rsidR="003729F4">
        <w:t xml:space="preserve">entro escolar ordinario al que asistía, los que supuestamente habrían sometido </w:t>
      </w:r>
      <w:r w:rsidR="00B3725C">
        <w:t>Rubén</w:t>
      </w:r>
      <w:r w:rsidR="003729F4">
        <w:t xml:space="preserve"> a actos de discriminación y abusos. El Comité</w:t>
      </w:r>
      <w:r w:rsidR="003D7B08">
        <w:t xml:space="preserve"> también</w:t>
      </w:r>
      <w:r w:rsidR="003729F4">
        <w:t xml:space="preserve"> observa que el </w:t>
      </w:r>
      <w:r w:rsidR="003729F4" w:rsidRPr="00FD7D86">
        <w:t xml:space="preserve">Estado parte no proporciona respuesta alguna en cuanto a dichas alegaciones. Igualmente, el Comité observa que, como </w:t>
      </w:r>
      <w:r w:rsidR="00B3725C">
        <w:t>afirman los autores</w:t>
      </w:r>
      <w:r w:rsidR="003729F4" w:rsidRPr="00FD7D86">
        <w:t xml:space="preserve">, no se desprende de la información disponible en el </w:t>
      </w:r>
      <w:r w:rsidR="00FD7D2C">
        <w:t xml:space="preserve">expediente </w:t>
      </w:r>
      <w:r w:rsidR="003729F4" w:rsidRPr="00FD7D86">
        <w:t>que las autoridades del Estado parte hayan realizado una evaluación razonable o</w:t>
      </w:r>
      <w:r w:rsidR="00FD7D86" w:rsidRPr="00FD7D86">
        <w:t xml:space="preserve"> un</w:t>
      </w:r>
      <w:r w:rsidR="003729F4" w:rsidRPr="00FD7D86">
        <w:t xml:space="preserve"> estudio profundizado y pormenorizado de las necesidades educativa</w:t>
      </w:r>
      <w:r w:rsidR="00B3725C">
        <w:t>s</w:t>
      </w:r>
      <w:r w:rsidR="003729F4" w:rsidRPr="00FD7D86">
        <w:t xml:space="preserve"> de</w:t>
      </w:r>
      <w:r w:rsidR="007C1E4B">
        <w:t xml:space="preserve"> </w:t>
      </w:r>
      <w:r w:rsidR="007C1E4B" w:rsidRPr="007C1E4B">
        <w:t>Rubén</w:t>
      </w:r>
      <w:r w:rsidR="007C1E4B">
        <w:t xml:space="preserve"> </w:t>
      </w:r>
      <w:r w:rsidR="003729F4" w:rsidRPr="00FD7D86">
        <w:t>y de los ajustes razonables que hubieran sido necesarios para que hubiera continuado en un centro de educación ordinario</w:t>
      </w:r>
      <w:r w:rsidR="00EC26D6" w:rsidRPr="00FD7D86">
        <w:t xml:space="preserve">. </w:t>
      </w:r>
      <w:r w:rsidR="003D7B08">
        <w:t>Al respecto, e</w:t>
      </w:r>
      <w:r w:rsidR="00EC26D6" w:rsidRPr="00FD7D86">
        <w:t xml:space="preserve">l Comité observa </w:t>
      </w:r>
      <w:r w:rsidR="00FB20FC" w:rsidRPr="00FD7D86">
        <w:t xml:space="preserve">que la sentencia del </w:t>
      </w:r>
      <w:r w:rsidR="00FB20FC">
        <w:t>Juzgado de lo Contencioso</w:t>
      </w:r>
      <w:r w:rsidR="009408DA">
        <w:t>-</w:t>
      </w:r>
      <w:r w:rsidR="00FB20FC">
        <w:t>Administrativo n</w:t>
      </w:r>
      <w:r w:rsidR="00FD7D2C">
        <w:t xml:space="preserve">úm. </w:t>
      </w:r>
      <w:r w:rsidR="00FB20FC">
        <w:t>1 de León recoge que “únicamente en situación de trabajo individual y por las profesoras especialistas que llevan trabajando largo tiempo con [</w:t>
      </w:r>
      <w:r w:rsidR="00045BBE" w:rsidRPr="00045BBE">
        <w:t>Rubén</w:t>
      </w:r>
      <w:r w:rsidR="00FB20FC">
        <w:t>] se logra una respuesta aceptable a las situaciones de aprendizaje”</w:t>
      </w:r>
      <w:r w:rsidR="00E53721">
        <w:t>,</w:t>
      </w:r>
      <w:r w:rsidR="00FB20FC">
        <w:t xml:space="preserve"> y que a pesar de que</w:t>
      </w:r>
      <w:r w:rsidR="006E318D">
        <w:t xml:space="preserve"> la Administración había apoyado hasta la fecha la inclusión </w:t>
      </w:r>
      <w:r w:rsidR="00E53721">
        <w:t>de Rubén</w:t>
      </w:r>
      <w:r w:rsidR="006E318D">
        <w:t xml:space="preserve"> en un centro de educación ordinaria,</w:t>
      </w:r>
      <w:r w:rsidR="00FB20FC">
        <w:t xml:space="preserve"> lleg</w:t>
      </w:r>
      <w:r w:rsidR="006E318D">
        <w:t>ó</w:t>
      </w:r>
      <w:r w:rsidR="00FB20FC">
        <w:t xml:space="preserve"> un punto en la evolución educativa de aprendizaje y conductual del menor en la que </w:t>
      </w:r>
      <w:r w:rsidR="006E318D">
        <w:t>dicha inclusión no pudo ser garantizada con</w:t>
      </w:r>
      <w:r w:rsidR="00FB20FC">
        <w:t xml:space="preserve"> los medios de los que dispone la Administración “que son los que son y no otros”. </w:t>
      </w:r>
      <w:r w:rsidR="00F27F0A">
        <w:t>E</w:t>
      </w:r>
      <w:r w:rsidR="00685189">
        <w:t xml:space="preserve">l Comité nota igualmente que </w:t>
      </w:r>
      <w:r w:rsidR="00BB73D0">
        <w:t xml:space="preserve">Rubén </w:t>
      </w:r>
      <w:r w:rsidR="00685189">
        <w:t>no contó con la asistent</w:t>
      </w:r>
      <w:r w:rsidR="00FD7D2C">
        <w:t>a</w:t>
      </w:r>
      <w:r w:rsidR="00685189">
        <w:t xml:space="preserve"> técnico</w:t>
      </w:r>
      <w:r w:rsidR="00FD7D2C">
        <w:t>-</w:t>
      </w:r>
      <w:r w:rsidR="00685189">
        <w:t>educativa al comienzo del curso escolar 2010</w:t>
      </w:r>
      <w:r w:rsidR="00FD7D2C">
        <w:t>/</w:t>
      </w:r>
      <w:r w:rsidR="00685189">
        <w:t>2011 ya que el tutor dijo que no era necesaria, que esta solo fue contratada a petición de los padres de</w:t>
      </w:r>
      <w:r w:rsidR="007055B6">
        <w:t xml:space="preserve"> Rubén </w:t>
      </w:r>
      <w:r w:rsidR="00685189">
        <w:t xml:space="preserve">con posterioridad y que la </w:t>
      </w:r>
      <w:r w:rsidR="00685189" w:rsidRPr="0064710D">
        <w:t>asistent</w:t>
      </w:r>
      <w:r w:rsidR="00FD7D2C">
        <w:t>a</w:t>
      </w:r>
      <w:r w:rsidR="00685189" w:rsidRPr="0064710D">
        <w:t xml:space="preserve"> afirmó que, después, el tutor </w:t>
      </w:r>
      <w:r w:rsidR="00685189">
        <w:t xml:space="preserve">del menor “se desentendió y abandonó por completo la escolarización </w:t>
      </w:r>
      <w:r w:rsidR="00BB73D0">
        <w:t>de Rubén</w:t>
      </w:r>
      <w:r w:rsidR="00685189">
        <w:t>”.</w:t>
      </w:r>
      <w:r w:rsidR="00E53721">
        <w:t xml:space="preserve"> </w:t>
      </w:r>
    </w:p>
    <w:p w14:paraId="03AF93BC" w14:textId="24DD2FD5" w:rsidR="00E53721" w:rsidRDefault="003D7B08" w:rsidP="0097030B">
      <w:pPr>
        <w:pStyle w:val="SingleTxtG"/>
      </w:pPr>
      <w:r>
        <w:t>8.3</w:t>
      </w:r>
      <w:r w:rsidR="00E46DEF">
        <w:tab/>
      </w:r>
      <w:r w:rsidR="00E53721">
        <w:t>Adicionalmente, e</w:t>
      </w:r>
      <w:r w:rsidR="00A721BB">
        <w:t xml:space="preserve">l Comité observa </w:t>
      </w:r>
      <w:proofErr w:type="gramStart"/>
      <w:r w:rsidR="00A721BB">
        <w:t>que</w:t>
      </w:r>
      <w:proofErr w:type="gramEnd"/>
      <w:r w:rsidR="00E53721">
        <w:t xml:space="preserve"> según lo reflejado en sus decisiones,</w:t>
      </w:r>
      <w:r w:rsidR="00A721BB">
        <w:t xml:space="preserve"> las autoridades</w:t>
      </w:r>
      <w:r w:rsidR="00B1461C">
        <w:t xml:space="preserve"> judiciales</w:t>
      </w:r>
      <w:r w:rsidR="00A721BB">
        <w:t xml:space="preserve"> del Estado parte no </w:t>
      </w:r>
      <w:r w:rsidR="00E53721">
        <w:t xml:space="preserve">parecen haber acordado </w:t>
      </w:r>
      <w:r w:rsidR="00A721BB">
        <w:t xml:space="preserve">peso al informe elaborado por el psicólogo clínico </w:t>
      </w:r>
      <w:proofErr w:type="spellStart"/>
      <w:r w:rsidR="0064710D">
        <w:t>G.C</w:t>
      </w:r>
      <w:proofErr w:type="spellEnd"/>
      <w:r w:rsidR="0064710D">
        <w:t>.</w:t>
      </w:r>
      <w:r w:rsidR="00E53721">
        <w:t>,</w:t>
      </w:r>
      <w:r w:rsidR="00A721BB">
        <w:t xml:space="preserve"> </w:t>
      </w:r>
      <w:r w:rsidR="00E53721">
        <w:t>según el cual</w:t>
      </w:r>
      <w:r w:rsidR="00A721BB">
        <w:t xml:space="preserve"> la causa de los desajustes en la escolarización de</w:t>
      </w:r>
      <w:r w:rsidR="00045BBE">
        <w:t xml:space="preserve"> </w:t>
      </w:r>
      <w:r w:rsidR="00045BBE" w:rsidRPr="00045BBE">
        <w:t>Rubén</w:t>
      </w:r>
      <w:r w:rsidR="00045BBE">
        <w:t xml:space="preserve"> </w:t>
      </w:r>
      <w:r w:rsidR="00A721BB">
        <w:t xml:space="preserve">en el centro </w:t>
      </w:r>
      <w:r w:rsidR="0081732C">
        <w:t>público</w:t>
      </w:r>
      <w:r w:rsidR="00A721BB">
        <w:t xml:space="preserve"> ordinario </w:t>
      </w:r>
      <w:r w:rsidR="00E53721">
        <w:t xml:space="preserve">resultaron de </w:t>
      </w:r>
      <w:r w:rsidR="00A721BB">
        <w:t xml:space="preserve">la falta de apoyo educativo </w:t>
      </w:r>
      <w:r w:rsidR="0018646E">
        <w:t>y</w:t>
      </w:r>
      <w:r w:rsidR="00A721BB">
        <w:t xml:space="preserve"> al contexto discriminatorio y de hostilidad</w:t>
      </w:r>
      <w:r w:rsidR="00E53721">
        <w:t xml:space="preserve"> que había</w:t>
      </w:r>
      <w:r w:rsidR="00A721BB">
        <w:t xml:space="preserve"> sufrido. </w:t>
      </w:r>
      <w:r w:rsidR="0097030B">
        <w:t>El Comité nota que la información disponible no refleja que se hayan tomado todas las medidas de ajuste razonable que eran alcanzables para permitir al autor estudiar en un centro educativo ordinario.</w:t>
      </w:r>
    </w:p>
    <w:p w14:paraId="01C355FD" w14:textId="5480D1C6" w:rsidR="00221CC5" w:rsidRDefault="00E46DEF">
      <w:pPr>
        <w:pStyle w:val="SingleTxtG"/>
      </w:pPr>
      <w:r>
        <w:t>8.4</w:t>
      </w:r>
      <w:r>
        <w:tab/>
      </w:r>
      <w:r w:rsidR="006E318D">
        <w:t>El Comité recuerda que</w:t>
      </w:r>
      <w:r w:rsidR="0018646E" w:rsidRPr="0018646E">
        <w:t>,</w:t>
      </w:r>
      <w:r w:rsidR="00A21692">
        <w:t xml:space="preserve"> “</w:t>
      </w:r>
      <w:r w:rsidR="000C0A10">
        <w:t>[</w:t>
      </w:r>
      <w:r w:rsidR="0018646E" w:rsidRPr="0018646E">
        <w:t>d</w:t>
      </w:r>
      <w:r w:rsidR="000C0A10">
        <w:t>]</w:t>
      </w:r>
      <w:r w:rsidR="0018646E" w:rsidRPr="0018646E">
        <w:t xml:space="preserve">e conformidad con el artículo 24, párrafo 1, los Estados partes deben velar por que las personas con discapacidad puedan ejercer su derecho a la educación mediante un sistema de educación inclusiva a todos los niveles, que incluya los </w:t>
      </w:r>
      <w:r w:rsidR="0018646E" w:rsidRPr="0018646E">
        <w:lastRenderedPageBreak/>
        <w:t>ciclos educativos de preescolar, primaria, secundaria y superior, la formación profesional y la enseñanza a lo largo de la vida, y las actividades extraescolares y sociales, y para todos los alumnos, incluidas las personas con discapacidad, sin discriminación y en igualdad de condiciones con las demás</w:t>
      </w:r>
      <w:r w:rsidR="00A21692">
        <w:t>”</w:t>
      </w:r>
      <w:r w:rsidR="0018646E">
        <w:rPr>
          <w:rStyle w:val="Refdenotaalpie"/>
        </w:rPr>
        <w:footnoteReference w:id="20"/>
      </w:r>
      <w:r w:rsidR="0018646E" w:rsidRPr="0018646E">
        <w:t>.</w:t>
      </w:r>
      <w:r w:rsidR="000C0A10">
        <w:t xml:space="preserve"> </w:t>
      </w:r>
      <w:r w:rsidR="00426588">
        <w:t xml:space="preserve">El Comité también recuerda que </w:t>
      </w:r>
      <w:r w:rsidR="00A21692">
        <w:t>“</w:t>
      </w:r>
      <w:r w:rsidR="000C0A10">
        <w:t>[</w:t>
      </w:r>
      <w:r w:rsidR="00426588">
        <w:t>l</w:t>
      </w:r>
      <w:r w:rsidR="000C0A10">
        <w:t>]</w:t>
      </w:r>
      <w:r w:rsidR="00925C02" w:rsidRPr="00925C02">
        <w:t>a inclusión implica un proceso de reforma sistémica que conlleva cambios y modificaciones en el contenido, los métodos de enseñanza, los enfoques, las estructuras y las estrategias de la educación para superar los obstáculos con la visión de que todos los alumnos de los grupos de edad pertinentes tengan una experiencia de aprendizaje equitativa y participativa y el entorno que mejor corresponda a sus necesidades y preferencias</w:t>
      </w:r>
      <w:r w:rsidR="00A21692">
        <w:t>”</w:t>
      </w:r>
      <w:r w:rsidR="00426588">
        <w:rPr>
          <w:rStyle w:val="Refdenotaalpie"/>
        </w:rPr>
        <w:footnoteReference w:id="21"/>
      </w:r>
      <w:r w:rsidR="00925C02" w:rsidRPr="00925C02">
        <w:t>.</w:t>
      </w:r>
      <w:r w:rsidR="00611F6C">
        <w:t xml:space="preserve"> Igualmente, el Comité recuerda que </w:t>
      </w:r>
      <w:r w:rsidR="00A21692">
        <w:t>“</w:t>
      </w:r>
      <w:r w:rsidR="000C0A10">
        <w:t>[</w:t>
      </w:r>
      <w:r w:rsidR="00611F6C">
        <w:t>e</w:t>
      </w:r>
      <w:r w:rsidR="000C0A10">
        <w:t>]</w:t>
      </w:r>
      <w:r w:rsidR="00221CC5" w:rsidRPr="00221CC5">
        <w:t>l derecho a la no discriminación incluye el derecho a no ser objeto de segregación y a que se realicen los ajustes razonables, y debe entenderse en el contexto de la obligación de proporcionar entornos educativos accesibles y ajustes razonables</w:t>
      </w:r>
      <w:r w:rsidR="00A21692">
        <w:t>”</w:t>
      </w:r>
      <w:r w:rsidR="00611F6C">
        <w:rPr>
          <w:rStyle w:val="Refdenotaalpie"/>
        </w:rPr>
        <w:footnoteReference w:id="22"/>
      </w:r>
      <w:r w:rsidR="00221CC5" w:rsidRPr="00221CC5">
        <w:t>.</w:t>
      </w:r>
    </w:p>
    <w:p w14:paraId="3DC67159" w14:textId="60224354" w:rsidR="009C50BD" w:rsidRDefault="00E46DEF" w:rsidP="003212CC">
      <w:pPr>
        <w:pStyle w:val="SingleTxtG"/>
      </w:pPr>
      <w:r>
        <w:t>8.5</w:t>
      </w:r>
      <w:r>
        <w:tab/>
      </w:r>
      <w:r w:rsidR="00EB3685" w:rsidRPr="0064710D">
        <w:t>Además</w:t>
      </w:r>
      <w:r w:rsidR="000C0A10">
        <w:t>,</w:t>
      </w:r>
      <w:r w:rsidR="00C1270E" w:rsidRPr="0064710D">
        <w:t xml:space="preserve"> el Comité recuerda el contexto en el que ocurren estos hechos</w:t>
      </w:r>
      <w:r w:rsidR="006136E1">
        <w:t>. A</w:t>
      </w:r>
      <w:r w:rsidR="00C1270E" w:rsidRPr="0064710D">
        <w:t xml:space="preserve">l respecto recuerda que en su </w:t>
      </w:r>
      <w:r w:rsidR="000C0A10">
        <w:t>i</w:t>
      </w:r>
      <w:r w:rsidR="00C1270E" w:rsidRPr="0064710D">
        <w:t xml:space="preserve">nforme de la investigación relacionada con </w:t>
      </w:r>
      <w:r w:rsidR="00154320" w:rsidRPr="0064710D">
        <w:t>España</w:t>
      </w:r>
      <w:r w:rsidR="00C1270E" w:rsidRPr="0064710D">
        <w:t xml:space="preserve"> bajo el </w:t>
      </w:r>
      <w:r w:rsidR="00154320" w:rsidRPr="0064710D">
        <w:t>artículo</w:t>
      </w:r>
      <w:r w:rsidR="00C1270E" w:rsidRPr="0064710D">
        <w:t xml:space="preserve"> 6 del Protocolo Facultativo, el Comité concluyó</w:t>
      </w:r>
      <w:r w:rsidR="009C50BD" w:rsidRPr="0064710D">
        <w:t xml:space="preserve"> que: a) en el Estado parte “se ha perpetuado un patrón estructural de exclusión y segregación educativa </w:t>
      </w:r>
      <w:r w:rsidR="009C50BD">
        <w:t>discriminatorio, basado en la discapacidad, a través de un modelo médico, que afecta desproporcionadamente y en especial a las personas con discapacidad intelectual o psicosocial y a las personas con discapacidad múltiple”</w:t>
      </w:r>
      <w:r w:rsidR="000C0A10">
        <w:rPr>
          <w:rStyle w:val="Refdenotaalpie"/>
        </w:rPr>
        <w:footnoteReference w:id="23"/>
      </w:r>
      <w:r w:rsidR="009C50BD">
        <w:t xml:space="preserve">; b) </w:t>
      </w:r>
      <w:r w:rsidR="00A81E5F">
        <w:t>“[e]</w:t>
      </w:r>
      <w:r w:rsidR="009C50BD" w:rsidRPr="009C50BD">
        <w:t>n vista de la amplitud, continuidad y diversidad de las violaciones encontradas, las cuales se interrelacionan entre sí de forma permanente y continua, pero también tomando en cuenta que dichas violaciones resultan en gran parte del sistema instaurado a través de la legislación, de las políticas adoptadas, y de las prácticas de las instituciones involucradas</w:t>
      </w:r>
      <w:r w:rsidR="00114FFE">
        <w:t xml:space="preserve"> […]</w:t>
      </w:r>
      <w:r w:rsidR="009C50BD" w:rsidRPr="009C50BD">
        <w:t xml:space="preserve"> los hallazgos encontrados en la presente investigación alcanzan el nivel de gravedad y sistematicidad establecido por el artículo 6 del Protocolo Facultativo y</w:t>
      </w:r>
      <w:r w:rsidR="0064710D">
        <w:t xml:space="preserve"> del artículo 83 del reglamento</w:t>
      </w:r>
      <w:r w:rsidR="00A81E5F">
        <w:t>”</w:t>
      </w:r>
      <w:r w:rsidR="00A81E5F">
        <w:rPr>
          <w:rStyle w:val="Refdenotaalpie"/>
        </w:rPr>
        <w:footnoteReference w:id="24"/>
      </w:r>
      <w:r w:rsidR="00A81E5F">
        <w:t>;</w:t>
      </w:r>
      <w:r w:rsidR="0064710D">
        <w:t xml:space="preserve"> y</w:t>
      </w:r>
      <w:r w:rsidR="00154320">
        <w:t xml:space="preserve"> c) </w:t>
      </w:r>
      <w:r w:rsidR="00914C58">
        <w:t>“</w:t>
      </w:r>
      <w:r w:rsidR="006136E1">
        <w:t>d</w:t>
      </w:r>
      <w:r w:rsidR="00154320" w:rsidRPr="00154320">
        <w:t xml:space="preserve">e conformidad con su jurisprudencia y su observación general núm. 4, el Comité </w:t>
      </w:r>
      <w:r w:rsidR="00114FFE">
        <w:t>[…]</w:t>
      </w:r>
      <w:r w:rsidR="00154320" w:rsidRPr="00154320">
        <w:t xml:space="preserve"> </w:t>
      </w:r>
      <w:r w:rsidR="002C6340">
        <w:t xml:space="preserve">[señala que] </w:t>
      </w:r>
      <w:r w:rsidR="00154320" w:rsidRPr="00154320">
        <w:t>un sistema inclusivo basado en el derecho a la no discriminación e igualdad de oportunidades, requiere la abolición del sistema separado de educación para estudiantes con discapacidad</w:t>
      </w:r>
      <w:r w:rsidR="00914C58">
        <w:t>”</w:t>
      </w:r>
      <w:r w:rsidR="00154320">
        <w:rPr>
          <w:rStyle w:val="Refdenotaalpie"/>
        </w:rPr>
        <w:footnoteReference w:id="25"/>
      </w:r>
      <w:r w:rsidR="00154320" w:rsidRPr="00154320">
        <w:t>.</w:t>
      </w:r>
    </w:p>
    <w:p w14:paraId="00F74425" w14:textId="1D7DE28E" w:rsidR="00EB3685" w:rsidRDefault="00E46DEF" w:rsidP="00EB3685">
      <w:pPr>
        <w:pStyle w:val="SingleTxtG"/>
      </w:pPr>
      <w:r>
        <w:t>8.6</w:t>
      </w:r>
      <w:r>
        <w:tab/>
      </w:r>
      <w:r w:rsidR="006C3539" w:rsidRPr="006C3539">
        <w:t xml:space="preserve">El Comité también recuerda que en sus </w:t>
      </w:r>
      <w:r w:rsidR="00D87AF7" w:rsidRPr="006C3539">
        <w:t>últimas</w:t>
      </w:r>
      <w:r w:rsidR="006C3539" w:rsidRPr="006C3539">
        <w:t xml:space="preserve"> observaciones finales sobre el Estado parte, </w:t>
      </w:r>
      <w:r w:rsidR="00D87AF7" w:rsidRPr="006C3539">
        <w:t>expresó</w:t>
      </w:r>
      <w:r w:rsidR="006C3539" w:rsidRPr="006C3539">
        <w:t xml:space="preserve"> su preocupación según la cual el Estado parte “</w:t>
      </w:r>
      <w:r w:rsidR="00EB3685">
        <w:t>apenas haya avanzado en cuanto a la educación inclusiva, y en particular el hecho de que no exista una política y un plan de acción claros para promover ese tipo de educación. Le preocupa, en especial, que persistan todas las disposiciones reglamentarias sobre la educación especial y se siga aplicando un enfoque médico de la discapacidad. Al Comité le preocupa también que un elevado número de niños con discapacidad, en particular con autismo, discapacidad intelectual o psicosocial y discap</w:t>
      </w:r>
      <w:r w:rsidR="00EB3685" w:rsidRPr="0097030B">
        <w:t>acidades múltiples, sigan recibien</w:t>
      </w:r>
      <w:r w:rsidR="008D1253" w:rsidRPr="0097030B">
        <w:t>do educación especial segregada</w:t>
      </w:r>
      <w:r w:rsidR="00892BA7">
        <w:t>”</w:t>
      </w:r>
      <w:r w:rsidR="00D87AF7" w:rsidRPr="0097030B">
        <w:rPr>
          <w:rStyle w:val="Refdenotaalpie"/>
        </w:rPr>
        <w:footnoteReference w:id="26"/>
      </w:r>
      <w:r w:rsidR="008D1253" w:rsidRPr="0097030B">
        <w:t>.</w:t>
      </w:r>
    </w:p>
    <w:p w14:paraId="28FDFDA2" w14:textId="3B8168A2" w:rsidR="003D7B08" w:rsidRPr="003D7B08" w:rsidRDefault="008D1253" w:rsidP="0097030B">
      <w:pPr>
        <w:spacing w:after="120"/>
        <w:ind w:left="1134" w:right="1134"/>
        <w:jc w:val="both"/>
      </w:pPr>
      <w:r>
        <w:t>8.7</w:t>
      </w:r>
      <w:r w:rsidR="00E46DEF">
        <w:tab/>
      </w:r>
      <w:r w:rsidR="003D7B08" w:rsidRPr="003D7B08">
        <w:t xml:space="preserve">En relación a las alegaciones </w:t>
      </w:r>
      <w:r w:rsidR="0097030B">
        <w:t>de los autores según las cuales Rubén ha sido víctima de una</w:t>
      </w:r>
      <w:r w:rsidR="003D7B08" w:rsidRPr="003D7B08">
        <w:t xml:space="preserve"> violación del artículo 24 leído conjuntamente con el artículo 4 de la Convención</w:t>
      </w:r>
      <w:r w:rsidR="0097030B">
        <w:t xml:space="preserve"> ya que,</w:t>
      </w:r>
      <w:r w:rsidR="003D7B08" w:rsidRPr="003D7B08">
        <w:t xml:space="preserve"> a pesar de que la Convención entró en vigor para el Estado parte el 3 de mayo de 2008, </w:t>
      </w:r>
      <w:r w:rsidR="00892BA7">
        <w:t>e</w:t>
      </w:r>
      <w:r w:rsidR="003D7B08" w:rsidRPr="003D7B08">
        <w:t>ste no ha adoptado todavía una legislación y políticas para garantizar el derecho a una educación inclusiva a</w:t>
      </w:r>
      <w:r w:rsidR="007055B6">
        <w:t xml:space="preserve"> Rubén </w:t>
      </w:r>
      <w:r w:rsidR="003D7B08" w:rsidRPr="003D7B08">
        <w:t>, el Comité recuerda que “[p]ara dar cumplimiento al artículo 4, párrafo 1, apartado b), de la Convención, los Estados partes deben adoptar todas las medidas pertinentes, incluidas las medidas legislativas, para modificar o derogar leyes, reglamentos, costumbres y prácticas existentes que constituyan discriminación contra las personas con discapacidad y contravengan el artículo 24. Cuando sea necesario, se habrán de derogar o modificar las leyes, los reglamentos, las costumbres y las prácticas discriminatorias de forma sistemática y con arreglo a plazos establecidos”</w:t>
      </w:r>
      <w:r w:rsidR="003D7B08" w:rsidRPr="003D7B08">
        <w:rPr>
          <w:sz w:val="18"/>
          <w:vertAlign w:val="superscript"/>
        </w:rPr>
        <w:footnoteReference w:id="27"/>
      </w:r>
      <w:r w:rsidR="003D7B08" w:rsidRPr="003D7B08">
        <w:t>.</w:t>
      </w:r>
    </w:p>
    <w:p w14:paraId="32F8008D" w14:textId="2C6328DF" w:rsidR="001C4D0C" w:rsidRPr="001C4D0C" w:rsidRDefault="00E46DEF" w:rsidP="001C4D0C">
      <w:pPr>
        <w:spacing w:after="120"/>
        <w:ind w:left="1134" w:right="1134"/>
        <w:jc w:val="both"/>
      </w:pPr>
      <w:r>
        <w:lastRenderedPageBreak/>
        <w:t>8.8</w:t>
      </w:r>
      <w:r>
        <w:tab/>
      </w:r>
      <w:r w:rsidR="001C4D0C" w:rsidRPr="001C4D0C">
        <w:t xml:space="preserve">Por las razones expuestas, el Comité considera que la decisión administrativa de matricular </w:t>
      </w:r>
      <w:r w:rsidR="007055B6" w:rsidRPr="001C4D0C">
        <w:t>a</w:t>
      </w:r>
      <w:r w:rsidR="007055B6">
        <w:t xml:space="preserve"> Rubén</w:t>
      </w:r>
      <w:r w:rsidR="001C4D0C" w:rsidRPr="001C4D0C">
        <w:t xml:space="preserve"> en un centro de educación especial, sin tener en cuenta la opinión de sus padres, sin haber explorado de forma efectiva la adopción de ajustes razonables que pudieran </w:t>
      </w:r>
      <w:r w:rsidR="003739ED">
        <w:t xml:space="preserve">seguir asegurando </w:t>
      </w:r>
      <w:r w:rsidR="001C4D0C" w:rsidRPr="001C4D0C">
        <w:t>su inclusión</w:t>
      </w:r>
      <w:r w:rsidR="003739ED">
        <w:t xml:space="preserve"> en el sistema de educación ordinario</w:t>
      </w:r>
      <w:r w:rsidR="001C4D0C" w:rsidRPr="001C4D0C">
        <w:t>, sin haber acordado peso al informe del psicólogo clínico y de la asistent</w:t>
      </w:r>
      <w:r w:rsidR="00922EE0">
        <w:t>a</w:t>
      </w:r>
      <w:r w:rsidR="001C4D0C" w:rsidRPr="001C4D0C">
        <w:t xml:space="preserve"> técnico</w:t>
      </w:r>
      <w:r w:rsidR="00922EE0">
        <w:t>-</w:t>
      </w:r>
      <w:r w:rsidR="001C4D0C" w:rsidRPr="001C4D0C">
        <w:t>educativa</w:t>
      </w:r>
      <w:r w:rsidR="0097030B">
        <w:t>,</w:t>
      </w:r>
      <w:r w:rsidR="001C4D0C" w:rsidRPr="001C4D0C">
        <w:t xml:space="preserve"> y sin haber </w:t>
      </w:r>
      <w:r w:rsidR="00A7566B">
        <w:t>tenido en cuenta las</w:t>
      </w:r>
      <w:r w:rsidR="001C4D0C" w:rsidRPr="001C4D0C">
        <w:t xml:space="preserve"> alegaciones </w:t>
      </w:r>
      <w:r w:rsidR="0097030B">
        <w:t>de los autores</w:t>
      </w:r>
      <w:r w:rsidR="0097030B" w:rsidRPr="001C4D0C">
        <w:t xml:space="preserve"> </w:t>
      </w:r>
      <w:r w:rsidR="00BE2008">
        <w:t>con respecto a</w:t>
      </w:r>
      <w:r w:rsidR="001C4D0C" w:rsidRPr="001C4D0C">
        <w:t xml:space="preserve"> los actos de discriminación y abusos sufridos por </w:t>
      </w:r>
      <w:r w:rsidR="0097030B">
        <w:t>Rubén</w:t>
      </w:r>
      <w:r w:rsidR="001C4D0C" w:rsidRPr="001C4D0C">
        <w:t xml:space="preserve"> en el centro de educación ordinaria al que asistía, constituyen una violación</w:t>
      </w:r>
      <w:r w:rsidR="003F0147">
        <w:t xml:space="preserve"> de sus derechos </w:t>
      </w:r>
      <w:r w:rsidR="00922EE0">
        <w:t xml:space="preserve">previstos en </w:t>
      </w:r>
      <w:r w:rsidR="001C4D0C" w:rsidRPr="001C4D0C">
        <w:t xml:space="preserve">el artículo 24, leído </w:t>
      </w:r>
      <w:r w:rsidR="0097030B">
        <w:t xml:space="preserve">solo y </w:t>
      </w:r>
      <w:r w:rsidR="001C4D0C" w:rsidRPr="001C4D0C">
        <w:t>conjuntamente con el artículo 4 de la Convención.</w:t>
      </w:r>
    </w:p>
    <w:p w14:paraId="6F39F840" w14:textId="428D311E" w:rsidR="00D87AF7" w:rsidRDefault="00E46DEF" w:rsidP="00EB3685">
      <w:pPr>
        <w:pStyle w:val="SingleTxtG"/>
      </w:pPr>
      <w:r>
        <w:t>8.9</w:t>
      </w:r>
      <w:r>
        <w:tab/>
      </w:r>
      <w:r w:rsidR="003E4EBC" w:rsidRPr="003E4EBC">
        <w:t xml:space="preserve">En cuanto a las alegaciones relacionadas con el artículo </w:t>
      </w:r>
      <w:r w:rsidR="003E4EBC">
        <w:t>23</w:t>
      </w:r>
      <w:r w:rsidR="003E4EBC" w:rsidRPr="003E4EBC">
        <w:t xml:space="preserve">, leído </w:t>
      </w:r>
      <w:proofErr w:type="gramStart"/>
      <w:r w:rsidR="003E4EBC" w:rsidRPr="003E4EBC">
        <w:t>conjuntamente con</w:t>
      </w:r>
      <w:proofErr w:type="gramEnd"/>
      <w:r w:rsidR="003E4EBC" w:rsidRPr="003E4EBC">
        <w:t xml:space="preserve"> el artículo 4, el Comité toma nota de la pretensión </w:t>
      </w:r>
      <w:r w:rsidR="003F0147">
        <w:t>de los autores</w:t>
      </w:r>
      <w:r w:rsidR="003E4EBC" w:rsidRPr="003E4EBC">
        <w:t xml:space="preserve"> </w:t>
      </w:r>
      <w:r w:rsidR="006F26BA">
        <w:t xml:space="preserve">de </w:t>
      </w:r>
      <w:r w:rsidR="003E4EBC" w:rsidRPr="003E4EBC">
        <w:t>que el Estado</w:t>
      </w:r>
      <w:r w:rsidR="003E4EBC">
        <w:t xml:space="preserve"> parte vulneró su derecho a una vida familiar al haber interpuesto una denuncia contra </w:t>
      </w:r>
      <w:r w:rsidR="003F0147">
        <w:t xml:space="preserve">los </w:t>
      </w:r>
      <w:r w:rsidR="003E4EBC">
        <w:t>padres por abandono de familia, en razón de que se opusieron a llevar</w:t>
      </w:r>
      <w:r w:rsidR="003F0147">
        <w:t xml:space="preserve"> a su hijo</w:t>
      </w:r>
      <w:r w:rsidR="003E4EBC">
        <w:t xml:space="preserve"> al Centro Educativo Especial Nuestra </w:t>
      </w:r>
      <w:r w:rsidR="003E4EBC" w:rsidRPr="002952D5">
        <w:t xml:space="preserve">Señora del Sagrado Corazón. El Comité observa la afirmación </w:t>
      </w:r>
      <w:r w:rsidR="003F0147">
        <w:t>de los autores</w:t>
      </w:r>
      <w:r w:rsidR="003E4EBC" w:rsidRPr="002952D5">
        <w:t xml:space="preserve"> de que si la denuncia hubiera prosperado podría </w:t>
      </w:r>
      <w:r w:rsidR="003E4EBC">
        <w:t>haber conllevado la p</w:t>
      </w:r>
      <w:r w:rsidR="0073638F">
        <w:t>é</w:t>
      </w:r>
      <w:r w:rsidR="003E4EBC">
        <w:t xml:space="preserve">rdida de la patria potestad de los padres en favor </w:t>
      </w:r>
      <w:r w:rsidR="003F0147">
        <w:t>de su hijo</w:t>
      </w:r>
      <w:r w:rsidR="003E4EBC">
        <w:t>.</w:t>
      </w:r>
      <w:r w:rsidR="002952D5">
        <w:t xml:space="preserve"> E</w:t>
      </w:r>
      <w:r w:rsidR="003E4EBC">
        <w:t xml:space="preserve">l Comité también observa que, de acuerdo con la información disponible en el </w:t>
      </w:r>
      <w:r w:rsidR="0073638F">
        <w:t>expediente</w:t>
      </w:r>
      <w:r w:rsidR="003E4EBC">
        <w:t>, el 23 de mayo de 2014, el Juzgado impuso a los padres de</w:t>
      </w:r>
      <w:r w:rsidR="00FA7E7B">
        <w:t xml:space="preserve"> </w:t>
      </w:r>
      <w:r w:rsidR="00FA7E7B" w:rsidRPr="00FA7E7B">
        <w:t>Rubén</w:t>
      </w:r>
      <w:r w:rsidR="003E4EBC">
        <w:t xml:space="preserve"> como medida cautelar, que prestaran una fianza de 2.400 euros cada uno pendiente de la resolución del juicio</w:t>
      </w:r>
      <w:r w:rsidR="00FE2AA4">
        <w:t>, bajo apercibimiento de embargo de bienes</w:t>
      </w:r>
      <w:r w:rsidR="003E4EBC">
        <w:t xml:space="preserve">. </w:t>
      </w:r>
      <w:r w:rsidR="00FE2AA4">
        <w:t xml:space="preserve">El Comité toma nota </w:t>
      </w:r>
      <w:r w:rsidR="0073638F">
        <w:t xml:space="preserve">de </w:t>
      </w:r>
      <w:r w:rsidR="00FE2AA4">
        <w:t xml:space="preserve">que dichas medidas cautelares solo fueron levantadas casi un año después, el 20 de abril de 2015, cuando los padres fueron </w:t>
      </w:r>
      <w:r w:rsidR="00FE2AA4" w:rsidRPr="002952D5">
        <w:t>absueltos.</w:t>
      </w:r>
      <w:r w:rsidR="007513CF">
        <w:t xml:space="preserve"> </w:t>
      </w:r>
      <w:r w:rsidR="007513CF" w:rsidRPr="002952D5">
        <w:t xml:space="preserve">El Comité considera que </w:t>
      </w:r>
      <w:r w:rsidR="00D04863">
        <w:t xml:space="preserve">dicha fianza supuso </w:t>
      </w:r>
      <w:r w:rsidR="002952D5" w:rsidRPr="002952D5">
        <w:t>una carga</w:t>
      </w:r>
      <w:r w:rsidR="003F0147">
        <w:t xml:space="preserve"> económica</w:t>
      </w:r>
      <w:r w:rsidR="002952D5" w:rsidRPr="002952D5">
        <w:t xml:space="preserve"> excesiva para</w:t>
      </w:r>
      <w:r w:rsidR="003E4EBC" w:rsidRPr="002952D5">
        <w:t xml:space="preserve"> los padres de</w:t>
      </w:r>
      <w:r w:rsidR="00971606">
        <w:t xml:space="preserve"> </w:t>
      </w:r>
      <w:r w:rsidR="00971606" w:rsidRPr="00971606">
        <w:t>Rubén</w:t>
      </w:r>
      <w:r w:rsidR="002952D5" w:rsidRPr="002952D5">
        <w:t xml:space="preserve">, </w:t>
      </w:r>
      <w:r w:rsidR="003F0147">
        <w:t>que se agregó a las tensiones generadas en el contexto de su lucha a favor de los derechos de su hijo</w:t>
      </w:r>
      <w:r w:rsidR="00B3778E">
        <w:t xml:space="preserve"> a una educación inclusiva</w:t>
      </w:r>
      <w:r w:rsidR="003F0147">
        <w:t xml:space="preserve">, y </w:t>
      </w:r>
      <w:r w:rsidR="002952D5" w:rsidRPr="002952D5">
        <w:t xml:space="preserve">que sin duda repercutió negativamente en su </w:t>
      </w:r>
      <w:r w:rsidR="007513CF" w:rsidRPr="002952D5">
        <w:t>bienestar</w:t>
      </w:r>
      <w:r w:rsidR="003F0147">
        <w:t xml:space="preserve"> individual y familiar</w:t>
      </w:r>
      <w:r w:rsidR="007513CF">
        <w:t>.</w:t>
      </w:r>
    </w:p>
    <w:p w14:paraId="1DF59B56" w14:textId="3DA22F7B" w:rsidR="002952D5" w:rsidRDefault="00E46DEF" w:rsidP="002952D5">
      <w:pPr>
        <w:pStyle w:val="SingleTxtG"/>
      </w:pPr>
      <w:r>
        <w:t>8.10</w:t>
      </w:r>
      <w:r>
        <w:tab/>
      </w:r>
      <w:r w:rsidR="002952D5">
        <w:t>Al respecto el Comité recuerda que</w:t>
      </w:r>
      <w:r w:rsidR="002952D5" w:rsidRPr="00AA05A7">
        <w:t xml:space="preserve"> </w:t>
      </w:r>
      <w:r w:rsidR="002952D5">
        <w:t xml:space="preserve">en su </w:t>
      </w:r>
      <w:r w:rsidR="0073638F">
        <w:t>i</w:t>
      </w:r>
      <w:r w:rsidR="002952D5" w:rsidRPr="00AA05A7">
        <w:t>nforme de la investigación relacionada con España bajo el artículo 6 del Protocolo Facultativo</w:t>
      </w:r>
      <w:r w:rsidR="002952D5">
        <w:t xml:space="preserve"> </w:t>
      </w:r>
      <w:r w:rsidR="008E434E">
        <w:t xml:space="preserve">instó </w:t>
      </w:r>
      <w:r w:rsidR="002952D5">
        <w:t xml:space="preserve">al Estado parte </w:t>
      </w:r>
      <w:r w:rsidR="00B852AC">
        <w:t xml:space="preserve">a </w:t>
      </w:r>
      <w:r w:rsidR="002952D5">
        <w:t>“[v]</w:t>
      </w:r>
      <w:proofErr w:type="spellStart"/>
      <w:r w:rsidR="002952D5" w:rsidRPr="00887627">
        <w:t>igilar</w:t>
      </w:r>
      <w:proofErr w:type="spellEnd"/>
      <w:r w:rsidR="002952D5" w:rsidRPr="00887627">
        <w:t xml:space="preserve"> que no se pueda perseguir penalmente a los padres de alumnos con discapacidad por el delito de abandono familiar por exigir el derecho de sus hijos a una educación inclusiva en igualdad de condiciones</w:t>
      </w:r>
      <w:r w:rsidR="0073638F">
        <w:t>”</w:t>
      </w:r>
      <w:r w:rsidR="002952D5">
        <w:rPr>
          <w:rStyle w:val="Refdenotaalpie"/>
        </w:rPr>
        <w:footnoteReference w:id="28"/>
      </w:r>
      <w:r w:rsidR="002952D5">
        <w:t>.</w:t>
      </w:r>
      <w:r w:rsidR="002952D5" w:rsidRPr="007B0DA7">
        <w:t xml:space="preserve"> </w:t>
      </w:r>
      <w:r w:rsidR="005710C4">
        <w:t>En</w:t>
      </w:r>
      <w:r w:rsidR="002952D5" w:rsidRPr="007B0DA7">
        <w:t xml:space="preserve"> vista de los argumentos expuestos en </w:t>
      </w:r>
      <w:r w:rsidR="002952D5">
        <w:t>el párrafo anterior</w:t>
      </w:r>
      <w:r w:rsidR="002952D5" w:rsidRPr="007B0DA7">
        <w:t>, el Comité concluye que el Estado parte ha incumplido las obligaciones que le incumben en virtud de</w:t>
      </w:r>
      <w:r w:rsidR="002952D5">
        <w:t xml:space="preserve">l </w:t>
      </w:r>
      <w:r w:rsidR="002952D5" w:rsidRPr="007B0DA7">
        <w:t>artículo</w:t>
      </w:r>
      <w:r w:rsidR="002952D5">
        <w:t xml:space="preserve"> 23, leído</w:t>
      </w:r>
      <w:r w:rsidR="002952D5" w:rsidRPr="007B0DA7">
        <w:t xml:space="preserve"> </w:t>
      </w:r>
      <w:r w:rsidR="00001AE5">
        <w:t xml:space="preserve">solo y </w:t>
      </w:r>
      <w:proofErr w:type="gramStart"/>
      <w:r w:rsidR="002952D5" w:rsidRPr="007B0DA7">
        <w:t>conjuntamente con</w:t>
      </w:r>
      <w:proofErr w:type="gramEnd"/>
      <w:r w:rsidR="002952D5" w:rsidRPr="007B0DA7">
        <w:t xml:space="preserve"> el artículo 4 de la Convención.</w:t>
      </w:r>
    </w:p>
    <w:p w14:paraId="40FA331D" w14:textId="5AB186F7" w:rsidR="0045090F" w:rsidRDefault="00E46DEF" w:rsidP="005B36DC">
      <w:pPr>
        <w:pStyle w:val="SingleTxtG"/>
      </w:pPr>
      <w:r>
        <w:t>8.11</w:t>
      </w:r>
      <w:r>
        <w:tab/>
      </w:r>
      <w:r w:rsidR="001E728B">
        <w:t xml:space="preserve">El Comité toma nota también de las alegaciones </w:t>
      </w:r>
      <w:r w:rsidR="005710C4">
        <w:t>de los autores</w:t>
      </w:r>
      <w:r w:rsidR="001E728B">
        <w:t xml:space="preserve"> según las cuales </w:t>
      </w:r>
      <w:r w:rsidR="005710C4">
        <w:t xml:space="preserve">durante </w:t>
      </w:r>
      <w:r w:rsidR="001E728B">
        <w:t>los cursos académicos 2009/2010 y 2010/2011</w:t>
      </w:r>
      <w:r w:rsidR="005710C4">
        <w:t>, Rubén sufrió actos constitutivos de discriminación y abuso</w:t>
      </w:r>
      <w:r w:rsidR="001E728B">
        <w:t xml:space="preserve"> en el Colegio Público Ordinario Antonio González de Lama de León</w:t>
      </w:r>
      <w:r w:rsidR="005710C4">
        <w:t>,</w:t>
      </w:r>
      <w:r w:rsidR="001E728B">
        <w:t xml:space="preserve"> </w:t>
      </w:r>
      <w:r w:rsidR="005710C4">
        <w:t xml:space="preserve">los cuales </w:t>
      </w:r>
      <w:r w:rsidR="001E728B">
        <w:t>pusieron en peligro su integridad personal y atentaron a su dignidad</w:t>
      </w:r>
      <w:r w:rsidR="005710C4">
        <w:t xml:space="preserve">, en violación de sus derechos contemplados en el artículo 15, leído </w:t>
      </w:r>
      <w:proofErr w:type="gramStart"/>
      <w:r w:rsidR="005710C4">
        <w:t>conjuntamente con</w:t>
      </w:r>
      <w:proofErr w:type="gramEnd"/>
      <w:r w:rsidR="005710C4">
        <w:t xml:space="preserve"> el artículo 17</w:t>
      </w:r>
      <w:r w:rsidR="005710C4" w:rsidRPr="005710C4">
        <w:t xml:space="preserve"> </w:t>
      </w:r>
      <w:r w:rsidR="005710C4">
        <w:t>de la Convención</w:t>
      </w:r>
      <w:r w:rsidR="001E728B">
        <w:t xml:space="preserve">. </w:t>
      </w:r>
      <w:r w:rsidR="004F060F">
        <w:t>En particular, el Comité toma nota de que</w:t>
      </w:r>
      <w:r w:rsidR="00E61F4F">
        <w:t>:</w:t>
      </w:r>
      <w:r w:rsidR="004F060F">
        <w:t xml:space="preserve"> a) según pruebas testificales realizadas ante el Juzgado de lo Contencioso-Administrativo </w:t>
      </w:r>
      <w:r w:rsidR="004F060F" w:rsidRPr="00847A29">
        <w:t>n</w:t>
      </w:r>
      <w:r w:rsidR="00E61F4F">
        <w:t>úm.</w:t>
      </w:r>
      <w:r w:rsidR="004F060F" w:rsidRPr="00847A29">
        <w:t xml:space="preserve"> 1 de León</w:t>
      </w:r>
      <w:r w:rsidR="004F060F">
        <w:t>, dos madres de compañeros de clase de Rubén declararon que su tutor le cogió del cuello amenazándole con tirarlo por la ventana, y que le amenazó con golpearle con una silla</w:t>
      </w:r>
      <w:r w:rsidR="00E61F4F">
        <w:t>,</w:t>
      </w:r>
      <w:r w:rsidR="004F060F">
        <w:t xml:space="preserve"> y b) los autores afirman que Rubén fue objeto de agresión física por parte de una profesora que le propinó unas bofetadas.</w:t>
      </w:r>
    </w:p>
    <w:p w14:paraId="5987C942" w14:textId="442FCFC4" w:rsidR="00F13EB2" w:rsidRDefault="00E46DEF" w:rsidP="00F13EB2">
      <w:pPr>
        <w:pStyle w:val="SingleTxtG"/>
      </w:pPr>
      <w:r>
        <w:t>8.12</w:t>
      </w:r>
      <w:r>
        <w:tab/>
      </w:r>
      <w:r w:rsidR="0045090F">
        <w:t xml:space="preserve">El Comité recuerda que según el artículo 15 de la Convención, ninguna persona puede ser sometida a tortura u otros tratos o penas crueles, inhumanos o degradantes y que los </w:t>
      </w:r>
      <w:proofErr w:type="gramStart"/>
      <w:r w:rsidR="0045090F">
        <w:t>Estado</w:t>
      </w:r>
      <w:r w:rsidR="008D52FC">
        <w:t>s</w:t>
      </w:r>
      <w:r w:rsidR="0045090F">
        <w:t xml:space="preserve"> parte</w:t>
      </w:r>
      <w:r w:rsidR="00E61F4F">
        <w:t>s</w:t>
      </w:r>
      <w:proofErr w:type="gramEnd"/>
      <w:r w:rsidR="0045090F">
        <w:t xml:space="preserve"> deben tomar todas las medidas de carácter legislativo, administrativo judicial o de otra índole que sean efectivas para evitar que las personas con discapacidad sean sometidas a torturas u otros tratos o penas crueles, inhumanos o degradantes. El Comité recuerda también que según el artículo 17 de la Convención, t</w:t>
      </w:r>
      <w:r w:rsidR="0045090F" w:rsidRPr="005B36DC">
        <w:t>oda persona con discapacidad tiene derecho a que se respete su integridad física y mental en igualdad de condiciones con las demás.</w:t>
      </w:r>
      <w:r w:rsidR="00F13EB2" w:rsidRPr="00F13EB2">
        <w:t xml:space="preserve"> </w:t>
      </w:r>
      <w:r w:rsidR="00DA5E8F">
        <w:t>Al respecto, e</w:t>
      </w:r>
      <w:r w:rsidR="00F13EB2" w:rsidRPr="002D1847">
        <w:t>l Comité observa que la sentencia del Tribunal Superior de Justicia de Castilla y León reconoce que “[e]</w:t>
      </w:r>
      <w:proofErr w:type="spellStart"/>
      <w:r w:rsidR="00F13EB2" w:rsidRPr="002D1847">
        <w:t>fectivamente</w:t>
      </w:r>
      <w:proofErr w:type="spellEnd"/>
      <w:r w:rsidR="00F13EB2" w:rsidRPr="002D1847">
        <w:t xml:space="preserve">, la situación en el centro en los últimos </w:t>
      </w:r>
      <w:r w:rsidR="00DA5E8F" w:rsidRPr="002D1847">
        <w:t>añ</w:t>
      </w:r>
      <w:r w:rsidR="00DA5E8F">
        <w:t>o</w:t>
      </w:r>
      <w:r w:rsidR="00DA5E8F" w:rsidRPr="002D1847">
        <w:t>s</w:t>
      </w:r>
      <w:r w:rsidR="00F13EB2" w:rsidRPr="002D1847">
        <w:t xml:space="preserve"> no fue la adecuada a las necesidades del [autor], parte del profesorado no tuvo una mínima actitud de colaboración, o si se prefiere, la reacción del centro no fue la inmediatamente exigible para con la actuación del profesorado (asumiendo </w:t>
      </w:r>
      <w:r w:rsidR="00F13EB2" w:rsidRPr="002D1847">
        <w:lastRenderedPageBreak/>
        <w:t>siquiera a efectos dial</w:t>
      </w:r>
      <w:r w:rsidR="00E61F4F">
        <w:t>é</w:t>
      </w:r>
      <w:r w:rsidR="00F13EB2" w:rsidRPr="002D1847">
        <w:t>cticos las graves imputaciones dirigidas contra varios docentes […]), pudo haber incluso un funcionamiento anormal, pero es</w:t>
      </w:r>
      <w:r w:rsidR="00E61F4F">
        <w:t>e</w:t>
      </w:r>
      <w:r w:rsidR="00F13EB2" w:rsidRPr="002D1847">
        <w:t xml:space="preserve"> era el clima del centro en el que se ubicaba la educación y asistencia del menor”</w:t>
      </w:r>
      <w:r w:rsidR="00E61F4F">
        <w:t>.</w:t>
      </w:r>
    </w:p>
    <w:p w14:paraId="4940CE21" w14:textId="79425F27" w:rsidR="005B36DC" w:rsidRDefault="00E46DEF" w:rsidP="005B36DC">
      <w:pPr>
        <w:pStyle w:val="SingleTxtG"/>
      </w:pPr>
      <w:r>
        <w:t>8.13</w:t>
      </w:r>
      <w:r>
        <w:tab/>
      </w:r>
      <w:r w:rsidR="00E06F2C">
        <w:t>El Comité toma nota también de la afirmación de</w:t>
      </w:r>
      <w:r w:rsidR="007055B6">
        <w:t xml:space="preserve"> </w:t>
      </w:r>
      <w:r w:rsidR="00E06F2C">
        <w:t>l</w:t>
      </w:r>
      <w:r w:rsidR="007055B6">
        <w:t>os</w:t>
      </w:r>
      <w:r w:rsidR="00E06F2C">
        <w:t xml:space="preserve"> autor</w:t>
      </w:r>
      <w:r w:rsidR="007055B6">
        <w:t>es</w:t>
      </w:r>
      <w:r w:rsidR="00E06F2C">
        <w:t xml:space="preserve"> según la cual la Fiscalía Provincial de León</w:t>
      </w:r>
      <w:r w:rsidR="00A02CBC">
        <w:t>,</w:t>
      </w:r>
      <w:r w:rsidR="00E06F2C">
        <w:t xml:space="preserve"> ante la cual denunciaron los hechos en dos ocasiones, procedió al archivo de </w:t>
      </w:r>
      <w:proofErr w:type="gramStart"/>
      <w:r w:rsidR="00E06F2C">
        <w:t>las mismas</w:t>
      </w:r>
      <w:proofErr w:type="gramEnd"/>
      <w:r w:rsidR="00E06F2C">
        <w:t xml:space="preserve">. En particular, el Comité observa que, en su segunda </w:t>
      </w:r>
      <w:r w:rsidR="005B36DC">
        <w:t>denuncia</w:t>
      </w:r>
      <w:r w:rsidR="00E06F2C">
        <w:t>,</w:t>
      </w:r>
      <w:r w:rsidR="00DA5E8F">
        <w:t xml:space="preserve"> los autores</w:t>
      </w:r>
      <w:r w:rsidR="00E06F2C">
        <w:t xml:space="preserve"> </w:t>
      </w:r>
      <w:r w:rsidR="00DA5E8F">
        <w:t xml:space="preserve">incluyeron </w:t>
      </w:r>
      <w:r w:rsidR="00E06F2C">
        <w:t xml:space="preserve">como elemento nuevo la información </w:t>
      </w:r>
      <w:r w:rsidR="0045090F">
        <w:t>contenida</w:t>
      </w:r>
      <w:r w:rsidR="00E06F2C">
        <w:t xml:space="preserve"> en la sentencia del Tribunal Superior de Justicia de Castilla y León en cuanto a las declaraciones de las madres de compañeros </w:t>
      </w:r>
      <w:r w:rsidR="00DA5E8F">
        <w:t>de Rubén</w:t>
      </w:r>
      <w:r w:rsidR="0045090F">
        <w:t xml:space="preserve"> </w:t>
      </w:r>
      <w:r w:rsidR="0075418B">
        <w:t>prestando testimonio</w:t>
      </w:r>
      <w:r w:rsidR="0045090F">
        <w:t xml:space="preserve"> sobre los abusos</w:t>
      </w:r>
      <w:r w:rsidR="00E06F2C">
        <w:t xml:space="preserve"> </w:t>
      </w:r>
      <w:r w:rsidR="0075418B">
        <w:t xml:space="preserve">sufridos </w:t>
      </w:r>
      <w:r w:rsidR="00E06F2C">
        <w:t xml:space="preserve">y la afirmación del Tribunal según la cual “pudo haber incluso un funcionamiento anormal” en el centro escolar. </w:t>
      </w:r>
      <w:r w:rsidR="0045090F">
        <w:t>El Comité considera que</w:t>
      </w:r>
      <w:r w:rsidR="0075418B">
        <w:t>,</w:t>
      </w:r>
      <w:r w:rsidR="0045090F">
        <w:t xml:space="preserve"> ante tal información</w:t>
      </w:r>
      <w:r w:rsidR="0075418B">
        <w:t xml:space="preserve"> disponible</w:t>
      </w:r>
      <w:r w:rsidR="0045090F">
        <w:t xml:space="preserve">, las autoridades del Estado parte </w:t>
      </w:r>
      <w:r w:rsidR="00DA5E8F">
        <w:t>tenían la obligación de proceder</w:t>
      </w:r>
      <w:r w:rsidR="0045090F">
        <w:t xml:space="preserve"> a una investigación efectiva </w:t>
      </w:r>
      <w:r w:rsidR="00DA5E8F">
        <w:t xml:space="preserve">y exhaustiva </w:t>
      </w:r>
      <w:r w:rsidR="0045090F">
        <w:t xml:space="preserve">sobre </w:t>
      </w:r>
      <w:r w:rsidR="00DA5E8F">
        <w:t xml:space="preserve">estas </w:t>
      </w:r>
      <w:r w:rsidR="0045090F">
        <w:t>alegaciones</w:t>
      </w:r>
      <w:r w:rsidR="00DA5E8F">
        <w:t>, lo cual no se llevó a cabo</w:t>
      </w:r>
      <w:r w:rsidR="0045090F">
        <w:t>. En</w:t>
      </w:r>
      <w:r w:rsidR="00DA5E8F">
        <w:t xml:space="preserve"> vista de lo anterior y en</w:t>
      </w:r>
      <w:r w:rsidR="0045090F">
        <w:t xml:space="preserve"> ausencia de </w:t>
      </w:r>
      <w:r w:rsidR="00DA5E8F">
        <w:t>comentarios del Estado parte al respecto</w:t>
      </w:r>
      <w:r w:rsidR="0045090F">
        <w:t xml:space="preserve">, el Comité considera que el Estado parte ha violado los derechos del </w:t>
      </w:r>
      <w:r w:rsidR="00DA5E8F">
        <w:t xml:space="preserve">Rubén </w:t>
      </w:r>
      <w:r w:rsidR="0045090F">
        <w:t>contemplados en los artículos 15 y 17 de la Convención</w:t>
      </w:r>
      <w:r w:rsidR="00B44093" w:rsidRPr="00B44093">
        <w:t xml:space="preserve"> leídos solos y </w:t>
      </w:r>
      <w:proofErr w:type="gramStart"/>
      <w:r w:rsidR="00B44093" w:rsidRPr="00B44093">
        <w:t>conjuntamente con</w:t>
      </w:r>
      <w:proofErr w:type="gramEnd"/>
      <w:r w:rsidR="00B44093" w:rsidRPr="00B44093">
        <w:t xml:space="preserve"> el artículo 4 de la Convención</w:t>
      </w:r>
      <w:r w:rsidR="0045090F">
        <w:t>.</w:t>
      </w:r>
    </w:p>
    <w:p w14:paraId="5630AA12" w14:textId="72B2CCAE" w:rsidR="007F404B" w:rsidRDefault="007F404B" w:rsidP="008C1EA3">
      <w:pPr>
        <w:pStyle w:val="SingleTxtG"/>
      </w:pPr>
      <w:r>
        <w:t>8.1</w:t>
      </w:r>
      <w:r w:rsidR="00032E76">
        <w:t>4</w:t>
      </w:r>
      <w:r>
        <w:tab/>
        <w:t>Habiendo encontrado violación de los derechos de</w:t>
      </w:r>
      <w:r w:rsidR="007055B6">
        <w:t xml:space="preserve"> </w:t>
      </w:r>
      <w:r>
        <w:t>l</w:t>
      </w:r>
      <w:r w:rsidR="007055B6">
        <w:t>os</w:t>
      </w:r>
      <w:r>
        <w:t xml:space="preserve"> autor</w:t>
      </w:r>
      <w:r w:rsidR="007055B6">
        <w:t>es</w:t>
      </w:r>
      <w:r>
        <w:t xml:space="preserve"> </w:t>
      </w:r>
      <w:r w:rsidR="002C6340">
        <w:t xml:space="preserve">en virtud de </w:t>
      </w:r>
      <w:r>
        <w:t xml:space="preserve">dichos artículos de la Convención, el Comité no considera necesario proceder al examen de las mismas alegaciones </w:t>
      </w:r>
      <w:r w:rsidR="00EC761F">
        <w:t xml:space="preserve">conforme al </w:t>
      </w:r>
      <w:r>
        <w:t>artículo 7 de la Convención.</w:t>
      </w:r>
    </w:p>
    <w:p w14:paraId="23F94577" w14:textId="506327FF" w:rsidR="00E65EAF" w:rsidRDefault="009309F2" w:rsidP="00887F06">
      <w:pPr>
        <w:pStyle w:val="SingleTxtG"/>
      </w:pPr>
      <w:r>
        <w:t>8.1</w:t>
      </w:r>
      <w:r w:rsidR="00032E76">
        <w:t>5</w:t>
      </w:r>
      <w:r w:rsidR="00E46DEF">
        <w:tab/>
      </w:r>
      <w:r w:rsidR="00E65EAF" w:rsidRPr="00E65EAF">
        <w:t>El Comité recuerda</w:t>
      </w:r>
      <w:r w:rsidR="008924D3">
        <w:t xml:space="preserve"> que,</w:t>
      </w:r>
      <w:r w:rsidR="00E65EAF" w:rsidRPr="00E65EAF">
        <w:t xml:space="preserve"> de conformidad con el artículo 4 de la Convención, los </w:t>
      </w:r>
      <w:proofErr w:type="gramStart"/>
      <w:r w:rsidR="00E65EAF" w:rsidRPr="00E65EAF">
        <w:t>Estados partes</w:t>
      </w:r>
      <w:proofErr w:type="gramEnd"/>
      <w:r w:rsidR="00E65EAF" w:rsidRPr="00E65EAF">
        <w:t xml:space="preserve"> tienen la obligación general de tomar todas las medidas necesarias para asegurar y promover el pleno </w:t>
      </w:r>
      <w:r w:rsidR="00E65EAF" w:rsidRPr="00887F06">
        <w:t>ejercicio</w:t>
      </w:r>
      <w:r w:rsidR="00E65EAF" w:rsidRPr="00E65EAF">
        <w:t xml:space="preserve"> de todos los derechos humanos y libertades fundamentales de las personas con discapacidad. En ese sentido y en vista de los argumentos expuestos en los párrafos anteriores, el Comité concluye que el Estado parte ha incumplido las obligaciones que le incumben en virtud de los </w:t>
      </w:r>
      <w:r w:rsidR="00E65EAF" w:rsidRPr="0005434F">
        <w:t>artículos</w:t>
      </w:r>
      <w:r w:rsidRPr="0005434F">
        <w:t xml:space="preserve"> 7, 15</w:t>
      </w:r>
      <w:r w:rsidR="007F404B">
        <w:t>,</w:t>
      </w:r>
      <w:r w:rsidRPr="0005434F">
        <w:t xml:space="preserve"> 17</w:t>
      </w:r>
      <w:r w:rsidR="007F404B">
        <w:t xml:space="preserve">, </w:t>
      </w:r>
      <w:r w:rsidR="007F404B" w:rsidRPr="0005434F">
        <w:t>23</w:t>
      </w:r>
      <w:r w:rsidR="007F404B">
        <w:t xml:space="preserve"> y 24</w:t>
      </w:r>
      <w:r w:rsidR="009C6400">
        <w:t>,</w:t>
      </w:r>
      <w:r w:rsidRPr="0005434F">
        <w:t xml:space="preserve"> </w:t>
      </w:r>
      <w:r w:rsidR="00E65EAF" w:rsidRPr="0005434F">
        <w:t xml:space="preserve">leídos </w:t>
      </w:r>
      <w:r w:rsidR="007F404B">
        <w:t xml:space="preserve">solos y </w:t>
      </w:r>
      <w:proofErr w:type="gramStart"/>
      <w:r w:rsidR="00E65EAF" w:rsidRPr="00E65EAF">
        <w:t>conjuntamente con</w:t>
      </w:r>
      <w:proofErr w:type="gramEnd"/>
      <w:r w:rsidR="00E65EAF" w:rsidRPr="00E65EAF">
        <w:t xml:space="preserve"> el artículo 4 de la Convención.</w:t>
      </w:r>
    </w:p>
    <w:p w14:paraId="2CEAA04D" w14:textId="77777777" w:rsidR="003212CC" w:rsidRDefault="003212CC" w:rsidP="00887F06">
      <w:pPr>
        <w:pStyle w:val="H23G"/>
      </w:pPr>
      <w:r w:rsidRPr="0029628D">
        <w:tab/>
        <w:t>C.</w:t>
      </w:r>
      <w:r w:rsidRPr="0029628D">
        <w:tab/>
        <w:t>Conclusión y recomendaciones</w:t>
      </w:r>
    </w:p>
    <w:p w14:paraId="40147B0C" w14:textId="070233FD" w:rsidR="006F7553" w:rsidRPr="0029628D" w:rsidRDefault="006F7553" w:rsidP="00887F06">
      <w:pPr>
        <w:pStyle w:val="SingleTxtG"/>
      </w:pPr>
      <w:r>
        <w:t>9</w:t>
      </w:r>
      <w:r w:rsidRPr="0029628D">
        <w:t>.</w:t>
      </w:r>
      <w:r w:rsidRPr="0029628D">
        <w:tab/>
        <w:t xml:space="preserve">El Comité, actuando en virtud del artículo 5 del Protocolo Facultativo, dictamina que el Estado parte ha </w:t>
      </w:r>
      <w:r w:rsidRPr="00887F06">
        <w:t>incumplido</w:t>
      </w:r>
      <w:r w:rsidRPr="0029628D">
        <w:t xml:space="preserve"> las obligaciones que le incumben en </w:t>
      </w:r>
      <w:r w:rsidRPr="00FE33EB">
        <w:t xml:space="preserve">virtud de los artículos </w:t>
      </w:r>
      <w:r w:rsidR="00425F41">
        <w:t>7, 15,</w:t>
      </w:r>
      <w:r w:rsidR="00425F41" w:rsidRPr="00FE33EB">
        <w:t xml:space="preserve"> 17</w:t>
      </w:r>
      <w:r w:rsidR="00425F41">
        <w:t>, 23 y</w:t>
      </w:r>
      <w:r w:rsidR="00425F41" w:rsidRPr="00FE33EB">
        <w:t xml:space="preserve"> </w:t>
      </w:r>
      <w:r w:rsidR="00FE33EB" w:rsidRPr="00FE33EB">
        <w:t>24</w:t>
      </w:r>
      <w:r w:rsidR="00425F41">
        <w:t xml:space="preserve"> </w:t>
      </w:r>
      <w:r w:rsidRPr="00FE33EB">
        <w:t xml:space="preserve">leídos </w:t>
      </w:r>
      <w:r w:rsidR="007F404B">
        <w:t xml:space="preserve">solos y </w:t>
      </w:r>
      <w:proofErr w:type="gramStart"/>
      <w:r w:rsidRPr="00FE33EB">
        <w:t>conjuntamente con</w:t>
      </w:r>
      <w:proofErr w:type="gramEnd"/>
      <w:r w:rsidRPr="00FE33EB">
        <w:t xml:space="preserve"> el artículo 4 de la Convención. En consecuencia</w:t>
      </w:r>
      <w:r w:rsidRPr="0029628D">
        <w:t>, el Comité formula las siguientes recomendaciones al Estado parte:</w:t>
      </w:r>
    </w:p>
    <w:p w14:paraId="6CC1435D" w14:textId="77777777" w:rsidR="006F7553" w:rsidRPr="0029628D" w:rsidRDefault="006F7553" w:rsidP="00E46DEF">
      <w:pPr>
        <w:pStyle w:val="SingleTxtG"/>
        <w:ind w:firstLine="567"/>
      </w:pPr>
      <w:r w:rsidRPr="0029628D">
        <w:t>a)</w:t>
      </w:r>
      <w:r w:rsidRPr="0029628D">
        <w:tab/>
        <w:t xml:space="preserve">En lo </w:t>
      </w:r>
      <w:r w:rsidRPr="00F563BB">
        <w:t>que</w:t>
      </w:r>
      <w:r w:rsidRPr="0029628D">
        <w:t xml:space="preserve"> </w:t>
      </w:r>
      <w:r w:rsidRPr="00887F06">
        <w:t>respecta</w:t>
      </w:r>
      <w:r w:rsidRPr="0029628D">
        <w:t xml:space="preserve"> a</w:t>
      </w:r>
      <w:r w:rsidR="007F404B">
        <w:t xml:space="preserve"> los autores</w:t>
      </w:r>
      <w:r>
        <w:t>,</w:t>
      </w:r>
      <w:r w:rsidRPr="0029628D">
        <w:t xml:space="preserve"> el Estado parte tiene la obligación de:</w:t>
      </w:r>
    </w:p>
    <w:p w14:paraId="4D4235FA" w14:textId="6C9C5E2A" w:rsidR="006F7553" w:rsidRDefault="006F7553" w:rsidP="00E46DEF">
      <w:pPr>
        <w:pStyle w:val="SingleTxtG"/>
        <w:ind w:left="1701"/>
        <w:rPr>
          <w:color w:val="FF0000"/>
        </w:rPr>
      </w:pPr>
      <w:r w:rsidRPr="0029628D">
        <w:t>i)</w:t>
      </w:r>
      <w:r w:rsidRPr="0029628D">
        <w:tab/>
        <w:t>Proporcionar</w:t>
      </w:r>
      <w:r w:rsidR="007F404B">
        <w:t>les</w:t>
      </w:r>
      <w:r w:rsidRPr="0029628D">
        <w:t xml:space="preserve"> una reparación efectiva, incluido el reembolso de cualesquiera </w:t>
      </w:r>
      <w:r w:rsidRPr="00503EB2">
        <w:t>costas judiciales en que haya</w:t>
      </w:r>
      <w:r w:rsidR="00754930">
        <w:t>n</w:t>
      </w:r>
      <w:r w:rsidRPr="00503EB2">
        <w:t xml:space="preserve"> incurrido, junto con una indemnización</w:t>
      </w:r>
      <w:r w:rsidR="007F404B">
        <w:t>, tomando en cuenta también los daños emocionales y psicológicos sufridos por los autores como consecuencia del trato recibido y del manejo de su caso por las autoridades competentes</w:t>
      </w:r>
      <w:r w:rsidR="00E46DEF">
        <w:t>;</w:t>
      </w:r>
    </w:p>
    <w:p w14:paraId="001DA6F1" w14:textId="77777777" w:rsidR="006F7553" w:rsidRPr="00503EB2" w:rsidRDefault="00E46DEF" w:rsidP="00E46DEF">
      <w:pPr>
        <w:pStyle w:val="SingleTxtG"/>
        <w:ind w:left="1701"/>
      </w:pPr>
      <w:proofErr w:type="spellStart"/>
      <w:r>
        <w:t>ii</w:t>
      </w:r>
      <w:proofErr w:type="spellEnd"/>
      <w:r>
        <w:t>)</w:t>
      </w:r>
      <w:r>
        <w:tab/>
      </w:r>
      <w:r w:rsidR="006F7553" w:rsidRPr="00F563BB">
        <w:t>Garantizar</w:t>
      </w:r>
      <w:r w:rsidR="006F7553" w:rsidRPr="00503EB2">
        <w:t xml:space="preserve"> que </w:t>
      </w:r>
      <w:r w:rsidR="007F404B">
        <w:t>Rubén</w:t>
      </w:r>
      <w:r w:rsidR="00503EB2" w:rsidRPr="00503EB2">
        <w:t xml:space="preserve"> sea incluido en un programa de formación profesional</w:t>
      </w:r>
      <w:r w:rsidR="00503EB2">
        <w:t xml:space="preserve"> “efectivamente”</w:t>
      </w:r>
      <w:r w:rsidR="00503EB2" w:rsidRPr="00503EB2">
        <w:t xml:space="preserve"> inclusivo</w:t>
      </w:r>
      <w:r w:rsidR="007974D8">
        <w:t xml:space="preserve">, en consulta con </w:t>
      </w:r>
      <w:r w:rsidR="007F404B">
        <w:t>el mismo y</w:t>
      </w:r>
      <w:r w:rsidR="007974D8">
        <w:t xml:space="preserve"> sus padres</w:t>
      </w:r>
      <w:r>
        <w:t>;</w:t>
      </w:r>
    </w:p>
    <w:p w14:paraId="0C9A2D57" w14:textId="77777777" w:rsidR="007974D8" w:rsidRDefault="00E46DEF" w:rsidP="00E46DEF">
      <w:pPr>
        <w:pStyle w:val="SingleTxtG"/>
        <w:ind w:left="1701"/>
      </w:pPr>
      <w:proofErr w:type="spellStart"/>
      <w:r>
        <w:t>iii</w:t>
      </w:r>
      <w:proofErr w:type="spellEnd"/>
      <w:r>
        <w:t>)</w:t>
      </w:r>
      <w:r>
        <w:tab/>
      </w:r>
      <w:r w:rsidR="007974D8">
        <w:t>Proceder a invest</w:t>
      </w:r>
      <w:r w:rsidR="00E91070">
        <w:t>igar efectivamente las alegaciones</w:t>
      </w:r>
      <w:r w:rsidR="007974D8">
        <w:t xml:space="preserve"> de malos tratos y discriminación </w:t>
      </w:r>
      <w:r w:rsidR="007F404B">
        <w:t xml:space="preserve">presentadas </w:t>
      </w:r>
      <w:r w:rsidR="007974D8">
        <w:t xml:space="preserve">por </w:t>
      </w:r>
      <w:r w:rsidR="007F404B">
        <w:t>los autores</w:t>
      </w:r>
      <w:r w:rsidR="007974D8">
        <w:t>, y asegurar que se depuren respons</w:t>
      </w:r>
      <w:r>
        <w:t>abilidades a todos los niveles;</w:t>
      </w:r>
    </w:p>
    <w:p w14:paraId="11CA2885" w14:textId="77777777" w:rsidR="00EA7FC5" w:rsidRDefault="00EA7FC5" w:rsidP="00E46DEF">
      <w:pPr>
        <w:pStyle w:val="SingleTxtG"/>
        <w:ind w:left="1701"/>
      </w:pPr>
      <w:proofErr w:type="spellStart"/>
      <w:r w:rsidRPr="00EA7FC5">
        <w:t>iv</w:t>
      </w:r>
      <w:proofErr w:type="spellEnd"/>
      <w:r w:rsidRPr="00EA7FC5">
        <w:t>)</w:t>
      </w:r>
      <w:r w:rsidRPr="00EA7FC5">
        <w:tab/>
        <w:t xml:space="preserve">Reconocer públicamente, conforme al presente dictamen, la violación de los derechos del niño Rubén a una educación inclusiva y a una vida libre de violencia y </w:t>
      </w:r>
      <w:r w:rsidRPr="00F563BB">
        <w:t>discriminación</w:t>
      </w:r>
      <w:r w:rsidRPr="00EA7FC5">
        <w:t>, así como la violación de los derechos de sus padres al haber sido acusados penalmente de manera indebida por el delito de abandono del menor, lo que conllevó con</w:t>
      </w:r>
      <w:r w:rsidR="00E46DEF">
        <w:t>secuencias morales y económicas;</w:t>
      </w:r>
    </w:p>
    <w:p w14:paraId="138123DE" w14:textId="7A9115EC" w:rsidR="004C78E4" w:rsidRDefault="007974D8" w:rsidP="00E46DEF">
      <w:pPr>
        <w:pStyle w:val="SingleTxtG"/>
        <w:ind w:left="1701"/>
      </w:pPr>
      <w:r>
        <w:t>v</w:t>
      </w:r>
      <w:r w:rsidR="006F7553" w:rsidRPr="0029628D">
        <w:t>)</w:t>
      </w:r>
      <w:r w:rsidR="006F7553" w:rsidRPr="0029628D">
        <w:tab/>
      </w:r>
      <w:r w:rsidR="006F7553" w:rsidRPr="00F563BB">
        <w:t>Publicar</w:t>
      </w:r>
      <w:r w:rsidR="006F7553" w:rsidRPr="0029628D">
        <w:t xml:space="preserve"> el presente dictamen y distribuirlo ampliamente, en formatos accesibles, a fin de que llegue a todos los sectores de la població</w:t>
      </w:r>
      <w:r w:rsidR="006F7553">
        <w:t>n</w:t>
      </w:r>
      <w:r w:rsidR="005748CF">
        <w:t>;</w:t>
      </w:r>
    </w:p>
    <w:p w14:paraId="5C49B0A9" w14:textId="0B5AE433" w:rsidR="003A4A13" w:rsidRDefault="006F7553">
      <w:pPr>
        <w:pStyle w:val="SingleTxtG"/>
        <w:ind w:firstLine="567"/>
      </w:pPr>
      <w:r w:rsidRPr="0029628D">
        <w:t>b)</w:t>
      </w:r>
      <w:r w:rsidRPr="0029628D">
        <w:tab/>
        <w:t>En general: el Estado parte tiene la obligación de adoptar medidas para evitar</w:t>
      </w:r>
      <w:r w:rsidR="00495082">
        <w:t xml:space="preserve"> </w:t>
      </w:r>
      <w:r w:rsidRPr="0029628D">
        <w:t xml:space="preserve">que se cometan violaciones similares en el futuro. Al respecto, el Comité se remite a las </w:t>
      </w:r>
      <w:r w:rsidRPr="00887F06">
        <w:t>recomendaciones</w:t>
      </w:r>
      <w:r w:rsidRPr="0029628D">
        <w:t xml:space="preserve"> que figuran en sus observaciones finales (</w:t>
      </w:r>
      <w:proofErr w:type="spellStart"/>
      <w:r w:rsidR="00615A68" w:rsidRPr="00615A68">
        <w:t>CRPD</w:t>
      </w:r>
      <w:proofErr w:type="spellEnd"/>
      <w:r w:rsidR="00615A68" w:rsidRPr="00615A68">
        <w:t>/C/</w:t>
      </w:r>
      <w:proofErr w:type="spellStart"/>
      <w:r w:rsidR="00615A68" w:rsidRPr="00615A68">
        <w:t>ESP</w:t>
      </w:r>
      <w:proofErr w:type="spellEnd"/>
      <w:r w:rsidR="00615A68" w:rsidRPr="00615A68">
        <w:t>/CO/2-3</w:t>
      </w:r>
      <w:r w:rsidRPr="0029628D">
        <w:t xml:space="preserve">, </w:t>
      </w:r>
      <w:proofErr w:type="spellStart"/>
      <w:r w:rsidR="004C78E4" w:rsidRPr="00495082">
        <w:t>párr</w:t>
      </w:r>
      <w:r w:rsidR="00EC761F">
        <w:t>s</w:t>
      </w:r>
      <w:proofErr w:type="spellEnd"/>
      <w:r w:rsidR="004C78E4" w:rsidRPr="00495082">
        <w:t>.</w:t>
      </w:r>
      <w:r w:rsidRPr="0029628D">
        <w:t xml:space="preserve"> </w:t>
      </w:r>
      <w:r w:rsidR="004C78E4">
        <w:t>46</w:t>
      </w:r>
      <w:r>
        <w:t xml:space="preserve"> y </w:t>
      </w:r>
      <w:r w:rsidR="00453C7B">
        <w:t>47</w:t>
      </w:r>
      <w:r w:rsidRPr="0029628D">
        <w:t>)</w:t>
      </w:r>
      <w:r w:rsidR="003A4A13">
        <w:t xml:space="preserve">, </w:t>
      </w:r>
      <w:r w:rsidR="00F0337A">
        <w:t>así</w:t>
      </w:r>
      <w:r w:rsidR="003A4A13">
        <w:t xml:space="preserve"> como en su</w:t>
      </w:r>
      <w:r w:rsidRPr="0029628D">
        <w:t xml:space="preserve"> </w:t>
      </w:r>
      <w:r w:rsidR="003A4A13">
        <w:t xml:space="preserve">informe de la </w:t>
      </w:r>
      <w:r w:rsidR="003A4A13" w:rsidRPr="00FE0D9D">
        <w:t>investigación</w:t>
      </w:r>
      <w:r w:rsidR="003A4A13">
        <w:t xml:space="preserve"> rela</w:t>
      </w:r>
      <w:r w:rsidR="00EC761F">
        <w:t xml:space="preserve">cionada con </w:t>
      </w:r>
      <w:r w:rsidR="003A4A13">
        <w:t>España</w:t>
      </w:r>
      <w:r w:rsidR="00EC761F">
        <w:t xml:space="preserve"> bajo </w:t>
      </w:r>
      <w:r w:rsidR="003A4A13">
        <w:t xml:space="preserve">el artículo 6 </w:t>
      </w:r>
      <w:r w:rsidR="003A4A13">
        <w:lastRenderedPageBreak/>
        <w:t>del Protocolo Facultativo (</w:t>
      </w:r>
      <w:proofErr w:type="spellStart"/>
      <w:r w:rsidR="003B4AE2" w:rsidRPr="00F563BB">
        <w:t>CRPD</w:t>
      </w:r>
      <w:proofErr w:type="spellEnd"/>
      <w:r w:rsidR="003B4AE2" w:rsidRPr="00F563BB">
        <w:t>/C</w:t>
      </w:r>
      <w:r w:rsidR="003B4AE2">
        <w:t>/</w:t>
      </w:r>
      <w:proofErr w:type="spellStart"/>
      <w:r w:rsidR="003B4AE2">
        <w:t>ESP</w:t>
      </w:r>
      <w:proofErr w:type="spellEnd"/>
      <w:r w:rsidR="003B4AE2">
        <w:t>/IR/1</w:t>
      </w:r>
      <w:r w:rsidR="003A4A13">
        <w:t xml:space="preserve">), </w:t>
      </w:r>
      <w:r w:rsidRPr="0029628D">
        <w:t>y solicita</w:t>
      </w:r>
      <w:r w:rsidR="00375637">
        <w:t xml:space="preserve"> en particular</w:t>
      </w:r>
      <w:r w:rsidRPr="0029628D">
        <w:t xml:space="preserve"> al Estado parte que</w:t>
      </w:r>
      <w:r w:rsidR="00DA7A47">
        <w:t xml:space="preserve">, </w:t>
      </w:r>
      <w:r w:rsidR="00DA7A47" w:rsidRPr="00F563BB">
        <w:t>en</w:t>
      </w:r>
      <w:r w:rsidR="00DA7A47" w:rsidRPr="00DA7A47">
        <w:t xml:space="preserve"> estrecha consulta con las personas con discapacidad y las organizaciones que las representan</w:t>
      </w:r>
      <w:r w:rsidRPr="0029628D">
        <w:t>:</w:t>
      </w:r>
    </w:p>
    <w:p w14:paraId="120B1DA6" w14:textId="5E1709A9" w:rsidR="003A4A13" w:rsidRDefault="00E46DEF" w:rsidP="00E46DEF">
      <w:pPr>
        <w:pStyle w:val="SingleTxtG"/>
        <w:ind w:left="1701"/>
      </w:pPr>
      <w:r>
        <w:t>i)</w:t>
      </w:r>
      <w:r>
        <w:tab/>
      </w:r>
      <w:r w:rsidR="003A4A13" w:rsidRPr="00F563BB">
        <w:t>A</w:t>
      </w:r>
      <w:r w:rsidR="004C78E4" w:rsidRPr="00F563BB">
        <w:t>celere</w:t>
      </w:r>
      <w:r w:rsidR="004C78E4">
        <w:t xml:space="preserve"> la reforma legislativa, de conformidad con la Convención, para </w:t>
      </w:r>
      <w:r w:rsidR="00363F36" w:rsidRPr="00D64991">
        <w:t xml:space="preserve">eliminar totalmente el modelo médico de la discapacidad </w:t>
      </w:r>
      <w:r w:rsidR="00363F36">
        <w:t xml:space="preserve">y </w:t>
      </w:r>
      <w:r w:rsidR="004C78E4">
        <w:t>definir claramente la inclusión</w:t>
      </w:r>
      <w:r w:rsidR="004733C0">
        <w:t xml:space="preserve"> plena de todos los </w:t>
      </w:r>
      <w:r w:rsidR="0076453D">
        <w:t>estudiantes</w:t>
      </w:r>
      <w:r w:rsidR="004733C0">
        <w:t xml:space="preserve"> con discapacidad</w:t>
      </w:r>
      <w:r w:rsidR="004C78E4">
        <w:t xml:space="preserve"> y sus objetivos específicos en cada nivel de enseñanza</w:t>
      </w:r>
      <w:r>
        <w:t>;</w:t>
      </w:r>
    </w:p>
    <w:p w14:paraId="4F7D27CB" w14:textId="77777777" w:rsidR="004C78E4" w:rsidRDefault="00E46DEF" w:rsidP="00E46DEF">
      <w:pPr>
        <w:pStyle w:val="SingleTxtG"/>
        <w:ind w:left="1701"/>
      </w:pPr>
      <w:proofErr w:type="spellStart"/>
      <w:r>
        <w:t>ii</w:t>
      </w:r>
      <w:proofErr w:type="spellEnd"/>
      <w:r>
        <w:t>)</w:t>
      </w:r>
      <w:r>
        <w:tab/>
      </w:r>
      <w:r w:rsidR="003A4A13">
        <w:t>A</w:t>
      </w:r>
      <w:r w:rsidR="004C78E4">
        <w:t xml:space="preserve">dopte medidas para considerar la educación inclusiva como un derecho y que todos los estudiantes con discapacidad tengan el derecho de acceso a las oportunidades de </w:t>
      </w:r>
      <w:r w:rsidR="004C78E4" w:rsidRPr="00F563BB">
        <w:t>aprendizaje</w:t>
      </w:r>
      <w:r w:rsidR="004C78E4">
        <w:t xml:space="preserve"> inclusivo en el sistema de enseñanza general, independientemente de sus características personales, con acceso a los servicios de apoyo que requieran</w:t>
      </w:r>
      <w:r>
        <w:t>;</w:t>
      </w:r>
    </w:p>
    <w:p w14:paraId="0F6C8352" w14:textId="77777777" w:rsidR="004C78E4" w:rsidRDefault="00E46DEF" w:rsidP="00E46DEF">
      <w:pPr>
        <w:pStyle w:val="SingleTxtG"/>
        <w:ind w:left="1701"/>
      </w:pPr>
      <w:proofErr w:type="spellStart"/>
      <w:r>
        <w:t>iii</w:t>
      </w:r>
      <w:proofErr w:type="spellEnd"/>
      <w:r>
        <w:t>)</w:t>
      </w:r>
      <w:r>
        <w:tab/>
      </w:r>
      <w:r w:rsidR="003A4A13">
        <w:t>F</w:t>
      </w:r>
      <w:r w:rsidR="004C78E4">
        <w:t xml:space="preserve">ormule una política integral de educación inclusiva acompañada de estrategias para promover una cultura de inclusión en la enseñanza general, que comprenda la realización de evaluaciones individualizadas y basadas en los derechos humanos de las necesidades educativas y los ajustes necesarios, la prestación de apoyo a los docentes, el respeto de la diversidad para garantizar el derecho a la igualdad y la no discriminación, y la participación plena y efectiva de las personas </w:t>
      </w:r>
      <w:r>
        <w:t>con discapacidad en la sociedad;</w:t>
      </w:r>
    </w:p>
    <w:p w14:paraId="50F69BD5" w14:textId="5226DBED" w:rsidR="00E2158C" w:rsidRDefault="00E46DEF" w:rsidP="00E46DEF">
      <w:pPr>
        <w:pStyle w:val="SingleTxtG"/>
        <w:ind w:left="1701"/>
      </w:pPr>
      <w:proofErr w:type="spellStart"/>
      <w:r>
        <w:t>iv</w:t>
      </w:r>
      <w:proofErr w:type="spellEnd"/>
      <w:r>
        <w:t>)</w:t>
      </w:r>
      <w:r>
        <w:tab/>
      </w:r>
      <w:r w:rsidR="00E2158C">
        <w:t xml:space="preserve">Elimine </w:t>
      </w:r>
      <w:r w:rsidR="001C0D3A">
        <w:t>toda</w:t>
      </w:r>
      <w:r w:rsidR="00DA3DFE">
        <w:t xml:space="preserve"> </w:t>
      </w:r>
      <w:r w:rsidR="00E2158C">
        <w:t xml:space="preserve">segregación educativa de estudiantes con discapacidad, tanto en </w:t>
      </w:r>
      <w:r w:rsidR="00C43831" w:rsidRPr="00C43831">
        <w:t xml:space="preserve">las escuelas de educación especial </w:t>
      </w:r>
      <w:r>
        <w:t xml:space="preserve">como en </w:t>
      </w:r>
      <w:r w:rsidR="00C43831">
        <w:t xml:space="preserve">las unidades </w:t>
      </w:r>
      <w:r w:rsidR="00C43831" w:rsidRPr="00C43831">
        <w:t>especializadas de</w:t>
      </w:r>
      <w:r w:rsidR="00C43831">
        <w:t>ntro de</w:t>
      </w:r>
      <w:r w:rsidR="00C43831" w:rsidRPr="00C43831">
        <w:t xml:space="preserve"> las escuelas ordinarias</w:t>
      </w:r>
      <w:r>
        <w:t>;</w:t>
      </w:r>
    </w:p>
    <w:p w14:paraId="1FC51951" w14:textId="77777777" w:rsidR="004C78E4" w:rsidRPr="0029628D" w:rsidRDefault="00E46DEF" w:rsidP="00E46DEF">
      <w:pPr>
        <w:pStyle w:val="SingleTxtG"/>
        <w:ind w:left="1701"/>
      </w:pPr>
      <w:r>
        <w:t>v)</w:t>
      </w:r>
      <w:r>
        <w:tab/>
      </w:r>
      <w:r w:rsidR="00851DDC" w:rsidRPr="00851DDC">
        <w:t>Vigil</w:t>
      </w:r>
      <w:r w:rsidR="00E2158C">
        <w:t>e</w:t>
      </w:r>
      <w:r w:rsidR="00851DDC" w:rsidRPr="00851DDC">
        <w:t xml:space="preserve"> que no se pueda perseguir penalmente a los padres de alumnos con discapacidad </w:t>
      </w:r>
      <w:r w:rsidR="00851DDC" w:rsidRPr="00F563BB">
        <w:t>por</w:t>
      </w:r>
      <w:r w:rsidR="00851DDC" w:rsidRPr="00851DDC">
        <w:t xml:space="preserve"> el delito de abandono familiar por exigir el derecho de sus hijos a una educación inclusiva en igualdad de condiciones</w:t>
      </w:r>
      <w:r w:rsidR="00E2158C">
        <w:t>.</w:t>
      </w:r>
    </w:p>
    <w:p w14:paraId="6768F138" w14:textId="77777777" w:rsidR="006F7553" w:rsidRDefault="006F7553" w:rsidP="00F563BB">
      <w:pPr>
        <w:pStyle w:val="SingleTxtG"/>
      </w:pPr>
      <w:r w:rsidRPr="0029628D">
        <w:t>1</w:t>
      </w:r>
      <w:r w:rsidR="00DA7A47">
        <w:t>0</w:t>
      </w:r>
      <w:r w:rsidRPr="0029628D">
        <w:t>.</w:t>
      </w:r>
      <w:r w:rsidRPr="0029628D">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presente dictamen y las recomendaciones del Comité.</w:t>
      </w:r>
    </w:p>
    <w:p w14:paraId="3FFAE568" w14:textId="7B79DA50" w:rsidR="006F7553" w:rsidRPr="00E46DEF" w:rsidRDefault="006F7553" w:rsidP="00E46DEF">
      <w:pPr>
        <w:suppressAutoHyphens/>
        <w:spacing w:before="240"/>
        <w:ind w:left="1134" w:right="1134"/>
        <w:jc w:val="center"/>
        <w:rPr>
          <w:u w:val="single"/>
        </w:rPr>
      </w:pPr>
      <w:bookmarkStart w:id="0" w:name="_GoBack"/>
      <w:bookmarkEnd w:id="0"/>
      <w:r>
        <w:rPr>
          <w:u w:val="single"/>
        </w:rPr>
        <w:tab/>
      </w:r>
      <w:r>
        <w:rPr>
          <w:u w:val="single"/>
        </w:rPr>
        <w:tab/>
      </w:r>
      <w:r w:rsidR="00E46DEF">
        <w:rPr>
          <w:u w:val="single"/>
        </w:rPr>
        <w:tab/>
      </w:r>
    </w:p>
    <w:sectPr w:rsidR="006F7553" w:rsidRPr="00E46DEF" w:rsidSect="00A54AE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EDE2" w14:textId="77777777" w:rsidR="008C6330" w:rsidRDefault="008C6330">
      <w:r>
        <w:separator/>
      </w:r>
    </w:p>
  </w:endnote>
  <w:endnote w:type="continuationSeparator" w:id="0">
    <w:p w14:paraId="4EE3E5C3" w14:textId="77777777" w:rsidR="008C6330" w:rsidRDefault="008C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AE82" w14:textId="58CC6627" w:rsidR="002A4902" w:rsidRPr="00A95A4E" w:rsidRDefault="002A4902" w:rsidP="00A95A4E">
    <w:pPr>
      <w:pStyle w:val="Piedepgina"/>
      <w:tabs>
        <w:tab w:val="right" w:pos="9638"/>
      </w:tabs>
    </w:pPr>
    <w:r w:rsidRPr="00A95A4E">
      <w:rPr>
        <w:b/>
        <w:sz w:val="18"/>
      </w:rPr>
      <w:fldChar w:fldCharType="begin"/>
    </w:r>
    <w:r w:rsidRPr="00A95A4E">
      <w:rPr>
        <w:b/>
        <w:sz w:val="18"/>
      </w:rPr>
      <w:instrText xml:space="preserve"> PAGE  \* MERGEFORMAT </w:instrText>
    </w:r>
    <w:r w:rsidRPr="00A95A4E">
      <w:rPr>
        <w:b/>
        <w:sz w:val="18"/>
      </w:rPr>
      <w:fldChar w:fldCharType="separate"/>
    </w:r>
    <w:r w:rsidR="00F54046">
      <w:rPr>
        <w:b/>
        <w:noProof/>
        <w:sz w:val="18"/>
      </w:rPr>
      <w:t>14</w:t>
    </w:r>
    <w:r w:rsidRPr="00A95A4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D15A" w14:textId="727E5AA3" w:rsidR="002A4902" w:rsidRPr="00A95A4E" w:rsidRDefault="002A4902" w:rsidP="00A95A4E">
    <w:pPr>
      <w:pStyle w:val="Piedepgina"/>
      <w:tabs>
        <w:tab w:val="right" w:pos="9638"/>
      </w:tabs>
      <w:rPr>
        <w:b/>
        <w:sz w:val="18"/>
      </w:rPr>
    </w:pPr>
    <w:r>
      <w:tab/>
    </w:r>
    <w:r w:rsidRPr="00A95A4E">
      <w:rPr>
        <w:b/>
        <w:sz w:val="18"/>
      </w:rPr>
      <w:fldChar w:fldCharType="begin"/>
    </w:r>
    <w:r w:rsidRPr="00A95A4E">
      <w:rPr>
        <w:b/>
        <w:sz w:val="18"/>
      </w:rPr>
      <w:instrText xml:space="preserve"> PAGE  \* MERGEFORMAT </w:instrText>
    </w:r>
    <w:r w:rsidRPr="00A95A4E">
      <w:rPr>
        <w:b/>
        <w:sz w:val="18"/>
      </w:rPr>
      <w:fldChar w:fldCharType="separate"/>
    </w:r>
    <w:r w:rsidR="00F54046">
      <w:rPr>
        <w:b/>
        <w:noProof/>
        <w:sz w:val="18"/>
      </w:rPr>
      <w:t>13</w:t>
    </w:r>
    <w:r w:rsidRPr="00A95A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7D9F" w14:textId="0B42E784" w:rsidR="002A4902" w:rsidRPr="004B2745" w:rsidRDefault="004B2745" w:rsidP="004B2745">
    <w:pPr>
      <w:pStyle w:val="Piedepgina"/>
      <w:spacing w:before="120" w:line="240" w:lineRule="auto"/>
      <w:rPr>
        <w:sz w:val="20"/>
      </w:rPr>
    </w:pPr>
    <w:proofErr w:type="spellStart"/>
    <w:r>
      <w:rPr>
        <w:sz w:val="20"/>
      </w:rPr>
      <w:t>GE.20</w:t>
    </w:r>
    <w:proofErr w:type="spellEnd"/>
    <w:r>
      <w:rPr>
        <w:sz w:val="20"/>
      </w:rPr>
      <w:t>-</w:t>
    </w:r>
    <w:proofErr w:type="gramStart"/>
    <w:r>
      <w:rPr>
        <w:sz w:val="20"/>
      </w:rPr>
      <w:t>12764  (</w:t>
    </w:r>
    <w:proofErr w:type="gramEnd"/>
    <w:r>
      <w:rPr>
        <w:sz w:val="20"/>
      </w:rPr>
      <w:t>S)</w:t>
    </w:r>
    <w:r>
      <w:rPr>
        <w:sz w:val="20"/>
      </w:rPr>
      <w:br/>
    </w:r>
    <w:r w:rsidRPr="004B2745">
      <w:rPr>
        <w:rFonts w:ascii="C39T30Lfz" w:hAnsi="C39T30Lfz"/>
        <w:sz w:val="56"/>
      </w:rPr>
      <w:t>*2012764*</w:t>
    </w:r>
    <w:r w:rsidRPr="004B2745">
      <w:rPr>
        <w:rFonts w:ascii="C39T30Lfz" w:hAnsi="C39T30Lfz"/>
        <w:noProof/>
        <w:sz w:val="56"/>
        <w:lang w:val="fr-CH" w:eastAsia="zh-CN"/>
      </w:rPr>
      <w:drawing>
        <wp:anchor distT="0" distB="0" distL="114300" distR="114300" simplePos="0" relativeHeight="251660288" behindDoc="0" locked="1" layoutInCell="1" allowOverlap="1" wp14:anchorId="20B86036" wp14:editId="5C4FC65E">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17901B8A" wp14:editId="3CAB1B4B">
          <wp:simplePos x="0" y="0"/>
          <wp:positionH relativeFrom="margin">
            <wp:posOffset>5489575</wp:posOffset>
          </wp:positionH>
          <wp:positionV relativeFrom="margin">
            <wp:posOffset>8891905</wp:posOffset>
          </wp:positionV>
          <wp:extent cx="561975" cy="561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D995" w14:textId="77777777" w:rsidR="008C6330" w:rsidRPr="001075E9" w:rsidRDefault="008C6330" w:rsidP="001075E9">
      <w:pPr>
        <w:tabs>
          <w:tab w:val="right" w:pos="2155"/>
        </w:tabs>
        <w:spacing w:after="80" w:line="240" w:lineRule="auto"/>
        <w:ind w:left="680"/>
        <w:rPr>
          <w:u w:val="single"/>
        </w:rPr>
      </w:pPr>
      <w:r>
        <w:rPr>
          <w:u w:val="single"/>
        </w:rPr>
        <w:tab/>
      </w:r>
    </w:p>
  </w:footnote>
  <w:footnote w:type="continuationSeparator" w:id="0">
    <w:p w14:paraId="19929289" w14:textId="77777777" w:rsidR="008C6330" w:rsidRDefault="008C6330">
      <w:r>
        <w:continuationSeparator/>
      </w:r>
    </w:p>
  </w:footnote>
  <w:footnote w:id="1">
    <w:p w14:paraId="4836B5BC" w14:textId="0BFF9606" w:rsidR="002A4902" w:rsidRPr="00C41C20" w:rsidRDefault="002A4902" w:rsidP="008F01F0">
      <w:pPr>
        <w:pStyle w:val="Textonotapie"/>
        <w:rPr>
          <w:lang w:val="es-EC"/>
        </w:rPr>
      </w:pPr>
      <w:r w:rsidRPr="00022D66">
        <w:rPr>
          <w:rStyle w:val="Refdenotaalpie"/>
          <w:sz w:val="20"/>
          <w:lang w:val="es-EC"/>
        </w:rPr>
        <w:tab/>
      </w:r>
      <w:r w:rsidRPr="00022D66">
        <w:rPr>
          <w:rStyle w:val="Refdenotaalpie"/>
          <w:sz w:val="20"/>
          <w:vertAlign w:val="baseline"/>
          <w:lang w:val="es-EC"/>
        </w:rPr>
        <w:t>*</w:t>
      </w:r>
      <w:r w:rsidRPr="00022D66">
        <w:rPr>
          <w:rStyle w:val="Refdenotaalpie"/>
          <w:sz w:val="20"/>
          <w:vertAlign w:val="baseline"/>
          <w:lang w:val="es-EC"/>
        </w:rPr>
        <w:tab/>
      </w:r>
      <w:r w:rsidRPr="00C41C20">
        <w:rPr>
          <w:lang w:val="es-EC"/>
        </w:rPr>
        <w:t>A</w:t>
      </w:r>
      <w:r w:rsidRPr="0094024B">
        <w:t xml:space="preserve">probado por el Comité en su </w:t>
      </w:r>
      <w:r>
        <w:t>23</w:t>
      </w:r>
      <w:r w:rsidRPr="0094024B">
        <w:t>º período de sesiones</w:t>
      </w:r>
      <w:r>
        <w:rPr>
          <w:lang w:val="es-EC"/>
        </w:rPr>
        <w:t xml:space="preserve"> (17</w:t>
      </w:r>
      <w:r w:rsidRPr="00C41C20">
        <w:rPr>
          <w:lang w:val="es-EC"/>
        </w:rPr>
        <w:t xml:space="preserve"> </w:t>
      </w:r>
      <w:r>
        <w:rPr>
          <w:lang w:val="es-EC"/>
        </w:rPr>
        <w:t>de agosto</w:t>
      </w:r>
      <w:r w:rsidRPr="00C41C20">
        <w:rPr>
          <w:color w:val="000000" w:themeColor="text1"/>
          <w:lang w:val="es-EC"/>
        </w:rPr>
        <w:t xml:space="preserve"> </w:t>
      </w:r>
      <w:r>
        <w:rPr>
          <w:color w:val="000000" w:themeColor="text1"/>
          <w:lang w:val="es-EC"/>
        </w:rPr>
        <w:t>a</w:t>
      </w:r>
      <w:r w:rsidRPr="00C41C20">
        <w:rPr>
          <w:color w:val="000000" w:themeColor="text1"/>
          <w:lang w:val="es-EC"/>
        </w:rPr>
        <w:t xml:space="preserve"> </w:t>
      </w:r>
      <w:r>
        <w:rPr>
          <w:color w:val="000000" w:themeColor="text1"/>
          <w:lang w:val="es-EC"/>
        </w:rPr>
        <w:t>4 de septiembre de 2020</w:t>
      </w:r>
      <w:r w:rsidRPr="00C41C20">
        <w:rPr>
          <w:lang w:val="es-EC"/>
        </w:rPr>
        <w:t>).</w:t>
      </w:r>
    </w:p>
  </w:footnote>
  <w:footnote w:id="2">
    <w:p w14:paraId="550BFB69" w14:textId="5DC8D337" w:rsidR="002A4902" w:rsidRPr="00022D66" w:rsidRDefault="002A4902" w:rsidP="005748CF">
      <w:pPr>
        <w:pStyle w:val="Textonotapie"/>
        <w:rPr>
          <w:lang w:val="es-EC"/>
        </w:rPr>
      </w:pPr>
      <w:r>
        <w:rPr>
          <w:rStyle w:val="Refdenotaalpie"/>
        </w:rPr>
        <w:tab/>
      </w:r>
      <w:r w:rsidRPr="00022D66">
        <w:rPr>
          <w:rStyle w:val="Refdenotaalpie"/>
          <w:sz w:val="20"/>
          <w:vertAlign w:val="baseline"/>
        </w:rPr>
        <w:t>**</w:t>
      </w:r>
      <w:r>
        <w:rPr>
          <w:rStyle w:val="Refdenotaalpie"/>
          <w:sz w:val="20"/>
          <w:vertAlign w:val="baseline"/>
        </w:rPr>
        <w:tab/>
      </w:r>
      <w:r w:rsidRPr="0094024B">
        <w:t xml:space="preserve">Participaron en el examen de la comunicación los siguientes miembros del Comité: </w:t>
      </w:r>
      <w:r w:rsidRPr="00DA6464">
        <w:t xml:space="preserve">Ahmad </w:t>
      </w:r>
      <w:proofErr w:type="spellStart"/>
      <w:r w:rsidRPr="00DA6464">
        <w:t>Al</w:t>
      </w:r>
      <w:r>
        <w:t>s</w:t>
      </w:r>
      <w:r w:rsidRPr="00DA6464">
        <w:t>aif</w:t>
      </w:r>
      <w:proofErr w:type="spellEnd"/>
      <w:r w:rsidRPr="00DA6464">
        <w:rPr>
          <w:lang w:eastAsia="en-US"/>
        </w:rPr>
        <w:t xml:space="preserve">, </w:t>
      </w:r>
      <w:proofErr w:type="spellStart"/>
      <w:r w:rsidRPr="00DA6464">
        <w:t>Danlami</w:t>
      </w:r>
      <w:proofErr w:type="spellEnd"/>
      <w:r w:rsidRPr="00DA6464">
        <w:t xml:space="preserve"> </w:t>
      </w:r>
      <w:proofErr w:type="spellStart"/>
      <w:r w:rsidRPr="00DA6464">
        <w:t>Umaru</w:t>
      </w:r>
      <w:proofErr w:type="spellEnd"/>
      <w:r w:rsidRPr="00DA6464">
        <w:t xml:space="preserve"> </w:t>
      </w:r>
      <w:proofErr w:type="spellStart"/>
      <w:r w:rsidRPr="00DA6464">
        <w:t>Basharu</w:t>
      </w:r>
      <w:proofErr w:type="spellEnd"/>
      <w:r w:rsidRPr="00DA6464">
        <w:t xml:space="preserve">, </w:t>
      </w:r>
      <w:proofErr w:type="spellStart"/>
      <w:r w:rsidRPr="00DA6464">
        <w:t>Monthian</w:t>
      </w:r>
      <w:proofErr w:type="spellEnd"/>
      <w:r w:rsidRPr="00DA6464">
        <w:t xml:space="preserve"> </w:t>
      </w:r>
      <w:proofErr w:type="spellStart"/>
      <w:r w:rsidRPr="00DA6464">
        <w:t>Buntan</w:t>
      </w:r>
      <w:proofErr w:type="spellEnd"/>
      <w:r w:rsidRPr="00DA6464">
        <w:rPr>
          <w:lang w:eastAsia="en-US"/>
        </w:rPr>
        <w:t xml:space="preserve">, </w:t>
      </w:r>
      <w:proofErr w:type="spellStart"/>
      <w:r w:rsidRPr="00DA6464">
        <w:t>Imed</w:t>
      </w:r>
      <w:proofErr w:type="spellEnd"/>
      <w:r w:rsidRPr="00DA6464">
        <w:t xml:space="preserve"> </w:t>
      </w:r>
      <w:proofErr w:type="spellStart"/>
      <w:r w:rsidRPr="00DA6464">
        <w:t>Eddine</w:t>
      </w:r>
      <w:proofErr w:type="spellEnd"/>
      <w:r w:rsidRPr="00DA6464">
        <w:t xml:space="preserve"> </w:t>
      </w:r>
      <w:proofErr w:type="spellStart"/>
      <w:r w:rsidRPr="00DA6464">
        <w:t>Chaker</w:t>
      </w:r>
      <w:proofErr w:type="spellEnd"/>
      <w:r w:rsidRPr="00DA6464">
        <w:t>,</w:t>
      </w:r>
      <w:r>
        <w:t xml:space="preserve"> Gertrude </w:t>
      </w:r>
      <w:proofErr w:type="spellStart"/>
      <w:r>
        <w:t>Oforiwa</w:t>
      </w:r>
      <w:proofErr w:type="spellEnd"/>
      <w:r>
        <w:t xml:space="preserve"> </w:t>
      </w:r>
      <w:proofErr w:type="spellStart"/>
      <w:r>
        <w:t>Fefoame</w:t>
      </w:r>
      <w:proofErr w:type="spellEnd"/>
      <w:r>
        <w:t>,</w:t>
      </w:r>
      <w:r w:rsidRPr="00DA6464">
        <w:t xml:space="preserve"> Mara Cristina </w:t>
      </w:r>
      <w:proofErr w:type="spellStart"/>
      <w:r>
        <w:t>Gabrilli</w:t>
      </w:r>
      <w:proofErr w:type="spellEnd"/>
      <w:r>
        <w:t xml:space="preserve">, </w:t>
      </w:r>
      <w:r w:rsidRPr="00DA6464">
        <w:t>Amalia</w:t>
      </w:r>
      <w:r>
        <w:t xml:space="preserve"> Gamio Ríos,</w:t>
      </w:r>
      <w:r w:rsidRPr="00DA6464">
        <w:t xml:space="preserve"> Jun </w:t>
      </w:r>
      <w:r>
        <w:t xml:space="preserve">Ishikawa, </w:t>
      </w:r>
      <w:r w:rsidRPr="00DA6464">
        <w:t xml:space="preserve">Samuel </w:t>
      </w:r>
      <w:proofErr w:type="spellStart"/>
      <w:r w:rsidRPr="00DA6464">
        <w:t>Njuguna</w:t>
      </w:r>
      <w:proofErr w:type="spellEnd"/>
      <w:r w:rsidRPr="00DA6464">
        <w:t xml:space="preserve"> </w:t>
      </w:r>
      <w:proofErr w:type="spellStart"/>
      <w:r w:rsidRPr="00DA6464">
        <w:t>Kabue</w:t>
      </w:r>
      <w:proofErr w:type="spellEnd"/>
      <w:r>
        <w:t xml:space="preserve">, Kim </w:t>
      </w:r>
      <w:r w:rsidRPr="00DA6464">
        <w:t>Mi</w:t>
      </w:r>
      <w:r>
        <w:t xml:space="preserve"> </w:t>
      </w:r>
      <w:proofErr w:type="spellStart"/>
      <w:r>
        <w:t>Y</w:t>
      </w:r>
      <w:r w:rsidRPr="00DA6464">
        <w:t>eon</w:t>
      </w:r>
      <w:proofErr w:type="spellEnd"/>
      <w:r>
        <w:t xml:space="preserve">, </w:t>
      </w:r>
      <w:proofErr w:type="spellStart"/>
      <w:r w:rsidRPr="00DA6464">
        <w:t>Lászlo</w:t>
      </w:r>
      <w:proofErr w:type="spellEnd"/>
      <w:r w:rsidRPr="00DA6464">
        <w:t xml:space="preserve"> </w:t>
      </w:r>
      <w:proofErr w:type="spellStart"/>
      <w:r w:rsidRPr="00DA6464">
        <w:t>Gábor</w:t>
      </w:r>
      <w:proofErr w:type="spellEnd"/>
      <w:r w:rsidRPr="00DA6464">
        <w:t xml:space="preserve"> </w:t>
      </w:r>
      <w:proofErr w:type="spellStart"/>
      <w:r w:rsidRPr="00DA6464">
        <w:t>Lov</w:t>
      </w:r>
      <w:r>
        <w:t>á</w:t>
      </w:r>
      <w:r w:rsidRPr="00DA6464">
        <w:t>szy</w:t>
      </w:r>
      <w:proofErr w:type="spellEnd"/>
      <w:r>
        <w:t>,</w:t>
      </w:r>
      <w:r w:rsidRPr="00DA6464">
        <w:t xml:space="preserve"> Robert George</w:t>
      </w:r>
      <w:r>
        <w:t xml:space="preserve"> Martin, </w:t>
      </w:r>
      <w:proofErr w:type="spellStart"/>
      <w:r w:rsidRPr="00DA6464">
        <w:t>Dmitry</w:t>
      </w:r>
      <w:proofErr w:type="spellEnd"/>
      <w:r w:rsidRPr="00DA6464">
        <w:t xml:space="preserve"> </w:t>
      </w:r>
      <w:proofErr w:type="spellStart"/>
      <w:r w:rsidRPr="00DA6464">
        <w:t>Rebrov</w:t>
      </w:r>
      <w:proofErr w:type="spellEnd"/>
      <w:r w:rsidRPr="00DA6464">
        <w:t xml:space="preserve">, </w:t>
      </w:r>
      <w:proofErr w:type="spellStart"/>
      <w:r w:rsidRPr="00DA6464">
        <w:t>Jonas</w:t>
      </w:r>
      <w:proofErr w:type="spellEnd"/>
      <w:r w:rsidRPr="00DA6464">
        <w:t xml:space="preserve"> </w:t>
      </w:r>
      <w:proofErr w:type="spellStart"/>
      <w:r w:rsidRPr="00DA6464">
        <w:t>Ruskus</w:t>
      </w:r>
      <w:proofErr w:type="spellEnd"/>
      <w:r>
        <w:t xml:space="preserve">, </w:t>
      </w:r>
      <w:r w:rsidRPr="00DA6464">
        <w:t xml:space="preserve">Markus </w:t>
      </w:r>
      <w:proofErr w:type="spellStart"/>
      <w:r w:rsidRPr="00DA6464">
        <w:t>Schefer</w:t>
      </w:r>
      <w:proofErr w:type="spellEnd"/>
      <w:r w:rsidRPr="00DA6464">
        <w:t>,</w:t>
      </w:r>
      <w:r>
        <w:t xml:space="preserve"> </w:t>
      </w:r>
      <w:proofErr w:type="spellStart"/>
      <w:r>
        <w:t>Risnawati</w:t>
      </w:r>
      <w:proofErr w:type="spellEnd"/>
      <w:r>
        <w:t xml:space="preserve"> </w:t>
      </w:r>
      <w:proofErr w:type="spellStart"/>
      <w:r>
        <w:t>Utami</w:t>
      </w:r>
      <w:proofErr w:type="spellEnd"/>
      <w:r>
        <w:t>.</w:t>
      </w:r>
    </w:p>
  </w:footnote>
  <w:footnote w:id="3">
    <w:p w14:paraId="6B1C72DF" w14:textId="67DF4282" w:rsidR="002A4902" w:rsidRPr="00BB6613" w:rsidRDefault="002A4902" w:rsidP="005748CF">
      <w:pPr>
        <w:pStyle w:val="Textonotapie"/>
      </w:pPr>
      <w:r>
        <w:tab/>
      </w:r>
      <w:r w:rsidRPr="008F01F0">
        <w:rPr>
          <w:rStyle w:val="Refdenotaalpie"/>
        </w:rPr>
        <w:footnoteRef/>
      </w:r>
      <w:r>
        <w:tab/>
        <w:t>Rubén aporta u</w:t>
      </w:r>
      <w:r w:rsidRPr="00BB6613">
        <w:t xml:space="preserve">n poder de representación firmado por </w:t>
      </w:r>
      <w:r>
        <w:t xml:space="preserve">él a favor de su padre. </w:t>
      </w:r>
    </w:p>
  </w:footnote>
  <w:footnote w:id="4">
    <w:p w14:paraId="05117F37" w14:textId="7B076E88" w:rsidR="002A4902" w:rsidRPr="00F563BB" w:rsidRDefault="002A4902" w:rsidP="005748CF">
      <w:pPr>
        <w:pStyle w:val="Textonotapie"/>
      </w:pPr>
      <w:r>
        <w:tab/>
      </w:r>
      <w:r w:rsidRPr="008F01F0">
        <w:rPr>
          <w:rStyle w:val="Refdenotaalpie"/>
        </w:rPr>
        <w:footnoteRef/>
      </w:r>
      <w:r>
        <w:tab/>
      </w:r>
      <w:r w:rsidRPr="00F563BB">
        <w:t xml:space="preserve">El Comité resalta que el término “deficiente” no es conforme a los principios de la Convención ya que asimila a la discapacidad con una deficiencia, lo que no es. </w:t>
      </w:r>
      <w:r>
        <w:t xml:space="preserve">El Comité </w:t>
      </w:r>
      <w:r w:rsidRPr="00F563BB">
        <w:t xml:space="preserve">invita a los </w:t>
      </w:r>
      <w:proofErr w:type="gramStart"/>
      <w:r w:rsidRPr="00F563BB">
        <w:t>Estados partes</w:t>
      </w:r>
      <w:proofErr w:type="gramEnd"/>
      <w:r w:rsidRPr="00F563BB">
        <w:t>, sus actores y a la población en general a hacer referencia a las “personas con discapacidad”.</w:t>
      </w:r>
    </w:p>
  </w:footnote>
  <w:footnote w:id="5">
    <w:p w14:paraId="4EB8987A" w14:textId="67285A87" w:rsidR="002A4902" w:rsidRPr="00F563BB" w:rsidRDefault="002A4902" w:rsidP="005748CF">
      <w:pPr>
        <w:pStyle w:val="Textonotapie"/>
      </w:pPr>
      <w:r>
        <w:tab/>
      </w:r>
      <w:r w:rsidRPr="008F01F0">
        <w:rPr>
          <w:rStyle w:val="Refdenotaalpie"/>
        </w:rPr>
        <w:footnoteRef/>
      </w:r>
      <w:r>
        <w:tab/>
        <w:t>Los autores</w:t>
      </w:r>
      <w:r w:rsidRPr="00F563BB">
        <w:t xml:space="preserve"> aporta</w:t>
      </w:r>
      <w:r>
        <w:t>n</w:t>
      </w:r>
      <w:r w:rsidRPr="00F563BB">
        <w:t xml:space="preserve"> copia del decreto de la Fiscalía de la Audiencia Provincial de León de fecha 4 de octubre de 2011.</w:t>
      </w:r>
    </w:p>
  </w:footnote>
  <w:footnote w:id="6">
    <w:p w14:paraId="11E0BC3A" w14:textId="4129DD56" w:rsidR="002A4902" w:rsidRPr="00F563BB" w:rsidRDefault="002A4902" w:rsidP="005748CF">
      <w:pPr>
        <w:pStyle w:val="Textonotapie"/>
      </w:pPr>
      <w:r>
        <w:tab/>
      </w:r>
      <w:r w:rsidRPr="008F01F0">
        <w:rPr>
          <w:rStyle w:val="Refdenotaalpie"/>
        </w:rPr>
        <w:footnoteRef/>
      </w:r>
      <w:r>
        <w:tab/>
      </w:r>
      <w:r w:rsidRPr="00F563BB">
        <w:t>En el párrafo 3 de su sentencia, el Juzgado de lo Contencioso-Administrativo n</w:t>
      </w:r>
      <w:r>
        <w:t>úm.</w:t>
      </w:r>
      <w:r w:rsidRPr="00F563BB">
        <w:t xml:space="preserve"> 1 de León hace referencia a la </w:t>
      </w:r>
      <w:r>
        <w:t>s</w:t>
      </w:r>
      <w:r w:rsidRPr="00F563BB">
        <w:t xml:space="preserve">entencia 33/2006 del Tribunal Constitucional de fecha 13 de febrero de 2006. </w:t>
      </w:r>
    </w:p>
  </w:footnote>
  <w:footnote w:id="7">
    <w:p w14:paraId="58D06794" w14:textId="7E1D08DA" w:rsidR="002A4902" w:rsidRPr="00F563BB" w:rsidRDefault="002A4902" w:rsidP="005748CF">
      <w:pPr>
        <w:pStyle w:val="Textonotapie"/>
      </w:pPr>
      <w:r>
        <w:t xml:space="preserve"> </w:t>
      </w:r>
      <w:r>
        <w:tab/>
      </w:r>
      <w:r w:rsidRPr="008F01F0">
        <w:rPr>
          <w:rStyle w:val="Refdenotaalpie"/>
        </w:rPr>
        <w:footnoteRef/>
      </w:r>
      <w:r>
        <w:tab/>
        <w:t>Los autores</w:t>
      </w:r>
      <w:r w:rsidRPr="00F563BB">
        <w:t xml:space="preserve"> aporta</w:t>
      </w:r>
      <w:r>
        <w:t>n</w:t>
      </w:r>
      <w:r w:rsidRPr="00F563BB">
        <w:t xml:space="preserve"> copia de la sentencia 00491/2013 del Tribunal Superior de Justicia de Castilla y León, de fecha 22 de marzo de 2013. </w:t>
      </w:r>
    </w:p>
  </w:footnote>
  <w:footnote w:id="8">
    <w:p w14:paraId="1DF1CF2F" w14:textId="3AE98084" w:rsidR="002A4902" w:rsidRPr="00F563BB" w:rsidRDefault="002A4902" w:rsidP="005748CF">
      <w:pPr>
        <w:pStyle w:val="Textonotapie"/>
      </w:pPr>
      <w:r>
        <w:tab/>
      </w:r>
      <w:r w:rsidRPr="008F01F0">
        <w:rPr>
          <w:rStyle w:val="Refdenotaalpie"/>
        </w:rPr>
        <w:footnoteRef/>
      </w:r>
      <w:r w:rsidRPr="00F563BB">
        <w:rPr>
          <w:rStyle w:val="Refdenotaalpie"/>
        </w:rPr>
        <w:tab/>
      </w:r>
      <w:r>
        <w:t>Los autores</w:t>
      </w:r>
      <w:r w:rsidRPr="00F563BB">
        <w:t xml:space="preserve"> aporta</w:t>
      </w:r>
      <w:r>
        <w:t>n</w:t>
      </w:r>
      <w:r w:rsidRPr="00F563BB">
        <w:t xml:space="preserve"> copia de la decisión del Tribunal Constitucional de fecha 31 de marzo de 2014. </w:t>
      </w:r>
    </w:p>
  </w:footnote>
  <w:footnote w:id="9">
    <w:p w14:paraId="5D918D75" w14:textId="2AF42265" w:rsidR="002A4902" w:rsidRPr="00F563BB" w:rsidRDefault="002A4902" w:rsidP="005748CF">
      <w:pPr>
        <w:pStyle w:val="Textonotapie"/>
      </w:pPr>
      <w:r w:rsidRPr="00F563BB">
        <w:tab/>
      </w:r>
      <w:r w:rsidRPr="008F01F0">
        <w:rPr>
          <w:rStyle w:val="Refdenotaalpie"/>
        </w:rPr>
        <w:footnoteRef/>
      </w:r>
      <w:r>
        <w:tab/>
        <w:t>Los autores</w:t>
      </w:r>
      <w:r w:rsidRPr="00F563BB">
        <w:t xml:space="preserve"> aporta</w:t>
      </w:r>
      <w:r>
        <w:t>n</w:t>
      </w:r>
      <w:r w:rsidRPr="00F563BB">
        <w:t xml:space="preserve"> copia de la decisión de la Fiscalía Provincial de León de fecha 8 de octubre de 2013.</w:t>
      </w:r>
    </w:p>
  </w:footnote>
  <w:footnote w:id="10">
    <w:p w14:paraId="179A4A70" w14:textId="6C1E4362" w:rsidR="002A4902" w:rsidRPr="00F563BB" w:rsidRDefault="002A4902" w:rsidP="005748CF">
      <w:pPr>
        <w:pStyle w:val="Textonotapie"/>
      </w:pPr>
      <w:r>
        <w:tab/>
      </w:r>
      <w:r w:rsidRPr="008F01F0">
        <w:rPr>
          <w:rStyle w:val="Refdenotaalpie"/>
        </w:rPr>
        <w:footnoteRef/>
      </w:r>
      <w:r>
        <w:tab/>
        <w:t>Los autores</w:t>
      </w:r>
      <w:r w:rsidRPr="00F563BB">
        <w:t xml:space="preserve"> aporta</w:t>
      </w:r>
      <w:r>
        <w:t>n</w:t>
      </w:r>
      <w:r w:rsidRPr="00F563BB">
        <w:t xml:space="preserve"> copia de la sentencia del Juzgado de lo Penal </w:t>
      </w:r>
      <w:r>
        <w:t xml:space="preserve">núm. </w:t>
      </w:r>
      <w:r w:rsidRPr="00F563BB">
        <w:t>1 de León de fecha 20 de abril de 2015.</w:t>
      </w:r>
    </w:p>
  </w:footnote>
  <w:footnote w:id="11">
    <w:p w14:paraId="152657B9" w14:textId="600BFE43" w:rsidR="002A4902" w:rsidRPr="00F563BB" w:rsidRDefault="002A4902" w:rsidP="005748CF">
      <w:pPr>
        <w:pStyle w:val="Textonotapie"/>
      </w:pPr>
      <w:r w:rsidRPr="00F563BB">
        <w:tab/>
      </w:r>
      <w:r w:rsidRPr="008F01F0">
        <w:rPr>
          <w:rStyle w:val="Refdenotaalpie"/>
        </w:rPr>
        <w:footnoteRef/>
      </w:r>
      <w:r>
        <w:tab/>
        <w:t>Los autores</w:t>
      </w:r>
      <w:r w:rsidRPr="00F563BB">
        <w:t xml:space="preserve"> aporta</w:t>
      </w:r>
      <w:r>
        <w:t>n</w:t>
      </w:r>
      <w:r w:rsidRPr="00F563BB">
        <w:t xml:space="preserve"> una copia de la decisión estándar del Tribunal Europeo de Derechos Humanos de fecha 13 de noviembre de 2014, en la que se indica que su caso “no cumple con los requisitos de admisibilidad establecidos en los artículos 34 y 35 del Convenio”. </w:t>
      </w:r>
    </w:p>
  </w:footnote>
  <w:footnote w:id="12">
    <w:p w14:paraId="7B000E0C" w14:textId="47262D53" w:rsidR="002A4902" w:rsidRPr="00D841DE" w:rsidRDefault="002A4902" w:rsidP="005748CF">
      <w:pPr>
        <w:pStyle w:val="Textonotapie"/>
      </w:pPr>
      <w:r>
        <w:tab/>
      </w:r>
      <w:r w:rsidRPr="008F01F0">
        <w:rPr>
          <w:rStyle w:val="Refdenotaalpie"/>
        </w:rPr>
        <w:footnoteRef/>
      </w:r>
      <w:r>
        <w:tab/>
      </w:r>
      <w:r w:rsidRPr="00D841DE">
        <w:t>El Estado parte adjunta igualmente el listado definitivo de alumnos admitidos mayores de 17 años en Formación Profesional Básica</w:t>
      </w:r>
      <w:r>
        <w:t xml:space="preserve">, donde aparece el nombre de </w:t>
      </w:r>
      <w:r w:rsidRPr="0085500C">
        <w:t>Rubén</w:t>
      </w:r>
      <w:r w:rsidRPr="00D841DE">
        <w:t xml:space="preserve">. </w:t>
      </w:r>
    </w:p>
  </w:footnote>
  <w:footnote w:id="13">
    <w:p w14:paraId="4C27EB41" w14:textId="1EA5B2F4" w:rsidR="002A4902" w:rsidRPr="009A01AD" w:rsidRDefault="002A4902" w:rsidP="005748CF">
      <w:pPr>
        <w:pStyle w:val="Textonotapie"/>
        <w:rPr>
          <w:lang w:val="es-EC"/>
        </w:rPr>
      </w:pPr>
      <w:r>
        <w:tab/>
      </w:r>
      <w:r w:rsidRPr="008F01F0">
        <w:rPr>
          <w:rStyle w:val="Refdenotaalpie"/>
        </w:rPr>
        <w:footnoteRef/>
      </w:r>
      <w:r>
        <w:tab/>
      </w:r>
      <w:r w:rsidRPr="009A01AD">
        <w:rPr>
          <w:lang w:val="es-EC"/>
        </w:rPr>
        <w:t xml:space="preserve">El </w:t>
      </w:r>
      <w:r w:rsidRPr="00F563BB">
        <w:t>Comité</w:t>
      </w:r>
      <w:r w:rsidRPr="009A01AD">
        <w:rPr>
          <w:lang w:val="es-EC"/>
        </w:rPr>
        <w:t xml:space="preserve"> hace notar que estos art</w:t>
      </w:r>
      <w:r>
        <w:rPr>
          <w:lang w:val="es-EC"/>
        </w:rPr>
        <w:t xml:space="preserve">ículos de la Convención también fueron incluidos en la queja inicial de </w:t>
      </w:r>
      <w:r w:rsidRPr="00775B70">
        <w:rPr>
          <w:lang w:val="es-EC"/>
        </w:rPr>
        <w:t>Rubén</w:t>
      </w:r>
      <w:r>
        <w:rPr>
          <w:lang w:val="es-EC"/>
        </w:rPr>
        <w:t xml:space="preserve">. </w:t>
      </w:r>
    </w:p>
  </w:footnote>
  <w:footnote w:id="14">
    <w:p w14:paraId="3278F10F" w14:textId="77777777" w:rsidR="002A4902" w:rsidRPr="005D3B9F" w:rsidRDefault="002A4902" w:rsidP="005748CF">
      <w:pPr>
        <w:pStyle w:val="Textonotapie"/>
      </w:pPr>
      <w:r>
        <w:tab/>
      </w:r>
      <w:r w:rsidRPr="008F01F0">
        <w:rPr>
          <w:rStyle w:val="Refdenotaalpie"/>
        </w:rPr>
        <w:footnoteRef/>
      </w:r>
      <w:r>
        <w:tab/>
        <w:t xml:space="preserve">Orden EDU/465/2017, 13 de junio de 2017, </w:t>
      </w:r>
      <w:r w:rsidRPr="005D3B9F">
        <w:t xml:space="preserve">por la que se resuelve la suscripción por primera vez al régimen de conciertos educativos, la renovación de los conciertos educativos existentes, así como sus </w:t>
      </w:r>
      <w:r w:rsidRPr="00F563BB">
        <w:t>modificaciones</w:t>
      </w:r>
      <w:r w:rsidRPr="005D3B9F">
        <w:t xml:space="preserve"> durante los cursos escolares 2017/2018 a 2022/2023</w:t>
      </w:r>
      <w:r>
        <w:t>.</w:t>
      </w:r>
    </w:p>
  </w:footnote>
  <w:footnote w:id="15">
    <w:p w14:paraId="64C49B1F" w14:textId="072BE620" w:rsidR="002A4902" w:rsidRPr="00F563BB" w:rsidRDefault="002A4902" w:rsidP="005748CF">
      <w:pPr>
        <w:pStyle w:val="Textonotapie"/>
      </w:pPr>
      <w:r>
        <w:tab/>
      </w:r>
      <w:r w:rsidRPr="008F01F0">
        <w:rPr>
          <w:rStyle w:val="Refdenotaalpie"/>
        </w:rPr>
        <w:footnoteRef/>
      </w:r>
      <w:r>
        <w:tab/>
      </w:r>
      <w:proofErr w:type="spellStart"/>
      <w:r w:rsidRPr="00F563BB">
        <w:t>CRPD</w:t>
      </w:r>
      <w:proofErr w:type="spellEnd"/>
      <w:r w:rsidRPr="00F563BB">
        <w:t>/C</w:t>
      </w:r>
      <w:r>
        <w:t>/</w:t>
      </w:r>
      <w:proofErr w:type="spellStart"/>
      <w:r>
        <w:t>ESP</w:t>
      </w:r>
      <w:proofErr w:type="spellEnd"/>
      <w:r>
        <w:t>/IR/1, párr. 81. Véase también el párrafo 79.</w:t>
      </w:r>
    </w:p>
  </w:footnote>
  <w:footnote w:id="16">
    <w:p w14:paraId="657FE9D2" w14:textId="6AB54713" w:rsidR="002A4902" w:rsidRPr="00F563BB" w:rsidRDefault="002A4902" w:rsidP="005748CF">
      <w:pPr>
        <w:pStyle w:val="Textonotapie"/>
      </w:pPr>
      <w:r>
        <w:tab/>
      </w:r>
      <w:r w:rsidRPr="008F01F0">
        <w:rPr>
          <w:rStyle w:val="Refdenotaalpie"/>
        </w:rPr>
        <w:footnoteRef/>
      </w:r>
      <w:r>
        <w:tab/>
      </w:r>
      <w:proofErr w:type="spellStart"/>
      <w:r>
        <w:t>Ibíd</w:t>
      </w:r>
      <w:proofErr w:type="spellEnd"/>
      <w:r>
        <w:t xml:space="preserve">., </w:t>
      </w:r>
      <w:r w:rsidRPr="00F563BB">
        <w:t>párr. 8</w:t>
      </w:r>
      <w:r>
        <w:t>4, apdo.</w:t>
      </w:r>
      <w:r w:rsidRPr="00F563BB">
        <w:t xml:space="preserve"> e). </w:t>
      </w:r>
    </w:p>
  </w:footnote>
  <w:footnote w:id="17">
    <w:p w14:paraId="773A1D43" w14:textId="47749472" w:rsidR="002A4902" w:rsidRPr="00F563BB" w:rsidRDefault="002A4902" w:rsidP="005748CF">
      <w:pPr>
        <w:pStyle w:val="Textonotapie"/>
      </w:pPr>
      <w:r w:rsidRPr="00F563BB">
        <w:tab/>
      </w:r>
      <w:r w:rsidRPr="008F01F0">
        <w:rPr>
          <w:rStyle w:val="Refdenotaalpie"/>
        </w:rPr>
        <w:footnoteRef/>
      </w:r>
      <w:r w:rsidRPr="00F563BB">
        <w:tab/>
        <w:t xml:space="preserve">Véase, en este sentido, el caso </w:t>
      </w:r>
      <w:proofErr w:type="spellStart"/>
      <w:r w:rsidRPr="00022D66">
        <w:rPr>
          <w:i/>
          <w:iCs/>
        </w:rPr>
        <w:t>V.F.C</w:t>
      </w:r>
      <w:proofErr w:type="spellEnd"/>
      <w:r w:rsidRPr="00022D66">
        <w:rPr>
          <w:i/>
          <w:iCs/>
        </w:rPr>
        <w:t>. c. España</w:t>
      </w:r>
      <w:r w:rsidRPr="00F563BB">
        <w:t xml:space="preserve"> (</w:t>
      </w:r>
      <w:proofErr w:type="spellStart"/>
      <w:r w:rsidRPr="00F563BB">
        <w:t>CRPD</w:t>
      </w:r>
      <w:proofErr w:type="spellEnd"/>
      <w:r w:rsidRPr="00F563BB">
        <w:t xml:space="preserve">/C/21/D/34/2015), párr. 7.2 y también los casos </w:t>
      </w:r>
      <w:proofErr w:type="spellStart"/>
      <w:r w:rsidRPr="00022D66">
        <w:rPr>
          <w:i/>
          <w:iCs/>
        </w:rPr>
        <w:t>Mahabir</w:t>
      </w:r>
      <w:proofErr w:type="spellEnd"/>
      <w:r w:rsidRPr="00022D66">
        <w:rPr>
          <w:i/>
          <w:iCs/>
        </w:rPr>
        <w:t xml:space="preserve"> c. Austria</w:t>
      </w:r>
      <w:r w:rsidRPr="00F563BB">
        <w:t xml:space="preserve"> (</w:t>
      </w:r>
      <w:proofErr w:type="spellStart"/>
      <w:r w:rsidRPr="00F563BB">
        <w:t>CCPR</w:t>
      </w:r>
      <w:proofErr w:type="spellEnd"/>
      <w:r w:rsidRPr="00F563BB">
        <w:t xml:space="preserve">/C/82/D/944/2000), párr. 8.3; </w:t>
      </w:r>
      <w:proofErr w:type="spellStart"/>
      <w:r w:rsidRPr="00022D66">
        <w:rPr>
          <w:i/>
          <w:iCs/>
        </w:rPr>
        <w:t>Linderholm</w:t>
      </w:r>
      <w:proofErr w:type="spellEnd"/>
      <w:r w:rsidRPr="00022D66">
        <w:rPr>
          <w:i/>
          <w:iCs/>
        </w:rPr>
        <w:t xml:space="preserve"> c. Croacia</w:t>
      </w:r>
      <w:r w:rsidRPr="00F563BB">
        <w:t xml:space="preserve"> (</w:t>
      </w:r>
      <w:proofErr w:type="spellStart"/>
      <w:r w:rsidRPr="00F563BB">
        <w:t>CCPR</w:t>
      </w:r>
      <w:proofErr w:type="spellEnd"/>
      <w:r w:rsidRPr="00F563BB">
        <w:t xml:space="preserve">/C/66/D/744/1997), párr. 4.2; y </w:t>
      </w:r>
      <w:r w:rsidRPr="00022D66">
        <w:rPr>
          <w:i/>
          <w:iCs/>
        </w:rPr>
        <w:t>A.M. c. Dinamarca</w:t>
      </w:r>
      <w:r w:rsidRPr="00F563BB">
        <w:t xml:space="preserve"> (</w:t>
      </w:r>
      <w:proofErr w:type="spellStart"/>
      <w:r w:rsidRPr="00F563BB">
        <w:t>CCPR</w:t>
      </w:r>
      <w:proofErr w:type="spellEnd"/>
      <w:r w:rsidRPr="00F563BB">
        <w:t xml:space="preserve">/C/16/D/121/1982), párr. 6. </w:t>
      </w:r>
    </w:p>
  </w:footnote>
  <w:footnote w:id="18">
    <w:p w14:paraId="0B819CD6" w14:textId="5E6FAC82" w:rsidR="002A4902" w:rsidRPr="00F563BB" w:rsidRDefault="002A4902" w:rsidP="005748CF">
      <w:pPr>
        <w:pStyle w:val="Textonotapie"/>
      </w:pPr>
      <w:r w:rsidRPr="00F563BB">
        <w:tab/>
      </w:r>
      <w:r w:rsidRPr="008F01F0">
        <w:rPr>
          <w:rStyle w:val="Refdenotaalpie"/>
        </w:rPr>
        <w:footnoteRef/>
      </w:r>
      <w:r w:rsidRPr="00F563BB">
        <w:tab/>
      </w:r>
      <w:proofErr w:type="spellStart"/>
      <w:r w:rsidRPr="00022D66">
        <w:rPr>
          <w:i/>
          <w:iCs/>
        </w:rPr>
        <w:t>V.F.C</w:t>
      </w:r>
      <w:proofErr w:type="spellEnd"/>
      <w:r w:rsidRPr="00022D66">
        <w:rPr>
          <w:i/>
          <w:iCs/>
        </w:rPr>
        <w:t>. c. España</w:t>
      </w:r>
      <w:r w:rsidRPr="00F563BB">
        <w:t xml:space="preserve">, párr. 7.2.; </w:t>
      </w:r>
      <w:r w:rsidRPr="00022D66">
        <w:rPr>
          <w:i/>
          <w:iCs/>
        </w:rPr>
        <w:t>X c. Noruega</w:t>
      </w:r>
      <w:r w:rsidRPr="00F563BB">
        <w:t xml:space="preserve"> (</w:t>
      </w:r>
      <w:proofErr w:type="spellStart"/>
      <w:r w:rsidRPr="00F563BB">
        <w:t>CCPR</w:t>
      </w:r>
      <w:proofErr w:type="spellEnd"/>
      <w:r w:rsidRPr="00F563BB">
        <w:t>/C/115/D/2474/2014), párr. 6.2.</w:t>
      </w:r>
    </w:p>
  </w:footnote>
  <w:footnote w:id="19">
    <w:p w14:paraId="066A7D36" w14:textId="309D0DC0" w:rsidR="002A4902" w:rsidRPr="00F563BB" w:rsidRDefault="002A4902" w:rsidP="005748CF">
      <w:pPr>
        <w:pStyle w:val="Textonotapie"/>
      </w:pPr>
      <w:r w:rsidRPr="00F563BB">
        <w:tab/>
      </w:r>
      <w:r w:rsidRPr="008F01F0">
        <w:rPr>
          <w:rStyle w:val="Refdenotaalpie"/>
        </w:rPr>
        <w:footnoteRef/>
      </w:r>
      <w:r w:rsidRPr="00F563BB">
        <w:rPr>
          <w:rStyle w:val="Refdenotaalpie"/>
        </w:rPr>
        <w:tab/>
      </w:r>
      <w:proofErr w:type="spellStart"/>
      <w:r w:rsidRPr="00022D66">
        <w:rPr>
          <w:i/>
          <w:iCs/>
        </w:rPr>
        <w:t>V.F.C</w:t>
      </w:r>
      <w:proofErr w:type="spellEnd"/>
      <w:r w:rsidRPr="00022D66">
        <w:rPr>
          <w:i/>
          <w:iCs/>
        </w:rPr>
        <w:t>. c. España</w:t>
      </w:r>
      <w:r w:rsidRPr="00F563BB">
        <w:t xml:space="preserve">, párr. 7.2.; </w:t>
      </w:r>
      <w:proofErr w:type="spellStart"/>
      <w:r w:rsidRPr="00022D66">
        <w:rPr>
          <w:i/>
          <w:iCs/>
        </w:rPr>
        <w:t>Mahabir</w:t>
      </w:r>
      <w:proofErr w:type="spellEnd"/>
      <w:r w:rsidRPr="00022D66">
        <w:rPr>
          <w:i/>
          <w:iCs/>
        </w:rPr>
        <w:t xml:space="preserve"> c. Austria</w:t>
      </w:r>
      <w:r w:rsidRPr="00F563BB">
        <w:t>, párr. 8.3.</w:t>
      </w:r>
    </w:p>
  </w:footnote>
  <w:footnote w:id="20">
    <w:p w14:paraId="3E522E53" w14:textId="76BBF66C" w:rsidR="002A4902" w:rsidRPr="00F563BB" w:rsidRDefault="002A4902" w:rsidP="005748CF">
      <w:pPr>
        <w:pStyle w:val="Textonotapie"/>
      </w:pPr>
      <w:r>
        <w:tab/>
      </w:r>
      <w:r w:rsidRPr="008F01F0">
        <w:rPr>
          <w:rStyle w:val="Refdenotaalpie"/>
        </w:rPr>
        <w:footnoteRef/>
      </w:r>
      <w:r>
        <w:tab/>
      </w:r>
      <w:r w:rsidRPr="00F563BB">
        <w:t>Observación general núm. 4 (2016) sobre el derecho a la educación inclusiva, párr</w:t>
      </w:r>
      <w:r>
        <w:t xml:space="preserve">. </w:t>
      </w:r>
      <w:r w:rsidRPr="00F563BB">
        <w:t>8.</w:t>
      </w:r>
    </w:p>
  </w:footnote>
  <w:footnote w:id="21">
    <w:p w14:paraId="71C7F859" w14:textId="23E9887E" w:rsidR="002A4902" w:rsidRPr="00F563BB" w:rsidRDefault="002A4902" w:rsidP="005748CF">
      <w:pPr>
        <w:pStyle w:val="Textonotapie"/>
      </w:pPr>
      <w:r w:rsidRPr="00F563BB">
        <w:tab/>
      </w:r>
      <w:r w:rsidRPr="008F01F0">
        <w:rPr>
          <w:rStyle w:val="Refdenotaalpie"/>
        </w:rPr>
        <w:footnoteRef/>
      </w:r>
      <w:r>
        <w:tab/>
      </w:r>
      <w:proofErr w:type="spellStart"/>
      <w:r>
        <w:t>Ibíd</w:t>
      </w:r>
      <w:proofErr w:type="spellEnd"/>
      <w:r>
        <w:t xml:space="preserve">., párr. </w:t>
      </w:r>
      <w:r w:rsidRPr="00F563BB">
        <w:t>11.</w:t>
      </w:r>
    </w:p>
  </w:footnote>
  <w:footnote w:id="22">
    <w:p w14:paraId="1F8F5224" w14:textId="51261BF8" w:rsidR="002A4902" w:rsidRPr="00F563BB" w:rsidRDefault="002A4902" w:rsidP="005748CF">
      <w:pPr>
        <w:pStyle w:val="Textonotapie"/>
      </w:pPr>
      <w:r>
        <w:tab/>
      </w:r>
      <w:r w:rsidRPr="008F01F0">
        <w:rPr>
          <w:rStyle w:val="Refdenotaalpie"/>
        </w:rPr>
        <w:footnoteRef/>
      </w:r>
      <w:r>
        <w:tab/>
      </w:r>
      <w:proofErr w:type="spellStart"/>
      <w:r>
        <w:t>Ibíd</w:t>
      </w:r>
      <w:proofErr w:type="spellEnd"/>
      <w:r>
        <w:t xml:space="preserve">., párr. </w:t>
      </w:r>
      <w:r w:rsidRPr="00F563BB">
        <w:t>13.</w:t>
      </w:r>
    </w:p>
  </w:footnote>
  <w:footnote w:id="23">
    <w:p w14:paraId="06FAF238" w14:textId="3E0BDCE6" w:rsidR="002A4902" w:rsidRDefault="002A4902" w:rsidP="005748CF">
      <w:pPr>
        <w:pStyle w:val="Textonotapie"/>
      </w:pPr>
      <w:r>
        <w:tab/>
      </w:r>
      <w:r w:rsidRPr="008F01F0">
        <w:rPr>
          <w:rStyle w:val="Refdenotaalpie"/>
        </w:rPr>
        <w:footnoteRef/>
      </w:r>
      <w:r>
        <w:tab/>
      </w:r>
      <w:proofErr w:type="spellStart"/>
      <w:r w:rsidRPr="00F563BB">
        <w:t>CRPD</w:t>
      </w:r>
      <w:proofErr w:type="spellEnd"/>
      <w:r w:rsidRPr="00F563BB">
        <w:t>/C</w:t>
      </w:r>
      <w:r>
        <w:t>/</w:t>
      </w:r>
      <w:proofErr w:type="spellStart"/>
      <w:r>
        <w:t>ESP</w:t>
      </w:r>
      <w:proofErr w:type="spellEnd"/>
      <w:r>
        <w:t>/IR/1, párr. 74.</w:t>
      </w:r>
    </w:p>
  </w:footnote>
  <w:footnote w:id="24">
    <w:p w14:paraId="6895A9ED" w14:textId="1DBDA0FD" w:rsidR="002A4902" w:rsidRDefault="002A4902" w:rsidP="005748CF">
      <w:pPr>
        <w:pStyle w:val="Textonotapie"/>
      </w:pPr>
      <w:r>
        <w:tab/>
      </w:r>
      <w:r w:rsidRPr="008F01F0">
        <w:rPr>
          <w:rStyle w:val="Refdenotaalpie"/>
        </w:rPr>
        <w:footnoteRef/>
      </w:r>
      <w:r>
        <w:tab/>
      </w:r>
      <w:proofErr w:type="spellStart"/>
      <w:r>
        <w:t>Ibíd</w:t>
      </w:r>
      <w:proofErr w:type="spellEnd"/>
      <w:r>
        <w:t>., párr. 79.</w:t>
      </w:r>
    </w:p>
  </w:footnote>
  <w:footnote w:id="25">
    <w:p w14:paraId="584EE074" w14:textId="1AD8769B" w:rsidR="002A4902" w:rsidRPr="00F563BB" w:rsidRDefault="002A4902" w:rsidP="005748CF">
      <w:pPr>
        <w:pStyle w:val="Textonotapie"/>
      </w:pPr>
      <w:r>
        <w:tab/>
      </w:r>
      <w:r w:rsidRPr="008F01F0">
        <w:rPr>
          <w:rStyle w:val="Refdenotaalpie"/>
        </w:rPr>
        <w:footnoteRef/>
      </w:r>
      <w:r>
        <w:tab/>
      </w:r>
      <w:proofErr w:type="spellStart"/>
      <w:r>
        <w:t>Ibíd</w:t>
      </w:r>
      <w:proofErr w:type="spellEnd"/>
      <w:r>
        <w:t xml:space="preserve">., </w:t>
      </w:r>
      <w:r w:rsidRPr="00F563BB">
        <w:t>párr</w:t>
      </w:r>
      <w:r>
        <w:t xml:space="preserve">. </w:t>
      </w:r>
      <w:r w:rsidRPr="00F563BB">
        <w:t>81.</w:t>
      </w:r>
    </w:p>
  </w:footnote>
  <w:footnote w:id="26">
    <w:p w14:paraId="6505B6E1" w14:textId="3E771F4D" w:rsidR="002A4902" w:rsidRPr="00F563BB" w:rsidRDefault="002A4902" w:rsidP="005748CF">
      <w:pPr>
        <w:pStyle w:val="Textonotapie"/>
      </w:pPr>
      <w:r>
        <w:tab/>
      </w:r>
      <w:r w:rsidRPr="008F01F0">
        <w:rPr>
          <w:rStyle w:val="Refdenotaalpie"/>
        </w:rPr>
        <w:footnoteRef/>
      </w:r>
      <w:r>
        <w:tab/>
      </w:r>
      <w:proofErr w:type="spellStart"/>
      <w:r w:rsidRPr="00F563BB">
        <w:t>CRPD</w:t>
      </w:r>
      <w:proofErr w:type="spellEnd"/>
      <w:r w:rsidRPr="00F563BB">
        <w:t>/C/</w:t>
      </w:r>
      <w:proofErr w:type="spellStart"/>
      <w:r w:rsidRPr="00F563BB">
        <w:t>ESP</w:t>
      </w:r>
      <w:proofErr w:type="spellEnd"/>
      <w:r w:rsidRPr="00F563BB">
        <w:t>/CO/2-3, párr</w:t>
      </w:r>
      <w:r>
        <w:t xml:space="preserve">. </w:t>
      </w:r>
      <w:r w:rsidRPr="00F563BB">
        <w:t>45.</w:t>
      </w:r>
    </w:p>
  </w:footnote>
  <w:footnote w:id="27">
    <w:p w14:paraId="2745AF6E" w14:textId="15199406" w:rsidR="002A4902" w:rsidRPr="00F563BB" w:rsidRDefault="002A4902" w:rsidP="005748CF">
      <w:pPr>
        <w:pStyle w:val="Textonotapie"/>
      </w:pPr>
      <w:r>
        <w:tab/>
      </w:r>
      <w:r w:rsidRPr="008F01F0">
        <w:rPr>
          <w:rStyle w:val="Refdenotaalpie"/>
        </w:rPr>
        <w:footnoteRef/>
      </w:r>
      <w:r>
        <w:tab/>
      </w:r>
      <w:r w:rsidRPr="00F563BB">
        <w:t xml:space="preserve"> </w:t>
      </w:r>
      <w:r>
        <w:t xml:space="preserve">Observación general núm. 4, </w:t>
      </w:r>
      <w:r w:rsidRPr="00F563BB">
        <w:t>párr</w:t>
      </w:r>
      <w:r>
        <w:t>. 19</w:t>
      </w:r>
      <w:r w:rsidRPr="00F563BB">
        <w:t>.</w:t>
      </w:r>
    </w:p>
  </w:footnote>
  <w:footnote w:id="28">
    <w:p w14:paraId="3767D2B2" w14:textId="40FD195D" w:rsidR="002A4902" w:rsidRPr="00F563BB" w:rsidRDefault="002A4902" w:rsidP="005748CF">
      <w:pPr>
        <w:pStyle w:val="Textonotapie"/>
      </w:pPr>
      <w:r>
        <w:tab/>
      </w:r>
      <w:r w:rsidRPr="008F01F0">
        <w:rPr>
          <w:rStyle w:val="Refdenotaalpie"/>
        </w:rPr>
        <w:footnoteRef/>
      </w:r>
      <w:r>
        <w:tab/>
      </w:r>
      <w:proofErr w:type="spellStart"/>
      <w:r w:rsidRPr="00F563BB">
        <w:t>CRPD</w:t>
      </w:r>
      <w:proofErr w:type="spellEnd"/>
      <w:r w:rsidRPr="00F563BB">
        <w:t>/C/</w:t>
      </w:r>
      <w:proofErr w:type="spellStart"/>
      <w:r w:rsidRPr="00F563BB">
        <w:t>ESP</w:t>
      </w:r>
      <w:proofErr w:type="spellEnd"/>
      <w:r w:rsidRPr="00F563BB">
        <w:t>/IR/1, párr</w:t>
      </w:r>
      <w:r>
        <w:t xml:space="preserve">. </w:t>
      </w:r>
      <w:r w:rsidRPr="00F563BB">
        <w:t>8</w:t>
      </w:r>
      <w:r>
        <w:t>4, apdo.</w:t>
      </w:r>
      <w:r w:rsidRPr="00F563BB">
        <w:t xml:space="preserve"> 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CC27" w14:textId="37CFE6CB" w:rsidR="002A4902" w:rsidRPr="00A95A4E" w:rsidRDefault="002A4902">
    <w:pPr>
      <w:pStyle w:val="Encabezado"/>
    </w:pPr>
    <w:proofErr w:type="spellStart"/>
    <w:r>
      <w:t>CRPD</w:t>
    </w:r>
    <w:proofErr w:type="spellEnd"/>
    <w:r>
      <w:t>/C/23/D/41</w:t>
    </w:r>
    <w:r w:rsidRPr="00D06FDA">
      <w:t>/201</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8AA5" w14:textId="3DD5CF77" w:rsidR="002A4902" w:rsidRPr="00A95A4E" w:rsidRDefault="002A4902" w:rsidP="00A95A4E">
    <w:pPr>
      <w:pStyle w:val="Encabezado"/>
      <w:jc w:val="right"/>
    </w:pPr>
    <w:proofErr w:type="spellStart"/>
    <w:r w:rsidRPr="00D06FDA">
      <w:t>CRPD</w:t>
    </w:r>
    <w:proofErr w:type="spellEnd"/>
    <w:r w:rsidRPr="00D06FDA">
      <w:t>/C/2</w:t>
    </w:r>
    <w:r>
      <w:t>3/D/41/2017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8D47" w14:textId="77777777" w:rsidR="004B2745" w:rsidRDefault="004B27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A0F1E"/>
    <w:multiLevelType w:val="hybridMultilevel"/>
    <w:tmpl w:val="2244FCA0"/>
    <w:lvl w:ilvl="0" w:tplc="20E43B9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F45F0"/>
    <w:multiLevelType w:val="hybridMultilevel"/>
    <w:tmpl w:val="94A64620"/>
    <w:lvl w:ilvl="0" w:tplc="0640289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4"/>
  </w:num>
  <w:num w:numId="3">
    <w:abstractNumId w:val="22"/>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5"/>
  </w:num>
  <w:num w:numId="18">
    <w:abstractNumId w:val="18"/>
  </w:num>
  <w:num w:numId="19">
    <w:abstractNumId w:val="11"/>
  </w:num>
  <w:num w:numId="20">
    <w:abstractNumId w:val="19"/>
  </w:num>
  <w:num w:numId="21">
    <w:abstractNumId w:val="10"/>
  </w:num>
  <w:num w:numId="22">
    <w:abstractNumId w:val="12"/>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_tradnl" w:vendorID="64" w:dllVersion="6" w:nlCheck="1" w:checkStyle="0"/>
  <w:activeWritingStyle w:appName="MSWord" w:lang="es-419" w:vendorID="64" w:dllVersion="6" w:nlCheck="1" w:checkStyle="0"/>
  <w:activeWritingStyle w:appName="MSWord" w:lang="es-ES" w:vendorID="64" w:dllVersion="6" w:nlCheck="1" w:checkStyle="0"/>
  <w:activeWritingStyle w:appName="MSWord" w:lang="es-EC" w:vendorID="64" w:dllVersion="6" w:nlCheck="1" w:checkStyle="0"/>
  <w:activeWritingStyle w:appName="MSWord" w:lang="es-C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activeWritingStyle w:appName="MSWord" w:lang="es-EC" w:vendorID="64" w:dllVersion="0" w:nlCheck="1" w:checkStyle="0"/>
  <w:activeWritingStyle w:appName="MSWord" w:lang="es-419" w:vendorID="64" w:dllVersion="0" w:nlCheck="1" w:checkStyle="0"/>
  <w:activeWritingStyle w:appName="MSWord" w:lang="en-GB" w:vendorID="64" w:dllVersion="6"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CB"/>
    <w:rsid w:val="000009A0"/>
    <w:rsid w:val="00001AE5"/>
    <w:rsid w:val="000023C6"/>
    <w:rsid w:val="00002DD8"/>
    <w:rsid w:val="00002E6B"/>
    <w:rsid w:val="00005487"/>
    <w:rsid w:val="000104B3"/>
    <w:rsid w:val="000114FF"/>
    <w:rsid w:val="000132C9"/>
    <w:rsid w:val="000142F1"/>
    <w:rsid w:val="00014B6B"/>
    <w:rsid w:val="00015C94"/>
    <w:rsid w:val="000177A3"/>
    <w:rsid w:val="00022D66"/>
    <w:rsid w:val="000233D1"/>
    <w:rsid w:val="00030701"/>
    <w:rsid w:val="00032998"/>
    <w:rsid w:val="00032E76"/>
    <w:rsid w:val="00045BBE"/>
    <w:rsid w:val="0004751F"/>
    <w:rsid w:val="0005434F"/>
    <w:rsid w:val="00056DA9"/>
    <w:rsid w:val="00060246"/>
    <w:rsid w:val="000634B1"/>
    <w:rsid w:val="00065FBD"/>
    <w:rsid w:val="00073D9A"/>
    <w:rsid w:val="0007543A"/>
    <w:rsid w:val="00080D72"/>
    <w:rsid w:val="00080D79"/>
    <w:rsid w:val="00081712"/>
    <w:rsid w:val="0008247F"/>
    <w:rsid w:val="0008650D"/>
    <w:rsid w:val="0008711F"/>
    <w:rsid w:val="00087DA5"/>
    <w:rsid w:val="00094A49"/>
    <w:rsid w:val="00095DB8"/>
    <w:rsid w:val="000B0837"/>
    <w:rsid w:val="000B19AE"/>
    <w:rsid w:val="000B3370"/>
    <w:rsid w:val="000B33D6"/>
    <w:rsid w:val="000B5318"/>
    <w:rsid w:val="000B57E7"/>
    <w:rsid w:val="000B5E84"/>
    <w:rsid w:val="000B6508"/>
    <w:rsid w:val="000B7F77"/>
    <w:rsid w:val="000C0A10"/>
    <w:rsid w:val="000C1EE9"/>
    <w:rsid w:val="000C53ED"/>
    <w:rsid w:val="000C5793"/>
    <w:rsid w:val="000D359E"/>
    <w:rsid w:val="000D3C47"/>
    <w:rsid w:val="000D3C9E"/>
    <w:rsid w:val="000D62E6"/>
    <w:rsid w:val="000E0AFE"/>
    <w:rsid w:val="000E260B"/>
    <w:rsid w:val="000E2DB2"/>
    <w:rsid w:val="000E5EBA"/>
    <w:rsid w:val="000E6107"/>
    <w:rsid w:val="000F09DF"/>
    <w:rsid w:val="000F340C"/>
    <w:rsid w:val="000F61B2"/>
    <w:rsid w:val="001040B5"/>
    <w:rsid w:val="0010443D"/>
    <w:rsid w:val="00104DBE"/>
    <w:rsid w:val="00104F8F"/>
    <w:rsid w:val="00105C9C"/>
    <w:rsid w:val="001075E9"/>
    <w:rsid w:val="00114FFE"/>
    <w:rsid w:val="001170F5"/>
    <w:rsid w:val="00120B97"/>
    <w:rsid w:val="00123BB3"/>
    <w:rsid w:val="00126854"/>
    <w:rsid w:val="0013177B"/>
    <w:rsid w:val="00140B4F"/>
    <w:rsid w:val="00150F37"/>
    <w:rsid w:val="00151B3D"/>
    <w:rsid w:val="0015265B"/>
    <w:rsid w:val="001538DD"/>
    <w:rsid w:val="00154320"/>
    <w:rsid w:val="00155159"/>
    <w:rsid w:val="0016322D"/>
    <w:rsid w:val="001666CA"/>
    <w:rsid w:val="001704BA"/>
    <w:rsid w:val="00171736"/>
    <w:rsid w:val="00172758"/>
    <w:rsid w:val="00175094"/>
    <w:rsid w:val="00176E50"/>
    <w:rsid w:val="00180183"/>
    <w:rsid w:val="001829A3"/>
    <w:rsid w:val="00182C27"/>
    <w:rsid w:val="00182F7A"/>
    <w:rsid w:val="00185778"/>
    <w:rsid w:val="0018646E"/>
    <w:rsid w:val="00186C8F"/>
    <w:rsid w:val="001900D7"/>
    <w:rsid w:val="00194401"/>
    <w:rsid w:val="001961B0"/>
    <w:rsid w:val="00196389"/>
    <w:rsid w:val="001A24E1"/>
    <w:rsid w:val="001A53A0"/>
    <w:rsid w:val="001A5B43"/>
    <w:rsid w:val="001B22A5"/>
    <w:rsid w:val="001B26C5"/>
    <w:rsid w:val="001B2F20"/>
    <w:rsid w:val="001B30D6"/>
    <w:rsid w:val="001B7071"/>
    <w:rsid w:val="001C0BCB"/>
    <w:rsid w:val="001C0D3A"/>
    <w:rsid w:val="001C4D0C"/>
    <w:rsid w:val="001C555E"/>
    <w:rsid w:val="001C5EEB"/>
    <w:rsid w:val="001C7191"/>
    <w:rsid w:val="001C7A89"/>
    <w:rsid w:val="001D14A1"/>
    <w:rsid w:val="001E30A1"/>
    <w:rsid w:val="001E356E"/>
    <w:rsid w:val="001E40C3"/>
    <w:rsid w:val="001E728B"/>
    <w:rsid w:val="001F10EB"/>
    <w:rsid w:val="001F11FA"/>
    <w:rsid w:val="001F2B9F"/>
    <w:rsid w:val="001F4CDB"/>
    <w:rsid w:val="001F5ED3"/>
    <w:rsid w:val="002028A5"/>
    <w:rsid w:val="0021320B"/>
    <w:rsid w:val="002160F8"/>
    <w:rsid w:val="00217EBE"/>
    <w:rsid w:val="00221CC5"/>
    <w:rsid w:val="00225039"/>
    <w:rsid w:val="002273A4"/>
    <w:rsid w:val="002308EA"/>
    <w:rsid w:val="00231560"/>
    <w:rsid w:val="00234C85"/>
    <w:rsid w:val="00236D9D"/>
    <w:rsid w:val="00237141"/>
    <w:rsid w:val="002371E8"/>
    <w:rsid w:val="00240FC0"/>
    <w:rsid w:val="00241068"/>
    <w:rsid w:val="002425F9"/>
    <w:rsid w:val="00251C12"/>
    <w:rsid w:val="00252175"/>
    <w:rsid w:val="002534F1"/>
    <w:rsid w:val="00253DF8"/>
    <w:rsid w:val="002560C6"/>
    <w:rsid w:val="00257599"/>
    <w:rsid w:val="00260D7C"/>
    <w:rsid w:val="00261B9A"/>
    <w:rsid w:val="00267596"/>
    <w:rsid w:val="00267D91"/>
    <w:rsid w:val="00272113"/>
    <w:rsid w:val="00272A65"/>
    <w:rsid w:val="00273EE3"/>
    <w:rsid w:val="00274586"/>
    <w:rsid w:val="002768E9"/>
    <w:rsid w:val="00292541"/>
    <w:rsid w:val="00292BC6"/>
    <w:rsid w:val="00294207"/>
    <w:rsid w:val="00294F4B"/>
    <w:rsid w:val="002952D5"/>
    <w:rsid w:val="002967E3"/>
    <w:rsid w:val="002A2EFC"/>
    <w:rsid w:val="002A3F32"/>
    <w:rsid w:val="002A4902"/>
    <w:rsid w:val="002A67BB"/>
    <w:rsid w:val="002A6A96"/>
    <w:rsid w:val="002A6BA9"/>
    <w:rsid w:val="002B0F8A"/>
    <w:rsid w:val="002B144C"/>
    <w:rsid w:val="002C1985"/>
    <w:rsid w:val="002C2303"/>
    <w:rsid w:val="002C4C68"/>
    <w:rsid w:val="002C6340"/>
    <w:rsid w:val="002D05BA"/>
    <w:rsid w:val="002D15D6"/>
    <w:rsid w:val="002D16F0"/>
    <w:rsid w:val="002D17BC"/>
    <w:rsid w:val="002D1847"/>
    <w:rsid w:val="002D2131"/>
    <w:rsid w:val="002D5AAC"/>
    <w:rsid w:val="002E00D5"/>
    <w:rsid w:val="002E261F"/>
    <w:rsid w:val="002E31BB"/>
    <w:rsid w:val="002E6A42"/>
    <w:rsid w:val="002F198B"/>
    <w:rsid w:val="002F3913"/>
    <w:rsid w:val="002F6C62"/>
    <w:rsid w:val="002F726A"/>
    <w:rsid w:val="00301299"/>
    <w:rsid w:val="00311D1C"/>
    <w:rsid w:val="003126F8"/>
    <w:rsid w:val="00313431"/>
    <w:rsid w:val="00314F0C"/>
    <w:rsid w:val="00317C50"/>
    <w:rsid w:val="00320F20"/>
    <w:rsid w:val="003212CC"/>
    <w:rsid w:val="00322004"/>
    <w:rsid w:val="00322AE4"/>
    <w:rsid w:val="003231EA"/>
    <w:rsid w:val="003245D1"/>
    <w:rsid w:val="003253A8"/>
    <w:rsid w:val="00332235"/>
    <w:rsid w:val="003325B7"/>
    <w:rsid w:val="00334B69"/>
    <w:rsid w:val="003359AA"/>
    <w:rsid w:val="003362AE"/>
    <w:rsid w:val="00336BE4"/>
    <w:rsid w:val="003402C2"/>
    <w:rsid w:val="00343AD0"/>
    <w:rsid w:val="00346E8E"/>
    <w:rsid w:val="00347934"/>
    <w:rsid w:val="003538EB"/>
    <w:rsid w:val="00356028"/>
    <w:rsid w:val="003575FA"/>
    <w:rsid w:val="00363F36"/>
    <w:rsid w:val="003654B7"/>
    <w:rsid w:val="003667F3"/>
    <w:rsid w:val="00371527"/>
    <w:rsid w:val="003729F4"/>
    <w:rsid w:val="003739ED"/>
    <w:rsid w:val="00374990"/>
    <w:rsid w:val="0037559E"/>
    <w:rsid w:val="00375637"/>
    <w:rsid w:val="00376E55"/>
    <w:rsid w:val="00381A2B"/>
    <w:rsid w:val="00381C24"/>
    <w:rsid w:val="00383674"/>
    <w:rsid w:val="003931C3"/>
    <w:rsid w:val="003958D0"/>
    <w:rsid w:val="003972C5"/>
    <w:rsid w:val="003A1E0E"/>
    <w:rsid w:val="003A4A13"/>
    <w:rsid w:val="003A69B0"/>
    <w:rsid w:val="003A6A60"/>
    <w:rsid w:val="003B08C1"/>
    <w:rsid w:val="003B4AE2"/>
    <w:rsid w:val="003B557D"/>
    <w:rsid w:val="003B61F2"/>
    <w:rsid w:val="003B77CF"/>
    <w:rsid w:val="003C29DB"/>
    <w:rsid w:val="003C3450"/>
    <w:rsid w:val="003C5862"/>
    <w:rsid w:val="003C6B50"/>
    <w:rsid w:val="003D064D"/>
    <w:rsid w:val="003D1DFC"/>
    <w:rsid w:val="003D2518"/>
    <w:rsid w:val="003D32CD"/>
    <w:rsid w:val="003D7B08"/>
    <w:rsid w:val="003E4EBC"/>
    <w:rsid w:val="003F0147"/>
    <w:rsid w:val="003F0535"/>
    <w:rsid w:val="003F7B4C"/>
    <w:rsid w:val="00400552"/>
    <w:rsid w:val="00401021"/>
    <w:rsid w:val="00401A7D"/>
    <w:rsid w:val="0040564D"/>
    <w:rsid w:val="0040755C"/>
    <w:rsid w:val="0041031F"/>
    <w:rsid w:val="00411AC5"/>
    <w:rsid w:val="00415896"/>
    <w:rsid w:val="00416ADC"/>
    <w:rsid w:val="00422515"/>
    <w:rsid w:val="004241AF"/>
    <w:rsid w:val="0042477F"/>
    <w:rsid w:val="00425F41"/>
    <w:rsid w:val="00426588"/>
    <w:rsid w:val="00433F17"/>
    <w:rsid w:val="00435A96"/>
    <w:rsid w:val="0044080B"/>
    <w:rsid w:val="0044384B"/>
    <w:rsid w:val="00443D59"/>
    <w:rsid w:val="00446E94"/>
    <w:rsid w:val="004503F9"/>
    <w:rsid w:val="00450586"/>
    <w:rsid w:val="0045090F"/>
    <w:rsid w:val="00453C7B"/>
    <w:rsid w:val="00454E07"/>
    <w:rsid w:val="0046049E"/>
    <w:rsid w:val="00462EEE"/>
    <w:rsid w:val="00470467"/>
    <w:rsid w:val="00471FEB"/>
    <w:rsid w:val="0047304F"/>
    <w:rsid w:val="004733C0"/>
    <w:rsid w:val="004735BC"/>
    <w:rsid w:val="004769C7"/>
    <w:rsid w:val="00476BBD"/>
    <w:rsid w:val="00485E98"/>
    <w:rsid w:val="00491439"/>
    <w:rsid w:val="00495004"/>
    <w:rsid w:val="00495082"/>
    <w:rsid w:val="004A331F"/>
    <w:rsid w:val="004A503B"/>
    <w:rsid w:val="004A5F63"/>
    <w:rsid w:val="004B19F2"/>
    <w:rsid w:val="004B2745"/>
    <w:rsid w:val="004B407D"/>
    <w:rsid w:val="004B6E99"/>
    <w:rsid w:val="004C1590"/>
    <w:rsid w:val="004C2716"/>
    <w:rsid w:val="004C2BC5"/>
    <w:rsid w:val="004C32E6"/>
    <w:rsid w:val="004C4A3B"/>
    <w:rsid w:val="004C78E4"/>
    <w:rsid w:val="004D016D"/>
    <w:rsid w:val="004D340B"/>
    <w:rsid w:val="004D3C74"/>
    <w:rsid w:val="004D60E7"/>
    <w:rsid w:val="004D721F"/>
    <w:rsid w:val="004D7EB6"/>
    <w:rsid w:val="004E1B44"/>
    <w:rsid w:val="004E226C"/>
    <w:rsid w:val="004E4D41"/>
    <w:rsid w:val="004E569A"/>
    <w:rsid w:val="004F060F"/>
    <w:rsid w:val="004F3973"/>
    <w:rsid w:val="004F5402"/>
    <w:rsid w:val="004F71C9"/>
    <w:rsid w:val="004F7FFA"/>
    <w:rsid w:val="00500F82"/>
    <w:rsid w:val="0050108D"/>
    <w:rsid w:val="005016AF"/>
    <w:rsid w:val="00503EB2"/>
    <w:rsid w:val="00504F09"/>
    <w:rsid w:val="005066C2"/>
    <w:rsid w:val="005069B0"/>
    <w:rsid w:val="005076AF"/>
    <w:rsid w:val="00507EF5"/>
    <w:rsid w:val="0051152C"/>
    <w:rsid w:val="00517EF8"/>
    <w:rsid w:val="00520477"/>
    <w:rsid w:val="0052159C"/>
    <w:rsid w:val="0052209E"/>
    <w:rsid w:val="005247BD"/>
    <w:rsid w:val="00524E5B"/>
    <w:rsid w:val="00535748"/>
    <w:rsid w:val="0053621B"/>
    <w:rsid w:val="0053635A"/>
    <w:rsid w:val="00540923"/>
    <w:rsid w:val="00543533"/>
    <w:rsid w:val="0054577A"/>
    <w:rsid w:val="00545CDD"/>
    <w:rsid w:val="0055075B"/>
    <w:rsid w:val="00552BAE"/>
    <w:rsid w:val="00554816"/>
    <w:rsid w:val="00555189"/>
    <w:rsid w:val="00556775"/>
    <w:rsid w:val="00560A41"/>
    <w:rsid w:val="00562506"/>
    <w:rsid w:val="005710C4"/>
    <w:rsid w:val="00572E19"/>
    <w:rsid w:val="00574248"/>
    <w:rsid w:val="0057426B"/>
    <w:rsid w:val="005748CF"/>
    <w:rsid w:val="005868D4"/>
    <w:rsid w:val="00592509"/>
    <w:rsid w:val="00594F50"/>
    <w:rsid w:val="00596D59"/>
    <w:rsid w:val="00597286"/>
    <w:rsid w:val="005A5755"/>
    <w:rsid w:val="005A639C"/>
    <w:rsid w:val="005B25EF"/>
    <w:rsid w:val="005B36DC"/>
    <w:rsid w:val="005B6BB0"/>
    <w:rsid w:val="005C0599"/>
    <w:rsid w:val="005C36FD"/>
    <w:rsid w:val="005C5AD2"/>
    <w:rsid w:val="005C68E2"/>
    <w:rsid w:val="005D3B9F"/>
    <w:rsid w:val="005D62CA"/>
    <w:rsid w:val="005D656A"/>
    <w:rsid w:val="005D6A1C"/>
    <w:rsid w:val="005E0323"/>
    <w:rsid w:val="005E0533"/>
    <w:rsid w:val="005E1BB7"/>
    <w:rsid w:val="005E24D9"/>
    <w:rsid w:val="005E2DE8"/>
    <w:rsid w:val="005E535B"/>
    <w:rsid w:val="005F0B42"/>
    <w:rsid w:val="005F0D7D"/>
    <w:rsid w:val="005F2836"/>
    <w:rsid w:val="005F6306"/>
    <w:rsid w:val="006011C0"/>
    <w:rsid w:val="00605BEA"/>
    <w:rsid w:val="006065A5"/>
    <w:rsid w:val="00607D8C"/>
    <w:rsid w:val="0061021D"/>
    <w:rsid w:val="00611964"/>
    <w:rsid w:val="00611E09"/>
    <w:rsid w:val="00611F6C"/>
    <w:rsid w:val="0061334D"/>
    <w:rsid w:val="006136E1"/>
    <w:rsid w:val="0061491C"/>
    <w:rsid w:val="00614AB3"/>
    <w:rsid w:val="00615A68"/>
    <w:rsid w:val="00617A8B"/>
    <w:rsid w:val="006204E9"/>
    <w:rsid w:val="00625DA2"/>
    <w:rsid w:val="006267BE"/>
    <w:rsid w:val="00630372"/>
    <w:rsid w:val="00632A54"/>
    <w:rsid w:val="006368D8"/>
    <w:rsid w:val="00637BA3"/>
    <w:rsid w:val="006401F3"/>
    <w:rsid w:val="00640589"/>
    <w:rsid w:val="00642E9C"/>
    <w:rsid w:val="0064421C"/>
    <w:rsid w:val="006444B6"/>
    <w:rsid w:val="00644E08"/>
    <w:rsid w:val="00645518"/>
    <w:rsid w:val="0064710D"/>
    <w:rsid w:val="00647CD0"/>
    <w:rsid w:val="00650199"/>
    <w:rsid w:val="006509C2"/>
    <w:rsid w:val="006510A6"/>
    <w:rsid w:val="00651354"/>
    <w:rsid w:val="00655291"/>
    <w:rsid w:val="00656589"/>
    <w:rsid w:val="00657159"/>
    <w:rsid w:val="006575C6"/>
    <w:rsid w:val="00657EEA"/>
    <w:rsid w:val="00662159"/>
    <w:rsid w:val="00662A66"/>
    <w:rsid w:val="006651C0"/>
    <w:rsid w:val="00674197"/>
    <w:rsid w:val="00675179"/>
    <w:rsid w:val="0068464C"/>
    <w:rsid w:val="00685189"/>
    <w:rsid w:val="00690F69"/>
    <w:rsid w:val="00691784"/>
    <w:rsid w:val="006921BB"/>
    <w:rsid w:val="006923D1"/>
    <w:rsid w:val="006976E2"/>
    <w:rsid w:val="006A0FF2"/>
    <w:rsid w:val="006A13C5"/>
    <w:rsid w:val="006A27D2"/>
    <w:rsid w:val="006A3B4D"/>
    <w:rsid w:val="006A4293"/>
    <w:rsid w:val="006A6AA7"/>
    <w:rsid w:val="006B0321"/>
    <w:rsid w:val="006B1E0E"/>
    <w:rsid w:val="006B5C7E"/>
    <w:rsid w:val="006B7D54"/>
    <w:rsid w:val="006C1EE3"/>
    <w:rsid w:val="006C3539"/>
    <w:rsid w:val="006C5A50"/>
    <w:rsid w:val="006C7F77"/>
    <w:rsid w:val="006D434C"/>
    <w:rsid w:val="006E0125"/>
    <w:rsid w:val="006E2810"/>
    <w:rsid w:val="006E2D16"/>
    <w:rsid w:val="006E318D"/>
    <w:rsid w:val="006E4CE2"/>
    <w:rsid w:val="006E6438"/>
    <w:rsid w:val="006E67E9"/>
    <w:rsid w:val="006E6996"/>
    <w:rsid w:val="006E7437"/>
    <w:rsid w:val="006E7863"/>
    <w:rsid w:val="006F0C5A"/>
    <w:rsid w:val="006F0DEA"/>
    <w:rsid w:val="006F17CD"/>
    <w:rsid w:val="006F20CA"/>
    <w:rsid w:val="006F26BA"/>
    <w:rsid w:val="006F35EE"/>
    <w:rsid w:val="006F7553"/>
    <w:rsid w:val="007011FD"/>
    <w:rsid w:val="0070264E"/>
    <w:rsid w:val="007026A4"/>
    <w:rsid w:val="00704D9E"/>
    <w:rsid w:val="0070559D"/>
    <w:rsid w:val="007055B6"/>
    <w:rsid w:val="00705762"/>
    <w:rsid w:val="00707F53"/>
    <w:rsid w:val="00710CF8"/>
    <w:rsid w:val="00716AE9"/>
    <w:rsid w:val="00716C6F"/>
    <w:rsid w:val="0072234F"/>
    <w:rsid w:val="007233D6"/>
    <w:rsid w:val="00724C5E"/>
    <w:rsid w:val="00727D50"/>
    <w:rsid w:val="00731DDF"/>
    <w:rsid w:val="00732C6D"/>
    <w:rsid w:val="007346E5"/>
    <w:rsid w:val="0073638F"/>
    <w:rsid w:val="00742F94"/>
    <w:rsid w:val="007464CC"/>
    <w:rsid w:val="00746C12"/>
    <w:rsid w:val="00750433"/>
    <w:rsid w:val="00750C69"/>
    <w:rsid w:val="007513CF"/>
    <w:rsid w:val="007516DC"/>
    <w:rsid w:val="00752CDC"/>
    <w:rsid w:val="007533CB"/>
    <w:rsid w:val="0075418B"/>
    <w:rsid w:val="007546B5"/>
    <w:rsid w:val="00754930"/>
    <w:rsid w:val="00755ABD"/>
    <w:rsid w:val="007564A7"/>
    <w:rsid w:val="007575E9"/>
    <w:rsid w:val="0076049B"/>
    <w:rsid w:val="00762F93"/>
    <w:rsid w:val="00763B70"/>
    <w:rsid w:val="0076453D"/>
    <w:rsid w:val="00766DFB"/>
    <w:rsid w:val="00771386"/>
    <w:rsid w:val="00775B70"/>
    <w:rsid w:val="00777020"/>
    <w:rsid w:val="0078376E"/>
    <w:rsid w:val="007861CE"/>
    <w:rsid w:val="00786C50"/>
    <w:rsid w:val="00791146"/>
    <w:rsid w:val="00791772"/>
    <w:rsid w:val="00791866"/>
    <w:rsid w:val="007928C7"/>
    <w:rsid w:val="00795024"/>
    <w:rsid w:val="007974D8"/>
    <w:rsid w:val="007A04F1"/>
    <w:rsid w:val="007A12F7"/>
    <w:rsid w:val="007A3A75"/>
    <w:rsid w:val="007A3CC8"/>
    <w:rsid w:val="007A4771"/>
    <w:rsid w:val="007A6CC3"/>
    <w:rsid w:val="007A7F3E"/>
    <w:rsid w:val="007B0902"/>
    <w:rsid w:val="007B0DA7"/>
    <w:rsid w:val="007B0DB8"/>
    <w:rsid w:val="007B1D93"/>
    <w:rsid w:val="007B4560"/>
    <w:rsid w:val="007B687F"/>
    <w:rsid w:val="007C1176"/>
    <w:rsid w:val="007C1E4B"/>
    <w:rsid w:val="007C317E"/>
    <w:rsid w:val="007C3DBB"/>
    <w:rsid w:val="007C4472"/>
    <w:rsid w:val="007D087D"/>
    <w:rsid w:val="007D0FAC"/>
    <w:rsid w:val="007D3DB3"/>
    <w:rsid w:val="007D511B"/>
    <w:rsid w:val="007D6339"/>
    <w:rsid w:val="007E496E"/>
    <w:rsid w:val="007E5A15"/>
    <w:rsid w:val="007F0C45"/>
    <w:rsid w:val="007F0E05"/>
    <w:rsid w:val="007F233F"/>
    <w:rsid w:val="007F3B3D"/>
    <w:rsid w:val="007F404B"/>
    <w:rsid w:val="007F5223"/>
    <w:rsid w:val="008011F3"/>
    <w:rsid w:val="00801A3B"/>
    <w:rsid w:val="00802199"/>
    <w:rsid w:val="00802ECA"/>
    <w:rsid w:val="0080465B"/>
    <w:rsid w:val="00805FA7"/>
    <w:rsid w:val="008062E3"/>
    <w:rsid w:val="00806D17"/>
    <w:rsid w:val="00813D15"/>
    <w:rsid w:val="00813F14"/>
    <w:rsid w:val="0081732C"/>
    <w:rsid w:val="00823EFD"/>
    <w:rsid w:val="0082447E"/>
    <w:rsid w:val="008245C2"/>
    <w:rsid w:val="00826EA7"/>
    <w:rsid w:val="00827ECD"/>
    <w:rsid w:val="00830923"/>
    <w:rsid w:val="00830BCC"/>
    <w:rsid w:val="00834B64"/>
    <w:rsid w:val="00834B71"/>
    <w:rsid w:val="008356E7"/>
    <w:rsid w:val="00835E65"/>
    <w:rsid w:val="0083762A"/>
    <w:rsid w:val="00842AA1"/>
    <w:rsid w:val="00845A50"/>
    <w:rsid w:val="00847A29"/>
    <w:rsid w:val="008512C3"/>
    <w:rsid w:val="00851DDC"/>
    <w:rsid w:val="0085249E"/>
    <w:rsid w:val="00852B1F"/>
    <w:rsid w:val="0085500C"/>
    <w:rsid w:val="008575C5"/>
    <w:rsid w:val="0086445C"/>
    <w:rsid w:val="00864B9A"/>
    <w:rsid w:val="00875C5C"/>
    <w:rsid w:val="008769FF"/>
    <w:rsid w:val="00876A12"/>
    <w:rsid w:val="00884111"/>
    <w:rsid w:val="00887627"/>
    <w:rsid w:val="00887F06"/>
    <w:rsid w:val="008917B2"/>
    <w:rsid w:val="008924D3"/>
    <w:rsid w:val="00892BA7"/>
    <w:rsid w:val="0089476E"/>
    <w:rsid w:val="00895892"/>
    <w:rsid w:val="00895EE3"/>
    <w:rsid w:val="00896689"/>
    <w:rsid w:val="008A08D7"/>
    <w:rsid w:val="008B0742"/>
    <w:rsid w:val="008B3017"/>
    <w:rsid w:val="008B39A0"/>
    <w:rsid w:val="008B7923"/>
    <w:rsid w:val="008B7948"/>
    <w:rsid w:val="008C04B0"/>
    <w:rsid w:val="008C1EA3"/>
    <w:rsid w:val="008C5E82"/>
    <w:rsid w:val="008C6330"/>
    <w:rsid w:val="008C7F17"/>
    <w:rsid w:val="008D1253"/>
    <w:rsid w:val="008D15D8"/>
    <w:rsid w:val="008D52FC"/>
    <w:rsid w:val="008E0CA8"/>
    <w:rsid w:val="008E24B6"/>
    <w:rsid w:val="008E434E"/>
    <w:rsid w:val="008E446E"/>
    <w:rsid w:val="008E56C9"/>
    <w:rsid w:val="008F01F0"/>
    <w:rsid w:val="008F5691"/>
    <w:rsid w:val="008F7C1B"/>
    <w:rsid w:val="00900A86"/>
    <w:rsid w:val="00901080"/>
    <w:rsid w:val="009043FB"/>
    <w:rsid w:val="00906890"/>
    <w:rsid w:val="00911FF2"/>
    <w:rsid w:val="00912F93"/>
    <w:rsid w:val="00913CC5"/>
    <w:rsid w:val="00914C58"/>
    <w:rsid w:val="009179ED"/>
    <w:rsid w:val="00922EE0"/>
    <w:rsid w:val="00925C02"/>
    <w:rsid w:val="00925D6E"/>
    <w:rsid w:val="00926E7C"/>
    <w:rsid w:val="00927B1F"/>
    <w:rsid w:val="009309F2"/>
    <w:rsid w:val="0093116F"/>
    <w:rsid w:val="0093492D"/>
    <w:rsid w:val="00935051"/>
    <w:rsid w:val="009359DC"/>
    <w:rsid w:val="00935AF2"/>
    <w:rsid w:val="009371F6"/>
    <w:rsid w:val="0093766F"/>
    <w:rsid w:val="009408DA"/>
    <w:rsid w:val="00942800"/>
    <w:rsid w:val="00943DC8"/>
    <w:rsid w:val="009450EE"/>
    <w:rsid w:val="00951972"/>
    <w:rsid w:val="00954114"/>
    <w:rsid w:val="00954BDC"/>
    <w:rsid w:val="0096213F"/>
    <w:rsid w:val="00966536"/>
    <w:rsid w:val="009676B6"/>
    <w:rsid w:val="0097030B"/>
    <w:rsid w:val="009707B6"/>
    <w:rsid w:val="00971606"/>
    <w:rsid w:val="00971BF9"/>
    <w:rsid w:val="009831C7"/>
    <w:rsid w:val="0099098A"/>
    <w:rsid w:val="00990C44"/>
    <w:rsid w:val="00992679"/>
    <w:rsid w:val="00994152"/>
    <w:rsid w:val="009942A2"/>
    <w:rsid w:val="00995726"/>
    <w:rsid w:val="009A01AD"/>
    <w:rsid w:val="009A1249"/>
    <w:rsid w:val="009A29F3"/>
    <w:rsid w:val="009A50AB"/>
    <w:rsid w:val="009B3F2A"/>
    <w:rsid w:val="009B593F"/>
    <w:rsid w:val="009C084E"/>
    <w:rsid w:val="009C19F6"/>
    <w:rsid w:val="009C2861"/>
    <w:rsid w:val="009C2938"/>
    <w:rsid w:val="009C50BD"/>
    <w:rsid w:val="009C5EB2"/>
    <w:rsid w:val="009C6400"/>
    <w:rsid w:val="009C7737"/>
    <w:rsid w:val="009D2B81"/>
    <w:rsid w:val="009D42C3"/>
    <w:rsid w:val="009D4DF0"/>
    <w:rsid w:val="009E0EA0"/>
    <w:rsid w:val="009E1FC3"/>
    <w:rsid w:val="009E31C6"/>
    <w:rsid w:val="009E78C4"/>
    <w:rsid w:val="009F0844"/>
    <w:rsid w:val="009F19C0"/>
    <w:rsid w:val="00A00CB2"/>
    <w:rsid w:val="00A02CBC"/>
    <w:rsid w:val="00A0650C"/>
    <w:rsid w:val="00A06755"/>
    <w:rsid w:val="00A205F4"/>
    <w:rsid w:val="00A21692"/>
    <w:rsid w:val="00A23136"/>
    <w:rsid w:val="00A232E5"/>
    <w:rsid w:val="00A27ACD"/>
    <w:rsid w:val="00A27D46"/>
    <w:rsid w:val="00A358BB"/>
    <w:rsid w:val="00A36B0A"/>
    <w:rsid w:val="00A37C1D"/>
    <w:rsid w:val="00A411C8"/>
    <w:rsid w:val="00A47E4C"/>
    <w:rsid w:val="00A500CE"/>
    <w:rsid w:val="00A50B46"/>
    <w:rsid w:val="00A54AE2"/>
    <w:rsid w:val="00A56383"/>
    <w:rsid w:val="00A57071"/>
    <w:rsid w:val="00A63531"/>
    <w:rsid w:val="00A64120"/>
    <w:rsid w:val="00A673FE"/>
    <w:rsid w:val="00A700C6"/>
    <w:rsid w:val="00A70872"/>
    <w:rsid w:val="00A721BB"/>
    <w:rsid w:val="00A74478"/>
    <w:rsid w:val="00A7566B"/>
    <w:rsid w:val="00A771E7"/>
    <w:rsid w:val="00A81C0C"/>
    <w:rsid w:val="00A81E5F"/>
    <w:rsid w:val="00A917B3"/>
    <w:rsid w:val="00A94F27"/>
    <w:rsid w:val="00A95A4E"/>
    <w:rsid w:val="00AA05A7"/>
    <w:rsid w:val="00AA648A"/>
    <w:rsid w:val="00AA75FD"/>
    <w:rsid w:val="00AB004F"/>
    <w:rsid w:val="00AB4B51"/>
    <w:rsid w:val="00AB4EB2"/>
    <w:rsid w:val="00AC0466"/>
    <w:rsid w:val="00AC1324"/>
    <w:rsid w:val="00AC18BE"/>
    <w:rsid w:val="00AC4022"/>
    <w:rsid w:val="00AD21DC"/>
    <w:rsid w:val="00AD3121"/>
    <w:rsid w:val="00AD3AEF"/>
    <w:rsid w:val="00AD6AF4"/>
    <w:rsid w:val="00AD6D05"/>
    <w:rsid w:val="00AE0EA2"/>
    <w:rsid w:val="00AE15F0"/>
    <w:rsid w:val="00AE3AD1"/>
    <w:rsid w:val="00AE4C21"/>
    <w:rsid w:val="00AF0918"/>
    <w:rsid w:val="00AF17B6"/>
    <w:rsid w:val="00AF20C9"/>
    <w:rsid w:val="00AF516C"/>
    <w:rsid w:val="00AF69A2"/>
    <w:rsid w:val="00AF6BAD"/>
    <w:rsid w:val="00AF7C68"/>
    <w:rsid w:val="00B042CA"/>
    <w:rsid w:val="00B10CC7"/>
    <w:rsid w:val="00B10CED"/>
    <w:rsid w:val="00B1116D"/>
    <w:rsid w:val="00B13C2B"/>
    <w:rsid w:val="00B1461C"/>
    <w:rsid w:val="00B16901"/>
    <w:rsid w:val="00B21487"/>
    <w:rsid w:val="00B25737"/>
    <w:rsid w:val="00B301F6"/>
    <w:rsid w:val="00B32A9D"/>
    <w:rsid w:val="00B36230"/>
    <w:rsid w:val="00B3725C"/>
    <w:rsid w:val="00B3778E"/>
    <w:rsid w:val="00B44093"/>
    <w:rsid w:val="00B52ED3"/>
    <w:rsid w:val="00B55C09"/>
    <w:rsid w:val="00B57DA6"/>
    <w:rsid w:val="00B62458"/>
    <w:rsid w:val="00B6350A"/>
    <w:rsid w:val="00B7028D"/>
    <w:rsid w:val="00B75158"/>
    <w:rsid w:val="00B82E12"/>
    <w:rsid w:val="00B852AC"/>
    <w:rsid w:val="00B86712"/>
    <w:rsid w:val="00B87393"/>
    <w:rsid w:val="00B8795D"/>
    <w:rsid w:val="00B925BD"/>
    <w:rsid w:val="00B92988"/>
    <w:rsid w:val="00B9465C"/>
    <w:rsid w:val="00B95435"/>
    <w:rsid w:val="00BA3857"/>
    <w:rsid w:val="00BA500E"/>
    <w:rsid w:val="00BB04A0"/>
    <w:rsid w:val="00BB1FC4"/>
    <w:rsid w:val="00BB3167"/>
    <w:rsid w:val="00BB4E54"/>
    <w:rsid w:val="00BB5BEB"/>
    <w:rsid w:val="00BB6613"/>
    <w:rsid w:val="00BB73D0"/>
    <w:rsid w:val="00BB7DC7"/>
    <w:rsid w:val="00BC161C"/>
    <w:rsid w:val="00BC679A"/>
    <w:rsid w:val="00BD084C"/>
    <w:rsid w:val="00BD08E3"/>
    <w:rsid w:val="00BD0F0F"/>
    <w:rsid w:val="00BD33EE"/>
    <w:rsid w:val="00BD3E19"/>
    <w:rsid w:val="00BE03C8"/>
    <w:rsid w:val="00BE2008"/>
    <w:rsid w:val="00BE2CD2"/>
    <w:rsid w:val="00BE316F"/>
    <w:rsid w:val="00BE3D0D"/>
    <w:rsid w:val="00BE5158"/>
    <w:rsid w:val="00BF039B"/>
    <w:rsid w:val="00BF1674"/>
    <w:rsid w:val="00BF657B"/>
    <w:rsid w:val="00C02CAC"/>
    <w:rsid w:val="00C02DFB"/>
    <w:rsid w:val="00C04B8D"/>
    <w:rsid w:val="00C04CB3"/>
    <w:rsid w:val="00C05D17"/>
    <w:rsid w:val="00C12574"/>
    <w:rsid w:val="00C1270E"/>
    <w:rsid w:val="00C214AE"/>
    <w:rsid w:val="00C22CEA"/>
    <w:rsid w:val="00C23CF3"/>
    <w:rsid w:val="00C25E3F"/>
    <w:rsid w:val="00C31FCA"/>
    <w:rsid w:val="00C371B6"/>
    <w:rsid w:val="00C377E3"/>
    <w:rsid w:val="00C43831"/>
    <w:rsid w:val="00C46C05"/>
    <w:rsid w:val="00C5183A"/>
    <w:rsid w:val="00C561A0"/>
    <w:rsid w:val="00C60F0C"/>
    <w:rsid w:val="00C64C05"/>
    <w:rsid w:val="00C64FCA"/>
    <w:rsid w:val="00C71B3B"/>
    <w:rsid w:val="00C7268D"/>
    <w:rsid w:val="00C72711"/>
    <w:rsid w:val="00C734BF"/>
    <w:rsid w:val="00C77CE7"/>
    <w:rsid w:val="00C805C9"/>
    <w:rsid w:val="00C82FD0"/>
    <w:rsid w:val="00C84368"/>
    <w:rsid w:val="00C84F19"/>
    <w:rsid w:val="00C85BBF"/>
    <w:rsid w:val="00C875E9"/>
    <w:rsid w:val="00C91A2B"/>
    <w:rsid w:val="00C92E5C"/>
    <w:rsid w:val="00C93BF0"/>
    <w:rsid w:val="00C94460"/>
    <w:rsid w:val="00C949A1"/>
    <w:rsid w:val="00C958DA"/>
    <w:rsid w:val="00CA00CD"/>
    <w:rsid w:val="00CA1679"/>
    <w:rsid w:val="00CA1E0E"/>
    <w:rsid w:val="00CA22FA"/>
    <w:rsid w:val="00CA4A3D"/>
    <w:rsid w:val="00CB2A34"/>
    <w:rsid w:val="00CB4A02"/>
    <w:rsid w:val="00CB529D"/>
    <w:rsid w:val="00CB5A0B"/>
    <w:rsid w:val="00CC542F"/>
    <w:rsid w:val="00CC589D"/>
    <w:rsid w:val="00CC78FE"/>
    <w:rsid w:val="00CD0053"/>
    <w:rsid w:val="00CD4F27"/>
    <w:rsid w:val="00CE21F4"/>
    <w:rsid w:val="00CE34F5"/>
    <w:rsid w:val="00CE3AF5"/>
    <w:rsid w:val="00CE3F2C"/>
    <w:rsid w:val="00CE65AC"/>
    <w:rsid w:val="00CE6B31"/>
    <w:rsid w:val="00CE6F60"/>
    <w:rsid w:val="00CF086A"/>
    <w:rsid w:val="00CF6BFE"/>
    <w:rsid w:val="00CF7490"/>
    <w:rsid w:val="00D04863"/>
    <w:rsid w:val="00D062A4"/>
    <w:rsid w:val="00D06FDA"/>
    <w:rsid w:val="00D10600"/>
    <w:rsid w:val="00D106A8"/>
    <w:rsid w:val="00D1318E"/>
    <w:rsid w:val="00D20D0D"/>
    <w:rsid w:val="00D23185"/>
    <w:rsid w:val="00D235CB"/>
    <w:rsid w:val="00D23997"/>
    <w:rsid w:val="00D23BAE"/>
    <w:rsid w:val="00D2596F"/>
    <w:rsid w:val="00D25F08"/>
    <w:rsid w:val="00D324A9"/>
    <w:rsid w:val="00D32D7C"/>
    <w:rsid w:val="00D34445"/>
    <w:rsid w:val="00D347F1"/>
    <w:rsid w:val="00D34861"/>
    <w:rsid w:val="00D34B25"/>
    <w:rsid w:val="00D378B4"/>
    <w:rsid w:val="00D43842"/>
    <w:rsid w:val="00D476EF"/>
    <w:rsid w:val="00D50A21"/>
    <w:rsid w:val="00D52061"/>
    <w:rsid w:val="00D56E78"/>
    <w:rsid w:val="00D62CB6"/>
    <w:rsid w:val="00D63E95"/>
    <w:rsid w:val="00D64991"/>
    <w:rsid w:val="00D6504D"/>
    <w:rsid w:val="00D67C81"/>
    <w:rsid w:val="00D738F9"/>
    <w:rsid w:val="00D759B3"/>
    <w:rsid w:val="00D80CDF"/>
    <w:rsid w:val="00D841DE"/>
    <w:rsid w:val="00D84E49"/>
    <w:rsid w:val="00D87AF7"/>
    <w:rsid w:val="00D90138"/>
    <w:rsid w:val="00D91270"/>
    <w:rsid w:val="00D96029"/>
    <w:rsid w:val="00D97076"/>
    <w:rsid w:val="00D97795"/>
    <w:rsid w:val="00DA04AF"/>
    <w:rsid w:val="00DA3DFE"/>
    <w:rsid w:val="00DA4BFC"/>
    <w:rsid w:val="00DA56D2"/>
    <w:rsid w:val="00DA5E8F"/>
    <w:rsid w:val="00DA6B16"/>
    <w:rsid w:val="00DA7A47"/>
    <w:rsid w:val="00DB166D"/>
    <w:rsid w:val="00DB2CA8"/>
    <w:rsid w:val="00DB3693"/>
    <w:rsid w:val="00DB3DAD"/>
    <w:rsid w:val="00DB57C9"/>
    <w:rsid w:val="00DB784D"/>
    <w:rsid w:val="00DC000E"/>
    <w:rsid w:val="00DC02A8"/>
    <w:rsid w:val="00DC3A45"/>
    <w:rsid w:val="00DC5A0A"/>
    <w:rsid w:val="00DC5CCC"/>
    <w:rsid w:val="00DC67E1"/>
    <w:rsid w:val="00DD46B7"/>
    <w:rsid w:val="00DD5367"/>
    <w:rsid w:val="00DF132D"/>
    <w:rsid w:val="00DF2386"/>
    <w:rsid w:val="00DF3BF7"/>
    <w:rsid w:val="00DF7E9E"/>
    <w:rsid w:val="00E0012A"/>
    <w:rsid w:val="00E01981"/>
    <w:rsid w:val="00E02936"/>
    <w:rsid w:val="00E06F2C"/>
    <w:rsid w:val="00E10F2F"/>
    <w:rsid w:val="00E15647"/>
    <w:rsid w:val="00E15FF5"/>
    <w:rsid w:val="00E201F1"/>
    <w:rsid w:val="00E2158C"/>
    <w:rsid w:val="00E2261C"/>
    <w:rsid w:val="00E25AA7"/>
    <w:rsid w:val="00E25D5D"/>
    <w:rsid w:val="00E2659F"/>
    <w:rsid w:val="00E26E6E"/>
    <w:rsid w:val="00E273B9"/>
    <w:rsid w:val="00E31756"/>
    <w:rsid w:val="00E3587C"/>
    <w:rsid w:val="00E37D9C"/>
    <w:rsid w:val="00E423F5"/>
    <w:rsid w:val="00E42612"/>
    <w:rsid w:val="00E46DEF"/>
    <w:rsid w:val="00E47AF3"/>
    <w:rsid w:val="00E47AF4"/>
    <w:rsid w:val="00E53648"/>
    <w:rsid w:val="00E53721"/>
    <w:rsid w:val="00E53803"/>
    <w:rsid w:val="00E549B2"/>
    <w:rsid w:val="00E560B2"/>
    <w:rsid w:val="00E61F4F"/>
    <w:rsid w:val="00E63951"/>
    <w:rsid w:val="00E63B42"/>
    <w:rsid w:val="00E63CCC"/>
    <w:rsid w:val="00E65EAF"/>
    <w:rsid w:val="00E65F0A"/>
    <w:rsid w:val="00E66248"/>
    <w:rsid w:val="00E67346"/>
    <w:rsid w:val="00E73F76"/>
    <w:rsid w:val="00E73FEB"/>
    <w:rsid w:val="00E754F0"/>
    <w:rsid w:val="00E76556"/>
    <w:rsid w:val="00E77FF4"/>
    <w:rsid w:val="00E80AD8"/>
    <w:rsid w:val="00E811DD"/>
    <w:rsid w:val="00E83E2B"/>
    <w:rsid w:val="00E8431E"/>
    <w:rsid w:val="00E8594B"/>
    <w:rsid w:val="00E85BAD"/>
    <w:rsid w:val="00E90CBF"/>
    <w:rsid w:val="00E91070"/>
    <w:rsid w:val="00E918CA"/>
    <w:rsid w:val="00E92950"/>
    <w:rsid w:val="00E929DC"/>
    <w:rsid w:val="00E9472A"/>
    <w:rsid w:val="00E97010"/>
    <w:rsid w:val="00EA16C0"/>
    <w:rsid w:val="00EA1EF1"/>
    <w:rsid w:val="00EA3AD6"/>
    <w:rsid w:val="00EA6660"/>
    <w:rsid w:val="00EA7FC5"/>
    <w:rsid w:val="00EB0FE6"/>
    <w:rsid w:val="00EB3685"/>
    <w:rsid w:val="00EB4E76"/>
    <w:rsid w:val="00EB5AF4"/>
    <w:rsid w:val="00EB6ABB"/>
    <w:rsid w:val="00EC23D8"/>
    <w:rsid w:val="00EC2536"/>
    <w:rsid w:val="00EC26C9"/>
    <w:rsid w:val="00EC26D6"/>
    <w:rsid w:val="00EC3319"/>
    <w:rsid w:val="00EC761F"/>
    <w:rsid w:val="00ED0439"/>
    <w:rsid w:val="00ED078F"/>
    <w:rsid w:val="00ED164C"/>
    <w:rsid w:val="00ED2051"/>
    <w:rsid w:val="00ED76B4"/>
    <w:rsid w:val="00EE0F78"/>
    <w:rsid w:val="00EE5C47"/>
    <w:rsid w:val="00EE66BC"/>
    <w:rsid w:val="00EF1360"/>
    <w:rsid w:val="00EF3220"/>
    <w:rsid w:val="00EF39DF"/>
    <w:rsid w:val="00EF4F01"/>
    <w:rsid w:val="00F0337A"/>
    <w:rsid w:val="00F03A14"/>
    <w:rsid w:val="00F11529"/>
    <w:rsid w:val="00F12BE2"/>
    <w:rsid w:val="00F13EB2"/>
    <w:rsid w:val="00F144EE"/>
    <w:rsid w:val="00F22A64"/>
    <w:rsid w:val="00F230A3"/>
    <w:rsid w:val="00F27F0A"/>
    <w:rsid w:val="00F33585"/>
    <w:rsid w:val="00F377CB"/>
    <w:rsid w:val="00F4201E"/>
    <w:rsid w:val="00F524FC"/>
    <w:rsid w:val="00F54046"/>
    <w:rsid w:val="00F54530"/>
    <w:rsid w:val="00F563BB"/>
    <w:rsid w:val="00F72362"/>
    <w:rsid w:val="00F77433"/>
    <w:rsid w:val="00F80A48"/>
    <w:rsid w:val="00F82F1F"/>
    <w:rsid w:val="00F9555A"/>
    <w:rsid w:val="00F96B09"/>
    <w:rsid w:val="00F96B7F"/>
    <w:rsid w:val="00F978FD"/>
    <w:rsid w:val="00FA7CE6"/>
    <w:rsid w:val="00FA7E7B"/>
    <w:rsid w:val="00FB20FC"/>
    <w:rsid w:val="00FB67EF"/>
    <w:rsid w:val="00FB6CD8"/>
    <w:rsid w:val="00FC4687"/>
    <w:rsid w:val="00FD2EF7"/>
    <w:rsid w:val="00FD4060"/>
    <w:rsid w:val="00FD5D66"/>
    <w:rsid w:val="00FD629A"/>
    <w:rsid w:val="00FD7D2C"/>
    <w:rsid w:val="00FD7D86"/>
    <w:rsid w:val="00FD7E85"/>
    <w:rsid w:val="00FE0D9D"/>
    <w:rsid w:val="00FE2AA4"/>
    <w:rsid w:val="00FE33B5"/>
    <w:rsid w:val="00FE33EB"/>
    <w:rsid w:val="00FF3ABF"/>
    <w:rsid w:val="00FF3DE0"/>
    <w:rsid w:val="00FF7B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91B83CA"/>
  <w15:docId w15:val="{7542501F-0EB0-4811-88B6-4B7A97B6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qFormat/>
    <w:rsid w:val="00313431"/>
    <w:pPr>
      <w:keepNext/>
      <w:outlineLvl w:val="1"/>
    </w:pPr>
    <w:rPr>
      <w:rFonts w:cs="Arial"/>
      <w:bCs/>
      <w:iCs/>
      <w:szCs w:val="28"/>
    </w:rPr>
  </w:style>
  <w:style w:type="paragraph" w:styleId="Ttulo3">
    <w:name w:val="heading 3"/>
    <w:basedOn w:val="Normal"/>
    <w:next w:val="Normal"/>
    <w:qFormat/>
    <w:rsid w:val="00313431"/>
    <w:pPr>
      <w:keepNext/>
      <w:spacing w:before="240" w:after="60"/>
      <w:outlineLvl w:val="2"/>
    </w:pPr>
    <w:rPr>
      <w:rFonts w:ascii="Arial" w:hAnsi="Arial" w:cs="Arial"/>
      <w:b/>
      <w:bCs/>
      <w:sz w:val="26"/>
      <w:szCs w:val="26"/>
    </w:rPr>
  </w:style>
  <w:style w:type="paragraph" w:styleId="Ttulo4">
    <w:name w:val="heading 4"/>
    <w:basedOn w:val="Normal"/>
    <w:next w:val="Normal"/>
    <w:qFormat/>
    <w:rsid w:val="00313431"/>
    <w:pPr>
      <w:keepNext/>
      <w:spacing w:before="240" w:after="60"/>
      <w:outlineLvl w:val="3"/>
    </w:pPr>
    <w:rPr>
      <w:b/>
      <w:bCs/>
      <w:sz w:val="28"/>
      <w:szCs w:val="28"/>
    </w:rPr>
  </w:style>
  <w:style w:type="paragraph" w:styleId="Ttulo5">
    <w:name w:val="heading 5"/>
    <w:basedOn w:val="Normal"/>
    <w:next w:val="Normal"/>
    <w:qFormat/>
    <w:rsid w:val="00313431"/>
    <w:pPr>
      <w:spacing w:before="240" w:after="60"/>
      <w:outlineLvl w:val="4"/>
    </w:pPr>
    <w:rPr>
      <w:b/>
      <w:bCs/>
      <w:i/>
      <w:iCs/>
      <w:sz w:val="26"/>
      <w:szCs w:val="26"/>
    </w:rPr>
  </w:style>
  <w:style w:type="paragraph" w:styleId="Ttulo6">
    <w:name w:val="heading 6"/>
    <w:basedOn w:val="Normal"/>
    <w:next w:val="Normal"/>
    <w:qFormat/>
    <w:rsid w:val="00313431"/>
    <w:pPr>
      <w:spacing w:before="240" w:after="60"/>
      <w:outlineLvl w:val="5"/>
    </w:pPr>
    <w:rPr>
      <w:b/>
      <w:bCs/>
      <w:sz w:val="22"/>
      <w:szCs w:val="22"/>
    </w:rPr>
  </w:style>
  <w:style w:type="paragraph" w:styleId="Ttulo7">
    <w:name w:val="heading 7"/>
    <w:basedOn w:val="Normal"/>
    <w:next w:val="Normal"/>
    <w:qFormat/>
    <w:rsid w:val="00313431"/>
    <w:pPr>
      <w:spacing w:before="240" w:after="60"/>
      <w:outlineLvl w:val="6"/>
    </w:pPr>
    <w:rPr>
      <w:sz w:val="24"/>
      <w:szCs w:val="24"/>
    </w:rPr>
  </w:style>
  <w:style w:type="paragraph" w:styleId="Ttulo8">
    <w:name w:val="heading 8"/>
    <w:basedOn w:val="Normal"/>
    <w:next w:val="Normal"/>
    <w:qFormat/>
    <w:rsid w:val="00313431"/>
    <w:pPr>
      <w:spacing w:before="240" w:after="60"/>
      <w:outlineLvl w:val="7"/>
    </w:pPr>
    <w:rPr>
      <w:i/>
      <w:iCs/>
      <w:sz w:val="24"/>
      <w:szCs w:val="24"/>
    </w:rPr>
  </w:style>
  <w:style w:type="paragraph" w:styleId="Ttulo9">
    <w:name w:val="heading 9"/>
    <w:basedOn w:val="Normal"/>
    <w:next w:val="Normal"/>
    <w:qFormat/>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A95A4E"/>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rsid w:val="00592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592509"/>
    <w:rPr>
      <w:rFonts w:ascii="Tahoma" w:hAnsi="Tahoma" w:cs="Tahoma"/>
      <w:sz w:val="16"/>
      <w:szCs w:val="16"/>
      <w:lang w:val="es-ES" w:eastAsia="es-ES"/>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Footnote Text Char1 Char Char Char,fn"/>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qFormat/>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rsid w:val="00313431"/>
    <w:rPr>
      <w:color w:val="0000FF"/>
      <w:u w:val="single"/>
    </w:rPr>
  </w:style>
  <w:style w:type="character" w:styleId="Hipervnculovisitado">
    <w:name w:val="FollowedHyperlink"/>
    <w:rsid w:val="00313431"/>
    <w:rPr>
      <w:color w:val="800080"/>
      <w:u w:val="singl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qFormat/>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table" w:customStyle="1" w:styleId="TableGrid1">
    <w:name w:val="Table Grid1"/>
    <w:basedOn w:val="Tablanormal"/>
    <w:next w:val="Tablaconcuadrcula"/>
    <w:rsid w:val="00EE5C47"/>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D06FDA"/>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 Car,Footnote Text Char1 Char Char Char Car,fn Car"/>
    <w:basedOn w:val="Fuentedeprrafopredeter"/>
    <w:link w:val="Textonotapie"/>
    <w:rsid w:val="00D06FDA"/>
    <w:rPr>
      <w:sz w:val="18"/>
      <w:lang w:val="es-ES" w:eastAsia="es-ES"/>
    </w:rPr>
  </w:style>
  <w:style w:type="character" w:styleId="nfasissutil">
    <w:name w:val="Subtle Emphasis"/>
    <w:basedOn w:val="Fuentedeprrafopredeter"/>
    <w:uiPriority w:val="19"/>
    <w:rsid w:val="00625DA2"/>
    <w:rPr>
      <w:i/>
      <w:iCs/>
      <w:color w:val="808080" w:themeColor="text1" w:themeTint="7F"/>
    </w:rPr>
  </w:style>
  <w:style w:type="paragraph" w:styleId="Prrafodelista">
    <w:name w:val="List Paragraph"/>
    <w:basedOn w:val="Normal"/>
    <w:uiPriority w:val="34"/>
    <w:qFormat/>
    <w:rsid w:val="00625DA2"/>
    <w:pPr>
      <w:ind w:left="567"/>
    </w:pPr>
  </w:style>
  <w:style w:type="character" w:styleId="nfasisintenso">
    <w:name w:val="Intense Emphasis"/>
    <w:uiPriority w:val="21"/>
    <w:rsid w:val="00625DA2"/>
    <w:rPr>
      <w:b/>
      <w:bCs/>
      <w:i/>
      <w:iCs/>
      <w:color w:val="4F81BD"/>
    </w:rPr>
  </w:style>
  <w:style w:type="paragraph" w:styleId="Citadestacada">
    <w:name w:val="Intense Quote"/>
    <w:basedOn w:val="Normal"/>
    <w:next w:val="Normal"/>
    <w:link w:val="CitadestacadaCar"/>
    <w:uiPriority w:val="30"/>
    <w:rsid w:val="00625DA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25DA2"/>
    <w:rPr>
      <w:b/>
      <w:bCs/>
      <w:i/>
      <w:iCs/>
      <w:color w:val="4F81BD"/>
      <w:lang w:val="es-ES" w:eastAsia="es-ES"/>
    </w:rPr>
  </w:style>
  <w:style w:type="character" w:customStyle="1" w:styleId="Ttulo1Car">
    <w:name w:val="Título 1 Car"/>
    <w:aliases w:val="Table_G Car,Cuadro_G Car"/>
    <w:basedOn w:val="Fuentedeprrafopredeter"/>
    <w:link w:val="Ttulo1"/>
    <w:rsid w:val="00625DA2"/>
    <w:rPr>
      <w:rFonts w:cs="Arial"/>
      <w:bCs/>
      <w:szCs w:val="32"/>
      <w:lang w:val="es-ES" w:eastAsia="es-ES"/>
    </w:rPr>
  </w:style>
  <w:style w:type="character" w:customStyle="1" w:styleId="SubttuloCar">
    <w:name w:val="Subtítulo Car"/>
    <w:basedOn w:val="Fuentedeprrafopredeter"/>
    <w:link w:val="Subttulo"/>
    <w:rsid w:val="00625DA2"/>
    <w:rPr>
      <w:rFonts w:ascii="Arial" w:hAnsi="Arial" w:cs="Arial"/>
      <w:sz w:val="24"/>
      <w:szCs w:val="24"/>
      <w:lang w:val="es-ES" w:eastAsia="es-ES"/>
    </w:rPr>
  </w:style>
  <w:style w:type="character" w:customStyle="1" w:styleId="CierreCar">
    <w:name w:val="Cierre Car"/>
    <w:basedOn w:val="Fuentedeprrafopredeter"/>
    <w:link w:val="Cierre"/>
    <w:semiHidden/>
    <w:rsid w:val="00625DA2"/>
    <w:rPr>
      <w:lang w:val="es-ES" w:eastAsia="es-ES"/>
    </w:rPr>
  </w:style>
  <w:style w:type="character" w:styleId="Refdecomentario">
    <w:name w:val="annotation reference"/>
    <w:basedOn w:val="Fuentedeprrafopredeter"/>
    <w:rsid w:val="00625DA2"/>
    <w:rPr>
      <w:sz w:val="16"/>
      <w:szCs w:val="16"/>
    </w:rPr>
  </w:style>
  <w:style w:type="paragraph" w:styleId="Textocomentario">
    <w:name w:val="annotation text"/>
    <w:basedOn w:val="Normal"/>
    <w:link w:val="TextocomentarioCar"/>
    <w:rsid w:val="00625DA2"/>
    <w:pPr>
      <w:spacing w:line="240" w:lineRule="auto"/>
    </w:pPr>
  </w:style>
  <w:style w:type="character" w:customStyle="1" w:styleId="TextocomentarioCar">
    <w:name w:val="Texto comentario Car"/>
    <w:basedOn w:val="Fuentedeprrafopredeter"/>
    <w:link w:val="Textocomentario"/>
    <w:rsid w:val="00625DA2"/>
    <w:rPr>
      <w:lang w:val="es-ES" w:eastAsia="es-ES"/>
    </w:rPr>
  </w:style>
  <w:style w:type="paragraph" w:styleId="Asuntodelcomentario">
    <w:name w:val="annotation subject"/>
    <w:basedOn w:val="Textocomentario"/>
    <w:next w:val="Textocomentario"/>
    <w:link w:val="AsuntodelcomentarioCar"/>
    <w:rsid w:val="00625DA2"/>
    <w:rPr>
      <w:b/>
      <w:bCs/>
    </w:rPr>
  </w:style>
  <w:style w:type="character" w:customStyle="1" w:styleId="AsuntodelcomentarioCar">
    <w:name w:val="Asunto del comentario Car"/>
    <w:basedOn w:val="TextocomentarioCar"/>
    <w:link w:val="Asuntodelcomentario"/>
    <w:rsid w:val="00625DA2"/>
    <w:rPr>
      <w:b/>
      <w:bCs/>
      <w:lang w:val="es-ES" w:eastAsia="es-ES"/>
    </w:rPr>
  </w:style>
  <w:style w:type="character" w:customStyle="1" w:styleId="DireccinHTMLCar">
    <w:name w:val="Dirección HTML Car"/>
    <w:basedOn w:val="Fuentedeprrafopredeter"/>
    <w:link w:val="DireccinHTML"/>
    <w:semiHidden/>
    <w:rsid w:val="00625DA2"/>
    <w:rPr>
      <w:i/>
      <w:iCs/>
      <w:lang w:val="es-ES" w:eastAsia="es-ES"/>
    </w:rPr>
  </w:style>
  <w:style w:type="character" w:customStyle="1" w:styleId="EncabezadodemensajeCar">
    <w:name w:val="Encabezado de mensaje Car"/>
    <w:basedOn w:val="Fuentedeprrafopredeter"/>
    <w:link w:val="Encabezadodemensaje"/>
    <w:semiHidden/>
    <w:rsid w:val="00625DA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25DA2"/>
    <w:rPr>
      <w:lang w:val="es-ES" w:eastAsia="es-ES"/>
    </w:rPr>
  </w:style>
  <w:style w:type="character" w:customStyle="1" w:styleId="EncabezadoCar">
    <w:name w:val="Encabezado Car"/>
    <w:aliases w:val="6_G Car"/>
    <w:basedOn w:val="Fuentedeprrafopredeter"/>
    <w:link w:val="Encabezado"/>
    <w:rsid w:val="00625DA2"/>
    <w:rPr>
      <w:b/>
      <w:sz w:val="18"/>
      <w:lang w:val="es-ES" w:eastAsia="es-ES"/>
    </w:rPr>
  </w:style>
  <w:style w:type="character" w:customStyle="1" w:styleId="FechaCar">
    <w:name w:val="Fecha Car"/>
    <w:basedOn w:val="Fuentedeprrafopredeter"/>
    <w:link w:val="Fecha"/>
    <w:semiHidden/>
    <w:rsid w:val="00625DA2"/>
    <w:rPr>
      <w:lang w:val="es-ES" w:eastAsia="es-ES"/>
    </w:rPr>
  </w:style>
  <w:style w:type="character" w:customStyle="1" w:styleId="FirmaCar">
    <w:name w:val="Firma Car"/>
    <w:basedOn w:val="Fuentedeprrafopredeter"/>
    <w:link w:val="Firma"/>
    <w:semiHidden/>
    <w:rsid w:val="00625DA2"/>
    <w:rPr>
      <w:lang w:val="es-ES" w:eastAsia="es-ES"/>
    </w:rPr>
  </w:style>
  <w:style w:type="character" w:customStyle="1" w:styleId="FirmadecorreoelectrnicoCar">
    <w:name w:val="Firma de correo electrónico Car"/>
    <w:basedOn w:val="Fuentedeprrafopredeter"/>
    <w:link w:val="Firmadecorreoelectrnico"/>
    <w:semiHidden/>
    <w:rsid w:val="00625DA2"/>
    <w:rPr>
      <w:lang w:val="es-ES" w:eastAsia="es-ES"/>
    </w:rPr>
  </w:style>
  <w:style w:type="character" w:customStyle="1" w:styleId="HTMLconformatoprevioCar">
    <w:name w:val="HTML con formato previo Car"/>
    <w:basedOn w:val="Fuentedeprrafopredeter"/>
    <w:link w:val="HTMLconformatoprevio"/>
    <w:semiHidden/>
    <w:rsid w:val="00625DA2"/>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625DA2"/>
    <w:rPr>
      <w:sz w:val="16"/>
      <w:lang w:val="es-ES" w:eastAsia="es-ES"/>
    </w:rPr>
  </w:style>
  <w:style w:type="character" w:customStyle="1" w:styleId="SaludoCar">
    <w:name w:val="Saludo Car"/>
    <w:basedOn w:val="Fuentedeprrafopredeter"/>
    <w:link w:val="Saludo"/>
    <w:semiHidden/>
    <w:rsid w:val="00625DA2"/>
    <w:rPr>
      <w:lang w:val="es-ES" w:eastAsia="es-ES"/>
    </w:rPr>
  </w:style>
  <w:style w:type="character" w:customStyle="1" w:styleId="Sangra2detindependienteCar">
    <w:name w:val="Sangría 2 de t. independiente Car"/>
    <w:basedOn w:val="Fuentedeprrafopredeter"/>
    <w:link w:val="Sangra2detindependiente"/>
    <w:semiHidden/>
    <w:rsid w:val="00625DA2"/>
    <w:rPr>
      <w:lang w:val="es-ES" w:eastAsia="es-ES"/>
    </w:rPr>
  </w:style>
  <w:style w:type="character" w:customStyle="1" w:styleId="Sangra3detindependienteCar">
    <w:name w:val="Sangría 3 de t. independiente Car"/>
    <w:basedOn w:val="Fuentedeprrafopredeter"/>
    <w:link w:val="Sangra3detindependiente"/>
    <w:semiHidden/>
    <w:rsid w:val="00625DA2"/>
    <w:rPr>
      <w:sz w:val="16"/>
      <w:szCs w:val="16"/>
      <w:lang w:val="es-ES" w:eastAsia="es-ES"/>
    </w:rPr>
  </w:style>
  <w:style w:type="character" w:customStyle="1" w:styleId="SangradetextonormalCar">
    <w:name w:val="Sangría de texto normal Car"/>
    <w:basedOn w:val="Fuentedeprrafopredeter"/>
    <w:link w:val="Sangradetextonormal"/>
    <w:semiHidden/>
    <w:rsid w:val="00625DA2"/>
    <w:rPr>
      <w:lang w:val="es-ES" w:eastAsia="es-ES"/>
    </w:rPr>
  </w:style>
  <w:style w:type="character" w:customStyle="1" w:styleId="TextoindependienteCar">
    <w:name w:val="Texto independiente Car"/>
    <w:basedOn w:val="Fuentedeprrafopredeter"/>
    <w:link w:val="Textoindependiente"/>
    <w:semiHidden/>
    <w:rsid w:val="00625DA2"/>
    <w:rPr>
      <w:lang w:val="es-ES" w:eastAsia="es-ES"/>
    </w:rPr>
  </w:style>
  <w:style w:type="character" w:customStyle="1" w:styleId="Textoindependiente2Car">
    <w:name w:val="Texto independiente 2 Car"/>
    <w:basedOn w:val="Fuentedeprrafopredeter"/>
    <w:link w:val="Textoindependiente2"/>
    <w:semiHidden/>
    <w:rsid w:val="00625DA2"/>
    <w:rPr>
      <w:lang w:val="es-ES" w:eastAsia="es-ES"/>
    </w:rPr>
  </w:style>
  <w:style w:type="character" w:customStyle="1" w:styleId="Textoindependiente3Car">
    <w:name w:val="Texto independiente 3 Car"/>
    <w:basedOn w:val="Fuentedeprrafopredeter"/>
    <w:link w:val="Textoindependiente3"/>
    <w:semiHidden/>
    <w:rsid w:val="00625DA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25DA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25DA2"/>
    <w:rPr>
      <w:lang w:val="es-ES" w:eastAsia="es-ES"/>
    </w:rPr>
  </w:style>
  <w:style w:type="character" w:customStyle="1" w:styleId="TextonotaalfinalCar">
    <w:name w:val="Texto nota al final Car"/>
    <w:aliases w:val="2_G Car"/>
    <w:basedOn w:val="Fuentedeprrafopredeter"/>
    <w:link w:val="Textonotaalfinal"/>
    <w:rsid w:val="00625DA2"/>
    <w:rPr>
      <w:sz w:val="18"/>
      <w:lang w:val="es-ES" w:eastAsia="es-ES"/>
    </w:rPr>
  </w:style>
  <w:style w:type="character" w:customStyle="1" w:styleId="TextosinformatoCar">
    <w:name w:val="Texto sin formato Car"/>
    <w:basedOn w:val="Fuentedeprrafopredeter"/>
    <w:link w:val="Textosinformato"/>
    <w:semiHidden/>
    <w:rsid w:val="00625DA2"/>
    <w:rPr>
      <w:rFonts w:ascii="Courier New" w:hAnsi="Courier New" w:cs="Courier New"/>
      <w:lang w:val="es-ES" w:eastAsia="es-ES"/>
    </w:rPr>
  </w:style>
  <w:style w:type="character" w:customStyle="1" w:styleId="TtuloCar">
    <w:name w:val="Título Car"/>
    <w:basedOn w:val="Fuentedeprrafopredeter"/>
    <w:link w:val="Ttulo"/>
    <w:rsid w:val="00625DA2"/>
    <w:rPr>
      <w:rFonts w:ascii="Arial" w:hAnsi="Arial" w:cs="Arial"/>
      <w:b/>
      <w:bCs/>
      <w:kern w:val="28"/>
      <w:sz w:val="32"/>
      <w:szCs w:val="32"/>
      <w:lang w:val="es-ES" w:eastAsia="es-ES"/>
    </w:rPr>
  </w:style>
  <w:style w:type="paragraph" w:styleId="Sinespaciado">
    <w:name w:val="No Spacing"/>
    <w:uiPriority w:val="1"/>
    <w:qFormat/>
    <w:rsid w:val="00625DA2"/>
    <w:rPr>
      <w:rFonts w:ascii="Calibri" w:eastAsia="Calibri" w:hAnsi="Calibri"/>
      <w:sz w:val="22"/>
      <w:szCs w:val="22"/>
      <w:lang w:val="en-GB" w:eastAsia="en-US"/>
    </w:rPr>
  </w:style>
  <w:style w:type="paragraph" w:customStyle="1" w:styleId="H1">
    <w:name w:val="_ H_1"/>
    <w:basedOn w:val="Normal"/>
    <w:next w:val="Normal"/>
    <w:qFormat/>
    <w:rsid w:val="00625DA2"/>
    <w:pPr>
      <w:keepNext/>
      <w:keepLines/>
      <w:suppressAutoHyphens/>
      <w:spacing w:line="270" w:lineRule="exact"/>
      <w:outlineLvl w:val="0"/>
    </w:pPr>
    <w:rPr>
      <w:rFonts w:eastAsiaTheme="minorHAnsi"/>
      <w:b/>
      <w:spacing w:val="4"/>
      <w:w w:val="103"/>
      <w:kern w:val="14"/>
      <w:sz w:val="24"/>
      <w:szCs w:val="22"/>
      <w:lang w:eastAsia="en-US"/>
    </w:rPr>
  </w:style>
  <w:style w:type="paragraph" w:styleId="Revisin">
    <w:name w:val="Revision"/>
    <w:hidden/>
    <w:uiPriority w:val="99"/>
    <w:semiHidden/>
    <w:rsid w:val="00DC5CC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157b957a9bf4e2f23b81061c963d69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32D3-7D49-4D7E-A617-C97932AB1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B0ABEC-52AC-4240-B0C1-F1C4A9D8C1AC}">
  <ds:schemaRefs>
    <ds:schemaRef ds:uri="http://schemas.microsoft.com/sharepoint/v3/contenttype/forms"/>
  </ds:schemaRefs>
</ds:datastoreItem>
</file>

<file path=customXml/itemProps3.xml><?xml version="1.0" encoding="utf-8"?>
<ds:datastoreItem xmlns:ds="http://schemas.openxmlformats.org/officeDocument/2006/customXml" ds:itemID="{03817004-7F81-44F7-8BD4-B4537470994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1967E974-6891-445D-B62A-1E6613D8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1</TotalTime>
  <Pages>14</Pages>
  <Words>8284</Words>
  <Characters>45563</Characters>
  <Application>Microsoft Office Word</Application>
  <DocSecurity>0</DocSecurity>
  <Lines>379</Lines>
  <Paragraphs>107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CRPD/C/23/DR/41/2017</vt:lpstr>
      <vt:lpstr>CRPD/C/23/DR/41/2017</vt:lpstr>
      <vt:lpstr>E/C.12/</vt:lpstr>
    </vt:vector>
  </TitlesOfParts>
  <Company/>
  <LinksUpToDate>false</LinksUpToDate>
  <CharactersWithSpaces>53740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CRPD/C/23/D/41/2017</dc:title>
  <dc:subject>M/CONF/2013/63 (13-63557) FINAL DIRECTO para LEER</dc:subject>
  <dc:creator>Ruth</dc:creator>
  <cp:keywords/>
  <dc:description/>
  <cp:lastModifiedBy>Maria DE-LA-PLAZA</cp:lastModifiedBy>
  <cp:revision>3</cp:revision>
  <cp:lastPrinted>2020-09-30T13:10:00Z</cp:lastPrinted>
  <dcterms:created xsi:type="dcterms:W3CDTF">2020-09-30T13:10:00Z</dcterms:created>
  <dcterms:modified xsi:type="dcterms:W3CDTF">2020-09-30T13:11:00Z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