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960"/>
        <w:gridCol w:w="2126"/>
      </w:tblGrid>
      <w:tr w:rsidR="002D5AAC" w14:paraId="16D76560" w14:textId="77777777" w:rsidTr="00E4242D">
        <w:trPr>
          <w:trHeight w:hRule="exact" w:val="851"/>
        </w:trPr>
        <w:tc>
          <w:tcPr>
            <w:tcW w:w="1280" w:type="dxa"/>
            <w:tcBorders>
              <w:bottom w:val="single" w:sz="4" w:space="0" w:color="auto"/>
            </w:tcBorders>
          </w:tcPr>
          <w:p w14:paraId="45B00415" w14:textId="77777777" w:rsidR="002D5AAC" w:rsidRPr="007A0D9C" w:rsidRDefault="002D5AAC" w:rsidP="000C3C69">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14:paraId="0C997139"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5995824" w14:textId="77777777" w:rsidR="002D5AAC" w:rsidRPr="0010192B" w:rsidRDefault="0010192B" w:rsidP="0010192B">
            <w:pPr>
              <w:jc w:val="right"/>
            </w:pPr>
            <w:proofErr w:type="spellStart"/>
            <w:r w:rsidRPr="0010192B">
              <w:rPr>
                <w:sz w:val="40"/>
              </w:rPr>
              <w:t>CCPR</w:t>
            </w:r>
            <w:proofErr w:type="spellEnd"/>
            <w:r>
              <w:t>/C/129/D/2922/2016</w:t>
            </w:r>
          </w:p>
        </w:tc>
      </w:tr>
      <w:tr w:rsidR="002D5AAC" w14:paraId="3A7F8D9C" w14:textId="77777777" w:rsidTr="00E4242D">
        <w:trPr>
          <w:trHeight w:hRule="exact" w:val="2835"/>
        </w:trPr>
        <w:tc>
          <w:tcPr>
            <w:tcW w:w="1280" w:type="dxa"/>
            <w:tcBorders>
              <w:top w:val="single" w:sz="4" w:space="0" w:color="auto"/>
              <w:bottom w:val="single" w:sz="12" w:space="0" w:color="auto"/>
            </w:tcBorders>
          </w:tcPr>
          <w:p w14:paraId="6058D6EF" w14:textId="77777777" w:rsidR="002D5AAC" w:rsidRDefault="00411A36" w:rsidP="00660CE8">
            <w:pPr>
              <w:spacing w:before="120"/>
              <w:jc w:val="center"/>
            </w:pPr>
            <w:r>
              <w:rPr>
                <w:noProof/>
                <w:lang w:val="en-GB" w:eastAsia="en-GB"/>
              </w:rPr>
              <w:drawing>
                <wp:inline distT="0" distB="0" distL="0" distR="0" wp14:anchorId="37C54FC4" wp14:editId="2791E94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6233" w:type="dxa"/>
            <w:gridSpan w:val="2"/>
            <w:tcBorders>
              <w:top w:val="single" w:sz="4" w:space="0" w:color="auto"/>
              <w:bottom w:val="single" w:sz="12" w:space="0" w:color="auto"/>
            </w:tcBorders>
          </w:tcPr>
          <w:p w14:paraId="4B3A7E7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126" w:type="dxa"/>
            <w:tcBorders>
              <w:top w:val="single" w:sz="4" w:space="0" w:color="auto"/>
              <w:bottom w:val="single" w:sz="12" w:space="0" w:color="auto"/>
            </w:tcBorders>
          </w:tcPr>
          <w:p w14:paraId="1E128DCC" w14:textId="77777777" w:rsidR="002D5AAC" w:rsidRDefault="000C3C69" w:rsidP="00660CE8">
            <w:pPr>
              <w:spacing w:before="240"/>
            </w:pPr>
            <w:proofErr w:type="spellStart"/>
            <w:r>
              <w:t>Distr</w:t>
            </w:r>
            <w:proofErr w:type="spellEnd"/>
            <w:r>
              <w:t>.</w:t>
            </w:r>
            <w:r w:rsidR="00AF4766">
              <w:t xml:space="preserve"> </w:t>
            </w:r>
            <w:r w:rsidR="005612EF">
              <w:t>general</w:t>
            </w:r>
          </w:p>
          <w:p w14:paraId="48D69A88" w14:textId="77777777" w:rsidR="001770E5" w:rsidRDefault="00D0597B" w:rsidP="000C3C69">
            <w:pPr>
              <w:spacing w:line="240" w:lineRule="exact"/>
            </w:pPr>
            <w:r>
              <w:t>23</w:t>
            </w:r>
            <w:r w:rsidR="00A3293C" w:rsidRPr="00A3293C">
              <w:t xml:space="preserve"> de diciembre de 2020</w:t>
            </w:r>
          </w:p>
          <w:p w14:paraId="6BF341EC" w14:textId="77777777" w:rsidR="00E22B71" w:rsidRDefault="00E22B71" w:rsidP="000C3C69">
            <w:pPr>
              <w:spacing w:line="240" w:lineRule="exact"/>
            </w:pPr>
          </w:p>
          <w:p w14:paraId="6E34F7DD" w14:textId="77777777" w:rsidR="00E91323" w:rsidRDefault="000C3C69" w:rsidP="00E91323">
            <w:pPr>
              <w:spacing w:line="240" w:lineRule="exact"/>
            </w:pPr>
            <w:r>
              <w:t xml:space="preserve">Original: </w:t>
            </w:r>
            <w:r w:rsidR="00E22B71">
              <w:t>e</w:t>
            </w:r>
            <w:r w:rsidR="00E91323">
              <w:t>spañol</w:t>
            </w:r>
          </w:p>
          <w:p w14:paraId="0115C051" w14:textId="77777777" w:rsidR="00071C6C" w:rsidRDefault="00071C6C" w:rsidP="000C3C69">
            <w:pPr>
              <w:spacing w:line="240" w:lineRule="exact"/>
            </w:pPr>
          </w:p>
        </w:tc>
      </w:tr>
    </w:tbl>
    <w:p w14:paraId="4A687DA1" w14:textId="77777777" w:rsidR="006F35EE" w:rsidRPr="00411A36" w:rsidRDefault="00411A36" w:rsidP="0036261E">
      <w:pPr>
        <w:spacing w:before="120"/>
        <w:rPr>
          <w:b/>
          <w:sz w:val="24"/>
          <w:szCs w:val="24"/>
        </w:rPr>
      </w:pPr>
      <w:r w:rsidRPr="00411A36">
        <w:rPr>
          <w:b/>
          <w:sz w:val="24"/>
          <w:szCs w:val="24"/>
        </w:rPr>
        <w:t>Comité de Derechos Humanos</w:t>
      </w:r>
    </w:p>
    <w:p w14:paraId="25A85445" w14:textId="77777777" w:rsidR="0097604A" w:rsidRPr="00E92F9D" w:rsidRDefault="0097604A" w:rsidP="00E4242D">
      <w:pPr>
        <w:pStyle w:val="HChG"/>
        <w:rPr>
          <w:rFonts w:eastAsia="MS Mincho"/>
        </w:rPr>
      </w:pPr>
      <w:r>
        <w:tab/>
      </w:r>
      <w:r>
        <w:tab/>
      </w:r>
      <w:r w:rsidR="00FF6012" w:rsidRPr="00E92F9D">
        <w:t>Decisión</w:t>
      </w:r>
      <w:r w:rsidR="008E7B49" w:rsidRPr="00E4242D">
        <w:t xml:space="preserve"> adoptad</w:t>
      </w:r>
      <w:r w:rsidR="00FF6012" w:rsidRPr="001F1C66">
        <w:t>a</w:t>
      </w:r>
      <w:r w:rsidR="008E7B49" w:rsidRPr="00E4242D">
        <w:t xml:space="preserve"> por el Comité </w:t>
      </w:r>
      <w:r w:rsidR="008A69F5" w:rsidRPr="00E92F9D">
        <w:t>a tenor d</w:t>
      </w:r>
      <w:r w:rsidR="008E7B49" w:rsidRPr="00E4242D">
        <w:t>el artículo 5, párrafo 4, del Protocolo Facultativo</w:t>
      </w:r>
      <w:r w:rsidR="008A69F5" w:rsidRPr="00E92F9D">
        <w:t>,</w:t>
      </w:r>
      <w:r w:rsidR="008E7B49" w:rsidRPr="00E4242D">
        <w:t xml:space="preserve"> </w:t>
      </w:r>
      <w:r w:rsidR="008A69F5" w:rsidRPr="00E92F9D">
        <w:t xml:space="preserve">respecto de </w:t>
      </w:r>
      <w:r w:rsidR="008E7B49" w:rsidRPr="00E4242D">
        <w:t>la c</w:t>
      </w:r>
      <w:r w:rsidRPr="00E92F9D">
        <w:t xml:space="preserve">omunicación núm. </w:t>
      </w:r>
      <w:r w:rsidR="008B4712" w:rsidRPr="00E92F9D">
        <w:t>2922</w:t>
      </w:r>
      <w:r w:rsidRPr="00E92F9D">
        <w:t>/2016</w:t>
      </w:r>
      <w:r w:rsidR="002A3286" w:rsidRPr="00E4242D">
        <w:rPr>
          <w:b w:val="0"/>
          <w:bCs/>
          <w:sz w:val="20"/>
        </w:rPr>
        <w:footnoteReference w:customMarkFollows="1" w:id="1"/>
        <w:t>*</w:t>
      </w:r>
      <w:r w:rsidR="008E7B49" w:rsidRPr="00283AF0">
        <w:rPr>
          <w:b w:val="0"/>
          <w:bCs/>
          <w:position w:val="6"/>
          <w:sz w:val="18"/>
        </w:rPr>
        <w:t>,</w:t>
      </w:r>
      <w:r w:rsidR="008E7B49" w:rsidRPr="00E4242D">
        <w:rPr>
          <w:b w:val="0"/>
          <w:bCs/>
          <w:sz w:val="20"/>
        </w:rPr>
        <w:t xml:space="preserve"> </w:t>
      </w:r>
      <w:r w:rsidR="002A3286" w:rsidRPr="00E4242D">
        <w:rPr>
          <w:b w:val="0"/>
          <w:bCs/>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97604A" w14:paraId="5761D37C" w14:textId="77777777" w:rsidTr="0097604A">
        <w:tc>
          <w:tcPr>
            <w:tcW w:w="2709" w:type="dxa"/>
          </w:tcPr>
          <w:p w14:paraId="45B5992F" w14:textId="77777777" w:rsidR="0097604A" w:rsidRDefault="0097604A" w:rsidP="00D42D4D">
            <w:pPr>
              <w:pStyle w:val="SingleTxtG"/>
              <w:ind w:left="0" w:right="0"/>
              <w:jc w:val="left"/>
              <w:rPr>
                <w:i/>
              </w:rPr>
            </w:pPr>
            <w:r>
              <w:rPr>
                <w:i/>
              </w:rPr>
              <w:t>Comunicación presentada por:</w:t>
            </w:r>
          </w:p>
        </w:tc>
        <w:tc>
          <w:tcPr>
            <w:tcW w:w="4096" w:type="dxa"/>
          </w:tcPr>
          <w:p w14:paraId="62C269CD" w14:textId="77777777" w:rsidR="0097604A" w:rsidRDefault="00150BE5">
            <w:pPr>
              <w:pStyle w:val="SingleTxtG"/>
              <w:ind w:left="0" w:right="0"/>
              <w:jc w:val="left"/>
            </w:pPr>
            <w:r w:rsidRPr="00150BE5">
              <w:t>J</w:t>
            </w:r>
            <w:r w:rsidR="00825491">
              <w:t>.</w:t>
            </w:r>
            <w:r w:rsidR="001F1C66">
              <w:t xml:space="preserve"> </w:t>
            </w:r>
            <w:r w:rsidRPr="00150BE5">
              <w:t>A</w:t>
            </w:r>
            <w:r w:rsidR="00825491">
              <w:t>.</w:t>
            </w:r>
            <w:r w:rsidR="001F1C66">
              <w:t xml:space="preserve"> </w:t>
            </w:r>
            <w:r w:rsidRPr="00150BE5">
              <w:t>N</w:t>
            </w:r>
            <w:r w:rsidR="00825491">
              <w:t>.</w:t>
            </w:r>
            <w:r w:rsidR="001F1C66">
              <w:t xml:space="preserve"> </w:t>
            </w:r>
            <w:r w:rsidRPr="00150BE5">
              <w:t>C</w:t>
            </w:r>
            <w:r w:rsidR="00825491">
              <w:t>.</w:t>
            </w:r>
            <w:r>
              <w:t xml:space="preserve">, </w:t>
            </w:r>
            <w:r w:rsidR="0097604A" w:rsidRPr="0097604A">
              <w:t xml:space="preserve">representado por el abogado </w:t>
            </w:r>
            <w:r w:rsidRPr="00150BE5">
              <w:t>Víctor Mosquera Marín</w:t>
            </w:r>
          </w:p>
        </w:tc>
      </w:tr>
      <w:tr w:rsidR="0097604A" w14:paraId="11521C68" w14:textId="77777777" w:rsidTr="0097604A">
        <w:tc>
          <w:tcPr>
            <w:tcW w:w="2709" w:type="dxa"/>
          </w:tcPr>
          <w:p w14:paraId="5EFB191B" w14:textId="77777777" w:rsidR="0097604A" w:rsidRDefault="0097604A" w:rsidP="00D42D4D">
            <w:pPr>
              <w:pStyle w:val="SingleTxtG"/>
              <w:ind w:left="0" w:right="0"/>
              <w:jc w:val="left"/>
              <w:rPr>
                <w:i/>
              </w:rPr>
            </w:pPr>
            <w:r>
              <w:rPr>
                <w:i/>
              </w:rPr>
              <w:t>Presunta víctima:</w:t>
            </w:r>
          </w:p>
        </w:tc>
        <w:tc>
          <w:tcPr>
            <w:tcW w:w="4096" w:type="dxa"/>
          </w:tcPr>
          <w:p w14:paraId="61FF1193" w14:textId="77777777" w:rsidR="0097604A" w:rsidRDefault="00150BE5">
            <w:pPr>
              <w:pStyle w:val="SingleTxtG"/>
              <w:ind w:left="0" w:right="0"/>
              <w:jc w:val="left"/>
            </w:pPr>
            <w:r w:rsidRPr="00150BE5">
              <w:t>J</w:t>
            </w:r>
            <w:r w:rsidR="00825491">
              <w:t>.</w:t>
            </w:r>
            <w:r w:rsidR="001F1C66">
              <w:t xml:space="preserve"> </w:t>
            </w:r>
            <w:r w:rsidRPr="00150BE5">
              <w:t>A</w:t>
            </w:r>
            <w:r w:rsidR="00825491">
              <w:t>.</w:t>
            </w:r>
            <w:r w:rsidR="001F1C66">
              <w:t xml:space="preserve"> </w:t>
            </w:r>
            <w:r w:rsidRPr="00150BE5">
              <w:t>N</w:t>
            </w:r>
            <w:r w:rsidR="00825491">
              <w:t>.</w:t>
            </w:r>
            <w:r w:rsidR="001F1C66">
              <w:t xml:space="preserve"> </w:t>
            </w:r>
            <w:r w:rsidRPr="00150BE5">
              <w:t>C</w:t>
            </w:r>
            <w:r w:rsidR="00825491">
              <w:t>.</w:t>
            </w:r>
          </w:p>
        </w:tc>
      </w:tr>
      <w:tr w:rsidR="0097604A" w14:paraId="5C592922" w14:textId="77777777" w:rsidTr="0097604A">
        <w:tc>
          <w:tcPr>
            <w:tcW w:w="2709" w:type="dxa"/>
          </w:tcPr>
          <w:p w14:paraId="161879C1" w14:textId="77777777" w:rsidR="0097604A" w:rsidRDefault="0097604A" w:rsidP="00D42D4D">
            <w:pPr>
              <w:pStyle w:val="SingleTxtG"/>
              <w:ind w:left="0" w:right="0"/>
              <w:jc w:val="left"/>
              <w:rPr>
                <w:i/>
              </w:rPr>
            </w:pPr>
            <w:r>
              <w:rPr>
                <w:i/>
              </w:rPr>
              <w:t>Estado parte:</w:t>
            </w:r>
          </w:p>
        </w:tc>
        <w:tc>
          <w:tcPr>
            <w:tcW w:w="4096" w:type="dxa"/>
          </w:tcPr>
          <w:p w14:paraId="4403AEE4" w14:textId="77777777" w:rsidR="0097604A" w:rsidRDefault="00150BE5" w:rsidP="00D42D4D">
            <w:pPr>
              <w:pStyle w:val="SingleTxtG"/>
              <w:ind w:left="0" w:right="0"/>
              <w:jc w:val="left"/>
            </w:pPr>
            <w:r>
              <w:t>Colombia</w:t>
            </w:r>
          </w:p>
        </w:tc>
      </w:tr>
      <w:tr w:rsidR="0097604A" w14:paraId="34F0A97E" w14:textId="77777777" w:rsidTr="0097604A">
        <w:tc>
          <w:tcPr>
            <w:tcW w:w="2709" w:type="dxa"/>
          </w:tcPr>
          <w:p w14:paraId="638BE20E" w14:textId="77777777" w:rsidR="0097604A" w:rsidRDefault="0097604A" w:rsidP="00D42D4D">
            <w:pPr>
              <w:pStyle w:val="SingleTxtG"/>
              <w:ind w:left="0" w:right="0"/>
              <w:jc w:val="left"/>
              <w:rPr>
                <w:i/>
              </w:rPr>
            </w:pPr>
            <w:r>
              <w:rPr>
                <w:i/>
              </w:rPr>
              <w:t>Fecha de la comunicación:</w:t>
            </w:r>
          </w:p>
        </w:tc>
        <w:tc>
          <w:tcPr>
            <w:tcW w:w="4096" w:type="dxa"/>
          </w:tcPr>
          <w:p w14:paraId="086C11B9" w14:textId="77777777" w:rsidR="0097604A" w:rsidRDefault="00150BE5" w:rsidP="00D42D4D">
            <w:pPr>
              <w:pStyle w:val="SingleTxtG"/>
              <w:ind w:left="0" w:right="0"/>
              <w:jc w:val="left"/>
            </w:pPr>
            <w:r w:rsidRPr="00150BE5">
              <w:t xml:space="preserve">1 de agosto de 2016 </w:t>
            </w:r>
            <w:r w:rsidR="0097604A" w:rsidRPr="0097604A">
              <w:t>(presentación inicial)</w:t>
            </w:r>
          </w:p>
        </w:tc>
      </w:tr>
      <w:tr w:rsidR="0097604A" w14:paraId="6E140ECD" w14:textId="77777777" w:rsidTr="0097604A">
        <w:tc>
          <w:tcPr>
            <w:tcW w:w="2709" w:type="dxa"/>
          </w:tcPr>
          <w:p w14:paraId="0FA324F6" w14:textId="77777777" w:rsidR="0097604A" w:rsidRDefault="0097604A" w:rsidP="00D42D4D">
            <w:pPr>
              <w:pStyle w:val="SingleTxtG"/>
              <w:ind w:left="0" w:right="0"/>
              <w:jc w:val="left"/>
              <w:rPr>
                <w:i/>
              </w:rPr>
            </w:pPr>
            <w:r>
              <w:rPr>
                <w:i/>
              </w:rPr>
              <w:t>Fecha de adopción</w:t>
            </w:r>
            <w:r>
              <w:rPr>
                <w:i/>
              </w:rPr>
              <w:br/>
              <w:t>de la decisión:</w:t>
            </w:r>
          </w:p>
        </w:tc>
        <w:tc>
          <w:tcPr>
            <w:tcW w:w="4096" w:type="dxa"/>
            <w:vAlign w:val="bottom"/>
          </w:tcPr>
          <w:p w14:paraId="00CDB136" w14:textId="77777777" w:rsidR="0097604A" w:rsidRDefault="00505568" w:rsidP="00505568">
            <w:pPr>
              <w:pStyle w:val="SingleTxtG"/>
              <w:ind w:left="0" w:right="0"/>
              <w:jc w:val="left"/>
            </w:pPr>
            <w:r>
              <w:t>24 de julio</w:t>
            </w:r>
            <w:r w:rsidR="0097604A">
              <w:t xml:space="preserve"> de 20</w:t>
            </w:r>
            <w:r w:rsidR="008D6010">
              <w:t xml:space="preserve">20 </w:t>
            </w:r>
          </w:p>
        </w:tc>
      </w:tr>
      <w:tr w:rsidR="0097604A" w14:paraId="13F04703" w14:textId="77777777" w:rsidTr="0097604A">
        <w:tc>
          <w:tcPr>
            <w:tcW w:w="2709" w:type="dxa"/>
          </w:tcPr>
          <w:p w14:paraId="1288B26E" w14:textId="77777777" w:rsidR="0097604A" w:rsidRDefault="0097604A" w:rsidP="00D42D4D">
            <w:pPr>
              <w:pStyle w:val="SingleTxtG"/>
              <w:ind w:left="0" w:right="0"/>
              <w:jc w:val="left"/>
              <w:rPr>
                <w:i/>
              </w:rPr>
            </w:pPr>
            <w:r>
              <w:rPr>
                <w:i/>
              </w:rPr>
              <w:t>Asunto:</w:t>
            </w:r>
          </w:p>
        </w:tc>
        <w:tc>
          <w:tcPr>
            <w:tcW w:w="4096" w:type="dxa"/>
            <w:vAlign w:val="bottom"/>
          </w:tcPr>
          <w:p w14:paraId="2131F0D1" w14:textId="77777777" w:rsidR="0097604A" w:rsidRPr="008D6010" w:rsidRDefault="00BD5795" w:rsidP="00E159A1">
            <w:pPr>
              <w:pStyle w:val="SingleTxtG"/>
              <w:ind w:left="0" w:right="0"/>
              <w:jc w:val="left"/>
              <w:rPr>
                <w:color w:val="FF0000"/>
              </w:rPr>
            </w:pPr>
            <w:r w:rsidRPr="00BD5795">
              <w:t xml:space="preserve">Condena en única instancia de </w:t>
            </w:r>
            <w:r w:rsidR="00E159A1">
              <w:t>alto funcionario</w:t>
            </w:r>
            <w:r w:rsidRPr="00BD5795">
              <w:t xml:space="preserve"> por el órgano jurisdiccional más alto</w:t>
            </w:r>
          </w:p>
        </w:tc>
      </w:tr>
      <w:tr w:rsidR="0097604A" w14:paraId="42895E43" w14:textId="77777777" w:rsidTr="0097604A">
        <w:tc>
          <w:tcPr>
            <w:tcW w:w="2709" w:type="dxa"/>
          </w:tcPr>
          <w:p w14:paraId="03E103B4" w14:textId="77777777" w:rsidR="0097604A" w:rsidRDefault="0097604A" w:rsidP="00D42D4D">
            <w:pPr>
              <w:pStyle w:val="SingleTxtG"/>
              <w:ind w:left="0" w:right="0"/>
              <w:jc w:val="left"/>
              <w:rPr>
                <w:i/>
              </w:rPr>
            </w:pPr>
            <w:r>
              <w:rPr>
                <w:i/>
              </w:rPr>
              <w:t>Cuestiones de procedimiento:</w:t>
            </w:r>
          </w:p>
        </w:tc>
        <w:tc>
          <w:tcPr>
            <w:tcW w:w="4096" w:type="dxa"/>
            <w:vAlign w:val="bottom"/>
          </w:tcPr>
          <w:p w14:paraId="6A57BA0C" w14:textId="77777777" w:rsidR="0097604A" w:rsidRPr="00A8515F" w:rsidRDefault="000767B2" w:rsidP="000767B2">
            <w:pPr>
              <w:pStyle w:val="SingleTxtG"/>
              <w:ind w:left="0" w:right="0"/>
              <w:jc w:val="left"/>
            </w:pPr>
            <w:r w:rsidRPr="00A8515F">
              <w:t xml:space="preserve">Asunto sometido a otro procedimiento de examen o arreglo internacional; </w:t>
            </w:r>
            <w:r w:rsidR="00436FA0" w:rsidRPr="00436FA0">
              <w:t>abuso del derecho a presentar una comunicación</w:t>
            </w:r>
            <w:r w:rsidR="0097604A" w:rsidRPr="00A8515F">
              <w:t>; agotamiento de los recursos internos</w:t>
            </w:r>
          </w:p>
        </w:tc>
      </w:tr>
      <w:tr w:rsidR="0097604A" w14:paraId="183B539B" w14:textId="77777777" w:rsidTr="0097604A">
        <w:tc>
          <w:tcPr>
            <w:tcW w:w="2709" w:type="dxa"/>
          </w:tcPr>
          <w:p w14:paraId="2AF20C81" w14:textId="77777777" w:rsidR="0097604A" w:rsidRDefault="0097604A" w:rsidP="00D42D4D">
            <w:pPr>
              <w:pStyle w:val="SingleTxtG"/>
              <w:ind w:left="0" w:right="0"/>
              <w:jc w:val="left"/>
              <w:rPr>
                <w:i/>
              </w:rPr>
            </w:pPr>
            <w:r>
              <w:rPr>
                <w:i/>
              </w:rPr>
              <w:t>Cuestiones de fondo:</w:t>
            </w:r>
          </w:p>
        </w:tc>
        <w:tc>
          <w:tcPr>
            <w:tcW w:w="4096" w:type="dxa"/>
            <w:vAlign w:val="bottom"/>
          </w:tcPr>
          <w:p w14:paraId="22D67460" w14:textId="77777777" w:rsidR="0097604A" w:rsidRPr="00276AD5" w:rsidRDefault="00D7096D" w:rsidP="000767B2">
            <w:pPr>
              <w:pStyle w:val="SingleTxtG"/>
              <w:ind w:left="0" w:right="0"/>
              <w:jc w:val="left"/>
            </w:pPr>
            <w:r w:rsidRPr="00D7096D">
              <w:t>Derecho al debido proceso; derecho a ser oído por un tribunal competente, independiente e imparcial;</w:t>
            </w:r>
            <w:r w:rsidR="00276AD5">
              <w:t xml:space="preserve"> </w:t>
            </w:r>
            <w:r w:rsidR="00276AD5" w:rsidRPr="00A8515F">
              <w:rPr>
                <w:lang w:eastAsia="en-US"/>
              </w:rPr>
              <w:t>derecho a la presunción de inocencia;</w:t>
            </w:r>
            <w:r w:rsidRPr="00A8515F">
              <w:t xml:space="preserve"> derecho</w:t>
            </w:r>
            <w:r w:rsidRPr="00D7096D">
              <w:t xml:space="preserve"> a que el fallo condenatorio y la pena sean revisados por un tribunal superior; igualdad ante la ley</w:t>
            </w:r>
            <w:r w:rsidR="000767B2">
              <w:t>;</w:t>
            </w:r>
            <w:r w:rsidR="000767B2" w:rsidRPr="000767B2">
              <w:t xml:space="preserve"> derecho a la libertad y a la seguridad personales</w:t>
            </w:r>
          </w:p>
        </w:tc>
      </w:tr>
      <w:tr w:rsidR="0097604A" w14:paraId="3C8F43B1" w14:textId="77777777" w:rsidTr="0097604A">
        <w:tc>
          <w:tcPr>
            <w:tcW w:w="2709" w:type="dxa"/>
          </w:tcPr>
          <w:p w14:paraId="370314C9" w14:textId="77777777" w:rsidR="0097604A" w:rsidRDefault="0097604A" w:rsidP="00D42D4D">
            <w:pPr>
              <w:pStyle w:val="SingleTxtG"/>
              <w:keepNext/>
              <w:keepLines/>
              <w:ind w:left="0" w:right="0"/>
              <w:jc w:val="left"/>
              <w:rPr>
                <w:i/>
              </w:rPr>
            </w:pPr>
            <w:r>
              <w:rPr>
                <w:i/>
              </w:rPr>
              <w:t>Artículos del Pacto:</w:t>
            </w:r>
          </w:p>
        </w:tc>
        <w:tc>
          <w:tcPr>
            <w:tcW w:w="4096" w:type="dxa"/>
            <w:vAlign w:val="bottom"/>
          </w:tcPr>
          <w:p w14:paraId="0C4134B2" w14:textId="77777777" w:rsidR="0099346B" w:rsidRDefault="0099346B" w:rsidP="0099346B">
            <w:pPr>
              <w:pStyle w:val="SingleTxtG"/>
              <w:keepNext/>
              <w:keepLines/>
              <w:ind w:left="0" w:right="0"/>
              <w:jc w:val="left"/>
            </w:pPr>
            <w:r w:rsidRPr="0099346B">
              <w:t xml:space="preserve">2; 3; 9, </w:t>
            </w:r>
            <w:r>
              <w:t>10</w:t>
            </w:r>
            <w:r w:rsidRPr="0099346B">
              <w:t xml:space="preserve">; 14, </w:t>
            </w:r>
            <w:proofErr w:type="spellStart"/>
            <w:r w:rsidRPr="0099346B">
              <w:t>párrs</w:t>
            </w:r>
            <w:proofErr w:type="spellEnd"/>
            <w:r w:rsidRPr="0099346B">
              <w:t>. 1, 2, 3 y 5; y 26</w:t>
            </w:r>
          </w:p>
        </w:tc>
      </w:tr>
      <w:tr w:rsidR="0097604A" w14:paraId="3817CF16" w14:textId="77777777" w:rsidTr="0097604A">
        <w:tc>
          <w:tcPr>
            <w:tcW w:w="2709" w:type="dxa"/>
          </w:tcPr>
          <w:p w14:paraId="5F24AB86" w14:textId="77777777" w:rsidR="0097604A" w:rsidRPr="00626B6A" w:rsidRDefault="0097604A" w:rsidP="00D42D4D">
            <w:pPr>
              <w:pStyle w:val="SingleTxtG"/>
              <w:ind w:left="0" w:right="0"/>
              <w:jc w:val="left"/>
              <w:rPr>
                <w:i/>
              </w:rPr>
            </w:pPr>
            <w:r w:rsidRPr="00626B6A">
              <w:rPr>
                <w:i/>
              </w:rPr>
              <w:t>Artículos del Protocolo</w:t>
            </w:r>
            <w:r w:rsidRPr="00626B6A">
              <w:rPr>
                <w:i/>
              </w:rPr>
              <w:br/>
              <w:t>Facultativo:</w:t>
            </w:r>
          </w:p>
        </w:tc>
        <w:tc>
          <w:tcPr>
            <w:tcW w:w="4096" w:type="dxa"/>
            <w:vAlign w:val="bottom"/>
          </w:tcPr>
          <w:p w14:paraId="1CD525CC" w14:textId="77777777" w:rsidR="0097604A" w:rsidRPr="00626B6A" w:rsidRDefault="00626B6A" w:rsidP="00626B6A">
            <w:pPr>
              <w:pStyle w:val="SingleTxtG"/>
              <w:ind w:left="0" w:right="0"/>
              <w:jc w:val="left"/>
            </w:pPr>
            <w:r w:rsidRPr="00626B6A">
              <w:t>2, 3</w:t>
            </w:r>
            <w:r w:rsidR="0097604A" w:rsidRPr="00626B6A">
              <w:t xml:space="preserve"> y 5, párr. 2</w:t>
            </w:r>
            <w:r w:rsidR="00FF09FA">
              <w:t xml:space="preserve">, </w:t>
            </w:r>
            <w:proofErr w:type="spellStart"/>
            <w:r w:rsidR="00FF09FA">
              <w:t>apdos</w:t>
            </w:r>
            <w:proofErr w:type="spellEnd"/>
            <w:r w:rsidR="00FF09FA">
              <w:t>.</w:t>
            </w:r>
            <w:r w:rsidR="0097604A" w:rsidRPr="00626B6A">
              <w:t xml:space="preserve"> </w:t>
            </w:r>
            <w:r w:rsidRPr="00626B6A">
              <w:t>a</w:t>
            </w:r>
            <w:r w:rsidR="00FF09FA">
              <w:t>)</w:t>
            </w:r>
            <w:r w:rsidRPr="00626B6A">
              <w:t xml:space="preserve"> y </w:t>
            </w:r>
            <w:r w:rsidR="0097604A" w:rsidRPr="00626B6A">
              <w:t>b)</w:t>
            </w:r>
          </w:p>
        </w:tc>
      </w:tr>
    </w:tbl>
    <w:p w14:paraId="04705FE1" w14:textId="77777777" w:rsidR="0097604A" w:rsidRDefault="0097604A">
      <w:pPr>
        <w:pStyle w:val="SingleTxtG"/>
        <w:spacing w:before="240"/>
      </w:pPr>
      <w:r w:rsidRPr="00817C06">
        <w:t>1.1</w:t>
      </w:r>
      <w:r w:rsidRPr="00817C06">
        <w:tab/>
      </w:r>
      <w:r w:rsidR="00555452">
        <w:t>El autor</w:t>
      </w:r>
      <w:r w:rsidRPr="00817C06">
        <w:t xml:space="preserve"> de la comunicación es </w:t>
      </w:r>
      <w:r w:rsidR="00555452" w:rsidRPr="00555452">
        <w:t>J</w:t>
      </w:r>
      <w:r w:rsidR="00825491">
        <w:t>.</w:t>
      </w:r>
      <w:r w:rsidR="00AF693D">
        <w:t xml:space="preserve"> </w:t>
      </w:r>
      <w:r w:rsidR="00555452" w:rsidRPr="00555452">
        <w:t>A</w:t>
      </w:r>
      <w:r w:rsidR="00825491">
        <w:t>.</w:t>
      </w:r>
      <w:r w:rsidR="00AF693D">
        <w:t xml:space="preserve"> </w:t>
      </w:r>
      <w:r w:rsidR="00555452" w:rsidRPr="00555452">
        <w:t>N</w:t>
      </w:r>
      <w:r w:rsidR="00825491">
        <w:t>.</w:t>
      </w:r>
      <w:r w:rsidR="00AF693D">
        <w:t xml:space="preserve"> </w:t>
      </w:r>
      <w:r w:rsidR="00555452" w:rsidRPr="00555452">
        <w:t>C</w:t>
      </w:r>
      <w:r w:rsidR="00825491">
        <w:t>.</w:t>
      </w:r>
      <w:r w:rsidRPr="00817C06">
        <w:t xml:space="preserve">, </w:t>
      </w:r>
      <w:r w:rsidR="0046637D">
        <w:t>colombiano</w:t>
      </w:r>
      <w:r w:rsidRPr="00817C06">
        <w:t xml:space="preserve">, </w:t>
      </w:r>
      <w:r w:rsidRPr="003F7344">
        <w:t>nacid</w:t>
      </w:r>
      <w:r w:rsidR="00555452" w:rsidRPr="003F7344">
        <w:t>o</w:t>
      </w:r>
      <w:r w:rsidR="003F7344" w:rsidRPr="003F7344">
        <w:t xml:space="preserve"> el 25 de septiembre de 1963</w:t>
      </w:r>
      <w:r w:rsidRPr="003F7344">
        <w:t xml:space="preserve">. </w:t>
      </w:r>
      <w:r w:rsidR="00DE4098" w:rsidRPr="00DE4098">
        <w:t xml:space="preserve">Alega ser víctima de una violación por el Estado parte de sus derechos contenidos </w:t>
      </w:r>
      <w:r w:rsidR="00DE4098" w:rsidRPr="00DE4098">
        <w:lastRenderedPageBreak/>
        <w:t xml:space="preserve">en los artículos </w:t>
      </w:r>
      <w:r w:rsidR="002367C2">
        <w:t>2; 3; 9, 10; 14, párrafos</w:t>
      </w:r>
      <w:r w:rsidR="002367C2" w:rsidRPr="002367C2">
        <w:t xml:space="preserve"> 1, 2, 3 y 5; y 26</w:t>
      </w:r>
      <w:r w:rsidR="002367C2">
        <w:t xml:space="preserve"> </w:t>
      </w:r>
      <w:r w:rsidRPr="00817C06">
        <w:t>del Pacto. El Protocolo Facultativo entró en vigor para</w:t>
      </w:r>
      <w:r w:rsidR="001E7EDC">
        <w:t xml:space="preserve"> </w:t>
      </w:r>
      <w:r w:rsidR="00FA7058">
        <w:t>Colombia</w:t>
      </w:r>
      <w:r w:rsidRPr="00817C06">
        <w:t xml:space="preserve"> </w:t>
      </w:r>
      <w:r w:rsidR="00F51461" w:rsidRPr="00F51461">
        <w:t>el 23 de marzo de 1976</w:t>
      </w:r>
      <w:r w:rsidR="00F51461">
        <w:t>.</w:t>
      </w:r>
      <w:r w:rsidR="00F51461" w:rsidRPr="00F51461">
        <w:t xml:space="preserve"> </w:t>
      </w:r>
      <w:r w:rsidR="00FA7058">
        <w:t>El autor</w:t>
      </w:r>
      <w:r w:rsidRPr="00817C06">
        <w:t xml:space="preserve"> está representad</w:t>
      </w:r>
      <w:r w:rsidR="00FA7058">
        <w:t>o</w:t>
      </w:r>
      <w:r w:rsidRPr="00817C06">
        <w:t xml:space="preserve"> por abogado.</w:t>
      </w:r>
      <w:r w:rsidR="001E7EDC">
        <w:t xml:space="preserve"> </w:t>
      </w:r>
      <w:r w:rsidR="003B2B92">
        <w:t xml:space="preserve"> </w:t>
      </w:r>
    </w:p>
    <w:p w14:paraId="661AE8E4" w14:textId="77777777" w:rsidR="000F7F61" w:rsidRDefault="000F7F61" w:rsidP="000F7F61">
      <w:pPr>
        <w:pStyle w:val="SingleTxtG"/>
      </w:pPr>
      <w:r>
        <w:t>1.2</w:t>
      </w:r>
      <w:r>
        <w:tab/>
        <w:t xml:space="preserve">El 21 de diciembre de 2017, el Comité, por conducto de su Relator Especial sobre nuevas comunicaciones y medidas provisionales, </w:t>
      </w:r>
      <w:r>
        <w:rPr>
          <w:lang w:val="es-ES_tradnl"/>
        </w:rPr>
        <w:t>decidió no otorgar medidas provisionales a favor del autor, de conformidad con el artículo 9</w:t>
      </w:r>
      <w:r w:rsidR="00217348">
        <w:rPr>
          <w:lang w:val="es-ES_tradnl"/>
        </w:rPr>
        <w:t>4</w:t>
      </w:r>
      <w:r>
        <w:rPr>
          <w:lang w:val="es-ES_tradnl"/>
        </w:rPr>
        <w:t xml:space="preserve"> del reglamento del Comité</w:t>
      </w:r>
      <w:r w:rsidR="001E1421" w:rsidRPr="00E4242D">
        <w:rPr>
          <w:rStyle w:val="Refdenotaalpie"/>
          <w:szCs w:val="18"/>
          <w:lang w:val="es-ES_tradnl"/>
        </w:rPr>
        <w:footnoteReference w:id="3"/>
      </w:r>
      <w:r>
        <w:rPr>
          <w:lang w:val="es-ES_tradnl"/>
        </w:rPr>
        <w:t>.</w:t>
      </w:r>
    </w:p>
    <w:p w14:paraId="31656ED6" w14:textId="77777777" w:rsidR="0097604A" w:rsidRPr="00817C06" w:rsidRDefault="00555452" w:rsidP="007B0679">
      <w:pPr>
        <w:pStyle w:val="H23G"/>
        <w:rPr>
          <w:rFonts w:eastAsia="SimSun"/>
        </w:rPr>
      </w:pPr>
      <w:r>
        <w:tab/>
      </w:r>
      <w:r>
        <w:tab/>
      </w:r>
      <w:r w:rsidR="0097604A" w:rsidRPr="00817C06">
        <w:t xml:space="preserve">Los hechos expuestos por </w:t>
      </w:r>
      <w:r w:rsidR="005E32E9">
        <w:t>el</w:t>
      </w:r>
      <w:r w:rsidR="0097604A" w:rsidRPr="00817C06">
        <w:t xml:space="preserve"> autor</w:t>
      </w:r>
    </w:p>
    <w:p w14:paraId="1B59D2D3" w14:textId="77777777" w:rsidR="00BF2903" w:rsidRPr="00BF2903" w:rsidRDefault="00BF2903" w:rsidP="00BF2903">
      <w:pPr>
        <w:pStyle w:val="SingleTxtG"/>
      </w:pPr>
      <w:r w:rsidRPr="00BF2903">
        <w:t>2.1</w:t>
      </w:r>
      <w:r w:rsidRPr="00BF2903">
        <w:tab/>
        <w:t xml:space="preserve">Desde el 16 de agosto de 2002 hasta el 25 de octubre de 2005, el autor desempeñó el cargo de </w:t>
      </w:r>
      <w:r w:rsidR="00AF4766">
        <w:t>d</w:t>
      </w:r>
      <w:r w:rsidRPr="00BF2903">
        <w:t xml:space="preserve">irector del Departamento Administrativo de Seguridad. </w:t>
      </w:r>
    </w:p>
    <w:p w14:paraId="5FF99C47" w14:textId="77777777" w:rsidR="00BF2903" w:rsidRPr="00BF2903" w:rsidRDefault="00BF2903" w:rsidP="00BF2903">
      <w:pPr>
        <w:pStyle w:val="SingleTxtG"/>
      </w:pPr>
      <w:r w:rsidRPr="00BF2903">
        <w:t>2.2</w:t>
      </w:r>
      <w:r w:rsidRPr="00BF2903">
        <w:tab/>
        <w:t xml:space="preserve">A finales de 2004, el autor fue informado por funcionarios del </w:t>
      </w:r>
      <w:r w:rsidR="007257A6" w:rsidRPr="00BF2903">
        <w:t xml:space="preserve">Departamento Administrativo de Seguridad </w:t>
      </w:r>
      <w:r w:rsidRPr="00BF2903">
        <w:t xml:space="preserve">de que </w:t>
      </w:r>
      <w:r w:rsidR="00B03EC7">
        <w:t>R.</w:t>
      </w:r>
      <w:r w:rsidR="000749A2">
        <w:t xml:space="preserve"> </w:t>
      </w:r>
      <w:r w:rsidR="00B03EC7">
        <w:t>G.</w:t>
      </w:r>
      <w:r w:rsidRPr="00BF2903">
        <w:t xml:space="preserve">, </w:t>
      </w:r>
      <w:r w:rsidR="00AF4766">
        <w:t>j</w:t>
      </w:r>
      <w:r w:rsidRPr="00BF2903">
        <w:t xml:space="preserve">efe de </w:t>
      </w:r>
      <w:r w:rsidR="00AF4766">
        <w:t>i</w:t>
      </w:r>
      <w:r w:rsidRPr="00BF2903">
        <w:t>nformática del D</w:t>
      </w:r>
      <w:r w:rsidR="00797C09">
        <w:t>epartamento</w:t>
      </w:r>
      <w:r w:rsidRPr="00BF2903">
        <w:t>, estaba dando instrucciones irregulares que amenazaban la seguridad nacional y que se podía</w:t>
      </w:r>
      <w:r w:rsidR="00AF4766">
        <w:t>n</w:t>
      </w:r>
      <w:r w:rsidRPr="00BF2903">
        <w:t xml:space="preserve"> tipificar como delitos. Por consiguiente, el autor denunció el hecho ante la Fiscalía y conformó un equipo para que </w:t>
      </w:r>
      <w:r w:rsidR="007962ED">
        <w:t xml:space="preserve">la </w:t>
      </w:r>
      <w:r w:rsidRPr="00BF2903">
        <w:t xml:space="preserve">apoyara en sus labores de investigación. Una vez </w:t>
      </w:r>
      <w:r w:rsidR="007962ED">
        <w:t xml:space="preserve">que </w:t>
      </w:r>
      <w:r w:rsidRPr="00BF2903">
        <w:t xml:space="preserve">la Fiscalía recaudó suficiente material probatorio, </w:t>
      </w:r>
      <w:r w:rsidR="00B03EC7">
        <w:t>R.</w:t>
      </w:r>
      <w:r w:rsidR="000749A2">
        <w:t xml:space="preserve"> </w:t>
      </w:r>
      <w:r w:rsidR="00B03EC7">
        <w:t xml:space="preserve">G. </w:t>
      </w:r>
      <w:r w:rsidRPr="00BF2903">
        <w:t>fue detenido por la presunta comisión de los delitos de lavado de activos, en concurso con enriquecimiento ilícito de servidor público, concierto para delinquir, falsedad material en documento público, destrucción, supresión u ocultamiento de documento público y fraude procesal.</w:t>
      </w:r>
    </w:p>
    <w:p w14:paraId="05ED2F68" w14:textId="77777777" w:rsidR="00BF2903" w:rsidRPr="00BF2903" w:rsidRDefault="00BF2903" w:rsidP="00BF2903">
      <w:pPr>
        <w:pStyle w:val="SingleTxtG"/>
      </w:pPr>
      <w:r w:rsidRPr="00BF2903">
        <w:t>2.3</w:t>
      </w:r>
      <w:r w:rsidRPr="00BF2903">
        <w:tab/>
        <w:t xml:space="preserve">El 13 de octubre de 2005, </w:t>
      </w:r>
      <w:r w:rsidR="009A030D">
        <w:t>R.</w:t>
      </w:r>
      <w:r w:rsidR="000749A2">
        <w:t xml:space="preserve"> </w:t>
      </w:r>
      <w:r w:rsidR="009A030D">
        <w:t xml:space="preserve">G. </w:t>
      </w:r>
      <w:r w:rsidR="00E742CD">
        <w:t>en retaliación contra el autor, le</w:t>
      </w:r>
      <w:r w:rsidRPr="00BF2903">
        <w:t xml:space="preserve"> acusó de haber puesto al </w:t>
      </w:r>
      <w:r w:rsidR="00B91C08" w:rsidRPr="00BF2903">
        <w:t xml:space="preserve">Departamento Administrativo de Seguridad </w:t>
      </w:r>
      <w:r w:rsidRPr="00BF2903">
        <w:t>al servicio del grupo criminal denominado el Bloque Norte de las Autodefensas Unidas de Colombia.</w:t>
      </w:r>
      <w:r w:rsidR="00CE37E7">
        <w:t xml:space="preserve"> A</w:t>
      </w:r>
      <w:r w:rsidRPr="00BF2903">
        <w:t xml:space="preserve">nte la falta de pruebas, la Fiscalía </w:t>
      </w:r>
      <w:r w:rsidR="00CE37E7">
        <w:t xml:space="preserve">decidió </w:t>
      </w:r>
      <w:r w:rsidRPr="00BF2903">
        <w:t>no abri</w:t>
      </w:r>
      <w:r w:rsidR="00CE37E7">
        <w:t>r ninguna</w:t>
      </w:r>
      <w:r w:rsidRPr="00BF2903">
        <w:t xml:space="preserve"> investigación preliminar. </w:t>
      </w:r>
      <w:r w:rsidR="00CE37E7">
        <w:t>E</w:t>
      </w:r>
      <w:r w:rsidRPr="00BF2903">
        <w:t xml:space="preserve">l 13 de diciembre de 2005, </w:t>
      </w:r>
      <w:r w:rsidR="00B03EC7">
        <w:t>R.</w:t>
      </w:r>
      <w:r w:rsidR="000749A2">
        <w:t xml:space="preserve"> </w:t>
      </w:r>
      <w:r w:rsidR="00B03EC7">
        <w:t>G.</w:t>
      </w:r>
      <w:r w:rsidRPr="00BF2903">
        <w:t xml:space="preserve"> </w:t>
      </w:r>
      <w:r w:rsidR="00CE37E7">
        <w:t>volvió a acusar</w:t>
      </w:r>
      <w:r w:rsidRPr="00BF2903">
        <w:t xml:space="preserve"> al autor de nuevos actos criminales como asesinatos de periodistas, activistas de derechos humanos y líderes sindicales. Tales acusaciones llegaron a ser conocidas por acti</w:t>
      </w:r>
      <w:r w:rsidR="00D0305D">
        <w:t xml:space="preserve">vistas de derechos humanos, por los </w:t>
      </w:r>
      <w:r w:rsidRPr="00BF2903">
        <w:t xml:space="preserve">principales líderes de la oposición del gobierno del entonces </w:t>
      </w:r>
      <w:proofErr w:type="gramStart"/>
      <w:r w:rsidRPr="00BF2903">
        <w:t>Presidente</w:t>
      </w:r>
      <w:proofErr w:type="gramEnd"/>
      <w:r w:rsidRPr="00BF2903">
        <w:t xml:space="preserve"> Uribe y</w:t>
      </w:r>
      <w:r w:rsidR="0062429E">
        <w:t xml:space="preserve"> por</w:t>
      </w:r>
      <w:r w:rsidRPr="00BF2903">
        <w:t xml:space="preserve"> los medios de comunicación, comenzando así a principios de 2006 un </w:t>
      </w:r>
      <w:r w:rsidR="00CF10B7" w:rsidRPr="00F57364">
        <w:t>“</w:t>
      </w:r>
      <w:r w:rsidRPr="00BF2903">
        <w:t>escándalo mediático</w:t>
      </w:r>
      <w:r w:rsidR="00CF10B7">
        <w:t>”</w:t>
      </w:r>
      <w:r w:rsidRPr="00BF2903">
        <w:t xml:space="preserve">. </w:t>
      </w:r>
      <w:r w:rsidR="0062429E" w:rsidRPr="0062429E">
        <w:t>El autor afirma que durante más de dos semanas consecutivas los medios de comunicación de Colombia se hicieron eco de las acusaciones de</w:t>
      </w:r>
      <w:r w:rsidR="007962ED">
        <w:t xml:space="preserve"> </w:t>
      </w:r>
      <w:r w:rsidR="00B03EC7">
        <w:t>R.</w:t>
      </w:r>
      <w:r w:rsidR="000749A2">
        <w:t xml:space="preserve"> </w:t>
      </w:r>
      <w:r w:rsidR="00B03EC7">
        <w:t>G.</w:t>
      </w:r>
      <w:r w:rsidR="0062429E" w:rsidRPr="0062429E">
        <w:t xml:space="preserve">, </w:t>
      </w:r>
      <w:r w:rsidR="007962ED">
        <w:t xml:space="preserve">que apareció </w:t>
      </w:r>
      <w:r w:rsidR="0062429E" w:rsidRPr="0062429E">
        <w:t>en portadas de revistas, periódicos, programas de radio y televisión, encuestas y columnas de opinión.</w:t>
      </w:r>
      <w:r w:rsidR="00B03EC7">
        <w:t xml:space="preserve"> </w:t>
      </w:r>
    </w:p>
    <w:p w14:paraId="77405390" w14:textId="77777777" w:rsidR="00BF2903" w:rsidRPr="00BF2903" w:rsidRDefault="00BF2903" w:rsidP="00BF2903">
      <w:pPr>
        <w:pStyle w:val="SingleTxtG"/>
      </w:pPr>
      <w:r w:rsidRPr="00BF2903">
        <w:t>2.4</w:t>
      </w:r>
      <w:r w:rsidRPr="00BF2903">
        <w:tab/>
        <w:t xml:space="preserve">El 17 de abril de 2006, el Fiscal General de la Nación </w:t>
      </w:r>
      <w:r w:rsidR="00337E09">
        <w:t>orden</w:t>
      </w:r>
      <w:r w:rsidR="00337E09" w:rsidRPr="00337E09">
        <w:t>ó</w:t>
      </w:r>
      <w:r w:rsidRPr="00BF2903">
        <w:t xml:space="preserve"> la apertura de una investigación previa y </w:t>
      </w:r>
      <w:r w:rsidR="003A6899">
        <w:t xml:space="preserve">la </w:t>
      </w:r>
      <w:r w:rsidRPr="00BF2903">
        <w:t>práctica de pruebas</w:t>
      </w:r>
      <w:r w:rsidR="00337E09">
        <w:rPr>
          <w:vertAlign w:val="superscript"/>
        </w:rPr>
        <w:t xml:space="preserve"> </w:t>
      </w:r>
      <w:r w:rsidR="003A6899">
        <w:t>co</w:t>
      </w:r>
      <w:r w:rsidRPr="00BF2903">
        <w:t xml:space="preserve">n </w:t>
      </w:r>
      <w:r w:rsidR="00337E09">
        <w:t xml:space="preserve">relación a las acusaciones que versaban sobre </w:t>
      </w:r>
      <w:r w:rsidRPr="00BF2903">
        <w:t xml:space="preserve">el autor. </w:t>
      </w:r>
      <w:r w:rsidR="00337E09" w:rsidRPr="00337E09">
        <w:t xml:space="preserve">El autor sostiene que la Fiscalía, al abrir la investigación, </w:t>
      </w:r>
      <w:r w:rsidR="003A6899">
        <w:t>“</w:t>
      </w:r>
      <w:r w:rsidR="00337E09" w:rsidRPr="00337E09">
        <w:t xml:space="preserve">cedió a las presiones </w:t>
      </w:r>
      <w:r w:rsidR="00337E09">
        <w:t xml:space="preserve">de la prensa para que mostrara </w:t>
      </w:r>
      <w:r w:rsidR="00337E09" w:rsidRPr="00337E09">
        <w:t>su independencia del Gobierno</w:t>
      </w:r>
      <w:r w:rsidR="003A6899">
        <w:t>”</w:t>
      </w:r>
      <w:r w:rsidR="00337E09" w:rsidRPr="00337E09">
        <w:t>.</w:t>
      </w:r>
      <w:r w:rsidR="00337E09">
        <w:t xml:space="preserve"> </w:t>
      </w:r>
      <w:r w:rsidRPr="00BF2903">
        <w:t xml:space="preserve">El 19 de mayo de 2006, el Fiscal General delegó la sustanciación penal en el Fiscal Delegado Segundo ante la Corte Suprema de Justicia, </w:t>
      </w:r>
      <w:r w:rsidR="006D70AF">
        <w:t>J.</w:t>
      </w:r>
      <w:r w:rsidR="000749A2">
        <w:t xml:space="preserve"> </w:t>
      </w:r>
      <w:r w:rsidR="006D70AF">
        <w:t>A.</w:t>
      </w:r>
      <w:r w:rsidR="000749A2">
        <w:t xml:space="preserve"> </w:t>
      </w:r>
      <w:r w:rsidR="006D70AF">
        <w:t>M.</w:t>
      </w:r>
      <w:r w:rsidR="000749A2">
        <w:t xml:space="preserve"> </w:t>
      </w:r>
      <w:r w:rsidR="006D70AF">
        <w:t>R.</w:t>
      </w:r>
      <w:r w:rsidRPr="00BF2903">
        <w:t xml:space="preserve"> El 1 de junio de 2006, el Fiscal Delegado Segundo comisionó a la </w:t>
      </w:r>
      <w:r w:rsidR="007962ED">
        <w:t>F</w:t>
      </w:r>
      <w:r w:rsidRPr="00BF2903">
        <w:t xml:space="preserve">iscal </w:t>
      </w:r>
      <w:r w:rsidR="00017DF2">
        <w:t>A</w:t>
      </w:r>
      <w:r w:rsidRPr="00BF2903">
        <w:t xml:space="preserve">uxiliar, </w:t>
      </w:r>
      <w:r w:rsidR="00E33D37">
        <w:t>M.</w:t>
      </w:r>
      <w:r w:rsidR="000749A2">
        <w:t xml:space="preserve"> </w:t>
      </w:r>
      <w:r w:rsidR="00E33D37">
        <w:t>L.</w:t>
      </w:r>
      <w:r w:rsidR="000749A2">
        <w:t xml:space="preserve"> </w:t>
      </w:r>
      <w:r w:rsidR="00E33D37">
        <w:t>S.</w:t>
      </w:r>
      <w:r w:rsidRPr="00BF2903">
        <w:t>, para que practicase pruebas</w:t>
      </w:r>
      <w:r w:rsidR="00B91C08">
        <w:t xml:space="preserve"> </w:t>
      </w:r>
      <w:r w:rsidRPr="00BF2903">
        <w:t>recib</w:t>
      </w:r>
      <w:r w:rsidR="005519BC">
        <w:t xml:space="preserve">iera testimonios, </w:t>
      </w:r>
      <w:r w:rsidRPr="00BF2903">
        <w:t>declaraciones y diligencias de inspección.</w:t>
      </w:r>
      <w:r w:rsidR="00337E09">
        <w:t xml:space="preserve"> </w:t>
      </w:r>
    </w:p>
    <w:p w14:paraId="79D2B0A6" w14:textId="77777777" w:rsidR="00BF2903" w:rsidRPr="00BF2903" w:rsidRDefault="00BF2903" w:rsidP="00BF2903">
      <w:pPr>
        <w:pStyle w:val="SingleTxtG"/>
      </w:pPr>
      <w:r w:rsidRPr="00BF2903">
        <w:t>2.5</w:t>
      </w:r>
      <w:r w:rsidRPr="00BF2903">
        <w:tab/>
        <w:t xml:space="preserve">El 20 de octubre de 2006, tras haber confesado y aceptado los delitos que se le imputaban, </w:t>
      </w:r>
      <w:r w:rsidR="00342757">
        <w:t>R.</w:t>
      </w:r>
      <w:r w:rsidR="000749A2">
        <w:t xml:space="preserve"> </w:t>
      </w:r>
      <w:r w:rsidR="00342757">
        <w:t>G.</w:t>
      </w:r>
      <w:r w:rsidRPr="00BF2903">
        <w:t xml:space="preserve"> fue condenado a </w:t>
      </w:r>
      <w:r w:rsidR="007962ED">
        <w:t xml:space="preserve">18 </w:t>
      </w:r>
      <w:r w:rsidRPr="00BF2903">
        <w:t>años de prisión.</w:t>
      </w:r>
    </w:p>
    <w:p w14:paraId="22CFBB87" w14:textId="77777777" w:rsidR="0073164D" w:rsidRDefault="00BF2903" w:rsidP="00BF2903">
      <w:pPr>
        <w:pStyle w:val="SingleTxtG"/>
      </w:pPr>
      <w:r w:rsidRPr="00BF2903">
        <w:t>2.6</w:t>
      </w:r>
      <w:r w:rsidRPr="00BF2903">
        <w:tab/>
        <w:t xml:space="preserve">El 22 de enero de 2007, el Fiscal Delegado Segundo, tras analizar el material probatorio, profirió la apertura de instrucción de conformidad con el artículo 331 del </w:t>
      </w:r>
      <w:r w:rsidR="003A6899">
        <w:t>C</w:t>
      </w:r>
      <w:r w:rsidRPr="00BF2903">
        <w:t xml:space="preserve">ódigo de </w:t>
      </w:r>
      <w:r w:rsidR="003A6899">
        <w:t>P</w:t>
      </w:r>
      <w:r w:rsidRPr="00BF2903">
        <w:t xml:space="preserve">rocedimiento </w:t>
      </w:r>
      <w:r w:rsidR="003A6899">
        <w:t>P</w:t>
      </w:r>
      <w:r w:rsidRPr="001C0BC2">
        <w:t xml:space="preserve">enal </w:t>
      </w:r>
      <w:r w:rsidR="00D41819">
        <w:t>(L</w:t>
      </w:r>
      <w:r w:rsidRPr="001C0BC2">
        <w:t>ey 600 de 2000</w:t>
      </w:r>
      <w:r w:rsidR="00D41819">
        <w:t>)</w:t>
      </w:r>
      <w:r w:rsidRPr="001C0BC2">
        <w:t>, con el propósito de</w:t>
      </w:r>
      <w:r w:rsidRPr="00BF2903">
        <w:t xml:space="preserve"> establecer la posible incursión del autor en delitos contra la vida, la integridad personal y la seguridad pública</w:t>
      </w:r>
      <w:r w:rsidR="00BA7EFE" w:rsidRPr="00E4242D">
        <w:rPr>
          <w:sz w:val="18"/>
          <w:szCs w:val="18"/>
          <w:vertAlign w:val="superscript"/>
        </w:rPr>
        <w:footnoteReference w:id="4"/>
      </w:r>
      <w:r w:rsidRPr="00BF2903">
        <w:t xml:space="preserve">.  </w:t>
      </w:r>
    </w:p>
    <w:p w14:paraId="165A0130" w14:textId="77777777" w:rsidR="00BF2903" w:rsidRPr="00BF2903" w:rsidRDefault="00E22B71" w:rsidP="00BF2903">
      <w:pPr>
        <w:pStyle w:val="SingleTxtG"/>
      </w:pPr>
      <w:r>
        <w:lastRenderedPageBreak/>
        <w:t>2.7</w:t>
      </w:r>
      <w:r>
        <w:tab/>
      </w:r>
      <w:r w:rsidR="00BF2903" w:rsidRPr="00BF2903">
        <w:t>El 2</w:t>
      </w:r>
      <w:r w:rsidR="006D0CFC">
        <w:t>7</w:t>
      </w:r>
      <w:r w:rsidR="00BF2903" w:rsidRPr="00BF2903">
        <w:t xml:space="preserve"> de febrero de 2007, el Fiscal Delegado Segundo despachó una orden de</w:t>
      </w:r>
      <w:r w:rsidR="002679CD">
        <w:t xml:space="preserve"> prisión preventiva</w:t>
      </w:r>
      <w:r w:rsidR="00BF2903" w:rsidRPr="00BF2903">
        <w:t xml:space="preserve"> contra el autor, solicitando que su reclusión fuese en una celda de máxima seguridad a efectos de </w:t>
      </w:r>
      <w:r w:rsidR="00EA44E7">
        <w:t>garantizar</w:t>
      </w:r>
      <w:r w:rsidR="00BF2903" w:rsidRPr="00BF2903">
        <w:t xml:space="preserve"> su seguridad por haber ejercido un alto cargo</w:t>
      </w:r>
      <w:r w:rsidR="00194D1F" w:rsidRPr="00E4242D">
        <w:rPr>
          <w:sz w:val="18"/>
          <w:szCs w:val="18"/>
          <w:vertAlign w:val="superscript"/>
          <w:lang w:val="en-GB"/>
        </w:rPr>
        <w:footnoteReference w:id="5"/>
      </w:r>
      <w:r w:rsidR="00194D1F" w:rsidRPr="00450DAD">
        <w:t>.</w:t>
      </w:r>
      <w:r w:rsidR="00EA44E7" w:rsidRPr="00EA44E7">
        <w:t xml:space="preserve"> El 23 de diciembre de 2008, el autor fue trasladado al centro penitenciario </w:t>
      </w:r>
      <w:r w:rsidR="006F67E4">
        <w:t>L</w:t>
      </w:r>
      <w:r w:rsidR="00EA44E7" w:rsidRPr="00EA44E7">
        <w:t>a Picota en Bogotá.</w:t>
      </w:r>
    </w:p>
    <w:p w14:paraId="15EC4B6F" w14:textId="77777777" w:rsidR="00BF2903" w:rsidRPr="00BF2903" w:rsidRDefault="00BF2903" w:rsidP="00BF2903">
      <w:pPr>
        <w:pStyle w:val="SingleTxtG"/>
      </w:pPr>
      <w:r w:rsidRPr="00BF2903">
        <w:t>2.8</w:t>
      </w:r>
      <w:r w:rsidRPr="00BF2903">
        <w:tab/>
        <w:t>El 6 de mayo de 2009, el Fiscal General de la Nación profirió contra el autor resolución de acusación como presunto coautor de los delitos de concierto para delinquir agravado, homicidio agravado, utilización de asunto sometido a reserva, destrucción, supresión u ocultamiento de documento público y por los delitos de abuso de autoridad por acto arbitrario e injusto, concusión y cohecho.</w:t>
      </w:r>
    </w:p>
    <w:p w14:paraId="25168F42" w14:textId="77777777" w:rsidR="00BF2903" w:rsidRPr="00BF2903" w:rsidRDefault="00E22B71" w:rsidP="00BF2903">
      <w:pPr>
        <w:pStyle w:val="SingleTxtG"/>
      </w:pPr>
      <w:r>
        <w:t>2.9</w:t>
      </w:r>
      <w:r w:rsidR="00BF2903" w:rsidRPr="00BF2903">
        <w:tab/>
        <w:t xml:space="preserve">El 14 de septiembre de 2011, la Sala de Casación Penal de la Corte Suprema de Justicia, en única instancia, declaró al autor de la comunicación penalmente responsable como “autor del concierto para delinquir agravado, autor mediato de homicidio, autor mediato del ilícito de destrucción, supresión u ocultamiento de documento público y autor de revelación de asunto secreto” y le condenó a una pena privativa de libertad de </w:t>
      </w:r>
      <w:r w:rsidR="008C3CBC">
        <w:t xml:space="preserve">25 </w:t>
      </w:r>
      <w:r w:rsidR="00BF2903" w:rsidRPr="00BF2903">
        <w:t xml:space="preserve">años, una multa de </w:t>
      </w:r>
      <w:r w:rsidR="008C3CBC">
        <w:t xml:space="preserve">6.510 </w:t>
      </w:r>
      <w:r w:rsidR="00BF2903" w:rsidRPr="00BF2903">
        <w:t xml:space="preserve">salarios mínimos legales e inhabilitación para el ejercicio de derechos y funciones públicas durante </w:t>
      </w:r>
      <w:r w:rsidR="008C3CBC">
        <w:t xml:space="preserve">20 </w:t>
      </w:r>
      <w:r w:rsidR="00BF2903" w:rsidRPr="00BF2903">
        <w:t xml:space="preserve">años.  </w:t>
      </w:r>
    </w:p>
    <w:p w14:paraId="6D8297B6" w14:textId="77777777" w:rsidR="00637C1A" w:rsidRDefault="00E22B71" w:rsidP="00BF2903">
      <w:pPr>
        <w:pStyle w:val="SingleTxtG"/>
      </w:pPr>
      <w:r>
        <w:t>2.10</w:t>
      </w:r>
      <w:r>
        <w:tab/>
      </w:r>
      <w:r w:rsidR="00BF2903" w:rsidRPr="00BF2903">
        <w:t>El autor alega que los recursos internos se encuentran agotados ya que no procede recurso alguno contra la sentencia condenatoria en única instancia de la Sala Penal de la Corte Suprema de Justicia</w:t>
      </w:r>
      <w:r w:rsidR="00A2740F">
        <w:t xml:space="preserve">, como se manifiesta en la propia sentencia condenatoria </w:t>
      </w:r>
      <w:r w:rsidR="00F12B75">
        <w:t>según</w:t>
      </w:r>
      <w:r w:rsidR="00A2740F">
        <w:t xml:space="preserve"> la cual “contra esta providencia no procede recurso alguno”</w:t>
      </w:r>
      <w:r w:rsidR="00BF2903" w:rsidRPr="00E4242D">
        <w:rPr>
          <w:sz w:val="18"/>
          <w:szCs w:val="18"/>
          <w:vertAlign w:val="superscript"/>
        </w:rPr>
        <w:footnoteReference w:id="6"/>
      </w:r>
      <w:r w:rsidR="00BF2903" w:rsidRPr="00BF2903">
        <w:t xml:space="preserve">. </w:t>
      </w:r>
      <w:r w:rsidR="00790BAD" w:rsidRPr="0073164D">
        <w:t>Señala</w:t>
      </w:r>
      <w:r w:rsidR="00637C1A" w:rsidRPr="0073164D">
        <w:t xml:space="preserve"> que la Sala de Casación Penal de la Corte Suprema de Justicia resulta ser la única instancia para juzgarle como ex</w:t>
      </w:r>
      <w:r w:rsidR="008C3CBC">
        <w:t>d</w:t>
      </w:r>
      <w:r w:rsidR="00637C1A" w:rsidRPr="0073164D">
        <w:t>irector</w:t>
      </w:r>
      <w:r w:rsidR="00637C1A" w:rsidRPr="00637C1A">
        <w:t xml:space="preserve"> del </w:t>
      </w:r>
      <w:r w:rsidR="00F955C9" w:rsidRPr="00BF2903">
        <w:t>Departamento Administrativo de Seguridad</w:t>
      </w:r>
      <w:r w:rsidR="00637C1A" w:rsidRPr="00637C1A">
        <w:t>. Además, el autor afirma que la ley interna de</w:t>
      </w:r>
      <w:r w:rsidR="00790BAD">
        <w:t>l Estado parte</w:t>
      </w:r>
      <w:r w:rsidR="00637C1A" w:rsidRPr="00637C1A">
        <w:t xml:space="preserve"> y su respectiva jurisprudencia no permite que el aforado constitucional pueda recurrir al desafuero con el fin de obtener la garantía judicial de una segunda instancia.</w:t>
      </w:r>
    </w:p>
    <w:p w14:paraId="46031EEC" w14:textId="77777777" w:rsidR="00D6655E" w:rsidRPr="00BF2903" w:rsidRDefault="00E22B71" w:rsidP="00BF2903">
      <w:pPr>
        <w:pStyle w:val="SingleTxtG"/>
      </w:pPr>
      <w:r>
        <w:t>2.11</w:t>
      </w:r>
      <w:r>
        <w:tab/>
      </w:r>
      <w:r w:rsidR="008E3344">
        <w:t>M</w:t>
      </w:r>
      <w:r w:rsidR="008E3344" w:rsidRPr="00BF2903">
        <w:t xml:space="preserve">ediante providencia de 30 de noviembre </w:t>
      </w:r>
      <w:r w:rsidR="008E3344" w:rsidRPr="008E3344">
        <w:t>de 2012, l</w:t>
      </w:r>
      <w:r w:rsidR="00BF2903" w:rsidRPr="008E3344">
        <w:t>a Corte</w:t>
      </w:r>
      <w:r w:rsidR="00BF2903" w:rsidRPr="00BF2903">
        <w:t xml:space="preserve"> Constitucional decidió excluir de revisión la solicitud de amparo</w:t>
      </w:r>
      <w:r w:rsidR="008E3344">
        <w:t xml:space="preserve"> efectuada por el autor</w:t>
      </w:r>
      <w:r w:rsidR="00BF2903" w:rsidRPr="00BF2903">
        <w:t>.</w:t>
      </w:r>
      <w:r w:rsidR="00E8116F">
        <w:t xml:space="preserve"> </w:t>
      </w:r>
      <w:r w:rsidR="00D6655E">
        <w:t xml:space="preserve">El autor manifiesta que los hechos tratados en su comunicación no han sido sometidos a otro procedimiento de examen o arreglo internacional. </w:t>
      </w:r>
    </w:p>
    <w:p w14:paraId="00C61CAE" w14:textId="77777777" w:rsidR="0097604A" w:rsidRPr="00817C06" w:rsidRDefault="007B0679" w:rsidP="007B0679">
      <w:pPr>
        <w:pStyle w:val="H23G"/>
        <w:rPr>
          <w:rFonts w:eastAsia="SimSun"/>
        </w:rPr>
      </w:pPr>
      <w:r>
        <w:tab/>
      </w:r>
      <w:r w:rsidR="0097604A">
        <w:tab/>
      </w:r>
      <w:r w:rsidR="0097604A" w:rsidRPr="00817C06">
        <w:t>La denuncia</w:t>
      </w:r>
    </w:p>
    <w:p w14:paraId="4B46E3A0" w14:textId="77777777" w:rsidR="0069167F" w:rsidRPr="0069167F" w:rsidRDefault="0069167F" w:rsidP="0069167F">
      <w:pPr>
        <w:pStyle w:val="SingleTxtG"/>
      </w:pPr>
      <w:r w:rsidRPr="0069167F">
        <w:t>3.1</w:t>
      </w:r>
      <w:r w:rsidRPr="0069167F">
        <w:tab/>
        <w:t xml:space="preserve">El autor alega ser víctima de violaciones de sus derechos contenidos en los artículos 2, 3, 9, 10, 14 y 26 del Pacto.  </w:t>
      </w:r>
    </w:p>
    <w:p w14:paraId="7997559A" w14:textId="77777777" w:rsidR="0069167F" w:rsidRPr="0069167F" w:rsidRDefault="00E22B71" w:rsidP="0069167F">
      <w:pPr>
        <w:pStyle w:val="SingleTxtG"/>
      </w:pPr>
      <w:r>
        <w:t>3.2</w:t>
      </w:r>
      <w:r w:rsidR="0069167F" w:rsidRPr="0069167F">
        <w:tab/>
        <w:t>El autor asegura que el Estado parte ha incumplido sus obligaciones dimanantes de los artículos 2 y 3</w:t>
      </w:r>
      <w:r w:rsidR="00F955C9">
        <w:t xml:space="preserve"> del Pacto</w:t>
      </w:r>
      <w:r w:rsidR="0069167F" w:rsidRPr="0069167F">
        <w:t xml:space="preserve">, ya que por su condición de alto funcionario no ha garantizado, sino obstaculizado e impedido, su derecho a que el fallo condenatorio y la pena impuesta </w:t>
      </w:r>
      <w:r w:rsidR="0069167F" w:rsidRPr="0069167F">
        <w:lastRenderedPageBreak/>
        <w:t>sean sometidos a un tribunal superior de conformidad con lo dispuesto en el artículo 14</w:t>
      </w:r>
      <w:r w:rsidR="00017DF2">
        <w:t xml:space="preserve">, párrafo </w:t>
      </w:r>
      <w:r w:rsidR="0069167F" w:rsidRPr="0069167F">
        <w:t>5</w:t>
      </w:r>
      <w:r w:rsidR="00017DF2">
        <w:t>,</w:t>
      </w:r>
      <w:r w:rsidR="0069167F" w:rsidRPr="0069167F">
        <w:t xml:space="preserve"> del Pacto.</w:t>
      </w:r>
    </w:p>
    <w:p w14:paraId="3DBBF081" w14:textId="77777777" w:rsidR="00C53064" w:rsidRDefault="0069167F" w:rsidP="0069167F">
      <w:pPr>
        <w:pStyle w:val="SingleTxtG"/>
      </w:pPr>
      <w:r w:rsidRPr="0069167F">
        <w:t>3.3</w:t>
      </w:r>
      <w:r w:rsidRPr="0069167F">
        <w:tab/>
        <w:t>El autor también alega que</w:t>
      </w:r>
      <w:r w:rsidR="003A6899">
        <w:t>,</w:t>
      </w:r>
      <w:r w:rsidRPr="0069167F">
        <w:t xml:space="preserve"> dentro del proceso judicial</w:t>
      </w:r>
      <w:r w:rsidR="003A6899">
        <w:t>,</w:t>
      </w:r>
      <w:r w:rsidRPr="0069167F">
        <w:t xml:space="preserve"> se encontró en una situación de desigualdad propiciada por la norma interna procedimental, en violación de la primera oración del artículo 14</w:t>
      </w:r>
      <w:r w:rsidR="00017DF2">
        <w:t xml:space="preserve">, párrafo </w:t>
      </w:r>
      <w:r w:rsidRPr="0069167F">
        <w:t>1</w:t>
      </w:r>
      <w:r w:rsidR="00017DF2">
        <w:t>,</w:t>
      </w:r>
      <w:r w:rsidR="003A6899">
        <w:t xml:space="preserve"> del Pacto</w:t>
      </w:r>
      <w:r w:rsidRPr="0069167F">
        <w:t xml:space="preserve">. </w:t>
      </w:r>
      <w:r w:rsidR="00C53064">
        <w:t>Explica que e</w:t>
      </w:r>
      <w:r w:rsidR="00C53064" w:rsidRPr="00C53064">
        <w:t xml:space="preserve">n virtud de la </w:t>
      </w:r>
      <w:r w:rsidR="00017DF2">
        <w:t>L</w:t>
      </w:r>
      <w:r w:rsidR="00C53064" w:rsidRPr="00C53064">
        <w:t>ey 600 de 2000 por la cual fue juzgado el autor el Fiscal encargado de investigar al procesado, es el mismo encargado de determinar la privación o no de su libertad.</w:t>
      </w:r>
      <w:r w:rsidR="00C53064">
        <w:t xml:space="preserve"> </w:t>
      </w:r>
      <w:r w:rsidRPr="0069167F">
        <w:t>Afirma después que se violó la debida garantía a un tribunal competente establecida en la segunda oración del artículo 14</w:t>
      </w:r>
      <w:r w:rsidR="00017DF2">
        <w:t xml:space="preserve">, párrafo </w:t>
      </w:r>
      <w:r w:rsidRPr="0069167F">
        <w:t>1</w:t>
      </w:r>
      <w:r w:rsidR="000564E8">
        <w:t>,</w:t>
      </w:r>
      <w:r w:rsidRPr="0069167F">
        <w:t xml:space="preserve"> ya que</w:t>
      </w:r>
      <w:r w:rsidR="003A6899">
        <w:t>,</w:t>
      </w:r>
      <w:r w:rsidRPr="0069167F">
        <w:t xml:space="preserve"> de conformidad con el derecho interno</w:t>
      </w:r>
      <w:r w:rsidR="003A6899">
        <w:t>,</w:t>
      </w:r>
      <w:r w:rsidRPr="0069167F">
        <w:t xml:space="preserve"> el único competente para desarrollar la instrucción y acusación penal era el Fiscal General y que</w:t>
      </w:r>
      <w:r w:rsidR="003A6899">
        <w:t>,</w:t>
      </w:r>
      <w:r w:rsidRPr="0069167F">
        <w:t xml:space="preserve"> a pesar de ello</w:t>
      </w:r>
      <w:r w:rsidR="003A6899">
        <w:t>,</w:t>
      </w:r>
      <w:r w:rsidRPr="0069167F">
        <w:t xml:space="preserve"> el Fiscal General transfirió su competencia en subalternos. </w:t>
      </w:r>
      <w:r w:rsidR="00C53064" w:rsidRPr="00C53064">
        <w:t xml:space="preserve">El autor señala que esta vulneración fue reconocida en parte por la Corte </w:t>
      </w:r>
      <w:r w:rsidR="003A6899">
        <w:t>S</w:t>
      </w:r>
      <w:r w:rsidR="00C53064" w:rsidRPr="00C53064">
        <w:t>uprema de Justicia, determinando la anulación de la acusación, pero no las pruebas recaudadas por los fiscales incompetentes.</w:t>
      </w:r>
      <w:r w:rsidR="00C53064">
        <w:t xml:space="preserve"> </w:t>
      </w:r>
      <w:r w:rsidRPr="0069167F">
        <w:t xml:space="preserve">Además, el autor considera que el Estado parte violó la garantía </w:t>
      </w:r>
      <w:r w:rsidR="003A6899">
        <w:t>de</w:t>
      </w:r>
      <w:r w:rsidRPr="0069167F">
        <w:t xml:space="preserve"> un tribunal independiente e imparcial puesto que</w:t>
      </w:r>
      <w:r w:rsidR="003A6899">
        <w:t>,</w:t>
      </w:r>
      <w:r w:rsidRPr="0069167F">
        <w:t xml:space="preserve"> </w:t>
      </w:r>
      <w:r w:rsidR="003A4840">
        <w:t>por una parte</w:t>
      </w:r>
      <w:r w:rsidR="003A6899">
        <w:t>,</w:t>
      </w:r>
      <w:r w:rsidRPr="0069167F">
        <w:t xml:space="preserve"> existió un prejuzgamiento por parte de</w:t>
      </w:r>
      <w:r w:rsidR="003A4840">
        <w:t>l magistrado ponente del juicio, el cual, ante los hechos probados en la denuncia</w:t>
      </w:r>
      <w:r w:rsidR="003A6899">
        <w:t>,</w:t>
      </w:r>
      <w:r w:rsidR="003A4840">
        <w:t xml:space="preserve"> </w:t>
      </w:r>
      <w:r w:rsidR="003A6899" w:rsidRPr="00F57364">
        <w:t>“</w:t>
      </w:r>
      <w:r w:rsidR="003A4840">
        <w:t>mantuvo sus prejuicios</w:t>
      </w:r>
      <w:r w:rsidR="003A6899">
        <w:t>”</w:t>
      </w:r>
      <w:r w:rsidR="003A4840">
        <w:t xml:space="preserve"> en el proceso contra el autor y tom</w:t>
      </w:r>
      <w:r w:rsidR="00B46AC0" w:rsidRPr="00B46AC0">
        <w:t>ó</w:t>
      </w:r>
      <w:r w:rsidR="003A4840">
        <w:t xml:space="preserve"> decisiones subjetivas sin razonamientos oportunos. Por otra parte, </w:t>
      </w:r>
      <w:r w:rsidR="006D70AF">
        <w:t>M.</w:t>
      </w:r>
      <w:r w:rsidR="000749A2">
        <w:t xml:space="preserve"> </w:t>
      </w:r>
      <w:r w:rsidR="006D70AF">
        <w:t>L.</w:t>
      </w:r>
      <w:r w:rsidR="000749A2">
        <w:t xml:space="preserve"> </w:t>
      </w:r>
      <w:r w:rsidR="006D70AF">
        <w:t>S.</w:t>
      </w:r>
      <w:r w:rsidRPr="0069167F">
        <w:t>, quien participó en la instrucción penal del caso</w:t>
      </w:r>
      <w:r w:rsidR="00C11732">
        <w:t xml:space="preserve"> como Fiscal Auxiliar</w:t>
      </w:r>
      <w:r w:rsidRPr="0069167F">
        <w:t>, participó también activamente en el despacho del proceso como magistrada auxiliar.</w:t>
      </w:r>
    </w:p>
    <w:p w14:paraId="6E064C91" w14:textId="77777777" w:rsidR="003C3EF4" w:rsidRDefault="00E22B71" w:rsidP="0069167F">
      <w:pPr>
        <w:pStyle w:val="SingleTxtG"/>
      </w:pPr>
      <w:r>
        <w:t>3.4</w:t>
      </w:r>
      <w:r>
        <w:tab/>
      </w:r>
      <w:r w:rsidR="000564E8">
        <w:t>El autor a</w:t>
      </w:r>
      <w:r w:rsidR="003C3EF4">
        <w:t xml:space="preserve">lega que fue víctima igualmente de </w:t>
      </w:r>
      <w:r w:rsidR="003A6899">
        <w:t xml:space="preserve">una </w:t>
      </w:r>
      <w:r w:rsidR="003C3EF4">
        <w:t xml:space="preserve">violación de sus derechos </w:t>
      </w:r>
      <w:r w:rsidR="00791D72">
        <w:t xml:space="preserve">en virtud de </w:t>
      </w:r>
      <w:r w:rsidR="003C3EF4">
        <w:t>los artículos 14</w:t>
      </w:r>
      <w:r w:rsidR="00791D72">
        <w:t>, párrafos</w:t>
      </w:r>
      <w:r w:rsidR="003C3EF4">
        <w:t xml:space="preserve"> 1, 2</w:t>
      </w:r>
      <w:r w:rsidR="00791D72">
        <w:t xml:space="preserve"> y </w:t>
      </w:r>
      <w:r w:rsidR="003C3EF4">
        <w:t>3</w:t>
      </w:r>
      <w:r w:rsidR="00791D72">
        <w:t>;</w:t>
      </w:r>
      <w:r w:rsidR="003C3EF4">
        <w:t xml:space="preserve"> 3 y 9 </w:t>
      </w:r>
      <w:r w:rsidR="003A6899">
        <w:t xml:space="preserve">del Pacto </w:t>
      </w:r>
      <w:r w:rsidR="003C3EF4">
        <w:t xml:space="preserve">ya que fue juzgado y condenado con base a un testigo falso, </w:t>
      </w:r>
      <w:r w:rsidR="00AE4367">
        <w:t>R.</w:t>
      </w:r>
      <w:r w:rsidR="000749A2">
        <w:t xml:space="preserve"> </w:t>
      </w:r>
      <w:r w:rsidR="00AE4367">
        <w:t>G.</w:t>
      </w:r>
      <w:r w:rsidR="003C3EF4">
        <w:t xml:space="preserve">, habituado a “mentir a las autoridades” y a “crear historias fantasiosas”. El autor indica que la Fiscalía no hizo nada para lograr que </w:t>
      </w:r>
      <w:r w:rsidR="00AE4367">
        <w:t>R.</w:t>
      </w:r>
      <w:r w:rsidR="000749A2">
        <w:t xml:space="preserve"> </w:t>
      </w:r>
      <w:r w:rsidR="00AE4367">
        <w:t xml:space="preserve">G. </w:t>
      </w:r>
      <w:r w:rsidR="003C3EF4">
        <w:t xml:space="preserve">se sometiera a una segunda valoración psiquiátrica, tras haberse detectado numerosas irregularidades en la primera evaluación realizada. </w:t>
      </w:r>
      <w:r w:rsidR="00CB2125">
        <w:t xml:space="preserve">De haberse practicado dicha prueba se hubiera evitado su injusta condena ya que se hubiera puesto en evidencia la conducta psicópata del principal testigo de cargo. </w:t>
      </w:r>
    </w:p>
    <w:p w14:paraId="02B4505D" w14:textId="77777777" w:rsidR="00C53064" w:rsidRDefault="00E22B71">
      <w:pPr>
        <w:pStyle w:val="SingleTxtG"/>
      </w:pPr>
      <w:r>
        <w:t>3.5</w:t>
      </w:r>
      <w:r>
        <w:tab/>
      </w:r>
      <w:r w:rsidR="003A6899">
        <w:t>El autor c</w:t>
      </w:r>
      <w:r w:rsidR="0069167F" w:rsidRPr="0069167F">
        <w:t xml:space="preserve">onsidera </w:t>
      </w:r>
      <w:r w:rsidR="00C53064">
        <w:t xml:space="preserve">también </w:t>
      </w:r>
      <w:r w:rsidR="0069167F" w:rsidRPr="0069167F">
        <w:t>violado su derecho a la presunción de inocencia contenido en el artículo 14</w:t>
      </w:r>
      <w:r w:rsidR="00791D72">
        <w:t xml:space="preserve">, párrafo </w:t>
      </w:r>
      <w:r w:rsidR="0069167F" w:rsidRPr="0069167F">
        <w:t>2</w:t>
      </w:r>
      <w:r w:rsidR="00791D72">
        <w:t>,</w:t>
      </w:r>
      <w:r w:rsidR="0069167F" w:rsidRPr="0069167F">
        <w:t xml:space="preserve"> </w:t>
      </w:r>
      <w:r w:rsidR="003A6899">
        <w:t xml:space="preserve">del Pacto </w:t>
      </w:r>
      <w:r w:rsidR="0069167F" w:rsidRPr="0069167F">
        <w:t xml:space="preserve">por las opiniones expresadas por los medios de comunicación y lo prolongado de su detención preventiva. </w:t>
      </w:r>
      <w:r w:rsidR="00C53064">
        <w:t>A</w:t>
      </w:r>
      <w:r w:rsidR="0069167F" w:rsidRPr="0069167F">
        <w:t xml:space="preserve">lega </w:t>
      </w:r>
      <w:r w:rsidR="00C53064">
        <w:t xml:space="preserve">igualmente </w:t>
      </w:r>
      <w:r w:rsidR="0069167F" w:rsidRPr="0069167F">
        <w:t>que durante el proceso en su contra se violaron las garantías contenidas en el artículo 14</w:t>
      </w:r>
      <w:r w:rsidR="00B70BB1">
        <w:t xml:space="preserve">, párrafo </w:t>
      </w:r>
      <w:r w:rsidR="0069167F" w:rsidRPr="0069167F">
        <w:t xml:space="preserve">3, por los siguientes motivos: </w:t>
      </w:r>
      <w:r w:rsidR="0069167F" w:rsidRPr="00E742CD">
        <w:t>a) fue condenado por delitos de los que no se formuló acusación</w:t>
      </w:r>
      <w:r w:rsidR="00B70BB1">
        <w:t>;</w:t>
      </w:r>
      <w:r w:rsidR="0069167F" w:rsidRPr="00E742CD">
        <w:t xml:space="preserve"> b)</w:t>
      </w:r>
      <w:r w:rsidR="000749A2">
        <w:t> </w:t>
      </w:r>
      <w:r w:rsidR="0069167F" w:rsidRPr="00E742CD">
        <w:t>distintas solicitudes de aplazamiento</w:t>
      </w:r>
      <w:r w:rsidR="0069167F" w:rsidRPr="0069167F">
        <w:t xml:space="preserve"> que eran necesarias debido al voluminoso expediente judicial fueron denegadas</w:t>
      </w:r>
      <w:r w:rsidR="00B70BB1">
        <w:t>;</w:t>
      </w:r>
      <w:r w:rsidR="0069167F" w:rsidRPr="0069167F">
        <w:t xml:space="preserve"> c) tuvo que afrontar que la investigación penal y el juicio en su contra se prolongasen durante más de </w:t>
      </w:r>
      <w:r w:rsidR="00B70BB1">
        <w:t>cuatro</w:t>
      </w:r>
      <w:r w:rsidR="0069167F" w:rsidRPr="0069167F">
        <w:t xml:space="preserve"> años</w:t>
      </w:r>
      <w:r w:rsidR="00B70BB1">
        <w:t>;</w:t>
      </w:r>
      <w:r w:rsidR="0069167F" w:rsidRPr="0069167F">
        <w:t xml:space="preserve"> d)</w:t>
      </w:r>
      <w:r w:rsidR="00071532">
        <w:t xml:space="preserve"> </w:t>
      </w:r>
      <w:r w:rsidR="0069167F" w:rsidRPr="0069167F">
        <w:t>no contó en determinadas instancias procesales con un abogado de su confianza</w:t>
      </w:r>
      <w:r w:rsidR="0069167F" w:rsidRPr="00E4242D">
        <w:rPr>
          <w:sz w:val="18"/>
          <w:szCs w:val="18"/>
          <w:vertAlign w:val="superscript"/>
        </w:rPr>
        <w:footnoteReference w:id="7"/>
      </w:r>
      <w:r w:rsidR="00B70BB1">
        <w:t>,</w:t>
      </w:r>
      <w:r w:rsidR="0069167F" w:rsidRPr="0069167F">
        <w:t xml:space="preserve"> y </w:t>
      </w:r>
      <w:proofErr w:type="spellStart"/>
      <w:r w:rsidR="0069167F" w:rsidRPr="0069167F">
        <w:t>e</w:t>
      </w:r>
      <w:proofErr w:type="spellEnd"/>
      <w:r w:rsidR="0069167F" w:rsidRPr="0069167F">
        <w:t xml:space="preserve">) no se permitió a su abogado interrogar a un testigo pertinente para su defensa. </w:t>
      </w:r>
    </w:p>
    <w:p w14:paraId="5A7BB2A9" w14:textId="77777777" w:rsidR="0069167F" w:rsidRPr="0069167F" w:rsidRDefault="00E22B71" w:rsidP="0069167F">
      <w:pPr>
        <w:pStyle w:val="SingleTxtG"/>
      </w:pPr>
      <w:r>
        <w:t>3.6</w:t>
      </w:r>
      <w:r>
        <w:tab/>
      </w:r>
      <w:r w:rsidR="00E2715B">
        <w:t>El autor m</w:t>
      </w:r>
      <w:r w:rsidR="0069167F" w:rsidRPr="0069167F">
        <w:t xml:space="preserve">anifiesta que el Estado parte ha violado </w:t>
      </w:r>
      <w:r w:rsidR="00C53064">
        <w:t xml:space="preserve">también </w:t>
      </w:r>
      <w:r w:rsidR="0069167F" w:rsidRPr="0069167F">
        <w:t>su derecho a que el fallo condenatorio sea sometido a un tribunal superior tal y como se establece en el artículo 14</w:t>
      </w:r>
      <w:r w:rsidR="00B70BB1">
        <w:t xml:space="preserve">, párrafo </w:t>
      </w:r>
      <w:r w:rsidR="0069167F" w:rsidRPr="0069167F">
        <w:t>5</w:t>
      </w:r>
      <w:r w:rsidR="00B70BB1">
        <w:t>,</w:t>
      </w:r>
      <w:r w:rsidR="00733EB8">
        <w:t xml:space="preserve"> del Pacto</w:t>
      </w:r>
      <w:r w:rsidR="0069167F" w:rsidRPr="0069167F">
        <w:t>, puesto que la propia legislación colombiana atribuye el conocimiento y fallo de causa</w:t>
      </w:r>
      <w:r w:rsidR="00AA620B">
        <w:t>s contra aforados</w:t>
      </w:r>
      <w:r w:rsidR="0069167F" w:rsidRPr="0069167F">
        <w:t xml:space="preserve"> en única instancia a la Corte Suprema de Justicia y contra el mismo no procede recurso alguno.</w:t>
      </w:r>
    </w:p>
    <w:p w14:paraId="5681E40C" w14:textId="77777777" w:rsidR="00605E3D" w:rsidRDefault="0069167F" w:rsidP="0069167F">
      <w:pPr>
        <w:pStyle w:val="SingleTxtG"/>
      </w:pPr>
      <w:r w:rsidRPr="0069167F">
        <w:t>3.</w:t>
      </w:r>
      <w:r w:rsidR="00DA66E3">
        <w:t>7</w:t>
      </w:r>
      <w:r w:rsidRPr="0069167F">
        <w:tab/>
        <w:t>En lo relativo a la violación de</w:t>
      </w:r>
      <w:r w:rsidR="00AA620B">
        <w:t xml:space="preserve"> </w:t>
      </w:r>
      <w:r w:rsidRPr="0069167F">
        <w:t>l</w:t>
      </w:r>
      <w:r w:rsidR="00AA620B">
        <w:t>os</w:t>
      </w:r>
      <w:r w:rsidRPr="0069167F">
        <w:t xml:space="preserve"> artículo</w:t>
      </w:r>
      <w:r w:rsidR="00AA620B">
        <w:t>s</w:t>
      </w:r>
      <w:r w:rsidRPr="0069167F">
        <w:t xml:space="preserve"> 9</w:t>
      </w:r>
      <w:r w:rsidR="00B4228F">
        <w:t xml:space="preserve"> y 10</w:t>
      </w:r>
      <w:r w:rsidR="00733EB8">
        <w:t xml:space="preserve"> del Pacto</w:t>
      </w:r>
      <w:r w:rsidRPr="0069167F">
        <w:t>, el autor asegura que se restringió su libertad preventivamente</w:t>
      </w:r>
      <w:r w:rsidR="00B4207F">
        <w:t xml:space="preserve"> por 4 años, 6 meses y 20 días</w:t>
      </w:r>
      <w:r w:rsidR="00E22849" w:rsidRPr="00E4242D">
        <w:rPr>
          <w:sz w:val="18"/>
          <w:szCs w:val="18"/>
          <w:vertAlign w:val="superscript"/>
          <w:lang w:val="en-GB"/>
        </w:rPr>
        <w:footnoteReference w:id="8"/>
      </w:r>
      <w:r w:rsidR="00E22849" w:rsidRPr="00450DAD">
        <w:t>.</w:t>
      </w:r>
      <w:r w:rsidR="003D7338">
        <w:t xml:space="preserve"> Dicha privación de libertad no era necesaria ya que</w:t>
      </w:r>
      <w:r w:rsidR="00733EB8">
        <w:t>,</w:t>
      </w:r>
      <w:r w:rsidR="003D7338">
        <w:t xml:space="preserve"> conforme a la ley interna</w:t>
      </w:r>
      <w:r w:rsidR="00733EB8">
        <w:t>,</w:t>
      </w:r>
      <w:r w:rsidR="003D7338">
        <w:t xml:space="preserve"> </w:t>
      </w:r>
      <w:r w:rsidR="0073672E">
        <w:t xml:space="preserve">su detención no era necesaria para </w:t>
      </w:r>
      <w:r w:rsidR="003D7338">
        <w:t xml:space="preserve">asegurar </w:t>
      </w:r>
      <w:r w:rsidR="00702C74">
        <w:t>su</w:t>
      </w:r>
      <w:r w:rsidR="00AA620B">
        <w:t xml:space="preserve"> </w:t>
      </w:r>
      <w:r w:rsidR="003D7338">
        <w:t>comparecencia</w:t>
      </w:r>
      <w:r w:rsidR="00AA620B">
        <w:t xml:space="preserve"> en e</w:t>
      </w:r>
      <w:r w:rsidR="003D7338">
        <w:t>l proceso, la preservación de la prueba y la protección de la comunidad.</w:t>
      </w:r>
      <w:r w:rsidR="00AA620B">
        <w:t xml:space="preserve"> Explica que fue detenido, en</w:t>
      </w:r>
      <w:r w:rsidRPr="00AA620B">
        <w:t xml:space="preserve"> virtud del mandato de un fiscal incompetente para ello, situándolo así en un l</w:t>
      </w:r>
      <w:r w:rsidR="00AA620B">
        <w:t xml:space="preserve">ugar de especial vulnerabilidad. </w:t>
      </w:r>
      <w:r w:rsidR="00543D0C" w:rsidRPr="00543D0C">
        <w:t xml:space="preserve">Además, alega que fue confinado </w:t>
      </w:r>
      <w:r w:rsidR="00702C74">
        <w:lastRenderedPageBreak/>
        <w:t>en</w:t>
      </w:r>
      <w:r w:rsidR="00543D0C" w:rsidRPr="00543D0C">
        <w:t xml:space="preserve"> detención preventiva en un lugar no apto para ello </w:t>
      </w:r>
      <w:r w:rsidR="00AA620B">
        <w:t>ya que se trataba de</w:t>
      </w:r>
      <w:r w:rsidR="00543D0C" w:rsidRPr="00543D0C">
        <w:t xml:space="preserve"> un penitenciario donde </w:t>
      </w:r>
      <w:r w:rsidR="00AA620B">
        <w:t xml:space="preserve">los detenidos </w:t>
      </w:r>
      <w:r w:rsidR="00543D0C" w:rsidRPr="00543D0C">
        <w:t>cumplen condenas tras haber sido juzgados</w:t>
      </w:r>
      <w:r w:rsidR="00AA620B">
        <w:t xml:space="preserve"> y condenados</w:t>
      </w:r>
      <w:r w:rsidR="00543D0C" w:rsidRPr="00543D0C">
        <w:t xml:space="preserve">. </w:t>
      </w:r>
    </w:p>
    <w:p w14:paraId="50168B5B" w14:textId="77777777" w:rsidR="0069167F" w:rsidRPr="0069167F" w:rsidRDefault="0069167F" w:rsidP="0069167F">
      <w:pPr>
        <w:pStyle w:val="SingleTxtG"/>
      </w:pPr>
      <w:r w:rsidRPr="0069167F">
        <w:t>3.</w:t>
      </w:r>
      <w:r w:rsidR="00DA66E3">
        <w:t>8</w:t>
      </w:r>
      <w:r w:rsidRPr="0069167F">
        <w:tab/>
      </w:r>
      <w:r w:rsidR="00733EB8">
        <w:t>Co</w:t>
      </w:r>
      <w:r w:rsidRPr="0069167F">
        <w:t>n relación al artículo 26</w:t>
      </w:r>
      <w:r w:rsidR="00733EB8">
        <w:t xml:space="preserve"> del Pacto</w:t>
      </w:r>
      <w:r w:rsidRPr="0069167F">
        <w:t>, el autor señala que</w:t>
      </w:r>
      <w:r w:rsidR="00733EB8">
        <w:t>,</w:t>
      </w:r>
      <w:r w:rsidRPr="0069167F">
        <w:t xml:space="preserve"> por razón de su condición social</w:t>
      </w:r>
      <w:r w:rsidR="00733EB8">
        <w:t>,</w:t>
      </w:r>
      <w:r w:rsidRPr="0069167F">
        <w:t xml:space="preserve"> el Estado parte le ha discriminado antes, durante y posteriormente al juicio, siendo un hecho especialmente notorio de esta violación la restricción de su derecho a recurrir el fallo ante un tribunal superior.</w:t>
      </w:r>
    </w:p>
    <w:p w14:paraId="0BED0A96" w14:textId="77777777" w:rsidR="0097604A" w:rsidRPr="00817C06" w:rsidRDefault="007B0679" w:rsidP="007B0679">
      <w:pPr>
        <w:pStyle w:val="H23G"/>
        <w:rPr>
          <w:rFonts w:eastAsia="SimSun"/>
        </w:rPr>
      </w:pPr>
      <w:r>
        <w:tab/>
      </w:r>
      <w:r w:rsidR="0097604A">
        <w:tab/>
      </w:r>
      <w:r w:rsidR="0097604A" w:rsidRPr="00817C06">
        <w:t xml:space="preserve">Observaciones del Estado parte sobre la admisibilidad y el fondo </w:t>
      </w:r>
    </w:p>
    <w:p w14:paraId="1FBBDEE2" w14:textId="77777777" w:rsidR="00921B4A" w:rsidRDefault="00921B4A" w:rsidP="00921B4A">
      <w:pPr>
        <w:pStyle w:val="SingleTxtG"/>
      </w:pPr>
      <w:r>
        <w:rPr>
          <w:lang w:val="es-ES_tradnl"/>
        </w:rPr>
        <w:t>4.1</w:t>
      </w:r>
      <w:r>
        <w:rPr>
          <w:lang w:val="es-ES_tradnl"/>
        </w:rPr>
        <w:tab/>
        <w:t xml:space="preserve">Mediante nota verbal de 2 febrero de 2017, </w:t>
      </w:r>
      <w:r>
        <w:t xml:space="preserve">el Estado parte formuló sus observaciones sobre la admisibilidad de la comunicación y solicitó al Comité que fuera declarada inadmisible. </w:t>
      </w:r>
    </w:p>
    <w:p w14:paraId="05623509" w14:textId="77777777" w:rsidR="00921B4A" w:rsidRDefault="00921B4A">
      <w:pPr>
        <w:pStyle w:val="SingleTxtG"/>
      </w:pPr>
      <w:r>
        <w:t>4.2</w:t>
      </w:r>
      <w:r>
        <w:tab/>
        <w:t xml:space="preserve">El Estado parte señala que la comunicación </w:t>
      </w:r>
      <w:r w:rsidR="00B15639" w:rsidRPr="00B15639">
        <w:t>del autor constituye un abuso del derecho a presentar una comunicación</w:t>
      </w:r>
      <w:r w:rsidR="00B15639">
        <w:t xml:space="preserve"> ya que el mismo asunto fue sometido a otro procedimiento de examen o arreglo internacional</w:t>
      </w:r>
      <w:r w:rsidR="00AC19F7">
        <w:t>. Sostiene que la petición p-1331-11 del autor</w:t>
      </w:r>
      <w:r w:rsidR="000C0444">
        <w:t>,</w:t>
      </w:r>
      <w:r w:rsidR="00AC19F7">
        <w:t xml:space="preserve"> </w:t>
      </w:r>
      <w:r w:rsidR="00574919" w:rsidRPr="00574919">
        <w:t>recibida por la Comisión Interamericana de Derechos Humanos el 30 de septiembre de 2011</w:t>
      </w:r>
      <w:r w:rsidR="00733EB8">
        <w:t>,</w:t>
      </w:r>
      <w:r w:rsidR="008032C5" w:rsidRPr="005216B7">
        <w:rPr>
          <w:color w:val="FF0000"/>
        </w:rPr>
        <w:t xml:space="preserve"> </w:t>
      </w:r>
      <w:r w:rsidR="00AC19F7">
        <w:t xml:space="preserve">contiene los mismos hechos y pretensiones expuestas ante el Comité. </w:t>
      </w:r>
      <w:r w:rsidR="008032C5">
        <w:t xml:space="preserve">El Estado parte sostiene que la petición fue trasladada de manera completa al Estado parte el 26 de abril de 2016 y </w:t>
      </w:r>
      <w:r w:rsidR="00702C74">
        <w:t xml:space="preserve">que </w:t>
      </w:r>
      <w:r w:rsidR="008032C5">
        <w:t>se encuentra en etapa de admisibilidad</w:t>
      </w:r>
      <w:r w:rsidR="00AA0412">
        <w:t>.</w:t>
      </w:r>
      <w:r w:rsidR="002C5677">
        <w:t xml:space="preserve"> </w:t>
      </w:r>
      <w:r w:rsidR="00702C74">
        <w:t>El Estado parte a</w:t>
      </w:r>
      <w:r w:rsidR="002C5677">
        <w:t xml:space="preserve">djunta una comunicación de la </w:t>
      </w:r>
      <w:r w:rsidR="00771BCA">
        <w:t>c</w:t>
      </w:r>
      <w:r w:rsidR="002C5677">
        <w:t xml:space="preserve">oordinadora </w:t>
      </w:r>
      <w:r w:rsidR="00771BCA">
        <w:t>g</w:t>
      </w:r>
      <w:r w:rsidR="002C5677">
        <w:t xml:space="preserve">rupo de </w:t>
      </w:r>
      <w:r w:rsidR="00771BCA">
        <w:t>s</w:t>
      </w:r>
      <w:r w:rsidR="002C5677">
        <w:t xml:space="preserve">eguimiento a </w:t>
      </w:r>
      <w:r w:rsidR="00771BCA">
        <w:t>d</w:t>
      </w:r>
      <w:r w:rsidR="002C5677">
        <w:t xml:space="preserve">ecisiones de </w:t>
      </w:r>
      <w:r w:rsidR="00771BCA">
        <w:t>ó</w:t>
      </w:r>
      <w:r w:rsidR="002C5677">
        <w:t xml:space="preserve">rganos </w:t>
      </w:r>
      <w:r w:rsidR="00771BCA">
        <w:t>i</w:t>
      </w:r>
      <w:r w:rsidR="002C5677">
        <w:t>nternacionales de 19 de enero de 2017, según la cual los hechos del caso se refieren a la presunta vulneración del derecho a las garantías judiciales (</w:t>
      </w:r>
      <w:r w:rsidR="00911500">
        <w:t>artículo</w:t>
      </w:r>
      <w:r w:rsidR="002C5677">
        <w:t xml:space="preserve"> 8), a la protección judicial (</w:t>
      </w:r>
      <w:r w:rsidR="00911500">
        <w:t>artículo</w:t>
      </w:r>
      <w:r w:rsidR="002C5677">
        <w:t xml:space="preserve"> 25), a la obligaciones de adoptar disposiciones de derecho interno (</w:t>
      </w:r>
      <w:r w:rsidR="00911500">
        <w:t>artículo</w:t>
      </w:r>
      <w:r w:rsidR="002C5677">
        <w:t xml:space="preserve"> 2)</w:t>
      </w:r>
      <w:r w:rsidR="00771BCA">
        <w:t>,</w:t>
      </w:r>
      <w:r w:rsidR="002C5677">
        <w:t xml:space="preserve"> todo lo anterior en relación con las obligaciones de respeto y garantía (</w:t>
      </w:r>
      <w:r w:rsidR="00911500">
        <w:t>artículo</w:t>
      </w:r>
      <w:r w:rsidR="002C5677">
        <w:t xml:space="preserve"> 1</w:t>
      </w:r>
      <w:r w:rsidR="00771BCA">
        <w:t xml:space="preserve">, párrafo </w:t>
      </w:r>
      <w:r w:rsidR="002C5677">
        <w:t xml:space="preserve">1) de la </w:t>
      </w:r>
      <w:r w:rsidR="00911500">
        <w:t>Convención</w:t>
      </w:r>
      <w:r w:rsidR="002C5677">
        <w:t xml:space="preserve"> Americana sobre Derechos Humanos. </w:t>
      </w:r>
      <w:r w:rsidR="00702C74">
        <w:t xml:space="preserve">Ello </w:t>
      </w:r>
      <w:r w:rsidR="002C5677">
        <w:t xml:space="preserve">como producto de presuntas irregularidades en la investigación llevada a cabo en su contra por la </w:t>
      </w:r>
      <w:r w:rsidR="00911500">
        <w:t>Fiscalía</w:t>
      </w:r>
      <w:r w:rsidR="002C5677">
        <w:t xml:space="preserve"> General de la </w:t>
      </w:r>
      <w:r w:rsidR="00911500">
        <w:t>Nación</w:t>
      </w:r>
      <w:r w:rsidR="002C5677">
        <w:t xml:space="preserve"> y en el proceso penal </w:t>
      </w:r>
      <w:r w:rsidR="00771BCA">
        <w:t>núm</w:t>
      </w:r>
      <w:r w:rsidR="002C5677">
        <w:t>.</w:t>
      </w:r>
      <w:r w:rsidR="00AF693D">
        <w:t> </w:t>
      </w:r>
      <w:r w:rsidR="002C5677">
        <w:t xml:space="preserve">32000 adelantado por la Sala Penal de la Corte Suprema de Justicia y por el cual fue hallado </w:t>
      </w:r>
      <w:r w:rsidR="00911500">
        <w:t>responsable</w:t>
      </w:r>
      <w:r w:rsidR="002C5677">
        <w:t xml:space="preserve"> penalmente por los delitos de concierto para delinquir agravado; homicidio de Alfredo Rafael Francisco Correa de </w:t>
      </w:r>
      <w:proofErr w:type="spellStart"/>
      <w:r w:rsidR="002C5677">
        <w:t>Andreis</w:t>
      </w:r>
      <w:proofErr w:type="spellEnd"/>
      <w:r w:rsidR="002C5677">
        <w:t xml:space="preserve">; destrucción, supresión u ocultamiento de documento </w:t>
      </w:r>
      <w:r w:rsidR="00911500">
        <w:t>público</w:t>
      </w:r>
      <w:r w:rsidR="002C5677">
        <w:t xml:space="preserve">; y revelación de </w:t>
      </w:r>
      <w:r w:rsidR="00911500">
        <w:t>asunto</w:t>
      </w:r>
      <w:r w:rsidR="002C5677">
        <w:t xml:space="preserve"> sometido a secreto.</w:t>
      </w:r>
    </w:p>
    <w:p w14:paraId="23993ED6" w14:textId="77777777" w:rsidR="00AA0412" w:rsidRDefault="00E22B71" w:rsidP="00921B4A">
      <w:pPr>
        <w:pStyle w:val="SingleTxtG"/>
      </w:pPr>
      <w:r>
        <w:t>4.3</w:t>
      </w:r>
      <w:r w:rsidR="00733EB8">
        <w:tab/>
        <w:t>El Estado parte s</w:t>
      </w:r>
      <w:r w:rsidR="0062703C">
        <w:t>ostiene</w:t>
      </w:r>
      <w:r w:rsidR="00AA0412">
        <w:t xml:space="preserve"> igualmente, que el caso del autor también fue sometido al Consejo de Derechos Humanos. Mediante la </w:t>
      </w:r>
      <w:r w:rsidR="008476D1">
        <w:t>n</w:t>
      </w:r>
      <w:r w:rsidR="00EC5A72">
        <w:t xml:space="preserve">ota </w:t>
      </w:r>
      <w:r w:rsidR="008476D1">
        <w:t>v</w:t>
      </w:r>
      <w:r w:rsidR="00EC5A72">
        <w:t>erbal</w:t>
      </w:r>
      <w:r w:rsidR="00AA0412">
        <w:t xml:space="preserve"> G/SO 215/1 COL 222 del 22 de mayo de 2016, </w:t>
      </w:r>
      <w:r w:rsidR="004760CD">
        <w:t xml:space="preserve">el Consejo </w:t>
      </w:r>
      <w:r w:rsidR="00346107">
        <w:t>hizo referencia a</w:t>
      </w:r>
      <w:r w:rsidR="00AA0412">
        <w:t xml:space="preserve"> la comunicación del partido Centro </w:t>
      </w:r>
      <w:r w:rsidR="00EC5A72">
        <w:t>Democrático</w:t>
      </w:r>
      <w:r w:rsidR="00AA0412">
        <w:t xml:space="preserve"> contra el Estado parte por supuesta persecución contra esa colectividad y sus integrantes donde explícitamente present</w:t>
      </w:r>
      <w:r w:rsidR="00346107">
        <w:t>aba</w:t>
      </w:r>
      <w:r w:rsidR="00AA0412">
        <w:t xml:space="preserve"> alegatos sobre la </w:t>
      </w:r>
      <w:r w:rsidR="00ED3FAA">
        <w:t>situación</w:t>
      </w:r>
      <w:r w:rsidR="00AA0412">
        <w:t xml:space="preserve"> del autor entre otros. </w:t>
      </w:r>
      <w:r w:rsidR="00EC5A72">
        <w:t xml:space="preserve">En la </w:t>
      </w:r>
      <w:r w:rsidR="008476D1">
        <w:t>n</w:t>
      </w:r>
      <w:r w:rsidR="00EC5A72">
        <w:t xml:space="preserve">ota </w:t>
      </w:r>
      <w:r w:rsidR="008476D1">
        <w:t>v</w:t>
      </w:r>
      <w:r w:rsidR="00EC5A72">
        <w:t xml:space="preserve">erbal, el </w:t>
      </w:r>
      <w:r w:rsidR="008B713C">
        <w:t xml:space="preserve">Grupo de </w:t>
      </w:r>
      <w:r w:rsidR="008476D1">
        <w:t>T</w:t>
      </w:r>
      <w:r w:rsidR="008B713C">
        <w:t xml:space="preserve">rabajo sobre </w:t>
      </w:r>
      <w:r w:rsidR="008476D1">
        <w:t>las C</w:t>
      </w:r>
      <w:r w:rsidR="008B713C">
        <w:t xml:space="preserve">omunicaciones del </w:t>
      </w:r>
      <w:r w:rsidR="00EC5A72">
        <w:t>Consejo de Derechos Humanos declar</w:t>
      </w:r>
      <w:r w:rsidR="00A67584">
        <w:t>ó</w:t>
      </w:r>
      <w:r w:rsidR="00EC5A72">
        <w:t xml:space="preserve"> satisfactorios los alegatos de Colombia </w:t>
      </w:r>
      <w:r w:rsidR="00346107">
        <w:t xml:space="preserve">en relación </w:t>
      </w:r>
      <w:r w:rsidR="00733EB8">
        <w:t>con</w:t>
      </w:r>
      <w:r w:rsidR="00EC5A72">
        <w:t xml:space="preserve"> </w:t>
      </w:r>
      <w:r w:rsidR="008B713C">
        <w:t>la queja</w:t>
      </w:r>
      <w:r w:rsidR="00EC5A72">
        <w:t xml:space="preserve"> considerando que </w:t>
      </w:r>
      <w:r w:rsidR="008B713C">
        <w:t>la misma</w:t>
      </w:r>
      <w:r w:rsidR="00EC5A72">
        <w:t xml:space="preserve"> pareciera tener motivaciones políticas</w:t>
      </w:r>
      <w:r w:rsidR="00346107">
        <w:t xml:space="preserve"> y comunicó al Estado parte que había decidido </w:t>
      </w:r>
      <w:r w:rsidR="00733EB8">
        <w:t>archivar</w:t>
      </w:r>
      <w:r w:rsidR="00346107">
        <w:t xml:space="preserve"> la consideración de la comunicación</w:t>
      </w:r>
      <w:r w:rsidR="008B713C">
        <w:t>.</w:t>
      </w:r>
    </w:p>
    <w:p w14:paraId="490C63CB" w14:textId="77777777" w:rsidR="00921B4A" w:rsidRDefault="00E84CC6" w:rsidP="0097604A">
      <w:pPr>
        <w:pStyle w:val="SingleTxtG"/>
      </w:pPr>
      <w:r>
        <w:t>4.4</w:t>
      </w:r>
      <w:r w:rsidR="00733EB8">
        <w:tab/>
      </w:r>
      <w:r w:rsidR="00342482" w:rsidRPr="00342482">
        <w:t>El Estado parte señala</w:t>
      </w:r>
      <w:r w:rsidR="00342482">
        <w:t xml:space="preserve"> también </w:t>
      </w:r>
      <w:r w:rsidR="00342482" w:rsidRPr="00342482">
        <w:t>que la comunicación del autor constituye un abuso del derecho a presentar una comunicación</w:t>
      </w:r>
      <w:r w:rsidR="00342482">
        <w:t xml:space="preserve">. </w:t>
      </w:r>
      <w:r w:rsidR="00776B8E">
        <w:t>El Comité ha determinado que una demora indebida en presentar una queja puede constituir un abuso de</w:t>
      </w:r>
      <w:r w:rsidR="00702C74">
        <w:t>l</w:t>
      </w:r>
      <w:r w:rsidR="00776B8E">
        <w:t xml:space="preserve"> derecho de presentar quejas, teniendo en consideración las dificultades que el </w:t>
      </w:r>
      <w:proofErr w:type="gramStart"/>
      <w:r w:rsidR="00776B8E">
        <w:t>lapso de tiempo</w:t>
      </w:r>
      <w:proofErr w:type="gramEnd"/>
      <w:r w:rsidR="00776B8E">
        <w:t xml:space="preserve"> puede causarle tanto al Comité como al Estado parte al momento de examinar los elementos de juicio. </w:t>
      </w:r>
      <w:r w:rsidR="0056166E">
        <w:t>En el presente caso,</w:t>
      </w:r>
      <w:r w:rsidR="00776B8E">
        <w:t xml:space="preserve"> la sentencia contra el autor data del 14 de septiembre de 2011, cumpliéndose más de cinco años entre la decisión judicial que es motivo de la comunicación y la presentación de </w:t>
      </w:r>
      <w:proofErr w:type="gramStart"/>
      <w:r w:rsidR="00776B8E">
        <w:t>la misma</w:t>
      </w:r>
      <w:proofErr w:type="gramEnd"/>
      <w:r w:rsidR="00776B8E">
        <w:t xml:space="preserve">. </w:t>
      </w:r>
    </w:p>
    <w:p w14:paraId="7B5D4A98" w14:textId="77777777" w:rsidR="00E022B0" w:rsidRDefault="002519AF">
      <w:pPr>
        <w:pStyle w:val="SingleTxtG"/>
      </w:pPr>
      <w:r>
        <w:t>4.5</w:t>
      </w:r>
      <w:r w:rsidR="00733EB8">
        <w:tab/>
      </w:r>
      <w:r>
        <w:t xml:space="preserve">Además, </w:t>
      </w:r>
      <w:r w:rsidR="00733EB8">
        <w:t xml:space="preserve">el Estado parte </w:t>
      </w:r>
      <w:r>
        <w:t>c</w:t>
      </w:r>
      <w:r w:rsidR="00E022B0">
        <w:t>onsidera que la comunicación debe ser declarada inadmisible por falta de agotamiento de recursos internos. El autor fue condenado en única instancia por tratarse de un funcionario que gozaba de fuero constitucional y efectivamente la sentencia carecía de recurso. Sin embargo, el autor no agot</w:t>
      </w:r>
      <w:r w:rsidR="00765255">
        <w:t>ó</w:t>
      </w:r>
      <w:r w:rsidR="00E022B0">
        <w:t xml:space="preserve"> todos los recursos de la jurisdicción interna ya que legalmente s</w:t>
      </w:r>
      <w:r w:rsidR="00BC6136">
        <w:t>í</w:t>
      </w:r>
      <w:r w:rsidR="00E022B0">
        <w:t xml:space="preserve"> tiene la oportunidad de recurrir a la acción de revisión del fallo como lo establece el artículo 32 del Código de Procedimiento Penal</w:t>
      </w:r>
      <w:r w:rsidR="00BC6136">
        <w:t>.</w:t>
      </w:r>
      <w:r w:rsidR="00E022B0">
        <w:t xml:space="preserve"> </w:t>
      </w:r>
      <w:r w:rsidR="00F330FE">
        <w:t xml:space="preserve">La Corte Constitucional ha enaltecido dicho procedimiento en los siguientes términos: “en la tradición jurídico penal, la acción de revisión se ha concebido como un instrumento de tutela de los derechos fundamentales del sentenciado, en razón a la estirpe de los bienes que se </w:t>
      </w:r>
      <w:r w:rsidR="00F330FE">
        <w:lastRenderedPageBreak/>
        <w:t>encuentran comprometidos en este ámbito, particularmente el de libertad personal</w:t>
      </w:r>
      <w:r w:rsidR="00BC6136">
        <w:t>”</w:t>
      </w:r>
      <w:r w:rsidR="00F330FE" w:rsidRPr="00E4242D">
        <w:rPr>
          <w:rStyle w:val="Refdenotaalpie"/>
          <w:szCs w:val="18"/>
        </w:rPr>
        <w:footnoteReference w:id="9"/>
      </w:r>
      <w:r w:rsidR="00BC6136">
        <w:t>.</w:t>
      </w:r>
      <w:r w:rsidR="008764EB">
        <w:t xml:space="preserve"> El Estado parte </w:t>
      </w:r>
      <w:r w:rsidR="005C2068">
        <w:t>añade que el</w:t>
      </w:r>
      <w:r w:rsidR="008764EB">
        <w:t xml:space="preserve"> autor, a</w:t>
      </w:r>
      <w:r w:rsidR="005C2068">
        <w:t>l</w:t>
      </w:r>
      <w:r w:rsidR="008764EB">
        <w:t xml:space="preserve"> haber sido condenado por conductas ajenas a las funciones </w:t>
      </w:r>
      <w:r w:rsidR="005C2068">
        <w:t>públicas</w:t>
      </w:r>
      <w:r w:rsidR="008764EB">
        <w:t xml:space="preserve"> desempeñadas, tuvo la oportunidad de renunciar al fuero constitucional y someterse a la jurisdicción de tribunales ordinarios de menor categoría. El fuero se mantuvo como garantía que les asiste a los altos funcionarios de ser procesados por los jueces más idóneos y de mayor experiencia, además para serlo en decisión colegiada, representado en materia criminal por la Sala de Casación Penal de la Corte Suprema de Justicia. </w:t>
      </w:r>
    </w:p>
    <w:p w14:paraId="45039FFB" w14:textId="77777777" w:rsidR="008764EB" w:rsidRDefault="008D4BBC" w:rsidP="0097604A">
      <w:pPr>
        <w:pStyle w:val="SingleTxtG"/>
      </w:pPr>
      <w:r>
        <w:t>4.6</w:t>
      </w:r>
      <w:r w:rsidR="00733EB8">
        <w:tab/>
        <w:t>El Estado parte a</w:t>
      </w:r>
      <w:r w:rsidR="0062703C">
        <w:t>firma</w:t>
      </w:r>
      <w:r w:rsidR="008764EB">
        <w:t xml:space="preserve"> que le corresponde al Poder Judicial </w:t>
      </w:r>
      <w:r w:rsidR="00733EB8">
        <w:t xml:space="preserve">nacional </w:t>
      </w:r>
      <w:r w:rsidR="008764EB">
        <w:t xml:space="preserve">definir casos como el del autor en derecho, con seguridad, en cumplimiento de los principios universales, constitucionales y legales del debido proceso, garantías judiciales y </w:t>
      </w:r>
      <w:r w:rsidR="00850488">
        <w:t>legítima</w:t>
      </w:r>
      <w:r w:rsidR="008764EB">
        <w:t xml:space="preserve"> defensa. </w:t>
      </w:r>
      <w:r w:rsidR="003C350D">
        <w:t xml:space="preserve">Sostiene </w:t>
      </w:r>
      <w:r w:rsidR="00810E2A">
        <w:t>que l</w:t>
      </w:r>
      <w:r w:rsidR="00850488">
        <w:t>a institucionalidad del Estado parte garantiza en todas las</w:t>
      </w:r>
      <w:r>
        <w:t xml:space="preserve"> instancias judiciales el respe</w:t>
      </w:r>
      <w:r w:rsidR="00850488">
        <w:t xml:space="preserve">to a los presupuestos inherentes al debido proceso y las garantías judiciales, a través del autocontrol que ejercen los propios entes judiciales en su gestión pública, además de la supervisión legal de los </w:t>
      </w:r>
      <w:r w:rsidR="003C350D">
        <w:t>o</w:t>
      </w:r>
      <w:r w:rsidR="00850488">
        <w:t xml:space="preserve">rganismos de </w:t>
      </w:r>
      <w:r w:rsidR="003C350D">
        <w:t>c</w:t>
      </w:r>
      <w:r w:rsidR="00850488">
        <w:t xml:space="preserve">ontrol, especialmente del Ministerio Publico, garante del sagrado deber de administrar justicia con rigor, transparencia e imparcialidad. </w:t>
      </w:r>
    </w:p>
    <w:p w14:paraId="371D3647" w14:textId="77777777" w:rsidR="0097604A" w:rsidRPr="00B820BE" w:rsidRDefault="007B0679" w:rsidP="007E5CB1">
      <w:pPr>
        <w:pStyle w:val="H23G"/>
        <w:rPr>
          <w:rFonts w:eastAsia="SimSun"/>
          <w:color w:val="FF0000"/>
        </w:rPr>
      </w:pPr>
      <w:r>
        <w:tab/>
      </w:r>
      <w:r w:rsidR="0097604A" w:rsidRPr="00B820BE">
        <w:rPr>
          <w:color w:val="FF0000"/>
        </w:rPr>
        <w:tab/>
      </w:r>
      <w:r w:rsidR="0062703C" w:rsidRPr="008D4BBC">
        <w:t>Comentarios del autor</w:t>
      </w:r>
      <w:r w:rsidR="0097604A" w:rsidRPr="008D4BBC">
        <w:t xml:space="preserve"> sobre las </w:t>
      </w:r>
      <w:r w:rsidR="0097604A" w:rsidRPr="007E5CB1">
        <w:t>observaciones</w:t>
      </w:r>
      <w:r w:rsidR="0097604A" w:rsidRPr="008D4BBC">
        <w:t xml:space="preserve"> del Estado parte </w:t>
      </w:r>
    </w:p>
    <w:p w14:paraId="76B81051" w14:textId="77777777" w:rsidR="00B97F5F" w:rsidRDefault="0097604A">
      <w:pPr>
        <w:pStyle w:val="SingleTxtG"/>
      </w:pPr>
      <w:r w:rsidRPr="00F06529">
        <w:t>5.1</w:t>
      </w:r>
      <w:r w:rsidRPr="00F06529">
        <w:tab/>
        <w:t>E</w:t>
      </w:r>
      <w:r w:rsidR="00733EB8">
        <w:t>n sus comentarios de</w:t>
      </w:r>
      <w:r w:rsidRPr="00F06529">
        <w:t xml:space="preserve"> 2 de </w:t>
      </w:r>
      <w:r w:rsidR="008C736C" w:rsidRPr="00F06529">
        <w:t>abril</w:t>
      </w:r>
      <w:r w:rsidRPr="00F06529">
        <w:t xml:space="preserve"> de 201</w:t>
      </w:r>
      <w:r w:rsidR="008C736C" w:rsidRPr="00F06529">
        <w:t>7</w:t>
      </w:r>
      <w:r w:rsidRPr="00F06529">
        <w:t xml:space="preserve">, </w:t>
      </w:r>
      <w:r w:rsidR="008C736C" w:rsidRPr="00F06529">
        <w:t>el autor</w:t>
      </w:r>
      <w:r w:rsidRPr="00F06529">
        <w:t xml:space="preserve"> señala </w:t>
      </w:r>
      <w:r w:rsidR="00224399" w:rsidRPr="00F06529">
        <w:t>que</w:t>
      </w:r>
      <w:r w:rsidR="00F06529">
        <w:t xml:space="preserve">, contrariamente a lo afirmado por el Estado parte, la comunicación debe ser admitida al no estar </w:t>
      </w:r>
      <w:r w:rsidR="007D7988">
        <w:t xml:space="preserve">comprendida </w:t>
      </w:r>
      <w:r w:rsidR="00F06529">
        <w:t xml:space="preserve">en ninguna de las causales de inadmisibilidad. Indica que no existe duplicidad de mecanismos, ya que el asunto tratado en la presente comunicación no ha </w:t>
      </w:r>
      <w:r w:rsidR="003C7615">
        <w:t xml:space="preserve">sido </w:t>
      </w:r>
      <w:r w:rsidR="00F06529">
        <w:t xml:space="preserve">sometido al mecanismo regional de la Comisión Interamericana de Derechos Humanos. La petición individual presentada por el autor ante </w:t>
      </w:r>
      <w:r w:rsidR="007D7988">
        <w:t>es</w:t>
      </w:r>
      <w:r w:rsidR="00F06529">
        <w:t xml:space="preserve">a </w:t>
      </w:r>
      <w:r w:rsidR="00481264">
        <w:t>Comisión</w:t>
      </w:r>
      <w:r w:rsidR="00F06529">
        <w:t xml:space="preserve"> </w:t>
      </w:r>
      <w:r w:rsidR="003A2074">
        <w:t>en</w:t>
      </w:r>
      <w:r w:rsidR="000E2F05">
        <w:t xml:space="preserve"> septiembre de</w:t>
      </w:r>
      <w:r w:rsidR="00F06529">
        <w:t xml:space="preserve"> 2011</w:t>
      </w:r>
      <w:r w:rsidR="000E2F05">
        <w:t xml:space="preserve"> </w:t>
      </w:r>
      <w:r w:rsidR="00F06529">
        <w:t>concierne diferentes hechos y pretensiones</w:t>
      </w:r>
      <w:r w:rsidR="007D7988">
        <w:t xml:space="preserve"> y</w:t>
      </w:r>
      <w:r w:rsidR="000E2F05">
        <w:t xml:space="preserve"> se encuentra </w:t>
      </w:r>
      <w:r w:rsidR="00866F53">
        <w:t>aún</w:t>
      </w:r>
      <w:r w:rsidR="000E2F05">
        <w:t xml:space="preserve"> en</w:t>
      </w:r>
      <w:r w:rsidR="00866F53">
        <w:t xml:space="preserve"> fase de</w:t>
      </w:r>
      <w:r w:rsidR="000E2F05">
        <w:t xml:space="preserve"> tramitación inicial, lo que evidencia una tramitación prolongada injustificada, ya que han transcurrido </w:t>
      </w:r>
      <w:r w:rsidR="00866F53">
        <w:t>más</w:t>
      </w:r>
      <w:r w:rsidR="000E2F05">
        <w:t xml:space="preserve"> de 64 meses sin que dicho organismo admita y estudie el fondo del asunto planteado y </w:t>
      </w:r>
      <w:r w:rsidR="00866F53">
        <w:t>más</w:t>
      </w:r>
      <w:r w:rsidR="000E2F05">
        <w:t xml:space="preserve"> de </w:t>
      </w:r>
      <w:r w:rsidR="007D7988">
        <w:t>13</w:t>
      </w:r>
      <w:r w:rsidR="000E2F05">
        <w:t xml:space="preserve"> meses</w:t>
      </w:r>
      <w:r w:rsidR="00481264">
        <w:t xml:space="preserve"> sin que </w:t>
      </w:r>
      <w:r w:rsidR="000E2F05">
        <w:t xml:space="preserve">el Estado parte </w:t>
      </w:r>
      <w:r w:rsidR="00481264">
        <w:t>se haya</w:t>
      </w:r>
      <w:r w:rsidR="000E2F05">
        <w:t xml:space="preserve"> pronunciado</w:t>
      </w:r>
      <w:r w:rsidR="00F06529" w:rsidRPr="00E4242D">
        <w:rPr>
          <w:rStyle w:val="Refdenotaalpie"/>
          <w:szCs w:val="18"/>
        </w:rPr>
        <w:footnoteReference w:id="10"/>
      </w:r>
      <w:r w:rsidR="00F06529">
        <w:t>.</w:t>
      </w:r>
      <w:r w:rsidR="003A2074">
        <w:t xml:space="preserve"> </w:t>
      </w:r>
      <w:r w:rsidR="002E6B0F">
        <w:t>Por lo tanto, e</w:t>
      </w:r>
      <w:r w:rsidR="003A2074">
        <w:t>l Estado parte afirma equivocadamente que la comunicación presentada ante el Comité es relativa a los mismos hechos y pretensiones que la comunicación presentada ante la Comisión</w:t>
      </w:r>
      <w:r w:rsidR="007D7988">
        <w:t xml:space="preserve"> Interamericana</w:t>
      </w:r>
      <w:r w:rsidR="003A2074">
        <w:t xml:space="preserve">. Acogiéndose al principio de </w:t>
      </w:r>
      <w:proofErr w:type="spellStart"/>
      <w:r w:rsidR="003A2074" w:rsidRPr="003A2074">
        <w:rPr>
          <w:i/>
        </w:rPr>
        <w:t>onus</w:t>
      </w:r>
      <w:proofErr w:type="spellEnd"/>
      <w:r w:rsidR="003A2074" w:rsidRPr="003A2074">
        <w:rPr>
          <w:i/>
        </w:rPr>
        <w:t xml:space="preserve"> probandi</w:t>
      </w:r>
      <w:r w:rsidR="003A2074">
        <w:t xml:space="preserve">, el autor estima que el Estado parte no ha presentado ninguna prueba al Comité al respecto. Indica que el Estado parte no ha actuado de buena fe, </w:t>
      </w:r>
      <w:r w:rsidR="002E6B0F">
        <w:t>h</w:t>
      </w:r>
      <w:r w:rsidR="003A2074">
        <w:t xml:space="preserve">a proporcionado una fecha errónea con respecto a la presentación de la demanda ante la </w:t>
      </w:r>
      <w:r w:rsidR="00866F53">
        <w:t>Comisión</w:t>
      </w:r>
      <w:r w:rsidR="007D7988">
        <w:t xml:space="preserve"> Interamericana</w:t>
      </w:r>
      <w:r w:rsidR="00702C74">
        <w:t xml:space="preserve"> de Derechos Humanos</w:t>
      </w:r>
      <w:r w:rsidR="003A2074" w:rsidRPr="00E4242D">
        <w:rPr>
          <w:rStyle w:val="Refdenotaalpie"/>
          <w:szCs w:val="18"/>
        </w:rPr>
        <w:footnoteReference w:id="11"/>
      </w:r>
      <w:r w:rsidR="00311D4A">
        <w:t xml:space="preserve"> y</w:t>
      </w:r>
      <w:r w:rsidR="003A2074">
        <w:t xml:space="preserve"> </w:t>
      </w:r>
      <w:r w:rsidR="00866F53">
        <w:t>ha ocultado al Comité que los hechos y pretensiones son diferentes</w:t>
      </w:r>
      <w:r w:rsidR="00311D4A">
        <w:t>. Añade que</w:t>
      </w:r>
      <w:r w:rsidR="00866F53">
        <w:t xml:space="preserve"> no es cierto que </w:t>
      </w:r>
      <w:r w:rsidR="00311D4A">
        <w:t>el</w:t>
      </w:r>
      <w:r w:rsidR="00866F53">
        <w:t xml:space="preserve"> Estado</w:t>
      </w:r>
      <w:r w:rsidR="00311D4A">
        <w:t xml:space="preserve"> parte</w:t>
      </w:r>
      <w:r w:rsidR="00866F53">
        <w:t xml:space="preserve"> haya contestado a la </w:t>
      </w:r>
      <w:r w:rsidR="00311D4A">
        <w:t>Comisión</w:t>
      </w:r>
      <w:r w:rsidR="007D7988">
        <w:t xml:space="preserve"> Interamericana</w:t>
      </w:r>
      <w:r w:rsidR="00866F53">
        <w:t>.</w:t>
      </w:r>
      <w:r w:rsidR="004167BD">
        <w:t xml:space="preserve"> Según el autor, está probado que “por la eficiencia del procedimiento el Comité del Pacto ofrece una protección más amplia”.</w:t>
      </w:r>
    </w:p>
    <w:p w14:paraId="0E56DB0E" w14:textId="77777777" w:rsidR="000528D3" w:rsidRDefault="00FE0BCA">
      <w:pPr>
        <w:pStyle w:val="SingleTxtG"/>
      </w:pPr>
      <w:r>
        <w:t>5.2</w:t>
      </w:r>
      <w:r w:rsidR="00733EB8">
        <w:tab/>
      </w:r>
      <w:r w:rsidR="009F4EE3">
        <w:t>En cuanto a la queja presentada ante el Consejo de Derechos Humanos, el autor sostiene que el Estado parte no ha demostrado que quien present</w:t>
      </w:r>
      <w:r w:rsidR="00EB6398" w:rsidRPr="00EB6398">
        <w:t>ó</w:t>
      </w:r>
      <w:r w:rsidR="009F4EE3">
        <w:t xml:space="preserve"> dicha queja lo </w:t>
      </w:r>
      <w:r w:rsidR="00D972E1">
        <w:t>hacía</w:t>
      </w:r>
      <w:r w:rsidR="009F4EE3">
        <w:t xml:space="preserve"> en </w:t>
      </w:r>
      <w:r w:rsidR="00D972E1">
        <w:t xml:space="preserve">su nombre ni </w:t>
      </w:r>
      <w:r w:rsidR="009F4EE3">
        <w:t>que la misma versaba sobre aspectos tratados en la misma comunicación. Solo ha indicado que se mencionaba el nombre del autor, como el de otros funcionarios del ex</w:t>
      </w:r>
      <w:r w:rsidR="00651002">
        <w:t>p</w:t>
      </w:r>
      <w:r w:rsidR="009F4EE3">
        <w:t>residente del Estado parte para evidencia</w:t>
      </w:r>
      <w:r w:rsidR="00651002">
        <w:t>r</w:t>
      </w:r>
      <w:r w:rsidR="009F4EE3">
        <w:t xml:space="preserve"> un cuadro persistente y fehaciente de denegación del derecho a la doble instancia. El Estado parte ocult</w:t>
      </w:r>
      <w:r w:rsidR="00D972E1" w:rsidRPr="00D972E1">
        <w:t>ó</w:t>
      </w:r>
      <w:r w:rsidR="009F4EE3">
        <w:t xml:space="preserve"> al Comité que dentro de dicha queja se </w:t>
      </w:r>
      <w:r w:rsidR="00D972E1">
        <w:t>señaló</w:t>
      </w:r>
      <w:r w:rsidR="009F4EE3">
        <w:t xml:space="preserve"> explícitamente </w:t>
      </w:r>
      <w:r w:rsidR="00EB6398">
        <w:t>que</w:t>
      </w:r>
      <w:r w:rsidR="00F06529" w:rsidRPr="009F4EE3">
        <w:t xml:space="preserve"> la</w:t>
      </w:r>
      <w:r w:rsidR="0089154D">
        <w:t xml:space="preserve"> </w:t>
      </w:r>
      <w:r w:rsidR="00F06529" w:rsidRPr="009F4EE3">
        <w:t xml:space="preserve">denuncia ante el </w:t>
      </w:r>
      <w:r w:rsidR="00651002">
        <w:t>C</w:t>
      </w:r>
      <w:r w:rsidR="00F06529" w:rsidRPr="009F4EE3">
        <w:t>onsejo</w:t>
      </w:r>
      <w:r w:rsidR="009F4EE3">
        <w:t xml:space="preserve"> </w:t>
      </w:r>
      <w:r w:rsidR="00F06529" w:rsidRPr="009F4EE3">
        <w:t xml:space="preserve">de </w:t>
      </w:r>
      <w:r w:rsidR="00651002">
        <w:t>D</w:t>
      </w:r>
      <w:r w:rsidR="00F06529" w:rsidRPr="009F4EE3">
        <w:t xml:space="preserve">erechos </w:t>
      </w:r>
      <w:r w:rsidR="00651002">
        <w:t>H</w:t>
      </w:r>
      <w:r w:rsidR="00F06529" w:rsidRPr="009F4EE3">
        <w:t>umanos se presenta</w:t>
      </w:r>
      <w:r w:rsidR="0089154D">
        <w:t>ba</w:t>
      </w:r>
      <w:r w:rsidR="00F06529" w:rsidRPr="009F4EE3">
        <w:t xml:space="preserve"> sin perjuicio de las</w:t>
      </w:r>
      <w:r w:rsidR="009F4EE3">
        <w:t xml:space="preserve"> </w:t>
      </w:r>
      <w:r w:rsidR="00F06529" w:rsidRPr="009F4EE3">
        <w:t xml:space="preserve">acciones individuales ante los organismos </w:t>
      </w:r>
      <w:proofErr w:type="spellStart"/>
      <w:r w:rsidR="00F06529" w:rsidRPr="009F4EE3">
        <w:t>cuasijudiciales</w:t>
      </w:r>
      <w:proofErr w:type="spellEnd"/>
      <w:r w:rsidR="00F06529" w:rsidRPr="009F4EE3">
        <w:t xml:space="preserve"> internacionales</w:t>
      </w:r>
      <w:r w:rsidR="009F4EE3">
        <w:t xml:space="preserve"> </w:t>
      </w:r>
      <w:r w:rsidR="00F06529" w:rsidRPr="009F4EE3">
        <w:t xml:space="preserve">que los miembros del partido </w:t>
      </w:r>
      <w:r w:rsidR="00651002">
        <w:t>C</w:t>
      </w:r>
      <w:r w:rsidR="00F06529" w:rsidRPr="009F4EE3">
        <w:t xml:space="preserve">entro </w:t>
      </w:r>
      <w:r w:rsidR="00651002">
        <w:t>D</w:t>
      </w:r>
      <w:r w:rsidR="00F06529" w:rsidRPr="009F4EE3">
        <w:t>emocrático determin</w:t>
      </w:r>
      <w:r w:rsidR="0089154D">
        <w:t>ara</w:t>
      </w:r>
      <w:r w:rsidR="00F06529" w:rsidRPr="009F4EE3">
        <w:t>n presentar</w:t>
      </w:r>
      <w:r w:rsidR="009F4EE3">
        <w:t xml:space="preserve"> </w:t>
      </w:r>
      <w:r w:rsidR="00F06529" w:rsidRPr="009F4EE3">
        <w:t>individualmente</w:t>
      </w:r>
      <w:r w:rsidR="00651002">
        <w:t>.</w:t>
      </w:r>
      <w:r w:rsidR="0073087E">
        <w:t xml:space="preserve"> </w:t>
      </w:r>
      <w:r w:rsidR="000656E9">
        <w:t xml:space="preserve">Señala además que el Consejo de Derechos Humanos, a diferencia del Comité, únicamente puede hacer recomendaciones a los Estados, sugerir orientaciones sobre políticas o instar al gobierno correspondiente a realizar cambios en la aplicación de normas referentes a los </w:t>
      </w:r>
      <w:r w:rsidR="00B231FB">
        <w:t>d</w:t>
      </w:r>
      <w:r w:rsidR="000656E9">
        <w:t xml:space="preserve">erechos </w:t>
      </w:r>
      <w:r w:rsidR="00B231FB">
        <w:t>h</w:t>
      </w:r>
      <w:r w:rsidR="000656E9">
        <w:t xml:space="preserve">umanos y </w:t>
      </w:r>
      <w:proofErr w:type="gramStart"/>
      <w:r w:rsidR="000656E9">
        <w:t>que</w:t>
      </w:r>
      <w:proofErr w:type="gramEnd"/>
      <w:r w:rsidR="000656E9">
        <w:t xml:space="preserve"> por lo tanto, ninguna de sus actuaciones resulta vinculante para los Estados, por lo que sus recomendaciones no pueden ser consideradas en ningún momento como un recurso internacional agotado. </w:t>
      </w:r>
      <w:r w:rsidR="0073087E">
        <w:t xml:space="preserve">El autor indica que el Estado parte desconoce los pronunciamientos y jurisprudencia reiterada del Comité que indica que ni el Consejo de Derechos Humanos ni los relatores especiales o grupos de trabajo son </w:t>
      </w:r>
      <w:r w:rsidR="0073087E">
        <w:lastRenderedPageBreak/>
        <w:t xml:space="preserve">considerados como organismos internacionales </w:t>
      </w:r>
      <w:proofErr w:type="spellStart"/>
      <w:r w:rsidR="0073087E">
        <w:t>cuasijudiciales</w:t>
      </w:r>
      <w:proofErr w:type="spellEnd"/>
      <w:r w:rsidR="0073087E">
        <w:t xml:space="preserve"> y que sobre los mismos no se puede alegar inadmisibilidad por </w:t>
      </w:r>
      <w:r w:rsidR="009A7BDD">
        <w:t>causa</w:t>
      </w:r>
      <w:r w:rsidR="0073087E">
        <w:t xml:space="preserve"> de duplicidad de procedimiento de examen o arreglo internacionales de conformidad con el artículo 96 del reglamento</w:t>
      </w:r>
      <w:r w:rsidR="00C60165" w:rsidRPr="00E4242D">
        <w:rPr>
          <w:rStyle w:val="Refdenotaalpie"/>
          <w:szCs w:val="18"/>
        </w:rPr>
        <w:footnoteReference w:id="12"/>
      </w:r>
      <w:r w:rsidR="0073087E">
        <w:t>.</w:t>
      </w:r>
      <w:r w:rsidR="000528D3">
        <w:t xml:space="preserve"> </w:t>
      </w:r>
    </w:p>
    <w:p w14:paraId="351E63A8" w14:textId="77777777" w:rsidR="00C60165" w:rsidRDefault="009A7BDD" w:rsidP="000528D3">
      <w:pPr>
        <w:pStyle w:val="SingleTxtG"/>
      </w:pPr>
      <w:r>
        <w:t>5.3</w:t>
      </w:r>
      <w:r w:rsidR="00733EB8">
        <w:tab/>
      </w:r>
      <w:r w:rsidR="000528D3">
        <w:t xml:space="preserve">Respecto </w:t>
      </w:r>
      <w:r w:rsidR="00733EB8">
        <w:t>al argumento</w:t>
      </w:r>
      <w:r w:rsidR="000528D3">
        <w:t xml:space="preserve"> del Estado parte según </w:t>
      </w:r>
      <w:r w:rsidR="00733EB8">
        <w:t>el</w:t>
      </w:r>
      <w:r w:rsidR="000528D3">
        <w:t xml:space="preserve"> cual la comunicación fue presentada en un plazo mayor a cinco años a partir de la decisión judicial, el autor afirma que dicha alegación es fraudulenta, ya que el autor present</w:t>
      </w:r>
      <w:r w:rsidR="000528D3" w:rsidRPr="000528D3">
        <w:t>ó</w:t>
      </w:r>
      <w:r w:rsidR="000528D3">
        <w:t xml:space="preserve"> su comunicación el 1 de agosto de 2016, a los 4 </w:t>
      </w:r>
      <w:r w:rsidR="00FF2438">
        <w:t>años</w:t>
      </w:r>
      <w:r w:rsidR="000528D3">
        <w:t xml:space="preserve"> y 11 meses, por lo que no se puede alegar causal de </w:t>
      </w:r>
      <w:r w:rsidR="002C79AC">
        <w:t>in</w:t>
      </w:r>
      <w:r w:rsidR="000528D3">
        <w:t xml:space="preserve">admisibilidad por estar dentro del </w:t>
      </w:r>
      <w:r w:rsidR="00FF2438">
        <w:t>término</w:t>
      </w:r>
      <w:r w:rsidR="000528D3">
        <w:t xml:space="preserve"> y no constituir abuso de</w:t>
      </w:r>
      <w:r w:rsidR="00623A65">
        <w:t>l</w:t>
      </w:r>
      <w:r w:rsidR="000528D3">
        <w:t xml:space="preserve"> derecho</w:t>
      </w:r>
      <w:r w:rsidR="005B48D3" w:rsidRPr="005B48D3">
        <w:t xml:space="preserve"> de presentar una comunicación</w:t>
      </w:r>
      <w:r w:rsidR="000528D3">
        <w:t xml:space="preserve">. Indica, que si bien es cierto que por ser sentencia de única instancia no existen recursos internos disponibles, el autor </w:t>
      </w:r>
      <w:r w:rsidR="00FF2438">
        <w:t>ejerció</w:t>
      </w:r>
      <w:r w:rsidR="000528D3">
        <w:t xml:space="preserve"> la acción constitucional de tutela, la cual fue decidida de forma definitiva el 30 de noviembre de 2012. Conforme al principio de favorabilidad, esta sería la fecha </w:t>
      </w:r>
      <w:proofErr w:type="gramStart"/>
      <w:r w:rsidR="000528D3">
        <w:t>a</w:t>
      </w:r>
      <w:proofErr w:type="gramEnd"/>
      <w:r w:rsidR="000528D3">
        <w:t xml:space="preserve"> tener en cuenta. </w:t>
      </w:r>
      <w:r w:rsidR="00623A65">
        <w:t xml:space="preserve">Señala </w:t>
      </w:r>
      <w:r w:rsidR="0016055F">
        <w:t>que la alegación de abuso de</w:t>
      </w:r>
      <w:r w:rsidR="00623A65">
        <w:t>l</w:t>
      </w:r>
      <w:r w:rsidR="0016055F">
        <w:t xml:space="preserve"> derecho por el tiempo de presentación de la comunicación desconoce la reiterada jurisprudencia del Comité</w:t>
      </w:r>
      <w:r w:rsidR="0016055F" w:rsidRPr="00E4242D">
        <w:rPr>
          <w:rStyle w:val="Refdenotaalpie"/>
          <w:szCs w:val="18"/>
        </w:rPr>
        <w:footnoteReference w:id="13"/>
      </w:r>
      <w:r w:rsidR="0016055F">
        <w:t xml:space="preserve">. </w:t>
      </w:r>
    </w:p>
    <w:p w14:paraId="69E1E704" w14:textId="77777777" w:rsidR="0016055F" w:rsidRDefault="000A4994">
      <w:pPr>
        <w:pStyle w:val="SingleTxtG"/>
      </w:pPr>
      <w:r>
        <w:t>5.4</w:t>
      </w:r>
      <w:r w:rsidR="00BC42FC">
        <w:tab/>
      </w:r>
      <w:r w:rsidR="0016055F">
        <w:t xml:space="preserve">El autor </w:t>
      </w:r>
      <w:r w:rsidR="002279AC">
        <w:t>señala</w:t>
      </w:r>
      <w:r w:rsidR="0016055F">
        <w:t xml:space="preserve"> que el </w:t>
      </w:r>
      <w:r w:rsidR="002279AC">
        <w:t xml:space="preserve">recurso extraordinario de revisión es un recurso resuelto por el mismo tribunal que profirió el fallo de única instancia y que conforme a la Ley 600 de 2000, dicho recurso la mayor parte del tiempo es rechazado ya que solo procede estrictamente en una serie limitada de casos.  </w:t>
      </w:r>
    </w:p>
    <w:p w14:paraId="1A686D21" w14:textId="77777777" w:rsidR="00CF0191" w:rsidRDefault="000A4994" w:rsidP="007E5CB1">
      <w:pPr>
        <w:pStyle w:val="SingleTxtG"/>
      </w:pPr>
      <w:r>
        <w:t>5.5</w:t>
      </w:r>
      <w:r w:rsidR="00BC42FC">
        <w:tab/>
        <w:t>En cuanto a</w:t>
      </w:r>
      <w:r w:rsidR="002279AC">
        <w:t xml:space="preserve"> la afirmación del Estado parte según la cual existía la posibilidad de renuncia al fuero, el autor indica que </w:t>
      </w:r>
      <w:r w:rsidR="00BC42FC">
        <w:t xml:space="preserve">esta </w:t>
      </w:r>
      <w:r w:rsidR="002279AC">
        <w:t xml:space="preserve">es ajena a la realidad y la jurisprudencia vigente entonces. Informa </w:t>
      </w:r>
      <w:r w:rsidR="00774A2E">
        <w:t>que,</w:t>
      </w:r>
      <w:r w:rsidR="002279AC">
        <w:t xml:space="preserve"> mediante auto del 1 de septiembre de 2009, la Corte Suprema de Justicia determinó que la </w:t>
      </w:r>
      <w:r w:rsidR="00F06529" w:rsidRPr="002279AC">
        <w:t>renuncia al cargo del cual emana el fuero no es fundamento suficiente para que</w:t>
      </w:r>
      <w:r w:rsidR="002279AC">
        <w:t xml:space="preserve"> </w:t>
      </w:r>
      <w:r w:rsidR="00F06529" w:rsidRPr="002279AC">
        <w:t>la Corte pierda la competencia para investigar y juzgar a la persona</w:t>
      </w:r>
      <w:r w:rsidR="00623A65">
        <w:t>,</w:t>
      </w:r>
      <w:r w:rsidR="00F06529" w:rsidRPr="002279AC">
        <w:t xml:space="preserve"> así la</w:t>
      </w:r>
      <w:r w:rsidR="002279AC">
        <w:t xml:space="preserve"> </w:t>
      </w:r>
      <w:r w:rsidR="00F06529" w:rsidRPr="002279AC">
        <w:t xml:space="preserve">conducta </w:t>
      </w:r>
      <w:r w:rsidR="00E016F6">
        <w:t>haya</w:t>
      </w:r>
      <w:r w:rsidR="00E016F6" w:rsidRPr="002279AC">
        <w:t xml:space="preserve"> </w:t>
      </w:r>
      <w:r w:rsidR="00F06529" w:rsidRPr="002279AC">
        <w:t>sido cometida con anterioridad al ejercicio de sus funciones o la</w:t>
      </w:r>
      <w:r w:rsidR="002279AC">
        <w:t xml:space="preserve"> </w:t>
      </w:r>
      <w:r w:rsidR="00F06529" w:rsidRPr="002279AC">
        <w:t>misma no tenga relación con el ejercicio de estas. Esta decisión sirvió de fuente</w:t>
      </w:r>
      <w:r w:rsidR="002279AC">
        <w:t xml:space="preserve"> </w:t>
      </w:r>
      <w:r w:rsidR="00F06529" w:rsidRPr="002279AC">
        <w:t xml:space="preserve">para juzgar y condenar a todos los </w:t>
      </w:r>
      <w:r w:rsidR="00F06529" w:rsidRPr="007E5CB1">
        <w:t>aforados</w:t>
      </w:r>
      <w:r w:rsidR="00F06529" w:rsidRPr="002279AC">
        <w:t xml:space="preserve"> pese a que los mismos renunciaran a</w:t>
      </w:r>
      <w:r w:rsidR="002279AC">
        <w:t xml:space="preserve"> </w:t>
      </w:r>
      <w:r w:rsidR="000A18E2">
        <w:t>su fuero. Argumentar, como hace el Estado parte, que cuentan con instancias superiores al fallo de la Corte Suprema de Justicia, es algo contrario a la realidad normativa y constitucional vigente en el Estado parte</w:t>
      </w:r>
      <w:r w:rsidR="000A18E2" w:rsidRPr="00E4242D">
        <w:rPr>
          <w:rStyle w:val="Refdenotaalpie"/>
          <w:szCs w:val="18"/>
        </w:rPr>
        <w:footnoteReference w:id="14"/>
      </w:r>
      <w:r w:rsidR="000A18E2">
        <w:t xml:space="preserve">. </w:t>
      </w:r>
      <w:r w:rsidR="00F06529" w:rsidRPr="00150EA3">
        <w:t>Al ser el máximo tribunal, es claro que no hay autoridad alguna sobre ella, de</w:t>
      </w:r>
      <w:r w:rsidR="009344C6">
        <w:t xml:space="preserve"> </w:t>
      </w:r>
      <w:r w:rsidR="00F06529" w:rsidRPr="00150EA3">
        <w:t>manera que no hay posibilidad de un recurso de apelación que por esencia se tramita</w:t>
      </w:r>
      <w:r w:rsidR="009344C6">
        <w:t xml:space="preserve"> </w:t>
      </w:r>
      <w:r w:rsidR="00F06529" w:rsidRPr="00150EA3">
        <w:t>ante el superior.</w:t>
      </w:r>
      <w:r w:rsidR="001159B5">
        <w:t xml:space="preserve"> </w:t>
      </w:r>
    </w:p>
    <w:p w14:paraId="332F5B50" w14:textId="77777777" w:rsidR="00F06529" w:rsidRPr="00CF0191" w:rsidRDefault="000A4994" w:rsidP="00CF0191">
      <w:pPr>
        <w:pStyle w:val="SingleTxtG"/>
      </w:pPr>
      <w:r>
        <w:t>5.6</w:t>
      </w:r>
      <w:r w:rsidR="00BC42FC">
        <w:tab/>
      </w:r>
      <w:r w:rsidR="00CF0191">
        <w:t>Señala que la</w:t>
      </w:r>
      <w:r w:rsidR="00F06529" w:rsidRPr="00CF0191">
        <w:t xml:space="preserve"> acción constitucional de tutela no es un recurso como tal, sino una nueva acción, diferente, </w:t>
      </w:r>
      <w:r w:rsidR="00F06529" w:rsidRPr="000A4994">
        <w:t>que no</w:t>
      </w:r>
      <w:r w:rsidR="00CF0191" w:rsidRPr="000A4994">
        <w:t xml:space="preserve"> </w:t>
      </w:r>
      <w:r w:rsidR="00F06529" w:rsidRPr="000A4994">
        <w:t>procede contra sentencias judiciales.</w:t>
      </w:r>
      <w:r w:rsidR="00CF0191" w:rsidRPr="000A4994">
        <w:t xml:space="preserve"> M</w:t>
      </w:r>
      <w:r w:rsidR="00F06529" w:rsidRPr="000A4994">
        <w:t>ientras un recurso se interpone</w:t>
      </w:r>
      <w:r w:rsidR="00CF0191" w:rsidRPr="000A4994">
        <w:t xml:space="preserve"> </w:t>
      </w:r>
      <w:r w:rsidR="00F06529" w:rsidRPr="000A4994">
        <w:t>dentro del proceso para discutir un asunto particular de la providencia que se ataca,</w:t>
      </w:r>
      <w:r w:rsidR="00CF0191" w:rsidRPr="000A4994">
        <w:t xml:space="preserve"> </w:t>
      </w:r>
      <w:r w:rsidR="00F06529" w:rsidRPr="000A4994">
        <w:t>la acción de amparo es una nueva acción, en la que se debate si el fallo es o no</w:t>
      </w:r>
      <w:r w:rsidR="00CF0191" w:rsidRPr="000A4994">
        <w:t xml:space="preserve"> </w:t>
      </w:r>
      <w:r w:rsidR="00F06529" w:rsidRPr="000A4994">
        <w:t>violatorio de los derechos fundamentales de la persona, pero no es un recurso contra</w:t>
      </w:r>
      <w:r w:rsidR="00CF0191" w:rsidRPr="000A4994">
        <w:t xml:space="preserve"> </w:t>
      </w:r>
      <w:r w:rsidR="00F06529" w:rsidRPr="000A4994">
        <w:t xml:space="preserve">el fallo propiamente dicho. </w:t>
      </w:r>
      <w:r w:rsidRPr="000A4994">
        <w:t>Además</w:t>
      </w:r>
      <w:r w:rsidR="00CF0191" w:rsidRPr="000A4994">
        <w:t>,</w:t>
      </w:r>
      <w:r w:rsidR="00F06529" w:rsidRPr="000A4994">
        <w:t xml:space="preserve"> tampoco es un medio idóneo el que la acción que se tramita contra</w:t>
      </w:r>
      <w:r w:rsidR="00CF0191" w:rsidRPr="000A4994">
        <w:t xml:space="preserve"> </w:t>
      </w:r>
      <w:r w:rsidR="00F06529" w:rsidRPr="000A4994">
        <w:t>una decisión de la Corte Suprema de Justicia la resuelva ella misma, convirtiéndose</w:t>
      </w:r>
      <w:r w:rsidR="00CF0191" w:rsidRPr="000A4994">
        <w:t xml:space="preserve"> </w:t>
      </w:r>
      <w:r w:rsidR="00F06529" w:rsidRPr="000A4994">
        <w:t>así en un asunto de mera formalidad</w:t>
      </w:r>
      <w:r w:rsidR="00B231FB">
        <w:t>,</w:t>
      </w:r>
      <w:r w:rsidR="00F06529" w:rsidRPr="000A4994">
        <w:t xml:space="preserve"> no en un verdadero recurso.</w:t>
      </w:r>
    </w:p>
    <w:p w14:paraId="3ACEDB1D" w14:textId="77777777" w:rsidR="00942994" w:rsidRDefault="00307B6D" w:rsidP="00942994">
      <w:pPr>
        <w:pStyle w:val="SingleTxtG"/>
      </w:pPr>
      <w:r>
        <w:t>5.7</w:t>
      </w:r>
      <w:r w:rsidR="00BC42FC">
        <w:tab/>
      </w:r>
      <w:r>
        <w:t>El autor c</w:t>
      </w:r>
      <w:r w:rsidR="00CF0191">
        <w:t>elebra</w:t>
      </w:r>
      <w:r w:rsidR="00F06529" w:rsidRPr="00CF0191">
        <w:t xml:space="preserve"> que el Estado </w:t>
      </w:r>
      <w:r w:rsidR="00CF0191">
        <w:t>parte</w:t>
      </w:r>
      <w:r w:rsidR="00F06529" w:rsidRPr="00CF0191">
        <w:t xml:space="preserve"> no recurra como en otras comunicaciones</w:t>
      </w:r>
      <w:r w:rsidR="00CF0191">
        <w:t xml:space="preserve"> </w:t>
      </w:r>
      <w:r w:rsidR="00F06529" w:rsidRPr="00CF0191">
        <w:t>de admisibilidad de otros casos a justificar la denegación del derecho a la segunda</w:t>
      </w:r>
      <w:r w:rsidR="00CF0191">
        <w:t xml:space="preserve"> </w:t>
      </w:r>
      <w:r w:rsidR="00F06529" w:rsidRPr="00CF0191">
        <w:t xml:space="preserve">instancia y/o a afirmar que la acción de tutela es un recurso interno. </w:t>
      </w:r>
      <w:r w:rsidR="00BC42FC">
        <w:t>Afirma que la falta de segunda instancia penal para determinadas personas bajo la jurisdicción del Estado parte constituye</w:t>
      </w:r>
      <w:r w:rsidR="00CF0191">
        <w:t xml:space="preserve"> “discriminación negativa de restricción y limitación”</w:t>
      </w:r>
      <w:r w:rsidR="00BC42FC">
        <w:t>.</w:t>
      </w:r>
      <w:r w:rsidR="00CF0191">
        <w:t xml:space="preserve"> </w:t>
      </w:r>
      <w:r w:rsidR="00942994" w:rsidRPr="00942994">
        <w:t>Con el fin de que se salvaguardar su derecho a apelar el fallo condenatorio, el autor se refiere a la jurisprudencia del Comité en ese sentido</w:t>
      </w:r>
      <w:r w:rsidR="00942994" w:rsidRPr="00E4242D">
        <w:rPr>
          <w:sz w:val="18"/>
          <w:szCs w:val="18"/>
          <w:vertAlign w:val="superscript"/>
        </w:rPr>
        <w:footnoteReference w:id="15"/>
      </w:r>
      <w:r w:rsidR="00942994" w:rsidRPr="00942994">
        <w:t xml:space="preserve">. </w:t>
      </w:r>
    </w:p>
    <w:p w14:paraId="2CB8B337" w14:textId="77777777" w:rsidR="00E00332" w:rsidRPr="00942994" w:rsidRDefault="00E00332" w:rsidP="00942994">
      <w:pPr>
        <w:pStyle w:val="SingleTxtG"/>
      </w:pPr>
      <w:r>
        <w:t>5.8</w:t>
      </w:r>
      <w:r w:rsidR="00BC42FC">
        <w:tab/>
        <w:t>El autor r</w:t>
      </w:r>
      <w:r>
        <w:t xml:space="preserve">eitera que el Estado parte ha violado sus derechos </w:t>
      </w:r>
      <w:r w:rsidR="00B231FB">
        <w:t xml:space="preserve">conforme al </w:t>
      </w:r>
      <w:r>
        <w:t>artículo 3 del Pacto ya que no ha garantizado a hombres y mujeres la igualdad en el goce de todos los derechos civiles y políticos establecidos en el Pacto, en concreto</w:t>
      </w:r>
      <w:r w:rsidR="00B231FB">
        <w:t>,</w:t>
      </w:r>
      <w:r>
        <w:t xml:space="preserve"> la igualdad en el goce del derecho reflejado en el artículo 14</w:t>
      </w:r>
      <w:r w:rsidR="00B231FB">
        <w:t>, párrafo</w:t>
      </w:r>
      <w:r>
        <w:t xml:space="preserve"> 5</w:t>
      </w:r>
      <w:r w:rsidR="00B231FB">
        <w:t>,</w:t>
      </w:r>
      <w:r>
        <w:t xml:space="preserve"> del Pacto. Reitera igualmente que el Estado parte, al negar a cierto tipo de funcionarios públicos el derecho consagrado en el artículo 14 </w:t>
      </w:r>
      <w:r w:rsidR="00B231FB">
        <w:t xml:space="preserve">párrafo </w:t>
      </w:r>
      <w:r>
        <w:t xml:space="preserve">5, ha violado también el derecho del autor </w:t>
      </w:r>
      <w:r w:rsidR="00B231FB">
        <w:t>en virtud d</w:t>
      </w:r>
      <w:r>
        <w:t xml:space="preserve">el artículo 26 que consagra la igualdad ante la ley y la igual protección de la ley. </w:t>
      </w:r>
    </w:p>
    <w:p w14:paraId="44C009FD" w14:textId="77777777" w:rsidR="00167C4F" w:rsidRDefault="00B97F5F">
      <w:pPr>
        <w:pStyle w:val="SingleTxtG"/>
      </w:pPr>
      <w:r w:rsidRPr="00AE0144">
        <w:lastRenderedPageBreak/>
        <w:t>5.</w:t>
      </w:r>
      <w:r w:rsidR="00AE0144" w:rsidRPr="00AE0144">
        <w:t>9</w:t>
      </w:r>
      <w:r w:rsidR="00BC42FC">
        <w:tab/>
      </w:r>
      <w:r w:rsidRPr="00AE0144">
        <w:t>El 12 de junio de 2017, el autor señala que</w:t>
      </w:r>
      <w:r w:rsidR="00224399" w:rsidRPr="00AE0144">
        <w:t xml:space="preserve"> altos funcionarios del Gobierno del Estado parte han reconocido la violación al derecho a acceder a una segunda </w:t>
      </w:r>
      <w:r w:rsidR="00442CBA">
        <w:t>instancia</w:t>
      </w:r>
      <w:r w:rsidR="00224399">
        <w:t xml:space="preserve"> para aforados. El autor sostiene que el </w:t>
      </w:r>
      <w:r w:rsidR="00442CBA">
        <w:t>Ministro</w:t>
      </w:r>
      <w:r w:rsidR="00224399">
        <w:t xml:space="preserve"> de Justicia, Enrique Gil Botero realiz</w:t>
      </w:r>
      <w:r w:rsidR="005F1246">
        <w:t>ó</w:t>
      </w:r>
      <w:r w:rsidR="00224399">
        <w:t xml:space="preserve"> unas declaraciones </w:t>
      </w:r>
      <w:r w:rsidR="00442CBA">
        <w:t>públicas</w:t>
      </w:r>
      <w:r w:rsidR="00224399">
        <w:t xml:space="preserve"> en ese sentido asegurando que</w:t>
      </w:r>
      <w:r w:rsidR="00514D3A">
        <w:t xml:space="preserve"> implantar la doble instancia para aforados </w:t>
      </w:r>
      <w:r w:rsidR="00514D3A" w:rsidRPr="00D442CA">
        <w:t>“</w:t>
      </w:r>
      <w:r w:rsidR="00442CBA" w:rsidRPr="00D442CA">
        <w:t xml:space="preserve">[e]s una necesidad muy sentida en Colombia, pues es un derecho universal que implica una afectación al debido proceso y al principio de igualdad. En el ordenamiento internacional nuestro país está en una situación de déficit. El artículo 8 de la Convención Americana </w:t>
      </w:r>
      <w:r w:rsidR="00920DC7" w:rsidRPr="00E4242D">
        <w:t>sobre</w:t>
      </w:r>
      <w:r w:rsidR="00442CBA" w:rsidRPr="00D442CA">
        <w:t xml:space="preserve"> Derechos Humanos consagra esa doble instancia. Por ello, la Corte Interamericana y el </w:t>
      </w:r>
      <w:r w:rsidR="00F634D8">
        <w:t>s</w:t>
      </w:r>
      <w:r w:rsidR="00442CBA" w:rsidRPr="00D442CA">
        <w:t xml:space="preserve">istema </w:t>
      </w:r>
      <w:r w:rsidR="00F634D8">
        <w:t>i</w:t>
      </w:r>
      <w:r w:rsidR="00442CBA" w:rsidRPr="00D442CA">
        <w:t>nteramericano pueden obligar al Estado colombiano a implementarla”</w:t>
      </w:r>
      <w:r w:rsidR="00442CBA" w:rsidRPr="00E4242D">
        <w:rPr>
          <w:rStyle w:val="Refdenotaalpie"/>
          <w:szCs w:val="18"/>
        </w:rPr>
        <w:footnoteReference w:id="16"/>
      </w:r>
      <w:r w:rsidR="00442CBA">
        <w:t>.</w:t>
      </w:r>
      <w:r w:rsidR="00A4024C">
        <w:t xml:space="preserve"> </w:t>
      </w:r>
      <w:r w:rsidR="00C00D9B">
        <w:t xml:space="preserve">Añade que el </w:t>
      </w:r>
      <w:r w:rsidR="0041766A">
        <w:t>m</w:t>
      </w:r>
      <w:r w:rsidR="00C00D9B">
        <w:t>inistro indic</w:t>
      </w:r>
      <w:r w:rsidR="005F1246" w:rsidRPr="005F1246">
        <w:t>ó</w:t>
      </w:r>
      <w:r w:rsidR="00C00D9B">
        <w:t xml:space="preserve"> que esta situación colocaba a los aforados en una situación de desventaja y que advirtió ante el Congreso de la Rep</w:t>
      </w:r>
      <w:r w:rsidR="00627F4C">
        <w:t>ú</w:t>
      </w:r>
      <w:r w:rsidR="00C00D9B">
        <w:t xml:space="preserve">blica que “la Corte </w:t>
      </w:r>
      <w:r w:rsidR="0041766A">
        <w:t>I</w:t>
      </w:r>
      <w:r w:rsidR="00C00D9B">
        <w:t>nteramericana en el inmediato futuro se pronunciar</w:t>
      </w:r>
      <w:r w:rsidR="0007468B">
        <w:t>á</w:t>
      </w:r>
      <w:r w:rsidR="00C00D9B">
        <w:t xml:space="preserve"> sobre la inobservancia de la doble instancia y que sería posible la revisión de sentencias con las consecuencias que se puedan desprender de estas”. </w:t>
      </w:r>
      <w:r w:rsidR="005F1246">
        <w:t xml:space="preserve">Señala igualmente que el </w:t>
      </w:r>
      <w:r w:rsidR="00E0673A">
        <w:t>Vicem</w:t>
      </w:r>
      <w:r w:rsidR="005F1246">
        <w:t>inistro de Interior, Guillermo Rivera indic</w:t>
      </w:r>
      <w:r w:rsidR="00407EC2" w:rsidRPr="00407EC2">
        <w:t>ó</w:t>
      </w:r>
      <w:r w:rsidR="005F1246">
        <w:t xml:space="preserve"> que “no se trata de una d</w:t>
      </w:r>
      <w:r w:rsidR="00F10A51">
        <w:t>á</w:t>
      </w:r>
      <w:r w:rsidR="005F1246">
        <w:t>diva, no se trata de hacerle una concesión al Congreso o a los aforados constitucionales, sino de un derecho que estábamos en mora de reconocer</w:t>
      </w:r>
      <w:r w:rsidR="005F1246" w:rsidRPr="00E4242D">
        <w:rPr>
          <w:rStyle w:val="Refdenotaalpie"/>
          <w:szCs w:val="18"/>
        </w:rPr>
        <w:footnoteReference w:id="17"/>
      </w:r>
      <w:r w:rsidR="005F1246">
        <w:t xml:space="preserve">”. </w:t>
      </w:r>
      <w:r w:rsidR="00085DFF">
        <w:t>El Fi</w:t>
      </w:r>
      <w:r w:rsidR="00085DFF" w:rsidRPr="00085DFF">
        <w:t xml:space="preserve">scal general de la Nación, Néstor Humberto Martínez, </w:t>
      </w:r>
      <w:r w:rsidR="00407EC2">
        <w:t>señal</w:t>
      </w:r>
      <w:r w:rsidR="00407EC2" w:rsidRPr="00085DFF">
        <w:t>ó</w:t>
      </w:r>
      <w:r w:rsidR="00085DFF" w:rsidRPr="00085DFF">
        <w:t xml:space="preserve"> que </w:t>
      </w:r>
      <w:r w:rsidR="00085DFF" w:rsidRPr="00D442CA">
        <w:t>“la ausencia de la doble instancia toca el sentir de muchos académicos y juristas que consideran que sin doble instancia se afecta la integridad de las investigaciones que se llevan con relación a los congresistas”</w:t>
      </w:r>
      <w:r w:rsidR="00085DFF" w:rsidRPr="00E4242D">
        <w:rPr>
          <w:rStyle w:val="Refdenotaalpie"/>
          <w:szCs w:val="18"/>
        </w:rPr>
        <w:footnoteReference w:id="18"/>
      </w:r>
      <w:r w:rsidR="00085DFF" w:rsidRPr="00D442CA">
        <w:t>.</w:t>
      </w:r>
      <w:r w:rsidR="00AD0530">
        <w:t xml:space="preserve"> </w:t>
      </w:r>
    </w:p>
    <w:p w14:paraId="164C13EB" w14:textId="77777777" w:rsidR="001E2C79" w:rsidRDefault="00167C4F" w:rsidP="00442CBA">
      <w:pPr>
        <w:pStyle w:val="SingleTxtG"/>
      </w:pPr>
      <w:r>
        <w:t>5.10</w:t>
      </w:r>
      <w:r w:rsidR="00BC42FC">
        <w:tab/>
      </w:r>
      <w:r w:rsidR="00AD0530">
        <w:t xml:space="preserve">En opinión del autor, estas declaraciones evidencian un reconocimiento expreso de la actual violación del </w:t>
      </w:r>
      <w:r w:rsidR="004E32A8">
        <w:t>artículo</w:t>
      </w:r>
      <w:r w:rsidR="00AD0530">
        <w:t xml:space="preserve"> 14</w:t>
      </w:r>
      <w:r w:rsidR="0041766A">
        <w:t xml:space="preserve">, párrafo </w:t>
      </w:r>
      <w:r w:rsidR="00AD0530">
        <w:t>5</w:t>
      </w:r>
      <w:r w:rsidR="0041766A">
        <w:t>,</w:t>
      </w:r>
      <w:r w:rsidR="00AD0530">
        <w:t xml:space="preserve"> del Pacto sobre el derecho a revisión del fallo por un tribunal superior. El Estado parte no tiene otra opción que admitir la falta de adecuación de su ordenamiento jurídico interno respecto del derecho en cuestión y proceder a adoptar las medidas necesarias para lograr la efectividad de este derecho. </w:t>
      </w:r>
    </w:p>
    <w:p w14:paraId="7FA4CC26" w14:textId="77777777" w:rsidR="00B97F5F" w:rsidRDefault="00E22B71" w:rsidP="00E22B71">
      <w:pPr>
        <w:pStyle w:val="H23G"/>
      </w:pPr>
      <w:r>
        <w:tab/>
      </w:r>
      <w:r>
        <w:tab/>
      </w:r>
      <w:r w:rsidR="004E32A8" w:rsidRPr="004E32A8">
        <w:t xml:space="preserve">Observaciones adicionales del Estado parte </w:t>
      </w:r>
    </w:p>
    <w:p w14:paraId="7038CD54" w14:textId="77777777" w:rsidR="004E32A8" w:rsidRDefault="004E32A8" w:rsidP="00442CBA">
      <w:pPr>
        <w:pStyle w:val="SingleTxtG"/>
      </w:pPr>
      <w:r>
        <w:rPr>
          <w:lang w:val="es-ES_tradnl"/>
        </w:rPr>
        <w:t>6.1</w:t>
      </w:r>
      <w:r w:rsidR="00BC42FC">
        <w:rPr>
          <w:lang w:val="es-ES_tradnl"/>
        </w:rPr>
        <w:tab/>
      </w:r>
      <w:r>
        <w:rPr>
          <w:lang w:val="es-ES_tradnl"/>
        </w:rPr>
        <w:t xml:space="preserve">Mediante nota verbal de 14 de junio de 2017, </w:t>
      </w:r>
      <w:r>
        <w:t xml:space="preserve">el Estado parte </w:t>
      </w:r>
      <w:r w:rsidR="007E5BBF">
        <w:t>reiter</w:t>
      </w:r>
      <w:r w:rsidR="00572FD1" w:rsidRPr="00572FD1">
        <w:t>ó</w:t>
      </w:r>
      <w:r w:rsidR="007E5BBF">
        <w:t xml:space="preserve"> su solicitud al Comité para que rechace la comunicación del autor por incurrir en manifiestas causales de inadmisibilidad. Indica que las expresiones contenidas en los últimos comentarios del autor restan seriedad a la controversia jurídica. </w:t>
      </w:r>
      <w:r w:rsidR="00624CBE">
        <w:t xml:space="preserve">Insinuaciones </w:t>
      </w:r>
      <w:r w:rsidR="0041766A">
        <w:t xml:space="preserve">tales </w:t>
      </w:r>
      <w:r w:rsidR="00624CBE">
        <w:t xml:space="preserve">como que el Estado parte no </w:t>
      </w:r>
      <w:r w:rsidR="00CD4CFA">
        <w:t>actúa</w:t>
      </w:r>
      <w:r w:rsidR="00624CBE">
        <w:t xml:space="preserve"> de buena fe o que pretende llamar a engaños al Comité u ocultarle información o que el Estado parte hace afirmaciones fraudulentas son completamente inadmisibles y denotan la falta de argumentos de fondo por parte del autor. </w:t>
      </w:r>
      <w:r w:rsidR="003D3CCB">
        <w:t xml:space="preserve">Solicita al Comité que no considere esta clase de comunicaciones que agreden la dignidad del Estado y la de sus instituciones y representantes. </w:t>
      </w:r>
    </w:p>
    <w:p w14:paraId="4E2A15B6" w14:textId="77777777" w:rsidR="00C348CE" w:rsidRDefault="00572FD1" w:rsidP="00442CBA">
      <w:pPr>
        <w:pStyle w:val="SingleTxtG"/>
      </w:pPr>
      <w:r>
        <w:t>6.2</w:t>
      </w:r>
      <w:r w:rsidR="00BC42FC">
        <w:tab/>
        <w:t>El Estado parte r</w:t>
      </w:r>
      <w:r w:rsidR="00C348CE">
        <w:t>eitera que el autor present</w:t>
      </w:r>
      <w:r w:rsidR="00BD3BF6">
        <w:t>ó</w:t>
      </w:r>
      <w:r w:rsidR="00C348CE">
        <w:t xml:space="preserve"> su queja con anterioridad ante la Comisión Interamericana de Derechos Humanos y ante el Consejo de Derechos Humanos. Igualmente reitera que la comunicación constituye un abuso de</w:t>
      </w:r>
      <w:r w:rsidR="0007468B">
        <w:t>l</w:t>
      </w:r>
      <w:r w:rsidR="00C348CE">
        <w:t xml:space="preserve"> derecho ya que fue presentada al Comité tras más de cinco años después de la última decisión judicial que motiv</w:t>
      </w:r>
      <w:r w:rsidR="00BC42FC">
        <w:t>ó</w:t>
      </w:r>
      <w:r w:rsidR="00C348CE">
        <w:t xml:space="preserve"> la comunicación. </w:t>
      </w:r>
      <w:r w:rsidR="00D34E98">
        <w:t xml:space="preserve">Indica que el </w:t>
      </w:r>
      <w:r w:rsidR="0041766A">
        <w:t xml:space="preserve">apartado </w:t>
      </w:r>
      <w:r w:rsidR="00D34E98">
        <w:t xml:space="preserve">c) del </w:t>
      </w:r>
      <w:r w:rsidR="00D34E98" w:rsidRPr="0007468B">
        <w:t>artículo 9</w:t>
      </w:r>
      <w:r w:rsidR="0007468B">
        <w:t>9</w:t>
      </w:r>
      <w:r w:rsidR="00D34E98">
        <w:t xml:space="preserve"> del </w:t>
      </w:r>
      <w:r w:rsidR="0041766A">
        <w:t>r</w:t>
      </w:r>
      <w:r w:rsidR="00D34E98">
        <w:t>eglamento del Comité prescribe que podrá constituir abuso de ese derecho la presentación de una comunicación cinco años después del agotamie</w:t>
      </w:r>
      <w:r w:rsidR="00011DB4">
        <w:t>nto de los recursos internos por</w:t>
      </w:r>
      <w:r w:rsidR="00D34E98">
        <w:t xml:space="preserve"> su autor o, en su caso, tres años después de la conclusión de otro procedimiento de ex</w:t>
      </w:r>
      <w:r>
        <w:t>amen o arreglo internacionales</w:t>
      </w:r>
      <w:r w:rsidR="00D34E98">
        <w:t xml:space="preserve">, a menos que la demora esté justificada habida cuenta de todas las circunstancias de la comunicación. </w:t>
      </w:r>
    </w:p>
    <w:p w14:paraId="3F8FCD3F" w14:textId="77777777" w:rsidR="008B75DC" w:rsidRPr="008B75DC" w:rsidRDefault="00572FD1" w:rsidP="002A3A13">
      <w:pPr>
        <w:pStyle w:val="SingleTxtG"/>
      </w:pPr>
      <w:r w:rsidRPr="002A3A13">
        <w:t>6.3</w:t>
      </w:r>
      <w:r w:rsidR="00BC42FC">
        <w:tab/>
      </w:r>
      <w:r w:rsidRPr="002A3A13">
        <w:t xml:space="preserve">Mediante nota verbal de </w:t>
      </w:r>
      <w:r w:rsidR="009A089E" w:rsidRPr="002A3A13">
        <w:t>22</w:t>
      </w:r>
      <w:r w:rsidR="008B75DC" w:rsidRPr="002A3A13">
        <w:t xml:space="preserve"> de junio</w:t>
      </w:r>
      <w:r w:rsidRPr="002A3A13">
        <w:t xml:space="preserve"> de 2017, el Estado parte</w:t>
      </w:r>
      <w:r w:rsidR="002021EA" w:rsidRPr="002A3A13">
        <w:t xml:space="preserve"> </w:t>
      </w:r>
      <w:r w:rsidR="00011DB4">
        <w:t>s</w:t>
      </w:r>
      <w:r w:rsidR="005C2068">
        <w:t>eñala</w:t>
      </w:r>
      <w:r w:rsidR="002021EA" w:rsidRPr="002A3A13">
        <w:t xml:space="preserve"> que el proceso penal </w:t>
      </w:r>
      <w:r w:rsidR="00BC42FC">
        <w:t xml:space="preserve">contra </w:t>
      </w:r>
      <w:r w:rsidR="002021EA" w:rsidRPr="002A3A13">
        <w:t xml:space="preserve">el autor ante la Corte Suprema de Justicia estuvo revestido de total legitimidad y enmarcado en el </w:t>
      </w:r>
      <w:r w:rsidR="002A3A13" w:rsidRPr="002A3A13">
        <w:t>ordenamiento</w:t>
      </w:r>
      <w:r w:rsidR="002021EA" w:rsidRPr="002A3A13">
        <w:t xml:space="preserve"> jurídico colombiano en estricto cumplimiento de la </w:t>
      </w:r>
      <w:r w:rsidR="008B75DC" w:rsidRPr="008B75DC">
        <w:lastRenderedPageBreak/>
        <w:t>Constitución Política, la legislación y la</w:t>
      </w:r>
      <w:r w:rsidR="002021EA">
        <w:t xml:space="preserve"> </w:t>
      </w:r>
      <w:r w:rsidR="008B75DC" w:rsidRPr="008B75DC">
        <w:t>jurisprudencia</w:t>
      </w:r>
      <w:r w:rsidR="002021EA">
        <w:t xml:space="preserve"> y </w:t>
      </w:r>
      <w:r w:rsidR="008B75DC" w:rsidRPr="008B75DC">
        <w:t xml:space="preserve">en observancia de los derechos humanos </w:t>
      </w:r>
      <w:r w:rsidR="002021EA">
        <w:t>del autor</w:t>
      </w:r>
      <w:r w:rsidR="008B75DC" w:rsidRPr="008B75DC">
        <w:t xml:space="preserve"> que le asisten en su calidad de ciudadano y procesado</w:t>
      </w:r>
      <w:r w:rsidR="002A3A13" w:rsidRPr="00E4242D">
        <w:rPr>
          <w:rStyle w:val="Refdenotaalpie"/>
          <w:szCs w:val="18"/>
        </w:rPr>
        <w:footnoteReference w:id="19"/>
      </w:r>
      <w:r w:rsidR="008B75DC" w:rsidRPr="008B75DC">
        <w:t>.</w:t>
      </w:r>
      <w:r w:rsidR="002A3A13" w:rsidRPr="002A3A13">
        <w:t xml:space="preserve"> </w:t>
      </w:r>
    </w:p>
    <w:p w14:paraId="0AC1B378" w14:textId="77777777" w:rsidR="008B75DC" w:rsidRPr="008B75DC" w:rsidRDefault="00C2675A" w:rsidP="008B75DC">
      <w:pPr>
        <w:pStyle w:val="SingleTxtG"/>
      </w:pPr>
      <w:r>
        <w:t>6.4</w:t>
      </w:r>
      <w:r w:rsidR="00BC42FC">
        <w:tab/>
      </w:r>
      <w:r w:rsidR="00406A58">
        <w:t>R</w:t>
      </w:r>
      <w:r w:rsidR="008B75DC" w:rsidRPr="008B75DC">
        <w:t>especto de la ausencia de la doble instancia en el</w:t>
      </w:r>
      <w:r w:rsidR="00406A58">
        <w:t xml:space="preserve"> </w:t>
      </w:r>
      <w:r w:rsidR="008B75DC" w:rsidRPr="008B75DC">
        <w:t xml:space="preserve">proceso adelantado contra </w:t>
      </w:r>
      <w:r w:rsidR="00406A58">
        <w:t>el autor</w:t>
      </w:r>
      <w:r w:rsidR="008B75DC" w:rsidRPr="008B75DC">
        <w:t xml:space="preserve">, </w:t>
      </w:r>
      <w:r w:rsidR="00406A58">
        <w:t xml:space="preserve">el Estado parte </w:t>
      </w:r>
      <w:r>
        <w:t>indica</w:t>
      </w:r>
      <w:r w:rsidR="008B75DC" w:rsidRPr="008B75DC">
        <w:t xml:space="preserve"> que la jurisprudencia</w:t>
      </w:r>
      <w:r w:rsidR="00406A58">
        <w:t xml:space="preserve"> </w:t>
      </w:r>
      <w:r w:rsidR="008B75DC" w:rsidRPr="008B75DC">
        <w:t>constitucional ha considerado el juzgamiento de altos funcionarios por parte</w:t>
      </w:r>
      <w:r w:rsidR="00406A58">
        <w:t xml:space="preserve"> </w:t>
      </w:r>
      <w:r w:rsidR="008B75DC" w:rsidRPr="008B75DC">
        <w:t xml:space="preserve">de la Corte Suprema de Justicia como </w:t>
      </w:r>
      <w:r w:rsidR="00406A58">
        <w:t>“</w:t>
      </w:r>
      <w:r w:rsidR="008B75DC" w:rsidRPr="008B75DC">
        <w:t>la máxima garantía del debid</w:t>
      </w:r>
      <w:r w:rsidR="00406A58">
        <w:t>o proc</w:t>
      </w:r>
      <w:r w:rsidR="008B75DC" w:rsidRPr="008B75DC">
        <w:t>eso</w:t>
      </w:r>
      <w:r w:rsidR="00406A58">
        <w:t>”</w:t>
      </w:r>
      <w:r w:rsidR="008B75DC" w:rsidRPr="008B75DC">
        <w:t>, en la medida de que se trata del órgano superior de la</w:t>
      </w:r>
      <w:r w:rsidR="00406A58">
        <w:t xml:space="preserve"> </w:t>
      </w:r>
      <w:r w:rsidR="008B75DC" w:rsidRPr="008B75DC">
        <w:t>jurisdicción cu</w:t>
      </w:r>
      <w:r>
        <w:t xml:space="preserve">yo carácter colegiado, comporta, </w:t>
      </w:r>
      <w:r w:rsidR="008B75DC" w:rsidRPr="008B75DC">
        <w:t>en palabras de la Corte</w:t>
      </w:r>
      <w:r w:rsidR="00406A58">
        <w:t xml:space="preserve"> </w:t>
      </w:r>
      <w:r w:rsidR="008B75DC" w:rsidRPr="008B75DC">
        <w:t>Constitucional</w:t>
      </w:r>
      <w:r>
        <w:t>,</w:t>
      </w:r>
      <w:r w:rsidR="008B75DC" w:rsidRPr="008B75DC">
        <w:t xml:space="preserve"> ventajas como el escapar a la eventualidad de los errores</w:t>
      </w:r>
      <w:r w:rsidR="00406A58">
        <w:t xml:space="preserve"> </w:t>
      </w:r>
      <w:r w:rsidR="008B75DC" w:rsidRPr="008B75DC">
        <w:t>cometidos por los jueces o tribunales inferiores, a las cuales se suma la</w:t>
      </w:r>
      <w:r w:rsidR="00406A58">
        <w:t xml:space="preserve"> </w:t>
      </w:r>
      <w:r w:rsidR="008B75DC" w:rsidRPr="008B75DC">
        <w:t>posibilidad de ejercer la acción de revisión una vez ejecutoriada la</w:t>
      </w:r>
      <w:r w:rsidR="00406A58">
        <w:t xml:space="preserve"> sentencia</w:t>
      </w:r>
      <w:r w:rsidR="00406A58" w:rsidRPr="00E4242D">
        <w:rPr>
          <w:rStyle w:val="Refdenotaalpie"/>
          <w:szCs w:val="18"/>
        </w:rPr>
        <w:footnoteReference w:id="20"/>
      </w:r>
      <w:r w:rsidR="008B75DC" w:rsidRPr="008B75DC">
        <w:t>.</w:t>
      </w:r>
    </w:p>
    <w:p w14:paraId="440EC44E" w14:textId="77777777" w:rsidR="008B75DC" w:rsidRPr="008B75DC" w:rsidRDefault="00D45DB7" w:rsidP="008B75DC">
      <w:pPr>
        <w:pStyle w:val="SingleTxtG"/>
      </w:pPr>
      <w:r>
        <w:t>6.5</w:t>
      </w:r>
      <w:r w:rsidR="00BC42FC">
        <w:tab/>
        <w:t>El Estado parte r</w:t>
      </w:r>
      <w:r>
        <w:t>esalta</w:t>
      </w:r>
      <w:r w:rsidR="008B75DC" w:rsidRPr="008B75DC">
        <w:t xml:space="preserve"> que la Sala Penal de la Corte </w:t>
      </w:r>
      <w:r w:rsidR="00FE7D3D">
        <w:t xml:space="preserve">Suprema de Justicia </w:t>
      </w:r>
      <w:r w:rsidR="008B75DC" w:rsidRPr="008B75DC">
        <w:t>declaró en audiencia preparatoria</w:t>
      </w:r>
      <w:r w:rsidR="00A15C7A">
        <w:t xml:space="preserve"> </w:t>
      </w:r>
      <w:r w:rsidR="008B75DC" w:rsidRPr="008B75DC">
        <w:t xml:space="preserve">la nulidad frente a algunos de </w:t>
      </w:r>
      <w:r w:rsidR="00A15C7A">
        <w:t>los delitos de los que fue acusado el autor</w:t>
      </w:r>
      <w:r w:rsidR="008B75DC" w:rsidRPr="008B75DC">
        <w:t xml:space="preserve"> por violación al debido proceso y</w:t>
      </w:r>
      <w:r w:rsidR="00A15C7A">
        <w:t xml:space="preserve"> </w:t>
      </w:r>
      <w:r w:rsidR="008B75DC" w:rsidRPr="008B75DC">
        <w:t>derecho de defensa, y adicionalmente eliminó el agravante en el delito de</w:t>
      </w:r>
      <w:r w:rsidR="00A15C7A">
        <w:t xml:space="preserve"> </w:t>
      </w:r>
      <w:r w:rsidR="008B75DC" w:rsidRPr="008B75DC">
        <w:t>homicidio</w:t>
      </w:r>
      <w:r w:rsidR="00FE7D3D">
        <w:t>,</w:t>
      </w:r>
      <w:r w:rsidR="008B75DC" w:rsidRPr="008B75DC">
        <w:t xml:space="preserve"> situación que deja sin fundamento la afirmación genérica que</w:t>
      </w:r>
      <w:r w:rsidR="00A15C7A">
        <w:t xml:space="preserve"> </w:t>
      </w:r>
      <w:r w:rsidR="008B75DC" w:rsidRPr="008B75DC">
        <w:t xml:space="preserve">hace </w:t>
      </w:r>
      <w:r w:rsidR="00FE7D3D">
        <w:t xml:space="preserve">el autor </w:t>
      </w:r>
      <w:r w:rsidR="008B75DC" w:rsidRPr="008B75DC">
        <w:t>en cuanto a que por razón de esa situación hubo vulneración de sus</w:t>
      </w:r>
      <w:r w:rsidR="00A15C7A">
        <w:t xml:space="preserve"> </w:t>
      </w:r>
      <w:r w:rsidR="008B75DC" w:rsidRPr="008B75DC">
        <w:t>derechos</w:t>
      </w:r>
      <w:r w:rsidR="008B75DC" w:rsidRPr="0033087B">
        <w:t>.</w:t>
      </w:r>
      <w:r w:rsidR="00A15C7A" w:rsidRPr="0033087B">
        <w:t xml:space="preserve"> </w:t>
      </w:r>
      <w:r w:rsidR="0033087B" w:rsidRPr="0033087B">
        <w:t>Indica que l</w:t>
      </w:r>
      <w:r w:rsidR="008B75DC" w:rsidRPr="0033087B">
        <w:t>a norma procesal que r</w:t>
      </w:r>
      <w:r w:rsidR="00376FF8">
        <w:t xml:space="preserve">igió </w:t>
      </w:r>
      <w:r w:rsidR="008B75DC" w:rsidRPr="0033087B">
        <w:t>el proceso penal fue la Ley 600 de 2000,</w:t>
      </w:r>
      <w:r w:rsidR="00A15C7A" w:rsidRPr="0033087B">
        <w:t xml:space="preserve"> ya que la actual</w:t>
      </w:r>
      <w:r w:rsidR="008B75DC" w:rsidRPr="0033087B">
        <w:t xml:space="preserve"> Ley 906 de 2004, aún no había entrado </w:t>
      </w:r>
      <w:r w:rsidR="00376FF8">
        <w:t xml:space="preserve">en vigor </w:t>
      </w:r>
      <w:r w:rsidR="008B75DC" w:rsidRPr="0033087B">
        <w:t xml:space="preserve">y </w:t>
      </w:r>
      <w:r w:rsidR="0033087B" w:rsidRPr="0033087B">
        <w:t xml:space="preserve">que, </w:t>
      </w:r>
      <w:r w:rsidR="008B75DC" w:rsidRPr="0033087B">
        <w:t>con</w:t>
      </w:r>
      <w:r w:rsidR="00A15C7A" w:rsidRPr="0033087B">
        <w:t xml:space="preserve"> </w:t>
      </w:r>
      <w:r w:rsidR="008B75DC" w:rsidRPr="0033087B">
        <w:t xml:space="preserve">independencia de las bondades que para el </w:t>
      </w:r>
      <w:r w:rsidR="0033087B" w:rsidRPr="0033087B">
        <w:t>autor</w:t>
      </w:r>
      <w:r w:rsidR="008B75DC" w:rsidRPr="0033087B">
        <w:t xml:space="preserve"> tenga esta última</w:t>
      </w:r>
      <w:r w:rsidR="00A15C7A" w:rsidRPr="0033087B">
        <w:t xml:space="preserve"> </w:t>
      </w:r>
      <w:r w:rsidR="008B75DC" w:rsidRPr="0033087B">
        <w:t>normativa, la Ley 600 también es respetuosa de</w:t>
      </w:r>
      <w:r w:rsidR="00A15C7A" w:rsidRPr="0033087B">
        <w:t xml:space="preserve"> </w:t>
      </w:r>
      <w:r w:rsidR="008B75DC" w:rsidRPr="0033087B">
        <w:t>los derechos humanos y las libertades fundamentales de los acusados</w:t>
      </w:r>
      <w:r w:rsidR="00A15C7A" w:rsidRPr="0033087B">
        <w:t xml:space="preserve"> </w:t>
      </w:r>
      <w:r w:rsidR="008B75DC" w:rsidRPr="0033087B">
        <w:t>penales.</w:t>
      </w:r>
    </w:p>
    <w:p w14:paraId="058DC9A5" w14:textId="77777777" w:rsidR="008B75DC" w:rsidRPr="008B75DC" w:rsidRDefault="0090423E" w:rsidP="008B75DC">
      <w:pPr>
        <w:pStyle w:val="SingleTxtG"/>
      </w:pPr>
      <w:r>
        <w:t>6.6</w:t>
      </w:r>
      <w:r w:rsidR="00BC42FC">
        <w:tab/>
      </w:r>
      <w:r w:rsidR="00A15C7A">
        <w:t>El Estado parte sostiene que</w:t>
      </w:r>
      <w:r w:rsidR="004A7CB6">
        <w:t>, contrariamente a lo señalado por el autor,</w:t>
      </w:r>
      <w:r w:rsidR="00A15C7A">
        <w:t xml:space="preserve"> </w:t>
      </w:r>
      <w:r w:rsidR="004A7CB6" w:rsidRPr="008B75DC">
        <w:t>la sentencia</w:t>
      </w:r>
      <w:r w:rsidR="004A7CB6">
        <w:t xml:space="preserve"> </w:t>
      </w:r>
      <w:r w:rsidR="00A15C7A">
        <w:t>n</w:t>
      </w:r>
      <w:r w:rsidR="008B75DC" w:rsidRPr="008B75DC">
        <w:t xml:space="preserve">o </w:t>
      </w:r>
      <w:r w:rsidR="004A7CB6">
        <w:t>se sustentó en</w:t>
      </w:r>
      <w:r w:rsidR="008B75DC" w:rsidRPr="008B75DC">
        <w:t xml:space="preserve"> un solo testimonio</w:t>
      </w:r>
      <w:r w:rsidR="004A7CB6">
        <w:t>. D</w:t>
      </w:r>
      <w:r w:rsidR="008B75DC" w:rsidRPr="008B75DC">
        <w:t>e su lectura</w:t>
      </w:r>
      <w:r w:rsidR="00DC1A46">
        <w:t xml:space="preserve"> </w:t>
      </w:r>
      <w:r w:rsidR="008B75DC" w:rsidRPr="008B75DC">
        <w:t xml:space="preserve">se </w:t>
      </w:r>
      <w:r w:rsidR="004A7CB6">
        <w:t>deduce fácilmente</w:t>
      </w:r>
      <w:r w:rsidR="008B75DC" w:rsidRPr="008B75DC">
        <w:t xml:space="preserve"> que fueron numerosos los medios de prueba</w:t>
      </w:r>
      <w:r w:rsidR="00DC1A46">
        <w:t xml:space="preserve"> </w:t>
      </w:r>
      <w:r w:rsidR="008B75DC" w:rsidRPr="008B75DC">
        <w:t>allegados</w:t>
      </w:r>
      <w:r w:rsidR="004A7CB6">
        <w:t xml:space="preserve"> (</w:t>
      </w:r>
      <w:r w:rsidR="008B75DC" w:rsidRPr="008B75DC">
        <w:t>testimonios</w:t>
      </w:r>
      <w:r w:rsidR="004A7CB6">
        <w:t>,</w:t>
      </w:r>
      <w:r w:rsidR="008B75DC" w:rsidRPr="008B75DC">
        <w:t xml:space="preserve"> documentos, inspecciones judiciales</w:t>
      </w:r>
      <w:r w:rsidR="004A7CB6">
        <w:t>)</w:t>
      </w:r>
      <w:r w:rsidR="008B75DC" w:rsidRPr="008B75DC">
        <w:t xml:space="preserve"> durante la</w:t>
      </w:r>
      <w:r w:rsidR="00DC1A46">
        <w:t xml:space="preserve"> </w:t>
      </w:r>
      <w:r w:rsidR="008B75DC" w:rsidRPr="008B75DC">
        <w:t>investigación y en el juicio, valorados en su conjunto de acuerdo con las</w:t>
      </w:r>
      <w:r w:rsidR="00DC1A46">
        <w:t xml:space="preserve"> </w:t>
      </w:r>
      <w:r w:rsidR="008B75DC" w:rsidRPr="008B75DC">
        <w:t>reglas de la sana critica.</w:t>
      </w:r>
    </w:p>
    <w:p w14:paraId="2B7D623C" w14:textId="77777777" w:rsidR="008B75DC" w:rsidRPr="008B75DC" w:rsidRDefault="004A7CB6" w:rsidP="00DC1A46">
      <w:pPr>
        <w:pStyle w:val="SingleTxtG"/>
      </w:pPr>
      <w:r>
        <w:t>6.7</w:t>
      </w:r>
      <w:r w:rsidR="00BC42FC">
        <w:tab/>
      </w:r>
      <w:r w:rsidR="008B75DC" w:rsidRPr="008B75DC">
        <w:t xml:space="preserve">Afirmaciones como que la </w:t>
      </w:r>
      <w:r w:rsidR="00920DC7">
        <w:t>F</w:t>
      </w:r>
      <w:r w:rsidR="008B75DC" w:rsidRPr="008B75DC">
        <w:t xml:space="preserve">iscal </w:t>
      </w:r>
      <w:r w:rsidR="00920DC7">
        <w:t>A</w:t>
      </w:r>
      <w:r w:rsidR="008B75DC" w:rsidRPr="008B75DC">
        <w:t>uxiliar nombrada posteriormente</w:t>
      </w:r>
      <w:r w:rsidR="00DC1A46">
        <w:t xml:space="preserve"> </w:t>
      </w:r>
      <w:r w:rsidR="008B75DC" w:rsidRPr="008B75DC">
        <w:t>magistrada auxiliar de la Sala, asumió doble rol de acusadora y juez</w:t>
      </w:r>
      <w:r w:rsidR="00270966">
        <w:t>a</w:t>
      </w:r>
      <w:r w:rsidR="008B75DC" w:rsidRPr="008B75DC">
        <w:t>, o que</w:t>
      </w:r>
      <w:r w:rsidR="00DC1A46">
        <w:t xml:space="preserve"> </w:t>
      </w:r>
      <w:r w:rsidR="008B75DC" w:rsidRPr="008B75DC">
        <w:t>los magistrados auxiliares son los que deciden la suerte de los procesos,</w:t>
      </w:r>
      <w:r w:rsidR="00DC1A46">
        <w:t xml:space="preserve"> </w:t>
      </w:r>
      <w:r w:rsidR="008B75DC" w:rsidRPr="008B75DC">
        <w:t>s</w:t>
      </w:r>
      <w:r w:rsidR="00920DC7">
        <w:t>o</w:t>
      </w:r>
      <w:r w:rsidR="008B75DC" w:rsidRPr="008B75DC">
        <w:t>lo corresponden al desconocimiento de temas</w:t>
      </w:r>
      <w:r w:rsidR="00DC1A46">
        <w:t xml:space="preserve"> </w:t>
      </w:r>
      <w:r w:rsidR="008B75DC" w:rsidRPr="008B75DC">
        <w:t>procesales, constitucionales y de la dinámica de operación de los</w:t>
      </w:r>
      <w:r w:rsidR="00DC1A46">
        <w:t xml:space="preserve"> </w:t>
      </w:r>
      <w:r w:rsidR="008B75DC" w:rsidRPr="008B75DC">
        <w:t>despachos al interior de la Sala de Casación Penal, teniendo en cuenta que</w:t>
      </w:r>
      <w:r w:rsidR="00DC1A46">
        <w:t xml:space="preserve"> </w:t>
      </w:r>
      <w:r w:rsidR="008B75DC" w:rsidRPr="008B75DC">
        <w:t>los mismos no tienen jurisdicción ni competencia para resolver los casos de</w:t>
      </w:r>
      <w:r w:rsidR="00DC1A46">
        <w:t xml:space="preserve"> </w:t>
      </w:r>
      <w:r w:rsidR="008B75DC" w:rsidRPr="008B75DC">
        <w:t>exclusivo conocimiento de los fiscales, jueces y tribunales penales en</w:t>
      </w:r>
      <w:r w:rsidR="00DC1A46">
        <w:t xml:space="preserve"> </w:t>
      </w:r>
      <w:r w:rsidR="008B75DC" w:rsidRPr="008B75DC">
        <w:t>Colombia. Sus atribuciones están limitadas a colaborar en el impulso de las</w:t>
      </w:r>
      <w:r w:rsidR="00DC1A46">
        <w:t xml:space="preserve"> </w:t>
      </w:r>
      <w:r w:rsidR="008B75DC" w:rsidRPr="008B75DC">
        <w:t>actuaciones y en la elaboración de proyectos dirigidos y decididos por el</w:t>
      </w:r>
      <w:r w:rsidR="00DC1A46">
        <w:t xml:space="preserve"> </w:t>
      </w:r>
      <w:r w:rsidR="008B75DC" w:rsidRPr="008B75DC">
        <w:t>operador competente encargado del asunto, a tal punto que los magistrados</w:t>
      </w:r>
      <w:r w:rsidR="00DC1A46">
        <w:t xml:space="preserve"> </w:t>
      </w:r>
      <w:r w:rsidR="008B75DC" w:rsidRPr="008B75DC">
        <w:t>auxiliares se catalogan como empleados y no como funcionarios</w:t>
      </w:r>
      <w:r w:rsidR="00DC1A46">
        <w:t xml:space="preserve"> </w:t>
      </w:r>
      <w:r w:rsidR="008B75DC" w:rsidRPr="008B75DC">
        <w:t xml:space="preserve">judiciales. </w:t>
      </w:r>
    </w:p>
    <w:p w14:paraId="042E607B" w14:textId="77777777" w:rsidR="00845C06" w:rsidRPr="00DB0114" w:rsidRDefault="00574B31" w:rsidP="00845C06">
      <w:pPr>
        <w:pStyle w:val="SingleTxtG"/>
      </w:pPr>
      <w:r>
        <w:t>6.8</w:t>
      </w:r>
      <w:r w:rsidR="00BC42FC">
        <w:tab/>
        <w:t>El Estado parte s</w:t>
      </w:r>
      <w:r w:rsidR="00845C06">
        <w:t>eñala que, como se deduce de las</w:t>
      </w:r>
      <w:r w:rsidR="00DD087A">
        <w:t xml:space="preserve"> piezas procesales</w:t>
      </w:r>
      <w:r w:rsidR="00845C06">
        <w:t xml:space="preserve"> presentadas al Comité,</w:t>
      </w:r>
      <w:r w:rsidR="00DD087A">
        <w:t xml:space="preserve"> </w:t>
      </w:r>
      <w:r w:rsidR="008B75DC" w:rsidRPr="008B75DC">
        <w:t>es indiscutible</w:t>
      </w:r>
      <w:r w:rsidR="00DD087A">
        <w:t xml:space="preserve"> </w:t>
      </w:r>
      <w:r w:rsidR="008B75DC" w:rsidRPr="008B75DC">
        <w:t xml:space="preserve">que al </w:t>
      </w:r>
      <w:r w:rsidR="00845C06">
        <w:t>autor</w:t>
      </w:r>
      <w:r w:rsidR="008B75DC" w:rsidRPr="008B75DC">
        <w:t xml:space="preserve"> no se le vulneraron los</w:t>
      </w:r>
      <w:r w:rsidR="00DD087A">
        <w:t xml:space="preserve"> </w:t>
      </w:r>
      <w:r w:rsidR="008B75DC" w:rsidRPr="008B75DC">
        <w:t xml:space="preserve">derechos reconocidos en el Pacto </w:t>
      </w:r>
      <w:r w:rsidR="00DD087A">
        <w:t>durante el proceso</w:t>
      </w:r>
      <w:r w:rsidR="00845C06">
        <w:t>. Indica que</w:t>
      </w:r>
      <w:r w:rsidR="00DD087A">
        <w:t>, cuando se advirtieron irregularidades procesales</w:t>
      </w:r>
      <w:r w:rsidR="00845C06">
        <w:t>,</w:t>
      </w:r>
      <w:r w:rsidR="00DD087A">
        <w:t xml:space="preserve"> se declararon nulidades en aras de respetar sus derechos fundamentales.</w:t>
      </w:r>
      <w:r w:rsidR="00845C06">
        <w:t xml:space="preserve"> A</w:t>
      </w:r>
      <w:r w:rsidR="00845C06" w:rsidRPr="00DB0114">
        <w:t xml:space="preserve">l autor se le dieron todos los beneficios posibles previstos en </w:t>
      </w:r>
      <w:r w:rsidR="00845C06">
        <w:t xml:space="preserve">la legislación penal colombiana. Señala como </w:t>
      </w:r>
      <w:r w:rsidR="00845C06" w:rsidRPr="00DB0114">
        <w:t>ejemplo la decisión del 11 de junio de 2008, por la cual la Sala Penal de la Corte Suprema de Justicia decretó la nulidad de lo actuado desde la apertura de instrucción inclusive, porque ese acto procesal fue adoptado por un funcionario que carecía de competencia y</w:t>
      </w:r>
      <w:r w:rsidR="00162319">
        <w:t>,</w:t>
      </w:r>
      <w:r w:rsidR="00845C06" w:rsidRPr="00DB0114">
        <w:t xml:space="preserve"> en consecuencia, revocó la medida de aseguramiento y ordenó la libertad inmediata del </w:t>
      </w:r>
      <w:r w:rsidR="00845C06">
        <w:t>autor</w:t>
      </w:r>
      <w:r w:rsidR="00867DE9" w:rsidRPr="00E4242D">
        <w:rPr>
          <w:sz w:val="18"/>
          <w:szCs w:val="18"/>
          <w:vertAlign w:val="superscript"/>
          <w:lang w:val="en-GB"/>
        </w:rPr>
        <w:footnoteReference w:id="21"/>
      </w:r>
      <w:r w:rsidR="00845C06" w:rsidRPr="00DB0114">
        <w:t>.</w:t>
      </w:r>
    </w:p>
    <w:p w14:paraId="02380982" w14:textId="77777777" w:rsidR="008B75DC" w:rsidRPr="008B75DC" w:rsidRDefault="0085298E" w:rsidP="00DD087A">
      <w:pPr>
        <w:pStyle w:val="SingleTxtG"/>
      </w:pPr>
      <w:r>
        <w:t>6.9</w:t>
      </w:r>
      <w:r w:rsidR="00BC42FC">
        <w:tab/>
      </w:r>
      <w:r w:rsidR="00DD087A">
        <w:t>El Estado parte alega que no hubo violación de los artículos 2 y 3 del Pacto ya que respet</w:t>
      </w:r>
      <w:r w:rsidR="00162319">
        <w:t>ó</w:t>
      </w:r>
      <w:r w:rsidR="00DD087A">
        <w:t xml:space="preserve"> y garantiz</w:t>
      </w:r>
      <w:r w:rsidR="00162319">
        <w:t>ó</w:t>
      </w:r>
      <w:r w:rsidR="00DD087A">
        <w:t xml:space="preserve"> los derechos del autor reconocidos en el Pacto sin ninguna clase de distinción. </w:t>
      </w:r>
    </w:p>
    <w:p w14:paraId="3AD163E5" w14:textId="77777777" w:rsidR="008B75DC" w:rsidRPr="008B75DC" w:rsidRDefault="0085298E" w:rsidP="008B75DC">
      <w:pPr>
        <w:pStyle w:val="SingleTxtG"/>
      </w:pPr>
      <w:r>
        <w:t>6.10</w:t>
      </w:r>
      <w:r w:rsidR="00BC42FC">
        <w:tab/>
      </w:r>
      <w:r w:rsidR="008B75DC" w:rsidRPr="008B75DC">
        <w:t>En cuanto a la su</w:t>
      </w:r>
      <w:r w:rsidR="00DD087A">
        <w:t>puesta violación del artículo 9</w:t>
      </w:r>
      <w:r w:rsidR="008B75DC" w:rsidRPr="008B75DC">
        <w:t xml:space="preserve"> del Pacto,</w:t>
      </w:r>
      <w:r>
        <w:t xml:space="preserve"> el</w:t>
      </w:r>
      <w:r w:rsidR="008B75DC" w:rsidRPr="008B75DC">
        <w:t xml:space="preserve"> </w:t>
      </w:r>
      <w:r w:rsidR="00DB0114">
        <w:t>Estado parte</w:t>
      </w:r>
      <w:r w:rsidR="00DB0114" w:rsidRPr="008B75DC">
        <w:t xml:space="preserve"> </w:t>
      </w:r>
      <w:r w:rsidR="00DB0114">
        <w:t>considera que es claro</w:t>
      </w:r>
      <w:r w:rsidR="008B75DC" w:rsidRPr="008B75DC">
        <w:t xml:space="preserve"> que el</w:t>
      </w:r>
      <w:r w:rsidR="00DD087A">
        <w:t xml:space="preserve"> autor</w:t>
      </w:r>
      <w:r w:rsidR="008B75DC" w:rsidRPr="008B75DC">
        <w:t xml:space="preserve"> fue privado de su libertad por las causas fijadas por la</w:t>
      </w:r>
      <w:r w:rsidR="00DD087A">
        <w:t xml:space="preserve"> </w:t>
      </w:r>
      <w:r w:rsidR="008B75DC" w:rsidRPr="008B75DC">
        <w:t xml:space="preserve">legislación y </w:t>
      </w:r>
      <w:r w:rsidR="008B75DC" w:rsidRPr="008B75DC">
        <w:lastRenderedPageBreak/>
        <w:t xml:space="preserve">con arreglo al procedimiento establecido en </w:t>
      </w:r>
      <w:r w:rsidR="00920DC7">
        <w:t>e</w:t>
      </w:r>
      <w:r w:rsidR="008B75DC" w:rsidRPr="008B75DC">
        <w:t>sta,</w:t>
      </w:r>
      <w:r w:rsidR="00DD087A">
        <w:t xml:space="preserve"> </w:t>
      </w:r>
      <w:r w:rsidR="00DB0114">
        <w:t>y</w:t>
      </w:r>
      <w:r w:rsidR="008B75DC" w:rsidRPr="008B75DC">
        <w:t xml:space="preserve"> que</w:t>
      </w:r>
      <w:r w:rsidR="00DB0114">
        <w:t>, por lo tanto,</w:t>
      </w:r>
      <w:r w:rsidR="008B75DC" w:rsidRPr="008B75DC">
        <w:t xml:space="preserve"> carece de total fundamento cualquie</w:t>
      </w:r>
      <w:r w:rsidR="00DD087A">
        <w:t>r alegato en sentido contrario</w:t>
      </w:r>
      <w:r w:rsidR="00EE7B13" w:rsidRPr="00E4242D">
        <w:rPr>
          <w:sz w:val="18"/>
          <w:szCs w:val="18"/>
          <w:vertAlign w:val="superscript"/>
          <w:lang w:val="en-GB"/>
        </w:rPr>
        <w:footnoteReference w:id="22"/>
      </w:r>
      <w:r w:rsidR="00DD087A">
        <w:t xml:space="preserve">. </w:t>
      </w:r>
      <w:r>
        <w:t>Igualmente, el Estado parte estima que t</w:t>
      </w:r>
      <w:r w:rsidR="008B75DC" w:rsidRPr="008B75DC">
        <w:t xml:space="preserve">ampoco tiene ningún fundamento la supuesta </w:t>
      </w:r>
      <w:r w:rsidR="00920DC7">
        <w:t xml:space="preserve">violación del </w:t>
      </w:r>
      <w:r w:rsidR="008B75DC" w:rsidRPr="008B75DC">
        <w:t>artículo 26</w:t>
      </w:r>
      <w:r w:rsidR="00DD087A">
        <w:t xml:space="preserve"> </w:t>
      </w:r>
      <w:r w:rsidR="008B75DC" w:rsidRPr="008B75DC">
        <w:t xml:space="preserve">del Pacto </w:t>
      </w:r>
      <w:r w:rsidR="00396811">
        <w:t>ya</w:t>
      </w:r>
      <w:r w:rsidR="008B75DC" w:rsidRPr="008B75DC">
        <w:t xml:space="preserve"> que es indiscutible </w:t>
      </w:r>
      <w:proofErr w:type="gramStart"/>
      <w:r w:rsidR="008B75DC" w:rsidRPr="008B75DC">
        <w:t>que</w:t>
      </w:r>
      <w:proofErr w:type="gramEnd"/>
      <w:r w:rsidR="008B75DC" w:rsidRPr="008B75DC">
        <w:t xml:space="preserve"> en el proceso penal</w:t>
      </w:r>
      <w:r w:rsidR="00A809C1">
        <w:t>,</w:t>
      </w:r>
      <w:r w:rsidR="008B75DC" w:rsidRPr="008B75DC">
        <w:t xml:space="preserve"> como se</w:t>
      </w:r>
      <w:r w:rsidR="00DD087A">
        <w:t xml:space="preserve"> </w:t>
      </w:r>
      <w:r w:rsidR="008B75DC" w:rsidRPr="008B75DC">
        <w:t xml:space="preserve">observa en el expediente, al </w:t>
      </w:r>
      <w:r w:rsidR="00DD087A">
        <w:t>autor</w:t>
      </w:r>
      <w:r w:rsidR="008B75DC" w:rsidRPr="008B75DC">
        <w:t xml:space="preserve"> se le </w:t>
      </w:r>
      <w:r w:rsidR="00396811" w:rsidRPr="008B75DC">
        <w:t>dio</w:t>
      </w:r>
      <w:r w:rsidR="008B75DC" w:rsidRPr="008B75DC">
        <w:t xml:space="preserve"> trato digno,</w:t>
      </w:r>
      <w:r w:rsidR="00DD087A">
        <w:t xml:space="preserve"> </w:t>
      </w:r>
      <w:r w:rsidR="008B75DC" w:rsidRPr="008B75DC">
        <w:t>equitativo y justo sin ninguna discriminación.</w:t>
      </w:r>
      <w:r w:rsidR="0013589E">
        <w:t xml:space="preserve"> </w:t>
      </w:r>
    </w:p>
    <w:p w14:paraId="0DF20D5B" w14:textId="77777777" w:rsidR="008B75DC" w:rsidRPr="008B75DC" w:rsidRDefault="0009600E" w:rsidP="008B75DC">
      <w:pPr>
        <w:pStyle w:val="SingleTxtG"/>
      </w:pPr>
      <w:r>
        <w:t>6.11</w:t>
      </w:r>
      <w:r w:rsidR="00BC42FC">
        <w:tab/>
      </w:r>
      <w:r>
        <w:t>Señala</w:t>
      </w:r>
      <w:r w:rsidR="008A4039">
        <w:t xml:space="preserve"> que el </w:t>
      </w:r>
      <w:r w:rsidR="008B75DC" w:rsidRPr="008B75DC">
        <w:t>debido proceso ante la Corte Suprema de Justi</w:t>
      </w:r>
      <w:r>
        <w:t>cia para los altos funcionarios</w:t>
      </w:r>
      <w:r w:rsidR="008A4039">
        <w:t xml:space="preserve"> </w:t>
      </w:r>
      <w:r w:rsidR="008B75DC" w:rsidRPr="008B75DC">
        <w:t>fue descrito por la Corte Constitucional en los siguientes términos</w:t>
      </w:r>
      <w:r w:rsidR="008A4039">
        <w:t xml:space="preserve">: </w:t>
      </w:r>
      <w:r w:rsidR="008B75DC" w:rsidRPr="008B75DC">
        <w:t>“El</w:t>
      </w:r>
      <w:r w:rsidR="000749A2">
        <w:t> </w:t>
      </w:r>
      <w:r w:rsidR="008B75DC" w:rsidRPr="008B75DC">
        <w:t>juzgamiento de altos funcionarios por parte de la Corte Suprema de Justicia</w:t>
      </w:r>
      <w:r w:rsidR="008A4039">
        <w:t xml:space="preserve"> </w:t>
      </w:r>
      <w:r w:rsidR="008B75DC" w:rsidRPr="008B75DC">
        <w:t>constituye la máxima garantía del debido proceso visto integralmente por las</w:t>
      </w:r>
      <w:r w:rsidR="008A4039">
        <w:t xml:space="preserve"> </w:t>
      </w:r>
      <w:r w:rsidR="008B75DC" w:rsidRPr="008B75DC">
        <w:t>siguientes razones: i) porque asegura el adelantamiento de un juicio que</w:t>
      </w:r>
      <w:r w:rsidR="008A4039">
        <w:t xml:space="preserve"> </w:t>
      </w:r>
      <w:r w:rsidR="008B75DC" w:rsidRPr="008B75DC">
        <w:t>corresponde a la jerarquía del funcionario, en razón a la importancia de la</w:t>
      </w:r>
      <w:r w:rsidR="008A4039">
        <w:t xml:space="preserve"> </w:t>
      </w:r>
      <w:r w:rsidR="008B75DC" w:rsidRPr="008B75DC">
        <w:t xml:space="preserve">institución a la cual </w:t>
      </w:r>
      <w:r w:rsidR="00920DC7">
        <w:t>e</w:t>
      </w:r>
      <w:r w:rsidR="008B75DC" w:rsidRPr="008B75DC">
        <w:t>ste pertenece, de sus responsabilidades y de la</w:t>
      </w:r>
      <w:r w:rsidR="008A4039">
        <w:t xml:space="preserve"> </w:t>
      </w:r>
      <w:r w:rsidR="008B75DC" w:rsidRPr="008B75DC">
        <w:t>trascendencia de su investidura. Por eso, la propia Carta en el artículo 235</w:t>
      </w:r>
      <w:r w:rsidR="008A4039">
        <w:t xml:space="preserve"> </w:t>
      </w:r>
      <w:r w:rsidR="008B75DC" w:rsidRPr="008B75DC">
        <w:t>Superior indicó cuáles debían ser los altos funcionarios del Estado que gozarían</w:t>
      </w:r>
      <w:r w:rsidR="008A4039">
        <w:t xml:space="preserve"> </w:t>
      </w:r>
      <w:r w:rsidR="008B75DC" w:rsidRPr="008B75DC">
        <w:t xml:space="preserve">de este fuero; </w:t>
      </w:r>
      <w:proofErr w:type="spellStart"/>
      <w:r w:rsidR="008B75DC" w:rsidRPr="008B75DC">
        <w:t>ii</w:t>
      </w:r>
      <w:proofErr w:type="spellEnd"/>
      <w:r w:rsidR="008B75DC" w:rsidRPr="008B75DC">
        <w:t>)</w:t>
      </w:r>
      <w:r w:rsidR="000749A2">
        <w:t> </w:t>
      </w:r>
      <w:r w:rsidR="008B75DC" w:rsidRPr="008B75DC">
        <w:t>porque ese juicio se adelanta ante un órgano plural, con</w:t>
      </w:r>
      <w:r w:rsidR="008A4039">
        <w:t xml:space="preserve"> </w:t>
      </w:r>
      <w:r w:rsidR="008B75DC" w:rsidRPr="008B75DC">
        <w:t>conocimiento especializado en la materia, integrado por profesionales que</w:t>
      </w:r>
      <w:r w:rsidR="008A4039">
        <w:t xml:space="preserve"> </w:t>
      </w:r>
      <w:r w:rsidR="008B75DC" w:rsidRPr="008B75DC">
        <w:t>reúnen los requisitos para ser magistrados del máximo órgano de la jurisdicción</w:t>
      </w:r>
      <w:r w:rsidR="008A4039">
        <w:t xml:space="preserve"> </w:t>
      </w:r>
      <w:r w:rsidR="008B75DC" w:rsidRPr="008B75DC">
        <w:t xml:space="preserve">ordinaria; y </w:t>
      </w:r>
      <w:proofErr w:type="spellStart"/>
      <w:r w:rsidR="008B75DC" w:rsidRPr="008B75DC">
        <w:t>iii</w:t>
      </w:r>
      <w:proofErr w:type="spellEnd"/>
      <w:r w:rsidR="008B75DC" w:rsidRPr="008B75DC">
        <w:t>) porque ese juicio se realiza ante el órgano de cierre de la</w:t>
      </w:r>
      <w:r w:rsidR="008A4039">
        <w:t xml:space="preserve"> </w:t>
      </w:r>
      <w:r w:rsidR="008B75DC" w:rsidRPr="008B75DC">
        <w:t>jurisdicción ordinaria, quien tiene a su cargo la interpretación de la ley penal y</w:t>
      </w:r>
      <w:r w:rsidR="008A4039">
        <w:t xml:space="preserve"> </w:t>
      </w:r>
      <w:r w:rsidR="008B75DC" w:rsidRPr="008B75DC">
        <w:t>asegurar el respeto de la misma a través del recurso de casación</w:t>
      </w:r>
      <w:r w:rsidR="00920DC7">
        <w:t>”</w:t>
      </w:r>
      <w:r w:rsidR="008A4039" w:rsidRPr="00E4242D">
        <w:rPr>
          <w:rStyle w:val="Refdenotaalpie"/>
          <w:szCs w:val="18"/>
        </w:rPr>
        <w:footnoteReference w:id="23"/>
      </w:r>
      <w:r w:rsidR="00920DC7">
        <w:t>.</w:t>
      </w:r>
    </w:p>
    <w:p w14:paraId="19F71947" w14:textId="77777777" w:rsidR="00E206BC" w:rsidRDefault="0009600E" w:rsidP="007C4DA3">
      <w:pPr>
        <w:pStyle w:val="SingleTxtG"/>
      </w:pPr>
      <w:r>
        <w:t>6.12</w:t>
      </w:r>
      <w:r w:rsidR="00BC42FC">
        <w:tab/>
      </w:r>
      <w:r w:rsidR="005D284D">
        <w:t>El Estado parte r</w:t>
      </w:r>
      <w:r w:rsidR="00F4452D">
        <w:t>eitera que</w:t>
      </w:r>
      <w:r w:rsidR="008B75DC" w:rsidRPr="008B75DC">
        <w:t xml:space="preserve"> legalmente</w:t>
      </w:r>
      <w:r w:rsidR="00F4452D">
        <w:t xml:space="preserve"> el autor </w:t>
      </w:r>
      <w:r w:rsidR="008B75DC" w:rsidRPr="008B75DC">
        <w:t>tiene la oportunidad de impugnar el fallo ante el mismo tribunal, el de mayor</w:t>
      </w:r>
      <w:r w:rsidR="00F4452D">
        <w:t xml:space="preserve"> </w:t>
      </w:r>
      <w:r w:rsidR="008B75DC" w:rsidRPr="008B75DC">
        <w:t>jerarquía del Estado, a través de la acción de revisión del fallo como lo</w:t>
      </w:r>
      <w:r w:rsidR="00F4452D">
        <w:t xml:space="preserve"> </w:t>
      </w:r>
      <w:r w:rsidR="008B75DC" w:rsidRPr="008B75DC">
        <w:t>establece el Código de Procedimiento Penal.</w:t>
      </w:r>
      <w:r w:rsidR="00F4452D">
        <w:t xml:space="preserve"> </w:t>
      </w:r>
      <w:r w:rsidR="00795BED">
        <w:t xml:space="preserve">Observa la alegación del autor según la cual fue juzgado y condenado con base en un testigo falso y considera que con base a ese supuesto el autor debe ejercer las acciones legales de orden interno para impugnar la sentencia condenatoria mediante el recurso de revisión, mecanismo que procedería formalmente en esa eventualidad. </w:t>
      </w:r>
    </w:p>
    <w:p w14:paraId="37917BA1" w14:textId="77777777" w:rsidR="0097604A" w:rsidRPr="00854F0B" w:rsidRDefault="001E2C79" w:rsidP="007C4DA3">
      <w:pPr>
        <w:pStyle w:val="H23G"/>
        <w:rPr>
          <w:rFonts w:eastAsia="SimSun"/>
        </w:rPr>
      </w:pPr>
      <w:r>
        <w:tab/>
      </w:r>
      <w:r w:rsidR="007C4DA3">
        <w:tab/>
      </w:r>
      <w:r w:rsidR="0097604A" w:rsidRPr="00854F0B">
        <w:t>Deliberaciones del Comité</w:t>
      </w:r>
    </w:p>
    <w:p w14:paraId="6340AA3A" w14:textId="77777777" w:rsidR="00303C5E" w:rsidRDefault="007B0679" w:rsidP="007C4DA3">
      <w:pPr>
        <w:pStyle w:val="H4G"/>
        <w:rPr>
          <w:rFonts w:eastAsia="SimSun"/>
        </w:rPr>
      </w:pPr>
      <w:r>
        <w:tab/>
      </w:r>
      <w:r w:rsidR="007C4DA3">
        <w:tab/>
      </w:r>
      <w:r w:rsidR="00303C5E">
        <w:t xml:space="preserve">Examen de la </w:t>
      </w:r>
      <w:r w:rsidR="00303C5E" w:rsidRPr="007C4DA3">
        <w:t>admisibilidad</w:t>
      </w:r>
    </w:p>
    <w:p w14:paraId="42CF4BA3" w14:textId="77777777" w:rsidR="00303C5E" w:rsidRDefault="00303C5E" w:rsidP="00303C5E">
      <w:pPr>
        <w:pStyle w:val="SingleTxtG"/>
      </w:pPr>
      <w:r>
        <w:t>7.1</w:t>
      </w:r>
      <w:r>
        <w:tab/>
        <w:t>Antes de examinar toda queja formulada en una comunicación, el Comité debe decidir, d</w:t>
      </w:r>
      <w:r w:rsidR="00217348">
        <w:t>e conformidad con el artículo 97</w:t>
      </w:r>
      <w:r>
        <w:t xml:space="preserve"> de su reglamento, si el caso es o no admisible en virtud del Protocolo Facultativo.</w:t>
      </w:r>
    </w:p>
    <w:p w14:paraId="25957A84" w14:textId="77777777" w:rsidR="00303C5E" w:rsidRDefault="00303C5E">
      <w:pPr>
        <w:pStyle w:val="SingleTxtG"/>
      </w:pPr>
      <w:r>
        <w:t>7.2</w:t>
      </w:r>
      <w:r>
        <w:tab/>
        <w:t>En cumplimiento de lo exigido en el artículo 5, párrafo 2</w:t>
      </w:r>
      <w:r w:rsidR="00920DC7">
        <w:t>, apartado</w:t>
      </w:r>
      <w:r>
        <w:t xml:space="preserve"> a), del Protocolo Facultativo, el Comité debe cerciorarse de que el mismo asunto no está siendo examinado en el marco de otro procedimiento de examen o arreglo internacional. El Comité toma nota de la alegación del Estado parte según la cual el autor presentó una queja ante la Comisión Interamericana de Derechos Humanos el 30 de septiembre de 2011, en relación </w:t>
      </w:r>
      <w:r w:rsidR="00162319">
        <w:t>con</w:t>
      </w:r>
      <w:r>
        <w:t xml:space="preserve"> los mismos hechos y pretensiones expuestos ante el Comité</w:t>
      </w:r>
      <w:r w:rsidRPr="00E4242D">
        <w:rPr>
          <w:rStyle w:val="Refdenotaalpie"/>
          <w:szCs w:val="18"/>
        </w:rPr>
        <w:footnoteReference w:id="24"/>
      </w:r>
      <w:r>
        <w:t xml:space="preserve">. En particular, el Comité observa </w:t>
      </w:r>
      <w:r w:rsidR="00162319">
        <w:t>la</w:t>
      </w:r>
      <w:r>
        <w:t xml:space="preserve"> comunicación de la </w:t>
      </w:r>
      <w:r w:rsidR="007E39F0">
        <w:t>c</w:t>
      </w:r>
      <w:r>
        <w:t xml:space="preserve">oordinadora </w:t>
      </w:r>
      <w:r w:rsidR="007E39F0">
        <w:t>g</w:t>
      </w:r>
      <w:r>
        <w:t xml:space="preserve">rupo de </w:t>
      </w:r>
      <w:r w:rsidR="007E39F0">
        <w:t>s</w:t>
      </w:r>
      <w:r>
        <w:t xml:space="preserve">eguimiento a </w:t>
      </w:r>
      <w:r w:rsidR="007E39F0">
        <w:t>d</w:t>
      </w:r>
      <w:r>
        <w:t xml:space="preserve">ecisiones de </w:t>
      </w:r>
      <w:r w:rsidR="007E39F0">
        <w:t>ó</w:t>
      </w:r>
      <w:r>
        <w:t xml:space="preserve">rganos </w:t>
      </w:r>
      <w:r w:rsidR="007E39F0">
        <w:t>i</w:t>
      </w:r>
      <w:r>
        <w:t>nternacionales del Estado parte de 19 de enero de 2017</w:t>
      </w:r>
      <w:r w:rsidR="00162319">
        <w:t xml:space="preserve"> según la cual </w:t>
      </w:r>
      <w:r>
        <w:t xml:space="preserve">los hechos del caso </w:t>
      </w:r>
      <w:r w:rsidR="00162319">
        <w:t xml:space="preserve">presentado ante la Comisión </w:t>
      </w:r>
      <w:r w:rsidR="00920DC7">
        <w:t xml:space="preserve">Interamericana </w:t>
      </w:r>
      <w:r>
        <w:t>se refieren a la presunta vulneración del derecho a las garantías judiciales</w:t>
      </w:r>
      <w:r w:rsidR="00162319">
        <w:t>,</w:t>
      </w:r>
      <w:r>
        <w:t xml:space="preserve"> a la protección judicial, a la obligaciones de adoptar disposiciones de derecho interno</w:t>
      </w:r>
      <w:r w:rsidR="00D00C8D">
        <w:t>,</w:t>
      </w:r>
      <w:r>
        <w:t xml:space="preserve"> todo lo anterior en relación con las obligaciones de respeto y garantía de la Convención Americana sobre Derechos Humanos</w:t>
      </w:r>
      <w:r w:rsidR="00920DC7">
        <w:t>,</w:t>
      </w:r>
      <w:r w:rsidR="00F57364">
        <w:t xml:space="preserve"> y</w:t>
      </w:r>
      <w:r w:rsidR="00162319">
        <w:t xml:space="preserve"> </w:t>
      </w:r>
      <w:r>
        <w:t xml:space="preserve">como producto de presuntas irregularidades en la investigación llevada a cabo en su contra </w:t>
      </w:r>
      <w:r w:rsidR="00C77E44">
        <w:t>en el contexto de la investigación y proceso penal objeto de la comunicación.</w:t>
      </w:r>
    </w:p>
    <w:p w14:paraId="7289ECAC" w14:textId="77777777" w:rsidR="00303C5E" w:rsidRDefault="00303C5E" w:rsidP="00303C5E">
      <w:pPr>
        <w:pStyle w:val="SingleTxtG"/>
      </w:pPr>
      <w:r>
        <w:lastRenderedPageBreak/>
        <w:t>7.3</w:t>
      </w:r>
      <w:r w:rsidR="00C77E44">
        <w:tab/>
      </w:r>
      <w:r>
        <w:t xml:space="preserve">El Comité </w:t>
      </w:r>
      <w:r w:rsidR="00C77E44">
        <w:t>toma nota de</w:t>
      </w:r>
      <w:r>
        <w:t xml:space="preserve"> que</w:t>
      </w:r>
      <w:r w:rsidR="00C77E44">
        <w:t>,</w:t>
      </w:r>
      <w:r>
        <w:t xml:space="preserve"> cuando el autor presentó su queja inicial, manifestó que los hechos tratados en su comunicación no habían sido sometidos a otro procedimiento de examen o arreglo internacional</w:t>
      </w:r>
      <w:r w:rsidR="00D00C8D">
        <w:t>,</w:t>
      </w:r>
      <w:r>
        <w:t xml:space="preserve"> y que en sus comentarios de 2 de abril de 2017 el autor señaló que la petición individual presentada ante la Comisión </w:t>
      </w:r>
      <w:r w:rsidR="00920DC7">
        <w:t xml:space="preserve">Interamericana de Derechos Humanos </w:t>
      </w:r>
      <w:r>
        <w:t>en septiembre de 2011 conc</w:t>
      </w:r>
      <w:r w:rsidR="00D00C8D">
        <w:t xml:space="preserve">ernía </w:t>
      </w:r>
      <w:r>
        <w:t xml:space="preserve">diferentes hechos y pretensiones. Sin embargo, el Comité observa que el autor no </w:t>
      </w:r>
      <w:r w:rsidR="00C77E44">
        <w:t xml:space="preserve">ha </w:t>
      </w:r>
      <w:r>
        <w:t>proporciona</w:t>
      </w:r>
      <w:r w:rsidR="00C77E44">
        <w:t>do</w:t>
      </w:r>
      <w:r>
        <w:t xml:space="preserve"> ninguna información específica </w:t>
      </w:r>
      <w:r w:rsidR="00C77E44">
        <w:t xml:space="preserve">ni ha aportado copia de la comunicación presentada </w:t>
      </w:r>
      <w:r>
        <w:t xml:space="preserve">ante la Comisión </w:t>
      </w:r>
      <w:r w:rsidR="00920DC7">
        <w:t xml:space="preserve">Interamericana </w:t>
      </w:r>
      <w:r w:rsidR="00C77E44">
        <w:t xml:space="preserve">para justificar que dicha comunicación concernía </w:t>
      </w:r>
      <w:r>
        <w:t xml:space="preserve">hechos y pretensiones diferentes a la presentada ante el Comité.  </w:t>
      </w:r>
    </w:p>
    <w:p w14:paraId="304970B5" w14:textId="77777777" w:rsidR="008C0870" w:rsidRDefault="008C0870" w:rsidP="00303C5E">
      <w:pPr>
        <w:pStyle w:val="SingleTxtG"/>
        <w:spacing w:after="80"/>
      </w:pPr>
      <w:r w:rsidRPr="008C0870">
        <w:t>7.4</w:t>
      </w:r>
      <w:r w:rsidR="00BC7C91">
        <w:tab/>
      </w:r>
      <w:r w:rsidR="00F15660">
        <w:t xml:space="preserve">El Comité recuerda su jurisprudencia según la cual el </w:t>
      </w:r>
      <w:r w:rsidR="002C1EBF">
        <w:t>“</w:t>
      </w:r>
      <w:r w:rsidR="00F15660">
        <w:t>mismo asunto</w:t>
      </w:r>
      <w:r w:rsidR="002C1EBF">
        <w:t>”</w:t>
      </w:r>
      <w:r w:rsidR="00F15660">
        <w:t xml:space="preserve"> concierne a los mismos autores, los </w:t>
      </w:r>
      <w:proofErr w:type="gramStart"/>
      <w:r w:rsidR="00F15660">
        <w:t>mismos hechos y los mismos derechos</w:t>
      </w:r>
      <w:proofErr w:type="gramEnd"/>
      <w:r w:rsidR="00F15660">
        <w:t xml:space="preserve"> esenciales</w:t>
      </w:r>
      <w:r w:rsidR="00F15660" w:rsidRPr="00E4242D">
        <w:rPr>
          <w:rStyle w:val="Refdenotaalpie"/>
          <w:szCs w:val="18"/>
        </w:rPr>
        <w:footnoteReference w:id="25"/>
      </w:r>
      <w:r w:rsidR="00F15660">
        <w:t xml:space="preserve">. </w:t>
      </w:r>
      <w:r w:rsidR="009E23B2">
        <w:t>Teniendo en cuenta</w:t>
      </w:r>
      <w:r w:rsidRPr="008C0870">
        <w:t xml:space="preserve"> que el </w:t>
      </w:r>
      <w:r w:rsidRPr="008C5D95">
        <w:t xml:space="preserve">Estado parte sostiene que la denuncia presentada a la Comisión </w:t>
      </w:r>
      <w:r w:rsidR="00C23D3D">
        <w:t xml:space="preserve">Interamericana de Derechos Humanos </w:t>
      </w:r>
      <w:r w:rsidRPr="008C5D95">
        <w:t xml:space="preserve">se refiere </w:t>
      </w:r>
      <w:r w:rsidR="00102825" w:rsidRPr="00B25C0C">
        <w:t xml:space="preserve">a </w:t>
      </w:r>
      <w:r w:rsidR="00E80624" w:rsidRPr="00B25C0C">
        <w:t xml:space="preserve">los mismos hechos y </w:t>
      </w:r>
      <w:r w:rsidR="00E80624" w:rsidRPr="00CC1EE7">
        <w:t>pretensiones expuestos ante el Comité</w:t>
      </w:r>
      <w:r w:rsidRPr="00CC1EE7">
        <w:t xml:space="preserve">, y </w:t>
      </w:r>
      <w:r w:rsidR="00CF7A5C">
        <w:t xml:space="preserve">ante la </w:t>
      </w:r>
      <w:r w:rsidRPr="00CC1EE7">
        <w:t>falta de información del autor sobre el contenido concreto de la denuncia presentada a la Comisión</w:t>
      </w:r>
      <w:r w:rsidRPr="007C462C">
        <w:t xml:space="preserve"> </w:t>
      </w:r>
      <w:r w:rsidR="002C1EBF">
        <w:t xml:space="preserve">Interamericana </w:t>
      </w:r>
      <w:r w:rsidRPr="007C462C">
        <w:t>que</w:t>
      </w:r>
      <w:r w:rsidRPr="008C0870">
        <w:t xml:space="preserve"> pudiera haber rebatido en detalle </w:t>
      </w:r>
      <w:r w:rsidR="00B25C0C">
        <w:t>la afirmación</w:t>
      </w:r>
      <w:r w:rsidRPr="008C0870">
        <w:t xml:space="preserve"> del Estado parte, el Comité considera que debe </w:t>
      </w:r>
      <w:r w:rsidR="009E23B2">
        <w:t>acordarse el debido peso</w:t>
      </w:r>
      <w:r w:rsidRPr="008C0870">
        <w:t xml:space="preserve"> a las alegaciones del Estado parte. </w:t>
      </w:r>
      <w:r w:rsidR="00C51167">
        <w:t xml:space="preserve">Al respecto, el Comité lamenta que el autor no hubiera informado inicialmente </w:t>
      </w:r>
      <w:r w:rsidR="00CF1948">
        <w:t>de su</w:t>
      </w:r>
      <w:r w:rsidR="00C51167">
        <w:t xml:space="preserve"> queja presentada ante la Comisión </w:t>
      </w:r>
      <w:r w:rsidR="002C1EBF">
        <w:t xml:space="preserve">Interamericana </w:t>
      </w:r>
      <w:r w:rsidR="00C51167">
        <w:t>y que</w:t>
      </w:r>
      <w:r w:rsidR="00742A52">
        <w:t xml:space="preserve"> posteriormente</w:t>
      </w:r>
      <w:r w:rsidR="00C51167">
        <w:t xml:space="preserve"> no hubiera </w:t>
      </w:r>
      <w:r w:rsidR="00CF1948">
        <w:t>proporcionado información alguna ante el Comité</w:t>
      </w:r>
      <w:r w:rsidR="00C51167">
        <w:t xml:space="preserve"> para demostrar que</w:t>
      </w:r>
      <w:r w:rsidR="00CF1948">
        <w:t xml:space="preserve">, </w:t>
      </w:r>
      <w:r w:rsidR="00742A52">
        <w:t xml:space="preserve">tal y </w:t>
      </w:r>
      <w:r w:rsidR="00C060A6">
        <w:t>como</w:t>
      </w:r>
      <w:r w:rsidR="00CF1948">
        <w:t xml:space="preserve"> alega,</w:t>
      </w:r>
      <w:r w:rsidR="0091706F">
        <w:t xml:space="preserve"> se trata</w:t>
      </w:r>
      <w:r w:rsidR="00F63FF4">
        <w:t>ba</w:t>
      </w:r>
      <w:r w:rsidR="00C51167">
        <w:t xml:space="preserve"> de una queja diferente. </w:t>
      </w:r>
      <w:r w:rsidRPr="008C0870">
        <w:t xml:space="preserve">Por consiguiente, a la luz de las circunstancias particulares del caso, el Comité considera que la comunicación es inadmisible </w:t>
      </w:r>
      <w:r w:rsidR="00102825">
        <w:t>a tenor de lo dispuesto en el artículo 5, párrafo 2</w:t>
      </w:r>
      <w:r w:rsidR="002C1EBF">
        <w:t>, apartado</w:t>
      </w:r>
      <w:r w:rsidR="00102825">
        <w:t xml:space="preserve"> a), del Protocolo Facultativo, puesto que el mismo asunto ya ha sido presentado ante la Comisión Interamericana de Derechos Humanos, instancia regional de arreglo de conflictos</w:t>
      </w:r>
      <w:r w:rsidR="00F27980">
        <w:t>,</w:t>
      </w:r>
      <w:r w:rsidR="00C51167">
        <w:t xml:space="preserve"> así como a tenor del artículo 3 </w:t>
      </w:r>
      <w:r w:rsidR="00FE4F92">
        <w:t xml:space="preserve">del Protocolo Facultativo </w:t>
      </w:r>
      <w:r w:rsidR="00C51167">
        <w:t xml:space="preserve">por constituir un abuso del derecho a presentar una comunicación al </w:t>
      </w:r>
      <w:r w:rsidR="007A781E">
        <w:t xml:space="preserve">no haber </w:t>
      </w:r>
      <w:r w:rsidR="00CF1948">
        <w:t>proporcionado información</w:t>
      </w:r>
      <w:r w:rsidR="00974294">
        <w:t xml:space="preserve"> </w:t>
      </w:r>
      <w:r w:rsidR="007A781E">
        <w:t xml:space="preserve">al Comité sobre </w:t>
      </w:r>
      <w:r w:rsidR="00CF1948">
        <w:t>su</w:t>
      </w:r>
      <w:r w:rsidR="00C51167">
        <w:t xml:space="preserve"> queja presentada ante </w:t>
      </w:r>
      <w:r w:rsidR="00292F97">
        <w:t>es</w:t>
      </w:r>
      <w:r w:rsidR="00C51167">
        <w:t>a Comisión</w:t>
      </w:r>
      <w:r w:rsidR="00102825">
        <w:t>.</w:t>
      </w:r>
    </w:p>
    <w:p w14:paraId="0C758ABA" w14:textId="77777777" w:rsidR="008C0870" w:rsidRDefault="008C0870" w:rsidP="008C0870">
      <w:pPr>
        <w:pStyle w:val="SingleTxtG"/>
      </w:pPr>
      <w:r>
        <w:t>8.</w:t>
      </w:r>
      <w:r>
        <w:tab/>
        <w:t xml:space="preserve">Por lo tanto, el </w:t>
      </w:r>
      <w:r w:rsidRPr="007C4DA3">
        <w:t>Comité</w:t>
      </w:r>
      <w:r>
        <w:t xml:space="preserve"> de Derechos Humanos decide:</w:t>
      </w:r>
    </w:p>
    <w:p w14:paraId="1457B32D" w14:textId="77777777" w:rsidR="008C0870" w:rsidRDefault="008C0870" w:rsidP="00450DAD">
      <w:pPr>
        <w:pStyle w:val="SingleTxtG"/>
        <w:ind w:firstLine="567"/>
      </w:pPr>
      <w:r>
        <w:tab/>
        <w:t>a)</w:t>
      </w:r>
      <w:r>
        <w:tab/>
        <w:t xml:space="preserve">Que la comunicación es inadmisible en virtud </w:t>
      </w:r>
      <w:r w:rsidR="0050259B" w:rsidRPr="0050259B">
        <w:t>de</w:t>
      </w:r>
      <w:r w:rsidR="00172D2D">
        <w:t xml:space="preserve"> </w:t>
      </w:r>
      <w:r w:rsidR="0050259B" w:rsidRPr="0050259B">
        <w:t>l</w:t>
      </w:r>
      <w:r w:rsidR="00172D2D">
        <w:t>os</w:t>
      </w:r>
      <w:r w:rsidR="0050259B" w:rsidRPr="0050259B">
        <w:t xml:space="preserve"> artículo</w:t>
      </w:r>
      <w:r w:rsidR="00172D2D">
        <w:t>s 3 y</w:t>
      </w:r>
      <w:r w:rsidR="0050259B" w:rsidRPr="0050259B">
        <w:t xml:space="preserve"> 5, párrafo 2, apartado a)</w:t>
      </w:r>
      <w:r w:rsidR="00292F97">
        <w:t>,</w:t>
      </w:r>
      <w:r w:rsidR="0050259B" w:rsidRPr="0050259B">
        <w:t xml:space="preserve"> </w:t>
      </w:r>
      <w:r>
        <w:t>del Protocolo Facultativo;</w:t>
      </w:r>
    </w:p>
    <w:p w14:paraId="03818245" w14:textId="77777777" w:rsidR="008C0870" w:rsidRDefault="008C0870" w:rsidP="00450DAD">
      <w:pPr>
        <w:pStyle w:val="SingleTxtG"/>
        <w:spacing w:after="160"/>
        <w:ind w:firstLine="567"/>
      </w:pPr>
      <w:r>
        <w:tab/>
        <w:t>b)</w:t>
      </w:r>
      <w:r>
        <w:tab/>
        <w:t>Que la presente decisión se ponga en conocimiento del Estado parte y del autor de la comunicación.</w:t>
      </w:r>
    </w:p>
    <w:p w14:paraId="1A6F3808" w14:textId="77777777" w:rsidR="00303C5E" w:rsidRDefault="00303C5E" w:rsidP="00303C5E">
      <w:pPr>
        <w:pStyle w:val="SingleTxtG"/>
        <w:spacing w:after="0"/>
        <w:jc w:val="center"/>
        <w:rPr>
          <w:u w:val="single"/>
        </w:rPr>
      </w:pPr>
      <w:r>
        <w:rPr>
          <w:u w:val="single"/>
        </w:rPr>
        <w:tab/>
      </w:r>
      <w:r>
        <w:rPr>
          <w:u w:val="single"/>
        </w:rPr>
        <w:tab/>
      </w:r>
      <w:r w:rsidR="00E22B71">
        <w:rPr>
          <w:u w:val="single"/>
        </w:rPr>
        <w:tab/>
      </w:r>
      <w:r w:rsidR="001770E5">
        <w:rPr>
          <w:u w:val="single"/>
        </w:rPr>
        <w:tab/>
      </w:r>
    </w:p>
    <w:sectPr w:rsidR="00303C5E" w:rsidSect="000C3C6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90AA" w14:textId="77777777" w:rsidR="00FD4EAF" w:rsidRDefault="00FD4EAF"/>
  </w:endnote>
  <w:endnote w:type="continuationSeparator" w:id="0">
    <w:p w14:paraId="0011FC5A" w14:textId="77777777" w:rsidR="00FD4EAF" w:rsidRDefault="00FD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B88B" w14:textId="77777777" w:rsidR="00D22E54" w:rsidRPr="000C3C69" w:rsidRDefault="00D22E54" w:rsidP="000C3C69">
    <w:pPr>
      <w:pStyle w:val="Piedepgina"/>
      <w:tabs>
        <w:tab w:val="right" w:pos="9638"/>
      </w:tabs>
    </w:pPr>
    <w:r w:rsidRPr="000C3C69">
      <w:rPr>
        <w:b/>
        <w:sz w:val="18"/>
      </w:rPr>
      <w:fldChar w:fldCharType="begin"/>
    </w:r>
    <w:r w:rsidRPr="000C3C69">
      <w:rPr>
        <w:b/>
        <w:sz w:val="18"/>
      </w:rPr>
      <w:instrText xml:space="preserve"> PAGE  \* MERGEFORMAT </w:instrText>
    </w:r>
    <w:r w:rsidRPr="000C3C69">
      <w:rPr>
        <w:b/>
        <w:sz w:val="18"/>
      </w:rPr>
      <w:fldChar w:fldCharType="separate"/>
    </w:r>
    <w:r w:rsidR="000E20BA">
      <w:rPr>
        <w:b/>
        <w:noProof/>
        <w:sz w:val="18"/>
      </w:rPr>
      <w:t>4</w:t>
    </w:r>
    <w:r w:rsidRPr="000C3C6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B5AF" w14:textId="77777777" w:rsidR="00D22E54" w:rsidRPr="000C3C69" w:rsidRDefault="00D22E54" w:rsidP="000C3C69">
    <w:pPr>
      <w:pStyle w:val="Piedepgina"/>
      <w:tabs>
        <w:tab w:val="right" w:pos="9638"/>
      </w:tabs>
      <w:rPr>
        <w:b/>
        <w:sz w:val="18"/>
      </w:rPr>
    </w:pPr>
    <w:r>
      <w:tab/>
    </w:r>
    <w:r w:rsidRPr="000C3C69">
      <w:rPr>
        <w:b/>
        <w:sz w:val="18"/>
      </w:rPr>
      <w:fldChar w:fldCharType="begin"/>
    </w:r>
    <w:r w:rsidRPr="000C3C69">
      <w:rPr>
        <w:b/>
        <w:sz w:val="18"/>
      </w:rPr>
      <w:instrText xml:space="preserve"> PAGE  \* MERGEFORMAT </w:instrText>
    </w:r>
    <w:r w:rsidRPr="000C3C69">
      <w:rPr>
        <w:b/>
        <w:sz w:val="18"/>
      </w:rPr>
      <w:fldChar w:fldCharType="separate"/>
    </w:r>
    <w:r w:rsidR="000E20BA">
      <w:rPr>
        <w:b/>
        <w:noProof/>
        <w:sz w:val="18"/>
      </w:rPr>
      <w:t>3</w:t>
    </w:r>
    <w:r w:rsidRPr="000C3C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983" w14:textId="77777777" w:rsidR="0010192B" w:rsidRPr="0010192B" w:rsidRDefault="0010192B" w:rsidP="0010192B">
    <w:pPr>
      <w:pStyle w:val="Piedepgina"/>
      <w:tabs>
        <w:tab w:val="left" w:pos="6520"/>
        <w:tab w:val="right" w:pos="9638"/>
      </w:tabs>
      <w:spacing w:before="120" w:line="240" w:lineRule="auto"/>
      <w:rPr>
        <w:sz w:val="20"/>
      </w:rPr>
    </w:pPr>
    <w:proofErr w:type="spellStart"/>
    <w:r>
      <w:rPr>
        <w:sz w:val="20"/>
      </w:rPr>
      <w:t>GE.20</w:t>
    </w:r>
    <w:proofErr w:type="spellEnd"/>
    <w:r>
      <w:rPr>
        <w:sz w:val="20"/>
      </w:rPr>
      <w:t>-</w:t>
    </w:r>
    <w:proofErr w:type="gramStart"/>
    <w:r>
      <w:rPr>
        <w:sz w:val="20"/>
      </w:rPr>
      <w:t>17685  (</w:t>
    </w:r>
    <w:proofErr w:type="gramEnd"/>
    <w:r>
      <w:rPr>
        <w:sz w:val="20"/>
      </w:rPr>
      <w:t>S)</w:t>
    </w:r>
    <w:r>
      <w:rPr>
        <w:sz w:val="20"/>
      </w:rPr>
      <w:tab/>
    </w:r>
    <w:r w:rsidRPr="0010192B">
      <w:rPr>
        <w:noProof/>
        <w:sz w:val="20"/>
        <w:lang w:val="fr-CH" w:eastAsia="zh-CN"/>
      </w:rPr>
      <w:drawing>
        <wp:inline distT="0" distB="0" distL="0" distR="0" wp14:anchorId="79E4A3CA" wp14:editId="536C6DAC">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1B851E7" wp14:editId="172ACC68">
          <wp:extent cx="637540" cy="637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DC3E" w14:textId="77777777" w:rsidR="00FD4EAF" w:rsidRPr="001075E9" w:rsidRDefault="00FD4EAF" w:rsidP="001075E9">
      <w:pPr>
        <w:tabs>
          <w:tab w:val="right" w:pos="2155"/>
        </w:tabs>
        <w:spacing w:after="80" w:line="240" w:lineRule="auto"/>
        <w:ind w:left="680"/>
        <w:rPr>
          <w:u w:val="single"/>
        </w:rPr>
      </w:pPr>
      <w:r>
        <w:rPr>
          <w:u w:val="single"/>
        </w:rPr>
        <w:tab/>
      </w:r>
    </w:p>
  </w:footnote>
  <w:footnote w:type="continuationSeparator" w:id="0">
    <w:p w14:paraId="354628BD" w14:textId="77777777" w:rsidR="00FD4EAF" w:rsidRDefault="00FD4EAF" w:rsidP="00AE0E02">
      <w:pPr>
        <w:tabs>
          <w:tab w:val="right" w:pos="2155"/>
        </w:tabs>
        <w:spacing w:after="80" w:line="240" w:lineRule="auto"/>
        <w:ind w:left="680"/>
        <w:rPr>
          <w:u w:val="single"/>
        </w:rPr>
      </w:pPr>
      <w:r>
        <w:rPr>
          <w:u w:val="single"/>
        </w:rPr>
        <w:tab/>
      </w:r>
    </w:p>
  </w:footnote>
  <w:footnote w:id="1">
    <w:p w14:paraId="5FF0822E" w14:textId="77777777" w:rsidR="002A3286" w:rsidRPr="002A3286" w:rsidRDefault="002A3286" w:rsidP="00D21C8D">
      <w:pPr>
        <w:pStyle w:val="Textonotapie"/>
      </w:pPr>
      <w:r w:rsidRPr="00E4242D">
        <w:rPr>
          <w:rStyle w:val="Refdenotaalpie"/>
          <w:sz w:val="20"/>
        </w:rPr>
        <w:tab/>
      </w:r>
      <w:r w:rsidRPr="00E4242D">
        <w:rPr>
          <w:rStyle w:val="Refdenotaalpie"/>
          <w:sz w:val="20"/>
          <w:vertAlign w:val="baseline"/>
        </w:rPr>
        <w:t>*</w:t>
      </w:r>
      <w:r>
        <w:rPr>
          <w:rStyle w:val="Refdenotaalpie"/>
          <w:sz w:val="20"/>
          <w:vertAlign w:val="baseline"/>
        </w:rPr>
        <w:tab/>
      </w:r>
      <w:r>
        <w:t>Adoptad</w:t>
      </w:r>
      <w:r w:rsidR="00170197">
        <w:t>a</w:t>
      </w:r>
      <w:r>
        <w:t xml:space="preserve"> por el Comité en su 129°</w:t>
      </w:r>
      <w:r>
        <w:rPr>
          <w:lang w:val="es-MX"/>
        </w:rPr>
        <w:t xml:space="preserve"> período de sesiones (29 </w:t>
      </w:r>
      <w:r w:rsidR="004C71B9">
        <w:rPr>
          <w:lang w:val="es-MX"/>
        </w:rPr>
        <w:t xml:space="preserve">de </w:t>
      </w:r>
      <w:r>
        <w:rPr>
          <w:lang w:val="es-MX"/>
        </w:rPr>
        <w:t>junio a 24 de julio de 2020).</w:t>
      </w:r>
    </w:p>
  </w:footnote>
  <w:footnote w:id="2">
    <w:p w14:paraId="28BF0BBC" w14:textId="77777777" w:rsidR="002A3286" w:rsidRPr="002A3286" w:rsidRDefault="002A3286">
      <w:pPr>
        <w:pStyle w:val="Textonotapie"/>
      </w:pPr>
      <w:r>
        <w:rPr>
          <w:rStyle w:val="Refdenotaalpie"/>
        </w:rPr>
        <w:tab/>
      </w:r>
      <w:r w:rsidRPr="00E4242D">
        <w:rPr>
          <w:rStyle w:val="Refdenotaalpie"/>
          <w:sz w:val="20"/>
          <w:vertAlign w:val="baseline"/>
        </w:rPr>
        <w:t>**</w:t>
      </w:r>
      <w:r>
        <w:rPr>
          <w:rStyle w:val="Refdenotaalpie"/>
          <w:sz w:val="20"/>
          <w:vertAlign w:val="baseline"/>
        </w:rPr>
        <w:tab/>
      </w:r>
      <w:r w:rsidRPr="00162D12">
        <w:t>Los siguientes miembros del Comité participaron en el examen de la presente comunicaci</w:t>
      </w:r>
      <w:r>
        <w:t>ón: Tania</w:t>
      </w:r>
      <w:r w:rsidR="000749A2">
        <w:t> </w:t>
      </w:r>
      <w:proofErr w:type="spellStart"/>
      <w:r>
        <w:t>Abdo</w:t>
      </w:r>
      <w:proofErr w:type="spellEnd"/>
      <w:r>
        <w:t xml:space="preserve"> </w:t>
      </w:r>
      <w:proofErr w:type="spellStart"/>
      <w:r>
        <w:t>Rocholl</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Arif</w:t>
      </w:r>
      <w:proofErr w:type="spellEnd"/>
      <w:r>
        <w:t xml:space="preserve"> </w:t>
      </w:r>
      <w:proofErr w:type="spellStart"/>
      <w:r>
        <w:t>Bulkan</w:t>
      </w:r>
      <w:proofErr w:type="spellEnd"/>
      <w:r>
        <w:t xml:space="preserve">, Ahmed Amin </w:t>
      </w:r>
      <w:proofErr w:type="spellStart"/>
      <w:r>
        <w:t>Fathalla</w:t>
      </w:r>
      <w:proofErr w:type="spellEnd"/>
      <w:r>
        <w:t xml:space="preserve">, </w:t>
      </w:r>
      <w:proofErr w:type="spellStart"/>
      <w:r>
        <w:t>Shuichi</w:t>
      </w:r>
      <w:proofErr w:type="spellEnd"/>
      <w:r>
        <w:t xml:space="preserve"> </w:t>
      </w:r>
      <w:proofErr w:type="spellStart"/>
      <w:r>
        <w:t>Furuya</w:t>
      </w:r>
      <w:proofErr w:type="spellEnd"/>
      <w:r>
        <w:t xml:space="preserve">, Christof </w:t>
      </w:r>
      <w:proofErr w:type="spellStart"/>
      <w:r>
        <w:t>Heyns</w:t>
      </w:r>
      <w:proofErr w:type="spellEnd"/>
      <w:r>
        <w:t xml:space="preserve">, </w:t>
      </w:r>
      <w:proofErr w:type="spellStart"/>
      <w:r>
        <w:t>Bamariam</w:t>
      </w:r>
      <w:proofErr w:type="spellEnd"/>
      <w:r>
        <w:t xml:space="preserve"> </w:t>
      </w:r>
      <w:proofErr w:type="spellStart"/>
      <w:r>
        <w:t>Koita</w:t>
      </w:r>
      <w:proofErr w:type="spellEnd"/>
      <w:r>
        <w:t xml:space="preserve">, </w:t>
      </w:r>
      <w:proofErr w:type="spellStart"/>
      <w:r>
        <w:t>Ducan</w:t>
      </w:r>
      <w:proofErr w:type="spellEnd"/>
      <w:r>
        <w:t xml:space="preserve">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Hernán Quezada</w:t>
      </w:r>
      <w:r w:rsidR="00FC27DA">
        <w:t xml:space="preserve"> Cabrera</w:t>
      </w:r>
      <w:r>
        <w:t xml:space="preserve">, </w:t>
      </w:r>
      <w:proofErr w:type="spellStart"/>
      <w:r>
        <w:t>Vasilka</w:t>
      </w:r>
      <w:proofErr w:type="spellEnd"/>
      <w:r>
        <w:t xml:space="preserve"> </w:t>
      </w:r>
      <w:proofErr w:type="spellStart"/>
      <w:r>
        <w:t>Sancin</w:t>
      </w:r>
      <w:proofErr w:type="spellEnd"/>
      <w:r>
        <w:t xml:space="preserve">, José Manuel Santos </w:t>
      </w:r>
      <w:proofErr w:type="spellStart"/>
      <w:r>
        <w:t>Pais</w:t>
      </w:r>
      <w:proofErr w:type="spellEnd"/>
      <w:r>
        <w:t xml:space="preserve">, </w:t>
      </w:r>
      <w:proofErr w:type="spellStart"/>
      <w:r>
        <w:t>Yuval</w:t>
      </w:r>
      <w:proofErr w:type="spellEnd"/>
      <w:r>
        <w:t xml:space="preserve"> </w:t>
      </w:r>
      <w:proofErr w:type="spellStart"/>
      <w:r>
        <w:t>Shany</w:t>
      </w:r>
      <w:proofErr w:type="spellEnd"/>
      <w:r>
        <w:t xml:space="preserve">, Hélène </w:t>
      </w:r>
      <w:proofErr w:type="spellStart"/>
      <w:r>
        <w:t>Tigroudja</w:t>
      </w:r>
      <w:proofErr w:type="spellEnd"/>
      <w:r>
        <w:t xml:space="preserve">, Andreas Zimmermann y </w:t>
      </w:r>
      <w:proofErr w:type="spellStart"/>
      <w:r>
        <w:t>Gentian</w:t>
      </w:r>
      <w:proofErr w:type="spellEnd"/>
      <w:r>
        <w:t xml:space="preserve"> </w:t>
      </w:r>
      <w:proofErr w:type="spellStart"/>
      <w:r>
        <w:t>Zyberi</w:t>
      </w:r>
      <w:proofErr w:type="spellEnd"/>
      <w:r>
        <w:t>.</w:t>
      </w:r>
    </w:p>
  </w:footnote>
  <w:footnote w:id="3">
    <w:p w14:paraId="4431E9CA" w14:textId="77777777" w:rsidR="001E1421" w:rsidRPr="007E5CB1" w:rsidRDefault="001E1421" w:rsidP="007E5CB1">
      <w:pPr>
        <w:pStyle w:val="Textonotapie"/>
      </w:pPr>
      <w:r w:rsidRPr="007E5CB1">
        <w:t xml:space="preserve"> </w:t>
      </w:r>
      <w:r w:rsidR="007E5CB1">
        <w:tab/>
      </w:r>
      <w:r w:rsidRPr="007E5CB1">
        <w:rPr>
          <w:rStyle w:val="Refdenotaalpie"/>
        </w:rPr>
        <w:footnoteRef/>
      </w:r>
      <w:r w:rsidRPr="007E5CB1">
        <w:rPr>
          <w:rStyle w:val="Refdenotaalpie"/>
        </w:rPr>
        <w:t xml:space="preserve"> </w:t>
      </w:r>
      <w:r w:rsidR="007E5CB1">
        <w:tab/>
      </w:r>
      <w:r w:rsidRPr="007E5CB1">
        <w:t>El autor solicit</w:t>
      </w:r>
      <w:r w:rsidR="005A37A5" w:rsidRPr="007E5CB1">
        <w:t>ó</w:t>
      </w:r>
      <w:r w:rsidRPr="007E5CB1">
        <w:t xml:space="preserve"> medidas provisionales consistentes en: </w:t>
      </w:r>
      <w:r w:rsidR="00D41819">
        <w:t>a</w:t>
      </w:r>
      <w:r w:rsidRPr="007E5CB1">
        <w:t xml:space="preserve">) el acompañamiento y seguimiento por parte del Comité de los procesos judiciales que </w:t>
      </w:r>
      <w:r w:rsidR="00D41819">
        <w:t xml:space="preserve">se </w:t>
      </w:r>
      <w:r w:rsidRPr="007E5CB1">
        <w:t xml:space="preserve">siguen contra el autor y a los que ha decidido no personarse; </w:t>
      </w:r>
      <w:r w:rsidR="00D41819">
        <w:t>b</w:t>
      </w:r>
      <w:r w:rsidRPr="007E5CB1">
        <w:t xml:space="preserve">) la suspensión provisional del fallo condenatorio; </w:t>
      </w:r>
      <w:r w:rsidR="00D41819">
        <w:t>c</w:t>
      </w:r>
      <w:r w:rsidRPr="007E5CB1">
        <w:t xml:space="preserve">) el cambio de lugar de reclusión del centro penitenciario </w:t>
      </w:r>
      <w:r w:rsidR="00D41819">
        <w:t>L</w:t>
      </w:r>
      <w:r w:rsidRPr="007E5CB1">
        <w:t xml:space="preserve">a Picota de Bogotá a la guarnición militar Escuela de Infantería Cantón Norte donde se elevó una solicitud oficial de traslado, por estar su vida y seguridad personal en riesgo inminente y preservar la afectada unidad familiar; </w:t>
      </w:r>
      <w:r w:rsidR="00D41819">
        <w:t>y d</w:t>
      </w:r>
      <w:r w:rsidRPr="007E5CB1">
        <w:t>) demás medidas provisionales que el Comité estime pertinentes.</w:t>
      </w:r>
    </w:p>
  </w:footnote>
  <w:footnote w:id="4">
    <w:p w14:paraId="49E2B097" w14:textId="77777777" w:rsidR="00D22E54" w:rsidRDefault="007E5CB1" w:rsidP="007E5CB1">
      <w:pPr>
        <w:pStyle w:val="Textonotapie"/>
      </w:pPr>
      <w:r>
        <w:tab/>
      </w:r>
      <w:r w:rsidR="00D22E54">
        <w:rPr>
          <w:rStyle w:val="Refdenotaalpie"/>
        </w:rPr>
        <w:footnoteRef/>
      </w:r>
      <w:r>
        <w:tab/>
      </w:r>
      <w:r w:rsidR="00D22E54">
        <w:t xml:space="preserve">El autor informa que la </w:t>
      </w:r>
      <w:r w:rsidR="00D41819">
        <w:t>L</w:t>
      </w:r>
      <w:r w:rsidR="00D22E54">
        <w:t xml:space="preserve">ey 600 de 2000 por la que fue juzgado, al </w:t>
      </w:r>
      <w:r w:rsidR="003A6899">
        <w:t xml:space="preserve">regular un procedimiento </w:t>
      </w:r>
      <w:r w:rsidR="00D22E54">
        <w:t>de carácter inquisitivo</w:t>
      </w:r>
      <w:r w:rsidR="003A6899">
        <w:t>,</w:t>
      </w:r>
      <w:r w:rsidR="00D22E54">
        <w:t xml:space="preserve"> se caracteriza </w:t>
      </w:r>
      <w:r w:rsidR="00D22E54" w:rsidRPr="007E5CB1">
        <w:t>porque</w:t>
      </w:r>
      <w:r w:rsidR="00D22E54">
        <w:t xml:space="preserve"> el Fiscal concentra los roles de investigar, acusar, decidir sobre la privación de libertad, y la Corte </w:t>
      </w:r>
      <w:r w:rsidR="003A6899">
        <w:t xml:space="preserve">se limita a </w:t>
      </w:r>
      <w:r w:rsidR="00D22E54">
        <w:t>dicta</w:t>
      </w:r>
      <w:r w:rsidR="003A6899">
        <w:t>r</w:t>
      </w:r>
      <w:r w:rsidR="00D22E54">
        <w:t xml:space="preserve"> un fallo. El autor indica que la </w:t>
      </w:r>
      <w:r w:rsidR="00D41819">
        <w:t>L</w:t>
      </w:r>
      <w:r w:rsidR="00D22E54">
        <w:t>ey 600 de</w:t>
      </w:r>
      <w:r w:rsidR="00AF693D">
        <w:t> </w:t>
      </w:r>
      <w:r w:rsidR="00D22E54">
        <w:t xml:space="preserve">2000 fue </w:t>
      </w:r>
      <w:r w:rsidR="00D41819">
        <w:t xml:space="preserve">sustancialmente </w:t>
      </w:r>
      <w:r w:rsidR="00D22E54">
        <w:t xml:space="preserve">modificada por la </w:t>
      </w:r>
      <w:r w:rsidR="00D41819">
        <w:t>L</w:t>
      </w:r>
      <w:r w:rsidR="00D22E54">
        <w:t>ey 906 de 2004 para garantizar en debida forma los derechos humanos y las libertades fundamentales de los acusados penales, introduciendo</w:t>
      </w:r>
      <w:r w:rsidR="00D41819">
        <w:t xml:space="preserve"> en el sistema penal colombiano</w:t>
      </w:r>
      <w:r w:rsidR="00D22E54">
        <w:t xml:space="preserve">, a diferencia de la </w:t>
      </w:r>
      <w:r w:rsidR="00D41819">
        <w:t>L</w:t>
      </w:r>
      <w:r w:rsidR="00D22E54">
        <w:t>ey 600, la publicidad, oralidad, contradicción, concentración, inmediación probatoria y celeridad. No obstante, en la disposición final de la nueva ley se estipula que la misma s</w:t>
      </w:r>
      <w:r w:rsidR="00D41819">
        <w:t>o</w:t>
      </w:r>
      <w:r w:rsidR="00D22E54">
        <w:t xml:space="preserve">lo rige para los delitos cometidos con posterioridad al 1 de enero de 2005. El autor explica que la </w:t>
      </w:r>
      <w:r w:rsidR="00D41819">
        <w:t>L</w:t>
      </w:r>
      <w:r w:rsidR="00D22E54">
        <w:t xml:space="preserve">ey 600 de 2000 ha sido ampliamente criticada por la doctrina colombiana y menciona distintas publicaciones en este sentido. </w:t>
      </w:r>
    </w:p>
  </w:footnote>
  <w:footnote w:id="5">
    <w:p w14:paraId="189D7244" w14:textId="77777777" w:rsidR="00194D1F" w:rsidRPr="00194D1F" w:rsidRDefault="00BC7C91" w:rsidP="00194D1F">
      <w:pPr>
        <w:pStyle w:val="Textonotapie"/>
        <w:jc w:val="both"/>
      </w:pPr>
      <w:r>
        <w:tab/>
      </w:r>
      <w:r w:rsidR="00194D1F">
        <w:rPr>
          <w:rStyle w:val="Refdenotaalpie"/>
        </w:rPr>
        <w:footnoteRef/>
      </w:r>
      <w:r>
        <w:tab/>
      </w:r>
      <w:r w:rsidR="00194D1F" w:rsidRPr="00194D1F">
        <w:t>En la orden de detención de fecha 27 de febrero de 2007</w:t>
      </w:r>
      <w:r w:rsidR="00E966F7">
        <w:t xml:space="preserve"> se dispuso que</w:t>
      </w:r>
      <w:r w:rsidR="00194D1F" w:rsidRPr="00194D1F">
        <w:t xml:space="preserve"> </w:t>
      </w:r>
      <w:r w:rsidR="00E966F7" w:rsidRPr="00E966F7">
        <w:t>la detención</w:t>
      </w:r>
      <w:r w:rsidR="00E966F7">
        <w:t xml:space="preserve"> del autor</w:t>
      </w:r>
      <w:r w:rsidR="00E966F7" w:rsidRPr="00E966F7">
        <w:t xml:space="preserve"> se </w:t>
      </w:r>
      <w:r w:rsidR="00E966F7">
        <w:t>hiciera</w:t>
      </w:r>
      <w:r w:rsidR="00E966F7" w:rsidRPr="00E966F7">
        <w:t xml:space="preserve"> efectiva en la </w:t>
      </w:r>
      <w:r w:rsidR="008C3CBC">
        <w:t>c</w:t>
      </w:r>
      <w:r w:rsidR="00E966F7" w:rsidRPr="00E966F7">
        <w:t xml:space="preserve">árcel </w:t>
      </w:r>
      <w:r w:rsidR="008C3CBC">
        <w:t>L</w:t>
      </w:r>
      <w:r w:rsidR="00E966F7" w:rsidRPr="00E966F7">
        <w:t>a Picota, en pabellón</w:t>
      </w:r>
      <w:r w:rsidR="00E966F7">
        <w:t xml:space="preserve"> especial que garantizara</w:t>
      </w:r>
      <w:r w:rsidR="00E966F7" w:rsidRPr="00E966F7">
        <w:t xml:space="preserve"> su seguridad e integridad personal</w:t>
      </w:r>
      <w:r w:rsidR="00E966F7">
        <w:t xml:space="preserve">. </w:t>
      </w:r>
      <w:r w:rsidR="00194D1F" w:rsidRPr="00194D1F">
        <w:t xml:space="preserve">Permaneció allí hasta el 23 de marzo de 2007, fecha en que fue puesto en libertad a raíz de una petición de </w:t>
      </w:r>
      <w:r w:rsidR="00194D1F" w:rsidRPr="00E4242D">
        <w:rPr>
          <w:i/>
          <w:iCs/>
        </w:rPr>
        <w:t>h</w:t>
      </w:r>
      <w:r w:rsidR="008C3CBC" w:rsidRPr="00E4242D">
        <w:rPr>
          <w:i/>
          <w:iCs/>
        </w:rPr>
        <w:t>a</w:t>
      </w:r>
      <w:r w:rsidR="00194D1F" w:rsidRPr="00E4242D">
        <w:rPr>
          <w:i/>
          <w:iCs/>
        </w:rPr>
        <w:t>beas corpus</w:t>
      </w:r>
      <w:r w:rsidR="00194D1F" w:rsidRPr="00194D1F">
        <w:t xml:space="preserve"> porque la detención había sido ordenada por un funcionario que no era competente. El 6 de julio de 2007, la Fiscalía General ordenó </w:t>
      </w:r>
      <w:r w:rsidR="003B2DFC">
        <w:t>la</w:t>
      </w:r>
      <w:r w:rsidR="00194D1F" w:rsidRPr="00194D1F">
        <w:t xml:space="preserve"> </w:t>
      </w:r>
      <w:r w:rsidR="003B2DFC">
        <w:t>detención</w:t>
      </w:r>
      <w:r w:rsidR="00194D1F" w:rsidRPr="00194D1F">
        <w:t xml:space="preserve"> preventiva </w:t>
      </w:r>
      <w:r w:rsidR="003B2DFC">
        <w:t xml:space="preserve">del autor </w:t>
      </w:r>
      <w:r w:rsidR="00194D1F" w:rsidRPr="00194D1F">
        <w:t>en la</w:t>
      </w:r>
      <w:r w:rsidR="00E966F7">
        <w:t xml:space="preserve"> </w:t>
      </w:r>
      <w:r w:rsidR="008C3CBC">
        <w:t>c</w:t>
      </w:r>
      <w:r w:rsidR="00E966F7">
        <w:t xml:space="preserve">árcel </w:t>
      </w:r>
      <w:r w:rsidR="008C3CBC">
        <w:t>L</w:t>
      </w:r>
      <w:r w:rsidR="00E966F7">
        <w:t>a</w:t>
      </w:r>
      <w:r w:rsidR="00194D1F" w:rsidRPr="00194D1F">
        <w:t xml:space="preserve"> Picota, donde permaneció hasta el 11 de junio de 2008, fecha en que se revocó la decisión (véase el párrafo 6.8 </w:t>
      </w:r>
      <w:r w:rsidR="00194D1F" w:rsidRPr="00E4242D">
        <w:rPr>
          <w:i/>
          <w:iCs/>
        </w:rPr>
        <w:t>infra</w:t>
      </w:r>
      <w:r w:rsidR="00194D1F" w:rsidRPr="00194D1F">
        <w:t xml:space="preserve">). El 12 de diciembre de 2008, la Fiscalía General ordenó </w:t>
      </w:r>
      <w:r w:rsidR="001B2763">
        <w:t>de nuevo</w:t>
      </w:r>
      <w:r w:rsidR="00194D1F" w:rsidRPr="00194D1F">
        <w:t xml:space="preserve"> </w:t>
      </w:r>
      <w:r w:rsidR="008776B2">
        <w:t xml:space="preserve">la </w:t>
      </w:r>
      <w:r w:rsidR="00194D1F" w:rsidRPr="00194D1F">
        <w:t>detención preventiva</w:t>
      </w:r>
      <w:r w:rsidR="003B2DFC">
        <w:t xml:space="preserve"> </w:t>
      </w:r>
      <w:r w:rsidR="008776B2">
        <w:t>d</w:t>
      </w:r>
      <w:r w:rsidR="003B2DFC">
        <w:t>el autor</w:t>
      </w:r>
      <w:r w:rsidR="00194D1F" w:rsidRPr="00194D1F">
        <w:t xml:space="preserve">. Fue detenido en el </w:t>
      </w:r>
      <w:r w:rsidR="00194D1F" w:rsidRPr="000564E8">
        <w:t>búnker</w:t>
      </w:r>
      <w:r w:rsidR="00194D1F" w:rsidRPr="00194D1F">
        <w:t xml:space="preserve"> de la Fiscalía hasta el 23 de diciembre de 2008.</w:t>
      </w:r>
    </w:p>
  </w:footnote>
  <w:footnote w:id="6">
    <w:p w14:paraId="6B355346" w14:textId="77777777" w:rsidR="00D22E54" w:rsidRPr="00E4242D" w:rsidRDefault="007E5CB1" w:rsidP="007E5CB1">
      <w:pPr>
        <w:pStyle w:val="Textonotapie"/>
        <w:rPr>
          <w:lang w:val="en-US"/>
        </w:rPr>
      </w:pPr>
      <w:r w:rsidRPr="00194D1F">
        <w:tab/>
      </w:r>
      <w:r w:rsidR="00D22E54">
        <w:rPr>
          <w:rStyle w:val="Refdenotaalpie"/>
          <w:szCs w:val="18"/>
        </w:rPr>
        <w:footnoteRef/>
      </w:r>
      <w:r>
        <w:tab/>
      </w:r>
      <w:r w:rsidR="00BC20B4" w:rsidRPr="00A05F2F">
        <w:rPr>
          <w:rStyle w:val="Refdenotaalpie"/>
          <w:szCs w:val="18"/>
          <w:vertAlign w:val="baseline"/>
        </w:rPr>
        <w:t xml:space="preserve">De acuerdo con lo dispuesto en el artículo 235.4 de la Constitución Política: “Son atribuciones de la Corte Suprema de justicia juzgar </w:t>
      </w:r>
      <w:r w:rsidR="00BC20B4">
        <w:rPr>
          <w:szCs w:val="18"/>
        </w:rPr>
        <w:t>[…]</w:t>
      </w:r>
      <w:r w:rsidR="00BC20B4" w:rsidRPr="00A05F2F">
        <w:rPr>
          <w:rStyle w:val="Refdenotaalpie"/>
          <w:szCs w:val="18"/>
          <w:vertAlign w:val="baseline"/>
        </w:rPr>
        <w:t xml:space="preserve"> a los Ministros del Despacho por los hechos punibles que se les imputen”, siendo por tanto el autor aforado constitucional. As</w:t>
      </w:r>
      <w:proofErr w:type="spellStart"/>
      <w:r w:rsidR="00BC20B4" w:rsidRPr="00EC36A8">
        <w:rPr>
          <w:szCs w:val="18"/>
          <w:lang w:val="en-US"/>
        </w:rPr>
        <w:t>i</w:t>
      </w:r>
      <w:r w:rsidR="00BC20B4" w:rsidRPr="00EC36A8">
        <w:rPr>
          <w:rStyle w:val="Refdenotaalpie"/>
          <w:szCs w:val="18"/>
          <w:vertAlign w:val="baseline"/>
          <w:lang w:val="en-US"/>
        </w:rPr>
        <w:t>mismo</w:t>
      </w:r>
      <w:proofErr w:type="spellEnd"/>
      <w:r w:rsidR="00BC20B4" w:rsidRPr="00EC36A8">
        <w:rPr>
          <w:rStyle w:val="Refdenotaalpie"/>
          <w:szCs w:val="18"/>
          <w:vertAlign w:val="baseline"/>
          <w:lang w:val="en-US"/>
        </w:rPr>
        <w:t xml:space="preserve">, el Código de </w:t>
      </w:r>
      <w:proofErr w:type="spellStart"/>
      <w:r w:rsidR="00BC20B4" w:rsidRPr="00EC36A8">
        <w:rPr>
          <w:rStyle w:val="Refdenotaalpie"/>
          <w:szCs w:val="18"/>
          <w:vertAlign w:val="baseline"/>
          <w:lang w:val="en-US"/>
        </w:rPr>
        <w:t>Procedimiento</w:t>
      </w:r>
      <w:proofErr w:type="spellEnd"/>
      <w:r w:rsidR="00BC20B4" w:rsidRPr="00EC36A8">
        <w:rPr>
          <w:rStyle w:val="Refdenotaalpie"/>
          <w:szCs w:val="18"/>
          <w:vertAlign w:val="baseline"/>
          <w:lang w:val="en-US"/>
        </w:rPr>
        <w:t xml:space="preserve"> </w:t>
      </w:r>
      <w:r w:rsidR="00BC20B4" w:rsidRPr="007B1819">
        <w:rPr>
          <w:rStyle w:val="Refdenotaalpie"/>
          <w:szCs w:val="18"/>
          <w:vertAlign w:val="baseline"/>
          <w:lang w:val="en-US"/>
        </w:rPr>
        <w:t xml:space="preserve">Penal </w:t>
      </w:r>
      <w:r w:rsidR="00BC20B4" w:rsidRPr="00EC36A8">
        <w:rPr>
          <w:rStyle w:val="Refdenotaalpie"/>
          <w:szCs w:val="18"/>
          <w:vertAlign w:val="baseline"/>
          <w:lang w:val="en-US"/>
        </w:rPr>
        <w:t>(</w:t>
      </w:r>
      <w:r w:rsidR="00BC20B4">
        <w:rPr>
          <w:rStyle w:val="Refdenotaalpie"/>
          <w:szCs w:val="18"/>
          <w:vertAlign w:val="baseline"/>
          <w:lang w:val="en-US"/>
        </w:rPr>
        <w:t>L</w:t>
      </w:r>
      <w:r w:rsidR="00BC20B4" w:rsidRPr="00EC36A8">
        <w:rPr>
          <w:rStyle w:val="Refdenotaalpie"/>
          <w:szCs w:val="18"/>
          <w:vertAlign w:val="baseline"/>
          <w:lang w:val="en-US"/>
        </w:rPr>
        <w:t xml:space="preserve">ey 906 de 2004) </w:t>
      </w:r>
      <w:proofErr w:type="spellStart"/>
      <w:r w:rsidR="00BC20B4" w:rsidRPr="00EC36A8">
        <w:rPr>
          <w:rStyle w:val="Refdenotaalpie"/>
          <w:szCs w:val="18"/>
          <w:vertAlign w:val="baseline"/>
          <w:lang w:val="en-US"/>
        </w:rPr>
        <w:t>establece</w:t>
      </w:r>
      <w:proofErr w:type="spellEnd"/>
      <w:r w:rsidR="00BC20B4" w:rsidRPr="00EC36A8">
        <w:rPr>
          <w:rStyle w:val="Refdenotaalpie"/>
          <w:szCs w:val="18"/>
          <w:vertAlign w:val="baseline"/>
          <w:lang w:val="en-US"/>
        </w:rPr>
        <w:t xml:space="preserve"> </w:t>
      </w:r>
      <w:proofErr w:type="spellStart"/>
      <w:r w:rsidR="00BC20B4" w:rsidRPr="00EC36A8">
        <w:rPr>
          <w:rStyle w:val="Refdenotaalpie"/>
          <w:szCs w:val="18"/>
          <w:vertAlign w:val="baseline"/>
          <w:lang w:val="en-US"/>
        </w:rPr>
        <w:t>en</w:t>
      </w:r>
      <w:proofErr w:type="spellEnd"/>
      <w:r w:rsidR="00BC20B4" w:rsidRPr="00EC36A8">
        <w:rPr>
          <w:rStyle w:val="Refdenotaalpie"/>
          <w:szCs w:val="18"/>
          <w:vertAlign w:val="baseline"/>
          <w:lang w:val="en-US"/>
        </w:rPr>
        <w:t xml:space="preserve"> </w:t>
      </w:r>
      <w:proofErr w:type="spellStart"/>
      <w:r w:rsidR="00BC20B4" w:rsidRPr="00EC36A8">
        <w:rPr>
          <w:rStyle w:val="Refdenotaalpie"/>
          <w:szCs w:val="18"/>
          <w:vertAlign w:val="baseline"/>
          <w:lang w:val="en-US"/>
        </w:rPr>
        <w:t>su</w:t>
      </w:r>
      <w:proofErr w:type="spellEnd"/>
      <w:r w:rsidR="00BC20B4" w:rsidRPr="00EC36A8">
        <w:rPr>
          <w:rStyle w:val="Refdenotaalpie"/>
          <w:szCs w:val="18"/>
          <w:vertAlign w:val="baseline"/>
          <w:lang w:val="en-US"/>
        </w:rPr>
        <w:t xml:space="preserve"> </w:t>
      </w:r>
      <w:proofErr w:type="spellStart"/>
      <w:r w:rsidR="00BC20B4" w:rsidRPr="00EC36A8">
        <w:rPr>
          <w:rStyle w:val="Refdenotaalpie"/>
          <w:szCs w:val="18"/>
          <w:vertAlign w:val="baseline"/>
          <w:lang w:val="en-US"/>
        </w:rPr>
        <w:t>artículo</w:t>
      </w:r>
      <w:proofErr w:type="spellEnd"/>
      <w:r w:rsidR="00BC20B4" w:rsidRPr="00EC36A8">
        <w:rPr>
          <w:rStyle w:val="Refdenotaalpie"/>
          <w:szCs w:val="18"/>
          <w:vertAlign w:val="baseline"/>
          <w:lang w:val="en-US"/>
        </w:rPr>
        <w:t xml:space="preserve"> 32.6 que “la Sala de </w:t>
      </w:r>
      <w:proofErr w:type="spellStart"/>
      <w:r w:rsidR="00BC20B4" w:rsidRPr="00EC36A8">
        <w:rPr>
          <w:rStyle w:val="Refdenotaalpie"/>
          <w:szCs w:val="18"/>
          <w:vertAlign w:val="baseline"/>
          <w:lang w:val="en-US"/>
        </w:rPr>
        <w:t>Casación</w:t>
      </w:r>
      <w:proofErr w:type="spellEnd"/>
      <w:r w:rsidR="00BC20B4" w:rsidRPr="00EC36A8">
        <w:rPr>
          <w:rStyle w:val="Refdenotaalpie"/>
          <w:szCs w:val="18"/>
          <w:vertAlign w:val="baseline"/>
          <w:lang w:val="en-US"/>
        </w:rPr>
        <w:t xml:space="preserve"> Penal de la Corte Suprema de Justicia </w:t>
      </w:r>
      <w:proofErr w:type="spellStart"/>
      <w:r w:rsidR="00BC20B4" w:rsidRPr="00EC36A8">
        <w:rPr>
          <w:rStyle w:val="Refdenotaalpie"/>
          <w:szCs w:val="18"/>
          <w:vertAlign w:val="baseline"/>
          <w:lang w:val="en-US"/>
        </w:rPr>
        <w:t>conoce</w:t>
      </w:r>
      <w:proofErr w:type="spellEnd"/>
      <w:r w:rsidR="00BC20B4" w:rsidRPr="00EC36A8">
        <w:rPr>
          <w:rStyle w:val="Refdenotaalpie"/>
          <w:szCs w:val="18"/>
          <w:vertAlign w:val="baseline"/>
          <w:lang w:val="en-US"/>
        </w:rPr>
        <w:t xml:space="preserve">: </w:t>
      </w:r>
      <w:r w:rsidR="00BC20B4">
        <w:rPr>
          <w:szCs w:val="18"/>
          <w:lang w:val="en-US"/>
        </w:rPr>
        <w:t xml:space="preserve">[…] </w:t>
      </w:r>
      <w:r w:rsidR="00BC20B4" w:rsidRPr="00EC36A8">
        <w:rPr>
          <w:rStyle w:val="Refdenotaalpie"/>
          <w:szCs w:val="18"/>
          <w:vertAlign w:val="baseline"/>
          <w:lang w:val="en-US"/>
        </w:rPr>
        <w:t xml:space="preserve">del </w:t>
      </w:r>
      <w:proofErr w:type="spellStart"/>
      <w:r w:rsidR="00BC20B4" w:rsidRPr="00EC36A8">
        <w:rPr>
          <w:rStyle w:val="Refdenotaalpie"/>
          <w:szCs w:val="18"/>
          <w:vertAlign w:val="baseline"/>
          <w:lang w:val="en-US"/>
        </w:rPr>
        <w:t>juzgamiento</w:t>
      </w:r>
      <w:proofErr w:type="spellEnd"/>
      <w:r w:rsidR="00BC20B4" w:rsidRPr="00EC36A8">
        <w:rPr>
          <w:rStyle w:val="Refdenotaalpie"/>
          <w:szCs w:val="18"/>
          <w:vertAlign w:val="baseline"/>
          <w:lang w:val="en-US"/>
        </w:rPr>
        <w:t xml:space="preserve"> de los </w:t>
      </w:r>
      <w:proofErr w:type="spellStart"/>
      <w:r w:rsidR="00BC20B4" w:rsidRPr="00EC36A8">
        <w:rPr>
          <w:rStyle w:val="Refdenotaalpie"/>
          <w:szCs w:val="18"/>
          <w:vertAlign w:val="baseline"/>
          <w:lang w:val="en-US"/>
        </w:rPr>
        <w:t>funcionarios</w:t>
      </w:r>
      <w:proofErr w:type="spellEnd"/>
      <w:r w:rsidR="00BC20B4" w:rsidRPr="00EC36A8">
        <w:rPr>
          <w:rStyle w:val="Refdenotaalpie"/>
          <w:szCs w:val="18"/>
          <w:vertAlign w:val="baseline"/>
          <w:lang w:val="en-US"/>
        </w:rPr>
        <w:t xml:space="preserve"> a que se </w:t>
      </w:r>
      <w:proofErr w:type="spellStart"/>
      <w:r w:rsidR="00BC20B4" w:rsidRPr="00EC36A8">
        <w:rPr>
          <w:rStyle w:val="Refdenotaalpie"/>
          <w:szCs w:val="18"/>
          <w:vertAlign w:val="baseline"/>
          <w:lang w:val="en-US"/>
        </w:rPr>
        <w:t>refiere</w:t>
      </w:r>
      <w:proofErr w:type="spellEnd"/>
      <w:r w:rsidR="00BC20B4" w:rsidRPr="00EC36A8">
        <w:rPr>
          <w:rStyle w:val="Refdenotaalpie"/>
          <w:szCs w:val="18"/>
          <w:vertAlign w:val="baseline"/>
          <w:lang w:val="en-US"/>
        </w:rPr>
        <w:t xml:space="preserve"> el </w:t>
      </w:r>
      <w:proofErr w:type="spellStart"/>
      <w:r w:rsidR="00BC20B4" w:rsidRPr="00EC36A8">
        <w:rPr>
          <w:rStyle w:val="Refdenotaalpie"/>
          <w:szCs w:val="18"/>
          <w:vertAlign w:val="baseline"/>
          <w:lang w:val="en-US"/>
        </w:rPr>
        <w:t>artículo</w:t>
      </w:r>
      <w:proofErr w:type="spellEnd"/>
      <w:r w:rsidR="00BC20B4" w:rsidRPr="00EC36A8">
        <w:rPr>
          <w:rStyle w:val="Refdenotaalpie"/>
          <w:szCs w:val="18"/>
          <w:vertAlign w:val="baseline"/>
          <w:lang w:val="en-US"/>
        </w:rPr>
        <w:t xml:space="preserve"> 235 numeral 4 de la </w:t>
      </w:r>
      <w:proofErr w:type="spellStart"/>
      <w:r w:rsidR="00BC20B4" w:rsidRPr="00EC36A8">
        <w:rPr>
          <w:rStyle w:val="Refdenotaalpie"/>
          <w:szCs w:val="18"/>
          <w:vertAlign w:val="baseline"/>
          <w:lang w:val="en-US"/>
        </w:rPr>
        <w:t>Constitución</w:t>
      </w:r>
      <w:proofErr w:type="spellEnd"/>
      <w:r w:rsidR="00BC20B4" w:rsidRPr="00EC36A8">
        <w:rPr>
          <w:rStyle w:val="Refdenotaalpie"/>
          <w:szCs w:val="18"/>
          <w:vertAlign w:val="baseline"/>
          <w:lang w:val="en-US"/>
        </w:rPr>
        <w:t xml:space="preserve"> </w:t>
      </w:r>
      <w:proofErr w:type="spellStart"/>
      <w:r w:rsidR="00BC20B4" w:rsidRPr="00EC36A8">
        <w:rPr>
          <w:rStyle w:val="Refdenotaalpie"/>
          <w:szCs w:val="18"/>
          <w:vertAlign w:val="baseline"/>
          <w:lang w:val="en-US"/>
        </w:rPr>
        <w:t>Política</w:t>
      </w:r>
      <w:proofErr w:type="spellEnd"/>
      <w:r w:rsidR="00BC20B4" w:rsidRPr="00EC36A8">
        <w:rPr>
          <w:rStyle w:val="Refdenotaalpie"/>
          <w:szCs w:val="18"/>
          <w:vertAlign w:val="baseline"/>
          <w:lang w:val="en-US"/>
        </w:rPr>
        <w:t>”</w:t>
      </w:r>
      <w:r w:rsidR="00BC20B4">
        <w:rPr>
          <w:rStyle w:val="Refdenotaalpie"/>
          <w:szCs w:val="18"/>
          <w:vertAlign w:val="baseline"/>
          <w:lang w:val="en-US"/>
        </w:rPr>
        <w:t>.</w:t>
      </w:r>
    </w:p>
  </w:footnote>
  <w:footnote w:id="7">
    <w:p w14:paraId="77C88396" w14:textId="77777777" w:rsidR="00D22E54" w:rsidRDefault="007E5CB1" w:rsidP="007E5CB1">
      <w:pPr>
        <w:pStyle w:val="Textonotapie"/>
        <w:rPr>
          <w:sz w:val="20"/>
        </w:rPr>
      </w:pPr>
      <w:r w:rsidRPr="00E4242D">
        <w:rPr>
          <w:lang w:val="en-US"/>
        </w:rPr>
        <w:tab/>
      </w:r>
      <w:r w:rsidR="00D22E54">
        <w:rPr>
          <w:rStyle w:val="Refdenotaalpie"/>
        </w:rPr>
        <w:footnoteRef/>
      </w:r>
      <w:r>
        <w:tab/>
      </w:r>
      <w:r w:rsidR="00D22E54">
        <w:t xml:space="preserve">El autor asegura que su abogado renunció a su representación tras ser amenazado por </w:t>
      </w:r>
      <w:r w:rsidR="008254BA">
        <w:t>R.</w:t>
      </w:r>
      <w:r w:rsidR="000749A2">
        <w:t xml:space="preserve"> </w:t>
      </w:r>
      <w:r w:rsidR="008254BA">
        <w:t>G</w:t>
      </w:r>
      <w:r w:rsidR="00D22E54">
        <w:t xml:space="preserve">. Tras la renuncia de su abogado de </w:t>
      </w:r>
      <w:r w:rsidR="00D22E54" w:rsidRPr="007E5CB1">
        <w:t>confianza</w:t>
      </w:r>
      <w:r w:rsidR="00D22E54">
        <w:t xml:space="preserve"> le fueron asignados varios abogados de oficio que no tuvieron la oportunidad de preparar una defensa apropiada por no contar con el tiempo necesario para ello.</w:t>
      </w:r>
    </w:p>
  </w:footnote>
  <w:footnote w:id="8">
    <w:p w14:paraId="626D05B4" w14:textId="77777777" w:rsidR="00E22849" w:rsidRDefault="00E22849" w:rsidP="00E22849">
      <w:pPr>
        <w:pStyle w:val="Textonotapie"/>
      </w:pPr>
      <w:r>
        <w:tab/>
      </w:r>
      <w:r>
        <w:rPr>
          <w:rStyle w:val="Refdenotaalpie"/>
        </w:rPr>
        <w:footnoteRef/>
      </w:r>
      <w:r w:rsidR="00BC7C91">
        <w:tab/>
      </w:r>
      <w:r w:rsidRPr="00450DAD">
        <w:t xml:space="preserve">Si bien el autor afirma que estuvo en </w:t>
      </w:r>
      <w:r w:rsidR="0059743F">
        <w:t>detención</w:t>
      </w:r>
      <w:r w:rsidRPr="00450DAD">
        <w:t xml:space="preserve"> preventiva durante 4 años, 6 meses y 20 días, según la información disponible en el expediente, habría estado efectivamente en </w:t>
      </w:r>
      <w:r w:rsidR="0059743F">
        <w:t>detención</w:t>
      </w:r>
      <w:r w:rsidRPr="00450DAD">
        <w:t xml:space="preserve"> preventiva </w:t>
      </w:r>
      <w:r w:rsidR="0059743F">
        <w:t>alrededor de</w:t>
      </w:r>
      <w:r w:rsidRPr="00450DAD">
        <w:t xml:space="preserve"> 3 años y 9 meses. Véase el párrafo 2.7 </w:t>
      </w:r>
      <w:r w:rsidRPr="00E4242D">
        <w:rPr>
          <w:i/>
          <w:iCs/>
        </w:rPr>
        <w:t>supra</w:t>
      </w:r>
      <w:r w:rsidRPr="00450DAD">
        <w:t xml:space="preserve">.  </w:t>
      </w:r>
    </w:p>
  </w:footnote>
  <w:footnote w:id="9">
    <w:p w14:paraId="0B80C01B" w14:textId="77777777" w:rsidR="00D22E54" w:rsidRPr="007E5CB1" w:rsidRDefault="00D22E54" w:rsidP="007E5CB1">
      <w:pPr>
        <w:pStyle w:val="Textonotapie"/>
      </w:pPr>
      <w:r w:rsidRPr="007E5CB1">
        <w:tab/>
      </w:r>
      <w:r w:rsidRPr="007E5CB1">
        <w:rPr>
          <w:rStyle w:val="Refdenotaalpie"/>
        </w:rPr>
        <w:footnoteRef/>
      </w:r>
      <w:r w:rsidR="007E5CB1">
        <w:tab/>
      </w:r>
      <w:r w:rsidR="009F19B4" w:rsidRPr="007E5CB1">
        <w:t xml:space="preserve">Corte Constitucional, </w:t>
      </w:r>
      <w:r w:rsidR="00BC6136">
        <w:t>s</w:t>
      </w:r>
      <w:r w:rsidRPr="007E5CB1">
        <w:t>entencia C-979/05</w:t>
      </w:r>
      <w:r w:rsidR="00BC7C91">
        <w:t>.</w:t>
      </w:r>
      <w:r w:rsidRPr="007E5CB1">
        <w:t xml:space="preserve"> </w:t>
      </w:r>
    </w:p>
  </w:footnote>
  <w:footnote w:id="10">
    <w:p w14:paraId="65568CFF" w14:textId="77777777" w:rsidR="00D22E54" w:rsidRPr="007E5CB1" w:rsidRDefault="00825B94" w:rsidP="007E5CB1">
      <w:pPr>
        <w:pStyle w:val="Textonotapie"/>
      </w:pPr>
      <w:r w:rsidRPr="007E5CB1">
        <w:tab/>
      </w:r>
      <w:r w:rsidR="00D22E54" w:rsidRPr="007E5CB1">
        <w:rPr>
          <w:rStyle w:val="Refdenotaalpie"/>
        </w:rPr>
        <w:footnoteRef/>
      </w:r>
      <w:r w:rsidR="007E5CB1">
        <w:tab/>
      </w:r>
      <w:r w:rsidR="00D22E54" w:rsidRPr="007E5CB1">
        <w:t xml:space="preserve">El autor no proporciona ninguna información adicional al respecto de los hechos y pretensiones contenidos en dicha </w:t>
      </w:r>
      <w:r w:rsidRPr="007E5CB1">
        <w:t>comunicación</w:t>
      </w:r>
      <w:r w:rsidR="00D22E54" w:rsidRPr="007E5CB1">
        <w:t>.</w:t>
      </w:r>
    </w:p>
  </w:footnote>
  <w:footnote w:id="11">
    <w:p w14:paraId="446BED86" w14:textId="77777777" w:rsidR="00D22E54" w:rsidRPr="007E5CB1" w:rsidRDefault="00825B94" w:rsidP="007E5CB1">
      <w:pPr>
        <w:pStyle w:val="Textonotapie"/>
      </w:pPr>
      <w:r w:rsidRPr="007E5CB1">
        <w:tab/>
      </w:r>
      <w:r w:rsidR="00D22E54" w:rsidRPr="007E5CB1">
        <w:rPr>
          <w:rStyle w:val="Refdenotaalpie"/>
        </w:rPr>
        <w:footnoteRef/>
      </w:r>
      <w:r w:rsidR="007E5CB1">
        <w:tab/>
      </w:r>
      <w:r w:rsidR="00B231FB">
        <w:t xml:space="preserve">Véase </w:t>
      </w:r>
      <w:r w:rsidR="00B14EF6">
        <w:t xml:space="preserve">el párrafo </w:t>
      </w:r>
      <w:r w:rsidR="0060456E" w:rsidRPr="007E5CB1">
        <w:t>4</w:t>
      </w:r>
      <w:r w:rsidR="00B14EF6">
        <w:t>.2</w:t>
      </w:r>
      <w:r w:rsidR="00B231FB">
        <w:t xml:space="preserve"> </w:t>
      </w:r>
      <w:r w:rsidR="00B231FB" w:rsidRPr="00E4242D">
        <w:rPr>
          <w:i/>
          <w:iCs/>
        </w:rPr>
        <w:t>supra</w:t>
      </w:r>
      <w:r w:rsidRPr="007E5CB1">
        <w:t xml:space="preserve">. </w:t>
      </w:r>
    </w:p>
  </w:footnote>
  <w:footnote w:id="12">
    <w:p w14:paraId="7B84142E" w14:textId="77777777" w:rsidR="00D22E54" w:rsidRPr="00E4242D" w:rsidRDefault="009A7BDD" w:rsidP="007E5CB1">
      <w:pPr>
        <w:pStyle w:val="Textonotapie"/>
      </w:pPr>
      <w:r w:rsidRPr="007E5CB1">
        <w:tab/>
      </w:r>
      <w:r w:rsidR="00D22E54" w:rsidRPr="007E5CB1">
        <w:rPr>
          <w:rStyle w:val="Refdenotaalpie"/>
        </w:rPr>
        <w:footnoteRef/>
      </w:r>
      <w:r w:rsidR="007E5CB1" w:rsidRPr="00E4242D">
        <w:tab/>
      </w:r>
      <w:proofErr w:type="spellStart"/>
      <w:r w:rsidR="00317BCA" w:rsidRPr="00E4242D">
        <w:rPr>
          <w:i/>
          <w:iCs/>
        </w:rPr>
        <w:t>Chhedulal</w:t>
      </w:r>
      <w:proofErr w:type="spellEnd"/>
      <w:r w:rsidR="00317BCA" w:rsidRPr="00E4242D">
        <w:rPr>
          <w:i/>
          <w:iCs/>
        </w:rPr>
        <w:t xml:space="preserve"> </w:t>
      </w:r>
      <w:proofErr w:type="spellStart"/>
      <w:r w:rsidR="00317BCA" w:rsidRPr="00E4242D">
        <w:rPr>
          <w:i/>
          <w:iCs/>
        </w:rPr>
        <w:t>Tharu</w:t>
      </w:r>
      <w:proofErr w:type="spellEnd"/>
      <w:r w:rsidR="00317BCA" w:rsidRPr="00E4242D">
        <w:rPr>
          <w:i/>
          <w:iCs/>
        </w:rPr>
        <w:t xml:space="preserve"> y otros c. </w:t>
      </w:r>
      <w:r w:rsidRPr="00E4242D">
        <w:rPr>
          <w:i/>
          <w:iCs/>
        </w:rPr>
        <w:t>Nepal</w:t>
      </w:r>
      <w:r w:rsidR="00773F1D" w:rsidRPr="00E4242D">
        <w:t xml:space="preserve"> (</w:t>
      </w:r>
      <w:proofErr w:type="spellStart"/>
      <w:r w:rsidRPr="00E4242D">
        <w:t>CCPR</w:t>
      </w:r>
      <w:proofErr w:type="spellEnd"/>
      <w:r w:rsidRPr="00E4242D">
        <w:t>/C/114/D/2038/2011</w:t>
      </w:r>
      <w:r w:rsidR="00773F1D" w:rsidRPr="00E4242D">
        <w:t>)</w:t>
      </w:r>
      <w:r w:rsidRPr="00E4242D">
        <w:t xml:space="preserve">, </w:t>
      </w:r>
      <w:r w:rsidR="000223BC" w:rsidRPr="00E4242D">
        <w:t>p</w:t>
      </w:r>
      <w:r w:rsidR="00D22E54" w:rsidRPr="00E4242D">
        <w:t>árr.</w:t>
      </w:r>
      <w:r w:rsidR="00317BCA" w:rsidRPr="00E4242D">
        <w:t xml:space="preserve"> </w:t>
      </w:r>
      <w:r w:rsidR="00D22E54" w:rsidRPr="00E4242D">
        <w:t>9.2</w:t>
      </w:r>
      <w:r w:rsidR="00BC7C91" w:rsidRPr="00E4242D">
        <w:t>.</w:t>
      </w:r>
    </w:p>
  </w:footnote>
  <w:footnote w:id="13">
    <w:p w14:paraId="15071523" w14:textId="77777777" w:rsidR="00D22E54" w:rsidRPr="007E5CB1" w:rsidRDefault="004B10A0" w:rsidP="007E5CB1">
      <w:pPr>
        <w:pStyle w:val="Textonotapie"/>
      </w:pPr>
      <w:r w:rsidRPr="00E4242D">
        <w:tab/>
      </w:r>
      <w:r w:rsidR="00D22E54" w:rsidRPr="007E5CB1">
        <w:rPr>
          <w:rStyle w:val="Refdenotaalpie"/>
        </w:rPr>
        <w:footnoteRef/>
      </w:r>
      <w:r w:rsidR="007E5CB1">
        <w:tab/>
      </w:r>
      <w:r w:rsidR="00F87C0F" w:rsidRPr="007E5CB1">
        <w:t>El autor cita</w:t>
      </w:r>
      <w:r w:rsidR="00317BCA">
        <w:t>,</w:t>
      </w:r>
      <w:r w:rsidR="00F87C0F" w:rsidRPr="007E5CB1">
        <w:t xml:space="preserve"> por ejemplo</w:t>
      </w:r>
      <w:r w:rsidR="00317BCA">
        <w:t>,</w:t>
      </w:r>
      <w:r w:rsidR="00D22E54" w:rsidRPr="007E5CB1">
        <w:t xml:space="preserve"> </w:t>
      </w:r>
      <w:r w:rsidR="00D22E54" w:rsidRPr="00E4242D">
        <w:rPr>
          <w:i/>
          <w:iCs/>
        </w:rPr>
        <w:t xml:space="preserve">Jaroslav y </w:t>
      </w:r>
      <w:r w:rsidR="00317BCA" w:rsidRPr="00E4242D">
        <w:rPr>
          <w:i/>
          <w:iCs/>
        </w:rPr>
        <w:t xml:space="preserve">otra </w:t>
      </w:r>
      <w:r w:rsidRPr="00E4242D">
        <w:rPr>
          <w:i/>
          <w:iCs/>
        </w:rPr>
        <w:t>c. República Checa</w:t>
      </w:r>
      <w:r w:rsidRPr="007E5CB1">
        <w:t xml:space="preserve"> (</w:t>
      </w:r>
      <w:proofErr w:type="spellStart"/>
      <w:r w:rsidRPr="007E5CB1">
        <w:t>CCPR</w:t>
      </w:r>
      <w:proofErr w:type="spellEnd"/>
      <w:r w:rsidRPr="007E5CB1">
        <w:t>/C/96/D/1574/2007)</w:t>
      </w:r>
      <w:r w:rsidR="00F86F53" w:rsidRPr="007E5CB1">
        <w:t>, párr. 6.3</w:t>
      </w:r>
      <w:r w:rsidRPr="007E5CB1">
        <w:t>.</w:t>
      </w:r>
    </w:p>
  </w:footnote>
  <w:footnote w:id="14">
    <w:p w14:paraId="4BC28CE5" w14:textId="77777777" w:rsidR="00D22E54" w:rsidRPr="007E5CB1" w:rsidRDefault="007E5CB1" w:rsidP="007E5CB1">
      <w:pPr>
        <w:pStyle w:val="Textonotapie"/>
      </w:pPr>
      <w:r>
        <w:tab/>
      </w:r>
      <w:r w:rsidR="00D22E54" w:rsidRPr="007E5CB1">
        <w:rPr>
          <w:rStyle w:val="Refdenotaalpie"/>
        </w:rPr>
        <w:footnoteRef/>
      </w:r>
      <w:r>
        <w:tab/>
      </w:r>
      <w:r w:rsidR="00D22E54" w:rsidRPr="007E5CB1">
        <w:t xml:space="preserve">El autor cita los artículos 234 y 235 </w:t>
      </w:r>
      <w:r w:rsidR="005707E6">
        <w:t xml:space="preserve">de la </w:t>
      </w:r>
      <w:r w:rsidR="00D22E54" w:rsidRPr="007E5CB1">
        <w:t>Constitución</w:t>
      </w:r>
      <w:r w:rsidR="005707E6">
        <w:t xml:space="preserve"> </w:t>
      </w:r>
      <w:r w:rsidR="00D22E54" w:rsidRPr="007E5CB1">
        <w:t xml:space="preserve">(atribuciones de la Corte Suprema de Justicia). </w:t>
      </w:r>
    </w:p>
  </w:footnote>
  <w:footnote w:id="15">
    <w:p w14:paraId="01A41B57" w14:textId="77777777" w:rsidR="00D22E54" w:rsidRPr="007E5CB1" w:rsidRDefault="007E5CB1" w:rsidP="007E5CB1">
      <w:pPr>
        <w:pStyle w:val="Textonotapie"/>
      </w:pPr>
      <w:r>
        <w:tab/>
      </w:r>
      <w:r w:rsidR="00D22E54" w:rsidRPr="007E5CB1">
        <w:rPr>
          <w:rStyle w:val="Refdenotaalpie"/>
        </w:rPr>
        <w:footnoteRef/>
      </w:r>
      <w:r>
        <w:tab/>
      </w:r>
      <w:proofErr w:type="spellStart"/>
      <w:r w:rsidR="005707E6" w:rsidRPr="00E4242D">
        <w:rPr>
          <w:i/>
          <w:iCs/>
        </w:rPr>
        <w:t>Gomaríz</w:t>
      </w:r>
      <w:proofErr w:type="spellEnd"/>
      <w:r w:rsidR="005707E6" w:rsidRPr="00E4242D">
        <w:rPr>
          <w:i/>
          <w:iCs/>
        </w:rPr>
        <w:t xml:space="preserve"> Valera </w:t>
      </w:r>
      <w:r w:rsidR="00D22E54" w:rsidRPr="00E4242D">
        <w:rPr>
          <w:i/>
          <w:iCs/>
        </w:rPr>
        <w:t>c. España</w:t>
      </w:r>
      <w:r w:rsidR="005707E6">
        <w:t xml:space="preserve"> (</w:t>
      </w:r>
      <w:proofErr w:type="spellStart"/>
      <w:r w:rsidR="005707E6" w:rsidRPr="00E4242D">
        <w:t>CCPR</w:t>
      </w:r>
      <w:proofErr w:type="spellEnd"/>
      <w:r w:rsidR="005707E6" w:rsidRPr="00E4242D">
        <w:t>/C/84/D/1095/2002)</w:t>
      </w:r>
      <w:r w:rsidR="00D22E54" w:rsidRPr="007E5CB1">
        <w:t>, párr. 7.1.</w:t>
      </w:r>
    </w:p>
  </w:footnote>
  <w:footnote w:id="16">
    <w:p w14:paraId="0FB98C89" w14:textId="62880EF8" w:rsidR="00D22E54" w:rsidRPr="007E5CB1" w:rsidRDefault="007E5CB1" w:rsidP="007E5CB1">
      <w:pPr>
        <w:pStyle w:val="Textonotapie"/>
      </w:pPr>
      <w:r>
        <w:tab/>
      </w:r>
      <w:r w:rsidR="00D22E54" w:rsidRPr="007E5CB1">
        <w:rPr>
          <w:rStyle w:val="Refdenotaalpie"/>
        </w:rPr>
        <w:footnoteRef/>
      </w:r>
      <w:r w:rsidRPr="007E5CB1">
        <w:rPr>
          <w:rStyle w:val="Refdenotaalpie"/>
        </w:rPr>
        <w:tab/>
      </w:r>
      <w:r w:rsidR="0015442B" w:rsidRPr="00E4242D">
        <w:rPr>
          <w:i/>
          <w:iCs/>
        </w:rPr>
        <w:t>Vanguardia</w:t>
      </w:r>
      <w:r w:rsidR="0015442B">
        <w:t>, 7 de abril</w:t>
      </w:r>
      <w:r w:rsidR="00D442CA">
        <w:t xml:space="preserve"> de 2017, disponible en</w:t>
      </w:r>
      <w:r w:rsidR="0015442B">
        <w:t xml:space="preserve"> </w:t>
      </w:r>
      <w:hyperlink r:id="rId1" w:history="1">
        <w:r w:rsidR="00D22E54" w:rsidRPr="007E5CB1">
          <w:rPr>
            <w:rStyle w:val="Hipervnculo"/>
            <w:color w:val="auto"/>
          </w:rPr>
          <w:t>https://www.vanguardia.com/politica/proyecto-de-doble-instancia-para-congresistas-sigue-avanzando-CQVL394204</w:t>
        </w:r>
      </w:hyperlink>
      <w:r w:rsidR="00D442CA">
        <w:rPr>
          <w:rStyle w:val="Hipervnculo"/>
          <w:color w:val="auto"/>
        </w:rPr>
        <w:t>.</w:t>
      </w:r>
    </w:p>
  </w:footnote>
  <w:footnote w:id="17">
    <w:p w14:paraId="5C511286" w14:textId="77777777" w:rsidR="00D22E54" w:rsidRPr="007E5CB1" w:rsidRDefault="007E5CB1" w:rsidP="007E5CB1">
      <w:pPr>
        <w:pStyle w:val="Textonotapie"/>
      </w:pPr>
      <w:r>
        <w:tab/>
      </w:r>
      <w:r w:rsidR="00D22E54" w:rsidRPr="007E5CB1">
        <w:rPr>
          <w:rStyle w:val="Refdenotaalpie"/>
        </w:rPr>
        <w:footnoteRef/>
      </w:r>
      <w:r>
        <w:tab/>
      </w:r>
      <w:r w:rsidR="00C64C60" w:rsidRPr="00E4242D">
        <w:rPr>
          <w:i/>
          <w:iCs/>
        </w:rPr>
        <w:t>Noticias Caracol</w:t>
      </w:r>
      <w:r w:rsidR="00C64C60">
        <w:t>, 21 de marzo de 2017</w:t>
      </w:r>
      <w:r w:rsidR="00623A65">
        <w:t xml:space="preserve">, disponible en </w:t>
      </w:r>
      <w:r w:rsidR="00D22E54" w:rsidRPr="007E5CB1">
        <w:t>https://</w:t>
      </w:r>
      <w:proofErr w:type="spellStart"/>
      <w:r w:rsidR="00D22E54" w:rsidRPr="007E5CB1">
        <w:t>noticias.caracoltv.com</w:t>
      </w:r>
      <w:proofErr w:type="spellEnd"/>
      <w:r w:rsidR="00D22E54" w:rsidRPr="007E5CB1">
        <w:t>/</w:t>
      </w:r>
      <w:proofErr w:type="spellStart"/>
      <w:r w:rsidR="00D22E54" w:rsidRPr="007E5CB1">
        <w:t>colombia</w:t>
      </w:r>
      <w:proofErr w:type="spellEnd"/>
      <w:r w:rsidR="00D22E54" w:rsidRPr="007E5CB1">
        <w:t>/</w:t>
      </w:r>
      <w:r w:rsidR="000749A2">
        <w:br/>
      </w:r>
      <w:r w:rsidR="00D22E54" w:rsidRPr="007E5CB1">
        <w:t>radican-proyecto-para-que-aforados-tengan-doble-instancia</w:t>
      </w:r>
      <w:r w:rsidR="00623A65">
        <w:t>.</w:t>
      </w:r>
    </w:p>
  </w:footnote>
  <w:footnote w:id="18">
    <w:p w14:paraId="2D409136" w14:textId="18B32F71" w:rsidR="00D22E54" w:rsidRPr="007E5CB1" w:rsidRDefault="007C4DA3" w:rsidP="007E5CB1">
      <w:pPr>
        <w:pStyle w:val="Textonotapie"/>
      </w:pPr>
      <w:r>
        <w:tab/>
      </w:r>
      <w:r w:rsidR="00D22E54" w:rsidRPr="007C4DA3">
        <w:rPr>
          <w:rStyle w:val="Refdenotaalpie"/>
        </w:rPr>
        <w:footnoteRef/>
      </w:r>
      <w:r w:rsidR="00D22E54" w:rsidRPr="007C4DA3">
        <w:rPr>
          <w:rStyle w:val="Refdenotaalpie"/>
        </w:rPr>
        <w:t xml:space="preserve"> </w:t>
      </w:r>
      <w:r w:rsidR="007E5CB1" w:rsidRPr="007C4DA3">
        <w:rPr>
          <w:rStyle w:val="Refdenotaalpie"/>
        </w:rPr>
        <w:tab/>
      </w:r>
      <w:r w:rsidR="00D20F34" w:rsidRPr="00E4242D">
        <w:rPr>
          <w:i/>
          <w:iCs/>
        </w:rPr>
        <w:t>El Espectador</w:t>
      </w:r>
      <w:r w:rsidR="00D20F34">
        <w:t>, 23 de marzo de 2017</w:t>
      </w:r>
      <w:r w:rsidR="00D442CA">
        <w:t xml:space="preserve">, disponible en </w:t>
      </w:r>
      <w:hyperlink r:id="rId2" w:history="1">
        <w:r w:rsidR="00D22E54" w:rsidRPr="007E5CB1">
          <w:rPr>
            <w:rStyle w:val="Hipervnculo"/>
            <w:color w:val="auto"/>
          </w:rPr>
          <w:t>https://</w:t>
        </w:r>
        <w:proofErr w:type="spellStart"/>
        <w:r w:rsidR="00D22E54" w:rsidRPr="007E5CB1">
          <w:rPr>
            <w:rStyle w:val="Hipervnculo"/>
            <w:color w:val="auto"/>
          </w:rPr>
          <w:t>www.elespectador.com</w:t>
        </w:r>
        <w:proofErr w:type="spellEnd"/>
        <w:r w:rsidR="00D22E54" w:rsidRPr="007E5CB1">
          <w:rPr>
            <w:rStyle w:val="Hipervnculo"/>
            <w:color w:val="auto"/>
          </w:rPr>
          <w:t>/</w:t>
        </w:r>
        <w:proofErr w:type="spellStart"/>
        <w:r w:rsidR="00D22E54" w:rsidRPr="007E5CB1">
          <w:rPr>
            <w:rStyle w:val="Hipervnculo"/>
            <w:color w:val="auto"/>
          </w:rPr>
          <w:t>opinion</w:t>
        </w:r>
        <w:proofErr w:type="spellEnd"/>
        <w:r w:rsidR="00D22E54" w:rsidRPr="007E5CB1">
          <w:rPr>
            <w:rStyle w:val="Hipervnculo"/>
            <w:color w:val="auto"/>
          </w:rPr>
          <w:t>/editorial/</w:t>
        </w:r>
        <w:r w:rsidR="00EC1524">
          <w:rPr>
            <w:rStyle w:val="Hipervnculo"/>
            <w:color w:val="auto"/>
          </w:rPr>
          <w:br/>
        </w:r>
        <w:r w:rsidR="00D22E54" w:rsidRPr="007E5CB1">
          <w:rPr>
            <w:rStyle w:val="Hipervnculo"/>
            <w:color w:val="auto"/>
          </w:rPr>
          <w:t>bienvenida-la-doble-instancia-para-aforados-articulo-685820</w:t>
        </w:r>
      </w:hyperlink>
      <w:r w:rsidR="00D442CA">
        <w:rPr>
          <w:rStyle w:val="Hipervnculo"/>
          <w:color w:val="auto"/>
        </w:rPr>
        <w:t>.</w:t>
      </w:r>
    </w:p>
  </w:footnote>
  <w:footnote w:id="19">
    <w:p w14:paraId="210F7D6A" w14:textId="77777777" w:rsidR="00D22E54" w:rsidRPr="007E5CB1" w:rsidRDefault="007C4DA3" w:rsidP="007E5CB1">
      <w:pPr>
        <w:pStyle w:val="Textonotapie"/>
      </w:pPr>
      <w:r>
        <w:tab/>
      </w:r>
      <w:r w:rsidR="00D22E54" w:rsidRPr="007C4DA3">
        <w:rPr>
          <w:rStyle w:val="Refdenotaalpie"/>
        </w:rPr>
        <w:footnoteRef/>
      </w:r>
      <w:r w:rsidR="00D22E54" w:rsidRPr="007C4DA3">
        <w:rPr>
          <w:rStyle w:val="Refdenotaalpie"/>
        </w:rPr>
        <w:t xml:space="preserve"> </w:t>
      </w:r>
      <w:r>
        <w:tab/>
      </w:r>
      <w:r w:rsidR="00D22E54" w:rsidRPr="007E5CB1">
        <w:t>Mediante nota verbal de 11 de julio de 2017, el Estado parte envi</w:t>
      </w:r>
      <w:r w:rsidR="00E52ED5">
        <w:t>ó</w:t>
      </w:r>
      <w:r w:rsidR="00D22E54" w:rsidRPr="007E5CB1">
        <w:t xml:space="preserve"> copias digitalizada</w:t>
      </w:r>
      <w:r w:rsidR="0041766A">
        <w:t>s</w:t>
      </w:r>
      <w:r w:rsidR="00D22E54" w:rsidRPr="007E5CB1">
        <w:t xml:space="preserve"> de las piezas procesales más importantes del proceso con el objeto de dar cuenta de los hechos, devenir procesal y decisiones adoptadas en el curso del proceso</w:t>
      </w:r>
      <w:r w:rsidR="006973E4" w:rsidRPr="007E5CB1">
        <w:t>.</w:t>
      </w:r>
    </w:p>
  </w:footnote>
  <w:footnote w:id="20">
    <w:p w14:paraId="6A4B1935" w14:textId="77777777" w:rsidR="00D22E54" w:rsidRPr="007E5CB1" w:rsidRDefault="007C4DA3" w:rsidP="007E5CB1">
      <w:pPr>
        <w:pStyle w:val="Textonotapie"/>
      </w:pPr>
      <w:r>
        <w:tab/>
      </w:r>
      <w:r w:rsidR="00D22E54" w:rsidRPr="007C4DA3">
        <w:rPr>
          <w:rStyle w:val="Refdenotaalpie"/>
        </w:rPr>
        <w:footnoteRef/>
      </w:r>
      <w:r w:rsidR="00D22E54" w:rsidRPr="007C4DA3">
        <w:rPr>
          <w:rStyle w:val="Refdenotaalpie"/>
        </w:rPr>
        <w:t xml:space="preserve"> </w:t>
      </w:r>
      <w:r w:rsidRPr="007C4DA3">
        <w:rPr>
          <w:rStyle w:val="Refdenotaalpie"/>
        </w:rPr>
        <w:tab/>
      </w:r>
      <w:r w:rsidR="00D22E54" w:rsidRPr="007E5CB1">
        <w:t>El Estado parte se refiere a las siguiente</w:t>
      </w:r>
      <w:r w:rsidR="006973E4" w:rsidRPr="007E5CB1">
        <w:t>s</w:t>
      </w:r>
      <w:r w:rsidR="00C2675A" w:rsidRPr="007E5CB1">
        <w:t xml:space="preserve"> </w:t>
      </w:r>
      <w:r w:rsidR="00D22E54" w:rsidRPr="007E5CB1">
        <w:t>sentencias del Tribunal Constitucional: C-142 de 1993, C</w:t>
      </w:r>
      <w:r w:rsidR="000749A2">
        <w:noBreakHyphen/>
      </w:r>
      <w:r w:rsidR="00D22E54" w:rsidRPr="007E5CB1">
        <w:t>411 de 1997 y C-934 de 2006</w:t>
      </w:r>
      <w:r w:rsidR="006973E4" w:rsidRPr="007E5CB1">
        <w:t>.</w:t>
      </w:r>
    </w:p>
  </w:footnote>
  <w:footnote w:id="21">
    <w:p w14:paraId="5E12EDF4" w14:textId="77777777" w:rsidR="00867DE9" w:rsidRDefault="00BC7C91" w:rsidP="00867DE9">
      <w:pPr>
        <w:pStyle w:val="Textonotapie"/>
      </w:pPr>
      <w:r>
        <w:tab/>
      </w:r>
      <w:r w:rsidR="00867DE9">
        <w:rPr>
          <w:rStyle w:val="Refdenotaalpie"/>
        </w:rPr>
        <w:footnoteRef/>
      </w:r>
      <w:r>
        <w:tab/>
      </w:r>
      <w:r w:rsidR="00A47F72" w:rsidRPr="00450DAD">
        <w:t xml:space="preserve">El 12 de diciembre de 2008, la Fiscalía General ordenó nuevamente </w:t>
      </w:r>
      <w:r w:rsidR="00A47F72">
        <w:t>la detención</w:t>
      </w:r>
      <w:r w:rsidR="00A47F72" w:rsidRPr="00450DAD">
        <w:t xml:space="preserve"> preventiva</w:t>
      </w:r>
      <w:r w:rsidR="00A47F72">
        <w:t xml:space="preserve"> del autor</w:t>
      </w:r>
      <w:r w:rsidR="00A47F72" w:rsidRPr="00450DAD">
        <w:t xml:space="preserve">. Véase también el párrafo 2.7 </w:t>
      </w:r>
      <w:r w:rsidR="00A47F72" w:rsidRPr="00E4242D">
        <w:rPr>
          <w:i/>
          <w:iCs/>
        </w:rPr>
        <w:t>supra</w:t>
      </w:r>
      <w:r w:rsidR="00A47F72" w:rsidRPr="00450DAD">
        <w:t>.</w:t>
      </w:r>
    </w:p>
  </w:footnote>
  <w:footnote w:id="22">
    <w:p w14:paraId="173F9278" w14:textId="77777777" w:rsidR="00BD5413" w:rsidRDefault="00BC7C91" w:rsidP="00EE7B13">
      <w:pPr>
        <w:pStyle w:val="Textonotapie"/>
        <w:jc w:val="both"/>
      </w:pPr>
      <w:r>
        <w:tab/>
      </w:r>
      <w:r w:rsidR="00EE7B13">
        <w:rPr>
          <w:rStyle w:val="Refdenotaalpie"/>
        </w:rPr>
        <w:footnoteRef/>
      </w:r>
      <w:r>
        <w:tab/>
      </w:r>
      <w:r w:rsidR="00EE7B13" w:rsidRPr="00450DAD">
        <w:t>El Estado parte incluye una copia de las tres órdenes de detención de fecha</w:t>
      </w:r>
      <w:r w:rsidR="00920DC7">
        <w:t>s</w:t>
      </w:r>
      <w:r w:rsidR="00EE7B13" w:rsidRPr="00450DAD">
        <w:t xml:space="preserve"> 27 de febrero </w:t>
      </w:r>
      <w:r w:rsidR="00920DC7">
        <w:t xml:space="preserve">y </w:t>
      </w:r>
      <w:r w:rsidR="00EE7B13" w:rsidRPr="00450DAD">
        <w:t xml:space="preserve">6 de julio de 2007 y 12 de diciembre de 2008. En la última orden de detención se indica que </w:t>
      </w:r>
      <w:r w:rsidR="00920DC7">
        <w:t xml:space="preserve">fue dictada </w:t>
      </w:r>
      <w:r w:rsidR="00EE7B13" w:rsidRPr="00450DAD">
        <w:t xml:space="preserve">porque la libertad del autor habría puesto en peligro a la comunidad, habida cuenta de la naturaleza del </w:t>
      </w:r>
      <w:r w:rsidR="00BD5413" w:rsidRPr="00AA366F">
        <w:t>delito de concierto para delinquir agravado</w:t>
      </w:r>
      <w:r w:rsidR="00EE7B13" w:rsidRPr="00450DAD">
        <w:t>, que es un delito grave de conformidad con la doctrina y la jurisprudencia del Estado parte, y habida cuenta de la relación del autor con el grupo de autodefensa</w:t>
      </w:r>
      <w:r w:rsidR="00ED0040">
        <w:t>s</w:t>
      </w:r>
      <w:r w:rsidR="00EE7B13" w:rsidRPr="00450DAD">
        <w:t>, en particular en su región de Santa Marta. Las dos órdenes anteriores contienen un razonamiento similar.</w:t>
      </w:r>
    </w:p>
  </w:footnote>
  <w:footnote w:id="23">
    <w:p w14:paraId="7CE2BD7D" w14:textId="77777777" w:rsidR="00D22E54" w:rsidRPr="0009600E" w:rsidRDefault="007C4DA3" w:rsidP="007C4DA3">
      <w:pPr>
        <w:pStyle w:val="Textonotapie"/>
      </w:pPr>
      <w:r>
        <w:tab/>
      </w:r>
      <w:r w:rsidR="00D22E54">
        <w:rPr>
          <w:rStyle w:val="Refdenotaalpie"/>
        </w:rPr>
        <w:footnoteRef/>
      </w:r>
      <w:r>
        <w:tab/>
      </w:r>
      <w:r w:rsidR="00D22E54">
        <w:t xml:space="preserve">Corte </w:t>
      </w:r>
      <w:r w:rsidR="00920DC7">
        <w:t>C</w:t>
      </w:r>
      <w:r w:rsidR="00D22E54">
        <w:t xml:space="preserve">onstitucional, </w:t>
      </w:r>
      <w:r w:rsidR="00920DC7">
        <w:t>s</w:t>
      </w:r>
      <w:r w:rsidR="00D22E54" w:rsidRPr="008A4039">
        <w:t>entencia C-934/06</w:t>
      </w:r>
      <w:r w:rsidR="0009600E">
        <w:t>.</w:t>
      </w:r>
    </w:p>
  </w:footnote>
  <w:footnote w:id="24">
    <w:p w14:paraId="218C5195" w14:textId="77777777" w:rsidR="00303C5E" w:rsidRPr="007C4DA3" w:rsidRDefault="007C4DA3">
      <w:pPr>
        <w:pStyle w:val="Textonotapie"/>
      </w:pPr>
      <w:r>
        <w:tab/>
      </w:r>
      <w:r w:rsidR="00303C5E" w:rsidRPr="007C4DA3">
        <w:rPr>
          <w:rStyle w:val="Refdenotaalpie"/>
        </w:rPr>
        <w:footnoteRef/>
      </w:r>
      <w:r>
        <w:tab/>
      </w:r>
      <w:r w:rsidR="00920DC7">
        <w:t xml:space="preserve">Véase el párrafo </w:t>
      </w:r>
      <w:r w:rsidR="00303C5E" w:rsidRPr="007C4DA3">
        <w:t>4.2</w:t>
      </w:r>
      <w:r w:rsidR="00920DC7">
        <w:t xml:space="preserve"> </w:t>
      </w:r>
      <w:r w:rsidR="00920DC7" w:rsidRPr="00E4242D">
        <w:rPr>
          <w:i/>
          <w:iCs/>
        </w:rPr>
        <w:t>supra</w:t>
      </w:r>
      <w:r w:rsidR="00E22B71">
        <w:t>.</w:t>
      </w:r>
    </w:p>
  </w:footnote>
  <w:footnote w:id="25">
    <w:p w14:paraId="1F228DA2" w14:textId="77777777" w:rsidR="00F15660" w:rsidRPr="007C4DA3" w:rsidRDefault="00F15660">
      <w:pPr>
        <w:pStyle w:val="Textonotapie"/>
      </w:pPr>
      <w:r w:rsidRPr="007C4DA3">
        <w:tab/>
      </w:r>
      <w:r w:rsidRPr="007C4DA3">
        <w:rPr>
          <w:rStyle w:val="Refdenotaalpie"/>
        </w:rPr>
        <w:footnoteRef/>
      </w:r>
      <w:r w:rsidRPr="007C4DA3">
        <w:rPr>
          <w:rStyle w:val="Refdenotaalpie"/>
        </w:rPr>
        <w:tab/>
      </w:r>
      <w:r w:rsidRPr="007C4DA3">
        <w:t xml:space="preserve">Véase, por ejemplo, </w:t>
      </w:r>
      <w:proofErr w:type="spellStart"/>
      <w:r w:rsidRPr="00E4242D">
        <w:rPr>
          <w:i/>
          <w:iCs/>
        </w:rPr>
        <w:t>Althammer</w:t>
      </w:r>
      <w:proofErr w:type="spellEnd"/>
      <w:r w:rsidRPr="00E4242D">
        <w:rPr>
          <w:i/>
          <w:iCs/>
        </w:rPr>
        <w:t xml:space="preserve"> y otros c. Austria</w:t>
      </w:r>
      <w:r w:rsidR="00E404D5">
        <w:t xml:space="preserve"> (</w:t>
      </w:r>
      <w:proofErr w:type="spellStart"/>
      <w:r w:rsidR="00E404D5" w:rsidRPr="00E4242D">
        <w:t>CCPR</w:t>
      </w:r>
      <w:proofErr w:type="spellEnd"/>
      <w:r w:rsidR="00E404D5" w:rsidRPr="00E4242D">
        <w:t>/C/78/D/998/2001)</w:t>
      </w:r>
      <w:r w:rsidRPr="007C4DA3">
        <w:t>, párr.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27B1" w14:textId="77777777" w:rsidR="00D22E54" w:rsidRPr="0062348A" w:rsidRDefault="00D22E54" w:rsidP="0062348A">
    <w:pPr>
      <w:pStyle w:val="Encabezado"/>
    </w:pPr>
    <w:proofErr w:type="spellStart"/>
    <w:r w:rsidRPr="0062348A">
      <w:t>CCPR</w:t>
    </w:r>
    <w:proofErr w:type="spellEnd"/>
    <w:r w:rsidRPr="0062348A">
      <w:t>/C/129/D/2922/2016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46D2" w14:textId="77777777" w:rsidR="00D22E54" w:rsidRPr="000C3C69" w:rsidRDefault="00D22E54" w:rsidP="000C3C69">
    <w:pPr>
      <w:pStyle w:val="Encabezado"/>
      <w:jc w:val="right"/>
    </w:pPr>
    <w:proofErr w:type="spellStart"/>
    <w:r w:rsidRPr="0062348A">
      <w:t>CCPR</w:t>
    </w:r>
    <w:proofErr w:type="spellEnd"/>
    <w:r w:rsidRPr="0062348A">
      <w:t>/C/129/D/2922/2016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7D"/>
    <w:rsid w:val="00003AAE"/>
    <w:rsid w:val="00006BB9"/>
    <w:rsid w:val="00007196"/>
    <w:rsid w:val="00011DB4"/>
    <w:rsid w:val="000120A3"/>
    <w:rsid w:val="000136E3"/>
    <w:rsid w:val="00016139"/>
    <w:rsid w:val="00017DF2"/>
    <w:rsid w:val="000223BC"/>
    <w:rsid w:val="000375E0"/>
    <w:rsid w:val="000407A2"/>
    <w:rsid w:val="00045FB7"/>
    <w:rsid w:val="0005274F"/>
    <w:rsid w:val="000528D3"/>
    <w:rsid w:val="00052AEF"/>
    <w:rsid w:val="000564E8"/>
    <w:rsid w:val="00064201"/>
    <w:rsid w:val="000656E9"/>
    <w:rsid w:val="00071532"/>
    <w:rsid w:val="00071C6C"/>
    <w:rsid w:val="0007468B"/>
    <w:rsid w:val="000749A2"/>
    <w:rsid w:val="000767B2"/>
    <w:rsid w:val="0007746F"/>
    <w:rsid w:val="00085DFF"/>
    <w:rsid w:val="00085EE9"/>
    <w:rsid w:val="00090878"/>
    <w:rsid w:val="0009600E"/>
    <w:rsid w:val="000A09F7"/>
    <w:rsid w:val="000A18E2"/>
    <w:rsid w:val="000A36A2"/>
    <w:rsid w:val="000A4994"/>
    <w:rsid w:val="000A6C92"/>
    <w:rsid w:val="000B303E"/>
    <w:rsid w:val="000B342A"/>
    <w:rsid w:val="000B57E7"/>
    <w:rsid w:val="000C0444"/>
    <w:rsid w:val="000C3C69"/>
    <w:rsid w:val="000C41A0"/>
    <w:rsid w:val="000D0DE6"/>
    <w:rsid w:val="000E0DD3"/>
    <w:rsid w:val="000E20BA"/>
    <w:rsid w:val="000E2F05"/>
    <w:rsid w:val="000E5AC8"/>
    <w:rsid w:val="000F09DF"/>
    <w:rsid w:val="000F61B2"/>
    <w:rsid w:val="000F75B5"/>
    <w:rsid w:val="000F7F61"/>
    <w:rsid w:val="0010192B"/>
    <w:rsid w:val="00102825"/>
    <w:rsid w:val="001075E9"/>
    <w:rsid w:val="0011092F"/>
    <w:rsid w:val="00111495"/>
    <w:rsid w:val="001159B5"/>
    <w:rsid w:val="001214BA"/>
    <w:rsid w:val="00123E23"/>
    <w:rsid w:val="001244C8"/>
    <w:rsid w:val="00126EA3"/>
    <w:rsid w:val="00130FDB"/>
    <w:rsid w:val="001324FF"/>
    <w:rsid w:val="0013589E"/>
    <w:rsid w:val="0014779A"/>
    <w:rsid w:val="00150BE5"/>
    <w:rsid w:val="00150D3E"/>
    <w:rsid w:val="00150EA3"/>
    <w:rsid w:val="00152DD8"/>
    <w:rsid w:val="0015442B"/>
    <w:rsid w:val="0015533C"/>
    <w:rsid w:val="0016055F"/>
    <w:rsid w:val="00160FF7"/>
    <w:rsid w:val="00161B21"/>
    <w:rsid w:val="001622A7"/>
    <w:rsid w:val="00162319"/>
    <w:rsid w:val="00164966"/>
    <w:rsid w:val="00167B95"/>
    <w:rsid w:val="00167C4F"/>
    <w:rsid w:val="00170197"/>
    <w:rsid w:val="00170FA8"/>
    <w:rsid w:val="00171D11"/>
    <w:rsid w:val="00172D2D"/>
    <w:rsid w:val="00175A67"/>
    <w:rsid w:val="00176DDA"/>
    <w:rsid w:val="001770E5"/>
    <w:rsid w:val="00180183"/>
    <w:rsid w:val="001930C7"/>
    <w:rsid w:val="00194D1F"/>
    <w:rsid w:val="00196389"/>
    <w:rsid w:val="001A106A"/>
    <w:rsid w:val="001A1532"/>
    <w:rsid w:val="001A1F00"/>
    <w:rsid w:val="001A2B44"/>
    <w:rsid w:val="001B2763"/>
    <w:rsid w:val="001C0BC2"/>
    <w:rsid w:val="001C7A89"/>
    <w:rsid w:val="001D005A"/>
    <w:rsid w:val="001D2392"/>
    <w:rsid w:val="001E1421"/>
    <w:rsid w:val="001E2C79"/>
    <w:rsid w:val="001E46AF"/>
    <w:rsid w:val="001E4FED"/>
    <w:rsid w:val="001E53FC"/>
    <w:rsid w:val="001E5AB6"/>
    <w:rsid w:val="001E7EDC"/>
    <w:rsid w:val="001F1C66"/>
    <w:rsid w:val="002021EA"/>
    <w:rsid w:val="002046E0"/>
    <w:rsid w:val="002058FC"/>
    <w:rsid w:val="00217348"/>
    <w:rsid w:val="002176F6"/>
    <w:rsid w:val="00221219"/>
    <w:rsid w:val="00221CF1"/>
    <w:rsid w:val="00222E44"/>
    <w:rsid w:val="00223E76"/>
    <w:rsid w:val="00224399"/>
    <w:rsid w:val="0022765D"/>
    <w:rsid w:val="002279AC"/>
    <w:rsid w:val="00227D12"/>
    <w:rsid w:val="00231AE7"/>
    <w:rsid w:val="0023449A"/>
    <w:rsid w:val="002367C2"/>
    <w:rsid w:val="00240329"/>
    <w:rsid w:val="0024239B"/>
    <w:rsid w:val="002519AF"/>
    <w:rsid w:val="00253CCA"/>
    <w:rsid w:val="002553BE"/>
    <w:rsid w:val="00261648"/>
    <w:rsid w:val="00262750"/>
    <w:rsid w:val="00263C2D"/>
    <w:rsid w:val="002657B9"/>
    <w:rsid w:val="002679CD"/>
    <w:rsid w:val="00270966"/>
    <w:rsid w:val="00270C8A"/>
    <w:rsid w:val="00275AB2"/>
    <w:rsid w:val="00276AD5"/>
    <w:rsid w:val="002839F3"/>
    <w:rsid w:val="00283AF0"/>
    <w:rsid w:val="002902A3"/>
    <w:rsid w:val="00291C98"/>
    <w:rsid w:val="00292F97"/>
    <w:rsid w:val="002945D6"/>
    <w:rsid w:val="002A061F"/>
    <w:rsid w:val="002A2EFC"/>
    <w:rsid w:val="002A3286"/>
    <w:rsid w:val="002A3A13"/>
    <w:rsid w:val="002A6FA7"/>
    <w:rsid w:val="002B3876"/>
    <w:rsid w:val="002B3BF8"/>
    <w:rsid w:val="002B3FBD"/>
    <w:rsid w:val="002C0E18"/>
    <w:rsid w:val="002C1EBF"/>
    <w:rsid w:val="002C33BB"/>
    <w:rsid w:val="002C5677"/>
    <w:rsid w:val="002C69F6"/>
    <w:rsid w:val="002C79AC"/>
    <w:rsid w:val="002D5AAC"/>
    <w:rsid w:val="002D7C8D"/>
    <w:rsid w:val="002E092A"/>
    <w:rsid w:val="002E6B0F"/>
    <w:rsid w:val="002F13FE"/>
    <w:rsid w:val="002F47B5"/>
    <w:rsid w:val="00301299"/>
    <w:rsid w:val="00303C5E"/>
    <w:rsid w:val="00305F2F"/>
    <w:rsid w:val="00307B6D"/>
    <w:rsid w:val="00311D4A"/>
    <w:rsid w:val="00317BCA"/>
    <w:rsid w:val="00322004"/>
    <w:rsid w:val="00324E66"/>
    <w:rsid w:val="00327A1D"/>
    <w:rsid w:val="0033087B"/>
    <w:rsid w:val="00337E09"/>
    <w:rsid w:val="003402C2"/>
    <w:rsid w:val="00342482"/>
    <w:rsid w:val="00342757"/>
    <w:rsid w:val="00346107"/>
    <w:rsid w:val="0036261E"/>
    <w:rsid w:val="00375B36"/>
    <w:rsid w:val="00376FF8"/>
    <w:rsid w:val="00380A83"/>
    <w:rsid w:val="00381C24"/>
    <w:rsid w:val="003868A8"/>
    <w:rsid w:val="003901B4"/>
    <w:rsid w:val="0039121F"/>
    <w:rsid w:val="003924A6"/>
    <w:rsid w:val="00392E87"/>
    <w:rsid w:val="003958D0"/>
    <w:rsid w:val="00396811"/>
    <w:rsid w:val="003A0D04"/>
    <w:rsid w:val="003A2074"/>
    <w:rsid w:val="003A4840"/>
    <w:rsid w:val="003A6899"/>
    <w:rsid w:val="003B2B92"/>
    <w:rsid w:val="003B2DFC"/>
    <w:rsid w:val="003B46C5"/>
    <w:rsid w:val="003C350D"/>
    <w:rsid w:val="003C3EF4"/>
    <w:rsid w:val="003C42FB"/>
    <w:rsid w:val="003C7615"/>
    <w:rsid w:val="003D3CCB"/>
    <w:rsid w:val="003D7338"/>
    <w:rsid w:val="003E044D"/>
    <w:rsid w:val="003E1F6E"/>
    <w:rsid w:val="003E5689"/>
    <w:rsid w:val="003E6175"/>
    <w:rsid w:val="003F58A6"/>
    <w:rsid w:val="003F7344"/>
    <w:rsid w:val="00400B15"/>
    <w:rsid w:val="004039A7"/>
    <w:rsid w:val="00405C38"/>
    <w:rsid w:val="00406A58"/>
    <w:rsid w:val="00407EC2"/>
    <w:rsid w:val="00411A36"/>
    <w:rsid w:val="00413B02"/>
    <w:rsid w:val="004167BD"/>
    <w:rsid w:val="0041766A"/>
    <w:rsid w:val="00421512"/>
    <w:rsid w:val="00421529"/>
    <w:rsid w:val="00425EEB"/>
    <w:rsid w:val="00431B92"/>
    <w:rsid w:val="00436FA0"/>
    <w:rsid w:val="00442CBA"/>
    <w:rsid w:val="00445489"/>
    <w:rsid w:val="004456C3"/>
    <w:rsid w:val="00450DAD"/>
    <w:rsid w:val="00454E07"/>
    <w:rsid w:val="004553A9"/>
    <w:rsid w:val="0046098C"/>
    <w:rsid w:val="00464DCA"/>
    <w:rsid w:val="004662CC"/>
    <w:rsid w:val="0046637D"/>
    <w:rsid w:val="004744DF"/>
    <w:rsid w:val="004760CD"/>
    <w:rsid w:val="00481264"/>
    <w:rsid w:val="0048176A"/>
    <w:rsid w:val="00484E28"/>
    <w:rsid w:val="00485790"/>
    <w:rsid w:val="00485B70"/>
    <w:rsid w:val="00485CF8"/>
    <w:rsid w:val="004875CF"/>
    <w:rsid w:val="00490F3F"/>
    <w:rsid w:val="00492544"/>
    <w:rsid w:val="004948A6"/>
    <w:rsid w:val="0049546A"/>
    <w:rsid w:val="004A4D68"/>
    <w:rsid w:val="004A7CB6"/>
    <w:rsid w:val="004B10A0"/>
    <w:rsid w:val="004B13A0"/>
    <w:rsid w:val="004B3083"/>
    <w:rsid w:val="004C3E7D"/>
    <w:rsid w:val="004C69A4"/>
    <w:rsid w:val="004C71B9"/>
    <w:rsid w:val="004D0FDA"/>
    <w:rsid w:val="004D538E"/>
    <w:rsid w:val="004E2191"/>
    <w:rsid w:val="004E32A8"/>
    <w:rsid w:val="004E4B46"/>
    <w:rsid w:val="004E5388"/>
    <w:rsid w:val="004E5A32"/>
    <w:rsid w:val="004F5ECB"/>
    <w:rsid w:val="004F6CBE"/>
    <w:rsid w:val="0050108D"/>
    <w:rsid w:val="00501C43"/>
    <w:rsid w:val="0050259B"/>
    <w:rsid w:val="00504E07"/>
    <w:rsid w:val="00505568"/>
    <w:rsid w:val="00514D3A"/>
    <w:rsid w:val="00514E93"/>
    <w:rsid w:val="005169BA"/>
    <w:rsid w:val="005216B7"/>
    <w:rsid w:val="00526F1D"/>
    <w:rsid w:val="00533006"/>
    <w:rsid w:val="00534D90"/>
    <w:rsid w:val="00543300"/>
    <w:rsid w:val="00543D0C"/>
    <w:rsid w:val="00545ADB"/>
    <w:rsid w:val="00545F0E"/>
    <w:rsid w:val="00547452"/>
    <w:rsid w:val="005519BC"/>
    <w:rsid w:val="00551CE3"/>
    <w:rsid w:val="00555452"/>
    <w:rsid w:val="005612EF"/>
    <w:rsid w:val="0056166E"/>
    <w:rsid w:val="0056314B"/>
    <w:rsid w:val="0056325F"/>
    <w:rsid w:val="0056787C"/>
    <w:rsid w:val="005707E6"/>
    <w:rsid w:val="00572E19"/>
    <w:rsid w:val="00572FD1"/>
    <w:rsid w:val="00574919"/>
    <w:rsid w:val="00574B31"/>
    <w:rsid w:val="00582459"/>
    <w:rsid w:val="0058338F"/>
    <w:rsid w:val="00584128"/>
    <w:rsid w:val="0058446E"/>
    <w:rsid w:val="00587441"/>
    <w:rsid w:val="00593472"/>
    <w:rsid w:val="0059743F"/>
    <w:rsid w:val="005A37A5"/>
    <w:rsid w:val="005B3E01"/>
    <w:rsid w:val="005B4260"/>
    <w:rsid w:val="005B48D3"/>
    <w:rsid w:val="005C2068"/>
    <w:rsid w:val="005C6201"/>
    <w:rsid w:val="005D284D"/>
    <w:rsid w:val="005E2D93"/>
    <w:rsid w:val="005E32E9"/>
    <w:rsid w:val="005F0B42"/>
    <w:rsid w:val="005F1246"/>
    <w:rsid w:val="005F4E1C"/>
    <w:rsid w:val="005F5AA7"/>
    <w:rsid w:val="0060058D"/>
    <w:rsid w:val="00600F79"/>
    <w:rsid w:val="0060456E"/>
    <w:rsid w:val="00604E83"/>
    <w:rsid w:val="00605465"/>
    <w:rsid w:val="00605E3D"/>
    <w:rsid w:val="00610F84"/>
    <w:rsid w:val="00614642"/>
    <w:rsid w:val="006161D2"/>
    <w:rsid w:val="00617900"/>
    <w:rsid w:val="0062348A"/>
    <w:rsid w:val="00623A65"/>
    <w:rsid w:val="0062429E"/>
    <w:rsid w:val="00624CBE"/>
    <w:rsid w:val="00626B6A"/>
    <w:rsid w:val="0062703C"/>
    <w:rsid w:val="00627E55"/>
    <w:rsid w:val="00627F4C"/>
    <w:rsid w:val="006309CB"/>
    <w:rsid w:val="00637C1A"/>
    <w:rsid w:val="0064729C"/>
    <w:rsid w:val="00651002"/>
    <w:rsid w:val="00655A21"/>
    <w:rsid w:val="00660C36"/>
    <w:rsid w:val="00660CE8"/>
    <w:rsid w:val="00671D29"/>
    <w:rsid w:val="006808A9"/>
    <w:rsid w:val="0068284E"/>
    <w:rsid w:val="0069167F"/>
    <w:rsid w:val="00692440"/>
    <w:rsid w:val="00696557"/>
    <w:rsid w:val="006973E4"/>
    <w:rsid w:val="006978FA"/>
    <w:rsid w:val="006A12FD"/>
    <w:rsid w:val="006B274C"/>
    <w:rsid w:val="006B465D"/>
    <w:rsid w:val="006B647B"/>
    <w:rsid w:val="006B7894"/>
    <w:rsid w:val="006C7EFE"/>
    <w:rsid w:val="006D0CFC"/>
    <w:rsid w:val="006D70AF"/>
    <w:rsid w:val="006E0E6B"/>
    <w:rsid w:val="006F16B4"/>
    <w:rsid w:val="006F35EE"/>
    <w:rsid w:val="006F67E4"/>
    <w:rsid w:val="007009CA"/>
    <w:rsid w:val="00701645"/>
    <w:rsid w:val="007021FF"/>
    <w:rsid w:val="00702C74"/>
    <w:rsid w:val="007076CB"/>
    <w:rsid w:val="0071147F"/>
    <w:rsid w:val="007121A3"/>
    <w:rsid w:val="00717630"/>
    <w:rsid w:val="00721764"/>
    <w:rsid w:val="00721FD1"/>
    <w:rsid w:val="00723F72"/>
    <w:rsid w:val="007253BC"/>
    <w:rsid w:val="007257A6"/>
    <w:rsid w:val="00725EEE"/>
    <w:rsid w:val="0073087E"/>
    <w:rsid w:val="0073164D"/>
    <w:rsid w:val="00733EB8"/>
    <w:rsid w:val="0073672E"/>
    <w:rsid w:val="007410E4"/>
    <w:rsid w:val="00742A52"/>
    <w:rsid w:val="00742AD3"/>
    <w:rsid w:val="00745EEF"/>
    <w:rsid w:val="007505CE"/>
    <w:rsid w:val="00765255"/>
    <w:rsid w:val="007663CA"/>
    <w:rsid w:val="00771BCA"/>
    <w:rsid w:val="00773243"/>
    <w:rsid w:val="00773F1D"/>
    <w:rsid w:val="00774A2E"/>
    <w:rsid w:val="00776B8E"/>
    <w:rsid w:val="00782D79"/>
    <w:rsid w:val="00787D15"/>
    <w:rsid w:val="00790BAD"/>
    <w:rsid w:val="00791185"/>
    <w:rsid w:val="00791D72"/>
    <w:rsid w:val="007941B2"/>
    <w:rsid w:val="00795BED"/>
    <w:rsid w:val="007962ED"/>
    <w:rsid w:val="007967DF"/>
    <w:rsid w:val="00797C09"/>
    <w:rsid w:val="007A0D9C"/>
    <w:rsid w:val="007A65AC"/>
    <w:rsid w:val="007A7100"/>
    <w:rsid w:val="007A781E"/>
    <w:rsid w:val="007B0679"/>
    <w:rsid w:val="007B39F5"/>
    <w:rsid w:val="007C1F59"/>
    <w:rsid w:val="007C2169"/>
    <w:rsid w:val="007C462C"/>
    <w:rsid w:val="007C4DA3"/>
    <w:rsid w:val="007D6E99"/>
    <w:rsid w:val="007D7988"/>
    <w:rsid w:val="007E37FA"/>
    <w:rsid w:val="007E39F0"/>
    <w:rsid w:val="007E40A8"/>
    <w:rsid w:val="007E468A"/>
    <w:rsid w:val="007E5BBF"/>
    <w:rsid w:val="007E5CB1"/>
    <w:rsid w:val="007F4442"/>
    <w:rsid w:val="008032C5"/>
    <w:rsid w:val="008039C0"/>
    <w:rsid w:val="00804DBA"/>
    <w:rsid w:val="00810E2A"/>
    <w:rsid w:val="00816153"/>
    <w:rsid w:val="00816AA7"/>
    <w:rsid w:val="008175A5"/>
    <w:rsid w:val="008201DD"/>
    <w:rsid w:val="00820603"/>
    <w:rsid w:val="00825491"/>
    <w:rsid w:val="008254BA"/>
    <w:rsid w:val="00825B94"/>
    <w:rsid w:val="008262AE"/>
    <w:rsid w:val="00834B71"/>
    <w:rsid w:val="00845C06"/>
    <w:rsid w:val="00845FE3"/>
    <w:rsid w:val="008476D1"/>
    <w:rsid w:val="00850488"/>
    <w:rsid w:val="00850998"/>
    <w:rsid w:val="0085298E"/>
    <w:rsid w:val="00854F0B"/>
    <w:rsid w:val="008612AE"/>
    <w:rsid w:val="00863FA3"/>
    <w:rsid w:val="0086445C"/>
    <w:rsid w:val="008658FD"/>
    <w:rsid w:val="00865BA2"/>
    <w:rsid w:val="00866F53"/>
    <w:rsid w:val="00867DE9"/>
    <w:rsid w:val="008733E7"/>
    <w:rsid w:val="00876134"/>
    <w:rsid w:val="008764EB"/>
    <w:rsid w:val="008776B2"/>
    <w:rsid w:val="0088203F"/>
    <w:rsid w:val="008824F0"/>
    <w:rsid w:val="00885B0D"/>
    <w:rsid w:val="00887BA6"/>
    <w:rsid w:val="0089154D"/>
    <w:rsid w:val="00892384"/>
    <w:rsid w:val="00893120"/>
    <w:rsid w:val="008945A2"/>
    <w:rsid w:val="008A08D7"/>
    <w:rsid w:val="008A13F9"/>
    <w:rsid w:val="008A30F1"/>
    <w:rsid w:val="008A4039"/>
    <w:rsid w:val="008A69F5"/>
    <w:rsid w:val="008B4712"/>
    <w:rsid w:val="008B4F9D"/>
    <w:rsid w:val="008B6670"/>
    <w:rsid w:val="008B713C"/>
    <w:rsid w:val="008B75DC"/>
    <w:rsid w:val="008B7C97"/>
    <w:rsid w:val="008C0870"/>
    <w:rsid w:val="008C3CBC"/>
    <w:rsid w:val="008C5D95"/>
    <w:rsid w:val="008C70BD"/>
    <w:rsid w:val="008C736C"/>
    <w:rsid w:val="008D0435"/>
    <w:rsid w:val="008D0C46"/>
    <w:rsid w:val="008D272D"/>
    <w:rsid w:val="008D4BBC"/>
    <w:rsid w:val="008D4C33"/>
    <w:rsid w:val="008D5DB6"/>
    <w:rsid w:val="008D6010"/>
    <w:rsid w:val="008D6690"/>
    <w:rsid w:val="008E3344"/>
    <w:rsid w:val="008E7B49"/>
    <w:rsid w:val="008E7E32"/>
    <w:rsid w:val="0090423E"/>
    <w:rsid w:val="009067C2"/>
    <w:rsid w:val="00906890"/>
    <w:rsid w:val="00911500"/>
    <w:rsid w:val="00916396"/>
    <w:rsid w:val="0091679F"/>
    <w:rsid w:val="0091706F"/>
    <w:rsid w:val="00920DC7"/>
    <w:rsid w:val="00920FB9"/>
    <w:rsid w:val="009219D3"/>
    <w:rsid w:val="00921B4A"/>
    <w:rsid w:val="00921D62"/>
    <w:rsid w:val="00921ECF"/>
    <w:rsid w:val="00923EF3"/>
    <w:rsid w:val="009274EE"/>
    <w:rsid w:val="009344C6"/>
    <w:rsid w:val="00942994"/>
    <w:rsid w:val="00943286"/>
    <w:rsid w:val="009433C9"/>
    <w:rsid w:val="009472D9"/>
    <w:rsid w:val="00951972"/>
    <w:rsid w:val="009559CA"/>
    <w:rsid w:val="00962A03"/>
    <w:rsid w:val="00963777"/>
    <w:rsid w:val="00974294"/>
    <w:rsid w:val="0097604A"/>
    <w:rsid w:val="0099346B"/>
    <w:rsid w:val="009946B1"/>
    <w:rsid w:val="00994DD0"/>
    <w:rsid w:val="00997007"/>
    <w:rsid w:val="009A030D"/>
    <w:rsid w:val="009A089E"/>
    <w:rsid w:val="009A5B26"/>
    <w:rsid w:val="009A7BDD"/>
    <w:rsid w:val="009B452A"/>
    <w:rsid w:val="009B4E5E"/>
    <w:rsid w:val="009C252B"/>
    <w:rsid w:val="009E23B2"/>
    <w:rsid w:val="009F0116"/>
    <w:rsid w:val="009F19B4"/>
    <w:rsid w:val="009F4EE3"/>
    <w:rsid w:val="00A15C7A"/>
    <w:rsid w:val="00A16228"/>
    <w:rsid w:val="00A17DFD"/>
    <w:rsid w:val="00A24CE1"/>
    <w:rsid w:val="00A2740F"/>
    <w:rsid w:val="00A3293C"/>
    <w:rsid w:val="00A4024C"/>
    <w:rsid w:val="00A4035F"/>
    <w:rsid w:val="00A47F72"/>
    <w:rsid w:val="00A50B4E"/>
    <w:rsid w:val="00A566DE"/>
    <w:rsid w:val="00A67584"/>
    <w:rsid w:val="00A761FA"/>
    <w:rsid w:val="00A809C1"/>
    <w:rsid w:val="00A81257"/>
    <w:rsid w:val="00A81C5E"/>
    <w:rsid w:val="00A8515F"/>
    <w:rsid w:val="00A917B3"/>
    <w:rsid w:val="00A9217B"/>
    <w:rsid w:val="00A93C15"/>
    <w:rsid w:val="00A9570F"/>
    <w:rsid w:val="00A95C09"/>
    <w:rsid w:val="00AA0412"/>
    <w:rsid w:val="00AA2F48"/>
    <w:rsid w:val="00AA44F3"/>
    <w:rsid w:val="00AA620B"/>
    <w:rsid w:val="00AB3669"/>
    <w:rsid w:val="00AB38A1"/>
    <w:rsid w:val="00AB4B51"/>
    <w:rsid w:val="00AC19F7"/>
    <w:rsid w:val="00AC62BE"/>
    <w:rsid w:val="00AD0530"/>
    <w:rsid w:val="00AE0144"/>
    <w:rsid w:val="00AE05CD"/>
    <w:rsid w:val="00AE0E02"/>
    <w:rsid w:val="00AE1ECA"/>
    <w:rsid w:val="00AE4367"/>
    <w:rsid w:val="00AE4CC4"/>
    <w:rsid w:val="00AF09AD"/>
    <w:rsid w:val="00AF4766"/>
    <w:rsid w:val="00AF693D"/>
    <w:rsid w:val="00AF697E"/>
    <w:rsid w:val="00B00AC9"/>
    <w:rsid w:val="00B03EC7"/>
    <w:rsid w:val="00B044DB"/>
    <w:rsid w:val="00B05469"/>
    <w:rsid w:val="00B1083F"/>
    <w:rsid w:val="00B10CC7"/>
    <w:rsid w:val="00B10E23"/>
    <w:rsid w:val="00B133D8"/>
    <w:rsid w:val="00B14EF6"/>
    <w:rsid w:val="00B15639"/>
    <w:rsid w:val="00B15B8A"/>
    <w:rsid w:val="00B16DF2"/>
    <w:rsid w:val="00B179A8"/>
    <w:rsid w:val="00B231FB"/>
    <w:rsid w:val="00B2536D"/>
    <w:rsid w:val="00B25C0C"/>
    <w:rsid w:val="00B262AF"/>
    <w:rsid w:val="00B3608A"/>
    <w:rsid w:val="00B4207F"/>
    <w:rsid w:val="00B4228F"/>
    <w:rsid w:val="00B46AC0"/>
    <w:rsid w:val="00B511D3"/>
    <w:rsid w:val="00B555A8"/>
    <w:rsid w:val="00B62458"/>
    <w:rsid w:val="00B63110"/>
    <w:rsid w:val="00B70BB1"/>
    <w:rsid w:val="00B81B16"/>
    <w:rsid w:val="00B820BE"/>
    <w:rsid w:val="00B90FCE"/>
    <w:rsid w:val="00B91C08"/>
    <w:rsid w:val="00B96B25"/>
    <w:rsid w:val="00B97F5F"/>
    <w:rsid w:val="00BA37E4"/>
    <w:rsid w:val="00BA7EFE"/>
    <w:rsid w:val="00BB03DD"/>
    <w:rsid w:val="00BC00BA"/>
    <w:rsid w:val="00BC20B4"/>
    <w:rsid w:val="00BC42FC"/>
    <w:rsid w:val="00BC6136"/>
    <w:rsid w:val="00BC6784"/>
    <w:rsid w:val="00BC766B"/>
    <w:rsid w:val="00BC7C91"/>
    <w:rsid w:val="00BD071A"/>
    <w:rsid w:val="00BD2BE4"/>
    <w:rsid w:val="00BD33EE"/>
    <w:rsid w:val="00BD3BF6"/>
    <w:rsid w:val="00BD48FA"/>
    <w:rsid w:val="00BD5413"/>
    <w:rsid w:val="00BD5795"/>
    <w:rsid w:val="00BE09EE"/>
    <w:rsid w:val="00BE0F7F"/>
    <w:rsid w:val="00BE4791"/>
    <w:rsid w:val="00BE6470"/>
    <w:rsid w:val="00BF000F"/>
    <w:rsid w:val="00BF2903"/>
    <w:rsid w:val="00BF5E64"/>
    <w:rsid w:val="00C00D9B"/>
    <w:rsid w:val="00C03E21"/>
    <w:rsid w:val="00C060A6"/>
    <w:rsid w:val="00C11732"/>
    <w:rsid w:val="00C2215B"/>
    <w:rsid w:val="00C23D3D"/>
    <w:rsid w:val="00C242E6"/>
    <w:rsid w:val="00C2675A"/>
    <w:rsid w:val="00C27ECE"/>
    <w:rsid w:val="00C300F2"/>
    <w:rsid w:val="00C32EE4"/>
    <w:rsid w:val="00C33381"/>
    <w:rsid w:val="00C348CE"/>
    <w:rsid w:val="00C445A5"/>
    <w:rsid w:val="00C4569E"/>
    <w:rsid w:val="00C45BDB"/>
    <w:rsid w:val="00C469F4"/>
    <w:rsid w:val="00C51167"/>
    <w:rsid w:val="00C53064"/>
    <w:rsid w:val="00C56FC7"/>
    <w:rsid w:val="00C60165"/>
    <w:rsid w:val="00C60F0C"/>
    <w:rsid w:val="00C64C60"/>
    <w:rsid w:val="00C76505"/>
    <w:rsid w:val="00C77E44"/>
    <w:rsid w:val="00C802EB"/>
    <w:rsid w:val="00C805C9"/>
    <w:rsid w:val="00C81E84"/>
    <w:rsid w:val="00C835C4"/>
    <w:rsid w:val="00C93E68"/>
    <w:rsid w:val="00CA1679"/>
    <w:rsid w:val="00CA1776"/>
    <w:rsid w:val="00CA7905"/>
    <w:rsid w:val="00CB1E26"/>
    <w:rsid w:val="00CB2125"/>
    <w:rsid w:val="00CB7BA2"/>
    <w:rsid w:val="00CC06B2"/>
    <w:rsid w:val="00CC1EE7"/>
    <w:rsid w:val="00CD26E3"/>
    <w:rsid w:val="00CD2D38"/>
    <w:rsid w:val="00CD4CFA"/>
    <w:rsid w:val="00CD560A"/>
    <w:rsid w:val="00CE11C5"/>
    <w:rsid w:val="00CE1420"/>
    <w:rsid w:val="00CE2B74"/>
    <w:rsid w:val="00CE37E7"/>
    <w:rsid w:val="00CF0191"/>
    <w:rsid w:val="00CF10B7"/>
    <w:rsid w:val="00CF1948"/>
    <w:rsid w:val="00CF4023"/>
    <w:rsid w:val="00CF7A5C"/>
    <w:rsid w:val="00CF7E48"/>
    <w:rsid w:val="00D00C8D"/>
    <w:rsid w:val="00D0305D"/>
    <w:rsid w:val="00D0597B"/>
    <w:rsid w:val="00D07BF6"/>
    <w:rsid w:val="00D14C5C"/>
    <w:rsid w:val="00D20F34"/>
    <w:rsid w:val="00D21C8D"/>
    <w:rsid w:val="00D22E54"/>
    <w:rsid w:val="00D235A8"/>
    <w:rsid w:val="00D237AF"/>
    <w:rsid w:val="00D244FF"/>
    <w:rsid w:val="00D333B4"/>
    <w:rsid w:val="00D3392A"/>
    <w:rsid w:val="00D34E98"/>
    <w:rsid w:val="00D35DB3"/>
    <w:rsid w:val="00D41819"/>
    <w:rsid w:val="00D42D4D"/>
    <w:rsid w:val="00D442CA"/>
    <w:rsid w:val="00D45DB7"/>
    <w:rsid w:val="00D477E3"/>
    <w:rsid w:val="00D5042C"/>
    <w:rsid w:val="00D50840"/>
    <w:rsid w:val="00D51D10"/>
    <w:rsid w:val="00D5432E"/>
    <w:rsid w:val="00D5609E"/>
    <w:rsid w:val="00D57258"/>
    <w:rsid w:val="00D613E9"/>
    <w:rsid w:val="00D62FD0"/>
    <w:rsid w:val="00D643CA"/>
    <w:rsid w:val="00D6655E"/>
    <w:rsid w:val="00D7096D"/>
    <w:rsid w:val="00D70F90"/>
    <w:rsid w:val="00D809C0"/>
    <w:rsid w:val="00D80BBB"/>
    <w:rsid w:val="00D82ACB"/>
    <w:rsid w:val="00D83553"/>
    <w:rsid w:val="00D86C86"/>
    <w:rsid w:val="00D87188"/>
    <w:rsid w:val="00D90138"/>
    <w:rsid w:val="00D9727C"/>
    <w:rsid w:val="00D972E1"/>
    <w:rsid w:val="00DA288C"/>
    <w:rsid w:val="00DA3ECA"/>
    <w:rsid w:val="00DA445E"/>
    <w:rsid w:val="00DA66E3"/>
    <w:rsid w:val="00DB0114"/>
    <w:rsid w:val="00DB1555"/>
    <w:rsid w:val="00DB5E83"/>
    <w:rsid w:val="00DC1A46"/>
    <w:rsid w:val="00DD087A"/>
    <w:rsid w:val="00DD0C3F"/>
    <w:rsid w:val="00DD200C"/>
    <w:rsid w:val="00DD6E16"/>
    <w:rsid w:val="00DE4098"/>
    <w:rsid w:val="00DE44AD"/>
    <w:rsid w:val="00DE6F73"/>
    <w:rsid w:val="00DF5709"/>
    <w:rsid w:val="00E00332"/>
    <w:rsid w:val="00E016F6"/>
    <w:rsid w:val="00E022B0"/>
    <w:rsid w:val="00E0673A"/>
    <w:rsid w:val="00E125ED"/>
    <w:rsid w:val="00E159A1"/>
    <w:rsid w:val="00E162AF"/>
    <w:rsid w:val="00E2027A"/>
    <w:rsid w:val="00E206BC"/>
    <w:rsid w:val="00E215FC"/>
    <w:rsid w:val="00E22849"/>
    <w:rsid w:val="00E22B71"/>
    <w:rsid w:val="00E2715B"/>
    <w:rsid w:val="00E3061A"/>
    <w:rsid w:val="00E31F44"/>
    <w:rsid w:val="00E33D37"/>
    <w:rsid w:val="00E34B50"/>
    <w:rsid w:val="00E404D5"/>
    <w:rsid w:val="00E4242D"/>
    <w:rsid w:val="00E44E1C"/>
    <w:rsid w:val="00E47196"/>
    <w:rsid w:val="00E472E2"/>
    <w:rsid w:val="00E52DB9"/>
    <w:rsid w:val="00E52ED5"/>
    <w:rsid w:val="00E53206"/>
    <w:rsid w:val="00E614EF"/>
    <w:rsid w:val="00E623F3"/>
    <w:rsid w:val="00E705D2"/>
    <w:rsid w:val="00E73F76"/>
    <w:rsid w:val="00E742CD"/>
    <w:rsid w:val="00E75EE8"/>
    <w:rsid w:val="00E76456"/>
    <w:rsid w:val="00E7751B"/>
    <w:rsid w:val="00E80624"/>
    <w:rsid w:val="00E80A0F"/>
    <w:rsid w:val="00E8116F"/>
    <w:rsid w:val="00E84CC6"/>
    <w:rsid w:val="00E85AF8"/>
    <w:rsid w:val="00E874DC"/>
    <w:rsid w:val="00E91323"/>
    <w:rsid w:val="00E92F9D"/>
    <w:rsid w:val="00E966F7"/>
    <w:rsid w:val="00EA164F"/>
    <w:rsid w:val="00EA44E7"/>
    <w:rsid w:val="00EA5AFE"/>
    <w:rsid w:val="00EB6398"/>
    <w:rsid w:val="00EC1524"/>
    <w:rsid w:val="00EC5A72"/>
    <w:rsid w:val="00EC7405"/>
    <w:rsid w:val="00ED0040"/>
    <w:rsid w:val="00ED3FAA"/>
    <w:rsid w:val="00ED713C"/>
    <w:rsid w:val="00EE7B13"/>
    <w:rsid w:val="00EF1360"/>
    <w:rsid w:val="00EF3220"/>
    <w:rsid w:val="00EF4DD1"/>
    <w:rsid w:val="00EF5705"/>
    <w:rsid w:val="00F03DD4"/>
    <w:rsid w:val="00F06529"/>
    <w:rsid w:val="00F10A51"/>
    <w:rsid w:val="00F10D5A"/>
    <w:rsid w:val="00F12B75"/>
    <w:rsid w:val="00F15474"/>
    <w:rsid w:val="00F15660"/>
    <w:rsid w:val="00F16321"/>
    <w:rsid w:val="00F25ED9"/>
    <w:rsid w:val="00F27980"/>
    <w:rsid w:val="00F27C40"/>
    <w:rsid w:val="00F3235E"/>
    <w:rsid w:val="00F330FE"/>
    <w:rsid w:val="00F37024"/>
    <w:rsid w:val="00F4452D"/>
    <w:rsid w:val="00F44B33"/>
    <w:rsid w:val="00F51461"/>
    <w:rsid w:val="00F5424E"/>
    <w:rsid w:val="00F57364"/>
    <w:rsid w:val="00F634D8"/>
    <w:rsid w:val="00F63FF4"/>
    <w:rsid w:val="00F71A87"/>
    <w:rsid w:val="00F76BE4"/>
    <w:rsid w:val="00F77B9E"/>
    <w:rsid w:val="00F81355"/>
    <w:rsid w:val="00F857CC"/>
    <w:rsid w:val="00F86F53"/>
    <w:rsid w:val="00F87C0F"/>
    <w:rsid w:val="00F94155"/>
    <w:rsid w:val="00F955C9"/>
    <w:rsid w:val="00FA0EBB"/>
    <w:rsid w:val="00FA3D0D"/>
    <w:rsid w:val="00FA7058"/>
    <w:rsid w:val="00FB4579"/>
    <w:rsid w:val="00FB45AB"/>
    <w:rsid w:val="00FB5303"/>
    <w:rsid w:val="00FC27DA"/>
    <w:rsid w:val="00FD1134"/>
    <w:rsid w:val="00FD2EF7"/>
    <w:rsid w:val="00FD4AD6"/>
    <w:rsid w:val="00FD4EAF"/>
    <w:rsid w:val="00FE0873"/>
    <w:rsid w:val="00FE0BCA"/>
    <w:rsid w:val="00FE4F92"/>
    <w:rsid w:val="00FE7D3D"/>
    <w:rsid w:val="00FF09FA"/>
    <w:rsid w:val="00FF1E5D"/>
    <w:rsid w:val="00FF2438"/>
    <w:rsid w:val="00FF44A6"/>
    <w:rsid w:val="00FF60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43E5B"/>
  <w15:docId w15:val="{E43BD5D1-89E6-4FDD-B3A2-7AAAEAD2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callou"/>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Char,Footnote Reference1,C,Car,Ca,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C Car"/>
    <w:basedOn w:val="Fuentedeprrafopredeter"/>
    <w:link w:val="Textonotapie"/>
    <w:rsid w:val="0097604A"/>
    <w:rPr>
      <w:sz w:val="18"/>
      <w:lang w:val="es-ES" w:eastAsia="es-ES"/>
    </w:rPr>
  </w:style>
  <w:style w:type="character" w:customStyle="1" w:styleId="SingleTxtGChar">
    <w:name w:val="_ Single Txt_G Char"/>
    <w:link w:val="SingleTxtG"/>
    <w:rsid w:val="0097604A"/>
    <w:rPr>
      <w:lang w:val="es-ES" w:eastAsia="es-ES"/>
    </w:rPr>
  </w:style>
  <w:style w:type="character" w:styleId="Refdecomentario">
    <w:name w:val="annotation reference"/>
    <w:basedOn w:val="Fuentedeprrafopredeter"/>
    <w:semiHidden/>
    <w:unhideWhenUsed/>
    <w:rsid w:val="009472D9"/>
    <w:rPr>
      <w:sz w:val="16"/>
      <w:szCs w:val="16"/>
    </w:rPr>
  </w:style>
  <w:style w:type="paragraph" w:styleId="Textocomentario">
    <w:name w:val="annotation text"/>
    <w:basedOn w:val="Normal"/>
    <w:link w:val="TextocomentarioCar"/>
    <w:semiHidden/>
    <w:unhideWhenUsed/>
    <w:rsid w:val="009472D9"/>
    <w:pPr>
      <w:spacing w:line="240" w:lineRule="auto"/>
    </w:pPr>
  </w:style>
  <w:style w:type="character" w:customStyle="1" w:styleId="TextocomentarioCar">
    <w:name w:val="Texto comentario Car"/>
    <w:basedOn w:val="Fuentedeprrafopredeter"/>
    <w:link w:val="Textocomentario"/>
    <w:semiHidden/>
    <w:rsid w:val="009472D9"/>
    <w:rPr>
      <w:lang w:val="es-ES" w:eastAsia="es-ES"/>
    </w:rPr>
  </w:style>
  <w:style w:type="paragraph" w:styleId="Asuntodelcomentario">
    <w:name w:val="annotation subject"/>
    <w:basedOn w:val="Textocomentario"/>
    <w:next w:val="Textocomentario"/>
    <w:link w:val="AsuntodelcomentarioCar"/>
    <w:semiHidden/>
    <w:unhideWhenUsed/>
    <w:rsid w:val="009472D9"/>
    <w:rPr>
      <w:b/>
      <w:bCs/>
    </w:rPr>
  </w:style>
  <w:style w:type="character" w:customStyle="1" w:styleId="AsuntodelcomentarioCar">
    <w:name w:val="Asunto del comentario Car"/>
    <w:basedOn w:val="TextocomentarioCar"/>
    <w:link w:val="Asuntodelcomentario"/>
    <w:semiHidden/>
    <w:rsid w:val="009472D9"/>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481">
      <w:bodyDiv w:val="1"/>
      <w:marLeft w:val="0"/>
      <w:marRight w:val="0"/>
      <w:marTop w:val="0"/>
      <w:marBottom w:val="0"/>
      <w:divBdr>
        <w:top w:val="none" w:sz="0" w:space="0" w:color="auto"/>
        <w:left w:val="none" w:sz="0" w:space="0" w:color="auto"/>
        <w:bottom w:val="none" w:sz="0" w:space="0" w:color="auto"/>
        <w:right w:val="none" w:sz="0" w:space="0" w:color="auto"/>
      </w:divBdr>
    </w:div>
    <w:div w:id="385104433">
      <w:bodyDiv w:val="1"/>
      <w:marLeft w:val="0"/>
      <w:marRight w:val="0"/>
      <w:marTop w:val="0"/>
      <w:marBottom w:val="0"/>
      <w:divBdr>
        <w:top w:val="none" w:sz="0" w:space="0" w:color="auto"/>
        <w:left w:val="none" w:sz="0" w:space="0" w:color="auto"/>
        <w:bottom w:val="none" w:sz="0" w:space="0" w:color="auto"/>
        <w:right w:val="none" w:sz="0" w:space="0" w:color="auto"/>
      </w:divBdr>
    </w:div>
    <w:div w:id="592278106">
      <w:bodyDiv w:val="1"/>
      <w:marLeft w:val="0"/>
      <w:marRight w:val="0"/>
      <w:marTop w:val="0"/>
      <w:marBottom w:val="0"/>
      <w:divBdr>
        <w:top w:val="none" w:sz="0" w:space="0" w:color="auto"/>
        <w:left w:val="none" w:sz="0" w:space="0" w:color="auto"/>
        <w:bottom w:val="none" w:sz="0" w:space="0" w:color="auto"/>
        <w:right w:val="none" w:sz="0" w:space="0" w:color="auto"/>
      </w:divBdr>
    </w:div>
    <w:div w:id="885339833">
      <w:bodyDiv w:val="1"/>
      <w:marLeft w:val="0"/>
      <w:marRight w:val="0"/>
      <w:marTop w:val="0"/>
      <w:marBottom w:val="0"/>
      <w:divBdr>
        <w:top w:val="none" w:sz="0" w:space="0" w:color="auto"/>
        <w:left w:val="none" w:sz="0" w:space="0" w:color="auto"/>
        <w:bottom w:val="none" w:sz="0" w:space="0" w:color="auto"/>
        <w:right w:val="none" w:sz="0" w:space="0" w:color="auto"/>
      </w:divBdr>
    </w:div>
    <w:div w:id="945383414">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551650171">
      <w:bodyDiv w:val="1"/>
      <w:marLeft w:val="0"/>
      <w:marRight w:val="0"/>
      <w:marTop w:val="0"/>
      <w:marBottom w:val="0"/>
      <w:divBdr>
        <w:top w:val="none" w:sz="0" w:space="0" w:color="auto"/>
        <w:left w:val="none" w:sz="0" w:space="0" w:color="auto"/>
        <w:bottom w:val="none" w:sz="0" w:space="0" w:color="auto"/>
        <w:right w:val="none" w:sz="0" w:space="0" w:color="auto"/>
      </w:divBdr>
    </w:div>
    <w:div w:id="1725905959">
      <w:bodyDiv w:val="1"/>
      <w:marLeft w:val="0"/>
      <w:marRight w:val="0"/>
      <w:marTop w:val="0"/>
      <w:marBottom w:val="0"/>
      <w:divBdr>
        <w:top w:val="none" w:sz="0" w:space="0" w:color="auto"/>
        <w:left w:val="none" w:sz="0" w:space="0" w:color="auto"/>
        <w:bottom w:val="none" w:sz="0" w:space="0" w:color="auto"/>
        <w:right w:val="none" w:sz="0" w:space="0" w:color="auto"/>
      </w:divBdr>
    </w:div>
    <w:div w:id="1746150025">
      <w:bodyDiv w:val="1"/>
      <w:marLeft w:val="0"/>
      <w:marRight w:val="0"/>
      <w:marTop w:val="0"/>
      <w:marBottom w:val="0"/>
      <w:divBdr>
        <w:top w:val="none" w:sz="0" w:space="0" w:color="auto"/>
        <w:left w:val="none" w:sz="0" w:space="0" w:color="auto"/>
        <w:bottom w:val="none" w:sz="0" w:space="0" w:color="auto"/>
        <w:right w:val="none" w:sz="0" w:space="0" w:color="auto"/>
      </w:divBdr>
      <w:divsChild>
        <w:div w:id="1370573145">
          <w:marLeft w:val="0"/>
          <w:marRight w:val="0"/>
          <w:marTop w:val="0"/>
          <w:marBottom w:val="0"/>
          <w:divBdr>
            <w:top w:val="none" w:sz="0" w:space="0" w:color="auto"/>
            <w:left w:val="none" w:sz="0" w:space="0" w:color="auto"/>
            <w:bottom w:val="none" w:sz="0" w:space="0" w:color="auto"/>
            <w:right w:val="none" w:sz="0" w:space="0" w:color="auto"/>
          </w:divBdr>
          <w:divsChild>
            <w:div w:id="1852182021">
              <w:marLeft w:val="0"/>
              <w:marRight w:val="0"/>
              <w:marTop w:val="0"/>
              <w:marBottom w:val="0"/>
              <w:divBdr>
                <w:top w:val="none" w:sz="0" w:space="0" w:color="auto"/>
                <w:left w:val="none" w:sz="0" w:space="0" w:color="auto"/>
                <w:bottom w:val="none" w:sz="0" w:space="0" w:color="auto"/>
                <w:right w:val="none" w:sz="0" w:space="0" w:color="auto"/>
              </w:divBdr>
              <w:divsChild>
                <w:div w:id="1758821127">
                  <w:marLeft w:val="0"/>
                  <w:marRight w:val="0"/>
                  <w:marTop w:val="0"/>
                  <w:marBottom w:val="0"/>
                  <w:divBdr>
                    <w:top w:val="none" w:sz="0" w:space="0" w:color="auto"/>
                    <w:left w:val="none" w:sz="0" w:space="0" w:color="auto"/>
                    <w:bottom w:val="none" w:sz="0" w:space="0" w:color="auto"/>
                    <w:right w:val="none" w:sz="0" w:space="0" w:color="auto"/>
                  </w:divBdr>
                  <w:divsChild>
                    <w:div w:id="1085616651">
                      <w:marLeft w:val="0"/>
                      <w:marRight w:val="0"/>
                      <w:marTop w:val="0"/>
                      <w:marBottom w:val="0"/>
                      <w:divBdr>
                        <w:top w:val="none" w:sz="0" w:space="0" w:color="auto"/>
                        <w:left w:val="none" w:sz="0" w:space="0" w:color="auto"/>
                        <w:bottom w:val="none" w:sz="0" w:space="0" w:color="auto"/>
                        <w:right w:val="none" w:sz="0" w:space="0" w:color="auto"/>
                      </w:divBdr>
                      <w:divsChild>
                        <w:div w:id="1250844436">
                          <w:marLeft w:val="0"/>
                          <w:marRight w:val="0"/>
                          <w:marTop w:val="0"/>
                          <w:marBottom w:val="0"/>
                          <w:divBdr>
                            <w:top w:val="none" w:sz="0" w:space="0" w:color="auto"/>
                            <w:left w:val="none" w:sz="0" w:space="0" w:color="auto"/>
                            <w:bottom w:val="none" w:sz="0" w:space="0" w:color="auto"/>
                            <w:right w:val="none" w:sz="0" w:space="0" w:color="auto"/>
                          </w:divBdr>
                          <w:divsChild>
                            <w:div w:id="6080502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0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elespectador.com/opinion/editorial/bienvenida-la-doble-instancia-para-aforados-articulo-685820" TargetMode="External"/><Relationship Id="rId1" Type="http://schemas.openxmlformats.org/officeDocument/2006/relationships/hyperlink" Target="https://www.vanguardia.com/politica/proyecto-de-doble-instancia-para-congresistas-sigue-avanzando-CQVL3942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mber_2 xmlns="d0e6e1dd-cead-4b20-a8ab-6c17962cc4ab">false</Chamber_2>
    <Inadmissibility xmlns="d0e6e1dd-cead-4b20-a8ab-6c17962cc4ab">false</Inadmissibility>
    <Chamber_1 xmlns="d0e6e1dd-cead-4b20-a8ab-6c17962cc4ab">false</Chamber_1>
    <Cover_x0020_page xmlns="843519ee-602c-4a77-9f98-e0b2d1df032d">false</Cover_x0020_page>
    <Follow_x002d_up xmlns="d0e6e1dd-cead-4b20-a8ab-6c17962cc4ab">false</Follow_x002d_up>
    <Repetitive xmlns="d0e6e1dd-cead-4b20-a8ab-6c17962cc4ab">false</Repetitive>
    <Case xmlns="1bb7588e-e247-4215-aaaa-8ddb8e8e8079" xsi:nil="true"/>
    <Folder xmlns="843519ee-602c-4a77-9f98-e0b2d1df032d">-</Folder>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true</List_x0020_of_x0020_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11C691900B1F504DA9AAF255C0DE16B8" ma:contentTypeVersion="17" ma:contentTypeDescription="" ma:contentTypeScope="" ma:versionID="0f3033cd53b24bd137d55016b613c279">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15f218a975ae2d53b8bf15f3f3d80c84"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11A4-A6AF-4A5A-BDDA-6901FCE4C3BD}">
  <ds:schemaRefs>
    <ds:schemaRef ds:uri="843519ee-602c-4a77-9f98-e0b2d1df032d"/>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2d113eb4-e65a-468c-82cb-a0357bc1037f"/>
    <ds:schemaRef ds:uri="http://purl.org/dc/elements/1.1/"/>
    <ds:schemaRef ds:uri="d0e6e1dd-cead-4b20-a8ab-6c17962cc4ab"/>
    <ds:schemaRef ds:uri="1bb7588e-e247-4215-aaaa-8ddb8e8e8079"/>
    <ds:schemaRef ds:uri="http://www.w3.org/XML/1998/namespace"/>
  </ds:schemaRefs>
</ds:datastoreItem>
</file>

<file path=customXml/itemProps2.xml><?xml version="1.0" encoding="utf-8"?>
<ds:datastoreItem xmlns:ds="http://schemas.openxmlformats.org/officeDocument/2006/customXml" ds:itemID="{76D70B52-03AC-4062-8BCD-5B5B79E59E0D}">
  <ds:schemaRefs>
    <ds:schemaRef ds:uri="http://schemas.microsoft.com/sharepoint/v3/contenttype/forms"/>
  </ds:schemaRefs>
</ds:datastoreItem>
</file>

<file path=customXml/itemProps3.xml><?xml version="1.0" encoding="utf-8"?>
<ds:datastoreItem xmlns:ds="http://schemas.openxmlformats.org/officeDocument/2006/customXml" ds:itemID="{46203E7F-F0D3-4919-9216-66A1A3E7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847F7-B544-4477-A679-3E23CBD6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11</Pages>
  <Words>6469</Words>
  <Characters>33123</Characters>
  <Application>Microsoft Office Word</Application>
  <DocSecurity>0</DocSecurity>
  <Lines>501</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CCPR/C/129/DR/2922/2016</vt:lpstr>
      <vt:lpstr>CCPR/C/129/DR/2922/2016</vt:lpstr>
    </vt:vector>
  </TitlesOfParts>
  <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CCPR/C/129/D/2922/2016</dc:title>
  <dc:subject/>
  <dc:creator>Maria Luisa ZEBALLOS-MORENO</dc:creator>
  <cp:keywords/>
  <dc:description/>
  <cp:lastModifiedBy>Maria DE-LA-PLAZA</cp:lastModifiedBy>
  <cp:revision>3</cp:revision>
  <cp:lastPrinted>2020-12-28T09:51:00Z</cp:lastPrinted>
  <dcterms:created xsi:type="dcterms:W3CDTF">2020-12-28T09:51:00Z</dcterms:created>
  <dcterms:modified xsi:type="dcterms:W3CDTF">2020-12-28T09:52:00Z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0x010100A70BC505B2949A43BBFACEE4A97207700011C691900B1F504DA9AAF255C0DE16B8</vt:lpwstr>
  </property>
</Properties>
</file>