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3E7CD0" w14:paraId="42D23174" w14:textId="77777777" w:rsidTr="005B51C4">
        <w:trPr>
          <w:trHeight w:hRule="exact" w:val="851"/>
        </w:trPr>
        <w:tc>
          <w:tcPr>
            <w:tcW w:w="1274" w:type="dxa"/>
            <w:tcBorders>
              <w:bottom w:val="single" w:sz="4" w:space="0" w:color="auto"/>
            </w:tcBorders>
            <w:shd w:val="clear" w:color="auto" w:fill="auto"/>
          </w:tcPr>
          <w:p w14:paraId="53AB65B6" w14:textId="77777777" w:rsidR="006B3E27" w:rsidRPr="00025B15" w:rsidRDefault="006B3E27" w:rsidP="005B51C4">
            <w:pPr>
              <w:jc w:val="center"/>
              <w:rPr>
                <w:sz w:val="56"/>
                <w:szCs w:val="56"/>
                <w:rtl/>
              </w:rPr>
            </w:pPr>
          </w:p>
        </w:tc>
        <w:tc>
          <w:tcPr>
            <w:tcW w:w="4537" w:type="dxa"/>
            <w:tcBorders>
              <w:bottom w:val="single" w:sz="4" w:space="0" w:color="auto"/>
            </w:tcBorders>
            <w:shd w:val="clear" w:color="auto" w:fill="auto"/>
            <w:vAlign w:val="bottom"/>
          </w:tcPr>
          <w:p w14:paraId="7169CC02" w14:textId="77777777" w:rsidR="006B3E27" w:rsidRPr="003E7CD0" w:rsidRDefault="006B3E27" w:rsidP="005B51C4">
            <w:pPr>
              <w:spacing w:after="80" w:line="480" w:lineRule="exact"/>
              <w:jc w:val="left"/>
              <w:rPr>
                <w:sz w:val="40"/>
                <w:szCs w:val="40"/>
                <w:rtl/>
              </w:rPr>
            </w:pPr>
            <w:r w:rsidRPr="003E7CD0">
              <w:rPr>
                <w:rFonts w:hint="cs"/>
                <w:sz w:val="40"/>
                <w:szCs w:val="40"/>
                <w:rtl/>
              </w:rPr>
              <w:t>الأمم المتحدة</w:t>
            </w:r>
          </w:p>
        </w:tc>
        <w:tc>
          <w:tcPr>
            <w:tcW w:w="3828" w:type="dxa"/>
            <w:tcBorders>
              <w:bottom w:val="single" w:sz="4" w:space="0" w:color="auto"/>
            </w:tcBorders>
            <w:shd w:val="clear" w:color="auto" w:fill="auto"/>
            <w:vAlign w:val="bottom"/>
          </w:tcPr>
          <w:p w14:paraId="02C46137" w14:textId="77777777" w:rsidR="006B3E27" w:rsidRPr="003E7CD0" w:rsidRDefault="00025B15" w:rsidP="005C1B6A">
            <w:pPr>
              <w:bidi w:val="0"/>
              <w:spacing w:after="20"/>
              <w:jc w:val="left"/>
              <w:rPr>
                <w:szCs w:val="20"/>
              </w:rPr>
            </w:pPr>
            <w:r w:rsidRPr="003E7CD0">
              <w:rPr>
                <w:sz w:val="40"/>
                <w:szCs w:val="20"/>
              </w:rPr>
              <w:t>CCPR</w:t>
            </w:r>
            <w:r w:rsidRPr="003E7CD0">
              <w:rPr>
                <w:szCs w:val="20"/>
              </w:rPr>
              <w:t>/C/128/3/Add.3</w:t>
            </w:r>
          </w:p>
        </w:tc>
      </w:tr>
      <w:tr w:rsidR="006B3E27" w:rsidRPr="003E7CD0" w14:paraId="36195935" w14:textId="77777777" w:rsidTr="005B51C4">
        <w:trPr>
          <w:trHeight w:hRule="exact" w:val="2835"/>
        </w:trPr>
        <w:tc>
          <w:tcPr>
            <w:tcW w:w="1274" w:type="dxa"/>
            <w:tcBorders>
              <w:top w:val="single" w:sz="4" w:space="0" w:color="auto"/>
              <w:bottom w:val="single" w:sz="12" w:space="0" w:color="auto"/>
            </w:tcBorders>
            <w:shd w:val="clear" w:color="auto" w:fill="auto"/>
          </w:tcPr>
          <w:p w14:paraId="14C00B02" w14:textId="17188ED9" w:rsidR="006B3E27" w:rsidRPr="003E7CD0" w:rsidRDefault="00092C6D" w:rsidP="005B51C4">
            <w:pPr>
              <w:jc w:val="center"/>
              <w:rPr>
                <w:sz w:val="56"/>
                <w:szCs w:val="56"/>
                <w:rtl/>
              </w:rPr>
            </w:pPr>
            <w:r w:rsidRPr="003E7CD0">
              <w:rPr>
                <w:noProof/>
                <w:sz w:val="56"/>
                <w:szCs w:val="56"/>
              </w:rPr>
              <w:drawing>
                <wp:inline distT="0" distB="0" distL="0" distR="0" wp14:anchorId="1C3FCE37" wp14:editId="192AB96F">
                  <wp:extent cx="628015" cy="6045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452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6730A5E" w14:textId="77777777" w:rsidR="006B3E27" w:rsidRPr="003E7CD0" w:rsidRDefault="00ED7442" w:rsidP="005B51C4">
            <w:pPr>
              <w:spacing w:before="120" w:after="40" w:line="640" w:lineRule="exact"/>
              <w:jc w:val="left"/>
              <w:rPr>
                <w:b/>
                <w:bCs/>
                <w:sz w:val="56"/>
                <w:szCs w:val="56"/>
              </w:rPr>
            </w:pPr>
            <w:r w:rsidRPr="003E7CD0">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74C5363" w14:textId="77777777" w:rsidR="001E0790" w:rsidRPr="003E7CD0" w:rsidRDefault="001E0790" w:rsidP="001E0790">
            <w:pPr>
              <w:bidi w:val="0"/>
              <w:spacing w:before="240" w:line="240" w:lineRule="auto"/>
              <w:jc w:val="left"/>
              <w:rPr>
                <w:rFonts w:eastAsia="SimSun" w:cs="Times New Roman"/>
                <w:szCs w:val="20"/>
                <w:lang w:val="en-GB" w:eastAsia="zh-CN"/>
              </w:rPr>
            </w:pPr>
            <w:r w:rsidRPr="003E7CD0">
              <w:rPr>
                <w:rFonts w:eastAsia="SimSun" w:cs="Times New Roman"/>
                <w:szCs w:val="20"/>
                <w:lang w:val="en-GB" w:eastAsia="zh-CN"/>
              </w:rPr>
              <w:t>Distr.: General</w:t>
            </w:r>
          </w:p>
          <w:p w14:paraId="0627D41C" w14:textId="77777777" w:rsidR="001E0790" w:rsidRPr="003E7CD0" w:rsidRDefault="001E0790" w:rsidP="001E0790">
            <w:pPr>
              <w:bidi w:val="0"/>
              <w:spacing w:line="240" w:lineRule="auto"/>
              <w:jc w:val="left"/>
              <w:rPr>
                <w:rFonts w:eastAsia="SimSun" w:cs="Times New Roman"/>
                <w:szCs w:val="20"/>
                <w:lang w:val="en-GB" w:eastAsia="zh-CN"/>
              </w:rPr>
            </w:pPr>
            <w:r w:rsidRPr="003E7CD0">
              <w:rPr>
                <w:rFonts w:eastAsia="SimSun" w:cs="Times New Roman"/>
                <w:szCs w:val="20"/>
                <w:lang w:val="en-GB" w:eastAsia="zh-CN"/>
              </w:rPr>
              <w:t>22 September 2020</w:t>
            </w:r>
          </w:p>
          <w:p w14:paraId="4100F32A" w14:textId="0043BB51" w:rsidR="001E0790" w:rsidRPr="003E7CD0" w:rsidRDefault="001E0790" w:rsidP="001E0790">
            <w:pPr>
              <w:bidi w:val="0"/>
              <w:spacing w:line="240" w:lineRule="auto"/>
              <w:jc w:val="left"/>
              <w:rPr>
                <w:rFonts w:eastAsia="SimSun" w:cs="Times New Roman"/>
                <w:szCs w:val="20"/>
                <w:lang w:val="en-GB" w:eastAsia="zh-CN"/>
              </w:rPr>
            </w:pPr>
            <w:r w:rsidRPr="003E7CD0">
              <w:rPr>
                <w:rFonts w:eastAsia="SimSun" w:cs="Times New Roman"/>
                <w:szCs w:val="20"/>
                <w:lang w:val="en-GB" w:eastAsia="zh-CN"/>
              </w:rPr>
              <w:t>Arabic</w:t>
            </w:r>
          </w:p>
          <w:p w14:paraId="0501EE23" w14:textId="5C7D668D" w:rsidR="005C1B6A" w:rsidRPr="003E7CD0" w:rsidRDefault="001E0790" w:rsidP="001E0790">
            <w:pPr>
              <w:bidi w:val="0"/>
              <w:jc w:val="left"/>
              <w:rPr>
                <w:szCs w:val="20"/>
                <w:lang w:val="en-GB"/>
              </w:rPr>
            </w:pPr>
            <w:r w:rsidRPr="003E7CD0">
              <w:rPr>
                <w:rFonts w:eastAsia="SimSun" w:cs="Times New Roman"/>
                <w:szCs w:val="20"/>
                <w:lang w:val="en-GB" w:eastAsia="zh-CN"/>
              </w:rPr>
              <w:t>Original: English</w:t>
            </w:r>
          </w:p>
        </w:tc>
      </w:tr>
    </w:tbl>
    <w:p w14:paraId="425ECABF" w14:textId="77777777" w:rsidR="005C1B6A" w:rsidRPr="003E7CD0" w:rsidRDefault="005C1B6A" w:rsidP="005C1B6A">
      <w:pPr>
        <w:pStyle w:val="SingleTxtGA"/>
        <w:spacing w:before="120"/>
        <w:ind w:left="0"/>
        <w:rPr>
          <w:b/>
          <w:bCs/>
          <w:sz w:val="28"/>
          <w:szCs w:val="36"/>
        </w:rPr>
      </w:pPr>
      <w:r w:rsidRPr="003E7CD0">
        <w:rPr>
          <w:b/>
          <w:bCs/>
          <w:sz w:val="28"/>
          <w:szCs w:val="36"/>
          <w:rtl/>
        </w:rPr>
        <w:t>اللجنة المعنية بحقوق الإنسان</w:t>
      </w:r>
    </w:p>
    <w:p w14:paraId="4994E2B8" w14:textId="1AD10A85" w:rsidR="005C1B6A" w:rsidRPr="003E7CD0" w:rsidRDefault="005C1B6A" w:rsidP="005C1B6A">
      <w:pPr>
        <w:pStyle w:val="HChGA"/>
      </w:pPr>
      <w:r w:rsidRPr="003E7CD0">
        <w:rPr>
          <w:rtl/>
        </w:rPr>
        <w:tab/>
      </w:r>
      <w:r w:rsidRPr="003E7CD0">
        <w:rPr>
          <w:rtl/>
        </w:rPr>
        <w:tab/>
        <w:t>تقرير متابعة الملاحظات الختامية للجنة المعنية بحقوق الإنسان</w:t>
      </w:r>
      <w:r w:rsidRPr="003E7CD0">
        <w:rPr>
          <w:rStyle w:val="FootnoteReference"/>
          <w:sz w:val="24"/>
          <w:szCs w:val="32"/>
          <w:vertAlign w:val="baseline"/>
          <w:rtl/>
        </w:rPr>
        <w:footnoteReference w:customMarkFollows="1" w:id="1"/>
        <w:t>*</w:t>
      </w:r>
    </w:p>
    <w:p w14:paraId="6FCA84CF" w14:textId="77777777" w:rsidR="005C1B6A" w:rsidRPr="003E7CD0" w:rsidRDefault="005C1B6A" w:rsidP="005C1B6A">
      <w:pPr>
        <w:pStyle w:val="H23GA"/>
      </w:pPr>
      <w:r w:rsidRPr="003E7CD0">
        <w:rPr>
          <w:rtl/>
        </w:rPr>
        <w:tab/>
      </w:r>
      <w:r w:rsidRPr="003E7CD0">
        <w:rPr>
          <w:rtl/>
        </w:rPr>
        <w:tab/>
        <w:t>إضافة</w:t>
      </w:r>
    </w:p>
    <w:p w14:paraId="4755DC7B" w14:textId="6A525BAF" w:rsidR="005C1B6A" w:rsidRPr="003E7CD0" w:rsidRDefault="005C1B6A" w:rsidP="005C1B6A">
      <w:pPr>
        <w:pStyle w:val="H1GA"/>
        <w:rPr>
          <w:rtl/>
        </w:rPr>
      </w:pPr>
      <w:r w:rsidRPr="003E7CD0">
        <w:rPr>
          <w:rtl/>
        </w:rPr>
        <w:tab/>
      </w:r>
      <w:r w:rsidRPr="003E7CD0">
        <w:rPr>
          <w:rtl/>
        </w:rPr>
        <w:tab/>
        <w:t>تقييم المعلومات المتعلقة بمتابعة الملاحظات الختامية بشأن بولندا</w:t>
      </w:r>
    </w:p>
    <w:tbl>
      <w:tblPr>
        <w:tblStyle w:val="TableGrid"/>
        <w:bidiVisual/>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771"/>
      </w:tblGrid>
      <w:tr w:rsidR="005C1B6A" w:rsidRPr="003E7CD0" w14:paraId="181C0CF7" w14:textId="77777777" w:rsidTr="005C1B6A">
        <w:tc>
          <w:tcPr>
            <w:tcW w:w="2693" w:type="dxa"/>
          </w:tcPr>
          <w:p w14:paraId="6FC53926" w14:textId="2001E266" w:rsidR="005C1B6A" w:rsidRPr="003E7CD0" w:rsidRDefault="005C1B6A" w:rsidP="001E0790">
            <w:pPr>
              <w:pStyle w:val="SingleTxtGA"/>
              <w:ind w:left="0" w:right="113"/>
              <w:jc w:val="left"/>
              <w:rPr>
                <w:rtl/>
              </w:rPr>
            </w:pPr>
            <w:r w:rsidRPr="003E7CD0">
              <w:rPr>
                <w:i/>
                <w:iCs/>
                <w:rtl/>
              </w:rPr>
              <w:t>الملاحظات الختامية</w:t>
            </w:r>
            <w:r w:rsidRPr="003E7CD0">
              <w:rPr>
                <w:rtl/>
              </w:rPr>
              <w:br/>
            </w:r>
            <w:r w:rsidRPr="003E7CD0">
              <w:rPr>
                <w:i/>
                <w:iCs/>
                <w:rtl/>
              </w:rPr>
              <w:t xml:space="preserve">(الدورة </w:t>
            </w:r>
            <w:r w:rsidRPr="003E7CD0">
              <w:rPr>
                <w:i/>
                <w:iCs/>
                <w:szCs w:val="20"/>
                <w:rtl/>
              </w:rPr>
              <w:t>118</w:t>
            </w:r>
            <w:r w:rsidRPr="003E7CD0">
              <w:rPr>
                <w:i/>
                <w:iCs/>
                <w:rtl/>
              </w:rPr>
              <w:t>):</w:t>
            </w:r>
          </w:p>
        </w:tc>
        <w:tc>
          <w:tcPr>
            <w:tcW w:w="4771" w:type="dxa"/>
          </w:tcPr>
          <w:p w14:paraId="7C2E5266" w14:textId="1AA43FB5" w:rsidR="005C1B6A" w:rsidRPr="003E7CD0" w:rsidRDefault="005C1B6A" w:rsidP="005C1B6A">
            <w:pPr>
              <w:pStyle w:val="SingleTxtGA"/>
              <w:ind w:left="0" w:right="113"/>
              <w:rPr>
                <w:rtl/>
              </w:rPr>
            </w:pPr>
            <w:r w:rsidRPr="003E7CD0">
              <w:t>CCPR/C/POL/CO/</w:t>
            </w:r>
            <w:r w:rsidRPr="003E7CD0">
              <w:rPr>
                <w:szCs w:val="20"/>
              </w:rPr>
              <w:t>7</w:t>
            </w:r>
            <w:r w:rsidRPr="003E7CD0">
              <w:rPr>
                <w:rtl/>
              </w:rPr>
              <w:t xml:space="preserve">، </w:t>
            </w:r>
            <w:r w:rsidRPr="003E7CD0">
              <w:rPr>
                <w:szCs w:val="20"/>
                <w:rtl/>
              </w:rPr>
              <w:t>31</w:t>
            </w:r>
            <w:r w:rsidRPr="003E7CD0">
              <w:rPr>
                <w:rtl/>
              </w:rPr>
              <w:t xml:space="preserve"> تشرين الأول/أكتوبر </w:t>
            </w:r>
            <w:r w:rsidRPr="003E7CD0">
              <w:rPr>
                <w:szCs w:val="20"/>
                <w:rtl/>
              </w:rPr>
              <w:t>2016</w:t>
            </w:r>
          </w:p>
        </w:tc>
      </w:tr>
      <w:tr w:rsidR="005C1B6A" w:rsidRPr="003E7CD0" w14:paraId="0E6744C0" w14:textId="77777777" w:rsidTr="005C1B6A">
        <w:tc>
          <w:tcPr>
            <w:tcW w:w="2693" w:type="dxa"/>
          </w:tcPr>
          <w:p w14:paraId="072A2797" w14:textId="02AB7E28" w:rsidR="005C1B6A" w:rsidRPr="003E7CD0" w:rsidRDefault="005C1B6A" w:rsidP="001E0790">
            <w:pPr>
              <w:pStyle w:val="SingleTxtGA"/>
              <w:ind w:left="0" w:right="113"/>
              <w:jc w:val="left"/>
              <w:rPr>
                <w:rtl/>
              </w:rPr>
            </w:pPr>
            <w:r w:rsidRPr="003E7CD0">
              <w:rPr>
                <w:i/>
                <w:iCs/>
                <w:rtl/>
              </w:rPr>
              <w:t>الفقرات المشمولة بالمتابعة:</w:t>
            </w:r>
          </w:p>
        </w:tc>
        <w:tc>
          <w:tcPr>
            <w:tcW w:w="4771" w:type="dxa"/>
          </w:tcPr>
          <w:p w14:paraId="773D86BF" w14:textId="575241CF" w:rsidR="005C1B6A" w:rsidRPr="003E7CD0" w:rsidRDefault="005C1B6A" w:rsidP="005C1B6A">
            <w:pPr>
              <w:pStyle w:val="SingleTxtGA"/>
              <w:ind w:left="0" w:right="113"/>
              <w:rPr>
                <w:rtl/>
              </w:rPr>
            </w:pPr>
            <w:r w:rsidRPr="003E7CD0">
              <w:rPr>
                <w:szCs w:val="20"/>
                <w:rtl/>
              </w:rPr>
              <w:t>8</w:t>
            </w:r>
            <w:r w:rsidRPr="003E7CD0">
              <w:rPr>
                <w:rtl/>
              </w:rPr>
              <w:t xml:space="preserve"> </w:t>
            </w:r>
            <w:r w:rsidR="003E7CD0">
              <w:rPr>
                <w:rFonts w:hint="cs"/>
                <w:rtl/>
              </w:rPr>
              <w:t>و</w:t>
            </w:r>
            <w:r w:rsidRPr="003E7CD0">
              <w:rPr>
                <w:szCs w:val="20"/>
                <w:rtl/>
              </w:rPr>
              <w:t>24</w:t>
            </w:r>
            <w:r w:rsidRPr="003E7CD0">
              <w:rPr>
                <w:rtl/>
              </w:rPr>
              <w:t xml:space="preserve"> و</w:t>
            </w:r>
            <w:r w:rsidRPr="003E7CD0">
              <w:rPr>
                <w:szCs w:val="20"/>
                <w:rtl/>
              </w:rPr>
              <w:t>32</w:t>
            </w:r>
          </w:p>
        </w:tc>
      </w:tr>
      <w:tr w:rsidR="005C1B6A" w:rsidRPr="003E7CD0" w14:paraId="435E2984" w14:textId="77777777" w:rsidTr="005C1B6A">
        <w:tc>
          <w:tcPr>
            <w:tcW w:w="2693" w:type="dxa"/>
          </w:tcPr>
          <w:p w14:paraId="2AC53ADD" w14:textId="0A286E59" w:rsidR="005C1B6A" w:rsidRPr="003E7CD0" w:rsidRDefault="005C1B6A" w:rsidP="001E0790">
            <w:pPr>
              <w:pStyle w:val="SingleTxtGA"/>
              <w:ind w:left="0" w:right="113"/>
              <w:jc w:val="left"/>
              <w:rPr>
                <w:rtl/>
              </w:rPr>
            </w:pPr>
            <w:r w:rsidRPr="003E7CD0">
              <w:rPr>
                <w:i/>
                <w:iCs/>
                <w:rtl/>
              </w:rPr>
              <w:t>الرد الوارد في إطار المتابعة:</w:t>
            </w:r>
          </w:p>
        </w:tc>
        <w:tc>
          <w:tcPr>
            <w:tcW w:w="4771" w:type="dxa"/>
          </w:tcPr>
          <w:p w14:paraId="6B700434" w14:textId="2145DFBE" w:rsidR="005C1B6A" w:rsidRPr="003E7CD0" w:rsidRDefault="005C1B6A" w:rsidP="005C1B6A">
            <w:pPr>
              <w:pStyle w:val="SingleTxtGA"/>
              <w:ind w:left="0" w:right="113"/>
              <w:rPr>
                <w:rtl/>
              </w:rPr>
            </w:pPr>
            <w:r w:rsidRPr="003E7CD0">
              <w:t>CCPR/C/POL/CO/</w:t>
            </w:r>
            <w:r w:rsidRPr="003E7CD0">
              <w:rPr>
                <w:szCs w:val="20"/>
              </w:rPr>
              <w:t>7</w:t>
            </w:r>
            <w:r w:rsidRPr="003E7CD0">
              <w:t>/Add.</w:t>
            </w:r>
            <w:r w:rsidRPr="003E7CD0">
              <w:rPr>
                <w:szCs w:val="20"/>
              </w:rPr>
              <w:t>1</w:t>
            </w:r>
            <w:r w:rsidRPr="003E7CD0">
              <w:rPr>
                <w:rtl/>
              </w:rPr>
              <w:t xml:space="preserve">، </w:t>
            </w:r>
            <w:r w:rsidRPr="003E7CD0">
              <w:rPr>
                <w:szCs w:val="20"/>
                <w:rtl/>
              </w:rPr>
              <w:t>10</w:t>
            </w:r>
            <w:r w:rsidRPr="003E7CD0">
              <w:rPr>
                <w:rtl/>
              </w:rPr>
              <w:t xml:space="preserve"> تشرين الثاني/نوفمبر </w:t>
            </w:r>
            <w:r w:rsidRPr="003E7CD0">
              <w:rPr>
                <w:szCs w:val="20"/>
                <w:rtl/>
              </w:rPr>
              <w:t>2017</w:t>
            </w:r>
          </w:p>
        </w:tc>
      </w:tr>
      <w:tr w:rsidR="005C1B6A" w:rsidRPr="003E7CD0" w14:paraId="21836691" w14:textId="77777777" w:rsidTr="005C1B6A">
        <w:tc>
          <w:tcPr>
            <w:tcW w:w="2693" w:type="dxa"/>
          </w:tcPr>
          <w:p w14:paraId="0E6B72B7" w14:textId="090818E7" w:rsidR="005C1B6A" w:rsidRPr="003E7CD0" w:rsidRDefault="005C1B6A" w:rsidP="001E0790">
            <w:pPr>
              <w:pStyle w:val="SingleTxtGA"/>
              <w:ind w:left="0" w:right="113"/>
              <w:jc w:val="left"/>
              <w:rPr>
                <w:rtl/>
              </w:rPr>
            </w:pPr>
            <w:r w:rsidRPr="003E7CD0">
              <w:rPr>
                <w:i/>
                <w:iCs/>
                <w:rtl/>
              </w:rPr>
              <w:t>تقييم اللجنة:</w:t>
            </w:r>
          </w:p>
        </w:tc>
        <w:tc>
          <w:tcPr>
            <w:tcW w:w="4771" w:type="dxa"/>
          </w:tcPr>
          <w:p w14:paraId="4B1C8E14" w14:textId="1FFF9A2C" w:rsidR="005C1B6A" w:rsidRPr="003E7CD0" w:rsidRDefault="005C1B6A" w:rsidP="005C1B6A">
            <w:pPr>
              <w:pStyle w:val="SingleTxtGA"/>
              <w:ind w:left="0" w:right="113"/>
              <w:rPr>
                <w:rtl/>
              </w:rPr>
            </w:pPr>
            <w:r w:rsidRPr="003E7CD0">
              <w:rPr>
                <w:rtl/>
              </w:rPr>
              <w:t xml:space="preserve">يلزم تقديم معلومات إضافية عن الفقرات </w:t>
            </w:r>
            <w:r w:rsidRPr="003E7CD0">
              <w:rPr>
                <w:szCs w:val="20"/>
                <w:rtl/>
              </w:rPr>
              <w:t>8</w:t>
            </w:r>
            <w:r w:rsidRPr="003E7CD0">
              <w:rPr>
                <w:b/>
                <w:bCs/>
                <w:rtl/>
              </w:rPr>
              <w:t>[جيم]</w:t>
            </w:r>
            <w:r w:rsidR="004A6B4A" w:rsidRPr="003E7CD0">
              <w:rPr>
                <w:rFonts w:hint="cs"/>
                <w:b/>
                <w:bCs/>
                <w:rtl/>
              </w:rPr>
              <w:t>،</w:t>
            </w:r>
            <w:r w:rsidRPr="003E7CD0">
              <w:rPr>
                <w:b/>
                <w:bCs/>
                <w:rtl/>
              </w:rPr>
              <w:t xml:space="preserve"> </w:t>
            </w:r>
            <w:r w:rsidRPr="003E7CD0">
              <w:rPr>
                <w:szCs w:val="20"/>
                <w:rtl/>
              </w:rPr>
              <w:t>24</w:t>
            </w:r>
            <w:r w:rsidRPr="003E7CD0">
              <w:rPr>
                <w:b/>
                <w:bCs/>
                <w:rtl/>
              </w:rPr>
              <w:t>[جيم]</w:t>
            </w:r>
            <w:r w:rsidRPr="003E7CD0">
              <w:rPr>
                <w:rtl/>
              </w:rPr>
              <w:t xml:space="preserve"> و</w:t>
            </w:r>
            <w:r w:rsidRPr="003E7CD0">
              <w:rPr>
                <w:szCs w:val="20"/>
                <w:rtl/>
              </w:rPr>
              <w:t>32</w:t>
            </w:r>
            <w:r w:rsidRPr="003E7CD0">
              <w:rPr>
                <w:b/>
                <w:bCs/>
                <w:rtl/>
              </w:rPr>
              <w:t>[جيم]</w:t>
            </w:r>
          </w:p>
        </w:tc>
      </w:tr>
      <w:tr w:rsidR="005C1B6A" w:rsidRPr="003E7CD0" w14:paraId="0BD0C804" w14:textId="77777777" w:rsidTr="005C1B6A">
        <w:tc>
          <w:tcPr>
            <w:tcW w:w="2693" w:type="dxa"/>
          </w:tcPr>
          <w:p w14:paraId="49027F39" w14:textId="54ACDFED" w:rsidR="005C1B6A" w:rsidRPr="003E7CD0" w:rsidRDefault="005C1B6A" w:rsidP="004A6B4A">
            <w:pPr>
              <w:pStyle w:val="SingleTxtGA"/>
              <w:ind w:left="0" w:right="227"/>
              <w:jc w:val="left"/>
              <w:rPr>
                <w:rtl/>
              </w:rPr>
            </w:pPr>
            <w:r w:rsidRPr="003E7CD0">
              <w:rPr>
                <w:i/>
                <w:iCs/>
                <w:rtl/>
              </w:rPr>
              <w:t>المعلومات الواردة من المنظمات غير الحكومية:</w:t>
            </w:r>
          </w:p>
        </w:tc>
        <w:tc>
          <w:tcPr>
            <w:tcW w:w="4771" w:type="dxa"/>
          </w:tcPr>
          <w:p w14:paraId="7FD79089" w14:textId="43D07F42" w:rsidR="005C1B6A" w:rsidRPr="003E7CD0" w:rsidRDefault="005C1B6A" w:rsidP="005C1B6A">
            <w:pPr>
              <w:pStyle w:val="SingleTxtGA"/>
              <w:ind w:left="0" w:right="113"/>
              <w:rPr>
                <w:rtl/>
              </w:rPr>
            </w:pPr>
            <w:r w:rsidRPr="003E7CD0">
              <w:rPr>
                <w:rStyle w:val="Hyperlink"/>
                <w:rFonts w:eastAsia="SimSun"/>
                <w:iCs/>
                <w:color w:val="auto"/>
              </w:rPr>
              <w:t>Fundacja Instytut na rzecz Kultury Prawnej Ordo Iuris</w:t>
            </w:r>
            <w:r w:rsidRPr="003E7CD0">
              <w:rPr>
                <w:rtl/>
              </w:rPr>
              <w:t xml:space="preserve"> (معهد أوردو يوريس للثقافة القانونية)</w:t>
            </w:r>
            <w:r w:rsidRPr="003E7CD0">
              <w:rPr>
                <w:vertAlign w:val="superscript"/>
                <w:rtl/>
              </w:rPr>
              <w:t>(</w:t>
            </w:r>
            <w:r w:rsidRPr="003E7CD0">
              <w:rPr>
                <w:rStyle w:val="FootnoteReference"/>
                <w:rFonts w:cs="Times New Roman"/>
                <w:b w:val="0"/>
                <w:position w:val="4"/>
                <w:sz w:val="20"/>
              </w:rPr>
              <w:footnoteReference w:id="2"/>
            </w:r>
            <w:r w:rsidRPr="003E7CD0">
              <w:rPr>
                <w:vertAlign w:val="superscript"/>
                <w:rtl/>
              </w:rPr>
              <w:t>)</w:t>
            </w:r>
          </w:p>
        </w:tc>
      </w:tr>
    </w:tbl>
    <w:p w14:paraId="15CA2D76" w14:textId="0D81518B" w:rsidR="005C1B6A" w:rsidRPr="003E7CD0" w:rsidRDefault="004A6B4A" w:rsidP="004A6B4A">
      <w:pPr>
        <w:pStyle w:val="H23GA"/>
        <w:rPr>
          <w:rtl/>
        </w:rPr>
      </w:pPr>
      <w:r w:rsidRPr="003E7CD0">
        <w:rPr>
          <w:rtl/>
        </w:rPr>
        <w:tab/>
      </w:r>
      <w:r w:rsidRPr="003E7CD0">
        <w:rPr>
          <w:rtl/>
        </w:rPr>
        <w:tab/>
      </w:r>
      <w:r w:rsidR="005C1B6A" w:rsidRPr="003E7CD0">
        <w:rPr>
          <w:rtl/>
        </w:rPr>
        <w:t xml:space="preserve">الفقرة </w:t>
      </w:r>
      <w:r w:rsidR="005C1B6A" w:rsidRPr="003E7CD0">
        <w:rPr>
          <w:szCs w:val="20"/>
          <w:rtl/>
        </w:rPr>
        <w:t>8</w:t>
      </w:r>
      <w:r w:rsidR="005C1B6A" w:rsidRPr="003E7CD0">
        <w:rPr>
          <w:rtl/>
        </w:rPr>
        <w:t>: الإطار الدستوري والقانوني الذي يطبق فيه العهد</w:t>
      </w:r>
    </w:p>
    <w:p w14:paraId="083ED6B2" w14:textId="2FE41BA3" w:rsidR="005C1B6A" w:rsidRPr="003E7CD0" w:rsidRDefault="005C1B6A" w:rsidP="005C1B6A">
      <w:pPr>
        <w:pStyle w:val="SingleTxtGA"/>
        <w:rPr>
          <w:b/>
          <w:bCs/>
        </w:rPr>
      </w:pPr>
      <w:r w:rsidRPr="003E7CD0">
        <w:rPr>
          <w:b/>
          <w:bCs/>
          <w:rtl/>
        </w:rPr>
        <w:tab/>
        <w:t xml:space="preserve">ينبغي للدولة الطرف أن تكفل احترام وحماية نزاهة واستقلالية المحكمة الدستورية وقضاتها وأن تضمن تنفيذ جميع الأحكام الصادرة عن هذه الهيئة. </w:t>
      </w:r>
      <w:r w:rsidRPr="003E7CD0">
        <w:rPr>
          <w:rFonts w:ascii="Traditional Arabic" w:hAnsi="Traditional Arabic" w:hint="cs"/>
          <w:b/>
          <w:bCs/>
          <w:rtl/>
        </w:rPr>
        <w:t>وتحث</w:t>
      </w:r>
      <w:r w:rsidRPr="003E7CD0">
        <w:rPr>
          <w:b/>
          <w:bCs/>
          <w:rtl/>
        </w:rPr>
        <w:t xml:space="preserve"> </w:t>
      </w:r>
      <w:r w:rsidRPr="003E7CD0">
        <w:rPr>
          <w:rFonts w:ascii="Traditional Arabic" w:hAnsi="Traditional Arabic" w:hint="cs"/>
          <w:b/>
          <w:bCs/>
          <w:rtl/>
        </w:rPr>
        <w:t>اللجنة</w:t>
      </w:r>
      <w:r w:rsidRPr="003E7CD0">
        <w:rPr>
          <w:b/>
          <w:bCs/>
          <w:rtl/>
        </w:rPr>
        <w:t xml:space="preserve"> </w:t>
      </w:r>
      <w:r w:rsidRPr="003E7CD0">
        <w:rPr>
          <w:rFonts w:ascii="Traditional Arabic" w:hAnsi="Traditional Arabic" w:hint="cs"/>
          <w:b/>
          <w:bCs/>
          <w:rtl/>
        </w:rPr>
        <w:t>الدولة</w:t>
      </w:r>
      <w:r w:rsidRPr="003E7CD0">
        <w:rPr>
          <w:b/>
          <w:bCs/>
          <w:rtl/>
        </w:rPr>
        <w:t xml:space="preserve"> </w:t>
      </w:r>
      <w:r w:rsidRPr="003E7CD0">
        <w:rPr>
          <w:rFonts w:ascii="Traditional Arabic" w:hAnsi="Traditional Arabic" w:hint="cs"/>
          <w:b/>
          <w:bCs/>
          <w:rtl/>
        </w:rPr>
        <w:t>الطرف</w:t>
      </w:r>
      <w:r w:rsidRPr="003E7CD0">
        <w:rPr>
          <w:b/>
          <w:bCs/>
          <w:rtl/>
        </w:rPr>
        <w:t xml:space="preserve"> </w:t>
      </w:r>
      <w:r w:rsidRPr="003E7CD0">
        <w:rPr>
          <w:rFonts w:ascii="Traditional Arabic" w:hAnsi="Traditional Arabic" w:hint="cs"/>
          <w:b/>
          <w:bCs/>
          <w:rtl/>
        </w:rPr>
        <w:t>على</w:t>
      </w:r>
      <w:r w:rsidRPr="003E7CD0">
        <w:rPr>
          <w:b/>
          <w:bCs/>
          <w:rtl/>
        </w:rPr>
        <w:t xml:space="preserve"> </w:t>
      </w:r>
      <w:r w:rsidRPr="003E7CD0">
        <w:rPr>
          <w:rFonts w:ascii="Traditional Arabic" w:hAnsi="Traditional Arabic" w:hint="cs"/>
          <w:b/>
          <w:bCs/>
          <w:rtl/>
        </w:rPr>
        <w:t>أن</w:t>
      </w:r>
      <w:r w:rsidRPr="003E7CD0">
        <w:rPr>
          <w:b/>
          <w:bCs/>
          <w:rtl/>
        </w:rPr>
        <w:t xml:space="preserve"> </w:t>
      </w:r>
      <w:r w:rsidRPr="003E7CD0">
        <w:rPr>
          <w:rFonts w:ascii="Traditional Arabic" w:hAnsi="Traditional Arabic" w:hint="cs"/>
          <w:b/>
          <w:bCs/>
          <w:rtl/>
        </w:rPr>
        <w:t>تنشر</w:t>
      </w:r>
      <w:r w:rsidRPr="003E7CD0">
        <w:rPr>
          <w:b/>
          <w:bCs/>
          <w:rtl/>
        </w:rPr>
        <w:t xml:space="preserve"> </w:t>
      </w:r>
      <w:r w:rsidRPr="003E7CD0">
        <w:rPr>
          <w:rFonts w:ascii="Traditional Arabic" w:hAnsi="Traditional Arabic" w:hint="cs"/>
          <w:b/>
          <w:bCs/>
          <w:rtl/>
        </w:rPr>
        <w:t>عبر</w:t>
      </w:r>
      <w:r w:rsidRPr="003E7CD0">
        <w:rPr>
          <w:b/>
          <w:bCs/>
          <w:rtl/>
        </w:rPr>
        <w:t xml:space="preserve"> </w:t>
      </w:r>
      <w:r w:rsidRPr="003E7CD0">
        <w:rPr>
          <w:rFonts w:ascii="Traditional Arabic" w:hAnsi="Traditional Arabic" w:hint="cs"/>
          <w:b/>
          <w:bCs/>
          <w:rtl/>
        </w:rPr>
        <w:t>القنوات</w:t>
      </w:r>
      <w:r w:rsidRPr="003E7CD0">
        <w:rPr>
          <w:b/>
          <w:bCs/>
          <w:rtl/>
        </w:rPr>
        <w:t xml:space="preserve"> </w:t>
      </w:r>
      <w:r w:rsidRPr="003E7CD0">
        <w:rPr>
          <w:rFonts w:ascii="Traditional Arabic" w:hAnsi="Traditional Arabic" w:hint="cs"/>
          <w:b/>
          <w:bCs/>
          <w:rtl/>
        </w:rPr>
        <w:t>الرسمية</w:t>
      </w:r>
      <w:r w:rsidRPr="003E7CD0">
        <w:rPr>
          <w:b/>
          <w:bCs/>
          <w:rtl/>
        </w:rPr>
        <w:t xml:space="preserve"> </w:t>
      </w:r>
      <w:r w:rsidRPr="003E7CD0">
        <w:rPr>
          <w:rFonts w:ascii="Traditional Arabic" w:hAnsi="Traditional Arabic" w:hint="cs"/>
          <w:b/>
          <w:bCs/>
          <w:rtl/>
        </w:rPr>
        <w:t>جميع</w:t>
      </w:r>
      <w:r w:rsidRPr="003E7CD0">
        <w:rPr>
          <w:b/>
          <w:bCs/>
          <w:rtl/>
        </w:rPr>
        <w:t xml:space="preserve"> </w:t>
      </w:r>
      <w:r w:rsidRPr="003E7CD0">
        <w:rPr>
          <w:rFonts w:ascii="Traditional Arabic" w:hAnsi="Traditional Arabic" w:hint="cs"/>
          <w:b/>
          <w:bCs/>
          <w:rtl/>
        </w:rPr>
        <w:t>الأحكام</w:t>
      </w:r>
      <w:r w:rsidRPr="003E7CD0">
        <w:rPr>
          <w:b/>
          <w:bCs/>
          <w:rtl/>
        </w:rPr>
        <w:t xml:space="preserve"> </w:t>
      </w:r>
      <w:r w:rsidRPr="003E7CD0">
        <w:rPr>
          <w:rFonts w:ascii="Traditional Arabic" w:hAnsi="Traditional Arabic" w:hint="cs"/>
          <w:b/>
          <w:bCs/>
          <w:rtl/>
        </w:rPr>
        <w:t>الصادرة</w:t>
      </w:r>
      <w:r w:rsidRPr="003E7CD0">
        <w:rPr>
          <w:b/>
          <w:bCs/>
          <w:rtl/>
        </w:rPr>
        <w:t xml:space="preserve"> </w:t>
      </w:r>
      <w:r w:rsidRPr="003E7CD0">
        <w:rPr>
          <w:rFonts w:ascii="Traditional Arabic" w:hAnsi="Traditional Arabic" w:hint="cs"/>
          <w:b/>
          <w:bCs/>
          <w:rtl/>
        </w:rPr>
        <w:t>عن</w:t>
      </w:r>
      <w:r w:rsidRPr="003E7CD0">
        <w:rPr>
          <w:b/>
          <w:bCs/>
          <w:rtl/>
        </w:rPr>
        <w:t xml:space="preserve"> </w:t>
      </w:r>
      <w:r w:rsidRPr="003E7CD0">
        <w:rPr>
          <w:rFonts w:ascii="Traditional Arabic" w:hAnsi="Traditional Arabic" w:hint="cs"/>
          <w:b/>
          <w:bCs/>
          <w:rtl/>
        </w:rPr>
        <w:t>هذه</w:t>
      </w:r>
      <w:r w:rsidRPr="003E7CD0">
        <w:rPr>
          <w:b/>
          <w:bCs/>
          <w:rtl/>
        </w:rPr>
        <w:t xml:space="preserve"> </w:t>
      </w:r>
      <w:r w:rsidRPr="003E7CD0">
        <w:rPr>
          <w:rFonts w:ascii="Traditional Arabic" w:hAnsi="Traditional Arabic" w:hint="cs"/>
          <w:b/>
          <w:bCs/>
          <w:rtl/>
        </w:rPr>
        <w:t>المحكمة</w:t>
      </w:r>
      <w:r w:rsidRPr="003E7CD0">
        <w:rPr>
          <w:b/>
          <w:bCs/>
          <w:rtl/>
        </w:rPr>
        <w:t xml:space="preserve"> </w:t>
      </w:r>
      <w:r w:rsidRPr="003E7CD0">
        <w:rPr>
          <w:rFonts w:ascii="Traditional Arabic" w:hAnsi="Traditional Arabic" w:hint="cs"/>
          <w:b/>
          <w:bCs/>
          <w:rtl/>
        </w:rPr>
        <w:t>فور</w:t>
      </w:r>
      <w:r w:rsidRPr="003E7CD0">
        <w:rPr>
          <w:b/>
          <w:bCs/>
          <w:rtl/>
        </w:rPr>
        <w:t xml:space="preserve"> </w:t>
      </w:r>
      <w:r w:rsidRPr="003E7CD0">
        <w:rPr>
          <w:rFonts w:ascii="Traditional Arabic" w:hAnsi="Traditional Arabic" w:hint="cs"/>
          <w:b/>
          <w:bCs/>
          <w:rtl/>
        </w:rPr>
        <w:t>صدورها،</w:t>
      </w:r>
      <w:r w:rsidRPr="003E7CD0">
        <w:rPr>
          <w:b/>
          <w:bCs/>
          <w:rtl/>
        </w:rPr>
        <w:t xml:space="preserve"> </w:t>
      </w:r>
      <w:r w:rsidRPr="003E7CD0">
        <w:rPr>
          <w:rFonts w:ascii="Traditional Arabic" w:hAnsi="Traditional Arabic" w:hint="cs"/>
          <w:b/>
          <w:bCs/>
          <w:rtl/>
        </w:rPr>
        <w:t>وأن</w:t>
      </w:r>
      <w:r w:rsidRPr="003E7CD0">
        <w:rPr>
          <w:b/>
          <w:bCs/>
          <w:rtl/>
        </w:rPr>
        <w:t xml:space="preserve"> </w:t>
      </w:r>
      <w:r w:rsidRPr="003E7CD0">
        <w:rPr>
          <w:rFonts w:ascii="Traditional Arabic" w:hAnsi="Traditional Arabic" w:hint="cs"/>
          <w:b/>
          <w:bCs/>
          <w:rtl/>
        </w:rPr>
        <w:t>تحجم</w:t>
      </w:r>
      <w:r w:rsidRPr="003E7CD0">
        <w:rPr>
          <w:b/>
          <w:bCs/>
          <w:rtl/>
        </w:rPr>
        <w:t xml:space="preserve"> </w:t>
      </w:r>
      <w:r w:rsidRPr="003E7CD0">
        <w:rPr>
          <w:rFonts w:ascii="Traditional Arabic" w:hAnsi="Traditional Arabic" w:hint="cs"/>
          <w:b/>
          <w:bCs/>
          <w:rtl/>
        </w:rPr>
        <w:t>عن</w:t>
      </w:r>
      <w:r w:rsidRPr="003E7CD0">
        <w:rPr>
          <w:b/>
          <w:bCs/>
          <w:rtl/>
        </w:rPr>
        <w:t xml:space="preserve"> </w:t>
      </w:r>
      <w:r w:rsidRPr="003E7CD0">
        <w:rPr>
          <w:rFonts w:ascii="Traditional Arabic" w:hAnsi="Traditional Arabic" w:hint="cs"/>
          <w:b/>
          <w:bCs/>
          <w:rtl/>
        </w:rPr>
        <w:t>اتخاذ</w:t>
      </w:r>
      <w:r w:rsidRPr="003E7CD0">
        <w:rPr>
          <w:b/>
          <w:bCs/>
          <w:rtl/>
        </w:rPr>
        <w:t xml:space="preserve"> </w:t>
      </w:r>
      <w:r w:rsidRPr="003E7CD0">
        <w:rPr>
          <w:rFonts w:ascii="Traditional Arabic" w:hAnsi="Traditional Arabic" w:hint="cs"/>
          <w:b/>
          <w:bCs/>
          <w:rtl/>
        </w:rPr>
        <w:t>أي</w:t>
      </w:r>
      <w:r w:rsidRPr="003E7CD0">
        <w:rPr>
          <w:b/>
          <w:bCs/>
          <w:rtl/>
        </w:rPr>
        <w:t xml:space="preserve"> </w:t>
      </w:r>
      <w:r w:rsidRPr="003E7CD0">
        <w:rPr>
          <w:rFonts w:ascii="Traditional Arabic" w:hAnsi="Traditional Arabic" w:hint="cs"/>
          <w:b/>
          <w:bCs/>
          <w:rtl/>
        </w:rPr>
        <w:t>تدابير</w:t>
      </w:r>
      <w:r w:rsidRPr="003E7CD0">
        <w:rPr>
          <w:b/>
          <w:bCs/>
          <w:rtl/>
        </w:rPr>
        <w:t xml:space="preserve"> </w:t>
      </w:r>
      <w:r w:rsidRPr="003E7CD0">
        <w:rPr>
          <w:rFonts w:ascii="Traditional Arabic" w:hAnsi="Traditional Arabic" w:hint="cs"/>
          <w:b/>
          <w:bCs/>
          <w:rtl/>
        </w:rPr>
        <w:t>من</w:t>
      </w:r>
      <w:r w:rsidRPr="003E7CD0">
        <w:rPr>
          <w:b/>
          <w:bCs/>
          <w:rtl/>
        </w:rPr>
        <w:t xml:space="preserve"> </w:t>
      </w:r>
      <w:r w:rsidRPr="003E7CD0">
        <w:rPr>
          <w:rFonts w:ascii="Traditional Arabic" w:hAnsi="Traditional Arabic" w:hint="cs"/>
          <w:b/>
          <w:bCs/>
          <w:rtl/>
        </w:rPr>
        <w:t>شأنها</w:t>
      </w:r>
      <w:r w:rsidRPr="003E7CD0">
        <w:rPr>
          <w:b/>
          <w:bCs/>
          <w:rtl/>
        </w:rPr>
        <w:t xml:space="preserve"> </w:t>
      </w:r>
      <w:r w:rsidRPr="003E7CD0">
        <w:rPr>
          <w:rFonts w:ascii="Traditional Arabic" w:hAnsi="Traditional Arabic" w:hint="cs"/>
          <w:b/>
          <w:bCs/>
          <w:rtl/>
        </w:rPr>
        <w:t>أن</w:t>
      </w:r>
      <w:r w:rsidRPr="003E7CD0">
        <w:rPr>
          <w:b/>
          <w:bCs/>
          <w:rtl/>
        </w:rPr>
        <w:t xml:space="preserve"> </w:t>
      </w:r>
      <w:r w:rsidRPr="003E7CD0">
        <w:rPr>
          <w:rFonts w:ascii="Traditional Arabic" w:hAnsi="Traditional Arabic" w:hint="cs"/>
          <w:b/>
          <w:bCs/>
          <w:rtl/>
        </w:rPr>
        <w:t>تعرقل</w:t>
      </w:r>
      <w:r w:rsidRPr="003E7CD0">
        <w:rPr>
          <w:b/>
          <w:bCs/>
          <w:rtl/>
        </w:rPr>
        <w:t xml:space="preserve"> </w:t>
      </w:r>
      <w:r w:rsidRPr="003E7CD0">
        <w:rPr>
          <w:rFonts w:ascii="Traditional Arabic" w:hAnsi="Traditional Arabic" w:hint="cs"/>
          <w:b/>
          <w:bCs/>
          <w:rtl/>
        </w:rPr>
        <w:t>الأداء</w:t>
      </w:r>
      <w:r w:rsidRPr="003E7CD0">
        <w:rPr>
          <w:b/>
          <w:bCs/>
          <w:rtl/>
        </w:rPr>
        <w:t xml:space="preserve"> </w:t>
      </w:r>
      <w:r w:rsidRPr="003E7CD0">
        <w:rPr>
          <w:rFonts w:ascii="Traditional Arabic" w:hAnsi="Traditional Arabic" w:hint="cs"/>
          <w:b/>
          <w:bCs/>
          <w:rtl/>
        </w:rPr>
        <w:t>الفعال</w:t>
      </w:r>
      <w:r w:rsidRPr="003E7CD0">
        <w:rPr>
          <w:b/>
          <w:bCs/>
          <w:rtl/>
        </w:rPr>
        <w:t xml:space="preserve"> </w:t>
      </w:r>
      <w:r w:rsidRPr="003E7CD0">
        <w:rPr>
          <w:rFonts w:ascii="Traditional Arabic" w:hAnsi="Traditional Arabic" w:hint="cs"/>
          <w:b/>
          <w:bCs/>
          <w:rtl/>
        </w:rPr>
        <w:t>للمحكمة،</w:t>
      </w:r>
      <w:r w:rsidRPr="003E7CD0">
        <w:rPr>
          <w:b/>
          <w:bCs/>
          <w:rtl/>
        </w:rPr>
        <w:t xml:space="preserve"> </w:t>
      </w:r>
      <w:r w:rsidRPr="003E7CD0">
        <w:rPr>
          <w:rFonts w:ascii="Traditional Arabic" w:hAnsi="Traditional Arabic" w:hint="cs"/>
          <w:b/>
          <w:bCs/>
          <w:rtl/>
        </w:rPr>
        <w:t>وتحرص</w:t>
      </w:r>
      <w:r w:rsidRPr="003E7CD0">
        <w:rPr>
          <w:b/>
          <w:bCs/>
          <w:rtl/>
        </w:rPr>
        <w:t xml:space="preserve"> </w:t>
      </w:r>
      <w:r w:rsidRPr="003E7CD0">
        <w:rPr>
          <w:rFonts w:ascii="Traditional Arabic" w:hAnsi="Traditional Arabic" w:hint="cs"/>
          <w:b/>
          <w:bCs/>
          <w:rtl/>
        </w:rPr>
        <w:t>على</w:t>
      </w:r>
      <w:r w:rsidRPr="003E7CD0">
        <w:rPr>
          <w:b/>
          <w:bCs/>
          <w:rtl/>
        </w:rPr>
        <w:t xml:space="preserve"> </w:t>
      </w:r>
      <w:r w:rsidRPr="003E7CD0">
        <w:rPr>
          <w:rFonts w:ascii="Traditional Arabic" w:hAnsi="Traditional Arabic" w:hint="cs"/>
          <w:b/>
          <w:bCs/>
          <w:rtl/>
        </w:rPr>
        <w:t>شفافية</w:t>
      </w:r>
      <w:r w:rsidRPr="003E7CD0">
        <w:rPr>
          <w:b/>
          <w:bCs/>
          <w:rtl/>
        </w:rPr>
        <w:t xml:space="preserve"> </w:t>
      </w:r>
      <w:r w:rsidRPr="003E7CD0">
        <w:rPr>
          <w:rFonts w:ascii="Traditional Arabic" w:hAnsi="Traditional Arabic" w:hint="cs"/>
          <w:b/>
          <w:bCs/>
          <w:rtl/>
        </w:rPr>
        <w:t>ونزاهة</w:t>
      </w:r>
      <w:r w:rsidRPr="003E7CD0">
        <w:rPr>
          <w:b/>
          <w:bCs/>
          <w:rtl/>
        </w:rPr>
        <w:t xml:space="preserve"> </w:t>
      </w:r>
      <w:r w:rsidRPr="003E7CD0">
        <w:rPr>
          <w:rFonts w:ascii="Traditional Arabic" w:hAnsi="Traditional Arabic" w:hint="cs"/>
          <w:b/>
          <w:bCs/>
          <w:rtl/>
        </w:rPr>
        <w:t>عملية</w:t>
      </w:r>
      <w:r w:rsidRPr="003E7CD0">
        <w:rPr>
          <w:b/>
          <w:bCs/>
          <w:rtl/>
        </w:rPr>
        <w:t xml:space="preserve"> </w:t>
      </w:r>
      <w:r w:rsidRPr="003E7CD0">
        <w:rPr>
          <w:rFonts w:ascii="Traditional Arabic" w:hAnsi="Traditional Arabic" w:hint="cs"/>
          <w:b/>
          <w:bCs/>
          <w:spacing w:val="-4"/>
          <w:rtl/>
        </w:rPr>
        <w:t>تعيين</w:t>
      </w:r>
      <w:r w:rsidRPr="003E7CD0">
        <w:rPr>
          <w:b/>
          <w:bCs/>
          <w:spacing w:val="-4"/>
          <w:rtl/>
        </w:rPr>
        <w:t xml:space="preserve"> </w:t>
      </w:r>
      <w:r w:rsidRPr="003E7CD0">
        <w:rPr>
          <w:rFonts w:ascii="Traditional Arabic" w:hAnsi="Traditional Arabic" w:hint="cs"/>
          <w:b/>
          <w:bCs/>
          <w:spacing w:val="-4"/>
          <w:rtl/>
        </w:rPr>
        <w:t>أعضاء</w:t>
      </w:r>
      <w:r w:rsidRPr="003E7CD0">
        <w:rPr>
          <w:b/>
          <w:bCs/>
          <w:spacing w:val="-4"/>
          <w:rtl/>
        </w:rPr>
        <w:t xml:space="preserve"> </w:t>
      </w:r>
      <w:r w:rsidRPr="003E7CD0">
        <w:rPr>
          <w:rFonts w:ascii="Traditional Arabic" w:hAnsi="Traditional Arabic" w:hint="cs"/>
          <w:b/>
          <w:bCs/>
          <w:spacing w:val="-4"/>
          <w:rtl/>
        </w:rPr>
        <w:t>المحكمة</w:t>
      </w:r>
      <w:r w:rsidRPr="003E7CD0">
        <w:rPr>
          <w:b/>
          <w:bCs/>
          <w:spacing w:val="-4"/>
          <w:rtl/>
        </w:rPr>
        <w:t xml:space="preserve"> </w:t>
      </w:r>
      <w:r w:rsidRPr="003E7CD0">
        <w:rPr>
          <w:rFonts w:ascii="Traditional Arabic" w:hAnsi="Traditional Arabic" w:hint="cs"/>
          <w:b/>
          <w:bCs/>
          <w:spacing w:val="-4"/>
          <w:rtl/>
        </w:rPr>
        <w:t>وتكفل</w:t>
      </w:r>
      <w:r w:rsidRPr="003E7CD0">
        <w:rPr>
          <w:b/>
          <w:bCs/>
          <w:spacing w:val="-4"/>
          <w:rtl/>
        </w:rPr>
        <w:t xml:space="preserve"> </w:t>
      </w:r>
      <w:r w:rsidRPr="003E7CD0">
        <w:rPr>
          <w:rFonts w:ascii="Traditional Arabic" w:hAnsi="Traditional Arabic" w:hint="cs"/>
          <w:b/>
          <w:bCs/>
          <w:spacing w:val="-4"/>
          <w:rtl/>
        </w:rPr>
        <w:t>أمنهم</w:t>
      </w:r>
      <w:r w:rsidRPr="003E7CD0">
        <w:rPr>
          <w:b/>
          <w:bCs/>
          <w:spacing w:val="-4"/>
          <w:rtl/>
        </w:rPr>
        <w:t xml:space="preserve"> </w:t>
      </w:r>
      <w:r w:rsidRPr="003E7CD0">
        <w:rPr>
          <w:rFonts w:ascii="Traditional Arabic" w:hAnsi="Traditional Arabic" w:hint="cs"/>
          <w:b/>
          <w:bCs/>
          <w:spacing w:val="-4"/>
          <w:rtl/>
        </w:rPr>
        <w:t>الوظيفي</w:t>
      </w:r>
      <w:r w:rsidRPr="003E7CD0">
        <w:rPr>
          <w:b/>
          <w:bCs/>
          <w:spacing w:val="-4"/>
          <w:rtl/>
        </w:rPr>
        <w:t xml:space="preserve"> </w:t>
      </w:r>
      <w:r w:rsidRPr="003E7CD0">
        <w:rPr>
          <w:rFonts w:ascii="Traditional Arabic" w:hAnsi="Traditional Arabic" w:hint="cs"/>
          <w:b/>
          <w:bCs/>
          <w:spacing w:val="-4"/>
          <w:rtl/>
        </w:rPr>
        <w:t>بما</w:t>
      </w:r>
      <w:r w:rsidRPr="003E7CD0">
        <w:rPr>
          <w:b/>
          <w:bCs/>
          <w:spacing w:val="-4"/>
          <w:rtl/>
        </w:rPr>
        <w:t xml:space="preserve"> </w:t>
      </w:r>
      <w:r w:rsidRPr="003E7CD0">
        <w:rPr>
          <w:rFonts w:ascii="Traditional Arabic" w:hAnsi="Traditional Arabic" w:hint="cs"/>
          <w:b/>
          <w:bCs/>
          <w:spacing w:val="-4"/>
          <w:rtl/>
        </w:rPr>
        <w:t>يتوا</w:t>
      </w:r>
      <w:r w:rsidRPr="003E7CD0">
        <w:rPr>
          <w:b/>
          <w:bCs/>
          <w:spacing w:val="-4"/>
          <w:rtl/>
        </w:rPr>
        <w:t>فق مع جميع مقتضيات الشرعية بموجب القانون</w:t>
      </w:r>
      <w:r w:rsidRPr="003E7CD0">
        <w:rPr>
          <w:b/>
          <w:bCs/>
          <w:rtl/>
        </w:rPr>
        <w:t xml:space="preserve"> الوطني والقانون الدولي.</w:t>
      </w:r>
    </w:p>
    <w:p w14:paraId="6DBF216F" w14:textId="7104FDA8" w:rsidR="005C1B6A" w:rsidRPr="003E7CD0" w:rsidRDefault="004A6B4A" w:rsidP="005C1B6A">
      <w:pPr>
        <w:pStyle w:val="H23GA"/>
      </w:pPr>
      <w:r w:rsidRPr="003E7CD0">
        <w:rPr>
          <w:rtl/>
        </w:rPr>
        <w:br w:type="page"/>
      </w:r>
      <w:r w:rsidR="005C1B6A" w:rsidRPr="003E7CD0">
        <w:rPr>
          <w:rtl/>
        </w:rPr>
        <w:lastRenderedPageBreak/>
        <w:tab/>
      </w:r>
      <w:r w:rsidR="005C1B6A" w:rsidRPr="003E7CD0">
        <w:rPr>
          <w:rtl/>
        </w:rPr>
        <w:tab/>
        <w:t>ملخص ردّ الدولة الطرف</w:t>
      </w:r>
    </w:p>
    <w:p w14:paraId="5872970F" w14:textId="77777777" w:rsidR="005C1B6A" w:rsidRPr="003E7CD0" w:rsidRDefault="005C1B6A" w:rsidP="005C1B6A">
      <w:pPr>
        <w:pStyle w:val="SingleTxtGA"/>
        <w:rPr>
          <w:spacing w:val="-2"/>
        </w:rPr>
      </w:pPr>
      <w:r w:rsidRPr="003E7CD0">
        <w:rPr>
          <w:spacing w:val="-2"/>
          <w:rtl/>
        </w:rPr>
        <w:tab/>
        <w:t xml:space="preserve">المحكمة الدستورية مستقلة، ولا وجود لأي عقبات تعرقل أداء مهامها. وتتفق القوانين المعتمدة في أواخر عام </w:t>
      </w:r>
      <w:r w:rsidRPr="003E7CD0">
        <w:rPr>
          <w:spacing w:val="-2"/>
          <w:szCs w:val="20"/>
          <w:rtl/>
        </w:rPr>
        <w:t>2016</w:t>
      </w:r>
      <w:r w:rsidRPr="003E7CD0">
        <w:rPr>
          <w:spacing w:val="-2"/>
          <w:rtl/>
        </w:rPr>
        <w:t xml:space="preserve"> مع المعايير الأوروبية للمحاكم الدستورية، وتأخذ في الاعتبار التوصيات التي قدمتها اللجنة الأوروبية للديمقراطية من خلال القانون.</w:t>
      </w:r>
    </w:p>
    <w:p w14:paraId="3F19FE7B" w14:textId="77777777" w:rsidR="005C1B6A" w:rsidRPr="003E7CD0" w:rsidRDefault="005C1B6A" w:rsidP="005C1B6A">
      <w:pPr>
        <w:pStyle w:val="H23GA"/>
      </w:pPr>
      <w:r w:rsidRPr="003E7CD0">
        <w:rPr>
          <w:rtl/>
        </w:rPr>
        <w:tab/>
      </w:r>
      <w:r w:rsidRPr="003E7CD0">
        <w:rPr>
          <w:rtl/>
        </w:rPr>
        <w:tab/>
        <w:t>معلومات من معهد أوردو يوريس للثقافة القانونية</w:t>
      </w:r>
    </w:p>
    <w:p w14:paraId="63447AF7" w14:textId="6556A079" w:rsidR="005C1B6A" w:rsidRPr="003E7CD0" w:rsidRDefault="005C1B6A" w:rsidP="005C1B6A">
      <w:pPr>
        <w:pStyle w:val="SingleTxtGA"/>
        <w:rPr>
          <w:spacing w:val="-4"/>
        </w:rPr>
      </w:pPr>
      <w:r w:rsidRPr="003E7CD0">
        <w:rPr>
          <w:spacing w:val="-4"/>
          <w:rtl/>
        </w:rPr>
        <w:tab/>
        <w:t xml:space="preserve">لا تشكل التشريعات البولندية الحالية أي تهديد لاستقلال المحكمة الدستورية. وقد أعلن قانون </w:t>
      </w:r>
      <w:r w:rsidRPr="003E7CD0">
        <w:rPr>
          <w:rtl/>
        </w:rPr>
        <w:t xml:space="preserve">صدر في </w:t>
      </w:r>
      <w:r w:rsidRPr="003E7CD0">
        <w:rPr>
          <w:szCs w:val="20"/>
          <w:rtl/>
        </w:rPr>
        <w:t>13</w:t>
      </w:r>
      <w:r w:rsidRPr="003E7CD0">
        <w:rPr>
          <w:rtl/>
        </w:rPr>
        <w:t xml:space="preserve"> كانون الأول/ديسمبر </w:t>
      </w:r>
      <w:r w:rsidRPr="003E7CD0">
        <w:rPr>
          <w:szCs w:val="20"/>
          <w:rtl/>
        </w:rPr>
        <w:t>2016</w:t>
      </w:r>
      <w:r w:rsidRPr="003E7CD0">
        <w:rPr>
          <w:rtl/>
        </w:rPr>
        <w:t xml:space="preserve"> بطلان جميع اللوائح السابقة المتعلقة بالمحكمة. ومع أن هناك خلافات</w:t>
      </w:r>
      <w:r w:rsidRPr="003E7CD0">
        <w:rPr>
          <w:spacing w:val="-4"/>
          <w:rtl/>
        </w:rPr>
        <w:t xml:space="preserve"> حول التشكيلة الحالية للمحكمة، فإن القانون نفسه ينص على استقلال القضاة استقلال</w:t>
      </w:r>
      <w:r w:rsidR="00892491" w:rsidRPr="003E7CD0">
        <w:rPr>
          <w:spacing w:val="-4"/>
          <w:rtl/>
        </w:rPr>
        <w:t xml:space="preserve">اً </w:t>
      </w:r>
      <w:r w:rsidRPr="003E7CD0">
        <w:rPr>
          <w:spacing w:val="-4"/>
          <w:rtl/>
        </w:rPr>
        <w:t>كامل</w:t>
      </w:r>
      <w:r w:rsidR="00892491" w:rsidRPr="003E7CD0">
        <w:rPr>
          <w:spacing w:val="-4"/>
          <w:rtl/>
        </w:rPr>
        <w:t>اً.</w:t>
      </w:r>
      <w:r w:rsidRPr="003E7CD0">
        <w:rPr>
          <w:spacing w:val="-4"/>
          <w:rtl/>
        </w:rPr>
        <w:t xml:space="preserve"> </w:t>
      </w:r>
    </w:p>
    <w:p w14:paraId="552E3E1B" w14:textId="77777777" w:rsidR="005C1B6A" w:rsidRPr="003E7CD0" w:rsidRDefault="005C1B6A" w:rsidP="005C1B6A">
      <w:pPr>
        <w:pStyle w:val="SingleTxtGA"/>
      </w:pPr>
      <w:r w:rsidRPr="003E7CD0">
        <w:rPr>
          <w:rtl/>
        </w:rPr>
        <w:tab/>
        <w:t xml:space="preserve">وتتعلق الأحكام غير المنشورة الصادرة عن المحكمة بقوانين ألغيت. </w:t>
      </w:r>
    </w:p>
    <w:p w14:paraId="6A116C9F" w14:textId="77777777" w:rsidR="005C1B6A" w:rsidRPr="003E7CD0" w:rsidRDefault="005C1B6A" w:rsidP="005C1B6A">
      <w:pPr>
        <w:pStyle w:val="H23GA"/>
        <w:rPr>
          <w:rtl/>
        </w:rPr>
      </w:pPr>
      <w:r w:rsidRPr="003E7CD0">
        <w:rPr>
          <w:rtl/>
        </w:rPr>
        <w:tab/>
      </w:r>
      <w:r w:rsidRPr="003E7CD0">
        <w:rPr>
          <w:rtl/>
        </w:rPr>
        <w:tab/>
        <w:t>تقييم اللجنة</w:t>
      </w:r>
    </w:p>
    <w:p w14:paraId="3980EF4C" w14:textId="77777777" w:rsidR="005C1B6A" w:rsidRPr="003E7CD0" w:rsidRDefault="005C1B6A" w:rsidP="005C1B6A">
      <w:pPr>
        <w:pStyle w:val="SingleTxtGA"/>
      </w:pPr>
      <w:r w:rsidRPr="003E7CD0">
        <w:rPr>
          <w:b/>
          <w:bCs/>
          <w:rtl/>
        </w:rPr>
        <w:t>[جيم]</w:t>
      </w:r>
      <w:r w:rsidRPr="003E7CD0">
        <w:rPr>
          <w:rtl/>
        </w:rPr>
        <w:t xml:space="preserve">: تأسف اللجنة لعدم تقديم الدولة معلومات عن التدابير المتخذة منذ اعتماد الملاحظات الختامية بغية ضمان احترام وحماية نزاهة المحكمة الدستورية واستقلالها ونشر جميع أحكامها. وتطلب اللجنة معلومات إضافية عن مضمون القانون الذي صدر في </w:t>
      </w:r>
      <w:r w:rsidRPr="003E7CD0">
        <w:rPr>
          <w:szCs w:val="20"/>
          <w:rtl/>
        </w:rPr>
        <w:t>13</w:t>
      </w:r>
      <w:r w:rsidRPr="003E7CD0">
        <w:rPr>
          <w:rtl/>
        </w:rPr>
        <w:t xml:space="preserve"> كانون الأول/ديسمبر </w:t>
      </w:r>
      <w:r w:rsidRPr="003E7CD0">
        <w:rPr>
          <w:szCs w:val="20"/>
          <w:rtl/>
        </w:rPr>
        <w:t>2016</w:t>
      </w:r>
      <w:r w:rsidRPr="003E7CD0">
        <w:rPr>
          <w:rtl/>
        </w:rPr>
        <w:t>. وتكرر اللجنة توصياتها.</w:t>
      </w:r>
    </w:p>
    <w:p w14:paraId="226900CA" w14:textId="77777777" w:rsidR="005C1B6A" w:rsidRPr="003E7CD0" w:rsidRDefault="005C1B6A" w:rsidP="005C1B6A">
      <w:pPr>
        <w:pStyle w:val="H23GA"/>
      </w:pPr>
      <w:r w:rsidRPr="003E7CD0">
        <w:rPr>
          <w:rtl/>
        </w:rPr>
        <w:tab/>
      </w:r>
      <w:r w:rsidRPr="003E7CD0">
        <w:rPr>
          <w:rtl/>
        </w:rPr>
        <w:tab/>
        <w:t xml:space="preserve">الفقرة </w:t>
      </w:r>
      <w:r w:rsidRPr="003E7CD0">
        <w:rPr>
          <w:szCs w:val="20"/>
          <w:rtl/>
        </w:rPr>
        <w:t>24</w:t>
      </w:r>
      <w:r w:rsidRPr="003E7CD0">
        <w:rPr>
          <w:rtl/>
        </w:rPr>
        <w:t>: الإجهاض المقصود</w:t>
      </w:r>
    </w:p>
    <w:p w14:paraId="3150187B" w14:textId="347C584E" w:rsidR="005C1B6A" w:rsidRPr="003E7CD0" w:rsidRDefault="005C1B6A" w:rsidP="005C1B6A">
      <w:pPr>
        <w:pStyle w:val="SingleTxtGA"/>
        <w:rPr>
          <w:b/>
          <w:bCs/>
        </w:rPr>
      </w:pPr>
      <w:r w:rsidRPr="003E7CD0">
        <w:rPr>
          <w:b/>
          <w:bCs/>
          <w:rtl/>
        </w:rPr>
        <w:t>ينبغي للدولة الطرف أن تقوم بما يلي:</w:t>
      </w:r>
    </w:p>
    <w:p w14:paraId="68C7EB04" w14:textId="412154E2" w:rsidR="005C1B6A" w:rsidRPr="003E7CD0" w:rsidRDefault="005C1B6A" w:rsidP="007100A9">
      <w:pPr>
        <w:pStyle w:val="SingleTxtGA"/>
        <w:rPr>
          <w:b/>
          <w:bCs/>
        </w:rPr>
      </w:pPr>
      <w:r w:rsidRPr="003E7CD0">
        <w:rPr>
          <w:spacing w:val="-4"/>
          <w:rtl/>
        </w:rPr>
        <w:tab/>
        <w:t>(أ)</w:t>
      </w:r>
      <w:r w:rsidRPr="003E7CD0">
        <w:rPr>
          <w:spacing w:val="-4"/>
          <w:rtl/>
        </w:rPr>
        <w:tab/>
      </w:r>
      <w:r w:rsidRPr="003E7CD0">
        <w:rPr>
          <w:b/>
          <w:bCs/>
          <w:spacing w:val="-4"/>
          <w:rtl/>
        </w:rPr>
        <w:t xml:space="preserve">التأكد من أن تشريعاتها لا تدفع النساء إلى اللجوء إلى الإجهاض سراً على نحوٍ يعرض حياتهن وصحتهن للخطر. </w:t>
      </w:r>
      <w:r w:rsidRPr="003E7CD0">
        <w:rPr>
          <w:rFonts w:ascii="Traditional Arabic" w:hAnsi="Traditional Arabic" w:hint="cs"/>
          <w:b/>
          <w:bCs/>
          <w:spacing w:val="-4"/>
          <w:rtl/>
        </w:rPr>
        <w:t>وينبغي</w:t>
      </w:r>
      <w:r w:rsidRPr="003E7CD0">
        <w:rPr>
          <w:b/>
          <w:bCs/>
          <w:spacing w:val="-4"/>
          <w:rtl/>
        </w:rPr>
        <w:t xml:space="preserve"> </w:t>
      </w:r>
      <w:r w:rsidRPr="003E7CD0">
        <w:rPr>
          <w:rFonts w:ascii="Traditional Arabic" w:hAnsi="Traditional Arabic" w:hint="cs"/>
          <w:b/>
          <w:bCs/>
          <w:spacing w:val="-4"/>
          <w:rtl/>
        </w:rPr>
        <w:t>أن</w:t>
      </w:r>
      <w:r w:rsidRPr="003E7CD0">
        <w:rPr>
          <w:b/>
          <w:bCs/>
          <w:spacing w:val="-4"/>
          <w:rtl/>
        </w:rPr>
        <w:t xml:space="preserve"> </w:t>
      </w:r>
      <w:r w:rsidRPr="003E7CD0">
        <w:rPr>
          <w:rFonts w:ascii="Traditional Arabic" w:hAnsi="Traditional Arabic" w:hint="cs"/>
          <w:b/>
          <w:bCs/>
          <w:spacing w:val="-4"/>
          <w:rtl/>
        </w:rPr>
        <w:t>تجري</w:t>
      </w:r>
      <w:r w:rsidRPr="003E7CD0">
        <w:rPr>
          <w:b/>
          <w:bCs/>
          <w:spacing w:val="-4"/>
          <w:rtl/>
        </w:rPr>
        <w:t xml:space="preserve"> </w:t>
      </w:r>
      <w:r w:rsidRPr="003E7CD0">
        <w:rPr>
          <w:rFonts w:ascii="Traditional Arabic" w:hAnsi="Traditional Arabic" w:hint="cs"/>
          <w:b/>
          <w:bCs/>
          <w:spacing w:val="-4"/>
          <w:rtl/>
        </w:rPr>
        <w:t>بحوث</w:t>
      </w:r>
      <w:r w:rsidR="00892491" w:rsidRPr="003E7CD0">
        <w:rPr>
          <w:rFonts w:ascii="Traditional Arabic" w:hAnsi="Traditional Arabic" w:hint="cs"/>
          <w:b/>
          <w:bCs/>
          <w:spacing w:val="-4"/>
          <w:rtl/>
        </w:rPr>
        <w:t>اً</w:t>
      </w:r>
      <w:r w:rsidRPr="003E7CD0">
        <w:rPr>
          <w:b/>
          <w:bCs/>
          <w:spacing w:val="-4"/>
          <w:rtl/>
        </w:rPr>
        <w:t xml:space="preserve"> </w:t>
      </w:r>
      <w:r w:rsidRPr="003E7CD0">
        <w:rPr>
          <w:rFonts w:ascii="Traditional Arabic" w:hAnsi="Traditional Arabic" w:hint="cs"/>
          <w:b/>
          <w:bCs/>
          <w:spacing w:val="-4"/>
          <w:rtl/>
        </w:rPr>
        <w:t>وتقدم</w:t>
      </w:r>
      <w:r w:rsidRPr="003E7CD0">
        <w:rPr>
          <w:b/>
          <w:bCs/>
          <w:spacing w:val="-4"/>
          <w:rtl/>
        </w:rPr>
        <w:t xml:space="preserve"> </w:t>
      </w:r>
      <w:r w:rsidRPr="003E7CD0">
        <w:rPr>
          <w:rFonts w:ascii="Traditional Arabic" w:hAnsi="Traditional Arabic" w:hint="cs"/>
          <w:b/>
          <w:bCs/>
          <w:spacing w:val="-4"/>
          <w:rtl/>
        </w:rPr>
        <w:t>إحصاءات</w:t>
      </w:r>
      <w:r w:rsidRPr="003E7CD0">
        <w:rPr>
          <w:b/>
          <w:bCs/>
          <w:spacing w:val="-4"/>
          <w:rtl/>
        </w:rPr>
        <w:t xml:space="preserve"> </w:t>
      </w:r>
      <w:r w:rsidRPr="003E7CD0">
        <w:rPr>
          <w:rFonts w:ascii="Traditional Arabic" w:hAnsi="Traditional Arabic" w:hint="cs"/>
          <w:b/>
          <w:bCs/>
          <w:spacing w:val="-4"/>
          <w:rtl/>
        </w:rPr>
        <w:t>عن</w:t>
      </w:r>
      <w:r w:rsidRPr="003E7CD0">
        <w:rPr>
          <w:b/>
          <w:bCs/>
          <w:spacing w:val="-4"/>
          <w:rtl/>
        </w:rPr>
        <w:t xml:space="preserve"> </w:t>
      </w:r>
      <w:r w:rsidRPr="003E7CD0">
        <w:rPr>
          <w:rFonts w:ascii="Traditional Arabic" w:hAnsi="Traditional Arabic" w:hint="cs"/>
          <w:b/>
          <w:bCs/>
          <w:spacing w:val="-4"/>
          <w:rtl/>
        </w:rPr>
        <w:t>اللجوء</w:t>
      </w:r>
      <w:r w:rsidRPr="003E7CD0">
        <w:rPr>
          <w:b/>
          <w:bCs/>
          <w:spacing w:val="-4"/>
          <w:rtl/>
        </w:rPr>
        <w:t xml:space="preserve"> </w:t>
      </w:r>
      <w:r w:rsidRPr="003E7CD0">
        <w:rPr>
          <w:rFonts w:ascii="Traditional Arabic" w:hAnsi="Traditional Arabic" w:hint="cs"/>
          <w:b/>
          <w:bCs/>
          <w:spacing w:val="-4"/>
          <w:rtl/>
        </w:rPr>
        <w:t>إلى</w:t>
      </w:r>
      <w:r w:rsidRPr="003E7CD0">
        <w:rPr>
          <w:b/>
          <w:bCs/>
          <w:spacing w:val="-4"/>
          <w:rtl/>
        </w:rPr>
        <w:t xml:space="preserve"> </w:t>
      </w:r>
      <w:r w:rsidRPr="003E7CD0">
        <w:rPr>
          <w:rFonts w:ascii="Traditional Arabic" w:hAnsi="Traditional Arabic" w:hint="cs"/>
          <w:b/>
          <w:bCs/>
          <w:spacing w:val="-4"/>
          <w:rtl/>
        </w:rPr>
        <w:t>الإجهاض</w:t>
      </w:r>
      <w:r w:rsidRPr="003E7CD0">
        <w:rPr>
          <w:b/>
          <w:bCs/>
          <w:spacing w:val="-4"/>
          <w:rtl/>
        </w:rPr>
        <w:t xml:space="preserve"> </w:t>
      </w:r>
      <w:r w:rsidRPr="003E7CD0">
        <w:rPr>
          <w:rFonts w:ascii="Traditional Arabic" w:hAnsi="Traditional Arabic" w:hint="cs"/>
          <w:b/>
          <w:bCs/>
          <w:spacing w:val="-4"/>
          <w:rtl/>
        </w:rPr>
        <w:t>غير</w:t>
      </w:r>
      <w:r w:rsidRPr="003E7CD0">
        <w:rPr>
          <w:b/>
          <w:bCs/>
          <w:spacing w:val="-4"/>
          <w:rtl/>
        </w:rPr>
        <w:t xml:space="preserve"> </w:t>
      </w:r>
      <w:r w:rsidRPr="003E7CD0">
        <w:rPr>
          <w:rFonts w:ascii="Traditional Arabic" w:hAnsi="Traditional Arabic" w:hint="cs"/>
          <w:b/>
          <w:bCs/>
          <w:spacing w:val="-4"/>
          <w:rtl/>
        </w:rPr>
        <w:t>القانوني</w:t>
      </w:r>
      <w:r w:rsidRPr="003E7CD0">
        <w:rPr>
          <w:b/>
          <w:bCs/>
          <w:spacing w:val="-4"/>
          <w:rtl/>
        </w:rPr>
        <w:t xml:space="preserve">. </w:t>
      </w:r>
      <w:r w:rsidRPr="003E7CD0">
        <w:rPr>
          <w:rFonts w:ascii="Traditional Arabic" w:hAnsi="Traditional Arabic" w:hint="cs"/>
          <w:b/>
          <w:bCs/>
          <w:spacing w:val="-4"/>
          <w:rtl/>
        </w:rPr>
        <w:t>وينبغي</w:t>
      </w:r>
      <w:r w:rsidRPr="003E7CD0">
        <w:rPr>
          <w:b/>
          <w:bCs/>
          <w:spacing w:val="-4"/>
          <w:rtl/>
        </w:rPr>
        <w:t xml:space="preserve"> أن تكفل للنساء الاستفادة على نحوٍ فعال من خدمات الإجهاض القانوني المأمون</w:t>
      </w:r>
      <w:r w:rsidR="004A6B4A" w:rsidRPr="003E7CD0">
        <w:rPr>
          <w:rFonts w:hint="cs"/>
          <w:b/>
          <w:bCs/>
          <w:spacing w:val="-4"/>
          <w:rtl/>
        </w:rPr>
        <w:t> </w:t>
      </w:r>
      <w:r w:rsidRPr="003E7CD0">
        <w:rPr>
          <w:b/>
          <w:bCs/>
          <w:spacing w:val="-4"/>
          <w:rtl/>
        </w:rPr>
        <w:t xml:space="preserve">في مختلف أرجاء البلد وتحرص على ألا تضطر النساء إلى اللجوء إلى الإجهاض سراً على نحوٍ </w:t>
      </w:r>
      <w:r w:rsidRPr="003E7CD0">
        <w:rPr>
          <w:b/>
          <w:bCs/>
          <w:rtl/>
        </w:rPr>
        <w:t>يعرض حياتها وصحتها للخطر جراء الاستنكاف الضميري أو بسبب طول مدة عملية استعراض شكاوى</w:t>
      </w:r>
      <w:r w:rsidRPr="003E7CD0">
        <w:rPr>
          <w:b/>
          <w:bCs/>
          <w:spacing w:val="-4"/>
          <w:rtl/>
        </w:rPr>
        <w:t xml:space="preserve"> رفض القيام بعملية الإجهاض. </w:t>
      </w:r>
      <w:r w:rsidRPr="003E7CD0">
        <w:rPr>
          <w:rFonts w:ascii="Traditional Arabic" w:hAnsi="Traditional Arabic" w:hint="cs"/>
          <w:b/>
          <w:bCs/>
          <w:spacing w:val="-4"/>
          <w:rtl/>
        </w:rPr>
        <w:t>وينبغي</w:t>
      </w:r>
      <w:r w:rsidRPr="003E7CD0">
        <w:rPr>
          <w:b/>
          <w:bCs/>
          <w:spacing w:val="-4"/>
          <w:rtl/>
        </w:rPr>
        <w:t xml:space="preserve"> </w:t>
      </w:r>
      <w:r w:rsidRPr="003E7CD0">
        <w:rPr>
          <w:rFonts w:ascii="Traditional Arabic" w:hAnsi="Traditional Arabic" w:hint="cs"/>
          <w:b/>
          <w:bCs/>
          <w:spacing w:val="-4"/>
          <w:rtl/>
        </w:rPr>
        <w:t>أن</w:t>
      </w:r>
      <w:r w:rsidRPr="003E7CD0">
        <w:rPr>
          <w:b/>
          <w:bCs/>
          <w:spacing w:val="-4"/>
          <w:rtl/>
        </w:rPr>
        <w:t xml:space="preserve"> </w:t>
      </w:r>
      <w:r w:rsidRPr="003E7CD0">
        <w:rPr>
          <w:rFonts w:ascii="Traditional Arabic" w:hAnsi="Traditional Arabic" w:hint="cs"/>
          <w:b/>
          <w:bCs/>
          <w:spacing w:val="-4"/>
          <w:rtl/>
        </w:rPr>
        <w:t>تقوم</w:t>
      </w:r>
      <w:r w:rsidRPr="003E7CD0">
        <w:rPr>
          <w:b/>
          <w:bCs/>
          <w:spacing w:val="-4"/>
          <w:rtl/>
        </w:rPr>
        <w:t xml:space="preserve"> </w:t>
      </w:r>
      <w:r w:rsidRPr="003E7CD0">
        <w:rPr>
          <w:rFonts w:ascii="Traditional Arabic" w:hAnsi="Traditional Arabic" w:hint="cs"/>
          <w:b/>
          <w:bCs/>
          <w:spacing w:val="-4"/>
          <w:rtl/>
        </w:rPr>
        <w:t>بذلك</w:t>
      </w:r>
      <w:r w:rsidRPr="003E7CD0">
        <w:rPr>
          <w:b/>
          <w:bCs/>
          <w:spacing w:val="-4"/>
          <w:rtl/>
        </w:rPr>
        <w:t xml:space="preserve"> </w:t>
      </w:r>
      <w:r w:rsidRPr="003E7CD0">
        <w:rPr>
          <w:rFonts w:ascii="Traditional Arabic" w:hAnsi="Traditional Arabic" w:hint="cs"/>
          <w:b/>
          <w:bCs/>
          <w:spacing w:val="-4"/>
          <w:rtl/>
        </w:rPr>
        <w:t>عن</w:t>
      </w:r>
      <w:r w:rsidRPr="003E7CD0">
        <w:rPr>
          <w:b/>
          <w:bCs/>
          <w:spacing w:val="-4"/>
          <w:rtl/>
        </w:rPr>
        <w:t xml:space="preserve"> </w:t>
      </w:r>
      <w:r w:rsidRPr="003E7CD0">
        <w:rPr>
          <w:rFonts w:ascii="Traditional Arabic" w:hAnsi="Traditional Arabic" w:hint="cs"/>
          <w:b/>
          <w:bCs/>
          <w:spacing w:val="-4"/>
          <w:rtl/>
        </w:rPr>
        <w:t>طريق</w:t>
      </w:r>
      <w:r w:rsidRPr="003E7CD0">
        <w:rPr>
          <w:b/>
          <w:bCs/>
          <w:spacing w:val="-4"/>
          <w:rtl/>
        </w:rPr>
        <w:t xml:space="preserve"> </w:t>
      </w:r>
      <w:r w:rsidRPr="003E7CD0">
        <w:rPr>
          <w:rFonts w:ascii="Traditional Arabic" w:hAnsi="Traditional Arabic" w:hint="cs"/>
          <w:b/>
          <w:bCs/>
          <w:spacing w:val="-4"/>
          <w:rtl/>
        </w:rPr>
        <w:t>جملة</w:t>
      </w:r>
      <w:r w:rsidRPr="003E7CD0">
        <w:rPr>
          <w:b/>
          <w:bCs/>
          <w:spacing w:val="-4"/>
          <w:rtl/>
        </w:rPr>
        <w:t xml:space="preserve"> </w:t>
      </w:r>
      <w:r w:rsidRPr="003E7CD0">
        <w:rPr>
          <w:rFonts w:ascii="Traditional Arabic" w:hAnsi="Traditional Arabic" w:hint="cs"/>
          <w:b/>
          <w:bCs/>
          <w:spacing w:val="-4"/>
          <w:rtl/>
        </w:rPr>
        <w:t>أمور</w:t>
      </w:r>
      <w:r w:rsidRPr="003E7CD0">
        <w:rPr>
          <w:b/>
          <w:bCs/>
          <w:spacing w:val="-4"/>
          <w:rtl/>
        </w:rPr>
        <w:t xml:space="preserve"> </w:t>
      </w:r>
      <w:r w:rsidRPr="003E7CD0">
        <w:rPr>
          <w:rFonts w:ascii="Traditional Arabic" w:hAnsi="Traditional Arabic" w:hint="cs"/>
          <w:b/>
          <w:bCs/>
          <w:spacing w:val="-4"/>
          <w:rtl/>
        </w:rPr>
        <w:t>منها</w:t>
      </w:r>
      <w:r w:rsidRPr="003E7CD0">
        <w:rPr>
          <w:b/>
          <w:bCs/>
          <w:spacing w:val="-4"/>
          <w:rtl/>
        </w:rPr>
        <w:t xml:space="preserve">: </w:t>
      </w:r>
      <w:r w:rsidR="007100A9" w:rsidRPr="003E7CD0">
        <w:rPr>
          <w:b/>
          <w:bCs/>
          <w:spacing w:val="-4"/>
          <w:rtl/>
        </w:rPr>
        <w:t>’</w:t>
      </w:r>
      <w:r w:rsidR="007100A9" w:rsidRPr="003E7CD0">
        <w:rPr>
          <w:rFonts w:cs="Times New Roman"/>
          <w:b/>
          <w:bCs/>
          <w:spacing w:val="-4"/>
          <w:szCs w:val="20"/>
          <w:rtl/>
        </w:rPr>
        <w:t>1</w:t>
      </w:r>
      <w:r w:rsidR="007100A9" w:rsidRPr="003E7CD0">
        <w:rPr>
          <w:b/>
          <w:bCs/>
          <w:spacing w:val="-4"/>
          <w:rtl/>
        </w:rPr>
        <w:t>‘</w:t>
      </w:r>
      <w:r w:rsidRPr="003E7CD0">
        <w:rPr>
          <w:b/>
          <w:bCs/>
          <w:spacing w:val="-4"/>
          <w:rtl/>
        </w:rPr>
        <w:t xml:space="preserve"> </w:t>
      </w:r>
      <w:r w:rsidRPr="003E7CD0">
        <w:rPr>
          <w:rFonts w:ascii="Traditional Arabic" w:hAnsi="Traditional Arabic" w:hint="cs"/>
          <w:b/>
          <w:bCs/>
          <w:spacing w:val="-4"/>
          <w:rtl/>
        </w:rPr>
        <w:t>وضع</w:t>
      </w:r>
      <w:r w:rsidRPr="003E7CD0">
        <w:rPr>
          <w:b/>
          <w:bCs/>
          <w:spacing w:val="-4"/>
          <w:rtl/>
        </w:rPr>
        <w:t xml:space="preserve"> </w:t>
      </w:r>
      <w:r w:rsidRPr="003E7CD0">
        <w:rPr>
          <w:rFonts w:ascii="Traditional Arabic" w:hAnsi="Traditional Arabic" w:hint="cs"/>
          <w:b/>
          <w:bCs/>
          <w:spacing w:val="-4"/>
          <w:rtl/>
        </w:rPr>
        <w:t>وتنظيم</w:t>
      </w:r>
      <w:r w:rsidRPr="003E7CD0">
        <w:rPr>
          <w:b/>
          <w:bCs/>
          <w:spacing w:val="-4"/>
          <w:rtl/>
        </w:rPr>
        <w:t xml:space="preserve"> </w:t>
      </w:r>
      <w:r w:rsidRPr="003E7CD0">
        <w:rPr>
          <w:rFonts w:ascii="Traditional Arabic" w:hAnsi="Traditional Arabic" w:hint="cs"/>
          <w:b/>
          <w:bCs/>
          <w:spacing w:val="-4"/>
          <w:rtl/>
        </w:rPr>
        <w:t>مبادئ</w:t>
      </w:r>
      <w:r w:rsidRPr="003E7CD0">
        <w:rPr>
          <w:b/>
          <w:bCs/>
          <w:spacing w:val="-4"/>
          <w:rtl/>
        </w:rPr>
        <w:t xml:space="preserve"> </w:t>
      </w:r>
      <w:r w:rsidRPr="003E7CD0">
        <w:rPr>
          <w:rFonts w:ascii="Traditional Arabic" w:hAnsi="Traditional Arabic" w:hint="cs"/>
          <w:b/>
          <w:bCs/>
          <w:spacing w:val="-4"/>
          <w:rtl/>
        </w:rPr>
        <w:t>توجيهية</w:t>
      </w:r>
      <w:r w:rsidRPr="003E7CD0">
        <w:rPr>
          <w:b/>
          <w:bCs/>
          <w:spacing w:val="-4"/>
          <w:rtl/>
        </w:rPr>
        <w:t xml:space="preserve"> </w:t>
      </w:r>
      <w:r w:rsidRPr="003E7CD0">
        <w:rPr>
          <w:rFonts w:ascii="Traditional Arabic" w:hAnsi="Traditional Arabic" w:hint="cs"/>
          <w:b/>
          <w:bCs/>
          <w:spacing w:val="-4"/>
          <w:rtl/>
        </w:rPr>
        <w:t>موحدة</w:t>
      </w:r>
      <w:r w:rsidRPr="003E7CD0">
        <w:rPr>
          <w:b/>
          <w:bCs/>
          <w:spacing w:val="-4"/>
          <w:rtl/>
        </w:rPr>
        <w:t xml:space="preserve"> </w:t>
      </w:r>
      <w:r w:rsidRPr="003E7CD0">
        <w:rPr>
          <w:rFonts w:ascii="Traditional Arabic" w:hAnsi="Traditional Arabic" w:hint="cs"/>
          <w:b/>
          <w:bCs/>
          <w:spacing w:val="-4"/>
          <w:rtl/>
        </w:rPr>
        <w:t>في</w:t>
      </w:r>
      <w:r w:rsidRPr="003E7CD0">
        <w:rPr>
          <w:b/>
          <w:bCs/>
          <w:spacing w:val="-4"/>
          <w:rtl/>
        </w:rPr>
        <w:t xml:space="preserve"> </w:t>
      </w:r>
      <w:r w:rsidRPr="003E7CD0">
        <w:rPr>
          <w:rFonts w:ascii="Traditional Arabic" w:hAnsi="Traditional Arabic" w:hint="cs"/>
          <w:b/>
          <w:bCs/>
          <w:spacing w:val="-4"/>
          <w:rtl/>
        </w:rPr>
        <w:t>مجال</w:t>
      </w:r>
      <w:r w:rsidRPr="003E7CD0">
        <w:rPr>
          <w:b/>
          <w:bCs/>
          <w:spacing w:val="-4"/>
          <w:rtl/>
        </w:rPr>
        <w:t xml:space="preserve"> </w:t>
      </w:r>
      <w:r w:rsidRPr="003E7CD0">
        <w:rPr>
          <w:rFonts w:ascii="Traditional Arabic" w:hAnsi="Traditional Arabic" w:hint="cs"/>
          <w:b/>
          <w:bCs/>
          <w:spacing w:val="-4"/>
          <w:rtl/>
        </w:rPr>
        <w:t>الصحة</w:t>
      </w:r>
      <w:r w:rsidRPr="003E7CD0">
        <w:rPr>
          <w:b/>
          <w:bCs/>
          <w:spacing w:val="-4"/>
          <w:rtl/>
        </w:rPr>
        <w:t xml:space="preserve"> </w:t>
      </w:r>
      <w:r w:rsidRPr="003E7CD0">
        <w:rPr>
          <w:rFonts w:ascii="Traditional Arabic" w:hAnsi="Traditional Arabic" w:hint="cs"/>
          <w:b/>
          <w:bCs/>
          <w:spacing w:val="-4"/>
          <w:rtl/>
        </w:rPr>
        <w:t>العامة</w:t>
      </w:r>
      <w:r w:rsidRPr="003E7CD0">
        <w:rPr>
          <w:b/>
          <w:bCs/>
          <w:spacing w:val="-4"/>
          <w:rtl/>
        </w:rPr>
        <w:t xml:space="preserve"> </w:t>
      </w:r>
      <w:r w:rsidRPr="003E7CD0">
        <w:rPr>
          <w:rFonts w:ascii="Traditional Arabic" w:hAnsi="Traditional Arabic" w:hint="cs"/>
          <w:b/>
          <w:bCs/>
          <w:spacing w:val="-4"/>
          <w:rtl/>
        </w:rPr>
        <w:t>لتوفير</w:t>
      </w:r>
      <w:r w:rsidRPr="003E7CD0">
        <w:rPr>
          <w:b/>
          <w:bCs/>
          <w:spacing w:val="-4"/>
          <w:rtl/>
        </w:rPr>
        <w:t xml:space="preserve"> </w:t>
      </w:r>
      <w:r w:rsidRPr="003E7CD0">
        <w:rPr>
          <w:rFonts w:ascii="Traditional Arabic" w:hAnsi="Traditional Arabic" w:hint="cs"/>
          <w:b/>
          <w:bCs/>
          <w:spacing w:val="-4"/>
          <w:rtl/>
        </w:rPr>
        <w:t>خدمات</w:t>
      </w:r>
      <w:r w:rsidRPr="003E7CD0">
        <w:rPr>
          <w:b/>
          <w:bCs/>
          <w:spacing w:val="-4"/>
          <w:rtl/>
        </w:rPr>
        <w:t xml:space="preserve"> </w:t>
      </w:r>
      <w:r w:rsidRPr="003E7CD0">
        <w:rPr>
          <w:rFonts w:ascii="Traditional Arabic" w:hAnsi="Traditional Arabic" w:hint="cs"/>
          <w:b/>
          <w:bCs/>
          <w:spacing w:val="-4"/>
          <w:rtl/>
        </w:rPr>
        <w:t>الإجهاض</w:t>
      </w:r>
      <w:r w:rsidRPr="003E7CD0">
        <w:rPr>
          <w:b/>
          <w:bCs/>
          <w:spacing w:val="-4"/>
          <w:rtl/>
        </w:rPr>
        <w:t xml:space="preserve"> </w:t>
      </w:r>
      <w:r w:rsidRPr="003E7CD0">
        <w:rPr>
          <w:rFonts w:ascii="Traditional Arabic" w:hAnsi="Traditional Arabic" w:hint="cs"/>
          <w:b/>
          <w:bCs/>
          <w:spacing w:val="-4"/>
          <w:rtl/>
        </w:rPr>
        <w:t>القانوني</w:t>
      </w:r>
      <w:r w:rsidRPr="003E7CD0">
        <w:rPr>
          <w:b/>
          <w:bCs/>
          <w:spacing w:val="-4"/>
          <w:rtl/>
        </w:rPr>
        <w:t xml:space="preserve"> </w:t>
      </w:r>
      <w:r w:rsidRPr="003E7CD0">
        <w:rPr>
          <w:rFonts w:ascii="Traditional Arabic" w:hAnsi="Traditional Arabic" w:hint="cs"/>
          <w:b/>
          <w:bCs/>
          <w:spacing w:val="-4"/>
          <w:rtl/>
        </w:rPr>
        <w:t>في</w:t>
      </w:r>
      <w:r w:rsidRPr="003E7CD0">
        <w:rPr>
          <w:b/>
          <w:bCs/>
          <w:spacing w:val="-4"/>
          <w:rtl/>
        </w:rPr>
        <w:t xml:space="preserve"> </w:t>
      </w:r>
      <w:r w:rsidRPr="003E7CD0">
        <w:rPr>
          <w:rFonts w:ascii="Traditional Arabic" w:hAnsi="Traditional Arabic" w:hint="cs"/>
          <w:b/>
          <w:bCs/>
          <w:spacing w:val="-4"/>
          <w:rtl/>
        </w:rPr>
        <w:t>جميع</w:t>
      </w:r>
      <w:r w:rsidRPr="003E7CD0">
        <w:rPr>
          <w:b/>
          <w:bCs/>
          <w:spacing w:val="-4"/>
          <w:rtl/>
        </w:rPr>
        <w:t xml:space="preserve"> </w:t>
      </w:r>
      <w:r w:rsidRPr="003E7CD0">
        <w:rPr>
          <w:rFonts w:ascii="Traditional Arabic" w:hAnsi="Traditional Arabic" w:hint="cs"/>
          <w:b/>
          <w:bCs/>
          <w:spacing w:val="-4"/>
          <w:rtl/>
        </w:rPr>
        <w:t>أنحاء</w:t>
      </w:r>
      <w:r w:rsidRPr="003E7CD0">
        <w:rPr>
          <w:b/>
          <w:bCs/>
          <w:spacing w:val="-4"/>
          <w:rtl/>
        </w:rPr>
        <w:t xml:space="preserve"> </w:t>
      </w:r>
      <w:r w:rsidRPr="003E7CD0">
        <w:rPr>
          <w:rFonts w:ascii="Traditional Arabic" w:hAnsi="Traditional Arabic" w:hint="cs"/>
          <w:b/>
          <w:bCs/>
          <w:spacing w:val="-4"/>
          <w:rtl/>
        </w:rPr>
        <w:t>البلد،</w:t>
      </w:r>
      <w:r w:rsidRPr="003E7CD0">
        <w:rPr>
          <w:b/>
          <w:bCs/>
          <w:spacing w:val="-4"/>
          <w:rtl/>
        </w:rPr>
        <w:t xml:space="preserve"> </w:t>
      </w:r>
      <w:r w:rsidRPr="003E7CD0">
        <w:rPr>
          <w:rFonts w:ascii="Traditional Arabic" w:hAnsi="Traditional Arabic" w:hint="cs"/>
          <w:b/>
          <w:bCs/>
          <w:spacing w:val="-4"/>
          <w:rtl/>
        </w:rPr>
        <w:t>على</w:t>
      </w:r>
      <w:r w:rsidRPr="003E7CD0">
        <w:rPr>
          <w:b/>
          <w:bCs/>
          <w:spacing w:val="-4"/>
          <w:rtl/>
        </w:rPr>
        <w:t xml:space="preserve"> </w:t>
      </w:r>
      <w:r w:rsidRPr="003E7CD0">
        <w:rPr>
          <w:rFonts w:ascii="Traditional Arabic" w:hAnsi="Traditional Arabic" w:hint="cs"/>
          <w:b/>
          <w:bCs/>
          <w:spacing w:val="-4"/>
          <w:rtl/>
        </w:rPr>
        <w:t>سبيل</w:t>
      </w:r>
      <w:r w:rsidRPr="003E7CD0">
        <w:rPr>
          <w:b/>
          <w:bCs/>
          <w:spacing w:val="-4"/>
          <w:rtl/>
        </w:rPr>
        <w:t xml:space="preserve"> </w:t>
      </w:r>
      <w:r w:rsidRPr="003E7CD0">
        <w:rPr>
          <w:rFonts w:ascii="Traditional Arabic" w:hAnsi="Traditional Arabic" w:hint="cs"/>
          <w:b/>
          <w:bCs/>
          <w:spacing w:val="-4"/>
          <w:rtl/>
        </w:rPr>
        <w:t>الأولوية؛</w:t>
      </w:r>
      <w:r w:rsidRPr="003E7CD0">
        <w:rPr>
          <w:b/>
          <w:bCs/>
          <w:spacing w:val="-4"/>
          <w:rtl/>
        </w:rPr>
        <w:t xml:space="preserve"> </w:t>
      </w:r>
      <w:r w:rsidRPr="003E7CD0">
        <w:rPr>
          <w:rFonts w:ascii="Traditional Arabic" w:hAnsi="Traditional Arabic" w:hint="cs"/>
          <w:b/>
          <w:bCs/>
          <w:spacing w:val="-4"/>
          <w:rtl/>
        </w:rPr>
        <w:t>و</w:t>
      </w:r>
      <w:r w:rsidR="007100A9" w:rsidRPr="003E7CD0">
        <w:rPr>
          <w:b/>
          <w:bCs/>
          <w:spacing w:val="-4"/>
          <w:rtl/>
        </w:rPr>
        <w:t>’</w:t>
      </w:r>
      <w:r w:rsidR="007100A9" w:rsidRPr="003E7CD0">
        <w:rPr>
          <w:rFonts w:cs="Times New Roman" w:hint="cs"/>
          <w:b/>
          <w:bCs/>
          <w:spacing w:val="-4"/>
          <w:szCs w:val="20"/>
          <w:rtl/>
        </w:rPr>
        <w:t>2</w:t>
      </w:r>
      <w:r w:rsidR="007100A9" w:rsidRPr="003E7CD0">
        <w:rPr>
          <w:b/>
          <w:bCs/>
          <w:spacing w:val="-4"/>
          <w:rtl/>
        </w:rPr>
        <w:t>‘</w:t>
      </w:r>
      <w:r w:rsidRPr="003E7CD0">
        <w:rPr>
          <w:b/>
          <w:bCs/>
          <w:spacing w:val="-4"/>
          <w:rtl/>
        </w:rPr>
        <w:t xml:space="preserve"> </w:t>
      </w:r>
      <w:r w:rsidRPr="003E7CD0">
        <w:rPr>
          <w:rFonts w:ascii="Traditional Arabic" w:hAnsi="Traditional Arabic" w:hint="cs"/>
          <w:b/>
          <w:bCs/>
          <w:spacing w:val="-4"/>
          <w:rtl/>
        </w:rPr>
        <w:t>تعزيز</w:t>
      </w:r>
      <w:r w:rsidRPr="003E7CD0">
        <w:rPr>
          <w:b/>
          <w:bCs/>
          <w:spacing w:val="-4"/>
          <w:rtl/>
        </w:rPr>
        <w:t xml:space="preserve"> </w:t>
      </w:r>
      <w:r w:rsidRPr="003E7CD0">
        <w:rPr>
          <w:rFonts w:ascii="Traditional Arabic" w:hAnsi="Traditional Arabic" w:hint="cs"/>
          <w:b/>
          <w:bCs/>
          <w:spacing w:val="-4"/>
          <w:rtl/>
        </w:rPr>
        <w:t>فعالية</w:t>
      </w:r>
      <w:r w:rsidRPr="003E7CD0">
        <w:rPr>
          <w:b/>
          <w:bCs/>
          <w:spacing w:val="-4"/>
          <w:rtl/>
        </w:rPr>
        <w:t xml:space="preserve"> </w:t>
      </w:r>
      <w:r w:rsidRPr="003E7CD0">
        <w:rPr>
          <w:rFonts w:ascii="Traditional Arabic" w:hAnsi="Traditional Arabic" w:hint="cs"/>
          <w:b/>
          <w:bCs/>
          <w:spacing w:val="-4"/>
          <w:rtl/>
        </w:rPr>
        <w:t>آلية</w:t>
      </w:r>
      <w:r w:rsidRPr="003E7CD0">
        <w:rPr>
          <w:b/>
          <w:bCs/>
          <w:spacing w:val="-4"/>
          <w:rtl/>
        </w:rPr>
        <w:t xml:space="preserve"> </w:t>
      </w:r>
      <w:r w:rsidRPr="003E7CD0">
        <w:rPr>
          <w:rFonts w:ascii="Traditional Arabic" w:hAnsi="Traditional Arabic" w:hint="cs"/>
          <w:b/>
          <w:bCs/>
          <w:spacing w:val="-4"/>
          <w:rtl/>
        </w:rPr>
        <w:t>الإحالة</w:t>
      </w:r>
      <w:r w:rsidRPr="003E7CD0">
        <w:rPr>
          <w:b/>
          <w:bCs/>
          <w:spacing w:val="-4"/>
          <w:rtl/>
        </w:rPr>
        <w:t xml:space="preserve"> </w:t>
      </w:r>
      <w:r w:rsidRPr="003E7CD0">
        <w:rPr>
          <w:rFonts w:ascii="Traditional Arabic" w:hAnsi="Traditional Arabic" w:hint="cs"/>
          <w:b/>
          <w:bCs/>
          <w:spacing w:val="-4"/>
          <w:rtl/>
        </w:rPr>
        <w:t>لضمان</w:t>
      </w:r>
      <w:r w:rsidRPr="003E7CD0">
        <w:rPr>
          <w:b/>
          <w:bCs/>
          <w:spacing w:val="-4"/>
          <w:rtl/>
        </w:rPr>
        <w:t xml:space="preserve"> </w:t>
      </w:r>
      <w:r w:rsidRPr="003E7CD0">
        <w:rPr>
          <w:rFonts w:ascii="Traditional Arabic" w:hAnsi="Traditional Arabic" w:hint="cs"/>
          <w:b/>
          <w:bCs/>
          <w:spacing w:val="-4"/>
          <w:rtl/>
        </w:rPr>
        <w:t>الحصول</w:t>
      </w:r>
      <w:r w:rsidRPr="003E7CD0">
        <w:rPr>
          <w:b/>
          <w:bCs/>
          <w:spacing w:val="-4"/>
          <w:rtl/>
        </w:rPr>
        <w:t xml:space="preserve"> </w:t>
      </w:r>
      <w:r w:rsidRPr="003E7CD0">
        <w:rPr>
          <w:rFonts w:ascii="Traditional Arabic" w:hAnsi="Traditional Arabic" w:hint="cs"/>
          <w:b/>
          <w:bCs/>
          <w:spacing w:val="-4"/>
          <w:rtl/>
        </w:rPr>
        <w:t>على</w:t>
      </w:r>
      <w:r w:rsidRPr="003E7CD0">
        <w:rPr>
          <w:b/>
          <w:bCs/>
          <w:spacing w:val="-4"/>
          <w:rtl/>
        </w:rPr>
        <w:t xml:space="preserve"> </w:t>
      </w:r>
      <w:r w:rsidRPr="003E7CD0">
        <w:rPr>
          <w:rFonts w:ascii="Traditional Arabic" w:hAnsi="Traditional Arabic" w:hint="cs"/>
          <w:b/>
          <w:bCs/>
          <w:spacing w:val="-4"/>
          <w:rtl/>
        </w:rPr>
        <w:t>الإجهاض</w:t>
      </w:r>
      <w:r w:rsidRPr="003E7CD0">
        <w:rPr>
          <w:b/>
          <w:bCs/>
          <w:spacing w:val="-4"/>
          <w:rtl/>
        </w:rPr>
        <w:t xml:space="preserve"> </w:t>
      </w:r>
      <w:r w:rsidRPr="003E7CD0">
        <w:rPr>
          <w:rFonts w:ascii="Traditional Arabic" w:hAnsi="Traditional Arabic" w:hint="cs"/>
          <w:b/>
          <w:bCs/>
          <w:spacing w:val="-4"/>
          <w:rtl/>
        </w:rPr>
        <w:t>القانوني</w:t>
      </w:r>
      <w:r w:rsidRPr="003E7CD0">
        <w:rPr>
          <w:b/>
          <w:bCs/>
          <w:spacing w:val="-4"/>
          <w:rtl/>
        </w:rPr>
        <w:t xml:space="preserve"> </w:t>
      </w:r>
      <w:r w:rsidRPr="003E7CD0">
        <w:rPr>
          <w:rFonts w:ascii="Traditional Arabic" w:hAnsi="Traditional Arabic" w:hint="cs"/>
          <w:b/>
          <w:bCs/>
          <w:spacing w:val="-4"/>
          <w:rtl/>
        </w:rPr>
        <w:t>في</w:t>
      </w:r>
      <w:r w:rsidRPr="003E7CD0">
        <w:rPr>
          <w:b/>
          <w:bCs/>
          <w:spacing w:val="-4"/>
          <w:rtl/>
        </w:rPr>
        <w:t xml:space="preserve"> </w:t>
      </w:r>
      <w:r w:rsidRPr="003E7CD0">
        <w:rPr>
          <w:rFonts w:ascii="Traditional Arabic" w:hAnsi="Traditional Arabic" w:hint="cs"/>
          <w:b/>
          <w:bCs/>
          <w:spacing w:val="-4"/>
          <w:rtl/>
        </w:rPr>
        <w:t>حالا</w:t>
      </w:r>
      <w:r w:rsidRPr="003E7CD0">
        <w:rPr>
          <w:b/>
          <w:bCs/>
          <w:spacing w:val="-4"/>
          <w:rtl/>
        </w:rPr>
        <w:t>ت الاستنكاف الضميري من جانب الممارسين الطبيين؛ و</w:t>
      </w:r>
      <w:r w:rsidR="007100A9" w:rsidRPr="003E7CD0">
        <w:rPr>
          <w:b/>
          <w:bCs/>
          <w:spacing w:val="-4"/>
          <w:rtl/>
        </w:rPr>
        <w:t>’</w:t>
      </w:r>
      <w:r w:rsidR="007100A9" w:rsidRPr="003E7CD0">
        <w:rPr>
          <w:rFonts w:cs="Times New Roman" w:hint="cs"/>
          <w:b/>
          <w:bCs/>
          <w:spacing w:val="-4"/>
          <w:szCs w:val="20"/>
          <w:rtl/>
        </w:rPr>
        <w:t>3</w:t>
      </w:r>
      <w:r w:rsidR="007100A9" w:rsidRPr="003E7CD0">
        <w:rPr>
          <w:b/>
          <w:bCs/>
          <w:spacing w:val="-4"/>
          <w:rtl/>
        </w:rPr>
        <w:t>‘</w:t>
      </w:r>
      <w:r w:rsidRPr="003E7CD0">
        <w:rPr>
          <w:b/>
          <w:bCs/>
          <w:spacing w:val="-4"/>
          <w:rtl/>
        </w:rPr>
        <w:t xml:space="preserve"> تيسير الحصول على الاختبارات </w:t>
      </w:r>
      <w:r w:rsidRPr="003E7CD0">
        <w:rPr>
          <w:b/>
          <w:bCs/>
          <w:rtl/>
        </w:rPr>
        <w:t>الجينية قبل الولادة بغية القيام، وفق</w:t>
      </w:r>
      <w:r w:rsidR="00892491" w:rsidRPr="003E7CD0">
        <w:rPr>
          <w:b/>
          <w:bCs/>
          <w:rtl/>
        </w:rPr>
        <w:t>اً</w:t>
      </w:r>
      <w:r w:rsidRPr="003E7CD0">
        <w:rPr>
          <w:b/>
          <w:bCs/>
          <w:rtl/>
        </w:rPr>
        <w:t xml:space="preserve"> للقانون الصادر في </w:t>
      </w:r>
      <w:r w:rsidRPr="003E7CD0">
        <w:rPr>
          <w:b/>
          <w:bCs/>
          <w:szCs w:val="20"/>
          <w:rtl/>
        </w:rPr>
        <w:t>7</w:t>
      </w:r>
      <w:r w:rsidRPr="003E7CD0">
        <w:rPr>
          <w:b/>
          <w:bCs/>
          <w:rtl/>
        </w:rPr>
        <w:t xml:space="preserve"> كانون الثاني/يناير </w:t>
      </w:r>
      <w:r w:rsidRPr="003E7CD0">
        <w:rPr>
          <w:b/>
          <w:bCs/>
          <w:szCs w:val="20"/>
          <w:rtl/>
        </w:rPr>
        <w:t>1993</w:t>
      </w:r>
      <w:r w:rsidRPr="003E7CD0">
        <w:rPr>
          <w:b/>
          <w:bCs/>
          <w:rtl/>
        </w:rPr>
        <w:t>، بتحديد ما إذا كان</w:t>
      </w:r>
      <w:r w:rsidRPr="003E7CD0">
        <w:rPr>
          <w:b/>
          <w:bCs/>
          <w:spacing w:val="-4"/>
          <w:rtl/>
        </w:rPr>
        <w:t xml:space="preserve"> الجنين يعاني من عاهة شديدة لا يمكن إصلاحها أو من مرض لا شفاء منه يهدد حياة الجنين؛ و</w:t>
      </w:r>
      <w:r w:rsidR="007100A9" w:rsidRPr="003E7CD0">
        <w:rPr>
          <w:b/>
          <w:bCs/>
          <w:spacing w:val="-4"/>
          <w:rtl/>
        </w:rPr>
        <w:t>’</w:t>
      </w:r>
      <w:r w:rsidR="007100A9" w:rsidRPr="003E7CD0">
        <w:rPr>
          <w:rFonts w:cs="Times New Roman" w:hint="cs"/>
          <w:b/>
          <w:bCs/>
          <w:spacing w:val="-4"/>
          <w:szCs w:val="20"/>
          <w:rtl/>
        </w:rPr>
        <w:t>4</w:t>
      </w:r>
      <w:r w:rsidR="007100A9" w:rsidRPr="003E7CD0">
        <w:rPr>
          <w:b/>
          <w:bCs/>
          <w:spacing w:val="-4"/>
          <w:rtl/>
        </w:rPr>
        <w:t>‘</w:t>
      </w:r>
      <w:r w:rsidR="00C4214B" w:rsidRPr="003E7CD0">
        <w:rPr>
          <w:rFonts w:hint="cs"/>
          <w:b/>
          <w:bCs/>
          <w:spacing w:val="-4"/>
          <w:rtl/>
        </w:rPr>
        <w:t> </w:t>
      </w:r>
      <w:r w:rsidRPr="003E7CD0">
        <w:rPr>
          <w:b/>
          <w:bCs/>
          <w:spacing w:val="-4"/>
          <w:rtl/>
        </w:rPr>
        <w:t>ضمان إجراء استعراض في الوقت المناسب للطعون المقدمة ضد رفض الإجهاض، بما في ذلك زيادة تقليص الموعد النهائي لقرار لجنة الأطباء تقليص</w:t>
      </w:r>
      <w:r w:rsidR="00892491" w:rsidRPr="003E7CD0">
        <w:rPr>
          <w:b/>
          <w:bCs/>
          <w:spacing w:val="-4"/>
          <w:rtl/>
        </w:rPr>
        <w:t xml:space="preserve">اً </w:t>
      </w:r>
      <w:r w:rsidRPr="003E7CD0">
        <w:rPr>
          <w:b/>
          <w:bCs/>
          <w:spacing w:val="-4"/>
          <w:rtl/>
        </w:rPr>
        <w:t>كبيراً؛ و</w:t>
      </w:r>
      <w:r w:rsidR="007100A9" w:rsidRPr="003E7CD0">
        <w:rPr>
          <w:b/>
          <w:bCs/>
          <w:spacing w:val="-4"/>
          <w:rtl/>
        </w:rPr>
        <w:t>’</w:t>
      </w:r>
      <w:r w:rsidR="007100A9" w:rsidRPr="003E7CD0">
        <w:rPr>
          <w:rFonts w:cs="Times New Roman" w:hint="cs"/>
          <w:b/>
          <w:bCs/>
          <w:spacing w:val="-4"/>
          <w:szCs w:val="20"/>
          <w:rtl/>
        </w:rPr>
        <w:t>5</w:t>
      </w:r>
      <w:r w:rsidR="007100A9" w:rsidRPr="003E7CD0">
        <w:rPr>
          <w:b/>
          <w:bCs/>
          <w:spacing w:val="-4"/>
          <w:rtl/>
        </w:rPr>
        <w:t>‘</w:t>
      </w:r>
      <w:r w:rsidRPr="003E7CD0">
        <w:rPr>
          <w:b/>
          <w:bCs/>
          <w:spacing w:val="-4"/>
          <w:rtl/>
        </w:rPr>
        <w:t xml:space="preserve"> ضمان ألا تعوق آليات الحصول </w:t>
      </w:r>
      <w:r w:rsidRPr="003E7CD0">
        <w:rPr>
          <w:b/>
          <w:bCs/>
          <w:rtl/>
        </w:rPr>
        <w:t>على شهادات المدعين العامين وأنظمة فرادى المستشفيات عن الحصول على الإجهاض القانوني؛</w:t>
      </w:r>
    </w:p>
    <w:p w14:paraId="588FEB78" w14:textId="0E2E8F9A" w:rsidR="005C1B6A" w:rsidRPr="003E7CD0" w:rsidRDefault="005C1B6A" w:rsidP="005C1B6A">
      <w:pPr>
        <w:pStyle w:val="SingleTxtGA"/>
        <w:rPr>
          <w:spacing w:val="-4"/>
        </w:rPr>
      </w:pPr>
      <w:r w:rsidRPr="003E7CD0">
        <w:rPr>
          <w:spacing w:val="-4"/>
          <w:rtl/>
        </w:rPr>
        <w:tab/>
        <w:t>(ب)</w:t>
      </w:r>
      <w:r w:rsidRPr="003E7CD0">
        <w:rPr>
          <w:spacing w:val="-4"/>
          <w:rtl/>
        </w:rPr>
        <w:tab/>
      </w:r>
      <w:r w:rsidRPr="003E7CD0">
        <w:rPr>
          <w:b/>
          <w:bCs/>
          <w:spacing w:val="-4"/>
          <w:rtl/>
        </w:rPr>
        <w:t>الامتناع عن اعتماد أي إصلاح تشريعي يمكن أن يُفضي إلى تراجعٍ على مستوى القوانين التي تتضمن أصلاً أحكاماً تقيد فرص استفادة المرأة من خدمات الإجهاض القانوني المأمون؛</w:t>
      </w:r>
    </w:p>
    <w:p w14:paraId="24492D77" w14:textId="2B47B45A" w:rsidR="005C1B6A" w:rsidRPr="003E7CD0" w:rsidRDefault="005C1B6A" w:rsidP="005C1B6A">
      <w:pPr>
        <w:pStyle w:val="SingleTxtGA"/>
        <w:rPr>
          <w:b/>
          <w:bCs/>
        </w:rPr>
      </w:pPr>
      <w:r w:rsidRPr="003E7CD0">
        <w:rPr>
          <w:rtl/>
        </w:rPr>
        <w:tab/>
        <w:t>(ج)</w:t>
      </w:r>
      <w:r w:rsidRPr="003E7CD0">
        <w:rPr>
          <w:rtl/>
        </w:rPr>
        <w:tab/>
      </w:r>
      <w:r w:rsidRPr="003E7CD0">
        <w:rPr>
          <w:b/>
          <w:bCs/>
          <w:spacing w:val="-4"/>
          <w:rtl/>
        </w:rPr>
        <w:t>تعزيز برامج التثقيف والتوعية في مجال الحقوق المتعلقة بالصحة الجنسية والإنجابية</w:t>
      </w:r>
      <w:r w:rsidRPr="003E7CD0">
        <w:rPr>
          <w:b/>
          <w:bCs/>
          <w:rtl/>
        </w:rPr>
        <w:t xml:space="preserve"> وتيسير الحصول على وسائل منع الحمل على نحو فعال.</w:t>
      </w:r>
    </w:p>
    <w:p w14:paraId="26620406" w14:textId="77777777" w:rsidR="005C1B6A" w:rsidRPr="003E7CD0" w:rsidRDefault="005C1B6A" w:rsidP="007100A9">
      <w:pPr>
        <w:pStyle w:val="H23GA"/>
      </w:pPr>
      <w:r w:rsidRPr="003E7CD0">
        <w:rPr>
          <w:rtl/>
        </w:rPr>
        <w:lastRenderedPageBreak/>
        <w:tab/>
      </w:r>
      <w:r w:rsidRPr="003E7CD0">
        <w:rPr>
          <w:rtl/>
        </w:rPr>
        <w:tab/>
        <w:t xml:space="preserve">ملخص ردّ الدولة الطرف </w:t>
      </w:r>
    </w:p>
    <w:p w14:paraId="19413332" w14:textId="59311D4C" w:rsidR="005C1B6A" w:rsidRPr="003E7CD0" w:rsidRDefault="005C1B6A" w:rsidP="005C1B6A">
      <w:pPr>
        <w:pStyle w:val="SingleTxtGA"/>
      </w:pPr>
      <w:r w:rsidRPr="003E7CD0">
        <w:rPr>
          <w:rtl/>
        </w:rPr>
        <w:tab/>
        <w:t>(أ)</w:t>
      </w:r>
      <w:r w:rsidRPr="003E7CD0">
        <w:rPr>
          <w:rtl/>
        </w:rPr>
        <w:tab/>
      </w:r>
      <w:r w:rsidRPr="003E7CD0">
        <w:rPr>
          <w:spacing w:val="-4"/>
          <w:rtl/>
        </w:rPr>
        <w:t>تكرر الدولة الطرف المعلومات المقدمة في تقريرها الدوري السابع (</w:t>
      </w:r>
      <w:r w:rsidRPr="003E7CD0">
        <w:rPr>
          <w:spacing w:val="-4"/>
        </w:rPr>
        <w:t>CCPR/C/POL/</w:t>
      </w:r>
      <w:r w:rsidRPr="003E7CD0">
        <w:rPr>
          <w:spacing w:val="-4"/>
          <w:szCs w:val="20"/>
        </w:rPr>
        <w:t>7</w:t>
      </w:r>
      <w:r w:rsidRPr="003E7CD0">
        <w:rPr>
          <w:spacing w:val="-4"/>
          <w:rtl/>
        </w:rPr>
        <w:t>،</w:t>
      </w:r>
      <w:r w:rsidRPr="003E7CD0">
        <w:rPr>
          <w:rtl/>
        </w:rPr>
        <w:t xml:space="preserve"> الفقرة </w:t>
      </w:r>
      <w:r w:rsidRPr="003E7CD0">
        <w:rPr>
          <w:szCs w:val="20"/>
          <w:rtl/>
        </w:rPr>
        <w:t>72</w:t>
      </w:r>
      <w:r w:rsidRPr="003E7CD0">
        <w:rPr>
          <w:rtl/>
        </w:rPr>
        <w:t xml:space="preserve">) بشأن عدم وجود بيانات رسمية عن حالات الإجهاض غير القانوني. وتكرر الدولة الطرف </w:t>
      </w:r>
      <w:r w:rsidRPr="003E7CD0">
        <w:rPr>
          <w:spacing w:val="-4"/>
          <w:rtl/>
        </w:rPr>
        <w:t xml:space="preserve">أيضاً المعلومات الواردة في تقريرها الدوري السابع (المرجع نفسه، الفقرة </w:t>
      </w:r>
      <w:r w:rsidRPr="003E7CD0">
        <w:rPr>
          <w:spacing w:val="-4"/>
          <w:szCs w:val="20"/>
          <w:rtl/>
        </w:rPr>
        <w:t>76</w:t>
      </w:r>
      <w:r w:rsidRPr="003E7CD0">
        <w:rPr>
          <w:spacing w:val="-4"/>
          <w:rtl/>
        </w:rPr>
        <w:t>) بشأن "شرط الضمير"، الذي يسمح للممارسين الطبيين بالامتناع عن أداء الخدمات الصحية التي تتعارض مع ضمائرهم، إلا في</w:t>
      </w:r>
      <w:r w:rsidRPr="003E7CD0">
        <w:rPr>
          <w:rtl/>
        </w:rPr>
        <w:t xml:space="preserve"> </w:t>
      </w:r>
      <w:r w:rsidRPr="003E7CD0">
        <w:rPr>
          <w:spacing w:val="-4"/>
          <w:rtl/>
        </w:rPr>
        <w:t xml:space="preserve">حالات الطوارئ. وتكرر الدولة الطرف المعلومات الواردة في تقريرها الدوري السابع (المرجع نفسه، الفقرة </w:t>
      </w:r>
      <w:r w:rsidRPr="003E7CD0">
        <w:rPr>
          <w:spacing w:val="-4"/>
          <w:szCs w:val="20"/>
          <w:rtl/>
        </w:rPr>
        <w:t>79</w:t>
      </w:r>
      <w:r w:rsidRPr="003E7CD0">
        <w:rPr>
          <w:spacing w:val="-4"/>
          <w:rtl/>
        </w:rPr>
        <w:t>)</w:t>
      </w:r>
      <w:r w:rsidRPr="003E7CD0">
        <w:rPr>
          <w:rtl/>
        </w:rPr>
        <w:t xml:space="preserve"> التي تتناول حق المرضى في إبداء اعتراضات على الرأي الطبي أمام أمين المظالم المعني بحقوق المرضى. وعُين </w:t>
      </w:r>
      <w:r w:rsidRPr="003E7CD0">
        <w:rPr>
          <w:spacing w:val="-4"/>
          <w:rtl/>
        </w:rPr>
        <w:t>مفوض معني بحقوق المرضى استناد</w:t>
      </w:r>
      <w:r w:rsidR="00892491" w:rsidRPr="003E7CD0">
        <w:rPr>
          <w:spacing w:val="-4"/>
          <w:rtl/>
        </w:rPr>
        <w:t xml:space="preserve">اً </w:t>
      </w:r>
      <w:r w:rsidRPr="003E7CD0">
        <w:rPr>
          <w:spacing w:val="-4"/>
          <w:rtl/>
        </w:rPr>
        <w:t>إلى القانون ذي الصلة الذي اعتُمد</w:t>
      </w:r>
      <w:r w:rsidRPr="003E7CD0">
        <w:rPr>
          <w:rtl/>
        </w:rPr>
        <w:t xml:space="preserve"> في </w:t>
      </w:r>
      <w:r w:rsidRPr="003E7CD0">
        <w:rPr>
          <w:szCs w:val="20"/>
          <w:rtl/>
        </w:rPr>
        <w:t>6</w:t>
      </w:r>
      <w:r w:rsidRPr="003E7CD0">
        <w:rPr>
          <w:rtl/>
        </w:rPr>
        <w:t xml:space="preserve"> تشرين الثاني/نوفمبر </w:t>
      </w:r>
      <w:r w:rsidRPr="003E7CD0">
        <w:rPr>
          <w:szCs w:val="20"/>
          <w:rtl/>
        </w:rPr>
        <w:t>2008</w:t>
      </w:r>
      <w:r w:rsidRPr="003E7CD0">
        <w:rPr>
          <w:rtl/>
        </w:rPr>
        <w:t xml:space="preserve">، </w:t>
      </w:r>
      <w:r w:rsidRPr="003E7CD0">
        <w:rPr>
          <w:spacing w:val="-4"/>
          <w:rtl/>
        </w:rPr>
        <w:t>واعتبر الحق في إبداء اعتراضات على الرأي الطبي وسيلة من وسائل تنفيذ أحكام المحكمة الأوروبية لحقوق</w:t>
      </w:r>
      <w:r w:rsidRPr="003E7CD0">
        <w:rPr>
          <w:rtl/>
        </w:rPr>
        <w:t xml:space="preserve"> الإنسان في قضايا </w:t>
      </w:r>
      <w:r w:rsidR="006776BC" w:rsidRPr="003E7CD0">
        <w:rPr>
          <w:i/>
        </w:rPr>
        <w:t>Tysiąc v. Poland</w:t>
      </w:r>
      <w:r w:rsidR="006776BC" w:rsidRPr="003E7CD0">
        <w:t xml:space="preserve">, </w:t>
      </w:r>
      <w:r w:rsidR="006776BC" w:rsidRPr="003E7CD0">
        <w:rPr>
          <w:i/>
        </w:rPr>
        <w:t>R.R. v. Poland</w:t>
      </w:r>
      <w:r w:rsidRPr="003E7CD0">
        <w:rPr>
          <w:rtl/>
        </w:rPr>
        <w:t xml:space="preserve"> و</w:t>
      </w:r>
      <w:r w:rsidR="006776BC" w:rsidRPr="003E7CD0">
        <w:rPr>
          <w:i/>
        </w:rPr>
        <w:t>P. and S. v. Poland</w:t>
      </w:r>
      <w:r w:rsidRPr="003E7CD0">
        <w:rPr>
          <w:rtl/>
        </w:rPr>
        <w:t>.</w:t>
      </w:r>
    </w:p>
    <w:p w14:paraId="7555D6E8" w14:textId="77777777" w:rsidR="005C1B6A" w:rsidRPr="003E7CD0" w:rsidRDefault="005C1B6A" w:rsidP="005C1B6A">
      <w:pPr>
        <w:pStyle w:val="SingleTxtGA"/>
      </w:pPr>
      <w:r w:rsidRPr="003E7CD0">
        <w:rPr>
          <w:rtl/>
        </w:rPr>
        <w:tab/>
        <w:t xml:space="preserve">وتنظم لائحة وزارة الصحة الصادرة في </w:t>
      </w:r>
      <w:r w:rsidRPr="003E7CD0">
        <w:rPr>
          <w:szCs w:val="20"/>
          <w:rtl/>
        </w:rPr>
        <w:t>6</w:t>
      </w:r>
      <w:r w:rsidRPr="003E7CD0">
        <w:rPr>
          <w:rtl/>
        </w:rPr>
        <w:t xml:space="preserve"> تشرين الثاني/نوفمبر </w:t>
      </w:r>
      <w:r w:rsidRPr="003E7CD0">
        <w:rPr>
          <w:szCs w:val="20"/>
          <w:rtl/>
        </w:rPr>
        <w:t>2013</w:t>
      </w:r>
      <w:r w:rsidRPr="003E7CD0">
        <w:rPr>
          <w:rtl/>
        </w:rPr>
        <w:t xml:space="preserve"> إجراء الفحوص السابقة للولادة. وترمي الفحوص السابقة للولادة إلى تحديد عيب أو مرض في الطفل أو استبعاده، ومن الخطأ افتراض أن الهدف الوحيد من هذه الفحوص هو توفير أسباب لتبرير الإجهاض استناداً إلى النتائج؛</w:t>
      </w:r>
    </w:p>
    <w:p w14:paraId="79228900" w14:textId="78DEBD61" w:rsidR="005C1B6A" w:rsidRPr="003E7CD0" w:rsidRDefault="005C1B6A" w:rsidP="005C1B6A">
      <w:pPr>
        <w:pStyle w:val="SingleTxtGA"/>
      </w:pPr>
      <w:r w:rsidRPr="003E7CD0">
        <w:rPr>
          <w:rtl/>
        </w:rPr>
        <w:tab/>
        <w:t>(ب)</w:t>
      </w:r>
      <w:r w:rsidRPr="003E7CD0">
        <w:rPr>
          <w:rtl/>
        </w:rPr>
        <w:tab/>
        <w:t>لم تُقَّدم أي معلومات</w:t>
      </w:r>
      <w:r w:rsidRPr="003E7CD0">
        <w:rPr>
          <w:rFonts w:ascii="Traditional Arabic" w:hAnsi="Traditional Arabic" w:hint="cs"/>
          <w:rtl/>
        </w:rPr>
        <w:t>؛</w:t>
      </w:r>
    </w:p>
    <w:p w14:paraId="3CEEB59E" w14:textId="14142688" w:rsidR="005C1B6A" w:rsidRPr="003E7CD0" w:rsidRDefault="005C1B6A" w:rsidP="005C1B6A">
      <w:pPr>
        <w:pStyle w:val="SingleTxtGA"/>
      </w:pPr>
      <w:r w:rsidRPr="003E7CD0">
        <w:rPr>
          <w:rtl/>
        </w:rPr>
        <w:tab/>
        <w:t>(ج)</w:t>
      </w:r>
      <w:r w:rsidRPr="003E7CD0">
        <w:rPr>
          <w:rtl/>
        </w:rPr>
        <w:tab/>
        <w:t>لم تُقَّدم أي معلومات.</w:t>
      </w:r>
    </w:p>
    <w:p w14:paraId="2CBA488A" w14:textId="77777777" w:rsidR="005C1B6A" w:rsidRPr="003E7CD0" w:rsidRDefault="005C1B6A" w:rsidP="007100A9">
      <w:pPr>
        <w:pStyle w:val="H23GA"/>
      </w:pPr>
      <w:r w:rsidRPr="003E7CD0">
        <w:rPr>
          <w:rtl/>
        </w:rPr>
        <w:tab/>
      </w:r>
      <w:r w:rsidRPr="003E7CD0">
        <w:rPr>
          <w:rtl/>
        </w:rPr>
        <w:tab/>
        <w:t>معلومات من معهد أوردو يوريس للثقافة القانونية</w:t>
      </w:r>
    </w:p>
    <w:p w14:paraId="017D9D52" w14:textId="77777777" w:rsidR="005C1B6A" w:rsidRPr="003E7CD0" w:rsidRDefault="005C1B6A" w:rsidP="005C1B6A">
      <w:pPr>
        <w:pStyle w:val="SingleTxtGA"/>
      </w:pPr>
      <w:r w:rsidRPr="003E7CD0">
        <w:rPr>
          <w:rtl/>
        </w:rPr>
        <w:tab/>
        <w:t>(أ)</w:t>
      </w:r>
      <w:r w:rsidRPr="003E7CD0">
        <w:rPr>
          <w:rtl/>
        </w:rPr>
        <w:tab/>
        <w:t xml:space="preserve">تشير البحوث الطبية إلى أن محدودية فرص الإجهاض له أثر إيجابي في انخفاض </w:t>
      </w:r>
      <w:r w:rsidRPr="003E7CD0">
        <w:rPr>
          <w:spacing w:val="-5"/>
          <w:rtl/>
        </w:rPr>
        <w:t>معدلات وفيات الأمومة. ويرتبط ارتفاع مستوى حماية حياة الطفل بانخفاض الخطر على حياة الأم وصحتها.</w:t>
      </w:r>
    </w:p>
    <w:p w14:paraId="4B08F555" w14:textId="2F92B4E6" w:rsidR="005C1B6A" w:rsidRPr="003E7CD0" w:rsidRDefault="005C1B6A" w:rsidP="005C1B6A">
      <w:pPr>
        <w:pStyle w:val="SingleTxtGA"/>
      </w:pPr>
      <w:r w:rsidRPr="003E7CD0">
        <w:rPr>
          <w:rtl/>
        </w:rPr>
        <w:tab/>
        <w:t xml:space="preserve">وتشير التقديرات الموثوقة إلى أن عدد حالات الإجهاض غير القانونية يتراوح بين </w:t>
      </w:r>
      <w:r w:rsidRPr="003E7CD0">
        <w:rPr>
          <w:szCs w:val="20"/>
          <w:rtl/>
        </w:rPr>
        <w:t>000</w:t>
      </w:r>
      <w:r w:rsidRPr="003E7CD0">
        <w:rPr>
          <w:rtl/>
        </w:rPr>
        <w:t xml:space="preserve"> </w:t>
      </w:r>
      <w:r w:rsidRPr="003E7CD0">
        <w:rPr>
          <w:szCs w:val="20"/>
          <w:rtl/>
        </w:rPr>
        <w:t>7</w:t>
      </w:r>
      <w:r w:rsidRPr="003E7CD0">
        <w:rPr>
          <w:rtl/>
        </w:rPr>
        <w:t xml:space="preserve"> و</w:t>
      </w:r>
      <w:r w:rsidRPr="003E7CD0">
        <w:rPr>
          <w:szCs w:val="20"/>
          <w:rtl/>
        </w:rPr>
        <w:t>000</w:t>
      </w:r>
      <w:r w:rsidRPr="003E7CD0">
        <w:rPr>
          <w:rtl/>
        </w:rPr>
        <w:t xml:space="preserve"> </w:t>
      </w:r>
      <w:r w:rsidRPr="003E7CD0">
        <w:rPr>
          <w:szCs w:val="20"/>
          <w:rtl/>
        </w:rPr>
        <w:t>13</w:t>
      </w:r>
      <w:r w:rsidRPr="003E7CD0">
        <w:rPr>
          <w:rtl/>
        </w:rPr>
        <w:t xml:space="preserve"> حالة سنويا</w:t>
      </w:r>
      <w:r w:rsidR="007100A9" w:rsidRPr="003E7CD0">
        <w:rPr>
          <w:rFonts w:hint="cs"/>
          <w:rtl/>
        </w:rPr>
        <w:t>ً</w:t>
      </w:r>
      <w:r w:rsidRPr="003E7CD0">
        <w:rPr>
          <w:rtl/>
        </w:rPr>
        <w:t xml:space="preserve">، وهو عدد أقلّ بكثير من العدد الذي تفيد به وسائل الإعلام، أي بين </w:t>
      </w:r>
      <w:r w:rsidRPr="003E7CD0">
        <w:rPr>
          <w:szCs w:val="20"/>
          <w:rtl/>
        </w:rPr>
        <w:t>000</w:t>
      </w:r>
      <w:r w:rsidRPr="003E7CD0">
        <w:rPr>
          <w:rtl/>
        </w:rPr>
        <w:t xml:space="preserve"> </w:t>
      </w:r>
      <w:r w:rsidR="00C4214B" w:rsidRPr="003E7CD0">
        <w:rPr>
          <w:szCs w:val="20"/>
          <w:rtl/>
        </w:rPr>
        <w:t>80</w:t>
      </w:r>
      <w:r w:rsidR="00C4214B" w:rsidRPr="003E7CD0">
        <w:rPr>
          <w:rFonts w:hint="cs"/>
          <w:szCs w:val="20"/>
          <w:rtl/>
        </w:rPr>
        <w:t xml:space="preserve"> </w:t>
      </w:r>
      <w:r w:rsidR="00C4214B" w:rsidRPr="003E7CD0">
        <w:rPr>
          <w:rFonts w:hint="cs"/>
          <w:sz w:val="28"/>
          <w:rtl/>
        </w:rPr>
        <w:t>و</w:t>
      </w:r>
      <w:r w:rsidR="00C4214B" w:rsidRPr="003E7CD0">
        <w:rPr>
          <w:rFonts w:hint="cs"/>
          <w:szCs w:val="20"/>
          <w:rtl/>
        </w:rPr>
        <w:t>0</w:t>
      </w:r>
      <w:r w:rsidRPr="003E7CD0">
        <w:rPr>
          <w:szCs w:val="20"/>
          <w:rtl/>
        </w:rPr>
        <w:t>00</w:t>
      </w:r>
      <w:r w:rsidRPr="003E7CD0">
        <w:rPr>
          <w:rtl/>
        </w:rPr>
        <w:t xml:space="preserve"> </w:t>
      </w:r>
      <w:r w:rsidR="00C4214B" w:rsidRPr="003E7CD0">
        <w:rPr>
          <w:rFonts w:hint="cs"/>
          <w:szCs w:val="20"/>
          <w:rtl/>
        </w:rPr>
        <w:t>2</w:t>
      </w:r>
      <w:r w:rsidRPr="003E7CD0">
        <w:rPr>
          <w:szCs w:val="20"/>
          <w:rtl/>
        </w:rPr>
        <w:t>00</w:t>
      </w:r>
      <w:r w:rsidR="007100A9" w:rsidRPr="003E7CD0">
        <w:rPr>
          <w:rFonts w:hint="cs"/>
          <w:rtl/>
        </w:rPr>
        <w:t xml:space="preserve"> </w:t>
      </w:r>
      <w:r w:rsidRPr="003E7CD0">
        <w:rPr>
          <w:rtl/>
        </w:rPr>
        <w:t>وحالة إجهاض غير قانوني.</w:t>
      </w:r>
    </w:p>
    <w:p w14:paraId="31B88D9B" w14:textId="77777777" w:rsidR="005C1B6A" w:rsidRPr="003E7CD0" w:rsidRDefault="005C1B6A" w:rsidP="005C1B6A">
      <w:pPr>
        <w:pStyle w:val="SingleTxtGA"/>
      </w:pPr>
      <w:r w:rsidRPr="003E7CD0">
        <w:rPr>
          <w:rtl/>
        </w:rPr>
        <w:tab/>
        <w:t xml:space="preserve">وتكفل المادة </w:t>
      </w:r>
      <w:r w:rsidRPr="003E7CD0">
        <w:rPr>
          <w:szCs w:val="20"/>
          <w:rtl/>
        </w:rPr>
        <w:t>53</w:t>
      </w:r>
      <w:r w:rsidRPr="003E7CD0">
        <w:rPr>
          <w:rtl/>
        </w:rPr>
        <w:t xml:space="preserve"> من الدستور حق كل فرد في حرية الوجدان والدين. وتوفر اختبارات السابقة للولادة لغرض الإجهاض هو شكل من أشكال التمييز ضد أطفال في الأرحام على أساس الاشتباه في إصابتهم بمرض أو خطر إصابتهم بإعاقة، وهو ما يتعارض مع المعايير الدستورية والدولية والقانونية لحماية حقوق الطفل؛</w:t>
      </w:r>
    </w:p>
    <w:p w14:paraId="101D3C71" w14:textId="77777777" w:rsidR="005C1B6A" w:rsidRPr="003E7CD0" w:rsidRDefault="005C1B6A" w:rsidP="005C1B6A">
      <w:pPr>
        <w:pStyle w:val="SingleTxtGA"/>
      </w:pPr>
      <w:r w:rsidRPr="003E7CD0">
        <w:rPr>
          <w:rtl/>
        </w:rPr>
        <w:tab/>
        <w:t>(ب)</w:t>
      </w:r>
      <w:r w:rsidRPr="003E7CD0">
        <w:rPr>
          <w:spacing w:val="-2"/>
          <w:rtl/>
        </w:rPr>
        <w:tab/>
        <w:t xml:space="preserve">وفي </w:t>
      </w:r>
      <w:r w:rsidRPr="003E7CD0">
        <w:rPr>
          <w:spacing w:val="-2"/>
          <w:szCs w:val="20"/>
          <w:rtl/>
        </w:rPr>
        <w:t>30</w:t>
      </w:r>
      <w:r w:rsidRPr="003E7CD0">
        <w:rPr>
          <w:spacing w:val="-2"/>
          <w:rtl/>
        </w:rPr>
        <w:t xml:space="preserve"> تشرين الثاني/نوفمبر </w:t>
      </w:r>
      <w:r w:rsidRPr="003E7CD0">
        <w:rPr>
          <w:spacing w:val="-2"/>
          <w:szCs w:val="20"/>
          <w:rtl/>
        </w:rPr>
        <w:t>2017</w:t>
      </w:r>
      <w:r w:rsidRPr="003E7CD0">
        <w:rPr>
          <w:spacing w:val="-2"/>
          <w:rtl/>
        </w:rPr>
        <w:t>، قدمت لجنة المبادرة التشريعية "وقف الإجهاض"</w:t>
      </w:r>
      <w:r w:rsidRPr="003E7CD0">
        <w:rPr>
          <w:rtl/>
        </w:rPr>
        <w:t xml:space="preserve"> مشروع قانون لتعديل القانون الصادر في </w:t>
      </w:r>
      <w:r w:rsidRPr="003E7CD0">
        <w:rPr>
          <w:szCs w:val="20"/>
          <w:rtl/>
        </w:rPr>
        <w:t>7</w:t>
      </w:r>
      <w:r w:rsidRPr="003E7CD0">
        <w:rPr>
          <w:rtl/>
        </w:rPr>
        <w:t xml:space="preserve"> كانون الثاني/يناير </w:t>
      </w:r>
      <w:r w:rsidRPr="003E7CD0">
        <w:rPr>
          <w:szCs w:val="20"/>
          <w:rtl/>
        </w:rPr>
        <w:t>1993</w:t>
      </w:r>
      <w:r w:rsidRPr="003E7CD0">
        <w:rPr>
          <w:rtl/>
        </w:rPr>
        <w:t xml:space="preserve"> بشأن تنظيم الأسرة وحماية الأجنة </w:t>
      </w:r>
      <w:r w:rsidRPr="003E7CD0">
        <w:rPr>
          <w:spacing w:val="-2"/>
          <w:rtl/>
        </w:rPr>
        <w:t>البشرية وتحديد الظروف التي يجوز فيها إنهاء الحمل. ويرمي مشروع القانون إلى حظر التمييز ضد الأطفال</w:t>
      </w:r>
      <w:r w:rsidRPr="003E7CD0">
        <w:rPr>
          <w:rtl/>
        </w:rPr>
        <w:t xml:space="preserve"> في الأرحام الذين يُشتبه في أنهم يعانون من مرض أو أنهم معرضون لخطر الإعاقة؛</w:t>
      </w:r>
    </w:p>
    <w:p w14:paraId="4CA47951" w14:textId="6416DF49" w:rsidR="005C1B6A" w:rsidRPr="003E7CD0" w:rsidRDefault="005C1B6A" w:rsidP="005C1B6A">
      <w:pPr>
        <w:pStyle w:val="SingleTxtGA"/>
      </w:pPr>
      <w:r w:rsidRPr="003E7CD0">
        <w:rPr>
          <w:rtl/>
        </w:rPr>
        <w:tab/>
        <w:t>(ج)</w:t>
      </w:r>
      <w:r w:rsidRPr="003E7CD0">
        <w:rPr>
          <w:rtl/>
        </w:rPr>
        <w:tab/>
        <w:t>لم تُقَّدم أي معلومات.</w:t>
      </w:r>
    </w:p>
    <w:p w14:paraId="5CCEF017" w14:textId="77777777" w:rsidR="005C1B6A" w:rsidRPr="003E7CD0" w:rsidRDefault="005C1B6A" w:rsidP="007100A9">
      <w:pPr>
        <w:pStyle w:val="H23GA"/>
      </w:pPr>
      <w:r w:rsidRPr="003E7CD0">
        <w:rPr>
          <w:rtl/>
        </w:rPr>
        <w:tab/>
      </w:r>
      <w:r w:rsidRPr="003E7CD0">
        <w:rPr>
          <w:rtl/>
        </w:rPr>
        <w:tab/>
        <w:t>تقييم اللجنة</w:t>
      </w:r>
    </w:p>
    <w:p w14:paraId="09DD9021" w14:textId="77777777" w:rsidR="005C1B6A" w:rsidRPr="003E7CD0" w:rsidRDefault="005C1B6A" w:rsidP="005C1B6A">
      <w:pPr>
        <w:pStyle w:val="SingleTxtGA"/>
      </w:pPr>
      <w:r w:rsidRPr="003E7CD0">
        <w:rPr>
          <w:b/>
          <w:bCs/>
          <w:rtl/>
        </w:rPr>
        <w:t>[جيم]</w:t>
      </w:r>
      <w:r w:rsidRPr="003E7CD0">
        <w:rPr>
          <w:spacing w:val="-2"/>
          <w:rtl/>
        </w:rPr>
        <w:t xml:space="preserve"> (أ) و(ب) و(ج): تأسف اللجنة لأن الدولة كررت المعلومات الواردة في تقريرها الدوري السابع، ولأنها لم تقدم معلومات عن التدابير المتخذة منذ اعتماد الملاحظات الختامية. وتكرر اللجنة توصياتها.</w:t>
      </w:r>
    </w:p>
    <w:p w14:paraId="13EEF970" w14:textId="77777777" w:rsidR="005C1B6A" w:rsidRPr="003E7CD0" w:rsidRDefault="005C1B6A" w:rsidP="005C1B6A">
      <w:pPr>
        <w:pStyle w:val="SingleTxtGA"/>
      </w:pPr>
      <w:r w:rsidRPr="003E7CD0">
        <w:rPr>
          <w:rtl/>
        </w:rPr>
        <w:lastRenderedPageBreak/>
        <w:tab/>
      </w:r>
      <w:r w:rsidRPr="003E7CD0">
        <w:rPr>
          <w:spacing w:val="-4"/>
          <w:rtl/>
        </w:rPr>
        <w:t xml:space="preserve">وتأسف اللجنة لعدم تقديم معلومات عن التدابير المتخذة للإحجام عن اعتماد إصلاح تشريعي </w:t>
      </w:r>
      <w:r w:rsidRPr="003E7CD0">
        <w:rPr>
          <w:spacing w:val="-2"/>
          <w:rtl/>
        </w:rPr>
        <w:t xml:space="preserve">تراجعي، وتطلب معلومات عن مشروع القانون المقدم في </w:t>
      </w:r>
      <w:r w:rsidRPr="003E7CD0">
        <w:rPr>
          <w:spacing w:val="-2"/>
          <w:szCs w:val="20"/>
          <w:rtl/>
        </w:rPr>
        <w:t>30</w:t>
      </w:r>
      <w:r w:rsidRPr="003E7CD0">
        <w:rPr>
          <w:spacing w:val="-2"/>
          <w:rtl/>
        </w:rPr>
        <w:t xml:space="preserve"> تشرين الثاني/نوفمبر </w:t>
      </w:r>
      <w:r w:rsidRPr="003E7CD0">
        <w:rPr>
          <w:spacing w:val="-2"/>
          <w:szCs w:val="20"/>
          <w:rtl/>
        </w:rPr>
        <w:t>2017</w:t>
      </w:r>
      <w:r w:rsidRPr="003E7CD0">
        <w:rPr>
          <w:spacing w:val="-2"/>
          <w:rtl/>
        </w:rPr>
        <w:t xml:space="preserve"> لتعديل القانون</w:t>
      </w:r>
      <w:r w:rsidRPr="003E7CD0">
        <w:rPr>
          <w:rtl/>
        </w:rPr>
        <w:t xml:space="preserve"> الصادر في </w:t>
      </w:r>
      <w:r w:rsidRPr="003E7CD0">
        <w:rPr>
          <w:szCs w:val="20"/>
          <w:rtl/>
        </w:rPr>
        <w:t>7</w:t>
      </w:r>
      <w:r w:rsidRPr="003E7CD0">
        <w:rPr>
          <w:rtl/>
        </w:rPr>
        <w:t xml:space="preserve"> كانون الثاني/يناير </w:t>
      </w:r>
      <w:r w:rsidRPr="003E7CD0">
        <w:rPr>
          <w:szCs w:val="20"/>
          <w:rtl/>
        </w:rPr>
        <w:t>1993</w:t>
      </w:r>
      <w:r w:rsidRPr="003E7CD0">
        <w:rPr>
          <w:rtl/>
        </w:rPr>
        <w:t>. وتكرر اللجنة توصياتها.</w:t>
      </w:r>
    </w:p>
    <w:p w14:paraId="51E4010C" w14:textId="5C80CFFB" w:rsidR="005C1B6A" w:rsidRPr="003E7CD0" w:rsidRDefault="005C1B6A" w:rsidP="005C1B6A">
      <w:pPr>
        <w:pStyle w:val="SingleTxtGA"/>
      </w:pPr>
      <w:r w:rsidRPr="003E7CD0">
        <w:rPr>
          <w:rtl/>
        </w:rPr>
        <w:tab/>
        <w:t xml:space="preserve">وتأسف اللجنة لعدم تقديم معلومات عن التدابير المتخذة منذ اعتماد الملاحظات الختامية لزيادة برامج التثقيف والتوعية في مجال الحقوق المتعلقة بالصحة الجنسية والإنجابية وتيسر الحصول على وسائل منع الحمل على نحو فعال. </w:t>
      </w:r>
      <w:r w:rsidRPr="003E7CD0">
        <w:rPr>
          <w:rFonts w:ascii="Traditional Arabic" w:hAnsi="Traditional Arabic" w:hint="cs"/>
          <w:rtl/>
        </w:rPr>
        <w:t>وتكرر</w:t>
      </w:r>
      <w:r w:rsidRPr="003E7CD0">
        <w:rPr>
          <w:rtl/>
        </w:rPr>
        <w:t xml:space="preserve"> </w:t>
      </w:r>
      <w:r w:rsidRPr="003E7CD0">
        <w:rPr>
          <w:rFonts w:ascii="Traditional Arabic" w:hAnsi="Traditional Arabic" w:hint="cs"/>
          <w:rtl/>
        </w:rPr>
        <w:t>اللجنة</w:t>
      </w:r>
      <w:r w:rsidRPr="003E7CD0">
        <w:rPr>
          <w:rtl/>
        </w:rPr>
        <w:t xml:space="preserve"> </w:t>
      </w:r>
      <w:r w:rsidRPr="003E7CD0">
        <w:rPr>
          <w:rFonts w:ascii="Traditional Arabic" w:hAnsi="Traditional Arabic" w:hint="cs"/>
          <w:rtl/>
        </w:rPr>
        <w:t>توصياتها</w:t>
      </w:r>
      <w:r w:rsidRPr="003E7CD0">
        <w:rPr>
          <w:rtl/>
        </w:rPr>
        <w:t>.</w:t>
      </w:r>
    </w:p>
    <w:p w14:paraId="33090E84" w14:textId="77777777" w:rsidR="005C1B6A" w:rsidRPr="003E7CD0" w:rsidRDefault="005C1B6A" w:rsidP="007100A9">
      <w:pPr>
        <w:pStyle w:val="H23GA"/>
      </w:pPr>
      <w:r w:rsidRPr="003E7CD0">
        <w:rPr>
          <w:rtl/>
        </w:rPr>
        <w:tab/>
      </w:r>
      <w:r w:rsidRPr="003E7CD0">
        <w:rPr>
          <w:rtl/>
        </w:rPr>
        <w:tab/>
        <w:t xml:space="preserve">الفقرة </w:t>
      </w:r>
      <w:r w:rsidRPr="003E7CD0">
        <w:rPr>
          <w:szCs w:val="20"/>
          <w:rtl/>
        </w:rPr>
        <w:t>32</w:t>
      </w:r>
      <w:r w:rsidRPr="003E7CD0">
        <w:rPr>
          <w:rtl/>
        </w:rPr>
        <w:t>: حقوق الأجانب</w:t>
      </w:r>
    </w:p>
    <w:p w14:paraId="7D7E99AB" w14:textId="77777777" w:rsidR="005C1B6A" w:rsidRPr="003E7CD0" w:rsidRDefault="005C1B6A" w:rsidP="005C1B6A">
      <w:pPr>
        <w:pStyle w:val="SingleTxtGA"/>
        <w:rPr>
          <w:b/>
          <w:bCs/>
        </w:rPr>
      </w:pPr>
      <w:r w:rsidRPr="003E7CD0">
        <w:rPr>
          <w:b/>
          <w:bCs/>
          <w:rtl/>
        </w:rPr>
        <w:t>ينبغي للدولة الطرف أن تقوم بما يلي:</w:t>
      </w:r>
    </w:p>
    <w:p w14:paraId="7CDA2C67" w14:textId="0BD66C38" w:rsidR="005C1B6A" w:rsidRPr="003E7CD0" w:rsidRDefault="005C1B6A" w:rsidP="005C1B6A">
      <w:pPr>
        <w:pStyle w:val="SingleTxtGA"/>
        <w:rPr>
          <w:b/>
          <w:bCs/>
        </w:rPr>
      </w:pPr>
      <w:r w:rsidRPr="003E7CD0">
        <w:rPr>
          <w:rtl/>
        </w:rPr>
        <w:tab/>
        <w:t>(أ)</w:t>
      </w:r>
      <w:r w:rsidRPr="003E7CD0">
        <w:rPr>
          <w:rtl/>
        </w:rPr>
        <w:tab/>
      </w:r>
      <w:r w:rsidRPr="003E7CD0">
        <w:rPr>
          <w:b/>
          <w:bCs/>
          <w:rtl/>
        </w:rPr>
        <w:t xml:space="preserve">الإحجام عن احتجاز ملتمسي اللجوء والمهاجرين وتنفيذ إجراءات بديلة، </w:t>
      </w:r>
      <w:r w:rsidRPr="003E7CD0">
        <w:rPr>
          <w:b/>
          <w:bCs/>
          <w:spacing w:val="-4"/>
          <w:rtl/>
        </w:rPr>
        <w:t>بما</w:t>
      </w:r>
      <w:r w:rsidR="007100A9" w:rsidRPr="003E7CD0">
        <w:rPr>
          <w:rFonts w:hint="cs"/>
          <w:b/>
          <w:bCs/>
          <w:spacing w:val="-4"/>
          <w:rtl/>
        </w:rPr>
        <w:t> </w:t>
      </w:r>
      <w:r w:rsidRPr="003E7CD0">
        <w:rPr>
          <w:b/>
          <w:bCs/>
          <w:spacing w:val="-4"/>
          <w:rtl/>
        </w:rPr>
        <w:t xml:space="preserve">في ذلك قبل الإبعاد، وفي حالة اللجوء إلى الاحتجاز، التأكد من أن الاحتجاز تدبير معقول </w:t>
      </w:r>
      <w:r w:rsidRPr="003E7CD0">
        <w:rPr>
          <w:b/>
          <w:bCs/>
          <w:spacing w:val="-6"/>
          <w:rtl/>
        </w:rPr>
        <w:t>وضروري ومتناسب في ضوء الظروف المحيطة بالحالة وكفالة إعادة تقييم تدبير الاحتجاز مع مرور الوقت؛</w:t>
      </w:r>
    </w:p>
    <w:p w14:paraId="58E67236" w14:textId="25D73049" w:rsidR="005C1B6A" w:rsidRPr="003E7CD0" w:rsidRDefault="005C1B6A" w:rsidP="005C1B6A">
      <w:pPr>
        <w:pStyle w:val="SingleTxtGA"/>
        <w:rPr>
          <w:b/>
          <w:bCs/>
        </w:rPr>
      </w:pPr>
      <w:r w:rsidRPr="003E7CD0">
        <w:rPr>
          <w:rtl/>
        </w:rPr>
        <w:tab/>
        <w:t>(ب)</w:t>
      </w:r>
      <w:r w:rsidRPr="003E7CD0">
        <w:rPr>
          <w:rtl/>
        </w:rPr>
        <w:tab/>
      </w:r>
      <w:r w:rsidRPr="003E7CD0">
        <w:rPr>
          <w:b/>
          <w:bCs/>
          <w:rtl/>
        </w:rPr>
        <w:t>كفالة عدم سلب حرية الأطفال وعدم اللجوء إلى هذا التدبير إلا كملاذٍ أخير ولأقصر فترةٍ زمنية مناسبة، مع مراعاة مصالح الطفل الفضلى؛</w:t>
      </w:r>
    </w:p>
    <w:p w14:paraId="1BB87921" w14:textId="4B64157E" w:rsidR="005C1B6A" w:rsidRPr="003E7CD0" w:rsidRDefault="005C1B6A" w:rsidP="005C1B6A">
      <w:pPr>
        <w:pStyle w:val="SingleTxtGA"/>
        <w:rPr>
          <w:b/>
          <w:bCs/>
        </w:rPr>
      </w:pPr>
      <w:r w:rsidRPr="003E7CD0">
        <w:rPr>
          <w:rtl/>
        </w:rPr>
        <w:tab/>
        <w:t>(ج)</w:t>
      </w:r>
      <w:r w:rsidRPr="003E7CD0">
        <w:rPr>
          <w:rtl/>
        </w:rPr>
        <w:tab/>
      </w:r>
      <w:r w:rsidRPr="003E7CD0">
        <w:rPr>
          <w:b/>
          <w:bCs/>
          <w:rtl/>
        </w:rPr>
        <w:t xml:space="preserve">كفالة عدم إعاقة الوصول إلى إجراءات اللجوء على أساس التمييز الديني أو أي أُسس أخرى محظورة بموجب العهد، وإنشاء نظام للفرز الدقيق يكفل عدم إعادة طالبي اللجوء إلى بلدٍ حيث تتوفر أسباب معقولة تدعو إلى الاعتقاد بأنهم سيواجهون خطراً حقيقياً بالتعرض لضرر لا يمكن إصلاحه، على نحو ما تنص عليه المادتان </w:t>
      </w:r>
      <w:r w:rsidRPr="003E7CD0">
        <w:rPr>
          <w:b/>
          <w:bCs/>
          <w:szCs w:val="20"/>
          <w:rtl/>
        </w:rPr>
        <w:t>6</w:t>
      </w:r>
      <w:r w:rsidRPr="003E7CD0">
        <w:rPr>
          <w:b/>
          <w:bCs/>
          <w:rtl/>
        </w:rPr>
        <w:t xml:space="preserve"> و</w:t>
      </w:r>
      <w:r w:rsidRPr="003E7CD0">
        <w:rPr>
          <w:b/>
          <w:bCs/>
          <w:szCs w:val="20"/>
          <w:rtl/>
        </w:rPr>
        <w:t>7</w:t>
      </w:r>
      <w:r w:rsidRPr="003E7CD0">
        <w:rPr>
          <w:b/>
          <w:bCs/>
          <w:rtl/>
        </w:rPr>
        <w:t xml:space="preserve"> من العهد.</w:t>
      </w:r>
    </w:p>
    <w:p w14:paraId="0F0BB5F7" w14:textId="546600A1" w:rsidR="005C1B6A" w:rsidRPr="003E7CD0" w:rsidRDefault="005C1B6A" w:rsidP="007100A9">
      <w:pPr>
        <w:pStyle w:val="H23GA"/>
      </w:pPr>
      <w:r w:rsidRPr="003E7CD0">
        <w:rPr>
          <w:rtl/>
        </w:rPr>
        <w:tab/>
      </w:r>
      <w:r w:rsidRPr="003E7CD0">
        <w:rPr>
          <w:rtl/>
        </w:rPr>
        <w:tab/>
        <w:t>ملخص ردّ الدولة الطرف</w:t>
      </w:r>
    </w:p>
    <w:p w14:paraId="4F508970" w14:textId="77777777" w:rsidR="005C1B6A" w:rsidRPr="003E7CD0" w:rsidRDefault="005C1B6A" w:rsidP="005C1B6A">
      <w:pPr>
        <w:pStyle w:val="SingleTxtGA"/>
      </w:pPr>
      <w:r w:rsidRPr="003E7CD0">
        <w:rPr>
          <w:rtl/>
        </w:rPr>
        <w:tab/>
        <w:t>(أ)</w:t>
      </w:r>
      <w:r w:rsidRPr="003E7CD0">
        <w:rPr>
          <w:rtl/>
        </w:rPr>
        <w:tab/>
        <w:t xml:space="preserve">ازداد استخدام التدابير البديلة في عام </w:t>
      </w:r>
      <w:r w:rsidRPr="003E7CD0">
        <w:rPr>
          <w:szCs w:val="20"/>
          <w:rtl/>
        </w:rPr>
        <w:t>2016</w:t>
      </w:r>
      <w:r w:rsidRPr="003E7CD0">
        <w:rPr>
          <w:rtl/>
        </w:rPr>
        <w:t xml:space="preserve">. وفي الوقت نفسه، انخفض متوسط فترة البقاء رهن الاحتجاز. وينظر قضاة السجون في محاكم المقاطعات في مشروعية الاحتجاز؛ </w:t>
      </w:r>
    </w:p>
    <w:p w14:paraId="5FB57D2E" w14:textId="77777777" w:rsidR="005C1B6A" w:rsidRPr="003E7CD0" w:rsidRDefault="005C1B6A" w:rsidP="005C1B6A">
      <w:pPr>
        <w:pStyle w:val="SingleTxtGA"/>
      </w:pPr>
      <w:r w:rsidRPr="003E7CD0">
        <w:rPr>
          <w:rtl/>
        </w:rPr>
        <w:tab/>
        <w:t>(ب)</w:t>
      </w:r>
      <w:r w:rsidRPr="003E7CD0">
        <w:rPr>
          <w:rtl/>
        </w:rPr>
        <w:tab/>
        <w:t xml:space="preserve">يودع القاصرون غير المصحوبين في مرافق الرعاية والتعليم أو لدى أسر حاضنة بناء على حكم قضائي، أو في مراكز محروسة إذا بلغوا سن </w:t>
      </w:r>
      <w:r w:rsidRPr="003E7CD0">
        <w:rPr>
          <w:szCs w:val="20"/>
          <w:rtl/>
        </w:rPr>
        <w:t>15</w:t>
      </w:r>
      <w:r w:rsidRPr="003E7CD0">
        <w:rPr>
          <w:rtl/>
        </w:rPr>
        <w:t xml:space="preserve"> عاماً ولم يطلبوا حماية دولية. </w:t>
      </w:r>
    </w:p>
    <w:p w14:paraId="50903257" w14:textId="77777777" w:rsidR="005C1B6A" w:rsidRPr="003E7CD0" w:rsidRDefault="005C1B6A" w:rsidP="005C1B6A">
      <w:pPr>
        <w:pStyle w:val="SingleTxtGA"/>
      </w:pPr>
      <w:r w:rsidRPr="003E7CD0">
        <w:rPr>
          <w:rtl/>
        </w:rPr>
        <w:tab/>
        <w:t xml:space="preserve">والهياكل الأساسية للمرافق المحروسة الخاصة بالأجانب مكيفة مع احتياجات القاصرين. </w:t>
      </w:r>
    </w:p>
    <w:p w14:paraId="46E80B45" w14:textId="77777777" w:rsidR="005C1B6A" w:rsidRPr="003E7CD0" w:rsidRDefault="005C1B6A" w:rsidP="005C1B6A">
      <w:pPr>
        <w:pStyle w:val="SingleTxtGA"/>
      </w:pPr>
      <w:r w:rsidRPr="003E7CD0">
        <w:rPr>
          <w:rtl/>
        </w:rPr>
        <w:tab/>
        <w:t xml:space="preserve">وباشرت الحكومة التعاون مع مؤسسة تمكين الأطفال في أيار/مايو </w:t>
      </w:r>
      <w:r w:rsidRPr="003E7CD0">
        <w:rPr>
          <w:szCs w:val="20"/>
          <w:rtl/>
        </w:rPr>
        <w:t>2017</w:t>
      </w:r>
      <w:r w:rsidRPr="003E7CD0">
        <w:rPr>
          <w:rtl/>
        </w:rPr>
        <w:t xml:space="preserve"> بغية وضع سياسة لحماية الأطفال؛</w:t>
      </w:r>
    </w:p>
    <w:p w14:paraId="4F0543D6" w14:textId="70055520" w:rsidR="005C1B6A" w:rsidRPr="003E7CD0" w:rsidRDefault="005C1B6A" w:rsidP="005C1B6A">
      <w:pPr>
        <w:pStyle w:val="SingleTxtGA"/>
      </w:pPr>
      <w:r w:rsidRPr="003E7CD0">
        <w:rPr>
          <w:rtl/>
        </w:rPr>
        <w:tab/>
        <w:t>(ج)</w:t>
      </w:r>
      <w:r w:rsidRPr="003E7CD0">
        <w:rPr>
          <w:rtl/>
        </w:rPr>
        <w:tab/>
        <w:t xml:space="preserve">يقدم حرس الحدود جميع طلبات الحماية الدولية إلى رئيس مكتب الأجانب في غضون </w:t>
      </w:r>
      <w:r w:rsidRPr="003E7CD0">
        <w:rPr>
          <w:szCs w:val="20"/>
          <w:rtl/>
        </w:rPr>
        <w:t>48</w:t>
      </w:r>
      <w:r w:rsidRPr="003E7CD0">
        <w:rPr>
          <w:rtl/>
        </w:rPr>
        <w:t xml:space="preserve"> ساعة، بعد إجراء تقييم مفصل وفرديّ خلال إجراءات مراقبة الحدود لما إذا كانت شروط الدخول قد استوفيت. ولتنفيذ مبدأ عدم الإعادة القسرية تنفيذاً كاملاً، يتلقى ضباط حرس الحدود التعليم والتدريب بما يسمح لهم بالتفطن إلى كل ما يؤشر على أن أجنبي</w:t>
      </w:r>
      <w:r w:rsidR="00892491" w:rsidRPr="003E7CD0">
        <w:rPr>
          <w:rtl/>
        </w:rPr>
        <w:t>اً</w:t>
      </w:r>
      <w:r w:rsidRPr="003E7CD0">
        <w:rPr>
          <w:rtl/>
        </w:rPr>
        <w:t xml:space="preserve"> ما يسعى للحصول على الحماية الدولية.</w:t>
      </w:r>
    </w:p>
    <w:p w14:paraId="1808468E" w14:textId="77777777" w:rsidR="005C1B6A" w:rsidRPr="003E7CD0" w:rsidRDefault="005C1B6A" w:rsidP="007100A9">
      <w:pPr>
        <w:pStyle w:val="H23GA"/>
      </w:pPr>
      <w:r w:rsidRPr="003E7CD0">
        <w:rPr>
          <w:rtl/>
        </w:rPr>
        <w:tab/>
      </w:r>
      <w:r w:rsidRPr="003E7CD0">
        <w:rPr>
          <w:rtl/>
        </w:rPr>
        <w:tab/>
        <w:t>معلومات من معهد أوردو يوريس للثقافة القانونية</w:t>
      </w:r>
    </w:p>
    <w:p w14:paraId="108778F3" w14:textId="77777777" w:rsidR="005C1B6A" w:rsidRPr="003E7CD0" w:rsidRDefault="005C1B6A" w:rsidP="005C1B6A">
      <w:pPr>
        <w:pStyle w:val="SingleTxtGA"/>
      </w:pPr>
      <w:r w:rsidRPr="003E7CD0">
        <w:rPr>
          <w:rtl/>
        </w:rPr>
        <w:tab/>
        <w:t>(أ)</w:t>
      </w:r>
      <w:r w:rsidRPr="003E7CD0">
        <w:rPr>
          <w:rtl/>
        </w:rPr>
        <w:tab/>
        <w:t>أظهرت دراسات مستقلة أن احتجاز المهاجرين الذين سيرحّلون أصبح أقل شيوعاً مرة بعد مرة، لأن تدابير غير احتجازية باتت تطبَّق بدلاً منه؛</w:t>
      </w:r>
    </w:p>
    <w:p w14:paraId="3837C111" w14:textId="59996CB9" w:rsidR="005C1B6A" w:rsidRPr="003E7CD0" w:rsidRDefault="005C1B6A" w:rsidP="005C1B6A">
      <w:pPr>
        <w:pStyle w:val="SingleTxtGA"/>
      </w:pPr>
      <w:r w:rsidRPr="003E7CD0">
        <w:rPr>
          <w:rtl/>
        </w:rPr>
        <w:lastRenderedPageBreak/>
        <w:tab/>
        <w:t>(ب)</w:t>
      </w:r>
      <w:r w:rsidRPr="003E7CD0">
        <w:rPr>
          <w:rtl/>
        </w:rPr>
        <w:tab/>
        <w:t>لم تُقَّدم أي معلومات</w:t>
      </w:r>
      <w:r w:rsidRPr="003E7CD0">
        <w:rPr>
          <w:rFonts w:ascii="Traditional Arabic" w:hAnsi="Traditional Arabic" w:hint="cs"/>
          <w:rtl/>
        </w:rPr>
        <w:t>؛</w:t>
      </w:r>
    </w:p>
    <w:p w14:paraId="4DF68B42" w14:textId="6DDC4969" w:rsidR="005C1B6A" w:rsidRPr="003E7CD0" w:rsidRDefault="005C1B6A" w:rsidP="005C1B6A">
      <w:pPr>
        <w:pStyle w:val="SingleTxtGA"/>
      </w:pPr>
      <w:r w:rsidRPr="003E7CD0">
        <w:rPr>
          <w:rtl/>
        </w:rPr>
        <w:tab/>
        <w:t>(ج)</w:t>
      </w:r>
      <w:r w:rsidRPr="003E7CD0">
        <w:rPr>
          <w:rtl/>
        </w:rPr>
        <w:tab/>
      </w:r>
      <w:r w:rsidRPr="003E7CD0">
        <w:rPr>
          <w:spacing w:val="-2"/>
          <w:rtl/>
        </w:rPr>
        <w:t xml:space="preserve">في عام </w:t>
      </w:r>
      <w:r w:rsidRPr="003E7CD0">
        <w:rPr>
          <w:spacing w:val="-2"/>
          <w:szCs w:val="20"/>
          <w:rtl/>
        </w:rPr>
        <w:t>2016</w:t>
      </w:r>
      <w:r w:rsidRPr="003E7CD0">
        <w:rPr>
          <w:spacing w:val="-2"/>
          <w:rtl/>
        </w:rPr>
        <w:t xml:space="preserve">، حصل </w:t>
      </w:r>
      <w:r w:rsidRPr="003E7CD0">
        <w:rPr>
          <w:spacing w:val="-2"/>
          <w:szCs w:val="20"/>
          <w:rtl/>
        </w:rPr>
        <w:t>969</w:t>
      </w:r>
      <w:r w:rsidRPr="003E7CD0">
        <w:rPr>
          <w:spacing w:val="-2"/>
          <w:rtl/>
        </w:rPr>
        <w:t xml:space="preserve"> </w:t>
      </w:r>
      <w:r w:rsidR="004A6B4A" w:rsidRPr="003E7CD0">
        <w:rPr>
          <w:spacing w:val="-2"/>
          <w:szCs w:val="20"/>
          <w:rtl/>
        </w:rPr>
        <w:t>585</w:t>
      </w:r>
      <w:r w:rsidR="004A6B4A" w:rsidRPr="003E7CD0">
        <w:rPr>
          <w:rFonts w:hint="cs"/>
          <w:spacing w:val="-2"/>
          <w:rtl/>
        </w:rPr>
        <w:t xml:space="preserve"> </w:t>
      </w:r>
      <w:r w:rsidRPr="003E7CD0">
        <w:rPr>
          <w:spacing w:val="-2"/>
          <w:rtl/>
        </w:rPr>
        <w:t>أجنبي</w:t>
      </w:r>
      <w:r w:rsidR="00892491" w:rsidRPr="003E7CD0">
        <w:rPr>
          <w:spacing w:val="-2"/>
          <w:rtl/>
        </w:rPr>
        <w:t xml:space="preserve">اً </w:t>
      </w:r>
      <w:r w:rsidRPr="003E7CD0">
        <w:rPr>
          <w:spacing w:val="-2"/>
          <w:rtl/>
        </w:rPr>
        <w:t>على أول تصريح إقامة لهم في بولندا. وبالرغم</w:t>
      </w:r>
      <w:r w:rsidRPr="003E7CD0">
        <w:rPr>
          <w:rtl/>
        </w:rPr>
        <w:t xml:space="preserve"> من أن بعض المهاجرين قد يواجهون صعوبات معينة أثناء عبورهم الحدود، فإن الغالبية العظمى منهم تمنح الحق في البقاء في بولندا. </w:t>
      </w:r>
    </w:p>
    <w:p w14:paraId="064933E7" w14:textId="77777777" w:rsidR="005C1B6A" w:rsidRPr="003E7CD0" w:rsidRDefault="005C1B6A" w:rsidP="006776BC">
      <w:pPr>
        <w:pStyle w:val="H23GA"/>
      </w:pPr>
      <w:r w:rsidRPr="003E7CD0">
        <w:rPr>
          <w:rtl/>
        </w:rPr>
        <w:tab/>
      </w:r>
      <w:r w:rsidRPr="003E7CD0">
        <w:rPr>
          <w:rtl/>
        </w:rPr>
        <w:tab/>
        <w:t>تقييم اللجنة</w:t>
      </w:r>
    </w:p>
    <w:p w14:paraId="4158DEFD" w14:textId="77777777" w:rsidR="005C1B6A" w:rsidRPr="003E7CD0" w:rsidRDefault="005C1B6A" w:rsidP="005C1B6A">
      <w:pPr>
        <w:pStyle w:val="SingleTxtGA"/>
      </w:pPr>
      <w:r w:rsidRPr="003E7CD0">
        <w:rPr>
          <w:b/>
          <w:bCs/>
          <w:spacing w:val="-2"/>
          <w:rtl/>
        </w:rPr>
        <w:t>[ج]</w:t>
      </w:r>
      <w:r w:rsidRPr="003E7CD0">
        <w:rPr>
          <w:spacing w:val="-2"/>
          <w:rtl/>
        </w:rPr>
        <w:t xml:space="preserve"> (أ) و(ب) و(ج): بالرغم من أن اللجنة تلاحظ الزيادة في استخدام التدابير البديلة في عام </w:t>
      </w:r>
      <w:r w:rsidRPr="003E7CD0">
        <w:rPr>
          <w:spacing w:val="-2"/>
          <w:szCs w:val="20"/>
          <w:rtl/>
        </w:rPr>
        <w:t>2016</w:t>
      </w:r>
      <w:r w:rsidRPr="003E7CD0">
        <w:rPr>
          <w:spacing w:val="-2"/>
          <w:rtl/>
        </w:rPr>
        <w:t>،</w:t>
      </w:r>
      <w:r w:rsidRPr="003E7CD0">
        <w:rPr>
          <w:rtl/>
        </w:rPr>
        <w:t xml:space="preserve"> فإنها تطلب معلومات إضافية، مثل العدد الفعلي لملتمسي اللجوء والمهاجرين المحتجزين والتدابير البديلة </w:t>
      </w:r>
      <w:r w:rsidRPr="003E7CD0">
        <w:rPr>
          <w:spacing w:val="-2"/>
          <w:rtl/>
        </w:rPr>
        <w:t>المستخدمة في السنوات الأربع الماضية.</w:t>
      </w:r>
      <w:bookmarkStart w:id="0" w:name="_GoBack"/>
      <w:bookmarkEnd w:id="0"/>
      <w:r w:rsidRPr="003E7CD0">
        <w:rPr>
          <w:spacing w:val="-2"/>
          <w:rtl/>
        </w:rPr>
        <w:t xml:space="preserve"> كما تطلب اللجنة معلومات إضافية عن التدابير المتخذة منذ </w:t>
      </w:r>
      <w:r w:rsidRPr="003E7CD0">
        <w:rPr>
          <w:spacing w:val="-4"/>
          <w:rtl/>
        </w:rPr>
        <w:t>اعتماد الملاحظات الختامية لضمان أن يكون الاحتجاز معقولاً وضرورياً ومتناسباً. وتكرر اللجنة توصياتها.</w:t>
      </w:r>
    </w:p>
    <w:p w14:paraId="096F60FC" w14:textId="77777777" w:rsidR="005C1B6A" w:rsidRPr="003E7CD0" w:rsidRDefault="005C1B6A" w:rsidP="005C1B6A">
      <w:pPr>
        <w:pStyle w:val="SingleTxtGA"/>
      </w:pPr>
      <w:r w:rsidRPr="003E7CD0">
        <w:rPr>
          <w:rtl/>
        </w:rPr>
        <w:tab/>
      </w:r>
      <w:r w:rsidRPr="003E7CD0">
        <w:rPr>
          <w:spacing w:val="-2"/>
          <w:rtl/>
        </w:rPr>
        <w:t>وتحيط اللجنة علماً بالمعلومات المقدمة عن الأطفال المسلوبي الحرية، ولكنها تأسف لعدم تقديم</w:t>
      </w:r>
      <w:r w:rsidRPr="003E7CD0">
        <w:rPr>
          <w:rtl/>
        </w:rPr>
        <w:t xml:space="preserve"> أي معلومات عن التدابير المتخذة منذ اعتماد الملاحظات الختامية لضمان عدم سلب حرية الأطفال. وتكرر اللجنة توصياتها.</w:t>
      </w:r>
    </w:p>
    <w:p w14:paraId="10E86B8E" w14:textId="77777777" w:rsidR="005C1B6A" w:rsidRPr="003E7CD0" w:rsidRDefault="005C1B6A" w:rsidP="005C1B6A">
      <w:pPr>
        <w:pStyle w:val="SingleTxtGA"/>
      </w:pPr>
      <w:r w:rsidRPr="003E7CD0">
        <w:rPr>
          <w:rtl/>
        </w:rPr>
        <w:tab/>
        <w:t xml:space="preserve">وتأسف اللجنة لعدم وجود معلومات عن التدابير المتخذة بعد الملاحظات الختامية لضمان </w:t>
      </w:r>
      <w:r w:rsidRPr="003E7CD0">
        <w:rPr>
          <w:spacing w:val="-4"/>
          <w:rtl/>
        </w:rPr>
        <w:t>عدم إعاقة الحصول على اللجوء لأسباب تمييزية واحترام مبدأ عدم الإعادة القسرية. وتكرر اللجنة توصياتها.</w:t>
      </w:r>
    </w:p>
    <w:p w14:paraId="3F72EF6B" w14:textId="3C02450F" w:rsidR="005C1B6A" w:rsidRDefault="005C1B6A" w:rsidP="005C1B6A">
      <w:pPr>
        <w:pStyle w:val="SingleTxtGA"/>
        <w:rPr>
          <w:rtl/>
        </w:rPr>
      </w:pPr>
      <w:r w:rsidRPr="003E7CD0">
        <w:rPr>
          <w:b/>
          <w:bCs/>
          <w:rtl/>
        </w:rPr>
        <w:t>الإجراء الموصى به</w:t>
      </w:r>
      <w:r w:rsidRPr="003E7CD0">
        <w:rPr>
          <w:rtl/>
        </w:rPr>
        <w:t>: ينبغي توجيه رسالة إلى الدولة الطرف لإبلاغها بوقف إجراء المتابعة. وينبغي إدراج المعلومات المطلوبة في التقرير الدوري المقبل للدولة الطرف.</w:t>
      </w:r>
    </w:p>
    <w:p w14:paraId="3E202A70" w14:textId="7308EA4B" w:rsidR="007100A9" w:rsidRPr="007100A9" w:rsidRDefault="007100A9" w:rsidP="007100A9">
      <w:pPr>
        <w:spacing w:before="120"/>
        <w:jc w:val="center"/>
        <w:rPr>
          <w:u w:val="single"/>
        </w:rPr>
      </w:pPr>
      <w:r>
        <w:rPr>
          <w:u w:val="single"/>
          <w:rtl/>
        </w:rPr>
        <w:tab/>
      </w:r>
      <w:r>
        <w:rPr>
          <w:u w:val="single"/>
          <w:rtl/>
        </w:rPr>
        <w:tab/>
      </w:r>
      <w:r>
        <w:rPr>
          <w:u w:val="single"/>
          <w:rtl/>
        </w:rPr>
        <w:tab/>
      </w:r>
    </w:p>
    <w:sectPr w:rsidR="007100A9" w:rsidRPr="007100A9" w:rsidSect="00025B1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6CAD" w14:textId="77777777" w:rsidR="001B66C8" w:rsidRPr="002901D9" w:rsidRDefault="001B66C8" w:rsidP="002901D9">
      <w:pPr>
        <w:spacing w:after="60" w:line="240" w:lineRule="auto"/>
        <w:rPr>
          <w:i/>
          <w:iCs/>
        </w:rPr>
      </w:pPr>
      <w:r>
        <w:rPr>
          <w:rFonts w:hint="cs"/>
          <w:i/>
          <w:iCs/>
          <w:rtl/>
        </w:rPr>
        <w:t>الحواشي</w:t>
      </w:r>
    </w:p>
  </w:endnote>
  <w:endnote w:type="continuationSeparator" w:id="0">
    <w:p w14:paraId="7AF81C3C" w14:textId="77777777" w:rsidR="001B66C8" w:rsidRDefault="001B66C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9246" w14:textId="77777777" w:rsidR="00025B15" w:rsidRPr="005C1B6A" w:rsidRDefault="005C1B6A" w:rsidP="005C1B6A">
    <w:pPr>
      <w:pStyle w:val="Footer"/>
      <w:tabs>
        <w:tab w:val="right" w:pos="9598"/>
      </w:tabs>
      <w:rPr>
        <w:sz w:val="17"/>
      </w:rPr>
    </w:pPr>
    <w:r w:rsidRPr="003E7CD0">
      <w:rPr>
        <w:sz w:val="17"/>
      </w:rPr>
      <w:t>GE.20-12312</w:t>
    </w:r>
    <w:r w:rsidRPr="003E7CD0">
      <w:rPr>
        <w:sz w:val="17"/>
      </w:rPr>
      <w:tab/>
    </w:r>
    <w:r w:rsidRPr="003E7CD0">
      <w:rPr>
        <w:b/>
        <w:sz w:val="18"/>
      </w:rPr>
      <w:fldChar w:fldCharType="begin"/>
    </w:r>
    <w:r w:rsidRPr="003E7CD0">
      <w:rPr>
        <w:b/>
        <w:sz w:val="18"/>
      </w:rPr>
      <w:instrText xml:space="preserve"> PAGE  \* MERGEFORMAT </w:instrText>
    </w:r>
    <w:r w:rsidRPr="003E7CD0">
      <w:rPr>
        <w:b/>
        <w:sz w:val="18"/>
      </w:rPr>
      <w:fldChar w:fldCharType="separate"/>
    </w:r>
    <w:r w:rsidRPr="003E7CD0">
      <w:rPr>
        <w:b/>
        <w:sz w:val="18"/>
      </w:rPr>
      <w:t>2</w:t>
    </w:r>
    <w:r w:rsidRPr="003E7CD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65F1" w14:textId="77777777" w:rsidR="006959B0" w:rsidRPr="005C1B6A" w:rsidRDefault="005C1B6A" w:rsidP="006959B0">
    <w:pPr>
      <w:pStyle w:val="Footer"/>
      <w:tabs>
        <w:tab w:val="right" w:pos="9599"/>
      </w:tabs>
      <w:jc w:val="left"/>
      <w:rPr>
        <w:b/>
        <w:sz w:val="18"/>
        <w:lang w:val="en-US"/>
      </w:rPr>
    </w:pPr>
    <w:r w:rsidRPr="003E7CD0">
      <w:rPr>
        <w:b/>
        <w:sz w:val="18"/>
        <w:lang w:val="en-US"/>
      </w:rPr>
      <w:fldChar w:fldCharType="begin"/>
    </w:r>
    <w:r w:rsidRPr="003E7CD0">
      <w:rPr>
        <w:b/>
        <w:sz w:val="18"/>
        <w:lang w:val="en-US"/>
      </w:rPr>
      <w:instrText xml:space="preserve"> PAGE  \* MERGEFORMAT </w:instrText>
    </w:r>
    <w:r w:rsidRPr="003E7CD0">
      <w:rPr>
        <w:b/>
        <w:sz w:val="18"/>
        <w:lang w:val="en-US"/>
      </w:rPr>
      <w:fldChar w:fldCharType="separate"/>
    </w:r>
    <w:r w:rsidRPr="003E7CD0">
      <w:rPr>
        <w:b/>
        <w:noProof/>
        <w:sz w:val="18"/>
        <w:lang w:val="en-US"/>
      </w:rPr>
      <w:t>3</w:t>
    </w:r>
    <w:r w:rsidRPr="003E7CD0">
      <w:rPr>
        <w:b/>
        <w:sz w:val="18"/>
        <w:lang w:val="en-US"/>
      </w:rPr>
      <w:fldChar w:fldCharType="end"/>
    </w:r>
    <w:r w:rsidRPr="003E7CD0">
      <w:rPr>
        <w:b/>
        <w:sz w:val="18"/>
        <w:lang w:val="en-US"/>
      </w:rPr>
      <w:tab/>
    </w:r>
    <w:r w:rsidRPr="003E7CD0">
      <w:rPr>
        <w:sz w:val="17"/>
        <w:lang w:val="en-US"/>
      </w:rPr>
      <w:t>GE.20-12312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3FCF" w14:textId="3FF9A531" w:rsidR="00DE50B1" w:rsidRPr="003E7CD0" w:rsidRDefault="00025B15" w:rsidP="00982139">
    <w:pPr>
      <w:pStyle w:val="Footer"/>
      <w:spacing w:before="360"/>
      <w:jc w:val="right"/>
      <w:rPr>
        <w:sz w:val="20"/>
        <w:szCs w:val="20"/>
      </w:rPr>
    </w:pPr>
    <w:r w:rsidRPr="003E7CD0">
      <w:rPr>
        <w:sz w:val="20"/>
        <w:szCs w:val="20"/>
      </w:rPr>
      <w:t>GE.20-12312</w:t>
    </w:r>
    <w:r w:rsidR="00092C6D" w:rsidRPr="003E7CD0">
      <w:rPr>
        <w:noProof/>
      </w:rPr>
      <w:drawing>
        <wp:anchor distT="0" distB="0" distL="114300" distR="114300" simplePos="0" relativeHeight="251657728" behindDoc="1" locked="1" layoutInCell="0" allowOverlap="1" wp14:anchorId="55BE1B95" wp14:editId="6690116E">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3E7CD0">
      <w:rPr>
        <w:sz w:val="20"/>
        <w:szCs w:val="20"/>
      </w:rPr>
      <w:t>(A)</w:t>
    </w:r>
  </w:p>
  <w:p w14:paraId="586AE7A7" w14:textId="50849CEA" w:rsidR="00025B15" w:rsidRPr="00025B15" w:rsidRDefault="00025B15" w:rsidP="00025B15">
    <w:pPr>
      <w:pStyle w:val="Footer"/>
      <w:jc w:val="right"/>
      <w:rPr>
        <w:rFonts w:ascii="C39T30Lfz" w:hAnsi="C39T30Lfz"/>
        <w:sz w:val="56"/>
        <w:szCs w:val="20"/>
      </w:rPr>
    </w:pPr>
    <w:r w:rsidRPr="003E7CD0">
      <w:rPr>
        <w:rFonts w:ascii="C39T30Lfz" w:hAnsi="C39T30Lfz"/>
        <w:sz w:val="56"/>
        <w:szCs w:val="20"/>
      </w:rPr>
      <w:t>*2012312*</w:t>
    </w:r>
    <w:r w:rsidR="00092C6D" w:rsidRPr="003E7CD0">
      <w:rPr>
        <w:noProof/>
      </w:rPr>
      <w:drawing>
        <wp:anchor distT="0" distB="0" distL="114300" distR="114300" simplePos="0" relativeHeight="251659776" behindDoc="0" locked="0" layoutInCell="1" allowOverlap="1" wp14:anchorId="79351218" wp14:editId="2CCD06A4">
          <wp:simplePos x="0" y="0"/>
          <wp:positionH relativeFrom="page">
            <wp:posOffset>719455</wp:posOffset>
          </wp:positionH>
          <wp:positionV relativeFrom="page">
            <wp:posOffset>9611995</wp:posOffset>
          </wp:positionV>
          <wp:extent cx="561975"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30D00" w14:textId="77777777" w:rsidR="001B66C8" w:rsidRDefault="001B66C8" w:rsidP="000437B8">
      <w:pPr>
        <w:pStyle w:val="Footer"/>
        <w:bidi/>
        <w:spacing w:after="80" w:line="200" w:lineRule="exact"/>
        <w:ind w:left="680"/>
        <w:rPr>
          <w:rtl/>
        </w:rPr>
      </w:pPr>
      <w:r>
        <w:rPr>
          <w:rtl/>
        </w:rPr>
        <w:t>__________</w:t>
      </w:r>
    </w:p>
  </w:footnote>
  <w:footnote w:type="continuationSeparator" w:id="0">
    <w:p w14:paraId="01DB0009" w14:textId="77777777" w:rsidR="001B66C8" w:rsidRDefault="001B66C8" w:rsidP="00656392">
      <w:pPr>
        <w:spacing w:line="240" w:lineRule="auto"/>
      </w:pPr>
      <w:r>
        <w:continuationSeparator/>
      </w:r>
    </w:p>
  </w:footnote>
  <w:footnote w:id="1">
    <w:p w14:paraId="608D6343" w14:textId="11D05520" w:rsidR="005C1B6A" w:rsidRPr="003E7CD0" w:rsidRDefault="005C1B6A" w:rsidP="004A6B4A">
      <w:pPr>
        <w:pStyle w:val="FootnoteText1"/>
      </w:pPr>
      <w:r w:rsidRPr="003E7CD0">
        <w:rPr>
          <w:rtl/>
        </w:rPr>
        <w:t>*</w:t>
      </w:r>
      <w:r w:rsidRPr="003E7CD0">
        <w:rPr>
          <w:rtl/>
        </w:rPr>
        <w:tab/>
        <w:t xml:space="preserve">اعتمدته اللجنة في دورتها </w:t>
      </w:r>
      <w:r w:rsidRPr="003E7CD0">
        <w:rPr>
          <w:szCs w:val="18"/>
          <w:rtl/>
        </w:rPr>
        <w:t>128</w:t>
      </w:r>
      <w:r w:rsidRPr="003E7CD0">
        <w:rPr>
          <w:rtl/>
        </w:rPr>
        <w:t xml:space="preserve"> (</w:t>
      </w:r>
      <w:r w:rsidRPr="003E7CD0">
        <w:rPr>
          <w:szCs w:val="18"/>
          <w:rtl/>
        </w:rPr>
        <w:t>2</w:t>
      </w:r>
      <w:r w:rsidRPr="003E7CD0">
        <w:rPr>
          <w:rtl/>
        </w:rPr>
        <w:t>-</w:t>
      </w:r>
      <w:r w:rsidRPr="003E7CD0">
        <w:rPr>
          <w:szCs w:val="18"/>
          <w:rtl/>
        </w:rPr>
        <w:t>27</w:t>
      </w:r>
      <w:r w:rsidRPr="003E7CD0">
        <w:rPr>
          <w:rtl/>
        </w:rPr>
        <w:t xml:space="preserve"> آذار/مارس </w:t>
      </w:r>
      <w:r w:rsidRPr="003E7CD0">
        <w:rPr>
          <w:szCs w:val="18"/>
          <w:rtl/>
        </w:rPr>
        <w:t>2020</w:t>
      </w:r>
      <w:r w:rsidRPr="003E7CD0">
        <w:rPr>
          <w:rtl/>
        </w:rPr>
        <w:t>).</w:t>
      </w:r>
    </w:p>
  </w:footnote>
  <w:footnote w:id="2">
    <w:p w14:paraId="30AEEE01" w14:textId="29D32A8B" w:rsidR="005C1B6A" w:rsidRPr="005C1B6A" w:rsidRDefault="005C1B6A" w:rsidP="004A6B4A">
      <w:pPr>
        <w:pStyle w:val="FootnoteText1"/>
      </w:pPr>
      <w:r w:rsidRPr="003E7CD0">
        <w:rPr>
          <w:rtl/>
        </w:rPr>
        <w:t>(</w:t>
      </w:r>
      <w:r w:rsidRPr="003E7CD0">
        <w:rPr>
          <w:rStyle w:val="FootnoteReference"/>
          <w:rFonts w:cs="Times New Roman"/>
          <w:b w:val="0"/>
          <w:vertAlign w:val="baseline"/>
        </w:rPr>
        <w:footnoteRef/>
      </w:r>
      <w:r w:rsidRPr="003E7CD0">
        <w:rPr>
          <w:sz w:val="26"/>
          <w:rtl/>
        </w:rPr>
        <w:t>)</w:t>
      </w:r>
      <w:r w:rsidRPr="003E7CD0">
        <w:rPr>
          <w:sz w:val="26"/>
          <w:rtl/>
        </w:rPr>
        <w:tab/>
      </w:r>
      <w:r w:rsidRPr="003E7CD0">
        <w:rPr>
          <w:rFonts w:hint="cs"/>
          <w:rtl/>
        </w:rPr>
        <w:t xml:space="preserve">انظر </w:t>
      </w:r>
      <w:r w:rsidRPr="003E7CD0">
        <w:t>https://tbinternet.ohchr.org/_layouts/</w:t>
      </w:r>
      <w:r w:rsidRPr="003E7CD0">
        <w:rPr>
          <w:szCs w:val="18"/>
        </w:rPr>
        <w:t>15</w:t>
      </w:r>
      <w:r w:rsidRPr="003E7CD0">
        <w:t>/treatybodyexternal/Download. aspx?symbolno=INT%</w:t>
      </w:r>
      <w:r w:rsidRPr="003E7CD0">
        <w:br/>
      </w:r>
      <w:r w:rsidRPr="003E7CD0">
        <w:rPr>
          <w:szCs w:val="18"/>
        </w:rPr>
        <w:t>2</w:t>
      </w:r>
      <w:r w:rsidRPr="003E7CD0">
        <w:t>fCCPR%</w:t>
      </w:r>
      <w:r w:rsidRPr="003E7CD0">
        <w:rPr>
          <w:szCs w:val="18"/>
        </w:rPr>
        <w:t>2</w:t>
      </w:r>
      <w:r w:rsidRPr="003E7CD0">
        <w:t>fNGS%</w:t>
      </w:r>
      <w:r w:rsidRPr="003E7CD0">
        <w:rPr>
          <w:szCs w:val="18"/>
        </w:rPr>
        <w:t>2</w:t>
      </w:r>
      <w:r w:rsidRPr="003E7CD0">
        <w:t>fPOL%</w:t>
      </w:r>
      <w:r w:rsidRPr="003E7CD0">
        <w:rPr>
          <w:szCs w:val="18"/>
        </w:rPr>
        <w:t>2</w:t>
      </w:r>
      <w:r w:rsidRPr="003E7CD0">
        <w:t>f</w:t>
      </w:r>
      <w:r w:rsidRPr="003E7CD0">
        <w:rPr>
          <w:szCs w:val="18"/>
        </w:rPr>
        <w:t>29939</w:t>
      </w:r>
      <w:r w:rsidRPr="003E7CD0">
        <w:t>&amp;Lang=en</w:t>
      </w:r>
      <w:r w:rsidRPr="003E7CD0">
        <w:rPr>
          <w:rFonts w:hint="cs"/>
          <w:rtl/>
        </w:rPr>
        <w:t>.</w:t>
      </w:r>
      <w:r w:rsidRPr="005C1B6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FCDF" w14:textId="77777777" w:rsidR="00025B15" w:rsidRPr="005C1B6A" w:rsidRDefault="005C1B6A" w:rsidP="005C1B6A">
    <w:pPr>
      <w:pStyle w:val="Header"/>
      <w:jc w:val="right"/>
    </w:pPr>
    <w:r w:rsidRPr="003E7CD0">
      <w:t>CCPR/C/128/3/Add.3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D702" w14:textId="77777777" w:rsidR="00025B15" w:rsidRPr="005C1B6A" w:rsidRDefault="005C1B6A" w:rsidP="005C1B6A">
    <w:pPr>
      <w:pStyle w:val="Header"/>
      <w:jc w:val="left"/>
    </w:pPr>
    <w:r w:rsidRPr="003E7CD0">
      <w:t>CCPR/C/128/3/Add.3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1B66C8"/>
    <w:rsid w:val="000076D5"/>
    <w:rsid w:val="00025B15"/>
    <w:rsid w:val="00043663"/>
    <w:rsid w:val="000437B8"/>
    <w:rsid w:val="000505CF"/>
    <w:rsid w:val="00092C6D"/>
    <w:rsid w:val="000D701C"/>
    <w:rsid w:val="000E2A71"/>
    <w:rsid w:val="00160263"/>
    <w:rsid w:val="00181F96"/>
    <w:rsid w:val="001A1371"/>
    <w:rsid w:val="001B346A"/>
    <w:rsid w:val="001B66C8"/>
    <w:rsid w:val="001E0790"/>
    <w:rsid w:val="001E1CAD"/>
    <w:rsid w:val="001E290D"/>
    <w:rsid w:val="002144FA"/>
    <w:rsid w:val="0023469A"/>
    <w:rsid w:val="00243C8A"/>
    <w:rsid w:val="00267A0E"/>
    <w:rsid w:val="002901D9"/>
    <w:rsid w:val="002976C2"/>
    <w:rsid w:val="003260FF"/>
    <w:rsid w:val="00343D95"/>
    <w:rsid w:val="00363A18"/>
    <w:rsid w:val="00374341"/>
    <w:rsid w:val="003D1062"/>
    <w:rsid w:val="003E7CD0"/>
    <w:rsid w:val="00420D7B"/>
    <w:rsid w:val="00450B21"/>
    <w:rsid w:val="00453B63"/>
    <w:rsid w:val="00455780"/>
    <w:rsid w:val="004A6B4A"/>
    <w:rsid w:val="004B0A1C"/>
    <w:rsid w:val="004D298E"/>
    <w:rsid w:val="00517BC9"/>
    <w:rsid w:val="0054472E"/>
    <w:rsid w:val="005662A9"/>
    <w:rsid w:val="005827D4"/>
    <w:rsid w:val="0059622A"/>
    <w:rsid w:val="005A19D1"/>
    <w:rsid w:val="005B51C4"/>
    <w:rsid w:val="005C1B6A"/>
    <w:rsid w:val="005C5878"/>
    <w:rsid w:val="005C7CEA"/>
    <w:rsid w:val="005D3C0B"/>
    <w:rsid w:val="005E5217"/>
    <w:rsid w:val="005F0FA4"/>
    <w:rsid w:val="005F30EE"/>
    <w:rsid w:val="0060473A"/>
    <w:rsid w:val="00656392"/>
    <w:rsid w:val="006776BC"/>
    <w:rsid w:val="0068781D"/>
    <w:rsid w:val="006959B0"/>
    <w:rsid w:val="006B3E27"/>
    <w:rsid w:val="006B6507"/>
    <w:rsid w:val="006C104C"/>
    <w:rsid w:val="007100A9"/>
    <w:rsid w:val="00733704"/>
    <w:rsid w:val="0078071A"/>
    <w:rsid w:val="00787E1E"/>
    <w:rsid w:val="00852A9A"/>
    <w:rsid w:val="00892491"/>
    <w:rsid w:val="008F49E1"/>
    <w:rsid w:val="0090370F"/>
    <w:rsid w:val="009269D2"/>
    <w:rsid w:val="00942135"/>
    <w:rsid w:val="009521B0"/>
    <w:rsid w:val="00982139"/>
    <w:rsid w:val="009867A8"/>
    <w:rsid w:val="009A7E9F"/>
    <w:rsid w:val="009E5018"/>
    <w:rsid w:val="00A03700"/>
    <w:rsid w:val="00A12B37"/>
    <w:rsid w:val="00AB6758"/>
    <w:rsid w:val="00B13763"/>
    <w:rsid w:val="00B477A4"/>
    <w:rsid w:val="00B54045"/>
    <w:rsid w:val="00C4214B"/>
    <w:rsid w:val="00C438D7"/>
    <w:rsid w:val="00C81B50"/>
    <w:rsid w:val="00CB6622"/>
    <w:rsid w:val="00CD1801"/>
    <w:rsid w:val="00CF65C6"/>
    <w:rsid w:val="00D10EF1"/>
    <w:rsid w:val="00D42810"/>
    <w:rsid w:val="00D76D63"/>
    <w:rsid w:val="00D914A7"/>
    <w:rsid w:val="00DD13C3"/>
    <w:rsid w:val="00DD596E"/>
    <w:rsid w:val="00DD621E"/>
    <w:rsid w:val="00DE50B1"/>
    <w:rsid w:val="00DF0575"/>
    <w:rsid w:val="00E70E04"/>
    <w:rsid w:val="00EC05A7"/>
    <w:rsid w:val="00EC4B6B"/>
    <w:rsid w:val="00ED1D02"/>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47A4C5"/>
  <w15:docId w15:val="{A326B05A-DA67-4EF8-A3D4-F8D6C77A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character" w:styleId="Hyperlink">
    <w:name w:val="Hyperlink"/>
    <w:uiPriority w:val="99"/>
    <w:unhideWhenUsed/>
    <w:rsid w:val="005C1B6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8256-8CA5-48C1-A6B4-823AA661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CCPR/C/128/3/Add.3</vt:lpstr>
    </vt:vector>
  </TitlesOfParts>
  <Company>DCM</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CCPR/C/128/3/Add.3</dc:title>
  <dc:subject>GE.2012312</dc:subject>
  <dc:creator>Gamal MAHMOUD-K. Mamounne</dc:creator>
  <cp:keywords>ODS No.2023675</cp:keywords>
  <dc:description>Distr.: General_x000d_
22 September 2020_x000d_
Original: English</dc:description>
  <cp:lastModifiedBy>Gamal Mohamed Abdelhamid Mahmoud</cp:lastModifiedBy>
  <cp:revision>2</cp:revision>
  <dcterms:created xsi:type="dcterms:W3CDTF">2020-10-14T07:42:00Z</dcterms:created>
  <dcterms:modified xsi:type="dcterms:W3CDTF">2020-10-14T07:42:00Z</dcterms:modified>
  <cp:category>Finale</cp:category>
</cp:coreProperties>
</file>