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DB09EE4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F4B90E" w14:textId="77777777" w:rsidR="002D5AAC" w:rsidRDefault="002D5AAC" w:rsidP="00F018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16C3C87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05AFD35" w14:textId="77777777" w:rsidR="002D5AAC" w:rsidRDefault="00F0185C" w:rsidP="00F0185C">
            <w:pPr>
              <w:jc w:val="right"/>
            </w:pPr>
            <w:r w:rsidRPr="00F0185C">
              <w:rPr>
                <w:sz w:val="40"/>
              </w:rPr>
              <w:t>CCPR</w:t>
            </w:r>
            <w:r>
              <w:t>/C/128/3/Add.3</w:t>
            </w:r>
          </w:p>
        </w:tc>
      </w:tr>
      <w:tr w:rsidR="002D5AAC" w14:paraId="6DFA8256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CC52F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38FECB" wp14:editId="6E938AE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989CA8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1BED6B0" w14:textId="77777777" w:rsidR="002D5AAC" w:rsidRDefault="00F0185C" w:rsidP="00BC3629">
            <w:pPr>
              <w:spacing w:before="240"/>
            </w:pPr>
            <w:r>
              <w:t>Distr.: General</w:t>
            </w:r>
          </w:p>
          <w:p w14:paraId="613EE8F0" w14:textId="77777777" w:rsidR="00F0185C" w:rsidRDefault="00F0185C" w:rsidP="00F0185C">
            <w:pPr>
              <w:spacing w:line="240" w:lineRule="exact"/>
            </w:pPr>
            <w:r>
              <w:rPr>
                <w:lang w:val="en-US"/>
              </w:rPr>
              <w:t>2</w:t>
            </w:r>
            <w:r>
              <w:t>2 September 2020</w:t>
            </w:r>
          </w:p>
          <w:p w14:paraId="457B3892" w14:textId="77777777" w:rsidR="00F0185C" w:rsidRDefault="00F0185C" w:rsidP="00F0185C">
            <w:pPr>
              <w:spacing w:line="240" w:lineRule="exact"/>
            </w:pPr>
            <w:r>
              <w:t>Russian</w:t>
            </w:r>
          </w:p>
          <w:p w14:paraId="23361CC5" w14:textId="77777777" w:rsidR="00F0185C" w:rsidRPr="00375F01" w:rsidRDefault="00F0185C" w:rsidP="00F0185C">
            <w:pPr>
              <w:spacing w:line="240" w:lineRule="exact"/>
            </w:pPr>
            <w:r>
              <w:t>Original: English</w:t>
            </w:r>
          </w:p>
        </w:tc>
        <w:bookmarkStart w:id="0" w:name="_GoBack"/>
        <w:bookmarkEnd w:id="0"/>
      </w:tr>
    </w:tbl>
    <w:p w14:paraId="3E67161A" w14:textId="77777777" w:rsidR="005E645B" w:rsidRPr="005E645B" w:rsidRDefault="005E645B" w:rsidP="005E645B">
      <w:pPr>
        <w:spacing w:before="120"/>
        <w:rPr>
          <w:b/>
          <w:sz w:val="24"/>
          <w:szCs w:val="24"/>
        </w:rPr>
      </w:pPr>
      <w:r w:rsidRPr="005E645B">
        <w:rPr>
          <w:b/>
          <w:bCs/>
          <w:sz w:val="24"/>
          <w:szCs w:val="24"/>
        </w:rPr>
        <w:t>Комитет по правам человека</w:t>
      </w:r>
    </w:p>
    <w:p w14:paraId="13C7BCD6" w14:textId="77777777" w:rsidR="005E645B" w:rsidRPr="00B13202" w:rsidRDefault="005E645B" w:rsidP="005E645B">
      <w:pPr>
        <w:pStyle w:val="HChG"/>
      </w:pPr>
      <w:r>
        <w:tab/>
      </w:r>
      <w:r>
        <w:tab/>
        <w:t>Доклад о последующей деятельности в связи с</w:t>
      </w:r>
      <w:r>
        <w:rPr>
          <w:lang w:val="en-US"/>
        </w:rPr>
        <w:t> </w:t>
      </w:r>
      <w:r>
        <w:t>заключительными замечаниями Комитета по правам человека</w:t>
      </w:r>
      <w:r w:rsidRPr="005E645B">
        <w:rPr>
          <w:rStyle w:val="aa"/>
          <w:b w:val="0"/>
          <w:sz w:val="20"/>
          <w:szCs w:val="28"/>
          <w:vertAlign w:val="baseline"/>
        </w:rPr>
        <w:footnoteReference w:customMarkFollows="1" w:id="1"/>
        <w:t>*</w:t>
      </w:r>
      <w:bookmarkStart w:id="2" w:name="_Toc506807534"/>
      <w:bookmarkEnd w:id="2"/>
    </w:p>
    <w:p w14:paraId="70A42BF7" w14:textId="77777777" w:rsidR="005E645B" w:rsidRPr="00B13202" w:rsidRDefault="005E645B" w:rsidP="005E645B">
      <w:pPr>
        <w:pStyle w:val="H23G"/>
      </w:pPr>
      <w:r>
        <w:tab/>
      </w:r>
      <w:r>
        <w:tab/>
        <w:t>Добавление</w:t>
      </w:r>
    </w:p>
    <w:p w14:paraId="653794D8" w14:textId="77777777" w:rsidR="005E645B" w:rsidRPr="00B13202" w:rsidRDefault="005E645B" w:rsidP="005E645B">
      <w:pPr>
        <w:pStyle w:val="HChG"/>
      </w:pPr>
      <w:r>
        <w:tab/>
      </w:r>
      <w:r>
        <w:tab/>
        <w:t>Оценка информации о последующей деятельности в</w:t>
      </w:r>
      <w:r>
        <w:rPr>
          <w:lang w:val="en-US"/>
        </w:rPr>
        <w:t> </w:t>
      </w:r>
      <w:r>
        <w:t>связи с заключительными замечаниями по Польше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E645B" w:rsidRPr="0064331C" w14:paraId="48C6A60A" w14:textId="77777777" w:rsidTr="005E645B">
        <w:tc>
          <w:tcPr>
            <w:tcW w:w="2936" w:type="dxa"/>
          </w:tcPr>
          <w:p w14:paraId="205614E3" w14:textId="77777777" w:rsidR="005E645B" w:rsidRPr="005E645B" w:rsidRDefault="005E645B">
            <w:pPr>
              <w:spacing w:after="120"/>
              <w:ind w:left="35"/>
              <w:rPr>
                <w:i/>
                <w:spacing w:val="4"/>
                <w:w w:val="103"/>
                <w:kern w:val="14"/>
                <w:lang w:val="en-US"/>
              </w:rPr>
            </w:pPr>
            <w:r>
              <w:rPr>
                <w:i/>
                <w:iCs/>
              </w:rPr>
              <w:t>Заключительные замечания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</w:rPr>
              <w:t>(118-я сессия):</w:t>
            </w:r>
          </w:p>
        </w:tc>
        <w:tc>
          <w:tcPr>
            <w:tcW w:w="3874" w:type="dxa"/>
          </w:tcPr>
          <w:p w14:paraId="216C09F4" w14:textId="77777777" w:rsidR="005E645B" w:rsidRPr="0064331C" w:rsidRDefault="005E645B">
            <w:pPr>
              <w:spacing w:after="120"/>
            </w:pPr>
            <w:r>
              <w:t>CCPR/C/POL/CO/7, 31 октября 2016 года</w:t>
            </w:r>
          </w:p>
        </w:tc>
      </w:tr>
      <w:tr w:rsidR="005E645B" w:rsidRPr="0064331C" w14:paraId="41F84774" w14:textId="77777777" w:rsidTr="005E645B">
        <w:tc>
          <w:tcPr>
            <w:tcW w:w="2936" w:type="dxa"/>
          </w:tcPr>
          <w:p w14:paraId="07DCA3A7" w14:textId="77777777" w:rsidR="005E645B" w:rsidRPr="0064331C" w:rsidRDefault="005E645B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874" w:type="dxa"/>
          </w:tcPr>
          <w:p w14:paraId="367F053A" w14:textId="77777777" w:rsidR="005E645B" w:rsidRPr="0064331C" w:rsidRDefault="005E645B">
            <w:pPr>
              <w:spacing w:after="120"/>
            </w:pPr>
            <w:r>
              <w:t>8, 24 и 32</w:t>
            </w:r>
          </w:p>
        </w:tc>
      </w:tr>
      <w:tr w:rsidR="005E645B" w:rsidRPr="00A2163A" w14:paraId="507E87CC" w14:textId="77777777" w:rsidTr="005E645B">
        <w:tc>
          <w:tcPr>
            <w:tcW w:w="2936" w:type="dxa"/>
          </w:tcPr>
          <w:p w14:paraId="6CDA0E9F" w14:textId="77777777" w:rsidR="005E645B" w:rsidRPr="0064331C" w:rsidRDefault="005E645B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Ответ, касающийся последующей деятельности:</w:t>
            </w:r>
          </w:p>
        </w:tc>
        <w:tc>
          <w:tcPr>
            <w:tcW w:w="3874" w:type="dxa"/>
          </w:tcPr>
          <w:p w14:paraId="046FCFAB" w14:textId="77777777" w:rsidR="005E645B" w:rsidRPr="00A2163A" w:rsidRDefault="005E645B">
            <w:pPr>
              <w:spacing w:after="120"/>
              <w:rPr>
                <w:lang w:val="en-US"/>
              </w:rPr>
            </w:pPr>
            <w:r w:rsidRPr="00A2163A">
              <w:rPr>
                <w:lang w:val="en-US"/>
              </w:rPr>
              <w:t xml:space="preserve">CCPR/C/POL/CO/7/Add.1, 10 </w:t>
            </w:r>
            <w:r>
              <w:t>ноября</w:t>
            </w:r>
            <w:r w:rsidRPr="00A2163A">
              <w:rPr>
                <w:lang w:val="en-US"/>
              </w:rPr>
              <w:t xml:space="preserve"> </w:t>
            </w:r>
            <w:r w:rsidRPr="00A2163A">
              <w:rPr>
                <w:lang w:val="en-US"/>
              </w:rPr>
              <w:br/>
              <w:t xml:space="preserve">2017 </w:t>
            </w:r>
            <w:r>
              <w:t>года</w:t>
            </w:r>
          </w:p>
        </w:tc>
      </w:tr>
      <w:tr w:rsidR="005E645B" w:rsidRPr="0064331C" w14:paraId="12AD67D6" w14:textId="77777777" w:rsidTr="005E645B">
        <w:tc>
          <w:tcPr>
            <w:tcW w:w="2936" w:type="dxa"/>
          </w:tcPr>
          <w:p w14:paraId="212C6B30" w14:textId="77777777" w:rsidR="005E645B" w:rsidRPr="0064331C" w:rsidRDefault="005E645B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Оценка Комитета:</w:t>
            </w:r>
          </w:p>
        </w:tc>
        <w:tc>
          <w:tcPr>
            <w:tcW w:w="3874" w:type="dxa"/>
          </w:tcPr>
          <w:p w14:paraId="4018CE41" w14:textId="77777777" w:rsidR="005E645B" w:rsidRPr="0064331C" w:rsidRDefault="005E645B">
            <w:pPr>
              <w:spacing w:after="120"/>
            </w:pPr>
            <w:r>
              <w:t>требуется дополнительная информация по пунктам 8</w:t>
            </w:r>
            <w:r>
              <w:rPr>
                <w:b/>
                <w:bCs/>
              </w:rPr>
              <w:t>[C]</w:t>
            </w:r>
            <w:r>
              <w:t>, 24</w:t>
            </w:r>
            <w:r>
              <w:rPr>
                <w:b/>
                <w:bCs/>
              </w:rPr>
              <w:t>[C]</w:t>
            </w:r>
            <w:r>
              <w:t xml:space="preserve"> и 32</w:t>
            </w:r>
            <w:r>
              <w:rPr>
                <w:b/>
                <w:bCs/>
              </w:rPr>
              <w:t>[C]</w:t>
            </w:r>
          </w:p>
        </w:tc>
      </w:tr>
      <w:tr w:rsidR="005E645B" w:rsidRPr="00C247C7" w14:paraId="60537FA8" w14:textId="77777777" w:rsidTr="005E645B">
        <w:tc>
          <w:tcPr>
            <w:tcW w:w="2936" w:type="dxa"/>
          </w:tcPr>
          <w:p w14:paraId="21753684" w14:textId="77777777" w:rsidR="005E645B" w:rsidRPr="00A2163A" w:rsidRDefault="005E645B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 xml:space="preserve">Информация, полученная </w:t>
            </w:r>
            <w:r w:rsidR="00FA73E2">
              <w:rPr>
                <w:i/>
                <w:iCs/>
              </w:rPr>
              <w:br/>
            </w:r>
            <w:r>
              <w:rPr>
                <w:i/>
                <w:iCs/>
              </w:rPr>
              <w:t>от</w:t>
            </w:r>
            <w:r w:rsidRPr="00A2163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неправительственных организаций:</w:t>
            </w:r>
          </w:p>
        </w:tc>
        <w:tc>
          <w:tcPr>
            <w:tcW w:w="3874" w:type="dxa"/>
          </w:tcPr>
          <w:p w14:paraId="28B91B27" w14:textId="77777777" w:rsidR="005E645B" w:rsidRPr="005E645B" w:rsidRDefault="005E645B">
            <w:pPr>
              <w:spacing w:after="120"/>
              <w:rPr>
                <w:lang w:val="en-US"/>
              </w:rPr>
            </w:pPr>
            <w:r w:rsidRPr="00C247C7">
              <w:rPr>
                <w:lang w:val="en-US"/>
              </w:rPr>
              <w:t>Fundacja Instytut na rzecz Kultury Prawnej Ordo</w:t>
            </w:r>
            <w:r>
              <w:rPr>
                <w:lang w:val="en-US"/>
              </w:rPr>
              <w:t xml:space="preserve"> </w:t>
            </w:r>
            <w:r w:rsidRPr="00C247C7">
              <w:rPr>
                <w:lang w:val="en-US"/>
              </w:rPr>
              <w:t>Iuris (</w:t>
            </w:r>
            <w:r>
              <w:t>Институт</w:t>
            </w:r>
            <w:r w:rsidR="00D11DCD" w:rsidRPr="00C247C7">
              <w:rPr>
                <w:lang w:val="en-US"/>
              </w:rPr>
              <w:t>–</w:t>
            </w:r>
            <w:r>
              <w:t>Фонд</w:t>
            </w:r>
            <w:r w:rsidRPr="00C247C7">
              <w:rPr>
                <w:lang w:val="en-US"/>
              </w:rPr>
              <w:t xml:space="preserve"> </w:t>
            </w:r>
            <w:r>
              <w:t>правовой</w:t>
            </w:r>
            <w:r w:rsidRPr="00C247C7">
              <w:rPr>
                <w:lang w:val="en-US"/>
              </w:rPr>
              <w:t xml:space="preserve"> </w:t>
            </w:r>
            <w:r>
              <w:t>культуры</w:t>
            </w:r>
            <w:r w:rsidRPr="00C247C7">
              <w:rPr>
                <w:lang w:val="en-US"/>
              </w:rPr>
              <w:t xml:space="preserve"> «</w:t>
            </w:r>
            <w:r>
              <w:t>Ордо</w:t>
            </w:r>
            <w:r w:rsidRPr="00C247C7">
              <w:rPr>
                <w:lang w:val="en-US"/>
              </w:rPr>
              <w:t xml:space="preserve"> </w:t>
            </w:r>
            <w:r>
              <w:t>Юрис</w:t>
            </w:r>
            <w:r w:rsidRPr="00C247C7">
              <w:rPr>
                <w:lang w:val="en-US"/>
              </w:rPr>
              <w:t>»)</w:t>
            </w:r>
            <w:r w:rsidRPr="00A26E0E">
              <w:rPr>
                <w:rStyle w:val="aa"/>
              </w:rPr>
              <w:footnoteReference w:id="2"/>
            </w:r>
          </w:p>
        </w:tc>
      </w:tr>
    </w:tbl>
    <w:p w14:paraId="7E553DB9" w14:textId="77777777" w:rsidR="005E645B" w:rsidRPr="00B13202" w:rsidRDefault="005E645B" w:rsidP="005E645B">
      <w:pPr>
        <w:pStyle w:val="H23G"/>
      </w:pPr>
      <w:r w:rsidRPr="00C247C7">
        <w:rPr>
          <w:lang w:val="en-US"/>
        </w:rPr>
        <w:tab/>
      </w:r>
      <w:r w:rsidRPr="00C247C7">
        <w:rPr>
          <w:lang w:val="en-US"/>
        </w:rPr>
        <w:tab/>
      </w:r>
      <w:r>
        <w:t>Пункт 8: Конституционные и правовые рамки осуществления Пакта</w:t>
      </w:r>
    </w:p>
    <w:p w14:paraId="272DDF6A" w14:textId="77777777" w:rsidR="005E645B" w:rsidRPr="005404D4" w:rsidRDefault="005E645B" w:rsidP="005E645B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Государству-участнику следует обеспечить уважение и защиту репутации и независимости Конституционного суда и его судей, а также выполнение </w:t>
      </w:r>
      <w:r>
        <w:rPr>
          <w:b/>
          <w:bCs/>
        </w:rPr>
        <w:br/>
        <w:t>всех его решений.</w:t>
      </w:r>
      <w:r>
        <w:t xml:space="preserve"> </w:t>
      </w:r>
      <w:r>
        <w:rPr>
          <w:b/>
          <w:bCs/>
        </w:rPr>
        <w:t>Комитет настоятельно призывает государство-участник незамедлительно официально публиковать все решения Суда, воздерживаться от принятия мер, которые препятствуют его эффективному функционированию, и обеспечить транспарентность и беспристрастность процесса назначения его членов и гарантии несменяемости согласно всем требованиям законности в соответствии с внутренним и международным правом.</w:t>
      </w:r>
    </w:p>
    <w:p w14:paraId="25E0AD11" w14:textId="77777777" w:rsidR="005E645B" w:rsidRPr="0059263D" w:rsidRDefault="005E645B" w:rsidP="005E645B">
      <w:pPr>
        <w:pStyle w:val="H23G"/>
      </w:pPr>
      <w:r>
        <w:lastRenderedPageBreak/>
        <w:tab/>
      </w:r>
      <w:r>
        <w:tab/>
      </w:r>
      <w:r>
        <w:rPr>
          <w:bCs/>
        </w:rPr>
        <w:t>Резюме ответа государства-участника</w:t>
      </w:r>
      <w:r>
        <w:t xml:space="preserve"> </w:t>
      </w:r>
    </w:p>
    <w:p w14:paraId="375C2A8F" w14:textId="77777777" w:rsidR="005E645B" w:rsidRPr="005404D4" w:rsidRDefault="005E645B" w:rsidP="005E645B">
      <w:pPr>
        <w:pStyle w:val="SingleTxtG"/>
      </w:pPr>
      <w:r>
        <w:tab/>
      </w:r>
      <w:r>
        <w:tab/>
        <w:t>Конституционный суд является независимым органом, при этом ничто не препятствует выполнению им своих обязанностей. Правовые акты, принятые в конце 2016 года, соответствуют европейским стандартам для конституционных судов и учитывают рекомендации Европейской комиссии за демократию через право.</w:t>
      </w:r>
    </w:p>
    <w:p w14:paraId="65D9916E" w14:textId="77777777" w:rsidR="005E645B" w:rsidRPr="00B13202" w:rsidRDefault="005E645B" w:rsidP="005E645B">
      <w:pPr>
        <w:pStyle w:val="H23G"/>
      </w:pPr>
      <w:r>
        <w:tab/>
      </w:r>
      <w:r>
        <w:tab/>
        <w:t>Информация, полученная от Института</w:t>
      </w:r>
      <w:r w:rsidR="001F25F5">
        <w:t>–</w:t>
      </w:r>
      <w:r>
        <w:t>Фонда правовой культуры «Ордо Юрис»</w:t>
      </w:r>
    </w:p>
    <w:p w14:paraId="66AD0EDD" w14:textId="77777777" w:rsidR="005E645B" w:rsidRPr="00B13202" w:rsidRDefault="005E645B" w:rsidP="005E645B">
      <w:pPr>
        <w:pStyle w:val="SingleTxtG"/>
      </w:pPr>
      <w:r>
        <w:tab/>
      </w:r>
      <w:r>
        <w:tab/>
        <w:t xml:space="preserve">Действующее польское законодательство не представляет никакой угрозы для независимости Конституционного суда. На основании закона от 13 декабря 2016 года все предыдущие решения, касавшиеся Суда, были объявлены недействительными. Хотя в отношении нынешнего состава Суда существуют разногласия, сам закон предусматривает полную независимость судей. </w:t>
      </w:r>
    </w:p>
    <w:p w14:paraId="18200F53" w14:textId="77777777" w:rsidR="005E645B" w:rsidRPr="00B13202" w:rsidRDefault="005E645B" w:rsidP="005E645B">
      <w:pPr>
        <w:pStyle w:val="SingleTxtG"/>
      </w:pPr>
      <w:r>
        <w:tab/>
      </w:r>
      <w:r>
        <w:tab/>
        <w:t xml:space="preserve">Неопубликованные постановления Суда касались законов, которые были отменены. </w:t>
      </w:r>
    </w:p>
    <w:p w14:paraId="20F8B13B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7FB3E23F" w14:textId="77777777" w:rsidR="005E645B" w:rsidRPr="00B13202" w:rsidRDefault="005E645B" w:rsidP="005E645B">
      <w:pPr>
        <w:pStyle w:val="SingleTxtG"/>
      </w:pPr>
      <w:r>
        <w:rPr>
          <w:b/>
          <w:bCs/>
        </w:rPr>
        <w:t>[C]</w:t>
      </w:r>
      <w:r>
        <w:t>:</w:t>
      </w:r>
      <w:r w:rsidR="001F25F5" w:rsidRPr="00A2163A">
        <w:t xml:space="preserve"> </w:t>
      </w:r>
      <w:r>
        <w:t>Комитет сожалеет по поводу того, что государство не представило информацию о мерах, реализованных после принятия заключительных замечаний в целях обеспечения уважения и защиты репутации и независимости Конституционного суда и публикации всех его решений. Комитет просит представить дополнительную информацию о содержании закона от 13 декабря 2016 года. Он повторяет свои рекомендации.</w:t>
      </w:r>
    </w:p>
    <w:p w14:paraId="32FB8578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Пункт 24: Добровольное прерывание беременности</w:t>
      </w:r>
    </w:p>
    <w:p w14:paraId="763C2CB9" w14:textId="77777777" w:rsidR="005E645B" w:rsidRPr="00B13202" w:rsidRDefault="005E645B" w:rsidP="005E645B">
      <w:pPr>
        <w:pStyle w:val="H23G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>Государству-участнику следует:</w:t>
      </w:r>
      <w:r>
        <w:t xml:space="preserve"> </w:t>
      </w:r>
    </w:p>
    <w:p w14:paraId="7D8CB721" w14:textId="77777777" w:rsidR="005E645B" w:rsidRPr="00B13202" w:rsidRDefault="005E645B" w:rsidP="005E645B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a)</w:t>
      </w:r>
      <w:r>
        <w:tab/>
      </w:r>
      <w:r>
        <w:rPr>
          <w:b/>
          <w:bCs/>
        </w:rPr>
        <w:t>обеспечить, чтобы его законодательство не заставляло женщин прибегать к подпольным абортам, которые ставят под угрозу их жизнь и здоровье.</w:t>
      </w:r>
      <w:r>
        <w:t xml:space="preserve"> </w:t>
      </w:r>
      <w:r>
        <w:rPr>
          <w:b/>
          <w:bCs/>
        </w:rPr>
        <w:t>Ему следует провести исследование в области нелегальных абортов и представить статистические данные по этому вопросу.</w:t>
      </w:r>
      <w:r>
        <w:t xml:space="preserve"> </w:t>
      </w:r>
      <w:r>
        <w:rPr>
          <w:b/>
          <w:bCs/>
        </w:rPr>
        <w:t>Ему также следует обеспечить женщинам эффективный доступ к безопасным легальным абортам на всей территории страны и принять меры к тому, чтобы женщины не были обязаны в случае отказа врача от производства аборта по соображениям совести или задержек в рассмотрении жалобы на отказ проводить аборт прибегать к подпольным абортам, которые ставят под угрозу их жизнь и здоровье.</w:t>
      </w:r>
      <w:r>
        <w:t xml:space="preserve"> </w:t>
      </w:r>
      <w:r>
        <w:rPr>
          <w:b/>
          <w:bCs/>
        </w:rPr>
        <w:t>Эти задачи ему надлежит решить путем, в частности: i) разработки в первоочередном порядке стандартизированных правил и инструкций для учреждений сферы здравоохранения по всей стране в области предоставления услуг по производству легальных абортов;</w:t>
      </w:r>
      <w:r>
        <w:t xml:space="preserve"> </w:t>
      </w:r>
      <w:r>
        <w:rPr>
          <w:b/>
          <w:bCs/>
        </w:rPr>
        <w:t>ii) повышения эффективности функционирования механизма направления к другому специалисту для обеспечения доступа к легальным абортам в случае отказа врача от производства аборта по соображениям совести;</w:t>
      </w:r>
      <w:r>
        <w:t xml:space="preserve"> </w:t>
      </w:r>
      <w:r>
        <w:rPr>
          <w:b/>
          <w:bCs/>
        </w:rPr>
        <w:t>iii) облегчения доступа к пренатальному генетическому тестированию в целях выявления в соответствии с Законом от 7 января 1993 года серьезных и необратимых патологий и неизлечимых болезней плода, угрожающих его жизни;</w:t>
      </w:r>
      <w:r>
        <w:t xml:space="preserve"> </w:t>
      </w:r>
      <w:r>
        <w:rPr>
          <w:b/>
          <w:bCs/>
        </w:rPr>
        <w:t>iv) обеспечения своевременного рассмотрения апелляций в отношении отказа от производства аборта, включая дальнейшее сокращение сроков вынесения решения врачебной комиссией;</w:t>
      </w:r>
      <w:r>
        <w:t xml:space="preserve"> </w:t>
      </w:r>
      <w:r>
        <w:rPr>
          <w:b/>
          <w:bCs/>
        </w:rPr>
        <w:t>и v) обеспечения того, чтобы механизмы получения прокурорского подтверждения и правила отдельных медицинских учреждений не блокировали доступ к легальным абортам;</w:t>
      </w:r>
    </w:p>
    <w:p w14:paraId="1A5A6BFF" w14:textId="77777777" w:rsidR="005E645B" w:rsidRPr="00B13202" w:rsidRDefault="005E645B" w:rsidP="005E645B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>не проводить какие-либо законодательные реформы, еще более ужесточающие и без того ограничительное законодательство в отношении доступа женщин к безопасным легальным абортам;</w:t>
      </w:r>
    </w:p>
    <w:p w14:paraId="19EDC49F" w14:textId="77777777" w:rsidR="005E645B" w:rsidRPr="00B13202" w:rsidRDefault="005E645B" w:rsidP="005E645B">
      <w:pPr>
        <w:pStyle w:val="SingleTxtG"/>
        <w:rPr>
          <w:b/>
          <w:bCs/>
        </w:rPr>
      </w:pPr>
      <w:r>
        <w:lastRenderedPageBreak/>
        <w:tab/>
      </w:r>
      <w:r>
        <w:tab/>
      </w:r>
      <w:r>
        <w:rPr>
          <w:b/>
          <w:bCs/>
        </w:rPr>
        <w:t>с)</w:t>
      </w:r>
      <w:r>
        <w:tab/>
      </w:r>
      <w:r>
        <w:rPr>
          <w:b/>
          <w:bCs/>
        </w:rPr>
        <w:t>расширить образовательные и информационно-просветительские программы по вопросам сексуального и репродуктивного здоровья и упростить на практике доступ к противозачаточным средствам.</w:t>
      </w:r>
    </w:p>
    <w:p w14:paraId="519CB6F7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  <w:r>
        <w:t xml:space="preserve"> </w:t>
      </w:r>
    </w:p>
    <w:p w14:paraId="04240C35" w14:textId="77777777" w:rsidR="005E645B" w:rsidRPr="00B13202" w:rsidRDefault="005E645B" w:rsidP="005E645B">
      <w:pPr>
        <w:pStyle w:val="SingleTxtG"/>
      </w:pPr>
      <w:r>
        <w:tab/>
      </w:r>
      <w:r>
        <w:tab/>
        <w:t>a)</w:t>
      </w:r>
      <w:r>
        <w:tab/>
        <w:t xml:space="preserve">Государство-участник подтверждает информацию, содержащуюся в его седьмом периодическом докладе (CCPR/C/POL/7, пункт 72), в отношении отсутствия официальных данных о незаконных абортах. Государство-участник также подтверждает информацию, представленную в его седьмом периодическом докладе (там же, пункт 76) в отношении «положения о соображениях совести», которое позволяет врачам воздерживаться от оказания медицинских услуг, противоречащих их совести, за исключением случаев крайней необходимости. Государство-участник повторяет информацию, представленную в его седьмом периодическом докладе (там же, пункт 79), поскольку в нем рассказывается о праве пациентов обращаться к Уполномоченному по правам пациентов и опротестовывать медицинское заключение. Уполномоченный по правам пациентов был назначен на основании соответствующего закона, принятого 6 ноября 2008 года, а право опротестовывать медицинское заключение было введено с целью выполнения решений Европейского суда по правам человека, вынесенных по делам </w:t>
      </w:r>
      <w:r>
        <w:rPr>
          <w:i/>
          <w:iCs/>
        </w:rPr>
        <w:t>Тысяк против Польши</w:t>
      </w:r>
      <w:r>
        <w:t xml:space="preserve">, </w:t>
      </w:r>
      <w:r>
        <w:rPr>
          <w:i/>
          <w:iCs/>
        </w:rPr>
        <w:t>Р.Р. против Польши</w:t>
      </w:r>
      <w:r>
        <w:t xml:space="preserve"> и </w:t>
      </w:r>
      <w:r w:rsidR="00FA73E2">
        <w:br/>
      </w:r>
      <w:r>
        <w:rPr>
          <w:i/>
          <w:iCs/>
        </w:rPr>
        <w:t>П. и С. против Польши</w:t>
      </w:r>
      <w:r>
        <w:t>.</w:t>
      </w:r>
    </w:p>
    <w:p w14:paraId="75F504FF" w14:textId="77777777" w:rsidR="005E645B" w:rsidRPr="00B13202" w:rsidRDefault="005E645B" w:rsidP="005E645B">
      <w:pPr>
        <w:pStyle w:val="SingleTxtG"/>
      </w:pPr>
      <w:r>
        <w:tab/>
      </w:r>
      <w:r>
        <w:tab/>
        <w:t>Порядок проведения дородовых осмотров регулируется распоряжением Министра здравоохранения от 6 ноября 2013 года. Дородовое обследование направлено на выявление или исключение дефекта или заболевания у ребенка, и неверно полагать, что единственной целью дородового обследования является предоставление оснований для оправдания аборта на основании его результатов;</w:t>
      </w:r>
    </w:p>
    <w:p w14:paraId="53CDB03C" w14:textId="77777777" w:rsidR="005E645B" w:rsidRPr="00B13202" w:rsidRDefault="005E645B" w:rsidP="005E645B">
      <w:pPr>
        <w:pStyle w:val="SingleTxtG"/>
      </w:pPr>
      <w:r>
        <w:tab/>
      </w:r>
      <w:r>
        <w:tab/>
        <w:t>b)</w:t>
      </w:r>
      <w:r>
        <w:tab/>
        <w:t>никакой информации представлено не было;</w:t>
      </w:r>
    </w:p>
    <w:p w14:paraId="14EEC28B" w14:textId="77777777" w:rsidR="005E645B" w:rsidRPr="00B13202" w:rsidRDefault="005E645B" w:rsidP="005E645B">
      <w:pPr>
        <w:pStyle w:val="SingleTxtG"/>
      </w:pPr>
      <w:r>
        <w:tab/>
      </w:r>
      <w:r>
        <w:tab/>
        <w:t>с)</w:t>
      </w:r>
      <w:r>
        <w:tab/>
        <w:t>никакой информации представлено не было</w:t>
      </w:r>
      <w:r w:rsidR="00FA73E2">
        <w:t>.</w:t>
      </w:r>
    </w:p>
    <w:p w14:paraId="26AA12AF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Информация, полученная от Института</w:t>
      </w:r>
      <w:r w:rsidR="001F25F5">
        <w:t>–</w:t>
      </w:r>
      <w:r>
        <w:rPr>
          <w:bCs/>
        </w:rPr>
        <w:t>Фонда правовой культуры «Ордо Юрис»</w:t>
      </w:r>
    </w:p>
    <w:p w14:paraId="659B824A" w14:textId="77777777" w:rsidR="005E645B" w:rsidRPr="00B13202" w:rsidRDefault="005E645B" w:rsidP="005E645B">
      <w:pPr>
        <w:pStyle w:val="SingleTxtG"/>
      </w:pPr>
      <w:r>
        <w:tab/>
      </w:r>
      <w:r>
        <w:tab/>
        <w:t>a)</w:t>
      </w:r>
      <w:r>
        <w:tab/>
        <w:t>Медицинские исследования показывают, что ограниченный доступ к абортам оказывает положительное влияние на снижение уровня материнской смертности. Более высокий уровень защиты жизни ребенка коррелируется с более низким риском для жизни и здоровья матери.</w:t>
      </w:r>
    </w:p>
    <w:p w14:paraId="19E22C00" w14:textId="77777777" w:rsidR="005E645B" w:rsidRPr="00B13202" w:rsidRDefault="005E645B" w:rsidP="005E645B">
      <w:pPr>
        <w:pStyle w:val="SingleTxtG"/>
      </w:pPr>
      <w:r>
        <w:tab/>
      </w:r>
      <w:r>
        <w:tab/>
        <w:t>По достоверным оценкам, число нелегальных абортов составляет от 7000 до 13 000 в год, что значительно ниже 80 000⸻200 000 нелегальных абортов, о которых ежегодно сообщается в средствах массовой информации.</w:t>
      </w:r>
    </w:p>
    <w:p w14:paraId="14BEAAAF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В соответствии со статьей 53 Конституции, каждому гарантируется право на свободу совести и вероисповедания. Доступность дородовых тестов для целей производства аборта является одной из форм дискриминации в отношении зачатых детей, основанной на подозрении в наличии заболевания или риска инвалидности, что противоречит конституционным, международным и законодательным нормам защиты прав детей;</w:t>
      </w:r>
    </w:p>
    <w:p w14:paraId="71A6B544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b)</w:t>
      </w:r>
      <w:r w:rsidR="005E645B">
        <w:tab/>
        <w:t>30 ноября 2017 года Комитет по законодательной инициативе «Прекратить аборты» внес на рассмотрение законопроект о внесении поправок в Закон от 7 января 1993 года «О планировании семьи, охране плода человека и условиях, при которых допускается прерывание беременности». Законопроект направлен на запрещение дискриминации в отношении зачатых детей, основанной на подозрении в наличии заболевания или риска инвалидности;</w:t>
      </w:r>
    </w:p>
    <w:p w14:paraId="2384ECAA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с)</w:t>
      </w:r>
      <w:r w:rsidR="005E645B">
        <w:tab/>
        <w:t>никакой информации представлено не было.</w:t>
      </w:r>
    </w:p>
    <w:p w14:paraId="3D77EC15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3CA8AF8E" w14:textId="77777777" w:rsidR="005E645B" w:rsidRPr="00AE2E46" w:rsidRDefault="005E645B" w:rsidP="00FA73E2">
      <w:pPr>
        <w:pStyle w:val="SingleTxtG"/>
        <w:tabs>
          <w:tab w:val="left" w:pos="2694"/>
        </w:tabs>
      </w:pPr>
      <w:r>
        <w:rPr>
          <w:b/>
          <w:bCs/>
        </w:rPr>
        <w:t>[C]</w:t>
      </w:r>
      <w:r w:rsidR="00FA73E2">
        <w:t xml:space="preserve"> </w:t>
      </w:r>
      <w:r>
        <w:t>a), b) и c):</w:t>
      </w:r>
      <w:r w:rsidR="001F25F5" w:rsidRPr="00A2163A">
        <w:t xml:space="preserve"> </w:t>
      </w:r>
      <w:r>
        <w:t xml:space="preserve">Комитет сожалеет, что государство подтвердило информацию, представленную в его седьмом периодическом докладе, и не представило никакой </w:t>
      </w:r>
      <w:r>
        <w:lastRenderedPageBreak/>
        <w:t>информации о мерах, реализованных после принятия заключительных замечаний. Комитет повторяет свои рекомендации.</w:t>
      </w:r>
    </w:p>
    <w:p w14:paraId="2E63B0D4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Комитет сожалеет по поводу отсутствия информации о мерах, принятых в целях недопущения проведения ретрогрессивной законодательной реформы, и просит представить информацию о представленном 30 ноября 2017 года законопроекте о внесении поправок в Закон от 7 января 1993 года. Комитет повторяет свои рекомендации.</w:t>
      </w:r>
    </w:p>
    <w:p w14:paraId="4183917A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Комитет сожалеет по поводу отсутствия информации о мерах, реализованных после принятия заключительных замечаний в целях расширения просветительских и пропагандистских программ по вопросам прав на сексуальное и репродуктивное здоровье и обеспечения эффективного доступа к противозачаточным средствам. Комитет повторяет свои рекомендации.</w:t>
      </w:r>
    </w:p>
    <w:p w14:paraId="6F70D4B4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Пункт 32: Права иностранцев</w:t>
      </w:r>
    </w:p>
    <w:p w14:paraId="569CDFFF" w14:textId="77777777" w:rsidR="005E645B" w:rsidRPr="00B13202" w:rsidRDefault="000F4E33" w:rsidP="005E645B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E645B">
        <w:rPr>
          <w:b/>
          <w:bCs/>
        </w:rPr>
        <w:t>Государству-участнику следует:</w:t>
      </w:r>
    </w:p>
    <w:p w14:paraId="5B4A14F9" w14:textId="77777777" w:rsidR="005E645B" w:rsidRPr="00B13202" w:rsidRDefault="000F4E33" w:rsidP="005E645B">
      <w:pPr>
        <w:pStyle w:val="SingleTxtG"/>
        <w:rPr>
          <w:b/>
          <w:bCs/>
        </w:rPr>
      </w:pPr>
      <w:r>
        <w:tab/>
      </w:r>
      <w:r w:rsidR="005E645B">
        <w:tab/>
      </w:r>
      <w:r w:rsidR="005E645B">
        <w:rPr>
          <w:b/>
          <w:bCs/>
        </w:rPr>
        <w:t>a)</w:t>
      </w:r>
      <w:r w:rsidR="005E645B">
        <w:tab/>
      </w:r>
      <w:r w:rsidR="005E645B">
        <w:rPr>
          <w:b/>
          <w:bCs/>
        </w:rPr>
        <w:t>воздерживаться от задержания просителей убежища и мигрантов и использовать альтернативные методы, в том числе до депортации, а в случае принятия решения об их содержании под страж</w:t>
      </w:r>
      <w:r>
        <w:rPr>
          <w:b/>
          <w:bCs/>
        </w:rPr>
        <w:t>е</w:t>
      </w:r>
      <w:r w:rsidR="005E645B">
        <w:rPr>
          <w:b/>
          <w:bCs/>
        </w:rPr>
        <w:t>й обеспечивать, чтобы оно являлось разумной, необходимой и соразмерной в свете конкретных обстоятельств мерой и подлежало с течением времени пересмотру;</w:t>
      </w:r>
    </w:p>
    <w:p w14:paraId="44137E68" w14:textId="77777777" w:rsidR="005E645B" w:rsidRPr="005404D4" w:rsidRDefault="000F4E33" w:rsidP="005E645B">
      <w:pPr>
        <w:pStyle w:val="SingleTxtG"/>
      </w:pPr>
      <w:r>
        <w:tab/>
      </w:r>
      <w:r w:rsidR="005E645B">
        <w:tab/>
      </w:r>
      <w:r w:rsidR="005E645B">
        <w:rPr>
          <w:b/>
          <w:bCs/>
        </w:rPr>
        <w:t>b)</w:t>
      </w:r>
      <w:r w:rsidR="005E645B">
        <w:tab/>
      </w:r>
      <w:r w:rsidR="005E645B">
        <w:rPr>
          <w:b/>
          <w:bCs/>
        </w:rPr>
        <w:t>обеспечивать, чтобы дети не лишались свободы, кроме как в качестве крайней меры и в течение как можно более короткого соответствующего периода времени с учетом необходимости наилучшего обеспечения их интересов;</w:t>
      </w:r>
    </w:p>
    <w:p w14:paraId="3AE52F7A" w14:textId="77777777" w:rsidR="005E645B" w:rsidRPr="00B13202" w:rsidRDefault="000F4E33" w:rsidP="005E645B">
      <w:pPr>
        <w:pStyle w:val="SingleTxtG"/>
        <w:rPr>
          <w:b/>
          <w:bCs/>
        </w:rPr>
      </w:pPr>
      <w:r>
        <w:tab/>
      </w:r>
      <w:r w:rsidR="005E645B">
        <w:tab/>
      </w:r>
      <w:r w:rsidR="005E645B">
        <w:rPr>
          <w:b/>
          <w:bCs/>
        </w:rPr>
        <w:t>с)</w:t>
      </w:r>
      <w:r w:rsidR="005E645B">
        <w:tab/>
      </w:r>
      <w:r w:rsidR="005E645B">
        <w:rPr>
          <w:b/>
          <w:bCs/>
        </w:rPr>
        <w:t>обеспечить, чтобы убежище предоставлялось без дискриминации по религиозному или другим признакам, запрещенным Пактом, и создать систему надлежащей проверки, с тем чтобы не допускать высылки просителей убежища в ту или иную страну, если имеются серьезные основания полагать, что существует реальная опасность причинения непоправимого вреда, о которой говорится в статьях 6 и 7 Пакта.</w:t>
      </w:r>
    </w:p>
    <w:p w14:paraId="055B310B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  <w:r>
        <w:t xml:space="preserve"> </w:t>
      </w:r>
    </w:p>
    <w:p w14:paraId="16751EAF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a)</w:t>
      </w:r>
      <w:r w:rsidR="005E645B">
        <w:tab/>
        <w:t xml:space="preserve">В 2016 году масштабы использования альтернативных мер расширились. Одновременно с этим сократилась средняя продолжительность содержания под стражей. Законность содержания под стражей рассматривается пенитенциарными судьями районных судов; </w:t>
      </w:r>
    </w:p>
    <w:p w14:paraId="2626CF15" w14:textId="77777777" w:rsidR="005E645B" w:rsidRPr="005404D4" w:rsidRDefault="000F4E33" w:rsidP="005E645B">
      <w:pPr>
        <w:pStyle w:val="SingleTxtG"/>
      </w:pPr>
      <w:r>
        <w:tab/>
      </w:r>
      <w:r w:rsidR="005E645B">
        <w:tab/>
        <w:t>b)</w:t>
      </w:r>
      <w:r w:rsidR="005E645B">
        <w:tab/>
        <w:t xml:space="preserve">несопровождаемые несовершеннолетние помещаются в учреждения по уходу и образовательные учреждения или в патронатные семьи на основании решения суда, или же в охраняемые центры, если они достигли 15 лет и не обращались за международной защитой. </w:t>
      </w:r>
    </w:p>
    <w:p w14:paraId="39E31240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 xml:space="preserve">Инфраструктура охраняемых объектов для иностранцев была адаптирована к потребностям несовершеннолетних. </w:t>
      </w:r>
    </w:p>
    <w:p w14:paraId="573FEEE0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В мае 2017 года правительство начало сотрудничать с Фондом расширения прав и возможностей детей в целях разработки политики по защите детей;</w:t>
      </w:r>
    </w:p>
    <w:p w14:paraId="4ABBE81B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с)</w:t>
      </w:r>
      <w:r w:rsidR="005E645B">
        <w:tab/>
      </w:r>
      <w:r w:rsidR="004426F6">
        <w:t>п</w:t>
      </w:r>
      <w:r w:rsidR="005E645B">
        <w:t>ограничная служба направляет все ходатайства о предоставлении международной защиты руководителю Управления по делам иностранцев в течение 48 часов после проведения в ходе процедур пограничного контроля всесторонней и индивидуальной оценки на предмет соблюдения условий въезда. В целях полного осуществления принципа недопустимости принудительного возвращения сотрудники пограничной службы проходят инструктаж и подготовку, с тем чтобы уметь распознавать иностранца, желающего обратиться за международной защитой.</w:t>
      </w:r>
    </w:p>
    <w:p w14:paraId="25C440C2" w14:textId="77777777" w:rsidR="005E645B" w:rsidRPr="00B13202" w:rsidRDefault="005E645B" w:rsidP="005E645B">
      <w:pPr>
        <w:pStyle w:val="H23G"/>
      </w:pPr>
      <w:r>
        <w:lastRenderedPageBreak/>
        <w:tab/>
      </w:r>
      <w:r>
        <w:tab/>
      </w:r>
      <w:r>
        <w:rPr>
          <w:bCs/>
        </w:rPr>
        <w:t>Информация, полученная от Института</w:t>
      </w:r>
      <w:r w:rsidR="009803A9">
        <w:t>–</w:t>
      </w:r>
      <w:r>
        <w:rPr>
          <w:bCs/>
        </w:rPr>
        <w:t>Фонда правовой культуры «Ордо Юрис»</w:t>
      </w:r>
    </w:p>
    <w:p w14:paraId="74F509FF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a)</w:t>
      </w:r>
      <w:r w:rsidR="005E645B">
        <w:tab/>
        <w:t>Независимые исследования показали, что задержание мигрантов, подлежащих депортации, становится все менее распространенным явлением, поскольку вместо этого применяются меры, не связанные с лишением свободы;</w:t>
      </w:r>
    </w:p>
    <w:p w14:paraId="778D6C53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b)</w:t>
      </w:r>
      <w:r w:rsidR="005E645B">
        <w:tab/>
        <w:t>никакой информации представлено не было;</w:t>
      </w:r>
    </w:p>
    <w:p w14:paraId="0781B38D" w14:textId="77777777" w:rsidR="005E645B" w:rsidRPr="005404D4" w:rsidRDefault="000F4E33" w:rsidP="005E645B">
      <w:pPr>
        <w:pStyle w:val="SingleTxtG"/>
      </w:pPr>
      <w:r>
        <w:tab/>
      </w:r>
      <w:r w:rsidR="005E645B">
        <w:tab/>
        <w:t>с)</w:t>
      </w:r>
      <w:r w:rsidR="005E645B">
        <w:tab/>
        <w:t xml:space="preserve">в 2016 году в Польше было выдано 585 969 первых видов на жительство. Хотя некоторые мигранты могут сталкиваться с определенными трудностями при пересечении границ, подавляющему большинству из них предоставляется право на пребывание в Польше. </w:t>
      </w:r>
    </w:p>
    <w:p w14:paraId="15D1E465" w14:textId="77777777" w:rsidR="005E645B" w:rsidRPr="00B13202" w:rsidRDefault="005E645B" w:rsidP="005E645B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3033A4B3" w14:textId="77777777" w:rsidR="005E645B" w:rsidRDefault="005E645B" w:rsidP="005E645B">
      <w:pPr>
        <w:pStyle w:val="SingleTxtG"/>
      </w:pPr>
      <w:r>
        <w:rPr>
          <w:b/>
          <w:bCs/>
        </w:rPr>
        <w:t>[C]</w:t>
      </w:r>
      <w:r w:rsidR="00FA73E2">
        <w:rPr>
          <w:b/>
          <w:bCs/>
        </w:rPr>
        <w:t xml:space="preserve"> </w:t>
      </w:r>
      <w:r>
        <w:t>a), b) и c):</w:t>
      </w:r>
      <w:r w:rsidR="001F25F5" w:rsidRPr="00A2163A">
        <w:t xml:space="preserve"> </w:t>
      </w:r>
      <w:r>
        <w:t>Хотя Комитет отмечает расширение масштабов использования альтернативных мер в 2016 году, он просит представить дополнительную информацию, в частности, о фактическом числе задержанных просителей убежища и мигрантов и об альтернативных мерах, использовавшихся в последние четыре года. Комитет также просит представить дополнительную информацию о мерах, реализованных после принятия заключительных замечаний для обеспечения того, чтобы содержание под стражей являлось разумной, необходимой и соразмерной мерой. Комитет повторяет свои рекомендации.</w:t>
      </w:r>
    </w:p>
    <w:p w14:paraId="48422EBC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Комитет принимает к сведению представленную информацию о детях, лишенных свободы, однако сожалеет по поводу отсутствия какой-либо информации о мерах, реализованных после принятия заключительных замечаний для обеспечения того, чтобы дети не лишались свободы. Комитет повторяет свои рекомендации.</w:t>
      </w:r>
    </w:p>
    <w:p w14:paraId="2E07B59E" w14:textId="77777777" w:rsidR="005E645B" w:rsidRPr="00B13202" w:rsidRDefault="000F4E33" w:rsidP="005E645B">
      <w:pPr>
        <w:pStyle w:val="SingleTxtG"/>
      </w:pPr>
      <w:r>
        <w:tab/>
      </w:r>
      <w:r w:rsidR="005E645B">
        <w:tab/>
        <w:t>Комитет сожалеет по поводу отсутствия информации о мерах, реализованных после принятия заключительных замечаний для обеспечения того, чтобы убежище предоставлялось без дискриминации по каким-либо признакам, а также для соблюдения принципа недопустимости принудительного возвращения. Комитет повторяет свои рекомендации.</w:t>
      </w:r>
    </w:p>
    <w:p w14:paraId="78CF47A3" w14:textId="77777777" w:rsidR="005E645B" w:rsidRPr="00B13202" w:rsidRDefault="005E645B" w:rsidP="005E645B">
      <w:pPr>
        <w:pStyle w:val="SingleTxtG"/>
      </w:pPr>
      <w:r>
        <w:rPr>
          <w:b/>
          <w:bCs/>
        </w:rPr>
        <w:t>Рекомендуемые действия:</w:t>
      </w:r>
      <w:r w:rsidR="009803A9" w:rsidRPr="00C247C7">
        <w:rPr>
          <w:b/>
          <w:bCs/>
        </w:rPr>
        <w:t xml:space="preserve"> </w:t>
      </w:r>
      <w:r w:rsidR="009803A9">
        <w:rPr>
          <w:lang w:val="en-US"/>
        </w:rPr>
        <w:t>C</w:t>
      </w:r>
      <w:r>
        <w:t>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  <w:bookmarkStart w:id="3" w:name="_Toc506807563"/>
    </w:p>
    <w:bookmarkEnd w:id="3"/>
    <w:p w14:paraId="42FC1EDE" w14:textId="77777777" w:rsidR="00381C24" w:rsidRPr="000F4E33" w:rsidRDefault="000F4E33" w:rsidP="000F4E3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F4E33" w:rsidSect="00F018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7020" w14:textId="77777777" w:rsidR="00E25408" w:rsidRPr="00A312BC" w:rsidRDefault="00E25408" w:rsidP="00A312BC"/>
  </w:endnote>
  <w:endnote w:type="continuationSeparator" w:id="0">
    <w:p w14:paraId="03D8997F" w14:textId="77777777" w:rsidR="00E25408" w:rsidRPr="00A312BC" w:rsidRDefault="00E254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9183" w14:textId="77777777" w:rsidR="00F0185C" w:rsidRPr="00F0185C" w:rsidRDefault="00F0185C">
    <w:pPr>
      <w:pStyle w:val="a8"/>
    </w:pPr>
    <w:r w:rsidRPr="00F0185C">
      <w:rPr>
        <w:b/>
        <w:sz w:val="18"/>
      </w:rPr>
      <w:fldChar w:fldCharType="begin"/>
    </w:r>
    <w:r w:rsidRPr="00F0185C">
      <w:rPr>
        <w:b/>
        <w:sz w:val="18"/>
      </w:rPr>
      <w:instrText xml:space="preserve"> PAGE  \* MERGEFORMAT </w:instrText>
    </w:r>
    <w:r w:rsidRPr="00F0185C">
      <w:rPr>
        <w:b/>
        <w:sz w:val="18"/>
      </w:rPr>
      <w:fldChar w:fldCharType="separate"/>
    </w:r>
    <w:r w:rsidRPr="00F0185C">
      <w:rPr>
        <w:b/>
        <w:noProof/>
        <w:sz w:val="18"/>
      </w:rPr>
      <w:t>2</w:t>
    </w:r>
    <w:r w:rsidRPr="00F0185C">
      <w:rPr>
        <w:b/>
        <w:sz w:val="18"/>
      </w:rPr>
      <w:fldChar w:fldCharType="end"/>
    </w:r>
    <w:r>
      <w:rPr>
        <w:b/>
        <w:sz w:val="18"/>
      </w:rPr>
      <w:tab/>
    </w:r>
    <w:r>
      <w:t>GE.20-12312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DADD" w14:textId="77777777" w:rsidR="00F0185C" w:rsidRPr="00F0185C" w:rsidRDefault="00F0185C" w:rsidP="00F0185C">
    <w:pPr>
      <w:pStyle w:val="a8"/>
      <w:tabs>
        <w:tab w:val="clear" w:pos="9639"/>
        <w:tab w:val="right" w:pos="9638"/>
      </w:tabs>
      <w:rPr>
        <w:b/>
        <w:sz w:val="18"/>
      </w:rPr>
    </w:pPr>
    <w:r>
      <w:t>GE.20-12312</w:t>
    </w:r>
    <w:r>
      <w:tab/>
    </w:r>
    <w:r w:rsidRPr="00F0185C">
      <w:rPr>
        <w:b/>
        <w:sz w:val="18"/>
      </w:rPr>
      <w:fldChar w:fldCharType="begin"/>
    </w:r>
    <w:r w:rsidRPr="00F0185C">
      <w:rPr>
        <w:b/>
        <w:sz w:val="18"/>
      </w:rPr>
      <w:instrText xml:space="preserve"> PAGE  \* MERGEFORMAT </w:instrText>
    </w:r>
    <w:r w:rsidRPr="00F0185C">
      <w:rPr>
        <w:b/>
        <w:sz w:val="18"/>
      </w:rPr>
      <w:fldChar w:fldCharType="separate"/>
    </w:r>
    <w:r w:rsidRPr="00F0185C">
      <w:rPr>
        <w:b/>
        <w:noProof/>
        <w:sz w:val="18"/>
      </w:rPr>
      <w:t>3</w:t>
    </w:r>
    <w:r w:rsidRPr="00F018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CFB8" w14:textId="77777777" w:rsidR="00042B72" w:rsidRPr="00F0185C" w:rsidRDefault="00F0185C" w:rsidP="00F0185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60FF8C" wp14:editId="6038A1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20-12312  (R)</w:t>
    </w:r>
    <w:r>
      <w:rPr>
        <w:lang w:val="en-US"/>
      </w:rPr>
      <w:t xml:space="preserve">  231020  261020</w:t>
    </w:r>
    <w:r>
      <w:br/>
    </w:r>
    <w:r w:rsidRPr="00F0185C">
      <w:rPr>
        <w:rFonts w:ascii="C39T30Lfz" w:hAnsi="C39T30Lfz"/>
        <w:kern w:val="14"/>
        <w:sz w:val="56"/>
      </w:rPr>
      <w:t>*2012312*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D7722A" wp14:editId="794367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B422" w14:textId="77777777" w:rsidR="00E25408" w:rsidRPr="001075E9" w:rsidRDefault="00E254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D2E907" w14:textId="77777777" w:rsidR="00E25408" w:rsidRDefault="00E254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E7C80A" w14:textId="77777777" w:rsidR="005E645B" w:rsidRPr="00B13202" w:rsidRDefault="005E645B" w:rsidP="005E645B">
      <w:pPr>
        <w:pStyle w:val="ad"/>
      </w:pPr>
      <w:r>
        <w:tab/>
      </w:r>
      <w:r w:rsidRPr="005E645B">
        <w:rPr>
          <w:sz w:val="20"/>
        </w:rPr>
        <w:t>*</w:t>
      </w:r>
      <w:r>
        <w:tab/>
        <w:t>Принят Комитетом на его 128-й сессии (2–27 марта 2020 года).</w:t>
      </w:r>
      <w:bookmarkStart w:id="1" w:name="_Hlk51660223"/>
      <w:bookmarkEnd w:id="1"/>
    </w:p>
  </w:footnote>
  <w:footnote w:id="2">
    <w:p w14:paraId="3BF1F662" w14:textId="70792E34" w:rsidR="005E645B" w:rsidRPr="00C247C7" w:rsidRDefault="005E645B" w:rsidP="005E645B">
      <w:pPr>
        <w:pStyle w:val="ad"/>
        <w:rPr>
          <w:lang w:val="en-US"/>
        </w:rPr>
      </w:pPr>
      <w:r>
        <w:tab/>
      </w:r>
      <w:r w:rsidRPr="00A26E0E">
        <w:rPr>
          <w:rStyle w:val="aa"/>
        </w:rPr>
        <w:footnoteRef/>
      </w:r>
      <w:r w:rsidRPr="00C247C7">
        <w:rPr>
          <w:lang w:val="en-US"/>
        </w:rPr>
        <w:tab/>
      </w:r>
      <w:r>
        <w:t>См</w:t>
      </w:r>
      <w:r w:rsidRPr="00C247C7">
        <w:rPr>
          <w:lang w:val="en-US"/>
        </w:rPr>
        <w:t xml:space="preserve">. </w:t>
      </w:r>
      <w:r>
        <w:rPr>
          <w:lang w:val="en-US"/>
        </w:rPr>
        <w:t>URL</w:t>
      </w:r>
      <w:r w:rsidRPr="00C247C7">
        <w:rPr>
          <w:lang w:val="en-US"/>
        </w:rPr>
        <w:t xml:space="preserve">: </w:t>
      </w:r>
      <w:hyperlink r:id="rId1" w:history="1">
        <w:r w:rsidR="00C247C7" w:rsidRPr="00C247C7">
          <w:rPr>
            <w:rStyle w:val="af1"/>
            <w:lang w:val="en-US"/>
          </w:rPr>
          <w:t>https://tbinternet.ohchr.org/_layouts/15/treatybodyexternal/Download.aspx?symbolno=INT%2fCCPR%2fNGS%2fPOL%2f29939&amp;Lang=en</w:t>
        </w:r>
      </w:hyperlink>
      <w:r w:rsidRPr="00C247C7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0317" w14:textId="1F1316F2" w:rsidR="00F0185C" w:rsidRPr="00F0185C" w:rsidRDefault="00A2163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CCPR/C/128/3/Add.3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8D4D" w14:textId="28034C6A" w:rsidR="00F0185C" w:rsidRPr="00F0185C" w:rsidRDefault="00A2163A" w:rsidP="00F0185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CCPR/C/128/3/Add.3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08"/>
    <w:rsid w:val="00033EE1"/>
    <w:rsid w:val="00042B72"/>
    <w:rsid w:val="000558BD"/>
    <w:rsid w:val="000B57E7"/>
    <w:rsid w:val="000B6373"/>
    <w:rsid w:val="000F09DF"/>
    <w:rsid w:val="000F4E33"/>
    <w:rsid w:val="000F61B2"/>
    <w:rsid w:val="001075E9"/>
    <w:rsid w:val="00180183"/>
    <w:rsid w:val="0018024D"/>
    <w:rsid w:val="0018649F"/>
    <w:rsid w:val="00196389"/>
    <w:rsid w:val="001B3EF6"/>
    <w:rsid w:val="001C7A89"/>
    <w:rsid w:val="001F25F5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426F6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0B27"/>
    <w:rsid w:val="005E2B41"/>
    <w:rsid w:val="005E645B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953BE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803A9"/>
    <w:rsid w:val="009918E2"/>
    <w:rsid w:val="009A24AC"/>
    <w:rsid w:val="009D21FD"/>
    <w:rsid w:val="00A14DA8"/>
    <w:rsid w:val="00A2163A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247C7"/>
    <w:rsid w:val="00C46D5A"/>
    <w:rsid w:val="00C60F0C"/>
    <w:rsid w:val="00C805C9"/>
    <w:rsid w:val="00C92939"/>
    <w:rsid w:val="00CA1679"/>
    <w:rsid w:val="00CB151C"/>
    <w:rsid w:val="00CE5A1A"/>
    <w:rsid w:val="00CF55F6"/>
    <w:rsid w:val="00D11DCD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25408"/>
    <w:rsid w:val="00E46656"/>
    <w:rsid w:val="00E73F76"/>
    <w:rsid w:val="00E816DD"/>
    <w:rsid w:val="00EA2C9F"/>
    <w:rsid w:val="00EA420E"/>
    <w:rsid w:val="00ED0BDA"/>
    <w:rsid w:val="00EF1360"/>
    <w:rsid w:val="00EF3220"/>
    <w:rsid w:val="00F0185C"/>
    <w:rsid w:val="00F43903"/>
    <w:rsid w:val="00F94155"/>
    <w:rsid w:val="00F9783F"/>
    <w:rsid w:val="00FA73E2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57294"/>
  <w15:docId w15:val="{24368716-07FA-46DF-9247-29B533BB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E645B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5E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CPR%2fNGS%2fPOL%2f29939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5</Pages>
  <Words>1612</Words>
  <Characters>11356</Characters>
  <Application>Microsoft Office Word</Application>
  <DocSecurity>0</DocSecurity>
  <Lines>229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CCPR/C/128/3/Add.3</vt:lpstr>
      <vt:lpstr>A/</vt:lpstr>
      <vt:lpstr>A/</vt:lpstr>
    </vt:vector>
  </TitlesOfParts>
  <Company>DCM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CCPR/C/128/3/Add.3</dc:title>
  <dc:subject/>
  <dc:creator>Ekaterina SALYNSKAYA</dc:creator>
  <cp:keywords/>
  <cp:lastModifiedBy>Ioulia Goussarova</cp:lastModifiedBy>
  <cp:revision>3</cp:revision>
  <cp:lastPrinted>2020-10-26T08:48:00Z</cp:lastPrinted>
  <dcterms:created xsi:type="dcterms:W3CDTF">2020-10-26T08:48:00Z</dcterms:created>
  <dcterms:modified xsi:type="dcterms:W3CDTF">2020-10-26T08:48:00Z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