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bidiVisual/>
        <w:tblW w:w="9639" w:type="dxa"/>
        <w:tblBorders>
          <w:bottom w:val="single" w:sz="4" w:space="0" w:color="auto"/>
          <w:insideH w:val="single" w:sz="4" w:space="0" w:color="auto"/>
        </w:tblBorders>
        <w:tblLayout w:type="fixed"/>
        <w:tblCellMar>
          <w:left w:w="0" w:type="dxa"/>
          <w:right w:w="0" w:type="dxa"/>
        </w:tblCellMar>
        <w:tblLook w:val="01E0" w:firstRow="1" w:lastRow="1" w:firstColumn="1" w:lastColumn="1" w:noHBand="0" w:noVBand="0"/>
      </w:tblPr>
      <w:tblGrid>
        <w:gridCol w:w="1274"/>
        <w:gridCol w:w="4537"/>
        <w:gridCol w:w="3828"/>
      </w:tblGrid>
      <w:tr w:rsidR="006B3E27" w:rsidRPr="00ED7442" w14:paraId="030F11D3" w14:textId="77777777" w:rsidTr="005B51C4">
        <w:trPr>
          <w:trHeight w:hRule="exact" w:val="851"/>
        </w:trPr>
        <w:tc>
          <w:tcPr>
            <w:tcW w:w="1274" w:type="dxa"/>
            <w:tcBorders>
              <w:bottom w:val="single" w:sz="4" w:space="0" w:color="auto"/>
            </w:tcBorders>
            <w:shd w:val="clear" w:color="auto" w:fill="auto"/>
          </w:tcPr>
          <w:p w14:paraId="68D69332" w14:textId="77777777" w:rsidR="006B3E27" w:rsidRPr="00C5030F" w:rsidRDefault="006B3E27" w:rsidP="005B51C4">
            <w:pPr>
              <w:jc w:val="center"/>
              <w:rPr>
                <w:rFonts w:hint="cs"/>
                <w:sz w:val="56"/>
                <w:szCs w:val="56"/>
                <w:rtl/>
              </w:rPr>
            </w:pPr>
          </w:p>
        </w:tc>
        <w:tc>
          <w:tcPr>
            <w:tcW w:w="4537" w:type="dxa"/>
            <w:tcBorders>
              <w:bottom w:val="single" w:sz="4" w:space="0" w:color="auto"/>
            </w:tcBorders>
            <w:shd w:val="clear" w:color="auto" w:fill="auto"/>
            <w:vAlign w:val="bottom"/>
          </w:tcPr>
          <w:p w14:paraId="0AD9E6A5" w14:textId="77777777" w:rsidR="006B3E27" w:rsidRPr="005B51C4" w:rsidRDefault="006B3E27" w:rsidP="005B51C4">
            <w:pPr>
              <w:spacing w:after="80" w:line="480" w:lineRule="exact"/>
              <w:jc w:val="left"/>
              <w:rPr>
                <w:sz w:val="40"/>
                <w:szCs w:val="40"/>
                <w:rtl/>
              </w:rPr>
            </w:pPr>
            <w:r w:rsidRPr="005B51C4">
              <w:rPr>
                <w:rFonts w:hint="cs"/>
                <w:sz w:val="40"/>
                <w:szCs w:val="40"/>
                <w:rtl/>
              </w:rPr>
              <w:t>الأمم المتحدة</w:t>
            </w:r>
          </w:p>
        </w:tc>
        <w:tc>
          <w:tcPr>
            <w:tcW w:w="3828" w:type="dxa"/>
            <w:tcBorders>
              <w:bottom w:val="single" w:sz="4" w:space="0" w:color="auto"/>
            </w:tcBorders>
            <w:shd w:val="clear" w:color="auto" w:fill="auto"/>
            <w:vAlign w:val="bottom"/>
          </w:tcPr>
          <w:p w14:paraId="6471F69F" w14:textId="77777777" w:rsidR="006B3E27" w:rsidRPr="005B51C4" w:rsidRDefault="00C5030F" w:rsidP="00E529EB">
            <w:pPr>
              <w:bidi w:val="0"/>
              <w:spacing w:after="20"/>
              <w:jc w:val="left"/>
              <w:rPr>
                <w:szCs w:val="20"/>
              </w:rPr>
            </w:pPr>
            <w:r w:rsidRPr="00C5030F">
              <w:rPr>
                <w:sz w:val="40"/>
                <w:szCs w:val="20"/>
              </w:rPr>
              <w:t>CCPR</w:t>
            </w:r>
            <w:r>
              <w:rPr>
                <w:szCs w:val="20"/>
              </w:rPr>
              <w:t>/C/</w:t>
            </w:r>
            <w:r w:rsidRPr="008F39F0">
              <w:rPr>
                <w:szCs w:val="20"/>
              </w:rPr>
              <w:t>128</w:t>
            </w:r>
            <w:r>
              <w:rPr>
                <w:szCs w:val="20"/>
              </w:rPr>
              <w:t>/</w:t>
            </w:r>
            <w:r w:rsidRPr="008F39F0">
              <w:rPr>
                <w:szCs w:val="20"/>
              </w:rPr>
              <w:t>3</w:t>
            </w:r>
            <w:r>
              <w:rPr>
                <w:szCs w:val="20"/>
              </w:rPr>
              <w:t>/Add.</w:t>
            </w:r>
            <w:r w:rsidRPr="008F39F0">
              <w:rPr>
                <w:szCs w:val="20"/>
              </w:rPr>
              <w:t>4</w:t>
            </w:r>
          </w:p>
        </w:tc>
      </w:tr>
      <w:tr w:rsidR="006B3E27" w:rsidRPr="00ED7442" w14:paraId="07806078" w14:textId="77777777" w:rsidTr="005B51C4">
        <w:trPr>
          <w:trHeight w:hRule="exact" w:val="2835"/>
        </w:trPr>
        <w:tc>
          <w:tcPr>
            <w:tcW w:w="1274" w:type="dxa"/>
            <w:tcBorders>
              <w:top w:val="single" w:sz="4" w:space="0" w:color="auto"/>
              <w:bottom w:val="single" w:sz="12" w:space="0" w:color="auto"/>
            </w:tcBorders>
            <w:shd w:val="clear" w:color="auto" w:fill="auto"/>
          </w:tcPr>
          <w:p w14:paraId="742B79E1" w14:textId="2C03D34A" w:rsidR="006B3E27" w:rsidRPr="005B51C4" w:rsidRDefault="006F3581" w:rsidP="005B51C4">
            <w:pPr>
              <w:jc w:val="center"/>
              <w:rPr>
                <w:sz w:val="56"/>
                <w:szCs w:val="56"/>
                <w:rtl/>
              </w:rPr>
            </w:pPr>
            <w:r>
              <w:rPr>
                <w:noProof/>
                <w:sz w:val="56"/>
                <w:szCs w:val="56"/>
              </w:rPr>
              <w:drawing>
                <wp:inline distT="0" distB="0" distL="0" distR="0" wp14:anchorId="4D2B1F19" wp14:editId="7BDB6D7A">
                  <wp:extent cx="626745" cy="60960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52" t="-1387" r="-52" b="-1387"/>
                          <a:stretch>
                            <a:fillRect/>
                          </a:stretch>
                        </pic:blipFill>
                        <pic:spPr bwMode="auto">
                          <a:xfrm>
                            <a:off x="0" y="0"/>
                            <a:ext cx="626745" cy="609600"/>
                          </a:xfrm>
                          <a:prstGeom prst="rect">
                            <a:avLst/>
                          </a:prstGeom>
                          <a:noFill/>
                          <a:ln>
                            <a:noFill/>
                          </a:ln>
                        </pic:spPr>
                      </pic:pic>
                    </a:graphicData>
                  </a:graphic>
                </wp:inline>
              </w:drawing>
            </w:r>
          </w:p>
        </w:tc>
        <w:tc>
          <w:tcPr>
            <w:tcW w:w="4537" w:type="dxa"/>
            <w:tcBorders>
              <w:top w:val="single" w:sz="4" w:space="0" w:color="auto"/>
              <w:bottom w:val="single" w:sz="12" w:space="0" w:color="auto"/>
            </w:tcBorders>
            <w:shd w:val="clear" w:color="auto" w:fill="auto"/>
          </w:tcPr>
          <w:p w14:paraId="42EFAFB7" w14:textId="77777777" w:rsidR="006B3E27" w:rsidRPr="005B51C4" w:rsidRDefault="00ED7442" w:rsidP="005B51C4">
            <w:pPr>
              <w:spacing w:before="120" w:after="40" w:line="640" w:lineRule="exact"/>
              <w:jc w:val="left"/>
              <w:rPr>
                <w:b/>
                <w:bCs/>
                <w:sz w:val="56"/>
                <w:szCs w:val="56"/>
              </w:rPr>
            </w:pPr>
            <w:r w:rsidRPr="005B51C4">
              <w:rPr>
                <w:rFonts w:hint="cs"/>
                <w:b/>
                <w:bCs/>
                <w:sz w:val="56"/>
                <w:szCs w:val="56"/>
                <w:rtl/>
              </w:rPr>
              <w:t>العهد الدولي الخاص بالحقوق المدنية والسياسية</w:t>
            </w:r>
          </w:p>
        </w:tc>
        <w:tc>
          <w:tcPr>
            <w:tcW w:w="3828" w:type="dxa"/>
            <w:tcBorders>
              <w:top w:val="single" w:sz="4" w:space="0" w:color="auto"/>
              <w:bottom w:val="single" w:sz="12" w:space="0" w:color="auto"/>
            </w:tcBorders>
            <w:shd w:val="clear" w:color="auto" w:fill="auto"/>
          </w:tcPr>
          <w:p w14:paraId="0034DD85" w14:textId="77777777" w:rsidR="006B3E27" w:rsidRDefault="00E529EB" w:rsidP="00E529EB">
            <w:pPr>
              <w:bidi w:val="0"/>
              <w:spacing w:before="240"/>
              <w:jc w:val="left"/>
              <w:rPr>
                <w:szCs w:val="20"/>
              </w:rPr>
            </w:pPr>
            <w:r>
              <w:rPr>
                <w:szCs w:val="20"/>
              </w:rPr>
              <w:t>Distr.</w:t>
            </w:r>
            <w:r w:rsidRPr="00926726">
              <w:t>:</w:t>
            </w:r>
            <w:r>
              <w:rPr>
                <w:szCs w:val="20"/>
              </w:rPr>
              <w:t xml:space="preserve"> General</w:t>
            </w:r>
          </w:p>
          <w:p w14:paraId="0722E939" w14:textId="5729EA80" w:rsidR="00E529EB" w:rsidRDefault="00F62D07" w:rsidP="00E529EB">
            <w:pPr>
              <w:bidi w:val="0"/>
              <w:jc w:val="left"/>
              <w:rPr>
                <w:szCs w:val="20"/>
              </w:rPr>
            </w:pPr>
            <w:r w:rsidRPr="008F39F0">
              <w:rPr>
                <w:szCs w:val="20"/>
              </w:rPr>
              <w:t>1</w:t>
            </w:r>
            <w:r>
              <w:rPr>
                <w:szCs w:val="20"/>
              </w:rPr>
              <w:t xml:space="preserve"> September </w:t>
            </w:r>
            <w:r w:rsidRPr="008F39F0">
              <w:rPr>
                <w:szCs w:val="20"/>
              </w:rPr>
              <w:t>2020</w:t>
            </w:r>
          </w:p>
          <w:p w14:paraId="6159E222" w14:textId="77777777" w:rsidR="00E529EB" w:rsidRDefault="00E529EB" w:rsidP="00E529EB">
            <w:pPr>
              <w:bidi w:val="0"/>
              <w:jc w:val="left"/>
              <w:rPr>
                <w:szCs w:val="20"/>
              </w:rPr>
            </w:pPr>
            <w:r>
              <w:rPr>
                <w:szCs w:val="20"/>
              </w:rPr>
              <w:t>Arabic</w:t>
            </w:r>
          </w:p>
          <w:p w14:paraId="504523EF" w14:textId="66EDEB2C" w:rsidR="00E529EB" w:rsidRPr="005B51C4" w:rsidRDefault="00E529EB" w:rsidP="00E529EB">
            <w:pPr>
              <w:bidi w:val="0"/>
              <w:jc w:val="left"/>
              <w:rPr>
                <w:szCs w:val="20"/>
              </w:rPr>
            </w:pPr>
            <w:r>
              <w:rPr>
                <w:szCs w:val="20"/>
              </w:rPr>
              <w:t>Original</w:t>
            </w:r>
            <w:r w:rsidRPr="00926726">
              <w:t>:</w:t>
            </w:r>
            <w:r>
              <w:rPr>
                <w:szCs w:val="20"/>
              </w:rPr>
              <w:t xml:space="preserve"> </w:t>
            </w:r>
            <w:r w:rsidR="00F62D07">
              <w:rPr>
                <w:szCs w:val="20"/>
              </w:rPr>
              <w:t>Spanish</w:t>
            </w:r>
          </w:p>
        </w:tc>
      </w:tr>
    </w:tbl>
    <w:p w14:paraId="537E6815" w14:textId="77777777" w:rsidR="00D30698" w:rsidRPr="00C62EAA" w:rsidRDefault="00D30698" w:rsidP="00C62EAA">
      <w:pPr>
        <w:spacing w:before="120" w:line="360" w:lineRule="exact"/>
        <w:textDirection w:val="tbRlV"/>
        <w:rPr>
          <w:b/>
          <w:bCs/>
          <w:sz w:val="34"/>
          <w:szCs w:val="34"/>
          <w:lang w:val="ar-SA" w:eastAsia="zh-TW" w:bidi="en-GB"/>
        </w:rPr>
      </w:pPr>
      <w:r w:rsidRPr="00C62EAA">
        <w:rPr>
          <w:b/>
          <w:bCs/>
          <w:sz w:val="34"/>
          <w:szCs w:val="34"/>
          <w:rtl/>
        </w:rPr>
        <w:t>اللجنة المعنية بحقوق الإنسان</w:t>
      </w:r>
    </w:p>
    <w:p w14:paraId="336BCEAA" w14:textId="77777777" w:rsidR="00D30698" w:rsidRPr="00092EBF" w:rsidRDefault="00D30698" w:rsidP="00D30698">
      <w:pPr>
        <w:pStyle w:val="HChGA"/>
        <w:rPr>
          <w:lang w:val="ar-SA" w:eastAsia="zh-TW" w:bidi="en-GB"/>
        </w:rPr>
      </w:pPr>
      <w:bookmarkStart w:id="0" w:name="_Toc506807534"/>
      <w:r>
        <w:rPr>
          <w:rtl/>
        </w:rPr>
        <w:tab/>
      </w:r>
      <w:r w:rsidRPr="00092EBF">
        <w:rPr>
          <w:rtl/>
        </w:rPr>
        <w:tab/>
        <w:t>تقرير عن متابعة الملاحظات الختامية للجنة</w:t>
      </w:r>
      <w:bookmarkEnd w:id="0"/>
    </w:p>
    <w:p w14:paraId="49E40BDA" w14:textId="77777777" w:rsidR="00D30698" w:rsidRPr="00D30698" w:rsidRDefault="00D30698" w:rsidP="00D30698">
      <w:pPr>
        <w:pStyle w:val="H23GA"/>
        <w:rPr>
          <w:rFonts w:ascii="Traditional Arabic" w:hAnsi="Traditional Arabic"/>
          <w:lang w:eastAsia="zh-TW" w:bidi="en-GB"/>
        </w:rPr>
      </w:pPr>
      <w:r w:rsidRPr="00092EBF">
        <w:rPr>
          <w:rtl/>
        </w:rPr>
        <w:tab/>
      </w:r>
      <w:r w:rsidRPr="00092EBF">
        <w:rPr>
          <w:rtl/>
        </w:rPr>
        <w:tab/>
        <w:t>إضافة</w:t>
      </w:r>
    </w:p>
    <w:p w14:paraId="4CA77799" w14:textId="4501BEE6" w:rsidR="00D30698" w:rsidRPr="00092EBF" w:rsidRDefault="00D30698" w:rsidP="00D30698">
      <w:pPr>
        <w:pStyle w:val="H1GA"/>
        <w:rPr>
          <w:rFonts w:hint="cs"/>
          <w:rtl/>
          <w:lang w:val="ar-SA" w:eastAsia="zh-TW" w:bidi="en-GB"/>
        </w:rPr>
      </w:pPr>
      <w:r w:rsidRPr="00092EBF">
        <w:rPr>
          <w:rtl/>
        </w:rPr>
        <w:tab/>
      </w:r>
      <w:r w:rsidRPr="00092EBF">
        <w:rPr>
          <w:rtl/>
        </w:rPr>
        <w:tab/>
        <w:t>تقييم المعلومات المتعلقة بمتابعة الملاحظات الختامية بشأن كوستاريكا</w:t>
      </w:r>
      <w:r w:rsidR="00926726" w:rsidRPr="00926726">
        <w:rPr>
          <w:rStyle w:val="FootnoteReference"/>
          <w:sz w:val="20"/>
          <w:vertAlign w:val="baseline"/>
          <w:rtl/>
        </w:rPr>
        <w:footnoteReference w:customMarkFollows="1" w:id="1"/>
        <w:t>*</w:t>
      </w:r>
    </w:p>
    <w:tbl>
      <w:tblPr>
        <w:bidiVisual/>
        <w:tblW w:w="6552" w:type="dxa"/>
        <w:tblInd w:w="1885" w:type="dxa"/>
        <w:tblLayout w:type="fixed"/>
        <w:tblCellMar>
          <w:left w:w="0" w:type="dxa"/>
          <w:right w:w="0" w:type="dxa"/>
        </w:tblCellMar>
        <w:tblLook w:val="00A0" w:firstRow="1" w:lastRow="0" w:firstColumn="1" w:lastColumn="0" w:noHBand="0" w:noVBand="0"/>
      </w:tblPr>
      <w:tblGrid>
        <w:gridCol w:w="2133"/>
        <w:gridCol w:w="4419"/>
      </w:tblGrid>
      <w:tr w:rsidR="00D30698" w:rsidRPr="00983998" w14:paraId="5088D61E" w14:textId="77777777" w:rsidTr="00983998">
        <w:tc>
          <w:tcPr>
            <w:tcW w:w="2133" w:type="dxa"/>
            <w:shd w:val="clear" w:color="auto" w:fill="auto"/>
          </w:tcPr>
          <w:p w14:paraId="4FA3F469" w14:textId="58BE50F3" w:rsidR="00D30698" w:rsidRPr="00926726" w:rsidRDefault="00D30698" w:rsidP="00983998">
            <w:pPr>
              <w:spacing w:after="120" w:line="360" w:lineRule="exact"/>
              <w:ind w:left="57" w:right="57"/>
              <w:textDirection w:val="tbRlV"/>
              <w:rPr>
                <w:i/>
                <w:iCs/>
                <w:szCs w:val="28"/>
                <w:lang w:eastAsia="zh-TW" w:bidi="en-GB"/>
              </w:rPr>
            </w:pPr>
            <w:r w:rsidRPr="00983998">
              <w:rPr>
                <w:i/>
                <w:iCs/>
                <w:szCs w:val="28"/>
                <w:rtl/>
              </w:rPr>
              <w:t>الملاحظات الختامية</w:t>
            </w:r>
            <w:r w:rsidR="00926726">
              <w:rPr>
                <w:i/>
                <w:iCs/>
                <w:szCs w:val="28"/>
                <w:rtl/>
              </w:rPr>
              <w:tab/>
            </w:r>
            <w:r w:rsidR="00926726">
              <w:rPr>
                <w:i/>
                <w:iCs/>
                <w:szCs w:val="28"/>
                <w:rtl/>
              </w:rPr>
              <w:br/>
            </w:r>
            <w:r w:rsidRPr="00983998">
              <w:rPr>
                <w:i/>
                <w:iCs/>
                <w:szCs w:val="28"/>
                <w:rtl/>
              </w:rPr>
              <w:t xml:space="preserve">(الدورة </w:t>
            </w:r>
            <w:r w:rsidRPr="008F39F0">
              <w:rPr>
                <w:i/>
                <w:iCs/>
                <w:szCs w:val="20"/>
                <w:rtl/>
              </w:rPr>
              <w:t>117</w:t>
            </w:r>
            <w:r w:rsidRPr="00983998">
              <w:rPr>
                <w:i/>
                <w:iCs/>
                <w:szCs w:val="28"/>
                <w:rtl/>
              </w:rPr>
              <w:t>)</w:t>
            </w:r>
            <w:r w:rsidRPr="00926726">
              <w:t>:</w:t>
            </w:r>
          </w:p>
        </w:tc>
        <w:tc>
          <w:tcPr>
            <w:tcW w:w="4419" w:type="dxa"/>
            <w:shd w:val="clear" w:color="auto" w:fill="auto"/>
            <w:vAlign w:val="bottom"/>
          </w:tcPr>
          <w:p w14:paraId="5FE43317" w14:textId="77777777" w:rsidR="00D30698" w:rsidRPr="00983998" w:rsidRDefault="00D30698" w:rsidP="00983998">
            <w:pPr>
              <w:spacing w:after="120" w:line="360" w:lineRule="exact"/>
              <w:ind w:left="57" w:right="57"/>
              <w:textDirection w:val="tbRlV"/>
              <w:rPr>
                <w:szCs w:val="28"/>
                <w:rtl/>
                <w:lang w:val="fr-CH" w:eastAsia="zh-TW" w:bidi="en-GB"/>
              </w:rPr>
            </w:pPr>
            <w:hyperlink r:id="rId9" w:history="1">
              <w:r w:rsidRPr="00983998">
                <w:rPr>
                  <w:rStyle w:val="Hyperlink"/>
                  <w:rFonts w:eastAsia="SimSun"/>
                  <w:szCs w:val="28"/>
                </w:rPr>
                <w:t>CCPR/C/CRI/CO/</w:t>
              </w:r>
              <w:r w:rsidRPr="008F39F0">
                <w:rPr>
                  <w:rStyle w:val="Hyperlink"/>
                  <w:rFonts w:eastAsia="SimSun"/>
                  <w:szCs w:val="20"/>
                </w:rPr>
                <w:t>6</w:t>
              </w:r>
            </w:hyperlink>
            <w:r w:rsidRPr="00926726">
              <w:rPr>
                <w:rStyle w:val="Hyperlink"/>
                <w:rFonts w:eastAsia="SimSun"/>
                <w:color w:val="auto"/>
                <w:szCs w:val="28"/>
                <w:rtl/>
                <w:lang w:val="fr-CH"/>
              </w:rPr>
              <w:t xml:space="preserve">، </w:t>
            </w:r>
            <w:r w:rsidRPr="008F39F0">
              <w:rPr>
                <w:rStyle w:val="Hyperlink"/>
                <w:rFonts w:eastAsia="SimSun"/>
                <w:color w:val="auto"/>
                <w:szCs w:val="20"/>
                <w:rtl/>
                <w:lang w:val="fr-CH"/>
              </w:rPr>
              <w:t>21</w:t>
            </w:r>
            <w:r w:rsidRPr="00926726">
              <w:rPr>
                <w:rStyle w:val="Hyperlink"/>
                <w:rFonts w:eastAsia="SimSun"/>
                <w:color w:val="auto"/>
                <w:szCs w:val="28"/>
                <w:rtl/>
                <w:lang w:val="fr-CH"/>
              </w:rPr>
              <w:t xml:space="preserve"> نيسان/أبريل </w:t>
            </w:r>
            <w:r w:rsidRPr="008F39F0">
              <w:rPr>
                <w:rStyle w:val="Hyperlink"/>
                <w:rFonts w:eastAsia="SimSun"/>
                <w:color w:val="auto"/>
                <w:szCs w:val="20"/>
                <w:rtl/>
                <w:lang w:val="fr-CH"/>
              </w:rPr>
              <w:t>2016</w:t>
            </w:r>
          </w:p>
        </w:tc>
      </w:tr>
      <w:tr w:rsidR="00D30698" w:rsidRPr="00983998" w14:paraId="38AEA37C" w14:textId="77777777" w:rsidTr="00983998">
        <w:tc>
          <w:tcPr>
            <w:tcW w:w="2133" w:type="dxa"/>
            <w:shd w:val="clear" w:color="auto" w:fill="auto"/>
          </w:tcPr>
          <w:p w14:paraId="2C8B11CB" w14:textId="77777777" w:rsidR="00D30698" w:rsidRPr="00983998" w:rsidRDefault="00D30698" w:rsidP="00983998">
            <w:pPr>
              <w:spacing w:after="120" w:line="360" w:lineRule="exact"/>
              <w:ind w:left="57" w:right="57"/>
              <w:textDirection w:val="tbRlV"/>
              <w:rPr>
                <w:i/>
                <w:iCs/>
                <w:szCs w:val="28"/>
                <w:lang w:val="ar-SA" w:eastAsia="zh-TW" w:bidi="en-GB"/>
              </w:rPr>
            </w:pPr>
            <w:r w:rsidRPr="00983998">
              <w:rPr>
                <w:i/>
                <w:iCs/>
                <w:szCs w:val="28"/>
                <w:rtl/>
              </w:rPr>
              <w:t>الفقرات المشمولة بالمتابعة</w:t>
            </w:r>
            <w:r w:rsidRPr="00926726">
              <w:rPr>
                <w:rtl/>
              </w:rPr>
              <w:t>:</w:t>
            </w:r>
          </w:p>
        </w:tc>
        <w:tc>
          <w:tcPr>
            <w:tcW w:w="4419" w:type="dxa"/>
            <w:shd w:val="clear" w:color="auto" w:fill="auto"/>
            <w:vAlign w:val="bottom"/>
          </w:tcPr>
          <w:p w14:paraId="6E366ADD" w14:textId="77777777" w:rsidR="00D30698" w:rsidRPr="00983998" w:rsidRDefault="00D30698" w:rsidP="00983998">
            <w:pPr>
              <w:spacing w:after="120" w:line="360" w:lineRule="exact"/>
              <w:ind w:left="57" w:right="57"/>
              <w:textDirection w:val="tbRlV"/>
              <w:rPr>
                <w:szCs w:val="28"/>
                <w:lang w:val="ar-SA" w:eastAsia="zh-TW" w:bidi="en-GB"/>
              </w:rPr>
            </w:pPr>
            <w:r w:rsidRPr="008F39F0">
              <w:rPr>
                <w:szCs w:val="20"/>
                <w:rtl/>
              </w:rPr>
              <w:t>10</w:t>
            </w:r>
            <w:r w:rsidRPr="00983998">
              <w:rPr>
                <w:szCs w:val="28"/>
                <w:rtl/>
              </w:rPr>
              <w:t>، و</w:t>
            </w:r>
            <w:r w:rsidRPr="008F39F0">
              <w:rPr>
                <w:szCs w:val="20"/>
                <w:rtl/>
              </w:rPr>
              <w:t>18</w:t>
            </w:r>
            <w:r w:rsidRPr="00983998">
              <w:rPr>
                <w:szCs w:val="28"/>
                <w:rtl/>
              </w:rPr>
              <w:t>، و</w:t>
            </w:r>
            <w:r w:rsidRPr="008F39F0">
              <w:rPr>
                <w:szCs w:val="20"/>
                <w:rtl/>
              </w:rPr>
              <w:t>42</w:t>
            </w:r>
          </w:p>
        </w:tc>
      </w:tr>
      <w:tr w:rsidR="00D30698" w:rsidRPr="00983998" w14:paraId="7431F80A" w14:textId="77777777" w:rsidTr="00983998">
        <w:tc>
          <w:tcPr>
            <w:tcW w:w="2133" w:type="dxa"/>
            <w:shd w:val="clear" w:color="auto" w:fill="auto"/>
          </w:tcPr>
          <w:p w14:paraId="1EC2A7FC" w14:textId="77777777" w:rsidR="00D30698" w:rsidRPr="00983998" w:rsidRDefault="00D30698" w:rsidP="00983998">
            <w:pPr>
              <w:spacing w:after="120" w:line="360" w:lineRule="exact"/>
              <w:ind w:left="57" w:right="57"/>
              <w:textDirection w:val="tbRlV"/>
              <w:rPr>
                <w:i/>
                <w:iCs/>
                <w:szCs w:val="28"/>
                <w:lang w:val="ar-SA" w:eastAsia="zh-TW" w:bidi="en-GB"/>
              </w:rPr>
            </w:pPr>
            <w:r w:rsidRPr="00983998">
              <w:rPr>
                <w:i/>
                <w:iCs/>
                <w:szCs w:val="28"/>
                <w:rtl/>
              </w:rPr>
              <w:t>الرد الوارد في إطار المتابعة</w:t>
            </w:r>
            <w:r w:rsidRPr="00926726">
              <w:rPr>
                <w:rtl/>
              </w:rPr>
              <w:t>:</w:t>
            </w:r>
          </w:p>
        </w:tc>
        <w:tc>
          <w:tcPr>
            <w:tcW w:w="4419" w:type="dxa"/>
            <w:shd w:val="clear" w:color="auto" w:fill="auto"/>
            <w:vAlign w:val="bottom"/>
          </w:tcPr>
          <w:p w14:paraId="2CB34384" w14:textId="77777777" w:rsidR="00D30698" w:rsidRPr="00983998" w:rsidRDefault="00D30698" w:rsidP="00983998">
            <w:pPr>
              <w:spacing w:after="120" w:line="360" w:lineRule="exact"/>
              <w:ind w:left="57" w:right="57"/>
              <w:textDirection w:val="tbRlV"/>
              <w:rPr>
                <w:szCs w:val="28"/>
                <w:lang w:eastAsia="zh-TW" w:bidi="en-GB"/>
              </w:rPr>
            </w:pPr>
            <w:hyperlink r:id="rId10" w:history="1">
              <w:r w:rsidRPr="00983998">
                <w:rPr>
                  <w:rStyle w:val="Hyperlink"/>
                  <w:rFonts w:eastAsia="SimSun"/>
                  <w:szCs w:val="28"/>
                </w:rPr>
                <w:t>CCPR/C/CRI/CO/</w:t>
              </w:r>
              <w:r w:rsidRPr="008F39F0">
                <w:rPr>
                  <w:rStyle w:val="Hyperlink"/>
                  <w:rFonts w:eastAsia="SimSun"/>
                  <w:szCs w:val="20"/>
                </w:rPr>
                <w:t>6</w:t>
              </w:r>
              <w:r w:rsidRPr="00983998">
                <w:rPr>
                  <w:rStyle w:val="Hyperlink"/>
                  <w:rFonts w:eastAsia="SimSun"/>
                  <w:szCs w:val="28"/>
                </w:rPr>
                <w:t>/Add.</w:t>
              </w:r>
              <w:r w:rsidRPr="008F39F0">
                <w:rPr>
                  <w:rStyle w:val="Hyperlink"/>
                  <w:rFonts w:eastAsia="SimSun"/>
                  <w:szCs w:val="20"/>
                </w:rPr>
                <w:t>1</w:t>
              </w:r>
            </w:hyperlink>
            <w:r w:rsidRPr="00926726">
              <w:rPr>
                <w:rStyle w:val="Hyperlink"/>
                <w:rFonts w:eastAsia="SimSun"/>
                <w:color w:val="auto"/>
                <w:szCs w:val="28"/>
                <w:rtl/>
                <w:lang w:val="es-AR"/>
              </w:rPr>
              <w:t xml:space="preserve">، </w:t>
            </w:r>
            <w:r w:rsidRPr="008F39F0">
              <w:rPr>
                <w:rStyle w:val="Hyperlink"/>
                <w:rFonts w:eastAsia="SimSun"/>
                <w:color w:val="auto"/>
                <w:szCs w:val="20"/>
                <w:rtl/>
                <w:lang w:val="es-AR"/>
              </w:rPr>
              <w:t>7</w:t>
            </w:r>
            <w:r w:rsidRPr="00926726">
              <w:rPr>
                <w:rStyle w:val="Hyperlink"/>
                <w:rFonts w:eastAsia="SimSun"/>
                <w:color w:val="auto"/>
                <w:szCs w:val="28"/>
                <w:rtl/>
                <w:lang w:val="es-AR"/>
              </w:rPr>
              <w:t xml:space="preserve"> كانون الثاني/يناير </w:t>
            </w:r>
            <w:r w:rsidRPr="008F39F0">
              <w:rPr>
                <w:rStyle w:val="Hyperlink"/>
                <w:rFonts w:eastAsia="SimSun"/>
                <w:color w:val="auto"/>
                <w:szCs w:val="20"/>
                <w:rtl/>
                <w:lang w:val="es-AR"/>
              </w:rPr>
              <w:t>2019</w:t>
            </w:r>
          </w:p>
        </w:tc>
      </w:tr>
      <w:tr w:rsidR="00D30698" w:rsidRPr="00983998" w14:paraId="17DB8D8A" w14:textId="77777777" w:rsidTr="00983998">
        <w:tc>
          <w:tcPr>
            <w:tcW w:w="2133" w:type="dxa"/>
            <w:shd w:val="clear" w:color="auto" w:fill="auto"/>
          </w:tcPr>
          <w:p w14:paraId="3C0596B6" w14:textId="77777777" w:rsidR="00D30698" w:rsidRPr="00983998" w:rsidRDefault="00D30698" w:rsidP="00983998">
            <w:pPr>
              <w:spacing w:after="120" w:line="360" w:lineRule="exact"/>
              <w:ind w:left="57" w:right="57"/>
              <w:textDirection w:val="tbRlV"/>
              <w:rPr>
                <w:i/>
                <w:iCs/>
                <w:szCs w:val="28"/>
                <w:lang w:val="ar-SA" w:eastAsia="zh-TW" w:bidi="en-GB"/>
              </w:rPr>
            </w:pPr>
            <w:r w:rsidRPr="00983998">
              <w:rPr>
                <w:i/>
                <w:iCs/>
                <w:szCs w:val="28"/>
                <w:rtl/>
              </w:rPr>
              <w:t>تقييم اللجنة</w:t>
            </w:r>
            <w:r w:rsidRPr="00926726">
              <w:t>:</w:t>
            </w:r>
            <w:r w:rsidRPr="00983998">
              <w:rPr>
                <w:szCs w:val="28"/>
                <w:rtl/>
              </w:rPr>
              <w:t xml:space="preserve"> </w:t>
            </w:r>
          </w:p>
        </w:tc>
        <w:tc>
          <w:tcPr>
            <w:tcW w:w="4419" w:type="dxa"/>
            <w:shd w:val="clear" w:color="auto" w:fill="auto"/>
            <w:vAlign w:val="bottom"/>
          </w:tcPr>
          <w:p w14:paraId="3D73A05B" w14:textId="77777777" w:rsidR="00D30698" w:rsidRPr="00C62EAA" w:rsidRDefault="00D30698" w:rsidP="00983998">
            <w:pPr>
              <w:spacing w:after="120" w:line="360" w:lineRule="exact"/>
              <w:ind w:left="57" w:right="57"/>
              <w:textDirection w:val="tbRlV"/>
              <w:rPr>
                <w:szCs w:val="28"/>
                <w:lang w:eastAsia="zh-TW" w:bidi="en-GB"/>
              </w:rPr>
            </w:pPr>
            <w:r w:rsidRPr="00983998">
              <w:rPr>
                <w:szCs w:val="28"/>
                <w:rtl/>
              </w:rPr>
              <w:t xml:space="preserve">يلزم تقديم معلومات إضافية بشأن الفقرات </w:t>
            </w:r>
            <w:r w:rsidRPr="008F39F0">
              <w:rPr>
                <w:szCs w:val="20"/>
                <w:rtl/>
              </w:rPr>
              <w:t>10</w:t>
            </w:r>
            <w:r w:rsidRPr="00C62EAA">
              <w:rPr>
                <w:b/>
                <w:bCs/>
                <w:szCs w:val="28"/>
                <w:rtl/>
              </w:rPr>
              <w:t>[باء]</w:t>
            </w:r>
            <w:r w:rsidRPr="00983998">
              <w:rPr>
                <w:szCs w:val="28"/>
                <w:rtl/>
              </w:rPr>
              <w:t xml:space="preserve"> و</w:t>
            </w:r>
            <w:r w:rsidRPr="008F39F0">
              <w:rPr>
                <w:szCs w:val="20"/>
                <w:rtl/>
              </w:rPr>
              <w:t>18</w:t>
            </w:r>
            <w:r w:rsidRPr="00C62EAA">
              <w:rPr>
                <w:b/>
                <w:bCs/>
                <w:szCs w:val="28"/>
                <w:rtl/>
              </w:rPr>
              <w:t>[جيم]</w:t>
            </w:r>
            <w:r w:rsidRPr="00983998">
              <w:rPr>
                <w:szCs w:val="28"/>
                <w:rtl/>
              </w:rPr>
              <w:t xml:space="preserve"> و</w:t>
            </w:r>
            <w:r w:rsidRPr="008F39F0">
              <w:rPr>
                <w:szCs w:val="20"/>
                <w:rtl/>
              </w:rPr>
              <w:t>42</w:t>
            </w:r>
            <w:r w:rsidRPr="00C62EAA">
              <w:rPr>
                <w:b/>
                <w:bCs/>
                <w:szCs w:val="28"/>
                <w:rtl/>
              </w:rPr>
              <w:t>[باء][جيم]</w:t>
            </w:r>
          </w:p>
        </w:tc>
      </w:tr>
      <w:tr w:rsidR="00D30698" w:rsidRPr="00983998" w14:paraId="5580C286" w14:textId="77777777" w:rsidTr="00983998">
        <w:tc>
          <w:tcPr>
            <w:tcW w:w="2133" w:type="dxa"/>
            <w:shd w:val="clear" w:color="auto" w:fill="auto"/>
          </w:tcPr>
          <w:p w14:paraId="5CD1AFBD" w14:textId="77777777" w:rsidR="00D30698" w:rsidRPr="00983998" w:rsidRDefault="00D30698" w:rsidP="00983998">
            <w:pPr>
              <w:spacing w:after="120" w:line="360" w:lineRule="exact"/>
              <w:ind w:left="57" w:right="57"/>
              <w:textDirection w:val="tbRlV"/>
              <w:rPr>
                <w:i/>
                <w:iCs/>
                <w:szCs w:val="28"/>
                <w:lang w:val="ar-SA" w:eastAsia="zh-TW" w:bidi="en-GB"/>
              </w:rPr>
            </w:pPr>
            <w:r w:rsidRPr="00983998">
              <w:rPr>
                <w:i/>
                <w:iCs/>
                <w:szCs w:val="28"/>
                <w:rtl/>
              </w:rPr>
              <w:t>المعلومات الإضافية</w:t>
            </w:r>
            <w:r w:rsidRPr="00983998">
              <w:rPr>
                <w:szCs w:val="28"/>
                <w:rtl/>
              </w:rPr>
              <w:t xml:space="preserve"> </w:t>
            </w:r>
          </w:p>
        </w:tc>
        <w:tc>
          <w:tcPr>
            <w:tcW w:w="4419" w:type="dxa"/>
            <w:shd w:val="clear" w:color="auto" w:fill="auto"/>
            <w:vAlign w:val="bottom"/>
          </w:tcPr>
          <w:p w14:paraId="734FBFDF" w14:textId="323C1E9D" w:rsidR="00D30698" w:rsidRPr="004B554F" w:rsidRDefault="00D30698" w:rsidP="004B554F">
            <w:pPr>
              <w:spacing w:after="120" w:line="360" w:lineRule="exact"/>
              <w:ind w:left="57" w:right="57"/>
              <w:textDirection w:val="tbRlV"/>
              <w:rPr>
                <w:color w:val="0000CC"/>
                <w:szCs w:val="28"/>
                <w:rtl/>
                <w:lang w:val="ar-SA" w:eastAsia="zh-TW"/>
              </w:rPr>
            </w:pPr>
            <w:hyperlink r:id="rId11" w:history="1">
              <w:r w:rsidRPr="004B554F">
                <w:rPr>
                  <w:color w:val="0000CC"/>
                  <w:szCs w:val="28"/>
                  <w:rtl/>
                </w:rPr>
                <w:t>المنظمة غير الحكومية "آرايغو"، ومركز البحوث في مجال الثقافة والتنمية التابع لجامعة الدولة عن بعد والمنظمة غير الحكومية كوستاريكا إنديخينا</w:t>
              </w:r>
            </w:hyperlink>
          </w:p>
        </w:tc>
      </w:tr>
    </w:tbl>
    <w:p w14:paraId="47B379E7" w14:textId="2DE46E08" w:rsidR="00D30698" w:rsidRPr="00092EBF" w:rsidRDefault="00D30698" w:rsidP="00D30698">
      <w:pPr>
        <w:pStyle w:val="H23GA"/>
        <w:rPr>
          <w:lang w:val="ar-SA" w:eastAsia="zh-TW" w:bidi="en-GB"/>
        </w:rPr>
      </w:pPr>
      <w:bookmarkStart w:id="1" w:name="_Toc506807541"/>
      <w:r w:rsidRPr="00092EBF">
        <w:rPr>
          <w:rtl/>
        </w:rPr>
        <w:tab/>
      </w:r>
      <w:r w:rsidRPr="00092EBF">
        <w:rPr>
          <w:rtl/>
        </w:rPr>
        <w:tab/>
        <w:t xml:space="preserve">الفقرة </w:t>
      </w:r>
      <w:r w:rsidRPr="008F39F0">
        <w:rPr>
          <w:szCs w:val="20"/>
          <w:rtl/>
        </w:rPr>
        <w:t>10</w:t>
      </w:r>
      <w:r w:rsidR="00926726">
        <w:rPr>
          <w:rFonts w:hint="cs"/>
          <w:rtl/>
        </w:rPr>
        <w:t>:</w:t>
      </w:r>
      <w:r w:rsidRPr="00092EBF">
        <w:rPr>
          <w:rtl/>
        </w:rPr>
        <w:t xml:space="preserve"> عدم التمييز</w:t>
      </w:r>
    </w:p>
    <w:p w14:paraId="4B5869FC" w14:textId="0D372A78" w:rsidR="00D30698" w:rsidRPr="00983998" w:rsidRDefault="00D30698" w:rsidP="00983998">
      <w:pPr>
        <w:pStyle w:val="SingleTxtGA"/>
        <w:rPr>
          <w:b/>
          <w:bCs/>
          <w:szCs w:val="20"/>
          <w:lang w:val="ar-SA" w:eastAsia="zh-TW" w:bidi="en-GB"/>
        </w:rPr>
      </w:pPr>
      <w:r w:rsidRPr="00983998">
        <w:rPr>
          <w:b/>
          <w:bCs/>
          <w:rtl/>
        </w:rPr>
        <w:t xml:space="preserve">ينبغي للدولة الطرف أن تضاعف جهودها من أجل إزالة القوالب النمطية والقضاء على التمييز ضد أفراد الشعوب الأصلية، والأشخاص المنحدرين من أصل أفريقي، والمهاجرين، وملتمسي اللجوء واللاجئين، والأشخاص ذوي الإعاقة، بطرق منها تنظيم حملات للتوعية بغية تعزيز التسامح واحترام التنوع. وينبغي للدولة الطرف التعجيل باعتماد قانون لمنع جميع أشكال التمييز والمعاقبة عليها، والحرص على أن يتضمن هذا القانون حظراً عاماً للتمييز على جميع الأسس المبينة في العهد، وأن يشمل أحكاماً تسمح بالحصول على الجبر من خلال سبل انتصاف قانونية فعالة ومناسبة في حالات التمييز والعنصرية وكره الأجانب. </w:t>
      </w:r>
    </w:p>
    <w:p w14:paraId="19E6C4F0" w14:textId="77777777" w:rsidR="00D30698" w:rsidRPr="00832D9E" w:rsidRDefault="00D30698" w:rsidP="00D30698">
      <w:pPr>
        <w:pStyle w:val="H23GA"/>
        <w:rPr>
          <w:szCs w:val="20"/>
          <w:lang w:val="ar-SA" w:eastAsia="zh-TW" w:bidi="en-GB"/>
        </w:rPr>
      </w:pPr>
      <w:r>
        <w:rPr>
          <w:rtl/>
        </w:rPr>
        <w:lastRenderedPageBreak/>
        <w:tab/>
      </w:r>
      <w:r>
        <w:rPr>
          <w:rtl/>
        </w:rPr>
        <w:tab/>
        <w:t>ملخص ردّ الدولة الطرف</w:t>
      </w:r>
      <w:bookmarkEnd w:id="1"/>
    </w:p>
    <w:p w14:paraId="451DDD3D" w14:textId="4919F940" w:rsidR="00D30698" w:rsidRPr="00926726" w:rsidRDefault="00D30698" w:rsidP="00D30698">
      <w:pPr>
        <w:pStyle w:val="SingleTxtGA"/>
        <w:rPr>
          <w:szCs w:val="20"/>
          <w:lang w:eastAsia="zh-TW" w:bidi="en-GB"/>
        </w:rPr>
      </w:pPr>
      <w:r>
        <w:rPr>
          <w:rtl/>
        </w:rPr>
        <w:tab/>
        <w:t xml:space="preserve">أسفر تعديل المادة </w:t>
      </w:r>
      <w:r w:rsidRPr="008F39F0">
        <w:rPr>
          <w:szCs w:val="20"/>
          <w:rtl/>
        </w:rPr>
        <w:t>1</w:t>
      </w:r>
      <w:r>
        <w:rPr>
          <w:rtl/>
        </w:rPr>
        <w:t xml:space="preserve"> من دستور عام </w:t>
      </w:r>
      <w:r w:rsidRPr="008F39F0">
        <w:rPr>
          <w:szCs w:val="20"/>
          <w:rtl/>
        </w:rPr>
        <w:t>2015</w:t>
      </w:r>
      <w:r>
        <w:rPr>
          <w:rtl/>
        </w:rPr>
        <w:t xml:space="preserve"> عن تحديث قوانين وأحكام أخرى. وفي هذا الصدد، وبموجب التعديل المدخل على قانون التخطيط الوطني والقانون الأساسي للتعليم (القانون رقم</w:t>
      </w:r>
      <w:r w:rsidR="00926726">
        <w:rPr>
          <w:rFonts w:hint="cs"/>
          <w:rtl/>
        </w:rPr>
        <w:t> </w:t>
      </w:r>
      <w:r w:rsidRPr="008F39F0">
        <w:rPr>
          <w:szCs w:val="20"/>
          <w:rtl/>
        </w:rPr>
        <w:t>9456</w:t>
      </w:r>
      <w:r>
        <w:rPr>
          <w:rtl/>
        </w:rPr>
        <w:t xml:space="preserve">، لعام </w:t>
      </w:r>
      <w:r w:rsidRPr="008F39F0">
        <w:rPr>
          <w:szCs w:val="20"/>
          <w:rtl/>
        </w:rPr>
        <w:t>2017</w:t>
      </w:r>
      <w:r w:rsidRPr="00926726">
        <w:rPr>
          <w:rtl/>
        </w:rPr>
        <w:t>)</w:t>
      </w:r>
      <w:r>
        <w:rPr>
          <w:rtl/>
        </w:rPr>
        <w:t xml:space="preserve"> يتعيّن على وزارة التخطيط الوطني والسياسة الاقتصادية "ضمان أن تراعي برامج الاستثمار العام، بما في ذلك برامج المؤسسات اللامركزية وغيرها من الهيئات الخاضعة للقانون العام [...] الاختلافات والاحتياجات الخاصة بمجتمع متعدد الأعراق والثقافات" (المادة </w:t>
      </w:r>
      <w:r w:rsidRPr="008F39F0">
        <w:rPr>
          <w:szCs w:val="20"/>
          <w:rtl/>
        </w:rPr>
        <w:t>9</w:t>
      </w:r>
      <w:r w:rsidRPr="00926726">
        <w:rPr>
          <w:rtl/>
        </w:rPr>
        <w:t>)</w:t>
      </w:r>
      <w:r>
        <w:rPr>
          <w:rtl/>
        </w:rPr>
        <w:t>.</w:t>
      </w:r>
    </w:p>
    <w:p w14:paraId="25BD53E4" w14:textId="77777777" w:rsidR="00D30698" w:rsidRPr="008F39F0" w:rsidRDefault="00D30698" w:rsidP="00D30698">
      <w:pPr>
        <w:pStyle w:val="SingleTxtGA"/>
        <w:rPr>
          <w:szCs w:val="20"/>
          <w:lang w:eastAsia="zh-TW" w:bidi="en-GB"/>
        </w:rPr>
      </w:pPr>
      <w:r>
        <w:rPr>
          <w:rtl/>
        </w:rPr>
        <w:tab/>
        <w:t xml:space="preserve">وكانت كوستاريكا أول بلد في القارة الأمريكية يصدّق على اتفاقية البلدان الأمريكية لمكافحة العنصرية وأشكال التعصب المتصل بها، من خلال القانون رقم </w:t>
      </w:r>
      <w:r w:rsidRPr="008F39F0">
        <w:rPr>
          <w:szCs w:val="20"/>
          <w:rtl/>
        </w:rPr>
        <w:t>9358</w:t>
      </w:r>
      <w:r w:rsidRPr="008F39F0">
        <w:rPr>
          <w:rtl/>
        </w:rPr>
        <w:t xml:space="preserve"> (</w:t>
      </w:r>
      <w:r>
        <w:rPr>
          <w:rtl/>
        </w:rPr>
        <w:t xml:space="preserve">آب/أغسطس </w:t>
      </w:r>
      <w:r w:rsidRPr="008F39F0">
        <w:rPr>
          <w:szCs w:val="20"/>
          <w:rtl/>
        </w:rPr>
        <w:t>2016</w:t>
      </w:r>
      <w:r w:rsidRPr="008F39F0">
        <w:rPr>
          <w:rtl/>
        </w:rPr>
        <w:t>)</w:t>
      </w:r>
      <w:r>
        <w:rPr>
          <w:rtl/>
        </w:rPr>
        <w:t>.</w:t>
      </w:r>
    </w:p>
    <w:p w14:paraId="6B48066D" w14:textId="3C878A48" w:rsidR="00D30698" w:rsidRPr="00832D9E" w:rsidRDefault="00D30698" w:rsidP="00D30698">
      <w:pPr>
        <w:pStyle w:val="SingleTxtGA"/>
        <w:rPr>
          <w:szCs w:val="20"/>
          <w:lang w:val="ar-SA" w:eastAsia="zh-TW" w:bidi="en-GB"/>
        </w:rPr>
      </w:pPr>
      <w:r>
        <w:rPr>
          <w:rtl/>
        </w:rPr>
        <w:tab/>
        <w:t>ويجري مراجعة خطة العمل الأولى</w:t>
      </w:r>
      <w:r>
        <w:t xml:space="preserve"> </w:t>
      </w:r>
      <w:r>
        <w:rPr>
          <w:rtl/>
        </w:rPr>
        <w:t xml:space="preserve">للسياسة الوطنية من أجل مجتمع خال من العنصرية والتمييز العنصري وكره الأجانب للفترة </w:t>
      </w:r>
      <w:r w:rsidRPr="008F39F0">
        <w:rPr>
          <w:szCs w:val="20"/>
          <w:rtl/>
        </w:rPr>
        <w:t>2014</w:t>
      </w:r>
      <w:r w:rsidRPr="008C35C6">
        <w:rPr>
          <w:rtl/>
        </w:rPr>
        <w:t>-</w:t>
      </w:r>
      <w:r w:rsidRPr="008F39F0">
        <w:rPr>
          <w:szCs w:val="20"/>
          <w:rtl/>
        </w:rPr>
        <w:t>2025</w:t>
      </w:r>
      <w:r w:rsidRPr="00530375">
        <w:rPr>
          <w:rtl/>
        </w:rPr>
        <w:t>،</w:t>
      </w:r>
      <w:r>
        <w:rPr>
          <w:rFonts w:ascii="Traditional Arabic"/>
          <w:szCs w:val="20"/>
          <w:rtl/>
          <w:lang w:val="fr-CH"/>
        </w:rPr>
        <w:t xml:space="preserve"> </w:t>
      </w:r>
      <w:r>
        <w:rPr>
          <w:rFonts w:ascii="Traditional Arabic"/>
          <w:sz w:val="30"/>
          <w:rtl/>
          <w:lang w:val="fr-CH"/>
        </w:rPr>
        <w:t>ووضع خطة عملها الثانية</w:t>
      </w:r>
      <w:r>
        <w:rPr>
          <w:rFonts w:ascii="Traditional Arabic"/>
          <w:szCs w:val="20"/>
          <w:rtl/>
        </w:rPr>
        <w:t>.</w:t>
      </w:r>
      <w:r>
        <w:rPr>
          <w:rtl/>
        </w:rPr>
        <w:t xml:space="preserve"> وبالإضافة إلى ذلك، ينظر المشرع حاليا</w:t>
      </w:r>
      <w:r w:rsidR="00530375">
        <w:rPr>
          <w:rFonts w:hint="cs"/>
          <w:rtl/>
        </w:rPr>
        <w:t>ً</w:t>
      </w:r>
      <w:r>
        <w:rPr>
          <w:rtl/>
        </w:rPr>
        <w:t xml:space="preserve"> في مشروع القانون رقم </w:t>
      </w:r>
      <w:r w:rsidRPr="008F39F0">
        <w:rPr>
          <w:szCs w:val="20"/>
          <w:rtl/>
        </w:rPr>
        <w:t>19288</w:t>
      </w:r>
      <w:r>
        <w:rPr>
          <w:rtl/>
        </w:rPr>
        <w:t xml:space="preserve"> المتعلق بـ "منع العنصرية وجميع أشكال التمييز والقضاء عليها والمعاقبة عليها" ومشروع القانون رقم </w:t>
      </w:r>
      <w:r w:rsidRPr="008F39F0">
        <w:rPr>
          <w:szCs w:val="20"/>
          <w:rtl/>
        </w:rPr>
        <w:t>19299</w:t>
      </w:r>
      <w:r>
        <w:rPr>
          <w:rtl/>
        </w:rPr>
        <w:t xml:space="preserve"> المتعلق بـ "التحقيق في واقع حقوق الإنسان للسكان المنحدرين من أصل أفريقي"، بالإجراءات التشريعية.</w:t>
      </w:r>
    </w:p>
    <w:p w14:paraId="452B7111" w14:textId="36D0CD90" w:rsidR="00D30698" w:rsidRPr="00832D9E" w:rsidRDefault="00D30698" w:rsidP="00D30698">
      <w:pPr>
        <w:pStyle w:val="SingleTxtGA"/>
        <w:rPr>
          <w:szCs w:val="20"/>
          <w:lang w:val="ar-SA" w:eastAsia="zh-TW" w:bidi="en-GB"/>
        </w:rPr>
      </w:pPr>
      <w:r>
        <w:rPr>
          <w:rtl/>
        </w:rPr>
        <w:tab/>
        <w:t>وكوستاريكا هي حاليا</w:t>
      </w:r>
      <w:r w:rsidR="00530375">
        <w:rPr>
          <w:rFonts w:hint="cs"/>
          <w:rtl/>
        </w:rPr>
        <w:t>ً</w:t>
      </w:r>
      <w:r>
        <w:rPr>
          <w:rtl/>
        </w:rPr>
        <w:t xml:space="preserve"> البلد الوحيد في أمريكا الوسطى الذي يتلقّى طلبات اللجوء بسبب أوضاع شتى مما يؤدي إلى وجود أكبر عدد من اللاجئين في المنطقة. ومنذ عام </w:t>
      </w:r>
      <w:r w:rsidRPr="008F39F0">
        <w:rPr>
          <w:szCs w:val="20"/>
          <w:rtl/>
        </w:rPr>
        <w:t>2018</w:t>
      </w:r>
      <w:r>
        <w:rPr>
          <w:rtl/>
        </w:rPr>
        <w:t>، تُنفّذ خطة الإدماج الوطنية التي تُدرج ضمن محاورها مسألة "الاعتراف بالتنوع".</w:t>
      </w:r>
    </w:p>
    <w:p w14:paraId="2E9D818D" w14:textId="77777777" w:rsidR="00D30698" w:rsidRPr="00530375" w:rsidRDefault="00D30698" w:rsidP="00D30698">
      <w:pPr>
        <w:pStyle w:val="SingleTxtGA"/>
        <w:rPr>
          <w:szCs w:val="20"/>
          <w:lang w:eastAsia="zh-TW" w:bidi="en-GB"/>
        </w:rPr>
      </w:pPr>
      <w:r>
        <w:rPr>
          <w:rtl/>
        </w:rPr>
        <w:tab/>
        <w:t xml:space="preserve">وفصّلَت الدولة الطرف إجراءات ونتائج خطة الاعتراف بالعدالة وتنمية السكان المنحدرين من أصل أفريقي للفترة </w:t>
      </w:r>
      <w:r w:rsidRPr="008F39F0">
        <w:rPr>
          <w:szCs w:val="20"/>
          <w:rtl/>
        </w:rPr>
        <w:t>2015</w:t>
      </w:r>
      <w:r w:rsidRPr="008C35C6">
        <w:rPr>
          <w:rtl/>
        </w:rPr>
        <w:t>-</w:t>
      </w:r>
      <w:r w:rsidRPr="008F39F0">
        <w:rPr>
          <w:szCs w:val="20"/>
          <w:rtl/>
        </w:rPr>
        <w:t>2018</w:t>
      </w:r>
      <w:r w:rsidRPr="00530375">
        <w:rPr>
          <w:rtl/>
        </w:rPr>
        <w:t>.</w:t>
      </w:r>
      <w:r>
        <w:rPr>
          <w:rtl/>
        </w:rPr>
        <w:t xml:space="preserve"> </w:t>
      </w:r>
    </w:p>
    <w:p w14:paraId="6B7FD909" w14:textId="77777777" w:rsidR="00D30698" w:rsidRPr="00832D9E" w:rsidRDefault="00D30698" w:rsidP="00D30698">
      <w:pPr>
        <w:pStyle w:val="SingleTxtGA"/>
        <w:rPr>
          <w:szCs w:val="20"/>
          <w:lang w:val="ar-SA" w:eastAsia="zh-TW" w:bidi="en-GB"/>
        </w:rPr>
      </w:pPr>
      <w:r>
        <w:rPr>
          <w:rtl/>
        </w:rPr>
        <w:tab/>
        <w:t xml:space="preserve">وفي عام </w:t>
      </w:r>
      <w:r w:rsidRPr="008F39F0">
        <w:rPr>
          <w:szCs w:val="20"/>
          <w:rtl/>
        </w:rPr>
        <w:t>2018</w:t>
      </w:r>
      <w:r>
        <w:rPr>
          <w:rtl/>
        </w:rPr>
        <w:t>، أُطلقت حملة لتوعية المجتمع بحقوق المهاجرين واللاجئين وواجباتهم.</w:t>
      </w:r>
    </w:p>
    <w:p w14:paraId="22B60DCE" w14:textId="77777777" w:rsidR="00D30698" w:rsidRPr="008F39F0" w:rsidRDefault="00D30698" w:rsidP="00D30698">
      <w:pPr>
        <w:pStyle w:val="SingleTxtGA"/>
        <w:rPr>
          <w:spacing w:val="-4"/>
          <w:szCs w:val="20"/>
          <w:lang w:val="ar-SA" w:eastAsia="zh-TW" w:bidi="en-GB"/>
        </w:rPr>
      </w:pPr>
      <w:r w:rsidRPr="008F39F0">
        <w:rPr>
          <w:spacing w:val="-4"/>
          <w:rtl/>
        </w:rPr>
        <w:tab/>
        <w:t xml:space="preserve">وقد أبلغت الدولة الطرف عن تنظيم حملة تواصل واسعة بشأن حقوق الأشخاص ذوي الإعاقة. </w:t>
      </w:r>
    </w:p>
    <w:p w14:paraId="3D3C6217" w14:textId="77777777" w:rsidR="00D30698" w:rsidRPr="00832D9E" w:rsidRDefault="00D30698" w:rsidP="00D30698">
      <w:pPr>
        <w:pStyle w:val="H23GA"/>
        <w:rPr>
          <w:szCs w:val="20"/>
          <w:lang w:val="ar-SA" w:eastAsia="zh-TW" w:bidi="en-GB"/>
        </w:rPr>
      </w:pPr>
      <w:r>
        <w:rPr>
          <w:rtl/>
        </w:rPr>
        <w:tab/>
      </w:r>
      <w:r>
        <w:rPr>
          <w:rtl/>
        </w:rPr>
        <w:tab/>
        <w:t>تقييم اللجنة</w:t>
      </w:r>
      <w:r w:rsidRPr="00926726">
        <w:rPr>
          <w:rtl/>
        </w:rPr>
        <w:t>:</w:t>
      </w:r>
    </w:p>
    <w:p w14:paraId="508BE66B" w14:textId="154F09CF" w:rsidR="00D30698" w:rsidRPr="00832D9E" w:rsidRDefault="00D30698" w:rsidP="00D30698">
      <w:pPr>
        <w:pStyle w:val="SingleTxtGA"/>
        <w:rPr>
          <w:szCs w:val="20"/>
          <w:lang w:val="ar-SA" w:eastAsia="zh-TW" w:bidi="en-GB"/>
        </w:rPr>
      </w:pPr>
      <w:r w:rsidRPr="008F39F0">
        <w:rPr>
          <w:b/>
          <w:bCs/>
          <w:rtl/>
        </w:rPr>
        <w:t>[باء]</w:t>
      </w:r>
      <w:r w:rsidRPr="008F39F0">
        <w:rPr>
          <w:b/>
          <w:bCs/>
          <w:rtl/>
        </w:rPr>
        <w:t>:</w:t>
      </w:r>
      <w:r>
        <w:rPr>
          <w:rtl/>
        </w:rPr>
        <w:t xml:space="preserve"> تحيط اللجنة علماً بالمعلومات التي قدّمتها الدولة الطرف، ولا سيما بشأن حملات التوعية الموجهة إلى الأشخاص المنحدرين من أصل أفريقي والمهاجرين واللاجئين والأشخاص ذوي الإعاقة، وباعتماد القانون رقم </w:t>
      </w:r>
      <w:r w:rsidRPr="008F39F0">
        <w:rPr>
          <w:szCs w:val="20"/>
          <w:rtl/>
        </w:rPr>
        <w:t>9358</w:t>
      </w:r>
      <w:r>
        <w:rPr>
          <w:rtl/>
        </w:rPr>
        <w:t xml:space="preserve"> الصادر في آب/أغسطس </w:t>
      </w:r>
      <w:r w:rsidRPr="008F39F0">
        <w:rPr>
          <w:szCs w:val="20"/>
          <w:rtl/>
        </w:rPr>
        <w:t>2016</w:t>
      </w:r>
      <w:r>
        <w:rPr>
          <w:rtl/>
        </w:rPr>
        <w:t>، والذي أصبحت بموجبه الدولة الطرف أول بلد في الأمريكتين يصدّق على اتفاقية البلدان الأمريكية لمكافحة العنصرية التمييز العنصري وما يتصل بذلك من تعصب. وتطلب اللجنة معلومات بشأن</w:t>
      </w:r>
      <w:r w:rsidRPr="00926726">
        <w:rPr>
          <w:rtl/>
        </w:rPr>
        <w:t>:</w:t>
      </w:r>
      <w:r>
        <w:rPr>
          <w:rtl/>
        </w:rPr>
        <w:t xml:space="preserve"> (أ) مشروع القانون رقم </w:t>
      </w:r>
      <w:r w:rsidRPr="008F39F0">
        <w:rPr>
          <w:szCs w:val="20"/>
          <w:rtl/>
        </w:rPr>
        <w:t>19288</w:t>
      </w:r>
      <w:r>
        <w:rPr>
          <w:rtl/>
        </w:rPr>
        <w:t xml:space="preserve"> المتعلق بـ</w:t>
      </w:r>
      <w:r w:rsidR="008C35C6">
        <w:rPr>
          <w:rFonts w:hint="cs"/>
          <w:rtl/>
        </w:rPr>
        <w:t> </w:t>
      </w:r>
      <w:r>
        <w:rPr>
          <w:rtl/>
        </w:rPr>
        <w:t xml:space="preserve">"منع العنصرية وجميع أشكال التمييز والقضاء عليها والمعاقبة عليها" ومشروع القانون رقم </w:t>
      </w:r>
      <w:r w:rsidRPr="008F39F0">
        <w:rPr>
          <w:szCs w:val="20"/>
          <w:rtl/>
        </w:rPr>
        <w:t>19299</w:t>
      </w:r>
      <w:r>
        <w:rPr>
          <w:rtl/>
        </w:rPr>
        <w:t xml:space="preserve"> المتعلق بـ "التحقيق في واقع حقوق الإنسان للسكان المنحدرين من أصل أفريقي" اللذين ينظر فيهما المشرع حاليا</w:t>
      </w:r>
      <w:r w:rsidR="008F39F0">
        <w:rPr>
          <w:rFonts w:hint="cs"/>
          <w:rtl/>
        </w:rPr>
        <w:t>ً</w:t>
      </w:r>
      <w:r>
        <w:rPr>
          <w:rtl/>
        </w:rPr>
        <w:t>؛ و(ب) التدابير المتّخذة من الدولة الطرف لاعتماد قانون بشأن منع جميع أشكال التمييز والمعاقبة عليها، والحرص على أن يتضمن هذا القانون حظراً عاماً للتمييز على جميع الأسس المبينة في العهد، وأن يشمل أحكاماً تسمح بالحصول على الجبر من خلال سبل انتصاف قانونية فعالة ومناسبة في حالات التمييز والعنصرية وكره الأجانب؛ و(ج) التدابير المتخذة لتنفيذ خطة الإدماج الوطنية، فضلا</w:t>
      </w:r>
      <w:r w:rsidR="0049521B">
        <w:rPr>
          <w:rFonts w:hint="cs"/>
          <w:rtl/>
        </w:rPr>
        <w:t>ً</w:t>
      </w:r>
      <w:r>
        <w:rPr>
          <w:rtl/>
        </w:rPr>
        <w:t xml:space="preserve"> عن أثرها ونتائجها.</w:t>
      </w:r>
    </w:p>
    <w:p w14:paraId="22137D73" w14:textId="1B08CB4A" w:rsidR="00D30698" w:rsidRDefault="00D30698" w:rsidP="008F39F0">
      <w:pPr>
        <w:pStyle w:val="H23GA"/>
        <w:rPr>
          <w:szCs w:val="20"/>
          <w:lang w:val="ar-SA" w:eastAsia="zh-TW" w:bidi="en-GB"/>
        </w:rPr>
      </w:pPr>
      <w:r>
        <w:rPr>
          <w:rtl/>
        </w:rPr>
        <w:tab/>
      </w:r>
      <w:r>
        <w:rPr>
          <w:rtl/>
        </w:rPr>
        <w:tab/>
        <w:t xml:space="preserve">الفقرة </w:t>
      </w:r>
      <w:r w:rsidRPr="008F39F0">
        <w:rPr>
          <w:szCs w:val="20"/>
          <w:rtl/>
        </w:rPr>
        <w:t>18</w:t>
      </w:r>
      <w:r w:rsidR="008F39F0">
        <w:rPr>
          <w:rFonts w:hint="cs"/>
          <w:rtl/>
        </w:rPr>
        <w:t>:</w:t>
      </w:r>
      <w:r>
        <w:rPr>
          <w:rtl/>
        </w:rPr>
        <w:t xml:space="preserve"> الإجهاض</w:t>
      </w:r>
    </w:p>
    <w:p w14:paraId="60C071CD" w14:textId="77777777" w:rsidR="00D30698" w:rsidRPr="008F39F0" w:rsidRDefault="00D30698" w:rsidP="00D30698">
      <w:pPr>
        <w:pStyle w:val="SingleTxtGA"/>
        <w:rPr>
          <w:b/>
          <w:bCs/>
          <w:szCs w:val="20"/>
          <w:lang w:val="ar-SA" w:eastAsia="zh-TW" w:bidi="en-GB"/>
        </w:rPr>
      </w:pPr>
      <w:r w:rsidRPr="008F39F0">
        <w:rPr>
          <w:b/>
          <w:bCs/>
          <w:rtl/>
        </w:rPr>
        <w:t>ينبغي للدولة الطرف أن تقوم بما يلي</w:t>
      </w:r>
      <w:r w:rsidRPr="008F39F0">
        <w:rPr>
          <w:b/>
          <w:bCs/>
        </w:rPr>
        <w:t>:</w:t>
      </w:r>
      <w:r w:rsidRPr="008F39F0">
        <w:rPr>
          <w:b/>
          <w:bCs/>
          <w:rtl/>
        </w:rPr>
        <w:t xml:space="preserve"> </w:t>
      </w:r>
    </w:p>
    <w:p w14:paraId="51DABB2F" w14:textId="25F5FFDC" w:rsidR="00D30698" w:rsidRPr="008F39F0" w:rsidRDefault="00D30698" w:rsidP="00D30698">
      <w:pPr>
        <w:pStyle w:val="SingleTxtGA"/>
        <w:rPr>
          <w:b/>
          <w:bCs/>
          <w:szCs w:val="20"/>
          <w:lang w:val="ar-SA" w:eastAsia="zh-TW" w:bidi="en-GB"/>
        </w:rPr>
      </w:pPr>
      <w:r w:rsidRPr="008F39F0">
        <w:rPr>
          <w:b/>
          <w:bCs/>
          <w:rtl/>
        </w:rPr>
        <w:lastRenderedPageBreak/>
        <w:tab/>
      </w:r>
      <w:r w:rsidRPr="008F39F0">
        <w:rPr>
          <w:b/>
          <w:bCs/>
          <w:rtl/>
        </w:rPr>
        <w:t>(أ)</w:t>
      </w:r>
      <w:r w:rsidR="008F39F0" w:rsidRPr="008F39F0">
        <w:rPr>
          <w:b/>
          <w:bCs/>
          <w:rtl/>
        </w:rPr>
        <w:tab/>
      </w:r>
      <w:r w:rsidRPr="008F39F0">
        <w:rPr>
          <w:b/>
          <w:bCs/>
          <w:rtl/>
        </w:rPr>
        <w:t>أن تعدّل تشريعاتها المتعلقة بالإجهاض من أجل إدراج أسباب إضافية للإنهاء الطوعي للحمل، مثل الحالات التي ينتج فيها الح</w:t>
      </w:r>
      <w:bookmarkStart w:id="2" w:name="_GoBack"/>
      <w:bookmarkEnd w:id="2"/>
      <w:r w:rsidRPr="008F39F0">
        <w:rPr>
          <w:b/>
          <w:bCs/>
          <w:rtl/>
        </w:rPr>
        <w:t xml:space="preserve">مل عن الاغتصاب أو زنا المحارم أو حالات اعتلال الجنين بشكل مميت، لضمان ألا تؤدي العقبات القانونية إلى لجوء النساء إلى الإجهاض السري الذي يعرّض حياتهن وصحّتهن للخطر؛ </w:t>
      </w:r>
    </w:p>
    <w:p w14:paraId="4F4BE1A0" w14:textId="77777777" w:rsidR="00D30698" w:rsidRPr="008F39F0" w:rsidRDefault="00D30698" w:rsidP="00D30698">
      <w:pPr>
        <w:pStyle w:val="SingleTxtGA"/>
        <w:rPr>
          <w:b/>
          <w:bCs/>
          <w:szCs w:val="20"/>
          <w:lang w:val="ar-SA" w:eastAsia="zh-TW" w:bidi="en-GB"/>
        </w:rPr>
      </w:pPr>
      <w:r w:rsidRPr="008F39F0">
        <w:rPr>
          <w:b/>
          <w:bCs/>
          <w:rtl/>
        </w:rPr>
        <w:tab/>
        <w:t>(ب)</w:t>
      </w:r>
      <w:r w:rsidRPr="008F39F0">
        <w:rPr>
          <w:b/>
          <w:bCs/>
          <w:rtl/>
        </w:rPr>
        <w:tab/>
        <w:t>أن تعتمد دون تأخير بروتوكولاً يكفل الحصول على خدمات الإجهاض عندما يكون هناك خطر على حياة المرأة أو صحتها؛</w:t>
      </w:r>
    </w:p>
    <w:p w14:paraId="2D1B9204" w14:textId="4785CF33" w:rsidR="00D30698" w:rsidRPr="008F39F0" w:rsidRDefault="00D30698" w:rsidP="00D30698">
      <w:pPr>
        <w:pStyle w:val="SingleTxtGA"/>
        <w:rPr>
          <w:b/>
          <w:bCs/>
          <w:szCs w:val="20"/>
          <w:lang w:eastAsia="zh-TW" w:bidi="en-GB"/>
        </w:rPr>
      </w:pPr>
      <w:r w:rsidRPr="008F39F0">
        <w:rPr>
          <w:b/>
          <w:bCs/>
          <w:rtl/>
        </w:rPr>
        <w:tab/>
        <w:t>(ج)</w:t>
      </w:r>
      <w:r w:rsidRPr="008F39F0">
        <w:rPr>
          <w:b/>
          <w:bCs/>
          <w:rtl/>
        </w:rPr>
        <w:tab/>
        <w:t xml:space="preserve">أن تضمن إمكانية حصول جميع النساء والمراهقات على خدمات الصحة الجنسية والإنجابية؛ </w:t>
      </w:r>
    </w:p>
    <w:p w14:paraId="15BD6398" w14:textId="77777777" w:rsidR="00D30698" w:rsidRPr="008F39F0" w:rsidRDefault="00D30698" w:rsidP="00D30698">
      <w:pPr>
        <w:pStyle w:val="SingleTxtGA"/>
        <w:rPr>
          <w:b/>
          <w:bCs/>
          <w:szCs w:val="20"/>
          <w:lang w:val="ar-SA" w:eastAsia="zh-TW" w:bidi="en-GB"/>
        </w:rPr>
      </w:pPr>
      <w:r w:rsidRPr="008F39F0">
        <w:rPr>
          <w:b/>
          <w:bCs/>
          <w:rtl/>
        </w:rPr>
        <w:tab/>
        <w:t>(د)</w:t>
      </w:r>
      <w:r w:rsidRPr="008F39F0">
        <w:rPr>
          <w:b/>
          <w:bCs/>
          <w:rtl/>
        </w:rPr>
        <w:tab/>
        <w:t>أن تواصل جهودها في برامج التثقيف الرسمي (في المدارس) وغير الرسمي (عن طريق وسائط الإعلام وغيرها من وسائط الاتصال) بشأن أهمية استخدام وسائل منع الحمل وبشأن الحقوق المتعلقة بالصحة الجنسية والإنجابية، وأن تضمن إعمال هذه الحقوق؛</w:t>
      </w:r>
    </w:p>
    <w:p w14:paraId="1DA28447" w14:textId="77777777" w:rsidR="00D30698" w:rsidRPr="008F39F0" w:rsidRDefault="00D30698" w:rsidP="00D30698">
      <w:pPr>
        <w:pStyle w:val="SingleTxtGA"/>
        <w:rPr>
          <w:b/>
          <w:bCs/>
          <w:szCs w:val="20"/>
          <w:lang w:val="ar-SA" w:eastAsia="zh-TW" w:bidi="en-GB"/>
        </w:rPr>
      </w:pPr>
      <w:r w:rsidRPr="008F39F0">
        <w:rPr>
          <w:b/>
          <w:bCs/>
          <w:rtl/>
        </w:rPr>
        <w:tab/>
        <w:t>(ه)</w:t>
      </w:r>
      <w:r w:rsidRPr="008F39F0">
        <w:rPr>
          <w:b/>
          <w:bCs/>
          <w:rtl/>
        </w:rPr>
        <w:tab/>
        <w:t xml:space="preserve">أن تضمن التحقيق الواجب والصارم في حالات العنف ضد المرأة في المرافق الصحية، وتقديم الجناة إلى العدالة ومعاقبتهم على النحو المناسب. </w:t>
      </w:r>
    </w:p>
    <w:p w14:paraId="7EB96B42" w14:textId="77777777" w:rsidR="00D30698" w:rsidRPr="00832D9E" w:rsidRDefault="00D30698" w:rsidP="00D30698">
      <w:pPr>
        <w:pStyle w:val="H23GA"/>
        <w:rPr>
          <w:szCs w:val="20"/>
          <w:lang w:val="ar-SA" w:eastAsia="zh-TW" w:bidi="en-GB"/>
        </w:rPr>
      </w:pPr>
      <w:r>
        <w:rPr>
          <w:rtl/>
        </w:rPr>
        <w:tab/>
      </w:r>
      <w:r>
        <w:rPr>
          <w:rtl/>
        </w:rPr>
        <w:tab/>
        <w:t>ملخص ردّ الدولة الطرف</w:t>
      </w:r>
    </w:p>
    <w:p w14:paraId="2A54D085" w14:textId="77777777" w:rsidR="00D30698" w:rsidRPr="00163276" w:rsidRDefault="00D30698" w:rsidP="00D30698">
      <w:pPr>
        <w:pStyle w:val="SingleTxtGA"/>
        <w:rPr>
          <w:szCs w:val="20"/>
          <w:lang w:val="ar-SA" w:eastAsia="zh-TW" w:bidi="en-GB"/>
        </w:rPr>
      </w:pPr>
      <w:r>
        <w:rPr>
          <w:rtl/>
        </w:rPr>
        <w:tab/>
        <w:t>(أ)</w:t>
      </w:r>
      <w:r>
        <w:rPr>
          <w:rtl/>
        </w:rPr>
        <w:tab/>
        <w:t>ينبغي أن تنبثق التعديلات الرامية إلى توسيع نطاق أسباب الإنهاء الطوعي للحمل عن السلطة التشريعية، وذلك في أعقاب عملية إصلاح ذات صلة؛</w:t>
      </w:r>
    </w:p>
    <w:p w14:paraId="12D03671" w14:textId="77777777" w:rsidR="00D30698" w:rsidRPr="00163276" w:rsidRDefault="00D30698" w:rsidP="00D30698">
      <w:pPr>
        <w:pStyle w:val="SingleTxtGA"/>
        <w:rPr>
          <w:szCs w:val="20"/>
          <w:lang w:val="ar-SA" w:eastAsia="zh-TW" w:bidi="en-GB"/>
        </w:rPr>
      </w:pPr>
      <w:r>
        <w:rPr>
          <w:rtl/>
        </w:rPr>
        <w:tab/>
        <w:t>(ب)</w:t>
      </w:r>
      <w:r>
        <w:rPr>
          <w:rtl/>
        </w:rPr>
        <w:tab/>
        <w:t xml:space="preserve">يجري وضع معيار تقني لتنظيم نطاق المادة </w:t>
      </w:r>
      <w:r w:rsidRPr="008F39F0">
        <w:rPr>
          <w:szCs w:val="20"/>
          <w:rtl/>
        </w:rPr>
        <w:t>121</w:t>
      </w:r>
      <w:r>
        <w:rPr>
          <w:rtl/>
        </w:rPr>
        <w:t xml:space="preserve"> من قانون العقوبات وتحديد المعايير الطبية الموضوعية لتطبيق الإنهاء الطبي للحمل؛</w:t>
      </w:r>
    </w:p>
    <w:p w14:paraId="58C54266" w14:textId="77777777" w:rsidR="00D30698" w:rsidRPr="00163276" w:rsidRDefault="00D30698" w:rsidP="00D30698">
      <w:pPr>
        <w:pStyle w:val="SingleTxtGA"/>
        <w:rPr>
          <w:szCs w:val="20"/>
          <w:lang w:val="ar-SA" w:eastAsia="zh-TW" w:bidi="en-GB"/>
        </w:rPr>
      </w:pPr>
      <w:r>
        <w:rPr>
          <w:rtl/>
        </w:rPr>
        <w:tab/>
        <w:t>(ج)</w:t>
      </w:r>
      <w:r>
        <w:rPr>
          <w:rtl/>
        </w:rPr>
        <w:tab/>
        <w:t xml:space="preserve">لم تقدم معلومات؛ </w:t>
      </w:r>
    </w:p>
    <w:p w14:paraId="2291297C" w14:textId="77777777" w:rsidR="00D30698" w:rsidRPr="00163276" w:rsidRDefault="00D30698" w:rsidP="00D30698">
      <w:pPr>
        <w:pStyle w:val="SingleTxtGA"/>
        <w:rPr>
          <w:szCs w:val="20"/>
          <w:lang w:val="ar-SA" w:eastAsia="zh-TW" w:bidi="en-GB"/>
        </w:rPr>
      </w:pPr>
      <w:r>
        <w:rPr>
          <w:rtl/>
        </w:rPr>
        <w:tab/>
        <w:t>(د)</w:t>
      </w:r>
      <w:r>
        <w:rPr>
          <w:rtl/>
        </w:rPr>
        <w:tab/>
        <w:t xml:space="preserve">لم تقدم معلومات؛ </w:t>
      </w:r>
    </w:p>
    <w:p w14:paraId="35F13923" w14:textId="77777777" w:rsidR="00D30698" w:rsidRPr="00163276" w:rsidRDefault="00D30698" w:rsidP="00D30698">
      <w:pPr>
        <w:pStyle w:val="SingleTxtGA"/>
        <w:rPr>
          <w:szCs w:val="20"/>
          <w:lang w:val="ar-SA" w:eastAsia="zh-TW" w:bidi="en-GB"/>
        </w:rPr>
      </w:pPr>
      <w:r>
        <w:rPr>
          <w:rtl/>
        </w:rPr>
        <w:tab/>
        <w:t>(ه)</w:t>
      </w:r>
      <w:r>
        <w:rPr>
          <w:rtl/>
        </w:rPr>
        <w:tab/>
        <w:t>لم تقدم معلومات.</w:t>
      </w:r>
    </w:p>
    <w:p w14:paraId="0229CB4F" w14:textId="77777777" w:rsidR="00D30698" w:rsidRPr="00832D9E" w:rsidRDefault="00D30698" w:rsidP="00D30698">
      <w:pPr>
        <w:pStyle w:val="H23GA"/>
        <w:rPr>
          <w:szCs w:val="20"/>
          <w:lang w:val="ar-SA" w:eastAsia="zh-TW" w:bidi="en-GB"/>
        </w:rPr>
      </w:pPr>
      <w:r>
        <w:rPr>
          <w:rtl/>
        </w:rPr>
        <w:tab/>
      </w:r>
      <w:r>
        <w:rPr>
          <w:rtl/>
        </w:rPr>
        <w:tab/>
        <w:t>تقييم اللجنة</w:t>
      </w:r>
      <w:r w:rsidRPr="00926726">
        <w:rPr>
          <w:rtl/>
        </w:rPr>
        <w:t>:</w:t>
      </w:r>
    </w:p>
    <w:p w14:paraId="18695624" w14:textId="036AEC40" w:rsidR="00D30698" w:rsidRPr="00832D9E" w:rsidRDefault="00D30698" w:rsidP="00D30698">
      <w:pPr>
        <w:pStyle w:val="SingleTxtGA"/>
        <w:rPr>
          <w:szCs w:val="20"/>
          <w:lang w:val="ar-SA" w:eastAsia="zh-TW" w:bidi="en-GB"/>
        </w:rPr>
      </w:pPr>
      <w:r w:rsidRPr="008F39F0">
        <w:rPr>
          <w:b/>
          <w:bCs/>
          <w:rtl/>
        </w:rPr>
        <w:t>[جيم]</w:t>
      </w:r>
      <w:r w:rsidRPr="008F39F0">
        <w:rPr>
          <w:b/>
          <w:bCs/>
          <w:rtl/>
        </w:rPr>
        <w:t>:</w:t>
      </w:r>
      <w:r>
        <w:rPr>
          <w:rtl/>
        </w:rPr>
        <w:t xml:space="preserve"> (أ) و(ب) و(ج) و(د) و(ه)</w:t>
      </w:r>
      <w:r w:rsidRPr="00926726">
        <w:rPr>
          <w:rtl/>
        </w:rPr>
        <w:t>:</w:t>
      </w:r>
      <w:r>
        <w:rPr>
          <w:rtl/>
        </w:rPr>
        <w:t xml:space="preserve"> تحيط اللجنة علما بالمعلومات التي قدمتها الدولة الطرف، وتأسف لعدم وجود مبادرة لمراجعة التشريعات المتعلقة بالإجهاض كي تدرج أسبابا إضافية للإنهاء الطوعي للحمل. وبالإشارة إلى المعلومات التي قدمتها الدولة الطرف، تطلب اللجنة معلومات إضافية عن وضع معيار تقني لتنظيم نطاق المادة </w:t>
      </w:r>
      <w:r w:rsidRPr="008F39F0">
        <w:rPr>
          <w:szCs w:val="20"/>
          <w:rtl/>
        </w:rPr>
        <w:t>121</w:t>
      </w:r>
      <w:r>
        <w:rPr>
          <w:rtl/>
        </w:rPr>
        <w:t xml:space="preserve"> من قانون العقوبات. وبالإضافة إلى ذلك، تطلب اللجنة معلومات عن التدابير المتخذة لضمان التحقيق الواجب والصارم في حالات العنف ضد المرأة في المرافق الصحية، و</w:t>
      </w:r>
      <w:r w:rsidRPr="00C74C2F">
        <w:rPr>
          <w:rtl/>
        </w:rPr>
        <w:t>تقديم الجناة إلى العدالة ومعاقبتهم</w:t>
      </w:r>
      <w:r>
        <w:rPr>
          <w:rtl/>
        </w:rPr>
        <w:t>، وعن تدابير جبر ضرر الضحايا. وتكرر اللجنة توصياتها وتطلب معلومات إضافية في هذا الصدد.</w:t>
      </w:r>
    </w:p>
    <w:p w14:paraId="1C1A5EA7" w14:textId="7C5450EC" w:rsidR="00D30698" w:rsidRPr="008F39F0" w:rsidRDefault="00D30698" w:rsidP="008F39F0">
      <w:pPr>
        <w:pStyle w:val="H23GA"/>
        <w:rPr>
          <w:szCs w:val="20"/>
          <w:lang w:eastAsia="zh-TW" w:bidi="en-GB"/>
        </w:rPr>
      </w:pPr>
      <w:r>
        <w:rPr>
          <w:rtl/>
        </w:rPr>
        <w:tab/>
      </w:r>
      <w:r>
        <w:rPr>
          <w:rtl/>
        </w:rPr>
        <w:tab/>
        <w:t xml:space="preserve">الفقرة </w:t>
      </w:r>
      <w:r w:rsidRPr="008F39F0">
        <w:rPr>
          <w:szCs w:val="20"/>
          <w:rtl/>
        </w:rPr>
        <w:t>42</w:t>
      </w:r>
      <w:r w:rsidRPr="00926726">
        <w:rPr>
          <w:rtl/>
        </w:rPr>
        <w:t>:</w:t>
      </w:r>
      <w:r>
        <w:rPr>
          <w:rtl/>
        </w:rPr>
        <w:t xml:space="preserve"> حقوق السكان المنتمين إلى الشعوب الأصلية</w:t>
      </w:r>
    </w:p>
    <w:p w14:paraId="3AADE04B" w14:textId="77777777" w:rsidR="00D30698" w:rsidRPr="008F39F0" w:rsidRDefault="00D30698" w:rsidP="00D30698">
      <w:pPr>
        <w:pStyle w:val="SingleTxtGA"/>
        <w:rPr>
          <w:b/>
          <w:bCs/>
          <w:szCs w:val="20"/>
          <w:lang w:val="ar-SA" w:eastAsia="zh-TW" w:bidi="en-GB"/>
        </w:rPr>
      </w:pPr>
      <w:r w:rsidRPr="008F39F0">
        <w:rPr>
          <w:b/>
          <w:bCs/>
          <w:rtl/>
        </w:rPr>
        <w:t>ينبغي للدولة الطرف أن تقوم بما يلي</w:t>
      </w:r>
      <w:r w:rsidRPr="008F39F0">
        <w:rPr>
          <w:b/>
          <w:bCs/>
        </w:rPr>
        <w:t>:</w:t>
      </w:r>
      <w:r w:rsidRPr="008F39F0">
        <w:rPr>
          <w:b/>
          <w:bCs/>
          <w:rtl/>
        </w:rPr>
        <w:t xml:space="preserve"> </w:t>
      </w:r>
    </w:p>
    <w:p w14:paraId="3B827CDB" w14:textId="77777777" w:rsidR="00D30698" w:rsidRPr="008F39F0" w:rsidRDefault="00D30698" w:rsidP="00D30698">
      <w:pPr>
        <w:pStyle w:val="SingleTxtGA"/>
        <w:rPr>
          <w:b/>
          <w:bCs/>
          <w:szCs w:val="20"/>
          <w:lang w:val="ar-SA" w:eastAsia="zh-TW" w:bidi="en-GB"/>
        </w:rPr>
      </w:pPr>
      <w:r w:rsidRPr="008F39F0">
        <w:rPr>
          <w:b/>
          <w:bCs/>
          <w:rtl/>
        </w:rPr>
        <w:tab/>
        <w:t>(أ)</w:t>
      </w:r>
      <w:r w:rsidRPr="008F39F0">
        <w:rPr>
          <w:b/>
          <w:bCs/>
          <w:rtl/>
        </w:rPr>
        <w:tab/>
        <w:t xml:space="preserve">أن تعجّل باعتماد مشروع القانون المتعلق بالتنمية المستقلة للشعوب الأصلية؛ </w:t>
      </w:r>
    </w:p>
    <w:p w14:paraId="17FCAEB5" w14:textId="77777777" w:rsidR="00D30698" w:rsidRPr="008F39F0" w:rsidRDefault="00D30698" w:rsidP="00D30698">
      <w:pPr>
        <w:pStyle w:val="SingleTxtGA"/>
        <w:rPr>
          <w:b/>
          <w:bCs/>
          <w:szCs w:val="20"/>
          <w:lang w:val="ar-SA" w:eastAsia="zh-TW" w:bidi="en-GB"/>
        </w:rPr>
      </w:pPr>
      <w:r w:rsidRPr="008F39F0">
        <w:rPr>
          <w:b/>
          <w:bCs/>
          <w:rtl/>
        </w:rPr>
        <w:lastRenderedPageBreak/>
        <w:tab/>
        <w:t>(ب)</w:t>
      </w:r>
      <w:r w:rsidRPr="008F39F0">
        <w:rPr>
          <w:b/>
          <w:bCs/>
          <w:rtl/>
        </w:rPr>
        <w:tab/>
        <w:t xml:space="preserve">أن تكفل التشاور الفعلي مع الشعوب الأصلية من أجل ضمان موافقتها الحرة والمسبقة والمستنيرة قبل اعتماد أو تنفيذ أي تدبير يمكن أن يكون له أثر كبير على طريقة حياتها وثقافتها، ولا سيما فيما يتعلق بالمشاريع التي يمكن أن يكون لها تأثير في أراضيها أو أقاليمها أو مواردها الأخرى، مثل مشاريع استكشاف الموارد الطبيعية و/أو استغلالها؛ </w:t>
      </w:r>
    </w:p>
    <w:p w14:paraId="53C724BA" w14:textId="77777777" w:rsidR="00D30698" w:rsidRPr="008F39F0" w:rsidRDefault="00D30698" w:rsidP="00D30698">
      <w:pPr>
        <w:pStyle w:val="SingleTxtGA"/>
        <w:rPr>
          <w:b/>
          <w:bCs/>
          <w:szCs w:val="20"/>
          <w:lang w:val="ar-SA" w:eastAsia="zh-TW" w:bidi="en-GB"/>
        </w:rPr>
      </w:pPr>
      <w:r w:rsidRPr="008F39F0">
        <w:rPr>
          <w:b/>
          <w:bCs/>
          <w:rtl/>
        </w:rPr>
        <w:tab/>
        <w:t>(ج)</w:t>
      </w:r>
      <w:r w:rsidRPr="008F39F0">
        <w:rPr>
          <w:b/>
          <w:bCs/>
          <w:rtl/>
        </w:rPr>
        <w:tab/>
        <w:t>أن تضمن في الواقع العملي حق الشعوب الأصلية في الأراضي والأقاليم التي اعتادت على امتلاكها أو شغلها، بوسائل منها الاعتراف القانوني والحماية القانونية الضرورية؛</w:t>
      </w:r>
    </w:p>
    <w:p w14:paraId="19D8DEA5" w14:textId="77777777" w:rsidR="00D30698" w:rsidRPr="008F39F0" w:rsidRDefault="00D30698" w:rsidP="00D30698">
      <w:pPr>
        <w:pStyle w:val="SingleTxtGA"/>
        <w:rPr>
          <w:b/>
          <w:bCs/>
          <w:szCs w:val="20"/>
          <w:lang w:val="ar-SA" w:eastAsia="zh-TW" w:bidi="en-GB"/>
        </w:rPr>
      </w:pPr>
      <w:r w:rsidRPr="008F39F0">
        <w:rPr>
          <w:b/>
          <w:bCs/>
          <w:rtl/>
        </w:rPr>
        <w:tab/>
        <w:t>(د)</w:t>
      </w:r>
      <w:r w:rsidRPr="008F39F0">
        <w:rPr>
          <w:b/>
          <w:bCs/>
          <w:rtl/>
        </w:rPr>
        <w:tab/>
        <w:t xml:space="preserve">أن تتيح ما يلزم من الوسائل القانونية كي يتسنى للشعوب الأصلية استرداد الأراضي غير القابلة للتصرف الممنوحة لها سابقاً بموجب تشريعات وطنية، وأن توفر الحماية الملائمة للشعوب الأصلية التي تعرضت لهجمات، بما في ذلك عن طريق سبل الانتصاف الفعالة. </w:t>
      </w:r>
    </w:p>
    <w:p w14:paraId="2FE22913" w14:textId="77777777" w:rsidR="00D30698" w:rsidRPr="00832D9E" w:rsidRDefault="00D30698" w:rsidP="00D30698">
      <w:pPr>
        <w:pStyle w:val="H23GA"/>
        <w:rPr>
          <w:szCs w:val="20"/>
          <w:lang w:val="ar-SA" w:eastAsia="zh-TW" w:bidi="en-GB"/>
        </w:rPr>
      </w:pPr>
      <w:r>
        <w:rPr>
          <w:rtl/>
        </w:rPr>
        <w:tab/>
      </w:r>
      <w:r>
        <w:rPr>
          <w:rtl/>
        </w:rPr>
        <w:tab/>
        <w:t>ملخص ردّ الدولة الطرف</w:t>
      </w:r>
    </w:p>
    <w:p w14:paraId="124E7C2C" w14:textId="1AFAB36C" w:rsidR="00D30698" w:rsidRPr="00832D9E" w:rsidRDefault="00D30698" w:rsidP="00D30698">
      <w:pPr>
        <w:pStyle w:val="SingleTxtGA"/>
        <w:rPr>
          <w:szCs w:val="20"/>
          <w:lang w:val="ar-SA" w:eastAsia="zh-TW" w:bidi="en-GB"/>
        </w:rPr>
      </w:pPr>
      <w:r>
        <w:rPr>
          <w:rtl/>
        </w:rPr>
        <w:tab/>
        <w:t>(أ)</w:t>
      </w:r>
      <w:r>
        <w:rPr>
          <w:rtl/>
        </w:rPr>
        <w:tab/>
        <w:t>تُوّجت عملية بناء الآلية العامة للتشاور مع الشعوب الأصلية، التي بدأت في عام</w:t>
      </w:r>
      <w:r w:rsidR="008F39F0">
        <w:rPr>
          <w:rFonts w:hint="cs"/>
          <w:rtl/>
        </w:rPr>
        <w:t> </w:t>
      </w:r>
      <w:r w:rsidRPr="008F39F0">
        <w:rPr>
          <w:szCs w:val="20"/>
          <w:rtl/>
        </w:rPr>
        <w:t>2015</w:t>
      </w:r>
      <w:r>
        <w:rPr>
          <w:rtl/>
        </w:rPr>
        <w:t xml:space="preserve">، بالمرسوم رقم </w:t>
      </w:r>
      <w:r w:rsidRPr="008F39F0">
        <w:rPr>
          <w:szCs w:val="20"/>
          <w:rtl/>
        </w:rPr>
        <w:t>40932</w:t>
      </w:r>
      <w:r>
        <w:rPr>
          <w:rtl/>
        </w:rPr>
        <w:t xml:space="preserve"> لعام </w:t>
      </w:r>
      <w:r w:rsidRPr="008F39F0">
        <w:rPr>
          <w:szCs w:val="20"/>
          <w:rtl/>
        </w:rPr>
        <w:t>2018</w:t>
      </w:r>
      <w:r>
        <w:rPr>
          <w:rFonts w:ascii="Traditional Arabic"/>
          <w:szCs w:val="20"/>
          <w:rtl/>
        </w:rPr>
        <w:t>.</w:t>
      </w:r>
      <w:r>
        <w:rPr>
          <w:rtl/>
        </w:rPr>
        <w:t xml:space="preserve"> وإنشاء الآلية هو ثمرة جهود مبذولة في إطار عملية تشاركية وديمقراطية.</w:t>
      </w:r>
    </w:p>
    <w:p w14:paraId="67FE5549" w14:textId="77777777" w:rsidR="00D30698" w:rsidRPr="00530375" w:rsidRDefault="00D30698" w:rsidP="00D30698">
      <w:pPr>
        <w:pStyle w:val="SingleTxtGA"/>
        <w:rPr>
          <w:spacing w:val="-4"/>
          <w:szCs w:val="20"/>
          <w:lang w:eastAsia="zh-TW" w:bidi="en-GB"/>
        </w:rPr>
      </w:pPr>
      <w:r>
        <w:rPr>
          <w:rtl/>
        </w:rPr>
        <w:tab/>
        <w:t xml:space="preserve">وفيما يتعلق باعتماد مشروع قانون التنمية المستقلة للسكان الأصليين، لم يحدَّث هذا المشروع منذ عام </w:t>
      </w:r>
      <w:r w:rsidRPr="008F39F0">
        <w:rPr>
          <w:szCs w:val="20"/>
          <w:rtl/>
        </w:rPr>
        <w:t>2011</w:t>
      </w:r>
      <w:r>
        <w:rPr>
          <w:rtl/>
        </w:rPr>
        <w:t xml:space="preserve">، وهو يتضمن مقترحات لمدة أربع سنوات تنتهي في عام </w:t>
      </w:r>
      <w:r w:rsidRPr="008F39F0">
        <w:rPr>
          <w:szCs w:val="20"/>
          <w:rtl/>
        </w:rPr>
        <w:t>2019</w:t>
      </w:r>
      <w:r w:rsidRPr="008F39F0">
        <w:rPr>
          <w:rtl/>
        </w:rPr>
        <w:t>.</w:t>
      </w:r>
      <w:r>
        <w:rPr>
          <w:rtl/>
        </w:rPr>
        <w:t xml:space="preserve"> وأُبلغت بعض الشعوب </w:t>
      </w:r>
      <w:r w:rsidRPr="00530375">
        <w:rPr>
          <w:spacing w:val="-4"/>
          <w:rtl/>
        </w:rPr>
        <w:t xml:space="preserve">الأصلية بضرورة تكييف النص مرة أخرى لمراعاة الوقت الذي انقضى منذ آخر استعراض رسمي له </w:t>
      </w:r>
      <w:r w:rsidRPr="00530375">
        <w:rPr>
          <w:spacing w:val="-4"/>
          <w:rtl/>
        </w:rPr>
        <w:t>(</w:t>
      </w:r>
      <w:r w:rsidRPr="00530375">
        <w:rPr>
          <w:spacing w:val="-4"/>
          <w:szCs w:val="20"/>
          <w:rtl/>
        </w:rPr>
        <w:t>2011</w:t>
      </w:r>
      <w:r w:rsidRPr="00530375">
        <w:rPr>
          <w:spacing w:val="-4"/>
          <w:rtl/>
        </w:rPr>
        <w:t>)</w:t>
      </w:r>
      <w:r w:rsidRPr="00530375">
        <w:rPr>
          <w:spacing w:val="-4"/>
          <w:rtl/>
        </w:rPr>
        <w:t>؛</w:t>
      </w:r>
    </w:p>
    <w:p w14:paraId="231ABF4B" w14:textId="77777777" w:rsidR="00D30698" w:rsidRPr="00832D9E" w:rsidRDefault="00D30698" w:rsidP="00D30698">
      <w:pPr>
        <w:pStyle w:val="SingleTxtGA"/>
        <w:rPr>
          <w:szCs w:val="20"/>
          <w:lang w:val="ar-SA" w:eastAsia="zh-TW" w:bidi="en-GB"/>
        </w:rPr>
      </w:pPr>
      <w:r>
        <w:rPr>
          <w:rtl/>
        </w:rPr>
        <w:tab/>
        <w:t>(ب)</w:t>
      </w:r>
      <w:r>
        <w:rPr>
          <w:rtl/>
        </w:rPr>
        <w:tab/>
        <w:t>تمنح الآلية صلاحية إجراء المشاورات لوزارة العدل والسلام، لأنها تمثل مؤسسة الدولة المكلفة بإجراء عمليات الحوار الرامية إلى تحقيق التعايش السلمي بين المواطنين. وستؤدي الوحدة التقنية للتشاور مع السكان الأصليين دور الهيئة المكلفة بمعالجة طلبات التشاور؛</w:t>
      </w:r>
    </w:p>
    <w:p w14:paraId="542957B1" w14:textId="16934382" w:rsidR="00D30698" w:rsidRPr="00832D9E" w:rsidRDefault="00D30698" w:rsidP="00D30698">
      <w:pPr>
        <w:pStyle w:val="SingleTxtGA"/>
        <w:rPr>
          <w:szCs w:val="20"/>
          <w:lang w:val="ar-SA" w:eastAsia="zh-TW" w:bidi="en-GB"/>
        </w:rPr>
      </w:pPr>
      <w:r>
        <w:rPr>
          <w:rtl/>
        </w:rPr>
        <w:tab/>
        <w:t>(ج)</w:t>
      </w:r>
      <w:r>
        <w:rPr>
          <w:rtl/>
        </w:rPr>
        <w:tab/>
        <w:t xml:space="preserve">من المقرّر تنفيذ الخطة الوطنية لاسترداد مناطق السكان الأصليين على ثلاث مراحل، مع محاولة تنفيذ مرحلة كل سنتين. ويجري </w:t>
      </w:r>
      <w:r w:rsidR="00EF3693">
        <w:rPr>
          <w:rtl/>
        </w:rPr>
        <w:t>حالياً</w:t>
      </w:r>
      <w:r>
        <w:rPr>
          <w:rtl/>
        </w:rPr>
        <w:t xml:space="preserve"> تنفيذ المرحلة الأولى التي تتمثل في التدخل في تسعة أقاليم. وأبلغت الدولة الطرف عن الأنشطة المضطلع بها في هذه الأقاليم؛ </w:t>
      </w:r>
    </w:p>
    <w:p w14:paraId="51160B06" w14:textId="7400C7D2" w:rsidR="00D30698" w:rsidRPr="00832D9E" w:rsidRDefault="00D30698" w:rsidP="00D30698">
      <w:pPr>
        <w:pStyle w:val="SingleTxtGA"/>
        <w:rPr>
          <w:szCs w:val="20"/>
          <w:lang w:val="ar-SA" w:eastAsia="zh-TW" w:bidi="en-GB"/>
        </w:rPr>
      </w:pPr>
      <w:r>
        <w:rPr>
          <w:rtl/>
        </w:rPr>
        <w:tab/>
      </w:r>
      <w:r>
        <w:rPr>
          <w:rtl/>
        </w:rPr>
        <w:t>(د)</w:t>
      </w:r>
      <w:r>
        <w:rPr>
          <w:rFonts w:cs="Times New Roman" w:hint="cs"/>
          <w:szCs w:val="20"/>
          <w:rtl/>
        </w:rPr>
        <w:t>‬</w:t>
      </w:r>
      <w:r>
        <w:rPr>
          <w:rtl/>
        </w:rPr>
        <w:tab/>
        <w:t xml:space="preserve">لم تقدم معلومات. </w:t>
      </w:r>
    </w:p>
    <w:p w14:paraId="55B1CA55" w14:textId="77777777" w:rsidR="00D30698" w:rsidRPr="00832D9E" w:rsidRDefault="00D30698" w:rsidP="00D30698">
      <w:pPr>
        <w:pStyle w:val="H23GA"/>
        <w:rPr>
          <w:szCs w:val="20"/>
          <w:lang w:val="ar-SA" w:eastAsia="zh-TW" w:bidi="en-GB"/>
        </w:rPr>
      </w:pPr>
      <w:r>
        <w:rPr>
          <w:rtl/>
        </w:rPr>
        <w:tab/>
      </w:r>
      <w:r>
        <w:rPr>
          <w:rtl/>
        </w:rPr>
        <w:tab/>
        <w:t>معلومات مقدمة من المنظمة غير الحكومية "آرايغو" ومركز البحوث في مجال الثقافة والتنمية التابع لجامعة الدولة عن بعد والمنظمة غير الحكومية كوستاريكا إنديخينا</w:t>
      </w:r>
    </w:p>
    <w:p w14:paraId="20AC00F6" w14:textId="6E66DFA7" w:rsidR="00D30698" w:rsidRPr="00163276" w:rsidRDefault="00D30698" w:rsidP="00D30698">
      <w:pPr>
        <w:pStyle w:val="SingleTxtGA"/>
        <w:rPr>
          <w:szCs w:val="20"/>
          <w:lang w:val="ar-SA" w:eastAsia="zh-TW" w:bidi="en-GB"/>
        </w:rPr>
      </w:pPr>
      <w:r>
        <w:rPr>
          <w:rtl/>
        </w:rPr>
        <w:tab/>
        <w:t>(أ)</w:t>
      </w:r>
      <w:r>
        <w:rPr>
          <w:rtl/>
        </w:rPr>
        <w:tab/>
        <w:t>على الرغم من الموافقة على الآلية العامة للتشاور مع السكان الأصليين في عام</w:t>
      </w:r>
      <w:r w:rsidR="008F39F0">
        <w:rPr>
          <w:rFonts w:hint="cs"/>
          <w:rtl/>
        </w:rPr>
        <w:t> </w:t>
      </w:r>
      <w:r w:rsidRPr="008F39F0">
        <w:rPr>
          <w:szCs w:val="20"/>
          <w:rtl/>
        </w:rPr>
        <w:t>2018</w:t>
      </w:r>
      <w:r>
        <w:rPr>
          <w:rtl/>
        </w:rPr>
        <w:t xml:space="preserve">، فهي ليست ملزمة سوى للإدارة العامة المركزية، أي وزارات السلطة التنفيذية. وهي ليست معياراً قانونياً ملزماً للمؤسسات المستقلة أو السلطات أو القضاء أو غيرها من مؤسسات الدولة الطرف، ناهيك عن كيانات القطاع الخاص، مثل الشركات والمؤسسات. وهكذا، لا بد من سنّ قانون ملزم لجهاز الإدارة العامة برمته، وكذلك للمبادرات الخاصة. </w:t>
      </w:r>
    </w:p>
    <w:p w14:paraId="01ADAE4B" w14:textId="2A812A8C" w:rsidR="00D30698" w:rsidRPr="00163276" w:rsidRDefault="00D30698" w:rsidP="00D30698">
      <w:pPr>
        <w:pStyle w:val="SingleTxtGA"/>
        <w:rPr>
          <w:szCs w:val="20"/>
          <w:lang w:val="ar-SA" w:eastAsia="zh-TW" w:bidi="en-GB"/>
        </w:rPr>
      </w:pPr>
      <w:r>
        <w:rPr>
          <w:rtl/>
        </w:rPr>
        <w:tab/>
        <w:t xml:space="preserve">ولا يوجد </w:t>
      </w:r>
      <w:r w:rsidR="00EF3693">
        <w:rPr>
          <w:rtl/>
        </w:rPr>
        <w:t>حالياً</w:t>
      </w:r>
      <w:r>
        <w:rPr>
          <w:rtl/>
        </w:rPr>
        <w:t xml:space="preserve"> أي مشروع قانون ينظم بشكل كاف الحيازة غير المأمونة للأراضي والحكم الذاتي لمختلف أقاليم السكان الأصليين. وحفظت الجمعية التشريعية في </w:t>
      </w:r>
      <w:r w:rsidRPr="008F39F0">
        <w:rPr>
          <w:szCs w:val="20"/>
          <w:rtl/>
        </w:rPr>
        <w:t>30</w:t>
      </w:r>
      <w:r>
        <w:rPr>
          <w:rtl/>
        </w:rPr>
        <w:t xml:space="preserve"> تشرين الأول/أكتوبر </w:t>
      </w:r>
      <w:r w:rsidRPr="008F39F0">
        <w:rPr>
          <w:szCs w:val="20"/>
          <w:rtl/>
        </w:rPr>
        <w:t>2018</w:t>
      </w:r>
      <w:r>
        <w:rPr>
          <w:rtl/>
        </w:rPr>
        <w:t xml:space="preserve"> مشروع قانون التنمية المستقلة للسكان الأصليين، أي مشروع القانون رقم </w:t>
      </w:r>
      <w:r w:rsidRPr="008F39F0">
        <w:rPr>
          <w:szCs w:val="20"/>
          <w:rtl/>
        </w:rPr>
        <w:t>14352</w:t>
      </w:r>
      <w:r>
        <w:rPr>
          <w:rtl/>
        </w:rPr>
        <w:t xml:space="preserve">، بعد دراسته لمدة </w:t>
      </w:r>
      <w:r w:rsidRPr="008F39F0">
        <w:rPr>
          <w:szCs w:val="20"/>
          <w:rtl/>
        </w:rPr>
        <w:t>24</w:t>
      </w:r>
      <w:r>
        <w:rPr>
          <w:rtl/>
        </w:rPr>
        <w:t xml:space="preserve"> عاماً وبعد إجراء مشاورات مستفيضة مع ممثلي السكان الأصليين؛</w:t>
      </w:r>
    </w:p>
    <w:p w14:paraId="7F042D50" w14:textId="77777777" w:rsidR="00D30698" w:rsidRPr="00163276" w:rsidRDefault="00D30698" w:rsidP="00D30698">
      <w:pPr>
        <w:pStyle w:val="SingleTxtGA"/>
        <w:rPr>
          <w:szCs w:val="20"/>
          <w:lang w:val="ar-SA" w:eastAsia="zh-TW" w:bidi="en-GB"/>
        </w:rPr>
      </w:pPr>
      <w:r>
        <w:rPr>
          <w:rtl/>
        </w:rPr>
        <w:lastRenderedPageBreak/>
        <w:tab/>
        <w:t>(ب)</w:t>
      </w:r>
      <w:r>
        <w:rPr>
          <w:rtl/>
        </w:rPr>
        <w:tab/>
        <w:t>يطلب من الدولة الطرف مواصلة عملية تشغيل آلية التشاور التي لا يُعرف حالة تقدّمها في الوقت الراهن؛</w:t>
      </w:r>
    </w:p>
    <w:p w14:paraId="5E4B4D80" w14:textId="77777777" w:rsidR="00D30698" w:rsidRPr="00163276" w:rsidRDefault="00D30698" w:rsidP="00D30698">
      <w:pPr>
        <w:pStyle w:val="SingleTxtGA"/>
        <w:rPr>
          <w:szCs w:val="20"/>
          <w:lang w:val="ar-SA" w:eastAsia="zh-TW" w:bidi="en-GB"/>
        </w:rPr>
      </w:pPr>
      <w:r>
        <w:rPr>
          <w:rtl/>
        </w:rPr>
        <w:tab/>
        <w:t>(ج)</w:t>
      </w:r>
      <w:r>
        <w:rPr>
          <w:rtl/>
        </w:rPr>
        <w:tab/>
        <w:t xml:space="preserve">تتواصل عمليات الاحتلال غير القانوني من جانب السكان غير الأصليين. وتُنفّذ الدولة الطرف خطة استرداد الأراضي منذ عام </w:t>
      </w:r>
      <w:r w:rsidRPr="008F39F0">
        <w:rPr>
          <w:szCs w:val="20"/>
          <w:rtl/>
        </w:rPr>
        <w:t>2015</w:t>
      </w:r>
      <w:r>
        <w:rPr>
          <w:rFonts w:ascii="Traditional Arabic"/>
          <w:szCs w:val="20"/>
          <w:rtl/>
        </w:rPr>
        <w:t>.</w:t>
      </w:r>
      <w:r>
        <w:rPr>
          <w:rtl/>
        </w:rPr>
        <w:t xml:space="preserve"> وحتى الساعة، خُصّصت هذه المبادرة لجمع المعلومات عن مالكي الأراضي في مختلف أقاليم السكان الأصليين، دون عرض نتائجها على مجتمعات الشعوب الأصلية أو عموم الناس، ودون مباشرة عمليات إخلاء أو إجراءات قضائية لاسترداد الأراضي. والوضع في تفاقم</w:t>
      </w:r>
      <w:r>
        <w:rPr>
          <w:rtl/>
          <w:lang w:val="fr-CH"/>
        </w:rPr>
        <w:t>، لأنه لا تُعلم</w:t>
      </w:r>
      <w:r>
        <w:rPr>
          <w:rtl/>
        </w:rPr>
        <w:t xml:space="preserve"> حتى الآن الميزانية المخصّصة لتعويض مالكي الأراضي </w:t>
      </w:r>
      <w:r w:rsidRPr="008C35C6">
        <w:rPr>
          <w:rtl/>
        </w:rPr>
        <w:t>-</w:t>
      </w:r>
      <w:r>
        <w:rPr>
          <w:rtl/>
        </w:rPr>
        <w:t xml:space="preserve"> القليلين </w:t>
      </w:r>
      <w:r w:rsidRPr="008C35C6">
        <w:rPr>
          <w:rtl/>
        </w:rPr>
        <w:t>-</w:t>
      </w:r>
      <w:r>
        <w:rPr>
          <w:rtl/>
        </w:rPr>
        <w:t xml:space="preserve"> من غير السكان الأصليين ذوي النية الحسنة؛ </w:t>
      </w:r>
    </w:p>
    <w:p w14:paraId="09E90696" w14:textId="77777777" w:rsidR="00D30698" w:rsidRPr="00163276" w:rsidRDefault="00D30698" w:rsidP="00D30698">
      <w:pPr>
        <w:pStyle w:val="SingleTxtGA"/>
        <w:rPr>
          <w:szCs w:val="20"/>
          <w:lang w:val="ar-SA" w:eastAsia="zh-TW" w:bidi="en-GB"/>
        </w:rPr>
      </w:pPr>
      <w:r>
        <w:rPr>
          <w:rtl/>
        </w:rPr>
        <w:tab/>
        <w:t>(د)</w:t>
      </w:r>
      <w:r>
        <w:rPr>
          <w:rtl/>
        </w:rPr>
        <w:tab/>
        <w:t xml:space="preserve">لا توجد آلية قانونية تضمن عدم خضوع جزء من الأراضي المستردةّ لإعادة احتلال غير قانوني من قبل السكان غير الأصليين. وتتواصل عملية الاعتداء على السكان الأصليين في إطار عمليات استرداد الأراضي، مع تزايد خطورتها. </w:t>
      </w:r>
    </w:p>
    <w:p w14:paraId="4BAE6F39" w14:textId="77777777" w:rsidR="00D30698" w:rsidRPr="00832D9E" w:rsidRDefault="00D30698" w:rsidP="00D30698">
      <w:pPr>
        <w:pStyle w:val="H23GA"/>
        <w:rPr>
          <w:szCs w:val="20"/>
          <w:lang w:val="ar-SA" w:eastAsia="zh-TW" w:bidi="en-GB"/>
        </w:rPr>
      </w:pPr>
      <w:r>
        <w:rPr>
          <w:rtl/>
        </w:rPr>
        <w:tab/>
      </w:r>
      <w:r>
        <w:rPr>
          <w:rtl/>
        </w:rPr>
        <w:tab/>
        <w:t>تقييم اللجنة</w:t>
      </w:r>
      <w:r w:rsidRPr="00926726">
        <w:rPr>
          <w:rtl/>
        </w:rPr>
        <w:t>:</w:t>
      </w:r>
    </w:p>
    <w:p w14:paraId="7DEDC986" w14:textId="77777777" w:rsidR="00D30698" w:rsidRPr="00163276" w:rsidRDefault="00D30698" w:rsidP="00D30698">
      <w:pPr>
        <w:pStyle w:val="SingleTxtGA"/>
        <w:rPr>
          <w:szCs w:val="20"/>
          <w:lang w:val="ar-SA" w:eastAsia="zh-TW" w:bidi="en-GB"/>
        </w:rPr>
      </w:pPr>
      <w:r w:rsidRPr="008F39F0">
        <w:rPr>
          <w:b/>
          <w:bCs/>
          <w:rtl/>
        </w:rPr>
        <w:t>[باء]</w:t>
      </w:r>
      <w:r w:rsidRPr="008F39F0">
        <w:rPr>
          <w:b/>
          <w:bCs/>
          <w:rtl/>
        </w:rPr>
        <w:t>:</w:t>
      </w:r>
      <w:r>
        <w:rPr>
          <w:rtl/>
        </w:rPr>
        <w:t xml:space="preserve"> (أ) و(ب)</w:t>
      </w:r>
      <w:r w:rsidRPr="00926726">
        <w:rPr>
          <w:rtl/>
        </w:rPr>
        <w:t>:</w:t>
      </w:r>
      <w:r>
        <w:rPr>
          <w:rtl/>
        </w:rPr>
        <w:t xml:space="preserve"> تحيط اللجنة علماً باعتماد المرسوم رقم </w:t>
      </w:r>
      <w:r w:rsidRPr="008F39F0">
        <w:rPr>
          <w:szCs w:val="20"/>
          <w:rtl/>
        </w:rPr>
        <w:t>40932</w:t>
      </w:r>
      <w:r>
        <w:rPr>
          <w:rtl/>
        </w:rPr>
        <w:t xml:space="preserve"> لعام </w:t>
      </w:r>
      <w:r w:rsidRPr="008F39F0">
        <w:rPr>
          <w:szCs w:val="20"/>
          <w:rtl/>
        </w:rPr>
        <w:t>2018</w:t>
      </w:r>
      <w:r>
        <w:rPr>
          <w:rtl/>
        </w:rPr>
        <w:t xml:space="preserve"> الذي ينص على إنشاء آلية عامة للتشاور مع الشعوب الأصلية. غير أنها تطلب إلى الدولة الطرف أن توضح ما إذا كانت هذه الآلية ملزمة أم لا لجميع مؤسسات الدولة والمبادرات الخاصة. وتطلب أيضاً معلومات عن حفظ مشروع قانون التنمية المستقلة للسكان الأصليين (مشروع القانون رقم </w:t>
      </w:r>
      <w:r w:rsidRPr="008F39F0">
        <w:rPr>
          <w:szCs w:val="20"/>
          <w:rtl/>
        </w:rPr>
        <w:t>14352</w:t>
      </w:r>
      <w:r w:rsidRPr="00530375">
        <w:rPr>
          <w:rtl/>
        </w:rPr>
        <w:t>)</w:t>
      </w:r>
      <w:r>
        <w:rPr>
          <w:rtl/>
        </w:rPr>
        <w:t xml:space="preserve"> وعن مدى وجود مبادرات قانونية مماثلة.</w:t>
      </w:r>
    </w:p>
    <w:p w14:paraId="2659287F" w14:textId="77777777" w:rsidR="00D30698" w:rsidRPr="00832D9E" w:rsidRDefault="00D30698" w:rsidP="00D30698">
      <w:pPr>
        <w:pStyle w:val="SingleTxtGA"/>
        <w:rPr>
          <w:szCs w:val="20"/>
          <w:lang w:val="ar-SA" w:eastAsia="zh-TW" w:bidi="en-GB"/>
        </w:rPr>
      </w:pPr>
      <w:r>
        <w:rPr>
          <w:rtl/>
        </w:rPr>
        <w:tab/>
        <w:t xml:space="preserve">وتحيط اللجنة علماً بمنح وزارة العدل والسلام صلاحية إجراء المشاورات. وتطلب اللجنة معلومات إضافية عن التدابير المتخذة بشأن طلبات التشاور و/أو المشاورات المضطلع بها بموجب المرسوم رقم </w:t>
      </w:r>
      <w:r w:rsidRPr="008F39F0">
        <w:rPr>
          <w:szCs w:val="20"/>
          <w:rtl/>
        </w:rPr>
        <w:t>40932</w:t>
      </w:r>
      <w:r>
        <w:rPr>
          <w:rtl/>
        </w:rPr>
        <w:t xml:space="preserve"> لعام </w:t>
      </w:r>
      <w:r w:rsidRPr="008F39F0">
        <w:rPr>
          <w:szCs w:val="20"/>
          <w:rtl/>
        </w:rPr>
        <w:t>2018</w:t>
      </w:r>
      <w:r>
        <w:rPr>
          <w:rFonts w:ascii="Traditional Arabic"/>
          <w:szCs w:val="20"/>
          <w:rtl/>
        </w:rPr>
        <w:t>.</w:t>
      </w:r>
      <w:r>
        <w:rPr>
          <w:rtl/>
        </w:rPr>
        <w:t xml:space="preserve"> </w:t>
      </w:r>
    </w:p>
    <w:p w14:paraId="45734BB4" w14:textId="77777777" w:rsidR="00D30698" w:rsidRPr="00163276" w:rsidRDefault="00D30698" w:rsidP="00D30698">
      <w:pPr>
        <w:pStyle w:val="SingleTxtGA"/>
        <w:rPr>
          <w:szCs w:val="20"/>
          <w:lang w:val="ar-SA" w:eastAsia="zh-TW" w:bidi="en-GB"/>
        </w:rPr>
      </w:pPr>
      <w:r w:rsidRPr="008F39F0">
        <w:rPr>
          <w:b/>
          <w:bCs/>
          <w:rtl/>
        </w:rPr>
        <w:t>[جيم]</w:t>
      </w:r>
      <w:r w:rsidRPr="008F39F0">
        <w:rPr>
          <w:b/>
          <w:bCs/>
          <w:rtl/>
        </w:rPr>
        <w:t>:</w:t>
      </w:r>
      <w:r>
        <w:rPr>
          <w:rtl/>
        </w:rPr>
        <w:t xml:space="preserve"> (ج) و(د)</w:t>
      </w:r>
      <w:r w:rsidRPr="00926726">
        <w:rPr>
          <w:rtl/>
        </w:rPr>
        <w:t>:</w:t>
      </w:r>
      <w:r>
        <w:rPr>
          <w:rtl/>
        </w:rPr>
        <w:t xml:space="preserve"> تحيط اللجنة علماً بالمعلومات التي قدّمتها الدولة الطرف بشأن الخطة الوطنية لاسترداد أقاليم السكان الأصليين. غير أنها تطلب معلومات عن آجال تنفيذها وعن التدابير المتخذة لأن تضمن في الواقع العملي حق الشعوب الأصلية في الأراضي والأقاليم التي اعتادت على امتلاكها أو شغلها، بوسائل منها الاعتراف القانوني والحماية القانونية اللازمة. وتطلب اللجنة أيضاً تعليقات عن المعلومات التي وردتها وتشير إلى تواصل عمليات الاحتلال غير القانوني من جانب أشخاص من غير السكان الأصليين. وتكرر اللجنة توصيتها بشأن ضرورة إتاحة ما يلزم من الوسائل القانونية ليتسنى للشعوب الأصلية استرداد الأراضي غير القابلة للتصرف الممنوحة لها سابقاً بموجب تشريعات وطنية، وتوفير الحماية الملائمة للشعوب الأصلية التي تعرضت لهجمات، بطرق منها سبل الانتصاف الفعالة. وتطلب اللجنة أيضاً التعليق على المعلومات الواردة بشأن الاعتداءات التي تعرض لها السكان الأصليون خلال عمليات استرداد الأراضي.</w:t>
      </w:r>
    </w:p>
    <w:p w14:paraId="732C21BD" w14:textId="77777777" w:rsidR="00D30698" w:rsidRDefault="00D30698" w:rsidP="00D30698">
      <w:pPr>
        <w:pStyle w:val="SingleTxtGA"/>
        <w:rPr>
          <w:szCs w:val="20"/>
          <w:lang w:val="ar-SA" w:eastAsia="zh-TW" w:bidi="en-GB"/>
        </w:rPr>
      </w:pPr>
      <w:r w:rsidRPr="00A4260B">
        <w:rPr>
          <w:b/>
          <w:bCs/>
          <w:rtl/>
        </w:rPr>
        <w:t>الإجراء الموصى به</w:t>
      </w:r>
      <w:r w:rsidRPr="00926726">
        <w:rPr>
          <w:rtl/>
        </w:rPr>
        <w:t>:</w:t>
      </w:r>
      <w:r>
        <w:rPr>
          <w:rtl/>
        </w:rPr>
        <w:t xml:space="preserve"> ينبغي توجيه رسالة إلى الدولة الطرف لإبلاغها بوقف إجراء المتابعة. وينبغي إدراج المعلومات المطلوبة في التقرير الدوري المقبل للدولة الطرف.</w:t>
      </w:r>
    </w:p>
    <w:p w14:paraId="7F173855" w14:textId="77777777" w:rsidR="00D30698" w:rsidRPr="00832D9E" w:rsidRDefault="00D30698" w:rsidP="00D30698">
      <w:pPr>
        <w:pStyle w:val="SingleTxtG"/>
        <w:suppressAutoHyphens/>
        <w:spacing w:before="240" w:after="0"/>
        <w:jc w:val="center"/>
        <w:rPr>
          <w:u w:val="single"/>
          <w:lang w:val="es-419"/>
        </w:rPr>
      </w:pPr>
      <w:r w:rsidRPr="00832D9E">
        <w:rPr>
          <w:u w:val="single"/>
          <w:lang w:val="es-419"/>
        </w:rPr>
        <w:tab/>
      </w:r>
      <w:r w:rsidRPr="00832D9E">
        <w:rPr>
          <w:u w:val="single"/>
          <w:lang w:val="es-419"/>
        </w:rPr>
        <w:tab/>
      </w:r>
      <w:r w:rsidRPr="00832D9E">
        <w:rPr>
          <w:u w:val="single"/>
          <w:lang w:val="es-419"/>
        </w:rPr>
        <w:tab/>
      </w:r>
    </w:p>
    <w:sectPr w:rsidR="00D30698" w:rsidRPr="00832D9E" w:rsidSect="00C5030F">
      <w:headerReference w:type="even" r:id="rId12"/>
      <w:headerReference w:type="default" r:id="rId13"/>
      <w:footerReference w:type="even" r:id="rId14"/>
      <w:footerReference w:type="default" r:id="rId15"/>
      <w:footerReference w:type="first" r:id="rId16"/>
      <w:endnotePr>
        <w:numFmt w:val="decimal"/>
      </w:endnotePr>
      <w:type w:val="continuous"/>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A02101" w14:textId="77777777" w:rsidR="009A3C46" w:rsidRPr="002901D9" w:rsidRDefault="009A3C46" w:rsidP="002901D9">
      <w:pPr>
        <w:spacing w:after="60" w:line="240" w:lineRule="auto"/>
        <w:rPr>
          <w:i/>
          <w:iCs/>
        </w:rPr>
      </w:pPr>
      <w:r>
        <w:rPr>
          <w:rFonts w:hint="cs"/>
          <w:i/>
          <w:iCs/>
          <w:rtl/>
        </w:rPr>
        <w:t>الحواشي</w:t>
      </w:r>
    </w:p>
  </w:endnote>
  <w:endnote w:type="continuationSeparator" w:id="0">
    <w:p w14:paraId="3EF5F04C" w14:textId="77777777" w:rsidR="009A3C46" w:rsidRDefault="009A3C46"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76C51C" w14:textId="77777777" w:rsidR="00C5030F" w:rsidRPr="00E529EB" w:rsidRDefault="00E529EB" w:rsidP="00E529EB">
    <w:pPr>
      <w:pStyle w:val="Footer"/>
      <w:tabs>
        <w:tab w:val="right" w:pos="9598"/>
      </w:tabs>
      <w:rPr>
        <w:sz w:val="17"/>
      </w:rPr>
    </w:pPr>
    <w:r>
      <w:rPr>
        <w:sz w:val="17"/>
      </w:rPr>
      <w:t>GE.20-11339</w:t>
    </w:r>
    <w:r>
      <w:rPr>
        <w:sz w:val="17"/>
      </w:rPr>
      <w:tab/>
    </w:r>
    <w:r w:rsidRPr="00E529EB">
      <w:rPr>
        <w:b/>
        <w:sz w:val="18"/>
      </w:rPr>
      <w:fldChar w:fldCharType="begin"/>
    </w:r>
    <w:r w:rsidRPr="00E529EB">
      <w:rPr>
        <w:b/>
        <w:sz w:val="18"/>
      </w:rPr>
      <w:instrText xml:space="preserve"> PAGE  \* MERGEFORMAT </w:instrText>
    </w:r>
    <w:r w:rsidRPr="00E529EB">
      <w:rPr>
        <w:b/>
        <w:sz w:val="18"/>
      </w:rPr>
      <w:fldChar w:fldCharType="separate"/>
    </w:r>
    <w:r>
      <w:rPr>
        <w:b/>
        <w:sz w:val="18"/>
      </w:rPr>
      <w:t>2</w:t>
    </w:r>
    <w:r w:rsidRPr="00E529EB">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85EC2B" w14:textId="77777777" w:rsidR="006959B0" w:rsidRPr="00E529EB" w:rsidRDefault="00E529EB" w:rsidP="006959B0">
    <w:pPr>
      <w:pStyle w:val="Footer"/>
      <w:tabs>
        <w:tab w:val="right" w:pos="9599"/>
      </w:tabs>
      <w:jc w:val="left"/>
      <w:rPr>
        <w:b/>
        <w:sz w:val="18"/>
        <w:lang w:val="en-US"/>
      </w:rPr>
    </w:pPr>
    <w:r w:rsidRPr="00E529EB">
      <w:rPr>
        <w:b/>
        <w:sz w:val="18"/>
        <w:lang w:val="en-US"/>
      </w:rPr>
      <w:fldChar w:fldCharType="begin"/>
    </w:r>
    <w:r w:rsidRPr="00E529EB">
      <w:rPr>
        <w:b/>
        <w:sz w:val="18"/>
        <w:lang w:val="en-US"/>
      </w:rPr>
      <w:instrText xml:space="preserve"> PAGE  \* MERGEFORMAT </w:instrText>
    </w:r>
    <w:r w:rsidRPr="00E529EB">
      <w:rPr>
        <w:b/>
        <w:sz w:val="18"/>
        <w:lang w:val="en-US"/>
      </w:rPr>
      <w:fldChar w:fldCharType="separate"/>
    </w:r>
    <w:r w:rsidRPr="00E529EB">
      <w:rPr>
        <w:b/>
        <w:noProof/>
        <w:sz w:val="18"/>
        <w:lang w:val="en-US"/>
      </w:rPr>
      <w:t>3</w:t>
    </w:r>
    <w:r w:rsidRPr="00E529EB">
      <w:rPr>
        <w:b/>
        <w:sz w:val="18"/>
        <w:lang w:val="en-US"/>
      </w:rPr>
      <w:fldChar w:fldCharType="end"/>
    </w:r>
    <w:r>
      <w:rPr>
        <w:b/>
        <w:sz w:val="18"/>
        <w:lang w:val="en-US"/>
      </w:rPr>
      <w:tab/>
    </w:r>
    <w:r>
      <w:rPr>
        <w:sz w:val="17"/>
        <w:lang w:val="en-US"/>
      </w:rPr>
      <w:t>GE.20-11339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B2BCDB" w14:textId="4B6FA3FD" w:rsidR="00DE50B1" w:rsidRDefault="00C5030F" w:rsidP="00982139">
    <w:pPr>
      <w:pStyle w:val="Footer"/>
      <w:spacing w:before="360"/>
      <w:jc w:val="right"/>
      <w:rPr>
        <w:sz w:val="20"/>
        <w:szCs w:val="20"/>
      </w:rPr>
    </w:pPr>
    <w:r>
      <w:rPr>
        <w:sz w:val="20"/>
        <w:szCs w:val="20"/>
      </w:rPr>
      <w:t>GE.20-11339</w:t>
    </w:r>
    <w:r w:rsidR="006F3581">
      <w:rPr>
        <w:noProof/>
      </w:rPr>
      <w:drawing>
        <wp:anchor distT="0" distB="0" distL="114300" distR="114300" simplePos="0" relativeHeight="251657728" behindDoc="1" locked="1" layoutInCell="0" allowOverlap="1" wp14:anchorId="09E2BE59" wp14:editId="7417ADB3">
          <wp:simplePos x="0" y="0"/>
          <wp:positionH relativeFrom="margin">
            <wp:posOffset>706755</wp:posOffset>
          </wp:positionH>
          <wp:positionV relativeFrom="page">
            <wp:posOffset>9901555</wp:posOffset>
          </wp:positionV>
          <wp:extent cx="1162685" cy="323850"/>
          <wp:effectExtent l="0" t="0" r="0" b="0"/>
          <wp:wrapTight wrapText="bothSides">
            <wp:wrapPolygon edited="0">
              <wp:start x="0" y="0"/>
              <wp:lineTo x="0" y="20329"/>
              <wp:lineTo x="21234" y="20329"/>
              <wp:lineTo x="21234" y="0"/>
              <wp:lineTo x="0" y="0"/>
            </wp:wrapPolygon>
          </wp:wrapTight>
          <wp:docPr id="1"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leaseRecycleArabic"/>
                  <pic:cNvPicPr>
                    <a:picLocks noChangeAspect="1" noChangeArrowheads="1"/>
                  </pic:cNvPicPr>
                </pic:nvPicPr>
                <pic:blipFill>
                  <a:blip r:embed="rId1">
                    <a:extLst>
                      <a:ext uri="{28A0092B-C50C-407E-A947-70E740481C1C}">
                        <a14:useLocalDpi xmlns:a14="http://schemas.microsoft.com/office/drawing/2010/main" val="0"/>
                      </a:ext>
                    </a:extLst>
                  </a:blip>
                  <a:srcRect t="4565" b="4565"/>
                  <a:stretch>
                    <a:fillRect/>
                  </a:stretch>
                </pic:blipFill>
                <pic:spPr bwMode="auto">
                  <a:xfrm>
                    <a:off x="0" y="0"/>
                    <a:ext cx="1162685" cy="323850"/>
                  </a:xfrm>
                  <a:prstGeom prst="rect">
                    <a:avLst/>
                  </a:prstGeom>
                  <a:noFill/>
                </pic:spPr>
              </pic:pic>
            </a:graphicData>
          </a:graphic>
          <wp14:sizeRelH relativeFrom="page">
            <wp14:pctWidth>0</wp14:pctWidth>
          </wp14:sizeRelH>
          <wp14:sizeRelV relativeFrom="page">
            <wp14:pctHeight>0</wp14:pctHeight>
          </wp14:sizeRelV>
        </wp:anchor>
      </w:drawing>
    </w:r>
    <w:r w:rsidR="00DE50B1" w:rsidRPr="007A0286">
      <w:rPr>
        <w:sz w:val="20"/>
        <w:szCs w:val="20"/>
      </w:rPr>
      <w:t>(A)</w:t>
    </w:r>
  </w:p>
  <w:p w14:paraId="6D03D90D" w14:textId="411D7C96" w:rsidR="00C5030F" w:rsidRPr="00C5030F" w:rsidRDefault="00C5030F" w:rsidP="00C5030F">
    <w:pPr>
      <w:pStyle w:val="Footer"/>
      <w:jc w:val="right"/>
      <w:rPr>
        <w:rFonts w:ascii="C39T30Lfz" w:hAnsi="C39T30Lfz"/>
        <w:sz w:val="56"/>
        <w:szCs w:val="20"/>
      </w:rPr>
    </w:pPr>
    <w:r>
      <w:rPr>
        <w:rFonts w:ascii="C39T30Lfz" w:hAnsi="C39T30Lfz"/>
        <w:sz w:val="56"/>
        <w:szCs w:val="20"/>
      </w:rPr>
      <w:t>*2011339*</w:t>
    </w:r>
    <w:r w:rsidR="006F3581">
      <w:rPr>
        <w:noProof/>
      </w:rPr>
      <w:drawing>
        <wp:anchor distT="0" distB="0" distL="114300" distR="114300" simplePos="0" relativeHeight="251659776" behindDoc="0" locked="0" layoutInCell="1" allowOverlap="1" wp14:anchorId="5AAD046B" wp14:editId="741768D4">
          <wp:simplePos x="0" y="0"/>
          <wp:positionH relativeFrom="page">
            <wp:posOffset>719455</wp:posOffset>
          </wp:positionH>
          <wp:positionV relativeFrom="page">
            <wp:posOffset>9611995</wp:posOffset>
          </wp:positionV>
          <wp:extent cx="563245" cy="56324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3245" cy="56324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3D7739" w14:textId="07A63793" w:rsidR="009A3C46" w:rsidRPr="00502188" w:rsidRDefault="009A3C46" w:rsidP="00502188">
      <w:pPr>
        <w:pStyle w:val="Footer"/>
        <w:bidi/>
        <w:spacing w:after="80" w:line="200" w:lineRule="exact"/>
        <w:ind w:left="680"/>
      </w:pPr>
      <w:r>
        <w:rPr>
          <w:rtl/>
        </w:rPr>
        <w:t>__________</w:t>
      </w:r>
    </w:p>
  </w:footnote>
  <w:footnote w:type="continuationSeparator" w:id="0">
    <w:p w14:paraId="7FF747EA" w14:textId="77777777" w:rsidR="009A3C46" w:rsidRDefault="009A3C46" w:rsidP="00656392">
      <w:pPr>
        <w:spacing w:line="240" w:lineRule="auto"/>
      </w:pPr>
      <w:r>
        <w:continuationSeparator/>
      </w:r>
    </w:p>
  </w:footnote>
  <w:footnote w:id="1">
    <w:p w14:paraId="6F054D33" w14:textId="2630A141" w:rsidR="00926726" w:rsidRPr="00926726" w:rsidRDefault="00926726" w:rsidP="00F62D07">
      <w:pPr>
        <w:pStyle w:val="FootnoteText1"/>
        <w:rPr>
          <w:rFonts w:hint="cs"/>
        </w:rPr>
      </w:pPr>
      <w:r>
        <w:rPr>
          <w:rtl/>
        </w:rPr>
        <w:t>*</w:t>
      </w:r>
      <w:r>
        <w:rPr>
          <w:rtl/>
        </w:rPr>
        <w:tab/>
      </w:r>
      <w:r w:rsidRPr="00926726">
        <w:rPr>
          <w:rtl/>
        </w:rPr>
        <w:t xml:space="preserve">كان من المقرر أن تُعتمد في الدورة </w:t>
      </w:r>
      <w:r w:rsidRPr="00F62D07">
        <w:rPr>
          <w:szCs w:val="18"/>
          <w:rtl/>
        </w:rPr>
        <w:t>128</w:t>
      </w:r>
      <w:r w:rsidRPr="00926726">
        <w:rPr>
          <w:rtl/>
        </w:rPr>
        <w:t xml:space="preserve"> للجنة، لكن أُجّل اعتمادها إلى الدورة </w:t>
      </w:r>
      <w:r w:rsidRPr="00F62D07">
        <w:rPr>
          <w:szCs w:val="18"/>
          <w:rtl/>
        </w:rPr>
        <w:t>129</w:t>
      </w:r>
      <w:r w:rsidRPr="00926726">
        <w:rPr>
          <w:rtl/>
        </w:rPr>
        <w:t xml:space="preserve"> (المعقودة في الفترة من </w:t>
      </w:r>
      <w:r w:rsidRPr="00F62D07">
        <w:rPr>
          <w:szCs w:val="18"/>
          <w:rtl/>
        </w:rPr>
        <w:t>29</w:t>
      </w:r>
      <w:r w:rsidRPr="00926726">
        <w:rPr>
          <w:rtl/>
        </w:rPr>
        <w:t xml:space="preserve"> حزيران/يونيه إلى </w:t>
      </w:r>
      <w:r w:rsidRPr="00F62D07">
        <w:rPr>
          <w:szCs w:val="18"/>
          <w:rtl/>
        </w:rPr>
        <w:t>24</w:t>
      </w:r>
      <w:r w:rsidRPr="00926726">
        <w:rPr>
          <w:rtl/>
        </w:rPr>
        <w:t xml:space="preserve"> تموز/يوليه </w:t>
      </w:r>
      <w:r w:rsidRPr="00F62D07">
        <w:rPr>
          <w:szCs w:val="18"/>
          <w:rtl/>
        </w:rPr>
        <w:t>2020</w:t>
      </w:r>
      <w:r w:rsidRPr="00926726">
        <w:rPr>
          <w:rtl/>
        </w:rPr>
        <w:t>) بسبب جائحة كوفيد-</w:t>
      </w:r>
      <w:r w:rsidRPr="00F62D07">
        <w:rPr>
          <w:szCs w:val="18"/>
          <w:rtl/>
        </w:rPr>
        <w:t>19</w:t>
      </w:r>
      <w:r w:rsidRPr="00926726">
        <w:rPr>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B6DB2D" w14:textId="77777777" w:rsidR="00C5030F" w:rsidRPr="00E529EB" w:rsidRDefault="00E529EB" w:rsidP="00E529EB">
    <w:pPr>
      <w:pStyle w:val="Header"/>
      <w:jc w:val="right"/>
    </w:pPr>
    <w:r w:rsidRPr="00E529EB">
      <w:t>CCPR/C/128/3/Add.4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0127CA" w14:textId="77777777" w:rsidR="00C5030F" w:rsidRPr="00E529EB" w:rsidRDefault="00E529EB" w:rsidP="00E529EB">
    <w:pPr>
      <w:pStyle w:val="Header"/>
      <w:jc w:val="left"/>
    </w:pPr>
    <w:r w:rsidRPr="00E529EB">
      <w:t>CCPR/C/128/3/Add.4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2" w15:restartNumberingAfterBreak="0">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4"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15:restartNumberingAfterBreak="0">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2"/>
  </w:num>
  <w:num w:numId="6">
    <w:abstractNumId w:val="1"/>
  </w:num>
  <w:num w:numId="7">
    <w:abstractNumId w:val="6"/>
  </w:num>
  <w:num w:numId="8">
    <w:abstractNumId w:val="0"/>
  </w:num>
  <w:num w:numId="9">
    <w:abstractNumId w:val="3"/>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ttachedTemplate r:id="rId1"/>
  <w:defaultTabStop w:val="680"/>
  <w:evenAndOddHeaders/>
  <w:characterSpacingControl w:val="doNotCompress"/>
  <w:hdrShapeDefaults>
    <o:shapedefaults v:ext="edit" spidmax="2051"/>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allowHyphenationAtTrackBottom" w:uri="http://schemas.microsoft.com/office/word" w:val="1"/>
    <w:compatSetting w:name="useWord2013TrackBottomHyphenation" w:uri="http://schemas.microsoft.com/office/word" w:val="1"/>
  </w:compat>
  <w:rsids>
    <w:rsidRoot w:val="009A3C46"/>
    <w:rsid w:val="000076D5"/>
    <w:rsid w:val="00043663"/>
    <w:rsid w:val="000437B8"/>
    <w:rsid w:val="000505CF"/>
    <w:rsid w:val="00087494"/>
    <w:rsid w:val="000D701C"/>
    <w:rsid w:val="000E2A71"/>
    <w:rsid w:val="00160263"/>
    <w:rsid w:val="00181F96"/>
    <w:rsid w:val="001A1371"/>
    <w:rsid w:val="001B346A"/>
    <w:rsid w:val="001E1CAD"/>
    <w:rsid w:val="001E290D"/>
    <w:rsid w:val="00211675"/>
    <w:rsid w:val="002144FA"/>
    <w:rsid w:val="0023469A"/>
    <w:rsid w:val="00243C8A"/>
    <w:rsid w:val="00267A0E"/>
    <w:rsid w:val="002901D9"/>
    <w:rsid w:val="002976C2"/>
    <w:rsid w:val="003260FF"/>
    <w:rsid w:val="00343D95"/>
    <w:rsid w:val="00363A18"/>
    <w:rsid w:val="00374341"/>
    <w:rsid w:val="003D1062"/>
    <w:rsid w:val="003E65B8"/>
    <w:rsid w:val="00420D7B"/>
    <w:rsid w:val="00450B21"/>
    <w:rsid w:val="00453B63"/>
    <w:rsid w:val="00455780"/>
    <w:rsid w:val="0049521B"/>
    <w:rsid w:val="004B0A1C"/>
    <w:rsid w:val="004B554F"/>
    <w:rsid w:val="004D298E"/>
    <w:rsid w:val="004E2897"/>
    <w:rsid w:val="00502188"/>
    <w:rsid w:val="00517BC9"/>
    <w:rsid w:val="00530375"/>
    <w:rsid w:val="0054472E"/>
    <w:rsid w:val="005662A9"/>
    <w:rsid w:val="005827D4"/>
    <w:rsid w:val="0059622A"/>
    <w:rsid w:val="005B51C4"/>
    <w:rsid w:val="005C5878"/>
    <w:rsid w:val="005C7CEA"/>
    <w:rsid w:val="005D3C0B"/>
    <w:rsid w:val="005E5217"/>
    <w:rsid w:val="005F0FA4"/>
    <w:rsid w:val="005F30EE"/>
    <w:rsid w:val="0060473A"/>
    <w:rsid w:val="00656392"/>
    <w:rsid w:val="0068781D"/>
    <w:rsid w:val="006959B0"/>
    <w:rsid w:val="006B3E27"/>
    <w:rsid w:val="006B6507"/>
    <w:rsid w:val="006C104C"/>
    <w:rsid w:val="006F3581"/>
    <w:rsid w:val="00733704"/>
    <w:rsid w:val="0078071A"/>
    <w:rsid w:val="00787E1E"/>
    <w:rsid w:val="00852A9A"/>
    <w:rsid w:val="008C35C6"/>
    <w:rsid w:val="008F39F0"/>
    <w:rsid w:val="008F49E1"/>
    <w:rsid w:val="0090370F"/>
    <w:rsid w:val="00926726"/>
    <w:rsid w:val="009269D2"/>
    <w:rsid w:val="00942135"/>
    <w:rsid w:val="009521B0"/>
    <w:rsid w:val="00982139"/>
    <w:rsid w:val="00983998"/>
    <w:rsid w:val="009867A8"/>
    <w:rsid w:val="009A3C46"/>
    <w:rsid w:val="009A7E9F"/>
    <w:rsid w:val="009E5018"/>
    <w:rsid w:val="00A03700"/>
    <w:rsid w:val="00A12B37"/>
    <w:rsid w:val="00AB6758"/>
    <w:rsid w:val="00B13763"/>
    <w:rsid w:val="00B477A4"/>
    <w:rsid w:val="00B54045"/>
    <w:rsid w:val="00C438D7"/>
    <w:rsid w:val="00C5030F"/>
    <w:rsid w:val="00C62EAA"/>
    <w:rsid w:val="00C81B50"/>
    <w:rsid w:val="00CB6622"/>
    <w:rsid w:val="00CD1801"/>
    <w:rsid w:val="00CF65C6"/>
    <w:rsid w:val="00D10EF1"/>
    <w:rsid w:val="00D30698"/>
    <w:rsid w:val="00D42810"/>
    <w:rsid w:val="00D5085E"/>
    <w:rsid w:val="00D72F97"/>
    <w:rsid w:val="00D914A7"/>
    <w:rsid w:val="00DD13C3"/>
    <w:rsid w:val="00DD596E"/>
    <w:rsid w:val="00DD621E"/>
    <w:rsid w:val="00DE50B1"/>
    <w:rsid w:val="00DF0575"/>
    <w:rsid w:val="00E41327"/>
    <w:rsid w:val="00E529EB"/>
    <w:rsid w:val="00E70E04"/>
    <w:rsid w:val="00EC05A7"/>
    <w:rsid w:val="00EC4B6B"/>
    <w:rsid w:val="00ED7442"/>
    <w:rsid w:val="00EF1EE5"/>
    <w:rsid w:val="00EF3693"/>
    <w:rsid w:val="00EF5C43"/>
    <w:rsid w:val="00F62D07"/>
    <w:rsid w:val="00F763B4"/>
    <w:rsid w:val="00F900C3"/>
    <w:rsid w:val="00FC6EDD"/>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007E2559"/>
  <w15:docId w15:val="{4E7A7602-A06B-4E64-B588-81256A777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Arial"/>
        <w:lang w:val="en-US" w:eastAsia="zh-TW"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3E27"/>
    <w:pPr>
      <w:bidi/>
      <w:spacing w:line="240" w:lineRule="atLeast"/>
      <w:jc w:val="lowKashida"/>
    </w:pPr>
    <w:rPr>
      <w:rFonts w:ascii="Times New Roman" w:hAnsi="Times New Roman" w:cs="Traditional Arabic"/>
      <w:szCs w:val="30"/>
      <w:lang w:eastAsia="en-US"/>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Cambria" w:eastAsia="SimSun" w:hAnsi="Cambria" w:cs="Times New Roman"/>
      <w:b/>
      <w:bCs/>
      <w:color w:val="4F81BD"/>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Cambria" w:eastAsia="SimSun" w:hAnsi="Cambria" w:cs="Times New Roman"/>
      <w:b/>
      <w:bCs/>
      <w:color w:val="4F81BD"/>
    </w:rPr>
  </w:style>
  <w:style w:type="paragraph" w:styleId="Heading4">
    <w:name w:val="heading 4"/>
    <w:basedOn w:val="Normal"/>
    <w:next w:val="Normal"/>
    <w:link w:val="Heading4Char"/>
    <w:uiPriority w:val="9"/>
    <w:unhideWhenUsed/>
    <w:rsid w:val="00EC4B6B"/>
    <w:pPr>
      <w:keepNext/>
      <w:keepLines/>
      <w:spacing w:before="200"/>
      <w:outlineLvl w:val="3"/>
    </w:pPr>
    <w:rPr>
      <w:rFonts w:ascii="Cambria" w:eastAsia="SimSun" w:hAnsi="Cambria" w:cs="Times New Roman"/>
      <w:b/>
      <w:bCs/>
      <w:i/>
      <w:iCs/>
      <w:color w:val="4F81BD"/>
    </w:rPr>
  </w:style>
  <w:style w:type="paragraph" w:styleId="Heading5">
    <w:name w:val="heading 5"/>
    <w:basedOn w:val="Normal"/>
    <w:next w:val="Normal"/>
    <w:link w:val="Heading5Char"/>
    <w:uiPriority w:val="9"/>
    <w:unhideWhenUsed/>
    <w:rsid w:val="00EC4B6B"/>
    <w:pPr>
      <w:keepNext/>
      <w:keepLines/>
      <w:spacing w:before="200"/>
      <w:outlineLvl w:val="4"/>
    </w:pPr>
    <w:rPr>
      <w:rFonts w:ascii="Cambria" w:eastAsia="SimSun" w:hAnsi="Cambria" w:cs="Times New Roman"/>
      <w:color w:val="243F60"/>
    </w:rPr>
  </w:style>
  <w:style w:type="paragraph" w:styleId="Heading6">
    <w:name w:val="heading 6"/>
    <w:basedOn w:val="Normal"/>
    <w:next w:val="Normal"/>
    <w:link w:val="Heading6Char"/>
    <w:uiPriority w:val="9"/>
    <w:unhideWhenUsed/>
    <w:rsid w:val="00EC4B6B"/>
    <w:pPr>
      <w:keepNext/>
      <w:keepLines/>
      <w:spacing w:before="200"/>
      <w:outlineLvl w:val="5"/>
    </w:pPr>
    <w:rPr>
      <w:rFonts w:ascii="Cambria" w:eastAsia="SimSun" w:hAnsi="Cambria" w:cs="Times New Roman"/>
      <w:i/>
      <w:iCs/>
      <w:color w:val="243F60"/>
    </w:rPr>
  </w:style>
  <w:style w:type="paragraph" w:styleId="Heading7">
    <w:name w:val="heading 7"/>
    <w:basedOn w:val="Normal"/>
    <w:next w:val="Normal"/>
    <w:link w:val="Heading7Char"/>
    <w:uiPriority w:val="9"/>
    <w:unhideWhenUsed/>
    <w:rsid w:val="00EC4B6B"/>
    <w:pPr>
      <w:keepNext/>
      <w:keepLines/>
      <w:spacing w:before="200"/>
      <w:outlineLvl w:val="6"/>
    </w:pPr>
    <w:rPr>
      <w:rFonts w:ascii="Cambria" w:eastAsia="SimSun" w:hAnsi="Cambria" w:cs="Times New Roman"/>
      <w:i/>
      <w:iCs/>
      <w:color w:val="404040"/>
    </w:rPr>
  </w:style>
  <w:style w:type="paragraph" w:styleId="Heading8">
    <w:name w:val="heading 8"/>
    <w:basedOn w:val="Normal"/>
    <w:next w:val="Normal"/>
    <w:link w:val="Heading8Char"/>
    <w:uiPriority w:val="9"/>
    <w:unhideWhenUsed/>
    <w:rsid w:val="00EC4B6B"/>
    <w:pPr>
      <w:keepNext/>
      <w:keepLines/>
      <w:spacing w:before="200"/>
      <w:outlineLvl w:val="7"/>
    </w:pPr>
    <w:rPr>
      <w:rFonts w:ascii="Cambria" w:eastAsia="SimSun" w:hAnsi="Cambria" w:cs="Times New Roman"/>
      <w:color w:val="404040"/>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Cambria" w:eastAsia="SimSun" w:hAnsi="Cambria" w:cs="Times New Roman"/>
      <w:i/>
      <w:iCs/>
      <w:color w:val="40404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
    <w:basedOn w:val="Normal"/>
    <w:link w:val="FootnoteTextChar"/>
    <w:unhideWhenUsed/>
    <w:qFormat/>
    <w:rsid w:val="001A1371"/>
    <w:pPr>
      <w:spacing w:line="240" w:lineRule="auto"/>
    </w:pPr>
    <w:rPr>
      <w:szCs w:val="20"/>
    </w:rPr>
  </w:style>
  <w:style w:type="character" w:customStyle="1" w:styleId="FootnoteTextChar">
    <w:name w:val="Footnote Text Char"/>
    <w:aliases w:val="5_G Char"/>
    <w:link w:val="FootnoteText"/>
    <w:rsid w:val="001A1371"/>
    <w:rPr>
      <w:sz w:val="20"/>
      <w:szCs w:val="20"/>
    </w:rPr>
  </w:style>
  <w:style w:type="character" w:styleId="FootnoteReference">
    <w:name w:val="footnote reference"/>
    <w:aliases w:val="4_GA,4_G"/>
    <w:link w:val="BVIfnrCharChar"/>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8F39F0"/>
    <w:pPr>
      <w:keepNext/>
      <w:keepLines/>
      <w:tabs>
        <w:tab w:val="right" w:pos="1021"/>
      </w:tabs>
      <w:spacing w:before="240" w:after="120" w:line="380" w:lineRule="exact"/>
      <w:ind w:left="1247" w:right="1247" w:hanging="1247"/>
    </w:pPr>
    <w:rPr>
      <w:b/>
      <w:bCs/>
      <w:lang w:eastAsia="ar-SA"/>
    </w:rPr>
  </w:style>
  <w:style w:type="paragraph" w:customStyle="1" w:styleId="H4GA">
    <w:name w:val="_ H_4_GA"/>
    <w:basedOn w:val="Normal"/>
    <w:next w:val="Normal"/>
    <w:qFormat/>
    <w:rsid w:val="00363A18"/>
    <w:pPr>
      <w:keepNext/>
      <w:keepLines/>
      <w:tabs>
        <w:tab w:val="right" w:pos="1021"/>
      </w:tabs>
      <w:suppressAutoHyphens/>
      <w:spacing w:before="240" w:after="120" w:line="380" w:lineRule="exact"/>
      <w:ind w:left="1247" w:right="1247" w:hanging="1247"/>
    </w:pPr>
    <w:rPr>
      <w:i/>
      <w:iCs/>
    </w:rPr>
  </w:style>
  <w:style w:type="paragraph" w:customStyle="1" w:styleId="H56GA">
    <w:name w:val="_ H_5/6_GA"/>
    <w:basedOn w:val="Normal"/>
    <w:next w:val="Normal"/>
    <w:qFormat/>
    <w:rsid w:val="00363A18"/>
    <w:pPr>
      <w:keepNext/>
      <w:keepLines/>
      <w:tabs>
        <w:tab w:val="right" w:pos="1021"/>
      </w:tabs>
      <w:suppressAutoHyphens/>
      <w:spacing w:before="240" w:after="120" w:line="380" w:lineRule="exact"/>
      <w:ind w:left="1247" w:right="1247" w:hanging="1247"/>
    </w:pPr>
  </w:style>
  <w:style w:type="paragraph" w:customStyle="1" w:styleId="SingleTxtGA">
    <w:name w:val="_ Single Txt_GA"/>
    <w:basedOn w:val="Normal"/>
    <w:qFormat/>
    <w:rsid w:val="00EF5C43"/>
    <w:pPr>
      <w:tabs>
        <w:tab w:val="left" w:pos="1928"/>
        <w:tab w:val="left" w:pos="2608"/>
        <w:tab w:val="left" w:pos="3289"/>
        <w:tab w:val="left" w:pos="3969"/>
        <w:tab w:val="left" w:pos="4649"/>
        <w:tab w:val="left" w:pos="5330"/>
      </w:tabs>
      <w:spacing w:after="120" w:line="360" w:lineRule="exact"/>
      <w:ind w:left="1247" w:right="1247"/>
    </w:pPr>
    <w:rPr>
      <w:szCs w:val="28"/>
    </w:r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787E1E"/>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link w:val="Heading1"/>
    <w:rsid w:val="00AB6758"/>
    <w:rPr>
      <w:rFonts w:ascii="Times New Roman" w:eastAsia="Times New Roman" w:hAnsi="Times New Roman" w:cs="Traditional Arabic"/>
      <w:sz w:val="20"/>
      <w:szCs w:val="30"/>
    </w:rPr>
  </w:style>
  <w:style w:type="character" w:styleId="PageNumber">
    <w:name w:val="page number"/>
    <w:aliases w:val="7_GA"/>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link w:val="Heading2"/>
    <w:uiPriority w:val="9"/>
    <w:rsid w:val="00455780"/>
    <w:rPr>
      <w:rFonts w:ascii="Cambria" w:eastAsia="SimSun" w:hAnsi="Cambria" w:cs="Times New Roman"/>
      <w:b/>
      <w:bCs/>
      <w:color w:val="4F81BD"/>
      <w:sz w:val="26"/>
      <w:szCs w:val="26"/>
    </w:rPr>
  </w:style>
  <w:style w:type="character" w:styleId="BookTitle">
    <w:name w:val="Book Title"/>
    <w:uiPriority w:val="33"/>
    <w:rsid w:val="00455780"/>
    <w:rPr>
      <w:b/>
      <w:bCs/>
      <w:smallCaps/>
      <w:spacing w:val="5"/>
    </w:rPr>
  </w:style>
  <w:style w:type="character" w:customStyle="1" w:styleId="Heading3Char">
    <w:name w:val="Heading 3 Char"/>
    <w:link w:val="Heading3"/>
    <w:uiPriority w:val="9"/>
    <w:rsid w:val="00EC4B6B"/>
    <w:rPr>
      <w:rFonts w:ascii="Cambria" w:eastAsia="SimSun" w:hAnsi="Cambria" w:cs="Times New Roman"/>
      <w:b/>
      <w:bCs/>
      <w:color w:val="4F81BD"/>
      <w:sz w:val="20"/>
      <w:szCs w:val="30"/>
    </w:rPr>
  </w:style>
  <w:style w:type="character" w:customStyle="1" w:styleId="Heading4Char">
    <w:name w:val="Heading 4 Char"/>
    <w:link w:val="Heading4"/>
    <w:uiPriority w:val="9"/>
    <w:rsid w:val="00EC4B6B"/>
    <w:rPr>
      <w:rFonts w:ascii="Cambria" w:eastAsia="SimSun" w:hAnsi="Cambria" w:cs="Times New Roman"/>
      <w:b/>
      <w:bCs/>
      <w:i/>
      <w:iCs/>
      <w:color w:val="4F81BD"/>
      <w:sz w:val="20"/>
      <w:szCs w:val="30"/>
    </w:rPr>
  </w:style>
  <w:style w:type="character" w:customStyle="1" w:styleId="Heading5Char">
    <w:name w:val="Heading 5 Char"/>
    <w:link w:val="Heading5"/>
    <w:uiPriority w:val="9"/>
    <w:rsid w:val="00EC4B6B"/>
    <w:rPr>
      <w:rFonts w:ascii="Cambria" w:eastAsia="SimSun" w:hAnsi="Cambria" w:cs="Times New Roman"/>
      <w:color w:val="243F60"/>
      <w:sz w:val="20"/>
      <w:szCs w:val="30"/>
    </w:rPr>
  </w:style>
  <w:style w:type="character" w:customStyle="1" w:styleId="Heading6Char">
    <w:name w:val="Heading 6 Char"/>
    <w:link w:val="Heading6"/>
    <w:uiPriority w:val="9"/>
    <w:rsid w:val="00EC4B6B"/>
    <w:rPr>
      <w:rFonts w:ascii="Cambria" w:eastAsia="SimSun" w:hAnsi="Cambria" w:cs="Times New Roman"/>
      <w:i/>
      <w:iCs/>
      <w:color w:val="243F60"/>
      <w:sz w:val="20"/>
      <w:szCs w:val="30"/>
    </w:rPr>
  </w:style>
  <w:style w:type="character" w:customStyle="1" w:styleId="Heading7Char">
    <w:name w:val="Heading 7 Char"/>
    <w:link w:val="Heading7"/>
    <w:uiPriority w:val="9"/>
    <w:rsid w:val="00EC4B6B"/>
    <w:rPr>
      <w:rFonts w:ascii="Cambria" w:eastAsia="SimSun" w:hAnsi="Cambria" w:cs="Times New Roman"/>
      <w:i/>
      <w:iCs/>
      <w:color w:val="404040"/>
      <w:sz w:val="20"/>
      <w:szCs w:val="30"/>
    </w:rPr>
  </w:style>
  <w:style w:type="character" w:customStyle="1" w:styleId="Heading8Char">
    <w:name w:val="Heading 8 Char"/>
    <w:link w:val="Heading8"/>
    <w:uiPriority w:val="9"/>
    <w:rsid w:val="00EC4B6B"/>
    <w:rPr>
      <w:rFonts w:ascii="Cambria" w:eastAsia="SimSun" w:hAnsi="Cambria" w:cs="Times New Roman"/>
      <w:color w:val="404040"/>
      <w:sz w:val="20"/>
      <w:szCs w:val="20"/>
    </w:rPr>
  </w:style>
  <w:style w:type="character" w:customStyle="1" w:styleId="Heading9Char">
    <w:name w:val="Heading 9 Char"/>
    <w:link w:val="Heading9"/>
    <w:uiPriority w:val="9"/>
    <w:rsid w:val="00EC4B6B"/>
    <w:rPr>
      <w:rFonts w:ascii="Cambria" w:eastAsia="SimSun" w:hAnsi="Cambria" w:cs="Times New Roman"/>
      <w:i/>
      <w:iCs/>
      <w:color w:val="404040"/>
      <w:sz w:val="20"/>
      <w:szCs w:val="20"/>
    </w:rPr>
  </w:style>
  <w:style w:type="paragraph" w:styleId="Title">
    <w:name w:val="Title"/>
    <w:basedOn w:val="Normal"/>
    <w:next w:val="Normal"/>
    <w:link w:val="TitleChar"/>
    <w:uiPriority w:val="10"/>
    <w:rsid w:val="00EC4B6B"/>
    <w:pPr>
      <w:pBdr>
        <w:bottom w:val="single" w:sz="8" w:space="4" w:color="4F81BD"/>
      </w:pBdr>
      <w:spacing w:after="300" w:line="240" w:lineRule="auto"/>
      <w:contextualSpacing/>
    </w:pPr>
    <w:rPr>
      <w:rFonts w:ascii="Cambria" w:eastAsia="SimSun" w:hAnsi="Cambria" w:cs="Times New Roman"/>
      <w:color w:val="17365D"/>
      <w:spacing w:val="5"/>
      <w:kern w:val="28"/>
      <w:sz w:val="52"/>
      <w:szCs w:val="52"/>
    </w:rPr>
  </w:style>
  <w:style w:type="character" w:customStyle="1" w:styleId="TitleChar">
    <w:name w:val="Title Char"/>
    <w:link w:val="Title"/>
    <w:uiPriority w:val="10"/>
    <w:rsid w:val="00EC4B6B"/>
    <w:rPr>
      <w:rFonts w:ascii="Cambria" w:eastAsia="SimSun" w:hAnsi="Cambria" w:cs="Times New Roman"/>
      <w:color w:val="17365D"/>
      <w:spacing w:val="5"/>
      <w:kern w:val="28"/>
      <w:sz w:val="52"/>
      <w:szCs w:val="52"/>
    </w:rPr>
  </w:style>
  <w:style w:type="paragraph" w:styleId="Subtitle">
    <w:name w:val="Subtitle"/>
    <w:basedOn w:val="Normal"/>
    <w:next w:val="Normal"/>
    <w:link w:val="SubtitleChar"/>
    <w:uiPriority w:val="11"/>
    <w:rsid w:val="00EC4B6B"/>
    <w:pPr>
      <w:numPr>
        <w:ilvl w:val="1"/>
      </w:numPr>
    </w:pPr>
    <w:rPr>
      <w:rFonts w:ascii="Cambria" w:eastAsia="SimSun" w:hAnsi="Cambria" w:cs="Times New Roman"/>
      <w:i/>
      <w:iCs/>
      <w:color w:val="4F81BD"/>
      <w:spacing w:val="15"/>
      <w:sz w:val="24"/>
      <w:szCs w:val="24"/>
    </w:rPr>
  </w:style>
  <w:style w:type="character" w:customStyle="1" w:styleId="SubtitleChar">
    <w:name w:val="Subtitle Char"/>
    <w:link w:val="Subtitle"/>
    <w:uiPriority w:val="11"/>
    <w:rsid w:val="00EC4B6B"/>
    <w:rPr>
      <w:rFonts w:ascii="Cambria" w:eastAsia="SimSun" w:hAnsi="Cambria" w:cs="Times New Roman"/>
      <w:i/>
      <w:iCs/>
      <w:color w:val="4F81BD"/>
      <w:spacing w:val="15"/>
      <w:sz w:val="24"/>
      <w:szCs w:val="24"/>
    </w:rPr>
  </w:style>
  <w:style w:type="character" w:styleId="SubtleEmphasis">
    <w:name w:val="Subtle Emphasis"/>
    <w:uiPriority w:val="19"/>
    <w:rsid w:val="00EC4B6B"/>
    <w:rPr>
      <w:i/>
      <w:iCs/>
      <w:color w:val="808080"/>
    </w:rPr>
  </w:style>
  <w:style w:type="table" w:styleId="ColorfulGrid-Accent6">
    <w:name w:val="Colorful Grid Accent 6"/>
    <w:basedOn w:val="TableNormal"/>
    <w:uiPriority w:val="73"/>
    <w:rsid w:val="00EC4B6B"/>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character" w:styleId="Emphasis">
    <w:name w:val="Emphasis"/>
    <w:uiPriority w:val="20"/>
    <w:rsid w:val="003260FF"/>
    <w:rPr>
      <w:i/>
      <w:iCs/>
    </w:rPr>
  </w:style>
  <w:style w:type="character" w:styleId="IntenseEmphasis">
    <w:name w:val="Intense Emphasis"/>
    <w:uiPriority w:val="21"/>
    <w:rsid w:val="003260FF"/>
    <w:rPr>
      <w:b/>
      <w:bCs/>
      <w:i/>
      <w:iCs/>
      <w:color w:val="4F81BD"/>
    </w:rPr>
  </w:style>
  <w:style w:type="character" w:styleId="Strong">
    <w:name w:val="Strong"/>
    <w:uiPriority w:val="22"/>
    <w:rsid w:val="003260FF"/>
    <w:rPr>
      <w:b/>
      <w:bCs/>
    </w:rPr>
  </w:style>
  <w:style w:type="paragraph" w:styleId="Quote">
    <w:name w:val="Quote"/>
    <w:basedOn w:val="Normal"/>
    <w:next w:val="Normal"/>
    <w:link w:val="QuoteChar"/>
    <w:uiPriority w:val="29"/>
    <w:rsid w:val="003260FF"/>
    <w:rPr>
      <w:i/>
      <w:iCs/>
      <w:color w:val="000000"/>
    </w:rPr>
  </w:style>
  <w:style w:type="character" w:customStyle="1" w:styleId="QuoteChar">
    <w:name w:val="Quote Char"/>
    <w:link w:val="Quote"/>
    <w:uiPriority w:val="29"/>
    <w:rsid w:val="003260FF"/>
    <w:rPr>
      <w:rFonts w:ascii="Times New Roman" w:hAnsi="Times New Roman" w:cs="Traditional Arabic"/>
      <w:i/>
      <w:iCs/>
      <w:color w:val="000000"/>
      <w:sz w:val="20"/>
      <w:szCs w:val="30"/>
    </w:rPr>
  </w:style>
  <w:style w:type="paragraph" w:styleId="IntenseQuote">
    <w:name w:val="Intense Quote"/>
    <w:basedOn w:val="Normal"/>
    <w:next w:val="Normal"/>
    <w:link w:val="IntenseQuoteChar"/>
    <w:uiPriority w:val="30"/>
    <w:rsid w:val="003260FF"/>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3260FF"/>
    <w:rPr>
      <w:rFonts w:ascii="Times New Roman" w:hAnsi="Times New Roman" w:cs="Traditional Arabic"/>
      <w:b/>
      <w:bCs/>
      <w:i/>
      <w:iCs/>
      <w:color w:val="4F81BD"/>
      <w:sz w:val="20"/>
      <w:szCs w:val="30"/>
    </w:rPr>
  </w:style>
  <w:style w:type="character" w:styleId="SubtleReference">
    <w:name w:val="Subtle Reference"/>
    <w:uiPriority w:val="31"/>
    <w:rsid w:val="003260FF"/>
    <w:rPr>
      <w:smallCaps/>
      <w:color w:val="C0504D"/>
      <w:u w:val="single"/>
    </w:rPr>
  </w:style>
  <w:style w:type="character" w:styleId="IntenseReference">
    <w:name w:val="Intense Reference"/>
    <w:uiPriority w:val="32"/>
    <w:rsid w:val="003260FF"/>
    <w:rPr>
      <w:b/>
      <w:bCs/>
      <w:smallCaps/>
      <w:color w:val="C0504D"/>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character" w:styleId="EndnoteReference">
    <w:name w:val="endnote reference"/>
    <w:uiPriority w:val="99"/>
    <w:semiHidden/>
    <w:unhideWhenUsed/>
    <w:rsid w:val="00F900C3"/>
    <w:rPr>
      <w:vertAlign w:val="superscript"/>
    </w:rPr>
  </w:style>
  <w:style w:type="table" w:styleId="TableGrid">
    <w:name w:val="Table Grid"/>
    <w:basedOn w:val="TableNormal"/>
    <w:rsid w:val="006B3E27"/>
    <w:pPr>
      <w:bidi/>
      <w:jc w:val="lowKashida"/>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6B3E27"/>
    <w:rPr>
      <w:rFonts w:ascii="Tahoma" w:hAnsi="Tahoma" w:cs="Tahoma"/>
      <w:sz w:val="16"/>
      <w:szCs w:val="16"/>
    </w:rPr>
  </w:style>
  <w:style w:type="paragraph" w:customStyle="1" w:styleId="HChG">
    <w:name w:val="_ H _Ch_G"/>
    <w:basedOn w:val="Normal"/>
    <w:next w:val="Normal"/>
    <w:qFormat/>
    <w:rsid w:val="00D30698"/>
    <w:pPr>
      <w:keepNext/>
      <w:keepLines/>
      <w:tabs>
        <w:tab w:val="right" w:pos="851"/>
      </w:tabs>
      <w:suppressAutoHyphens/>
      <w:bidi w:val="0"/>
      <w:spacing w:before="360" w:after="240" w:line="300" w:lineRule="exact"/>
      <w:ind w:left="1134" w:right="1134" w:hanging="1134"/>
      <w:jc w:val="left"/>
    </w:pPr>
    <w:rPr>
      <w:rFonts w:eastAsia="SimSun" w:hAnsi="Calibri" w:hint="cs"/>
      <w:b/>
      <w:sz w:val="28"/>
      <w:lang w:val="es-ES" w:eastAsia="es-ES"/>
    </w:rPr>
  </w:style>
  <w:style w:type="paragraph" w:customStyle="1" w:styleId="H1G">
    <w:name w:val="_ H_1_G"/>
    <w:basedOn w:val="Normal"/>
    <w:next w:val="Normal"/>
    <w:qFormat/>
    <w:rsid w:val="00D30698"/>
    <w:pPr>
      <w:keepNext/>
      <w:keepLines/>
      <w:tabs>
        <w:tab w:val="right" w:pos="851"/>
      </w:tabs>
      <w:suppressAutoHyphens/>
      <w:bidi w:val="0"/>
      <w:spacing w:before="360" w:after="240" w:line="270" w:lineRule="exact"/>
      <w:ind w:left="1134" w:right="1134" w:hanging="1134"/>
      <w:jc w:val="left"/>
    </w:pPr>
    <w:rPr>
      <w:rFonts w:eastAsia="SimSun" w:hAnsi="Calibri" w:hint="cs"/>
      <w:b/>
      <w:sz w:val="24"/>
      <w:lang w:val="es-ES" w:eastAsia="es-ES"/>
    </w:rPr>
  </w:style>
  <w:style w:type="paragraph" w:customStyle="1" w:styleId="H23G">
    <w:name w:val="_ H_2/3_G"/>
    <w:basedOn w:val="Normal"/>
    <w:next w:val="Normal"/>
    <w:qFormat/>
    <w:rsid w:val="00D30698"/>
    <w:pPr>
      <w:keepNext/>
      <w:keepLines/>
      <w:tabs>
        <w:tab w:val="right" w:pos="851"/>
      </w:tabs>
      <w:suppressAutoHyphens/>
      <w:bidi w:val="0"/>
      <w:spacing w:before="240" w:after="120" w:line="240" w:lineRule="exact"/>
      <w:ind w:left="1134" w:right="1134" w:hanging="1134"/>
      <w:jc w:val="left"/>
    </w:pPr>
    <w:rPr>
      <w:rFonts w:eastAsia="SimSun" w:hAnsi="Calibri" w:hint="cs"/>
      <w:b/>
      <w:lang w:val="es-ES" w:eastAsia="es-ES"/>
    </w:rPr>
  </w:style>
  <w:style w:type="paragraph" w:customStyle="1" w:styleId="SingleTxtG">
    <w:name w:val="_ Single Txt_G"/>
    <w:basedOn w:val="Normal"/>
    <w:link w:val="SingleTxtGChar"/>
    <w:qFormat/>
    <w:rsid w:val="00D30698"/>
    <w:pPr>
      <w:bidi w:val="0"/>
      <w:spacing w:after="120"/>
      <w:ind w:left="1134" w:right="1134"/>
      <w:jc w:val="both"/>
    </w:pPr>
    <w:rPr>
      <w:rFonts w:eastAsia="SimSun" w:hAnsi="Calibri"/>
      <w:lang w:val="es-ES" w:eastAsia="es-ES"/>
    </w:rPr>
  </w:style>
  <w:style w:type="character" w:styleId="Hyperlink">
    <w:name w:val="Hyperlink"/>
    <w:rsid w:val="00D30698"/>
    <w:rPr>
      <w:color w:val="0000FF"/>
      <w:u w:val="none"/>
    </w:rPr>
  </w:style>
  <w:style w:type="character" w:customStyle="1" w:styleId="SingleTxtGChar">
    <w:name w:val="_ Single Txt_G Char"/>
    <w:link w:val="SingleTxtG"/>
    <w:rsid w:val="00D30698"/>
    <w:rPr>
      <w:rFonts w:ascii="Times New Roman" w:eastAsia="SimSun" w:cs="Traditional Arabic"/>
      <w:szCs w:val="30"/>
      <w:lang w:val="es-ES" w:eastAsia="es-ES"/>
    </w:rPr>
  </w:style>
  <w:style w:type="paragraph" w:customStyle="1" w:styleId="BVIfnrCharChar">
    <w:name w:val="BVI fnr Char Char"/>
    <w:aliases w:val="Footnotes refss Char Char,ftref Char Char,16 Point Char Char,Superscript 6 Point Char Char,Footnote Reference Number Char Char,nota pié di pagina Char Char,Times 10 Point Char Char,Exposant 3 Point Char Char,4_G Char Char"/>
    <w:basedOn w:val="Normal"/>
    <w:link w:val="FootnoteReference"/>
    <w:rsid w:val="00D30698"/>
    <w:pPr>
      <w:bidi w:val="0"/>
      <w:spacing w:after="160" w:line="240" w:lineRule="exact"/>
      <w:jc w:val="left"/>
    </w:pPr>
    <w:rPr>
      <w:b/>
      <w:sz w:val="18"/>
      <w:szCs w:val="28"/>
      <w:vertAlign w:val="superscript"/>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6910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binternet.ohchr.org/_layouts/15/treatybodyexternal/Download.aspx?symbolno=INT%2fCCPR%2fNGS%2fCRI%2f39787&amp;Lang=en"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tbinternet.ohchr.org/_layouts/15/treatybodyexternal/Download.aspx?symbolno=CCPR%2fC%2fCRI%2fCO%2f6%2fAdd.1&amp;Lang=en" TargetMode="External"/><Relationship Id="rId4" Type="http://schemas.openxmlformats.org/officeDocument/2006/relationships/settings" Target="settings.xml"/><Relationship Id="rId9" Type="http://schemas.openxmlformats.org/officeDocument/2006/relationships/hyperlink" Target="https://tbinternet.ohchr.org/_layouts/15/treatybodyexternal/Download.aspx?symbolno=CCPR%2fC%2fCRI%2fCO%2f6&amp;Lang=en" TargetMode="Externa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C2F277-F76F-4569-A667-4C7AC1D73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5</Pages>
  <Words>1691</Words>
  <Characters>9642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CCPR/C/128/3/Add.4</vt:lpstr>
    </vt:vector>
  </TitlesOfParts>
  <Company>DCM</Company>
  <LinksUpToDate>false</LinksUpToDate>
  <CharactersWithSpaces>11311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CCPR/C/128/3/Add.4</dc:title>
  <dc:subject>GE.2011339A</dc:subject>
  <dc:creator>IHRZ</dc:creator>
  <cp:keywords>ODS No.2022339</cp:keywords>
  <dc:description>Distribution:_x000d_
Original: English_x000d_
Date:</dc:description>
  <cp:lastModifiedBy>Ihab RIZ</cp:lastModifiedBy>
  <cp:revision>2</cp:revision>
  <dcterms:created xsi:type="dcterms:W3CDTF">2020-09-24T13:12:00Z</dcterms:created>
  <dcterms:modified xsi:type="dcterms:W3CDTF">2020-09-24T13:12:00Z</dcterms:modified>
  <cp:category>Finale</cp:category>
</cp:coreProperties>
</file>