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5F957533" w14:textId="77777777" w:rsidTr="005B51C4">
        <w:trPr>
          <w:trHeight w:hRule="exact" w:val="851"/>
        </w:trPr>
        <w:tc>
          <w:tcPr>
            <w:tcW w:w="1274" w:type="dxa"/>
            <w:tcBorders>
              <w:bottom w:val="single" w:sz="4" w:space="0" w:color="auto"/>
            </w:tcBorders>
            <w:shd w:val="clear" w:color="auto" w:fill="auto"/>
          </w:tcPr>
          <w:p w14:paraId="4D521AA8" w14:textId="77777777" w:rsidR="006B3E27" w:rsidRPr="00C175A6" w:rsidRDefault="006B3E27" w:rsidP="00770948">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61D57E30"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5656EB80" w14:textId="77777777" w:rsidR="006B3E27" w:rsidRPr="00A62949" w:rsidRDefault="00A62949" w:rsidP="00A62949">
            <w:pPr>
              <w:bidi w:val="0"/>
              <w:rPr>
                <w:szCs w:val="20"/>
              </w:rPr>
            </w:pPr>
            <w:r w:rsidRPr="00A62949">
              <w:rPr>
                <w:sz w:val="40"/>
                <w:szCs w:val="20"/>
              </w:rPr>
              <w:t>CCPR</w:t>
            </w:r>
            <w:r>
              <w:rPr>
                <w:szCs w:val="20"/>
              </w:rPr>
              <w:t>/C/</w:t>
            </w:r>
            <w:r w:rsidRPr="0099598B">
              <w:rPr>
                <w:szCs w:val="20"/>
              </w:rPr>
              <w:t>129</w:t>
            </w:r>
            <w:r>
              <w:rPr>
                <w:szCs w:val="20"/>
              </w:rPr>
              <w:t>/D/</w:t>
            </w:r>
            <w:r w:rsidRPr="0099598B">
              <w:rPr>
                <w:szCs w:val="20"/>
              </w:rPr>
              <w:t>2404</w:t>
            </w:r>
            <w:r>
              <w:rPr>
                <w:szCs w:val="20"/>
              </w:rPr>
              <w:t>/</w:t>
            </w:r>
            <w:r w:rsidRPr="0099598B">
              <w:rPr>
                <w:szCs w:val="20"/>
              </w:rPr>
              <w:t>2014</w:t>
            </w:r>
          </w:p>
        </w:tc>
      </w:tr>
      <w:tr w:rsidR="006B3E27" w:rsidRPr="00C175A6" w14:paraId="24E97752" w14:textId="77777777" w:rsidTr="005B51C4">
        <w:trPr>
          <w:trHeight w:hRule="exact" w:val="2835"/>
        </w:trPr>
        <w:tc>
          <w:tcPr>
            <w:tcW w:w="1274" w:type="dxa"/>
            <w:tcBorders>
              <w:top w:val="single" w:sz="4" w:space="0" w:color="auto"/>
              <w:bottom w:val="single" w:sz="12" w:space="0" w:color="auto"/>
            </w:tcBorders>
            <w:shd w:val="clear" w:color="auto" w:fill="auto"/>
          </w:tcPr>
          <w:p w14:paraId="03BE0E5B"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30E4CB9F" wp14:editId="54645D64">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D3970F5" w14:textId="77777777" w:rsidR="006B3E27" w:rsidRPr="0099598B" w:rsidRDefault="00ED7442" w:rsidP="00730446">
            <w:pPr>
              <w:spacing w:before="120" w:after="40" w:line="640" w:lineRule="exact"/>
              <w:ind w:left="57"/>
              <w:rPr>
                <w:b/>
                <w:bCs/>
                <w:sz w:val="46"/>
                <w:szCs w:val="46"/>
              </w:rPr>
            </w:pPr>
            <w:r w:rsidRPr="0099598B">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0FAF2DD0" w14:textId="77777777" w:rsidR="006B3E27" w:rsidRDefault="00A62949" w:rsidP="004B27E0">
            <w:pPr>
              <w:bidi w:val="0"/>
              <w:spacing w:before="240"/>
              <w:rPr>
                <w:szCs w:val="20"/>
              </w:rPr>
            </w:pPr>
            <w:r>
              <w:rPr>
                <w:szCs w:val="20"/>
              </w:rPr>
              <w:t>Distr.: General</w:t>
            </w:r>
          </w:p>
          <w:p w14:paraId="4E7D50FD" w14:textId="65DEE57C" w:rsidR="00A62949" w:rsidRDefault="00CF0CF8" w:rsidP="00A62949">
            <w:pPr>
              <w:bidi w:val="0"/>
              <w:spacing w:line="240" w:lineRule="exact"/>
              <w:jc w:val="left"/>
              <w:rPr>
                <w:szCs w:val="20"/>
              </w:rPr>
            </w:pPr>
            <w:r w:rsidRPr="0099598B">
              <w:t>4</w:t>
            </w:r>
            <w:r>
              <w:t xml:space="preserve"> March </w:t>
            </w:r>
            <w:r w:rsidRPr="0099598B">
              <w:t>2021</w:t>
            </w:r>
          </w:p>
          <w:p w14:paraId="3898DE3D" w14:textId="77777777" w:rsidR="00A62949" w:rsidRDefault="00A62949" w:rsidP="00A62949">
            <w:pPr>
              <w:bidi w:val="0"/>
              <w:spacing w:line="240" w:lineRule="exact"/>
              <w:jc w:val="left"/>
              <w:rPr>
                <w:szCs w:val="20"/>
              </w:rPr>
            </w:pPr>
            <w:r>
              <w:rPr>
                <w:szCs w:val="20"/>
              </w:rPr>
              <w:t>Arabic</w:t>
            </w:r>
          </w:p>
          <w:p w14:paraId="5B92AC51" w14:textId="77777777" w:rsidR="00A62949" w:rsidRPr="00A62949" w:rsidRDefault="00A62949" w:rsidP="00A62949">
            <w:pPr>
              <w:bidi w:val="0"/>
              <w:spacing w:line="240" w:lineRule="exact"/>
              <w:jc w:val="left"/>
              <w:rPr>
                <w:szCs w:val="20"/>
              </w:rPr>
            </w:pPr>
            <w:r>
              <w:rPr>
                <w:szCs w:val="20"/>
              </w:rPr>
              <w:t>Original: English</w:t>
            </w:r>
          </w:p>
        </w:tc>
      </w:tr>
    </w:tbl>
    <w:p w14:paraId="7BF7C0F9" w14:textId="77777777" w:rsidR="001B6C22" w:rsidRPr="0099598B" w:rsidRDefault="001B6C22" w:rsidP="001B6C22">
      <w:pPr>
        <w:spacing w:before="120" w:line="420" w:lineRule="exact"/>
        <w:textDirection w:val="tbRlV"/>
        <w:rPr>
          <w:rFonts w:ascii="Simplified Arabic" w:hAnsi="Simplified Arabic"/>
          <w:b/>
          <w:sz w:val="26"/>
          <w:szCs w:val="26"/>
          <w:lang w:val="ar-SA" w:eastAsia="zh-TW" w:bidi="en-GB"/>
        </w:rPr>
      </w:pPr>
      <w:r w:rsidRPr="0099598B">
        <w:rPr>
          <w:rFonts w:ascii="Simplified Arabic" w:hAnsi="Simplified Arabic"/>
          <w:b/>
          <w:bCs/>
          <w:sz w:val="26"/>
          <w:szCs w:val="26"/>
          <w:rtl/>
        </w:rPr>
        <w:t>اللجنة المعنية بحقوق الإنسان</w:t>
      </w:r>
    </w:p>
    <w:p w14:paraId="725977BA" w14:textId="5028812E" w:rsidR="001B6C22" w:rsidRPr="0099598B" w:rsidRDefault="001B6C22" w:rsidP="001B6C22">
      <w:pPr>
        <w:pStyle w:val="HChGA"/>
        <w:rPr>
          <w:rtl/>
          <w:lang w:val="en-US" w:eastAsia="zh-TW"/>
        </w:rPr>
      </w:pPr>
      <w:r w:rsidRPr="0099598B">
        <w:rPr>
          <w:sz w:val="22"/>
          <w:rtl/>
        </w:rPr>
        <w:tab/>
      </w:r>
      <w:r w:rsidRPr="0099598B">
        <w:rPr>
          <w:sz w:val="22"/>
          <w:rtl/>
        </w:rPr>
        <w:tab/>
      </w:r>
      <w:r w:rsidRPr="0099598B">
        <w:rPr>
          <w:rtl/>
        </w:rPr>
        <w:t>الآراء التي اعتمدتها اللجنة بموجب المادة 5(4) من البروتوكول الاختياري، بشأن البلاغ رقم 2404/2014</w:t>
      </w:r>
      <w:r w:rsidR="00323490" w:rsidRPr="0099598B">
        <w:rPr>
          <w:rStyle w:val="FootnoteReference"/>
          <w:sz w:val="22"/>
          <w:szCs w:val="22"/>
          <w:vertAlign w:val="baseline"/>
          <w:rtl/>
        </w:rPr>
        <w:footnoteReference w:customMarkFollows="1" w:id="1"/>
        <w:t>*</w:t>
      </w:r>
      <w:r w:rsidR="00323490" w:rsidRPr="0099598B">
        <w:rPr>
          <w:rFonts w:hint="cs"/>
          <w:rtl/>
          <w:lang w:val="en-US" w:eastAsia="zh-TW"/>
        </w:rPr>
        <w:t xml:space="preserve"> </w:t>
      </w:r>
      <w:r w:rsidR="00323490" w:rsidRPr="0099598B">
        <w:rPr>
          <w:rStyle w:val="FootnoteReference"/>
          <w:sz w:val="22"/>
          <w:szCs w:val="22"/>
          <w:vertAlign w:val="baseline"/>
          <w:rtl/>
          <w:lang w:val="en-US" w:eastAsia="zh-TW"/>
        </w:rPr>
        <w:footnoteReference w:customMarkFollows="1" w:id="2"/>
        <w:t>**</w:t>
      </w:r>
    </w:p>
    <w:p w14:paraId="6D53009F" w14:textId="7C3E18B6" w:rsidR="001B6C22" w:rsidRPr="00C40CCD" w:rsidRDefault="001B6C22" w:rsidP="00323490">
      <w:pPr>
        <w:pStyle w:val="SingleTxtGA"/>
        <w:tabs>
          <w:tab w:val="clear" w:pos="1928"/>
          <w:tab w:val="clear" w:pos="2608"/>
          <w:tab w:val="clear" w:pos="3289"/>
          <w:tab w:val="clear" w:pos="3969"/>
          <w:tab w:val="clear" w:pos="4649"/>
          <w:tab w:val="clear" w:pos="5330"/>
        </w:tabs>
        <w:ind w:left="4252" w:hanging="2324"/>
        <w:rPr>
          <w:lang w:val="ar-SA" w:eastAsia="zh-TW" w:bidi="en-GB"/>
        </w:rPr>
      </w:pPr>
      <w:r w:rsidRPr="0099598B">
        <w:rPr>
          <w:i/>
          <w:iCs/>
          <w:rtl/>
        </w:rPr>
        <w:t>المقدم من:</w:t>
      </w:r>
      <w:r w:rsidRPr="00C40CCD">
        <w:rPr>
          <w:rtl/>
        </w:rPr>
        <w:tab/>
        <w:t>فلاديمير مالي (لا يمثله محام)</w:t>
      </w:r>
      <w:r w:rsidRPr="00C40CCD">
        <w:rPr>
          <w:rFonts w:ascii="Arial" w:hAnsi="Arial" w:cs="Arial"/>
          <w:rtl/>
        </w:rPr>
        <w:t>‬</w:t>
      </w:r>
    </w:p>
    <w:p w14:paraId="244BBCE3" w14:textId="77777777" w:rsidR="001B6C22" w:rsidRPr="00C40CCD" w:rsidRDefault="001B6C22" w:rsidP="00323490">
      <w:pPr>
        <w:pStyle w:val="SingleTxtGA"/>
        <w:tabs>
          <w:tab w:val="clear" w:pos="1928"/>
          <w:tab w:val="clear" w:pos="2608"/>
          <w:tab w:val="clear" w:pos="3289"/>
          <w:tab w:val="clear" w:pos="3969"/>
          <w:tab w:val="clear" w:pos="4649"/>
          <w:tab w:val="clear" w:pos="5330"/>
        </w:tabs>
        <w:ind w:left="4252" w:hanging="2324"/>
        <w:rPr>
          <w:lang w:val="ar-SA" w:eastAsia="zh-TW" w:bidi="en-GB"/>
        </w:rPr>
      </w:pPr>
      <w:r w:rsidRPr="0099598B">
        <w:rPr>
          <w:i/>
          <w:iCs/>
          <w:rtl/>
        </w:rPr>
        <w:t>الشخص المدعى أنه ضحية:</w:t>
      </w:r>
      <w:r w:rsidRPr="0099598B">
        <w:rPr>
          <w:i/>
          <w:iCs/>
          <w:rtl/>
        </w:rPr>
        <w:tab/>
      </w:r>
      <w:r w:rsidRPr="00C40CCD">
        <w:rPr>
          <w:rtl/>
        </w:rPr>
        <w:t>صاحب البلاغ</w:t>
      </w:r>
    </w:p>
    <w:p w14:paraId="089A2450" w14:textId="7546F5C6" w:rsidR="001B6C22" w:rsidRPr="00C40CCD" w:rsidRDefault="001B6C22" w:rsidP="00323490">
      <w:pPr>
        <w:pStyle w:val="SingleTxtGA"/>
        <w:tabs>
          <w:tab w:val="clear" w:pos="1928"/>
          <w:tab w:val="clear" w:pos="2608"/>
          <w:tab w:val="clear" w:pos="3289"/>
          <w:tab w:val="clear" w:pos="3969"/>
          <w:tab w:val="clear" w:pos="4649"/>
          <w:tab w:val="clear" w:pos="5330"/>
        </w:tabs>
        <w:ind w:left="4252" w:hanging="2324"/>
        <w:rPr>
          <w:lang w:val="ar-SA" w:eastAsia="zh-TW" w:bidi="en-GB"/>
        </w:rPr>
      </w:pPr>
      <w:r w:rsidRPr="0099598B">
        <w:rPr>
          <w:i/>
          <w:iCs/>
          <w:rtl/>
        </w:rPr>
        <w:t>الدولة الطرف:</w:t>
      </w:r>
      <w:r w:rsidRPr="00C40CCD">
        <w:rPr>
          <w:rtl/>
        </w:rPr>
        <w:tab/>
        <w:t>بيلاروس</w:t>
      </w:r>
    </w:p>
    <w:p w14:paraId="1C6FCE5B" w14:textId="77777777" w:rsidR="001B6C22" w:rsidRPr="00C40CCD" w:rsidRDefault="001B6C22" w:rsidP="00323490">
      <w:pPr>
        <w:pStyle w:val="SingleTxtGA"/>
        <w:tabs>
          <w:tab w:val="clear" w:pos="1928"/>
          <w:tab w:val="clear" w:pos="2608"/>
          <w:tab w:val="clear" w:pos="3289"/>
          <w:tab w:val="clear" w:pos="3969"/>
          <w:tab w:val="clear" w:pos="4649"/>
          <w:tab w:val="clear" w:pos="5330"/>
        </w:tabs>
        <w:ind w:left="4252" w:hanging="2324"/>
        <w:rPr>
          <w:lang w:val="ar-SA" w:eastAsia="zh-TW" w:bidi="en-GB"/>
        </w:rPr>
      </w:pPr>
      <w:r w:rsidRPr="0099598B">
        <w:rPr>
          <w:i/>
          <w:iCs/>
          <w:rtl/>
        </w:rPr>
        <w:t>تاريخ تقديم البلاغ:</w:t>
      </w:r>
      <w:r w:rsidRPr="00C40CCD">
        <w:rPr>
          <w:rtl/>
        </w:rPr>
        <w:tab/>
      </w:r>
      <w:r w:rsidRPr="0099598B">
        <w:rPr>
          <w:rtl/>
        </w:rPr>
        <w:t>23</w:t>
      </w:r>
      <w:r w:rsidRPr="00C40CCD">
        <w:rPr>
          <w:rtl/>
        </w:rPr>
        <w:t xml:space="preserve"> كانون الأول/ديسمبر </w:t>
      </w:r>
      <w:r w:rsidRPr="0099598B">
        <w:rPr>
          <w:rtl/>
        </w:rPr>
        <w:t>2012</w:t>
      </w:r>
      <w:r w:rsidRPr="00C40CCD">
        <w:rPr>
          <w:rtl/>
        </w:rPr>
        <w:t xml:space="preserve"> (تاريخ تقديم الرسالة الأولى)</w:t>
      </w:r>
    </w:p>
    <w:p w14:paraId="084C42DE" w14:textId="77777777" w:rsidR="001B6C22" w:rsidRPr="00C40CCD" w:rsidRDefault="001B6C22" w:rsidP="00323490">
      <w:pPr>
        <w:pStyle w:val="SingleTxtGA"/>
        <w:tabs>
          <w:tab w:val="clear" w:pos="1928"/>
          <w:tab w:val="clear" w:pos="2608"/>
          <w:tab w:val="clear" w:pos="3289"/>
          <w:tab w:val="clear" w:pos="3969"/>
          <w:tab w:val="clear" w:pos="4649"/>
          <w:tab w:val="clear" w:pos="5330"/>
        </w:tabs>
        <w:ind w:left="4252" w:hanging="2324"/>
        <w:rPr>
          <w:lang w:val="ar-SA" w:eastAsia="zh-TW" w:bidi="en-GB"/>
        </w:rPr>
      </w:pPr>
      <w:r w:rsidRPr="0099598B">
        <w:rPr>
          <w:i/>
          <w:iCs/>
          <w:rtl/>
        </w:rPr>
        <w:t>الوثائق المرجعية:</w:t>
      </w:r>
      <w:r w:rsidRPr="00C40CCD">
        <w:rPr>
          <w:rtl/>
        </w:rPr>
        <w:tab/>
        <w:t xml:space="preserve">القرار المتخذ عملاً بالمادة </w:t>
      </w:r>
      <w:r w:rsidRPr="0099598B">
        <w:rPr>
          <w:rtl/>
        </w:rPr>
        <w:t>92</w:t>
      </w:r>
      <w:r w:rsidRPr="00C40CCD">
        <w:rPr>
          <w:rtl/>
        </w:rPr>
        <w:t xml:space="preserve"> من النظام الداخلي للجنة </w:t>
      </w:r>
      <w:r w:rsidRPr="00390AAF">
        <w:rPr>
          <w:spacing w:val="-4"/>
          <w:rtl/>
        </w:rPr>
        <w:t>والمحال إلى الدولة الطرف في 28 أيار/مايو 2014 (لم يصدر</w:t>
      </w:r>
      <w:r w:rsidRPr="00C40CCD">
        <w:rPr>
          <w:rtl/>
        </w:rPr>
        <w:t xml:space="preserve"> في شكل وثيقة)</w:t>
      </w:r>
    </w:p>
    <w:p w14:paraId="70ADEEE6" w14:textId="77777777" w:rsidR="001B6C22" w:rsidRPr="00C40CCD" w:rsidRDefault="001B6C22" w:rsidP="00323490">
      <w:pPr>
        <w:pStyle w:val="SingleTxtGA"/>
        <w:tabs>
          <w:tab w:val="clear" w:pos="1928"/>
          <w:tab w:val="clear" w:pos="2608"/>
          <w:tab w:val="clear" w:pos="3289"/>
          <w:tab w:val="clear" w:pos="3969"/>
          <w:tab w:val="clear" w:pos="4649"/>
          <w:tab w:val="clear" w:pos="5330"/>
        </w:tabs>
        <w:ind w:left="4252" w:hanging="2324"/>
        <w:rPr>
          <w:lang w:val="ar-SA" w:eastAsia="zh-TW" w:bidi="en-GB"/>
        </w:rPr>
      </w:pPr>
      <w:r w:rsidRPr="0099598B">
        <w:rPr>
          <w:i/>
          <w:iCs/>
          <w:rtl/>
        </w:rPr>
        <w:t>تاريخ اعتماد الآراء:</w:t>
      </w:r>
      <w:r w:rsidRPr="00C40CCD">
        <w:rPr>
          <w:rtl/>
        </w:rPr>
        <w:tab/>
      </w:r>
      <w:r w:rsidRPr="0099598B">
        <w:rPr>
          <w:rtl/>
        </w:rPr>
        <w:t>23</w:t>
      </w:r>
      <w:r w:rsidRPr="00C40CCD">
        <w:rPr>
          <w:rtl/>
        </w:rPr>
        <w:t xml:space="preserve"> تموز/يوليه </w:t>
      </w:r>
      <w:r w:rsidRPr="0099598B">
        <w:rPr>
          <w:rtl/>
        </w:rPr>
        <w:t>2020</w:t>
      </w:r>
    </w:p>
    <w:p w14:paraId="5BB2ECDB" w14:textId="3E4FB048" w:rsidR="001B6C22" w:rsidRPr="00323490" w:rsidRDefault="001B6C22" w:rsidP="00323490">
      <w:pPr>
        <w:pStyle w:val="SingleTxtGA"/>
        <w:tabs>
          <w:tab w:val="clear" w:pos="1928"/>
          <w:tab w:val="clear" w:pos="2608"/>
          <w:tab w:val="clear" w:pos="3289"/>
          <w:tab w:val="clear" w:pos="3969"/>
          <w:tab w:val="clear" w:pos="4649"/>
          <w:tab w:val="clear" w:pos="5330"/>
        </w:tabs>
        <w:ind w:left="4252" w:hanging="2324"/>
        <w:rPr>
          <w:spacing w:val="-2"/>
          <w:lang w:val="ar-SA" w:eastAsia="zh-TW" w:bidi="en-GB"/>
        </w:rPr>
      </w:pPr>
      <w:r w:rsidRPr="0099598B">
        <w:rPr>
          <w:i/>
          <w:iCs/>
          <w:spacing w:val="-2"/>
          <w:rtl/>
        </w:rPr>
        <w:t>الموضوع:</w:t>
      </w:r>
      <w:r w:rsidRPr="00323490">
        <w:rPr>
          <w:spacing w:val="-2"/>
          <w:rtl/>
        </w:rPr>
        <w:tab/>
        <w:t>رفض السلطات الترخيص في تنظيم اعتصامات؛ وحرية التعبير</w:t>
      </w:r>
    </w:p>
    <w:p w14:paraId="7A357EC6" w14:textId="77777777" w:rsidR="001B6C22" w:rsidRPr="00C40CCD" w:rsidRDefault="001B6C22" w:rsidP="00323490">
      <w:pPr>
        <w:pStyle w:val="SingleTxtGA"/>
        <w:tabs>
          <w:tab w:val="clear" w:pos="1928"/>
          <w:tab w:val="clear" w:pos="2608"/>
          <w:tab w:val="clear" w:pos="3289"/>
          <w:tab w:val="clear" w:pos="3969"/>
          <w:tab w:val="clear" w:pos="4649"/>
          <w:tab w:val="clear" w:pos="5330"/>
        </w:tabs>
        <w:ind w:left="4252" w:hanging="2324"/>
        <w:rPr>
          <w:lang w:val="ar-SA" w:eastAsia="zh-TW" w:bidi="en-GB"/>
        </w:rPr>
      </w:pPr>
      <w:r w:rsidRPr="0099598B">
        <w:rPr>
          <w:i/>
          <w:iCs/>
          <w:rtl/>
        </w:rPr>
        <w:t>المسألة الإجرائية:</w:t>
      </w:r>
      <w:r w:rsidRPr="00C40CCD">
        <w:rPr>
          <w:rtl/>
        </w:rPr>
        <w:tab/>
        <w:t>استنفاد سبل الانتصاف ال</w:t>
      </w:r>
      <w:r>
        <w:rPr>
          <w:rtl/>
        </w:rPr>
        <w:t>محل</w:t>
      </w:r>
      <w:r w:rsidRPr="00C40CCD">
        <w:rPr>
          <w:rtl/>
        </w:rPr>
        <w:t>ية</w:t>
      </w:r>
    </w:p>
    <w:p w14:paraId="714D5D60" w14:textId="77777777" w:rsidR="001B6C22" w:rsidRPr="008610A4" w:rsidRDefault="001B6C22" w:rsidP="00323490">
      <w:pPr>
        <w:pStyle w:val="SingleTxtGA"/>
        <w:tabs>
          <w:tab w:val="clear" w:pos="1928"/>
          <w:tab w:val="clear" w:pos="2608"/>
          <w:tab w:val="clear" w:pos="3289"/>
          <w:tab w:val="clear" w:pos="3969"/>
          <w:tab w:val="clear" w:pos="4649"/>
          <w:tab w:val="clear" w:pos="5330"/>
        </w:tabs>
        <w:ind w:left="4252" w:hanging="2324"/>
        <w:rPr>
          <w:lang w:eastAsia="zh-TW" w:bidi="en-GB"/>
        </w:rPr>
      </w:pPr>
      <w:r w:rsidRPr="0099598B">
        <w:rPr>
          <w:i/>
          <w:iCs/>
          <w:rtl/>
        </w:rPr>
        <w:t>المسألتان الموضوعيتان:</w:t>
      </w:r>
      <w:r w:rsidRPr="00C40CCD">
        <w:rPr>
          <w:rtl/>
        </w:rPr>
        <w:tab/>
        <w:t>حرية التجمع؛ وحرية التعبير</w:t>
      </w:r>
    </w:p>
    <w:p w14:paraId="400417FF" w14:textId="787ED2CE" w:rsidR="001B6C22" w:rsidRPr="008610A4" w:rsidRDefault="001B6C22" w:rsidP="00323490">
      <w:pPr>
        <w:pStyle w:val="SingleTxtGA"/>
        <w:tabs>
          <w:tab w:val="clear" w:pos="1928"/>
          <w:tab w:val="clear" w:pos="2608"/>
          <w:tab w:val="clear" w:pos="3289"/>
          <w:tab w:val="clear" w:pos="3969"/>
          <w:tab w:val="clear" w:pos="4649"/>
          <w:tab w:val="clear" w:pos="5330"/>
        </w:tabs>
        <w:ind w:left="4252" w:hanging="2324"/>
        <w:rPr>
          <w:lang w:eastAsia="zh-TW" w:bidi="en-GB"/>
        </w:rPr>
      </w:pPr>
      <w:r w:rsidRPr="0099598B">
        <w:rPr>
          <w:i/>
          <w:iCs/>
          <w:rtl/>
        </w:rPr>
        <w:t>مواد العهد:</w:t>
      </w:r>
      <w:r>
        <w:rPr>
          <w:rtl/>
        </w:rPr>
        <w:tab/>
      </w:r>
      <w:r w:rsidRPr="0099598B">
        <w:rPr>
          <w:rtl/>
        </w:rPr>
        <w:t>19</w:t>
      </w:r>
      <w:r w:rsidRPr="00C40CCD">
        <w:rPr>
          <w:rtl/>
        </w:rPr>
        <w:t xml:space="preserve"> و</w:t>
      </w:r>
      <w:r w:rsidRPr="0099598B">
        <w:rPr>
          <w:rtl/>
        </w:rPr>
        <w:t>21</w:t>
      </w:r>
      <w:r w:rsidRPr="00C40CCD">
        <w:rPr>
          <w:rtl/>
        </w:rPr>
        <w:t>، مقروءتان بالاقتران مع</w:t>
      </w:r>
      <w:r>
        <w:rPr>
          <w:rtl/>
        </w:rPr>
        <w:t xml:space="preserve"> </w:t>
      </w:r>
      <w:r w:rsidRPr="00C40CCD">
        <w:rPr>
          <w:rtl/>
        </w:rPr>
        <w:t xml:space="preserve">المادة </w:t>
      </w:r>
      <w:r w:rsidRPr="0099598B">
        <w:rPr>
          <w:rtl/>
        </w:rPr>
        <w:t>2</w:t>
      </w:r>
      <w:r w:rsidRPr="00C40CCD">
        <w:rPr>
          <w:rtl/>
        </w:rPr>
        <w:t>(</w:t>
      </w:r>
      <w:r w:rsidRPr="0099598B">
        <w:rPr>
          <w:rtl/>
        </w:rPr>
        <w:t>2</w:t>
      </w:r>
      <w:r w:rsidRPr="00C40CCD">
        <w:rPr>
          <w:rtl/>
        </w:rPr>
        <w:t>) و(</w:t>
      </w:r>
      <w:r w:rsidRPr="0099598B">
        <w:rPr>
          <w:rtl/>
        </w:rPr>
        <w:t>3</w:t>
      </w:r>
      <w:r w:rsidRPr="00C40CCD">
        <w:rPr>
          <w:rtl/>
        </w:rPr>
        <w:t xml:space="preserve">) </w:t>
      </w:r>
    </w:p>
    <w:p w14:paraId="78196FAB" w14:textId="77777777" w:rsidR="001B6C22" w:rsidRPr="00323490" w:rsidRDefault="001B6C22" w:rsidP="00323490">
      <w:pPr>
        <w:pStyle w:val="SingleTxtGA"/>
        <w:tabs>
          <w:tab w:val="clear" w:pos="1928"/>
          <w:tab w:val="clear" w:pos="2608"/>
          <w:tab w:val="clear" w:pos="3289"/>
          <w:tab w:val="clear" w:pos="3969"/>
          <w:tab w:val="clear" w:pos="4649"/>
          <w:tab w:val="clear" w:pos="5330"/>
        </w:tabs>
        <w:ind w:left="4252" w:hanging="2324"/>
        <w:rPr>
          <w:lang w:val="en-US" w:eastAsia="zh-TW" w:bidi="en-GB"/>
        </w:rPr>
      </w:pPr>
      <w:r w:rsidRPr="0099598B">
        <w:rPr>
          <w:i/>
          <w:iCs/>
          <w:rtl/>
        </w:rPr>
        <w:t>مادتا البروتوكول الاختياري:</w:t>
      </w:r>
      <w:r w:rsidRPr="00C40CCD">
        <w:rPr>
          <w:rtl/>
        </w:rPr>
        <w:tab/>
      </w:r>
      <w:r w:rsidRPr="0099598B">
        <w:rPr>
          <w:rtl/>
        </w:rPr>
        <w:t>2</w:t>
      </w:r>
      <w:r w:rsidRPr="00C40CCD">
        <w:rPr>
          <w:rtl/>
        </w:rPr>
        <w:t xml:space="preserve"> و</w:t>
      </w:r>
      <w:r w:rsidRPr="0099598B">
        <w:rPr>
          <w:rtl/>
        </w:rPr>
        <w:t>5</w:t>
      </w:r>
      <w:r w:rsidRPr="00C40CCD">
        <w:rPr>
          <w:rtl/>
        </w:rPr>
        <w:t>(</w:t>
      </w:r>
      <w:r w:rsidRPr="0099598B">
        <w:rPr>
          <w:rtl/>
        </w:rPr>
        <w:t>2</w:t>
      </w:r>
      <w:r w:rsidRPr="00C40CCD">
        <w:rPr>
          <w:rtl/>
        </w:rPr>
        <w:t>)(ب)</w:t>
      </w:r>
    </w:p>
    <w:p w14:paraId="02DDF1C1" w14:textId="1EA3B8F7" w:rsidR="001B6C22" w:rsidRPr="00C139C1" w:rsidRDefault="001B6C22" w:rsidP="001B6C22">
      <w:pPr>
        <w:pStyle w:val="SingleTxtGA"/>
        <w:rPr>
          <w:lang w:eastAsia="zh-TW" w:bidi="en-GB"/>
        </w:rPr>
      </w:pPr>
      <w:r w:rsidRPr="0099598B">
        <w:rPr>
          <w:rtl/>
        </w:rPr>
        <w:t>1</w:t>
      </w:r>
      <w:r w:rsidRPr="00C40CCD">
        <w:rPr>
          <w:rtl/>
        </w:rPr>
        <w:t>-</w:t>
      </w:r>
      <w:r w:rsidRPr="00C40CCD">
        <w:rPr>
          <w:rtl/>
        </w:rPr>
        <w:tab/>
        <w:t xml:space="preserve">صاحب البلاغ هو فلاديمير مالي، وهو مواطن بيلاروسي من مواليد عام </w:t>
      </w:r>
      <w:r w:rsidRPr="0099598B">
        <w:rPr>
          <w:rtl/>
        </w:rPr>
        <w:t>1951</w:t>
      </w:r>
      <w:r>
        <w:rPr>
          <w:rtl/>
        </w:rPr>
        <w:t>،</w:t>
      </w:r>
      <w:r w:rsidRPr="00C40CCD">
        <w:rPr>
          <w:rtl/>
        </w:rPr>
        <w:t xml:space="preserve"> يدعي أن الدولة الطرف انتهكت حقوقه في إطار المادتين </w:t>
      </w:r>
      <w:r w:rsidRPr="0099598B">
        <w:rPr>
          <w:rtl/>
        </w:rPr>
        <w:t>19</w:t>
      </w:r>
      <w:r w:rsidRPr="00C40CCD">
        <w:rPr>
          <w:rtl/>
        </w:rPr>
        <w:t xml:space="preserve"> و</w:t>
      </w:r>
      <w:r w:rsidRPr="0099598B">
        <w:rPr>
          <w:rtl/>
        </w:rPr>
        <w:t>21</w:t>
      </w:r>
      <w:r w:rsidRPr="00C40CCD">
        <w:rPr>
          <w:rtl/>
        </w:rPr>
        <w:t xml:space="preserve">، مقروءتين بالاقتران مع الفقرتين </w:t>
      </w:r>
      <w:r w:rsidRPr="0099598B">
        <w:rPr>
          <w:rtl/>
        </w:rPr>
        <w:t>2</w:t>
      </w:r>
      <w:r w:rsidRPr="00C40CCD">
        <w:rPr>
          <w:rtl/>
        </w:rPr>
        <w:t xml:space="preserve"> و</w:t>
      </w:r>
      <w:r w:rsidRPr="0099598B">
        <w:rPr>
          <w:rtl/>
        </w:rPr>
        <w:t>3</w:t>
      </w:r>
      <w:r w:rsidRPr="00C40CCD">
        <w:rPr>
          <w:rtl/>
        </w:rPr>
        <w:t xml:space="preserve"> من المادة </w:t>
      </w:r>
      <w:r w:rsidRPr="0099598B">
        <w:rPr>
          <w:rtl/>
        </w:rPr>
        <w:t>2</w:t>
      </w:r>
      <w:r w:rsidRPr="00C40CCD">
        <w:rPr>
          <w:rtl/>
        </w:rPr>
        <w:t xml:space="preserve"> من العهد. وقد دخل البروتوكول الاختياري حيز النفاذ بالنسبة لبيلاروس في </w:t>
      </w:r>
      <w:r w:rsidRPr="0099598B">
        <w:rPr>
          <w:rtl/>
        </w:rPr>
        <w:t>30</w:t>
      </w:r>
      <w:r w:rsidRPr="00C40CCD">
        <w:rPr>
          <w:rtl/>
        </w:rPr>
        <w:t xml:space="preserve"> كانون الأول</w:t>
      </w:r>
      <w:proofErr w:type="gramStart"/>
      <w:r w:rsidRPr="00C40CCD">
        <w:rPr>
          <w:rtl/>
        </w:rPr>
        <w:t>/</w:t>
      </w:r>
      <w:r w:rsidR="007A0459">
        <w:rPr>
          <w:rFonts w:hint="cs"/>
          <w:rtl/>
        </w:rPr>
        <w:t xml:space="preserve">  </w:t>
      </w:r>
      <w:r w:rsidRPr="00C40CCD">
        <w:rPr>
          <w:rtl/>
        </w:rPr>
        <w:t>ديسمبر</w:t>
      </w:r>
      <w:proofErr w:type="gramEnd"/>
      <w:r w:rsidRPr="00C40CCD">
        <w:rPr>
          <w:rtl/>
        </w:rPr>
        <w:t xml:space="preserve"> </w:t>
      </w:r>
      <w:r w:rsidRPr="0099598B">
        <w:rPr>
          <w:rtl/>
        </w:rPr>
        <w:t>1992</w:t>
      </w:r>
      <w:r w:rsidRPr="00C40CCD">
        <w:rPr>
          <w:rtl/>
        </w:rPr>
        <w:t>. ولا يمثل صاحبَ البلاغ محامٍ.</w:t>
      </w:r>
    </w:p>
    <w:p w14:paraId="17902BB1" w14:textId="77777777" w:rsidR="001B6C22" w:rsidRPr="0099598B" w:rsidRDefault="001B6C22" w:rsidP="001B6C22">
      <w:pPr>
        <w:pStyle w:val="H23GA"/>
        <w:rPr>
          <w:lang w:val="ar-SA" w:eastAsia="zh-TW" w:bidi="en-GB"/>
        </w:rPr>
      </w:pPr>
      <w:r w:rsidRPr="0099598B">
        <w:rPr>
          <w:rtl/>
        </w:rPr>
        <w:lastRenderedPageBreak/>
        <w:tab/>
      </w:r>
      <w:r w:rsidRPr="0099598B">
        <w:rPr>
          <w:rtl/>
        </w:rPr>
        <w:tab/>
        <w:t>الوقائع كما عرضها صاحب البلاغ</w:t>
      </w:r>
    </w:p>
    <w:p w14:paraId="10E8F016" w14:textId="5CB9EC59" w:rsidR="001B6C22" w:rsidRPr="00B832B4" w:rsidRDefault="001B6C22" w:rsidP="001B6C22">
      <w:pPr>
        <w:pStyle w:val="SingleTxtGA"/>
        <w:rPr>
          <w:lang w:eastAsia="zh-TW" w:bidi="en-GB"/>
        </w:rPr>
      </w:pPr>
      <w:r w:rsidRPr="0099598B">
        <w:rPr>
          <w:rtl/>
        </w:rPr>
        <w:t>2</w:t>
      </w:r>
      <w:r>
        <w:rPr>
          <w:rtl/>
        </w:rPr>
        <w:t>-</w:t>
      </w:r>
      <w:r w:rsidRPr="0099598B">
        <w:rPr>
          <w:rtl/>
        </w:rPr>
        <w:t>1</w:t>
      </w:r>
      <w:r w:rsidRPr="00C40CCD">
        <w:rPr>
          <w:rtl/>
        </w:rPr>
        <w:tab/>
        <w:t xml:space="preserve">في </w:t>
      </w:r>
      <w:r w:rsidRPr="0099598B">
        <w:rPr>
          <w:rtl/>
        </w:rPr>
        <w:t>18</w:t>
      </w:r>
      <w:r w:rsidRPr="00C40CCD">
        <w:rPr>
          <w:rtl/>
        </w:rPr>
        <w:t xml:space="preserve"> آذار/مارس </w:t>
      </w:r>
      <w:r w:rsidRPr="0099598B">
        <w:rPr>
          <w:rtl/>
        </w:rPr>
        <w:t>2012</w:t>
      </w:r>
      <w:r w:rsidRPr="00C40CCD">
        <w:rPr>
          <w:rtl/>
        </w:rPr>
        <w:t xml:space="preserve">، قدم صاحب البلاغ طلباً إلى اللجنة التنفيذية المحلية لمدينة مالوريتا </w:t>
      </w:r>
      <w:r w:rsidRPr="00475543">
        <w:rPr>
          <w:spacing w:val="-4"/>
          <w:rtl/>
        </w:rPr>
        <w:t xml:space="preserve">طلبا لتنظيم اعتصام في </w:t>
      </w:r>
      <w:r w:rsidRPr="0099598B">
        <w:rPr>
          <w:spacing w:val="-4"/>
          <w:rtl/>
        </w:rPr>
        <w:t>7</w:t>
      </w:r>
      <w:r w:rsidRPr="00475543">
        <w:rPr>
          <w:spacing w:val="-4"/>
          <w:rtl/>
        </w:rPr>
        <w:t xml:space="preserve"> حزيران/يونيه </w:t>
      </w:r>
      <w:r w:rsidRPr="0099598B">
        <w:rPr>
          <w:spacing w:val="-4"/>
          <w:rtl/>
        </w:rPr>
        <w:t>2012</w:t>
      </w:r>
      <w:r w:rsidRPr="00475543">
        <w:rPr>
          <w:spacing w:val="-4"/>
          <w:rtl/>
        </w:rPr>
        <w:t xml:space="preserve">، من الساعة </w:t>
      </w:r>
      <w:r w:rsidRPr="0099598B">
        <w:rPr>
          <w:spacing w:val="-4"/>
          <w:rtl/>
        </w:rPr>
        <w:t>00</w:t>
      </w:r>
      <w:r w:rsidRPr="00475543">
        <w:rPr>
          <w:spacing w:val="-4"/>
          <w:rtl/>
        </w:rPr>
        <w:t>/</w:t>
      </w:r>
      <w:r w:rsidRPr="0099598B">
        <w:rPr>
          <w:spacing w:val="-4"/>
          <w:rtl/>
        </w:rPr>
        <w:t>13</w:t>
      </w:r>
      <w:r w:rsidRPr="00475543">
        <w:rPr>
          <w:spacing w:val="-4"/>
          <w:rtl/>
        </w:rPr>
        <w:t xml:space="preserve"> إلى </w:t>
      </w:r>
      <w:r w:rsidRPr="0099598B">
        <w:rPr>
          <w:spacing w:val="-4"/>
          <w:rtl/>
        </w:rPr>
        <w:t>00</w:t>
      </w:r>
      <w:r w:rsidRPr="00475543">
        <w:rPr>
          <w:spacing w:val="-4"/>
          <w:rtl/>
        </w:rPr>
        <w:t>/</w:t>
      </w:r>
      <w:r w:rsidRPr="0099598B">
        <w:rPr>
          <w:spacing w:val="-4"/>
          <w:rtl/>
        </w:rPr>
        <w:t>15</w:t>
      </w:r>
      <w:r w:rsidRPr="00475543">
        <w:rPr>
          <w:spacing w:val="-4"/>
          <w:rtl/>
        </w:rPr>
        <w:t>، بالقرب من المدخل الرئيس</w:t>
      </w:r>
      <w:r w:rsidRPr="00C40CCD">
        <w:rPr>
          <w:rtl/>
        </w:rPr>
        <w:t xml:space="preserve"> للمركز الثقافي</w:t>
      </w:r>
      <w:r w:rsidR="00F41276">
        <w:rPr>
          <w:rStyle w:val="FootnoteReference"/>
          <w:rFonts w:ascii="Simplified Arabic" w:hAnsi="Simplified Arabic"/>
          <w:rtl/>
        </w:rPr>
        <w:t>(</w:t>
      </w:r>
      <w:r w:rsidR="00F41276" w:rsidRPr="0099598B">
        <w:rPr>
          <w:rStyle w:val="FootnoteReference"/>
          <w:rFonts w:ascii="Simplified Arabic" w:hAnsi="Simplified Arabic"/>
          <w:lang w:val="en-US"/>
        </w:rPr>
        <w:footnoteReference w:id="3"/>
      </w:r>
      <w:r w:rsidR="00F41276">
        <w:rPr>
          <w:rStyle w:val="FootnoteReference"/>
          <w:rFonts w:ascii="Simplified Arabic" w:hAnsi="Simplified Arabic"/>
          <w:rtl/>
        </w:rPr>
        <w:t>)</w:t>
      </w:r>
      <w:r w:rsidRPr="00C40CCD">
        <w:rPr>
          <w:rtl/>
        </w:rPr>
        <w:t>. وكان الغرض المتوخى من الاعتصام لفت انتباه عامة الناس إلى عدم وجود انتخابات حرة وديمقراطية في بيلاروس.</w:t>
      </w:r>
    </w:p>
    <w:p w14:paraId="534F2ABF" w14:textId="48791725" w:rsidR="001B6C22" w:rsidRPr="00C40CCD" w:rsidRDefault="001B6C22" w:rsidP="001B6C22">
      <w:pPr>
        <w:pStyle w:val="SingleTxtGA"/>
        <w:rPr>
          <w:lang w:val="ar-SA" w:eastAsia="zh-TW" w:bidi="en-GB"/>
        </w:rPr>
      </w:pPr>
      <w:r w:rsidRPr="0099598B">
        <w:rPr>
          <w:rtl/>
        </w:rPr>
        <w:t>2</w:t>
      </w:r>
      <w:r>
        <w:rPr>
          <w:rtl/>
        </w:rPr>
        <w:t>-</w:t>
      </w:r>
      <w:r w:rsidRPr="0099598B">
        <w:rPr>
          <w:rtl/>
        </w:rPr>
        <w:t>2</w:t>
      </w:r>
      <w:r w:rsidRPr="00C40CCD">
        <w:rPr>
          <w:rtl/>
        </w:rPr>
        <w:tab/>
        <w:t xml:space="preserve">وفي </w:t>
      </w:r>
      <w:r w:rsidRPr="0099598B">
        <w:rPr>
          <w:rtl/>
        </w:rPr>
        <w:t>31</w:t>
      </w:r>
      <w:r w:rsidRPr="00C40CCD">
        <w:rPr>
          <w:rtl/>
        </w:rPr>
        <w:t xml:space="preserve"> أيار/مايو </w:t>
      </w:r>
      <w:r w:rsidRPr="0099598B">
        <w:rPr>
          <w:rtl/>
        </w:rPr>
        <w:t>2012</w:t>
      </w:r>
      <w:r w:rsidRPr="00C40CCD">
        <w:rPr>
          <w:rtl/>
        </w:rPr>
        <w:t xml:space="preserve">، رفضت اللجنة التنفيذية المحلية طلب صاحب البلاغ استناداً إلى المادة </w:t>
      </w:r>
      <w:r w:rsidRPr="0099598B">
        <w:rPr>
          <w:rtl/>
        </w:rPr>
        <w:t>9</w:t>
      </w:r>
      <w:r w:rsidRPr="00C40CCD">
        <w:rPr>
          <w:rtl/>
        </w:rPr>
        <w:t>(</w:t>
      </w:r>
      <w:r w:rsidRPr="0099598B">
        <w:rPr>
          <w:rtl/>
        </w:rPr>
        <w:t>3</w:t>
      </w:r>
      <w:r w:rsidRPr="00C40CCD">
        <w:rPr>
          <w:rtl/>
        </w:rPr>
        <w:t xml:space="preserve">) من قانون الأحداث العامة التي تنص على عدم </w:t>
      </w:r>
      <w:r>
        <w:rPr>
          <w:rtl/>
        </w:rPr>
        <w:t>جواز</w:t>
      </w:r>
      <w:r w:rsidRPr="00C40CCD">
        <w:rPr>
          <w:rtl/>
        </w:rPr>
        <w:t xml:space="preserve"> تنظيم أحداث جماهيرية على مسافة تقل عن </w:t>
      </w:r>
      <w:r w:rsidRPr="0099598B">
        <w:rPr>
          <w:rtl/>
        </w:rPr>
        <w:t>50</w:t>
      </w:r>
      <w:r w:rsidRPr="00C40CCD">
        <w:rPr>
          <w:rtl/>
        </w:rPr>
        <w:t xml:space="preserve"> متراً من مباني المؤسسات العامة، بما فيها السلطات التنفيذية والإدارية المحلية. ولما كانت بعض إدارات لجنة مالوريتا التنفيذية المحلية تقع في المركز الثقافي المذكور آنف</w:t>
      </w:r>
      <w:r w:rsidR="007A0459">
        <w:rPr>
          <w:rtl/>
        </w:rPr>
        <w:t>اً،</w:t>
      </w:r>
      <w:r w:rsidRPr="00C40CCD">
        <w:rPr>
          <w:rtl/>
        </w:rPr>
        <w:t xml:space="preserve"> فقد ذكرت اللجنة التنفيذية في قرارها أن الاعتصام محظور. وأكدت أن طلب تنظيم </w:t>
      </w:r>
      <w:r>
        <w:rPr>
          <w:rtl/>
        </w:rPr>
        <w:t>ال</w:t>
      </w:r>
      <w:r w:rsidRPr="00C40CCD">
        <w:rPr>
          <w:rtl/>
        </w:rPr>
        <w:t>اعتصام لا يتضمن أي معلومات عن مصدر تمويل الحدث.</w:t>
      </w:r>
    </w:p>
    <w:p w14:paraId="1F27C86A" w14:textId="5A25BAC9" w:rsidR="001B6C22" w:rsidRPr="00C40CCD" w:rsidRDefault="001B6C22" w:rsidP="001B6C22">
      <w:pPr>
        <w:pStyle w:val="SingleTxtGA"/>
        <w:rPr>
          <w:lang w:val="ar-SA" w:eastAsia="zh-TW" w:bidi="en-GB"/>
        </w:rPr>
      </w:pPr>
      <w:r w:rsidRPr="0099598B">
        <w:rPr>
          <w:rtl/>
        </w:rPr>
        <w:t>2</w:t>
      </w:r>
      <w:r>
        <w:rPr>
          <w:rtl/>
        </w:rPr>
        <w:t>-</w:t>
      </w:r>
      <w:r w:rsidRPr="0099598B">
        <w:rPr>
          <w:rtl/>
        </w:rPr>
        <w:t>3</w:t>
      </w:r>
      <w:r w:rsidRPr="00C40CCD">
        <w:rPr>
          <w:rtl/>
        </w:rPr>
        <w:tab/>
        <w:t xml:space="preserve">وفي </w:t>
      </w:r>
      <w:r w:rsidRPr="0099598B">
        <w:rPr>
          <w:rtl/>
        </w:rPr>
        <w:t>22</w:t>
      </w:r>
      <w:r w:rsidRPr="00C40CCD">
        <w:rPr>
          <w:rtl/>
        </w:rPr>
        <w:t xml:space="preserve"> حزيران/يونيه </w:t>
      </w:r>
      <w:r w:rsidRPr="0099598B">
        <w:rPr>
          <w:rtl/>
        </w:rPr>
        <w:t>2012</w:t>
      </w:r>
      <w:r w:rsidRPr="00C40CCD">
        <w:rPr>
          <w:rtl/>
        </w:rPr>
        <w:t xml:space="preserve">، استأنف صاحب البلاغ قرار اللجنة التنفيذية المحلية لدى محكمة مالوريتا المحلية مدعياً انتهاك حقوقه في حرية التعبير والتجمع السلمي المكفولة بدستور بيلاروس وبالمادتين </w:t>
      </w:r>
      <w:r w:rsidRPr="0099598B">
        <w:rPr>
          <w:rtl/>
        </w:rPr>
        <w:t>19</w:t>
      </w:r>
      <w:r w:rsidRPr="00C40CCD">
        <w:rPr>
          <w:rtl/>
        </w:rPr>
        <w:t xml:space="preserve"> و</w:t>
      </w:r>
      <w:r w:rsidRPr="0099598B">
        <w:rPr>
          <w:rtl/>
        </w:rPr>
        <w:t>21</w:t>
      </w:r>
      <w:r w:rsidRPr="00C40CCD">
        <w:rPr>
          <w:rtl/>
        </w:rPr>
        <w:t xml:space="preserve"> من العهد. وفي </w:t>
      </w:r>
      <w:r w:rsidRPr="0099598B">
        <w:rPr>
          <w:rtl/>
        </w:rPr>
        <w:t>10</w:t>
      </w:r>
      <w:r w:rsidRPr="00C40CCD">
        <w:rPr>
          <w:rtl/>
        </w:rPr>
        <w:t xml:space="preserve"> تموز/يوليه </w:t>
      </w:r>
      <w:r w:rsidRPr="0099598B">
        <w:rPr>
          <w:rtl/>
        </w:rPr>
        <w:t>2012</w:t>
      </w:r>
      <w:r w:rsidRPr="00C40CCD">
        <w:rPr>
          <w:rtl/>
        </w:rPr>
        <w:t xml:space="preserve">، اعتبرت المحكمة أن قرار اللجنة التنفيذية المحلية يمتثل </w:t>
      </w:r>
      <w:r>
        <w:rPr>
          <w:rtl/>
        </w:rPr>
        <w:t>ل</w:t>
      </w:r>
      <w:r w:rsidRPr="00C40CCD">
        <w:rPr>
          <w:rtl/>
        </w:rPr>
        <w:t>أحكامَ قانون الأحداث العامة ورفضت استئناف صاحب البلاغ.</w:t>
      </w:r>
    </w:p>
    <w:p w14:paraId="54405AFB" w14:textId="346A1F00" w:rsidR="001B6C22" w:rsidRPr="00C40CCD" w:rsidRDefault="001B6C22" w:rsidP="001B6C22">
      <w:pPr>
        <w:pStyle w:val="SingleTxtGA"/>
        <w:rPr>
          <w:lang w:val="ar-SA" w:eastAsia="zh-TW" w:bidi="en-GB"/>
        </w:rPr>
      </w:pPr>
      <w:r w:rsidRPr="0099598B">
        <w:rPr>
          <w:rtl/>
        </w:rPr>
        <w:t>2</w:t>
      </w:r>
      <w:r>
        <w:rPr>
          <w:rtl/>
        </w:rPr>
        <w:t>-</w:t>
      </w:r>
      <w:r w:rsidRPr="0099598B">
        <w:rPr>
          <w:rtl/>
        </w:rPr>
        <w:t>4</w:t>
      </w:r>
      <w:r w:rsidRPr="00C40CCD">
        <w:rPr>
          <w:rtl/>
        </w:rPr>
        <w:tab/>
        <w:t xml:space="preserve">وفي </w:t>
      </w:r>
      <w:r w:rsidRPr="0099598B">
        <w:rPr>
          <w:rtl/>
        </w:rPr>
        <w:t>20</w:t>
      </w:r>
      <w:r w:rsidRPr="00C40CCD">
        <w:rPr>
          <w:rtl/>
        </w:rPr>
        <w:t xml:space="preserve"> آب/أغسطس </w:t>
      </w:r>
      <w:r w:rsidRPr="0099598B">
        <w:rPr>
          <w:rtl/>
        </w:rPr>
        <w:t>2012</w:t>
      </w:r>
      <w:r w:rsidRPr="00C40CCD">
        <w:rPr>
          <w:rtl/>
        </w:rPr>
        <w:t xml:space="preserve">، لم تؤيد محكمة بريست الإقليمية ادعاء صاحب البلاغ ورفضت </w:t>
      </w:r>
      <w:r w:rsidRPr="00475543">
        <w:rPr>
          <w:spacing w:val="-2"/>
          <w:rtl/>
        </w:rPr>
        <w:t>إعادة النظر في القرار. وبعدئذ طلب صاحب البلاغ إجراء مراجعة قضائية رقابية إلى رئيس محكمة بريست</w:t>
      </w:r>
      <w:r w:rsidRPr="00C40CCD">
        <w:rPr>
          <w:rtl/>
        </w:rPr>
        <w:t xml:space="preserve"> الإقليمية وإلى المحكمة العليا. ورُفض الطلبان في </w:t>
      </w:r>
      <w:r w:rsidRPr="0099598B">
        <w:rPr>
          <w:rtl/>
        </w:rPr>
        <w:t>15</w:t>
      </w:r>
      <w:r w:rsidRPr="00C40CCD">
        <w:rPr>
          <w:rtl/>
        </w:rPr>
        <w:t xml:space="preserve"> تشرين الثاني/نوفمبر </w:t>
      </w:r>
      <w:r w:rsidRPr="0099598B">
        <w:rPr>
          <w:rtl/>
        </w:rPr>
        <w:t>2012</w:t>
      </w:r>
      <w:r w:rsidRPr="00C40CCD">
        <w:rPr>
          <w:rtl/>
        </w:rPr>
        <w:t xml:space="preserve"> و</w:t>
      </w:r>
      <w:r w:rsidRPr="0099598B">
        <w:rPr>
          <w:rtl/>
        </w:rPr>
        <w:t>18</w:t>
      </w:r>
      <w:r w:rsidRPr="00C40CCD">
        <w:rPr>
          <w:rtl/>
        </w:rPr>
        <w:t xml:space="preserve"> كانون الأول/</w:t>
      </w:r>
      <w:r w:rsidR="00475543">
        <w:rPr>
          <w:rFonts w:hint="cs"/>
          <w:rtl/>
        </w:rPr>
        <w:t xml:space="preserve"> </w:t>
      </w:r>
      <w:r w:rsidRPr="00C40CCD">
        <w:rPr>
          <w:rtl/>
        </w:rPr>
        <w:t xml:space="preserve">ديسمبر </w:t>
      </w:r>
      <w:r w:rsidRPr="0099598B">
        <w:rPr>
          <w:rtl/>
        </w:rPr>
        <w:t>2012</w:t>
      </w:r>
      <w:r w:rsidRPr="00C40CCD">
        <w:rPr>
          <w:rtl/>
        </w:rPr>
        <w:t xml:space="preserve"> على التوالي. ويدعي صاحب البلاغ أنه استنفد جميع سبل الانتصاف المحلية.</w:t>
      </w:r>
    </w:p>
    <w:p w14:paraId="43EF2C2B" w14:textId="77777777" w:rsidR="001B6C22" w:rsidRPr="0099598B" w:rsidRDefault="001B6C22" w:rsidP="001B6C22">
      <w:pPr>
        <w:pStyle w:val="H23GA"/>
        <w:rPr>
          <w:lang w:eastAsia="zh-TW" w:bidi="en-GB"/>
        </w:rPr>
      </w:pPr>
      <w:r w:rsidRPr="0099598B">
        <w:rPr>
          <w:rtl/>
        </w:rPr>
        <w:tab/>
      </w:r>
      <w:r w:rsidRPr="0099598B">
        <w:rPr>
          <w:rtl/>
        </w:rPr>
        <w:tab/>
        <w:t>الشكوى</w:t>
      </w:r>
    </w:p>
    <w:p w14:paraId="497E576B" w14:textId="77777777" w:rsidR="001B6C22" w:rsidRPr="00C139C1" w:rsidRDefault="001B6C22" w:rsidP="001B6C22">
      <w:pPr>
        <w:pStyle w:val="SingleTxtGA"/>
        <w:rPr>
          <w:lang w:eastAsia="zh-TW" w:bidi="en-GB"/>
        </w:rPr>
      </w:pPr>
      <w:r w:rsidRPr="0099598B">
        <w:rPr>
          <w:rtl/>
        </w:rPr>
        <w:t>3</w:t>
      </w:r>
      <w:r>
        <w:rPr>
          <w:rtl/>
        </w:rPr>
        <w:t>-</w:t>
      </w:r>
      <w:r w:rsidRPr="0099598B">
        <w:rPr>
          <w:rtl/>
        </w:rPr>
        <w:t>1</w:t>
      </w:r>
      <w:r w:rsidRPr="00C40CCD">
        <w:rPr>
          <w:rtl/>
        </w:rPr>
        <w:tab/>
        <w:t xml:space="preserve">يدعي صاحب البلاغ أن الدولة الطرف انتهكت حقوقه بمقتضى المادتين </w:t>
      </w:r>
      <w:r w:rsidRPr="0099598B">
        <w:rPr>
          <w:rtl/>
        </w:rPr>
        <w:t>19</w:t>
      </w:r>
      <w:r w:rsidRPr="00C40CCD">
        <w:rPr>
          <w:rtl/>
        </w:rPr>
        <w:t xml:space="preserve"> و</w:t>
      </w:r>
      <w:r w:rsidRPr="0099598B">
        <w:rPr>
          <w:rtl/>
        </w:rPr>
        <w:t>21</w:t>
      </w:r>
      <w:r w:rsidRPr="00C40CCD">
        <w:rPr>
          <w:rtl/>
        </w:rPr>
        <w:t xml:space="preserve"> من العهد، مقروءتين بالاقتران مع الفقرتين (</w:t>
      </w:r>
      <w:r w:rsidRPr="0099598B">
        <w:rPr>
          <w:rtl/>
        </w:rPr>
        <w:t>2</w:t>
      </w:r>
      <w:r w:rsidRPr="00C40CCD">
        <w:rPr>
          <w:rtl/>
        </w:rPr>
        <w:t>) و(</w:t>
      </w:r>
      <w:r w:rsidRPr="0099598B">
        <w:rPr>
          <w:rtl/>
        </w:rPr>
        <w:t>3</w:t>
      </w:r>
      <w:r w:rsidRPr="00C40CCD">
        <w:rPr>
          <w:rtl/>
        </w:rPr>
        <w:t xml:space="preserve">) من المادة </w:t>
      </w:r>
      <w:r w:rsidRPr="0099598B">
        <w:rPr>
          <w:rtl/>
        </w:rPr>
        <w:t>2</w:t>
      </w:r>
      <w:r w:rsidRPr="00C40CCD">
        <w:rPr>
          <w:rtl/>
        </w:rPr>
        <w:t xml:space="preserve"> منه. ويرى أن السبب في رفض تنظيم تجمع سلمي وحرمانه من حقه في حرية التعبير غير قانوني. وأعرب مراراً وتكراراً في بياناته الكتابية إلى لجنة مالوريتا التنفيذية المحلية عن استعداده للتفاوض مع السلطات المحلية والنظر في بديل للاعتصام. بيد أن هذه السلطات حظرت الاعتصام دون أن تقترح بديلا.</w:t>
      </w:r>
    </w:p>
    <w:p w14:paraId="0EEC8FFF" w14:textId="77777777" w:rsidR="001B6C22" w:rsidRPr="00C139C1" w:rsidRDefault="001B6C22" w:rsidP="001B6C22">
      <w:pPr>
        <w:pStyle w:val="SingleTxtGA"/>
        <w:rPr>
          <w:lang w:eastAsia="zh-TW" w:bidi="en-GB"/>
        </w:rPr>
      </w:pPr>
      <w:r w:rsidRPr="0099598B">
        <w:rPr>
          <w:rtl/>
        </w:rPr>
        <w:t>3</w:t>
      </w:r>
      <w:r>
        <w:rPr>
          <w:rtl/>
        </w:rPr>
        <w:t>-</w:t>
      </w:r>
      <w:r w:rsidRPr="0099598B">
        <w:rPr>
          <w:rtl/>
        </w:rPr>
        <w:t>2</w:t>
      </w:r>
      <w:r w:rsidRPr="00C40CCD">
        <w:rPr>
          <w:rtl/>
        </w:rPr>
        <w:tab/>
        <w:t>ويرى صاحب البلاغ أن السلطات لم توضح لماذا قد يكون فرض قيود على تنظيم اعتصام في هذه القضية بعينها ضروريا في مجتمع ديمقراطي لصون الأمن الوطني أو السلامة العامة لحماية الصحة العامة أو الآداب العامة أو حقوق الغيْر وحرياته</w:t>
      </w:r>
      <w:r>
        <w:rPr>
          <w:rtl/>
        </w:rPr>
        <w:t>م</w:t>
      </w:r>
      <w:r w:rsidRPr="00C40CCD">
        <w:rPr>
          <w:rtl/>
        </w:rPr>
        <w:t xml:space="preserve">. وإضافة إلى ذلك، لم تستطع السلطات أن تثبت أن استحالة تنظيم تجمع سلمي على مسافة تقل عن </w:t>
      </w:r>
      <w:r w:rsidRPr="0099598B">
        <w:rPr>
          <w:rtl/>
        </w:rPr>
        <w:t>50</w:t>
      </w:r>
      <w:r w:rsidRPr="00C40CCD">
        <w:rPr>
          <w:rtl/>
        </w:rPr>
        <w:t xml:space="preserve"> متراً من مؤسسات الإدارة العامة، بما فيها السجل المدني، سبب قانوني وعادل لحظر الاعتصامات. </w:t>
      </w:r>
    </w:p>
    <w:p w14:paraId="245CE13C" w14:textId="77777777" w:rsidR="001B6C22" w:rsidRPr="00C40CCD" w:rsidRDefault="001B6C22" w:rsidP="001B6C22">
      <w:pPr>
        <w:pStyle w:val="SingleTxtGA"/>
        <w:rPr>
          <w:lang w:val="ar-SA" w:eastAsia="zh-TW" w:bidi="en-GB"/>
        </w:rPr>
      </w:pPr>
      <w:r w:rsidRPr="0099598B">
        <w:rPr>
          <w:rtl/>
        </w:rPr>
        <w:t>3</w:t>
      </w:r>
      <w:r>
        <w:rPr>
          <w:rtl/>
        </w:rPr>
        <w:t>-</w:t>
      </w:r>
      <w:r w:rsidRPr="0099598B">
        <w:rPr>
          <w:rtl/>
        </w:rPr>
        <w:t>3</w:t>
      </w:r>
      <w:r w:rsidRPr="00C40CCD">
        <w:rPr>
          <w:rtl/>
        </w:rPr>
        <w:tab/>
      </w:r>
      <w:r w:rsidRPr="00475543">
        <w:rPr>
          <w:spacing w:val="-4"/>
          <w:rtl/>
        </w:rPr>
        <w:t>وفيما يتعلق بالفقرتين (</w:t>
      </w:r>
      <w:r w:rsidRPr="0099598B">
        <w:rPr>
          <w:spacing w:val="-4"/>
          <w:rtl/>
        </w:rPr>
        <w:t>2</w:t>
      </w:r>
      <w:r w:rsidRPr="00475543">
        <w:rPr>
          <w:spacing w:val="-4"/>
          <w:rtl/>
        </w:rPr>
        <w:t>) و(</w:t>
      </w:r>
      <w:r w:rsidRPr="0099598B">
        <w:rPr>
          <w:spacing w:val="-4"/>
          <w:rtl/>
        </w:rPr>
        <w:t>3</w:t>
      </w:r>
      <w:r w:rsidRPr="00475543">
        <w:rPr>
          <w:spacing w:val="-4"/>
          <w:rtl/>
        </w:rPr>
        <w:t xml:space="preserve">) من المادة </w:t>
      </w:r>
      <w:r w:rsidRPr="0099598B">
        <w:rPr>
          <w:spacing w:val="-4"/>
          <w:rtl/>
        </w:rPr>
        <w:t>2</w:t>
      </w:r>
      <w:r w:rsidRPr="00475543">
        <w:rPr>
          <w:spacing w:val="-4"/>
          <w:rtl/>
        </w:rPr>
        <w:t xml:space="preserve"> من العهد، يقول صاحب البلاغ إن المحاكم رفضت</w:t>
      </w:r>
      <w:r w:rsidRPr="00C40CCD">
        <w:rPr>
          <w:rtl/>
        </w:rPr>
        <w:t xml:space="preserve"> مراعاة الأحكام القانونية الدولية، أي أحكام العهد، وهي تؤيد قرار لجنة مالوريتا التنفيذية المحلية.</w:t>
      </w:r>
    </w:p>
    <w:p w14:paraId="1A398C19" w14:textId="77777777" w:rsidR="001B6C22" w:rsidRPr="0099598B" w:rsidRDefault="001B6C22" w:rsidP="001B6C22">
      <w:pPr>
        <w:pStyle w:val="H23GA"/>
        <w:rPr>
          <w:lang w:eastAsia="zh-TW" w:bidi="en-GB"/>
        </w:rPr>
      </w:pPr>
      <w:r w:rsidRPr="0099598B">
        <w:rPr>
          <w:rtl/>
        </w:rPr>
        <w:lastRenderedPageBreak/>
        <w:tab/>
      </w:r>
      <w:r w:rsidRPr="0099598B">
        <w:rPr>
          <w:rtl/>
        </w:rPr>
        <w:tab/>
        <w:t xml:space="preserve">ملاحظات الدولة الطرف بشأن المقبولية </w:t>
      </w:r>
    </w:p>
    <w:p w14:paraId="2CC051A2" w14:textId="75189A3F" w:rsidR="001B6C22" w:rsidRPr="00C139C1" w:rsidRDefault="001B6C22" w:rsidP="00475543">
      <w:pPr>
        <w:pStyle w:val="SingleTxtGA"/>
        <w:spacing w:line="340" w:lineRule="exact"/>
        <w:rPr>
          <w:lang w:eastAsia="zh-TW" w:bidi="en-GB"/>
        </w:rPr>
      </w:pPr>
      <w:r w:rsidRPr="0099598B">
        <w:rPr>
          <w:rtl/>
        </w:rPr>
        <w:t>4</w:t>
      </w:r>
      <w:r w:rsidRPr="00C40CCD">
        <w:rPr>
          <w:rtl/>
        </w:rPr>
        <w:t>-</w:t>
      </w:r>
      <w:r w:rsidRPr="00C40CCD">
        <w:rPr>
          <w:rtl/>
        </w:rPr>
        <w:tab/>
      </w:r>
      <w:r w:rsidRPr="00475543">
        <w:rPr>
          <w:spacing w:val="-2"/>
          <w:rtl/>
        </w:rPr>
        <w:t xml:space="preserve">قدمت الدولة الطرف، في مذكرة شفوية مؤرخة </w:t>
      </w:r>
      <w:r w:rsidRPr="0099598B">
        <w:rPr>
          <w:spacing w:val="-2"/>
          <w:rtl/>
        </w:rPr>
        <w:t>21</w:t>
      </w:r>
      <w:r w:rsidRPr="00475543">
        <w:rPr>
          <w:spacing w:val="-2"/>
          <w:rtl/>
        </w:rPr>
        <w:t xml:space="preserve"> تموز/يوليه </w:t>
      </w:r>
      <w:r w:rsidRPr="0099598B">
        <w:rPr>
          <w:spacing w:val="-2"/>
          <w:rtl/>
        </w:rPr>
        <w:t>2014</w:t>
      </w:r>
      <w:r w:rsidRPr="00475543">
        <w:rPr>
          <w:spacing w:val="-2"/>
          <w:rtl/>
        </w:rPr>
        <w:t xml:space="preserve">، ملاحظاتها بشأن المقبولية. وتدفع بأنه ينبغي إعلان عدم مقبولية بلاغ صاحبه وفقاً للمادة </w:t>
      </w:r>
      <w:r w:rsidRPr="0099598B">
        <w:rPr>
          <w:spacing w:val="-2"/>
          <w:rtl/>
        </w:rPr>
        <w:t>5</w:t>
      </w:r>
      <w:r w:rsidRPr="00475543">
        <w:rPr>
          <w:spacing w:val="-2"/>
          <w:rtl/>
        </w:rPr>
        <w:t>(</w:t>
      </w:r>
      <w:r w:rsidRPr="0099598B">
        <w:rPr>
          <w:spacing w:val="-2"/>
          <w:rtl/>
        </w:rPr>
        <w:t>2</w:t>
      </w:r>
      <w:r w:rsidRPr="00475543">
        <w:rPr>
          <w:spacing w:val="-2"/>
          <w:rtl/>
        </w:rPr>
        <w:t>)(ب) من البروتوكول الاختياري</w:t>
      </w:r>
      <w:r w:rsidRPr="00C40CCD">
        <w:rPr>
          <w:rtl/>
        </w:rPr>
        <w:t xml:space="preserve"> لأنه لم</w:t>
      </w:r>
      <w:r w:rsidR="00475543">
        <w:rPr>
          <w:rFonts w:hint="cs"/>
          <w:rtl/>
        </w:rPr>
        <w:t> </w:t>
      </w:r>
      <w:r w:rsidRPr="00C40CCD">
        <w:rPr>
          <w:rtl/>
        </w:rPr>
        <w:t>يستنفد سبل الانتصاف المحلية.</w:t>
      </w:r>
    </w:p>
    <w:p w14:paraId="69087051" w14:textId="77777777" w:rsidR="001B6C22" w:rsidRPr="0099598B" w:rsidRDefault="001B6C22" w:rsidP="00475543">
      <w:pPr>
        <w:pStyle w:val="H23GA"/>
        <w:spacing w:before="200" w:after="100" w:line="360" w:lineRule="exact"/>
        <w:rPr>
          <w:lang w:val="ar-SA" w:eastAsia="zh-TW" w:bidi="en-GB"/>
        </w:rPr>
      </w:pPr>
      <w:r w:rsidRPr="0099598B">
        <w:rPr>
          <w:rtl/>
        </w:rPr>
        <w:tab/>
      </w:r>
      <w:r w:rsidRPr="0099598B">
        <w:rPr>
          <w:rtl/>
        </w:rPr>
        <w:tab/>
        <w:t>تعليقات صاحب البلاغ على ملاحظات الدولة الطرف بشأن المقبولية</w:t>
      </w:r>
    </w:p>
    <w:p w14:paraId="03C9C3AC" w14:textId="1A67B57D" w:rsidR="001B6C22" w:rsidRPr="00C139C1" w:rsidRDefault="001B6C22" w:rsidP="00475543">
      <w:pPr>
        <w:pStyle w:val="SingleTxtGA"/>
        <w:spacing w:line="340" w:lineRule="exact"/>
        <w:rPr>
          <w:lang w:eastAsia="zh-TW" w:bidi="en-GB"/>
        </w:rPr>
      </w:pPr>
      <w:r w:rsidRPr="0099598B">
        <w:rPr>
          <w:rtl/>
        </w:rPr>
        <w:t>5</w:t>
      </w:r>
      <w:r w:rsidRPr="00C40CCD">
        <w:rPr>
          <w:rtl/>
        </w:rPr>
        <w:t>-</w:t>
      </w:r>
      <w:r w:rsidRPr="00C40CCD">
        <w:rPr>
          <w:rtl/>
        </w:rPr>
        <w:tab/>
        <w:t xml:space="preserve">في </w:t>
      </w:r>
      <w:r w:rsidRPr="0099598B">
        <w:rPr>
          <w:rtl/>
        </w:rPr>
        <w:t>22</w:t>
      </w:r>
      <w:r w:rsidRPr="00C40CCD">
        <w:rPr>
          <w:rtl/>
        </w:rPr>
        <w:t xml:space="preserve"> أيلول/سبتمبر </w:t>
      </w:r>
      <w:r w:rsidRPr="0099598B">
        <w:rPr>
          <w:rtl/>
        </w:rPr>
        <w:t>2014</w:t>
      </w:r>
      <w:r w:rsidRPr="00C40CCD">
        <w:rPr>
          <w:rtl/>
        </w:rPr>
        <w:t xml:space="preserve">، دفع صاحب البلاغ بأن إجراءات المراجعة القضائية الرقابية في </w:t>
      </w:r>
      <w:r w:rsidRPr="00475543">
        <w:rPr>
          <w:spacing w:val="-4"/>
          <w:rtl/>
        </w:rPr>
        <w:t>الدولة الطرف ليست سبيل انتصاف محلياً فعالاً. فلكي يعتبر الانتصاف فعالاً، يجب أن تكون فرص نجاحه</w:t>
      </w:r>
      <w:r w:rsidRPr="00C40CCD">
        <w:rPr>
          <w:rtl/>
        </w:rPr>
        <w:t xml:space="preserve"> </w:t>
      </w:r>
      <w:r w:rsidRPr="00475543">
        <w:rPr>
          <w:spacing w:val="-4"/>
          <w:rtl/>
        </w:rPr>
        <w:t>معقولة. ويضاف إلى ذلك أن المحكمة الأوروبية لحقوق الإنسان أعلنت في اجتهاداتها السابقة أن الإجراءات</w:t>
      </w:r>
      <w:r w:rsidRPr="00C40CCD">
        <w:rPr>
          <w:rtl/>
        </w:rPr>
        <w:t xml:space="preserve"> </w:t>
      </w:r>
      <w:r w:rsidRPr="00475543">
        <w:rPr>
          <w:spacing w:val="-4"/>
          <w:rtl/>
        </w:rPr>
        <w:t>الرقابية "تقديرية" وأنها من ثم سبل انتصاف غير فعالة</w:t>
      </w:r>
      <w:r w:rsidR="00F41276">
        <w:rPr>
          <w:rStyle w:val="FootnoteReference"/>
          <w:rFonts w:ascii="Simplified Arabic" w:hAnsi="Simplified Arabic"/>
          <w:rtl/>
        </w:rPr>
        <w:t>(</w:t>
      </w:r>
      <w:r w:rsidR="00F41276" w:rsidRPr="0099598B">
        <w:rPr>
          <w:rStyle w:val="FootnoteReference"/>
          <w:rFonts w:ascii="Simplified Arabic" w:hAnsi="Simplified Arabic"/>
          <w:lang w:val="en-US"/>
        </w:rPr>
        <w:footnoteReference w:id="4"/>
      </w:r>
      <w:r w:rsidR="00F41276">
        <w:rPr>
          <w:rStyle w:val="FootnoteReference"/>
          <w:rFonts w:ascii="Simplified Arabic" w:hAnsi="Simplified Arabic"/>
          <w:rtl/>
        </w:rPr>
        <w:t>)</w:t>
      </w:r>
      <w:r w:rsidRPr="00C40CCD">
        <w:rPr>
          <w:rtl/>
        </w:rPr>
        <w:t>. ويطلب صاحب البلاغ إلى اللجنة أن تعتبر شكواه مقبولة وتنتقل إلى النظر في أسسها الموضوعية.</w:t>
      </w:r>
    </w:p>
    <w:p w14:paraId="6E6454B4" w14:textId="77777777" w:rsidR="001B6C22" w:rsidRPr="0099598B" w:rsidRDefault="001B6C22" w:rsidP="00475543">
      <w:pPr>
        <w:pStyle w:val="H23GA"/>
        <w:spacing w:before="200" w:after="100" w:line="360" w:lineRule="exact"/>
        <w:rPr>
          <w:lang w:val="ar-SA" w:eastAsia="zh-TW" w:bidi="en-GB"/>
        </w:rPr>
      </w:pPr>
      <w:r w:rsidRPr="0099598B">
        <w:rPr>
          <w:rtl/>
        </w:rPr>
        <w:tab/>
      </w:r>
      <w:r w:rsidRPr="0099598B">
        <w:rPr>
          <w:rtl/>
        </w:rPr>
        <w:tab/>
        <w:t>ملاحظات إضافية من الدولة الطرف بشأن مقبولية البلاغ وملاحظاتها بشأن أسسه الموضوعية</w:t>
      </w:r>
    </w:p>
    <w:p w14:paraId="1A127893" w14:textId="77777777" w:rsidR="001B6C22" w:rsidRPr="00C139C1" w:rsidRDefault="001B6C22" w:rsidP="00475543">
      <w:pPr>
        <w:pStyle w:val="SingleTxtGA"/>
        <w:spacing w:line="340" w:lineRule="exact"/>
        <w:rPr>
          <w:lang w:eastAsia="zh-TW" w:bidi="en-GB"/>
        </w:rPr>
      </w:pPr>
      <w:r w:rsidRPr="0099598B">
        <w:rPr>
          <w:rtl/>
        </w:rPr>
        <w:t>6</w:t>
      </w:r>
      <w:r>
        <w:rPr>
          <w:rtl/>
        </w:rPr>
        <w:t>-</w:t>
      </w:r>
      <w:r w:rsidRPr="0099598B">
        <w:rPr>
          <w:rtl/>
        </w:rPr>
        <w:t>1</w:t>
      </w:r>
      <w:r w:rsidRPr="00C40CCD">
        <w:rPr>
          <w:rtl/>
        </w:rPr>
        <w:tab/>
      </w:r>
      <w:r w:rsidRPr="00475543">
        <w:rPr>
          <w:spacing w:val="-2"/>
          <w:rtl/>
        </w:rPr>
        <w:t xml:space="preserve">في </w:t>
      </w:r>
      <w:r w:rsidRPr="0099598B">
        <w:rPr>
          <w:spacing w:val="-2"/>
          <w:rtl/>
        </w:rPr>
        <w:t>4</w:t>
      </w:r>
      <w:r w:rsidRPr="00475543">
        <w:rPr>
          <w:spacing w:val="-2"/>
          <w:rtl/>
        </w:rPr>
        <w:t xml:space="preserve"> تشرين الثاني/نوفمبر </w:t>
      </w:r>
      <w:r w:rsidRPr="0099598B">
        <w:rPr>
          <w:spacing w:val="-2"/>
          <w:rtl/>
        </w:rPr>
        <w:t>2014</w:t>
      </w:r>
      <w:r w:rsidRPr="00475543">
        <w:rPr>
          <w:spacing w:val="-2"/>
          <w:rtl/>
        </w:rPr>
        <w:t>، كررت الدولة الطرف أن صاحب البلاغ لم يستنفد جميع سبل</w:t>
      </w:r>
      <w:r w:rsidRPr="00C40CCD">
        <w:rPr>
          <w:rtl/>
        </w:rPr>
        <w:t xml:space="preserve"> الانتصاف المحلية الموجودة.</w:t>
      </w:r>
    </w:p>
    <w:p w14:paraId="51A86A8E" w14:textId="4BEB3C75" w:rsidR="001B6C22" w:rsidRPr="00C40CCD" w:rsidRDefault="001B6C22" w:rsidP="00475543">
      <w:pPr>
        <w:pStyle w:val="SingleTxtGA"/>
        <w:spacing w:line="340" w:lineRule="exact"/>
        <w:rPr>
          <w:lang w:val="ar-SA" w:eastAsia="zh-TW" w:bidi="en-GB"/>
        </w:rPr>
      </w:pPr>
      <w:r w:rsidRPr="0099598B">
        <w:rPr>
          <w:rtl/>
        </w:rPr>
        <w:t>6</w:t>
      </w:r>
      <w:r>
        <w:rPr>
          <w:rtl/>
        </w:rPr>
        <w:t>-</w:t>
      </w:r>
      <w:r w:rsidRPr="0099598B">
        <w:rPr>
          <w:rtl/>
        </w:rPr>
        <w:t>2</w:t>
      </w:r>
      <w:r w:rsidRPr="00C40CCD">
        <w:rPr>
          <w:rtl/>
        </w:rPr>
        <w:tab/>
      </w:r>
      <w:r w:rsidRPr="00475543">
        <w:rPr>
          <w:spacing w:val="-4"/>
          <w:rtl/>
        </w:rPr>
        <w:t xml:space="preserve">وفي </w:t>
      </w:r>
      <w:r w:rsidRPr="0099598B">
        <w:rPr>
          <w:spacing w:val="-4"/>
          <w:rtl/>
        </w:rPr>
        <w:t>28</w:t>
      </w:r>
      <w:r w:rsidRPr="00475543">
        <w:rPr>
          <w:spacing w:val="-4"/>
          <w:rtl/>
        </w:rPr>
        <w:t xml:space="preserve"> كانون الأول/ديسمبر </w:t>
      </w:r>
      <w:r w:rsidRPr="0099598B">
        <w:rPr>
          <w:spacing w:val="-4"/>
          <w:rtl/>
        </w:rPr>
        <w:t>2018</w:t>
      </w:r>
      <w:r w:rsidRPr="00475543">
        <w:rPr>
          <w:spacing w:val="-4"/>
          <w:rtl/>
        </w:rPr>
        <w:t>، قدمت الدولة الطرف ملاحظاتها بشأن الأسس الموضوعية</w:t>
      </w:r>
      <w:r w:rsidRPr="00C40CCD">
        <w:rPr>
          <w:rtl/>
        </w:rPr>
        <w:t xml:space="preserve"> وأبلغت اللجنة بأن اللجنة التنفيذية المحلية لمدينة مالوريتا رفضت في </w:t>
      </w:r>
      <w:r w:rsidRPr="0099598B">
        <w:rPr>
          <w:rtl/>
        </w:rPr>
        <w:t>31</w:t>
      </w:r>
      <w:r w:rsidRPr="00C40CCD">
        <w:rPr>
          <w:rtl/>
        </w:rPr>
        <w:t xml:space="preserve"> أيار/مايو </w:t>
      </w:r>
      <w:r w:rsidRPr="0099598B">
        <w:rPr>
          <w:rtl/>
        </w:rPr>
        <w:t>2012</w:t>
      </w:r>
      <w:r w:rsidRPr="00C40CCD">
        <w:rPr>
          <w:rtl/>
        </w:rPr>
        <w:t xml:space="preserve"> طلب صاحب البلاغ تنظيم اعتصام في الساحة التي أمام المركز الثقافي، استناداً إلى المادة </w:t>
      </w:r>
      <w:r w:rsidRPr="0099598B">
        <w:rPr>
          <w:rtl/>
        </w:rPr>
        <w:t>9</w:t>
      </w:r>
      <w:r w:rsidRPr="00C40CCD">
        <w:rPr>
          <w:rtl/>
        </w:rPr>
        <w:t xml:space="preserve"> من قانون</w:t>
      </w:r>
      <w:r w:rsidR="00B05C54">
        <w:rPr>
          <w:rFonts w:hint="cs"/>
          <w:rtl/>
        </w:rPr>
        <w:t> </w:t>
      </w:r>
      <w:r w:rsidRPr="00C40CCD">
        <w:rPr>
          <w:rtl/>
        </w:rPr>
        <w:t xml:space="preserve">الأحداث العامة الصادر في </w:t>
      </w:r>
      <w:r w:rsidRPr="0099598B">
        <w:rPr>
          <w:rtl/>
        </w:rPr>
        <w:t>30</w:t>
      </w:r>
      <w:r w:rsidRPr="00C40CCD">
        <w:rPr>
          <w:rtl/>
        </w:rPr>
        <w:t xml:space="preserve"> كانون الأول/ديسمبر </w:t>
      </w:r>
      <w:r w:rsidRPr="0099598B">
        <w:rPr>
          <w:rtl/>
        </w:rPr>
        <w:t>1997</w:t>
      </w:r>
      <w:r w:rsidRPr="00C40CCD">
        <w:rPr>
          <w:rtl/>
        </w:rPr>
        <w:t xml:space="preserve">. وفي </w:t>
      </w:r>
      <w:r w:rsidRPr="0099598B">
        <w:rPr>
          <w:rtl/>
        </w:rPr>
        <w:t>10</w:t>
      </w:r>
      <w:r w:rsidRPr="00C40CCD">
        <w:rPr>
          <w:rtl/>
        </w:rPr>
        <w:t xml:space="preserve"> تموز/يوليه </w:t>
      </w:r>
      <w:r w:rsidRPr="0099598B">
        <w:rPr>
          <w:rtl/>
        </w:rPr>
        <w:t>2012</w:t>
      </w:r>
      <w:r w:rsidRPr="00C40CCD">
        <w:rPr>
          <w:rtl/>
        </w:rPr>
        <w:t xml:space="preserve"> و</w:t>
      </w:r>
      <w:r w:rsidRPr="0099598B">
        <w:rPr>
          <w:rtl/>
        </w:rPr>
        <w:t>20</w:t>
      </w:r>
      <w:r w:rsidRPr="00C40CCD">
        <w:rPr>
          <w:rtl/>
        </w:rPr>
        <w:t xml:space="preserve"> آب/أغسطس </w:t>
      </w:r>
      <w:r w:rsidRPr="0099598B">
        <w:rPr>
          <w:rtl/>
        </w:rPr>
        <w:t>2012</w:t>
      </w:r>
      <w:r w:rsidRPr="00C40CCD">
        <w:rPr>
          <w:rtl/>
        </w:rPr>
        <w:t xml:space="preserve"> على التوالي، رفضت محكمة مالوريتا المحلية ومحكمة بريست الإقليمية استئنافَي صاحب البلاغ.</w:t>
      </w:r>
    </w:p>
    <w:p w14:paraId="450CAA8B" w14:textId="289B7CF6" w:rsidR="001B6C22" w:rsidRPr="00743548" w:rsidRDefault="001B6C22" w:rsidP="00475543">
      <w:pPr>
        <w:pStyle w:val="SingleTxtGA"/>
        <w:spacing w:line="340" w:lineRule="exact"/>
        <w:rPr>
          <w:lang w:eastAsia="zh-TW" w:bidi="en-GB"/>
        </w:rPr>
      </w:pPr>
      <w:r w:rsidRPr="0099598B">
        <w:rPr>
          <w:rtl/>
        </w:rPr>
        <w:t>6</w:t>
      </w:r>
      <w:r>
        <w:rPr>
          <w:rtl/>
        </w:rPr>
        <w:t>-</w:t>
      </w:r>
      <w:r w:rsidRPr="0099598B">
        <w:rPr>
          <w:rtl/>
        </w:rPr>
        <w:t>3</w:t>
      </w:r>
      <w:r w:rsidRPr="00C40CCD">
        <w:rPr>
          <w:rtl/>
        </w:rPr>
        <w:tab/>
        <w:t xml:space="preserve">ورفض رئيس محكمة بريست الإقليمية ورئيس المحكمة العليا استئنافَي صاحب البلاغ الإضافيين بمقتضى إجراء المراجعة القضائية الرقابية في </w:t>
      </w:r>
      <w:r w:rsidRPr="0099598B">
        <w:rPr>
          <w:rtl/>
        </w:rPr>
        <w:t>15</w:t>
      </w:r>
      <w:r w:rsidRPr="00C40CCD">
        <w:rPr>
          <w:rtl/>
        </w:rPr>
        <w:t xml:space="preserve"> تشرين الثاني/نوفمبر </w:t>
      </w:r>
      <w:r w:rsidRPr="0099598B">
        <w:rPr>
          <w:rtl/>
        </w:rPr>
        <w:t>2012</w:t>
      </w:r>
      <w:r w:rsidRPr="00C40CCD">
        <w:rPr>
          <w:rtl/>
        </w:rPr>
        <w:t xml:space="preserve"> و</w:t>
      </w:r>
      <w:r w:rsidRPr="0099598B">
        <w:rPr>
          <w:rtl/>
        </w:rPr>
        <w:t>18</w:t>
      </w:r>
      <w:r w:rsidRPr="00C40CCD">
        <w:rPr>
          <w:rtl/>
        </w:rPr>
        <w:t xml:space="preserve"> كانون الأول/</w:t>
      </w:r>
      <w:r w:rsidR="00B05C54">
        <w:rPr>
          <w:rFonts w:hint="cs"/>
          <w:rtl/>
        </w:rPr>
        <w:t xml:space="preserve"> </w:t>
      </w:r>
      <w:r w:rsidRPr="00C40CCD">
        <w:rPr>
          <w:rtl/>
        </w:rPr>
        <w:t>ديسمبر</w:t>
      </w:r>
      <w:r w:rsidR="00B05C54">
        <w:rPr>
          <w:rFonts w:hint="cs"/>
          <w:rtl/>
        </w:rPr>
        <w:t> </w:t>
      </w:r>
      <w:r w:rsidRPr="0099598B">
        <w:rPr>
          <w:rtl/>
        </w:rPr>
        <w:t>2012</w:t>
      </w:r>
      <w:r w:rsidRPr="00C40CCD">
        <w:rPr>
          <w:rtl/>
        </w:rPr>
        <w:t xml:space="preserve"> على التوالي. </w:t>
      </w:r>
    </w:p>
    <w:p w14:paraId="11F771FD" w14:textId="77777777" w:rsidR="001B6C22" w:rsidRPr="00314248" w:rsidRDefault="001B6C22" w:rsidP="00475543">
      <w:pPr>
        <w:pStyle w:val="SingleTxtGA"/>
        <w:spacing w:line="340" w:lineRule="exact"/>
        <w:rPr>
          <w:lang w:eastAsia="zh-TW" w:bidi="en-GB"/>
        </w:rPr>
      </w:pPr>
      <w:r w:rsidRPr="0099598B">
        <w:rPr>
          <w:rtl/>
        </w:rPr>
        <w:t>6</w:t>
      </w:r>
      <w:r>
        <w:rPr>
          <w:rtl/>
        </w:rPr>
        <w:t>-</w:t>
      </w:r>
      <w:r w:rsidRPr="0099598B">
        <w:rPr>
          <w:rtl/>
        </w:rPr>
        <w:t>4</w:t>
      </w:r>
      <w:r w:rsidRPr="00C40CCD">
        <w:rPr>
          <w:rtl/>
        </w:rPr>
        <w:tab/>
        <w:t>وتلاحظ الدولة الطرف أن تنظيم أحداث جماهيرية في الأماكن العامة لا يتعلق بالمشاركين فحسب</w:t>
      </w:r>
      <w:r>
        <w:rPr>
          <w:rtl/>
        </w:rPr>
        <w:t>،</w:t>
      </w:r>
      <w:r w:rsidRPr="00C40CCD">
        <w:rPr>
          <w:rtl/>
        </w:rPr>
        <w:t xml:space="preserve"> بل بالمواطنين الآخرين غير المشاركين أيضاً. وأحيلَ في هذا السياق إلى الفقرة </w:t>
      </w:r>
      <w:r w:rsidRPr="0099598B">
        <w:rPr>
          <w:rtl/>
        </w:rPr>
        <w:t>1</w:t>
      </w:r>
      <w:r w:rsidRPr="00C40CCD">
        <w:rPr>
          <w:rtl/>
        </w:rPr>
        <w:t xml:space="preserve"> من المادة </w:t>
      </w:r>
      <w:r w:rsidRPr="0099598B">
        <w:rPr>
          <w:rtl/>
        </w:rPr>
        <w:t>29</w:t>
      </w:r>
      <w:r w:rsidRPr="00C40CCD">
        <w:rPr>
          <w:rtl/>
        </w:rPr>
        <w:t xml:space="preserve"> من الإعلان العالمي لحقوق الإنسان التي تنص على أن على كل فرد واجبات تجاه المجتمع الذي يمكن </w:t>
      </w:r>
      <w:r w:rsidRPr="00475543">
        <w:rPr>
          <w:spacing w:val="-4"/>
          <w:rtl/>
        </w:rPr>
        <w:t>أن يُتاح فيه وحده نمو شخصيته نمواً حراً وتاماً. لذا، تسترسل الدولة الطرف قائلة إن من المهم، عند تنظيم</w:t>
      </w:r>
      <w:r w:rsidRPr="00C40CCD">
        <w:rPr>
          <w:rtl/>
        </w:rPr>
        <w:t xml:space="preserve"> أحداث جماهيرية، اتخاذ التدابير اللازمة لضمان السلامة العامة وإتاحة فرص التمتع بحقوق من ينظمون الأحداث وكذلك من لا يشاركون فيها. </w:t>
      </w:r>
    </w:p>
    <w:p w14:paraId="5CDCA211" w14:textId="77777777" w:rsidR="001B6C22" w:rsidRPr="00314248" w:rsidRDefault="001B6C22" w:rsidP="00475543">
      <w:pPr>
        <w:pStyle w:val="SingleTxtGA"/>
        <w:spacing w:line="340" w:lineRule="exact"/>
        <w:rPr>
          <w:lang w:eastAsia="zh-TW" w:bidi="en-GB"/>
        </w:rPr>
      </w:pPr>
      <w:r w:rsidRPr="0099598B">
        <w:rPr>
          <w:rtl/>
        </w:rPr>
        <w:t>6</w:t>
      </w:r>
      <w:r>
        <w:rPr>
          <w:rtl/>
        </w:rPr>
        <w:t>-</w:t>
      </w:r>
      <w:r w:rsidRPr="0099598B">
        <w:rPr>
          <w:rtl/>
        </w:rPr>
        <w:t>5</w:t>
      </w:r>
      <w:r w:rsidRPr="00C40CCD">
        <w:rPr>
          <w:rtl/>
        </w:rPr>
        <w:tab/>
      </w:r>
      <w:r w:rsidRPr="00475543">
        <w:rPr>
          <w:spacing w:val="-4"/>
          <w:rtl/>
        </w:rPr>
        <w:t xml:space="preserve">وترفض الدولة الطرف ادعاءات صاحب البلاغ انتهاك حقوقه بموجب المادتين </w:t>
      </w:r>
      <w:r w:rsidRPr="0099598B">
        <w:rPr>
          <w:spacing w:val="-4"/>
          <w:rtl/>
        </w:rPr>
        <w:t>19</w:t>
      </w:r>
      <w:r w:rsidRPr="00475543">
        <w:rPr>
          <w:spacing w:val="-4"/>
          <w:rtl/>
        </w:rPr>
        <w:t xml:space="preserve"> و</w:t>
      </w:r>
      <w:r w:rsidRPr="0099598B">
        <w:rPr>
          <w:spacing w:val="-4"/>
          <w:rtl/>
        </w:rPr>
        <w:t>21</w:t>
      </w:r>
      <w:r w:rsidRPr="00475543">
        <w:rPr>
          <w:spacing w:val="-4"/>
          <w:rtl/>
        </w:rPr>
        <w:t xml:space="preserve"> من العهد، </w:t>
      </w:r>
      <w:r w:rsidRPr="00C40CCD">
        <w:rPr>
          <w:rtl/>
        </w:rPr>
        <w:t>مقروءتين بالاقتران مع الفقرتين (</w:t>
      </w:r>
      <w:r w:rsidRPr="0099598B">
        <w:rPr>
          <w:rtl/>
        </w:rPr>
        <w:t>2</w:t>
      </w:r>
      <w:r w:rsidRPr="00C40CCD">
        <w:rPr>
          <w:rtl/>
        </w:rPr>
        <w:t>) و(</w:t>
      </w:r>
      <w:r w:rsidRPr="0099598B">
        <w:rPr>
          <w:rtl/>
        </w:rPr>
        <w:t>3</w:t>
      </w:r>
      <w:r w:rsidRPr="00C40CCD">
        <w:rPr>
          <w:rtl/>
        </w:rPr>
        <w:t xml:space="preserve">) من المادة </w:t>
      </w:r>
      <w:r w:rsidRPr="0099598B">
        <w:rPr>
          <w:rtl/>
        </w:rPr>
        <w:t>2</w:t>
      </w:r>
      <w:r w:rsidRPr="00C40CCD">
        <w:rPr>
          <w:rtl/>
        </w:rPr>
        <w:t xml:space="preserve"> منه، معتبرةً إياها بلا أساس.</w:t>
      </w:r>
    </w:p>
    <w:p w14:paraId="174257FF" w14:textId="77777777" w:rsidR="001B6C22" w:rsidRPr="0099598B" w:rsidRDefault="001B6C22" w:rsidP="00475543">
      <w:pPr>
        <w:pStyle w:val="H23GA"/>
        <w:spacing w:before="200" w:after="100" w:line="360" w:lineRule="exact"/>
        <w:rPr>
          <w:lang w:eastAsia="zh-TW" w:bidi="en-GB"/>
        </w:rPr>
      </w:pPr>
      <w:r w:rsidRPr="0099598B">
        <w:rPr>
          <w:rtl/>
        </w:rPr>
        <w:tab/>
      </w:r>
      <w:r w:rsidRPr="0099598B">
        <w:rPr>
          <w:rtl/>
        </w:rPr>
        <w:tab/>
        <w:t>تعليقات صاحب البلاغ على ملاحظات الدولة الطرف الإضافية بشأن مقبولية البلاغ وعلى ملاحظاتها بشأن أسسه الموضوعية</w:t>
      </w:r>
    </w:p>
    <w:p w14:paraId="673681BD" w14:textId="77777777" w:rsidR="001B6C22" w:rsidRPr="00206FDB" w:rsidRDefault="001B6C22" w:rsidP="00475543">
      <w:pPr>
        <w:pStyle w:val="SingleTxtGA"/>
        <w:spacing w:line="340" w:lineRule="exact"/>
        <w:rPr>
          <w:lang w:eastAsia="zh-TW" w:bidi="en-GB"/>
        </w:rPr>
      </w:pPr>
      <w:r w:rsidRPr="0099598B">
        <w:rPr>
          <w:rtl/>
        </w:rPr>
        <w:t>7</w:t>
      </w:r>
      <w:r>
        <w:rPr>
          <w:rtl/>
        </w:rPr>
        <w:t>-</w:t>
      </w:r>
      <w:r w:rsidRPr="0099598B">
        <w:rPr>
          <w:rtl/>
        </w:rPr>
        <w:t>1</w:t>
      </w:r>
      <w:r w:rsidRPr="00C40CCD">
        <w:rPr>
          <w:rtl/>
        </w:rPr>
        <w:tab/>
        <w:t xml:space="preserve">في </w:t>
      </w:r>
      <w:r w:rsidRPr="0099598B">
        <w:rPr>
          <w:rtl/>
        </w:rPr>
        <w:t>17</w:t>
      </w:r>
      <w:r w:rsidRPr="00C40CCD">
        <w:rPr>
          <w:rtl/>
        </w:rPr>
        <w:t xml:space="preserve"> أيار/مايو </w:t>
      </w:r>
      <w:r w:rsidRPr="0099598B">
        <w:rPr>
          <w:rtl/>
        </w:rPr>
        <w:t>2019</w:t>
      </w:r>
      <w:r w:rsidRPr="00C40CCD">
        <w:rPr>
          <w:rtl/>
        </w:rPr>
        <w:t>، كرر صاحب البلاغ أن الاستئناف في إطار إجراء المراجعة القضائية الرقابية لا يشكل سبيل انتصاف فعالاً. وأضاف أن هذا الإجراء يخضع لسلطة المدعي العام أو القاضي التقديرية ولا يستلزم النظر في القضية من حيث أسسها الموضوعية. وخلص إلى أن جميع سبل الانتصاف المحلية المتاحة والفعالة قد استُنفدت في قضيته.</w:t>
      </w:r>
    </w:p>
    <w:p w14:paraId="311C2107" w14:textId="1F71A5C2" w:rsidR="001B6C22" w:rsidRPr="00C40CCD" w:rsidRDefault="001B6C22" w:rsidP="001B6C22">
      <w:pPr>
        <w:pStyle w:val="SingleTxtGA"/>
        <w:rPr>
          <w:lang w:val="ar-SA" w:eastAsia="zh-TW" w:bidi="en-GB"/>
        </w:rPr>
      </w:pPr>
      <w:r w:rsidRPr="0099598B">
        <w:rPr>
          <w:rtl/>
        </w:rPr>
        <w:lastRenderedPageBreak/>
        <w:t>7</w:t>
      </w:r>
      <w:r>
        <w:rPr>
          <w:rtl/>
        </w:rPr>
        <w:t>-</w:t>
      </w:r>
      <w:r w:rsidRPr="0099598B">
        <w:rPr>
          <w:rtl/>
        </w:rPr>
        <w:t>2</w:t>
      </w:r>
      <w:r w:rsidRPr="00C40CCD">
        <w:rPr>
          <w:rtl/>
        </w:rPr>
        <w:tab/>
        <w:t xml:space="preserve">وتعليقاً على حجج الدولة الطرف بأن أحكام قانون الأحداث العامة تتوافق مع المادتين </w:t>
      </w:r>
      <w:r w:rsidRPr="0099598B">
        <w:rPr>
          <w:rtl/>
        </w:rPr>
        <w:t>19</w:t>
      </w:r>
      <w:r w:rsidRPr="00C40CCD">
        <w:rPr>
          <w:rtl/>
        </w:rPr>
        <w:t xml:space="preserve"> و</w:t>
      </w:r>
      <w:r w:rsidRPr="0099598B">
        <w:rPr>
          <w:rtl/>
        </w:rPr>
        <w:t>21</w:t>
      </w:r>
      <w:r w:rsidRPr="00C40CCD">
        <w:rPr>
          <w:rtl/>
        </w:rPr>
        <w:t xml:space="preserve"> من العهد، يصر صاحب البلاغ على ضرورة تعديل القانون، ويحيل في هذا السياق إلى التحليل القانوني الذي أجرته منظمات دولية شتى في هذا الصدد</w:t>
      </w:r>
      <w:r w:rsidR="00F41276">
        <w:rPr>
          <w:rStyle w:val="FootnoteReference"/>
          <w:rFonts w:ascii="Simplified Arabic" w:hAnsi="Simplified Arabic"/>
          <w:rtl/>
        </w:rPr>
        <w:t>(</w:t>
      </w:r>
      <w:r w:rsidR="00F41276" w:rsidRPr="0099598B">
        <w:rPr>
          <w:rStyle w:val="FootnoteReference"/>
          <w:rFonts w:ascii="Simplified Arabic" w:hAnsi="Simplified Arabic"/>
          <w:lang w:val="en-US"/>
        </w:rPr>
        <w:footnoteReference w:id="5"/>
      </w:r>
      <w:r w:rsidR="00F41276">
        <w:rPr>
          <w:rStyle w:val="FootnoteReference"/>
          <w:rFonts w:ascii="Simplified Arabic" w:hAnsi="Simplified Arabic"/>
          <w:rtl/>
        </w:rPr>
        <w:t>)</w:t>
      </w:r>
      <w:r w:rsidRPr="00C40CCD">
        <w:rPr>
          <w:rtl/>
        </w:rPr>
        <w:t>. وإضافة إلى ذلك، يحيل إلى اجتهادات اللجنة، ويشير إلى أنه ينبغي جعل قانون الأحداث العامة متمشياً مع العهد</w:t>
      </w:r>
      <w:r w:rsidR="00F41276">
        <w:rPr>
          <w:rStyle w:val="FootnoteReference"/>
          <w:rFonts w:ascii="Simplified Arabic" w:hAnsi="Simplified Arabic"/>
          <w:rtl/>
        </w:rPr>
        <w:t>(</w:t>
      </w:r>
      <w:r w:rsidR="00F41276" w:rsidRPr="0099598B">
        <w:rPr>
          <w:rStyle w:val="FootnoteReference"/>
          <w:rFonts w:ascii="Simplified Arabic" w:hAnsi="Simplified Arabic"/>
          <w:lang w:val="en-US"/>
        </w:rPr>
        <w:footnoteReference w:id="6"/>
      </w:r>
      <w:r w:rsidR="00F41276">
        <w:rPr>
          <w:rStyle w:val="FootnoteReference"/>
          <w:rFonts w:ascii="Simplified Arabic" w:hAnsi="Simplified Arabic"/>
          <w:rtl/>
        </w:rPr>
        <w:t>)</w:t>
      </w:r>
      <w:r w:rsidRPr="00C40CCD">
        <w:rPr>
          <w:rtl/>
        </w:rPr>
        <w:t xml:space="preserve">. </w:t>
      </w:r>
    </w:p>
    <w:p w14:paraId="1F2BDC91" w14:textId="74EAAB8D" w:rsidR="001B6C22" w:rsidRPr="0099598B" w:rsidRDefault="001B6C22" w:rsidP="001B6C22">
      <w:pPr>
        <w:pStyle w:val="H23GA"/>
        <w:rPr>
          <w:lang w:val="ar-SA" w:eastAsia="zh-TW" w:bidi="en-GB"/>
        </w:rPr>
      </w:pPr>
      <w:r w:rsidRPr="0099598B">
        <w:rPr>
          <w:rtl/>
        </w:rPr>
        <w:tab/>
      </w:r>
      <w:r w:rsidRPr="0099598B">
        <w:rPr>
          <w:rtl/>
        </w:rPr>
        <w:tab/>
        <w:t>القضايا والإجراءات المعروضة على اللجنة</w:t>
      </w:r>
    </w:p>
    <w:p w14:paraId="70B9640A" w14:textId="77777777" w:rsidR="001B6C22" w:rsidRPr="0099598B" w:rsidRDefault="001B6C22" w:rsidP="001B6C22">
      <w:pPr>
        <w:pStyle w:val="H4GA"/>
        <w:rPr>
          <w:lang w:eastAsia="zh-TW" w:bidi="en-GB"/>
        </w:rPr>
      </w:pPr>
      <w:r w:rsidRPr="0099598B">
        <w:rPr>
          <w:rtl/>
        </w:rPr>
        <w:tab/>
      </w:r>
      <w:r w:rsidRPr="0099598B">
        <w:rPr>
          <w:rtl/>
        </w:rPr>
        <w:tab/>
        <w:t>النظر في المقبولية</w:t>
      </w:r>
    </w:p>
    <w:p w14:paraId="133FCAC6" w14:textId="77777777" w:rsidR="001B6C22" w:rsidRPr="00C40CCD" w:rsidRDefault="001B6C22" w:rsidP="001B6C22">
      <w:pPr>
        <w:pStyle w:val="SingleTxtGA"/>
        <w:rPr>
          <w:lang w:val="ar-SA" w:eastAsia="zh-TW" w:bidi="en-GB"/>
        </w:rPr>
      </w:pPr>
      <w:r w:rsidRPr="0099598B">
        <w:rPr>
          <w:rtl/>
        </w:rPr>
        <w:t>8</w:t>
      </w:r>
      <w:r>
        <w:rPr>
          <w:rtl/>
        </w:rPr>
        <w:t>-</w:t>
      </w:r>
      <w:r w:rsidRPr="0099598B">
        <w:rPr>
          <w:rtl/>
        </w:rPr>
        <w:t>1</w:t>
      </w:r>
      <w:r w:rsidRPr="00C40CCD">
        <w:rPr>
          <w:rtl/>
        </w:rPr>
        <w:tab/>
        <w:t xml:space="preserve">قبل النظر في أي ادعاء يرد في بلاغ ما، يجب على اللجنة أن تقرر، وفقاً للمادة </w:t>
      </w:r>
      <w:r w:rsidRPr="0099598B">
        <w:rPr>
          <w:rtl/>
        </w:rPr>
        <w:t>97</w:t>
      </w:r>
      <w:r w:rsidRPr="00C40CCD">
        <w:rPr>
          <w:rtl/>
        </w:rPr>
        <w:t xml:space="preserve"> من نظامها الداخلي، ما إذا كان البلاغ مقبولاً أم لا بموجب البروتوكول الاختياري.</w:t>
      </w:r>
    </w:p>
    <w:p w14:paraId="1152BA37" w14:textId="77777777" w:rsidR="001B6C22" w:rsidRPr="00C40CCD" w:rsidRDefault="001B6C22" w:rsidP="001B6C22">
      <w:pPr>
        <w:pStyle w:val="SingleTxtGA"/>
        <w:rPr>
          <w:lang w:val="ar-SA" w:eastAsia="zh-TW" w:bidi="en-GB"/>
        </w:rPr>
      </w:pPr>
      <w:r w:rsidRPr="0099598B">
        <w:rPr>
          <w:rtl/>
        </w:rPr>
        <w:t>8</w:t>
      </w:r>
      <w:r>
        <w:rPr>
          <w:rtl/>
        </w:rPr>
        <w:t>-</w:t>
      </w:r>
      <w:r w:rsidRPr="0099598B">
        <w:rPr>
          <w:rtl/>
        </w:rPr>
        <w:t>2</w:t>
      </w:r>
      <w:r w:rsidRPr="00C40CCD">
        <w:rPr>
          <w:rtl/>
        </w:rPr>
        <w:tab/>
      </w:r>
      <w:r w:rsidRPr="00475543">
        <w:rPr>
          <w:spacing w:val="-4"/>
          <w:rtl/>
        </w:rPr>
        <w:t xml:space="preserve">وقد استيقنت اللجنة، وفقاً لما تنص عليه المادة </w:t>
      </w:r>
      <w:r w:rsidRPr="0099598B">
        <w:rPr>
          <w:spacing w:val="-4"/>
          <w:rtl/>
        </w:rPr>
        <w:t>5</w:t>
      </w:r>
      <w:r w:rsidRPr="00475543">
        <w:rPr>
          <w:spacing w:val="-4"/>
          <w:rtl/>
        </w:rPr>
        <w:t>(</w:t>
      </w:r>
      <w:r w:rsidRPr="0099598B">
        <w:rPr>
          <w:spacing w:val="-4"/>
          <w:rtl/>
        </w:rPr>
        <w:t>2</w:t>
      </w:r>
      <w:r w:rsidRPr="00475543">
        <w:rPr>
          <w:spacing w:val="-4"/>
          <w:rtl/>
        </w:rPr>
        <w:t>)(أ) من البروتوكول الاختياري، من أن المسألة</w:t>
      </w:r>
      <w:r w:rsidRPr="00C40CCD">
        <w:rPr>
          <w:rtl/>
        </w:rPr>
        <w:t xml:space="preserve"> نفسها ليست قيد النظر في إطار إجراء آخر من إجراءات التحقيق الدولي أو التسوية الدولية.</w:t>
      </w:r>
    </w:p>
    <w:p w14:paraId="2DBE90DF" w14:textId="1F59BD46" w:rsidR="001B6C22" w:rsidRPr="0099598B" w:rsidRDefault="001B6C22" w:rsidP="001B6C22">
      <w:pPr>
        <w:pStyle w:val="SingleTxtGA"/>
        <w:rPr>
          <w:spacing w:val="-4"/>
          <w:lang w:val="ar-SA" w:eastAsia="zh-TW" w:bidi="en-GB"/>
        </w:rPr>
      </w:pPr>
      <w:r w:rsidRPr="0099598B">
        <w:rPr>
          <w:spacing w:val="-4"/>
          <w:rtl/>
        </w:rPr>
        <w:t>8-3</w:t>
      </w:r>
      <w:r w:rsidRPr="0099598B">
        <w:rPr>
          <w:spacing w:val="-4"/>
          <w:rtl/>
        </w:rPr>
        <w:tab/>
        <w:t>وتلاحظ اللجنة أن صاحب البلاغ لم يرفع شكوى في إطار إجراء المراجعة القضائية الرقابية إلى مدعي بيلاروس العام. وتحيط علماً في هذا الصدد بتأكيد الدولة الطرف أن صاحب البلاغ لم يستنفد سبل الانتصاف المحلية المتاحة. وتحيط علماً أيضاً بحجة صاحب البلاغ القائلة إنه استأنف قرار اللجنة التنفيذية</w:t>
      </w:r>
      <w:r w:rsidR="0099598B">
        <w:rPr>
          <w:rFonts w:hint="cs"/>
          <w:spacing w:val="-4"/>
          <w:rtl/>
        </w:rPr>
        <w:t> </w:t>
      </w:r>
      <w:r w:rsidRPr="0099598B">
        <w:rPr>
          <w:spacing w:val="-4"/>
          <w:rtl/>
        </w:rPr>
        <w:t xml:space="preserve">المحلية لمدينة </w:t>
      </w:r>
      <w:proofErr w:type="spellStart"/>
      <w:r w:rsidRPr="0099598B">
        <w:rPr>
          <w:spacing w:val="-4"/>
          <w:rtl/>
        </w:rPr>
        <w:t>مالوريتا</w:t>
      </w:r>
      <w:proofErr w:type="spellEnd"/>
      <w:r w:rsidRPr="0099598B">
        <w:rPr>
          <w:spacing w:val="-4"/>
          <w:rtl/>
        </w:rPr>
        <w:t xml:space="preserve"> لدى محكمة مالوريتا المحلية، لكنها رفضته في 10 تموز/يوليه 2012. وإضافة</w:t>
      </w:r>
      <w:r w:rsidR="0099598B">
        <w:rPr>
          <w:rFonts w:hint="cs"/>
          <w:spacing w:val="-4"/>
          <w:rtl/>
        </w:rPr>
        <w:t> </w:t>
      </w:r>
      <w:r w:rsidRPr="0099598B">
        <w:rPr>
          <w:spacing w:val="-4"/>
          <w:rtl/>
        </w:rPr>
        <w:t>إلى ذلك، قدم طلب استئناف بطريق النقض لدى محكمة بريست الإقليمية، لكنها رفضته في 20 آب/</w:t>
      </w:r>
      <w:r w:rsidR="00475543" w:rsidRPr="0099598B">
        <w:rPr>
          <w:rFonts w:hint="cs"/>
          <w:spacing w:val="-4"/>
          <w:rtl/>
        </w:rPr>
        <w:t xml:space="preserve"> </w:t>
      </w:r>
      <w:r w:rsidRPr="0099598B">
        <w:rPr>
          <w:spacing w:val="-4"/>
          <w:rtl/>
        </w:rPr>
        <w:t>أغسطس 2012، وقدم أيضا</w:t>
      </w:r>
      <w:r w:rsidR="00075200" w:rsidRPr="0099598B">
        <w:rPr>
          <w:rFonts w:hint="cs"/>
          <w:spacing w:val="-4"/>
          <w:rtl/>
        </w:rPr>
        <w:t>ً</w:t>
      </w:r>
      <w:r w:rsidRPr="0099598B">
        <w:rPr>
          <w:spacing w:val="-4"/>
          <w:rtl/>
        </w:rPr>
        <w:t xml:space="preserve"> التماساً إلى محكمة بريست الإقليمية والمحكمة العليا لبيلاروس في إطار إجراءات المراجعة القضائية الرقابية، لكن استئنافَيه رُفضا في 15 تشرين الثاني/نوفمبر 2012 وفي 18 كانون الأول/</w:t>
      </w:r>
      <w:r w:rsidR="0099598B">
        <w:rPr>
          <w:rFonts w:hint="cs"/>
          <w:spacing w:val="-4"/>
          <w:rtl/>
        </w:rPr>
        <w:t xml:space="preserve"> </w:t>
      </w:r>
      <w:r w:rsidRPr="0099598B">
        <w:rPr>
          <w:spacing w:val="-4"/>
          <w:rtl/>
        </w:rPr>
        <w:t>ديسمبر 2012 على التوالي. وتحيط علماً، إضافة إلى ذلك، بتأكيد صاحب البلاغ أنه لم يقدم التماساً في إطار إجراء المراجعة القضائية الرقابية إلى مكتب المدعي العام لأنه لا يرى أنه سبيل انتصاف فعال.</w:t>
      </w:r>
    </w:p>
    <w:p w14:paraId="02C87A08" w14:textId="46ED5DAE" w:rsidR="001B6C22" w:rsidRPr="00C40CCD" w:rsidRDefault="001B6C22" w:rsidP="001B6C22">
      <w:pPr>
        <w:pStyle w:val="SingleTxtGA"/>
        <w:rPr>
          <w:lang w:val="ar-SA" w:eastAsia="zh-TW" w:bidi="en-GB"/>
        </w:rPr>
      </w:pPr>
      <w:r w:rsidRPr="0099598B">
        <w:rPr>
          <w:rtl/>
        </w:rPr>
        <w:t>8</w:t>
      </w:r>
      <w:r>
        <w:rPr>
          <w:rtl/>
        </w:rPr>
        <w:t>-</w:t>
      </w:r>
      <w:r w:rsidRPr="0099598B">
        <w:rPr>
          <w:rtl/>
        </w:rPr>
        <w:t>4</w:t>
      </w:r>
      <w:r w:rsidRPr="00C40CCD">
        <w:rPr>
          <w:rtl/>
        </w:rPr>
        <w:tab/>
        <w:t>وتذكِّر اللجنة باجتهادها الذي يقضي بأن تقديم التماس إلى مكتب المدعي العام يطالب بإعادة النظر في القرارات القضائية التي دخلت حيز النفاذ ليس سبيل انتصاف يتعين استنفاده لأغراض المادة</w:t>
      </w:r>
      <w:r w:rsidR="0004217F">
        <w:rPr>
          <w:rFonts w:hint="cs"/>
          <w:rtl/>
        </w:rPr>
        <w:t> </w:t>
      </w:r>
      <w:r w:rsidRPr="0099598B">
        <w:rPr>
          <w:rtl/>
        </w:rPr>
        <w:t>5</w:t>
      </w:r>
      <w:r w:rsidRPr="00C40CCD">
        <w:rPr>
          <w:rtl/>
        </w:rPr>
        <w:t>(</w:t>
      </w:r>
      <w:r w:rsidRPr="0099598B">
        <w:rPr>
          <w:rtl/>
        </w:rPr>
        <w:t>2</w:t>
      </w:r>
      <w:r w:rsidRPr="00C40CCD">
        <w:rPr>
          <w:rtl/>
        </w:rPr>
        <w:t>)(ب) من البروتوكول الاختياري</w:t>
      </w:r>
      <w:r w:rsidR="00F41276">
        <w:rPr>
          <w:rStyle w:val="FootnoteReference"/>
          <w:rFonts w:ascii="Simplified Arabic" w:hAnsi="Simplified Arabic"/>
          <w:rtl/>
        </w:rPr>
        <w:t>(</w:t>
      </w:r>
      <w:r w:rsidR="00F41276" w:rsidRPr="0099598B">
        <w:rPr>
          <w:rStyle w:val="FootnoteReference"/>
          <w:rFonts w:ascii="Simplified Arabic" w:hAnsi="Simplified Arabic"/>
          <w:lang w:val="en-US"/>
        </w:rPr>
        <w:footnoteReference w:id="7"/>
      </w:r>
      <w:r w:rsidR="00F41276">
        <w:rPr>
          <w:rStyle w:val="FootnoteReference"/>
          <w:rFonts w:ascii="Simplified Arabic" w:hAnsi="Simplified Arabic"/>
          <w:rtl/>
        </w:rPr>
        <w:t>)</w:t>
      </w:r>
      <w:r w:rsidRPr="00C40CCD">
        <w:rPr>
          <w:rtl/>
        </w:rPr>
        <w:t>. وبناء على ذلك، ترى اللجنة أن أحكام الفقرة (</w:t>
      </w:r>
      <w:r w:rsidRPr="0099598B">
        <w:rPr>
          <w:rtl/>
        </w:rPr>
        <w:t>2</w:t>
      </w:r>
      <w:r w:rsidRPr="00C40CCD">
        <w:rPr>
          <w:rtl/>
        </w:rPr>
        <w:t xml:space="preserve">)(ب) من المادة </w:t>
      </w:r>
      <w:r w:rsidRPr="0099598B">
        <w:rPr>
          <w:rtl/>
        </w:rPr>
        <w:t>5</w:t>
      </w:r>
      <w:r w:rsidRPr="00C40CCD">
        <w:rPr>
          <w:rtl/>
        </w:rPr>
        <w:t xml:space="preserve"> من البروتوكول الاختياري لا تمنعها من النظر في هذا البلاغ.</w:t>
      </w:r>
    </w:p>
    <w:p w14:paraId="5FFE2F2A" w14:textId="62FC8D47" w:rsidR="001B6C22" w:rsidRPr="0099598B" w:rsidRDefault="001B6C22" w:rsidP="001B6C22">
      <w:pPr>
        <w:pStyle w:val="SingleTxtGA"/>
        <w:rPr>
          <w:lang w:val="ar-SA" w:eastAsia="zh-TW" w:bidi="en-GB"/>
        </w:rPr>
      </w:pPr>
      <w:r w:rsidRPr="0099598B">
        <w:rPr>
          <w:rtl/>
        </w:rPr>
        <w:t>8</w:t>
      </w:r>
      <w:r>
        <w:rPr>
          <w:rtl/>
        </w:rPr>
        <w:t>-</w:t>
      </w:r>
      <w:r w:rsidRPr="0099598B">
        <w:rPr>
          <w:rtl/>
        </w:rPr>
        <w:t>5</w:t>
      </w:r>
      <w:r w:rsidRPr="00C40CCD">
        <w:rPr>
          <w:rtl/>
        </w:rPr>
        <w:tab/>
        <w:t>وتحيط اللجنة علما</w:t>
      </w:r>
      <w:r w:rsidR="00390AAF">
        <w:rPr>
          <w:rFonts w:hint="cs"/>
          <w:rtl/>
        </w:rPr>
        <w:t>ً</w:t>
      </w:r>
      <w:r w:rsidRPr="00C40CCD">
        <w:rPr>
          <w:rtl/>
        </w:rPr>
        <w:t xml:space="preserve"> بدفع صاحب البلاغ بأن الدولة الطرف انتهكت حقوقه بمقتضى المادة </w:t>
      </w:r>
      <w:r w:rsidRPr="0099598B">
        <w:rPr>
          <w:rtl/>
        </w:rPr>
        <w:t>2</w:t>
      </w:r>
      <w:r w:rsidRPr="00C40CCD">
        <w:rPr>
          <w:rtl/>
        </w:rPr>
        <w:t>(</w:t>
      </w:r>
      <w:r w:rsidRPr="0099598B">
        <w:rPr>
          <w:rtl/>
        </w:rPr>
        <w:t>2</w:t>
      </w:r>
      <w:r w:rsidRPr="00C40CCD">
        <w:rPr>
          <w:rtl/>
        </w:rPr>
        <w:t xml:space="preserve">) من العهد، مقروءة بالاقتران مع المادتين </w:t>
      </w:r>
      <w:r w:rsidRPr="0099598B">
        <w:rPr>
          <w:rtl/>
        </w:rPr>
        <w:t>19</w:t>
      </w:r>
      <w:r w:rsidRPr="00C40CCD">
        <w:rPr>
          <w:rtl/>
        </w:rPr>
        <w:t xml:space="preserve"> و</w:t>
      </w:r>
      <w:r w:rsidRPr="0099598B">
        <w:rPr>
          <w:rtl/>
        </w:rPr>
        <w:t>21</w:t>
      </w:r>
      <w:r w:rsidRPr="00C40CCD">
        <w:rPr>
          <w:rtl/>
        </w:rPr>
        <w:t xml:space="preserve"> منه. وتذكّر اللجنة باجتهادها</w:t>
      </w:r>
      <w:r w:rsidR="00F41276">
        <w:rPr>
          <w:rStyle w:val="FootnoteReference"/>
          <w:rFonts w:ascii="Simplified Arabic" w:hAnsi="Simplified Arabic"/>
          <w:rtl/>
        </w:rPr>
        <w:t>(</w:t>
      </w:r>
      <w:r w:rsidR="00F41276" w:rsidRPr="0099598B">
        <w:rPr>
          <w:rStyle w:val="FootnoteReference"/>
          <w:rFonts w:ascii="Simplified Arabic" w:hAnsi="Simplified Arabic"/>
          <w:lang w:val="en-US"/>
        </w:rPr>
        <w:footnoteReference w:id="8"/>
      </w:r>
      <w:r w:rsidR="00F41276">
        <w:rPr>
          <w:rStyle w:val="FootnoteReference"/>
          <w:rFonts w:ascii="Simplified Arabic" w:hAnsi="Simplified Arabic"/>
          <w:rtl/>
        </w:rPr>
        <w:t>)</w:t>
      </w:r>
      <w:r w:rsidRPr="00C40CCD">
        <w:rPr>
          <w:rtl/>
        </w:rPr>
        <w:t xml:space="preserve"> الذي يفيد بأن أحكام</w:t>
      </w:r>
      <w:r w:rsidR="00475543">
        <w:rPr>
          <w:rFonts w:hint="cs"/>
          <w:rtl/>
        </w:rPr>
        <w:t> </w:t>
      </w:r>
      <w:r w:rsidRPr="00C40CCD">
        <w:rPr>
          <w:rtl/>
        </w:rPr>
        <w:t xml:space="preserve">المادة </w:t>
      </w:r>
      <w:r w:rsidRPr="0099598B">
        <w:rPr>
          <w:rtl/>
        </w:rPr>
        <w:t>2</w:t>
      </w:r>
      <w:r w:rsidRPr="00C40CCD">
        <w:rPr>
          <w:rtl/>
        </w:rPr>
        <w:t xml:space="preserve"> من العهد تحدد التزاماً عاماً يقع على عاتق الدول الأطراف ولا يمكن أن ينشأ عنها، عند</w:t>
      </w:r>
      <w:r w:rsidR="00475543">
        <w:rPr>
          <w:rFonts w:hint="cs"/>
          <w:rtl/>
        </w:rPr>
        <w:t> </w:t>
      </w:r>
      <w:r w:rsidRPr="00C40CCD">
        <w:rPr>
          <w:rtl/>
        </w:rPr>
        <w:t xml:space="preserve">الاستشهاد بها منفردةً، ادعاء في إطار بلاغ مقدم بموجب البروتوكول الاختياري. وتكرر أنه لا يمكن </w:t>
      </w:r>
      <w:r w:rsidRPr="0099598B">
        <w:rPr>
          <w:spacing w:val="-4"/>
          <w:rtl/>
        </w:rPr>
        <w:lastRenderedPageBreak/>
        <w:t>الاحتجاج بأحكام المادة 2 في ادعاء يرد في بلاغ ما بمقتضى البروتوكول الاختياري، مقترنة بأحكام أخرى من العهد، إلا إن كان عدم تقيّد الدولة الطرف بالتزاماتها بموجب المادة 2 هو السبب القريب لانتهاك منفصل للعهد يؤثر مباشرة في الشخص الذي يدعي أنه ضحية</w:t>
      </w:r>
      <w:r w:rsidR="00F41276" w:rsidRPr="0099598B">
        <w:rPr>
          <w:rStyle w:val="FootnoteReference"/>
          <w:rFonts w:ascii="Simplified Arabic" w:hAnsi="Simplified Arabic"/>
          <w:spacing w:val="-4"/>
          <w:rtl/>
        </w:rPr>
        <w:t>(</w:t>
      </w:r>
      <w:r w:rsidR="00F41276" w:rsidRPr="0099598B">
        <w:rPr>
          <w:rStyle w:val="FootnoteReference"/>
          <w:rFonts w:ascii="Simplified Arabic" w:hAnsi="Simplified Arabic"/>
          <w:spacing w:val="-4"/>
          <w:lang w:val="en-US"/>
        </w:rPr>
        <w:footnoteReference w:id="9"/>
      </w:r>
      <w:r w:rsidR="00F41276" w:rsidRPr="0099598B">
        <w:rPr>
          <w:rStyle w:val="FootnoteReference"/>
          <w:rFonts w:ascii="Simplified Arabic" w:hAnsi="Simplified Arabic"/>
          <w:spacing w:val="-4"/>
          <w:rtl/>
        </w:rPr>
        <w:t>)</w:t>
      </w:r>
      <w:r w:rsidRPr="0099598B">
        <w:rPr>
          <w:spacing w:val="-4"/>
          <w:rtl/>
        </w:rPr>
        <w:t xml:space="preserve">. ومع ذلك، تلاحظ اللجنة أن صاحب البلاغ سبق أن </w:t>
      </w:r>
      <w:r w:rsidRPr="0099598B">
        <w:rPr>
          <w:rtl/>
        </w:rPr>
        <w:t>زعم</w:t>
      </w:r>
      <w:r w:rsidR="0099598B" w:rsidRPr="0099598B">
        <w:rPr>
          <w:rFonts w:hint="cs"/>
          <w:rtl/>
        </w:rPr>
        <w:t> </w:t>
      </w:r>
      <w:r w:rsidRPr="0099598B">
        <w:rPr>
          <w:rtl/>
        </w:rPr>
        <w:t xml:space="preserve">انتهاك حقوقه بموجب المادتين 19 و21 نتيجة تفسير قوانين الدولة الطرف السارية وتطبيقها، ولا ترى أن النظر فيما إذا كانت الدولة الطرف انتهكت أيضاً التزاماتها العامة بمقتضى المادة 2(2) من العهد، مقروءة بالاقتران مع المادتين 19 و21 منه، ينفصل عن النظر في مسألة انتهاك حقوق صاحب البلاغ </w:t>
      </w:r>
      <w:r w:rsidRPr="0099598B">
        <w:rPr>
          <w:spacing w:val="-4"/>
          <w:rtl/>
        </w:rPr>
        <w:t>بموجب المادتين 19 و21 من العهد. وعليه، ترى اللجنة أن ادعاءات صاحب البلاغ في هذا الصدد تتعارض</w:t>
      </w:r>
      <w:r w:rsidRPr="0099598B">
        <w:rPr>
          <w:rtl/>
        </w:rPr>
        <w:t xml:space="preserve"> مع المادة</w:t>
      </w:r>
      <w:r w:rsidR="0099598B" w:rsidRPr="0099598B">
        <w:rPr>
          <w:rFonts w:hint="cs"/>
          <w:rtl/>
        </w:rPr>
        <w:t> </w:t>
      </w:r>
      <w:r w:rsidRPr="0099598B">
        <w:rPr>
          <w:rtl/>
        </w:rPr>
        <w:t xml:space="preserve">2 من العهد، وهي من ثم غير مقبولة بمقتضى المادة 3 من البروتوكول الاختياري. </w:t>
      </w:r>
      <w:r w:rsidRPr="0099598B">
        <w:rPr>
          <w:rFonts w:ascii="Arial" w:hAnsi="Arial" w:cs="Arial"/>
          <w:rtl/>
        </w:rPr>
        <w:t>‬</w:t>
      </w:r>
      <w:r w:rsidRPr="0099598B">
        <w:rPr>
          <w:rFonts w:ascii="Arial" w:hAnsi="Arial" w:cs="Arial"/>
          <w:rtl/>
        </w:rPr>
        <w:t>‬</w:t>
      </w:r>
      <w:r w:rsidRPr="0099598B">
        <w:rPr>
          <w:rFonts w:ascii="Arial" w:hAnsi="Arial" w:cs="Arial"/>
          <w:rtl/>
        </w:rPr>
        <w:t>‬</w:t>
      </w:r>
      <w:r w:rsidRPr="0099598B">
        <w:rPr>
          <w:rFonts w:ascii="Arial" w:hAnsi="Arial" w:cs="Arial"/>
          <w:rtl/>
        </w:rPr>
        <w:t>‬</w:t>
      </w:r>
      <w:r w:rsidRPr="0099598B">
        <w:rPr>
          <w:rFonts w:ascii="Arial" w:hAnsi="Arial" w:cs="Arial"/>
          <w:rtl/>
        </w:rPr>
        <w:t>‬</w:t>
      </w:r>
      <w:r w:rsidRPr="0099598B">
        <w:rPr>
          <w:rFonts w:ascii="Arial" w:hAnsi="Arial" w:cs="Arial"/>
          <w:rtl/>
        </w:rPr>
        <w:t>‬</w:t>
      </w:r>
      <w:r w:rsidRPr="0099598B">
        <w:rPr>
          <w:rFonts w:ascii="Arial" w:hAnsi="Arial" w:cs="Arial"/>
          <w:rtl/>
        </w:rPr>
        <w:t>‬</w:t>
      </w:r>
      <w:r w:rsidRPr="0099598B">
        <w:rPr>
          <w:rFonts w:ascii="Arial" w:hAnsi="Arial" w:cs="Arial"/>
          <w:rtl/>
        </w:rPr>
        <w:t>‬</w:t>
      </w:r>
      <w:r w:rsidRPr="0099598B">
        <w:rPr>
          <w:rFonts w:ascii="Arial" w:hAnsi="Arial" w:cs="Arial"/>
          <w:rtl/>
        </w:rPr>
        <w:t>‬</w:t>
      </w:r>
      <w:r w:rsidRPr="0099598B">
        <w:rPr>
          <w:rFonts w:ascii="Arial" w:hAnsi="Arial" w:cs="Arial"/>
          <w:rtl/>
        </w:rPr>
        <w:t>‬</w:t>
      </w:r>
      <w:r w:rsidRPr="0099598B">
        <w:rPr>
          <w:rFonts w:ascii="Arial" w:hAnsi="Arial" w:cs="Arial"/>
          <w:rtl/>
        </w:rPr>
        <w:t>‬</w:t>
      </w:r>
      <w:r w:rsidRPr="0099598B">
        <w:rPr>
          <w:rFonts w:ascii="Arial" w:hAnsi="Arial" w:cs="Arial"/>
          <w:rtl/>
        </w:rPr>
        <w:t>‬</w:t>
      </w:r>
      <w:r w:rsidRPr="0099598B">
        <w:rPr>
          <w:rFonts w:ascii="Arial" w:hAnsi="Arial" w:cs="Arial"/>
          <w:rtl/>
        </w:rPr>
        <w:t>‬</w:t>
      </w:r>
      <w:r w:rsidRPr="0099598B">
        <w:rPr>
          <w:rFonts w:ascii="Arial" w:hAnsi="Arial" w:cs="Arial"/>
          <w:rtl/>
        </w:rPr>
        <w:t>‬</w:t>
      </w:r>
      <w:r w:rsidRPr="0099598B">
        <w:rPr>
          <w:rFonts w:ascii="Arial" w:hAnsi="Arial" w:cs="Arial"/>
          <w:rtl/>
        </w:rPr>
        <w:t>‬</w:t>
      </w:r>
      <w:r w:rsidRPr="0099598B">
        <w:rPr>
          <w:rFonts w:ascii="Arial" w:hAnsi="Arial" w:cs="Arial"/>
          <w:rtl/>
        </w:rPr>
        <w:t>‬</w:t>
      </w:r>
      <w:r w:rsidRPr="0099598B">
        <w:rPr>
          <w:rFonts w:ascii="Arial" w:hAnsi="Arial" w:cs="Arial"/>
          <w:rtl/>
        </w:rPr>
        <w:t>‬</w:t>
      </w:r>
      <w:r w:rsidRPr="0099598B">
        <w:rPr>
          <w:rFonts w:ascii="Arial" w:hAnsi="Arial" w:cs="Arial"/>
          <w:rtl/>
        </w:rPr>
        <w:t>‬</w:t>
      </w:r>
      <w:r w:rsidRPr="0099598B">
        <w:rPr>
          <w:rFonts w:ascii="Arial" w:hAnsi="Arial" w:cs="Arial"/>
          <w:rtl/>
        </w:rPr>
        <w:t>‬</w:t>
      </w:r>
      <w:r w:rsidRPr="0099598B">
        <w:rPr>
          <w:rFonts w:ascii="Arial" w:hAnsi="Arial" w:cs="Arial"/>
          <w:rtl/>
        </w:rPr>
        <w:t>‬</w:t>
      </w:r>
    </w:p>
    <w:p w14:paraId="3564492F" w14:textId="77777777" w:rsidR="001B6C22" w:rsidRPr="00C40CCD" w:rsidRDefault="001B6C22" w:rsidP="0099598B">
      <w:pPr>
        <w:pStyle w:val="SingleTxtGA"/>
        <w:spacing w:line="350" w:lineRule="exact"/>
        <w:rPr>
          <w:lang w:val="ar-SA" w:eastAsia="zh-TW" w:bidi="en-GB"/>
        </w:rPr>
      </w:pPr>
      <w:r w:rsidRPr="0099598B">
        <w:rPr>
          <w:rtl/>
        </w:rPr>
        <w:t>8</w:t>
      </w:r>
      <w:r>
        <w:rPr>
          <w:rtl/>
        </w:rPr>
        <w:t>-</w:t>
      </w:r>
      <w:r w:rsidRPr="0099598B">
        <w:rPr>
          <w:rtl/>
        </w:rPr>
        <w:t>6</w:t>
      </w:r>
      <w:r w:rsidRPr="00C40CCD">
        <w:rPr>
          <w:rtl/>
        </w:rPr>
        <w:tab/>
        <w:t xml:space="preserve">وترى اللجنة أن صاحب البلاغ لم يثبت ادعاءاته بموجب المادتين </w:t>
      </w:r>
      <w:r w:rsidRPr="0099598B">
        <w:rPr>
          <w:rtl/>
        </w:rPr>
        <w:t>19</w:t>
      </w:r>
      <w:r w:rsidRPr="00C40CCD">
        <w:rPr>
          <w:rtl/>
        </w:rPr>
        <w:t xml:space="preserve"> و</w:t>
      </w:r>
      <w:r w:rsidRPr="0099598B">
        <w:rPr>
          <w:rtl/>
        </w:rPr>
        <w:t>21</w:t>
      </w:r>
      <w:r w:rsidRPr="00C40CCD">
        <w:rPr>
          <w:rtl/>
        </w:rPr>
        <w:t xml:space="preserve"> من العهد، مقروءة بالاقتران مع المادة </w:t>
      </w:r>
      <w:r w:rsidRPr="0099598B">
        <w:rPr>
          <w:rtl/>
        </w:rPr>
        <w:t>2</w:t>
      </w:r>
      <w:r w:rsidRPr="00C40CCD">
        <w:rPr>
          <w:rtl/>
        </w:rPr>
        <w:t>(</w:t>
      </w:r>
      <w:r w:rsidRPr="0099598B">
        <w:rPr>
          <w:rtl/>
        </w:rPr>
        <w:t>3</w:t>
      </w:r>
      <w:r w:rsidRPr="00C40CCD">
        <w:rPr>
          <w:rtl/>
        </w:rPr>
        <w:t>) منه، وتعلن بناء على ذلك أن هذا الجزء من البلاغ غير مقبول.</w:t>
      </w:r>
      <w:r w:rsidRPr="00C40CCD">
        <w:rPr>
          <w:rFonts w:ascii="Arial" w:hAnsi="Arial" w:cs="Arial"/>
          <w:rtl/>
        </w:rPr>
        <w:t xml:space="preserve">‬ </w:t>
      </w:r>
      <w:r w:rsidRPr="00C40CCD">
        <w:rPr>
          <w:rFonts w:ascii="Arial" w:hAnsi="Arial" w:cs="Arial"/>
          <w:rtl/>
        </w:rPr>
        <w:t>‬</w:t>
      </w:r>
      <w:r w:rsidRPr="00C40CCD">
        <w:rPr>
          <w:rFonts w:ascii="Arial" w:hAnsi="Arial" w:cs="Arial"/>
          <w:rtl/>
        </w:rPr>
        <w:t>‬</w:t>
      </w:r>
      <w:r w:rsidRPr="00C40CCD">
        <w:rPr>
          <w:rFonts w:ascii="Arial" w:hAnsi="Arial" w:cs="Arial"/>
          <w:rtl/>
        </w:rPr>
        <w:t>‬</w:t>
      </w:r>
      <w:r w:rsidRPr="00C40CCD">
        <w:rPr>
          <w:rFonts w:ascii="Arial" w:hAnsi="Arial" w:cs="Arial"/>
          <w:rtl/>
        </w:rPr>
        <w:t>‬</w:t>
      </w:r>
      <w:r w:rsidRPr="00C40CCD">
        <w:rPr>
          <w:rFonts w:ascii="Arial" w:hAnsi="Arial" w:cs="Arial"/>
          <w:rtl/>
        </w:rPr>
        <w:t>‬</w:t>
      </w:r>
      <w:r w:rsidRPr="00C40CCD">
        <w:rPr>
          <w:rFonts w:ascii="Arial" w:hAnsi="Arial" w:cs="Arial"/>
          <w:rtl/>
        </w:rPr>
        <w:t>‬</w:t>
      </w:r>
    </w:p>
    <w:p w14:paraId="63586245" w14:textId="6C04FBAC" w:rsidR="001B6C22" w:rsidRPr="0099598B" w:rsidRDefault="001B6C22" w:rsidP="0099598B">
      <w:pPr>
        <w:pStyle w:val="SingleTxtGA"/>
        <w:spacing w:line="350" w:lineRule="exact"/>
        <w:rPr>
          <w:rFonts w:hint="cs"/>
          <w:lang w:val="en-US" w:eastAsia="zh-TW" w:bidi="en-GB"/>
        </w:rPr>
      </w:pPr>
      <w:r w:rsidRPr="0099598B">
        <w:rPr>
          <w:rtl/>
        </w:rPr>
        <w:t>8</w:t>
      </w:r>
      <w:r>
        <w:rPr>
          <w:rtl/>
        </w:rPr>
        <w:t>-</w:t>
      </w:r>
      <w:r w:rsidRPr="0099598B">
        <w:rPr>
          <w:rtl/>
        </w:rPr>
        <w:t>7</w:t>
      </w:r>
      <w:r w:rsidRPr="00C40CCD">
        <w:rPr>
          <w:rtl/>
        </w:rPr>
        <w:tab/>
        <w:t xml:space="preserve">وترى اللجنة أن صاحب البلاغ أثبت، بما فيه الكفاية لأغراض المقبولية، ادعاءاته بموجب المادتين </w:t>
      </w:r>
      <w:r w:rsidRPr="0099598B">
        <w:rPr>
          <w:rtl/>
        </w:rPr>
        <w:t>19</w:t>
      </w:r>
      <w:r w:rsidRPr="00C40CCD">
        <w:rPr>
          <w:rtl/>
        </w:rPr>
        <w:t xml:space="preserve"> و</w:t>
      </w:r>
      <w:r w:rsidRPr="0099598B">
        <w:rPr>
          <w:rtl/>
        </w:rPr>
        <w:t>21</w:t>
      </w:r>
      <w:r w:rsidRPr="00C40CCD">
        <w:rPr>
          <w:rtl/>
        </w:rPr>
        <w:t xml:space="preserve"> من العهد، وهي أن السلطات قيدت حقوقه، لكنْ لا اللجنة التنفيذية لمدينة </w:t>
      </w:r>
      <w:proofErr w:type="spellStart"/>
      <w:r w:rsidRPr="00C40CCD">
        <w:rPr>
          <w:rtl/>
        </w:rPr>
        <w:t>مالوريتا</w:t>
      </w:r>
      <w:proofErr w:type="spellEnd"/>
      <w:r w:rsidRPr="00C40CCD">
        <w:rPr>
          <w:rtl/>
        </w:rPr>
        <w:t xml:space="preserve"> ولا</w:t>
      </w:r>
      <w:r w:rsidR="0099598B">
        <w:rPr>
          <w:rFonts w:hint="cs"/>
          <w:rtl/>
        </w:rPr>
        <w:t> </w:t>
      </w:r>
      <w:r w:rsidRPr="00C40CCD">
        <w:rPr>
          <w:rtl/>
        </w:rPr>
        <w:t>المحاكم نظرت فيما إذا كانت القيود المذكورة لها في الواقع ما يبررها من أسباب تتعلق بالأمن الوطني أو السلامة العامة أو النظام العام أو حماية الصحة العامة أو الآداب العامة، أو ما إذا كانت ضرورية لحماية حقوق الغيْر وحرياته</w:t>
      </w:r>
      <w:r>
        <w:rPr>
          <w:rtl/>
        </w:rPr>
        <w:t>م</w:t>
      </w:r>
      <w:r w:rsidRPr="00C40CCD">
        <w:rPr>
          <w:rtl/>
        </w:rPr>
        <w:t>. و</w:t>
      </w:r>
      <w:r>
        <w:rPr>
          <w:rtl/>
        </w:rPr>
        <w:t xml:space="preserve">بناء </w:t>
      </w:r>
      <w:r w:rsidRPr="00C40CCD">
        <w:rPr>
          <w:rtl/>
        </w:rPr>
        <w:t>عليه، تعلن أن البلاغ مقبول وتنتقل إلى النظر في أسسه الموضوعية.</w:t>
      </w:r>
      <w:r w:rsidRPr="00C40CCD">
        <w:rPr>
          <w:rFonts w:ascii="Arial" w:hAnsi="Arial" w:cs="Arial"/>
          <w:rtl/>
        </w:rPr>
        <w:t xml:space="preserve">‬ </w:t>
      </w:r>
    </w:p>
    <w:p w14:paraId="50BED4DF" w14:textId="77777777" w:rsidR="001B6C22" w:rsidRPr="0099598B" w:rsidRDefault="001B6C22" w:rsidP="001B6C22">
      <w:pPr>
        <w:pStyle w:val="H4GA"/>
        <w:rPr>
          <w:lang w:eastAsia="zh-TW" w:bidi="en-GB"/>
        </w:rPr>
      </w:pPr>
      <w:r w:rsidRPr="0099598B">
        <w:rPr>
          <w:rtl/>
        </w:rPr>
        <w:tab/>
      </w:r>
      <w:r w:rsidRPr="0099598B">
        <w:rPr>
          <w:rtl/>
        </w:rPr>
        <w:tab/>
        <w:t>النظر في الأسس الموضوعية</w:t>
      </w:r>
    </w:p>
    <w:p w14:paraId="43F946C1" w14:textId="77777777" w:rsidR="001B6C22" w:rsidRPr="00B832B4" w:rsidRDefault="001B6C22" w:rsidP="0099598B">
      <w:pPr>
        <w:pStyle w:val="SingleTxtGA"/>
        <w:spacing w:line="350" w:lineRule="exact"/>
        <w:rPr>
          <w:lang w:eastAsia="zh-TW" w:bidi="en-GB"/>
        </w:rPr>
      </w:pPr>
      <w:r w:rsidRPr="0099598B">
        <w:rPr>
          <w:rtl/>
        </w:rPr>
        <w:t>9</w:t>
      </w:r>
      <w:r>
        <w:rPr>
          <w:rtl/>
        </w:rPr>
        <w:t>-</w:t>
      </w:r>
      <w:r w:rsidRPr="0099598B">
        <w:rPr>
          <w:rtl/>
        </w:rPr>
        <w:t>1</w:t>
      </w:r>
      <w:r w:rsidRPr="00C40CCD">
        <w:rPr>
          <w:rtl/>
        </w:rPr>
        <w:tab/>
        <w:t>نظرت اللجنة في البلاغ في ضوء جميع المعلومات التي أتاحها لها الطرفان، حسب</w:t>
      </w:r>
      <w:r>
        <w:rPr>
          <w:rtl/>
        </w:rPr>
        <w:t xml:space="preserve"> مقتضيات </w:t>
      </w:r>
      <w:r w:rsidRPr="00C40CCD">
        <w:rPr>
          <w:rtl/>
        </w:rPr>
        <w:t xml:space="preserve">المادة </w:t>
      </w:r>
      <w:r w:rsidRPr="0099598B">
        <w:rPr>
          <w:rtl/>
        </w:rPr>
        <w:t>5</w:t>
      </w:r>
      <w:r w:rsidRPr="00C40CCD">
        <w:rPr>
          <w:rtl/>
        </w:rPr>
        <w:t>(</w:t>
      </w:r>
      <w:r w:rsidRPr="0099598B">
        <w:rPr>
          <w:rtl/>
        </w:rPr>
        <w:t>1</w:t>
      </w:r>
      <w:r w:rsidRPr="00C40CCD">
        <w:rPr>
          <w:rtl/>
        </w:rPr>
        <w:t>) من البروتوكول الاختياري.</w:t>
      </w:r>
    </w:p>
    <w:p w14:paraId="4D1C287D" w14:textId="2554EF8C" w:rsidR="001B6C22" w:rsidRPr="009D6CD4" w:rsidRDefault="001B6C22" w:rsidP="0099598B">
      <w:pPr>
        <w:pStyle w:val="SingleTxtGA"/>
        <w:spacing w:line="350" w:lineRule="exact"/>
        <w:rPr>
          <w:lang w:eastAsia="zh-TW" w:bidi="en-GB"/>
        </w:rPr>
      </w:pPr>
      <w:r w:rsidRPr="0099598B">
        <w:rPr>
          <w:rtl/>
        </w:rPr>
        <w:t>9</w:t>
      </w:r>
      <w:r>
        <w:rPr>
          <w:rtl/>
        </w:rPr>
        <w:t>-</w:t>
      </w:r>
      <w:r w:rsidRPr="0099598B">
        <w:rPr>
          <w:rtl/>
        </w:rPr>
        <w:t>2</w:t>
      </w:r>
      <w:r w:rsidRPr="00C40CCD">
        <w:rPr>
          <w:rtl/>
        </w:rPr>
        <w:tab/>
        <w:t xml:space="preserve">وتحيط اللجنة علما بادعاءات صاحب البلاغ أن حقّيه في حرية التعبير وحرية التجمع قُيّدا، الأمر الذي ينتهك كلا من المادة </w:t>
      </w:r>
      <w:r w:rsidRPr="0099598B">
        <w:rPr>
          <w:rtl/>
        </w:rPr>
        <w:t>19</w:t>
      </w:r>
      <w:r w:rsidRPr="00C40CCD">
        <w:rPr>
          <w:rtl/>
        </w:rPr>
        <w:t xml:space="preserve"> والمادة </w:t>
      </w:r>
      <w:r w:rsidRPr="0099598B">
        <w:rPr>
          <w:rtl/>
        </w:rPr>
        <w:t>21</w:t>
      </w:r>
      <w:r w:rsidRPr="00C40CCD">
        <w:rPr>
          <w:rtl/>
        </w:rPr>
        <w:t xml:space="preserve"> من العهد، إذ إنه رُفض الترخيص له في تنظيم تجمع سلمي للفت الانتباه إلى عدم وجود انتخابات حرة وديمقراطية في بيلاروس. وتحيط علما أيضا بادعاءات صاحب البلاغ أن السلطات لم توضح لماذا قد يكون فرض قيود على تنظيم اعتصام في قضيته ضروريا</w:t>
      </w:r>
      <w:r w:rsidR="006370EB">
        <w:rPr>
          <w:rFonts w:hint="cs"/>
          <w:rtl/>
        </w:rPr>
        <w:t>ً</w:t>
      </w:r>
      <w:r w:rsidRPr="00C40CCD">
        <w:rPr>
          <w:rtl/>
        </w:rPr>
        <w:t xml:space="preserve"> لصون الأمن الوطني أو السلامة العامة لحماية الصحة العامة أو الآداب العامة أو حقوق الغيْر وحرياته</w:t>
      </w:r>
      <w:r>
        <w:rPr>
          <w:rtl/>
        </w:rPr>
        <w:t>م</w:t>
      </w:r>
      <w:r w:rsidRPr="00C40CCD">
        <w:rPr>
          <w:rtl/>
        </w:rPr>
        <w:t xml:space="preserve">. وادعى أيضاً أن السلطات لم تستطع إثبات أن القيود المفروضة على تنظيم تجمع سلمي على مسافة تقل عن </w:t>
      </w:r>
      <w:r w:rsidRPr="0099598B">
        <w:rPr>
          <w:rtl/>
        </w:rPr>
        <w:t>50</w:t>
      </w:r>
      <w:r w:rsidRPr="00C40CCD">
        <w:rPr>
          <w:rtl/>
        </w:rPr>
        <w:t xml:space="preserve"> متراً من مؤسسات الإدارة العامة كانت سبباً قانونياً وعادلاً لحظر الاعتصامات.</w:t>
      </w:r>
    </w:p>
    <w:p w14:paraId="4C4A1D19" w14:textId="6C316549" w:rsidR="001B6C22" w:rsidRPr="00C40CCD" w:rsidRDefault="001B6C22" w:rsidP="0099598B">
      <w:pPr>
        <w:pStyle w:val="SingleTxtGA"/>
        <w:spacing w:line="350" w:lineRule="exact"/>
        <w:rPr>
          <w:lang w:val="ar-SA" w:eastAsia="zh-TW" w:bidi="en-GB"/>
        </w:rPr>
      </w:pPr>
      <w:r w:rsidRPr="0099598B">
        <w:rPr>
          <w:rtl/>
        </w:rPr>
        <w:t>9</w:t>
      </w:r>
      <w:r>
        <w:rPr>
          <w:rtl/>
        </w:rPr>
        <w:t>-</w:t>
      </w:r>
      <w:r w:rsidRPr="0099598B">
        <w:rPr>
          <w:rtl/>
        </w:rPr>
        <w:t>3</w:t>
      </w:r>
      <w:r w:rsidRPr="00C40CCD">
        <w:rPr>
          <w:rtl/>
        </w:rPr>
        <w:tab/>
        <w:t xml:space="preserve">وتذكّر اللجنة في هذا الصدد بتعليقها العام رقم </w:t>
      </w:r>
      <w:r w:rsidRPr="0099598B">
        <w:rPr>
          <w:rtl/>
        </w:rPr>
        <w:t>34</w:t>
      </w:r>
      <w:r w:rsidRPr="00C40CCD">
        <w:rPr>
          <w:rtl/>
        </w:rPr>
        <w:t>(</w:t>
      </w:r>
      <w:r w:rsidRPr="0099598B">
        <w:rPr>
          <w:rtl/>
        </w:rPr>
        <w:t>2011</w:t>
      </w:r>
      <w:r w:rsidRPr="00C40CCD">
        <w:rPr>
          <w:rtl/>
        </w:rPr>
        <w:t xml:space="preserve">) حيث ذكرت جملة أمور منها أن حرية التعبير أساسية لأي مجتمع وتشكل إحدى ركائز كل مجتمع تسوده الحرية والديمقراطية. وتلاحظ أن المادة </w:t>
      </w:r>
      <w:r w:rsidRPr="0099598B">
        <w:rPr>
          <w:rtl/>
        </w:rPr>
        <w:t>19</w:t>
      </w:r>
      <w:r w:rsidRPr="00C40CCD">
        <w:rPr>
          <w:rtl/>
        </w:rPr>
        <w:t>(</w:t>
      </w:r>
      <w:r w:rsidRPr="0099598B">
        <w:rPr>
          <w:rtl/>
        </w:rPr>
        <w:t>3</w:t>
      </w:r>
      <w:r w:rsidRPr="00C40CCD">
        <w:rPr>
          <w:rtl/>
        </w:rPr>
        <w:t>) من الاتفاقية لا ت</w:t>
      </w:r>
      <w:r>
        <w:rPr>
          <w:rtl/>
        </w:rPr>
        <w:t>بيح</w:t>
      </w:r>
      <w:r w:rsidRPr="00C40CCD">
        <w:rPr>
          <w:rtl/>
        </w:rPr>
        <w:t xml:space="preserve"> فرض قيود معينة على حرية التعبير، بما فيها حرية نقل المعلومات والأفكار، إلا في حدود ما ينص عليه القانون، وإلا إن كانت ضرورية (أ) لاحترام حقوق الغيْر أو سمعته</w:t>
      </w:r>
      <w:r>
        <w:rPr>
          <w:rtl/>
        </w:rPr>
        <w:t>م</w:t>
      </w:r>
      <w:r w:rsidRPr="00C40CCD">
        <w:rPr>
          <w:rtl/>
        </w:rPr>
        <w:t xml:space="preserve"> أو (ب) لحماية الأمن الوطني أو النظام العام أو الصحة العامة أو الآداب العامة. وأخيراً، يجب ألا يكون أي تقييد لحرية التعبير فضفاضاً بطبيعته -</w:t>
      </w:r>
      <w:r w:rsidR="0099598B">
        <w:rPr>
          <w:rFonts w:hint="cs"/>
          <w:rtl/>
        </w:rPr>
        <w:t xml:space="preserve"> </w:t>
      </w:r>
      <w:r w:rsidRPr="00C40CCD">
        <w:rPr>
          <w:rtl/>
        </w:rPr>
        <w:t xml:space="preserve">أي أن يكون أقل التدابير مساساً بهذا الحق من بين التدابير التي قد تحقِّق الحماية المطلوبة وأن يتناسب مع المصلحة المراد حمايتها. وتُذكّر اللجنة بأن الدولة الطرف هي التي يجب أن تُثبت وجه الضرورة والتناسب في القيود المفروضة على حقوق صاحب البلاغ المكفولة </w:t>
      </w:r>
      <w:r>
        <w:rPr>
          <w:rtl/>
        </w:rPr>
        <w:t>ب</w:t>
      </w:r>
      <w:r w:rsidRPr="00C40CCD">
        <w:rPr>
          <w:rtl/>
        </w:rPr>
        <w:t xml:space="preserve">المادة </w:t>
      </w:r>
      <w:r w:rsidRPr="0099598B">
        <w:rPr>
          <w:rtl/>
        </w:rPr>
        <w:t>19</w:t>
      </w:r>
      <w:r w:rsidRPr="00C40CCD">
        <w:rPr>
          <w:rtl/>
        </w:rPr>
        <w:t xml:space="preserve"> من العهد</w:t>
      </w:r>
      <w:r w:rsidR="00F41276">
        <w:rPr>
          <w:rStyle w:val="FootnoteReference"/>
          <w:rFonts w:ascii="Simplified Arabic" w:hAnsi="Simplified Arabic"/>
          <w:rtl/>
        </w:rPr>
        <w:t>(</w:t>
      </w:r>
      <w:r w:rsidR="00F41276" w:rsidRPr="0099598B">
        <w:rPr>
          <w:rStyle w:val="FootnoteReference"/>
          <w:rFonts w:ascii="Simplified Arabic" w:hAnsi="Simplified Arabic"/>
          <w:lang w:val="en-US"/>
        </w:rPr>
        <w:footnoteReference w:id="10"/>
      </w:r>
      <w:r w:rsidR="00F41276">
        <w:rPr>
          <w:rStyle w:val="FootnoteReference"/>
          <w:rFonts w:ascii="Simplified Arabic" w:hAnsi="Simplified Arabic"/>
          <w:rtl/>
        </w:rPr>
        <w:t>)</w:t>
      </w:r>
      <w:r w:rsidRPr="00C40CCD">
        <w:rPr>
          <w:rtl/>
        </w:rPr>
        <w:t>.</w:t>
      </w:r>
    </w:p>
    <w:p w14:paraId="524B322E" w14:textId="77777777" w:rsidR="001B6C22" w:rsidRPr="00B832B4" w:rsidRDefault="001B6C22" w:rsidP="001B6C22">
      <w:pPr>
        <w:pStyle w:val="SingleTxtGA"/>
        <w:rPr>
          <w:lang w:eastAsia="zh-TW" w:bidi="en-GB"/>
        </w:rPr>
      </w:pPr>
      <w:r w:rsidRPr="0099598B">
        <w:rPr>
          <w:rtl/>
        </w:rPr>
        <w:lastRenderedPageBreak/>
        <w:t>9</w:t>
      </w:r>
      <w:r>
        <w:rPr>
          <w:rtl/>
        </w:rPr>
        <w:t>-</w:t>
      </w:r>
      <w:r w:rsidRPr="0099598B">
        <w:rPr>
          <w:rtl/>
        </w:rPr>
        <w:t>4</w:t>
      </w:r>
      <w:r w:rsidRPr="00C40CCD">
        <w:rPr>
          <w:rtl/>
        </w:rPr>
        <w:tab/>
        <w:t xml:space="preserve">وتلاحظ اللجنة أن رفض الترخيص في الاعتصام يستند إلى المادة </w:t>
      </w:r>
      <w:r w:rsidRPr="0099598B">
        <w:rPr>
          <w:rtl/>
        </w:rPr>
        <w:t>9</w:t>
      </w:r>
      <w:r w:rsidRPr="00C40CCD">
        <w:rPr>
          <w:rtl/>
        </w:rPr>
        <w:t xml:space="preserve"> من قانون الأحداث العامة التي تنص على أن تنظيم الأحداث الجماهيرية غير جائز على مسافة تقل عن </w:t>
      </w:r>
      <w:r w:rsidRPr="0099598B">
        <w:rPr>
          <w:rtl/>
        </w:rPr>
        <w:t>50</w:t>
      </w:r>
      <w:r w:rsidRPr="00C40CCD">
        <w:rPr>
          <w:rtl/>
        </w:rPr>
        <w:t xml:space="preserve"> متراً من مباني المؤسسات العامة. غير أنها تلاحظ</w:t>
      </w:r>
      <w:r>
        <w:rPr>
          <w:rtl/>
        </w:rPr>
        <w:t xml:space="preserve"> في الوقت نفسه</w:t>
      </w:r>
      <w:r w:rsidRPr="00C40CCD">
        <w:rPr>
          <w:rtl/>
        </w:rPr>
        <w:t xml:space="preserve"> أن الدولة الطرف والمحاكم الوطنية لم تقدم أي تفسير لكيفية تبرير هذه القيود وفقاً لشرطَي الضرورة والتناسب في هذه القضية، إذ إن الاعتصام كان من المفترض أن يقام بالقرب من المدخل الرئيس لمركز ثقافي، لا سيما بالنظر إلى أن صاحب البلاغ أعرب عن استعداده للنظر في مكان بديل. ولأن الدولة الطرف لم تقدم أي تفسير، تخلص اللجنة إلى أن حقوق </w:t>
      </w:r>
      <w:r>
        <w:rPr>
          <w:rtl/>
        </w:rPr>
        <w:t>صاحب</w:t>
      </w:r>
      <w:r w:rsidRPr="00C40CCD">
        <w:rPr>
          <w:rtl/>
        </w:rPr>
        <w:t xml:space="preserve"> البلاغ المنصوص عليها في المادة </w:t>
      </w:r>
      <w:r w:rsidRPr="0099598B">
        <w:rPr>
          <w:rtl/>
        </w:rPr>
        <w:t>19</w:t>
      </w:r>
      <w:r w:rsidRPr="00C40CCD">
        <w:rPr>
          <w:rtl/>
        </w:rPr>
        <w:t>(</w:t>
      </w:r>
      <w:r w:rsidRPr="0099598B">
        <w:rPr>
          <w:rtl/>
        </w:rPr>
        <w:t>2</w:t>
      </w:r>
      <w:r w:rsidRPr="00C40CCD">
        <w:rPr>
          <w:rtl/>
        </w:rPr>
        <w:t>) من العهد قد انتُهكت.</w:t>
      </w:r>
    </w:p>
    <w:p w14:paraId="29D0F058" w14:textId="1BAFE5C9" w:rsidR="001B6C22" w:rsidRPr="00C40CCD" w:rsidRDefault="001B6C22" w:rsidP="001B6C22">
      <w:pPr>
        <w:pStyle w:val="SingleTxtGA"/>
        <w:rPr>
          <w:lang w:val="ar-SA" w:eastAsia="zh-TW" w:bidi="en-GB"/>
        </w:rPr>
      </w:pPr>
      <w:r w:rsidRPr="0099598B">
        <w:rPr>
          <w:rtl/>
        </w:rPr>
        <w:t>9</w:t>
      </w:r>
      <w:r>
        <w:rPr>
          <w:rtl/>
        </w:rPr>
        <w:t>-</w:t>
      </w:r>
      <w:r w:rsidRPr="0099598B">
        <w:rPr>
          <w:rtl/>
        </w:rPr>
        <w:t>5</w:t>
      </w:r>
      <w:r w:rsidRPr="00C40CCD">
        <w:rPr>
          <w:rtl/>
        </w:rPr>
        <w:tab/>
        <w:t>وتحيط اللجنة علما</w:t>
      </w:r>
      <w:r w:rsidR="007A0459">
        <w:rPr>
          <w:rFonts w:hint="cs"/>
          <w:rtl/>
        </w:rPr>
        <w:t>ً</w:t>
      </w:r>
      <w:r w:rsidRPr="00C40CCD">
        <w:rPr>
          <w:rtl/>
        </w:rPr>
        <w:t xml:space="preserve"> بادعاء صاحب البلاغ أن حقه في التجمع السلمي </w:t>
      </w:r>
      <w:r>
        <w:rPr>
          <w:rtl/>
        </w:rPr>
        <w:t>بموجب</w:t>
      </w:r>
      <w:r w:rsidRPr="00C40CCD">
        <w:rPr>
          <w:rtl/>
        </w:rPr>
        <w:t xml:space="preserve"> المادة </w:t>
      </w:r>
      <w:r w:rsidRPr="0099598B">
        <w:rPr>
          <w:rtl/>
        </w:rPr>
        <w:t>21</w:t>
      </w:r>
      <w:r w:rsidRPr="00C40CCD">
        <w:rPr>
          <w:rtl/>
        </w:rPr>
        <w:t xml:space="preserve"> من العهد انتُهك أيضاً برفض السلطات البلدية الترخيص في الاعتصام. وتذكّر في هذا السياق بأن الحق في التجمع السلمي، الذي تكفله المادة </w:t>
      </w:r>
      <w:r w:rsidRPr="0099598B">
        <w:rPr>
          <w:rtl/>
        </w:rPr>
        <w:t>21</w:t>
      </w:r>
      <w:r w:rsidRPr="00C40CCD">
        <w:rPr>
          <w:rtl/>
        </w:rPr>
        <w:t xml:space="preserve"> من العهد، حق أساسي من حقوق الإنسان لا بد منه لتعبير الفرد عن آرائه ووجهات نظره، وهو حق لا غنى عنه في مجتمع ديمقراطي. ويستلزم هذا الحق إمكانية تنظيم تجمع سلمي والمشاركة فيه، وفي ضمنه تنظيم تجمع ثابت (كالاعتصام) في مكان عام. و</w:t>
      </w:r>
      <w:r>
        <w:rPr>
          <w:rtl/>
        </w:rPr>
        <w:t>عموماً</w:t>
      </w:r>
      <w:r w:rsidRPr="00C40CCD">
        <w:rPr>
          <w:rtl/>
        </w:rPr>
        <w:t>، يحق لمنظمي التجمعات أن يختاروا موقعاً على مرأى ومسمع من الجمهور المستهدَف، ولا يجوز تقييد هذا الحق ما لم يكن (أ) مفروضاً وفق القانون</w:t>
      </w:r>
      <w:r>
        <w:rPr>
          <w:rtl/>
        </w:rPr>
        <w:t>؛</w:t>
      </w:r>
      <w:r w:rsidRPr="00C40CCD">
        <w:rPr>
          <w:rtl/>
        </w:rPr>
        <w:t xml:space="preserve"> (ب) وضرورياً في مجتمع ديمقراطي لصون الأمن الوطني أو</w:t>
      </w:r>
      <w:r w:rsidR="00390AAF">
        <w:rPr>
          <w:rFonts w:hint="cs"/>
          <w:rtl/>
        </w:rPr>
        <w:t> </w:t>
      </w:r>
      <w:r w:rsidRPr="00C40CCD">
        <w:rPr>
          <w:rtl/>
        </w:rPr>
        <w:t>السلامة العامة أو النظام العام أو لحماية الصحة العامة أو الآداب العامة أو حقوق الغير وحرياته</w:t>
      </w:r>
      <w:r>
        <w:rPr>
          <w:rtl/>
        </w:rPr>
        <w:t>م</w:t>
      </w:r>
      <w:r w:rsidRPr="00C40CCD">
        <w:rPr>
          <w:rtl/>
        </w:rPr>
        <w:t>. وعندما تفرض دولة طرف قيوداً بهدف التوفيق بين حق الفرد في التجمع والمصالح العامة المشار إليها سابقا</w:t>
      </w:r>
      <w:r w:rsidR="007A0459">
        <w:rPr>
          <w:rFonts w:hint="cs"/>
          <w:rtl/>
        </w:rPr>
        <w:t>ً</w:t>
      </w:r>
      <w:r w:rsidRPr="00C40CCD">
        <w:rPr>
          <w:rtl/>
        </w:rPr>
        <w:t>، ينبغي أن تستهدي ب</w:t>
      </w:r>
      <w:r>
        <w:rPr>
          <w:rtl/>
        </w:rPr>
        <w:t>ال</w:t>
      </w:r>
      <w:r w:rsidRPr="00C40CCD">
        <w:rPr>
          <w:rtl/>
        </w:rPr>
        <w:t xml:space="preserve">غرض </w:t>
      </w:r>
      <w:r>
        <w:rPr>
          <w:rtl/>
        </w:rPr>
        <w:t>القاضي ب</w:t>
      </w:r>
      <w:r w:rsidRPr="00C40CCD">
        <w:rPr>
          <w:rtl/>
        </w:rPr>
        <w:t xml:space="preserve">تيسير إعمال هذا الحق عوضاً عن توخّي تقييده بقيود غير ضرورية أو غير متناسبة. لذا يقع على عاتق الدولة الطرف التزام بتبرير تقييدها الحق المشمول بحماية المادة </w:t>
      </w:r>
      <w:r w:rsidRPr="0099598B">
        <w:rPr>
          <w:rtl/>
        </w:rPr>
        <w:t>21</w:t>
      </w:r>
      <w:r w:rsidRPr="00C40CCD">
        <w:rPr>
          <w:rtl/>
        </w:rPr>
        <w:t xml:space="preserve"> من العهد</w:t>
      </w:r>
      <w:r w:rsidR="00F41276">
        <w:rPr>
          <w:rStyle w:val="FootnoteReference"/>
          <w:rFonts w:ascii="Simplified Arabic" w:hAnsi="Simplified Arabic"/>
          <w:rtl/>
        </w:rPr>
        <w:t>(</w:t>
      </w:r>
      <w:r w:rsidR="00F41276" w:rsidRPr="0099598B">
        <w:rPr>
          <w:rStyle w:val="FootnoteReference"/>
          <w:rFonts w:ascii="Simplified Arabic" w:hAnsi="Simplified Arabic"/>
          <w:lang w:val="en-US"/>
        </w:rPr>
        <w:footnoteReference w:id="11"/>
      </w:r>
      <w:r w:rsidR="00F41276">
        <w:rPr>
          <w:rStyle w:val="FootnoteReference"/>
          <w:rFonts w:ascii="Simplified Arabic" w:hAnsi="Simplified Arabic"/>
          <w:rtl/>
        </w:rPr>
        <w:t>)</w:t>
      </w:r>
      <w:r w:rsidRPr="00C40CCD">
        <w:rPr>
          <w:rtl/>
        </w:rPr>
        <w:t>.</w:t>
      </w:r>
    </w:p>
    <w:p w14:paraId="4FA12D72" w14:textId="77777777" w:rsidR="001B6C22" w:rsidRPr="006D4DFB" w:rsidRDefault="001B6C22" w:rsidP="001B6C22">
      <w:pPr>
        <w:pStyle w:val="SingleTxtGA"/>
        <w:rPr>
          <w:lang w:eastAsia="zh-TW" w:bidi="en-GB"/>
        </w:rPr>
      </w:pPr>
      <w:r w:rsidRPr="0099598B">
        <w:rPr>
          <w:rtl/>
        </w:rPr>
        <w:t>9</w:t>
      </w:r>
      <w:r>
        <w:rPr>
          <w:rtl/>
        </w:rPr>
        <w:t>-</w:t>
      </w:r>
      <w:r w:rsidRPr="0099598B">
        <w:rPr>
          <w:rtl/>
        </w:rPr>
        <w:t>6</w:t>
      </w:r>
      <w:r w:rsidRPr="00C40CCD">
        <w:rPr>
          <w:rtl/>
        </w:rPr>
        <w:tab/>
        <w:t>وفي</w:t>
      </w:r>
      <w:r>
        <w:rPr>
          <w:rtl/>
        </w:rPr>
        <w:t xml:space="preserve"> هذه</w:t>
      </w:r>
      <w:r w:rsidRPr="00C40CCD">
        <w:rPr>
          <w:rtl/>
        </w:rPr>
        <w:t xml:space="preserve"> القضية، على اللجنة أن تنظر فيما إذا كانت القيود المفروضة على حق صاحب البلاغ في التجمع السلمي مبررة بمقتضى أي معيار من المعايير المبيّنة في الجملة الثانية من المادة </w:t>
      </w:r>
      <w:r w:rsidRPr="0099598B">
        <w:rPr>
          <w:rtl/>
        </w:rPr>
        <w:t>21</w:t>
      </w:r>
      <w:r w:rsidRPr="00C40CCD">
        <w:rPr>
          <w:rtl/>
        </w:rPr>
        <w:t xml:space="preserve"> من العهد. وفي ضوء المعلومات المتاحة في </w:t>
      </w:r>
      <w:r>
        <w:rPr>
          <w:rtl/>
        </w:rPr>
        <w:t>الملف</w:t>
      </w:r>
      <w:r w:rsidRPr="00C40CCD">
        <w:rPr>
          <w:rtl/>
        </w:rPr>
        <w:t xml:space="preserve">، تلاحظ اللجنة أن السلطات البلدية والمحاكم المحلية </w:t>
      </w:r>
      <w:r w:rsidRPr="00390AAF">
        <w:rPr>
          <w:spacing w:val="-2"/>
          <w:rtl/>
        </w:rPr>
        <w:t>لم تقدم أي تبرير أو تفسير للكيفية العملية التي كانت ستجعل احتجاج صاحب البلاغ ينتهك الأمن الوطني</w:t>
      </w:r>
      <w:r w:rsidRPr="00C40CCD">
        <w:rPr>
          <w:rtl/>
        </w:rPr>
        <w:t xml:space="preserve"> أو السلامة العامة أو النظام العام أو حماية الصحة العامة أو الآداب العامة أو حقوق الغير وحرياته</w:t>
      </w:r>
      <w:r>
        <w:rPr>
          <w:rtl/>
        </w:rPr>
        <w:t>م</w:t>
      </w:r>
      <w:r w:rsidRPr="00C40CCD">
        <w:rPr>
          <w:rtl/>
        </w:rPr>
        <w:t xml:space="preserve">، </w:t>
      </w:r>
      <w:r>
        <w:rPr>
          <w:rtl/>
        </w:rPr>
        <w:t>وفق ما تنص</w:t>
      </w:r>
      <w:r w:rsidRPr="00C40CCD">
        <w:rPr>
          <w:rtl/>
        </w:rPr>
        <w:t xml:space="preserve"> عليه المادة </w:t>
      </w:r>
      <w:r w:rsidRPr="0099598B">
        <w:rPr>
          <w:rtl/>
        </w:rPr>
        <w:t>21</w:t>
      </w:r>
      <w:r w:rsidRPr="00C40CCD">
        <w:rPr>
          <w:rtl/>
        </w:rPr>
        <w:t xml:space="preserve"> من العهد. ولم تثبت الدولة الطرف أنها اتخذت أي تدابير بديلة لتيسير ممارسة صاحب البلاغ حقوقه بمقتضى المادة </w:t>
      </w:r>
      <w:r w:rsidRPr="0099598B">
        <w:rPr>
          <w:rtl/>
        </w:rPr>
        <w:t>21</w:t>
      </w:r>
      <w:r w:rsidRPr="00C40CCD">
        <w:rPr>
          <w:rtl/>
        </w:rPr>
        <w:t>.</w:t>
      </w:r>
    </w:p>
    <w:p w14:paraId="75594135" w14:textId="77777777" w:rsidR="001B6C22" w:rsidRPr="006D4DFB" w:rsidRDefault="001B6C22" w:rsidP="001B6C22">
      <w:pPr>
        <w:pStyle w:val="SingleTxtGA"/>
        <w:rPr>
          <w:lang w:eastAsia="zh-TW" w:bidi="en-GB"/>
        </w:rPr>
      </w:pPr>
      <w:r w:rsidRPr="0099598B">
        <w:rPr>
          <w:rtl/>
        </w:rPr>
        <w:t>9</w:t>
      </w:r>
      <w:r>
        <w:rPr>
          <w:rtl/>
        </w:rPr>
        <w:t>-</w:t>
      </w:r>
      <w:r w:rsidRPr="0099598B">
        <w:rPr>
          <w:rtl/>
        </w:rPr>
        <w:t>7</w:t>
      </w:r>
      <w:r w:rsidRPr="00C40CCD">
        <w:rPr>
          <w:rtl/>
        </w:rPr>
        <w:tab/>
        <w:t xml:space="preserve">وتشير اللجنة إلى أنها نظرت في قضايا مماثلة تتعلق بنفس قوانين الدولة الطرف وممارساتها في عدد من البلاغات السابقة. وانسجاماً مع هذه السوابق، ونظراً إلى عدم تقديم الدولة الطرف أي تفسير للمسألة المطروحة، تخلص اللجنة إلى أن الدولة الطرف انتهكت في القضية موضع النظر حقوق صاحب البلاغ بموجب المادة </w:t>
      </w:r>
      <w:r w:rsidRPr="0099598B">
        <w:rPr>
          <w:rtl/>
        </w:rPr>
        <w:t>21</w:t>
      </w:r>
      <w:r w:rsidRPr="00C40CCD">
        <w:rPr>
          <w:rtl/>
        </w:rPr>
        <w:t xml:space="preserve"> من العهد.</w:t>
      </w:r>
    </w:p>
    <w:p w14:paraId="7C278370" w14:textId="77777777" w:rsidR="001B6C22" w:rsidRPr="00CD3C28" w:rsidRDefault="001B6C22" w:rsidP="001B6C22">
      <w:pPr>
        <w:pStyle w:val="SingleTxtGA"/>
        <w:rPr>
          <w:lang w:eastAsia="zh-TW" w:bidi="en-GB"/>
        </w:rPr>
      </w:pPr>
      <w:r w:rsidRPr="0099598B">
        <w:rPr>
          <w:rtl/>
        </w:rPr>
        <w:t>10</w:t>
      </w:r>
      <w:r w:rsidRPr="00C40CCD">
        <w:rPr>
          <w:rtl/>
        </w:rPr>
        <w:t>-</w:t>
      </w:r>
      <w:r w:rsidRPr="00C40CCD">
        <w:rPr>
          <w:rtl/>
        </w:rPr>
        <w:tab/>
        <w:t xml:space="preserve">وترى اللجنة، وهي تتصرف وفقاً للمادة </w:t>
      </w:r>
      <w:r w:rsidRPr="0099598B">
        <w:rPr>
          <w:rtl/>
        </w:rPr>
        <w:t>5</w:t>
      </w:r>
      <w:r w:rsidRPr="00C40CCD">
        <w:rPr>
          <w:rtl/>
        </w:rPr>
        <w:t>(</w:t>
      </w:r>
      <w:r w:rsidRPr="0099598B">
        <w:rPr>
          <w:rtl/>
        </w:rPr>
        <w:t>4</w:t>
      </w:r>
      <w:r w:rsidRPr="00C40CCD">
        <w:rPr>
          <w:rtl/>
        </w:rPr>
        <w:t xml:space="preserve">) من البروتوكول الاختياري، أن الوقائع المعروضة عليها تكشف عن انتهاك الدولة الطرف حقوق صاحب البلاغ بمقتضى المادتين </w:t>
      </w:r>
      <w:r w:rsidRPr="0099598B">
        <w:rPr>
          <w:rtl/>
        </w:rPr>
        <w:t>19</w:t>
      </w:r>
      <w:r w:rsidRPr="00C40CCD">
        <w:rPr>
          <w:rtl/>
        </w:rPr>
        <w:t>(</w:t>
      </w:r>
      <w:r w:rsidRPr="0099598B">
        <w:rPr>
          <w:rtl/>
        </w:rPr>
        <w:t>2</w:t>
      </w:r>
      <w:r w:rsidRPr="00C40CCD">
        <w:rPr>
          <w:rtl/>
        </w:rPr>
        <w:t>) و</w:t>
      </w:r>
      <w:r w:rsidRPr="0099598B">
        <w:rPr>
          <w:rtl/>
        </w:rPr>
        <w:t>21</w:t>
      </w:r>
      <w:r w:rsidRPr="00C40CCD">
        <w:rPr>
          <w:rtl/>
        </w:rPr>
        <w:t xml:space="preserve"> من العهد.</w:t>
      </w:r>
    </w:p>
    <w:p w14:paraId="12EA6331" w14:textId="77777777" w:rsidR="001B6C22" w:rsidRPr="006D4DFB" w:rsidRDefault="001B6C22" w:rsidP="001B6C22">
      <w:pPr>
        <w:pStyle w:val="SingleTxtGA"/>
        <w:rPr>
          <w:lang w:eastAsia="zh-TW" w:bidi="en-GB"/>
        </w:rPr>
      </w:pPr>
      <w:r w:rsidRPr="0099598B">
        <w:rPr>
          <w:rtl/>
        </w:rPr>
        <w:t>11</w:t>
      </w:r>
      <w:r w:rsidRPr="00C40CCD">
        <w:rPr>
          <w:rtl/>
        </w:rPr>
        <w:t>-</w:t>
      </w:r>
      <w:r w:rsidRPr="00C40CCD">
        <w:rPr>
          <w:rtl/>
        </w:rPr>
        <w:tab/>
        <w:t xml:space="preserve">وعملاً بأحكام المادة </w:t>
      </w:r>
      <w:r w:rsidRPr="0099598B">
        <w:rPr>
          <w:rtl/>
        </w:rPr>
        <w:t>2</w:t>
      </w:r>
      <w:r w:rsidRPr="00C40CCD">
        <w:rPr>
          <w:rtl/>
        </w:rPr>
        <w:t>(</w:t>
      </w:r>
      <w:r w:rsidRPr="0099598B">
        <w:rPr>
          <w:rtl/>
        </w:rPr>
        <w:t>3</w:t>
      </w:r>
      <w:r w:rsidRPr="00C40CCD">
        <w:rPr>
          <w:rtl/>
        </w:rPr>
        <w:t xml:space="preserve">)(أ) من العهد، يقع على عاتق الدولة الطرف التزام بتوفير سبيل انتصاف فعال لصاحب البلاغ. ويقتضي منها ذلك جبر الأضرار التي لحقت بمن انتُهكت حقوقهم التي يكفلها العهد جبراً تاماً. وبناءً على ذلك، يتعين على الدولة الطرف، في جملة أمور، تقديم تعويض </w:t>
      </w:r>
      <w:r>
        <w:rPr>
          <w:rtl/>
        </w:rPr>
        <w:t>كاف</w:t>
      </w:r>
      <w:r w:rsidRPr="00C40CCD">
        <w:rPr>
          <w:rtl/>
        </w:rPr>
        <w:t xml:space="preserve"> </w:t>
      </w:r>
      <w:r w:rsidRPr="0099598B">
        <w:rPr>
          <w:spacing w:val="-2"/>
          <w:rtl/>
        </w:rPr>
        <w:t>لصاحب البلاغ. ويتعين عليها أيضا اتخاذ جميع التدابير اللازمة لمنع حدوث انتهاكات مماثلة في المستقبل.</w:t>
      </w:r>
      <w:r w:rsidRPr="00C40CCD">
        <w:rPr>
          <w:rtl/>
        </w:rPr>
        <w:t xml:space="preserve"> </w:t>
      </w:r>
      <w:r w:rsidRPr="00C40CCD">
        <w:rPr>
          <w:rtl/>
        </w:rPr>
        <w:lastRenderedPageBreak/>
        <w:t xml:space="preserve">لذا، على الدولة الطرف أن تعيد النظر في إطارها المعياري المتعلق بالأحداث العامة، وفقاً لالتزاماتها </w:t>
      </w:r>
      <w:r w:rsidRPr="0099598B">
        <w:rPr>
          <w:spacing w:val="-2"/>
          <w:rtl/>
        </w:rPr>
        <w:t>بموجب الفقرة 2 من المادة 2 من العهد، لكي تكفل التمتع بالحقوق المنصوص عليها في المادتين 19 و21</w:t>
      </w:r>
      <w:r w:rsidRPr="00C40CCD">
        <w:rPr>
          <w:rtl/>
        </w:rPr>
        <w:t xml:space="preserve"> من العهد تمتعاً كاملاً في الدولة الطرف.</w:t>
      </w:r>
    </w:p>
    <w:p w14:paraId="44EBF9E2" w14:textId="77777777" w:rsidR="001B6C22" w:rsidRPr="006D4DFB" w:rsidRDefault="001B6C22" w:rsidP="001B6C22">
      <w:pPr>
        <w:pStyle w:val="SingleTxtGA"/>
        <w:rPr>
          <w:szCs w:val="20"/>
          <w:lang w:eastAsia="zh-TW" w:bidi="en-GB"/>
        </w:rPr>
      </w:pPr>
      <w:r w:rsidRPr="0099598B">
        <w:rPr>
          <w:rtl/>
        </w:rPr>
        <w:t>12</w:t>
      </w:r>
      <w:r w:rsidRPr="00C40CCD">
        <w:rPr>
          <w:rtl/>
        </w:rPr>
        <w:t>-</w:t>
      </w:r>
      <w:r w:rsidRPr="00C40CCD">
        <w:rPr>
          <w:rtl/>
        </w:rPr>
        <w:tab/>
      </w:r>
      <w:r w:rsidRPr="0099598B">
        <w:rPr>
          <w:spacing w:val="-2"/>
          <w:rtl/>
        </w:rPr>
        <w:t>وإذ تضع اللجنة في اعتبارها أن الدولة الطرف قد اعترفت، بانضمامها إلى البروتوكول الاختياري،</w:t>
      </w:r>
      <w:r w:rsidRPr="00C40CCD">
        <w:rPr>
          <w:rtl/>
        </w:rPr>
        <w:t xml:space="preserve"> بأن للجنة اختصاص البت في مدى حدوث انتهاك للعهد، وأنها قد تعهدت، عملاً بالمادة </w:t>
      </w:r>
      <w:r w:rsidRPr="0099598B">
        <w:rPr>
          <w:rtl/>
        </w:rPr>
        <w:t>2</w:t>
      </w:r>
      <w:r w:rsidRPr="00C40CCD">
        <w:rPr>
          <w:rtl/>
        </w:rPr>
        <w:t xml:space="preserve"> من العهد، بضمان تمتع جميع الأفراد الموجودين في أراضيها أو الخاضعين لولايتها بالحقوق المعترف بها في العهد وبإتاحة سبل انتصاف فعالة وقابلة للإنفاذ في حال ثبوت حدوث انتهاك، فإنها تود أن تتلقى من الدولة </w:t>
      </w:r>
      <w:r w:rsidRPr="0099598B">
        <w:rPr>
          <w:spacing w:val="-4"/>
          <w:rtl/>
        </w:rPr>
        <w:t>الطرف، في غضون 180 يوماً، معلومات عما اتخذته من تدابير لإنفاذ آراء اللجنة.</w:t>
      </w:r>
      <w:r w:rsidRPr="0099598B">
        <w:rPr>
          <w:rFonts w:ascii="Arial" w:hAnsi="Arial" w:cs="Arial"/>
          <w:spacing w:val="-4"/>
          <w:rtl/>
        </w:rPr>
        <w:t>‬</w:t>
      </w:r>
      <w:r w:rsidRPr="0099598B">
        <w:rPr>
          <w:spacing w:val="-4"/>
          <w:rtl/>
        </w:rPr>
        <w:t xml:space="preserve"> وتطلب إليها أيضاً نشر</w:t>
      </w:r>
      <w:r w:rsidRPr="00C40CCD">
        <w:rPr>
          <w:rtl/>
        </w:rPr>
        <w:t xml:space="preserve"> هذه الآراء وتعميمها على نطاق واسع بلغ</w:t>
      </w:r>
      <w:r>
        <w:rPr>
          <w:rtl/>
        </w:rPr>
        <w:t>ا</w:t>
      </w:r>
      <w:r w:rsidRPr="00C40CCD">
        <w:rPr>
          <w:rtl/>
        </w:rPr>
        <w:t>تها الرسمية.</w:t>
      </w:r>
    </w:p>
    <w:p w14:paraId="2BDE3DF3" w14:textId="77777777" w:rsidR="001B6C22" w:rsidRPr="00B04931" w:rsidRDefault="001B6C22" w:rsidP="001B6C22">
      <w:pPr>
        <w:spacing w:before="120" w:line="420" w:lineRule="exact"/>
        <w:jc w:val="center"/>
      </w:pPr>
      <w:r w:rsidRPr="00D53838">
        <w:rPr>
          <w:u w:val="single"/>
        </w:rPr>
        <w:tab/>
      </w:r>
      <w:r w:rsidRPr="00D53838">
        <w:rPr>
          <w:u w:val="single"/>
        </w:rPr>
        <w:tab/>
      </w:r>
      <w:r w:rsidRPr="00D53838">
        <w:rPr>
          <w:u w:val="single"/>
        </w:rPr>
        <w:tab/>
      </w:r>
    </w:p>
    <w:sectPr w:rsidR="001B6C22" w:rsidRPr="00B04931" w:rsidSect="00A6294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6FD9D" w14:textId="77777777" w:rsidR="00D74E72" w:rsidRPr="002901D9" w:rsidRDefault="00D74E72" w:rsidP="00DC4D4B">
      <w:pPr>
        <w:spacing w:after="60" w:line="240" w:lineRule="auto"/>
        <w:ind w:left="57"/>
        <w:rPr>
          <w:i/>
          <w:iCs/>
        </w:rPr>
      </w:pPr>
      <w:r>
        <w:rPr>
          <w:rFonts w:hint="cs"/>
          <w:i/>
          <w:iCs/>
          <w:rtl/>
        </w:rPr>
        <w:t>الحواشي</w:t>
      </w:r>
    </w:p>
  </w:endnote>
  <w:endnote w:type="continuationSeparator" w:id="0">
    <w:p w14:paraId="5C83D887" w14:textId="77777777" w:rsidR="00D74E72" w:rsidRDefault="00D74E7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C3B8" w14:textId="77777777" w:rsidR="00770948" w:rsidRPr="00770948" w:rsidRDefault="00770948" w:rsidP="00770948">
    <w:pPr>
      <w:pStyle w:val="Footer"/>
      <w:tabs>
        <w:tab w:val="right" w:pos="9638"/>
      </w:tabs>
      <w:rPr>
        <w:b/>
        <w:sz w:val="18"/>
        <w:lang w:val="en-US"/>
      </w:rPr>
    </w:pPr>
    <w:r>
      <w:rPr>
        <w:lang w:val="en-US"/>
      </w:rPr>
      <w:t>GE.21-03003</w:t>
    </w:r>
    <w:r>
      <w:rPr>
        <w:lang w:val="en-US"/>
      </w:rPr>
      <w:tab/>
    </w:r>
    <w:r w:rsidRPr="00770948">
      <w:rPr>
        <w:b/>
        <w:sz w:val="18"/>
        <w:lang w:val="en-US"/>
      </w:rPr>
      <w:fldChar w:fldCharType="begin"/>
    </w:r>
    <w:r w:rsidRPr="00770948">
      <w:rPr>
        <w:b/>
        <w:sz w:val="18"/>
        <w:lang w:val="en-US"/>
      </w:rPr>
      <w:instrText xml:space="preserve"> PAGE  \* MERGEFORMAT </w:instrText>
    </w:r>
    <w:r w:rsidRPr="00770948">
      <w:rPr>
        <w:b/>
        <w:sz w:val="18"/>
        <w:lang w:val="en-US"/>
      </w:rPr>
      <w:fldChar w:fldCharType="separate"/>
    </w:r>
    <w:r w:rsidRPr="00770948">
      <w:rPr>
        <w:b/>
        <w:noProof/>
        <w:sz w:val="18"/>
        <w:lang w:val="en-US"/>
      </w:rPr>
      <w:t>2</w:t>
    </w:r>
    <w:r w:rsidRPr="0077094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BE8E" w14:textId="77777777" w:rsidR="006959B0" w:rsidRPr="00770948" w:rsidRDefault="00770948" w:rsidP="00770948">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GE.21-03003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BDFB" w14:textId="77777777" w:rsidR="00DE50B1" w:rsidRPr="00770948" w:rsidRDefault="00770948" w:rsidP="00770948">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67DA02B2" wp14:editId="31A65DB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21-03003 (A)</w:t>
    </w:r>
    <w:r>
      <w:rPr>
        <w:noProof/>
        <w:sz w:val="20"/>
        <w:lang w:val="en-US"/>
      </w:rPr>
      <w:drawing>
        <wp:anchor distT="0" distB="0" distL="114300" distR="114300" simplePos="0" relativeHeight="251659264" behindDoc="0" locked="0" layoutInCell="1" allowOverlap="1" wp14:anchorId="56667419" wp14:editId="3380C085">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3FEA8" w14:textId="77777777" w:rsidR="00D74E72" w:rsidRPr="000437B8" w:rsidRDefault="00D74E72" w:rsidP="00F10DAB">
      <w:pPr>
        <w:pStyle w:val="Footer"/>
        <w:bidi/>
        <w:spacing w:after="80" w:line="200" w:lineRule="exact"/>
        <w:ind w:left="680"/>
      </w:pPr>
      <w:r>
        <w:rPr>
          <w:rtl/>
        </w:rPr>
        <w:t>__________</w:t>
      </w:r>
    </w:p>
  </w:footnote>
  <w:footnote w:type="continuationSeparator" w:id="0">
    <w:p w14:paraId="1B287B58" w14:textId="77777777" w:rsidR="00D74E72" w:rsidRDefault="00D74E72" w:rsidP="00656392">
      <w:pPr>
        <w:spacing w:line="240" w:lineRule="auto"/>
      </w:pPr>
      <w:r>
        <w:continuationSeparator/>
      </w:r>
    </w:p>
  </w:footnote>
  <w:footnote w:id="1">
    <w:p w14:paraId="62E49093" w14:textId="46C81DEC" w:rsidR="00323490" w:rsidRPr="00323490" w:rsidRDefault="00323490" w:rsidP="00323490">
      <w:pPr>
        <w:pStyle w:val="FootnoteText1"/>
        <w:rPr>
          <w:rtl/>
        </w:rPr>
      </w:pPr>
      <w:r>
        <w:rPr>
          <w:rtl/>
        </w:rPr>
        <w:t>*</w:t>
      </w:r>
      <w:r>
        <w:rPr>
          <w:rtl/>
        </w:rPr>
        <w:tab/>
      </w:r>
      <w:r w:rsidRPr="00323490">
        <w:rPr>
          <w:rtl/>
        </w:rPr>
        <w:t xml:space="preserve">اعتمدتها اللجنة في دورتها </w:t>
      </w:r>
      <w:r w:rsidRPr="0099598B">
        <w:rPr>
          <w:rtl/>
        </w:rPr>
        <w:t>129</w:t>
      </w:r>
      <w:r w:rsidRPr="00323490">
        <w:rPr>
          <w:rtl/>
        </w:rPr>
        <w:t xml:space="preserve"> (</w:t>
      </w:r>
      <w:r w:rsidRPr="0099598B">
        <w:rPr>
          <w:rtl/>
        </w:rPr>
        <w:t>29</w:t>
      </w:r>
      <w:r w:rsidRPr="00323490">
        <w:rPr>
          <w:rtl/>
        </w:rPr>
        <w:t xml:space="preserve"> حزيران/يونيه</w:t>
      </w:r>
      <w:r w:rsidR="00CF0CF8">
        <w:rPr>
          <w:rFonts w:hint="cs"/>
          <w:rtl/>
        </w:rPr>
        <w:t xml:space="preserve"> </w:t>
      </w:r>
      <w:r w:rsidRPr="00323490">
        <w:rPr>
          <w:rtl/>
        </w:rPr>
        <w:t xml:space="preserve">- </w:t>
      </w:r>
      <w:r w:rsidRPr="0099598B">
        <w:rPr>
          <w:rtl/>
        </w:rPr>
        <w:t>24</w:t>
      </w:r>
      <w:r w:rsidRPr="00323490">
        <w:rPr>
          <w:rtl/>
        </w:rPr>
        <w:t xml:space="preserve"> تموز/يوليه </w:t>
      </w:r>
      <w:r w:rsidRPr="0099598B">
        <w:rPr>
          <w:rtl/>
        </w:rPr>
        <w:t>2020</w:t>
      </w:r>
      <w:r w:rsidRPr="00323490">
        <w:rPr>
          <w:rtl/>
        </w:rPr>
        <w:t>).</w:t>
      </w:r>
    </w:p>
  </w:footnote>
  <w:footnote w:id="2">
    <w:p w14:paraId="1E43DAAF" w14:textId="53E34059" w:rsidR="00323490" w:rsidRPr="00323490" w:rsidRDefault="00323490" w:rsidP="00323490">
      <w:pPr>
        <w:pStyle w:val="FootnoteText1"/>
        <w:rPr>
          <w:rtl/>
        </w:rPr>
      </w:pPr>
      <w:r>
        <w:rPr>
          <w:rtl/>
        </w:rPr>
        <w:t>**</w:t>
      </w:r>
      <w:r>
        <w:rPr>
          <w:rtl/>
        </w:rPr>
        <w:tab/>
      </w:r>
      <w:r w:rsidRPr="00323490">
        <w:rPr>
          <w:rtl/>
        </w:rPr>
        <w:t xml:space="preserve">شارك في دراسة هذا البلاغ أعضاء اللجنة التالية أسماؤهم: تانيا ماريا أبدو روتشول، وعياض بن عاشور، وعارف بلقان، وأحمد </w:t>
      </w:r>
      <w:r w:rsidRPr="00475543">
        <w:rPr>
          <w:spacing w:val="-4"/>
          <w:rtl/>
        </w:rPr>
        <w:t>أمين فتح الله، وفورويا سويتشي، وبامريم كويتا، ومارسيا ف. ج. كران، ودنكان لاكي موهوموزا، وفوتيني بازارتزيس، وهيرنان كيزادا</w:t>
      </w:r>
      <w:r w:rsidRPr="00323490">
        <w:rPr>
          <w:rtl/>
        </w:rPr>
        <w:t xml:space="preserve"> كابريرا، وفاسيلكا سانسين، وخوسيه مانويل سانتوس باييس، ويوفال شاني، وهيلين تيغرودجا، وأندرياس زيمرمان، وجنتيان زيبيري.</w:t>
      </w:r>
    </w:p>
  </w:footnote>
  <w:footnote w:id="3">
    <w:p w14:paraId="63ACF250" w14:textId="46C19B9F" w:rsidR="00F41276" w:rsidRPr="00F41276" w:rsidRDefault="00F41276" w:rsidP="00F41276">
      <w:pPr>
        <w:pStyle w:val="FootnoteText"/>
        <w:tabs>
          <w:tab w:val="clear" w:pos="1021"/>
        </w:tabs>
        <w:bidi/>
        <w:spacing w:after="60" w:line="30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99598B">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F41276">
        <w:rPr>
          <w:rFonts w:ascii="Simplified Arabic" w:hAnsi="Simplified Arabic"/>
          <w:szCs w:val="18"/>
          <w:rtl/>
        </w:rPr>
        <w:tab/>
        <w:t xml:space="preserve">تبلغ المسافة بين الموقع المقترح للاعتصام والمركز الثقافي نحو </w:t>
      </w:r>
      <w:r w:rsidRPr="0099598B">
        <w:rPr>
          <w:rFonts w:ascii="Simplified Arabic" w:hAnsi="Simplified Arabic"/>
          <w:szCs w:val="18"/>
          <w:rtl/>
        </w:rPr>
        <w:t>25</w:t>
      </w:r>
      <w:r w:rsidRPr="00F41276">
        <w:rPr>
          <w:rFonts w:ascii="Simplified Arabic" w:hAnsi="Simplified Arabic"/>
          <w:szCs w:val="18"/>
          <w:rtl/>
        </w:rPr>
        <w:t xml:space="preserve"> متراً.</w:t>
      </w:r>
    </w:p>
  </w:footnote>
  <w:footnote w:id="4">
    <w:p w14:paraId="17AA3C07" w14:textId="4BC5D953" w:rsidR="00F41276" w:rsidRPr="004F020E" w:rsidRDefault="00F41276" w:rsidP="00475543">
      <w:pPr>
        <w:pStyle w:val="FootnoteText"/>
        <w:tabs>
          <w:tab w:val="clear" w:pos="1021"/>
        </w:tabs>
        <w:bidi/>
        <w:spacing w:after="60" w:line="260" w:lineRule="exact"/>
        <w:ind w:left="1247" w:right="1247" w:hanging="567"/>
        <w:jc w:val="lowKashida"/>
        <w:textDirection w:val="tbRlV"/>
        <w:rPr>
          <w:rFonts w:ascii="Simplified Arabic" w:hAnsi="Simplified Arabic"/>
          <w:szCs w:val="18"/>
          <w:rtl/>
          <w:lang w:val="fr-CH" w:eastAsia="zh-TW"/>
        </w:rPr>
      </w:pPr>
      <w:r>
        <w:rPr>
          <w:rStyle w:val="FootnoteReference"/>
          <w:rFonts w:ascii="Simplified Arabic" w:hAnsi="Simplified Arabic"/>
          <w:vertAlign w:val="baseline"/>
          <w:rtl/>
        </w:rPr>
        <w:t>(</w:t>
      </w:r>
      <w:r w:rsidRPr="0099598B">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F41276">
        <w:rPr>
          <w:rFonts w:ascii="Simplified Arabic" w:hAnsi="Simplified Arabic"/>
          <w:szCs w:val="18"/>
        </w:rPr>
        <w:tab/>
      </w:r>
      <w:r w:rsidRPr="004F020E">
        <w:rPr>
          <w:rFonts w:asciiTheme="majorBidi" w:hAnsiTheme="majorBidi" w:cstheme="majorBidi"/>
          <w:szCs w:val="18"/>
        </w:rPr>
        <w:t xml:space="preserve">European Court of Human Rights, </w:t>
      </w:r>
      <w:r w:rsidRPr="0099598B">
        <w:rPr>
          <w:rFonts w:asciiTheme="majorBidi" w:hAnsiTheme="majorBidi" w:cstheme="majorBidi"/>
          <w:i/>
          <w:iCs/>
          <w:szCs w:val="18"/>
        </w:rPr>
        <w:t>Tumilovich v. the Russian Federation</w:t>
      </w:r>
      <w:r w:rsidRPr="004F020E">
        <w:rPr>
          <w:rFonts w:asciiTheme="majorBidi" w:hAnsiTheme="majorBidi" w:cstheme="majorBidi"/>
          <w:szCs w:val="18"/>
        </w:rPr>
        <w:t xml:space="preserve">, application No. </w:t>
      </w:r>
      <w:r w:rsidRPr="0099598B">
        <w:rPr>
          <w:rFonts w:asciiTheme="majorBidi" w:hAnsiTheme="majorBidi" w:cstheme="majorBidi"/>
          <w:szCs w:val="18"/>
        </w:rPr>
        <w:t>47033</w:t>
      </w:r>
      <w:r w:rsidRPr="004F020E">
        <w:rPr>
          <w:rFonts w:asciiTheme="majorBidi" w:hAnsiTheme="majorBidi" w:cstheme="majorBidi"/>
          <w:szCs w:val="18"/>
        </w:rPr>
        <w:t>/</w:t>
      </w:r>
      <w:r w:rsidRPr="0099598B">
        <w:rPr>
          <w:rFonts w:asciiTheme="majorBidi" w:hAnsiTheme="majorBidi" w:cstheme="majorBidi"/>
          <w:szCs w:val="18"/>
        </w:rPr>
        <w:t>99</w:t>
      </w:r>
      <w:r w:rsidR="004F020E">
        <w:rPr>
          <w:rFonts w:ascii="Simplified Arabic" w:hAnsi="Simplified Arabic" w:hint="cs"/>
          <w:szCs w:val="18"/>
          <w:rtl/>
          <w:lang w:val="fr-CH" w:eastAsia="zh-TW"/>
        </w:rPr>
        <w:t>.</w:t>
      </w:r>
    </w:p>
  </w:footnote>
  <w:footnote w:id="5">
    <w:p w14:paraId="4F70D343" w14:textId="3240BF1D" w:rsidR="00F41276" w:rsidRPr="00F41276" w:rsidRDefault="00F41276" w:rsidP="00F41276">
      <w:pPr>
        <w:pStyle w:val="FootnoteText"/>
        <w:tabs>
          <w:tab w:val="clear" w:pos="1021"/>
        </w:tabs>
        <w:bidi/>
        <w:spacing w:after="60" w:line="300" w:lineRule="exact"/>
        <w:ind w:left="1247" w:right="1247" w:hanging="567"/>
        <w:jc w:val="lowKashida"/>
        <w:textDirection w:val="tbRlV"/>
        <w:rPr>
          <w:rFonts w:ascii="Simplified Arabic" w:hAnsi="Simplified Arabic"/>
          <w:szCs w:val="18"/>
          <w:lang w:eastAsia="zh-TW" w:bidi="en-GB"/>
        </w:rPr>
      </w:pPr>
      <w:r>
        <w:rPr>
          <w:rStyle w:val="FootnoteReference"/>
          <w:rFonts w:ascii="Simplified Arabic" w:hAnsi="Simplified Arabic"/>
          <w:vertAlign w:val="baseline"/>
          <w:rtl/>
        </w:rPr>
        <w:t>(</w:t>
      </w:r>
      <w:r w:rsidRPr="0099598B">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F41276">
        <w:rPr>
          <w:rFonts w:ascii="Simplified Arabic" w:hAnsi="Simplified Arabic"/>
          <w:szCs w:val="18"/>
          <w:rtl/>
        </w:rPr>
        <w:tab/>
        <w:t xml:space="preserve">يشار إلى تحليل اللجنة الأوروبية للديمقراطية من خلال القانون ومكتب المؤسسات الديمقراطية وحقوق الإنسان التابع لمنظمة الأمن والتعاون في أوروبا. </w:t>
      </w:r>
    </w:p>
  </w:footnote>
  <w:footnote w:id="6">
    <w:p w14:paraId="65F0D1ED" w14:textId="03EB4243" w:rsidR="00F41276" w:rsidRPr="00F41276" w:rsidRDefault="00F41276" w:rsidP="00F41276">
      <w:pPr>
        <w:pStyle w:val="FootnoteText"/>
        <w:tabs>
          <w:tab w:val="clear" w:pos="1021"/>
        </w:tabs>
        <w:bidi/>
        <w:spacing w:after="60" w:line="30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99598B">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F41276">
        <w:rPr>
          <w:rFonts w:ascii="Simplified Arabic" w:hAnsi="Simplified Arabic"/>
          <w:szCs w:val="18"/>
          <w:rtl/>
        </w:rPr>
        <w:tab/>
      </w:r>
      <w:proofErr w:type="spellStart"/>
      <w:r w:rsidRPr="0099598B">
        <w:rPr>
          <w:rFonts w:ascii="Simplified Arabic" w:hAnsi="Simplified Arabic"/>
          <w:i/>
          <w:iCs/>
          <w:szCs w:val="18"/>
          <w:rtl/>
        </w:rPr>
        <w:t>بولياكوف</w:t>
      </w:r>
      <w:proofErr w:type="spellEnd"/>
      <w:r w:rsidRPr="0099598B">
        <w:rPr>
          <w:rFonts w:ascii="Simplified Arabic" w:hAnsi="Simplified Arabic"/>
          <w:i/>
          <w:iCs/>
          <w:szCs w:val="18"/>
          <w:rtl/>
        </w:rPr>
        <w:t xml:space="preserve"> ضد بيلاروس</w:t>
      </w:r>
      <w:r w:rsidRPr="00F41276">
        <w:rPr>
          <w:rFonts w:ascii="Simplified Arabic" w:hAnsi="Simplified Arabic"/>
          <w:szCs w:val="18"/>
          <w:rtl/>
        </w:rPr>
        <w:t xml:space="preserve"> (</w:t>
      </w:r>
      <w:r w:rsidRPr="00F41276">
        <w:rPr>
          <w:rFonts w:asciiTheme="majorBidi" w:hAnsiTheme="majorBidi" w:cstheme="majorBidi"/>
          <w:szCs w:val="18"/>
        </w:rPr>
        <w:t>CCPR/C/</w:t>
      </w:r>
      <w:r w:rsidRPr="0099598B">
        <w:rPr>
          <w:rFonts w:asciiTheme="majorBidi" w:hAnsiTheme="majorBidi" w:cstheme="majorBidi"/>
          <w:szCs w:val="18"/>
        </w:rPr>
        <w:t>111</w:t>
      </w:r>
      <w:r w:rsidRPr="00F41276">
        <w:rPr>
          <w:rFonts w:asciiTheme="majorBidi" w:hAnsiTheme="majorBidi" w:cstheme="majorBidi"/>
          <w:szCs w:val="18"/>
        </w:rPr>
        <w:t>/D/</w:t>
      </w:r>
      <w:r w:rsidRPr="0099598B">
        <w:rPr>
          <w:rFonts w:asciiTheme="majorBidi" w:hAnsiTheme="majorBidi" w:cstheme="majorBidi"/>
          <w:szCs w:val="18"/>
        </w:rPr>
        <w:t>2030</w:t>
      </w:r>
      <w:r w:rsidRPr="00F41276">
        <w:rPr>
          <w:rFonts w:asciiTheme="majorBidi" w:hAnsiTheme="majorBidi" w:cstheme="majorBidi"/>
          <w:szCs w:val="18"/>
        </w:rPr>
        <w:t>/</w:t>
      </w:r>
      <w:r w:rsidRPr="0099598B">
        <w:rPr>
          <w:rFonts w:asciiTheme="majorBidi" w:hAnsiTheme="majorBidi" w:cstheme="majorBidi"/>
          <w:szCs w:val="18"/>
        </w:rPr>
        <w:t>2011</w:t>
      </w:r>
      <w:r w:rsidRPr="00F41276">
        <w:rPr>
          <w:rFonts w:ascii="Simplified Arabic" w:hAnsi="Simplified Arabic"/>
          <w:szCs w:val="18"/>
          <w:rtl/>
        </w:rPr>
        <w:t xml:space="preserve">)، الفقرة </w:t>
      </w:r>
      <w:r w:rsidRPr="0099598B">
        <w:rPr>
          <w:rFonts w:ascii="Simplified Arabic" w:hAnsi="Simplified Arabic"/>
          <w:szCs w:val="18"/>
          <w:rtl/>
        </w:rPr>
        <w:t>8</w:t>
      </w:r>
      <w:r w:rsidRPr="00F41276">
        <w:rPr>
          <w:rFonts w:ascii="Simplified Arabic" w:hAnsi="Simplified Arabic"/>
          <w:szCs w:val="18"/>
          <w:rtl/>
        </w:rPr>
        <w:t>-</w:t>
      </w:r>
      <w:r w:rsidRPr="0099598B">
        <w:rPr>
          <w:rFonts w:ascii="Simplified Arabic" w:hAnsi="Simplified Arabic"/>
          <w:szCs w:val="18"/>
          <w:rtl/>
        </w:rPr>
        <w:t>3</w:t>
      </w:r>
      <w:r w:rsidRPr="00F41276">
        <w:rPr>
          <w:rFonts w:ascii="Simplified Arabic" w:hAnsi="Simplified Arabic"/>
          <w:szCs w:val="18"/>
          <w:rtl/>
        </w:rPr>
        <w:t xml:space="preserve">؛ </w:t>
      </w:r>
      <w:proofErr w:type="spellStart"/>
      <w:r w:rsidRPr="00F41276">
        <w:rPr>
          <w:rFonts w:ascii="Simplified Arabic" w:hAnsi="Simplified Arabic"/>
          <w:szCs w:val="18"/>
          <w:rtl/>
        </w:rPr>
        <w:t>و</w:t>
      </w:r>
      <w:r w:rsidRPr="0099598B">
        <w:rPr>
          <w:rFonts w:ascii="Simplified Arabic" w:hAnsi="Simplified Arabic"/>
          <w:i/>
          <w:iCs/>
          <w:szCs w:val="18"/>
          <w:rtl/>
        </w:rPr>
        <w:t>سودالينكو</w:t>
      </w:r>
      <w:proofErr w:type="spellEnd"/>
      <w:r w:rsidRPr="0099598B">
        <w:rPr>
          <w:rFonts w:ascii="Simplified Arabic" w:hAnsi="Simplified Arabic"/>
          <w:i/>
          <w:iCs/>
          <w:szCs w:val="18"/>
          <w:rtl/>
        </w:rPr>
        <w:t xml:space="preserve"> ضد بيلاروس</w:t>
      </w:r>
      <w:r w:rsidRPr="00F41276">
        <w:rPr>
          <w:rFonts w:ascii="Simplified Arabic" w:hAnsi="Simplified Arabic"/>
          <w:szCs w:val="18"/>
          <w:rtl/>
        </w:rPr>
        <w:t xml:space="preserve"> (</w:t>
      </w:r>
      <w:r w:rsidRPr="00F41276">
        <w:rPr>
          <w:rFonts w:asciiTheme="majorBidi" w:hAnsiTheme="majorBidi" w:cstheme="majorBidi"/>
          <w:szCs w:val="18"/>
        </w:rPr>
        <w:t>CCPR/C/</w:t>
      </w:r>
      <w:r w:rsidRPr="0099598B">
        <w:rPr>
          <w:rFonts w:asciiTheme="majorBidi" w:hAnsiTheme="majorBidi" w:cstheme="majorBidi"/>
          <w:szCs w:val="18"/>
        </w:rPr>
        <w:t>113</w:t>
      </w:r>
      <w:r w:rsidRPr="00F41276">
        <w:rPr>
          <w:rFonts w:asciiTheme="majorBidi" w:hAnsiTheme="majorBidi" w:cstheme="majorBidi"/>
          <w:szCs w:val="18"/>
        </w:rPr>
        <w:t>/D/</w:t>
      </w:r>
      <w:r w:rsidRPr="0099598B">
        <w:rPr>
          <w:rFonts w:asciiTheme="majorBidi" w:hAnsiTheme="majorBidi" w:cstheme="majorBidi"/>
          <w:szCs w:val="18"/>
        </w:rPr>
        <w:t>1992</w:t>
      </w:r>
      <w:r w:rsidRPr="00F41276">
        <w:rPr>
          <w:rFonts w:asciiTheme="majorBidi" w:hAnsiTheme="majorBidi" w:cstheme="majorBidi"/>
          <w:szCs w:val="18"/>
        </w:rPr>
        <w:t>/</w:t>
      </w:r>
      <w:r w:rsidRPr="0099598B">
        <w:rPr>
          <w:rFonts w:asciiTheme="majorBidi" w:hAnsiTheme="majorBidi" w:cstheme="majorBidi"/>
          <w:szCs w:val="18"/>
        </w:rPr>
        <w:t>2010</w:t>
      </w:r>
      <w:r w:rsidRPr="00F41276">
        <w:rPr>
          <w:rFonts w:ascii="Simplified Arabic" w:hAnsi="Simplified Arabic"/>
          <w:szCs w:val="18"/>
          <w:rtl/>
        </w:rPr>
        <w:t xml:space="preserve">)، الفقرة </w:t>
      </w:r>
      <w:r w:rsidRPr="0099598B">
        <w:rPr>
          <w:rFonts w:ascii="Simplified Arabic" w:hAnsi="Simplified Arabic"/>
          <w:szCs w:val="18"/>
          <w:rtl/>
        </w:rPr>
        <w:t>8</w:t>
      </w:r>
      <w:r w:rsidRPr="00F41276">
        <w:rPr>
          <w:rFonts w:ascii="Simplified Arabic" w:hAnsi="Simplified Arabic"/>
          <w:szCs w:val="18"/>
          <w:rtl/>
        </w:rPr>
        <w:t>-</w:t>
      </w:r>
      <w:r w:rsidRPr="0099598B">
        <w:rPr>
          <w:rFonts w:ascii="Simplified Arabic" w:hAnsi="Simplified Arabic"/>
          <w:szCs w:val="18"/>
          <w:rtl/>
        </w:rPr>
        <w:t>5</w:t>
      </w:r>
      <w:r w:rsidRPr="00F41276">
        <w:rPr>
          <w:rFonts w:ascii="Simplified Arabic" w:hAnsi="Simplified Arabic"/>
          <w:szCs w:val="18"/>
          <w:rtl/>
        </w:rPr>
        <w:t>.</w:t>
      </w:r>
    </w:p>
  </w:footnote>
  <w:footnote w:id="7">
    <w:p w14:paraId="1B2FA7BE" w14:textId="2DBB77C7" w:rsidR="00F41276" w:rsidRPr="00F41276" w:rsidRDefault="00F41276" w:rsidP="00F41276">
      <w:pPr>
        <w:pStyle w:val="FootnoteText"/>
        <w:tabs>
          <w:tab w:val="clear" w:pos="1021"/>
        </w:tabs>
        <w:bidi/>
        <w:spacing w:after="60" w:line="300" w:lineRule="exact"/>
        <w:ind w:left="1247" w:right="1247" w:hanging="567"/>
        <w:jc w:val="lowKashida"/>
        <w:textDirection w:val="tbRlV"/>
        <w:rPr>
          <w:rFonts w:ascii="Simplified Arabic" w:hAnsi="Simplified Arabic"/>
          <w:szCs w:val="18"/>
          <w:lang w:eastAsia="zh-TW" w:bidi="en-GB"/>
        </w:rPr>
      </w:pPr>
      <w:r>
        <w:rPr>
          <w:rStyle w:val="FootnoteReference"/>
          <w:rFonts w:ascii="Simplified Arabic" w:hAnsi="Simplified Arabic"/>
          <w:vertAlign w:val="baseline"/>
          <w:rtl/>
        </w:rPr>
        <w:t>(</w:t>
      </w:r>
      <w:r w:rsidRPr="0099598B">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F41276">
        <w:rPr>
          <w:rFonts w:ascii="Simplified Arabic" w:hAnsi="Simplified Arabic"/>
          <w:szCs w:val="18"/>
          <w:rtl/>
        </w:rPr>
        <w:tab/>
      </w:r>
      <w:proofErr w:type="spellStart"/>
      <w:r w:rsidRPr="0099598B">
        <w:rPr>
          <w:rFonts w:ascii="Simplified Arabic" w:hAnsi="Simplified Arabic"/>
          <w:i/>
          <w:iCs/>
          <w:szCs w:val="18"/>
          <w:rtl/>
        </w:rPr>
        <w:t>أليكسييف</w:t>
      </w:r>
      <w:proofErr w:type="spellEnd"/>
      <w:r w:rsidRPr="0099598B">
        <w:rPr>
          <w:rFonts w:ascii="Simplified Arabic" w:hAnsi="Simplified Arabic"/>
          <w:i/>
          <w:iCs/>
          <w:szCs w:val="18"/>
          <w:rtl/>
        </w:rPr>
        <w:t xml:space="preserve"> ضد الاتحاد الروسي</w:t>
      </w:r>
      <w:r w:rsidRPr="00F41276">
        <w:rPr>
          <w:rFonts w:ascii="Simplified Arabic" w:hAnsi="Simplified Arabic"/>
          <w:szCs w:val="18"/>
          <w:rtl/>
        </w:rPr>
        <w:t xml:space="preserve"> (</w:t>
      </w:r>
      <w:r w:rsidRPr="00F41276">
        <w:rPr>
          <w:rFonts w:asciiTheme="majorBidi" w:hAnsiTheme="majorBidi" w:cstheme="majorBidi"/>
          <w:szCs w:val="18"/>
        </w:rPr>
        <w:t>CCPR/C/</w:t>
      </w:r>
      <w:r w:rsidRPr="0099598B">
        <w:rPr>
          <w:rFonts w:asciiTheme="majorBidi" w:hAnsiTheme="majorBidi" w:cstheme="majorBidi"/>
          <w:szCs w:val="18"/>
        </w:rPr>
        <w:t>109</w:t>
      </w:r>
      <w:r w:rsidRPr="00F41276">
        <w:rPr>
          <w:rFonts w:asciiTheme="majorBidi" w:hAnsiTheme="majorBidi" w:cstheme="majorBidi"/>
          <w:szCs w:val="18"/>
        </w:rPr>
        <w:t>/D/</w:t>
      </w:r>
      <w:r w:rsidRPr="0099598B">
        <w:rPr>
          <w:rFonts w:asciiTheme="majorBidi" w:hAnsiTheme="majorBidi" w:cstheme="majorBidi"/>
          <w:szCs w:val="18"/>
        </w:rPr>
        <w:t>1873</w:t>
      </w:r>
      <w:r w:rsidRPr="00F41276">
        <w:rPr>
          <w:rFonts w:asciiTheme="majorBidi" w:hAnsiTheme="majorBidi" w:cstheme="majorBidi"/>
          <w:szCs w:val="18"/>
        </w:rPr>
        <w:t>/</w:t>
      </w:r>
      <w:r w:rsidRPr="0099598B">
        <w:rPr>
          <w:rFonts w:asciiTheme="majorBidi" w:hAnsiTheme="majorBidi" w:cstheme="majorBidi"/>
          <w:szCs w:val="18"/>
        </w:rPr>
        <w:t>2009</w:t>
      </w:r>
      <w:r w:rsidRPr="00F41276">
        <w:rPr>
          <w:rFonts w:ascii="Simplified Arabic" w:hAnsi="Simplified Arabic"/>
          <w:szCs w:val="18"/>
          <w:rtl/>
        </w:rPr>
        <w:t xml:space="preserve">)، الفقرة </w:t>
      </w:r>
      <w:r w:rsidRPr="0099598B">
        <w:rPr>
          <w:rFonts w:ascii="Simplified Arabic" w:hAnsi="Simplified Arabic"/>
          <w:szCs w:val="18"/>
          <w:rtl/>
        </w:rPr>
        <w:t>8</w:t>
      </w:r>
      <w:r w:rsidRPr="00F41276">
        <w:rPr>
          <w:rFonts w:ascii="Simplified Arabic" w:hAnsi="Simplified Arabic"/>
          <w:szCs w:val="18"/>
          <w:rtl/>
        </w:rPr>
        <w:t>-</w:t>
      </w:r>
      <w:r w:rsidRPr="0099598B">
        <w:rPr>
          <w:rFonts w:ascii="Simplified Arabic" w:hAnsi="Simplified Arabic"/>
          <w:szCs w:val="18"/>
          <w:rtl/>
        </w:rPr>
        <w:t>4</w:t>
      </w:r>
      <w:r w:rsidRPr="00F41276">
        <w:rPr>
          <w:rFonts w:ascii="Simplified Arabic" w:hAnsi="Simplified Arabic"/>
          <w:szCs w:val="18"/>
          <w:rtl/>
        </w:rPr>
        <w:t xml:space="preserve">؛ </w:t>
      </w:r>
      <w:proofErr w:type="spellStart"/>
      <w:r w:rsidRPr="00F41276">
        <w:rPr>
          <w:rFonts w:ascii="Simplified Arabic" w:hAnsi="Simplified Arabic"/>
          <w:szCs w:val="18"/>
          <w:rtl/>
        </w:rPr>
        <w:t>و</w:t>
      </w:r>
      <w:r w:rsidRPr="0099598B">
        <w:rPr>
          <w:rFonts w:ascii="Simplified Arabic" w:hAnsi="Simplified Arabic"/>
          <w:i/>
          <w:iCs/>
          <w:szCs w:val="18"/>
          <w:rtl/>
        </w:rPr>
        <w:t>لوزينكو</w:t>
      </w:r>
      <w:proofErr w:type="spellEnd"/>
      <w:r w:rsidRPr="0099598B">
        <w:rPr>
          <w:rFonts w:ascii="Simplified Arabic" w:hAnsi="Simplified Arabic"/>
          <w:i/>
          <w:iCs/>
          <w:szCs w:val="18"/>
          <w:rtl/>
        </w:rPr>
        <w:t xml:space="preserve"> ضد بيلاروس</w:t>
      </w:r>
      <w:r w:rsidRPr="00F41276">
        <w:rPr>
          <w:rFonts w:ascii="Simplified Arabic" w:hAnsi="Simplified Arabic"/>
          <w:szCs w:val="18"/>
          <w:rtl/>
        </w:rPr>
        <w:t xml:space="preserve"> </w:t>
      </w:r>
      <w:r w:rsidRPr="003512D0">
        <w:rPr>
          <w:rFonts w:ascii="Simplified Arabic" w:hAnsi="Simplified Arabic"/>
          <w:spacing w:val="-2"/>
          <w:szCs w:val="18"/>
          <w:rtl/>
        </w:rPr>
        <w:t>(</w:t>
      </w:r>
      <w:r w:rsidRPr="003512D0">
        <w:rPr>
          <w:rFonts w:asciiTheme="majorBidi" w:hAnsiTheme="majorBidi" w:cstheme="majorBidi"/>
          <w:spacing w:val="-2"/>
          <w:szCs w:val="18"/>
        </w:rPr>
        <w:t>CCPR/C/</w:t>
      </w:r>
      <w:r w:rsidRPr="0099598B">
        <w:rPr>
          <w:rFonts w:asciiTheme="majorBidi" w:hAnsiTheme="majorBidi" w:cstheme="majorBidi"/>
          <w:spacing w:val="-2"/>
          <w:szCs w:val="18"/>
        </w:rPr>
        <w:t>112</w:t>
      </w:r>
      <w:r w:rsidRPr="003512D0">
        <w:rPr>
          <w:rFonts w:asciiTheme="majorBidi" w:hAnsiTheme="majorBidi" w:cstheme="majorBidi"/>
          <w:spacing w:val="-2"/>
          <w:szCs w:val="18"/>
        </w:rPr>
        <w:t>/D/</w:t>
      </w:r>
      <w:r w:rsidRPr="0099598B">
        <w:rPr>
          <w:rFonts w:asciiTheme="majorBidi" w:hAnsiTheme="majorBidi" w:cstheme="majorBidi"/>
          <w:spacing w:val="-2"/>
          <w:szCs w:val="18"/>
        </w:rPr>
        <w:t>1929</w:t>
      </w:r>
      <w:r w:rsidRPr="003512D0">
        <w:rPr>
          <w:rFonts w:asciiTheme="majorBidi" w:hAnsiTheme="majorBidi" w:cstheme="majorBidi"/>
          <w:spacing w:val="-2"/>
          <w:szCs w:val="18"/>
        </w:rPr>
        <w:t>/</w:t>
      </w:r>
      <w:r w:rsidRPr="0099598B">
        <w:rPr>
          <w:rFonts w:asciiTheme="majorBidi" w:hAnsiTheme="majorBidi" w:cstheme="majorBidi"/>
          <w:spacing w:val="-2"/>
          <w:szCs w:val="18"/>
        </w:rPr>
        <w:t>2010</w:t>
      </w:r>
      <w:r w:rsidRPr="003512D0">
        <w:rPr>
          <w:rFonts w:ascii="Simplified Arabic" w:hAnsi="Simplified Arabic"/>
          <w:spacing w:val="-2"/>
          <w:szCs w:val="18"/>
          <w:rtl/>
        </w:rPr>
        <w:t xml:space="preserve">)، الفقرة </w:t>
      </w:r>
      <w:r w:rsidRPr="0099598B">
        <w:rPr>
          <w:rFonts w:ascii="Simplified Arabic" w:hAnsi="Simplified Arabic"/>
          <w:spacing w:val="-2"/>
          <w:szCs w:val="18"/>
          <w:rtl/>
        </w:rPr>
        <w:t>6</w:t>
      </w:r>
      <w:r w:rsidRPr="003512D0">
        <w:rPr>
          <w:rFonts w:ascii="Simplified Arabic" w:hAnsi="Simplified Arabic"/>
          <w:spacing w:val="-2"/>
          <w:szCs w:val="18"/>
          <w:rtl/>
        </w:rPr>
        <w:t>-</w:t>
      </w:r>
      <w:r w:rsidRPr="0099598B">
        <w:rPr>
          <w:rFonts w:ascii="Simplified Arabic" w:hAnsi="Simplified Arabic"/>
          <w:spacing w:val="-2"/>
          <w:szCs w:val="18"/>
          <w:rtl/>
        </w:rPr>
        <w:t>3</w:t>
      </w:r>
      <w:r w:rsidRPr="003512D0">
        <w:rPr>
          <w:rFonts w:ascii="Simplified Arabic" w:hAnsi="Simplified Arabic"/>
          <w:spacing w:val="-2"/>
          <w:szCs w:val="18"/>
          <w:rtl/>
        </w:rPr>
        <w:t xml:space="preserve">؛ </w:t>
      </w:r>
      <w:proofErr w:type="spellStart"/>
      <w:r w:rsidRPr="003512D0">
        <w:rPr>
          <w:rFonts w:ascii="Simplified Arabic" w:hAnsi="Simplified Arabic"/>
          <w:spacing w:val="-2"/>
          <w:szCs w:val="18"/>
          <w:rtl/>
        </w:rPr>
        <w:t>و</w:t>
      </w:r>
      <w:r w:rsidRPr="0099598B">
        <w:rPr>
          <w:rFonts w:ascii="Simplified Arabic" w:hAnsi="Simplified Arabic"/>
          <w:i/>
          <w:iCs/>
          <w:spacing w:val="-2"/>
          <w:szCs w:val="18"/>
          <w:rtl/>
        </w:rPr>
        <w:t>سودالينكو</w:t>
      </w:r>
      <w:proofErr w:type="spellEnd"/>
      <w:r w:rsidRPr="0099598B">
        <w:rPr>
          <w:rFonts w:ascii="Simplified Arabic" w:hAnsi="Simplified Arabic"/>
          <w:i/>
          <w:iCs/>
          <w:spacing w:val="-2"/>
          <w:szCs w:val="18"/>
          <w:rtl/>
        </w:rPr>
        <w:t xml:space="preserve"> ضد بيلاروس</w:t>
      </w:r>
      <w:r w:rsidRPr="003512D0">
        <w:rPr>
          <w:rFonts w:ascii="Simplified Arabic" w:hAnsi="Simplified Arabic"/>
          <w:spacing w:val="-2"/>
          <w:szCs w:val="18"/>
          <w:rtl/>
        </w:rPr>
        <w:t xml:space="preserve"> (</w:t>
      </w:r>
      <w:r w:rsidRPr="003512D0">
        <w:rPr>
          <w:rFonts w:asciiTheme="majorBidi" w:hAnsiTheme="majorBidi" w:cstheme="majorBidi"/>
          <w:spacing w:val="-2"/>
          <w:szCs w:val="18"/>
        </w:rPr>
        <w:t>CCPR/C/</w:t>
      </w:r>
      <w:r w:rsidRPr="0099598B">
        <w:rPr>
          <w:rFonts w:asciiTheme="majorBidi" w:hAnsiTheme="majorBidi" w:cstheme="majorBidi"/>
          <w:spacing w:val="-2"/>
          <w:szCs w:val="18"/>
        </w:rPr>
        <w:t>113</w:t>
      </w:r>
      <w:r w:rsidRPr="003512D0">
        <w:rPr>
          <w:rFonts w:asciiTheme="majorBidi" w:hAnsiTheme="majorBidi" w:cstheme="majorBidi"/>
          <w:spacing w:val="-2"/>
          <w:szCs w:val="18"/>
        </w:rPr>
        <w:t>/D/</w:t>
      </w:r>
      <w:r w:rsidRPr="0099598B">
        <w:rPr>
          <w:rFonts w:asciiTheme="majorBidi" w:hAnsiTheme="majorBidi" w:cstheme="majorBidi"/>
          <w:spacing w:val="-2"/>
          <w:szCs w:val="18"/>
        </w:rPr>
        <w:t>1992</w:t>
      </w:r>
      <w:r w:rsidRPr="003512D0">
        <w:rPr>
          <w:rFonts w:asciiTheme="majorBidi" w:hAnsiTheme="majorBidi" w:cstheme="majorBidi"/>
          <w:spacing w:val="-2"/>
          <w:szCs w:val="18"/>
        </w:rPr>
        <w:t>/</w:t>
      </w:r>
      <w:r w:rsidRPr="0099598B">
        <w:rPr>
          <w:rFonts w:asciiTheme="majorBidi" w:hAnsiTheme="majorBidi" w:cstheme="majorBidi"/>
          <w:spacing w:val="-2"/>
          <w:szCs w:val="18"/>
        </w:rPr>
        <w:t>2010</w:t>
      </w:r>
      <w:r w:rsidRPr="003512D0">
        <w:rPr>
          <w:rFonts w:ascii="Simplified Arabic" w:hAnsi="Simplified Arabic"/>
          <w:spacing w:val="-2"/>
          <w:szCs w:val="18"/>
          <w:rtl/>
        </w:rPr>
        <w:t xml:space="preserve">)، الفقرة </w:t>
      </w:r>
      <w:r w:rsidRPr="0099598B">
        <w:rPr>
          <w:rFonts w:ascii="Simplified Arabic" w:hAnsi="Simplified Arabic"/>
          <w:spacing w:val="-2"/>
          <w:szCs w:val="18"/>
          <w:rtl/>
        </w:rPr>
        <w:t>7</w:t>
      </w:r>
      <w:r w:rsidRPr="003512D0">
        <w:rPr>
          <w:rFonts w:ascii="Simplified Arabic" w:hAnsi="Simplified Arabic"/>
          <w:spacing w:val="-2"/>
          <w:szCs w:val="18"/>
          <w:rtl/>
        </w:rPr>
        <w:t>-</w:t>
      </w:r>
      <w:r w:rsidRPr="0099598B">
        <w:rPr>
          <w:rFonts w:ascii="Simplified Arabic" w:hAnsi="Simplified Arabic"/>
          <w:spacing w:val="-2"/>
          <w:szCs w:val="18"/>
          <w:rtl/>
        </w:rPr>
        <w:t>3</w:t>
      </w:r>
      <w:r w:rsidRPr="003512D0">
        <w:rPr>
          <w:rFonts w:ascii="Simplified Arabic" w:hAnsi="Simplified Arabic"/>
          <w:spacing w:val="-2"/>
          <w:szCs w:val="18"/>
          <w:rtl/>
        </w:rPr>
        <w:t>؛</w:t>
      </w:r>
      <w:r w:rsidRPr="00F41276">
        <w:rPr>
          <w:rFonts w:ascii="Simplified Arabic" w:hAnsi="Simplified Arabic"/>
          <w:szCs w:val="18"/>
          <w:rtl/>
        </w:rPr>
        <w:t xml:space="preserve"> </w:t>
      </w:r>
      <w:proofErr w:type="spellStart"/>
      <w:r w:rsidRPr="00F41276">
        <w:rPr>
          <w:rFonts w:ascii="Simplified Arabic" w:hAnsi="Simplified Arabic"/>
          <w:szCs w:val="18"/>
          <w:rtl/>
        </w:rPr>
        <w:t>و</w:t>
      </w:r>
      <w:r w:rsidRPr="0099598B">
        <w:rPr>
          <w:rFonts w:ascii="Simplified Arabic" w:hAnsi="Simplified Arabic"/>
          <w:i/>
          <w:iCs/>
          <w:szCs w:val="18"/>
          <w:rtl/>
        </w:rPr>
        <w:t>كورشكوف</w:t>
      </w:r>
      <w:proofErr w:type="spellEnd"/>
      <w:r w:rsidRPr="0099598B">
        <w:rPr>
          <w:rFonts w:ascii="Simplified Arabic" w:hAnsi="Simplified Arabic"/>
          <w:i/>
          <w:iCs/>
          <w:szCs w:val="18"/>
          <w:rtl/>
        </w:rPr>
        <w:t xml:space="preserve"> ضد بيلاروس</w:t>
      </w:r>
      <w:r w:rsidRPr="00F41276">
        <w:rPr>
          <w:rFonts w:ascii="Simplified Arabic" w:hAnsi="Simplified Arabic"/>
          <w:szCs w:val="18"/>
          <w:rtl/>
        </w:rPr>
        <w:t xml:space="preserve"> (</w:t>
      </w:r>
      <w:r w:rsidRPr="00F41276">
        <w:rPr>
          <w:rFonts w:ascii="Simplified Arabic" w:hAnsi="Simplified Arabic"/>
          <w:szCs w:val="18"/>
        </w:rPr>
        <w:t>CCPR/C/</w:t>
      </w:r>
      <w:r w:rsidRPr="0099598B">
        <w:rPr>
          <w:rFonts w:ascii="Simplified Arabic" w:hAnsi="Simplified Arabic"/>
          <w:szCs w:val="18"/>
        </w:rPr>
        <w:t>121</w:t>
      </w:r>
      <w:r w:rsidRPr="00F41276">
        <w:rPr>
          <w:rFonts w:ascii="Simplified Arabic" w:hAnsi="Simplified Arabic"/>
          <w:szCs w:val="18"/>
        </w:rPr>
        <w:t>/D/</w:t>
      </w:r>
      <w:r w:rsidRPr="0099598B">
        <w:rPr>
          <w:rFonts w:ascii="Simplified Arabic" w:hAnsi="Simplified Arabic"/>
          <w:szCs w:val="18"/>
        </w:rPr>
        <w:t>2168</w:t>
      </w:r>
      <w:r w:rsidRPr="00F41276">
        <w:rPr>
          <w:rFonts w:ascii="Simplified Arabic" w:hAnsi="Simplified Arabic"/>
          <w:szCs w:val="18"/>
        </w:rPr>
        <w:t>/</w:t>
      </w:r>
      <w:r w:rsidRPr="0099598B">
        <w:rPr>
          <w:rFonts w:ascii="Simplified Arabic" w:hAnsi="Simplified Arabic"/>
          <w:szCs w:val="18"/>
        </w:rPr>
        <w:t>2012</w:t>
      </w:r>
      <w:r w:rsidRPr="00F41276">
        <w:rPr>
          <w:rFonts w:ascii="Simplified Arabic" w:hAnsi="Simplified Arabic"/>
          <w:szCs w:val="18"/>
          <w:rtl/>
        </w:rPr>
        <w:t xml:space="preserve">)، الفقرة </w:t>
      </w:r>
      <w:r w:rsidRPr="0099598B">
        <w:rPr>
          <w:rFonts w:ascii="Simplified Arabic" w:hAnsi="Simplified Arabic"/>
          <w:szCs w:val="18"/>
          <w:rtl/>
        </w:rPr>
        <w:t>7</w:t>
      </w:r>
      <w:r w:rsidRPr="00F41276">
        <w:rPr>
          <w:rFonts w:ascii="Simplified Arabic" w:hAnsi="Simplified Arabic"/>
          <w:szCs w:val="18"/>
          <w:rtl/>
        </w:rPr>
        <w:t>-</w:t>
      </w:r>
      <w:r w:rsidRPr="0099598B">
        <w:rPr>
          <w:rFonts w:ascii="Simplified Arabic" w:hAnsi="Simplified Arabic"/>
          <w:szCs w:val="18"/>
          <w:rtl/>
        </w:rPr>
        <w:t>3</w:t>
      </w:r>
      <w:r w:rsidRPr="00F41276">
        <w:rPr>
          <w:rFonts w:ascii="Simplified Arabic" w:hAnsi="Simplified Arabic"/>
          <w:szCs w:val="18"/>
          <w:rtl/>
        </w:rPr>
        <w:t xml:space="preserve">؛ </w:t>
      </w:r>
      <w:proofErr w:type="spellStart"/>
      <w:r w:rsidRPr="00F41276">
        <w:rPr>
          <w:rFonts w:ascii="Simplified Arabic" w:hAnsi="Simplified Arabic"/>
          <w:szCs w:val="18"/>
          <w:rtl/>
        </w:rPr>
        <w:t>و</w:t>
      </w:r>
      <w:r w:rsidRPr="0099598B">
        <w:rPr>
          <w:rFonts w:ascii="Simplified Arabic" w:hAnsi="Simplified Arabic"/>
          <w:i/>
          <w:iCs/>
          <w:szCs w:val="18"/>
          <w:rtl/>
        </w:rPr>
        <w:t>أبرومتشيك</w:t>
      </w:r>
      <w:proofErr w:type="spellEnd"/>
      <w:r w:rsidRPr="0099598B">
        <w:rPr>
          <w:rFonts w:ascii="Simplified Arabic" w:hAnsi="Simplified Arabic"/>
          <w:i/>
          <w:iCs/>
          <w:szCs w:val="18"/>
          <w:rtl/>
        </w:rPr>
        <w:t xml:space="preserve"> ضد بيلاروس</w:t>
      </w:r>
      <w:r w:rsidRPr="00F41276">
        <w:rPr>
          <w:rFonts w:ascii="Simplified Arabic" w:hAnsi="Simplified Arabic"/>
          <w:szCs w:val="18"/>
          <w:rtl/>
        </w:rPr>
        <w:t xml:space="preserve"> (</w:t>
      </w:r>
      <w:r w:rsidRPr="00F41276">
        <w:rPr>
          <w:rFonts w:asciiTheme="majorBidi" w:hAnsiTheme="majorBidi" w:cstheme="majorBidi"/>
          <w:szCs w:val="18"/>
        </w:rPr>
        <w:t>CCPR/C/</w:t>
      </w:r>
      <w:r w:rsidRPr="0099598B">
        <w:rPr>
          <w:rFonts w:asciiTheme="majorBidi" w:hAnsiTheme="majorBidi" w:cstheme="majorBidi"/>
          <w:szCs w:val="18"/>
        </w:rPr>
        <w:t>122</w:t>
      </w:r>
      <w:r w:rsidRPr="00F41276">
        <w:rPr>
          <w:rFonts w:asciiTheme="majorBidi" w:hAnsiTheme="majorBidi" w:cstheme="majorBidi"/>
          <w:szCs w:val="18"/>
        </w:rPr>
        <w:t>/D/</w:t>
      </w:r>
      <w:r w:rsidRPr="0099598B">
        <w:rPr>
          <w:rFonts w:asciiTheme="majorBidi" w:hAnsiTheme="majorBidi" w:cstheme="majorBidi"/>
          <w:szCs w:val="18"/>
        </w:rPr>
        <w:t>2228</w:t>
      </w:r>
      <w:r w:rsidRPr="00F41276">
        <w:rPr>
          <w:rFonts w:asciiTheme="majorBidi" w:hAnsiTheme="majorBidi" w:cstheme="majorBidi"/>
          <w:szCs w:val="18"/>
        </w:rPr>
        <w:t>/</w:t>
      </w:r>
      <w:r w:rsidRPr="0099598B">
        <w:rPr>
          <w:rFonts w:asciiTheme="majorBidi" w:hAnsiTheme="majorBidi" w:cstheme="majorBidi"/>
          <w:szCs w:val="18"/>
        </w:rPr>
        <w:t>2012</w:t>
      </w:r>
      <w:r w:rsidRPr="00F41276">
        <w:rPr>
          <w:rFonts w:ascii="Simplified Arabic" w:hAnsi="Simplified Arabic"/>
          <w:szCs w:val="18"/>
          <w:rtl/>
        </w:rPr>
        <w:t xml:space="preserve">)، الفقرة </w:t>
      </w:r>
      <w:r w:rsidRPr="0099598B">
        <w:rPr>
          <w:rFonts w:ascii="Simplified Arabic" w:hAnsi="Simplified Arabic"/>
          <w:szCs w:val="18"/>
          <w:rtl/>
        </w:rPr>
        <w:t>9</w:t>
      </w:r>
      <w:r w:rsidRPr="00F41276">
        <w:rPr>
          <w:rFonts w:ascii="Simplified Arabic" w:hAnsi="Simplified Arabic"/>
          <w:szCs w:val="18"/>
          <w:rtl/>
        </w:rPr>
        <w:t>-</w:t>
      </w:r>
      <w:r w:rsidRPr="0099598B">
        <w:rPr>
          <w:rFonts w:ascii="Simplified Arabic" w:hAnsi="Simplified Arabic"/>
          <w:szCs w:val="18"/>
          <w:rtl/>
        </w:rPr>
        <w:t>3</w:t>
      </w:r>
      <w:r w:rsidRPr="00F41276">
        <w:rPr>
          <w:rFonts w:ascii="Simplified Arabic" w:hAnsi="Simplified Arabic"/>
          <w:szCs w:val="18"/>
          <w:rtl/>
        </w:rPr>
        <w:t>.</w:t>
      </w:r>
    </w:p>
  </w:footnote>
  <w:footnote w:id="8">
    <w:p w14:paraId="68D61B28" w14:textId="495D2FD9" w:rsidR="00F41276" w:rsidRPr="00F41276" w:rsidRDefault="00F41276" w:rsidP="00F41276">
      <w:pPr>
        <w:pStyle w:val="FootnoteText"/>
        <w:tabs>
          <w:tab w:val="clear" w:pos="1021"/>
        </w:tabs>
        <w:bidi/>
        <w:spacing w:after="60" w:line="30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99598B">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F41276">
        <w:rPr>
          <w:rFonts w:ascii="Simplified Arabic" w:hAnsi="Simplified Arabic"/>
          <w:szCs w:val="18"/>
          <w:rtl/>
        </w:rPr>
        <w:tab/>
        <w:t>مثلاً</w:t>
      </w:r>
      <w:r w:rsidRPr="0099598B">
        <w:rPr>
          <w:rFonts w:ascii="Simplified Arabic" w:hAnsi="Simplified Arabic"/>
          <w:i/>
          <w:iCs/>
          <w:szCs w:val="18"/>
          <w:rtl/>
        </w:rPr>
        <w:t xml:space="preserve"> </w:t>
      </w:r>
      <w:proofErr w:type="spellStart"/>
      <w:r w:rsidRPr="0099598B">
        <w:rPr>
          <w:rFonts w:ascii="Simplified Arabic" w:hAnsi="Simplified Arabic"/>
          <w:i/>
          <w:iCs/>
          <w:szCs w:val="18"/>
          <w:rtl/>
        </w:rPr>
        <w:t>زوكوفسكي</w:t>
      </w:r>
      <w:proofErr w:type="spellEnd"/>
      <w:r w:rsidRPr="0099598B">
        <w:rPr>
          <w:rFonts w:ascii="Simplified Arabic" w:hAnsi="Simplified Arabic"/>
          <w:i/>
          <w:iCs/>
          <w:szCs w:val="18"/>
          <w:rtl/>
        </w:rPr>
        <w:t xml:space="preserve"> ضد بيلاروس</w:t>
      </w:r>
      <w:r w:rsidRPr="00F41276">
        <w:rPr>
          <w:rFonts w:ascii="Simplified Arabic" w:hAnsi="Simplified Arabic"/>
          <w:szCs w:val="18"/>
          <w:rtl/>
        </w:rPr>
        <w:t xml:space="preserve"> (</w:t>
      </w:r>
      <w:r w:rsidRPr="00F41276">
        <w:rPr>
          <w:rFonts w:asciiTheme="majorBidi" w:hAnsiTheme="majorBidi" w:cstheme="majorBidi"/>
          <w:szCs w:val="18"/>
        </w:rPr>
        <w:t>CCPR/C/</w:t>
      </w:r>
      <w:r w:rsidRPr="0099598B">
        <w:rPr>
          <w:rFonts w:asciiTheme="majorBidi" w:hAnsiTheme="majorBidi" w:cstheme="majorBidi"/>
          <w:szCs w:val="18"/>
        </w:rPr>
        <w:t>127</w:t>
      </w:r>
      <w:r w:rsidRPr="00F41276">
        <w:rPr>
          <w:rFonts w:asciiTheme="majorBidi" w:hAnsiTheme="majorBidi" w:cstheme="majorBidi"/>
          <w:szCs w:val="18"/>
        </w:rPr>
        <w:t>/D/</w:t>
      </w:r>
      <w:r w:rsidRPr="0099598B">
        <w:rPr>
          <w:rFonts w:asciiTheme="majorBidi" w:hAnsiTheme="majorBidi" w:cstheme="majorBidi"/>
          <w:szCs w:val="18"/>
        </w:rPr>
        <w:t>3067</w:t>
      </w:r>
      <w:r w:rsidRPr="00F41276">
        <w:rPr>
          <w:rFonts w:asciiTheme="majorBidi" w:hAnsiTheme="majorBidi" w:cstheme="majorBidi"/>
          <w:szCs w:val="18"/>
        </w:rPr>
        <w:t>/</w:t>
      </w:r>
      <w:r w:rsidRPr="0099598B">
        <w:rPr>
          <w:rFonts w:asciiTheme="majorBidi" w:hAnsiTheme="majorBidi" w:cstheme="majorBidi"/>
          <w:szCs w:val="18"/>
        </w:rPr>
        <w:t>2017</w:t>
      </w:r>
      <w:r w:rsidRPr="00F41276">
        <w:rPr>
          <w:rFonts w:ascii="Simplified Arabic" w:hAnsi="Simplified Arabic"/>
          <w:szCs w:val="18"/>
          <w:rtl/>
        </w:rPr>
        <w:t xml:space="preserve">)، الفقرة </w:t>
      </w:r>
      <w:r w:rsidRPr="0099598B">
        <w:rPr>
          <w:rFonts w:ascii="Simplified Arabic" w:hAnsi="Simplified Arabic"/>
          <w:szCs w:val="18"/>
          <w:rtl/>
        </w:rPr>
        <w:t>6</w:t>
      </w:r>
      <w:r w:rsidRPr="00F41276">
        <w:rPr>
          <w:rFonts w:ascii="Simplified Arabic" w:hAnsi="Simplified Arabic"/>
          <w:szCs w:val="18"/>
          <w:rtl/>
        </w:rPr>
        <w:t>-</w:t>
      </w:r>
      <w:r w:rsidRPr="0099598B">
        <w:rPr>
          <w:rFonts w:ascii="Simplified Arabic" w:hAnsi="Simplified Arabic"/>
          <w:szCs w:val="18"/>
          <w:rtl/>
        </w:rPr>
        <w:t>6</w:t>
      </w:r>
      <w:r w:rsidRPr="00F41276">
        <w:rPr>
          <w:rFonts w:ascii="Simplified Arabic" w:hAnsi="Simplified Arabic"/>
          <w:szCs w:val="18"/>
          <w:rtl/>
        </w:rPr>
        <w:t>.</w:t>
      </w:r>
    </w:p>
  </w:footnote>
  <w:footnote w:id="9">
    <w:p w14:paraId="225B1D31" w14:textId="0437B516" w:rsidR="00F41276" w:rsidRPr="003512D0" w:rsidRDefault="00F41276" w:rsidP="00F41276">
      <w:pPr>
        <w:pStyle w:val="FootnoteText"/>
        <w:tabs>
          <w:tab w:val="clear" w:pos="1021"/>
        </w:tabs>
        <w:bidi/>
        <w:spacing w:after="60" w:line="300" w:lineRule="exact"/>
        <w:ind w:left="1247" w:right="1247" w:hanging="567"/>
        <w:jc w:val="lowKashida"/>
        <w:textDirection w:val="tbRlV"/>
        <w:rPr>
          <w:rFonts w:ascii="Simplified Arabic" w:hAnsi="Simplified Arabic"/>
          <w:spacing w:val="-2"/>
          <w:szCs w:val="18"/>
          <w:lang w:eastAsia="zh-TW" w:bidi="en-GB"/>
        </w:rPr>
      </w:pPr>
      <w:r w:rsidRPr="003512D0">
        <w:rPr>
          <w:rStyle w:val="FootnoteReference"/>
          <w:rFonts w:ascii="Simplified Arabic" w:hAnsi="Simplified Arabic"/>
          <w:spacing w:val="-2"/>
          <w:vertAlign w:val="baseline"/>
          <w:rtl/>
        </w:rPr>
        <w:t>(</w:t>
      </w:r>
      <w:r w:rsidRPr="0099598B">
        <w:rPr>
          <w:rStyle w:val="FootnoteReference"/>
          <w:rFonts w:ascii="Simplified Arabic" w:hAnsi="Simplified Arabic"/>
          <w:spacing w:val="-2"/>
          <w:vertAlign w:val="baseline"/>
        </w:rPr>
        <w:footnoteRef/>
      </w:r>
      <w:r w:rsidRPr="003512D0">
        <w:rPr>
          <w:rStyle w:val="FootnoteReference"/>
          <w:rFonts w:ascii="Simplified Arabic" w:hAnsi="Simplified Arabic"/>
          <w:spacing w:val="-2"/>
          <w:vertAlign w:val="baseline"/>
          <w:rtl/>
        </w:rPr>
        <w:t>)</w:t>
      </w:r>
      <w:r w:rsidRPr="003512D0">
        <w:rPr>
          <w:rFonts w:ascii="Simplified Arabic" w:hAnsi="Simplified Arabic"/>
          <w:spacing w:val="-2"/>
          <w:szCs w:val="18"/>
          <w:rtl/>
        </w:rPr>
        <w:tab/>
      </w:r>
      <w:proofErr w:type="spellStart"/>
      <w:r w:rsidRPr="0099598B">
        <w:rPr>
          <w:rFonts w:ascii="Simplified Arabic" w:hAnsi="Simplified Arabic"/>
          <w:i/>
          <w:iCs/>
          <w:spacing w:val="-2"/>
          <w:szCs w:val="18"/>
          <w:rtl/>
        </w:rPr>
        <w:t>جوكوفسكي</w:t>
      </w:r>
      <w:proofErr w:type="spellEnd"/>
      <w:r w:rsidRPr="0099598B">
        <w:rPr>
          <w:rFonts w:ascii="Simplified Arabic" w:hAnsi="Simplified Arabic"/>
          <w:i/>
          <w:iCs/>
          <w:spacing w:val="-2"/>
          <w:szCs w:val="18"/>
          <w:rtl/>
        </w:rPr>
        <w:t xml:space="preserve"> ضد بيلاروس</w:t>
      </w:r>
      <w:r w:rsidRPr="003512D0">
        <w:rPr>
          <w:rFonts w:ascii="Simplified Arabic" w:hAnsi="Simplified Arabic"/>
          <w:spacing w:val="-2"/>
          <w:szCs w:val="18"/>
          <w:rtl/>
        </w:rPr>
        <w:t xml:space="preserve"> (</w:t>
      </w:r>
      <w:r w:rsidRPr="003512D0">
        <w:rPr>
          <w:rFonts w:asciiTheme="majorBidi" w:hAnsiTheme="majorBidi" w:cstheme="majorBidi"/>
          <w:spacing w:val="-2"/>
          <w:szCs w:val="18"/>
        </w:rPr>
        <w:t>CCPR/C/</w:t>
      </w:r>
      <w:r w:rsidRPr="0099598B">
        <w:rPr>
          <w:rFonts w:asciiTheme="majorBidi" w:hAnsiTheme="majorBidi" w:cstheme="majorBidi"/>
          <w:spacing w:val="-2"/>
          <w:szCs w:val="18"/>
        </w:rPr>
        <w:t>127</w:t>
      </w:r>
      <w:r w:rsidRPr="003512D0">
        <w:rPr>
          <w:rFonts w:asciiTheme="majorBidi" w:hAnsiTheme="majorBidi" w:cstheme="majorBidi"/>
          <w:spacing w:val="-2"/>
          <w:szCs w:val="18"/>
        </w:rPr>
        <w:t>/D/</w:t>
      </w:r>
      <w:r w:rsidRPr="0099598B">
        <w:rPr>
          <w:rFonts w:asciiTheme="majorBidi" w:hAnsiTheme="majorBidi" w:cstheme="majorBidi"/>
          <w:spacing w:val="-2"/>
          <w:szCs w:val="18"/>
        </w:rPr>
        <w:t>2724</w:t>
      </w:r>
      <w:r w:rsidRPr="003512D0">
        <w:rPr>
          <w:rFonts w:asciiTheme="majorBidi" w:hAnsiTheme="majorBidi" w:cstheme="majorBidi"/>
          <w:spacing w:val="-2"/>
          <w:szCs w:val="18"/>
        </w:rPr>
        <w:t>/</w:t>
      </w:r>
      <w:r w:rsidRPr="0099598B">
        <w:rPr>
          <w:rFonts w:asciiTheme="majorBidi" w:hAnsiTheme="majorBidi" w:cstheme="majorBidi"/>
          <w:spacing w:val="-2"/>
          <w:szCs w:val="18"/>
        </w:rPr>
        <w:t>2016</w:t>
      </w:r>
      <w:r w:rsidRPr="003512D0">
        <w:rPr>
          <w:rFonts w:ascii="Simplified Arabic" w:hAnsi="Simplified Arabic"/>
          <w:spacing w:val="-2"/>
          <w:szCs w:val="18"/>
          <w:rtl/>
        </w:rPr>
        <w:t xml:space="preserve">)، الفقرة </w:t>
      </w:r>
      <w:r w:rsidRPr="0099598B">
        <w:rPr>
          <w:rFonts w:ascii="Simplified Arabic" w:hAnsi="Simplified Arabic"/>
          <w:spacing w:val="-2"/>
          <w:szCs w:val="18"/>
          <w:rtl/>
        </w:rPr>
        <w:t>6</w:t>
      </w:r>
      <w:r w:rsidRPr="003512D0">
        <w:rPr>
          <w:rFonts w:ascii="Simplified Arabic" w:hAnsi="Simplified Arabic"/>
          <w:spacing w:val="-2"/>
          <w:szCs w:val="18"/>
          <w:rtl/>
        </w:rPr>
        <w:t>-</w:t>
      </w:r>
      <w:r w:rsidRPr="0099598B">
        <w:rPr>
          <w:rFonts w:ascii="Simplified Arabic" w:hAnsi="Simplified Arabic"/>
          <w:spacing w:val="-2"/>
          <w:szCs w:val="18"/>
          <w:rtl/>
        </w:rPr>
        <w:t>4</w:t>
      </w:r>
      <w:r w:rsidRPr="003512D0">
        <w:rPr>
          <w:rFonts w:ascii="Simplified Arabic" w:hAnsi="Simplified Arabic"/>
          <w:spacing w:val="-2"/>
          <w:szCs w:val="18"/>
          <w:rtl/>
        </w:rPr>
        <w:t xml:space="preserve">؛ </w:t>
      </w:r>
      <w:proofErr w:type="spellStart"/>
      <w:r w:rsidRPr="0099598B">
        <w:rPr>
          <w:rFonts w:ascii="Simplified Arabic" w:hAnsi="Simplified Arabic"/>
          <w:i/>
          <w:iCs/>
          <w:spacing w:val="-2"/>
          <w:szCs w:val="18"/>
          <w:rtl/>
        </w:rPr>
        <w:t>وزوكوفسكي</w:t>
      </w:r>
      <w:proofErr w:type="spellEnd"/>
      <w:r w:rsidRPr="0099598B">
        <w:rPr>
          <w:rFonts w:ascii="Simplified Arabic" w:hAnsi="Simplified Arabic"/>
          <w:i/>
          <w:iCs/>
          <w:spacing w:val="-2"/>
          <w:szCs w:val="18"/>
          <w:rtl/>
        </w:rPr>
        <w:t xml:space="preserve"> ضد بيلاروس</w:t>
      </w:r>
      <w:r w:rsidRPr="003512D0">
        <w:rPr>
          <w:rFonts w:ascii="Simplified Arabic" w:hAnsi="Simplified Arabic"/>
          <w:spacing w:val="-2"/>
          <w:szCs w:val="18"/>
          <w:rtl/>
        </w:rPr>
        <w:t xml:space="preserve"> (</w:t>
      </w:r>
      <w:r w:rsidRPr="003512D0">
        <w:rPr>
          <w:rFonts w:asciiTheme="majorBidi" w:hAnsiTheme="majorBidi" w:cstheme="majorBidi"/>
          <w:spacing w:val="-2"/>
          <w:szCs w:val="18"/>
        </w:rPr>
        <w:t>CCPR/C/</w:t>
      </w:r>
      <w:r w:rsidRPr="0099598B">
        <w:rPr>
          <w:rFonts w:asciiTheme="majorBidi" w:hAnsiTheme="majorBidi" w:cstheme="majorBidi"/>
          <w:spacing w:val="-2"/>
          <w:szCs w:val="18"/>
        </w:rPr>
        <w:t>127</w:t>
      </w:r>
      <w:r w:rsidRPr="003512D0">
        <w:rPr>
          <w:rFonts w:asciiTheme="majorBidi" w:hAnsiTheme="majorBidi" w:cstheme="majorBidi"/>
          <w:spacing w:val="-2"/>
          <w:szCs w:val="18"/>
        </w:rPr>
        <w:t>/D/</w:t>
      </w:r>
      <w:r w:rsidRPr="0099598B">
        <w:rPr>
          <w:rFonts w:asciiTheme="majorBidi" w:hAnsiTheme="majorBidi" w:cstheme="majorBidi"/>
          <w:spacing w:val="-2"/>
          <w:szCs w:val="18"/>
        </w:rPr>
        <w:t>2955</w:t>
      </w:r>
      <w:r w:rsidRPr="003512D0">
        <w:rPr>
          <w:rFonts w:asciiTheme="majorBidi" w:hAnsiTheme="majorBidi" w:cstheme="majorBidi"/>
          <w:spacing w:val="-2"/>
          <w:szCs w:val="18"/>
        </w:rPr>
        <w:t>/</w:t>
      </w:r>
      <w:r w:rsidRPr="0099598B">
        <w:rPr>
          <w:rFonts w:asciiTheme="majorBidi" w:hAnsiTheme="majorBidi" w:cstheme="majorBidi"/>
          <w:spacing w:val="-2"/>
          <w:szCs w:val="18"/>
        </w:rPr>
        <w:t>2017</w:t>
      </w:r>
      <w:r w:rsidRPr="003512D0">
        <w:rPr>
          <w:rFonts w:ascii="Simplified Arabic" w:hAnsi="Simplified Arabic"/>
          <w:spacing w:val="-2"/>
          <w:szCs w:val="18"/>
          <w:rtl/>
        </w:rPr>
        <w:t xml:space="preserve">)، الفقرة </w:t>
      </w:r>
      <w:r w:rsidRPr="0099598B">
        <w:rPr>
          <w:rFonts w:ascii="Simplified Arabic" w:hAnsi="Simplified Arabic"/>
          <w:spacing w:val="-2"/>
          <w:szCs w:val="18"/>
          <w:rtl/>
        </w:rPr>
        <w:t>6</w:t>
      </w:r>
      <w:r w:rsidRPr="003512D0">
        <w:rPr>
          <w:rFonts w:ascii="Simplified Arabic" w:hAnsi="Simplified Arabic"/>
          <w:spacing w:val="-2"/>
          <w:szCs w:val="18"/>
          <w:rtl/>
        </w:rPr>
        <w:t>-</w:t>
      </w:r>
      <w:r w:rsidRPr="0099598B">
        <w:rPr>
          <w:rFonts w:ascii="Simplified Arabic" w:hAnsi="Simplified Arabic"/>
          <w:spacing w:val="-2"/>
          <w:szCs w:val="18"/>
          <w:rtl/>
        </w:rPr>
        <w:t>4</w:t>
      </w:r>
      <w:r w:rsidRPr="003512D0">
        <w:rPr>
          <w:rFonts w:ascii="Simplified Arabic" w:hAnsi="Simplified Arabic"/>
          <w:spacing w:val="-2"/>
          <w:szCs w:val="18"/>
          <w:rtl/>
        </w:rPr>
        <w:t xml:space="preserve">؛ </w:t>
      </w:r>
      <w:proofErr w:type="spellStart"/>
      <w:r w:rsidRPr="003512D0">
        <w:rPr>
          <w:rFonts w:ascii="Simplified Arabic" w:hAnsi="Simplified Arabic"/>
          <w:spacing w:val="-2"/>
          <w:szCs w:val="18"/>
          <w:rtl/>
        </w:rPr>
        <w:t>و</w:t>
      </w:r>
      <w:r w:rsidRPr="0099598B">
        <w:rPr>
          <w:rFonts w:ascii="Simplified Arabic" w:hAnsi="Simplified Arabic"/>
          <w:i/>
          <w:iCs/>
          <w:spacing w:val="-2"/>
          <w:szCs w:val="18"/>
          <w:rtl/>
        </w:rPr>
        <w:t>زوكوفسكي</w:t>
      </w:r>
      <w:proofErr w:type="spellEnd"/>
      <w:r w:rsidRPr="0099598B">
        <w:rPr>
          <w:rFonts w:ascii="Simplified Arabic" w:hAnsi="Simplified Arabic"/>
          <w:i/>
          <w:iCs/>
          <w:spacing w:val="-2"/>
          <w:szCs w:val="18"/>
          <w:rtl/>
        </w:rPr>
        <w:t xml:space="preserve"> ضد بيلاروس</w:t>
      </w:r>
      <w:r w:rsidRPr="003512D0">
        <w:rPr>
          <w:rFonts w:ascii="Simplified Arabic" w:hAnsi="Simplified Arabic"/>
          <w:spacing w:val="-2"/>
          <w:szCs w:val="18"/>
          <w:rtl/>
        </w:rPr>
        <w:t xml:space="preserve"> (</w:t>
      </w:r>
      <w:r w:rsidRPr="003512D0">
        <w:rPr>
          <w:rFonts w:asciiTheme="majorBidi" w:hAnsiTheme="majorBidi" w:cstheme="majorBidi"/>
          <w:spacing w:val="-2"/>
          <w:szCs w:val="18"/>
        </w:rPr>
        <w:t>CCPR/C/</w:t>
      </w:r>
      <w:r w:rsidRPr="0099598B">
        <w:rPr>
          <w:rFonts w:asciiTheme="majorBidi" w:hAnsiTheme="majorBidi" w:cstheme="majorBidi"/>
          <w:spacing w:val="-2"/>
          <w:szCs w:val="18"/>
        </w:rPr>
        <w:t>127</w:t>
      </w:r>
      <w:r w:rsidRPr="003512D0">
        <w:rPr>
          <w:rFonts w:asciiTheme="majorBidi" w:hAnsiTheme="majorBidi" w:cstheme="majorBidi"/>
          <w:spacing w:val="-2"/>
          <w:szCs w:val="18"/>
        </w:rPr>
        <w:t>/D/</w:t>
      </w:r>
      <w:r w:rsidRPr="0099598B">
        <w:rPr>
          <w:rFonts w:asciiTheme="majorBidi" w:hAnsiTheme="majorBidi" w:cstheme="majorBidi"/>
          <w:spacing w:val="-2"/>
          <w:szCs w:val="18"/>
        </w:rPr>
        <w:t>3067</w:t>
      </w:r>
      <w:r w:rsidRPr="003512D0">
        <w:rPr>
          <w:rFonts w:asciiTheme="majorBidi" w:hAnsiTheme="majorBidi" w:cstheme="majorBidi"/>
          <w:spacing w:val="-2"/>
          <w:szCs w:val="18"/>
        </w:rPr>
        <w:t>/</w:t>
      </w:r>
      <w:r w:rsidRPr="0099598B">
        <w:rPr>
          <w:rFonts w:asciiTheme="majorBidi" w:hAnsiTheme="majorBidi" w:cstheme="majorBidi"/>
          <w:spacing w:val="-2"/>
          <w:szCs w:val="18"/>
        </w:rPr>
        <w:t>2017</w:t>
      </w:r>
      <w:r w:rsidRPr="003512D0">
        <w:rPr>
          <w:rFonts w:ascii="Simplified Arabic" w:hAnsi="Simplified Arabic"/>
          <w:spacing w:val="-2"/>
          <w:szCs w:val="18"/>
          <w:rtl/>
        </w:rPr>
        <w:t xml:space="preserve">)، الفقرة </w:t>
      </w:r>
      <w:r w:rsidRPr="0099598B">
        <w:rPr>
          <w:rFonts w:ascii="Simplified Arabic" w:hAnsi="Simplified Arabic"/>
          <w:spacing w:val="-2"/>
          <w:szCs w:val="18"/>
          <w:rtl/>
        </w:rPr>
        <w:t>6</w:t>
      </w:r>
      <w:r w:rsidRPr="003512D0">
        <w:rPr>
          <w:rFonts w:ascii="Simplified Arabic" w:hAnsi="Simplified Arabic"/>
          <w:spacing w:val="-2"/>
          <w:szCs w:val="18"/>
          <w:rtl/>
        </w:rPr>
        <w:t>-</w:t>
      </w:r>
      <w:r w:rsidRPr="0099598B">
        <w:rPr>
          <w:rFonts w:ascii="Simplified Arabic" w:hAnsi="Simplified Arabic"/>
          <w:spacing w:val="-2"/>
          <w:szCs w:val="18"/>
          <w:rtl/>
        </w:rPr>
        <w:t>6</w:t>
      </w:r>
      <w:r w:rsidRPr="003512D0">
        <w:rPr>
          <w:rFonts w:ascii="Simplified Arabic" w:hAnsi="Simplified Arabic"/>
          <w:spacing w:val="-2"/>
          <w:szCs w:val="18"/>
          <w:rtl/>
        </w:rPr>
        <w:t>.</w:t>
      </w:r>
    </w:p>
  </w:footnote>
  <w:footnote w:id="10">
    <w:p w14:paraId="2EC6943F" w14:textId="4B552998" w:rsidR="00F41276" w:rsidRPr="00F41276" w:rsidRDefault="00F41276" w:rsidP="00F41276">
      <w:pPr>
        <w:pStyle w:val="FootnoteText"/>
        <w:tabs>
          <w:tab w:val="clear" w:pos="1021"/>
        </w:tabs>
        <w:bidi/>
        <w:spacing w:after="60" w:line="300" w:lineRule="exact"/>
        <w:ind w:left="1247" w:right="1247" w:hanging="567"/>
        <w:jc w:val="lowKashida"/>
        <w:textDirection w:val="tbRlV"/>
        <w:rPr>
          <w:rFonts w:ascii="Simplified Arabic" w:hAnsi="Simplified Arabic"/>
          <w:szCs w:val="18"/>
          <w:lang w:eastAsia="zh-TW" w:bidi="en-GB"/>
        </w:rPr>
      </w:pPr>
      <w:r>
        <w:rPr>
          <w:rStyle w:val="FootnoteReference"/>
          <w:rFonts w:ascii="Simplified Arabic" w:hAnsi="Simplified Arabic"/>
          <w:vertAlign w:val="baseline"/>
          <w:rtl/>
        </w:rPr>
        <w:t>(</w:t>
      </w:r>
      <w:r w:rsidRPr="0099598B">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F41276">
        <w:rPr>
          <w:rFonts w:ascii="Simplified Arabic" w:hAnsi="Simplified Arabic"/>
          <w:szCs w:val="18"/>
          <w:rtl/>
        </w:rPr>
        <w:tab/>
      </w:r>
      <w:proofErr w:type="spellStart"/>
      <w:r w:rsidRPr="0099598B">
        <w:rPr>
          <w:rFonts w:ascii="Simplified Arabic" w:hAnsi="Simplified Arabic"/>
          <w:i/>
          <w:iCs/>
          <w:szCs w:val="18"/>
          <w:rtl/>
        </w:rPr>
        <w:t>أندروسينكو</w:t>
      </w:r>
      <w:proofErr w:type="spellEnd"/>
      <w:r w:rsidRPr="0099598B">
        <w:rPr>
          <w:rFonts w:ascii="Simplified Arabic" w:hAnsi="Simplified Arabic"/>
          <w:i/>
          <w:iCs/>
          <w:szCs w:val="18"/>
          <w:rtl/>
        </w:rPr>
        <w:t xml:space="preserve"> ضد بيلاروس</w:t>
      </w:r>
      <w:r w:rsidRPr="00F41276">
        <w:rPr>
          <w:rFonts w:ascii="Simplified Arabic" w:hAnsi="Simplified Arabic"/>
          <w:szCs w:val="18"/>
          <w:rtl/>
        </w:rPr>
        <w:t xml:space="preserve"> (</w:t>
      </w:r>
      <w:r w:rsidRPr="00F41276">
        <w:rPr>
          <w:rFonts w:asciiTheme="majorBidi" w:hAnsiTheme="majorBidi" w:cstheme="majorBidi"/>
          <w:szCs w:val="18"/>
        </w:rPr>
        <w:t>CCPR/C/</w:t>
      </w:r>
      <w:r w:rsidRPr="0099598B">
        <w:rPr>
          <w:rFonts w:asciiTheme="majorBidi" w:hAnsiTheme="majorBidi" w:cstheme="majorBidi"/>
          <w:szCs w:val="18"/>
        </w:rPr>
        <w:t>116</w:t>
      </w:r>
      <w:r w:rsidRPr="00F41276">
        <w:rPr>
          <w:rFonts w:asciiTheme="majorBidi" w:hAnsiTheme="majorBidi" w:cstheme="majorBidi"/>
          <w:szCs w:val="18"/>
        </w:rPr>
        <w:t>/D/</w:t>
      </w:r>
      <w:r w:rsidRPr="0099598B">
        <w:rPr>
          <w:rFonts w:asciiTheme="majorBidi" w:hAnsiTheme="majorBidi" w:cstheme="majorBidi"/>
          <w:szCs w:val="18"/>
        </w:rPr>
        <w:t>2092</w:t>
      </w:r>
      <w:r w:rsidRPr="00F41276">
        <w:rPr>
          <w:rFonts w:asciiTheme="majorBidi" w:hAnsiTheme="majorBidi" w:cstheme="majorBidi"/>
          <w:szCs w:val="18"/>
        </w:rPr>
        <w:t>/</w:t>
      </w:r>
      <w:r w:rsidRPr="0099598B">
        <w:rPr>
          <w:rFonts w:asciiTheme="majorBidi" w:hAnsiTheme="majorBidi" w:cstheme="majorBidi"/>
          <w:szCs w:val="18"/>
        </w:rPr>
        <w:t>2011</w:t>
      </w:r>
      <w:r w:rsidRPr="00F41276">
        <w:rPr>
          <w:rFonts w:ascii="Simplified Arabic" w:hAnsi="Simplified Arabic"/>
          <w:szCs w:val="18"/>
          <w:rtl/>
        </w:rPr>
        <w:t xml:space="preserve">)، الفقرة </w:t>
      </w:r>
      <w:r w:rsidRPr="0099598B">
        <w:rPr>
          <w:rFonts w:ascii="Simplified Arabic" w:hAnsi="Simplified Arabic"/>
          <w:szCs w:val="18"/>
          <w:rtl/>
        </w:rPr>
        <w:t>7</w:t>
      </w:r>
      <w:r w:rsidRPr="00F41276">
        <w:rPr>
          <w:rFonts w:ascii="Simplified Arabic" w:hAnsi="Simplified Arabic"/>
          <w:szCs w:val="18"/>
          <w:rtl/>
        </w:rPr>
        <w:t>-</w:t>
      </w:r>
      <w:r w:rsidRPr="0099598B">
        <w:rPr>
          <w:rFonts w:ascii="Simplified Arabic" w:hAnsi="Simplified Arabic"/>
          <w:szCs w:val="18"/>
          <w:rtl/>
        </w:rPr>
        <w:t>3</w:t>
      </w:r>
      <w:r w:rsidRPr="00F41276">
        <w:rPr>
          <w:rFonts w:ascii="Simplified Arabic" w:hAnsi="Simplified Arabic"/>
          <w:szCs w:val="18"/>
          <w:rtl/>
        </w:rPr>
        <w:t>.</w:t>
      </w:r>
    </w:p>
  </w:footnote>
  <w:footnote w:id="11">
    <w:p w14:paraId="5D9F33E7" w14:textId="5F1D3C1B" w:rsidR="00F41276" w:rsidRPr="00F41276" w:rsidRDefault="00F41276" w:rsidP="00F41276">
      <w:pPr>
        <w:pStyle w:val="FootnoteText"/>
        <w:tabs>
          <w:tab w:val="clear" w:pos="1021"/>
        </w:tabs>
        <w:bidi/>
        <w:spacing w:after="60" w:line="300" w:lineRule="exact"/>
        <w:ind w:left="1247" w:right="1247" w:hanging="567"/>
        <w:jc w:val="lowKashida"/>
        <w:textDirection w:val="tbRlV"/>
        <w:rPr>
          <w:lang w:eastAsia="zh-TW" w:bidi="en-GB"/>
        </w:rPr>
      </w:pPr>
      <w:r>
        <w:rPr>
          <w:rStyle w:val="FootnoteReference"/>
          <w:rFonts w:ascii="Simplified Arabic" w:hAnsi="Simplified Arabic"/>
          <w:vertAlign w:val="baseline"/>
          <w:rtl/>
        </w:rPr>
        <w:t>(</w:t>
      </w:r>
      <w:r w:rsidRPr="0099598B">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F41276">
        <w:rPr>
          <w:rFonts w:ascii="Simplified Arabic" w:hAnsi="Simplified Arabic"/>
          <w:szCs w:val="18"/>
          <w:rtl/>
        </w:rPr>
        <w:tab/>
      </w:r>
      <w:proofErr w:type="spellStart"/>
      <w:r w:rsidRPr="0099598B">
        <w:rPr>
          <w:rFonts w:ascii="Simplified Arabic" w:hAnsi="Simplified Arabic"/>
          <w:i/>
          <w:iCs/>
          <w:szCs w:val="18"/>
          <w:rtl/>
        </w:rPr>
        <w:t>بوبلافني</w:t>
      </w:r>
      <w:proofErr w:type="spellEnd"/>
      <w:r w:rsidRPr="0099598B">
        <w:rPr>
          <w:rFonts w:ascii="Simplified Arabic" w:hAnsi="Simplified Arabic"/>
          <w:i/>
          <w:iCs/>
          <w:szCs w:val="18"/>
          <w:rtl/>
        </w:rPr>
        <w:t xml:space="preserve"> ضد بيلاروس</w:t>
      </w:r>
      <w:r w:rsidRPr="00F41276">
        <w:rPr>
          <w:rFonts w:ascii="Simplified Arabic" w:hAnsi="Simplified Arabic"/>
          <w:szCs w:val="18"/>
          <w:rtl/>
        </w:rPr>
        <w:t xml:space="preserve"> (</w:t>
      </w:r>
      <w:r w:rsidRPr="00F41276">
        <w:rPr>
          <w:rFonts w:asciiTheme="majorBidi" w:hAnsiTheme="majorBidi" w:cstheme="majorBidi"/>
          <w:szCs w:val="18"/>
        </w:rPr>
        <w:t>CCPR/C/</w:t>
      </w:r>
      <w:r w:rsidRPr="0099598B">
        <w:rPr>
          <w:rFonts w:asciiTheme="majorBidi" w:hAnsiTheme="majorBidi" w:cstheme="majorBidi"/>
          <w:szCs w:val="18"/>
        </w:rPr>
        <w:t>115</w:t>
      </w:r>
      <w:r w:rsidRPr="00F41276">
        <w:rPr>
          <w:rFonts w:asciiTheme="majorBidi" w:hAnsiTheme="majorBidi" w:cstheme="majorBidi"/>
          <w:szCs w:val="18"/>
        </w:rPr>
        <w:t>/D/</w:t>
      </w:r>
      <w:r w:rsidRPr="0099598B">
        <w:rPr>
          <w:rFonts w:asciiTheme="majorBidi" w:hAnsiTheme="majorBidi" w:cstheme="majorBidi"/>
          <w:szCs w:val="18"/>
        </w:rPr>
        <w:t>2019</w:t>
      </w:r>
      <w:r w:rsidRPr="00F41276">
        <w:rPr>
          <w:rFonts w:asciiTheme="majorBidi" w:hAnsiTheme="majorBidi" w:cstheme="majorBidi"/>
          <w:szCs w:val="18"/>
        </w:rPr>
        <w:t>/</w:t>
      </w:r>
      <w:r w:rsidRPr="0099598B">
        <w:rPr>
          <w:rFonts w:asciiTheme="majorBidi" w:hAnsiTheme="majorBidi" w:cstheme="majorBidi"/>
          <w:szCs w:val="18"/>
        </w:rPr>
        <w:t>2010</w:t>
      </w:r>
      <w:r w:rsidRPr="00F41276">
        <w:rPr>
          <w:rFonts w:ascii="Simplified Arabic" w:hAnsi="Simplified Arabic"/>
          <w:szCs w:val="18"/>
          <w:rtl/>
        </w:rPr>
        <w:t xml:space="preserve">)، الفقرة </w:t>
      </w:r>
      <w:r w:rsidRPr="0099598B">
        <w:rPr>
          <w:rFonts w:ascii="Simplified Arabic" w:hAnsi="Simplified Arabic"/>
          <w:szCs w:val="18"/>
          <w:rtl/>
        </w:rPr>
        <w:t>8</w:t>
      </w:r>
      <w:r w:rsidRPr="00F41276">
        <w:rPr>
          <w:rFonts w:ascii="Simplified Arabic" w:hAnsi="Simplified Arabic"/>
          <w:szCs w:val="18"/>
          <w:rtl/>
        </w:rPr>
        <w:t>-</w:t>
      </w:r>
      <w:r w:rsidRPr="0099598B">
        <w:rPr>
          <w:rFonts w:ascii="Simplified Arabic" w:hAnsi="Simplified Arabic"/>
          <w:szCs w:val="18"/>
          <w:rtl/>
        </w:rPr>
        <w:t>4</w:t>
      </w:r>
      <w:r w:rsidRPr="00F41276">
        <w:rPr>
          <w:rFonts w:ascii="Simplified Arabic" w:hAnsi="Simplified Arabic"/>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4550" w14:textId="14B237F1" w:rsidR="00770948" w:rsidRPr="00770948" w:rsidRDefault="00770948" w:rsidP="00770948">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B7BD0">
      <w:t>CCPR/C/129/D/2404/2014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C3628" w14:textId="1757CEB5" w:rsidR="00770948" w:rsidRPr="00770948" w:rsidRDefault="00770948" w:rsidP="00770948">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B7BD0">
      <w:t>CCPR/C/129/D/2404/2014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72"/>
    <w:rsid w:val="000076D5"/>
    <w:rsid w:val="0004217F"/>
    <w:rsid w:val="00043663"/>
    <w:rsid w:val="000437B8"/>
    <w:rsid w:val="000505CF"/>
    <w:rsid w:val="00075200"/>
    <w:rsid w:val="000D701C"/>
    <w:rsid w:val="000E2A71"/>
    <w:rsid w:val="00145577"/>
    <w:rsid w:val="00160263"/>
    <w:rsid w:val="00181F96"/>
    <w:rsid w:val="001872B1"/>
    <w:rsid w:val="001A1371"/>
    <w:rsid w:val="001B043F"/>
    <w:rsid w:val="001B346A"/>
    <w:rsid w:val="001B6C22"/>
    <w:rsid w:val="001E1CAD"/>
    <w:rsid w:val="001E290D"/>
    <w:rsid w:val="002144FA"/>
    <w:rsid w:val="0023469A"/>
    <w:rsid w:val="00243C8A"/>
    <w:rsid w:val="00267A0E"/>
    <w:rsid w:val="002901D9"/>
    <w:rsid w:val="002976C2"/>
    <w:rsid w:val="003068BC"/>
    <w:rsid w:val="00323490"/>
    <w:rsid w:val="003260FF"/>
    <w:rsid w:val="00343D95"/>
    <w:rsid w:val="003512D0"/>
    <w:rsid w:val="00360E0E"/>
    <w:rsid w:val="00363A18"/>
    <w:rsid w:val="00374341"/>
    <w:rsid w:val="00390AAF"/>
    <w:rsid w:val="003D1062"/>
    <w:rsid w:val="00402051"/>
    <w:rsid w:val="00420D7B"/>
    <w:rsid w:val="00450B21"/>
    <w:rsid w:val="00453B63"/>
    <w:rsid w:val="00455780"/>
    <w:rsid w:val="00475543"/>
    <w:rsid w:val="004B0A1C"/>
    <w:rsid w:val="004B27E0"/>
    <w:rsid w:val="004D298E"/>
    <w:rsid w:val="004F020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370EB"/>
    <w:rsid w:val="00652221"/>
    <w:rsid w:val="00656392"/>
    <w:rsid w:val="006645EC"/>
    <w:rsid w:val="0068781D"/>
    <w:rsid w:val="006959B0"/>
    <w:rsid w:val="006B3E27"/>
    <w:rsid w:val="006B6507"/>
    <w:rsid w:val="006C104C"/>
    <w:rsid w:val="006C632E"/>
    <w:rsid w:val="00717FB3"/>
    <w:rsid w:val="00730446"/>
    <w:rsid w:val="00733704"/>
    <w:rsid w:val="00770948"/>
    <w:rsid w:val="0078071A"/>
    <w:rsid w:val="00787022"/>
    <w:rsid w:val="00787E1E"/>
    <w:rsid w:val="007A0459"/>
    <w:rsid w:val="00852A9A"/>
    <w:rsid w:val="008E1D62"/>
    <w:rsid w:val="008F49E1"/>
    <w:rsid w:val="0090370F"/>
    <w:rsid w:val="009269D2"/>
    <w:rsid w:val="00942135"/>
    <w:rsid w:val="009521B0"/>
    <w:rsid w:val="00957437"/>
    <w:rsid w:val="00982139"/>
    <w:rsid w:val="009867A8"/>
    <w:rsid w:val="00991F44"/>
    <w:rsid w:val="0099598B"/>
    <w:rsid w:val="009A0CFB"/>
    <w:rsid w:val="009A7E9F"/>
    <w:rsid w:val="009C17EC"/>
    <w:rsid w:val="009E5018"/>
    <w:rsid w:val="00A03700"/>
    <w:rsid w:val="00A053F2"/>
    <w:rsid w:val="00A12B37"/>
    <w:rsid w:val="00A54828"/>
    <w:rsid w:val="00A62949"/>
    <w:rsid w:val="00A97E1F"/>
    <w:rsid w:val="00AB512E"/>
    <w:rsid w:val="00AB6758"/>
    <w:rsid w:val="00AB727F"/>
    <w:rsid w:val="00AE76F5"/>
    <w:rsid w:val="00B05C54"/>
    <w:rsid w:val="00B13763"/>
    <w:rsid w:val="00B477A4"/>
    <w:rsid w:val="00B54045"/>
    <w:rsid w:val="00B63ADD"/>
    <w:rsid w:val="00BB09A0"/>
    <w:rsid w:val="00C175A6"/>
    <w:rsid w:val="00C41DCF"/>
    <w:rsid w:val="00C42AF7"/>
    <w:rsid w:val="00C438D7"/>
    <w:rsid w:val="00C62C20"/>
    <w:rsid w:val="00C66DAA"/>
    <w:rsid w:val="00C81B50"/>
    <w:rsid w:val="00C902EF"/>
    <w:rsid w:val="00CB0011"/>
    <w:rsid w:val="00CB6622"/>
    <w:rsid w:val="00CB7BD0"/>
    <w:rsid w:val="00CD1801"/>
    <w:rsid w:val="00CE6B26"/>
    <w:rsid w:val="00CF0CF8"/>
    <w:rsid w:val="00CF56F9"/>
    <w:rsid w:val="00CF65C6"/>
    <w:rsid w:val="00D00A89"/>
    <w:rsid w:val="00D10EF1"/>
    <w:rsid w:val="00D42810"/>
    <w:rsid w:val="00D60DD5"/>
    <w:rsid w:val="00D74E72"/>
    <w:rsid w:val="00D914A7"/>
    <w:rsid w:val="00DC4D4B"/>
    <w:rsid w:val="00DD13C3"/>
    <w:rsid w:val="00DD596E"/>
    <w:rsid w:val="00DD621E"/>
    <w:rsid w:val="00DE50B1"/>
    <w:rsid w:val="00DE5512"/>
    <w:rsid w:val="00DF0138"/>
    <w:rsid w:val="00DF0575"/>
    <w:rsid w:val="00E2228E"/>
    <w:rsid w:val="00E70E04"/>
    <w:rsid w:val="00E77E6C"/>
    <w:rsid w:val="00E83ED5"/>
    <w:rsid w:val="00EC05A7"/>
    <w:rsid w:val="00EC4B6B"/>
    <w:rsid w:val="00EC68A5"/>
    <w:rsid w:val="00ED7442"/>
    <w:rsid w:val="00EF1EE5"/>
    <w:rsid w:val="00EF5C43"/>
    <w:rsid w:val="00F10DAB"/>
    <w:rsid w:val="00F41276"/>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667532"/>
  <w15:docId w15:val="{92E199E6-95B3-45E9-B772-F8840A9D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14E5-3B05-4C9C-B3C8-BEF1D8E9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1923</Words>
  <Characters>13639</Characters>
  <Application>Microsoft Office Word</Application>
  <DocSecurity>0</DocSecurity>
  <Lines>1948</Lines>
  <Paragraphs>1111</Paragraphs>
  <ScaleCrop>false</ScaleCrop>
  <HeadingPairs>
    <vt:vector size="2" baseType="variant">
      <vt:variant>
        <vt:lpstr>Title</vt:lpstr>
      </vt:variant>
      <vt:variant>
        <vt:i4>1</vt:i4>
      </vt:variant>
    </vt:vector>
  </HeadingPairs>
  <TitlesOfParts>
    <vt:vector size="1" baseType="lpstr">
      <vt:lpstr>CCPR/C/129/D/2404/2014</vt:lpstr>
    </vt:vector>
  </TitlesOfParts>
  <Company>DCM</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CCPR/C/129/D/2404/2014</dc:title>
  <dc:subject>GE.2103003(A)</dc:subject>
  <dc:creator>Ihab RIZ -</dc:creator>
  <cp:keywords>GE.2105516(A)</cp:keywords>
  <dc:description>General_x000d_
_x000d_
Arabic_x000d_
English</dc:description>
  <cp:lastModifiedBy>Gamal MAHMOUD</cp:lastModifiedBy>
  <cp:revision>2</cp:revision>
  <cp:lastPrinted>2021-04-12T11:14:00Z</cp:lastPrinted>
  <dcterms:created xsi:type="dcterms:W3CDTF">2021-04-12T14:00:00Z</dcterms:created>
  <dcterms:modified xsi:type="dcterms:W3CDTF">2021-04-12T14:00:00Z</dcterms:modified>
  <cp:category>Finale</cp:category>
</cp:coreProperties>
</file>