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07581CC3" w14:textId="77777777" w:rsidTr="005B51C4">
        <w:trPr>
          <w:trHeight w:hRule="exact" w:val="851"/>
        </w:trPr>
        <w:tc>
          <w:tcPr>
            <w:tcW w:w="1274" w:type="dxa"/>
            <w:tcBorders>
              <w:bottom w:val="single" w:sz="4" w:space="0" w:color="auto"/>
            </w:tcBorders>
            <w:shd w:val="clear" w:color="auto" w:fill="auto"/>
          </w:tcPr>
          <w:p w14:paraId="4530327B" w14:textId="77777777" w:rsidR="006B3E27" w:rsidRPr="002A03EE"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14:paraId="650D778A"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50AFE7B0" w14:textId="77777777" w:rsidR="006B3E27" w:rsidRPr="005B51C4" w:rsidRDefault="002A03EE" w:rsidP="005F42ED">
            <w:pPr>
              <w:bidi w:val="0"/>
              <w:spacing w:after="20"/>
              <w:jc w:val="left"/>
              <w:rPr>
                <w:szCs w:val="20"/>
              </w:rPr>
            </w:pPr>
            <w:r w:rsidRPr="002A03EE">
              <w:rPr>
                <w:sz w:val="40"/>
                <w:szCs w:val="20"/>
              </w:rPr>
              <w:t>CCPR</w:t>
            </w:r>
            <w:r>
              <w:rPr>
                <w:szCs w:val="20"/>
              </w:rPr>
              <w:t>/C/</w:t>
            </w:r>
            <w:r w:rsidRPr="00BC0701">
              <w:rPr>
                <w:szCs w:val="20"/>
              </w:rPr>
              <w:t>128</w:t>
            </w:r>
            <w:r>
              <w:rPr>
                <w:szCs w:val="20"/>
              </w:rPr>
              <w:t>/D/</w:t>
            </w:r>
            <w:r w:rsidRPr="00BC0701">
              <w:rPr>
                <w:szCs w:val="20"/>
              </w:rPr>
              <w:t>2057</w:t>
            </w:r>
            <w:r>
              <w:rPr>
                <w:szCs w:val="20"/>
              </w:rPr>
              <w:t>/</w:t>
            </w:r>
            <w:r w:rsidRPr="00BC0701">
              <w:rPr>
                <w:szCs w:val="20"/>
              </w:rPr>
              <w:t>2011</w:t>
            </w:r>
          </w:p>
        </w:tc>
      </w:tr>
      <w:tr w:rsidR="006B3E27" w:rsidRPr="00ED7442" w14:paraId="0A7A33D5" w14:textId="77777777" w:rsidTr="005B51C4">
        <w:trPr>
          <w:trHeight w:hRule="exact" w:val="2835"/>
        </w:trPr>
        <w:tc>
          <w:tcPr>
            <w:tcW w:w="1274" w:type="dxa"/>
            <w:tcBorders>
              <w:top w:val="single" w:sz="4" w:space="0" w:color="auto"/>
              <w:bottom w:val="single" w:sz="12" w:space="0" w:color="auto"/>
            </w:tcBorders>
            <w:shd w:val="clear" w:color="auto" w:fill="auto"/>
          </w:tcPr>
          <w:p w14:paraId="5A5425CD" w14:textId="2B08C066" w:rsidR="006B3E27" w:rsidRPr="005B51C4" w:rsidRDefault="007F375B" w:rsidP="005B51C4">
            <w:pPr>
              <w:jc w:val="center"/>
              <w:rPr>
                <w:sz w:val="56"/>
                <w:szCs w:val="56"/>
                <w:rtl/>
              </w:rPr>
            </w:pPr>
            <w:r>
              <w:rPr>
                <w:noProof/>
                <w:sz w:val="56"/>
                <w:szCs w:val="56"/>
              </w:rPr>
              <w:drawing>
                <wp:inline distT="0" distB="0" distL="0" distR="0" wp14:anchorId="19394B2E" wp14:editId="226F8331">
                  <wp:extent cx="629920"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0960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93B15D1"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AC0E5CB" w14:textId="77777777" w:rsidR="006B3E27" w:rsidRDefault="005F42ED" w:rsidP="005F42ED">
            <w:pPr>
              <w:bidi w:val="0"/>
              <w:spacing w:before="240"/>
              <w:jc w:val="left"/>
              <w:rPr>
                <w:szCs w:val="20"/>
              </w:rPr>
            </w:pPr>
            <w:r>
              <w:rPr>
                <w:szCs w:val="20"/>
              </w:rPr>
              <w:t>Distr.: General</w:t>
            </w:r>
          </w:p>
          <w:p w14:paraId="753C61AD" w14:textId="77777777" w:rsidR="005F42ED" w:rsidRDefault="005F42ED" w:rsidP="005F42ED">
            <w:pPr>
              <w:bidi w:val="0"/>
              <w:jc w:val="left"/>
              <w:rPr>
                <w:szCs w:val="20"/>
              </w:rPr>
            </w:pPr>
            <w:r w:rsidRPr="00BC0701">
              <w:rPr>
                <w:szCs w:val="20"/>
              </w:rPr>
              <w:t>21</w:t>
            </w:r>
            <w:r>
              <w:rPr>
                <w:szCs w:val="20"/>
              </w:rPr>
              <w:t xml:space="preserve"> May </w:t>
            </w:r>
            <w:r w:rsidRPr="00BC0701">
              <w:rPr>
                <w:szCs w:val="20"/>
              </w:rPr>
              <w:t>2020</w:t>
            </w:r>
          </w:p>
          <w:p w14:paraId="287C2E3F" w14:textId="77777777" w:rsidR="005F42ED" w:rsidRDefault="005F42ED" w:rsidP="005F42ED">
            <w:pPr>
              <w:bidi w:val="0"/>
              <w:jc w:val="left"/>
              <w:rPr>
                <w:szCs w:val="20"/>
              </w:rPr>
            </w:pPr>
            <w:r>
              <w:rPr>
                <w:szCs w:val="20"/>
              </w:rPr>
              <w:t>Arabic</w:t>
            </w:r>
          </w:p>
          <w:p w14:paraId="3F06FF3A" w14:textId="77777777" w:rsidR="005F42ED" w:rsidRPr="005B51C4" w:rsidRDefault="005F42ED" w:rsidP="005F42ED">
            <w:pPr>
              <w:bidi w:val="0"/>
              <w:jc w:val="left"/>
              <w:rPr>
                <w:szCs w:val="20"/>
              </w:rPr>
            </w:pPr>
            <w:r>
              <w:rPr>
                <w:szCs w:val="20"/>
              </w:rPr>
              <w:t>Original: English</w:t>
            </w:r>
          </w:p>
        </w:tc>
      </w:tr>
    </w:tbl>
    <w:p w14:paraId="2651EAB0" w14:textId="77777777" w:rsidR="005F42ED" w:rsidRPr="00BC0701" w:rsidRDefault="005F42ED" w:rsidP="005F42ED">
      <w:pPr>
        <w:spacing w:before="120" w:line="360" w:lineRule="exact"/>
        <w:textDirection w:val="tbRlV"/>
        <w:rPr>
          <w:rFonts w:eastAsiaTheme="minorEastAsia"/>
          <w:b/>
          <w:sz w:val="28"/>
          <w:szCs w:val="24"/>
          <w:lang w:val="ar-SA" w:eastAsia="zh-TW" w:bidi="en-GB"/>
        </w:rPr>
      </w:pPr>
      <w:r w:rsidRPr="00BC0701">
        <w:rPr>
          <w:rFonts w:eastAsiaTheme="minorEastAsia"/>
          <w:b/>
          <w:bCs/>
          <w:sz w:val="24"/>
          <w:szCs w:val="34"/>
          <w:rtl/>
        </w:rPr>
        <w:t>اللجنة المعنية بحقوق الإنسان</w:t>
      </w:r>
    </w:p>
    <w:p w14:paraId="2FA51CD5" w14:textId="6DA5874A" w:rsidR="005F42ED" w:rsidRPr="00BC0701" w:rsidRDefault="005F42ED" w:rsidP="005F42ED">
      <w:pPr>
        <w:pStyle w:val="HChGA"/>
        <w:rPr>
          <w:rFonts w:eastAsiaTheme="minorEastAsia"/>
          <w:sz w:val="20"/>
          <w:szCs w:val="20"/>
          <w:lang w:eastAsia="zh-TW" w:bidi="en-GB"/>
        </w:rPr>
      </w:pPr>
      <w:r w:rsidRPr="00BC0701">
        <w:rPr>
          <w:rFonts w:eastAsiaTheme="minorEastAsia"/>
          <w:rtl/>
        </w:rPr>
        <w:tab/>
      </w:r>
      <w:r w:rsidRPr="00BC0701">
        <w:rPr>
          <w:rFonts w:eastAsiaTheme="minorEastAsia"/>
          <w:rtl/>
        </w:rPr>
        <w:tab/>
        <w:t>قرار اتخذته اللجنة بموجب البروتوكول الاختياري، بشأن البلاغ رقم</w:t>
      </w:r>
      <w:r w:rsidR="00BC0701">
        <w:rPr>
          <w:rFonts w:eastAsiaTheme="minorEastAsia" w:hint="cs"/>
          <w:rtl/>
        </w:rPr>
        <w:t> </w:t>
      </w:r>
      <w:r w:rsidR="00EB12E6">
        <w:rPr>
          <w:rFonts w:eastAsiaTheme="minorEastAsia" w:hint="cs"/>
          <w:szCs w:val="28"/>
          <w:rtl/>
        </w:rPr>
        <w:t>2057</w:t>
      </w:r>
      <w:r w:rsidRPr="00BC0701">
        <w:rPr>
          <w:rFonts w:eastAsiaTheme="minorEastAsia"/>
          <w:szCs w:val="20"/>
          <w:rtl/>
        </w:rPr>
        <w:t>/</w:t>
      </w:r>
      <w:r w:rsidR="00EB12E6">
        <w:rPr>
          <w:rFonts w:eastAsiaTheme="minorEastAsia" w:hint="cs"/>
          <w:szCs w:val="28"/>
          <w:rtl/>
        </w:rPr>
        <w:t>2011</w:t>
      </w:r>
      <w:r w:rsidR="00BC0701" w:rsidRPr="00BC0701">
        <w:rPr>
          <w:rStyle w:val="FootnoteReference"/>
          <w:rFonts w:eastAsiaTheme="minorEastAsia"/>
          <w:sz w:val="20"/>
          <w:vertAlign w:val="baseline"/>
          <w:rtl/>
          <w:lang w:eastAsia="zh-TW"/>
        </w:rPr>
        <w:footnoteReference w:customMarkFollows="1" w:id="1"/>
        <w:t>*</w:t>
      </w:r>
      <w:r w:rsidR="00BC0701" w:rsidRPr="00BC0701">
        <w:rPr>
          <w:rFonts w:eastAsiaTheme="minorEastAsia"/>
          <w:sz w:val="20"/>
          <w:szCs w:val="20"/>
          <w:lang w:eastAsia="zh-TW" w:bidi="en-GB"/>
        </w:rPr>
        <w:t xml:space="preserve"> </w:t>
      </w:r>
      <w:r w:rsidR="00BC0701" w:rsidRPr="00BC0701">
        <w:rPr>
          <w:rStyle w:val="FootnoteReference"/>
          <w:rFonts w:eastAsiaTheme="minorEastAsia"/>
          <w:sz w:val="20"/>
          <w:vertAlign w:val="baseline"/>
          <w:rtl/>
          <w:lang w:eastAsia="zh-TW"/>
        </w:rPr>
        <w:footnoteReference w:customMarkFollows="1" w:id="2"/>
        <w:t>**</w:t>
      </w:r>
    </w:p>
    <w:p w14:paraId="6C4FE860" w14:textId="77777777" w:rsidR="005F42ED" w:rsidRPr="00BC0701" w:rsidRDefault="005F42ED" w:rsidP="005F42ED">
      <w:pPr>
        <w:pStyle w:val="SingleTxtGA"/>
        <w:tabs>
          <w:tab w:val="clear" w:pos="1928"/>
          <w:tab w:val="clear" w:pos="2608"/>
          <w:tab w:val="clear" w:pos="3289"/>
          <w:tab w:val="clear" w:pos="3969"/>
          <w:tab w:val="clear" w:pos="4649"/>
          <w:tab w:val="left" w:pos="4193"/>
        </w:tabs>
        <w:ind w:left="4207" w:hanging="2279"/>
        <w:rPr>
          <w:rFonts w:eastAsiaTheme="minorEastAsia"/>
          <w:szCs w:val="20"/>
          <w:lang w:val="ar-SA" w:eastAsia="zh-TW" w:bidi="en-GB"/>
        </w:rPr>
      </w:pPr>
      <w:r w:rsidRPr="00BC0701">
        <w:rPr>
          <w:rFonts w:eastAsiaTheme="minorEastAsia"/>
          <w:i/>
          <w:iCs/>
          <w:rtl/>
        </w:rPr>
        <w:t>بلاغ مقدم من:</w:t>
      </w:r>
      <w:r w:rsidRPr="00BC0701">
        <w:rPr>
          <w:rFonts w:eastAsiaTheme="minorEastAsia"/>
          <w:rtl/>
        </w:rPr>
        <w:tab/>
        <w:t xml:space="preserve">ف. ب. </w:t>
      </w:r>
    </w:p>
    <w:p w14:paraId="50929246" w14:textId="77777777" w:rsidR="005F42ED" w:rsidRPr="00BC0701" w:rsidRDefault="005F42ED" w:rsidP="005F42ED">
      <w:pPr>
        <w:pStyle w:val="SingleTxtGA"/>
        <w:tabs>
          <w:tab w:val="clear" w:pos="1928"/>
          <w:tab w:val="clear" w:pos="2608"/>
          <w:tab w:val="clear" w:pos="3289"/>
          <w:tab w:val="clear" w:pos="3969"/>
          <w:tab w:val="clear" w:pos="4649"/>
          <w:tab w:val="left" w:pos="4193"/>
        </w:tabs>
        <w:ind w:left="4207" w:hanging="2279"/>
        <w:rPr>
          <w:rFonts w:eastAsiaTheme="minorEastAsia"/>
          <w:szCs w:val="20"/>
          <w:lang w:val="ar-SA" w:eastAsia="zh-TW" w:bidi="en-GB"/>
        </w:rPr>
      </w:pPr>
      <w:r w:rsidRPr="00BC0701">
        <w:rPr>
          <w:rFonts w:eastAsiaTheme="minorEastAsia"/>
          <w:i/>
          <w:iCs/>
          <w:rtl/>
        </w:rPr>
        <w:t>الشخص المدعى أنه ضحية:</w:t>
      </w:r>
      <w:r w:rsidRPr="00BC0701">
        <w:rPr>
          <w:rFonts w:eastAsiaTheme="minorEastAsia"/>
          <w:rtl/>
        </w:rPr>
        <w:tab/>
        <w:t>صاحب البلاغ</w:t>
      </w:r>
    </w:p>
    <w:p w14:paraId="22027ABF" w14:textId="77777777" w:rsidR="005F42ED" w:rsidRPr="00BC0701" w:rsidRDefault="005F42ED" w:rsidP="005F42ED">
      <w:pPr>
        <w:pStyle w:val="SingleTxtGA"/>
        <w:tabs>
          <w:tab w:val="clear" w:pos="1928"/>
          <w:tab w:val="clear" w:pos="2608"/>
          <w:tab w:val="clear" w:pos="3289"/>
          <w:tab w:val="clear" w:pos="3969"/>
          <w:tab w:val="clear" w:pos="4649"/>
          <w:tab w:val="left" w:pos="4193"/>
        </w:tabs>
        <w:ind w:left="4207" w:hanging="2279"/>
        <w:rPr>
          <w:rFonts w:eastAsiaTheme="minorEastAsia"/>
          <w:szCs w:val="20"/>
          <w:lang w:eastAsia="zh-TW" w:bidi="en-GB"/>
        </w:rPr>
      </w:pPr>
      <w:r w:rsidRPr="00BC0701">
        <w:rPr>
          <w:rFonts w:eastAsiaTheme="minorEastAsia"/>
          <w:i/>
          <w:iCs/>
          <w:rtl/>
        </w:rPr>
        <w:t>الدولة الطرف:</w:t>
      </w:r>
      <w:r w:rsidRPr="00BC0701">
        <w:rPr>
          <w:rFonts w:eastAsiaTheme="minorEastAsia"/>
          <w:rtl/>
        </w:rPr>
        <w:tab/>
        <w:t>بيلاروس</w:t>
      </w:r>
    </w:p>
    <w:p w14:paraId="542BB9C4" w14:textId="77777777" w:rsidR="005F42ED" w:rsidRPr="00BC0701" w:rsidRDefault="005F42ED" w:rsidP="005F42ED">
      <w:pPr>
        <w:pStyle w:val="SingleTxtGA"/>
        <w:tabs>
          <w:tab w:val="clear" w:pos="1928"/>
          <w:tab w:val="clear" w:pos="2608"/>
          <w:tab w:val="clear" w:pos="3289"/>
          <w:tab w:val="clear" w:pos="3969"/>
          <w:tab w:val="clear" w:pos="4649"/>
          <w:tab w:val="left" w:pos="4193"/>
        </w:tabs>
        <w:ind w:left="4207" w:hanging="2279"/>
        <w:rPr>
          <w:rFonts w:eastAsiaTheme="minorEastAsia"/>
          <w:szCs w:val="20"/>
          <w:lang w:val="ar-SA" w:eastAsia="zh-TW" w:bidi="en-GB"/>
        </w:rPr>
      </w:pPr>
      <w:r w:rsidRPr="00BC0701">
        <w:rPr>
          <w:rFonts w:eastAsiaTheme="minorEastAsia"/>
          <w:i/>
          <w:iCs/>
          <w:rtl/>
        </w:rPr>
        <w:t>تاريخ تقديم البلاغ:</w:t>
      </w:r>
      <w:r w:rsidRPr="00BC0701">
        <w:rPr>
          <w:rFonts w:eastAsiaTheme="minorEastAsia"/>
          <w:rtl/>
        </w:rPr>
        <w:tab/>
      </w:r>
      <w:r w:rsidRPr="00BC0701">
        <w:rPr>
          <w:rFonts w:eastAsiaTheme="minorEastAsia"/>
          <w:szCs w:val="20"/>
          <w:rtl/>
        </w:rPr>
        <w:t>17</w:t>
      </w:r>
      <w:r w:rsidRPr="00BC0701">
        <w:rPr>
          <w:rFonts w:eastAsiaTheme="minorEastAsia"/>
          <w:rtl/>
        </w:rPr>
        <w:t xml:space="preserve"> أيار/مايو </w:t>
      </w:r>
      <w:r w:rsidRPr="00BC0701">
        <w:rPr>
          <w:rFonts w:eastAsiaTheme="minorEastAsia"/>
          <w:szCs w:val="20"/>
          <w:rtl/>
        </w:rPr>
        <w:t>2010 (</w:t>
      </w:r>
      <w:r w:rsidRPr="00BC0701">
        <w:rPr>
          <w:rFonts w:eastAsiaTheme="minorEastAsia"/>
          <w:rtl/>
        </w:rPr>
        <w:t>تاريخ تقديم الرسالة الأولى</w:t>
      </w:r>
      <w:r w:rsidRPr="00BC0701">
        <w:rPr>
          <w:rFonts w:eastAsiaTheme="minorEastAsia"/>
          <w:szCs w:val="20"/>
          <w:rtl/>
        </w:rPr>
        <w:t>)</w:t>
      </w:r>
    </w:p>
    <w:p w14:paraId="2C827FE0" w14:textId="77777777" w:rsidR="005F42ED" w:rsidRPr="00EB12E6" w:rsidRDefault="005F42ED" w:rsidP="005F42ED">
      <w:pPr>
        <w:pStyle w:val="SingleTxtGA"/>
        <w:tabs>
          <w:tab w:val="clear" w:pos="1928"/>
          <w:tab w:val="clear" w:pos="2608"/>
          <w:tab w:val="clear" w:pos="3289"/>
          <w:tab w:val="clear" w:pos="3969"/>
          <w:tab w:val="clear" w:pos="4649"/>
          <w:tab w:val="left" w:pos="4193"/>
        </w:tabs>
        <w:ind w:left="4207" w:hanging="2279"/>
        <w:rPr>
          <w:rFonts w:eastAsiaTheme="minorEastAsia"/>
          <w:szCs w:val="20"/>
          <w:lang w:eastAsia="zh-TW" w:bidi="en-GB"/>
        </w:rPr>
      </w:pPr>
      <w:r w:rsidRPr="00BC0701">
        <w:rPr>
          <w:rFonts w:eastAsiaTheme="minorEastAsia"/>
          <w:i/>
          <w:iCs/>
          <w:rtl/>
        </w:rPr>
        <w:t>الوثائق المرجعية:</w:t>
      </w:r>
      <w:r w:rsidRPr="00BC0701">
        <w:rPr>
          <w:rFonts w:eastAsiaTheme="minorEastAsia"/>
          <w:rtl/>
        </w:rPr>
        <w:tab/>
        <w:t xml:space="preserve">القرار المتخذ بموجب المادة </w:t>
      </w:r>
      <w:r w:rsidRPr="00BC0701">
        <w:rPr>
          <w:rFonts w:eastAsiaTheme="minorEastAsia"/>
          <w:szCs w:val="20"/>
          <w:rtl/>
        </w:rPr>
        <w:t>92</w:t>
      </w:r>
      <w:r w:rsidRPr="00BC0701">
        <w:rPr>
          <w:rFonts w:eastAsiaTheme="minorEastAsia"/>
          <w:rtl/>
        </w:rPr>
        <w:t xml:space="preserve"> من النظام الداخلي للجنة، والمحال إلى الدولة الطرف في </w:t>
      </w:r>
      <w:r w:rsidRPr="00BC0701">
        <w:rPr>
          <w:rFonts w:eastAsiaTheme="minorEastAsia"/>
          <w:szCs w:val="20"/>
          <w:rtl/>
        </w:rPr>
        <w:t>2</w:t>
      </w:r>
      <w:r w:rsidRPr="00BC0701">
        <w:rPr>
          <w:rFonts w:eastAsiaTheme="minorEastAsia"/>
          <w:rtl/>
        </w:rPr>
        <w:t xml:space="preserve"> أيار/مايو </w:t>
      </w:r>
      <w:r w:rsidRPr="00BC0701">
        <w:rPr>
          <w:rFonts w:eastAsiaTheme="minorEastAsia"/>
          <w:szCs w:val="20"/>
          <w:rtl/>
        </w:rPr>
        <w:t>2011 (</w:t>
      </w:r>
      <w:r w:rsidRPr="00BC0701">
        <w:rPr>
          <w:rFonts w:eastAsiaTheme="minorEastAsia"/>
          <w:rtl/>
        </w:rPr>
        <w:t>لم يصدر في شكل وثيقة</w:t>
      </w:r>
      <w:r w:rsidRPr="00BC0701">
        <w:rPr>
          <w:rFonts w:eastAsiaTheme="minorEastAsia"/>
          <w:szCs w:val="20"/>
          <w:rtl/>
        </w:rPr>
        <w:t>)</w:t>
      </w:r>
    </w:p>
    <w:p w14:paraId="25708EE4" w14:textId="77777777" w:rsidR="005F42ED" w:rsidRPr="00BC0701" w:rsidRDefault="005F42ED" w:rsidP="005F42ED">
      <w:pPr>
        <w:pStyle w:val="SingleTxtGA"/>
        <w:tabs>
          <w:tab w:val="clear" w:pos="1928"/>
          <w:tab w:val="clear" w:pos="2608"/>
          <w:tab w:val="clear" w:pos="3289"/>
          <w:tab w:val="clear" w:pos="3969"/>
          <w:tab w:val="clear" w:pos="4649"/>
          <w:tab w:val="left" w:pos="4193"/>
        </w:tabs>
        <w:ind w:left="4207" w:hanging="2279"/>
        <w:rPr>
          <w:rFonts w:eastAsiaTheme="minorEastAsia"/>
          <w:szCs w:val="20"/>
          <w:lang w:val="ar-SA" w:eastAsia="zh-TW" w:bidi="en-GB"/>
        </w:rPr>
      </w:pPr>
      <w:r w:rsidRPr="00BC0701">
        <w:rPr>
          <w:rFonts w:eastAsiaTheme="minorEastAsia"/>
          <w:i/>
          <w:iCs/>
          <w:rtl/>
        </w:rPr>
        <w:t>تاريخ اعتماد القرار:</w:t>
      </w:r>
      <w:r w:rsidRPr="00BC0701">
        <w:rPr>
          <w:rFonts w:eastAsiaTheme="minorEastAsia"/>
          <w:rtl/>
        </w:rPr>
        <w:tab/>
      </w:r>
      <w:r w:rsidRPr="00BC0701">
        <w:rPr>
          <w:rFonts w:eastAsiaTheme="minorEastAsia"/>
          <w:szCs w:val="20"/>
          <w:rtl/>
        </w:rPr>
        <w:t>13</w:t>
      </w:r>
      <w:r w:rsidRPr="00BC0701">
        <w:rPr>
          <w:rFonts w:eastAsiaTheme="minorEastAsia"/>
          <w:rtl/>
        </w:rPr>
        <w:t xml:space="preserve"> آذار/مارس </w:t>
      </w:r>
      <w:r w:rsidRPr="00BC0701">
        <w:rPr>
          <w:rFonts w:eastAsiaTheme="minorEastAsia"/>
          <w:szCs w:val="20"/>
          <w:rtl/>
        </w:rPr>
        <w:t>2020</w:t>
      </w:r>
    </w:p>
    <w:p w14:paraId="6A26847C" w14:textId="77777777" w:rsidR="005F42ED" w:rsidRPr="00BC0701" w:rsidRDefault="005F42ED" w:rsidP="005F42ED">
      <w:pPr>
        <w:pStyle w:val="SingleTxtGA"/>
        <w:tabs>
          <w:tab w:val="clear" w:pos="1928"/>
          <w:tab w:val="clear" w:pos="2608"/>
          <w:tab w:val="clear" w:pos="3289"/>
          <w:tab w:val="clear" w:pos="3969"/>
          <w:tab w:val="clear" w:pos="4649"/>
          <w:tab w:val="left" w:pos="4193"/>
        </w:tabs>
        <w:ind w:left="4207" w:hanging="2279"/>
        <w:rPr>
          <w:rFonts w:eastAsiaTheme="minorEastAsia"/>
          <w:szCs w:val="20"/>
          <w:lang w:val="ar-SA" w:eastAsia="zh-TW" w:bidi="en-GB"/>
        </w:rPr>
      </w:pPr>
      <w:r w:rsidRPr="00BC0701">
        <w:rPr>
          <w:rFonts w:eastAsiaTheme="minorEastAsia"/>
          <w:i/>
          <w:iCs/>
          <w:rtl/>
        </w:rPr>
        <w:t>الموضوع:</w:t>
      </w:r>
      <w:r w:rsidRPr="00BC0701">
        <w:rPr>
          <w:rFonts w:eastAsiaTheme="minorEastAsia"/>
          <w:rtl/>
        </w:rPr>
        <w:tab/>
        <w:t xml:space="preserve">استحالة الطعن في قرار محكمة ابتدائية في نزاع الانتخابات؛ عدم إجراء محاكمة عادلة؛ عدم وجود سبل انتصاف فعالة </w:t>
      </w:r>
    </w:p>
    <w:p w14:paraId="62B58A12" w14:textId="112D5113" w:rsidR="005F42ED" w:rsidRPr="00BC0701" w:rsidRDefault="005F42ED" w:rsidP="005F42ED">
      <w:pPr>
        <w:pStyle w:val="SingleTxtGA"/>
        <w:tabs>
          <w:tab w:val="clear" w:pos="1928"/>
          <w:tab w:val="clear" w:pos="2608"/>
          <w:tab w:val="clear" w:pos="3289"/>
          <w:tab w:val="clear" w:pos="3969"/>
          <w:tab w:val="clear" w:pos="4649"/>
          <w:tab w:val="left" w:pos="4193"/>
        </w:tabs>
        <w:ind w:left="4207" w:hanging="2279"/>
        <w:rPr>
          <w:rFonts w:eastAsiaTheme="minorEastAsia"/>
          <w:szCs w:val="20"/>
          <w:lang w:val="ar-SA" w:eastAsia="zh-TW" w:bidi="en-GB"/>
        </w:rPr>
      </w:pPr>
      <w:r w:rsidRPr="00BC0701">
        <w:rPr>
          <w:rFonts w:eastAsiaTheme="minorEastAsia"/>
          <w:i/>
          <w:iCs/>
          <w:rtl/>
        </w:rPr>
        <w:t>المسائل الإجرائية</w:t>
      </w:r>
      <w:r w:rsidRPr="00BC0701">
        <w:rPr>
          <w:rFonts w:eastAsiaTheme="minorEastAsia" w:hint="cs"/>
          <w:i/>
          <w:iCs/>
          <w:sz w:val="28"/>
          <w:rtl/>
        </w:rPr>
        <w:t>:</w:t>
      </w:r>
      <w:r w:rsidRPr="00BC0701">
        <w:rPr>
          <w:rFonts w:eastAsiaTheme="minorEastAsia"/>
          <w:rtl/>
        </w:rPr>
        <w:tab/>
        <w:t xml:space="preserve">استنفاد سبل الانتصاف المحلية؛ دعم الادعاءات بأدلة؛ </w:t>
      </w:r>
      <w:dir w:val="rtl">
        <w:r w:rsidRPr="00BC0701">
          <w:rPr>
            <w:rFonts w:eastAsiaTheme="minorEastAsia"/>
            <w:rtl/>
          </w:rPr>
          <w:t>المقبولية من حيث الاختصاص الشخصي</w:t>
        </w:r>
        <w:r w:rsidRPr="00BC0701">
          <w:rPr>
            <w:rFonts w:eastAsiaTheme="minorEastAsia" w:cs="Times New Roman" w:hint="cs"/>
            <w:rtl/>
          </w:rPr>
          <w:t>‬</w:t>
        </w:r>
        <w:r w:rsidRPr="00BC0701">
          <w:rPr>
            <w:rFonts w:eastAsiaTheme="minorEastAsia"/>
          </w:rPr>
          <w:t>‬</w:t>
        </w:r>
      </w:dir>
    </w:p>
    <w:p w14:paraId="697ECC7F" w14:textId="696AB5A5" w:rsidR="005F42ED" w:rsidRPr="00BC0701" w:rsidRDefault="005F42ED" w:rsidP="005F42ED">
      <w:pPr>
        <w:pStyle w:val="SingleTxtGA"/>
        <w:tabs>
          <w:tab w:val="clear" w:pos="1928"/>
          <w:tab w:val="clear" w:pos="2608"/>
          <w:tab w:val="clear" w:pos="3289"/>
          <w:tab w:val="clear" w:pos="3969"/>
          <w:tab w:val="clear" w:pos="4649"/>
          <w:tab w:val="left" w:pos="4193"/>
        </w:tabs>
        <w:ind w:left="4207" w:hanging="2279"/>
        <w:rPr>
          <w:rFonts w:eastAsiaTheme="minorEastAsia"/>
          <w:szCs w:val="20"/>
          <w:lang w:val="ar-SA" w:eastAsia="zh-TW" w:bidi="en-GB"/>
        </w:rPr>
      </w:pPr>
      <w:r w:rsidRPr="00BC0701">
        <w:rPr>
          <w:rFonts w:eastAsiaTheme="minorEastAsia"/>
          <w:i/>
          <w:iCs/>
          <w:rtl/>
        </w:rPr>
        <w:t>المسائل الموضوعية</w:t>
      </w:r>
      <w:r w:rsidR="00BC0701" w:rsidRPr="00BC0701">
        <w:rPr>
          <w:rFonts w:eastAsiaTheme="minorEastAsia" w:hint="cs"/>
          <w:i/>
          <w:iCs/>
          <w:sz w:val="28"/>
          <w:rtl/>
        </w:rPr>
        <w:t>:</w:t>
      </w:r>
      <w:r w:rsidRPr="00BC0701">
        <w:rPr>
          <w:rFonts w:eastAsiaTheme="minorEastAsia"/>
          <w:rtl/>
        </w:rPr>
        <w:tab/>
        <w:t xml:space="preserve">الحق في محاكمة </w:t>
      </w:r>
      <w:bookmarkStart w:id="0" w:name="_GoBack"/>
      <w:bookmarkEnd w:id="0"/>
      <w:r w:rsidRPr="00BC0701">
        <w:rPr>
          <w:rFonts w:eastAsiaTheme="minorEastAsia"/>
          <w:rtl/>
        </w:rPr>
        <w:t>عادلة؛ الحق في سبيل انتصاف فعال</w:t>
      </w:r>
    </w:p>
    <w:p w14:paraId="40781CEC" w14:textId="475A4DDD" w:rsidR="005F42ED" w:rsidRPr="00BC0701" w:rsidRDefault="005F42ED" w:rsidP="005F42ED">
      <w:pPr>
        <w:pStyle w:val="SingleTxtGA"/>
        <w:tabs>
          <w:tab w:val="clear" w:pos="1928"/>
          <w:tab w:val="clear" w:pos="2608"/>
          <w:tab w:val="clear" w:pos="3289"/>
          <w:tab w:val="clear" w:pos="3969"/>
          <w:tab w:val="clear" w:pos="4649"/>
          <w:tab w:val="left" w:pos="4193"/>
        </w:tabs>
        <w:ind w:left="4207" w:hanging="2279"/>
        <w:rPr>
          <w:rFonts w:eastAsiaTheme="minorEastAsia"/>
          <w:szCs w:val="20"/>
          <w:lang w:eastAsia="zh-TW" w:bidi="en-GB"/>
        </w:rPr>
      </w:pPr>
      <w:r w:rsidRPr="00BC0701">
        <w:rPr>
          <w:rFonts w:eastAsiaTheme="minorEastAsia"/>
          <w:i/>
          <w:iCs/>
          <w:rtl/>
        </w:rPr>
        <w:t>مواد العهد</w:t>
      </w:r>
      <w:r w:rsidR="00BC0701" w:rsidRPr="00BC0701">
        <w:rPr>
          <w:rFonts w:eastAsiaTheme="minorEastAsia" w:hint="cs"/>
          <w:i/>
          <w:iCs/>
          <w:sz w:val="28"/>
          <w:rtl/>
        </w:rPr>
        <w:t>:</w:t>
      </w:r>
      <w:r w:rsidRPr="00BC0701">
        <w:rPr>
          <w:rFonts w:eastAsiaTheme="minorEastAsia"/>
          <w:rtl/>
        </w:rPr>
        <w:tab/>
      </w:r>
      <w:r w:rsidRPr="00BC0701">
        <w:rPr>
          <w:rFonts w:eastAsiaTheme="minorEastAsia"/>
          <w:szCs w:val="20"/>
          <w:rtl/>
        </w:rPr>
        <w:t>2(2)</w:t>
      </w:r>
      <w:r w:rsidRPr="00BC0701">
        <w:rPr>
          <w:rFonts w:eastAsiaTheme="minorEastAsia"/>
          <w:rtl/>
        </w:rPr>
        <w:t xml:space="preserve"> و</w:t>
      </w:r>
      <w:r w:rsidRPr="00BC0701">
        <w:rPr>
          <w:rFonts w:eastAsiaTheme="minorEastAsia"/>
          <w:szCs w:val="20"/>
          <w:rtl/>
        </w:rPr>
        <w:t>(3)</w:t>
      </w:r>
      <w:r w:rsidRPr="00BC0701">
        <w:rPr>
          <w:rFonts w:eastAsiaTheme="minorEastAsia"/>
          <w:rtl/>
        </w:rPr>
        <w:t xml:space="preserve"> </w:t>
      </w:r>
      <w:r w:rsidRPr="00BC0701">
        <w:rPr>
          <w:rFonts w:eastAsiaTheme="minorEastAsia"/>
          <w:sz w:val="28"/>
          <w:rtl/>
          <w:lang w:val="fr-CH"/>
        </w:rPr>
        <w:t>و</w:t>
      </w:r>
      <w:r w:rsidRPr="00BC0701">
        <w:rPr>
          <w:rFonts w:eastAsiaTheme="minorEastAsia"/>
          <w:szCs w:val="20"/>
          <w:rtl/>
          <w:lang w:val="fr-CH"/>
        </w:rPr>
        <w:t>14(1)</w:t>
      </w:r>
    </w:p>
    <w:p w14:paraId="5AFA5C14" w14:textId="2FDD0EE1" w:rsidR="005F42ED" w:rsidRPr="00EB12E6" w:rsidRDefault="005F42ED" w:rsidP="005F42ED">
      <w:pPr>
        <w:pStyle w:val="SingleTxtGA"/>
        <w:tabs>
          <w:tab w:val="clear" w:pos="1928"/>
          <w:tab w:val="clear" w:pos="2608"/>
          <w:tab w:val="clear" w:pos="3289"/>
          <w:tab w:val="clear" w:pos="3969"/>
          <w:tab w:val="clear" w:pos="4649"/>
          <w:tab w:val="left" w:pos="4193"/>
        </w:tabs>
        <w:ind w:left="4207" w:hanging="2279"/>
        <w:rPr>
          <w:rFonts w:eastAsiaTheme="minorEastAsia"/>
          <w:szCs w:val="20"/>
          <w:lang w:eastAsia="zh-TW" w:bidi="en-GB"/>
        </w:rPr>
      </w:pPr>
      <w:r w:rsidRPr="00BC0701">
        <w:rPr>
          <w:rFonts w:eastAsiaTheme="minorEastAsia"/>
          <w:i/>
          <w:iCs/>
          <w:rtl/>
        </w:rPr>
        <w:t>مواد البروتوكول الاختياري:</w:t>
      </w:r>
      <w:r w:rsidRPr="00BC0701">
        <w:rPr>
          <w:rFonts w:eastAsiaTheme="minorEastAsia"/>
          <w:rtl/>
        </w:rPr>
        <w:tab/>
      </w:r>
      <w:r w:rsidRPr="00BC0701">
        <w:rPr>
          <w:rFonts w:eastAsiaTheme="minorEastAsia"/>
          <w:szCs w:val="20"/>
          <w:rtl/>
        </w:rPr>
        <w:t>2</w:t>
      </w:r>
      <w:r w:rsidRPr="00BC0701">
        <w:rPr>
          <w:rFonts w:eastAsiaTheme="minorEastAsia"/>
          <w:rtl/>
        </w:rPr>
        <w:t xml:space="preserve"> و</w:t>
      </w:r>
      <w:r w:rsidRPr="00BC0701">
        <w:rPr>
          <w:rFonts w:eastAsiaTheme="minorEastAsia"/>
          <w:szCs w:val="20"/>
          <w:rtl/>
        </w:rPr>
        <w:t>3</w:t>
      </w:r>
      <w:r w:rsidRPr="00BC0701">
        <w:rPr>
          <w:rFonts w:eastAsiaTheme="minorEastAsia"/>
          <w:rtl/>
        </w:rPr>
        <w:t xml:space="preserve"> و</w:t>
      </w:r>
      <w:r w:rsidRPr="00BC0701">
        <w:rPr>
          <w:rFonts w:eastAsiaTheme="minorEastAsia"/>
          <w:szCs w:val="20"/>
          <w:rtl/>
        </w:rPr>
        <w:t>5</w:t>
      </w:r>
      <w:r w:rsidRPr="00BC0701">
        <w:rPr>
          <w:rFonts w:eastAsiaTheme="minorEastAsia"/>
          <w:sz w:val="28"/>
          <w:rtl/>
        </w:rPr>
        <w:t xml:space="preserve"> </w:t>
      </w:r>
      <w:r w:rsidRPr="00BC0701">
        <w:rPr>
          <w:rFonts w:eastAsiaTheme="minorEastAsia"/>
          <w:szCs w:val="20"/>
          <w:rtl/>
        </w:rPr>
        <w:t>(2)(</w:t>
      </w:r>
      <w:r w:rsidRPr="00BC0701">
        <w:rPr>
          <w:rFonts w:eastAsiaTheme="minorEastAsia"/>
          <w:rtl/>
        </w:rPr>
        <w:t>ب</w:t>
      </w:r>
      <w:r w:rsidRPr="00BC0701">
        <w:rPr>
          <w:rFonts w:eastAsiaTheme="minorEastAsia"/>
          <w:szCs w:val="20"/>
          <w:rtl/>
        </w:rPr>
        <w:t>)</w:t>
      </w:r>
      <w:r w:rsidR="00EB12E6">
        <w:rPr>
          <w:rFonts w:eastAsiaTheme="minorEastAsia"/>
          <w:szCs w:val="20"/>
          <w:lang w:eastAsia="zh-TW" w:bidi="en-GB"/>
        </w:rPr>
        <w:t xml:space="preserve"> </w:t>
      </w:r>
    </w:p>
    <w:p w14:paraId="51AB5D02" w14:textId="1D876D9F" w:rsidR="005F42ED" w:rsidRPr="00BC0701" w:rsidRDefault="005F42ED" w:rsidP="00BC0701">
      <w:pPr>
        <w:pStyle w:val="SingleTxtGA"/>
        <w:rPr>
          <w:rFonts w:eastAsiaTheme="minorEastAsia"/>
          <w:lang w:val="ar-SA" w:eastAsia="zh-TW" w:bidi="en-GB"/>
        </w:rPr>
      </w:pPr>
      <w:r w:rsidRPr="00BC0701">
        <w:rPr>
          <w:rFonts w:eastAsiaTheme="minorEastAsia"/>
          <w:szCs w:val="20"/>
          <w:rtl/>
        </w:rPr>
        <w:t>1</w:t>
      </w:r>
      <w:r w:rsidRPr="00BC0701">
        <w:rPr>
          <w:rFonts w:eastAsiaTheme="minorEastAsia"/>
          <w:rtl/>
        </w:rPr>
        <w:t>-</w:t>
      </w:r>
      <w:r w:rsidRPr="00BC0701">
        <w:rPr>
          <w:rFonts w:eastAsiaTheme="minorEastAsia"/>
          <w:rtl/>
        </w:rPr>
        <w:tab/>
        <w:t xml:space="preserve">صاحب البلاغ هو ف. ب.، وهو مواطن بيلاروسي وُلِد في عام </w:t>
      </w:r>
      <w:r w:rsidRPr="00BC0701">
        <w:rPr>
          <w:rFonts w:eastAsiaTheme="minorEastAsia"/>
          <w:szCs w:val="20"/>
          <w:rtl/>
        </w:rPr>
        <w:t>1969</w:t>
      </w:r>
      <w:r w:rsidRPr="00BC0701">
        <w:rPr>
          <w:rFonts w:eastAsiaTheme="minorEastAsia"/>
          <w:rtl/>
        </w:rPr>
        <w:t xml:space="preserve">. </w:t>
      </w:r>
      <w:dir w:val="rtl">
        <w:r w:rsidRPr="00BC0701">
          <w:rPr>
            <w:rFonts w:eastAsiaTheme="minorEastAsia"/>
            <w:rtl/>
          </w:rPr>
          <w:t xml:space="preserve">وهو يدّعي أنه ضحية انتهاك بيلاروس لحقوقه بموجب المادة </w:t>
        </w:r>
        <w:r w:rsidRPr="00BC0701">
          <w:rPr>
            <w:rFonts w:eastAsiaTheme="minorEastAsia"/>
            <w:szCs w:val="20"/>
            <w:rtl/>
          </w:rPr>
          <w:t>14</w:t>
        </w:r>
        <w:r w:rsidRPr="00BC0701">
          <w:rPr>
            <w:rFonts w:eastAsiaTheme="minorEastAsia"/>
            <w:rtl/>
          </w:rPr>
          <w:t>(</w:t>
        </w:r>
        <w:r w:rsidRPr="00BC0701">
          <w:rPr>
            <w:rFonts w:eastAsiaTheme="minorEastAsia"/>
            <w:szCs w:val="20"/>
            <w:rtl/>
          </w:rPr>
          <w:t>1</w:t>
        </w:r>
        <w:r w:rsidRPr="00BC0701">
          <w:rPr>
            <w:rFonts w:eastAsiaTheme="minorEastAsia"/>
            <w:rtl/>
          </w:rPr>
          <w:t xml:space="preserve">)، مقروءة بالاقتران مع المادة </w:t>
        </w:r>
        <w:r w:rsidRPr="00BC0701">
          <w:rPr>
            <w:rFonts w:eastAsiaTheme="minorEastAsia"/>
            <w:szCs w:val="20"/>
            <w:rtl/>
          </w:rPr>
          <w:t>2</w:t>
        </w:r>
        <w:r w:rsidRPr="00BC0701">
          <w:rPr>
            <w:rFonts w:eastAsiaTheme="minorEastAsia"/>
            <w:rtl/>
          </w:rPr>
          <w:t>(</w:t>
        </w:r>
        <w:r w:rsidRPr="00BC0701">
          <w:rPr>
            <w:rFonts w:eastAsiaTheme="minorEastAsia"/>
            <w:szCs w:val="20"/>
            <w:rtl/>
          </w:rPr>
          <w:t>2</w:t>
        </w:r>
        <w:r w:rsidRPr="00BC0701">
          <w:rPr>
            <w:rFonts w:eastAsiaTheme="minorEastAsia"/>
            <w:rtl/>
          </w:rPr>
          <w:t>) و(</w:t>
        </w:r>
        <w:r w:rsidRPr="00BC0701">
          <w:rPr>
            <w:rFonts w:eastAsiaTheme="minorEastAsia"/>
            <w:szCs w:val="20"/>
            <w:rtl/>
          </w:rPr>
          <w:t>3</w:t>
        </w:r>
        <w:r w:rsidRPr="00BC0701">
          <w:rPr>
            <w:rFonts w:eastAsiaTheme="minorEastAsia"/>
            <w:rtl/>
          </w:rPr>
          <w:t>) من العهد.</w:t>
        </w:r>
        <w:r w:rsidRPr="00BC0701">
          <w:rPr>
            <w:rFonts w:eastAsiaTheme="minorEastAsia" w:cs="Times New Roman" w:hint="cs"/>
            <w:rtl/>
          </w:rPr>
          <w:t>‬</w:t>
        </w:r>
        <w:r w:rsidRPr="00BC0701">
          <w:rPr>
            <w:rFonts w:eastAsiaTheme="minorEastAsia"/>
            <w:rtl/>
          </w:rPr>
          <w:t xml:space="preserve"> </w:t>
        </w:r>
        <w:r w:rsidRPr="00BC0701">
          <w:rPr>
            <w:rFonts w:eastAsiaTheme="minorEastAsia" w:hint="cs"/>
            <w:rtl/>
          </w:rPr>
          <w:t>وقد</w:t>
        </w:r>
        <w:r w:rsidRPr="00BC0701">
          <w:rPr>
            <w:rFonts w:eastAsiaTheme="minorEastAsia"/>
            <w:rtl/>
          </w:rPr>
          <w:t xml:space="preserve"> </w:t>
        </w:r>
        <w:r w:rsidRPr="00BC0701">
          <w:rPr>
            <w:rFonts w:eastAsiaTheme="minorEastAsia" w:hint="cs"/>
            <w:rtl/>
          </w:rPr>
          <w:t>دخل</w:t>
        </w:r>
        <w:r w:rsidRPr="00BC0701">
          <w:rPr>
            <w:rFonts w:eastAsiaTheme="minorEastAsia"/>
            <w:rtl/>
          </w:rPr>
          <w:t xml:space="preserve"> </w:t>
        </w:r>
        <w:r w:rsidRPr="00BC0701">
          <w:rPr>
            <w:rFonts w:eastAsiaTheme="minorEastAsia" w:hint="cs"/>
            <w:rtl/>
          </w:rPr>
          <w:t>البروتوكول</w:t>
        </w:r>
        <w:r w:rsidRPr="00BC0701">
          <w:rPr>
            <w:rFonts w:eastAsiaTheme="minorEastAsia"/>
            <w:rtl/>
          </w:rPr>
          <w:t xml:space="preserve"> </w:t>
        </w:r>
        <w:r w:rsidRPr="00BC0701">
          <w:rPr>
            <w:rFonts w:eastAsiaTheme="minorEastAsia" w:hint="cs"/>
            <w:rtl/>
          </w:rPr>
          <w:t>الاختياري</w:t>
        </w:r>
        <w:r w:rsidRPr="00BC0701">
          <w:rPr>
            <w:rFonts w:eastAsiaTheme="minorEastAsia"/>
            <w:rtl/>
          </w:rPr>
          <w:t xml:space="preserve"> </w:t>
        </w:r>
        <w:r w:rsidRPr="00BC0701">
          <w:rPr>
            <w:rFonts w:eastAsiaTheme="minorEastAsia" w:hint="cs"/>
            <w:rtl/>
          </w:rPr>
          <w:t>حيز</w:t>
        </w:r>
        <w:r w:rsidRPr="00BC0701">
          <w:rPr>
            <w:rFonts w:eastAsiaTheme="minorEastAsia"/>
            <w:rtl/>
          </w:rPr>
          <w:t xml:space="preserve"> </w:t>
        </w:r>
        <w:r w:rsidRPr="00BC0701">
          <w:rPr>
            <w:rFonts w:eastAsiaTheme="minorEastAsia" w:hint="cs"/>
            <w:rtl/>
          </w:rPr>
          <w:t>النفاذ</w:t>
        </w:r>
        <w:r w:rsidRPr="00BC0701">
          <w:rPr>
            <w:rFonts w:eastAsiaTheme="minorEastAsia"/>
            <w:rtl/>
          </w:rPr>
          <w:t xml:space="preserve"> </w:t>
        </w:r>
        <w:r w:rsidRPr="00BC0701">
          <w:rPr>
            <w:rFonts w:eastAsiaTheme="minorEastAsia" w:hint="cs"/>
            <w:rtl/>
          </w:rPr>
          <w:t>بالنسبة</w:t>
        </w:r>
        <w:r w:rsidRPr="00BC0701">
          <w:rPr>
            <w:rFonts w:eastAsiaTheme="minorEastAsia"/>
            <w:rtl/>
          </w:rPr>
          <w:t xml:space="preserve"> </w:t>
        </w:r>
        <w:r w:rsidRPr="00BC0701">
          <w:rPr>
            <w:rFonts w:eastAsiaTheme="minorEastAsia" w:hint="cs"/>
            <w:rtl/>
          </w:rPr>
          <w:t>للدولة</w:t>
        </w:r>
        <w:r w:rsidRPr="00BC0701">
          <w:rPr>
            <w:rFonts w:eastAsiaTheme="minorEastAsia"/>
            <w:rtl/>
          </w:rPr>
          <w:t xml:space="preserve"> </w:t>
        </w:r>
        <w:r w:rsidRPr="00BC0701">
          <w:rPr>
            <w:rFonts w:eastAsiaTheme="minorEastAsia" w:hint="cs"/>
            <w:rtl/>
          </w:rPr>
          <w:t>الطرف</w:t>
        </w:r>
        <w:r w:rsidRPr="00BC0701">
          <w:rPr>
            <w:rFonts w:eastAsiaTheme="minorEastAsia"/>
            <w:rtl/>
          </w:rPr>
          <w:t xml:space="preserve"> </w:t>
        </w:r>
        <w:r w:rsidRPr="00BC0701">
          <w:rPr>
            <w:rFonts w:eastAsiaTheme="minorEastAsia" w:hint="cs"/>
            <w:rtl/>
          </w:rPr>
          <w:t>في</w:t>
        </w:r>
        <w:r w:rsidRPr="00BC0701">
          <w:rPr>
            <w:rFonts w:eastAsiaTheme="minorEastAsia"/>
            <w:rtl/>
          </w:rPr>
          <w:t xml:space="preserve"> </w:t>
        </w:r>
        <w:r w:rsidRPr="00BC0701">
          <w:rPr>
            <w:rFonts w:eastAsiaTheme="minorEastAsia"/>
            <w:szCs w:val="20"/>
            <w:rtl/>
          </w:rPr>
          <w:t>30</w:t>
        </w:r>
        <w:r w:rsidRPr="00BC0701">
          <w:rPr>
            <w:rFonts w:eastAsiaTheme="minorEastAsia"/>
            <w:rtl/>
          </w:rPr>
          <w:t xml:space="preserve"> كانون الأول/ديسمبر </w:t>
        </w:r>
        <w:r w:rsidRPr="00BC0701">
          <w:rPr>
            <w:rFonts w:eastAsiaTheme="minorEastAsia"/>
            <w:szCs w:val="20"/>
            <w:rtl/>
          </w:rPr>
          <w:t>1992</w:t>
        </w:r>
        <w:r w:rsidRPr="00BC0701">
          <w:rPr>
            <w:rFonts w:eastAsiaTheme="minorEastAsia"/>
            <w:rtl/>
          </w:rPr>
          <w:t>. ولا يمثل صاحب البلاغ محامٍ.</w:t>
        </w:r>
        <w:r w:rsidRPr="00BC0701">
          <w:rPr>
            <w:rFonts w:eastAsiaTheme="minorEastAsia"/>
          </w:rPr>
          <w:t>‬</w:t>
        </w:r>
      </w:dir>
    </w:p>
    <w:p w14:paraId="361BE53A" w14:textId="77777777" w:rsidR="005F42ED" w:rsidRPr="00BC0701" w:rsidRDefault="005F42ED" w:rsidP="00BC0701">
      <w:pPr>
        <w:pStyle w:val="H23GA"/>
        <w:rPr>
          <w:rFonts w:eastAsiaTheme="minorEastAsia"/>
          <w:szCs w:val="28"/>
          <w:lang w:val="ar-SA" w:eastAsia="zh-TW" w:bidi="en-GB"/>
        </w:rPr>
      </w:pPr>
      <w:r w:rsidRPr="00BC0701">
        <w:rPr>
          <w:rFonts w:eastAsiaTheme="minorEastAsia"/>
          <w:szCs w:val="28"/>
          <w:rtl/>
        </w:rPr>
        <w:tab/>
      </w:r>
      <w:r w:rsidRPr="00BC0701">
        <w:rPr>
          <w:rFonts w:eastAsiaTheme="minorEastAsia"/>
          <w:szCs w:val="28"/>
          <w:rtl/>
        </w:rPr>
        <w:tab/>
        <w:t>الوقائع كما عرضها صاحب البلاغ</w:t>
      </w:r>
    </w:p>
    <w:p w14:paraId="6735B131" w14:textId="085E5474" w:rsidR="005F42ED" w:rsidRPr="00BC0701" w:rsidRDefault="005F42ED" w:rsidP="00BC0701">
      <w:pPr>
        <w:pStyle w:val="SingleTxtGA"/>
        <w:rPr>
          <w:rFonts w:eastAsiaTheme="minorEastAsia"/>
          <w:lang w:eastAsia="zh-TW" w:bidi="en-GB"/>
        </w:rPr>
      </w:pPr>
      <w:r w:rsidRPr="00BC0701">
        <w:rPr>
          <w:rFonts w:eastAsiaTheme="minorEastAsia"/>
          <w:spacing w:val="-4"/>
          <w:szCs w:val="20"/>
          <w:rtl/>
        </w:rPr>
        <w:t>2</w:t>
      </w:r>
      <w:r w:rsidRPr="00BC0701">
        <w:rPr>
          <w:rFonts w:eastAsiaTheme="minorEastAsia"/>
          <w:spacing w:val="-4"/>
          <w:rtl/>
        </w:rPr>
        <w:t>-</w:t>
      </w:r>
      <w:r w:rsidRPr="00BC0701">
        <w:rPr>
          <w:rFonts w:eastAsiaTheme="minorEastAsia"/>
          <w:spacing w:val="-4"/>
          <w:szCs w:val="20"/>
          <w:rtl/>
        </w:rPr>
        <w:t>1</w:t>
      </w:r>
      <w:r w:rsidRPr="00BC0701">
        <w:rPr>
          <w:rFonts w:eastAsiaTheme="minorEastAsia"/>
          <w:spacing w:val="-4"/>
          <w:rtl/>
        </w:rPr>
        <w:tab/>
        <w:t xml:space="preserve">صاحب البلاغ عضو في الحزب المدني المتحد ورئيس شعبته الإقليمية في غوميل. وفي عام </w:t>
      </w:r>
      <w:r w:rsidRPr="00BC0701">
        <w:rPr>
          <w:rFonts w:eastAsiaTheme="minorEastAsia"/>
          <w:spacing w:val="-4"/>
          <w:szCs w:val="20"/>
          <w:rtl/>
        </w:rPr>
        <w:t>2010</w:t>
      </w:r>
      <w:r w:rsidRPr="00BC0701">
        <w:rPr>
          <w:rFonts w:eastAsiaTheme="minorEastAsia"/>
          <w:spacing w:val="-4"/>
          <w:rtl/>
        </w:rPr>
        <w:t>،</w:t>
      </w:r>
      <w:r w:rsidRPr="00BC0701">
        <w:rPr>
          <w:rFonts w:eastAsiaTheme="minorEastAsia"/>
          <w:rtl/>
        </w:rPr>
        <w:t xml:space="preserve"> انتخبت الشعبة الإقليمية للحزب في غوميل ممثلا ً لتقديمه كمرشح للجنة الانتخابية المحلية، التي كان يجري تشكيلها لانتخابات المجلس المحلي لعام </w:t>
      </w:r>
      <w:r w:rsidRPr="00BC0701">
        <w:rPr>
          <w:rFonts w:eastAsiaTheme="minorEastAsia"/>
          <w:szCs w:val="20"/>
          <w:rtl/>
        </w:rPr>
        <w:t>2010</w:t>
      </w:r>
      <w:r w:rsidRPr="00BC0701">
        <w:rPr>
          <w:rFonts w:eastAsiaTheme="minorEastAsia"/>
          <w:rtl/>
        </w:rPr>
        <w:t xml:space="preserve">. ويدفع صاحب البلاغ بأن خمسة من بين أعضاء اللجنة الثلاثة عشر ينبغي أن يكونوا ممثلي أحزاب سياسية. ولم تقترح الأحزاب السياسية سوى أربعة مرشحين، أحدهم صاحب البلاغ الذي رشحه الحزب المدني المتحد. وفي </w:t>
      </w:r>
      <w:r w:rsidRPr="00BC0701">
        <w:rPr>
          <w:rFonts w:eastAsiaTheme="minorEastAsia"/>
          <w:szCs w:val="20"/>
          <w:rtl/>
        </w:rPr>
        <w:t>28</w:t>
      </w:r>
      <w:r w:rsidRPr="00BC0701">
        <w:rPr>
          <w:rFonts w:eastAsiaTheme="minorEastAsia"/>
          <w:rtl/>
        </w:rPr>
        <w:t xml:space="preserve"> كانون الثاني/يناير </w:t>
      </w:r>
      <w:r w:rsidRPr="00BC0701">
        <w:rPr>
          <w:rFonts w:eastAsiaTheme="minorEastAsia"/>
          <w:szCs w:val="20"/>
          <w:rtl/>
        </w:rPr>
        <w:t>2010</w:t>
      </w:r>
      <w:r w:rsidRPr="00BC0701">
        <w:rPr>
          <w:rFonts w:eastAsiaTheme="minorEastAsia"/>
          <w:rtl/>
        </w:rPr>
        <w:t>، اتخذت هيئة رئاسة مجلس نواب مقاطعة غوميل واللجنة التنفيذية لغوميل قراراً بشأن تكوين اللجنة لم</w:t>
      </w:r>
      <w:r w:rsidR="00EB12E6">
        <w:rPr>
          <w:rFonts w:eastAsiaTheme="minorEastAsia" w:hint="cs"/>
          <w:rtl/>
        </w:rPr>
        <w:t> </w:t>
      </w:r>
      <w:r w:rsidRPr="00BC0701">
        <w:rPr>
          <w:rFonts w:eastAsiaTheme="minorEastAsia"/>
          <w:rtl/>
        </w:rPr>
        <w:t xml:space="preserve">يشمل ممثل الحزب المدني المتحد. </w:t>
      </w:r>
    </w:p>
    <w:p w14:paraId="11DB9DD0" w14:textId="77777777" w:rsidR="005F42ED" w:rsidRPr="00BC0701" w:rsidRDefault="005F42ED" w:rsidP="00BC0701">
      <w:pPr>
        <w:pStyle w:val="SingleTxtGA"/>
        <w:rPr>
          <w:rFonts w:eastAsiaTheme="minorEastAsia"/>
          <w:lang w:val="ar-SA" w:eastAsia="zh-TW" w:bidi="en-GB"/>
        </w:rPr>
      </w:pPr>
      <w:r w:rsidRPr="00BC0701">
        <w:rPr>
          <w:rFonts w:eastAsiaTheme="minorEastAsia"/>
          <w:szCs w:val="20"/>
          <w:rtl/>
        </w:rPr>
        <w:t>2</w:t>
      </w:r>
      <w:r w:rsidRPr="00BC0701">
        <w:rPr>
          <w:rFonts w:eastAsiaTheme="minorEastAsia"/>
          <w:rtl/>
        </w:rPr>
        <w:t>-</w:t>
      </w:r>
      <w:r w:rsidRPr="00BC0701">
        <w:rPr>
          <w:rFonts w:eastAsiaTheme="minorEastAsia"/>
          <w:szCs w:val="20"/>
          <w:rtl/>
        </w:rPr>
        <w:t>2</w:t>
      </w:r>
      <w:r w:rsidRPr="00BC0701">
        <w:rPr>
          <w:rFonts w:eastAsiaTheme="minorEastAsia"/>
          <w:rtl/>
        </w:rPr>
        <w:tab/>
        <w:t xml:space="preserve">وفي </w:t>
      </w:r>
      <w:r w:rsidRPr="00BC0701">
        <w:rPr>
          <w:rFonts w:eastAsiaTheme="minorEastAsia"/>
          <w:szCs w:val="20"/>
          <w:rtl/>
        </w:rPr>
        <w:t>30</w:t>
      </w:r>
      <w:r w:rsidRPr="00BC0701">
        <w:rPr>
          <w:rFonts w:eastAsiaTheme="minorEastAsia"/>
          <w:rtl/>
        </w:rPr>
        <w:t xml:space="preserve"> كانون الثاني/يناير </w:t>
      </w:r>
      <w:r w:rsidRPr="00BC0701">
        <w:rPr>
          <w:rFonts w:eastAsiaTheme="minorEastAsia"/>
          <w:szCs w:val="20"/>
          <w:rtl/>
        </w:rPr>
        <w:t>2010</w:t>
      </w:r>
      <w:r w:rsidRPr="00BC0701">
        <w:rPr>
          <w:rFonts w:eastAsiaTheme="minorEastAsia"/>
          <w:rtl/>
        </w:rPr>
        <w:t xml:space="preserve">، قدم صاحب البلاغ، بصفته رئيساً للشعبة الإقليمية للحزب في غوميل، شكوى أمام محكمة غوميل المحلية، نيابة عن الحزب المدني المتحد ضد القرار الذي اتخذه مجلس النواب واللجنة التنفيذية. وادعى أن حقوق الحزب قد انتُهِكت لأن ممثله لم يُدرَج في اللجنة الانتخابية للمقاطعة. وادعى أن عدم وجود ممثل لحزب ديمقراطي في اللجنة من شأنه أن يقوض العملية الانتخابية المقبلة. ورُفض طلبه في </w:t>
      </w:r>
      <w:r w:rsidRPr="00BC0701">
        <w:rPr>
          <w:rFonts w:eastAsiaTheme="minorEastAsia"/>
          <w:szCs w:val="20"/>
          <w:rtl/>
        </w:rPr>
        <w:t>4</w:t>
      </w:r>
      <w:r w:rsidRPr="00BC0701">
        <w:rPr>
          <w:rFonts w:eastAsiaTheme="minorEastAsia"/>
          <w:rtl/>
        </w:rPr>
        <w:t xml:space="preserve"> شباط/فبراير </w:t>
      </w:r>
      <w:r w:rsidRPr="00BC0701">
        <w:rPr>
          <w:rFonts w:eastAsiaTheme="minorEastAsia"/>
          <w:szCs w:val="20"/>
          <w:rtl/>
        </w:rPr>
        <w:t>2010</w:t>
      </w:r>
      <w:r w:rsidRPr="00BC0701">
        <w:rPr>
          <w:rFonts w:eastAsiaTheme="minorEastAsia"/>
          <w:rtl/>
        </w:rPr>
        <w:t xml:space="preserve">. وخلصت المحكمة المحلية إلى أن مجلس النواب واللجنة التنفيذية اتخذا قرارهما وفقاً للقانون. </w:t>
      </w:r>
    </w:p>
    <w:p w14:paraId="3141F574" w14:textId="77777777" w:rsidR="005F42ED" w:rsidRPr="00EB12E6" w:rsidRDefault="005F42ED" w:rsidP="00BC0701">
      <w:pPr>
        <w:pStyle w:val="SingleTxtGA"/>
        <w:rPr>
          <w:rFonts w:eastAsiaTheme="minorEastAsia" w:hint="cs"/>
          <w:lang w:eastAsia="zh-TW" w:bidi="en-GB"/>
        </w:rPr>
      </w:pPr>
      <w:r w:rsidRPr="00BC0701">
        <w:rPr>
          <w:rFonts w:eastAsiaTheme="minorEastAsia"/>
          <w:szCs w:val="20"/>
          <w:rtl/>
        </w:rPr>
        <w:t>2</w:t>
      </w:r>
      <w:r w:rsidRPr="00BC0701">
        <w:rPr>
          <w:rFonts w:eastAsiaTheme="minorEastAsia"/>
          <w:rtl/>
        </w:rPr>
        <w:t>-</w:t>
      </w:r>
      <w:r w:rsidRPr="00BC0701">
        <w:rPr>
          <w:rFonts w:eastAsiaTheme="minorEastAsia"/>
          <w:szCs w:val="20"/>
          <w:rtl/>
        </w:rPr>
        <w:t>3</w:t>
      </w:r>
      <w:r w:rsidRPr="00BC0701">
        <w:rPr>
          <w:rFonts w:eastAsiaTheme="minorEastAsia"/>
          <w:rtl/>
        </w:rPr>
        <w:tab/>
        <w:t xml:space="preserve">وفي </w:t>
      </w:r>
      <w:r w:rsidRPr="00BC0701">
        <w:rPr>
          <w:rFonts w:eastAsiaTheme="minorEastAsia"/>
          <w:szCs w:val="20"/>
          <w:rtl/>
        </w:rPr>
        <w:t>5</w:t>
      </w:r>
      <w:r w:rsidRPr="00BC0701">
        <w:rPr>
          <w:rFonts w:eastAsiaTheme="minorEastAsia"/>
          <w:rtl/>
        </w:rPr>
        <w:t xml:space="preserve"> شباط/فبراير </w:t>
      </w:r>
      <w:r w:rsidRPr="00BC0701">
        <w:rPr>
          <w:rFonts w:eastAsiaTheme="minorEastAsia"/>
          <w:szCs w:val="20"/>
          <w:rtl/>
        </w:rPr>
        <w:t>2010</w:t>
      </w:r>
      <w:r w:rsidRPr="00BC0701">
        <w:rPr>
          <w:rFonts w:eastAsiaTheme="minorEastAsia"/>
          <w:rtl/>
        </w:rPr>
        <w:t xml:space="preserve">، قدم صاحب البلاغ دعوى طعنٍ بالنقض إلى الهيئة المدنية </w:t>
      </w:r>
      <w:r w:rsidRPr="00BC0701">
        <w:rPr>
          <w:rFonts w:eastAsiaTheme="minorEastAsia"/>
          <w:spacing w:val="-2"/>
          <w:rtl/>
        </w:rPr>
        <w:t xml:space="preserve">بالمحكمة العليا. وفي </w:t>
      </w:r>
      <w:r w:rsidRPr="00BC0701">
        <w:rPr>
          <w:rFonts w:eastAsiaTheme="minorEastAsia"/>
          <w:spacing w:val="-2"/>
          <w:szCs w:val="20"/>
          <w:rtl/>
        </w:rPr>
        <w:t>10</w:t>
      </w:r>
      <w:r w:rsidRPr="00BC0701">
        <w:rPr>
          <w:rFonts w:eastAsiaTheme="minorEastAsia"/>
          <w:spacing w:val="-2"/>
          <w:rtl/>
        </w:rPr>
        <w:t xml:space="preserve"> شباط/فبراير </w:t>
      </w:r>
      <w:r w:rsidRPr="00BC0701">
        <w:rPr>
          <w:rFonts w:eastAsiaTheme="minorEastAsia"/>
          <w:spacing w:val="-2"/>
          <w:szCs w:val="20"/>
          <w:rtl/>
        </w:rPr>
        <w:t>2010</w:t>
      </w:r>
      <w:r w:rsidRPr="00BC0701">
        <w:rPr>
          <w:rFonts w:eastAsiaTheme="minorEastAsia"/>
          <w:spacing w:val="-2"/>
          <w:rtl/>
        </w:rPr>
        <w:t xml:space="preserve">، أبلغته محكمة غوميل الإقليمية عن طريق رسالة بأن قرار المحكمة المحلية لا يخضع للطعن بالنقض، وفقاً لأحكام المادة </w:t>
      </w:r>
      <w:r w:rsidRPr="00BC0701">
        <w:rPr>
          <w:rFonts w:eastAsiaTheme="minorEastAsia"/>
          <w:spacing w:val="-2"/>
          <w:szCs w:val="20"/>
          <w:rtl/>
        </w:rPr>
        <w:t>343</w:t>
      </w:r>
      <w:r w:rsidRPr="00BC0701">
        <w:rPr>
          <w:rFonts w:eastAsiaTheme="minorEastAsia"/>
          <w:spacing w:val="-2"/>
          <w:rtl/>
        </w:rPr>
        <w:t xml:space="preserve"> من قانون الإجراءات المدنية والمادة </w:t>
      </w:r>
      <w:r w:rsidRPr="00BC0701">
        <w:rPr>
          <w:rFonts w:eastAsiaTheme="minorEastAsia"/>
          <w:spacing w:val="-2"/>
          <w:szCs w:val="20"/>
          <w:rtl/>
        </w:rPr>
        <w:t>34</w:t>
      </w:r>
      <w:r w:rsidRPr="00BC0701">
        <w:rPr>
          <w:rFonts w:eastAsiaTheme="minorEastAsia"/>
          <w:rtl/>
        </w:rPr>
        <w:t xml:space="preserve"> من قانون الانتخابات، التي تقضي بأن قرارات المحكمة الابتدائية ضد قرار هيئة تشّكل اللجان الانتخابية تدخل حيز النفاذ فوراً ولا يجوز الطعن فيها. </w:t>
      </w:r>
    </w:p>
    <w:p w14:paraId="4A722228" w14:textId="3BE3DE89" w:rsidR="005F42ED" w:rsidRPr="00EB12E6" w:rsidRDefault="005F42ED" w:rsidP="00BC0701">
      <w:pPr>
        <w:pStyle w:val="SingleTxtGA"/>
        <w:rPr>
          <w:rFonts w:eastAsiaTheme="minorEastAsia"/>
          <w:lang w:eastAsia="zh-TW" w:bidi="en-GB"/>
        </w:rPr>
      </w:pPr>
      <w:r w:rsidRPr="00BC0701">
        <w:rPr>
          <w:rFonts w:eastAsiaTheme="minorEastAsia"/>
          <w:szCs w:val="20"/>
          <w:rtl/>
        </w:rPr>
        <w:t>2</w:t>
      </w:r>
      <w:r w:rsidRPr="00BC0701">
        <w:rPr>
          <w:rFonts w:eastAsiaTheme="minorEastAsia"/>
          <w:rtl/>
        </w:rPr>
        <w:t>-</w:t>
      </w:r>
      <w:r w:rsidRPr="00BC0701">
        <w:rPr>
          <w:rFonts w:eastAsiaTheme="minorEastAsia"/>
          <w:szCs w:val="20"/>
          <w:rtl/>
        </w:rPr>
        <w:t>4</w:t>
      </w:r>
      <w:r w:rsidRPr="00BC0701">
        <w:rPr>
          <w:rFonts w:eastAsiaTheme="minorEastAsia"/>
          <w:rtl/>
        </w:rPr>
        <w:tab/>
      </w:r>
      <w:dir w:val="rtl">
        <w:r w:rsidRPr="00BC0701">
          <w:rPr>
            <w:rFonts w:eastAsiaTheme="minorEastAsia"/>
            <w:rtl/>
          </w:rPr>
          <w:t xml:space="preserve">وفي </w:t>
        </w:r>
        <w:r w:rsidRPr="00BC0701">
          <w:rPr>
            <w:rFonts w:eastAsiaTheme="minorEastAsia"/>
            <w:szCs w:val="20"/>
            <w:rtl/>
          </w:rPr>
          <w:t>1</w:t>
        </w:r>
        <w:r w:rsidRPr="00BC0701">
          <w:rPr>
            <w:rFonts w:eastAsiaTheme="minorEastAsia"/>
            <w:rtl/>
          </w:rPr>
          <w:t xml:space="preserve"> آذار/مارس</w:t>
        </w:r>
        <w:r w:rsidR="00EB12E6">
          <w:rPr>
            <w:rFonts w:eastAsiaTheme="minorEastAsia" w:hint="cs"/>
            <w:rtl/>
          </w:rPr>
          <w:t xml:space="preserve"> </w:t>
        </w:r>
        <w:r w:rsidR="00EB12E6" w:rsidRPr="00EB12E6">
          <w:rPr>
            <w:rFonts w:eastAsiaTheme="minorEastAsia" w:hint="cs"/>
            <w:sz w:val="12"/>
            <w:szCs w:val="20"/>
            <w:rtl/>
          </w:rPr>
          <w:t>2010</w:t>
        </w:r>
        <w:r w:rsidRPr="00BC0701">
          <w:rPr>
            <w:rFonts w:eastAsiaTheme="minorEastAsia"/>
            <w:rtl/>
          </w:rPr>
          <w:t>، قدم صاحب البلاغ طعناً في إطار إجراء المراجعة القضائية إلى رئيس المحكمة العليا.</w:t>
        </w:r>
        <w:r w:rsidRPr="00BC0701">
          <w:rPr>
            <w:rFonts w:eastAsiaTheme="minorEastAsia" w:cs="Times New Roman" w:hint="cs"/>
            <w:rtl/>
          </w:rPr>
          <w:t>‬</w:t>
        </w:r>
        <w:r w:rsidRPr="00BC0701">
          <w:rPr>
            <w:rFonts w:eastAsiaTheme="minorEastAsia"/>
            <w:rtl/>
          </w:rPr>
          <w:t xml:space="preserve"> </w:t>
        </w:r>
        <w:dir w:val="rtl">
          <w:r w:rsidRPr="00BC0701">
            <w:rPr>
              <w:rFonts w:eastAsiaTheme="minorEastAsia"/>
              <w:rtl/>
            </w:rPr>
            <w:t xml:space="preserve">ورُفض طعنه في </w:t>
          </w:r>
          <w:r w:rsidRPr="00BC0701">
            <w:rPr>
              <w:rFonts w:eastAsiaTheme="minorEastAsia"/>
              <w:szCs w:val="20"/>
              <w:rtl/>
            </w:rPr>
            <w:t>19</w:t>
          </w:r>
          <w:r w:rsidRPr="00BC0701">
            <w:rPr>
              <w:rFonts w:eastAsiaTheme="minorEastAsia"/>
              <w:rtl/>
            </w:rPr>
            <w:t xml:space="preserve"> آذار/مارس </w:t>
          </w:r>
          <w:r w:rsidRPr="00BC0701">
            <w:rPr>
              <w:rFonts w:eastAsiaTheme="minorEastAsia"/>
              <w:szCs w:val="20"/>
              <w:rtl/>
            </w:rPr>
            <w:t>2010</w:t>
          </w:r>
          <w:r w:rsidRPr="00BC0701">
            <w:rPr>
              <w:rFonts w:eastAsiaTheme="minorEastAsia"/>
              <w:rtl/>
            </w:rPr>
            <w:t>.</w:t>
          </w:r>
          <w:r w:rsidRPr="00BC0701">
            <w:rPr>
              <w:rFonts w:eastAsiaTheme="minorEastAsia" w:cs="Times New Roman" w:hint="cs"/>
              <w:rtl/>
            </w:rPr>
            <w:t>‬</w:t>
          </w:r>
          <w:r w:rsidRPr="00BC0701">
            <w:rPr>
              <w:rFonts w:eastAsiaTheme="minorEastAsia"/>
              <w:rtl/>
            </w:rPr>
            <w:t xml:space="preserve"> وبعد النظر في الادعاءات الواردة في الشكوى، لم يجد نائب رئيس المحكمة العليا أسباباً لتقديم طلب احتجاج على قرار المحكمة المحلية في إطار إجراء</w:t>
          </w:r>
          <w:r w:rsidR="00BC0701">
            <w:rPr>
              <w:rFonts w:eastAsiaTheme="minorEastAsia" w:hint="cs"/>
              <w:rtl/>
            </w:rPr>
            <w:t> </w:t>
          </w:r>
          <w:r w:rsidRPr="00BC0701">
            <w:rPr>
              <w:rFonts w:eastAsiaTheme="minorEastAsia"/>
              <w:rtl/>
            </w:rPr>
            <w:t xml:space="preserve">المراجعة القضائية. وفي </w:t>
          </w:r>
          <w:r w:rsidRPr="00BC0701">
            <w:rPr>
              <w:rFonts w:eastAsiaTheme="minorEastAsia"/>
              <w:szCs w:val="20"/>
              <w:rtl/>
            </w:rPr>
            <w:t>23</w:t>
          </w:r>
          <w:r w:rsidRPr="00BC0701">
            <w:rPr>
              <w:rFonts w:eastAsiaTheme="minorEastAsia"/>
              <w:rtl/>
            </w:rPr>
            <w:t xml:space="preserve"> آذار/مارس </w:t>
          </w:r>
          <w:r w:rsidRPr="00BC0701">
            <w:rPr>
              <w:rFonts w:eastAsiaTheme="minorEastAsia"/>
              <w:szCs w:val="20"/>
              <w:rtl/>
            </w:rPr>
            <w:t>2010</w:t>
          </w:r>
          <w:r w:rsidRPr="00BC0701">
            <w:rPr>
              <w:rFonts w:eastAsiaTheme="minorEastAsia"/>
              <w:rtl/>
            </w:rPr>
            <w:t xml:space="preserve">، قدم صاحب البلاغ شكوى إلى المحكمة الدستورية. ورُفِضَت شكواه في </w:t>
          </w:r>
          <w:r w:rsidRPr="00BC0701">
            <w:rPr>
              <w:rFonts w:eastAsiaTheme="minorEastAsia"/>
              <w:szCs w:val="20"/>
              <w:rtl/>
            </w:rPr>
            <w:t>5</w:t>
          </w:r>
          <w:r w:rsidRPr="00BC0701">
            <w:rPr>
              <w:rFonts w:eastAsiaTheme="minorEastAsia"/>
              <w:rtl/>
            </w:rPr>
            <w:t xml:space="preserve"> نيسان/أبريل </w:t>
          </w:r>
          <w:r w:rsidRPr="00BC0701">
            <w:rPr>
              <w:rFonts w:eastAsiaTheme="minorEastAsia"/>
              <w:szCs w:val="20"/>
              <w:rtl/>
            </w:rPr>
            <w:t>2010</w:t>
          </w:r>
          <w:r w:rsidRPr="00BC0701">
            <w:rPr>
              <w:rFonts w:eastAsiaTheme="minorEastAsia"/>
              <w:rtl/>
            </w:rPr>
            <w:t xml:space="preserve"> لأن المحكمة الدستورية لا تنظر في الشكاوى التي يقدمها الأفراد.</w:t>
          </w:r>
          <w:r w:rsidRPr="00BC0701">
            <w:rPr>
              <w:rFonts w:eastAsiaTheme="minorEastAsia"/>
            </w:rPr>
            <w:t>‬</w:t>
          </w:r>
          <w:r w:rsidRPr="00BC0701">
            <w:rPr>
              <w:rFonts w:eastAsiaTheme="minorEastAsia"/>
            </w:rPr>
            <w:t>‬</w:t>
          </w:r>
        </w:dir>
      </w:dir>
    </w:p>
    <w:p w14:paraId="17952928" w14:textId="77777777" w:rsidR="005F42ED" w:rsidRPr="00BC0701" w:rsidRDefault="005F42ED" w:rsidP="00BC0701">
      <w:pPr>
        <w:pStyle w:val="H23GA"/>
        <w:rPr>
          <w:rFonts w:eastAsiaTheme="minorEastAsia"/>
          <w:szCs w:val="28"/>
          <w:lang w:val="ar-SA" w:eastAsia="zh-TW" w:bidi="en-GB"/>
        </w:rPr>
      </w:pPr>
      <w:r w:rsidRPr="00BC0701">
        <w:rPr>
          <w:rFonts w:eastAsiaTheme="minorEastAsia"/>
          <w:szCs w:val="28"/>
          <w:rtl/>
        </w:rPr>
        <w:tab/>
      </w:r>
      <w:r w:rsidRPr="00BC0701">
        <w:rPr>
          <w:rFonts w:eastAsiaTheme="minorEastAsia"/>
          <w:szCs w:val="28"/>
          <w:rtl/>
        </w:rPr>
        <w:tab/>
        <w:t>الشكوى</w:t>
      </w:r>
    </w:p>
    <w:p w14:paraId="5058A817" w14:textId="703AFB2B" w:rsidR="005F42ED" w:rsidRPr="00BC0701" w:rsidRDefault="005F42ED" w:rsidP="00BC0701">
      <w:pPr>
        <w:pStyle w:val="SingleTxtGA"/>
        <w:rPr>
          <w:rFonts w:eastAsiaTheme="minorEastAsia"/>
          <w:color w:val="000000"/>
          <w:lang w:val="ar-SA" w:eastAsia="zh-TW" w:bidi="en-GB"/>
        </w:rPr>
      </w:pPr>
      <w:r w:rsidRPr="00BC0701">
        <w:rPr>
          <w:rFonts w:eastAsiaTheme="minorEastAsia"/>
          <w:szCs w:val="20"/>
          <w:rtl/>
        </w:rPr>
        <w:t>3</w:t>
      </w:r>
      <w:r w:rsidRPr="00BC0701">
        <w:rPr>
          <w:rFonts w:eastAsiaTheme="minorEastAsia"/>
          <w:rtl/>
        </w:rPr>
        <w:t>-</w:t>
      </w:r>
      <w:r w:rsidRPr="00BC0701">
        <w:rPr>
          <w:rFonts w:eastAsiaTheme="minorEastAsia"/>
          <w:rtl/>
        </w:rPr>
        <w:tab/>
        <w:t xml:space="preserve">يدعي صاحب البلاغ أن رفض المحاكم المحلية إعادة النظر في طعنه بالنقض ضد قرار المحكمة الابتدائية ينتهك حقه في أن تنظر محكمة نقض مختصة ومستقلة ومحايدة في دعواه المدنية في إطار محاكمة عادلة وعلنية بموجب المادة </w:t>
      </w:r>
      <w:r w:rsidRPr="00BC0701">
        <w:rPr>
          <w:rFonts w:eastAsiaTheme="minorEastAsia"/>
          <w:szCs w:val="20"/>
          <w:rtl/>
        </w:rPr>
        <w:t>14</w:t>
      </w:r>
      <w:r w:rsidRPr="00BC0701">
        <w:rPr>
          <w:rFonts w:eastAsiaTheme="minorEastAsia"/>
          <w:rtl/>
        </w:rPr>
        <w:t>(</w:t>
      </w:r>
      <w:r w:rsidRPr="00BC0701">
        <w:rPr>
          <w:rFonts w:eastAsiaTheme="minorEastAsia"/>
          <w:szCs w:val="20"/>
          <w:rtl/>
        </w:rPr>
        <w:t>1</w:t>
      </w:r>
      <w:r w:rsidRPr="00BC0701">
        <w:rPr>
          <w:rFonts w:eastAsiaTheme="minorEastAsia"/>
          <w:rtl/>
        </w:rPr>
        <w:t xml:space="preserve">) مقروءة بالاقتران مع المادة </w:t>
      </w:r>
      <w:r w:rsidRPr="00BC0701">
        <w:rPr>
          <w:rFonts w:eastAsiaTheme="minorEastAsia"/>
          <w:szCs w:val="20"/>
          <w:rtl/>
        </w:rPr>
        <w:t>2</w:t>
      </w:r>
      <w:r w:rsidRPr="00BC0701">
        <w:rPr>
          <w:rFonts w:eastAsiaTheme="minorEastAsia"/>
          <w:rtl/>
        </w:rPr>
        <w:t>(</w:t>
      </w:r>
      <w:r w:rsidRPr="00BC0701">
        <w:rPr>
          <w:rFonts w:eastAsiaTheme="minorEastAsia"/>
          <w:szCs w:val="20"/>
          <w:rtl/>
        </w:rPr>
        <w:t>2</w:t>
      </w:r>
      <w:r w:rsidRPr="00BC0701">
        <w:rPr>
          <w:rFonts w:eastAsiaTheme="minorEastAsia"/>
          <w:rtl/>
        </w:rPr>
        <w:t>) و(</w:t>
      </w:r>
      <w:r w:rsidRPr="00BC0701">
        <w:rPr>
          <w:rFonts w:eastAsiaTheme="minorEastAsia"/>
          <w:szCs w:val="20"/>
          <w:rtl/>
        </w:rPr>
        <w:t>3</w:t>
      </w:r>
      <w:r w:rsidRPr="00BC0701">
        <w:rPr>
          <w:rFonts w:eastAsiaTheme="minorEastAsia"/>
          <w:rtl/>
        </w:rPr>
        <w:t xml:space="preserve">) من العهد. </w:t>
      </w:r>
    </w:p>
    <w:p w14:paraId="74355BE9" w14:textId="1A501C22" w:rsidR="005F42ED" w:rsidRPr="00BC0701" w:rsidRDefault="005F42ED" w:rsidP="00BC0701">
      <w:pPr>
        <w:pStyle w:val="H23GA"/>
        <w:pageBreakBefore/>
        <w:spacing w:before="120"/>
        <w:rPr>
          <w:rFonts w:eastAsiaTheme="minorEastAsia"/>
          <w:szCs w:val="28"/>
          <w:lang w:eastAsia="zh-TW" w:bidi="en-GB"/>
        </w:rPr>
      </w:pPr>
      <w:r w:rsidRPr="00BC0701">
        <w:rPr>
          <w:rFonts w:eastAsiaTheme="minorEastAsia"/>
          <w:szCs w:val="28"/>
          <w:rtl/>
        </w:rPr>
        <w:tab/>
      </w:r>
      <w:r w:rsidRPr="00BC0701">
        <w:rPr>
          <w:rFonts w:eastAsiaTheme="minorEastAsia"/>
          <w:szCs w:val="28"/>
          <w:rtl/>
        </w:rPr>
        <w:tab/>
        <w:t>ملاحظات الدولة الطرف بشأن المقبولية والأسس الموضوعية</w:t>
      </w:r>
    </w:p>
    <w:p w14:paraId="3E13E684" w14:textId="3FEEAF70" w:rsidR="005F42ED" w:rsidRPr="00BC0701" w:rsidRDefault="005F42ED" w:rsidP="00BC0701">
      <w:pPr>
        <w:pStyle w:val="SingleTxtGA"/>
        <w:rPr>
          <w:rFonts w:eastAsiaTheme="minorEastAsia"/>
          <w:color w:val="000000"/>
          <w:lang w:val="ar-SA" w:eastAsia="zh-TW" w:bidi="en-GB"/>
        </w:rPr>
      </w:pPr>
      <w:r w:rsidRPr="00BC0701">
        <w:rPr>
          <w:rFonts w:eastAsiaTheme="minorEastAsia"/>
          <w:szCs w:val="20"/>
          <w:rtl/>
        </w:rPr>
        <w:t>4</w:t>
      </w:r>
      <w:r w:rsidRPr="00BC0701">
        <w:rPr>
          <w:rFonts w:eastAsiaTheme="minorEastAsia"/>
          <w:rtl/>
        </w:rPr>
        <w:t>-</w:t>
      </w:r>
      <w:r w:rsidRPr="00BC0701">
        <w:rPr>
          <w:rFonts w:eastAsiaTheme="minorEastAsia"/>
          <w:szCs w:val="20"/>
          <w:rtl/>
        </w:rPr>
        <w:t>1</w:t>
      </w:r>
      <w:r w:rsidRPr="00BC0701">
        <w:rPr>
          <w:rFonts w:eastAsiaTheme="minorEastAsia"/>
          <w:rtl/>
        </w:rPr>
        <w:tab/>
        <w:t xml:space="preserve">قدمت الدولة الطرف ملاحظاتها في مذكرة شفوية مؤرخة </w:t>
      </w:r>
      <w:r w:rsidRPr="00BC0701">
        <w:rPr>
          <w:rFonts w:eastAsiaTheme="minorEastAsia"/>
          <w:szCs w:val="20"/>
          <w:rtl/>
        </w:rPr>
        <w:t>28</w:t>
      </w:r>
      <w:r w:rsidRPr="00BC0701">
        <w:rPr>
          <w:rFonts w:eastAsiaTheme="minorEastAsia"/>
          <w:rtl/>
        </w:rPr>
        <w:t xml:space="preserve"> كانون الأول/ديسمبر </w:t>
      </w:r>
      <w:r w:rsidRPr="00BC0701">
        <w:rPr>
          <w:rFonts w:eastAsiaTheme="minorEastAsia"/>
          <w:szCs w:val="20"/>
          <w:rtl/>
        </w:rPr>
        <w:t>2018</w:t>
      </w:r>
      <w:r w:rsidRPr="00BC0701">
        <w:rPr>
          <w:rFonts w:eastAsiaTheme="minorEastAsia"/>
          <w:rtl/>
        </w:rPr>
        <w:t xml:space="preserve">. وهي تفيد بأن صاحب البلاغ لم يستنفد سبل الانتصاف المحلية لأنه لم يقدم طلباً للمراجعة القضائية إلى مكتب المدعي العام، ولأن ادعاءاته غير مقبولة بموجب المادتين </w:t>
      </w:r>
      <w:r w:rsidRPr="00BC0701">
        <w:rPr>
          <w:rFonts w:eastAsiaTheme="minorEastAsia"/>
          <w:szCs w:val="20"/>
          <w:rtl/>
        </w:rPr>
        <w:t>2</w:t>
      </w:r>
      <w:r w:rsidRPr="00BC0701">
        <w:rPr>
          <w:rFonts w:eastAsiaTheme="minorEastAsia"/>
          <w:rtl/>
        </w:rPr>
        <w:t xml:space="preserve"> و</w:t>
      </w:r>
      <w:r w:rsidRPr="00BC0701">
        <w:rPr>
          <w:rFonts w:eastAsiaTheme="minorEastAsia"/>
          <w:szCs w:val="20"/>
          <w:rtl/>
        </w:rPr>
        <w:t>3</w:t>
      </w:r>
      <w:r w:rsidRPr="00BC0701">
        <w:rPr>
          <w:rFonts w:eastAsiaTheme="minorEastAsia"/>
          <w:rtl/>
        </w:rPr>
        <w:t xml:space="preserve"> من البروتوكول الاختياري. وتدفع الدولة الطرف بأنه على الرغم من أن قرار مجلس النواب واللجنة التنفيذية المؤرخ </w:t>
      </w:r>
      <w:r w:rsidRPr="00BC0701">
        <w:rPr>
          <w:rFonts w:eastAsiaTheme="minorEastAsia"/>
          <w:szCs w:val="20"/>
          <w:rtl/>
        </w:rPr>
        <w:t>28</w:t>
      </w:r>
      <w:r w:rsidRPr="00BC0701">
        <w:rPr>
          <w:rFonts w:eastAsiaTheme="minorEastAsia"/>
          <w:rtl/>
        </w:rPr>
        <w:t xml:space="preserve"> كانون الثاني/يناير </w:t>
      </w:r>
      <w:r w:rsidRPr="00BC0701">
        <w:rPr>
          <w:rFonts w:eastAsiaTheme="minorEastAsia"/>
          <w:szCs w:val="20"/>
          <w:rtl/>
        </w:rPr>
        <w:t>2010</w:t>
      </w:r>
      <w:r w:rsidRPr="00BC0701">
        <w:rPr>
          <w:rFonts w:eastAsiaTheme="minorEastAsia"/>
          <w:rtl/>
        </w:rPr>
        <w:t xml:space="preserve"> لم يكن خاضعاً للطعن بالنقض بموجب التشريع الذي كان سارياً في الوقت المادي، فقد كان من الممكن الطعن فيه في إطار إجراء المراجعة القضائية. ووفقاً للدولة الطرف، قام مكتب المدعي العام في الأشهر التسعة الأولى من عام </w:t>
      </w:r>
      <w:r w:rsidRPr="00BC0701">
        <w:rPr>
          <w:rFonts w:eastAsiaTheme="minorEastAsia"/>
          <w:szCs w:val="20"/>
          <w:rtl/>
        </w:rPr>
        <w:t>2018</w:t>
      </w:r>
      <w:r w:rsidRPr="00BC0701">
        <w:rPr>
          <w:rFonts w:eastAsiaTheme="minorEastAsia"/>
          <w:rtl/>
        </w:rPr>
        <w:t xml:space="preserve"> بتقديم </w:t>
      </w:r>
      <w:r w:rsidRPr="00BC0701">
        <w:rPr>
          <w:rFonts w:eastAsiaTheme="minorEastAsia"/>
          <w:szCs w:val="20"/>
          <w:rtl/>
        </w:rPr>
        <w:t>180</w:t>
      </w:r>
      <w:r w:rsidRPr="00BC0701">
        <w:rPr>
          <w:rFonts w:eastAsiaTheme="minorEastAsia"/>
          <w:rtl/>
        </w:rPr>
        <w:t xml:space="preserve"> التماساً للاحتجاج في إطار إجراء المراجعة القضائية، ونظرت المحاكم في </w:t>
      </w:r>
      <w:r w:rsidRPr="00BC0701">
        <w:rPr>
          <w:rFonts w:eastAsiaTheme="minorEastAsia"/>
          <w:szCs w:val="20"/>
          <w:rtl/>
        </w:rPr>
        <w:t>173</w:t>
      </w:r>
      <w:r w:rsidRPr="00BC0701">
        <w:rPr>
          <w:rFonts w:eastAsiaTheme="minorEastAsia"/>
          <w:rtl/>
        </w:rPr>
        <w:t xml:space="preserve"> منها. ووافقت المحاكم على </w:t>
      </w:r>
      <w:r w:rsidRPr="00BC0701">
        <w:rPr>
          <w:rFonts w:eastAsiaTheme="minorEastAsia"/>
          <w:szCs w:val="20"/>
          <w:rtl/>
        </w:rPr>
        <w:t>129</w:t>
      </w:r>
      <w:r w:rsidRPr="00BC0701">
        <w:rPr>
          <w:rFonts w:eastAsiaTheme="minorEastAsia"/>
          <w:rtl/>
        </w:rPr>
        <w:t xml:space="preserve"> طلباً للمراجعة القضائية </w:t>
      </w:r>
      <w:r w:rsidRPr="00BC0701">
        <w:rPr>
          <w:rFonts w:eastAsiaTheme="minorEastAsia"/>
          <w:sz w:val="30"/>
          <w:rtl/>
        </w:rPr>
        <w:t>(</w:t>
      </w:r>
      <w:r w:rsidRPr="00BC0701">
        <w:rPr>
          <w:rFonts w:eastAsiaTheme="minorEastAsia"/>
          <w:szCs w:val="20"/>
          <w:rtl/>
        </w:rPr>
        <w:t>74</w:t>
      </w:r>
      <w:r w:rsidR="00BC0701">
        <w:rPr>
          <w:rFonts w:ascii="Traditional Arabic" w:eastAsiaTheme="minorEastAsia" w:hAnsi="Traditional Arabic"/>
          <w:rtl/>
        </w:rPr>
        <w:t>,</w:t>
      </w:r>
      <w:r w:rsidRPr="00BC0701">
        <w:rPr>
          <w:rFonts w:eastAsiaTheme="minorEastAsia"/>
          <w:szCs w:val="20"/>
          <w:rtl/>
        </w:rPr>
        <w:t>5</w:t>
      </w:r>
      <w:r w:rsidRPr="00BC0701">
        <w:rPr>
          <w:rFonts w:eastAsiaTheme="minorEastAsia"/>
          <w:rtl/>
        </w:rPr>
        <w:t xml:space="preserve"> في المائة).</w:t>
      </w:r>
    </w:p>
    <w:p w14:paraId="1C7F2CF3" w14:textId="554370F2" w:rsidR="005F42ED" w:rsidRPr="00BC0701" w:rsidRDefault="005F42ED" w:rsidP="00BC0701">
      <w:pPr>
        <w:pStyle w:val="SingleTxtGA"/>
        <w:rPr>
          <w:rFonts w:eastAsiaTheme="minorEastAsia"/>
          <w:spacing w:val="-2"/>
          <w:lang w:val="ar-SA" w:eastAsia="zh-TW" w:bidi="en-GB"/>
        </w:rPr>
      </w:pPr>
      <w:r w:rsidRPr="00BC0701">
        <w:rPr>
          <w:rFonts w:eastAsiaTheme="minorEastAsia"/>
          <w:szCs w:val="20"/>
          <w:rtl/>
        </w:rPr>
        <w:t>4</w:t>
      </w:r>
      <w:r w:rsidRPr="00BC0701">
        <w:rPr>
          <w:rFonts w:eastAsiaTheme="minorEastAsia"/>
          <w:rtl/>
        </w:rPr>
        <w:t>-</w:t>
      </w:r>
      <w:r w:rsidRPr="00BC0701">
        <w:rPr>
          <w:rFonts w:eastAsiaTheme="minorEastAsia"/>
          <w:szCs w:val="20"/>
          <w:rtl/>
        </w:rPr>
        <w:t>2</w:t>
      </w:r>
      <w:r w:rsidRPr="00BC0701">
        <w:rPr>
          <w:rFonts w:eastAsiaTheme="minorEastAsia"/>
          <w:rtl/>
        </w:rPr>
        <w:tab/>
        <w:t xml:space="preserve">وقدم صاحب البلاغ، بصفته ممثلاً للحزب المدني المتحد، طلباً لإجراء مراجعة قضائية إلى المحكمة العليا. ورفضت المحكمة طلب صاحب البلاغ إجراء مراجعة قضائية في </w:t>
      </w:r>
      <w:r w:rsidRPr="00BC0701">
        <w:rPr>
          <w:rFonts w:eastAsiaTheme="minorEastAsia"/>
          <w:szCs w:val="20"/>
          <w:rtl/>
        </w:rPr>
        <w:t>19</w:t>
      </w:r>
      <w:r w:rsidRPr="00BC0701">
        <w:rPr>
          <w:rFonts w:eastAsiaTheme="minorEastAsia"/>
          <w:rtl/>
        </w:rPr>
        <w:t xml:space="preserve"> آذار/مارس </w:t>
      </w:r>
      <w:r w:rsidRPr="00BC0701">
        <w:rPr>
          <w:rFonts w:eastAsiaTheme="minorEastAsia"/>
          <w:szCs w:val="20"/>
          <w:rtl/>
        </w:rPr>
        <w:t>2010</w:t>
      </w:r>
      <w:r w:rsidRPr="00BC0701">
        <w:rPr>
          <w:rFonts w:eastAsiaTheme="minorEastAsia"/>
          <w:rtl/>
        </w:rPr>
        <w:t xml:space="preserve">، </w:t>
      </w:r>
      <w:r w:rsidRPr="00BC0701">
        <w:rPr>
          <w:rFonts w:eastAsiaTheme="minorEastAsia"/>
          <w:spacing w:val="-2"/>
          <w:rtl/>
        </w:rPr>
        <w:t xml:space="preserve">بعد أن تحققت من أن قرار المحكمة الابتدائية قانوني ومبرَّر. وتخلص الدولة الطرف إلى أن صاحب البلاغ قد حصل على محاكمة عادلة وأن ادعاءاته بموجب المادة </w:t>
      </w:r>
      <w:r w:rsidRPr="00BC0701">
        <w:rPr>
          <w:rFonts w:eastAsiaTheme="minorEastAsia"/>
          <w:spacing w:val="-2"/>
          <w:szCs w:val="20"/>
          <w:rtl/>
        </w:rPr>
        <w:t>14</w:t>
      </w:r>
      <w:r w:rsidRPr="00BC0701">
        <w:rPr>
          <w:rFonts w:eastAsiaTheme="minorEastAsia"/>
          <w:spacing w:val="-2"/>
          <w:rtl/>
        </w:rPr>
        <w:t>(</w:t>
      </w:r>
      <w:r w:rsidRPr="00BC0701">
        <w:rPr>
          <w:rFonts w:eastAsiaTheme="minorEastAsia"/>
          <w:spacing w:val="-2"/>
          <w:szCs w:val="20"/>
          <w:rtl/>
        </w:rPr>
        <w:t>1</w:t>
      </w:r>
      <w:r w:rsidRPr="00BC0701">
        <w:rPr>
          <w:rFonts w:eastAsiaTheme="minorEastAsia"/>
          <w:spacing w:val="-2"/>
          <w:rtl/>
        </w:rPr>
        <w:t xml:space="preserve">)، مقروءة بالاقتران مع المادة </w:t>
      </w:r>
      <w:r w:rsidRPr="00BC0701">
        <w:rPr>
          <w:rFonts w:eastAsiaTheme="minorEastAsia"/>
          <w:spacing w:val="-2"/>
          <w:szCs w:val="20"/>
          <w:rtl/>
        </w:rPr>
        <w:t>2</w:t>
      </w:r>
      <w:r w:rsidRPr="00BC0701">
        <w:rPr>
          <w:rFonts w:eastAsiaTheme="minorEastAsia"/>
          <w:spacing w:val="-2"/>
          <w:rtl/>
        </w:rPr>
        <w:t>(</w:t>
      </w:r>
      <w:r w:rsidRPr="00BC0701">
        <w:rPr>
          <w:rFonts w:eastAsiaTheme="minorEastAsia"/>
          <w:spacing w:val="-2"/>
          <w:szCs w:val="20"/>
          <w:rtl/>
        </w:rPr>
        <w:t>2</w:t>
      </w:r>
      <w:r w:rsidRPr="00BC0701">
        <w:rPr>
          <w:rFonts w:eastAsiaTheme="minorEastAsia"/>
          <w:spacing w:val="-2"/>
          <w:rtl/>
        </w:rPr>
        <w:t>) و(</w:t>
      </w:r>
      <w:r w:rsidRPr="00BC0701">
        <w:rPr>
          <w:rFonts w:eastAsiaTheme="minorEastAsia"/>
          <w:spacing w:val="-2"/>
          <w:szCs w:val="20"/>
          <w:rtl/>
        </w:rPr>
        <w:t>3</w:t>
      </w:r>
      <w:r w:rsidRPr="00BC0701">
        <w:rPr>
          <w:rFonts w:eastAsiaTheme="minorEastAsia"/>
          <w:spacing w:val="-2"/>
          <w:rtl/>
        </w:rPr>
        <w:t xml:space="preserve">) من العهد، ليست مدعومة بأدلة. </w:t>
      </w:r>
    </w:p>
    <w:p w14:paraId="55EC1555" w14:textId="77777777" w:rsidR="005F42ED" w:rsidRPr="00BC0701" w:rsidRDefault="005F42ED" w:rsidP="00BC0701">
      <w:pPr>
        <w:pStyle w:val="H23GA"/>
        <w:rPr>
          <w:rFonts w:eastAsiaTheme="minorEastAsia"/>
          <w:szCs w:val="28"/>
          <w:lang w:val="ar-SA" w:eastAsia="zh-TW" w:bidi="en-GB"/>
        </w:rPr>
      </w:pPr>
      <w:r w:rsidRPr="00BC0701">
        <w:rPr>
          <w:rFonts w:eastAsiaTheme="minorEastAsia"/>
          <w:szCs w:val="28"/>
          <w:rtl/>
        </w:rPr>
        <w:tab/>
      </w:r>
      <w:r w:rsidRPr="00BC0701">
        <w:rPr>
          <w:rFonts w:eastAsiaTheme="minorEastAsia"/>
          <w:szCs w:val="28"/>
          <w:rtl/>
        </w:rPr>
        <w:tab/>
        <w:t>تعليقات صاحب البلاغ على ملاحظات الدولة الطرف</w:t>
      </w:r>
    </w:p>
    <w:p w14:paraId="5CFB3A6A" w14:textId="77777777" w:rsidR="005F42ED" w:rsidRPr="00BC0701" w:rsidRDefault="005F42ED" w:rsidP="00BC0701">
      <w:pPr>
        <w:pStyle w:val="SingleTxtGA"/>
        <w:rPr>
          <w:rFonts w:eastAsiaTheme="minorEastAsia"/>
          <w:lang w:val="ar-SA" w:eastAsia="zh-TW" w:bidi="en-GB"/>
        </w:rPr>
      </w:pPr>
      <w:r w:rsidRPr="00BC0701">
        <w:rPr>
          <w:rFonts w:eastAsiaTheme="minorEastAsia"/>
          <w:szCs w:val="20"/>
          <w:rtl/>
        </w:rPr>
        <w:t>5</w:t>
      </w:r>
      <w:r w:rsidRPr="00BC0701">
        <w:rPr>
          <w:rFonts w:eastAsiaTheme="minorEastAsia"/>
          <w:rtl/>
        </w:rPr>
        <w:t>-</w:t>
      </w:r>
      <w:r w:rsidRPr="00BC0701">
        <w:rPr>
          <w:rFonts w:eastAsiaTheme="minorEastAsia"/>
          <w:rtl/>
        </w:rPr>
        <w:tab/>
        <w:t xml:space="preserve">في </w:t>
      </w:r>
      <w:r w:rsidRPr="00BC0701">
        <w:rPr>
          <w:rFonts w:eastAsiaTheme="minorEastAsia"/>
          <w:szCs w:val="20"/>
          <w:rtl/>
        </w:rPr>
        <w:t>15</w:t>
      </w:r>
      <w:r w:rsidRPr="00BC0701">
        <w:rPr>
          <w:rFonts w:eastAsiaTheme="minorEastAsia"/>
          <w:rtl/>
        </w:rPr>
        <w:t xml:space="preserve"> نيسان/أبريل </w:t>
      </w:r>
      <w:r w:rsidRPr="00BC0701">
        <w:rPr>
          <w:rFonts w:eastAsiaTheme="minorEastAsia"/>
          <w:szCs w:val="20"/>
          <w:rtl/>
        </w:rPr>
        <w:t>2019</w:t>
      </w:r>
      <w:r w:rsidRPr="00BC0701">
        <w:rPr>
          <w:rFonts w:eastAsiaTheme="minorEastAsia"/>
          <w:rtl/>
        </w:rPr>
        <w:t xml:space="preserve">، قدم صاحب البلاغ تعليقاته على ملاحظات الدولة الطرف بشأن المقبولية والأسس الموضوعية. وفيما يتعلق بملاحظة الدولة الطرف بأنه لم يقدم طلباً لإجراء مراجعة قضائية إلى مكتب المدعي العام، يذكر صاحب البلاغ أن السوابق القضائية للجنة تفيد بأن هذا الإجراء إجراء تقديري بطبيعته ولا يُعتبَر سبيل انتصاف فعالاً. ويشير صاحب البلاغ إلى أنه قدم طلباً لإجراء مراجعة قضائية إلى رئيس المحكمة العليا. ويشير أيضاً إلى أن البيانات الإحصائية التي قدمتها الدولة الطرف لا تشير إلى عدد طلبات الاحتجاج التي قدمها مكتب المدعي العام أو رئيس المحكمة العليا في إطار إجراء المراجعة القضائية في القضايا المدنية المتعلقة بحماية الحقوق المدنية والسياسية. </w:t>
      </w:r>
      <w:dir w:val="rtl">
        <w:r w:rsidRPr="00BC0701">
          <w:rPr>
            <w:rFonts w:eastAsiaTheme="minorEastAsia"/>
            <w:rtl/>
          </w:rPr>
          <w:t>وأفاد صاحب البلاغ بأنه ليس على علم بأي قضية من هذا القبيل.</w:t>
        </w:r>
        <w:r w:rsidRPr="00BC0701">
          <w:rPr>
            <w:rFonts w:eastAsiaTheme="minorEastAsia" w:cs="Times New Roman" w:hint="cs"/>
            <w:rtl/>
          </w:rPr>
          <w:t>‬</w:t>
        </w:r>
        <w:r w:rsidRPr="00BC0701">
          <w:rPr>
            <w:rFonts w:eastAsiaTheme="minorEastAsia"/>
          </w:rPr>
          <w:t>‬</w:t>
        </w:r>
      </w:dir>
    </w:p>
    <w:p w14:paraId="2CFCDADD" w14:textId="77777777" w:rsidR="005F42ED" w:rsidRPr="00BC0701" w:rsidRDefault="005F42ED" w:rsidP="00BC0701">
      <w:pPr>
        <w:pStyle w:val="H23GA"/>
        <w:rPr>
          <w:rFonts w:eastAsiaTheme="minorEastAsia"/>
          <w:szCs w:val="28"/>
          <w:lang w:val="ar-SA" w:eastAsia="zh-TW" w:bidi="en-GB"/>
        </w:rPr>
      </w:pPr>
      <w:r w:rsidRPr="00BC0701">
        <w:rPr>
          <w:rFonts w:eastAsiaTheme="minorEastAsia"/>
          <w:szCs w:val="28"/>
          <w:rtl/>
        </w:rPr>
        <w:tab/>
      </w:r>
      <w:r w:rsidRPr="00BC0701">
        <w:rPr>
          <w:rFonts w:eastAsiaTheme="minorEastAsia"/>
          <w:szCs w:val="28"/>
          <w:rtl/>
        </w:rPr>
        <w:tab/>
        <w:t>القضايا والإجراءات المعروضة على اللجنة</w:t>
      </w:r>
    </w:p>
    <w:p w14:paraId="7B650867" w14:textId="77777777" w:rsidR="005F42ED" w:rsidRPr="00BC0701" w:rsidRDefault="005F42ED" w:rsidP="00BC0701">
      <w:pPr>
        <w:pStyle w:val="H4GA"/>
        <w:rPr>
          <w:rFonts w:eastAsiaTheme="minorEastAsia"/>
          <w:szCs w:val="28"/>
          <w:lang w:eastAsia="zh-TW" w:bidi="en-GB"/>
        </w:rPr>
      </w:pPr>
      <w:r w:rsidRPr="00BC0701">
        <w:rPr>
          <w:rFonts w:eastAsiaTheme="minorEastAsia"/>
          <w:szCs w:val="28"/>
          <w:rtl/>
        </w:rPr>
        <w:tab/>
      </w:r>
      <w:r w:rsidRPr="00BC0701">
        <w:rPr>
          <w:rFonts w:eastAsiaTheme="minorEastAsia"/>
          <w:szCs w:val="28"/>
          <w:rtl/>
        </w:rPr>
        <w:tab/>
        <w:t>النظر في المقبولية</w:t>
      </w:r>
    </w:p>
    <w:p w14:paraId="6E00597E" w14:textId="77777777" w:rsidR="005F42ED" w:rsidRPr="00BC0701" w:rsidRDefault="005F42ED" w:rsidP="00BC0701">
      <w:pPr>
        <w:pStyle w:val="SingleTxtGA"/>
        <w:rPr>
          <w:rFonts w:eastAsiaTheme="minorEastAsia"/>
          <w:lang w:val="ar-SA" w:eastAsia="zh-TW" w:bidi="en-GB"/>
        </w:rPr>
      </w:pPr>
      <w:r w:rsidRPr="00BC0701">
        <w:rPr>
          <w:rFonts w:eastAsiaTheme="minorEastAsia"/>
          <w:szCs w:val="20"/>
          <w:rtl/>
        </w:rPr>
        <w:t>6</w:t>
      </w:r>
      <w:r w:rsidRPr="00BC0701">
        <w:rPr>
          <w:rFonts w:eastAsiaTheme="minorEastAsia"/>
          <w:rtl/>
        </w:rPr>
        <w:t>-</w:t>
      </w:r>
      <w:r w:rsidRPr="00BC0701">
        <w:rPr>
          <w:rFonts w:eastAsiaTheme="minorEastAsia"/>
          <w:szCs w:val="20"/>
          <w:rtl/>
        </w:rPr>
        <w:t>1</w:t>
      </w:r>
      <w:r w:rsidRPr="00BC0701">
        <w:rPr>
          <w:rFonts w:eastAsiaTheme="minorEastAsia"/>
          <w:rtl/>
        </w:rPr>
        <w:tab/>
        <w:t xml:space="preserve">قبل النظر في أي ادعاء يرد في بلاغ ما، يجب على اللجنة، وفقاً للمادة </w:t>
      </w:r>
      <w:r w:rsidRPr="00BC0701">
        <w:rPr>
          <w:rFonts w:eastAsiaTheme="minorEastAsia"/>
          <w:szCs w:val="20"/>
          <w:rtl/>
        </w:rPr>
        <w:t>97</w:t>
      </w:r>
      <w:r w:rsidRPr="00BC0701">
        <w:rPr>
          <w:rFonts w:eastAsiaTheme="minorEastAsia"/>
          <w:rtl/>
        </w:rPr>
        <w:t xml:space="preserve"> من نظامها الداخلي، أن تحدد ما إذا كان البلاغ مقبولاً أم لا بموجب البروتوكول الاختياري.</w:t>
      </w:r>
    </w:p>
    <w:p w14:paraId="1E761D34" w14:textId="77777777" w:rsidR="005F42ED" w:rsidRPr="00BC0701" w:rsidRDefault="005F42ED" w:rsidP="00BC0701">
      <w:pPr>
        <w:pStyle w:val="SingleTxtGA"/>
        <w:rPr>
          <w:rFonts w:eastAsiaTheme="minorEastAsia"/>
          <w:spacing w:val="-2"/>
          <w:lang w:val="ar-SA" w:eastAsia="zh-TW" w:bidi="en-GB"/>
        </w:rPr>
      </w:pPr>
      <w:r w:rsidRPr="00BC0701">
        <w:rPr>
          <w:rFonts w:eastAsiaTheme="minorEastAsia"/>
          <w:szCs w:val="20"/>
          <w:rtl/>
        </w:rPr>
        <w:t>6</w:t>
      </w:r>
      <w:r w:rsidRPr="00BC0701">
        <w:rPr>
          <w:rFonts w:eastAsiaTheme="minorEastAsia"/>
          <w:rtl/>
        </w:rPr>
        <w:t>-</w:t>
      </w:r>
      <w:r w:rsidRPr="00BC0701">
        <w:rPr>
          <w:rFonts w:eastAsiaTheme="minorEastAsia"/>
          <w:szCs w:val="20"/>
          <w:rtl/>
        </w:rPr>
        <w:t>2</w:t>
      </w:r>
      <w:r w:rsidRPr="00BC0701">
        <w:rPr>
          <w:rFonts w:eastAsiaTheme="minorEastAsia"/>
          <w:rtl/>
        </w:rPr>
        <w:tab/>
      </w:r>
      <w:r w:rsidRPr="00BC0701">
        <w:rPr>
          <w:rFonts w:eastAsiaTheme="minorEastAsia"/>
          <w:spacing w:val="-2"/>
          <w:rtl/>
        </w:rPr>
        <w:t>وقد تحققت اللجنة، وفقاً لما تقتضيه الفقرة (</w:t>
      </w:r>
      <w:r w:rsidRPr="00BC0701">
        <w:rPr>
          <w:rFonts w:eastAsiaTheme="minorEastAsia"/>
          <w:spacing w:val="-2"/>
          <w:szCs w:val="20"/>
          <w:rtl/>
        </w:rPr>
        <w:t>2</w:t>
      </w:r>
      <w:r w:rsidRPr="00BC0701">
        <w:rPr>
          <w:rFonts w:eastAsiaTheme="minorEastAsia"/>
          <w:spacing w:val="-2"/>
          <w:rtl/>
        </w:rPr>
        <w:t xml:space="preserve">) (أ) من المادة </w:t>
      </w:r>
      <w:r w:rsidRPr="00BC0701">
        <w:rPr>
          <w:rFonts w:eastAsiaTheme="minorEastAsia"/>
          <w:spacing w:val="-2"/>
          <w:szCs w:val="20"/>
          <w:rtl/>
        </w:rPr>
        <w:t>5</w:t>
      </w:r>
      <w:r w:rsidRPr="00BC0701">
        <w:rPr>
          <w:rFonts w:eastAsiaTheme="minorEastAsia"/>
          <w:spacing w:val="-2"/>
          <w:rtl/>
        </w:rPr>
        <w:t xml:space="preserve"> من البروتوكول الاختياري، من أن المسألة نفسها لا يجري بحثها في إطار إجراء آخر من إجراءات التحقيق الدولي أو التسوية الدولية.</w:t>
      </w:r>
    </w:p>
    <w:p w14:paraId="344B130E" w14:textId="31114AB0" w:rsidR="005F42ED" w:rsidRPr="00EB12E6" w:rsidRDefault="005F42ED" w:rsidP="00BC0701">
      <w:pPr>
        <w:pStyle w:val="SingleTxtGA"/>
        <w:rPr>
          <w:rFonts w:eastAsiaTheme="minorEastAsia" w:hint="cs"/>
          <w:lang w:eastAsia="zh-TW" w:bidi="en-GB"/>
        </w:rPr>
      </w:pPr>
      <w:r w:rsidRPr="00BC0701">
        <w:rPr>
          <w:rFonts w:eastAsiaTheme="minorEastAsia"/>
          <w:szCs w:val="20"/>
          <w:rtl/>
        </w:rPr>
        <w:t>6</w:t>
      </w:r>
      <w:r w:rsidRPr="00BC0701">
        <w:rPr>
          <w:rFonts w:eastAsiaTheme="minorEastAsia"/>
          <w:rtl/>
        </w:rPr>
        <w:t>-</w:t>
      </w:r>
      <w:r w:rsidRPr="00BC0701">
        <w:rPr>
          <w:rFonts w:eastAsiaTheme="minorEastAsia"/>
          <w:szCs w:val="20"/>
          <w:rtl/>
        </w:rPr>
        <w:t>3</w:t>
      </w:r>
      <w:r w:rsidRPr="00BC0701">
        <w:rPr>
          <w:rFonts w:eastAsiaTheme="minorEastAsia"/>
          <w:rtl/>
        </w:rPr>
        <w:tab/>
        <w:t xml:space="preserve">وتلاحظ اللجنة أن صاحب البلاغ ادعى أنه ضحية انتهاك لحقه بموجب المادة </w:t>
      </w:r>
      <w:r w:rsidRPr="00BC0701">
        <w:rPr>
          <w:rFonts w:eastAsiaTheme="minorEastAsia"/>
          <w:szCs w:val="20"/>
          <w:rtl/>
        </w:rPr>
        <w:t>14</w:t>
      </w:r>
      <w:r w:rsidRPr="00BC0701">
        <w:rPr>
          <w:rFonts w:eastAsiaTheme="minorEastAsia"/>
          <w:rtl/>
        </w:rPr>
        <w:t>(</w:t>
      </w:r>
      <w:r w:rsidRPr="00BC0701">
        <w:rPr>
          <w:rFonts w:eastAsiaTheme="minorEastAsia"/>
          <w:szCs w:val="20"/>
          <w:rtl/>
        </w:rPr>
        <w:t>1</w:t>
      </w:r>
      <w:r w:rsidRPr="00BC0701">
        <w:rPr>
          <w:rFonts w:eastAsiaTheme="minorEastAsia"/>
          <w:rtl/>
        </w:rPr>
        <w:t xml:space="preserve">)، مقروءة بالاقتران مع المادة </w:t>
      </w:r>
      <w:r w:rsidRPr="00BC0701">
        <w:rPr>
          <w:rFonts w:eastAsiaTheme="minorEastAsia"/>
          <w:szCs w:val="20"/>
          <w:rtl/>
        </w:rPr>
        <w:t>2</w:t>
      </w:r>
      <w:r w:rsidRPr="00BC0701">
        <w:rPr>
          <w:rFonts w:eastAsiaTheme="minorEastAsia"/>
          <w:rtl/>
        </w:rPr>
        <w:t>(</w:t>
      </w:r>
      <w:r w:rsidRPr="00BC0701">
        <w:rPr>
          <w:rFonts w:eastAsiaTheme="minorEastAsia"/>
          <w:szCs w:val="20"/>
          <w:rtl/>
        </w:rPr>
        <w:t>2</w:t>
      </w:r>
      <w:r w:rsidRPr="00BC0701">
        <w:rPr>
          <w:rFonts w:eastAsiaTheme="minorEastAsia"/>
          <w:rtl/>
        </w:rPr>
        <w:t>) و(</w:t>
      </w:r>
      <w:r w:rsidRPr="00BC0701">
        <w:rPr>
          <w:rFonts w:eastAsiaTheme="minorEastAsia"/>
          <w:szCs w:val="20"/>
          <w:rtl/>
        </w:rPr>
        <w:t>3</w:t>
      </w:r>
      <w:r w:rsidRPr="00BC0701">
        <w:rPr>
          <w:rFonts w:eastAsiaTheme="minorEastAsia"/>
          <w:rtl/>
        </w:rPr>
        <w:t xml:space="preserve">) من العهد لأنه لم يتمكن من اللجوء إلى محكمة الاستئناف (النقض). غير أن اللجنة تلاحظ أن صاحب البلاغ قدم في الإجراءات المحلية دعاوى مدنية إلى المحاكم بالنيابة عن الحزب المدني المتحد، الذي يتمتع بأهليته القانونية الخاصة، مدعياً انتهاك حقوق الحزب. ولا يوضح صاحب البلاغ كيف انتُهكت حقوقه الخاصة بموجب العهد، كما لا يوضح بالضبط أوجه القصور في الإجراءات أمام محكمة غوميل المحلية التي تشكل انتهاكاً للمادة </w:t>
      </w:r>
      <w:r w:rsidRPr="00BC0701">
        <w:rPr>
          <w:rFonts w:eastAsiaTheme="minorEastAsia"/>
          <w:szCs w:val="20"/>
          <w:rtl/>
        </w:rPr>
        <w:t>14</w:t>
      </w:r>
      <w:r w:rsidRPr="00BC0701">
        <w:rPr>
          <w:rFonts w:eastAsiaTheme="minorEastAsia"/>
          <w:rtl/>
        </w:rPr>
        <w:t>(</w:t>
      </w:r>
      <w:r w:rsidRPr="00BC0701">
        <w:rPr>
          <w:rFonts w:eastAsiaTheme="minorEastAsia"/>
          <w:szCs w:val="20"/>
          <w:rtl/>
        </w:rPr>
        <w:t>1</w:t>
      </w:r>
      <w:r w:rsidRPr="00BC0701">
        <w:rPr>
          <w:rFonts w:eastAsiaTheme="minorEastAsia"/>
          <w:rtl/>
        </w:rPr>
        <w:t xml:space="preserve">). ولذلك تعتبر اللجنة أن هذا البلاغ غير مدعوم بأدلة كافية وغير مقبول بمقتضى المادة </w:t>
      </w:r>
      <w:r w:rsidRPr="00BC0701">
        <w:rPr>
          <w:rFonts w:eastAsiaTheme="minorEastAsia"/>
          <w:szCs w:val="20"/>
          <w:rtl/>
        </w:rPr>
        <w:t>2</w:t>
      </w:r>
      <w:r w:rsidRPr="00BC0701">
        <w:rPr>
          <w:rFonts w:eastAsiaTheme="minorEastAsia"/>
          <w:rtl/>
        </w:rPr>
        <w:t xml:space="preserve"> من البروتوكول الاختياري. </w:t>
      </w:r>
    </w:p>
    <w:p w14:paraId="3F26DEA5" w14:textId="77777777" w:rsidR="005F42ED" w:rsidRPr="00BC0701" w:rsidRDefault="005F42ED" w:rsidP="00BC0701">
      <w:pPr>
        <w:pStyle w:val="SingleTxtGA"/>
        <w:rPr>
          <w:rFonts w:eastAsiaTheme="minorEastAsia"/>
          <w:lang w:eastAsia="zh-TW" w:bidi="en-GB"/>
        </w:rPr>
      </w:pPr>
      <w:r w:rsidRPr="00BC0701">
        <w:rPr>
          <w:rFonts w:eastAsiaTheme="minorEastAsia"/>
          <w:szCs w:val="20"/>
          <w:rtl/>
        </w:rPr>
        <w:t>7</w:t>
      </w:r>
      <w:r w:rsidRPr="00BC0701">
        <w:rPr>
          <w:rFonts w:eastAsiaTheme="minorEastAsia"/>
          <w:rtl/>
        </w:rPr>
        <w:t>-</w:t>
      </w:r>
      <w:r w:rsidRPr="00BC0701">
        <w:rPr>
          <w:rFonts w:eastAsiaTheme="minorEastAsia"/>
          <w:rtl/>
        </w:rPr>
        <w:tab/>
        <w:t>وبناءً عليه، تقرر اللجنة ما يلي:</w:t>
      </w:r>
    </w:p>
    <w:p w14:paraId="5138429F" w14:textId="77777777" w:rsidR="005F42ED" w:rsidRPr="00BC0701" w:rsidRDefault="005F42ED" w:rsidP="00BC0701">
      <w:pPr>
        <w:pStyle w:val="SingleTxtGA"/>
        <w:rPr>
          <w:rFonts w:eastAsiaTheme="minorEastAsia"/>
          <w:lang w:val="ar-SA" w:eastAsia="zh-TW" w:bidi="en-GB"/>
        </w:rPr>
      </w:pPr>
      <w:r w:rsidRPr="00BC0701">
        <w:rPr>
          <w:rFonts w:eastAsiaTheme="minorEastAsia"/>
          <w:rtl/>
        </w:rPr>
        <w:tab/>
        <w:t>(أ)</w:t>
      </w:r>
      <w:r w:rsidRPr="00BC0701">
        <w:rPr>
          <w:rFonts w:eastAsiaTheme="minorEastAsia"/>
          <w:rtl/>
        </w:rPr>
        <w:tab/>
        <w:t xml:space="preserve">أن البلاغ غير مقبول بموجب المادة </w:t>
      </w:r>
      <w:r w:rsidRPr="00BC0701">
        <w:rPr>
          <w:rFonts w:eastAsiaTheme="minorEastAsia"/>
          <w:szCs w:val="20"/>
          <w:rtl/>
        </w:rPr>
        <w:t>2</w:t>
      </w:r>
      <w:r w:rsidRPr="00BC0701">
        <w:rPr>
          <w:rFonts w:eastAsiaTheme="minorEastAsia"/>
          <w:rtl/>
        </w:rPr>
        <w:t xml:space="preserve"> من البروتوكول الاختياري؛</w:t>
      </w:r>
    </w:p>
    <w:p w14:paraId="7660B011" w14:textId="77777777" w:rsidR="005F42ED" w:rsidRPr="00BC0701" w:rsidRDefault="005F42ED" w:rsidP="00BC0701">
      <w:pPr>
        <w:pStyle w:val="SingleTxtGA"/>
        <w:rPr>
          <w:rFonts w:eastAsiaTheme="minorEastAsia"/>
          <w:lang w:val="ar-SA" w:eastAsia="zh-TW" w:bidi="en-GB"/>
        </w:rPr>
      </w:pPr>
      <w:r w:rsidRPr="00BC0701">
        <w:rPr>
          <w:rFonts w:eastAsiaTheme="minorEastAsia"/>
          <w:rtl/>
        </w:rPr>
        <w:tab/>
        <w:t>(ب)</w:t>
      </w:r>
      <w:r w:rsidRPr="00BC0701">
        <w:rPr>
          <w:rFonts w:eastAsiaTheme="minorEastAsia"/>
          <w:rtl/>
        </w:rPr>
        <w:tab/>
        <w:t>أن يُحال هذا القرار إلى الدولة الطرف وإلى صاحب البلاغ.</w:t>
      </w:r>
    </w:p>
    <w:p w14:paraId="25562617" w14:textId="168F4D4B" w:rsidR="005F42ED" w:rsidRPr="00BC0701" w:rsidRDefault="00BC0701" w:rsidP="00BC0701">
      <w:pPr>
        <w:spacing w:before="120"/>
        <w:jc w:val="center"/>
        <w:rPr>
          <w:rFonts w:hint="cs"/>
          <w:u w:val="single"/>
          <w:rtl/>
        </w:rPr>
      </w:pPr>
      <w:r>
        <w:rPr>
          <w:u w:val="single"/>
          <w:rtl/>
        </w:rPr>
        <w:tab/>
      </w:r>
      <w:r>
        <w:rPr>
          <w:u w:val="single"/>
          <w:rtl/>
        </w:rPr>
        <w:tab/>
      </w:r>
      <w:r>
        <w:rPr>
          <w:u w:val="single"/>
          <w:rtl/>
        </w:rPr>
        <w:tab/>
      </w:r>
    </w:p>
    <w:sectPr w:rsidR="005F42ED" w:rsidRPr="00BC0701" w:rsidSect="002A03E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120B3" w14:textId="77777777" w:rsidR="000368FA" w:rsidRPr="002901D9" w:rsidRDefault="000368FA" w:rsidP="002901D9">
      <w:pPr>
        <w:spacing w:after="60" w:line="240" w:lineRule="auto"/>
        <w:rPr>
          <w:i/>
          <w:iCs/>
        </w:rPr>
      </w:pPr>
      <w:r>
        <w:rPr>
          <w:rFonts w:hint="cs"/>
          <w:i/>
          <w:iCs/>
          <w:rtl/>
        </w:rPr>
        <w:t>الحواشي</w:t>
      </w:r>
    </w:p>
  </w:endnote>
  <w:endnote w:type="continuationSeparator" w:id="0">
    <w:p w14:paraId="30669443" w14:textId="77777777" w:rsidR="000368FA" w:rsidRDefault="000368F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DBC6" w14:textId="77777777" w:rsidR="002A03EE" w:rsidRPr="005F42ED" w:rsidRDefault="005F42ED" w:rsidP="005F42ED">
    <w:pPr>
      <w:pStyle w:val="Footer"/>
      <w:tabs>
        <w:tab w:val="right" w:pos="9598"/>
      </w:tabs>
      <w:rPr>
        <w:sz w:val="17"/>
      </w:rPr>
    </w:pPr>
    <w:r>
      <w:rPr>
        <w:sz w:val="17"/>
      </w:rPr>
      <w:t>GE.20-06887</w:t>
    </w:r>
    <w:r>
      <w:rPr>
        <w:sz w:val="17"/>
      </w:rPr>
      <w:tab/>
    </w:r>
    <w:r w:rsidRPr="005F42ED">
      <w:rPr>
        <w:b/>
        <w:sz w:val="18"/>
      </w:rPr>
      <w:fldChar w:fldCharType="begin"/>
    </w:r>
    <w:r w:rsidRPr="005F42ED">
      <w:rPr>
        <w:b/>
        <w:sz w:val="18"/>
      </w:rPr>
      <w:instrText xml:space="preserve"> PAGE  \* MERGEFORMAT </w:instrText>
    </w:r>
    <w:r w:rsidRPr="005F42ED">
      <w:rPr>
        <w:b/>
        <w:sz w:val="18"/>
      </w:rPr>
      <w:fldChar w:fldCharType="separate"/>
    </w:r>
    <w:r>
      <w:rPr>
        <w:b/>
        <w:sz w:val="18"/>
      </w:rPr>
      <w:t>2</w:t>
    </w:r>
    <w:r w:rsidRPr="005F42E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B1F1" w14:textId="77777777" w:rsidR="006959B0" w:rsidRPr="005F42ED" w:rsidRDefault="005F42ED" w:rsidP="006959B0">
    <w:pPr>
      <w:pStyle w:val="Footer"/>
      <w:tabs>
        <w:tab w:val="right" w:pos="9599"/>
      </w:tabs>
      <w:jc w:val="left"/>
      <w:rPr>
        <w:b/>
        <w:sz w:val="18"/>
        <w:lang w:val="en-US"/>
      </w:rPr>
    </w:pPr>
    <w:r w:rsidRPr="005F42ED">
      <w:rPr>
        <w:b/>
        <w:sz w:val="18"/>
        <w:lang w:val="en-US"/>
      </w:rPr>
      <w:fldChar w:fldCharType="begin"/>
    </w:r>
    <w:r w:rsidRPr="005F42ED">
      <w:rPr>
        <w:b/>
        <w:sz w:val="18"/>
        <w:lang w:val="en-US"/>
      </w:rPr>
      <w:instrText xml:space="preserve"> PAGE  \* MERGEFORMAT </w:instrText>
    </w:r>
    <w:r w:rsidRPr="005F42ED">
      <w:rPr>
        <w:b/>
        <w:sz w:val="18"/>
        <w:lang w:val="en-US"/>
      </w:rPr>
      <w:fldChar w:fldCharType="separate"/>
    </w:r>
    <w:r w:rsidRPr="005F42ED">
      <w:rPr>
        <w:b/>
        <w:noProof/>
        <w:sz w:val="18"/>
        <w:lang w:val="en-US"/>
      </w:rPr>
      <w:t>3</w:t>
    </w:r>
    <w:r w:rsidRPr="005F42ED">
      <w:rPr>
        <w:b/>
        <w:sz w:val="18"/>
        <w:lang w:val="en-US"/>
      </w:rPr>
      <w:fldChar w:fldCharType="end"/>
    </w:r>
    <w:r>
      <w:rPr>
        <w:b/>
        <w:sz w:val="18"/>
        <w:lang w:val="en-US"/>
      </w:rPr>
      <w:tab/>
    </w:r>
    <w:r>
      <w:rPr>
        <w:sz w:val="17"/>
        <w:lang w:val="en-US"/>
      </w:rPr>
      <w:t>GE.20-06887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7E0D" w14:textId="7B7064D9" w:rsidR="00DE50B1" w:rsidRDefault="002A03EE" w:rsidP="00982139">
    <w:pPr>
      <w:pStyle w:val="Footer"/>
      <w:spacing w:before="360"/>
      <w:jc w:val="right"/>
      <w:rPr>
        <w:sz w:val="20"/>
        <w:szCs w:val="20"/>
      </w:rPr>
    </w:pPr>
    <w:r>
      <w:rPr>
        <w:sz w:val="20"/>
        <w:szCs w:val="20"/>
      </w:rPr>
      <w:t>GE.20-06887</w:t>
    </w:r>
    <w:r w:rsidR="007F375B">
      <w:rPr>
        <w:noProof/>
      </w:rPr>
      <w:drawing>
        <wp:anchor distT="0" distB="0" distL="114300" distR="114300" simplePos="0" relativeHeight="251657728" behindDoc="1" locked="1" layoutInCell="0" allowOverlap="1" wp14:anchorId="168605BE" wp14:editId="19CA2815">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05D385C1" w14:textId="23EFD0AD" w:rsidR="002A03EE" w:rsidRPr="002A03EE" w:rsidRDefault="002A03EE" w:rsidP="002A03E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7F375B">
      <w:rPr>
        <w:noProof/>
      </w:rPr>
      <w:drawing>
        <wp:anchor distT="0" distB="0" distL="114300" distR="114300" simplePos="0" relativeHeight="251659776" behindDoc="0" locked="0" layoutInCell="1" allowOverlap="1" wp14:anchorId="2E970A2A" wp14:editId="2F99376B">
          <wp:simplePos x="0" y="0"/>
          <wp:positionH relativeFrom="page">
            <wp:posOffset>719455</wp:posOffset>
          </wp:positionH>
          <wp:positionV relativeFrom="page">
            <wp:posOffset>9611995</wp:posOffset>
          </wp:positionV>
          <wp:extent cx="638175"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EE29D" w14:textId="77777777" w:rsidR="000368FA" w:rsidRDefault="000368FA" w:rsidP="000437B8">
      <w:pPr>
        <w:pStyle w:val="Footer"/>
        <w:bidi/>
        <w:spacing w:after="80" w:line="200" w:lineRule="exact"/>
        <w:ind w:left="680"/>
      </w:pPr>
      <w:r>
        <w:rPr>
          <w:rtl/>
        </w:rPr>
        <w:t>__________</w:t>
      </w:r>
    </w:p>
  </w:footnote>
  <w:footnote w:type="continuationSeparator" w:id="0">
    <w:p w14:paraId="4227BF64" w14:textId="77777777" w:rsidR="000368FA" w:rsidRDefault="000368FA" w:rsidP="00656392">
      <w:pPr>
        <w:spacing w:line="240" w:lineRule="auto"/>
      </w:pPr>
      <w:r>
        <w:continuationSeparator/>
      </w:r>
    </w:p>
  </w:footnote>
  <w:footnote w:id="1">
    <w:p w14:paraId="5D8D8591" w14:textId="32566B00" w:rsidR="00BC0701" w:rsidRPr="00BC0701" w:rsidRDefault="00BC0701" w:rsidP="00BC0701">
      <w:pPr>
        <w:pStyle w:val="FootnoteText1"/>
        <w:rPr>
          <w:rFonts w:hint="cs"/>
        </w:rPr>
      </w:pPr>
      <w:r>
        <w:rPr>
          <w:rtl/>
        </w:rPr>
        <w:t>*</w:t>
      </w:r>
      <w:r>
        <w:rPr>
          <w:rtl/>
        </w:rPr>
        <w:tab/>
      </w:r>
      <w:r w:rsidRPr="00BC0701">
        <w:rPr>
          <w:sz w:val="24"/>
          <w:szCs w:val="24"/>
          <w:rtl/>
        </w:rPr>
        <w:t xml:space="preserve">اعتمدته اللجنة في دورتها </w:t>
      </w:r>
      <w:r w:rsidRPr="00BC0701">
        <w:rPr>
          <w:sz w:val="24"/>
          <w:szCs w:val="18"/>
          <w:rtl/>
        </w:rPr>
        <w:t>128</w:t>
      </w:r>
      <w:r w:rsidRPr="00BC0701">
        <w:rPr>
          <w:sz w:val="24"/>
          <w:szCs w:val="24"/>
          <w:rtl/>
        </w:rPr>
        <w:t xml:space="preserve"> (</w:t>
      </w:r>
      <w:r w:rsidRPr="00BC0701">
        <w:rPr>
          <w:sz w:val="24"/>
          <w:szCs w:val="18"/>
          <w:rtl/>
        </w:rPr>
        <w:t>2</w:t>
      </w:r>
      <w:r w:rsidRPr="00BC0701">
        <w:rPr>
          <w:sz w:val="24"/>
          <w:szCs w:val="24"/>
          <w:rtl/>
        </w:rPr>
        <w:t>-</w:t>
      </w:r>
      <w:r w:rsidRPr="00BC0701">
        <w:rPr>
          <w:sz w:val="24"/>
          <w:szCs w:val="18"/>
          <w:rtl/>
        </w:rPr>
        <w:t>27</w:t>
      </w:r>
      <w:r w:rsidRPr="00BC0701">
        <w:rPr>
          <w:sz w:val="24"/>
          <w:szCs w:val="24"/>
          <w:rtl/>
        </w:rPr>
        <w:t xml:space="preserve"> آذار/مارس </w:t>
      </w:r>
      <w:r w:rsidRPr="00BC0701">
        <w:rPr>
          <w:sz w:val="24"/>
          <w:szCs w:val="18"/>
          <w:rtl/>
        </w:rPr>
        <w:t>2020</w:t>
      </w:r>
      <w:r w:rsidRPr="00BC0701">
        <w:rPr>
          <w:sz w:val="24"/>
          <w:szCs w:val="24"/>
          <w:rtl/>
        </w:rPr>
        <w:t>).</w:t>
      </w:r>
    </w:p>
  </w:footnote>
  <w:footnote w:id="2">
    <w:p w14:paraId="51C69D7F" w14:textId="085C36AB" w:rsidR="00BC0701" w:rsidRPr="00BC0701" w:rsidRDefault="00BC0701" w:rsidP="00BC0701">
      <w:pPr>
        <w:pStyle w:val="FootnoteText1"/>
        <w:rPr>
          <w:rFonts w:hint="cs"/>
        </w:rPr>
      </w:pPr>
      <w:r>
        <w:rPr>
          <w:rtl/>
        </w:rPr>
        <w:t>**</w:t>
      </w:r>
      <w:r>
        <w:rPr>
          <w:rtl/>
        </w:rPr>
        <w:tab/>
      </w:r>
      <w:r w:rsidRPr="00785876">
        <w:rPr>
          <w:sz w:val="24"/>
          <w:szCs w:val="24"/>
          <w:rtl/>
        </w:rPr>
        <w:t>شارك أعضاء اللجنة التالية أسماؤهم في دراسة هذا البلاغ: عياض بن عاشور، وعارف بلقان، وأحمد أمين فتح الله، وكريستوف هاينس، وباماريان كواتا، ومارسيا ف. ج. كران، ودنكان لاكي موهوموزا، وفوتيني بازارتسيس، وهيرنان كيزادا كابريرا، وفاسيلكا سانسين، وخوسيه مانويل سانتوس بايس، ويوفال شاني، وإيلين تيغرودجا، وأندرياس زيمرمان، وجنتيان زيبيري.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78E4" w14:textId="77777777" w:rsidR="002A03EE" w:rsidRPr="005F42ED" w:rsidRDefault="005F42ED" w:rsidP="005F42ED">
    <w:pPr>
      <w:pStyle w:val="Header"/>
      <w:jc w:val="right"/>
    </w:pPr>
    <w:r w:rsidRPr="005F42ED">
      <w:t>CCPR/C/128/D/2057/2011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3AEF" w14:textId="77777777" w:rsidR="002A03EE" w:rsidRPr="005F42ED" w:rsidRDefault="005F42ED" w:rsidP="005F42ED">
    <w:pPr>
      <w:pStyle w:val="Header"/>
      <w:jc w:val="left"/>
    </w:pPr>
    <w:r w:rsidRPr="005F42ED">
      <w:t>CCPR/C/128/D/2057/2011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0368FA"/>
    <w:rsid w:val="000076D5"/>
    <w:rsid w:val="000368FA"/>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2A03EE"/>
    <w:rsid w:val="003260FF"/>
    <w:rsid w:val="00343D95"/>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B51C4"/>
    <w:rsid w:val="005C5878"/>
    <w:rsid w:val="005C7CEA"/>
    <w:rsid w:val="005D3C0B"/>
    <w:rsid w:val="005E5217"/>
    <w:rsid w:val="005F0FA4"/>
    <w:rsid w:val="005F30EE"/>
    <w:rsid w:val="005F42ED"/>
    <w:rsid w:val="0060473A"/>
    <w:rsid w:val="00656392"/>
    <w:rsid w:val="0068781D"/>
    <w:rsid w:val="006959B0"/>
    <w:rsid w:val="006B3E27"/>
    <w:rsid w:val="006B6507"/>
    <w:rsid w:val="006C104C"/>
    <w:rsid w:val="00733704"/>
    <w:rsid w:val="0078071A"/>
    <w:rsid w:val="00787E1E"/>
    <w:rsid w:val="007F375B"/>
    <w:rsid w:val="00852A9A"/>
    <w:rsid w:val="008F49E1"/>
    <w:rsid w:val="0090370F"/>
    <w:rsid w:val="009269D2"/>
    <w:rsid w:val="00942135"/>
    <w:rsid w:val="009521B0"/>
    <w:rsid w:val="00982139"/>
    <w:rsid w:val="009867A8"/>
    <w:rsid w:val="009A7E9F"/>
    <w:rsid w:val="009E5018"/>
    <w:rsid w:val="00A03700"/>
    <w:rsid w:val="00A12B37"/>
    <w:rsid w:val="00AB6758"/>
    <w:rsid w:val="00B13763"/>
    <w:rsid w:val="00B477A4"/>
    <w:rsid w:val="00B54045"/>
    <w:rsid w:val="00BC0701"/>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B12E6"/>
    <w:rsid w:val="00EC05A7"/>
    <w:rsid w:val="00EC4B6B"/>
    <w:rsid w:val="00ED7442"/>
    <w:rsid w:val="00EE0648"/>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CC98F0F"/>
  <w15:docId w15:val="{3974DEBB-716D-466B-B45E-5C824C50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5F42ED"/>
    <w:pPr>
      <w:keepNext/>
      <w:keepLines/>
      <w:tabs>
        <w:tab w:val="right" w:pos="851"/>
      </w:tabs>
      <w:bidi w:val="0"/>
      <w:spacing w:before="360" w:after="240" w:line="300" w:lineRule="exact"/>
      <w:ind w:left="1134" w:right="1134" w:hanging="1134"/>
      <w:jc w:val="left"/>
    </w:pPr>
    <w:rPr>
      <w:rFonts w:eastAsia="SimSun" w:hAnsi="Calibri" w:hint="cs"/>
      <w:b/>
      <w:sz w:val="28"/>
      <w:lang w:val="en-GB" w:eastAsia="zh-CN"/>
    </w:rPr>
  </w:style>
  <w:style w:type="paragraph" w:customStyle="1" w:styleId="H23G">
    <w:name w:val="_ H_2/3_G"/>
    <w:basedOn w:val="Normal"/>
    <w:next w:val="Normal"/>
    <w:rsid w:val="005F42ED"/>
    <w:pPr>
      <w:keepNext/>
      <w:keepLines/>
      <w:tabs>
        <w:tab w:val="right" w:pos="851"/>
      </w:tabs>
      <w:bidi w:val="0"/>
      <w:spacing w:before="240" w:after="120" w:line="240" w:lineRule="exact"/>
      <w:ind w:left="1134" w:right="1134" w:hanging="1134"/>
      <w:jc w:val="left"/>
    </w:pPr>
    <w:rPr>
      <w:rFonts w:eastAsia="SimSun" w:hAnsi="Calibri" w:hint="cs"/>
      <w:b/>
      <w:lang w:val="en-GB" w:eastAsia="zh-CN"/>
    </w:rPr>
  </w:style>
  <w:style w:type="paragraph" w:customStyle="1" w:styleId="SingleTxtG">
    <w:name w:val="_ Single Txt_G"/>
    <w:basedOn w:val="Normal"/>
    <w:link w:val="SingleTxtGChar"/>
    <w:rsid w:val="005F42ED"/>
    <w:pPr>
      <w:bidi w:val="0"/>
      <w:spacing w:after="120" w:line="240" w:lineRule="auto"/>
      <w:ind w:left="1134" w:right="1134"/>
      <w:jc w:val="both"/>
    </w:pPr>
    <w:rPr>
      <w:rFonts w:eastAsia="SimSun" w:hAnsi="Calibri"/>
      <w:lang w:val="en-GB" w:eastAsia="zh-CN"/>
    </w:rPr>
  </w:style>
  <w:style w:type="character" w:customStyle="1" w:styleId="SingleTxtGChar">
    <w:name w:val="_ Single Txt_G Char"/>
    <w:link w:val="SingleTxtG"/>
    <w:locked/>
    <w:rsid w:val="005F42ED"/>
    <w:rPr>
      <w:rFonts w:ascii="Times New Roman" w:eastAsia="SimSun" w:cs="Traditional Arabic"/>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1542-FE03-4957-A70B-4C7E379A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1107</Words>
  <Characters>5548</Characters>
  <Application>Microsoft Office Word</Application>
  <DocSecurity>0</DocSecurity>
  <Lines>221</Lines>
  <Paragraphs>190</Paragraphs>
  <ScaleCrop>false</ScaleCrop>
  <HeadingPairs>
    <vt:vector size="2" baseType="variant">
      <vt:variant>
        <vt:lpstr>Title</vt:lpstr>
      </vt:variant>
      <vt:variant>
        <vt:i4>1</vt:i4>
      </vt:variant>
    </vt:vector>
  </HeadingPairs>
  <TitlesOfParts>
    <vt:vector size="1" baseType="lpstr">
      <vt:lpstr>CCPR/C/128/D/2057/2011</vt:lpstr>
    </vt:vector>
  </TitlesOfParts>
  <Company>DCM</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CCPR/C/128/D/2057/2011</dc:title>
  <dc:subject>GE. 2006887</dc:subject>
  <dc:creator>IBAL</dc:creator>
  <cp:keywords>ODS No.</cp:keywords>
  <dc:description>Distribution:_x000d_
Original: English_x000d_
Date:</dc:description>
  <cp:lastModifiedBy>Ibrahim Balan</cp:lastModifiedBy>
  <cp:revision>2</cp:revision>
  <dcterms:created xsi:type="dcterms:W3CDTF">2020-05-28T14:09:00Z</dcterms:created>
  <dcterms:modified xsi:type="dcterms:W3CDTF">2020-05-28T14:09:00Z</dcterms:modified>
  <cp:category>Finale</cp:category>
</cp:coreProperties>
</file>