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0B0C950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AF3979" w14:textId="77777777" w:rsidR="002D5AAC" w:rsidRDefault="002D5AAC" w:rsidP="00AF58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23CB777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E572845" w14:textId="77777777" w:rsidR="002D5AAC" w:rsidRDefault="00AF58F6" w:rsidP="00AF58F6">
            <w:pPr>
              <w:jc w:val="right"/>
            </w:pPr>
            <w:r w:rsidRPr="00AF58F6">
              <w:rPr>
                <w:sz w:val="40"/>
              </w:rPr>
              <w:t>CCPR</w:t>
            </w:r>
            <w:r>
              <w:t>/C/128/D/2057/2011</w:t>
            </w:r>
          </w:p>
        </w:tc>
      </w:tr>
      <w:tr w:rsidR="002D5AAC" w:rsidRPr="00AF58F6" w14:paraId="57342ECC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27F1A2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2FBEB7" wp14:editId="10B42F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D9915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396B48A" w14:textId="77777777" w:rsidR="002D5AAC" w:rsidRPr="00AF58F6" w:rsidRDefault="00AF58F6" w:rsidP="00BC3629">
            <w:pPr>
              <w:spacing w:before="240"/>
              <w:rPr>
                <w:lang w:val="en-US"/>
              </w:rPr>
            </w:pPr>
            <w:r w:rsidRPr="00AF58F6">
              <w:rPr>
                <w:lang w:val="en-US"/>
              </w:rPr>
              <w:t>Distr.: General</w:t>
            </w:r>
          </w:p>
          <w:p w14:paraId="1798D9FE" w14:textId="77777777" w:rsidR="00AF58F6" w:rsidRPr="00AF58F6" w:rsidRDefault="00AF58F6" w:rsidP="00AF58F6">
            <w:pPr>
              <w:spacing w:line="240" w:lineRule="exact"/>
              <w:rPr>
                <w:lang w:val="en-US"/>
              </w:rPr>
            </w:pPr>
            <w:r w:rsidRPr="00AF58F6">
              <w:rPr>
                <w:lang w:val="en-US"/>
              </w:rPr>
              <w:t>21 May 2020</w:t>
            </w:r>
          </w:p>
          <w:p w14:paraId="5DEFA02A" w14:textId="77777777" w:rsidR="00AF58F6" w:rsidRPr="00AF58F6" w:rsidRDefault="00AF58F6" w:rsidP="00AF58F6">
            <w:pPr>
              <w:spacing w:line="240" w:lineRule="exact"/>
              <w:rPr>
                <w:lang w:val="en-US"/>
              </w:rPr>
            </w:pPr>
            <w:r w:rsidRPr="00AF58F6">
              <w:rPr>
                <w:lang w:val="en-US"/>
              </w:rPr>
              <w:t>Russian</w:t>
            </w:r>
          </w:p>
          <w:p w14:paraId="4CE0629E" w14:textId="77777777" w:rsidR="00AF58F6" w:rsidRPr="00AF58F6" w:rsidRDefault="00AF58F6" w:rsidP="00AF58F6">
            <w:pPr>
              <w:spacing w:line="240" w:lineRule="exact"/>
              <w:rPr>
                <w:lang w:val="en-US"/>
              </w:rPr>
            </w:pPr>
            <w:r w:rsidRPr="00AF58F6">
              <w:rPr>
                <w:lang w:val="en-US"/>
              </w:rPr>
              <w:t>Original: English</w:t>
            </w:r>
          </w:p>
        </w:tc>
      </w:tr>
    </w:tbl>
    <w:p w14:paraId="07F43B6E" w14:textId="77777777" w:rsidR="00AF58F6" w:rsidRPr="006901BE" w:rsidRDefault="00AF58F6" w:rsidP="00AF58F6">
      <w:pPr>
        <w:spacing w:before="120"/>
        <w:rPr>
          <w:b/>
          <w:sz w:val="24"/>
          <w:szCs w:val="24"/>
        </w:rPr>
      </w:pPr>
      <w:r w:rsidRPr="006901BE">
        <w:rPr>
          <w:b/>
          <w:bCs/>
          <w:sz w:val="24"/>
          <w:szCs w:val="24"/>
        </w:rPr>
        <w:t>Комитет по правам человека</w:t>
      </w:r>
    </w:p>
    <w:p w14:paraId="3F988CFB" w14:textId="77777777" w:rsidR="00AF58F6" w:rsidRDefault="00AF58F6" w:rsidP="00AF58F6">
      <w:pPr>
        <w:pStyle w:val="HChG"/>
        <w:rPr>
          <w:b w:val="0"/>
          <w:sz w:val="20"/>
          <w:szCs w:val="28"/>
        </w:rPr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</w:rPr>
        <w:t> </w:t>
      </w:r>
      <w:r>
        <w:rPr>
          <w:bCs/>
        </w:rPr>
        <w:t>Факультативным протоколом относительно сообщения</w:t>
      </w:r>
      <w:r>
        <w:rPr>
          <w:bCs/>
        </w:rPr>
        <w:t> </w:t>
      </w:r>
      <w:r>
        <w:rPr>
          <w:bCs/>
        </w:rPr>
        <w:t>№ 2057/2011</w:t>
      </w:r>
      <w:r w:rsidRPr="00F870D6">
        <w:rPr>
          <w:b w:val="0"/>
          <w:sz w:val="20"/>
          <w:szCs w:val="28"/>
        </w:rPr>
        <w:footnoteReference w:customMarkFollows="1" w:id="1"/>
        <w:t>*</w:t>
      </w:r>
      <w:r w:rsidRPr="006901BE">
        <w:rPr>
          <w:b w:val="0"/>
          <w:sz w:val="20"/>
          <w:szCs w:val="28"/>
        </w:rPr>
        <w:t xml:space="preserve"> </w:t>
      </w:r>
      <w:r w:rsidRPr="00F870D6">
        <w:rPr>
          <w:b w:val="0"/>
          <w:sz w:val="20"/>
          <w:szCs w:val="28"/>
        </w:rPr>
        <w:footnoteReference w:customMarkFollows="1" w:id="2"/>
        <w:t>**</w:t>
      </w: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AF58F6" w14:paraId="25CAD48C" w14:textId="77777777" w:rsidTr="00A1239A">
        <w:tc>
          <w:tcPr>
            <w:tcW w:w="2552" w:type="dxa"/>
          </w:tcPr>
          <w:p w14:paraId="5A653E7E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bookmarkStart w:id="2" w:name="_Hlk42238495"/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4253" w:type="dxa"/>
          </w:tcPr>
          <w:p w14:paraId="791B4249" w14:textId="494DE204" w:rsidR="00AF58F6" w:rsidRDefault="00AF58F6" w:rsidP="00A1239A">
            <w:pPr>
              <w:pStyle w:val="SingleTxtG"/>
              <w:ind w:left="57" w:right="0"/>
              <w:jc w:val="left"/>
            </w:pPr>
            <w:r>
              <w:t>В.</w:t>
            </w:r>
            <w:r w:rsidR="005D3852">
              <w:t xml:space="preserve"> </w:t>
            </w:r>
            <w:bookmarkStart w:id="3" w:name="_GoBack"/>
            <w:bookmarkEnd w:id="3"/>
            <w:r>
              <w:t>П.</w:t>
            </w:r>
          </w:p>
        </w:tc>
      </w:tr>
      <w:tr w:rsidR="00AF58F6" w14:paraId="5B09073C" w14:textId="77777777" w:rsidTr="00A1239A">
        <w:tc>
          <w:tcPr>
            <w:tcW w:w="2552" w:type="dxa"/>
          </w:tcPr>
          <w:p w14:paraId="7148B33B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r>
              <w:rPr>
                <w:i/>
                <w:iCs/>
              </w:rPr>
              <w:t>Предполагаемая жертва:</w:t>
            </w:r>
          </w:p>
        </w:tc>
        <w:tc>
          <w:tcPr>
            <w:tcW w:w="4253" w:type="dxa"/>
          </w:tcPr>
          <w:p w14:paraId="0D10DD5E" w14:textId="77777777" w:rsidR="00AF58F6" w:rsidRDefault="00AF58F6" w:rsidP="00A1239A">
            <w:pPr>
              <w:pStyle w:val="SingleTxtG"/>
              <w:ind w:left="57" w:right="0"/>
              <w:jc w:val="left"/>
            </w:pPr>
            <w:r>
              <w:t>автор сообщения</w:t>
            </w:r>
          </w:p>
        </w:tc>
      </w:tr>
      <w:tr w:rsidR="00AF58F6" w14:paraId="1877F9E8" w14:textId="77777777" w:rsidTr="00A1239A">
        <w:tc>
          <w:tcPr>
            <w:tcW w:w="2552" w:type="dxa"/>
          </w:tcPr>
          <w:p w14:paraId="04676975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Государство-участник:</w:t>
            </w:r>
          </w:p>
        </w:tc>
        <w:tc>
          <w:tcPr>
            <w:tcW w:w="4253" w:type="dxa"/>
          </w:tcPr>
          <w:p w14:paraId="0E456D1F" w14:textId="77777777" w:rsidR="00AF58F6" w:rsidRDefault="00AF58F6" w:rsidP="00A1239A">
            <w:pPr>
              <w:pStyle w:val="SingleTxtG"/>
              <w:ind w:left="57" w:right="0"/>
              <w:jc w:val="left"/>
            </w:pPr>
            <w:r>
              <w:t>Беларусь</w:t>
            </w:r>
          </w:p>
        </w:tc>
      </w:tr>
      <w:tr w:rsidR="00AF58F6" w:rsidRPr="00D36903" w14:paraId="07A5C266" w14:textId="77777777" w:rsidTr="00A1239A">
        <w:tc>
          <w:tcPr>
            <w:tcW w:w="2552" w:type="dxa"/>
          </w:tcPr>
          <w:p w14:paraId="4DBB033C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r w:rsidRPr="002B0C3E">
              <w:rPr>
                <w:i/>
                <w:iCs/>
              </w:rPr>
              <w:t>Дата сообщения:</w:t>
            </w:r>
          </w:p>
        </w:tc>
        <w:tc>
          <w:tcPr>
            <w:tcW w:w="4253" w:type="dxa"/>
          </w:tcPr>
          <w:p w14:paraId="1A77F95A" w14:textId="77777777" w:rsidR="00AF58F6" w:rsidRPr="00D36903" w:rsidRDefault="00AF58F6" w:rsidP="00A1239A">
            <w:pPr>
              <w:pStyle w:val="SingleTxtG"/>
              <w:ind w:left="57" w:right="0"/>
              <w:jc w:val="left"/>
              <w:rPr>
                <w:lang w:val="fr-FR"/>
              </w:rPr>
            </w:pPr>
            <w:r>
              <w:t>17 мая 2010 года (первоначальное представление)</w:t>
            </w:r>
          </w:p>
        </w:tc>
      </w:tr>
      <w:tr w:rsidR="00AF58F6" w14:paraId="1EFA049E" w14:textId="77777777" w:rsidTr="00A1239A">
        <w:tc>
          <w:tcPr>
            <w:tcW w:w="2552" w:type="dxa"/>
          </w:tcPr>
          <w:p w14:paraId="7D1F6837" w14:textId="77777777" w:rsidR="00AF58F6" w:rsidRPr="00D36903" w:rsidRDefault="00AF58F6" w:rsidP="00A1239A">
            <w:pPr>
              <w:pStyle w:val="SingleTxtG"/>
              <w:ind w:left="35" w:right="0"/>
              <w:jc w:val="left"/>
              <w:rPr>
                <w:i/>
                <w:lang w:val="fr-FR"/>
              </w:rPr>
            </w:pPr>
            <w:r>
              <w:rPr>
                <w:i/>
                <w:iCs/>
              </w:rPr>
              <w:t>Справочная документация:</w:t>
            </w:r>
          </w:p>
        </w:tc>
        <w:tc>
          <w:tcPr>
            <w:tcW w:w="4253" w:type="dxa"/>
            <w:vAlign w:val="bottom"/>
          </w:tcPr>
          <w:p w14:paraId="38EE09C8" w14:textId="77777777" w:rsidR="00AF58F6" w:rsidRDefault="00AF58F6" w:rsidP="00A1239A">
            <w:pPr>
              <w:pStyle w:val="SingleTxtG"/>
              <w:ind w:left="57" w:right="0"/>
              <w:jc w:val="left"/>
            </w:pPr>
            <w:r>
              <w:t>решение, принятое в соответствии с правилом</w:t>
            </w:r>
            <w:r w:rsidR="00FB3A8C">
              <w:t> </w:t>
            </w:r>
            <w:r>
              <w:t>92 правил процедуры Комитета, препровожденное государству-участнику 2 мая 2011 года (в виде документа не издавалось)</w:t>
            </w:r>
          </w:p>
        </w:tc>
      </w:tr>
      <w:tr w:rsidR="00AF58F6" w14:paraId="65F8F60E" w14:textId="77777777" w:rsidTr="00A1239A">
        <w:tc>
          <w:tcPr>
            <w:tcW w:w="2552" w:type="dxa"/>
          </w:tcPr>
          <w:p w14:paraId="788FD565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Дата принятия решения:</w:t>
            </w:r>
          </w:p>
        </w:tc>
        <w:tc>
          <w:tcPr>
            <w:tcW w:w="4253" w:type="dxa"/>
            <w:vAlign w:val="bottom"/>
          </w:tcPr>
          <w:p w14:paraId="40FA8624" w14:textId="77777777" w:rsidR="00AF58F6" w:rsidRDefault="00AF58F6" w:rsidP="00A1239A">
            <w:pPr>
              <w:pStyle w:val="SingleTxtG"/>
              <w:ind w:left="57" w:right="0"/>
              <w:jc w:val="left"/>
            </w:pPr>
            <w:r>
              <w:t>13 марта 2020 года</w:t>
            </w:r>
          </w:p>
        </w:tc>
      </w:tr>
      <w:tr w:rsidR="00AF58F6" w:rsidRPr="00D36903" w14:paraId="2930ACEE" w14:textId="77777777" w:rsidTr="00A1239A">
        <w:tc>
          <w:tcPr>
            <w:tcW w:w="2552" w:type="dxa"/>
          </w:tcPr>
          <w:p w14:paraId="1B047545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r w:rsidRPr="002B0C3E">
              <w:rPr>
                <w:i/>
                <w:iCs/>
              </w:rPr>
              <w:t>Тема сообщения:</w:t>
            </w:r>
          </w:p>
        </w:tc>
        <w:tc>
          <w:tcPr>
            <w:tcW w:w="4253" w:type="dxa"/>
            <w:vAlign w:val="bottom"/>
          </w:tcPr>
          <w:p w14:paraId="1513870D" w14:textId="77777777" w:rsidR="00AF58F6" w:rsidRPr="00D36903" w:rsidRDefault="00AF58F6" w:rsidP="00A1239A">
            <w:pPr>
              <w:pStyle w:val="SingleTxtG"/>
              <w:ind w:left="57" w:right="0"/>
              <w:jc w:val="left"/>
            </w:pPr>
            <w:r>
              <w:t>невозможность обжалования решения суда первой инстанции в споре о выборах; отсутствие справедливого судебного разбирательства; и отсутствие эффективных средств правовой защиты</w:t>
            </w:r>
          </w:p>
        </w:tc>
      </w:tr>
      <w:tr w:rsidR="00AF58F6" w14:paraId="639BAE09" w14:textId="77777777" w:rsidTr="00A1239A">
        <w:tc>
          <w:tcPr>
            <w:tcW w:w="2552" w:type="dxa"/>
          </w:tcPr>
          <w:p w14:paraId="4B66EA92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r w:rsidRPr="002B0C3E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е</w:t>
            </w:r>
            <w:r w:rsidRPr="002B0C3E">
              <w:rPr>
                <w:i/>
                <w:iCs/>
              </w:rPr>
              <w:t xml:space="preserve"> вопрос</w:t>
            </w:r>
            <w:r>
              <w:rPr>
                <w:i/>
                <w:iCs/>
              </w:rPr>
              <w:t>ы</w:t>
            </w:r>
            <w:r w:rsidRPr="002B0C3E">
              <w:rPr>
                <w:i/>
                <w:iCs/>
              </w:rPr>
              <w:t>:</w:t>
            </w:r>
          </w:p>
        </w:tc>
        <w:tc>
          <w:tcPr>
            <w:tcW w:w="4253" w:type="dxa"/>
            <w:vAlign w:val="bottom"/>
          </w:tcPr>
          <w:p w14:paraId="4641C126" w14:textId="77777777" w:rsidR="00AF58F6" w:rsidRDefault="00AF58F6" w:rsidP="00A1239A">
            <w:pPr>
              <w:pStyle w:val="SingleTxtG"/>
              <w:ind w:left="57" w:right="0"/>
              <w:jc w:val="left"/>
            </w:pPr>
            <w:r>
              <w:t xml:space="preserve">исчерпание внутригосударственных средств правовой защиты; обоснованность утверждений; приемлемость </w:t>
            </w:r>
            <w:proofErr w:type="spellStart"/>
            <w:r>
              <w:t>ratione</w:t>
            </w:r>
            <w:proofErr w:type="spellEnd"/>
            <w:r>
              <w:t xml:space="preserve"> </w:t>
            </w:r>
            <w:proofErr w:type="spellStart"/>
            <w:r>
              <w:t>personae</w:t>
            </w:r>
            <w:proofErr w:type="spellEnd"/>
          </w:p>
        </w:tc>
      </w:tr>
      <w:tr w:rsidR="00AF58F6" w:rsidRPr="00D36903" w14:paraId="0D6DFD6D" w14:textId="77777777" w:rsidTr="00A1239A">
        <w:tc>
          <w:tcPr>
            <w:tcW w:w="2552" w:type="dxa"/>
          </w:tcPr>
          <w:p w14:paraId="66708A4D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r w:rsidRPr="002B0C3E">
              <w:rPr>
                <w:i/>
                <w:iCs/>
              </w:rPr>
              <w:t>Вопрос</w:t>
            </w:r>
            <w:r>
              <w:rPr>
                <w:i/>
                <w:iCs/>
              </w:rPr>
              <w:t>ы</w:t>
            </w:r>
            <w:r w:rsidRPr="002B0C3E">
              <w:rPr>
                <w:i/>
                <w:iCs/>
              </w:rPr>
              <w:t xml:space="preserve"> существа:</w:t>
            </w:r>
          </w:p>
        </w:tc>
        <w:tc>
          <w:tcPr>
            <w:tcW w:w="4253" w:type="dxa"/>
            <w:vAlign w:val="bottom"/>
          </w:tcPr>
          <w:p w14:paraId="06768F8E" w14:textId="77777777" w:rsidR="00AF58F6" w:rsidRPr="00D36903" w:rsidRDefault="00AF58F6" w:rsidP="00A1239A">
            <w:pPr>
              <w:pStyle w:val="SingleTxtG"/>
              <w:ind w:left="57" w:right="0"/>
              <w:jc w:val="left"/>
            </w:pPr>
            <w:r>
              <w:t>право на справедливое судебное разбирательство; эффективное средство правовой защиты</w:t>
            </w:r>
          </w:p>
        </w:tc>
      </w:tr>
      <w:tr w:rsidR="00AF58F6" w14:paraId="169B9B7C" w14:textId="77777777" w:rsidTr="00A1239A">
        <w:tc>
          <w:tcPr>
            <w:tcW w:w="2552" w:type="dxa"/>
          </w:tcPr>
          <w:p w14:paraId="4F9FF2F9" w14:textId="77777777" w:rsidR="00AF58F6" w:rsidRDefault="00AF58F6" w:rsidP="00A1239A">
            <w:pPr>
              <w:pStyle w:val="SingleTxtG"/>
              <w:ind w:left="35" w:right="0"/>
              <w:jc w:val="left"/>
              <w:rPr>
                <w:i/>
              </w:rPr>
            </w:pPr>
            <w:r w:rsidRPr="002B0C3E">
              <w:rPr>
                <w:i/>
                <w:iCs/>
              </w:rPr>
              <w:t xml:space="preserve">Статьи </w:t>
            </w:r>
            <w:r>
              <w:rPr>
                <w:i/>
                <w:iCs/>
              </w:rPr>
              <w:t>Пакта</w:t>
            </w:r>
            <w:r w:rsidRPr="002B0C3E">
              <w:rPr>
                <w:i/>
                <w:iCs/>
              </w:rPr>
              <w:t>:</w:t>
            </w:r>
          </w:p>
        </w:tc>
        <w:tc>
          <w:tcPr>
            <w:tcW w:w="4253" w:type="dxa"/>
            <w:vAlign w:val="bottom"/>
          </w:tcPr>
          <w:p w14:paraId="46391306" w14:textId="77777777" w:rsidR="00AF58F6" w:rsidRDefault="00AF58F6" w:rsidP="00A1239A">
            <w:pPr>
              <w:pStyle w:val="SingleTxtG"/>
              <w:ind w:left="57" w:right="0"/>
              <w:jc w:val="left"/>
            </w:pPr>
            <w:r>
              <w:t>пункты 2 и 3 статьи 2 и пункт 1 статьи 14</w:t>
            </w:r>
          </w:p>
        </w:tc>
      </w:tr>
      <w:tr w:rsidR="00AF58F6" w14:paraId="4AEA2779" w14:textId="77777777" w:rsidTr="00A1239A">
        <w:tc>
          <w:tcPr>
            <w:tcW w:w="2552" w:type="dxa"/>
          </w:tcPr>
          <w:p w14:paraId="6AA89067" w14:textId="77777777" w:rsidR="00AF58F6" w:rsidRPr="002B0C3E" w:rsidRDefault="00AF58F6" w:rsidP="00A1239A">
            <w:pPr>
              <w:pStyle w:val="SingleTxtG"/>
              <w:ind w:left="35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4253" w:type="dxa"/>
            <w:vAlign w:val="bottom"/>
          </w:tcPr>
          <w:p w14:paraId="5FB8ADA3" w14:textId="77777777" w:rsidR="00AF58F6" w:rsidRPr="002B0C3E" w:rsidRDefault="00AF58F6" w:rsidP="00A1239A">
            <w:pPr>
              <w:pStyle w:val="SingleTxtG"/>
              <w:ind w:left="57" w:right="0"/>
              <w:jc w:val="left"/>
            </w:pPr>
            <w:r>
              <w:t>статьи 2, 3 и пункт 2 b) статьи 5</w:t>
            </w:r>
          </w:p>
        </w:tc>
      </w:tr>
    </w:tbl>
    <w:bookmarkEnd w:id="2"/>
    <w:p w14:paraId="13F91DF5" w14:textId="77777777" w:rsidR="00AF58F6" w:rsidRPr="006901BE" w:rsidRDefault="00AF58F6" w:rsidP="00E006C2">
      <w:pPr>
        <w:pStyle w:val="SingleTxtG"/>
        <w:spacing w:before="240"/>
      </w:pPr>
      <w:r>
        <w:t>1.</w:t>
      </w:r>
      <w:r>
        <w:tab/>
        <w:t xml:space="preserve">Автором сообщения является В. П., гражданин Беларуси 1969 года рождения. Он утверждает, что является жертвой нарушения Беларусью его прав, </w:t>
      </w:r>
      <w:r>
        <w:lastRenderedPageBreak/>
        <w:t>предусмотренных в пункте 1 статьи 14, рассматриваемых в совокупности с пунктами</w:t>
      </w:r>
      <w:r w:rsidR="00FB3A8C">
        <w:t> </w:t>
      </w:r>
      <w:r>
        <w:t>2 и 3 статьи 2 Пакта. Факультативный протокол вступил в силу для государства-участника 30 декабря 1992 года. Автор сообщения адвокатом не представлен.</w:t>
      </w:r>
    </w:p>
    <w:p w14:paraId="56FF010A" w14:textId="77777777" w:rsidR="00AF58F6" w:rsidRPr="006901BE" w:rsidRDefault="00AF58F6" w:rsidP="00AF58F6">
      <w:pPr>
        <w:pStyle w:val="H23G"/>
        <w:ind w:left="0" w:firstLine="0"/>
      </w:pPr>
      <w:r>
        <w:tab/>
      </w:r>
      <w:r>
        <w:tab/>
      </w:r>
      <w:r>
        <w:rPr>
          <w:bCs/>
        </w:rPr>
        <w:t>Факты в изложении автора</w:t>
      </w:r>
    </w:p>
    <w:p w14:paraId="0FD7CFF3" w14:textId="77777777" w:rsidR="00AF58F6" w:rsidRPr="006901BE" w:rsidRDefault="00AF58F6" w:rsidP="00AF58F6">
      <w:pPr>
        <w:pStyle w:val="SingleTxtG"/>
      </w:pPr>
      <w:r>
        <w:t>2.1</w:t>
      </w:r>
      <w:r>
        <w:tab/>
        <w:t xml:space="preserve">Автор является членом Объединенной гражданской партии и председателем ее областного отделения в Гомеле. В 2010 году Гомельское областное отделение партии избрало представителя для выдвижения в качестве кандидата в Окружную избирательную комиссию, которая формировалась для проведения выборов в местный совет в 2010 году. Автор утверждает, что из 13 членов Комиссии 5 должны были быть представителями политических партий. Политическими партиями были предложены только </w:t>
      </w:r>
      <w:r w:rsidR="00FB3A8C">
        <w:t>четыре</w:t>
      </w:r>
      <w:r>
        <w:t xml:space="preserve"> кандидатуры, из которых </w:t>
      </w:r>
      <w:r w:rsidR="00FB3A8C">
        <w:t>одна</w:t>
      </w:r>
      <w:r>
        <w:t>, автор, был</w:t>
      </w:r>
      <w:r w:rsidR="00FB3A8C">
        <w:t>а</w:t>
      </w:r>
      <w:r>
        <w:t xml:space="preserve"> выдвинут</w:t>
      </w:r>
      <w:r w:rsidR="00FB3A8C">
        <w:t>а</w:t>
      </w:r>
      <w:r>
        <w:t xml:space="preserve"> Объединенной гражданской партией. 28 января 2010 года Президиум Гомельского районного Совета депутатов и Гомельский районный исполнительный комитет приняли решение о составе Комиссии, в которую не вошел представитель Объединенной гражданской партии.</w:t>
      </w:r>
    </w:p>
    <w:p w14:paraId="655165A8" w14:textId="77777777" w:rsidR="00AF58F6" w:rsidRPr="006901BE" w:rsidRDefault="00AF58F6" w:rsidP="00AF58F6">
      <w:pPr>
        <w:pStyle w:val="SingleTxtG"/>
      </w:pPr>
      <w:r>
        <w:t>2.2</w:t>
      </w:r>
      <w:r>
        <w:tab/>
        <w:t>В качестве председателя Гомельского областного отделения партии автор 30 января 2010 года от имени Объединенной гражданской партии направил в Гомельский районный суд жалобу на решение, принятое Советом депутатов и Исполнительным комитетом. Он заявил, что права Партии были нарушены, поскольку ее представитель не был включен в состав Окружной избирательной комиссии. Он</w:t>
      </w:r>
      <w:r w:rsidR="00FB3A8C">
        <w:t> </w:t>
      </w:r>
      <w:r>
        <w:t>утверждал, что отсутствие представителя демократической партии в Комиссии подорвет будущий избирательный процесс. Его жалоба была отклонена 4 февраля 2010 года. Районный суд установил, что решение Совета депутатов и Исполнительного комитета было принято в соответствии с законом.</w:t>
      </w:r>
    </w:p>
    <w:p w14:paraId="7EB5C9B3" w14:textId="77777777" w:rsidR="00AF58F6" w:rsidRPr="006901BE" w:rsidRDefault="00AF58F6" w:rsidP="00AF58F6">
      <w:pPr>
        <w:pStyle w:val="SingleTxtG"/>
      </w:pPr>
      <w:r>
        <w:t>2.3</w:t>
      </w:r>
      <w:r>
        <w:tab/>
        <w:t>Автор направил 5 февраля 2010 года кассационную жалобу в судебную коллегию по гражданским делам Верховного суда. Письмом Гомельского областного суда 10 февраля 2010 года ему сообщили о том, что решение районного суда не подлежит кассационному обжалованию в соответствии со статьей 343 Гражданского процессуального кодекса и статьей 34 Избирательного кодекса, согласно которым решения суда первой инстанции на решение органа, образующего избирательные комиссии, вступают в силу немедленно и обжалованию не подлежат.</w:t>
      </w:r>
    </w:p>
    <w:p w14:paraId="1F07D8E8" w14:textId="77777777" w:rsidR="00AF58F6" w:rsidRPr="006901BE" w:rsidRDefault="00AF58F6" w:rsidP="00AF58F6">
      <w:pPr>
        <w:pStyle w:val="SingleTxtG"/>
      </w:pPr>
      <w:r>
        <w:t>2.4</w:t>
      </w:r>
      <w:r>
        <w:tab/>
        <w:t>1 марта 2010 года автор вновь подал жалобу по процедуре пересмотра в порядке надзора Председателю Верховного суда. Его апелляция была отклонена 19 марта 2010</w:t>
      </w:r>
      <w:r w:rsidR="00E006C2">
        <w:t> </w:t>
      </w:r>
      <w:r>
        <w:t>года. Рассмотрев утверждения, представленные в жалобе, заместитель Председателя Верховного суда не нашел оснований для подачи протеста по процедуре пересмотра в порядке надзора на решение районного суда. 23 марта 2010 года автор подал жалобу в Конституционный суд. Его жалоба была отклонена 5 апреля 2010 года, поскольку Конституционный суд не рассматривает жалобы отдельных лиц.</w:t>
      </w:r>
    </w:p>
    <w:p w14:paraId="0B18FFF2" w14:textId="77777777" w:rsidR="00AF58F6" w:rsidRPr="006901BE" w:rsidRDefault="00AF58F6" w:rsidP="00AF58F6">
      <w:pPr>
        <w:pStyle w:val="H23G"/>
      </w:pPr>
      <w:r>
        <w:tab/>
      </w:r>
      <w:r>
        <w:tab/>
      </w:r>
      <w:r>
        <w:rPr>
          <w:bCs/>
        </w:rPr>
        <w:t>Жалоба</w:t>
      </w:r>
    </w:p>
    <w:p w14:paraId="591F9B36" w14:textId="77777777" w:rsidR="00AF58F6" w:rsidRPr="006901BE" w:rsidRDefault="00AF58F6" w:rsidP="00AF58F6">
      <w:pPr>
        <w:pStyle w:val="SingleTxtG"/>
        <w:rPr>
          <w:color w:val="000000"/>
        </w:rPr>
      </w:pPr>
      <w:r>
        <w:t>3.</w:t>
      </w:r>
      <w:r>
        <w:tab/>
        <w:t>Автор утверждает, что отказ внутригосударственных судов пересмотреть его кассационную жалобу на решение суда первой инстанции нарушает его право на справедливое и публичное рассмотрение его гражданского иска компетентным, независимым и беспристрастным кассационным судом в соответствии с пунктом 1 статьи 14, рассматриваемым в совокупности с пунктами 2 и 3 статьи 2 Пакта.</w:t>
      </w:r>
    </w:p>
    <w:p w14:paraId="2C925E94" w14:textId="77777777" w:rsidR="00AF58F6" w:rsidRPr="006901BE" w:rsidRDefault="00AF58F6" w:rsidP="00AF58F6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в отношении приемлемости и существа сообщения</w:t>
      </w:r>
    </w:p>
    <w:p w14:paraId="06432631" w14:textId="77777777" w:rsidR="00AF58F6" w:rsidRPr="006901BE" w:rsidRDefault="00AF58F6" w:rsidP="00AF58F6">
      <w:pPr>
        <w:pStyle w:val="SingleTxtG"/>
        <w:rPr>
          <w:color w:val="000000"/>
        </w:rPr>
      </w:pPr>
      <w:r>
        <w:t>4.1</w:t>
      </w:r>
      <w:r>
        <w:tab/>
        <w:t xml:space="preserve">Вербальной нотой от 28 декабря 2018 года государство-участник представило свои замечания. Оно заявляет, что автор не исчерпал внутригосударственных средств правовой защиты, не подав ходатайство о пересмотре в порядке надзора в прокуратуру, и что его жалобы неприемлемы в соответствии со статьями 2 и 3 Факультативного протокола. Государство-участник утверждает, что хотя по действующему на тот момент законодательству решение Совета депутатов и Исполнительного комитета от 28 января 2010 года и не подлежало кассационному </w:t>
      </w:r>
      <w:r>
        <w:lastRenderedPageBreak/>
        <w:t>обжалованию, но его можно было бы обжаловать по процедуре пересмотра в порядке надзора. По данным государства-участника за первые девять месяцев 2018 года прокуратура направила 180 ходатайств об обжаловании в порядке надзора, 173 из которых были рассмотрены судами. Суды удовлетворили 129 ходатайств о пересмотре в порядке надзора (74,5</w:t>
      </w:r>
      <w:r w:rsidR="00E006C2">
        <w:t>%</w:t>
      </w:r>
      <w:r>
        <w:t>).</w:t>
      </w:r>
    </w:p>
    <w:p w14:paraId="591CD1C8" w14:textId="77777777" w:rsidR="00AF58F6" w:rsidRPr="006901BE" w:rsidRDefault="00AF58F6" w:rsidP="00AF58F6">
      <w:pPr>
        <w:pStyle w:val="SingleTxtG"/>
      </w:pPr>
      <w:r>
        <w:t>4.2</w:t>
      </w:r>
      <w:r>
        <w:tab/>
        <w:t>Автор в качестве представителя Объединенной гражданской партии подал апелляцию о пересмотре дела в порядке надзора в Верховный суд. Суд отклонил ходатайство автора о пересмотре в порядке надзора 19 марта 2010 года, убедившись в том, что решение суда первой инстанции было законным и обоснованным. Государство-участник приходит к выводу о том, что автор имел доступ к справедливому судебному разбирательству и что его утверждения по пункту 1 статьи</w:t>
      </w:r>
      <w:r w:rsidR="00E006C2">
        <w:t> </w:t>
      </w:r>
      <w:r>
        <w:t>14, рассматриваемому в совокупности с пунктами 2 и 3 статьи 2 Пакта, являются необоснованными.</w:t>
      </w:r>
    </w:p>
    <w:p w14:paraId="41A8D766" w14:textId="77777777" w:rsidR="00AF58F6" w:rsidRPr="006901BE" w:rsidRDefault="00AF58F6" w:rsidP="00AF58F6">
      <w:pPr>
        <w:pStyle w:val="H23G"/>
      </w:pPr>
      <w:r>
        <w:tab/>
      </w:r>
      <w:r>
        <w:tab/>
      </w:r>
      <w:r>
        <w:rPr>
          <w:bCs/>
        </w:rPr>
        <w:t>Комментарии автора по замечаниям государства-участника</w:t>
      </w:r>
    </w:p>
    <w:p w14:paraId="055C338F" w14:textId="77777777" w:rsidR="00AF58F6" w:rsidRPr="006901BE" w:rsidRDefault="00AF58F6" w:rsidP="00AF58F6">
      <w:pPr>
        <w:pStyle w:val="SingleTxtG"/>
      </w:pPr>
      <w:r>
        <w:t>5.</w:t>
      </w:r>
      <w:r>
        <w:tab/>
        <w:t>15 апреля 2019 года автор представил свои комментарии по поводу замечаний государства-участника в отношении приемлемости и существа сообщения. В</w:t>
      </w:r>
      <w:r w:rsidR="00E006C2">
        <w:t> </w:t>
      </w:r>
      <w:r>
        <w:t>отношении замечания государства-участника о том, что он не подал апелляцию о пересмотре дела в порядке надзора в прокуратуру, автор заявляет, что</w:t>
      </w:r>
      <w:r w:rsidR="00E006C2">
        <w:t>,</w:t>
      </w:r>
      <w:r>
        <w:t xml:space="preserve"> согласно правовой практике Комитета</w:t>
      </w:r>
      <w:r w:rsidR="00E006C2">
        <w:t>,</w:t>
      </w:r>
      <w:r>
        <w:t xml:space="preserve"> такая процедура является дискреционной по своему характеру и не рассматривается в качестве эффективного средства правовой защиты. Автор отмечает, что он подал апелляцию о пересмотре дела в порядке надзора на имя Председателя Верховного суда. Он также отмечает, что статистические данные, представленные государством-участником, не указывают на то, сколько ходатайств, содержащих протест, подано прокуратурой или Председателем Верховного суда по процедуре пересмотра в порядке надзора по гражданским делам, касающимся защиты гражданских и политических прав. Автор заявляет, что не знает ни одного такого дела.</w:t>
      </w:r>
    </w:p>
    <w:p w14:paraId="3D329DB6" w14:textId="77777777" w:rsidR="00AF58F6" w:rsidRPr="006901BE" w:rsidRDefault="00AF58F6" w:rsidP="00AF58F6">
      <w:pPr>
        <w:pStyle w:val="H23G"/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59D921C3" w14:textId="77777777" w:rsidR="00AF58F6" w:rsidRPr="006901BE" w:rsidRDefault="00AF58F6" w:rsidP="00AF58F6">
      <w:pPr>
        <w:keepNext/>
        <w:keepLines/>
        <w:spacing w:before="240" w:after="120"/>
        <w:rPr>
          <w:i/>
        </w:rPr>
      </w:pPr>
      <w:r>
        <w:tab/>
      </w:r>
      <w:r>
        <w:tab/>
      </w:r>
      <w:r>
        <w:rPr>
          <w:i/>
          <w:iCs/>
        </w:rPr>
        <w:t>Рассмотрение вопроса о приемлемости</w:t>
      </w:r>
    </w:p>
    <w:p w14:paraId="79F11D16" w14:textId="77777777" w:rsidR="00AF58F6" w:rsidRPr="006901BE" w:rsidRDefault="00AF58F6" w:rsidP="00AF58F6">
      <w:pPr>
        <w:pStyle w:val="SingleTxtG"/>
      </w:pPr>
      <w:proofErr w:type="gramStart"/>
      <w:r>
        <w:t>6.1</w:t>
      </w:r>
      <w:r>
        <w:tab/>
        <w:t>Прежде чем</w:t>
      </w:r>
      <w:proofErr w:type="gramEnd"/>
      <w:r>
        <w:t xml:space="preserve"> рассматривать какое-либо утверждение, содержащееся в том или ином сообщении, Комитет по правам человека, действуя согласно правилу 97 своих правил процедуры, должен принять решение о том, является ли это сообщение приемлемым в соответствии с Факультативным протоколом.</w:t>
      </w:r>
    </w:p>
    <w:p w14:paraId="31F5E0BC" w14:textId="77777777" w:rsidR="00AF58F6" w:rsidRPr="006901BE" w:rsidRDefault="00AF58F6" w:rsidP="00AF58F6">
      <w:pPr>
        <w:pStyle w:val="SingleTxtG"/>
      </w:pPr>
      <w:r>
        <w:t>6.2</w:t>
      </w:r>
      <w:r>
        <w:tab/>
        <w:t>В соответствии с требованиями пункта 2 а) статьи 5 Факультативного протокола Комитет удостоверился в том, что этот же вопрос не рассматривается в рамках другой процедуры международного разбирательства или урегулирования.</w:t>
      </w:r>
    </w:p>
    <w:p w14:paraId="40BB5CFF" w14:textId="77777777" w:rsidR="00AF58F6" w:rsidRPr="006901BE" w:rsidRDefault="00AF58F6" w:rsidP="00AF58F6">
      <w:pPr>
        <w:pStyle w:val="SingleTxtG"/>
      </w:pPr>
      <w:r>
        <w:t>6.3</w:t>
      </w:r>
      <w:r>
        <w:tab/>
        <w:t>Комитет отмечает утверждение автора о том, что он стал жертвой нарушения его права по пункту 1 статьи 14, рассматриваемому в совокупности с пунктами 2 и 3 статьи 2 Пакта, поскольку он не имел доступа к апелляционному (кассационному) суду. Вместе с тем Комитет отмечает, что в ходе внутригосударственного разбирательства автор вчинил гражданские иски в судах от имени Объединенной гражданской партии, обладающей собственной правосубъектностью, утверждая, что права Партии нарушены. Автор не поясняет, каким образом были нарушены его собственные права по Пакту и какие именно упущения в ходе разбирательств в Гомельском районном суде могут приравниваться к нарушению пункта 1 статьи 14. Поэтому Комитет признает представленное сообщение недостаточно обоснованным и неприемлемым в соответствии со статьей 2 Факультативного протокола.</w:t>
      </w:r>
    </w:p>
    <w:p w14:paraId="6EEB6E29" w14:textId="77777777" w:rsidR="00AF58F6" w:rsidRPr="006901BE" w:rsidRDefault="00AF58F6" w:rsidP="00AF58F6">
      <w:pPr>
        <w:pStyle w:val="SingleTxtG"/>
      </w:pPr>
      <w:r>
        <w:t>7.</w:t>
      </w:r>
      <w:r>
        <w:tab/>
        <w:t>Комитет, таким образом, постановляет:</w:t>
      </w:r>
    </w:p>
    <w:p w14:paraId="58EE1EB1" w14:textId="77777777" w:rsidR="00AF58F6" w:rsidRPr="006901BE" w:rsidRDefault="00E006C2" w:rsidP="00AF58F6">
      <w:pPr>
        <w:pStyle w:val="SingleTxtG"/>
      </w:pPr>
      <w:r>
        <w:tab/>
      </w:r>
      <w:r w:rsidR="00AF58F6">
        <w:tab/>
        <w:t>a)</w:t>
      </w:r>
      <w:r w:rsidR="00AF58F6">
        <w:tab/>
        <w:t>признать сообщение неприемлемым по статье 2 Факультативного протокола;</w:t>
      </w:r>
    </w:p>
    <w:p w14:paraId="421C599F" w14:textId="77777777" w:rsidR="00AF58F6" w:rsidRPr="006901BE" w:rsidRDefault="00E006C2" w:rsidP="00AF58F6">
      <w:pPr>
        <w:pStyle w:val="SingleTxtG"/>
      </w:pPr>
      <w:r>
        <w:tab/>
      </w:r>
      <w:r w:rsidR="00AF58F6">
        <w:tab/>
        <w:t>b)</w:t>
      </w:r>
      <w:r w:rsidR="00AF58F6">
        <w:tab/>
        <w:t>препроводить настоящее решение государству-участнику и автору сообщения.</w:t>
      </w:r>
    </w:p>
    <w:p w14:paraId="54A70320" w14:textId="77777777" w:rsidR="00AF58F6" w:rsidRPr="006901BE" w:rsidRDefault="00AF58F6" w:rsidP="00E006C2">
      <w:pPr>
        <w:pStyle w:val="SingleTxtG"/>
        <w:spacing w:before="120" w:after="0"/>
        <w:jc w:val="center"/>
        <w:rPr>
          <w:rFonts w:eastAsiaTheme="minorEastAsia"/>
        </w:rPr>
      </w:pPr>
      <w:r w:rsidRPr="006901BE">
        <w:rPr>
          <w:u w:val="single"/>
        </w:rPr>
        <w:tab/>
      </w:r>
      <w:r w:rsidRPr="006901BE">
        <w:rPr>
          <w:u w:val="single"/>
        </w:rPr>
        <w:tab/>
      </w:r>
      <w:r w:rsidRPr="006901BE">
        <w:rPr>
          <w:u w:val="single"/>
        </w:rPr>
        <w:tab/>
      </w:r>
      <w:r>
        <w:rPr>
          <w:u w:val="single"/>
        </w:rPr>
        <w:tab/>
      </w:r>
    </w:p>
    <w:sectPr w:rsidR="00AF58F6" w:rsidRPr="006901BE" w:rsidSect="00AF58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FCB4" w14:textId="77777777" w:rsidR="000002BD" w:rsidRPr="00A312BC" w:rsidRDefault="000002BD" w:rsidP="00A312BC"/>
  </w:endnote>
  <w:endnote w:type="continuationSeparator" w:id="0">
    <w:p w14:paraId="5F1777B0" w14:textId="77777777" w:rsidR="000002BD" w:rsidRPr="00A312BC" w:rsidRDefault="000002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F29" w14:textId="77777777" w:rsidR="00AF58F6" w:rsidRPr="00AF58F6" w:rsidRDefault="00AF58F6">
    <w:pPr>
      <w:pStyle w:val="a8"/>
    </w:pPr>
    <w:r w:rsidRPr="00AF58F6">
      <w:rPr>
        <w:b/>
        <w:sz w:val="18"/>
      </w:rPr>
      <w:fldChar w:fldCharType="begin"/>
    </w:r>
    <w:r w:rsidRPr="00AF58F6">
      <w:rPr>
        <w:b/>
        <w:sz w:val="18"/>
      </w:rPr>
      <w:instrText xml:space="preserve"> PAGE  \* MERGEFORMAT </w:instrText>
    </w:r>
    <w:r w:rsidRPr="00AF58F6">
      <w:rPr>
        <w:b/>
        <w:sz w:val="18"/>
      </w:rPr>
      <w:fldChar w:fldCharType="separate"/>
    </w:r>
    <w:r w:rsidRPr="00AF58F6">
      <w:rPr>
        <w:b/>
        <w:noProof/>
        <w:sz w:val="18"/>
      </w:rPr>
      <w:t>2</w:t>
    </w:r>
    <w:r w:rsidRPr="00AF58F6">
      <w:rPr>
        <w:b/>
        <w:sz w:val="18"/>
      </w:rPr>
      <w:fldChar w:fldCharType="end"/>
    </w:r>
    <w:r>
      <w:rPr>
        <w:b/>
        <w:sz w:val="18"/>
      </w:rPr>
      <w:tab/>
    </w:r>
    <w:r>
      <w:t>GE.20-06887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BBBC" w14:textId="77777777" w:rsidR="00AF58F6" w:rsidRPr="00AF58F6" w:rsidRDefault="00AF58F6" w:rsidP="00AF58F6">
    <w:pPr>
      <w:pStyle w:val="a8"/>
      <w:tabs>
        <w:tab w:val="clear" w:pos="9639"/>
        <w:tab w:val="right" w:pos="9638"/>
      </w:tabs>
      <w:rPr>
        <w:b/>
        <w:sz w:val="18"/>
      </w:rPr>
    </w:pPr>
    <w:r>
      <w:t>GE.20-06887</w:t>
    </w:r>
    <w:r>
      <w:tab/>
    </w:r>
    <w:r w:rsidRPr="00AF58F6">
      <w:rPr>
        <w:b/>
        <w:sz w:val="18"/>
      </w:rPr>
      <w:fldChar w:fldCharType="begin"/>
    </w:r>
    <w:r w:rsidRPr="00AF58F6">
      <w:rPr>
        <w:b/>
        <w:sz w:val="18"/>
      </w:rPr>
      <w:instrText xml:space="preserve"> PAGE  \* MERGEFORMAT </w:instrText>
    </w:r>
    <w:r w:rsidRPr="00AF58F6">
      <w:rPr>
        <w:b/>
        <w:sz w:val="18"/>
      </w:rPr>
      <w:fldChar w:fldCharType="separate"/>
    </w:r>
    <w:r w:rsidRPr="00AF58F6">
      <w:rPr>
        <w:b/>
        <w:noProof/>
        <w:sz w:val="18"/>
      </w:rPr>
      <w:t>3</w:t>
    </w:r>
    <w:r w:rsidRPr="00AF58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04F9" w14:textId="77777777" w:rsidR="00042B72" w:rsidRPr="00AF58F6" w:rsidRDefault="00AF58F6" w:rsidP="00AF58F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EA54FA" wp14:editId="73CAEE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06887  (</w:t>
    </w:r>
    <w:proofErr w:type="gramEnd"/>
    <w:r>
      <w:t>R)</w:t>
    </w:r>
    <w:r w:rsidR="00C35CF7">
      <w:t xml:space="preserve">  050620  050620</w:t>
    </w:r>
    <w:r>
      <w:br/>
    </w:r>
    <w:r w:rsidRPr="00AF58F6">
      <w:rPr>
        <w:rFonts w:ascii="C39T30Lfz" w:hAnsi="C39T30Lfz"/>
        <w:kern w:val="14"/>
        <w:sz w:val="56"/>
      </w:rPr>
      <w:t></w:t>
    </w:r>
    <w:r w:rsidRPr="00AF58F6">
      <w:rPr>
        <w:rFonts w:ascii="C39T30Lfz" w:hAnsi="C39T30Lfz"/>
        <w:kern w:val="14"/>
        <w:sz w:val="56"/>
      </w:rPr>
      <w:t></w:t>
    </w:r>
    <w:r w:rsidRPr="00AF58F6">
      <w:rPr>
        <w:rFonts w:ascii="C39T30Lfz" w:hAnsi="C39T30Lfz"/>
        <w:kern w:val="14"/>
        <w:sz w:val="56"/>
      </w:rPr>
      <w:t></w:t>
    </w:r>
    <w:r w:rsidRPr="00AF58F6">
      <w:rPr>
        <w:rFonts w:ascii="C39T30Lfz" w:hAnsi="C39T30Lfz"/>
        <w:kern w:val="14"/>
        <w:sz w:val="56"/>
      </w:rPr>
      <w:t></w:t>
    </w:r>
    <w:r w:rsidRPr="00AF58F6">
      <w:rPr>
        <w:rFonts w:ascii="C39T30Lfz" w:hAnsi="C39T30Lfz"/>
        <w:kern w:val="14"/>
        <w:sz w:val="56"/>
      </w:rPr>
      <w:t></w:t>
    </w:r>
    <w:r w:rsidRPr="00AF58F6">
      <w:rPr>
        <w:rFonts w:ascii="C39T30Lfz" w:hAnsi="C39T30Lfz"/>
        <w:kern w:val="14"/>
        <w:sz w:val="56"/>
      </w:rPr>
      <w:t></w:t>
    </w:r>
    <w:r w:rsidRPr="00AF58F6">
      <w:rPr>
        <w:rFonts w:ascii="C39T30Lfz" w:hAnsi="C39T30Lfz"/>
        <w:kern w:val="14"/>
        <w:sz w:val="56"/>
      </w:rPr>
      <w:t></w:t>
    </w:r>
    <w:r w:rsidRPr="00AF58F6">
      <w:rPr>
        <w:rFonts w:ascii="C39T30Lfz" w:hAnsi="C39T30Lfz"/>
        <w:kern w:val="14"/>
        <w:sz w:val="56"/>
      </w:rPr>
      <w:t></w:t>
    </w:r>
    <w:r w:rsidRPr="00AF58F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DA77A4" wp14:editId="5A2CAEA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6151" w14:textId="77777777" w:rsidR="000002BD" w:rsidRPr="001075E9" w:rsidRDefault="000002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84D746" w14:textId="77777777" w:rsidR="000002BD" w:rsidRDefault="000002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3477F5" w14:textId="77777777" w:rsidR="00AF58F6" w:rsidRPr="006901BE" w:rsidRDefault="00AF58F6" w:rsidP="00AF58F6">
      <w:pPr>
        <w:pStyle w:val="ad"/>
        <w:rPr>
          <w:szCs w:val="18"/>
        </w:rPr>
      </w:pPr>
      <w:r>
        <w:tab/>
      </w:r>
      <w:r w:rsidRPr="00AF58F6">
        <w:rPr>
          <w:sz w:val="20"/>
        </w:rPr>
        <w:t>*</w:t>
      </w:r>
      <w:r>
        <w:tab/>
        <w:t>Принято Комитетом на его 128-й сессии (2–27 марта 2020 года).</w:t>
      </w:r>
    </w:p>
  </w:footnote>
  <w:footnote w:id="2">
    <w:p w14:paraId="1AEADC8E" w14:textId="77777777" w:rsidR="00AF58F6" w:rsidRPr="006901BE" w:rsidRDefault="00AF58F6" w:rsidP="00AF58F6">
      <w:pPr>
        <w:pStyle w:val="ad"/>
      </w:pPr>
      <w:r>
        <w:tab/>
      </w:r>
      <w:r w:rsidRPr="00AF58F6">
        <w:rPr>
          <w:sz w:val="20"/>
        </w:rPr>
        <w:t>**</w:t>
      </w:r>
      <w:r>
        <w:tab/>
        <w:t xml:space="preserve">В рассмотрении настоящего сообщения приняли участие следующие члены Комитета: Яд Бен Ашур,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Кехрис</w:t>
      </w:r>
      <w:proofErr w:type="spellEnd"/>
      <w:r>
        <w:t xml:space="preserve">, Ариф Балкан, Ахмед Амин </w:t>
      </w:r>
      <w:proofErr w:type="spellStart"/>
      <w:r>
        <w:t>Фатхалла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Марсиа</w:t>
      </w:r>
      <w:proofErr w:type="spellEnd"/>
      <w:r>
        <w:t xml:space="preserve"> В.</w:t>
      </w:r>
      <w:r w:rsidR="00FB3A8C">
        <w:t xml:space="preserve"> </w:t>
      </w:r>
      <w:r>
        <w:t xml:space="preserve">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</w:t>
      </w:r>
      <w:proofErr w:type="spellStart"/>
      <w:r>
        <w:t>Василка</w:t>
      </w:r>
      <w:proofErr w:type="spellEnd"/>
      <w:r>
        <w:t xml:space="preserve">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Андреас </w:t>
      </w:r>
      <w:proofErr w:type="spellStart"/>
      <w:r>
        <w:t>Циммерман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9B6C" w14:textId="4AB83313" w:rsidR="00AF58F6" w:rsidRPr="00AF58F6" w:rsidRDefault="00AF58F6">
    <w:pPr>
      <w:pStyle w:val="a5"/>
    </w:pPr>
    <w:fldSimple w:instr=" TITLE  \* MERGEFORMAT ">
      <w:r w:rsidR="005D3852">
        <w:t>CCPR/C/128/D/2057/2011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5F28" w14:textId="7C224214" w:rsidR="00AF58F6" w:rsidRPr="00AF58F6" w:rsidRDefault="00AF58F6" w:rsidP="00AF58F6">
    <w:pPr>
      <w:pStyle w:val="a5"/>
      <w:jc w:val="right"/>
    </w:pPr>
    <w:fldSimple w:instr=" TITLE  \* MERGEFORMAT ">
      <w:r w:rsidR="005D3852">
        <w:t>CCPR/C/128/D/2057/2011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D"/>
    <w:rsid w:val="000002BD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3852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31BF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AF58F6"/>
    <w:rsid w:val="00B10CC7"/>
    <w:rsid w:val="00B1280C"/>
    <w:rsid w:val="00B136DB"/>
    <w:rsid w:val="00B539E7"/>
    <w:rsid w:val="00B62458"/>
    <w:rsid w:val="00BC18B2"/>
    <w:rsid w:val="00BC3629"/>
    <w:rsid w:val="00BD33EE"/>
    <w:rsid w:val="00BF1A04"/>
    <w:rsid w:val="00BF6F4C"/>
    <w:rsid w:val="00C0177C"/>
    <w:rsid w:val="00C106D6"/>
    <w:rsid w:val="00C35CF7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06C2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B3A8C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FEE328"/>
  <w15:docId w15:val="{13C9AB7C-7E1F-40FB-BAA6-AE678DB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F58F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3</Pages>
  <Words>1148</Words>
  <Characters>7481</Characters>
  <Application>Microsoft Office Word</Application>
  <DocSecurity>0</DocSecurity>
  <Lines>157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CCPR/C/128/D/2057/2011</vt:lpstr>
      <vt:lpstr>A/</vt:lpstr>
      <vt:lpstr>A/</vt:lpstr>
    </vt:vector>
  </TitlesOfParts>
  <Company>DCM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CCPR/C/128/D/2057/2011</dc:title>
  <dc:subject/>
  <dc:creator>Svetlana PROKOUDINA</dc:creator>
  <cp:keywords/>
  <cp:lastModifiedBy>Svetlana Prokoudina</cp:lastModifiedBy>
  <cp:revision>4</cp:revision>
  <cp:lastPrinted>2020-06-05T07:25:00Z</cp:lastPrinted>
  <dcterms:created xsi:type="dcterms:W3CDTF">2020-06-05T07:25:00Z</dcterms:created>
  <dcterms:modified xsi:type="dcterms:W3CDTF">2020-06-05T07:26:00Z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