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F71EA" w:rsidRPr="00DB58B5" w14:paraId="02E49AC7" w14:textId="77777777" w:rsidTr="002B7BC7">
        <w:trPr>
          <w:trHeight w:hRule="exact" w:val="851"/>
        </w:trPr>
        <w:tc>
          <w:tcPr>
            <w:tcW w:w="1276" w:type="dxa"/>
            <w:tcBorders>
              <w:bottom w:val="single" w:sz="4" w:space="0" w:color="auto"/>
            </w:tcBorders>
          </w:tcPr>
          <w:p w14:paraId="499AB93F" w14:textId="77777777" w:rsidR="006F71EA" w:rsidRPr="00DB58B5" w:rsidRDefault="006F71EA" w:rsidP="00D43D1B"/>
        </w:tc>
        <w:tc>
          <w:tcPr>
            <w:tcW w:w="2268" w:type="dxa"/>
            <w:tcBorders>
              <w:bottom w:val="single" w:sz="4" w:space="0" w:color="auto"/>
            </w:tcBorders>
            <w:vAlign w:val="bottom"/>
          </w:tcPr>
          <w:p w14:paraId="4FC17A4B" w14:textId="77777777" w:rsidR="006F71EA" w:rsidRPr="00DB58B5" w:rsidRDefault="006F71EA" w:rsidP="002B7BC7">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4C7D6DA8" w14:textId="77777777" w:rsidR="006F71EA" w:rsidRPr="00DB58B5" w:rsidRDefault="00D43D1B" w:rsidP="00D43D1B">
            <w:pPr>
              <w:jc w:val="right"/>
            </w:pPr>
            <w:r w:rsidRPr="00D43D1B">
              <w:rPr>
                <w:sz w:val="40"/>
              </w:rPr>
              <w:t>CCPR</w:t>
            </w:r>
            <w:r>
              <w:t>/C/123/D/2673/2015</w:t>
            </w:r>
          </w:p>
        </w:tc>
      </w:tr>
      <w:tr w:rsidR="006F71EA" w:rsidRPr="00DB58B5" w14:paraId="4D3F7335" w14:textId="77777777" w:rsidTr="002B7BC7">
        <w:trPr>
          <w:trHeight w:hRule="exact" w:val="2835"/>
        </w:trPr>
        <w:tc>
          <w:tcPr>
            <w:tcW w:w="1276" w:type="dxa"/>
            <w:tcBorders>
              <w:top w:val="single" w:sz="4" w:space="0" w:color="auto"/>
              <w:bottom w:val="single" w:sz="12" w:space="0" w:color="auto"/>
            </w:tcBorders>
          </w:tcPr>
          <w:p w14:paraId="1712887B" w14:textId="77777777" w:rsidR="006F71EA" w:rsidRPr="00DB58B5" w:rsidRDefault="006F71EA" w:rsidP="002B7BC7">
            <w:pPr>
              <w:spacing w:before="120"/>
              <w:jc w:val="center"/>
            </w:pPr>
            <w:r>
              <w:rPr>
                <w:noProof/>
                <w:lang w:eastAsia="fr-CH"/>
              </w:rPr>
              <w:drawing>
                <wp:inline distT="0" distB="0" distL="0" distR="0" wp14:anchorId="4E697541" wp14:editId="3EC42198">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D0A9567" w14:textId="77777777" w:rsidR="006F71EA" w:rsidRPr="00AB51C8" w:rsidRDefault="006F71EA" w:rsidP="002B7BC7">
            <w:pPr>
              <w:spacing w:before="120" w:line="380" w:lineRule="exact"/>
              <w:rPr>
                <w:b/>
                <w:sz w:val="34"/>
                <w:szCs w:val="34"/>
              </w:rPr>
            </w:pPr>
            <w:r w:rsidRPr="00AB51C8">
              <w:rPr>
                <w:b/>
                <w:sz w:val="34"/>
                <w:szCs w:val="34"/>
              </w:rPr>
              <w:t>Pacte international relatif</w:t>
            </w:r>
            <w:r w:rsidRPr="00AB51C8">
              <w:rPr>
                <w:b/>
                <w:sz w:val="34"/>
                <w:szCs w:val="34"/>
              </w:rPr>
              <w:br/>
              <w:t>aux droits civils et politiques</w:t>
            </w:r>
          </w:p>
        </w:tc>
        <w:tc>
          <w:tcPr>
            <w:tcW w:w="2835" w:type="dxa"/>
            <w:tcBorders>
              <w:top w:val="single" w:sz="4" w:space="0" w:color="auto"/>
              <w:bottom w:val="single" w:sz="12" w:space="0" w:color="auto"/>
            </w:tcBorders>
          </w:tcPr>
          <w:p w14:paraId="5A125C2B" w14:textId="77777777" w:rsidR="006F71EA" w:rsidRDefault="00D43D1B" w:rsidP="002B7BC7">
            <w:pPr>
              <w:spacing w:before="240"/>
            </w:pPr>
            <w:r>
              <w:t>Distr. générale</w:t>
            </w:r>
          </w:p>
          <w:p w14:paraId="0D66CFF7" w14:textId="77777777" w:rsidR="00D43D1B" w:rsidRDefault="00D43D1B" w:rsidP="00D43D1B">
            <w:pPr>
              <w:spacing w:line="240" w:lineRule="exact"/>
            </w:pPr>
            <w:r>
              <w:t>17 août 2018</w:t>
            </w:r>
          </w:p>
          <w:p w14:paraId="3C44F140" w14:textId="77777777" w:rsidR="00D43D1B" w:rsidRDefault="00D43D1B" w:rsidP="00D43D1B">
            <w:pPr>
              <w:spacing w:line="240" w:lineRule="exact"/>
            </w:pPr>
            <w:r>
              <w:t>Français</w:t>
            </w:r>
          </w:p>
          <w:p w14:paraId="3BE7F8C5" w14:textId="77777777" w:rsidR="00D43D1B" w:rsidRPr="00DB58B5" w:rsidRDefault="00D43D1B" w:rsidP="00D43D1B">
            <w:pPr>
              <w:spacing w:line="240" w:lineRule="exact"/>
            </w:pPr>
            <w:r>
              <w:t>Original : anglais</w:t>
            </w:r>
          </w:p>
        </w:tc>
      </w:tr>
    </w:tbl>
    <w:p w14:paraId="1633A9B3" w14:textId="77777777" w:rsidR="006F71EA" w:rsidRDefault="006F71EA" w:rsidP="006F71EA">
      <w:pPr>
        <w:spacing w:before="120"/>
        <w:rPr>
          <w:b/>
          <w:sz w:val="24"/>
          <w:szCs w:val="24"/>
        </w:rPr>
      </w:pPr>
      <w:r w:rsidRPr="00DF3BF1">
        <w:rPr>
          <w:b/>
          <w:sz w:val="24"/>
          <w:szCs w:val="24"/>
        </w:rPr>
        <w:t>Comité des droits de l</w:t>
      </w:r>
      <w:r w:rsidR="004C779B">
        <w:rPr>
          <w:b/>
          <w:sz w:val="24"/>
          <w:szCs w:val="24"/>
        </w:rPr>
        <w:t>’</w:t>
      </w:r>
      <w:r w:rsidRPr="00DF3BF1">
        <w:rPr>
          <w:b/>
          <w:sz w:val="24"/>
          <w:szCs w:val="24"/>
        </w:rPr>
        <w:t>homme</w:t>
      </w:r>
    </w:p>
    <w:p w14:paraId="5701EBA7" w14:textId="77777777" w:rsidR="00D43D1B" w:rsidRPr="0063439D" w:rsidRDefault="00D43D1B" w:rsidP="00CA7BC4">
      <w:pPr>
        <w:pStyle w:val="HChG"/>
      </w:pPr>
      <w:r w:rsidRPr="0063439D">
        <w:tab/>
      </w:r>
      <w:r w:rsidRPr="0063439D">
        <w:tab/>
      </w:r>
      <w:r w:rsidRPr="00A6669D">
        <w:rPr>
          <w:rFonts w:eastAsia="Times New Roman"/>
          <w:bCs/>
          <w:szCs w:val="28"/>
          <w:lang w:val="fr-FR"/>
        </w:rPr>
        <w:t>Constatations adoptées par le Comité au titre de l</w:t>
      </w:r>
      <w:r w:rsidR="004C779B">
        <w:rPr>
          <w:rFonts w:eastAsia="Times New Roman"/>
          <w:bCs/>
          <w:szCs w:val="28"/>
          <w:lang w:val="fr-FR"/>
        </w:rPr>
        <w:t>’</w:t>
      </w:r>
      <w:r w:rsidRPr="00A6669D">
        <w:rPr>
          <w:rFonts w:eastAsia="Times New Roman"/>
          <w:bCs/>
          <w:szCs w:val="28"/>
          <w:lang w:val="fr-FR"/>
        </w:rPr>
        <w:t>article 5 (par.</w:t>
      </w:r>
      <w:r>
        <w:rPr>
          <w:rFonts w:eastAsia="Times New Roman"/>
          <w:bCs/>
          <w:szCs w:val="28"/>
          <w:lang w:val="fr-FR"/>
        </w:rPr>
        <w:t> </w:t>
      </w:r>
      <w:r w:rsidRPr="00A6669D">
        <w:rPr>
          <w:rFonts w:eastAsia="Times New Roman"/>
          <w:bCs/>
          <w:szCs w:val="28"/>
          <w:lang w:val="fr-FR"/>
        </w:rPr>
        <w:t xml:space="preserve">4) du Protocole facultatif, concernant </w:t>
      </w:r>
      <w:r>
        <w:rPr>
          <w:rFonts w:eastAsia="Times New Roman"/>
          <w:bCs/>
          <w:szCs w:val="28"/>
          <w:lang w:val="fr-FR"/>
        </w:rPr>
        <w:br/>
      </w:r>
      <w:r w:rsidRPr="00A6669D">
        <w:rPr>
          <w:rFonts w:eastAsia="Times New Roman"/>
          <w:bCs/>
          <w:szCs w:val="28"/>
          <w:lang w:val="fr-FR"/>
        </w:rPr>
        <w:t>la communication</w:t>
      </w:r>
      <w:r>
        <w:rPr>
          <w:rFonts w:eastAsia="Times New Roman"/>
          <w:bCs/>
          <w:szCs w:val="28"/>
          <w:lang w:val="fr-FR"/>
        </w:rPr>
        <w:t xml:space="preserve"> </w:t>
      </w:r>
      <w:r w:rsidRPr="00A6669D">
        <w:rPr>
          <w:rFonts w:eastAsia="Times New Roman"/>
          <w:bCs/>
          <w:szCs w:val="28"/>
          <w:lang w:val="fr-FR"/>
        </w:rPr>
        <w:t>n</w:t>
      </w:r>
      <w:r w:rsidRPr="00D43D1B">
        <w:rPr>
          <w:rFonts w:eastAsia="Times New Roman"/>
          <w:bCs/>
          <w:szCs w:val="28"/>
          <w:vertAlign w:val="superscript"/>
          <w:lang w:val="fr-FR"/>
        </w:rPr>
        <w:t>o</w:t>
      </w:r>
      <w:r>
        <w:rPr>
          <w:rFonts w:eastAsia="Times New Roman"/>
          <w:bCs/>
          <w:szCs w:val="28"/>
          <w:lang w:val="fr-FR"/>
        </w:rPr>
        <w:t> </w:t>
      </w:r>
      <w:r w:rsidRPr="001269BA">
        <w:rPr>
          <w:rFonts w:eastAsia="Times New Roman"/>
          <w:bCs/>
          <w:szCs w:val="28"/>
          <w:lang w:val="fr-FR"/>
        </w:rPr>
        <w:t>2673/2015</w:t>
      </w:r>
      <w:r w:rsidRPr="00D43D1B">
        <w:rPr>
          <w:rStyle w:val="Appelnotedebasdep"/>
          <w:rFonts w:eastAsia="Times New Roman"/>
          <w:b w:val="0"/>
          <w:bCs/>
          <w:sz w:val="20"/>
          <w:szCs w:val="28"/>
          <w:vertAlign w:val="baseline"/>
        </w:rPr>
        <w:footnoteReference w:customMarkFollows="1" w:id="2"/>
        <w:t>*</w:t>
      </w:r>
      <w:r w:rsidRPr="00D43D1B">
        <w:rPr>
          <w:rFonts w:eastAsia="Times New Roman"/>
          <w:bCs/>
          <w:sz w:val="20"/>
          <w:szCs w:val="28"/>
          <w:vertAlign w:val="superscript"/>
        </w:rPr>
        <w:t>,</w:t>
      </w:r>
      <w:r>
        <w:rPr>
          <w:rFonts w:eastAsia="Times New Roman"/>
          <w:bCs/>
          <w:sz w:val="20"/>
          <w:szCs w:val="28"/>
        </w:rPr>
        <w:t xml:space="preserve"> </w:t>
      </w:r>
      <w:r w:rsidRPr="00D43D1B">
        <w:rPr>
          <w:rStyle w:val="Appelnotedebasdep"/>
          <w:rFonts w:eastAsia="Times New Roman"/>
          <w:b w:val="0"/>
          <w:bCs/>
          <w:sz w:val="20"/>
          <w:szCs w:val="28"/>
          <w:vertAlign w:val="baseline"/>
        </w:rPr>
        <w:footnoteReference w:customMarkFollows="1" w:id="3"/>
        <w:t>**</w:t>
      </w:r>
    </w:p>
    <w:tbl>
      <w:tblPr>
        <w:tblStyle w:val="Grilledutableau"/>
        <w:tblW w:w="6804" w:type="dxa"/>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835"/>
        <w:gridCol w:w="3969"/>
      </w:tblGrid>
      <w:tr w:rsidR="00D43D1B" w:rsidRPr="0063439D" w14:paraId="371F3D9A" w14:textId="77777777" w:rsidTr="008A02A2">
        <w:tc>
          <w:tcPr>
            <w:tcW w:w="2835" w:type="dxa"/>
          </w:tcPr>
          <w:p w14:paraId="7FBA4546" w14:textId="77777777" w:rsidR="00D43D1B" w:rsidRPr="0063439D" w:rsidRDefault="00D43D1B" w:rsidP="008A02A2">
            <w:pPr>
              <w:rPr>
                <w:i/>
              </w:rPr>
            </w:pPr>
            <w:r w:rsidRPr="0063439D">
              <w:rPr>
                <w:i/>
              </w:rPr>
              <w:t>Communication présentée par</w:t>
            </w:r>
            <w:r>
              <w:t> :</w:t>
            </w:r>
          </w:p>
        </w:tc>
        <w:tc>
          <w:tcPr>
            <w:tcW w:w="3969" w:type="dxa"/>
          </w:tcPr>
          <w:p w14:paraId="280085F1" w14:textId="77777777" w:rsidR="00D43D1B" w:rsidRPr="0063439D" w:rsidRDefault="00D43D1B" w:rsidP="008A02A2">
            <w:pPr>
              <w:spacing w:after="120"/>
            </w:pPr>
            <w:r>
              <w:rPr>
                <w:lang w:val="fr-FR"/>
              </w:rPr>
              <w:t>M. S. </w:t>
            </w:r>
            <w:r w:rsidRPr="008C5851">
              <w:rPr>
                <w:lang w:val="fr-FR"/>
              </w:rPr>
              <w:t>P-B (représentée par</w:t>
            </w:r>
            <w:r>
              <w:rPr>
                <w:lang w:val="fr-FR"/>
              </w:rPr>
              <w:t xml:space="preserve"> un conseil,</w:t>
            </w:r>
            <w:r w:rsidRPr="008C5851">
              <w:rPr>
                <w:lang w:val="fr-FR"/>
              </w:rPr>
              <w:t xml:space="preserve"> W.</w:t>
            </w:r>
            <w:r>
              <w:rPr>
                <w:lang w:val="fr-FR"/>
              </w:rPr>
              <w:t> G. </w:t>
            </w:r>
            <w:r w:rsidRPr="008C5851">
              <w:rPr>
                <w:lang w:val="fr-FR"/>
              </w:rPr>
              <w:t>Fisher)</w:t>
            </w:r>
          </w:p>
        </w:tc>
      </w:tr>
      <w:tr w:rsidR="00D43D1B" w:rsidRPr="0063439D" w14:paraId="59D6A85B" w14:textId="77777777" w:rsidTr="008A02A2">
        <w:tc>
          <w:tcPr>
            <w:tcW w:w="2835" w:type="dxa"/>
          </w:tcPr>
          <w:p w14:paraId="448B089F" w14:textId="77777777" w:rsidR="00D43D1B" w:rsidRPr="0063439D" w:rsidRDefault="00D43D1B" w:rsidP="008A02A2">
            <w:pPr>
              <w:rPr>
                <w:i/>
              </w:rPr>
            </w:pPr>
            <w:r w:rsidRPr="0063439D">
              <w:rPr>
                <w:i/>
              </w:rPr>
              <w:t>Au nom de</w:t>
            </w:r>
            <w:r>
              <w:t> :</w:t>
            </w:r>
          </w:p>
        </w:tc>
        <w:tc>
          <w:tcPr>
            <w:tcW w:w="3969" w:type="dxa"/>
          </w:tcPr>
          <w:p w14:paraId="24D6A723" w14:textId="77777777" w:rsidR="00D43D1B" w:rsidRPr="0063439D" w:rsidRDefault="00D43D1B" w:rsidP="008A02A2">
            <w:pPr>
              <w:spacing w:after="120"/>
            </w:pPr>
            <w:r>
              <w:rPr>
                <w:lang w:val="fr-FR"/>
              </w:rPr>
              <w:t>M. S. </w:t>
            </w:r>
            <w:r w:rsidRPr="008C5851">
              <w:rPr>
                <w:lang w:val="fr-FR"/>
              </w:rPr>
              <w:t>P-B</w:t>
            </w:r>
            <w:r>
              <w:rPr>
                <w:lang w:val="fr-FR"/>
              </w:rPr>
              <w:t xml:space="preserve"> et sa fille </w:t>
            </w:r>
            <w:r w:rsidRPr="008C5851">
              <w:rPr>
                <w:lang w:val="fr-FR"/>
              </w:rPr>
              <w:t>S</w:t>
            </w:r>
            <w:r>
              <w:rPr>
                <w:lang w:val="fr-FR"/>
              </w:rPr>
              <w:t>. </w:t>
            </w:r>
            <w:r w:rsidRPr="008C5851">
              <w:rPr>
                <w:lang w:val="fr-FR"/>
              </w:rPr>
              <w:t>P</w:t>
            </w:r>
            <w:r>
              <w:rPr>
                <w:lang w:val="fr-FR"/>
              </w:rPr>
              <w:t>.</w:t>
            </w:r>
          </w:p>
        </w:tc>
      </w:tr>
      <w:tr w:rsidR="00D43D1B" w:rsidRPr="0063439D" w14:paraId="08FA43C6" w14:textId="77777777" w:rsidTr="008A02A2">
        <w:tc>
          <w:tcPr>
            <w:tcW w:w="2835" w:type="dxa"/>
          </w:tcPr>
          <w:p w14:paraId="1B057F35" w14:textId="77777777" w:rsidR="00D43D1B" w:rsidRPr="0063439D" w:rsidRDefault="00D43D1B" w:rsidP="008A02A2">
            <w:pPr>
              <w:rPr>
                <w:i/>
              </w:rPr>
            </w:pPr>
            <w:r w:rsidRPr="0063439D">
              <w:rPr>
                <w:i/>
              </w:rPr>
              <w:t>État partie</w:t>
            </w:r>
            <w:r>
              <w:t> :</w:t>
            </w:r>
          </w:p>
        </w:tc>
        <w:tc>
          <w:tcPr>
            <w:tcW w:w="3969" w:type="dxa"/>
          </w:tcPr>
          <w:p w14:paraId="3CEDC70E" w14:textId="77777777" w:rsidR="00D43D1B" w:rsidRPr="0063439D" w:rsidRDefault="00D43D1B" w:rsidP="008A02A2">
            <w:pPr>
              <w:spacing w:after="120"/>
            </w:pPr>
            <w:r w:rsidRPr="008C5851">
              <w:rPr>
                <w:lang w:val="fr-FR"/>
              </w:rPr>
              <w:t>Pays-Bas</w:t>
            </w:r>
          </w:p>
        </w:tc>
      </w:tr>
      <w:tr w:rsidR="00D43D1B" w:rsidRPr="0063439D" w14:paraId="2B09090C" w14:textId="77777777" w:rsidTr="008A02A2">
        <w:tc>
          <w:tcPr>
            <w:tcW w:w="2835" w:type="dxa"/>
          </w:tcPr>
          <w:p w14:paraId="0406B4B0" w14:textId="77777777" w:rsidR="00D43D1B" w:rsidRPr="0063439D" w:rsidRDefault="00D43D1B" w:rsidP="008A02A2">
            <w:pPr>
              <w:rPr>
                <w:i/>
              </w:rPr>
            </w:pPr>
            <w:r w:rsidRPr="0063439D">
              <w:rPr>
                <w:i/>
              </w:rPr>
              <w:t>Date de la communication</w:t>
            </w:r>
            <w:r>
              <w:t> :</w:t>
            </w:r>
          </w:p>
        </w:tc>
        <w:tc>
          <w:tcPr>
            <w:tcW w:w="3969" w:type="dxa"/>
          </w:tcPr>
          <w:p w14:paraId="104E686E" w14:textId="77777777" w:rsidR="00D43D1B" w:rsidRPr="0063439D" w:rsidRDefault="00D43D1B" w:rsidP="008A02A2">
            <w:pPr>
              <w:spacing w:after="120"/>
            </w:pPr>
            <w:r w:rsidRPr="008C5851">
              <w:rPr>
                <w:lang w:val="fr-FR"/>
              </w:rPr>
              <w:t>10</w:t>
            </w:r>
            <w:r>
              <w:rPr>
                <w:lang w:val="fr-FR"/>
              </w:rPr>
              <w:t> </w:t>
            </w:r>
            <w:r w:rsidRPr="008C5851">
              <w:rPr>
                <w:lang w:val="fr-FR"/>
              </w:rPr>
              <w:t xml:space="preserve">juin 2013 </w:t>
            </w:r>
            <w:r w:rsidRPr="0063439D">
              <w:t>(date de la lettre initiale)</w:t>
            </w:r>
          </w:p>
        </w:tc>
      </w:tr>
      <w:tr w:rsidR="00D43D1B" w:rsidRPr="0063439D" w14:paraId="67073070" w14:textId="77777777" w:rsidTr="008A02A2">
        <w:tc>
          <w:tcPr>
            <w:tcW w:w="2835" w:type="dxa"/>
          </w:tcPr>
          <w:p w14:paraId="14ACD6F9" w14:textId="77777777" w:rsidR="00D43D1B" w:rsidRPr="0063439D" w:rsidRDefault="00D43D1B" w:rsidP="008A02A2">
            <w:pPr>
              <w:rPr>
                <w:i/>
              </w:rPr>
            </w:pPr>
            <w:r w:rsidRPr="0063439D">
              <w:rPr>
                <w:i/>
              </w:rPr>
              <w:t>Références</w:t>
            </w:r>
            <w:r>
              <w:t> :</w:t>
            </w:r>
          </w:p>
        </w:tc>
        <w:tc>
          <w:tcPr>
            <w:tcW w:w="3969" w:type="dxa"/>
          </w:tcPr>
          <w:p w14:paraId="45BFB81E" w14:textId="77777777" w:rsidR="00D43D1B" w:rsidRPr="0063439D" w:rsidRDefault="00D43D1B" w:rsidP="008A02A2">
            <w:pPr>
              <w:spacing w:after="120"/>
            </w:pPr>
            <w:r w:rsidRPr="008C5851">
              <w:rPr>
                <w:lang w:val="fr-FR"/>
              </w:rPr>
              <w:t>Décision prise en application de l</w:t>
            </w:r>
            <w:r w:rsidR="004C779B">
              <w:rPr>
                <w:lang w:val="fr-FR"/>
              </w:rPr>
              <w:t>’</w:t>
            </w:r>
            <w:r w:rsidRPr="008C5851">
              <w:rPr>
                <w:lang w:val="fr-FR"/>
              </w:rPr>
              <w:t>article 97 du règlement intérieur du Comité, communiquée à l</w:t>
            </w:r>
            <w:r w:rsidR="004C779B">
              <w:rPr>
                <w:lang w:val="fr-FR"/>
              </w:rPr>
              <w:t>’</w:t>
            </w:r>
            <w:r w:rsidRPr="008C5851">
              <w:rPr>
                <w:lang w:val="fr-FR"/>
              </w:rPr>
              <w:t>État partie le 10 novembre 2015 (non publiée sous forme de document)</w:t>
            </w:r>
          </w:p>
        </w:tc>
      </w:tr>
      <w:tr w:rsidR="00D43D1B" w:rsidRPr="0063439D" w14:paraId="71FA967A" w14:textId="77777777" w:rsidTr="008A02A2">
        <w:tc>
          <w:tcPr>
            <w:tcW w:w="2835" w:type="dxa"/>
          </w:tcPr>
          <w:p w14:paraId="19DA14DA" w14:textId="77777777" w:rsidR="00D43D1B" w:rsidRPr="0063439D" w:rsidRDefault="00D43D1B" w:rsidP="008A02A2">
            <w:pPr>
              <w:rPr>
                <w:i/>
              </w:rPr>
            </w:pPr>
            <w:r w:rsidRPr="0063439D">
              <w:rPr>
                <w:i/>
              </w:rPr>
              <w:t>Date de</w:t>
            </w:r>
            <w:r>
              <w:rPr>
                <w:i/>
              </w:rPr>
              <w:t>s constatations</w:t>
            </w:r>
            <w:r>
              <w:t> :</w:t>
            </w:r>
          </w:p>
        </w:tc>
        <w:tc>
          <w:tcPr>
            <w:tcW w:w="3969" w:type="dxa"/>
            <w:vAlign w:val="bottom"/>
          </w:tcPr>
          <w:p w14:paraId="5E5EB2B4" w14:textId="77777777" w:rsidR="00D43D1B" w:rsidRPr="0063439D" w:rsidRDefault="00D43D1B" w:rsidP="008A02A2">
            <w:pPr>
              <w:spacing w:after="120"/>
            </w:pPr>
            <w:r>
              <w:rPr>
                <w:lang w:val="fr-FR"/>
              </w:rPr>
              <w:t>25 </w:t>
            </w:r>
            <w:r w:rsidRPr="008C5851">
              <w:rPr>
                <w:lang w:val="fr-FR"/>
              </w:rPr>
              <w:t>juillet 2018</w:t>
            </w:r>
          </w:p>
        </w:tc>
      </w:tr>
      <w:tr w:rsidR="00D43D1B" w:rsidRPr="0063439D" w14:paraId="150139F5" w14:textId="77777777" w:rsidTr="008A02A2">
        <w:tc>
          <w:tcPr>
            <w:tcW w:w="2835" w:type="dxa"/>
          </w:tcPr>
          <w:p w14:paraId="356BC686" w14:textId="77777777" w:rsidR="00D43D1B" w:rsidRPr="0063439D" w:rsidRDefault="00D43D1B" w:rsidP="008A02A2">
            <w:pPr>
              <w:rPr>
                <w:i/>
              </w:rPr>
            </w:pPr>
            <w:r w:rsidRPr="0063439D">
              <w:rPr>
                <w:i/>
              </w:rPr>
              <w:t>Objet</w:t>
            </w:r>
            <w:r>
              <w:t> :</w:t>
            </w:r>
          </w:p>
        </w:tc>
        <w:tc>
          <w:tcPr>
            <w:tcW w:w="3969" w:type="dxa"/>
            <w:vAlign w:val="bottom"/>
          </w:tcPr>
          <w:p w14:paraId="02ABD46E" w14:textId="77777777" w:rsidR="00D43D1B" w:rsidRPr="0063439D" w:rsidRDefault="00D43D1B" w:rsidP="008A02A2">
            <w:pPr>
              <w:spacing w:after="120"/>
            </w:pPr>
            <w:r w:rsidRPr="00E65386">
              <w:rPr>
                <w:iCs/>
                <w:lang w:val="fr-FR"/>
              </w:rPr>
              <w:t xml:space="preserve">Refus de verser une indemnité pour enfant à charge </w:t>
            </w:r>
            <w:r>
              <w:rPr>
                <w:iCs/>
                <w:lang w:val="fr-FR"/>
              </w:rPr>
              <w:t>en l</w:t>
            </w:r>
            <w:r w:rsidR="004C779B">
              <w:rPr>
                <w:iCs/>
                <w:lang w:val="fr-FR"/>
              </w:rPr>
              <w:t>’</w:t>
            </w:r>
            <w:r>
              <w:rPr>
                <w:iCs/>
                <w:lang w:val="fr-FR"/>
              </w:rPr>
              <w:t>absence d</w:t>
            </w:r>
            <w:r w:rsidR="004C779B">
              <w:rPr>
                <w:iCs/>
                <w:lang w:val="fr-FR"/>
              </w:rPr>
              <w:t>’</w:t>
            </w:r>
            <w:r>
              <w:rPr>
                <w:iCs/>
                <w:lang w:val="fr-FR"/>
              </w:rPr>
              <w:t>un</w:t>
            </w:r>
            <w:r w:rsidRPr="00E65386">
              <w:rPr>
                <w:iCs/>
                <w:lang w:val="fr-FR"/>
              </w:rPr>
              <w:t xml:space="preserve"> permis de séjour</w:t>
            </w:r>
          </w:p>
        </w:tc>
      </w:tr>
      <w:tr w:rsidR="00D43D1B" w:rsidRPr="0063439D" w14:paraId="771476CC" w14:textId="77777777" w:rsidTr="008A02A2">
        <w:tc>
          <w:tcPr>
            <w:tcW w:w="2835" w:type="dxa"/>
          </w:tcPr>
          <w:p w14:paraId="6B19361C" w14:textId="77777777" w:rsidR="00D43D1B" w:rsidRPr="0063439D" w:rsidRDefault="00D43D1B" w:rsidP="008A02A2">
            <w:pPr>
              <w:rPr>
                <w:i/>
              </w:rPr>
            </w:pPr>
            <w:r w:rsidRPr="0063439D">
              <w:rPr>
                <w:i/>
              </w:rPr>
              <w:t>Question(s) de procédure</w:t>
            </w:r>
            <w:r>
              <w:t> :</w:t>
            </w:r>
          </w:p>
        </w:tc>
        <w:tc>
          <w:tcPr>
            <w:tcW w:w="3969" w:type="dxa"/>
            <w:vAlign w:val="bottom"/>
          </w:tcPr>
          <w:p w14:paraId="413DB34D" w14:textId="77777777" w:rsidR="00D43D1B" w:rsidRPr="0063439D" w:rsidRDefault="00D43D1B" w:rsidP="008A02A2">
            <w:pPr>
              <w:spacing w:after="120"/>
            </w:pPr>
            <w:r w:rsidRPr="008C5851">
              <w:rPr>
                <w:iCs/>
                <w:lang w:val="fr-FR"/>
              </w:rPr>
              <w:t>Statut de victime</w:t>
            </w:r>
          </w:p>
        </w:tc>
      </w:tr>
      <w:tr w:rsidR="00D43D1B" w:rsidRPr="0063439D" w14:paraId="762DB1D8" w14:textId="77777777" w:rsidTr="008A02A2">
        <w:tc>
          <w:tcPr>
            <w:tcW w:w="2835" w:type="dxa"/>
          </w:tcPr>
          <w:p w14:paraId="671E6A8A" w14:textId="77777777" w:rsidR="00D43D1B" w:rsidRPr="0063439D" w:rsidRDefault="00D43D1B" w:rsidP="008A02A2">
            <w:pPr>
              <w:rPr>
                <w:i/>
              </w:rPr>
            </w:pPr>
            <w:r w:rsidRPr="0063439D">
              <w:rPr>
                <w:i/>
              </w:rPr>
              <w:t>Question(s) de fond</w:t>
            </w:r>
            <w:r>
              <w:t> :</w:t>
            </w:r>
          </w:p>
        </w:tc>
        <w:tc>
          <w:tcPr>
            <w:tcW w:w="3969" w:type="dxa"/>
            <w:vAlign w:val="bottom"/>
          </w:tcPr>
          <w:p w14:paraId="14EA28D8" w14:textId="77777777" w:rsidR="00D43D1B" w:rsidRPr="0063439D" w:rsidRDefault="00D43D1B" w:rsidP="008A02A2">
            <w:pPr>
              <w:spacing w:after="120"/>
            </w:pPr>
            <w:r w:rsidRPr="008C5851">
              <w:rPr>
                <w:lang w:val="fr-FR"/>
              </w:rPr>
              <w:t>Droit à la</w:t>
            </w:r>
            <w:r>
              <w:rPr>
                <w:lang w:val="fr-FR"/>
              </w:rPr>
              <w:t xml:space="preserve"> vie </w:t>
            </w:r>
            <w:r w:rsidRPr="008C5851">
              <w:rPr>
                <w:lang w:val="fr-FR"/>
              </w:rPr>
              <w:t>fam</w:t>
            </w:r>
            <w:r>
              <w:rPr>
                <w:lang w:val="fr-FR"/>
              </w:rPr>
              <w:t>iliale</w:t>
            </w:r>
            <w:r w:rsidRPr="008C5851">
              <w:rPr>
                <w:lang w:val="fr-FR"/>
              </w:rPr>
              <w:t xml:space="preserve"> ; </w:t>
            </w:r>
            <w:r w:rsidRPr="0082230F">
              <w:rPr>
                <w:lang w:val="fr-FR"/>
              </w:rPr>
              <w:t xml:space="preserve">discrimination fondée sur </w:t>
            </w:r>
            <w:r>
              <w:rPr>
                <w:lang w:val="fr-FR"/>
              </w:rPr>
              <w:t>le statut</w:t>
            </w:r>
          </w:p>
        </w:tc>
      </w:tr>
      <w:tr w:rsidR="00D43D1B" w:rsidRPr="0063439D" w14:paraId="1BE71DE2" w14:textId="77777777" w:rsidTr="008A02A2">
        <w:tc>
          <w:tcPr>
            <w:tcW w:w="2835" w:type="dxa"/>
          </w:tcPr>
          <w:p w14:paraId="520CA155" w14:textId="77777777" w:rsidR="00D43D1B" w:rsidRPr="0063439D" w:rsidRDefault="00D43D1B" w:rsidP="008A02A2">
            <w:pPr>
              <w:rPr>
                <w:i/>
              </w:rPr>
            </w:pPr>
            <w:r w:rsidRPr="0063439D">
              <w:rPr>
                <w:i/>
              </w:rPr>
              <w:t>Article(s) du Pacte</w:t>
            </w:r>
            <w:r>
              <w:t> :</w:t>
            </w:r>
          </w:p>
        </w:tc>
        <w:tc>
          <w:tcPr>
            <w:tcW w:w="3969" w:type="dxa"/>
            <w:vAlign w:val="bottom"/>
          </w:tcPr>
          <w:p w14:paraId="49960914" w14:textId="77777777" w:rsidR="00D43D1B" w:rsidRPr="0063439D" w:rsidRDefault="00D43D1B" w:rsidP="008A02A2">
            <w:pPr>
              <w:spacing w:after="120"/>
            </w:pPr>
            <w:r w:rsidRPr="008C5851">
              <w:rPr>
                <w:lang w:val="fr-FR"/>
              </w:rPr>
              <w:t>23</w:t>
            </w:r>
            <w:r>
              <w:rPr>
                <w:lang w:val="fr-FR"/>
              </w:rPr>
              <w:t>,</w:t>
            </w:r>
            <w:r w:rsidRPr="008C5851">
              <w:rPr>
                <w:lang w:val="fr-FR"/>
              </w:rPr>
              <w:t xml:space="preserve"> 24 (par. 1) et</w:t>
            </w:r>
            <w:r>
              <w:rPr>
                <w:lang w:val="fr-FR"/>
              </w:rPr>
              <w:t xml:space="preserve"> </w:t>
            </w:r>
            <w:r w:rsidRPr="008C5851">
              <w:rPr>
                <w:lang w:val="fr-FR"/>
              </w:rPr>
              <w:t>26</w:t>
            </w:r>
          </w:p>
        </w:tc>
      </w:tr>
      <w:tr w:rsidR="00D43D1B" w:rsidRPr="0063439D" w14:paraId="7B91F984" w14:textId="77777777" w:rsidTr="008A02A2">
        <w:tc>
          <w:tcPr>
            <w:tcW w:w="2835" w:type="dxa"/>
          </w:tcPr>
          <w:p w14:paraId="0C7223DF" w14:textId="77777777" w:rsidR="00D43D1B" w:rsidRPr="0063439D" w:rsidRDefault="00D43D1B" w:rsidP="008A02A2">
            <w:pPr>
              <w:rPr>
                <w:i/>
              </w:rPr>
            </w:pPr>
            <w:r w:rsidRPr="0063439D">
              <w:rPr>
                <w:i/>
              </w:rPr>
              <w:t>Article(s) du Protocole facultatif</w:t>
            </w:r>
            <w:r>
              <w:t> :</w:t>
            </w:r>
          </w:p>
        </w:tc>
        <w:tc>
          <w:tcPr>
            <w:tcW w:w="3969" w:type="dxa"/>
            <w:vAlign w:val="bottom"/>
          </w:tcPr>
          <w:p w14:paraId="11D6E167" w14:textId="77777777" w:rsidR="00D43D1B" w:rsidRPr="0063439D" w:rsidRDefault="00D43D1B" w:rsidP="008A02A2">
            <w:pPr>
              <w:spacing w:after="120"/>
            </w:pPr>
            <w:r>
              <w:t>1</w:t>
            </w:r>
          </w:p>
        </w:tc>
      </w:tr>
    </w:tbl>
    <w:p w14:paraId="2A1E39A3" w14:textId="77777777" w:rsidR="00D43D1B" w:rsidRPr="008C5851" w:rsidRDefault="00D43D1B" w:rsidP="00D43D1B">
      <w:pPr>
        <w:pStyle w:val="SingleTxtG"/>
        <w:rPr>
          <w:lang w:val="fr-FR"/>
        </w:rPr>
      </w:pPr>
      <w:r w:rsidRPr="0063439D">
        <w:br w:type="page"/>
      </w:r>
      <w:r w:rsidRPr="008C5851">
        <w:rPr>
          <w:lang w:val="fr-FR"/>
        </w:rPr>
        <w:lastRenderedPageBreak/>
        <w:t>1.</w:t>
      </w:r>
      <w:r w:rsidRPr="008C5851">
        <w:rPr>
          <w:lang w:val="fr-FR"/>
        </w:rPr>
        <w:tab/>
        <w:t>L</w:t>
      </w:r>
      <w:r w:rsidR="004C779B">
        <w:rPr>
          <w:lang w:val="fr-FR"/>
        </w:rPr>
        <w:t>’</w:t>
      </w:r>
      <w:r w:rsidRPr="008C5851">
        <w:rPr>
          <w:lang w:val="fr-FR"/>
        </w:rPr>
        <w:t>auteure de la communication est M</w:t>
      </w:r>
      <w:r>
        <w:rPr>
          <w:lang w:val="fr-FR"/>
        </w:rPr>
        <w:t>. </w:t>
      </w:r>
      <w:r w:rsidRPr="008C5851">
        <w:rPr>
          <w:lang w:val="fr-FR"/>
        </w:rPr>
        <w:t>S.</w:t>
      </w:r>
      <w:r>
        <w:rPr>
          <w:lang w:val="fr-FR"/>
        </w:rPr>
        <w:t> </w:t>
      </w:r>
      <w:r w:rsidRPr="008C5851">
        <w:rPr>
          <w:lang w:val="fr-FR"/>
        </w:rPr>
        <w:t>P</w:t>
      </w:r>
      <w:r>
        <w:rPr>
          <w:lang w:val="fr-FR"/>
        </w:rPr>
        <w:t>.</w:t>
      </w:r>
      <w:r w:rsidRPr="008C5851">
        <w:rPr>
          <w:lang w:val="fr-FR"/>
        </w:rPr>
        <w:t>-B</w:t>
      </w:r>
      <w:r>
        <w:rPr>
          <w:lang w:val="fr-FR"/>
        </w:rPr>
        <w:t>.</w:t>
      </w:r>
      <w:r w:rsidRPr="008C5851">
        <w:rPr>
          <w:lang w:val="fr-FR"/>
        </w:rPr>
        <w:t xml:space="preserve">, née le 25 août 1972. </w:t>
      </w:r>
      <w:r>
        <w:rPr>
          <w:lang w:val="fr-FR"/>
        </w:rPr>
        <w:t xml:space="preserve">Elle </w:t>
      </w:r>
      <w:r w:rsidRPr="008C5851">
        <w:rPr>
          <w:lang w:val="fr-FR"/>
        </w:rPr>
        <w:t>présente sa communication en son nom propre et au nom de sa fille mineure</w:t>
      </w:r>
      <w:r>
        <w:rPr>
          <w:lang w:val="fr-FR"/>
        </w:rPr>
        <w:t>, S. </w:t>
      </w:r>
      <w:r w:rsidRPr="008C5851">
        <w:rPr>
          <w:lang w:val="fr-FR"/>
        </w:rPr>
        <w:t>P</w:t>
      </w:r>
      <w:r>
        <w:rPr>
          <w:lang w:val="fr-FR"/>
        </w:rPr>
        <w:t>.</w:t>
      </w:r>
      <w:r w:rsidRPr="008C5851">
        <w:rPr>
          <w:lang w:val="fr-FR"/>
        </w:rPr>
        <w:t>, née le 10 avril 2001. À la date de présentation de la communication, l</w:t>
      </w:r>
      <w:r w:rsidR="004C779B">
        <w:rPr>
          <w:lang w:val="fr-FR"/>
        </w:rPr>
        <w:t>’</w:t>
      </w:r>
      <w:r w:rsidRPr="008C5851">
        <w:rPr>
          <w:lang w:val="fr-FR"/>
        </w:rPr>
        <w:t xml:space="preserve">auteure et sa fille </w:t>
      </w:r>
      <w:r>
        <w:rPr>
          <w:lang w:val="fr-FR"/>
        </w:rPr>
        <w:t>avaient la nationalité</w:t>
      </w:r>
      <w:r w:rsidRPr="008C5851">
        <w:rPr>
          <w:lang w:val="fr-FR"/>
        </w:rPr>
        <w:t xml:space="preserve"> </w:t>
      </w:r>
      <w:r>
        <w:rPr>
          <w:lang w:val="fr-FR"/>
        </w:rPr>
        <w:t>s</w:t>
      </w:r>
      <w:r w:rsidRPr="008C5851">
        <w:rPr>
          <w:lang w:val="fr-FR"/>
        </w:rPr>
        <w:t>urinam</w:t>
      </w:r>
      <w:r>
        <w:rPr>
          <w:lang w:val="fr-FR"/>
        </w:rPr>
        <w:t>aise</w:t>
      </w:r>
      <w:r w:rsidRPr="008C5851">
        <w:rPr>
          <w:lang w:val="fr-FR"/>
        </w:rPr>
        <w:t xml:space="preserve">, </w:t>
      </w:r>
      <w:r>
        <w:rPr>
          <w:lang w:val="fr-FR"/>
        </w:rPr>
        <w:t xml:space="preserve">mais </w:t>
      </w:r>
      <w:r w:rsidRPr="008C5851">
        <w:rPr>
          <w:lang w:val="fr-FR"/>
        </w:rPr>
        <w:t>elles ont depuis acquis la nationalité néerlandaise. L</w:t>
      </w:r>
      <w:r w:rsidR="004C779B">
        <w:rPr>
          <w:lang w:val="fr-FR"/>
        </w:rPr>
        <w:t>’</w:t>
      </w:r>
      <w:r w:rsidRPr="008C5851">
        <w:rPr>
          <w:lang w:val="fr-FR"/>
        </w:rPr>
        <w:t>auteure allègue une violation par l</w:t>
      </w:r>
      <w:r w:rsidR="004C779B">
        <w:rPr>
          <w:lang w:val="fr-FR"/>
        </w:rPr>
        <w:t>’</w:t>
      </w:r>
      <w:r w:rsidRPr="008C5851">
        <w:rPr>
          <w:lang w:val="fr-FR"/>
        </w:rPr>
        <w:t>État partie des droits qu</w:t>
      </w:r>
      <w:r w:rsidR="004C779B">
        <w:rPr>
          <w:lang w:val="fr-FR"/>
        </w:rPr>
        <w:t>’</w:t>
      </w:r>
      <w:r w:rsidRPr="008C5851">
        <w:rPr>
          <w:lang w:val="fr-FR"/>
        </w:rPr>
        <w:t>elle-même et sa fille tiennent des articles</w:t>
      </w:r>
      <w:r>
        <w:rPr>
          <w:lang w:val="fr-FR"/>
        </w:rPr>
        <w:t> </w:t>
      </w:r>
      <w:r w:rsidRPr="008C5851">
        <w:rPr>
          <w:lang w:val="fr-FR"/>
        </w:rPr>
        <w:t>23, 24 (par. 1) et</w:t>
      </w:r>
      <w:r>
        <w:rPr>
          <w:lang w:val="fr-FR"/>
        </w:rPr>
        <w:t> </w:t>
      </w:r>
      <w:r w:rsidRPr="008C5851">
        <w:rPr>
          <w:lang w:val="fr-FR"/>
        </w:rPr>
        <w:t>26 du Pacte. Le Protocole facultatif est entré en vigueur pour les Pays-Bas le 11 mars 1979. L</w:t>
      </w:r>
      <w:r w:rsidR="004C779B">
        <w:rPr>
          <w:lang w:val="fr-FR"/>
        </w:rPr>
        <w:t>’</w:t>
      </w:r>
      <w:r w:rsidRPr="008C5851">
        <w:rPr>
          <w:lang w:val="fr-FR"/>
        </w:rPr>
        <w:t>auteure est représentée par un conseil.</w:t>
      </w:r>
    </w:p>
    <w:p w14:paraId="6495DF48" w14:textId="77777777" w:rsidR="00D43D1B" w:rsidRPr="008C5851" w:rsidRDefault="00D43D1B" w:rsidP="00D43D1B">
      <w:pPr>
        <w:pStyle w:val="H23G"/>
        <w:rPr>
          <w:lang w:val="fr-FR"/>
        </w:rPr>
      </w:pPr>
      <w:r w:rsidRPr="008C5851">
        <w:rPr>
          <w:lang w:val="fr-FR"/>
        </w:rPr>
        <w:tab/>
      </w:r>
      <w:r w:rsidRPr="008C5851">
        <w:rPr>
          <w:lang w:val="fr-FR"/>
        </w:rPr>
        <w:tab/>
        <w:t>Rappel des faits présentés par l</w:t>
      </w:r>
      <w:r w:rsidR="004C779B">
        <w:rPr>
          <w:lang w:val="fr-FR"/>
        </w:rPr>
        <w:t>’</w:t>
      </w:r>
      <w:r w:rsidRPr="008C5851">
        <w:rPr>
          <w:lang w:val="fr-FR"/>
        </w:rPr>
        <w:t>auteure</w:t>
      </w:r>
    </w:p>
    <w:p w14:paraId="64A3A86B" w14:textId="77777777" w:rsidR="00D43D1B" w:rsidRPr="008C5851" w:rsidRDefault="00D43D1B" w:rsidP="00D43D1B">
      <w:pPr>
        <w:pStyle w:val="SingleTxtG"/>
        <w:rPr>
          <w:lang w:val="fr-FR"/>
        </w:rPr>
      </w:pPr>
      <w:r w:rsidRPr="008C5851">
        <w:rPr>
          <w:lang w:val="fr-FR"/>
        </w:rPr>
        <w:t>2.1</w:t>
      </w:r>
      <w:r w:rsidRPr="008C5851">
        <w:rPr>
          <w:lang w:val="fr-FR"/>
        </w:rPr>
        <w:tab/>
        <w:t>L</w:t>
      </w:r>
      <w:r w:rsidR="004C779B">
        <w:rPr>
          <w:lang w:val="fr-FR"/>
        </w:rPr>
        <w:t>’</w:t>
      </w:r>
      <w:r w:rsidRPr="008C5851">
        <w:rPr>
          <w:lang w:val="fr-FR"/>
        </w:rPr>
        <w:t>auteure est arrivée aux Pays-Bas avec sa fille le 19 </w:t>
      </w:r>
      <w:r w:rsidRPr="000A0B74">
        <w:rPr>
          <w:lang w:val="fr-FR"/>
        </w:rPr>
        <w:t>octobre 2005</w:t>
      </w:r>
      <w:r>
        <w:rPr>
          <w:lang w:val="fr-FR"/>
        </w:rPr>
        <w:t>,</w:t>
      </w:r>
      <w:r w:rsidRPr="000A0B74">
        <w:rPr>
          <w:lang w:val="fr-FR"/>
        </w:rPr>
        <w:t xml:space="preserve"> munie d</w:t>
      </w:r>
      <w:r w:rsidR="004C779B">
        <w:rPr>
          <w:lang w:val="fr-FR"/>
        </w:rPr>
        <w:t>’</w:t>
      </w:r>
      <w:r w:rsidRPr="000A0B74">
        <w:rPr>
          <w:lang w:val="fr-FR"/>
        </w:rPr>
        <w:t xml:space="preserve">un visa de touriste </w:t>
      </w:r>
      <w:r>
        <w:rPr>
          <w:lang w:val="fr-FR"/>
        </w:rPr>
        <w:t>d</w:t>
      </w:r>
      <w:r w:rsidR="004C779B">
        <w:rPr>
          <w:lang w:val="fr-FR"/>
        </w:rPr>
        <w:t>’</w:t>
      </w:r>
      <w:r>
        <w:rPr>
          <w:lang w:val="fr-FR"/>
        </w:rPr>
        <w:t xml:space="preserve">une </w:t>
      </w:r>
      <w:r w:rsidRPr="000A0B74">
        <w:rPr>
          <w:lang w:val="fr-FR"/>
        </w:rPr>
        <w:t>valid</w:t>
      </w:r>
      <w:r>
        <w:rPr>
          <w:lang w:val="fr-FR"/>
        </w:rPr>
        <w:t>ité de quatre-vingt-dix </w:t>
      </w:r>
      <w:r w:rsidRPr="000A0B74">
        <w:rPr>
          <w:lang w:val="fr-FR"/>
        </w:rPr>
        <w:t>jours. À leur arrivée aux Pays-Bas, l</w:t>
      </w:r>
      <w:r w:rsidR="004C779B">
        <w:rPr>
          <w:lang w:val="fr-FR"/>
        </w:rPr>
        <w:t>’</w:t>
      </w:r>
      <w:r w:rsidRPr="000A0B74">
        <w:rPr>
          <w:lang w:val="fr-FR"/>
        </w:rPr>
        <w:t>auteure</w:t>
      </w:r>
      <w:r w:rsidRPr="008C5851">
        <w:rPr>
          <w:lang w:val="fr-FR"/>
        </w:rPr>
        <w:t xml:space="preserve"> et sa fille ont vécu avec le père de l</w:t>
      </w:r>
      <w:r w:rsidR="004C779B">
        <w:rPr>
          <w:lang w:val="fr-FR"/>
        </w:rPr>
        <w:t>’</w:t>
      </w:r>
      <w:r w:rsidRPr="008C5851">
        <w:rPr>
          <w:lang w:val="fr-FR"/>
        </w:rPr>
        <w:t xml:space="preserve">auteure, qui </w:t>
      </w:r>
      <w:r>
        <w:rPr>
          <w:lang w:val="fr-FR"/>
        </w:rPr>
        <w:t xml:space="preserve">est </w:t>
      </w:r>
      <w:r w:rsidRPr="008C5851">
        <w:rPr>
          <w:lang w:val="fr-FR"/>
        </w:rPr>
        <w:t>résident aux Pays-Bas</w:t>
      </w:r>
      <w:r>
        <w:rPr>
          <w:lang w:val="fr-FR"/>
        </w:rPr>
        <w:t xml:space="preserve"> et qui vivait à l</w:t>
      </w:r>
      <w:r w:rsidR="004C779B">
        <w:rPr>
          <w:lang w:val="fr-FR"/>
        </w:rPr>
        <w:t>’</w:t>
      </w:r>
      <w:r>
        <w:rPr>
          <w:lang w:val="fr-FR"/>
        </w:rPr>
        <w:t>époque dans cet État partie</w:t>
      </w:r>
      <w:r w:rsidRPr="008C5851">
        <w:rPr>
          <w:lang w:val="fr-FR"/>
        </w:rPr>
        <w:t xml:space="preserve">. Un examen médical pratiqué </w:t>
      </w:r>
      <w:r>
        <w:rPr>
          <w:lang w:val="fr-FR"/>
        </w:rPr>
        <w:t>aux Pays-Bas</w:t>
      </w:r>
      <w:r w:rsidRPr="008C5851">
        <w:rPr>
          <w:lang w:val="fr-FR"/>
        </w:rPr>
        <w:t xml:space="preserve"> a révélé que la fille de l</w:t>
      </w:r>
      <w:r w:rsidR="004C779B">
        <w:rPr>
          <w:lang w:val="fr-FR"/>
        </w:rPr>
        <w:t>’</w:t>
      </w:r>
      <w:r w:rsidRPr="008C5851">
        <w:rPr>
          <w:lang w:val="fr-FR"/>
        </w:rPr>
        <w:t>auteure souffrait d</w:t>
      </w:r>
      <w:r w:rsidR="004C779B">
        <w:rPr>
          <w:lang w:val="fr-FR"/>
        </w:rPr>
        <w:t>’</w:t>
      </w:r>
      <w:r w:rsidRPr="008C5851">
        <w:rPr>
          <w:lang w:val="fr-FR"/>
        </w:rPr>
        <w:t>un trouble rare du métabolisme empêchant son cerveau d</w:t>
      </w:r>
      <w:r w:rsidR="004C779B">
        <w:rPr>
          <w:lang w:val="fr-FR"/>
        </w:rPr>
        <w:t>’</w:t>
      </w:r>
      <w:r>
        <w:rPr>
          <w:lang w:val="fr-FR"/>
        </w:rPr>
        <w:t>assimiler suffisamment de</w:t>
      </w:r>
      <w:r w:rsidRPr="008C5851">
        <w:rPr>
          <w:lang w:val="fr-FR"/>
        </w:rPr>
        <w:t xml:space="preserve"> glucose. Depuis lors, elle suit un régime </w:t>
      </w:r>
      <w:r w:rsidRPr="004501F3">
        <w:rPr>
          <w:lang w:val="fr-FR"/>
        </w:rPr>
        <w:t>cétogène</w:t>
      </w:r>
      <w:r w:rsidRPr="008C5851">
        <w:rPr>
          <w:lang w:val="fr-FR"/>
        </w:rPr>
        <w:t xml:space="preserve"> qui fait en sorte que le tissu cérébral puisse </w:t>
      </w:r>
      <w:r>
        <w:rPr>
          <w:lang w:val="fr-FR"/>
        </w:rPr>
        <w:t>assimiler d</w:t>
      </w:r>
      <w:r w:rsidRPr="008C5851">
        <w:rPr>
          <w:lang w:val="fr-FR"/>
        </w:rPr>
        <w:t xml:space="preserve">es </w:t>
      </w:r>
      <w:r>
        <w:rPr>
          <w:lang w:val="fr-FR"/>
        </w:rPr>
        <w:t>corps cétoniques</w:t>
      </w:r>
      <w:r w:rsidRPr="008C5851">
        <w:rPr>
          <w:lang w:val="fr-FR"/>
        </w:rPr>
        <w:t xml:space="preserve"> </w:t>
      </w:r>
      <w:r>
        <w:rPr>
          <w:lang w:val="fr-FR"/>
        </w:rPr>
        <w:t xml:space="preserve">à la place du glucose. La </w:t>
      </w:r>
      <w:r w:rsidRPr="008C5851">
        <w:rPr>
          <w:lang w:val="fr-FR"/>
        </w:rPr>
        <w:t>carence en glucose dont souffre la fille de l</w:t>
      </w:r>
      <w:r w:rsidR="004C779B">
        <w:rPr>
          <w:lang w:val="fr-FR"/>
        </w:rPr>
        <w:t>’</w:t>
      </w:r>
      <w:r w:rsidRPr="008C5851">
        <w:rPr>
          <w:lang w:val="fr-FR"/>
        </w:rPr>
        <w:t>auteure a toutefois provoqué une incapacité physique et psychosociale permanente</w:t>
      </w:r>
      <w:r w:rsidRPr="001269BA">
        <w:rPr>
          <w:rStyle w:val="Appelnotedebasdep"/>
        </w:rPr>
        <w:footnoteReference w:id="4"/>
      </w:r>
      <w:r w:rsidRPr="008C5851">
        <w:rPr>
          <w:lang w:val="fr-FR"/>
        </w:rPr>
        <w:t>. L</w:t>
      </w:r>
      <w:r w:rsidR="004C779B">
        <w:rPr>
          <w:lang w:val="fr-FR"/>
        </w:rPr>
        <w:t>’</w:t>
      </w:r>
      <w:r w:rsidRPr="008C5851">
        <w:rPr>
          <w:lang w:val="fr-FR"/>
        </w:rPr>
        <w:t xml:space="preserve">auteure </w:t>
      </w:r>
      <w:r>
        <w:rPr>
          <w:lang w:val="fr-FR"/>
        </w:rPr>
        <w:t xml:space="preserve">a envisagé de </w:t>
      </w:r>
      <w:r w:rsidRPr="008C5851">
        <w:rPr>
          <w:lang w:val="fr-FR"/>
        </w:rPr>
        <w:t>retourn</w:t>
      </w:r>
      <w:r>
        <w:rPr>
          <w:lang w:val="fr-FR"/>
        </w:rPr>
        <w:t>er</w:t>
      </w:r>
      <w:r w:rsidRPr="008C5851">
        <w:rPr>
          <w:lang w:val="fr-FR"/>
        </w:rPr>
        <w:t xml:space="preserve"> au Suriname </w:t>
      </w:r>
      <w:r>
        <w:rPr>
          <w:lang w:val="fr-FR"/>
        </w:rPr>
        <w:t xml:space="preserve">mais </w:t>
      </w:r>
      <w:r w:rsidRPr="008C5851">
        <w:rPr>
          <w:lang w:val="fr-FR"/>
        </w:rPr>
        <w:t>les aliments nécessaires au régime cétogène de sa fille n</w:t>
      </w:r>
      <w:r w:rsidR="004C779B">
        <w:rPr>
          <w:lang w:val="fr-FR"/>
        </w:rPr>
        <w:t>’</w:t>
      </w:r>
      <w:r w:rsidRPr="008C5851">
        <w:rPr>
          <w:lang w:val="fr-FR"/>
        </w:rPr>
        <w:t xml:space="preserve">y sont pas disponibles. Elle indique que des conseillers médicaux et des médecins ont déclaré que si elle ne suivait pas </w:t>
      </w:r>
      <w:r>
        <w:rPr>
          <w:lang w:val="fr-FR"/>
        </w:rPr>
        <w:t>c</w:t>
      </w:r>
      <w:r w:rsidRPr="008C5851">
        <w:rPr>
          <w:lang w:val="fr-FR"/>
        </w:rPr>
        <w:t>e régime, sa fille se trouverait en situation d</w:t>
      </w:r>
      <w:r w:rsidR="004C779B">
        <w:rPr>
          <w:lang w:val="fr-FR"/>
        </w:rPr>
        <w:t>’</w:t>
      </w:r>
      <w:r w:rsidRPr="008C5851">
        <w:rPr>
          <w:lang w:val="fr-FR"/>
        </w:rPr>
        <w:t>urgence</w:t>
      </w:r>
      <w:r w:rsidRPr="00F64FE0">
        <w:rPr>
          <w:lang w:val="fr-FR"/>
        </w:rPr>
        <w:t xml:space="preserve"> </w:t>
      </w:r>
      <w:r w:rsidRPr="008C5851">
        <w:rPr>
          <w:lang w:val="fr-FR"/>
        </w:rPr>
        <w:t>médicale, risquant des lésions cérébrales</w:t>
      </w:r>
      <w:r>
        <w:rPr>
          <w:lang w:val="fr-FR"/>
        </w:rPr>
        <w:t xml:space="preserve"> ou </w:t>
      </w:r>
      <w:r w:rsidRPr="008C5851">
        <w:rPr>
          <w:lang w:val="fr-FR"/>
        </w:rPr>
        <w:t>d</w:t>
      </w:r>
      <w:r w:rsidR="004C779B">
        <w:rPr>
          <w:lang w:val="fr-FR"/>
        </w:rPr>
        <w:t>’</w:t>
      </w:r>
      <w:r w:rsidRPr="008C5851">
        <w:rPr>
          <w:lang w:val="fr-FR"/>
        </w:rPr>
        <w:t>autres formes</w:t>
      </w:r>
      <w:r w:rsidRPr="008D3BC9">
        <w:rPr>
          <w:lang w:val="fr-FR"/>
        </w:rPr>
        <w:t xml:space="preserve"> </w:t>
      </w:r>
      <w:r w:rsidRPr="005C6B5D">
        <w:rPr>
          <w:lang w:val="fr-FR"/>
        </w:rPr>
        <w:t>graves</w:t>
      </w:r>
      <w:r w:rsidRPr="008C5851">
        <w:rPr>
          <w:lang w:val="fr-FR"/>
        </w:rPr>
        <w:t xml:space="preserve"> de </w:t>
      </w:r>
      <w:r w:rsidRPr="005C6B5D">
        <w:rPr>
          <w:lang w:val="fr-FR"/>
        </w:rPr>
        <w:t>dé</w:t>
      </w:r>
      <w:r>
        <w:rPr>
          <w:lang w:val="fr-FR"/>
        </w:rPr>
        <w:t>générescence</w:t>
      </w:r>
      <w:r w:rsidRPr="005C6B5D">
        <w:rPr>
          <w:lang w:val="fr-FR"/>
        </w:rPr>
        <w:t xml:space="preserve"> physique ou mentale, voire</w:t>
      </w:r>
      <w:r w:rsidRPr="008C5851">
        <w:rPr>
          <w:lang w:val="fr-FR"/>
        </w:rPr>
        <w:t xml:space="preserve"> la mort. </w:t>
      </w:r>
    </w:p>
    <w:p w14:paraId="7580F3D9" w14:textId="77777777" w:rsidR="00D43D1B" w:rsidRPr="008C5851" w:rsidRDefault="00D43D1B" w:rsidP="00D43D1B">
      <w:pPr>
        <w:pStyle w:val="SingleTxtG"/>
        <w:rPr>
          <w:lang w:val="fr-FR"/>
        </w:rPr>
      </w:pPr>
      <w:r w:rsidRPr="008C5851">
        <w:rPr>
          <w:lang w:val="fr-FR"/>
        </w:rPr>
        <w:t>2.2</w:t>
      </w:r>
      <w:r w:rsidRPr="008C5851">
        <w:rPr>
          <w:lang w:val="fr-FR"/>
        </w:rPr>
        <w:tab/>
        <w:t xml:space="preserve">Le 13 juin 2006, </w:t>
      </w:r>
      <w:bookmarkStart w:id="0" w:name="_Hlk13060792"/>
      <w:r w:rsidRPr="008C5851">
        <w:rPr>
          <w:lang w:val="fr-FR"/>
        </w:rPr>
        <w:t>l</w:t>
      </w:r>
      <w:r w:rsidR="004C779B">
        <w:rPr>
          <w:lang w:val="fr-FR"/>
        </w:rPr>
        <w:t>’</w:t>
      </w:r>
      <w:r w:rsidRPr="008C5851">
        <w:rPr>
          <w:lang w:val="fr-FR"/>
        </w:rPr>
        <w:t xml:space="preserve">auteure a demandé pour sa fille un permis de séjour pour </w:t>
      </w:r>
      <w:r>
        <w:rPr>
          <w:lang w:val="fr-FR"/>
        </w:rPr>
        <w:t>raisons</w:t>
      </w:r>
      <w:r w:rsidRPr="008C5851">
        <w:rPr>
          <w:lang w:val="fr-FR"/>
        </w:rPr>
        <w:t xml:space="preserve"> médica</w:t>
      </w:r>
      <w:r>
        <w:rPr>
          <w:lang w:val="fr-FR"/>
        </w:rPr>
        <w:t>les</w:t>
      </w:r>
      <w:bookmarkEnd w:id="0"/>
      <w:r w:rsidRPr="008C5851">
        <w:rPr>
          <w:lang w:val="fr-FR"/>
        </w:rPr>
        <w:t xml:space="preserve">, </w:t>
      </w:r>
      <w:r>
        <w:rPr>
          <w:lang w:val="fr-FR"/>
        </w:rPr>
        <w:t xml:space="preserve">demande </w:t>
      </w:r>
      <w:r w:rsidRPr="008C5851">
        <w:rPr>
          <w:lang w:val="fr-FR"/>
        </w:rPr>
        <w:t>suite à laquelle l</w:t>
      </w:r>
      <w:r w:rsidR="004C779B">
        <w:rPr>
          <w:lang w:val="fr-FR"/>
        </w:rPr>
        <w:t>’</w:t>
      </w:r>
      <w:r w:rsidRPr="008C5851">
        <w:rPr>
          <w:lang w:val="fr-FR"/>
        </w:rPr>
        <w:t>état de santé de sa fille et sa situation au regard de la réglementation sur le séjour ont fait l</w:t>
      </w:r>
      <w:r w:rsidR="004C779B">
        <w:rPr>
          <w:lang w:val="fr-FR"/>
        </w:rPr>
        <w:t>’</w:t>
      </w:r>
      <w:r w:rsidRPr="008C5851">
        <w:rPr>
          <w:lang w:val="fr-FR"/>
        </w:rPr>
        <w:t>objet d</w:t>
      </w:r>
      <w:r w:rsidR="004C779B">
        <w:rPr>
          <w:lang w:val="fr-FR"/>
        </w:rPr>
        <w:t>’</w:t>
      </w:r>
      <w:r w:rsidRPr="008C5851">
        <w:rPr>
          <w:lang w:val="fr-FR"/>
        </w:rPr>
        <w:t>un examen. Durant cette période, l</w:t>
      </w:r>
      <w:r w:rsidR="004C779B">
        <w:rPr>
          <w:lang w:val="fr-FR"/>
        </w:rPr>
        <w:t>’</w:t>
      </w:r>
      <w:r w:rsidRPr="008C5851">
        <w:rPr>
          <w:lang w:val="fr-FR"/>
        </w:rPr>
        <w:t xml:space="preserve">auteure et sa fille ont séjourné régulièrement aux Pays-Bas </w:t>
      </w:r>
      <w:bookmarkStart w:id="1" w:name="_Hlk13061115"/>
      <w:r w:rsidRPr="008C5851">
        <w:rPr>
          <w:lang w:val="fr-FR"/>
        </w:rPr>
        <w:t>sous le statut « en instance</w:t>
      </w:r>
      <w:r>
        <w:rPr>
          <w:lang w:val="fr-FR"/>
        </w:rPr>
        <w:t xml:space="preserve"> d</w:t>
      </w:r>
      <w:r w:rsidR="004C779B">
        <w:rPr>
          <w:lang w:val="fr-FR"/>
        </w:rPr>
        <w:t>’</w:t>
      </w:r>
      <w:r>
        <w:rPr>
          <w:lang w:val="fr-FR"/>
        </w:rPr>
        <w:t>examen</w:t>
      </w:r>
      <w:r w:rsidRPr="008C5851">
        <w:rPr>
          <w:lang w:val="fr-FR"/>
        </w:rPr>
        <w:t xml:space="preserve"> ». </w:t>
      </w:r>
      <w:bookmarkEnd w:id="1"/>
      <w:r>
        <w:rPr>
          <w:lang w:val="fr-FR"/>
        </w:rPr>
        <w:t xml:space="preserve">Le </w:t>
      </w:r>
      <w:r w:rsidRPr="008C5851">
        <w:rPr>
          <w:lang w:val="fr-FR"/>
        </w:rPr>
        <w:t>16 septembre 2009, un permis de séjour d</w:t>
      </w:r>
      <w:r w:rsidR="004C779B">
        <w:rPr>
          <w:lang w:val="fr-FR"/>
        </w:rPr>
        <w:t>’</w:t>
      </w:r>
      <w:r w:rsidRPr="008C5851">
        <w:rPr>
          <w:lang w:val="fr-FR"/>
        </w:rPr>
        <w:t xml:space="preserve">un an leur a été octroyé. En 2010, elles ont acquis la nationalité néerlandaise. </w:t>
      </w:r>
    </w:p>
    <w:p w14:paraId="6F17CA02" w14:textId="77777777" w:rsidR="00D43D1B" w:rsidRPr="008C5851" w:rsidRDefault="00D43D1B" w:rsidP="00D43D1B">
      <w:pPr>
        <w:pStyle w:val="SingleTxtG"/>
        <w:rPr>
          <w:spacing w:val="-2"/>
          <w:lang w:val="fr-FR"/>
        </w:rPr>
      </w:pPr>
      <w:r w:rsidRPr="008C5851">
        <w:rPr>
          <w:spacing w:val="-2"/>
          <w:lang w:val="fr-FR"/>
        </w:rPr>
        <w:t>2.3</w:t>
      </w:r>
      <w:r w:rsidRPr="008C5851">
        <w:rPr>
          <w:spacing w:val="-2"/>
          <w:lang w:val="fr-FR"/>
        </w:rPr>
        <w:tab/>
      </w:r>
      <w:r>
        <w:rPr>
          <w:spacing w:val="-2"/>
          <w:lang w:val="fr-FR"/>
        </w:rPr>
        <w:t>Alors que sa demande de permis de séjour était en instance d</w:t>
      </w:r>
      <w:r w:rsidR="004C779B">
        <w:rPr>
          <w:spacing w:val="-2"/>
          <w:lang w:val="fr-FR"/>
        </w:rPr>
        <w:t>’</w:t>
      </w:r>
      <w:r>
        <w:rPr>
          <w:spacing w:val="-2"/>
          <w:lang w:val="fr-FR"/>
        </w:rPr>
        <w:t xml:space="preserve">examen, </w:t>
      </w:r>
      <w:r w:rsidRPr="008C5851">
        <w:rPr>
          <w:spacing w:val="-2"/>
          <w:lang w:val="fr-FR"/>
        </w:rPr>
        <w:t>l</w:t>
      </w:r>
      <w:r w:rsidR="004C779B">
        <w:rPr>
          <w:spacing w:val="-2"/>
          <w:lang w:val="fr-FR"/>
        </w:rPr>
        <w:t>’</w:t>
      </w:r>
      <w:r w:rsidRPr="008C5851">
        <w:rPr>
          <w:spacing w:val="-2"/>
          <w:lang w:val="fr-FR"/>
        </w:rPr>
        <w:t>auteure a demandé une « </w:t>
      </w:r>
      <w:bookmarkStart w:id="2" w:name="_Hlk13061869"/>
      <w:r w:rsidRPr="008C5851">
        <w:rPr>
          <w:spacing w:val="-2"/>
          <w:lang w:val="fr-FR"/>
        </w:rPr>
        <w:t>indemnité générale pour enfant à charge </w:t>
      </w:r>
      <w:bookmarkEnd w:id="2"/>
      <w:r w:rsidRPr="008C5851">
        <w:rPr>
          <w:spacing w:val="-2"/>
          <w:lang w:val="fr-FR"/>
        </w:rPr>
        <w:t>» pour sa fille</w:t>
      </w:r>
      <w:r>
        <w:rPr>
          <w:spacing w:val="-2"/>
          <w:lang w:val="fr-FR"/>
        </w:rPr>
        <w:t xml:space="preserve"> l</w:t>
      </w:r>
      <w:r w:rsidRPr="008C5851">
        <w:rPr>
          <w:spacing w:val="-2"/>
          <w:lang w:val="fr-FR"/>
        </w:rPr>
        <w:t xml:space="preserve">e 11 juin 2006. </w:t>
      </w:r>
      <w:bookmarkStart w:id="3" w:name="_Hlk12889457"/>
      <w:r w:rsidRPr="008C5851">
        <w:rPr>
          <w:spacing w:val="-2"/>
          <w:lang w:val="fr-FR"/>
        </w:rPr>
        <w:t>L</w:t>
      </w:r>
      <w:r w:rsidR="004C779B">
        <w:rPr>
          <w:spacing w:val="-2"/>
          <w:lang w:val="fr-FR"/>
        </w:rPr>
        <w:t>’</w:t>
      </w:r>
      <w:r w:rsidRPr="008C5851">
        <w:rPr>
          <w:spacing w:val="-2"/>
          <w:lang w:val="fr-FR"/>
        </w:rPr>
        <w:t xml:space="preserve">indemnité générale pour enfant à charge </w:t>
      </w:r>
      <w:bookmarkEnd w:id="3"/>
      <w:r w:rsidRPr="008C5851">
        <w:rPr>
          <w:spacing w:val="-2"/>
          <w:lang w:val="fr-FR"/>
        </w:rPr>
        <w:t xml:space="preserve">est </w:t>
      </w:r>
      <w:r>
        <w:rPr>
          <w:spacing w:val="-2"/>
          <w:lang w:val="fr-FR"/>
        </w:rPr>
        <w:t xml:space="preserve">accordée </w:t>
      </w:r>
      <w:r w:rsidRPr="008C5851">
        <w:rPr>
          <w:spacing w:val="-2"/>
          <w:lang w:val="fr-FR"/>
        </w:rPr>
        <w:t xml:space="preserve">à toutes les familles </w:t>
      </w:r>
      <w:r>
        <w:rPr>
          <w:spacing w:val="-2"/>
          <w:lang w:val="fr-FR"/>
        </w:rPr>
        <w:t xml:space="preserve">avec </w:t>
      </w:r>
      <w:r w:rsidRPr="008C5851">
        <w:rPr>
          <w:spacing w:val="-2"/>
          <w:lang w:val="fr-FR"/>
        </w:rPr>
        <w:t>enfants</w:t>
      </w:r>
      <w:r>
        <w:rPr>
          <w:spacing w:val="-2"/>
          <w:lang w:val="fr-FR"/>
        </w:rPr>
        <w:t xml:space="preserve"> et </w:t>
      </w:r>
      <w:r w:rsidRPr="008C5851">
        <w:rPr>
          <w:spacing w:val="-2"/>
          <w:lang w:val="fr-FR"/>
        </w:rPr>
        <w:t>est versée au parent dans l</w:t>
      </w:r>
      <w:r w:rsidR="004C779B">
        <w:rPr>
          <w:spacing w:val="-2"/>
          <w:lang w:val="fr-FR"/>
        </w:rPr>
        <w:t>’</w:t>
      </w:r>
      <w:r w:rsidRPr="008C5851">
        <w:rPr>
          <w:spacing w:val="-2"/>
          <w:lang w:val="fr-FR"/>
        </w:rPr>
        <w:t>intérêt de l</w:t>
      </w:r>
      <w:r w:rsidR="004C779B">
        <w:rPr>
          <w:spacing w:val="-2"/>
          <w:lang w:val="fr-FR"/>
        </w:rPr>
        <w:t>’</w:t>
      </w:r>
      <w:r w:rsidRPr="008C5851">
        <w:rPr>
          <w:spacing w:val="-2"/>
          <w:lang w:val="fr-FR"/>
        </w:rPr>
        <w:t>enfant et à son bénéfice. Le 13 juin 2008, l</w:t>
      </w:r>
      <w:r w:rsidR="004C779B">
        <w:rPr>
          <w:spacing w:val="-2"/>
          <w:lang w:val="fr-FR"/>
        </w:rPr>
        <w:t>’</w:t>
      </w:r>
      <w:r w:rsidRPr="008C5851">
        <w:rPr>
          <w:spacing w:val="-2"/>
          <w:lang w:val="fr-FR"/>
        </w:rPr>
        <w:t>auteure a présenté une nouvelle demande d</w:t>
      </w:r>
      <w:r w:rsidR="004C779B">
        <w:rPr>
          <w:spacing w:val="-2"/>
          <w:lang w:val="fr-FR"/>
        </w:rPr>
        <w:t>’</w:t>
      </w:r>
      <w:r w:rsidRPr="008C5851">
        <w:rPr>
          <w:spacing w:val="-2"/>
          <w:lang w:val="fr-FR"/>
        </w:rPr>
        <w:t>indemnité générale pour enfant à charge. Cette demande a été rejetée par la Banque d</w:t>
      </w:r>
      <w:r>
        <w:rPr>
          <w:spacing w:val="-2"/>
          <w:lang w:val="fr-FR"/>
        </w:rPr>
        <w:t xml:space="preserve">es </w:t>
      </w:r>
      <w:r w:rsidRPr="008C5851">
        <w:rPr>
          <w:spacing w:val="-2"/>
          <w:lang w:val="fr-FR"/>
        </w:rPr>
        <w:t>assurance</w:t>
      </w:r>
      <w:r>
        <w:rPr>
          <w:spacing w:val="-2"/>
          <w:lang w:val="fr-FR"/>
        </w:rPr>
        <w:t>s</w:t>
      </w:r>
      <w:r w:rsidRPr="008C5851">
        <w:rPr>
          <w:spacing w:val="-2"/>
          <w:lang w:val="fr-FR"/>
        </w:rPr>
        <w:t xml:space="preserve"> sociale</w:t>
      </w:r>
      <w:r>
        <w:rPr>
          <w:spacing w:val="-2"/>
          <w:lang w:val="fr-FR"/>
        </w:rPr>
        <w:t>s</w:t>
      </w:r>
      <w:r w:rsidRPr="008C5851">
        <w:rPr>
          <w:spacing w:val="-2"/>
          <w:lang w:val="fr-FR"/>
        </w:rPr>
        <w:t xml:space="preserve"> le 10 juillet 2008. </w:t>
      </w:r>
      <w:r w:rsidRPr="00D43D1B">
        <w:rPr>
          <w:lang w:val="fr-FR"/>
        </w:rPr>
        <w:t>L</w:t>
      </w:r>
      <w:r w:rsidR="004C779B">
        <w:rPr>
          <w:lang w:val="fr-FR"/>
        </w:rPr>
        <w:t>’</w:t>
      </w:r>
      <w:r w:rsidRPr="00D43D1B">
        <w:rPr>
          <w:lang w:val="fr-FR"/>
        </w:rPr>
        <w:t>auteure</w:t>
      </w:r>
      <w:r w:rsidRPr="008C5851">
        <w:rPr>
          <w:spacing w:val="-2"/>
          <w:lang w:val="fr-FR"/>
        </w:rPr>
        <w:t xml:space="preserve"> a f</w:t>
      </w:r>
      <w:r>
        <w:rPr>
          <w:spacing w:val="-2"/>
          <w:lang w:val="fr-FR"/>
        </w:rPr>
        <w:t xml:space="preserve">ormé un recours contre </w:t>
      </w:r>
      <w:r w:rsidRPr="008C5851">
        <w:rPr>
          <w:spacing w:val="-2"/>
          <w:lang w:val="fr-FR"/>
        </w:rPr>
        <w:t>cette décision devant le tribunal de district d</w:t>
      </w:r>
      <w:r w:rsidR="004C779B">
        <w:rPr>
          <w:spacing w:val="-2"/>
          <w:lang w:val="fr-FR"/>
        </w:rPr>
        <w:t>’</w:t>
      </w:r>
      <w:r w:rsidRPr="008C5851">
        <w:rPr>
          <w:spacing w:val="-2"/>
          <w:lang w:val="fr-FR"/>
        </w:rPr>
        <w:t xml:space="preserve">Amsterdam, </w:t>
      </w:r>
      <w:r>
        <w:rPr>
          <w:spacing w:val="-2"/>
          <w:lang w:val="fr-FR"/>
        </w:rPr>
        <w:t>affirmant</w:t>
      </w:r>
      <w:r w:rsidRPr="008C5851">
        <w:rPr>
          <w:spacing w:val="-2"/>
          <w:lang w:val="fr-FR"/>
        </w:rPr>
        <w:t xml:space="preserve"> que le rejet de sa demande d</w:t>
      </w:r>
      <w:r w:rsidR="004C779B">
        <w:rPr>
          <w:spacing w:val="-2"/>
          <w:lang w:val="fr-FR"/>
        </w:rPr>
        <w:t>’</w:t>
      </w:r>
      <w:r w:rsidRPr="008C5851">
        <w:rPr>
          <w:spacing w:val="-2"/>
          <w:lang w:val="fr-FR"/>
        </w:rPr>
        <w:t xml:space="preserve">indemnité pour la période allant du deuxième trimestre de 2007 au troisième trimestre de 2008 </w:t>
      </w:r>
      <w:r>
        <w:rPr>
          <w:spacing w:val="-2"/>
          <w:lang w:val="fr-FR"/>
        </w:rPr>
        <w:t xml:space="preserve">était dû à </w:t>
      </w:r>
      <w:r w:rsidRPr="008C5851">
        <w:rPr>
          <w:spacing w:val="-2"/>
          <w:lang w:val="fr-FR"/>
        </w:rPr>
        <w:t xml:space="preserve">une distinction illégale fondée sur </w:t>
      </w:r>
      <w:r>
        <w:rPr>
          <w:spacing w:val="-2"/>
          <w:lang w:val="fr-FR"/>
        </w:rPr>
        <w:t>s</w:t>
      </w:r>
      <w:r w:rsidRPr="008C5851">
        <w:rPr>
          <w:spacing w:val="-2"/>
          <w:lang w:val="fr-FR"/>
        </w:rPr>
        <w:t xml:space="preserve">a situation au regard de la réglementation relative au séjour. </w:t>
      </w:r>
      <w:r>
        <w:rPr>
          <w:spacing w:val="-2"/>
          <w:lang w:val="fr-FR"/>
        </w:rPr>
        <w:t>L</w:t>
      </w:r>
      <w:r w:rsidRPr="008C5851">
        <w:rPr>
          <w:spacing w:val="-2"/>
          <w:lang w:val="fr-FR"/>
        </w:rPr>
        <w:t xml:space="preserve">e 9 décembre 2009, </w:t>
      </w:r>
      <w:r>
        <w:rPr>
          <w:spacing w:val="-2"/>
          <w:lang w:val="fr-FR"/>
        </w:rPr>
        <w:t>l</w:t>
      </w:r>
      <w:r w:rsidRPr="008C5851">
        <w:rPr>
          <w:spacing w:val="-2"/>
          <w:lang w:val="fr-FR"/>
        </w:rPr>
        <w:t>e tribunal de district a rejeté le recours de l</w:t>
      </w:r>
      <w:r w:rsidR="004C779B">
        <w:rPr>
          <w:spacing w:val="-2"/>
          <w:lang w:val="fr-FR"/>
        </w:rPr>
        <w:t>’</w:t>
      </w:r>
      <w:r w:rsidRPr="008C5851">
        <w:rPr>
          <w:spacing w:val="-2"/>
          <w:lang w:val="fr-FR"/>
        </w:rPr>
        <w:t>auteure</w:t>
      </w:r>
      <w:r>
        <w:rPr>
          <w:spacing w:val="-2"/>
          <w:lang w:val="fr-FR"/>
        </w:rPr>
        <w:t>,</w:t>
      </w:r>
      <w:r w:rsidRPr="008C5851">
        <w:rPr>
          <w:spacing w:val="-2"/>
          <w:lang w:val="fr-FR"/>
        </w:rPr>
        <w:t xml:space="preserve"> considérant que, comme l</w:t>
      </w:r>
      <w:r w:rsidR="004C779B">
        <w:rPr>
          <w:spacing w:val="-2"/>
          <w:lang w:val="fr-FR"/>
        </w:rPr>
        <w:t>’</w:t>
      </w:r>
      <w:r w:rsidRPr="008C5851">
        <w:rPr>
          <w:spacing w:val="-2"/>
          <w:lang w:val="fr-FR"/>
        </w:rPr>
        <w:t>auteure n</w:t>
      </w:r>
      <w:r w:rsidR="004C779B">
        <w:rPr>
          <w:spacing w:val="-2"/>
          <w:lang w:val="fr-FR"/>
        </w:rPr>
        <w:t>’</w:t>
      </w:r>
      <w:r w:rsidRPr="008C5851">
        <w:rPr>
          <w:spacing w:val="-2"/>
          <w:lang w:val="fr-FR"/>
        </w:rPr>
        <w:t>était pas titulaire d</w:t>
      </w:r>
      <w:r w:rsidR="004C779B">
        <w:rPr>
          <w:spacing w:val="-2"/>
          <w:lang w:val="fr-FR"/>
        </w:rPr>
        <w:t>’</w:t>
      </w:r>
      <w:r w:rsidRPr="008C5851">
        <w:rPr>
          <w:spacing w:val="-2"/>
          <w:lang w:val="fr-FR"/>
        </w:rPr>
        <w:t>un permis de séjour pendant la période considérée, elle n</w:t>
      </w:r>
      <w:r w:rsidR="004C779B">
        <w:rPr>
          <w:spacing w:val="-2"/>
          <w:lang w:val="fr-FR"/>
        </w:rPr>
        <w:t>’</w:t>
      </w:r>
      <w:r w:rsidRPr="008C5851">
        <w:rPr>
          <w:spacing w:val="-2"/>
          <w:lang w:val="fr-FR"/>
        </w:rPr>
        <w:t>avait pas droit à l</w:t>
      </w:r>
      <w:r w:rsidR="004C779B">
        <w:rPr>
          <w:spacing w:val="-2"/>
          <w:lang w:val="fr-FR"/>
        </w:rPr>
        <w:t>’</w:t>
      </w:r>
      <w:r w:rsidRPr="008C5851">
        <w:rPr>
          <w:spacing w:val="-2"/>
          <w:lang w:val="fr-FR"/>
        </w:rPr>
        <w:t>indemnité</w:t>
      </w:r>
      <w:r>
        <w:rPr>
          <w:spacing w:val="-2"/>
          <w:lang w:val="fr-FR"/>
        </w:rPr>
        <w:t xml:space="preserve"> générale</w:t>
      </w:r>
      <w:r w:rsidRPr="008C5851">
        <w:rPr>
          <w:spacing w:val="-2"/>
          <w:lang w:val="fr-FR"/>
        </w:rPr>
        <w:t xml:space="preserve"> pour enfant à charge. </w:t>
      </w:r>
      <w:r>
        <w:rPr>
          <w:spacing w:val="-2"/>
          <w:lang w:val="fr-FR"/>
        </w:rPr>
        <w:t xml:space="preserve">Le tribunal a décidé que pour </w:t>
      </w:r>
      <w:r w:rsidRPr="008C5851">
        <w:rPr>
          <w:spacing w:val="-2"/>
          <w:lang w:val="fr-FR"/>
        </w:rPr>
        <w:t>les non-nationaux</w:t>
      </w:r>
      <w:r>
        <w:rPr>
          <w:spacing w:val="-2"/>
          <w:lang w:val="fr-FR"/>
        </w:rPr>
        <w:t xml:space="preserve">, la détention </w:t>
      </w:r>
      <w:r w:rsidRPr="008C5851">
        <w:rPr>
          <w:spacing w:val="-2"/>
          <w:lang w:val="fr-FR"/>
        </w:rPr>
        <w:t>d</w:t>
      </w:r>
      <w:r w:rsidR="004C779B">
        <w:rPr>
          <w:spacing w:val="-2"/>
          <w:lang w:val="fr-FR"/>
        </w:rPr>
        <w:t>’</w:t>
      </w:r>
      <w:r>
        <w:rPr>
          <w:spacing w:val="-2"/>
          <w:lang w:val="fr-FR"/>
        </w:rPr>
        <w:t>un</w:t>
      </w:r>
      <w:r w:rsidRPr="008C5851">
        <w:rPr>
          <w:spacing w:val="-2"/>
          <w:lang w:val="fr-FR"/>
        </w:rPr>
        <w:t xml:space="preserve"> permis de séjour </w:t>
      </w:r>
      <w:r>
        <w:rPr>
          <w:spacing w:val="-2"/>
          <w:lang w:val="fr-FR"/>
        </w:rPr>
        <w:t>était une condition à remplir pour bénéficier de</w:t>
      </w:r>
      <w:r w:rsidRPr="00FC1595">
        <w:rPr>
          <w:spacing w:val="-2"/>
          <w:lang w:val="fr-FR"/>
        </w:rPr>
        <w:t xml:space="preserve"> </w:t>
      </w:r>
      <w:r>
        <w:rPr>
          <w:spacing w:val="-2"/>
          <w:lang w:val="fr-FR"/>
        </w:rPr>
        <w:t>l</w:t>
      </w:r>
      <w:r w:rsidR="004C779B">
        <w:rPr>
          <w:spacing w:val="-2"/>
          <w:lang w:val="fr-FR"/>
        </w:rPr>
        <w:t>’</w:t>
      </w:r>
      <w:r w:rsidRPr="008C5851">
        <w:rPr>
          <w:spacing w:val="-2"/>
          <w:lang w:val="fr-FR"/>
        </w:rPr>
        <w:t>indemnité générale pour enfant à charge. L</w:t>
      </w:r>
      <w:r w:rsidR="004C779B">
        <w:rPr>
          <w:spacing w:val="-2"/>
          <w:lang w:val="fr-FR"/>
        </w:rPr>
        <w:t>’</w:t>
      </w:r>
      <w:r w:rsidRPr="008C5851">
        <w:rPr>
          <w:spacing w:val="-2"/>
          <w:lang w:val="fr-FR"/>
        </w:rPr>
        <w:t>appel qu</w:t>
      </w:r>
      <w:r w:rsidR="004C779B">
        <w:rPr>
          <w:spacing w:val="-2"/>
          <w:lang w:val="fr-FR"/>
        </w:rPr>
        <w:t>’</w:t>
      </w:r>
      <w:r w:rsidRPr="008C5851">
        <w:rPr>
          <w:spacing w:val="-2"/>
          <w:lang w:val="fr-FR"/>
        </w:rPr>
        <w:t xml:space="preserve">a </w:t>
      </w:r>
      <w:r>
        <w:rPr>
          <w:spacing w:val="-2"/>
          <w:lang w:val="fr-FR"/>
        </w:rPr>
        <w:t xml:space="preserve">formé </w:t>
      </w:r>
      <w:r w:rsidRPr="008C5851">
        <w:rPr>
          <w:spacing w:val="-2"/>
          <w:lang w:val="fr-FR"/>
        </w:rPr>
        <w:t>l</w:t>
      </w:r>
      <w:r w:rsidR="004C779B">
        <w:rPr>
          <w:spacing w:val="-2"/>
          <w:lang w:val="fr-FR"/>
        </w:rPr>
        <w:t>’</w:t>
      </w:r>
      <w:r w:rsidRPr="008C5851">
        <w:rPr>
          <w:spacing w:val="-2"/>
          <w:lang w:val="fr-FR"/>
        </w:rPr>
        <w:t>auteure de la décision du tribunal de district a été joint à huit autres affaires comparables par</w:t>
      </w:r>
      <w:r>
        <w:rPr>
          <w:spacing w:val="-2"/>
          <w:lang w:val="fr-FR"/>
        </w:rPr>
        <w:t xml:space="preserve"> une cour d</w:t>
      </w:r>
      <w:r w:rsidR="004C779B">
        <w:rPr>
          <w:spacing w:val="-2"/>
          <w:lang w:val="fr-FR"/>
        </w:rPr>
        <w:t>’</w:t>
      </w:r>
      <w:r>
        <w:rPr>
          <w:spacing w:val="-2"/>
          <w:lang w:val="fr-FR"/>
        </w:rPr>
        <w:t>appel spécialisée,</w:t>
      </w:r>
      <w:r w:rsidRPr="008C5851">
        <w:rPr>
          <w:spacing w:val="-2"/>
          <w:lang w:val="fr-FR"/>
        </w:rPr>
        <w:t xml:space="preserve"> </w:t>
      </w:r>
      <w:r>
        <w:rPr>
          <w:spacing w:val="-2"/>
          <w:lang w:val="fr-FR"/>
        </w:rPr>
        <w:t>le Conseil central de recours administratif</w:t>
      </w:r>
      <w:r w:rsidRPr="008C5851">
        <w:rPr>
          <w:spacing w:val="-2"/>
          <w:lang w:val="fr-FR"/>
        </w:rPr>
        <w:t xml:space="preserve">. </w:t>
      </w:r>
      <w:r>
        <w:rPr>
          <w:spacing w:val="-2"/>
          <w:lang w:val="fr-FR"/>
        </w:rPr>
        <w:t>Par un arrêt en date du</w:t>
      </w:r>
      <w:r w:rsidRPr="008C5851">
        <w:rPr>
          <w:spacing w:val="-2"/>
          <w:lang w:val="fr-FR"/>
        </w:rPr>
        <w:t xml:space="preserve"> 15 juillet 2011, l</w:t>
      </w:r>
      <w:r>
        <w:rPr>
          <w:spacing w:val="-2"/>
          <w:lang w:val="fr-FR"/>
        </w:rPr>
        <w:t>e</w:t>
      </w:r>
      <w:r w:rsidRPr="008C5851">
        <w:rPr>
          <w:spacing w:val="-2"/>
          <w:lang w:val="fr-FR"/>
        </w:rPr>
        <w:t xml:space="preserve"> C</w:t>
      </w:r>
      <w:r>
        <w:rPr>
          <w:spacing w:val="-2"/>
          <w:lang w:val="fr-FR"/>
        </w:rPr>
        <w:t>onseil</w:t>
      </w:r>
      <w:r w:rsidRPr="008C5851">
        <w:rPr>
          <w:spacing w:val="-2"/>
          <w:lang w:val="fr-FR"/>
        </w:rPr>
        <w:t xml:space="preserve"> central a </w:t>
      </w:r>
      <w:r>
        <w:rPr>
          <w:spacing w:val="-2"/>
          <w:lang w:val="fr-FR"/>
        </w:rPr>
        <w:t>infirmé</w:t>
      </w:r>
      <w:r w:rsidRPr="008C5851">
        <w:rPr>
          <w:spacing w:val="-2"/>
          <w:lang w:val="fr-FR"/>
        </w:rPr>
        <w:t xml:space="preserve"> l</w:t>
      </w:r>
      <w:r>
        <w:rPr>
          <w:spacing w:val="-2"/>
          <w:lang w:val="fr-FR"/>
        </w:rPr>
        <w:t>es</w:t>
      </w:r>
      <w:r w:rsidRPr="008C5851">
        <w:rPr>
          <w:spacing w:val="-2"/>
          <w:lang w:val="fr-FR"/>
        </w:rPr>
        <w:t xml:space="preserve"> décision</w:t>
      </w:r>
      <w:r>
        <w:rPr>
          <w:spacing w:val="-2"/>
          <w:lang w:val="fr-FR"/>
        </w:rPr>
        <w:t>s</w:t>
      </w:r>
      <w:r w:rsidRPr="008C5851">
        <w:rPr>
          <w:spacing w:val="-2"/>
          <w:lang w:val="fr-FR"/>
        </w:rPr>
        <w:t xml:space="preserve"> du tribunal de district et de la Banque d</w:t>
      </w:r>
      <w:r>
        <w:rPr>
          <w:spacing w:val="-2"/>
          <w:lang w:val="fr-FR"/>
        </w:rPr>
        <w:t xml:space="preserve">es </w:t>
      </w:r>
      <w:r w:rsidRPr="008C5851">
        <w:rPr>
          <w:spacing w:val="-2"/>
          <w:lang w:val="fr-FR"/>
        </w:rPr>
        <w:t>assurance</w:t>
      </w:r>
      <w:r>
        <w:rPr>
          <w:spacing w:val="-2"/>
          <w:lang w:val="fr-FR"/>
        </w:rPr>
        <w:t>s</w:t>
      </w:r>
      <w:r w:rsidRPr="008C5851">
        <w:rPr>
          <w:spacing w:val="-2"/>
          <w:lang w:val="fr-FR"/>
        </w:rPr>
        <w:t xml:space="preserve"> sociale</w:t>
      </w:r>
      <w:r>
        <w:rPr>
          <w:spacing w:val="-2"/>
          <w:lang w:val="fr-FR"/>
        </w:rPr>
        <w:t>s. Il</w:t>
      </w:r>
      <w:r w:rsidRPr="008C5851">
        <w:rPr>
          <w:spacing w:val="-2"/>
          <w:lang w:val="fr-FR"/>
        </w:rPr>
        <w:t xml:space="preserve"> </w:t>
      </w:r>
      <w:r>
        <w:rPr>
          <w:spacing w:val="-2"/>
          <w:lang w:val="fr-FR"/>
        </w:rPr>
        <w:t xml:space="preserve">a </w:t>
      </w:r>
      <w:r w:rsidRPr="008C5851">
        <w:rPr>
          <w:spacing w:val="-2"/>
          <w:lang w:val="fr-FR"/>
        </w:rPr>
        <w:t xml:space="preserve">ordonné à cette dernière de revoir sa décision à la lumière de </w:t>
      </w:r>
      <w:r>
        <w:rPr>
          <w:spacing w:val="-2"/>
          <w:lang w:val="fr-FR"/>
        </w:rPr>
        <w:t>sa conclusion selon laquelle</w:t>
      </w:r>
      <w:r w:rsidRPr="001269BA">
        <w:rPr>
          <w:spacing w:val="-2"/>
          <w:lang w:val="fr-FR"/>
        </w:rPr>
        <w:t>, en ce qui concerne le droit aux prestations,</w:t>
      </w:r>
      <w:r w:rsidRPr="000805DA">
        <w:rPr>
          <w:spacing w:val="-2"/>
          <w:lang w:val="fr-FR"/>
        </w:rPr>
        <w:t xml:space="preserve"> </w:t>
      </w:r>
      <w:r w:rsidRPr="009E5C79">
        <w:rPr>
          <w:spacing w:val="-2"/>
          <w:lang w:val="fr-FR"/>
        </w:rPr>
        <w:t>la l</w:t>
      </w:r>
      <w:r w:rsidRPr="001E2B5A">
        <w:rPr>
          <w:spacing w:val="-2"/>
          <w:lang w:val="fr-FR"/>
        </w:rPr>
        <w:t>oi relative à l</w:t>
      </w:r>
      <w:r w:rsidR="004C779B">
        <w:rPr>
          <w:spacing w:val="-2"/>
          <w:lang w:val="fr-FR"/>
        </w:rPr>
        <w:t>’</w:t>
      </w:r>
      <w:r w:rsidRPr="00934135">
        <w:rPr>
          <w:spacing w:val="-2"/>
          <w:lang w:val="fr-FR"/>
        </w:rPr>
        <w:t>indemnité générale pour enfant à charge établissait</w:t>
      </w:r>
      <w:r w:rsidRPr="001269BA">
        <w:rPr>
          <w:spacing w:val="-2"/>
          <w:lang w:val="fr-FR"/>
        </w:rPr>
        <w:t xml:space="preserve"> </w:t>
      </w:r>
      <w:r w:rsidRPr="000805DA">
        <w:rPr>
          <w:spacing w:val="-2"/>
          <w:lang w:val="fr-FR"/>
        </w:rPr>
        <w:t xml:space="preserve">une distinction fondée sur la nationalité et la situation au regard de la réglementation </w:t>
      </w:r>
      <w:r>
        <w:rPr>
          <w:spacing w:val="-2"/>
          <w:lang w:val="fr-FR"/>
        </w:rPr>
        <w:t>relative au</w:t>
      </w:r>
      <w:r w:rsidRPr="000805DA">
        <w:rPr>
          <w:spacing w:val="-2"/>
          <w:lang w:val="fr-FR"/>
        </w:rPr>
        <w:t xml:space="preserve"> séjour.</w:t>
      </w:r>
      <w:r w:rsidRPr="008C5851">
        <w:rPr>
          <w:spacing w:val="-2"/>
          <w:lang w:val="fr-FR"/>
        </w:rPr>
        <w:t xml:space="preserve"> </w:t>
      </w:r>
      <w:r>
        <w:rPr>
          <w:spacing w:val="-2"/>
          <w:lang w:val="fr-FR"/>
        </w:rPr>
        <w:t xml:space="preserve">Le Conseil central </w:t>
      </w:r>
      <w:r w:rsidRPr="008C5851">
        <w:rPr>
          <w:spacing w:val="-2"/>
          <w:lang w:val="fr-FR"/>
        </w:rPr>
        <w:t>a jugé qu</w:t>
      </w:r>
      <w:r w:rsidR="004C779B">
        <w:rPr>
          <w:spacing w:val="-2"/>
          <w:lang w:val="fr-FR"/>
        </w:rPr>
        <w:t>’</w:t>
      </w:r>
      <w:r w:rsidRPr="008C5851">
        <w:rPr>
          <w:spacing w:val="-2"/>
          <w:lang w:val="fr-FR"/>
        </w:rPr>
        <w:t>il n</w:t>
      </w:r>
      <w:r w:rsidR="004C779B">
        <w:rPr>
          <w:spacing w:val="-2"/>
          <w:lang w:val="fr-FR"/>
        </w:rPr>
        <w:t>’</w:t>
      </w:r>
      <w:r w:rsidRPr="008C5851">
        <w:rPr>
          <w:spacing w:val="-2"/>
          <w:lang w:val="fr-FR"/>
        </w:rPr>
        <w:t>était pas justifié d</w:t>
      </w:r>
      <w:r w:rsidR="004C779B">
        <w:rPr>
          <w:spacing w:val="-2"/>
          <w:lang w:val="fr-FR"/>
        </w:rPr>
        <w:t>’</w:t>
      </w:r>
      <w:r w:rsidRPr="008C5851">
        <w:rPr>
          <w:spacing w:val="-2"/>
          <w:lang w:val="fr-FR"/>
        </w:rPr>
        <w:t>exclure une personne du bénéfice de cette indemnité pour des raisons tenant à sa situation au regard de la réglementation relative à l</w:t>
      </w:r>
      <w:r w:rsidR="004C779B">
        <w:rPr>
          <w:spacing w:val="-2"/>
          <w:lang w:val="fr-FR"/>
        </w:rPr>
        <w:t>’</w:t>
      </w:r>
      <w:r w:rsidRPr="008C5851">
        <w:rPr>
          <w:spacing w:val="-2"/>
          <w:lang w:val="fr-FR"/>
        </w:rPr>
        <w:t xml:space="preserve">immigration si : </w:t>
      </w:r>
      <w:r>
        <w:rPr>
          <w:spacing w:val="-2"/>
          <w:lang w:val="fr-FR"/>
        </w:rPr>
        <w:t>a</w:t>
      </w:r>
      <w:r w:rsidRPr="008C5851">
        <w:rPr>
          <w:spacing w:val="-2"/>
          <w:lang w:val="fr-FR"/>
        </w:rPr>
        <w:t>) cette personne vivait sur le territoire de l</w:t>
      </w:r>
      <w:r w:rsidR="004C779B">
        <w:rPr>
          <w:spacing w:val="-2"/>
          <w:lang w:val="fr-FR"/>
        </w:rPr>
        <w:t>’</w:t>
      </w:r>
      <w:r w:rsidRPr="008C5851">
        <w:rPr>
          <w:spacing w:val="-2"/>
          <w:lang w:val="fr-FR"/>
        </w:rPr>
        <w:t>État partie depuis longtemps et les autorités de l</w:t>
      </w:r>
      <w:r w:rsidR="004C779B">
        <w:rPr>
          <w:spacing w:val="-2"/>
          <w:lang w:val="fr-FR"/>
        </w:rPr>
        <w:t>’</w:t>
      </w:r>
      <w:r w:rsidRPr="008C5851">
        <w:rPr>
          <w:spacing w:val="-2"/>
          <w:lang w:val="fr-FR"/>
        </w:rPr>
        <w:t xml:space="preserve">État partie le savaient ; </w:t>
      </w:r>
      <w:r>
        <w:rPr>
          <w:spacing w:val="-2"/>
          <w:lang w:val="fr-FR"/>
        </w:rPr>
        <w:t>b</w:t>
      </w:r>
      <w:r w:rsidRPr="008C5851">
        <w:rPr>
          <w:spacing w:val="-2"/>
          <w:lang w:val="fr-FR"/>
        </w:rPr>
        <w:t xml:space="preserve">) cette personne </w:t>
      </w:r>
      <w:r>
        <w:rPr>
          <w:spacing w:val="-2"/>
          <w:lang w:val="fr-FR"/>
        </w:rPr>
        <w:t xml:space="preserve">séjournait </w:t>
      </w:r>
      <w:r w:rsidRPr="008C5851">
        <w:rPr>
          <w:spacing w:val="-2"/>
          <w:lang w:val="fr-FR"/>
        </w:rPr>
        <w:t>régulièrement sur le territoire de l</w:t>
      </w:r>
      <w:r w:rsidR="004C779B">
        <w:rPr>
          <w:spacing w:val="-2"/>
          <w:lang w:val="fr-FR"/>
        </w:rPr>
        <w:t>’</w:t>
      </w:r>
      <w:r w:rsidRPr="008C5851">
        <w:rPr>
          <w:spacing w:val="-2"/>
          <w:lang w:val="fr-FR"/>
        </w:rPr>
        <w:t>État partie</w:t>
      </w:r>
      <w:r>
        <w:rPr>
          <w:spacing w:val="-2"/>
          <w:lang w:val="fr-FR"/>
        </w:rPr>
        <w:t xml:space="preserve"> sous le statut « en instance d</w:t>
      </w:r>
      <w:r w:rsidR="004C779B">
        <w:rPr>
          <w:spacing w:val="-2"/>
          <w:lang w:val="fr-FR"/>
        </w:rPr>
        <w:t>’</w:t>
      </w:r>
      <w:r>
        <w:rPr>
          <w:spacing w:val="-2"/>
          <w:lang w:val="fr-FR"/>
        </w:rPr>
        <w:t>examen »</w:t>
      </w:r>
      <w:r w:rsidRPr="008C5851">
        <w:rPr>
          <w:spacing w:val="-2"/>
          <w:lang w:val="fr-FR"/>
        </w:rPr>
        <w:t xml:space="preserve"> ; et </w:t>
      </w:r>
      <w:r>
        <w:rPr>
          <w:spacing w:val="-2"/>
          <w:lang w:val="fr-FR"/>
        </w:rPr>
        <w:lastRenderedPageBreak/>
        <w:t>c</w:t>
      </w:r>
      <w:r w:rsidRPr="008C5851">
        <w:rPr>
          <w:spacing w:val="-2"/>
          <w:lang w:val="fr-FR"/>
        </w:rPr>
        <w:t>) </w:t>
      </w:r>
      <w:r>
        <w:rPr>
          <w:spacing w:val="-2"/>
          <w:lang w:val="fr-FR"/>
        </w:rPr>
        <w:t>cette personne</w:t>
      </w:r>
      <w:r w:rsidRPr="008C5851">
        <w:rPr>
          <w:spacing w:val="-2"/>
          <w:lang w:val="fr-FR"/>
        </w:rPr>
        <w:t xml:space="preserve"> avait </w:t>
      </w:r>
      <w:r>
        <w:rPr>
          <w:spacing w:val="-2"/>
          <w:lang w:val="fr-FR"/>
        </w:rPr>
        <w:t xml:space="preserve">établi </w:t>
      </w:r>
      <w:r w:rsidRPr="008C5851">
        <w:rPr>
          <w:spacing w:val="-2"/>
          <w:lang w:val="fr-FR"/>
        </w:rPr>
        <w:t xml:space="preserve">avec les </w:t>
      </w:r>
      <w:r w:rsidRPr="008C5851">
        <w:rPr>
          <w:lang w:val="fr-FR"/>
        </w:rPr>
        <w:t xml:space="preserve">Pays-Bas </w:t>
      </w:r>
      <w:r w:rsidRPr="008C5851">
        <w:rPr>
          <w:spacing w:val="-2"/>
          <w:lang w:val="fr-FR"/>
        </w:rPr>
        <w:t>de</w:t>
      </w:r>
      <w:r>
        <w:rPr>
          <w:spacing w:val="-2"/>
          <w:lang w:val="fr-FR"/>
        </w:rPr>
        <w:t xml:space="preserve">s liens </w:t>
      </w:r>
      <w:r w:rsidRPr="008C5851">
        <w:rPr>
          <w:spacing w:val="-2"/>
          <w:lang w:val="fr-FR"/>
        </w:rPr>
        <w:t xml:space="preserve">tels </w:t>
      </w:r>
      <w:r w:rsidRPr="008C5851">
        <w:rPr>
          <w:lang w:val="fr-FR"/>
        </w:rPr>
        <w:t>qu</w:t>
      </w:r>
      <w:r w:rsidR="004C779B">
        <w:rPr>
          <w:lang w:val="fr-FR"/>
        </w:rPr>
        <w:t>’</w:t>
      </w:r>
      <w:r w:rsidRPr="008C5851">
        <w:rPr>
          <w:lang w:val="fr-FR"/>
        </w:rPr>
        <w:t xml:space="preserve">elle pouvait être considérée comme </w:t>
      </w:r>
      <w:r>
        <w:rPr>
          <w:lang w:val="fr-FR"/>
        </w:rPr>
        <w:t>une</w:t>
      </w:r>
      <w:r w:rsidRPr="008C5851">
        <w:rPr>
          <w:lang w:val="fr-FR"/>
        </w:rPr>
        <w:t xml:space="preserve"> résidente de ce pays. L</w:t>
      </w:r>
      <w:r>
        <w:rPr>
          <w:lang w:val="fr-FR"/>
        </w:rPr>
        <w:t xml:space="preserve">e Conseil central </w:t>
      </w:r>
      <w:r w:rsidRPr="008C5851">
        <w:rPr>
          <w:lang w:val="fr-FR"/>
        </w:rPr>
        <w:t xml:space="preserve">a </w:t>
      </w:r>
      <w:r>
        <w:rPr>
          <w:lang w:val="fr-FR"/>
        </w:rPr>
        <w:t xml:space="preserve">également </w:t>
      </w:r>
      <w:r w:rsidRPr="008C5851">
        <w:rPr>
          <w:lang w:val="fr-FR"/>
        </w:rPr>
        <w:t xml:space="preserve">jugé que lorsque ces conditions étaient </w:t>
      </w:r>
      <w:r>
        <w:rPr>
          <w:lang w:val="fr-FR"/>
        </w:rPr>
        <w:t>remplies</w:t>
      </w:r>
      <w:r w:rsidRPr="008C5851">
        <w:rPr>
          <w:lang w:val="fr-FR"/>
        </w:rPr>
        <w:t>, l</w:t>
      </w:r>
      <w:r w:rsidR="004C779B">
        <w:rPr>
          <w:lang w:val="fr-FR"/>
        </w:rPr>
        <w:t>’</w:t>
      </w:r>
      <w:r w:rsidRPr="008C5851">
        <w:rPr>
          <w:lang w:val="fr-FR"/>
        </w:rPr>
        <w:t xml:space="preserve">exclusion des parents du bénéfice </w:t>
      </w:r>
      <w:r w:rsidRPr="008C5851">
        <w:rPr>
          <w:spacing w:val="-2"/>
          <w:lang w:val="fr-FR"/>
        </w:rPr>
        <w:t>de l</w:t>
      </w:r>
      <w:r w:rsidR="004C779B">
        <w:rPr>
          <w:spacing w:val="-2"/>
          <w:lang w:val="fr-FR"/>
        </w:rPr>
        <w:t>’</w:t>
      </w:r>
      <w:r w:rsidRPr="008C5851">
        <w:rPr>
          <w:spacing w:val="-2"/>
          <w:lang w:val="fr-FR"/>
        </w:rPr>
        <w:t xml:space="preserve">indemnité générale pour enfant à charge durant les périodes </w:t>
      </w:r>
      <w:r>
        <w:rPr>
          <w:spacing w:val="-2"/>
          <w:lang w:val="fr-FR"/>
        </w:rPr>
        <w:t xml:space="preserve">de séjour régulier </w:t>
      </w:r>
      <w:r w:rsidRPr="008C5851">
        <w:rPr>
          <w:spacing w:val="-2"/>
          <w:lang w:val="fr-FR"/>
        </w:rPr>
        <w:t xml:space="preserve">aux Pays-Bas était </w:t>
      </w:r>
      <w:r>
        <w:rPr>
          <w:spacing w:val="-2"/>
          <w:lang w:val="fr-FR"/>
        </w:rPr>
        <w:t xml:space="preserve">une mesure </w:t>
      </w:r>
      <w:r w:rsidRPr="008C5851">
        <w:rPr>
          <w:spacing w:val="-2"/>
          <w:lang w:val="fr-FR"/>
        </w:rPr>
        <w:t>disproportionnée. La Banque d</w:t>
      </w:r>
      <w:r>
        <w:rPr>
          <w:spacing w:val="-2"/>
          <w:lang w:val="fr-FR"/>
        </w:rPr>
        <w:t xml:space="preserve">es </w:t>
      </w:r>
      <w:r w:rsidRPr="008C5851">
        <w:rPr>
          <w:spacing w:val="-2"/>
          <w:lang w:val="fr-FR"/>
        </w:rPr>
        <w:t>assurance</w:t>
      </w:r>
      <w:r>
        <w:rPr>
          <w:spacing w:val="-2"/>
          <w:lang w:val="fr-FR"/>
        </w:rPr>
        <w:t>s</w:t>
      </w:r>
      <w:r w:rsidRPr="008C5851">
        <w:rPr>
          <w:spacing w:val="-2"/>
          <w:lang w:val="fr-FR"/>
        </w:rPr>
        <w:t xml:space="preserve"> sociale</w:t>
      </w:r>
      <w:r>
        <w:rPr>
          <w:spacing w:val="-2"/>
          <w:lang w:val="fr-FR"/>
        </w:rPr>
        <w:t>s</w:t>
      </w:r>
      <w:r w:rsidRPr="008C5851">
        <w:rPr>
          <w:spacing w:val="-2"/>
          <w:lang w:val="fr-FR"/>
        </w:rPr>
        <w:t xml:space="preserve"> </w:t>
      </w:r>
      <w:r>
        <w:rPr>
          <w:spacing w:val="-2"/>
          <w:lang w:val="fr-FR"/>
        </w:rPr>
        <w:t>s</w:t>
      </w:r>
      <w:r w:rsidR="004C779B">
        <w:rPr>
          <w:spacing w:val="-2"/>
          <w:lang w:val="fr-FR"/>
        </w:rPr>
        <w:t>’</w:t>
      </w:r>
      <w:r>
        <w:rPr>
          <w:spacing w:val="-2"/>
          <w:lang w:val="fr-FR"/>
        </w:rPr>
        <w:t xml:space="preserve">est pourvue </w:t>
      </w:r>
      <w:r w:rsidRPr="008C5851">
        <w:rPr>
          <w:spacing w:val="-2"/>
          <w:lang w:val="fr-FR"/>
        </w:rPr>
        <w:t>contre l</w:t>
      </w:r>
      <w:r w:rsidR="004C779B">
        <w:rPr>
          <w:spacing w:val="-2"/>
          <w:lang w:val="fr-FR"/>
        </w:rPr>
        <w:t>’</w:t>
      </w:r>
      <w:r w:rsidRPr="008C5851">
        <w:rPr>
          <w:spacing w:val="-2"/>
          <w:lang w:val="fr-FR"/>
        </w:rPr>
        <w:t xml:space="preserve">arrêt </w:t>
      </w:r>
      <w:r>
        <w:rPr>
          <w:spacing w:val="-2"/>
          <w:lang w:val="fr-FR"/>
        </w:rPr>
        <w:t>du Conseil central</w:t>
      </w:r>
      <w:r w:rsidRPr="008C5851">
        <w:rPr>
          <w:spacing w:val="-2"/>
          <w:lang w:val="fr-FR"/>
        </w:rPr>
        <w:t xml:space="preserve"> devant la Cour suprême. Le 23 novembre 2012, la Cour suprême a infirmé l</w:t>
      </w:r>
      <w:r w:rsidR="004C779B">
        <w:rPr>
          <w:spacing w:val="-2"/>
          <w:lang w:val="fr-FR"/>
        </w:rPr>
        <w:t>’</w:t>
      </w:r>
      <w:r w:rsidRPr="008C5851">
        <w:rPr>
          <w:spacing w:val="-2"/>
          <w:lang w:val="fr-FR"/>
        </w:rPr>
        <w:t>arrêt d</w:t>
      </w:r>
      <w:r>
        <w:rPr>
          <w:spacing w:val="-2"/>
          <w:lang w:val="fr-FR"/>
        </w:rPr>
        <w:t>u Conseil central</w:t>
      </w:r>
      <w:r w:rsidRPr="008C5851">
        <w:rPr>
          <w:spacing w:val="-2"/>
          <w:lang w:val="fr-FR"/>
        </w:rPr>
        <w:t xml:space="preserve"> et confirmé le jugement du tribunal de district d</w:t>
      </w:r>
      <w:r w:rsidR="004C779B">
        <w:rPr>
          <w:spacing w:val="-2"/>
          <w:lang w:val="fr-FR"/>
        </w:rPr>
        <w:t>’</w:t>
      </w:r>
      <w:r w:rsidRPr="008C5851">
        <w:rPr>
          <w:spacing w:val="-2"/>
          <w:lang w:val="fr-FR"/>
        </w:rPr>
        <w:t>Amsterdam en date du 9 décembre 2009.</w:t>
      </w:r>
    </w:p>
    <w:p w14:paraId="7EADAA6E" w14:textId="77777777" w:rsidR="00D43D1B" w:rsidRPr="008C5851" w:rsidRDefault="00D43D1B" w:rsidP="00D43D1B">
      <w:pPr>
        <w:pStyle w:val="SingleTxtG"/>
        <w:rPr>
          <w:lang w:val="fr-FR"/>
        </w:rPr>
      </w:pPr>
      <w:r w:rsidRPr="008C5851">
        <w:rPr>
          <w:lang w:val="fr-FR"/>
        </w:rPr>
        <w:t>2.4</w:t>
      </w:r>
      <w:r w:rsidRPr="008C5851">
        <w:rPr>
          <w:lang w:val="fr-FR"/>
        </w:rPr>
        <w:tab/>
      </w:r>
      <w:r>
        <w:rPr>
          <w:lang w:val="fr-FR"/>
        </w:rPr>
        <w:t>En raison du rejet de la demande d</w:t>
      </w:r>
      <w:r w:rsidR="004C779B">
        <w:rPr>
          <w:spacing w:val="-2"/>
          <w:lang w:val="fr-FR"/>
        </w:rPr>
        <w:t>’</w:t>
      </w:r>
      <w:r w:rsidRPr="008C5851">
        <w:rPr>
          <w:spacing w:val="-2"/>
          <w:lang w:val="fr-FR"/>
        </w:rPr>
        <w:t>indemnité générale pour enfant à charge, l</w:t>
      </w:r>
      <w:r w:rsidR="004C779B">
        <w:rPr>
          <w:spacing w:val="-2"/>
          <w:lang w:val="fr-FR"/>
        </w:rPr>
        <w:t>’</w:t>
      </w:r>
      <w:r w:rsidRPr="008C5851">
        <w:rPr>
          <w:spacing w:val="-2"/>
          <w:lang w:val="fr-FR"/>
        </w:rPr>
        <w:t xml:space="preserve">auteure </w:t>
      </w:r>
      <w:r>
        <w:rPr>
          <w:spacing w:val="-2"/>
          <w:lang w:val="fr-FR"/>
        </w:rPr>
        <w:t xml:space="preserve">et sa fille ont vécu </w:t>
      </w:r>
      <w:r w:rsidRPr="008C5851">
        <w:rPr>
          <w:spacing w:val="-2"/>
          <w:lang w:val="fr-FR"/>
        </w:rPr>
        <w:t>dans la pauvreté. Le 14 août</w:t>
      </w:r>
      <w:r w:rsidRPr="008C5851">
        <w:rPr>
          <w:lang w:val="fr-FR"/>
        </w:rPr>
        <w:t xml:space="preserve"> 2006, </w:t>
      </w:r>
      <w:r>
        <w:rPr>
          <w:lang w:val="fr-FR"/>
        </w:rPr>
        <w:t>l</w:t>
      </w:r>
      <w:r w:rsidR="004C779B">
        <w:rPr>
          <w:lang w:val="fr-FR"/>
        </w:rPr>
        <w:t>’</w:t>
      </w:r>
      <w:r>
        <w:rPr>
          <w:lang w:val="fr-FR"/>
        </w:rPr>
        <w:t xml:space="preserve">auteure </w:t>
      </w:r>
      <w:r w:rsidRPr="008C5851">
        <w:rPr>
          <w:lang w:val="fr-FR"/>
        </w:rPr>
        <w:t>a demandé à la municipalité d</w:t>
      </w:r>
      <w:r w:rsidR="004C779B">
        <w:rPr>
          <w:lang w:val="fr-FR"/>
        </w:rPr>
        <w:t>’</w:t>
      </w:r>
      <w:r w:rsidRPr="008C5851">
        <w:rPr>
          <w:lang w:val="fr-FR"/>
        </w:rPr>
        <w:t xml:space="preserve">Amsterdam </w:t>
      </w:r>
      <w:r>
        <w:rPr>
          <w:lang w:val="fr-FR"/>
        </w:rPr>
        <w:t xml:space="preserve">de lui octroyer une prestation </w:t>
      </w:r>
      <w:r w:rsidRPr="008C5851">
        <w:rPr>
          <w:lang w:val="fr-FR"/>
        </w:rPr>
        <w:t xml:space="preserve">complémentaire. Il a été fait droit à cette </w:t>
      </w:r>
      <w:r>
        <w:rPr>
          <w:lang w:val="fr-FR"/>
        </w:rPr>
        <w:t xml:space="preserve">demande </w:t>
      </w:r>
      <w:r w:rsidRPr="008C5851">
        <w:rPr>
          <w:lang w:val="fr-FR"/>
        </w:rPr>
        <w:t xml:space="preserve">et une indemnité </w:t>
      </w:r>
      <w:r>
        <w:rPr>
          <w:lang w:val="fr-FR"/>
        </w:rPr>
        <w:t xml:space="preserve">mensuelle </w:t>
      </w:r>
      <w:r w:rsidRPr="008C5851">
        <w:rPr>
          <w:lang w:val="fr-FR"/>
        </w:rPr>
        <w:t>de 208,71 euros a été accordée à l</w:t>
      </w:r>
      <w:r w:rsidR="004C779B">
        <w:rPr>
          <w:lang w:val="fr-FR"/>
        </w:rPr>
        <w:t>’</w:t>
      </w:r>
      <w:r w:rsidRPr="008C5851">
        <w:rPr>
          <w:lang w:val="fr-FR"/>
        </w:rPr>
        <w:t xml:space="preserve">auteure </w:t>
      </w:r>
      <w:r>
        <w:rPr>
          <w:lang w:val="fr-FR"/>
        </w:rPr>
        <w:t>jusqu</w:t>
      </w:r>
      <w:r w:rsidR="004C779B">
        <w:rPr>
          <w:lang w:val="fr-FR"/>
        </w:rPr>
        <w:t>’</w:t>
      </w:r>
      <w:r>
        <w:rPr>
          <w:lang w:val="fr-FR"/>
        </w:rPr>
        <w:t>à ce qu</w:t>
      </w:r>
      <w:r w:rsidR="004C779B">
        <w:rPr>
          <w:lang w:val="fr-FR"/>
        </w:rPr>
        <w:t>’</w:t>
      </w:r>
      <w:r>
        <w:rPr>
          <w:lang w:val="fr-FR"/>
        </w:rPr>
        <w:t>il soit statué sur s</w:t>
      </w:r>
      <w:r w:rsidRPr="008C5851">
        <w:rPr>
          <w:lang w:val="fr-FR"/>
        </w:rPr>
        <w:t xml:space="preserve">a demande de permis de séjour. </w:t>
      </w:r>
      <w:r>
        <w:rPr>
          <w:lang w:val="fr-FR"/>
        </w:rPr>
        <w:t xml:space="preserve">En </w:t>
      </w:r>
      <w:r w:rsidRPr="008C5851">
        <w:rPr>
          <w:lang w:val="fr-FR"/>
        </w:rPr>
        <w:t xml:space="preserve">2007, </w:t>
      </w:r>
      <w:r>
        <w:rPr>
          <w:lang w:val="fr-FR"/>
        </w:rPr>
        <w:t>cette indemnité a été remplacée par une indemnité versée pour sa fille par l</w:t>
      </w:r>
      <w:r w:rsidR="004C779B">
        <w:rPr>
          <w:lang w:val="fr-FR"/>
        </w:rPr>
        <w:t>’</w:t>
      </w:r>
      <w:r w:rsidRPr="00A1127A">
        <w:rPr>
          <w:lang w:val="fr-FR"/>
        </w:rPr>
        <w:t>Agence centrale pour l</w:t>
      </w:r>
      <w:r w:rsidR="004C779B">
        <w:rPr>
          <w:lang w:val="fr-FR"/>
        </w:rPr>
        <w:t>’</w:t>
      </w:r>
      <w:r w:rsidRPr="00A1127A">
        <w:rPr>
          <w:lang w:val="fr-FR"/>
        </w:rPr>
        <w:t>accueil des demandeurs d</w:t>
      </w:r>
      <w:r w:rsidR="004C779B">
        <w:rPr>
          <w:lang w:val="fr-FR"/>
        </w:rPr>
        <w:t>’</w:t>
      </w:r>
      <w:r w:rsidRPr="00A1127A">
        <w:rPr>
          <w:lang w:val="fr-FR"/>
        </w:rPr>
        <w:t xml:space="preserve">asile </w:t>
      </w:r>
      <w:r w:rsidRPr="008C5851">
        <w:rPr>
          <w:lang w:val="fr-FR"/>
        </w:rPr>
        <w:t>en vertu du</w:t>
      </w:r>
      <w:r>
        <w:rPr>
          <w:lang w:val="fr-FR"/>
        </w:rPr>
        <w:t xml:space="preserve"> </w:t>
      </w:r>
      <w:r w:rsidRPr="008C5851">
        <w:rPr>
          <w:lang w:val="fr-FR"/>
        </w:rPr>
        <w:t>Règlement relatif aux indemnités versées à certaines catégories d</w:t>
      </w:r>
      <w:r w:rsidR="004C779B">
        <w:rPr>
          <w:lang w:val="fr-FR"/>
        </w:rPr>
        <w:t>’</w:t>
      </w:r>
      <w:r w:rsidRPr="008C5851">
        <w:rPr>
          <w:lang w:val="fr-FR"/>
        </w:rPr>
        <w:t>étrangers</w:t>
      </w:r>
      <w:r>
        <w:rPr>
          <w:lang w:val="fr-FR"/>
        </w:rPr>
        <w:t>,</w:t>
      </w:r>
      <w:r w:rsidRPr="008C5851">
        <w:rPr>
          <w:lang w:val="fr-FR"/>
        </w:rPr>
        <w:t xml:space="preserve"> entré en vigueur le 1</w:t>
      </w:r>
      <w:r w:rsidRPr="008C5851">
        <w:rPr>
          <w:vertAlign w:val="superscript"/>
          <w:lang w:val="fr-FR"/>
        </w:rPr>
        <w:t>er</w:t>
      </w:r>
      <w:r w:rsidRPr="008C5851">
        <w:rPr>
          <w:lang w:val="fr-FR"/>
        </w:rPr>
        <w:t> janvier 2007.</w:t>
      </w:r>
      <w:r>
        <w:rPr>
          <w:lang w:val="fr-FR"/>
        </w:rPr>
        <w:t xml:space="preserve"> L</w:t>
      </w:r>
      <w:r w:rsidRPr="008C5851">
        <w:rPr>
          <w:lang w:val="fr-FR"/>
        </w:rPr>
        <w:t xml:space="preserve">e montant de cette indemnité </w:t>
      </w:r>
      <w:r>
        <w:rPr>
          <w:lang w:val="fr-FR"/>
        </w:rPr>
        <w:t xml:space="preserve">mensuelle </w:t>
      </w:r>
      <w:r w:rsidRPr="008C5851">
        <w:rPr>
          <w:lang w:val="fr-FR"/>
        </w:rPr>
        <w:t xml:space="preserve">était de 215,33 euros </w:t>
      </w:r>
      <w:r>
        <w:rPr>
          <w:lang w:val="fr-FR"/>
        </w:rPr>
        <w:t>e</w:t>
      </w:r>
      <w:r w:rsidRPr="008C5851">
        <w:rPr>
          <w:lang w:val="fr-FR"/>
        </w:rPr>
        <w:t>n 2007 et de 217,77 euros en</w:t>
      </w:r>
      <w:r>
        <w:rPr>
          <w:lang w:val="fr-FR"/>
        </w:rPr>
        <w:t xml:space="preserve"> </w:t>
      </w:r>
      <w:r w:rsidRPr="008C5851">
        <w:rPr>
          <w:lang w:val="fr-FR"/>
        </w:rPr>
        <w:t>2008. Le 1</w:t>
      </w:r>
      <w:r w:rsidRPr="008C5851">
        <w:rPr>
          <w:vertAlign w:val="superscript"/>
          <w:lang w:val="fr-FR"/>
        </w:rPr>
        <w:t>er</w:t>
      </w:r>
      <w:r w:rsidRPr="008C5851">
        <w:rPr>
          <w:lang w:val="fr-FR"/>
        </w:rPr>
        <w:t xml:space="preserve"> septembre 2008, </w:t>
      </w:r>
      <w:r>
        <w:rPr>
          <w:lang w:val="fr-FR"/>
        </w:rPr>
        <w:t>l</w:t>
      </w:r>
      <w:r w:rsidR="004C779B">
        <w:rPr>
          <w:lang w:val="fr-FR"/>
        </w:rPr>
        <w:t>’</w:t>
      </w:r>
      <w:r>
        <w:rPr>
          <w:lang w:val="fr-FR"/>
        </w:rPr>
        <w:t xml:space="preserve">Agence </w:t>
      </w:r>
      <w:r w:rsidRPr="008C5851">
        <w:rPr>
          <w:lang w:val="fr-FR"/>
        </w:rPr>
        <w:t xml:space="preserve">a </w:t>
      </w:r>
      <w:r>
        <w:rPr>
          <w:lang w:val="fr-FR"/>
        </w:rPr>
        <w:t>cessé</w:t>
      </w:r>
      <w:r w:rsidRPr="008C5851">
        <w:rPr>
          <w:lang w:val="fr-FR"/>
        </w:rPr>
        <w:t xml:space="preserve"> de verser cette indemnité au motif </w:t>
      </w:r>
      <w:r>
        <w:rPr>
          <w:lang w:val="fr-FR"/>
        </w:rPr>
        <w:t xml:space="preserve">que </w:t>
      </w:r>
      <w:r w:rsidRPr="008C5851">
        <w:rPr>
          <w:lang w:val="fr-FR"/>
        </w:rPr>
        <w:t>l</w:t>
      </w:r>
      <w:r w:rsidR="004C779B">
        <w:rPr>
          <w:lang w:val="fr-FR"/>
        </w:rPr>
        <w:t>’</w:t>
      </w:r>
      <w:r w:rsidRPr="008C5851">
        <w:rPr>
          <w:lang w:val="fr-FR"/>
        </w:rPr>
        <w:t>auteure et sa fille n</w:t>
      </w:r>
      <w:r w:rsidR="004C779B">
        <w:rPr>
          <w:lang w:val="fr-FR"/>
        </w:rPr>
        <w:t>’</w:t>
      </w:r>
      <w:r w:rsidRPr="008C5851">
        <w:rPr>
          <w:lang w:val="fr-FR"/>
        </w:rPr>
        <w:t xml:space="preserve">avaient plus le statut </w:t>
      </w:r>
      <w:r w:rsidRPr="00EA06CA">
        <w:rPr>
          <w:lang w:val="fr-FR"/>
        </w:rPr>
        <w:t>« en instance d</w:t>
      </w:r>
      <w:r w:rsidR="004C779B">
        <w:rPr>
          <w:lang w:val="fr-FR"/>
        </w:rPr>
        <w:t>’</w:t>
      </w:r>
      <w:r w:rsidRPr="00EA06CA">
        <w:rPr>
          <w:lang w:val="fr-FR"/>
        </w:rPr>
        <w:t>examen »</w:t>
      </w:r>
      <w:r w:rsidRPr="008C5851">
        <w:rPr>
          <w:lang w:val="fr-FR"/>
        </w:rPr>
        <w:t xml:space="preserve"> au regard de la réglementation relative à l</w:t>
      </w:r>
      <w:r w:rsidR="004C779B">
        <w:rPr>
          <w:lang w:val="fr-FR"/>
        </w:rPr>
        <w:t>’</w:t>
      </w:r>
      <w:r w:rsidRPr="008C5851">
        <w:rPr>
          <w:lang w:val="fr-FR"/>
        </w:rPr>
        <w:t>immigration</w:t>
      </w:r>
      <w:r w:rsidRPr="002504EA">
        <w:rPr>
          <w:lang w:val="fr-FR"/>
        </w:rPr>
        <w:t xml:space="preserve"> </w:t>
      </w:r>
      <w:r>
        <w:rPr>
          <w:lang w:val="fr-FR"/>
        </w:rPr>
        <w:t xml:space="preserve">étant donné </w:t>
      </w:r>
      <w:r w:rsidRPr="008C5851">
        <w:rPr>
          <w:lang w:val="fr-FR"/>
        </w:rPr>
        <w:t>qu</w:t>
      </w:r>
      <w:r>
        <w:rPr>
          <w:lang w:val="fr-FR"/>
        </w:rPr>
        <w:t xml:space="preserve">e leur </w:t>
      </w:r>
      <w:r w:rsidRPr="008C5851">
        <w:rPr>
          <w:lang w:val="fr-FR"/>
        </w:rPr>
        <w:t>demande de permis de séjour n</w:t>
      </w:r>
      <w:r w:rsidR="004C779B">
        <w:rPr>
          <w:lang w:val="fr-FR"/>
        </w:rPr>
        <w:t>’</w:t>
      </w:r>
      <w:r w:rsidRPr="008C5851">
        <w:rPr>
          <w:lang w:val="fr-FR"/>
        </w:rPr>
        <w:t>éta</w:t>
      </w:r>
      <w:r>
        <w:rPr>
          <w:lang w:val="fr-FR"/>
        </w:rPr>
        <w:t>i</w:t>
      </w:r>
      <w:r w:rsidRPr="008C5851">
        <w:rPr>
          <w:lang w:val="fr-FR"/>
        </w:rPr>
        <w:t xml:space="preserve">t </w:t>
      </w:r>
      <w:r>
        <w:rPr>
          <w:lang w:val="fr-FR"/>
        </w:rPr>
        <w:t xml:space="preserve">plus </w:t>
      </w:r>
      <w:r w:rsidRPr="008C5851">
        <w:rPr>
          <w:lang w:val="fr-FR"/>
        </w:rPr>
        <w:t>pendante. L</w:t>
      </w:r>
      <w:r w:rsidR="004C779B">
        <w:rPr>
          <w:lang w:val="fr-FR"/>
        </w:rPr>
        <w:t>’</w:t>
      </w:r>
      <w:r w:rsidRPr="008C5851">
        <w:rPr>
          <w:lang w:val="fr-FR"/>
        </w:rPr>
        <w:t xml:space="preserve">auteure a formé un recours contre la décision </w:t>
      </w:r>
      <w:r>
        <w:rPr>
          <w:lang w:val="fr-FR"/>
        </w:rPr>
        <w:t>de l</w:t>
      </w:r>
      <w:r w:rsidR="004C779B">
        <w:rPr>
          <w:lang w:val="fr-FR"/>
        </w:rPr>
        <w:t>’</w:t>
      </w:r>
      <w:r>
        <w:rPr>
          <w:lang w:val="fr-FR"/>
        </w:rPr>
        <w:t>Agence</w:t>
      </w:r>
      <w:r w:rsidRPr="008C5851">
        <w:rPr>
          <w:lang w:val="fr-FR"/>
        </w:rPr>
        <w:t xml:space="preserve"> mais ce recours a été rejeté par la Cour régionale de La Haye le 24 février 2009.</w:t>
      </w:r>
    </w:p>
    <w:p w14:paraId="677039F7" w14:textId="77777777" w:rsidR="00D43D1B" w:rsidRPr="008C5851" w:rsidRDefault="00D43D1B" w:rsidP="00D43D1B">
      <w:pPr>
        <w:pStyle w:val="SingleTxtG"/>
        <w:rPr>
          <w:lang w:val="fr-FR"/>
        </w:rPr>
      </w:pPr>
      <w:r w:rsidRPr="008C5851">
        <w:rPr>
          <w:lang w:val="fr-FR"/>
        </w:rPr>
        <w:t>2.5</w:t>
      </w:r>
      <w:r w:rsidRPr="008C5851">
        <w:rPr>
          <w:lang w:val="fr-FR"/>
        </w:rPr>
        <w:tab/>
        <w:t>L</w:t>
      </w:r>
      <w:r w:rsidR="004C779B">
        <w:rPr>
          <w:lang w:val="fr-FR"/>
        </w:rPr>
        <w:t>’</w:t>
      </w:r>
      <w:r w:rsidRPr="008C5851">
        <w:rPr>
          <w:lang w:val="fr-FR"/>
        </w:rPr>
        <w:t>auteure et sa fille étaient dépendantes du père de l</w:t>
      </w:r>
      <w:r w:rsidR="004C779B">
        <w:rPr>
          <w:lang w:val="fr-FR"/>
        </w:rPr>
        <w:t>’</w:t>
      </w:r>
      <w:r w:rsidRPr="008C5851">
        <w:rPr>
          <w:lang w:val="fr-FR"/>
        </w:rPr>
        <w:t>auteure pour ce qui est de l</w:t>
      </w:r>
      <w:r>
        <w:rPr>
          <w:lang w:val="fr-FR"/>
        </w:rPr>
        <w:t>eur alimentation,</w:t>
      </w:r>
      <w:r w:rsidRPr="008C5851">
        <w:rPr>
          <w:lang w:val="fr-FR"/>
        </w:rPr>
        <w:t xml:space="preserve"> et de bienfaiteurs tels que l</w:t>
      </w:r>
      <w:r w:rsidR="004C779B">
        <w:rPr>
          <w:lang w:val="fr-FR"/>
        </w:rPr>
        <w:t>’</w:t>
      </w:r>
      <w:r w:rsidRPr="008C5851">
        <w:rPr>
          <w:lang w:val="fr-FR"/>
        </w:rPr>
        <w:t>employeur du père de l</w:t>
      </w:r>
      <w:r w:rsidR="004C779B">
        <w:rPr>
          <w:lang w:val="fr-FR"/>
        </w:rPr>
        <w:t>’</w:t>
      </w:r>
      <w:r w:rsidRPr="008C5851">
        <w:rPr>
          <w:lang w:val="fr-FR"/>
        </w:rPr>
        <w:t>auteure et de l</w:t>
      </w:r>
      <w:r w:rsidR="004C779B">
        <w:rPr>
          <w:lang w:val="fr-FR"/>
        </w:rPr>
        <w:t>’</w:t>
      </w:r>
      <w:r w:rsidRPr="008C5851">
        <w:rPr>
          <w:lang w:val="fr-FR"/>
        </w:rPr>
        <w:t xml:space="preserve">école en ce qui concerne la thérapie et </w:t>
      </w:r>
      <w:r>
        <w:rPr>
          <w:lang w:val="fr-FR"/>
        </w:rPr>
        <w:t>autres</w:t>
      </w:r>
      <w:r w:rsidRPr="008C5851">
        <w:rPr>
          <w:lang w:val="fr-FR"/>
        </w:rPr>
        <w:t xml:space="preserve"> </w:t>
      </w:r>
      <w:r>
        <w:rPr>
          <w:lang w:val="fr-FR"/>
        </w:rPr>
        <w:t>soins</w:t>
      </w:r>
      <w:r w:rsidRPr="008C5851">
        <w:rPr>
          <w:lang w:val="fr-FR"/>
        </w:rPr>
        <w:t xml:space="preserve"> dont la fille de l</w:t>
      </w:r>
      <w:r w:rsidR="004C779B">
        <w:rPr>
          <w:lang w:val="fr-FR"/>
        </w:rPr>
        <w:t>’</w:t>
      </w:r>
      <w:r w:rsidRPr="008C5851">
        <w:rPr>
          <w:lang w:val="fr-FR"/>
        </w:rPr>
        <w:t>auteure</w:t>
      </w:r>
      <w:r>
        <w:rPr>
          <w:lang w:val="fr-FR"/>
        </w:rPr>
        <w:t xml:space="preserve"> avait besoin</w:t>
      </w:r>
      <w:r w:rsidRPr="008C5851">
        <w:rPr>
          <w:lang w:val="fr-FR"/>
        </w:rPr>
        <w:t>. C</w:t>
      </w:r>
      <w:r w:rsidR="004C779B">
        <w:rPr>
          <w:lang w:val="fr-FR"/>
        </w:rPr>
        <w:t>’</w:t>
      </w:r>
      <w:r w:rsidRPr="008C5851">
        <w:rPr>
          <w:lang w:val="fr-FR"/>
        </w:rPr>
        <w:t>est l</w:t>
      </w:r>
      <w:r w:rsidR="004C779B">
        <w:rPr>
          <w:lang w:val="fr-FR"/>
        </w:rPr>
        <w:t>’</w:t>
      </w:r>
      <w:r w:rsidRPr="008C5851">
        <w:rPr>
          <w:lang w:val="fr-FR"/>
        </w:rPr>
        <w:t>employeur du père de l</w:t>
      </w:r>
      <w:r w:rsidR="004C779B">
        <w:rPr>
          <w:lang w:val="fr-FR"/>
        </w:rPr>
        <w:t>’</w:t>
      </w:r>
      <w:r w:rsidRPr="008C5851">
        <w:rPr>
          <w:lang w:val="fr-FR"/>
        </w:rPr>
        <w:t xml:space="preserve">auteure qui a </w:t>
      </w:r>
      <w:r>
        <w:rPr>
          <w:lang w:val="fr-FR"/>
        </w:rPr>
        <w:t>financé</w:t>
      </w:r>
      <w:r w:rsidRPr="008C5851">
        <w:rPr>
          <w:lang w:val="fr-FR"/>
        </w:rPr>
        <w:t xml:space="preserve"> le matériel spécialisé dont la fille de l</w:t>
      </w:r>
      <w:r w:rsidR="004C779B">
        <w:rPr>
          <w:lang w:val="fr-FR"/>
        </w:rPr>
        <w:t>’</w:t>
      </w:r>
      <w:r w:rsidRPr="008C5851">
        <w:rPr>
          <w:lang w:val="fr-FR"/>
        </w:rPr>
        <w:t>auteure avait besoin, à savoir un déambulateur, une chaise spéciale et un fauteuil roulant. L</w:t>
      </w:r>
      <w:r w:rsidR="004C779B">
        <w:rPr>
          <w:lang w:val="fr-FR"/>
        </w:rPr>
        <w:t>’</w:t>
      </w:r>
      <w:r w:rsidRPr="008C5851">
        <w:rPr>
          <w:lang w:val="fr-FR"/>
        </w:rPr>
        <w:t xml:space="preserve">école a pris en charge </w:t>
      </w:r>
      <w:r>
        <w:rPr>
          <w:lang w:val="fr-FR"/>
        </w:rPr>
        <w:t>s</w:t>
      </w:r>
      <w:r w:rsidRPr="008C5851">
        <w:rPr>
          <w:lang w:val="fr-FR"/>
        </w:rPr>
        <w:t xml:space="preserve">es frais </w:t>
      </w:r>
      <w:r>
        <w:rPr>
          <w:lang w:val="fr-FR"/>
        </w:rPr>
        <w:t>médicaux</w:t>
      </w:r>
      <w:r w:rsidRPr="008C5851">
        <w:rPr>
          <w:lang w:val="fr-FR"/>
        </w:rPr>
        <w:t xml:space="preserve">, </w:t>
      </w:r>
      <w:r>
        <w:rPr>
          <w:lang w:val="fr-FR"/>
        </w:rPr>
        <w:t xml:space="preserve">et </w:t>
      </w:r>
      <w:r w:rsidRPr="008C5851">
        <w:rPr>
          <w:lang w:val="fr-FR"/>
        </w:rPr>
        <w:t>une association caritative financée par l</w:t>
      </w:r>
      <w:r w:rsidR="004C779B">
        <w:rPr>
          <w:lang w:val="fr-FR"/>
        </w:rPr>
        <w:t>’</w:t>
      </w:r>
      <w:r w:rsidRPr="008C5851">
        <w:rPr>
          <w:lang w:val="fr-FR"/>
        </w:rPr>
        <w:t xml:space="preserve">État partie son régime alimentaire. </w:t>
      </w:r>
      <w:r>
        <w:rPr>
          <w:lang w:val="fr-FR"/>
        </w:rPr>
        <w:t>L</w:t>
      </w:r>
      <w:r w:rsidRPr="008C5851">
        <w:rPr>
          <w:lang w:val="fr-FR"/>
        </w:rPr>
        <w:t>a municipalité d</w:t>
      </w:r>
      <w:r w:rsidR="004C779B">
        <w:rPr>
          <w:lang w:val="fr-FR"/>
        </w:rPr>
        <w:t>’</w:t>
      </w:r>
      <w:r w:rsidRPr="008C5851">
        <w:rPr>
          <w:lang w:val="fr-FR"/>
        </w:rPr>
        <w:t xml:space="preserve">Amsterdam a </w:t>
      </w:r>
      <w:r>
        <w:rPr>
          <w:lang w:val="fr-FR"/>
        </w:rPr>
        <w:t xml:space="preserve">au départ </w:t>
      </w:r>
      <w:r w:rsidRPr="008C5851">
        <w:rPr>
          <w:lang w:val="fr-FR"/>
        </w:rPr>
        <w:t xml:space="preserve">refusé de </w:t>
      </w:r>
      <w:r>
        <w:rPr>
          <w:lang w:val="fr-FR"/>
        </w:rPr>
        <w:t xml:space="preserve">prendre en charge le coût </w:t>
      </w:r>
      <w:r w:rsidRPr="008C5851">
        <w:rPr>
          <w:lang w:val="fr-FR"/>
        </w:rPr>
        <w:t>d</w:t>
      </w:r>
      <w:r w:rsidR="004C779B">
        <w:rPr>
          <w:lang w:val="fr-FR"/>
        </w:rPr>
        <w:t>’</w:t>
      </w:r>
      <w:r w:rsidRPr="008C5851">
        <w:rPr>
          <w:lang w:val="fr-FR"/>
        </w:rPr>
        <w:t>un siège de douche et d</w:t>
      </w:r>
      <w:r w:rsidR="004C779B">
        <w:rPr>
          <w:lang w:val="fr-FR"/>
        </w:rPr>
        <w:t>’</w:t>
      </w:r>
      <w:r>
        <w:rPr>
          <w:lang w:val="fr-FR"/>
        </w:rPr>
        <w:t>un monte</w:t>
      </w:r>
      <w:r>
        <w:rPr>
          <w:lang w:val="fr-FR"/>
        </w:rPr>
        <w:noBreakHyphen/>
      </w:r>
      <w:r w:rsidRPr="008C5851">
        <w:rPr>
          <w:lang w:val="fr-FR"/>
        </w:rPr>
        <w:t>escalier</w:t>
      </w:r>
      <w:r>
        <w:rPr>
          <w:lang w:val="fr-FR"/>
        </w:rPr>
        <w:t xml:space="preserve">, mais elle a finalement accepté de le faire </w:t>
      </w:r>
      <w:r w:rsidRPr="008C5851">
        <w:rPr>
          <w:lang w:val="fr-FR"/>
        </w:rPr>
        <w:t>le 11 août 2008</w:t>
      </w:r>
      <w:r>
        <w:rPr>
          <w:lang w:val="fr-FR"/>
        </w:rPr>
        <w:t>, à l</w:t>
      </w:r>
      <w:r w:rsidR="004C779B">
        <w:rPr>
          <w:lang w:val="fr-FR"/>
        </w:rPr>
        <w:t>’</w:t>
      </w:r>
      <w:r>
        <w:rPr>
          <w:lang w:val="fr-FR"/>
        </w:rPr>
        <w:t>issue d</w:t>
      </w:r>
      <w:r w:rsidR="004C779B">
        <w:rPr>
          <w:lang w:val="fr-FR"/>
        </w:rPr>
        <w:t>’</w:t>
      </w:r>
      <w:r>
        <w:rPr>
          <w:lang w:val="fr-FR"/>
        </w:rPr>
        <w:t>un recours</w:t>
      </w:r>
      <w:r w:rsidRPr="008C5851">
        <w:rPr>
          <w:lang w:val="fr-FR"/>
        </w:rPr>
        <w:t>. Le 23 avril 2009, la municipalité a octroy</w:t>
      </w:r>
      <w:r>
        <w:rPr>
          <w:lang w:val="fr-FR"/>
        </w:rPr>
        <w:t>é</w:t>
      </w:r>
      <w:r w:rsidRPr="008C5851">
        <w:rPr>
          <w:lang w:val="fr-FR"/>
        </w:rPr>
        <w:t xml:space="preserve"> à l</w:t>
      </w:r>
      <w:r w:rsidR="004C779B">
        <w:rPr>
          <w:lang w:val="fr-FR"/>
        </w:rPr>
        <w:t>’</w:t>
      </w:r>
      <w:r w:rsidRPr="008C5851">
        <w:rPr>
          <w:lang w:val="fr-FR"/>
        </w:rPr>
        <w:t xml:space="preserve">auteure une prestation </w:t>
      </w:r>
      <w:r>
        <w:rPr>
          <w:lang w:val="fr-FR"/>
        </w:rPr>
        <w:t xml:space="preserve">de sécurité </w:t>
      </w:r>
      <w:r w:rsidRPr="008C5851">
        <w:rPr>
          <w:lang w:val="fr-FR"/>
        </w:rPr>
        <w:t xml:space="preserve">sociale de 144 euros </w:t>
      </w:r>
      <w:r>
        <w:rPr>
          <w:lang w:val="fr-FR"/>
        </w:rPr>
        <w:t xml:space="preserve">par mois couvrant </w:t>
      </w:r>
      <w:r w:rsidRPr="008C5851">
        <w:rPr>
          <w:lang w:val="fr-FR"/>
        </w:rPr>
        <w:t>son loyer et ses dépenses d</w:t>
      </w:r>
      <w:r w:rsidR="004C779B">
        <w:rPr>
          <w:lang w:val="fr-FR"/>
        </w:rPr>
        <w:t>’</w:t>
      </w:r>
      <w:r w:rsidRPr="008C5851">
        <w:rPr>
          <w:lang w:val="fr-FR"/>
        </w:rPr>
        <w:t xml:space="preserve">énergie pour la période allant du 25 juillet 2008 au 31 mai 2009 et lui a octroyé une prestation complémentaire de 110,81 euros par mois </w:t>
      </w:r>
      <w:r>
        <w:rPr>
          <w:lang w:val="fr-FR"/>
        </w:rPr>
        <w:t xml:space="preserve">à compter </w:t>
      </w:r>
      <w:r w:rsidRPr="008C5851">
        <w:rPr>
          <w:lang w:val="fr-FR"/>
        </w:rPr>
        <w:t>du 25 juillet 2008. Le 30 septembre 2008, la municipalité a</w:t>
      </w:r>
      <w:r>
        <w:rPr>
          <w:lang w:val="fr-FR"/>
        </w:rPr>
        <w:t>vait déjà</w:t>
      </w:r>
      <w:r w:rsidRPr="008C5851">
        <w:rPr>
          <w:lang w:val="fr-FR"/>
        </w:rPr>
        <w:t xml:space="preserve"> décidé d</w:t>
      </w:r>
      <w:r w:rsidR="004C779B">
        <w:rPr>
          <w:lang w:val="fr-FR"/>
        </w:rPr>
        <w:t>’</w:t>
      </w:r>
      <w:r w:rsidRPr="008C5851">
        <w:rPr>
          <w:lang w:val="fr-FR"/>
        </w:rPr>
        <w:t>accorder cette prestation à l</w:t>
      </w:r>
      <w:r w:rsidR="004C779B">
        <w:rPr>
          <w:lang w:val="fr-FR"/>
        </w:rPr>
        <w:t>’</w:t>
      </w:r>
      <w:r w:rsidRPr="008C5851">
        <w:rPr>
          <w:lang w:val="fr-FR"/>
        </w:rPr>
        <w:t>auteure pour la période allant du 14 juin 2008 au 25 juillet 2008. L</w:t>
      </w:r>
      <w:r w:rsidR="004C779B">
        <w:rPr>
          <w:lang w:val="fr-FR"/>
        </w:rPr>
        <w:t>’</w:t>
      </w:r>
      <w:r w:rsidRPr="008C5851">
        <w:rPr>
          <w:lang w:val="fr-FR"/>
        </w:rPr>
        <w:t>auteure n</w:t>
      </w:r>
      <w:r w:rsidR="004C779B">
        <w:rPr>
          <w:lang w:val="fr-FR"/>
        </w:rPr>
        <w:t>’</w:t>
      </w:r>
      <w:r w:rsidRPr="008C5851">
        <w:rPr>
          <w:lang w:val="fr-FR"/>
        </w:rPr>
        <w:t xml:space="preserve">a </w:t>
      </w:r>
      <w:r>
        <w:rPr>
          <w:lang w:val="fr-FR"/>
        </w:rPr>
        <w:t>per</w:t>
      </w:r>
      <w:r w:rsidRPr="008C5851">
        <w:rPr>
          <w:lang w:val="fr-FR"/>
        </w:rPr>
        <w:t>çu pour elle-même aucune prestation de sécurité sociale et ce que lui versait l</w:t>
      </w:r>
      <w:r w:rsidR="004C779B">
        <w:rPr>
          <w:lang w:val="fr-FR"/>
        </w:rPr>
        <w:t>’</w:t>
      </w:r>
      <w:r w:rsidRPr="008C5851">
        <w:rPr>
          <w:lang w:val="fr-FR"/>
        </w:rPr>
        <w:t>État partie ne constituait pas pour elle et sa fille un revenu minimum de subsistance.</w:t>
      </w:r>
    </w:p>
    <w:p w14:paraId="576CAA3F" w14:textId="77777777" w:rsidR="00D43D1B" w:rsidRPr="008C5851" w:rsidRDefault="00D43D1B" w:rsidP="00D43D1B">
      <w:pPr>
        <w:pStyle w:val="H23G"/>
        <w:rPr>
          <w:lang w:val="fr-FR"/>
        </w:rPr>
      </w:pPr>
      <w:r w:rsidRPr="008C5851">
        <w:rPr>
          <w:lang w:val="fr-FR"/>
        </w:rPr>
        <w:tab/>
      </w:r>
      <w:r w:rsidRPr="008C5851">
        <w:rPr>
          <w:lang w:val="fr-FR"/>
        </w:rPr>
        <w:tab/>
        <w:t>Teneur de la plainte</w:t>
      </w:r>
    </w:p>
    <w:p w14:paraId="7ECC13D7" w14:textId="77777777" w:rsidR="00D43D1B" w:rsidRPr="008C5851" w:rsidRDefault="00D43D1B" w:rsidP="00D43D1B">
      <w:pPr>
        <w:pStyle w:val="SingleTxtG"/>
        <w:rPr>
          <w:lang w:val="fr-FR"/>
        </w:rPr>
      </w:pPr>
      <w:r w:rsidRPr="008C5851">
        <w:rPr>
          <w:lang w:val="fr-FR"/>
        </w:rPr>
        <w:t>3.1</w:t>
      </w:r>
      <w:r w:rsidRPr="008C5851">
        <w:rPr>
          <w:lang w:val="fr-FR"/>
        </w:rPr>
        <w:tab/>
        <w:t>L</w:t>
      </w:r>
      <w:r w:rsidR="004C779B">
        <w:rPr>
          <w:lang w:val="fr-FR"/>
        </w:rPr>
        <w:t>’</w:t>
      </w:r>
      <w:r w:rsidRPr="008C5851">
        <w:rPr>
          <w:lang w:val="fr-FR"/>
        </w:rPr>
        <w:t>auteure allègue que l</w:t>
      </w:r>
      <w:r w:rsidR="004C779B">
        <w:rPr>
          <w:lang w:val="fr-FR"/>
        </w:rPr>
        <w:t>’</w:t>
      </w:r>
      <w:r w:rsidRPr="008C5851">
        <w:rPr>
          <w:lang w:val="fr-FR"/>
        </w:rPr>
        <w:t xml:space="preserve">indemnité générale pour enfant à charge </w:t>
      </w:r>
      <w:r>
        <w:rPr>
          <w:lang w:val="fr-FR"/>
        </w:rPr>
        <w:t xml:space="preserve">devrait </w:t>
      </w:r>
      <w:r w:rsidRPr="008C5851">
        <w:rPr>
          <w:lang w:val="fr-FR"/>
        </w:rPr>
        <w:t>être considérée comme un moyen pour l</w:t>
      </w:r>
      <w:r w:rsidR="004C779B">
        <w:rPr>
          <w:lang w:val="fr-FR"/>
        </w:rPr>
        <w:t>’</w:t>
      </w:r>
      <w:r w:rsidRPr="008C5851">
        <w:rPr>
          <w:lang w:val="fr-FR"/>
        </w:rPr>
        <w:t>État partie de s</w:t>
      </w:r>
      <w:r w:rsidR="004C779B">
        <w:rPr>
          <w:lang w:val="fr-FR"/>
        </w:rPr>
        <w:t>’</w:t>
      </w:r>
      <w:r w:rsidRPr="008C5851">
        <w:rPr>
          <w:lang w:val="fr-FR"/>
        </w:rPr>
        <w:t>acquitter des obligations que les articles 23 et</w:t>
      </w:r>
      <w:r>
        <w:rPr>
          <w:lang w:val="fr-FR"/>
        </w:rPr>
        <w:t> </w:t>
      </w:r>
      <w:r w:rsidRPr="008C5851">
        <w:rPr>
          <w:lang w:val="fr-FR"/>
        </w:rPr>
        <w:t xml:space="preserve">24 du Pacte </w:t>
      </w:r>
      <w:r>
        <w:rPr>
          <w:lang w:val="fr-FR"/>
        </w:rPr>
        <w:t>lui imposent</w:t>
      </w:r>
      <w:r w:rsidRPr="008C5851">
        <w:rPr>
          <w:lang w:val="fr-FR"/>
        </w:rPr>
        <w:t>. Elle affirme qu</w:t>
      </w:r>
      <w:r w:rsidR="004C779B">
        <w:rPr>
          <w:lang w:val="fr-FR"/>
        </w:rPr>
        <w:t>’</w:t>
      </w:r>
      <w:r w:rsidRPr="008C5851">
        <w:rPr>
          <w:lang w:val="fr-FR"/>
        </w:rPr>
        <w:t>en lui refusant cette indemnité sur la base de sa situation au regard de la réglementation relative au séjour, l</w:t>
      </w:r>
      <w:r w:rsidR="004C779B">
        <w:rPr>
          <w:lang w:val="fr-FR"/>
        </w:rPr>
        <w:t>’</w:t>
      </w:r>
      <w:r w:rsidRPr="008C5851">
        <w:rPr>
          <w:lang w:val="fr-FR"/>
        </w:rPr>
        <w:t xml:space="preserve">État partie a opéré une discrimination à son </w:t>
      </w:r>
      <w:r>
        <w:rPr>
          <w:lang w:val="fr-FR"/>
        </w:rPr>
        <w:t xml:space="preserve">égard </w:t>
      </w:r>
      <w:r w:rsidRPr="008C5851">
        <w:rPr>
          <w:lang w:val="fr-FR"/>
        </w:rPr>
        <w:t>et à l</w:t>
      </w:r>
      <w:r w:rsidR="004C779B">
        <w:rPr>
          <w:lang w:val="fr-FR"/>
        </w:rPr>
        <w:t>’</w:t>
      </w:r>
      <w:r>
        <w:rPr>
          <w:lang w:val="fr-FR"/>
        </w:rPr>
        <w:t>égard</w:t>
      </w:r>
      <w:r w:rsidRPr="008C5851">
        <w:rPr>
          <w:lang w:val="fr-FR"/>
        </w:rPr>
        <w:t xml:space="preserve"> de sa fille et a méconnu l</w:t>
      </w:r>
      <w:r w:rsidR="004C779B">
        <w:rPr>
          <w:lang w:val="fr-FR"/>
        </w:rPr>
        <w:t>’</w:t>
      </w:r>
      <w:r w:rsidRPr="008C5851">
        <w:rPr>
          <w:lang w:val="fr-FR"/>
        </w:rPr>
        <w:t>intérêt supérieur de l</w:t>
      </w:r>
      <w:r w:rsidR="004C779B">
        <w:rPr>
          <w:lang w:val="fr-FR"/>
        </w:rPr>
        <w:t>’</w:t>
      </w:r>
      <w:r w:rsidRPr="008C5851">
        <w:rPr>
          <w:lang w:val="fr-FR"/>
        </w:rPr>
        <w:t>enfant, en violation des articles</w:t>
      </w:r>
      <w:r>
        <w:rPr>
          <w:lang w:val="fr-FR"/>
        </w:rPr>
        <w:t> </w:t>
      </w:r>
      <w:r w:rsidRPr="008C5851">
        <w:rPr>
          <w:lang w:val="fr-FR"/>
        </w:rPr>
        <w:t>23, 24 et</w:t>
      </w:r>
      <w:r>
        <w:rPr>
          <w:lang w:val="fr-FR"/>
        </w:rPr>
        <w:t> </w:t>
      </w:r>
      <w:r w:rsidRPr="008C5851">
        <w:rPr>
          <w:lang w:val="fr-FR"/>
        </w:rPr>
        <w:t>26 du Pacte. Elle affirme que les circonstances particulières</w:t>
      </w:r>
      <w:r>
        <w:rPr>
          <w:lang w:val="fr-FR"/>
        </w:rPr>
        <w:t xml:space="preserve"> </w:t>
      </w:r>
      <w:r w:rsidRPr="008C5851">
        <w:rPr>
          <w:lang w:val="fr-FR"/>
        </w:rPr>
        <w:t>de sa situation</w:t>
      </w:r>
      <w:r>
        <w:rPr>
          <w:lang w:val="fr-FR"/>
        </w:rPr>
        <w:t>,</w:t>
      </w:r>
      <w:r w:rsidRPr="008C5851">
        <w:rPr>
          <w:lang w:val="fr-FR"/>
        </w:rPr>
        <w:t xml:space="preserve"> </w:t>
      </w:r>
      <w:r>
        <w:rPr>
          <w:lang w:val="fr-FR"/>
        </w:rPr>
        <w:t>indépendantes de sa volonté,</w:t>
      </w:r>
      <w:r w:rsidRPr="008C5851">
        <w:rPr>
          <w:lang w:val="fr-FR"/>
        </w:rPr>
        <w:t xml:space="preserve"> auraient dû être prises en considération par les autorités de l</w:t>
      </w:r>
      <w:r w:rsidR="004C779B">
        <w:rPr>
          <w:lang w:val="fr-FR"/>
        </w:rPr>
        <w:t>’</w:t>
      </w:r>
      <w:r w:rsidRPr="008C5851">
        <w:rPr>
          <w:lang w:val="fr-FR"/>
        </w:rPr>
        <w:t>État partie,</w:t>
      </w:r>
      <w:r>
        <w:rPr>
          <w:lang w:val="fr-FR"/>
        </w:rPr>
        <w:t xml:space="preserve"> notamment le fait </w:t>
      </w:r>
      <w:r w:rsidRPr="008C5851">
        <w:rPr>
          <w:lang w:val="fr-FR"/>
        </w:rPr>
        <w:t>que sa fille et elle-même ne pouvaient quitter l</w:t>
      </w:r>
      <w:r w:rsidR="004C779B">
        <w:rPr>
          <w:lang w:val="fr-FR"/>
        </w:rPr>
        <w:t>’</w:t>
      </w:r>
      <w:r w:rsidRPr="008C5851">
        <w:rPr>
          <w:lang w:val="fr-FR"/>
        </w:rPr>
        <w:t>État partie en raison de l</w:t>
      </w:r>
      <w:r w:rsidR="004C779B">
        <w:rPr>
          <w:lang w:val="fr-FR"/>
        </w:rPr>
        <w:t>’</w:t>
      </w:r>
      <w:r w:rsidRPr="008C5851">
        <w:rPr>
          <w:lang w:val="fr-FR"/>
        </w:rPr>
        <w:t>état de santé de sa fille, que l</w:t>
      </w:r>
      <w:r w:rsidR="004C779B">
        <w:rPr>
          <w:lang w:val="fr-FR"/>
        </w:rPr>
        <w:t>’</w:t>
      </w:r>
      <w:r w:rsidRPr="008C5851">
        <w:rPr>
          <w:lang w:val="fr-FR"/>
        </w:rPr>
        <w:t xml:space="preserve">instruction des demandes de permis de séjour a pris plusieurs années et que le </w:t>
      </w:r>
      <w:r>
        <w:rPr>
          <w:lang w:val="fr-FR"/>
        </w:rPr>
        <w:t>refus d</w:t>
      </w:r>
      <w:r w:rsidR="004C779B">
        <w:rPr>
          <w:lang w:val="fr-FR"/>
        </w:rPr>
        <w:t>’</w:t>
      </w:r>
      <w:r>
        <w:rPr>
          <w:lang w:val="fr-FR"/>
        </w:rPr>
        <w:t xml:space="preserve">accorder </w:t>
      </w:r>
      <w:r w:rsidRPr="008C5851">
        <w:rPr>
          <w:lang w:val="fr-FR"/>
        </w:rPr>
        <w:t>l</w:t>
      </w:r>
      <w:r w:rsidR="004C779B">
        <w:rPr>
          <w:lang w:val="fr-FR"/>
        </w:rPr>
        <w:t>’</w:t>
      </w:r>
      <w:r w:rsidRPr="008C5851">
        <w:rPr>
          <w:lang w:val="fr-FR"/>
        </w:rPr>
        <w:t xml:space="preserve">indemnité générale pour enfant à charge </w:t>
      </w:r>
      <w:r>
        <w:rPr>
          <w:lang w:val="fr-FR"/>
        </w:rPr>
        <w:t>l</w:t>
      </w:r>
      <w:r w:rsidR="004C779B">
        <w:rPr>
          <w:lang w:val="fr-FR"/>
        </w:rPr>
        <w:t>’</w:t>
      </w:r>
      <w:r w:rsidRPr="008C5851">
        <w:rPr>
          <w:lang w:val="fr-FR"/>
        </w:rPr>
        <w:t>a obligé</w:t>
      </w:r>
      <w:r>
        <w:rPr>
          <w:lang w:val="fr-FR"/>
        </w:rPr>
        <w:t>e</w:t>
      </w:r>
      <w:r w:rsidRPr="008C5851">
        <w:rPr>
          <w:lang w:val="fr-FR"/>
        </w:rPr>
        <w:t xml:space="preserve"> à vivre </w:t>
      </w:r>
      <w:r>
        <w:rPr>
          <w:lang w:val="fr-FR"/>
        </w:rPr>
        <w:t xml:space="preserve">avec sa fille </w:t>
      </w:r>
      <w:r w:rsidRPr="008C5851">
        <w:rPr>
          <w:lang w:val="fr-FR"/>
        </w:rPr>
        <w:t>dans la pauvreté.</w:t>
      </w:r>
    </w:p>
    <w:p w14:paraId="762220F4" w14:textId="77777777" w:rsidR="00D43D1B" w:rsidRPr="008C5851" w:rsidRDefault="00D43D1B" w:rsidP="00D43D1B">
      <w:pPr>
        <w:pStyle w:val="SingleTxtG"/>
        <w:rPr>
          <w:lang w:val="fr-FR"/>
        </w:rPr>
      </w:pPr>
      <w:r w:rsidRPr="008C5851">
        <w:rPr>
          <w:lang w:val="fr-FR"/>
        </w:rPr>
        <w:t>3.2</w:t>
      </w:r>
      <w:r w:rsidRPr="008C5851">
        <w:rPr>
          <w:lang w:val="fr-FR"/>
        </w:rPr>
        <w:tab/>
      </w:r>
      <w:r>
        <w:rPr>
          <w:lang w:val="fr-FR"/>
        </w:rPr>
        <w:t>L</w:t>
      </w:r>
      <w:r w:rsidRPr="008C5851">
        <w:rPr>
          <w:lang w:val="fr-FR"/>
        </w:rPr>
        <w:t>es autorités n</w:t>
      </w:r>
      <w:r w:rsidR="004C779B">
        <w:rPr>
          <w:lang w:val="fr-FR"/>
        </w:rPr>
        <w:t>’</w:t>
      </w:r>
      <w:r w:rsidRPr="008C5851">
        <w:rPr>
          <w:lang w:val="fr-FR"/>
        </w:rPr>
        <w:t xml:space="preserve">ont pas </w:t>
      </w:r>
      <w:r>
        <w:rPr>
          <w:lang w:val="fr-FR"/>
        </w:rPr>
        <w:t xml:space="preserve">non plus </w:t>
      </w:r>
      <w:r w:rsidRPr="008C5851">
        <w:rPr>
          <w:lang w:val="fr-FR"/>
        </w:rPr>
        <w:t xml:space="preserve">tenu compte du fait </w:t>
      </w:r>
      <w:r>
        <w:rPr>
          <w:lang w:val="fr-FR"/>
        </w:rPr>
        <w:t>que l</w:t>
      </w:r>
      <w:r w:rsidR="004C779B">
        <w:rPr>
          <w:lang w:val="fr-FR"/>
        </w:rPr>
        <w:t>’</w:t>
      </w:r>
      <w:r>
        <w:rPr>
          <w:lang w:val="fr-FR"/>
        </w:rPr>
        <w:t xml:space="preserve">auteure </w:t>
      </w:r>
      <w:r w:rsidRPr="008C5851">
        <w:rPr>
          <w:lang w:val="fr-FR"/>
        </w:rPr>
        <w:t>n</w:t>
      </w:r>
      <w:r w:rsidR="004C779B">
        <w:rPr>
          <w:lang w:val="fr-FR"/>
        </w:rPr>
        <w:t>’</w:t>
      </w:r>
      <w:r w:rsidRPr="008C5851">
        <w:rPr>
          <w:lang w:val="fr-FR"/>
        </w:rPr>
        <w:t>a pas tenté de se soustraire à la réglementation ou aux politiques en matière d</w:t>
      </w:r>
      <w:r w:rsidR="004C779B">
        <w:rPr>
          <w:lang w:val="fr-FR"/>
        </w:rPr>
        <w:t>’</w:t>
      </w:r>
      <w:r w:rsidRPr="008C5851">
        <w:rPr>
          <w:lang w:val="fr-FR"/>
        </w:rPr>
        <w:t>immigration. Elle a pris ouvertement contact avec les autorités lorsqu</w:t>
      </w:r>
      <w:r w:rsidR="004C779B">
        <w:rPr>
          <w:lang w:val="fr-FR"/>
        </w:rPr>
        <w:t>’</w:t>
      </w:r>
      <w:r w:rsidRPr="008C5851">
        <w:rPr>
          <w:lang w:val="fr-FR"/>
        </w:rPr>
        <w:t>elle est arrivée dans le pays et a demandé un permis de séjour sur la base de l</w:t>
      </w:r>
      <w:r w:rsidR="004C779B">
        <w:rPr>
          <w:lang w:val="fr-FR"/>
        </w:rPr>
        <w:t>’</w:t>
      </w:r>
      <w:r w:rsidRPr="008C5851">
        <w:rPr>
          <w:lang w:val="fr-FR"/>
        </w:rPr>
        <w:t>état de santé de sa fille. Pendant la plus grande partie de leur séjour dans l</w:t>
      </w:r>
      <w:r w:rsidR="004C779B">
        <w:rPr>
          <w:lang w:val="fr-FR"/>
        </w:rPr>
        <w:t>’</w:t>
      </w:r>
      <w:r w:rsidRPr="008C5851">
        <w:rPr>
          <w:lang w:val="fr-FR"/>
        </w:rPr>
        <w:t>État partie, la situation de l</w:t>
      </w:r>
      <w:r w:rsidR="004C779B">
        <w:rPr>
          <w:lang w:val="fr-FR"/>
        </w:rPr>
        <w:t>’</w:t>
      </w:r>
      <w:r w:rsidRPr="008C5851">
        <w:rPr>
          <w:lang w:val="fr-FR"/>
        </w:rPr>
        <w:t xml:space="preserve">auteure et de sa fille au regard de la réglementation relative au séjour était </w:t>
      </w:r>
      <w:r w:rsidRPr="00F07835">
        <w:rPr>
          <w:lang w:val="fr-FR"/>
        </w:rPr>
        <w:t>« en instance d</w:t>
      </w:r>
      <w:r w:rsidR="004C779B">
        <w:rPr>
          <w:lang w:val="fr-FR"/>
        </w:rPr>
        <w:t>’</w:t>
      </w:r>
      <w:r w:rsidRPr="00F07835">
        <w:rPr>
          <w:lang w:val="fr-FR"/>
        </w:rPr>
        <w:t>examen »,</w:t>
      </w:r>
      <w:r w:rsidRPr="008C5851">
        <w:rPr>
          <w:lang w:val="fr-FR"/>
        </w:rPr>
        <w:t xml:space="preserve"> et leur séjour </w:t>
      </w:r>
      <w:r>
        <w:rPr>
          <w:lang w:val="fr-FR"/>
        </w:rPr>
        <w:t xml:space="preserve">a donc été </w:t>
      </w:r>
      <w:r w:rsidRPr="008C5851">
        <w:rPr>
          <w:lang w:val="fr-FR"/>
        </w:rPr>
        <w:lastRenderedPageBreak/>
        <w:t>régulier pendant toute la durée de la procédure d</w:t>
      </w:r>
      <w:r w:rsidR="004C779B">
        <w:rPr>
          <w:lang w:val="fr-FR"/>
        </w:rPr>
        <w:t>’</w:t>
      </w:r>
      <w:r w:rsidRPr="008C5851">
        <w:rPr>
          <w:lang w:val="fr-FR"/>
        </w:rPr>
        <w:t>examen de leur demande de permis de séjour.</w:t>
      </w:r>
    </w:p>
    <w:p w14:paraId="1657289B" w14:textId="77777777" w:rsidR="00D43D1B" w:rsidRPr="008C5851" w:rsidRDefault="00D43D1B" w:rsidP="00D43D1B">
      <w:pPr>
        <w:pStyle w:val="H23G"/>
        <w:rPr>
          <w:lang w:val="fr-FR"/>
        </w:rPr>
      </w:pPr>
      <w:r w:rsidRPr="008C5851">
        <w:rPr>
          <w:lang w:val="fr-FR"/>
        </w:rPr>
        <w:tab/>
      </w:r>
      <w:r w:rsidRPr="008C5851">
        <w:rPr>
          <w:lang w:val="fr-FR"/>
        </w:rPr>
        <w:tab/>
        <w:t>Observations de l</w:t>
      </w:r>
      <w:r w:rsidR="004C779B">
        <w:rPr>
          <w:lang w:val="fr-FR"/>
        </w:rPr>
        <w:t>’</w:t>
      </w:r>
      <w:r w:rsidRPr="008C5851">
        <w:rPr>
          <w:lang w:val="fr-FR"/>
        </w:rPr>
        <w:t xml:space="preserve">État partie sur la recevabilité et </w:t>
      </w:r>
      <w:r>
        <w:rPr>
          <w:lang w:val="fr-FR"/>
        </w:rPr>
        <w:t xml:space="preserve">sur </w:t>
      </w:r>
      <w:r w:rsidRPr="008C5851">
        <w:rPr>
          <w:lang w:val="fr-FR"/>
        </w:rPr>
        <w:t>le fond</w:t>
      </w:r>
    </w:p>
    <w:p w14:paraId="28BD6E71" w14:textId="77777777" w:rsidR="00D43D1B" w:rsidRPr="008C5851" w:rsidRDefault="00D43D1B" w:rsidP="00D43D1B">
      <w:pPr>
        <w:pStyle w:val="SingleTxtG"/>
        <w:rPr>
          <w:lang w:val="fr-FR"/>
        </w:rPr>
      </w:pPr>
      <w:r w:rsidRPr="008C5851">
        <w:rPr>
          <w:lang w:val="fr-FR"/>
        </w:rPr>
        <w:t>4.1</w:t>
      </w:r>
      <w:r w:rsidRPr="008C5851">
        <w:rPr>
          <w:lang w:val="fr-FR"/>
        </w:rPr>
        <w:tab/>
        <w:t xml:space="preserve">Dans ses observations sur la recevabilité et </w:t>
      </w:r>
      <w:r>
        <w:rPr>
          <w:lang w:val="fr-FR"/>
        </w:rPr>
        <w:t xml:space="preserve">sur </w:t>
      </w:r>
      <w:r w:rsidRPr="008C5851">
        <w:rPr>
          <w:lang w:val="fr-FR"/>
        </w:rPr>
        <w:t>le fond de la communication datées du 10 mai 2016, l</w:t>
      </w:r>
      <w:r w:rsidR="004C779B">
        <w:rPr>
          <w:lang w:val="fr-FR"/>
        </w:rPr>
        <w:t>’</w:t>
      </w:r>
      <w:r w:rsidRPr="008C5851">
        <w:rPr>
          <w:lang w:val="fr-FR"/>
        </w:rPr>
        <w:t xml:space="preserve">État partie </w:t>
      </w:r>
      <w:r>
        <w:rPr>
          <w:lang w:val="fr-FR"/>
        </w:rPr>
        <w:t>a souligné</w:t>
      </w:r>
      <w:r w:rsidRPr="008C5851">
        <w:rPr>
          <w:lang w:val="fr-FR"/>
        </w:rPr>
        <w:t xml:space="preserve"> que la communication </w:t>
      </w:r>
      <w:r>
        <w:rPr>
          <w:lang w:val="fr-FR"/>
        </w:rPr>
        <w:t>n</w:t>
      </w:r>
      <w:r w:rsidR="004C779B">
        <w:rPr>
          <w:lang w:val="fr-FR"/>
        </w:rPr>
        <w:t>’</w:t>
      </w:r>
      <w:r>
        <w:rPr>
          <w:lang w:val="fr-FR"/>
        </w:rPr>
        <w:t>est</w:t>
      </w:r>
      <w:r w:rsidRPr="008C5851">
        <w:rPr>
          <w:lang w:val="fr-FR"/>
        </w:rPr>
        <w:t xml:space="preserve"> pas signée par l</w:t>
      </w:r>
      <w:r w:rsidR="004C779B">
        <w:rPr>
          <w:lang w:val="fr-FR"/>
        </w:rPr>
        <w:t>’</w:t>
      </w:r>
      <w:r w:rsidRPr="008C5851">
        <w:rPr>
          <w:lang w:val="fr-FR"/>
        </w:rPr>
        <w:t xml:space="preserve">auteure mais uniquement par son représentant légal et que </w:t>
      </w:r>
      <w:r>
        <w:rPr>
          <w:lang w:val="fr-FR"/>
        </w:rPr>
        <w:t>le pouvoir</w:t>
      </w:r>
      <w:r w:rsidRPr="008C5851">
        <w:rPr>
          <w:lang w:val="fr-FR"/>
        </w:rPr>
        <w:t xml:space="preserve"> de ce</w:t>
      </w:r>
      <w:r>
        <w:rPr>
          <w:lang w:val="fr-FR"/>
        </w:rPr>
        <w:t>lui</w:t>
      </w:r>
      <w:r>
        <w:rPr>
          <w:lang w:val="fr-FR"/>
        </w:rPr>
        <w:noBreakHyphen/>
        <w:t>ci n</w:t>
      </w:r>
      <w:r w:rsidR="004C779B">
        <w:rPr>
          <w:lang w:val="fr-FR"/>
        </w:rPr>
        <w:t>’</w:t>
      </w:r>
      <w:r>
        <w:rPr>
          <w:lang w:val="fr-FR"/>
        </w:rPr>
        <w:t>est</w:t>
      </w:r>
      <w:r w:rsidRPr="008C5851">
        <w:rPr>
          <w:lang w:val="fr-FR"/>
        </w:rPr>
        <w:t xml:space="preserve"> pas daté. L</w:t>
      </w:r>
      <w:r w:rsidR="004C779B">
        <w:rPr>
          <w:lang w:val="fr-FR"/>
        </w:rPr>
        <w:t>’</w:t>
      </w:r>
      <w:r w:rsidRPr="008C5851">
        <w:rPr>
          <w:lang w:val="fr-FR"/>
        </w:rPr>
        <w:t xml:space="preserve">État partie </w:t>
      </w:r>
      <w:r>
        <w:rPr>
          <w:lang w:val="fr-FR"/>
        </w:rPr>
        <w:t>affirme qu</w:t>
      </w:r>
      <w:r w:rsidR="004C779B">
        <w:rPr>
          <w:lang w:val="fr-FR"/>
        </w:rPr>
        <w:t>’</w:t>
      </w:r>
      <w:r>
        <w:rPr>
          <w:lang w:val="fr-FR"/>
        </w:rPr>
        <w:t xml:space="preserve">une telle situation incite à se demander </w:t>
      </w:r>
      <w:r w:rsidRPr="008C5851">
        <w:rPr>
          <w:lang w:val="fr-FR"/>
        </w:rPr>
        <w:t xml:space="preserve">si le représentant légal représentait </w:t>
      </w:r>
      <w:r>
        <w:rPr>
          <w:lang w:val="fr-FR"/>
        </w:rPr>
        <w:t xml:space="preserve">bien </w:t>
      </w:r>
      <w:r w:rsidRPr="008C5851">
        <w:rPr>
          <w:lang w:val="fr-FR"/>
        </w:rPr>
        <w:t>l</w:t>
      </w:r>
      <w:r w:rsidR="004C779B">
        <w:rPr>
          <w:lang w:val="fr-FR"/>
        </w:rPr>
        <w:t>’</w:t>
      </w:r>
      <w:r w:rsidRPr="008C5851">
        <w:rPr>
          <w:lang w:val="fr-FR"/>
        </w:rPr>
        <w:t xml:space="preserve">auteure </w:t>
      </w:r>
      <w:r>
        <w:rPr>
          <w:lang w:val="fr-FR"/>
        </w:rPr>
        <w:t>au moment du dépôt de</w:t>
      </w:r>
      <w:r w:rsidRPr="008C5851">
        <w:rPr>
          <w:lang w:val="fr-FR"/>
        </w:rPr>
        <w:t xml:space="preserve"> la communication. L</w:t>
      </w:r>
      <w:r w:rsidR="004C779B">
        <w:rPr>
          <w:lang w:val="fr-FR"/>
        </w:rPr>
        <w:t>’</w:t>
      </w:r>
      <w:r w:rsidRPr="008C5851">
        <w:rPr>
          <w:lang w:val="fr-FR"/>
        </w:rPr>
        <w:t>État partie demande au Comité d</w:t>
      </w:r>
      <w:r w:rsidR="004C779B">
        <w:rPr>
          <w:lang w:val="fr-FR"/>
        </w:rPr>
        <w:t>’</w:t>
      </w:r>
      <w:r>
        <w:rPr>
          <w:lang w:val="fr-FR"/>
        </w:rPr>
        <w:t>en</w:t>
      </w:r>
      <w:r w:rsidRPr="008C5851">
        <w:rPr>
          <w:lang w:val="fr-FR"/>
        </w:rPr>
        <w:t xml:space="preserve"> tenir compte </w:t>
      </w:r>
      <w:r>
        <w:rPr>
          <w:lang w:val="fr-FR"/>
        </w:rPr>
        <w:t>lors de son examen de</w:t>
      </w:r>
      <w:r w:rsidRPr="008C5851">
        <w:rPr>
          <w:lang w:val="fr-FR"/>
        </w:rPr>
        <w:t xml:space="preserve"> la recevabilité de la communication.</w:t>
      </w:r>
    </w:p>
    <w:p w14:paraId="0642BE5F" w14:textId="77777777" w:rsidR="00D43D1B" w:rsidRPr="008C5851" w:rsidRDefault="00D43D1B" w:rsidP="00D43D1B">
      <w:pPr>
        <w:pStyle w:val="SingleTxtG"/>
        <w:rPr>
          <w:lang w:val="fr-FR"/>
        </w:rPr>
      </w:pPr>
      <w:r w:rsidRPr="008C5851">
        <w:rPr>
          <w:lang w:val="fr-FR"/>
        </w:rPr>
        <w:t>4.2</w:t>
      </w:r>
      <w:r w:rsidRPr="008C5851">
        <w:rPr>
          <w:lang w:val="fr-FR"/>
        </w:rPr>
        <w:tab/>
        <w:t>L</w:t>
      </w:r>
      <w:r w:rsidR="004C779B">
        <w:rPr>
          <w:lang w:val="fr-FR"/>
        </w:rPr>
        <w:t>’</w:t>
      </w:r>
      <w:r w:rsidRPr="008C5851">
        <w:rPr>
          <w:lang w:val="fr-FR"/>
        </w:rPr>
        <w:t>État partie fournit des informations sur sa législation relative aux prestations de sécurité sociale et indique qu</w:t>
      </w:r>
      <w:r w:rsidR="004C779B">
        <w:rPr>
          <w:lang w:val="fr-FR"/>
        </w:rPr>
        <w:t>’</w:t>
      </w:r>
      <w:r w:rsidRPr="008C5851">
        <w:rPr>
          <w:lang w:val="fr-FR"/>
        </w:rPr>
        <w:t xml:space="preserve">il </w:t>
      </w:r>
      <w:r>
        <w:rPr>
          <w:lang w:val="fr-FR"/>
        </w:rPr>
        <w:t>existe</w:t>
      </w:r>
      <w:r w:rsidRPr="008C5851">
        <w:rPr>
          <w:lang w:val="fr-FR"/>
        </w:rPr>
        <w:t xml:space="preserve"> deux types de régime</w:t>
      </w:r>
      <w:r>
        <w:rPr>
          <w:lang w:val="fr-FR"/>
        </w:rPr>
        <w:t>s</w:t>
      </w:r>
      <w:r w:rsidRPr="008C5851">
        <w:rPr>
          <w:lang w:val="fr-FR"/>
        </w:rPr>
        <w:t xml:space="preserve"> d</w:t>
      </w:r>
      <w:r w:rsidR="004C779B">
        <w:rPr>
          <w:lang w:val="fr-FR"/>
        </w:rPr>
        <w:t>’</w:t>
      </w:r>
      <w:r>
        <w:rPr>
          <w:lang w:val="fr-FR"/>
        </w:rPr>
        <w:t>assurance sociale :</w:t>
      </w:r>
      <w:r w:rsidRPr="008C5851">
        <w:rPr>
          <w:lang w:val="fr-FR"/>
        </w:rPr>
        <w:t xml:space="preserve"> les régimes d</w:t>
      </w:r>
      <w:r w:rsidR="004C779B">
        <w:rPr>
          <w:lang w:val="fr-FR"/>
        </w:rPr>
        <w:t>’</w:t>
      </w:r>
      <w:r w:rsidRPr="008C5851">
        <w:rPr>
          <w:lang w:val="fr-FR"/>
        </w:rPr>
        <w:t>assurance liés à l</w:t>
      </w:r>
      <w:r w:rsidR="004C779B">
        <w:rPr>
          <w:lang w:val="fr-FR"/>
        </w:rPr>
        <w:t>’</w:t>
      </w:r>
      <w:r w:rsidRPr="008C5851">
        <w:rPr>
          <w:lang w:val="fr-FR"/>
        </w:rPr>
        <w:t>emploi et les régimes d</w:t>
      </w:r>
      <w:r w:rsidR="004C779B">
        <w:rPr>
          <w:lang w:val="fr-FR"/>
        </w:rPr>
        <w:t>’</w:t>
      </w:r>
      <w:r>
        <w:rPr>
          <w:lang w:val="fr-FR"/>
        </w:rPr>
        <w:t xml:space="preserve">assurance nationaux. Les </w:t>
      </w:r>
      <w:r w:rsidRPr="008C5851">
        <w:rPr>
          <w:lang w:val="fr-FR"/>
        </w:rPr>
        <w:t>personnes qui occupent ou occupaient un emploi rémunéré sont couvertes par les régimes d</w:t>
      </w:r>
      <w:r w:rsidR="004C779B">
        <w:rPr>
          <w:lang w:val="fr-FR"/>
        </w:rPr>
        <w:t>’</w:t>
      </w:r>
      <w:r w:rsidRPr="008C5851">
        <w:rPr>
          <w:lang w:val="fr-FR"/>
        </w:rPr>
        <w:t>assurance liés à l</w:t>
      </w:r>
      <w:r w:rsidR="004C779B">
        <w:rPr>
          <w:lang w:val="fr-FR"/>
        </w:rPr>
        <w:t>’</w:t>
      </w:r>
      <w:r w:rsidRPr="008C5851">
        <w:rPr>
          <w:lang w:val="fr-FR"/>
        </w:rPr>
        <w:t>emploi. Les régimes d</w:t>
      </w:r>
      <w:r w:rsidR="004C779B">
        <w:rPr>
          <w:lang w:val="fr-FR"/>
        </w:rPr>
        <w:t>’</w:t>
      </w:r>
      <w:r w:rsidRPr="008C5851">
        <w:rPr>
          <w:lang w:val="fr-FR"/>
        </w:rPr>
        <w:t>assurance nationaux s</w:t>
      </w:r>
      <w:r w:rsidR="004C779B">
        <w:rPr>
          <w:lang w:val="fr-FR"/>
        </w:rPr>
        <w:t>’</w:t>
      </w:r>
      <w:r w:rsidRPr="008C5851">
        <w:rPr>
          <w:lang w:val="fr-FR"/>
        </w:rPr>
        <w:t xml:space="preserve">appliquent aux personnes qui ont le statut de résident aux Pays-Bas et aux personnes qui occupent un emploi rémunéré aux Pays-Bas et sont </w:t>
      </w:r>
      <w:r>
        <w:rPr>
          <w:lang w:val="fr-FR"/>
        </w:rPr>
        <w:t xml:space="preserve">de ce fait </w:t>
      </w:r>
      <w:r w:rsidRPr="008C5851">
        <w:rPr>
          <w:lang w:val="fr-FR"/>
        </w:rPr>
        <w:t>assujetti</w:t>
      </w:r>
      <w:r>
        <w:rPr>
          <w:lang w:val="fr-FR"/>
        </w:rPr>
        <w:t>e</w:t>
      </w:r>
      <w:r w:rsidRPr="008C5851">
        <w:rPr>
          <w:lang w:val="fr-FR"/>
        </w:rPr>
        <w:t xml:space="preserve">s à </w:t>
      </w:r>
      <w:r w:rsidRPr="001E2B5A">
        <w:rPr>
          <w:lang w:val="fr-FR"/>
        </w:rPr>
        <w:t>l</w:t>
      </w:r>
      <w:r w:rsidR="004C779B">
        <w:rPr>
          <w:lang w:val="fr-FR"/>
        </w:rPr>
        <w:t>’</w:t>
      </w:r>
      <w:r w:rsidRPr="001E2B5A">
        <w:rPr>
          <w:lang w:val="fr-FR"/>
        </w:rPr>
        <w:t>impôt néerlandais sur les salaires</w:t>
      </w:r>
      <w:r>
        <w:rPr>
          <w:lang w:val="fr-FR"/>
        </w:rPr>
        <w:t>. La l</w:t>
      </w:r>
      <w:r w:rsidRPr="008C5851">
        <w:rPr>
          <w:lang w:val="fr-FR"/>
        </w:rPr>
        <w:t xml:space="preserve">oi relative à </w:t>
      </w:r>
      <w:r w:rsidRPr="008C5851">
        <w:rPr>
          <w:spacing w:val="-2"/>
          <w:lang w:val="fr-FR"/>
        </w:rPr>
        <w:t>l</w:t>
      </w:r>
      <w:r w:rsidR="004C779B">
        <w:rPr>
          <w:spacing w:val="-2"/>
          <w:lang w:val="fr-FR"/>
        </w:rPr>
        <w:t>’</w:t>
      </w:r>
      <w:r w:rsidRPr="008C5851">
        <w:rPr>
          <w:spacing w:val="-2"/>
          <w:lang w:val="fr-FR"/>
        </w:rPr>
        <w:t>indemnité générale pour enfant à charge</w:t>
      </w:r>
      <w:r w:rsidRPr="008C5851">
        <w:rPr>
          <w:lang w:val="fr-FR"/>
        </w:rPr>
        <w:t xml:space="preserve"> </w:t>
      </w:r>
      <w:r>
        <w:rPr>
          <w:lang w:val="fr-FR"/>
        </w:rPr>
        <w:t xml:space="preserve">institue </w:t>
      </w:r>
      <w:r w:rsidRPr="008C5851">
        <w:rPr>
          <w:lang w:val="fr-FR"/>
        </w:rPr>
        <w:t>un régime d</w:t>
      </w:r>
      <w:r w:rsidR="004C779B">
        <w:rPr>
          <w:lang w:val="fr-FR"/>
        </w:rPr>
        <w:t>’</w:t>
      </w:r>
      <w:r w:rsidRPr="008C5851">
        <w:rPr>
          <w:lang w:val="fr-FR"/>
        </w:rPr>
        <w:t>assurance national</w:t>
      </w:r>
      <w:r>
        <w:rPr>
          <w:lang w:val="fr-FR"/>
        </w:rPr>
        <w:t xml:space="preserve"> et dispose qu</w:t>
      </w:r>
      <w:r w:rsidR="004C779B">
        <w:rPr>
          <w:lang w:val="fr-FR"/>
        </w:rPr>
        <w:t>’</w:t>
      </w:r>
      <w:r>
        <w:rPr>
          <w:lang w:val="fr-FR"/>
        </w:rPr>
        <w:t xml:space="preserve">ont droit à cette indemnité les </w:t>
      </w:r>
      <w:r w:rsidRPr="008C5851">
        <w:rPr>
          <w:lang w:val="fr-FR"/>
        </w:rPr>
        <w:t xml:space="preserve">personnes assurées qui </w:t>
      </w:r>
      <w:r w:rsidRPr="008F17DA">
        <w:rPr>
          <w:lang w:val="fr-FR"/>
        </w:rPr>
        <w:t>entretiennent ou éduquent</w:t>
      </w:r>
      <w:r w:rsidRPr="008C5851">
        <w:rPr>
          <w:lang w:val="fr-FR"/>
        </w:rPr>
        <w:t xml:space="preserve"> des enfants mineurs</w:t>
      </w:r>
      <w:r w:rsidRPr="008C5851">
        <w:rPr>
          <w:spacing w:val="-2"/>
          <w:lang w:val="fr-FR"/>
        </w:rPr>
        <w:t>. Ce sont donc les parents</w:t>
      </w:r>
      <w:r>
        <w:rPr>
          <w:spacing w:val="-2"/>
          <w:lang w:val="fr-FR"/>
        </w:rPr>
        <w:t xml:space="preserve"> ou la personne qui prend soin des enfants</w:t>
      </w:r>
      <w:r w:rsidRPr="008C5851">
        <w:rPr>
          <w:spacing w:val="-2"/>
          <w:lang w:val="fr-FR"/>
        </w:rPr>
        <w:t>, et non les enfants, qui sont les bénéficiaires de l</w:t>
      </w:r>
      <w:r w:rsidR="004C779B">
        <w:rPr>
          <w:spacing w:val="-2"/>
          <w:lang w:val="fr-FR"/>
        </w:rPr>
        <w:t>’</w:t>
      </w:r>
      <w:r w:rsidRPr="008C5851">
        <w:rPr>
          <w:spacing w:val="-2"/>
          <w:lang w:val="fr-FR"/>
        </w:rPr>
        <w:t>indemnité pour enfant à charge. Cette indemnité est une contribution aux dépenses liées à l</w:t>
      </w:r>
      <w:r w:rsidR="004C779B">
        <w:rPr>
          <w:spacing w:val="-2"/>
          <w:lang w:val="fr-FR"/>
        </w:rPr>
        <w:t>’</w:t>
      </w:r>
      <w:r w:rsidRPr="008C5851">
        <w:rPr>
          <w:spacing w:val="-2"/>
          <w:lang w:val="fr-FR"/>
        </w:rPr>
        <w:t>entretien et à l</w:t>
      </w:r>
      <w:r w:rsidR="004C779B">
        <w:rPr>
          <w:spacing w:val="-2"/>
          <w:lang w:val="fr-FR"/>
        </w:rPr>
        <w:t>’</w:t>
      </w:r>
      <w:r w:rsidRPr="008C5851">
        <w:rPr>
          <w:spacing w:val="-2"/>
          <w:lang w:val="fr-FR"/>
        </w:rPr>
        <w:t xml:space="preserve">éducation des enfants, </w:t>
      </w:r>
      <w:r>
        <w:rPr>
          <w:spacing w:val="-2"/>
          <w:lang w:val="fr-FR"/>
        </w:rPr>
        <w:t xml:space="preserve">et </w:t>
      </w:r>
      <w:r w:rsidRPr="008C5851">
        <w:rPr>
          <w:spacing w:val="-2"/>
          <w:lang w:val="fr-FR"/>
        </w:rPr>
        <w:t>elle n</w:t>
      </w:r>
      <w:r w:rsidR="004C779B">
        <w:rPr>
          <w:spacing w:val="-2"/>
          <w:lang w:val="fr-FR"/>
        </w:rPr>
        <w:t>’</w:t>
      </w:r>
      <w:r w:rsidRPr="008C5851">
        <w:rPr>
          <w:spacing w:val="-2"/>
          <w:lang w:val="fr-FR"/>
        </w:rPr>
        <w:t>est pas censée couvrir l</w:t>
      </w:r>
      <w:r w:rsidR="004C779B">
        <w:rPr>
          <w:spacing w:val="-2"/>
          <w:lang w:val="fr-FR"/>
        </w:rPr>
        <w:t>’</w:t>
      </w:r>
      <w:r w:rsidRPr="008C5851">
        <w:rPr>
          <w:spacing w:val="-2"/>
          <w:lang w:val="fr-FR"/>
        </w:rPr>
        <w:t>ensemble de ces dépenses, pas plus qu</w:t>
      </w:r>
      <w:r w:rsidR="004C779B">
        <w:rPr>
          <w:spacing w:val="-2"/>
          <w:lang w:val="fr-FR"/>
        </w:rPr>
        <w:t>’</w:t>
      </w:r>
      <w:r w:rsidRPr="008C5851">
        <w:rPr>
          <w:spacing w:val="-2"/>
          <w:lang w:val="fr-FR"/>
        </w:rPr>
        <w:t>elle n</w:t>
      </w:r>
      <w:r w:rsidR="004C779B">
        <w:rPr>
          <w:spacing w:val="-2"/>
          <w:lang w:val="fr-FR"/>
        </w:rPr>
        <w:t>’</w:t>
      </w:r>
      <w:r w:rsidRPr="008C5851">
        <w:rPr>
          <w:spacing w:val="-2"/>
          <w:lang w:val="fr-FR"/>
        </w:rPr>
        <w:t xml:space="preserve">est censée être un </w:t>
      </w:r>
      <w:r>
        <w:rPr>
          <w:spacing w:val="-2"/>
          <w:lang w:val="fr-FR"/>
        </w:rPr>
        <w:t>dispositif</w:t>
      </w:r>
      <w:r w:rsidRPr="008C5851">
        <w:rPr>
          <w:spacing w:val="-2"/>
          <w:lang w:val="fr-FR"/>
        </w:rPr>
        <w:t xml:space="preserve"> </w:t>
      </w:r>
      <w:r w:rsidRPr="005F107F">
        <w:rPr>
          <w:spacing w:val="-2"/>
          <w:lang w:val="fr-FR"/>
        </w:rPr>
        <w:t>général de complément des revenus.</w:t>
      </w:r>
      <w:r w:rsidRPr="008C5851">
        <w:rPr>
          <w:spacing w:val="-2"/>
          <w:lang w:val="fr-FR"/>
        </w:rPr>
        <w:t xml:space="preserve"> </w:t>
      </w:r>
      <w:r>
        <w:rPr>
          <w:spacing w:val="-2"/>
          <w:lang w:val="fr-FR"/>
        </w:rPr>
        <w:t>Elle</w:t>
      </w:r>
      <w:r w:rsidRPr="008C5851">
        <w:rPr>
          <w:spacing w:val="-2"/>
          <w:lang w:val="fr-FR"/>
        </w:rPr>
        <w:t xml:space="preserve"> est financée par le budget de l</w:t>
      </w:r>
      <w:r w:rsidR="004C779B">
        <w:rPr>
          <w:spacing w:val="-2"/>
          <w:lang w:val="fr-FR"/>
        </w:rPr>
        <w:t>’</w:t>
      </w:r>
      <w:r w:rsidRPr="008C5851">
        <w:rPr>
          <w:spacing w:val="-2"/>
          <w:lang w:val="fr-FR"/>
        </w:rPr>
        <w:t>État</w:t>
      </w:r>
      <w:r w:rsidRPr="00E53990">
        <w:rPr>
          <w:spacing w:val="-2"/>
          <w:lang w:val="fr-FR"/>
        </w:rPr>
        <w:t xml:space="preserve"> </w:t>
      </w:r>
      <w:r>
        <w:rPr>
          <w:spacing w:val="-2"/>
          <w:lang w:val="fr-FR"/>
        </w:rPr>
        <w:t xml:space="preserve">et </w:t>
      </w:r>
      <w:r w:rsidRPr="008C5851">
        <w:rPr>
          <w:spacing w:val="-2"/>
          <w:lang w:val="fr-FR"/>
        </w:rPr>
        <w:t xml:space="preserve">versée tous les trimestres. Son montant est </w:t>
      </w:r>
      <w:r>
        <w:rPr>
          <w:spacing w:val="-2"/>
          <w:lang w:val="fr-FR"/>
        </w:rPr>
        <w:t xml:space="preserve">calculé </w:t>
      </w:r>
      <w:r w:rsidRPr="008C5851">
        <w:rPr>
          <w:spacing w:val="-2"/>
          <w:lang w:val="fr-FR"/>
        </w:rPr>
        <w:t>à partir d</w:t>
      </w:r>
      <w:r w:rsidR="004C779B">
        <w:rPr>
          <w:spacing w:val="-2"/>
          <w:lang w:val="fr-FR"/>
        </w:rPr>
        <w:t>’</w:t>
      </w:r>
      <w:r w:rsidRPr="008C5851">
        <w:rPr>
          <w:spacing w:val="-2"/>
          <w:lang w:val="fr-FR"/>
        </w:rPr>
        <w:t>un montant de base qui est ajusté deux fois par an compte tenu de l</w:t>
      </w:r>
      <w:r w:rsidR="004C779B">
        <w:rPr>
          <w:spacing w:val="-2"/>
          <w:lang w:val="fr-FR"/>
        </w:rPr>
        <w:t>’</w:t>
      </w:r>
      <w:r w:rsidRPr="008C5851">
        <w:rPr>
          <w:spacing w:val="-2"/>
          <w:lang w:val="fr-FR"/>
        </w:rPr>
        <w:t>indice général des prix</w:t>
      </w:r>
      <w:r>
        <w:rPr>
          <w:spacing w:val="-2"/>
          <w:lang w:val="fr-FR"/>
        </w:rPr>
        <w:t>,</w:t>
      </w:r>
      <w:r w:rsidRPr="008C5851">
        <w:rPr>
          <w:spacing w:val="-2"/>
          <w:lang w:val="fr-FR"/>
        </w:rPr>
        <w:t xml:space="preserve"> et il dépend en partie de l</w:t>
      </w:r>
      <w:r w:rsidR="004C779B">
        <w:rPr>
          <w:spacing w:val="-2"/>
          <w:lang w:val="fr-FR"/>
        </w:rPr>
        <w:t>’</w:t>
      </w:r>
      <w:r w:rsidRPr="008C5851">
        <w:rPr>
          <w:spacing w:val="-2"/>
          <w:lang w:val="fr-FR"/>
        </w:rPr>
        <w:t>âge de l</w:t>
      </w:r>
      <w:r w:rsidR="004C779B">
        <w:rPr>
          <w:spacing w:val="-2"/>
          <w:lang w:val="fr-FR"/>
        </w:rPr>
        <w:t>’</w:t>
      </w:r>
      <w:r w:rsidRPr="008C5851">
        <w:rPr>
          <w:spacing w:val="-2"/>
          <w:lang w:val="fr-FR"/>
        </w:rPr>
        <w:t xml:space="preserve">enfant le premier jour du trimestre </w:t>
      </w:r>
      <w:r>
        <w:rPr>
          <w:spacing w:val="-2"/>
          <w:lang w:val="fr-FR"/>
        </w:rPr>
        <w:t>concerné</w:t>
      </w:r>
      <w:r w:rsidRPr="008C5851">
        <w:rPr>
          <w:spacing w:val="-2"/>
          <w:lang w:val="fr-FR"/>
        </w:rPr>
        <w:t>. Le parent ou la personne qui prend soin de l</w:t>
      </w:r>
      <w:r w:rsidR="004C779B">
        <w:rPr>
          <w:spacing w:val="-2"/>
          <w:lang w:val="fr-FR"/>
        </w:rPr>
        <w:t>’</w:t>
      </w:r>
      <w:r w:rsidRPr="008C5851">
        <w:rPr>
          <w:spacing w:val="-2"/>
          <w:lang w:val="fr-FR"/>
        </w:rPr>
        <w:t>enfant a droit à l</w:t>
      </w:r>
      <w:r w:rsidR="004C779B">
        <w:rPr>
          <w:spacing w:val="-2"/>
          <w:lang w:val="fr-FR"/>
        </w:rPr>
        <w:t>’</w:t>
      </w:r>
      <w:r w:rsidRPr="008C5851">
        <w:rPr>
          <w:spacing w:val="-2"/>
          <w:lang w:val="fr-FR"/>
        </w:rPr>
        <w:t xml:space="preserve">indemnité pour enfant à charge pour un trimestre donné </w:t>
      </w:r>
      <w:r>
        <w:rPr>
          <w:spacing w:val="-2"/>
          <w:lang w:val="fr-FR"/>
        </w:rPr>
        <w:t>s</w:t>
      </w:r>
      <w:r w:rsidR="004C779B">
        <w:rPr>
          <w:spacing w:val="-2"/>
          <w:lang w:val="fr-FR"/>
        </w:rPr>
        <w:t>’</w:t>
      </w:r>
      <w:r w:rsidRPr="008C5851">
        <w:rPr>
          <w:spacing w:val="-2"/>
          <w:lang w:val="fr-FR"/>
        </w:rPr>
        <w:t xml:space="preserve">il est assuré au titre de </w:t>
      </w:r>
      <w:r>
        <w:rPr>
          <w:spacing w:val="-2"/>
          <w:lang w:val="fr-FR"/>
        </w:rPr>
        <w:t xml:space="preserve">la loi y relative </w:t>
      </w:r>
      <w:r w:rsidRPr="008C5851">
        <w:rPr>
          <w:spacing w:val="-2"/>
          <w:lang w:val="fr-FR"/>
        </w:rPr>
        <w:t xml:space="preserve">le premier jour de ce trimestre. Un principe fondamental de </w:t>
      </w:r>
      <w:r>
        <w:rPr>
          <w:spacing w:val="-2"/>
          <w:lang w:val="fr-FR"/>
        </w:rPr>
        <w:t>la loi relative à l</w:t>
      </w:r>
      <w:r w:rsidR="004C779B">
        <w:rPr>
          <w:spacing w:val="-2"/>
          <w:lang w:val="fr-FR"/>
        </w:rPr>
        <w:t>’</w:t>
      </w:r>
      <w:r>
        <w:rPr>
          <w:spacing w:val="-2"/>
          <w:lang w:val="fr-FR"/>
        </w:rPr>
        <w:t xml:space="preserve">indemnité pour enfant à charge </w:t>
      </w:r>
      <w:r w:rsidRPr="008C5851">
        <w:rPr>
          <w:spacing w:val="-2"/>
          <w:lang w:val="fr-FR"/>
        </w:rPr>
        <w:t xml:space="preserve">est que quiconque </w:t>
      </w:r>
      <w:r>
        <w:rPr>
          <w:spacing w:val="-2"/>
          <w:lang w:val="fr-FR"/>
        </w:rPr>
        <w:t>est un résident des Pays</w:t>
      </w:r>
      <w:r>
        <w:rPr>
          <w:spacing w:val="-2"/>
          <w:lang w:val="fr-FR"/>
        </w:rPr>
        <w:noBreakHyphen/>
      </w:r>
      <w:r w:rsidRPr="008C5851">
        <w:rPr>
          <w:spacing w:val="-2"/>
          <w:lang w:val="fr-FR"/>
        </w:rPr>
        <w:t xml:space="preserve">Bas, ou est employé aux Pays-Bas et </w:t>
      </w:r>
      <w:r>
        <w:rPr>
          <w:spacing w:val="-2"/>
          <w:lang w:val="fr-FR"/>
        </w:rPr>
        <w:t xml:space="preserve">à </w:t>
      </w:r>
      <w:r w:rsidRPr="008C5851">
        <w:rPr>
          <w:spacing w:val="-2"/>
          <w:lang w:val="fr-FR"/>
        </w:rPr>
        <w:t xml:space="preserve">ce titre assujetti à </w:t>
      </w:r>
      <w:r w:rsidRPr="001E2B5A">
        <w:rPr>
          <w:spacing w:val="-2"/>
          <w:lang w:val="fr-FR"/>
        </w:rPr>
        <w:t>l</w:t>
      </w:r>
      <w:r w:rsidR="004C779B">
        <w:rPr>
          <w:spacing w:val="-2"/>
          <w:lang w:val="fr-FR"/>
        </w:rPr>
        <w:t>’</w:t>
      </w:r>
      <w:r w:rsidRPr="001E2B5A">
        <w:rPr>
          <w:spacing w:val="-2"/>
          <w:lang w:val="fr-FR"/>
        </w:rPr>
        <w:t xml:space="preserve">impôt sur </w:t>
      </w:r>
      <w:r w:rsidRPr="00934135">
        <w:rPr>
          <w:spacing w:val="-2"/>
          <w:lang w:val="fr-FR"/>
        </w:rPr>
        <w:t>les salaires</w:t>
      </w:r>
      <w:r>
        <w:rPr>
          <w:spacing w:val="-2"/>
          <w:lang w:val="fr-FR"/>
        </w:rPr>
        <w:t>,</w:t>
      </w:r>
      <w:r w:rsidRPr="008C5851">
        <w:rPr>
          <w:spacing w:val="-2"/>
          <w:lang w:val="fr-FR"/>
        </w:rPr>
        <w:t xml:space="preserve"> est assuré en vertu de cette loi. Les étrangers qui n</w:t>
      </w:r>
      <w:r w:rsidR="004C779B">
        <w:rPr>
          <w:spacing w:val="-2"/>
          <w:lang w:val="fr-FR"/>
        </w:rPr>
        <w:t>’</w:t>
      </w:r>
      <w:r w:rsidRPr="008C5851">
        <w:rPr>
          <w:spacing w:val="-2"/>
          <w:lang w:val="fr-FR"/>
        </w:rPr>
        <w:t xml:space="preserve">ont pas été admis aux Pays-Bas ne </w:t>
      </w:r>
      <w:r>
        <w:rPr>
          <w:spacing w:val="-2"/>
          <w:lang w:val="fr-FR"/>
        </w:rPr>
        <w:t xml:space="preserve">le </w:t>
      </w:r>
      <w:r w:rsidRPr="008C5851">
        <w:rPr>
          <w:spacing w:val="-2"/>
          <w:lang w:val="fr-FR"/>
        </w:rPr>
        <w:t xml:space="preserve">sont pas. </w:t>
      </w:r>
    </w:p>
    <w:p w14:paraId="498DE368" w14:textId="77777777" w:rsidR="00D43D1B" w:rsidRDefault="00D43D1B" w:rsidP="00D43D1B">
      <w:pPr>
        <w:pStyle w:val="SingleTxtG"/>
        <w:rPr>
          <w:lang w:val="fr-FR"/>
        </w:rPr>
      </w:pPr>
      <w:r w:rsidRPr="008C5851">
        <w:rPr>
          <w:lang w:val="fr-FR"/>
        </w:rPr>
        <w:t>4.3</w:t>
      </w:r>
      <w:r w:rsidRPr="008C5851">
        <w:rPr>
          <w:lang w:val="fr-FR"/>
        </w:rPr>
        <w:tab/>
      </w:r>
      <w:r>
        <w:rPr>
          <w:lang w:val="fr-FR"/>
        </w:rPr>
        <w:t>L</w:t>
      </w:r>
      <w:r w:rsidRPr="008C5851">
        <w:rPr>
          <w:lang w:val="fr-FR"/>
        </w:rPr>
        <w:t xml:space="preserve">a </w:t>
      </w:r>
      <w:r>
        <w:rPr>
          <w:lang w:val="fr-FR"/>
        </w:rPr>
        <w:t>loi</w:t>
      </w:r>
      <w:r w:rsidRPr="008C5851">
        <w:rPr>
          <w:lang w:val="fr-FR"/>
        </w:rPr>
        <w:t xml:space="preserve"> </w:t>
      </w:r>
      <w:r>
        <w:rPr>
          <w:lang w:val="fr-FR"/>
        </w:rPr>
        <w:t xml:space="preserve">de 1998 </w:t>
      </w:r>
      <w:r w:rsidRPr="008C5851">
        <w:rPr>
          <w:lang w:val="fr-FR"/>
        </w:rPr>
        <w:t xml:space="preserve">sur les prestations sociales lie le droit à diverses prestations, exemptions, permis et </w:t>
      </w:r>
      <w:r>
        <w:rPr>
          <w:lang w:val="fr-FR"/>
        </w:rPr>
        <w:t>autorisations</w:t>
      </w:r>
      <w:r w:rsidRPr="008C5851">
        <w:rPr>
          <w:lang w:val="fr-FR"/>
        </w:rPr>
        <w:t xml:space="preserve"> à la régularité du séjour aux Pays-Bas. </w:t>
      </w:r>
      <w:r>
        <w:rPr>
          <w:lang w:val="fr-FR"/>
        </w:rPr>
        <w:t xml:space="preserve">Elle </w:t>
      </w:r>
      <w:r w:rsidRPr="008C5851">
        <w:rPr>
          <w:lang w:val="fr-FR"/>
        </w:rPr>
        <w:t>visait à mettre fin à une situation injuste et indésirable qui existait dans le pays. Dans les années 1970 et 1980, de nombreux étrangers qui n</w:t>
      </w:r>
      <w:r w:rsidR="004C779B">
        <w:rPr>
          <w:lang w:val="fr-FR"/>
        </w:rPr>
        <w:t>’</w:t>
      </w:r>
      <w:r w:rsidRPr="008C5851">
        <w:rPr>
          <w:lang w:val="fr-FR"/>
        </w:rPr>
        <w:t xml:space="preserve">avaient pas le droit de séjourner aux Pays-Bas ont néanmoins réussi à prolonger leur séjour </w:t>
      </w:r>
      <w:r w:rsidRPr="00BB1556">
        <w:rPr>
          <w:iCs/>
          <w:lang w:val="fr-FR"/>
        </w:rPr>
        <w:t>de facto</w:t>
      </w:r>
      <w:r w:rsidRPr="008C5851">
        <w:rPr>
          <w:i/>
          <w:iCs/>
          <w:lang w:val="fr-FR"/>
        </w:rPr>
        <w:t xml:space="preserve"> </w:t>
      </w:r>
      <w:r w:rsidRPr="008C5851">
        <w:rPr>
          <w:lang w:val="fr-FR"/>
        </w:rPr>
        <w:t>dans le pays, en partie parce qu</w:t>
      </w:r>
      <w:r w:rsidR="004C779B">
        <w:rPr>
          <w:lang w:val="fr-FR"/>
        </w:rPr>
        <w:t>’</w:t>
      </w:r>
      <w:r w:rsidRPr="008C5851">
        <w:rPr>
          <w:lang w:val="fr-FR"/>
        </w:rPr>
        <w:t>ils ont pu faire valoir un droit à prestation</w:t>
      </w:r>
      <w:r>
        <w:rPr>
          <w:lang w:val="fr-FR"/>
        </w:rPr>
        <w:t xml:space="preserve">s, par exemple à des allocations </w:t>
      </w:r>
      <w:r w:rsidRPr="008C5851">
        <w:rPr>
          <w:lang w:val="fr-FR"/>
        </w:rPr>
        <w:t xml:space="preserve">chômage et </w:t>
      </w:r>
      <w:r>
        <w:rPr>
          <w:lang w:val="fr-FR"/>
        </w:rPr>
        <w:t>à l</w:t>
      </w:r>
      <w:r w:rsidR="004C779B">
        <w:rPr>
          <w:lang w:val="fr-FR"/>
        </w:rPr>
        <w:t>’</w:t>
      </w:r>
      <w:r>
        <w:rPr>
          <w:lang w:val="fr-FR"/>
        </w:rPr>
        <w:t>assistance sociale. La loi</w:t>
      </w:r>
      <w:r w:rsidRPr="008C5851">
        <w:rPr>
          <w:lang w:val="fr-FR"/>
        </w:rPr>
        <w:t xml:space="preserve"> sur les prestations sociales lie </w:t>
      </w:r>
      <w:r>
        <w:rPr>
          <w:lang w:val="fr-FR"/>
        </w:rPr>
        <w:t xml:space="preserve">les droits des étrangers </w:t>
      </w:r>
      <w:r w:rsidRPr="008C5851">
        <w:rPr>
          <w:lang w:val="fr-FR"/>
        </w:rPr>
        <w:t>aux prestations versées par l</w:t>
      </w:r>
      <w:r w:rsidR="004C779B">
        <w:rPr>
          <w:lang w:val="fr-FR"/>
        </w:rPr>
        <w:t>’</w:t>
      </w:r>
      <w:r w:rsidRPr="008C5851">
        <w:rPr>
          <w:lang w:val="fr-FR"/>
        </w:rPr>
        <w:t>État</w:t>
      </w:r>
      <w:r w:rsidRPr="00F00C53">
        <w:rPr>
          <w:lang w:val="fr-FR"/>
        </w:rPr>
        <w:t xml:space="preserve"> </w:t>
      </w:r>
      <w:r>
        <w:rPr>
          <w:lang w:val="fr-FR"/>
        </w:rPr>
        <w:t xml:space="preserve">à la </w:t>
      </w:r>
      <w:r w:rsidRPr="008C5851">
        <w:rPr>
          <w:lang w:val="fr-FR"/>
        </w:rPr>
        <w:t xml:space="preserve">situation </w:t>
      </w:r>
      <w:r>
        <w:rPr>
          <w:lang w:val="fr-FR"/>
        </w:rPr>
        <w:t xml:space="preserve">des intéressés </w:t>
      </w:r>
      <w:r w:rsidRPr="008C5851">
        <w:rPr>
          <w:lang w:val="fr-FR"/>
        </w:rPr>
        <w:t xml:space="preserve">au regard de la réglementation relative au </w:t>
      </w:r>
      <w:r w:rsidRPr="001E2B5A">
        <w:rPr>
          <w:lang w:val="fr-FR"/>
        </w:rPr>
        <w:t>séjour inconditionnel.</w:t>
      </w:r>
      <w:r w:rsidRPr="008C5851">
        <w:rPr>
          <w:lang w:val="fr-FR"/>
        </w:rPr>
        <w:t xml:space="preserve"> Un étranger admis </w:t>
      </w:r>
      <w:r>
        <w:rPr>
          <w:lang w:val="fr-FR"/>
        </w:rPr>
        <w:t xml:space="preserve">uniquement </w:t>
      </w:r>
      <w:r w:rsidRPr="008C5851">
        <w:rPr>
          <w:lang w:val="fr-FR"/>
        </w:rPr>
        <w:t xml:space="preserve">pour un séjour temporaire ne peut </w:t>
      </w:r>
      <w:r>
        <w:rPr>
          <w:lang w:val="fr-FR"/>
        </w:rPr>
        <w:t xml:space="preserve">y </w:t>
      </w:r>
      <w:r w:rsidRPr="008C5851">
        <w:rPr>
          <w:lang w:val="fr-FR"/>
        </w:rPr>
        <w:t xml:space="preserve">avoir droit. </w:t>
      </w:r>
    </w:p>
    <w:p w14:paraId="6359DCA7" w14:textId="77777777" w:rsidR="00D43D1B" w:rsidRDefault="00D43D1B" w:rsidP="00D43D1B">
      <w:pPr>
        <w:pStyle w:val="SingleTxtG"/>
        <w:rPr>
          <w:lang w:val="fr-FR"/>
        </w:rPr>
      </w:pPr>
      <w:r>
        <w:rPr>
          <w:lang w:val="fr-FR"/>
        </w:rPr>
        <w:t>4.4</w:t>
      </w:r>
      <w:r>
        <w:rPr>
          <w:lang w:val="fr-FR"/>
        </w:rPr>
        <w:tab/>
        <w:t>Les étrangers dont le séjour aux Pays-Bas est régulier parce qu</w:t>
      </w:r>
      <w:r w:rsidR="004C779B">
        <w:rPr>
          <w:lang w:val="fr-FR"/>
        </w:rPr>
        <w:t>’</w:t>
      </w:r>
      <w:r>
        <w:rPr>
          <w:lang w:val="fr-FR"/>
        </w:rPr>
        <w:t>ils attendent une décision sur leur demande de permis de séjour ne sont pas exclus du bénéfice de t</w:t>
      </w:r>
      <w:r w:rsidRPr="008C5851">
        <w:rPr>
          <w:lang w:val="fr-FR"/>
        </w:rPr>
        <w:t>outes prestations sociales ou indemnités. Bien qu</w:t>
      </w:r>
      <w:r w:rsidR="004C779B">
        <w:rPr>
          <w:lang w:val="fr-FR"/>
        </w:rPr>
        <w:t>’</w:t>
      </w:r>
      <w:r w:rsidRPr="008C5851">
        <w:rPr>
          <w:lang w:val="fr-FR"/>
        </w:rPr>
        <w:t>ils ne puissent prétendre à aucun droit au titre du régime général de sécurité sociale, d</w:t>
      </w:r>
      <w:r w:rsidR="004C779B">
        <w:rPr>
          <w:lang w:val="fr-FR"/>
        </w:rPr>
        <w:t>’</w:t>
      </w:r>
      <w:r w:rsidRPr="008C5851">
        <w:rPr>
          <w:lang w:val="fr-FR"/>
        </w:rPr>
        <w:t xml:space="preserve">autres dispositions leur sont applicables. En vertu de </w:t>
      </w:r>
      <w:bookmarkStart w:id="4" w:name="_Hlk13061365"/>
      <w:r w:rsidRPr="008C5851">
        <w:rPr>
          <w:lang w:val="fr-FR"/>
        </w:rPr>
        <w:t>l</w:t>
      </w:r>
      <w:r w:rsidR="004C779B">
        <w:rPr>
          <w:lang w:val="fr-FR"/>
        </w:rPr>
        <w:t>’</w:t>
      </w:r>
      <w:r>
        <w:rPr>
          <w:lang w:val="fr-FR"/>
        </w:rPr>
        <w:t>o</w:t>
      </w:r>
      <w:r w:rsidRPr="008C5851">
        <w:rPr>
          <w:lang w:val="fr-FR"/>
        </w:rPr>
        <w:t>rdonnance relative à certaines catégories d</w:t>
      </w:r>
      <w:r w:rsidR="004C779B">
        <w:rPr>
          <w:lang w:val="fr-FR"/>
        </w:rPr>
        <w:t>’</w:t>
      </w:r>
      <w:r w:rsidRPr="008C5851">
        <w:rPr>
          <w:lang w:val="fr-FR"/>
        </w:rPr>
        <w:t>étrangers</w:t>
      </w:r>
      <w:bookmarkEnd w:id="4"/>
      <w:r w:rsidRPr="008C5851">
        <w:rPr>
          <w:lang w:val="fr-FR"/>
        </w:rPr>
        <w:t>, des moyens de subsistance</w:t>
      </w:r>
      <w:r>
        <w:rPr>
          <w:lang w:val="fr-FR"/>
        </w:rPr>
        <w:t>,</w:t>
      </w:r>
      <w:r w:rsidRPr="008C5851">
        <w:rPr>
          <w:lang w:val="fr-FR"/>
        </w:rPr>
        <w:t xml:space="preserve"> sous la forme </w:t>
      </w:r>
      <w:bookmarkStart w:id="5" w:name="_Hlk13061562"/>
      <w:r w:rsidRPr="008C5851">
        <w:rPr>
          <w:lang w:val="fr-FR"/>
        </w:rPr>
        <w:t>d</w:t>
      </w:r>
      <w:r w:rsidR="004C779B">
        <w:rPr>
          <w:lang w:val="fr-FR"/>
        </w:rPr>
        <w:t>’</w:t>
      </w:r>
      <w:r w:rsidRPr="008C5851">
        <w:rPr>
          <w:lang w:val="fr-FR"/>
        </w:rPr>
        <w:t>une prestation pécuniaire et d</w:t>
      </w:r>
      <w:r w:rsidR="004C779B">
        <w:rPr>
          <w:lang w:val="fr-FR"/>
        </w:rPr>
        <w:t>’</w:t>
      </w:r>
      <w:r w:rsidRPr="008C5851">
        <w:rPr>
          <w:lang w:val="fr-FR"/>
        </w:rPr>
        <w:t>un régime d</w:t>
      </w:r>
      <w:r w:rsidR="004C779B">
        <w:rPr>
          <w:lang w:val="fr-FR"/>
        </w:rPr>
        <w:t>’</w:t>
      </w:r>
      <w:r w:rsidRPr="008C5851">
        <w:rPr>
          <w:lang w:val="fr-FR"/>
        </w:rPr>
        <w:t>assurance maladie</w:t>
      </w:r>
      <w:r>
        <w:rPr>
          <w:lang w:val="fr-FR"/>
        </w:rPr>
        <w:t>,</w:t>
      </w:r>
      <w:r w:rsidRPr="00FF43B2">
        <w:rPr>
          <w:lang w:val="fr-FR"/>
        </w:rPr>
        <w:t xml:space="preserve"> </w:t>
      </w:r>
      <w:r w:rsidRPr="008C5851">
        <w:rPr>
          <w:lang w:val="fr-FR"/>
        </w:rPr>
        <w:t>sont fournis aux étrangers qui ne sont pas des demandeurs d</w:t>
      </w:r>
      <w:r w:rsidR="004C779B">
        <w:rPr>
          <w:lang w:val="fr-FR"/>
        </w:rPr>
        <w:t>’</w:t>
      </w:r>
      <w:r w:rsidRPr="008C5851">
        <w:rPr>
          <w:lang w:val="fr-FR"/>
        </w:rPr>
        <w:t xml:space="preserve">asile. Dans le cadre de ces dispositions, une </w:t>
      </w:r>
      <w:bookmarkStart w:id="6" w:name="_Hlk13061414"/>
      <w:r w:rsidRPr="008C5851">
        <w:rPr>
          <w:lang w:val="fr-FR"/>
        </w:rPr>
        <w:t xml:space="preserve">aide financière spécifique a été instituée au bénéfice des mineurs, </w:t>
      </w:r>
      <w:bookmarkEnd w:id="6"/>
      <w:r w:rsidRPr="008C5851">
        <w:rPr>
          <w:lang w:val="fr-FR"/>
        </w:rPr>
        <w:t xml:space="preserve">un groupe particulièrement vulnérable. </w:t>
      </w:r>
      <w:r>
        <w:rPr>
          <w:lang w:val="fr-FR"/>
        </w:rPr>
        <w:t>Ainsi</w:t>
      </w:r>
      <w:r w:rsidRPr="008C5851">
        <w:rPr>
          <w:lang w:val="fr-FR"/>
        </w:rPr>
        <w:t>, les prestations les plus fondamentales, par exemple les soins de santé répondant à une nécessité médicale, sont assuré</w:t>
      </w:r>
      <w:r>
        <w:rPr>
          <w:lang w:val="fr-FR"/>
        </w:rPr>
        <w:t>e</w:t>
      </w:r>
      <w:r w:rsidRPr="008C5851">
        <w:rPr>
          <w:lang w:val="fr-FR"/>
        </w:rPr>
        <w:t xml:space="preserve">s à tout étranger </w:t>
      </w:r>
      <w:r>
        <w:rPr>
          <w:lang w:val="fr-FR"/>
        </w:rPr>
        <w:t xml:space="preserve">présent </w:t>
      </w:r>
      <w:r w:rsidRPr="008C5851">
        <w:rPr>
          <w:lang w:val="fr-FR"/>
        </w:rPr>
        <w:t>aux Pays-Bas. De plus, les personnes âgées de moins de 18 ans ont droit à l</w:t>
      </w:r>
      <w:r w:rsidR="004C779B">
        <w:rPr>
          <w:lang w:val="fr-FR"/>
        </w:rPr>
        <w:t>’</w:t>
      </w:r>
      <w:r w:rsidRPr="008C5851">
        <w:rPr>
          <w:lang w:val="fr-FR"/>
        </w:rPr>
        <w:t>éducation</w:t>
      </w:r>
      <w:r>
        <w:rPr>
          <w:lang w:val="fr-FR"/>
        </w:rPr>
        <w:t>,</w:t>
      </w:r>
      <w:r w:rsidRPr="008C5851">
        <w:rPr>
          <w:lang w:val="fr-FR"/>
        </w:rPr>
        <w:t xml:space="preserve"> qu</w:t>
      </w:r>
      <w:r w:rsidR="004C779B">
        <w:rPr>
          <w:lang w:val="fr-FR"/>
        </w:rPr>
        <w:t>’</w:t>
      </w:r>
      <w:r w:rsidRPr="008C5851">
        <w:rPr>
          <w:lang w:val="fr-FR"/>
        </w:rPr>
        <w:t>elles soient ou non titulaires d</w:t>
      </w:r>
      <w:r w:rsidR="004C779B">
        <w:rPr>
          <w:lang w:val="fr-FR"/>
        </w:rPr>
        <w:t>’</w:t>
      </w:r>
      <w:r w:rsidRPr="008C5851">
        <w:rPr>
          <w:lang w:val="fr-FR"/>
        </w:rPr>
        <w:t xml:space="preserve">un permis de séjour. </w:t>
      </w:r>
      <w:r>
        <w:rPr>
          <w:lang w:val="fr-FR"/>
        </w:rPr>
        <w:t xml:space="preserve">Une </w:t>
      </w:r>
      <w:r w:rsidRPr="008C5851">
        <w:rPr>
          <w:lang w:val="fr-FR"/>
        </w:rPr>
        <w:t xml:space="preserve">aide juridictionnelle est </w:t>
      </w:r>
      <w:bookmarkEnd w:id="5"/>
      <w:r w:rsidRPr="008C5851">
        <w:rPr>
          <w:lang w:val="fr-FR"/>
        </w:rPr>
        <w:t>également fournie indépendamment de la situation au regard de la réglementation relative au séjour.</w:t>
      </w:r>
    </w:p>
    <w:p w14:paraId="0972E4A3" w14:textId="77777777" w:rsidR="00D43D1B" w:rsidRPr="008C5851" w:rsidRDefault="00D43D1B" w:rsidP="00D43D1B">
      <w:pPr>
        <w:pStyle w:val="SingleTxtG"/>
        <w:rPr>
          <w:lang w:val="fr-FR"/>
        </w:rPr>
      </w:pPr>
      <w:r w:rsidRPr="008C5851">
        <w:rPr>
          <w:lang w:val="fr-FR"/>
        </w:rPr>
        <w:lastRenderedPageBreak/>
        <w:t>4.</w:t>
      </w:r>
      <w:r>
        <w:rPr>
          <w:lang w:val="fr-FR"/>
        </w:rPr>
        <w:t>5</w:t>
      </w:r>
      <w:r w:rsidRPr="008C5851">
        <w:rPr>
          <w:lang w:val="fr-FR"/>
        </w:rPr>
        <w:tab/>
        <w:t>Le 13 juin 2006, l</w:t>
      </w:r>
      <w:r w:rsidR="004C779B">
        <w:rPr>
          <w:lang w:val="fr-FR"/>
        </w:rPr>
        <w:t>’</w:t>
      </w:r>
      <w:r w:rsidRPr="008C5851">
        <w:rPr>
          <w:lang w:val="fr-FR"/>
        </w:rPr>
        <w:t>auteure a demandé un permis de séjour pour sa fille sur la base de l</w:t>
      </w:r>
      <w:r w:rsidR="004C779B">
        <w:rPr>
          <w:lang w:val="fr-FR"/>
        </w:rPr>
        <w:t>’</w:t>
      </w:r>
      <w:r w:rsidRPr="008C5851">
        <w:rPr>
          <w:lang w:val="fr-FR"/>
        </w:rPr>
        <w:t xml:space="preserve">état de santé de celle-ci. Ce permis </w:t>
      </w:r>
      <w:r>
        <w:rPr>
          <w:lang w:val="fr-FR"/>
        </w:rPr>
        <w:t xml:space="preserve">lui </w:t>
      </w:r>
      <w:r w:rsidRPr="008C5851">
        <w:rPr>
          <w:lang w:val="fr-FR"/>
        </w:rPr>
        <w:t>a été refusé par le Service de l</w:t>
      </w:r>
      <w:r w:rsidR="004C779B">
        <w:rPr>
          <w:lang w:val="fr-FR"/>
        </w:rPr>
        <w:t>’</w:t>
      </w:r>
      <w:r w:rsidRPr="008C5851">
        <w:rPr>
          <w:lang w:val="fr-FR"/>
        </w:rPr>
        <w:t xml:space="preserve">immigration et de la naturalisation </w:t>
      </w:r>
      <w:r>
        <w:rPr>
          <w:lang w:val="fr-FR"/>
        </w:rPr>
        <w:t xml:space="preserve">le </w:t>
      </w:r>
      <w:r w:rsidRPr="008C5851">
        <w:rPr>
          <w:lang w:val="fr-FR"/>
        </w:rPr>
        <w:t>7 novembre 2006. Le 14 novembre 2006, l</w:t>
      </w:r>
      <w:r w:rsidR="004C779B">
        <w:rPr>
          <w:lang w:val="fr-FR"/>
        </w:rPr>
        <w:t>’</w:t>
      </w:r>
      <w:r w:rsidRPr="008C5851">
        <w:rPr>
          <w:lang w:val="fr-FR"/>
        </w:rPr>
        <w:t>auteure a présenté une notification d</w:t>
      </w:r>
      <w:r w:rsidR="004C779B">
        <w:rPr>
          <w:lang w:val="fr-FR"/>
        </w:rPr>
        <w:t>’</w:t>
      </w:r>
      <w:r w:rsidRPr="008C5851">
        <w:rPr>
          <w:lang w:val="fr-FR"/>
        </w:rPr>
        <w:t>o</w:t>
      </w:r>
      <w:r>
        <w:rPr>
          <w:lang w:val="fr-FR"/>
        </w:rPr>
        <w:t xml:space="preserve">pposition et a introduit </w:t>
      </w:r>
      <w:r w:rsidRPr="008C5851">
        <w:rPr>
          <w:lang w:val="fr-FR"/>
        </w:rPr>
        <w:t>une demande de mesure</w:t>
      </w:r>
      <w:r>
        <w:rPr>
          <w:lang w:val="fr-FR"/>
        </w:rPr>
        <w:t>s</w:t>
      </w:r>
      <w:r w:rsidRPr="008C5851">
        <w:rPr>
          <w:lang w:val="fr-FR"/>
        </w:rPr>
        <w:t xml:space="preserve"> </w:t>
      </w:r>
      <w:r>
        <w:rPr>
          <w:lang w:val="fr-FR"/>
        </w:rPr>
        <w:t>provisoires</w:t>
      </w:r>
      <w:r w:rsidRPr="008C5851">
        <w:rPr>
          <w:lang w:val="fr-FR"/>
        </w:rPr>
        <w:t xml:space="preserve"> devant </w:t>
      </w:r>
      <w:bookmarkStart w:id="7" w:name="_Hlk13060866"/>
      <w:r w:rsidRPr="008C5851">
        <w:rPr>
          <w:lang w:val="fr-FR"/>
        </w:rPr>
        <w:t>le tribunal de district</w:t>
      </w:r>
      <w:r>
        <w:rPr>
          <w:lang w:val="fr-FR"/>
        </w:rPr>
        <w:t xml:space="preserve"> de La Haye</w:t>
      </w:r>
      <w:r w:rsidRPr="008C5851">
        <w:rPr>
          <w:lang w:val="fr-FR"/>
        </w:rPr>
        <w:t xml:space="preserve">. Le 29 mai 2007, le tribunal de district, siégeant à Amsterdam, a fait droit à cette demande, </w:t>
      </w:r>
      <w:bookmarkEnd w:id="7"/>
      <w:r w:rsidRPr="008C5851">
        <w:rPr>
          <w:lang w:val="fr-FR"/>
        </w:rPr>
        <w:t>ce qui signifiait que l</w:t>
      </w:r>
      <w:r w:rsidR="004C779B">
        <w:rPr>
          <w:lang w:val="fr-FR"/>
        </w:rPr>
        <w:t>’</w:t>
      </w:r>
      <w:r w:rsidRPr="008C5851">
        <w:rPr>
          <w:lang w:val="fr-FR"/>
        </w:rPr>
        <w:t>auteure ne serait pas expulsée tant qu</w:t>
      </w:r>
      <w:r w:rsidR="004C779B">
        <w:rPr>
          <w:lang w:val="fr-FR"/>
        </w:rPr>
        <w:t>’</w:t>
      </w:r>
      <w:r w:rsidRPr="008C5851">
        <w:rPr>
          <w:lang w:val="fr-FR"/>
        </w:rPr>
        <w:t>une décision n</w:t>
      </w:r>
      <w:r w:rsidR="004C779B">
        <w:rPr>
          <w:lang w:val="fr-FR"/>
        </w:rPr>
        <w:t>’</w:t>
      </w:r>
      <w:r w:rsidRPr="008C5851">
        <w:rPr>
          <w:lang w:val="fr-FR"/>
        </w:rPr>
        <w:t xml:space="preserve">aurait pas été prise sur </w:t>
      </w:r>
      <w:r>
        <w:rPr>
          <w:lang w:val="fr-FR"/>
        </w:rPr>
        <w:t>sa demande de réexamen</w:t>
      </w:r>
      <w:r w:rsidRPr="008C5851">
        <w:rPr>
          <w:lang w:val="fr-FR"/>
        </w:rPr>
        <w:t xml:space="preserve">. </w:t>
      </w:r>
      <w:r>
        <w:rPr>
          <w:lang w:val="fr-FR"/>
        </w:rPr>
        <w:t>Pendant cette période</w:t>
      </w:r>
      <w:r w:rsidRPr="008C5851">
        <w:rPr>
          <w:lang w:val="fr-FR"/>
        </w:rPr>
        <w:t>, l</w:t>
      </w:r>
      <w:r w:rsidR="004C779B">
        <w:rPr>
          <w:lang w:val="fr-FR"/>
        </w:rPr>
        <w:t>’</w:t>
      </w:r>
      <w:r w:rsidRPr="008C5851">
        <w:rPr>
          <w:lang w:val="fr-FR"/>
        </w:rPr>
        <w:t>auteure et sa fille séjo</w:t>
      </w:r>
      <w:r>
        <w:rPr>
          <w:lang w:val="fr-FR"/>
        </w:rPr>
        <w:t>urnaient régulièrement aux Pays</w:t>
      </w:r>
      <w:r>
        <w:rPr>
          <w:lang w:val="fr-FR"/>
        </w:rPr>
        <w:noBreakHyphen/>
      </w:r>
      <w:r w:rsidRPr="008C5851">
        <w:rPr>
          <w:lang w:val="fr-FR"/>
        </w:rPr>
        <w:t xml:space="preserve">Bas en vertu de la </w:t>
      </w:r>
      <w:r>
        <w:rPr>
          <w:lang w:val="fr-FR"/>
        </w:rPr>
        <w:t>loi</w:t>
      </w:r>
      <w:r w:rsidRPr="008C5851">
        <w:rPr>
          <w:lang w:val="fr-FR"/>
        </w:rPr>
        <w:t xml:space="preserve"> de 2000 sur les étrangers et avaient ainsi droit à une indemnité financière en vertu de l</w:t>
      </w:r>
      <w:r w:rsidR="004C779B">
        <w:rPr>
          <w:lang w:val="fr-FR"/>
        </w:rPr>
        <w:t>’</w:t>
      </w:r>
      <w:r>
        <w:rPr>
          <w:lang w:val="fr-FR"/>
        </w:rPr>
        <w:t>o</w:t>
      </w:r>
      <w:r w:rsidRPr="008C5851">
        <w:rPr>
          <w:lang w:val="fr-FR"/>
        </w:rPr>
        <w:t>rdonnance relative à certaines catégories d</w:t>
      </w:r>
      <w:r w:rsidR="004C779B">
        <w:rPr>
          <w:lang w:val="fr-FR"/>
        </w:rPr>
        <w:t>’</w:t>
      </w:r>
      <w:r w:rsidRPr="008C5851">
        <w:rPr>
          <w:lang w:val="fr-FR"/>
        </w:rPr>
        <w:t>étrangers.</w:t>
      </w:r>
      <w:r w:rsidRPr="008C5851">
        <w:rPr>
          <w:rFonts w:ascii="Verdana" w:hAnsi="Verdana" w:cs="Verdana"/>
          <w:sz w:val="18"/>
          <w:szCs w:val="18"/>
          <w:lang w:val="fr-FR" w:eastAsia="en-GB"/>
        </w:rPr>
        <w:t xml:space="preserve"> </w:t>
      </w:r>
      <w:r>
        <w:rPr>
          <w:lang w:val="fr-FR"/>
        </w:rPr>
        <w:t>Le </w:t>
      </w:r>
      <w:r w:rsidRPr="008C5851">
        <w:rPr>
          <w:lang w:val="fr-FR"/>
        </w:rPr>
        <w:t xml:space="preserve">15 septembre 2009, un comité des objections </w:t>
      </w:r>
      <w:r>
        <w:rPr>
          <w:lang w:val="fr-FR"/>
        </w:rPr>
        <w:t>du Service de l</w:t>
      </w:r>
      <w:r w:rsidR="004C779B">
        <w:rPr>
          <w:lang w:val="fr-FR"/>
        </w:rPr>
        <w:t>’</w:t>
      </w:r>
      <w:r>
        <w:rPr>
          <w:lang w:val="fr-FR"/>
        </w:rPr>
        <w:t xml:space="preserve">immigration et de la naturalisation </w:t>
      </w:r>
      <w:r w:rsidRPr="008C5851">
        <w:rPr>
          <w:lang w:val="fr-FR"/>
        </w:rPr>
        <w:t>a entendu l</w:t>
      </w:r>
      <w:r w:rsidR="004C779B">
        <w:rPr>
          <w:lang w:val="fr-FR"/>
        </w:rPr>
        <w:t>’</w:t>
      </w:r>
      <w:r w:rsidRPr="008C5851">
        <w:rPr>
          <w:lang w:val="fr-FR"/>
        </w:rPr>
        <w:t xml:space="preserve">auteure au sujet de son </w:t>
      </w:r>
      <w:r>
        <w:rPr>
          <w:lang w:val="fr-FR"/>
        </w:rPr>
        <w:t>opposition</w:t>
      </w:r>
      <w:r w:rsidRPr="008C5851">
        <w:rPr>
          <w:lang w:val="fr-FR"/>
        </w:rPr>
        <w:t xml:space="preserve">. </w:t>
      </w:r>
      <w:r>
        <w:rPr>
          <w:lang w:val="fr-FR"/>
        </w:rPr>
        <w:t>L</w:t>
      </w:r>
      <w:r w:rsidRPr="008C5851">
        <w:rPr>
          <w:lang w:val="fr-FR"/>
        </w:rPr>
        <w:t>ors de cette audition</w:t>
      </w:r>
      <w:r>
        <w:rPr>
          <w:lang w:val="fr-FR"/>
        </w:rPr>
        <w:t>,</w:t>
      </w:r>
      <w:r w:rsidRPr="00372C6F">
        <w:rPr>
          <w:lang w:val="fr-FR"/>
        </w:rPr>
        <w:t xml:space="preserve"> </w:t>
      </w:r>
      <w:r>
        <w:rPr>
          <w:lang w:val="fr-FR"/>
        </w:rPr>
        <w:t>i</w:t>
      </w:r>
      <w:r w:rsidRPr="008C5851">
        <w:rPr>
          <w:lang w:val="fr-FR"/>
        </w:rPr>
        <w:t>l est apparu que le cas de l</w:t>
      </w:r>
      <w:r w:rsidR="004C779B">
        <w:rPr>
          <w:lang w:val="fr-FR"/>
        </w:rPr>
        <w:t>’</w:t>
      </w:r>
      <w:r w:rsidRPr="008C5851">
        <w:rPr>
          <w:lang w:val="fr-FR"/>
        </w:rPr>
        <w:t xml:space="preserve">auteure faisait intervenir une combinaison de facteurs hautement exceptionnelle. </w:t>
      </w:r>
      <w:r>
        <w:rPr>
          <w:lang w:val="fr-FR"/>
        </w:rPr>
        <w:t xml:space="preserve">Ce même jour, </w:t>
      </w:r>
      <w:r w:rsidRPr="008C5851">
        <w:rPr>
          <w:lang w:val="fr-FR"/>
        </w:rPr>
        <w:t xml:space="preserve">par décision ministérielle discrétionnaire prise en vertu de la </w:t>
      </w:r>
      <w:r>
        <w:rPr>
          <w:lang w:val="fr-FR"/>
        </w:rPr>
        <w:t>loi</w:t>
      </w:r>
      <w:r w:rsidRPr="008C5851">
        <w:rPr>
          <w:lang w:val="fr-FR"/>
        </w:rPr>
        <w:t xml:space="preserve"> de 2000 sur les étrangers, </w:t>
      </w:r>
      <w:r>
        <w:rPr>
          <w:lang w:val="fr-FR"/>
        </w:rPr>
        <w:t xml:space="preserve">des </w:t>
      </w:r>
      <w:r w:rsidRPr="008C5851">
        <w:rPr>
          <w:lang w:val="fr-FR"/>
        </w:rPr>
        <w:t xml:space="preserve">permis de séjour </w:t>
      </w:r>
      <w:r>
        <w:rPr>
          <w:lang w:val="fr-FR"/>
        </w:rPr>
        <w:t xml:space="preserve">ont </w:t>
      </w:r>
      <w:r w:rsidRPr="008C5851">
        <w:rPr>
          <w:lang w:val="fr-FR"/>
        </w:rPr>
        <w:t xml:space="preserve">été </w:t>
      </w:r>
      <w:r>
        <w:rPr>
          <w:lang w:val="fr-FR"/>
        </w:rPr>
        <w:t xml:space="preserve">délivrés </w:t>
      </w:r>
      <w:r w:rsidRPr="008C5851">
        <w:rPr>
          <w:lang w:val="fr-FR"/>
        </w:rPr>
        <w:t>à l</w:t>
      </w:r>
      <w:r w:rsidR="004C779B">
        <w:rPr>
          <w:lang w:val="fr-FR"/>
        </w:rPr>
        <w:t>’</w:t>
      </w:r>
      <w:r w:rsidRPr="008C5851">
        <w:rPr>
          <w:lang w:val="fr-FR"/>
        </w:rPr>
        <w:t>auteure et à sa fille en considération de</w:t>
      </w:r>
      <w:r>
        <w:rPr>
          <w:lang w:val="fr-FR"/>
        </w:rPr>
        <w:t>s</w:t>
      </w:r>
      <w:r w:rsidRPr="008C5851">
        <w:rPr>
          <w:lang w:val="fr-FR"/>
        </w:rPr>
        <w:t xml:space="preserve"> circonstances exceptionnelles</w:t>
      </w:r>
      <w:r>
        <w:rPr>
          <w:lang w:val="fr-FR"/>
        </w:rPr>
        <w:t xml:space="preserve"> de leur situation</w:t>
      </w:r>
      <w:r w:rsidRPr="008C5851">
        <w:rPr>
          <w:lang w:val="fr-FR"/>
        </w:rPr>
        <w:t xml:space="preserve">. Ces permis de séjour </w:t>
      </w:r>
      <w:r>
        <w:rPr>
          <w:lang w:val="fr-FR"/>
        </w:rPr>
        <w:t>étaient valides pour un </w:t>
      </w:r>
      <w:r w:rsidRPr="008C5851">
        <w:rPr>
          <w:lang w:val="fr-FR"/>
        </w:rPr>
        <w:t>an et ont ultérieurement été renouvelés po</w:t>
      </w:r>
      <w:r>
        <w:rPr>
          <w:lang w:val="fr-FR"/>
        </w:rPr>
        <w:t xml:space="preserve">ur une année supplémentaire. Le </w:t>
      </w:r>
      <w:r w:rsidRPr="008C5851">
        <w:rPr>
          <w:lang w:val="fr-FR"/>
        </w:rPr>
        <w:t>26 octobre 2010, l</w:t>
      </w:r>
      <w:r w:rsidR="004C779B">
        <w:rPr>
          <w:lang w:val="fr-FR"/>
        </w:rPr>
        <w:t>’</w:t>
      </w:r>
      <w:r w:rsidRPr="008C5851">
        <w:rPr>
          <w:lang w:val="fr-FR"/>
        </w:rPr>
        <w:t>auteure et sa fille ont acquis la nationalité néerlandaise. La « procédure d</w:t>
      </w:r>
      <w:r w:rsidR="004C779B">
        <w:rPr>
          <w:lang w:val="fr-FR"/>
        </w:rPr>
        <w:t>’</w:t>
      </w:r>
      <w:r w:rsidRPr="008C5851">
        <w:rPr>
          <w:lang w:val="fr-FR"/>
        </w:rPr>
        <w:t xml:space="preserve">option » </w:t>
      </w:r>
      <w:r>
        <w:rPr>
          <w:lang w:val="fr-FR"/>
        </w:rPr>
        <w:t>qu</w:t>
      </w:r>
      <w:r w:rsidR="004C779B">
        <w:rPr>
          <w:lang w:val="fr-FR"/>
        </w:rPr>
        <w:t>’</w:t>
      </w:r>
      <w:r>
        <w:rPr>
          <w:lang w:val="fr-FR"/>
        </w:rPr>
        <w:t xml:space="preserve">elles ont utilisée </w:t>
      </w:r>
      <w:r w:rsidRPr="008C5851">
        <w:rPr>
          <w:lang w:val="fr-FR"/>
        </w:rPr>
        <w:t>est un</w:t>
      </w:r>
      <w:r>
        <w:rPr>
          <w:lang w:val="fr-FR"/>
        </w:rPr>
        <w:t xml:space="preserve">e procédure simplifiée et abrégée </w:t>
      </w:r>
      <w:r w:rsidRPr="008C5851">
        <w:rPr>
          <w:lang w:val="fr-FR"/>
        </w:rPr>
        <w:t>qui permet aux personnes qui ont eu la nationalité néerlandaise, comme l</w:t>
      </w:r>
      <w:r w:rsidR="004C779B">
        <w:rPr>
          <w:lang w:val="fr-FR"/>
        </w:rPr>
        <w:t>’</w:t>
      </w:r>
      <w:r w:rsidRPr="008C5851">
        <w:rPr>
          <w:lang w:val="fr-FR"/>
        </w:rPr>
        <w:t>auteure</w:t>
      </w:r>
      <w:r>
        <w:rPr>
          <w:lang w:val="fr-FR"/>
        </w:rPr>
        <w:t xml:space="preserve"> née au Suriname avant 1975</w:t>
      </w:r>
      <w:r w:rsidRPr="008C5851">
        <w:rPr>
          <w:lang w:val="fr-FR"/>
        </w:rPr>
        <w:t>, de la réacquérir. La</w:t>
      </w:r>
      <w:r>
        <w:rPr>
          <w:lang w:val="fr-FR"/>
        </w:rPr>
        <w:t xml:space="preserve"> </w:t>
      </w:r>
      <w:r w:rsidRPr="008C5851">
        <w:rPr>
          <w:lang w:val="fr-FR"/>
        </w:rPr>
        <w:t>fille de l</w:t>
      </w:r>
      <w:r w:rsidR="004C779B">
        <w:rPr>
          <w:lang w:val="fr-FR"/>
        </w:rPr>
        <w:t>’</w:t>
      </w:r>
      <w:r w:rsidRPr="008C5851">
        <w:rPr>
          <w:lang w:val="fr-FR"/>
        </w:rPr>
        <w:t>auteure, qui n</w:t>
      </w:r>
      <w:r w:rsidR="004C779B">
        <w:rPr>
          <w:lang w:val="fr-FR"/>
        </w:rPr>
        <w:t>’</w:t>
      </w:r>
      <w:r w:rsidRPr="008C5851">
        <w:rPr>
          <w:lang w:val="fr-FR"/>
        </w:rPr>
        <w:t>avait jamais eu la nationalité néerlandaise</w:t>
      </w:r>
      <w:r>
        <w:rPr>
          <w:lang w:val="fr-FR"/>
        </w:rPr>
        <w:t>, a été incluse dans la</w:t>
      </w:r>
      <w:r w:rsidRPr="008C5851">
        <w:rPr>
          <w:lang w:val="fr-FR"/>
        </w:rPr>
        <w:t xml:space="preserve"> demande de l</w:t>
      </w:r>
      <w:r w:rsidR="004C779B">
        <w:rPr>
          <w:lang w:val="fr-FR"/>
        </w:rPr>
        <w:t>’</w:t>
      </w:r>
      <w:r w:rsidRPr="008C5851">
        <w:rPr>
          <w:lang w:val="fr-FR"/>
        </w:rPr>
        <w:t>auteure dans le cadre de la procédure d</w:t>
      </w:r>
      <w:r w:rsidR="004C779B">
        <w:rPr>
          <w:lang w:val="fr-FR"/>
        </w:rPr>
        <w:t>’</w:t>
      </w:r>
      <w:r w:rsidRPr="008C5851">
        <w:rPr>
          <w:lang w:val="fr-FR"/>
        </w:rPr>
        <w:t>option.</w:t>
      </w:r>
    </w:p>
    <w:p w14:paraId="17B9FF42" w14:textId="77777777" w:rsidR="00D43D1B" w:rsidRPr="008C5851" w:rsidRDefault="00D43D1B" w:rsidP="00D43D1B">
      <w:pPr>
        <w:pStyle w:val="SingleTxtG"/>
        <w:rPr>
          <w:lang w:val="fr-FR"/>
        </w:rPr>
      </w:pPr>
      <w:r w:rsidRPr="008C5851">
        <w:rPr>
          <w:lang w:val="fr-FR"/>
        </w:rPr>
        <w:t>4.</w:t>
      </w:r>
      <w:r>
        <w:rPr>
          <w:lang w:val="fr-FR"/>
        </w:rPr>
        <w:t>6</w:t>
      </w:r>
      <w:r w:rsidRPr="008C5851">
        <w:rPr>
          <w:lang w:val="fr-FR"/>
        </w:rPr>
        <w:tab/>
        <w:t>Du 1</w:t>
      </w:r>
      <w:r w:rsidRPr="008C5851">
        <w:rPr>
          <w:vertAlign w:val="superscript"/>
          <w:lang w:val="fr-FR"/>
        </w:rPr>
        <w:t>er</w:t>
      </w:r>
      <w:r w:rsidRPr="008C5851">
        <w:rPr>
          <w:lang w:val="fr-FR"/>
        </w:rPr>
        <w:t> janvier 2007 au 15 octobre 2009, l</w:t>
      </w:r>
      <w:r w:rsidR="004C779B">
        <w:rPr>
          <w:lang w:val="fr-FR"/>
        </w:rPr>
        <w:t>’</w:t>
      </w:r>
      <w:r w:rsidRPr="008C5851">
        <w:rPr>
          <w:lang w:val="fr-FR"/>
        </w:rPr>
        <w:t>auteure et sa fille ont reçu une indemnité pécuniaire d</w:t>
      </w:r>
      <w:r w:rsidR="004C779B">
        <w:rPr>
          <w:lang w:val="fr-FR"/>
        </w:rPr>
        <w:t>’</w:t>
      </w:r>
      <w:r w:rsidRPr="008C5851">
        <w:rPr>
          <w:lang w:val="fr-FR"/>
        </w:rPr>
        <w:t>un montant total de 7 313,3</w:t>
      </w:r>
      <w:r>
        <w:rPr>
          <w:lang w:val="fr-FR"/>
        </w:rPr>
        <w:t>0</w:t>
      </w:r>
      <w:r w:rsidRPr="008C5851">
        <w:rPr>
          <w:lang w:val="fr-FR"/>
        </w:rPr>
        <w:t xml:space="preserve"> euros en </w:t>
      </w:r>
      <w:r>
        <w:rPr>
          <w:lang w:val="fr-FR"/>
        </w:rPr>
        <w:t>application de l</w:t>
      </w:r>
      <w:r w:rsidR="004C779B">
        <w:rPr>
          <w:lang w:val="fr-FR"/>
        </w:rPr>
        <w:t>’</w:t>
      </w:r>
      <w:r>
        <w:rPr>
          <w:lang w:val="fr-FR"/>
        </w:rPr>
        <w:t>ordonnance relative à certaines catégories d</w:t>
      </w:r>
      <w:r w:rsidR="004C779B">
        <w:rPr>
          <w:lang w:val="fr-FR"/>
        </w:rPr>
        <w:t>’</w:t>
      </w:r>
      <w:r>
        <w:rPr>
          <w:lang w:val="fr-FR"/>
        </w:rPr>
        <w:t>étrangers</w:t>
      </w:r>
      <w:r w:rsidRPr="008C5851">
        <w:rPr>
          <w:lang w:val="fr-FR"/>
        </w:rPr>
        <w:t xml:space="preserve">. Après </w:t>
      </w:r>
      <w:r>
        <w:rPr>
          <w:lang w:val="fr-FR"/>
        </w:rPr>
        <w:t xml:space="preserve">la délivrance de </w:t>
      </w:r>
      <w:r w:rsidRPr="008C5851">
        <w:rPr>
          <w:lang w:val="fr-FR"/>
        </w:rPr>
        <w:t>leurs permis de séjour, l</w:t>
      </w:r>
      <w:r>
        <w:rPr>
          <w:lang w:val="fr-FR"/>
        </w:rPr>
        <w:t>a</w:t>
      </w:r>
      <w:r w:rsidRPr="008C5851">
        <w:rPr>
          <w:lang w:val="fr-FR"/>
        </w:rPr>
        <w:t xml:space="preserve"> </w:t>
      </w:r>
      <w:r>
        <w:rPr>
          <w:lang w:val="fr-FR"/>
        </w:rPr>
        <w:t xml:space="preserve">Banque des assurances sociales </w:t>
      </w:r>
      <w:r w:rsidRPr="008C5851">
        <w:rPr>
          <w:lang w:val="fr-FR"/>
        </w:rPr>
        <w:t xml:space="preserve">a, le 25 novembre 2009, fait droit à la demande </w:t>
      </w:r>
      <w:r w:rsidRPr="008C5851">
        <w:rPr>
          <w:spacing w:val="-2"/>
          <w:lang w:val="fr-FR"/>
        </w:rPr>
        <w:t>d</w:t>
      </w:r>
      <w:r w:rsidR="004C779B">
        <w:rPr>
          <w:spacing w:val="-2"/>
          <w:lang w:val="fr-FR"/>
        </w:rPr>
        <w:t>’</w:t>
      </w:r>
      <w:r w:rsidRPr="008C5851">
        <w:rPr>
          <w:spacing w:val="-2"/>
          <w:lang w:val="fr-FR"/>
        </w:rPr>
        <w:t>indemnité pour enfant à charge présentée par l</w:t>
      </w:r>
      <w:r w:rsidR="004C779B">
        <w:rPr>
          <w:spacing w:val="-2"/>
          <w:lang w:val="fr-FR"/>
        </w:rPr>
        <w:t>’</w:t>
      </w:r>
      <w:r w:rsidRPr="008C5851">
        <w:rPr>
          <w:spacing w:val="-2"/>
          <w:lang w:val="fr-FR"/>
        </w:rPr>
        <w:t>auteure</w:t>
      </w:r>
      <w:r>
        <w:rPr>
          <w:spacing w:val="-2"/>
          <w:lang w:val="fr-FR"/>
        </w:rPr>
        <w:t>,</w:t>
      </w:r>
      <w:r w:rsidRPr="008C5851">
        <w:rPr>
          <w:spacing w:val="-2"/>
          <w:lang w:val="fr-FR"/>
        </w:rPr>
        <w:t xml:space="preserve"> avec effet au 1</w:t>
      </w:r>
      <w:r w:rsidRPr="008C5851">
        <w:rPr>
          <w:spacing w:val="-2"/>
          <w:vertAlign w:val="superscript"/>
          <w:lang w:val="fr-FR"/>
        </w:rPr>
        <w:t>er</w:t>
      </w:r>
      <w:r w:rsidRPr="008C5851">
        <w:rPr>
          <w:spacing w:val="-2"/>
          <w:lang w:val="fr-FR"/>
        </w:rPr>
        <w:t> octobre</w:t>
      </w:r>
      <w:r w:rsidRPr="008C5851">
        <w:rPr>
          <w:lang w:val="fr-FR"/>
        </w:rPr>
        <w:t> 2009.</w:t>
      </w:r>
    </w:p>
    <w:p w14:paraId="558249BD" w14:textId="77777777" w:rsidR="00D43D1B" w:rsidRPr="008C5851" w:rsidRDefault="00D43D1B" w:rsidP="00D43D1B">
      <w:pPr>
        <w:pStyle w:val="SingleTxtG"/>
        <w:rPr>
          <w:spacing w:val="-2"/>
          <w:lang w:val="fr-FR"/>
        </w:rPr>
      </w:pPr>
      <w:r w:rsidRPr="008C5851">
        <w:rPr>
          <w:spacing w:val="-2"/>
          <w:lang w:val="fr-FR"/>
        </w:rPr>
        <w:t>4.</w:t>
      </w:r>
      <w:r>
        <w:rPr>
          <w:spacing w:val="-2"/>
          <w:lang w:val="fr-FR"/>
        </w:rPr>
        <w:t>7</w:t>
      </w:r>
      <w:r w:rsidRPr="008C5851">
        <w:rPr>
          <w:spacing w:val="-2"/>
          <w:lang w:val="fr-FR"/>
        </w:rPr>
        <w:tab/>
      </w:r>
      <w:r>
        <w:rPr>
          <w:spacing w:val="-2"/>
          <w:lang w:val="fr-FR"/>
        </w:rPr>
        <w:t xml:space="preserve">En ce qui concerne </w:t>
      </w:r>
      <w:r w:rsidRPr="008C5851">
        <w:rPr>
          <w:spacing w:val="-2"/>
          <w:lang w:val="fr-FR"/>
        </w:rPr>
        <w:t>l</w:t>
      </w:r>
      <w:r w:rsidR="004C779B">
        <w:rPr>
          <w:spacing w:val="-2"/>
          <w:lang w:val="fr-FR"/>
        </w:rPr>
        <w:t>’</w:t>
      </w:r>
      <w:r w:rsidRPr="008C5851">
        <w:rPr>
          <w:spacing w:val="-2"/>
          <w:lang w:val="fr-FR"/>
        </w:rPr>
        <w:t>argument de l</w:t>
      </w:r>
      <w:r w:rsidR="004C779B">
        <w:rPr>
          <w:spacing w:val="-2"/>
          <w:lang w:val="fr-FR"/>
        </w:rPr>
        <w:t>’</w:t>
      </w:r>
      <w:r w:rsidRPr="008C5851">
        <w:rPr>
          <w:spacing w:val="-2"/>
          <w:lang w:val="fr-FR"/>
        </w:rPr>
        <w:t>auteure selon lequel le refus de lui verser l</w:t>
      </w:r>
      <w:r w:rsidR="004C779B">
        <w:rPr>
          <w:spacing w:val="-2"/>
          <w:lang w:val="fr-FR"/>
        </w:rPr>
        <w:t>’</w:t>
      </w:r>
      <w:r w:rsidRPr="008C5851">
        <w:rPr>
          <w:spacing w:val="-2"/>
          <w:lang w:val="fr-FR"/>
        </w:rPr>
        <w:t xml:space="preserve">indemnité générale pour enfant à charge </w:t>
      </w:r>
      <w:r>
        <w:rPr>
          <w:spacing w:val="-2"/>
          <w:lang w:val="fr-FR"/>
        </w:rPr>
        <w:t xml:space="preserve">quand </w:t>
      </w:r>
      <w:r w:rsidRPr="008C5851">
        <w:rPr>
          <w:spacing w:val="-2"/>
          <w:lang w:val="fr-FR"/>
        </w:rPr>
        <w:t>sa fille et elle n</w:t>
      </w:r>
      <w:r w:rsidR="004C779B">
        <w:rPr>
          <w:spacing w:val="-2"/>
          <w:lang w:val="fr-FR"/>
        </w:rPr>
        <w:t>’</w:t>
      </w:r>
      <w:r w:rsidRPr="008C5851">
        <w:rPr>
          <w:spacing w:val="-2"/>
          <w:lang w:val="fr-FR"/>
        </w:rPr>
        <w:t xml:space="preserve">avaient pas de permis de séjour </w:t>
      </w:r>
      <w:r>
        <w:rPr>
          <w:spacing w:val="-2"/>
          <w:lang w:val="fr-FR"/>
        </w:rPr>
        <w:t xml:space="preserve">a constitué une violation des </w:t>
      </w:r>
      <w:r w:rsidRPr="008C5851">
        <w:rPr>
          <w:spacing w:val="-2"/>
          <w:lang w:val="fr-FR"/>
        </w:rPr>
        <w:t>droits qu</w:t>
      </w:r>
      <w:r w:rsidR="004C779B">
        <w:rPr>
          <w:spacing w:val="-2"/>
          <w:lang w:val="fr-FR"/>
        </w:rPr>
        <w:t>’</w:t>
      </w:r>
      <w:r w:rsidRPr="008C5851">
        <w:rPr>
          <w:spacing w:val="-2"/>
          <w:lang w:val="fr-FR"/>
        </w:rPr>
        <w:t>elle</w:t>
      </w:r>
      <w:r>
        <w:rPr>
          <w:spacing w:val="-2"/>
          <w:lang w:val="fr-FR"/>
        </w:rPr>
        <w:t>s</w:t>
      </w:r>
      <w:r w:rsidRPr="008C5851">
        <w:rPr>
          <w:spacing w:val="-2"/>
          <w:lang w:val="fr-FR"/>
        </w:rPr>
        <w:t xml:space="preserve"> tenai</w:t>
      </w:r>
      <w:r>
        <w:rPr>
          <w:spacing w:val="-2"/>
          <w:lang w:val="fr-FR"/>
        </w:rPr>
        <w:t>en</w:t>
      </w:r>
      <w:r w:rsidRPr="008C5851">
        <w:rPr>
          <w:spacing w:val="-2"/>
          <w:lang w:val="fr-FR"/>
        </w:rPr>
        <w:t>t des articles 23, 24 et</w:t>
      </w:r>
      <w:r>
        <w:rPr>
          <w:spacing w:val="-2"/>
          <w:lang w:val="fr-FR"/>
        </w:rPr>
        <w:t> </w:t>
      </w:r>
      <w:r w:rsidRPr="008C5851">
        <w:rPr>
          <w:spacing w:val="-2"/>
          <w:lang w:val="fr-FR"/>
        </w:rPr>
        <w:t>26 du Pacte</w:t>
      </w:r>
      <w:r>
        <w:rPr>
          <w:spacing w:val="-2"/>
          <w:lang w:val="fr-FR"/>
        </w:rPr>
        <w:t>, l</w:t>
      </w:r>
      <w:r w:rsidR="004C779B">
        <w:rPr>
          <w:spacing w:val="-2"/>
          <w:lang w:val="fr-FR"/>
        </w:rPr>
        <w:t>’</w:t>
      </w:r>
      <w:r w:rsidRPr="008C5851">
        <w:rPr>
          <w:spacing w:val="-2"/>
          <w:lang w:val="fr-FR"/>
        </w:rPr>
        <w:t>État partie fait valoir</w:t>
      </w:r>
      <w:r>
        <w:rPr>
          <w:spacing w:val="-2"/>
          <w:lang w:val="fr-FR"/>
        </w:rPr>
        <w:t xml:space="preserve"> qu</w:t>
      </w:r>
      <w:r w:rsidR="004C779B">
        <w:rPr>
          <w:spacing w:val="-2"/>
          <w:lang w:val="fr-FR"/>
        </w:rPr>
        <w:t>’</w:t>
      </w:r>
      <w:r w:rsidRPr="008C5851">
        <w:rPr>
          <w:spacing w:val="-2"/>
          <w:lang w:val="fr-FR"/>
        </w:rPr>
        <w:t xml:space="preserve">il </w:t>
      </w:r>
      <w:r>
        <w:rPr>
          <w:spacing w:val="-2"/>
          <w:lang w:val="fr-FR"/>
        </w:rPr>
        <w:t xml:space="preserve">est courant </w:t>
      </w:r>
      <w:r w:rsidRPr="008C5851">
        <w:rPr>
          <w:spacing w:val="-2"/>
          <w:lang w:val="fr-FR"/>
        </w:rPr>
        <w:t xml:space="preserve">que </w:t>
      </w:r>
      <w:r>
        <w:rPr>
          <w:spacing w:val="-2"/>
          <w:lang w:val="fr-FR"/>
        </w:rPr>
        <w:t xml:space="preserve">de telles </w:t>
      </w:r>
      <w:r w:rsidRPr="008C5851">
        <w:rPr>
          <w:spacing w:val="-2"/>
          <w:lang w:val="fr-FR"/>
        </w:rPr>
        <w:t xml:space="preserve">distinctions soient faites sur la base de la situation au regard de la réglementation relative au séjour </w:t>
      </w:r>
      <w:r>
        <w:rPr>
          <w:spacing w:val="-2"/>
          <w:lang w:val="fr-FR"/>
        </w:rPr>
        <w:t xml:space="preserve">et, </w:t>
      </w:r>
      <w:r w:rsidRPr="008C5851">
        <w:rPr>
          <w:spacing w:val="-2"/>
          <w:lang w:val="fr-FR"/>
        </w:rPr>
        <w:t>en conséquence</w:t>
      </w:r>
      <w:r>
        <w:rPr>
          <w:spacing w:val="-2"/>
          <w:lang w:val="fr-FR"/>
        </w:rPr>
        <w:t>,</w:t>
      </w:r>
      <w:r w:rsidRPr="008C5851">
        <w:rPr>
          <w:spacing w:val="-2"/>
          <w:lang w:val="fr-FR"/>
        </w:rPr>
        <w:t xml:space="preserve"> sur la base de la nationalité</w:t>
      </w:r>
      <w:r w:rsidRPr="001269BA">
        <w:rPr>
          <w:rStyle w:val="Appelnotedebasdep"/>
        </w:rPr>
        <w:footnoteReference w:id="5"/>
      </w:r>
      <w:r w:rsidRPr="008C5851">
        <w:rPr>
          <w:spacing w:val="-2"/>
          <w:lang w:val="fr-FR"/>
        </w:rPr>
        <w:t xml:space="preserve">. </w:t>
      </w:r>
      <w:r>
        <w:rPr>
          <w:spacing w:val="-2"/>
          <w:lang w:val="fr-FR"/>
        </w:rPr>
        <w:t>T</w:t>
      </w:r>
      <w:r w:rsidRPr="008C5851">
        <w:rPr>
          <w:spacing w:val="-2"/>
          <w:lang w:val="fr-FR"/>
        </w:rPr>
        <w:t xml:space="preserve">outes les formes de traitement inégal ne sont pas interdites par le Pacte, mais uniquement le traitement inégal </w:t>
      </w:r>
      <w:r>
        <w:rPr>
          <w:spacing w:val="-2"/>
          <w:lang w:val="fr-FR"/>
        </w:rPr>
        <w:t>constituant une discrimination. E</w:t>
      </w:r>
      <w:r w:rsidRPr="008C5851">
        <w:rPr>
          <w:spacing w:val="-2"/>
          <w:lang w:val="fr-FR"/>
        </w:rPr>
        <w:t>n l</w:t>
      </w:r>
      <w:r w:rsidR="004C779B">
        <w:rPr>
          <w:spacing w:val="-2"/>
          <w:lang w:val="fr-FR"/>
        </w:rPr>
        <w:t>’</w:t>
      </w:r>
      <w:r w:rsidRPr="008C5851">
        <w:rPr>
          <w:spacing w:val="-2"/>
          <w:lang w:val="fr-FR"/>
        </w:rPr>
        <w:t>espèce, la distinction en cause repose essentiellement sur la situation au regard de la réglementation relative au séjour et elle est suffisamment justifiée. Les États jouissent d</w:t>
      </w:r>
      <w:r w:rsidR="004C779B">
        <w:rPr>
          <w:spacing w:val="-2"/>
          <w:lang w:val="fr-FR"/>
        </w:rPr>
        <w:t>’</w:t>
      </w:r>
      <w:r w:rsidRPr="008C5851">
        <w:rPr>
          <w:spacing w:val="-2"/>
          <w:lang w:val="fr-FR"/>
        </w:rPr>
        <w:t>une certaine marge d</w:t>
      </w:r>
      <w:r w:rsidR="004C779B">
        <w:rPr>
          <w:spacing w:val="-2"/>
          <w:lang w:val="fr-FR"/>
        </w:rPr>
        <w:t>’</w:t>
      </w:r>
      <w:r w:rsidRPr="008C5851">
        <w:rPr>
          <w:spacing w:val="-2"/>
          <w:lang w:val="fr-FR"/>
        </w:rPr>
        <w:t>appréciation s</w:t>
      </w:r>
      <w:r w:rsidR="004C779B">
        <w:rPr>
          <w:spacing w:val="-2"/>
          <w:lang w:val="fr-FR"/>
        </w:rPr>
        <w:t>’</w:t>
      </w:r>
      <w:r w:rsidRPr="008C5851">
        <w:rPr>
          <w:spacing w:val="-2"/>
          <w:lang w:val="fr-FR"/>
        </w:rPr>
        <w:t>agissant de déterminer si et dans quelle mesure des différences existant dans des situations par ailleurs similaires justifient une différence de traitement, et l</w:t>
      </w:r>
      <w:r w:rsidR="004C779B">
        <w:rPr>
          <w:spacing w:val="-2"/>
          <w:lang w:val="fr-FR"/>
        </w:rPr>
        <w:t>’</w:t>
      </w:r>
      <w:r w:rsidRPr="008C5851">
        <w:rPr>
          <w:spacing w:val="-2"/>
          <w:lang w:val="fr-FR"/>
        </w:rPr>
        <w:t xml:space="preserve">étendue de cette marge </w:t>
      </w:r>
      <w:r w:rsidRPr="00D43D1B">
        <w:rPr>
          <w:lang w:val="fr-FR"/>
        </w:rPr>
        <w:t>d</w:t>
      </w:r>
      <w:r w:rsidR="004C779B">
        <w:rPr>
          <w:lang w:val="fr-FR"/>
        </w:rPr>
        <w:t>’</w:t>
      </w:r>
      <w:r w:rsidRPr="00D43D1B">
        <w:rPr>
          <w:lang w:val="fr-FR"/>
        </w:rPr>
        <w:t>appréciation</w:t>
      </w:r>
      <w:r w:rsidRPr="008C5851">
        <w:rPr>
          <w:spacing w:val="-2"/>
          <w:lang w:val="fr-FR"/>
        </w:rPr>
        <w:t xml:space="preserve"> varie en fonction des circonstances, d</w:t>
      </w:r>
      <w:r>
        <w:rPr>
          <w:spacing w:val="-2"/>
          <w:lang w:val="fr-FR"/>
        </w:rPr>
        <w:t>u domaine</w:t>
      </w:r>
      <w:r w:rsidRPr="008C5851">
        <w:rPr>
          <w:spacing w:val="-2"/>
          <w:lang w:val="fr-FR"/>
        </w:rPr>
        <w:t xml:space="preserve"> et du contexte. La </w:t>
      </w:r>
      <w:r>
        <w:rPr>
          <w:spacing w:val="-2"/>
          <w:lang w:val="fr-FR"/>
        </w:rPr>
        <w:t>loi</w:t>
      </w:r>
      <w:r w:rsidRPr="008C5851">
        <w:rPr>
          <w:spacing w:val="-2"/>
          <w:lang w:val="fr-FR"/>
        </w:rPr>
        <w:t xml:space="preserve"> sur les prestations sociales </w:t>
      </w:r>
      <w:r>
        <w:rPr>
          <w:spacing w:val="-2"/>
          <w:lang w:val="fr-FR"/>
        </w:rPr>
        <w:t xml:space="preserve">appuie </w:t>
      </w:r>
      <w:r w:rsidRPr="008C5851">
        <w:rPr>
          <w:spacing w:val="-2"/>
          <w:lang w:val="fr-FR"/>
        </w:rPr>
        <w:t>la politique d</w:t>
      </w:r>
      <w:r w:rsidR="004C779B">
        <w:rPr>
          <w:spacing w:val="-2"/>
          <w:lang w:val="fr-FR"/>
        </w:rPr>
        <w:t>’</w:t>
      </w:r>
      <w:r w:rsidRPr="008C5851">
        <w:rPr>
          <w:spacing w:val="-2"/>
          <w:lang w:val="fr-FR"/>
        </w:rPr>
        <w:t xml:space="preserve">immigration des Pays-Bas. Le </w:t>
      </w:r>
      <w:r>
        <w:rPr>
          <w:spacing w:val="-2"/>
          <w:lang w:val="fr-FR"/>
        </w:rPr>
        <w:t xml:space="preserve">fait de </w:t>
      </w:r>
      <w:r w:rsidRPr="008C5851">
        <w:rPr>
          <w:spacing w:val="-2"/>
          <w:lang w:val="fr-FR"/>
        </w:rPr>
        <w:t>lier le droit à prestations à la situation au regard de la réglementation relative au séjour vise à empêcher que des étrangers vivant aux Pays-Bas en situation irrégulière</w:t>
      </w:r>
      <w:r>
        <w:rPr>
          <w:spacing w:val="-2"/>
          <w:lang w:val="fr-FR"/>
        </w:rPr>
        <w:t>,</w:t>
      </w:r>
      <w:r w:rsidRPr="008C5851">
        <w:rPr>
          <w:spacing w:val="-2"/>
          <w:lang w:val="fr-FR"/>
        </w:rPr>
        <w:t xml:space="preserve"> ou </w:t>
      </w:r>
      <w:r>
        <w:rPr>
          <w:spacing w:val="-2"/>
          <w:lang w:val="fr-FR"/>
        </w:rPr>
        <w:t xml:space="preserve">dont le séjour est régulier uniquement parce que </w:t>
      </w:r>
      <w:r w:rsidRPr="008C5851">
        <w:rPr>
          <w:spacing w:val="-2"/>
          <w:lang w:val="fr-FR"/>
        </w:rPr>
        <w:t>leur demande de permis de séjour est pendante</w:t>
      </w:r>
      <w:r>
        <w:rPr>
          <w:spacing w:val="-2"/>
          <w:lang w:val="fr-FR"/>
        </w:rPr>
        <w:t>,</w:t>
      </w:r>
      <w:r w:rsidRPr="008C5851">
        <w:rPr>
          <w:spacing w:val="-2"/>
          <w:lang w:val="fr-FR"/>
        </w:rPr>
        <w:t xml:space="preserve"> </w:t>
      </w:r>
      <w:r>
        <w:rPr>
          <w:spacing w:val="-2"/>
          <w:lang w:val="fr-FR"/>
        </w:rPr>
        <w:t xml:space="preserve">ne </w:t>
      </w:r>
      <w:r w:rsidRPr="008C5851">
        <w:rPr>
          <w:spacing w:val="-2"/>
          <w:lang w:val="fr-FR"/>
        </w:rPr>
        <w:t>prolonge</w:t>
      </w:r>
      <w:r>
        <w:rPr>
          <w:spacing w:val="-2"/>
          <w:lang w:val="fr-FR"/>
        </w:rPr>
        <w:t>nt</w:t>
      </w:r>
      <w:r w:rsidRPr="008C5851">
        <w:rPr>
          <w:spacing w:val="-2"/>
          <w:lang w:val="fr-FR"/>
        </w:rPr>
        <w:t xml:space="preserve"> leur séjour </w:t>
      </w:r>
      <w:r w:rsidRPr="008C5851">
        <w:rPr>
          <w:lang w:val="fr-FR"/>
        </w:rPr>
        <w:t xml:space="preserve">et </w:t>
      </w:r>
      <w:r>
        <w:rPr>
          <w:lang w:val="fr-FR"/>
        </w:rPr>
        <w:t>n</w:t>
      </w:r>
      <w:r w:rsidR="004C779B">
        <w:rPr>
          <w:lang w:val="fr-FR"/>
        </w:rPr>
        <w:t>’</w:t>
      </w:r>
      <w:r>
        <w:rPr>
          <w:lang w:val="fr-FR"/>
        </w:rPr>
        <w:t xml:space="preserve">établissent une présomption </w:t>
      </w:r>
      <w:r w:rsidRPr="008C5851">
        <w:rPr>
          <w:lang w:val="fr-FR"/>
        </w:rPr>
        <w:t>d</w:t>
      </w:r>
      <w:r>
        <w:rPr>
          <w:lang w:val="fr-FR"/>
        </w:rPr>
        <w:t>e</w:t>
      </w:r>
      <w:r w:rsidRPr="008C5851">
        <w:rPr>
          <w:lang w:val="fr-FR"/>
        </w:rPr>
        <w:t xml:space="preserve"> séjour régulier, de telle manière qu</w:t>
      </w:r>
      <w:r w:rsidR="004C779B">
        <w:rPr>
          <w:lang w:val="fr-FR"/>
        </w:rPr>
        <w:t>’</w:t>
      </w:r>
      <w:r w:rsidRPr="008C5851">
        <w:rPr>
          <w:lang w:val="fr-FR"/>
        </w:rPr>
        <w:t xml:space="preserve">une fois la procédure </w:t>
      </w:r>
      <w:r>
        <w:rPr>
          <w:lang w:val="fr-FR"/>
        </w:rPr>
        <w:t xml:space="preserve">achevée </w:t>
      </w:r>
      <w:r w:rsidRPr="008C5851">
        <w:rPr>
          <w:lang w:val="fr-FR"/>
        </w:rPr>
        <w:t xml:space="preserve">il ne soit pas possible de les expulser. </w:t>
      </w:r>
      <w:r>
        <w:rPr>
          <w:spacing w:val="-2"/>
          <w:lang w:val="fr-FR"/>
        </w:rPr>
        <w:t>D</w:t>
      </w:r>
      <w:r w:rsidR="004C779B">
        <w:rPr>
          <w:spacing w:val="-2"/>
          <w:lang w:val="fr-FR"/>
        </w:rPr>
        <w:t>’</w:t>
      </w:r>
      <w:r>
        <w:rPr>
          <w:spacing w:val="-2"/>
          <w:lang w:val="fr-FR"/>
        </w:rPr>
        <w:t xml:space="preserve">autres </w:t>
      </w:r>
      <w:r w:rsidRPr="008C5851">
        <w:rPr>
          <w:spacing w:val="-2"/>
          <w:lang w:val="fr-FR"/>
        </w:rPr>
        <w:t>régimes individuels confèrent un droit à prestations</w:t>
      </w:r>
      <w:r>
        <w:rPr>
          <w:spacing w:val="-2"/>
          <w:lang w:val="fr-FR"/>
        </w:rPr>
        <w:t>,</w:t>
      </w:r>
      <w:r w:rsidRPr="008C5851">
        <w:rPr>
          <w:spacing w:val="-2"/>
          <w:lang w:val="fr-FR"/>
        </w:rPr>
        <w:t xml:space="preserve"> indemnité</w:t>
      </w:r>
      <w:r>
        <w:rPr>
          <w:spacing w:val="-2"/>
          <w:lang w:val="fr-FR"/>
        </w:rPr>
        <w:t>s</w:t>
      </w:r>
      <w:r w:rsidRPr="008C5851">
        <w:rPr>
          <w:spacing w:val="-2"/>
          <w:lang w:val="fr-FR"/>
        </w:rPr>
        <w:t xml:space="preserve"> et versement</w:t>
      </w:r>
      <w:r>
        <w:rPr>
          <w:spacing w:val="-2"/>
          <w:lang w:val="fr-FR"/>
        </w:rPr>
        <w:t>s</w:t>
      </w:r>
      <w:r w:rsidRPr="008C5851">
        <w:rPr>
          <w:spacing w:val="-2"/>
          <w:lang w:val="fr-FR"/>
        </w:rPr>
        <w:t xml:space="preserve"> au</w:t>
      </w:r>
      <w:r>
        <w:rPr>
          <w:spacing w:val="-2"/>
          <w:lang w:val="fr-FR"/>
        </w:rPr>
        <w:t>x</w:t>
      </w:r>
      <w:r w:rsidRPr="008C5851">
        <w:rPr>
          <w:spacing w:val="-2"/>
          <w:lang w:val="fr-FR"/>
        </w:rPr>
        <w:t xml:space="preserve"> étrangers en séjour régulier dans le pays lorsque leur demande de permis de séjour est pendante. </w:t>
      </w:r>
      <w:r>
        <w:rPr>
          <w:spacing w:val="-2"/>
          <w:lang w:val="fr-FR"/>
        </w:rPr>
        <w:t xml:space="preserve">Pendant que </w:t>
      </w:r>
      <w:r w:rsidRPr="008C5851">
        <w:rPr>
          <w:spacing w:val="-2"/>
          <w:lang w:val="fr-FR"/>
        </w:rPr>
        <w:t>la demande de permis de séjour de l</w:t>
      </w:r>
      <w:r w:rsidR="004C779B">
        <w:rPr>
          <w:spacing w:val="-2"/>
          <w:lang w:val="fr-FR"/>
        </w:rPr>
        <w:t>’</w:t>
      </w:r>
      <w:r w:rsidRPr="008C5851">
        <w:rPr>
          <w:spacing w:val="-2"/>
          <w:lang w:val="fr-FR"/>
        </w:rPr>
        <w:t xml:space="preserve">auteure était pendante, une ordonnance lui </w:t>
      </w:r>
      <w:r>
        <w:rPr>
          <w:spacing w:val="-2"/>
          <w:lang w:val="fr-FR"/>
        </w:rPr>
        <w:t xml:space="preserve">a permis </w:t>
      </w:r>
      <w:r w:rsidRPr="008C5851">
        <w:rPr>
          <w:spacing w:val="-2"/>
          <w:lang w:val="fr-FR"/>
        </w:rPr>
        <w:t xml:space="preserve">de bénéficier de </w:t>
      </w:r>
      <w:r>
        <w:rPr>
          <w:spacing w:val="-2"/>
          <w:lang w:val="fr-FR"/>
        </w:rPr>
        <w:t xml:space="preserve">prestations </w:t>
      </w:r>
      <w:r w:rsidRPr="003F7809">
        <w:rPr>
          <w:spacing w:val="-2"/>
          <w:lang w:val="fr-FR"/>
        </w:rPr>
        <w:t>de première nécessité.</w:t>
      </w:r>
      <w:r w:rsidRPr="008C5851">
        <w:rPr>
          <w:spacing w:val="-2"/>
          <w:lang w:val="fr-FR"/>
        </w:rPr>
        <w:t xml:space="preserve"> </w:t>
      </w:r>
    </w:p>
    <w:p w14:paraId="0253AB6F" w14:textId="77777777" w:rsidR="00D43D1B" w:rsidRPr="008C5851" w:rsidRDefault="00D43D1B" w:rsidP="00D43D1B">
      <w:pPr>
        <w:pStyle w:val="SingleTxtG"/>
        <w:rPr>
          <w:lang w:val="fr-FR"/>
        </w:rPr>
      </w:pPr>
      <w:r w:rsidRPr="008C5851">
        <w:rPr>
          <w:lang w:val="fr-FR"/>
        </w:rPr>
        <w:t>4.</w:t>
      </w:r>
      <w:r>
        <w:rPr>
          <w:lang w:val="fr-FR"/>
        </w:rPr>
        <w:t>8</w:t>
      </w:r>
      <w:r w:rsidRPr="008C5851">
        <w:rPr>
          <w:lang w:val="fr-FR"/>
        </w:rPr>
        <w:tab/>
      </w:r>
      <w:r>
        <w:rPr>
          <w:lang w:val="fr-FR"/>
        </w:rPr>
        <w:t>U</w:t>
      </w:r>
      <w:r w:rsidRPr="008C5851">
        <w:rPr>
          <w:lang w:val="fr-FR"/>
        </w:rPr>
        <w:t xml:space="preserve">ne obligation inconditionnelle de traiter les étrangers dont la situation au regard de la réglementation relative au séjour est indéfinie de la même manière que les nationaux ou les personnes qui ont été admises dans le pays priverait </w:t>
      </w:r>
      <w:r>
        <w:rPr>
          <w:lang w:val="fr-FR"/>
        </w:rPr>
        <w:t>l</w:t>
      </w:r>
      <w:r w:rsidR="004C779B">
        <w:rPr>
          <w:lang w:val="fr-FR"/>
        </w:rPr>
        <w:t>’</w:t>
      </w:r>
      <w:r w:rsidRPr="008C5851">
        <w:rPr>
          <w:lang w:val="fr-FR"/>
        </w:rPr>
        <w:t xml:space="preserve">État de la </w:t>
      </w:r>
      <w:r>
        <w:rPr>
          <w:lang w:val="fr-FR"/>
        </w:rPr>
        <w:t xml:space="preserve">capacité </w:t>
      </w:r>
      <w:r w:rsidRPr="008C5851">
        <w:rPr>
          <w:lang w:val="fr-FR"/>
        </w:rPr>
        <w:t>de mener une politique d</w:t>
      </w:r>
      <w:r w:rsidR="004C779B">
        <w:rPr>
          <w:lang w:val="fr-FR"/>
        </w:rPr>
        <w:t>’</w:t>
      </w:r>
      <w:r w:rsidRPr="008C5851">
        <w:rPr>
          <w:lang w:val="fr-FR"/>
        </w:rPr>
        <w:t xml:space="preserve">immigration propre à protéger </w:t>
      </w:r>
      <w:r>
        <w:rPr>
          <w:lang w:val="fr-FR"/>
        </w:rPr>
        <w:t xml:space="preserve">le bien-être </w:t>
      </w:r>
      <w:r w:rsidRPr="008C5851">
        <w:rPr>
          <w:lang w:val="fr-FR"/>
        </w:rPr>
        <w:t>économique du pays. La politique d</w:t>
      </w:r>
      <w:r w:rsidR="004C779B">
        <w:rPr>
          <w:lang w:val="fr-FR"/>
        </w:rPr>
        <w:t>’</w:t>
      </w:r>
      <w:r w:rsidRPr="008C5851">
        <w:rPr>
          <w:lang w:val="fr-FR"/>
        </w:rPr>
        <w:t xml:space="preserve">immigration relève essentiellement de la compétence des États. Obliger les États à </w:t>
      </w:r>
      <w:r w:rsidRPr="008C5851">
        <w:rPr>
          <w:lang w:val="fr-FR"/>
        </w:rPr>
        <w:lastRenderedPageBreak/>
        <w:t xml:space="preserve">reconnaître les mêmes droits aux personnes en séjour irrégulier sur leur territoire, </w:t>
      </w:r>
      <w:r>
        <w:rPr>
          <w:lang w:val="fr-FR"/>
        </w:rPr>
        <w:t xml:space="preserve">en </w:t>
      </w:r>
      <w:r w:rsidRPr="008C5851">
        <w:rPr>
          <w:lang w:val="fr-FR"/>
        </w:rPr>
        <w:t>prolong</w:t>
      </w:r>
      <w:r>
        <w:rPr>
          <w:lang w:val="fr-FR"/>
        </w:rPr>
        <w:t>eant</w:t>
      </w:r>
      <w:r w:rsidRPr="008C5851">
        <w:rPr>
          <w:lang w:val="fr-FR"/>
        </w:rPr>
        <w:t xml:space="preserve"> </w:t>
      </w:r>
      <w:r>
        <w:rPr>
          <w:lang w:val="fr-FR"/>
        </w:rPr>
        <w:t xml:space="preserve">ainsi </w:t>
      </w:r>
      <w:r w:rsidRPr="008C5851">
        <w:rPr>
          <w:lang w:val="fr-FR"/>
        </w:rPr>
        <w:t xml:space="preserve">la situation irrégulière et </w:t>
      </w:r>
      <w:r>
        <w:rPr>
          <w:lang w:val="fr-FR"/>
        </w:rPr>
        <w:t>en empêchant l</w:t>
      </w:r>
      <w:r w:rsidR="004C779B">
        <w:rPr>
          <w:lang w:val="fr-FR"/>
        </w:rPr>
        <w:t>’</w:t>
      </w:r>
      <w:r>
        <w:rPr>
          <w:lang w:val="fr-FR"/>
        </w:rPr>
        <w:t xml:space="preserve">État de rechercher un </w:t>
      </w:r>
      <w:r w:rsidRPr="008C5851">
        <w:rPr>
          <w:lang w:val="fr-FR"/>
        </w:rPr>
        <w:t>juste équilibre entre l</w:t>
      </w:r>
      <w:r w:rsidR="004C779B">
        <w:rPr>
          <w:lang w:val="fr-FR"/>
        </w:rPr>
        <w:t>’</w:t>
      </w:r>
      <w:r w:rsidRPr="008C5851">
        <w:rPr>
          <w:lang w:val="fr-FR"/>
        </w:rPr>
        <w:t>intérêt général et les intérêts des personnes en cause</w:t>
      </w:r>
      <w:r>
        <w:rPr>
          <w:lang w:val="fr-FR"/>
        </w:rPr>
        <w:t>,</w:t>
      </w:r>
      <w:r w:rsidRPr="008C5851">
        <w:rPr>
          <w:lang w:val="fr-FR"/>
        </w:rPr>
        <w:t xml:space="preserve"> irait à l</w:t>
      </w:r>
      <w:r w:rsidR="004C779B">
        <w:rPr>
          <w:lang w:val="fr-FR"/>
        </w:rPr>
        <w:t>’</w:t>
      </w:r>
      <w:r w:rsidRPr="008C5851">
        <w:rPr>
          <w:lang w:val="fr-FR"/>
        </w:rPr>
        <w:t xml:space="preserve">encontre de ce principe. </w:t>
      </w:r>
      <w:r>
        <w:rPr>
          <w:lang w:val="fr-FR"/>
        </w:rPr>
        <w:t>L</w:t>
      </w:r>
      <w:r w:rsidRPr="008C5851">
        <w:rPr>
          <w:lang w:val="fr-FR"/>
        </w:rPr>
        <w:t>es États ont</w:t>
      </w:r>
      <w:r>
        <w:rPr>
          <w:lang w:val="fr-FR"/>
        </w:rPr>
        <w:t>,</w:t>
      </w:r>
      <w:r w:rsidRPr="008C5851">
        <w:rPr>
          <w:lang w:val="fr-FR"/>
        </w:rPr>
        <w:t xml:space="preserve"> en droit international</w:t>
      </w:r>
      <w:r>
        <w:rPr>
          <w:lang w:val="fr-FR"/>
        </w:rPr>
        <w:t>,</w:t>
      </w:r>
      <w:r w:rsidRPr="008C5851">
        <w:rPr>
          <w:lang w:val="fr-FR"/>
        </w:rPr>
        <w:t xml:space="preserve"> le droit de contrôler l</w:t>
      </w:r>
      <w:r w:rsidR="004C779B">
        <w:rPr>
          <w:lang w:val="fr-FR"/>
        </w:rPr>
        <w:t>’</w:t>
      </w:r>
      <w:r w:rsidRPr="008C5851">
        <w:rPr>
          <w:lang w:val="fr-FR"/>
        </w:rPr>
        <w:t>entrée, le séjour et l</w:t>
      </w:r>
      <w:r w:rsidR="004C779B">
        <w:rPr>
          <w:lang w:val="fr-FR"/>
        </w:rPr>
        <w:t>’</w:t>
      </w:r>
      <w:r w:rsidRPr="008C5851">
        <w:rPr>
          <w:lang w:val="fr-FR"/>
        </w:rPr>
        <w:t xml:space="preserve">expulsion des étrangers. </w:t>
      </w:r>
      <w:r>
        <w:rPr>
          <w:lang w:val="fr-FR"/>
        </w:rPr>
        <w:t>L</w:t>
      </w:r>
      <w:r w:rsidR="004C779B">
        <w:rPr>
          <w:lang w:val="fr-FR"/>
        </w:rPr>
        <w:t>’</w:t>
      </w:r>
      <w:r w:rsidRPr="008C5851">
        <w:rPr>
          <w:lang w:val="fr-FR"/>
        </w:rPr>
        <w:t>État partie renvoie à l</w:t>
      </w:r>
      <w:r w:rsidR="004C779B">
        <w:rPr>
          <w:lang w:val="fr-FR"/>
        </w:rPr>
        <w:t>’</w:t>
      </w:r>
      <w:r w:rsidRPr="008C5851">
        <w:rPr>
          <w:lang w:val="fr-FR"/>
        </w:rPr>
        <w:t>arrêt rendu par la Cour européenne des droits de l</w:t>
      </w:r>
      <w:r w:rsidR="004C779B">
        <w:rPr>
          <w:lang w:val="fr-FR"/>
        </w:rPr>
        <w:t>’</w:t>
      </w:r>
      <w:r w:rsidRPr="008C5851">
        <w:rPr>
          <w:lang w:val="fr-FR"/>
        </w:rPr>
        <w:t>homme dans l</w:t>
      </w:r>
      <w:r w:rsidR="004C779B">
        <w:rPr>
          <w:lang w:val="fr-FR"/>
        </w:rPr>
        <w:t>’</w:t>
      </w:r>
      <w:r w:rsidRPr="008C5851">
        <w:rPr>
          <w:lang w:val="fr-FR"/>
        </w:rPr>
        <w:t xml:space="preserve">affaire </w:t>
      </w:r>
      <w:r w:rsidRPr="0059022D">
        <w:rPr>
          <w:i/>
          <w:iCs/>
          <w:lang w:val="fr-FR"/>
        </w:rPr>
        <w:t xml:space="preserve">Nacic </w:t>
      </w:r>
      <w:r w:rsidR="009B105C">
        <w:rPr>
          <w:i/>
          <w:lang w:val="fr-FR"/>
        </w:rPr>
        <w:t>et autres</w:t>
      </w:r>
      <w:r w:rsidRPr="001A6B04">
        <w:rPr>
          <w:i/>
          <w:lang w:val="fr-FR"/>
        </w:rPr>
        <w:t xml:space="preserve"> </w:t>
      </w:r>
      <w:r w:rsidR="009B105C">
        <w:rPr>
          <w:i/>
          <w:iCs/>
          <w:lang w:val="fr-FR"/>
        </w:rPr>
        <w:t>c</w:t>
      </w:r>
      <w:r w:rsidRPr="001A6B04">
        <w:rPr>
          <w:lang w:val="fr-FR"/>
        </w:rPr>
        <w:t>.</w:t>
      </w:r>
      <w:r>
        <w:rPr>
          <w:i/>
          <w:lang w:val="fr-FR"/>
        </w:rPr>
        <w:t> </w:t>
      </w:r>
      <w:r w:rsidRPr="001A6B04">
        <w:rPr>
          <w:i/>
          <w:lang w:val="fr-FR"/>
        </w:rPr>
        <w:t>S</w:t>
      </w:r>
      <w:r w:rsidR="009B105C">
        <w:rPr>
          <w:i/>
          <w:lang w:val="fr-FR"/>
        </w:rPr>
        <w:t>uède</w:t>
      </w:r>
      <w:r w:rsidRPr="001269BA">
        <w:rPr>
          <w:rStyle w:val="Appelnotedebasdep"/>
        </w:rPr>
        <w:footnoteReference w:id="6"/>
      </w:r>
      <w:r w:rsidRPr="008C5851">
        <w:rPr>
          <w:iCs/>
          <w:lang w:val="fr-FR"/>
        </w:rPr>
        <w:t xml:space="preserve">, dans laquelle la Cour a jugé que les mesures visant à assurer </w:t>
      </w:r>
      <w:r>
        <w:rPr>
          <w:iCs/>
          <w:lang w:val="fr-FR"/>
        </w:rPr>
        <w:t>l</w:t>
      </w:r>
      <w:r w:rsidR="004C779B">
        <w:rPr>
          <w:iCs/>
          <w:lang w:val="fr-FR"/>
        </w:rPr>
        <w:t>’</w:t>
      </w:r>
      <w:r>
        <w:rPr>
          <w:iCs/>
          <w:lang w:val="fr-FR"/>
        </w:rPr>
        <w:t xml:space="preserve">efficacité </w:t>
      </w:r>
      <w:r w:rsidRPr="008C5851">
        <w:rPr>
          <w:iCs/>
          <w:lang w:val="fr-FR"/>
        </w:rPr>
        <w:t xml:space="preserve">des contrôles </w:t>
      </w:r>
      <w:r>
        <w:rPr>
          <w:iCs/>
          <w:lang w:val="fr-FR"/>
        </w:rPr>
        <w:t xml:space="preserve">de </w:t>
      </w:r>
      <w:r w:rsidRPr="008C5851">
        <w:rPr>
          <w:iCs/>
          <w:lang w:val="fr-FR"/>
        </w:rPr>
        <w:t>l</w:t>
      </w:r>
      <w:r w:rsidR="004C779B">
        <w:rPr>
          <w:iCs/>
          <w:lang w:val="fr-FR"/>
        </w:rPr>
        <w:t>’</w:t>
      </w:r>
      <w:r w:rsidRPr="008C5851">
        <w:rPr>
          <w:iCs/>
          <w:lang w:val="fr-FR"/>
        </w:rPr>
        <w:t xml:space="preserve">immigration </w:t>
      </w:r>
      <w:r>
        <w:rPr>
          <w:iCs/>
          <w:lang w:val="fr-FR"/>
        </w:rPr>
        <w:t>avaient pour but de</w:t>
      </w:r>
      <w:r w:rsidRPr="008C5851">
        <w:rPr>
          <w:iCs/>
          <w:lang w:val="fr-FR"/>
        </w:rPr>
        <w:t xml:space="preserve"> préserver le bien-être économique du pays et qu</w:t>
      </w:r>
      <w:r w:rsidR="004C779B">
        <w:rPr>
          <w:iCs/>
          <w:lang w:val="fr-FR"/>
        </w:rPr>
        <w:t>’</w:t>
      </w:r>
      <w:r w:rsidRPr="008C5851">
        <w:rPr>
          <w:iCs/>
          <w:lang w:val="fr-FR"/>
        </w:rPr>
        <w:t>elles avaient donc un objectif légitime au regard du paragraphe 2 de l</w:t>
      </w:r>
      <w:r w:rsidR="004C779B">
        <w:rPr>
          <w:iCs/>
          <w:lang w:val="fr-FR"/>
        </w:rPr>
        <w:t>’</w:t>
      </w:r>
      <w:r w:rsidRPr="008C5851">
        <w:rPr>
          <w:lang w:val="fr-FR"/>
        </w:rPr>
        <w:t xml:space="preserve">article 8 de la </w:t>
      </w:r>
      <w:r w:rsidRPr="00156710">
        <w:rPr>
          <w:lang w:val="fr-FR"/>
        </w:rPr>
        <w:t>Convention de sauvegarde des droits de l</w:t>
      </w:r>
      <w:r w:rsidR="004C779B">
        <w:rPr>
          <w:lang w:val="fr-FR"/>
        </w:rPr>
        <w:t>’</w:t>
      </w:r>
      <w:r w:rsidRPr="00156710">
        <w:rPr>
          <w:lang w:val="fr-FR"/>
        </w:rPr>
        <w:t>homme et des libertés fondamentales</w:t>
      </w:r>
      <w:r>
        <w:rPr>
          <w:lang w:val="fr-FR"/>
        </w:rPr>
        <w:t xml:space="preserve"> (</w:t>
      </w:r>
      <w:r w:rsidRPr="008C5851">
        <w:rPr>
          <w:lang w:val="fr-FR"/>
        </w:rPr>
        <w:t>Convention européenne des droits de l</w:t>
      </w:r>
      <w:r w:rsidR="004C779B">
        <w:rPr>
          <w:lang w:val="fr-FR"/>
        </w:rPr>
        <w:t>’</w:t>
      </w:r>
      <w:r w:rsidRPr="008C5851">
        <w:rPr>
          <w:lang w:val="fr-FR"/>
        </w:rPr>
        <w:t>homme</w:t>
      </w:r>
      <w:r>
        <w:rPr>
          <w:lang w:val="fr-FR"/>
        </w:rPr>
        <w:t>)</w:t>
      </w:r>
      <w:r w:rsidRPr="008C5851">
        <w:rPr>
          <w:lang w:val="fr-FR"/>
        </w:rPr>
        <w:t xml:space="preserve">. </w:t>
      </w:r>
      <w:r>
        <w:rPr>
          <w:lang w:val="fr-FR"/>
        </w:rPr>
        <w:t xml:space="preserve">Il affirme, </w:t>
      </w:r>
      <w:r w:rsidRPr="008C5851">
        <w:rPr>
          <w:lang w:val="fr-FR"/>
        </w:rPr>
        <w:t>s</w:t>
      </w:r>
      <w:r w:rsidR="004C779B">
        <w:rPr>
          <w:lang w:val="fr-FR"/>
        </w:rPr>
        <w:t>’</w:t>
      </w:r>
      <w:r w:rsidRPr="008C5851">
        <w:rPr>
          <w:lang w:val="fr-FR"/>
        </w:rPr>
        <w:t>agissant de mettre en balance l</w:t>
      </w:r>
      <w:r w:rsidR="004C779B">
        <w:rPr>
          <w:lang w:val="fr-FR"/>
        </w:rPr>
        <w:t>’</w:t>
      </w:r>
      <w:r w:rsidRPr="008C5851">
        <w:rPr>
          <w:lang w:val="fr-FR"/>
        </w:rPr>
        <w:t>intérêt général et l</w:t>
      </w:r>
      <w:r w:rsidR="004C779B">
        <w:rPr>
          <w:lang w:val="fr-FR"/>
        </w:rPr>
        <w:t>’</w:t>
      </w:r>
      <w:r w:rsidRPr="008C5851">
        <w:rPr>
          <w:lang w:val="fr-FR"/>
        </w:rPr>
        <w:t xml:space="preserve">intérêt individuel, </w:t>
      </w:r>
      <w:r>
        <w:rPr>
          <w:lang w:val="fr-FR"/>
        </w:rPr>
        <w:t xml:space="preserve">que </w:t>
      </w:r>
      <w:r w:rsidRPr="008C5851">
        <w:rPr>
          <w:lang w:val="fr-FR"/>
        </w:rPr>
        <w:t xml:space="preserve">limiter le droit à des prestations sociales </w:t>
      </w:r>
      <w:r>
        <w:rPr>
          <w:lang w:val="fr-FR"/>
        </w:rPr>
        <w:t xml:space="preserve">intégrales </w:t>
      </w:r>
      <w:r w:rsidRPr="008C5851">
        <w:rPr>
          <w:lang w:val="fr-FR"/>
        </w:rPr>
        <w:t>à ceux qui sont en séjour régulier aux Pays-Bas est objectif et raisonnable. Ceci est vrai même si les personnes concernées sont présentes dans le pays depuis longtemps et que l</w:t>
      </w:r>
      <w:r w:rsidR="004C779B">
        <w:rPr>
          <w:lang w:val="fr-FR"/>
        </w:rPr>
        <w:t>’</w:t>
      </w:r>
      <w:r w:rsidRPr="008C5851">
        <w:rPr>
          <w:lang w:val="fr-FR"/>
        </w:rPr>
        <w:t xml:space="preserve">État le savait. Le fait </w:t>
      </w:r>
      <w:r>
        <w:rPr>
          <w:lang w:val="fr-FR"/>
        </w:rPr>
        <w:t xml:space="preserve">de séjourner </w:t>
      </w:r>
      <w:r w:rsidRPr="008C5851">
        <w:rPr>
          <w:lang w:val="fr-FR"/>
        </w:rPr>
        <w:t>aux Pays-Bas pendant une longue période sans permis de séjour valide n</w:t>
      </w:r>
      <w:r w:rsidR="004C779B">
        <w:rPr>
          <w:lang w:val="fr-FR"/>
        </w:rPr>
        <w:t>’</w:t>
      </w:r>
      <w:r w:rsidRPr="008C5851">
        <w:rPr>
          <w:lang w:val="fr-FR"/>
        </w:rPr>
        <w:t xml:space="preserve">est pas </w:t>
      </w:r>
      <w:r>
        <w:rPr>
          <w:lang w:val="fr-FR"/>
        </w:rPr>
        <w:t xml:space="preserve">un attribut inhérent à la </w:t>
      </w:r>
      <w:r w:rsidRPr="008C5851">
        <w:rPr>
          <w:lang w:val="fr-FR"/>
        </w:rPr>
        <w:t>personne et immuable</w:t>
      </w:r>
      <w:r>
        <w:rPr>
          <w:lang w:val="fr-FR"/>
        </w:rPr>
        <w:t>, mais implique un</w:t>
      </w:r>
      <w:r w:rsidRPr="008C5851">
        <w:rPr>
          <w:lang w:val="fr-FR"/>
        </w:rPr>
        <w:t xml:space="preserve"> choix. </w:t>
      </w:r>
      <w:r>
        <w:rPr>
          <w:lang w:val="fr-FR"/>
        </w:rPr>
        <w:t>Le souci de l</w:t>
      </w:r>
      <w:r w:rsidR="004C779B">
        <w:rPr>
          <w:lang w:val="fr-FR"/>
        </w:rPr>
        <w:t>’</w:t>
      </w:r>
      <w:r w:rsidRPr="008C5851">
        <w:rPr>
          <w:lang w:val="fr-FR"/>
        </w:rPr>
        <w:t xml:space="preserve">intérêt général </w:t>
      </w:r>
      <w:r>
        <w:rPr>
          <w:lang w:val="fr-FR"/>
        </w:rPr>
        <w:t>exclut qu</w:t>
      </w:r>
      <w:r w:rsidR="004C779B">
        <w:rPr>
          <w:lang w:val="fr-FR"/>
        </w:rPr>
        <w:t>’</w:t>
      </w:r>
      <w:r>
        <w:rPr>
          <w:lang w:val="fr-FR"/>
        </w:rPr>
        <w:t xml:space="preserve">une personne sans permis de séjour valide puisse </w:t>
      </w:r>
      <w:r w:rsidRPr="008C5851">
        <w:rPr>
          <w:lang w:val="fr-FR"/>
        </w:rPr>
        <w:t xml:space="preserve">réclamer des prestations </w:t>
      </w:r>
      <w:r>
        <w:rPr>
          <w:lang w:val="fr-FR"/>
        </w:rPr>
        <w:t xml:space="preserve">et ait ainsi </w:t>
      </w:r>
      <w:r w:rsidRPr="008C5851">
        <w:rPr>
          <w:lang w:val="fr-FR"/>
        </w:rPr>
        <w:t xml:space="preserve">la possibilité de prolonger ce qui est en principe un séjour irrégulier. </w:t>
      </w:r>
    </w:p>
    <w:p w14:paraId="5EE477A5" w14:textId="77777777" w:rsidR="00D43D1B" w:rsidRPr="008C5851" w:rsidRDefault="00D43D1B" w:rsidP="00D43D1B">
      <w:pPr>
        <w:pStyle w:val="SingleTxtG"/>
        <w:rPr>
          <w:lang w:val="fr-FR"/>
        </w:rPr>
      </w:pPr>
      <w:r w:rsidRPr="008C5851">
        <w:rPr>
          <w:lang w:val="fr-FR"/>
        </w:rPr>
        <w:t>4.</w:t>
      </w:r>
      <w:r>
        <w:rPr>
          <w:lang w:val="fr-FR"/>
        </w:rPr>
        <w:t>9</w:t>
      </w:r>
      <w:r w:rsidRPr="008C5851">
        <w:rPr>
          <w:lang w:val="fr-FR"/>
        </w:rPr>
        <w:tab/>
        <w:t>S</w:t>
      </w:r>
      <w:r w:rsidR="004C779B">
        <w:rPr>
          <w:lang w:val="fr-FR"/>
        </w:rPr>
        <w:t>’</w:t>
      </w:r>
      <w:r w:rsidRPr="008C5851">
        <w:rPr>
          <w:lang w:val="fr-FR"/>
        </w:rPr>
        <w:t xml:space="preserve">agissant des griefs </w:t>
      </w:r>
      <w:r>
        <w:rPr>
          <w:lang w:val="fr-FR"/>
        </w:rPr>
        <w:t>qu</w:t>
      </w:r>
      <w:r w:rsidRPr="008C5851">
        <w:rPr>
          <w:lang w:val="fr-FR"/>
        </w:rPr>
        <w:t>e l</w:t>
      </w:r>
      <w:r w:rsidR="004C779B">
        <w:rPr>
          <w:lang w:val="fr-FR"/>
        </w:rPr>
        <w:t>’</w:t>
      </w:r>
      <w:r w:rsidRPr="008C5851">
        <w:rPr>
          <w:lang w:val="fr-FR"/>
        </w:rPr>
        <w:t>auteure tire de l</w:t>
      </w:r>
      <w:r w:rsidR="004C779B">
        <w:rPr>
          <w:lang w:val="fr-FR"/>
        </w:rPr>
        <w:t>’</w:t>
      </w:r>
      <w:r w:rsidRPr="008C5851">
        <w:rPr>
          <w:lang w:val="fr-FR"/>
        </w:rPr>
        <w:t>article 23 du Pacte, l</w:t>
      </w:r>
      <w:r w:rsidR="004C779B">
        <w:rPr>
          <w:lang w:val="fr-FR"/>
        </w:rPr>
        <w:t>’</w:t>
      </w:r>
      <w:r w:rsidRPr="008C5851">
        <w:rPr>
          <w:lang w:val="fr-FR"/>
        </w:rPr>
        <w:t>État partie affirme que cette disposition n</w:t>
      </w:r>
      <w:r w:rsidR="004C779B">
        <w:rPr>
          <w:lang w:val="fr-FR"/>
        </w:rPr>
        <w:t>’</w:t>
      </w:r>
      <w:r w:rsidRPr="008C5851">
        <w:rPr>
          <w:lang w:val="fr-FR"/>
        </w:rPr>
        <w:t xml:space="preserve">énonce aucune obligation de verser une </w:t>
      </w:r>
      <w:r w:rsidRPr="008C5851">
        <w:rPr>
          <w:spacing w:val="-2"/>
          <w:lang w:val="fr-FR"/>
        </w:rPr>
        <w:t xml:space="preserve">indemnité pour </w:t>
      </w:r>
      <w:r w:rsidRPr="00D43D1B">
        <w:rPr>
          <w:lang w:val="fr-FR"/>
        </w:rPr>
        <w:t>enfant</w:t>
      </w:r>
      <w:r w:rsidRPr="008C5851">
        <w:rPr>
          <w:spacing w:val="-2"/>
          <w:lang w:val="fr-FR"/>
        </w:rPr>
        <w:t xml:space="preserve"> à charge. Quant à l</w:t>
      </w:r>
      <w:r w:rsidR="004C779B">
        <w:rPr>
          <w:spacing w:val="-2"/>
          <w:lang w:val="fr-FR"/>
        </w:rPr>
        <w:t>’</w:t>
      </w:r>
      <w:r w:rsidRPr="008C5851">
        <w:rPr>
          <w:spacing w:val="-2"/>
          <w:lang w:val="fr-FR"/>
        </w:rPr>
        <w:t>argument de l</w:t>
      </w:r>
      <w:r w:rsidR="004C779B">
        <w:rPr>
          <w:spacing w:val="-2"/>
          <w:lang w:val="fr-FR"/>
        </w:rPr>
        <w:t>’</w:t>
      </w:r>
      <w:r w:rsidRPr="008C5851">
        <w:rPr>
          <w:spacing w:val="-2"/>
          <w:lang w:val="fr-FR"/>
        </w:rPr>
        <w:t>auteure selon l</w:t>
      </w:r>
      <w:r>
        <w:rPr>
          <w:spacing w:val="-2"/>
          <w:lang w:val="fr-FR"/>
        </w:rPr>
        <w:t>e</w:t>
      </w:r>
      <w:r w:rsidRPr="008C5851">
        <w:rPr>
          <w:spacing w:val="-2"/>
          <w:lang w:val="fr-FR"/>
        </w:rPr>
        <w:t>quel e</w:t>
      </w:r>
      <w:r>
        <w:rPr>
          <w:spacing w:val="-2"/>
          <w:lang w:val="fr-FR"/>
        </w:rPr>
        <w:t>lle</w:t>
      </w:r>
      <w:r w:rsidRPr="008C5851">
        <w:rPr>
          <w:spacing w:val="-2"/>
          <w:lang w:val="fr-FR"/>
        </w:rPr>
        <w:t xml:space="preserve"> a</w:t>
      </w:r>
      <w:r>
        <w:rPr>
          <w:spacing w:val="-2"/>
          <w:lang w:val="fr-FR"/>
        </w:rPr>
        <w:t>urait</w:t>
      </w:r>
      <w:r w:rsidRPr="008C5851">
        <w:rPr>
          <w:spacing w:val="-2"/>
          <w:lang w:val="fr-FR"/>
        </w:rPr>
        <w:t xml:space="preserve"> </w:t>
      </w:r>
      <w:r>
        <w:rPr>
          <w:spacing w:val="-2"/>
          <w:lang w:val="fr-FR"/>
        </w:rPr>
        <w:t xml:space="preserve">vécu </w:t>
      </w:r>
      <w:r w:rsidRPr="008C5851">
        <w:rPr>
          <w:spacing w:val="-2"/>
          <w:lang w:val="fr-FR"/>
        </w:rPr>
        <w:t>dans la pauvreté</w:t>
      </w:r>
      <w:r w:rsidRPr="005C4FBF">
        <w:rPr>
          <w:spacing w:val="-2"/>
          <w:lang w:val="fr-FR"/>
        </w:rPr>
        <w:t xml:space="preserve"> </w:t>
      </w:r>
      <w:r w:rsidRPr="008C5851">
        <w:rPr>
          <w:spacing w:val="-2"/>
          <w:lang w:val="fr-FR"/>
        </w:rPr>
        <w:t>parce qu</w:t>
      </w:r>
      <w:r w:rsidR="004C779B">
        <w:rPr>
          <w:spacing w:val="-2"/>
          <w:lang w:val="fr-FR"/>
        </w:rPr>
        <w:t>’</w:t>
      </w:r>
      <w:r>
        <w:rPr>
          <w:spacing w:val="-2"/>
          <w:lang w:val="fr-FR"/>
        </w:rPr>
        <w:t>elle n</w:t>
      </w:r>
      <w:r w:rsidR="004C779B">
        <w:rPr>
          <w:spacing w:val="-2"/>
          <w:lang w:val="fr-FR"/>
        </w:rPr>
        <w:t>’</w:t>
      </w:r>
      <w:r>
        <w:rPr>
          <w:spacing w:val="-2"/>
          <w:lang w:val="fr-FR"/>
        </w:rPr>
        <w:t>avait pas reçu</w:t>
      </w:r>
      <w:r w:rsidRPr="008C5851">
        <w:rPr>
          <w:spacing w:val="-2"/>
          <w:lang w:val="fr-FR"/>
        </w:rPr>
        <w:t xml:space="preserve"> cette indemnité, l</w:t>
      </w:r>
      <w:r w:rsidR="004C779B">
        <w:rPr>
          <w:spacing w:val="-2"/>
          <w:lang w:val="fr-FR"/>
        </w:rPr>
        <w:t>’</w:t>
      </w:r>
      <w:r w:rsidRPr="008C5851">
        <w:rPr>
          <w:spacing w:val="-2"/>
          <w:lang w:val="fr-FR"/>
        </w:rPr>
        <w:t xml:space="preserve">État partie </w:t>
      </w:r>
      <w:r>
        <w:rPr>
          <w:spacing w:val="-2"/>
          <w:lang w:val="fr-FR"/>
        </w:rPr>
        <w:t xml:space="preserve">objecte </w:t>
      </w:r>
      <w:r w:rsidRPr="008C5851">
        <w:rPr>
          <w:spacing w:val="-2"/>
          <w:lang w:val="fr-FR"/>
        </w:rPr>
        <w:t>que l</w:t>
      </w:r>
      <w:r w:rsidR="004C779B">
        <w:rPr>
          <w:spacing w:val="-2"/>
          <w:lang w:val="fr-FR"/>
        </w:rPr>
        <w:t>’</w:t>
      </w:r>
      <w:r w:rsidRPr="008C5851">
        <w:rPr>
          <w:spacing w:val="-2"/>
          <w:lang w:val="fr-FR"/>
        </w:rPr>
        <w:t>indemnité générale pour enfant à charge n</w:t>
      </w:r>
      <w:r w:rsidR="004C779B">
        <w:rPr>
          <w:spacing w:val="-2"/>
          <w:lang w:val="fr-FR"/>
        </w:rPr>
        <w:t>’</w:t>
      </w:r>
      <w:r w:rsidRPr="008C5851">
        <w:rPr>
          <w:spacing w:val="-2"/>
          <w:lang w:val="fr-FR"/>
        </w:rPr>
        <w:t>est pas un complément de revenu et n</w:t>
      </w:r>
      <w:r w:rsidR="004C779B">
        <w:rPr>
          <w:spacing w:val="-2"/>
          <w:lang w:val="fr-FR"/>
        </w:rPr>
        <w:t>’</w:t>
      </w:r>
      <w:r w:rsidRPr="008C5851">
        <w:rPr>
          <w:spacing w:val="-2"/>
          <w:lang w:val="fr-FR"/>
        </w:rPr>
        <w:t xml:space="preserve">est pas versée aux familles </w:t>
      </w:r>
      <w:r>
        <w:rPr>
          <w:spacing w:val="-2"/>
          <w:lang w:val="fr-FR"/>
        </w:rPr>
        <w:t xml:space="preserve">avec </w:t>
      </w:r>
      <w:r w:rsidRPr="008C5851">
        <w:rPr>
          <w:spacing w:val="-2"/>
          <w:lang w:val="fr-FR"/>
        </w:rPr>
        <w:t>enfants dans le but de leur assurer un revenu minimum de subsistance</w:t>
      </w:r>
      <w:r w:rsidRPr="008C5851">
        <w:rPr>
          <w:lang w:val="fr-FR"/>
        </w:rPr>
        <w:t>.</w:t>
      </w:r>
    </w:p>
    <w:p w14:paraId="7DCEE93B" w14:textId="77777777" w:rsidR="00D43D1B" w:rsidRPr="008C5851" w:rsidRDefault="00D43D1B" w:rsidP="00D43D1B">
      <w:pPr>
        <w:pStyle w:val="SingleTxtG"/>
        <w:rPr>
          <w:lang w:val="fr-FR"/>
        </w:rPr>
      </w:pPr>
      <w:r w:rsidRPr="008C5851">
        <w:rPr>
          <w:lang w:val="fr-FR"/>
        </w:rPr>
        <w:t>4.</w:t>
      </w:r>
      <w:r>
        <w:rPr>
          <w:lang w:val="fr-FR"/>
        </w:rPr>
        <w:t>10</w:t>
      </w:r>
      <w:r w:rsidRPr="008C5851">
        <w:rPr>
          <w:lang w:val="fr-FR"/>
        </w:rPr>
        <w:tab/>
        <w:t xml:space="preserve">En ce qui concerne les griefs </w:t>
      </w:r>
      <w:r>
        <w:rPr>
          <w:lang w:val="fr-FR"/>
        </w:rPr>
        <w:t>qu</w:t>
      </w:r>
      <w:r w:rsidRPr="008C5851">
        <w:rPr>
          <w:lang w:val="fr-FR"/>
        </w:rPr>
        <w:t>e l</w:t>
      </w:r>
      <w:r w:rsidR="004C779B">
        <w:rPr>
          <w:lang w:val="fr-FR"/>
        </w:rPr>
        <w:t>’</w:t>
      </w:r>
      <w:r w:rsidRPr="008C5851">
        <w:rPr>
          <w:lang w:val="fr-FR"/>
        </w:rPr>
        <w:t>auteure tire de l</w:t>
      </w:r>
      <w:r w:rsidR="004C779B">
        <w:rPr>
          <w:lang w:val="fr-FR"/>
        </w:rPr>
        <w:t>’</w:t>
      </w:r>
      <w:r w:rsidRPr="008C5851">
        <w:rPr>
          <w:lang w:val="fr-FR"/>
        </w:rPr>
        <w:t>article 24 du Pacte, l</w:t>
      </w:r>
      <w:r w:rsidR="004C779B">
        <w:rPr>
          <w:lang w:val="fr-FR"/>
        </w:rPr>
        <w:t>’</w:t>
      </w:r>
      <w:r w:rsidRPr="008C5851">
        <w:rPr>
          <w:lang w:val="fr-FR"/>
        </w:rPr>
        <w:t xml:space="preserve">État partie </w:t>
      </w:r>
      <w:r>
        <w:rPr>
          <w:lang w:val="fr-FR"/>
        </w:rPr>
        <w:t>affirme</w:t>
      </w:r>
      <w:r w:rsidRPr="008C5851">
        <w:rPr>
          <w:lang w:val="fr-FR"/>
        </w:rPr>
        <w:t xml:space="preserve"> que dans le cadre de cette disposition, ce sont les parents qui sont au premier chef responsables, y compris financièrement, de leurs enfants</w:t>
      </w:r>
      <w:r>
        <w:rPr>
          <w:lang w:val="fr-FR"/>
        </w:rPr>
        <w:t>,</w:t>
      </w:r>
      <w:r w:rsidRPr="008C5851">
        <w:rPr>
          <w:lang w:val="fr-FR"/>
        </w:rPr>
        <w:t xml:space="preserve"> et que cette disposition ne saurait être lue comme </w:t>
      </w:r>
      <w:r>
        <w:rPr>
          <w:lang w:val="fr-FR"/>
        </w:rPr>
        <w:t xml:space="preserve">obligeant </w:t>
      </w:r>
      <w:r w:rsidRPr="008C5851">
        <w:rPr>
          <w:lang w:val="fr-FR"/>
        </w:rPr>
        <w:t>l</w:t>
      </w:r>
      <w:r w:rsidR="004C779B">
        <w:rPr>
          <w:lang w:val="fr-FR"/>
        </w:rPr>
        <w:t>’</w:t>
      </w:r>
      <w:r w:rsidRPr="008C5851">
        <w:rPr>
          <w:lang w:val="fr-FR"/>
        </w:rPr>
        <w:t xml:space="preserve">État </w:t>
      </w:r>
      <w:r>
        <w:rPr>
          <w:lang w:val="fr-FR"/>
        </w:rPr>
        <w:t xml:space="preserve">à </w:t>
      </w:r>
      <w:r w:rsidRPr="008C5851">
        <w:rPr>
          <w:lang w:val="fr-FR"/>
        </w:rPr>
        <w:t xml:space="preserve">verser une </w:t>
      </w:r>
      <w:r w:rsidRPr="008C5851">
        <w:rPr>
          <w:spacing w:val="-2"/>
          <w:lang w:val="fr-FR"/>
        </w:rPr>
        <w:t>indemnité pour enfant à charge. À cet égard, l</w:t>
      </w:r>
      <w:r w:rsidR="004C779B">
        <w:rPr>
          <w:spacing w:val="-2"/>
          <w:lang w:val="fr-FR"/>
        </w:rPr>
        <w:t>’</w:t>
      </w:r>
      <w:r w:rsidRPr="008C5851">
        <w:rPr>
          <w:spacing w:val="-2"/>
          <w:lang w:val="fr-FR"/>
        </w:rPr>
        <w:t>État partie indique que l</w:t>
      </w:r>
      <w:r w:rsidR="004C779B">
        <w:rPr>
          <w:spacing w:val="-2"/>
          <w:lang w:val="fr-FR"/>
        </w:rPr>
        <w:t>’</w:t>
      </w:r>
      <w:r w:rsidRPr="008C5851">
        <w:rPr>
          <w:spacing w:val="-2"/>
          <w:lang w:val="fr-FR"/>
        </w:rPr>
        <w:t xml:space="preserve">indemnité générale pour </w:t>
      </w:r>
      <w:r w:rsidRPr="00D43D1B">
        <w:rPr>
          <w:lang w:val="fr-FR"/>
        </w:rPr>
        <w:t>enfant</w:t>
      </w:r>
      <w:r w:rsidRPr="008C5851">
        <w:rPr>
          <w:spacing w:val="-2"/>
          <w:lang w:val="fr-FR"/>
        </w:rPr>
        <w:t xml:space="preserve"> à charge</w:t>
      </w:r>
      <w:r>
        <w:rPr>
          <w:spacing w:val="-2"/>
          <w:lang w:val="fr-FR"/>
        </w:rPr>
        <w:t xml:space="preserve"> n</w:t>
      </w:r>
      <w:r>
        <w:rPr>
          <w:lang w:val="fr-FR"/>
        </w:rPr>
        <w:t>e constitue pas un droit conféré à</w:t>
      </w:r>
      <w:r w:rsidRPr="009B67E3">
        <w:rPr>
          <w:spacing w:val="-2"/>
          <w:lang w:val="fr-FR"/>
        </w:rPr>
        <w:t xml:space="preserve"> l</w:t>
      </w:r>
      <w:r w:rsidR="004C779B">
        <w:rPr>
          <w:spacing w:val="-2"/>
          <w:lang w:val="fr-FR"/>
        </w:rPr>
        <w:t>’</w:t>
      </w:r>
      <w:r w:rsidRPr="009B67E3">
        <w:rPr>
          <w:spacing w:val="-2"/>
          <w:lang w:val="fr-FR"/>
        </w:rPr>
        <w:t>enfant</w:t>
      </w:r>
      <w:r w:rsidRPr="008C5851">
        <w:rPr>
          <w:spacing w:val="-2"/>
          <w:lang w:val="fr-FR"/>
        </w:rPr>
        <w:t xml:space="preserve">. Dans le cadre du </w:t>
      </w:r>
      <w:r>
        <w:rPr>
          <w:spacing w:val="-2"/>
          <w:lang w:val="fr-FR"/>
        </w:rPr>
        <w:t>système</w:t>
      </w:r>
      <w:r w:rsidRPr="008C5851">
        <w:rPr>
          <w:spacing w:val="-2"/>
          <w:lang w:val="fr-FR"/>
        </w:rPr>
        <w:t xml:space="preserve"> néerlandais de sécurité sociale, les enfants ne bénéficient qu</w:t>
      </w:r>
      <w:r w:rsidR="004C779B">
        <w:rPr>
          <w:spacing w:val="-2"/>
          <w:lang w:val="fr-FR"/>
        </w:rPr>
        <w:t>’</w:t>
      </w:r>
      <w:r w:rsidRPr="008C5851">
        <w:rPr>
          <w:spacing w:val="-2"/>
          <w:lang w:val="fr-FR"/>
        </w:rPr>
        <w:t xml:space="preserve">indirectement de la sécurité sociale, car </w:t>
      </w:r>
      <w:r>
        <w:rPr>
          <w:spacing w:val="-2"/>
          <w:lang w:val="fr-FR"/>
        </w:rPr>
        <w:t>c</w:t>
      </w:r>
      <w:r w:rsidR="004C779B">
        <w:rPr>
          <w:spacing w:val="-2"/>
          <w:lang w:val="fr-FR"/>
        </w:rPr>
        <w:t>’</w:t>
      </w:r>
      <w:r>
        <w:rPr>
          <w:spacing w:val="-2"/>
          <w:lang w:val="fr-FR"/>
        </w:rPr>
        <w:t xml:space="preserve">est </w:t>
      </w:r>
      <w:r w:rsidRPr="008C5851">
        <w:rPr>
          <w:spacing w:val="-2"/>
          <w:lang w:val="fr-FR"/>
        </w:rPr>
        <w:t xml:space="preserve">aux parents </w:t>
      </w:r>
      <w:r>
        <w:rPr>
          <w:spacing w:val="-2"/>
          <w:lang w:val="fr-FR"/>
        </w:rPr>
        <w:t xml:space="preserve">et aux personnes qui prennent soin des enfants que </w:t>
      </w:r>
      <w:r w:rsidRPr="008C5851">
        <w:rPr>
          <w:spacing w:val="-2"/>
          <w:lang w:val="fr-FR"/>
        </w:rPr>
        <w:t>sont accordées les prestations</w:t>
      </w:r>
      <w:r w:rsidRPr="008C5851">
        <w:rPr>
          <w:lang w:val="fr-FR"/>
        </w:rPr>
        <w:t>.</w:t>
      </w:r>
    </w:p>
    <w:p w14:paraId="05D669AF" w14:textId="77777777" w:rsidR="00D43D1B" w:rsidRPr="008C5851" w:rsidRDefault="00D43D1B" w:rsidP="00D43D1B">
      <w:pPr>
        <w:pStyle w:val="H23G"/>
        <w:rPr>
          <w:lang w:val="fr-FR"/>
        </w:rPr>
      </w:pPr>
      <w:r w:rsidRPr="008C5851">
        <w:rPr>
          <w:lang w:val="fr-FR"/>
        </w:rPr>
        <w:tab/>
      </w:r>
      <w:r w:rsidRPr="008C5851">
        <w:rPr>
          <w:lang w:val="fr-FR"/>
        </w:rPr>
        <w:tab/>
        <w:t>Commentaires de l</w:t>
      </w:r>
      <w:r w:rsidR="004C779B">
        <w:rPr>
          <w:lang w:val="fr-FR"/>
        </w:rPr>
        <w:t>’</w:t>
      </w:r>
      <w:r w:rsidRPr="008C5851">
        <w:rPr>
          <w:lang w:val="fr-FR"/>
        </w:rPr>
        <w:t>auteure sur les observations de l</w:t>
      </w:r>
      <w:r w:rsidR="004C779B">
        <w:rPr>
          <w:lang w:val="fr-FR"/>
        </w:rPr>
        <w:t>’</w:t>
      </w:r>
      <w:r w:rsidRPr="008C5851">
        <w:rPr>
          <w:lang w:val="fr-FR"/>
        </w:rPr>
        <w:t>État partie</w:t>
      </w:r>
    </w:p>
    <w:p w14:paraId="0DA10BC2" w14:textId="77777777" w:rsidR="00D43D1B" w:rsidRPr="008C5851" w:rsidRDefault="00D43D1B" w:rsidP="00D43D1B">
      <w:pPr>
        <w:pStyle w:val="SingleTxtG"/>
        <w:rPr>
          <w:lang w:val="fr-FR"/>
        </w:rPr>
      </w:pPr>
      <w:r w:rsidRPr="008C5851">
        <w:rPr>
          <w:lang w:val="fr-FR"/>
        </w:rPr>
        <w:t>5.1</w:t>
      </w:r>
      <w:r w:rsidRPr="008C5851">
        <w:rPr>
          <w:lang w:val="fr-FR"/>
        </w:rPr>
        <w:tab/>
        <w:t>Le 27 juin 2016, l</w:t>
      </w:r>
      <w:r w:rsidR="004C779B">
        <w:rPr>
          <w:lang w:val="fr-FR"/>
        </w:rPr>
        <w:t>’</w:t>
      </w:r>
      <w:r w:rsidRPr="008C5851">
        <w:rPr>
          <w:lang w:val="fr-FR"/>
        </w:rPr>
        <w:t>auteure a communiqué ses commentaires sur les observations de l</w:t>
      </w:r>
      <w:r w:rsidR="004C779B">
        <w:rPr>
          <w:lang w:val="fr-FR"/>
        </w:rPr>
        <w:t>’</w:t>
      </w:r>
      <w:r w:rsidRPr="008C5851">
        <w:rPr>
          <w:lang w:val="fr-FR"/>
        </w:rPr>
        <w:t xml:space="preserve">État partie. </w:t>
      </w:r>
      <w:r>
        <w:rPr>
          <w:lang w:val="fr-FR"/>
        </w:rPr>
        <w:t xml:space="preserve">En ce qui concerne </w:t>
      </w:r>
      <w:r w:rsidRPr="008C5851">
        <w:rPr>
          <w:lang w:val="fr-FR"/>
        </w:rPr>
        <w:t>l</w:t>
      </w:r>
      <w:r w:rsidR="004C779B">
        <w:rPr>
          <w:lang w:val="fr-FR"/>
        </w:rPr>
        <w:t>’</w:t>
      </w:r>
      <w:r w:rsidRPr="008C5851">
        <w:rPr>
          <w:lang w:val="fr-FR"/>
        </w:rPr>
        <w:t>argument de l</w:t>
      </w:r>
      <w:r w:rsidR="004C779B">
        <w:rPr>
          <w:lang w:val="fr-FR"/>
        </w:rPr>
        <w:t>’</w:t>
      </w:r>
      <w:r w:rsidRPr="008C5851">
        <w:rPr>
          <w:lang w:val="fr-FR"/>
        </w:rPr>
        <w:t xml:space="preserve">État partie selon lequel </w:t>
      </w:r>
      <w:r w:rsidRPr="00D43D1B">
        <w:rPr>
          <w:lang w:val="fr-FR"/>
        </w:rPr>
        <w:t>l</w:t>
      </w:r>
      <w:r w:rsidR="004C779B">
        <w:rPr>
          <w:lang w:val="fr-FR"/>
        </w:rPr>
        <w:t>’</w:t>
      </w:r>
      <w:r w:rsidRPr="00D43D1B">
        <w:rPr>
          <w:lang w:val="fr-FR"/>
        </w:rPr>
        <w:t>indemnité</w:t>
      </w:r>
      <w:r w:rsidRPr="008C5851">
        <w:rPr>
          <w:spacing w:val="-2"/>
          <w:lang w:val="fr-FR"/>
        </w:rPr>
        <w:t xml:space="preserve"> générale pour enfant à charge n</w:t>
      </w:r>
      <w:r w:rsidR="004C779B">
        <w:rPr>
          <w:spacing w:val="-2"/>
          <w:lang w:val="fr-FR"/>
        </w:rPr>
        <w:t>’</w:t>
      </w:r>
      <w:r w:rsidRPr="008C5851">
        <w:rPr>
          <w:spacing w:val="-2"/>
          <w:lang w:val="fr-FR"/>
        </w:rPr>
        <w:t>est pas un complément de revenu</w:t>
      </w:r>
      <w:r>
        <w:rPr>
          <w:spacing w:val="-2"/>
          <w:lang w:val="fr-FR"/>
        </w:rPr>
        <w:t>,</w:t>
      </w:r>
      <w:r w:rsidRPr="008C5851">
        <w:rPr>
          <w:spacing w:val="-2"/>
          <w:lang w:val="fr-FR"/>
        </w:rPr>
        <w:t xml:space="preserve"> </w:t>
      </w:r>
      <w:r>
        <w:rPr>
          <w:lang w:val="fr-FR"/>
        </w:rPr>
        <w:t>e</w:t>
      </w:r>
      <w:r w:rsidRPr="008C5851">
        <w:rPr>
          <w:lang w:val="fr-FR"/>
        </w:rPr>
        <w:t xml:space="preserve">lle </w:t>
      </w:r>
      <w:r>
        <w:rPr>
          <w:lang w:val="fr-FR"/>
        </w:rPr>
        <w:t>affirme</w:t>
      </w:r>
      <w:r w:rsidRPr="008C5851">
        <w:rPr>
          <w:lang w:val="fr-FR"/>
        </w:rPr>
        <w:t xml:space="preserve"> que dans le cadre de ce dispositif, la nécessité d</w:t>
      </w:r>
      <w:r w:rsidR="004C779B">
        <w:rPr>
          <w:lang w:val="fr-FR"/>
        </w:rPr>
        <w:t>’</w:t>
      </w:r>
      <w:r w:rsidRPr="008C5851">
        <w:rPr>
          <w:lang w:val="fr-FR"/>
        </w:rPr>
        <w:t xml:space="preserve">un revenu minimum de subsistance est présumée et que cette indemnité a donc </w:t>
      </w:r>
      <w:r>
        <w:rPr>
          <w:lang w:val="fr-FR"/>
        </w:rPr>
        <w:t xml:space="preserve">bien </w:t>
      </w:r>
      <w:r w:rsidRPr="008C5851">
        <w:rPr>
          <w:lang w:val="fr-FR"/>
        </w:rPr>
        <w:t>pour fonction d</w:t>
      </w:r>
      <w:r w:rsidR="004C779B">
        <w:rPr>
          <w:lang w:val="fr-FR"/>
        </w:rPr>
        <w:t>’</w:t>
      </w:r>
      <w:r w:rsidRPr="008C5851">
        <w:rPr>
          <w:lang w:val="fr-FR"/>
        </w:rPr>
        <w:t xml:space="preserve">assurer </w:t>
      </w:r>
      <w:r>
        <w:rPr>
          <w:lang w:val="fr-FR"/>
        </w:rPr>
        <w:t xml:space="preserve">aux </w:t>
      </w:r>
      <w:r w:rsidRPr="008C5851">
        <w:rPr>
          <w:lang w:val="fr-FR"/>
        </w:rPr>
        <w:t>famille</w:t>
      </w:r>
      <w:r>
        <w:rPr>
          <w:lang w:val="fr-FR"/>
        </w:rPr>
        <w:t>s</w:t>
      </w:r>
      <w:r w:rsidRPr="008C5851">
        <w:rPr>
          <w:lang w:val="fr-FR"/>
        </w:rPr>
        <w:t xml:space="preserve"> un tel revenu. </w:t>
      </w:r>
    </w:p>
    <w:p w14:paraId="764CD941" w14:textId="77777777" w:rsidR="00D43D1B" w:rsidRPr="008C5851" w:rsidRDefault="00D43D1B" w:rsidP="00D43D1B">
      <w:pPr>
        <w:pStyle w:val="SingleTxtG"/>
        <w:rPr>
          <w:iCs/>
          <w:lang w:val="fr-FR"/>
        </w:rPr>
      </w:pPr>
      <w:r w:rsidRPr="008C5851">
        <w:rPr>
          <w:lang w:val="fr-FR"/>
        </w:rPr>
        <w:t>5.2</w:t>
      </w:r>
      <w:r w:rsidRPr="008C5851">
        <w:rPr>
          <w:lang w:val="fr-FR"/>
        </w:rPr>
        <w:tab/>
      </w:r>
      <w:r>
        <w:rPr>
          <w:lang w:val="fr-FR"/>
        </w:rPr>
        <w:t>En outre, l</w:t>
      </w:r>
      <w:r w:rsidR="004C779B">
        <w:rPr>
          <w:lang w:val="fr-FR"/>
        </w:rPr>
        <w:t>’</w:t>
      </w:r>
      <w:r>
        <w:rPr>
          <w:lang w:val="fr-FR"/>
        </w:rPr>
        <w:t xml:space="preserve">auteure soutient </w:t>
      </w:r>
      <w:r w:rsidRPr="008C5851">
        <w:rPr>
          <w:lang w:val="fr-FR"/>
        </w:rPr>
        <w:t xml:space="preserve">que le montant mensuel de 218 euros qui lui a été versé en application de </w:t>
      </w:r>
      <w:r>
        <w:rPr>
          <w:lang w:val="fr-FR"/>
        </w:rPr>
        <w:t>l</w:t>
      </w:r>
      <w:r w:rsidR="004C779B">
        <w:rPr>
          <w:lang w:val="fr-FR"/>
        </w:rPr>
        <w:t>’</w:t>
      </w:r>
      <w:r>
        <w:rPr>
          <w:lang w:val="fr-FR"/>
        </w:rPr>
        <w:t>ordonnance relative à certaines catégories d</w:t>
      </w:r>
      <w:r w:rsidR="004C779B">
        <w:rPr>
          <w:lang w:val="fr-FR"/>
        </w:rPr>
        <w:t>’</w:t>
      </w:r>
      <w:r>
        <w:rPr>
          <w:lang w:val="fr-FR"/>
        </w:rPr>
        <w:t>étrangers</w:t>
      </w:r>
      <w:r w:rsidRPr="008C5851">
        <w:rPr>
          <w:lang w:val="fr-FR"/>
        </w:rPr>
        <w:t xml:space="preserve"> </w:t>
      </w:r>
      <w:r>
        <w:rPr>
          <w:lang w:val="fr-FR"/>
        </w:rPr>
        <w:t>était</w:t>
      </w:r>
      <w:r w:rsidRPr="008C5851">
        <w:rPr>
          <w:lang w:val="fr-FR"/>
        </w:rPr>
        <w:t xml:space="preserve"> bien inférieur au revenu minimum de subsistance nécessaire pour vivre aux Pays-Bas. Elle </w:t>
      </w:r>
      <w:r>
        <w:rPr>
          <w:lang w:val="fr-FR"/>
        </w:rPr>
        <w:t>réaffirme ce qu</w:t>
      </w:r>
      <w:r w:rsidR="004C779B">
        <w:rPr>
          <w:lang w:val="fr-FR"/>
        </w:rPr>
        <w:t>’</w:t>
      </w:r>
      <w:r>
        <w:rPr>
          <w:lang w:val="fr-FR"/>
        </w:rPr>
        <w:t>elle a avancé dans</w:t>
      </w:r>
      <w:r w:rsidRPr="008C5851">
        <w:rPr>
          <w:lang w:val="fr-FR"/>
        </w:rPr>
        <w:t xml:space="preserve"> sa communication du 10 juin 2013 et</w:t>
      </w:r>
      <w:r>
        <w:rPr>
          <w:lang w:val="fr-FR"/>
        </w:rPr>
        <w:t xml:space="preserve"> soutient </w:t>
      </w:r>
      <w:r w:rsidRPr="008C5851">
        <w:rPr>
          <w:lang w:val="fr-FR"/>
        </w:rPr>
        <w:t>que dans son cas et celui de sa fille</w:t>
      </w:r>
      <w:r>
        <w:rPr>
          <w:lang w:val="fr-FR"/>
        </w:rPr>
        <w:t>,</w:t>
      </w:r>
      <w:r w:rsidRPr="008C5851">
        <w:rPr>
          <w:lang w:val="fr-FR"/>
        </w:rPr>
        <w:t xml:space="preserve"> les circonstances étaient exceptionnelles et justifiaient donc qu</w:t>
      </w:r>
      <w:r w:rsidR="004C779B">
        <w:rPr>
          <w:lang w:val="fr-FR"/>
        </w:rPr>
        <w:t>’</w:t>
      </w:r>
      <w:r w:rsidRPr="008C5851">
        <w:rPr>
          <w:lang w:val="fr-FR"/>
        </w:rPr>
        <w:t>il soit fait droit à sa demande d</w:t>
      </w:r>
      <w:r w:rsidR="004C779B">
        <w:rPr>
          <w:lang w:val="fr-FR"/>
        </w:rPr>
        <w:t>’</w:t>
      </w:r>
      <w:r w:rsidRPr="008C5851">
        <w:rPr>
          <w:lang w:val="fr-FR"/>
        </w:rPr>
        <w:t>indemnité générale pour enfant à charge.</w:t>
      </w:r>
    </w:p>
    <w:p w14:paraId="7D379343" w14:textId="77777777" w:rsidR="00D43D1B" w:rsidRPr="008C5851" w:rsidRDefault="00D43D1B" w:rsidP="00D43D1B">
      <w:pPr>
        <w:pStyle w:val="H23G"/>
        <w:rPr>
          <w:lang w:val="fr-FR"/>
        </w:rPr>
      </w:pPr>
      <w:r w:rsidRPr="008C5851">
        <w:rPr>
          <w:lang w:val="fr-FR"/>
        </w:rPr>
        <w:tab/>
      </w:r>
      <w:r w:rsidRPr="008C5851">
        <w:rPr>
          <w:lang w:val="fr-FR"/>
        </w:rPr>
        <w:tab/>
        <w:t>Délibérations du Comité</w:t>
      </w:r>
    </w:p>
    <w:p w14:paraId="58196CE5" w14:textId="77777777" w:rsidR="00D43D1B" w:rsidRPr="008C5851" w:rsidRDefault="00D43D1B" w:rsidP="00D43D1B">
      <w:pPr>
        <w:pStyle w:val="H4G"/>
        <w:rPr>
          <w:lang w:val="fr-FR"/>
        </w:rPr>
      </w:pPr>
      <w:r w:rsidRPr="008C5851">
        <w:rPr>
          <w:lang w:val="fr-FR"/>
        </w:rPr>
        <w:tab/>
      </w:r>
      <w:r w:rsidRPr="008C5851">
        <w:rPr>
          <w:lang w:val="fr-FR"/>
        </w:rPr>
        <w:tab/>
        <w:t>Examen de la recevabilité</w:t>
      </w:r>
    </w:p>
    <w:p w14:paraId="62737B42" w14:textId="77777777" w:rsidR="00D43D1B" w:rsidRPr="008C5851" w:rsidRDefault="00D43D1B" w:rsidP="00D43D1B">
      <w:pPr>
        <w:pStyle w:val="SingleTxtG"/>
        <w:rPr>
          <w:lang w:val="fr-FR"/>
        </w:rPr>
      </w:pPr>
      <w:r w:rsidRPr="008C5851">
        <w:rPr>
          <w:lang w:val="fr-FR"/>
        </w:rPr>
        <w:t>6.1</w:t>
      </w:r>
      <w:r w:rsidRPr="008C5851">
        <w:rPr>
          <w:lang w:val="fr-FR"/>
        </w:rPr>
        <w:tab/>
        <w:t>Avant d</w:t>
      </w:r>
      <w:r w:rsidR="004C779B">
        <w:rPr>
          <w:lang w:val="fr-FR"/>
        </w:rPr>
        <w:t>’</w:t>
      </w:r>
      <w:r w:rsidRPr="008C5851">
        <w:rPr>
          <w:lang w:val="fr-FR"/>
        </w:rPr>
        <w:t>examiner tout grief formulé dans une communication, le Comité des droits de l</w:t>
      </w:r>
      <w:r w:rsidR="004C779B">
        <w:rPr>
          <w:lang w:val="fr-FR"/>
        </w:rPr>
        <w:t>’</w:t>
      </w:r>
      <w:r w:rsidRPr="008C5851">
        <w:rPr>
          <w:lang w:val="fr-FR"/>
        </w:rPr>
        <w:t>homme doit, conformément à l</w:t>
      </w:r>
      <w:r w:rsidR="004C779B">
        <w:rPr>
          <w:lang w:val="fr-FR"/>
        </w:rPr>
        <w:t>’</w:t>
      </w:r>
      <w:r w:rsidRPr="008C5851">
        <w:rPr>
          <w:lang w:val="fr-FR"/>
        </w:rPr>
        <w:t>article 9</w:t>
      </w:r>
      <w:r>
        <w:rPr>
          <w:lang w:val="fr-FR"/>
        </w:rPr>
        <w:t>7</w:t>
      </w:r>
      <w:r w:rsidRPr="008C5851">
        <w:rPr>
          <w:lang w:val="fr-FR"/>
        </w:rPr>
        <w:t xml:space="preserve"> de son règlement intérieur, déterminer si la communication est recevable au regard du Protocole facultatif se rapportant au Pacte.</w:t>
      </w:r>
    </w:p>
    <w:p w14:paraId="034C8CAA" w14:textId="77777777" w:rsidR="00D43D1B" w:rsidRPr="008C5851" w:rsidRDefault="00D43D1B" w:rsidP="00D43D1B">
      <w:pPr>
        <w:pStyle w:val="SingleTxtG"/>
        <w:rPr>
          <w:bCs/>
          <w:lang w:val="fr-FR"/>
        </w:rPr>
      </w:pPr>
      <w:r w:rsidRPr="008C5851">
        <w:rPr>
          <w:lang w:val="fr-FR"/>
        </w:rPr>
        <w:lastRenderedPageBreak/>
        <w:t>6.2</w:t>
      </w:r>
      <w:r w:rsidRPr="008C5851">
        <w:rPr>
          <w:lang w:val="fr-FR"/>
        </w:rPr>
        <w:tab/>
        <w:t>Le Comité s</w:t>
      </w:r>
      <w:r w:rsidR="004C779B">
        <w:rPr>
          <w:lang w:val="fr-FR"/>
        </w:rPr>
        <w:t>’</w:t>
      </w:r>
      <w:r w:rsidRPr="008C5851">
        <w:rPr>
          <w:lang w:val="fr-FR"/>
        </w:rPr>
        <w:t>est assuré, comme il est tenu de le faire conformément au paragraphe 2 a) de l</w:t>
      </w:r>
      <w:r w:rsidR="004C779B">
        <w:rPr>
          <w:bCs/>
          <w:lang w:val="fr-FR"/>
        </w:rPr>
        <w:t>’</w:t>
      </w:r>
      <w:r w:rsidRPr="008C5851">
        <w:rPr>
          <w:bCs/>
          <w:lang w:val="fr-FR"/>
        </w:rPr>
        <w:t xml:space="preserve">article 5 du Protocole facultatif, que la même </w:t>
      </w:r>
      <w:r w:rsidRPr="00D43D1B">
        <w:rPr>
          <w:lang w:val="fr-FR"/>
        </w:rPr>
        <w:t>question</w:t>
      </w:r>
      <w:r w:rsidRPr="008C5851">
        <w:rPr>
          <w:bCs/>
          <w:lang w:val="fr-FR"/>
        </w:rPr>
        <w:t xml:space="preserve"> n</w:t>
      </w:r>
      <w:r w:rsidR="004C779B">
        <w:rPr>
          <w:bCs/>
          <w:lang w:val="fr-FR"/>
        </w:rPr>
        <w:t>’</w:t>
      </w:r>
      <w:r w:rsidRPr="008C5851">
        <w:rPr>
          <w:bCs/>
          <w:lang w:val="fr-FR"/>
        </w:rPr>
        <w:t>était pas déjà en cours d</w:t>
      </w:r>
      <w:r w:rsidR="004C779B">
        <w:rPr>
          <w:bCs/>
          <w:lang w:val="fr-FR"/>
        </w:rPr>
        <w:t>’</w:t>
      </w:r>
      <w:r w:rsidRPr="008C5851">
        <w:rPr>
          <w:bCs/>
          <w:lang w:val="fr-FR"/>
        </w:rPr>
        <w:t>examen devant une autre instance internationale d</w:t>
      </w:r>
      <w:r w:rsidR="004C779B">
        <w:rPr>
          <w:bCs/>
          <w:lang w:val="fr-FR"/>
        </w:rPr>
        <w:t>’</w:t>
      </w:r>
      <w:r w:rsidRPr="008C5851">
        <w:rPr>
          <w:bCs/>
          <w:lang w:val="fr-FR"/>
        </w:rPr>
        <w:t>enquête ou de règlement.</w:t>
      </w:r>
    </w:p>
    <w:p w14:paraId="2ABD08A3" w14:textId="77777777" w:rsidR="00D43D1B" w:rsidRDefault="00D43D1B" w:rsidP="00D43D1B">
      <w:pPr>
        <w:pStyle w:val="SingleTxtG"/>
        <w:rPr>
          <w:bCs/>
          <w:lang w:val="fr-FR"/>
        </w:rPr>
      </w:pPr>
      <w:r w:rsidRPr="008C5851">
        <w:rPr>
          <w:bCs/>
          <w:lang w:val="fr-FR"/>
        </w:rPr>
        <w:t>6.3</w:t>
      </w:r>
      <w:r w:rsidRPr="008C5851">
        <w:rPr>
          <w:bCs/>
          <w:lang w:val="fr-FR"/>
        </w:rPr>
        <w:tab/>
      </w:r>
      <w:r>
        <w:rPr>
          <w:bCs/>
          <w:lang w:val="fr-FR"/>
        </w:rPr>
        <w:t>Le Comité prend note de l</w:t>
      </w:r>
      <w:r w:rsidR="004C779B">
        <w:rPr>
          <w:bCs/>
          <w:lang w:val="fr-FR"/>
        </w:rPr>
        <w:t>’</w:t>
      </w:r>
      <w:r>
        <w:rPr>
          <w:bCs/>
          <w:lang w:val="fr-FR"/>
        </w:rPr>
        <w:t>affirmation de l</w:t>
      </w:r>
      <w:r w:rsidR="004C779B">
        <w:rPr>
          <w:bCs/>
          <w:lang w:val="fr-FR"/>
        </w:rPr>
        <w:t>’</w:t>
      </w:r>
      <w:r>
        <w:rPr>
          <w:bCs/>
          <w:lang w:val="fr-FR"/>
        </w:rPr>
        <w:t>auteure indiquant qu</w:t>
      </w:r>
      <w:r w:rsidR="004C779B">
        <w:rPr>
          <w:bCs/>
          <w:lang w:val="fr-FR"/>
        </w:rPr>
        <w:t>’</w:t>
      </w:r>
      <w:r>
        <w:rPr>
          <w:bCs/>
          <w:lang w:val="fr-FR"/>
        </w:rPr>
        <w:t>elle a épuisé tous les recours internes utiles dont elle disposait. En l</w:t>
      </w:r>
      <w:r w:rsidR="004C779B">
        <w:rPr>
          <w:bCs/>
          <w:lang w:val="fr-FR"/>
        </w:rPr>
        <w:t>’</w:t>
      </w:r>
      <w:r>
        <w:rPr>
          <w:bCs/>
          <w:lang w:val="fr-FR"/>
        </w:rPr>
        <w:t>absence de toute objection de l</w:t>
      </w:r>
      <w:r w:rsidR="004C779B">
        <w:rPr>
          <w:bCs/>
          <w:lang w:val="fr-FR"/>
        </w:rPr>
        <w:t>’</w:t>
      </w:r>
      <w:r>
        <w:rPr>
          <w:bCs/>
          <w:lang w:val="fr-FR"/>
        </w:rPr>
        <w:t>État partie à cet égard, le Comité considère que les conditions énoncées au paragraphe 2 b) de l</w:t>
      </w:r>
      <w:r w:rsidR="004C779B">
        <w:rPr>
          <w:bCs/>
          <w:lang w:val="fr-FR"/>
        </w:rPr>
        <w:t>’</w:t>
      </w:r>
      <w:r>
        <w:rPr>
          <w:bCs/>
          <w:lang w:val="fr-FR"/>
        </w:rPr>
        <w:t>article 5 du Protocole facultatif sont satisfaites.</w:t>
      </w:r>
    </w:p>
    <w:p w14:paraId="31011582" w14:textId="77777777" w:rsidR="00D43D1B" w:rsidRPr="008C5851" w:rsidRDefault="00D43D1B" w:rsidP="00D43D1B">
      <w:pPr>
        <w:pStyle w:val="SingleTxtG"/>
        <w:rPr>
          <w:bCs/>
          <w:lang w:val="fr-FR"/>
        </w:rPr>
      </w:pPr>
      <w:r>
        <w:rPr>
          <w:bCs/>
          <w:lang w:val="fr-FR"/>
        </w:rPr>
        <w:t>6.4</w:t>
      </w:r>
      <w:r>
        <w:rPr>
          <w:bCs/>
          <w:lang w:val="fr-FR"/>
        </w:rPr>
        <w:tab/>
      </w:r>
      <w:r w:rsidRPr="008C5851">
        <w:rPr>
          <w:bCs/>
          <w:lang w:val="fr-FR"/>
        </w:rPr>
        <w:t xml:space="preserve">Le Comité prend note de </w:t>
      </w:r>
      <w:r w:rsidRPr="00D43D1B">
        <w:rPr>
          <w:lang w:val="fr-FR"/>
        </w:rPr>
        <w:t>l</w:t>
      </w:r>
      <w:r w:rsidR="004C779B">
        <w:rPr>
          <w:lang w:val="fr-FR"/>
        </w:rPr>
        <w:t>’</w:t>
      </w:r>
      <w:r w:rsidRPr="00D43D1B">
        <w:rPr>
          <w:lang w:val="fr-FR"/>
        </w:rPr>
        <w:t>argument</w:t>
      </w:r>
      <w:r w:rsidRPr="008C5851">
        <w:rPr>
          <w:bCs/>
          <w:lang w:val="fr-FR"/>
        </w:rPr>
        <w:t xml:space="preserve"> de l</w:t>
      </w:r>
      <w:r w:rsidR="004C779B">
        <w:rPr>
          <w:bCs/>
          <w:lang w:val="fr-FR"/>
        </w:rPr>
        <w:t>’</w:t>
      </w:r>
      <w:r w:rsidRPr="008C5851">
        <w:rPr>
          <w:bCs/>
          <w:lang w:val="fr-FR"/>
        </w:rPr>
        <w:t>État partie selon lequel la procuration du conseil de l</w:t>
      </w:r>
      <w:r w:rsidR="004C779B">
        <w:rPr>
          <w:bCs/>
          <w:lang w:val="fr-FR"/>
        </w:rPr>
        <w:t>’</w:t>
      </w:r>
      <w:r w:rsidRPr="008C5851">
        <w:rPr>
          <w:bCs/>
          <w:lang w:val="fr-FR"/>
        </w:rPr>
        <w:t>auteure n</w:t>
      </w:r>
      <w:r w:rsidR="004C779B">
        <w:rPr>
          <w:bCs/>
          <w:lang w:val="fr-FR"/>
        </w:rPr>
        <w:t>’</w:t>
      </w:r>
      <w:r w:rsidRPr="008C5851">
        <w:rPr>
          <w:bCs/>
          <w:lang w:val="fr-FR"/>
        </w:rPr>
        <w:t>est pas datée et qu</w:t>
      </w:r>
      <w:r w:rsidR="004C779B">
        <w:rPr>
          <w:bCs/>
          <w:lang w:val="fr-FR"/>
        </w:rPr>
        <w:t>’</w:t>
      </w:r>
      <w:r w:rsidRPr="008C5851">
        <w:rPr>
          <w:bCs/>
          <w:lang w:val="fr-FR"/>
        </w:rPr>
        <w:t xml:space="preserve">il existe donc des doutes sur le point de savoir si le conseil représentait </w:t>
      </w:r>
      <w:r>
        <w:rPr>
          <w:bCs/>
          <w:lang w:val="fr-FR"/>
        </w:rPr>
        <w:t xml:space="preserve">bien </w:t>
      </w:r>
      <w:r w:rsidRPr="008C5851">
        <w:rPr>
          <w:bCs/>
          <w:lang w:val="fr-FR"/>
        </w:rPr>
        <w:t>l</w:t>
      </w:r>
      <w:r w:rsidR="004C779B">
        <w:rPr>
          <w:bCs/>
          <w:lang w:val="fr-FR"/>
        </w:rPr>
        <w:t>’</w:t>
      </w:r>
      <w:r w:rsidRPr="008C5851">
        <w:rPr>
          <w:bCs/>
          <w:lang w:val="fr-FR"/>
        </w:rPr>
        <w:t>auteure</w:t>
      </w:r>
      <w:r>
        <w:rPr>
          <w:bCs/>
          <w:lang w:val="fr-FR"/>
        </w:rPr>
        <w:t xml:space="preserve"> aux fins de la présente communication</w:t>
      </w:r>
      <w:r w:rsidRPr="008C5851">
        <w:rPr>
          <w:bCs/>
          <w:lang w:val="fr-FR"/>
        </w:rPr>
        <w:t>. Le Comité note toutefois que cette procuration, signée par l</w:t>
      </w:r>
      <w:r w:rsidR="004C779B">
        <w:rPr>
          <w:bCs/>
          <w:lang w:val="fr-FR"/>
        </w:rPr>
        <w:t>’</w:t>
      </w:r>
      <w:r w:rsidRPr="008C5851">
        <w:rPr>
          <w:bCs/>
          <w:lang w:val="fr-FR"/>
        </w:rPr>
        <w:t xml:space="preserve">auteure, autorise ce conseil à présenter au Comité une communication individuelle </w:t>
      </w:r>
      <w:r>
        <w:rPr>
          <w:bCs/>
          <w:lang w:val="fr-FR"/>
        </w:rPr>
        <w:t xml:space="preserve">au nom de celle-ci </w:t>
      </w:r>
      <w:r w:rsidRPr="008C5851">
        <w:rPr>
          <w:bCs/>
          <w:lang w:val="fr-FR"/>
        </w:rPr>
        <w:t>et à la r</w:t>
      </w:r>
      <w:r>
        <w:rPr>
          <w:bCs/>
          <w:lang w:val="fr-FR"/>
        </w:rPr>
        <w:t>eprésenter devant le Comité. Le </w:t>
      </w:r>
      <w:r w:rsidRPr="008C5851">
        <w:rPr>
          <w:bCs/>
          <w:lang w:val="fr-FR"/>
        </w:rPr>
        <w:t>Comité considère donc qu</w:t>
      </w:r>
      <w:r w:rsidR="004C779B">
        <w:rPr>
          <w:bCs/>
          <w:lang w:val="fr-FR"/>
        </w:rPr>
        <w:t>’</w:t>
      </w:r>
      <w:r w:rsidRPr="008C5851">
        <w:rPr>
          <w:bCs/>
          <w:lang w:val="fr-FR"/>
        </w:rPr>
        <w:t>il n</w:t>
      </w:r>
      <w:r w:rsidR="004C779B">
        <w:rPr>
          <w:bCs/>
          <w:lang w:val="fr-FR"/>
        </w:rPr>
        <w:t>’</w:t>
      </w:r>
      <w:r w:rsidRPr="008C5851">
        <w:rPr>
          <w:bCs/>
          <w:lang w:val="fr-FR"/>
        </w:rPr>
        <w:t>est pas empêché par l</w:t>
      </w:r>
      <w:r w:rsidR="004C779B">
        <w:rPr>
          <w:bCs/>
          <w:lang w:val="fr-FR"/>
        </w:rPr>
        <w:t>’</w:t>
      </w:r>
      <w:r w:rsidRPr="008C5851">
        <w:rPr>
          <w:bCs/>
          <w:lang w:val="fr-FR"/>
        </w:rPr>
        <w:t>article </w:t>
      </w:r>
      <w:r>
        <w:rPr>
          <w:bCs/>
          <w:lang w:val="fr-FR"/>
        </w:rPr>
        <w:t xml:space="preserve">premier </w:t>
      </w:r>
      <w:r w:rsidRPr="008C5851">
        <w:rPr>
          <w:bCs/>
          <w:lang w:val="fr-FR"/>
        </w:rPr>
        <w:t>du Protocole facultatif d</w:t>
      </w:r>
      <w:r w:rsidR="004C779B">
        <w:rPr>
          <w:bCs/>
          <w:lang w:val="fr-FR"/>
        </w:rPr>
        <w:t>’</w:t>
      </w:r>
      <w:r w:rsidRPr="008C5851">
        <w:rPr>
          <w:bCs/>
          <w:lang w:val="fr-FR"/>
        </w:rPr>
        <w:t>examiner la communication.</w:t>
      </w:r>
    </w:p>
    <w:p w14:paraId="11A2E0DD" w14:textId="77777777" w:rsidR="00D43D1B" w:rsidRPr="008C5851" w:rsidRDefault="00D43D1B" w:rsidP="00D43D1B">
      <w:pPr>
        <w:pStyle w:val="SingleTxtG"/>
        <w:rPr>
          <w:bCs/>
          <w:lang w:val="fr-FR"/>
        </w:rPr>
      </w:pPr>
      <w:r w:rsidRPr="008C5851">
        <w:rPr>
          <w:bCs/>
          <w:lang w:val="fr-FR"/>
        </w:rPr>
        <w:t>6.</w:t>
      </w:r>
      <w:r>
        <w:rPr>
          <w:bCs/>
          <w:lang w:val="fr-FR"/>
        </w:rPr>
        <w:t>5</w:t>
      </w:r>
      <w:r w:rsidRPr="008C5851">
        <w:rPr>
          <w:bCs/>
          <w:lang w:val="fr-FR"/>
        </w:rPr>
        <w:tab/>
        <w:t>En l</w:t>
      </w:r>
      <w:r w:rsidR="004C779B">
        <w:rPr>
          <w:bCs/>
          <w:lang w:val="fr-FR"/>
        </w:rPr>
        <w:t>’</w:t>
      </w:r>
      <w:r w:rsidRPr="008C5851">
        <w:rPr>
          <w:bCs/>
          <w:lang w:val="fr-FR"/>
        </w:rPr>
        <w:t>absence d</w:t>
      </w:r>
      <w:r w:rsidR="004C779B">
        <w:rPr>
          <w:bCs/>
          <w:lang w:val="fr-FR"/>
        </w:rPr>
        <w:t>’</w:t>
      </w:r>
      <w:r w:rsidRPr="008C5851">
        <w:rPr>
          <w:bCs/>
          <w:lang w:val="fr-FR"/>
        </w:rPr>
        <w:t xml:space="preserve">autres </w:t>
      </w:r>
      <w:r w:rsidRPr="00D43D1B">
        <w:rPr>
          <w:lang w:val="fr-FR"/>
        </w:rPr>
        <w:t>contestations</w:t>
      </w:r>
      <w:r w:rsidRPr="008C5851">
        <w:rPr>
          <w:bCs/>
          <w:lang w:val="fr-FR"/>
        </w:rPr>
        <w:t xml:space="preserve"> de la recevabilité de la comm</w:t>
      </w:r>
      <w:r>
        <w:rPr>
          <w:bCs/>
          <w:lang w:val="fr-FR"/>
        </w:rPr>
        <w:t xml:space="preserve">unication, le Comité déclare </w:t>
      </w:r>
      <w:r>
        <w:t>les griefs que l</w:t>
      </w:r>
      <w:r w:rsidR="004C779B">
        <w:t>’</w:t>
      </w:r>
      <w:r>
        <w:t xml:space="preserve">auteur tire </w:t>
      </w:r>
      <w:r>
        <w:rPr>
          <w:bCs/>
          <w:lang w:val="fr-FR"/>
        </w:rPr>
        <w:t>des articles 23, 24 et 26 du Pacte</w:t>
      </w:r>
      <w:r w:rsidRPr="008C5851">
        <w:rPr>
          <w:bCs/>
          <w:lang w:val="fr-FR"/>
        </w:rPr>
        <w:t xml:space="preserve"> recevable</w:t>
      </w:r>
      <w:r>
        <w:rPr>
          <w:bCs/>
          <w:lang w:val="fr-FR"/>
        </w:rPr>
        <w:t>s</w:t>
      </w:r>
      <w:r w:rsidRPr="008C5851">
        <w:rPr>
          <w:bCs/>
          <w:lang w:val="fr-FR"/>
        </w:rPr>
        <w:t xml:space="preserve"> et proc</w:t>
      </w:r>
      <w:r>
        <w:rPr>
          <w:bCs/>
          <w:lang w:val="fr-FR"/>
        </w:rPr>
        <w:t xml:space="preserve">ède </w:t>
      </w:r>
      <w:r w:rsidRPr="008C5851">
        <w:rPr>
          <w:bCs/>
          <w:lang w:val="fr-FR"/>
        </w:rPr>
        <w:t xml:space="preserve">à </w:t>
      </w:r>
      <w:r>
        <w:rPr>
          <w:bCs/>
          <w:lang w:val="fr-FR"/>
        </w:rPr>
        <w:t>leur</w:t>
      </w:r>
      <w:r w:rsidRPr="008C5851">
        <w:rPr>
          <w:bCs/>
          <w:lang w:val="fr-FR"/>
        </w:rPr>
        <w:t xml:space="preserve"> examen au fond.</w:t>
      </w:r>
    </w:p>
    <w:p w14:paraId="30994073" w14:textId="77777777" w:rsidR="00D43D1B" w:rsidRPr="008C5851" w:rsidRDefault="00D43D1B" w:rsidP="00D43D1B">
      <w:pPr>
        <w:pStyle w:val="H4G"/>
        <w:rPr>
          <w:lang w:val="fr-FR"/>
        </w:rPr>
      </w:pPr>
      <w:r w:rsidRPr="008C5851">
        <w:rPr>
          <w:lang w:val="fr-FR"/>
        </w:rPr>
        <w:tab/>
      </w:r>
      <w:r w:rsidRPr="008C5851">
        <w:rPr>
          <w:lang w:val="fr-FR"/>
        </w:rPr>
        <w:tab/>
        <w:t>Examen au fond</w:t>
      </w:r>
    </w:p>
    <w:p w14:paraId="024A3E2B" w14:textId="77777777" w:rsidR="00D43D1B" w:rsidRPr="008C5851" w:rsidRDefault="00D43D1B" w:rsidP="00D43D1B">
      <w:pPr>
        <w:pStyle w:val="SingleTxtG"/>
        <w:rPr>
          <w:lang w:val="fr-FR"/>
        </w:rPr>
      </w:pPr>
      <w:r w:rsidRPr="008C5851">
        <w:rPr>
          <w:lang w:val="fr-FR"/>
        </w:rPr>
        <w:t>7.1</w:t>
      </w:r>
      <w:r w:rsidRPr="008C5851">
        <w:rPr>
          <w:lang w:val="fr-FR"/>
        </w:rPr>
        <w:tab/>
      </w:r>
      <w:r>
        <w:rPr>
          <w:lang w:val="fr-FR"/>
        </w:rPr>
        <w:t>C</w:t>
      </w:r>
      <w:r w:rsidRPr="008C5851">
        <w:rPr>
          <w:lang w:val="fr-FR"/>
        </w:rPr>
        <w:t>onformément au paragraphe 1 de l</w:t>
      </w:r>
      <w:r w:rsidR="004C779B">
        <w:rPr>
          <w:lang w:val="fr-FR"/>
        </w:rPr>
        <w:t>’</w:t>
      </w:r>
      <w:r w:rsidRPr="008C5851">
        <w:rPr>
          <w:lang w:val="fr-FR"/>
        </w:rPr>
        <w:t>article 5 du Protocole facultatif</w:t>
      </w:r>
      <w:r>
        <w:rPr>
          <w:rStyle w:val="Marquedecommentaire"/>
        </w:rPr>
        <w:t>, l</w:t>
      </w:r>
      <w:r w:rsidRPr="008C5851">
        <w:rPr>
          <w:lang w:val="fr-FR"/>
        </w:rPr>
        <w:t>e Comité des droits de l</w:t>
      </w:r>
      <w:r w:rsidR="004C779B">
        <w:rPr>
          <w:lang w:val="fr-FR"/>
        </w:rPr>
        <w:t>’</w:t>
      </w:r>
      <w:r w:rsidRPr="008C5851">
        <w:rPr>
          <w:lang w:val="fr-FR"/>
        </w:rPr>
        <w:t xml:space="preserve">homme a examiné la </w:t>
      </w:r>
      <w:r>
        <w:rPr>
          <w:lang w:val="fr-FR"/>
        </w:rPr>
        <w:t xml:space="preserve">présente </w:t>
      </w:r>
      <w:r w:rsidRPr="008C5851">
        <w:rPr>
          <w:lang w:val="fr-FR"/>
        </w:rPr>
        <w:t xml:space="preserve">communication </w:t>
      </w:r>
      <w:r>
        <w:rPr>
          <w:lang w:val="fr-FR"/>
        </w:rPr>
        <w:t xml:space="preserve">en tenant compte de </w:t>
      </w:r>
      <w:r w:rsidRPr="008C5851">
        <w:rPr>
          <w:lang w:val="fr-FR"/>
        </w:rPr>
        <w:t>toutes les informations qu</w:t>
      </w:r>
      <w:r>
        <w:rPr>
          <w:lang w:val="fr-FR"/>
        </w:rPr>
        <w:t>e</w:t>
      </w:r>
      <w:r w:rsidRPr="008C5851">
        <w:rPr>
          <w:lang w:val="fr-FR"/>
        </w:rPr>
        <w:t xml:space="preserve"> lui ont communiquées les parties.</w:t>
      </w:r>
    </w:p>
    <w:p w14:paraId="753FA88C" w14:textId="77777777" w:rsidR="00D43D1B" w:rsidRDefault="00D43D1B" w:rsidP="00D43D1B">
      <w:pPr>
        <w:pStyle w:val="SingleTxtG"/>
        <w:rPr>
          <w:lang w:val="fr-FR"/>
        </w:rPr>
      </w:pPr>
      <w:r w:rsidRPr="008C5851">
        <w:rPr>
          <w:lang w:val="fr-FR"/>
        </w:rPr>
        <w:t>7.2</w:t>
      </w:r>
      <w:r w:rsidRPr="008C5851">
        <w:rPr>
          <w:lang w:val="fr-FR"/>
        </w:rPr>
        <w:tab/>
        <w:t>Le Comité prend note de l</w:t>
      </w:r>
      <w:r w:rsidR="004C779B">
        <w:rPr>
          <w:lang w:val="fr-FR"/>
        </w:rPr>
        <w:t>’</w:t>
      </w:r>
      <w:r w:rsidRPr="008C5851">
        <w:rPr>
          <w:lang w:val="fr-FR"/>
        </w:rPr>
        <w:t>argument de l</w:t>
      </w:r>
      <w:r w:rsidR="004C779B">
        <w:rPr>
          <w:lang w:val="fr-FR"/>
        </w:rPr>
        <w:t>’</w:t>
      </w:r>
      <w:r w:rsidRPr="008C5851">
        <w:rPr>
          <w:lang w:val="fr-FR"/>
        </w:rPr>
        <w:t>auteur</w:t>
      </w:r>
      <w:r>
        <w:rPr>
          <w:lang w:val="fr-FR"/>
        </w:rPr>
        <w:t>e</w:t>
      </w:r>
      <w:r w:rsidRPr="008C5851">
        <w:rPr>
          <w:lang w:val="fr-FR"/>
        </w:rPr>
        <w:t xml:space="preserve"> selon lequel</w:t>
      </w:r>
      <w:r>
        <w:rPr>
          <w:lang w:val="fr-FR"/>
        </w:rPr>
        <w:t>,</w:t>
      </w:r>
      <w:r w:rsidRPr="008C5851">
        <w:rPr>
          <w:lang w:val="fr-FR"/>
        </w:rPr>
        <w:t xml:space="preserve"> en rejetant sa demande d</w:t>
      </w:r>
      <w:r w:rsidR="004C779B">
        <w:rPr>
          <w:lang w:val="fr-FR"/>
        </w:rPr>
        <w:t>’</w:t>
      </w:r>
      <w:r w:rsidRPr="008C5851">
        <w:rPr>
          <w:lang w:val="fr-FR"/>
        </w:rPr>
        <w:t>indemnité</w:t>
      </w:r>
      <w:r>
        <w:rPr>
          <w:lang w:val="fr-FR"/>
        </w:rPr>
        <w:t xml:space="preserve"> générale</w:t>
      </w:r>
      <w:r w:rsidRPr="008C5851">
        <w:rPr>
          <w:lang w:val="fr-FR"/>
        </w:rPr>
        <w:t xml:space="preserve"> pour enfant à charge </w:t>
      </w:r>
      <w:r>
        <w:rPr>
          <w:lang w:val="fr-FR"/>
        </w:rPr>
        <w:t xml:space="preserve">en raison de </w:t>
      </w:r>
      <w:r w:rsidRPr="008C5851">
        <w:rPr>
          <w:lang w:val="fr-FR"/>
        </w:rPr>
        <w:t xml:space="preserve">sa situation </w:t>
      </w:r>
      <w:r>
        <w:rPr>
          <w:lang w:val="fr-FR"/>
        </w:rPr>
        <w:t xml:space="preserve">en instance </w:t>
      </w:r>
      <w:r w:rsidRPr="008C5851">
        <w:rPr>
          <w:lang w:val="fr-FR"/>
        </w:rPr>
        <w:t>au regard de la réglementation relative au séjour, l</w:t>
      </w:r>
      <w:r w:rsidR="004C779B">
        <w:rPr>
          <w:lang w:val="fr-FR"/>
        </w:rPr>
        <w:t>’</w:t>
      </w:r>
      <w:r w:rsidRPr="008C5851">
        <w:rPr>
          <w:lang w:val="fr-FR"/>
        </w:rPr>
        <w:t xml:space="preserve">État partie </w:t>
      </w:r>
      <w:r>
        <w:rPr>
          <w:lang w:val="fr-FR"/>
        </w:rPr>
        <w:t xml:space="preserve">a </w:t>
      </w:r>
      <w:r w:rsidRPr="008C5851">
        <w:rPr>
          <w:lang w:val="fr-FR"/>
        </w:rPr>
        <w:t>opér</w:t>
      </w:r>
      <w:r>
        <w:rPr>
          <w:lang w:val="fr-FR"/>
        </w:rPr>
        <w:t>é</w:t>
      </w:r>
      <w:r w:rsidRPr="008C5851">
        <w:rPr>
          <w:lang w:val="fr-FR"/>
        </w:rPr>
        <w:t xml:space="preserve"> une discrimination </w:t>
      </w:r>
      <w:r>
        <w:t>à son égard et à l</w:t>
      </w:r>
      <w:r w:rsidR="004C779B">
        <w:t>’</w:t>
      </w:r>
      <w:r>
        <w:t>égard de sa fille</w:t>
      </w:r>
      <w:r w:rsidRPr="008C5851">
        <w:rPr>
          <w:lang w:val="fr-FR"/>
        </w:rPr>
        <w:t xml:space="preserve"> en violation des droits qu</w:t>
      </w:r>
      <w:r w:rsidR="004C779B">
        <w:rPr>
          <w:lang w:val="fr-FR"/>
        </w:rPr>
        <w:t>’</w:t>
      </w:r>
      <w:r w:rsidRPr="008C5851">
        <w:rPr>
          <w:lang w:val="fr-FR"/>
        </w:rPr>
        <w:t>elle</w:t>
      </w:r>
      <w:r>
        <w:rPr>
          <w:lang w:val="fr-FR"/>
        </w:rPr>
        <w:t>s</w:t>
      </w:r>
      <w:r w:rsidRPr="008C5851">
        <w:rPr>
          <w:lang w:val="fr-FR"/>
        </w:rPr>
        <w:t xml:space="preserve"> tenai</w:t>
      </w:r>
      <w:r>
        <w:rPr>
          <w:lang w:val="fr-FR"/>
        </w:rPr>
        <w:t>en</w:t>
      </w:r>
      <w:r w:rsidRPr="008C5851">
        <w:rPr>
          <w:lang w:val="fr-FR"/>
        </w:rPr>
        <w:t>t des art</w:t>
      </w:r>
      <w:r>
        <w:rPr>
          <w:lang w:val="fr-FR"/>
        </w:rPr>
        <w:t xml:space="preserve">icles 23, 24 et 26 du Pacte. Il </w:t>
      </w:r>
      <w:r w:rsidRPr="008C5851">
        <w:rPr>
          <w:lang w:val="fr-FR"/>
        </w:rPr>
        <w:t xml:space="preserve">prend note </w:t>
      </w:r>
      <w:r>
        <w:rPr>
          <w:lang w:val="fr-FR"/>
        </w:rPr>
        <w:t xml:space="preserve">également </w:t>
      </w:r>
      <w:r w:rsidRPr="008C5851">
        <w:rPr>
          <w:lang w:val="fr-FR"/>
        </w:rPr>
        <w:t>de l</w:t>
      </w:r>
      <w:r w:rsidR="004C779B">
        <w:rPr>
          <w:lang w:val="fr-FR"/>
        </w:rPr>
        <w:t>’</w:t>
      </w:r>
      <w:r w:rsidRPr="008C5851">
        <w:rPr>
          <w:lang w:val="fr-FR"/>
        </w:rPr>
        <w:t>argument de l</w:t>
      </w:r>
      <w:r w:rsidR="004C779B">
        <w:rPr>
          <w:lang w:val="fr-FR"/>
        </w:rPr>
        <w:t>’</w:t>
      </w:r>
      <w:r w:rsidRPr="008C5851">
        <w:rPr>
          <w:lang w:val="fr-FR"/>
        </w:rPr>
        <w:t xml:space="preserve">État partie selon lequel </w:t>
      </w:r>
      <w:r>
        <w:rPr>
          <w:lang w:val="fr-FR"/>
        </w:rPr>
        <w:t>la limitation du</w:t>
      </w:r>
      <w:r w:rsidRPr="008C5851">
        <w:rPr>
          <w:lang w:val="fr-FR"/>
        </w:rPr>
        <w:t xml:space="preserve"> droit à des prestations sociales </w:t>
      </w:r>
      <w:r>
        <w:rPr>
          <w:lang w:val="fr-FR"/>
        </w:rPr>
        <w:t xml:space="preserve">intégrales </w:t>
      </w:r>
      <w:r w:rsidRPr="008C5851">
        <w:rPr>
          <w:lang w:val="fr-FR"/>
        </w:rPr>
        <w:t xml:space="preserve">aux personnes qui sont en séjour régulier aux Pays-Bas </w:t>
      </w:r>
      <w:r>
        <w:rPr>
          <w:lang w:val="fr-FR"/>
        </w:rPr>
        <w:t xml:space="preserve">répond à un but légitime et </w:t>
      </w:r>
      <w:r w:rsidRPr="008C5851">
        <w:rPr>
          <w:lang w:val="fr-FR"/>
        </w:rPr>
        <w:t>est objecti</w:t>
      </w:r>
      <w:r>
        <w:rPr>
          <w:lang w:val="fr-FR"/>
        </w:rPr>
        <w:t>ve</w:t>
      </w:r>
      <w:r w:rsidRPr="008C5851">
        <w:rPr>
          <w:lang w:val="fr-FR"/>
        </w:rPr>
        <w:t xml:space="preserve"> et raisonnable.</w:t>
      </w:r>
    </w:p>
    <w:p w14:paraId="2631F428" w14:textId="77777777" w:rsidR="00D43D1B" w:rsidRDefault="00D43D1B" w:rsidP="00D43D1B">
      <w:pPr>
        <w:pStyle w:val="SingleTxtG"/>
        <w:rPr>
          <w:lang w:val="fr-FR"/>
        </w:rPr>
      </w:pPr>
      <w:r>
        <w:rPr>
          <w:lang w:val="fr-FR"/>
        </w:rPr>
        <w:t>7.3</w:t>
      </w:r>
      <w:r>
        <w:rPr>
          <w:lang w:val="fr-FR"/>
        </w:rPr>
        <w:tab/>
      </w:r>
      <w:r w:rsidRPr="008C5851">
        <w:rPr>
          <w:lang w:val="fr-FR"/>
        </w:rPr>
        <w:t>Le Comité</w:t>
      </w:r>
      <w:r>
        <w:rPr>
          <w:lang w:val="fr-FR"/>
        </w:rPr>
        <w:t xml:space="preserve">, renvoyant à </w:t>
      </w:r>
      <w:r w:rsidRPr="008C5851">
        <w:rPr>
          <w:lang w:val="fr-FR"/>
        </w:rPr>
        <w:t>sa jurisprudence</w:t>
      </w:r>
      <w:r>
        <w:rPr>
          <w:lang w:val="fr-FR"/>
        </w:rPr>
        <w:t>,</w:t>
      </w:r>
      <w:r w:rsidRPr="008C5851">
        <w:rPr>
          <w:lang w:val="fr-FR"/>
        </w:rPr>
        <w:t xml:space="preserve"> rappelle</w:t>
      </w:r>
      <w:r>
        <w:rPr>
          <w:lang w:val="fr-FR"/>
        </w:rPr>
        <w:t xml:space="preserve"> que</w:t>
      </w:r>
      <w:r w:rsidRPr="008C5851">
        <w:rPr>
          <w:lang w:val="fr-FR"/>
        </w:rPr>
        <w:t xml:space="preserve"> le Pacte n</w:t>
      </w:r>
      <w:r w:rsidR="004C779B">
        <w:rPr>
          <w:lang w:val="fr-FR"/>
        </w:rPr>
        <w:t>’</w:t>
      </w:r>
      <w:r w:rsidRPr="008C5851">
        <w:rPr>
          <w:lang w:val="fr-FR"/>
        </w:rPr>
        <w:t>oblige pas les États parties à adopter une législation de sécurité sociale</w:t>
      </w:r>
      <w:r>
        <w:rPr>
          <w:lang w:val="fr-FR"/>
        </w:rPr>
        <w:t xml:space="preserve"> mais que</w:t>
      </w:r>
      <w:r w:rsidR="009B105C">
        <w:rPr>
          <w:lang w:val="fr-FR"/>
        </w:rPr>
        <w:t>,</w:t>
      </w:r>
      <w:r w:rsidRPr="008C5851">
        <w:rPr>
          <w:lang w:val="fr-FR"/>
        </w:rPr>
        <w:t xml:space="preserve"> s</w:t>
      </w:r>
      <w:r w:rsidR="004C779B">
        <w:rPr>
          <w:lang w:val="fr-FR"/>
        </w:rPr>
        <w:t>’</w:t>
      </w:r>
      <w:r w:rsidRPr="008C5851">
        <w:rPr>
          <w:lang w:val="fr-FR"/>
        </w:rPr>
        <w:t>ils le font</w:t>
      </w:r>
      <w:r w:rsidR="009B105C">
        <w:rPr>
          <w:lang w:val="fr-FR"/>
        </w:rPr>
        <w:t>,</w:t>
      </w:r>
      <w:r w:rsidRPr="008C5851">
        <w:rPr>
          <w:lang w:val="fr-FR"/>
        </w:rPr>
        <w:t xml:space="preserve"> cette législation et son application doivent être conformes à l</w:t>
      </w:r>
      <w:r w:rsidR="004C779B">
        <w:rPr>
          <w:lang w:val="fr-FR"/>
        </w:rPr>
        <w:t>’</w:t>
      </w:r>
      <w:r w:rsidRPr="008C5851">
        <w:rPr>
          <w:lang w:val="fr-FR"/>
        </w:rPr>
        <w:t>article 26 du Pacte</w:t>
      </w:r>
      <w:r w:rsidRPr="001269BA">
        <w:rPr>
          <w:rStyle w:val="Appelnotedebasdep"/>
        </w:rPr>
        <w:footnoteReference w:id="7"/>
      </w:r>
      <w:r w:rsidRPr="008C5851">
        <w:rPr>
          <w:lang w:val="fr-FR"/>
        </w:rPr>
        <w:t>.</w:t>
      </w:r>
    </w:p>
    <w:p w14:paraId="65705F4C" w14:textId="77777777" w:rsidR="00D43D1B" w:rsidRPr="008C5851" w:rsidRDefault="00D43D1B" w:rsidP="00D43D1B">
      <w:pPr>
        <w:pStyle w:val="SingleTxtG"/>
        <w:rPr>
          <w:lang w:val="fr-FR"/>
        </w:rPr>
      </w:pPr>
      <w:r>
        <w:rPr>
          <w:lang w:val="fr-FR"/>
        </w:rPr>
        <w:t>7.4</w:t>
      </w:r>
      <w:r>
        <w:rPr>
          <w:lang w:val="fr-FR"/>
        </w:rPr>
        <w:tab/>
        <w:t xml:space="preserve">Le Comité renvoie à son observation générale </w:t>
      </w:r>
      <w:r w:rsidRPr="006B1E7D">
        <w:rPr>
          <w:rFonts w:eastAsia="MS Mincho"/>
          <w:lang w:val="fr-FR"/>
        </w:rPr>
        <w:t>n</w:t>
      </w:r>
      <w:r w:rsidRPr="006B1E7D">
        <w:rPr>
          <w:rFonts w:eastAsia="MS Mincho"/>
          <w:vertAlign w:val="superscript"/>
          <w:lang w:val="fr-FR"/>
        </w:rPr>
        <w:t>o</w:t>
      </w:r>
      <w:r>
        <w:rPr>
          <w:lang w:val="fr-FR"/>
        </w:rPr>
        <w:t> 18 (1989) sur la non</w:t>
      </w:r>
      <w:r>
        <w:rPr>
          <w:lang w:val="fr-FR"/>
        </w:rPr>
        <w:noBreakHyphen/>
        <w:t xml:space="preserve">discrimination, dans laquelle il a déclaré </w:t>
      </w:r>
      <w:r w:rsidRPr="008C5851">
        <w:rPr>
          <w:lang w:val="fr-FR"/>
        </w:rPr>
        <w:t>que le terme « discrimination », tel qu</w:t>
      </w:r>
      <w:r w:rsidR="004C779B">
        <w:rPr>
          <w:lang w:val="fr-FR"/>
        </w:rPr>
        <w:t>’</w:t>
      </w:r>
      <w:r w:rsidRPr="008C5851">
        <w:rPr>
          <w:lang w:val="fr-FR"/>
        </w:rPr>
        <w:t>il est utilisé dans le Pacte, d</w:t>
      </w:r>
      <w:r>
        <w:rPr>
          <w:lang w:val="fr-FR"/>
        </w:rPr>
        <w:t>evait</w:t>
      </w:r>
      <w:r w:rsidRPr="008C5851">
        <w:rPr>
          <w:lang w:val="fr-FR"/>
        </w:rPr>
        <w:t xml:space="preserve"> être compris comme s</w:t>
      </w:r>
      <w:r w:rsidR="004C779B">
        <w:rPr>
          <w:lang w:val="fr-FR"/>
        </w:rPr>
        <w:t>’</w:t>
      </w:r>
      <w:r w:rsidRPr="008C5851">
        <w:rPr>
          <w:lang w:val="fr-FR"/>
        </w:rPr>
        <w:t>entendant de toute distinction, exclusion, restriction ou préférence fondée notamment sur la race, la couleur, le sexe, la langue, la religion, les opinions politiques ou autres, l</w:t>
      </w:r>
      <w:r w:rsidR="004C779B">
        <w:rPr>
          <w:lang w:val="fr-FR"/>
        </w:rPr>
        <w:t>’</w:t>
      </w:r>
      <w:r w:rsidRPr="008C5851">
        <w:rPr>
          <w:lang w:val="fr-FR"/>
        </w:rPr>
        <w:t xml:space="preserve">origine nationale ou sociale, </w:t>
      </w:r>
      <w:r>
        <w:rPr>
          <w:lang w:val="fr-FR"/>
        </w:rPr>
        <w:t xml:space="preserve">la fortune, </w:t>
      </w:r>
      <w:r w:rsidRPr="008C5851">
        <w:rPr>
          <w:lang w:val="fr-FR"/>
        </w:rPr>
        <w:t>la naissance ou toute autre situation, et ayant pour effet ou pour but de compromettre ou de détruire la reconnaissance, la jouissance ou l</w:t>
      </w:r>
      <w:r w:rsidR="004C779B">
        <w:rPr>
          <w:lang w:val="fr-FR"/>
        </w:rPr>
        <w:t>’</w:t>
      </w:r>
      <w:r w:rsidRPr="008C5851">
        <w:rPr>
          <w:lang w:val="fr-FR"/>
        </w:rPr>
        <w:t>exercice par tous, dans des conditions d</w:t>
      </w:r>
      <w:r w:rsidR="004C779B">
        <w:rPr>
          <w:lang w:val="fr-FR"/>
        </w:rPr>
        <w:t>’</w:t>
      </w:r>
      <w:r w:rsidRPr="008C5851">
        <w:rPr>
          <w:lang w:val="fr-FR"/>
        </w:rPr>
        <w:t>égalité, de l</w:t>
      </w:r>
      <w:r w:rsidR="004C779B">
        <w:rPr>
          <w:lang w:val="fr-FR"/>
        </w:rPr>
        <w:t>’</w:t>
      </w:r>
      <w:r w:rsidRPr="008C5851">
        <w:rPr>
          <w:lang w:val="fr-FR"/>
        </w:rPr>
        <w:t>ensemble des droits de l</w:t>
      </w:r>
      <w:r w:rsidR="004C779B">
        <w:rPr>
          <w:lang w:val="fr-FR"/>
        </w:rPr>
        <w:t>’</w:t>
      </w:r>
      <w:r w:rsidRPr="008C5851">
        <w:rPr>
          <w:lang w:val="fr-FR"/>
        </w:rPr>
        <w:t>homme et des libertés fondamentales</w:t>
      </w:r>
      <w:r w:rsidRPr="001269BA">
        <w:rPr>
          <w:rStyle w:val="Appelnotedebasdep"/>
        </w:rPr>
        <w:footnoteReference w:id="8"/>
      </w:r>
      <w:r w:rsidRPr="008C5851">
        <w:rPr>
          <w:lang w:val="fr-FR"/>
        </w:rPr>
        <w:t xml:space="preserve">. </w:t>
      </w:r>
      <w:r>
        <w:rPr>
          <w:lang w:val="fr-FR"/>
        </w:rPr>
        <w:t xml:space="preserve">Toutefois, une </w:t>
      </w:r>
      <w:r w:rsidRPr="008C5851">
        <w:rPr>
          <w:lang w:val="fr-FR"/>
        </w:rPr>
        <w:t>différence de traitement</w:t>
      </w:r>
      <w:r w:rsidRPr="003F7711">
        <w:rPr>
          <w:lang w:val="fr-FR"/>
        </w:rPr>
        <w:t xml:space="preserve"> </w:t>
      </w:r>
      <w:r w:rsidRPr="008C5851">
        <w:rPr>
          <w:lang w:val="fr-FR"/>
        </w:rPr>
        <w:t>fondé</w:t>
      </w:r>
      <w:r>
        <w:rPr>
          <w:lang w:val="fr-FR"/>
        </w:rPr>
        <w:t xml:space="preserve">e </w:t>
      </w:r>
      <w:r w:rsidRPr="008C5851">
        <w:rPr>
          <w:lang w:val="fr-FR"/>
        </w:rPr>
        <w:t xml:space="preserve">sur </w:t>
      </w:r>
      <w:r>
        <w:rPr>
          <w:lang w:val="fr-FR"/>
        </w:rPr>
        <w:t>l</w:t>
      </w:r>
      <w:r w:rsidRPr="008C5851">
        <w:rPr>
          <w:lang w:val="fr-FR"/>
        </w:rPr>
        <w:t>es motifs</w:t>
      </w:r>
      <w:r>
        <w:rPr>
          <w:lang w:val="fr-FR"/>
        </w:rPr>
        <w:t xml:space="preserve"> énumérés à l</w:t>
      </w:r>
      <w:r w:rsidR="004C779B">
        <w:rPr>
          <w:lang w:val="fr-FR"/>
        </w:rPr>
        <w:t>’</w:t>
      </w:r>
      <w:r>
        <w:rPr>
          <w:lang w:val="fr-FR"/>
        </w:rPr>
        <w:t>article 26 du Pacte ne constitue pas systématiquement une discrimination, pour autant qu</w:t>
      </w:r>
      <w:r w:rsidR="004C779B">
        <w:rPr>
          <w:lang w:val="fr-FR"/>
        </w:rPr>
        <w:t>’</w:t>
      </w:r>
      <w:r>
        <w:rPr>
          <w:lang w:val="fr-FR"/>
        </w:rPr>
        <w:t xml:space="preserve">elle repose sur des critères </w:t>
      </w:r>
      <w:r w:rsidRPr="008C5851">
        <w:rPr>
          <w:lang w:val="fr-FR"/>
        </w:rPr>
        <w:t xml:space="preserve">raisonnables </w:t>
      </w:r>
      <w:r>
        <w:rPr>
          <w:lang w:val="fr-FR"/>
        </w:rPr>
        <w:t xml:space="preserve">et </w:t>
      </w:r>
      <w:r w:rsidRPr="008C5851">
        <w:rPr>
          <w:lang w:val="fr-FR"/>
        </w:rPr>
        <w:t>objectifs</w:t>
      </w:r>
      <w:r>
        <w:rPr>
          <w:lang w:val="fr-FR"/>
        </w:rPr>
        <w:t>, dans la poursuite d</w:t>
      </w:r>
      <w:r w:rsidR="004C779B">
        <w:rPr>
          <w:lang w:val="fr-FR"/>
        </w:rPr>
        <w:t>’</w:t>
      </w:r>
      <w:r>
        <w:rPr>
          <w:lang w:val="fr-FR"/>
        </w:rPr>
        <w:t>un but légitime au regard du Pacte</w:t>
      </w:r>
      <w:r w:rsidRPr="001269BA">
        <w:rPr>
          <w:rStyle w:val="Appelnotedebasdep"/>
        </w:rPr>
        <w:footnoteReference w:id="9"/>
      </w:r>
      <w:r w:rsidRPr="008C5851">
        <w:rPr>
          <w:lang w:val="fr-FR"/>
        </w:rPr>
        <w:t>.</w:t>
      </w:r>
      <w:r>
        <w:rPr>
          <w:lang w:val="fr-FR"/>
        </w:rPr>
        <w:t xml:space="preserve"> </w:t>
      </w:r>
      <w:r>
        <w:t>Il s</w:t>
      </w:r>
      <w:r w:rsidR="004C779B">
        <w:t>’</w:t>
      </w:r>
      <w:r>
        <w:t xml:space="preserve">agit donc pour le Comité de savoir si </w:t>
      </w:r>
      <w:r w:rsidRPr="00630D18">
        <w:t>l</w:t>
      </w:r>
      <w:r>
        <w:t xml:space="preserve">e </w:t>
      </w:r>
      <w:r w:rsidRPr="00630D18">
        <w:t xml:space="preserve">traitement </w:t>
      </w:r>
      <w:r>
        <w:t>différent réservé à l</w:t>
      </w:r>
      <w:r w:rsidR="004C779B">
        <w:t>’</w:t>
      </w:r>
      <w:r>
        <w:t xml:space="preserve">auteure et à sa fille </w:t>
      </w:r>
      <w:r>
        <w:lastRenderedPageBreak/>
        <w:t>en matière d</w:t>
      </w:r>
      <w:r w:rsidR="004C779B">
        <w:t>’</w:t>
      </w:r>
      <w:r>
        <w:t xml:space="preserve">accès aux prestations sociales </w:t>
      </w:r>
      <w:r w:rsidRPr="00630D18">
        <w:t>satisfait aux critères du caractère raisonnable, de l</w:t>
      </w:r>
      <w:r w:rsidR="004C779B">
        <w:t>’</w:t>
      </w:r>
      <w:r w:rsidRPr="00630D18">
        <w:t>objectivité et de la légitimité de l</w:t>
      </w:r>
      <w:r w:rsidR="004C779B">
        <w:t>’</w:t>
      </w:r>
      <w:r w:rsidRPr="00630D18">
        <w:t>objectif recherché</w:t>
      </w:r>
      <w:r w:rsidRPr="001269BA">
        <w:rPr>
          <w:rStyle w:val="Appelnotedebasdep"/>
        </w:rPr>
        <w:footnoteReference w:id="10"/>
      </w:r>
      <w:r>
        <w:t>.</w:t>
      </w:r>
    </w:p>
    <w:p w14:paraId="2304CC5D" w14:textId="77777777" w:rsidR="00D43D1B" w:rsidRDefault="00D43D1B" w:rsidP="00D43D1B">
      <w:pPr>
        <w:pStyle w:val="SingleTxtG"/>
        <w:rPr>
          <w:lang w:val="fr-FR"/>
        </w:rPr>
      </w:pPr>
      <w:r w:rsidRPr="008C5851">
        <w:rPr>
          <w:lang w:val="fr-FR"/>
        </w:rPr>
        <w:t>7.</w:t>
      </w:r>
      <w:r>
        <w:rPr>
          <w:lang w:val="fr-FR"/>
        </w:rPr>
        <w:t>5</w:t>
      </w:r>
      <w:r w:rsidRPr="008C5851">
        <w:rPr>
          <w:lang w:val="fr-FR"/>
        </w:rPr>
        <w:tab/>
        <w:t xml:space="preserve">Dans la présente affaire, le Comité note </w:t>
      </w:r>
      <w:r>
        <w:rPr>
          <w:lang w:val="fr-FR"/>
        </w:rPr>
        <w:t>que l</w:t>
      </w:r>
      <w:r w:rsidR="004C779B">
        <w:rPr>
          <w:lang w:val="fr-FR"/>
        </w:rPr>
        <w:t>’</w:t>
      </w:r>
      <w:r>
        <w:rPr>
          <w:lang w:val="fr-FR"/>
        </w:rPr>
        <w:t xml:space="preserve">État partie a fait </w:t>
      </w:r>
      <w:r w:rsidRPr="008C5851">
        <w:rPr>
          <w:lang w:val="fr-FR"/>
        </w:rPr>
        <w:t>une distinction s</w:t>
      </w:r>
      <w:r w:rsidR="004C779B">
        <w:rPr>
          <w:lang w:val="fr-FR"/>
        </w:rPr>
        <w:t>’</w:t>
      </w:r>
      <w:r w:rsidRPr="008C5851">
        <w:rPr>
          <w:lang w:val="fr-FR"/>
        </w:rPr>
        <w:t xml:space="preserve">agissant du droit à </w:t>
      </w:r>
      <w:r w:rsidRPr="008C5851">
        <w:rPr>
          <w:spacing w:val="-2"/>
          <w:lang w:val="fr-FR"/>
        </w:rPr>
        <w:t>l</w:t>
      </w:r>
      <w:r w:rsidR="004C779B">
        <w:rPr>
          <w:spacing w:val="-2"/>
          <w:lang w:val="fr-FR"/>
        </w:rPr>
        <w:t>’</w:t>
      </w:r>
      <w:r w:rsidRPr="008C5851">
        <w:rPr>
          <w:spacing w:val="-2"/>
          <w:lang w:val="fr-FR"/>
        </w:rPr>
        <w:t xml:space="preserve">indemnité </w:t>
      </w:r>
      <w:r>
        <w:rPr>
          <w:spacing w:val="-2"/>
          <w:lang w:val="fr-FR"/>
        </w:rPr>
        <w:t xml:space="preserve">générale </w:t>
      </w:r>
      <w:r w:rsidRPr="008C5851">
        <w:rPr>
          <w:spacing w:val="-2"/>
          <w:lang w:val="fr-FR"/>
        </w:rPr>
        <w:t>pour enfant à charge</w:t>
      </w:r>
      <w:r w:rsidRPr="008C5851">
        <w:rPr>
          <w:lang w:val="fr-FR"/>
        </w:rPr>
        <w:t xml:space="preserve"> </w:t>
      </w:r>
      <w:r>
        <w:rPr>
          <w:lang w:val="fr-FR"/>
        </w:rPr>
        <w:t xml:space="preserve">sur la base de </w:t>
      </w:r>
      <w:r w:rsidRPr="008C5851">
        <w:rPr>
          <w:lang w:val="fr-FR"/>
        </w:rPr>
        <w:t xml:space="preserve">la situation </w:t>
      </w:r>
      <w:r>
        <w:rPr>
          <w:lang w:val="fr-FR"/>
        </w:rPr>
        <w:t>de l</w:t>
      </w:r>
      <w:r w:rsidR="004C779B">
        <w:rPr>
          <w:lang w:val="fr-FR"/>
        </w:rPr>
        <w:t>’</w:t>
      </w:r>
      <w:r>
        <w:rPr>
          <w:lang w:val="fr-FR"/>
        </w:rPr>
        <w:t xml:space="preserve">auteure et de sa fille </w:t>
      </w:r>
      <w:r w:rsidRPr="008C5851">
        <w:rPr>
          <w:lang w:val="fr-FR"/>
        </w:rPr>
        <w:t>au regard de la réglementation relative au séjour</w:t>
      </w:r>
      <w:r>
        <w:rPr>
          <w:lang w:val="fr-FR"/>
        </w:rPr>
        <w:t xml:space="preserve"> des étrangers</w:t>
      </w:r>
      <w:r w:rsidRPr="008C5851">
        <w:rPr>
          <w:lang w:val="fr-FR"/>
        </w:rPr>
        <w:t xml:space="preserve">. </w:t>
      </w:r>
      <w:r>
        <w:rPr>
          <w:lang w:val="fr-FR"/>
        </w:rPr>
        <w:t xml:space="preserve">La </w:t>
      </w:r>
      <w:r w:rsidRPr="008C5851">
        <w:rPr>
          <w:lang w:val="fr-FR"/>
        </w:rPr>
        <w:t xml:space="preserve">règle était appliquée également à tous ceux qui demandaient </w:t>
      </w:r>
      <w:r w:rsidRPr="008C5851">
        <w:rPr>
          <w:spacing w:val="-2"/>
          <w:lang w:val="fr-FR"/>
        </w:rPr>
        <w:t>l</w:t>
      </w:r>
      <w:r w:rsidR="004C779B">
        <w:rPr>
          <w:spacing w:val="-2"/>
          <w:lang w:val="fr-FR"/>
        </w:rPr>
        <w:t>’</w:t>
      </w:r>
      <w:r w:rsidRPr="008C5851">
        <w:rPr>
          <w:spacing w:val="-2"/>
          <w:lang w:val="fr-FR"/>
        </w:rPr>
        <w:t>indemnité générale pour enfant à charge</w:t>
      </w:r>
      <w:r w:rsidRPr="008C5851">
        <w:rPr>
          <w:lang w:val="fr-FR"/>
        </w:rPr>
        <w:t xml:space="preserve"> </w:t>
      </w:r>
      <w:r>
        <w:rPr>
          <w:lang w:val="fr-FR"/>
        </w:rPr>
        <w:t>sans être titulaires d</w:t>
      </w:r>
      <w:r w:rsidR="004C779B">
        <w:rPr>
          <w:lang w:val="fr-FR"/>
        </w:rPr>
        <w:t>’</w:t>
      </w:r>
      <w:r>
        <w:rPr>
          <w:lang w:val="fr-FR"/>
        </w:rPr>
        <w:t xml:space="preserve">un </w:t>
      </w:r>
      <w:r w:rsidRPr="008C5851">
        <w:rPr>
          <w:lang w:val="fr-FR"/>
        </w:rPr>
        <w:t>permis de séjour dans l</w:t>
      </w:r>
      <w:r w:rsidR="004C779B">
        <w:rPr>
          <w:lang w:val="fr-FR"/>
        </w:rPr>
        <w:t>’</w:t>
      </w:r>
      <w:r w:rsidRPr="008C5851">
        <w:rPr>
          <w:lang w:val="fr-FR"/>
        </w:rPr>
        <w:t xml:space="preserve">État partie. </w:t>
      </w:r>
      <w:r>
        <w:rPr>
          <w:lang w:val="fr-FR"/>
        </w:rPr>
        <w:t>L</w:t>
      </w:r>
      <w:r w:rsidRPr="008C5851">
        <w:rPr>
          <w:lang w:val="fr-FR"/>
        </w:rPr>
        <w:t xml:space="preserve">e Comité </w:t>
      </w:r>
      <w:r>
        <w:rPr>
          <w:lang w:val="fr-FR"/>
        </w:rPr>
        <w:t>relève également q</w:t>
      </w:r>
      <w:r w:rsidRPr="00D43D1B">
        <w:rPr>
          <w:lang w:val="fr-FR"/>
        </w:rPr>
        <w:t>ue, le</w:t>
      </w:r>
      <w:r>
        <w:rPr>
          <w:lang w:val="fr-FR"/>
        </w:rPr>
        <w:t xml:space="preserve"> </w:t>
      </w:r>
      <w:r>
        <w:t xml:space="preserve">13 juin 2006, </w:t>
      </w:r>
      <w:r w:rsidRPr="008C5851">
        <w:rPr>
          <w:lang w:val="fr-FR"/>
        </w:rPr>
        <w:t>l</w:t>
      </w:r>
      <w:r w:rsidR="004C779B">
        <w:rPr>
          <w:lang w:val="fr-FR"/>
        </w:rPr>
        <w:t>’</w:t>
      </w:r>
      <w:r w:rsidRPr="008C5851">
        <w:rPr>
          <w:lang w:val="fr-FR"/>
        </w:rPr>
        <w:t xml:space="preserve">auteure a demandé pour sa fille un permis de séjour pour </w:t>
      </w:r>
      <w:r>
        <w:rPr>
          <w:lang w:val="fr-FR"/>
        </w:rPr>
        <w:t>raisons</w:t>
      </w:r>
      <w:r w:rsidRPr="008C5851">
        <w:rPr>
          <w:lang w:val="fr-FR"/>
        </w:rPr>
        <w:t xml:space="preserve"> médica</w:t>
      </w:r>
      <w:r>
        <w:rPr>
          <w:lang w:val="fr-FR"/>
        </w:rPr>
        <w:t>les</w:t>
      </w:r>
      <w:r>
        <w:t xml:space="preserve"> et que </w:t>
      </w:r>
      <w:r w:rsidRPr="008C5851">
        <w:rPr>
          <w:lang w:val="fr-FR"/>
        </w:rPr>
        <w:t>le tribunal de district</w:t>
      </w:r>
      <w:r>
        <w:rPr>
          <w:lang w:val="fr-FR"/>
        </w:rPr>
        <w:t xml:space="preserve"> de La Haye </w:t>
      </w:r>
      <w:r w:rsidRPr="008C5851">
        <w:rPr>
          <w:lang w:val="fr-FR"/>
        </w:rPr>
        <w:t xml:space="preserve">a fait droit à </w:t>
      </w:r>
      <w:r>
        <w:rPr>
          <w:lang w:val="fr-FR"/>
        </w:rPr>
        <w:t>sa</w:t>
      </w:r>
      <w:r w:rsidRPr="008C5851">
        <w:rPr>
          <w:lang w:val="fr-FR"/>
        </w:rPr>
        <w:t xml:space="preserve"> demande</w:t>
      </w:r>
      <w:r>
        <w:rPr>
          <w:lang w:val="fr-FR"/>
        </w:rPr>
        <w:t xml:space="preserve"> de mesures provisoires le </w:t>
      </w:r>
      <w:r w:rsidRPr="00D4380A">
        <w:rPr>
          <w:bCs/>
          <w:iCs/>
        </w:rPr>
        <w:t>29</w:t>
      </w:r>
      <w:r>
        <w:rPr>
          <w:bCs/>
          <w:iCs/>
        </w:rPr>
        <w:t> mai</w:t>
      </w:r>
      <w:r w:rsidRPr="00D4380A">
        <w:rPr>
          <w:bCs/>
          <w:iCs/>
        </w:rPr>
        <w:t xml:space="preserve"> 2007, </w:t>
      </w:r>
      <w:r>
        <w:rPr>
          <w:bCs/>
          <w:iCs/>
        </w:rPr>
        <w:t xml:space="preserve">en autorisant ainsi </w:t>
      </w:r>
      <w:r w:rsidRPr="008C5851">
        <w:rPr>
          <w:lang w:val="fr-FR"/>
        </w:rPr>
        <w:t>l</w:t>
      </w:r>
      <w:r w:rsidR="004C779B">
        <w:rPr>
          <w:lang w:val="fr-FR"/>
        </w:rPr>
        <w:t>’</w:t>
      </w:r>
      <w:r w:rsidRPr="008C5851">
        <w:rPr>
          <w:lang w:val="fr-FR"/>
        </w:rPr>
        <w:t xml:space="preserve">auteure </w:t>
      </w:r>
      <w:r>
        <w:rPr>
          <w:lang w:val="fr-FR"/>
        </w:rPr>
        <w:t>et sa fille à séjourner régulièrement aux Pays</w:t>
      </w:r>
      <w:r>
        <w:rPr>
          <w:lang w:val="fr-FR"/>
        </w:rPr>
        <w:noBreakHyphen/>
      </w:r>
      <w:r w:rsidRPr="008C5851">
        <w:rPr>
          <w:lang w:val="fr-FR"/>
        </w:rPr>
        <w:t xml:space="preserve">Bas </w:t>
      </w:r>
      <w:r>
        <w:rPr>
          <w:lang w:val="fr-FR"/>
        </w:rPr>
        <w:t xml:space="preserve">tant que leur demande de permis de séjour était </w:t>
      </w:r>
      <w:r w:rsidRPr="008C5851">
        <w:rPr>
          <w:lang w:val="fr-FR"/>
        </w:rPr>
        <w:t>en instance</w:t>
      </w:r>
      <w:r>
        <w:rPr>
          <w:lang w:val="fr-FR"/>
        </w:rPr>
        <w:t xml:space="preserve"> d</w:t>
      </w:r>
      <w:r w:rsidR="004C779B">
        <w:rPr>
          <w:lang w:val="fr-FR"/>
        </w:rPr>
        <w:t>’</w:t>
      </w:r>
      <w:r>
        <w:rPr>
          <w:lang w:val="fr-FR"/>
        </w:rPr>
        <w:t xml:space="preserve">examen. En outre, le Comité prend note de </w:t>
      </w:r>
      <w:r w:rsidRPr="00D43D1B">
        <w:rPr>
          <w:lang w:val="fr-FR"/>
        </w:rPr>
        <w:t>l</w:t>
      </w:r>
      <w:r w:rsidR="004C779B">
        <w:rPr>
          <w:lang w:val="fr-FR"/>
        </w:rPr>
        <w:t>’</w:t>
      </w:r>
      <w:r w:rsidRPr="00D43D1B">
        <w:rPr>
          <w:lang w:val="fr-FR"/>
        </w:rPr>
        <w:t>argument de l</w:t>
      </w:r>
      <w:r w:rsidR="004C779B">
        <w:rPr>
          <w:lang w:val="fr-FR"/>
        </w:rPr>
        <w:t>’</w:t>
      </w:r>
      <w:r w:rsidRPr="00D43D1B">
        <w:rPr>
          <w:lang w:val="fr-FR"/>
        </w:rPr>
        <w:t>État partie, qui n</w:t>
      </w:r>
      <w:r w:rsidR="004C779B">
        <w:rPr>
          <w:lang w:val="fr-FR"/>
        </w:rPr>
        <w:t>’</w:t>
      </w:r>
      <w:r w:rsidRPr="00D43D1B">
        <w:rPr>
          <w:lang w:val="fr-FR"/>
        </w:rPr>
        <w:t>est pas contesté par l</w:t>
      </w:r>
      <w:r w:rsidR="004C779B">
        <w:rPr>
          <w:lang w:val="fr-FR"/>
        </w:rPr>
        <w:t>’</w:t>
      </w:r>
      <w:r w:rsidRPr="00D43D1B">
        <w:rPr>
          <w:lang w:val="fr-FR"/>
        </w:rPr>
        <w:t>auteure, selon lequel l</w:t>
      </w:r>
      <w:r w:rsidR="004C779B">
        <w:rPr>
          <w:lang w:val="fr-FR"/>
        </w:rPr>
        <w:t>’</w:t>
      </w:r>
      <w:r w:rsidRPr="00D43D1B">
        <w:rPr>
          <w:lang w:val="fr-FR"/>
        </w:rPr>
        <w:t>auteure et sa fille pouvaient bénéficier depuis le 1</w:t>
      </w:r>
      <w:r w:rsidRPr="00D43D1B">
        <w:rPr>
          <w:vertAlign w:val="superscript"/>
          <w:lang w:val="fr-FR"/>
        </w:rPr>
        <w:t>er</w:t>
      </w:r>
      <w:r w:rsidR="009B105C">
        <w:rPr>
          <w:lang w:val="fr-FR"/>
        </w:rPr>
        <w:t> </w:t>
      </w:r>
      <w:r w:rsidRPr="00D43D1B">
        <w:rPr>
          <w:lang w:val="fr-FR"/>
        </w:rPr>
        <w:t>janvier 2007 d</w:t>
      </w:r>
      <w:r w:rsidR="004C779B">
        <w:rPr>
          <w:lang w:val="fr-FR"/>
        </w:rPr>
        <w:t>’</w:t>
      </w:r>
      <w:r w:rsidRPr="00D43D1B">
        <w:rPr>
          <w:lang w:val="fr-FR"/>
        </w:rPr>
        <w:t>autres dispositions que celles du régime</w:t>
      </w:r>
      <w:r w:rsidRPr="008C5851">
        <w:rPr>
          <w:lang w:val="fr-FR"/>
        </w:rPr>
        <w:t xml:space="preserve"> d</w:t>
      </w:r>
      <w:r w:rsidR="004C779B">
        <w:rPr>
          <w:lang w:val="fr-FR"/>
        </w:rPr>
        <w:t>’</w:t>
      </w:r>
      <w:r w:rsidRPr="008C5851">
        <w:rPr>
          <w:lang w:val="fr-FR"/>
        </w:rPr>
        <w:t>assurance sociale</w:t>
      </w:r>
      <w:r>
        <w:rPr>
          <w:lang w:val="fr-FR"/>
        </w:rPr>
        <w:t xml:space="preserve"> pour les étrangers non-résidents, en vertu de </w:t>
      </w:r>
      <w:r w:rsidRPr="008C5851">
        <w:rPr>
          <w:lang w:val="fr-FR"/>
        </w:rPr>
        <w:t>l</w:t>
      </w:r>
      <w:r w:rsidR="004C779B">
        <w:rPr>
          <w:lang w:val="fr-FR"/>
        </w:rPr>
        <w:t>’</w:t>
      </w:r>
      <w:r>
        <w:rPr>
          <w:lang w:val="fr-FR"/>
        </w:rPr>
        <w:t>o</w:t>
      </w:r>
      <w:r w:rsidRPr="008C5851">
        <w:rPr>
          <w:lang w:val="fr-FR"/>
        </w:rPr>
        <w:t>rdonnance relative à certaines catégories d</w:t>
      </w:r>
      <w:r w:rsidR="004C779B">
        <w:rPr>
          <w:lang w:val="fr-FR"/>
        </w:rPr>
        <w:t>’</w:t>
      </w:r>
      <w:r w:rsidRPr="008C5851">
        <w:rPr>
          <w:lang w:val="fr-FR"/>
        </w:rPr>
        <w:t>étrangers</w:t>
      </w:r>
      <w:r>
        <w:rPr>
          <w:lang w:val="fr-FR"/>
        </w:rPr>
        <w:t xml:space="preserve"> qui prévoit une </w:t>
      </w:r>
      <w:r w:rsidRPr="008C5851">
        <w:rPr>
          <w:lang w:val="fr-FR"/>
        </w:rPr>
        <w:t xml:space="preserve">aide financière spécifique </w:t>
      </w:r>
      <w:r>
        <w:rPr>
          <w:lang w:val="fr-FR"/>
        </w:rPr>
        <w:t>pour l</w:t>
      </w:r>
      <w:r w:rsidRPr="008C5851">
        <w:rPr>
          <w:lang w:val="fr-FR"/>
        </w:rPr>
        <w:t>es mineurs</w:t>
      </w:r>
      <w:r>
        <w:rPr>
          <w:lang w:val="fr-FR"/>
        </w:rPr>
        <w:t>. L</w:t>
      </w:r>
      <w:r w:rsidR="004C779B">
        <w:rPr>
          <w:lang w:val="fr-FR"/>
        </w:rPr>
        <w:t>’</w:t>
      </w:r>
      <w:r>
        <w:rPr>
          <w:lang w:val="fr-FR"/>
        </w:rPr>
        <w:t xml:space="preserve">auteure et sa fille ont donc eu droit à des </w:t>
      </w:r>
      <w:r w:rsidRPr="008C5851">
        <w:rPr>
          <w:lang w:val="fr-FR"/>
        </w:rPr>
        <w:t>prestation</w:t>
      </w:r>
      <w:r>
        <w:rPr>
          <w:lang w:val="fr-FR"/>
        </w:rPr>
        <w:t>s</w:t>
      </w:r>
      <w:r w:rsidRPr="008C5851">
        <w:rPr>
          <w:lang w:val="fr-FR"/>
        </w:rPr>
        <w:t xml:space="preserve"> pécuniaire</w:t>
      </w:r>
      <w:r>
        <w:rPr>
          <w:lang w:val="fr-FR"/>
        </w:rPr>
        <w:t>s, à</w:t>
      </w:r>
      <w:r w:rsidRPr="008C5851">
        <w:rPr>
          <w:lang w:val="fr-FR"/>
        </w:rPr>
        <w:t xml:space="preserve"> un régime d</w:t>
      </w:r>
      <w:r w:rsidR="004C779B">
        <w:rPr>
          <w:lang w:val="fr-FR"/>
        </w:rPr>
        <w:t>’</w:t>
      </w:r>
      <w:r w:rsidRPr="008C5851">
        <w:rPr>
          <w:lang w:val="fr-FR"/>
        </w:rPr>
        <w:t>assurance maladie</w:t>
      </w:r>
      <w:r>
        <w:rPr>
          <w:lang w:val="fr-FR"/>
        </w:rPr>
        <w:t>,</w:t>
      </w:r>
      <w:r w:rsidRPr="00FF43B2">
        <w:rPr>
          <w:lang w:val="fr-FR"/>
        </w:rPr>
        <w:t xml:space="preserve"> </w:t>
      </w:r>
      <w:r w:rsidRPr="008C5851">
        <w:rPr>
          <w:lang w:val="fr-FR"/>
        </w:rPr>
        <w:t xml:space="preserve">à </w:t>
      </w:r>
      <w:r>
        <w:rPr>
          <w:lang w:val="fr-FR"/>
        </w:rPr>
        <w:t xml:space="preserve">un accès à </w:t>
      </w:r>
      <w:r w:rsidRPr="008C5851">
        <w:rPr>
          <w:lang w:val="fr-FR"/>
        </w:rPr>
        <w:t>l</w:t>
      </w:r>
      <w:r w:rsidR="004C779B">
        <w:rPr>
          <w:lang w:val="fr-FR"/>
        </w:rPr>
        <w:t>’</w:t>
      </w:r>
      <w:r w:rsidRPr="008C5851">
        <w:rPr>
          <w:lang w:val="fr-FR"/>
        </w:rPr>
        <w:t>éducation</w:t>
      </w:r>
      <w:r>
        <w:rPr>
          <w:lang w:val="fr-FR"/>
        </w:rPr>
        <w:t xml:space="preserve"> pour la fille de l</w:t>
      </w:r>
      <w:r w:rsidR="004C779B">
        <w:rPr>
          <w:lang w:val="fr-FR"/>
        </w:rPr>
        <w:t>’</w:t>
      </w:r>
      <w:r>
        <w:rPr>
          <w:lang w:val="fr-FR"/>
        </w:rPr>
        <w:t xml:space="preserve">auteure et à une </w:t>
      </w:r>
      <w:r w:rsidRPr="008C5851">
        <w:rPr>
          <w:lang w:val="fr-FR"/>
        </w:rPr>
        <w:t>aide juridictionnelle</w:t>
      </w:r>
      <w:r>
        <w:rPr>
          <w:lang w:val="fr-FR"/>
        </w:rPr>
        <w:t>.</w:t>
      </w:r>
      <w:r w:rsidRPr="008C5851">
        <w:rPr>
          <w:lang w:val="fr-FR"/>
        </w:rPr>
        <w:t xml:space="preserve"> </w:t>
      </w:r>
      <w:r>
        <w:t>Le Comité fait observer que l</w:t>
      </w:r>
      <w:r w:rsidR="004C779B">
        <w:t>’</w:t>
      </w:r>
      <w:r>
        <w:t>auteure n</w:t>
      </w:r>
      <w:r w:rsidR="004C779B">
        <w:t>’</w:t>
      </w:r>
      <w:r>
        <w:t>a pas démontré en quoi, concrètement, l</w:t>
      </w:r>
      <w:r w:rsidR="004C779B">
        <w:t>’</w:t>
      </w:r>
      <w:r>
        <w:t>aide financière de substitution à laquelle elles avaient eu droit avait été moins favorable pour la santé de sa fille que ne l</w:t>
      </w:r>
      <w:r w:rsidR="004C779B">
        <w:t>’</w:t>
      </w:r>
      <w:r>
        <w:t>aurait été l</w:t>
      </w:r>
      <w:r w:rsidR="004C779B">
        <w:t>’</w:t>
      </w:r>
      <w:r w:rsidRPr="008C5851">
        <w:rPr>
          <w:spacing w:val="-2"/>
          <w:lang w:val="fr-FR"/>
        </w:rPr>
        <w:t xml:space="preserve">indemnité générale </w:t>
      </w:r>
      <w:bookmarkStart w:id="10" w:name="_GoBack"/>
      <w:bookmarkEnd w:id="10"/>
      <w:r w:rsidRPr="008C5851">
        <w:rPr>
          <w:spacing w:val="-2"/>
          <w:lang w:val="fr-FR"/>
        </w:rPr>
        <w:t>pour enfant à charge</w:t>
      </w:r>
      <w:r>
        <w:rPr>
          <w:spacing w:val="-2"/>
          <w:lang w:val="fr-FR"/>
        </w:rPr>
        <w:t>. Au vu de ce qui précède, le Comité estime que l</w:t>
      </w:r>
      <w:r w:rsidR="004C779B">
        <w:rPr>
          <w:lang w:val="fr-FR"/>
        </w:rPr>
        <w:t>’</w:t>
      </w:r>
      <w:r>
        <w:rPr>
          <w:lang w:val="fr-FR"/>
        </w:rPr>
        <w:t>auteure n</w:t>
      </w:r>
      <w:r w:rsidR="004C779B">
        <w:rPr>
          <w:lang w:val="fr-FR"/>
        </w:rPr>
        <w:t>’</w:t>
      </w:r>
      <w:r>
        <w:rPr>
          <w:lang w:val="fr-FR"/>
        </w:rPr>
        <w:t xml:space="preserve">a pas démontré en quoi le traitement différent qui leur avait été réservé ne satisfaisait pas aux critères du </w:t>
      </w:r>
      <w:r w:rsidRPr="00630D18">
        <w:t>caractère raisonnable, de l</w:t>
      </w:r>
      <w:r w:rsidR="004C779B">
        <w:t>’</w:t>
      </w:r>
      <w:r w:rsidRPr="00630D18">
        <w:t>objectivité et de la légitimité de l</w:t>
      </w:r>
      <w:r w:rsidR="004C779B">
        <w:t>’</w:t>
      </w:r>
      <w:r w:rsidRPr="00630D18">
        <w:t>objectif recherché</w:t>
      </w:r>
      <w:r>
        <w:t>.</w:t>
      </w:r>
      <w:r>
        <w:rPr>
          <w:lang w:val="fr-FR"/>
        </w:rPr>
        <w:t xml:space="preserve"> </w:t>
      </w:r>
      <w:r w:rsidRPr="008C5851">
        <w:rPr>
          <w:lang w:val="fr-FR"/>
        </w:rPr>
        <w:t>Le Comité conclut donc que les faits dont il est saisi ne font apparaître aucune violation des droits que l</w:t>
      </w:r>
      <w:r w:rsidR="004C779B">
        <w:rPr>
          <w:lang w:val="fr-FR"/>
        </w:rPr>
        <w:t>’</w:t>
      </w:r>
      <w:r w:rsidRPr="008C5851">
        <w:rPr>
          <w:lang w:val="fr-FR"/>
        </w:rPr>
        <w:t xml:space="preserve">auteure et sa fille </w:t>
      </w:r>
      <w:r>
        <w:rPr>
          <w:lang w:val="fr-FR"/>
        </w:rPr>
        <w:t xml:space="preserve">tiennent </w:t>
      </w:r>
      <w:r w:rsidRPr="008C5851">
        <w:rPr>
          <w:lang w:val="fr-FR"/>
        </w:rPr>
        <w:t>de</w:t>
      </w:r>
      <w:r>
        <w:rPr>
          <w:lang w:val="fr-FR"/>
        </w:rPr>
        <w:t xml:space="preserve"> l</w:t>
      </w:r>
      <w:r w:rsidR="004C779B">
        <w:rPr>
          <w:lang w:val="fr-FR"/>
        </w:rPr>
        <w:t>’</w:t>
      </w:r>
      <w:r w:rsidRPr="008C5851">
        <w:rPr>
          <w:lang w:val="fr-FR"/>
        </w:rPr>
        <w:t>article</w:t>
      </w:r>
      <w:r>
        <w:rPr>
          <w:lang w:val="fr-FR"/>
        </w:rPr>
        <w:t> </w:t>
      </w:r>
      <w:r w:rsidRPr="008C5851">
        <w:rPr>
          <w:lang w:val="fr-FR"/>
        </w:rPr>
        <w:t>26 du Pacte.</w:t>
      </w:r>
    </w:p>
    <w:p w14:paraId="0A20D8E4" w14:textId="77777777" w:rsidR="00D43D1B" w:rsidRPr="008C5851" w:rsidRDefault="00D43D1B" w:rsidP="00D43D1B">
      <w:pPr>
        <w:pStyle w:val="SingleTxtG"/>
        <w:rPr>
          <w:lang w:val="fr-FR"/>
        </w:rPr>
      </w:pPr>
      <w:r>
        <w:rPr>
          <w:lang w:val="fr-FR"/>
        </w:rPr>
        <w:t>7.6</w:t>
      </w:r>
      <w:r>
        <w:rPr>
          <w:lang w:val="fr-FR"/>
        </w:rPr>
        <w:tab/>
        <w:t>Compte tenu de ces conclusions, le Comité considère en outre que l</w:t>
      </w:r>
      <w:r w:rsidR="004C779B">
        <w:rPr>
          <w:lang w:val="fr-FR"/>
        </w:rPr>
        <w:t>’</w:t>
      </w:r>
      <w:r>
        <w:rPr>
          <w:lang w:val="fr-FR"/>
        </w:rPr>
        <w:t>auteure n</w:t>
      </w:r>
      <w:r w:rsidR="004C779B">
        <w:rPr>
          <w:lang w:val="fr-FR"/>
        </w:rPr>
        <w:t>’</w:t>
      </w:r>
      <w:r>
        <w:rPr>
          <w:lang w:val="fr-FR"/>
        </w:rPr>
        <w:t>a pas établi qu</w:t>
      </w:r>
      <w:r w:rsidR="004C779B">
        <w:rPr>
          <w:lang w:val="fr-FR"/>
        </w:rPr>
        <w:t>’</w:t>
      </w:r>
      <w:r>
        <w:rPr>
          <w:lang w:val="fr-FR"/>
        </w:rPr>
        <w:t>en rejetant sa demande d</w:t>
      </w:r>
      <w:r w:rsidR="004C779B">
        <w:rPr>
          <w:lang w:val="fr-FR"/>
        </w:rPr>
        <w:t>’</w:t>
      </w:r>
      <w:r>
        <w:rPr>
          <w:lang w:val="fr-FR"/>
        </w:rPr>
        <w:t>indemnité générale pour enfant à charge, l</w:t>
      </w:r>
      <w:r w:rsidR="004C779B">
        <w:rPr>
          <w:lang w:val="fr-FR"/>
        </w:rPr>
        <w:t>’</w:t>
      </w:r>
      <w:r>
        <w:rPr>
          <w:lang w:val="fr-FR"/>
        </w:rPr>
        <w:t>État partie avait violé les droits qu</w:t>
      </w:r>
      <w:r w:rsidR="004C779B">
        <w:rPr>
          <w:lang w:val="fr-FR"/>
        </w:rPr>
        <w:t>’</w:t>
      </w:r>
      <w:r>
        <w:rPr>
          <w:lang w:val="fr-FR"/>
        </w:rPr>
        <w:t>elle et sa fille tiennent des articles 23 et 24 du Pacte.</w:t>
      </w:r>
    </w:p>
    <w:p w14:paraId="292D52C9" w14:textId="77777777" w:rsidR="00E85C42" w:rsidRDefault="00D43D1B" w:rsidP="00D43D1B">
      <w:pPr>
        <w:pStyle w:val="SingleTxtG"/>
        <w:rPr>
          <w:lang w:val="fr-FR"/>
        </w:rPr>
      </w:pPr>
      <w:r w:rsidRPr="008C5851">
        <w:rPr>
          <w:lang w:val="fr-FR"/>
        </w:rPr>
        <w:t>8.</w:t>
      </w:r>
      <w:r w:rsidRPr="008C5851">
        <w:rPr>
          <w:lang w:val="fr-FR"/>
        </w:rPr>
        <w:tab/>
        <w:t>Le Comité des droits de l</w:t>
      </w:r>
      <w:r w:rsidR="004C779B">
        <w:rPr>
          <w:lang w:val="fr-FR"/>
        </w:rPr>
        <w:t>’</w:t>
      </w:r>
      <w:r w:rsidRPr="008C5851">
        <w:rPr>
          <w:lang w:val="fr-FR"/>
        </w:rPr>
        <w:t>homme, agissant en vertu du paragraphe 4 de l</w:t>
      </w:r>
      <w:r w:rsidR="004C779B">
        <w:rPr>
          <w:lang w:val="fr-FR"/>
        </w:rPr>
        <w:t>’</w:t>
      </w:r>
      <w:r w:rsidRPr="008C5851">
        <w:rPr>
          <w:lang w:val="fr-FR"/>
        </w:rPr>
        <w:t>article 5 du Protocole facultatif</w:t>
      </w:r>
      <w:r>
        <w:rPr>
          <w:lang w:val="fr-FR"/>
        </w:rPr>
        <w:t xml:space="preserve"> </w:t>
      </w:r>
      <w:r w:rsidRPr="009708DF">
        <w:rPr>
          <w:lang w:val="fr-FR"/>
        </w:rPr>
        <w:t>se rapportant au Pacte international relatif aux droits civils et politiques</w:t>
      </w:r>
      <w:r w:rsidRPr="008C5851">
        <w:rPr>
          <w:lang w:val="fr-FR"/>
        </w:rPr>
        <w:t>, constate que les faits dont il est saisi ne font apparaître aucune violation par l</w:t>
      </w:r>
      <w:r w:rsidR="004C779B">
        <w:rPr>
          <w:lang w:val="fr-FR"/>
        </w:rPr>
        <w:t>’</w:t>
      </w:r>
      <w:r w:rsidRPr="008C5851">
        <w:rPr>
          <w:lang w:val="fr-FR"/>
        </w:rPr>
        <w:t>État partie des droits que l</w:t>
      </w:r>
      <w:r w:rsidR="004C779B">
        <w:rPr>
          <w:lang w:val="fr-FR"/>
        </w:rPr>
        <w:t>’</w:t>
      </w:r>
      <w:r w:rsidRPr="008C5851">
        <w:rPr>
          <w:lang w:val="fr-FR"/>
        </w:rPr>
        <w:t>auteure et sa fille tiennent des articles</w:t>
      </w:r>
      <w:r>
        <w:rPr>
          <w:lang w:val="fr-FR"/>
        </w:rPr>
        <w:t> </w:t>
      </w:r>
      <w:r w:rsidRPr="008C5851">
        <w:rPr>
          <w:lang w:val="fr-FR"/>
        </w:rPr>
        <w:t>23, 24 et</w:t>
      </w:r>
      <w:r>
        <w:rPr>
          <w:lang w:val="fr-FR"/>
        </w:rPr>
        <w:t> </w:t>
      </w:r>
      <w:r w:rsidRPr="008C5851">
        <w:rPr>
          <w:lang w:val="fr-FR"/>
        </w:rPr>
        <w:t>26 du Pacte.</w:t>
      </w:r>
    </w:p>
    <w:p w14:paraId="4ACDA616" w14:textId="77777777" w:rsidR="00D43D1B" w:rsidRPr="00D43D1B" w:rsidRDefault="00D43D1B" w:rsidP="00D43D1B">
      <w:pPr>
        <w:pStyle w:val="SingleTxtG"/>
        <w:spacing w:before="240" w:after="0"/>
        <w:jc w:val="center"/>
        <w:rPr>
          <w:u w:val="single"/>
        </w:rPr>
      </w:pPr>
      <w:r>
        <w:rPr>
          <w:u w:val="single"/>
        </w:rPr>
        <w:tab/>
      </w:r>
      <w:r>
        <w:rPr>
          <w:u w:val="single"/>
        </w:rPr>
        <w:tab/>
      </w:r>
      <w:r>
        <w:rPr>
          <w:u w:val="single"/>
        </w:rPr>
        <w:tab/>
      </w:r>
    </w:p>
    <w:sectPr w:rsidR="00D43D1B" w:rsidRPr="00D43D1B" w:rsidSect="00D43D1B">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2787A8" w14:textId="77777777" w:rsidR="006823A0" w:rsidRDefault="006823A0" w:rsidP="00F95C08">
      <w:pPr>
        <w:spacing w:line="240" w:lineRule="auto"/>
      </w:pPr>
    </w:p>
  </w:endnote>
  <w:endnote w:type="continuationSeparator" w:id="0">
    <w:p w14:paraId="1C2F9C62" w14:textId="77777777" w:rsidR="006823A0" w:rsidRPr="00AC3823" w:rsidRDefault="006823A0" w:rsidP="00AC3823">
      <w:pPr>
        <w:pStyle w:val="Pieddepage"/>
      </w:pPr>
    </w:p>
  </w:endnote>
  <w:endnote w:type="continuationNotice" w:id="1">
    <w:p w14:paraId="30D1FD79" w14:textId="77777777" w:rsidR="006823A0" w:rsidRDefault="006823A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D73881" w14:textId="77777777" w:rsidR="00D43D1B" w:rsidRPr="00D43D1B" w:rsidRDefault="00D43D1B" w:rsidP="00D43D1B">
    <w:pPr>
      <w:pStyle w:val="Pieddepage"/>
      <w:tabs>
        <w:tab w:val="right" w:pos="9638"/>
      </w:tabs>
    </w:pPr>
    <w:r w:rsidRPr="00D43D1B">
      <w:rPr>
        <w:b/>
        <w:sz w:val="18"/>
      </w:rPr>
      <w:fldChar w:fldCharType="begin"/>
    </w:r>
    <w:r w:rsidRPr="00D43D1B">
      <w:rPr>
        <w:b/>
        <w:sz w:val="18"/>
      </w:rPr>
      <w:instrText xml:space="preserve"> PAGE  \* MERGEFORMAT </w:instrText>
    </w:r>
    <w:r w:rsidRPr="00D43D1B">
      <w:rPr>
        <w:b/>
        <w:sz w:val="18"/>
      </w:rPr>
      <w:fldChar w:fldCharType="separate"/>
    </w:r>
    <w:r w:rsidRPr="00D43D1B">
      <w:rPr>
        <w:b/>
        <w:noProof/>
        <w:sz w:val="18"/>
      </w:rPr>
      <w:t>2</w:t>
    </w:r>
    <w:r w:rsidRPr="00D43D1B">
      <w:rPr>
        <w:b/>
        <w:sz w:val="18"/>
      </w:rPr>
      <w:fldChar w:fldCharType="end"/>
    </w:r>
    <w:r>
      <w:rPr>
        <w:b/>
        <w:sz w:val="18"/>
      </w:rPr>
      <w:tab/>
    </w:r>
    <w:r>
      <w:t>GE.18-13680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517B3" w14:textId="77777777" w:rsidR="00D43D1B" w:rsidRPr="00D43D1B" w:rsidRDefault="00D43D1B" w:rsidP="00D43D1B">
    <w:pPr>
      <w:pStyle w:val="Pieddepage"/>
      <w:tabs>
        <w:tab w:val="right" w:pos="9638"/>
      </w:tabs>
      <w:rPr>
        <w:b/>
        <w:sz w:val="18"/>
      </w:rPr>
    </w:pPr>
    <w:r>
      <w:t>GE.18-13680</w:t>
    </w:r>
    <w:r>
      <w:tab/>
    </w:r>
    <w:r w:rsidRPr="00D43D1B">
      <w:rPr>
        <w:b/>
        <w:sz w:val="18"/>
      </w:rPr>
      <w:fldChar w:fldCharType="begin"/>
    </w:r>
    <w:r w:rsidRPr="00D43D1B">
      <w:rPr>
        <w:b/>
        <w:sz w:val="18"/>
      </w:rPr>
      <w:instrText xml:space="preserve"> PAGE  \* MERGEFORMAT </w:instrText>
    </w:r>
    <w:r w:rsidRPr="00D43D1B">
      <w:rPr>
        <w:b/>
        <w:sz w:val="18"/>
      </w:rPr>
      <w:fldChar w:fldCharType="separate"/>
    </w:r>
    <w:r w:rsidRPr="00D43D1B">
      <w:rPr>
        <w:b/>
        <w:noProof/>
        <w:sz w:val="18"/>
      </w:rPr>
      <w:t>3</w:t>
    </w:r>
    <w:r w:rsidRPr="00D43D1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CC516D" w14:textId="77777777" w:rsidR="001B379B" w:rsidRPr="00D43D1B" w:rsidRDefault="00D43D1B" w:rsidP="00D43D1B">
    <w:pPr>
      <w:pStyle w:val="Pieddepage"/>
      <w:spacing w:before="120"/>
      <w:rPr>
        <w:sz w:val="20"/>
      </w:rPr>
    </w:pPr>
    <w:r>
      <w:rPr>
        <w:sz w:val="20"/>
      </w:rPr>
      <w:t>GE.</w:t>
    </w:r>
    <w:r w:rsidR="001B379B">
      <w:rPr>
        <w:noProof/>
        <w:lang w:eastAsia="fr-CH"/>
      </w:rPr>
      <w:drawing>
        <wp:anchor distT="0" distB="0" distL="114300" distR="114300" simplePos="0" relativeHeight="251660288" behindDoc="0" locked="0" layoutInCell="1" allowOverlap="0" wp14:anchorId="034717AD" wp14:editId="59640C55">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18-13680  (F)    230919    </w:t>
    </w:r>
    <w:r w:rsidR="009B105C">
      <w:rPr>
        <w:sz w:val="20"/>
      </w:rPr>
      <w:t>0110</w:t>
    </w:r>
    <w:r>
      <w:rPr>
        <w:sz w:val="20"/>
      </w:rPr>
      <w:t>19</w:t>
    </w:r>
    <w:r>
      <w:rPr>
        <w:sz w:val="20"/>
      </w:rPr>
      <w:br/>
    </w:r>
    <w:r w:rsidRPr="00D43D1B">
      <w:rPr>
        <w:rFonts w:ascii="C39T30Lfz" w:hAnsi="C39T30Lfz"/>
        <w:sz w:val="56"/>
      </w:rPr>
      <w:t></w:t>
    </w:r>
    <w:r w:rsidRPr="00D43D1B">
      <w:rPr>
        <w:rFonts w:ascii="C39T30Lfz" w:hAnsi="C39T30Lfz"/>
        <w:sz w:val="56"/>
      </w:rPr>
      <w:t></w:t>
    </w:r>
    <w:r w:rsidRPr="00D43D1B">
      <w:rPr>
        <w:rFonts w:ascii="C39T30Lfz" w:hAnsi="C39T30Lfz"/>
        <w:sz w:val="56"/>
      </w:rPr>
      <w:t></w:t>
    </w:r>
    <w:r w:rsidRPr="00D43D1B">
      <w:rPr>
        <w:rFonts w:ascii="C39T30Lfz" w:hAnsi="C39T30Lfz"/>
        <w:sz w:val="56"/>
      </w:rPr>
      <w:t></w:t>
    </w:r>
    <w:r w:rsidRPr="00D43D1B">
      <w:rPr>
        <w:rFonts w:ascii="C39T30Lfz" w:hAnsi="C39T30Lfz"/>
        <w:sz w:val="56"/>
      </w:rPr>
      <w:t></w:t>
    </w:r>
    <w:r w:rsidRPr="00D43D1B">
      <w:rPr>
        <w:rFonts w:ascii="C39T30Lfz" w:hAnsi="C39T30Lfz"/>
        <w:sz w:val="56"/>
      </w:rPr>
      <w:t></w:t>
    </w:r>
    <w:r w:rsidRPr="00D43D1B">
      <w:rPr>
        <w:rFonts w:ascii="C39T30Lfz" w:hAnsi="C39T30Lfz"/>
        <w:sz w:val="56"/>
      </w:rPr>
      <w:t></w:t>
    </w:r>
    <w:r w:rsidRPr="00D43D1B">
      <w:rPr>
        <w:rFonts w:ascii="C39T30Lfz" w:hAnsi="C39T30Lfz"/>
        <w:sz w:val="56"/>
      </w:rPr>
      <w:t></w:t>
    </w:r>
    <w:r w:rsidRPr="00D43D1B">
      <w:rPr>
        <w:rFonts w:ascii="C39T30Lfz" w:hAnsi="C39T30Lfz"/>
        <w:sz w:val="56"/>
      </w:rPr>
      <w:t></w:t>
    </w:r>
    <w:r>
      <w:rPr>
        <w:noProof/>
        <w:sz w:val="20"/>
      </w:rPr>
      <w:drawing>
        <wp:anchor distT="0" distB="0" distL="114300" distR="114300" simplePos="0" relativeHeight="251658240" behindDoc="0" locked="0" layoutInCell="1" allowOverlap="1" wp14:anchorId="6E39F378" wp14:editId="403E243A">
          <wp:simplePos x="0" y="0"/>
          <wp:positionH relativeFrom="margin">
            <wp:posOffset>5489575</wp:posOffset>
          </wp:positionH>
          <wp:positionV relativeFrom="margin">
            <wp:posOffset>8891905</wp:posOffset>
          </wp:positionV>
          <wp:extent cx="638175" cy="638175"/>
          <wp:effectExtent l="0" t="0" r="9525" b="9525"/>
          <wp:wrapNone/>
          <wp:docPr id="2" name="Image 1" descr="https://undocs.org/m2/QRCode.ashx?DS=CCPR/C/123/D/2673/2015&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3/D/2673/2015&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F3DA9C" w14:textId="77777777" w:rsidR="006823A0" w:rsidRPr="00AC3823" w:rsidRDefault="006823A0" w:rsidP="00AC3823">
      <w:pPr>
        <w:pStyle w:val="Pieddepage"/>
        <w:tabs>
          <w:tab w:val="right" w:pos="2155"/>
        </w:tabs>
        <w:spacing w:after="80" w:line="240" w:lineRule="atLeast"/>
        <w:ind w:left="680"/>
        <w:rPr>
          <w:u w:val="single"/>
        </w:rPr>
      </w:pPr>
      <w:r>
        <w:rPr>
          <w:u w:val="single"/>
        </w:rPr>
        <w:tab/>
      </w:r>
    </w:p>
  </w:footnote>
  <w:footnote w:type="continuationSeparator" w:id="0">
    <w:p w14:paraId="15699492" w14:textId="77777777" w:rsidR="006823A0" w:rsidRPr="00AC3823" w:rsidRDefault="006823A0" w:rsidP="00AC3823">
      <w:pPr>
        <w:pStyle w:val="Pieddepage"/>
        <w:tabs>
          <w:tab w:val="right" w:pos="2155"/>
        </w:tabs>
        <w:spacing w:after="80" w:line="240" w:lineRule="atLeast"/>
        <w:ind w:left="680"/>
        <w:rPr>
          <w:u w:val="single"/>
        </w:rPr>
      </w:pPr>
      <w:r>
        <w:rPr>
          <w:u w:val="single"/>
        </w:rPr>
        <w:tab/>
      </w:r>
    </w:p>
  </w:footnote>
  <w:footnote w:type="continuationNotice" w:id="1">
    <w:p w14:paraId="498EF212" w14:textId="77777777" w:rsidR="006823A0" w:rsidRPr="00AC3823" w:rsidRDefault="006823A0">
      <w:pPr>
        <w:spacing w:line="240" w:lineRule="auto"/>
        <w:rPr>
          <w:sz w:val="2"/>
          <w:szCs w:val="2"/>
        </w:rPr>
      </w:pPr>
    </w:p>
  </w:footnote>
  <w:footnote w:id="2">
    <w:p w14:paraId="2B00929F" w14:textId="77777777" w:rsidR="00D43D1B" w:rsidRPr="00D43D1B" w:rsidRDefault="00D43D1B">
      <w:pPr>
        <w:pStyle w:val="Notedebasdepage"/>
      </w:pPr>
      <w:r>
        <w:rPr>
          <w:rStyle w:val="Appelnotedebasdep"/>
        </w:rPr>
        <w:tab/>
      </w:r>
      <w:r w:rsidRPr="00D43D1B">
        <w:rPr>
          <w:rStyle w:val="Appelnotedebasdep"/>
          <w:sz w:val="20"/>
          <w:vertAlign w:val="baseline"/>
        </w:rPr>
        <w:t>*</w:t>
      </w:r>
      <w:r>
        <w:rPr>
          <w:rStyle w:val="Appelnotedebasdep"/>
          <w:sz w:val="20"/>
          <w:vertAlign w:val="baseline"/>
        </w:rPr>
        <w:tab/>
      </w:r>
      <w:r w:rsidRPr="00A9027C">
        <w:rPr>
          <w:lang w:val="fr-FR"/>
        </w:rPr>
        <w:t xml:space="preserve">Adoptées par le Comité à sa </w:t>
      </w:r>
      <w:r w:rsidRPr="001269BA">
        <w:rPr>
          <w:lang w:val="fr-FR"/>
        </w:rPr>
        <w:t>123</w:t>
      </w:r>
      <w:r w:rsidRPr="001269BA">
        <w:rPr>
          <w:vertAlign w:val="superscript"/>
          <w:lang w:val="fr-FR"/>
        </w:rPr>
        <w:t>e</w:t>
      </w:r>
      <w:r w:rsidRPr="00852D3F">
        <w:rPr>
          <w:lang w:val="fr-FR"/>
        </w:rPr>
        <w:t> session (</w:t>
      </w:r>
      <w:r w:rsidRPr="001269BA">
        <w:rPr>
          <w:lang w:val="fr-FR"/>
        </w:rPr>
        <w:t>2-27 juillet 2018</w:t>
      </w:r>
      <w:r w:rsidRPr="00852D3F">
        <w:rPr>
          <w:lang w:val="fr-FR"/>
        </w:rPr>
        <w:t>)</w:t>
      </w:r>
      <w:r w:rsidRPr="00A9027C">
        <w:rPr>
          <w:lang w:val="fr-FR"/>
        </w:rPr>
        <w:t>.</w:t>
      </w:r>
    </w:p>
  </w:footnote>
  <w:footnote w:id="3">
    <w:p w14:paraId="5005B786" w14:textId="77777777" w:rsidR="00D43D1B" w:rsidRPr="00D43D1B" w:rsidRDefault="00D43D1B">
      <w:pPr>
        <w:pStyle w:val="Notedebasdepage"/>
      </w:pPr>
      <w:r>
        <w:rPr>
          <w:rStyle w:val="Appelnotedebasdep"/>
        </w:rPr>
        <w:tab/>
      </w:r>
      <w:r w:rsidRPr="00D43D1B">
        <w:rPr>
          <w:rStyle w:val="Appelnotedebasdep"/>
          <w:sz w:val="20"/>
          <w:vertAlign w:val="baseline"/>
        </w:rPr>
        <w:t>**</w:t>
      </w:r>
      <w:r>
        <w:rPr>
          <w:rStyle w:val="Appelnotedebasdep"/>
          <w:sz w:val="20"/>
          <w:vertAlign w:val="baseline"/>
        </w:rPr>
        <w:tab/>
      </w:r>
      <w:r w:rsidRPr="00A9027C">
        <w:rPr>
          <w:lang w:val="fr-FR"/>
        </w:rPr>
        <w:t>Les membres du Comité dont le nom suit ont participé à l</w:t>
      </w:r>
      <w:r w:rsidR="004C779B">
        <w:rPr>
          <w:lang w:val="fr-FR"/>
        </w:rPr>
        <w:t>’</w:t>
      </w:r>
      <w:r w:rsidRPr="00A9027C">
        <w:rPr>
          <w:lang w:val="fr-FR"/>
        </w:rPr>
        <w:t>examen de la communication</w:t>
      </w:r>
      <w:r>
        <w:rPr>
          <w:lang w:val="fr-FR"/>
        </w:rPr>
        <w:t xml:space="preserve"> : </w:t>
      </w:r>
      <w:r w:rsidRPr="001269BA">
        <w:rPr>
          <w:rFonts w:cs="Arial"/>
          <w:lang w:val="fr-FR"/>
        </w:rPr>
        <w:t xml:space="preserve">Tania María Abdo Rocholl, </w:t>
      </w:r>
      <w:r w:rsidRPr="00812B41">
        <w:rPr>
          <w:spacing w:val="-1"/>
          <w:szCs w:val="18"/>
        </w:rPr>
        <w:t xml:space="preserve">Yadh Ben Achour, </w:t>
      </w:r>
      <w:r w:rsidRPr="00812B41">
        <w:rPr>
          <w:spacing w:val="-1"/>
        </w:rPr>
        <w:t>Ilze Brands Kehris</w:t>
      </w:r>
      <w:r w:rsidRPr="00812B41">
        <w:rPr>
          <w:spacing w:val="-1"/>
          <w:szCs w:val="18"/>
        </w:rPr>
        <w:t xml:space="preserve">, Sarah Cleveland, </w:t>
      </w:r>
      <w:r w:rsidRPr="00F94F07">
        <w:t>Ahmed Amin Fathalla</w:t>
      </w:r>
      <w:r>
        <w:rPr>
          <w:spacing w:val="-1"/>
          <w:szCs w:val="18"/>
        </w:rPr>
        <w:t xml:space="preserve">, </w:t>
      </w:r>
      <w:r w:rsidRPr="00812B41">
        <w:rPr>
          <w:spacing w:val="-1"/>
          <w:szCs w:val="18"/>
        </w:rPr>
        <w:t xml:space="preserve">Olivier de Frouville, Christof Heyns, Bamariam Koita, </w:t>
      </w:r>
      <w:r w:rsidRPr="00457BC5">
        <w:rPr>
          <w:spacing w:val="-1"/>
          <w:szCs w:val="18"/>
        </w:rPr>
        <w:t>Marcia V.</w:t>
      </w:r>
      <w:r>
        <w:rPr>
          <w:spacing w:val="-1"/>
          <w:szCs w:val="18"/>
        </w:rPr>
        <w:t> </w:t>
      </w:r>
      <w:r w:rsidRPr="00457BC5">
        <w:rPr>
          <w:spacing w:val="-1"/>
          <w:szCs w:val="18"/>
        </w:rPr>
        <w:t>J.</w:t>
      </w:r>
      <w:r>
        <w:rPr>
          <w:spacing w:val="-1"/>
          <w:szCs w:val="18"/>
        </w:rPr>
        <w:t> </w:t>
      </w:r>
      <w:r w:rsidRPr="00457BC5">
        <w:rPr>
          <w:spacing w:val="-1"/>
          <w:szCs w:val="18"/>
        </w:rPr>
        <w:t>Kran</w:t>
      </w:r>
      <w:r>
        <w:rPr>
          <w:spacing w:val="-1"/>
          <w:szCs w:val="18"/>
        </w:rPr>
        <w:t xml:space="preserve">, </w:t>
      </w:r>
      <w:r w:rsidRPr="00F94F07">
        <w:t>Duncan Laki Muhumuza</w:t>
      </w:r>
      <w:r>
        <w:rPr>
          <w:spacing w:val="-1"/>
          <w:szCs w:val="18"/>
        </w:rPr>
        <w:t xml:space="preserve">, Photini Pazartzis, </w:t>
      </w:r>
      <w:r w:rsidRPr="00812B41">
        <w:rPr>
          <w:spacing w:val="-1"/>
          <w:szCs w:val="18"/>
        </w:rPr>
        <w:t xml:space="preserve">Mauro Politi, </w:t>
      </w:r>
      <w:r w:rsidRPr="00812B41">
        <w:rPr>
          <w:spacing w:val="-1"/>
        </w:rPr>
        <w:t xml:space="preserve">José Manuel Santos Pais, </w:t>
      </w:r>
      <w:r w:rsidRPr="00812B41">
        <w:rPr>
          <w:spacing w:val="-1"/>
          <w:szCs w:val="18"/>
        </w:rPr>
        <w:t xml:space="preserve">Yuval Shany </w:t>
      </w:r>
      <w:r>
        <w:rPr>
          <w:spacing w:val="-1"/>
          <w:szCs w:val="18"/>
        </w:rPr>
        <w:t>et</w:t>
      </w:r>
      <w:r w:rsidRPr="00812B41">
        <w:rPr>
          <w:spacing w:val="-1"/>
          <w:szCs w:val="18"/>
        </w:rPr>
        <w:t xml:space="preserve"> Margo Waterval</w:t>
      </w:r>
      <w:r>
        <w:rPr>
          <w:spacing w:val="-1"/>
          <w:szCs w:val="18"/>
        </w:rPr>
        <w:t>.</w:t>
      </w:r>
    </w:p>
  </w:footnote>
  <w:footnote w:id="4">
    <w:p w14:paraId="065E80C0" w14:textId="77777777" w:rsidR="00D43D1B" w:rsidRDefault="00D43D1B" w:rsidP="00D43D1B">
      <w:pPr>
        <w:pStyle w:val="Notedebasdepage"/>
      </w:pPr>
      <w:r>
        <w:tab/>
      </w:r>
      <w:r w:rsidRPr="001269BA">
        <w:rPr>
          <w:rStyle w:val="Appelnotedebasdep"/>
        </w:rPr>
        <w:footnoteRef/>
      </w:r>
      <w:r>
        <w:tab/>
      </w:r>
      <w:r w:rsidRPr="00447EB7">
        <w:rPr>
          <w:lang w:val="fr-FR"/>
        </w:rPr>
        <w:t xml:space="preserve">Dans un certificat médical joint à la communication, il est indiqué </w:t>
      </w:r>
      <w:r>
        <w:rPr>
          <w:lang w:val="fr-FR"/>
        </w:rPr>
        <w:t>que la fille de l</w:t>
      </w:r>
      <w:r w:rsidR="004C779B">
        <w:rPr>
          <w:lang w:val="fr-FR"/>
        </w:rPr>
        <w:t>’</w:t>
      </w:r>
      <w:r>
        <w:rPr>
          <w:lang w:val="fr-FR"/>
        </w:rPr>
        <w:t xml:space="preserve">auteure </w:t>
      </w:r>
      <w:r w:rsidRPr="00447EB7">
        <w:rPr>
          <w:lang w:val="fr-FR"/>
        </w:rPr>
        <w:t>souffre d</w:t>
      </w:r>
      <w:r w:rsidR="004C779B">
        <w:rPr>
          <w:lang w:val="fr-FR"/>
        </w:rPr>
        <w:t>’</w:t>
      </w:r>
      <w:r w:rsidRPr="00447EB7">
        <w:rPr>
          <w:lang w:val="fr-FR"/>
        </w:rPr>
        <w:t>une « p</w:t>
      </w:r>
      <w:r>
        <w:rPr>
          <w:lang w:val="fr-FR"/>
        </w:rPr>
        <w:t xml:space="preserve">aralysie </w:t>
      </w:r>
      <w:r w:rsidRPr="00447EB7">
        <w:rPr>
          <w:lang w:val="fr-FR"/>
        </w:rPr>
        <w:t>spas</w:t>
      </w:r>
      <w:r>
        <w:rPr>
          <w:lang w:val="fr-FR"/>
        </w:rPr>
        <w:t>modique des membres </w:t>
      </w:r>
      <w:r w:rsidRPr="00447EB7">
        <w:rPr>
          <w:lang w:val="fr-FR"/>
        </w:rPr>
        <w:t xml:space="preserve">» </w:t>
      </w:r>
      <w:r>
        <w:rPr>
          <w:lang w:val="fr-FR"/>
        </w:rPr>
        <w:t>et de troubles du développement</w:t>
      </w:r>
      <w:r w:rsidRPr="00447EB7">
        <w:rPr>
          <w:lang w:val="fr-FR"/>
        </w:rPr>
        <w:t>.</w:t>
      </w:r>
    </w:p>
  </w:footnote>
  <w:footnote w:id="5">
    <w:p w14:paraId="727DFCE5" w14:textId="77777777" w:rsidR="00D43D1B" w:rsidRPr="00404DB6" w:rsidRDefault="00D43D1B" w:rsidP="00D43D1B">
      <w:pPr>
        <w:pStyle w:val="Notedebasdepage"/>
        <w:rPr>
          <w:lang w:val="fr-FR"/>
        </w:rPr>
      </w:pPr>
      <w:r w:rsidRPr="0002495B">
        <w:rPr>
          <w:lang w:val="fr-FR"/>
        </w:rPr>
        <w:tab/>
      </w:r>
      <w:r w:rsidRPr="001269BA">
        <w:rPr>
          <w:rStyle w:val="Appelnotedebasdep"/>
        </w:rPr>
        <w:footnoteRef/>
      </w:r>
      <w:r w:rsidRPr="00404DB6">
        <w:rPr>
          <w:lang w:val="fr-FR"/>
        </w:rPr>
        <w:tab/>
        <w:t>L</w:t>
      </w:r>
      <w:r w:rsidR="004C779B">
        <w:rPr>
          <w:lang w:val="fr-FR"/>
        </w:rPr>
        <w:t>’</w:t>
      </w:r>
      <w:r w:rsidRPr="00404DB6">
        <w:rPr>
          <w:lang w:val="fr-FR"/>
        </w:rPr>
        <w:t>État partie renvoie à l</w:t>
      </w:r>
      <w:r w:rsidR="004C779B">
        <w:rPr>
          <w:lang w:val="fr-FR"/>
        </w:rPr>
        <w:t>’</w:t>
      </w:r>
      <w:r w:rsidRPr="00404DB6">
        <w:rPr>
          <w:lang w:val="fr-FR"/>
        </w:rPr>
        <w:t xml:space="preserve">article </w:t>
      </w:r>
      <w:r>
        <w:rPr>
          <w:lang w:val="fr-FR"/>
        </w:rPr>
        <w:t xml:space="preserve">premier </w:t>
      </w:r>
      <w:r w:rsidRPr="00404DB6">
        <w:rPr>
          <w:lang w:val="fr-FR"/>
        </w:rPr>
        <w:t>de la Convention europé</w:t>
      </w:r>
      <w:r>
        <w:rPr>
          <w:lang w:val="fr-FR"/>
        </w:rPr>
        <w:t>enne d</w:t>
      </w:r>
      <w:r w:rsidR="004C779B">
        <w:rPr>
          <w:lang w:val="fr-FR"/>
        </w:rPr>
        <w:t>’</w:t>
      </w:r>
      <w:r>
        <w:rPr>
          <w:lang w:val="fr-FR"/>
        </w:rPr>
        <w:t>assistance sociale et médicale et à l</w:t>
      </w:r>
      <w:r w:rsidR="004C779B">
        <w:rPr>
          <w:lang w:val="fr-FR"/>
        </w:rPr>
        <w:t>’</w:t>
      </w:r>
      <w:r w:rsidRPr="00404DB6">
        <w:rPr>
          <w:lang w:val="fr-FR"/>
        </w:rPr>
        <w:t>article</w:t>
      </w:r>
      <w:r>
        <w:rPr>
          <w:lang w:val="fr-FR"/>
        </w:rPr>
        <w:t xml:space="preserve"> premier </w:t>
      </w:r>
      <w:r w:rsidRPr="00404DB6">
        <w:rPr>
          <w:lang w:val="fr-FR"/>
        </w:rPr>
        <w:t>(</w:t>
      </w:r>
      <w:r>
        <w:rPr>
          <w:lang w:val="fr-FR"/>
        </w:rPr>
        <w:t>par. </w:t>
      </w:r>
      <w:r w:rsidRPr="00404DB6">
        <w:rPr>
          <w:lang w:val="fr-FR"/>
        </w:rPr>
        <w:t xml:space="preserve">1) </w:t>
      </w:r>
      <w:r>
        <w:rPr>
          <w:lang w:val="fr-FR"/>
        </w:rPr>
        <w:t>de l</w:t>
      </w:r>
      <w:r w:rsidR="004C779B">
        <w:rPr>
          <w:lang w:val="fr-FR"/>
        </w:rPr>
        <w:t>’</w:t>
      </w:r>
      <w:r>
        <w:rPr>
          <w:lang w:val="fr-FR"/>
        </w:rPr>
        <w:t>annexe de la Charte sociale européenne (</w:t>
      </w:r>
      <w:r w:rsidRPr="00934135">
        <w:rPr>
          <w:lang w:val="fr-FR"/>
        </w:rPr>
        <w:t>révisée).</w:t>
      </w:r>
    </w:p>
  </w:footnote>
  <w:footnote w:id="6">
    <w:p w14:paraId="665BD167" w14:textId="77777777" w:rsidR="00D43D1B" w:rsidRPr="001A6B04" w:rsidRDefault="00D43D1B" w:rsidP="00D43D1B">
      <w:pPr>
        <w:pStyle w:val="Notedebasdepage"/>
        <w:rPr>
          <w:lang w:val="fr-FR"/>
        </w:rPr>
      </w:pPr>
      <w:r w:rsidRPr="00404DB6">
        <w:rPr>
          <w:lang w:val="fr-FR"/>
        </w:rPr>
        <w:tab/>
      </w:r>
      <w:r w:rsidRPr="001269BA">
        <w:rPr>
          <w:rStyle w:val="Appelnotedebasdep"/>
        </w:rPr>
        <w:footnoteRef/>
      </w:r>
      <w:r w:rsidRPr="001A6B04">
        <w:rPr>
          <w:lang w:val="fr-FR"/>
        </w:rPr>
        <w:tab/>
      </w:r>
      <w:r>
        <w:rPr>
          <w:lang w:val="fr-FR"/>
        </w:rPr>
        <w:t xml:space="preserve">Voir </w:t>
      </w:r>
      <w:r w:rsidRPr="001A6B04">
        <w:rPr>
          <w:lang w:val="fr-FR"/>
        </w:rPr>
        <w:t>Cour européenne des droits de l</w:t>
      </w:r>
      <w:r w:rsidR="004C779B">
        <w:rPr>
          <w:lang w:val="fr-FR"/>
        </w:rPr>
        <w:t>’</w:t>
      </w:r>
      <w:r w:rsidRPr="001A6B04">
        <w:rPr>
          <w:lang w:val="fr-FR"/>
        </w:rPr>
        <w:t xml:space="preserve">homme, </w:t>
      </w:r>
      <w:r w:rsidRPr="001A6B04">
        <w:rPr>
          <w:i/>
          <w:lang w:val="fr-FR"/>
        </w:rPr>
        <w:t xml:space="preserve">Nacic </w:t>
      </w:r>
      <w:r>
        <w:rPr>
          <w:i/>
          <w:lang w:val="fr-FR"/>
        </w:rPr>
        <w:t>et autres</w:t>
      </w:r>
      <w:r w:rsidRPr="001A6B04">
        <w:rPr>
          <w:i/>
          <w:lang w:val="fr-FR"/>
        </w:rPr>
        <w:t xml:space="preserve"> </w:t>
      </w:r>
      <w:r>
        <w:rPr>
          <w:i/>
          <w:iCs/>
          <w:lang w:val="fr-FR"/>
        </w:rPr>
        <w:t>c</w:t>
      </w:r>
      <w:r w:rsidRPr="001A6B04">
        <w:rPr>
          <w:lang w:val="fr-FR"/>
        </w:rPr>
        <w:t>.</w:t>
      </w:r>
      <w:r>
        <w:rPr>
          <w:i/>
          <w:lang w:val="fr-FR"/>
        </w:rPr>
        <w:t> Suède</w:t>
      </w:r>
      <w:r w:rsidRPr="001A6B04">
        <w:rPr>
          <w:lang w:val="fr-FR"/>
        </w:rPr>
        <w:t xml:space="preserve"> </w:t>
      </w:r>
      <w:r>
        <w:rPr>
          <w:lang w:val="fr-FR"/>
        </w:rPr>
        <w:t xml:space="preserve">(requête </w:t>
      </w:r>
      <w:r w:rsidRPr="001A6B04">
        <w:rPr>
          <w:lang w:val="fr-FR"/>
        </w:rPr>
        <w:t>n</w:t>
      </w:r>
      <w:r w:rsidRPr="003B0B95">
        <w:rPr>
          <w:vertAlign w:val="superscript"/>
          <w:lang w:val="fr-FR"/>
        </w:rPr>
        <w:t>o</w:t>
      </w:r>
      <w:r>
        <w:rPr>
          <w:lang w:val="fr-FR"/>
        </w:rPr>
        <w:t> </w:t>
      </w:r>
      <w:r w:rsidRPr="001A6B04">
        <w:rPr>
          <w:lang w:val="fr-FR"/>
        </w:rPr>
        <w:t>16567/10</w:t>
      </w:r>
      <w:r>
        <w:rPr>
          <w:lang w:val="fr-FR"/>
        </w:rPr>
        <w:t>)</w:t>
      </w:r>
      <w:r w:rsidRPr="001A6B04">
        <w:rPr>
          <w:lang w:val="fr-FR"/>
        </w:rPr>
        <w:t xml:space="preserve">, </w:t>
      </w:r>
      <w:r w:rsidRPr="00D43D1B">
        <w:rPr>
          <w:lang w:val="fr-FR"/>
        </w:rPr>
        <w:t>arrêt du</w:t>
      </w:r>
      <w:r>
        <w:rPr>
          <w:lang w:val="fr-FR"/>
        </w:rPr>
        <w:t xml:space="preserve"> 15 mai </w:t>
      </w:r>
      <w:r w:rsidRPr="001A6B04">
        <w:rPr>
          <w:lang w:val="fr-FR"/>
        </w:rPr>
        <w:t>2012, par.</w:t>
      </w:r>
      <w:r>
        <w:rPr>
          <w:lang w:val="fr-FR"/>
        </w:rPr>
        <w:t> </w:t>
      </w:r>
      <w:r w:rsidRPr="001A6B04">
        <w:rPr>
          <w:lang w:val="fr-FR"/>
        </w:rPr>
        <w:t>79.</w:t>
      </w:r>
    </w:p>
  </w:footnote>
  <w:footnote w:id="7">
    <w:p w14:paraId="6B7D5221" w14:textId="77777777" w:rsidR="00D43D1B" w:rsidRPr="000D31DD" w:rsidRDefault="00D43D1B" w:rsidP="00D43D1B">
      <w:pPr>
        <w:pStyle w:val="Notedebasdepage"/>
        <w:rPr>
          <w:lang w:val="fr-FR"/>
        </w:rPr>
      </w:pPr>
      <w:r w:rsidRPr="001A6B04">
        <w:rPr>
          <w:lang w:val="fr-FR"/>
        </w:rPr>
        <w:tab/>
      </w:r>
      <w:r w:rsidRPr="001269BA">
        <w:rPr>
          <w:rStyle w:val="Appelnotedebasdep"/>
        </w:rPr>
        <w:footnoteRef/>
      </w:r>
      <w:r w:rsidRPr="000D31DD">
        <w:rPr>
          <w:rStyle w:val="Appelnotedebasdep"/>
          <w:lang w:val="fr-FR"/>
        </w:rPr>
        <w:tab/>
      </w:r>
      <w:r w:rsidRPr="000D31DD">
        <w:rPr>
          <w:lang w:val="fr-FR"/>
        </w:rPr>
        <w:t>Voir</w:t>
      </w:r>
      <w:r w:rsidRPr="000D31DD">
        <w:rPr>
          <w:spacing w:val="-2"/>
          <w:lang w:val="fr-FR"/>
        </w:rPr>
        <w:t xml:space="preserve"> </w:t>
      </w:r>
      <w:bookmarkStart w:id="8" w:name="_Hlk13048366"/>
      <w:r w:rsidRPr="00805182">
        <w:rPr>
          <w:i/>
        </w:rPr>
        <w:t xml:space="preserve">Oulajin </w:t>
      </w:r>
      <w:r>
        <w:rPr>
          <w:i/>
        </w:rPr>
        <w:t>et</w:t>
      </w:r>
      <w:r w:rsidRPr="00805182">
        <w:rPr>
          <w:i/>
        </w:rPr>
        <w:t xml:space="preserve"> Kaiss </w:t>
      </w:r>
      <w:r w:rsidRPr="00D43D1B">
        <w:rPr>
          <w:i/>
        </w:rPr>
        <w:t>c. Pays</w:t>
      </w:r>
      <w:r>
        <w:rPr>
          <w:i/>
        </w:rPr>
        <w:t>-Bas</w:t>
      </w:r>
      <w:r w:rsidRPr="000D31DD" w:rsidDel="009B4190">
        <w:rPr>
          <w:i/>
          <w:spacing w:val="-2"/>
          <w:lang w:val="fr-FR"/>
        </w:rPr>
        <w:t xml:space="preserve"> </w:t>
      </w:r>
      <w:bookmarkEnd w:id="8"/>
      <w:r w:rsidRPr="000D31DD">
        <w:rPr>
          <w:spacing w:val="-2"/>
          <w:lang w:val="fr-FR"/>
        </w:rPr>
        <w:t xml:space="preserve">(CCPR/C/46/D/406/1990), par. 7.3 ; </w:t>
      </w:r>
      <w:r w:rsidRPr="00805182">
        <w:rPr>
          <w:i/>
        </w:rPr>
        <w:t xml:space="preserve">Oulajin </w:t>
      </w:r>
      <w:r>
        <w:rPr>
          <w:i/>
        </w:rPr>
        <w:t>et</w:t>
      </w:r>
      <w:r w:rsidRPr="00805182">
        <w:rPr>
          <w:i/>
        </w:rPr>
        <w:t xml:space="preserve"> Kaiss </w:t>
      </w:r>
      <w:r>
        <w:rPr>
          <w:i/>
        </w:rPr>
        <w:t>c</w:t>
      </w:r>
      <w:r w:rsidRPr="00805182">
        <w:rPr>
          <w:i/>
        </w:rPr>
        <w:t>.</w:t>
      </w:r>
      <w:r>
        <w:rPr>
          <w:i/>
        </w:rPr>
        <w:t> </w:t>
      </w:r>
      <w:r w:rsidRPr="00D43D1B">
        <w:rPr>
          <w:i/>
        </w:rPr>
        <w:t>Pays</w:t>
      </w:r>
      <w:r>
        <w:rPr>
          <w:i/>
        </w:rPr>
        <w:noBreakHyphen/>
        <w:t>Bas</w:t>
      </w:r>
      <w:r w:rsidRPr="000D31DD" w:rsidDel="009B4190">
        <w:rPr>
          <w:i/>
          <w:spacing w:val="-2"/>
          <w:lang w:val="fr-FR"/>
        </w:rPr>
        <w:t xml:space="preserve"> </w:t>
      </w:r>
      <w:r w:rsidRPr="000D31DD">
        <w:rPr>
          <w:spacing w:val="-2"/>
          <w:lang w:val="fr-FR"/>
        </w:rPr>
        <w:t xml:space="preserve">(CCPR/C/46/D/426/1990), par. 7.3 ; </w:t>
      </w:r>
      <w:r w:rsidRPr="000D31DD">
        <w:rPr>
          <w:i/>
          <w:spacing w:val="-2"/>
          <w:lang w:val="fr-FR"/>
        </w:rPr>
        <w:t xml:space="preserve">Broeks </w:t>
      </w:r>
      <w:r>
        <w:rPr>
          <w:i/>
        </w:rPr>
        <w:t>c</w:t>
      </w:r>
      <w:r w:rsidRPr="00805182">
        <w:rPr>
          <w:i/>
        </w:rPr>
        <w:t>.</w:t>
      </w:r>
      <w:r>
        <w:rPr>
          <w:i/>
        </w:rPr>
        <w:t> </w:t>
      </w:r>
      <w:r w:rsidRPr="00D43D1B">
        <w:rPr>
          <w:i/>
        </w:rPr>
        <w:t>Pays</w:t>
      </w:r>
      <w:r>
        <w:rPr>
          <w:i/>
        </w:rPr>
        <w:noBreakHyphen/>
        <w:t>Bas</w:t>
      </w:r>
      <w:r w:rsidRPr="000D31DD">
        <w:rPr>
          <w:spacing w:val="-2"/>
          <w:lang w:val="fr-FR"/>
        </w:rPr>
        <w:t xml:space="preserve"> (CCPR/C/29/D/172/1984), par. 12.4 ; </w:t>
      </w:r>
      <w:r w:rsidRPr="000D31DD">
        <w:rPr>
          <w:i/>
          <w:spacing w:val="-2"/>
          <w:lang w:val="fr-FR"/>
        </w:rPr>
        <w:t>Zwaan</w:t>
      </w:r>
      <w:r>
        <w:rPr>
          <w:i/>
          <w:spacing w:val="-2"/>
          <w:lang w:val="fr-FR"/>
        </w:rPr>
        <w:noBreakHyphen/>
      </w:r>
      <w:r w:rsidRPr="000D31DD">
        <w:rPr>
          <w:i/>
          <w:spacing w:val="-2"/>
          <w:lang w:val="fr-FR"/>
        </w:rPr>
        <w:t xml:space="preserve">de-Vries </w:t>
      </w:r>
      <w:r>
        <w:rPr>
          <w:i/>
        </w:rPr>
        <w:t>c</w:t>
      </w:r>
      <w:r w:rsidRPr="00805182">
        <w:rPr>
          <w:i/>
        </w:rPr>
        <w:t>.</w:t>
      </w:r>
      <w:r>
        <w:rPr>
          <w:i/>
        </w:rPr>
        <w:t> </w:t>
      </w:r>
      <w:r w:rsidRPr="00D43D1B">
        <w:rPr>
          <w:i/>
        </w:rPr>
        <w:t>Pays</w:t>
      </w:r>
      <w:r>
        <w:rPr>
          <w:i/>
        </w:rPr>
        <w:noBreakHyphen/>
        <w:t>Bas</w:t>
      </w:r>
      <w:r w:rsidRPr="000D31DD">
        <w:rPr>
          <w:spacing w:val="-2"/>
          <w:lang w:val="fr-FR"/>
        </w:rPr>
        <w:t xml:space="preserve"> (CCPR/C/29/D/182/1984), par. 12.4 ; </w:t>
      </w:r>
      <w:r w:rsidRPr="000D31DD">
        <w:rPr>
          <w:i/>
          <w:spacing w:val="-2"/>
          <w:lang w:val="fr-FR"/>
        </w:rPr>
        <w:t xml:space="preserve">Vos </w:t>
      </w:r>
      <w:r>
        <w:rPr>
          <w:i/>
        </w:rPr>
        <w:t>c</w:t>
      </w:r>
      <w:r w:rsidRPr="00805182">
        <w:rPr>
          <w:i/>
        </w:rPr>
        <w:t>.</w:t>
      </w:r>
      <w:r>
        <w:rPr>
          <w:i/>
        </w:rPr>
        <w:t> </w:t>
      </w:r>
      <w:r w:rsidRPr="00D43D1B">
        <w:rPr>
          <w:i/>
        </w:rPr>
        <w:t>Pays</w:t>
      </w:r>
      <w:r>
        <w:rPr>
          <w:i/>
        </w:rPr>
        <w:noBreakHyphen/>
        <w:t>Bas</w:t>
      </w:r>
      <w:r w:rsidRPr="000D31DD">
        <w:rPr>
          <w:spacing w:val="-2"/>
          <w:lang w:val="fr-FR"/>
        </w:rPr>
        <w:t xml:space="preserve"> (CCPR/C/35/D/218/1986), par. 11.3 ; </w:t>
      </w:r>
      <w:r w:rsidRPr="000D31DD">
        <w:rPr>
          <w:i/>
          <w:spacing w:val="-2"/>
          <w:lang w:val="fr-FR"/>
        </w:rPr>
        <w:t xml:space="preserve">Pauger </w:t>
      </w:r>
      <w:r>
        <w:rPr>
          <w:i/>
          <w:spacing w:val="-2"/>
          <w:lang w:val="fr-FR"/>
        </w:rPr>
        <w:t>c</w:t>
      </w:r>
      <w:r w:rsidRPr="00805182">
        <w:rPr>
          <w:i/>
        </w:rPr>
        <w:t>.</w:t>
      </w:r>
      <w:r>
        <w:rPr>
          <w:i/>
        </w:rPr>
        <w:t> </w:t>
      </w:r>
      <w:r w:rsidRPr="00805182">
        <w:rPr>
          <w:i/>
        </w:rPr>
        <w:t>Au</w:t>
      </w:r>
      <w:r>
        <w:rPr>
          <w:i/>
        </w:rPr>
        <w:t>triche</w:t>
      </w:r>
      <w:r w:rsidRPr="000D31DD">
        <w:rPr>
          <w:spacing w:val="-2"/>
          <w:lang w:val="fr-FR"/>
        </w:rPr>
        <w:t xml:space="preserve"> (CCPR/C/44/D/415/1990), par. 7.2 ; </w:t>
      </w:r>
      <w:r>
        <w:rPr>
          <w:spacing w:val="-2"/>
          <w:lang w:val="fr-FR"/>
        </w:rPr>
        <w:t xml:space="preserve">et </w:t>
      </w:r>
      <w:r w:rsidRPr="000D31DD">
        <w:rPr>
          <w:i/>
          <w:spacing w:val="-2"/>
          <w:lang w:val="fr-FR"/>
        </w:rPr>
        <w:t xml:space="preserve">Sprenger </w:t>
      </w:r>
      <w:r>
        <w:rPr>
          <w:i/>
        </w:rPr>
        <w:t>c</w:t>
      </w:r>
      <w:r w:rsidRPr="00805182">
        <w:rPr>
          <w:i/>
        </w:rPr>
        <w:t>.</w:t>
      </w:r>
      <w:r>
        <w:rPr>
          <w:i/>
        </w:rPr>
        <w:t> </w:t>
      </w:r>
      <w:r w:rsidRPr="00D43D1B">
        <w:rPr>
          <w:i/>
        </w:rPr>
        <w:t>Pays</w:t>
      </w:r>
      <w:r>
        <w:rPr>
          <w:i/>
        </w:rPr>
        <w:noBreakHyphen/>
        <w:t>Bas</w:t>
      </w:r>
      <w:r w:rsidRPr="000D31DD">
        <w:rPr>
          <w:spacing w:val="-2"/>
          <w:lang w:val="fr-FR"/>
        </w:rPr>
        <w:t xml:space="preserve"> (CCPR/C/44/D/395/1990), par. 7.2.</w:t>
      </w:r>
    </w:p>
  </w:footnote>
  <w:footnote w:id="8">
    <w:p w14:paraId="41C4A38A" w14:textId="77777777" w:rsidR="00D43D1B" w:rsidRPr="007C7CFF" w:rsidRDefault="00D43D1B" w:rsidP="00D43D1B">
      <w:pPr>
        <w:pStyle w:val="Notedebasdepage"/>
        <w:rPr>
          <w:lang w:val="fr-FR"/>
        </w:rPr>
      </w:pPr>
      <w:r w:rsidRPr="000D31DD">
        <w:rPr>
          <w:lang w:val="fr-FR"/>
        </w:rPr>
        <w:tab/>
      </w:r>
      <w:r w:rsidRPr="001269BA">
        <w:rPr>
          <w:rStyle w:val="Appelnotedebasdep"/>
        </w:rPr>
        <w:footnoteRef/>
      </w:r>
      <w:r w:rsidRPr="00942D30">
        <w:rPr>
          <w:lang w:val="fr-FR"/>
        </w:rPr>
        <w:tab/>
      </w:r>
      <w:r>
        <w:rPr>
          <w:lang w:val="fr-FR"/>
        </w:rPr>
        <w:t xml:space="preserve">Voir </w:t>
      </w:r>
      <w:r w:rsidRPr="00942D30">
        <w:rPr>
          <w:lang w:val="fr-FR"/>
        </w:rPr>
        <w:t>Observation générale n</w:t>
      </w:r>
      <w:r w:rsidRPr="00942D30">
        <w:rPr>
          <w:vertAlign w:val="superscript"/>
          <w:lang w:val="fr-FR"/>
        </w:rPr>
        <w:t>o</w:t>
      </w:r>
      <w:r w:rsidRPr="00942D30">
        <w:rPr>
          <w:lang w:val="fr-FR"/>
        </w:rPr>
        <w:t> 18, par.</w:t>
      </w:r>
      <w:r>
        <w:rPr>
          <w:lang w:val="fr-FR"/>
        </w:rPr>
        <w:t> </w:t>
      </w:r>
      <w:r w:rsidRPr="007C7CFF">
        <w:rPr>
          <w:lang w:val="fr-FR"/>
        </w:rPr>
        <w:t>7.</w:t>
      </w:r>
    </w:p>
  </w:footnote>
  <w:footnote w:id="9">
    <w:p w14:paraId="2FC2C02C" w14:textId="77777777" w:rsidR="00D43D1B" w:rsidRPr="001C4268" w:rsidRDefault="00D43D1B" w:rsidP="00D43D1B">
      <w:pPr>
        <w:pStyle w:val="Notedebasdepage"/>
        <w:rPr>
          <w:lang w:val="fr-FR"/>
        </w:rPr>
      </w:pPr>
      <w:r w:rsidRPr="007C7CFF">
        <w:rPr>
          <w:lang w:val="fr-FR"/>
        </w:rPr>
        <w:tab/>
      </w:r>
      <w:r w:rsidRPr="001269BA">
        <w:rPr>
          <w:rStyle w:val="Appelnotedebasdep"/>
        </w:rPr>
        <w:footnoteRef/>
      </w:r>
      <w:r w:rsidRPr="001C4268">
        <w:rPr>
          <w:lang w:val="fr-FR"/>
        </w:rPr>
        <w:tab/>
      </w:r>
      <w:r>
        <w:rPr>
          <w:lang w:val="fr-FR"/>
        </w:rPr>
        <w:t xml:space="preserve">Ibid., par. 13. </w:t>
      </w:r>
      <w:r w:rsidRPr="001C4268">
        <w:rPr>
          <w:lang w:val="fr-FR"/>
        </w:rPr>
        <w:t xml:space="preserve">Voir </w:t>
      </w:r>
      <w:r>
        <w:rPr>
          <w:lang w:val="fr-FR"/>
        </w:rPr>
        <w:t xml:space="preserve">aussi </w:t>
      </w:r>
      <w:bookmarkStart w:id="9" w:name="_Hlk13050862"/>
      <w:r w:rsidRPr="00F80762">
        <w:rPr>
          <w:i/>
        </w:rPr>
        <w:t xml:space="preserve">G. </w:t>
      </w:r>
      <w:r w:rsidRPr="001269BA">
        <w:rPr>
          <w:i/>
        </w:rPr>
        <w:t>c.</w:t>
      </w:r>
      <w:r w:rsidRPr="00F80762">
        <w:rPr>
          <w:i/>
        </w:rPr>
        <w:t> Australie</w:t>
      </w:r>
      <w:r>
        <w:t xml:space="preserve"> </w:t>
      </w:r>
      <w:bookmarkEnd w:id="9"/>
      <w:r>
        <w:t>(CCPR/C/119/D/2172/2012), par. </w:t>
      </w:r>
      <w:r w:rsidRPr="00A91301">
        <w:rPr>
          <w:lang w:val="fr-FR"/>
        </w:rPr>
        <w:t>7.12</w:t>
      </w:r>
      <w:r>
        <w:rPr>
          <w:lang w:val="fr-FR"/>
        </w:rPr>
        <w:t> ;</w:t>
      </w:r>
      <w:r w:rsidRPr="00A91301">
        <w:rPr>
          <w:lang w:val="fr-FR"/>
        </w:rPr>
        <w:t xml:space="preserve"> </w:t>
      </w:r>
      <w:r>
        <w:rPr>
          <w:i/>
          <w:lang w:val="fr-FR"/>
        </w:rPr>
        <w:t xml:space="preserve">Zwaan-de Vries </w:t>
      </w:r>
      <w:r>
        <w:rPr>
          <w:i/>
        </w:rPr>
        <w:t>c</w:t>
      </w:r>
      <w:r w:rsidRPr="00805182">
        <w:rPr>
          <w:i/>
        </w:rPr>
        <w:t>.</w:t>
      </w:r>
      <w:r>
        <w:rPr>
          <w:i/>
        </w:rPr>
        <w:t> </w:t>
      </w:r>
      <w:r w:rsidRPr="00D43D1B">
        <w:rPr>
          <w:i/>
        </w:rPr>
        <w:t>Pays</w:t>
      </w:r>
      <w:r>
        <w:rPr>
          <w:i/>
        </w:rPr>
        <w:noBreakHyphen/>
        <w:t>Bas</w:t>
      </w:r>
      <w:r>
        <w:rPr>
          <w:lang w:val="fr-FR"/>
        </w:rPr>
        <w:t>, par. </w:t>
      </w:r>
      <w:r w:rsidRPr="003E6921">
        <w:t>13</w:t>
      </w:r>
      <w:r>
        <w:t> ;</w:t>
      </w:r>
      <w:r w:rsidRPr="003E6921">
        <w:t xml:space="preserve"> </w:t>
      </w:r>
      <w:r w:rsidRPr="00F80762">
        <w:rPr>
          <w:i/>
        </w:rPr>
        <w:t xml:space="preserve">Drda </w:t>
      </w:r>
      <w:r w:rsidRPr="00D43D1B">
        <w:rPr>
          <w:i/>
          <w:iCs/>
        </w:rPr>
        <w:t>c</w:t>
      </w:r>
      <w:r w:rsidRPr="001269BA">
        <w:rPr>
          <w:i/>
        </w:rPr>
        <w:t>.</w:t>
      </w:r>
      <w:r w:rsidRPr="00F80762">
        <w:rPr>
          <w:i/>
        </w:rPr>
        <w:t> République tchèque</w:t>
      </w:r>
      <w:r>
        <w:t xml:space="preserve"> (CCPR/C/100/D/1581/2007), par. </w:t>
      </w:r>
      <w:r w:rsidRPr="003E6921">
        <w:t>7.2</w:t>
      </w:r>
      <w:r>
        <w:t> </w:t>
      </w:r>
      <w:r w:rsidRPr="006B1E7D">
        <w:t>;</w:t>
      </w:r>
      <w:r>
        <w:rPr>
          <w:i/>
        </w:rPr>
        <w:t xml:space="preserve"> Broeks c</w:t>
      </w:r>
      <w:r w:rsidRPr="00805182">
        <w:rPr>
          <w:i/>
        </w:rPr>
        <w:t>.</w:t>
      </w:r>
      <w:r>
        <w:rPr>
          <w:i/>
        </w:rPr>
        <w:t> </w:t>
      </w:r>
      <w:r w:rsidRPr="00D43D1B">
        <w:rPr>
          <w:i/>
        </w:rPr>
        <w:t>Pays</w:t>
      </w:r>
      <w:r>
        <w:rPr>
          <w:i/>
        </w:rPr>
        <w:noBreakHyphen/>
        <w:t>Bas</w:t>
      </w:r>
      <w:r>
        <w:t>, par. </w:t>
      </w:r>
      <w:r w:rsidRPr="003E6921">
        <w:t>13</w:t>
      </w:r>
      <w:r>
        <w:t> </w:t>
      </w:r>
      <w:r w:rsidRPr="003E6921">
        <w:t xml:space="preserve">; </w:t>
      </w:r>
      <w:r>
        <w:rPr>
          <w:i/>
        </w:rPr>
        <w:t>Danning c</w:t>
      </w:r>
      <w:r w:rsidRPr="00805182">
        <w:rPr>
          <w:i/>
        </w:rPr>
        <w:t>.</w:t>
      </w:r>
      <w:r>
        <w:rPr>
          <w:i/>
        </w:rPr>
        <w:t> </w:t>
      </w:r>
      <w:r w:rsidRPr="00D43D1B">
        <w:rPr>
          <w:i/>
        </w:rPr>
        <w:t>Pays</w:t>
      </w:r>
      <w:r>
        <w:rPr>
          <w:i/>
        </w:rPr>
        <w:noBreakHyphen/>
        <w:t xml:space="preserve">Bas </w:t>
      </w:r>
      <w:r>
        <w:t>(CCPR/C/29/D/180/1984), par. </w:t>
      </w:r>
      <w:r w:rsidRPr="003E6921">
        <w:t xml:space="preserve">13 </w:t>
      </w:r>
      <w:r>
        <w:t>et 14</w:t>
      </w:r>
      <w:r w:rsidRPr="001C4268">
        <w:rPr>
          <w:lang w:val="fr-FR"/>
        </w:rPr>
        <w:t>.</w:t>
      </w:r>
    </w:p>
  </w:footnote>
  <w:footnote w:id="10">
    <w:p w14:paraId="5D53260F" w14:textId="77777777" w:rsidR="00D43D1B" w:rsidRPr="006B1E7D" w:rsidRDefault="00D43D1B" w:rsidP="00D43D1B">
      <w:pPr>
        <w:pStyle w:val="Notedebasdepage"/>
      </w:pPr>
      <w:r>
        <w:tab/>
      </w:r>
      <w:r w:rsidRPr="001269BA">
        <w:rPr>
          <w:rStyle w:val="Appelnotedebasdep"/>
        </w:rPr>
        <w:footnoteRef/>
      </w:r>
      <w:r>
        <w:tab/>
        <w:t xml:space="preserve">Voir </w:t>
      </w:r>
      <w:r w:rsidRPr="001269BA">
        <w:rPr>
          <w:i/>
          <w:iCs/>
        </w:rPr>
        <w:t>supra</w:t>
      </w:r>
      <w:r>
        <w:t xml:space="preserve">, </w:t>
      </w:r>
      <w:r w:rsidRPr="00F80762">
        <w:rPr>
          <w:i/>
          <w:szCs w:val="18"/>
        </w:rPr>
        <w:t>G.</w:t>
      </w:r>
      <w:r w:rsidRPr="00D43D1B">
        <w:rPr>
          <w:i/>
          <w:szCs w:val="18"/>
        </w:rPr>
        <w:t xml:space="preserve"> </w:t>
      </w:r>
      <w:r w:rsidRPr="00D43D1B">
        <w:rPr>
          <w:i/>
          <w:iCs/>
          <w:szCs w:val="18"/>
        </w:rPr>
        <w:t>c</w:t>
      </w:r>
      <w:r w:rsidRPr="00D43D1B">
        <w:rPr>
          <w:i/>
          <w:szCs w:val="18"/>
        </w:rPr>
        <w:t>.</w:t>
      </w:r>
      <w:r w:rsidRPr="00F80762">
        <w:rPr>
          <w:i/>
          <w:szCs w:val="18"/>
        </w:rPr>
        <w:t> Australie</w:t>
      </w:r>
      <w:r>
        <w:rPr>
          <w:szCs w:val="18"/>
        </w:rPr>
        <w:t>, par. 7.12.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23D121" w14:textId="5A0653C9" w:rsidR="00D43D1B" w:rsidRPr="00D43D1B" w:rsidRDefault="00450467">
    <w:pPr>
      <w:pStyle w:val="En-tte"/>
    </w:pPr>
    <w:r>
      <w:fldChar w:fldCharType="begin"/>
    </w:r>
    <w:r>
      <w:instrText xml:space="preserve"> TITLE  \* MERGEFORMAT </w:instrText>
    </w:r>
    <w:r>
      <w:fldChar w:fldCharType="separate"/>
    </w:r>
    <w:r w:rsidR="008765AA">
      <w:t>CCPR/C/123/D/2673/2015</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70C2D9" w14:textId="24DA69F0" w:rsidR="00D43D1B" w:rsidRPr="00D43D1B" w:rsidRDefault="00450467" w:rsidP="00D43D1B">
    <w:pPr>
      <w:pStyle w:val="En-tte"/>
      <w:jc w:val="right"/>
    </w:pPr>
    <w:r>
      <w:fldChar w:fldCharType="begin"/>
    </w:r>
    <w:r>
      <w:instrText xml:space="preserve"> TITLE  \* MERGEFORMAT </w:instrText>
    </w:r>
    <w:r>
      <w:fldChar w:fldCharType="separate"/>
    </w:r>
    <w:r w:rsidR="008765AA">
      <w:t>CCPR/C/123/D/2673/2015</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7D08229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5C8CEEB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64428C8C"/>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2"/>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6823A0"/>
    <w:rsid w:val="00017F94"/>
    <w:rsid w:val="00023842"/>
    <w:rsid w:val="000334F9"/>
    <w:rsid w:val="0007796D"/>
    <w:rsid w:val="000B7790"/>
    <w:rsid w:val="000C2225"/>
    <w:rsid w:val="00111F2F"/>
    <w:rsid w:val="0014365E"/>
    <w:rsid w:val="00176178"/>
    <w:rsid w:val="001B379B"/>
    <w:rsid w:val="001F525A"/>
    <w:rsid w:val="00223272"/>
    <w:rsid w:val="0024779E"/>
    <w:rsid w:val="002B7BC7"/>
    <w:rsid w:val="002E2D46"/>
    <w:rsid w:val="0032225A"/>
    <w:rsid w:val="003402F1"/>
    <w:rsid w:val="00351332"/>
    <w:rsid w:val="003A6E96"/>
    <w:rsid w:val="00446FE5"/>
    <w:rsid w:val="00450467"/>
    <w:rsid w:val="00452396"/>
    <w:rsid w:val="004C779B"/>
    <w:rsid w:val="005505B7"/>
    <w:rsid w:val="00573BE5"/>
    <w:rsid w:val="00586ED3"/>
    <w:rsid w:val="00596AA9"/>
    <w:rsid w:val="006173B4"/>
    <w:rsid w:val="006823A0"/>
    <w:rsid w:val="006F7144"/>
    <w:rsid w:val="006F71EA"/>
    <w:rsid w:val="0071601D"/>
    <w:rsid w:val="00793E85"/>
    <w:rsid w:val="007A611C"/>
    <w:rsid w:val="007A62E6"/>
    <w:rsid w:val="007E2032"/>
    <w:rsid w:val="0080684C"/>
    <w:rsid w:val="008560DB"/>
    <w:rsid w:val="00871C75"/>
    <w:rsid w:val="008765AA"/>
    <w:rsid w:val="008776DC"/>
    <w:rsid w:val="009705C8"/>
    <w:rsid w:val="009B105C"/>
    <w:rsid w:val="009B1E6C"/>
    <w:rsid w:val="009C07E0"/>
    <w:rsid w:val="009E2C6A"/>
    <w:rsid w:val="00A42C29"/>
    <w:rsid w:val="00A9151D"/>
    <w:rsid w:val="00AA6A35"/>
    <w:rsid w:val="00AC3823"/>
    <w:rsid w:val="00AE323C"/>
    <w:rsid w:val="00B00181"/>
    <w:rsid w:val="00B765F7"/>
    <w:rsid w:val="00BA0CA9"/>
    <w:rsid w:val="00C01ACF"/>
    <w:rsid w:val="00C02897"/>
    <w:rsid w:val="00CA7BC4"/>
    <w:rsid w:val="00D05667"/>
    <w:rsid w:val="00D3439C"/>
    <w:rsid w:val="00D43D1B"/>
    <w:rsid w:val="00D744E5"/>
    <w:rsid w:val="00D83177"/>
    <w:rsid w:val="00DB1831"/>
    <w:rsid w:val="00DD3BFD"/>
    <w:rsid w:val="00DF6678"/>
    <w:rsid w:val="00E85C42"/>
    <w:rsid w:val="00EC30D5"/>
    <w:rsid w:val="00EE1BD4"/>
    <w:rsid w:val="00F12152"/>
    <w:rsid w:val="00F660DF"/>
    <w:rsid w:val="00F95C08"/>
    <w:rsid w:val="00FD57A3"/>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6D5DCE4"/>
  <w15:docId w15:val="{A8268665-BDBF-4E07-9617-AD542DDE1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44E5"/>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D744E5"/>
    <w:pPr>
      <w:keepNext/>
      <w:keepLines/>
      <w:spacing w:after="0" w:line="240" w:lineRule="auto"/>
      <w:ind w:right="0"/>
      <w:jc w:val="left"/>
      <w:outlineLvl w:val="0"/>
    </w:pPr>
  </w:style>
  <w:style w:type="paragraph" w:styleId="Titre2">
    <w:name w:val="heading 2"/>
    <w:basedOn w:val="Normal"/>
    <w:next w:val="Normal"/>
    <w:link w:val="Titre2Car"/>
    <w:semiHidden/>
    <w:qFormat/>
    <w:rsid w:val="00A9151D"/>
    <w:pPr>
      <w:outlineLvl w:val="1"/>
    </w:pPr>
  </w:style>
  <w:style w:type="paragraph" w:styleId="Titre3">
    <w:name w:val="heading 3"/>
    <w:basedOn w:val="Normal"/>
    <w:next w:val="Normal"/>
    <w:link w:val="Titre3Car"/>
    <w:semiHidden/>
    <w:qFormat/>
    <w:rsid w:val="00793E85"/>
    <w:pPr>
      <w:outlineLvl w:val="2"/>
    </w:pPr>
  </w:style>
  <w:style w:type="paragraph" w:styleId="Titre4">
    <w:name w:val="heading 4"/>
    <w:basedOn w:val="Normal"/>
    <w:next w:val="Normal"/>
    <w:link w:val="Titre4Car"/>
    <w:semiHidden/>
    <w:qFormat/>
    <w:rsid w:val="00793E85"/>
    <w:pPr>
      <w:outlineLvl w:val="3"/>
    </w:pPr>
  </w:style>
  <w:style w:type="paragraph" w:styleId="Titre5">
    <w:name w:val="heading 5"/>
    <w:basedOn w:val="Normal"/>
    <w:next w:val="Normal"/>
    <w:link w:val="Titre5Car"/>
    <w:semiHidden/>
    <w:qFormat/>
    <w:rsid w:val="00793E85"/>
    <w:pPr>
      <w:outlineLvl w:val="4"/>
    </w:pPr>
  </w:style>
  <w:style w:type="paragraph" w:styleId="Titre6">
    <w:name w:val="heading 6"/>
    <w:basedOn w:val="Normal"/>
    <w:next w:val="Normal"/>
    <w:link w:val="Titre6Car"/>
    <w:semiHidden/>
    <w:qFormat/>
    <w:rsid w:val="00793E85"/>
    <w:pPr>
      <w:outlineLvl w:val="5"/>
    </w:pPr>
  </w:style>
  <w:style w:type="paragraph" w:styleId="Titre7">
    <w:name w:val="heading 7"/>
    <w:basedOn w:val="Normal"/>
    <w:next w:val="Normal"/>
    <w:link w:val="Titre7Car"/>
    <w:semiHidden/>
    <w:qFormat/>
    <w:rsid w:val="00793E85"/>
    <w:pPr>
      <w:outlineLvl w:val="6"/>
    </w:pPr>
  </w:style>
  <w:style w:type="paragraph" w:styleId="Titre8">
    <w:name w:val="heading 8"/>
    <w:basedOn w:val="Normal"/>
    <w:next w:val="Normal"/>
    <w:link w:val="Titre8Car"/>
    <w:semiHidden/>
    <w:qFormat/>
    <w:rsid w:val="00793E85"/>
    <w:pPr>
      <w:outlineLvl w:val="7"/>
    </w:pPr>
  </w:style>
  <w:style w:type="paragraph" w:styleId="Titre9">
    <w:name w:val="heading 9"/>
    <w:basedOn w:val="Normal"/>
    <w:next w:val="Normal"/>
    <w:link w:val="Titre9Car"/>
    <w:semiHidden/>
    <w:qFormat/>
    <w:rsid w:val="00793E85"/>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D744E5"/>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D744E5"/>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D744E5"/>
    <w:pPr>
      <w:spacing w:line="240" w:lineRule="auto"/>
    </w:pPr>
    <w:rPr>
      <w:sz w:val="16"/>
    </w:rPr>
  </w:style>
  <w:style w:type="character" w:customStyle="1" w:styleId="PieddepageCar">
    <w:name w:val="Pied de page Car"/>
    <w:aliases w:val="3_G Car"/>
    <w:basedOn w:val="Policepardfaut"/>
    <w:link w:val="Pieddepage"/>
    <w:rsid w:val="00D744E5"/>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D744E5"/>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744E5"/>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D744E5"/>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D744E5"/>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D744E5"/>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D744E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D744E5"/>
    <w:pPr>
      <w:spacing w:after="120"/>
      <w:ind w:left="1134" w:right="1134"/>
      <w:jc w:val="both"/>
    </w:pPr>
  </w:style>
  <w:style w:type="paragraph" w:customStyle="1" w:styleId="SLG">
    <w:name w:val="__S_L_G"/>
    <w:basedOn w:val="Normal"/>
    <w:next w:val="Normal"/>
    <w:rsid w:val="00D744E5"/>
    <w:pPr>
      <w:keepNext/>
      <w:keepLines/>
      <w:spacing w:before="240" w:after="240" w:line="580" w:lineRule="exact"/>
      <w:ind w:left="1134" w:right="1134"/>
    </w:pPr>
    <w:rPr>
      <w:b/>
      <w:sz w:val="56"/>
    </w:rPr>
  </w:style>
  <w:style w:type="paragraph" w:customStyle="1" w:styleId="SMG">
    <w:name w:val="__S_M_G"/>
    <w:basedOn w:val="Normal"/>
    <w:next w:val="Normal"/>
    <w:rsid w:val="00D744E5"/>
    <w:pPr>
      <w:keepNext/>
      <w:keepLines/>
      <w:spacing w:before="240" w:after="240" w:line="420" w:lineRule="exact"/>
      <w:ind w:left="1134" w:right="1134"/>
    </w:pPr>
    <w:rPr>
      <w:b/>
      <w:sz w:val="40"/>
    </w:rPr>
  </w:style>
  <w:style w:type="paragraph" w:customStyle="1" w:styleId="SSG">
    <w:name w:val="__S_S_G"/>
    <w:basedOn w:val="Normal"/>
    <w:next w:val="Normal"/>
    <w:rsid w:val="00D744E5"/>
    <w:pPr>
      <w:keepNext/>
      <w:keepLines/>
      <w:spacing w:before="240" w:after="240" w:line="300" w:lineRule="exact"/>
      <w:ind w:left="1134" w:right="1134"/>
    </w:pPr>
    <w:rPr>
      <w:b/>
      <w:sz w:val="28"/>
    </w:rPr>
  </w:style>
  <w:style w:type="paragraph" w:customStyle="1" w:styleId="XLargeG">
    <w:name w:val="__XLarge_G"/>
    <w:basedOn w:val="Normal"/>
    <w:next w:val="Normal"/>
    <w:rsid w:val="00D744E5"/>
    <w:pPr>
      <w:keepNext/>
      <w:keepLines/>
      <w:spacing w:before="240" w:after="240" w:line="420" w:lineRule="exact"/>
      <w:ind w:left="1134" w:right="1134"/>
    </w:pPr>
    <w:rPr>
      <w:b/>
      <w:sz w:val="40"/>
    </w:rPr>
  </w:style>
  <w:style w:type="paragraph" w:customStyle="1" w:styleId="Bullet1G">
    <w:name w:val="_Bullet 1_G"/>
    <w:basedOn w:val="Normal"/>
    <w:qFormat/>
    <w:rsid w:val="00D744E5"/>
    <w:pPr>
      <w:numPr>
        <w:numId w:val="17"/>
      </w:numPr>
      <w:spacing w:after="120"/>
      <w:ind w:right="1134"/>
      <w:jc w:val="both"/>
    </w:pPr>
  </w:style>
  <w:style w:type="paragraph" w:customStyle="1" w:styleId="Bullet2G">
    <w:name w:val="_Bullet 2_G"/>
    <w:basedOn w:val="Normal"/>
    <w:qFormat/>
    <w:rsid w:val="00D744E5"/>
    <w:pPr>
      <w:numPr>
        <w:numId w:val="18"/>
      </w:numPr>
      <w:spacing w:after="120"/>
      <w:ind w:right="1134"/>
      <w:jc w:val="both"/>
    </w:pPr>
  </w:style>
  <w:style w:type="paragraph" w:customStyle="1" w:styleId="ParNoG">
    <w:name w:val="_ParNo_G"/>
    <w:basedOn w:val="Normal"/>
    <w:qFormat/>
    <w:rsid w:val="00D744E5"/>
    <w:pPr>
      <w:numPr>
        <w:numId w:val="19"/>
      </w:numPr>
      <w:tabs>
        <w:tab w:val="clear" w:pos="1701"/>
      </w:tabs>
      <w:spacing w:after="120"/>
      <w:ind w:right="1134"/>
      <w:jc w:val="both"/>
    </w:pPr>
  </w:style>
  <w:style w:type="character" w:styleId="Appelnotedebasdep">
    <w:name w:val="footnote reference"/>
    <w:aliases w:val="4_G,ftref,BVI fnr,16 Point,Superscript 6 Point,Footnote,Footnote symbol,Footnote Refernece,Texto de nota al pie,Fußnotenzeichen_Raxen,Footnote number,Footnotes refss,Style 10,referencia nota al pie,Footnote text,4_Footnote text,f"/>
    <w:basedOn w:val="Policepardfaut"/>
    <w:qFormat/>
    <w:rsid w:val="00D744E5"/>
    <w:rPr>
      <w:rFonts w:ascii="Times New Roman" w:hAnsi="Times New Roman"/>
      <w:sz w:val="18"/>
      <w:vertAlign w:val="superscript"/>
      <w:lang w:val="fr-CH"/>
    </w:rPr>
  </w:style>
  <w:style w:type="character" w:styleId="Appeldenotedefin">
    <w:name w:val="endnote reference"/>
    <w:aliases w:val="1_G"/>
    <w:basedOn w:val="Appelnotedebasdep"/>
    <w:qFormat/>
    <w:rsid w:val="00D744E5"/>
    <w:rPr>
      <w:rFonts w:ascii="Times New Roman" w:hAnsi="Times New Roman"/>
      <w:sz w:val="18"/>
      <w:vertAlign w:val="superscript"/>
      <w:lang w:val="fr-CH"/>
    </w:rPr>
  </w:style>
  <w:style w:type="table" w:styleId="Grilledutableau">
    <w:name w:val="Table Grid"/>
    <w:basedOn w:val="TableauNormal"/>
    <w:rsid w:val="00D744E5"/>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D744E5"/>
    <w:rPr>
      <w:color w:val="0000FF"/>
      <w:u w:val="none"/>
    </w:rPr>
  </w:style>
  <w:style w:type="character" w:styleId="Lienhypertextesuivivisit">
    <w:name w:val="FollowedHyperlink"/>
    <w:basedOn w:val="Policepardfaut"/>
    <w:unhideWhenUsed/>
    <w:rsid w:val="00D744E5"/>
    <w:rPr>
      <w:color w:val="0000FF"/>
      <w:u w:val="none"/>
    </w:rPr>
  </w:style>
  <w:style w:type="paragraph" w:styleId="Notedebasdepage">
    <w:name w:val="footnote text"/>
    <w:aliases w:val="5_G,single space,ft,Footnote Text Char Char Char,Footnote Text Char Char,footnote text Char,single space Char,ft Char Char Char,ft Char Char,ft Char,FOOTNOTES,fn,Fußnote,F1,Geneva,Char,single space Char Char Char,fn Cha"/>
    <w:basedOn w:val="Normal"/>
    <w:link w:val="NotedebasdepageCar"/>
    <w:qFormat/>
    <w:rsid w:val="00D744E5"/>
    <w:pPr>
      <w:tabs>
        <w:tab w:val="right" w:pos="1021"/>
      </w:tabs>
      <w:spacing w:line="220" w:lineRule="exact"/>
      <w:ind w:left="1134" w:right="1134" w:hanging="1134"/>
    </w:pPr>
    <w:rPr>
      <w:sz w:val="18"/>
    </w:rPr>
  </w:style>
  <w:style w:type="character" w:customStyle="1" w:styleId="NotedebasdepageCar">
    <w:name w:val="Note de bas de page Car"/>
    <w:aliases w:val="5_G Car,single space Car,ft Car,Footnote Text Char Char Char Car,Footnote Text Char Char Car,footnote text Char Car,single space Char Car,ft Char Char Char Car,ft Char Char Car,ft Char Car,FOOTNOTES Car,fn Car,Fußnote Car,F1 Car"/>
    <w:basedOn w:val="Policepardfaut"/>
    <w:link w:val="Notedebasdepage"/>
    <w:rsid w:val="00D744E5"/>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D744E5"/>
  </w:style>
  <w:style w:type="character" w:customStyle="1" w:styleId="NotedefinCar">
    <w:name w:val="Note de fin Car"/>
    <w:aliases w:val="2_G Car"/>
    <w:basedOn w:val="Policepardfaut"/>
    <w:link w:val="Notedefin"/>
    <w:rsid w:val="00D744E5"/>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D744E5"/>
    <w:rPr>
      <w:rFonts w:ascii="Times New Roman" w:hAnsi="Times New Roman"/>
      <w:b/>
      <w:sz w:val="18"/>
      <w:lang w:val="fr-CH"/>
    </w:rPr>
  </w:style>
  <w:style w:type="character" w:customStyle="1" w:styleId="Titre1Car">
    <w:name w:val="Titre 1 Car"/>
    <w:aliases w:val="Table_G Car"/>
    <w:basedOn w:val="Policepardfaut"/>
    <w:link w:val="Titre1"/>
    <w:rsid w:val="00D744E5"/>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A9151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93E85"/>
    <w:rPr>
      <w:rFonts w:ascii="Times New Roman" w:hAnsi="Times New Roman" w:cs="Times New Roman"/>
      <w:sz w:val="20"/>
      <w:szCs w:val="20"/>
      <w:lang w:eastAsia="en-US"/>
    </w:rPr>
  </w:style>
  <w:style w:type="character" w:customStyle="1" w:styleId="Titre4Car">
    <w:name w:val="Titre 4 Car"/>
    <w:basedOn w:val="Policepardfaut"/>
    <w:link w:val="Titre4"/>
    <w:semiHidden/>
    <w:rsid w:val="00793E85"/>
    <w:rPr>
      <w:rFonts w:ascii="Times New Roman" w:hAnsi="Times New Roman" w:cs="Times New Roman"/>
      <w:sz w:val="20"/>
      <w:szCs w:val="20"/>
      <w:lang w:eastAsia="en-US"/>
    </w:rPr>
  </w:style>
  <w:style w:type="character" w:customStyle="1" w:styleId="Titre5Car">
    <w:name w:val="Titre 5 Car"/>
    <w:basedOn w:val="Policepardfaut"/>
    <w:link w:val="Titre5"/>
    <w:semiHidden/>
    <w:rsid w:val="00793E85"/>
    <w:rPr>
      <w:rFonts w:ascii="Times New Roman" w:hAnsi="Times New Roman" w:cs="Times New Roman"/>
      <w:sz w:val="20"/>
      <w:szCs w:val="20"/>
      <w:lang w:eastAsia="en-US"/>
    </w:rPr>
  </w:style>
  <w:style w:type="character" w:customStyle="1" w:styleId="Titre6Car">
    <w:name w:val="Titre 6 Car"/>
    <w:basedOn w:val="Policepardfaut"/>
    <w:link w:val="Titre6"/>
    <w:semiHidden/>
    <w:rsid w:val="00793E85"/>
    <w:rPr>
      <w:rFonts w:ascii="Times New Roman" w:hAnsi="Times New Roman" w:cs="Times New Roman"/>
      <w:sz w:val="20"/>
      <w:szCs w:val="20"/>
      <w:lang w:eastAsia="en-US"/>
    </w:rPr>
  </w:style>
  <w:style w:type="character" w:customStyle="1" w:styleId="Titre7Car">
    <w:name w:val="Titre 7 Car"/>
    <w:basedOn w:val="Policepardfaut"/>
    <w:link w:val="Titre7"/>
    <w:semiHidden/>
    <w:rsid w:val="00793E85"/>
    <w:rPr>
      <w:rFonts w:ascii="Times New Roman" w:hAnsi="Times New Roman" w:cs="Times New Roman"/>
      <w:sz w:val="20"/>
      <w:szCs w:val="20"/>
      <w:lang w:eastAsia="en-US"/>
    </w:rPr>
  </w:style>
  <w:style w:type="character" w:customStyle="1" w:styleId="Titre8Car">
    <w:name w:val="Titre 8 Car"/>
    <w:basedOn w:val="Policepardfaut"/>
    <w:link w:val="Titre8"/>
    <w:semiHidden/>
    <w:rsid w:val="00793E85"/>
    <w:rPr>
      <w:rFonts w:ascii="Times New Roman" w:hAnsi="Times New Roman" w:cs="Times New Roman"/>
      <w:sz w:val="20"/>
      <w:szCs w:val="20"/>
      <w:lang w:eastAsia="en-US"/>
    </w:rPr>
  </w:style>
  <w:style w:type="character" w:customStyle="1" w:styleId="Titre9Car">
    <w:name w:val="Titre 9 Car"/>
    <w:basedOn w:val="Policepardfaut"/>
    <w:link w:val="Titre9"/>
    <w:semiHidden/>
    <w:rsid w:val="00793E85"/>
    <w:rPr>
      <w:rFonts w:ascii="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93E8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93E85"/>
    <w:rPr>
      <w:rFonts w:ascii="Tahoma" w:hAnsi="Tahoma" w:cs="Tahoma"/>
      <w:sz w:val="16"/>
      <w:szCs w:val="16"/>
      <w:lang w:eastAsia="en-US"/>
    </w:rPr>
  </w:style>
  <w:style w:type="character" w:customStyle="1" w:styleId="HChGChar">
    <w:name w:val="_ H _Ch_G Char"/>
    <w:link w:val="HChG"/>
    <w:locked/>
    <w:rsid w:val="00793E85"/>
    <w:rPr>
      <w:rFonts w:ascii="Times New Roman" w:eastAsiaTheme="minorHAnsi" w:hAnsi="Times New Roman" w:cs="Times New Roman"/>
      <w:b/>
      <w:sz w:val="28"/>
      <w:szCs w:val="20"/>
      <w:lang w:eastAsia="en-US"/>
    </w:rPr>
  </w:style>
  <w:style w:type="character" w:customStyle="1" w:styleId="H1GChar">
    <w:name w:val="_ H_1_G Char"/>
    <w:link w:val="H1G"/>
    <w:locked/>
    <w:rsid w:val="00793E85"/>
    <w:rPr>
      <w:rFonts w:ascii="Times New Roman" w:eastAsiaTheme="minorHAnsi" w:hAnsi="Times New Roman" w:cs="Times New Roman"/>
      <w:b/>
      <w:sz w:val="24"/>
      <w:szCs w:val="20"/>
      <w:lang w:eastAsia="en-US"/>
    </w:rPr>
  </w:style>
  <w:style w:type="character" w:customStyle="1" w:styleId="H23GChar">
    <w:name w:val="_ H_2/3_G Char"/>
    <w:link w:val="H23G"/>
    <w:locked/>
    <w:rsid w:val="00793E85"/>
    <w:rPr>
      <w:rFonts w:ascii="Times New Roman" w:eastAsiaTheme="minorHAnsi" w:hAnsi="Times New Roman" w:cs="Times New Roman"/>
      <w:b/>
      <w:sz w:val="20"/>
      <w:szCs w:val="20"/>
      <w:lang w:eastAsia="en-US"/>
    </w:rPr>
  </w:style>
  <w:style w:type="character" w:styleId="Marquedecommentaire">
    <w:name w:val="annotation reference"/>
    <w:basedOn w:val="Policepardfaut"/>
    <w:uiPriority w:val="99"/>
    <w:semiHidden/>
    <w:unhideWhenUsed/>
    <w:rsid w:val="00D43D1B"/>
    <w:rPr>
      <w:sz w:val="16"/>
      <w:szCs w:val="16"/>
    </w:rPr>
  </w:style>
  <w:style w:type="paragraph" w:styleId="Commentaire">
    <w:name w:val="annotation text"/>
    <w:basedOn w:val="Normal"/>
    <w:link w:val="CommentaireCar"/>
    <w:uiPriority w:val="99"/>
    <w:semiHidden/>
    <w:unhideWhenUsed/>
    <w:rsid w:val="00D43D1B"/>
    <w:pPr>
      <w:spacing w:line="240" w:lineRule="auto"/>
    </w:pPr>
  </w:style>
  <w:style w:type="character" w:customStyle="1" w:styleId="CommentaireCar">
    <w:name w:val="Commentaire Car"/>
    <w:basedOn w:val="Policepardfaut"/>
    <w:link w:val="Commentaire"/>
    <w:uiPriority w:val="99"/>
    <w:semiHidden/>
    <w:rsid w:val="00D43D1B"/>
    <w:rPr>
      <w:rFonts w:ascii="Times New Roman" w:eastAsiaTheme="minorHAnsi" w:hAnsi="Times New Roman" w:cs="Times New Roman"/>
      <w:sz w:val="20"/>
      <w:szCs w:val="20"/>
      <w:lang w:eastAsia="en-US"/>
    </w:rPr>
  </w:style>
  <w:style w:type="paragraph" w:styleId="Objetducommentaire">
    <w:name w:val="annotation subject"/>
    <w:basedOn w:val="Commentaire"/>
    <w:next w:val="Commentaire"/>
    <w:link w:val="ObjetducommentaireCar"/>
    <w:uiPriority w:val="99"/>
    <w:semiHidden/>
    <w:unhideWhenUsed/>
    <w:rsid w:val="00D43D1B"/>
    <w:rPr>
      <w:b/>
      <w:bCs/>
    </w:rPr>
  </w:style>
  <w:style w:type="character" w:customStyle="1" w:styleId="ObjetducommentaireCar">
    <w:name w:val="Objet du commentaire Car"/>
    <w:basedOn w:val="CommentaireCar"/>
    <w:link w:val="Objetducommentaire"/>
    <w:uiPriority w:val="99"/>
    <w:semiHidden/>
    <w:rsid w:val="00D43D1B"/>
    <w:rPr>
      <w:rFonts w:ascii="Times New Roman" w:eastAsiaTheme="minorHAnsi" w:hAnsi="Times New Roman" w:cs="Times New Roman"/>
      <w:b/>
      <w:bCs/>
      <w:sz w:val="20"/>
      <w:szCs w:val="20"/>
      <w:lang w:eastAsia="en-US"/>
    </w:rPr>
  </w:style>
  <w:style w:type="character" w:styleId="Mentionnonrsolue">
    <w:name w:val="Unresolved Mention"/>
    <w:basedOn w:val="Policepardfaut"/>
    <w:uiPriority w:val="99"/>
    <w:semiHidden/>
    <w:unhideWhenUsed/>
    <w:rsid w:val="00D43D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2</TotalTime>
  <Pages>8</Pages>
  <Words>4742</Words>
  <Characters>26086</Characters>
  <Application>Microsoft Office Word</Application>
  <DocSecurity>0</DocSecurity>
  <Lines>217</Lines>
  <Paragraphs>61</Paragraphs>
  <ScaleCrop>false</ScaleCrop>
  <HeadingPairs>
    <vt:vector size="2" baseType="variant">
      <vt:variant>
        <vt:lpstr>Titre</vt:lpstr>
      </vt:variant>
      <vt:variant>
        <vt:i4>1</vt:i4>
      </vt:variant>
    </vt:vector>
  </HeadingPairs>
  <TitlesOfParts>
    <vt:vector size="1" baseType="lpstr">
      <vt:lpstr>CCPR/C/123/D/2673/2015</vt:lpstr>
    </vt:vector>
  </TitlesOfParts>
  <Company>DCM</Company>
  <LinksUpToDate>false</LinksUpToDate>
  <CharactersWithSpaces>30767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CCPR/C/123/D/2673/2015</dc:title>
  <dc:subject/>
  <dc:creator>Julien OKRZESIK</dc:creator>
  <cp:keywords/>
  <cp:lastModifiedBy>Julien OKRZESIK</cp:lastModifiedBy>
  <cp:revision>3</cp:revision>
  <cp:lastPrinted>2019-10-01T07:18:00Z</cp:lastPrinted>
  <dcterms:created xsi:type="dcterms:W3CDTF">2019-10-01T07:17:00Z</dcterms:created>
  <dcterms:modified xsi:type="dcterms:W3CDTF">2019-10-01T07:20:00Z</dcterms:modified>
</cp:coreProperties>
</file>