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AF51EA" w14:paraId="7959CB73" w14:textId="77777777" w:rsidTr="002B7BC7">
        <w:trPr>
          <w:trHeight w:hRule="exact" w:val="851"/>
        </w:trPr>
        <w:tc>
          <w:tcPr>
            <w:tcW w:w="1276" w:type="dxa"/>
            <w:tcBorders>
              <w:bottom w:val="single" w:sz="4" w:space="0" w:color="auto"/>
            </w:tcBorders>
          </w:tcPr>
          <w:p w14:paraId="2F1F8CDD" w14:textId="77777777" w:rsidR="006F71EA" w:rsidRPr="00DB58B5" w:rsidRDefault="006F71EA" w:rsidP="00E80AB0"/>
        </w:tc>
        <w:tc>
          <w:tcPr>
            <w:tcW w:w="2268" w:type="dxa"/>
            <w:tcBorders>
              <w:bottom w:val="single" w:sz="4" w:space="0" w:color="auto"/>
            </w:tcBorders>
            <w:vAlign w:val="bottom"/>
          </w:tcPr>
          <w:p w14:paraId="686BD47F" w14:textId="77777777" w:rsidR="006F71EA" w:rsidRPr="00AF51EA" w:rsidRDefault="006F71EA" w:rsidP="002B7BC7">
            <w:pPr>
              <w:spacing w:after="80" w:line="300" w:lineRule="exact"/>
              <w:rPr>
                <w:sz w:val="28"/>
              </w:rPr>
            </w:pPr>
            <w:r w:rsidRPr="00AF51EA">
              <w:rPr>
                <w:sz w:val="28"/>
              </w:rPr>
              <w:t>Nations Unies</w:t>
            </w:r>
          </w:p>
        </w:tc>
        <w:tc>
          <w:tcPr>
            <w:tcW w:w="6095" w:type="dxa"/>
            <w:gridSpan w:val="2"/>
            <w:tcBorders>
              <w:bottom w:val="single" w:sz="4" w:space="0" w:color="auto"/>
            </w:tcBorders>
            <w:vAlign w:val="bottom"/>
          </w:tcPr>
          <w:p w14:paraId="0BC400A7" w14:textId="77777777" w:rsidR="006F71EA" w:rsidRPr="00AF51EA" w:rsidRDefault="00E80AB0" w:rsidP="00E80AB0">
            <w:pPr>
              <w:jc w:val="right"/>
            </w:pPr>
            <w:r w:rsidRPr="00AF51EA">
              <w:rPr>
                <w:sz w:val="40"/>
              </w:rPr>
              <w:t>CCPR</w:t>
            </w:r>
            <w:r w:rsidRPr="00AF51EA">
              <w:t>/C/125/D/2489/2014</w:t>
            </w:r>
          </w:p>
        </w:tc>
      </w:tr>
      <w:tr w:rsidR="006F71EA" w:rsidRPr="00AF51EA" w14:paraId="700F9379" w14:textId="77777777" w:rsidTr="002B7BC7">
        <w:trPr>
          <w:trHeight w:hRule="exact" w:val="2835"/>
        </w:trPr>
        <w:tc>
          <w:tcPr>
            <w:tcW w:w="1276" w:type="dxa"/>
            <w:tcBorders>
              <w:top w:val="single" w:sz="4" w:space="0" w:color="auto"/>
              <w:bottom w:val="single" w:sz="12" w:space="0" w:color="auto"/>
            </w:tcBorders>
          </w:tcPr>
          <w:p w14:paraId="04DEF13E" w14:textId="77777777" w:rsidR="006F71EA" w:rsidRPr="00AF51EA" w:rsidRDefault="006F71EA" w:rsidP="002B7BC7">
            <w:pPr>
              <w:spacing w:before="120"/>
              <w:jc w:val="center"/>
            </w:pPr>
            <w:r w:rsidRPr="00AF51EA">
              <w:rPr>
                <w:noProof/>
                <w:lang w:eastAsia="fr-CH"/>
              </w:rPr>
              <w:drawing>
                <wp:inline distT="0" distB="0" distL="0" distR="0" wp14:anchorId="0CA98ED6" wp14:editId="5FD959F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D991BD" w14:textId="77777777" w:rsidR="006F71EA" w:rsidRPr="00AF51EA" w:rsidRDefault="006F71EA" w:rsidP="002B7BC7">
            <w:pPr>
              <w:spacing w:before="120" w:line="380" w:lineRule="exact"/>
              <w:rPr>
                <w:b/>
                <w:sz w:val="34"/>
                <w:szCs w:val="34"/>
              </w:rPr>
            </w:pPr>
            <w:r w:rsidRPr="00AF51EA">
              <w:rPr>
                <w:b/>
                <w:sz w:val="34"/>
                <w:szCs w:val="34"/>
              </w:rPr>
              <w:t>Pacte international relatif</w:t>
            </w:r>
            <w:r w:rsidRPr="00AF51EA">
              <w:rPr>
                <w:b/>
                <w:sz w:val="34"/>
                <w:szCs w:val="34"/>
              </w:rPr>
              <w:br/>
              <w:t>aux droits civils et politiques</w:t>
            </w:r>
          </w:p>
        </w:tc>
        <w:tc>
          <w:tcPr>
            <w:tcW w:w="2835" w:type="dxa"/>
            <w:tcBorders>
              <w:top w:val="single" w:sz="4" w:space="0" w:color="auto"/>
              <w:bottom w:val="single" w:sz="12" w:space="0" w:color="auto"/>
            </w:tcBorders>
          </w:tcPr>
          <w:p w14:paraId="70B90508" w14:textId="77777777" w:rsidR="006F71EA" w:rsidRPr="00AF51EA" w:rsidRDefault="00E80AB0" w:rsidP="002B7BC7">
            <w:pPr>
              <w:spacing w:before="240"/>
            </w:pPr>
            <w:proofErr w:type="spellStart"/>
            <w:r w:rsidRPr="00AF51EA">
              <w:t>Distr</w:t>
            </w:r>
            <w:proofErr w:type="spellEnd"/>
            <w:r w:rsidRPr="00AF51EA">
              <w:t>. générale</w:t>
            </w:r>
          </w:p>
          <w:p w14:paraId="0502EA0A" w14:textId="77777777" w:rsidR="00E80AB0" w:rsidRPr="00AF51EA" w:rsidRDefault="00E80AB0" w:rsidP="00E80AB0">
            <w:pPr>
              <w:spacing w:line="240" w:lineRule="exact"/>
            </w:pPr>
            <w:r w:rsidRPr="00AF51EA">
              <w:t>7 juin 2019</w:t>
            </w:r>
          </w:p>
          <w:p w14:paraId="5BD924EC" w14:textId="77777777" w:rsidR="00E80AB0" w:rsidRPr="00AF51EA" w:rsidRDefault="00E80AB0" w:rsidP="00E80AB0">
            <w:pPr>
              <w:spacing w:line="240" w:lineRule="exact"/>
            </w:pPr>
            <w:r w:rsidRPr="00AF51EA">
              <w:t>Français</w:t>
            </w:r>
          </w:p>
          <w:p w14:paraId="346A60C7" w14:textId="77777777" w:rsidR="00E80AB0" w:rsidRPr="00AF51EA" w:rsidRDefault="00E80AB0" w:rsidP="00E80AB0">
            <w:pPr>
              <w:spacing w:line="240" w:lineRule="exact"/>
            </w:pPr>
            <w:r w:rsidRPr="00AF51EA">
              <w:t>Original : anglais</w:t>
            </w:r>
          </w:p>
        </w:tc>
      </w:tr>
    </w:tbl>
    <w:p w14:paraId="2099795A" w14:textId="77777777" w:rsidR="006F71EA" w:rsidRPr="00AF51EA" w:rsidRDefault="006F71EA" w:rsidP="006F71EA">
      <w:pPr>
        <w:spacing w:before="120"/>
        <w:rPr>
          <w:b/>
          <w:sz w:val="24"/>
          <w:szCs w:val="24"/>
        </w:rPr>
      </w:pPr>
      <w:r w:rsidRPr="00AF51EA">
        <w:rPr>
          <w:b/>
          <w:sz w:val="24"/>
          <w:szCs w:val="24"/>
        </w:rPr>
        <w:t>Comité des droits de l</w:t>
      </w:r>
      <w:r w:rsidR="00AB516D" w:rsidRPr="00AF51EA">
        <w:rPr>
          <w:b/>
          <w:sz w:val="24"/>
          <w:szCs w:val="24"/>
        </w:rPr>
        <w:t>’</w:t>
      </w:r>
      <w:r w:rsidRPr="00AF51EA">
        <w:rPr>
          <w:b/>
          <w:sz w:val="24"/>
          <w:szCs w:val="24"/>
        </w:rPr>
        <w:t>homme</w:t>
      </w:r>
    </w:p>
    <w:p w14:paraId="3AD136DB" w14:textId="77777777" w:rsidR="00E42A05" w:rsidRPr="00AF51EA" w:rsidRDefault="00E42A05" w:rsidP="00E42A05">
      <w:pPr>
        <w:pStyle w:val="HChG"/>
        <w:rPr>
          <w:lang w:val="fr-FR"/>
        </w:rPr>
      </w:pPr>
      <w:r w:rsidRPr="00AF51EA">
        <w:rPr>
          <w:bCs/>
          <w:lang w:val="fr-FR"/>
        </w:rPr>
        <w:tab/>
      </w:r>
      <w:r w:rsidRPr="00AF51EA">
        <w:rPr>
          <w:bCs/>
          <w:lang w:val="fr-FR"/>
        </w:rPr>
        <w:tab/>
      </w:r>
      <w:r w:rsidRPr="00AF51EA">
        <w:rPr>
          <w:lang w:val="fr-FR"/>
        </w:rPr>
        <w:t>Constatations adoptées par le Comité au titre de l</w:t>
      </w:r>
      <w:r w:rsidR="00AB516D" w:rsidRPr="00AF51EA">
        <w:rPr>
          <w:lang w:val="fr-FR"/>
        </w:rPr>
        <w:t>’</w:t>
      </w:r>
      <w:r w:rsidRPr="00AF51EA">
        <w:rPr>
          <w:lang w:val="fr-FR"/>
        </w:rPr>
        <w:t>article 5 (par</w:t>
      </w:r>
      <w:r w:rsidR="002A026E" w:rsidRPr="00AF51EA">
        <w:rPr>
          <w:lang w:val="fr-FR"/>
        </w:rPr>
        <w:t>.</w:t>
      </w:r>
      <w:r w:rsidRPr="00AF51EA">
        <w:rPr>
          <w:lang w:val="fr-FR"/>
        </w:rPr>
        <w:t xml:space="preserve"> 4) du Protocole facultatif, concernant </w:t>
      </w:r>
      <w:r w:rsidR="00AB516D" w:rsidRPr="00AF51EA">
        <w:rPr>
          <w:lang w:val="fr-FR"/>
        </w:rPr>
        <w:br/>
      </w:r>
      <w:r w:rsidRPr="00AF51EA">
        <w:rPr>
          <w:lang w:val="fr-FR"/>
        </w:rPr>
        <w:t>la communic</w:t>
      </w:r>
      <w:bookmarkStart w:id="0" w:name="_GoBack"/>
      <w:bookmarkEnd w:id="0"/>
      <w:r w:rsidRPr="00AF51EA">
        <w:rPr>
          <w:lang w:val="fr-FR"/>
        </w:rPr>
        <w:t>ation</w:t>
      </w:r>
      <w:r w:rsidRPr="00AF51EA">
        <w:rPr>
          <w:bCs/>
          <w:lang w:val="fr-FR"/>
        </w:rPr>
        <w:t xml:space="preserve"> n</w:t>
      </w:r>
      <w:r w:rsidRPr="00AF51EA">
        <w:rPr>
          <w:bCs/>
          <w:vertAlign w:val="superscript"/>
          <w:lang w:val="fr-FR"/>
        </w:rPr>
        <w:t>o</w:t>
      </w:r>
      <w:r w:rsidRPr="00AF51EA">
        <w:rPr>
          <w:bCs/>
          <w:lang w:val="fr-FR"/>
        </w:rPr>
        <w:t> 2489/2014</w:t>
      </w:r>
      <w:r w:rsidRPr="00AF51EA">
        <w:rPr>
          <w:rStyle w:val="Appelnotedebasdep"/>
          <w:b w:val="0"/>
          <w:sz w:val="20"/>
          <w:vertAlign w:val="baseline"/>
          <w:lang w:val="fr-FR"/>
        </w:rPr>
        <w:footnoteReference w:customMarkFollows="1" w:id="2"/>
        <w:t>*</w:t>
      </w:r>
      <w:r w:rsidRPr="00AF51EA">
        <w:rPr>
          <w:b w:val="0"/>
          <w:position w:val="6"/>
          <w:sz w:val="20"/>
          <w:lang w:val="fr-FR"/>
        </w:rPr>
        <w:t>,</w:t>
      </w:r>
      <w:r w:rsidRPr="00AF51EA">
        <w:rPr>
          <w:b w:val="0"/>
          <w:sz w:val="20"/>
          <w:lang w:val="fr-FR"/>
        </w:rPr>
        <w:t xml:space="preserve"> </w:t>
      </w:r>
      <w:r w:rsidRPr="00AF51EA">
        <w:rPr>
          <w:rStyle w:val="Appelnotedebasdep"/>
          <w:b w:val="0"/>
          <w:sz w:val="20"/>
          <w:vertAlign w:val="baseline"/>
          <w:lang w:val="fr-FR"/>
        </w:rPr>
        <w:footnoteReference w:customMarkFollows="1" w:id="3"/>
        <w:t>**</w:t>
      </w:r>
      <w:r w:rsidRPr="00AF51EA">
        <w:rPr>
          <w:b w:val="0"/>
          <w:position w:val="6"/>
          <w:sz w:val="20"/>
          <w:lang w:val="fr-FR"/>
        </w:rPr>
        <w:t>,</w:t>
      </w:r>
      <w:r w:rsidRPr="00AF51EA">
        <w:rPr>
          <w:b w:val="0"/>
          <w:sz w:val="20"/>
          <w:lang w:val="fr-FR"/>
        </w:rPr>
        <w:t xml:space="preserve"> </w:t>
      </w:r>
      <w:r w:rsidRPr="00AF51EA">
        <w:rPr>
          <w:rStyle w:val="Appelnotedebasdep"/>
          <w:b w:val="0"/>
          <w:sz w:val="20"/>
          <w:vertAlign w:val="baseline"/>
          <w:lang w:val="fr-FR"/>
        </w:rPr>
        <w:footnoteReference w:customMarkFollows="1" w:id="4"/>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E42A05" w:rsidRPr="00AF51EA" w14:paraId="1EEB4551" w14:textId="77777777" w:rsidTr="00AB516D">
        <w:tc>
          <w:tcPr>
            <w:tcW w:w="2552" w:type="dxa"/>
          </w:tcPr>
          <w:p w14:paraId="07323C24" w14:textId="77777777" w:rsidR="00E42A05" w:rsidRPr="00AF51EA" w:rsidRDefault="00E42A05" w:rsidP="00AB516D">
            <w:pPr>
              <w:pStyle w:val="SingleTxtG"/>
              <w:ind w:left="0" w:right="0"/>
              <w:jc w:val="left"/>
              <w:rPr>
                <w:i/>
                <w:lang w:val="fr-FR"/>
              </w:rPr>
            </w:pPr>
            <w:r w:rsidRPr="00AF51EA">
              <w:rPr>
                <w:i/>
                <w:lang w:val="fr-FR"/>
              </w:rPr>
              <w:t>Communication présentée par</w:t>
            </w:r>
            <w:r w:rsidRPr="00AF51EA">
              <w:rPr>
                <w:lang w:val="fr-FR"/>
              </w:rPr>
              <w:t> :</w:t>
            </w:r>
          </w:p>
        </w:tc>
        <w:tc>
          <w:tcPr>
            <w:tcW w:w="4253" w:type="dxa"/>
          </w:tcPr>
          <w:p w14:paraId="2D39D69E" w14:textId="77777777" w:rsidR="00E42A05" w:rsidRPr="00AF51EA" w:rsidRDefault="00E42A05" w:rsidP="00AB516D">
            <w:pPr>
              <w:pStyle w:val="SingleTxtG"/>
              <w:ind w:left="0" w:right="0"/>
              <w:jc w:val="left"/>
              <w:rPr>
                <w:lang w:val="fr-FR"/>
              </w:rPr>
            </w:pPr>
            <w:proofErr w:type="spellStart"/>
            <w:r w:rsidRPr="00AF51EA">
              <w:rPr>
                <w:lang w:val="fr-FR"/>
              </w:rPr>
              <w:t>Jamshed</w:t>
            </w:r>
            <w:proofErr w:type="spellEnd"/>
            <w:r w:rsidRPr="00AF51EA">
              <w:rPr>
                <w:lang w:val="fr-FR"/>
              </w:rPr>
              <w:t xml:space="preserve"> </w:t>
            </w:r>
            <w:proofErr w:type="spellStart"/>
            <w:r w:rsidRPr="00AF51EA">
              <w:rPr>
                <w:lang w:val="fr-FR"/>
              </w:rPr>
              <w:t>Hashemi</w:t>
            </w:r>
            <w:proofErr w:type="spellEnd"/>
            <w:r w:rsidRPr="00AF51EA">
              <w:rPr>
                <w:lang w:val="fr-FR"/>
              </w:rPr>
              <w:t xml:space="preserve"> et Maryam </w:t>
            </w:r>
            <w:proofErr w:type="spellStart"/>
            <w:r w:rsidRPr="00AF51EA">
              <w:rPr>
                <w:lang w:val="fr-FR"/>
              </w:rPr>
              <w:t>Hashemi</w:t>
            </w:r>
            <w:proofErr w:type="spellEnd"/>
            <w:r w:rsidRPr="00AF51EA">
              <w:rPr>
                <w:lang w:val="fr-FR"/>
              </w:rPr>
              <w:t xml:space="preserve"> </w:t>
            </w:r>
            <w:r w:rsidRPr="00AF51EA">
              <w:rPr>
                <w:lang w:val="fr-FR"/>
              </w:rPr>
              <w:br/>
              <w:t>(représentés par un conseil, W</w:t>
            </w:r>
            <w:r w:rsidR="002A026E" w:rsidRPr="00AF51EA">
              <w:rPr>
                <w:lang w:val="fr-FR"/>
              </w:rPr>
              <w:t>.</w:t>
            </w:r>
            <w:r w:rsidR="00AB516D" w:rsidRPr="00AF51EA">
              <w:rPr>
                <w:lang w:val="fr-FR"/>
              </w:rPr>
              <w:t> </w:t>
            </w:r>
            <w:r w:rsidRPr="00AF51EA">
              <w:rPr>
                <w:lang w:val="fr-FR"/>
              </w:rPr>
              <w:t>G</w:t>
            </w:r>
            <w:r w:rsidR="002A026E" w:rsidRPr="00AF51EA">
              <w:rPr>
                <w:lang w:val="fr-FR"/>
              </w:rPr>
              <w:t>.</w:t>
            </w:r>
            <w:r w:rsidRPr="00AF51EA">
              <w:rPr>
                <w:lang w:val="fr-FR"/>
              </w:rPr>
              <w:t> Fisher)</w:t>
            </w:r>
          </w:p>
        </w:tc>
      </w:tr>
      <w:tr w:rsidR="00E42A05" w:rsidRPr="00AF51EA" w14:paraId="2F708DFF" w14:textId="77777777" w:rsidTr="00AB516D">
        <w:tc>
          <w:tcPr>
            <w:tcW w:w="2552" w:type="dxa"/>
          </w:tcPr>
          <w:p w14:paraId="42CEE6B4" w14:textId="77777777" w:rsidR="00E42A05" w:rsidRPr="00AF51EA" w:rsidRDefault="00E42A05" w:rsidP="00AB516D">
            <w:pPr>
              <w:pStyle w:val="SingleTxtG"/>
              <w:ind w:left="0" w:right="0"/>
              <w:jc w:val="left"/>
              <w:rPr>
                <w:i/>
                <w:lang w:val="fr-FR"/>
              </w:rPr>
            </w:pPr>
            <w:r w:rsidRPr="00AF51EA">
              <w:rPr>
                <w:i/>
                <w:lang w:val="fr-FR"/>
              </w:rPr>
              <w:t>Au nom de</w:t>
            </w:r>
            <w:r w:rsidRPr="00AF51EA">
              <w:rPr>
                <w:lang w:val="fr-FR"/>
              </w:rPr>
              <w:t> :</w:t>
            </w:r>
          </w:p>
        </w:tc>
        <w:tc>
          <w:tcPr>
            <w:tcW w:w="4253" w:type="dxa"/>
          </w:tcPr>
          <w:p w14:paraId="16755CA9" w14:textId="77777777" w:rsidR="00E42A05" w:rsidRPr="00AF51EA" w:rsidRDefault="00E42A05" w:rsidP="00AB516D">
            <w:pPr>
              <w:pStyle w:val="SingleTxtG"/>
              <w:ind w:left="0" w:right="0"/>
              <w:jc w:val="left"/>
              <w:rPr>
                <w:lang w:val="en-US"/>
              </w:rPr>
            </w:pPr>
            <w:r w:rsidRPr="00AF51EA">
              <w:rPr>
                <w:lang w:val="en-US"/>
              </w:rPr>
              <w:t>Jamshed Hashemi et Maryam Hashemi</w:t>
            </w:r>
          </w:p>
        </w:tc>
      </w:tr>
      <w:tr w:rsidR="00E42A05" w:rsidRPr="00AF51EA" w14:paraId="68D41B5B" w14:textId="77777777" w:rsidTr="00AB516D">
        <w:tc>
          <w:tcPr>
            <w:tcW w:w="2552" w:type="dxa"/>
          </w:tcPr>
          <w:p w14:paraId="0C0437DF" w14:textId="77777777" w:rsidR="00E42A05" w:rsidRPr="00AF51EA" w:rsidRDefault="00E42A05" w:rsidP="00AB516D">
            <w:pPr>
              <w:pStyle w:val="SingleTxtG"/>
              <w:ind w:left="0" w:right="0"/>
              <w:jc w:val="left"/>
              <w:rPr>
                <w:i/>
                <w:lang w:val="fr-FR"/>
              </w:rPr>
            </w:pPr>
            <w:r w:rsidRPr="00AF51EA">
              <w:rPr>
                <w:i/>
                <w:lang w:val="fr-FR"/>
              </w:rPr>
              <w:t>État partie</w:t>
            </w:r>
            <w:r w:rsidRPr="00AF51EA">
              <w:rPr>
                <w:lang w:val="fr-FR"/>
              </w:rPr>
              <w:t> :</w:t>
            </w:r>
          </w:p>
        </w:tc>
        <w:tc>
          <w:tcPr>
            <w:tcW w:w="4253" w:type="dxa"/>
          </w:tcPr>
          <w:p w14:paraId="18E01D63" w14:textId="77777777" w:rsidR="00E42A05" w:rsidRPr="00AF51EA" w:rsidRDefault="00E42A05" w:rsidP="00AB516D">
            <w:pPr>
              <w:pStyle w:val="SingleTxtG"/>
              <w:ind w:left="0" w:right="0"/>
              <w:jc w:val="left"/>
              <w:rPr>
                <w:lang w:val="fr-FR"/>
              </w:rPr>
            </w:pPr>
            <w:r w:rsidRPr="00AF51EA">
              <w:rPr>
                <w:lang w:val="fr-FR"/>
              </w:rPr>
              <w:t>Pays-Bas</w:t>
            </w:r>
          </w:p>
        </w:tc>
      </w:tr>
      <w:tr w:rsidR="00E42A05" w:rsidRPr="00AF51EA" w14:paraId="185627F0" w14:textId="77777777" w:rsidTr="00AB516D">
        <w:tc>
          <w:tcPr>
            <w:tcW w:w="2552" w:type="dxa"/>
          </w:tcPr>
          <w:p w14:paraId="2C2A5B56" w14:textId="77777777" w:rsidR="00E42A05" w:rsidRPr="00AF51EA" w:rsidRDefault="00E42A05" w:rsidP="00AB516D">
            <w:pPr>
              <w:pStyle w:val="SingleTxtG"/>
              <w:ind w:left="0" w:right="0"/>
              <w:jc w:val="left"/>
              <w:rPr>
                <w:i/>
                <w:lang w:val="fr-FR"/>
              </w:rPr>
            </w:pPr>
            <w:r w:rsidRPr="00AF51EA">
              <w:rPr>
                <w:i/>
                <w:lang w:val="fr-FR"/>
              </w:rPr>
              <w:t xml:space="preserve">Date de la </w:t>
            </w:r>
            <w:r w:rsidRPr="00AF51EA">
              <w:rPr>
                <w:i/>
                <w:iCs/>
                <w:lang w:val="fr-FR"/>
              </w:rPr>
              <w:t>communication</w:t>
            </w:r>
            <w:r w:rsidRPr="00AF51EA">
              <w:rPr>
                <w:lang w:val="fr-FR"/>
              </w:rPr>
              <w:t> :</w:t>
            </w:r>
          </w:p>
        </w:tc>
        <w:tc>
          <w:tcPr>
            <w:tcW w:w="4253" w:type="dxa"/>
          </w:tcPr>
          <w:p w14:paraId="6FFEAD95" w14:textId="77777777" w:rsidR="00E42A05" w:rsidRPr="00AF51EA" w:rsidRDefault="00E42A05" w:rsidP="00AB516D">
            <w:pPr>
              <w:pStyle w:val="SingleTxtG"/>
              <w:ind w:left="0" w:right="0"/>
              <w:jc w:val="left"/>
              <w:rPr>
                <w:lang w:val="fr-FR"/>
              </w:rPr>
            </w:pPr>
            <w:r w:rsidRPr="00AF51EA">
              <w:rPr>
                <w:lang w:val="fr-FR"/>
              </w:rPr>
              <w:t>19 juillet 2013 (date de la lettre initiale)</w:t>
            </w:r>
          </w:p>
        </w:tc>
      </w:tr>
      <w:tr w:rsidR="00E42A05" w:rsidRPr="00AF51EA" w14:paraId="7D25618C" w14:textId="77777777" w:rsidTr="00AB516D">
        <w:tc>
          <w:tcPr>
            <w:tcW w:w="2552" w:type="dxa"/>
          </w:tcPr>
          <w:p w14:paraId="3C46F0F0" w14:textId="77777777" w:rsidR="00E42A05" w:rsidRPr="00AF51EA" w:rsidRDefault="00E42A05" w:rsidP="00AB516D">
            <w:pPr>
              <w:pStyle w:val="SingleTxtG"/>
              <w:ind w:left="0" w:right="0"/>
              <w:jc w:val="left"/>
              <w:rPr>
                <w:lang w:val="fr-FR"/>
              </w:rPr>
            </w:pPr>
            <w:r w:rsidRPr="00AF51EA">
              <w:rPr>
                <w:i/>
                <w:iCs/>
                <w:lang w:val="fr-FR"/>
              </w:rPr>
              <w:t>Références </w:t>
            </w:r>
            <w:r w:rsidRPr="00AF51EA">
              <w:rPr>
                <w:lang w:val="fr-FR"/>
              </w:rPr>
              <w:t>:</w:t>
            </w:r>
          </w:p>
        </w:tc>
        <w:tc>
          <w:tcPr>
            <w:tcW w:w="4253" w:type="dxa"/>
          </w:tcPr>
          <w:p w14:paraId="0895FD5C" w14:textId="77777777" w:rsidR="00E42A05" w:rsidRPr="00AF51EA" w:rsidRDefault="00E42A05" w:rsidP="00AB516D">
            <w:pPr>
              <w:pStyle w:val="SingleTxtG"/>
              <w:ind w:left="0" w:right="0"/>
              <w:jc w:val="left"/>
              <w:rPr>
                <w:lang w:val="fr-FR"/>
              </w:rPr>
            </w:pPr>
            <w:r w:rsidRPr="00AF51EA">
              <w:rPr>
                <w:lang w:val="fr-FR"/>
              </w:rPr>
              <w:t>Décision prise en application de l</w:t>
            </w:r>
            <w:r w:rsidR="00AB516D" w:rsidRPr="00AF51EA">
              <w:rPr>
                <w:lang w:val="fr-FR"/>
              </w:rPr>
              <w:t>’</w:t>
            </w:r>
            <w:r w:rsidRPr="00AF51EA">
              <w:rPr>
                <w:lang w:val="fr-FR"/>
              </w:rPr>
              <w:t>article 97 du règlement intérieur du Comité, communiquée à l</w:t>
            </w:r>
            <w:r w:rsidR="00AB516D" w:rsidRPr="00AF51EA">
              <w:rPr>
                <w:lang w:val="fr-FR"/>
              </w:rPr>
              <w:t>’</w:t>
            </w:r>
            <w:r w:rsidRPr="00AF51EA">
              <w:rPr>
                <w:lang w:val="fr-FR"/>
              </w:rPr>
              <w:t>État partie le 4 décembre 2014 (non publiée sous forme de document)</w:t>
            </w:r>
            <w:r w:rsidR="002A026E" w:rsidRPr="00AF51EA">
              <w:rPr>
                <w:lang w:val="fr-FR"/>
              </w:rPr>
              <w:t>.</w:t>
            </w:r>
          </w:p>
        </w:tc>
      </w:tr>
      <w:tr w:rsidR="00E42A05" w:rsidRPr="00AF51EA" w14:paraId="04CBBD56" w14:textId="77777777" w:rsidTr="00AB516D">
        <w:tc>
          <w:tcPr>
            <w:tcW w:w="2552" w:type="dxa"/>
          </w:tcPr>
          <w:p w14:paraId="1E1C41BB" w14:textId="77777777" w:rsidR="00E42A05" w:rsidRPr="00AF51EA" w:rsidRDefault="00E42A05" w:rsidP="00AB516D">
            <w:pPr>
              <w:pStyle w:val="SingleTxtG"/>
              <w:ind w:left="0" w:right="0"/>
              <w:jc w:val="left"/>
              <w:rPr>
                <w:i/>
                <w:lang w:val="fr-FR"/>
              </w:rPr>
            </w:pPr>
            <w:r w:rsidRPr="00AF51EA">
              <w:rPr>
                <w:i/>
                <w:lang w:val="fr-FR"/>
              </w:rPr>
              <w:t xml:space="preserve">Date </w:t>
            </w:r>
            <w:r w:rsidRPr="00AF51EA">
              <w:rPr>
                <w:i/>
                <w:iCs/>
                <w:lang w:val="fr-FR"/>
              </w:rPr>
              <w:t>des constatations</w:t>
            </w:r>
            <w:r w:rsidRPr="00AF51EA">
              <w:rPr>
                <w:lang w:val="fr-FR"/>
              </w:rPr>
              <w:t> :</w:t>
            </w:r>
          </w:p>
        </w:tc>
        <w:tc>
          <w:tcPr>
            <w:tcW w:w="4253" w:type="dxa"/>
            <w:vAlign w:val="bottom"/>
          </w:tcPr>
          <w:p w14:paraId="3D125ECD" w14:textId="77777777" w:rsidR="00E42A05" w:rsidRPr="00AF51EA" w:rsidRDefault="00E42A05" w:rsidP="00AB516D">
            <w:pPr>
              <w:pStyle w:val="SingleTxtG"/>
              <w:ind w:left="0" w:right="0"/>
              <w:jc w:val="left"/>
              <w:rPr>
                <w:lang w:val="fr-FR"/>
              </w:rPr>
            </w:pPr>
            <w:r w:rsidRPr="00AF51EA">
              <w:rPr>
                <w:lang w:val="fr-FR"/>
              </w:rPr>
              <w:t>26 mars 2019</w:t>
            </w:r>
          </w:p>
        </w:tc>
      </w:tr>
      <w:tr w:rsidR="00E42A05" w:rsidRPr="00AF51EA" w14:paraId="1D0F52C0" w14:textId="77777777" w:rsidTr="00AB516D">
        <w:tc>
          <w:tcPr>
            <w:tcW w:w="2552" w:type="dxa"/>
          </w:tcPr>
          <w:p w14:paraId="172B3E13" w14:textId="77777777" w:rsidR="00E42A05" w:rsidRPr="00AF51EA" w:rsidRDefault="00E42A05" w:rsidP="00AB516D">
            <w:pPr>
              <w:pStyle w:val="SingleTxtG"/>
              <w:ind w:left="0" w:right="0"/>
              <w:jc w:val="left"/>
              <w:rPr>
                <w:lang w:val="fr-FR"/>
              </w:rPr>
            </w:pPr>
            <w:r w:rsidRPr="00AF51EA">
              <w:rPr>
                <w:i/>
                <w:lang w:val="fr-FR"/>
              </w:rPr>
              <w:t>Objet</w:t>
            </w:r>
            <w:r w:rsidRPr="00AF51EA">
              <w:rPr>
                <w:lang w:val="fr-FR"/>
              </w:rPr>
              <w:t> :</w:t>
            </w:r>
          </w:p>
        </w:tc>
        <w:tc>
          <w:tcPr>
            <w:tcW w:w="4253" w:type="dxa"/>
            <w:vAlign w:val="bottom"/>
          </w:tcPr>
          <w:p w14:paraId="70F90A5C" w14:textId="77777777" w:rsidR="00E42A05" w:rsidRPr="00AF51EA" w:rsidRDefault="00E42A05" w:rsidP="00AB516D">
            <w:pPr>
              <w:pStyle w:val="SingleTxtG"/>
              <w:ind w:left="0" w:right="0"/>
              <w:jc w:val="left"/>
              <w:rPr>
                <w:lang w:val="fr-FR"/>
              </w:rPr>
            </w:pPr>
            <w:r w:rsidRPr="00AF51EA">
              <w:rPr>
                <w:lang w:val="fr-FR"/>
              </w:rPr>
              <w:t>Refus d</w:t>
            </w:r>
            <w:r w:rsidR="00AB516D" w:rsidRPr="00AF51EA">
              <w:rPr>
                <w:lang w:val="fr-FR"/>
              </w:rPr>
              <w:t>’</w:t>
            </w:r>
            <w:r w:rsidRPr="00AF51EA">
              <w:rPr>
                <w:lang w:val="fr-FR"/>
              </w:rPr>
              <w:t>accorder une allocation pour enfant à charge en l</w:t>
            </w:r>
            <w:r w:rsidR="00AB516D" w:rsidRPr="00AF51EA">
              <w:rPr>
                <w:lang w:val="fr-FR"/>
              </w:rPr>
              <w:t>’</w:t>
            </w:r>
            <w:r w:rsidRPr="00AF51EA">
              <w:rPr>
                <w:lang w:val="fr-FR"/>
              </w:rPr>
              <w:t>absence de permis de séjour ; droits de l</w:t>
            </w:r>
            <w:r w:rsidR="00AB516D" w:rsidRPr="00AF51EA">
              <w:rPr>
                <w:lang w:val="fr-FR"/>
              </w:rPr>
              <w:t>’</w:t>
            </w:r>
            <w:r w:rsidRPr="00AF51EA">
              <w:rPr>
                <w:lang w:val="fr-FR"/>
              </w:rPr>
              <w:t>enfant ; droits de la famille</w:t>
            </w:r>
            <w:r w:rsidR="002A026E" w:rsidRPr="00AF51EA">
              <w:rPr>
                <w:lang w:val="fr-FR"/>
              </w:rPr>
              <w:t>.</w:t>
            </w:r>
          </w:p>
        </w:tc>
      </w:tr>
      <w:tr w:rsidR="00E42A05" w:rsidRPr="00AF51EA" w14:paraId="4FBDBC72" w14:textId="77777777" w:rsidTr="00AB516D">
        <w:tc>
          <w:tcPr>
            <w:tcW w:w="2552" w:type="dxa"/>
          </w:tcPr>
          <w:p w14:paraId="6FE655CE" w14:textId="77777777" w:rsidR="00E42A05" w:rsidRPr="00AF51EA" w:rsidRDefault="00E42A05" w:rsidP="00AB516D">
            <w:pPr>
              <w:pStyle w:val="SingleTxtG"/>
              <w:ind w:left="0" w:right="0"/>
              <w:jc w:val="left"/>
              <w:rPr>
                <w:lang w:val="fr-FR"/>
              </w:rPr>
            </w:pPr>
            <w:r w:rsidRPr="00AF51EA">
              <w:rPr>
                <w:i/>
                <w:lang w:val="fr-FR"/>
              </w:rPr>
              <w:t>Question(s) de procédure</w:t>
            </w:r>
            <w:r w:rsidRPr="00AF51EA">
              <w:rPr>
                <w:lang w:val="fr-FR"/>
              </w:rPr>
              <w:t> :</w:t>
            </w:r>
          </w:p>
        </w:tc>
        <w:tc>
          <w:tcPr>
            <w:tcW w:w="4253" w:type="dxa"/>
            <w:vAlign w:val="bottom"/>
          </w:tcPr>
          <w:p w14:paraId="7276B9AB" w14:textId="77777777" w:rsidR="00E42A05" w:rsidRPr="00AF51EA" w:rsidRDefault="00E42A05" w:rsidP="00AB516D">
            <w:pPr>
              <w:pStyle w:val="SingleTxtG"/>
              <w:ind w:left="0" w:right="0"/>
              <w:jc w:val="left"/>
              <w:rPr>
                <w:lang w:val="fr-FR"/>
              </w:rPr>
            </w:pPr>
            <w:r w:rsidRPr="00AF51EA">
              <w:rPr>
                <w:lang w:val="fr-FR"/>
              </w:rPr>
              <w:t>Néant</w:t>
            </w:r>
          </w:p>
        </w:tc>
      </w:tr>
      <w:tr w:rsidR="00E42A05" w:rsidRPr="00AF51EA" w14:paraId="1242A4CC" w14:textId="77777777" w:rsidTr="00AB516D">
        <w:tc>
          <w:tcPr>
            <w:tcW w:w="2552" w:type="dxa"/>
          </w:tcPr>
          <w:p w14:paraId="3CF34DD6" w14:textId="77777777" w:rsidR="00E42A05" w:rsidRPr="00AF51EA" w:rsidRDefault="00E42A05" w:rsidP="00AB516D">
            <w:pPr>
              <w:pStyle w:val="SingleTxtG"/>
              <w:ind w:left="0" w:right="0"/>
              <w:jc w:val="left"/>
              <w:rPr>
                <w:lang w:val="fr-FR"/>
              </w:rPr>
            </w:pPr>
            <w:r w:rsidRPr="00AF51EA">
              <w:rPr>
                <w:i/>
                <w:lang w:val="fr-FR"/>
              </w:rPr>
              <w:t>Question(s) de fond</w:t>
            </w:r>
            <w:r w:rsidRPr="00AF51EA">
              <w:rPr>
                <w:lang w:val="fr-FR"/>
              </w:rPr>
              <w:t> :</w:t>
            </w:r>
          </w:p>
        </w:tc>
        <w:tc>
          <w:tcPr>
            <w:tcW w:w="4253" w:type="dxa"/>
            <w:vAlign w:val="bottom"/>
          </w:tcPr>
          <w:p w14:paraId="5CFDDE36" w14:textId="77777777" w:rsidR="00E42A05" w:rsidRPr="00AF51EA" w:rsidRDefault="00E42A05" w:rsidP="00AB516D">
            <w:pPr>
              <w:pStyle w:val="SingleTxtG"/>
              <w:ind w:left="0" w:right="0"/>
              <w:jc w:val="left"/>
              <w:rPr>
                <w:lang w:val="fr-FR"/>
              </w:rPr>
            </w:pPr>
            <w:r w:rsidRPr="00AF51EA">
              <w:rPr>
                <w:lang w:val="fr-FR"/>
              </w:rPr>
              <w:t>Discrimination fondée sur une autre situation (prestations de sécurité sociale) ; droits de la famille et des enfants à la sécurité sociale</w:t>
            </w:r>
            <w:r w:rsidR="002A026E" w:rsidRPr="00AF51EA">
              <w:rPr>
                <w:lang w:val="fr-FR"/>
              </w:rPr>
              <w:t>.</w:t>
            </w:r>
          </w:p>
        </w:tc>
      </w:tr>
      <w:tr w:rsidR="00E42A05" w:rsidRPr="00AF51EA" w14:paraId="544C5CFA" w14:textId="77777777" w:rsidTr="00AB516D">
        <w:tc>
          <w:tcPr>
            <w:tcW w:w="2552" w:type="dxa"/>
          </w:tcPr>
          <w:p w14:paraId="21B8DE28" w14:textId="77777777" w:rsidR="00E42A05" w:rsidRPr="00AF51EA" w:rsidRDefault="00E42A05" w:rsidP="00AB516D">
            <w:pPr>
              <w:pStyle w:val="SingleTxtG"/>
              <w:ind w:left="0" w:right="0"/>
              <w:jc w:val="left"/>
              <w:rPr>
                <w:lang w:val="fr-FR"/>
              </w:rPr>
            </w:pPr>
            <w:r w:rsidRPr="00AF51EA">
              <w:rPr>
                <w:i/>
                <w:lang w:val="fr-FR"/>
              </w:rPr>
              <w:t xml:space="preserve">Article(s) </w:t>
            </w:r>
            <w:r w:rsidRPr="00AF51EA">
              <w:rPr>
                <w:i/>
                <w:iCs/>
                <w:lang w:val="fr-FR"/>
              </w:rPr>
              <w:t>du Pacte</w:t>
            </w:r>
            <w:r w:rsidRPr="00AF51EA">
              <w:rPr>
                <w:lang w:val="fr-FR"/>
              </w:rPr>
              <w:t> :</w:t>
            </w:r>
          </w:p>
        </w:tc>
        <w:tc>
          <w:tcPr>
            <w:tcW w:w="4253" w:type="dxa"/>
            <w:vAlign w:val="bottom"/>
          </w:tcPr>
          <w:p w14:paraId="4C2F7946" w14:textId="77777777" w:rsidR="00E42A05" w:rsidRPr="00AF51EA" w:rsidRDefault="00E42A05" w:rsidP="00AB516D">
            <w:pPr>
              <w:pStyle w:val="SingleTxtG"/>
              <w:ind w:left="0" w:right="0"/>
              <w:jc w:val="left"/>
              <w:rPr>
                <w:lang w:val="fr-FR"/>
              </w:rPr>
            </w:pPr>
            <w:r w:rsidRPr="00AF51EA">
              <w:rPr>
                <w:lang w:val="fr-FR"/>
              </w:rPr>
              <w:t>23, 24 (par</w:t>
            </w:r>
            <w:r w:rsidR="002A026E" w:rsidRPr="00AF51EA">
              <w:rPr>
                <w:lang w:val="fr-FR"/>
              </w:rPr>
              <w:t>.</w:t>
            </w:r>
            <w:r w:rsidRPr="00AF51EA">
              <w:rPr>
                <w:lang w:val="fr-FR"/>
              </w:rPr>
              <w:t> 1) et 26</w:t>
            </w:r>
          </w:p>
        </w:tc>
      </w:tr>
      <w:tr w:rsidR="00E42A05" w:rsidRPr="00AF51EA" w14:paraId="0F997E2B" w14:textId="77777777" w:rsidTr="00AB516D">
        <w:tc>
          <w:tcPr>
            <w:tcW w:w="2552" w:type="dxa"/>
          </w:tcPr>
          <w:p w14:paraId="1097C7E7" w14:textId="77777777" w:rsidR="00E42A05" w:rsidRPr="00AF51EA" w:rsidRDefault="00E42A05" w:rsidP="00AB516D">
            <w:pPr>
              <w:pStyle w:val="SingleTxtG"/>
              <w:ind w:left="0" w:right="0"/>
              <w:jc w:val="left"/>
              <w:rPr>
                <w:lang w:val="fr-FR"/>
              </w:rPr>
            </w:pPr>
            <w:r w:rsidRPr="00AF51EA">
              <w:rPr>
                <w:i/>
                <w:iCs/>
                <w:lang w:val="fr-FR"/>
              </w:rPr>
              <w:t>Article(s) du Protocole facultatif </w:t>
            </w:r>
            <w:r w:rsidRPr="00AF51EA">
              <w:rPr>
                <w:lang w:val="fr-FR"/>
              </w:rPr>
              <w:t>:</w:t>
            </w:r>
          </w:p>
        </w:tc>
        <w:tc>
          <w:tcPr>
            <w:tcW w:w="4253" w:type="dxa"/>
            <w:vAlign w:val="bottom"/>
          </w:tcPr>
          <w:p w14:paraId="29DC9DAB" w14:textId="77777777" w:rsidR="00E42A05" w:rsidRPr="00AF51EA" w:rsidRDefault="00E42A05" w:rsidP="00AB516D">
            <w:pPr>
              <w:pStyle w:val="SingleTxtG"/>
              <w:ind w:left="0" w:right="0"/>
              <w:jc w:val="left"/>
              <w:rPr>
                <w:lang w:val="fr-FR"/>
              </w:rPr>
            </w:pPr>
            <w:r w:rsidRPr="00AF51EA">
              <w:rPr>
                <w:lang w:val="fr-FR"/>
              </w:rPr>
              <w:t>2</w:t>
            </w:r>
          </w:p>
        </w:tc>
      </w:tr>
    </w:tbl>
    <w:p w14:paraId="0E89F152" w14:textId="77777777" w:rsidR="00E42A05" w:rsidRPr="00AF51EA" w:rsidRDefault="00E42A05" w:rsidP="00E42A05">
      <w:pPr>
        <w:pStyle w:val="SingleTxtG"/>
        <w:spacing w:before="120"/>
        <w:rPr>
          <w:lang w:val="fr-FR"/>
        </w:rPr>
      </w:pPr>
      <w:r w:rsidRPr="00AF51EA">
        <w:rPr>
          <w:lang w:val="fr-FR"/>
        </w:rPr>
        <w:t>1</w:t>
      </w:r>
      <w:r w:rsidR="002A026E" w:rsidRPr="00AF51EA">
        <w:rPr>
          <w:lang w:val="fr-FR"/>
        </w:rPr>
        <w:t>.</w:t>
      </w:r>
      <w:r w:rsidRPr="00AF51EA">
        <w:rPr>
          <w:lang w:val="fr-FR"/>
        </w:rPr>
        <w:t>1</w:t>
      </w:r>
      <w:r w:rsidRPr="00AF51EA">
        <w:rPr>
          <w:lang w:val="fr-FR"/>
        </w:rPr>
        <w:tab/>
        <w:t xml:space="preserve">Les auteurs de la communication sont </w:t>
      </w:r>
      <w:proofErr w:type="spellStart"/>
      <w:r w:rsidRPr="00AF51EA">
        <w:rPr>
          <w:lang w:val="fr-FR"/>
        </w:rPr>
        <w:t>Jamshed</w:t>
      </w:r>
      <w:proofErr w:type="spellEnd"/>
      <w:r w:rsidRPr="00AF51EA">
        <w:rPr>
          <w:lang w:val="fr-FR"/>
        </w:rPr>
        <w:t xml:space="preserve"> </w:t>
      </w:r>
      <w:proofErr w:type="spellStart"/>
      <w:r w:rsidRPr="00AF51EA">
        <w:rPr>
          <w:lang w:val="fr-FR"/>
        </w:rPr>
        <w:t>Hashemi</w:t>
      </w:r>
      <w:proofErr w:type="spellEnd"/>
      <w:r w:rsidRPr="00AF51EA">
        <w:rPr>
          <w:lang w:val="fr-FR"/>
        </w:rPr>
        <w:t xml:space="preserve">, né le 13 mai 1977, et Maryam </w:t>
      </w:r>
      <w:proofErr w:type="spellStart"/>
      <w:r w:rsidRPr="00AF51EA">
        <w:rPr>
          <w:lang w:val="fr-FR"/>
        </w:rPr>
        <w:t>Hashemi</w:t>
      </w:r>
      <w:proofErr w:type="spellEnd"/>
      <w:r w:rsidRPr="00AF51EA">
        <w:rPr>
          <w:lang w:val="fr-FR"/>
        </w:rPr>
        <w:t>, née le 25 octobre 1980, tous deux de nationalité afghane</w:t>
      </w:r>
      <w:r w:rsidR="002A026E" w:rsidRPr="00AF51EA">
        <w:rPr>
          <w:lang w:val="fr-FR"/>
        </w:rPr>
        <w:t>.</w:t>
      </w:r>
      <w:r w:rsidRPr="00AF51EA">
        <w:rPr>
          <w:lang w:val="fr-FR"/>
        </w:rPr>
        <w:t xml:space="preserve"> Ils présentent la communication en leur nom et au nom de leurs deux enfants, R</w:t>
      </w:r>
      <w:r w:rsidR="002A026E" w:rsidRPr="00AF51EA">
        <w:rPr>
          <w:lang w:val="fr-FR"/>
        </w:rPr>
        <w:t>.</w:t>
      </w:r>
      <w:r w:rsidRPr="00AF51EA">
        <w:rPr>
          <w:lang w:val="fr-FR"/>
        </w:rPr>
        <w:t xml:space="preserve"> et Q</w:t>
      </w:r>
      <w:r w:rsidR="002A026E" w:rsidRPr="00AF51EA">
        <w:rPr>
          <w:lang w:val="fr-FR"/>
        </w:rPr>
        <w:t>.</w:t>
      </w:r>
      <w:r w:rsidRPr="00AF51EA">
        <w:rPr>
          <w:lang w:val="fr-FR"/>
        </w:rPr>
        <w:t>, nés aux Pays-Bas le 23 mai 2002 et le 19 décembre 2008, respectivement</w:t>
      </w:r>
      <w:r w:rsidR="002A026E" w:rsidRPr="00AF51EA">
        <w:rPr>
          <w:lang w:val="fr-FR"/>
        </w:rPr>
        <w:t>.</w:t>
      </w:r>
      <w:r w:rsidRPr="00AF51EA">
        <w:rPr>
          <w:lang w:val="fr-FR"/>
        </w:rPr>
        <w:t xml:space="preserve"> Les auteurs affirment que le rejet </w:t>
      </w:r>
      <w:r w:rsidRPr="00AF51EA">
        <w:rPr>
          <w:lang w:val="fr-FR"/>
        </w:rPr>
        <w:lastRenderedPageBreak/>
        <w:t>de leur demande d</w:t>
      </w:r>
      <w:r w:rsidR="00AB516D" w:rsidRPr="00AF51EA">
        <w:rPr>
          <w:lang w:val="fr-FR"/>
        </w:rPr>
        <w:t>’</w:t>
      </w:r>
      <w:r w:rsidRPr="00AF51EA">
        <w:rPr>
          <w:lang w:val="fr-FR"/>
        </w:rPr>
        <w:t>allocation de base pour enfant à charge par la Caisse de sécurité sociale constitue une violation par l</w:t>
      </w:r>
      <w:r w:rsidR="00AB516D" w:rsidRPr="00AF51EA">
        <w:rPr>
          <w:lang w:val="fr-FR"/>
        </w:rPr>
        <w:t>’</w:t>
      </w:r>
      <w:r w:rsidRPr="00AF51EA">
        <w:rPr>
          <w:lang w:val="fr-FR"/>
        </w:rPr>
        <w:t>État partie des articles 23, 24 (par</w:t>
      </w:r>
      <w:r w:rsidR="002A026E" w:rsidRPr="00AF51EA">
        <w:rPr>
          <w:lang w:val="fr-FR"/>
        </w:rPr>
        <w:t>.</w:t>
      </w:r>
      <w:r w:rsidRPr="00AF51EA">
        <w:rPr>
          <w:lang w:val="fr-FR"/>
        </w:rPr>
        <w:t> 1) et 26 du Pacte</w:t>
      </w:r>
      <w:r w:rsidR="002A026E" w:rsidRPr="00AF51EA">
        <w:rPr>
          <w:lang w:val="fr-FR"/>
        </w:rPr>
        <w:t>.</w:t>
      </w:r>
      <w:r w:rsidRPr="00AF51EA">
        <w:rPr>
          <w:lang w:val="fr-FR"/>
        </w:rPr>
        <w:t xml:space="preserve"> Le Protocole facultatif se rapportant au Pacte est entré en vigueur pour l</w:t>
      </w:r>
      <w:r w:rsidR="00AB516D" w:rsidRPr="00AF51EA">
        <w:rPr>
          <w:lang w:val="fr-FR"/>
        </w:rPr>
        <w:t>’</w:t>
      </w:r>
      <w:r w:rsidRPr="00AF51EA">
        <w:rPr>
          <w:lang w:val="fr-FR"/>
        </w:rPr>
        <w:t>État partie le 11 mars 1979</w:t>
      </w:r>
      <w:r w:rsidR="002A026E" w:rsidRPr="00AF51EA">
        <w:rPr>
          <w:lang w:val="fr-FR"/>
        </w:rPr>
        <w:t>.</w:t>
      </w:r>
      <w:r w:rsidRPr="00AF51EA">
        <w:rPr>
          <w:lang w:val="fr-FR"/>
        </w:rPr>
        <w:t xml:space="preserve"> Les auteurs sont représentés par un conseil</w:t>
      </w:r>
      <w:r w:rsidR="002A026E" w:rsidRPr="00AF51EA">
        <w:rPr>
          <w:lang w:val="fr-FR"/>
        </w:rPr>
        <w:t>.</w:t>
      </w:r>
    </w:p>
    <w:p w14:paraId="5CFB8505" w14:textId="77777777" w:rsidR="00E42A05" w:rsidRPr="00AF51EA" w:rsidRDefault="00E42A05" w:rsidP="00E42A05">
      <w:pPr>
        <w:pStyle w:val="H23G"/>
        <w:rPr>
          <w:lang w:val="fr-FR"/>
        </w:rPr>
      </w:pPr>
      <w:r w:rsidRPr="00AF51EA">
        <w:rPr>
          <w:lang w:val="fr-FR"/>
        </w:rPr>
        <w:tab/>
      </w:r>
      <w:r w:rsidRPr="00AF51EA">
        <w:rPr>
          <w:lang w:val="fr-FR"/>
        </w:rPr>
        <w:tab/>
        <w:t>Exposé des faits</w:t>
      </w:r>
    </w:p>
    <w:p w14:paraId="382AED6E" w14:textId="77777777" w:rsidR="00E42A05" w:rsidRPr="00AF51EA" w:rsidRDefault="00E42A05" w:rsidP="007B74FF">
      <w:pPr>
        <w:pStyle w:val="SingleTxtG"/>
        <w:rPr>
          <w:lang w:val="fr-FR"/>
        </w:rPr>
      </w:pPr>
      <w:r w:rsidRPr="00AF51EA">
        <w:rPr>
          <w:lang w:val="fr-FR"/>
        </w:rPr>
        <w:t>2</w:t>
      </w:r>
      <w:r w:rsidR="002A026E" w:rsidRPr="00AF51EA">
        <w:rPr>
          <w:lang w:val="fr-FR"/>
        </w:rPr>
        <w:t>.</w:t>
      </w:r>
      <w:r w:rsidRPr="00AF51EA">
        <w:rPr>
          <w:lang w:val="fr-FR"/>
        </w:rPr>
        <w:t>1</w:t>
      </w:r>
      <w:r w:rsidRPr="00AF51EA">
        <w:rPr>
          <w:lang w:val="fr-FR"/>
        </w:rPr>
        <w:tab/>
        <w:t>Les auteurs indiquent qu</w:t>
      </w:r>
      <w:r w:rsidR="00AB516D" w:rsidRPr="00AF51EA">
        <w:rPr>
          <w:lang w:val="fr-FR"/>
        </w:rPr>
        <w:t>’</w:t>
      </w:r>
      <w:r w:rsidRPr="00AF51EA">
        <w:rPr>
          <w:lang w:val="fr-FR"/>
        </w:rPr>
        <w:t>ils ont fui l</w:t>
      </w:r>
      <w:r w:rsidR="00AB516D" w:rsidRPr="00AF51EA">
        <w:rPr>
          <w:lang w:val="fr-FR"/>
        </w:rPr>
        <w:t>’</w:t>
      </w:r>
      <w:r w:rsidRPr="00AF51EA">
        <w:rPr>
          <w:lang w:val="fr-FR"/>
        </w:rPr>
        <w:t>Afghanistan à cause des Taliban et qu</w:t>
      </w:r>
      <w:r w:rsidR="00AB516D" w:rsidRPr="00AF51EA">
        <w:rPr>
          <w:lang w:val="fr-FR"/>
        </w:rPr>
        <w:t>’</w:t>
      </w:r>
      <w:r w:rsidRPr="00AF51EA">
        <w:rPr>
          <w:lang w:val="fr-FR"/>
        </w:rPr>
        <w:t>ils sont arrivés aux Pays-Bas le 14 août 2001</w:t>
      </w:r>
      <w:r w:rsidR="002A026E" w:rsidRPr="00AF51EA">
        <w:rPr>
          <w:lang w:val="fr-FR"/>
        </w:rPr>
        <w:t>.</w:t>
      </w:r>
      <w:r w:rsidRPr="00AF51EA">
        <w:rPr>
          <w:lang w:val="fr-FR"/>
        </w:rPr>
        <w:t xml:space="preserve"> Le 15 août 2001, ils ont déposé une première demande d</w:t>
      </w:r>
      <w:r w:rsidR="00AB516D" w:rsidRPr="00AF51EA">
        <w:rPr>
          <w:lang w:val="fr-FR"/>
        </w:rPr>
        <w:t>’</w:t>
      </w:r>
      <w:r w:rsidRPr="00AF51EA">
        <w:rPr>
          <w:lang w:val="fr-FR"/>
        </w:rPr>
        <w:t>asile, qui a été rejetée le 24 février 2003</w:t>
      </w:r>
      <w:r w:rsidR="002A026E" w:rsidRPr="00AF51EA">
        <w:rPr>
          <w:lang w:val="fr-FR"/>
        </w:rPr>
        <w:t>.</w:t>
      </w:r>
      <w:r w:rsidRPr="00AF51EA">
        <w:rPr>
          <w:lang w:val="fr-FR"/>
        </w:rPr>
        <w:t xml:space="preserve"> Le 21 mars 2003, ils ont formé un recours contre cette décision devant le tribunal régional de La Haye, qui les a déboutés</w:t>
      </w:r>
      <w:r w:rsidR="002A026E" w:rsidRPr="00AF51EA">
        <w:rPr>
          <w:lang w:val="fr-FR"/>
        </w:rPr>
        <w:t>.</w:t>
      </w:r>
      <w:r w:rsidRPr="00AF51EA">
        <w:rPr>
          <w:lang w:val="fr-FR"/>
        </w:rPr>
        <w:t xml:space="preserve"> Le 8 février 2005, la Division administrative du Conseil d</w:t>
      </w:r>
      <w:r w:rsidR="00AB516D" w:rsidRPr="00AF51EA">
        <w:rPr>
          <w:lang w:val="fr-FR"/>
        </w:rPr>
        <w:t>’</w:t>
      </w:r>
      <w:r w:rsidRPr="00AF51EA">
        <w:rPr>
          <w:lang w:val="fr-FR"/>
        </w:rPr>
        <w:t>État a confirmé la décision du tribunal régional</w:t>
      </w:r>
      <w:r w:rsidR="002A026E" w:rsidRPr="00AF51EA">
        <w:rPr>
          <w:lang w:val="fr-FR"/>
        </w:rPr>
        <w:t>.</w:t>
      </w:r>
    </w:p>
    <w:p w14:paraId="61E35BEB" w14:textId="77777777" w:rsidR="00E42A05" w:rsidRPr="00AF51EA" w:rsidRDefault="00E42A05" w:rsidP="007B74FF">
      <w:pPr>
        <w:pStyle w:val="SingleTxtG"/>
        <w:rPr>
          <w:lang w:val="fr-FR"/>
        </w:rPr>
      </w:pPr>
      <w:r w:rsidRPr="00AF51EA">
        <w:rPr>
          <w:lang w:val="fr-FR"/>
        </w:rPr>
        <w:t>2</w:t>
      </w:r>
      <w:r w:rsidR="002A026E" w:rsidRPr="00AF51EA">
        <w:rPr>
          <w:lang w:val="fr-FR"/>
        </w:rPr>
        <w:t>.</w:t>
      </w:r>
      <w:r w:rsidRPr="00AF51EA">
        <w:rPr>
          <w:lang w:val="fr-FR"/>
        </w:rPr>
        <w:t>2</w:t>
      </w:r>
      <w:r w:rsidRPr="00AF51EA">
        <w:rPr>
          <w:lang w:val="fr-FR"/>
        </w:rPr>
        <w:tab/>
        <w:t>Les auteurs indiquent que, le 21 décembre 2005, ils ont présenté une demande de permis de séjour au nom de R</w:t>
      </w:r>
      <w:r w:rsidR="002A026E" w:rsidRPr="00AF51EA">
        <w:rPr>
          <w:lang w:val="fr-FR"/>
        </w:rPr>
        <w:t>.</w:t>
      </w:r>
      <w:r w:rsidRPr="00AF51EA">
        <w:rPr>
          <w:lang w:val="fr-FR"/>
        </w:rPr>
        <w:t xml:space="preserve"> en invoquant les problèmes de santé que connaissait celle-ci (voir par</w:t>
      </w:r>
      <w:r w:rsidR="002A026E" w:rsidRPr="00AF51EA">
        <w:rPr>
          <w:lang w:val="fr-FR"/>
        </w:rPr>
        <w:t>.</w:t>
      </w:r>
      <w:r w:rsidRPr="00AF51EA">
        <w:rPr>
          <w:lang w:val="fr-FR"/>
        </w:rPr>
        <w:t> 2</w:t>
      </w:r>
      <w:r w:rsidR="002A026E" w:rsidRPr="00AF51EA">
        <w:rPr>
          <w:lang w:val="fr-FR"/>
        </w:rPr>
        <w:t>.</w:t>
      </w:r>
      <w:r w:rsidRPr="00AF51EA">
        <w:rPr>
          <w:lang w:val="fr-FR"/>
        </w:rPr>
        <w:t>7)</w:t>
      </w:r>
      <w:r w:rsidR="002A026E" w:rsidRPr="00AF51EA">
        <w:rPr>
          <w:lang w:val="fr-FR"/>
        </w:rPr>
        <w:t>.</w:t>
      </w:r>
      <w:r w:rsidRPr="00AF51EA">
        <w:rPr>
          <w:lang w:val="fr-FR"/>
        </w:rPr>
        <w:t xml:space="preserve"> N</w:t>
      </w:r>
      <w:r w:rsidR="00AB516D" w:rsidRPr="00AF51EA">
        <w:rPr>
          <w:lang w:val="fr-FR"/>
        </w:rPr>
        <w:t>’</w:t>
      </w:r>
      <w:r w:rsidRPr="00AF51EA">
        <w:rPr>
          <w:lang w:val="fr-FR"/>
        </w:rPr>
        <w:t>ayant pas reçu de réponse, ils ont formé un recours le 17 août 2006</w:t>
      </w:r>
      <w:r w:rsidR="002A026E" w:rsidRPr="00AF51EA">
        <w:rPr>
          <w:lang w:val="fr-FR"/>
        </w:rPr>
        <w:t>.</w:t>
      </w:r>
      <w:r w:rsidRPr="00AF51EA">
        <w:rPr>
          <w:lang w:val="fr-FR"/>
        </w:rPr>
        <w:t xml:space="preserve"> Ce recours a été déclaré fondé le 7 septembre 2007 mais cela n</w:t>
      </w:r>
      <w:r w:rsidR="00AB516D" w:rsidRPr="00AF51EA">
        <w:rPr>
          <w:lang w:val="fr-FR"/>
        </w:rPr>
        <w:t>’</w:t>
      </w:r>
      <w:r w:rsidRPr="00AF51EA">
        <w:rPr>
          <w:lang w:val="fr-FR"/>
        </w:rPr>
        <w:t>a pas eu de conséquences juridiques, car ils avaient présenté une deuxième demande de permis de séjour au nom de R</w:t>
      </w:r>
      <w:r w:rsidR="002A026E" w:rsidRPr="00AF51EA">
        <w:rPr>
          <w:lang w:val="fr-FR"/>
        </w:rPr>
        <w:t>.</w:t>
      </w:r>
      <w:r w:rsidRPr="00AF51EA">
        <w:rPr>
          <w:lang w:val="fr-FR"/>
        </w:rPr>
        <w:t xml:space="preserve"> le 19 septembre 2006</w:t>
      </w:r>
      <w:r w:rsidR="002A026E" w:rsidRPr="00AF51EA">
        <w:rPr>
          <w:lang w:val="fr-FR"/>
        </w:rPr>
        <w:t>.</w:t>
      </w:r>
      <w:r w:rsidRPr="00AF51EA">
        <w:rPr>
          <w:lang w:val="fr-FR"/>
        </w:rPr>
        <w:t xml:space="preserve"> Cette demande a été rejetée le 23 novembre 2006 et la décision de rejet confirmée le 9 octobre 2008 par la division administrative du Conseil d</w:t>
      </w:r>
      <w:r w:rsidR="00AB516D" w:rsidRPr="00AF51EA">
        <w:rPr>
          <w:lang w:val="fr-FR"/>
        </w:rPr>
        <w:t>’</w:t>
      </w:r>
      <w:r w:rsidRPr="00AF51EA">
        <w:rPr>
          <w:lang w:val="fr-FR"/>
        </w:rPr>
        <w:t>État</w:t>
      </w:r>
      <w:r w:rsidR="002A026E" w:rsidRPr="00AF51EA">
        <w:rPr>
          <w:lang w:val="fr-FR"/>
        </w:rPr>
        <w:t>.</w:t>
      </w:r>
    </w:p>
    <w:p w14:paraId="6A4A20BB" w14:textId="77777777" w:rsidR="00E42A05" w:rsidRPr="00AF51EA" w:rsidRDefault="00E42A05" w:rsidP="00E42A05">
      <w:pPr>
        <w:pStyle w:val="SingleTxtG"/>
        <w:rPr>
          <w:lang w:val="fr-FR"/>
        </w:rPr>
      </w:pPr>
      <w:r w:rsidRPr="00AF51EA">
        <w:rPr>
          <w:lang w:val="fr-FR"/>
        </w:rPr>
        <w:t>2</w:t>
      </w:r>
      <w:r w:rsidR="002A026E" w:rsidRPr="00AF51EA">
        <w:rPr>
          <w:lang w:val="fr-FR"/>
        </w:rPr>
        <w:t>.</w:t>
      </w:r>
      <w:r w:rsidRPr="00AF51EA">
        <w:rPr>
          <w:lang w:val="fr-FR"/>
        </w:rPr>
        <w:t>3</w:t>
      </w:r>
      <w:r w:rsidRPr="00AF51EA">
        <w:rPr>
          <w:lang w:val="fr-FR"/>
        </w:rPr>
        <w:tab/>
        <w:t>Le 13 octobre 2008, les auteurs ont demandé le report de l</w:t>
      </w:r>
      <w:r w:rsidR="00AB516D" w:rsidRPr="00AF51EA">
        <w:rPr>
          <w:lang w:val="fr-FR"/>
        </w:rPr>
        <w:t>’</w:t>
      </w:r>
      <w:r w:rsidRPr="00AF51EA">
        <w:rPr>
          <w:lang w:val="fr-FR"/>
        </w:rPr>
        <w:t>exécution de l</w:t>
      </w:r>
      <w:r w:rsidR="00AB516D" w:rsidRPr="00AF51EA">
        <w:rPr>
          <w:lang w:val="fr-FR"/>
        </w:rPr>
        <w:t>’</w:t>
      </w:r>
      <w:r w:rsidRPr="00AF51EA">
        <w:rPr>
          <w:lang w:val="fr-FR"/>
        </w:rPr>
        <w:t>arrêté leur enjoignant de quitter le territoire, faisant valoir que M</w:t>
      </w:r>
      <w:r w:rsidRPr="00AF51EA">
        <w:rPr>
          <w:vertAlign w:val="superscript"/>
          <w:lang w:val="fr-FR"/>
        </w:rPr>
        <w:t>me</w:t>
      </w:r>
      <w:r w:rsidRPr="00AF51EA">
        <w:rPr>
          <w:lang w:val="fr-FR"/>
        </w:rPr>
        <w:t> </w:t>
      </w:r>
      <w:proofErr w:type="spellStart"/>
      <w:r w:rsidRPr="00AF51EA">
        <w:rPr>
          <w:lang w:val="fr-FR"/>
        </w:rPr>
        <w:t>Hashemi</w:t>
      </w:r>
      <w:proofErr w:type="spellEnd"/>
      <w:r w:rsidRPr="00AF51EA">
        <w:rPr>
          <w:lang w:val="fr-FR"/>
        </w:rPr>
        <w:t xml:space="preserve"> était enceinte de son deuxième enfant, Q</w:t>
      </w:r>
      <w:r w:rsidR="002A026E" w:rsidRPr="00AF51EA">
        <w:rPr>
          <w:lang w:val="fr-FR"/>
        </w:rPr>
        <w:t>.</w:t>
      </w:r>
      <w:r w:rsidRPr="00AF51EA">
        <w:rPr>
          <w:lang w:val="fr-FR"/>
        </w:rPr>
        <w:t>, né le 19 décembre 2008</w:t>
      </w:r>
      <w:r w:rsidR="002A026E" w:rsidRPr="00AF51EA">
        <w:rPr>
          <w:lang w:val="fr-FR"/>
        </w:rPr>
        <w:t>.</w:t>
      </w:r>
      <w:r w:rsidRPr="00AF51EA">
        <w:rPr>
          <w:lang w:val="fr-FR"/>
        </w:rPr>
        <w:t xml:space="preserve"> Le 3 novembre 2008, le Secrétaire à la justice du Service de l</w:t>
      </w:r>
      <w:r w:rsidR="00AB516D" w:rsidRPr="00AF51EA">
        <w:rPr>
          <w:lang w:val="fr-FR"/>
        </w:rPr>
        <w:t>’</w:t>
      </w:r>
      <w:r w:rsidRPr="00AF51EA">
        <w:rPr>
          <w:lang w:val="fr-FR"/>
        </w:rPr>
        <w:t>immigration et de la naturalisation a accordé le report demandé, ce qui permettait aux auteurs de demeurer aux Pays-Bas du 11 novembre 2008 jusqu</w:t>
      </w:r>
      <w:r w:rsidR="00AB516D" w:rsidRPr="00AF51EA">
        <w:rPr>
          <w:lang w:val="fr-FR"/>
        </w:rPr>
        <w:t>’</w:t>
      </w:r>
      <w:r w:rsidRPr="00AF51EA">
        <w:rPr>
          <w:lang w:val="fr-FR"/>
        </w:rPr>
        <w:t>à la sixième semaine qui suivrait la naissance de l</w:t>
      </w:r>
      <w:r w:rsidR="00AB516D" w:rsidRPr="00AF51EA">
        <w:rPr>
          <w:lang w:val="fr-FR"/>
        </w:rPr>
        <w:t>’</w:t>
      </w:r>
      <w:r w:rsidRPr="00AF51EA">
        <w:rPr>
          <w:lang w:val="fr-FR"/>
        </w:rPr>
        <w:t>enfant</w:t>
      </w:r>
      <w:r w:rsidR="002A026E" w:rsidRPr="00AF51EA">
        <w:rPr>
          <w:lang w:val="fr-FR"/>
        </w:rPr>
        <w:t>.</w:t>
      </w:r>
    </w:p>
    <w:p w14:paraId="38D6A862" w14:textId="77777777" w:rsidR="00E42A05" w:rsidRPr="00AF51EA" w:rsidRDefault="00E42A05" w:rsidP="00E42A05">
      <w:pPr>
        <w:pStyle w:val="SingleTxtG"/>
        <w:rPr>
          <w:lang w:val="fr-FR"/>
        </w:rPr>
      </w:pPr>
      <w:r w:rsidRPr="00AF51EA">
        <w:rPr>
          <w:lang w:val="fr-FR"/>
        </w:rPr>
        <w:t>2</w:t>
      </w:r>
      <w:r w:rsidR="002A026E" w:rsidRPr="00AF51EA">
        <w:rPr>
          <w:lang w:val="fr-FR"/>
        </w:rPr>
        <w:t>.</w:t>
      </w:r>
      <w:r w:rsidRPr="00AF51EA">
        <w:rPr>
          <w:lang w:val="fr-FR"/>
        </w:rPr>
        <w:t>4</w:t>
      </w:r>
      <w:r w:rsidRPr="00AF51EA">
        <w:rPr>
          <w:lang w:val="fr-FR"/>
        </w:rPr>
        <w:tab/>
        <w:t>Les auteurs indiquent qu</w:t>
      </w:r>
      <w:r w:rsidR="00AB516D" w:rsidRPr="00AF51EA">
        <w:rPr>
          <w:lang w:val="fr-FR"/>
        </w:rPr>
        <w:t>’</w:t>
      </w:r>
      <w:r w:rsidRPr="00AF51EA">
        <w:rPr>
          <w:lang w:val="fr-FR"/>
        </w:rPr>
        <w:t>ils ont déposé une deuxième demande d</w:t>
      </w:r>
      <w:r w:rsidR="00AB516D" w:rsidRPr="00AF51EA">
        <w:rPr>
          <w:lang w:val="fr-FR"/>
        </w:rPr>
        <w:t>’</w:t>
      </w:r>
      <w:r w:rsidRPr="00AF51EA">
        <w:rPr>
          <w:lang w:val="fr-FR"/>
        </w:rPr>
        <w:t>asile le 22 janvier 2009</w:t>
      </w:r>
      <w:r w:rsidR="002A026E" w:rsidRPr="00AF51EA">
        <w:rPr>
          <w:lang w:val="fr-FR"/>
        </w:rPr>
        <w:t>.</w:t>
      </w:r>
      <w:r w:rsidRPr="00AF51EA">
        <w:rPr>
          <w:lang w:val="fr-FR"/>
        </w:rPr>
        <w:t xml:space="preserve"> Le Secrétaire à la justice a rejeté cette demande le 29 mai 2009 et ils ont formé un recours contre ce rejet le 17 juillet 2009</w:t>
      </w:r>
      <w:r w:rsidR="002A026E" w:rsidRPr="00AF51EA">
        <w:rPr>
          <w:lang w:val="fr-FR"/>
        </w:rPr>
        <w:t>.</w:t>
      </w:r>
      <w:r w:rsidRPr="00AF51EA">
        <w:rPr>
          <w:lang w:val="fr-FR"/>
        </w:rPr>
        <w:t xml:space="preserve"> Le 17 décembre 2009, le tribunal de district de La Haye a annulé la décision du Secrétaire à la justice et l</w:t>
      </w:r>
      <w:r w:rsidR="00AB516D" w:rsidRPr="00AF51EA">
        <w:rPr>
          <w:lang w:val="fr-FR"/>
        </w:rPr>
        <w:t>’</w:t>
      </w:r>
      <w:r w:rsidRPr="00AF51EA">
        <w:rPr>
          <w:lang w:val="fr-FR"/>
        </w:rPr>
        <w:t>a prié de rendre une nouvelle décision</w:t>
      </w:r>
      <w:r w:rsidR="002A026E" w:rsidRPr="00AF51EA">
        <w:rPr>
          <w:lang w:val="fr-FR"/>
        </w:rPr>
        <w:t>.</w:t>
      </w:r>
      <w:r w:rsidRPr="00AF51EA">
        <w:rPr>
          <w:lang w:val="fr-FR"/>
        </w:rPr>
        <w:t xml:space="preserve"> Le 7 janvier 2010, le Secrétaire à la justice a accordé aux auteurs un permis de séjour temporaire au titre de l</w:t>
      </w:r>
      <w:r w:rsidR="00AB516D" w:rsidRPr="00AF51EA">
        <w:rPr>
          <w:lang w:val="fr-FR"/>
        </w:rPr>
        <w:t>’</w:t>
      </w:r>
      <w:r w:rsidRPr="00AF51EA">
        <w:rPr>
          <w:lang w:val="fr-FR"/>
        </w:rPr>
        <w:t>asile, avec effet rétroactif, valable du 22 janvier 2009 au 22 janvier 2014, compte tenu du fait qu</w:t>
      </w:r>
      <w:r w:rsidR="00AB516D" w:rsidRPr="00AF51EA">
        <w:rPr>
          <w:lang w:val="fr-FR"/>
        </w:rPr>
        <w:t>’</w:t>
      </w:r>
      <w:r w:rsidRPr="00AF51EA">
        <w:rPr>
          <w:lang w:val="fr-FR"/>
        </w:rPr>
        <w:t>ils ne pouvaient pas retourner en Afghanistan</w:t>
      </w:r>
      <w:r w:rsidR="002A026E" w:rsidRPr="00AF51EA">
        <w:rPr>
          <w:lang w:val="fr-FR"/>
        </w:rPr>
        <w:t>.</w:t>
      </w:r>
      <w:r w:rsidRPr="00AF51EA">
        <w:rPr>
          <w:lang w:val="fr-FR"/>
        </w:rPr>
        <w:t xml:space="preserve"> Le 5 juin 2014, les auteurs ont soumis une demande de naturalisation et, le 26 novembre 2014, ils ont obtenu la nationalité néerlandaise</w:t>
      </w:r>
      <w:r w:rsidR="002A026E" w:rsidRPr="00AF51EA">
        <w:rPr>
          <w:lang w:val="fr-FR"/>
        </w:rPr>
        <w:t>.</w:t>
      </w:r>
    </w:p>
    <w:p w14:paraId="1E069A82" w14:textId="77777777" w:rsidR="00E42A05" w:rsidRPr="00AF51EA" w:rsidRDefault="00E42A05" w:rsidP="00E42A05">
      <w:pPr>
        <w:pStyle w:val="SingleTxtG"/>
        <w:rPr>
          <w:lang w:val="fr-FR"/>
        </w:rPr>
      </w:pPr>
      <w:r w:rsidRPr="00AF51EA">
        <w:rPr>
          <w:lang w:val="fr-FR"/>
        </w:rPr>
        <w:t>2</w:t>
      </w:r>
      <w:r w:rsidR="002A026E" w:rsidRPr="00AF51EA">
        <w:rPr>
          <w:lang w:val="fr-FR"/>
        </w:rPr>
        <w:t>.</w:t>
      </w:r>
      <w:r w:rsidRPr="00AF51EA">
        <w:rPr>
          <w:lang w:val="fr-FR"/>
        </w:rPr>
        <w:t>5</w:t>
      </w:r>
      <w:r w:rsidRPr="00AF51EA">
        <w:rPr>
          <w:lang w:val="fr-FR"/>
        </w:rPr>
        <w:tab/>
        <w:t>À leur arrivée aux Pays-Bas le 14 août 2001, les auteurs ont été hébergés dans un centre pour demandeurs d</w:t>
      </w:r>
      <w:r w:rsidR="00AB516D" w:rsidRPr="00AF51EA">
        <w:rPr>
          <w:lang w:val="fr-FR"/>
        </w:rPr>
        <w:t>’</w:t>
      </w:r>
      <w:r w:rsidRPr="00AF51EA">
        <w:rPr>
          <w:lang w:val="fr-FR"/>
        </w:rPr>
        <w:t>asile géré par l</w:t>
      </w:r>
      <w:r w:rsidR="00AB516D" w:rsidRPr="00AF51EA">
        <w:rPr>
          <w:lang w:val="fr-FR"/>
        </w:rPr>
        <w:t>’</w:t>
      </w:r>
      <w:r w:rsidRPr="00AF51EA">
        <w:rPr>
          <w:lang w:val="fr-FR"/>
        </w:rPr>
        <w:t>Office central chargé de l</w:t>
      </w:r>
      <w:r w:rsidR="00AB516D" w:rsidRPr="00AF51EA">
        <w:rPr>
          <w:lang w:val="fr-FR"/>
        </w:rPr>
        <w:t>’</w:t>
      </w:r>
      <w:r w:rsidRPr="00AF51EA">
        <w:rPr>
          <w:lang w:val="fr-FR"/>
        </w:rPr>
        <w:t>accueil des demandeurs d</w:t>
      </w:r>
      <w:r w:rsidR="00AB516D" w:rsidRPr="00AF51EA">
        <w:rPr>
          <w:lang w:val="fr-FR"/>
        </w:rPr>
        <w:t>’</w:t>
      </w:r>
      <w:r w:rsidRPr="00AF51EA">
        <w:rPr>
          <w:lang w:val="fr-FR"/>
        </w:rPr>
        <w:t>asile, mais ils ont dû quitter ce centre le 17 mars 2005, suite à la décision du Conseil d</w:t>
      </w:r>
      <w:r w:rsidR="00AB516D" w:rsidRPr="00AF51EA">
        <w:rPr>
          <w:lang w:val="fr-FR"/>
        </w:rPr>
        <w:t>’</w:t>
      </w:r>
      <w:r w:rsidRPr="00AF51EA">
        <w:rPr>
          <w:lang w:val="fr-FR"/>
        </w:rPr>
        <w:t>État en date du 8 février 2005 rejetant leur demande d</w:t>
      </w:r>
      <w:r w:rsidR="00AB516D" w:rsidRPr="00AF51EA">
        <w:rPr>
          <w:lang w:val="fr-FR"/>
        </w:rPr>
        <w:t>’</w:t>
      </w:r>
      <w:r w:rsidRPr="00AF51EA">
        <w:rPr>
          <w:lang w:val="fr-FR"/>
        </w:rPr>
        <w:t>asile</w:t>
      </w:r>
      <w:r w:rsidR="002A026E" w:rsidRPr="00AF51EA">
        <w:rPr>
          <w:lang w:val="fr-FR"/>
        </w:rPr>
        <w:t>.</w:t>
      </w:r>
      <w:r w:rsidRPr="00AF51EA">
        <w:rPr>
          <w:lang w:val="fr-FR"/>
        </w:rPr>
        <w:t xml:space="preserve"> Le 4 novembre 2005</w:t>
      </w:r>
      <w:r w:rsidRPr="00AF51EA">
        <w:rPr>
          <w:rStyle w:val="Appelnotedebasdep"/>
        </w:rPr>
        <w:footnoteReference w:id="5"/>
      </w:r>
      <w:r w:rsidRPr="00AF51EA">
        <w:rPr>
          <w:lang w:val="fr-FR"/>
        </w:rPr>
        <w:t>, ils ont emménagé dans un centre d</w:t>
      </w:r>
      <w:r w:rsidR="00AB516D" w:rsidRPr="00AF51EA">
        <w:rPr>
          <w:lang w:val="fr-FR"/>
        </w:rPr>
        <w:t>’</w:t>
      </w:r>
      <w:r w:rsidRPr="00AF51EA">
        <w:rPr>
          <w:lang w:val="fr-FR"/>
        </w:rPr>
        <w:t>hébergement d</w:t>
      </w:r>
      <w:r w:rsidR="00AB516D" w:rsidRPr="00AF51EA">
        <w:rPr>
          <w:lang w:val="fr-FR"/>
        </w:rPr>
        <w:t>’</w:t>
      </w:r>
      <w:r w:rsidRPr="00AF51EA">
        <w:rPr>
          <w:lang w:val="fr-FR"/>
        </w:rPr>
        <w:t>urgence administré à Haarlem par une association caritative, Voice in the City</w:t>
      </w:r>
      <w:r w:rsidRPr="00AF51EA">
        <w:rPr>
          <w:rStyle w:val="Appelnotedebasdep"/>
        </w:rPr>
        <w:footnoteReference w:id="6"/>
      </w:r>
      <w:r w:rsidRPr="00AF51EA">
        <w:rPr>
          <w:lang w:val="fr-FR"/>
        </w:rPr>
        <w:t>, qui leur versait 62 euros par semaine</w:t>
      </w:r>
      <w:r w:rsidR="002A026E" w:rsidRPr="00AF51EA">
        <w:rPr>
          <w:lang w:val="fr-FR"/>
        </w:rPr>
        <w:t>.</w:t>
      </w:r>
      <w:r w:rsidRPr="00AF51EA">
        <w:rPr>
          <w:lang w:val="fr-FR"/>
        </w:rPr>
        <w:t xml:space="preserve"> À partir de décembre 2007, ils ont vécu dans un logement mis à leur disposition par Voice in the City, qui prenait en charge leurs factures d</w:t>
      </w:r>
      <w:r w:rsidR="00AB516D" w:rsidRPr="00AF51EA">
        <w:rPr>
          <w:lang w:val="fr-FR"/>
        </w:rPr>
        <w:t>’</w:t>
      </w:r>
      <w:r w:rsidRPr="00AF51EA">
        <w:rPr>
          <w:lang w:val="fr-FR"/>
        </w:rPr>
        <w:t>électricité et d</w:t>
      </w:r>
      <w:r w:rsidR="00AB516D" w:rsidRPr="00AF51EA">
        <w:rPr>
          <w:lang w:val="fr-FR"/>
        </w:rPr>
        <w:t>’</w:t>
      </w:r>
      <w:r w:rsidRPr="00AF51EA">
        <w:rPr>
          <w:lang w:val="fr-FR"/>
        </w:rPr>
        <w:t>eau</w:t>
      </w:r>
      <w:r w:rsidRPr="00AF51EA">
        <w:rPr>
          <w:rStyle w:val="Appelnotedebasdep"/>
        </w:rPr>
        <w:footnoteReference w:id="7"/>
      </w:r>
      <w:r w:rsidRPr="00AF51EA">
        <w:rPr>
          <w:lang w:val="fr-FR"/>
        </w:rPr>
        <w:t xml:space="preserve"> et leur allouait une aide hebdomadaire de 80 euros</w:t>
      </w:r>
      <w:r w:rsidR="002A026E" w:rsidRPr="00AF51EA">
        <w:rPr>
          <w:lang w:val="fr-FR"/>
        </w:rPr>
        <w:t>.</w:t>
      </w:r>
    </w:p>
    <w:p w14:paraId="7E623E12" w14:textId="77777777" w:rsidR="00E42A05" w:rsidRPr="00AF51EA" w:rsidRDefault="00E42A05" w:rsidP="00E42A05">
      <w:pPr>
        <w:pStyle w:val="SingleTxtG"/>
        <w:rPr>
          <w:spacing w:val="-2"/>
          <w:lang w:val="fr-FR"/>
        </w:rPr>
      </w:pPr>
      <w:r w:rsidRPr="00AF51EA">
        <w:rPr>
          <w:lang w:val="fr-FR"/>
        </w:rPr>
        <w:t>2</w:t>
      </w:r>
      <w:r w:rsidR="002A026E" w:rsidRPr="00AF51EA">
        <w:rPr>
          <w:lang w:val="fr-FR"/>
        </w:rPr>
        <w:t>.</w:t>
      </w:r>
      <w:r w:rsidRPr="00AF51EA">
        <w:rPr>
          <w:lang w:val="fr-FR"/>
        </w:rPr>
        <w:t>6</w:t>
      </w:r>
      <w:r w:rsidRPr="00AF51EA">
        <w:rPr>
          <w:lang w:val="fr-FR"/>
        </w:rPr>
        <w:tab/>
        <w:t>À différents moments, les auteurs ont touché des aides d</w:t>
      </w:r>
      <w:r w:rsidR="00AB516D" w:rsidRPr="00AF51EA">
        <w:rPr>
          <w:lang w:val="fr-FR"/>
        </w:rPr>
        <w:t>’</w:t>
      </w:r>
      <w:r w:rsidRPr="00AF51EA">
        <w:rPr>
          <w:lang w:val="fr-FR"/>
        </w:rPr>
        <w:t>organismes publics</w:t>
      </w:r>
      <w:r w:rsidR="002A026E" w:rsidRPr="00AF51EA">
        <w:rPr>
          <w:lang w:val="fr-FR"/>
        </w:rPr>
        <w:t>.</w:t>
      </w:r>
      <w:r w:rsidRPr="00AF51EA">
        <w:rPr>
          <w:lang w:val="fr-FR"/>
        </w:rPr>
        <w:t xml:space="preserve"> Du 1</w:t>
      </w:r>
      <w:r w:rsidRPr="00AF51EA">
        <w:rPr>
          <w:vertAlign w:val="superscript"/>
          <w:lang w:val="fr-FR"/>
        </w:rPr>
        <w:t>er</w:t>
      </w:r>
      <w:r w:rsidRPr="00AF51EA">
        <w:rPr>
          <w:lang w:val="fr-FR"/>
        </w:rPr>
        <w:t> janvier au 4 septembre 2007 et à partir du 11 novembre 2008 (voir par</w:t>
      </w:r>
      <w:r w:rsidR="002A026E" w:rsidRPr="00AF51EA">
        <w:rPr>
          <w:lang w:val="fr-FR"/>
        </w:rPr>
        <w:t>.</w:t>
      </w:r>
      <w:r w:rsidRPr="00AF51EA">
        <w:rPr>
          <w:lang w:val="fr-FR"/>
        </w:rPr>
        <w:t> 6</w:t>
      </w:r>
      <w:r w:rsidR="002A026E" w:rsidRPr="00AF51EA">
        <w:rPr>
          <w:lang w:val="fr-FR"/>
        </w:rPr>
        <w:t>.</w:t>
      </w:r>
      <w:r w:rsidRPr="00AF51EA">
        <w:rPr>
          <w:lang w:val="fr-FR"/>
        </w:rPr>
        <w:t>2), ils ont eu accès aux centres d</w:t>
      </w:r>
      <w:r w:rsidR="00AB516D" w:rsidRPr="00AF51EA">
        <w:rPr>
          <w:lang w:val="fr-FR"/>
        </w:rPr>
        <w:t>’</w:t>
      </w:r>
      <w:r w:rsidRPr="00AF51EA">
        <w:rPr>
          <w:lang w:val="fr-FR"/>
        </w:rPr>
        <w:t>accueil et perçu une aide mensuelle d</w:t>
      </w:r>
      <w:r w:rsidR="00AB516D" w:rsidRPr="00AF51EA">
        <w:rPr>
          <w:lang w:val="fr-FR"/>
        </w:rPr>
        <w:t>’</w:t>
      </w:r>
      <w:r w:rsidRPr="00AF51EA">
        <w:rPr>
          <w:lang w:val="fr-FR"/>
        </w:rPr>
        <w:t>environ 213,72 euros, accordée à R</w:t>
      </w:r>
      <w:r w:rsidR="002A026E" w:rsidRPr="00AF51EA">
        <w:rPr>
          <w:lang w:val="fr-FR"/>
        </w:rPr>
        <w:t>.</w:t>
      </w:r>
      <w:r w:rsidRPr="00AF51EA">
        <w:rPr>
          <w:lang w:val="fr-FR"/>
        </w:rPr>
        <w:t xml:space="preserve"> par l</w:t>
      </w:r>
      <w:r w:rsidR="00AB516D" w:rsidRPr="00AF51EA">
        <w:rPr>
          <w:lang w:val="fr-FR"/>
        </w:rPr>
        <w:t>’</w:t>
      </w:r>
      <w:r w:rsidRPr="00AF51EA">
        <w:rPr>
          <w:lang w:val="fr-FR"/>
        </w:rPr>
        <w:t>Office central chargé de l</w:t>
      </w:r>
      <w:r w:rsidR="00AB516D" w:rsidRPr="00AF51EA">
        <w:rPr>
          <w:lang w:val="fr-FR"/>
        </w:rPr>
        <w:t>’</w:t>
      </w:r>
      <w:r w:rsidRPr="00AF51EA">
        <w:rPr>
          <w:lang w:val="fr-FR"/>
        </w:rPr>
        <w:t>accueil des demandeurs d</w:t>
      </w:r>
      <w:r w:rsidR="00AB516D" w:rsidRPr="00AF51EA">
        <w:rPr>
          <w:lang w:val="fr-FR"/>
        </w:rPr>
        <w:t>’</w:t>
      </w:r>
      <w:r w:rsidRPr="00AF51EA">
        <w:rPr>
          <w:lang w:val="fr-FR"/>
        </w:rPr>
        <w:t xml:space="preserve">asile au titre du Règlement </w:t>
      </w:r>
      <w:r w:rsidRPr="00AF51EA">
        <w:rPr>
          <w:lang w:val="fr-FR"/>
        </w:rPr>
        <w:lastRenderedPageBreak/>
        <w:t>relatif aux prestations allouées à certaines catégories d</w:t>
      </w:r>
      <w:r w:rsidR="00AB516D" w:rsidRPr="00AF51EA">
        <w:rPr>
          <w:lang w:val="fr-FR"/>
        </w:rPr>
        <w:t>’</w:t>
      </w:r>
      <w:r w:rsidRPr="00AF51EA">
        <w:rPr>
          <w:lang w:val="fr-FR"/>
        </w:rPr>
        <w:t>étrangers</w:t>
      </w:r>
      <w:r w:rsidRPr="00AF51EA">
        <w:rPr>
          <w:rStyle w:val="Appelnotedebasdep"/>
        </w:rPr>
        <w:footnoteReference w:id="8"/>
      </w:r>
      <w:r w:rsidR="002A026E" w:rsidRPr="00AF51EA">
        <w:rPr>
          <w:lang w:val="fr-FR"/>
        </w:rPr>
        <w:t>.</w:t>
      </w:r>
      <w:r w:rsidRPr="00AF51EA">
        <w:rPr>
          <w:lang w:val="fr-FR"/>
        </w:rPr>
        <w:t xml:space="preserve"> Les auteurs indiquent que ces aides sont versées aux étrangers dont la demande de permis de séjour est pendante et qu</w:t>
      </w:r>
      <w:r w:rsidR="00AB516D" w:rsidRPr="00AF51EA">
        <w:rPr>
          <w:lang w:val="fr-FR"/>
        </w:rPr>
        <w:t>’</w:t>
      </w:r>
      <w:r w:rsidRPr="00AF51EA">
        <w:rPr>
          <w:lang w:val="fr-FR"/>
        </w:rPr>
        <w:t>il faut en renouveler chaque mois la demande</w:t>
      </w:r>
      <w:r w:rsidR="002A026E" w:rsidRPr="00AF51EA">
        <w:rPr>
          <w:lang w:val="fr-FR"/>
        </w:rPr>
        <w:t>.</w:t>
      </w:r>
      <w:r w:rsidRPr="00AF51EA">
        <w:rPr>
          <w:lang w:val="fr-FR"/>
        </w:rPr>
        <w:t xml:space="preserve"> Ils indiquent de plus que toutes les demandes qu</w:t>
      </w:r>
      <w:r w:rsidR="00AB516D" w:rsidRPr="00AF51EA">
        <w:rPr>
          <w:lang w:val="fr-FR"/>
        </w:rPr>
        <w:t>’</w:t>
      </w:r>
      <w:r w:rsidRPr="00AF51EA">
        <w:rPr>
          <w:lang w:val="fr-FR"/>
        </w:rPr>
        <w:t>ils ont présentées pour toucher d</w:t>
      </w:r>
      <w:r w:rsidR="00AB516D" w:rsidRPr="00AF51EA">
        <w:rPr>
          <w:lang w:val="fr-FR"/>
        </w:rPr>
        <w:t>’</w:t>
      </w:r>
      <w:r w:rsidRPr="00AF51EA">
        <w:rPr>
          <w:lang w:val="fr-FR"/>
        </w:rPr>
        <w:t>autres formes d</w:t>
      </w:r>
      <w:r w:rsidR="00AB516D" w:rsidRPr="00AF51EA">
        <w:rPr>
          <w:lang w:val="fr-FR"/>
        </w:rPr>
        <w:t>’</w:t>
      </w:r>
      <w:r w:rsidRPr="00AF51EA">
        <w:rPr>
          <w:lang w:val="fr-FR"/>
        </w:rPr>
        <w:t>aide sociale ont été rejetées, et ajoutent qu</w:t>
      </w:r>
      <w:r w:rsidR="00AB516D" w:rsidRPr="00AF51EA">
        <w:rPr>
          <w:lang w:val="fr-FR"/>
        </w:rPr>
        <w:t>’</w:t>
      </w:r>
      <w:r w:rsidRPr="00AF51EA">
        <w:rPr>
          <w:lang w:val="fr-FR"/>
        </w:rPr>
        <w:t>ils ont bénéficié du soutien de diverses organisations</w:t>
      </w:r>
      <w:r w:rsidRPr="00AF51EA">
        <w:rPr>
          <w:spacing w:val="-2"/>
          <w:lang w:val="fr-FR"/>
        </w:rPr>
        <w:t xml:space="preserve"> caritatives</w:t>
      </w:r>
      <w:r w:rsidRPr="00AF51EA">
        <w:rPr>
          <w:rStyle w:val="Appelnotedebasdep"/>
        </w:rPr>
        <w:footnoteReference w:id="9"/>
      </w:r>
      <w:r w:rsidR="002A026E" w:rsidRPr="00AF51EA">
        <w:rPr>
          <w:spacing w:val="-2"/>
          <w:lang w:val="fr-FR"/>
        </w:rPr>
        <w:t>.</w:t>
      </w:r>
      <w:r w:rsidRPr="00AF51EA">
        <w:rPr>
          <w:spacing w:val="-2"/>
          <w:lang w:val="fr-FR"/>
        </w:rPr>
        <w:t xml:space="preserve"> En février 2010, les auteurs ont déménagé dans un « logement ordinaire » de la municipalité de Haarlem</w:t>
      </w:r>
      <w:r w:rsidR="002A026E" w:rsidRPr="00AF51EA">
        <w:rPr>
          <w:spacing w:val="-2"/>
          <w:lang w:val="fr-FR"/>
        </w:rPr>
        <w:t>.</w:t>
      </w:r>
    </w:p>
    <w:p w14:paraId="19F4385F" w14:textId="77777777" w:rsidR="00E42A05" w:rsidRPr="00AF51EA" w:rsidRDefault="00E42A05" w:rsidP="00E42A05">
      <w:pPr>
        <w:pStyle w:val="SingleTxtG"/>
        <w:rPr>
          <w:lang w:val="fr-FR"/>
        </w:rPr>
      </w:pPr>
      <w:r w:rsidRPr="00AF51EA">
        <w:rPr>
          <w:lang w:val="fr-FR"/>
        </w:rPr>
        <w:t>2</w:t>
      </w:r>
      <w:r w:rsidR="002A026E" w:rsidRPr="00AF51EA">
        <w:rPr>
          <w:lang w:val="fr-FR"/>
        </w:rPr>
        <w:t>.</w:t>
      </w:r>
      <w:r w:rsidRPr="00AF51EA">
        <w:rPr>
          <w:lang w:val="fr-FR"/>
        </w:rPr>
        <w:t>7</w:t>
      </w:r>
      <w:r w:rsidRPr="00AF51EA">
        <w:rPr>
          <w:lang w:val="fr-FR"/>
        </w:rPr>
        <w:tab/>
        <w:t>La fille des auteurs a des problèmes de santé</w:t>
      </w:r>
      <w:r w:rsidR="002A026E" w:rsidRPr="00AF51EA">
        <w:rPr>
          <w:lang w:val="fr-FR"/>
        </w:rPr>
        <w:t>.</w:t>
      </w:r>
      <w:r w:rsidRPr="00AF51EA">
        <w:rPr>
          <w:lang w:val="fr-FR"/>
        </w:rPr>
        <w:t xml:space="preserve"> Dans une lettre datée du 1</w:t>
      </w:r>
      <w:r w:rsidRPr="00AF51EA">
        <w:rPr>
          <w:vertAlign w:val="superscript"/>
          <w:lang w:val="fr-FR"/>
        </w:rPr>
        <w:t>er</w:t>
      </w:r>
      <w:r w:rsidRPr="00AF51EA">
        <w:rPr>
          <w:lang w:val="fr-FR"/>
        </w:rPr>
        <w:t> février 2008, un représentant d</w:t>
      </w:r>
      <w:r w:rsidR="00AB516D" w:rsidRPr="00AF51EA">
        <w:rPr>
          <w:lang w:val="fr-FR"/>
        </w:rPr>
        <w:t>’</w:t>
      </w:r>
      <w:r w:rsidRPr="00AF51EA">
        <w:rPr>
          <w:lang w:val="fr-FR"/>
        </w:rPr>
        <w:t>un centre de jour qui accueillait l</w:t>
      </w:r>
      <w:r w:rsidR="00AB516D" w:rsidRPr="00AF51EA">
        <w:rPr>
          <w:lang w:val="fr-FR"/>
        </w:rPr>
        <w:t>’</w:t>
      </w:r>
      <w:r w:rsidRPr="00AF51EA">
        <w:rPr>
          <w:lang w:val="fr-FR"/>
        </w:rPr>
        <w:t>enfant indique que celle</w:t>
      </w:r>
      <w:r w:rsidRPr="00AF51EA">
        <w:rPr>
          <w:lang w:val="fr-FR"/>
        </w:rPr>
        <w:noBreakHyphen/>
        <w:t>ci souffre de « troubles post-traumatiques chroniques » dus aux « expériences traumatisantes » qu</w:t>
      </w:r>
      <w:r w:rsidR="00AB516D" w:rsidRPr="00AF51EA">
        <w:rPr>
          <w:lang w:val="fr-FR"/>
        </w:rPr>
        <w:t>’</w:t>
      </w:r>
      <w:r w:rsidRPr="00AF51EA">
        <w:rPr>
          <w:lang w:val="fr-FR"/>
        </w:rPr>
        <w:t>elle a vécues et qu</w:t>
      </w:r>
      <w:r w:rsidR="00AB516D" w:rsidRPr="00AF51EA">
        <w:rPr>
          <w:lang w:val="fr-FR"/>
        </w:rPr>
        <w:t>’</w:t>
      </w:r>
      <w:r w:rsidRPr="00AF51EA">
        <w:rPr>
          <w:lang w:val="fr-FR"/>
        </w:rPr>
        <w:t>un renvoi en Afghanistan aurait des « conséquences catastrophiques » pour son développement</w:t>
      </w:r>
      <w:r w:rsidR="002A026E" w:rsidRPr="00AF51EA">
        <w:rPr>
          <w:lang w:val="fr-FR"/>
        </w:rPr>
        <w:t>.</w:t>
      </w:r>
      <w:r w:rsidRPr="00AF51EA">
        <w:rPr>
          <w:lang w:val="fr-FR"/>
        </w:rPr>
        <w:t xml:space="preserve"> Le Bureau des Services à l</w:t>
      </w:r>
      <w:r w:rsidR="00AB516D" w:rsidRPr="00AF51EA">
        <w:rPr>
          <w:lang w:val="fr-FR"/>
        </w:rPr>
        <w:t>’</w:t>
      </w:r>
      <w:r w:rsidRPr="00AF51EA">
        <w:rPr>
          <w:lang w:val="fr-FR"/>
        </w:rPr>
        <w:t>enfance a aussi établi un rapport sur l</w:t>
      </w:r>
      <w:r w:rsidR="00AB516D" w:rsidRPr="00AF51EA">
        <w:rPr>
          <w:lang w:val="fr-FR"/>
        </w:rPr>
        <w:t>’</w:t>
      </w:r>
      <w:r w:rsidRPr="00AF51EA">
        <w:rPr>
          <w:lang w:val="fr-FR"/>
        </w:rPr>
        <w:t>état de santé de R</w:t>
      </w:r>
      <w:r w:rsidR="002A026E" w:rsidRPr="00AF51EA">
        <w:rPr>
          <w:lang w:val="fr-FR"/>
        </w:rPr>
        <w:t>.</w:t>
      </w:r>
      <w:r w:rsidRPr="00AF51EA">
        <w:rPr>
          <w:lang w:val="fr-FR"/>
        </w:rPr>
        <w:t>, daté du 1</w:t>
      </w:r>
      <w:r w:rsidRPr="00AF51EA">
        <w:rPr>
          <w:vertAlign w:val="superscript"/>
          <w:lang w:val="fr-FR"/>
        </w:rPr>
        <w:t>er</w:t>
      </w:r>
      <w:r w:rsidRPr="00AF51EA">
        <w:rPr>
          <w:lang w:val="fr-FR"/>
        </w:rPr>
        <w:t> août 2008, confirmant qu</w:t>
      </w:r>
      <w:r w:rsidR="00AB516D" w:rsidRPr="00AF51EA">
        <w:rPr>
          <w:lang w:val="fr-FR"/>
        </w:rPr>
        <w:t>’</w:t>
      </w:r>
      <w:r w:rsidRPr="00AF51EA">
        <w:rPr>
          <w:lang w:val="fr-FR"/>
        </w:rPr>
        <w:t>elle souffre de « troubles post-traumatiques chroniques »</w:t>
      </w:r>
      <w:r w:rsidR="002A026E" w:rsidRPr="00AF51EA">
        <w:rPr>
          <w:lang w:val="fr-FR"/>
        </w:rPr>
        <w:t>.</w:t>
      </w:r>
      <w:r w:rsidRPr="00AF51EA">
        <w:rPr>
          <w:lang w:val="fr-FR"/>
        </w:rPr>
        <w:t xml:space="preserve"> Il diagnostique en outre un « retard de langage » et une « stagnation du développement </w:t>
      </w:r>
      <w:proofErr w:type="spellStart"/>
      <w:r w:rsidRPr="00AF51EA">
        <w:rPr>
          <w:lang w:val="fr-FR"/>
        </w:rPr>
        <w:t>socioémotionnel</w:t>
      </w:r>
      <w:proofErr w:type="spellEnd"/>
      <w:r w:rsidRPr="00AF51EA">
        <w:rPr>
          <w:lang w:val="fr-FR"/>
        </w:rPr>
        <w:t> », constate qu</w:t>
      </w:r>
      <w:r w:rsidR="00AB516D" w:rsidRPr="00AF51EA">
        <w:rPr>
          <w:lang w:val="fr-FR"/>
        </w:rPr>
        <w:t>’</w:t>
      </w:r>
      <w:r w:rsidRPr="00AF51EA">
        <w:rPr>
          <w:lang w:val="fr-FR"/>
        </w:rPr>
        <w:t>elle se détache de ses parents et relève « un comportement régressif dû à la situation traumatisante » de sa famille</w:t>
      </w:r>
      <w:r w:rsidR="002A026E" w:rsidRPr="00AF51EA">
        <w:rPr>
          <w:lang w:val="fr-FR"/>
        </w:rPr>
        <w:t>.</w:t>
      </w:r>
      <w:r w:rsidRPr="00AF51EA">
        <w:rPr>
          <w:lang w:val="fr-FR"/>
        </w:rPr>
        <w:t xml:space="preserve"> Les auteurs précisent qu</w:t>
      </w:r>
      <w:r w:rsidR="00AB516D" w:rsidRPr="00AF51EA">
        <w:rPr>
          <w:lang w:val="fr-FR"/>
        </w:rPr>
        <w:t>’</w:t>
      </w:r>
      <w:r w:rsidRPr="00AF51EA">
        <w:rPr>
          <w:lang w:val="fr-FR"/>
        </w:rPr>
        <w:t>au 23 juillet 2007, cinq organisations leur apportaient une aide en lien avec les problèmes de santé de R</w:t>
      </w:r>
      <w:r w:rsidR="002A026E" w:rsidRPr="00AF51EA">
        <w:rPr>
          <w:lang w:val="fr-FR"/>
        </w:rPr>
        <w:t>.</w:t>
      </w:r>
      <w:r w:rsidRPr="00AF51EA">
        <w:rPr>
          <w:lang w:val="fr-FR"/>
        </w:rPr>
        <w:t xml:space="preserve"> </w:t>
      </w:r>
    </w:p>
    <w:p w14:paraId="4923437E" w14:textId="77777777" w:rsidR="00E42A05" w:rsidRPr="00AF51EA" w:rsidRDefault="00E42A05" w:rsidP="00E42A05">
      <w:pPr>
        <w:pStyle w:val="SingleTxtG"/>
        <w:rPr>
          <w:lang w:val="fr-FR"/>
        </w:rPr>
      </w:pPr>
      <w:r w:rsidRPr="00AF51EA">
        <w:rPr>
          <w:lang w:val="fr-FR"/>
        </w:rPr>
        <w:t>2</w:t>
      </w:r>
      <w:r w:rsidR="002A026E" w:rsidRPr="00AF51EA">
        <w:rPr>
          <w:lang w:val="fr-FR"/>
        </w:rPr>
        <w:t>.</w:t>
      </w:r>
      <w:r w:rsidRPr="00AF51EA">
        <w:rPr>
          <w:lang w:val="fr-FR"/>
        </w:rPr>
        <w:t>8</w:t>
      </w:r>
      <w:r w:rsidRPr="00AF51EA">
        <w:rPr>
          <w:lang w:val="fr-FR"/>
        </w:rPr>
        <w:tab/>
        <w:t>Les auteurs indiquent qu</w:t>
      </w:r>
      <w:r w:rsidR="00AB516D" w:rsidRPr="00AF51EA">
        <w:rPr>
          <w:lang w:val="fr-FR"/>
        </w:rPr>
        <w:t>’</w:t>
      </w:r>
      <w:r w:rsidRPr="00AF51EA">
        <w:rPr>
          <w:lang w:val="fr-FR"/>
        </w:rPr>
        <w:t>ils ont soumis à la Caisse de sécurité sociale trois demandes d</w:t>
      </w:r>
      <w:r w:rsidR="00AB516D" w:rsidRPr="00AF51EA">
        <w:rPr>
          <w:lang w:val="fr-FR"/>
        </w:rPr>
        <w:t>’</w:t>
      </w:r>
      <w:r w:rsidRPr="00AF51EA">
        <w:rPr>
          <w:lang w:val="fr-FR"/>
        </w:rPr>
        <w:t>allocation de base pour enfant à charge, une prestation servie à tous les parents de jeunes enfants pour les aider à assumer les dépenses liées à l</w:t>
      </w:r>
      <w:r w:rsidR="00AB516D" w:rsidRPr="00AF51EA">
        <w:rPr>
          <w:lang w:val="fr-FR"/>
        </w:rPr>
        <w:t>’</w:t>
      </w:r>
      <w:r w:rsidRPr="00AF51EA">
        <w:rPr>
          <w:lang w:val="fr-FR"/>
        </w:rPr>
        <w:t>éducation de ceux-ci, les 6 novembre 2007, 27 février 2009</w:t>
      </w:r>
      <w:r w:rsidRPr="00AF51EA">
        <w:rPr>
          <w:rStyle w:val="Appelnotedebasdep"/>
        </w:rPr>
        <w:footnoteReference w:id="10"/>
      </w:r>
      <w:r w:rsidRPr="00AF51EA">
        <w:rPr>
          <w:lang w:val="fr-FR"/>
        </w:rPr>
        <w:t xml:space="preserve"> et 8 mars 2010</w:t>
      </w:r>
      <w:r w:rsidRPr="00AF51EA">
        <w:rPr>
          <w:rStyle w:val="Appelnotedebasdep"/>
        </w:rPr>
        <w:footnoteReference w:id="11"/>
      </w:r>
      <w:r w:rsidRPr="00AF51EA">
        <w:rPr>
          <w:lang w:val="fr-FR"/>
        </w:rPr>
        <w:t>, respectivement</w:t>
      </w:r>
      <w:r w:rsidR="002A026E" w:rsidRPr="00AF51EA">
        <w:rPr>
          <w:lang w:val="fr-FR"/>
        </w:rPr>
        <w:t>.</w:t>
      </w:r>
      <w:r w:rsidRPr="00AF51EA">
        <w:rPr>
          <w:lang w:val="fr-FR"/>
        </w:rPr>
        <w:t xml:space="preserve"> Ils précisent que leur communication concerne uniquement le rejet par l</w:t>
      </w:r>
      <w:r w:rsidR="00AB516D" w:rsidRPr="00AF51EA">
        <w:rPr>
          <w:lang w:val="fr-FR"/>
        </w:rPr>
        <w:t>’</w:t>
      </w:r>
      <w:r w:rsidRPr="00AF51EA">
        <w:rPr>
          <w:lang w:val="fr-FR"/>
        </w:rPr>
        <w:t>État partie de la première de ces trois demandes, soumise au nom de R</w:t>
      </w:r>
      <w:r w:rsidR="002A026E" w:rsidRPr="00AF51EA">
        <w:rPr>
          <w:lang w:val="fr-FR"/>
        </w:rPr>
        <w:t>.</w:t>
      </w:r>
      <w:r w:rsidRPr="00AF51EA">
        <w:rPr>
          <w:lang w:val="fr-FR"/>
        </w:rPr>
        <w:t xml:space="preserve"> le 6 novembre 2007, qui couvre la période allant du quatrième trimestre de 2006 au premier trimestre de 2008</w:t>
      </w:r>
      <w:r w:rsidR="002A026E" w:rsidRPr="00AF51EA">
        <w:rPr>
          <w:lang w:val="fr-FR"/>
        </w:rPr>
        <w:t>.</w:t>
      </w:r>
      <w:r w:rsidRPr="00AF51EA">
        <w:rPr>
          <w:lang w:val="fr-FR"/>
        </w:rPr>
        <w:t xml:space="preserve"> L</w:t>
      </w:r>
      <w:r w:rsidR="00AB516D" w:rsidRPr="00AF51EA">
        <w:rPr>
          <w:lang w:val="fr-FR"/>
        </w:rPr>
        <w:t>’</w:t>
      </w:r>
      <w:r w:rsidRPr="00AF51EA">
        <w:rPr>
          <w:lang w:val="fr-FR"/>
        </w:rPr>
        <w:t>une des conditions à remplir pour pouvoir prétendre à cette allocation est d</w:t>
      </w:r>
      <w:r w:rsidR="00AB516D" w:rsidRPr="00AF51EA">
        <w:rPr>
          <w:lang w:val="fr-FR"/>
        </w:rPr>
        <w:t>’</w:t>
      </w:r>
      <w:r w:rsidRPr="00AF51EA">
        <w:rPr>
          <w:lang w:val="fr-FR"/>
        </w:rPr>
        <w:t>être assuré</w:t>
      </w:r>
      <w:r w:rsidR="002A026E" w:rsidRPr="00AF51EA">
        <w:rPr>
          <w:lang w:val="fr-FR"/>
        </w:rPr>
        <w:t>.</w:t>
      </w:r>
      <w:r w:rsidRPr="00AF51EA">
        <w:rPr>
          <w:lang w:val="fr-FR"/>
        </w:rPr>
        <w:t xml:space="preserve"> Le paragraphe 1 de l</w:t>
      </w:r>
      <w:r w:rsidR="00AB516D" w:rsidRPr="00AF51EA">
        <w:rPr>
          <w:lang w:val="fr-FR"/>
        </w:rPr>
        <w:t>’</w:t>
      </w:r>
      <w:r w:rsidRPr="00AF51EA">
        <w:rPr>
          <w:lang w:val="fr-FR"/>
        </w:rPr>
        <w:t>article 6 de la loi relative à l</w:t>
      </w:r>
      <w:r w:rsidR="00AB516D" w:rsidRPr="00AF51EA">
        <w:rPr>
          <w:lang w:val="fr-FR"/>
        </w:rPr>
        <w:t>’</w:t>
      </w:r>
      <w:r w:rsidRPr="00AF51EA">
        <w:rPr>
          <w:lang w:val="fr-FR"/>
        </w:rPr>
        <w:t>allocation de base pour enfant à charge fixe les critères à remplir pour être considéré comme une personne assurée, et le paragraphe 2 du même article, introduit par la loi d</w:t>
      </w:r>
      <w:r w:rsidR="00AB516D" w:rsidRPr="00AF51EA">
        <w:rPr>
          <w:lang w:val="fr-FR"/>
        </w:rPr>
        <w:t>’</w:t>
      </w:r>
      <w:r w:rsidRPr="00AF51EA">
        <w:rPr>
          <w:lang w:val="fr-FR"/>
        </w:rPr>
        <w:t>interconnexion</w:t>
      </w:r>
      <w:r w:rsidRPr="00AF51EA">
        <w:rPr>
          <w:rStyle w:val="Appelnotedebasdep"/>
        </w:rPr>
        <w:footnoteReference w:id="12"/>
      </w:r>
      <w:r w:rsidRPr="00AF51EA">
        <w:rPr>
          <w:lang w:val="fr-FR"/>
        </w:rPr>
        <w:t>, dispose qu</w:t>
      </w:r>
      <w:r w:rsidR="00AB516D" w:rsidRPr="00AF51EA">
        <w:rPr>
          <w:lang w:val="fr-FR"/>
        </w:rPr>
        <w:t>’</w:t>
      </w:r>
      <w:r w:rsidRPr="00AF51EA">
        <w:rPr>
          <w:lang w:val="fr-FR"/>
        </w:rPr>
        <w:t>un étranger qui ne réside pas légalement aux Pays-Bas au sens des paragraphes a) à e) et l) de l</w:t>
      </w:r>
      <w:r w:rsidR="00AB516D" w:rsidRPr="00AF51EA">
        <w:rPr>
          <w:lang w:val="fr-FR"/>
        </w:rPr>
        <w:t>’</w:t>
      </w:r>
      <w:r w:rsidRPr="00AF51EA">
        <w:rPr>
          <w:lang w:val="fr-FR"/>
        </w:rPr>
        <w:t>article 8 de la loi sur les étrangers ne peut pas être considéré comme une personne assurée</w:t>
      </w:r>
      <w:r w:rsidRPr="00AF51EA">
        <w:rPr>
          <w:rStyle w:val="Appelnotedebasdep"/>
        </w:rPr>
        <w:footnoteReference w:id="13"/>
      </w:r>
      <w:r w:rsidR="002A026E" w:rsidRPr="00AF51EA">
        <w:rPr>
          <w:lang w:val="fr-FR"/>
        </w:rPr>
        <w:t>.</w:t>
      </w:r>
    </w:p>
    <w:p w14:paraId="68E10E57" w14:textId="77777777" w:rsidR="00E42A05" w:rsidRPr="00AF51EA" w:rsidRDefault="00E42A05" w:rsidP="00E42A05">
      <w:pPr>
        <w:pStyle w:val="SingleTxtG"/>
        <w:rPr>
          <w:lang w:val="fr-FR"/>
        </w:rPr>
      </w:pPr>
      <w:r w:rsidRPr="00AF51EA">
        <w:rPr>
          <w:lang w:val="fr-FR"/>
        </w:rPr>
        <w:t>2</w:t>
      </w:r>
      <w:r w:rsidR="002A026E" w:rsidRPr="00AF51EA">
        <w:rPr>
          <w:lang w:val="fr-FR"/>
        </w:rPr>
        <w:t>.</w:t>
      </w:r>
      <w:r w:rsidRPr="00AF51EA">
        <w:rPr>
          <w:lang w:val="fr-FR"/>
        </w:rPr>
        <w:t>9</w:t>
      </w:r>
      <w:r w:rsidRPr="00AF51EA">
        <w:rPr>
          <w:lang w:val="fr-FR"/>
        </w:rPr>
        <w:tab/>
        <w:t>Le 22 janvier 2008, la Caisse de sécurité sociale a rejeté la première demande des auteurs au motif qu</w:t>
      </w:r>
      <w:r w:rsidR="00AB516D" w:rsidRPr="00AF51EA">
        <w:rPr>
          <w:lang w:val="fr-FR"/>
        </w:rPr>
        <w:t>’</w:t>
      </w:r>
      <w:r w:rsidRPr="00AF51EA">
        <w:rPr>
          <w:lang w:val="fr-FR"/>
        </w:rPr>
        <w:t>ils n</w:t>
      </w:r>
      <w:r w:rsidR="00AB516D" w:rsidRPr="00AF51EA">
        <w:rPr>
          <w:lang w:val="fr-FR"/>
        </w:rPr>
        <w:t>’</w:t>
      </w:r>
      <w:r w:rsidRPr="00AF51EA">
        <w:rPr>
          <w:lang w:val="fr-FR"/>
        </w:rPr>
        <w:t>avaient pas de permis de séjour valable</w:t>
      </w:r>
      <w:r w:rsidR="002A026E" w:rsidRPr="00AF51EA">
        <w:rPr>
          <w:lang w:val="fr-FR"/>
        </w:rPr>
        <w:t>.</w:t>
      </w:r>
      <w:r w:rsidRPr="00AF51EA">
        <w:rPr>
          <w:lang w:val="fr-FR"/>
        </w:rPr>
        <w:t xml:space="preserve"> Le 29 janvier 2008, les auteurs ont formé un recours contre cette décision</w:t>
      </w:r>
      <w:r w:rsidR="002A026E" w:rsidRPr="00AF51EA">
        <w:rPr>
          <w:lang w:val="fr-FR"/>
        </w:rPr>
        <w:t>.</w:t>
      </w:r>
      <w:r w:rsidRPr="00AF51EA">
        <w:rPr>
          <w:lang w:val="fr-FR"/>
        </w:rPr>
        <w:t xml:space="preserve"> Le 30 mai 2008, la Caisse de sécurité sociale a rejeté ce recours au motif que les auteurs n</w:t>
      </w:r>
      <w:r w:rsidR="00AB516D" w:rsidRPr="00AF51EA">
        <w:rPr>
          <w:lang w:val="fr-FR"/>
        </w:rPr>
        <w:t>’</w:t>
      </w:r>
      <w:r w:rsidRPr="00AF51EA">
        <w:rPr>
          <w:lang w:val="fr-FR"/>
        </w:rPr>
        <w:t>avaient pas de permis de séjour valable</w:t>
      </w:r>
      <w:r w:rsidRPr="00AF51EA">
        <w:rPr>
          <w:rStyle w:val="Appelnotedebasdep"/>
        </w:rPr>
        <w:footnoteReference w:id="14"/>
      </w:r>
      <w:r w:rsidR="002A026E" w:rsidRPr="00AF51EA">
        <w:rPr>
          <w:lang w:val="fr-FR"/>
        </w:rPr>
        <w:t>.</w:t>
      </w:r>
      <w:r w:rsidRPr="00AF51EA">
        <w:rPr>
          <w:lang w:val="fr-FR"/>
        </w:rPr>
        <w:t xml:space="preserve"> Le 31 mai 2008, les auteurs ont formé un recours contre cette décision, affirmant que le droit à l</w:t>
      </w:r>
      <w:r w:rsidR="00AB516D" w:rsidRPr="00AF51EA">
        <w:rPr>
          <w:lang w:val="fr-FR"/>
        </w:rPr>
        <w:t>’</w:t>
      </w:r>
      <w:r w:rsidRPr="00AF51EA">
        <w:rPr>
          <w:lang w:val="fr-FR"/>
        </w:rPr>
        <w:t>allocation de base pour enfant à charge leur était garanti par divers instruments internationaux</w:t>
      </w:r>
      <w:r w:rsidR="002A026E" w:rsidRPr="00AF51EA">
        <w:rPr>
          <w:lang w:val="fr-FR"/>
        </w:rPr>
        <w:t>.</w:t>
      </w:r>
      <w:r w:rsidRPr="00AF51EA">
        <w:rPr>
          <w:lang w:val="fr-FR"/>
        </w:rPr>
        <w:t xml:space="preserve"> Le 25 novembre 2008, le tribunal régional d</w:t>
      </w:r>
      <w:r w:rsidR="00AB516D" w:rsidRPr="00AF51EA">
        <w:rPr>
          <w:lang w:val="fr-FR"/>
        </w:rPr>
        <w:t>’</w:t>
      </w:r>
      <w:r w:rsidRPr="00AF51EA">
        <w:rPr>
          <w:lang w:val="fr-FR"/>
        </w:rPr>
        <w:t xml:space="preserve">Amsterdam les a </w:t>
      </w:r>
      <w:r w:rsidRPr="00AF51EA">
        <w:rPr>
          <w:lang w:val="fr-FR"/>
        </w:rPr>
        <w:lastRenderedPageBreak/>
        <w:t>déboutés, arguant que, lorsqu</w:t>
      </w:r>
      <w:r w:rsidR="00AB516D" w:rsidRPr="00AF51EA">
        <w:rPr>
          <w:lang w:val="fr-FR"/>
        </w:rPr>
        <w:t>’</w:t>
      </w:r>
      <w:r w:rsidRPr="00AF51EA">
        <w:rPr>
          <w:lang w:val="fr-FR"/>
        </w:rPr>
        <w:t>il avait à se prononcer sur l</w:t>
      </w:r>
      <w:r w:rsidR="00AB516D" w:rsidRPr="00AF51EA">
        <w:rPr>
          <w:lang w:val="fr-FR"/>
        </w:rPr>
        <w:t>’</w:t>
      </w:r>
      <w:r w:rsidRPr="00AF51EA">
        <w:rPr>
          <w:lang w:val="fr-FR"/>
        </w:rPr>
        <w:t>octroi d</w:t>
      </w:r>
      <w:r w:rsidR="00AB516D" w:rsidRPr="00AF51EA">
        <w:rPr>
          <w:lang w:val="fr-FR"/>
        </w:rPr>
        <w:t>’</w:t>
      </w:r>
      <w:r w:rsidRPr="00AF51EA">
        <w:rPr>
          <w:lang w:val="fr-FR"/>
        </w:rPr>
        <w:t>une allocation de base pour enfant à charge et que, pour ce faire, il mettait en balance les objectifs de la loi d</w:t>
      </w:r>
      <w:r w:rsidR="00AB516D" w:rsidRPr="00AF51EA">
        <w:rPr>
          <w:lang w:val="fr-FR"/>
        </w:rPr>
        <w:t>’</w:t>
      </w:r>
      <w:r w:rsidRPr="00AF51EA">
        <w:rPr>
          <w:lang w:val="fr-FR"/>
        </w:rPr>
        <w:t>interconnexion, d</w:t>
      </w:r>
      <w:r w:rsidR="00AB516D" w:rsidRPr="00AF51EA">
        <w:rPr>
          <w:lang w:val="fr-FR"/>
        </w:rPr>
        <w:t>’</w:t>
      </w:r>
      <w:r w:rsidRPr="00AF51EA">
        <w:rPr>
          <w:lang w:val="fr-FR"/>
        </w:rPr>
        <w:t>une part, et les intérêts du demandeur, d</w:t>
      </w:r>
      <w:r w:rsidR="00AB516D" w:rsidRPr="00AF51EA">
        <w:rPr>
          <w:lang w:val="fr-FR"/>
        </w:rPr>
        <w:t>’</w:t>
      </w:r>
      <w:r w:rsidRPr="00AF51EA">
        <w:rPr>
          <w:lang w:val="fr-FR"/>
        </w:rPr>
        <w:t>autre part, l</w:t>
      </w:r>
      <w:r w:rsidR="00AB516D" w:rsidRPr="00AF51EA">
        <w:rPr>
          <w:lang w:val="fr-FR"/>
        </w:rPr>
        <w:t>’</w:t>
      </w:r>
      <w:r w:rsidRPr="00AF51EA">
        <w:rPr>
          <w:lang w:val="fr-FR"/>
        </w:rPr>
        <w:t>État pouvait raisonnablement décider de n</w:t>
      </w:r>
      <w:r w:rsidR="00AB516D" w:rsidRPr="00AF51EA">
        <w:rPr>
          <w:lang w:val="fr-FR"/>
        </w:rPr>
        <w:t>’</w:t>
      </w:r>
      <w:r w:rsidRPr="00AF51EA">
        <w:rPr>
          <w:lang w:val="fr-FR"/>
        </w:rPr>
        <w:t>accorder cette allocation qu</w:t>
      </w:r>
      <w:r w:rsidR="00AB516D" w:rsidRPr="00AF51EA">
        <w:rPr>
          <w:lang w:val="fr-FR"/>
        </w:rPr>
        <w:t>’</w:t>
      </w:r>
      <w:r w:rsidRPr="00AF51EA">
        <w:rPr>
          <w:lang w:val="fr-FR"/>
        </w:rPr>
        <w:t>aux étrangers titulaires d</w:t>
      </w:r>
      <w:r w:rsidR="00AB516D" w:rsidRPr="00AF51EA">
        <w:rPr>
          <w:lang w:val="fr-FR"/>
        </w:rPr>
        <w:t>’</w:t>
      </w:r>
      <w:r w:rsidRPr="00AF51EA">
        <w:rPr>
          <w:lang w:val="fr-FR"/>
        </w:rPr>
        <w:t>un permis de séjour valable</w:t>
      </w:r>
      <w:r w:rsidR="002A026E" w:rsidRPr="00AF51EA">
        <w:rPr>
          <w:lang w:val="fr-FR"/>
        </w:rPr>
        <w:t>.</w:t>
      </w:r>
      <w:r w:rsidRPr="00AF51EA">
        <w:rPr>
          <w:lang w:val="fr-FR"/>
        </w:rPr>
        <w:t xml:space="preserve"> Les auteurs ont interjeté appel de cette décision devant le Tribunal administratif central</w:t>
      </w:r>
      <w:r w:rsidRPr="00AF51EA">
        <w:rPr>
          <w:rStyle w:val="Appelnotedebasdep"/>
        </w:rPr>
        <w:footnoteReference w:id="15"/>
      </w:r>
      <w:r w:rsidR="002A026E" w:rsidRPr="00AF51EA">
        <w:rPr>
          <w:lang w:val="fr-FR"/>
        </w:rPr>
        <w:t>.</w:t>
      </w:r>
    </w:p>
    <w:p w14:paraId="1CF00A15" w14:textId="77777777" w:rsidR="00E42A05" w:rsidRPr="00AF51EA" w:rsidRDefault="00E42A05" w:rsidP="00E42A05">
      <w:pPr>
        <w:pStyle w:val="SingleTxtG"/>
        <w:rPr>
          <w:lang w:val="fr-FR"/>
        </w:rPr>
      </w:pPr>
      <w:r w:rsidRPr="00AF51EA">
        <w:rPr>
          <w:lang w:val="fr-FR"/>
        </w:rPr>
        <w:t>2</w:t>
      </w:r>
      <w:r w:rsidR="002A026E" w:rsidRPr="00AF51EA">
        <w:rPr>
          <w:lang w:val="fr-FR"/>
        </w:rPr>
        <w:t>.</w:t>
      </w:r>
      <w:r w:rsidRPr="00AF51EA">
        <w:rPr>
          <w:lang w:val="fr-FR"/>
        </w:rPr>
        <w:t>10</w:t>
      </w:r>
      <w:r w:rsidRPr="00AF51EA">
        <w:rPr>
          <w:lang w:val="fr-FR"/>
        </w:rPr>
        <w:tab/>
        <w:t>Le 11 mars 2011, l</w:t>
      </w:r>
      <w:r w:rsidR="00AB516D" w:rsidRPr="00AF51EA">
        <w:rPr>
          <w:lang w:val="fr-FR"/>
        </w:rPr>
        <w:t>’</w:t>
      </w:r>
      <w:r w:rsidRPr="00AF51EA">
        <w:rPr>
          <w:lang w:val="fr-FR"/>
        </w:rPr>
        <w:t>appel interjeté par les auteurs le 25 novembre 2008 contre la décision du tribunal régional d</w:t>
      </w:r>
      <w:r w:rsidR="00AB516D" w:rsidRPr="00AF51EA">
        <w:rPr>
          <w:lang w:val="fr-FR"/>
        </w:rPr>
        <w:t>’</w:t>
      </w:r>
      <w:r w:rsidRPr="00AF51EA">
        <w:rPr>
          <w:lang w:val="fr-FR"/>
        </w:rPr>
        <w:t>Amsterdam a été examiné par le Tribunal administratif central en même temps que 10 autres appels similaires</w:t>
      </w:r>
      <w:r w:rsidR="002A026E" w:rsidRPr="00AF51EA">
        <w:rPr>
          <w:lang w:val="fr-FR"/>
        </w:rPr>
        <w:t>.</w:t>
      </w:r>
      <w:r w:rsidRPr="00AF51EA">
        <w:rPr>
          <w:lang w:val="fr-FR"/>
        </w:rPr>
        <w:t xml:space="preserve"> Le 15 juillet 2011, le Tribunal a annulé la décision de la Caisse de sécurité sociale et ordonné à celle-ci de rendre une nouvelle décision sur la demande d</w:t>
      </w:r>
      <w:r w:rsidR="00AB516D" w:rsidRPr="00AF51EA">
        <w:rPr>
          <w:lang w:val="fr-FR"/>
        </w:rPr>
        <w:t>’</w:t>
      </w:r>
      <w:r w:rsidRPr="00AF51EA">
        <w:rPr>
          <w:lang w:val="fr-FR"/>
        </w:rPr>
        <w:t>allocation de base pour enfant à charge des auteurs</w:t>
      </w:r>
      <w:r w:rsidR="002A026E" w:rsidRPr="00AF51EA">
        <w:rPr>
          <w:lang w:val="fr-FR"/>
        </w:rPr>
        <w:t>.</w:t>
      </w:r>
      <w:r w:rsidRPr="00AF51EA">
        <w:rPr>
          <w:lang w:val="fr-FR"/>
        </w:rPr>
        <w:t xml:space="preserve"> Il a estimé que la distinction entre résidents en situation régulière et résidents en situation irrégulière aux fins de l</w:t>
      </w:r>
      <w:r w:rsidR="00AB516D" w:rsidRPr="00AF51EA">
        <w:rPr>
          <w:lang w:val="fr-FR"/>
        </w:rPr>
        <w:t>’</w:t>
      </w:r>
      <w:r w:rsidRPr="00AF51EA">
        <w:rPr>
          <w:lang w:val="fr-FR"/>
        </w:rPr>
        <w:t>octroi de l</w:t>
      </w:r>
      <w:r w:rsidR="00AB516D" w:rsidRPr="00AF51EA">
        <w:rPr>
          <w:lang w:val="fr-FR"/>
        </w:rPr>
        <w:t>’</w:t>
      </w:r>
      <w:r w:rsidRPr="00AF51EA">
        <w:rPr>
          <w:lang w:val="fr-FR"/>
        </w:rPr>
        <w:t>allocation de base pour enfant à charge était justifiée lorsque son objectif était légitime et que les moyens utilisés pour l</w:t>
      </w:r>
      <w:r w:rsidR="00AB516D" w:rsidRPr="00AF51EA">
        <w:rPr>
          <w:lang w:val="fr-FR"/>
        </w:rPr>
        <w:t>’</w:t>
      </w:r>
      <w:r w:rsidRPr="00AF51EA">
        <w:rPr>
          <w:lang w:val="fr-FR"/>
        </w:rPr>
        <w:t>atteindre étaient raisonnablement proportionnés (voir par</w:t>
      </w:r>
      <w:r w:rsidR="002A026E" w:rsidRPr="00AF51EA">
        <w:rPr>
          <w:lang w:val="fr-FR"/>
        </w:rPr>
        <w:t>.</w:t>
      </w:r>
      <w:r w:rsidRPr="00AF51EA">
        <w:rPr>
          <w:lang w:val="fr-FR"/>
        </w:rPr>
        <w:t> 4</w:t>
      </w:r>
      <w:r w:rsidR="002A026E" w:rsidRPr="00AF51EA">
        <w:rPr>
          <w:lang w:val="fr-FR"/>
        </w:rPr>
        <w:t>.</w:t>
      </w:r>
      <w:r w:rsidRPr="00AF51EA">
        <w:rPr>
          <w:lang w:val="fr-FR"/>
        </w:rPr>
        <w:t>9)</w:t>
      </w:r>
      <w:r w:rsidR="002A026E" w:rsidRPr="00AF51EA">
        <w:rPr>
          <w:lang w:val="fr-FR"/>
        </w:rPr>
        <w:t>.</w:t>
      </w:r>
      <w:r w:rsidRPr="00AF51EA">
        <w:rPr>
          <w:lang w:val="fr-FR"/>
        </w:rPr>
        <w:t xml:space="preserve"> En outre, citant la Cour européenne des droits de l</w:t>
      </w:r>
      <w:r w:rsidR="00AB516D" w:rsidRPr="00AF51EA">
        <w:rPr>
          <w:lang w:val="fr-FR"/>
        </w:rPr>
        <w:t>’</w:t>
      </w:r>
      <w:r w:rsidRPr="00AF51EA">
        <w:rPr>
          <w:lang w:val="fr-FR"/>
        </w:rPr>
        <w:t>homme, le Tribunal a considéré qu</w:t>
      </w:r>
      <w:r w:rsidR="00AB516D" w:rsidRPr="00AF51EA">
        <w:rPr>
          <w:lang w:val="fr-FR"/>
        </w:rPr>
        <w:t>’</w:t>
      </w:r>
      <w:r w:rsidRPr="00AF51EA">
        <w:rPr>
          <w:lang w:val="fr-FR"/>
        </w:rPr>
        <w:t>une distinction fondée principalement sur la nationalité devait être justifiée par des « considérations très fortes »</w:t>
      </w:r>
      <w:r w:rsidR="002A026E" w:rsidRPr="00AF51EA">
        <w:rPr>
          <w:lang w:val="fr-FR"/>
        </w:rPr>
        <w:t>.</w:t>
      </w:r>
      <w:r w:rsidRPr="00AF51EA">
        <w:rPr>
          <w:lang w:val="fr-FR"/>
        </w:rPr>
        <w:t xml:space="preserve"> Il a considéré que le paragraphe 2 de l</w:t>
      </w:r>
      <w:r w:rsidR="00AB516D" w:rsidRPr="00AF51EA">
        <w:rPr>
          <w:lang w:val="fr-FR"/>
        </w:rPr>
        <w:t>’</w:t>
      </w:r>
      <w:r w:rsidRPr="00AF51EA">
        <w:rPr>
          <w:lang w:val="fr-FR"/>
        </w:rPr>
        <w:t>article 6 de la loi sur l</w:t>
      </w:r>
      <w:r w:rsidR="00AB516D" w:rsidRPr="00AF51EA">
        <w:rPr>
          <w:lang w:val="fr-FR"/>
        </w:rPr>
        <w:t>’</w:t>
      </w:r>
      <w:r w:rsidRPr="00AF51EA">
        <w:rPr>
          <w:lang w:val="fr-FR"/>
        </w:rPr>
        <w:t>allocation de base pour enfant à charge était raisonnable dans son principe mais que son application aux auteurs ne se justifiait pas parce que ceux-ci vivaient depuis longtemps aux Pays-Bas, pendant certaines périodes en situation régulière, et avaient noué avec le pays des liens tels qu</w:t>
      </w:r>
      <w:r w:rsidR="00AB516D" w:rsidRPr="00AF51EA">
        <w:rPr>
          <w:lang w:val="fr-FR"/>
        </w:rPr>
        <w:t>’</w:t>
      </w:r>
      <w:r w:rsidRPr="00AF51EA">
        <w:rPr>
          <w:lang w:val="fr-FR"/>
        </w:rPr>
        <w:t>ils pouvaient être considérés comme « faisant partie de la société néerlandaise »</w:t>
      </w:r>
      <w:r w:rsidR="002A026E" w:rsidRPr="00AF51EA">
        <w:rPr>
          <w:lang w:val="fr-FR"/>
        </w:rPr>
        <w:t>.</w:t>
      </w:r>
      <w:r w:rsidRPr="00AF51EA">
        <w:rPr>
          <w:lang w:val="fr-FR"/>
        </w:rPr>
        <w:t xml:space="preserve"> En outre, le Tribunal administratif central a tenu compte du fait que les autorités savaient que les auteurs vivaient depuis longtemps aux Pays-Bas</w:t>
      </w:r>
      <w:r w:rsidR="002A026E" w:rsidRPr="00AF51EA">
        <w:rPr>
          <w:lang w:val="fr-FR"/>
        </w:rPr>
        <w:t>.</w:t>
      </w:r>
      <w:r w:rsidRPr="00AF51EA">
        <w:rPr>
          <w:lang w:val="fr-FR"/>
        </w:rPr>
        <w:t xml:space="preserve"> La Caisse de sécurité sociale s</w:t>
      </w:r>
      <w:r w:rsidR="00AB516D" w:rsidRPr="00AF51EA">
        <w:rPr>
          <w:lang w:val="fr-FR"/>
        </w:rPr>
        <w:t>’</w:t>
      </w:r>
      <w:r w:rsidRPr="00AF51EA">
        <w:rPr>
          <w:lang w:val="fr-FR"/>
        </w:rPr>
        <w:t>est pourvue contre cette décision devant la Cour suprême et, le 16 mai 2012, le Procureur général a conseillé à la Cour suprême d</w:t>
      </w:r>
      <w:r w:rsidR="00AB516D" w:rsidRPr="00AF51EA">
        <w:rPr>
          <w:lang w:val="fr-FR"/>
        </w:rPr>
        <w:t>’</w:t>
      </w:r>
      <w:r w:rsidRPr="00AF51EA">
        <w:rPr>
          <w:lang w:val="fr-FR"/>
        </w:rPr>
        <w:t>accueillir ce recours</w:t>
      </w:r>
      <w:r w:rsidR="002A026E" w:rsidRPr="00AF51EA">
        <w:rPr>
          <w:lang w:val="fr-FR"/>
        </w:rPr>
        <w:t>.</w:t>
      </w:r>
    </w:p>
    <w:p w14:paraId="3FBF7F60" w14:textId="77777777" w:rsidR="00E42A05" w:rsidRPr="00AF51EA" w:rsidRDefault="00E42A05" w:rsidP="00E42A05">
      <w:pPr>
        <w:pStyle w:val="SingleTxtG"/>
        <w:rPr>
          <w:lang w:val="fr-FR"/>
        </w:rPr>
      </w:pPr>
      <w:r w:rsidRPr="00AF51EA">
        <w:rPr>
          <w:lang w:val="fr-FR"/>
        </w:rPr>
        <w:t>2</w:t>
      </w:r>
      <w:r w:rsidR="002A026E" w:rsidRPr="00AF51EA">
        <w:rPr>
          <w:lang w:val="fr-FR"/>
        </w:rPr>
        <w:t>.</w:t>
      </w:r>
      <w:r w:rsidRPr="00AF51EA">
        <w:rPr>
          <w:lang w:val="fr-FR"/>
        </w:rPr>
        <w:t>11</w:t>
      </w:r>
      <w:r w:rsidRPr="00AF51EA">
        <w:rPr>
          <w:lang w:val="fr-FR"/>
        </w:rPr>
        <w:tab/>
        <w:t>Le 23 novembre 2012, la Cour suprême a annulé la décision du Tribunal administratif central</w:t>
      </w:r>
      <w:r w:rsidR="002A026E" w:rsidRPr="00AF51EA">
        <w:rPr>
          <w:lang w:val="fr-FR"/>
        </w:rPr>
        <w:t>.</w:t>
      </w:r>
      <w:r w:rsidRPr="00AF51EA">
        <w:rPr>
          <w:lang w:val="fr-FR"/>
        </w:rPr>
        <w:t xml:space="preserve"> Considérant que le rejet de la demande d</w:t>
      </w:r>
      <w:r w:rsidR="00AB516D" w:rsidRPr="00AF51EA">
        <w:rPr>
          <w:lang w:val="fr-FR"/>
        </w:rPr>
        <w:t>’</w:t>
      </w:r>
      <w:r w:rsidRPr="00AF51EA">
        <w:rPr>
          <w:lang w:val="fr-FR"/>
        </w:rPr>
        <w:t>allocation de base pour enfant à charge des auteurs était principalement fondé non sur la seule nationalité mais à la fois sur la nationalité et la situation au regard de la législation relative au séjour, elle a estimé qu</w:t>
      </w:r>
      <w:r w:rsidR="00AB516D" w:rsidRPr="00AF51EA">
        <w:rPr>
          <w:lang w:val="fr-FR"/>
        </w:rPr>
        <w:t>’</w:t>
      </w:r>
      <w:r w:rsidRPr="00AF51EA">
        <w:rPr>
          <w:lang w:val="fr-FR"/>
        </w:rPr>
        <w:t>il n</w:t>
      </w:r>
      <w:r w:rsidR="00AB516D" w:rsidRPr="00AF51EA">
        <w:rPr>
          <w:lang w:val="fr-FR"/>
        </w:rPr>
        <w:t>’</w:t>
      </w:r>
      <w:r w:rsidRPr="00AF51EA">
        <w:rPr>
          <w:lang w:val="fr-FR"/>
        </w:rPr>
        <w:t>était pas nécessaire d</w:t>
      </w:r>
      <w:r w:rsidR="00AB516D" w:rsidRPr="00AF51EA">
        <w:rPr>
          <w:lang w:val="fr-FR"/>
        </w:rPr>
        <w:t>’</w:t>
      </w:r>
      <w:r w:rsidRPr="00AF51EA">
        <w:rPr>
          <w:lang w:val="fr-FR"/>
        </w:rPr>
        <w:t>appliquer le critère de « considérations très fortes »</w:t>
      </w:r>
      <w:r w:rsidRPr="00AF51EA">
        <w:rPr>
          <w:rStyle w:val="Appelnotedebasdep"/>
        </w:rPr>
        <w:footnoteReference w:id="16"/>
      </w:r>
      <w:r w:rsidR="002A026E" w:rsidRPr="00AF51EA">
        <w:rPr>
          <w:lang w:val="fr-FR"/>
        </w:rPr>
        <w:t>.</w:t>
      </w:r>
      <w:r w:rsidRPr="00AF51EA">
        <w:rPr>
          <w:lang w:val="fr-FR"/>
        </w:rPr>
        <w:t xml:space="preserve"> En outre, renvoyant à l</w:t>
      </w:r>
      <w:r w:rsidR="00AB516D" w:rsidRPr="00AF51EA">
        <w:rPr>
          <w:lang w:val="fr-FR"/>
        </w:rPr>
        <w:t>’</w:t>
      </w:r>
      <w:r w:rsidRPr="00AF51EA">
        <w:rPr>
          <w:lang w:val="fr-FR"/>
        </w:rPr>
        <w:t>article 14 de la Convention européenne des droits de l</w:t>
      </w:r>
      <w:r w:rsidR="00AB516D" w:rsidRPr="00AF51EA">
        <w:rPr>
          <w:lang w:val="fr-FR"/>
        </w:rPr>
        <w:t>’</w:t>
      </w:r>
      <w:r w:rsidRPr="00AF51EA">
        <w:rPr>
          <w:lang w:val="fr-FR"/>
        </w:rPr>
        <w:t>homme et à l</w:t>
      </w:r>
      <w:r w:rsidR="00AB516D" w:rsidRPr="00AF51EA">
        <w:rPr>
          <w:lang w:val="fr-FR"/>
        </w:rPr>
        <w:t>’</w:t>
      </w:r>
      <w:r w:rsidRPr="00AF51EA">
        <w:rPr>
          <w:lang w:val="fr-FR"/>
        </w:rPr>
        <w:t>article 26 du Pacte, elle a souligné qu</w:t>
      </w:r>
      <w:r w:rsidR="00AB516D" w:rsidRPr="00AF51EA">
        <w:rPr>
          <w:lang w:val="fr-FR"/>
        </w:rPr>
        <w:t>’</w:t>
      </w:r>
      <w:r w:rsidRPr="00AF51EA">
        <w:rPr>
          <w:lang w:val="fr-FR"/>
        </w:rPr>
        <w:t>il y avait discrimination lorsque la mesure litigieuse attaquée ne visait pas un objectif légitime ou lorsque les moyens utilisés pour atteindre l</w:t>
      </w:r>
      <w:r w:rsidR="00AB516D" w:rsidRPr="00AF51EA">
        <w:rPr>
          <w:lang w:val="fr-FR"/>
        </w:rPr>
        <w:t>’</w:t>
      </w:r>
      <w:r w:rsidRPr="00AF51EA">
        <w:rPr>
          <w:lang w:val="fr-FR"/>
        </w:rPr>
        <w:t>objectif poursuivi n</w:t>
      </w:r>
      <w:r w:rsidR="00AB516D" w:rsidRPr="00AF51EA">
        <w:rPr>
          <w:lang w:val="fr-FR"/>
        </w:rPr>
        <w:t>’</w:t>
      </w:r>
      <w:r w:rsidRPr="00AF51EA">
        <w:rPr>
          <w:lang w:val="fr-FR"/>
        </w:rPr>
        <w:t>étaient ni proportionnés ni raisonnables</w:t>
      </w:r>
      <w:r w:rsidR="002A026E" w:rsidRPr="00AF51EA">
        <w:rPr>
          <w:lang w:val="fr-FR"/>
        </w:rPr>
        <w:t>.</w:t>
      </w:r>
      <w:r w:rsidRPr="00AF51EA">
        <w:rPr>
          <w:lang w:val="fr-FR"/>
        </w:rPr>
        <w:t xml:space="preserve"> La Cour a estimé que la distinction établie par la loi d</w:t>
      </w:r>
      <w:r w:rsidR="00AB516D" w:rsidRPr="00AF51EA">
        <w:rPr>
          <w:lang w:val="fr-FR"/>
        </w:rPr>
        <w:t>’</w:t>
      </w:r>
      <w:r w:rsidRPr="00AF51EA">
        <w:rPr>
          <w:lang w:val="fr-FR"/>
        </w:rPr>
        <w:t>interconnexion entre la nationalité et la situation au regard de la législation sur le séjour reposait sur un motif objectif et raisonnable</w:t>
      </w:r>
      <w:r w:rsidR="002A026E" w:rsidRPr="00AF51EA">
        <w:rPr>
          <w:lang w:val="fr-FR"/>
        </w:rPr>
        <w:t>.</w:t>
      </w:r>
      <w:r w:rsidRPr="00AF51EA">
        <w:rPr>
          <w:lang w:val="fr-FR"/>
        </w:rPr>
        <w:t xml:space="preserve"> Elle a aussi considéré que, dans des affaires similaires à celle des auteurs, cette distinction avait un objectif légitime</w:t>
      </w:r>
      <w:r w:rsidR="002A026E" w:rsidRPr="00AF51EA">
        <w:rPr>
          <w:lang w:val="fr-FR"/>
        </w:rPr>
        <w:t>.</w:t>
      </w:r>
      <w:r w:rsidRPr="00AF51EA">
        <w:rPr>
          <w:lang w:val="fr-FR"/>
        </w:rPr>
        <w:t xml:space="preserve"> Elle a de plus estimé que l</w:t>
      </w:r>
      <w:r w:rsidR="00AB516D" w:rsidRPr="00AF51EA">
        <w:rPr>
          <w:lang w:val="fr-FR"/>
        </w:rPr>
        <w:t>’</w:t>
      </w:r>
      <w:r w:rsidRPr="00AF51EA">
        <w:rPr>
          <w:lang w:val="fr-FR"/>
        </w:rPr>
        <w:t>exclusion des auteurs du bénéfice de l</w:t>
      </w:r>
      <w:r w:rsidR="00AB516D" w:rsidRPr="00AF51EA">
        <w:rPr>
          <w:lang w:val="fr-FR"/>
        </w:rPr>
        <w:t>’</w:t>
      </w:r>
      <w:r w:rsidRPr="00AF51EA">
        <w:rPr>
          <w:lang w:val="fr-FR"/>
        </w:rPr>
        <w:t>allocation de base pour enfant à charge était raisonnable et proportionnée à l</w:t>
      </w:r>
      <w:r w:rsidR="00AB516D" w:rsidRPr="00AF51EA">
        <w:rPr>
          <w:lang w:val="fr-FR"/>
        </w:rPr>
        <w:t>’</w:t>
      </w:r>
      <w:r w:rsidRPr="00AF51EA">
        <w:rPr>
          <w:lang w:val="fr-FR"/>
        </w:rPr>
        <w:t>objectif poursuivi, les États étant autorisés à établir des distinctions fondées sur la nationalité lorsqu</w:t>
      </w:r>
      <w:r w:rsidR="00AB516D" w:rsidRPr="00AF51EA">
        <w:rPr>
          <w:lang w:val="fr-FR"/>
        </w:rPr>
        <w:t>’</w:t>
      </w:r>
      <w:r w:rsidRPr="00AF51EA">
        <w:rPr>
          <w:lang w:val="fr-FR"/>
        </w:rPr>
        <w:t>ils prennent des mesures en matière d</w:t>
      </w:r>
      <w:r w:rsidR="00AB516D" w:rsidRPr="00AF51EA">
        <w:rPr>
          <w:lang w:val="fr-FR"/>
        </w:rPr>
        <w:t>’</w:t>
      </w:r>
      <w:r w:rsidRPr="00AF51EA">
        <w:rPr>
          <w:lang w:val="fr-FR"/>
        </w:rPr>
        <w:t>immigration</w:t>
      </w:r>
      <w:r w:rsidRPr="00AF51EA">
        <w:rPr>
          <w:rStyle w:val="Appelnotedebasdep"/>
        </w:rPr>
        <w:footnoteReference w:id="17"/>
      </w:r>
      <w:r w:rsidR="002A026E" w:rsidRPr="00AF51EA">
        <w:rPr>
          <w:lang w:val="fr-FR"/>
        </w:rPr>
        <w:t>.</w:t>
      </w:r>
      <w:r w:rsidRPr="00AF51EA">
        <w:rPr>
          <w:lang w:val="fr-FR"/>
        </w:rPr>
        <w:t xml:space="preserve"> Elle a ajouté que les États étaient en droit d</w:t>
      </w:r>
      <w:r w:rsidR="00AB516D" w:rsidRPr="00AF51EA">
        <w:rPr>
          <w:lang w:val="fr-FR"/>
        </w:rPr>
        <w:t>’</w:t>
      </w:r>
      <w:r w:rsidRPr="00AF51EA">
        <w:rPr>
          <w:lang w:val="fr-FR"/>
        </w:rPr>
        <w:t>adopter des mesures propres à protéger leurs intérêts économiques</w:t>
      </w:r>
      <w:r w:rsidRPr="00AF51EA">
        <w:rPr>
          <w:rStyle w:val="Appelnotedebasdep"/>
        </w:rPr>
        <w:footnoteReference w:id="18"/>
      </w:r>
      <w:r w:rsidRPr="00AF51EA">
        <w:rPr>
          <w:lang w:val="fr-FR"/>
        </w:rPr>
        <w:t xml:space="preserve"> et qu</w:t>
      </w:r>
      <w:r w:rsidR="00AB516D" w:rsidRPr="00AF51EA">
        <w:rPr>
          <w:lang w:val="fr-FR"/>
        </w:rPr>
        <w:t>’</w:t>
      </w:r>
      <w:r w:rsidRPr="00AF51EA">
        <w:rPr>
          <w:lang w:val="fr-FR"/>
        </w:rPr>
        <w:t>ils bénéficiaient d</w:t>
      </w:r>
      <w:r w:rsidR="00AB516D" w:rsidRPr="00AF51EA">
        <w:rPr>
          <w:lang w:val="fr-FR"/>
        </w:rPr>
        <w:t>’</w:t>
      </w:r>
      <w:r w:rsidRPr="00AF51EA">
        <w:rPr>
          <w:lang w:val="fr-FR"/>
        </w:rPr>
        <w:t>une large marge d</w:t>
      </w:r>
      <w:r w:rsidR="00AB516D" w:rsidRPr="00AF51EA">
        <w:rPr>
          <w:lang w:val="fr-FR"/>
        </w:rPr>
        <w:t>’</w:t>
      </w:r>
      <w:r w:rsidRPr="00AF51EA">
        <w:rPr>
          <w:lang w:val="fr-FR"/>
        </w:rPr>
        <w:t>appréciation dans la réglementation de la sécurité sociale</w:t>
      </w:r>
      <w:r w:rsidR="002A026E" w:rsidRPr="00AF51EA">
        <w:rPr>
          <w:lang w:val="fr-FR"/>
        </w:rPr>
        <w:t>.</w:t>
      </w:r>
      <w:r w:rsidRPr="00AF51EA">
        <w:rPr>
          <w:lang w:val="fr-FR"/>
        </w:rPr>
        <w:t xml:space="preserve"> La Cour a indiqué que des considérations telles que le fait que les auteurs résidaient depuis longtemps aux Pays-Bas et leurs liens avec ce pays n</w:t>
      </w:r>
      <w:r w:rsidR="00AB516D" w:rsidRPr="00AF51EA">
        <w:rPr>
          <w:lang w:val="fr-FR"/>
        </w:rPr>
        <w:t>’</w:t>
      </w:r>
      <w:r w:rsidRPr="00AF51EA">
        <w:rPr>
          <w:lang w:val="fr-FR"/>
        </w:rPr>
        <w:t>avaient pas d</w:t>
      </w:r>
      <w:r w:rsidR="00AB516D" w:rsidRPr="00AF51EA">
        <w:rPr>
          <w:lang w:val="fr-FR"/>
        </w:rPr>
        <w:t>’</w:t>
      </w:r>
      <w:r w:rsidRPr="00AF51EA">
        <w:rPr>
          <w:lang w:val="fr-FR"/>
        </w:rPr>
        <w:t xml:space="preserve">incidence sur cette conclusion, faisant observer que le fait que les auteurs résidaient depuis longtemps </w:t>
      </w:r>
      <w:r w:rsidRPr="00AF51EA">
        <w:rPr>
          <w:lang w:val="fr-FR"/>
        </w:rPr>
        <w:lastRenderedPageBreak/>
        <w:t>aux Pays</w:t>
      </w:r>
      <w:r w:rsidRPr="00AF51EA">
        <w:rPr>
          <w:lang w:val="fr-FR"/>
        </w:rPr>
        <w:noBreakHyphen/>
        <w:t>Bas sans permis de séjour valable n</w:t>
      </w:r>
      <w:r w:rsidR="00AB516D" w:rsidRPr="00AF51EA">
        <w:rPr>
          <w:lang w:val="fr-FR"/>
        </w:rPr>
        <w:t>’</w:t>
      </w:r>
      <w:r w:rsidRPr="00AF51EA">
        <w:rPr>
          <w:lang w:val="fr-FR"/>
        </w:rPr>
        <w:t xml:space="preserve">était pas une « caractéristique personnelle inhérente ou immuable [mais] </w:t>
      </w:r>
      <w:proofErr w:type="spellStart"/>
      <w:r w:rsidRPr="00AF51EA">
        <w:rPr>
          <w:lang w:val="fr-FR"/>
        </w:rPr>
        <w:t>procéd</w:t>
      </w:r>
      <w:proofErr w:type="spellEnd"/>
      <w:r w:rsidRPr="00AF51EA">
        <w:rPr>
          <w:lang w:val="fr-FR"/>
        </w:rPr>
        <w:t>[ait] en partie d</w:t>
      </w:r>
      <w:r w:rsidR="00AB516D" w:rsidRPr="00AF51EA">
        <w:rPr>
          <w:lang w:val="fr-FR"/>
        </w:rPr>
        <w:t>’</w:t>
      </w:r>
      <w:r w:rsidRPr="00AF51EA">
        <w:rPr>
          <w:lang w:val="fr-FR"/>
        </w:rPr>
        <w:t>un choix »</w:t>
      </w:r>
      <w:r w:rsidRPr="00AF51EA">
        <w:rPr>
          <w:rStyle w:val="Appelnotedebasdep"/>
        </w:rPr>
        <w:footnoteReference w:id="19"/>
      </w:r>
      <w:r w:rsidR="002A026E" w:rsidRPr="00AF51EA">
        <w:rPr>
          <w:lang w:val="fr-FR"/>
        </w:rPr>
        <w:t>.</w:t>
      </w:r>
    </w:p>
    <w:p w14:paraId="3086651C" w14:textId="77777777" w:rsidR="00E42A05" w:rsidRPr="00AF51EA" w:rsidRDefault="00E42A05" w:rsidP="00E42A05">
      <w:pPr>
        <w:pStyle w:val="SingleTxtG"/>
        <w:rPr>
          <w:lang w:val="fr-FR"/>
        </w:rPr>
      </w:pPr>
      <w:r w:rsidRPr="00AF51EA">
        <w:rPr>
          <w:lang w:val="fr-FR"/>
        </w:rPr>
        <w:t>2</w:t>
      </w:r>
      <w:r w:rsidR="002A026E" w:rsidRPr="00AF51EA">
        <w:rPr>
          <w:lang w:val="fr-FR"/>
        </w:rPr>
        <w:t>.</w:t>
      </w:r>
      <w:r w:rsidRPr="00AF51EA">
        <w:rPr>
          <w:lang w:val="fr-FR"/>
        </w:rPr>
        <w:t>12</w:t>
      </w:r>
      <w:r w:rsidRPr="00AF51EA">
        <w:rPr>
          <w:lang w:val="fr-FR"/>
        </w:rPr>
        <w:tab/>
        <w:t>Les auteurs indiquent qu</w:t>
      </w:r>
      <w:r w:rsidR="00AB516D" w:rsidRPr="00AF51EA">
        <w:rPr>
          <w:lang w:val="fr-FR"/>
        </w:rPr>
        <w:t>’</w:t>
      </w:r>
      <w:r w:rsidRPr="00AF51EA">
        <w:rPr>
          <w:lang w:val="fr-FR"/>
        </w:rPr>
        <w:t>ils ont épuisé tous les recours internes et que la même question n</w:t>
      </w:r>
      <w:r w:rsidR="00AB516D" w:rsidRPr="00AF51EA">
        <w:rPr>
          <w:lang w:val="fr-FR"/>
        </w:rPr>
        <w:t>’</w:t>
      </w:r>
      <w:r w:rsidRPr="00AF51EA">
        <w:rPr>
          <w:lang w:val="fr-FR"/>
        </w:rPr>
        <w:t>est pas déjà en cours d</w:t>
      </w:r>
      <w:r w:rsidR="00AB516D" w:rsidRPr="00AF51EA">
        <w:rPr>
          <w:lang w:val="fr-FR"/>
        </w:rPr>
        <w:t>’</w:t>
      </w:r>
      <w:r w:rsidRPr="00AF51EA">
        <w:rPr>
          <w:lang w:val="fr-FR"/>
        </w:rPr>
        <w:t>examen devant une autre instance internationale d</w:t>
      </w:r>
      <w:r w:rsidR="00AB516D" w:rsidRPr="00AF51EA">
        <w:rPr>
          <w:lang w:val="fr-FR"/>
        </w:rPr>
        <w:t>’</w:t>
      </w:r>
      <w:r w:rsidRPr="00AF51EA">
        <w:rPr>
          <w:lang w:val="fr-FR"/>
        </w:rPr>
        <w:t>enquête ou de règlement</w:t>
      </w:r>
      <w:r w:rsidR="002A026E" w:rsidRPr="00AF51EA">
        <w:rPr>
          <w:lang w:val="fr-FR"/>
        </w:rPr>
        <w:t>.</w:t>
      </w:r>
    </w:p>
    <w:p w14:paraId="2EE1B7D8" w14:textId="77777777" w:rsidR="00E42A05" w:rsidRPr="00AF51EA" w:rsidRDefault="00E42A05" w:rsidP="002D74A5">
      <w:pPr>
        <w:pStyle w:val="H23G"/>
        <w:rPr>
          <w:lang w:val="fr-FR"/>
        </w:rPr>
      </w:pPr>
      <w:r w:rsidRPr="00AF51EA">
        <w:rPr>
          <w:lang w:val="fr-FR"/>
        </w:rPr>
        <w:tab/>
      </w:r>
      <w:r w:rsidRPr="00AF51EA">
        <w:rPr>
          <w:lang w:val="fr-FR"/>
        </w:rPr>
        <w:tab/>
        <w:t>Teneur de la plainte</w:t>
      </w:r>
    </w:p>
    <w:p w14:paraId="245696B0" w14:textId="77777777" w:rsidR="00E42A05" w:rsidRPr="00AF51EA" w:rsidRDefault="00E42A05" w:rsidP="00E42A05">
      <w:pPr>
        <w:pStyle w:val="SingleTxtG"/>
        <w:rPr>
          <w:lang w:val="fr-FR"/>
        </w:rPr>
      </w:pPr>
      <w:r w:rsidRPr="00AF51EA">
        <w:rPr>
          <w:lang w:val="fr-FR"/>
        </w:rPr>
        <w:t>3</w:t>
      </w:r>
      <w:r w:rsidR="002A026E" w:rsidRPr="00AF51EA">
        <w:rPr>
          <w:lang w:val="fr-FR"/>
        </w:rPr>
        <w:t>.</w:t>
      </w:r>
      <w:r w:rsidRPr="00AF51EA">
        <w:rPr>
          <w:lang w:val="fr-FR"/>
        </w:rPr>
        <w:t>1</w:t>
      </w:r>
      <w:r w:rsidRPr="00AF51EA">
        <w:rPr>
          <w:lang w:val="fr-FR"/>
        </w:rPr>
        <w:tab/>
        <w:t>Les auteurs affirment que le rejet par la Caisse de sécurité sociale de leur demande d</w:t>
      </w:r>
      <w:r w:rsidR="00AB516D" w:rsidRPr="00AF51EA">
        <w:rPr>
          <w:lang w:val="fr-FR"/>
        </w:rPr>
        <w:t>’</w:t>
      </w:r>
      <w:r w:rsidRPr="00AF51EA">
        <w:rPr>
          <w:lang w:val="fr-FR"/>
        </w:rPr>
        <w:t>allocation de base pour enfant à charge, fondé sur leur statut au regard de la législation sur le séjour, est discriminatoire et constitue une violation par l</w:t>
      </w:r>
      <w:r w:rsidR="00AB516D" w:rsidRPr="00AF51EA">
        <w:rPr>
          <w:lang w:val="fr-FR"/>
        </w:rPr>
        <w:t>’</w:t>
      </w:r>
      <w:r w:rsidRPr="00AF51EA">
        <w:rPr>
          <w:lang w:val="fr-FR"/>
        </w:rPr>
        <w:t>État partie des articles 23, 24 (par</w:t>
      </w:r>
      <w:r w:rsidR="002A026E" w:rsidRPr="00AF51EA">
        <w:rPr>
          <w:lang w:val="fr-FR"/>
        </w:rPr>
        <w:t>.</w:t>
      </w:r>
      <w:r w:rsidRPr="00AF51EA">
        <w:rPr>
          <w:lang w:val="fr-FR"/>
        </w:rPr>
        <w:t> 1) et 26 du Pacte</w:t>
      </w:r>
      <w:r w:rsidR="002A026E" w:rsidRPr="00AF51EA">
        <w:rPr>
          <w:lang w:val="fr-FR"/>
        </w:rPr>
        <w:t>.</w:t>
      </w:r>
    </w:p>
    <w:p w14:paraId="28DFA0C6" w14:textId="77777777" w:rsidR="00E42A05" w:rsidRPr="00AF51EA" w:rsidRDefault="00E42A05" w:rsidP="00E42A05">
      <w:pPr>
        <w:pStyle w:val="SingleTxtG"/>
        <w:rPr>
          <w:lang w:val="fr-FR"/>
        </w:rPr>
      </w:pPr>
      <w:r w:rsidRPr="00AF51EA">
        <w:rPr>
          <w:lang w:val="fr-FR"/>
        </w:rPr>
        <w:t>3</w:t>
      </w:r>
      <w:r w:rsidR="002A026E" w:rsidRPr="00AF51EA">
        <w:rPr>
          <w:lang w:val="fr-FR"/>
        </w:rPr>
        <w:t>.</w:t>
      </w:r>
      <w:r w:rsidRPr="00AF51EA">
        <w:rPr>
          <w:lang w:val="fr-FR"/>
        </w:rPr>
        <w:t>2</w:t>
      </w:r>
      <w:r w:rsidRPr="00AF51EA">
        <w:rPr>
          <w:lang w:val="fr-FR"/>
        </w:rPr>
        <w:tab/>
        <w:t>Les auteurs soutiennent que, comme l</w:t>
      </w:r>
      <w:r w:rsidR="00AB516D" w:rsidRPr="00AF51EA">
        <w:rPr>
          <w:lang w:val="fr-FR"/>
        </w:rPr>
        <w:t>’</w:t>
      </w:r>
      <w:r w:rsidRPr="00AF51EA">
        <w:rPr>
          <w:lang w:val="fr-FR"/>
        </w:rPr>
        <w:t>allocation de base pour enfant à charge est versée aux parents dans l</w:t>
      </w:r>
      <w:r w:rsidR="00AB516D" w:rsidRPr="00AF51EA">
        <w:rPr>
          <w:lang w:val="fr-FR"/>
        </w:rPr>
        <w:t>’</w:t>
      </w:r>
      <w:r w:rsidRPr="00AF51EA">
        <w:rPr>
          <w:lang w:val="fr-FR"/>
        </w:rPr>
        <w:t>intérêt de l</w:t>
      </w:r>
      <w:r w:rsidR="00AB516D" w:rsidRPr="00AF51EA">
        <w:rPr>
          <w:lang w:val="fr-FR"/>
        </w:rPr>
        <w:t>’</w:t>
      </w:r>
      <w:r w:rsidRPr="00AF51EA">
        <w:rPr>
          <w:lang w:val="fr-FR"/>
        </w:rPr>
        <w:t>enfant, elle représente un moyen pour l</w:t>
      </w:r>
      <w:r w:rsidR="00AB516D" w:rsidRPr="00AF51EA">
        <w:rPr>
          <w:lang w:val="fr-FR"/>
        </w:rPr>
        <w:t>’</w:t>
      </w:r>
      <w:r w:rsidRPr="00AF51EA">
        <w:rPr>
          <w:lang w:val="fr-FR"/>
        </w:rPr>
        <w:t>État partie de s</w:t>
      </w:r>
      <w:r w:rsidR="00AB516D" w:rsidRPr="00AF51EA">
        <w:rPr>
          <w:lang w:val="fr-FR"/>
        </w:rPr>
        <w:t>’</w:t>
      </w:r>
      <w:r w:rsidRPr="00AF51EA">
        <w:rPr>
          <w:lang w:val="fr-FR"/>
        </w:rPr>
        <w:t>acquitter de l</w:t>
      </w:r>
      <w:r w:rsidR="00AB516D" w:rsidRPr="00AF51EA">
        <w:rPr>
          <w:lang w:val="fr-FR"/>
        </w:rPr>
        <w:t>’</w:t>
      </w:r>
      <w:r w:rsidRPr="00AF51EA">
        <w:rPr>
          <w:lang w:val="fr-FR"/>
        </w:rPr>
        <w:t>obligation mise à sa charge par les articles 23 et 24 du Pacte</w:t>
      </w:r>
      <w:r w:rsidR="002A026E" w:rsidRPr="00AF51EA">
        <w:rPr>
          <w:lang w:val="fr-FR"/>
        </w:rPr>
        <w:t>.</w:t>
      </w:r>
      <w:r w:rsidRPr="00AF51EA">
        <w:rPr>
          <w:lang w:val="fr-FR"/>
        </w:rPr>
        <w:t xml:space="preserve"> À ce propos, ils soulignent que, les Pays-Bas ayant formulé une réserve à l</w:t>
      </w:r>
      <w:r w:rsidR="00AB516D" w:rsidRPr="00AF51EA">
        <w:rPr>
          <w:lang w:val="fr-FR"/>
        </w:rPr>
        <w:t>’</w:t>
      </w:r>
      <w:r w:rsidRPr="00AF51EA">
        <w:rPr>
          <w:lang w:val="fr-FR"/>
        </w:rPr>
        <w:t>article 26 de la Convention relative aux droits de l</w:t>
      </w:r>
      <w:r w:rsidR="00AB516D" w:rsidRPr="00AF51EA">
        <w:rPr>
          <w:lang w:val="fr-FR"/>
        </w:rPr>
        <w:t>’</w:t>
      </w:r>
      <w:r w:rsidRPr="00AF51EA">
        <w:rPr>
          <w:lang w:val="fr-FR"/>
        </w:rPr>
        <w:t>enfant excluant la possibilité qu</w:t>
      </w:r>
      <w:r w:rsidR="00AB516D" w:rsidRPr="00AF51EA">
        <w:rPr>
          <w:lang w:val="fr-FR"/>
        </w:rPr>
        <w:t>’</w:t>
      </w:r>
      <w:r w:rsidRPr="00AF51EA">
        <w:rPr>
          <w:lang w:val="fr-FR"/>
        </w:rPr>
        <w:t>un enfant jouisse en propre d</w:t>
      </w:r>
      <w:r w:rsidR="00AB516D" w:rsidRPr="00AF51EA">
        <w:rPr>
          <w:lang w:val="fr-FR"/>
        </w:rPr>
        <w:t>’</w:t>
      </w:r>
      <w:r w:rsidRPr="00AF51EA">
        <w:rPr>
          <w:lang w:val="fr-FR"/>
        </w:rPr>
        <w:t>un droit à des prestations de sécurité sociale, l</w:t>
      </w:r>
      <w:r w:rsidR="00AB516D" w:rsidRPr="00AF51EA">
        <w:rPr>
          <w:lang w:val="fr-FR"/>
        </w:rPr>
        <w:t>’</w:t>
      </w:r>
      <w:r w:rsidRPr="00AF51EA">
        <w:rPr>
          <w:lang w:val="fr-FR"/>
        </w:rPr>
        <w:t>allocation de base pour enfant à charge est versée aux parents dans l</w:t>
      </w:r>
      <w:r w:rsidR="00AB516D" w:rsidRPr="00AF51EA">
        <w:rPr>
          <w:lang w:val="fr-FR"/>
        </w:rPr>
        <w:t>’</w:t>
      </w:r>
      <w:r w:rsidRPr="00AF51EA">
        <w:rPr>
          <w:lang w:val="fr-FR"/>
        </w:rPr>
        <w:t>intérêt de l</w:t>
      </w:r>
      <w:r w:rsidR="00AB516D" w:rsidRPr="00AF51EA">
        <w:rPr>
          <w:lang w:val="fr-FR"/>
        </w:rPr>
        <w:t>’</w:t>
      </w:r>
      <w:r w:rsidRPr="00AF51EA">
        <w:rPr>
          <w:lang w:val="fr-FR"/>
        </w:rPr>
        <w:t>enfant</w:t>
      </w:r>
      <w:r w:rsidR="002A026E" w:rsidRPr="00AF51EA">
        <w:rPr>
          <w:lang w:val="fr-FR"/>
        </w:rPr>
        <w:t>.</w:t>
      </w:r>
      <w:r w:rsidRPr="00AF51EA">
        <w:rPr>
          <w:lang w:val="fr-FR"/>
        </w:rPr>
        <w:t xml:space="preserve"> Les auteurs en concluent que le versement de cette allocation devrait être considéré comme une mesure de protection de la famille visant à donner effet au paragraphe 1 de l</w:t>
      </w:r>
      <w:r w:rsidR="00AB516D" w:rsidRPr="00AF51EA">
        <w:rPr>
          <w:lang w:val="fr-FR"/>
        </w:rPr>
        <w:t>’</w:t>
      </w:r>
      <w:r w:rsidRPr="00AF51EA">
        <w:rPr>
          <w:lang w:val="fr-FR"/>
        </w:rPr>
        <w:t>article 23 du Pacte</w:t>
      </w:r>
      <w:r w:rsidR="002A026E" w:rsidRPr="00AF51EA">
        <w:rPr>
          <w:lang w:val="fr-FR"/>
        </w:rPr>
        <w:t>.</w:t>
      </w:r>
      <w:r w:rsidRPr="00AF51EA">
        <w:rPr>
          <w:lang w:val="fr-FR"/>
        </w:rPr>
        <w:t xml:space="preserve"> Les auteurs renvoient à l</w:t>
      </w:r>
      <w:r w:rsidR="00AB516D" w:rsidRPr="00AF51EA">
        <w:rPr>
          <w:lang w:val="fr-FR"/>
        </w:rPr>
        <w:t>’</w:t>
      </w:r>
      <w:r w:rsidRPr="00AF51EA">
        <w:rPr>
          <w:lang w:val="fr-FR"/>
        </w:rPr>
        <w:t>arrêt de la Cour européenne des droits de l</w:t>
      </w:r>
      <w:r w:rsidR="00AB516D" w:rsidRPr="00AF51EA">
        <w:rPr>
          <w:lang w:val="fr-FR"/>
        </w:rPr>
        <w:t>’</w:t>
      </w:r>
      <w:r w:rsidRPr="00AF51EA">
        <w:rPr>
          <w:lang w:val="fr-FR"/>
        </w:rPr>
        <w:t>homme en l</w:t>
      </w:r>
      <w:r w:rsidR="00AB516D" w:rsidRPr="00AF51EA">
        <w:rPr>
          <w:lang w:val="fr-FR"/>
        </w:rPr>
        <w:t>’</w:t>
      </w:r>
      <w:r w:rsidRPr="00AF51EA">
        <w:rPr>
          <w:lang w:val="fr-FR"/>
        </w:rPr>
        <w:t xml:space="preserve">affaire </w:t>
      </w:r>
      <w:proofErr w:type="spellStart"/>
      <w:r w:rsidRPr="00AF51EA">
        <w:rPr>
          <w:i/>
          <w:iCs/>
          <w:lang w:val="fr-FR"/>
        </w:rPr>
        <w:t>Niedzwiecki</w:t>
      </w:r>
      <w:proofErr w:type="spellEnd"/>
      <w:r w:rsidRPr="00AF51EA">
        <w:rPr>
          <w:i/>
          <w:iCs/>
          <w:lang w:val="fr-FR"/>
        </w:rPr>
        <w:t xml:space="preserve"> </w:t>
      </w:r>
      <w:r w:rsidRPr="00AF51EA">
        <w:rPr>
          <w:lang w:val="fr-FR"/>
        </w:rPr>
        <w:t>c</w:t>
      </w:r>
      <w:r w:rsidR="002A026E" w:rsidRPr="00AF51EA">
        <w:rPr>
          <w:lang w:val="fr-FR"/>
        </w:rPr>
        <w:t>.</w:t>
      </w:r>
      <w:r w:rsidRPr="00AF51EA">
        <w:rPr>
          <w:i/>
          <w:iCs/>
          <w:lang w:val="fr-FR"/>
        </w:rPr>
        <w:t> Allemagne</w:t>
      </w:r>
      <w:r w:rsidRPr="00AF51EA">
        <w:rPr>
          <w:rStyle w:val="Appelnotedebasdep"/>
        </w:rPr>
        <w:footnoteReference w:id="20"/>
      </w:r>
      <w:r w:rsidRPr="00AF51EA">
        <w:rPr>
          <w:lang w:val="fr-FR"/>
        </w:rPr>
        <w:t>,</w:t>
      </w:r>
      <w:r w:rsidRPr="00AF51EA">
        <w:rPr>
          <w:i/>
          <w:iCs/>
          <w:lang w:val="fr-FR"/>
        </w:rPr>
        <w:t xml:space="preserve"> </w:t>
      </w:r>
      <w:r w:rsidRPr="00AF51EA">
        <w:rPr>
          <w:lang w:val="fr-FR"/>
        </w:rPr>
        <w:t>dans laquelle la Cour a jugé qu</w:t>
      </w:r>
      <w:r w:rsidR="00AB516D" w:rsidRPr="00AF51EA">
        <w:rPr>
          <w:lang w:val="fr-FR"/>
        </w:rPr>
        <w:t>’</w:t>
      </w:r>
      <w:r w:rsidRPr="00AF51EA">
        <w:rPr>
          <w:lang w:val="fr-FR"/>
        </w:rPr>
        <w:t>en versant des allocations pour enfant à charge aux parents, les États démontrent leur respect de la vie familiale au sens de l</w:t>
      </w:r>
      <w:r w:rsidR="00AB516D" w:rsidRPr="00AF51EA">
        <w:rPr>
          <w:lang w:val="fr-FR"/>
        </w:rPr>
        <w:t>’</w:t>
      </w:r>
      <w:r w:rsidRPr="00AF51EA">
        <w:rPr>
          <w:lang w:val="fr-FR"/>
        </w:rPr>
        <w:t>article 8 de la Convention européenne des droits de l</w:t>
      </w:r>
      <w:r w:rsidR="00AB516D" w:rsidRPr="00AF51EA">
        <w:rPr>
          <w:lang w:val="fr-FR"/>
        </w:rPr>
        <w:t>’</w:t>
      </w:r>
      <w:r w:rsidRPr="00AF51EA">
        <w:rPr>
          <w:lang w:val="fr-FR"/>
        </w:rPr>
        <w:t>homme</w:t>
      </w:r>
      <w:r w:rsidR="002A026E" w:rsidRPr="00AF51EA">
        <w:rPr>
          <w:lang w:val="fr-FR"/>
        </w:rPr>
        <w:t>.</w:t>
      </w:r>
      <w:r w:rsidRPr="00AF51EA">
        <w:rPr>
          <w:lang w:val="fr-FR"/>
        </w:rPr>
        <w:t xml:space="preserve"> Ils ajoutent que l</w:t>
      </w:r>
      <w:r w:rsidR="00AB516D" w:rsidRPr="00AF51EA">
        <w:rPr>
          <w:lang w:val="fr-FR"/>
        </w:rPr>
        <w:t>’</w:t>
      </w:r>
      <w:r w:rsidRPr="00AF51EA">
        <w:rPr>
          <w:lang w:val="fr-FR"/>
        </w:rPr>
        <w:t>allocation de base pour enfant à charge peut être considérée comme une mesure de protection au sens de l</w:t>
      </w:r>
      <w:r w:rsidR="00AB516D" w:rsidRPr="00AF51EA">
        <w:rPr>
          <w:lang w:val="fr-FR"/>
        </w:rPr>
        <w:t>’</w:t>
      </w:r>
      <w:r w:rsidRPr="00AF51EA">
        <w:rPr>
          <w:lang w:val="fr-FR"/>
        </w:rPr>
        <w:t>article 24 du Pacte à laquelle l</w:t>
      </w:r>
      <w:r w:rsidR="00AB516D" w:rsidRPr="00AF51EA">
        <w:rPr>
          <w:lang w:val="fr-FR"/>
        </w:rPr>
        <w:t>’</w:t>
      </w:r>
      <w:r w:rsidRPr="00AF51EA">
        <w:rPr>
          <w:lang w:val="fr-FR"/>
        </w:rPr>
        <w:t>enfant a droit de la part de sa famille, de la société et de l</w:t>
      </w:r>
      <w:r w:rsidR="00AB516D" w:rsidRPr="00AF51EA">
        <w:rPr>
          <w:lang w:val="fr-FR"/>
        </w:rPr>
        <w:t>’</w:t>
      </w:r>
      <w:r w:rsidRPr="00AF51EA">
        <w:rPr>
          <w:lang w:val="fr-FR"/>
        </w:rPr>
        <w:t>État, du fait de sa condition de mineur</w:t>
      </w:r>
      <w:r w:rsidR="002A026E" w:rsidRPr="00AF51EA">
        <w:rPr>
          <w:lang w:val="fr-FR"/>
        </w:rPr>
        <w:t>.</w:t>
      </w:r>
      <w:r w:rsidRPr="00AF51EA">
        <w:rPr>
          <w:lang w:val="fr-FR"/>
        </w:rPr>
        <w:t xml:space="preserve"> </w:t>
      </w:r>
    </w:p>
    <w:p w14:paraId="2627A6AB" w14:textId="77777777" w:rsidR="00E42A05" w:rsidRPr="00AF51EA" w:rsidRDefault="00E42A05" w:rsidP="00E42A05">
      <w:pPr>
        <w:pStyle w:val="SingleTxtG"/>
        <w:rPr>
          <w:lang w:val="fr-FR"/>
        </w:rPr>
      </w:pPr>
      <w:r w:rsidRPr="00AF51EA">
        <w:rPr>
          <w:lang w:val="fr-FR"/>
        </w:rPr>
        <w:t>3</w:t>
      </w:r>
      <w:r w:rsidR="002A026E" w:rsidRPr="00AF51EA">
        <w:rPr>
          <w:lang w:val="fr-FR"/>
        </w:rPr>
        <w:t>.</w:t>
      </w:r>
      <w:r w:rsidRPr="00AF51EA">
        <w:rPr>
          <w:lang w:val="fr-FR"/>
        </w:rPr>
        <w:t>3</w:t>
      </w:r>
      <w:r w:rsidRPr="00AF51EA">
        <w:rPr>
          <w:lang w:val="fr-FR"/>
        </w:rPr>
        <w:tab/>
        <w:t>Les auteurs affirment que, comme le droit à une égale protection de la loi consacré par l</w:t>
      </w:r>
      <w:r w:rsidR="00AB516D" w:rsidRPr="00AF51EA">
        <w:rPr>
          <w:lang w:val="fr-FR"/>
        </w:rPr>
        <w:t>’</w:t>
      </w:r>
      <w:r w:rsidRPr="00AF51EA">
        <w:rPr>
          <w:lang w:val="fr-FR"/>
        </w:rPr>
        <w:t>article 26 du Pacte ne concerne pas uniquement la discrimination s</w:t>
      </w:r>
      <w:r w:rsidR="00AB516D" w:rsidRPr="00AF51EA">
        <w:rPr>
          <w:lang w:val="fr-FR"/>
        </w:rPr>
        <w:t>’</w:t>
      </w:r>
      <w:r w:rsidRPr="00AF51EA">
        <w:rPr>
          <w:lang w:val="fr-FR"/>
        </w:rPr>
        <w:t>agissant des droits garantis par le Pacte</w:t>
      </w:r>
      <w:r w:rsidRPr="00AF51EA">
        <w:rPr>
          <w:rStyle w:val="Appelnotedebasdep"/>
        </w:rPr>
        <w:footnoteReference w:id="21"/>
      </w:r>
      <w:r w:rsidRPr="00AF51EA">
        <w:rPr>
          <w:lang w:val="fr-FR"/>
        </w:rPr>
        <w:t>, les dispositions de cet article devraient s</w:t>
      </w:r>
      <w:r w:rsidR="00AB516D" w:rsidRPr="00AF51EA">
        <w:rPr>
          <w:lang w:val="fr-FR"/>
        </w:rPr>
        <w:t>’</w:t>
      </w:r>
      <w:r w:rsidRPr="00AF51EA">
        <w:rPr>
          <w:lang w:val="fr-FR"/>
        </w:rPr>
        <w:t>appliquer en l</w:t>
      </w:r>
      <w:r w:rsidR="00AB516D" w:rsidRPr="00AF51EA">
        <w:rPr>
          <w:lang w:val="fr-FR"/>
        </w:rPr>
        <w:t>’</w:t>
      </w:r>
      <w:r w:rsidRPr="00AF51EA">
        <w:rPr>
          <w:lang w:val="fr-FR"/>
        </w:rPr>
        <w:t>espèce, compte tenu en particulier de la discrimination dont ils ont fait l</w:t>
      </w:r>
      <w:r w:rsidR="00AB516D" w:rsidRPr="00AF51EA">
        <w:rPr>
          <w:lang w:val="fr-FR"/>
        </w:rPr>
        <w:t>’</w:t>
      </w:r>
      <w:r w:rsidRPr="00AF51EA">
        <w:rPr>
          <w:lang w:val="fr-FR"/>
        </w:rPr>
        <w:t>objet en ce qui concerne la jouissance de leur droit à la sécurité sociale, de leur droit à une protection et une assistance en tant que famille et de leur droit à un niveau de vie suffisant, consacrés aux articles 9, 10 (par</w:t>
      </w:r>
      <w:r w:rsidR="002A026E" w:rsidRPr="00AF51EA">
        <w:rPr>
          <w:lang w:val="fr-FR"/>
        </w:rPr>
        <w:t>.</w:t>
      </w:r>
      <w:r w:rsidRPr="00AF51EA">
        <w:rPr>
          <w:lang w:val="fr-FR"/>
        </w:rPr>
        <w:t> 1) et 11 (par</w:t>
      </w:r>
      <w:r w:rsidR="002A026E" w:rsidRPr="00AF51EA">
        <w:rPr>
          <w:lang w:val="fr-FR"/>
        </w:rPr>
        <w:t>.</w:t>
      </w:r>
      <w:r w:rsidRPr="00AF51EA">
        <w:rPr>
          <w:lang w:val="fr-FR"/>
        </w:rPr>
        <w:t> 1), respectivement, du Pacte international relatif aux droits économiques, sociaux et culturels</w:t>
      </w:r>
      <w:r w:rsidR="002A026E" w:rsidRPr="00AF51EA">
        <w:rPr>
          <w:lang w:val="fr-FR"/>
        </w:rPr>
        <w:t>.</w:t>
      </w:r>
      <w:r w:rsidRPr="00AF51EA">
        <w:rPr>
          <w:lang w:val="fr-FR"/>
        </w:rPr>
        <w:t xml:space="preserve"> </w:t>
      </w:r>
    </w:p>
    <w:p w14:paraId="5A31C6AF" w14:textId="77777777" w:rsidR="00E42A05" w:rsidRPr="00AF51EA" w:rsidRDefault="00E42A05" w:rsidP="00E42A05">
      <w:pPr>
        <w:pStyle w:val="SingleTxtG"/>
        <w:rPr>
          <w:lang w:val="fr-FR"/>
        </w:rPr>
      </w:pPr>
      <w:r w:rsidRPr="00AF51EA">
        <w:rPr>
          <w:lang w:val="fr-FR"/>
        </w:rPr>
        <w:t>3</w:t>
      </w:r>
      <w:r w:rsidR="002A026E" w:rsidRPr="00AF51EA">
        <w:rPr>
          <w:lang w:val="fr-FR"/>
        </w:rPr>
        <w:t>.</w:t>
      </w:r>
      <w:r w:rsidRPr="00AF51EA">
        <w:rPr>
          <w:lang w:val="fr-FR"/>
        </w:rPr>
        <w:t>4</w:t>
      </w:r>
      <w:r w:rsidRPr="00AF51EA">
        <w:rPr>
          <w:lang w:val="fr-FR"/>
        </w:rPr>
        <w:tab/>
        <w:t>Les auteurs font valoir que l</w:t>
      </w:r>
      <w:r w:rsidR="00AB516D" w:rsidRPr="00AF51EA">
        <w:rPr>
          <w:lang w:val="fr-FR"/>
        </w:rPr>
        <w:t>’</w:t>
      </w:r>
      <w:r w:rsidRPr="00AF51EA">
        <w:rPr>
          <w:lang w:val="fr-FR"/>
        </w:rPr>
        <w:t>État partie aurait dû prendre en considération les particularités de leur situation, notamment les motifs de leur demande d</w:t>
      </w:r>
      <w:r w:rsidR="00AB516D" w:rsidRPr="00AF51EA">
        <w:rPr>
          <w:lang w:val="fr-FR"/>
        </w:rPr>
        <w:t>’</w:t>
      </w:r>
      <w:r w:rsidRPr="00AF51EA">
        <w:rPr>
          <w:lang w:val="fr-FR"/>
        </w:rPr>
        <w:t>asile, les problèmes de santé de leur fille, leurs attaches et liens profonds avec les Pays-Bas et le fait qu</w:t>
      </w:r>
      <w:r w:rsidR="00AB516D" w:rsidRPr="00AF51EA">
        <w:rPr>
          <w:lang w:val="fr-FR"/>
        </w:rPr>
        <w:t>’</w:t>
      </w:r>
      <w:r w:rsidRPr="00AF51EA">
        <w:rPr>
          <w:lang w:val="fr-FR"/>
        </w:rPr>
        <w:t>ils vivent depuis longtemps dans ce pays, du fait qu</w:t>
      </w:r>
      <w:r w:rsidR="00AB516D" w:rsidRPr="00AF51EA">
        <w:rPr>
          <w:lang w:val="fr-FR"/>
        </w:rPr>
        <w:t>’</w:t>
      </w:r>
      <w:r w:rsidRPr="00AF51EA">
        <w:rPr>
          <w:lang w:val="fr-FR"/>
        </w:rPr>
        <w:t>il a fallu des années aux autorités pour examiner leur demande d</w:t>
      </w:r>
      <w:r w:rsidR="00AB516D" w:rsidRPr="00AF51EA">
        <w:rPr>
          <w:lang w:val="fr-FR"/>
        </w:rPr>
        <w:t>’</w:t>
      </w:r>
      <w:r w:rsidRPr="00AF51EA">
        <w:rPr>
          <w:lang w:val="fr-FR"/>
        </w:rPr>
        <w:t>asile et décider s</w:t>
      </w:r>
      <w:r w:rsidR="00AB516D" w:rsidRPr="00AF51EA">
        <w:rPr>
          <w:lang w:val="fr-FR"/>
        </w:rPr>
        <w:t>’</w:t>
      </w:r>
      <w:r w:rsidRPr="00AF51EA">
        <w:rPr>
          <w:lang w:val="fr-FR"/>
        </w:rPr>
        <w:t>ils devaient « être admis » dans le pays</w:t>
      </w:r>
      <w:r w:rsidR="002A026E" w:rsidRPr="00AF51EA">
        <w:rPr>
          <w:lang w:val="fr-FR"/>
        </w:rPr>
        <w:t>.</w:t>
      </w:r>
      <w:r w:rsidRPr="00AF51EA">
        <w:rPr>
          <w:lang w:val="fr-FR"/>
        </w:rPr>
        <w:t xml:space="preserve"> Ils citent à l</w:t>
      </w:r>
      <w:r w:rsidR="00AB516D" w:rsidRPr="00AF51EA">
        <w:rPr>
          <w:lang w:val="fr-FR"/>
        </w:rPr>
        <w:t>’</w:t>
      </w:r>
      <w:r w:rsidRPr="00AF51EA">
        <w:rPr>
          <w:lang w:val="fr-FR"/>
        </w:rPr>
        <w:t xml:space="preserve">appui de cette affirmation </w:t>
      </w:r>
      <w:bookmarkStart w:id="2" w:name="_Hlk42267549"/>
      <w:r w:rsidRPr="00AF51EA">
        <w:rPr>
          <w:lang w:val="fr-FR"/>
        </w:rPr>
        <w:t>les constatations du Comité en l</w:t>
      </w:r>
      <w:r w:rsidR="00AB516D" w:rsidRPr="00AF51EA">
        <w:rPr>
          <w:lang w:val="fr-FR"/>
        </w:rPr>
        <w:t>’</w:t>
      </w:r>
      <w:r w:rsidRPr="00AF51EA">
        <w:rPr>
          <w:lang w:val="fr-FR"/>
        </w:rPr>
        <w:t xml:space="preserve">affaire </w:t>
      </w:r>
      <w:proofErr w:type="spellStart"/>
      <w:r w:rsidRPr="00AF51EA">
        <w:rPr>
          <w:i/>
          <w:iCs/>
          <w:lang w:val="fr-FR"/>
        </w:rPr>
        <w:t>Winata</w:t>
      </w:r>
      <w:proofErr w:type="spellEnd"/>
      <w:r w:rsidRPr="00AF51EA">
        <w:rPr>
          <w:i/>
          <w:iCs/>
          <w:lang w:val="fr-FR"/>
        </w:rPr>
        <w:t xml:space="preserve"> et Li </w:t>
      </w:r>
      <w:r w:rsidRPr="00AF51EA">
        <w:rPr>
          <w:iCs/>
          <w:lang w:val="fr-FR"/>
        </w:rPr>
        <w:t>c</w:t>
      </w:r>
      <w:r w:rsidR="002A026E" w:rsidRPr="00AF51EA">
        <w:rPr>
          <w:iCs/>
          <w:lang w:val="fr-FR"/>
        </w:rPr>
        <w:t>.</w:t>
      </w:r>
      <w:r w:rsidRPr="00AF51EA">
        <w:rPr>
          <w:i/>
          <w:iCs/>
          <w:lang w:val="fr-FR"/>
        </w:rPr>
        <w:t> Australie</w:t>
      </w:r>
      <w:r w:rsidRPr="00AF51EA">
        <w:rPr>
          <w:lang w:val="fr-FR"/>
        </w:rPr>
        <w:t xml:space="preserve">, dans laquelle </w:t>
      </w:r>
      <w:bookmarkEnd w:id="2"/>
      <w:r w:rsidRPr="00AF51EA">
        <w:rPr>
          <w:lang w:val="fr-FR"/>
        </w:rPr>
        <w:t>le Comité a considéré que si un État partie pouvait appliquer une politique restrictive en matière d</w:t>
      </w:r>
      <w:r w:rsidR="00AB516D" w:rsidRPr="00AF51EA">
        <w:rPr>
          <w:lang w:val="fr-FR"/>
        </w:rPr>
        <w:t>’</w:t>
      </w:r>
      <w:r w:rsidRPr="00AF51EA">
        <w:rPr>
          <w:lang w:val="fr-FR"/>
        </w:rPr>
        <w:t>immigration, il ne pouvait pas le faire arbitrairement et sans tenir compte des circonstances particulières du cas d</w:t>
      </w:r>
      <w:r w:rsidR="00AB516D" w:rsidRPr="00AF51EA">
        <w:rPr>
          <w:lang w:val="fr-FR"/>
        </w:rPr>
        <w:t>’</w:t>
      </w:r>
      <w:r w:rsidRPr="00AF51EA">
        <w:rPr>
          <w:lang w:val="fr-FR"/>
        </w:rPr>
        <w:t>espèce</w:t>
      </w:r>
      <w:r w:rsidRPr="00AF51EA">
        <w:rPr>
          <w:rStyle w:val="Appelnotedebasdep"/>
        </w:rPr>
        <w:footnoteReference w:id="22"/>
      </w:r>
      <w:r w:rsidR="002A026E" w:rsidRPr="00AF51EA">
        <w:rPr>
          <w:lang w:val="fr-FR"/>
        </w:rPr>
        <w:t>.</w:t>
      </w:r>
      <w:r w:rsidRPr="00AF51EA">
        <w:rPr>
          <w:lang w:val="fr-FR"/>
        </w:rPr>
        <w:t xml:space="preserve"> Les auteurs en concluent que l</w:t>
      </w:r>
      <w:r w:rsidR="00AB516D" w:rsidRPr="00AF51EA">
        <w:rPr>
          <w:lang w:val="fr-FR"/>
        </w:rPr>
        <w:t>’</w:t>
      </w:r>
      <w:r w:rsidRPr="00AF51EA">
        <w:rPr>
          <w:lang w:val="fr-FR"/>
        </w:rPr>
        <w:t>État partie ne peut pas appliquer la loi d</w:t>
      </w:r>
      <w:r w:rsidR="00AB516D" w:rsidRPr="00AF51EA">
        <w:rPr>
          <w:lang w:val="fr-FR"/>
        </w:rPr>
        <w:t>’</w:t>
      </w:r>
      <w:r w:rsidRPr="00AF51EA">
        <w:rPr>
          <w:lang w:val="fr-FR"/>
        </w:rPr>
        <w:t xml:space="preserve">interconnexion de manière rigide </w:t>
      </w:r>
      <w:r w:rsidRPr="00AF51EA">
        <w:rPr>
          <w:lang w:val="fr-FR"/>
        </w:rPr>
        <w:lastRenderedPageBreak/>
        <w:t>pour refuser toutes les prestations sociales à toutes les personnes en situation irrégulière</w:t>
      </w:r>
      <w:r w:rsidRPr="00AF51EA">
        <w:rPr>
          <w:rStyle w:val="Appelnotedebasdep"/>
        </w:rPr>
        <w:footnoteReference w:id="23"/>
      </w:r>
      <w:r w:rsidRPr="00AF51EA">
        <w:rPr>
          <w:lang w:val="fr-FR"/>
        </w:rPr>
        <w:t>, en particulier celles dont les demandes de permis de séjour sont pendantes</w:t>
      </w:r>
      <w:r w:rsidRPr="00AF51EA">
        <w:rPr>
          <w:rStyle w:val="Appelnotedebasdep"/>
        </w:rPr>
        <w:footnoteReference w:id="24"/>
      </w:r>
      <w:r w:rsidR="002A026E" w:rsidRPr="00AF51EA">
        <w:rPr>
          <w:lang w:val="fr-FR"/>
        </w:rPr>
        <w:t>.</w:t>
      </w:r>
      <w:r w:rsidRPr="00AF51EA">
        <w:rPr>
          <w:lang w:val="fr-FR"/>
        </w:rPr>
        <w:t xml:space="preserve"> Ils soutiennent que le rejet catégorique de leur demande d</w:t>
      </w:r>
      <w:r w:rsidR="00AB516D" w:rsidRPr="00AF51EA">
        <w:rPr>
          <w:lang w:val="fr-FR"/>
        </w:rPr>
        <w:t>’</w:t>
      </w:r>
      <w:r w:rsidRPr="00AF51EA">
        <w:rPr>
          <w:lang w:val="fr-FR"/>
        </w:rPr>
        <w:t>allocation de base pour enfant à charge au motif qu</w:t>
      </w:r>
      <w:r w:rsidR="00AB516D" w:rsidRPr="00AF51EA">
        <w:rPr>
          <w:lang w:val="fr-FR"/>
        </w:rPr>
        <w:t>’</w:t>
      </w:r>
      <w:r w:rsidRPr="00AF51EA">
        <w:rPr>
          <w:lang w:val="fr-FR"/>
        </w:rPr>
        <w:t>ils n</w:t>
      </w:r>
      <w:r w:rsidR="00AB516D" w:rsidRPr="00AF51EA">
        <w:rPr>
          <w:lang w:val="fr-FR"/>
        </w:rPr>
        <w:t>’</w:t>
      </w:r>
      <w:r w:rsidRPr="00AF51EA">
        <w:rPr>
          <w:lang w:val="fr-FR"/>
        </w:rPr>
        <w:t>avaient pas de permis de séjour valable va à l</w:t>
      </w:r>
      <w:r w:rsidR="00AB516D" w:rsidRPr="00AF51EA">
        <w:rPr>
          <w:lang w:val="fr-FR"/>
        </w:rPr>
        <w:t>’</w:t>
      </w:r>
      <w:r w:rsidRPr="00AF51EA">
        <w:rPr>
          <w:lang w:val="fr-FR"/>
        </w:rPr>
        <w:t>encontre du principe établi en l</w:t>
      </w:r>
      <w:r w:rsidR="00AB516D" w:rsidRPr="00AF51EA">
        <w:rPr>
          <w:lang w:val="fr-FR"/>
        </w:rPr>
        <w:t>’</w:t>
      </w:r>
      <w:r w:rsidRPr="00AF51EA">
        <w:rPr>
          <w:lang w:val="fr-FR"/>
        </w:rPr>
        <w:t xml:space="preserve">affaire </w:t>
      </w:r>
      <w:proofErr w:type="spellStart"/>
      <w:r w:rsidRPr="00AF51EA">
        <w:rPr>
          <w:i/>
          <w:iCs/>
          <w:lang w:val="fr-FR"/>
        </w:rPr>
        <w:t>Winata</w:t>
      </w:r>
      <w:proofErr w:type="spellEnd"/>
      <w:r w:rsidRPr="00AF51EA">
        <w:rPr>
          <w:i/>
          <w:iCs/>
          <w:lang w:val="fr-FR"/>
        </w:rPr>
        <w:t xml:space="preserve"> et Li </w:t>
      </w:r>
      <w:r w:rsidRPr="00AF51EA">
        <w:rPr>
          <w:lang w:val="fr-FR"/>
        </w:rPr>
        <w:t>c</w:t>
      </w:r>
      <w:r w:rsidR="002A026E" w:rsidRPr="00AF51EA">
        <w:rPr>
          <w:lang w:val="fr-FR"/>
        </w:rPr>
        <w:t>.</w:t>
      </w:r>
      <w:r w:rsidRPr="00AF51EA">
        <w:rPr>
          <w:i/>
          <w:iCs/>
          <w:lang w:val="fr-FR"/>
        </w:rPr>
        <w:t> Australie</w:t>
      </w:r>
      <w:r w:rsidR="002A026E" w:rsidRPr="00AF51EA">
        <w:rPr>
          <w:lang w:val="fr-FR"/>
        </w:rPr>
        <w:t>.</w:t>
      </w:r>
      <w:r w:rsidRPr="00AF51EA">
        <w:rPr>
          <w:lang w:val="fr-FR"/>
        </w:rPr>
        <w:t xml:space="preserve"> Ils font de plus valoir qu</w:t>
      </w:r>
      <w:r w:rsidR="00AB516D" w:rsidRPr="00AF51EA">
        <w:rPr>
          <w:lang w:val="fr-FR"/>
        </w:rPr>
        <w:t>’</w:t>
      </w:r>
      <w:r w:rsidRPr="00AF51EA">
        <w:rPr>
          <w:lang w:val="fr-FR"/>
        </w:rPr>
        <w:t>ils n</w:t>
      </w:r>
      <w:r w:rsidR="00AB516D" w:rsidRPr="00AF51EA">
        <w:rPr>
          <w:lang w:val="fr-FR"/>
        </w:rPr>
        <w:t>’</w:t>
      </w:r>
      <w:r w:rsidRPr="00AF51EA">
        <w:rPr>
          <w:lang w:val="fr-FR"/>
        </w:rPr>
        <w:t>étaient pas en situation « irrégulière » au sens de la loi d</w:t>
      </w:r>
      <w:r w:rsidR="00AB516D" w:rsidRPr="00AF51EA">
        <w:rPr>
          <w:lang w:val="fr-FR"/>
        </w:rPr>
        <w:t>’</w:t>
      </w:r>
      <w:r w:rsidRPr="00AF51EA">
        <w:rPr>
          <w:lang w:val="fr-FR"/>
        </w:rPr>
        <w:t>interconnexion : ils se sont présentés aux autorités dès leur arrivée, ils ont déposé une demande d</w:t>
      </w:r>
      <w:r w:rsidR="00AB516D" w:rsidRPr="00AF51EA">
        <w:rPr>
          <w:lang w:val="fr-FR"/>
        </w:rPr>
        <w:t>’</w:t>
      </w:r>
      <w:r w:rsidRPr="00AF51EA">
        <w:rPr>
          <w:lang w:val="fr-FR"/>
        </w:rPr>
        <w:t>asile et ils étaient titulaires de permis de séjour pendant la plupart du temps qu</w:t>
      </w:r>
      <w:r w:rsidR="00AB516D" w:rsidRPr="00AF51EA">
        <w:rPr>
          <w:lang w:val="fr-FR"/>
        </w:rPr>
        <w:t>’</w:t>
      </w:r>
      <w:r w:rsidRPr="00AF51EA">
        <w:rPr>
          <w:lang w:val="fr-FR"/>
        </w:rPr>
        <w:t>ils ont passé aux Pays-Bas</w:t>
      </w:r>
      <w:r w:rsidR="002A026E" w:rsidRPr="00AF51EA">
        <w:rPr>
          <w:lang w:val="fr-FR"/>
        </w:rPr>
        <w:t>.</w:t>
      </w:r>
      <w:r w:rsidRPr="00AF51EA">
        <w:rPr>
          <w:lang w:val="fr-FR"/>
        </w:rPr>
        <w:t xml:space="preserve"> Ils ajoutent que, compte tenu des objectifs de la loi d</w:t>
      </w:r>
      <w:r w:rsidR="00AB516D" w:rsidRPr="00AF51EA">
        <w:rPr>
          <w:lang w:val="fr-FR"/>
        </w:rPr>
        <w:t>’</w:t>
      </w:r>
      <w:r w:rsidRPr="00AF51EA">
        <w:rPr>
          <w:lang w:val="fr-FR"/>
        </w:rPr>
        <w:t>interconnexion</w:t>
      </w:r>
      <w:r w:rsidRPr="00AF51EA">
        <w:rPr>
          <w:rStyle w:val="Appelnotedebasdep"/>
        </w:rPr>
        <w:footnoteReference w:id="25"/>
      </w:r>
      <w:r w:rsidRPr="00AF51EA">
        <w:rPr>
          <w:lang w:val="fr-FR"/>
        </w:rPr>
        <w:t>, le fait de priver certains individus de la possibilité de bénéficier de prestations sociales n</w:t>
      </w:r>
      <w:r w:rsidR="00AB516D" w:rsidRPr="00AF51EA">
        <w:rPr>
          <w:lang w:val="fr-FR"/>
        </w:rPr>
        <w:t>’</w:t>
      </w:r>
      <w:r w:rsidRPr="00AF51EA">
        <w:rPr>
          <w:lang w:val="fr-FR"/>
        </w:rPr>
        <w:t>atteint son but que si les intéressés peuvent quitter le territoire</w:t>
      </w:r>
      <w:r w:rsidR="002A026E" w:rsidRPr="00AF51EA">
        <w:rPr>
          <w:lang w:val="fr-FR"/>
        </w:rPr>
        <w:t>.</w:t>
      </w:r>
      <w:r w:rsidRPr="00AF51EA">
        <w:rPr>
          <w:lang w:val="fr-FR"/>
        </w:rPr>
        <w:t xml:space="preserve"> Or, comme les auteurs ne peuvent pas retourner en Afghanistan, les dispositions pertinentes de cette loi n</w:t>
      </w:r>
      <w:r w:rsidR="00AB516D" w:rsidRPr="00AF51EA">
        <w:rPr>
          <w:lang w:val="fr-FR"/>
        </w:rPr>
        <w:t>’</w:t>
      </w:r>
      <w:r w:rsidRPr="00AF51EA">
        <w:rPr>
          <w:lang w:val="fr-FR"/>
        </w:rPr>
        <w:t>auraient pas dû leur être appliquées</w:t>
      </w:r>
      <w:r w:rsidR="002A026E" w:rsidRPr="00AF51EA">
        <w:rPr>
          <w:lang w:val="fr-FR"/>
        </w:rPr>
        <w:t>.</w:t>
      </w:r>
    </w:p>
    <w:p w14:paraId="42A01C3D" w14:textId="77777777" w:rsidR="00E42A05" w:rsidRPr="00AF51EA" w:rsidRDefault="00E42A05" w:rsidP="00E42A05">
      <w:pPr>
        <w:pStyle w:val="SingleTxtG"/>
        <w:rPr>
          <w:lang w:val="fr-FR"/>
        </w:rPr>
      </w:pPr>
      <w:r w:rsidRPr="00AF51EA">
        <w:rPr>
          <w:lang w:val="fr-FR"/>
        </w:rPr>
        <w:t>3</w:t>
      </w:r>
      <w:r w:rsidR="002A026E" w:rsidRPr="00AF51EA">
        <w:rPr>
          <w:lang w:val="fr-FR"/>
        </w:rPr>
        <w:t>.</w:t>
      </w:r>
      <w:r w:rsidRPr="00AF51EA">
        <w:rPr>
          <w:lang w:val="fr-FR"/>
        </w:rPr>
        <w:t>5</w:t>
      </w:r>
      <w:r w:rsidRPr="00AF51EA">
        <w:rPr>
          <w:lang w:val="fr-FR"/>
        </w:rPr>
        <w:tab/>
        <w:t>Les auteurs soulignent en outre que le rejet de leur demande d</w:t>
      </w:r>
      <w:r w:rsidR="00AB516D" w:rsidRPr="00AF51EA">
        <w:rPr>
          <w:lang w:val="fr-FR"/>
        </w:rPr>
        <w:t>’</w:t>
      </w:r>
      <w:r w:rsidRPr="00AF51EA">
        <w:rPr>
          <w:lang w:val="fr-FR"/>
        </w:rPr>
        <w:t>allocation de base pour enfant à charge les a contraints à survivre « avec moins que le minimum vital », ce qui va à l</w:t>
      </w:r>
      <w:r w:rsidR="00AB516D" w:rsidRPr="00AF51EA">
        <w:rPr>
          <w:lang w:val="fr-FR"/>
        </w:rPr>
        <w:t>’</w:t>
      </w:r>
      <w:r w:rsidRPr="00AF51EA">
        <w:rPr>
          <w:lang w:val="fr-FR"/>
        </w:rPr>
        <w:t>encontre des articles 23, 24 et 26 du Pacte international relatif aux droits civils et politiques</w:t>
      </w:r>
      <w:r w:rsidR="002A026E" w:rsidRPr="00AF51EA">
        <w:rPr>
          <w:lang w:val="fr-FR"/>
        </w:rPr>
        <w:t>.</w:t>
      </w:r>
      <w:r w:rsidRPr="00AF51EA">
        <w:rPr>
          <w:lang w:val="fr-FR"/>
        </w:rPr>
        <w:t xml:space="preserve"> Ils soutiennent qu</w:t>
      </w:r>
      <w:r w:rsidR="00AB516D" w:rsidRPr="00AF51EA">
        <w:rPr>
          <w:lang w:val="fr-FR"/>
        </w:rPr>
        <w:t>’</w:t>
      </w:r>
      <w:r w:rsidRPr="00AF51EA">
        <w:rPr>
          <w:lang w:val="fr-FR"/>
        </w:rPr>
        <w:t>ils ont vécu dans une pauvreté absolue</w:t>
      </w:r>
      <w:r w:rsidRPr="00AF51EA">
        <w:rPr>
          <w:rStyle w:val="Appelnotedebasdep"/>
        </w:rPr>
        <w:footnoteReference w:id="26"/>
      </w:r>
      <w:r w:rsidRPr="00AF51EA">
        <w:rPr>
          <w:lang w:val="fr-FR"/>
        </w:rPr>
        <w:t xml:space="preserve"> et que même si l</w:t>
      </w:r>
      <w:r w:rsidR="00AB516D" w:rsidRPr="00AF51EA">
        <w:rPr>
          <w:lang w:val="fr-FR"/>
        </w:rPr>
        <w:t>’</w:t>
      </w:r>
      <w:r w:rsidRPr="00AF51EA">
        <w:rPr>
          <w:lang w:val="fr-FR"/>
        </w:rPr>
        <w:t>allocation de base pour enfant à charge n</w:t>
      </w:r>
      <w:r w:rsidR="00AB516D" w:rsidRPr="00AF51EA">
        <w:rPr>
          <w:lang w:val="fr-FR"/>
        </w:rPr>
        <w:t>’</w:t>
      </w:r>
      <w:r w:rsidRPr="00AF51EA">
        <w:rPr>
          <w:lang w:val="fr-FR"/>
        </w:rPr>
        <w:t>est généralement pas considérée comme une allocation de subsistance, elle en avait le caractère dans leur cas car elle leur était nécessaire pour éviter que leur niveau de vie tombe en-dessous du seuil de pauvreté</w:t>
      </w:r>
      <w:r w:rsidR="002A026E" w:rsidRPr="00AF51EA">
        <w:rPr>
          <w:lang w:val="fr-FR"/>
        </w:rPr>
        <w:t>.</w:t>
      </w:r>
      <w:r w:rsidRPr="00AF51EA">
        <w:rPr>
          <w:lang w:val="fr-FR"/>
        </w:rPr>
        <w:t xml:space="preserve"> Les auteurs rappellent en outre qu</w:t>
      </w:r>
      <w:r w:rsidR="00AB516D" w:rsidRPr="00AF51EA">
        <w:rPr>
          <w:lang w:val="fr-FR"/>
        </w:rPr>
        <w:t>’</w:t>
      </w:r>
      <w:r w:rsidRPr="00AF51EA">
        <w:rPr>
          <w:lang w:val="fr-FR"/>
        </w:rPr>
        <w:t>après avoir été priés de quitter le centre d</w:t>
      </w:r>
      <w:r w:rsidR="00AB516D" w:rsidRPr="00AF51EA">
        <w:rPr>
          <w:lang w:val="fr-FR"/>
        </w:rPr>
        <w:t>’</w:t>
      </w:r>
      <w:r w:rsidRPr="00AF51EA">
        <w:rPr>
          <w:lang w:val="fr-FR"/>
        </w:rPr>
        <w:t>accueil de l</w:t>
      </w:r>
      <w:r w:rsidR="00AB516D" w:rsidRPr="00AF51EA">
        <w:rPr>
          <w:lang w:val="fr-FR"/>
        </w:rPr>
        <w:t>’</w:t>
      </w:r>
      <w:r w:rsidRPr="00AF51EA">
        <w:rPr>
          <w:lang w:val="fr-FR"/>
        </w:rPr>
        <w:t>Office central chargé de l</w:t>
      </w:r>
      <w:r w:rsidR="00AB516D" w:rsidRPr="00AF51EA">
        <w:rPr>
          <w:lang w:val="fr-FR"/>
        </w:rPr>
        <w:t>’</w:t>
      </w:r>
      <w:r w:rsidRPr="00AF51EA">
        <w:rPr>
          <w:lang w:val="fr-FR"/>
        </w:rPr>
        <w:t>accueil des demandeurs d</w:t>
      </w:r>
      <w:r w:rsidR="00AB516D" w:rsidRPr="00AF51EA">
        <w:rPr>
          <w:lang w:val="fr-FR"/>
        </w:rPr>
        <w:t>’</w:t>
      </w:r>
      <w:r w:rsidRPr="00AF51EA">
        <w:rPr>
          <w:lang w:val="fr-FR"/>
        </w:rPr>
        <w:t>asile en 2005, ils n</w:t>
      </w:r>
      <w:r w:rsidR="00AB516D" w:rsidRPr="00AF51EA">
        <w:rPr>
          <w:lang w:val="fr-FR"/>
        </w:rPr>
        <w:t>’</w:t>
      </w:r>
      <w:r w:rsidRPr="00AF51EA">
        <w:rPr>
          <w:lang w:val="fr-FR"/>
        </w:rPr>
        <w:t>ont touché qu</w:t>
      </w:r>
      <w:r w:rsidR="00AB516D" w:rsidRPr="00AF51EA">
        <w:rPr>
          <w:lang w:val="fr-FR"/>
        </w:rPr>
        <w:t>’</w:t>
      </w:r>
      <w:r w:rsidRPr="00AF51EA">
        <w:rPr>
          <w:lang w:val="fr-FR"/>
        </w:rPr>
        <w:t>une aide hebdomadaire de 62 euros versée par Voice in the City et qu</w:t>
      </w:r>
      <w:r w:rsidR="00AB516D" w:rsidRPr="00AF51EA">
        <w:rPr>
          <w:lang w:val="fr-FR"/>
        </w:rPr>
        <w:t>’</w:t>
      </w:r>
      <w:r w:rsidRPr="00AF51EA">
        <w:rPr>
          <w:lang w:val="fr-FR"/>
        </w:rPr>
        <w:t>à la fin 2007, ils ont emménagé dans un appartement mis à leur disposition par cette association, qui leur versait en outre une aide hebdomadaire de 80 euros</w:t>
      </w:r>
      <w:r w:rsidR="002A026E" w:rsidRPr="00AF51EA">
        <w:rPr>
          <w:lang w:val="fr-FR"/>
        </w:rPr>
        <w:t>.</w:t>
      </w:r>
      <w:r w:rsidRPr="00AF51EA">
        <w:rPr>
          <w:lang w:val="fr-FR"/>
        </w:rPr>
        <w:t xml:space="preserve"> Ils affirment qu</w:t>
      </w:r>
      <w:r w:rsidR="00AB516D" w:rsidRPr="00AF51EA">
        <w:rPr>
          <w:lang w:val="fr-FR"/>
        </w:rPr>
        <w:t>’</w:t>
      </w:r>
      <w:r w:rsidRPr="00AF51EA">
        <w:rPr>
          <w:lang w:val="fr-FR"/>
        </w:rPr>
        <w:t>une comparaison entre le montant des aides qu</w:t>
      </w:r>
      <w:r w:rsidR="00AB516D" w:rsidRPr="00AF51EA">
        <w:rPr>
          <w:lang w:val="fr-FR"/>
        </w:rPr>
        <w:t>’</w:t>
      </w:r>
      <w:r w:rsidRPr="00AF51EA">
        <w:rPr>
          <w:lang w:val="fr-FR"/>
        </w:rPr>
        <w:t>ils ont touchées pendant ces périodes et le montant des prestations mensuelles de sécurité sociale pour les couples avec enfants établi par l</w:t>
      </w:r>
      <w:r w:rsidR="00AB516D" w:rsidRPr="00AF51EA">
        <w:rPr>
          <w:lang w:val="fr-FR"/>
        </w:rPr>
        <w:t>’</w:t>
      </w:r>
      <w:r w:rsidRPr="00AF51EA">
        <w:rPr>
          <w:lang w:val="fr-FR"/>
        </w:rPr>
        <w:t>Institut national pour l</w:t>
      </w:r>
      <w:r w:rsidR="00AB516D" w:rsidRPr="00AF51EA">
        <w:rPr>
          <w:lang w:val="fr-FR"/>
        </w:rPr>
        <w:t>’</w:t>
      </w:r>
      <w:r w:rsidRPr="00AF51EA">
        <w:rPr>
          <w:lang w:val="fr-FR"/>
        </w:rPr>
        <w:t>établissement du budget, soit 1 256 euros, suffit à démontrer le degré de dénuement dans lequel ils ont vécu</w:t>
      </w:r>
      <w:r w:rsidR="002A026E" w:rsidRPr="00AF51EA">
        <w:rPr>
          <w:lang w:val="fr-FR"/>
        </w:rPr>
        <w:t>.</w:t>
      </w:r>
      <w:r w:rsidRPr="00AF51EA">
        <w:rPr>
          <w:lang w:val="fr-FR"/>
        </w:rPr>
        <w:t xml:space="preserve"> Les auteurs soulignent par ailleurs que les problèmes de santé de R</w:t>
      </w:r>
      <w:r w:rsidR="002A026E" w:rsidRPr="00AF51EA">
        <w:rPr>
          <w:lang w:val="fr-FR"/>
        </w:rPr>
        <w:t>.</w:t>
      </w:r>
      <w:r w:rsidRPr="00AF51EA">
        <w:rPr>
          <w:lang w:val="fr-FR"/>
        </w:rPr>
        <w:t xml:space="preserve"> ont été causés principalement par la situation de « grande pauvreté », extraordinairement éprouvante, dans laquelle la famille a vécu</w:t>
      </w:r>
      <w:r w:rsidR="002A026E" w:rsidRPr="00AF51EA">
        <w:rPr>
          <w:lang w:val="fr-FR"/>
        </w:rPr>
        <w:t>.</w:t>
      </w:r>
      <w:r w:rsidRPr="00AF51EA">
        <w:rPr>
          <w:lang w:val="fr-FR"/>
        </w:rPr>
        <w:t xml:space="preserve"> </w:t>
      </w:r>
    </w:p>
    <w:p w14:paraId="136822E2" w14:textId="77777777" w:rsidR="00E42A05" w:rsidRPr="00AF51EA" w:rsidRDefault="00E42A05" w:rsidP="00E42A05">
      <w:pPr>
        <w:pStyle w:val="SingleTxtG"/>
        <w:rPr>
          <w:lang w:val="fr-FR"/>
        </w:rPr>
      </w:pPr>
      <w:r w:rsidRPr="00AF51EA">
        <w:rPr>
          <w:lang w:val="fr-FR"/>
        </w:rPr>
        <w:t>3</w:t>
      </w:r>
      <w:r w:rsidR="002A026E" w:rsidRPr="00AF51EA">
        <w:rPr>
          <w:lang w:val="fr-FR"/>
        </w:rPr>
        <w:t>.</w:t>
      </w:r>
      <w:r w:rsidRPr="00AF51EA">
        <w:rPr>
          <w:lang w:val="fr-FR"/>
        </w:rPr>
        <w:t>6</w:t>
      </w:r>
      <w:r w:rsidRPr="00AF51EA">
        <w:rPr>
          <w:lang w:val="fr-FR"/>
        </w:rPr>
        <w:tab/>
        <w:t>Les auteurs renvoient en outre à une décision rendue en 2012 par la Cour constitutionnelle fédérale allemande dans laquelle cette juridiction a considéré que le fait pour l</w:t>
      </w:r>
      <w:r w:rsidR="00AB516D" w:rsidRPr="00AF51EA">
        <w:rPr>
          <w:lang w:val="fr-FR"/>
        </w:rPr>
        <w:t>’</w:t>
      </w:r>
      <w:r w:rsidRPr="00AF51EA">
        <w:rPr>
          <w:lang w:val="fr-FR"/>
        </w:rPr>
        <w:t>État de ne pas prendre réellement en considération les besoins effectifs des demandeurs d</w:t>
      </w:r>
      <w:r w:rsidR="00AB516D" w:rsidRPr="00AF51EA">
        <w:rPr>
          <w:lang w:val="fr-FR"/>
        </w:rPr>
        <w:t>’</w:t>
      </w:r>
      <w:r w:rsidRPr="00AF51EA">
        <w:rPr>
          <w:lang w:val="fr-FR"/>
        </w:rPr>
        <w:t>asile lorsqu</w:t>
      </w:r>
      <w:r w:rsidR="00AB516D" w:rsidRPr="00AF51EA">
        <w:rPr>
          <w:lang w:val="fr-FR"/>
        </w:rPr>
        <w:t>’</w:t>
      </w:r>
      <w:r w:rsidRPr="00AF51EA">
        <w:rPr>
          <w:lang w:val="fr-FR"/>
        </w:rPr>
        <w:t>il leur allouait des prestations constituait une violation du principe d</w:t>
      </w:r>
      <w:r w:rsidR="00AB516D" w:rsidRPr="00AF51EA">
        <w:rPr>
          <w:lang w:val="fr-FR"/>
        </w:rPr>
        <w:t>’</w:t>
      </w:r>
      <w:r w:rsidRPr="00AF51EA">
        <w:rPr>
          <w:lang w:val="fr-FR"/>
        </w:rPr>
        <w:t>humanité inscrit dans la Loi fondamentale allemande</w:t>
      </w:r>
      <w:r w:rsidR="002A026E" w:rsidRPr="00AF51EA">
        <w:rPr>
          <w:lang w:val="fr-FR"/>
        </w:rPr>
        <w:t>.</w:t>
      </w:r>
      <w:r w:rsidRPr="00AF51EA">
        <w:rPr>
          <w:lang w:val="fr-FR"/>
        </w:rPr>
        <w:t xml:space="preserve"> La Cour constitutionnelle a souligné que le paragraphe 1 de l</w:t>
      </w:r>
      <w:r w:rsidR="00AB516D" w:rsidRPr="00AF51EA">
        <w:rPr>
          <w:lang w:val="fr-FR"/>
        </w:rPr>
        <w:t>’</w:t>
      </w:r>
      <w:r w:rsidRPr="00AF51EA">
        <w:rPr>
          <w:lang w:val="fr-FR"/>
        </w:rPr>
        <w:t xml:space="preserve">article premier de la Loi fondamentale garantissait un </w:t>
      </w:r>
      <w:r w:rsidRPr="00AF51EA">
        <w:rPr>
          <w:lang w:val="fr-FR"/>
        </w:rPr>
        <w:lastRenderedPageBreak/>
        <w:t>droit à un minimum vital, ce qui, selon les auteurs, découle des articles 23 et 26 du Pacte</w:t>
      </w:r>
      <w:r w:rsidR="002A026E" w:rsidRPr="00AF51EA">
        <w:rPr>
          <w:lang w:val="fr-FR"/>
        </w:rPr>
        <w:t>.</w:t>
      </w:r>
      <w:r w:rsidRPr="00AF51EA">
        <w:rPr>
          <w:lang w:val="fr-FR"/>
        </w:rPr>
        <w:t xml:space="preserve"> Les auteurs prient le Comité d</w:t>
      </w:r>
      <w:r w:rsidR="00AB516D" w:rsidRPr="00AF51EA">
        <w:rPr>
          <w:lang w:val="fr-FR"/>
        </w:rPr>
        <w:t>’</w:t>
      </w:r>
      <w:r w:rsidRPr="00AF51EA">
        <w:rPr>
          <w:lang w:val="fr-FR"/>
        </w:rPr>
        <w:t>interpréter le Pacte comme consacrant un droit similaire à celui inscrit dans la Loi fondamentale allemande</w:t>
      </w:r>
      <w:r w:rsidR="002A026E" w:rsidRPr="00AF51EA">
        <w:rPr>
          <w:lang w:val="fr-FR"/>
        </w:rPr>
        <w:t>.</w:t>
      </w:r>
      <w:r w:rsidRPr="00AF51EA">
        <w:rPr>
          <w:lang w:val="fr-FR"/>
        </w:rPr>
        <w:t xml:space="preserve"> Ils soutiennent que, compte tenu de l</w:t>
      </w:r>
      <w:r w:rsidR="00AB516D" w:rsidRPr="00AF51EA">
        <w:rPr>
          <w:lang w:val="fr-FR"/>
        </w:rPr>
        <w:t>’</w:t>
      </w:r>
      <w:r w:rsidRPr="00AF51EA">
        <w:rPr>
          <w:lang w:val="fr-FR"/>
        </w:rPr>
        <w:t>article 26 du Pacte, ce</w:t>
      </w:r>
      <w:r w:rsidR="006B5AA5" w:rsidRPr="00AF51EA">
        <w:rPr>
          <w:lang w:val="fr-FR"/>
        </w:rPr>
        <w:t xml:space="preserve"> </w:t>
      </w:r>
      <w:r w:rsidRPr="00AF51EA">
        <w:rPr>
          <w:lang w:val="fr-FR"/>
        </w:rPr>
        <w:t>droit devrait obliger l</w:t>
      </w:r>
      <w:r w:rsidR="00AB516D" w:rsidRPr="00AF51EA">
        <w:rPr>
          <w:lang w:val="fr-FR"/>
        </w:rPr>
        <w:t>’</w:t>
      </w:r>
      <w:r w:rsidRPr="00AF51EA">
        <w:rPr>
          <w:lang w:val="fr-FR"/>
        </w:rPr>
        <w:t>État partie à assurer un minimum vital aux personnes qui résident légalement dans le pays mais n</w:t>
      </w:r>
      <w:r w:rsidR="00AB516D" w:rsidRPr="00AF51EA">
        <w:rPr>
          <w:lang w:val="fr-FR"/>
        </w:rPr>
        <w:t>’</w:t>
      </w:r>
      <w:r w:rsidRPr="00AF51EA">
        <w:rPr>
          <w:lang w:val="fr-FR"/>
        </w:rPr>
        <w:t>ont pas de permis de séjour valable</w:t>
      </w:r>
      <w:r w:rsidR="002A026E" w:rsidRPr="00AF51EA">
        <w:rPr>
          <w:lang w:val="fr-FR"/>
        </w:rPr>
        <w:t>.</w:t>
      </w:r>
      <w:r w:rsidRPr="00AF51EA">
        <w:rPr>
          <w:lang w:val="fr-FR"/>
        </w:rPr>
        <w:t xml:space="preserve"> </w:t>
      </w:r>
    </w:p>
    <w:p w14:paraId="1D0EFFF6" w14:textId="77777777" w:rsidR="00E42A05" w:rsidRPr="00AF51EA" w:rsidRDefault="00E42A05" w:rsidP="00E42A05">
      <w:pPr>
        <w:pStyle w:val="SingleTxtG"/>
        <w:rPr>
          <w:lang w:val="fr-FR"/>
        </w:rPr>
      </w:pPr>
      <w:r w:rsidRPr="00AF51EA">
        <w:rPr>
          <w:lang w:val="fr-FR"/>
        </w:rPr>
        <w:t>3</w:t>
      </w:r>
      <w:r w:rsidR="002A026E" w:rsidRPr="00AF51EA">
        <w:rPr>
          <w:lang w:val="fr-FR"/>
        </w:rPr>
        <w:t>.</w:t>
      </w:r>
      <w:r w:rsidRPr="00AF51EA">
        <w:rPr>
          <w:lang w:val="fr-FR"/>
        </w:rPr>
        <w:t>7</w:t>
      </w:r>
      <w:r w:rsidRPr="00AF51EA">
        <w:rPr>
          <w:lang w:val="fr-FR"/>
        </w:rPr>
        <w:tab/>
        <w:t>Les auteurs affirment qu</w:t>
      </w:r>
      <w:r w:rsidR="00AB516D" w:rsidRPr="00AF51EA">
        <w:rPr>
          <w:lang w:val="fr-FR"/>
        </w:rPr>
        <w:t>’</w:t>
      </w:r>
      <w:r w:rsidRPr="00AF51EA">
        <w:rPr>
          <w:lang w:val="fr-FR"/>
        </w:rPr>
        <w:t>en ne prenant pas en considération l</w:t>
      </w:r>
      <w:r w:rsidR="00AB516D" w:rsidRPr="00AF51EA">
        <w:rPr>
          <w:lang w:val="fr-FR"/>
        </w:rPr>
        <w:t>’</w:t>
      </w:r>
      <w:r w:rsidRPr="00AF51EA">
        <w:rPr>
          <w:lang w:val="fr-FR"/>
        </w:rPr>
        <w:t>intérêt de leur enfant, l</w:t>
      </w:r>
      <w:r w:rsidR="00AB516D" w:rsidRPr="00AF51EA">
        <w:rPr>
          <w:lang w:val="fr-FR"/>
        </w:rPr>
        <w:t>’</w:t>
      </w:r>
      <w:r w:rsidRPr="00AF51EA">
        <w:rPr>
          <w:lang w:val="fr-FR"/>
        </w:rPr>
        <w:t>État partie a violé l</w:t>
      </w:r>
      <w:r w:rsidR="00AB516D" w:rsidRPr="00AF51EA">
        <w:rPr>
          <w:lang w:val="fr-FR"/>
        </w:rPr>
        <w:t>’</w:t>
      </w:r>
      <w:r w:rsidRPr="00AF51EA">
        <w:rPr>
          <w:lang w:val="fr-FR"/>
        </w:rPr>
        <w:t>article 24 du Pacte</w:t>
      </w:r>
      <w:r w:rsidRPr="00AF51EA">
        <w:rPr>
          <w:rStyle w:val="Appelnotedebasdep"/>
        </w:rPr>
        <w:footnoteReference w:id="27"/>
      </w:r>
      <w:r w:rsidR="002A026E" w:rsidRPr="00AF51EA">
        <w:rPr>
          <w:lang w:val="fr-FR"/>
        </w:rPr>
        <w:t>.</w:t>
      </w:r>
      <w:r w:rsidRPr="00AF51EA">
        <w:rPr>
          <w:lang w:val="fr-FR"/>
        </w:rPr>
        <w:t xml:space="preserve"> Ils estiment que l</w:t>
      </w:r>
      <w:r w:rsidR="00AB516D" w:rsidRPr="00AF51EA">
        <w:rPr>
          <w:lang w:val="fr-FR"/>
        </w:rPr>
        <w:t>’</w:t>
      </w:r>
      <w:r w:rsidRPr="00AF51EA">
        <w:rPr>
          <w:lang w:val="fr-FR"/>
        </w:rPr>
        <w:t>intérêt de l</w:t>
      </w:r>
      <w:r w:rsidR="00AB516D" w:rsidRPr="00AF51EA">
        <w:rPr>
          <w:lang w:val="fr-FR"/>
        </w:rPr>
        <w:t>’</w:t>
      </w:r>
      <w:r w:rsidRPr="00AF51EA">
        <w:rPr>
          <w:lang w:val="fr-FR"/>
        </w:rPr>
        <w:t>enfant à recevoir l</w:t>
      </w:r>
      <w:r w:rsidR="00AB516D" w:rsidRPr="00AF51EA">
        <w:rPr>
          <w:lang w:val="fr-FR"/>
        </w:rPr>
        <w:t>’</w:t>
      </w:r>
      <w:r w:rsidRPr="00AF51EA">
        <w:rPr>
          <w:lang w:val="fr-FR"/>
        </w:rPr>
        <w:t>allocation de base doit être examiné séparément de l</w:t>
      </w:r>
      <w:r w:rsidR="00AB516D" w:rsidRPr="00AF51EA">
        <w:rPr>
          <w:lang w:val="fr-FR"/>
        </w:rPr>
        <w:t>’</w:t>
      </w:r>
      <w:r w:rsidRPr="00AF51EA">
        <w:rPr>
          <w:lang w:val="fr-FR"/>
        </w:rPr>
        <w:t>intérêt de ses parents</w:t>
      </w:r>
      <w:r w:rsidRPr="00AF51EA">
        <w:rPr>
          <w:rStyle w:val="Appelnotedebasdep"/>
        </w:rPr>
        <w:footnoteReference w:id="28"/>
      </w:r>
      <w:r w:rsidR="002A026E" w:rsidRPr="00AF51EA">
        <w:rPr>
          <w:lang w:val="fr-FR"/>
        </w:rPr>
        <w:t>.</w:t>
      </w:r>
      <w:r w:rsidRPr="00AF51EA">
        <w:rPr>
          <w:lang w:val="fr-FR"/>
        </w:rPr>
        <w:t xml:space="preserve"> Ils s</w:t>
      </w:r>
      <w:r w:rsidR="00AB516D" w:rsidRPr="00AF51EA">
        <w:rPr>
          <w:lang w:val="fr-FR"/>
        </w:rPr>
        <w:t>’</w:t>
      </w:r>
      <w:r w:rsidRPr="00AF51EA">
        <w:rPr>
          <w:lang w:val="fr-FR"/>
        </w:rPr>
        <w:t>inscrivent donc en faux contre l</w:t>
      </w:r>
      <w:r w:rsidR="00AB516D" w:rsidRPr="00AF51EA">
        <w:rPr>
          <w:lang w:val="fr-FR"/>
        </w:rPr>
        <w:t>’</w:t>
      </w:r>
      <w:r w:rsidRPr="00AF51EA">
        <w:rPr>
          <w:lang w:val="fr-FR"/>
        </w:rPr>
        <w:t>argument de la Cour suprême de l</w:t>
      </w:r>
      <w:r w:rsidR="00AB516D" w:rsidRPr="00AF51EA">
        <w:rPr>
          <w:lang w:val="fr-FR"/>
        </w:rPr>
        <w:t>’</w:t>
      </w:r>
      <w:r w:rsidRPr="00AF51EA">
        <w:rPr>
          <w:lang w:val="fr-FR"/>
        </w:rPr>
        <w:t>État partie selon lequel le statut des auteurs au regard de la législation sur le séjour « procédait en partie d</w:t>
      </w:r>
      <w:r w:rsidR="00AB516D" w:rsidRPr="00AF51EA">
        <w:rPr>
          <w:lang w:val="fr-FR"/>
        </w:rPr>
        <w:t>’</w:t>
      </w:r>
      <w:r w:rsidRPr="00AF51EA">
        <w:rPr>
          <w:lang w:val="fr-FR"/>
        </w:rPr>
        <w:t>un choix », faisant valoir que R</w:t>
      </w:r>
      <w:r w:rsidR="002A026E" w:rsidRPr="00AF51EA">
        <w:rPr>
          <w:lang w:val="fr-FR"/>
        </w:rPr>
        <w:t>.</w:t>
      </w:r>
      <w:r w:rsidRPr="00AF51EA">
        <w:rPr>
          <w:lang w:val="fr-FR"/>
        </w:rPr>
        <w:t xml:space="preserve"> n</w:t>
      </w:r>
      <w:r w:rsidR="00AB516D" w:rsidRPr="00AF51EA">
        <w:rPr>
          <w:lang w:val="fr-FR"/>
        </w:rPr>
        <w:t>’</w:t>
      </w:r>
      <w:r w:rsidRPr="00AF51EA">
        <w:rPr>
          <w:lang w:val="fr-FR"/>
        </w:rPr>
        <w:t>était manifestement pas en mesure de faire des choix dans ce domaine</w:t>
      </w:r>
      <w:r w:rsidR="002A026E" w:rsidRPr="00AF51EA">
        <w:rPr>
          <w:lang w:val="fr-FR"/>
        </w:rPr>
        <w:t>.</w:t>
      </w:r>
      <w:r w:rsidRPr="00AF51EA">
        <w:rPr>
          <w:lang w:val="fr-FR"/>
        </w:rPr>
        <w:t xml:space="preserve"> Les auteurs contestent en outre les décisions de la Caisse de sécurité sociale ainsi que l</w:t>
      </w:r>
      <w:r w:rsidR="00AB516D" w:rsidRPr="00AF51EA">
        <w:rPr>
          <w:lang w:val="fr-FR"/>
        </w:rPr>
        <w:t>’</w:t>
      </w:r>
      <w:r w:rsidRPr="00AF51EA">
        <w:rPr>
          <w:lang w:val="fr-FR"/>
        </w:rPr>
        <w:t>idée qui sous-tend les conclusions des tribunaux, à savoir que les droits de l</w:t>
      </w:r>
      <w:r w:rsidR="00AB516D" w:rsidRPr="00AF51EA">
        <w:rPr>
          <w:lang w:val="fr-FR"/>
        </w:rPr>
        <w:t>’</w:t>
      </w:r>
      <w:r w:rsidRPr="00AF51EA">
        <w:rPr>
          <w:lang w:val="fr-FR"/>
        </w:rPr>
        <w:t>enfant, y compris ceux qui sont consacrés par la Convention relative aux droits de l</w:t>
      </w:r>
      <w:r w:rsidR="00AB516D" w:rsidRPr="00AF51EA">
        <w:rPr>
          <w:lang w:val="fr-FR"/>
        </w:rPr>
        <w:t>’</w:t>
      </w:r>
      <w:r w:rsidRPr="00AF51EA">
        <w:rPr>
          <w:lang w:val="fr-FR"/>
        </w:rPr>
        <w:t>enfant, sont dénués de pertinence en l</w:t>
      </w:r>
      <w:r w:rsidR="00AB516D" w:rsidRPr="00AF51EA">
        <w:rPr>
          <w:lang w:val="fr-FR"/>
        </w:rPr>
        <w:t>’</w:t>
      </w:r>
      <w:r w:rsidRPr="00AF51EA">
        <w:rPr>
          <w:lang w:val="fr-FR"/>
        </w:rPr>
        <w:t>espèce</w:t>
      </w:r>
      <w:r w:rsidRPr="00AF51EA">
        <w:rPr>
          <w:rStyle w:val="Appelnotedebasdep"/>
        </w:rPr>
        <w:footnoteReference w:id="29"/>
      </w:r>
      <w:r w:rsidR="002A026E" w:rsidRPr="00AF51EA">
        <w:rPr>
          <w:lang w:val="fr-FR"/>
        </w:rPr>
        <w:t>.</w:t>
      </w:r>
      <w:r w:rsidRPr="00AF51EA">
        <w:rPr>
          <w:lang w:val="fr-FR"/>
        </w:rPr>
        <w:t xml:space="preserve"> Ils relèvent en outre des incohérences dans la jurisprudence de la Cour suprême qui, dans un arrêt rendu le 21 septembre 2012</w:t>
      </w:r>
      <w:r w:rsidRPr="00AF51EA">
        <w:rPr>
          <w:rStyle w:val="Appelnotedebasdep"/>
        </w:rPr>
        <w:footnoteReference w:id="30"/>
      </w:r>
      <w:r w:rsidRPr="00AF51EA">
        <w:rPr>
          <w:lang w:val="fr-FR"/>
        </w:rPr>
        <w:t>, a considéré que l</w:t>
      </w:r>
      <w:r w:rsidR="00AB516D" w:rsidRPr="00AF51EA">
        <w:rPr>
          <w:lang w:val="fr-FR"/>
        </w:rPr>
        <w:t>’</w:t>
      </w:r>
      <w:r w:rsidRPr="00AF51EA">
        <w:rPr>
          <w:lang w:val="fr-FR"/>
        </w:rPr>
        <w:t>État était tenu en vertu du droit international de pourvoir aux besoins fondamentaux des enfants dont les parents n</w:t>
      </w:r>
      <w:r w:rsidR="00AB516D" w:rsidRPr="00AF51EA">
        <w:rPr>
          <w:lang w:val="fr-FR"/>
        </w:rPr>
        <w:t>’</w:t>
      </w:r>
      <w:r w:rsidRPr="00AF51EA">
        <w:rPr>
          <w:lang w:val="fr-FR"/>
        </w:rPr>
        <w:t>étaient pas en mesure d</w:t>
      </w:r>
      <w:r w:rsidR="00AB516D" w:rsidRPr="00AF51EA">
        <w:rPr>
          <w:lang w:val="fr-FR"/>
        </w:rPr>
        <w:t>’</w:t>
      </w:r>
      <w:r w:rsidRPr="00AF51EA">
        <w:rPr>
          <w:lang w:val="fr-FR"/>
        </w:rPr>
        <w:t>assurer la subsistance</w:t>
      </w:r>
      <w:r w:rsidRPr="00AF51EA">
        <w:rPr>
          <w:rStyle w:val="Appelnotedebasdep"/>
        </w:rPr>
        <w:footnoteReference w:id="31"/>
      </w:r>
      <w:r w:rsidR="002A026E" w:rsidRPr="00AF51EA">
        <w:rPr>
          <w:lang w:val="fr-FR"/>
        </w:rPr>
        <w:t>.</w:t>
      </w:r>
      <w:r w:rsidRPr="00AF51EA">
        <w:rPr>
          <w:lang w:val="fr-FR"/>
        </w:rPr>
        <w:t xml:space="preserve"> </w:t>
      </w:r>
    </w:p>
    <w:p w14:paraId="637E3B42" w14:textId="77777777" w:rsidR="00E42A05" w:rsidRPr="00AF51EA" w:rsidRDefault="00E42A05" w:rsidP="00E42A05">
      <w:pPr>
        <w:pStyle w:val="SingleTxtG"/>
        <w:rPr>
          <w:lang w:val="fr-FR"/>
        </w:rPr>
      </w:pPr>
      <w:r w:rsidRPr="00AF51EA">
        <w:rPr>
          <w:lang w:val="fr-FR"/>
        </w:rPr>
        <w:t>3</w:t>
      </w:r>
      <w:r w:rsidR="002A026E" w:rsidRPr="00AF51EA">
        <w:rPr>
          <w:lang w:val="fr-FR"/>
        </w:rPr>
        <w:t>.</w:t>
      </w:r>
      <w:r w:rsidRPr="00AF51EA">
        <w:rPr>
          <w:lang w:val="fr-FR"/>
        </w:rPr>
        <w:t>8</w:t>
      </w:r>
      <w:r w:rsidRPr="00AF51EA">
        <w:rPr>
          <w:lang w:val="fr-FR"/>
        </w:rPr>
        <w:tab/>
        <w:t>Renvoyant au rapport établi par le Commissaire aux droits de l</w:t>
      </w:r>
      <w:r w:rsidR="00AB516D" w:rsidRPr="00AF51EA">
        <w:rPr>
          <w:lang w:val="fr-FR"/>
        </w:rPr>
        <w:t>’</w:t>
      </w:r>
      <w:r w:rsidRPr="00AF51EA">
        <w:rPr>
          <w:lang w:val="fr-FR"/>
        </w:rPr>
        <w:t>homme du Conseil de l</w:t>
      </w:r>
      <w:r w:rsidR="00AB516D" w:rsidRPr="00AF51EA">
        <w:rPr>
          <w:lang w:val="fr-FR"/>
        </w:rPr>
        <w:t>’</w:t>
      </w:r>
      <w:r w:rsidRPr="00AF51EA">
        <w:rPr>
          <w:lang w:val="fr-FR"/>
        </w:rPr>
        <w:t>Europe sur la visite qu</w:t>
      </w:r>
      <w:r w:rsidR="00AB516D" w:rsidRPr="00AF51EA">
        <w:rPr>
          <w:lang w:val="fr-FR"/>
        </w:rPr>
        <w:t>’</w:t>
      </w:r>
      <w:r w:rsidRPr="00AF51EA">
        <w:rPr>
          <w:lang w:val="fr-FR"/>
        </w:rPr>
        <w:t>il a effectuée aux Pays-Bas du 20 au 22 mai 2014</w:t>
      </w:r>
      <w:r w:rsidRPr="00AF51EA">
        <w:rPr>
          <w:rStyle w:val="Appelnotedebasdep"/>
        </w:rPr>
        <w:footnoteReference w:id="32"/>
      </w:r>
      <w:r w:rsidRPr="00AF51EA">
        <w:rPr>
          <w:lang w:val="fr-FR"/>
        </w:rPr>
        <w:t>, les auteurs soulignent que, lorsqu</w:t>
      </w:r>
      <w:r w:rsidR="00AB516D" w:rsidRPr="00AF51EA">
        <w:rPr>
          <w:lang w:val="fr-FR"/>
        </w:rPr>
        <w:t>’</w:t>
      </w:r>
      <w:r w:rsidRPr="00AF51EA">
        <w:rPr>
          <w:lang w:val="fr-FR"/>
        </w:rPr>
        <w:t>il doit se prononcer sur l</w:t>
      </w:r>
      <w:r w:rsidR="00AB516D" w:rsidRPr="00AF51EA">
        <w:rPr>
          <w:lang w:val="fr-FR"/>
        </w:rPr>
        <w:t>’</w:t>
      </w:r>
      <w:r w:rsidRPr="00AF51EA">
        <w:rPr>
          <w:lang w:val="fr-FR"/>
        </w:rPr>
        <w:t>octroi d</w:t>
      </w:r>
      <w:r w:rsidR="00AB516D" w:rsidRPr="00AF51EA">
        <w:rPr>
          <w:lang w:val="fr-FR"/>
        </w:rPr>
        <w:t>’</w:t>
      </w:r>
      <w:r w:rsidRPr="00AF51EA">
        <w:rPr>
          <w:lang w:val="fr-FR"/>
        </w:rPr>
        <w:t>un permis de séjour aux enfants d</w:t>
      </w:r>
      <w:r w:rsidR="00AB516D" w:rsidRPr="00AF51EA">
        <w:rPr>
          <w:lang w:val="fr-FR"/>
        </w:rPr>
        <w:t>’</w:t>
      </w:r>
      <w:r w:rsidRPr="00AF51EA">
        <w:rPr>
          <w:lang w:val="fr-FR"/>
        </w:rPr>
        <w:t>une famille d</w:t>
      </w:r>
      <w:r w:rsidR="00AB516D" w:rsidRPr="00AF51EA">
        <w:rPr>
          <w:lang w:val="fr-FR"/>
        </w:rPr>
        <w:t>’</w:t>
      </w:r>
      <w:r w:rsidRPr="00AF51EA">
        <w:rPr>
          <w:lang w:val="fr-FR"/>
        </w:rPr>
        <w:t>immigrés en situation irrégulière, l</w:t>
      </w:r>
      <w:r w:rsidR="00AB516D" w:rsidRPr="00AF51EA">
        <w:rPr>
          <w:lang w:val="fr-FR"/>
        </w:rPr>
        <w:t>’</w:t>
      </w:r>
      <w:r w:rsidRPr="00AF51EA">
        <w:rPr>
          <w:lang w:val="fr-FR"/>
        </w:rPr>
        <w:t>État partie devrait tenir compte au premier chef de l</w:t>
      </w:r>
      <w:r w:rsidR="00AB516D" w:rsidRPr="00AF51EA">
        <w:rPr>
          <w:lang w:val="fr-FR"/>
        </w:rPr>
        <w:t>’</w:t>
      </w:r>
      <w:r w:rsidRPr="00AF51EA">
        <w:rPr>
          <w:lang w:val="fr-FR"/>
        </w:rPr>
        <w:t>intérêt supérieur de l</w:t>
      </w:r>
      <w:r w:rsidR="00AB516D" w:rsidRPr="00AF51EA">
        <w:rPr>
          <w:lang w:val="fr-FR"/>
        </w:rPr>
        <w:t>’</w:t>
      </w:r>
      <w:r w:rsidRPr="00AF51EA">
        <w:rPr>
          <w:lang w:val="fr-FR"/>
        </w:rPr>
        <w:t>enfant</w:t>
      </w:r>
      <w:r w:rsidR="002A026E" w:rsidRPr="00AF51EA">
        <w:rPr>
          <w:lang w:val="fr-FR"/>
        </w:rPr>
        <w:t>.</w:t>
      </w:r>
      <w:r w:rsidRPr="00AF51EA">
        <w:rPr>
          <w:lang w:val="fr-FR"/>
        </w:rPr>
        <w:t xml:space="preserve"> En outre, il devrait considérer que le fait qu</w:t>
      </w:r>
      <w:r w:rsidR="00AB516D" w:rsidRPr="00AF51EA">
        <w:rPr>
          <w:lang w:val="fr-FR"/>
        </w:rPr>
        <w:t>’</w:t>
      </w:r>
      <w:r w:rsidRPr="00AF51EA">
        <w:rPr>
          <w:lang w:val="fr-FR"/>
        </w:rPr>
        <w:t>un enfant vit depuis longtemps dans le pays est un motif de lui accorder un permis de séjour</w:t>
      </w:r>
      <w:r w:rsidR="002A026E" w:rsidRPr="00AF51EA">
        <w:rPr>
          <w:lang w:val="fr-FR"/>
        </w:rPr>
        <w:t>.</w:t>
      </w:r>
      <w:r w:rsidRPr="00AF51EA">
        <w:rPr>
          <w:lang w:val="fr-FR"/>
        </w:rPr>
        <w:t xml:space="preserve"> Bien que le rapport du Commissaire aux droits de l</w:t>
      </w:r>
      <w:r w:rsidR="00AB516D" w:rsidRPr="00AF51EA">
        <w:rPr>
          <w:lang w:val="fr-FR"/>
        </w:rPr>
        <w:t>’</w:t>
      </w:r>
      <w:r w:rsidRPr="00AF51EA">
        <w:rPr>
          <w:lang w:val="fr-FR"/>
        </w:rPr>
        <w:t>homme traite de l</w:t>
      </w:r>
      <w:r w:rsidR="00AB516D" w:rsidRPr="00AF51EA">
        <w:rPr>
          <w:lang w:val="fr-FR"/>
        </w:rPr>
        <w:t>’</w:t>
      </w:r>
      <w:r w:rsidRPr="00AF51EA">
        <w:rPr>
          <w:lang w:val="fr-FR"/>
        </w:rPr>
        <w:t>octroi de permis de séjour, les auteurs estiment que les principes dégagés à ce sujet valent également pour l</w:t>
      </w:r>
      <w:r w:rsidR="00AB516D" w:rsidRPr="00AF51EA">
        <w:rPr>
          <w:lang w:val="fr-FR"/>
        </w:rPr>
        <w:t>’</w:t>
      </w:r>
      <w:r w:rsidRPr="00AF51EA">
        <w:rPr>
          <w:lang w:val="fr-FR"/>
        </w:rPr>
        <w:t>octroi de l</w:t>
      </w:r>
      <w:r w:rsidR="00AB516D" w:rsidRPr="00AF51EA">
        <w:rPr>
          <w:lang w:val="fr-FR"/>
        </w:rPr>
        <w:t>’</w:t>
      </w:r>
      <w:r w:rsidRPr="00AF51EA">
        <w:rPr>
          <w:lang w:val="fr-FR"/>
        </w:rPr>
        <w:t>allocation de base pour enfant à charge</w:t>
      </w:r>
      <w:r w:rsidR="002A026E" w:rsidRPr="00AF51EA">
        <w:rPr>
          <w:lang w:val="fr-FR"/>
        </w:rPr>
        <w:t>.</w:t>
      </w:r>
      <w:r w:rsidRPr="00AF51EA">
        <w:rPr>
          <w:lang w:val="fr-FR"/>
        </w:rPr>
        <w:t xml:space="preserve"> Ils renvoient à une décision adoptée en 2014 par le Comité européen des droits sociaux dans laquelle cet organe a conclu que les Pays-Bas avaient violé les obligations internationales qui leur incombent de faire en sorte que leurs résidents, y compris ceux qui n</w:t>
      </w:r>
      <w:r w:rsidR="00AB516D" w:rsidRPr="00AF51EA">
        <w:rPr>
          <w:lang w:val="fr-FR"/>
        </w:rPr>
        <w:t>’</w:t>
      </w:r>
      <w:r w:rsidRPr="00AF51EA">
        <w:rPr>
          <w:lang w:val="fr-FR"/>
        </w:rPr>
        <w:t>ont pas de permis de séjour valable, aient de quoi se nourrir, se vêtir et se loger</w:t>
      </w:r>
      <w:r w:rsidRPr="00AF51EA">
        <w:rPr>
          <w:rStyle w:val="Appelnotedebasdep"/>
        </w:rPr>
        <w:footnoteReference w:id="33"/>
      </w:r>
      <w:r w:rsidR="002A026E" w:rsidRPr="00AF51EA">
        <w:rPr>
          <w:lang w:val="fr-FR"/>
        </w:rPr>
        <w:t>.</w:t>
      </w:r>
      <w:r w:rsidRPr="00AF51EA">
        <w:rPr>
          <w:lang w:val="fr-FR"/>
        </w:rPr>
        <w:t xml:space="preserve"> De cette décision, les auteurs déduisent qu</w:t>
      </w:r>
      <w:r w:rsidR="00AB516D" w:rsidRPr="00AF51EA">
        <w:rPr>
          <w:lang w:val="fr-FR"/>
        </w:rPr>
        <w:t>’</w:t>
      </w:r>
      <w:r w:rsidRPr="00AF51EA">
        <w:rPr>
          <w:lang w:val="fr-FR"/>
        </w:rPr>
        <w:t xml:space="preserve">ils </w:t>
      </w:r>
      <w:r w:rsidRPr="00AF51EA">
        <w:rPr>
          <w:lang w:val="fr-FR"/>
        </w:rPr>
        <w:lastRenderedPageBreak/>
        <w:t>ont droit à un revenu minimum de subsistance en vertu du droit de l</w:t>
      </w:r>
      <w:r w:rsidR="00AB516D" w:rsidRPr="00AF51EA">
        <w:rPr>
          <w:lang w:val="fr-FR"/>
        </w:rPr>
        <w:t>’</w:t>
      </w:r>
      <w:r w:rsidRPr="00AF51EA">
        <w:rPr>
          <w:lang w:val="fr-FR"/>
        </w:rPr>
        <w:t>Union européenne et du droit international</w:t>
      </w:r>
      <w:r w:rsidR="002A026E" w:rsidRPr="00AF51EA">
        <w:rPr>
          <w:lang w:val="fr-FR"/>
        </w:rPr>
        <w:t>.</w:t>
      </w:r>
      <w:r w:rsidRPr="00AF51EA">
        <w:rPr>
          <w:lang w:val="fr-FR"/>
        </w:rPr>
        <w:t xml:space="preserve"> </w:t>
      </w:r>
    </w:p>
    <w:p w14:paraId="7CB44A55" w14:textId="77777777" w:rsidR="00E42A05" w:rsidRPr="00AF51EA" w:rsidRDefault="00E42A05" w:rsidP="00E42A05">
      <w:pPr>
        <w:pStyle w:val="H23G"/>
        <w:rPr>
          <w:lang w:val="fr-FR"/>
        </w:rPr>
      </w:pPr>
      <w:r w:rsidRPr="00AF51EA">
        <w:rPr>
          <w:lang w:val="fr-FR"/>
        </w:rPr>
        <w:tab/>
      </w:r>
      <w:r w:rsidRPr="00AF51EA">
        <w:rPr>
          <w:lang w:val="fr-FR"/>
        </w:rPr>
        <w:tab/>
        <w:t>Observations de l</w:t>
      </w:r>
      <w:r w:rsidR="00AB516D" w:rsidRPr="00AF51EA">
        <w:rPr>
          <w:lang w:val="fr-FR"/>
        </w:rPr>
        <w:t>’</w:t>
      </w:r>
      <w:r w:rsidRPr="00AF51EA">
        <w:rPr>
          <w:lang w:val="fr-FR"/>
        </w:rPr>
        <w:t xml:space="preserve">État partie sur la recevabilité et le fond </w:t>
      </w:r>
    </w:p>
    <w:p w14:paraId="2B94ACA5" w14:textId="77777777" w:rsidR="00E42A05" w:rsidRPr="00AF51EA" w:rsidRDefault="00E42A05" w:rsidP="002D74A5">
      <w:pPr>
        <w:pStyle w:val="SingleTxtG"/>
        <w:rPr>
          <w:lang w:val="fr-FR"/>
        </w:rPr>
      </w:pPr>
      <w:r w:rsidRPr="00AF51EA">
        <w:rPr>
          <w:lang w:val="fr-FR"/>
        </w:rPr>
        <w:t>4.1</w:t>
      </w:r>
      <w:r w:rsidRPr="00AF51EA">
        <w:rPr>
          <w:lang w:val="fr-FR"/>
        </w:rPr>
        <w:tab/>
        <w:t>Le 10 juillet 2015, l</w:t>
      </w:r>
      <w:r w:rsidR="00AB516D" w:rsidRPr="00AF51EA">
        <w:rPr>
          <w:lang w:val="fr-FR"/>
        </w:rPr>
        <w:t>’</w:t>
      </w:r>
      <w:r w:rsidRPr="00AF51EA">
        <w:rPr>
          <w:lang w:val="fr-FR"/>
        </w:rPr>
        <w:t xml:space="preserve">État partie a présenté ses observations sur la recevabilité et le fond de la communication. </w:t>
      </w:r>
    </w:p>
    <w:p w14:paraId="01B002E6" w14:textId="77777777" w:rsidR="00E42A05" w:rsidRPr="00AF51EA" w:rsidRDefault="00E42A05" w:rsidP="00E42A05">
      <w:pPr>
        <w:pStyle w:val="SingleTxtG"/>
        <w:rPr>
          <w:lang w:val="fr-FR"/>
        </w:rPr>
      </w:pPr>
      <w:r w:rsidRPr="00AF51EA">
        <w:rPr>
          <w:lang w:val="fr-FR"/>
        </w:rPr>
        <w:t>4</w:t>
      </w:r>
      <w:r w:rsidR="002A026E" w:rsidRPr="00AF51EA">
        <w:rPr>
          <w:lang w:val="fr-FR"/>
        </w:rPr>
        <w:t>.</w:t>
      </w:r>
      <w:r w:rsidRPr="00AF51EA">
        <w:rPr>
          <w:lang w:val="fr-FR"/>
        </w:rPr>
        <w:t>2</w:t>
      </w:r>
      <w:r w:rsidRPr="00AF51EA">
        <w:rPr>
          <w:lang w:val="fr-FR"/>
        </w:rPr>
        <w:tab/>
        <w:t>L</w:t>
      </w:r>
      <w:r w:rsidR="00AB516D" w:rsidRPr="00AF51EA">
        <w:rPr>
          <w:lang w:val="fr-FR"/>
        </w:rPr>
        <w:t>’</w:t>
      </w:r>
      <w:r w:rsidRPr="00AF51EA">
        <w:rPr>
          <w:lang w:val="fr-FR"/>
        </w:rPr>
        <w:t>État partie décrit les dispositions juridiques et les politiques pertinentes, dont la loi sur l</w:t>
      </w:r>
      <w:r w:rsidR="00AB516D" w:rsidRPr="00AF51EA">
        <w:rPr>
          <w:lang w:val="fr-FR"/>
        </w:rPr>
        <w:t>’</w:t>
      </w:r>
      <w:r w:rsidRPr="00AF51EA">
        <w:rPr>
          <w:lang w:val="fr-FR"/>
        </w:rPr>
        <w:t>allocation de base pour enfant à charge, la loi sur les étrangers et la loi d</w:t>
      </w:r>
      <w:r w:rsidR="00AB516D" w:rsidRPr="00AF51EA">
        <w:rPr>
          <w:lang w:val="fr-FR"/>
        </w:rPr>
        <w:t>’</w:t>
      </w:r>
      <w:r w:rsidRPr="00AF51EA">
        <w:rPr>
          <w:lang w:val="fr-FR"/>
        </w:rPr>
        <w:t>interconnexion</w:t>
      </w:r>
      <w:r w:rsidR="002A026E" w:rsidRPr="00AF51EA">
        <w:rPr>
          <w:lang w:val="fr-FR"/>
        </w:rPr>
        <w:t>.</w:t>
      </w:r>
      <w:r w:rsidRPr="00AF51EA">
        <w:rPr>
          <w:lang w:val="fr-FR"/>
        </w:rPr>
        <w:t xml:space="preserve"> S</w:t>
      </w:r>
      <w:r w:rsidR="00AB516D" w:rsidRPr="00AF51EA">
        <w:rPr>
          <w:lang w:val="fr-FR"/>
        </w:rPr>
        <w:t>’</w:t>
      </w:r>
      <w:r w:rsidRPr="00AF51EA">
        <w:rPr>
          <w:lang w:val="fr-FR"/>
        </w:rPr>
        <w:t>agissant de la loi sur l</w:t>
      </w:r>
      <w:r w:rsidR="00AB516D" w:rsidRPr="00AF51EA">
        <w:rPr>
          <w:lang w:val="fr-FR"/>
        </w:rPr>
        <w:t>’</w:t>
      </w:r>
      <w:r w:rsidRPr="00AF51EA">
        <w:rPr>
          <w:lang w:val="fr-FR"/>
        </w:rPr>
        <w:t>allocation de base pour enfant à charge, l</w:t>
      </w:r>
      <w:r w:rsidR="00AB516D" w:rsidRPr="00AF51EA">
        <w:rPr>
          <w:lang w:val="fr-FR"/>
        </w:rPr>
        <w:t>’</w:t>
      </w:r>
      <w:r w:rsidRPr="00AF51EA">
        <w:rPr>
          <w:lang w:val="fr-FR"/>
        </w:rPr>
        <w:t>État partie indique que cette prestation a été mise en place pour aider les parents qui élèvent des enfants et qu</w:t>
      </w:r>
      <w:r w:rsidR="00AB516D" w:rsidRPr="00AF51EA">
        <w:rPr>
          <w:lang w:val="fr-FR"/>
        </w:rPr>
        <w:t>’</w:t>
      </w:r>
      <w:r w:rsidRPr="00AF51EA">
        <w:rPr>
          <w:lang w:val="fr-FR"/>
        </w:rPr>
        <w:t>en conséquence, il s</w:t>
      </w:r>
      <w:r w:rsidR="00AB516D" w:rsidRPr="00AF51EA">
        <w:rPr>
          <w:lang w:val="fr-FR"/>
        </w:rPr>
        <w:t>’</w:t>
      </w:r>
      <w:r w:rsidRPr="00AF51EA">
        <w:rPr>
          <w:lang w:val="fr-FR"/>
        </w:rPr>
        <w:t>agit d</w:t>
      </w:r>
      <w:r w:rsidR="00AB516D" w:rsidRPr="00AF51EA">
        <w:rPr>
          <w:lang w:val="fr-FR"/>
        </w:rPr>
        <w:t>’</w:t>
      </w:r>
      <w:r w:rsidRPr="00AF51EA">
        <w:rPr>
          <w:lang w:val="fr-FR"/>
        </w:rPr>
        <w:t>une prestation servie aux parents, non aux enfants</w:t>
      </w:r>
      <w:r w:rsidR="002A026E" w:rsidRPr="00AF51EA">
        <w:rPr>
          <w:lang w:val="fr-FR"/>
        </w:rPr>
        <w:t>.</w:t>
      </w:r>
      <w:r w:rsidRPr="00AF51EA">
        <w:rPr>
          <w:lang w:val="fr-FR"/>
        </w:rPr>
        <w:t xml:space="preserve"> Il souligne que cette allocation n</w:t>
      </w:r>
      <w:r w:rsidR="00AB516D" w:rsidRPr="00AF51EA">
        <w:rPr>
          <w:lang w:val="fr-FR"/>
        </w:rPr>
        <w:t>’</w:t>
      </w:r>
      <w:r w:rsidRPr="00AF51EA">
        <w:rPr>
          <w:lang w:val="fr-FR"/>
        </w:rPr>
        <w:t>est pas censée faire office de « complément de revenu »</w:t>
      </w:r>
      <w:r w:rsidR="002A026E" w:rsidRPr="00AF51EA">
        <w:rPr>
          <w:lang w:val="fr-FR"/>
        </w:rPr>
        <w:t>.</w:t>
      </w:r>
      <w:r w:rsidRPr="00AF51EA">
        <w:rPr>
          <w:lang w:val="fr-FR"/>
        </w:rPr>
        <w:t xml:space="preserve"> Il précise en outre que si l</w:t>
      </w:r>
      <w:r w:rsidR="00AB516D" w:rsidRPr="00AF51EA">
        <w:rPr>
          <w:lang w:val="fr-FR"/>
        </w:rPr>
        <w:t>’</w:t>
      </w:r>
      <w:r w:rsidRPr="00AF51EA">
        <w:rPr>
          <w:lang w:val="fr-FR"/>
        </w:rPr>
        <w:t>un des principes fondamentaux de la loi sur l</w:t>
      </w:r>
      <w:r w:rsidR="00AB516D" w:rsidRPr="00AF51EA">
        <w:rPr>
          <w:lang w:val="fr-FR"/>
        </w:rPr>
        <w:t>’</w:t>
      </w:r>
      <w:r w:rsidRPr="00AF51EA">
        <w:rPr>
          <w:lang w:val="fr-FR"/>
        </w:rPr>
        <w:t>allocation de base pour enfant à charge est que toute personne vivant aux Pays-Bas est assurée, les étrangers qui n</w:t>
      </w:r>
      <w:r w:rsidR="00AB516D" w:rsidRPr="00AF51EA">
        <w:rPr>
          <w:lang w:val="fr-FR"/>
        </w:rPr>
        <w:t>’</w:t>
      </w:r>
      <w:r w:rsidRPr="00AF51EA">
        <w:rPr>
          <w:lang w:val="fr-FR"/>
        </w:rPr>
        <w:t>ont pas été « admis » dans le pays ne sont pas assurés</w:t>
      </w:r>
      <w:r w:rsidR="002A026E" w:rsidRPr="00AF51EA">
        <w:rPr>
          <w:lang w:val="fr-FR"/>
        </w:rPr>
        <w:t>.</w:t>
      </w:r>
      <w:r w:rsidRPr="00AF51EA">
        <w:rPr>
          <w:lang w:val="fr-FR"/>
        </w:rPr>
        <w:t xml:space="preserve"> Cette exception découle du principe selon lequel le droit aux prestations sociales dépend de la situation au regard de la législation sur le séjour, qui est énoncé dans la loi d</w:t>
      </w:r>
      <w:r w:rsidR="00AB516D" w:rsidRPr="00AF51EA">
        <w:rPr>
          <w:lang w:val="fr-FR"/>
        </w:rPr>
        <w:t>’</w:t>
      </w:r>
      <w:r w:rsidRPr="00AF51EA">
        <w:rPr>
          <w:lang w:val="fr-FR"/>
        </w:rPr>
        <w:t>interconnexion, le but étant de mettre fin à une situation dans laquelle de nombreux étrangers en situation irrégulière parvenaient à prolonger leur séjour de facto aux Pays-Bas, notamment en faisant valoir un droit à des prestations sociales</w:t>
      </w:r>
      <w:r w:rsidR="002A026E" w:rsidRPr="00AF51EA">
        <w:rPr>
          <w:lang w:val="fr-FR"/>
        </w:rPr>
        <w:t>.</w:t>
      </w:r>
      <w:r w:rsidRPr="00AF51EA">
        <w:rPr>
          <w:lang w:val="fr-FR"/>
        </w:rPr>
        <w:t xml:space="preserve"> Ce texte consacre un principe fondamental, à savoir qu</w:t>
      </w:r>
      <w:r w:rsidR="00AB516D" w:rsidRPr="00AF51EA">
        <w:rPr>
          <w:lang w:val="fr-FR"/>
        </w:rPr>
        <w:t>’</w:t>
      </w:r>
      <w:r w:rsidRPr="00AF51EA">
        <w:rPr>
          <w:lang w:val="fr-FR"/>
        </w:rPr>
        <w:t>un étranger qui n</w:t>
      </w:r>
      <w:r w:rsidR="00AB516D" w:rsidRPr="00AF51EA">
        <w:rPr>
          <w:lang w:val="fr-FR"/>
        </w:rPr>
        <w:t>’</w:t>
      </w:r>
      <w:r w:rsidRPr="00AF51EA">
        <w:rPr>
          <w:lang w:val="fr-FR"/>
        </w:rPr>
        <w:t>est pas titulaire d</w:t>
      </w:r>
      <w:r w:rsidR="00AB516D" w:rsidRPr="00AF51EA">
        <w:rPr>
          <w:lang w:val="fr-FR"/>
        </w:rPr>
        <w:t>’</w:t>
      </w:r>
      <w:r w:rsidRPr="00AF51EA">
        <w:rPr>
          <w:lang w:val="fr-FR"/>
        </w:rPr>
        <w:t>un « permis de séjour inconditionnel » ne peut prétendre à ces prestations</w:t>
      </w:r>
      <w:r w:rsidR="002A026E" w:rsidRPr="00AF51EA">
        <w:rPr>
          <w:lang w:val="fr-FR"/>
        </w:rPr>
        <w:t>.</w:t>
      </w:r>
      <w:r w:rsidRPr="00AF51EA">
        <w:rPr>
          <w:lang w:val="fr-FR"/>
        </w:rPr>
        <w:t xml:space="preserve"> En conséquence, un étranger qui n</w:t>
      </w:r>
      <w:r w:rsidR="00AB516D" w:rsidRPr="00AF51EA">
        <w:rPr>
          <w:lang w:val="fr-FR"/>
        </w:rPr>
        <w:t>’</w:t>
      </w:r>
      <w:r w:rsidRPr="00AF51EA">
        <w:rPr>
          <w:lang w:val="fr-FR"/>
        </w:rPr>
        <w:t>a obtenu qu</w:t>
      </w:r>
      <w:r w:rsidR="00AB516D" w:rsidRPr="00AF51EA">
        <w:rPr>
          <w:lang w:val="fr-FR"/>
        </w:rPr>
        <w:t>’</w:t>
      </w:r>
      <w:r w:rsidRPr="00AF51EA">
        <w:rPr>
          <w:lang w:val="fr-FR"/>
        </w:rPr>
        <w:t>une autorisation de séjour temporaire dans l</w:t>
      </w:r>
      <w:r w:rsidR="00AB516D" w:rsidRPr="00AF51EA">
        <w:rPr>
          <w:lang w:val="fr-FR"/>
        </w:rPr>
        <w:t>’</w:t>
      </w:r>
      <w:r w:rsidRPr="00AF51EA">
        <w:rPr>
          <w:lang w:val="fr-FR"/>
        </w:rPr>
        <w:t>État partie n</w:t>
      </w:r>
      <w:r w:rsidR="00AB516D" w:rsidRPr="00AF51EA">
        <w:rPr>
          <w:lang w:val="fr-FR"/>
        </w:rPr>
        <w:t>’</w:t>
      </w:r>
      <w:r w:rsidRPr="00AF51EA">
        <w:rPr>
          <w:lang w:val="fr-FR"/>
        </w:rPr>
        <w:t>a pas droit à des prestations sociales</w:t>
      </w:r>
      <w:r w:rsidR="002A026E" w:rsidRPr="00AF51EA">
        <w:rPr>
          <w:lang w:val="fr-FR"/>
        </w:rPr>
        <w:t>.</w:t>
      </w:r>
      <w:r w:rsidRPr="00AF51EA">
        <w:rPr>
          <w:lang w:val="fr-FR"/>
        </w:rPr>
        <w:t xml:space="preserve"> </w:t>
      </w:r>
    </w:p>
    <w:p w14:paraId="586BD392" w14:textId="77777777" w:rsidR="00E42A05" w:rsidRPr="00AF51EA" w:rsidRDefault="00E42A05" w:rsidP="00E42A05">
      <w:pPr>
        <w:pStyle w:val="SingleTxtG"/>
        <w:rPr>
          <w:lang w:val="fr-FR"/>
        </w:rPr>
      </w:pPr>
      <w:r w:rsidRPr="00AF51EA">
        <w:rPr>
          <w:lang w:val="fr-FR"/>
        </w:rPr>
        <w:t>4</w:t>
      </w:r>
      <w:r w:rsidR="002A026E" w:rsidRPr="00AF51EA">
        <w:rPr>
          <w:lang w:val="fr-FR"/>
        </w:rPr>
        <w:t>.</w:t>
      </w:r>
      <w:r w:rsidRPr="00AF51EA">
        <w:rPr>
          <w:lang w:val="fr-FR"/>
        </w:rPr>
        <w:t>3</w:t>
      </w:r>
      <w:r w:rsidRPr="00AF51EA">
        <w:rPr>
          <w:lang w:val="fr-FR"/>
        </w:rPr>
        <w:tab/>
        <w:t>L</w:t>
      </w:r>
      <w:r w:rsidR="00AB516D" w:rsidRPr="00AF51EA">
        <w:rPr>
          <w:lang w:val="fr-FR"/>
        </w:rPr>
        <w:t>’</w:t>
      </w:r>
      <w:r w:rsidRPr="00AF51EA">
        <w:rPr>
          <w:lang w:val="fr-FR"/>
        </w:rPr>
        <w:t>État partie indique que le régime instauré par la loi d</w:t>
      </w:r>
      <w:r w:rsidR="00AB516D" w:rsidRPr="00AF51EA">
        <w:rPr>
          <w:lang w:val="fr-FR"/>
        </w:rPr>
        <w:t>’</w:t>
      </w:r>
      <w:r w:rsidRPr="00AF51EA">
        <w:rPr>
          <w:lang w:val="fr-FR"/>
        </w:rPr>
        <w:t>interconnexion n</w:t>
      </w:r>
      <w:r w:rsidR="00AB516D" w:rsidRPr="00AF51EA">
        <w:rPr>
          <w:lang w:val="fr-FR"/>
        </w:rPr>
        <w:t>’</w:t>
      </w:r>
      <w:r w:rsidRPr="00AF51EA">
        <w:rPr>
          <w:lang w:val="fr-FR"/>
        </w:rPr>
        <w:t>est pas rigide et qu</w:t>
      </w:r>
      <w:r w:rsidR="00AB516D" w:rsidRPr="00AF51EA">
        <w:rPr>
          <w:lang w:val="fr-FR"/>
        </w:rPr>
        <w:t>’</w:t>
      </w:r>
      <w:r w:rsidRPr="00AF51EA">
        <w:rPr>
          <w:lang w:val="fr-FR"/>
        </w:rPr>
        <w:t>il ne prive pas tous les étrangers qui n</w:t>
      </w:r>
      <w:r w:rsidR="00AB516D" w:rsidRPr="00AF51EA">
        <w:rPr>
          <w:lang w:val="fr-FR"/>
        </w:rPr>
        <w:t>’</w:t>
      </w:r>
      <w:r w:rsidRPr="00AF51EA">
        <w:rPr>
          <w:lang w:val="fr-FR"/>
        </w:rPr>
        <w:t>ont pas été admis dans le pays du droit à des prestations quelle que soit leur situation, et que la loi prévoit des exceptions au principe selon lequel le droit à des prestations dépend du statut au regard de la législation sur le séjour</w:t>
      </w:r>
      <w:r w:rsidR="002A026E" w:rsidRPr="00AF51EA">
        <w:rPr>
          <w:lang w:val="fr-FR"/>
        </w:rPr>
        <w:t>.</w:t>
      </w:r>
      <w:r w:rsidRPr="00AF51EA">
        <w:rPr>
          <w:lang w:val="fr-FR"/>
        </w:rPr>
        <w:t xml:space="preserve"> Premièrement, elle prévoit des exceptions générales dans les domaines de l</w:t>
      </w:r>
      <w:r w:rsidR="00AB516D" w:rsidRPr="00AF51EA">
        <w:rPr>
          <w:lang w:val="fr-FR"/>
        </w:rPr>
        <w:t>’</w:t>
      </w:r>
      <w:r w:rsidRPr="00AF51EA">
        <w:rPr>
          <w:lang w:val="fr-FR"/>
        </w:rPr>
        <w:t>éducation, de la santé et de l</w:t>
      </w:r>
      <w:r w:rsidR="00AB516D" w:rsidRPr="00AF51EA">
        <w:rPr>
          <w:lang w:val="fr-FR"/>
        </w:rPr>
        <w:t>’</w:t>
      </w:r>
      <w:r w:rsidRPr="00AF51EA">
        <w:rPr>
          <w:lang w:val="fr-FR"/>
        </w:rPr>
        <w:t>aide juridictionnelle</w:t>
      </w:r>
      <w:r w:rsidR="002A026E" w:rsidRPr="00AF51EA">
        <w:rPr>
          <w:lang w:val="fr-FR"/>
        </w:rPr>
        <w:t>.</w:t>
      </w:r>
      <w:r w:rsidRPr="00AF51EA">
        <w:rPr>
          <w:lang w:val="fr-FR"/>
        </w:rPr>
        <w:t xml:space="preserve"> Toute personne de moins de 18 ans a accès à l</w:t>
      </w:r>
      <w:r w:rsidR="00AB516D" w:rsidRPr="00AF51EA">
        <w:rPr>
          <w:lang w:val="fr-FR"/>
        </w:rPr>
        <w:t>’</w:t>
      </w:r>
      <w:r w:rsidRPr="00AF51EA">
        <w:rPr>
          <w:lang w:val="fr-FR"/>
        </w:rPr>
        <w:t>éducation quel que soit son statut au regard de la législation relative au séjour, toute personne dont la vie est en danger ou qui représente un danger pour autrui et toute femme enceinte ou parturiente a accès à des soins de santé, et toute personne a droit à l</w:t>
      </w:r>
      <w:r w:rsidR="00AB516D" w:rsidRPr="00AF51EA">
        <w:rPr>
          <w:lang w:val="fr-FR"/>
        </w:rPr>
        <w:t>’</w:t>
      </w:r>
      <w:r w:rsidRPr="00AF51EA">
        <w:rPr>
          <w:lang w:val="fr-FR"/>
        </w:rPr>
        <w:t>aide juridictionnelle</w:t>
      </w:r>
      <w:r w:rsidR="002A026E" w:rsidRPr="00AF51EA">
        <w:rPr>
          <w:lang w:val="fr-FR"/>
        </w:rPr>
        <w:t>.</w:t>
      </w:r>
      <w:r w:rsidRPr="00AF51EA">
        <w:rPr>
          <w:lang w:val="fr-FR"/>
        </w:rPr>
        <w:t xml:space="preserve"> Deuxièmement, la loi prévoit des exceptions pour certaines catégories d</w:t>
      </w:r>
      <w:r w:rsidR="00AB516D" w:rsidRPr="00AF51EA">
        <w:rPr>
          <w:lang w:val="fr-FR"/>
        </w:rPr>
        <w:t>’</w:t>
      </w:r>
      <w:r w:rsidRPr="00AF51EA">
        <w:rPr>
          <w:lang w:val="fr-FR"/>
        </w:rPr>
        <w:t>étrangers : a) les victimes de la traite et les étrangers concernés par une demande de regroupement familial, qui ont droit à l</w:t>
      </w:r>
      <w:r w:rsidR="00AB516D" w:rsidRPr="00AF51EA">
        <w:rPr>
          <w:lang w:val="fr-FR"/>
        </w:rPr>
        <w:t>’</w:t>
      </w:r>
      <w:r w:rsidRPr="00AF51EA">
        <w:rPr>
          <w:lang w:val="fr-FR"/>
        </w:rPr>
        <w:t>aide sociale ; b) les étrangers en attente d</w:t>
      </w:r>
      <w:r w:rsidR="00AB516D" w:rsidRPr="00AF51EA">
        <w:rPr>
          <w:lang w:val="fr-FR"/>
        </w:rPr>
        <w:t>’</w:t>
      </w:r>
      <w:r w:rsidRPr="00AF51EA">
        <w:rPr>
          <w:lang w:val="fr-FR"/>
        </w:rPr>
        <w:t>une décision sur leur demande de permis de séjour, qui peuvent obtenir certaines prestations au titre de dispositions spéciales prévues notamment par l</w:t>
      </w:r>
      <w:r w:rsidR="00AB516D" w:rsidRPr="00AF51EA">
        <w:rPr>
          <w:lang w:val="fr-FR"/>
        </w:rPr>
        <w:t>’</w:t>
      </w:r>
      <w:r w:rsidRPr="00AF51EA">
        <w:rPr>
          <w:lang w:val="fr-FR"/>
        </w:rPr>
        <w:t>ordonnance sur les demandeurs d</w:t>
      </w:r>
      <w:r w:rsidR="00AB516D" w:rsidRPr="00AF51EA">
        <w:rPr>
          <w:lang w:val="fr-FR"/>
        </w:rPr>
        <w:t>’</w:t>
      </w:r>
      <w:r w:rsidRPr="00AF51EA">
        <w:rPr>
          <w:lang w:val="fr-FR"/>
        </w:rPr>
        <w:t>asile et autres catégories d</w:t>
      </w:r>
      <w:r w:rsidR="00AB516D" w:rsidRPr="00AF51EA">
        <w:rPr>
          <w:lang w:val="fr-FR"/>
        </w:rPr>
        <w:t>’</w:t>
      </w:r>
      <w:r w:rsidRPr="00AF51EA">
        <w:rPr>
          <w:lang w:val="fr-FR"/>
        </w:rPr>
        <w:t>étrangers ou l</w:t>
      </w:r>
      <w:r w:rsidR="00AB516D" w:rsidRPr="00AF51EA">
        <w:rPr>
          <w:lang w:val="fr-FR"/>
        </w:rPr>
        <w:t>’</w:t>
      </w:r>
      <w:r w:rsidRPr="00AF51EA">
        <w:rPr>
          <w:lang w:val="fr-FR"/>
        </w:rPr>
        <w:t>ordonnance sur certaines catégories d</w:t>
      </w:r>
      <w:r w:rsidR="00AB516D" w:rsidRPr="00AF51EA">
        <w:rPr>
          <w:lang w:val="fr-FR"/>
        </w:rPr>
        <w:t>’</w:t>
      </w:r>
      <w:r w:rsidRPr="00AF51EA">
        <w:rPr>
          <w:lang w:val="fr-FR"/>
        </w:rPr>
        <w:t>étrangers, même s</w:t>
      </w:r>
      <w:r w:rsidR="00AB516D" w:rsidRPr="00AF51EA">
        <w:rPr>
          <w:lang w:val="fr-FR"/>
        </w:rPr>
        <w:t>’</w:t>
      </w:r>
      <w:r w:rsidRPr="00AF51EA">
        <w:rPr>
          <w:lang w:val="fr-FR"/>
        </w:rPr>
        <w:t>ils n</w:t>
      </w:r>
      <w:r w:rsidR="00AB516D" w:rsidRPr="00AF51EA">
        <w:rPr>
          <w:lang w:val="fr-FR"/>
        </w:rPr>
        <w:t>’</w:t>
      </w:r>
      <w:r w:rsidRPr="00AF51EA">
        <w:rPr>
          <w:lang w:val="fr-FR"/>
        </w:rPr>
        <w:t>ont droit à aucune aide sociale dans le cadre du régime général de sécurité sociale</w:t>
      </w:r>
      <w:r w:rsidR="002A026E" w:rsidRPr="00AF51EA">
        <w:rPr>
          <w:lang w:val="fr-FR"/>
        </w:rPr>
        <w:t>.</w:t>
      </w:r>
      <w:r w:rsidRPr="00AF51EA">
        <w:rPr>
          <w:lang w:val="fr-FR"/>
        </w:rPr>
        <w:t xml:space="preserve"> La première de ces ordonnances prévoit la création de centres d</w:t>
      </w:r>
      <w:r w:rsidR="00AB516D" w:rsidRPr="00AF51EA">
        <w:rPr>
          <w:lang w:val="fr-FR"/>
        </w:rPr>
        <w:t>’</w:t>
      </w:r>
      <w:r w:rsidRPr="00AF51EA">
        <w:rPr>
          <w:lang w:val="fr-FR"/>
        </w:rPr>
        <w:t>accueil et l</w:t>
      </w:r>
      <w:r w:rsidR="00AB516D" w:rsidRPr="00AF51EA">
        <w:rPr>
          <w:lang w:val="fr-FR"/>
        </w:rPr>
        <w:t>’</w:t>
      </w:r>
      <w:r w:rsidRPr="00AF51EA">
        <w:rPr>
          <w:lang w:val="fr-FR"/>
        </w:rPr>
        <w:t>octroi d</w:t>
      </w:r>
      <w:r w:rsidR="00AB516D" w:rsidRPr="00AF51EA">
        <w:rPr>
          <w:lang w:val="fr-FR"/>
        </w:rPr>
        <w:t>’</w:t>
      </w:r>
      <w:r w:rsidRPr="00AF51EA">
        <w:rPr>
          <w:lang w:val="fr-FR"/>
        </w:rPr>
        <w:t>allocations hebdomadaires et d</w:t>
      </w:r>
      <w:r w:rsidR="00AB516D" w:rsidRPr="00AF51EA">
        <w:rPr>
          <w:lang w:val="fr-FR"/>
        </w:rPr>
        <w:t>’</w:t>
      </w:r>
      <w:r w:rsidRPr="00AF51EA">
        <w:rPr>
          <w:lang w:val="fr-FR"/>
        </w:rPr>
        <w:t>autres aides, et la seconde prévoit d</w:t>
      </w:r>
      <w:r w:rsidR="00AB516D" w:rsidRPr="00AF51EA">
        <w:rPr>
          <w:lang w:val="fr-FR"/>
        </w:rPr>
        <w:t>’</w:t>
      </w:r>
      <w:r w:rsidRPr="00AF51EA">
        <w:rPr>
          <w:lang w:val="fr-FR"/>
        </w:rPr>
        <w:t>assurer aux étrangers qui ne sont pas des demandeurs d</w:t>
      </w:r>
      <w:r w:rsidR="00AB516D" w:rsidRPr="00AF51EA">
        <w:rPr>
          <w:lang w:val="fr-FR"/>
        </w:rPr>
        <w:t>’</w:t>
      </w:r>
      <w:r w:rsidRPr="00AF51EA">
        <w:rPr>
          <w:lang w:val="fr-FR"/>
        </w:rPr>
        <w:t>asile les moyens de subsistance nécessaires, notamment une aide financière et une prise en charge des frais médicaux</w:t>
      </w:r>
      <w:r w:rsidR="002A026E" w:rsidRPr="00AF51EA">
        <w:rPr>
          <w:lang w:val="fr-FR"/>
        </w:rPr>
        <w:t>.</w:t>
      </w:r>
      <w:r w:rsidRPr="00AF51EA">
        <w:rPr>
          <w:lang w:val="fr-FR"/>
        </w:rPr>
        <w:t xml:space="preserve"> En outre, l</w:t>
      </w:r>
      <w:r w:rsidR="00AB516D" w:rsidRPr="00AF51EA">
        <w:rPr>
          <w:lang w:val="fr-FR"/>
        </w:rPr>
        <w:t>’</w:t>
      </w:r>
      <w:r w:rsidRPr="00AF51EA">
        <w:rPr>
          <w:lang w:val="fr-FR"/>
        </w:rPr>
        <w:t>État partie indique que les demandeurs d</w:t>
      </w:r>
      <w:r w:rsidR="00AB516D" w:rsidRPr="00AF51EA">
        <w:rPr>
          <w:lang w:val="fr-FR"/>
        </w:rPr>
        <w:t>’</w:t>
      </w:r>
      <w:r w:rsidRPr="00AF51EA">
        <w:rPr>
          <w:lang w:val="fr-FR"/>
        </w:rPr>
        <w:t>asile qui résident légalement aux Pays-Bas et attendent qu</w:t>
      </w:r>
      <w:r w:rsidR="00AB516D" w:rsidRPr="00AF51EA">
        <w:rPr>
          <w:lang w:val="fr-FR"/>
        </w:rPr>
        <w:t>’</w:t>
      </w:r>
      <w:r w:rsidRPr="00AF51EA">
        <w:rPr>
          <w:lang w:val="fr-FR"/>
        </w:rPr>
        <w:t>il soit statué sur leur demande d</w:t>
      </w:r>
      <w:r w:rsidR="00AB516D" w:rsidRPr="00AF51EA">
        <w:rPr>
          <w:lang w:val="fr-FR"/>
        </w:rPr>
        <w:t>’</w:t>
      </w:r>
      <w:r w:rsidRPr="00AF51EA">
        <w:rPr>
          <w:lang w:val="fr-FR"/>
        </w:rPr>
        <w:t>asile se voient offrir diverses prestations, dont des possibilités d</w:t>
      </w:r>
      <w:r w:rsidR="00AB516D" w:rsidRPr="00AF51EA">
        <w:rPr>
          <w:lang w:val="fr-FR"/>
        </w:rPr>
        <w:t>’</w:t>
      </w:r>
      <w:r w:rsidRPr="00AF51EA">
        <w:rPr>
          <w:lang w:val="fr-FR"/>
        </w:rPr>
        <w:t>hébergement ; une aide hebdomadaire visant à couvrir les achats de nourriture et de vêtements et d</w:t>
      </w:r>
      <w:r w:rsidR="00AB516D" w:rsidRPr="00AF51EA">
        <w:rPr>
          <w:lang w:val="fr-FR"/>
        </w:rPr>
        <w:t>’</w:t>
      </w:r>
      <w:r w:rsidRPr="00AF51EA">
        <w:rPr>
          <w:lang w:val="fr-FR"/>
        </w:rPr>
        <w:t>autres dépenses personnelles ; des billets pour les déplacements en transports publics liés à la procédure d</w:t>
      </w:r>
      <w:r w:rsidR="00AB516D" w:rsidRPr="00AF51EA">
        <w:rPr>
          <w:lang w:val="fr-FR"/>
        </w:rPr>
        <w:t>’</w:t>
      </w:r>
      <w:r w:rsidRPr="00AF51EA">
        <w:rPr>
          <w:lang w:val="fr-FR"/>
        </w:rPr>
        <w:t>asile ; une aide permettant de financer des activités de loisir ; et la prise en charge des frais médicaux, des frais liés à l</w:t>
      </w:r>
      <w:r w:rsidR="00AB516D" w:rsidRPr="00AF51EA">
        <w:rPr>
          <w:lang w:val="fr-FR"/>
        </w:rPr>
        <w:t>’</w:t>
      </w:r>
      <w:r w:rsidRPr="00AF51EA">
        <w:rPr>
          <w:lang w:val="fr-FR"/>
        </w:rPr>
        <w:t>assurance de responsabilité civile et des dépenses exceptionnelles</w:t>
      </w:r>
      <w:r w:rsidR="002A026E" w:rsidRPr="00AF51EA">
        <w:rPr>
          <w:lang w:val="fr-FR"/>
        </w:rPr>
        <w:t>.</w:t>
      </w:r>
      <w:r w:rsidRPr="00AF51EA">
        <w:rPr>
          <w:lang w:val="fr-FR"/>
        </w:rPr>
        <w:t xml:space="preserve"> </w:t>
      </w:r>
    </w:p>
    <w:p w14:paraId="3BA073B7" w14:textId="77777777" w:rsidR="00E42A05" w:rsidRPr="00AF51EA" w:rsidRDefault="00E42A05" w:rsidP="00E42A05">
      <w:pPr>
        <w:pStyle w:val="SingleTxtG"/>
        <w:rPr>
          <w:lang w:val="fr-FR"/>
        </w:rPr>
      </w:pPr>
      <w:r w:rsidRPr="00AF51EA">
        <w:rPr>
          <w:lang w:val="fr-FR"/>
        </w:rPr>
        <w:t>4</w:t>
      </w:r>
      <w:r w:rsidR="002A026E" w:rsidRPr="00AF51EA">
        <w:rPr>
          <w:lang w:val="fr-FR"/>
        </w:rPr>
        <w:t>.</w:t>
      </w:r>
      <w:r w:rsidRPr="00AF51EA">
        <w:rPr>
          <w:lang w:val="fr-FR"/>
        </w:rPr>
        <w:t>4</w:t>
      </w:r>
      <w:r w:rsidRPr="00AF51EA">
        <w:rPr>
          <w:lang w:val="fr-FR"/>
        </w:rPr>
        <w:tab/>
        <w:t>L</w:t>
      </w:r>
      <w:r w:rsidR="00AB516D" w:rsidRPr="00AF51EA">
        <w:rPr>
          <w:lang w:val="fr-FR"/>
        </w:rPr>
        <w:t>’</w:t>
      </w:r>
      <w:r w:rsidRPr="00AF51EA">
        <w:rPr>
          <w:lang w:val="fr-FR"/>
        </w:rPr>
        <w:t>État partie rappelle les traits saillants de la communication des auteurs</w:t>
      </w:r>
      <w:r w:rsidR="002A026E" w:rsidRPr="00AF51EA">
        <w:rPr>
          <w:lang w:val="fr-FR"/>
        </w:rPr>
        <w:t>.</w:t>
      </w:r>
      <w:r w:rsidRPr="00AF51EA">
        <w:rPr>
          <w:lang w:val="fr-FR"/>
        </w:rPr>
        <w:t xml:space="preserve"> Il souligne que, pendant l</w:t>
      </w:r>
      <w:r w:rsidR="00AB516D" w:rsidRPr="00AF51EA">
        <w:rPr>
          <w:lang w:val="fr-FR"/>
        </w:rPr>
        <w:t>’</w:t>
      </w:r>
      <w:r w:rsidRPr="00AF51EA">
        <w:rPr>
          <w:lang w:val="fr-FR"/>
        </w:rPr>
        <w:t>examen de leur première demande d</w:t>
      </w:r>
      <w:r w:rsidR="00AB516D" w:rsidRPr="00AF51EA">
        <w:rPr>
          <w:lang w:val="fr-FR"/>
        </w:rPr>
        <w:t>’</w:t>
      </w:r>
      <w:r w:rsidRPr="00AF51EA">
        <w:rPr>
          <w:lang w:val="fr-FR"/>
        </w:rPr>
        <w:t>asile (voir par</w:t>
      </w:r>
      <w:r w:rsidR="002A026E" w:rsidRPr="00AF51EA">
        <w:rPr>
          <w:lang w:val="fr-FR"/>
        </w:rPr>
        <w:t>.</w:t>
      </w:r>
      <w:r w:rsidRPr="00AF51EA">
        <w:rPr>
          <w:lang w:val="fr-FR"/>
        </w:rPr>
        <w:t> 2</w:t>
      </w:r>
      <w:r w:rsidR="002A026E" w:rsidRPr="00AF51EA">
        <w:rPr>
          <w:lang w:val="fr-FR"/>
        </w:rPr>
        <w:t>.</w:t>
      </w:r>
      <w:r w:rsidRPr="00AF51EA">
        <w:rPr>
          <w:lang w:val="fr-FR"/>
        </w:rPr>
        <w:t>5), les auteurs ont eu accès à un hébergement, des activités éducatives, une allocation hebdomadaire, un régime d</w:t>
      </w:r>
      <w:r w:rsidR="00AB516D" w:rsidRPr="00AF51EA">
        <w:rPr>
          <w:lang w:val="fr-FR"/>
        </w:rPr>
        <w:t>’</w:t>
      </w:r>
      <w:r w:rsidRPr="00AF51EA">
        <w:rPr>
          <w:lang w:val="fr-FR"/>
        </w:rPr>
        <w:t>assurance maladie et une assurance de responsabilité civile</w:t>
      </w:r>
      <w:r w:rsidR="002A026E" w:rsidRPr="00AF51EA">
        <w:rPr>
          <w:lang w:val="fr-FR"/>
        </w:rPr>
        <w:t>.</w:t>
      </w:r>
      <w:r w:rsidRPr="00AF51EA">
        <w:rPr>
          <w:lang w:val="fr-FR"/>
        </w:rPr>
        <w:t xml:space="preserve"> Il mentionne leurs demandes de permis de séjour et d</w:t>
      </w:r>
      <w:r w:rsidR="00AB516D" w:rsidRPr="00AF51EA">
        <w:rPr>
          <w:lang w:val="fr-FR"/>
        </w:rPr>
        <w:t>’</w:t>
      </w:r>
      <w:r w:rsidRPr="00AF51EA">
        <w:rPr>
          <w:lang w:val="fr-FR"/>
        </w:rPr>
        <w:t>allocation de base pour enfant à charge</w:t>
      </w:r>
      <w:r w:rsidR="002A026E" w:rsidRPr="00AF51EA">
        <w:rPr>
          <w:lang w:val="fr-FR"/>
        </w:rPr>
        <w:t>.</w:t>
      </w:r>
    </w:p>
    <w:p w14:paraId="1583FEA3" w14:textId="77777777" w:rsidR="00E42A05" w:rsidRPr="00AF51EA" w:rsidRDefault="00E42A05" w:rsidP="00E42A05">
      <w:pPr>
        <w:pStyle w:val="SingleTxtG"/>
        <w:rPr>
          <w:lang w:val="fr-FR"/>
        </w:rPr>
      </w:pPr>
      <w:r w:rsidRPr="00AF51EA">
        <w:rPr>
          <w:lang w:val="fr-FR"/>
        </w:rPr>
        <w:t>4</w:t>
      </w:r>
      <w:r w:rsidR="002A026E" w:rsidRPr="00AF51EA">
        <w:rPr>
          <w:lang w:val="fr-FR"/>
        </w:rPr>
        <w:t>.</w:t>
      </w:r>
      <w:r w:rsidRPr="00AF51EA">
        <w:rPr>
          <w:lang w:val="fr-FR"/>
        </w:rPr>
        <w:t>5</w:t>
      </w:r>
      <w:r w:rsidRPr="00AF51EA">
        <w:rPr>
          <w:lang w:val="fr-FR"/>
        </w:rPr>
        <w:tab/>
        <w:t>L</w:t>
      </w:r>
      <w:r w:rsidR="00AB516D" w:rsidRPr="00AF51EA">
        <w:rPr>
          <w:lang w:val="fr-FR"/>
        </w:rPr>
        <w:t>’</w:t>
      </w:r>
      <w:r w:rsidRPr="00AF51EA">
        <w:rPr>
          <w:lang w:val="fr-FR"/>
        </w:rPr>
        <w:t>État partie affirme que les auteurs n</w:t>
      </w:r>
      <w:r w:rsidR="00AB516D" w:rsidRPr="00AF51EA">
        <w:rPr>
          <w:lang w:val="fr-FR"/>
        </w:rPr>
        <w:t>’</w:t>
      </w:r>
      <w:r w:rsidRPr="00AF51EA">
        <w:rPr>
          <w:lang w:val="fr-FR"/>
        </w:rPr>
        <w:t>ont pas établi que le rejet de leur demande d</w:t>
      </w:r>
      <w:r w:rsidR="00AB516D" w:rsidRPr="00AF51EA">
        <w:rPr>
          <w:lang w:val="fr-FR"/>
        </w:rPr>
        <w:t>’</w:t>
      </w:r>
      <w:r w:rsidRPr="00AF51EA">
        <w:rPr>
          <w:lang w:val="fr-FR"/>
        </w:rPr>
        <w:t xml:space="preserve">allocation de base pour enfant à charge a constitué une violation des articles 23, </w:t>
      </w:r>
      <w:r w:rsidRPr="00AF51EA">
        <w:rPr>
          <w:lang w:val="fr-FR"/>
        </w:rPr>
        <w:lastRenderedPageBreak/>
        <w:t>24</w:t>
      </w:r>
      <w:r w:rsidR="00177304" w:rsidRPr="00AF51EA">
        <w:rPr>
          <w:lang w:val="fr-FR"/>
        </w:rPr>
        <w:t> </w:t>
      </w:r>
      <w:r w:rsidRPr="00AF51EA">
        <w:rPr>
          <w:lang w:val="fr-FR"/>
        </w:rPr>
        <w:t>(par</w:t>
      </w:r>
      <w:r w:rsidR="002A026E" w:rsidRPr="00AF51EA">
        <w:rPr>
          <w:lang w:val="fr-FR"/>
        </w:rPr>
        <w:t>.</w:t>
      </w:r>
      <w:r w:rsidRPr="00AF51EA">
        <w:rPr>
          <w:lang w:val="fr-FR"/>
        </w:rPr>
        <w:t> 1) et 26 du Pacte</w:t>
      </w:r>
      <w:r w:rsidR="002A026E" w:rsidRPr="00AF51EA">
        <w:rPr>
          <w:lang w:val="fr-FR"/>
        </w:rPr>
        <w:t>.</w:t>
      </w:r>
      <w:r w:rsidRPr="00AF51EA">
        <w:rPr>
          <w:lang w:val="fr-FR"/>
        </w:rPr>
        <w:t xml:space="preserve"> Pour ce qui est de leur grief au titre de l</w:t>
      </w:r>
      <w:r w:rsidR="00AB516D" w:rsidRPr="00AF51EA">
        <w:rPr>
          <w:lang w:val="fr-FR"/>
        </w:rPr>
        <w:t>’</w:t>
      </w:r>
      <w:r w:rsidRPr="00AF51EA">
        <w:rPr>
          <w:lang w:val="fr-FR"/>
        </w:rPr>
        <w:t>article 23, l</w:t>
      </w:r>
      <w:r w:rsidR="00AB516D" w:rsidRPr="00AF51EA">
        <w:rPr>
          <w:lang w:val="fr-FR"/>
        </w:rPr>
        <w:t>’</w:t>
      </w:r>
      <w:r w:rsidRPr="00AF51EA">
        <w:rPr>
          <w:lang w:val="fr-FR"/>
        </w:rPr>
        <w:t>État partie estime que cette disposition ne crée aucune obligation positive de fournir une aide financière aux familles, par exemple une allocation pour enfant à charge</w:t>
      </w:r>
      <w:r w:rsidRPr="00AF51EA">
        <w:rPr>
          <w:rStyle w:val="Appelnotedebasdep"/>
        </w:rPr>
        <w:footnoteReference w:id="34"/>
      </w:r>
      <w:r w:rsidRPr="00AF51EA">
        <w:rPr>
          <w:lang w:val="fr-FR"/>
        </w:rPr>
        <w:t>, et qu</w:t>
      </w:r>
      <w:r w:rsidR="00AB516D" w:rsidRPr="00AF51EA">
        <w:rPr>
          <w:lang w:val="fr-FR"/>
        </w:rPr>
        <w:t>’</w:t>
      </w:r>
      <w:r w:rsidRPr="00AF51EA">
        <w:rPr>
          <w:lang w:val="fr-FR"/>
        </w:rPr>
        <w:t>en conséquence la question de l</w:t>
      </w:r>
      <w:r w:rsidR="00AB516D" w:rsidRPr="00AF51EA">
        <w:rPr>
          <w:lang w:val="fr-FR"/>
        </w:rPr>
        <w:t>’</w:t>
      </w:r>
      <w:r w:rsidRPr="00AF51EA">
        <w:rPr>
          <w:lang w:val="fr-FR"/>
        </w:rPr>
        <w:t>immixtion de l</w:t>
      </w:r>
      <w:r w:rsidR="00AB516D" w:rsidRPr="00AF51EA">
        <w:rPr>
          <w:lang w:val="fr-FR"/>
        </w:rPr>
        <w:t>’</w:t>
      </w:r>
      <w:r w:rsidRPr="00AF51EA">
        <w:rPr>
          <w:lang w:val="fr-FR"/>
        </w:rPr>
        <w:t>État dans la vie de famille des auteurs ou de son inaction ne se pose pas</w:t>
      </w:r>
      <w:r w:rsidR="002A026E" w:rsidRPr="00AF51EA">
        <w:rPr>
          <w:lang w:val="fr-FR"/>
        </w:rPr>
        <w:t>.</w:t>
      </w:r>
      <w:r w:rsidRPr="00AF51EA">
        <w:rPr>
          <w:lang w:val="fr-FR"/>
        </w:rPr>
        <w:t xml:space="preserve"> L</w:t>
      </w:r>
      <w:r w:rsidR="00AB516D" w:rsidRPr="00AF51EA">
        <w:rPr>
          <w:lang w:val="fr-FR"/>
        </w:rPr>
        <w:t>’</w:t>
      </w:r>
      <w:r w:rsidRPr="00AF51EA">
        <w:rPr>
          <w:lang w:val="fr-FR"/>
        </w:rPr>
        <w:t>État partie répète qu</w:t>
      </w:r>
      <w:r w:rsidR="00AB516D" w:rsidRPr="00AF51EA">
        <w:rPr>
          <w:lang w:val="fr-FR"/>
        </w:rPr>
        <w:t>’</w:t>
      </w:r>
      <w:r w:rsidRPr="00AF51EA">
        <w:rPr>
          <w:lang w:val="fr-FR"/>
        </w:rPr>
        <w:t>une allocation pour enfant à charge n</w:t>
      </w:r>
      <w:r w:rsidR="00AB516D" w:rsidRPr="00AF51EA">
        <w:rPr>
          <w:lang w:val="fr-FR"/>
        </w:rPr>
        <w:t>’</w:t>
      </w:r>
      <w:r w:rsidRPr="00AF51EA">
        <w:rPr>
          <w:lang w:val="fr-FR"/>
        </w:rPr>
        <w:t>est pas un complément général de revenu et qu</w:t>
      </w:r>
      <w:r w:rsidR="00AB516D" w:rsidRPr="00AF51EA">
        <w:rPr>
          <w:lang w:val="fr-FR"/>
        </w:rPr>
        <w:t>’</w:t>
      </w:r>
      <w:r w:rsidRPr="00AF51EA">
        <w:rPr>
          <w:lang w:val="fr-FR"/>
        </w:rPr>
        <w:t>elle n</w:t>
      </w:r>
      <w:r w:rsidR="00AB516D" w:rsidRPr="00AF51EA">
        <w:rPr>
          <w:lang w:val="fr-FR"/>
        </w:rPr>
        <w:t>’</w:t>
      </w:r>
      <w:r w:rsidRPr="00AF51EA">
        <w:rPr>
          <w:lang w:val="fr-FR"/>
        </w:rPr>
        <w:t>est pas versée aux familles avec enfants pour leur assurer un revenu minimum de subsistance</w:t>
      </w:r>
      <w:r w:rsidR="002A026E" w:rsidRPr="00AF51EA">
        <w:rPr>
          <w:lang w:val="fr-FR"/>
        </w:rPr>
        <w:t>.</w:t>
      </w:r>
      <w:r w:rsidRPr="00AF51EA">
        <w:rPr>
          <w:lang w:val="fr-FR"/>
        </w:rPr>
        <w:t xml:space="preserve"> En outre, il souligne que, si l</w:t>
      </w:r>
      <w:r w:rsidR="00AB516D" w:rsidRPr="00AF51EA">
        <w:rPr>
          <w:lang w:val="fr-FR"/>
        </w:rPr>
        <w:t>’</w:t>
      </w:r>
      <w:r w:rsidRPr="00AF51EA">
        <w:rPr>
          <w:lang w:val="fr-FR"/>
        </w:rPr>
        <w:t>article 23 donne naissance à des obligations positives, ces obligations concernent les mesures visant à préserver l</w:t>
      </w:r>
      <w:r w:rsidR="00AB516D" w:rsidRPr="00AF51EA">
        <w:rPr>
          <w:lang w:val="fr-FR"/>
        </w:rPr>
        <w:t>’</w:t>
      </w:r>
      <w:r w:rsidRPr="00AF51EA">
        <w:rPr>
          <w:lang w:val="fr-FR"/>
        </w:rPr>
        <w:t>unité de la famille et à favoriser le regroupement familial</w:t>
      </w:r>
      <w:r w:rsidRPr="00AF51EA">
        <w:rPr>
          <w:rStyle w:val="Appelnotedebasdep"/>
        </w:rPr>
        <w:footnoteReference w:id="35"/>
      </w:r>
      <w:r w:rsidR="002A026E" w:rsidRPr="00AF51EA">
        <w:rPr>
          <w:lang w:val="fr-FR"/>
        </w:rPr>
        <w:t>.</w:t>
      </w:r>
      <w:r w:rsidRPr="00AF51EA">
        <w:rPr>
          <w:lang w:val="fr-FR"/>
        </w:rPr>
        <w:t xml:space="preserve"> Il considère par conséquent que l</w:t>
      </w:r>
      <w:r w:rsidR="00AB516D" w:rsidRPr="00AF51EA">
        <w:rPr>
          <w:lang w:val="fr-FR"/>
        </w:rPr>
        <w:t>’</w:t>
      </w:r>
      <w:r w:rsidRPr="00AF51EA">
        <w:rPr>
          <w:lang w:val="fr-FR"/>
        </w:rPr>
        <w:t>analogie que les auteurs font avec l</w:t>
      </w:r>
      <w:r w:rsidR="00AB516D" w:rsidRPr="00AF51EA">
        <w:rPr>
          <w:lang w:val="fr-FR"/>
        </w:rPr>
        <w:t>’</w:t>
      </w:r>
      <w:r w:rsidRPr="00AF51EA">
        <w:rPr>
          <w:lang w:val="fr-FR"/>
        </w:rPr>
        <w:t xml:space="preserve">affaire </w:t>
      </w:r>
      <w:proofErr w:type="spellStart"/>
      <w:r w:rsidRPr="00AF51EA">
        <w:rPr>
          <w:i/>
          <w:iCs/>
          <w:lang w:val="fr-FR"/>
        </w:rPr>
        <w:t>Winata</w:t>
      </w:r>
      <w:proofErr w:type="spellEnd"/>
      <w:r w:rsidRPr="00AF51EA">
        <w:rPr>
          <w:i/>
          <w:iCs/>
          <w:lang w:val="fr-FR"/>
        </w:rPr>
        <w:t xml:space="preserve"> et Li </w:t>
      </w:r>
      <w:r w:rsidRPr="00AF51EA">
        <w:rPr>
          <w:lang w:val="fr-FR"/>
        </w:rPr>
        <w:t>c</w:t>
      </w:r>
      <w:r w:rsidR="002A026E" w:rsidRPr="00AF51EA">
        <w:rPr>
          <w:lang w:val="fr-FR"/>
        </w:rPr>
        <w:t>.</w:t>
      </w:r>
      <w:r w:rsidRPr="00AF51EA">
        <w:rPr>
          <w:i/>
          <w:iCs/>
          <w:lang w:val="fr-FR"/>
        </w:rPr>
        <w:t xml:space="preserve"> Australie </w:t>
      </w:r>
      <w:r w:rsidRPr="00AF51EA">
        <w:rPr>
          <w:lang w:val="fr-FR"/>
        </w:rPr>
        <w:t>est dénuée de fondement</w:t>
      </w:r>
      <w:r w:rsidRPr="00AF51EA">
        <w:rPr>
          <w:rStyle w:val="Appelnotedebasdep"/>
        </w:rPr>
        <w:footnoteReference w:id="36"/>
      </w:r>
      <w:r w:rsidRPr="00AF51EA">
        <w:rPr>
          <w:lang w:val="fr-FR"/>
        </w:rPr>
        <w:t xml:space="preserve"> et conteste leur affirmation selon laquelle une obligation positive de fournir une aide financière aux familles pourrait découler des constatations adoptées par le Comité dans cette affaire</w:t>
      </w:r>
      <w:r w:rsidR="002A026E" w:rsidRPr="00AF51EA">
        <w:rPr>
          <w:lang w:val="fr-FR"/>
        </w:rPr>
        <w:t>.</w:t>
      </w:r>
    </w:p>
    <w:p w14:paraId="03CC6DD0" w14:textId="77777777" w:rsidR="00E42A05" w:rsidRPr="00AF51EA" w:rsidRDefault="00E42A05" w:rsidP="00E42A05">
      <w:pPr>
        <w:pStyle w:val="SingleTxtG"/>
        <w:rPr>
          <w:lang w:val="fr-FR"/>
        </w:rPr>
      </w:pPr>
      <w:r w:rsidRPr="00AF51EA">
        <w:rPr>
          <w:lang w:val="fr-FR"/>
        </w:rPr>
        <w:t>4</w:t>
      </w:r>
      <w:r w:rsidR="002A026E" w:rsidRPr="00AF51EA">
        <w:rPr>
          <w:lang w:val="fr-FR"/>
        </w:rPr>
        <w:t>.</w:t>
      </w:r>
      <w:r w:rsidRPr="00AF51EA">
        <w:rPr>
          <w:lang w:val="fr-FR"/>
        </w:rPr>
        <w:t>6</w:t>
      </w:r>
      <w:r w:rsidRPr="00AF51EA">
        <w:rPr>
          <w:lang w:val="fr-FR"/>
        </w:rPr>
        <w:tab/>
        <w:t>Pour ce qui est du grief que les auteurs tirent de l</w:t>
      </w:r>
      <w:r w:rsidR="00AB516D" w:rsidRPr="00AF51EA">
        <w:rPr>
          <w:lang w:val="fr-FR"/>
        </w:rPr>
        <w:t>’</w:t>
      </w:r>
      <w:r w:rsidRPr="00AF51EA">
        <w:rPr>
          <w:lang w:val="fr-FR"/>
        </w:rPr>
        <w:t>article 24 du Pacte, l</w:t>
      </w:r>
      <w:r w:rsidR="00AB516D" w:rsidRPr="00AF51EA">
        <w:rPr>
          <w:lang w:val="fr-FR"/>
        </w:rPr>
        <w:t>’</w:t>
      </w:r>
      <w:r w:rsidRPr="00AF51EA">
        <w:rPr>
          <w:lang w:val="fr-FR"/>
        </w:rPr>
        <w:t>État partie fait observer que, d</w:t>
      </w:r>
      <w:r w:rsidR="00AB516D" w:rsidRPr="00AF51EA">
        <w:rPr>
          <w:lang w:val="fr-FR"/>
        </w:rPr>
        <w:t>’</w:t>
      </w:r>
      <w:r w:rsidRPr="00AF51EA">
        <w:rPr>
          <w:lang w:val="fr-FR"/>
        </w:rPr>
        <w:t>après l</w:t>
      </w:r>
      <w:r w:rsidR="00AB516D" w:rsidRPr="00AF51EA">
        <w:rPr>
          <w:lang w:val="fr-FR"/>
        </w:rPr>
        <w:t>’</w:t>
      </w:r>
      <w:r w:rsidRPr="00AF51EA">
        <w:rPr>
          <w:lang w:val="fr-FR"/>
        </w:rPr>
        <w:t>observation générale</w:t>
      </w:r>
      <w:r w:rsidR="00177304" w:rsidRPr="00AF51EA">
        <w:rPr>
          <w:lang w:val="fr-FR"/>
        </w:rPr>
        <w:t xml:space="preserve"> </w:t>
      </w:r>
      <w:r w:rsidRPr="00AF51EA">
        <w:rPr>
          <w:lang w:val="fr-FR"/>
        </w:rPr>
        <w:t>n</w:t>
      </w:r>
      <w:r w:rsidRPr="00AF51EA">
        <w:rPr>
          <w:vertAlign w:val="superscript"/>
          <w:lang w:val="fr-FR"/>
        </w:rPr>
        <w:t>o</w:t>
      </w:r>
      <w:r w:rsidRPr="00AF51EA">
        <w:rPr>
          <w:lang w:val="fr-FR"/>
        </w:rPr>
        <w:t> 17 du Comité, le paragraphe 1 de l</w:t>
      </w:r>
      <w:r w:rsidR="00AB516D" w:rsidRPr="00AF51EA">
        <w:rPr>
          <w:lang w:val="fr-FR"/>
        </w:rPr>
        <w:t>’</w:t>
      </w:r>
      <w:r w:rsidRPr="00AF51EA">
        <w:rPr>
          <w:lang w:val="fr-FR"/>
        </w:rPr>
        <w:t>article 24 vise à protéger les enfants contre les atteintes à leur bien-être physique ou psychologique et qu</w:t>
      </w:r>
      <w:r w:rsidR="00AB516D" w:rsidRPr="00AF51EA">
        <w:rPr>
          <w:lang w:val="fr-FR"/>
        </w:rPr>
        <w:t>’</w:t>
      </w:r>
      <w:r w:rsidRPr="00AF51EA">
        <w:rPr>
          <w:lang w:val="fr-FR"/>
        </w:rPr>
        <w:t>il en découle une obligation de fournir une protection plus importante aux enfants qu</w:t>
      </w:r>
      <w:r w:rsidR="00AB516D" w:rsidRPr="00AF51EA">
        <w:rPr>
          <w:lang w:val="fr-FR"/>
        </w:rPr>
        <w:t>’</w:t>
      </w:r>
      <w:r w:rsidRPr="00AF51EA">
        <w:rPr>
          <w:lang w:val="fr-FR"/>
        </w:rPr>
        <w:t>aux adultes</w:t>
      </w:r>
      <w:r w:rsidR="002A026E" w:rsidRPr="00AF51EA">
        <w:rPr>
          <w:lang w:val="fr-FR"/>
        </w:rPr>
        <w:t>.</w:t>
      </w:r>
      <w:r w:rsidRPr="00AF51EA">
        <w:rPr>
          <w:lang w:val="fr-FR"/>
        </w:rPr>
        <w:t xml:space="preserve"> Dans cette observation générale, le Comité souligne que c</w:t>
      </w:r>
      <w:r w:rsidR="00AB516D" w:rsidRPr="00AF51EA">
        <w:rPr>
          <w:lang w:val="fr-FR"/>
        </w:rPr>
        <w:t>’</w:t>
      </w:r>
      <w:r w:rsidRPr="00AF51EA">
        <w:rPr>
          <w:lang w:val="fr-FR"/>
        </w:rPr>
        <w:t>est aux parents qu</w:t>
      </w:r>
      <w:r w:rsidR="00AB516D" w:rsidRPr="00AF51EA">
        <w:rPr>
          <w:lang w:val="fr-FR"/>
        </w:rPr>
        <w:t>’</w:t>
      </w:r>
      <w:r w:rsidRPr="00AF51EA">
        <w:rPr>
          <w:lang w:val="fr-FR"/>
        </w:rPr>
        <w:t>il incombe au premier chef de protéger leurs enfants et que l</w:t>
      </w:r>
      <w:r w:rsidR="00AB516D" w:rsidRPr="00AF51EA">
        <w:rPr>
          <w:lang w:val="fr-FR"/>
        </w:rPr>
        <w:t>’</w:t>
      </w:r>
      <w:r w:rsidRPr="00AF51EA">
        <w:rPr>
          <w:lang w:val="fr-FR"/>
        </w:rPr>
        <w:t>État est tenu d</w:t>
      </w:r>
      <w:r w:rsidR="00AB516D" w:rsidRPr="00AF51EA">
        <w:rPr>
          <w:lang w:val="fr-FR"/>
        </w:rPr>
        <w:t>’</w:t>
      </w:r>
      <w:r w:rsidRPr="00AF51EA">
        <w:rPr>
          <w:lang w:val="fr-FR"/>
        </w:rPr>
        <w:t>intervenir lorsqu</w:t>
      </w:r>
      <w:r w:rsidR="00AB516D" w:rsidRPr="00AF51EA">
        <w:rPr>
          <w:lang w:val="fr-FR"/>
        </w:rPr>
        <w:t>’</w:t>
      </w:r>
      <w:r w:rsidRPr="00AF51EA">
        <w:rPr>
          <w:lang w:val="fr-FR"/>
        </w:rPr>
        <w:t>ils ne le font pas</w:t>
      </w:r>
      <w:r w:rsidR="002A026E" w:rsidRPr="00AF51EA">
        <w:rPr>
          <w:lang w:val="fr-FR"/>
        </w:rPr>
        <w:t>.</w:t>
      </w:r>
      <w:r w:rsidRPr="00AF51EA">
        <w:rPr>
          <w:lang w:val="fr-FR"/>
        </w:rPr>
        <w:t xml:space="preserve"> L</w:t>
      </w:r>
      <w:r w:rsidR="00AB516D" w:rsidRPr="00AF51EA">
        <w:rPr>
          <w:lang w:val="fr-FR"/>
        </w:rPr>
        <w:t>’</w:t>
      </w:r>
      <w:r w:rsidRPr="00AF51EA">
        <w:rPr>
          <w:lang w:val="fr-FR"/>
        </w:rPr>
        <w:t>État partie réaffirme que l</w:t>
      </w:r>
      <w:r w:rsidR="00AB516D" w:rsidRPr="00AF51EA">
        <w:rPr>
          <w:lang w:val="fr-FR"/>
        </w:rPr>
        <w:t>’</w:t>
      </w:r>
      <w:r w:rsidRPr="00AF51EA">
        <w:rPr>
          <w:lang w:val="fr-FR"/>
        </w:rPr>
        <w:t>allocation de base pour enfant à charge n</w:t>
      </w:r>
      <w:r w:rsidR="00AB516D" w:rsidRPr="00AF51EA">
        <w:rPr>
          <w:lang w:val="fr-FR"/>
        </w:rPr>
        <w:t>’</w:t>
      </w:r>
      <w:r w:rsidRPr="00AF51EA">
        <w:rPr>
          <w:lang w:val="fr-FR"/>
        </w:rPr>
        <w:t>a pas pour but d</w:t>
      </w:r>
      <w:r w:rsidR="00AB516D" w:rsidRPr="00AF51EA">
        <w:rPr>
          <w:lang w:val="fr-FR"/>
        </w:rPr>
        <w:t>’</w:t>
      </w:r>
      <w:r w:rsidRPr="00AF51EA">
        <w:rPr>
          <w:lang w:val="fr-FR"/>
        </w:rPr>
        <w:t>assurer aux familles un revenu minimum de subsistance et que des prestations de base sont prévues pour toutes les personnes en situation irrégulière aux Pays-Bas</w:t>
      </w:r>
      <w:r w:rsidR="002A026E" w:rsidRPr="00AF51EA">
        <w:rPr>
          <w:lang w:val="fr-FR"/>
        </w:rPr>
        <w:t>.</w:t>
      </w:r>
      <w:r w:rsidRPr="00AF51EA">
        <w:rPr>
          <w:lang w:val="fr-FR"/>
        </w:rPr>
        <w:t xml:space="preserve"> Il ajoute que l</w:t>
      </w:r>
      <w:r w:rsidR="00AB516D" w:rsidRPr="00AF51EA">
        <w:rPr>
          <w:lang w:val="fr-FR"/>
        </w:rPr>
        <w:t>’</w:t>
      </w:r>
      <w:r w:rsidRPr="00AF51EA">
        <w:rPr>
          <w:lang w:val="fr-FR"/>
        </w:rPr>
        <w:t>obligation découlant de l</w:t>
      </w:r>
      <w:r w:rsidR="00AB516D" w:rsidRPr="00AF51EA">
        <w:rPr>
          <w:lang w:val="fr-FR"/>
        </w:rPr>
        <w:t>’</w:t>
      </w:r>
      <w:r w:rsidRPr="00AF51EA">
        <w:rPr>
          <w:lang w:val="fr-FR"/>
        </w:rPr>
        <w:t>article 24 du Pacte ne va pas jusqu</w:t>
      </w:r>
      <w:r w:rsidR="00AB516D" w:rsidRPr="00AF51EA">
        <w:rPr>
          <w:lang w:val="fr-FR"/>
        </w:rPr>
        <w:t>’</w:t>
      </w:r>
      <w:r w:rsidRPr="00AF51EA">
        <w:rPr>
          <w:lang w:val="fr-FR"/>
        </w:rPr>
        <w:t>à sous-entendre une obligation de verser une allocation pour enfant à charge, même si l</w:t>
      </w:r>
      <w:r w:rsidR="00AB516D" w:rsidRPr="00AF51EA">
        <w:rPr>
          <w:lang w:val="fr-FR"/>
        </w:rPr>
        <w:t>’</w:t>
      </w:r>
      <w:r w:rsidRPr="00AF51EA">
        <w:rPr>
          <w:lang w:val="fr-FR"/>
        </w:rPr>
        <w:t>on tient compte des besoins et de l</w:t>
      </w:r>
      <w:r w:rsidR="00AB516D" w:rsidRPr="00AF51EA">
        <w:rPr>
          <w:lang w:val="fr-FR"/>
        </w:rPr>
        <w:t>’</w:t>
      </w:r>
      <w:r w:rsidRPr="00AF51EA">
        <w:rPr>
          <w:lang w:val="fr-FR"/>
        </w:rPr>
        <w:t>intérêt de l</w:t>
      </w:r>
      <w:r w:rsidR="00AB516D" w:rsidRPr="00AF51EA">
        <w:rPr>
          <w:lang w:val="fr-FR"/>
        </w:rPr>
        <w:t>’</w:t>
      </w:r>
      <w:r w:rsidRPr="00AF51EA">
        <w:rPr>
          <w:lang w:val="fr-FR"/>
        </w:rPr>
        <w:t>enfant</w:t>
      </w:r>
      <w:r w:rsidR="002A026E" w:rsidRPr="00AF51EA">
        <w:rPr>
          <w:lang w:val="fr-FR"/>
        </w:rPr>
        <w:t>.</w:t>
      </w:r>
      <w:r w:rsidRPr="00AF51EA">
        <w:rPr>
          <w:lang w:val="fr-FR"/>
        </w:rPr>
        <w:t xml:space="preserve"> L</w:t>
      </w:r>
      <w:r w:rsidR="00AB516D" w:rsidRPr="00AF51EA">
        <w:rPr>
          <w:lang w:val="fr-FR"/>
        </w:rPr>
        <w:t>’</w:t>
      </w:r>
      <w:r w:rsidRPr="00AF51EA">
        <w:rPr>
          <w:lang w:val="fr-FR"/>
        </w:rPr>
        <w:t>État partie conteste l</w:t>
      </w:r>
      <w:r w:rsidR="00AB516D" w:rsidRPr="00AF51EA">
        <w:rPr>
          <w:lang w:val="fr-FR"/>
        </w:rPr>
        <w:t>’</w:t>
      </w:r>
      <w:r w:rsidRPr="00AF51EA">
        <w:rPr>
          <w:lang w:val="fr-FR"/>
        </w:rPr>
        <w:t>affirmation des auteurs selon laquelle les affaires qu</w:t>
      </w:r>
      <w:r w:rsidR="00AB516D" w:rsidRPr="00AF51EA">
        <w:rPr>
          <w:lang w:val="fr-FR"/>
        </w:rPr>
        <w:t>’</w:t>
      </w:r>
      <w:r w:rsidRPr="00AF51EA">
        <w:rPr>
          <w:lang w:val="fr-FR"/>
        </w:rPr>
        <w:t>ils citent permettraient de dire que les conséquences indirectes de décisions prises par les pouvoirs publics à l</w:t>
      </w:r>
      <w:r w:rsidR="00AB516D" w:rsidRPr="00AF51EA">
        <w:rPr>
          <w:lang w:val="fr-FR"/>
        </w:rPr>
        <w:t>’</w:t>
      </w:r>
      <w:r w:rsidRPr="00AF51EA">
        <w:rPr>
          <w:lang w:val="fr-FR"/>
        </w:rPr>
        <w:t>égard des parents d</w:t>
      </w:r>
      <w:r w:rsidR="00AB516D" w:rsidRPr="00AF51EA">
        <w:rPr>
          <w:lang w:val="fr-FR"/>
        </w:rPr>
        <w:t>’</w:t>
      </w:r>
      <w:r w:rsidRPr="00AF51EA">
        <w:rPr>
          <w:lang w:val="fr-FR"/>
        </w:rPr>
        <w:t>un enfant confèrent à celui-ci des droits particuliers au titre de l</w:t>
      </w:r>
      <w:r w:rsidR="00AB516D" w:rsidRPr="00AF51EA">
        <w:rPr>
          <w:lang w:val="fr-FR"/>
        </w:rPr>
        <w:t>’</w:t>
      </w:r>
      <w:r w:rsidRPr="00AF51EA">
        <w:rPr>
          <w:lang w:val="fr-FR"/>
        </w:rPr>
        <w:t>article 24 du Pacte</w:t>
      </w:r>
      <w:r w:rsidR="002A026E" w:rsidRPr="00AF51EA">
        <w:rPr>
          <w:lang w:val="fr-FR"/>
        </w:rPr>
        <w:t>.</w:t>
      </w:r>
      <w:r w:rsidRPr="00AF51EA">
        <w:rPr>
          <w:lang w:val="fr-FR"/>
        </w:rPr>
        <w:t xml:space="preserve"> L</w:t>
      </w:r>
      <w:r w:rsidR="00AB516D" w:rsidRPr="00AF51EA">
        <w:rPr>
          <w:lang w:val="fr-FR"/>
        </w:rPr>
        <w:t>’</w:t>
      </w:r>
      <w:r w:rsidRPr="00AF51EA">
        <w:rPr>
          <w:lang w:val="fr-FR"/>
        </w:rPr>
        <w:t>État partie répète qu</w:t>
      </w:r>
      <w:r w:rsidR="00AB516D" w:rsidRPr="00AF51EA">
        <w:rPr>
          <w:lang w:val="fr-FR"/>
        </w:rPr>
        <w:t>’</w:t>
      </w:r>
      <w:r w:rsidRPr="00AF51EA">
        <w:rPr>
          <w:lang w:val="fr-FR"/>
        </w:rPr>
        <w:t>une allocation pour enfant à charge est une contribution aux dépenses encourues par les parents, à laquelle l</w:t>
      </w:r>
      <w:r w:rsidR="00AB516D" w:rsidRPr="00AF51EA">
        <w:rPr>
          <w:lang w:val="fr-FR"/>
        </w:rPr>
        <w:t>’</w:t>
      </w:r>
      <w:r w:rsidRPr="00AF51EA">
        <w:rPr>
          <w:lang w:val="fr-FR"/>
        </w:rPr>
        <w:t>enfant n</w:t>
      </w:r>
      <w:r w:rsidR="00AB516D" w:rsidRPr="00AF51EA">
        <w:rPr>
          <w:lang w:val="fr-FR"/>
        </w:rPr>
        <w:t>’</w:t>
      </w:r>
      <w:r w:rsidRPr="00AF51EA">
        <w:rPr>
          <w:lang w:val="fr-FR"/>
        </w:rPr>
        <w:t>a pas droit</w:t>
      </w:r>
      <w:r w:rsidR="002A026E" w:rsidRPr="00AF51EA">
        <w:rPr>
          <w:lang w:val="fr-FR"/>
        </w:rPr>
        <w:t>.</w:t>
      </w:r>
      <w:r w:rsidRPr="00AF51EA">
        <w:rPr>
          <w:lang w:val="fr-FR"/>
        </w:rPr>
        <w:t xml:space="preserve"> Il souligne qu</w:t>
      </w:r>
      <w:r w:rsidR="00AB516D" w:rsidRPr="00AF51EA">
        <w:rPr>
          <w:lang w:val="fr-FR"/>
        </w:rPr>
        <w:t>’</w:t>
      </w:r>
      <w:r w:rsidRPr="00AF51EA">
        <w:rPr>
          <w:lang w:val="fr-FR"/>
        </w:rPr>
        <w:t>il a formulé une réserve à l</w:t>
      </w:r>
      <w:r w:rsidR="00AB516D" w:rsidRPr="00AF51EA">
        <w:rPr>
          <w:lang w:val="fr-FR"/>
        </w:rPr>
        <w:t>’</w:t>
      </w:r>
      <w:r w:rsidRPr="00AF51EA">
        <w:rPr>
          <w:lang w:val="fr-FR"/>
        </w:rPr>
        <w:t>article 26 de la Convention relative aux droits de l</w:t>
      </w:r>
      <w:r w:rsidR="00AB516D" w:rsidRPr="00AF51EA">
        <w:rPr>
          <w:lang w:val="fr-FR"/>
        </w:rPr>
        <w:t>’</w:t>
      </w:r>
      <w:r w:rsidRPr="00AF51EA">
        <w:rPr>
          <w:lang w:val="fr-FR"/>
        </w:rPr>
        <w:t>enfant parce qu</w:t>
      </w:r>
      <w:r w:rsidR="00AB516D" w:rsidRPr="00AF51EA">
        <w:rPr>
          <w:lang w:val="fr-FR"/>
        </w:rPr>
        <w:t>’</w:t>
      </w:r>
      <w:r w:rsidRPr="00AF51EA">
        <w:rPr>
          <w:lang w:val="fr-FR"/>
        </w:rPr>
        <w:t>il considère que cette disposition n</w:t>
      </w:r>
      <w:r w:rsidR="00AB516D" w:rsidRPr="00AF51EA">
        <w:rPr>
          <w:lang w:val="fr-FR"/>
        </w:rPr>
        <w:t>’</w:t>
      </w:r>
      <w:r w:rsidRPr="00AF51EA">
        <w:rPr>
          <w:lang w:val="fr-FR"/>
        </w:rPr>
        <w:t>implique pas que l</w:t>
      </w:r>
      <w:r w:rsidR="00AB516D" w:rsidRPr="00AF51EA">
        <w:rPr>
          <w:lang w:val="fr-FR"/>
        </w:rPr>
        <w:t>’</w:t>
      </w:r>
      <w:r w:rsidRPr="00AF51EA">
        <w:rPr>
          <w:lang w:val="fr-FR"/>
        </w:rPr>
        <w:t>enfant jouit d</w:t>
      </w:r>
      <w:r w:rsidR="00AB516D" w:rsidRPr="00AF51EA">
        <w:rPr>
          <w:lang w:val="fr-FR"/>
        </w:rPr>
        <w:t>’</w:t>
      </w:r>
      <w:r w:rsidRPr="00AF51EA">
        <w:rPr>
          <w:lang w:val="fr-FR"/>
        </w:rPr>
        <w:t>un droit indépendant à la sécurité sociale, y compris aux assurances sociales, dont les allocations pour enfant à charge</w:t>
      </w:r>
      <w:r w:rsidR="002A026E" w:rsidRPr="00AF51EA">
        <w:rPr>
          <w:lang w:val="fr-FR"/>
        </w:rPr>
        <w:t>.</w:t>
      </w:r>
      <w:r w:rsidRPr="00AF51EA">
        <w:rPr>
          <w:lang w:val="fr-FR"/>
        </w:rPr>
        <w:t xml:space="preserve"> </w:t>
      </w:r>
    </w:p>
    <w:p w14:paraId="549D79B0" w14:textId="77777777" w:rsidR="00E42A05" w:rsidRPr="00AF51EA" w:rsidRDefault="00E42A05" w:rsidP="00E42A05">
      <w:pPr>
        <w:pStyle w:val="SingleTxtG"/>
        <w:rPr>
          <w:lang w:val="fr-FR"/>
        </w:rPr>
      </w:pPr>
      <w:r w:rsidRPr="00AF51EA">
        <w:rPr>
          <w:lang w:val="fr-FR"/>
        </w:rPr>
        <w:t>4</w:t>
      </w:r>
      <w:r w:rsidR="002A026E" w:rsidRPr="00AF51EA">
        <w:rPr>
          <w:lang w:val="fr-FR"/>
        </w:rPr>
        <w:t>.</w:t>
      </w:r>
      <w:r w:rsidRPr="00AF51EA">
        <w:rPr>
          <w:lang w:val="fr-FR"/>
        </w:rPr>
        <w:t>7</w:t>
      </w:r>
      <w:r w:rsidRPr="00AF51EA">
        <w:rPr>
          <w:lang w:val="fr-FR"/>
        </w:rPr>
        <w:tab/>
        <w:t>En ce qui concerne le grief que les auteurs tirent de l</w:t>
      </w:r>
      <w:r w:rsidR="00AB516D" w:rsidRPr="00AF51EA">
        <w:rPr>
          <w:lang w:val="fr-FR"/>
        </w:rPr>
        <w:t>’</w:t>
      </w:r>
      <w:r w:rsidRPr="00AF51EA">
        <w:rPr>
          <w:lang w:val="fr-FR"/>
        </w:rPr>
        <w:t>article 26 du Pacte, l</w:t>
      </w:r>
      <w:r w:rsidR="00AB516D" w:rsidRPr="00AF51EA">
        <w:rPr>
          <w:lang w:val="fr-FR"/>
        </w:rPr>
        <w:t>’</w:t>
      </w:r>
      <w:r w:rsidRPr="00AF51EA">
        <w:rPr>
          <w:lang w:val="fr-FR"/>
        </w:rPr>
        <w:t>État partie fait observer qu</w:t>
      </w:r>
      <w:r w:rsidR="00AB516D" w:rsidRPr="00AF51EA">
        <w:rPr>
          <w:lang w:val="fr-FR"/>
        </w:rPr>
        <w:t>’</w:t>
      </w:r>
      <w:r w:rsidRPr="00AF51EA">
        <w:rPr>
          <w:lang w:val="fr-FR"/>
        </w:rPr>
        <w:t>il n</w:t>
      </w:r>
      <w:r w:rsidR="00AB516D" w:rsidRPr="00AF51EA">
        <w:rPr>
          <w:lang w:val="fr-FR"/>
        </w:rPr>
        <w:t>’</w:t>
      </w:r>
      <w:r w:rsidRPr="00AF51EA">
        <w:rPr>
          <w:lang w:val="fr-FR"/>
        </w:rPr>
        <w:t>est pas rare que les instruments internationaux relatifs aux droits de l</w:t>
      </w:r>
      <w:r w:rsidR="00AB516D" w:rsidRPr="00AF51EA">
        <w:rPr>
          <w:lang w:val="fr-FR"/>
        </w:rPr>
        <w:t>’</w:t>
      </w:r>
      <w:r w:rsidRPr="00AF51EA">
        <w:rPr>
          <w:lang w:val="fr-FR"/>
        </w:rPr>
        <w:t>homme établissent des distinctions fondées sur le statut au regard de la législation sur le séjour</w:t>
      </w:r>
      <w:r w:rsidRPr="00AF51EA">
        <w:rPr>
          <w:rStyle w:val="Appelnotedebasdep"/>
        </w:rPr>
        <w:footnoteReference w:id="37"/>
      </w:r>
      <w:r w:rsidR="002A026E" w:rsidRPr="00AF51EA">
        <w:rPr>
          <w:lang w:val="fr-FR"/>
        </w:rPr>
        <w:t>.</w:t>
      </w:r>
      <w:r w:rsidRPr="00AF51EA">
        <w:rPr>
          <w:lang w:val="fr-FR"/>
        </w:rPr>
        <w:t xml:space="preserve"> Il souligne que la Convention européenne des droits de l</w:t>
      </w:r>
      <w:r w:rsidR="00AB516D" w:rsidRPr="00AF51EA">
        <w:rPr>
          <w:lang w:val="fr-FR"/>
        </w:rPr>
        <w:t>’</w:t>
      </w:r>
      <w:r w:rsidRPr="00AF51EA">
        <w:rPr>
          <w:lang w:val="fr-FR"/>
        </w:rPr>
        <w:t>homme établit une telle distinction</w:t>
      </w:r>
      <w:r w:rsidRPr="00AF51EA">
        <w:rPr>
          <w:rStyle w:val="Appelnotedebasdep"/>
        </w:rPr>
        <w:footnoteReference w:id="38"/>
      </w:r>
      <w:r w:rsidRPr="00AF51EA">
        <w:rPr>
          <w:lang w:val="fr-FR"/>
        </w:rPr>
        <w:t>, et que la portée et la teneur de l</w:t>
      </w:r>
      <w:r w:rsidR="00AB516D" w:rsidRPr="00AF51EA">
        <w:rPr>
          <w:lang w:val="fr-FR"/>
        </w:rPr>
        <w:t>’</w:t>
      </w:r>
      <w:r w:rsidRPr="00AF51EA">
        <w:rPr>
          <w:lang w:val="fr-FR"/>
        </w:rPr>
        <w:t>article 26 du Pacte sont analogues aux dispositions pertinentes de ladite Convention</w:t>
      </w:r>
      <w:r w:rsidRPr="00AF51EA">
        <w:rPr>
          <w:rStyle w:val="Appelnotedebasdep"/>
        </w:rPr>
        <w:footnoteReference w:id="39"/>
      </w:r>
      <w:r w:rsidR="002A026E" w:rsidRPr="00AF51EA">
        <w:rPr>
          <w:lang w:val="fr-FR"/>
        </w:rPr>
        <w:t>.</w:t>
      </w:r>
      <w:r w:rsidRPr="00AF51EA">
        <w:rPr>
          <w:lang w:val="fr-FR"/>
        </w:rPr>
        <w:t xml:space="preserve"> L</w:t>
      </w:r>
      <w:r w:rsidR="00AB516D" w:rsidRPr="00AF51EA">
        <w:rPr>
          <w:lang w:val="fr-FR"/>
        </w:rPr>
        <w:t>’</w:t>
      </w:r>
      <w:r w:rsidRPr="00AF51EA">
        <w:rPr>
          <w:lang w:val="fr-FR"/>
        </w:rPr>
        <w:t xml:space="preserve">État partie ajoute que ces instruments interdisent non pas toutes les inégalités de traitement mais uniquement celles qui sont </w:t>
      </w:r>
      <w:r w:rsidRPr="00AF51EA">
        <w:rPr>
          <w:lang w:val="fr-FR"/>
        </w:rPr>
        <w:lastRenderedPageBreak/>
        <w:t>discriminatoires</w:t>
      </w:r>
      <w:r w:rsidRPr="00AF51EA">
        <w:rPr>
          <w:rStyle w:val="Appelnotedebasdep"/>
        </w:rPr>
        <w:footnoteReference w:id="40"/>
      </w:r>
      <w:r w:rsidR="002A026E" w:rsidRPr="00AF51EA">
        <w:rPr>
          <w:lang w:val="fr-FR"/>
        </w:rPr>
        <w:t>.</w:t>
      </w:r>
      <w:r w:rsidRPr="00AF51EA">
        <w:rPr>
          <w:lang w:val="fr-FR"/>
        </w:rPr>
        <w:t xml:space="preserve"> Il fait observer que, d</w:t>
      </w:r>
      <w:r w:rsidR="00AB516D" w:rsidRPr="00AF51EA">
        <w:rPr>
          <w:lang w:val="fr-FR"/>
        </w:rPr>
        <w:t>’</w:t>
      </w:r>
      <w:r w:rsidRPr="00AF51EA">
        <w:rPr>
          <w:lang w:val="fr-FR"/>
        </w:rPr>
        <w:t>après la jurisprudence de la Cour européenne des droits de l</w:t>
      </w:r>
      <w:r w:rsidR="00AB516D" w:rsidRPr="00AF51EA">
        <w:rPr>
          <w:lang w:val="fr-FR"/>
        </w:rPr>
        <w:t>’</w:t>
      </w:r>
      <w:r w:rsidRPr="00AF51EA">
        <w:rPr>
          <w:lang w:val="fr-FR"/>
        </w:rPr>
        <w:t>homme, seules des «</w:t>
      </w:r>
      <w:r w:rsidR="0009155E" w:rsidRPr="00AF51EA">
        <w:rPr>
          <w:lang w:val="fr-FR"/>
        </w:rPr>
        <w:t> </w:t>
      </w:r>
      <w:r w:rsidRPr="00AF51EA">
        <w:rPr>
          <w:lang w:val="fr-FR"/>
        </w:rPr>
        <w:t>considérations très fortes » peuvent justifier une distinction exclusivement fondée sur la nationalité</w:t>
      </w:r>
      <w:r w:rsidRPr="00AF51EA">
        <w:rPr>
          <w:rStyle w:val="Appelnotedebasdep"/>
        </w:rPr>
        <w:footnoteReference w:id="41"/>
      </w:r>
      <w:r w:rsidR="002A026E" w:rsidRPr="00AF51EA">
        <w:rPr>
          <w:lang w:val="fr-FR"/>
        </w:rPr>
        <w:t>.</w:t>
      </w:r>
      <w:r w:rsidRPr="00AF51EA">
        <w:rPr>
          <w:lang w:val="fr-FR"/>
        </w:rPr>
        <w:t xml:space="preserve"> L</w:t>
      </w:r>
      <w:r w:rsidR="00AB516D" w:rsidRPr="00AF51EA">
        <w:rPr>
          <w:lang w:val="fr-FR"/>
        </w:rPr>
        <w:t>’</w:t>
      </w:r>
      <w:r w:rsidRPr="00AF51EA">
        <w:rPr>
          <w:lang w:val="fr-FR"/>
        </w:rPr>
        <w:t>État partie souligne qu</w:t>
      </w:r>
      <w:r w:rsidR="00AB516D" w:rsidRPr="00AF51EA">
        <w:rPr>
          <w:lang w:val="fr-FR"/>
        </w:rPr>
        <w:t>’</w:t>
      </w:r>
      <w:r w:rsidRPr="00AF51EA">
        <w:rPr>
          <w:lang w:val="fr-FR"/>
        </w:rPr>
        <w:t>en l</w:t>
      </w:r>
      <w:r w:rsidR="00AB516D" w:rsidRPr="00AF51EA">
        <w:rPr>
          <w:lang w:val="fr-FR"/>
        </w:rPr>
        <w:t>’</w:t>
      </w:r>
      <w:r w:rsidRPr="00AF51EA">
        <w:rPr>
          <w:lang w:val="fr-FR"/>
        </w:rPr>
        <w:t>espèce, la distinction en cause repose essentiellement sur la situation des auteurs au regard de la législation relative au séjour et qu</w:t>
      </w:r>
      <w:r w:rsidR="00AB516D" w:rsidRPr="00AF51EA">
        <w:rPr>
          <w:lang w:val="fr-FR"/>
        </w:rPr>
        <w:t>’</w:t>
      </w:r>
      <w:r w:rsidRPr="00AF51EA">
        <w:rPr>
          <w:lang w:val="fr-FR"/>
        </w:rPr>
        <w:t>elle est justifiée par des motifs suffisants</w:t>
      </w:r>
      <w:r w:rsidRPr="00AF51EA">
        <w:rPr>
          <w:rStyle w:val="Appelnotedebasdep"/>
        </w:rPr>
        <w:footnoteReference w:id="42"/>
      </w:r>
      <w:r w:rsidR="002A026E" w:rsidRPr="00AF51EA">
        <w:rPr>
          <w:lang w:val="fr-FR"/>
        </w:rPr>
        <w:t>.</w:t>
      </w:r>
      <w:r w:rsidRPr="00AF51EA">
        <w:rPr>
          <w:lang w:val="fr-FR"/>
        </w:rPr>
        <w:t xml:space="preserve"> Il avance un certain nombre d</w:t>
      </w:r>
      <w:r w:rsidR="00AB516D" w:rsidRPr="00AF51EA">
        <w:rPr>
          <w:lang w:val="fr-FR"/>
        </w:rPr>
        <w:t>’</w:t>
      </w:r>
      <w:r w:rsidRPr="00AF51EA">
        <w:rPr>
          <w:lang w:val="fr-FR"/>
        </w:rPr>
        <w:t>arguments à l</w:t>
      </w:r>
      <w:r w:rsidR="00AB516D" w:rsidRPr="00AF51EA">
        <w:rPr>
          <w:lang w:val="fr-FR"/>
        </w:rPr>
        <w:t>’</w:t>
      </w:r>
      <w:r w:rsidRPr="00AF51EA">
        <w:rPr>
          <w:lang w:val="fr-FR"/>
        </w:rPr>
        <w:t>appui de cette affirmation</w:t>
      </w:r>
      <w:r w:rsidRPr="00AF51EA">
        <w:rPr>
          <w:rStyle w:val="Appelnotedebasdep"/>
        </w:rPr>
        <w:footnoteReference w:id="43"/>
      </w:r>
      <w:r w:rsidR="002A026E" w:rsidRPr="00AF51EA">
        <w:rPr>
          <w:lang w:val="fr-FR"/>
        </w:rPr>
        <w:t>.</w:t>
      </w:r>
      <w:r w:rsidRPr="00AF51EA">
        <w:rPr>
          <w:lang w:val="fr-FR"/>
        </w:rPr>
        <w:t xml:space="preserve"> En premier lieu, l</w:t>
      </w:r>
      <w:r w:rsidR="00AB516D" w:rsidRPr="00AF51EA">
        <w:rPr>
          <w:lang w:val="fr-FR"/>
        </w:rPr>
        <w:t>’</w:t>
      </w:r>
      <w:r w:rsidRPr="00AF51EA">
        <w:rPr>
          <w:lang w:val="fr-FR"/>
        </w:rPr>
        <w:t>État partie rappelle que la loi d</w:t>
      </w:r>
      <w:r w:rsidR="00AB516D" w:rsidRPr="00AF51EA">
        <w:rPr>
          <w:lang w:val="fr-FR"/>
        </w:rPr>
        <w:t>’</w:t>
      </w:r>
      <w:r w:rsidRPr="00AF51EA">
        <w:rPr>
          <w:lang w:val="fr-FR"/>
        </w:rPr>
        <w:t>interconnexion assujettit l</w:t>
      </w:r>
      <w:r w:rsidR="00AB516D" w:rsidRPr="00AF51EA">
        <w:rPr>
          <w:lang w:val="fr-FR"/>
        </w:rPr>
        <w:t>’</w:t>
      </w:r>
      <w:r w:rsidRPr="00AF51EA">
        <w:rPr>
          <w:lang w:val="fr-FR"/>
        </w:rPr>
        <w:t>octroi de prestations sociales au statut au regard de la législation sur le séjour afin d</w:t>
      </w:r>
      <w:r w:rsidR="00AB516D" w:rsidRPr="00AF51EA">
        <w:rPr>
          <w:lang w:val="fr-FR"/>
        </w:rPr>
        <w:t>’</w:t>
      </w:r>
      <w:r w:rsidRPr="00AF51EA">
        <w:rPr>
          <w:lang w:val="fr-FR"/>
        </w:rPr>
        <w:t>empêcher les étrangers en situation irrégulière et ceux qui résident légalement dans le pays uniquement parce qu</w:t>
      </w:r>
      <w:r w:rsidR="00AB516D" w:rsidRPr="00AF51EA">
        <w:rPr>
          <w:lang w:val="fr-FR"/>
        </w:rPr>
        <w:t>’</w:t>
      </w:r>
      <w:r w:rsidRPr="00AF51EA">
        <w:rPr>
          <w:lang w:val="fr-FR"/>
        </w:rPr>
        <w:t>ils sont en attente d</w:t>
      </w:r>
      <w:r w:rsidR="00AB516D" w:rsidRPr="00AF51EA">
        <w:rPr>
          <w:lang w:val="fr-FR"/>
        </w:rPr>
        <w:t>’</w:t>
      </w:r>
      <w:r w:rsidRPr="00AF51EA">
        <w:rPr>
          <w:lang w:val="fr-FR"/>
        </w:rPr>
        <w:t>une décision sur une demande de permis de séjour</w:t>
      </w:r>
      <w:r w:rsidRPr="00AF51EA">
        <w:rPr>
          <w:rStyle w:val="Appelnotedebasdep"/>
        </w:rPr>
        <w:footnoteReference w:id="44"/>
      </w:r>
      <w:r w:rsidRPr="00AF51EA">
        <w:rPr>
          <w:lang w:val="fr-FR"/>
        </w:rPr>
        <w:t xml:space="preserve"> d</w:t>
      </w:r>
      <w:r w:rsidR="00AB516D" w:rsidRPr="00AF51EA">
        <w:rPr>
          <w:lang w:val="fr-FR"/>
        </w:rPr>
        <w:t>’</w:t>
      </w:r>
      <w:r w:rsidRPr="00AF51EA">
        <w:rPr>
          <w:lang w:val="fr-FR"/>
        </w:rPr>
        <w:t>apparaître comme en situation régulière ou de consolider leur situation juridique au point que, quand la procédure arrive à son terme, il n</w:t>
      </w:r>
      <w:r w:rsidR="00AB516D" w:rsidRPr="00AF51EA">
        <w:rPr>
          <w:lang w:val="fr-FR"/>
        </w:rPr>
        <w:t>’</w:t>
      </w:r>
      <w:r w:rsidRPr="00AF51EA">
        <w:rPr>
          <w:lang w:val="fr-FR"/>
        </w:rPr>
        <w:t>est plus possible de les expulser</w:t>
      </w:r>
      <w:r w:rsidR="002A026E" w:rsidRPr="00AF51EA">
        <w:rPr>
          <w:lang w:val="fr-FR"/>
        </w:rPr>
        <w:t>.</w:t>
      </w:r>
      <w:r w:rsidRPr="00AF51EA">
        <w:rPr>
          <w:lang w:val="fr-FR"/>
        </w:rPr>
        <w:t xml:space="preserve"> Deuxièmement, l</w:t>
      </w:r>
      <w:r w:rsidR="00AB516D" w:rsidRPr="00AF51EA">
        <w:rPr>
          <w:lang w:val="fr-FR"/>
        </w:rPr>
        <w:t>’</w:t>
      </w:r>
      <w:r w:rsidRPr="00AF51EA">
        <w:rPr>
          <w:lang w:val="fr-FR"/>
        </w:rPr>
        <w:t>État partie fait observer que les étrangers en situation régulière au regard de la loi sur les étrangers ont droit à certaines aides, prestations et allocations et que les auteurs ont bénéficié de celles-ci</w:t>
      </w:r>
      <w:r w:rsidR="002A026E" w:rsidRPr="00AF51EA">
        <w:rPr>
          <w:lang w:val="fr-FR"/>
        </w:rPr>
        <w:t>.</w:t>
      </w:r>
      <w:r w:rsidRPr="00AF51EA">
        <w:rPr>
          <w:lang w:val="fr-FR"/>
        </w:rPr>
        <w:t xml:space="preserve"> Troisièmement, il indique qu</w:t>
      </w:r>
      <w:r w:rsidR="00AB516D" w:rsidRPr="00AF51EA">
        <w:rPr>
          <w:lang w:val="fr-FR"/>
        </w:rPr>
        <w:t>’</w:t>
      </w:r>
      <w:r w:rsidRPr="00AF51EA">
        <w:rPr>
          <w:lang w:val="fr-FR"/>
        </w:rPr>
        <w:t>en ce qui concerne la sécurité sociale, le législateur national jouit généralement d</w:t>
      </w:r>
      <w:r w:rsidR="00AB516D" w:rsidRPr="00AF51EA">
        <w:rPr>
          <w:lang w:val="fr-FR"/>
        </w:rPr>
        <w:t>’</w:t>
      </w:r>
      <w:r w:rsidRPr="00AF51EA">
        <w:rPr>
          <w:lang w:val="fr-FR"/>
        </w:rPr>
        <w:t>un pouvoir discrétionnaire s</w:t>
      </w:r>
      <w:r w:rsidR="00AB516D" w:rsidRPr="00AF51EA">
        <w:rPr>
          <w:lang w:val="fr-FR"/>
        </w:rPr>
        <w:t>’</w:t>
      </w:r>
      <w:r w:rsidRPr="00AF51EA">
        <w:rPr>
          <w:lang w:val="fr-FR"/>
        </w:rPr>
        <w:t>agissant de déterminer s</w:t>
      </w:r>
      <w:r w:rsidR="00AB516D" w:rsidRPr="00AF51EA">
        <w:rPr>
          <w:lang w:val="fr-FR"/>
        </w:rPr>
        <w:t>’</w:t>
      </w:r>
      <w:r w:rsidRPr="00AF51EA">
        <w:rPr>
          <w:lang w:val="fr-FR"/>
        </w:rPr>
        <w:t>il existe un motif objectif et raisonnable d</w:t>
      </w:r>
      <w:r w:rsidR="00AB516D" w:rsidRPr="00AF51EA">
        <w:rPr>
          <w:lang w:val="fr-FR"/>
        </w:rPr>
        <w:t>’</w:t>
      </w:r>
      <w:r w:rsidRPr="00AF51EA">
        <w:rPr>
          <w:lang w:val="fr-FR"/>
        </w:rPr>
        <w:t>établir une distinction</w:t>
      </w:r>
      <w:r w:rsidR="002A026E" w:rsidRPr="00AF51EA">
        <w:rPr>
          <w:lang w:val="fr-FR"/>
        </w:rPr>
        <w:t>.</w:t>
      </w:r>
      <w:r w:rsidRPr="00AF51EA">
        <w:rPr>
          <w:lang w:val="fr-FR"/>
        </w:rPr>
        <w:t xml:space="preserve"> </w:t>
      </w:r>
    </w:p>
    <w:p w14:paraId="38522676" w14:textId="77777777" w:rsidR="00E42A05" w:rsidRPr="00AF51EA" w:rsidRDefault="00E42A05" w:rsidP="00E42A05">
      <w:pPr>
        <w:pStyle w:val="SingleTxtG"/>
        <w:rPr>
          <w:lang w:val="fr-FR"/>
        </w:rPr>
      </w:pPr>
      <w:r w:rsidRPr="00AF51EA">
        <w:rPr>
          <w:lang w:val="fr-FR"/>
        </w:rPr>
        <w:t>4</w:t>
      </w:r>
      <w:r w:rsidR="002A026E" w:rsidRPr="00AF51EA">
        <w:rPr>
          <w:lang w:val="fr-FR"/>
        </w:rPr>
        <w:t>.</w:t>
      </w:r>
      <w:r w:rsidRPr="00AF51EA">
        <w:rPr>
          <w:lang w:val="fr-FR"/>
        </w:rPr>
        <w:t>8</w:t>
      </w:r>
      <w:r w:rsidRPr="00AF51EA">
        <w:rPr>
          <w:lang w:val="fr-FR"/>
        </w:rPr>
        <w:tab/>
        <w:t>L</w:t>
      </w:r>
      <w:r w:rsidR="00AB516D" w:rsidRPr="00AF51EA">
        <w:rPr>
          <w:lang w:val="fr-FR"/>
        </w:rPr>
        <w:t>’</w:t>
      </w:r>
      <w:r w:rsidRPr="00AF51EA">
        <w:rPr>
          <w:lang w:val="fr-FR"/>
        </w:rPr>
        <w:t>État partie soutient qu</w:t>
      </w:r>
      <w:r w:rsidR="00AB516D" w:rsidRPr="00AF51EA">
        <w:rPr>
          <w:lang w:val="fr-FR"/>
        </w:rPr>
        <w:t>’</w:t>
      </w:r>
      <w:r w:rsidRPr="00AF51EA">
        <w:rPr>
          <w:lang w:val="fr-FR"/>
        </w:rPr>
        <w:t>une obligation inconditionnelle de traiter les étrangers en situation irrégulière de la même manière que les nationaux ou les personnes qui ont été admises dans le pays le priverait de la possibilité de mener une politique d</w:t>
      </w:r>
      <w:r w:rsidR="00AB516D" w:rsidRPr="00AF51EA">
        <w:rPr>
          <w:lang w:val="fr-FR"/>
        </w:rPr>
        <w:t>’</w:t>
      </w:r>
      <w:r w:rsidRPr="00AF51EA">
        <w:rPr>
          <w:lang w:val="fr-FR"/>
        </w:rPr>
        <w:t>immigration protégeant le bien-être économique du pays</w:t>
      </w:r>
      <w:r w:rsidRPr="00AF51EA">
        <w:rPr>
          <w:rStyle w:val="Appelnotedebasdep"/>
        </w:rPr>
        <w:footnoteReference w:id="45"/>
      </w:r>
      <w:r w:rsidR="002A026E" w:rsidRPr="00AF51EA">
        <w:rPr>
          <w:lang w:val="fr-FR"/>
        </w:rPr>
        <w:t>.</w:t>
      </w:r>
      <w:r w:rsidRPr="00AF51EA">
        <w:rPr>
          <w:lang w:val="fr-FR"/>
        </w:rPr>
        <w:t xml:space="preserve"> Rappelant la jurisprudence de la Cour européenne des droits de l</w:t>
      </w:r>
      <w:r w:rsidR="00AB516D" w:rsidRPr="00AF51EA">
        <w:rPr>
          <w:lang w:val="fr-FR"/>
        </w:rPr>
        <w:t>’</w:t>
      </w:r>
      <w:r w:rsidRPr="00AF51EA">
        <w:rPr>
          <w:lang w:val="fr-FR"/>
        </w:rPr>
        <w:t>homme, il fait observer qu</w:t>
      </w:r>
      <w:r w:rsidR="00AB516D" w:rsidRPr="00AF51EA">
        <w:rPr>
          <w:lang w:val="fr-FR"/>
        </w:rPr>
        <w:t>’</w:t>
      </w:r>
      <w:r w:rsidRPr="00AF51EA">
        <w:rPr>
          <w:lang w:val="fr-FR"/>
        </w:rPr>
        <w:t>en droit international, les États jouissent du droit de contrôler l</w:t>
      </w:r>
      <w:r w:rsidR="00AB516D" w:rsidRPr="00AF51EA">
        <w:rPr>
          <w:lang w:val="fr-FR"/>
        </w:rPr>
        <w:t>’</w:t>
      </w:r>
      <w:r w:rsidRPr="00AF51EA">
        <w:rPr>
          <w:lang w:val="fr-FR"/>
        </w:rPr>
        <w:t>entrée et le séjour des étrangers et de les expulser</w:t>
      </w:r>
      <w:r w:rsidRPr="00AF51EA">
        <w:rPr>
          <w:rStyle w:val="Appelnotedebasdep"/>
        </w:rPr>
        <w:footnoteReference w:id="46"/>
      </w:r>
      <w:r w:rsidR="002A026E" w:rsidRPr="00AF51EA">
        <w:rPr>
          <w:lang w:val="fr-FR"/>
        </w:rPr>
        <w:t>.</w:t>
      </w:r>
      <w:r w:rsidRPr="00AF51EA">
        <w:rPr>
          <w:lang w:val="fr-FR"/>
        </w:rPr>
        <w:t xml:space="preserve"> L</w:t>
      </w:r>
      <w:r w:rsidR="00AB516D" w:rsidRPr="00AF51EA">
        <w:rPr>
          <w:lang w:val="fr-FR"/>
        </w:rPr>
        <w:t>’</w:t>
      </w:r>
      <w:r w:rsidRPr="00AF51EA">
        <w:rPr>
          <w:lang w:val="fr-FR"/>
        </w:rPr>
        <w:t>État partie souligne en outre qu</w:t>
      </w:r>
      <w:r w:rsidR="00AB516D" w:rsidRPr="00AF51EA">
        <w:rPr>
          <w:lang w:val="fr-FR"/>
        </w:rPr>
        <w:t>’</w:t>
      </w:r>
      <w:r w:rsidRPr="00AF51EA">
        <w:rPr>
          <w:lang w:val="fr-FR"/>
        </w:rPr>
        <w:t>aucun des traités des Nations Unies relatifs aux droits de l</w:t>
      </w:r>
      <w:r w:rsidR="00AB516D" w:rsidRPr="00AF51EA">
        <w:rPr>
          <w:lang w:val="fr-FR"/>
        </w:rPr>
        <w:t>’</w:t>
      </w:r>
      <w:r w:rsidRPr="00AF51EA">
        <w:rPr>
          <w:lang w:val="fr-FR"/>
        </w:rPr>
        <w:t>homme ne garantit un droit à une allocation pour enfant à charge</w:t>
      </w:r>
      <w:r w:rsidRPr="00AF51EA">
        <w:rPr>
          <w:rStyle w:val="Appelnotedebasdep"/>
        </w:rPr>
        <w:footnoteReference w:id="47"/>
      </w:r>
      <w:r w:rsidR="002A026E" w:rsidRPr="00AF51EA">
        <w:rPr>
          <w:lang w:val="fr-FR"/>
        </w:rPr>
        <w:t>.</w:t>
      </w:r>
      <w:r w:rsidRPr="00AF51EA">
        <w:rPr>
          <w:lang w:val="fr-FR"/>
        </w:rPr>
        <w:t xml:space="preserve"> Il ajoute que la décision de ne pas accorder aux auteurs l</w:t>
      </w:r>
      <w:r w:rsidR="00AB516D" w:rsidRPr="00AF51EA">
        <w:rPr>
          <w:lang w:val="fr-FR"/>
        </w:rPr>
        <w:t>’</w:t>
      </w:r>
      <w:r w:rsidRPr="00AF51EA">
        <w:rPr>
          <w:lang w:val="fr-FR"/>
        </w:rPr>
        <w:t>allocation de base pour enfant à charge était raisonnable et proportionnée à son objectif légitime et qu</w:t>
      </w:r>
      <w:r w:rsidR="00AB516D" w:rsidRPr="00AF51EA">
        <w:rPr>
          <w:lang w:val="fr-FR"/>
        </w:rPr>
        <w:t>’</w:t>
      </w:r>
      <w:r w:rsidRPr="00AF51EA">
        <w:rPr>
          <w:lang w:val="fr-FR"/>
        </w:rPr>
        <w:t>en conséquence, elle est justifiée par des motifs suffisants, et que le fait que les auteurs vivaient depuis longtemps aux Pays-Bas et que les autorités le savaient n</w:t>
      </w:r>
      <w:r w:rsidR="00AB516D" w:rsidRPr="00AF51EA">
        <w:rPr>
          <w:lang w:val="fr-FR"/>
        </w:rPr>
        <w:t>’</w:t>
      </w:r>
      <w:r w:rsidRPr="00AF51EA">
        <w:rPr>
          <w:lang w:val="fr-FR"/>
        </w:rPr>
        <w:t>a pas d</w:t>
      </w:r>
      <w:r w:rsidR="00AB516D" w:rsidRPr="00AF51EA">
        <w:rPr>
          <w:lang w:val="fr-FR"/>
        </w:rPr>
        <w:t>’</w:t>
      </w:r>
      <w:r w:rsidRPr="00AF51EA">
        <w:rPr>
          <w:lang w:val="fr-FR"/>
        </w:rPr>
        <w:t>incidence sur cette conclusion</w:t>
      </w:r>
      <w:r w:rsidR="002A026E" w:rsidRPr="00AF51EA">
        <w:rPr>
          <w:lang w:val="fr-FR"/>
        </w:rPr>
        <w:t>.</w:t>
      </w:r>
      <w:r w:rsidRPr="00AF51EA">
        <w:rPr>
          <w:lang w:val="fr-FR"/>
        </w:rPr>
        <w:t xml:space="preserve"> En outre, l</w:t>
      </w:r>
      <w:r w:rsidR="00AB516D" w:rsidRPr="00AF51EA">
        <w:rPr>
          <w:lang w:val="fr-FR"/>
        </w:rPr>
        <w:t>’</w:t>
      </w:r>
      <w:r w:rsidRPr="00AF51EA">
        <w:rPr>
          <w:lang w:val="fr-FR"/>
        </w:rPr>
        <w:t>État partie conteste le bien-fondé de l</w:t>
      </w:r>
      <w:r w:rsidR="00AB516D" w:rsidRPr="00AF51EA">
        <w:rPr>
          <w:lang w:val="fr-FR"/>
        </w:rPr>
        <w:t>’</w:t>
      </w:r>
      <w:r w:rsidRPr="00AF51EA">
        <w:rPr>
          <w:lang w:val="fr-FR"/>
        </w:rPr>
        <w:t>argument de l</w:t>
      </w:r>
      <w:r w:rsidR="00AB516D" w:rsidRPr="00AF51EA">
        <w:rPr>
          <w:lang w:val="fr-FR"/>
        </w:rPr>
        <w:t>’</w:t>
      </w:r>
      <w:r w:rsidRPr="00AF51EA">
        <w:rPr>
          <w:lang w:val="fr-FR"/>
        </w:rPr>
        <w:t>auteur selon lequel la Cour suprême n</w:t>
      </w:r>
      <w:r w:rsidR="00AB516D" w:rsidRPr="00AF51EA">
        <w:rPr>
          <w:lang w:val="fr-FR"/>
        </w:rPr>
        <w:t>’</w:t>
      </w:r>
      <w:r w:rsidRPr="00AF51EA">
        <w:rPr>
          <w:lang w:val="fr-FR"/>
        </w:rPr>
        <w:t>a pas appliqué le bon critère en ne cherchant pas à savoir si la différence de traitement était justifiée par « des considérations très fortes »</w:t>
      </w:r>
      <w:r w:rsidRPr="00AF51EA">
        <w:rPr>
          <w:rStyle w:val="Appelnotedebasdep"/>
        </w:rPr>
        <w:footnoteReference w:id="48"/>
      </w:r>
      <w:r w:rsidRPr="00AF51EA">
        <w:rPr>
          <w:lang w:val="fr-FR"/>
        </w:rPr>
        <w:t xml:space="preserve"> et soutient que les intérêts des auteurs ont été suffisamment mis en balance avec l</w:t>
      </w:r>
      <w:r w:rsidR="00AB516D" w:rsidRPr="00AF51EA">
        <w:rPr>
          <w:lang w:val="fr-FR"/>
        </w:rPr>
        <w:t>’</w:t>
      </w:r>
      <w:r w:rsidRPr="00AF51EA">
        <w:rPr>
          <w:lang w:val="fr-FR"/>
        </w:rPr>
        <w:t>intérêt public</w:t>
      </w:r>
      <w:r w:rsidRPr="00AF51EA">
        <w:rPr>
          <w:rStyle w:val="Appelnotedebasdep"/>
        </w:rPr>
        <w:footnoteReference w:id="49"/>
      </w:r>
      <w:r w:rsidR="002A026E" w:rsidRPr="00AF51EA">
        <w:rPr>
          <w:lang w:val="fr-FR"/>
        </w:rPr>
        <w:t>.</w:t>
      </w:r>
      <w:r w:rsidRPr="00AF51EA">
        <w:rPr>
          <w:lang w:val="fr-FR"/>
        </w:rPr>
        <w:t xml:space="preserve"> Il rappelle que le fait qu</w:t>
      </w:r>
      <w:r w:rsidR="00AB516D" w:rsidRPr="00AF51EA">
        <w:rPr>
          <w:lang w:val="fr-FR"/>
        </w:rPr>
        <w:t>’</w:t>
      </w:r>
      <w:r w:rsidRPr="00AF51EA">
        <w:rPr>
          <w:lang w:val="fr-FR"/>
        </w:rPr>
        <w:t>un étranger ait vécu longtemps aux Pays-Bas sans obtenir de permis de séjour valable n</w:t>
      </w:r>
      <w:r w:rsidR="00AB516D" w:rsidRPr="00AF51EA">
        <w:rPr>
          <w:lang w:val="fr-FR"/>
        </w:rPr>
        <w:t>’</w:t>
      </w:r>
      <w:r w:rsidRPr="00AF51EA">
        <w:rPr>
          <w:lang w:val="fr-FR"/>
        </w:rPr>
        <w:t>est pas une caractéristique personnelle inhérente ou immuable mais procède en partie d</w:t>
      </w:r>
      <w:r w:rsidR="00AB516D" w:rsidRPr="00AF51EA">
        <w:rPr>
          <w:lang w:val="fr-FR"/>
        </w:rPr>
        <w:t>’</w:t>
      </w:r>
      <w:r w:rsidRPr="00AF51EA">
        <w:rPr>
          <w:lang w:val="fr-FR"/>
        </w:rPr>
        <w:t>un choix</w:t>
      </w:r>
      <w:r w:rsidR="002A026E" w:rsidRPr="00AF51EA">
        <w:rPr>
          <w:lang w:val="fr-FR"/>
        </w:rPr>
        <w:t>.</w:t>
      </w:r>
      <w:r w:rsidRPr="00AF51EA">
        <w:rPr>
          <w:lang w:val="fr-FR"/>
        </w:rPr>
        <w:t xml:space="preserve"> En conséquence, l</w:t>
      </w:r>
      <w:r w:rsidR="00AB516D" w:rsidRPr="00AF51EA">
        <w:rPr>
          <w:lang w:val="fr-FR"/>
        </w:rPr>
        <w:t>’</w:t>
      </w:r>
      <w:r w:rsidRPr="00AF51EA">
        <w:rPr>
          <w:lang w:val="fr-FR"/>
        </w:rPr>
        <w:t>État partie fait valoir que la justification requise ne devrait pas être aussi forte que dans le cas d</w:t>
      </w:r>
      <w:r w:rsidR="00AB516D" w:rsidRPr="00AF51EA">
        <w:rPr>
          <w:lang w:val="fr-FR"/>
        </w:rPr>
        <w:t>’</w:t>
      </w:r>
      <w:r w:rsidRPr="00AF51EA">
        <w:rPr>
          <w:lang w:val="fr-FR"/>
        </w:rPr>
        <w:t>une distinction fondée sur la nationalité</w:t>
      </w:r>
      <w:r w:rsidRPr="00AF51EA">
        <w:rPr>
          <w:rStyle w:val="Appelnotedebasdep"/>
        </w:rPr>
        <w:footnoteReference w:id="50"/>
      </w:r>
      <w:r w:rsidR="002A026E" w:rsidRPr="00AF51EA">
        <w:rPr>
          <w:lang w:val="fr-FR"/>
        </w:rPr>
        <w:t>.</w:t>
      </w:r>
      <w:r w:rsidRPr="00AF51EA">
        <w:rPr>
          <w:lang w:val="fr-FR"/>
        </w:rPr>
        <w:t xml:space="preserve"> À ce propos, il conteste l</w:t>
      </w:r>
      <w:r w:rsidR="00AB516D" w:rsidRPr="00AF51EA">
        <w:rPr>
          <w:lang w:val="fr-FR"/>
        </w:rPr>
        <w:t>’</w:t>
      </w:r>
      <w:r w:rsidRPr="00AF51EA">
        <w:rPr>
          <w:lang w:val="fr-FR"/>
        </w:rPr>
        <w:t xml:space="preserve">analogie que les auteurs font entre leur affaire et les constatations du Comité concernant la </w:t>
      </w:r>
      <w:r w:rsidRPr="00AF51EA">
        <w:rPr>
          <w:lang w:val="fr-FR"/>
        </w:rPr>
        <w:lastRenderedPageBreak/>
        <w:t xml:space="preserve">communication </w:t>
      </w:r>
      <w:proofErr w:type="spellStart"/>
      <w:r w:rsidRPr="00AF51EA">
        <w:rPr>
          <w:i/>
          <w:iCs/>
          <w:lang w:val="fr-FR"/>
        </w:rPr>
        <w:t>Derksen</w:t>
      </w:r>
      <w:proofErr w:type="spellEnd"/>
      <w:r w:rsidRPr="00AF51EA">
        <w:rPr>
          <w:i/>
          <w:iCs/>
          <w:lang w:val="fr-FR"/>
        </w:rPr>
        <w:t xml:space="preserve"> </w:t>
      </w:r>
      <w:r w:rsidRPr="00AF51EA">
        <w:rPr>
          <w:lang w:val="fr-FR"/>
        </w:rPr>
        <w:t>c</w:t>
      </w:r>
      <w:r w:rsidR="002A026E" w:rsidRPr="00AF51EA">
        <w:rPr>
          <w:lang w:val="fr-FR"/>
        </w:rPr>
        <w:t>.</w:t>
      </w:r>
      <w:r w:rsidRPr="00AF51EA">
        <w:rPr>
          <w:i/>
          <w:iCs/>
          <w:lang w:val="fr-FR"/>
        </w:rPr>
        <w:t xml:space="preserve"> Pays-Bas </w:t>
      </w:r>
      <w:r w:rsidRPr="00AF51EA">
        <w:rPr>
          <w:lang w:val="fr-FR"/>
        </w:rPr>
        <w:t xml:space="preserve">puisque </w:t>
      </w:r>
      <w:r w:rsidRPr="00AF51EA">
        <w:rPr>
          <w:iCs/>
          <w:lang w:val="fr-FR"/>
        </w:rPr>
        <w:t xml:space="preserve">leur communication ne </w:t>
      </w:r>
      <w:r w:rsidRPr="00AF51EA">
        <w:rPr>
          <w:lang w:val="fr-FR"/>
        </w:rPr>
        <w:t>porte que sur une distinction fondée sur la situation au regard de la législation sur le séjour</w:t>
      </w:r>
      <w:r w:rsidR="002A026E" w:rsidRPr="00AF51EA">
        <w:rPr>
          <w:lang w:val="fr-FR"/>
        </w:rPr>
        <w:t>.</w:t>
      </w:r>
    </w:p>
    <w:p w14:paraId="429A4852" w14:textId="77777777" w:rsidR="00E42A05" w:rsidRPr="00AF51EA" w:rsidRDefault="00E42A05" w:rsidP="00E42A05">
      <w:pPr>
        <w:pStyle w:val="SingleTxtG"/>
        <w:rPr>
          <w:lang w:val="fr-FR"/>
        </w:rPr>
      </w:pPr>
      <w:r w:rsidRPr="00AF51EA">
        <w:rPr>
          <w:lang w:val="fr-FR"/>
        </w:rPr>
        <w:t>4</w:t>
      </w:r>
      <w:r w:rsidR="002A026E" w:rsidRPr="00AF51EA">
        <w:rPr>
          <w:lang w:val="fr-FR"/>
        </w:rPr>
        <w:t>.</w:t>
      </w:r>
      <w:r w:rsidRPr="00AF51EA">
        <w:rPr>
          <w:lang w:val="fr-FR"/>
        </w:rPr>
        <w:t>9</w:t>
      </w:r>
      <w:r w:rsidRPr="00AF51EA">
        <w:rPr>
          <w:lang w:val="fr-FR"/>
        </w:rPr>
        <w:tab/>
        <w:t>L</w:t>
      </w:r>
      <w:r w:rsidR="00AB516D" w:rsidRPr="00AF51EA">
        <w:rPr>
          <w:lang w:val="fr-FR"/>
        </w:rPr>
        <w:t>’</w:t>
      </w:r>
      <w:r w:rsidRPr="00AF51EA">
        <w:rPr>
          <w:lang w:val="fr-FR"/>
        </w:rPr>
        <w:t>État partie estime en outre que le renvoi des auteurs à la décision du Comité européen des droits sociaux en l</w:t>
      </w:r>
      <w:r w:rsidR="00AB516D" w:rsidRPr="00AF51EA">
        <w:rPr>
          <w:lang w:val="fr-FR"/>
        </w:rPr>
        <w:t>’</w:t>
      </w:r>
      <w:r w:rsidRPr="00AF51EA">
        <w:rPr>
          <w:lang w:val="fr-FR"/>
        </w:rPr>
        <w:t xml:space="preserve">affaire </w:t>
      </w:r>
      <w:r w:rsidRPr="00AF51EA">
        <w:rPr>
          <w:i/>
          <w:iCs/>
          <w:lang w:val="fr-FR"/>
        </w:rPr>
        <w:t xml:space="preserve">Conférence des Églises européennes </w:t>
      </w:r>
      <w:r w:rsidRPr="00AF51EA">
        <w:rPr>
          <w:lang w:val="fr-FR"/>
        </w:rPr>
        <w:t>c</w:t>
      </w:r>
      <w:r w:rsidR="002A026E" w:rsidRPr="00AF51EA">
        <w:rPr>
          <w:lang w:val="fr-FR"/>
        </w:rPr>
        <w:t>.</w:t>
      </w:r>
      <w:r w:rsidRPr="00AF51EA">
        <w:rPr>
          <w:i/>
          <w:iCs/>
          <w:lang w:val="fr-FR"/>
        </w:rPr>
        <w:t xml:space="preserve"> Pays-Bas </w:t>
      </w:r>
      <w:r w:rsidRPr="00AF51EA">
        <w:rPr>
          <w:lang w:val="fr-FR"/>
        </w:rPr>
        <w:t>est dénué de pertinence en l</w:t>
      </w:r>
      <w:r w:rsidR="00AB516D" w:rsidRPr="00AF51EA">
        <w:rPr>
          <w:lang w:val="fr-FR"/>
        </w:rPr>
        <w:t>’</w:t>
      </w:r>
      <w:r w:rsidRPr="00AF51EA">
        <w:rPr>
          <w:lang w:val="fr-FR"/>
        </w:rPr>
        <w:t>espèce car cette affaire est sans rapport avec l</w:t>
      </w:r>
      <w:r w:rsidR="00AB516D" w:rsidRPr="00AF51EA">
        <w:rPr>
          <w:lang w:val="fr-FR"/>
        </w:rPr>
        <w:t>’</w:t>
      </w:r>
      <w:r w:rsidRPr="00AF51EA">
        <w:rPr>
          <w:lang w:val="fr-FR"/>
        </w:rPr>
        <w:t>octroi de prestations de sécurité sociale</w:t>
      </w:r>
      <w:r w:rsidR="002A026E" w:rsidRPr="00AF51EA">
        <w:rPr>
          <w:lang w:val="fr-FR"/>
        </w:rPr>
        <w:t>.</w:t>
      </w:r>
    </w:p>
    <w:p w14:paraId="33D54842" w14:textId="77777777" w:rsidR="00E42A05" w:rsidRPr="00AF51EA" w:rsidRDefault="00E42A05" w:rsidP="0009155E">
      <w:pPr>
        <w:pStyle w:val="H23G"/>
        <w:rPr>
          <w:lang w:val="fr-FR"/>
        </w:rPr>
      </w:pPr>
      <w:r w:rsidRPr="00AF51EA">
        <w:rPr>
          <w:lang w:val="fr-FR"/>
        </w:rPr>
        <w:tab/>
      </w:r>
      <w:r w:rsidRPr="00AF51EA">
        <w:rPr>
          <w:lang w:val="fr-FR"/>
        </w:rPr>
        <w:tab/>
        <w:t>Commentaires des auteurs sur les observations de l</w:t>
      </w:r>
      <w:r w:rsidR="00AB516D" w:rsidRPr="00AF51EA">
        <w:rPr>
          <w:lang w:val="fr-FR"/>
        </w:rPr>
        <w:t>’</w:t>
      </w:r>
      <w:r w:rsidRPr="00AF51EA">
        <w:rPr>
          <w:lang w:val="fr-FR"/>
        </w:rPr>
        <w:t xml:space="preserve">État partie </w:t>
      </w:r>
      <w:r w:rsidRPr="00AF51EA">
        <w:rPr>
          <w:lang w:val="fr-FR"/>
        </w:rPr>
        <w:br/>
        <w:t>sur la recevabilité et le fond</w:t>
      </w:r>
    </w:p>
    <w:p w14:paraId="1841D6FC" w14:textId="77777777" w:rsidR="00E42A05" w:rsidRPr="00AF51EA" w:rsidRDefault="00E42A05" w:rsidP="00E42A05">
      <w:pPr>
        <w:pStyle w:val="SingleTxtG"/>
        <w:rPr>
          <w:lang w:val="fr-FR"/>
        </w:rPr>
      </w:pPr>
      <w:r w:rsidRPr="00AF51EA">
        <w:rPr>
          <w:lang w:val="fr-FR"/>
        </w:rPr>
        <w:t>5</w:t>
      </w:r>
      <w:r w:rsidR="002A026E" w:rsidRPr="00AF51EA">
        <w:rPr>
          <w:lang w:val="fr-FR"/>
        </w:rPr>
        <w:t>.</w:t>
      </w:r>
      <w:r w:rsidRPr="00AF51EA">
        <w:rPr>
          <w:lang w:val="fr-FR"/>
        </w:rPr>
        <w:t>1</w:t>
      </w:r>
      <w:r w:rsidRPr="00AF51EA">
        <w:rPr>
          <w:lang w:val="fr-FR"/>
        </w:rPr>
        <w:tab/>
        <w:t>Le 18 novembre 2015, les auteurs ont soumis leurs commentaires sur les observations de l</w:t>
      </w:r>
      <w:r w:rsidR="00AB516D" w:rsidRPr="00AF51EA">
        <w:rPr>
          <w:lang w:val="fr-FR"/>
        </w:rPr>
        <w:t>’</w:t>
      </w:r>
      <w:r w:rsidRPr="00AF51EA">
        <w:rPr>
          <w:lang w:val="fr-FR"/>
        </w:rPr>
        <w:t>État partie</w:t>
      </w:r>
      <w:r w:rsidR="002A026E" w:rsidRPr="00AF51EA">
        <w:rPr>
          <w:lang w:val="fr-FR"/>
        </w:rPr>
        <w:t>.</w:t>
      </w:r>
      <w:r w:rsidRPr="00AF51EA">
        <w:rPr>
          <w:lang w:val="fr-FR"/>
        </w:rPr>
        <w:t xml:space="preserve"> Ils affirment qu</w:t>
      </w:r>
      <w:r w:rsidR="00AB516D" w:rsidRPr="00AF51EA">
        <w:rPr>
          <w:lang w:val="fr-FR"/>
        </w:rPr>
        <w:t>’</w:t>
      </w:r>
      <w:r w:rsidRPr="00AF51EA">
        <w:rPr>
          <w:lang w:val="fr-FR"/>
        </w:rPr>
        <w:t>en rejetant leur demande d</w:t>
      </w:r>
      <w:r w:rsidR="00AB516D" w:rsidRPr="00AF51EA">
        <w:rPr>
          <w:lang w:val="fr-FR"/>
        </w:rPr>
        <w:t>’</w:t>
      </w:r>
      <w:r w:rsidRPr="00AF51EA">
        <w:rPr>
          <w:lang w:val="fr-FR"/>
        </w:rPr>
        <w:t>allocation de base pour enfant à charge sur le seul fondement de leur statut au regard de la législation sur le séjour, l</w:t>
      </w:r>
      <w:r w:rsidR="00AB516D" w:rsidRPr="00AF51EA">
        <w:rPr>
          <w:lang w:val="fr-FR"/>
        </w:rPr>
        <w:t>’</w:t>
      </w:r>
      <w:r w:rsidRPr="00AF51EA">
        <w:rPr>
          <w:lang w:val="fr-FR"/>
        </w:rPr>
        <w:t>État partie n</w:t>
      </w:r>
      <w:r w:rsidR="00AB516D" w:rsidRPr="00AF51EA">
        <w:rPr>
          <w:lang w:val="fr-FR"/>
        </w:rPr>
        <w:t>’</w:t>
      </w:r>
      <w:r w:rsidRPr="00AF51EA">
        <w:rPr>
          <w:lang w:val="fr-FR"/>
        </w:rPr>
        <w:t>a pas tenu compte du fait qu</w:t>
      </w:r>
      <w:r w:rsidR="00AB516D" w:rsidRPr="00AF51EA">
        <w:rPr>
          <w:lang w:val="fr-FR"/>
        </w:rPr>
        <w:t>’</w:t>
      </w:r>
      <w:r w:rsidRPr="00AF51EA">
        <w:rPr>
          <w:lang w:val="fr-FR"/>
        </w:rPr>
        <w:t>au moment où ils ont présenté cette demande, R</w:t>
      </w:r>
      <w:r w:rsidR="002A026E" w:rsidRPr="00AF51EA">
        <w:rPr>
          <w:lang w:val="fr-FR"/>
        </w:rPr>
        <w:t>.</w:t>
      </w:r>
      <w:r w:rsidRPr="00AF51EA">
        <w:rPr>
          <w:lang w:val="fr-FR"/>
        </w:rPr>
        <w:t xml:space="preserve"> était une enfant de 4 ans vulnérable qui avait des besoins spéciaux et qu</w:t>
      </w:r>
      <w:r w:rsidR="00AB516D" w:rsidRPr="00AF51EA">
        <w:rPr>
          <w:lang w:val="fr-FR"/>
        </w:rPr>
        <w:t>’</w:t>
      </w:r>
      <w:r w:rsidRPr="00AF51EA">
        <w:rPr>
          <w:lang w:val="fr-FR"/>
        </w:rPr>
        <w:t>elle vivait dans une situation de pauvreté et de misère extrêmes, ce que n</w:t>
      </w:r>
      <w:r w:rsidR="00AB516D" w:rsidRPr="00AF51EA">
        <w:rPr>
          <w:lang w:val="fr-FR"/>
        </w:rPr>
        <w:t>’</w:t>
      </w:r>
      <w:r w:rsidRPr="00AF51EA">
        <w:rPr>
          <w:lang w:val="fr-FR"/>
        </w:rPr>
        <w:t>a pas contesté l</w:t>
      </w:r>
      <w:r w:rsidR="00AB516D" w:rsidRPr="00AF51EA">
        <w:rPr>
          <w:lang w:val="fr-FR"/>
        </w:rPr>
        <w:t>’</w:t>
      </w:r>
      <w:r w:rsidRPr="00AF51EA">
        <w:rPr>
          <w:lang w:val="fr-FR"/>
        </w:rPr>
        <w:t>État partie</w:t>
      </w:r>
      <w:r w:rsidR="002A026E" w:rsidRPr="00AF51EA">
        <w:rPr>
          <w:lang w:val="fr-FR"/>
        </w:rPr>
        <w:t>.</w:t>
      </w:r>
      <w:r w:rsidRPr="00AF51EA">
        <w:rPr>
          <w:lang w:val="fr-FR"/>
        </w:rPr>
        <w:t xml:space="preserve"> Ils ajoutent que la situation de R</w:t>
      </w:r>
      <w:r w:rsidR="002A026E" w:rsidRPr="00AF51EA">
        <w:rPr>
          <w:lang w:val="fr-FR"/>
        </w:rPr>
        <w:t>.</w:t>
      </w:r>
      <w:r w:rsidRPr="00AF51EA">
        <w:rPr>
          <w:lang w:val="fr-FR"/>
        </w:rPr>
        <w:t xml:space="preserve"> aurait justifié une application plus souple de la loi d</w:t>
      </w:r>
      <w:r w:rsidR="00AB516D" w:rsidRPr="00AF51EA">
        <w:rPr>
          <w:lang w:val="fr-FR"/>
        </w:rPr>
        <w:t>’</w:t>
      </w:r>
      <w:r w:rsidRPr="00AF51EA">
        <w:rPr>
          <w:lang w:val="fr-FR"/>
        </w:rPr>
        <w:t>interconnexion ainsi que des politiques publiques, et ils soulignent que, dans ses observations, l</w:t>
      </w:r>
      <w:r w:rsidR="00AB516D" w:rsidRPr="00AF51EA">
        <w:rPr>
          <w:lang w:val="fr-FR"/>
        </w:rPr>
        <w:t>’</w:t>
      </w:r>
      <w:r w:rsidRPr="00AF51EA">
        <w:rPr>
          <w:lang w:val="fr-FR"/>
        </w:rPr>
        <w:t>État partie n</w:t>
      </w:r>
      <w:r w:rsidR="00AB516D" w:rsidRPr="00AF51EA">
        <w:rPr>
          <w:lang w:val="fr-FR"/>
        </w:rPr>
        <w:t>’</w:t>
      </w:r>
      <w:r w:rsidRPr="00AF51EA">
        <w:rPr>
          <w:lang w:val="fr-FR"/>
        </w:rPr>
        <w:t>a pas tenu compte de ces circonstances, en particulier de l</w:t>
      </w:r>
      <w:r w:rsidR="00AB516D" w:rsidRPr="00AF51EA">
        <w:rPr>
          <w:lang w:val="fr-FR"/>
        </w:rPr>
        <w:t>’</w:t>
      </w:r>
      <w:r w:rsidRPr="00AF51EA">
        <w:rPr>
          <w:lang w:val="fr-FR"/>
        </w:rPr>
        <w:t>intérêt de l</w:t>
      </w:r>
      <w:r w:rsidR="00AB516D" w:rsidRPr="00AF51EA">
        <w:rPr>
          <w:lang w:val="fr-FR"/>
        </w:rPr>
        <w:t>’</w:t>
      </w:r>
      <w:r w:rsidRPr="00AF51EA">
        <w:rPr>
          <w:lang w:val="fr-FR"/>
        </w:rPr>
        <w:t>enfant</w:t>
      </w:r>
      <w:r w:rsidR="002A026E" w:rsidRPr="00AF51EA">
        <w:rPr>
          <w:lang w:val="fr-FR"/>
        </w:rPr>
        <w:t>.</w:t>
      </w:r>
    </w:p>
    <w:p w14:paraId="30E12E35" w14:textId="77777777" w:rsidR="00E42A05" w:rsidRPr="00AF51EA" w:rsidRDefault="00E42A05" w:rsidP="00E42A05">
      <w:pPr>
        <w:pStyle w:val="SingleTxtG"/>
        <w:rPr>
          <w:lang w:val="fr-FR"/>
        </w:rPr>
      </w:pPr>
      <w:r w:rsidRPr="00AF51EA">
        <w:rPr>
          <w:lang w:val="fr-FR"/>
        </w:rPr>
        <w:t>5</w:t>
      </w:r>
      <w:r w:rsidR="002A026E" w:rsidRPr="00AF51EA">
        <w:rPr>
          <w:lang w:val="fr-FR"/>
        </w:rPr>
        <w:t>.</w:t>
      </w:r>
      <w:r w:rsidRPr="00AF51EA">
        <w:rPr>
          <w:lang w:val="fr-FR"/>
        </w:rPr>
        <w:t>2</w:t>
      </w:r>
      <w:r w:rsidRPr="00AF51EA">
        <w:rPr>
          <w:lang w:val="fr-FR"/>
        </w:rPr>
        <w:tab/>
        <w:t>En réponse à l</w:t>
      </w:r>
      <w:r w:rsidR="00AB516D" w:rsidRPr="00AF51EA">
        <w:rPr>
          <w:lang w:val="fr-FR"/>
        </w:rPr>
        <w:t>’</w:t>
      </w:r>
      <w:r w:rsidRPr="00AF51EA">
        <w:rPr>
          <w:lang w:val="fr-FR"/>
        </w:rPr>
        <w:t>argument de l</w:t>
      </w:r>
      <w:r w:rsidR="00AB516D" w:rsidRPr="00AF51EA">
        <w:rPr>
          <w:lang w:val="fr-FR"/>
        </w:rPr>
        <w:t>’</w:t>
      </w:r>
      <w:r w:rsidRPr="00AF51EA">
        <w:rPr>
          <w:lang w:val="fr-FR"/>
        </w:rPr>
        <w:t>État partie selon lequel les étrangers qui n</w:t>
      </w:r>
      <w:r w:rsidR="00AB516D" w:rsidRPr="00AF51EA">
        <w:rPr>
          <w:lang w:val="fr-FR"/>
        </w:rPr>
        <w:t>’</w:t>
      </w:r>
      <w:r w:rsidRPr="00AF51EA">
        <w:rPr>
          <w:lang w:val="fr-FR"/>
        </w:rPr>
        <w:t>ont pas de permis de séjour ont accès à l</w:t>
      </w:r>
      <w:r w:rsidR="00AB516D" w:rsidRPr="00AF51EA">
        <w:rPr>
          <w:lang w:val="fr-FR"/>
        </w:rPr>
        <w:t>’</w:t>
      </w:r>
      <w:r w:rsidRPr="00AF51EA">
        <w:rPr>
          <w:lang w:val="fr-FR"/>
        </w:rPr>
        <w:t>éducation s</w:t>
      </w:r>
      <w:r w:rsidR="00AB516D" w:rsidRPr="00AF51EA">
        <w:rPr>
          <w:lang w:val="fr-FR"/>
        </w:rPr>
        <w:t>’</w:t>
      </w:r>
      <w:r w:rsidRPr="00AF51EA">
        <w:rPr>
          <w:lang w:val="fr-FR"/>
        </w:rPr>
        <w:t>ils sont mineurs, à des soins de santé si leur vie est en danger et à l</w:t>
      </w:r>
      <w:r w:rsidR="00AB516D" w:rsidRPr="00AF51EA">
        <w:rPr>
          <w:lang w:val="fr-FR"/>
        </w:rPr>
        <w:t>’</w:t>
      </w:r>
      <w:r w:rsidRPr="00AF51EA">
        <w:rPr>
          <w:lang w:val="fr-FR"/>
        </w:rPr>
        <w:t>aide juridictionnelle, les auteurs affirment que l</w:t>
      </w:r>
      <w:r w:rsidR="00AB516D" w:rsidRPr="00AF51EA">
        <w:rPr>
          <w:lang w:val="fr-FR"/>
        </w:rPr>
        <w:t>’</w:t>
      </w:r>
      <w:r w:rsidRPr="00AF51EA">
        <w:rPr>
          <w:lang w:val="fr-FR"/>
        </w:rPr>
        <w:t>État partie n</w:t>
      </w:r>
      <w:r w:rsidR="00AB516D" w:rsidRPr="00AF51EA">
        <w:rPr>
          <w:lang w:val="fr-FR"/>
        </w:rPr>
        <w:t>’</w:t>
      </w:r>
      <w:r w:rsidRPr="00AF51EA">
        <w:rPr>
          <w:lang w:val="fr-FR"/>
        </w:rPr>
        <w:t>a pas expliqué en quoi la mise à disposition de ces services donnait effet à l</w:t>
      </w:r>
      <w:r w:rsidR="00AB516D" w:rsidRPr="00AF51EA">
        <w:rPr>
          <w:lang w:val="fr-FR"/>
        </w:rPr>
        <w:t>’</w:t>
      </w:r>
      <w:r w:rsidRPr="00AF51EA">
        <w:rPr>
          <w:lang w:val="fr-FR"/>
        </w:rPr>
        <w:t>obligation lui incombant de protéger l</w:t>
      </w:r>
      <w:r w:rsidR="00AB516D" w:rsidRPr="00AF51EA">
        <w:rPr>
          <w:lang w:val="fr-FR"/>
        </w:rPr>
        <w:t>’</w:t>
      </w:r>
      <w:r w:rsidRPr="00AF51EA">
        <w:rPr>
          <w:lang w:val="fr-FR"/>
        </w:rPr>
        <w:t>intérêt de l</w:t>
      </w:r>
      <w:r w:rsidR="00AB516D" w:rsidRPr="00AF51EA">
        <w:rPr>
          <w:lang w:val="fr-FR"/>
        </w:rPr>
        <w:t>’</w:t>
      </w:r>
      <w:r w:rsidRPr="00AF51EA">
        <w:rPr>
          <w:lang w:val="fr-FR"/>
        </w:rPr>
        <w:t>enfant</w:t>
      </w:r>
      <w:r w:rsidR="002A026E" w:rsidRPr="00AF51EA">
        <w:rPr>
          <w:lang w:val="fr-FR"/>
        </w:rPr>
        <w:t>.</w:t>
      </w:r>
      <w:r w:rsidRPr="00AF51EA">
        <w:rPr>
          <w:lang w:val="fr-FR"/>
        </w:rPr>
        <w:t xml:space="preserve"> Ils répètent en outre que les problèmes de santé de R</w:t>
      </w:r>
      <w:r w:rsidR="002A026E" w:rsidRPr="00AF51EA">
        <w:rPr>
          <w:lang w:val="fr-FR"/>
        </w:rPr>
        <w:t>.</w:t>
      </w:r>
      <w:r w:rsidRPr="00AF51EA">
        <w:rPr>
          <w:lang w:val="fr-FR"/>
        </w:rPr>
        <w:t xml:space="preserve"> ont été causés par la situation de la famille, qui vit avec un revenu nettement inférieur au « minimum vital » et que l</w:t>
      </w:r>
      <w:r w:rsidR="00AB516D" w:rsidRPr="00AF51EA">
        <w:rPr>
          <w:lang w:val="fr-FR"/>
        </w:rPr>
        <w:t>’</w:t>
      </w:r>
      <w:r w:rsidRPr="00AF51EA">
        <w:rPr>
          <w:lang w:val="fr-FR"/>
        </w:rPr>
        <w:t>objectif de leur demande d</w:t>
      </w:r>
      <w:r w:rsidR="00AB516D" w:rsidRPr="00AF51EA">
        <w:rPr>
          <w:lang w:val="fr-FR"/>
        </w:rPr>
        <w:t>’</w:t>
      </w:r>
      <w:r w:rsidRPr="00AF51EA">
        <w:rPr>
          <w:lang w:val="fr-FR"/>
        </w:rPr>
        <w:t>allocation de base pour enfant à charge était d</w:t>
      </w:r>
      <w:r w:rsidR="00AB516D" w:rsidRPr="00AF51EA">
        <w:rPr>
          <w:lang w:val="fr-FR"/>
        </w:rPr>
        <w:t>’</w:t>
      </w:r>
      <w:r w:rsidRPr="00AF51EA">
        <w:rPr>
          <w:lang w:val="fr-FR"/>
        </w:rPr>
        <w:t>arriver à ce minimum</w:t>
      </w:r>
      <w:r w:rsidR="002A026E" w:rsidRPr="00AF51EA">
        <w:rPr>
          <w:lang w:val="fr-FR"/>
        </w:rPr>
        <w:t>.</w:t>
      </w:r>
      <w:r w:rsidRPr="00AF51EA">
        <w:rPr>
          <w:lang w:val="fr-FR"/>
        </w:rPr>
        <w:t xml:space="preserve"> En réponse à l</w:t>
      </w:r>
      <w:r w:rsidR="00AB516D" w:rsidRPr="00AF51EA">
        <w:rPr>
          <w:lang w:val="fr-FR"/>
        </w:rPr>
        <w:t>’</w:t>
      </w:r>
      <w:r w:rsidRPr="00AF51EA">
        <w:rPr>
          <w:lang w:val="fr-FR"/>
        </w:rPr>
        <w:t>affirmation de l</w:t>
      </w:r>
      <w:r w:rsidR="00AB516D" w:rsidRPr="00AF51EA">
        <w:rPr>
          <w:lang w:val="fr-FR"/>
        </w:rPr>
        <w:t>’</w:t>
      </w:r>
      <w:r w:rsidRPr="00AF51EA">
        <w:rPr>
          <w:lang w:val="fr-FR"/>
        </w:rPr>
        <w:t>État partie selon lequel le statut migratoire de R</w:t>
      </w:r>
      <w:r w:rsidR="002A026E" w:rsidRPr="00AF51EA">
        <w:rPr>
          <w:lang w:val="fr-FR"/>
        </w:rPr>
        <w:t>.</w:t>
      </w:r>
      <w:r w:rsidRPr="00AF51EA">
        <w:rPr>
          <w:lang w:val="fr-FR"/>
        </w:rPr>
        <w:t xml:space="preserve"> procédait en partie d</w:t>
      </w:r>
      <w:r w:rsidR="00AB516D" w:rsidRPr="00AF51EA">
        <w:rPr>
          <w:lang w:val="fr-FR"/>
        </w:rPr>
        <w:t>’</w:t>
      </w:r>
      <w:r w:rsidRPr="00AF51EA">
        <w:rPr>
          <w:lang w:val="fr-FR"/>
        </w:rPr>
        <w:t>un choix, les auteurs soulignent que R</w:t>
      </w:r>
      <w:r w:rsidR="002A026E" w:rsidRPr="00AF51EA">
        <w:rPr>
          <w:lang w:val="fr-FR"/>
        </w:rPr>
        <w:t>.</w:t>
      </w:r>
      <w:r w:rsidRPr="00AF51EA">
        <w:rPr>
          <w:lang w:val="fr-FR"/>
        </w:rPr>
        <w:t xml:space="preserve"> n</w:t>
      </w:r>
      <w:r w:rsidR="00AB516D" w:rsidRPr="00AF51EA">
        <w:rPr>
          <w:lang w:val="fr-FR"/>
        </w:rPr>
        <w:t>’</w:t>
      </w:r>
      <w:r w:rsidRPr="00AF51EA">
        <w:rPr>
          <w:lang w:val="fr-FR"/>
        </w:rPr>
        <w:t>a fait aucun choix dans la détermination de son statut migratoire et qu</w:t>
      </w:r>
      <w:r w:rsidR="00AB516D" w:rsidRPr="00AF51EA">
        <w:rPr>
          <w:lang w:val="fr-FR"/>
        </w:rPr>
        <w:t>’</w:t>
      </w:r>
      <w:r w:rsidRPr="00AF51EA">
        <w:rPr>
          <w:lang w:val="fr-FR"/>
        </w:rPr>
        <w:t>elle est née aux Pays</w:t>
      </w:r>
      <w:r w:rsidRPr="00AF51EA">
        <w:rPr>
          <w:lang w:val="fr-FR"/>
        </w:rPr>
        <w:noBreakHyphen/>
        <w:t>Bas</w:t>
      </w:r>
      <w:r w:rsidR="002A026E" w:rsidRPr="00AF51EA">
        <w:rPr>
          <w:lang w:val="fr-FR"/>
        </w:rPr>
        <w:t>.</w:t>
      </w:r>
    </w:p>
    <w:p w14:paraId="49B6649F" w14:textId="77777777" w:rsidR="00E42A05" w:rsidRPr="00AF51EA" w:rsidRDefault="00E42A05" w:rsidP="00E42A05">
      <w:pPr>
        <w:pStyle w:val="SingleTxtG"/>
        <w:rPr>
          <w:lang w:val="fr-FR"/>
        </w:rPr>
      </w:pPr>
      <w:r w:rsidRPr="00AF51EA">
        <w:rPr>
          <w:lang w:val="fr-FR"/>
        </w:rPr>
        <w:t>5</w:t>
      </w:r>
      <w:r w:rsidR="002A026E" w:rsidRPr="00AF51EA">
        <w:rPr>
          <w:lang w:val="fr-FR"/>
        </w:rPr>
        <w:t>.</w:t>
      </w:r>
      <w:r w:rsidRPr="00AF51EA">
        <w:rPr>
          <w:lang w:val="fr-FR"/>
        </w:rPr>
        <w:t>3</w:t>
      </w:r>
      <w:r w:rsidRPr="00AF51EA">
        <w:rPr>
          <w:lang w:val="fr-FR"/>
        </w:rPr>
        <w:tab/>
        <w:t>Les auteurs font valoir que la Commission européenne reconnaît l</w:t>
      </w:r>
      <w:r w:rsidR="00AB516D" w:rsidRPr="00AF51EA">
        <w:rPr>
          <w:lang w:val="fr-FR"/>
        </w:rPr>
        <w:t>’</w:t>
      </w:r>
      <w:r w:rsidRPr="00AF51EA">
        <w:rPr>
          <w:lang w:val="fr-FR"/>
        </w:rPr>
        <w:t>importance de l</w:t>
      </w:r>
      <w:r w:rsidR="00AB516D" w:rsidRPr="00AF51EA">
        <w:rPr>
          <w:lang w:val="fr-FR"/>
        </w:rPr>
        <w:t>’</w:t>
      </w:r>
      <w:r w:rsidRPr="00AF51EA">
        <w:rPr>
          <w:lang w:val="fr-FR"/>
        </w:rPr>
        <w:t>obligation incombant à l</w:t>
      </w:r>
      <w:r w:rsidR="00AB516D" w:rsidRPr="00AF51EA">
        <w:rPr>
          <w:lang w:val="fr-FR"/>
        </w:rPr>
        <w:t>’</w:t>
      </w:r>
      <w:r w:rsidRPr="00AF51EA">
        <w:rPr>
          <w:lang w:val="fr-FR"/>
        </w:rPr>
        <w:t>État de protéger l</w:t>
      </w:r>
      <w:r w:rsidR="00AB516D" w:rsidRPr="00AF51EA">
        <w:rPr>
          <w:lang w:val="fr-FR"/>
        </w:rPr>
        <w:t>’</w:t>
      </w:r>
      <w:r w:rsidRPr="00AF51EA">
        <w:rPr>
          <w:lang w:val="fr-FR"/>
        </w:rPr>
        <w:t>intérêt de l</w:t>
      </w:r>
      <w:r w:rsidR="00AB516D" w:rsidRPr="00AF51EA">
        <w:rPr>
          <w:lang w:val="fr-FR"/>
        </w:rPr>
        <w:t>’</w:t>
      </w:r>
      <w:r w:rsidRPr="00AF51EA">
        <w:rPr>
          <w:lang w:val="fr-FR"/>
        </w:rPr>
        <w:t>enfant</w:t>
      </w:r>
      <w:r w:rsidRPr="00AF51EA">
        <w:rPr>
          <w:rStyle w:val="Appelnotedebasdep"/>
        </w:rPr>
        <w:footnoteReference w:id="51"/>
      </w:r>
      <w:r w:rsidR="002A026E" w:rsidRPr="00AF51EA">
        <w:rPr>
          <w:lang w:val="fr-FR"/>
        </w:rPr>
        <w:t>.</w:t>
      </w:r>
      <w:r w:rsidRPr="00AF51EA">
        <w:rPr>
          <w:lang w:val="fr-FR"/>
        </w:rPr>
        <w:t xml:space="preserve"> Ils considèrent donc que le raisonnement de l</w:t>
      </w:r>
      <w:r w:rsidR="00AB516D" w:rsidRPr="00AF51EA">
        <w:rPr>
          <w:lang w:val="fr-FR"/>
        </w:rPr>
        <w:t>’</w:t>
      </w:r>
      <w:r w:rsidRPr="00AF51EA">
        <w:rPr>
          <w:lang w:val="fr-FR"/>
        </w:rPr>
        <w:t>État partie n</w:t>
      </w:r>
      <w:r w:rsidR="00AB516D" w:rsidRPr="00AF51EA">
        <w:rPr>
          <w:lang w:val="fr-FR"/>
        </w:rPr>
        <w:t>’</w:t>
      </w:r>
      <w:r w:rsidRPr="00AF51EA">
        <w:rPr>
          <w:lang w:val="fr-FR"/>
        </w:rPr>
        <w:t>est pas défendable car négliger l</w:t>
      </w:r>
      <w:r w:rsidR="00AB516D" w:rsidRPr="00AF51EA">
        <w:rPr>
          <w:lang w:val="fr-FR"/>
        </w:rPr>
        <w:t>’</w:t>
      </w:r>
      <w:r w:rsidRPr="00AF51EA">
        <w:rPr>
          <w:lang w:val="fr-FR"/>
        </w:rPr>
        <w:t>intérêt particulier de l</w:t>
      </w:r>
      <w:r w:rsidR="00AB516D" w:rsidRPr="00AF51EA">
        <w:rPr>
          <w:lang w:val="fr-FR"/>
        </w:rPr>
        <w:t>’</w:t>
      </w:r>
      <w:r w:rsidRPr="00AF51EA">
        <w:rPr>
          <w:lang w:val="fr-FR"/>
        </w:rPr>
        <w:t>enfant va à l</w:t>
      </w:r>
      <w:r w:rsidR="00AB516D" w:rsidRPr="00AF51EA">
        <w:rPr>
          <w:lang w:val="fr-FR"/>
        </w:rPr>
        <w:t>’</w:t>
      </w:r>
      <w:r w:rsidRPr="00AF51EA">
        <w:rPr>
          <w:lang w:val="fr-FR"/>
        </w:rPr>
        <w:t>encontre des obligations qui lui incombent en vertu du droit international</w:t>
      </w:r>
      <w:r w:rsidR="002A026E" w:rsidRPr="00AF51EA">
        <w:rPr>
          <w:lang w:val="fr-FR"/>
        </w:rPr>
        <w:t>.</w:t>
      </w:r>
      <w:r w:rsidRPr="00AF51EA">
        <w:rPr>
          <w:lang w:val="fr-FR"/>
        </w:rPr>
        <w:t xml:space="preserve"> </w:t>
      </w:r>
    </w:p>
    <w:p w14:paraId="753EF888" w14:textId="77777777" w:rsidR="00E42A05" w:rsidRPr="00AF51EA" w:rsidRDefault="00E42A05" w:rsidP="00E42A05">
      <w:pPr>
        <w:pStyle w:val="H23G"/>
        <w:rPr>
          <w:lang w:val="fr-FR"/>
        </w:rPr>
      </w:pPr>
      <w:r w:rsidRPr="00AF51EA">
        <w:rPr>
          <w:lang w:val="fr-FR"/>
        </w:rPr>
        <w:tab/>
      </w:r>
      <w:r w:rsidRPr="00AF51EA">
        <w:rPr>
          <w:lang w:val="fr-FR"/>
        </w:rPr>
        <w:tab/>
        <w:t>Observations complémentaires de l</w:t>
      </w:r>
      <w:r w:rsidR="00AB516D" w:rsidRPr="00AF51EA">
        <w:rPr>
          <w:lang w:val="fr-FR"/>
        </w:rPr>
        <w:t>’</w:t>
      </w:r>
      <w:r w:rsidRPr="00AF51EA">
        <w:rPr>
          <w:lang w:val="fr-FR"/>
        </w:rPr>
        <w:t>État partie</w:t>
      </w:r>
    </w:p>
    <w:p w14:paraId="0BD17245" w14:textId="77777777" w:rsidR="00E42A05" w:rsidRPr="00AF51EA" w:rsidRDefault="00E42A05" w:rsidP="00E42A05">
      <w:pPr>
        <w:pStyle w:val="SingleTxtG"/>
        <w:rPr>
          <w:lang w:val="fr-FR"/>
        </w:rPr>
      </w:pPr>
      <w:r w:rsidRPr="00AF51EA">
        <w:rPr>
          <w:lang w:val="fr-FR"/>
        </w:rPr>
        <w:t>6</w:t>
      </w:r>
      <w:r w:rsidR="002A026E" w:rsidRPr="00AF51EA">
        <w:rPr>
          <w:lang w:val="fr-FR"/>
        </w:rPr>
        <w:t>.</w:t>
      </w:r>
      <w:r w:rsidRPr="00AF51EA">
        <w:rPr>
          <w:lang w:val="fr-FR"/>
        </w:rPr>
        <w:t>1</w:t>
      </w:r>
      <w:r w:rsidRPr="00AF51EA">
        <w:rPr>
          <w:lang w:val="fr-FR"/>
        </w:rPr>
        <w:tab/>
        <w:t>Le 12 janvier et le 24 mars 2016, l</w:t>
      </w:r>
      <w:r w:rsidR="00AB516D" w:rsidRPr="00AF51EA">
        <w:rPr>
          <w:lang w:val="fr-FR"/>
        </w:rPr>
        <w:t>’</w:t>
      </w:r>
      <w:r w:rsidRPr="00AF51EA">
        <w:rPr>
          <w:lang w:val="fr-FR"/>
        </w:rPr>
        <w:t>État partie a soumis des observations complémentaires</w:t>
      </w:r>
      <w:r w:rsidR="002A026E" w:rsidRPr="00AF51EA">
        <w:rPr>
          <w:lang w:val="fr-FR"/>
        </w:rPr>
        <w:t>.</w:t>
      </w:r>
      <w:r w:rsidRPr="00AF51EA">
        <w:rPr>
          <w:lang w:val="fr-FR"/>
        </w:rPr>
        <w:t xml:space="preserve"> Il relève que les commentaires des auteurs semblent être formulés du point de vue de R</w:t>
      </w:r>
      <w:r w:rsidR="002A026E" w:rsidRPr="00AF51EA">
        <w:rPr>
          <w:lang w:val="fr-FR"/>
        </w:rPr>
        <w:t>.</w:t>
      </w:r>
      <w:r w:rsidRPr="00AF51EA">
        <w:rPr>
          <w:lang w:val="fr-FR"/>
        </w:rPr>
        <w:t>, qui n</w:t>
      </w:r>
      <w:r w:rsidR="00AB516D" w:rsidRPr="00AF51EA">
        <w:rPr>
          <w:lang w:val="fr-FR"/>
        </w:rPr>
        <w:t>’</w:t>
      </w:r>
      <w:r w:rsidRPr="00AF51EA">
        <w:rPr>
          <w:lang w:val="fr-FR"/>
        </w:rPr>
        <w:t>est pas parmi les auteurs de la communication</w:t>
      </w:r>
      <w:r w:rsidR="002A026E" w:rsidRPr="00AF51EA">
        <w:rPr>
          <w:lang w:val="fr-FR"/>
        </w:rPr>
        <w:t>.</w:t>
      </w:r>
      <w:r w:rsidRPr="00AF51EA">
        <w:rPr>
          <w:lang w:val="fr-FR"/>
        </w:rPr>
        <w:t xml:space="preserve"> L</w:t>
      </w:r>
      <w:r w:rsidR="00AB516D" w:rsidRPr="00AF51EA">
        <w:rPr>
          <w:lang w:val="fr-FR"/>
        </w:rPr>
        <w:t>’</w:t>
      </w:r>
      <w:r w:rsidRPr="00AF51EA">
        <w:rPr>
          <w:lang w:val="fr-FR"/>
        </w:rPr>
        <w:t>État partie se dit conscient de l</w:t>
      </w:r>
      <w:r w:rsidR="00AB516D" w:rsidRPr="00AF51EA">
        <w:rPr>
          <w:lang w:val="fr-FR"/>
        </w:rPr>
        <w:t>’</w:t>
      </w:r>
      <w:r w:rsidRPr="00AF51EA">
        <w:rPr>
          <w:lang w:val="fr-FR"/>
        </w:rPr>
        <w:t>importance des intérêts de R</w:t>
      </w:r>
      <w:r w:rsidR="002A026E" w:rsidRPr="00AF51EA">
        <w:rPr>
          <w:lang w:val="fr-FR"/>
        </w:rPr>
        <w:t>.</w:t>
      </w:r>
      <w:r w:rsidRPr="00AF51EA">
        <w:rPr>
          <w:lang w:val="fr-FR"/>
        </w:rPr>
        <w:t xml:space="preserve"> en l</w:t>
      </w:r>
      <w:r w:rsidR="00AB516D" w:rsidRPr="00AF51EA">
        <w:rPr>
          <w:lang w:val="fr-FR"/>
        </w:rPr>
        <w:t>’</w:t>
      </w:r>
      <w:r w:rsidRPr="00AF51EA">
        <w:rPr>
          <w:lang w:val="fr-FR"/>
        </w:rPr>
        <w:t>espèce, mais il estime que ces intérêts ne peuvent pas être considérés comme le seul ou principal point de référence au regard du Pacte</w:t>
      </w:r>
      <w:r w:rsidR="002A026E" w:rsidRPr="00AF51EA">
        <w:rPr>
          <w:lang w:val="fr-FR"/>
        </w:rPr>
        <w:t>.</w:t>
      </w:r>
      <w:r w:rsidRPr="00AF51EA">
        <w:rPr>
          <w:lang w:val="fr-FR"/>
        </w:rPr>
        <w:t xml:space="preserve"> Par ailleurs, il souligne que les auteurs étaient tenus de quitter les Pays-Bas suite au rejet de leur demande d</w:t>
      </w:r>
      <w:r w:rsidR="00AB516D" w:rsidRPr="00AF51EA">
        <w:rPr>
          <w:lang w:val="fr-FR"/>
        </w:rPr>
        <w:t>’</w:t>
      </w:r>
      <w:r w:rsidRPr="00AF51EA">
        <w:rPr>
          <w:lang w:val="fr-FR"/>
        </w:rPr>
        <w:t>asile</w:t>
      </w:r>
      <w:r w:rsidR="002A026E" w:rsidRPr="00AF51EA">
        <w:rPr>
          <w:lang w:val="fr-FR"/>
        </w:rPr>
        <w:t>.</w:t>
      </w:r>
    </w:p>
    <w:p w14:paraId="7D197417" w14:textId="77777777" w:rsidR="00E42A05" w:rsidRPr="00AF51EA" w:rsidRDefault="00E42A05" w:rsidP="00E42A05">
      <w:pPr>
        <w:pStyle w:val="SingleTxtG"/>
        <w:rPr>
          <w:lang w:val="fr-FR"/>
        </w:rPr>
      </w:pPr>
      <w:r w:rsidRPr="00AF51EA">
        <w:rPr>
          <w:lang w:val="fr-FR"/>
        </w:rPr>
        <w:t>6</w:t>
      </w:r>
      <w:r w:rsidR="002A026E" w:rsidRPr="00AF51EA">
        <w:rPr>
          <w:lang w:val="fr-FR"/>
        </w:rPr>
        <w:t>.</w:t>
      </w:r>
      <w:r w:rsidRPr="00AF51EA">
        <w:rPr>
          <w:lang w:val="fr-FR"/>
        </w:rPr>
        <w:t>2</w:t>
      </w:r>
      <w:r w:rsidRPr="00AF51EA">
        <w:rPr>
          <w:lang w:val="fr-FR"/>
        </w:rPr>
        <w:tab/>
        <w:t>En ce qui concerne l</w:t>
      </w:r>
      <w:r w:rsidR="00AB516D" w:rsidRPr="00AF51EA">
        <w:rPr>
          <w:lang w:val="fr-FR"/>
        </w:rPr>
        <w:t>’</w:t>
      </w:r>
      <w:r w:rsidRPr="00AF51EA">
        <w:rPr>
          <w:lang w:val="fr-FR"/>
        </w:rPr>
        <w:t>affirmation des auteurs selon laquelle R</w:t>
      </w:r>
      <w:r w:rsidR="002A026E" w:rsidRPr="00AF51EA">
        <w:rPr>
          <w:lang w:val="fr-FR"/>
        </w:rPr>
        <w:t>.</w:t>
      </w:r>
      <w:r w:rsidRPr="00AF51EA">
        <w:rPr>
          <w:lang w:val="fr-FR"/>
        </w:rPr>
        <w:t xml:space="preserve"> a été contrainte de vivre et de grandir dans la misère, l</w:t>
      </w:r>
      <w:r w:rsidR="00AB516D" w:rsidRPr="00AF51EA">
        <w:rPr>
          <w:lang w:val="fr-FR"/>
        </w:rPr>
        <w:t>’</w:t>
      </w:r>
      <w:r w:rsidRPr="00AF51EA">
        <w:rPr>
          <w:lang w:val="fr-FR"/>
        </w:rPr>
        <w:t>État partie indique que les auteurs ont reçu l</w:t>
      </w:r>
      <w:r w:rsidR="00AB516D" w:rsidRPr="00AF51EA">
        <w:rPr>
          <w:lang w:val="fr-FR"/>
        </w:rPr>
        <w:t>’</w:t>
      </w:r>
      <w:r w:rsidRPr="00AF51EA">
        <w:rPr>
          <w:lang w:val="fr-FR"/>
        </w:rPr>
        <w:t>aide nécessaire pendant la période concernée, soit du 1</w:t>
      </w:r>
      <w:r w:rsidRPr="00AF51EA">
        <w:rPr>
          <w:vertAlign w:val="superscript"/>
          <w:lang w:val="fr-FR"/>
        </w:rPr>
        <w:t>er</w:t>
      </w:r>
      <w:r w:rsidRPr="00AF51EA">
        <w:rPr>
          <w:lang w:val="fr-FR"/>
        </w:rPr>
        <w:t> octobre 2006 au 31 mars 2008</w:t>
      </w:r>
      <w:r w:rsidR="002A026E" w:rsidRPr="00AF51EA">
        <w:rPr>
          <w:lang w:val="fr-FR"/>
        </w:rPr>
        <w:t>.</w:t>
      </w:r>
      <w:r w:rsidRPr="00AF51EA">
        <w:rPr>
          <w:lang w:val="fr-FR"/>
        </w:rPr>
        <w:t xml:space="preserve"> Il rappelle qu</w:t>
      </w:r>
      <w:r w:rsidR="00AB516D" w:rsidRPr="00AF51EA">
        <w:rPr>
          <w:lang w:val="fr-FR"/>
        </w:rPr>
        <w:t>’</w:t>
      </w:r>
      <w:r w:rsidRPr="00AF51EA">
        <w:rPr>
          <w:lang w:val="fr-FR"/>
        </w:rPr>
        <w:t xml:space="preserve">entre janvier et septembre 2007, ils ont perçu une allocation mensuelle au titre </w:t>
      </w:r>
      <w:r w:rsidRPr="00AF51EA">
        <w:rPr>
          <w:lang w:val="fr-FR"/>
        </w:rPr>
        <w:lastRenderedPageBreak/>
        <w:t>du Règlement relatif aux prestations allouées à certaines catégories d</w:t>
      </w:r>
      <w:r w:rsidR="00AB516D" w:rsidRPr="00AF51EA">
        <w:rPr>
          <w:lang w:val="fr-FR"/>
        </w:rPr>
        <w:t>’</w:t>
      </w:r>
      <w:r w:rsidRPr="00AF51EA">
        <w:rPr>
          <w:lang w:val="fr-FR"/>
        </w:rPr>
        <w:t xml:space="preserve">étrangers (voir </w:t>
      </w:r>
      <w:r w:rsidRPr="00AF51EA">
        <w:rPr>
          <w:i/>
          <w:iCs/>
          <w:lang w:val="fr-FR"/>
        </w:rPr>
        <w:t>supra</w:t>
      </w:r>
      <w:r w:rsidRPr="00AF51EA">
        <w:rPr>
          <w:lang w:val="fr-FR"/>
        </w:rPr>
        <w:t>, par</w:t>
      </w:r>
      <w:r w:rsidR="002A026E" w:rsidRPr="00AF51EA">
        <w:rPr>
          <w:lang w:val="fr-FR"/>
        </w:rPr>
        <w:t>.</w:t>
      </w:r>
      <w:r w:rsidRPr="00AF51EA">
        <w:rPr>
          <w:lang w:val="fr-FR"/>
        </w:rPr>
        <w:t> 2</w:t>
      </w:r>
      <w:r w:rsidR="002A026E" w:rsidRPr="00AF51EA">
        <w:rPr>
          <w:lang w:val="fr-FR"/>
        </w:rPr>
        <w:t>.</w:t>
      </w:r>
      <w:r w:rsidRPr="00AF51EA">
        <w:rPr>
          <w:lang w:val="fr-FR"/>
        </w:rPr>
        <w:t>6) en attendant qu</w:t>
      </w:r>
      <w:r w:rsidR="00AB516D" w:rsidRPr="00AF51EA">
        <w:rPr>
          <w:lang w:val="fr-FR"/>
        </w:rPr>
        <w:t>’</w:t>
      </w:r>
      <w:r w:rsidRPr="00AF51EA">
        <w:rPr>
          <w:lang w:val="fr-FR"/>
        </w:rPr>
        <w:t>il soit statué sur leur demande de permis de séjour</w:t>
      </w:r>
      <w:r w:rsidR="002A026E" w:rsidRPr="00AF51EA">
        <w:rPr>
          <w:lang w:val="fr-FR"/>
        </w:rPr>
        <w:t>.</w:t>
      </w:r>
      <w:r w:rsidRPr="00AF51EA">
        <w:rPr>
          <w:lang w:val="fr-FR"/>
        </w:rPr>
        <w:t xml:space="preserve"> Il souligne en outre que R</w:t>
      </w:r>
      <w:r w:rsidR="002A026E" w:rsidRPr="00AF51EA">
        <w:rPr>
          <w:lang w:val="fr-FR"/>
        </w:rPr>
        <w:t>.</w:t>
      </w:r>
      <w:r w:rsidRPr="00AF51EA">
        <w:rPr>
          <w:lang w:val="fr-FR"/>
        </w:rPr>
        <w:t xml:space="preserve"> a bénéficié d</w:t>
      </w:r>
      <w:r w:rsidR="00AB516D" w:rsidRPr="00AF51EA">
        <w:rPr>
          <w:lang w:val="fr-FR"/>
        </w:rPr>
        <w:t>’</w:t>
      </w:r>
      <w:r w:rsidRPr="00AF51EA">
        <w:rPr>
          <w:lang w:val="fr-FR"/>
        </w:rPr>
        <w:t>une prise en charge spécialisée, qu</w:t>
      </w:r>
      <w:r w:rsidR="00AB516D" w:rsidRPr="00AF51EA">
        <w:rPr>
          <w:lang w:val="fr-FR"/>
        </w:rPr>
        <w:t>’</w:t>
      </w:r>
      <w:r w:rsidRPr="00AF51EA">
        <w:rPr>
          <w:lang w:val="fr-FR"/>
        </w:rPr>
        <w:t>elle allait dans une crèche médicalisée quatre jours par semaine et que les auteurs vivaient dans une maison louée par une fondation − Voice in the City − qui était subventionnée par la municipalité de Haarlem</w:t>
      </w:r>
      <w:r w:rsidR="002A026E" w:rsidRPr="00AF51EA">
        <w:rPr>
          <w:lang w:val="fr-FR"/>
        </w:rPr>
        <w:t>.</w:t>
      </w:r>
    </w:p>
    <w:p w14:paraId="54878AF1" w14:textId="77777777" w:rsidR="00E42A05" w:rsidRPr="00AF51EA" w:rsidRDefault="00E42A05" w:rsidP="00E42A05">
      <w:pPr>
        <w:pStyle w:val="SingleTxtG"/>
        <w:rPr>
          <w:lang w:val="fr-FR"/>
        </w:rPr>
      </w:pPr>
      <w:r w:rsidRPr="00AF51EA">
        <w:rPr>
          <w:lang w:val="fr-FR"/>
        </w:rPr>
        <w:t>6</w:t>
      </w:r>
      <w:r w:rsidR="002A026E" w:rsidRPr="00AF51EA">
        <w:rPr>
          <w:lang w:val="fr-FR"/>
        </w:rPr>
        <w:t>.</w:t>
      </w:r>
      <w:r w:rsidRPr="00AF51EA">
        <w:rPr>
          <w:lang w:val="fr-FR"/>
        </w:rPr>
        <w:t>3</w:t>
      </w:r>
      <w:r w:rsidRPr="00AF51EA">
        <w:rPr>
          <w:lang w:val="fr-FR"/>
        </w:rPr>
        <w:tab/>
        <w:t>L</w:t>
      </w:r>
      <w:r w:rsidR="00AB516D" w:rsidRPr="00AF51EA">
        <w:rPr>
          <w:lang w:val="fr-FR"/>
        </w:rPr>
        <w:t>’</w:t>
      </w:r>
      <w:r w:rsidRPr="00AF51EA">
        <w:rPr>
          <w:lang w:val="fr-FR"/>
        </w:rPr>
        <w:t>État partie rappelle que, pendant la période concernée, R</w:t>
      </w:r>
      <w:r w:rsidR="002A026E" w:rsidRPr="00AF51EA">
        <w:rPr>
          <w:lang w:val="fr-FR"/>
        </w:rPr>
        <w:t>.</w:t>
      </w:r>
      <w:r w:rsidRPr="00AF51EA">
        <w:rPr>
          <w:lang w:val="fr-FR"/>
        </w:rPr>
        <w:t xml:space="preserve"> et sa famille étaient en attente d</w:t>
      </w:r>
      <w:r w:rsidR="00AB516D" w:rsidRPr="00AF51EA">
        <w:rPr>
          <w:lang w:val="fr-FR"/>
        </w:rPr>
        <w:t>’</w:t>
      </w:r>
      <w:r w:rsidRPr="00AF51EA">
        <w:rPr>
          <w:lang w:val="fr-FR"/>
        </w:rPr>
        <w:t>une décision sur leur demande de permis de séjour</w:t>
      </w:r>
      <w:r w:rsidR="002A026E" w:rsidRPr="00AF51EA">
        <w:rPr>
          <w:lang w:val="fr-FR"/>
        </w:rPr>
        <w:t>.</w:t>
      </w:r>
      <w:r w:rsidRPr="00AF51EA">
        <w:rPr>
          <w:lang w:val="fr-FR"/>
        </w:rPr>
        <w:t xml:space="preserve"> Il soutient qu</w:t>
      </w:r>
      <w:r w:rsidR="00AB516D" w:rsidRPr="00AF51EA">
        <w:rPr>
          <w:lang w:val="fr-FR"/>
        </w:rPr>
        <w:t>’</w:t>
      </w:r>
      <w:r w:rsidRPr="00AF51EA">
        <w:rPr>
          <w:lang w:val="fr-FR"/>
        </w:rPr>
        <w:t>on ne peut pas considérer qu</w:t>
      </w:r>
      <w:r w:rsidR="00AB516D" w:rsidRPr="00AF51EA">
        <w:rPr>
          <w:lang w:val="fr-FR"/>
        </w:rPr>
        <w:t>’</w:t>
      </w:r>
      <w:r w:rsidRPr="00AF51EA">
        <w:rPr>
          <w:lang w:val="fr-FR"/>
        </w:rPr>
        <w:t>ils vivaient alors dans le dénuement et affirme que le rejet d</w:t>
      </w:r>
      <w:r w:rsidR="00AB516D" w:rsidRPr="00AF51EA">
        <w:rPr>
          <w:lang w:val="fr-FR"/>
        </w:rPr>
        <w:t>’</w:t>
      </w:r>
      <w:r w:rsidRPr="00AF51EA">
        <w:rPr>
          <w:lang w:val="fr-FR"/>
        </w:rPr>
        <w:t>une demande d</w:t>
      </w:r>
      <w:r w:rsidR="00AB516D" w:rsidRPr="00AF51EA">
        <w:rPr>
          <w:lang w:val="fr-FR"/>
        </w:rPr>
        <w:t>’</w:t>
      </w:r>
      <w:r w:rsidRPr="00AF51EA">
        <w:rPr>
          <w:lang w:val="fr-FR"/>
        </w:rPr>
        <w:t>allocation pour enfant à charge ne saurait faire tomber une famille dans la misère</w:t>
      </w:r>
      <w:r w:rsidR="002A026E" w:rsidRPr="00AF51EA">
        <w:rPr>
          <w:lang w:val="fr-FR"/>
        </w:rPr>
        <w:t>.</w:t>
      </w:r>
    </w:p>
    <w:p w14:paraId="6EEA31AA" w14:textId="77777777" w:rsidR="00E42A05" w:rsidRPr="00AF51EA" w:rsidRDefault="00E42A05" w:rsidP="00E42A05">
      <w:pPr>
        <w:pStyle w:val="SingleTxtG"/>
        <w:rPr>
          <w:lang w:val="fr-FR"/>
        </w:rPr>
      </w:pPr>
      <w:r w:rsidRPr="00AF51EA">
        <w:rPr>
          <w:lang w:val="fr-FR"/>
        </w:rPr>
        <w:t>6</w:t>
      </w:r>
      <w:r w:rsidR="002A026E" w:rsidRPr="00AF51EA">
        <w:rPr>
          <w:lang w:val="fr-FR"/>
        </w:rPr>
        <w:t>.</w:t>
      </w:r>
      <w:r w:rsidRPr="00AF51EA">
        <w:rPr>
          <w:lang w:val="fr-FR"/>
        </w:rPr>
        <w:t>4</w:t>
      </w:r>
      <w:r w:rsidRPr="00AF51EA">
        <w:rPr>
          <w:lang w:val="fr-FR"/>
        </w:rPr>
        <w:tab/>
        <w:t>L</w:t>
      </w:r>
      <w:r w:rsidR="00AB516D" w:rsidRPr="00AF51EA">
        <w:rPr>
          <w:lang w:val="fr-FR"/>
        </w:rPr>
        <w:t>’</w:t>
      </w:r>
      <w:r w:rsidRPr="00AF51EA">
        <w:rPr>
          <w:lang w:val="fr-FR"/>
        </w:rPr>
        <w:t>État partie convient avec les auteurs que la communication porte sur l</w:t>
      </w:r>
      <w:r w:rsidR="00AB516D" w:rsidRPr="00AF51EA">
        <w:rPr>
          <w:lang w:val="fr-FR"/>
        </w:rPr>
        <w:t>’</w:t>
      </w:r>
      <w:r w:rsidRPr="00AF51EA">
        <w:rPr>
          <w:lang w:val="fr-FR"/>
        </w:rPr>
        <w:t>allocation de base pour enfant à charge</w:t>
      </w:r>
      <w:r w:rsidR="002A026E" w:rsidRPr="00AF51EA">
        <w:rPr>
          <w:lang w:val="fr-FR"/>
        </w:rPr>
        <w:t>.</w:t>
      </w:r>
      <w:r w:rsidRPr="00AF51EA">
        <w:rPr>
          <w:lang w:val="fr-FR"/>
        </w:rPr>
        <w:t xml:space="preserve"> Il répète toutefois que cette allocation n</w:t>
      </w:r>
      <w:r w:rsidR="00AB516D" w:rsidRPr="00AF51EA">
        <w:rPr>
          <w:lang w:val="fr-FR"/>
        </w:rPr>
        <w:t>’</w:t>
      </w:r>
      <w:r w:rsidRPr="00AF51EA">
        <w:rPr>
          <w:lang w:val="fr-FR"/>
        </w:rPr>
        <w:t>a pas été conçue comme un complément de revenu et qu</w:t>
      </w:r>
      <w:r w:rsidR="00AB516D" w:rsidRPr="00AF51EA">
        <w:rPr>
          <w:lang w:val="fr-FR"/>
        </w:rPr>
        <w:t>’</w:t>
      </w:r>
      <w:r w:rsidRPr="00AF51EA">
        <w:rPr>
          <w:lang w:val="fr-FR"/>
        </w:rPr>
        <w:t>elle n</w:t>
      </w:r>
      <w:r w:rsidR="00AB516D" w:rsidRPr="00AF51EA">
        <w:rPr>
          <w:lang w:val="fr-FR"/>
        </w:rPr>
        <w:t>’</w:t>
      </w:r>
      <w:r w:rsidRPr="00AF51EA">
        <w:rPr>
          <w:lang w:val="fr-FR"/>
        </w:rPr>
        <w:t>est pas versée aux familles avec enfants dans le but de leur assurer un revenu minimum de subsistance</w:t>
      </w:r>
      <w:r w:rsidR="002A026E" w:rsidRPr="00AF51EA">
        <w:rPr>
          <w:lang w:val="fr-FR"/>
        </w:rPr>
        <w:t>.</w:t>
      </w:r>
      <w:r w:rsidRPr="00AF51EA">
        <w:rPr>
          <w:lang w:val="fr-FR"/>
        </w:rPr>
        <w:t xml:space="preserve"> Il répète également que l</w:t>
      </w:r>
      <w:r w:rsidR="00AB516D" w:rsidRPr="00AF51EA">
        <w:rPr>
          <w:lang w:val="fr-FR"/>
        </w:rPr>
        <w:t>’</w:t>
      </w:r>
      <w:r w:rsidRPr="00AF51EA">
        <w:rPr>
          <w:lang w:val="fr-FR"/>
        </w:rPr>
        <w:t>objectif de cette allocation est de contribuer aux dépenses liées à l</w:t>
      </w:r>
      <w:r w:rsidR="00AB516D" w:rsidRPr="00AF51EA">
        <w:rPr>
          <w:lang w:val="fr-FR"/>
        </w:rPr>
        <w:t>’</w:t>
      </w:r>
      <w:r w:rsidRPr="00AF51EA">
        <w:rPr>
          <w:lang w:val="fr-FR"/>
        </w:rPr>
        <w:t>entretien et l</w:t>
      </w:r>
      <w:r w:rsidR="00AB516D" w:rsidRPr="00AF51EA">
        <w:rPr>
          <w:lang w:val="fr-FR"/>
        </w:rPr>
        <w:t>’</w:t>
      </w:r>
      <w:r w:rsidRPr="00AF51EA">
        <w:rPr>
          <w:lang w:val="fr-FR"/>
        </w:rPr>
        <w:t>éducation des enfants et que le besoin n</w:t>
      </w:r>
      <w:r w:rsidR="00AB516D" w:rsidRPr="00AF51EA">
        <w:rPr>
          <w:lang w:val="fr-FR"/>
        </w:rPr>
        <w:t>’</w:t>
      </w:r>
      <w:r w:rsidRPr="00AF51EA">
        <w:rPr>
          <w:lang w:val="fr-FR"/>
        </w:rPr>
        <w:t>est pas un critère d</w:t>
      </w:r>
      <w:r w:rsidR="00AB516D" w:rsidRPr="00AF51EA">
        <w:rPr>
          <w:lang w:val="fr-FR"/>
        </w:rPr>
        <w:t>’</w:t>
      </w:r>
      <w:r w:rsidRPr="00AF51EA">
        <w:rPr>
          <w:lang w:val="fr-FR"/>
        </w:rPr>
        <w:t>octroi</w:t>
      </w:r>
      <w:r w:rsidR="002A026E" w:rsidRPr="00AF51EA">
        <w:rPr>
          <w:lang w:val="fr-FR"/>
        </w:rPr>
        <w:t>.</w:t>
      </w:r>
    </w:p>
    <w:p w14:paraId="2980391A" w14:textId="77777777" w:rsidR="00E42A05" w:rsidRPr="00AF51EA" w:rsidRDefault="00E42A05" w:rsidP="00E42A05">
      <w:pPr>
        <w:pStyle w:val="SingleTxtG"/>
        <w:rPr>
          <w:lang w:val="fr-FR"/>
        </w:rPr>
      </w:pPr>
      <w:r w:rsidRPr="00AF51EA">
        <w:rPr>
          <w:lang w:val="fr-FR"/>
        </w:rPr>
        <w:t>6</w:t>
      </w:r>
      <w:r w:rsidR="002A026E" w:rsidRPr="00AF51EA">
        <w:rPr>
          <w:lang w:val="fr-FR"/>
        </w:rPr>
        <w:t>.</w:t>
      </w:r>
      <w:r w:rsidRPr="00AF51EA">
        <w:rPr>
          <w:lang w:val="fr-FR"/>
        </w:rPr>
        <w:t>5</w:t>
      </w:r>
      <w:r w:rsidRPr="00AF51EA">
        <w:rPr>
          <w:lang w:val="fr-FR"/>
        </w:rPr>
        <w:tab/>
        <w:t>En ce qui concerne les observations des auteurs concernant l</w:t>
      </w:r>
      <w:r w:rsidR="00AB516D" w:rsidRPr="00AF51EA">
        <w:rPr>
          <w:lang w:val="fr-FR"/>
        </w:rPr>
        <w:t>’</w:t>
      </w:r>
      <w:r w:rsidRPr="00AF51EA">
        <w:rPr>
          <w:lang w:val="fr-FR"/>
        </w:rPr>
        <w:t>association Voice in the City (voir par</w:t>
      </w:r>
      <w:r w:rsidR="002A026E" w:rsidRPr="00AF51EA">
        <w:rPr>
          <w:lang w:val="fr-FR"/>
        </w:rPr>
        <w:t>.</w:t>
      </w:r>
      <w:r w:rsidRPr="00AF51EA">
        <w:rPr>
          <w:lang w:val="fr-FR"/>
        </w:rPr>
        <w:t> 7</w:t>
      </w:r>
      <w:r w:rsidR="002A026E" w:rsidRPr="00AF51EA">
        <w:rPr>
          <w:lang w:val="fr-FR"/>
        </w:rPr>
        <w:t>.</w:t>
      </w:r>
      <w:r w:rsidRPr="00AF51EA">
        <w:rPr>
          <w:lang w:val="fr-FR"/>
        </w:rPr>
        <w:t>1), l</w:t>
      </w:r>
      <w:r w:rsidR="00AB516D" w:rsidRPr="00AF51EA">
        <w:rPr>
          <w:lang w:val="fr-FR"/>
        </w:rPr>
        <w:t>’</w:t>
      </w:r>
      <w:r w:rsidRPr="00AF51EA">
        <w:rPr>
          <w:lang w:val="fr-FR"/>
        </w:rPr>
        <w:t>État partie indique que, s</w:t>
      </w:r>
      <w:r w:rsidR="00AB516D" w:rsidRPr="00AF51EA">
        <w:rPr>
          <w:lang w:val="fr-FR"/>
        </w:rPr>
        <w:t>’</w:t>
      </w:r>
      <w:r w:rsidRPr="00AF51EA">
        <w:rPr>
          <w:lang w:val="fr-FR"/>
        </w:rPr>
        <w:t>il a précisé que cette association était subventionnée, c</w:t>
      </w:r>
      <w:r w:rsidR="00AB516D" w:rsidRPr="00AF51EA">
        <w:rPr>
          <w:lang w:val="fr-FR"/>
        </w:rPr>
        <w:t>’</w:t>
      </w:r>
      <w:r w:rsidRPr="00AF51EA">
        <w:rPr>
          <w:lang w:val="fr-FR"/>
        </w:rPr>
        <w:t>était simplement pour signaler que les auteurs avaient été hébergés et que leurs frais de logement et de subsistance avaient été pris en charge pendant la période allant du 1</w:t>
      </w:r>
      <w:r w:rsidRPr="00AF51EA">
        <w:rPr>
          <w:vertAlign w:val="superscript"/>
          <w:lang w:val="fr-FR"/>
        </w:rPr>
        <w:t>er</w:t>
      </w:r>
      <w:r w:rsidRPr="00AF51EA">
        <w:rPr>
          <w:lang w:val="fr-FR"/>
        </w:rPr>
        <w:t> octobre 2006 au 31 mars 2008</w:t>
      </w:r>
      <w:r w:rsidR="002A026E" w:rsidRPr="00AF51EA">
        <w:rPr>
          <w:lang w:val="fr-FR"/>
        </w:rPr>
        <w:t>.</w:t>
      </w:r>
      <w:r w:rsidRPr="00AF51EA">
        <w:rPr>
          <w:lang w:val="fr-FR"/>
        </w:rPr>
        <w:t xml:space="preserve"> </w:t>
      </w:r>
    </w:p>
    <w:p w14:paraId="371B551D" w14:textId="77777777" w:rsidR="00E42A05" w:rsidRPr="00AF51EA" w:rsidRDefault="00E42A05" w:rsidP="00E42A05">
      <w:pPr>
        <w:pStyle w:val="H23G"/>
        <w:rPr>
          <w:lang w:val="fr-FR"/>
        </w:rPr>
      </w:pPr>
      <w:r w:rsidRPr="00AF51EA">
        <w:rPr>
          <w:lang w:val="fr-FR"/>
        </w:rPr>
        <w:tab/>
      </w:r>
      <w:r w:rsidRPr="00AF51EA">
        <w:rPr>
          <w:lang w:val="fr-FR"/>
        </w:rPr>
        <w:tab/>
        <w:t>Commentaires des auteurs sur les observations complémentaires de l</w:t>
      </w:r>
      <w:r w:rsidR="00AB516D" w:rsidRPr="00AF51EA">
        <w:rPr>
          <w:lang w:val="fr-FR"/>
        </w:rPr>
        <w:t>’</w:t>
      </w:r>
      <w:r w:rsidRPr="00AF51EA">
        <w:rPr>
          <w:lang w:val="fr-FR"/>
        </w:rPr>
        <w:t xml:space="preserve">État partie </w:t>
      </w:r>
    </w:p>
    <w:p w14:paraId="2E9D1BFE" w14:textId="77777777" w:rsidR="00E42A05" w:rsidRPr="00AF51EA" w:rsidRDefault="00E42A05" w:rsidP="00E42A05">
      <w:pPr>
        <w:pStyle w:val="SingleTxtG"/>
        <w:rPr>
          <w:lang w:val="fr-FR"/>
        </w:rPr>
      </w:pPr>
      <w:r w:rsidRPr="00AF51EA">
        <w:rPr>
          <w:lang w:val="fr-FR"/>
        </w:rPr>
        <w:t>7</w:t>
      </w:r>
      <w:r w:rsidR="002A026E" w:rsidRPr="00AF51EA">
        <w:rPr>
          <w:lang w:val="fr-FR"/>
        </w:rPr>
        <w:t>.</w:t>
      </w:r>
      <w:r w:rsidRPr="00AF51EA">
        <w:rPr>
          <w:lang w:val="fr-FR"/>
        </w:rPr>
        <w:t>1</w:t>
      </w:r>
      <w:r w:rsidRPr="00AF51EA">
        <w:rPr>
          <w:lang w:val="fr-FR"/>
        </w:rPr>
        <w:tab/>
        <w:t>Le 15 février 2016, les auteurs ont présenté des commentaires sur les observations complémentaires de l</w:t>
      </w:r>
      <w:r w:rsidR="00AB516D" w:rsidRPr="00AF51EA">
        <w:rPr>
          <w:lang w:val="fr-FR"/>
        </w:rPr>
        <w:t>’</w:t>
      </w:r>
      <w:r w:rsidRPr="00AF51EA">
        <w:rPr>
          <w:lang w:val="fr-FR"/>
        </w:rPr>
        <w:t>État partie</w:t>
      </w:r>
      <w:r w:rsidR="002A026E" w:rsidRPr="00AF51EA">
        <w:rPr>
          <w:lang w:val="fr-FR"/>
        </w:rPr>
        <w:t>.</w:t>
      </w:r>
      <w:r w:rsidRPr="00AF51EA">
        <w:rPr>
          <w:lang w:val="fr-FR"/>
        </w:rPr>
        <w:t xml:space="preserve"> Ils se félicitent que l</w:t>
      </w:r>
      <w:r w:rsidR="00AB516D" w:rsidRPr="00AF51EA">
        <w:rPr>
          <w:lang w:val="fr-FR"/>
        </w:rPr>
        <w:t>’</w:t>
      </w:r>
      <w:r w:rsidRPr="00AF51EA">
        <w:rPr>
          <w:lang w:val="fr-FR"/>
        </w:rPr>
        <w:t>État partie ait reconnu qu</w:t>
      </w:r>
      <w:r w:rsidR="00AB516D" w:rsidRPr="00AF51EA">
        <w:rPr>
          <w:lang w:val="fr-FR"/>
        </w:rPr>
        <w:t>’</w:t>
      </w:r>
      <w:r w:rsidRPr="00AF51EA">
        <w:rPr>
          <w:lang w:val="fr-FR"/>
        </w:rPr>
        <w:t>ils avaient besoin d</w:t>
      </w:r>
      <w:r w:rsidR="00AB516D" w:rsidRPr="00AF51EA">
        <w:rPr>
          <w:lang w:val="fr-FR"/>
        </w:rPr>
        <w:t>’</w:t>
      </w:r>
      <w:r w:rsidRPr="00AF51EA">
        <w:rPr>
          <w:lang w:val="fr-FR"/>
        </w:rPr>
        <w:t>un revenu minimum de subsistance</w:t>
      </w:r>
      <w:r w:rsidR="002A026E" w:rsidRPr="00AF51EA">
        <w:rPr>
          <w:lang w:val="fr-FR"/>
        </w:rPr>
        <w:t>.</w:t>
      </w:r>
      <w:r w:rsidRPr="00AF51EA">
        <w:rPr>
          <w:lang w:val="fr-FR"/>
        </w:rPr>
        <w:t xml:space="preserve"> Ils maintiennent toutefois que les familles, en particulier celles qui ont des enfants vulnérables comme R</w:t>
      </w:r>
      <w:r w:rsidR="002A026E" w:rsidRPr="00AF51EA">
        <w:rPr>
          <w:lang w:val="fr-FR"/>
        </w:rPr>
        <w:t>.</w:t>
      </w:r>
      <w:r w:rsidRPr="00AF51EA">
        <w:rPr>
          <w:lang w:val="fr-FR"/>
        </w:rPr>
        <w:t>, ne peuvent être laissées dans la misère comme eux-mêmes l</w:t>
      </w:r>
      <w:r w:rsidR="00AB516D" w:rsidRPr="00AF51EA">
        <w:rPr>
          <w:lang w:val="fr-FR"/>
        </w:rPr>
        <w:t>’</w:t>
      </w:r>
      <w:r w:rsidRPr="00AF51EA">
        <w:rPr>
          <w:lang w:val="fr-FR"/>
        </w:rPr>
        <w:t>ont été</w:t>
      </w:r>
      <w:r w:rsidR="002A026E" w:rsidRPr="00AF51EA">
        <w:rPr>
          <w:lang w:val="fr-FR"/>
        </w:rPr>
        <w:t>.</w:t>
      </w:r>
      <w:r w:rsidRPr="00AF51EA">
        <w:rPr>
          <w:lang w:val="fr-FR"/>
        </w:rPr>
        <w:t xml:space="preserve"> Ils rappellent que cette situation a été créée par l</w:t>
      </w:r>
      <w:r w:rsidR="00AB516D" w:rsidRPr="00AF51EA">
        <w:rPr>
          <w:lang w:val="fr-FR"/>
        </w:rPr>
        <w:t>’</w:t>
      </w:r>
      <w:r w:rsidRPr="00AF51EA">
        <w:rPr>
          <w:lang w:val="fr-FR"/>
        </w:rPr>
        <w:t>État partie et que Voice in the City est intervenue en louant un « taudis voué à la démolition » afin que leur famille ait un logement</w:t>
      </w:r>
      <w:r w:rsidR="002A026E" w:rsidRPr="00AF51EA">
        <w:rPr>
          <w:lang w:val="fr-FR"/>
        </w:rPr>
        <w:t>.</w:t>
      </w:r>
      <w:r w:rsidRPr="00AF51EA">
        <w:rPr>
          <w:lang w:val="fr-FR"/>
        </w:rPr>
        <w:t xml:space="preserve"> Les auteurs soutiennent que l</w:t>
      </w:r>
      <w:r w:rsidR="00AB516D" w:rsidRPr="00AF51EA">
        <w:rPr>
          <w:lang w:val="fr-FR"/>
        </w:rPr>
        <w:t>’</w:t>
      </w:r>
      <w:r w:rsidRPr="00AF51EA">
        <w:rPr>
          <w:lang w:val="fr-FR"/>
        </w:rPr>
        <w:t>État partie présente fallacieusement Voice in the City comme bénéficiant d</w:t>
      </w:r>
      <w:r w:rsidR="00AB516D" w:rsidRPr="00AF51EA">
        <w:rPr>
          <w:lang w:val="fr-FR"/>
        </w:rPr>
        <w:t>’</w:t>
      </w:r>
      <w:r w:rsidRPr="00AF51EA">
        <w:rPr>
          <w:lang w:val="fr-FR"/>
        </w:rPr>
        <w:t>un financement public et précise que cette association caritative n</w:t>
      </w:r>
      <w:r w:rsidR="00AB516D" w:rsidRPr="00AF51EA">
        <w:rPr>
          <w:lang w:val="fr-FR"/>
        </w:rPr>
        <w:t>’</w:t>
      </w:r>
      <w:r w:rsidRPr="00AF51EA">
        <w:rPr>
          <w:lang w:val="fr-FR"/>
        </w:rPr>
        <w:t>a pas été chargée par la municipalité de Haarlem de soutenir la famille mais qu</w:t>
      </w:r>
      <w:r w:rsidR="00AB516D" w:rsidRPr="00AF51EA">
        <w:rPr>
          <w:lang w:val="fr-FR"/>
        </w:rPr>
        <w:t>’</w:t>
      </w:r>
      <w:r w:rsidRPr="00AF51EA">
        <w:rPr>
          <w:lang w:val="fr-FR"/>
        </w:rPr>
        <w:t>elle est financée principalement par des églises locales et des dons de particuliers</w:t>
      </w:r>
      <w:r w:rsidRPr="00AF51EA">
        <w:rPr>
          <w:rStyle w:val="Appelnotedebasdep"/>
        </w:rPr>
        <w:footnoteReference w:id="52"/>
      </w:r>
      <w:r w:rsidR="002A026E" w:rsidRPr="00AF51EA">
        <w:rPr>
          <w:lang w:val="fr-FR"/>
        </w:rPr>
        <w:t>.</w:t>
      </w:r>
      <w:r w:rsidRPr="00AF51EA">
        <w:rPr>
          <w:lang w:val="fr-FR"/>
        </w:rPr>
        <w:t xml:space="preserve"> </w:t>
      </w:r>
    </w:p>
    <w:p w14:paraId="5C47ACAC" w14:textId="77777777" w:rsidR="00E42A05" w:rsidRPr="00AF51EA" w:rsidRDefault="00E42A05" w:rsidP="00E42A05">
      <w:pPr>
        <w:pStyle w:val="SingleTxtG"/>
        <w:rPr>
          <w:lang w:val="fr-FR"/>
        </w:rPr>
      </w:pPr>
      <w:r w:rsidRPr="00AF51EA">
        <w:rPr>
          <w:lang w:val="fr-FR"/>
        </w:rPr>
        <w:t>7</w:t>
      </w:r>
      <w:r w:rsidR="002A026E" w:rsidRPr="00AF51EA">
        <w:rPr>
          <w:lang w:val="fr-FR"/>
        </w:rPr>
        <w:t>.</w:t>
      </w:r>
      <w:r w:rsidRPr="00AF51EA">
        <w:rPr>
          <w:lang w:val="fr-FR"/>
        </w:rPr>
        <w:t>2</w:t>
      </w:r>
      <w:r w:rsidRPr="00AF51EA">
        <w:rPr>
          <w:lang w:val="fr-FR"/>
        </w:rPr>
        <w:tab/>
        <w:t>En ce qui concerne l</w:t>
      </w:r>
      <w:r w:rsidR="00AB516D" w:rsidRPr="00AF51EA">
        <w:rPr>
          <w:lang w:val="fr-FR"/>
        </w:rPr>
        <w:t>’</w:t>
      </w:r>
      <w:r w:rsidRPr="00AF51EA">
        <w:rPr>
          <w:lang w:val="fr-FR"/>
        </w:rPr>
        <w:t>argument de l</w:t>
      </w:r>
      <w:r w:rsidR="00AB516D" w:rsidRPr="00AF51EA">
        <w:rPr>
          <w:lang w:val="fr-FR"/>
        </w:rPr>
        <w:t>’</w:t>
      </w:r>
      <w:r w:rsidRPr="00AF51EA">
        <w:rPr>
          <w:lang w:val="fr-FR"/>
        </w:rPr>
        <w:t>État partie selon lequel ils ont reçu suffisamment d</w:t>
      </w:r>
      <w:r w:rsidR="00AB516D" w:rsidRPr="00AF51EA">
        <w:rPr>
          <w:lang w:val="fr-FR"/>
        </w:rPr>
        <w:t>’</w:t>
      </w:r>
      <w:r w:rsidRPr="00AF51EA">
        <w:rPr>
          <w:lang w:val="fr-FR"/>
        </w:rPr>
        <w:t>argent pour couvrir les besoins fondamentaux de leur famille parce qu</w:t>
      </w:r>
      <w:r w:rsidR="00AB516D" w:rsidRPr="00AF51EA">
        <w:rPr>
          <w:lang w:val="fr-FR"/>
        </w:rPr>
        <w:t>’</w:t>
      </w:r>
      <w:r w:rsidRPr="00AF51EA">
        <w:rPr>
          <w:lang w:val="fr-FR"/>
        </w:rPr>
        <w:t>ils ont perçu des allocations au titre du Règlement relatif aux prestations allouées à certaines catégories d</w:t>
      </w:r>
      <w:r w:rsidR="00AB516D" w:rsidRPr="00AF51EA">
        <w:rPr>
          <w:lang w:val="fr-FR"/>
        </w:rPr>
        <w:t>’</w:t>
      </w:r>
      <w:r w:rsidRPr="00AF51EA">
        <w:rPr>
          <w:lang w:val="fr-FR"/>
        </w:rPr>
        <w:t>étrangers du 1</w:t>
      </w:r>
      <w:r w:rsidRPr="00AF51EA">
        <w:rPr>
          <w:vertAlign w:val="superscript"/>
          <w:lang w:val="fr-FR"/>
        </w:rPr>
        <w:t>er</w:t>
      </w:r>
      <w:r w:rsidRPr="00AF51EA">
        <w:rPr>
          <w:lang w:val="fr-FR"/>
        </w:rPr>
        <w:t> janvier au 4 septembre 2007, les auteurs indiquent que l</w:t>
      </w:r>
      <w:r w:rsidR="00AB516D" w:rsidRPr="00AF51EA">
        <w:rPr>
          <w:lang w:val="fr-FR"/>
        </w:rPr>
        <w:t>’</w:t>
      </w:r>
      <w:r w:rsidRPr="00AF51EA">
        <w:rPr>
          <w:lang w:val="fr-FR"/>
        </w:rPr>
        <w:t>État partie ne tient pas compte de certaines périodes, comme celle comprise entre leur arrivée dans le pays en 2005 et le 1</w:t>
      </w:r>
      <w:r w:rsidRPr="00AF51EA">
        <w:rPr>
          <w:vertAlign w:val="superscript"/>
          <w:lang w:val="fr-FR"/>
        </w:rPr>
        <w:t>er </w:t>
      </w:r>
      <w:r w:rsidRPr="00AF51EA">
        <w:rPr>
          <w:lang w:val="fr-FR"/>
        </w:rPr>
        <w:t>janvier 2007 et celle postérieure au 4 septembre 2007</w:t>
      </w:r>
      <w:r w:rsidR="002A026E" w:rsidRPr="00AF51EA">
        <w:rPr>
          <w:lang w:val="fr-FR"/>
        </w:rPr>
        <w:t>.</w:t>
      </w:r>
      <w:r w:rsidRPr="00AF51EA">
        <w:rPr>
          <w:lang w:val="fr-FR"/>
        </w:rPr>
        <w:t xml:space="preserve"> Ils contestent en outre le bien-fondé de l</w:t>
      </w:r>
      <w:r w:rsidR="00AB516D" w:rsidRPr="00AF51EA">
        <w:rPr>
          <w:lang w:val="fr-FR"/>
        </w:rPr>
        <w:t>’</w:t>
      </w:r>
      <w:r w:rsidRPr="00AF51EA">
        <w:rPr>
          <w:lang w:val="fr-FR"/>
        </w:rPr>
        <w:t>argument de l</w:t>
      </w:r>
      <w:r w:rsidR="00AB516D" w:rsidRPr="00AF51EA">
        <w:rPr>
          <w:lang w:val="fr-FR"/>
        </w:rPr>
        <w:t>’</w:t>
      </w:r>
      <w:r w:rsidRPr="00AF51EA">
        <w:rPr>
          <w:lang w:val="fr-FR"/>
        </w:rPr>
        <w:t>État partie selon lequel leur famille était « dans une situation habituelle pour des demandeurs d</w:t>
      </w:r>
      <w:r w:rsidR="00AB516D" w:rsidRPr="00AF51EA">
        <w:rPr>
          <w:lang w:val="fr-FR"/>
        </w:rPr>
        <w:t>’</w:t>
      </w:r>
      <w:r w:rsidRPr="00AF51EA">
        <w:rPr>
          <w:lang w:val="fr-FR"/>
        </w:rPr>
        <w:t>asile » pendant cette période car ils n</w:t>
      </w:r>
      <w:r w:rsidR="00AB516D" w:rsidRPr="00AF51EA">
        <w:rPr>
          <w:lang w:val="fr-FR"/>
        </w:rPr>
        <w:t>’</w:t>
      </w:r>
      <w:r w:rsidRPr="00AF51EA">
        <w:rPr>
          <w:lang w:val="fr-FR"/>
        </w:rPr>
        <w:t>ont pratiquement rien perçu entre la date à laquelle ils ont été « mis à la rue » − le 17 mars 2005 − et la date à laquelle ils ont reçu leur permis de séjour − le 22 janvier 2009</w:t>
      </w:r>
      <w:r w:rsidR="002A026E" w:rsidRPr="00AF51EA">
        <w:rPr>
          <w:lang w:val="fr-FR"/>
        </w:rPr>
        <w:t>.</w:t>
      </w:r>
      <w:r w:rsidRPr="00AF51EA">
        <w:rPr>
          <w:lang w:val="fr-FR"/>
        </w:rPr>
        <w:t xml:space="preserve"> Ils ajoutent qu</w:t>
      </w:r>
      <w:r w:rsidR="00AB516D" w:rsidRPr="00AF51EA">
        <w:rPr>
          <w:lang w:val="fr-FR"/>
        </w:rPr>
        <w:t>’</w:t>
      </w:r>
      <w:r w:rsidRPr="00AF51EA">
        <w:rPr>
          <w:lang w:val="fr-FR"/>
        </w:rPr>
        <w:t>ils avaient droit à une allocation mensuelle d</w:t>
      </w:r>
      <w:r w:rsidR="00AB516D" w:rsidRPr="00AF51EA">
        <w:rPr>
          <w:lang w:val="fr-FR"/>
        </w:rPr>
        <w:t>’</w:t>
      </w:r>
      <w:r w:rsidRPr="00AF51EA">
        <w:rPr>
          <w:lang w:val="fr-FR"/>
        </w:rPr>
        <w:t>environ 215 euros pour R</w:t>
      </w:r>
      <w:r w:rsidR="002A026E" w:rsidRPr="00AF51EA">
        <w:rPr>
          <w:lang w:val="fr-FR"/>
        </w:rPr>
        <w:t>.</w:t>
      </w:r>
      <w:r w:rsidRPr="00AF51EA">
        <w:rPr>
          <w:lang w:val="fr-FR"/>
        </w:rPr>
        <w:t>, ce qui n</w:t>
      </w:r>
      <w:r w:rsidR="00AB516D" w:rsidRPr="00AF51EA">
        <w:rPr>
          <w:lang w:val="fr-FR"/>
        </w:rPr>
        <w:t>’</w:t>
      </w:r>
      <w:r w:rsidRPr="00AF51EA">
        <w:rPr>
          <w:lang w:val="fr-FR"/>
        </w:rPr>
        <w:t>est qu</w:t>
      </w:r>
      <w:r w:rsidR="00AB516D" w:rsidRPr="00AF51EA">
        <w:rPr>
          <w:lang w:val="fr-FR"/>
        </w:rPr>
        <w:t>’</w:t>
      </w:r>
      <w:r w:rsidRPr="00AF51EA">
        <w:rPr>
          <w:lang w:val="fr-FR"/>
        </w:rPr>
        <w:t>une « part infime » du revenu minimum d</w:t>
      </w:r>
      <w:r w:rsidR="00AB516D" w:rsidRPr="00AF51EA">
        <w:rPr>
          <w:lang w:val="fr-FR"/>
        </w:rPr>
        <w:t>’</w:t>
      </w:r>
      <w:r w:rsidRPr="00AF51EA">
        <w:rPr>
          <w:lang w:val="fr-FR"/>
        </w:rPr>
        <w:t>une famille aux Pays-Bas</w:t>
      </w:r>
      <w:r w:rsidR="002A026E" w:rsidRPr="00AF51EA">
        <w:rPr>
          <w:lang w:val="fr-FR"/>
        </w:rPr>
        <w:t>.</w:t>
      </w:r>
    </w:p>
    <w:p w14:paraId="44B834AD" w14:textId="77777777" w:rsidR="00E42A05" w:rsidRPr="00AF51EA" w:rsidRDefault="00E42A05" w:rsidP="00E42A05">
      <w:pPr>
        <w:pStyle w:val="SingleTxtG"/>
        <w:rPr>
          <w:lang w:val="fr-FR"/>
        </w:rPr>
      </w:pPr>
      <w:r w:rsidRPr="00AF51EA">
        <w:rPr>
          <w:lang w:val="fr-FR"/>
        </w:rPr>
        <w:t>7</w:t>
      </w:r>
      <w:r w:rsidR="002A026E" w:rsidRPr="00AF51EA">
        <w:rPr>
          <w:lang w:val="fr-FR"/>
        </w:rPr>
        <w:t>.</w:t>
      </w:r>
      <w:r w:rsidRPr="00AF51EA">
        <w:rPr>
          <w:lang w:val="fr-FR"/>
        </w:rPr>
        <w:t>3</w:t>
      </w:r>
      <w:r w:rsidRPr="00AF51EA">
        <w:rPr>
          <w:lang w:val="fr-FR"/>
        </w:rPr>
        <w:tab/>
        <w:t>Les auteurs rappellent que leur communication ne porte que sur les allocations pour enfant à charge</w:t>
      </w:r>
      <w:r w:rsidR="002A026E" w:rsidRPr="00AF51EA">
        <w:rPr>
          <w:lang w:val="fr-FR"/>
        </w:rPr>
        <w:t>.</w:t>
      </w:r>
      <w:r w:rsidRPr="00AF51EA">
        <w:rPr>
          <w:lang w:val="fr-FR"/>
        </w:rPr>
        <w:t xml:space="preserve"> Ils soulignent que ces prestations sont importantes en ce qu</w:t>
      </w:r>
      <w:r w:rsidR="00AB516D" w:rsidRPr="00AF51EA">
        <w:rPr>
          <w:lang w:val="fr-FR"/>
        </w:rPr>
        <w:t>’</w:t>
      </w:r>
      <w:r w:rsidRPr="00AF51EA">
        <w:rPr>
          <w:lang w:val="fr-FR"/>
        </w:rPr>
        <w:t>elles permettent de disposer du revenu minimum de subsistance dont la famille a été privée</w:t>
      </w:r>
      <w:r w:rsidR="002A026E" w:rsidRPr="00AF51EA">
        <w:rPr>
          <w:lang w:val="fr-FR"/>
        </w:rPr>
        <w:t>.</w:t>
      </w:r>
      <w:r w:rsidRPr="00AF51EA">
        <w:rPr>
          <w:lang w:val="fr-FR"/>
        </w:rPr>
        <w:t xml:space="preserve"> Ils estiment que l</w:t>
      </w:r>
      <w:r w:rsidR="00AB516D" w:rsidRPr="00AF51EA">
        <w:rPr>
          <w:lang w:val="fr-FR"/>
        </w:rPr>
        <w:t>’</w:t>
      </w:r>
      <w:r w:rsidRPr="00AF51EA">
        <w:rPr>
          <w:lang w:val="fr-FR"/>
        </w:rPr>
        <w:t>allocation trimestrielle de 186 euros les aurait considérablement aidés à se rapprocher de ce minimum</w:t>
      </w:r>
      <w:r w:rsidR="002A026E" w:rsidRPr="00AF51EA">
        <w:rPr>
          <w:lang w:val="fr-FR"/>
        </w:rPr>
        <w:t>.</w:t>
      </w:r>
    </w:p>
    <w:p w14:paraId="69C9A3CB" w14:textId="77777777" w:rsidR="00E42A05" w:rsidRPr="00AF51EA" w:rsidRDefault="00E42A05" w:rsidP="0004317A">
      <w:pPr>
        <w:pStyle w:val="SingleTxtG"/>
        <w:keepNext/>
        <w:keepLines/>
        <w:rPr>
          <w:lang w:val="fr-FR"/>
        </w:rPr>
      </w:pPr>
      <w:r w:rsidRPr="00AF51EA">
        <w:rPr>
          <w:lang w:val="fr-FR"/>
        </w:rPr>
        <w:lastRenderedPageBreak/>
        <w:t>7</w:t>
      </w:r>
      <w:r w:rsidR="002A026E" w:rsidRPr="00AF51EA">
        <w:rPr>
          <w:lang w:val="fr-FR"/>
        </w:rPr>
        <w:t>.</w:t>
      </w:r>
      <w:r w:rsidRPr="00AF51EA">
        <w:rPr>
          <w:lang w:val="fr-FR"/>
        </w:rPr>
        <w:t>4</w:t>
      </w:r>
      <w:r w:rsidRPr="00AF51EA">
        <w:rPr>
          <w:lang w:val="fr-FR"/>
        </w:rPr>
        <w:tab/>
        <w:t>Les auteurs réaffirment en outre que les allocations pour enfants à charge ne peuvent être demandées que par l</w:t>
      </w:r>
      <w:r w:rsidR="00AB516D" w:rsidRPr="00AF51EA">
        <w:rPr>
          <w:lang w:val="fr-FR"/>
        </w:rPr>
        <w:t>’</w:t>
      </w:r>
      <w:r w:rsidRPr="00AF51EA">
        <w:rPr>
          <w:lang w:val="fr-FR"/>
        </w:rPr>
        <w:t>un des parents, qu</w:t>
      </w:r>
      <w:r w:rsidR="00AB516D" w:rsidRPr="00AF51EA">
        <w:rPr>
          <w:lang w:val="fr-FR"/>
        </w:rPr>
        <w:t>’</w:t>
      </w:r>
      <w:r w:rsidRPr="00AF51EA">
        <w:rPr>
          <w:lang w:val="fr-FR"/>
        </w:rPr>
        <w:t>elles sont versées à celui-ci et qu</w:t>
      </w:r>
      <w:r w:rsidR="00AB516D" w:rsidRPr="00AF51EA">
        <w:rPr>
          <w:lang w:val="fr-FR"/>
        </w:rPr>
        <w:t>’</w:t>
      </w:r>
      <w:r w:rsidRPr="00AF51EA">
        <w:rPr>
          <w:lang w:val="fr-FR"/>
        </w:rPr>
        <w:t>il peut seul exercer des recours les concernant</w:t>
      </w:r>
      <w:r w:rsidR="002A026E" w:rsidRPr="00AF51EA">
        <w:rPr>
          <w:lang w:val="fr-FR"/>
        </w:rPr>
        <w:t>.</w:t>
      </w:r>
      <w:r w:rsidRPr="00AF51EA">
        <w:rPr>
          <w:lang w:val="fr-FR"/>
        </w:rPr>
        <w:t xml:space="preserve"> Par conséquent, bien que R</w:t>
      </w:r>
      <w:r w:rsidR="002A026E" w:rsidRPr="00AF51EA">
        <w:rPr>
          <w:lang w:val="fr-FR"/>
        </w:rPr>
        <w:t>.</w:t>
      </w:r>
      <w:r w:rsidRPr="00AF51EA">
        <w:rPr>
          <w:lang w:val="fr-FR"/>
        </w:rPr>
        <w:t xml:space="preserve"> ne soit pas l</w:t>
      </w:r>
      <w:r w:rsidR="00AB516D" w:rsidRPr="00AF51EA">
        <w:rPr>
          <w:lang w:val="fr-FR"/>
        </w:rPr>
        <w:t>’</w:t>
      </w:r>
      <w:r w:rsidRPr="00AF51EA">
        <w:rPr>
          <w:lang w:val="fr-FR"/>
        </w:rPr>
        <w:t>auteure de la communication, sa situation et ses droits fondamentaux ont toujours été au centre de la procédure judiciaire</w:t>
      </w:r>
      <w:r w:rsidR="002A026E" w:rsidRPr="00AF51EA">
        <w:rPr>
          <w:lang w:val="fr-FR"/>
        </w:rPr>
        <w:t>.</w:t>
      </w:r>
      <w:r w:rsidRPr="00AF51EA">
        <w:rPr>
          <w:lang w:val="fr-FR"/>
        </w:rPr>
        <w:t xml:space="preserve"> Les auteurs affirment qu</w:t>
      </w:r>
      <w:r w:rsidR="00AB516D" w:rsidRPr="00AF51EA">
        <w:rPr>
          <w:lang w:val="fr-FR"/>
        </w:rPr>
        <w:t>’</w:t>
      </w:r>
      <w:r w:rsidRPr="00AF51EA">
        <w:rPr>
          <w:lang w:val="fr-FR"/>
        </w:rPr>
        <w:t>en tant que parents, ils sont tenus par la loi de pourvoir aux besoins de leur fille ; toutefois, c</w:t>
      </w:r>
      <w:r w:rsidR="00AB516D" w:rsidRPr="00AF51EA">
        <w:rPr>
          <w:lang w:val="fr-FR"/>
        </w:rPr>
        <w:t>’</w:t>
      </w:r>
      <w:r w:rsidRPr="00AF51EA">
        <w:rPr>
          <w:lang w:val="fr-FR"/>
        </w:rPr>
        <w:t>est la famille en tant qu</w:t>
      </w:r>
      <w:r w:rsidR="00AB516D" w:rsidRPr="00AF51EA">
        <w:rPr>
          <w:lang w:val="fr-FR"/>
        </w:rPr>
        <w:t>’</w:t>
      </w:r>
      <w:r w:rsidRPr="00AF51EA">
        <w:rPr>
          <w:lang w:val="fr-FR"/>
        </w:rPr>
        <w:t>elle forme un tout qui a été touchée par l</w:t>
      </w:r>
      <w:r w:rsidR="00AB516D" w:rsidRPr="00AF51EA">
        <w:rPr>
          <w:lang w:val="fr-FR"/>
        </w:rPr>
        <w:t>’</w:t>
      </w:r>
      <w:r w:rsidRPr="00AF51EA">
        <w:rPr>
          <w:lang w:val="fr-FR"/>
        </w:rPr>
        <w:t>absence de revenu minimum</w:t>
      </w:r>
      <w:r w:rsidR="002A026E" w:rsidRPr="00AF51EA">
        <w:rPr>
          <w:lang w:val="fr-FR"/>
        </w:rPr>
        <w:t>.</w:t>
      </w:r>
      <w:r w:rsidRPr="00AF51EA">
        <w:rPr>
          <w:lang w:val="fr-FR"/>
        </w:rPr>
        <w:t xml:space="preserve"> Les auteurs soulignent que le fait que R</w:t>
      </w:r>
      <w:r w:rsidR="002A026E" w:rsidRPr="00AF51EA">
        <w:rPr>
          <w:lang w:val="fr-FR"/>
        </w:rPr>
        <w:t>.</w:t>
      </w:r>
      <w:r w:rsidRPr="00AF51EA">
        <w:rPr>
          <w:lang w:val="fr-FR"/>
        </w:rPr>
        <w:t xml:space="preserve"> n</w:t>
      </w:r>
      <w:r w:rsidR="00AB516D" w:rsidRPr="00AF51EA">
        <w:rPr>
          <w:lang w:val="fr-FR"/>
        </w:rPr>
        <w:t>’</w:t>
      </w:r>
      <w:r w:rsidRPr="00AF51EA">
        <w:rPr>
          <w:lang w:val="fr-FR"/>
        </w:rPr>
        <w:t>ait pu demander elle-même des prestations n</w:t>
      </w:r>
      <w:r w:rsidR="00AB516D" w:rsidRPr="00AF51EA">
        <w:rPr>
          <w:lang w:val="fr-FR"/>
        </w:rPr>
        <w:t>’</w:t>
      </w:r>
      <w:r w:rsidRPr="00AF51EA">
        <w:rPr>
          <w:lang w:val="fr-FR"/>
        </w:rPr>
        <w:t>est pas pertinent</w:t>
      </w:r>
      <w:r w:rsidR="002A026E" w:rsidRPr="00AF51EA">
        <w:rPr>
          <w:lang w:val="fr-FR"/>
        </w:rPr>
        <w:t>.</w:t>
      </w:r>
    </w:p>
    <w:p w14:paraId="779D7F81" w14:textId="77777777" w:rsidR="00E42A05" w:rsidRPr="00AF51EA" w:rsidRDefault="00E42A05" w:rsidP="00E42A05">
      <w:pPr>
        <w:pStyle w:val="SingleTxtG"/>
        <w:rPr>
          <w:lang w:val="fr-FR"/>
        </w:rPr>
      </w:pPr>
      <w:r w:rsidRPr="00AF51EA">
        <w:rPr>
          <w:lang w:val="fr-FR"/>
        </w:rPr>
        <w:t>7</w:t>
      </w:r>
      <w:r w:rsidR="002A026E" w:rsidRPr="00AF51EA">
        <w:rPr>
          <w:lang w:val="fr-FR"/>
        </w:rPr>
        <w:t>.</w:t>
      </w:r>
      <w:r w:rsidRPr="00AF51EA">
        <w:rPr>
          <w:lang w:val="fr-FR"/>
        </w:rPr>
        <w:t>5</w:t>
      </w:r>
      <w:r w:rsidRPr="00AF51EA">
        <w:rPr>
          <w:lang w:val="fr-FR"/>
        </w:rPr>
        <w:tab/>
        <w:t>Réagissant aux observations de l</w:t>
      </w:r>
      <w:r w:rsidR="00AB516D" w:rsidRPr="00AF51EA">
        <w:rPr>
          <w:lang w:val="fr-FR"/>
        </w:rPr>
        <w:t>’</w:t>
      </w:r>
      <w:r w:rsidRPr="00AF51EA">
        <w:rPr>
          <w:lang w:val="fr-FR"/>
        </w:rPr>
        <w:t>État partie sur leurs griefs au titre des articles 23 et 24 du Pacte, les auteurs soutiennent qu</w:t>
      </w:r>
      <w:r w:rsidR="00AB516D" w:rsidRPr="00AF51EA">
        <w:rPr>
          <w:lang w:val="fr-FR"/>
        </w:rPr>
        <w:t>’</w:t>
      </w:r>
      <w:r w:rsidRPr="00AF51EA">
        <w:rPr>
          <w:lang w:val="fr-FR"/>
        </w:rPr>
        <w:t>il n</w:t>
      </w:r>
      <w:r w:rsidR="00AB516D" w:rsidRPr="00AF51EA">
        <w:rPr>
          <w:lang w:val="fr-FR"/>
        </w:rPr>
        <w:t>’</w:t>
      </w:r>
      <w:r w:rsidRPr="00AF51EA">
        <w:rPr>
          <w:lang w:val="fr-FR"/>
        </w:rPr>
        <w:t>est pas possible d</w:t>
      </w:r>
      <w:r w:rsidR="00AB516D" w:rsidRPr="00AF51EA">
        <w:rPr>
          <w:lang w:val="fr-FR"/>
        </w:rPr>
        <w:t>’</w:t>
      </w:r>
      <w:r w:rsidRPr="00AF51EA">
        <w:rPr>
          <w:lang w:val="fr-FR"/>
        </w:rPr>
        <w:t>examiner ces griefs sans tenir compte des besoins de R</w:t>
      </w:r>
      <w:r w:rsidR="002A026E" w:rsidRPr="00AF51EA">
        <w:rPr>
          <w:lang w:val="fr-FR"/>
        </w:rPr>
        <w:t>.</w:t>
      </w:r>
      <w:r w:rsidRPr="00AF51EA">
        <w:rPr>
          <w:lang w:val="fr-FR"/>
        </w:rPr>
        <w:t xml:space="preserve"> Ils font valoir que les actes de l</w:t>
      </w:r>
      <w:r w:rsidR="00AB516D" w:rsidRPr="00AF51EA">
        <w:rPr>
          <w:lang w:val="fr-FR"/>
        </w:rPr>
        <w:t>’</w:t>
      </w:r>
      <w:r w:rsidRPr="00AF51EA">
        <w:rPr>
          <w:lang w:val="fr-FR"/>
        </w:rPr>
        <w:t>État partie ont violé les droits dont R</w:t>
      </w:r>
      <w:r w:rsidR="002A026E" w:rsidRPr="00AF51EA">
        <w:rPr>
          <w:lang w:val="fr-FR"/>
        </w:rPr>
        <w:t>.</w:t>
      </w:r>
      <w:r w:rsidRPr="00AF51EA">
        <w:rPr>
          <w:lang w:val="fr-FR"/>
        </w:rPr>
        <w:t xml:space="preserve"> jouit en tant qu</w:t>
      </w:r>
      <w:r w:rsidR="00AB516D" w:rsidRPr="00AF51EA">
        <w:rPr>
          <w:lang w:val="fr-FR"/>
        </w:rPr>
        <w:t>’</w:t>
      </w:r>
      <w:r w:rsidRPr="00AF51EA">
        <w:rPr>
          <w:lang w:val="fr-FR"/>
        </w:rPr>
        <w:t>enfant</w:t>
      </w:r>
      <w:r w:rsidR="002A026E" w:rsidRPr="00AF51EA">
        <w:rPr>
          <w:lang w:val="fr-FR"/>
        </w:rPr>
        <w:t>.</w:t>
      </w:r>
      <w:r w:rsidRPr="00AF51EA">
        <w:rPr>
          <w:lang w:val="fr-FR"/>
        </w:rPr>
        <w:t xml:space="preserve"> Ils affirment que les obligations incombant à l</w:t>
      </w:r>
      <w:r w:rsidR="00AB516D" w:rsidRPr="00AF51EA">
        <w:rPr>
          <w:lang w:val="fr-FR"/>
        </w:rPr>
        <w:t>’</w:t>
      </w:r>
      <w:r w:rsidRPr="00AF51EA">
        <w:rPr>
          <w:lang w:val="fr-FR"/>
        </w:rPr>
        <w:t>État partie en vertu du Pacte ne sont pas affectées par leur obligation de quitter les Pays-Bas et que, dans le cadre de l</w:t>
      </w:r>
      <w:r w:rsidR="00AB516D" w:rsidRPr="00AF51EA">
        <w:rPr>
          <w:lang w:val="fr-FR"/>
        </w:rPr>
        <w:t>’</w:t>
      </w:r>
      <w:r w:rsidRPr="00AF51EA">
        <w:rPr>
          <w:lang w:val="fr-FR"/>
        </w:rPr>
        <w:t>application de sa politique d</w:t>
      </w:r>
      <w:r w:rsidR="00AB516D" w:rsidRPr="00AF51EA">
        <w:rPr>
          <w:lang w:val="fr-FR"/>
        </w:rPr>
        <w:t>’</w:t>
      </w:r>
      <w:r w:rsidRPr="00AF51EA">
        <w:rPr>
          <w:lang w:val="fr-FR"/>
        </w:rPr>
        <w:t>immigration, l</w:t>
      </w:r>
      <w:r w:rsidR="00AB516D" w:rsidRPr="00AF51EA">
        <w:rPr>
          <w:lang w:val="fr-FR"/>
        </w:rPr>
        <w:t>’</w:t>
      </w:r>
      <w:r w:rsidRPr="00AF51EA">
        <w:rPr>
          <w:lang w:val="fr-FR"/>
        </w:rPr>
        <w:t>État partie ne saurait méconnaître les obligations en matière de droits de l</w:t>
      </w:r>
      <w:r w:rsidR="00AB516D" w:rsidRPr="00AF51EA">
        <w:rPr>
          <w:lang w:val="fr-FR"/>
        </w:rPr>
        <w:t>’</w:t>
      </w:r>
      <w:r w:rsidRPr="00AF51EA">
        <w:rPr>
          <w:lang w:val="fr-FR"/>
        </w:rPr>
        <w:t>homme mises à sa charge par les articles 23 et 24 du Pacte</w:t>
      </w:r>
      <w:r w:rsidR="002A026E" w:rsidRPr="00AF51EA">
        <w:rPr>
          <w:lang w:val="fr-FR"/>
        </w:rPr>
        <w:t>.</w:t>
      </w:r>
      <w:r w:rsidRPr="00AF51EA">
        <w:rPr>
          <w:lang w:val="fr-FR"/>
        </w:rPr>
        <w:t xml:space="preserve"> </w:t>
      </w:r>
    </w:p>
    <w:p w14:paraId="7031731E" w14:textId="77777777" w:rsidR="00E42A05" w:rsidRPr="00AF51EA" w:rsidRDefault="00E42A05" w:rsidP="00E42A05">
      <w:pPr>
        <w:pStyle w:val="H23G"/>
        <w:rPr>
          <w:i/>
          <w:lang w:val="fr-FR"/>
        </w:rPr>
      </w:pPr>
      <w:r w:rsidRPr="00AF51EA">
        <w:rPr>
          <w:lang w:val="fr-FR"/>
        </w:rPr>
        <w:tab/>
      </w:r>
      <w:r w:rsidRPr="00AF51EA">
        <w:rPr>
          <w:lang w:val="fr-FR"/>
        </w:rPr>
        <w:tab/>
        <w:t>Délibérations du Comité</w:t>
      </w:r>
    </w:p>
    <w:p w14:paraId="341A3E76" w14:textId="77777777" w:rsidR="00E42A05" w:rsidRPr="00AF51EA" w:rsidRDefault="00E42A05" w:rsidP="00E42A05">
      <w:pPr>
        <w:pStyle w:val="H4G"/>
        <w:rPr>
          <w:lang w:val="fr-FR"/>
        </w:rPr>
      </w:pPr>
      <w:r w:rsidRPr="00AF51EA">
        <w:rPr>
          <w:lang w:val="fr-FR"/>
        </w:rPr>
        <w:tab/>
      </w:r>
      <w:r w:rsidRPr="00AF51EA">
        <w:rPr>
          <w:lang w:val="fr-FR"/>
        </w:rPr>
        <w:tab/>
        <w:t>Examen de la recevabilité</w:t>
      </w:r>
    </w:p>
    <w:p w14:paraId="6DDAF261" w14:textId="77777777" w:rsidR="00E42A05" w:rsidRPr="00AF51EA" w:rsidRDefault="00E42A05" w:rsidP="00E42A05">
      <w:pPr>
        <w:pStyle w:val="SingleTxtG"/>
        <w:rPr>
          <w:lang w:val="fr-FR"/>
        </w:rPr>
      </w:pPr>
      <w:r w:rsidRPr="00AF51EA">
        <w:rPr>
          <w:lang w:val="fr-FR"/>
        </w:rPr>
        <w:t>8</w:t>
      </w:r>
      <w:r w:rsidR="002A026E" w:rsidRPr="00AF51EA">
        <w:rPr>
          <w:lang w:val="fr-FR"/>
        </w:rPr>
        <w:t>.</w:t>
      </w:r>
      <w:r w:rsidRPr="00AF51EA">
        <w:rPr>
          <w:lang w:val="fr-FR"/>
        </w:rPr>
        <w:t>1</w:t>
      </w:r>
      <w:r w:rsidRPr="00AF51EA">
        <w:rPr>
          <w:lang w:val="fr-FR"/>
        </w:rPr>
        <w:tab/>
        <w:t>Avant d</w:t>
      </w:r>
      <w:r w:rsidR="00AB516D" w:rsidRPr="00AF51EA">
        <w:rPr>
          <w:lang w:val="fr-FR"/>
        </w:rPr>
        <w:t>’</w:t>
      </w:r>
      <w:r w:rsidRPr="00AF51EA">
        <w:rPr>
          <w:lang w:val="fr-FR"/>
        </w:rPr>
        <w:t>examiner tout grief formulé dans une communication, le Comité doit, conformément à l</w:t>
      </w:r>
      <w:r w:rsidR="00AB516D" w:rsidRPr="00AF51EA">
        <w:rPr>
          <w:lang w:val="fr-FR"/>
        </w:rPr>
        <w:t>’</w:t>
      </w:r>
      <w:r w:rsidRPr="00AF51EA">
        <w:rPr>
          <w:lang w:val="fr-FR"/>
        </w:rPr>
        <w:t>article 93 de son règlement intérieur, déterminer s</w:t>
      </w:r>
      <w:r w:rsidR="00AB516D" w:rsidRPr="00AF51EA">
        <w:rPr>
          <w:lang w:val="fr-FR"/>
        </w:rPr>
        <w:t>’</w:t>
      </w:r>
      <w:r w:rsidRPr="00AF51EA">
        <w:rPr>
          <w:lang w:val="fr-FR"/>
        </w:rPr>
        <w:t>il est recevable au regard du Protocole facultatif se rapportant au Pacte</w:t>
      </w:r>
      <w:r w:rsidR="002A026E" w:rsidRPr="00AF51EA">
        <w:rPr>
          <w:lang w:val="fr-FR"/>
        </w:rPr>
        <w:t>.</w:t>
      </w:r>
    </w:p>
    <w:p w14:paraId="03917851" w14:textId="77777777" w:rsidR="00E42A05" w:rsidRPr="00AF51EA" w:rsidRDefault="00E42A05" w:rsidP="00E42A05">
      <w:pPr>
        <w:pStyle w:val="SingleTxtG"/>
        <w:rPr>
          <w:lang w:val="fr-FR"/>
        </w:rPr>
      </w:pPr>
      <w:r w:rsidRPr="00AF51EA">
        <w:rPr>
          <w:lang w:val="fr-FR"/>
        </w:rPr>
        <w:t>8</w:t>
      </w:r>
      <w:r w:rsidR="002A026E" w:rsidRPr="00AF51EA">
        <w:rPr>
          <w:lang w:val="fr-FR"/>
        </w:rPr>
        <w:t>.</w:t>
      </w:r>
      <w:r w:rsidRPr="00AF51EA">
        <w:rPr>
          <w:lang w:val="fr-FR"/>
        </w:rPr>
        <w:t>2</w:t>
      </w:r>
      <w:r w:rsidRPr="00AF51EA">
        <w:rPr>
          <w:lang w:val="fr-FR"/>
        </w:rPr>
        <w:tab/>
        <w:t>Le Comité s</w:t>
      </w:r>
      <w:r w:rsidR="00AB516D" w:rsidRPr="00AF51EA">
        <w:rPr>
          <w:lang w:val="fr-FR"/>
        </w:rPr>
        <w:t>’</w:t>
      </w:r>
      <w:r w:rsidRPr="00AF51EA">
        <w:rPr>
          <w:lang w:val="fr-FR"/>
        </w:rPr>
        <w:t>est assuré, comme il est tenu de le faire conformément au paragraphe 2 a) de l</w:t>
      </w:r>
      <w:r w:rsidR="00AB516D" w:rsidRPr="00AF51EA">
        <w:rPr>
          <w:lang w:val="fr-FR"/>
        </w:rPr>
        <w:t>’</w:t>
      </w:r>
      <w:r w:rsidRPr="00AF51EA">
        <w:rPr>
          <w:lang w:val="fr-FR"/>
        </w:rPr>
        <w:t>article 5 du Protocole facultatif, que la même question n</w:t>
      </w:r>
      <w:r w:rsidR="00AB516D" w:rsidRPr="00AF51EA">
        <w:rPr>
          <w:lang w:val="fr-FR"/>
        </w:rPr>
        <w:t>’</w:t>
      </w:r>
      <w:r w:rsidRPr="00AF51EA">
        <w:rPr>
          <w:lang w:val="fr-FR"/>
        </w:rPr>
        <w:t>était pas déjà en cours d</w:t>
      </w:r>
      <w:r w:rsidR="00AB516D" w:rsidRPr="00AF51EA">
        <w:rPr>
          <w:lang w:val="fr-FR"/>
        </w:rPr>
        <w:t>’</w:t>
      </w:r>
      <w:r w:rsidRPr="00AF51EA">
        <w:rPr>
          <w:lang w:val="fr-FR"/>
        </w:rPr>
        <w:t>examen devant une autre instance internationale d</w:t>
      </w:r>
      <w:r w:rsidR="00AB516D" w:rsidRPr="00AF51EA">
        <w:rPr>
          <w:lang w:val="fr-FR"/>
        </w:rPr>
        <w:t>’</w:t>
      </w:r>
      <w:r w:rsidRPr="00AF51EA">
        <w:rPr>
          <w:lang w:val="fr-FR"/>
        </w:rPr>
        <w:t>enquête ou de règlement</w:t>
      </w:r>
      <w:r w:rsidR="002A026E" w:rsidRPr="00AF51EA">
        <w:rPr>
          <w:lang w:val="fr-FR"/>
        </w:rPr>
        <w:t>.</w:t>
      </w:r>
      <w:r w:rsidRPr="00AF51EA">
        <w:rPr>
          <w:lang w:val="fr-FR"/>
        </w:rPr>
        <w:t xml:space="preserve"> </w:t>
      </w:r>
    </w:p>
    <w:p w14:paraId="7EC15F50" w14:textId="77777777" w:rsidR="00E42A05" w:rsidRPr="00AF51EA" w:rsidRDefault="00E42A05" w:rsidP="00E42A05">
      <w:pPr>
        <w:pStyle w:val="SingleTxtG"/>
        <w:rPr>
          <w:lang w:val="fr-FR"/>
        </w:rPr>
      </w:pPr>
      <w:r w:rsidRPr="00AF51EA">
        <w:rPr>
          <w:lang w:val="fr-FR"/>
        </w:rPr>
        <w:t>8</w:t>
      </w:r>
      <w:r w:rsidR="002A026E" w:rsidRPr="00AF51EA">
        <w:rPr>
          <w:lang w:val="fr-FR"/>
        </w:rPr>
        <w:t>.</w:t>
      </w:r>
      <w:r w:rsidRPr="00AF51EA">
        <w:rPr>
          <w:lang w:val="fr-FR"/>
        </w:rPr>
        <w:t>3</w:t>
      </w:r>
      <w:r w:rsidRPr="00AF51EA">
        <w:rPr>
          <w:lang w:val="fr-FR"/>
        </w:rPr>
        <w:tab/>
        <w:t>Le Comité prend note de l</w:t>
      </w:r>
      <w:r w:rsidR="00AB516D" w:rsidRPr="00AF51EA">
        <w:rPr>
          <w:lang w:val="fr-FR"/>
        </w:rPr>
        <w:t>’</w:t>
      </w:r>
      <w:r w:rsidRPr="00AF51EA">
        <w:rPr>
          <w:lang w:val="fr-FR"/>
        </w:rPr>
        <w:t>affirmation des auteurs selon laquelle ils ont épuisé tous les recours internes utiles qui leur étaient ouverts</w:t>
      </w:r>
      <w:r w:rsidR="002A026E" w:rsidRPr="00AF51EA">
        <w:rPr>
          <w:lang w:val="fr-FR"/>
        </w:rPr>
        <w:t>.</w:t>
      </w:r>
      <w:r w:rsidRPr="00AF51EA">
        <w:rPr>
          <w:lang w:val="fr-FR"/>
        </w:rPr>
        <w:t xml:space="preserve"> En l</w:t>
      </w:r>
      <w:r w:rsidR="00AB516D" w:rsidRPr="00AF51EA">
        <w:rPr>
          <w:lang w:val="fr-FR"/>
        </w:rPr>
        <w:t>’</w:t>
      </w:r>
      <w:r w:rsidRPr="00AF51EA">
        <w:rPr>
          <w:lang w:val="fr-FR"/>
        </w:rPr>
        <w:t>absence d</w:t>
      </w:r>
      <w:r w:rsidR="00AB516D" w:rsidRPr="00AF51EA">
        <w:rPr>
          <w:lang w:val="fr-FR"/>
        </w:rPr>
        <w:t>’</w:t>
      </w:r>
      <w:r w:rsidRPr="00AF51EA">
        <w:rPr>
          <w:lang w:val="fr-FR"/>
        </w:rPr>
        <w:t>objection de l</w:t>
      </w:r>
      <w:r w:rsidR="00AB516D" w:rsidRPr="00AF51EA">
        <w:rPr>
          <w:lang w:val="fr-FR"/>
        </w:rPr>
        <w:t>’</w:t>
      </w:r>
      <w:r w:rsidRPr="00AF51EA">
        <w:rPr>
          <w:lang w:val="fr-FR"/>
        </w:rPr>
        <w:t>État partie sur ce point, il considère que les conditions énoncées au paragraphe 2 b) de l</w:t>
      </w:r>
      <w:r w:rsidR="00AB516D" w:rsidRPr="00AF51EA">
        <w:rPr>
          <w:lang w:val="fr-FR"/>
        </w:rPr>
        <w:t>’</w:t>
      </w:r>
      <w:r w:rsidRPr="00AF51EA">
        <w:rPr>
          <w:lang w:val="fr-FR"/>
        </w:rPr>
        <w:t>article 5 du Protocole facultatif sont réunies</w:t>
      </w:r>
      <w:r w:rsidR="002A026E" w:rsidRPr="00AF51EA">
        <w:rPr>
          <w:lang w:val="fr-FR"/>
        </w:rPr>
        <w:t>.</w:t>
      </w:r>
    </w:p>
    <w:p w14:paraId="5B72807D" w14:textId="77777777" w:rsidR="00E42A05" w:rsidRPr="00AF51EA" w:rsidRDefault="00E42A05" w:rsidP="00E42A05">
      <w:pPr>
        <w:pStyle w:val="SingleTxtG"/>
        <w:rPr>
          <w:lang w:val="fr-FR"/>
        </w:rPr>
      </w:pPr>
      <w:r w:rsidRPr="00AF51EA">
        <w:rPr>
          <w:lang w:val="fr-FR"/>
        </w:rPr>
        <w:t>8</w:t>
      </w:r>
      <w:r w:rsidR="002A026E" w:rsidRPr="00AF51EA">
        <w:rPr>
          <w:lang w:val="fr-FR"/>
        </w:rPr>
        <w:t>.</w:t>
      </w:r>
      <w:r w:rsidRPr="00AF51EA">
        <w:rPr>
          <w:lang w:val="fr-FR"/>
        </w:rPr>
        <w:t>4</w:t>
      </w:r>
      <w:r w:rsidRPr="00AF51EA">
        <w:rPr>
          <w:lang w:val="fr-FR"/>
        </w:rPr>
        <w:tab/>
        <w:t>Le Comité considère que les auteurs ont suffisamment étayé les griefs qu</w:t>
      </w:r>
      <w:r w:rsidR="00AB516D" w:rsidRPr="00AF51EA">
        <w:rPr>
          <w:lang w:val="fr-FR"/>
        </w:rPr>
        <w:t>’</w:t>
      </w:r>
      <w:r w:rsidRPr="00AF51EA">
        <w:rPr>
          <w:lang w:val="fr-FR"/>
        </w:rPr>
        <w:t>ils tirent des articles 23, 24 (par</w:t>
      </w:r>
      <w:r w:rsidR="002A026E" w:rsidRPr="00AF51EA">
        <w:rPr>
          <w:lang w:val="fr-FR"/>
        </w:rPr>
        <w:t>.</w:t>
      </w:r>
      <w:r w:rsidRPr="00AF51EA">
        <w:rPr>
          <w:lang w:val="fr-FR"/>
        </w:rPr>
        <w:t> 1) et 26 du Pacte aux fins de la recevabilité</w:t>
      </w:r>
      <w:r w:rsidR="002A026E" w:rsidRPr="00AF51EA">
        <w:rPr>
          <w:lang w:val="fr-FR"/>
        </w:rPr>
        <w:t>.</w:t>
      </w:r>
      <w:r w:rsidRPr="00AF51EA">
        <w:rPr>
          <w:lang w:val="fr-FR"/>
        </w:rPr>
        <w:t xml:space="preserve"> Il déclare donc la communication recevable et va procéder à son examen au fond</w:t>
      </w:r>
      <w:r w:rsidR="002A026E" w:rsidRPr="00AF51EA">
        <w:rPr>
          <w:lang w:val="fr-FR"/>
        </w:rPr>
        <w:t>.</w:t>
      </w:r>
      <w:r w:rsidRPr="00AF51EA">
        <w:rPr>
          <w:lang w:val="fr-FR"/>
        </w:rPr>
        <w:t xml:space="preserve"> </w:t>
      </w:r>
    </w:p>
    <w:p w14:paraId="52B82223" w14:textId="77777777" w:rsidR="00E42A05" w:rsidRPr="00AF51EA" w:rsidRDefault="00E42A05" w:rsidP="00E42A05">
      <w:pPr>
        <w:pStyle w:val="H4G"/>
        <w:rPr>
          <w:lang w:val="fr-FR"/>
        </w:rPr>
      </w:pPr>
      <w:r w:rsidRPr="00AF51EA">
        <w:rPr>
          <w:lang w:val="fr-FR"/>
        </w:rPr>
        <w:tab/>
      </w:r>
      <w:r w:rsidRPr="00AF51EA">
        <w:rPr>
          <w:lang w:val="fr-FR"/>
        </w:rPr>
        <w:tab/>
        <w:t>Examen au fond</w:t>
      </w:r>
    </w:p>
    <w:p w14:paraId="7D0273AD" w14:textId="77777777" w:rsidR="00E42A05" w:rsidRPr="00AF51EA" w:rsidRDefault="00E42A05" w:rsidP="00E42A05">
      <w:pPr>
        <w:pStyle w:val="SingleTxtG"/>
        <w:rPr>
          <w:lang w:val="fr-FR"/>
        </w:rPr>
      </w:pPr>
      <w:r w:rsidRPr="00AF51EA">
        <w:rPr>
          <w:lang w:val="fr-FR"/>
        </w:rPr>
        <w:t>9</w:t>
      </w:r>
      <w:r w:rsidR="002A026E" w:rsidRPr="00AF51EA">
        <w:rPr>
          <w:lang w:val="fr-FR"/>
        </w:rPr>
        <w:t>.</w:t>
      </w:r>
      <w:r w:rsidRPr="00AF51EA">
        <w:rPr>
          <w:lang w:val="fr-FR"/>
        </w:rPr>
        <w:t>1</w:t>
      </w:r>
      <w:r w:rsidRPr="00AF51EA">
        <w:rPr>
          <w:lang w:val="fr-FR"/>
        </w:rPr>
        <w:tab/>
        <w:t>Conformément au paragraphe 1 de l</w:t>
      </w:r>
      <w:r w:rsidR="00AB516D" w:rsidRPr="00AF51EA">
        <w:rPr>
          <w:lang w:val="fr-FR"/>
        </w:rPr>
        <w:t>’</w:t>
      </w:r>
      <w:r w:rsidRPr="00AF51EA">
        <w:rPr>
          <w:lang w:val="fr-FR"/>
        </w:rPr>
        <w:t>article 5 du Protocole facultatif, le Comité a examiné la présente communication en tenant compte de toutes les informations que lui ont communiquées les parties</w:t>
      </w:r>
      <w:r w:rsidR="002A026E" w:rsidRPr="00AF51EA">
        <w:rPr>
          <w:lang w:val="fr-FR"/>
        </w:rPr>
        <w:t>.</w:t>
      </w:r>
    </w:p>
    <w:p w14:paraId="621CA151" w14:textId="77777777" w:rsidR="00E42A05" w:rsidRPr="00AF51EA" w:rsidRDefault="00E42A05" w:rsidP="00E42A05">
      <w:pPr>
        <w:pStyle w:val="SingleTxtG"/>
        <w:rPr>
          <w:lang w:val="fr-FR"/>
        </w:rPr>
      </w:pPr>
      <w:r w:rsidRPr="00AF51EA">
        <w:rPr>
          <w:lang w:val="fr-FR"/>
        </w:rPr>
        <w:t>9</w:t>
      </w:r>
      <w:r w:rsidR="002A026E" w:rsidRPr="00AF51EA">
        <w:rPr>
          <w:lang w:val="fr-FR"/>
        </w:rPr>
        <w:t>.</w:t>
      </w:r>
      <w:r w:rsidRPr="00AF51EA">
        <w:rPr>
          <w:lang w:val="fr-FR"/>
        </w:rPr>
        <w:t>2</w:t>
      </w:r>
      <w:r w:rsidRPr="00AF51EA">
        <w:rPr>
          <w:lang w:val="fr-FR"/>
        </w:rPr>
        <w:tab/>
        <w:t>Le Comité prend note de l</w:t>
      </w:r>
      <w:r w:rsidR="00AB516D" w:rsidRPr="00AF51EA">
        <w:rPr>
          <w:lang w:val="fr-FR"/>
        </w:rPr>
        <w:t>’</w:t>
      </w:r>
      <w:r w:rsidRPr="00AF51EA">
        <w:rPr>
          <w:lang w:val="fr-FR"/>
        </w:rPr>
        <w:t>affirmation des auteurs selon laquelle l</w:t>
      </w:r>
      <w:r w:rsidR="00AB516D" w:rsidRPr="00AF51EA">
        <w:rPr>
          <w:lang w:val="fr-FR"/>
        </w:rPr>
        <w:t>’</w:t>
      </w:r>
      <w:r w:rsidRPr="00AF51EA">
        <w:rPr>
          <w:lang w:val="fr-FR"/>
        </w:rPr>
        <w:t>allocation de base pour enfant à charge peut être considérée comme une mesure de protection au sens de l</w:t>
      </w:r>
      <w:r w:rsidR="00AB516D" w:rsidRPr="00AF51EA">
        <w:rPr>
          <w:lang w:val="fr-FR"/>
        </w:rPr>
        <w:t>’</w:t>
      </w:r>
      <w:r w:rsidRPr="00AF51EA">
        <w:rPr>
          <w:lang w:val="fr-FR"/>
        </w:rPr>
        <w:t>article 24 du Pacte à laquelle l</w:t>
      </w:r>
      <w:r w:rsidR="00AB516D" w:rsidRPr="00AF51EA">
        <w:rPr>
          <w:lang w:val="fr-FR"/>
        </w:rPr>
        <w:t>’</w:t>
      </w:r>
      <w:r w:rsidRPr="00AF51EA">
        <w:rPr>
          <w:lang w:val="fr-FR"/>
        </w:rPr>
        <w:t>enfant a droit de la part de sa famille, de la société et de l</w:t>
      </w:r>
      <w:r w:rsidR="00AB516D" w:rsidRPr="00AF51EA">
        <w:rPr>
          <w:lang w:val="fr-FR"/>
        </w:rPr>
        <w:t>’</w:t>
      </w:r>
      <w:r w:rsidRPr="00AF51EA">
        <w:rPr>
          <w:lang w:val="fr-FR"/>
        </w:rPr>
        <w:t>État du fait de sa condition de mineur, et qu</w:t>
      </w:r>
      <w:r w:rsidR="00AB516D" w:rsidRPr="00AF51EA">
        <w:rPr>
          <w:lang w:val="fr-FR"/>
        </w:rPr>
        <w:t>’</w:t>
      </w:r>
      <w:r w:rsidRPr="00AF51EA">
        <w:rPr>
          <w:lang w:val="fr-FR"/>
        </w:rPr>
        <w:t>en rejetant leur demande d</w:t>
      </w:r>
      <w:r w:rsidR="00AB516D" w:rsidRPr="00AF51EA">
        <w:rPr>
          <w:lang w:val="fr-FR"/>
        </w:rPr>
        <w:t>’</w:t>
      </w:r>
      <w:r w:rsidRPr="00AF51EA">
        <w:rPr>
          <w:lang w:val="fr-FR"/>
        </w:rPr>
        <w:t>allocation de base pour enfant à charge l</w:t>
      </w:r>
      <w:r w:rsidR="00AB516D" w:rsidRPr="00AF51EA">
        <w:rPr>
          <w:lang w:val="fr-FR"/>
        </w:rPr>
        <w:t>’</w:t>
      </w:r>
      <w:r w:rsidRPr="00AF51EA">
        <w:rPr>
          <w:lang w:val="fr-FR"/>
        </w:rPr>
        <w:t>État partie n</w:t>
      </w:r>
      <w:r w:rsidR="00AB516D" w:rsidRPr="00AF51EA">
        <w:rPr>
          <w:lang w:val="fr-FR"/>
        </w:rPr>
        <w:t>’</w:t>
      </w:r>
      <w:r w:rsidRPr="00AF51EA">
        <w:rPr>
          <w:lang w:val="fr-FR"/>
        </w:rPr>
        <w:t>a pas pris au bénéfice de R</w:t>
      </w:r>
      <w:r w:rsidR="002A026E" w:rsidRPr="00AF51EA">
        <w:rPr>
          <w:lang w:val="fr-FR"/>
        </w:rPr>
        <w:t>.</w:t>
      </w:r>
      <w:r w:rsidRPr="00AF51EA">
        <w:rPr>
          <w:lang w:val="fr-FR"/>
        </w:rPr>
        <w:t xml:space="preserve"> les mesures de protection qu</w:t>
      </w:r>
      <w:r w:rsidR="00AB516D" w:rsidRPr="00AF51EA">
        <w:rPr>
          <w:lang w:val="fr-FR"/>
        </w:rPr>
        <w:t>’</w:t>
      </w:r>
      <w:r w:rsidRPr="00AF51EA">
        <w:rPr>
          <w:lang w:val="fr-FR"/>
        </w:rPr>
        <w:t>exigeait sa condition de mineure, comme le prévoit le paragraphe 1 de l</w:t>
      </w:r>
      <w:r w:rsidR="00AB516D" w:rsidRPr="00AF51EA">
        <w:rPr>
          <w:lang w:val="fr-FR"/>
        </w:rPr>
        <w:t>’</w:t>
      </w:r>
      <w:r w:rsidRPr="00AF51EA">
        <w:rPr>
          <w:lang w:val="fr-FR"/>
        </w:rPr>
        <w:t>article 24 du Pacte</w:t>
      </w:r>
      <w:r w:rsidR="002A026E" w:rsidRPr="00AF51EA">
        <w:rPr>
          <w:lang w:val="fr-FR"/>
        </w:rPr>
        <w:t>.</w:t>
      </w:r>
      <w:r w:rsidRPr="00AF51EA">
        <w:rPr>
          <w:lang w:val="fr-FR"/>
        </w:rPr>
        <w:t xml:space="preserve"> Le Comité prend note de l</w:t>
      </w:r>
      <w:r w:rsidR="00AB516D" w:rsidRPr="00AF51EA">
        <w:rPr>
          <w:lang w:val="fr-FR"/>
        </w:rPr>
        <w:t>’</w:t>
      </w:r>
      <w:r w:rsidRPr="00AF51EA">
        <w:rPr>
          <w:lang w:val="fr-FR"/>
        </w:rPr>
        <w:t>affirmation des auteurs selon laquelle, lorsqu</w:t>
      </w:r>
      <w:r w:rsidR="00AB516D" w:rsidRPr="00AF51EA">
        <w:rPr>
          <w:lang w:val="fr-FR"/>
        </w:rPr>
        <w:t>’</w:t>
      </w:r>
      <w:r w:rsidRPr="00AF51EA">
        <w:rPr>
          <w:lang w:val="fr-FR"/>
        </w:rPr>
        <w:t>il détermine s</w:t>
      </w:r>
      <w:r w:rsidR="00AB516D" w:rsidRPr="00AF51EA">
        <w:rPr>
          <w:lang w:val="fr-FR"/>
        </w:rPr>
        <w:t>’</w:t>
      </w:r>
      <w:r w:rsidRPr="00AF51EA">
        <w:rPr>
          <w:lang w:val="fr-FR"/>
        </w:rPr>
        <w:t>il y a lieu d</w:t>
      </w:r>
      <w:r w:rsidR="00AB516D" w:rsidRPr="00AF51EA">
        <w:rPr>
          <w:lang w:val="fr-FR"/>
        </w:rPr>
        <w:t>’</w:t>
      </w:r>
      <w:r w:rsidRPr="00AF51EA">
        <w:rPr>
          <w:lang w:val="fr-FR"/>
        </w:rPr>
        <w:t>accorder une allocation pour enfant à charge, l</w:t>
      </w:r>
      <w:r w:rsidR="00AB516D" w:rsidRPr="00AF51EA">
        <w:rPr>
          <w:lang w:val="fr-FR"/>
        </w:rPr>
        <w:t>’</w:t>
      </w:r>
      <w:r w:rsidRPr="00AF51EA">
        <w:rPr>
          <w:lang w:val="fr-FR"/>
        </w:rPr>
        <w:t>État partie devrait tenir compte au premier chef de l</w:t>
      </w:r>
      <w:r w:rsidR="00AB516D" w:rsidRPr="00AF51EA">
        <w:rPr>
          <w:lang w:val="fr-FR"/>
        </w:rPr>
        <w:t>’</w:t>
      </w:r>
      <w:r w:rsidRPr="00AF51EA">
        <w:rPr>
          <w:lang w:val="fr-FR"/>
        </w:rPr>
        <w:t>intérêt supérieur de l</w:t>
      </w:r>
      <w:r w:rsidR="00AB516D" w:rsidRPr="00AF51EA">
        <w:rPr>
          <w:lang w:val="fr-FR"/>
        </w:rPr>
        <w:t>’</w:t>
      </w:r>
      <w:r w:rsidRPr="00AF51EA">
        <w:rPr>
          <w:lang w:val="fr-FR"/>
        </w:rPr>
        <w:t>enfant</w:t>
      </w:r>
      <w:r w:rsidR="002A026E" w:rsidRPr="00AF51EA">
        <w:rPr>
          <w:lang w:val="fr-FR"/>
        </w:rPr>
        <w:t>.</w:t>
      </w:r>
      <w:r w:rsidRPr="00AF51EA">
        <w:rPr>
          <w:lang w:val="fr-FR"/>
        </w:rPr>
        <w:t xml:space="preserve"> Dans la présente affaire, le Comité n</w:t>
      </w:r>
      <w:r w:rsidR="00AB516D" w:rsidRPr="00AF51EA">
        <w:rPr>
          <w:lang w:val="fr-FR"/>
        </w:rPr>
        <w:t>’</w:t>
      </w:r>
      <w:r w:rsidRPr="00AF51EA">
        <w:rPr>
          <w:lang w:val="fr-FR"/>
        </w:rPr>
        <w:t>est pas appelé à déterminer d</w:t>
      </w:r>
      <w:r w:rsidR="00AB516D" w:rsidRPr="00AF51EA">
        <w:rPr>
          <w:lang w:val="fr-FR"/>
        </w:rPr>
        <w:t>’</w:t>
      </w:r>
      <w:r w:rsidRPr="00AF51EA">
        <w:rPr>
          <w:lang w:val="fr-FR"/>
        </w:rPr>
        <w:t>un point de vue général quelles sont les obligations des États parties au Pacte en matière de prestations familiales, ni à décider dans quelle mesure il est justifié de limiter le droit à de telles prestations en fonction de la situation au regard de la législation sur le séjour</w:t>
      </w:r>
      <w:r w:rsidR="002A026E" w:rsidRPr="00AF51EA">
        <w:rPr>
          <w:lang w:val="fr-FR"/>
        </w:rPr>
        <w:t>.</w:t>
      </w:r>
      <w:r w:rsidRPr="00AF51EA">
        <w:rPr>
          <w:lang w:val="fr-FR"/>
        </w:rPr>
        <w:t xml:space="preserve"> La seule question sur laquelle il doit se prononcer est celle de savoir si, dans les circonstances particulières de l</w:t>
      </w:r>
      <w:r w:rsidR="00AB516D" w:rsidRPr="00AF51EA">
        <w:rPr>
          <w:lang w:val="fr-FR"/>
        </w:rPr>
        <w:t>’</w:t>
      </w:r>
      <w:r w:rsidRPr="00AF51EA">
        <w:rPr>
          <w:lang w:val="fr-FR"/>
        </w:rPr>
        <w:t>espèce, le rejet de la demande d</w:t>
      </w:r>
      <w:r w:rsidR="00AB516D" w:rsidRPr="00AF51EA">
        <w:rPr>
          <w:lang w:val="fr-FR"/>
        </w:rPr>
        <w:t>’</w:t>
      </w:r>
      <w:r w:rsidRPr="00AF51EA">
        <w:rPr>
          <w:lang w:val="fr-FR"/>
        </w:rPr>
        <w:t>allocation pour enfant à charge présentée par les auteurs a violé les droits que R</w:t>
      </w:r>
      <w:r w:rsidR="002A026E" w:rsidRPr="00AF51EA">
        <w:rPr>
          <w:lang w:val="fr-FR"/>
        </w:rPr>
        <w:t>.</w:t>
      </w:r>
      <w:r w:rsidRPr="00AF51EA">
        <w:rPr>
          <w:lang w:val="fr-FR"/>
        </w:rPr>
        <w:t xml:space="preserve"> tient du paragraphe 1 de l</w:t>
      </w:r>
      <w:r w:rsidR="00AB516D" w:rsidRPr="00AF51EA">
        <w:rPr>
          <w:lang w:val="fr-FR"/>
        </w:rPr>
        <w:t>’</w:t>
      </w:r>
      <w:r w:rsidRPr="00AF51EA">
        <w:rPr>
          <w:lang w:val="fr-FR"/>
        </w:rPr>
        <w:t>article 24 du Pacte</w:t>
      </w:r>
      <w:r w:rsidR="002A026E" w:rsidRPr="00AF51EA">
        <w:rPr>
          <w:lang w:val="fr-FR"/>
        </w:rPr>
        <w:t>.</w:t>
      </w:r>
    </w:p>
    <w:p w14:paraId="7F6588CC" w14:textId="77777777" w:rsidR="00E42A05" w:rsidRPr="00AF51EA" w:rsidRDefault="00E42A05" w:rsidP="00E42A05">
      <w:pPr>
        <w:pStyle w:val="SingleTxtG"/>
        <w:rPr>
          <w:lang w:val="fr-FR"/>
        </w:rPr>
      </w:pPr>
      <w:r w:rsidRPr="00AF51EA">
        <w:rPr>
          <w:lang w:val="fr-FR"/>
        </w:rPr>
        <w:lastRenderedPageBreak/>
        <w:t>9</w:t>
      </w:r>
      <w:r w:rsidR="002A026E" w:rsidRPr="00AF51EA">
        <w:rPr>
          <w:lang w:val="fr-FR"/>
        </w:rPr>
        <w:t>.</w:t>
      </w:r>
      <w:r w:rsidRPr="00AF51EA">
        <w:rPr>
          <w:lang w:val="fr-FR"/>
        </w:rPr>
        <w:t>3</w:t>
      </w:r>
      <w:r w:rsidRPr="00AF51EA">
        <w:rPr>
          <w:lang w:val="fr-FR"/>
        </w:rPr>
        <w:tab/>
      </w:r>
      <w:r w:rsidRPr="00AF51EA">
        <w:rPr>
          <w:rStyle w:val="content"/>
          <w:lang w:val="fr-FR"/>
        </w:rPr>
        <w:t>Le Comité rappelle qu</w:t>
      </w:r>
      <w:r w:rsidR="00AB516D" w:rsidRPr="00AF51EA">
        <w:rPr>
          <w:rStyle w:val="content"/>
          <w:lang w:val="fr-FR"/>
        </w:rPr>
        <w:t>’</w:t>
      </w:r>
      <w:r w:rsidRPr="00AF51EA">
        <w:rPr>
          <w:rStyle w:val="content"/>
          <w:lang w:val="fr-FR"/>
        </w:rPr>
        <w:t>en vertu de l</w:t>
      </w:r>
      <w:r w:rsidR="00AB516D" w:rsidRPr="00AF51EA">
        <w:rPr>
          <w:rStyle w:val="content"/>
          <w:lang w:val="fr-FR"/>
        </w:rPr>
        <w:t>’</w:t>
      </w:r>
      <w:r w:rsidRPr="00AF51EA">
        <w:rPr>
          <w:rStyle w:val="content"/>
          <w:lang w:val="fr-FR"/>
        </w:rPr>
        <w:t>article 24, tout enfant a droit à des mesures spéciales de protection du fait de sa condition de mineur</w:t>
      </w:r>
      <w:r w:rsidRPr="00AF51EA">
        <w:rPr>
          <w:rStyle w:val="Appelnotedebasdep"/>
        </w:rPr>
        <w:footnoteReference w:id="53"/>
      </w:r>
      <w:r w:rsidR="002A026E" w:rsidRPr="00AF51EA">
        <w:rPr>
          <w:rStyle w:val="content"/>
          <w:lang w:val="fr-FR"/>
        </w:rPr>
        <w:t>.</w:t>
      </w:r>
      <w:r w:rsidRPr="00AF51EA">
        <w:rPr>
          <w:rStyle w:val="content"/>
          <w:lang w:val="fr-FR"/>
        </w:rPr>
        <w:t xml:space="preserve"> Il rappelle en outre que le principe selon lequel dans toute décision touchant un enfant, l</w:t>
      </w:r>
      <w:r w:rsidR="00AB516D" w:rsidRPr="00AF51EA">
        <w:rPr>
          <w:rStyle w:val="content"/>
          <w:lang w:val="fr-FR"/>
        </w:rPr>
        <w:t>’</w:t>
      </w:r>
      <w:r w:rsidRPr="00AF51EA">
        <w:rPr>
          <w:rStyle w:val="content"/>
          <w:lang w:val="fr-FR"/>
        </w:rPr>
        <w:t>intérêt supérieur de celui-ci doit être une considération primordiale fait partie intégrante du droit de tout enfant aux mesures de protection prescrites par le paragraphe 1 de l</w:t>
      </w:r>
      <w:r w:rsidR="00AB516D" w:rsidRPr="00AF51EA">
        <w:rPr>
          <w:rStyle w:val="content"/>
          <w:lang w:val="fr-FR"/>
        </w:rPr>
        <w:t>’</w:t>
      </w:r>
      <w:r w:rsidRPr="00AF51EA">
        <w:rPr>
          <w:rStyle w:val="content"/>
          <w:lang w:val="fr-FR"/>
        </w:rPr>
        <w:t>article 24 du Pacte</w:t>
      </w:r>
      <w:r w:rsidRPr="00AF51EA">
        <w:rPr>
          <w:rStyle w:val="Appelnotedebasdep"/>
        </w:rPr>
        <w:footnoteReference w:id="54"/>
      </w:r>
      <w:r w:rsidR="002A026E" w:rsidRPr="00AF51EA">
        <w:rPr>
          <w:rStyle w:val="content"/>
          <w:lang w:val="fr-FR"/>
        </w:rPr>
        <w:t>.</w:t>
      </w:r>
      <w:r w:rsidRPr="00AF51EA">
        <w:rPr>
          <w:rStyle w:val="content"/>
          <w:lang w:val="fr-FR"/>
        </w:rPr>
        <w:t xml:space="preserve"> </w:t>
      </w:r>
      <w:r w:rsidRPr="00AF51EA">
        <w:rPr>
          <w:lang w:val="fr-FR"/>
        </w:rPr>
        <w:t>Les États parties au Pacte ont l</w:t>
      </w:r>
      <w:r w:rsidR="00AB516D" w:rsidRPr="00AF51EA">
        <w:rPr>
          <w:lang w:val="fr-FR"/>
        </w:rPr>
        <w:t>’</w:t>
      </w:r>
      <w:r w:rsidRPr="00AF51EA">
        <w:rPr>
          <w:lang w:val="fr-FR"/>
        </w:rPr>
        <w:t>obligation positive de protéger les enfants contre toute atteinte physique ou psychologique, ce qui peut impliquer de garantir un revenu minimum de subsistance, pour satisfaire aux prescriptions du paragraphe 1 de l</w:t>
      </w:r>
      <w:r w:rsidR="00AB516D" w:rsidRPr="00AF51EA">
        <w:rPr>
          <w:lang w:val="fr-FR"/>
        </w:rPr>
        <w:t>’</w:t>
      </w:r>
      <w:r w:rsidRPr="00AF51EA">
        <w:rPr>
          <w:lang w:val="fr-FR"/>
        </w:rPr>
        <w:t>article 24 du Pacte</w:t>
      </w:r>
      <w:r w:rsidR="002A026E" w:rsidRPr="00AF51EA">
        <w:rPr>
          <w:lang w:val="fr-FR"/>
        </w:rPr>
        <w:t>.</w:t>
      </w:r>
    </w:p>
    <w:p w14:paraId="753DFB48" w14:textId="77777777" w:rsidR="00E42A05" w:rsidRPr="00AF51EA" w:rsidRDefault="00E42A05" w:rsidP="00E42A05">
      <w:pPr>
        <w:pStyle w:val="SingleTxtG"/>
        <w:rPr>
          <w:lang w:val="fr-FR"/>
        </w:rPr>
      </w:pPr>
      <w:r w:rsidRPr="00AF51EA">
        <w:rPr>
          <w:lang w:val="fr-FR"/>
        </w:rPr>
        <w:t>9</w:t>
      </w:r>
      <w:r w:rsidR="002A026E" w:rsidRPr="00AF51EA">
        <w:rPr>
          <w:lang w:val="fr-FR"/>
        </w:rPr>
        <w:t>.</w:t>
      </w:r>
      <w:r w:rsidRPr="00AF51EA">
        <w:rPr>
          <w:lang w:val="fr-FR"/>
        </w:rPr>
        <w:t>4</w:t>
      </w:r>
      <w:r w:rsidRPr="00AF51EA">
        <w:rPr>
          <w:lang w:val="fr-FR"/>
        </w:rPr>
        <w:tab/>
        <w:t>Le Comité note que, le 15 août 2001, les auteurs ont présenté une première demande d</w:t>
      </w:r>
      <w:r w:rsidR="00AB516D" w:rsidRPr="00AF51EA">
        <w:rPr>
          <w:lang w:val="fr-FR"/>
        </w:rPr>
        <w:t>’</w:t>
      </w:r>
      <w:r w:rsidRPr="00AF51EA">
        <w:rPr>
          <w:lang w:val="fr-FR"/>
        </w:rPr>
        <w:t>asile qui a été rejetée le 24 février 2003, et que la décision de rejet est devenue définitive le 8 février 2005 sur décision du Conseil d</w:t>
      </w:r>
      <w:r w:rsidR="00AB516D" w:rsidRPr="00AF51EA">
        <w:rPr>
          <w:lang w:val="fr-FR"/>
        </w:rPr>
        <w:t>’</w:t>
      </w:r>
      <w:r w:rsidRPr="00AF51EA">
        <w:rPr>
          <w:lang w:val="fr-FR"/>
        </w:rPr>
        <w:t>État</w:t>
      </w:r>
      <w:r w:rsidR="002A026E" w:rsidRPr="00AF51EA">
        <w:rPr>
          <w:lang w:val="fr-FR"/>
        </w:rPr>
        <w:t>.</w:t>
      </w:r>
      <w:r w:rsidRPr="00AF51EA">
        <w:rPr>
          <w:lang w:val="fr-FR"/>
        </w:rPr>
        <w:t xml:space="preserve"> Le Comité relève que les auteurs ont vécu dans un centre d</w:t>
      </w:r>
      <w:r w:rsidR="00AB516D" w:rsidRPr="00AF51EA">
        <w:rPr>
          <w:lang w:val="fr-FR"/>
        </w:rPr>
        <w:t>’</w:t>
      </w:r>
      <w:r w:rsidRPr="00AF51EA">
        <w:rPr>
          <w:lang w:val="fr-FR"/>
        </w:rPr>
        <w:t>hébergement géré par l</w:t>
      </w:r>
      <w:r w:rsidR="00AB516D" w:rsidRPr="00AF51EA">
        <w:rPr>
          <w:lang w:val="fr-FR"/>
        </w:rPr>
        <w:t>’</w:t>
      </w:r>
      <w:r w:rsidRPr="00AF51EA">
        <w:rPr>
          <w:lang w:val="fr-FR"/>
        </w:rPr>
        <w:t>Office central chargé de l</w:t>
      </w:r>
      <w:r w:rsidR="00AB516D" w:rsidRPr="00AF51EA">
        <w:rPr>
          <w:lang w:val="fr-FR"/>
        </w:rPr>
        <w:t>’</w:t>
      </w:r>
      <w:r w:rsidRPr="00AF51EA">
        <w:rPr>
          <w:lang w:val="fr-FR"/>
        </w:rPr>
        <w:t>accueil des demandeurs d</w:t>
      </w:r>
      <w:r w:rsidR="00AB516D" w:rsidRPr="00AF51EA">
        <w:rPr>
          <w:lang w:val="fr-FR"/>
        </w:rPr>
        <w:t>’</w:t>
      </w:r>
      <w:r w:rsidRPr="00AF51EA">
        <w:rPr>
          <w:lang w:val="fr-FR"/>
        </w:rPr>
        <w:t>asile depuis leur arrivée en 2001 jusqu</w:t>
      </w:r>
      <w:r w:rsidR="00AB516D" w:rsidRPr="00AF51EA">
        <w:rPr>
          <w:lang w:val="fr-FR"/>
        </w:rPr>
        <w:t>’</w:t>
      </w:r>
      <w:r w:rsidRPr="00AF51EA">
        <w:rPr>
          <w:lang w:val="fr-FR"/>
        </w:rPr>
        <w:t>au 17 mars 2005, date à laquelle ils ont été priés de quitter ce centre suite au rejet de leur demande d</w:t>
      </w:r>
      <w:r w:rsidR="00AB516D" w:rsidRPr="00AF51EA">
        <w:rPr>
          <w:lang w:val="fr-FR"/>
        </w:rPr>
        <w:t>’</w:t>
      </w:r>
      <w:r w:rsidRPr="00AF51EA">
        <w:rPr>
          <w:lang w:val="fr-FR"/>
        </w:rPr>
        <w:t>asile</w:t>
      </w:r>
      <w:r w:rsidR="002A026E" w:rsidRPr="00AF51EA">
        <w:rPr>
          <w:lang w:val="fr-FR"/>
        </w:rPr>
        <w:t>.</w:t>
      </w:r>
      <w:r w:rsidRPr="00AF51EA">
        <w:rPr>
          <w:lang w:val="fr-FR"/>
        </w:rPr>
        <w:t xml:space="preserve"> Le Comité relève aussi que, pendant cette période, les auteurs avaient droit à une aide hebdomadaire destinée à couvrir les dépenses liées à l</w:t>
      </w:r>
      <w:r w:rsidR="00AB516D" w:rsidRPr="00AF51EA">
        <w:rPr>
          <w:lang w:val="fr-FR"/>
        </w:rPr>
        <w:t>’</w:t>
      </w:r>
      <w:r w:rsidRPr="00AF51EA">
        <w:rPr>
          <w:lang w:val="fr-FR"/>
        </w:rPr>
        <w:t>achat de denrées alimentaires et de vêtements et à d</w:t>
      </w:r>
      <w:r w:rsidR="00AB516D" w:rsidRPr="00AF51EA">
        <w:rPr>
          <w:lang w:val="fr-FR"/>
        </w:rPr>
        <w:t>’</w:t>
      </w:r>
      <w:r w:rsidRPr="00AF51EA">
        <w:rPr>
          <w:lang w:val="fr-FR"/>
        </w:rPr>
        <w:t>autres dépenses personnelles, dont les activités récréatives et les frais médicaux, conformément à l</w:t>
      </w:r>
      <w:r w:rsidR="00AB516D" w:rsidRPr="00AF51EA">
        <w:rPr>
          <w:lang w:val="fr-FR"/>
        </w:rPr>
        <w:t>’</w:t>
      </w:r>
      <w:r w:rsidRPr="00AF51EA">
        <w:rPr>
          <w:lang w:val="fr-FR"/>
        </w:rPr>
        <w:t>ordonnance sur les demandeurs d</w:t>
      </w:r>
      <w:r w:rsidR="00AB516D" w:rsidRPr="00AF51EA">
        <w:rPr>
          <w:lang w:val="fr-FR"/>
        </w:rPr>
        <w:t>’</w:t>
      </w:r>
      <w:r w:rsidRPr="00AF51EA">
        <w:rPr>
          <w:lang w:val="fr-FR"/>
        </w:rPr>
        <w:t>asile et autres catégories d</w:t>
      </w:r>
      <w:r w:rsidR="00AB516D" w:rsidRPr="00AF51EA">
        <w:rPr>
          <w:lang w:val="fr-FR"/>
        </w:rPr>
        <w:t>’</w:t>
      </w:r>
      <w:r w:rsidRPr="00AF51EA">
        <w:rPr>
          <w:lang w:val="fr-FR"/>
        </w:rPr>
        <w:t>étrangers</w:t>
      </w:r>
      <w:r w:rsidR="002A026E" w:rsidRPr="00AF51EA">
        <w:rPr>
          <w:lang w:val="fr-FR"/>
        </w:rPr>
        <w:t>.</w:t>
      </w:r>
      <w:r w:rsidRPr="00AF51EA">
        <w:rPr>
          <w:lang w:val="fr-FR"/>
        </w:rPr>
        <w:t xml:space="preserve"> Le Comité relève que les auteurs ont présenté deux demandes de permis de séjour, le 21 décembre 2005 et le 19 septembre 2006 respectivement, et que le 13 octobre 2008 ils ont demandé le report de l</w:t>
      </w:r>
      <w:r w:rsidR="00AB516D" w:rsidRPr="00AF51EA">
        <w:rPr>
          <w:lang w:val="fr-FR"/>
        </w:rPr>
        <w:t>’</w:t>
      </w:r>
      <w:r w:rsidRPr="00AF51EA">
        <w:rPr>
          <w:lang w:val="fr-FR"/>
        </w:rPr>
        <w:t>exécution de la mesure d</w:t>
      </w:r>
      <w:r w:rsidR="00AB516D" w:rsidRPr="00AF51EA">
        <w:rPr>
          <w:lang w:val="fr-FR"/>
        </w:rPr>
        <w:t>’</w:t>
      </w:r>
      <w:r w:rsidRPr="00AF51EA">
        <w:rPr>
          <w:lang w:val="fr-FR"/>
        </w:rPr>
        <w:t>expulsion au motif que M</w:t>
      </w:r>
      <w:r w:rsidRPr="00AF51EA">
        <w:rPr>
          <w:vertAlign w:val="superscript"/>
          <w:lang w:val="fr-FR"/>
        </w:rPr>
        <w:t>me</w:t>
      </w:r>
      <w:r w:rsidRPr="00AF51EA">
        <w:rPr>
          <w:lang w:val="fr-FR"/>
        </w:rPr>
        <w:t> </w:t>
      </w:r>
      <w:proofErr w:type="spellStart"/>
      <w:r w:rsidRPr="00AF51EA">
        <w:rPr>
          <w:lang w:val="fr-FR"/>
        </w:rPr>
        <w:t>Hashemi</w:t>
      </w:r>
      <w:proofErr w:type="spellEnd"/>
      <w:r w:rsidRPr="00AF51EA">
        <w:rPr>
          <w:lang w:val="fr-FR"/>
        </w:rPr>
        <w:t xml:space="preserve"> était enceinte de leur deuxième enfant</w:t>
      </w:r>
      <w:r w:rsidR="002A026E" w:rsidRPr="00AF51EA">
        <w:rPr>
          <w:lang w:val="fr-FR"/>
        </w:rPr>
        <w:t>.</w:t>
      </w:r>
      <w:r w:rsidRPr="00AF51EA">
        <w:rPr>
          <w:lang w:val="fr-FR"/>
        </w:rPr>
        <w:t xml:space="preserve"> Le Comité prend note du report accordé par le Secrétaire d</w:t>
      </w:r>
      <w:r w:rsidR="00AB516D" w:rsidRPr="00AF51EA">
        <w:rPr>
          <w:lang w:val="fr-FR"/>
        </w:rPr>
        <w:t>’</w:t>
      </w:r>
      <w:r w:rsidRPr="00AF51EA">
        <w:rPr>
          <w:lang w:val="fr-FR"/>
        </w:rPr>
        <w:t>État à la justice le 2 novembre 2008, qui a autorisé les auteurs à rester dans le pays du 11 novembre 2008 à la fin de janvier 2009 et leur a accordé un titre de séjour couvrant cette période</w:t>
      </w:r>
      <w:r w:rsidR="002A026E" w:rsidRPr="00AF51EA">
        <w:rPr>
          <w:lang w:val="fr-FR"/>
        </w:rPr>
        <w:t>.</w:t>
      </w:r>
    </w:p>
    <w:p w14:paraId="65DDFF0D" w14:textId="77777777" w:rsidR="00E42A05" w:rsidRPr="00AF51EA" w:rsidRDefault="00E42A05" w:rsidP="00E42A05">
      <w:pPr>
        <w:pStyle w:val="SingleTxtG"/>
        <w:rPr>
          <w:lang w:val="fr-FR"/>
        </w:rPr>
      </w:pPr>
      <w:r w:rsidRPr="00AF51EA">
        <w:rPr>
          <w:lang w:val="fr-FR"/>
        </w:rPr>
        <w:t>9</w:t>
      </w:r>
      <w:r w:rsidR="002A026E" w:rsidRPr="00AF51EA">
        <w:rPr>
          <w:lang w:val="fr-FR"/>
        </w:rPr>
        <w:t>.</w:t>
      </w:r>
      <w:r w:rsidRPr="00AF51EA">
        <w:rPr>
          <w:lang w:val="fr-FR"/>
        </w:rPr>
        <w:t>5</w:t>
      </w:r>
      <w:r w:rsidRPr="00AF51EA">
        <w:rPr>
          <w:lang w:val="fr-FR"/>
        </w:rPr>
        <w:tab/>
        <w:t>Le Comité estime que le paragraphe 1 de l</w:t>
      </w:r>
      <w:r w:rsidR="00AB516D" w:rsidRPr="00AF51EA">
        <w:rPr>
          <w:lang w:val="fr-FR"/>
        </w:rPr>
        <w:t>’</w:t>
      </w:r>
      <w:r w:rsidRPr="00AF51EA">
        <w:rPr>
          <w:lang w:val="fr-FR"/>
        </w:rPr>
        <w:t>article 24 du Pacte impose à l</w:t>
      </w:r>
      <w:r w:rsidR="00AB516D" w:rsidRPr="00AF51EA">
        <w:rPr>
          <w:lang w:val="fr-FR"/>
        </w:rPr>
        <w:t>’</w:t>
      </w:r>
      <w:r w:rsidRPr="00AF51EA">
        <w:rPr>
          <w:lang w:val="fr-FR"/>
        </w:rPr>
        <w:t>État partie une obligation positive de veiller à la protection du bien-être physique et psychologique des enfants, notamment par une garantie de subsistance dans les cas où les parents n</w:t>
      </w:r>
      <w:r w:rsidR="00AB516D" w:rsidRPr="00AF51EA">
        <w:rPr>
          <w:lang w:val="fr-FR"/>
        </w:rPr>
        <w:t>’</w:t>
      </w:r>
      <w:r w:rsidRPr="00AF51EA">
        <w:rPr>
          <w:lang w:val="fr-FR"/>
        </w:rPr>
        <w:t>ont pas d</w:t>
      </w:r>
      <w:r w:rsidR="00AB516D" w:rsidRPr="00AF51EA">
        <w:rPr>
          <w:lang w:val="fr-FR"/>
        </w:rPr>
        <w:t>’</w:t>
      </w:r>
      <w:r w:rsidRPr="00AF51EA">
        <w:rPr>
          <w:lang w:val="fr-FR"/>
        </w:rPr>
        <w:t>autre revenu ou ne bénéficient pas d</w:t>
      </w:r>
      <w:r w:rsidR="00AB516D" w:rsidRPr="00AF51EA">
        <w:rPr>
          <w:lang w:val="fr-FR"/>
        </w:rPr>
        <w:t>’</w:t>
      </w:r>
      <w:r w:rsidRPr="00AF51EA">
        <w:rPr>
          <w:lang w:val="fr-FR"/>
        </w:rPr>
        <w:t>une autre aide</w:t>
      </w:r>
      <w:r w:rsidR="002A026E" w:rsidRPr="00AF51EA">
        <w:rPr>
          <w:lang w:val="fr-FR"/>
        </w:rPr>
        <w:t>.</w:t>
      </w:r>
      <w:r w:rsidRPr="00AF51EA">
        <w:rPr>
          <w:lang w:val="fr-FR"/>
        </w:rPr>
        <w:t xml:space="preserve"> Le Comité prend note de l</w:t>
      </w:r>
      <w:r w:rsidR="00AB516D" w:rsidRPr="00AF51EA">
        <w:rPr>
          <w:lang w:val="fr-FR"/>
        </w:rPr>
        <w:t>’</w:t>
      </w:r>
      <w:r w:rsidRPr="00AF51EA">
        <w:rPr>
          <w:lang w:val="fr-FR"/>
        </w:rPr>
        <w:t>affirmation de l</w:t>
      </w:r>
      <w:r w:rsidR="00AB516D" w:rsidRPr="00AF51EA">
        <w:rPr>
          <w:lang w:val="fr-FR"/>
        </w:rPr>
        <w:t>’</w:t>
      </w:r>
      <w:r w:rsidRPr="00AF51EA">
        <w:rPr>
          <w:lang w:val="fr-FR"/>
        </w:rPr>
        <w:t>État partie, qui n</w:t>
      </w:r>
      <w:r w:rsidR="00AB516D" w:rsidRPr="00AF51EA">
        <w:rPr>
          <w:lang w:val="fr-FR"/>
        </w:rPr>
        <w:t>’</w:t>
      </w:r>
      <w:r w:rsidRPr="00AF51EA">
        <w:rPr>
          <w:lang w:val="fr-FR"/>
        </w:rPr>
        <w:t>est pas contestée par les auteurs, selon laquelle entre janvier et septembre 2007, les auteurs ont reçu une allocation mensuelle au titre du Règlement relatif aux prestations allouées à certaines catégories d</w:t>
      </w:r>
      <w:r w:rsidR="00AB516D" w:rsidRPr="00AF51EA">
        <w:rPr>
          <w:lang w:val="fr-FR"/>
        </w:rPr>
        <w:t>’</w:t>
      </w:r>
      <w:r w:rsidRPr="00AF51EA">
        <w:rPr>
          <w:lang w:val="fr-FR"/>
        </w:rPr>
        <w:t>étrangers et R</w:t>
      </w:r>
      <w:r w:rsidR="002A026E" w:rsidRPr="00AF51EA">
        <w:rPr>
          <w:lang w:val="fr-FR"/>
        </w:rPr>
        <w:t>.</w:t>
      </w:r>
      <w:r w:rsidRPr="00AF51EA">
        <w:rPr>
          <w:lang w:val="fr-FR"/>
        </w:rPr>
        <w:t xml:space="preserve"> a bénéficié d</w:t>
      </w:r>
      <w:r w:rsidR="00AB516D" w:rsidRPr="00AF51EA">
        <w:rPr>
          <w:lang w:val="fr-FR"/>
        </w:rPr>
        <w:t>’</w:t>
      </w:r>
      <w:r w:rsidRPr="00AF51EA">
        <w:rPr>
          <w:lang w:val="fr-FR"/>
        </w:rPr>
        <w:t>une prise en charge médicale quatre jours par semaine</w:t>
      </w:r>
      <w:r w:rsidR="002A026E" w:rsidRPr="00AF51EA">
        <w:rPr>
          <w:lang w:val="fr-FR"/>
        </w:rPr>
        <w:t>.</w:t>
      </w:r>
      <w:r w:rsidRPr="00AF51EA">
        <w:rPr>
          <w:lang w:val="fr-FR"/>
        </w:rPr>
        <w:t xml:space="preserve"> Le Comité relève que les auteurs ont bénéficié à nouveau de cette allocation mensuelle à partir du 11 novembre 2008, et que R</w:t>
      </w:r>
      <w:r w:rsidR="002A026E" w:rsidRPr="00AF51EA">
        <w:rPr>
          <w:lang w:val="fr-FR"/>
        </w:rPr>
        <w:t>.</w:t>
      </w:r>
      <w:r w:rsidRPr="00AF51EA">
        <w:rPr>
          <w:lang w:val="fr-FR"/>
        </w:rPr>
        <w:t xml:space="preserve"> avait accès à des soins médicaux si sa vie était en danger et accès à l</w:t>
      </w:r>
      <w:r w:rsidR="00AB516D" w:rsidRPr="00AF51EA">
        <w:rPr>
          <w:lang w:val="fr-FR"/>
        </w:rPr>
        <w:t>’</w:t>
      </w:r>
      <w:r w:rsidRPr="00AF51EA">
        <w:rPr>
          <w:lang w:val="fr-FR"/>
        </w:rPr>
        <w:t>enseignement, sans considération de son statut au regard de la législation sur le séjour</w:t>
      </w:r>
      <w:r w:rsidR="002A026E" w:rsidRPr="00AF51EA">
        <w:rPr>
          <w:lang w:val="fr-FR"/>
        </w:rPr>
        <w:t>.</w:t>
      </w:r>
    </w:p>
    <w:p w14:paraId="108E8658" w14:textId="77777777" w:rsidR="00E42A05" w:rsidRPr="00AF51EA" w:rsidRDefault="00E42A05" w:rsidP="00E42A05">
      <w:pPr>
        <w:pStyle w:val="SingleTxtG"/>
        <w:rPr>
          <w:lang w:val="fr-FR"/>
        </w:rPr>
      </w:pPr>
      <w:r w:rsidRPr="00AF51EA">
        <w:rPr>
          <w:lang w:val="fr-FR"/>
        </w:rPr>
        <w:t>9</w:t>
      </w:r>
      <w:r w:rsidR="002A026E" w:rsidRPr="00AF51EA">
        <w:rPr>
          <w:lang w:val="fr-FR"/>
        </w:rPr>
        <w:t>.</w:t>
      </w:r>
      <w:r w:rsidRPr="00AF51EA">
        <w:rPr>
          <w:lang w:val="fr-FR"/>
        </w:rPr>
        <w:t>6</w:t>
      </w:r>
      <w:r w:rsidRPr="00AF51EA">
        <w:rPr>
          <w:lang w:val="fr-FR"/>
        </w:rPr>
        <w:tab/>
        <w:t>Le Comité prend également note de l</w:t>
      </w:r>
      <w:r w:rsidR="00AB516D" w:rsidRPr="00AF51EA">
        <w:rPr>
          <w:lang w:val="fr-FR"/>
        </w:rPr>
        <w:t>’</w:t>
      </w:r>
      <w:r w:rsidRPr="00AF51EA">
        <w:rPr>
          <w:lang w:val="fr-FR"/>
        </w:rPr>
        <w:t>allégation des auteurs selon laquelle l</w:t>
      </w:r>
      <w:r w:rsidR="00AB516D" w:rsidRPr="00AF51EA">
        <w:rPr>
          <w:lang w:val="fr-FR"/>
        </w:rPr>
        <w:t>’</w:t>
      </w:r>
      <w:r w:rsidRPr="00AF51EA">
        <w:rPr>
          <w:lang w:val="fr-FR"/>
        </w:rPr>
        <w:t>État partie aurait dû tenir compte de leur situation particulière, notamment de celle de R</w:t>
      </w:r>
      <w:r w:rsidR="002A026E" w:rsidRPr="00AF51EA">
        <w:rPr>
          <w:lang w:val="fr-FR"/>
        </w:rPr>
        <w:t>.</w:t>
      </w:r>
      <w:r w:rsidRPr="00AF51EA">
        <w:rPr>
          <w:lang w:val="fr-FR"/>
        </w:rPr>
        <w:t xml:space="preserve"> en tant qu</w:t>
      </w:r>
      <w:r w:rsidR="00AB516D" w:rsidRPr="00AF51EA">
        <w:rPr>
          <w:lang w:val="fr-FR"/>
        </w:rPr>
        <w:t>’</w:t>
      </w:r>
      <w:r w:rsidRPr="00AF51EA">
        <w:rPr>
          <w:lang w:val="fr-FR"/>
        </w:rPr>
        <w:t>enfant vulnérable ayant des besoins spéciaux et de leur pauvreté et dénuement extrêmes, qu</w:t>
      </w:r>
      <w:r w:rsidR="00AB516D" w:rsidRPr="00AF51EA">
        <w:rPr>
          <w:lang w:val="fr-FR"/>
        </w:rPr>
        <w:t>’</w:t>
      </w:r>
      <w:r w:rsidRPr="00AF51EA">
        <w:rPr>
          <w:lang w:val="fr-FR"/>
        </w:rPr>
        <w:t>ils considèrent comme la cause principale des problèmes de santé de R</w:t>
      </w:r>
      <w:r w:rsidR="002A026E" w:rsidRPr="00AF51EA">
        <w:rPr>
          <w:lang w:val="fr-FR"/>
        </w:rPr>
        <w:t>.</w:t>
      </w:r>
      <w:r w:rsidRPr="00AF51EA">
        <w:rPr>
          <w:lang w:val="fr-FR"/>
        </w:rPr>
        <w:t xml:space="preserve"> Cependant, dans les circonstances particulières de l</w:t>
      </w:r>
      <w:r w:rsidR="00AB516D" w:rsidRPr="00AF51EA">
        <w:rPr>
          <w:lang w:val="fr-FR"/>
        </w:rPr>
        <w:t>’</w:t>
      </w:r>
      <w:r w:rsidRPr="00AF51EA">
        <w:rPr>
          <w:lang w:val="fr-FR"/>
        </w:rPr>
        <w:t>espèce, le Comité considère que les auteurs n</w:t>
      </w:r>
      <w:r w:rsidR="00AB516D" w:rsidRPr="00AF51EA">
        <w:rPr>
          <w:lang w:val="fr-FR"/>
        </w:rPr>
        <w:t>’</w:t>
      </w:r>
      <w:r w:rsidRPr="00AF51EA">
        <w:rPr>
          <w:lang w:val="fr-FR"/>
        </w:rPr>
        <w:t>ont pas établi l</w:t>
      </w:r>
      <w:r w:rsidR="00AB516D" w:rsidRPr="00AF51EA">
        <w:rPr>
          <w:lang w:val="fr-FR"/>
        </w:rPr>
        <w:t>’</w:t>
      </w:r>
      <w:r w:rsidRPr="00AF51EA">
        <w:rPr>
          <w:lang w:val="fr-FR"/>
        </w:rPr>
        <w:t>existence d</w:t>
      </w:r>
      <w:r w:rsidR="00AB516D" w:rsidRPr="00AF51EA">
        <w:rPr>
          <w:lang w:val="fr-FR"/>
        </w:rPr>
        <w:t>’</w:t>
      </w:r>
      <w:r w:rsidRPr="00AF51EA">
        <w:rPr>
          <w:lang w:val="fr-FR"/>
        </w:rPr>
        <w:t>un lien entre les problèmes de santé de R</w:t>
      </w:r>
      <w:r w:rsidR="002A026E" w:rsidRPr="00AF51EA">
        <w:rPr>
          <w:lang w:val="fr-FR"/>
        </w:rPr>
        <w:t>.</w:t>
      </w:r>
      <w:r w:rsidRPr="00AF51EA">
        <w:rPr>
          <w:lang w:val="fr-FR"/>
        </w:rPr>
        <w:t xml:space="preserve"> et le fait qu</w:t>
      </w:r>
      <w:r w:rsidR="00AB516D" w:rsidRPr="00AF51EA">
        <w:rPr>
          <w:lang w:val="fr-FR"/>
        </w:rPr>
        <w:t>’</w:t>
      </w:r>
      <w:r w:rsidRPr="00AF51EA">
        <w:rPr>
          <w:lang w:val="fr-FR"/>
        </w:rPr>
        <w:t>ils se sont vu refuser l</w:t>
      </w:r>
      <w:r w:rsidR="00AB516D" w:rsidRPr="00AF51EA">
        <w:rPr>
          <w:lang w:val="fr-FR"/>
        </w:rPr>
        <w:t>’</w:t>
      </w:r>
      <w:r w:rsidRPr="00AF51EA">
        <w:rPr>
          <w:lang w:val="fr-FR"/>
        </w:rPr>
        <w:t>allocation de base pour enfant à charge, car ils n</w:t>
      </w:r>
      <w:r w:rsidR="00AB516D" w:rsidRPr="00AF51EA">
        <w:rPr>
          <w:lang w:val="fr-FR"/>
        </w:rPr>
        <w:t>’</w:t>
      </w:r>
      <w:r w:rsidRPr="00AF51EA">
        <w:rPr>
          <w:lang w:val="fr-FR"/>
        </w:rPr>
        <w:t>ont pas démontré que l</w:t>
      </w:r>
      <w:r w:rsidR="00AB516D" w:rsidRPr="00AF51EA">
        <w:rPr>
          <w:lang w:val="fr-FR"/>
        </w:rPr>
        <w:t>’</w:t>
      </w:r>
      <w:r w:rsidRPr="00AF51EA">
        <w:rPr>
          <w:lang w:val="fr-FR"/>
        </w:rPr>
        <w:t>aide financière dont ils ont bénéficié par ailleurs avait été substantiellement moins avantageuse pour la santé de R</w:t>
      </w:r>
      <w:r w:rsidR="002A026E" w:rsidRPr="00AF51EA">
        <w:rPr>
          <w:lang w:val="fr-FR"/>
        </w:rPr>
        <w:t>.</w:t>
      </w:r>
      <w:r w:rsidRPr="00AF51EA">
        <w:rPr>
          <w:lang w:val="fr-FR"/>
        </w:rPr>
        <w:t xml:space="preserve"> que celle qu</w:t>
      </w:r>
      <w:r w:rsidR="00AB516D" w:rsidRPr="00AF51EA">
        <w:rPr>
          <w:lang w:val="fr-FR"/>
        </w:rPr>
        <w:t>’</w:t>
      </w:r>
      <w:r w:rsidRPr="00AF51EA">
        <w:rPr>
          <w:lang w:val="fr-FR"/>
        </w:rPr>
        <w:t>aurait constitué l</w:t>
      </w:r>
      <w:r w:rsidR="00AB516D" w:rsidRPr="00AF51EA">
        <w:rPr>
          <w:lang w:val="fr-FR"/>
        </w:rPr>
        <w:t>’</w:t>
      </w:r>
      <w:r w:rsidRPr="00AF51EA">
        <w:rPr>
          <w:lang w:val="fr-FR"/>
        </w:rPr>
        <w:t>allocation de base pour enfant à charge</w:t>
      </w:r>
      <w:r w:rsidR="002A026E" w:rsidRPr="00AF51EA">
        <w:rPr>
          <w:lang w:val="fr-FR"/>
        </w:rPr>
        <w:t>.</w:t>
      </w:r>
    </w:p>
    <w:p w14:paraId="46C491AB" w14:textId="77777777" w:rsidR="00E42A05" w:rsidRPr="00AF51EA" w:rsidRDefault="00E42A05" w:rsidP="00E42A05">
      <w:pPr>
        <w:pStyle w:val="SingleTxtG"/>
        <w:rPr>
          <w:lang w:val="fr-FR"/>
        </w:rPr>
      </w:pPr>
      <w:r w:rsidRPr="00AF51EA">
        <w:rPr>
          <w:lang w:val="fr-FR"/>
        </w:rPr>
        <w:t>9</w:t>
      </w:r>
      <w:r w:rsidR="002A026E" w:rsidRPr="00AF51EA">
        <w:rPr>
          <w:lang w:val="fr-FR"/>
        </w:rPr>
        <w:t>.</w:t>
      </w:r>
      <w:r w:rsidRPr="00AF51EA">
        <w:rPr>
          <w:lang w:val="fr-FR"/>
        </w:rPr>
        <w:t>7</w:t>
      </w:r>
      <w:r w:rsidRPr="00AF51EA">
        <w:rPr>
          <w:lang w:val="fr-FR"/>
        </w:rPr>
        <w:tab/>
        <w:t>Eu égard à l</w:t>
      </w:r>
      <w:r w:rsidR="00AB516D" w:rsidRPr="00AF51EA">
        <w:rPr>
          <w:lang w:val="fr-FR"/>
        </w:rPr>
        <w:t>’</w:t>
      </w:r>
      <w:r w:rsidRPr="00AF51EA">
        <w:rPr>
          <w:lang w:val="fr-FR"/>
        </w:rPr>
        <w:t>ensemble de ces circonstances, le Comité conclut que les faits dont il est saisi ne font apparaître aucune violation des droits que la fille des auteurs tient du paragraphe 1 de l</w:t>
      </w:r>
      <w:r w:rsidR="00AB516D" w:rsidRPr="00AF51EA">
        <w:rPr>
          <w:lang w:val="fr-FR"/>
        </w:rPr>
        <w:t>’</w:t>
      </w:r>
      <w:r w:rsidRPr="00AF51EA">
        <w:rPr>
          <w:lang w:val="fr-FR"/>
        </w:rPr>
        <w:t>article 24 du Pacte</w:t>
      </w:r>
      <w:r w:rsidR="002A026E" w:rsidRPr="00AF51EA">
        <w:rPr>
          <w:lang w:val="fr-FR"/>
        </w:rPr>
        <w:t>.</w:t>
      </w:r>
    </w:p>
    <w:p w14:paraId="7E1533B2" w14:textId="77777777" w:rsidR="00E42A05" w:rsidRPr="00AF51EA" w:rsidRDefault="00E42A05" w:rsidP="00E42A05">
      <w:pPr>
        <w:pStyle w:val="SingleTxtG"/>
        <w:rPr>
          <w:lang w:val="fr-FR"/>
        </w:rPr>
      </w:pPr>
      <w:r w:rsidRPr="00AF51EA">
        <w:rPr>
          <w:lang w:val="fr-FR"/>
        </w:rPr>
        <w:t>9</w:t>
      </w:r>
      <w:r w:rsidR="002A026E" w:rsidRPr="00AF51EA">
        <w:rPr>
          <w:lang w:val="fr-FR"/>
        </w:rPr>
        <w:t>.</w:t>
      </w:r>
      <w:r w:rsidRPr="00AF51EA">
        <w:rPr>
          <w:lang w:val="fr-FR"/>
        </w:rPr>
        <w:t>8</w:t>
      </w:r>
      <w:r w:rsidRPr="00AF51EA">
        <w:rPr>
          <w:lang w:val="fr-FR"/>
        </w:rPr>
        <w:tab/>
        <w:t>Compte tenu de ce qui précède, le Comité n</w:t>
      </w:r>
      <w:r w:rsidR="00AB516D" w:rsidRPr="00AF51EA">
        <w:rPr>
          <w:lang w:val="fr-FR"/>
        </w:rPr>
        <w:t>’</w:t>
      </w:r>
      <w:r w:rsidRPr="00AF51EA">
        <w:rPr>
          <w:lang w:val="fr-FR"/>
        </w:rPr>
        <w:t>estime pas nécessaire d</w:t>
      </w:r>
      <w:r w:rsidR="00AB516D" w:rsidRPr="00AF51EA">
        <w:rPr>
          <w:lang w:val="fr-FR"/>
        </w:rPr>
        <w:t>’</w:t>
      </w:r>
      <w:r w:rsidRPr="00AF51EA">
        <w:rPr>
          <w:lang w:val="fr-FR"/>
        </w:rPr>
        <w:t>examiner plus avant les griefs que les auteurs tirent, en ce qui concerne le même objet, des articles 23 et 26 du Pacte</w:t>
      </w:r>
      <w:r w:rsidR="002A026E" w:rsidRPr="00AF51EA">
        <w:rPr>
          <w:lang w:val="fr-FR"/>
        </w:rPr>
        <w:t>.</w:t>
      </w:r>
      <w:r w:rsidRPr="00AF51EA">
        <w:rPr>
          <w:lang w:val="fr-FR"/>
        </w:rPr>
        <w:t xml:space="preserve"> </w:t>
      </w:r>
    </w:p>
    <w:p w14:paraId="0E6D270F" w14:textId="77777777" w:rsidR="00E85C42" w:rsidRPr="00AF51EA" w:rsidRDefault="00E42A05" w:rsidP="00E42A05">
      <w:pPr>
        <w:pStyle w:val="SingleTxtG"/>
        <w:rPr>
          <w:lang w:val="fr-FR"/>
        </w:rPr>
      </w:pPr>
      <w:r w:rsidRPr="00AF51EA">
        <w:rPr>
          <w:lang w:val="fr-FR"/>
        </w:rPr>
        <w:lastRenderedPageBreak/>
        <w:t>10</w:t>
      </w:r>
      <w:r w:rsidR="002A026E" w:rsidRPr="00AF51EA">
        <w:rPr>
          <w:lang w:val="fr-FR"/>
        </w:rPr>
        <w:t>.</w:t>
      </w:r>
      <w:r w:rsidRPr="00AF51EA">
        <w:rPr>
          <w:lang w:val="fr-FR"/>
        </w:rPr>
        <w:tab/>
        <w:t>Le Comité, agissant en vertu du paragraphe 4 de l</w:t>
      </w:r>
      <w:r w:rsidR="00AB516D" w:rsidRPr="00AF51EA">
        <w:rPr>
          <w:lang w:val="fr-FR"/>
        </w:rPr>
        <w:t>’</w:t>
      </w:r>
      <w:r w:rsidRPr="00AF51EA">
        <w:rPr>
          <w:lang w:val="fr-FR"/>
        </w:rPr>
        <w:t>article 5 du Protocole facultatif, constate que les faits dont il est saisi ne font pas apparaître de violation par l</w:t>
      </w:r>
      <w:r w:rsidR="00AB516D" w:rsidRPr="00AF51EA">
        <w:rPr>
          <w:lang w:val="fr-FR"/>
        </w:rPr>
        <w:t>’</w:t>
      </w:r>
      <w:r w:rsidRPr="00AF51EA">
        <w:rPr>
          <w:lang w:val="fr-FR"/>
        </w:rPr>
        <w:t>État partie des droits que les auteurs et leur fille tiennent des paragraphes 23, 24 ou 26 du Pacte</w:t>
      </w:r>
      <w:r w:rsidR="002A026E" w:rsidRPr="00AF51EA">
        <w:rPr>
          <w:lang w:val="fr-FR"/>
        </w:rPr>
        <w:t>.</w:t>
      </w:r>
      <w:r w:rsidR="00AB516D" w:rsidRPr="00AF51EA">
        <w:rPr>
          <w:lang w:val="fr-FR"/>
        </w:rPr>
        <w:t xml:space="preserve"> </w:t>
      </w:r>
    </w:p>
    <w:p w14:paraId="0C801370" w14:textId="77777777" w:rsidR="00AB516D" w:rsidRPr="00AF51EA" w:rsidRDefault="00AB516D" w:rsidP="00E42A05">
      <w:pPr>
        <w:pStyle w:val="SingleTxtG"/>
        <w:rPr>
          <w:lang w:val="fr-FR"/>
        </w:rPr>
      </w:pPr>
    </w:p>
    <w:p w14:paraId="287670E0" w14:textId="77777777" w:rsidR="00E42A05" w:rsidRPr="00AF51EA" w:rsidRDefault="00E42A05" w:rsidP="00E42A05">
      <w:pPr>
        <w:pStyle w:val="SingleTxtG"/>
        <w:sectPr w:rsidR="00E42A05" w:rsidRPr="00AF51EA" w:rsidSect="00E80AB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62D51C43" w14:textId="77777777" w:rsidR="00E42A05" w:rsidRPr="00AF51EA" w:rsidRDefault="00E42A05" w:rsidP="00AB516D">
      <w:pPr>
        <w:pStyle w:val="HChG"/>
        <w:rPr>
          <w:lang w:val="fr-FR" w:eastAsia="zh-CN"/>
        </w:rPr>
      </w:pPr>
      <w:r w:rsidRPr="00AF51EA">
        <w:rPr>
          <w:lang w:val="fr-FR" w:eastAsia="zh-CN"/>
        </w:rPr>
        <w:lastRenderedPageBreak/>
        <w:t>Annexe</w:t>
      </w:r>
    </w:p>
    <w:p w14:paraId="24AA1CD8" w14:textId="77777777" w:rsidR="00E42A05" w:rsidRPr="00AF51EA" w:rsidRDefault="00E42A05" w:rsidP="00AB516D">
      <w:pPr>
        <w:pStyle w:val="HChG"/>
        <w:rPr>
          <w:lang w:val="fr-FR"/>
        </w:rPr>
      </w:pPr>
      <w:r w:rsidRPr="00AF51EA">
        <w:rPr>
          <w:lang w:val="fr-FR"/>
        </w:rPr>
        <w:tab/>
      </w:r>
      <w:r w:rsidRPr="00AF51EA">
        <w:rPr>
          <w:lang w:val="fr-FR"/>
        </w:rPr>
        <w:tab/>
        <w:t xml:space="preserve">Opinion individuelle (dissidente)de José Santos Pais, </w:t>
      </w:r>
      <w:r w:rsidR="00AB516D" w:rsidRPr="00AF51EA">
        <w:rPr>
          <w:lang w:val="fr-FR"/>
        </w:rPr>
        <w:br/>
      </w:r>
      <w:r w:rsidRPr="00AF51EA">
        <w:rPr>
          <w:lang w:val="fr-FR"/>
        </w:rPr>
        <w:t xml:space="preserve">membre du Comité </w:t>
      </w:r>
    </w:p>
    <w:p w14:paraId="2D215087" w14:textId="77777777" w:rsidR="00E42A05" w:rsidRPr="00AF51EA" w:rsidRDefault="00E42A05" w:rsidP="00E42A05">
      <w:pPr>
        <w:pStyle w:val="SingleTxtG"/>
        <w:rPr>
          <w:lang w:val="fr-FR"/>
        </w:rPr>
      </w:pPr>
      <w:r w:rsidRPr="00AF51EA">
        <w:rPr>
          <w:lang w:val="fr-FR"/>
        </w:rPr>
        <w:t>1</w:t>
      </w:r>
      <w:r w:rsidR="002A026E" w:rsidRPr="00AF51EA">
        <w:rPr>
          <w:lang w:val="fr-FR"/>
        </w:rPr>
        <w:t>.</w:t>
      </w:r>
      <w:bookmarkStart w:id="6" w:name="_Hlk491278443"/>
      <w:r w:rsidRPr="00AF51EA">
        <w:rPr>
          <w:lang w:val="fr-FR"/>
        </w:rPr>
        <w:tab/>
        <w:t>Je regrette de ne pouvoir faire mienne la conclusion du Comité selon laquelle l</w:t>
      </w:r>
      <w:r w:rsidR="00AB516D" w:rsidRPr="00AF51EA">
        <w:rPr>
          <w:lang w:val="fr-FR"/>
        </w:rPr>
        <w:t>’</w:t>
      </w:r>
      <w:r w:rsidRPr="00AF51EA">
        <w:rPr>
          <w:lang w:val="fr-FR"/>
        </w:rPr>
        <w:t>État partie n</w:t>
      </w:r>
      <w:r w:rsidR="00AB516D" w:rsidRPr="00AF51EA">
        <w:rPr>
          <w:lang w:val="fr-FR"/>
        </w:rPr>
        <w:t>’</w:t>
      </w:r>
      <w:r w:rsidRPr="00AF51EA">
        <w:rPr>
          <w:lang w:val="fr-FR"/>
        </w:rPr>
        <w:t xml:space="preserve">a pas violé les droits que les auteurs tiennent du paragraphe 1 de </w:t>
      </w:r>
      <w:bookmarkEnd w:id="6"/>
      <w:r w:rsidRPr="00AF51EA">
        <w:rPr>
          <w:bCs/>
          <w:iCs/>
          <w:lang w:val="fr-FR"/>
        </w:rPr>
        <w:t>l</w:t>
      </w:r>
      <w:r w:rsidR="00AB516D" w:rsidRPr="00AF51EA">
        <w:rPr>
          <w:bCs/>
          <w:iCs/>
          <w:lang w:val="fr-FR"/>
        </w:rPr>
        <w:t>’</w:t>
      </w:r>
      <w:r w:rsidRPr="00AF51EA">
        <w:rPr>
          <w:bCs/>
          <w:iCs/>
          <w:lang w:val="fr-FR"/>
        </w:rPr>
        <w:t>article 24 du Pacte</w:t>
      </w:r>
      <w:r w:rsidR="002A026E" w:rsidRPr="00AF51EA">
        <w:rPr>
          <w:bCs/>
          <w:iCs/>
          <w:lang w:val="fr-FR"/>
        </w:rPr>
        <w:t>.</w:t>
      </w:r>
    </w:p>
    <w:p w14:paraId="721B1E83" w14:textId="77777777" w:rsidR="00E42A05" w:rsidRPr="00AF51EA" w:rsidRDefault="00E42A05" w:rsidP="00E42A05">
      <w:pPr>
        <w:pStyle w:val="SingleTxtG"/>
        <w:rPr>
          <w:lang w:val="fr-FR"/>
        </w:rPr>
      </w:pPr>
      <w:r w:rsidRPr="00AF51EA">
        <w:rPr>
          <w:lang w:val="fr-FR"/>
        </w:rPr>
        <w:t>2</w:t>
      </w:r>
      <w:r w:rsidR="002A026E" w:rsidRPr="00AF51EA">
        <w:rPr>
          <w:lang w:val="fr-FR"/>
        </w:rPr>
        <w:t>.</w:t>
      </w:r>
      <w:r w:rsidRPr="00AF51EA">
        <w:rPr>
          <w:lang w:val="fr-FR"/>
        </w:rPr>
        <w:tab/>
        <w:t xml:space="preserve">Les auteurs sont </w:t>
      </w:r>
      <w:proofErr w:type="spellStart"/>
      <w:r w:rsidRPr="00AF51EA">
        <w:rPr>
          <w:lang w:val="fr-FR"/>
        </w:rPr>
        <w:t>Jamshed</w:t>
      </w:r>
      <w:proofErr w:type="spellEnd"/>
      <w:r w:rsidRPr="00AF51EA">
        <w:rPr>
          <w:lang w:val="fr-FR"/>
        </w:rPr>
        <w:t xml:space="preserve"> </w:t>
      </w:r>
      <w:proofErr w:type="spellStart"/>
      <w:r w:rsidRPr="00AF51EA">
        <w:rPr>
          <w:lang w:val="fr-FR"/>
        </w:rPr>
        <w:t>Hashemi</w:t>
      </w:r>
      <w:proofErr w:type="spellEnd"/>
      <w:r w:rsidRPr="00AF51EA">
        <w:rPr>
          <w:lang w:val="fr-FR"/>
        </w:rPr>
        <w:t xml:space="preserve"> et Maryam </w:t>
      </w:r>
      <w:proofErr w:type="spellStart"/>
      <w:r w:rsidRPr="00AF51EA">
        <w:rPr>
          <w:lang w:val="fr-FR"/>
        </w:rPr>
        <w:t>Hashemi</w:t>
      </w:r>
      <w:proofErr w:type="spellEnd"/>
      <w:r w:rsidRPr="00AF51EA">
        <w:rPr>
          <w:lang w:val="fr-FR"/>
        </w:rPr>
        <w:t>, de nationalité afghane, et ils ont présenté leur communication en leur nom propre et au nom de leurs deux enfants nés aux Pays-Bas, R</w:t>
      </w:r>
      <w:r w:rsidR="002A026E" w:rsidRPr="00AF51EA">
        <w:rPr>
          <w:lang w:val="fr-FR"/>
        </w:rPr>
        <w:t>.</w:t>
      </w:r>
      <w:r w:rsidRPr="00AF51EA">
        <w:rPr>
          <w:lang w:val="fr-FR"/>
        </w:rPr>
        <w:t>, née en 2002, et Q</w:t>
      </w:r>
      <w:r w:rsidR="002A026E" w:rsidRPr="00AF51EA">
        <w:rPr>
          <w:lang w:val="fr-FR"/>
        </w:rPr>
        <w:t>.</w:t>
      </w:r>
      <w:r w:rsidRPr="00AF51EA">
        <w:rPr>
          <w:lang w:val="fr-FR"/>
        </w:rPr>
        <w:t>, né en 2008</w:t>
      </w:r>
      <w:r w:rsidR="002A026E" w:rsidRPr="00AF51EA">
        <w:rPr>
          <w:lang w:val="fr-FR"/>
        </w:rPr>
        <w:t>.</w:t>
      </w:r>
    </w:p>
    <w:p w14:paraId="156E6EC5" w14:textId="77777777" w:rsidR="00E42A05" w:rsidRPr="00AF51EA" w:rsidRDefault="00E42A05" w:rsidP="00E42A05">
      <w:pPr>
        <w:pStyle w:val="SingleTxtG"/>
        <w:rPr>
          <w:lang w:val="fr-FR"/>
        </w:rPr>
      </w:pPr>
      <w:r w:rsidRPr="00AF51EA">
        <w:rPr>
          <w:lang w:val="fr-FR"/>
        </w:rPr>
        <w:t>3</w:t>
      </w:r>
      <w:r w:rsidR="002A026E" w:rsidRPr="00AF51EA">
        <w:rPr>
          <w:lang w:val="fr-FR"/>
        </w:rPr>
        <w:t>.</w:t>
      </w:r>
      <w:r w:rsidRPr="00AF51EA">
        <w:rPr>
          <w:lang w:val="fr-FR"/>
        </w:rPr>
        <w:tab/>
        <w:t>Les auteurs, fuyant les Taliban, sont arrivés aux Pays-Bas en 2001</w:t>
      </w:r>
      <w:r w:rsidR="002A026E" w:rsidRPr="00AF51EA">
        <w:rPr>
          <w:lang w:val="fr-FR"/>
        </w:rPr>
        <w:t>.</w:t>
      </w:r>
      <w:r w:rsidRPr="00AF51EA">
        <w:rPr>
          <w:lang w:val="fr-FR"/>
        </w:rPr>
        <w:t xml:space="preserve"> Ils ont présenté en 2001 une première demande d</w:t>
      </w:r>
      <w:r w:rsidR="00AB516D" w:rsidRPr="00AF51EA">
        <w:rPr>
          <w:lang w:val="fr-FR"/>
        </w:rPr>
        <w:t>’</w:t>
      </w:r>
      <w:r w:rsidRPr="00AF51EA">
        <w:rPr>
          <w:lang w:val="fr-FR"/>
        </w:rPr>
        <w:t>asile qui a été rejetée en 2003</w:t>
      </w:r>
      <w:r w:rsidR="002A026E" w:rsidRPr="00AF51EA">
        <w:rPr>
          <w:lang w:val="fr-FR"/>
        </w:rPr>
        <w:t>.</w:t>
      </w:r>
      <w:r w:rsidRPr="00AF51EA">
        <w:rPr>
          <w:lang w:val="fr-FR"/>
        </w:rPr>
        <w:t xml:space="preserve"> Ils ont fait appel de la décision de rejet devant le Tribunal régional de La Haye, qui les a déboutés</w:t>
      </w:r>
      <w:r w:rsidR="002A026E" w:rsidRPr="00AF51EA">
        <w:rPr>
          <w:lang w:val="fr-FR"/>
        </w:rPr>
        <w:t>.</w:t>
      </w:r>
      <w:r w:rsidRPr="00AF51EA">
        <w:rPr>
          <w:lang w:val="fr-FR"/>
        </w:rPr>
        <w:t xml:space="preserve"> En 2005, le Conseil d</w:t>
      </w:r>
      <w:r w:rsidR="00AB516D" w:rsidRPr="00AF51EA">
        <w:rPr>
          <w:lang w:val="fr-FR"/>
        </w:rPr>
        <w:t>’</w:t>
      </w:r>
      <w:r w:rsidRPr="00AF51EA">
        <w:rPr>
          <w:lang w:val="fr-FR"/>
        </w:rPr>
        <w:t>État a confirmé la décision du Tribunal régional (voir par</w:t>
      </w:r>
      <w:r w:rsidR="002A026E" w:rsidRPr="00AF51EA">
        <w:rPr>
          <w:lang w:val="fr-FR"/>
        </w:rPr>
        <w:t>.</w:t>
      </w:r>
      <w:r w:rsidRPr="00AF51EA">
        <w:rPr>
          <w:lang w:val="fr-FR"/>
        </w:rPr>
        <w:t> 2</w:t>
      </w:r>
      <w:r w:rsidR="002A026E" w:rsidRPr="00AF51EA">
        <w:rPr>
          <w:lang w:val="fr-FR"/>
        </w:rPr>
        <w:t>.</w:t>
      </w:r>
      <w:r w:rsidRPr="00AF51EA">
        <w:rPr>
          <w:lang w:val="fr-FR"/>
        </w:rPr>
        <w:t>1)</w:t>
      </w:r>
      <w:r w:rsidR="002A026E" w:rsidRPr="00AF51EA">
        <w:rPr>
          <w:lang w:val="fr-FR"/>
        </w:rPr>
        <w:t>.</w:t>
      </w:r>
      <w:r w:rsidRPr="00AF51EA">
        <w:rPr>
          <w:lang w:val="fr-FR"/>
        </w:rPr>
        <w:t xml:space="preserve"> </w:t>
      </w:r>
    </w:p>
    <w:p w14:paraId="489C33B0" w14:textId="77777777" w:rsidR="00E42A05" w:rsidRPr="00AF51EA" w:rsidRDefault="00E42A05" w:rsidP="00E42A05">
      <w:pPr>
        <w:pStyle w:val="SingleTxtG"/>
        <w:rPr>
          <w:lang w:val="fr-FR"/>
        </w:rPr>
      </w:pPr>
      <w:r w:rsidRPr="00AF51EA">
        <w:rPr>
          <w:lang w:val="fr-FR"/>
        </w:rPr>
        <w:t>4</w:t>
      </w:r>
      <w:r w:rsidR="002A026E" w:rsidRPr="00AF51EA">
        <w:rPr>
          <w:lang w:val="fr-FR"/>
        </w:rPr>
        <w:t>.</w:t>
      </w:r>
      <w:r w:rsidRPr="00AF51EA">
        <w:rPr>
          <w:lang w:val="fr-FR"/>
        </w:rPr>
        <w:tab/>
        <w:t>Suite à cette décision, les auteurs ont dû, en mars 2005, quitté le centre pour demandeurs d</w:t>
      </w:r>
      <w:r w:rsidR="00AB516D" w:rsidRPr="00AF51EA">
        <w:rPr>
          <w:lang w:val="fr-FR"/>
        </w:rPr>
        <w:t>’</w:t>
      </w:r>
      <w:r w:rsidRPr="00AF51EA">
        <w:rPr>
          <w:lang w:val="fr-FR"/>
        </w:rPr>
        <w:t>asile dans lequel ils vivaient</w:t>
      </w:r>
      <w:r w:rsidR="002A026E" w:rsidRPr="00AF51EA">
        <w:rPr>
          <w:lang w:val="fr-FR"/>
        </w:rPr>
        <w:t>.</w:t>
      </w:r>
      <w:r w:rsidRPr="00AF51EA">
        <w:rPr>
          <w:lang w:val="fr-FR"/>
        </w:rPr>
        <w:t xml:space="preserve"> En novembre 2005, comme ils n</w:t>
      </w:r>
      <w:r w:rsidR="00AB516D" w:rsidRPr="00AF51EA">
        <w:rPr>
          <w:lang w:val="fr-FR"/>
        </w:rPr>
        <w:t>’</w:t>
      </w:r>
      <w:r w:rsidRPr="00AF51EA">
        <w:rPr>
          <w:lang w:val="fr-FR"/>
        </w:rPr>
        <w:t>avaient aucun revenu, ils ont emménagé dans un centre d</w:t>
      </w:r>
      <w:r w:rsidR="00AB516D" w:rsidRPr="00AF51EA">
        <w:rPr>
          <w:lang w:val="fr-FR"/>
        </w:rPr>
        <w:t>’</w:t>
      </w:r>
      <w:r w:rsidRPr="00AF51EA">
        <w:rPr>
          <w:lang w:val="fr-FR"/>
        </w:rPr>
        <w:t>hébergement d</w:t>
      </w:r>
      <w:r w:rsidR="00AB516D" w:rsidRPr="00AF51EA">
        <w:rPr>
          <w:lang w:val="fr-FR"/>
        </w:rPr>
        <w:t>’</w:t>
      </w:r>
      <w:r w:rsidRPr="00AF51EA">
        <w:rPr>
          <w:lang w:val="fr-FR"/>
        </w:rPr>
        <w:t>urgence administré à Haarlem par une association caritative, Voice in the City, qui leur versait 62 euros par semaine</w:t>
      </w:r>
      <w:r w:rsidR="002A026E" w:rsidRPr="00AF51EA">
        <w:rPr>
          <w:lang w:val="fr-FR"/>
        </w:rPr>
        <w:t>.</w:t>
      </w:r>
      <w:r w:rsidRPr="00AF51EA">
        <w:rPr>
          <w:lang w:val="fr-FR"/>
        </w:rPr>
        <w:t xml:space="preserve"> </w:t>
      </w:r>
    </w:p>
    <w:p w14:paraId="2B77C2A7" w14:textId="77777777" w:rsidR="00E42A05" w:rsidRPr="00AF51EA" w:rsidRDefault="00E42A05" w:rsidP="00E42A05">
      <w:pPr>
        <w:pStyle w:val="SingleTxtG"/>
        <w:rPr>
          <w:lang w:val="fr-FR"/>
        </w:rPr>
      </w:pPr>
      <w:r w:rsidRPr="00AF51EA">
        <w:rPr>
          <w:bCs/>
          <w:iCs/>
          <w:lang w:val="fr-FR"/>
        </w:rPr>
        <w:t>5</w:t>
      </w:r>
      <w:r w:rsidR="002A026E" w:rsidRPr="00AF51EA">
        <w:rPr>
          <w:bCs/>
          <w:iCs/>
          <w:lang w:val="fr-FR"/>
        </w:rPr>
        <w:t>.</w:t>
      </w:r>
      <w:r w:rsidRPr="00AF51EA">
        <w:rPr>
          <w:bCs/>
          <w:iCs/>
          <w:lang w:val="fr-FR"/>
        </w:rPr>
        <w:tab/>
        <w:t>En décembre</w:t>
      </w:r>
      <w:r w:rsidRPr="00AF51EA">
        <w:rPr>
          <w:lang w:val="fr-FR"/>
        </w:rPr>
        <w:t> 2005, les auteurs ont présenté au nom de leur fille, en raison des problèmes de santé que connaissait celle-ci, une demande de permis de séjour qui a été rejetée, rejet qui a été finalement confirmé en 2008 par le Conseil d</w:t>
      </w:r>
      <w:r w:rsidR="00AB516D" w:rsidRPr="00AF51EA">
        <w:rPr>
          <w:lang w:val="fr-FR"/>
        </w:rPr>
        <w:t>’</w:t>
      </w:r>
      <w:r w:rsidRPr="00AF51EA">
        <w:rPr>
          <w:lang w:val="fr-FR"/>
        </w:rPr>
        <w:t>État (voir par</w:t>
      </w:r>
      <w:r w:rsidR="002A026E" w:rsidRPr="00AF51EA">
        <w:rPr>
          <w:lang w:val="fr-FR"/>
        </w:rPr>
        <w:t>.</w:t>
      </w:r>
      <w:r w:rsidRPr="00AF51EA">
        <w:rPr>
          <w:lang w:val="fr-FR"/>
        </w:rPr>
        <w:t> 2</w:t>
      </w:r>
      <w:r w:rsidR="002A026E" w:rsidRPr="00AF51EA">
        <w:rPr>
          <w:lang w:val="fr-FR"/>
        </w:rPr>
        <w:t>.</w:t>
      </w:r>
      <w:r w:rsidRPr="00AF51EA">
        <w:rPr>
          <w:lang w:val="fr-FR"/>
        </w:rPr>
        <w:t>2)</w:t>
      </w:r>
      <w:r w:rsidR="002A026E" w:rsidRPr="00AF51EA">
        <w:rPr>
          <w:lang w:val="fr-FR"/>
        </w:rPr>
        <w:t>.</w:t>
      </w:r>
      <w:r w:rsidRPr="00AF51EA">
        <w:rPr>
          <w:lang w:val="fr-FR"/>
        </w:rPr>
        <w:t xml:space="preserve"> R</w:t>
      </w:r>
      <w:r w:rsidR="002A026E" w:rsidRPr="00AF51EA">
        <w:rPr>
          <w:lang w:val="fr-FR"/>
        </w:rPr>
        <w:t>.</w:t>
      </w:r>
      <w:r w:rsidRPr="00AF51EA">
        <w:rPr>
          <w:lang w:val="fr-FR"/>
        </w:rPr>
        <w:t> souffrait de « troubles post-traumatiques chroniques » dus aux « expériences traumatisantes » qu</w:t>
      </w:r>
      <w:r w:rsidR="00AB516D" w:rsidRPr="00AF51EA">
        <w:rPr>
          <w:lang w:val="fr-FR"/>
        </w:rPr>
        <w:t>’</w:t>
      </w:r>
      <w:r w:rsidRPr="00AF51EA">
        <w:rPr>
          <w:lang w:val="fr-FR"/>
        </w:rPr>
        <w:t>elle avait vécues, d</w:t>
      </w:r>
      <w:r w:rsidR="00AB516D" w:rsidRPr="00AF51EA">
        <w:rPr>
          <w:lang w:val="fr-FR"/>
        </w:rPr>
        <w:t>’</w:t>
      </w:r>
      <w:r w:rsidRPr="00AF51EA">
        <w:rPr>
          <w:lang w:val="fr-FR"/>
        </w:rPr>
        <w:t>un « retard de langage » et d</w:t>
      </w:r>
      <w:r w:rsidR="00AB516D" w:rsidRPr="00AF51EA">
        <w:rPr>
          <w:lang w:val="fr-FR"/>
        </w:rPr>
        <w:t>’</w:t>
      </w:r>
      <w:r w:rsidRPr="00AF51EA">
        <w:rPr>
          <w:lang w:val="fr-FR"/>
        </w:rPr>
        <w:t xml:space="preserve">une « stagnation du développement </w:t>
      </w:r>
      <w:proofErr w:type="spellStart"/>
      <w:r w:rsidRPr="00AF51EA">
        <w:rPr>
          <w:lang w:val="fr-FR"/>
        </w:rPr>
        <w:t>socioémotionnel</w:t>
      </w:r>
      <w:proofErr w:type="spellEnd"/>
      <w:r w:rsidRPr="00AF51EA">
        <w:rPr>
          <w:lang w:val="fr-FR"/>
        </w:rPr>
        <w:t> », elle se détachait de ses parents et présentait « un comportement régressif dû à la situation traumatisante » de sa famille</w:t>
      </w:r>
      <w:r w:rsidR="002A026E" w:rsidRPr="00AF51EA">
        <w:rPr>
          <w:lang w:val="fr-FR"/>
        </w:rPr>
        <w:t>.</w:t>
      </w:r>
      <w:r w:rsidRPr="00AF51EA">
        <w:rPr>
          <w:lang w:val="fr-FR"/>
        </w:rPr>
        <w:t xml:space="preserve"> À partir de juillet 2007, plusieurs organisations ont apporté une aide en lien avec les problèmes de santé de R</w:t>
      </w:r>
      <w:r w:rsidR="002A026E" w:rsidRPr="00AF51EA">
        <w:rPr>
          <w:lang w:val="fr-FR"/>
        </w:rPr>
        <w:t>.</w:t>
      </w:r>
      <w:r w:rsidRPr="00AF51EA">
        <w:rPr>
          <w:lang w:val="fr-FR"/>
        </w:rPr>
        <w:t xml:space="preserve"> (voir par</w:t>
      </w:r>
      <w:r w:rsidR="002A026E" w:rsidRPr="00AF51EA">
        <w:rPr>
          <w:lang w:val="fr-FR"/>
        </w:rPr>
        <w:t>.</w:t>
      </w:r>
      <w:r w:rsidRPr="00AF51EA">
        <w:rPr>
          <w:lang w:val="fr-FR"/>
        </w:rPr>
        <w:t> 2</w:t>
      </w:r>
      <w:r w:rsidR="002A026E" w:rsidRPr="00AF51EA">
        <w:rPr>
          <w:lang w:val="fr-FR"/>
        </w:rPr>
        <w:t>.</w:t>
      </w:r>
      <w:r w:rsidRPr="00AF51EA">
        <w:rPr>
          <w:lang w:val="fr-FR"/>
        </w:rPr>
        <w:t>7)</w:t>
      </w:r>
      <w:r w:rsidR="002A026E" w:rsidRPr="00AF51EA">
        <w:rPr>
          <w:lang w:val="fr-FR"/>
        </w:rPr>
        <w:t>.</w:t>
      </w:r>
    </w:p>
    <w:p w14:paraId="2C7340BC" w14:textId="77777777" w:rsidR="00E42A05" w:rsidRPr="00AF51EA" w:rsidRDefault="00E42A05" w:rsidP="00E42A05">
      <w:pPr>
        <w:pStyle w:val="SingleTxtG"/>
        <w:rPr>
          <w:lang w:val="fr-FR"/>
        </w:rPr>
      </w:pPr>
      <w:r w:rsidRPr="00AF51EA">
        <w:rPr>
          <w:lang w:val="fr-FR"/>
        </w:rPr>
        <w:t>6</w:t>
      </w:r>
      <w:r w:rsidR="002A026E" w:rsidRPr="00AF51EA">
        <w:rPr>
          <w:lang w:val="fr-FR"/>
        </w:rPr>
        <w:t>.</w:t>
      </w:r>
      <w:r w:rsidRPr="00AF51EA">
        <w:rPr>
          <w:lang w:val="fr-FR"/>
        </w:rPr>
        <w:tab/>
        <w:t>Entre janvier et septembre 2007, les auteurs ont eu accès aux centres d</w:t>
      </w:r>
      <w:r w:rsidR="00AB516D" w:rsidRPr="00AF51EA">
        <w:rPr>
          <w:lang w:val="fr-FR"/>
        </w:rPr>
        <w:t>’</w:t>
      </w:r>
      <w:r w:rsidRPr="00AF51EA">
        <w:rPr>
          <w:lang w:val="fr-FR"/>
        </w:rPr>
        <w:t>accueil et touché une aide mensuelle d</w:t>
      </w:r>
      <w:r w:rsidR="00AB516D" w:rsidRPr="00AF51EA">
        <w:rPr>
          <w:lang w:val="fr-FR"/>
        </w:rPr>
        <w:t>’</w:t>
      </w:r>
      <w:r w:rsidRPr="00AF51EA">
        <w:rPr>
          <w:lang w:val="fr-FR"/>
        </w:rPr>
        <w:t>environ 213,72 euros, accordée à R</w:t>
      </w:r>
      <w:r w:rsidR="002A026E" w:rsidRPr="00AF51EA">
        <w:rPr>
          <w:lang w:val="fr-FR"/>
        </w:rPr>
        <w:t>.</w:t>
      </w:r>
      <w:r w:rsidRPr="00AF51EA">
        <w:rPr>
          <w:lang w:val="fr-FR"/>
        </w:rPr>
        <w:t xml:space="preserve"> par </w:t>
      </w:r>
      <w:bookmarkStart w:id="7" w:name="_Hlk6596521"/>
      <w:r w:rsidRPr="00AF51EA">
        <w:rPr>
          <w:lang w:val="fr-FR"/>
        </w:rPr>
        <w:t>l</w:t>
      </w:r>
      <w:r w:rsidR="00AB516D" w:rsidRPr="00AF51EA">
        <w:rPr>
          <w:lang w:val="fr-FR"/>
        </w:rPr>
        <w:t>’</w:t>
      </w:r>
      <w:r w:rsidRPr="00AF51EA">
        <w:rPr>
          <w:lang w:val="fr-FR"/>
        </w:rPr>
        <w:t>Office central chargé de l</w:t>
      </w:r>
      <w:r w:rsidR="00AB516D" w:rsidRPr="00AF51EA">
        <w:rPr>
          <w:lang w:val="fr-FR"/>
        </w:rPr>
        <w:t>’</w:t>
      </w:r>
      <w:r w:rsidRPr="00AF51EA">
        <w:rPr>
          <w:lang w:val="fr-FR"/>
        </w:rPr>
        <w:t>accueil des demandeurs d</w:t>
      </w:r>
      <w:r w:rsidR="00AB516D" w:rsidRPr="00AF51EA">
        <w:rPr>
          <w:lang w:val="fr-FR"/>
        </w:rPr>
        <w:t>’</w:t>
      </w:r>
      <w:r w:rsidRPr="00AF51EA">
        <w:rPr>
          <w:lang w:val="fr-FR"/>
        </w:rPr>
        <w:t xml:space="preserve">asile en vertu du </w:t>
      </w:r>
      <w:bookmarkEnd w:id="7"/>
      <w:r w:rsidRPr="00AF51EA">
        <w:rPr>
          <w:lang w:val="fr-FR"/>
        </w:rPr>
        <w:t>Règlement relatif aux prestations allouées à certaines catégories d</w:t>
      </w:r>
      <w:r w:rsidR="00AB516D" w:rsidRPr="00AF51EA">
        <w:rPr>
          <w:lang w:val="fr-FR"/>
        </w:rPr>
        <w:t>’</w:t>
      </w:r>
      <w:r w:rsidRPr="00AF51EA">
        <w:rPr>
          <w:lang w:val="fr-FR"/>
        </w:rPr>
        <w:t>étrangers (voir par</w:t>
      </w:r>
      <w:r w:rsidR="002A026E" w:rsidRPr="00AF51EA">
        <w:rPr>
          <w:lang w:val="fr-FR"/>
        </w:rPr>
        <w:t>.</w:t>
      </w:r>
      <w:r w:rsidRPr="00AF51EA">
        <w:rPr>
          <w:lang w:val="fr-FR"/>
        </w:rPr>
        <w:t> 2</w:t>
      </w:r>
      <w:r w:rsidR="002A026E" w:rsidRPr="00AF51EA">
        <w:rPr>
          <w:lang w:val="fr-FR"/>
        </w:rPr>
        <w:t>.</w:t>
      </w:r>
      <w:r w:rsidRPr="00AF51EA">
        <w:rPr>
          <w:lang w:val="fr-FR"/>
        </w:rPr>
        <w:t>6)</w:t>
      </w:r>
      <w:r w:rsidR="002A026E" w:rsidRPr="00AF51EA">
        <w:rPr>
          <w:lang w:val="fr-FR"/>
        </w:rPr>
        <w:t>.</w:t>
      </w:r>
      <w:r w:rsidRPr="00AF51EA">
        <w:rPr>
          <w:lang w:val="fr-FR"/>
        </w:rPr>
        <w:t xml:space="preserve"> À partir de décembre 2007, les auteurs ont vécu dans un logement mis à leur disposition par Voice in the City, qui prenait en charge leurs factures d</w:t>
      </w:r>
      <w:r w:rsidR="00AB516D" w:rsidRPr="00AF51EA">
        <w:rPr>
          <w:lang w:val="fr-FR"/>
        </w:rPr>
        <w:t>’</w:t>
      </w:r>
      <w:r w:rsidRPr="00AF51EA">
        <w:rPr>
          <w:lang w:val="fr-FR"/>
        </w:rPr>
        <w:t>électricité et d</w:t>
      </w:r>
      <w:r w:rsidR="00AB516D" w:rsidRPr="00AF51EA">
        <w:rPr>
          <w:lang w:val="fr-FR"/>
        </w:rPr>
        <w:t>’</w:t>
      </w:r>
      <w:r w:rsidRPr="00AF51EA">
        <w:rPr>
          <w:lang w:val="fr-FR"/>
        </w:rPr>
        <w:t>eau et leur allouait une aide hebdomadaire de 80 euros (voir par</w:t>
      </w:r>
      <w:r w:rsidR="002A026E" w:rsidRPr="00AF51EA">
        <w:rPr>
          <w:lang w:val="fr-FR"/>
        </w:rPr>
        <w:t>.</w:t>
      </w:r>
      <w:r w:rsidRPr="00AF51EA">
        <w:rPr>
          <w:lang w:val="fr-FR"/>
        </w:rPr>
        <w:t> 2</w:t>
      </w:r>
      <w:r w:rsidR="002A026E" w:rsidRPr="00AF51EA">
        <w:rPr>
          <w:lang w:val="fr-FR"/>
        </w:rPr>
        <w:t>.</w:t>
      </w:r>
      <w:r w:rsidRPr="00AF51EA">
        <w:rPr>
          <w:lang w:val="fr-FR"/>
        </w:rPr>
        <w:t>5)</w:t>
      </w:r>
      <w:r w:rsidR="002A026E" w:rsidRPr="00AF51EA">
        <w:rPr>
          <w:lang w:val="fr-FR"/>
        </w:rPr>
        <w:t>.</w:t>
      </w:r>
    </w:p>
    <w:p w14:paraId="5C872B63" w14:textId="77777777" w:rsidR="00E42A05" w:rsidRPr="00AF51EA" w:rsidRDefault="00E42A05" w:rsidP="00E42A05">
      <w:pPr>
        <w:pStyle w:val="SingleTxtG"/>
        <w:rPr>
          <w:lang w:val="fr-FR"/>
        </w:rPr>
      </w:pPr>
      <w:r w:rsidRPr="00AF51EA">
        <w:rPr>
          <w:lang w:val="fr-FR"/>
        </w:rPr>
        <w:t>7</w:t>
      </w:r>
      <w:r w:rsidR="002A026E" w:rsidRPr="00AF51EA">
        <w:rPr>
          <w:lang w:val="fr-FR"/>
        </w:rPr>
        <w:t>.</w:t>
      </w:r>
      <w:r w:rsidRPr="00AF51EA">
        <w:rPr>
          <w:lang w:val="fr-FR"/>
        </w:rPr>
        <w:tab/>
        <w:t>La communication concerne le rejet par l</w:t>
      </w:r>
      <w:r w:rsidR="00AB516D" w:rsidRPr="00AF51EA">
        <w:rPr>
          <w:lang w:val="fr-FR"/>
        </w:rPr>
        <w:t>’</w:t>
      </w:r>
      <w:r w:rsidRPr="00AF51EA">
        <w:rPr>
          <w:lang w:val="fr-FR"/>
        </w:rPr>
        <w:t>État partie de la demande d</w:t>
      </w:r>
      <w:r w:rsidR="00AB516D" w:rsidRPr="00AF51EA">
        <w:rPr>
          <w:lang w:val="fr-FR"/>
        </w:rPr>
        <w:t>’</w:t>
      </w:r>
      <w:r w:rsidRPr="00AF51EA">
        <w:rPr>
          <w:lang w:val="fr-FR"/>
        </w:rPr>
        <w:t>allocation de base pour enfant à charge, une prestation servie à tous les parents de jeunes enfants pour les aider à assumer les dépenses liées à l</w:t>
      </w:r>
      <w:r w:rsidR="00AB516D" w:rsidRPr="00AF51EA">
        <w:rPr>
          <w:lang w:val="fr-FR"/>
        </w:rPr>
        <w:t>’</w:t>
      </w:r>
      <w:r w:rsidRPr="00AF51EA">
        <w:rPr>
          <w:lang w:val="fr-FR"/>
        </w:rPr>
        <w:t>éducation de ceux-ci, présentée en novembre 2007 par les auteurs au nom de R</w:t>
      </w:r>
      <w:r w:rsidR="002A026E" w:rsidRPr="00AF51EA">
        <w:rPr>
          <w:lang w:val="fr-FR"/>
        </w:rPr>
        <w:t>.</w:t>
      </w:r>
      <w:r w:rsidRPr="00AF51EA">
        <w:rPr>
          <w:lang w:val="fr-FR"/>
        </w:rPr>
        <w:t xml:space="preserve"> à la Caisse de sécurité sociale et qui portait sur la période allant du quatrième trimestre de 2006 au premier trimestre de 2008</w:t>
      </w:r>
      <w:r w:rsidR="002A026E" w:rsidRPr="00AF51EA">
        <w:rPr>
          <w:lang w:val="fr-FR"/>
        </w:rPr>
        <w:t>.</w:t>
      </w:r>
      <w:r w:rsidRPr="00AF51EA">
        <w:rPr>
          <w:lang w:val="fr-FR"/>
        </w:rPr>
        <w:t xml:space="preserve"> Pour pouvoir prétendre à cette allocation, il faut être assuré, et un étranger qui ne réside pas légalement aux Pays-Bas ne peut être considéré comme une personne assurée (voir par</w:t>
      </w:r>
      <w:r w:rsidR="002A026E" w:rsidRPr="00AF51EA">
        <w:rPr>
          <w:lang w:val="fr-FR"/>
        </w:rPr>
        <w:t>.</w:t>
      </w:r>
      <w:r w:rsidRPr="00AF51EA">
        <w:rPr>
          <w:lang w:val="fr-FR"/>
        </w:rPr>
        <w:t> 2</w:t>
      </w:r>
      <w:r w:rsidR="002A026E" w:rsidRPr="00AF51EA">
        <w:rPr>
          <w:lang w:val="fr-FR"/>
        </w:rPr>
        <w:t>.</w:t>
      </w:r>
      <w:r w:rsidRPr="00AF51EA">
        <w:rPr>
          <w:lang w:val="fr-FR"/>
        </w:rPr>
        <w:t>8)</w:t>
      </w:r>
      <w:r w:rsidR="002A026E" w:rsidRPr="00AF51EA">
        <w:rPr>
          <w:lang w:val="fr-FR"/>
        </w:rPr>
        <w:t>.</w:t>
      </w:r>
      <w:r w:rsidRPr="00AF51EA">
        <w:rPr>
          <w:lang w:val="fr-FR"/>
        </w:rPr>
        <w:t xml:space="preserve"> En conséquence, la Caisse de sécurité sociale a rejeté la demande des auteurs parce qu</w:t>
      </w:r>
      <w:r w:rsidR="00AB516D" w:rsidRPr="00AF51EA">
        <w:rPr>
          <w:lang w:val="fr-FR"/>
        </w:rPr>
        <w:t>’</w:t>
      </w:r>
      <w:r w:rsidRPr="00AF51EA">
        <w:rPr>
          <w:lang w:val="fr-FR"/>
        </w:rPr>
        <w:t>ils n</w:t>
      </w:r>
      <w:r w:rsidR="00AB516D" w:rsidRPr="00AF51EA">
        <w:rPr>
          <w:lang w:val="fr-FR"/>
        </w:rPr>
        <w:t>’</w:t>
      </w:r>
      <w:r w:rsidRPr="00AF51EA">
        <w:rPr>
          <w:lang w:val="fr-FR"/>
        </w:rPr>
        <w:t>avaient pas de permis de séjour valable (voir par</w:t>
      </w:r>
      <w:r w:rsidR="002A026E" w:rsidRPr="00AF51EA">
        <w:rPr>
          <w:lang w:val="fr-FR"/>
        </w:rPr>
        <w:t>.</w:t>
      </w:r>
      <w:r w:rsidRPr="00AF51EA">
        <w:rPr>
          <w:lang w:val="fr-FR"/>
        </w:rPr>
        <w:t> 2</w:t>
      </w:r>
      <w:r w:rsidR="002A026E" w:rsidRPr="00AF51EA">
        <w:rPr>
          <w:lang w:val="fr-FR"/>
        </w:rPr>
        <w:t>.</w:t>
      </w:r>
      <w:r w:rsidRPr="00AF51EA">
        <w:rPr>
          <w:lang w:val="fr-FR"/>
        </w:rPr>
        <w:t>9)</w:t>
      </w:r>
      <w:r w:rsidR="002A026E" w:rsidRPr="00AF51EA">
        <w:rPr>
          <w:lang w:val="fr-FR"/>
        </w:rPr>
        <w:t>.</w:t>
      </w:r>
      <w:r w:rsidRPr="00AF51EA">
        <w:rPr>
          <w:lang w:val="fr-FR"/>
        </w:rPr>
        <w:t xml:space="preserve"> Les auteurs ont fait appel de cette décision, mais le Conseil d</w:t>
      </w:r>
      <w:r w:rsidR="00AB516D" w:rsidRPr="00AF51EA">
        <w:rPr>
          <w:lang w:val="fr-FR"/>
        </w:rPr>
        <w:t>’</w:t>
      </w:r>
      <w:r w:rsidRPr="00AF51EA">
        <w:rPr>
          <w:lang w:val="fr-FR"/>
        </w:rPr>
        <w:t>État l</w:t>
      </w:r>
      <w:r w:rsidR="00AB516D" w:rsidRPr="00AF51EA">
        <w:rPr>
          <w:lang w:val="fr-FR"/>
        </w:rPr>
        <w:t>’</w:t>
      </w:r>
      <w:r w:rsidRPr="00AF51EA">
        <w:rPr>
          <w:lang w:val="fr-FR"/>
        </w:rPr>
        <w:t>a confirmée (voir par</w:t>
      </w:r>
      <w:r w:rsidR="002A026E" w:rsidRPr="00AF51EA">
        <w:rPr>
          <w:lang w:val="fr-FR"/>
        </w:rPr>
        <w:t>.</w:t>
      </w:r>
      <w:r w:rsidRPr="00AF51EA">
        <w:rPr>
          <w:lang w:val="fr-FR"/>
        </w:rPr>
        <w:t> 2</w:t>
      </w:r>
      <w:r w:rsidR="002A026E" w:rsidRPr="00AF51EA">
        <w:rPr>
          <w:lang w:val="fr-FR"/>
        </w:rPr>
        <w:t>.</w:t>
      </w:r>
      <w:r w:rsidRPr="00AF51EA">
        <w:rPr>
          <w:lang w:val="fr-FR"/>
        </w:rPr>
        <w:t>10 et 2</w:t>
      </w:r>
      <w:r w:rsidR="002A026E" w:rsidRPr="00AF51EA">
        <w:rPr>
          <w:lang w:val="fr-FR"/>
        </w:rPr>
        <w:t>.</w:t>
      </w:r>
      <w:r w:rsidRPr="00AF51EA">
        <w:rPr>
          <w:lang w:val="fr-FR"/>
        </w:rPr>
        <w:t>11)</w:t>
      </w:r>
      <w:r w:rsidR="002A026E" w:rsidRPr="00AF51EA">
        <w:rPr>
          <w:lang w:val="fr-FR"/>
        </w:rPr>
        <w:t>.</w:t>
      </w:r>
    </w:p>
    <w:p w14:paraId="48984C8E" w14:textId="77777777" w:rsidR="00E42A05" w:rsidRPr="00AF51EA" w:rsidRDefault="00E42A05" w:rsidP="00E42A05">
      <w:pPr>
        <w:pStyle w:val="SingleTxtG"/>
        <w:rPr>
          <w:lang w:val="fr-FR"/>
        </w:rPr>
      </w:pPr>
      <w:r w:rsidRPr="00AF51EA">
        <w:rPr>
          <w:lang w:val="fr-FR"/>
        </w:rPr>
        <w:t>8</w:t>
      </w:r>
      <w:r w:rsidR="002A026E" w:rsidRPr="00AF51EA">
        <w:rPr>
          <w:lang w:val="fr-FR"/>
        </w:rPr>
        <w:t>.</w:t>
      </w:r>
      <w:r w:rsidRPr="00AF51EA">
        <w:rPr>
          <w:lang w:val="fr-FR"/>
        </w:rPr>
        <w:tab/>
        <w:t>La première question est celle de savoir, eu égard au rejet de la demande d</w:t>
      </w:r>
      <w:r w:rsidR="00AB516D" w:rsidRPr="00AF51EA">
        <w:rPr>
          <w:lang w:val="fr-FR"/>
        </w:rPr>
        <w:t>’</w:t>
      </w:r>
      <w:r w:rsidRPr="00AF51EA">
        <w:rPr>
          <w:lang w:val="fr-FR"/>
        </w:rPr>
        <w:t>allocation pour enfant à charge présentée par les auteurs, si ceux-ci et leurs enfants ont été contraints de survivre « avec moins que le minimum vital » et de vivre dans une pauvreté absolue</w:t>
      </w:r>
      <w:r w:rsidR="002A026E" w:rsidRPr="00AF51EA">
        <w:rPr>
          <w:lang w:val="fr-FR"/>
        </w:rPr>
        <w:t>.</w:t>
      </w:r>
      <w:r w:rsidRPr="00AF51EA">
        <w:rPr>
          <w:lang w:val="fr-FR"/>
        </w:rPr>
        <w:t xml:space="preserve"> Même si l</w:t>
      </w:r>
      <w:r w:rsidR="00AB516D" w:rsidRPr="00AF51EA">
        <w:rPr>
          <w:lang w:val="fr-FR"/>
        </w:rPr>
        <w:t>’</w:t>
      </w:r>
      <w:r w:rsidRPr="00AF51EA">
        <w:rPr>
          <w:lang w:val="fr-FR"/>
        </w:rPr>
        <w:t>allocation de base pour enfant à charge n</w:t>
      </w:r>
      <w:r w:rsidR="00AB516D" w:rsidRPr="00AF51EA">
        <w:rPr>
          <w:lang w:val="fr-FR"/>
        </w:rPr>
        <w:t>’</w:t>
      </w:r>
      <w:r w:rsidRPr="00AF51EA">
        <w:rPr>
          <w:lang w:val="fr-FR"/>
        </w:rPr>
        <w:t>est généralement pas considérée comme une allocation de subsistance, elle en avait le caractère dans le cas des auteurs car elle leur était nécessaire pour éviter que leur niveau de vie ne tombe en dessous du seuil de pauvreté et pour leur assurer un revenu minimum de subsistance dans l</w:t>
      </w:r>
      <w:r w:rsidR="00AB516D" w:rsidRPr="00AF51EA">
        <w:rPr>
          <w:lang w:val="fr-FR"/>
        </w:rPr>
        <w:t>’</w:t>
      </w:r>
      <w:r w:rsidRPr="00AF51EA">
        <w:rPr>
          <w:lang w:val="fr-FR"/>
        </w:rPr>
        <w:t>intérêt de leurs enfants</w:t>
      </w:r>
      <w:r w:rsidR="002A026E" w:rsidRPr="00AF51EA">
        <w:rPr>
          <w:lang w:val="fr-FR"/>
        </w:rPr>
        <w:t>.</w:t>
      </w:r>
      <w:r w:rsidRPr="00AF51EA">
        <w:rPr>
          <w:lang w:val="fr-FR"/>
        </w:rPr>
        <w:t xml:space="preserve"> Durant la période considérée, les auteurs ont perçu une prestation </w:t>
      </w:r>
      <w:r w:rsidRPr="00AF51EA">
        <w:rPr>
          <w:lang w:val="fr-FR"/>
        </w:rPr>
        <w:lastRenderedPageBreak/>
        <w:t>mensuelle d</w:t>
      </w:r>
      <w:r w:rsidR="00AB516D" w:rsidRPr="00AF51EA">
        <w:rPr>
          <w:lang w:val="fr-FR"/>
        </w:rPr>
        <w:t>’</w:t>
      </w:r>
      <w:r w:rsidRPr="00AF51EA">
        <w:rPr>
          <w:lang w:val="fr-FR"/>
        </w:rPr>
        <w:t>environ 213,72 euros, accordée à R</w:t>
      </w:r>
      <w:r w:rsidR="002A026E" w:rsidRPr="00AF51EA">
        <w:rPr>
          <w:lang w:val="fr-FR"/>
        </w:rPr>
        <w:t>.</w:t>
      </w:r>
      <w:r w:rsidRPr="00AF51EA">
        <w:rPr>
          <w:lang w:val="fr-FR"/>
        </w:rPr>
        <w:t xml:space="preserve"> (pendant </w:t>
      </w:r>
      <w:r w:rsidR="00116FFA" w:rsidRPr="00AF51EA">
        <w:rPr>
          <w:lang w:val="fr-FR"/>
        </w:rPr>
        <w:t xml:space="preserve">neuf </w:t>
      </w:r>
      <w:r w:rsidRPr="00AF51EA">
        <w:rPr>
          <w:lang w:val="fr-FR"/>
        </w:rPr>
        <w:t>mois seulement) par l</w:t>
      </w:r>
      <w:r w:rsidR="00AB516D" w:rsidRPr="00AF51EA">
        <w:rPr>
          <w:lang w:val="fr-FR"/>
        </w:rPr>
        <w:t>’</w:t>
      </w:r>
      <w:r w:rsidRPr="00AF51EA">
        <w:rPr>
          <w:lang w:val="fr-FR"/>
        </w:rPr>
        <w:t>Office central chargé de l</w:t>
      </w:r>
      <w:r w:rsidR="00AB516D" w:rsidRPr="00AF51EA">
        <w:rPr>
          <w:lang w:val="fr-FR"/>
        </w:rPr>
        <w:t>’</w:t>
      </w:r>
      <w:r w:rsidRPr="00AF51EA">
        <w:rPr>
          <w:lang w:val="fr-FR"/>
        </w:rPr>
        <w:t>accueil des demandeurs d</w:t>
      </w:r>
      <w:r w:rsidR="00AB516D" w:rsidRPr="00AF51EA">
        <w:rPr>
          <w:lang w:val="fr-FR"/>
        </w:rPr>
        <w:t>’</w:t>
      </w:r>
      <w:r w:rsidRPr="00AF51EA">
        <w:rPr>
          <w:lang w:val="fr-FR"/>
        </w:rPr>
        <w:t>asile et une aide hebdomadaire de 62 euros de Voice in the City, une association caritative financée principalement par des églises locales et des dons de particuliers, l</w:t>
      </w:r>
      <w:r w:rsidR="00AB516D" w:rsidRPr="00AF51EA">
        <w:rPr>
          <w:lang w:val="fr-FR"/>
        </w:rPr>
        <w:t>’</w:t>
      </w:r>
      <w:r w:rsidRPr="00AF51EA">
        <w:rPr>
          <w:lang w:val="fr-FR"/>
        </w:rPr>
        <w:t>État partie ne contribuant à son budget qu</w:t>
      </w:r>
      <w:r w:rsidR="00AB516D" w:rsidRPr="00AF51EA">
        <w:rPr>
          <w:lang w:val="fr-FR"/>
        </w:rPr>
        <w:t>’</w:t>
      </w:r>
      <w:r w:rsidRPr="00AF51EA">
        <w:rPr>
          <w:lang w:val="fr-FR"/>
        </w:rPr>
        <w:t>à hauteur de 9 à 13 % (voir par</w:t>
      </w:r>
      <w:r w:rsidR="002A026E" w:rsidRPr="00AF51EA">
        <w:rPr>
          <w:lang w:val="fr-FR"/>
        </w:rPr>
        <w:t>.</w:t>
      </w:r>
      <w:r w:rsidRPr="00AF51EA">
        <w:rPr>
          <w:lang w:val="fr-FR"/>
        </w:rPr>
        <w:t> 7</w:t>
      </w:r>
      <w:r w:rsidR="002A026E" w:rsidRPr="00AF51EA">
        <w:rPr>
          <w:lang w:val="fr-FR"/>
        </w:rPr>
        <w:t>.</w:t>
      </w:r>
      <w:r w:rsidRPr="00AF51EA">
        <w:rPr>
          <w:lang w:val="fr-FR"/>
        </w:rPr>
        <w:t>1)</w:t>
      </w:r>
      <w:r w:rsidR="002A026E" w:rsidRPr="00AF51EA">
        <w:rPr>
          <w:lang w:val="fr-FR"/>
        </w:rPr>
        <w:t>.</w:t>
      </w:r>
      <w:r w:rsidRPr="00AF51EA">
        <w:rPr>
          <w:lang w:val="fr-FR"/>
        </w:rPr>
        <w:t xml:space="preserve"> Par la suite, la famille a reçu une aide hebdomadaire de 80 euros, également de Voice in the City (voir par</w:t>
      </w:r>
      <w:r w:rsidR="002A026E" w:rsidRPr="00AF51EA">
        <w:rPr>
          <w:lang w:val="fr-FR"/>
        </w:rPr>
        <w:t>.</w:t>
      </w:r>
      <w:r w:rsidRPr="00AF51EA">
        <w:rPr>
          <w:lang w:val="fr-FR"/>
        </w:rPr>
        <w:t> 3</w:t>
      </w:r>
      <w:r w:rsidR="002A026E" w:rsidRPr="00AF51EA">
        <w:rPr>
          <w:lang w:val="fr-FR"/>
        </w:rPr>
        <w:t>.</w:t>
      </w:r>
      <w:r w:rsidRPr="00AF51EA">
        <w:rPr>
          <w:lang w:val="fr-FR"/>
        </w:rPr>
        <w:t>5)</w:t>
      </w:r>
      <w:r w:rsidR="002A026E" w:rsidRPr="00AF51EA">
        <w:rPr>
          <w:lang w:val="fr-FR"/>
        </w:rPr>
        <w:t>.</w:t>
      </w:r>
      <w:r w:rsidRPr="00AF51EA">
        <w:rPr>
          <w:lang w:val="fr-FR"/>
        </w:rPr>
        <w:t xml:space="preserve"> Cette situation financière ne permettait guère de maintenir les enfants, et encore moins l</w:t>
      </w:r>
      <w:r w:rsidR="00AB516D" w:rsidRPr="00AF51EA">
        <w:rPr>
          <w:lang w:val="fr-FR"/>
        </w:rPr>
        <w:t>’</w:t>
      </w:r>
      <w:r w:rsidRPr="00AF51EA">
        <w:rPr>
          <w:lang w:val="fr-FR"/>
        </w:rPr>
        <w:t>ensemble de la famille, au-dessus du seuil minimum de subsistance</w:t>
      </w:r>
      <w:r w:rsidR="002A026E" w:rsidRPr="00AF51EA">
        <w:rPr>
          <w:lang w:val="fr-FR"/>
        </w:rPr>
        <w:t>.</w:t>
      </w:r>
      <w:r w:rsidRPr="00AF51EA">
        <w:rPr>
          <w:lang w:val="fr-FR"/>
        </w:rPr>
        <w:t xml:space="preserve"> Dans un tel dénuement, l</w:t>
      </w:r>
      <w:r w:rsidR="00AB516D" w:rsidRPr="00AF51EA">
        <w:rPr>
          <w:lang w:val="fr-FR"/>
        </w:rPr>
        <w:t>’</w:t>
      </w:r>
      <w:r w:rsidRPr="00AF51EA">
        <w:rPr>
          <w:lang w:val="fr-FR"/>
        </w:rPr>
        <w:t>allocation trimestrielle de 186 euros aurait pu considérablement aider les auteurs à se rapprocher de ce seuil (voir par</w:t>
      </w:r>
      <w:r w:rsidR="002A026E" w:rsidRPr="00AF51EA">
        <w:rPr>
          <w:lang w:val="fr-FR"/>
        </w:rPr>
        <w:t>.</w:t>
      </w:r>
      <w:r w:rsidRPr="00AF51EA">
        <w:rPr>
          <w:lang w:val="fr-FR"/>
        </w:rPr>
        <w:t> 7</w:t>
      </w:r>
      <w:r w:rsidR="002A026E" w:rsidRPr="00AF51EA">
        <w:rPr>
          <w:lang w:val="fr-FR"/>
        </w:rPr>
        <w:t>.</w:t>
      </w:r>
      <w:r w:rsidRPr="00AF51EA">
        <w:rPr>
          <w:lang w:val="fr-FR"/>
        </w:rPr>
        <w:t>3)</w:t>
      </w:r>
      <w:r w:rsidR="002A026E" w:rsidRPr="00AF51EA">
        <w:rPr>
          <w:lang w:val="fr-FR"/>
        </w:rPr>
        <w:t>.</w:t>
      </w:r>
    </w:p>
    <w:p w14:paraId="15BDCA64" w14:textId="77777777" w:rsidR="00E42A05" w:rsidRPr="00AF51EA" w:rsidRDefault="00E42A05" w:rsidP="00E42A05">
      <w:pPr>
        <w:pStyle w:val="SingleTxtG"/>
        <w:rPr>
          <w:lang w:val="fr-FR"/>
        </w:rPr>
      </w:pPr>
      <w:r w:rsidRPr="00AF51EA">
        <w:rPr>
          <w:lang w:val="fr-FR"/>
        </w:rPr>
        <w:t>9</w:t>
      </w:r>
      <w:r w:rsidR="002A026E" w:rsidRPr="00AF51EA">
        <w:rPr>
          <w:lang w:val="fr-FR"/>
        </w:rPr>
        <w:t>.</w:t>
      </w:r>
      <w:r w:rsidRPr="00AF51EA">
        <w:rPr>
          <w:lang w:val="fr-FR"/>
        </w:rPr>
        <w:tab/>
        <w:t>Une autre question est celle de savoir si l</w:t>
      </w:r>
      <w:r w:rsidR="00AB516D" w:rsidRPr="00AF51EA">
        <w:rPr>
          <w:lang w:val="fr-FR"/>
        </w:rPr>
        <w:t>’</w:t>
      </w:r>
      <w:r w:rsidRPr="00AF51EA">
        <w:rPr>
          <w:lang w:val="fr-FR"/>
        </w:rPr>
        <w:t>état de santé de R</w:t>
      </w:r>
      <w:r w:rsidR="002A026E" w:rsidRPr="00AF51EA">
        <w:rPr>
          <w:lang w:val="fr-FR"/>
        </w:rPr>
        <w:t>.</w:t>
      </w:r>
      <w:r w:rsidRPr="00AF51EA">
        <w:rPr>
          <w:lang w:val="fr-FR"/>
        </w:rPr>
        <w:t xml:space="preserve"> a été aggravé par la situation de « grande pauvreté », extraordinairement éprouvante, dans laquelle vivait la famille (voir par</w:t>
      </w:r>
      <w:r w:rsidR="002A026E" w:rsidRPr="00AF51EA">
        <w:rPr>
          <w:lang w:val="fr-FR"/>
        </w:rPr>
        <w:t>.</w:t>
      </w:r>
      <w:r w:rsidRPr="00AF51EA">
        <w:rPr>
          <w:lang w:val="fr-FR"/>
        </w:rPr>
        <w:t> 3</w:t>
      </w:r>
      <w:r w:rsidR="002A026E" w:rsidRPr="00AF51EA">
        <w:rPr>
          <w:lang w:val="fr-FR"/>
        </w:rPr>
        <w:t>.</w:t>
      </w:r>
      <w:r w:rsidRPr="00AF51EA">
        <w:rPr>
          <w:lang w:val="fr-FR"/>
        </w:rPr>
        <w:t>5)</w:t>
      </w:r>
      <w:r w:rsidR="002A026E" w:rsidRPr="00AF51EA">
        <w:rPr>
          <w:lang w:val="fr-FR"/>
        </w:rPr>
        <w:t>.</w:t>
      </w:r>
      <w:r w:rsidRPr="00AF51EA">
        <w:rPr>
          <w:lang w:val="fr-FR"/>
        </w:rPr>
        <w:t xml:space="preserve"> À cet égard, la situation juridique et financière dramatique de celle-ci a eu un impact important sur l</w:t>
      </w:r>
      <w:r w:rsidR="00AB516D" w:rsidRPr="00AF51EA">
        <w:rPr>
          <w:lang w:val="fr-FR"/>
        </w:rPr>
        <w:t>’</w:t>
      </w:r>
      <w:r w:rsidRPr="00AF51EA">
        <w:rPr>
          <w:lang w:val="fr-FR"/>
        </w:rPr>
        <w:t>état de santé de l</w:t>
      </w:r>
      <w:r w:rsidR="00AB516D" w:rsidRPr="00AF51EA">
        <w:rPr>
          <w:lang w:val="fr-FR"/>
        </w:rPr>
        <w:t>’</w:t>
      </w:r>
      <w:r w:rsidRPr="00AF51EA">
        <w:rPr>
          <w:lang w:val="fr-FR"/>
        </w:rPr>
        <w:t>enfant (voir par</w:t>
      </w:r>
      <w:r w:rsidR="002A026E" w:rsidRPr="00AF51EA">
        <w:rPr>
          <w:lang w:val="fr-FR"/>
        </w:rPr>
        <w:t>.</w:t>
      </w:r>
      <w:r w:rsidRPr="00AF51EA">
        <w:rPr>
          <w:lang w:val="fr-FR"/>
        </w:rPr>
        <w:t> 5</w:t>
      </w:r>
      <w:r w:rsidR="002A026E" w:rsidRPr="00AF51EA">
        <w:rPr>
          <w:lang w:val="fr-FR"/>
        </w:rPr>
        <w:t>.</w:t>
      </w:r>
      <w:r w:rsidRPr="00AF51EA">
        <w:rPr>
          <w:lang w:val="fr-FR"/>
        </w:rPr>
        <w:t>1 et 5</w:t>
      </w:r>
      <w:r w:rsidR="002A026E" w:rsidRPr="00AF51EA">
        <w:rPr>
          <w:lang w:val="fr-FR"/>
        </w:rPr>
        <w:t>.</w:t>
      </w:r>
      <w:r w:rsidRPr="00AF51EA">
        <w:rPr>
          <w:lang w:val="fr-FR"/>
        </w:rPr>
        <w:t>2), bien que cette dernière n</w:t>
      </w:r>
      <w:r w:rsidR="00AB516D" w:rsidRPr="00AF51EA">
        <w:rPr>
          <w:lang w:val="fr-FR"/>
        </w:rPr>
        <w:t>’</w:t>
      </w:r>
      <w:r w:rsidRPr="00AF51EA">
        <w:rPr>
          <w:lang w:val="fr-FR"/>
        </w:rPr>
        <w:t>ait pas été totalement privée de soins de santé (voir par</w:t>
      </w:r>
      <w:r w:rsidR="002A026E" w:rsidRPr="00AF51EA">
        <w:rPr>
          <w:lang w:val="fr-FR"/>
        </w:rPr>
        <w:t>.</w:t>
      </w:r>
      <w:r w:rsidRPr="00AF51EA">
        <w:rPr>
          <w:lang w:val="fr-FR"/>
        </w:rPr>
        <w:t> 6</w:t>
      </w:r>
      <w:r w:rsidR="002A026E" w:rsidRPr="00AF51EA">
        <w:rPr>
          <w:lang w:val="fr-FR"/>
        </w:rPr>
        <w:t>.</w:t>
      </w:r>
      <w:r w:rsidRPr="00AF51EA">
        <w:rPr>
          <w:lang w:val="fr-FR"/>
        </w:rPr>
        <w:t>2)</w:t>
      </w:r>
      <w:r w:rsidR="002A026E" w:rsidRPr="00AF51EA">
        <w:rPr>
          <w:lang w:val="fr-FR"/>
        </w:rPr>
        <w:t>.</w:t>
      </w:r>
    </w:p>
    <w:p w14:paraId="2D0A19E6" w14:textId="77777777" w:rsidR="00E42A05" w:rsidRPr="00AF51EA" w:rsidRDefault="00E42A05" w:rsidP="00E42A05">
      <w:pPr>
        <w:pStyle w:val="SingleTxtG"/>
        <w:rPr>
          <w:lang w:val="fr-FR"/>
        </w:rPr>
      </w:pPr>
      <w:r w:rsidRPr="00AF51EA">
        <w:rPr>
          <w:lang w:val="fr-FR"/>
        </w:rPr>
        <w:t>10</w:t>
      </w:r>
      <w:r w:rsidR="002A026E" w:rsidRPr="00AF51EA">
        <w:rPr>
          <w:lang w:val="fr-FR"/>
        </w:rPr>
        <w:t>.</w:t>
      </w:r>
      <w:r w:rsidRPr="00AF51EA">
        <w:rPr>
          <w:lang w:val="fr-FR"/>
        </w:rPr>
        <w:tab/>
        <w:t>En refusant aux auteurs le bénéfice de l</w:t>
      </w:r>
      <w:r w:rsidR="00AB516D" w:rsidRPr="00AF51EA">
        <w:rPr>
          <w:lang w:val="fr-FR"/>
        </w:rPr>
        <w:t>’</w:t>
      </w:r>
      <w:r w:rsidRPr="00AF51EA">
        <w:rPr>
          <w:lang w:val="fr-FR"/>
        </w:rPr>
        <w:t>allocation de base pour enfant à charge, qui est censée être une prestation au bénéfice des enfants et contribuer aux dépenses liées à leur entretien et leur éducation (par</w:t>
      </w:r>
      <w:r w:rsidR="002A026E" w:rsidRPr="00AF51EA">
        <w:rPr>
          <w:lang w:val="fr-FR"/>
        </w:rPr>
        <w:t>.</w:t>
      </w:r>
      <w:r w:rsidRPr="00AF51EA">
        <w:rPr>
          <w:lang w:val="fr-FR"/>
        </w:rPr>
        <w:t> 6</w:t>
      </w:r>
      <w:r w:rsidR="002A026E" w:rsidRPr="00AF51EA">
        <w:rPr>
          <w:lang w:val="fr-FR"/>
        </w:rPr>
        <w:t>.</w:t>
      </w:r>
      <w:r w:rsidRPr="00AF51EA">
        <w:rPr>
          <w:lang w:val="fr-FR"/>
        </w:rPr>
        <w:t>4), l</w:t>
      </w:r>
      <w:r w:rsidR="00AB516D" w:rsidRPr="00AF51EA">
        <w:rPr>
          <w:lang w:val="fr-FR"/>
        </w:rPr>
        <w:t>’</w:t>
      </w:r>
      <w:r w:rsidRPr="00AF51EA">
        <w:rPr>
          <w:lang w:val="fr-FR"/>
        </w:rPr>
        <w:t>État partie n</w:t>
      </w:r>
      <w:r w:rsidR="00AB516D" w:rsidRPr="00AF51EA">
        <w:rPr>
          <w:lang w:val="fr-FR"/>
        </w:rPr>
        <w:t>’</w:t>
      </w:r>
      <w:r w:rsidRPr="00AF51EA">
        <w:rPr>
          <w:lang w:val="fr-FR"/>
        </w:rPr>
        <w:t>a pas tenu dûment compte de la nécessité de protéger l</w:t>
      </w:r>
      <w:r w:rsidR="00AB516D" w:rsidRPr="00AF51EA">
        <w:rPr>
          <w:lang w:val="fr-FR"/>
        </w:rPr>
        <w:t>’</w:t>
      </w:r>
      <w:r w:rsidRPr="00AF51EA">
        <w:rPr>
          <w:lang w:val="fr-FR"/>
        </w:rPr>
        <w:t>intérêt supérieur de l</w:t>
      </w:r>
      <w:r w:rsidR="00AB516D" w:rsidRPr="00AF51EA">
        <w:rPr>
          <w:lang w:val="fr-FR"/>
        </w:rPr>
        <w:t>’</w:t>
      </w:r>
      <w:r w:rsidRPr="00AF51EA">
        <w:rPr>
          <w:lang w:val="fr-FR"/>
        </w:rPr>
        <w:t>enfant</w:t>
      </w:r>
      <w:r w:rsidR="002A026E" w:rsidRPr="00AF51EA">
        <w:rPr>
          <w:lang w:val="fr-FR"/>
        </w:rPr>
        <w:t>.</w:t>
      </w:r>
      <w:r w:rsidRPr="00AF51EA">
        <w:rPr>
          <w:lang w:val="fr-FR"/>
        </w:rPr>
        <w:t xml:space="preserve"> À cet égard, tout État partie devrait être tenu de pourvoir aux besoins minimums des enfants lorsque les parents ne sont pas en mesure de le faire (par</w:t>
      </w:r>
      <w:r w:rsidR="002A026E" w:rsidRPr="00AF51EA">
        <w:rPr>
          <w:lang w:val="fr-FR"/>
        </w:rPr>
        <w:t>.</w:t>
      </w:r>
      <w:r w:rsidRPr="00AF51EA">
        <w:rPr>
          <w:lang w:val="fr-FR"/>
        </w:rPr>
        <w:t> 3</w:t>
      </w:r>
      <w:r w:rsidR="002A026E" w:rsidRPr="00AF51EA">
        <w:rPr>
          <w:lang w:val="fr-FR"/>
        </w:rPr>
        <w:t>.</w:t>
      </w:r>
      <w:r w:rsidRPr="00AF51EA">
        <w:rPr>
          <w:lang w:val="fr-FR"/>
        </w:rPr>
        <w:t>7) pour aider ceux-ci à assurer à leurs enfants le minimum vital</w:t>
      </w:r>
      <w:r w:rsidR="002A026E" w:rsidRPr="00AF51EA">
        <w:rPr>
          <w:lang w:val="fr-FR"/>
        </w:rPr>
        <w:t>.</w:t>
      </w:r>
      <w:r w:rsidRPr="00AF51EA">
        <w:rPr>
          <w:lang w:val="fr-FR"/>
        </w:rPr>
        <w:t xml:space="preserve"> Cela est d</w:t>
      </w:r>
      <w:r w:rsidR="00AB516D" w:rsidRPr="00AF51EA">
        <w:rPr>
          <w:lang w:val="fr-FR"/>
        </w:rPr>
        <w:t>’</w:t>
      </w:r>
      <w:r w:rsidRPr="00AF51EA">
        <w:rPr>
          <w:lang w:val="fr-FR"/>
        </w:rPr>
        <w:t>autant plus vrai dans le cas des auteurs, qui vivaient aux Pays</w:t>
      </w:r>
      <w:r w:rsidRPr="00AF51EA">
        <w:rPr>
          <w:lang w:val="fr-FR"/>
        </w:rPr>
        <w:noBreakHyphen/>
        <w:t>Bas depuis 2001 et ne pouvaient retourner en Afghanistan</w:t>
      </w:r>
      <w:r w:rsidR="002A026E" w:rsidRPr="00AF51EA">
        <w:rPr>
          <w:lang w:val="fr-FR"/>
        </w:rPr>
        <w:t>.</w:t>
      </w:r>
      <w:r w:rsidRPr="00AF51EA">
        <w:rPr>
          <w:lang w:val="fr-FR"/>
        </w:rPr>
        <w:t xml:space="preserve"> </w:t>
      </w:r>
    </w:p>
    <w:p w14:paraId="77904F8A" w14:textId="77777777" w:rsidR="00E42A05" w:rsidRDefault="00E42A05" w:rsidP="00E42A05">
      <w:pPr>
        <w:pStyle w:val="SingleTxtG"/>
      </w:pPr>
      <w:r w:rsidRPr="00AF51EA">
        <w:rPr>
          <w:lang w:val="fr-FR"/>
        </w:rPr>
        <w:t>11</w:t>
      </w:r>
      <w:r w:rsidR="002A026E" w:rsidRPr="00AF51EA">
        <w:rPr>
          <w:lang w:val="fr-FR"/>
        </w:rPr>
        <w:t>.</w:t>
      </w:r>
      <w:r w:rsidRPr="00AF51EA">
        <w:rPr>
          <w:lang w:val="fr-FR"/>
        </w:rPr>
        <w:tab/>
        <w:t>Contrairement au Comité, j</w:t>
      </w:r>
      <w:r w:rsidR="00AB516D" w:rsidRPr="00AF51EA">
        <w:rPr>
          <w:lang w:val="fr-FR"/>
        </w:rPr>
        <w:t>’</w:t>
      </w:r>
      <w:r w:rsidRPr="00AF51EA">
        <w:rPr>
          <w:lang w:val="fr-FR"/>
        </w:rPr>
        <w:t>aurais donc conclu que, en rejetant la demande d</w:t>
      </w:r>
      <w:r w:rsidR="00AB516D" w:rsidRPr="00AF51EA">
        <w:rPr>
          <w:lang w:val="fr-FR"/>
        </w:rPr>
        <w:t>’</w:t>
      </w:r>
      <w:r w:rsidRPr="00AF51EA">
        <w:rPr>
          <w:lang w:val="fr-FR"/>
        </w:rPr>
        <w:t>allocation de base pour enfant à charge présentée par les auteurs, l</w:t>
      </w:r>
      <w:r w:rsidR="00AB516D" w:rsidRPr="00AF51EA">
        <w:rPr>
          <w:lang w:val="fr-FR"/>
        </w:rPr>
        <w:t>’</w:t>
      </w:r>
      <w:r w:rsidRPr="00AF51EA">
        <w:rPr>
          <w:lang w:val="fr-FR"/>
        </w:rPr>
        <w:t>État partie a violé les droits que R</w:t>
      </w:r>
      <w:r w:rsidR="002A026E" w:rsidRPr="00AF51EA">
        <w:rPr>
          <w:lang w:val="fr-FR"/>
        </w:rPr>
        <w:t>.</w:t>
      </w:r>
      <w:r w:rsidRPr="00AF51EA">
        <w:rPr>
          <w:lang w:val="fr-FR"/>
        </w:rPr>
        <w:t xml:space="preserve"> tient du paragraphe 1 de l</w:t>
      </w:r>
      <w:r w:rsidR="00AB516D" w:rsidRPr="00AF51EA">
        <w:rPr>
          <w:lang w:val="fr-FR"/>
        </w:rPr>
        <w:t>’</w:t>
      </w:r>
      <w:r w:rsidRPr="00AF51EA">
        <w:rPr>
          <w:lang w:val="fr-FR"/>
        </w:rPr>
        <w:t>article 24 du Pacte, aux termes duquel tout enfant a droit aux mesures de protection qu</w:t>
      </w:r>
      <w:r w:rsidR="00AB516D" w:rsidRPr="00AF51EA">
        <w:rPr>
          <w:lang w:val="fr-FR"/>
        </w:rPr>
        <w:t>’</w:t>
      </w:r>
      <w:r w:rsidRPr="00AF51EA">
        <w:rPr>
          <w:lang w:val="fr-FR"/>
        </w:rPr>
        <w:t>exige sa condition de mineur</w:t>
      </w:r>
      <w:r w:rsidR="002A026E" w:rsidRPr="00AF51EA">
        <w:rPr>
          <w:lang w:val="fr-FR"/>
        </w:rPr>
        <w:t>.</w:t>
      </w:r>
      <w:r w:rsidRPr="00AF51EA">
        <w:rPr>
          <w:lang w:val="fr-FR"/>
        </w:rPr>
        <w:t xml:space="preserve"> De fait, l</w:t>
      </w:r>
      <w:r w:rsidR="00AB516D" w:rsidRPr="00AF51EA">
        <w:rPr>
          <w:lang w:val="fr-FR"/>
        </w:rPr>
        <w:t>’</w:t>
      </w:r>
      <w:r w:rsidRPr="00AF51EA">
        <w:rPr>
          <w:lang w:val="fr-FR"/>
        </w:rPr>
        <w:t>État partie n</w:t>
      </w:r>
      <w:r w:rsidR="00AB516D" w:rsidRPr="00AF51EA">
        <w:rPr>
          <w:lang w:val="fr-FR"/>
        </w:rPr>
        <w:t>’</w:t>
      </w:r>
      <w:r w:rsidRPr="00AF51EA">
        <w:rPr>
          <w:lang w:val="fr-FR"/>
        </w:rPr>
        <w:t>a pas en l</w:t>
      </w:r>
      <w:r w:rsidR="00AB516D" w:rsidRPr="00AF51EA">
        <w:rPr>
          <w:lang w:val="fr-FR"/>
        </w:rPr>
        <w:t>’</w:t>
      </w:r>
      <w:r w:rsidRPr="00AF51EA">
        <w:rPr>
          <w:lang w:val="fr-FR"/>
        </w:rPr>
        <w:t>espèce respecté le principe voulant que, dans toute décision touchant un enfant, l</w:t>
      </w:r>
      <w:r w:rsidR="00AB516D" w:rsidRPr="00AF51EA">
        <w:rPr>
          <w:lang w:val="fr-FR"/>
        </w:rPr>
        <w:t>’</w:t>
      </w:r>
      <w:r w:rsidRPr="00AF51EA">
        <w:rPr>
          <w:lang w:val="fr-FR"/>
        </w:rPr>
        <w:t>intérêt supérieur de celui-ci soit une considération primordiale</w:t>
      </w:r>
      <w:r w:rsidR="002A026E" w:rsidRPr="00AF51EA">
        <w:rPr>
          <w:lang w:val="fr-FR"/>
        </w:rPr>
        <w:t>.</w:t>
      </w:r>
      <w:r w:rsidRPr="00AF51EA">
        <w:rPr>
          <w:lang w:val="fr-FR"/>
        </w:rPr>
        <w:t xml:space="preserve"> Comme le Comité le souligne à juste titre (voir par</w:t>
      </w:r>
      <w:r w:rsidR="002A026E" w:rsidRPr="00AF51EA">
        <w:rPr>
          <w:lang w:val="fr-FR"/>
        </w:rPr>
        <w:t>.</w:t>
      </w:r>
      <w:r w:rsidRPr="00AF51EA">
        <w:rPr>
          <w:lang w:val="fr-FR"/>
        </w:rPr>
        <w:t> 9</w:t>
      </w:r>
      <w:r w:rsidR="002A026E" w:rsidRPr="00AF51EA">
        <w:rPr>
          <w:lang w:val="fr-FR"/>
        </w:rPr>
        <w:t>.</w:t>
      </w:r>
      <w:r w:rsidRPr="00AF51EA">
        <w:rPr>
          <w:lang w:val="fr-FR"/>
        </w:rPr>
        <w:t>3 et 9</w:t>
      </w:r>
      <w:r w:rsidR="002A026E" w:rsidRPr="00AF51EA">
        <w:rPr>
          <w:lang w:val="fr-FR"/>
        </w:rPr>
        <w:t>.</w:t>
      </w:r>
      <w:r w:rsidRPr="00AF51EA">
        <w:rPr>
          <w:lang w:val="fr-FR"/>
        </w:rPr>
        <w:t>5), les États parties au Pacte ont une obligation positive de veiller à la protection du bien-être physique et psychologique des enfants, notamment par une garantie de subsistance dans les cas où les parents n</w:t>
      </w:r>
      <w:r w:rsidR="00AB516D" w:rsidRPr="00AF51EA">
        <w:rPr>
          <w:lang w:val="fr-FR"/>
        </w:rPr>
        <w:t>’</w:t>
      </w:r>
      <w:r w:rsidRPr="00AF51EA">
        <w:rPr>
          <w:lang w:val="fr-FR"/>
        </w:rPr>
        <w:t>ont pas d</w:t>
      </w:r>
      <w:r w:rsidR="00AB516D" w:rsidRPr="00AF51EA">
        <w:rPr>
          <w:lang w:val="fr-FR"/>
        </w:rPr>
        <w:t>’</w:t>
      </w:r>
      <w:r w:rsidRPr="00AF51EA">
        <w:rPr>
          <w:lang w:val="fr-FR"/>
        </w:rPr>
        <w:t>autre revenu ou ne bénéficient pas d</w:t>
      </w:r>
      <w:r w:rsidR="00AB516D" w:rsidRPr="00AF51EA">
        <w:rPr>
          <w:lang w:val="fr-FR"/>
        </w:rPr>
        <w:t>’</w:t>
      </w:r>
      <w:r w:rsidRPr="00AF51EA">
        <w:rPr>
          <w:lang w:val="fr-FR"/>
        </w:rPr>
        <w:t>une autre aide</w:t>
      </w:r>
      <w:r w:rsidR="002A026E" w:rsidRPr="00AF51EA">
        <w:rPr>
          <w:lang w:val="fr-FR"/>
        </w:rPr>
        <w:t>.</w:t>
      </w:r>
      <w:r w:rsidRPr="00AF51EA">
        <w:rPr>
          <w:lang w:val="fr-FR"/>
        </w:rPr>
        <w:t xml:space="preserve"> Je considère qu</w:t>
      </w:r>
      <w:r w:rsidR="00AB516D" w:rsidRPr="00AF51EA">
        <w:rPr>
          <w:lang w:val="fr-FR"/>
        </w:rPr>
        <w:t>’</w:t>
      </w:r>
      <w:r w:rsidRPr="00AF51EA">
        <w:rPr>
          <w:lang w:val="fr-FR"/>
        </w:rPr>
        <w:t>en l</w:t>
      </w:r>
      <w:r w:rsidR="00AB516D" w:rsidRPr="00AF51EA">
        <w:rPr>
          <w:lang w:val="fr-FR"/>
        </w:rPr>
        <w:t>’</w:t>
      </w:r>
      <w:r w:rsidRPr="00AF51EA">
        <w:rPr>
          <w:lang w:val="fr-FR"/>
        </w:rPr>
        <w:t>espèce l</w:t>
      </w:r>
      <w:r w:rsidR="00AB516D" w:rsidRPr="00AF51EA">
        <w:rPr>
          <w:lang w:val="fr-FR"/>
        </w:rPr>
        <w:t>’</w:t>
      </w:r>
      <w:r w:rsidRPr="00AF51EA">
        <w:rPr>
          <w:lang w:val="fr-FR"/>
        </w:rPr>
        <w:t>État partie ne s</w:t>
      </w:r>
      <w:r w:rsidR="00AB516D" w:rsidRPr="00AF51EA">
        <w:rPr>
          <w:lang w:val="fr-FR"/>
        </w:rPr>
        <w:t>’</w:t>
      </w:r>
      <w:r w:rsidRPr="00AF51EA">
        <w:rPr>
          <w:lang w:val="fr-FR"/>
        </w:rPr>
        <w:t>est pas acquitté de cette obligation positive</w:t>
      </w:r>
      <w:r w:rsidRPr="00AF51EA">
        <w:rPr>
          <w:rStyle w:val="Appelnotedebasdep"/>
        </w:rPr>
        <w:footnoteReference w:id="55"/>
      </w:r>
      <w:r w:rsidR="002A026E" w:rsidRPr="00AF51EA">
        <w:rPr>
          <w:lang w:val="fr-FR"/>
        </w:rPr>
        <w:t>.</w:t>
      </w:r>
    </w:p>
    <w:p w14:paraId="764849CE" w14:textId="77777777" w:rsidR="00E42A05" w:rsidRPr="00E42A05" w:rsidRDefault="00E42A05" w:rsidP="00E42A05">
      <w:pPr>
        <w:pStyle w:val="SingleTxtG"/>
        <w:spacing w:before="240" w:after="0"/>
        <w:jc w:val="center"/>
        <w:rPr>
          <w:u w:val="single"/>
        </w:rPr>
      </w:pPr>
      <w:r>
        <w:rPr>
          <w:u w:val="single"/>
        </w:rPr>
        <w:tab/>
      </w:r>
      <w:r>
        <w:rPr>
          <w:u w:val="single"/>
        </w:rPr>
        <w:tab/>
      </w:r>
      <w:r>
        <w:rPr>
          <w:u w:val="single"/>
        </w:rPr>
        <w:tab/>
      </w:r>
    </w:p>
    <w:sectPr w:rsidR="00E42A05" w:rsidRPr="00E42A05" w:rsidSect="00E80AB0">
      <w:headerReference w:type="default" r:id="rId13"/>
      <w:footerReference w:type="default" r:id="rId14"/>
      <w:headerReference w:type="first" r:id="rId15"/>
      <w:footerReference w:type="first" r:id="rId16"/>
      <w:footnotePr>
        <w:numRestart w:val="eachSect"/>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0754E" w14:textId="77777777" w:rsidR="00AB516D" w:rsidRDefault="00AB516D" w:rsidP="00F95C08">
      <w:pPr>
        <w:spacing w:line="240" w:lineRule="auto"/>
      </w:pPr>
    </w:p>
  </w:endnote>
  <w:endnote w:type="continuationSeparator" w:id="0">
    <w:p w14:paraId="753B6ACE" w14:textId="77777777" w:rsidR="00AB516D" w:rsidRPr="00AC3823" w:rsidRDefault="00AB516D" w:rsidP="00AC3823">
      <w:pPr>
        <w:pStyle w:val="Pieddepage"/>
      </w:pPr>
    </w:p>
  </w:endnote>
  <w:endnote w:type="continuationNotice" w:id="1">
    <w:p w14:paraId="7B821411" w14:textId="77777777" w:rsidR="00AB516D" w:rsidRDefault="00AB51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FEF81" w14:textId="77777777" w:rsidR="00AB516D" w:rsidRPr="00E80AB0" w:rsidRDefault="00AB516D" w:rsidP="00E80AB0">
    <w:pPr>
      <w:pStyle w:val="Pieddepage"/>
      <w:tabs>
        <w:tab w:val="right" w:pos="9638"/>
      </w:tabs>
    </w:pPr>
    <w:r w:rsidRPr="00E80AB0">
      <w:rPr>
        <w:b/>
        <w:sz w:val="18"/>
      </w:rPr>
      <w:fldChar w:fldCharType="begin"/>
    </w:r>
    <w:r w:rsidRPr="00E80AB0">
      <w:rPr>
        <w:b/>
        <w:sz w:val="18"/>
      </w:rPr>
      <w:instrText xml:space="preserve"> PAGE  \* MERGEFORMAT </w:instrText>
    </w:r>
    <w:r w:rsidRPr="00E80AB0">
      <w:rPr>
        <w:b/>
        <w:sz w:val="18"/>
      </w:rPr>
      <w:fldChar w:fldCharType="separate"/>
    </w:r>
    <w:r w:rsidRPr="00E80AB0">
      <w:rPr>
        <w:b/>
        <w:noProof/>
        <w:sz w:val="18"/>
      </w:rPr>
      <w:t>2</w:t>
    </w:r>
    <w:r w:rsidRPr="00E80AB0">
      <w:rPr>
        <w:b/>
        <w:sz w:val="18"/>
      </w:rPr>
      <w:fldChar w:fldCharType="end"/>
    </w:r>
    <w:r>
      <w:rPr>
        <w:b/>
        <w:sz w:val="18"/>
      </w:rPr>
      <w:tab/>
    </w:r>
    <w:r>
      <w:t>GE.19-09235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4C79E" w14:textId="77777777" w:rsidR="00AB516D" w:rsidRPr="00E80AB0" w:rsidRDefault="00AB516D" w:rsidP="00E80AB0">
    <w:pPr>
      <w:pStyle w:val="Pieddepage"/>
      <w:tabs>
        <w:tab w:val="right" w:pos="9638"/>
      </w:tabs>
      <w:rPr>
        <w:b/>
        <w:sz w:val="18"/>
      </w:rPr>
    </w:pPr>
    <w:r>
      <w:t>GE.19-09235</w:t>
    </w:r>
    <w:r>
      <w:tab/>
    </w:r>
    <w:r w:rsidRPr="00E80AB0">
      <w:rPr>
        <w:b/>
        <w:sz w:val="18"/>
      </w:rPr>
      <w:fldChar w:fldCharType="begin"/>
    </w:r>
    <w:r w:rsidRPr="00E80AB0">
      <w:rPr>
        <w:b/>
        <w:sz w:val="18"/>
      </w:rPr>
      <w:instrText xml:space="preserve"> PAGE  \* MERGEFORMAT </w:instrText>
    </w:r>
    <w:r w:rsidRPr="00E80AB0">
      <w:rPr>
        <w:b/>
        <w:sz w:val="18"/>
      </w:rPr>
      <w:fldChar w:fldCharType="separate"/>
    </w:r>
    <w:r w:rsidRPr="00E80AB0">
      <w:rPr>
        <w:b/>
        <w:noProof/>
        <w:sz w:val="18"/>
      </w:rPr>
      <w:t>3</w:t>
    </w:r>
    <w:r w:rsidRPr="00E80AB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572A4" w14:textId="77777777" w:rsidR="00AB516D" w:rsidRPr="00E80AB0" w:rsidRDefault="00AB516D" w:rsidP="00E80AB0">
    <w:pPr>
      <w:pStyle w:val="Pieddepage"/>
      <w:spacing w:before="120"/>
      <w:rPr>
        <w:sz w:val="20"/>
      </w:rPr>
    </w:pPr>
    <w:r>
      <w:rPr>
        <w:sz w:val="20"/>
      </w:rPr>
      <w:t>GE.</w:t>
    </w:r>
    <w:r>
      <w:rPr>
        <w:noProof/>
        <w:lang w:eastAsia="fr-CH"/>
      </w:rPr>
      <w:drawing>
        <wp:anchor distT="0" distB="0" distL="114300" distR="114300" simplePos="0" relativeHeight="251657216" behindDoc="0" locked="0" layoutInCell="1" allowOverlap="0" wp14:anchorId="6BD2A476" wp14:editId="0AFC2E2B">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19-09235  (F)    050620    050620</w:t>
    </w:r>
    <w:r>
      <w:rPr>
        <w:sz w:val="20"/>
      </w:rPr>
      <w:br/>
    </w:r>
    <w:r w:rsidRPr="00E80AB0">
      <w:rPr>
        <w:rFonts w:ascii="C39T30Lfz" w:hAnsi="C39T30Lfz"/>
        <w:sz w:val="56"/>
      </w:rPr>
      <w:t></w:t>
    </w:r>
    <w:r w:rsidRPr="00E80AB0">
      <w:rPr>
        <w:rFonts w:ascii="C39T30Lfz" w:hAnsi="C39T30Lfz"/>
        <w:sz w:val="56"/>
      </w:rPr>
      <w:t></w:t>
    </w:r>
    <w:r w:rsidRPr="00E80AB0">
      <w:rPr>
        <w:rFonts w:ascii="C39T30Lfz" w:hAnsi="C39T30Lfz"/>
        <w:sz w:val="56"/>
      </w:rPr>
      <w:t></w:t>
    </w:r>
    <w:r w:rsidRPr="00E80AB0">
      <w:rPr>
        <w:rFonts w:ascii="C39T30Lfz" w:hAnsi="C39T30Lfz"/>
        <w:sz w:val="56"/>
      </w:rPr>
      <w:t></w:t>
    </w:r>
    <w:r w:rsidRPr="00E80AB0">
      <w:rPr>
        <w:rFonts w:ascii="C39T30Lfz" w:hAnsi="C39T30Lfz"/>
        <w:sz w:val="56"/>
      </w:rPr>
      <w:t></w:t>
    </w:r>
    <w:r w:rsidRPr="00E80AB0">
      <w:rPr>
        <w:rFonts w:ascii="C39T30Lfz" w:hAnsi="C39T30Lfz"/>
        <w:sz w:val="56"/>
      </w:rPr>
      <w:t></w:t>
    </w:r>
    <w:r w:rsidRPr="00E80AB0">
      <w:rPr>
        <w:rFonts w:ascii="C39T30Lfz" w:hAnsi="C39T30Lfz"/>
        <w:sz w:val="56"/>
      </w:rPr>
      <w:t></w:t>
    </w:r>
    <w:r w:rsidRPr="00E80AB0">
      <w:rPr>
        <w:rFonts w:ascii="C39T30Lfz" w:hAnsi="C39T30Lfz"/>
        <w:sz w:val="56"/>
      </w:rPr>
      <w:t></w:t>
    </w:r>
    <w:r w:rsidRPr="00E80AB0">
      <w:rPr>
        <w:rFonts w:ascii="C39T30Lfz" w:hAnsi="C39T30Lfz"/>
        <w:sz w:val="56"/>
      </w:rPr>
      <w:t></w:t>
    </w:r>
    <w:r>
      <w:rPr>
        <w:noProof/>
        <w:sz w:val="20"/>
      </w:rPr>
      <w:drawing>
        <wp:anchor distT="0" distB="0" distL="114300" distR="114300" simplePos="0" relativeHeight="251662336" behindDoc="0" locked="0" layoutInCell="1" allowOverlap="1" wp14:anchorId="0783DF4C" wp14:editId="691A1882">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A0BEF" w14:textId="77777777" w:rsidR="00AB516D" w:rsidRPr="00E80AB0" w:rsidRDefault="00AB516D" w:rsidP="00E80AB0">
    <w:pPr>
      <w:pStyle w:val="Pieddepage"/>
      <w:tabs>
        <w:tab w:val="right" w:pos="9638"/>
      </w:tabs>
      <w:rPr>
        <w:b/>
        <w:sz w:val="18"/>
      </w:rPr>
    </w:pPr>
    <w:r>
      <w:t>GE.19-09235</w:t>
    </w:r>
    <w:r>
      <w:tab/>
    </w:r>
    <w:r w:rsidRPr="00E80AB0">
      <w:rPr>
        <w:b/>
        <w:sz w:val="18"/>
      </w:rPr>
      <w:fldChar w:fldCharType="begin"/>
    </w:r>
    <w:r w:rsidRPr="00E80AB0">
      <w:rPr>
        <w:b/>
        <w:sz w:val="18"/>
      </w:rPr>
      <w:instrText xml:space="preserve"> PAGE  \* MERGEFORMAT </w:instrText>
    </w:r>
    <w:r w:rsidRPr="00E80AB0">
      <w:rPr>
        <w:b/>
        <w:sz w:val="18"/>
      </w:rPr>
      <w:fldChar w:fldCharType="separate"/>
    </w:r>
    <w:r w:rsidRPr="00E80AB0">
      <w:rPr>
        <w:b/>
        <w:noProof/>
        <w:sz w:val="18"/>
      </w:rPr>
      <w:t>3</w:t>
    </w:r>
    <w:r w:rsidRPr="00E80AB0">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DACF3" w14:textId="77777777" w:rsidR="00AB516D" w:rsidRPr="00E42A05" w:rsidRDefault="00AB516D" w:rsidP="00E42A05">
    <w:pPr>
      <w:pStyle w:val="Pieddepage"/>
      <w:tabs>
        <w:tab w:val="right" w:pos="9638"/>
      </w:tabs>
    </w:pPr>
    <w:r w:rsidRPr="00E80AB0">
      <w:rPr>
        <w:b/>
        <w:sz w:val="18"/>
      </w:rPr>
      <w:fldChar w:fldCharType="begin"/>
    </w:r>
    <w:r w:rsidRPr="00E80AB0">
      <w:rPr>
        <w:b/>
        <w:sz w:val="18"/>
      </w:rPr>
      <w:instrText xml:space="preserve"> PAGE  \* MERGEFORMAT </w:instrText>
    </w:r>
    <w:r w:rsidRPr="00E80AB0">
      <w:rPr>
        <w:b/>
        <w:sz w:val="18"/>
      </w:rPr>
      <w:fldChar w:fldCharType="separate"/>
    </w:r>
    <w:r>
      <w:rPr>
        <w:b/>
        <w:sz w:val="18"/>
      </w:rPr>
      <w:t>14</w:t>
    </w:r>
    <w:r w:rsidRPr="00E80AB0">
      <w:rPr>
        <w:b/>
        <w:sz w:val="18"/>
      </w:rPr>
      <w:fldChar w:fldCharType="end"/>
    </w:r>
    <w:r>
      <w:rPr>
        <w:b/>
        <w:sz w:val="18"/>
      </w:rPr>
      <w:tab/>
    </w:r>
    <w:r>
      <w:t>GE.19-09235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C6737" w14:textId="77777777" w:rsidR="00AB516D" w:rsidRPr="00AC3823" w:rsidRDefault="00AB516D" w:rsidP="00AC3823">
      <w:pPr>
        <w:pStyle w:val="Pieddepage"/>
        <w:tabs>
          <w:tab w:val="right" w:pos="2155"/>
        </w:tabs>
        <w:spacing w:after="80" w:line="240" w:lineRule="atLeast"/>
        <w:ind w:left="680"/>
        <w:rPr>
          <w:u w:val="single"/>
        </w:rPr>
      </w:pPr>
      <w:r>
        <w:rPr>
          <w:u w:val="single"/>
        </w:rPr>
        <w:tab/>
      </w:r>
    </w:p>
  </w:footnote>
  <w:footnote w:type="continuationSeparator" w:id="0">
    <w:p w14:paraId="1BC67040" w14:textId="77777777" w:rsidR="00AB516D" w:rsidRPr="00AC3823" w:rsidRDefault="00AB516D" w:rsidP="00AC3823">
      <w:pPr>
        <w:pStyle w:val="Pieddepage"/>
        <w:tabs>
          <w:tab w:val="right" w:pos="2155"/>
        </w:tabs>
        <w:spacing w:after="80" w:line="240" w:lineRule="atLeast"/>
        <w:ind w:left="680"/>
        <w:rPr>
          <w:u w:val="single"/>
        </w:rPr>
      </w:pPr>
      <w:r>
        <w:rPr>
          <w:u w:val="single"/>
        </w:rPr>
        <w:tab/>
      </w:r>
    </w:p>
  </w:footnote>
  <w:footnote w:type="continuationNotice" w:id="1">
    <w:p w14:paraId="21D81671" w14:textId="77777777" w:rsidR="00AB516D" w:rsidRPr="00AC3823" w:rsidRDefault="00AB516D">
      <w:pPr>
        <w:spacing w:line="240" w:lineRule="auto"/>
        <w:rPr>
          <w:sz w:val="2"/>
          <w:szCs w:val="2"/>
        </w:rPr>
      </w:pPr>
    </w:p>
  </w:footnote>
  <w:footnote w:id="2">
    <w:p w14:paraId="2F8CB6FD" w14:textId="77777777" w:rsidR="00AB516D" w:rsidRPr="002114F5" w:rsidRDefault="00AB516D" w:rsidP="00E42A05">
      <w:pPr>
        <w:pStyle w:val="Notedebasdepage"/>
        <w:rPr>
          <w:szCs w:val="18"/>
          <w:lang w:val="fr-FR"/>
        </w:rPr>
      </w:pPr>
      <w:r w:rsidRPr="00380A94">
        <w:rPr>
          <w:rStyle w:val="Appelnotedebasdep"/>
          <w:szCs w:val="18"/>
          <w:lang w:val="fr-FR"/>
        </w:rPr>
        <w:tab/>
      </w:r>
      <w:r w:rsidRPr="002114F5">
        <w:rPr>
          <w:rStyle w:val="Appelnotedebasdep"/>
          <w:sz w:val="20"/>
          <w:vertAlign w:val="baseline"/>
          <w:lang w:val="fr-FR"/>
        </w:rPr>
        <w:t>*</w:t>
      </w:r>
      <w:r w:rsidRPr="002114F5">
        <w:rPr>
          <w:rStyle w:val="Appelnotedebasdep"/>
          <w:sz w:val="20"/>
          <w:vertAlign w:val="baseline"/>
          <w:lang w:val="fr-FR"/>
        </w:rPr>
        <w:tab/>
      </w:r>
      <w:r w:rsidRPr="002114F5">
        <w:rPr>
          <w:lang w:val="fr-FR"/>
        </w:rPr>
        <w:t>Adoptées par le Comité à sa 125</w:t>
      </w:r>
      <w:r w:rsidRPr="002114F5">
        <w:rPr>
          <w:vertAlign w:val="superscript"/>
          <w:lang w:val="fr-FR"/>
        </w:rPr>
        <w:t>e</w:t>
      </w:r>
      <w:r w:rsidRPr="002114F5">
        <w:rPr>
          <w:lang w:val="fr-FR"/>
        </w:rPr>
        <w:t> session (4-29 mars 2019)</w:t>
      </w:r>
      <w:r w:rsidR="002A026E" w:rsidRPr="002114F5">
        <w:rPr>
          <w:lang w:val="fr-FR"/>
        </w:rPr>
        <w:t>.</w:t>
      </w:r>
    </w:p>
  </w:footnote>
  <w:footnote w:id="3">
    <w:p w14:paraId="4454C5BA" w14:textId="77777777" w:rsidR="00AB516D" w:rsidRPr="002114F5" w:rsidRDefault="00AB516D" w:rsidP="00E42A05">
      <w:pPr>
        <w:pStyle w:val="Notedebasdepage"/>
        <w:rPr>
          <w:szCs w:val="18"/>
          <w:lang w:val="fr-FR"/>
        </w:rPr>
      </w:pPr>
      <w:r w:rsidRPr="002114F5">
        <w:rPr>
          <w:rStyle w:val="Appelnotedebasdep"/>
          <w:szCs w:val="18"/>
          <w:lang w:val="fr-FR"/>
        </w:rPr>
        <w:tab/>
      </w:r>
      <w:r w:rsidRPr="002114F5">
        <w:rPr>
          <w:rStyle w:val="Appelnotedebasdep"/>
          <w:sz w:val="20"/>
          <w:vertAlign w:val="baseline"/>
          <w:lang w:val="fr-FR"/>
        </w:rPr>
        <w:t>**</w:t>
      </w:r>
      <w:r w:rsidRPr="002114F5">
        <w:rPr>
          <w:rStyle w:val="Appelnotedebasdep"/>
          <w:sz w:val="20"/>
          <w:vertAlign w:val="baseline"/>
          <w:lang w:val="fr-FR"/>
        </w:rPr>
        <w:tab/>
      </w:r>
      <w:r w:rsidRPr="002114F5">
        <w:rPr>
          <w:lang w:val="fr-FR"/>
        </w:rPr>
        <w:t xml:space="preserve">Les membres du Comité dont le nom suit ont participé à l’examen de la communication : </w:t>
      </w:r>
      <w:r w:rsidRPr="002114F5">
        <w:rPr>
          <w:szCs w:val="18"/>
          <w:lang w:val="fr-FR"/>
        </w:rPr>
        <w:t xml:space="preserve">Tania María Abdo </w:t>
      </w:r>
      <w:proofErr w:type="spellStart"/>
      <w:r w:rsidRPr="002114F5">
        <w:rPr>
          <w:szCs w:val="18"/>
          <w:lang w:val="fr-FR"/>
        </w:rPr>
        <w:t>Rocholl</w:t>
      </w:r>
      <w:proofErr w:type="spellEnd"/>
      <w:r w:rsidRPr="002114F5">
        <w:rPr>
          <w:szCs w:val="18"/>
          <w:lang w:val="fr-FR"/>
        </w:rPr>
        <w:t xml:space="preserve">, </w:t>
      </w:r>
      <w:proofErr w:type="spellStart"/>
      <w:r w:rsidRPr="002114F5">
        <w:rPr>
          <w:szCs w:val="18"/>
          <w:lang w:val="fr-FR"/>
        </w:rPr>
        <w:t>Yadh</w:t>
      </w:r>
      <w:proofErr w:type="spellEnd"/>
      <w:r w:rsidRPr="002114F5">
        <w:rPr>
          <w:szCs w:val="18"/>
          <w:lang w:val="fr-FR"/>
        </w:rPr>
        <w:t xml:space="preserve"> Ben Achour, </w:t>
      </w:r>
      <w:proofErr w:type="spellStart"/>
      <w:r w:rsidRPr="002114F5">
        <w:rPr>
          <w:szCs w:val="18"/>
          <w:lang w:val="fr-FR"/>
        </w:rPr>
        <w:t>Ilze</w:t>
      </w:r>
      <w:proofErr w:type="spellEnd"/>
      <w:r w:rsidRPr="002114F5">
        <w:rPr>
          <w:szCs w:val="18"/>
          <w:lang w:val="fr-FR"/>
        </w:rPr>
        <w:t xml:space="preserve"> Brands </w:t>
      </w:r>
      <w:proofErr w:type="spellStart"/>
      <w:r w:rsidRPr="002114F5">
        <w:rPr>
          <w:szCs w:val="18"/>
          <w:lang w:val="fr-FR"/>
        </w:rPr>
        <w:t>Kehris</w:t>
      </w:r>
      <w:proofErr w:type="spellEnd"/>
      <w:r w:rsidRPr="002114F5">
        <w:rPr>
          <w:szCs w:val="18"/>
          <w:lang w:val="fr-FR"/>
        </w:rPr>
        <w:t xml:space="preserve">, Christopher Arif </w:t>
      </w:r>
      <w:proofErr w:type="spellStart"/>
      <w:r w:rsidRPr="002114F5">
        <w:rPr>
          <w:szCs w:val="18"/>
          <w:lang w:val="fr-FR"/>
        </w:rPr>
        <w:t>Bulkan</w:t>
      </w:r>
      <w:proofErr w:type="spellEnd"/>
      <w:r w:rsidRPr="002114F5">
        <w:rPr>
          <w:szCs w:val="18"/>
          <w:lang w:val="fr-FR"/>
        </w:rPr>
        <w:t xml:space="preserve">, Ahmed Amin </w:t>
      </w:r>
      <w:proofErr w:type="spellStart"/>
      <w:r w:rsidRPr="002114F5">
        <w:rPr>
          <w:szCs w:val="18"/>
          <w:lang w:val="fr-FR"/>
        </w:rPr>
        <w:t>Fathalla</w:t>
      </w:r>
      <w:proofErr w:type="spellEnd"/>
      <w:r w:rsidRPr="002114F5">
        <w:rPr>
          <w:szCs w:val="18"/>
          <w:lang w:val="fr-FR"/>
        </w:rPr>
        <w:t xml:space="preserve">, </w:t>
      </w:r>
      <w:proofErr w:type="spellStart"/>
      <w:r w:rsidRPr="002114F5">
        <w:rPr>
          <w:szCs w:val="18"/>
          <w:lang w:val="fr-FR"/>
        </w:rPr>
        <w:t>Shuichi</w:t>
      </w:r>
      <w:proofErr w:type="spellEnd"/>
      <w:r w:rsidRPr="002114F5">
        <w:rPr>
          <w:szCs w:val="18"/>
          <w:lang w:val="fr-FR"/>
        </w:rPr>
        <w:t xml:space="preserve"> </w:t>
      </w:r>
      <w:proofErr w:type="spellStart"/>
      <w:r w:rsidRPr="002114F5">
        <w:rPr>
          <w:szCs w:val="18"/>
          <w:lang w:val="fr-FR"/>
        </w:rPr>
        <w:t>Furuya</w:t>
      </w:r>
      <w:proofErr w:type="spellEnd"/>
      <w:r w:rsidRPr="002114F5">
        <w:rPr>
          <w:szCs w:val="18"/>
          <w:lang w:val="fr-FR"/>
        </w:rPr>
        <w:t xml:space="preserve">, </w:t>
      </w:r>
      <w:proofErr w:type="spellStart"/>
      <w:r w:rsidRPr="002114F5">
        <w:rPr>
          <w:szCs w:val="18"/>
          <w:lang w:val="fr-FR"/>
        </w:rPr>
        <w:t>Christof</w:t>
      </w:r>
      <w:proofErr w:type="spellEnd"/>
      <w:r w:rsidRPr="002114F5">
        <w:rPr>
          <w:szCs w:val="18"/>
          <w:lang w:val="fr-FR"/>
        </w:rPr>
        <w:t xml:space="preserve"> </w:t>
      </w:r>
      <w:proofErr w:type="spellStart"/>
      <w:r w:rsidRPr="002114F5">
        <w:rPr>
          <w:szCs w:val="18"/>
          <w:lang w:val="fr-FR"/>
        </w:rPr>
        <w:t>Heyns</w:t>
      </w:r>
      <w:proofErr w:type="spellEnd"/>
      <w:r w:rsidRPr="002114F5">
        <w:rPr>
          <w:szCs w:val="18"/>
          <w:lang w:val="fr-FR"/>
        </w:rPr>
        <w:t>, Marcia V</w:t>
      </w:r>
      <w:r w:rsidR="002A026E" w:rsidRPr="002114F5">
        <w:rPr>
          <w:szCs w:val="18"/>
          <w:lang w:val="fr-FR"/>
        </w:rPr>
        <w:t>.</w:t>
      </w:r>
      <w:r w:rsidR="002D74A5" w:rsidRPr="002114F5">
        <w:rPr>
          <w:szCs w:val="18"/>
          <w:lang w:val="fr-FR"/>
        </w:rPr>
        <w:t> </w:t>
      </w:r>
      <w:r w:rsidRPr="002114F5">
        <w:rPr>
          <w:szCs w:val="18"/>
          <w:lang w:val="fr-FR"/>
        </w:rPr>
        <w:t>J</w:t>
      </w:r>
      <w:r w:rsidR="002A026E" w:rsidRPr="002114F5">
        <w:rPr>
          <w:szCs w:val="18"/>
          <w:lang w:val="fr-FR"/>
        </w:rPr>
        <w:t>.</w:t>
      </w:r>
      <w:r w:rsidRPr="002114F5">
        <w:rPr>
          <w:szCs w:val="18"/>
          <w:lang w:val="fr-FR"/>
        </w:rPr>
        <w:t xml:space="preserve"> K</w:t>
      </w:r>
      <w:proofErr w:type="spellStart"/>
      <w:r w:rsidRPr="002114F5">
        <w:rPr>
          <w:szCs w:val="18"/>
          <w:lang w:val="fr-FR"/>
        </w:rPr>
        <w:t>ran</w:t>
      </w:r>
      <w:proofErr w:type="spellEnd"/>
      <w:r w:rsidRPr="002114F5">
        <w:rPr>
          <w:szCs w:val="18"/>
          <w:lang w:val="fr-FR"/>
        </w:rPr>
        <w:t xml:space="preserve">, Duncan Laki </w:t>
      </w:r>
      <w:proofErr w:type="spellStart"/>
      <w:r w:rsidRPr="002114F5">
        <w:rPr>
          <w:szCs w:val="18"/>
          <w:lang w:val="fr-FR"/>
        </w:rPr>
        <w:t>Muhumuza</w:t>
      </w:r>
      <w:proofErr w:type="spellEnd"/>
      <w:r w:rsidRPr="002114F5">
        <w:rPr>
          <w:szCs w:val="18"/>
          <w:lang w:val="fr-FR"/>
        </w:rPr>
        <w:t xml:space="preserve">, </w:t>
      </w:r>
      <w:proofErr w:type="spellStart"/>
      <w:r w:rsidRPr="002114F5">
        <w:rPr>
          <w:szCs w:val="18"/>
          <w:lang w:val="fr-FR"/>
        </w:rPr>
        <w:t>Photini</w:t>
      </w:r>
      <w:proofErr w:type="spellEnd"/>
      <w:r w:rsidRPr="002114F5">
        <w:rPr>
          <w:szCs w:val="18"/>
          <w:lang w:val="fr-FR"/>
        </w:rPr>
        <w:t xml:space="preserve"> </w:t>
      </w:r>
      <w:proofErr w:type="spellStart"/>
      <w:r w:rsidRPr="002114F5">
        <w:rPr>
          <w:szCs w:val="18"/>
          <w:lang w:val="fr-FR"/>
        </w:rPr>
        <w:t>Pazartzis</w:t>
      </w:r>
      <w:proofErr w:type="spellEnd"/>
      <w:r w:rsidRPr="002114F5">
        <w:rPr>
          <w:szCs w:val="18"/>
          <w:lang w:val="fr-FR"/>
        </w:rPr>
        <w:t xml:space="preserve">, Hernán </w:t>
      </w:r>
      <w:proofErr w:type="spellStart"/>
      <w:r w:rsidRPr="002114F5">
        <w:rPr>
          <w:szCs w:val="18"/>
          <w:lang w:val="fr-FR"/>
        </w:rPr>
        <w:t>Quezada</w:t>
      </w:r>
      <w:proofErr w:type="spellEnd"/>
      <w:r w:rsidRPr="002114F5">
        <w:rPr>
          <w:szCs w:val="18"/>
          <w:lang w:val="fr-FR"/>
        </w:rPr>
        <w:t xml:space="preserve"> Cabrera, José Manuel Santos Pais, Yuval </w:t>
      </w:r>
      <w:proofErr w:type="spellStart"/>
      <w:r w:rsidRPr="002114F5">
        <w:rPr>
          <w:szCs w:val="18"/>
          <w:lang w:val="fr-FR"/>
        </w:rPr>
        <w:t>Shany</w:t>
      </w:r>
      <w:proofErr w:type="spellEnd"/>
      <w:r w:rsidRPr="002114F5">
        <w:rPr>
          <w:szCs w:val="18"/>
          <w:lang w:val="fr-FR"/>
        </w:rPr>
        <w:t xml:space="preserve">, Hélène </w:t>
      </w:r>
      <w:proofErr w:type="spellStart"/>
      <w:r w:rsidRPr="002114F5">
        <w:rPr>
          <w:szCs w:val="18"/>
          <w:lang w:val="fr-FR"/>
        </w:rPr>
        <w:t>Tigroudja</w:t>
      </w:r>
      <w:proofErr w:type="spellEnd"/>
      <w:r w:rsidRPr="002114F5">
        <w:rPr>
          <w:szCs w:val="18"/>
          <w:lang w:val="fr-FR"/>
        </w:rPr>
        <w:t xml:space="preserve">, Andreas Zimmermann et </w:t>
      </w:r>
      <w:proofErr w:type="spellStart"/>
      <w:r w:rsidRPr="002114F5">
        <w:rPr>
          <w:szCs w:val="18"/>
          <w:lang w:val="fr-FR"/>
        </w:rPr>
        <w:t>Gentian</w:t>
      </w:r>
      <w:proofErr w:type="spellEnd"/>
      <w:r w:rsidRPr="002114F5">
        <w:rPr>
          <w:szCs w:val="18"/>
          <w:lang w:val="fr-FR"/>
        </w:rPr>
        <w:t xml:space="preserve"> </w:t>
      </w:r>
      <w:proofErr w:type="spellStart"/>
      <w:r w:rsidRPr="002114F5">
        <w:rPr>
          <w:szCs w:val="18"/>
          <w:lang w:val="fr-FR"/>
        </w:rPr>
        <w:t>Zyberi</w:t>
      </w:r>
      <w:proofErr w:type="spellEnd"/>
      <w:r w:rsidR="002A026E" w:rsidRPr="002114F5">
        <w:rPr>
          <w:szCs w:val="18"/>
          <w:lang w:val="fr-FR"/>
        </w:rPr>
        <w:t>.</w:t>
      </w:r>
    </w:p>
  </w:footnote>
  <w:footnote w:id="4">
    <w:p w14:paraId="033244CB" w14:textId="77777777" w:rsidR="00AB516D" w:rsidRPr="002114F5" w:rsidRDefault="00AB516D" w:rsidP="00E42A05">
      <w:pPr>
        <w:pStyle w:val="Notedebasdepage"/>
        <w:rPr>
          <w:szCs w:val="18"/>
          <w:lang w:val="fr-FR"/>
        </w:rPr>
      </w:pPr>
      <w:r w:rsidRPr="002114F5">
        <w:rPr>
          <w:rStyle w:val="Appelnotedebasdep"/>
          <w:szCs w:val="18"/>
          <w:lang w:val="fr-FR"/>
        </w:rPr>
        <w:tab/>
      </w:r>
      <w:r w:rsidRPr="002114F5">
        <w:rPr>
          <w:rStyle w:val="Appelnotedebasdep"/>
          <w:sz w:val="20"/>
          <w:vertAlign w:val="baseline"/>
          <w:lang w:val="fr-FR"/>
        </w:rPr>
        <w:t>***</w:t>
      </w:r>
      <w:r w:rsidRPr="002114F5">
        <w:rPr>
          <w:rStyle w:val="Appelnotedebasdep"/>
          <w:sz w:val="20"/>
          <w:vertAlign w:val="baseline"/>
          <w:lang w:val="fr-FR"/>
        </w:rPr>
        <w:tab/>
      </w:r>
      <w:r w:rsidRPr="002114F5">
        <w:t xml:space="preserve">Le texte d’une opinion individuelle (dissidente) signée de </w:t>
      </w:r>
      <w:r w:rsidRPr="002114F5">
        <w:rPr>
          <w:szCs w:val="18"/>
          <w:lang w:val="fr-FR"/>
        </w:rPr>
        <w:t>José Manuel Santos Pais</w:t>
      </w:r>
      <w:r w:rsidRPr="002114F5">
        <w:t xml:space="preserve"> est joint aux présentes constatations</w:t>
      </w:r>
      <w:r w:rsidR="002A026E" w:rsidRPr="002114F5">
        <w:rPr>
          <w:szCs w:val="18"/>
          <w:lang w:val="fr-FR"/>
        </w:rPr>
        <w:t>.</w:t>
      </w:r>
    </w:p>
  </w:footnote>
  <w:footnote w:id="5">
    <w:p w14:paraId="3A85D984" w14:textId="77777777" w:rsidR="00AB516D" w:rsidRPr="002114F5" w:rsidRDefault="00AB516D" w:rsidP="00E42A05">
      <w:pPr>
        <w:pStyle w:val="Notedebasdepage"/>
      </w:pPr>
      <w:r w:rsidRPr="002114F5">
        <w:tab/>
      </w:r>
      <w:r w:rsidRPr="002114F5">
        <w:rPr>
          <w:rStyle w:val="Appelnotedebasdep"/>
        </w:rPr>
        <w:footnoteRef/>
      </w:r>
      <w:r w:rsidRPr="002114F5">
        <w:tab/>
        <w:t>Les auteurs n’indiquent pas où ils ont vécu entre le 17 mars et le 4 novembre 2005</w:t>
      </w:r>
      <w:r w:rsidR="002A026E" w:rsidRPr="002114F5">
        <w:t>.</w:t>
      </w:r>
    </w:p>
  </w:footnote>
  <w:footnote w:id="6">
    <w:p w14:paraId="3BF67885" w14:textId="77777777" w:rsidR="00AB516D" w:rsidRPr="002114F5" w:rsidRDefault="00AB516D" w:rsidP="00E42A05">
      <w:pPr>
        <w:pStyle w:val="Notedebasdepage"/>
      </w:pPr>
      <w:r w:rsidRPr="002114F5">
        <w:tab/>
      </w:r>
      <w:r w:rsidRPr="002114F5">
        <w:rPr>
          <w:rStyle w:val="Appelnotedebasdep"/>
        </w:rPr>
        <w:footnoteRef/>
      </w:r>
      <w:r w:rsidRPr="002114F5">
        <w:tab/>
        <w:t>Les auteurs produisent une copie d’une lettre du coordonnateur de Voice in the City, datée du 7 décembre 2007, qui le confirme</w:t>
      </w:r>
      <w:r w:rsidR="002A026E" w:rsidRPr="002114F5">
        <w:t>.</w:t>
      </w:r>
      <w:r w:rsidRPr="002114F5">
        <w:t xml:space="preserve"> Il est de plus indiqué dans cette lettre que les auteurs n’avaient aucun revenu</w:t>
      </w:r>
      <w:r w:rsidR="002A026E" w:rsidRPr="002114F5">
        <w:t>.</w:t>
      </w:r>
      <w:r w:rsidRPr="002114F5">
        <w:t xml:space="preserve"> </w:t>
      </w:r>
    </w:p>
  </w:footnote>
  <w:footnote w:id="7">
    <w:p w14:paraId="797A4F71" w14:textId="77777777" w:rsidR="00AB516D" w:rsidRPr="002114F5" w:rsidRDefault="00AB516D" w:rsidP="00E42A05">
      <w:pPr>
        <w:pStyle w:val="Notedebasdepage"/>
      </w:pPr>
      <w:r w:rsidRPr="002114F5">
        <w:tab/>
      </w:r>
      <w:r w:rsidRPr="002114F5">
        <w:rPr>
          <w:rStyle w:val="Appelnotedebasdep"/>
        </w:rPr>
        <w:footnoteRef/>
      </w:r>
      <w:r w:rsidRPr="002114F5">
        <w:tab/>
        <w:t xml:space="preserve">Les auteurs produisent une copie d’un contrat de location daté du 14 décembre 2007, conclu entre Living </w:t>
      </w:r>
      <w:proofErr w:type="spellStart"/>
      <w:r w:rsidRPr="002114F5">
        <w:t>Cooperation</w:t>
      </w:r>
      <w:proofErr w:type="spellEnd"/>
      <w:r w:rsidRPr="002114F5">
        <w:t xml:space="preserve"> (le document ne permet pas de savoir s’il s’agit d’un organisme public ou privé) et Voice in the City</w:t>
      </w:r>
      <w:r w:rsidR="002A026E" w:rsidRPr="002114F5">
        <w:t>.</w:t>
      </w:r>
      <w:r w:rsidRPr="002114F5">
        <w:t xml:space="preserve"> Ils produisent également des copies des factures d’eau et d’électricité pour les mois de mars 2006 et juin et décembre 2007 adressées à Voice in the City</w:t>
      </w:r>
      <w:r w:rsidR="002A026E" w:rsidRPr="002114F5">
        <w:t>.</w:t>
      </w:r>
      <w:r w:rsidRPr="002114F5">
        <w:t xml:space="preserve"> </w:t>
      </w:r>
    </w:p>
  </w:footnote>
  <w:footnote w:id="8">
    <w:p w14:paraId="6446AD0A" w14:textId="77777777" w:rsidR="00AB516D" w:rsidRPr="002114F5" w:rsidRDefault="00AB516D" w:rsidP="00E42A05">
      <w:pPr>
        <w:pStyle w:val="Notedebasdepage"/>
      </w:pPr>
      <w:r w:rsidRPr="002114F5">
        <w:tab/>
      </w:r>
      <w:r w:rsidRPr="002114F5">
        <w:rPr>
          <w:rStyle w:val="Appelnotedebasdep"/>
        </w:rPr>
        <w:footnoteRef/>
      </w:r>
      <w:r w:rsidRPr="002114F5">
        <w:tab/>
        <w:t>Le Règlement relatif aux prestations allouées à certaines catégories d’étrangers est un arrêté ministériel fondé sur la loi relative à l’Office central chargé de l’accueil des demandeurs d’asile</w:t>
      </w:r>
      <w:r w:rsidR="002A026E" w:rsidRPr="002114F5">
        <w:t>.</w:t>
      </w:r>
      <w:r w:rsidRPr="002114F5">
        <w:t xml:space="preserve"> Il prévoit de faire bénéficier certaines catégories d’étrangers d’un revenu minimum de subsistance</w:t>
      </w:r>
      <w:r w:rsidR="002A026E" w:rsidRPr="002114F5">
        <w:t>.</w:t>
      </w:r>
    </w:p>
  </w:footnote>
  <w:footnote w:id="9">
    <w:p w14:paraId="066956BE" w14:textId="77777777" w:rsidR="00AB516D" w:rsidRPr="002114F5" w:rsidRDefault="00AB516D" w:rsidP="00E42A05">
      <w:pPr>
        <w:pStyle w:val="Notedebasdepage"/>
      </w:pPr>
      <w:r w:rsidRPr="002114F5">
        <w:tab/>
      </w:r>
      <w:r w:rsidRPr="002114F5">
        <w:rPr>
          <w:rStyle w:val="Appelnotedebasdep"/>
        </w:rPr>
        <w:footnoteRef/>
      </w:r>
      <w:r w:rsidRPr="002114F5">
        <w:tab/>
        <w:t>Les auteurs donnent la liste des organisations caritatives qui soutiennent leur famille sans toutefois préciser la nature ni la durée de l’aide qu’elles lui apportent</w:t>
      </w:r>
      <w:r w:rsidR="002A026E" w:rsidRPr="002114F5">
        <w:t>.</w:t>
      </w:r>
      <w:r w:rsidRPr="002114F5">
        <w:t xml:space="preserve"> </w:t>
      </w:r>
    </w:p>
  </w:footnote>
  <w:footnote w:id="10">
    <w:p w14:paraId="12315F0A" w14:textId="77777777" w:rsidR="00AB516D" w:rsidRPr="002114F5" w:rsidRDefault="00AB516D" w:rsidP="00E42A05">
      <w:pPr>
        <w:pStyle w:val="Notedebasdepage"/>
      </w:pPr>
      <w:r w:rsidRPr="002114F5">
        <w:tab/>
      </w:r>
      <w:r w:rsidRPr="002114F5">
        <w:rPr>
          <w:rStyle w:val="Appelnotedebasdep"/>
        </w:rPr>
        <w:footnoteRef/>
      </w:r>
      <w:r w:rsidRPr="002114F5">
        <w:tab/>
        <w:t>Cette demande, soumise au nom des deux enfants, portait sur la période allant du deuxième trimestre de 2008 au premier trimestre de 2009</w:t>
      </w:r>
      <w:r w:rsidR="002A026E" w:rsidRPr="002114F5">
        <w:t>.</w:t>
      </w:r>
    </w:p>
  </w:footnote>
  <w:footnote w:id="11">
    <w:p w14:paraId="0B17B5F6" w14:textId="77777777" w:rsidR="00AB516D" w:rsidRPr="002114F5" w:rsidRDefault="00AB516D" w:rsidP="00E42A05">
      <w:pPr>
        <w:pStyle w:val="Notedebasdepage"/>
      </w:pPr>
      <w:r w:rsidRPr="002114F5">
        <w:tab/>
      </w:r>
      <w:r w:rsidRPr="002114F5">
        <w:rPr>
          <w:rStyle w:val="Appelnotedebasdep"/>
        </w:rPr>
        <w:footnoteRef/>
      </w:r>
      <w:r w:rsidRPr="002114F5">
        <w:tab/>
        <w:t>Cette demande, soumise au nom des deux enfants, portait sur la période allant du premier trimestre de 2009 au premier trimestre de 2010</w:t>
      </w:r>
      <w:r w:rsidR="002A026E" w:rsidRPr="002114F5">
        <w:t>.</w:t>
      </w:r>
      <w:r w:rsidRPr="002114F5">
        <w:t xml:space="preserve"> Les auteurs ayant obtenu le 7 janvier 2010 un permis de séjour avec effet rétroactif au 22 janvier 2009, la Caisse de sécurité sociale leur a accordé, à une date inconnue, une allocation de base pour enfant à charge avec effet rétroactif à compter du deuxième trimestre de 2009</w:t>
      </w:r>
      <w:r w:rsidR="002A026E" w:rsidRPr="002114F5">
        <w:t>.</w:t>
      </w:r>
    </w:p>
  </w:footnote>
  <w:footnote w:id="12">
    <w:p w14:paraId="27AC621B" w14:textId="77777777" w:rsidR="00AB516D" w:rsidRPr="002114F5" w:rsidRDefault="00AB516D" w:rsidP="00E42A05">
      <w:pPr>
        <w:pStyle w:val="Notedebasdepage"/>
      </w:pPr>
      <w:r w:rsidRPr="002114F5">
        <w:tab/>
      </w:r>
      <w:r w:rsidRPr="002114F5">
        <w:rPr>
          <w:rStyle w:val="Appelnotedebasdep"/>
        </w:rPr>
        <w:footnoteRef/>
      </w:r>
      <w:r w:rsidRPr="002114F5">
        <w:tab/>
        <w:t>Cette loi vise à empêcher les étrangers en situation irrégulière de bénéficier d’aides de l’État</w:t>
      </w:r>
      <w:r w:rsidR="002A026E" w:rsidRPr="002114F5">
        <w:t>.</w:t>
      </w:r>
    </w:p>
  </w:footnote>
  <w:footnote w:id="13">
    <w:p w14:paraId="1B3C6114" w14:textId="77777777" w:rsidR="00AB516D" w:rsidRPr="002114F5" w:rsidRDefault="00AB516D" w:rsidP="00E42A05">
      <w:pPr>
        <w:pStyle w:val="Notedebasdepage"/>
      </w:pPr>
      <w:r w:rsidRPr="002114F5">
        <w:tab/>
      </w:r>
      <w:r w:rsidRPr="002114F5">
        <w:rPr>
          <w:rStyle w:val="Appelnotedebasdep"/>
        </w:rPr>
        <w:footnoteRef/>
      </w:r>
      <w:r w:rsidRPr="002114F5">
        <w:tab/>
        <w:t>Les paragraphes a) à e) de l’article 8 de la loi sur les étrangers visent les résidents titulaires d’un permis de séjour permanent ou temporaire ou les personnes qui sont des résidents en vertu d’un accord conclu en application du Traité instituant la Communauté économique européenne ou de l’Accord sur l’Espace économique européen</w:t>
      </w:r>
      <w:r w:rsidR="002A026E" w:rsidRPr="002114F5">
        <w:t>.</w:t>
      </w:r>
    </w:p>
  </w:footnote>
  <w:footnote w:id="14">
    <w:p w14:paraId="766509BD" w14:textId="77777777" w:rsidR="00AB516D" w:rsidRPr="002114F5" w:rsidRDefault="00AB516D" w:rsidP="00E42A05">
      <w:pPr>
        <w:pStyle w:val="Notedebasdepage"/>
      </w:pPr>
      <w:r w:rsidRPr="002114F5">
        <w:tab/>
      </w:r>
      <w:r w:rsidRPr="002114F5">
        <w:rPr>
          <w:rStyle w:val="Appelnotedebasdep"/>
        </w:rPr>
        <w:footnoteRef/>
      </w:r>
      <w:r w:rsidRPr="002114F5">
        <w:tab/>
        <w:t>La Caisse de sécurité sociale a indiqué que seule une personne ayant le statut d’assuré le premier jour d’un trimestre calendaire a droit à l’allocation de base pour enfant à charge pendant la durée du trimestre en question</w:t>
      </w:r>
      <w:r w:rsidR="002A026E" w:rsidRPr="002114F5">
        <w:t>.</w:t>
      </w:r>
    </w:p>
  </w:footnote>
  <w:footnote w:id="15">
    <w:p w14:paraId="1D3390D2" w14:textId="77777777" w:rsidR="00AB516D" w:rsidRPr="002114F5" w:rsidRDefault="00AB516D" w:rsidP="00E42A05">
      <w:pPr>
        <w:pStyle w:val="Notedebasdepage"/>
      </w:pPr>
      <w:r w:rsidRPr="002114F5">
        <w:tab/>
      </w:r>
      <w:r w:rsidRPr="002114F5">
        <w:rPr>
          <w:rStyle w:val="Appelnotedebasdep"/>
        </w:rPr>
        <w:footnoteRef/>
      </w:r>
      <w:r w:rsidRPr="002114F5">
        <w:tab/>
        <w:t xml:space="preserve">Dans leur acte d’appel, les auteurs renvoient à Cour européenne des droits de l’homme, </w:t>
      </w:r>
      <w:proofErr w:type="spellStart"/>
      <w:r w:rsidRPr="002114F5">
        <w:rPr>
          <w:i/>
          <w:iCs/>
        </w:rPr>
        <w:t>Niedzwiecki</w:t>
      </w:r>
      <w:proofErr w:type="spellEnd"/>
      <w:r w:rsidRPr="002114F5">
        <w:rPr>
          <w:i/>
          <w:iCs/>
        </w:rPr>
        <w:t xml:space="preserve"> </w:t>
      </w:r>
      <w:r w:rsidRPr="002114F5">
        <w:t>c</w:t>
      </w:r>
      <w:r w:rsidR="002A026E" w:rsidRPr="002114F5">
        <w:t>.</w:t>
      </w:r>
      <w:r w:rsidRPr="002114F5">
        <w:rPr>
          <w:i/>
          <w:iCs/>
        </w:rPr>
        <w:t xml:space="preserve"> Allemagne </w:t>
      </w:r>
      <w:r w:rsidRPr="002114F5">
        <w:rPr>
          <w:iCs/>
        </w:rPr>
        <w:t>(</w:t>
      </w:r>
      <w:r w:rsidRPr="002114F5">
        <w:t>requête n</w:t>
      </w:r>
      <w:r w:rsidRPr="002114F5">
        <w:rPr>
          <w:vertAlign w:val="superscript"/>
        </w:rPr>
        <w:t>o</w:t>
      </w:r>
      <w:r w:rsidRPr="002114F5">
        <w:t> 58453/00), arrêt du 25 octobre 2005</w:t>
      </w:r>
      <w:r w:rsidR="002A026E" w:rsidRPr="002114F5">
        <w:t>.</w:t>
      </w:r>
    </w:p>
  </w:footnote>
  <w:footnote w:id="16">
    <w:p w14:paraId="5E479730" w14:textId="77777777" w:rsidR="00AB516D" w:rsidRPr="002114F5" w:rsidRDefault="00AB516D" w:rsidP="00E42A05">
      <w:pPr>
        <w:pStyle w:val="Notedebasdepage"/>
      </w:pPr>
      <w:r w:rsidRPr="002114F5">
        <w:tab/>
      </w:r>
      <w:r w:rsidRPr="002114F5">
        <w:rPr>
          <w:rStyle w:val="Appelnotedebasdep"/>
        </w:rPr>
        <w:footnoteRef/>
      </w:r>
      <w:r w:rsidRPr="002114F5">
        <w:tab/>
        <w:t xml:space="preserve">La Cour suprême renvoie à Cour européenne des droits de l’homme, </w:t>
      </w:r>
      <w:proofErr w:type="spellStart"/>
      <w:r w:rsidRPr="002114F5">
        <w:rPr>
          <w:i/>
          <w:iCs/>
        </w:rPr>
        <w:t>Niedzwiecki</w:t>
      </w:r>
      <w:proofErr w:type="spellEnd"/>
      <w:r w:rsidRPr="002114F5">
        <w:rPr>
          <w:i/>
          <w:iCs/>
        </w:rPr>
        <w:t xml:space="preserve"> </w:t>
      </w:r>
      <w:r w:rsidRPr="002114F5">
        <w:t>c</w:t>
      </w:r>
      <w:r w:rsidR="002A026E" w:rsidRPr="002114F5">
        <w:t>.</w:t>
      </w:r>
      <w:r w:rsidRPr="002114F5">
        <w:t> </w:t>
      </w:r>
      <w:r w:rsidRPr="002114F5">
        <w:rPr>
          <w:i/>
          <w:iCs/>
        </w:rPr>
        <w:t>Allemagne</w:t>
      </w:r>
      <w:r w:rsidRPr="002114F5">
        <w:t>, par</w:t>
      </w:r>
      <w:r w:rsidR="002A026E" w:rsidRPr="002114F5">
        <w:t>.</w:t>
      </w:r>
      <w:r w:rsidRPr="002114F5">
        <w:t> 33</w:t>
      </w:r>
      <w:r w:rsidR="002A026E" w:rsidRPr="002114F5">
        <w:t>.</w:t>
      </w:r>
      <w:r w:rsidRPr="002114F5">
        <w:t xml:space="preserve"> Elle renvoie également à Cour européenne des droits de l’homme, </w:t>
      </w:r>
      <w:proofErr w:type="spellStart"/>
      <w:r w:rsidRPr="002114F5">
        <w:rPr>
          <w:i/>
          <w:iCs/>
        </w:rPr>
        <w:t>Gaygusuz</w:t>
      </w:r>
      <w:proofErr w:type="spellEnd"/>
      <w:r w:rsidRPr="002114F5">
        <w:rPr>
          <w:i/>
          <w:iCs/>
        </w:rPr>
        <w:t xml:space="preserve"> </w:t>
      </w:r>
      <w:r w:rsidRPr="002114F5">
        <w:t>c</w:t>
      </w:r>
      <w:r w:rsidR="002A026E" w:rsidRPr="002114F5">
        <w:t>.</w:t>
      </w:r>
      <w:r w:rsidRPr="002114F5">
        <w:rPr>
          <w:i/>
          <w:iCs/>
        </w:rPr>
        <w:t xml:space="preserve"> Autriche </w:t>
      </w:r>
      <w:r w:rsidRPr="002114F5">
        <w:t>(requête n</w:t>
      </w:r>
      <w:r w:rsidRPr="002114F5">
        <w:rPr>
          <w:vertAlign w:val="superscript"/>
        </w:rPr>
        <w:t>o</w:t>
      </w:r>
      <w:r w:rsidRPr="002114F5">
        <w:t xml:space="preserve"> 17371/90), arrêt du 16 septembre 1996, et </w:t>
      </w:r>
      <w:proofErr w:type="spellStart"/>
      <w:r w:rsidRPr="002114F5">
        <w:rPr>
          <w:i/>
          <w:iCs/>
        </w:rPr>
        <w:t>Andrejeva</w:t>
      </w:r>
      <w:proofErr w:type="spellEnd"/>
      <w:r w:rsidRPr="002114F5">
        <w:rPr>
          <w:i/>
          <w:iCs/>
        </w:rPr>
        <w:t xml:space="preserve"> </w:t>
      </w:r>
      <w:r w:rsidRPr="002114F5">
        <w:t>c</w:t>
      </w:r>
      <w:r w:rsidR="002A026E" w:rsidRPr="002114F5">
        <w:t>.</w:t>
      </w:r>
      <w:r w:rsidRPr="002114F5">
        <w:rPr>
          <w:i/>
          <w:iCs/>
        </w:rPr>
        <w:t> Lettonie</w:t>
      </w:r>
      <w:r w:rsidRPr="002114F5">
        <w:t xml:space="preserve"> (requête n</w:t>
      </w:r>
      <w:r w:rsidRPr="002114F5">
        <w:rPr>
          <w:vertAlign w:val="superscript"/>
        </w:rPr>
        <w:t>o</w:t>
      </w:r>
      <w:r w:rsidRPr="002114F5">
        <w:t> 55707/00), arrêt du 18 février 2009</w:t>
      </w:r>
      <w:r w:rsidR="002A026E" w:rsidRPr="002114F5">
        <w:t>.</w:t>
      </w:r>
    </w:p>
  </w:footnote>
  <w:footnote w:id="17">
    <w:p w14:paraId="7B7FF08A" w14:textId="77777777" w:rsidR="00AB516D" w:rsidRPr="002114F5" w:rsidRDefault="00AB516D" w:rsidP="00E42A05">
      <w:pPr>
        <w:pStyle w:val="Notedebasdepage"/>
      </w:pPr>
      <w:r w:rsidRPr="002114F5">
        <w:tab/>
      </w:r>
      <w:r w:rsidRPr="002114F5">
        <w:rPr>
          <w:rStyle w:val="Appelnotedebasdep"/>
        </w:rPr>
        <w:footnoteRef/>
      </w:r>
      <w:r w:rsidRPr="002114F5">
        <w:tab/>
        <w:t xml:space="preserve">La Cour renvoie à Cour européenne des droits de l’homme, </w:t>
      </w:r>
      <w:r w:rsidRPr="002114F5">
        <w:rPr>
          <w:i/>
          <w:iCs/>
        </w:rPr>
        <w:t>A</w:t>
      </w:r>
      <w:r w:rsidR="002A026E" w:rsidRPr="002114F5">
        <w:rPr>
          <w:i/>
          <w:iCs/>
        </w:rPr>
        <w:t>.</w:t>
      </w:r>
      <w:r w:rsidRPr="002114F5">
        <w:rPr>
          <w:i/>
          <w:iCs/>
        </w:rPr>
        <w:t xml:space="preserve"> et autres </w:t>
      </w:r>
      <w:r w:rsidRPr="002114F5">
        <w:t>c</w:t>
      </w:r>
      <w:r w:rsidR="002A026E" w:rsidRPr="002114F5">
        <w:t>.</w:t>
      </w:r>
      <w:r w:rsidRPr="002114F5">
        <w:rPr>
          <w:i/>
          <w:iCs/>
        </w:rPr>
        <w:t xml:space="preserve"> Royaume-Uni </w:t>
      </w:r>
      <w:r w:rsidRPr="002114F5">
        <w:t>(requête n</w:t>
      </w:r>
      <w:r w:rsidRPr="002114F5">
        <w:rPr>
          <w:vertAlign w:val="superscript"/>
        </w:rPr>
        <w:t>o</w:t>
      </w:r>
      <w:r w:rsidRPr="002114F5">
        <w:t> 3455/05), arrêt du 19 février 2009</w:t>
      </w:r>
      <w:r w:rsidR="002A026E" w:rsidRPr="002114F5">
        <w:t>.</w:t>
      </w:r>
    </w:p>
  </w:footnote>
  <w:footnote w:id="18">
    <w:p w14:paraId="763BD1BF" w14:textId="77777777" w:rsidR="00AB516D" w:rsidRPr="002114F5" w:rsidRDefault="00AB516D" w:rsidP="00E42A05">
      <w:pPr>
        <w:pStyle w:val="Notedebasdepage"/>
      </w:pPr>
      <w:bookmarkStart w:id="1" w:name="_Hlk42267487"/>
      <w:r w:rsidRPr="002114F5">
        <w:tab/>
      </w:r>
      <w:r w:rsidRPr="002114F5">
        <w:rPr>
          <w:rStyle w:val="Appelnotedebasdep"/>
        </w:rPr>
        <w:footnoteRef/>
      </w:r>
      <w:r w:rsidRPr="002114F5">
        <w:tab/>
        <w:t xml:space="preserve">La Cour renvoie à Cour européenne des droits de l’homme, </w:t>
      </w:r>
      <w:proofErr w:type="spellStart"/>
      <w:r w:rsidRPr="002114F5">
        <w:rPr>
          <w:i/>
          <w:iCs/>
        </w:rPr>
        <w:t>Nacic</w:t>
      </w:r>
      <w:proofErr w:type="spellEnd"/>
      <w:r w:rsidRPr="002114F5">
        <w:rPr>
          <w:i/>
          <w:iCs/>
        </w:rPr>
        <w:t xml:space="preserve"> </w:t>
      </w:r>
      <w:r w:rsidR="00AF51EA" w:rsidRPr="002114F5">
        <w:rPr>
          <w:i/>
          <w:iCs/>
        </w:rPr>
        <w:t xml:space="preserve">et autres </w:t>
      </w:r>
      <w:r w:rsidRPr="002114F5">
        <w:t>c</w:t>
      </w:r>
      <w:r w:rsidR="002A026E" w:rsidRPr="002114F5">
        <w:t>.</w:t>
      </w:r>
      <w:r w:rsidRPr="002114F5">
        <w:rPr>
          <w:i/>
          <w:iCs/>
        </w:rPr>
        <w:t xml:space="preserve"> Suède </w:t>
      </w:r>
      <w:r w:rsidRPr="002114F5">
        <w:t>(requête n</w:t>
      </w:r>
      <w:r w:rsidRPr="002114F5">
        <w:rPr>
          <w:vertAlign w:val="superscript"/>
        </w:rPr>
        <w:t>o</w:t>
      </w:r>
      <w:r w:rsidRPr="002114F5">
        <w:t> 16567/10), arrêt du 15 mai 2012</w:t>
      </w:r>
      <w:r w:rsidR="002A026E" w:rsidRPr="002114F5">
        <w:t>.</w:t>
      </w:r>
    </w:p>
    <w:bookmarkEnd w:id="1"/>
  </w:footnote>
  <w:footnote w:id="19">
    <w:p w14:paraId="6FEA70B7" w14:textId="77777777" w:rsidR="00AB516D" w:rsidRPr="002114F5" w:rsidRDefault="00AB516D" w:rsidP="00E42A05">
      <w:pPr>
        <w:pStyle w:val="Notedebasdepage"/>
      </w:pPr>
      <w:r w:rsidRPr="002114F5">
        <w:tab/>
      </w:r>
      <w:r w:rsidRPr="002114F5">
        <w:rPr>
          <w:rStyle w:val="Appelnotedebasdep"/>
        </w:rPr>
        <w:footnoteRef/>
      </w:r>
      <w:r w:rsidRPr="002114F5">
        <w:tab/>
        <w:t xml:space="preserve">Le tribunal renvoie à Cour européenne des droits de l’homme, </w:t>
      </w:r>
      <w:r w:rsidRPr="002114F5">
        <w:rPr>
          <w:i/>
          <w:iCs/>
        </w:rPr>
        <w:t xml:space="preserve">Bah </w:t>
      </w:r>
      <w:r w:rsidRPr="002114F5">
        <w:t>c</w:t>
      </w:r>
      <w:r w:rsidR="002A026E" w:rsidRPr="002114F5">
        <w:t>.</w:t>
      </w:r>
      <w:r w:rsidRPr="002114F5">
        <w:rPr>
          <w:i/>
          <w:iCs/>
        </w:rPr>
        <w:t xml:space="preserve"> Royaume-Uni </w:t>
      </w:r>
      <w:r w:rsidRPr="002114F5">
        <w:t>(requête n</w:t>
      </w:r>
      <w:r w:rsidRPr="002114F5">
        <w:rPr>
          <w:vertAlign w:val="superscript"/>
        </w:rPr>
        <w:t>o</w:t>
      </w:r>
      <w:r w:rsidRPr="002114F5">
        <w:t> 56328/07), arrêt du 27 septembre 2011, par</w:t>
      </w:r>
      <w:r w:rsidR="002A026E" w:rsidRPr="002114F5">
        <w:t>.</w:t>
      </w:r>
      <w:r w:rsidRPr="002114F5">
        <w:t> 47</w:t>
      </w:r>
      <w:r w:rsidR="002A026E" w:rsidRPr="002114F5">
        <w:t>.</w:t>
      </w:r>
      <w:r w:rsidRPr="002114F5">
        <w:t xml:space="preserve"> </w:t>
      </w:r>
    </w:p>
  </w:footnote>
  <w:footnote w:id="20">
    <w:p w14:paraId="0FF2FEB7" w14:textId="77777777" w:rsidR="00AB516D" w:rsidRPr="002114F5" w:rsidRDefault="00AB516D" w:rsidP="00E42A05">
      <w:pPr>
        <w:pStyle w:val="Notedebasdepage"/>
      </w:pPr>
      <w:r w:rsidRPr="002114F5">
        <w:tab/>
      </w:r>
      <w:r w:rsidRPr="002114F5">
        <w:rPr>
          <w:rStyle w:val="Appelnotedebasdep"/>
        </w:rPr>
        <w:footnoteRef/>
      </w:r>
      <w:r w:rsidRPr="002114F5">
        <w:tab/>
        <w:t xml:space="preserve">Cour européenne des droits de l’homme, </w:t>
      </w:r>
      <w:proofErr w:type="spellStart"/>
      <w:r w:rsidRPr="002114F5">
        <w:rPr>
          <w:i/>
          <w:iCs/>
        </w:rPr>
        <w:t>Niedzwiecki</w:t>
      </w:r>
      <w:proofErr w:type="spellEnd"/>
      <w:r w:rsidRPr="002114F5">
        <w:rPr>
          <w:i/>
          <w:iCs/>
        </w:rPr>
        <w:t xml:space="preserve"> </w:t>
      </w:r>
      <w:r w:rsidRPr="002114F5">
        <w:t>c</w:t>
      </w:r>
      <w:r w:rsidR="002A026E" w:rsidRPr="002114F5">
        <w:t>.</w:t>
      </w:r>
      <w:r w:rsidRPr="002114F5">
        <w:rPr>
          <w:i/>
          <w:iCs/>
        </w:rPr>
        <w:t> Allemagne</w:t>
      </w:r>
      <w:r w:rsidR="002A026E" w:rsidRPr="002114F5">
        <w:t>.</w:t>
      </w:r>
    </w:p>
  </w:footnote>
  <w:footnote w:id="21">
    <w:p w14:paraId="78226B0C" w14:textId="77777777" w:rsidR="00AB516D" w:rsidRPr="002114F5" w:rsidRDefault="00AB516D" w:rsidP="00E42A05">
      <w:pPr>
        <w:pStyle w:val="Notedebasdepage"/>
      </w:pPr>
      <w:r w:rsidRPr="002114F5">
        <w:tab/>
      </w:r>
      <w:r w:rsidRPr="002114F5">
        <w:rPr>
          <w:rStyle w:val="Appelnotedebasdep"/>
        </w:rPr>
        <w:footnoteRef/>
      </w:r>
      <w:r w:rsidRPr="002114F5">
        <w:tab/>
        <w:t xml:space="preserve">Les auteurs renvoient à </w:t>
      </w:r>
      <w:r w:rsidRPr="002114F5">
        <w:rPr>
          <w:i/>
          <w:iCs/>
        </w:rPr>
        <w:t>S</w:t>
      </w:r>
      <w:r w:rsidR="002A026E" w:rsidRPr="002114F5">
        <w:rPr>
          <w:i/>
          <w:iCs/>
        </w:rPr>
        <w:t>.</w:t>
      </w:r>
      <w:r w:rsidRPr="002114F5">
        <w:rPr>
          <w:i/>
          <w:iCs/>
        </w:rPr>
        <w:t> W</w:t>
      </w:r>
      <w:r w:rsidR="002A026E" w:rsidRPr="002114F5">
        <w:rPr>
          <w:i/>
          <w:iCs/>
        </w:rPr>
        <w:t>.</w:t>
      </w:r>
      <w:r w:rsidRPr="002114F5">
        <w:rPr>
          <w:i/>
          <w:iCs/>
        </w:rPr>
        <w:t> M</w:t>
      </w:r>
      <w:r w:rsidR="002A026E" w:rsidRPr="002114F5">
        <w:rPr>
          <w:i/>
          <w:iCs/>
        </w:rPr>
        <w:t>.</w:t>
      </w:r>
      <w:r w:rsidRPr="002114F5">
        <w:rPr>
          <w:i/>
          <w:iCs/>
        </w:rPr>
        <w:t xml:space="preserve"> </w:t>
      </w:r>
      <w:proofErr w:type="spellStart"/>
      <w:r w:rsidRPr="002114F5">
        <w:rPr>
          <w:i/>
          <w:iCs/>
        </w:rPr>
        <w:t>Broeks</w:t>
      </w:r>
      <w:proofErr w:type="spellEnd"/>
      <w:r w:rsidRPr="002114F5">
        <w:rPr>
          <w:i/>
          <w:iCs/>
        </w:rPr>
        <w:t xml:space="preserve"> </w:t>
      </w:r>
      <w:r w:rsidRPr="002114F5">
        <w:rPr>
          <w:iCs/>
        </w:rPr>
        <w:t>c</w:t>
      </w:r>
      <w:r w:rsidR="002A026E" w:rsidRPr="002114F5">
        <w:rPr>
          <w:iCs/>
        </w:rPr>
        <w:t>.</w:t>
      </w:r>
      <w:r w:rsidRPr="002114F5">
        <w:rPr>
          <w:i/>
          <w:iCs/>
        </w:rPr>
        <w:t> Pays-Bas</w:t>
      </w:r>
      <w:r w:rsidRPr="002114F5">
        <w:t>, communication n</w:t>
      </w:r>
      <w:r w:rsidRPr="002114F5">
        <w:rPr>
          <w:vertAlign w:val="superscript"/>
        </w:rPr>
        <w:t>o</w:t>
      </w:r>
      <w:r w:rsidRPr="002114F5">
        <w:t> 172/1984, par</w:t>
      </w:r>
      <w:r w:rsidR="002A026E" w:rsidRPr="002114F5">
        <w:t>.</w:t>
      </w:r>
      <w:r w:rsidRPr="002114F5">
        <w:t> 12</w:t>
      </w:r>
      <w:r w:rsidR="002A026E" w:rsidRPr="002114F5">
        <w:t>.</w:t>
      </w:r>
      <w:r w:rsidRPr="002114F5">
        <w:t>2 à 12</w:t>
      </w:r>
      <w:r w:rsidR="002A026E" w:rsidRPr="002114F5">
        <w:t>.</w:t>
      </w:r>
      <w:r w:rsidRPr="002114F5">
        <w:t xml:space="preserve">5, et </w:t>
      </w:r>
      <w:r w:rsidRPr="002114F5">
        <w:rPr>
          <w:i/>
          <w:iCs/>
        </w:rPr>
        <w:t>F</w:t>
      </w:r>
      <w:r w:rsidR="002A026E" w:rsidRPr="002114F5">
        <w:rPr>
          <w:i/>
          <w:iCs/>
        </w:rPr>
        <w:t>.</w:t>
      </w:r>
      <w:r w:rsidRPr="002114F5">
        <w:rPr>
          <w:i/>
          <w:iCs/>
        </w:rPr>
        <w:t> H</w:t>
      </w:r>
      <w:r w:rsidR="002A026E" w:rsidRPr="002114F5">
        <w:rPr>
          <w:i/>
          <w:iCs/>
        </w:rPr>
        <w:t>.</w:t>
      </w:r>
      <w:r w:rsidRPr="002114F5">
        <w:rPr>
          <w:i/>
          <w:iCs/>
        </w:rPr>
        <w:t xml:space="preserve"> </w:t>
      </w:r>
      <w:proofErr w:type="spellStart"/>
      <w:r w:rsidRPr="002114F5">
        <w:rPr>
          <w:i/>
          <w:iCs/>
        </w:rPr>
        <w:t>Zwaan</w:t>
      </w:r>
      <w:proofErr w:type="spellEnd"/>
      <w:r w:rsidRPr="002114F5">
        <w:rPr>
          <w:i/>
          <w:iCs/>
        </w:rPr>
        <w:t xml:space="preserve"> de Vries </w:t>
      </w:r>
      <w:r w:rsidRPr="002114F5">
        <w:t>c</w:t>
      </w:r>
      <w:r w:rsidR="002A026E" w:rsidRPr="002114F5">
        <w:t>.</w:t>
      </w:r>
      <w:r w:rsidRPr="002114F5">
        <w:rPr>
          <w:i/>
          <w:iCs/>
        </w:rPr>
        <w:t> Pays-Bas</w:t>
      </w:r>
      <w:r w:rsidRPr="002114F5">
        <w:t>, communication n</w:t>
      </w:r>
      <w:r w:rsidRPr="002114F5">
        <w:rPr>
          <w:vertAlign w:val="superscript"/>
        </w:rPr>
        <w:t>o</w:t>
      </w:r>
      <w:r w:rsidRPr="002114F5">
        <w:t> 182/1984, par</w:t>
      </w:r>
      <w:r w:rsidR="002A026E" w:rsidRPr="002114F5">
        <w:t>.</w:t>
      </w:r>
      <w:r w:rsidRPr="002114F5">
        <w:t> 12</w:t>
      </w:r>
      <w:r w:rsidR="002A026E" w:rsidRPr="002114F5">
        <w:t>.</w:t>
      </w:r>
      <w:r w:rsidRPr="002114F5">
        <w:t>2 à 12</w:t>
      </w:r>
      <w:r w:rsidR="002A026E" w:rsidRPr="002114F5">
        <w:t>.</w:t>
      </w:r>
      <w:r w:rsidRPr="002114F5">
        <w:t>5</w:t>
      </w:r>
      <w:r w:rsidR="002A026E" w:rsidRPr="002114F5">
        <w:t>.</w:t>
      </w:r>
    </w:p>
  </w:footnote>
  <w:footnote w:id="22">
    <w:p w14:paraId="5B71B0E1" w14:textId="77777777" w:rsidR="00AB516D" w:rsidRPr="002114F5" w:rsidRDefault="00AB516D" w:rsidP="00E42A05">
      <w:pPr>
        <w:pStyle w:val="Notedebasdepage"/>
      </w:pPr>
      <w:r w:rsidRPr="002114F5">
        <w:tab/>
      </w:r>
      <w:r w:rsidRPr="002114F5">
        <w:rPr>
          <w:rStyle w:val="Appelnotedebasdep"/>
        </w:rPr>
        <w:footnoteRef/>
      </w:r>
      <w:r w:rsidRPr="002114F5">
        <w:tab/>
      </w:r>
      <w:bookmarkStart w:id="3" w:name="_Hlk42267609"/>
      <w:r w:rsidRPr="002114F5">
        <w:t xml:space="preserve">Voir </w:t>
      </w:r>
      <w:proofErr w:type="spellStart"/>
      <w:r w:rsidRPr="002114F5">
        <w:rPr>
          <w:i/>
          <w:iCs/>
        </w:rPr>
        <w:t>Hendrick</w:t>
      </w:r>
      <w:proofErr w:type="spellEnd"/>
      <w:r w:rsidRPr="002114F5">
        <w:rPr>
          <w:i/>
          <w:iCs/>
        </w:rPr>
        <w:t xml:space="preserve"> </w:t>
      </w:r>
      <w:proofErr w:type="spellStart"/>
      <w:r w:rsidRPr="002114F5">
        <w:rPr>
          <w:i/>
          <w:iCs/>
        </w:rPr>
        <w:t>Winata</w:t>
      </w:r>
      <w:proofErr w:type="spellEnd"/>
      <w:r w:rsidRPr="002114F5">
        <w:rPr>
          <w:i/>
          <w:iCs/>
        </w:rPr>
        <w:t xml:space="preserve"> et So Lan Li </w:t>
      </w:r>
      <w:r w:rsidRPr="002114F5">
        <w:t>c</w:t>
      </w:r>
      <w:r w:rsidR="002A026E" w:rsidRPr="002114F5">
        <w:t>.</w:t>
      </w:r>
      <w:r w:rsidRPr="002114F5">
        <w:rPr>
          <w:i/>
          <w:iCs/>
        </w:rPr>
        <w:t> Australie</w:t>
      </w:r>
      <w:r w:rsidRPr="002114F5">
        <w:t>, (</w:t>
      </w:r>
      <w:bookmarkEnd w:id="3"/>
      <w:r w:rsidRPr="002114F5">
        <w:t>CCPR/C/72/D/930/2000) par</w:t>
      </w:r>
      <w:r w:rsidR="002A026E" w:rsidRPr="002114F5">
        <w:t>.</w:t>
      </w:r>
      <w:r w:rsidRPr="002114F5">
        <w:t> 7</w:t>
      </w:r>
      <w:r w:rsidR="002A026E" w:rsidRPr="002114F5">
        <w:t>.</w:t>
      </w:r>
      <w:r w:rsidRPr="002114F5">
        <w:t>3</w:t>
      </w:r>
      <w:r w:rsidR="002A026E" w:rsidRPr="002114F5">
        <w:t>.</w:t>
      </w:r>
      <w:r w:rsidRPr="002114F5">
        <w:t xml:space="preserve"> Les auteurs indiquent que les affaires ci-après attestent un raisonnement similaire : Cour européenne des droits de l’homme, requête n</w:t>
      </w:r>
      <w:r w:rsidRPr="002114F5">
        <w:rPr>
          <w:vertAlign w:val="superscript"/>
        </w:rPr>
        <w:t>o</w:t>
      </w:r>
      <w:r w:rsidRPr="002114F5">
        <w:t xml:space="preserve"> 22689/07, </w:t>
      </w:r>
      <w:r w:rsidR="00DF2461" w:rsidRPr="002114F5">
        <w:rPr>
          <w:i/>
        </w:rPr>
        <w:t>D</w:t>
      </w:r>
      <w:r w:rsidRPr="002114F5">
        <w:rPr>
          <w:i/>
        </w:rPr>
        <w:t>e</w:t>
      </w:r>
      <w:r w:rsidRPr="002114F5">
        <w:t xml:space="preserve"> </w:t>
      </w:r>
      <w:r w:rsidRPr="002114F5">
        <w:rPr>
          <w:i/>
        </w:rPr>
        <w:t xml:space="preserve">Souza Ribeiro </w:t>
      </w:r>
      <w:r w:rsidRPr="002114F5">
        <w:t>c</w:t>
      </w:r>
      <w:r w:rsidR="002A026E" w:rsidRPr="002114F5">
        <w:t>.</w:t>
      </w:r>
      <w:r w:rsidRPr="002114F5">
        <w:rPr>
          <w:i/>
        </w:rPr>
        <w:t> France</w:t>
      </w:r>
      <w:r w:rsidRPr="002114F5">
        <w:t>, 13 décembre 2012 ; Cour européenne des droits de l’homme, requête n</w:t>
      </w:r>
      <w:r w:rsidRPr="002114F5">
        <w:rPr>
          <w:vertAlign w:val="superscript"/>
        </w:rPr>
        <w:t>o</w:t>
      </w:r>
      <w:r w:rsidRPr="002114F5">
        <w:t xml:space="preserve"> 55597/09, </w:t>
      </w:r>
      <w:r w:rsidRPr="002114F5">
        <w:rPr>
          <w:i/>
          <w:iCs/>
        </w:rPr>
        <w:t xml:space="preserve">Nunez </w:t>
      </w:r>
      <w:r w:rsidRPr="002114F5">
        <w:t>c</w:t>
      </w:r>
      <w:r w:rsidR="002A026E" w:rsidRPr="002114F5">
        <w:t>.</w:t>
      </w:r>
      <w:r w:rsidRPr="002114F5">
        <w:rPr>
          <w:i/>
          <w:iCs/>
        </w:rPr>
        <w:t> Norvège</w:t>
      </w:r>
      <w:r w:rsidRPr="002114F5">
        <w:t>, 28 juin 2011 ; et Cour européenne des droits de l’homme, requête n</w:t>
      </w:r>
      <w:r w:rsidRPr="002114F5">
        <w:rPr>
          <w:vertAlign w:val="superscript"/>
        </w:rPr>
        <w:t>o</w:t>
      </w:r>
      <w:r w:rsidRPr="002114F5">
        <w:t xml:space="preserve"> 31465/96, </w:t>
      </w:r>
      <w:r w:rsidRPr="002114F5">
        <w:rPr>
          <w:i/>
          <w:iCs/>
        </w:rPr>
        <w:t xml:space="preserve">Sen </w:t>
      </w:r>
      <w:r w:rsidRPr="002114F5">
        <w:t>c</w:t>
      </w:r>
      <w:r w:rsidR="002A026E" w:rsidRPr="002114F5">
        <w:t>.</w:t>
      </w:r>
      <w:r w:rsidRPr="002114F5">
        <w:rPr>
          <w:i/>
          <w:iCs/>
        </w:rPr>
        <w:t> Pays-Bas</w:t>
      </w:r>
      <w:r w:rsidRPr="002114F5">
        <w:t>, 21 décembre 2001</w:t>
      </w:r>
      <w:r w:rsidR="002A026E" w:rsidRPr="002114F5">
        <w:t>.</w:t>
      </w:r>
      <w:r w:rsidRPr="002114F5">
        <w:t xml:space="preserve"> </w:t>
      </w:r>
    </w:p>
  </w:footnote>
  <w:footnote w:id="23">
    <w:p w14:paraId="339B9BF4" w14:textId="77777777" w:rsidR="00AB516D" w:rsidRPr="002114F5" w:rsidRDefault="00AB516D" w:rsidP="00E42A05">
      <w:pPr>
        <w:pStyle w:val="Notedebasdepage"/>
      </w:pPr>
      <w:r w:rsidRPr="002114F5">
        <w:tab/>
      </w:r>
      <w:r w:rsidRPr="002114F5">
        <w:rPr>
          <w:rStyle w:val="Appelnotedebasdep"/>
        </w:rPr>
        <w:footnoteRef/>
      </w:r>
      <w:r w:rsidRPr="002114F5">
        <w:tab/>
        <w:t>Les auteurs indiquent que, dans le cadre des débats qui ont eu lieu au moment de l’adoption de la loi d’interconnexion, l’État partie a reconnu la nécessité de faire preuve d’une certaine « souplesse »</w:t>
      </w:r>
      <w:r w:rsidR="002A026E" w:rsidRPr="002114F5">
        <w:t>.</w:t>
      </w:r>
      <w:r w:rsidRPr="002114F5">
        <w:t xml:space="preserve"> Ils renvoient à des documents parlementaires dans lesquels on peut lire que la loi d’interconnexion doit être appliquée avec une certaine souplesse et ne saurait être interprétée comme interdisant catégoriquement aux étrangers « non admis » le bénéfice de l’ensemble des aides, services, prestations et autorisations accessibles aux étrangers</w:t>
      </w:r>
      <w:r w:rsidR="002A026E" w:rsidRPr="002114F5">
        <w:t>.</w:t>
      </w:r>
      <w:r w:rsidRPr="002114F5">
        <w:t xml:space="preserve"> </w:t>
      </w:r>
    </w:p>
  </w:footnote>
  <w:footnote w:id="24">
    <w:p w14:paraId="73BAAEE9" w14:textId="77777777" w:rsidR="00AB516D" w:rsidRPr="002114F5" w:rsidRDefault="00AB516D" w:rsidP="00E42A05">
      <w:pPr>
        <w:pStyle w:val="Notedebasdepage"/>
      </w:pPr>
      <w:r w:rsidRPr="002114F5">
        <w:tab/>
      </w:r>
      <w:r w:rsidRPr="002114F5">
        <w:rPr>
          <w:rStyle w:val="Appelnotedebasdep"/>
        </w:rPr>
        <w:footnoteRef/>
      </w:r>
      <w:r w:rsidRPr="002114F5">
        <w:tab/>
        <w:t>Les auteurs soulignent que l’État partie a reconnu qu’il était difficile d’appliquer la loi d’interconnexion aux étrangers en situation irrégulière dont la demande de permis de séjour était en cours d’examen</w:t>
      </w:r>
      <w:r w:rsidR="002A026E" w:rsidRPr="002114F5">
        <w:t>.</w:t>
      </w:r>
      <w:r w:rsidRPr="002114F5">
        <w:t xml:space="preserve"> Ils citent des documents parlementaires dans lesquels on peut lire que des étrangers vivant aux Pays-Bas au su et avec l’approbation des autorités néerlandaises, bien qu’ils n’aient pas encore été « admis » par les services de l’immigration ; ils se voient même proposer un logement par l’État, ainsi que des services et certaines prestations ; et ils sont « en attente » dans le cadre d’une procédure visant à déterminer s’ils peuvent être « admis » ou non</w:t>
      </w:r>
      <w:r w:rsidR="002A026E" w:rsidRPr="002114F5">
        <w:t>.</w:t>
      </w:r>
    </w:p>
  </w:footnote>
  <w:footnote w:id="25">
    <w:p w14:paraId="5BD52797" w14:textId="77777777" w:rsidR="00AB516D" w:rsidRPr="002114F5" w:rsidRDefault="00AB516D" w:rsidP="00E42A05">
      <w:pPr>
        <w:pStyle w:val="Notedebasdepage"/>
      </w:pPr>
      <w:r w:rsidRPr="002114F5">
        <w:tab/>
      </w:r>
      <w:r w:rsidRPr="002114F5">
        <w:rPr>
          <w:rStyle w:val="Appelnotedebasdep"/>
        </w:rPr>
        <w:footnoteRef/>
      </w:r>
      <w:r w:rsidRPr="002114F5">
        <w:tab/>
        <w:t>Renvoyant aux documents parlementaires, les auteurs indiquent que la loi d’interconnexion a deux objectifs : empêcher « les étrangers en situation irrégulière » de continuer à vivre illégalement dans le pays en bénéficiant d’aides et de prestations sans avoir à présenter de permis de séjour valable ; et empêcher que les « clandestins » et les étrangers en situation irrégulière passent pour des personnes en situation régulière</w:t>
      </w:r>
      <w:r w:rsidR="002A026E" w:rsidRPr="002114F5">
        <w:t>.</w:t>
      </w:r>
    </w:p>
  </w:footnote>
  <w:footnote w:id="26">
    <w:p w14:paraId="1B5CAAF1" w14:textId="77777777" w:rsidR="00AB516D" w:rsidRPr="002114F5" w:rsidRDefault="00AB516D" w:rsidP="00E42A05">
      <w:pPr>
        <w:pStyle w:val="Notedebasdepage"/>
      </w:pPr>
      <w:r w:rsidRPr="002114F5">
        <w:tab/>
      </w:r>
      <w:r w:rsidRPr="002114F5">
        <w:rPr>
          <w:rStyle w:val="Appelnotedebasdep"/>
        </w:rPr>
        <w:footnoteRef/>
      </w:r>
      <w:r w:rsidRPr="002114F5">
        <w:tab/>
        <w:t>Les auteurs renvoient à la définition de la notion de pauvreté absolue établie par l’Organisation des Nations Unies pour l’éducation, la science et la culture, selon laquelle le seuil de pauvreté absolue est déterminé en fonction du revenu dont une personne doit disposer pour être en mesure de pourvoir à ses besoins fondamentaux tels que se nourrir, se vêtir et se loger</w:t>
      </w:r>
      <w:r w:rsidR="002A026E" w:rsidRPr="002114F5">
        <w:t>.</w:t>
      </w:r>
      <w:r w:rsidRPr="002114F5">
        <w:t xml:space="preserve"> </w:t>
      </w:r>
    </w:p>
  </w:footnote>
  <w:footnote w:id="27">
    <w:p w14:paraId="4D16A648" w14:textId="77777777" w:rsidR="00AB516D" w:rsidRPr="002114F5" w:rsidRDefault="00AB516D" w:rsidP="00E42A05">
      <w:pPr>
        <w:pStyle w:val="Notedebasdepage"/>
      </w:pPr>
      <w:r w:rsidRPr="002114F5">
        <w:tab/>
      </w:r>
      <w:r w:rsidRPr="002114F5">
        <w:rPr>
          <w:rStyle w:val="Appelnotedebasdep"/>
        </w:rPr>
        <w:footnoteRef/>
      </w:r>
      <w:r w:rsidRPr="002114F5">
        <w:tab/>
        <w:t xml:space="preserve">Les auteurs renvoient aux affaires ci-après, dans lesquelles le Comité a examiné le respect des droits de l’enfant tels qu’ils sont consacrés par l’article 24 du Pacte dans le cadre de l’application des politiques d’immigration : </w:t>
      </w:r>
      <w:bookmarkStart w:id="4" w:name="_Hlk42267663"/>
      <w:proofErr w:type="spellStart"/>
      <w:r w:rsidRPr="002114F5">
        <w:rPr>
          <w:i/>
          <w:iCs/>
        </w:rPr>
        <w:t>Winata</w:t>
      </w:r>
      <w:proofErr w:type="spellEnd"/>
      <w:r w:rsidRPr="002114F5">
        <w:rPr>
          <w:i/>
          <w:iCs/>
        </w:rPr>
        <w:t xml:space="preserve"> et Li </w:t>
      </w:r>
      <w:r w:rsidRPr="002114F5">
        <w:t>c</w:t>
      </w:r>
      <w:r w:rsidR="002A026E" w:rsidRPr="002114F5">
        <w:t>.</w:t>
      </w:r>
      <w:r w:rsidRPr="002114F5">
        <w:rPr>
          <w:i/>
          <w:iCs/>
        </w:rPr>
        <w:t> Australie </w:t>
      </w:r>
      <w:r w:rsidRPr="002114F5">
        <w:t xml:space="preserve">; </w:t>
      </w:r>
      <w:proofErr w:type="spellStart"/>
      <w:r w:rsidRPr="002114F5">
        <w:rPr>
          <w:i/>
          <w:iCs/>
        </w:rPr>
        <w:t>Madafferi</w:t>
      </w:r>
      <w:proofErr w:type="spellEnd"/>
      <w:r w:rsidRPr="002114F5">
        <w:rPr>
          <w:i/>
          <w:iCs/>
        </w:rPr>
        <w:t xml:space="preserve"> et autres </w:t>
      </w:r>
      <w:r w:rsidRPr="002114F5">
        <w:t>c</w:t>
      </w:r>
      <w:r w:rsidR="002A026E" w:rsidRPr="002114F5">
        <w:t>.</w:t>
      </w:r>
      <w:r w:rsidRPr="002114F5">
        <w:rPr>
          <w:i/>
          <w:iCs/>
        </w:rPr>
        <w:t xml:space="preserve"> Australie </w:t>
      </w:r>
      <w:r w:rsidRPr="002114F5">
        <w:t xml:space="preserve">(CCPR/C/81/D/1011/2001) ; </w:t>
      </w:r>
      <w:proofErr w:type="spellStart"/>
      <w:r w:rsidRPr="002114F5">
        <w:rPr>
          <w:i/>
          <w:iCs/>
        </w:rPr>
        <w:t>Bakhtiyari</w:t>
      </w:r>
      <w:proofErr w:type="spellEnd"/>
      <w:r w:rsidRPr="002114F5">
        <w:rPr>
          <w:i/>
          <w:iCs/>
        </w:rPr>
        <w:t xml:space="preserve"> et </w:t>
      </w:r>
      <w:proofErr w:type="spellStart"/>
      <w:r w:rsidRPr="002114F5">
        <w:rPr>
          <w:i/>
          <w:iCs/>
        </w:rPr>
        <w:t>Bakhtiyari</w:t>
      </w:r>
      <w:proofErr w:type="spellEnd"/>
      <w:r w:rsidRPr="002114F5">
        <w:rPr>
          <w:i/>
          <w:iCs/>
        </w:rPr>
        <w:t xml:space="preserve"> </w:t>
      </w:r>
      <w:r w:rsidRPr="002114F5">
        <w:t>c</w:t>
      </w:r>
      <w:r w:rsidR="002A026E" w:rsidRPr="002114F5">
        <w:t>.</w:t>
      </w:r>
      <w:r w:rsidRPr="002114F5">
        <w:rPr>
          <w:i/>
          <w:iCs/>
        </w:rPr>
        <w:t xml:space="preserve"> Australie </w:t>
      </w:r>
      <w:r w:rsidRPr="002114F5">
        <w:t>(</w:t>
      </w:r>
      <w:bookmarkEnd w:id="4"/>
      <w:r w:rsidRPr="002114F5">
        <w:t xml:space="preserve">CCPR/C/79/D/1069/2002) ; et </w:t>
      </w:r>
      <w:r w:rsidRPr="002114F5">
        <w:rPr>
          <w:i/>
          <w:iCs/>
        </w:rPr>
        <w:t>X</w:t>
      </w:r>
      <w:r w:rsidR="002A026E" w:rsidRPr="002114F5">
        <w:rPr>
          <w:i/>
          <w:iCs/>
        </w:rPr>
        <w:t>.</w:t>
      </w:r>
      <w:r w:rsidRPr="002114F5">
        <w:rPr>
          <w:i/>
          <w:iCs/>
        </w:rPr>
        <w:t> H</w:t>
      </w:r>
      <w:r w:rsidR="002A026E" w:rsidRPr="002114F5">
        <w:rPr>
          <w:i/>
          <w:iCs/>
        </w:rPr>
        <w:t>.</w:t>
      </w:r>
      <w:r w:rsidRPr="002114F5">
        <w:rPr>
          <w:i/>
          <w:iCs/>
        </w:rPr>
        <w:t> L</w:t>
      </w:r>
      <w:r w:rsidR="002A026E" w:rsidRPr="002114F5">
        <w:rPr>
          <w:i/>
          <w:iCs/>
        </w:rPr>
        <w:t>.</w:t>
      </w:r>
      <w:r w:rsidRPr="002114F5">
        <w:t xml:space="preserve"> c</w:t>
      </w:r>
      <w:r w:rsidR="002A026E" w:rsidRPr="002114F5">
        <w:t>.</w:t>
      </w:r>
      <w:r w:rsidRPr="002114F5">
        <w:rPr>
          <w:i/>
          <w:iCs/>
        </w:rPr>
        <w:t> Pays-Bas</w:t>
      </w:r>
      <w:r w:rsidRPr="002114F5">
        <w:t xml:space="preserve"> (CCPR/C/102/D/1564/2007)</w:t>
      </w:r>
      <w:r w:rsidR="002A026E" w:rsidRPr="002114F5">
        <w:t>.</w:t>
      </w:r>
    </w:p>
  </w:footnote>
  <w:footnote w:id="28">
    <w:p w14:paraId="78F603FA" w14:textId="77777777" w:rsidR="00AB516D" w:rsidRPr="002114F5" w:rsidRDefault="00AB516D" w:rsidP="00E42A05">
      <w:pPr>
        <w:pStyle w:val="Notedebasdepage"/>
      </w:pPr>
      <w:r w:rsidRPr="002114F5">
        <w:tab/>
      </w:r>
      <w:r w:rsidRPr="002114F5">
        <w:rPr>
          <w:rStyle w:val="Appelnotedebasdep"/>
        </w:rPr>
        <w:footnoteRef/>
      </w:r>
      <w:r w:rsidRPr="002114F5">
        <w:tab/>
        <w:t xml:space="preserve">Les auteurs soulignent que ce principe est étayé par les constatations du Comité dans l’affaire </w:t>
      </w:r>
      <w:proofErr w:type="spellStart"/>
      <w:r w:rsidRPr="002114F5">
        <w:rPr>
          <w:i/>
          <w:iCs/>
        </w:rPr>
        <w:t>Derksen</w:t>
      </w:r>
      <w:proofErr w:type="spellEnd"/>
      <w:r w:rsidRPr="002114F5">
        <w:rPr>
          <w:i/>
          <w:iCs/>
        </w:rPr>
        <w:t xml:space="preserve"> </w:t>
      </w:r>
      <w:r w:rsidRPr="002114F5">
        <w:t>c</w:t>
      </w:r>
      <w:r w:rsidR="002A026E" w:rsidRPr="002114F5">
        <w:t>.</w:t>
      </w:r>
      <w:r w:rsidRPr="002114F5">
        <w:rPr>
          <w:i/>
          <w:iCs/>
        </w:rPr>
        <w:t> Pays-Bas</w:t>
      </w:r>
      <w:r w:rsidRPr="002114F5">
        <w:t xml:space="preserve"> (CCPR/C/80/D/976/2001), aux paragraphes 9</w:t>
      </w:r>
      <w:r w:rsidR="002A026E" w:rsidRPr="002114F5">
        <w:t>.</w:t>
      </w:r>
      <w:r w:rsidRPr="002114F5">
        <w:t>2 et 9</w:t>
      </w:r>
      <w:r w:rsidR="002A026E" w:rsidRPr="002114F5">
        <w:t>.</w:t>
      </w:r>
      <w:r w:rsidRPr="002114F5">
        <w:t>3</w:t>
      </w:r>
      <w:r w:rsidR="002A026E" w:rsidRPr="002114F5">
        <w:t>.</w:t>
      </w:r>
      <w:r w:rsidRPr="002114F5">
        <w:t xml:space="preserve"> Les auteurs renvoient en outre à Cour européenne des droits de l’homme, </w:t>
      </w:r>
      <w:r w:rsidRPr="002114F5">
        <w:rPr>
          <w:i/>
          <w:iCs/>
        </w:rPr>
        <w:t xml:space="preserve">Nunez </w:t>
      </w:r>
      <w:r w:rsidRPr="002114F5">
        <w:t>c</w:t>
      </w:r>
      <w:r w:rsidR="002A026E" w:rsidRPr="002114F5">
        <w:t>.</w:t>
      </w:r>
      <w:r w:rsidRPr="002114F5">
        <w:rPr>
          <w:i/>
          <w:iCs/>
        </w:rPr>
        <w:t> Norvège</w:t>
      </w:r>
      <w:r w:rsidRPr="002114F5">
        <w:t>, par</w:t>
      </w:r>
      <w:r w:rsidR="002A026E" w:rsidRPr="002114F5">
        <w:t>.</w:t>
      </w:r>
      <w:r w:rsidRPr="002114F5">
        <w:t> 79 à 85</w:t>
      </w:r>
      <w:r w:rsidR="002A026E" w:rsidRPr="002114F5">
        <w:t>.</w:t>
      </w:r>
    </w:p>
  </w:footnote>
  <w:footnote w:id="29">
    <w:p w14:paraId="11037646" w14:textId="77777777" w:rsidR="00AB516D" w:rsidRPr="002114F5" w:rsidRDefault="00AB516D" w:rsidP="00E42A05">
      <w:pPr>
        <w:pStyle w:val="Notedebasdepage"/>
      </w:pPr>
      <w:r w:rsidRPr="002114F5">
        <w:tab/>
      </w:r>
      <w:r w:rsidRPr="002114F5">
        <w:rPr>
          <w:rStyle w:val="Appelnotedebasdep"/>
        </w:rPr>
        <w:footnoteRef/>
      </w:r>
      <w:r w:rsidRPr="002114F5">
        <w:tab/>
        <w:t>Les auteurs renvoient à l’observation générale n</w:t>
      </w:r>
      <w:r w:rsidRPr="002114F5">
        <w:rPr>
          <w:vertAlign w:val="superscript"/>
        </w:rPr>
        <w:t>o</w:t>
      </w:r>
      <w:r w:rsidRPr="002114F5">
        <w:t> 17 (1989) du Comité sur les droits de l’enfant, par</w:t>
      </w:r>
      <w:r w:rsidR="002A026E" w:rsidRPr="002114F5">
        <w:t>.</w:t>
      </w:r>
      <w:r w:rsidRPr="002114F5">
        <w:t> 2 à 5</w:t>
      </w:r>
      <w:r w:rsidR="002A026E" w:rsidRPr="002114F5">
        <w:t>.</w:t>
      </w:r>
      <w:r w:rsidRPr="002114F5">
        <w:t xml:space="preserve"> Ils renvoient également à Cour européenne des droits de l’homme, </w:t>
      </w:r>
      <w:r w:rsidRPr="002114F5">
        <w:rPr>
          <w:i/>
          <w:iCs/>
        </w:rPr>
        <w:t xml:space="preserve">Moser </w:t>
      </w:r>
      <w:r w:rsidRPr="002114F5">
        <w:t>c</w:t>
      </w:r>
      <w:r w:rsidR="002A026E" w:rsidRPr="002114F5">
        <w:t>.</w:t>
      </w:r>
      <w:r w:rsidRPr="002114F5">
        <w:rPr>
          <w:i/>
          <w:iCs/>
        </w:rPr>
        <w:t xml:space="preserve"> Autriche </w:t>
      </w:r>
      <w:r w:rsidRPr="002114F5">
        <w:t>(requête n</w:t>
      </w:r>
      <w:r w:rsidRPr="002114F5">
        <w:rPr>
          <w:vertAlign w:val="superscript"/>
        </w:rPr>
        <w:t>o</w:t>
      </w:r>
      <w:r w:rsidRPr="002114F5">
        <w:t> 12643/02), arrêt du 21 septembre 2006, par</w:t>
      </w:r>
      <w:r w:rsidR="002A026E" w:rsidRPr="002114F5">
        <w:t>.</w:t>
      </w:r>
      <w:r w:rsidRPr="002114F5">
        <w:t xml:space="preserve"> 68 </w:t>
      </w:r>
      <w:r w:rsidR="00DF2461" w:rsidRPr="002114F5">
        <w:t>et</w:t>
      </w:r>
      <w:r w:rsidRPr="002114F5">
        <w:t xml:space="preserve"> 69</w:t>
      </w:r>
      <w:r w:rsidR="002A026E" w:rsidRPr="002114F5">
        <w:t>.</w:t>
      </w:r>
      <w:r w:rsidRPr="002114F5">
        <w:t xml:space="preserve"> Ils indiquent que, dans cet arrêt, la Cour a considéré que l’État était tenu d’aider les parents qui n’étaient pas en mesure de subvenir aux besoins de leurs enfants, sans préjudice de l’obligation incombant aux parents de s’occuper de leurs enfants</w:t>
      </w:r>
      <w:r w:rsidR="002A026E" w:rsidRPr="002114F5">
        <w:t>.</w:t>
      </w:r>
    </w:p>
  </w:footnote>
  <w:footnote w:id="30">
    <w:p w14:paraId="4CDD16FF" w14:textId="77777777" w:rsidR="00AB516D" w:rsidRPr="002114F5" w:rsidRDefault="00AB516D" w:rsidP="00E42A05">
      <w:pPr>
        <w:pStyle w:val="Notedebasdepage"/>
      </w:pPr>
      <w:r w:rsidRPr="002114F5">
        <w:tab/>
      </w:r>
      <w:r w:rsidRPr="002114F5">
        <w:rPr>
          <w:rStyle w:val="Appelnotedebasdep"/>
        </w:rPr>
        <w:footnoteRef/>
      </w:r>
      <w:r w:rsidRPr="002114F5">
        <w:tab/>
        <w:t>Les auteurs citent comme source un arrêt de la Cour suprême en date du 21 septembre 2012 (ECLI : BW 5328)</w:t>
      </w:r>
      <w:r w:rsidR="002A026E" w:rsidRPr="002114F5">
        <w:t>.</w:t>
      </w:r>
    </w:p>
  </w:footnote>
  <w:footnote w:id="31">
    <w:p w14:paraId="58C81DFC" w14:textId="77777777" w:rsidR="00AB516D" w:rsidRPr="002114F5" w:rsidRDefault="00AB516D" w:rsidP="00E42A05">
      <w:pPr>
        <w:pStyle w:val="Notedebasdepage"/>
      </w:pPr>
      <w:r w:rsidRPr="002114F5">
        <w:tab/>
      </w:r>
      <w:r w:rsidRPr="002114F5">
        <w:rPr>
          <w:rStyle w:val="Appelnotedebasdep"/>
        </w:rPr>
        <w:footnoteRef/>
      </w:r>
      <w:r w:rsidRPr="002114F5">
        <w:tab/>
        <w:t>Les auteurs indiquent que la Cour suprême a fondé sa décision sur la directive 2003/9/CE du Conseil du 27 janvier 2003 relative à des normes minimales pour l’accueil des demandeurs d’asile dans les États membres et sur la directive 2008/115/CE du Parlement européen et du Conseil du 16 décembre 2008 relative aux normes et procédures communes applicables dans les États membres au retour des ressortissants de pays tiers en séjour irrégulier, ainsi que sur la jurisprudence de la Cour européenne des droits de l’homme</w:t>
      </w:r>
      <w:r w:rsidR="002A026E" w:rsidRPr="002114F5">
        <w:t>.</w:t>
      </w:r>
      <w:r w:rsidRPr="002114F5">
        <w:t xml:space="preserve"> </w:t>
      </w:r>
    </w:p>
  </w:footnote>
  <w:footnote w:id="32">
    <w:p w14:paraId="1033353A" w14:textId="77777777" w:rsidR="00AB516D" w:rsidRPr="002114F5" w:rsidRDefault="00AB516D" w:rsidP="00E42A05">
      <w:pPr>
        <w:pStyle w:val="Notedebasdepage"/>
      </w:pPr>
      <w:r w:rsidRPr="002114F5">
        <w:tab/>
      </w:r>
      <w:r w:rsidRPr="002114F5">
        <w:rPr>
          <w:rStyle w:val="Appelnotedebasdep"/>
        </w:rPr>
        <w:footnoteRef/>
      </w:r>
      <w:r w:rsidRPr="002114F5">
        <w:tab/>
        <w:t xml:space="preserve">Nils </w:t>
      </w:r>
      <w:proofErr w:type="spellStart"/>
      <w:r w:rsidRPr="002114F5">
        <w:t>Muižnieks</w:t>
      </w:r>
      <w:proofErr w:type="spellEnd"/>
      <w:r w:rsidRPr="002114F5">
        <w:t>, Commissaire aux droits de l’homme du Conseil de l’Europe, « Rapport sur la visite aux Pays-Bas effectuée du 20 au 22 mai 2014 »</w:t>
      </w:r>
      <w:r w:rsidR="002A026E" w:rsidRPr="002114F5">
        <w:t>.</w:t>
      </w:r>
      <w:r w:rsidRPr="002114F5">
        <w:t xml:space="preserve"> Disponible à l’adresse </w:t>
      </w:r>
      <w:hyperlink r:id="rId1" w:history="1">
        <w:r w:rsidRPr="002114F5">
          <w:rPr>
            <w:rStyle w:val="Lienhypertexte"/>
          </w:rPr>
          <w:t>https://rm</w:t>
        </w:r>
        <w:r w:rsidR="002A026E" w:rsidRPr="002114F5">
          <w:rPr>
            <w:rStyle w:val="Lienhypertexte"/>
          </w:rPr>
          <w:t>.</w:t>
        </w:r>
        <w:r w:rsidRPr="002114F5">
          <w:rPr>
            <w:rStyle w:val="Lienhypertexte"/>
          </w:rPr>
          <w:t>coe</w:t>
        </w:r>
        <w:r w:rsidR="002A026E" w:rsidRPr="002114F5">
          <w:rPr>
            <w:rStyle w:val="Lienhypertexte"/>
          </w:rPr>
          <w:t>.</w:t>
        </w:r>
        <w:r w:rsidRPr="002114F5">
          <w:rPr>
            <w:rStyle w:val="Lienhypertexte"/>
          </w:rPr>
          <w:t>int/16806db830</w:t>
        </w:r>
      </w:hyperlink>
      <w:r w:rsidR="002A026E" w:rsidRPr="002114F5">
        <w:t>.</w:t>
      </w:r>
    </w:p>
  </w:footnote>
  <w:footnote w:id="33">
    <w:p w14:paraId="178D9C08" w14:textId="77777777" w:rsidR="00AB516D" w:rsidRPr="002114F5" w:rsidRDefault="00AB516D" w:rsidP="00E42A05">
      <w:pPr>
        <w:pStyle w:val="Notedebasdepage"/>
      </w:pPr>
      <w:r w:rsidRPr="002114F5">
        <w:tab/>
      </w:r>
      <w:r w:rsidRPr="002114F5">
        <w:rPr>
          <w:rStyle w:val="Appelnotedebasdep"/>
        </w:rPr>
        <w:footnoteRef/>
      </w:r>
      <w:r w:rsidRPr="002114F5">
        <w:tab/>
        <w:t xml:space="preserve">Comité européen des droits sociaux, </w:t>
      </w:r>
      <w:r w:rsidRPr="002114F5">
        <w:rPr>
          <w:i/>
          <w:iCs/>
        </w:rPr>
        <w:t xml:space="preserve">Conférence des Églises européennes </w:t>
      </w:r>
      <w:r w:rsidRPr="002114F5">
        <w:t>c</w:t>
      </w:r>
      <w:r w:rsidR="002A026E" w:rsidRPr="002114F5">
        <w:t>.</w:t>
      </w:r>
      <w:r w:rsidRPr="002114F5">
        <w:rPr>
          <w:i/>
          <w:iCs/>
        </w:rPr>
        <w:t> Pays-Bas</w:t>
      </w:r>
      <w:r w:rsidRPr="002114F5">
        <w:t xml:space="preserve"> (réclamation n</w:t>
      </w:r>
      <w:r w:rsidRPr="002114F5">
        <w:rPr>
          <w:vertAlign w:val="superscript"/>
        </w:rPr>
        <w:t>o</w:t>
      </w:r>
      <w:r w:rsidRPr="002114F5">
        <w:t> 90/2013), décision du 1</w:t>
      </w:r>
      <w:r w:rsidRPr="002114F5">
        <w:rPr>
          <w:vertAlign w:val="superscript"/>
        </w:rPr>
        <w:t>er </w:t>
      </w:r>
      <w:r w:rsidRPr="002114F5">
        <w:t>juillet 2014</w:t>
      </w:r>
      <w:r w:rsidR="002A026E" w:rsidRPr="002114F5">
        <w:t>.</w:t>
      </w:r>
    </w:p>
  </w:footnote>
  <w:footnote w:id="34">
    <w:p w14:paraId="2EA7ADF5" w14:textId="77777777" w:rsidR="00AB516D" w:rsidRPr="002114F5" w:rsidRDefault="00AB516D" w:rsidP="00E42A05">
      <w:pPr>
        <w:pStyle w:val="Notedebasdepage"/>
      </w:pPr>
      <w:r w:rsidRPr="002114F5">
        <w:tab/>
      </w:r>
      <w:r w:rsidRPr="002114F5">
        <w:rPr>
          <w:rStyle w:val="Appelnotedebasdep"/>
        </w:rPr>
        <w:footnoteRef/>
      </w:r>
      <w:r w:rsidRPr="002114F5">
        <w:tab/>
        <w:t xml:space="preserve">L’État partie renvoie à l’affaire </w:t>
      </w:r>
      <w:proofErr w:type="spellStart"/>
      <w:r w:rsidRPr="002114F5">
        <w:rPr>
          <w:i/>
          <w:iCs/>
        </w:rPr>
        <w:t>Oulajin</w:t>
      </w:r>
      <w:proofErr w:type="spellEnd"/>
      <w:r w:rsidRPr="002114F5">
        <w:rPr>
          <w:i/>
          <w:iCs/>
        </w:rPr>
        <w:t xml:space="preserve"> et </w:t>
      </w:r>
      <w:proofErr w:type="spellStart"/>
      <w:r w:rsidRPr="002114F5">
        <w:rPr>
          <w:i/>
          <w:iCs/>
        </w:rPr>
        <w:t>Kaiss</w:t>
      </w:r>
      <w:proofErr w:type="spellEnd"/>
      <w:r w:rsidRPr="002114F5">
        <w:rPr>
          <w:i/>
          <w:iCs/>
        </w:rPr>
        <w:t xml:space="preserve"> </w:t>
      </w:r>
      <w:r w:rsidRPr="002114F5">
        <w:t>c</w:t>
      </w:r>
      <w:r w:rsidR="002A026E" w:rsidRPr="002114F5">
        <w:t>.</w:t>
      </w:r>
      <w:r w:rsidRPr="002114F5">
        <w:rPr>
          <w:i/>
          <w:iCs/>
        </w:rPr>
        <w:t> Pays-Bas</w:t>
      </w:r>
      <w:r w:rsidRPr="002114F5">
        <w:t>, communications n</w:t>
      </w:r>
      <w:r w:rsidRPr="002114F5">
        <w:rPr>
          <w:vertAlign w:val="superscript"/>
        </w:rPr>
        <w:t>os</w:t>
      </w:r>
      <w:r w:rsidRPr="002114F5">
        <w:t> 406/1990 et 426/1990</w:t>
      </w:r>
      <w:r w:rsidR="002A026E" w:rsidRPr="002114F5">
        <w:t>.</w:t>
      </w:r>
      <w:r w:rsidRPr="002114F5">
        <w:t xml:space="preserve"> </w:t>
      </w:r>
    </w:p>
  </w:footnote>
  <w:footnote w:id="35">
    <w:p w14:paraId="71C95BAE" w14:textId="77777777" w:rsidR="00AB516D" w:rsidRPr="002114F5" w:rsidRDefault="00AB516D" w:rsidP="00E42A05">
      <w:pPr>
        <w:pStyle w:val="Notedebasdepage"/>
      </w:pPr>
      <w:r w:rsidRPr="002114F5">
        <w:tab/>
      </w:r>
      <w:r w:rsidRPr="002114F5">
        <w:rPr>
          <w:rStyle w:val="Appelnotedebasdep"/>
        </w:rPr>
        <w:footnoteRef/>
      </w:r>
      <w:r w:rsidRPr="002114F5">
        <w:tab/>
        <w:t xml:space="preserve">L’État partie renvoie aux affaires </w:t>
      </w:r>
      <w:proofErr w:type="spellStart"/>
      <w:r w:rsidRPr="002114F5">
        <w:rPr>
          <w:i/>
          <w:iCs/>
        </w:rPr>
        <w:t>Winata</w:t>
      </w:r>
      <w:proofErr w:type="spellEnd"/>
      <w:r w:rsidRPr="002114F5">
        <w:rPr>
          <w:i/>
          <w:iCs/>
        </w:rPr>
        <w:t xml:space="preserve"> et Li </w:t>
      </w:r>
      <w:r w:rsidRPr="002114F5">
        <w:t>c</w:t>
      </w:r>
      <w:r w:rsidR="002A026E" w:rsidRPr="002114F5">
        <w:t>.</w:t>
      </w:r>
      <w:r w:rsidRPr="002114F5">
        <w:rPr>
          <w:i/>
          <w:iCs/>
        </w:rPr>
        <w:t xml:space="preserve"> Australie </w:t>
      </w:r>
      <w:r w:rsidRPr="002114F5">
        <w:t xml:space="preserve">et </w:t>
      </w:r>
      <w:proofErr w:type="spellStart"/>
      <w:r w:rsidRPr="002114F5">
        <w:rPr>
          <w:i/>
          <w:iCs/>
        </w:rPr>
        <w:t>Sahid</w:t>
      </w:r>
      <w:proofErr w:type="spellEnd"/>
      <w:r w:rsidRPr="002114F5">
        <w:rPr>
          <w:i/>
          <w:iCs/>
        </w:rPr>
        <w:t xml:space="preserve"> et autres </w:t>
      </w:r>
      <w:r w:rsidRPr="002114F5">
        <w:t>c</w:t>
      </w:r>
      <w:r w:rsidR="002A026E" w:rsidRPr="002114F5">
        <w:t>.</w:t>
      </w:r>
      <w:r w:rsidRPr="002114F5">
        <w:rPr>
          <w:i/>
          <w:iCs/>
        </w:rPr>
        <w:t xml:space="preserve"> Nouvelle-Zélande </w:t>
      </w:r>
      <w:r w:rsidRPr="002114F5">
        <w:t>(CCPR/C/77/D/893/1999)</w:t>
      </w:r>
      <w:r w:rsidR="002A026E" w:rsidRPr="002114F5">
        <w:t>.</w:t>
      </w:r>
      <w:r w:rsidRPr="002114F5">
        <w:t xml:space="preserve"> </w:t>
      </w:r>
    </w:p>
  </w:footnote>
  <w:footnote w:id="36">
    <w:p w14:paraId="54CF0D95" w14:textId="77777777" w:rsidR="00AB516D" w:rsidRPr="002114F5" w:rsidRDefault="00AB516D" w:rsidP="00E42A05">
      <w:pPr>
        <w:pStyle w:val="Notedebasdepage"/>
      </w:pPr>
      <w:r w:rsidRPr="002114F5">
        <w:tab/>
      </w:r>
      <w:r w:rsidRPr="002114F5">
        <w:rPr>
          <w:rStyle w:val="Appelnotedebasdep"/>
        </w:rPr>
        <w:footnoteRef/>
      </w:r>
      <w:r w:rsidRPr="002114F5">
        <w:tab/>
        <w:t>L’État partie rappelle que cette affaire portait sur une décision d’expulser les parents d’un enfant, en conséquence de laquelle cet enfant aurait été contraint de quitter lui aussi le pays afin que les liens familiaux puissent être maintenus, même s’il n’avait pas l’obligation de partir</w:t>
      </w:r>
      <w:r w:rsidR="002A026E" w:rsidRPr="002114F5">
        <w:t>.</w:t>
      </w:r>
      <w:r w:rsidRPr="002114F5">
        <w:t xml:space="preserve"> </w:t>
      </w:r>
    </w:p>
  </w:footnote>
  <w:footnote w:id="37">
    <w:p w14:paraId="2648F236" w14:textId="77777777" w:rsidR="00AB516D" w:rsidRPr="002114F5" w:rsidRDefault="00AB516D" w:rsidP="00E42A05">
      <w:pPr>
        <w:pStyle w:val="Notedebasdepage"/>
      </w:pPr>
      <w:r w:rsidRPr="002114F5">
        <w:tab/>
      </w:r>
      <w:r w:rsidRPr="002114F5">
        <w:rPr>
          <w:rStyle w:val="Appelnotedebasdep"/>
        </w:rPr>
        <w:footnoteRef/>
      </w:r>
      <w:r w:rsidRPr="002114F5">
        <w:tab/>
        <w:t xml:space="preserve">L’État partie renvoie à l’article premier de la Convention européenne d’assistance sociale et médicale et au paragraphe 1 de l’article premier de l’annexe à la Charte sociale européenne révisée, disponibles à l’adresse </w:t>
      </w:r>
      <w:hyperlink r:id="rId2" w:history="1">
        <w:r w:rsidRPr="002114F5">
          <w:rPr>
            <w:rStyle w:val="Lienhypertexte"/>
          </w:rPr>
          <w:t>https://www</w:t>
        </w:r>
        <w:r w:rsidR="002A026E" w:rsidRPr="002114F5">
          <w:rPr>
            <w:rStyle w:val="Lienhypertexte"/>
          </w:rPr>
          <w:t>.</w:t>
        </w:r>
        <w:r w:rsidRPr="002114F5">
          <w:rPr>
            <w:rStyle w:val="Lienhypertexte"/>
          </w:rPr>
          <w:t>coe</w:t>
        </w:r>
        <w:r w:rsidR="002A026E" w:rsidRPr="002114F5">
          <w:rPr>
            <w:rStyle w:val="Lienhypertexte"/>
          </w:rPr>
          <w:t>.</w:t>
        </w:r>
        <w:r w:rsidRPr="002114F5">
          <w:rPr>
            <w:rStyle w:val="Lienhypertexte"/>
          </w:rPr>
          <w:t>int/fr/web/conventions/full-list/-/conventions/treaty/014</w:t>
        </w:r>
      </w:hyperlink>
      <w:r w:rsidRPr="002114F5">
        <w:t xml:space="preserve"> et à l’adresse </w:t>
      </w:r>
      <w:hyperlink r:id="rId3" w:history="1">
        <w:r w:rsidRPr="002114F5">
          <w:rPr>
            <w:rStyle w:val="Lienhypertexte"/>
          </w:rPr>
          <w:t>https://rm</w:t>
        </w:r>
        <w:r w:rsidR="002A026E" w:rsidRPr="002114F5">
          <w:rPr>
            <w:rStyle w:val="Lienhypertexte"/>
          </w:rPr>
          <w:t>.</w:t>
        </w:r>
        <w:r w:rsidRPr="002114F5">
          <w:rPr>
            <w:rStyle w:val="Lienhypertexte"/>
          </w:rPr>
          <w:t>coe</w:t>
        </w:r>
        <w:r w:rsidR="002A026E" w:rsidRPr="002114F5">
          <w:rPr>
            <w:rStyle w:val="Lienhypertexte"/>
          </w:rPr>
          <w:t>.</w:t>
        </w:r>
        <w:r w:rsidRPr="002114F5">
          <w:rPr>
            <w:rStyle w:val="Lienhypertexte"/>
          </w:rPr>
          <w:t>int/168007cde5</w:t>
        </w:r>
      </w:hyperlink>
      <w:r w:rsidRPr="002114F5">
        <w:t>, respectivement</w:t>
      </w:r>
      <w:r w:rsidR="002A026E" w:rsidRPr="002114F5">
        <w:t>.</w:t>
      </w:r>
      <w:r w:rsidRPr="002114F5">
        <w:t xml:space="preserve"> </w:t>
      </w:r>
    </w:p>
  </w:footnote>
  <w:footnote w:id="38">
    <w:p w14:paraId="5780B65E" w14:textId="77777777" w:rsidR="00AB516D" w:rsidRPr="002114F5" w:rsidRDefault="00AB516D" w:rsidP="00E42A05">
      <w:pPr>
        <w:pStyle w:val="Notedebasdepage"/>
      </w:pPr>
      <w:r w:rsidRPr="002114F5">
        <w:tab/>
      </w:r>
      <w:r w:rsidRPr="002114F5">
        <w:rPr>
          <w:rStyle w:val="Appelnotedebasdep"/>
        </w:rPr>
        <w:footnoteRef/>
      </w:r>
      <w:r w:rsidRPr="002114F5">
        <w:tab/>
        <w:t>L’État partie indique qu’il ressort du paragraphe 1 de l’article premier du Protocole n</w:t>
      </w:r>
      <w:r w:rsidRPr="002114F5">
        <w:rPr>
          <w:vertAlign w:val="superscript"/>
        </w:rPr>
        <w:t>o</w:t>
      </w:r>
      <w:r w:rsidRPr="002114F5">
        <w:t> 7 à la Convention européenne des droits de l’homme qu’un étranger n’est pas considéré comme étant en situation régulière s’il est en attente d’une décision l’autorisant à séjourner dans le pays concerné</w:t>
      </w:r>
      <w:r w:rsidR="002A026E" w:rsidRPr="002114F5">
        <w:t>.</w:t>
      </w:r>
      <w:r w:rsidRPr="002114F5">
        <w:t xml:space="preserve"> </w:t>
      </w:r>
    </w:p>
  </w:footnote>
  <w:footnote w:id="39">
    <w:p w14:paraId="7FE10930" w14:textId="77777777" w:rsidR="00AB516D" w:rsidRPr="002114F5" w:rsidRDefault="00AB516D" w:rsidP="00E42A05">
      <w:pPr>
        <w:pStyle w:val="Notedebasdepage"/>
      </w:pPr>
      <w:r w:rsidRPr="002114F5">
        <w:tab/>
      </w:r>
      <w:r w:rsidRPr="002114F5">
        <w:rPr>
          <w:rStyle w:val="Appelnotedebasdep"/>
        </w:rPr>
        <w:footnoteRef/>
      </w:r>
      <w:r w:rsidRPr="002114F5">
        <w:tab/>
        <w:t>L’État partie cite les dispositions de l’article 14 de la Convention européenne des droits de l’homme et de l’article premier du Protocole n</w:t>
      </w:r>
      <w:r w:rsidRPr="002114F5">
        <w:rPr>
          <w:vertAlign w:val="superscript"/>
        </w:rPr>
        <w:t>o</w:t>
      </w:r>
      <w:r w:rsidRPr="002114F5">
        <w:t> 12 à la Convention, qu’il considère comme pertinentes, et souligne que cela a été confirmé par la Cour suprême dans son arrêt du 23 novembre 2013 concernant le recours des auteurs</w:t>
      </w:r>
      <w:r w:rsidR="002A026E" w:rsidRPr="002114F5">
        <w:t>.</w:t>
      </w:r>
    </w:p>
  </w:footnote>
  <w:footnote w:id="40">
    <w:p w14:paraId="772A7CDB" w14:textId="77777777" w:rsidR="00AB516D" w:rsidRPr="002114F5" w:rsidRDefault="00AB516D" w:rsidP="00E42A05">
      <w:pPr>
        <w:pStyle w:val="Notedebasdepage"/>
      </w:pPr>
      <w:r w:rsidRPr="002114F5">
        <w:tab/>
      </w:r>
      <w:r w:rsidRPr="002114F5">
        <w:rPr>
          <w:rStyle w:val="Appelnotedebasdep"/>
        </w:rPr>
        <w:footnoteRef/>
      </w:r>
      <w:r w:rsidRPr="002114F5">
        <w:tab/>
        <w:t>L’État partie souligne qu’il y a discrimination lorsqu’il n’existe aucun motif objectif et raisonnable ; en d’autres termes, l’inégalité de traitement doit poursuivre un but légitime et les moyens employés pour atteindre ce but doivent être raisonnables et proportionnés</w:t>
      </w:r>
      <w:r w:rsidR="002A026E" w:rsidRPr="002114F5">
        <w:t>.</w:t>
      </w:r>
    </w:p>
  </w:footnote>
  <w:footnote w:id="41">
    <w:p w14:paraId="3404D8AB" w14:textId="77777777" w:rsidR="00AB516D" w:rsidRPr="002114F5" w:rsidRDefault="00AB516D" w:rsidP="00E42A05">
      <w:pPr>
        <w:pStyle w:val="Notedebasdepage"/>
      </w:pPr>
      <w:r w:rsidRPr="002114F5">
        <w:tab/>
      </w:r>
      <w:r w:rsidRPr="002114F5">
        <w:rPr>
          <w:rStyle w:val="Appelnotedebasdep"/>
        </w:rPr>
        <w:footnoteRef/>
      </w:r>
      <w:r w:rsidRPr="002114F5">
        <w:tab/>
        <w:t xml:space="preserve">L’État partie renvoie à Cour européenne des droits de l’homme, </w:t>
      </w:r>
      <w:proofErr w:type="spellStart"/>
      <w:r w:rsidRPr="002114F5">
        <w:rPr>
          <w:i/>
          <w:iCs/>
        </w:rPr>
        <w:t>Gaygusuz</w:t>
      </w:r>
      <w:proofErr w:type="spellEnd"/>
      <w:r w:rsidRPr="002114F5">
        <w:rPr>
          <w:i/>
          <w:iCs/>
        </w:rPr>
        <w:t xml:space="preserve"> </w:t>
      </w:r>
      <w:r w:rsidRPr="002114F5">
        <w:t>c</w:t>
      </w:r>
      <w:r w:rsidR="002A026E" w:rsidRPr="002114F5">
        <w:t>.</w:t>
      </w:r>
      <w:r w:rsidRPr="002114F5">
        <w:rPr>
          <w:i/>
          <w:iCs/>
        </w:rPr>
        <w:t xml:space="preserve"> Autriche </w:t>
      </w:r>
      <w:r w:rsidRPr="002114F5">
        <w:t xml:space="preserve">et </w:t>
      </w:r>
      <w:proofErr w:type="spellStart"/>
      <w:r w:rsidRPr="002114F5">
        <w:rPr>
          <w:i/>
          <w:iCs/>
        </w:rPr>
        <w:t>Andrejeva</w:t>
      </w:r>
      <w:proofErr w:type="spellEnd"/>
      <w:r w:rsidRPr="002114F5">
        <w:rPr>
          <w:i/>
          <w:iCs/>
        </w:rPr>
        <w:t xml:space="preserve"> </w:t>
      </w:r>
      <w:r w:rsidRPr="002114F5">
        <w:t>c</w:t>
      </w:r>
      <w:r w:rsidR="002A026E" w:rsidRPr="002114F5">
        <w:t>.</w:t>
      </w:r>
      <w:r w:rsidRPr="002114F5">
        <w:rPr>
          <w:i/>
          <w:iCs/>
        </w:rPr>
        <w:t> Lettonie</w:t>
      </w:r>
      <w:r w:rsidR="002A026E" w:rsidRPr="002114F5">
        <w:t>.</w:t>
      </w:r>
    </w:p>
  </w:footnote>
  <w:footnote w:id="42">
    <w:p w14:paraId="38F8DC62" w14:textId="77777777" w:rsidR="00AB516D" w:rsidRPr="002114F5" w:rsidRDefault="00AB516D" w:rsidP="00E42A05">
      <w:pPr>
        <w:pStyle w:val="Notedebasdepage"/>
      </w:pPr>
      <w:r w:rsidRPr="002114F5">
        <w:tab/>
      </w:r>
      <w:r w:rsidRPr="002114F5">
        <w:rPr>
          <w:rStyle w:val="Appelnotedebasdep"/>
        </w:rPr>
        <w:footnoteRef/>
      </w:r>
      <w:r w:rsidRPr="002114F5">
        <w:tab/>
        <w:t xml:space="preserve">L’État partie rappelle que, dans son arrêt du 23 novembre 2013, la Cour suprême a cité le paragraphe 33 de l’arrêt de la Cour européenne des droits de l’homme en l’affaire </w:t>
      </w:r>
      <w:proofErr w:type="spellStart"/>
      <w:r w:rsidRPr="002114F5">
        <w:rPr>
          <w:i/>
          <w:iCs/>
        </w:rPr>
        <w:t>Niedzwiecki</w:t>
      </w:r>
      <w:proofErr w:type="spellEnd"/>
      <w:r w:rsidRPr="002114F5">
        <w:rPr>
          <w:i/>
          <w:iCs/>
        </w:rPr>
        <w:t xml:space="preserve"> </w:t>
      </w:r>
      <w:r w:rsidRPr="002114F5">
        <w:t>c</w:t>
      </w:r>
      <w:r w:rsidR="002A026E" w:rsidRPr="002114F5">
        <w:t>.</w:t>
      </w:r>
      <w:r w:rsidRPr="002114F5">
        <w:t> </w:t>
      </w:r>
      <w:r w:rsidRPr="002114F5">
        <w:rPr>
          <w:i/>
          <w:iCs/>
        </w:rPr>
        <w:t>Allemagne</w:t>
      </w:r>
      <w:r w:rsidR="002A026E" w:rsidRPr="002114F5">
        <w:t>.</w:t>
      </w:r>
      <w:r w:rsidRPr="002114F5">
        <w:t xml:space="preserve"> </w:t>
      </w:r>
    </w:p>
  </w:footnote>
  <w:footnote w:id="43">
    <w:p w14:paraId="3E2B6149" w14:textId="77777777" w:rsidR="00AB516D" w:rsidRPr="002114F5" w:rsidRDefault="00AB516D" w:rsidP="00E42A05">
      <w:pPr>
        <w:pStyle w:val="Notedebasdepage"/>
      </w:pPr>
      <w:r w:rsidRPr="002114F5">
        <w:tab/>
      </w:r>
      <w:r w:rsidRPr="002114F5">
        <w:rPr>
          <w:rStyle w:val="Appelnotedebasdep"/>
        </w:rPr>
        <w:footnoteRef/>
      </w:r>
      <w:r w:rsidRPr="002114F5">
        <w:tab/>
        <w:t xml:space="preserve">L’État partie renvoie à Cour européenne des droits de l’homme, </w:t>
      </w:r>
      <w:r w:rsidRPr="002114F5">
        <w:rPr>
          <w:i/>
          <w:iCs/>
        </w:rPr>
        <w:t>Weller c</w:t>
      </w:r>
      <w:r w:rsidR="002A026E" w:rsidRPr="002114F5">
        <w:rPr>
          <w:i/>
          <w:iCs/>
        </w:rPr>
        <w:t>.</w:t>
      </w:r>
      <w:r w:rsidRPr="002114F5">
        <w:rPr>
          <w:i/>
          <w:iCs/>
        </w:rPr>
        <w:t xml:space="preserve"> Hongrie </w:t>
      </w:r>
      <w:r w:rsidRPr="002114F5">
        <w:t>(requête n</w:t>
      </w:r>
      <w:r w:rsidRPr="002114F5">
        <w:rPr>
          <w:vertAlign w:val="superscript"/>
        </w:rPr>
        <w:t>o</w:t>
      </w:r>
      <w:r w:rsidRPr="002114F5">
        <w:t> 44399/05), arrêt du 31 mars 2009, par</w:t>
      </w:r>
      <w:r w:rsidR="002A026E" w:rsidRPr="002114F5">
        <w:t>.</w:t>
      </w:r>
      <w:r w:rsidRPr="002114F5">
        <w:t xml:space="preserve"> 28</w:t>
      </w:r>
      <w:r w:rsidR="002A026E" w:rsidRPr="002114F5">
        <w:t>.</w:t>
      </w:r>
    </w:p>
  </w:footnote>
  <w:footnote w:id="44">
    <w:p w14:paraId="21400483" w14:textId="77777777" w:rsidR="00AB516D" w:rsidRPr="002114F5" w:rsidRDefault="00AB516D" w:rsidP="00E42A05">
      <w:pPr>
        <w:pStyle w:val="Notedebasdepage"/>
      </w:pPr>
      <w:r w:rsidRPr="002114F5">
        <w:tab/>
      </w:r>
      <w:r w:rsidRPr="002114F5">
        <w:rPr>
          <w:rStyle w:val="Appelnotedebasdep"/>
        </w:rPr>
        <w:footnoteRef/>
      </w:r>
      <w:r w:rsidRPr="002114F5">
        <w:tab/>
        <w:t>L’État partie cite les paragraphes f), g) et h) de l’article 8 de la loi sur les étrangers</w:t>
      </w:r>
      <w:r w:rsidR="002A026E" w:rsidRPr="002114F5">
        <w:t>.</w:t>
      </w:r>
    </w:p>
  </w:footnote>
  <w:footnote w:id="45">
    <w:p w14:paraId="2FF9EB02" w14:textId="77777777" w:rsidR="00AB516D" w:rsidRPr="002114F5" w:rsidRDefault="00AB516D" w:rsidP="00E42A05">
      <w:pPr>
        <w:pStyle w:val="Notedebasdepage"/>
      </w:pPr>
      <w:r w:rsidRPr="002114F5">
        <w:tab/>
      </w:r>
      <w:r w:rsidRPr="002114F5">
        <w:rPr>
          <w:rStyle w:val="Appelnotedebasdep"/>
        </w:rPr>
        <w:footnoteRef/>
      </w:r>
      <w:r w:rsidRPr="002114F5">
        <w:tab/>
        <w:t xml:space="preserve">L’État partie renvoie à Cour européenne des droits de l’homme, </w:t>
      </w:r>
      <w:r w:rsidRPr="002114F5">
        <w:rPr>
          <w:i/>
          <w:iCs/>
        </w:rPr>
        <w:t>N</w:t>
      </w:r>
      <w:r w:rsidR="002A026E" w:rsidRPr="002114F5">
        <w:rPr>
          <w:i/>
          <w:iCs/>
        </w:rPr>
        <w:t>.</w:t>
      </w:r>
      <w:r w:rsidRPr="002114F5">
        <w:rPr>
          <w:i/>
          <w:iCs/>
        </w:rPr>
        <w:t> </w:t>
      </w:r>
      <w:r w:rsidRPr="002114F5">
        <w:t>c</w:t>
      </w:r>
      <w:r w:rsidR="002A026E" w:rsidRPr="002114F5">
        <w:t>.</w:t>
      </w:r>
      <w:r w:rsidRPr="002114F5">
        <w:rPr>
          <w:i/>
          <w:iCs/>
        </w:rPr>
        <w:t xml:space="preserve"> Royaume-Uni </w:t>
      </w:r>
      <w:r w:rsidRPr="002114F5">
        <w:t>(requête n</w:t>
      </w:r>
      <w:r w:rsidRPr="002114F5">
        <w:rPr>
          <w:vertAlign w:val="superscript"/>
        </w:rPr>
        <w:t>o</w:t>
      </w:r>
      <w:r w:rsidRPr="002114F5">
        <w:t> 26565/05), arrêt du 27 mai 2008</w:t>
      </w:r>
      <w:r w:rsidR="002A026E" w:rsidRPr="002114F5">
        <w:t>.</w:t>
      </w:r>
    </w:p>
  </w:footnote>
  <w:footnote w:id="46">
    <w:p w14:paraId="21B98844" w14:textId="77777777" w:rsidR="00AB516D" w:rsidRPr="002114F5" w:rsidRDefault="00AB516D" w:rsidP="00E42A05">
      <w:pPr>
        <w:pStyle w:val="Notedebasdepage"/>
      </w:pPr>
      <w:r w:rsidRPr="002114F5">
        <w:tab/>
      </w:r>
      <w:r w:rsidRPr="002114F5">
        <w:rPr>
          <w:rStyle w:val="Appelnotedebasdep"/>
        </w:rPr>
        <w:footnoteRef/>
      </w:r>
      <w:r w:rsidRPr="002114F5">
        <w:tab/>
        <w:t xml:space="preserve">L’État partie renvoie à Cour européenne des droits de l’homme, </w:t>
      </w:r>
      <w:proofErr w:type="spellStart"/>
      <w:r w:rsidRPr="002114F5">
        <w:rPr>
          <w:i/>
          <w:iCs/>
        </w:rPr>
        <w:t>Nacic</w:t>
      </w:r>
      <w:proofErr w:type="spellEnd"/>
      <w:r w:rsidRPr="002114F5">
        <w:rPr>
          <w:i/>
          <w:iCs/>
        </w:rPr>
        <w:t xml:space="preserve"> et autres </w:t>
      </w:r>
      <w:r w:rsidRPr="002114F5">
        <w:rPr>
          <w:iCs/>
        </w:rPr>
        <w:t>c</w:t>
      </w:r>
      <w:r w:rsidR="002A026E" w:rsidRPr="002114F5">
        <w:rPr>
          <w:iCs/>
        </w:rPr>
        <w:t>.</w:t>
      </w:r>
      <w:r w:rsidRPr="002114F5">
        <w:rPr>
          <w:i/>
          <w:iCs/>
        </w:rPr>
        <w:t> Suède</w:t>
      </w:r>
      <w:r w:rsidRPr="002114F5">
        <w:t>, par</w:t>
      </w:r>
      <w:r w:rsidR="002A026E" w:rsidRPr="002114F5">
        <w:t>.</w:t>
      </w:r>
      <w:r w:rsidRPr="002114F5">
        <w:t> 79</w:t>
      </w:r>
      <w:r w:rsidR="002A026E" w:rsidRPr="002114F5">
        <w:t>.</w:t>
      </w:r>
    </w:p>
  </w:footnote>
  <w:footnote w:id="47">
    <w:p w14:paraId="65AD58B1" w14:textId="77777777" w:rsidR="00AB516D" w:rsidRPr="002114F5" w:rsidRDefault="00AB516D" w:rsidP="00E42A05">
      <w:pPr>
        <w:pStyle w:val="Notedebasdepage"/>
      </w:pPr>
      <w:r w:rsidRPr="002114F5">
        <w:tab/>
      </w:r>
      <w:r w:rsidRPr="002114F5">
        <w:rPr>
          <w:rStyle w:val="Appelnotedebasdep"/>
        </w:rPr>
        <w:footnoteRef/>
      </w:r>
      <w:r w:rsidRPr="002114F5">
        <w:tab/>
        <w:t xml:space="preserve">L’État partie considère que les renvois des auteurs aux affaires </w:t>
      </w:r>
      <w:r w:rsidR="0009155E" w:rsidRPr="002114F5">
        <w:rPr>
          <w:i/>
          <w:iCs/>
        </w:rPr>
        <w:t>D</w:t>
      </w:r>
      <w:r w:rsidRPr="002114F5">
        <w:rPr>
          <w:i/>
          <w:iCs/>
        </w:rPr>
        <w:t xml:space="preserve">e Souza Ribeiro </w:t>
      </w:r>
      <w:r w:rsidRPr="002114F5">
        <w:rPr>
          <w:iCs/>
        </w:rPr>
        <w:t>c</w:t>
      </w:r>
      <w:r w:rsidR="002A026E" w:rsidRPr="002114F5">
        <w:rPr>
          <w:iCs/>
        </w:rPr>
        <w:t>.</w:t>
      </w:r>
      <w:r w:rsidRPr="002114F5">
        <w:rPr>
          <w:i/>
          <w:iCs/>
        </w:rPr>
        <w:t xml:space="preserve"> France </w:t>
      </w:r>
      <w:r w:rsidRPr="002114F5">
        <w:t xml:space="preserve">et </w:t>
      </w:r>
      <w:r w:rsidRPr="002114F5">
        <w:rPr>
          <w:i/>
          <w:iCs/>
        </w:rPr>
        <w:t xml:space="preserve">Nunez </w:t>
      </w:r>
      <w:r w:rsidRPr="002114F5">
        <w:rPr>
          <w:iCs/>
        </w:rPr>
        <w:t>c</w:t>
      </w:r>
      <w:r w:rsidR="002A026E" w:rsidRPr="002114F5">
        <w:rPr>
          <w:iCs/>
        </w:rPr>
        <w:t>.</w:t>
      </w:r>
      <w:r w:rsidRPr="002114F5">
        <w:rPr>
          <w:i/>
          <w:iCs/>
        </w:rPr>
        <w:t xml:space="preserve"> Norvège </w:t>
      </w:r>
      <w:r w:rsidRPr="002114F5">
        <w:t>ne sont pas pertinents</w:t>
      </w:r>
      <w:r w:rsidR="002A026E" w:rsidRPr="002114F5">
        <w:t>.</w:t>
      </w:r>
    </w:p>
  </w:footnote>
  <w:footnote w:id="48">
    <w:p w14:paraId="46305CC9" w14:textId="77777777" w:rsidR="00AB516D" w:rsidRPr="002114F5" w:rsidRDefault="00AB516D" w:rsidP="00E42A05">
      <w:pPr>
        <w:pStyle w:val="Notedebasdepage"/>
      </w:pPr>
      <w:r w:rsidRPr="002114F5">
        <w:tab/>
      </w:r>
      <w:r w:rsidRPr="002114F5">
        <w:rPr>
          <w:rStyle w:val="Appelnotedebasdep"/>
        </w:rPr>
        <w:footnoteRef/>
      </w:r>
      <w:r w:rsidRPr="002114F5">
        <w:tab/>
        <w:t>L’État partie considère qu’il n’a pas à commenter un arrêt de la Cour suprême</w:t>
      </w:r>
      <w:r w:rsidR="002A026E" w:rsidRPr="002114F5">
        <w:t>.</w:t>
      </w:r>
    </w:p>
  </w:footnote>
  <w:footnote w:id="49">
    <w:p w14:paraId="486466BB" w14:textId="77777777" w:rsidR="00AB516D" w:rsidRPr="002114F5" w:rsidRDefault="00AB516D" w:rsidP="00E42A05">
      <w:pPr>
        <w:pStyle w:val="Notedebasdepage"/>
      </w:pPr>
      <w:r w:rsidRPr="002114F5">
        <w:tab/>
      </w:r>
      <w:r w:rsidRPr="002114F5">
        <w:rPr>
          <w:rStyle w:val="Appelnotedebasdep"/>
        </w:rPr>
        <w:footnoteRef/>
      </w:r>
      <w:r w:rsidRPr="002114F5">
        <w:tab/>
        <w:t>Pour l’État partie, le souci de l’intérêt général veut qu’il soit nécessaire de priver les personnes qui n’ont pas de permis de séjour valable de la possibilité de réclamer des prestations et d’avoir ainsi un moyen de prolonger un séjour irrégulier</w:t>
      </w:r>
      <w:r w:rsidR="002A026E" w:rsidRPr="002114F5">
        <w:t>.</w:t>
      </w:r>
    </w:p>
  </w:footnote>
  <w:footnote w:id="50">
    <w:p w14:paraId="4EC5FA5C" w14:textId="77777777" w:rsidR="00AB516D" w:rsidRPr="002114F5" w:rsidRDefault="00AB516D" w:rsidP="00E42A05">
      <w:pPr>
        <w:pStyle w:val="Notedebasdepage"/>
      </w:pPr>
      <w:r w:rsidRPr="002114F5">
        <w:tab/>
      </w:r>
      <w:r w:rsidRPr="002114F5">
        <w:rPr>
          <w:rStyle w:val="Appelnotedebasdep"/>
        </w:rPr>
        <w:footnoteRef/>
      </w:r>
      <w:r w:rsidRPr="002114F5">
        <w:tab/>
        <w:t xml:space="preserve">L’État partie renvoie à Cour européenne des droits de l’homme, </w:t>
      </w:r>
      <w:r w:rsidRPr="002114F5">
        <w:rPr>
          <w:i/>
          <w:iCs/>
        </w:rPr>
        <w:t xml:space="preserve">Bah </w:t>
      </w:r>
      <w:r w:rsidRPr="002114F5">
        <w:rPr>
          <w:iCs/>
        </w:rPr>
        <w:t>c</w:t>
      </w:r>
      <w:r w:rsidR="002A026E" w:rsidRPr="002114F5">
        <w:rPr>
          <w:iCs/>
        </w:rPr>
        <w:t>.</w:t>
      </w:r>
      <w:r w:rsidRPr="002114F5">
        <w:rPr>
          <w:iCs/>
        </w:rPr>
        <w:t> </w:t>
      </w:r>
      <w:r w:rsidRPr="002114F5">
        <w:rPr>
          <w:i/>
          <w:iCs/>
        </w:rPr>
        <w:t>Royaume-Uni</w:t>
      </w:r>
      <w:r w:rsidRPr="002114F5">
        <w:t>, par</w:t>
      </w:r>
      <w:r w:rsidR="002A026E" w:rsidRPr="002114F5">
        <w:t>.</w:t>
      </w:r>
      <w:r w:rsidRPr="002114F5">
        <w:t> 47</w:t>
      </w:r>
      <w:r w:rsidR="002A026E" w:rsidRPr="002114F5">
        <w:t>.</w:t>
      </w:r>
    </w:p>
  </w:footnote>
  <w:footnote w:id="51">
    <w:p w14:paraId="1C2280E1" w14:textId="77777777" w:rsidR="00AB516D" w:rsidRPr="002114F5" w:rsidRDefault="00AB516D" w:rsidP="00E42A05">
      <w:pPr>
        <w:pStyle w:val="Notedebasdepage"/>
      </w:pPr>
      <w:r w:rsidRPr="002114F5">
        <w:tab/>
      </w:r>
      <w:r w:rsidRPr="002114F5">
        <w:rPr>
          <w:rStyle w:val="Appelnotedebasdep"/>
        </w:rPr>
        <w:footnoteRef/>
      </w:r>
      <w:r w:rsidRPr="002114F5">
        <w:tab/>
      </w:r>
      <w:bookmarkStart w:id="5" w:name="_Hlk42267811"/>
      <w:r w:rsidRPr="002114F5">
        <w:t xml:space="preserve">Les auteurs renvoient à Cour de justice de l’Union européenne, </w:t>
      </w:r>
      <w:r w:rsidRPr="002114F5">
        <w:rPr>
          <w:i/>
          <w:iCs/>
        </w:rPr>
        <w:t>H</w:t>
      </w:r>
      <w:r w:rsidR="002A026E" w:rsidRPr="002114F5">
        <w:rPr>
          <w:i/>
          <w:iCs/>
        </w:rPr>
        <w:t>.</w:t>
      </w:r>
      <w:r w:rsidR="00DF2461" w:rsidRPr="002114F5">
        <w:rPr>
          <w:i/>
          <w:iCs/>
        </w:rPr>
        <w:t> </w:t>
      </w:r>
      <w:r w:rsidRPr="002114F5">
        <w:rPr>
          <w:i/>
          <w:iCs/>
        </w:rPr>
        <w:t>C</w:t>
      </w:r>
      <w:r w:rsidR="002A026E" w:rsidRPr="002114F5">
        <w:rPr>
          <w:i/>
          <w:iCs/>
        </w:rPr>
        <w:t>.</w:t>
      </w:r>
      <w:r w:rsidRPr="002114F5">
        <w:rPr>
          <w:i/>
          <w:iCs/>
        </w:rPr>
        <w:t> Chavez-</w:t>
      </w:r>
      <w:proofErr w:type="spellStart"/>
      <w:r w:rsidRPr="002114F5">
        <w:rPr>
          <w:i/>
          <w:iCs/>
        </w:rPr>
        <w:t>Vilchez</w:t>
      </w:r>
      <w:proofErr w:type="spellEnd"/>
      <w:r w:rsidRPr="002114F5">
        <w:rPr>
          <w:i/>
          <w:iCs/>
        </w:rPr>
        <w:t xml:space="preserve"> et autres </w:t>
      </w:r>
      <w:r w:rsidRPr="002114F5">
        <w:t>c</w:t>
      </w:r>
      <w:r w:rsidR="002A026E" w:rsidRPr="002114F5">
        <w:t>.</w:t>
      </w:r>
      <w:r w:rsidRPr="002114F5">
        <w:rPr>
          <w:i/>
          <w:iCs/>
        </w:rPr>
        <w:t xml:space="preserve"> </w:t>
      </w:r>
      <w:proofErr w:type="spellStart"/>
      <w:r w:rsidRPr="002114F5">
        <w:rPr>
          <w:i/>
          <w:iCs/>
        </w:rPr>
        <w:t>Raad</w:t>
      </w:r>
      <w:proofErr w:type="spellEnd"/>
      <w:r w:rsidRPr="002114F5">
        <w:rPr>
          <w:i/>
          <w:iCs/>
        </w:rPr>
        <w:t xml:space="preserve"> van </w:t>
      </w:r>
      <w:proofErr w:type="spellStart"/>
      <w:r w:rsidRPr="002114F5">
        <w:rPr>
          <w:i/>
          <w:iCs/>
        </w:rPr>
        <w:t>bestuur</w:t>
      </w:r>
      <w:proofErr w:type="spellEnd"/>
      <w:r w:rsidRPr="002114F5">
        <w:rPr>
          <w:i/>
          <w:iCs/>
        </w:rPr>
        <w:t xml:space="preserve"> van de Sociale </w:t>
      </w:r>
      <w:proofErr w:type="spellStart"/>
      <w:r w:rsidRPr="002114F5">
        <w:rPr>
          <w:i/>
          <w:iCs/>
        </w:rPr>
        <w:t>verzekeringsbank</w:t>
      </w:r>
      <w:proofErr w:type="spellEnd"/>
      <w:r w:rsidRPr="002114F5">
        <w:rPr>
          <w:i/>
          <w:iCs/>
        </w:rPr>
        <w:t xml:space="preserve"> et autres</w:t>
      </w:r>
      <w:r w:rsidRPr="002114F5">
        <w:t xml:space="preserve"> (affaire C-133/15), </w:t>
      </w:r>
      <w:bookmarkEnd w:id="5"/>
      <w:r w:rsidRPr="002114F5">
        <w:t>dans laquelle le Tribunal administratif central a demandé une décision préjudicielle à la Cour de justice</w:t>
      </w:r>
      <w:r w:rsidR="002A026E" w:rsidRPr="002114F5">
        <w:t>.</w:t>
      </w:r>
      <w:r w:rsidRPr="002114F5">
        <w:t xml:space="preserve"> Dans ses observations, la Commission européenne a considéré que la mise en œuvre des règles applicables dans le domaine du droit de la famille et de la protection sociale par les autorités nationales était assujettie au droit national et au droit international, y compris à la Convention européenne des droits de l’homme et à la Convention relative aux droits de l’enfant de l’ONU et que, de ce fait, elle garantissait une protection adéquate du droit au respect de la vie familiale et de l’intérêt de l’enfant</w:t>
      </w:r>
      <w:r w:rsidR="002A026E" w:rsidRPr="002114F5">
        <w:t>.</w:t>
      </w:r>
      <w:r w:rsidRPr="002114F5">
        <w:t xml:space="preserve"> </w:t>
      </w:r>
      <w:hyperlink w:history="1"/>
    </w:p>
  </w:footnote>
  <w:footnote w:id="52">
    <w:p w14:paraId="72B6E8F7" w14:textId="77777777" w:rsidR="00AB516D" w:rsidRPr="002114F5" w:rsidRDefault="00AB516D" w:rsidP="00E42A05">
      <w:pPr>
        <w:pStyle w:val="Notedebasdepage"/>
      </w:pPr>
      <w:r w:rsidRPr="002114F5">
        <w:tab/>
      </w:r>
      <w:r w:rsidRPr="002114F5">
        <w:rPr>
          <w:rStyle w:val="Appelnotedebasdep"/>
        </w:rPr>
        <w:footnoteRef/>
      </w:r>
      <w:r w:rsidRPr="002114F5">
        <w:tab/>
        <w:t>Les auteurs indiquent que ces dernières années, les subventions publiques représentaient de 9 à 13 % du budget de Voice in the City</w:t>
      </w:r>
      <w:r w:rsidR="002A026E" w:rsidRPr="002114F5">
        <w:t>.</w:t>
      </w:r>
    </w:p>
  </w:footnote>
  <w:footnote w:id="53">
    <w:p w14:paraId="6E143288" w14:textId="77777777" w:rsidR="00AB516D" w:rsidRPr="002114F5" w:rsidRDefault="00AB516D" w:rsidP="00E42A05">
      <w:pPr>
        <w:pStyle w:val="Notedebasdepage"/>
      </w:pPr>
      <w:r w:rsidRPr="002114F5">
        <w:tab/>
      </w:r>
      <w:r w:rsidRPr="002114F5">
        <w:rPr>
          <w:rStyle w:val="Appelnotedebasdep"/>
        </w:rPr>
        <w:footnoteRef/>
      </w:r>
      <w:r w:rsidRPr="002114F5">
        <w:tab/>
        <w:t>Voir observation générale n</w:t>
      </w:r>
      <w:r w:rsidRPr="002114F5">
        <w:rPr>
          <w:vertAlign w:val="superscript"/>
        </w:rPr>
        <w:t>o</w:t>
      </w:r>
      <w:r w:rsidRPr="002114F5">
        <w:t> 17, par</w:t>
      </w:r>
      <w:r w:rsidR="002A026E" w:rsidRPr="002114F5">
        <w:t>.</w:t>
      </w:r>
      <w:r w:rsidRPr="002114F5">
        <w:t xml:space="preserve"> 4 ; voir aussi </w:t>
      </w:r>
      <w:proofErr w:type="spellStart"/>
      <w:r w:rsidRPr="002114F5">
        <w:rPr>
          <w:i/>
        </w:rPr>
        <w:t>Mónaco</w:t>
      </w:r>
      <w:proofErr w:type="spellEnd"/>
      <w:r w:rsidRPr="002114F5">
        <w:rPr>
          <w:i/>
        </w:rPr>
        <w:t xml:space="preserve"> de </w:t>
      </w:r>
      <w:proofErr w:type="spellStart"/>
      <w:r w:rsidRPr="002114F5">
        <w:rPr>
          <w:i/>
        </w:rPr>
        <w:t>Gallicchio</w:t>
      </w:r>
      <w:proofErr w:type="spellEnd"/>
      <w:r w:rsidRPr="002114F5">
        <w:rPr>
          <w:i/>
        </w:rPr>
        <w:t xml:space="preserve"> </w:t>
      </w:r>
      <w:r w:rsidRPr="002114F5">
        <w:t>c</w:t>
      </w:r>
      <w:r w:rsidR="002A026E" w:rsidRPr="002114F5">
        <w:t>.</w:t>
      </w:r>
      <w:r w:rsidRPr="002114F5">
        <w:rPr>
          <w:i/>
        </w:rPr>
        <w:t xml:space="preserve"> Argentine </w:t>
      </w:r>
      <w:r w:rsidRPr="002114F5">
        <w:rPr>
          <w:lang w:val="fr-FR"/>
        </w:rPr>
        <w:t>(CCPR/C/53/D/400/1990)</w:t>
      </w:r>
      <w:r w:rsidRPr="002114F5">
        <w:t>, par</w:t>
      </w:r>
      <w:r w:rsidR="002A026E" w:rsidRPr="002114F5">
        <w:t>.</w:t>
      </w:r>
      <w:r w:rsidRPr="002114F5">
        <w:t> 10</w:t>
      </w:r>
      <w:r w:rsidR="002A026E" w:rsidRPr="002114F5">
        <w:t>.</w:t>
      </w:r>
      <w:r w:rsidRPr="002114F5">
        <w:t>5</w:t>
      </w:r>
      <w:r w:rsidR="002A026E" w:rsidRPr="002114F5">
        <w:t>.</w:t>
      </w:r>
      <w:r w:rsidRPr="002114F5">
        <w:t xml:space="preserve"> </w:t>
      </w:r>
    </w:p>
  </w:footnote>
  <w:footnote w:id="54">
    <w:p w14:paraId="17E36D57" w14:textId="77777777" w:rsidR="00AB516D" w:rsidRPr="002114F5" w:rsidRDefault="00AB516D" w:rsidP="00E42A05">
      <w:pPr>
        <w:pStyle w:val="Notedebasdepage"/>
      </w:pPr>
      <w:r w:rsidRPr="002114F5">
        <w:tab/>
      </w:r>
      <w:r w:rsidRPr="002114F5">
        <w:rPr>
          <w:rStyle w:val="Appelnotedebasdep"/>
        </w:rPr>
        <w:footnoteRef/>
      </w:r>
      <w:r w:rsidRPr="002114F5">
        <w:tab/>
      </w:r>
      <w:proofErr w:type="spellStart"/>
      <w:r w:rsidRPr="002114F5">
        <w:rPr>
          <w:i/>
        </w:rPr>
        <w:t>Bakhtiyari</w:t>
      </w:r>
      <w:proofErr w:type="spellEnd"/>
      <w:r w:rsidRPr="002114F5">
        <w:rPr>
          <w:i/>
        </w:rPr>
        <w:t xml:space="preserve"> et </w:t>
      </w:r>
      <w:proofErr w:type="spellStart"/>
      <w:r w:rsidRPr="002114F5">
        <w:rPr>
          <w:i/>
        </w:rPr>
        <w:t>Bakhtiyari</w:t>
      </w:r>
      <w:proofErr w:type="spellEnd"/>
      <w:r w:rsidRPr="002114F5">
        <w:rPr>
          <w:i/>
        </w:rPr>
        <w:t xml:space="preserve"> </w:t>
      </w:r>
      <w:r w:rsidRPr="002114F5">
        <w:t>c</w:t>
      </w:r>
      <w:r w:rsidR="002A026E" w:rsidRPr="002114F5">
        <w:t>.</w:t>
      </w:r>
      <w:r w:rsidRPr="002114F5">
        <w:rPr>
          <w:i/>
        </w:rPr>
        <w:t xml:space="preserve"> Australie</w:t>
      </w:r>
      <w:r w:rsidRPr="002114F5">
        <w:t>, par</w:t>
      </w:r>
      <w:r w:rsidR="002A026E" w:rsidRPr="002114F5">
        <w:t>.</w:t>
      </w:r>
      <w:r w:rsidRPr="002114F5">
        <w:t> 9</w:t>
      </w:r>
      <w:r w:rsidR="002A026E" w:rsidRPr="002114F5">
        <w:t>.</w:t>
      </w:r>
      <w:r w:rsidRPr="002114F5">
        <w:t>7</w:t>
      </w:r>
      <w:r w:rsidR="002A026E" w:rsidRPr="002114F5">
        <w:t>.</w:t>
      </w:r>
    </w:p>
  </w:footnote>
  <w:footnote w:id="55">
    <w:p w14:paraId="0AE665AB" w14:textId="77777777" w:rsidR="00AB516D" w:rsidRPr="005A371D" w:rsidRDefault="00AB516D" w:rsidP="00E42A05">
      <w:pPr>
        <w:pStyle w:val="Notedebasdepage"/>
      </w:pPr>
      <w:r w:rsidRPr="002114F5">
        <w:tab/>
      </w:r>
      <w:r w:rsidRPr="002114F5">
        <w:rPr>
          <w:rStyle w:val="Appelnotedebasdep"/>
        </w:rPr>
        <w:footnoteRef/>
      </w:r>
      <w:r w:rsidRPr="002114F5">
        <w:tab/>
        <w:t xml:space="preserve">Voir également </w:t>
      </w:r>
      <w:proofErr w:type="spellStart"/>
      <w:r w:rsidRPr="002114F5">
        <w:rPr>
          <w:i/>
          <w:iCs/>
          <w:szCs w:val="18"/>
        </w:rPr>
        <w:t>Abdoellaevna</w:t>
      </w:r>
      <w:proofErr w:type="spellEnd"/>
      <w:r w:rsidRPr="002114F5">
        <w:rPr>
          <w:i/>
          <w:iCs/>
          <w:szCs w:val="18"/>
        </w:rPr>
        <w:t xml:space="preserve"> et Y </w:t>
      </w:r>
      <w:r w:rsidRPr="002114F5">
        <w:rPr>
          <w:szCs w:val="18"/>
        </w:rPr>
        <w:t>c</w:t>
      </w:r>
      <w:r w:rsidR="002A026E" w:rsidRPr="002114F5">
        <w:rPr>
          <w:szCs w:val="18"/>
        </w:rPr>
        <w:t>.</w:t>
      </w:r>
      <w:r w:rsidRPr="002114F5">
        <w:rPr>
          <w:i/>
          <w:iCs/>
          <w:szCs w:val="18"/>
        </w:rPr>
        <w:t xml:space="preserve"> Pays-Bas</w:t>
      </w:r>
      <w:r w:rsidRPr="002114F5">
        <w:rPr>
          <w:szCs w:val="18"/>
        </w:rPr>
        <w:t xml:space="preserve"> (CCPR/C/125/D/2498/2014), par</w:t>
      </w:r>
      <w:r w:rsidR="002A026E" w:rsidRPr="002114F5">
        <w:rPr>
          <w:szCs w:val="18"/>
        </w:rPr>
        <w:t>.</w:t>
      </w:r>
      <w:r w:rsidRPr="002114F5">
        <w:rPr>
          <w:szCs w:val="18"/>
        </w:rPr>
        <w:t> 7</w:t>
      </w:r>
      <w:r w:rsidR="002A026E" w:rsidRPr="002114F5">
        <w:rPr>
          <w:szCs w:val="18"/>
        </w:rPr>
        <w:t>.</w:t>
      </w:r>
      <w:r w:rsidRPr="002114F5">
        <w:rPr>
          <w:szCs w:val="18"/>
        </w:rPr>
        <w:t>4, en particulier l’observation du Comité selon laquelle l’absence de protection sociale au bénéfice des enfants peut dans certaines circonstances porter atteinte à leur bien-être physique et psychologique</w:t>
      </w:r>
      <w:r w:rsidR="002A026E" w:rsidRPr="002114F5">
        <w:rPr>
          <w:iCs/>
          <w:szCs w:val="18"/>
        </w:rPr>
        <w:t>.</w:t>
      </w:r>
      <w:r w:rsidRPr="005A371D">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691EA" w14:textId="64812E31" w:rsidR="00AB516D" w:rsidRPr="00E80AB0" w:rsidRDefault="00AB516D">
    <w:pPr>
      <w:pStyle w:val="En-tte"/>
    </w:pPr>
    <w:fldSimple w:instr=" TITLE  \* MERGEFORMAT ">
      <w:r w:rsidR="00213ADC">
        <w:t>CCPR/C/125/D/2489/2014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84E88" w14:textId="0F548004" w:rsidR="00AB516D" w:rsidRPr="00E80AB0" w:rsidRDefault="00AB516D" w:rsidP="00E80AB0">
    <w:pPr>
      <w:pStyle w:val="En-tte"/>
      <w:jc w:val="right"/>
    </w:pPr>
    <w:fldSimple w:instr=" TITLE  \* MERGEFORMAT ">
      <w:r w:rsidR="00213ADC">
        <w:t>CCPR/C/125/D/2489/2014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1F37A" w14:textId="53AFBD6F" w:rsidR="00AB516D" w:rsidRPr="00E80AB0" w:rsidRDefault="00AB516D" w:rsidP="00E80AB0">
    <w:pPr>
      <w:pStyle w:val="En-tte"/>
      <w:jc w:val="right"/>
    </w:pPr>
    <w:fldSimple w:instr=" TITLE  \* MERGEFORMAT ">
      <w:r w:rsidR="00213ADC">
        <w:t>CCPR/C/125/D/2489/2014</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32591" w14:textId="4DF753EF" w:rsidR="00AB516D" w:rsidRDefault="00AB516D">
    <w:pPr>
      <w:pStyle w:val="En-tte"/>
    </w:pPr>
    <w:fldSimple w:instr=" TITLE  \* MERGEFORMAT ">
      <w:r w:rsidR="00213ADC">
        <w:t>CCPR/C/125/D/2489/2014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C23F8"/>
    <w:rsid w:val="00017F94"/>
    <w:rsid w:val="00023842"/>
    <w:rsid w:val="000334F9"/>
    <w:rsid w:val="0004317A"/>
    <w:rsid w:val="0007796D"/>
    <w:rsid w:val="0009155E"/>
    <w:rsid w:val="000B7790"/>
    <w:rsid w:val="000C2225"/>
    <w:rsid w:val="00111F2F"/>
    <w:rsid w:val="00116FFA"/>
    <w:rsid w:val="0014365E"/>
    <w:rsid w:val="00176178"/>
    <w:rsid w:val="00177304"/>
    <w:rsid w:val="001B379B"/>
    <w:rsid w:val="001F525A"/>
    <w:rsid w:val="002114F5"/>
    <w:rsid w:val="00213ADC"/>
    <w:rsid w:val="002167E6"/>
    <w:rsid w:val="00223272"/>
    <w:rsid w:val="0024779E"/>
    <w:rsid w:val="002A026E"/>
    <w:rsid w:val="002B7BC7"/>
    <w:rsid w:val="002D74A5"/>
    <w:rsid w:val="002E2D46"/>
    <w:rsid w:val="0032225A"/>
    <w:rsid w:val="003402F1"/>
    <w:rsid w:val="00351332"/>
    <w:rsid w:val="003A6E96"/>
    <w:rsid w:val="00446FE5"/>
    <w:rsid w:val="00452396"/>
    <w:rsid w:val="005505B7"/>
    <w:rsid w:val="00572FA8"/>
    <w:rsid w:val="00573BE5"/>
    <w:rsid w:val="00586ED3"/>
    <w:rsid w:val="00596AA9"/>
    <w:rsid w:val="006B5AA5"/>
    <w:rsid w:val="006F7144"/>
    <w:rsid w:val="006F71EA"/>
    <w:rsid w:val="007066CB"/>
    <w:rsid w:val="0071601D"/>
    <w:rsid w:val="00793E85"/>
    <w:rsid w:val="007A611C"/>
    <w:rsid w:val="007A62E6"/>
    <w:rsid w:val="007B74FF"/>
    <w:rsid w:val="007E2032"/>
    <w:rsid w:val="0080684C"/>
    <w:rsid w:val="008560DB"/>
    <w:rsid w:val="00871C75"/>
    <w:rsid w:val="008776DC"/>
    <w:rsid w:val="009705C8"/>
    <w:rsid w:val="009B1E6C"/>
    <w:rsid w:val="009E2C6A"/>
    <w:rsid w:val="00A9151D"/>
    <w:rsid w:val="00AA6A35"/>
    <w:rsid w:val="00AB516D"/>
    <w:rsid w:val="00AC3823"/>
    <w:rsid w:val="00AE323C"/>
    <w:rsid w:val="00AF2AEC"/>
    <w:rsid w:val="00AF51EA"/>
    <w:rsid w:val="00B00181"/>
    <w:rsid w:val="00B7575D"/>
    <w:rsid w:val="00B765F7"/>
    <w:rsid w:val="00BA0CA9"/>
    <w:rsid w:val="00C01ACF"/>
    <w:rsid w:val="00C02897"/>
    <w:rsid w:val="00CA7BC4"/>
    <w:rsid w:val="00CC23F8"/>
    <w:rsid w:val="00D05667"/>
    <w:rsid w:val="00D3439C"/>
    <w:rsid w:val="00D744E5"/>
    <w:rsid w:val="00D83177"/>
    <w:rsid w:val="00DB1831"/>
    <w:rsid w:val="00DD3BFD"/>
    <w:rsid w:val="00DF2461"/>
    <w:rsid w:val="00DF6678"/>
    <w:rsid w:val="00E42A05"/>
    <w:rsid w:val="00E80AB0"/>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E2429A"/>
  <w15:docId w15:val="{C23CDC35-F7E7-4554-BD43-5FDBFF7CA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Char,ft,Style 27,Char Char Char Char Char,Style 11,Char Char Char,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Char Car,ft Car,Style 27 Car,Style 1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E42A05"/>
    <w:rPr>
      <w:rFonts w:ascii="Times New Roman" w:eastAsiaTheme="minorHAnsi" w:hAnsi="Times New Roman" w:cs="Times New Roman"/>
      <w:sz w:val="20"/>
      <w:szCs w:val="20"/>
      <w:lang w:eastAsia="en-US"/>
    </w:rPr>
  </w:style>
  <w:style w:type="character" w:customStyle="1" w:styleId="content">
    <w:name w:val="content"/>
    <w:basedOn w:val="Policepardfaut"/>
    <w:rsid w:val="00E42A05"/>
  </w:style>
  <w:style w:type="character" w:styleId="Mentionnonrsolue">
    <w:name w:val="Unresolved Mention"/>
    <w:basedOn w:val="Policepardfaut"/>
    <w:uiPriority w:val="99"/>
    <w:semiHidden/>
    <w:unhideWhenUsed/>
    <w:rsid w:val="00E42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rm.coe.int/168007cde5" TargetMode="External"/><Relationship Id="rId2" Type="http://schemas.openxmlformats.org/officeDocument/2006/relationships/hyperlink" Target="https://www.coe.int/fr/web/conventions/full-list/-/conventions/treaty/014" TargetMode="External"/><Relationship Id="rId1" Type="http://schemas.openxmlformats.org/officeDocument/2006/relationships/hyperlink" Target="https://rm.coe.int/16806db8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4</TotalTime>
  <Pages>17</Pages>
  <Words>8412</Words>
  <Characters>49296</Characters>
  <Application>Microsoft Office Word</Application>
  <DocSecurity>0</DocSecurity>
  <Lines>4481</Lines>
  <Paragraphs>1923</Paragraphs>
  <ScaleCrop>false</ScaleCrop>
  <HeadingPairs>
    <vt:vector size="2" baseType="variant">
      <vt:variant>
        <vt:lpstr>Titre</vt:lpstr>
      </vt:variant>
      <vt:variant>
        <vt:i4>1</vt:i4>
      </vt:variant>
    </vt:vector>
  </HeadingPairs>
  <TitlesOfParts>
    <vt:vector size="1" baseType="lpstr">
      <vt:lpstr>CCPR/C/125/D/2489/2014</vt:lpstr>
    </vt:vector>
  </TitlesOfParts>
  <Company>DCM</Company>
  <LinksUpToDate>false</LinksUpToDate>
  <CharactersWithSpaces>55785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CCPR/C/125/D/2489/2014</dc:title>
  <dc:subject/>
  <dc:creator>Maud DARICHE</dc:creator>
  <cp:keywords/>
  <cp:lastModifiedBy>Maud Dariche</cp:lastModifiedBy>
  <cp:revision>3</cp:revision>
  <cp:lastPrinted>2020-06-05T15:20:00Z</cp:lastPrinted>
  <dcterms:created xsi:type="dcterms:W3CDTF">2020-06-05T15:20:00Z</dcterms:created>
  <dcterms:modified xsi:type="dcterms:W3CDTF">2020-06-05T15:24:00Z</dcterms:modified>
</cp:coreProperties>
</file>