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6782F"/>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6782F" w:rsidP="0036782F">
            <w:pPr>
              <w:jc w:val="right"/>
            </w:pPr>
            <w:r w:rsidRPr="0036782F">
              <w:rPr>
                <w:sz w:val="40"/>
              </w:rPr>
              <w:t>CCPR</w:t>
            </w:r>
            <w:r>
              <w:t>/C/126/D/2560/2015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6782F" w:rsidP="002B7BC7">
            <w:pPr>
              <w:spacing w:before="240"/>
            </w:pPr>
            <w:proofErr w:type="spellStart"/>
            <w:r>
              <w:t>Distr</w:t>
            </w:r>
            <w:proofErr w:type="spellEnd"/>
            <w:r>
              <w:t>. générale</w:t>
            </w:r>
          </w:p>
          <w:p w:rsidR="0036782F" w:rsidRDefault="0036782F" w:rsidP="0036782F">
            <w:pPr>
              <w:spacing w:line="240" w:lineRule="exact"/>
            </w:pPr>
            <w:r>
              <w:t>16 août 2019</w:t>
            </w:r>
          </w:p>
          <w:p w:rsidR="0036782F" w:rsidRDefault="0036782F" w:rsidP="0036782F">
            <w:pPr>
              <w:spacing w:line="240" w:lineRule="exact"/>
            </w:pPr>
            <w:r>
              <w:t>Français</w:t>
            </w:r>
          </w:p>
          <w:p w:rsidR="0036782F" w:rsidRPr="00DB58B5" w:rsidRDefault="0036782F" w:rsidP="00C608F2">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2E0B4C">
        <w:rPr>
          <w:b/>
          <w:sz w:val="24"/>
          <w:szCs w:val="24"/>
        </w:rPr>
        <w:t>’</w:t>
      </w:r>
      <w:r w:rsidRPr="00DF3BF1">
        <w:rPr>
          <w:b/>
          <w:sz w:val="24"/>
          <w:szCs w:val="24"/>
        </w:rPr>
        <w:t>homme</w:t>
      </w:r>
    </w:p>
    <w:p w:rsidR="0036782F" w:rsidRPr="00793F60" w:rsidRDefault="0036782F" w:rsidP="0036782F">
      <w:pPr>
        <w:pStyle w:val="HChG"/>
      </w:pPr>
      <w:r w:rsidRPr="00793F60">
        <w:tab/>
      </w:r>
      <w:r w:rsidRPr="00793F60">
        <w:tab/>
      </w:r>
      <w:r w:rsidRPr="002E0B4C">
        <w:rPr>
          <w:spacing w:val="2"/>
        </w:rPr>
        <w:t>Constatations adoptées par le Comité au titre de l</w:t>
      </w:r>
      <w:r w:rsidR="002E0B4C" w:rsidRPr="002E0B4C">
        <w:rPr>
          <w:spacing w:val="2"/>
        </w:rPr>
        <w:t>’</w:t>
      </w:r>
      <w:r w:rsidRPr="002E0B4C">
        <w:rPr>
          <w:spacing w:val="2"/>
        </w:rPr>
        <w:t>article 5</w:t>
      </w:r>
      <w:r>
        <w:t xml:space="preserve"> </w:t>
      </w:r>
      <w:r w:rsidRPr="002E0B4C">
        <w:rPr>
          <w:spacing w:val="-2"/>
        </w:rPr>
        <w:t>(par.</w:t>
      </w:r>
      <w:r w:rsidR="00F41AC3" w:rsidRPr="002E0B4C">
        <w:rPr>
          <w:spacing w:val="-2"/>
        </w:rPr>
        <w:t> </w:t>
      </w:r>
      <w:r w:rsidRPr="002E0B4C">
        <w:rPr>
          <w:spacing w:val="-2"/>
        </w:rPr>
        <w:t>4) du Protocole facultatif, concernant la Communication</w:t>
      </w:r>
      <w:r w:rsidRPr="00793F60">
        <w:t xml:space="preserve"> n</w:t>
      </w:r>
      <w:r w:rsidRPr="00793F60">
        <w:rPr>
          <w:vertAlign w:val="superscript"/>
        </w:rPr>
        <w:t>o</w:t>
      </w:r>
      <w:r w:rsidRPr="00793F60">
        <w:t> 2560/2015</w:t>
      </w:r>
      <w:r w:rsidR="00F41AC3" w:rsidRPr="002E0B4C">
        <w:rPr>
          <w:rStyle w:val="Appelnotedebasdep"/>
          <w:b w:val="0"/>
          <w:bCs/>
          <w:sz w:val="20"/>
          <w:vertAlign w:val="baseline"/>
        </w:rPr>
        <w:footnoteReference w:customMarkFollows="1" w:id="2"/>
        <w:t>*</w:t>
      </w:r>
      <w:r w:rsidR="002E0B4C" w:rsidRPr="002E0B4C">
        <w:rPr>
          <w:b w:val="0"/>
          <w:bCs/>
          <w:position w:val="6"/>
          <w:sz w:val="20"/>
        </w:rPr>
        <w:t>,</w:t>
      </w:r>
      <w:r w:rsidR="002E0B4C" w:rsidRPr="002E0B4C">
        <w:rPr>
          <w:b w:val="0"/>
          <w:bCs/>
          <w:sz w:val="20"/>
        </w:rPr>
        <w:t xml:space="preserve"> </w:t>
      </w:r>
      <w:r w:rsidR="002E0B4C" w:rsidRPr="002E0B4C">
        <w:rPr>
          <w:rStyle w:val="Appelnotedebasdep"/>
          <w:b w:val="0"/>
          <w:bCs/>
          <w:sz w:val="20"/>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36782F" w:rsidRPr="00793F60" w:rsidTr="0036782F">
        <w:tc>
          <w:tcPr>
            <w:tcW w:w="2835" w:type="dxa"/>
          </w:tcPr>
          <w:p w:rsidR="0036782F" w:rsidRPr="00793F60" w:rsidRDefault="0036782F" w:rsidP="0036782F">
            <w:pPr>
              <w:spacing w:after="120"/>
            </w:pPr>
            <w:r w:rsidRPr="00793F60">
              <w:rPr>
                <w:i/>
              </w:rPr>
              <w:t>Communication présentée par</w:t>
            </w:r>
            <w:r w:rsidRPr="00793F60">
              <w:t> :</w:t>
            </w:r>
          </w:p>
        </w:tc>
        <w:tc>
          <w:tcPr>
            <w:tcW w:w="3969" w:type="dxa"/>
          </w:tcPr>
          <w:p w:rsidR="0036782F" w:rsidRPr="00793F60" w:rsidRDefault="0036782F" w:rsidP="0036782F">
            <w:pPr>
              <w:spacing w:after="120"/>
            </w:pPr>
            <w:proofErr w:type="spellStart"/>
            <w:r w:rsidRPr="00793F60">
              <w:t>Tikanath</w:t>
            </w:r>
            <w:proofErr w:type="spellEnd"/>
            <w:r w:rsidRPr="00793F60">
              <w:t xml:space="preserve"> et </w:t>
            </w:r>
            <w:proofErr w:type="spellStart"/>
            <w:r w:rsidRPr="00793F60">
              <w:t>Ramhari</w:t>
            </w:r>
            <w:proofErr w:type="spellEnd"/>
            <w:r w:rsidRPr="00793F60">
              <w:t xml:space="preserve"> </w:t>
            </w:r>
            <w:proofErr w:type="spellStart"/>
            <w:r w:rsidRPr="00793F60">
              <w:t>Kandel</w:t>
            </w:r>
            <w:proofErr w:type="spellEnd"/>
            <w:r>
              <w:t xml:space="preserve"> (représentés par un conseil de TRIAL International)</w:t>
            </w:r>
          </w:p>
        </w:tc>
      </w:tr>
      <w:tr w:rsidR="0036782F" w:rsidRPr="00793F60" w:rsidTr="0036782F">
        <w:tc>
          <w:tcPr>
            <w:tcW w:w="2835" w:type="dxa"/>
          </w:tcPr>
          <w:p w:rsidR="0036782F" w:rsidRPr="00793F60" w:rsidRDefault="0036782F" w:rsidP="0036782F">
            <w:pPr>
              <w:spacing w:after="120"/>
            </w:pPr>
            <w:r>
              <w:rPr>
                <w:i/>
              </w:rPr>
              <w:t>Victime(s) présumée(s)</w:t>
            </w:r>
            <w:r w:rsidRPr="00793F60">
              <w:t> :</w:t>
            </w:r>
          </w:p>
        </w:tc>
        <w:tc>
          <w:tcPr>
            <w:tcW w:w="3969" w:type="dxa"/>
          </w:tcPr>
          <w:p w:rsidR="0036782F" w:rsidRPr="00793F60" w:rsidRDefault="0036782F" w:rsidP="0036782F">
            <w:pPr>
              <w:spacing w:after="120"/>
            </w:pPr>
            <w:r w:rsidRPr="00793F60">
              <w:t xml:space="preserve">Les auteurs et </w:t>
            </w:r>
            <w:proofErr w:type="spellStart"/>
            <w:r w:rsidRPr="00793F60">
              <w:t>Amrit</w:t>
            </w:r>
            <w:proofErr w:type="spellEnd"/>
            <w:r w:rsidRPr="00793F60">
              <w:t xml:space="preserve"> </w:t>
            </w:r>
            <w:proofErr w:type="spellStart"/>
            <w:r w:rsidRPr="00793F60">
              <w:t>Kandel</w:t>
            </w:r>
            <w:proofErr w:type="spellEnd"/>
            <w:r w:rsidRPr="00793F60">
              <w:t xml:space="preserve"> </w:t>
            </w:r>
            <w:r>
              <w:br/>
            </w:r>
            <w:r w:rsidRPr="00793F60">
              <w:t>(</w:t>
            </w:r>
            <w:r>
              <w:t xml:space="preserve">respectivement </w:t>
            </w:r>
            <w:r w:rsidRPr="00793F60">
              <w:t>fils et frère des auteurs)</w:t>
            </w:r>
          </w:p>
        </w:tc>
      </w:tr>
      <w:tr w:rsidR="0036782F" w:rsidRPr="00793F60" w:rsidTr="0036782F">
        <w:tc>
          <w:tcPr>
            <w:tcW w:w="2835" w:type="dxa"/>
          </w:tcPr>
          <w:p w:rsidR="0036782F" w:rsidRPr="00793F60" w:rsidRDefault="0036782F" w:rsidP="0036782F">
            <w:pPr>
              <w:spacing w:after="120"/>
            </w:pPr>
            <w:r w:rsidRPr="00793F60">
              <w:rPr>
                <w:i/>
              </w:rPr>
              <w:t>État partie</w:t>
            </w:r>
            <w:r w:rsidRPr="00793F60">
              <w:t> :</w:t>
            </w:r>
          </w:p>
        </w:tc>
        <w:tc>
          <w:tcPr>
            <w:tcW w:w="3969" w:type="dxa"/>
          </w:tcPr>
          <w:p w:rsidR="0036782F" w:rsidRPr="00793F60" w:rsidRDefault="0036782F" w:rsidP="0036782F">
            <w:pPr>
              <w:spacing w:after="120"/>
            </w:pPr>
            <w:r w:rsidRPr="00793F60">
              <w:t>Népal</w:t>
            </w:r>
          </w:p>
        </w:tc>
      </w:tr>
      <w:tr w:rsidR="0036782F" w:rsidRPr="00793F60" w:rsidTr="0036782F">
        <w:tc>
          <w:tcPr>
            <w:tcW w:w="2835" w:type="dxa"/>
          </w:tcPr>
          <w:p w:rsidR="0036782F" w:rsidRPr="00793F60" w:rsidRDefault="0036782F" w:rsidP="0036782F">
            <w:pPr>
              <w:spacing w:after="120"/>
            </w:pPr>
            <w:r w:rsidRPr="00793F60">
              <w:rPr>
                <w:i/>
              </w:rPr>
              <w:t>Date de la communication</w:t>
            </w:r>
            <w:r w:rsidRPr="00793F60">
              <w:t> :</w:t>
            </w:r>
          </w:p>
        </w:tc>
        <w:tc>
          <w:tcPr>
            <w:tcW w:w="3969" w:type="dxa"/>
          </w:tcPr>
          <w:p w:rsidR="0036782F" w:rsidRPr="00793F60" w:rsidRDefault="0036782F" w:rsidP="0036782F">
            <w:pPr>
              <w:spacing w:after="120"/>
            </w:pPr>
            <w:r w:rsidRPr="00793F60">
              <w:t>11</w:t>
            </w:r>
            <w:r w:rsidR="002E0B4C">
              <w:t> </w:t>
            </w:r>
            <w:r w:rsidRPr="00793F60">
              <w:t>avril 2014 (date de la lettre initiale)</w:t>
            </w:r>
          </w:p>
        </w:tc>
      </w:tr>
      <w:tr w:rsidR="0036782F" w:rsidRPr="00793F60" w:rsidTr="0036782F">
        <w:tc>
          <w:tcPr>
            <w:tcW w:w="2835" w:type="dxa"/>
          </w:tcPr>
          <w:p w:rsidR="0036782F" w:rsidRPr="00793F60" w:rsidRDefault="0036782F" w:rsidP="0036782F">
            <w:pPr>
              <w:spacing w:after="120"/>
            </w:pPr>
            <w:r w:rsidRPr="00793F60">
              <w:rPr>
                <w:i/>
              </w:rPr>
              <w:t>Références</w:t>
            </w:r>
            <w:r w:rsidRPr="00793F60">
              <w:t> :</w:t>
            </w:r>
          </w:p>
        </w:tc>
        <w:tc>
          <w:tcPr>
            <w:tcW w:w="3969" w:type="dxa"/>
          </w:tcPr>
          <w:p w:rsidR="0036782F" w:rsidRPr="00793F60" w:rsidRDefault="0036782F" w:rsidP="0036782F">
            <w:pPr>
              <w:spacing w:after="120"/>
            </w:pPr>
            <w:r w:rsidRPr="00793F60">
              <w:t>Décision prise en application de l</w:t>
            </w:r>
            <w:r w:rsidR="002E0B4C">
              <w:t>’</w:t>
            </w:r>
            <w:r w:rsidRPr="00793F60">
              <w:t>article 9</w:t>
            </w:r>
            <w:r>
              <w:t>7</w:t>
            </w:r>
            <w:r w:rsidRPr="00793F60">
              <w:t xml:space="preserve"> du</w:t>
            </w:r>
            <w:r w:rsidR="002E0B4C">
              <w:t> </w:t>
            </w:r>
            <w:r w:rsidRPr="00793F60">
              <w:t>règlement intérieur du Comité</w:t>
            </w:r>
            <w:r>
              <w:t xml:space="preserve"> (devenu l</w:t>
            </w:r>
            <w:r w:rsidR="002E0B4C">
              <w:t>’</w:t>
            </w:r>
            <w:r>
              <w:t>article</w:t>
            </w:r>
            <w:r w:rsidR="002E0B4C">
              <w:t> </w:t>
            </w:r>
            <w:r>
              <w:t>92)</w:t>
            </w:r>
            <w:r w:rsidRPr="00793F60">
              <w:t>, communiquée à l</w:t>
            </w:r>
            <w:r w:rsidR="002E0B4C">
              <w:t>’</w:t>
            </w:r>
            <w:r w:rsidRPr="00793F60">
              <w:t>État partie</w:t>
            </w:r>
            <w:r>
              <w:t xml:space="preserve"> le</w:t>
            </w:r>
            <w:r w:rsidRPr="00793F60">
              <w:t xml:space="preserve"> 2 février 2015 (non publiée sous forme de document)</w:t>
            </w:r>
          </w:p>
        </w:tc>
      </w:tr>
      <w:tr w:rsidR="0036782F" w:rsidRPr="00793F60" w:rsidTr="0036782F">
        <w:tc>
          <w:tcPr>
            <w:tcW w:w="2835" w:type="dxa"/>
          </w:tcPr>
          <w:p w:rsidR="0036782F" w:rsidRPr="00793F60" w:rsidRDefault="0036782F" w:rsidP="0036782F">
            <w:pPr>
              <w:spacing w:after="120"/>
            </w:pPr>
            <w:r w:rsidRPr="00793F60">
              <w:rPr>
                <w:i/>
              </w:rPr>
              <w:t>Date de</w:t>
            </w:r>
            <w:r>
              <w:rPr>
                <w:i/>
              </w:rPr>
              <w:t>s constatations</w:t>
            </w:r>
            <w:r w:rsidRPr="00793F60">
              <w:t> :</w:t>
            </w:r>
          </w:p>
        </w:tc>
        <w:tc>
          <w:tcPr>
            <w:tcW w:w="3969" w:type="dxa"/>
          </w:tcPr>
          <w:p w:rsidR="0036782F" w:rsidRPr="00793F60" w:rsidRDefault="0036782F" w:rsidP="0036782F">
            <w:pPr>
              <w:spacing w:after="120"/>
            </w:pPr>
            <w:r>
              <w:t>15</w:t>
            </w:r>
            <w:r w:rsidR="002E0B4C">
              <w:t> </w:t>
            </w:r>
            <w:r>
              <w:t>juillet</w:t>
            </w:r>
            <w:r w:rsidRPr="00793F60">
              <w:t xml:space="preserve"> 2019</w:t>
            </w:r>
          </w:p>
        </w:tc>
      </w:tr>
      <w:tr w:rsidR="0036782F" w:rsidRPr="00793F60" w:rsidTr="0036782F">
        <w:tc>
          <w:tcPr>
            <w:tcW w:w="2835" w:type="dxa"/>
          </w:tcPr>
          <w:p w:rsidR="0036782F" w:rsidRPr="00793F60" w:rsidRDefault="0036782F" w:rsidP="0036782F">
            <w:pPr>
              <w:spacing w:after="120"/>
            </w:pPr>
            <w:r w:rsidRPr="00793F60">
              <w:rPr>
                <w:i/>
                <w:iCs/>
              </w:rPr>
              <w:t>Objet</w:t>
            </w:r>
            <w:r w:rsidRPr="00793F60">
              <w:t> :</w:t>
            </w:r>
          </w:p>
        </w:tc>
        <w:tc>
          <w:tcPr>
            <w:tcW w:w="3969" w:type="dxa"/>
          </w:tcPr>
          <w:p w:rsidR="0036782F" w:rsidRPr="00793F60" w:rsidRDefault="0036782F" w:rsidP="0036782F">
            <w:pPr>
              <w:spacing w:after="120"/>
              <w:rPr>
                <w:b/>
              </w:rPr>
            </w:pPr>
            <w:r w:rsidRPr="00793F60">
              <w:t>Détention arbitraire, torture et disparition forcée ; absence d</w:t>
            </w:r>
            <w:r w:rsidR="002E0B4C">
              <w:t>’</w:t>
            </w:r>
            <w:r w:rsidRPr="00793F60">
              <w:t>enquête diligente et impartiale ; absence de recours judiciaire utile</w:t>
            </w:r>
          </w:p>
        </w:tc>
      </w:tr>
      <w:tr w:rsidR="0036782F" w:rsidRPr="00793F60" w:rsidTr="0036782F">
        <w:tc>
          <w:tcPr>
            <w:tcW w:w="2835" w:type="dxa"/>
          </w:tcPr>
          <w:p w:rsidR="0036782F" w:rsidRPr="00793F60" w:rsidRDefault="0036782F" w:rsidP="0036782F">
            <w:pPr>
              <w:spacing w:after="120"/>
            </w:pPr>
            <w:r w:rsidRPr="00793F60">
              <w:rPr>
                <w:i/>
                <w:iCs/>
              </w:rPr>
              <w:t>Question(s) de procédure</w:t>
            </w:r>
            <w:r w:rsidRPr="00793F60">
              <w:t> :</w:t>
            </w:r>
          </w:p>
        </w:tc>
        <w:tc>
          <w:tcPr>
            <w:tcW w:w="3969" w:type="dxa"/>
          </w:tcPr>
          <w:p w:rsidR="0036782F" w:rsidRPr="00793F60" w:rsidRDefault="0036782F" w:rsidP="0036782F">
            <w:pPr>
              <w:spacing w:after="120"/>
              <w:rPr>
                <w:b/>
              </w:rPr>
            </w:pPr>
            <w:r>
              <w:t xml:space="preserve">Recevabilité </w:t>
            </w:r>
            <w:r w:rsidR="002E0B4C">
              <w:t>−</w:t>
            </w:r>
            <w:r>
              <w:t xml:space="preserve"> é</w:t>
            </w:r>
            <w:r w:rsidRPr="00793F60">
              <w:t>puisement des recours internes</w:t>
            </w:r>
          </w:p>
        </w:tc>
      </w:tr>
      <w:tr w:rsidR="0036782F" w:rsidRPr="00793F60" w:rsidTr="0036782F">
        <w:tc>
          <w:tcPr>
            <w:tcW w:w="2835" w:type="dxa"/>
          </w:tcPr>
          <w:p w:rsidR="0036782F" w:rsidRPr="00793F60" w:rsidRDefault="0036782F" w:rsidP="0036782F">
            <w:pPr>
              <w:spacing w:after="120"/>
            </w:pPr>
            <w:r w:rsidRPr="00793F60">
              <w:rPr>
                <w:i/>
                <w:iCs/>
              </w:rPr>
              <w:t>Question(s) de fond</w:t>
            </w:r>
            <w:r w:rsidRPr="00793F60">
              <w:t> :</w:t>
            </w:r>
          </w:p>
        </w:tc>
        <w:tc>
          <w:tcPr>
            <w:tcW w:w="3969" w:type="dxa"/>
          </w:tcPr>
          <w:p w:rsidR="0036782F" w:rsidRPr="00793F60" w:rsidRDefault="0036782F" w:rsidP="0036782F">
            <w:pPr>
              <w:spacing w:after="120"/>
              <w:rPr>
                <w:b/>
              </w:rPr>
            </w:pPr>
            <w:r w:rsidRPr="00793F60">
              <w:t xml:space="preserve">Droit à la vie ; </w:t>
            </w:r>
            <w:r w:rsidRPr="00793F60">
              <w:rPr>
                <w:shd w:val="clear" w:color="auto" w:fill="FFFFFF"/>
              </w:rPr>
              <w:t>interdiction de la torture et des autres peines ou traitements cruels et inhumains ;</w:t>
            </w:r>
            <w:r w:rsidRPr="00793F60">
              <w:t xml:space="preserve"> d</w:t>
            </w:r>
            <w:r w:rsidRPr="00793F60">
              <w:rPr>
                <w:shd w:val="clear" w:color="auto" w:fill="FFFFFF"/>
              </w:rPr>
              <w:t>roit à la liberté et à la sécurité de la personne ;</w:t>
            </w:r>
            <w:r w:rsidRPr="00793F60">
              <w:t xml:space="preserve"> respect de la dignité inhérente à la personne humaine ; </w:t>
            </w:r>
            <w:r w:rsidRPr="00793F60">
              <w:rPr>
                <w:shd w:val="clear" w:color="auto" w:fill="FFFFFF"/>
              </w:rPr>
              <w:t>reconnaissance de la personnalité juridique ; droit à un recours utile</w:t>
            </w:r>
          </w:p>
        </w:tc>
      </w:tr>
      <w:tr w:rsidR="0036782F" w:rsidRPr="00793F60" w:rsidTr="0036782F">
        <w:tc>
          <w:tcPr>
            <w:tcW w:w="2835" w:type="dxa"/>
          </w:tcPr>
          <w:p w:rsidR="0036782F" w:rsidRPr="00793F60" w:rsidRDefault="0036782F" w:rsidP="0036782F">
            <w:pPr>
              <w:spacing w:after="120"/>
            </w:pPr>
            <w:r w:rsidRPr="00793F60">
              <w:rPr>
                <w:i/>
                <w:iCs/>
              </w:rPr>
              <w:t>Article(s) du Pacte</w:t>
            </w:r>
            <w:r w:rsidRPr="00793F60">
              <w:t> :</w:t>
            </w:r>
          </w:p>
        </w:tc>
        <w:tc>
          <w:tcPr>
            <w:tcW w:w="3969" w:type="dxa"/>
          </w:tcPr>
          <w:p w:rsidR="0036782F" w:rsidRPr="00793F60" w:rsidRDefault="0036782F" w:rsidP="0036782F">
            <w:pPr>
              <w:spacing w:after="120"/>
              <w:rPr>
                <w:b/>
              </w:rPr>
            </w:pPr>
            <w:r w:rsidRPr="00793F60">
              <w:t>2 (par. 3), 6, 7, 9, 10 et 16</w:t>
            </w:r>
          </w:p>
        </w:tc>
      </w:tr>
      <w:tr w:rsidR="0036782F" w:rsidRPr="00793F60" w:rsidTr="0036782F">
        <w:tc>
          <w:tcPr>
            <w:tcW w:w="2835" w:type="dxa"/>
          </w:tcPr>
          <w:p w:rsidR="0036782F" w:rsidRPr="00793F60" w:rsidRDefault="0036782F" w:rsidP="0036782F">
            <w:pPr>
              <w:spacing w:after="120"/>
            </w:pPr>
            <w:r w:rsidRPr="00793F60">
              <w:rPr>
                <w:i/>
                <w:iCs/>
              </w:rPr>
              <w:t>Article(s) du Protocole facultatif</w:t>
            </w:r>
            <w:r w:rsidRPr="00793F60">
              <w:t> :</w:t>
            </w:r>
          </w:p>
        </w:tc>
        <w:tc>
          <w:tcPr>
            <w:tcW w:w="3969" w:type="dxa"/>
          </w:tcPr>
          <w:p w:rsidR="0036782F" w:rsidRPr="00793F60" w:rsidRDefault="0036782F" w:rsidP="0036782F">
            <w:pPr>
              <w:spacing w:after="120"/>
              <w:rPr>
                <w:b/>
              </w:rPr>
            </w:pPr>
            <w:r w:rsidRPr="00793F60">
              <w:t>2 et 5 (par. 2 b))</w:t>
            </w:r>
          </w:p>
        </w:tc>
      </w:tr>
    </w:tbl>
    <w:p w:rsidR="0036782F" w:rsidRPr="00793F60" w:rsidRDefault="0036782F" w:rsidP="0036782F">
      <w:pPr>
        <w:pStyle w:val="SingleTxtG"/>
      </w:pPr>
      <w:r w:rsidRPr="00793F60">
        <w:t>1.1</w:t>
      </w:r>
      <w:r w:rsidRPr="00793F60">
        <w:tab/>
        <w:t>Les auteurs de la communication</w:t>
      </w:r>
      <w:r>
        <w:t xml:space="preserve"> </w:t>
      </w:r>
      <w:r w:rsidRPr="00793F60">
        <w:t xml:space="preserve">sont </w:t>
      </w:r>
      <w:proofErr w:type="spellStart"/>
      <w:r w:rsidRPr="00793F60">
        <w:t>Tikanath</w:t>
      </w:r>
      <w:proofErr w:type="spellEnd"/>
      <w:r w:rsidRPr="00793F60">
        <w:t xml:space="preserve"> </w:t>
      </w:r>
      <w:proofErr w:type="spellStart"/>
      <w:r w:rsidRPr="00793F60">
        <w:t>Kandel</w:t>
      </w:r>
      <w:proofErr w:type="spellEnd"/>
      <w:r w:rsidRPr="00793F60">
        <w:t>, né le 14</w:t>
      </w:r>
      <w:r w:rsidR="002E0B4C">
        <w:t> </w:t>
      </w:r>
      <w:r w:rsidRPr="00793F60">
        <w:t xml:space="preserve">avril 1950, et son fils </w:t>
      </w:r>
      <w:proofErr w:type="spellStart"/>
      <w:r w:rsidRPr="00793F60">
        <w:t>Ramhari</w:t>
      </w:r>
      <w:proofErr w:type="spellEnd"/>
      <w:r w:rsidRPr="00793F60">
        <w:t xml:space="preserve"> </w:t>
      </w:r>
      <w:proofErr w:type="spellStart"/>
      <w:r w:rsidRPr="00793F60">
        <w:t>Kandel</w:t>
      </w:r>
      <w:proofErr w:type="spellEnd"/>
      <w:r w:rsidRPr="00793F60">
        <w:t>, né le 28 août 1978. La communication est présentée en leur nom et au nom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né le 29 mai 1981, </w:t>
      </w:r>
      <w:r>
        <w:t xml:space="preserve">également </w:t>
      </w:r>
      <w:r w:rsidRPr="00793F60">
        <w:t xml:space="preserve">fils de </w:t>
      </w:r>
      <w:proofErr w:type="spellStart"/>
      <w:r w:rsidRPr="00793F60">
        <w:t>Tikanath</w:t>
      </w:r>
      <w:proofErr w:type="spellEnd"/>
      <w:r w:rsidRPr="00793F60">
        <w:t xml:space="preserve"> </w:t>
      </w:r>
      <w:proofErr w:type="spellStart"/>
      <w:r w:rsidRPr="00793F60">
        <w:t>Kandel</w:t>
      </w:r>
      <w:proofErr w:type="spellEnd"/>
      <w:r w:rsidRPr="00793F60">
        <w:t xml:space="preserve"> et frère cadet </w:t>
      </w:r>
      <w:r w:rsidRPr="00793F60">
        <w:lastRenderedPageBreak/>
        <w:t xml:space="preserve">de </w:t>
      </w:r>
      <w:proofErr w:type="spellStart"/>
      <w:r w:rsidRPr="00793F60">
        <w:t>Ramhari</w:t>
      </w:r>
      <w:proofErr w:type="spellEnd"/>
      <w:r w:rsidRPr="00793F60">
        <w:t xml:space="preserve"> </w:t>
      </w:r>
      <w:proofErr w:type="spellStart"/>
      <w:r w:rsidRPr="00793F60">
        <w:t>Kandel</w:t>
      </w:r>
      <w:proofErr w:type="spellEnd"/>
      <w:r w:rsidRPr="00793F60">
        <w:t>. Les auteurs sont de nationalité népalaise. Ils affirment que le Népal a violé les droits qu</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tient du paragraphe 3 de l</w:t>
      </w:r>
      <w:r w:rsidR="002E0B4C">
        <w:t>’</w:t>
      </w:r>
      <w:r w:rsidRPr="00793F60">
        <w:t>article 2 et des articles 6, 7, 9, 10 et 16</w:t>
      </w:r>
      <w:r>
        <w:t xml:space="preserve"> du Pacte</w:t>
      </w:r>
      <w:r w:rsidRPr="00793F60">
        <w:t>, ainsi que les droits que MM. </w:t>
      </w:r>
      <w:proofErr w:type="spellStart"/>
      <w:r w:rsidRPr="00793F60">
        <w:t>Tikanath</w:t>
      </w:r>
      <w:proofErr w:type="spellEnd"/>
      <w:r w:rsidRPr="00793F60">
        <w:t xml:space="preserve"> et </w:t>
      </w:r>
      <w:proofErr w:type="spellStart"/>
      <w:r w:rsidRPr="00793F60">
        <w:t>Ramhari</w:t>
      </w:r>
      <w:proofErr w:type="spellEnd"/>
      <w:r w:rsidRPr="00793F60">
        <w:t xml:space="preserve"> tiennent de l</w:t>
      </w:r>
      <w:r w:rsidR="002E0B4C">
        <w:t>’</w:t>
      </w:r>
      <w:r w:rsidRPr="00793F60">
        <w:t>article 7, lu seul et conjointement avec le paragraphe 3 de l</w:t>
      </w:r>
      <w:r w:rsidR="002E0B4C">
        <w:t>’</w:t>
      </w:r>
      <w:r w:rsidRPr="00793F60">
        <w:t>article 2 du Pacte. Le Protocole facultatif est entré en vigueur pour l</w:t>
      </w:r>
      <w:r w:rsidR="002E0B4C">
        <w:t>’</w:t>
      </w:r>
      <w:r w:rsidRPr="00793F60">
        <w:t>État partie le 14 mai 1991. Les auteurs sont représentés par</w:t>
      </w:r>
      <w:r>
        <w:t xml:space="preserve"> un conseil</w:t>
      </w:r>
      <w:r w:rsidRPr="00793F60">
        <w:t xml:space="preserve">. </w:t>
      </w:r>
    </w:p>
    <w:p w:rsidR="0036782F" w:rsidRPr="00793F60" w:rsidRDefault="0036782F" w:rsidP="0036782F">
      <w:pPr>
        <w:pStyle w:val="H23G"/>
      </w:pPr>
      <w:r w:rsidRPr="00793F60">
        <w:tab/>
      </w:r>
      <w:r w:rsidRPr="00793F60">
        <w:tab/>
        <w:t xml:space="preserve">Rappel des faits présentés par les auteurs </w:t>
      </w:r>
    </w:p>
    <w:p w:rsidR="0036782F" w:rsidRPr="00793F60" w:rsidRDefault="0036782F" w:rsidP="0036782F">
      <w:pPr>
        <w:pStyle w:val="SingleTxtG"/>
      </w:pPr>
      <w:r w:rsidRPr="00793F60">
        <w:t>2.1</w:t>
      </w:r>
      <w:r w:rsidRPr="00793F60">
        <w:tab/>
        <w:t>Au moment des faits</w:t>
      </w:r>
      <w:r>
        <w:t xml:space="preserve"> décrits dans la communication</w:t>
      </w:r>
      <w:r w:rsidRPr="00793F60">
        <w:t xml:space="preserve">, </w:t>
      </w:r>
      <w:proofErr w:type="spellStart"/>
      <w:r w:rsidRPr="00793F60">
        <w:t>Amrit</w:t>
      </w:r>
      <w:proofErr w:type="spellEnd"/>
      <w:r w:rsidRPr="00793F60">
        <w:t xml:space="preserve"> </w:t>
      </w:r>
      <w:proofErr w:type="spellStart"/>
      <w:r w:rsidRPr="00793F60">
        <w:t>Kandel</w:t>
      </w:r>
      <w:proofErr w:type="spellEnd"/>
      <w:r w:rsidRPr="00793F60">
        <w:t xml:space="preserve"> résidait </w:t>
      </w:r>
      <w:r>
        <w:t xml:space="preserve">dans un secteur de </w:t>
      </w:r>
      <w:r w:rsidRPr="00793F60">
        <w:t>Katmandou</w:t>
      </w:r>
      <w:r>
        <w:t xml:space="preserve"> appelé </w:t>
      </w:r>
      <w:proofErr w:type="spellStart"/>
      <w:r w:rsidRPr="00793F60">
        <w:t>Chabahil</w:t>
      </w:r>
      <w:proofErr w:type="spellEnd"/>
      <w:r w:rsidRPr="00793F60">
        <w:t xml:space="preserve"> et </w:t>
      </w:r>
      <w:r>
        <w:t>étudiait en vue d</w:t>
      </w:r>
      <w:r w:rsidR="002E0B4C">
        <w:t>’</w:t>
      </w:r>
      <w:r>
        <w:t>obtenir</w:t>
      </w:r>
      <w:r w:rsidRPr="00793F60">
        <w:t xml:space="preserve"> une licence en lettres au </w:t>
      </w:r>
      <w:proofErr w:type="spellStart"/>
      <w:r w:rsidRPr="00793F60">
        <w:t>Sar</w:t>
      </w:r>
      <w:r w:rsidR="00AA3436">
        <w:t>a</w:t>
      </w:r>
      <w:r w:rsidRPr="00793F60">
        <w:t>swati</w:t>
      </w:r>
      <w:proofErr w:type="spellEnd"/>
      <w:r w:rsidRPr="00793F60">
        <w:t xml:space="preserve"> Multiple Campus de Katmandou. Il était affilié au Syndicat national indépendant étudiant du Népal (révolutionnaire), la branche étudiante du</w:t>
      </w:r>
      <w:r w:rsidRPr="00793F60">
        <w:rPr>
          <w:shd w:val="clear" w:color="auto" w:fill="FFFFFF"/>
        </w:rPr>
        <w:t xml:space="preserve"> Parti communiste du Népal (maoïste) d</w:t>
      </w:r>
      <w:r w:rsidR="002E0B4C">
        <w:rPr>
          <w:shd w:val="clear" w:color="auto" w:fill="FFFFFF"/>
        </w:rPr>
        <w:t>’</w:t>
      </w:r>
      <w:r w:rsidRPr="00793F60">
        <w:rPr>
          <w:shd w:val="clear" w:color="auto" w:fill="FFFFFF"/>
        </w:rPr>
        <w:t>alors</w:t>
      </w:r>
      <w:r w:rsidRPr="00793F60">
        <w:t xml:space="preserve">. En 2003, </w:t>
      </w:r>
      <w:r>
        <w:t xml:space="preserve">son père, </w:t>
      </w:r>
      <w:proofErr w:type="spellStart"/>
      <w:r w:rsidRPr="00793F60">
        <w:t>Tikanath</w:t>
      </w:r>
      <w:proofErr w:type="spellEnd"/>
      <w:r w:rsidRPr="00793F60">
        <w:t xml:space="preserve"> </w:t>
      </w:r>
      <w:proofErr w:type="spellStart"/>
      <w:r w:rsidRPr="00793F60">
        <w:t>Kandel</w:t>
      </w:r>
      <w:proofErr w:type="spellEnd"/>
      <w:r w:rsidRPr="00793F60">
        <w:t xml:space="preserve">, était fermier (maintenant à la retraite) et </w:t>
      </w:r>
      <w:r>
        <w:t xml:space="preserve">son frère, </w:t>
      </w:r>
      <w:proofErr w:type="spellStart"/>
      <w:r w:rsidRPr="00793F60">
        <w:t>Ramhari</w:t>
      </w:r>
      <w:proofErr w:type="spellEnd"/>
      <w:r w:rsidRPr="00793F60">
        <w:t xml:space="preserve"> </w:t>
      </w:r>
      <w:proofErr w:type="spellStart"/>
      <w:r w:rsidRPr="00793F60">
        <w:t>Kandel</w:t>
      </w:r>
      <w:proofErr w:type="spellEnd"/>
      <w:r w:rsidRPr="00793F60">
        <w:t xml:space="preserve">, était vendeur de vitres. </w:t>
      </w:r>
    </w:p>
    <w:p w:rsidR="0036782F" w:rsidRPr="00793F60" w:rsidRDefault="0036782F" w:rsidP="0036782F">
      <w:pPr>
        <w:pStyle w:val="SingleTxtG"/>
      </w:pPr>
      <w:r w:rsidRPr="00793F60">
        <w:t>2.2</w:t>
      </w:r>
      <w:r w:rsidRPr="00793F60">
        <w:tab/>
        <w:t xml:space="preserve">Le </w:t>
      </w:r>
      <w:r w:rsidRPr="00793F60">
        <w:rPr>
          <w:bCs/>
        </w:rPr>
        <w:t>10 octobre 2003</w:t>
      </w:r>
      <w:r w:rsidRPr="00793F60">
        <w:t xml:space="preserve">, </w:t>
      </w:r>
      <w:proofErr w:type="spellStart"/>
      <w:r w:rsidRPr="00793F60">
        <w:t>Amrit</w:t>
      </w:r>
      <w:proofErr w:type="spellEnd"/>
      <w:r w:rsidRPr="00793F60">
        <w:t xml:space="preserve"> </w:t>
      </w:r>
      <w:proofErr w:type="spellStart"/>
      <w:r w:rsidRPr="00793F60">
        <w:t>Kandel</w:t>
      </w:r>
      <w:proofErr w:type="spellEnd"/>
      <w:r w:rsidRPr="00793F60">
        <w:t xml:space="preserve"> déambulait dans les ruelles du quartier de </w:t>
      </w:r>
      <w:proofErr w:type="spellStart"/>
      <w:r w:rsidRPr="00793F60">
        <w:t>Gangahiti</w:t>
      </w:r>
      <w:proofErr w:type="spellEnd"/>
      <w:r w:rsidRPr="00793F60">
        <w:t xml:space="preserve"> à </w:t>
      </w:r>
      <w:proofErr w:type="spellStart"/>
      <w:r w:rsidRPr="00793F60">
        <w:t>Chabahil</w:t>
      </w:r>
      <w:proofErr w:type="spellEnd"/>
      <w:r w:rsidRPr="00793F60">
        <w:t xml:space="preserve">, avec un ami, </w:t>
      </w:r>
      <w:proofErr w:type="spellStart"/>
      <w:r w:rsidRPr="00793F60">
        <w:t>Dhruba</w:t>
      </w:r>
      <w:proofErr w:type="spellEnd"/>
      <w:r w:rsidRPr="00793F60">
        <w:t xml:space="preserve"> </w:t>
      </w:r>
      <w:proofErr w:type="spellStart"/>
      <w:r w:rsidRPr="00793F60">
        <w:t>Subedi</w:t>
      </w:r>
      <w:proofErr w:type="spellEnd"/>
      <w:r w:rsidRPr="00793F60">
        <w:t>. Vers 15 h, 11 ou 12 hommes armés en civil</w:t>
      </w:r>
      <w:r>
        <w:t xml:space="preserve"> </w:t>
      </w:r>
      <w:r w:rsidRPr="00793F60">
        <w:t>ont surgi d</w:t>
      </w:r>
      <w:r w:rsidR="002E0B4C">
        <w:t>’</w:t>
      </w:r>
      <w:r w:rsidRPr="00793F60">
        <w:t xml:space="preserve">une camionnette </w:t>
      </w:r>
      <w:r>
        <w:t>de</w:t>
      </w:r>
      <w:r w:rsidRPr="00793F60">
        <w:t xml:space="preserve"> l</w:t>
      </w:r>
      <w:r w:rsidR="002E0B4C">
        <w:t>’</w:t>
      </w:r>
      <w:r w:rsidRPr="00793F60">
        <w:t>Armée royale népalaise</w:t>
      </w:r>
      <w:r>
        <w:t xml:space="preserve"> et</w:t>
      </w:r>
      <w:r w:rsidRPr="00793F60">
        <w:t xml:space="preserve"> se sont jetés sur </w:t>
      </w:r>
      <w:proofErr w:type="spellStart"/>
      <w:r w:rsidRPr="00793F60">
        <w:t>Amrit</w:t>
      </w:r>
      <w:proofErr w:type="spellEnd"/>
      <w:r w:rsidRPr="00793F60">
        <w:t xml:space="preserve"> </w:t>
      </w:r>
      <w:proofErr w:type="spellStart"/>
      <w:r w:rsidRPr="00793F60">
        <w:t>Kandel</w:t>
      </w:r>
      <w:proofErr w:type="spellEnd"/>
      <w:r w:rsidRPr="00793F60">
        <w:t>. Ils l</w:t>
      </w:r>
      <w:r w:rsidR="002E0B4C">
        <w:t>’</w:t>
      </w:r>
      <w:r w:rsidRPr="00793F60">
        <w:t>ont forcé à monter dans la camionnette sous la menace d</w:t>
      </w:r>
      <w:r w:rsidR="002E0B4C">
        <w:t>’</w:t>
      </w:r>
      <w:r w:rsidRPr="00793F60">
        <w:t>une arme et l</w:t>
      </w:r>
      <w:r w:rsidR="002E0B4C">
        <w:t>’</w:t>
      </w:r>
      <w:r w:rsidRPr="00793F60">
        <w:t>ont emmené. Pendant ce temps, l</w:t>
      </w:r>
      <w:r w:rsidR="002E0B4C">
        <w:t>’</w:t>
      </w:r>
      <w:r w:rsidRPr="00793F60">
        <w:t>ami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a pu s</w:t>
      </w:r>
      <w:r w:rsidR="002E0B4C">
        <w:t>’</w:t>
      </w:r>
      <w:r w:rsidRPr="00793F60">
        <w:t>enfuir.</w:t>
      </w:r>
    </w:p>
    <w:p w:rsidR="0036782F" w:rsidRPr="00793F60" w:rsidRDefault="0036782F" w:rsidP="0036782F">
      <w:pPr>
        <w:pStyle w:val="SingleTxtG"/>
      </w:pPr>
      <w:r w:rsidRPr="00793F60">
        <w:t>2.3</w:t>
      </w:r>
      <w:r w:rsidRPr="00793F60">
        <w:tab/>
      </w:r>
      <w:proofErr w:type="spellStart"/>
      <w:r w:rsidRPr="00793F60">
        <w:t>Ramhari</w:t>
      </w:r>
      <w:proofErr w:type="spellEnd"/>
      <w:r w:rsidRPr="00793F60">
        <w:t xml:space="preserve"> </w:t>
      </w:r>
      <w:proofErr w:type="spellStart"/>
      <w:r w:rsidRPr="00793F60">
        <w:t>Kandel</w:t>
      </w:r>
      <w:proofErr w:type="spellEnd"/>
      <w:r>
        <w:t xml:space="preserve"> </w:t>
      </w:r>
      <w:r w:rsidRPr="00793F60">
        <w:t>avait lui aussi été enlevé, le 12 septembre 2003, alors qu</w:t>
      </w:r>
      <w:r w:rsidR="002E0B4C">
        <w:t>’</w:t>
      </w:r>
      <w:r w:rsidRPr="00793F60">
        <w:t xml:space="preserve">il rendait visite à sa sœur dans son appartement à Patan, dans le district de </w:t>
      </w:r>
      <w:proofErr w:type="spellStart"/>
      <w:r w:rsidRPr="00793F60">
        <w:t>Lalitpur</w:t>
      </w:r>
      <w:proofErr w:type="spellEnd"/>
      <w:r>
        <w:t xml:space="preserve">, près de </w:t>
      </w:r>
      <w:r w:rsidRPr="00793F60">
        <w:t xml:space="preserve">Katmandou. </w:t>
      </w:r>
      <w:r>
        <w:t>Ce jour-là, u</w:t>
      </w:r>
      <w:r w:rsidRPr="00793F60">
        <w:t>n groupe de cinq à sept membres de l</w:t>
      </w:r>
      <w:r w:rsidR="002E0B4C">
        <w:t>’</w:t>
      </w:r>
      <w:r w:rsidRPr="00793F60">
        <w:t>Armée royale népalaise ont pénétré dans l</w:t>
      </w:r>
      <w:r w:rsidR="002E0B4C">
        <w:t>’</w:t>
      </w:r>
      <w:r w:rsidRPr="00793F60">
        <w:t>appartement, l</w:t>
      </w:r>
      <w:r w:rsidR="002E0B4C">
        <w:t>’</w:t>
      </w:r>
      <w:r w:rsidRPr="00793F60">
        <w:t>ont arrêté, l</w:t>
      </w:r>
      <w:r w:rsidR="002E0B4C">
        <w:t>’</w:t>
      </w:r>
      <w:r w:rsidRPr="00793F60">
        <w:t>ont forcé à monter dans une camionnette et l</w:t>
      </w:r>
      <w:r w:rsidR="002E0B4C">
        <w:t>’</w:t>
      </w:r>
      <w:r w:rsidRPr="00793F60">
        <w:t xml:space="preserve">ont emmené à la prison de </w:t>
      </w:r>
      <w:proofErr w:type="spellStart"/>
      <w:r w:rsidRPr="00793F60">
        <w:t>Maharajgunj</w:t>
      </w:r>
      <w:proofErr w:type="spellEnd"/>
      <w:r w:rsidRPr="00793F60">
        <w:t>, où il a été détenu au secret, interrogé et roué de coups pendant environ trois mois.</w:t>
      </w:r>
    </w:p>
    <w:p w:rsidR="0036782F" w:rsidRPr="00793F60" w:rsidRDefault="0036782F" w:rsidP="0036782F">
      <w:pPr>
        <w:pStyle w:val="SingleTxtG"/>
        <w:rPr>
          <w:bCs/>
        </w:rPr>
      </w:pPr>
      <w:r w:rsidRPr="00793F60">
        <w:t>2.4</w:t>
      </w:r>
      <w:r w:rsidRPr="00793F60">
        <w:tab/>
        <w:t xml:space="preserve">Le 10 octobre 2003, </w:t>
      </w:r>
      <w:proofErr w:type="spellStart"/>
      <w:r w:rsidRPr="00793F60">
        <w:t>Ramhari</w:t>
      </w:r>
      <w:proofErr w:type="spellEnd"/>
      <w:r w:rsidRPr="00793F60">
        <w:t xml:space="preserve"> </w:t>
      </w:r>
      <w:proofErr w:type="spellStart"/>
      <w:r w:rsidRPr="00793F60">
        <w:t>Kandel</w:t>
      </w:r>
      <w:proofErr w:type="spellEnd"/>
      <w:r w:rsidRPr="00793F60">
        <w:t xml:space="preserve"> a entendu quelqu</w:t>
      </w:r>
      <w:r w:rsidR="002E0B4C">
        <w:t>’</w:t>
      </w:r>
      <w:r w:rsidRPr="00793F60">
        <w:t>un pleurer dans une tente proche de la sienne et a reconnu la voix de son frère. Cinq jours plus tard, alors qu</w:t>
      </w:r>
      <w:r w:rsidR="002E0B4C">
        <w:t>’</w:t>
      </w:r>
      <w:r w:rsidRPr="00793F60">
        <w:t>il se rendait aux toilettes, il est passé devant son frère et l</w:t>
      </w:r>
      <w:r w:rsidR="002E0B4C">
        <w:t>’</w:t>
      </w:r>
      <w:r w:rsidRPr="00793F60">
        <w:t>a reconnu bien qu</w:t>
      </w:r>
      <w:r w:rsidR="002E0B4C">
        <w:t>’</w:t>
      </w:r>
      <w:r w:rsidRPr="00793F60">
        <w:t xml:space="preserve">ils </w:t>
      </w:r>
      <w:r>
        <w:t>avaient</w:t>
      </w:r>
      <w:r w:rsidRPr="00793F60">
        <w:t xml:space="preserve"> tous deux les yeux bandés, </w:t>
      </w:r>
      <w:r>
        <w:t xml:space="preserve">car </w:t>
      </w:r>
      <w:r w:rsidRPr="00793F60">
        <w:t xml:space="preserve">il était parvenu à faire glisser son bandeau. Ils ont pu se parler quelques minutes dans les toilettes et </w:t>
      </w:r>
      <w:proofErr w:type="spellStart"/>
      <w:r w:rsidRPr="00793F60">
        <w:t>Ramhari</w:t>
      </w:r>
      <w:proofErr w:type="spellEnd"/>
      <w:r>
        <w:t xml:space="preserve"> </w:t>
      </w:r>
      <w:proofErr w:type="spellStart"/>
      <w:r>
        <w:t>Kandel</w:t>
      </w:r>
      <w:proofErr w:type="spellEnd"/>
      <w:r w:rsidRPr="00793F60">
        <w:t xml:space="preserve"> a vu que le corps de son frère était enflé et couvert d</w:t>
      </w:r>
      <w:r w:rsidR="002E0B4C">
        <w:t>’</w:t>
      </w:r>
      <w:r w:rsidRPr="00793F60">
        <w:t>ecchymoses. Ils n</w:t>
      </w:r>
      <w:r w:rsidR="002E0B4C">
        <w:t>’</w:t>
      </w:r>
      <w:r w:rsidRPr="00793F60">
        <w:t>ont pas eu l</w:t>
      </w:r>
      <w:r w:rsidR="002E0B4C">
        <w:t>’</w:t>
      </w:r>
      <w:r w:rsidRPr="00793F60">
        <w:t>occasion de communiquer à nouveau au cours des jours et des semaines qui ont suivi.</w:t>
      </w:r>
    </w:p>
    <w:p w:rsidR="0036782F" w:rsidRPr="00793F60" w:rsidRDefault="0036782F" w:rsidP="0036782F">
      <w:pPr>
        <w:pStyle w:val="SingleTxtG"/>
        <w:rPr>
          <w:bCs/>
        </w:rPr>
      </w:pPr>
      <w:r w:rsidRPr="00793F60">
        <w:t>2.5</w:t>
      </w:r>
      <w:r w:rsidRPr="00793F60">
        <w:tab/>
      </w:r>
      <w:r w:rsidRPr="00793F60">
        <w:rPr>
          <w:spacing w:val="-1"/>
        </w:rPr>
        <w:t xml:space="preserve">Selon </w:t>
      </w:r>
      <w:proofErr w:type="spellStart"/>
      <w:r w:rsidRPr="00793F60">
        <w:rPr>
          <w:spacing w:val="-1"/>
        </w:rPr>
        <w:t>Ramhari</w:t>
      </w:r>
      <w:proofErr w:type="spellEnd"/>
      <w:r w:rsidRPr="00793F60">
        <w:rPr>
          <w:spacing w:val="-1"/>
        </w:rPr>
        <w:t xml:space="preserve"> </w:t>
      </w:r>
      <w:proofErr w:type="spellStart"/>
      <w:r w:rsidRPr="00793F60">
        <w:rPr>
          <w:spacing w:val="-1"/>
        </w:rPr>
        <w:t>Kandel</w:t>
      </w:r>
      <w:proofErr w:type="spellEnd"/>
      <w:r w:rsidRPr="00793F60">
        <w:rPr>
          <w:spacing w:val="-1"/>
        </w:rPr>
        <w:t xml:space="preserve">, les conditions de détention à </w:t>
      </w:r>
      <w:proofErr w:type="spellStart"/>
      <w:r w:rsidRPr="00793F60">
        <w:rPr>
          <w:spacing w:val="-1"/>
        </w:rPr>
        <w:t>Maharajgunj</w:t>
      </w:r>
      <w:proofErr w:type="spellEnd"/>
      <w:r w:rsidRPr="00793F60">
        <w:rPr>
          <w:spacing w:val="-1"/>
        </w:rPr>
        <w:t xml:space="preserve"> </w:t>
      </w:r>
      <w:r>
        <w:rPr>
          <w:spacing w:val="-1"/>
        </w:rPr>
        <w:t>constituaient un traitement</w:t>
      </w:r>
      <w:r w:rsidRPr="00793F60">
        <w:rPr>
          <w:spacing w:val="-1"/>
        </w:rPr>
        <w:t xml:space="preserve"> cruel, inhumain et dégradant. </w:t>
      </w:r>
      <w:r>
        <w:rPr>
          <w:spacing w:val="-1"/>
        </w:rPr>
        <w:t>Les détenus</w:t>
      </w:r>
      <w:r w:rsidRPr="00793F60">
        <w:rPr>
          <w:spacing w:val="-1"/>
        </w:rPr>
        <w:t xml:space="preserve"> étaient</w:t>
      </w:r>
      <w:r>
        <w:rPr>
          <w:spacing w:val="-1"/>
        </w:rPr>
        <w:t xml:space="preserve"> souvent</w:t>
      </w:r>
      <w:r w:rsidRPr="00793F60">
        <w:rPr>
          <w:spacing w:val="-1"/>
        </w:rPr>
        <w:t xml:space="preserve"> contraints de dormir dehors sur du gravier</w:t>
      </w:r>
      <w:r>
        <w:rPr>
          <w:spacing w:val="-1"/>
        </w:rPr>
        <w:t>. I</w:t>
      </w:r>
      <w:r w:rsidRPr="00793F60">
        <w:rPr>
          <w:spacing w:val="-1"/>
        </w:rPr>
        <w:t>ls étaient constamment menottés et avaient la plupart du temps les yeux bandés. L</w:t>
      </w:r>
      <w:r w:rsidR="002E0B4C">
        <w:rPr>
          <w:spacing w:val="-1"/>
        </w:rPr>
        <w:t>’</w:t>
      </w:r>
      <w:r w:rsidRPr="00793F60">
        <w:rPr>
          <w:spacing w:val="-1"/>
        </w:rPr>
        <w:t>eau et la nourriture étaient rares et distribuées de façon irrégulière, au gré de l</w:t>
      </w:r>
      <w:r w:rsidR="002E0B4C">
        <w:rPr>
          <w:spacing w:val="-1"/>
        </w:rPr>
        <w:t>’</w:t>
      </w:r>
      <w:r w:rsidRPr="00793F60">
        <w:rPr>
          <w:spacing w:val="-1"/>
        </w:rPr>
        <w:t xml:space="preserve">humeur des gardiens. </w:t>
      </w:r>
      <w:r>
        <w:rPr>
          <w:spacing w:val="-1"/>
        </w:rPr>
        <w:t>En outre</w:t>
      </w:r>
      <w:r w:rsidRPr="00793F60">
        <w:rPr>
          <w:spacing w:val="-1"/>
        </w:rPr>
        <w:t xml:space="preserve">, les détenus étaient brutalement interrogés, de jour comme de nuit. </w:t>
      </w:r>
      <w:proofErr w:type="spellStart"/>
      <w:r w:rsidRPr="00793F60">
        <w:rPr>
          <w:spacing w:val="-1"/>
        </w:rPr>
        <w:t>Ramhari</w:t>
      </w:r>
      <w:proofErr w:type="spellEnd"/>
      <w:r w:rsidRPr="00793F60">
        <w:rPr>
          <w:spacing w:val="-1"/>
        </w:rPr>
        <w:t xml:space="preserve"> </w:t>
      </w:r>
      <w:proofErr w:type="spellStart"/>
      <w:r w:rsidRPr="00793F60">
        <w:rPr>
          <w:spacing w:val="-1"/>
        </w:rPr>
        <w:t>Kandel</w:t>
      </w:r>
      <w:proofErr w:type="spellEnd"/>
      <w:r w:rsidRPr="00793F60">
        <w:rPr>
          <w:spacing w:val="-1"/>
        </w:rPr>
        <w:t xml:space="preserve"> était souvent menacé de mort</w:t>
      </w:r>
      <w:r w:rsidR="00CD3E2E">
        <w:rPr>
          <w:spacing w:val="-1"/>
        </w:rPr>
        <w:t> </w:t>
      </w:r>
      <w:r>
        <w:rPr>
          <w:spacing w:val="-1"/>
        </w:rPr>
        <w:t>; il a également été</w:t>
      </w:r>
      <w:r w:rsidRPr="00793F60">
        <w:rPr>
          <w:spacing w:val="-1"/>
        </w:rPr>
        <w:t xml:space="preserve"> battu, traîné sur le sol et forcé de rester à genoux sur des cailloux pendant des heures. Il a indiqué que beaucoup de prisonniers étaient régulièrement soumis à des électrochocs et plongés dans l</w:t>
      </w:r>
      <w:r w:rsidR="002E0B4C">
        <w:rPr>
          <w:spacing w:val="-1"/>
        </w:rPr>
        <w:t>’</w:t>
      </w:r>
      <w:r w:rsidRPr="00793F60">
        <w:rPr>
          <w:spacing w:val="-1"/>
        </w:rPr>
        <w:t xml:space="preserve">eau. </w:t>
      </w:r>
    </w:p>
    <w:p w:rsidR="0036782F" w:rsidRPr="00793F60" w:rsidRDefault="0036782F" w:rsidP="0036782F">
      <w:pPr>
        <w:pStyle w:val="SingleTxtG"/>
      </w:pPr>
      <w:r w:rsidRPr="00793F60">
        <w:t>2.6</w:t>
      </w:r>
      <w:r w:rsidRPr="00793F60">
        <w:tab/>
      </w:r>
      <w:proofErr w:type="spellStart"/>
      <w:r w:rsidRPr="00793F60">
        <w:t>Tikanath</w:t>
      </w:r>
      <w:proofErr w:type="spellEnd"/>
      <w:r w:rsidRPr="00793F60">
        <w:t xml:space="preserve"> </w:t>
      </w:r>
      <w:proofErr w:type="spellStart"/>
      <w:r w:rsidRPr="00793F60">
        <w:t>Kandel</w:t>
      </w:r>
      <w:proofErr w:type="spellEnd"/>
      <w:r w:rsidRPr="00793F60">
        <w:t xml:space="preserve"> a été informé de l</w:t>
      </w:r>
      <w:r w:rsidR="002E0B4C">
        <w:t>’</w:t>
      </w:r>
      <w:r w:rsidRPr="00793F60">
        <w:t xml:space="preserve">arrestation de </w:t>
      </w:r>
      <w:proofErr w:type="spellStart"/>
      <w:r w:rsidRPr="00793F60">
        <w:t>Ramhari</w:t>
      </w:r>
      <w:proofErr w:type="spellEnd"/>
      <w:r w:rsidRPr="00793F60">
        <w:t xml:space="preserve"> </w:t>
      </w:r>
      <w:proofErr w:type="spellStart"/>
      <w:r>
        <w:t>Kandal</w:t>
      </w:r>
      <w:proofErr w:type="spellEnd"/>
      <w:r>
        <w:t xml:space="preserve"> </w:t>
      </w:r>
      <w:r w:rsidRPr="00793F60">
        <w:t>par sa fille le 13 septembre 2003. Il a appris</w:t>
      </w:r>
      <w:r>
        <w:t xml:space="preserve"> en lisant le journal</w:t>
      </w:r>
      <w:r w:rsidRPr="00793F60">
        <w:t xml:space="preserve"> qu</w:t>
      </w:r>
      <w:r w:rsidR="002E0B4C">
        <w:t>’</w:t>
      </w:r>
      <w:proofErr w:type="spellStart"/>
      <w:r>
        <w:t>Amrit</w:t>
      </w:r>
      <w:proofErr w:type="spellEnd"/>
      <w:r>
        <w:t xml:space="preserve"> </w:t>
      </w:r>
      <w:proofErr w:type="spellStart"/>
      <w:r>
        <w:t>Kandel</w:t>
      </w:r>
      <w:proofErr w:type="spellEnd"/>
      <w:r>
        <w:t xml:space="preserve"> avait été arrêté, </w:t>
      </w:r>
      <w:r w:rsidRPr="00793F60">
        <w:t xml:space="preserve"> un des représentant</w:t>
      </w:r>
      <w:r>
        <w:t>s</w:t>
      </w:r>
      <w:r w:rsidRPr="00793F60">
        <w:t xml:space="preserve"> du Syndicat national indépendant étudiant du Népal (révolutionnaire) ayant évoqué son cas lors d</w:t>
      </w:r>
      <w:r w:rsidR="002E0B4C">
        <w:t>’</w:t>
      </w:r>
      <w:r w:rsidRPr="00793F60">
        <w:t>un</w:t>
      </w:r>
      <w:r>
        <w:t xml:space="preserve"> entretien</w:t>
      </w:r>
      <w:r w:rsidRPr="00793F60">
        <w:t xml:space="preserve"> accordé au</w:t>
      </w:r>
      <w:r>
        <w:t xml:space="preserve"> quotidien </w:t>
      </w:r>
      <w:proofErr w:type="spellStart"/>
      <w:r w:rsidRPr="00CD3E2E">
        <w:rPr>
          <w:i/>
          <w:iCs/>
        </w:rPr>
        <w:t>Hamara</w:t>
      </w:r>
      <w:proofErr w:type="spellEnd"/>
      <w:r w:rsidRPr="00CD3E2E">
        <w:rPr>
          <w:i/>
          <w:iCs/>
        </w:rPr>
        <w:t xml:space="preserve"> </w:t>
      </w:r>
      <w:proofErr w:type="spellStart"/>
      <w:r w:rsidRPr="00CD3E2E">
        <w:rPr>
          <w:i/>
          <w:iCs/>
        </w:rPr>
        <w:t>Mahanagar</w:t>
      </w:r>
      <w:proofErr w:type="spellEnd"/>
      <w:r w:rsidRPr="00793F60">
        <w:t xml:space="preserve">. Le 15 octobre 2003, </w:t>
      </w:r>
      <w:proofErr w:type="spellStart"/>
      <w:r w:rsidRPr="00793F60">
        <w:t>Tikanath</w:t>
      </w:r>
      <w:proofErr w:type="spellEnd"/>
      <w:r w:rsidRPr="00793F60">
        <w:t xml:space="preserve"> </w:t>
      </w:r>
      <w:proofErr w:type="spellStart"/>
      <w:r w:rsidRPr="00793F60">
        <w:t>Kandel</w:t>
      </w:r>
      <w:proofErr w:type="spellEnd"/>
      <w:r w:rsidRPr="00793F60">
        <w:t xml:space="preserve"> a déposé une plainte auprès de la Commission nationale des droits de l</w:t>
      </w:r>
      <w:r w:rsidR="002E0B4C">
        <w:t>’</w:t>
      </w:r>
      <w:r w:rsidRPr="00793F60">
        <w:t>homme pour</w:t>
      </w:r>
      <w:r>
        <w:t xml:space="preserve"> </w:t>
      </w:r>
      <w:r w:rsidRPr="00793F60">
        <w:t>l</w:t>
      </w:r>
      <w:r w:rsidR="002E0B4C">
        <w:t>’</w:t>
      </w:r>
      <w:r w:rsidRPr="00793F60">
        <w:t>arrestation et la détention au secret de ses deux fils. Il a également signalé les cas au Comité international de la Croix-Rouge. Le 17 octobre 2003, il a essayé de porter plainte auprès de la cellule des droits de l</w:t>
      </w:r>
      <w:r w:rsidR="002E0B4C">
        <w:t>’</w:t>
      </w:r>
      <w:r w:rsidRPr="00793F60">
        <w:t>homme</w:t>
      </w:r>
      <w:r w:rsidRPr="00793F60">
        <w:rPr>
          <w:rStyle w:val="Appelnotedebasdep"/>
        </w:rPr>
        <w:footnoteReference w:id="4"/>
      </w:r>
      <w:r w:rsidRPr="00793F60">
        <w:t xml:space="preserve"> de l</w:t>
      </w:r>
      <w:r w:rsidR="002E0B4C">
        <w:t>’</w:t>
      </w:r>
      <w:r w:rsidRPr="00793F60">
        <w:t>Armée royale népalaise, mais les responsables ont nié toute implication de l</w:t>
      </w:r>
      <w:r w:rsidR="002E0B4C">
        <w:t>’</w:t>
      </w:r>
      <w:r w:rsidRPr="00793F60">
        <w:t>Armée et ont refusé d</w:t>
      </w:r>
      <w:r w:rsidR="002E0B4C">
        <w:t>’</w:t>
      </w:r>
      <w:r w:rsidRPr="00793F60">
        <w:t>enregistrer sa plainte. Le 19 octobre 2003, un ancien soldat de l</w:t>
      </w:r>
      <w:r w:rsidR="002E0B4C">
        <w:t>’</w:t>
      </w:r>
      <w:r w:rsidRPr="00793F60">
        <w:t xml:space="preserve">Armée, originaire du même district que </w:t>
      </w:r>
      <w:proofErr w:type="spellStart"/>
      <w:r w:rsidRPr="00793F60">
        <w:t>Tikanath</w:t>
      </w:r>
      <w:proofErr w:type="spellEnd"/>
      <w:r w:rsidRPr="00793F60">
        <w:t xml:space="preserve"> </w:t>
      </w:r>
      <w:proofErr w:type="spellStart"/>
      <w:r w:rsidRPr="00793F60">
        <w:t>Kandel</w:t>
      </w:r>
      <w:proofErr w:type="spellEnd"/>
      <w:r>
        <w:t xml:space="preserve"> et </w:t>
      </w:r>
      <w:r w:rsidRPr="00793F60">
        <w:t>qui a</w:t>
      </w:r>
      <w:r>
        <w:t>vait</w:t>
      </w:r>
      <w:r w:rsidRPr="00793F60">
        <w:t xml:space="preserve"> récemment pris sa retraite, a dit à son épouse qu</w:t>
      </w:r>
      <w:r w:rsidR="002E0B4C">
        <w:t>’</w:t>
      </w:r>
      <w:r w:rsidRPr="00793F60">
        <w:t xml:space="preserve">il avait vu </w:t>
      </w:r>
      <w:proofErr w:type="spellStart"/>
      <w:r w:rsidRPr="00793F60">
        <w:lastRenderedPageBreak/>
        <w:t>Amrit</w:t>
      </w:r>
      <w:proofErr w:type="spellEnd"/>
      <w:r w:rsidRPr="00793F60">
        <w:t xml:space="preserve"> </w:t>
      </w:r>
      <w:proofErr w:type="spellStart"/>
      <w:r w:rsidRPr="00793F60">
        <w:t>Kandel</w:t>
      </w:r>
      <w:proofErr w:type="spellEnd"/>
      <w:r w:rsidRPr="00793F60">
        <w:t xml:space="preserve"> dans la </w:t>
      </w:r>
      <w:r>
        <w:t>prison</w:t>
      </w:r>
      <w:r w:rsidRPr="00793F60">
        <w:t xml:space="preserve"> de </w:t>
      </w:r>
      <w:proofErr w:type="spellStart"/>
      <w:r w:rsidRPr="00793F60">
        <w:t>Maharajgunj</w:t>
      </w:r>
      <w:proofErr w:type="spellEnd"/>
      <w:r w:rsidRPr="00793F60">
        <w:t xml:space="preserve"> et que ce</w:t>
      </w:r>
      <w:r>
        <w:t>lui-ci</w:t>
      </w:r>
      <w:r w:rsidRPr="00793F60">
        <w:t xml:space="preserve"> était toujours </w:t>
      </w:r>
      <w:r>
        <w:t>en vie</w:t>
      </w:r>
      <w:r w:rsidRPr="00793F60">
        <w:t xml:space="preserve">. Le 21 octobre 2003, </w:t>
      </w:r>
      <w:proofErr w:type="spellStart"/>
      <w:r w:rsidRPr="00793F60">
        <w:t>Tikanath</w:t>
      </w:r>
      <w:proofErr w:type="spellEnd"/>
      <w:r w:rsidRPr="00793F60">
        <w:t xml:space="preserve"> </w:t>
      </w:r>
      <w:proofErr w:type="spellStart"/>
      <w:r w:rsidRPr="00793F60">
        <w:t>Kandel</w:t>
      </w:r>
      <w:proofErr w:type="spellEnd"/>
      <w:r w:rsidRPr="00793F60">
        <w:t xml:space="preserve"> s</w:t>
      </w:r>
      <w:r w:rsidR="002E0B4C">
        <w:t>’</w:t>
      </w:r>
      <w:r w:rsidRPr="00793F60">
        <w:t>est enquis de l</w:t>
      </w:r>
      <w:r w:rsidR="002E0B4C">
        <w:t>’</w:t>
      </w:r>
      <w:r w:rsidRPr="00793F60">
        <w:t xml:space="preserve">endroit où se trouvaient ses fils auprès de </w:t>
      </w:r>
      <w:proofErr w:type="spellStart"/>
      <w:r w:rsidRPr="00793F60">
        <w:t>Thakur</w:t>
      </w:r>
      <w:proofErr w:type="spellEnd"/>
      <w:r w:rsidRPr="00793F60">
        <w:t xml:space="preserve"> Prasad </w:t>
      </w:r>
      <w:proofErr w:type="spellStart"/>
      <w:r w:rsidRPr="00793F60">
        <w:t>Kandel</w:t>
      </w:r>
      <w:proofErr w:type="spellEnd"/>
      <w:r w:rsidRPr="00793F60">
        <w:t>, un de ses parents éloignés qui était à l</w:t>
      </w:r>
      <w:r w:rsidR="002E0B4C">
        <w:t>’</w:t>
      </w:r>
      <w:r w:rsidRPr="00793F60">
        <w:t>époque Ministre de la réforme agraire</w:t>
      </w:r>
      <w:r>
        <w:t xml:space="preserve"> et de l</w:t>
      </w:r>
      <w:r w:rsidR="002E0B4C">
        <w:t>’</w:t>
      </w:r>
      <w:r>
        <w:t>aménagement des terres</w:t>
      </w:r>
      <w:r w:rsidRPr="00793F60">
        <w:t xml:space="preserve"> ; celui-ci lui a </w:t>
      </w:r>
      <w:r>
        <w:t>dit</w:t>
      </w:r>
      <w:r w:rsidRPr="00793F60">
        <w:t xml:space="preserve"> qu</w:t>
      </w:r>
      <w:r>
        <w:t xml:space="preserve">e </w:t>
      </w:r>
      <w:r w:rsidR="00CD3E2E">
        <w:t>ses</w:t>
      </w:r>
      <w:r w:rsidRPr="00793F60">
        <w:t xml:space="preserve"> deux </w:t>
      </w:r>
      <w:r>
        <w:t xml:space="preserve">fils étaient toujours </w:t>
      </w:r>
      <w:r w:rsidRPr="00793F60">
        <w:t>en vie et qu</w:t>
      </w:r>
      <w:r w:rsidR="002E0B4C">
        <w:t>’</w:t>
      </w:r>
      <w:r w:rsidRPr="00793F60">
        <w:t xml:space="preserve">ils seraient bientôt libérés. En novembre 2003, </w:t>
      </w:r>
      <w:proofErr w:type="spellStart"/>
      <w:r w:rsidRPr="00793F60">
        <w:t>Tikanath</w:t>
      </w:r>
      <w:proofErr w:type="spellEnd"/>
      <w:r w:rsidRPr="00793F60">
        <w:t xml:space="preserve"> </w:t>
      </w:r>
      <w:proofErr w:type="spellStart"/>
      <w:r w:rsidRPr="00793F60">
        <w:t>Kandel</w:t>
      </w:r>
      <w:proofErr w:type="spellEnd"/>
      <w:r w:rsidRPr="00793F60">
        <w:t xml:space="preserve"> a adressé un appel au Premier Ministre et au Ministre de l</w:t>
      </w:r>
      <w:r w:rsidR="002E0B4C">
        <w:t>’</w:t>
      </w:r>
      <w:r w:rsidRPr="00793F60">
        <w:t>intérieur</w:t>
      </w:r>
      <w:r>
        <w:t>,</w:t>
      </w:r>
      <w:r w:rsidRPr="00793F60">
        <w:t xml:space="preserve"> leur demandant de protéger ses deux fils, mais il n</w:t>
      </w:r>
      <w:r w:rsidR="002E0B4C">
        <w:t>’</w:t>
      </w:r>
      <w:r w:rsidRPr="00793F60">
        <w:t xml:space="preserve">a jamais reçu de réponse. </w:t>
      </w:r>
    </w:p>
    <w:p w:rsidR="0036782F" w:rsidRPr="00793F60" w:rsidRDefault="0036782F" w:rsidP="0036782F">
      <w:pPr>
        <w:pStyle w:val="SingleTxtG"/>
        <w:rPr>
          <w:bCs/>
        </w:rPr>
      </w:pPr>
      <w:r w:rsidRPr="00793F60">
        <w:t>2.7</w:t>
      </w:r>
      <w:r w:rsidRPr="00793F60">
        <w:tab/>
        <w:t xml:space="preserve">Le </w:t>
      </w:r>
      <w:r w:rsidRPr="00793F60">
        <w:rPr>
          <w:bCs/>
        </w:rPr>
        <w:t>10 décembre 2003</w:t>
      </w:r>
      <w:r w:rsidRPr="00793F60">
        <w:t xml:space="preserve">, </w:t>
      </w:r>
      <w:proofErr w:type="spellStart"/>
      <w:r w:rsidRPr="00793F60">
        <w:t>Ramhari</w:t>
      </w:r>
      <w:proofErr w:type="spellEnd"/>
      <w:r w:rsidRPr="00793F60">
        <w:t xml:space="preserve"> </w:t>
      </w:r>
      <w:proofErr w:type="spellStart"/>
      <w:r w:rsidRPr="00793F60">
        <w:t>Kandel</w:t>
      </w:r>
      <w:proofErr w:type="spellEnd"/>
      <w:r w:rsidRPr="00793F60">
        <w:t xml:space="preserve"> a été remis en liberté. </w:t>
      </w:r>
      <w:r>
        <w:t>Toutefois, d</w:t>
      </w:r>
      <w:r w:rsidRPr="00793F60">
        <w:t>es soldats l</w:t>
      </w:r>
      <w:r w:rsidR="002E0B4C">
        <w:t>’</w:t>
      </w:r>
      <w:r w:rsidRPr="00793F60">
        <w:t>ont menacé</w:t>
      </w:r>
      <w:r>
        <w:t xml:space="preserve">, </w:t>
      </w:r>
      <w:r w:rsidRPr="00793F60">
        <w:t>lui disant qu</w:t>
      </w:r>
      <w:r w:rsidR="002E0B4C">
        <w:t>’</w:t>
      </w:r>
      <w:r w:rsidRPr="00793F60">
        <w:t>il serait de nouveau arrêté et tué s</w:t>
      </w:r>
      <w:r w:rsidR="002E0B4C">
        <w:t>’</w:t>
      </w:r>
      <w:r w:rsidRPr="00793F60">
        <w:t xml:space="preserve">il engageait des poursuites concernant sa détention ou celle de son frère. </w:t>
      </w:r>
      <w:proofErr w:type="spellStart"/>
      <w:r w:rsidRPr="00793F60">
        <w:t>Ramhari</w:t>
      </w:r>
      <w:proofErr w:type="spellEnd"/>
      <w:r w:rsidRPr="00793F60">
        <w:t xml:space="preserve"> </w:t>
      </w:r>
      <w:proofErr w:type="spellStart"/>
      <w:r w:rsidRPr="00793F60">
        <w:t>Kandel</w:t>
      </w:r>
      <w:proofErr w:type="spellEnd"/>
      <w:r w:rsidRPr="00793F60">
        <w:t xml:space="preserve"> n</w:t>
      </w:r>
      <w:r w:rsidR="002E0B4C">
        <w:t>’</w:t>
      </w:r>
      <w:r w:rsidRPr="00793F60">
        <w:t xml:space="preserve">a pas osé porter plainte et est rentré dans son village du district de </w:t>
      </w:r>
      <w:proofErr w:type="spellStart"/>
      <w:r w:rsidRPr="00793F60">
        <w:t>Dhading</w:t>
      </w:r>
      <w:proofErr w:type="spellEnd"/>
      <w:r w:rsidRPr="00793F60">
        <w:t xml:space="preserve">. </w:t>
      </w:r>
      <w:r>
        <w:t>N</w:t>
      </w:r>
      <w:r w:rsidRPr="00793F60">
        <w:t xml:space="preserve">i </w:t>
      </w:r>
      <w:proofErr w:type="spellStart"/>
      <w:r w:rsidRPr="00793F60">
        <w:rPr>
          <w:bCs/>
        </w:rPr>
        <w:t>Ramhari</w:t>
      </w:r>
      <w:proofErr w:type="spellEnd"/>
      <w:r w:rsidRPr="00793F60">
        <w:rPr>
          <w:bCs/>
        </w:rPr>
        <w:t xml:space="preserve"> </w:t>
      </w:r>
      <w:proofErr w:type="spellStart"/>
      <w:r w:rsidRPr="00793F60">
        <w:rPr>
          <w:bCs/>
        </w:rPr>
        <w:t>Kandel</w:t>
      </w:r>
      <w:proofErr w:type="spellEnd"/>
      <w:r w:rsidRPr="00793F60">
        <w:rPr>
          <w:bCs/>
        </w:rPr>
        <w:t xml:space="preserve"> ni aucun autre membre de sa famille n</w:t>
      </w:r>
      <w:r w:rsidR="002E0B4C">
        <w:rPr>
          <w:bCs/>
        </w:rPr>
        <w:t>’</w:t>
      </w:r>
      <w:r w:rsidRPr="00793F60">
        <w:rPr>
          <w:bCs/>
        </w:rPr>
        <w:t xml:space="preserve">ont jamais revu </w:t>
      </w:r>
      <w:proofErr w:type="spellStart"/>
      <w:r w:rsidRPr="00793F60">
        <w:rPr>
          <w:bCs/>
        </w:rPr>
        <w:t>Amrit</w:t>
      </w:r>
      <w:proofErr w:type="spellEnd"/>
      <w:r w:rsidRPr="00793F60">
        <w:rPr>
          <w:bCs/>
        </w:rPr>
        <w:t xml:space="preserve"> </w:t>
      </w:r>
      <w:proofErr w:type="spellStart"/>
      <w:r w:rsidRPr="00793F60">
        <w:rPr>
          <w:bCs/>
        </w:rPr>
        <w:t>Kandel</w:t>
      </w:r>
      <w:proofErr w:type="spellEnd"/>
      <w:r>
        <w:rPr>
          <w:bCs/>
        </w:rPr>
        <w:t xml:space="preserve">, et </w:t>
      </w:r>
      <w:r w:rsidRPr="00793F60">
        <w:rPr>
          <w:bCs/>
        </w:rPr>
        <w:t>on ne sait toujours rien du sort qui lui a été réservé et de l</w:t>
      </w:r>
      <w:r w:rsidR="002E0B4C">
        <w:rPr>
          <w:bCs/>
        </w:rPr>
        <w:t>’</w:t>
      </w:r>
      <w:r w:rsidRPr="00793F60">
        <w:rPr>
          <w:bCs/>
        </w:rPr>
        <w:t>endroit où il se trouve.</w:t>
      </w:r>
    </w:p>
    <w:p w:rsidR="0036782F" w:rsidRPr="00793F60" w:rsidRDefault="0036782F" w:rsidP="0036782F">
      <w:pPr>
        <w:pStyle w:val="SingleTxtG"/>
      </w:pPr>
      <w:r w:rsidRPr="00793F60">
        <w:rPr>
          <w:bCs/>
        </w:rPr>
        <w:t>2.8</w:t>
      </w:r>
      <w:r w:rsidRPr="00793F60">
        <w:rPr>
          <w:bCs/>
        </w:rPr>
        <w:tab/>
      </w:r>
      <w:proofErr w:type="spellStart"/>
      <w:r w:rsidRPr="00793F60">
        <w:rPr>
          <w:bCs/>
        </w:rPr>
        <w:t>Tikanath</w:t>
      </w:r>
      <w:proofErr w:type="spellEnd"/>
      <w:r w:rsidRPr="00793F60">
        <w:rPr>
          <w:bCs/>
        </w:rPr>
        <w:t xml:space="preserve"> </w:t>
      </w:r>
      <w:proofErr w:type="spellStart"/>
      <w:r w:rsidRPr="00793F60">
        <w:rPr>
          <w:bCs/>
        </w:rPr>
        <w:t>Kandel</w:t>
      </w:r>
      <w:proofErr w:type="spellEnd"/>
      <w:r w:rsidRPr="00793F60">
        <w:rPr>
          <w:bCs/>
        </w:rPr>
        <w:t xml:space="preserve"> </w:t>
      </w:r>
      <w:r w:rsidRPr="00793F60">
        <w:t>a rejoint l</w:t>
      </w:r>
      <w:r w:rsidR="002E0B4C">
        <w:t>’</w:t>
      </w:r>
      <w:r w:rsidRPr="00793F60">
        <w:t>Association des familles de disparus (</w:t>
      </w:r>
      <w:r w:rsidRPr="00793F60">
        <w:rPr>
          <w:i/>
          <w:iCs/>
        </w:rPr>
        <w:t xml:space="preserve">Society of the </w:t>
      </w:r>
      <w:proofErr w:type="spellStart"/>
      <w:r w:rsidRPr="00793F60">
        <w:rPr>
          <w:i/>
          <w:iCs/>
        </w:rPr>
        <w:t>Families</w:t>
      </w:r>
      <w:proofErr w:type="spellEnd"/>
      <w:r w:rsidRPr="00793F60">
        <w:rPr>
          <w:i/>
          <w:iCs/>
        </w:rPr>
        <w:t xml:space="preserve"> of </w:t>
      </w:r>
      <w:proofErr w:type="spellStart"/>
      <w:r w:rsidRPr="00793F60">
        <w:rPr>
          <w:i/>
          <w:iCs/>
        </w:rPr>
        <w:t>Disappeared</w:t>
      </w:r>
      <w:proofErr w:type="spellEnd"/>
      <w:r w:rsidRPr="00793F60">
        <w:t>) en 2004</w:t>
      </w:r>
      <w:r>
        <w:t xml:space="preserve"> en vue de participer</w:t>
      </w:r>
      <w:r w:rsidRPr="00793F60">
        <w:t xml:space="preserve"> à des activités de</w:t>
      </w:r>
      <w:r>
        <w:t xml:space="preserve"> mobilisation</w:t>
      </w:r>
      <w:r w:rsidRPr="00793F60">
        <w:t xml:space="preserve"> et à des </w:t>
      </w:r>
      <w:r>
        <w:t>manifestations visant à</w:t>
      </w:r>
      <w:r w:rsidRPr="00793F60">
        <w:t xml:space="preserve"> </w:t>
      </w:r>
      <w:r>
        <w:t xml:space="preserve">faire </w:t>
      </w:r>
      <w:r w:rsidRPr="00793F60">
        <w:t xml:space="preserve">pression sur le Gouvernement et </w:t>
      </w:r>
      <w:r>
        <w:t xml:space="preserve">à </w:t>
      </w:r>
      <w:r w:rsidRPr="00793F60">
        <w:t>l</w:t>
      </w:r>
      <w:r w:rsidR="002E0B4C">
        <w:t>’</w:t>
      </w:r>
      <w:r w:rsidRPr="00793F60">
        <w:t>amener à révéler le sort de plusieurs victimes de disparition forcée.</w:t>
      </w:r>
    </w:p>
    <w:p w:rsidR="0036782F" w:rsidRPr="00793F60" w:rsidRDefault="0036782F" w:rsidP="0036782F">
      <w:pPr>
        <w:pStyle w:val="SingleTxtG"/>
      </w:pPr>
      <w:r w:rsidRPr="00793F60">
        <w:t>2.9</w:t>
      </w:r>
      <w:r w:rsidRPr="00793F60">
        <w:tab/>
        <w:t xml:space="preserve">Le 30 novembre 2004, </w:t>
      </w:r>
      <w:proofErr w:type="spellStart"/>
      <w:r w:rsidRPr="00793F60">
        <w:rPr>
          <w:bCs/>
        </w:rPr>
        <w:t>Tikanath</w:t>
      </w:r>
      <w:proofErr w:type="spellEnd"/>
      <w:r w:rsidRPr="00793F60">
        <w:rPr>
          <w:bCs/>
        </w:rPr>
        <w:t xml:space="preserve"> </w:t>
      </w:r>
      <w:proofErr w:type="spellStart"/>
      <w:r w:rsidRPr="00793F60">
        <w:rPr>
          <w:bCs/>
        </w:rPr>
        <w:t>Kandel</w:t>
      </w:r>
      <w:proofErr w:type="spellEnd"/>
      <w:r w:rsidRPr="00793F60">
        <w:t xml:space="preserve"> a </w:t>
      </w:r>
      <w:r>
        <w:t>introduit</w:t>
      </w:r>
      <w:r w:rsidRPr="00793F60">
        <w:t xml:space="preserve"> une requête en </w:t>
      </w:r>
      <w:r w:rsidRPr="00793F60">
        <w:rPr>
          <w:i/>
          <w:iCs/>
        </w:rPr>
        <w:t xml:space="preserve">habeas corpus </w:t>
      </w:r>
      <w:r>
        <w:t>devant</w:t>
      </w:r>
      <w:r w:rsidRPr="00793F60">
        <w:t xml:space="preserve"> la Cour suprême du Népal</w:t>
      </w:r>
      <w:r>
        <w:t>,</w:t>
      </w:r>
      <w:r w:rsidRPr="00793F60">
        <w:t xml:space="preserve"> avec l</w:t>
      </w:r>
      <w:r w:rsidR="002E0B4C">
        <w:t>’</w:t>
      </w:r>
      <w:r w:rsidRPr="00793F60">
        <w:t>aide du barreau népalais. Les défendeurs mentionnés dans la demande étaient le Ministère de l</w:t>
      </w:r>
      <w:r w:rsidR="002E0B4C">
        <w:t>’</w:t>
      </w:r>
      <w:r w:rsidRPr="00793F60">
        <w:t xml:space="preserve">intérieur, le Ministère de la défense, le bureau de police du district de Katmandou, le </w:t>
      </w:r>
      <w:r>
        <w:rPr>
          <w:shd w:val="clear" w:color="auto" w:fill="FFFFFF"/>
        </w:rPr>
        <w:t>B</w:t>
      </w:r>
      <w:r w:rsidRPr="00793F60">
        <w:rPr>
          <w:shd w:val="clear" w:color="auto" w:fill="FFFFFF"/>
        </w:rPr>
        <w:t>ureau administratif de district de Katmandou</w:t>
      </w:r>
      <w:r w:rsidRPr="00793F60">
        <w:t>, le quartier général de l</w:t>
      </w:r>
      <w:r w:rsidR="002E0B4C">
        <w:t>’</w:t>
      </w:r>
      <w:r w:rsidRPr="00793F60">
        <w:t xml:space="preserve">Armée royale népalaise et le bataillon de </w:t>
      </w:r>
      <w:proofErr w:type="spellStart"/>
      <w:r w:rsidRPr="00793F60">
        <w:t>Bhairabnath</w:t>
      </w:r>
      <w:proofErr w:type="spellEnd"/>
      <w:r w:rsidRPr="00793F60">
        <w:t xml:space="preserve"> de l</w:t>
      </w:r>
      <w:r w:rsidR="002E0B4C">
        <w:t>’</w:t>
      </w:r>
      <w:r w:rsidRPr="00793F60">
        <w:t xml:space="preserve">Armée à </w:t>
      </w:r>
      <w:proofErr w:type="spellStart"/>
      <w:r w:rsidRPr="00793F60">
        <w:t>Maharajgunj</w:t>
      </w:r>
      <w:proofErr w:type="spellEnd"/>
      <w:r w:rsidRPr="00793F60">
        <w:t xml:space="preserve">. En décembre </w:t>
      </w:r>
      <w:r w:rsidRPr="00793F60">
        <w:rPr>
          <w:bCs/>
        </w:rPr>
        <w:t>2004, tous ont nié avoir joué quelque rôle que ce soit dans l</w:t>
      </w:r>
      <w:r w:rsidR="002E0B4C">
        <w:rPr>
          <w:bCs/>
        </w:rPr>
        <w:t>’</w:t>
      </w:r>
      <w:r w:rsidRPr="00793F60">
        <w:rPr>
          <w:bCs/>
        </w:rPr>
        <w:t>arrestation et la détention d</w:t>
      </w:r>
      <w:r w:rsidR="002E0B4C">
        <w:rPr>
          <w:bCs/>
        </w:rPr>
        <w:t>’</w:t>
      </w:r>
      <w:proofErr w:type="spellStart"/>
      <w:r w:rsidRPr="00793F60">
        <w:rPr>
          <w:bCs/>
        </w:rPr>
        <w:t>Amrit</w:t>
      </w:r>
      <w:proofErr w:type="spellEnd"/>
      <w:r w:rsidRPr="00793F60">
        <w:rPr>
          <w:bCs/>
        </w:rPr>
        <w:t xml:space="preserve"> </w:t>
      </w:r>
      <w:proofErr w:type="spellStart"/>
      <w:r w:rsidRPr="00793F60">
        <w:rPr>
          <w:bCs/>
        </w:rPr>
        <w:t>Kandel</w:t>
      </w:r>
      <w:proofErr w:type="spellEnd"/>
      <w:r w:rsidRPr="00793F60">
        <w:rPr>
          <w:bCs/>
        </w:rPr>
        <w:t xml:space="preserve">. Le 20 décembre 2004, </w:t>
      </w:r>
      <w:proofErr w:type="spellStart"/>
      <w:r w:rsidRPr="00793F60">
        <w:rPr>
          <w:bCs/>
        </w:rPr>
        <w:t>Ramhari</w:t>
      </w:r>
      <w:proofErr w:type="spellEnd"/>
      <w:r w:rsidRPr="00793F60">
        <w:rPr>
          <w:bCs/>
        </w:rPr>
        <w:t xml:space="preserve"> </w:t>
      </w:r>
      <w:proofErr w:type="spellStart"/>
      <w:r w:rsidRPr="00793F60">
        <w:rPr>
          <w:bCs/>
        </w:rPr>
        <w:t>Kandel</w:t>
      </w:r>
      <w:proofErr w:type="spellEnd"/>
      <w:r w:rsidRPr="00793F60">
        <w:rPr>
          <w:bCs/>
        </w:rPr>
        <w:t xml:space="preserve"> a présenté son témoignage à la Cour suprême. Le 16 mars 2005, la Cour a ordonné </w:t>
      </w:r>
      <w:r>
        <w:rPr>
          <w:bCs/>
        </w:rPr>
        <w:t>à la Commission</w:t>
      </w:r>
      <w:r w:rsidRPr="00793F60">
        <w:rPr>
          <w:bCs/>
        </w:rPr>
        <w:t xml:space="preserve"> d</w:t>
      </w:r>
      <w:r w:rsidR="002E0B4C">
        <w:rPr>
          <w:bCs/>
        </w:rPr>
        <w:t>’</w:t>
      </w:r>
      <w:r w:rsidRPr="00793F60">
        <w:rPr>
          <w:bCs/>
        </w:rPr>
        <w:t xml:space="preserve">enquête sur les personnes </w:t>
      </w:r>
      <w:r>
        <w:rPr>
          <w:bCs/>
        </w:rPr>
        <w:t>victimes de disparition forcée</w:t>
      </w:r>
      <w:r w:rsidRPr="00793F60">
        <w:rPr>
          <w:bCs/>
        </w:rPr>
        <w:t xml:space="preserve"> qui venait d</w:t>
      </w:r>
      <w:r w:rsidR="002E0B4C">
        <w:rPr>
          <w:bCs/>
        </w:rPr>
        <w:t>’</w:t>
      </w:r>
      <w:r w:rsidRPr="00793F60">
        <w:rPr>
          <w:bCs/>
        </w:rPr>
        <w:t>être créé de lui faire savoir si le nom d</w:t>
      </w:r>
      <w:r w:rsidR="002E0B4C">
        <w:rPr>
          <w:bCs/>
        </w:rPr>
        <w:t>’</w:t>
      </w:r>
      <w:proofErr w:type="spellStart"/>
      <w:r w:rsidRPr="00793F60">
        <w:rPr>
          <w:bCs/>
        </w:rPr>
        <w:t>Amrit</w:t>
      </w:r>
      <w:proofErr w:type="spellEnd"/>
      <w:r w:rsidRPr="00793F60">
        <w:rPr>
          <w:bCs/>
        </w:rPr>
        <w:t xml:space="preserve"> </w:t>
      </w:r>
      <w:proofErr w:type="spellStart"/>
      <w:r w:rsidRPr="00793F60">
        <w:rPr>
          <w:bCs/>
        </w:rPr>
        <w:t>Kandel</w:t>
      </w:r>
      <w:proofErr w:type="spellEnd"/>
      <w:r w:rsidRPr="00793F60">
        <w:rPr>
          <w:bCs/>
        </w:rPr>
        <w:t xml:space="preserve"> figurait sur leur liste de personnes disparues. Le 30 mars 2005, la Cour a également enjoint à la Commission nationale des droits de l</w:t>
      </w:r>
      <w:r w:rsidR="002E0B4C">
        <w:rPr>
          <w:bCs/>
        </w:rPr>
        <w:t>’</w:t>
      </w:r>
      <w:r w:rsidRPr="00793F60">
        <w:rPr>
          <w:bCs/>
        </w:rPr>
        <w:t>homme de lui donner des informations sur les mesures qu</w:t>
      </w:r>
      <w:r w:rsidR="002E0B4C">
        <w:rPr>
          <w:bCs/>
        </w:rPr>
        <w:t>’</w:t>
      </w:r>
      <w:r w:rsidRPr="00793F60">
        <w:rPr>
          <w:bCs/>
        </w:rPr>
        <w:t xml:space="preserve">elle avait prises pour donner suite à la plainte déposée par les auteurs. </w:t>
      </w:r>
      <w:r>
        <w:rPr>
          <w:bCs/>
        </w:rPr>
        <w:t>Toutefois, le 13</w:t>
      </w:r>
      <w:r w:rsidR="00712717">
        <w:rPr>
          <w:bCs/>
        </w:rPr>
        <w:t> </w:t>
      </w:r>
      <w:r>
        <w:rPr>
          <w:bCs/>
        </w:rPr>
        <w:t xml:space="preserve">juillet 2005, </w:t>
      </w:r>
      <w:r w:rsidRPr="00793F60">
        <w:rPr>
          <w:bCs/>
        </w:rPr>
        <w:t>avant d</w:t>
      </w:r>
      <w:r w:rsidR="002E0B4C">
        <w:rPr>
          <w:bCs/>
        </w:rPr>
        <w:t>’</w:t>
      </w:r>
      <w:r w:rsidRPr="00793F60">
        <w:rPr>
          <w:bCs/>
        </w:rPr>
        <w:t>avoir reçu les informations demandées, la Cour a décidé</w:t>
      </w:r>
      <w:r>
        <w:rPr>
          <w:bCs/>
        </w:rPr>
        <w:t xml:space="preserve"> </w:t>
      </w:r>
      <w:r w:rsidRPr="00793F60">
        <w:rPr>
          <w:bCs/>
        </w:rPr>
        <w:t>d</w:t>
      </w:r>
      <w:r>
        <w:rPr>
          <w:bCs/>
        </w:rPr>
        <w:t>e rejeter</w:t>
      </w:r>
      <w:r w:rsidRPr="00793F60">
        <w:rPr>
          <w:bCs/>
        </w:rPr>
        <w:t xml:space="preserve"> la requête </w:t>
      </w:r>
      <w:r>
        <w:rPr>
          <w:bCs/>
        </w:rPr>
        <w:t>pour une raison de procédure,</w:t>
      </w:r>
      <w:r w:rsidRPr="00793F60">
        <w:rPr>
          <w:bCs/>
        </w:rPr>
        <w:t xml:space="preserve"> le conseil ne s</w:t>
      </w:r>
      <w:r w:rsidR="002E0B4C">
        <w:rPr>
          <w:bCs/>
        </w:rPr>
        <w:t>’</w:t>
      </w:r>
      <w:r w:rsidRPr="00793F60">
        <w:rPr>
          <w:bCs/>
        </w:rPr>
        <w:t>éta</w:t>
      </w:r>
      <w:r>
        <w:rPr>
          <w:bCs/>
        </w:rPr>
        <w:t>nt</w:t>
      </w:r>
      <w:r w:rsidRPr="00793F60">
        <w:rPr>
          <w:bCs/>
        </w:rPr>
        <w:t xml:space="preserve"> pas présenté à l</w:t>
      </w:r>
      <w:r w:rsidR="002E0B4C">
        <w:rPr>
          <w:bCs/>
        </w:rPr>
        <w:t>’</w:t>
      </w:r>
      <w:r>
        <w:rPr>
          <w:bCs/>
        </w:rPr>
        <w:t xml:space="preserve">une des </w:t>
      </w:r>
      <w:r w:rsidRPr="00793F60">
        <w:rPr>
          <w:bCs/>
        </w:rPr>
        <w:t>audience</w:t>
      </w:r>
      <w:r>
        <w:rPr>
          <w:bCs/>
        </w:rPr>
        <w:t>s</w:t>
      </w:r>
      <w:r w:rsidRPr="00793F60">
        <w:rPr>
          <w:bCs/>
        </w:rPr>
        <w:t xml:space="preserve">. </w:t>
      </w:r>
      <w:proofErr w:type="spellStart"/>
      <w:r w:rsidRPr="00793F60">
        <w:rPr>
          <w:bCs/>
        </w:rPr>
        <w:t>Tikanath</w:t>
      </w:r>
      <w:proofErr w:type="spellEnd"/>
      <w:r w:rsidRPr="00793F60">
        <w:rPr>
          <w:bCs/>
        </w:rPr>
        <w:t xml:space="preserve"> </w:t>
      </w:r>
      <w:proofErr w:type="spellStart"/>
      <w:r w:rsidRPr="00793F60">
        <w:rPr>
          <w:bCs/>
        </w:rPr>
        <w:t>Kandel</w:t>
      </w:r>
      <w:proofErr w:type="spellEnd"/>
      <w:r w:rsidRPr="00793F60">
        <w:rPr>
          <w:bCs/>
        </w:rPr>
        <w:t xml:space="preserve"> ne l</w:t>
      </w:r>
      <w:r w:rsidR="002E0B4C">
        <w:rPr>
          <w:bCs/>
        </w:rPr>
        <w:t>’</w:t>
      </w:r>
      <w:r w:rsidRPr="00793F60">
        <w:rPr>
          <w:bCs/>
        </w:rPr>
        <w:t>a appris qu</w:t>
      </w:r>
      <w:r w:rsidR="002E0B4C">
        <w:rPr>
          <w:bCs/>
        </w:rPr>
        <w:t>’</w:t>
      </w:r>
      <w:r w:rsidRPr="00793F60">
        <w:rPr>
          <w:bCs/>
        </w:rPr>
        <w:t xml:space="preserve">en janvier 2006. </w:t>
      </w:r>
    </w:p>
    <w:p w:rsidR="0036782F" w:rsidRPr="00793F60" w:rsidRDefault="0036782F" w:rsidP="0036782F">
      <w:pPr>
        <w:pStyle w:val="SingleTxtG"/>
      </w:pPr>
      <w:r w:rsidRPr="00793F60">
        <w:t>2.10</w:t>
      </w:r>
      <w:r w:rsidRPr="00793F60">
        <w:tab/>
        <w:t>Le 13 février 2006, le cas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figurait </w:t>
      </w:r>
      <w:r>
        <w:t>parmi ceux sur lesquels portait une action en</w:t>
      </w:r>
      <w:r w:rsidRPr="00793F60">
        <w:t xml:space="preserve"> </w:t>
      </w:r>
      <w:r w:rsidRPr="00793F60">
        <w:rPr>
          <w:i/>
          <w:iCs/>
        </w:rPr>
        <w:t>habeas corpus</w:t>
      </w:r>
      <w:r w:rsidRPr="00793F60">
        <w:t xml:space="preserve"> </w:t>
      </w:r>
      <w:r>
        <w:t>introduite devant</w:t>
      </w:r>
      <w:r w:rsidRPr="00793F60">
        <w:t xml:space="preserve"> la Cour suprême au nom de 34 personnes disparues. Le 1</w:t>
      </w:r>
      <w:r w:rsidRPr="00793F60">
        <w:rPr>
          <w:vertAlign w:val="superscript"/>
        </w:rPr>
        <w:t>er</w:t>
      </w:r>
      <w:r w:rsidRPr="00793F60">
        <w:t xml:space="preserve"> juin 2007, la Cour suprême a rendu un </w:t>
      </w:r>
      <w:r>
        <w:t>arrêt</w:t>
      </w:r>
      <w:r w:rsidRPr="00793F60">
        <w:t xml:space="preserve"> ordonnant au Gouvernement de créer une commission d</w:t>
      </w:r>
      <w:r w:rsidR="002E0B4C">
        <w:t>’</w:t>
      </w:r>
      <w:r w:rsidRPr="00793F60">
        <w:t xml:space="preserve">enquête de haut niveau, </w:t>
      </w:r>
      <w:r>
        <w:t xml:space="preserve">chargée </w:t>
      </w:r>
      <w:r w:rsidRPr="00793F60">
        <w:t>de rendre publi</w:t>
      </w:r>
      <w:r>
        <w:t>ques des informations sur</w:t>
      </w:r>
      <w:r w:rsidRPr="00793F60">
        <w:t xml:space="preserve"> </w:t>
      </w:r>
      <w:r>
        <w:t>la situation</w:t>
      </w:r>
      <w:r w:rsidRPr="00793F60">
        <w:t xml:space="preserve"> des personnes disparues, d</w:t>
      </w:r>
      <w:r w:rsidR="002E0B4C">
        <w:t>’</w:t>
      </w:r>
      <w:r w:rsidRPr="00793F60">
        <w:t xml:space="preserve">ériger en </w:t>
      </w:r>
      <w:r>
        <w:t>infraction</w:t>
      </w:r>
      <w:r w:rsidRPr="00793F60">
        <w:t xml:space="preserve"> l</w:t>
      </w:r>
      <w:r>
        <w:t>a</w:t>
      </w:r>
      <w:r w:rsidRPr="00793F60">
        <w:t xml:space="preserve"> disparition forcée, d</w:t>
      </w:r>
      <w:r w:rsidR="002E0B4C">
        <w:t>’</w:t>
      </w:r>
      <w:r w:rsidRPr="00793F60">
        <w:t>engager des poursuites contre les responsables et d</w:t>
      </w:r>
      <w:r w:rsidR="002E0B4C">
        <w:t>’</w:t>
      </w:r>
      <w:r w:rsidRPr="00793F60">
        <w:t>offrir</w:t>
      </w:r>
      <w:r>
        <w:t xml:space="preserve"> des</w:t>
      </w:r>
      <w:r w:rsidRPr="00793F60">
        <w:t xml:space="preserve"> réparation</w:t>
      </w:r>
      <w:r>
        <w:t>s</w:t>
      </w:r>
      <w:r w:rsidRPr="00793F60">
        <w:t xml:space="preserve"> aux familles</w:t>
      </w:r>
      <w:r>
        <w:t xml:space="preserve"> concernées</w:t>
      </w:r>
      <w:r w:rsidRPr="00793F60">
        <w:t xml:space="preserve">. </w:t>
      </w:r>
      <w:r>
        <w:t>Cependant</w:t>
      </w:r>
      <w:r w:rsidRPr="00793F60">
        <w:t>, les autorités népalaises n</w:t>
      </w:r>
      <w:r w:rsidR="002E0B4C">
        <w:t>’</w:t>
      </w:r>
      <w:r w:rsidRPr="00793F60">
        <w:t>ont jamais exécuté l</w:t>
      </w:r>
      <w:r w:rsidR="002E0B4C">
        <w:t>’</w:t>
      </w:r>
      <w:r w:rsidRPr="00793F60">
        <w:t>arrêt de la Cour suprême.</w:t>
      </w:r>
    </w:p>
    <w:p w:rsidR="0036782F" w:rsidRPr="00793F60" w:rsidRDefault="0036782F" w:rsidP="0036782F">
      <w:pPr>
        <w:pStyle w:val="SingleTxtG"/>
      </w:pPr>
      <w:r w:rsidRPr="00793F60">
        <w:t>2.11</w:t>
      </w:r>
      <w:r w:rsidRPr="00793F60">
        <w:tab/>
        <w:t>La dernière fois que les auteurs ont entendu dire qu</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était vivant remonte à avril 2006 : un autre soldat retraité de l</w:t>
      </w:r>
      <w:r w:rsidR="002E0B4C">
        <w:t>’</w:t>
      </w:r>
      <w:r w:rsidRPr="00793F60">
        <w:t xml:space="preserve">Armée royale népalaise de leur district a </w:t>
      </w:r>
      <w:r>
        <w:t>indiqué qu</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w:t>
      </w:r>
      <w:r>
        <w:t xml:space="preserve">était détenu </w:t>
      </w:r>
      <w:r w:rsidRPr="00793F60">
        <w:t>dans la caserne de l</w:t>
      </w:r>
      <w:r w:rsidR="002E0B4C">
        <w:t>’</w:t>
      </w:r>
      <w:r w:rsidRPr="00793F60">
        <w:t xml:space="preserve">Armée royale népalaise à </w:t>
      </w:r>
      <w:proofErr w:type="spellStart"/>
      <w:r w:rsidRPr="00793F60">
        <w:t>Baireni</w:t>
      </w:r>
      <w:proofErr w:type="spellEnd"/>
      <w:r>
        <w:t xml:space="preserve"> et qu</w:t>
      </w:r>
      <w:r w:rsidR="002E0B4C">
        <w:t>’</w:t>
      </w:r>
      <w:r>
        <w:t>il l</w:t>
      </w:r>
      <w:r w:rsidR="002E0B4C">
        <w:t>’</w:t>
      </w:r>
      <w:r>
        <w:t>y avait vu</w:t>
      </w:r>
      <w:r w:rsidRPr="00793F60">
        <w:t xml:space="preserve">. </w:t>
      </w:r>
      <w:proofErr w:type="spellStart"/>
      <w:r w:rsidRPr="00793F60">
        <w:t>Tikanath</w:t>
      </w:r>
      <w:proofErr w:type="spellEnd"/>
      <w:r w:rsidRPr="00793F60">
        <w:t xml:space="preserve"> </w:t>
      </w:r>
      <w:proofErr w:type="spellStart"/>
      <w:r w:rsidRPr="00793F60">
        <w:t>Kandel</w:t>
      </w:r>
      <w:proofErr w:type="spellEnd"/>
      <w:r w:rsidRPr="00793F60">
        <w:t xml:space="preserve"> s</w:t>
      </w:r>
      <w:r w:rsidR="002E0B4C">
        <w:t>’</w:t>
      </w:r>
      <w:r w:rsidRPr="00793F60">
        <w:t xml:space="preserve">est immédiatement rendu à </w:t>
      </w:r>
      <w:proofErr w:type="spellStart"/>
      <w:r w:rsidRPr="00793F60">
        <w:t>Baireni</w:t>
      </w:r>
      <w:proofErr w:type="spellEnd"/>
      <w:r w:rsidRPr="00793F60">
        <w:t>, mais on lui a refusé l</w:t>
      </w:r>
      <w:r w:rsidR="002E0B4C">
        <w:t>’</w:t>
      </w:r>
      <w:r w:rsidRPr="00793F60">
        <w:t>entrée</w:t>
      </w:r>
      <w:r>
        <w:t xml:space="preserve"> dans la caserne</w:t>
      </w:r>
      <w:r w:rsidRPr="00793F60">
        <w:t>. Il en a informé la Commission nationale des droits de l</w:t>
      </w:r>
      <w:r w:rsidR="002E0B4C">
        <w:t>’</w:t>
      </w:r>
      <w:r w:rsidRPr="00793F60">
        <w:t>homme</w:t>
      </w:r>
      <w:r>
        <w:t xml:space="preserve">, qui </w:t>
      </w:r>
      <w:r w:rsidRPr="00793F60">
        <w:t>a dépêché une équipe sur place</w:t>
      </w:r>
      <w:r>
        <w:t xml:space="preserve"> le 24</w:t>
      </w:r>
      <w:r w:rsidR="002E0B4C">
        <w:t> </w:t>
      </w:r>
      <w:r>
        <w:t>mai 2006</w:t>
      </w:r>
      <w:r w:rsidRPr="00793F60">
        <w:t xml:space="preserve">, </w:t>
      </w:r>
      <w:r>
        <w:t xml:space="preserve"> mais dont les membres se sont également vu refuser l</w:t>
      </w:r>
      <w:r w:rsidR="002E0B4C">
        <w:t>’</w:t>
      </w:r>
      <w:r>
        <w:t>accès à la caserne.</w:t>
      </w:r>
      <w:r w:rsidRPr="00793F60">
        <w:t xml:space="preserve"> Le 26 mai 2006, l</w:t>
      </w:r>
      <w:r w:rsidR="002E0B4C">
        <w:t>’</w:t>
      </w:r>
      <w:r w:rsidRPr="00793F60">
        <w:t>équipe de la Commission nationale des droits de l</w:t>
      </w:r>
      <w:r w:rsidR="002E0B4C">
        <w:t>’</w:t>
      </w:r>
      <w:r w:rsidRPr="00793F60">
        <w:t xml:space="preserve">homme a finalement été admise dans la caserne, mais </w:t>
      </w:r>
      <w:proofErr w:type="spellStart"/>
      <w:r w:rsidRPr="00793F60">
        <w:t>Amrit</w:t>
      </w:r>
      <w:proofErr w:type="spellEnd"/>
      <w:r w:rsidRPr="00793F60">
        <w:t xml:space="preserve"> </w:t>
      </w:r>
      <w:proofErr w:type="spellStart"/>
      <w:r w:rsidRPr="00793F60">
        <w:t>Kandel</w:t>
      </w:r>
      <w:proofErr w:type="spellEnd"/>
      <w:r w:rsidRPr="00793F60">
        <w:t xml:space="preserve"> n</w:t>
      </w:r>
      <w:r w:rsidR="002E0B4C">
        <w:t>’</w:t>
      </w:r>
      <w:r w:rsidRPr="00793F60">
        <w:t>y était plus.</w:t>
      </w:r>
    </w:p>
    <w:p w:rsidR="0036782F" w:rsidRPr="00793F60" w:rsidRDefault="0036782F" w:rsidP="0036782F">
      <w:pPr>
        <w:pStyle w:val="SingleTxtG"/>
        <w:rPr>
          <w:spacing w:val="-1"/>
        </w:rPr>
      </w:pPr>
      <w:r w:rsidRPr="00793F60">
        <w:rPr>
          <w:spacing w:val="-1"/>
        </w:rPr>
        <w:t>2.12</w:t>
      </w:r>
      <w:r w:rsidRPr="00793F60">
        <w:rPr>
          <w:spacing w:val="-1"/>
        </w:rPr>
        <w:tab/>
        <w:t xml:space="preserve"> En novembre 2008, en sa qualité de coordonnateur de l</w:t>
      </w:r>
      <w:r w:rsidR="002E0B4C">
        <w:rPr>
          <w:spacing w:val="-1"/>
        </w:rPr>
        <w:t>’</w:t>
      </w:r>
      <w:r w:rsidRPr="00793F60">
        <w:rPr>
          <w:spacing w:val="-1"/>
        </w:rPr>
        <w:t xml:space="preserve">Association des familles de disparus, </w:t>
      </w:r>
      <w:proofErr w:type="spellStart"/>
      <w:r w:rsidRPr="00793F60">
        <w:rPr>
          <w:spacing w:val="-1"/>
        </w:rPr>
        <w:t>Tikanath</w:t>
      </w:r>
      <w:proofErr w:type="spellEnd"/>
      <w:r w:rsidRPr="00793F60">
        <w:rPr>
          <w:spacing w:val="-1"/>
        </w:rPr>
        <w:t xml:space="preserve"> </w:t>
      </w:r>
      <w:proofErr w:type="spellStart"/>
      <w:r w:rsidRPr="00793F60">
        <w:rPr>
          <w:spacing w:val="-1"/>
        </w:rPr>
        <w:t>Kandel</w:t>
      </w:r>
      <w:proofErr w:type="spellEnd"/>
      <w:r w:rsidRPr="00793F60">
        <w:rPr>
          <w:spacing w:val="-1"/>
        </w:rPr>
        <w:t xml:space="preserve"> a écrit au Premier Ministre et au Ministre de l</w:t>
      </w:r>
      <w:r w:rsidR="002E0B4C">
        <w:rPr>
          <w:spacing w:val="-1"/>
        </w:rPr>
        <w:t>’</w:t>
      </w:r>
      <w:r w:rsidRPr="00793F60">
        <w:rPr>
          <w:spacing w:val="-1"/>
        </w:rPr>
        <w:t xml:space="preserve">intérieur pour leur demander </w:t>
      </w:r>
      <w:r w:rsidR="00B965BB">
        <w:rPr>
          <w:spacing w:val="-1"/>
        </w:rPr>
        <w:t xml:space="preserve">de </w:t>
      </w:r>
      <w:r>
        <w:rPr>
          <w:spacing w:val="-1"/>
        </w:rPr>
        <w:t>donner des renseignements sur</w:t>
      </w:r>
      <w:r w:rsidRPr="00793F60">
        <w:rPr>
          <w:spacing w:val="-1"/>
        </w:rPr>
        <w:t xml:space="preserve"> </w:t>
      </w:r>
      <w:r>
        <w:rPr>
          <w:spacing w:val="-1"/>
        </w:rPr>
        <w:t xml:space="preserve">ce </w:t>
      </w:r>
      <w:r w:rsidRPr="00793F60">
        <w:rPr>
          <w:spacing w:val="-1"/>
        </w:rPr>
        <w:t>qu</w:t>
      </w:r>
      <w:r w:rsidR="002E0B4C">
        <w:rPr>
          <w:spacing w:val="-1"/>
        </w:rPr>
        <w:t>’</w:t>
      </w:r>
      <w:r w:rsidRPr="00793F60">
        <w:rPr>
          <w:spacing w:val="-1"/>
        </w:rPr>
        <w:t>il était advenu de plusieurs personnes disparues, dont son fils</w:t>
      </w:r>
      <w:r>
        <w:rPr>
          <w:spacing w:val="-1"/>
        </w:rPr>
        <w:t>, et de l</w:t>
      </w:r>
      <w:r w:rsidR="002E0B4C">
        <w:rPr>
          <w:spacing w:val="-1"/>
        </w:rPr>
        <w:t>’</w:t>
      </w:r>
      <w:r>
        <w:rPr>
          <w:spacing w:val="-1"/>
        </w:rPr>
        <w:t>endroit où elles se trouvaient</w:t>
      </w:r>
      <w:r w:rsidRPr="00793F60">
        <w:rPr>
          <w:spacing w:val="-1"/>
        </w:rPr>
        <w:t>. Il a également eu un entretien avec le Ministre de la défense. Il n</w:t>
      </w:r>
      <w:r w:rsidR="002E0B4C">
        <w:rPr>
          <w:spacing w:val="-1"/>
        </w:rPr>
        <w:t>’</w:t>
      </w:r>
      <w:r w:rsidRPr="00793F60">
        <w:rPr>
          <w:spacing w:val="-1"/>
        </w:rPr>
        <w:t>a jamais reçu d</w:t>
      </w:r>
      <w:r w:rsidR="002E0B4C">
        <w:rPr>
          <w:spacing w:val="-1"/>
        </w:rPr>
        <w:t>’</w:t>
      </w:r>
      <w:r w:rsidRPr="00793F60">
        <w:rPr>
          <w:spacing w:val="-1"/>
        </w:rPr>
        <w:t>information</w:t>
      </w:r>
      <w:r>
        <w:rPr>
          <w:spacing w:val="-1"/>
        </w:rPr>
        <w:t>s</w:t>
      </w:r>
      <w:r w:rsidRPr="00793F60">
        <w:rPr>
          <w:spacing w:val="-1"/>
        </w:rPr>
        <w:t xml:space="preserve">. À ce jour, la base de </w:t>
      </w:r>
      <w:r w:rsidRPr="00793F60">
        <w:rPr>
          <w:spacing w:val="-1"/>
        </w:rPr>
        <w:lastRenderedPageBreak/>
        <w:t>données du Comité International de la Croix-Rouge sur les personnes disparues indique que l</w:t>
      </w:r>
      <w:r w:rsidR="002E0B4C">
        <w:rPr>
          <w:spacing w:val="-1"/>
        </w:rPr>
        <w:t>’</w:t>
      </w:r>
      <w:r w:rsidRPr="00793F60">
        <w:rPr>
          <w:spacing w:val="-1"/>
        </w:rPr>
        <w:t>on ne sait rien du sort d</w:t>
      </w:r>
      <w:r w:rsidR="002E0B4C">
        <w:rPr>
          <w:spacing w:val="-1"/>
        </w:rPr>
        <w:t>’</w:t>
      </w:r>
      <w:proofErr w:type="spellStart"/>
      <w:r w:rsidRPr="00793F60">
        <w:rPr>
          <w:spacing w:val="-1"/>
        </w:rPr>
        <w:t>Amrit</w:t>
      </w:r>
      <w:proofErr w:type="spellEnd"/>
      <w:r w:rsidRPr="00793F60">
        <w:rPr>
          <w:spacing w:val="-1"/>
        </w:rPr>
        <w:t xml:space="preserve"> </w:t>
      </w:r>
      <w:proofErr w:type="spellStart"/>
      <w:r w:rsidRPr="00793F60">
        <w:rPr>
          <w:spacing w:val="-1"/>
        </w:rPr>
        <w:t>Kandel</w:t>
      </w:r>
      <w:proofErr w:type="spellEnd"/>
      <w:r w:rsidRPr="00793F60">
        <w:rPr>
          <w:spacing w:val="-1"/>
        </w:rPr>
        <w:t xml:space="preserve"> et de l</w:t>
      </w:r>
      <w:r w:rsidR="002E0B4C">
        <w:rPr>
          <w:spacing w:val="-1"/>
        </w:rPr>
        <w:t>’</w:t>
      </w:r>
      <w:r w:rsidRPr="00793F60">
        <w:rPr>
          <w:spacing w:val="-1"/>
        </w:rPr>
        <w:t>endroit où il se trouve.</w:t>
      </w:r>
    </w:p>
    <w:p w:rsidR="0036782F" w:rsidRPr="00793F60" w:rsidRDefault="0036782F" w:rsidP="0036782F">
      <w:pPr>
        <w:pStyle w:val="SingleTxtG"/>
      </w:pPr>
      <w:r w:rsidRPr="00793F60">
        <w:t>2.13</w:t>
      </w:r>
      <w:r w:rsidRPr="00793F60">
        <w:tab/>
        <w:t>Après la mise en place d</w:t>
      </w:r>
      <w:r w:rsidR="002E0B4C">
        <w:t>’</w:t>
      </w:r>
      <w:r w:rsidRPr="00793F60">
        <w:t>un plan d</w:t>
      </w:r>
      <w:r w:rsidR="002E0B4C">
        <w:t>’</w:t>
      </w:r>
      <w:r w:rsidRPr="00793F60">
        <w:t xml:space="preserve">indemnisation provisoire par le </w:t>
      </w:r>
      <w:r w:rsidRPr="00793F60">
        <w:rPr>
          <w:shd w:val="clear" w:color="auto" w:fill="FFFFFF"/>
        </w:rPr>
        <w:t>Ministère de la paix et de la reconstruction</w:t>
      </w:r>
      <w:r w:rsidRPr="00793F60">
        <w:t xml:space="preserve">, les auteurs </w:t>
      </w:r>
      <w:r w:rsidR="00B965BB">
        <w:t>ont fait</w:t>
      </w:r>
      <w:r>
        <w:t xml:space="preserve"> une demande d</w:t>
      </w:r>
      <w:r w:rsidR="002E0B4C">
        <w:t>’</w:t>
      </w:r>
      <w:r w:rsidRPr="00793F60">
        <w:t xml:space="preserve">indemnisation financière. En novembre 2009, ils </w:t>
      </w:r>
      <w:r>
        <w:t>se sont vu accorder</w:t>
      </w:r>
      <w:r w:rsidRPr="00793F60">
        <w:t xml:space="preserve"> 100 000 roupies népalaises (environ 1 000 dollars des États</w:t>
      </w:r>
      <w:r w:rsidRPr="00793F60">
        <w:noBreakHyphen/>
        <w:t>Unis) pour la disparition forcée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Le </w:t>
      </w:r>
      <w:r w:rsidRPr="00793F60">
        <w:rPr>
          <w:bCs/>
        </w:rPr>
        <w:t>13 novembre 2011,</w:t>
      </w:r>
      <w:r w:rsidRPr="00793F60">
        <w:t xml:space="preserve"> </w:t>
      </w:r>
      <w:r w:rsidRPr="00793F60">
        <w:rPr>
          <w:bCs/>
        </w:rPr>
        <w:t>l</w:t>
      </w:r>
      <w:r w:rsidRPr="00793F60">
        <w:t>a famille d</w:t>
      </w:r>
      <w:r w:rsidR="002E0B4C">
        <w:t>’</w:t>
      </w:r>
      <w:proofErr w:type="spellStart"/>
      <w:r w:rsidRPr="00793F60">
        <w:t>Amrit</w:t>
      </w:r>
      <w:proofErr w:type="spellEnd"/>
      <w:r w:rsidRPr="00793F60">
        <w:t xml:space="preserve"> </w:t>
      </w:r>
      <w:proofErr w:type="spellStart"/>
      <w:r w:rsidRPr="00793F60">
        <w:t>Kandel</w:t>
      </w:r>
      <w:proofErr w:type="spellEnd"/>
      <w:r>
        <w:rPr>
          <w:bCs/>
        </w:rPr>
        <w:t xml:space="preserve"> a reçu </w:t>
      </w:r>
      <w:r w:rsidRPr="00793F60">
        <w:t>200 000 roupies népalaises supplémentaires</w:t>
      </w:r>
      <w:r>
        <w:t>.</w:t>
      </w:r>
    </w:p>
    <w:p w:rsidR="0036782F" w:rsidRPr="00793F60" w:rsidRDefault="0036782F" w:rsidP="0036782F">
      <w:pPr>
        <w:pStyle w:val="H23G"/>
      </w:pPr>
      <w:r w:rsidRPr="00793F60">
        <w:tab/>
      </w:r>
      <w:r w:rsidRPr="00793F60">
        <w:tab/>
        <w:t>Teneur de la plainte</w:t>
      </w:r>
    </w:p>
    <w:p w:rsidR="0036782F" w:rsidRPr="00793F60" w:rsidRDefault="0036782F" w:rsidP="0036782F">
      <w:pPr>
        <w:pStyle w:val="SingleTxtG"/>
      </w:pPr>
      <w:r w:rsidRPr="00793F60">
        <w:t>3.1</w:t>
      </w:r>
      <w:r w:rsidRPr="00793F60">
        <w:tab/>
        <w:t>Les auteurs de la communication affirment que le Népal a violé les articles 6, 7, 9, 10 et 16, lus seuls et conjointement avec le paragraphe 3 de l</w:t>
      </w:r>
      <w:r w:rsidR="002E0B4C">
        <w:t>’</w:t>
      </w:r>
      <w:r w:rsidRPr="00793F60">
        <w:t xml:space="preserve">article 2 du Pacte, </w:t>
      </w:r>
      <w:r>
        <w:t>du fait de</w:t>
      </w:r>
      <w:r w:rsidRPr="00793F60">
        <w:t xml:space="preserve"> l</w:t>
      </w:r>
      <w:r w:rsidR="002E0B4C">
        <w:t>’</w:t>
      </w:r>
      <w:r w:rsidRPr="00793F60">
        <w:t>arrestation arbitraire</w:t>
      </w:r>
      <w:r>
        <w:t xml:space="preserve"> </w:t>
      </w:r>
      <w:r w:rsidRPr="00793F60">
        <w:t>d</w:t>
      </w:r>
      <w:r w:rsidR="002E0B4C">
        <w:t>’</w:t>
      </w:r>
      <w:proofErr w:type="spellStart"/>
      <w:r w:rsidRPr="00793F60">
        <w:t>Amrit</w:t>
      </w:r>
      <w:proofErr w:type="spellEnd"/>
      <w:r w:rsidRPr="00793F60">
        <w:t xml:space="preserve"> </w:t>
      </w:r>
      <w:proofErr w:type="spellStart"/>
      <w:r w:rsidRPr="00793F60">
        <w:t>Kandel</w:t>
      </w:r>
      <w:proofErr w:type="spellEnd"/>
      <w:r>
        <w:t xml:space="preserve"> et des actes de </w:t>
      </w:r>
      <w:r w:rsidRPr="00793F60">
        <w:t xml:space="preserve">torture et </w:t>
      </w:r>
      <w:r>
        <w:t xml:space="preserve">de </w:t>
      </w:r>
      <w:r w:rsidRPr="00793F60">
        <w:t>la disparition forcée</w:t>
      </w:r>
      <w:r>
        <w:t xml:space="preserve"> dont il a été victime</w:t>
      </w:r>
      <w:r w:rsidRPr="00793F60">
        <w:t xml:space="preserve">, </w:t>
      </w:r>
      <w:r>
        <w:t>ainsi que du fait</w:t>
      </w:r>
      <w:r w:rsidRPr="00793F60">
        <w:t xml:space="preserve"> que les autorités népalaises n</w:t>
      </w:r>
      <w:r w:rsidR="002E0B4C">
        <w:t>’</w:t>
      </w:r>
      <w:r w:rsidRPr="00793F60">
        <w:t xml:space="preserve">ont toujours pas </w:t>
      </w:r>
      <w:r>
        <w:t>ouvert</w:t>
      </w:r>
      <w:r w:rsidRPr="00793F60">
        <w:t xml:space="preserve"> d</w:t>
      </w:r>
      <w:r w:rsidR="002E0B4C">
        <w:t>’</w:t>
      </w:r>
      <w:r w:rsidRPr="00793F60">
        <w:t xml:space="preserve">office une enquête efficace, indépendante, impartiale et approfondie sur sa disparition </w:t>
      </w:r>
      <w:r>
        <w:t xml:space="preserve">ni </w:t>
      </w:r>
      <w:r w:rsidRPr="00793F60">
        <w:t>trad</w:t>
      </w:r>
      <w:r>
        <w:t>uit</w:t>
      </w:r>
      <w:r w:rsidRPr="00793F60">
        <w:t xml:space="preserve"> en justice </w:t>
      </w:r>
      <w:r>
        <w:t>et punis ceux qui en sont responsables.</w:t>
      </w:r>
    </w:p>
    <w:p w:rsidR="0036782F" w:rsidRPr="00793F60" w:rsidRDefault="0036782F" w:rsidP="0036782F">
      <w:pPr>
        <w:pStyle w:val="SingleTxtG"/>
        <w:rPr>
          <w:spacing w:val="-1"/>
        </w:rPr>
      </w:pPr>
      <w:r w:rsidRPr="00793F60">
        <w:rPr>
          <w:spacing w:val="-1"/>
        </w:rPr>
        <w:t>3.2</w:t>
      </w:r>
      <w:r w:rsidRPr="00793F60">
        <w:rPr>
          <w:spacing w:val="-1"/>
        </w:rPr>
        <w:tab/>
        <w:t>Les auteurs invoquent également une violation de l</w:t>
      </w:r>
      <w:r w:rsidR="002E0B4C">
        <w:rPr>
          <w:spacing w:val="-1"/>
        </w:rPr>
        <w:t>’</w:t>
      </w:r>
      <w:r w:rsidRPr="00793F60">
        <w:rPr>
          <w:spacing w:val="-1"/>
        </w:rPr>
        <w:t>article 7, lu seul et conjointement avec le paragraphe 3 de l</w:t>
      </w:r>
      <w:r w:rsidR="002E0B4C">
        <w:rPr>
          <w:spacing w:val="-1"/>
        </w:rPr>
        <w:t>’</w:t>
      </w:r>
      <w:r w:rsidRPr="00793F60">
        <w:rPr>
          <w:spacing w:val="-1"/>
        </w:rPr>
        <w:t xml:space="preserve">article 2 du Pacte, en ce qui concerne </w:t>
      </w:r>
      <w:proofErr w:type="spellStart"/>
      <w:r w:rsidRPr="00793F60">
        <w:rPr>
          <w:spacing w:val="-1"/>
        </w:rPr>
        <w:t>Tikanath</w:t>
      </w:r>
      <w:proofErr w:type="spellEnd"/>
      <w:r w:rsidRPr="00793F60">
        <w:rPr>
          <w:spacing w:val="-1"/>
        </w:rPr>
        <w:t xml:space="preserve"> </w:t>
      </w:r>
      <w:proofErr w:type="spellStart"/>
      <w:r w:rsidRPr="00793F60">
        <w:rPr>
          <w:spacing w:val="-1"/>
        </w:rPr>
        <w:t>Kandel</w:t>
      </w:r>
      <w:proofErr w:type="spellEnd"/>
      <w:r w:rsidRPr="00793F60">
        <w:rPr>
          <w:spacing w:val="-1"/>
        </w:rPr>
        <w:t xml:space="preserve"> et </w:t>
      </w:r>
      <w:proofErr w:type="spellStart"/>
      <w:r w:rsidRPr="00793F60">
        <w:rPr>
          <w:spacing w:val="-1"/>
        </w:rPr>
        <w:t>Ramhari</w:t>
      </w:r>
      <w:proofErr w:type="spellEnd"/>
      <w:r w:rsidRPr="00793F60">
        <w:rPr>
          <w:spacing w:val="-1"/>
        </w:rPr>
        <w:t xml:space="preserve"> </w:t>
      </w:r>
      <w:proofErr w:type="spellStart"/>
      <w:r w:rsidRPr="00793F60">
        <w:rPr>
          <w:spacing w:val="-1"/>
        </w:rPr>
        <w:t>Kandel</w:t>
      </w:r>
      <w:proofErr w:type="spellEnd"/>
      <w:r w:rsidRPr="00793F60">
        <w:rPr>
          <w:spacing w:val="-1"/>
        </w:rPr>
        <w:t xml:space="preserve">, </w:t>
      </w:r>
      <w:r>
        <w:rPr>
          <w:spacing w:val="-1"/>
        </w:rPr>
        <w:t>du fait</w:t>
      </w:r>
      <w:r w:rsidRPr="00793F60">
        <w:rPr>
          <w:spacing w:val="-1"/>
        </w:rPr>
        <w:t xml:space="preserve"> de la détresse et de la profonde angoisse qu</w:t>
      </w:r>
      <w:r w:rsidR="002E0B4C">
        <w:rPr>
          <w:spacing w:val="-1"/>
        </w:rPr>
        <w:t>’</w:t>
      </w:r>
      <w:r w:rsidRPr="00793F60">
        <w:rPr>
          <w:spacing w:val="-1"/>
        </w:rPr>
        <w:t>ils endurent depuis onze ans et que continue de leur causer la disparition forcée d</w:t>
      </w:r>
      <w:r w:rsidR="002E0B4C">
        <w:rPr>
          <w:spacing w:val="-1"/>
        </w:rPr>
        <w:t>’</w:t>
      </w:r>
      <w:proofErr w:type="spellStart"/>
      <w:r w:rsidRPr="00793F60">
        <w:rPr>
          <w:spacing w:val="-1"/>
        </w:rPr>
        <w:t>Amrit</w:t>
      </w:r>
      <w:proofErr w:type="spellEnd"/>
      <w:r w:rsidRPr="00793F60">
        <w:rPr>
          <w:spacing w:val="-1"/>
        </w:rPr>
        <w:t xml:space="preserve"> </w:t>
      </w:r>
      <w:proofErr w:type="spellStart"/>
      <w:r w:rsidRPr="00793F60">
        <w:rPr>
          <w:spacing w:val="-1"/>
        </w:rPr>
        <w:t>Kandel</w:t>
      </w:r>
      <w:proofErr w:type="spellEnd"/>
      <w:r w:rsidRPr="00793F60">
        <w:rPr>
          <w:spacing w:val="-1"/>
        </w:rPr>
        <w:t xml:space="preserve"> et </w:t>
      </w:r>
      <w:r>
        <w:rPr>
          <w:spacing w:val="-1"/>
        </w:rPr>
        <w:t>du</w:t>
      </w:r>
      <w:r w:rsidRPr="00793F60">
        <w:rPr>
          <w:spacing w:val="-1"/>
        </w:rPr>
        <w:t xml:space="preserve"> fait que les autorités n</w:t>
      </w:r>
      <w:r w:rsidR="002E0B4C">
        <w:rPr>
          <w:spacing w:val="-1"/>
        </w:rPr>
        <w:t>’</w:t>
      </w:r>
      <w:r w:rsidRPr="00793F60">
        <w:rPr>
          <w:spacing w:val="-1"/>
        </w:rPr>
        <w:t xml:space="preserve">ont pas </w:t>
      </w:r>
      <w:r>
        <w:rPr>
          <w:spacing w:val="-1"/>
        </w:rPr>
        <w:t>donné d</w:t>
      </w:r>
      <w:r w:rsidR="002E0B4C">
        <w:rPr>
          <w:spacing w:val="-1"/>
        </w:rPr>
        <w:t>’</w:t>
      </w:r>
      <w:r>
        <w:rPr>
          <w:spacing w:val="-1"/>
        </w:rPr>
        <w:t>informations</w:t>
      </w:r>
      <w:r w:rsidRPr="00793F60">
        <w:rPr>
          <w:spacing w:val="-1"/>
        </w:rPr>
        <w:t xml:space="preserve"> </w:t>
      </w:r>
      <w:r>
        <w:rPr>
          <w:spacing w:val="-1"/>
        </w:rPr>
        <w:t xml:space="preserve">sur le sort qui lui a été réservé </w:t>
      </w:r>
      <w:r w:rsidRPr="00793F60">
        <w:rPr>
          <w:spacing w:val="-1"/>
        </w:rPr>
        <w:t xml:space="preserve">et </w:t>
      </w:r>
      <w:r>
        <w:rPr>
          <w:spacing w:val="-1"/>
        </w:rPr>
        <w:t xml:space="preserve">le lieu </w:t>
      </w:r>
      <w:r w:rsidRPr="00793F60">
        <w:rPr>
          <w:spacing w:val="-1"/>
        </w:rPr>
        <w:t>où il se trouve. Les auteurs soutiennent qu</w:t>
      </w:r>
      <w:r w:rsidR="002E0B4C">
        <w:rPr>
          <w:spacing w:val="-1"/>
        </w:rPr>
        <w:t>’</w:t>
      </w:r>
      <w:r w:rsidRPr="00793F60">
        <w:rPr>
          <w:spacing w:val="-1"/>
        </w:rPr>
        <w:t xml:space="preserve">une telle souffrance </w:t>
      </w:r>
      <w:r>
        <w:rPr>
          <w:spacing w:val="-1"/>
        </w:rPr>
        <w:t>constitue</w:t>
      </w:r>
      <w:r w:rsidRPr="00793F60">
        <w:rPr>
          <w:spacing w:val="-1"/>
        </w:rPr>
        <w:t xml:space="preserve"> un traitement inhumain de la part de l</w:t>
      </w:r>
      <w:r w:rsidR="002E0B4C">
        <w:rPr>
          <w:spacing w:val="-1"/>
        </w:rPr>
        <w:t>’</w:t>
      </w:r>
      <w:r w:rsidRPr="00793F60">
        <w:rPr>
          <w:spacing w:val="-1"/>
        </w:rPr>
        <w:t>État partie.</w:t>
      </w:r>
    </w:p>
    <w:p w:rsidR="0036782F" w:rsidRPr="00793F60" w:rsidRDefault="0036782F" w:rsidP="0036782F">
      <w:pPr>
        <w:pStyle w:val="SingleTxtG"/>
      </w:pPr>
      <w:r w:rsidRPr="00793F60">
        <w:t>3.3</w:t>
      </w:r>
      <w:r w:rsidRPr="00793F60">
        <w:tab/>
        <w:t>Les auteurs affirment qu</w:t>
      </w:r>
      <w:r w:rsidR="002E0B4C">
        <w:t>’</w:t>
      </w:r>
      <w:r w:rsidRPr="00793F60">
        <w:t xml:space="preserve">ils ont épuisé tous les recours internes </w:t>
      </w:r>
      <w:r>
        <w:t>disponibles</w:t>
      </w:r>
      <w:r w:rsidRPr="00793F60">
        <w:t xml:space="preserve"> et qu</w:t>
      </w:r>
      <w:r>
        <w:t>e</w:t>
      </w:r>
      <w:r w:rsidRPr="00793F60">
        <w:t xml:space="preserve"> la seule possibilité prévue par le droit népalais en cas de disparition forcée </w:t>
      </w:r>
      <w:r>
        <w:t>est</w:t>
      </w:r>
      <w:r w:rsidRPr="00793F60">
        <w:t xml:space="preserve"> la procédure d</w:t>
      </w:r>
      <w:r w:rsidR="002E0B4C">
        <w:t>’</w:t>
      </w:r>
      <w:r w:rsidRPr="00793F60">
        <w:rPr>
          <w:i/>
          <w:iCs/>
        </w:rPr>
        <w:t>habeas corpus</w:t>
      </w:r>
      <w:r w:rsidRPr="00793F60">
        <w:t>. Ils soutiennent également qu</w:t>
      </w:r>
      <w:r w:rsidR="002E0B4C">
        <w:t>’</w:t>
      </w:r>
      <w:r w:rsidRPr="00793F60">
        <w:t>il n</w:t>
      </w:r>
      <w:r w:rsidR="002E0B4C">
        <w:t>’</w:t>
      </w:r>
      <w:r w:rsidRPr="00793F60">
        <w:t xml:space="preserve">y a pas de recours </w:t>
      </w:r>
      <w:r>
        <w:t>utile</w:t>
      </w:r>
      <w:r w:rsidRPr="00793F60">
        <w:t xml:space="preserve"> qui permettrait </w:t>
      </w:r>
      <w:r>
        <w:t>d</w:t>
      </w:r>
      <w:r w:rsidR="002E0B4C">
        <w:t>’</w:t>
      </w:r>
      <w:r>
        <w:t xml:space="preserve">engager </w:t>
      </w:r>
      <w:r w:rsidRPr="00793F60">
        <w:t>des poursuites pénales, puisque la torture et les disparitions forcées n</w:t>
      </w:r>
      <w:r w:rsidR="002E0B4C">
        <w:t>’</w:t>
      </w:r>
      <w:r w:rsidRPr="00793F60">
        <w:t xml:space="preserve">ont pas été érigées en </w:t>
      </w:r>
      <w:r>
        <w:t>infraction</w:t>
      </w:r>
      <w:r w:rsidRPr="00793F60">
        <w:t xml:space="preserve"> dans la législation népalaise. Ils ajoutent que les mécanismes de justice transitionnelle </w:t>
      </w:r>
      <w:r>
        <w:t xml:space="preserve">existants </w:t>
      </w:r>
      <w:r w:rsidRPr="00793F60">
        <w:t>ne sauraient être considérés comme des recours utiles car ils n</w:t>
      </w:r>
      <w:r w:rsidR="002E0B4C">
        <w:t>’</w:t>
      </w:r>
      <w:r>
        <w:t>avaient</w:t>
      </w:r>
      <w:r w:rsidRPr="00793F60">
        <w:t xml:space="preserve"> pas encore été mis en place</w:t>
      </w:r>
      <w:r>
        <w:t xml:space="preserve"> au moment des faits</w:t>
      </w:r>
      <w:r w:rsidRPr="00793F60">
        <w:t>.</w:t>
      </w:r>
    </w:p>
    <w:p w:rsidR="0036782F" w:rsidRPr="00793F60" w:rsidRDefault="0036782F" w:rsidP="0036782F">
      <w:pPr>
        <w:pStyle w:val="SingleTxtG"/>
      </w:pPr>
      <w:r w:rsidRPr="00793F60">
        <w:t>3.4</w:t>
      </w:r>
      <w:r w:rsidRPr="00793F60">
        <w:tab/>
        <w:t xml:space="preserve">Les auteurs font aussi observer que leur communication ne saurait être considérée comme un abus de procédure. Après avoir obtenu un </w:t>
      </w:r>
      <w:r>
        <w:t>arrêt</w:t>
      </w:r>
      <w:r w:rsidRPr="00793F60">
        <w:t xml:space="preserve"> favorable de la Cour suprême, ils s</w:t>
      </w:r>
      <w:r w:rsidR="002E0B4C">
        <w:t>’</w:t>
      </w:r>
      <w:r w:rsidRPr="00793F60">
        <w:t>attendaient à ce que cette décision soit suivie d</w:t>
      </w:r>
      <w:r w:rsidR="002E0B4C">
        <w:t>’</w:t>
      </w:r>
      <w:r w:rsidRPr="00793F60">
        <w:t xml:space="preserve">effets. Ils </w:t>
      </w:r>
      <w:r>
        <w:t>sont restés mobilisés</w:t>
      </w:r>
      <w:r w:rsidRPr="00793F60">
        <w:t xml:space="preserve"> et ont continué </w:t>
      </w:r>
      <w:r>
        <w:t>d</w:t>
      </w:r>
      <w:r w:rsidR="002E0B4C">
        <w:t>’</w:t>
      </w:r>
      <w:r w:rsidRPr="00793F60">
        <w:t>essayer d</w:t>
      </w:r>
      <w:r w:rsidR="002E0B4C">
        <w:t>’</w:t>
      </w:r>
      <w:r w:rsidRPr="00793F60">
        <w:t>obtenir des informations sur le sort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et l</w:t>
      </w:r>
      <w:r w:rsidR="002E0B4C">
        <w:t>’</w:t>
      </w:r>
      <w:r w:rsidRPr="00793F60">
        <w:t>endroit où il se trouve. Ils expliquent qu</w:t>
      </w:r>
      <w:r w:rsidR="002E0B4C">
        <w:t>’</w:t>
      </w:r>
      <w:r w:rsidRPr="00793F60">
        <w:t>ils n</w:t>
      </w:r>
      <w:r w:rsidR="002E0B4C">
        <w:t>’</w:t>
      </w:r>
      <w:r w:rsidRPr="00793F60">
        <w:t>ont présenté leur communication au Comité que lorsqu</w:t>
      </w:r>
      <w:r w:rsidR="002E0B4C">
        <w:t>’</w:t>
      </w:r>
      <w:r w:rsidRPr="00793F60">
        <w:t>ils se sont rendu compte que les procédures internes ne leur offraient plus aucune possibilité de recours ni de moyen d</w:t>
      </w:r>
      <w:r w:rsidR="002E0B4C">
        <w:t>’</w:t>
      </w:r>
      <w:r w:rsidRPr="00793F60">
        <w:t xml:space="preserve">obtenir des informations. </w:t>
      </w:r>
    </w:p>
    <w:p w:rsidR="0036782F" w:rsidRPr="00793F60" w:rsidRDefault="0036782F" w:rsidP="0036782F">
      <w:pPr>
        <w:pStyle w:val="SingleTxtG"/>
      </w:pPr>
      <w:r w:rsidRPr="00793F60">
        <w:t>3.5</w:t>
      </w:r>
      <w:r w:rsidRPr="00793F60">
        <w:tab/>
        <w:t>Les auteurs demandent des mesures de réparation, sous forme d</w:t>
      </w:r>
      <w:r w:rsidR="002E0B4C">
        <w:t>’</w:t>
      </w:r>
      <w:r w:rsidRPr="00793F60">
        <w:t>indemnisation, de restitution, de ré</w:t>
      </w:r>
      <w:r>
        <w:t>adaptation</w:t>
      </w:r>
      <w:r w:rsidRPr="00793F60">
        <w:t xml:space="preserve"> et de satisfaction, ainsi que des garanties de non-répétition. </w:t>
      </w:r>
    </w:p>
    <w:p w:rsidR="0036782F" w:rsidRPr="00793F60" w:rsidRDefault="0036782F" w:rsidP="0036782F">
      <w:pPr>
        <w:pStyle w:val="SingleTxtG"/>
      </w:pPr>
      <w:r w:rsidRPr="00793F60">
        <w:t>3.6</w:t>
      </w:r>
      <w:r w:rsidRPr="00793F60">
        <w:tab/>
      </w:r>
      <w:r>
        <w:t>En ce qui concerne la</w:t>
      </w:r>
      <w:r w:rsidRPr="00793F60">
        <w:t xml:space="preserve"> restitution, au cas où </w:t>
      </w:r>
      <w:proofErr w:type="spellStart"/>
      <w:r w:rsidRPr="00793F60">
        <w:t>Amrit</w:t>
      </w:r>
      <w:proofErr w:type="spellEnd"/>
      <w:r w:rsidRPr="00793F60">
        <w:t xml:space="preserve"> </w:t>
      </w:r>
      <w:proofErr w:type="spellStart"/>
      <w:r w:rsidRPr="00793F60">
        <w:t>Kandel</w:t>
      </w:r>
      <w:proofErr w:type="spellEnd"/>
      <w:r w:rsidRPr="00793F60">
        <w:t xml:space="preserve"> serait décédé, l</w:t>
      </w:r>
      <w:r w:rsidR="002E0B4C">
        <w:t>’</w:t>
      </w:r>
      <w:r w:rsidRPr="00793F60">
        <w:t>État partie devrait prendre toutes les mesures nécessaires pour localiser sa dépouille et la rendre à sa famille. Afin de réparer le préjudice causé aux auteurs et d</w:t>
      </w:r>
      <w:r w:rsidR="002E0B4C">
        <w:t>’</w:t>
      </w:r>
      <w:r w:rsidRPr="00793F60">
        <w:t>éviter que des faits analogues ne se répètent, l</w:t>
      </w:r>
      <w:r w:rsidR="002E0B4C">
        <w:t>’</w:t>
      </w:r>
      <w:r w:rsidRPr="00793F60">
        <w:t>État partie devrait reconnaître sa responsabilité internationale dans le cadre d</w:t>
      </w:r>
      <w:r w:rsidR="002E0B4C">
        <w:t>’</w:t>
      </w:r>
      <w:r w:rsidRPr="00793F60">
        <w:t xml:space="preserve">une cérémonie publique. Il devrait aussi rendre hommage à </w:t>
      </w:r>
      <w:proofErr w:type="spellStart"/>
      <w:r w:rsidRPr="00793F60">
        <w:t>Amrit</w:t>
      </w:r>
      <w:proofErr w:type="spellEnd"/>
      <w:r w:rsidRPr="00793F60">
        <w:t xml:space="preserve"> </w:t>
      </w:r>
      <w:proofErr w:type="spellStart"/>
      <w:r w:rsidRPr="00793F60">
        <w:t>Kandel</w:t>
      </w:r>
      <w:proofErr w:type="spellEnd"/>
      <w:r w:rsidRPr="00793F60">
        <w:t xml:space="preserve"> pour lui restituer sa dignité et fournir aux auteurs, à titre de </w:t>
      </w:r>
      <w:r>
        <w:t>mesure de réadaptation</w:t>
      </w:r>
      <w:r w:rsidRPr="00793F60">
        <w:t>, des soins médicaux et psychologiques, et leur donner accès à une aide juridictionnelle gratuite pour qu</w:t>
      </w:r>
      <w:r w:rsidR="002E0B4C">
        <w:t>’</w:t>
      </w:r>
      <w:r w:rsidRPr="00793F60">
        <w:t xml:space="preserve">ils puissent former des recours. </w:t>
      </w:r>
      <w:r>
        <w:t>En ce qui concerne les</w:t>
      </w:r>
      <w:r w:rsidRPr="00793F60">
        <w:t xml:space="preserve"> garantie</w:t>
      </w:r>
      <w:r>
        <w:t>s</w:t>
      </w:r>
      <w:r w:rsidRPr="00793F60">
        <w:t xml:space="preserve"> de non-répétition, l</w:t>
      </w:r>
      <w:r w:rsidR="002E0B4C">
        <w:t>’</w:t>
      </w:r>
      <w:r w:rsidRPr="00793F60">
        <w:t xml:space="preserve">État partie devrait prendre les mesures nécessaires pour que la disparition forcée et la torture </w:t>
      </w:r>
      <w:r>
        <w:t xml:space="preserve">constituent des </w:t>
      </w:r>
      <w:r w:rsidRPr="00793F60">
        <w:t>infractions autonomes dans son droit pénal et qu</w:t>
      </w:r>
      <w:r w:rsidR="002E0B4C">
        <w:t>’</w:t>
      </w:r>
      <w:r w:rsidRPr="00793F60">
        <w:t>elles soient passibles de peines appropriées, et mettre en place des programmes éducatifs en la matière à l</w:t>
      </w:r>
      <w:r w:rsidR="002E0B4C">
        <w:t>’</w:t>
      </w:r>
      <w:r w:rsidRPr="00793F60">
        <w:t>intention des responsables de l</w:t>
      </w:r>
      <w:r w:rsidR="002E0B4C">
        <w:t>’</w:t>
      </w:r>
      <w:r w:rsidRPr="00793F60">
        <w:t>application des lois. À titre de satisfaction, l</w:t>
      </w:r>
      <w:r w:rsidR="002E0B4C">
        <w:t>’</w:t>
      </w:r>
      <w:r w:rsidRPr="00793F60">
        <w:t>État partie devrait faire traduire les constatations du Comité en népalais et les publier.</w:t>
      </w:r>
    </w:p>
    <w:p w:rsidR="0036782F" w:rsidRPr="00793F60" w:rsidRDefault="0036782F" w:rsidP="0036782F">
      <w:pPr>
        <w:pStyle w:val="H23G"/>
      </w:pPr>
      <w:r w:rsidRPr="00793F60">
        <w:lastRenderedPageBreak/>
        <w:tab/>
      </w:r>
      <w:r w:rsidRPr="00793F60">
        <w:tab/>
        <w:t>Observations de l</w:t>
      </w:r>
      <w:r w:rsidR="002E0B4C">
        <w:t>’</w:t>
      </w:r>
      <w:r w:rsidRPr="00793F60">
        <w:t xml:space="preserve">État partie sur la recevabilité et sur le fond </w:t>
      </w:r>
    </w:p>
    <w:p w:rsidR="0036782F" w:rsidRPr="00793F60" w:rsidRDefault="0036782F" w:rsidP="0036782F">
      <w:pPr>
        <w:pStyle w:val="SingleTxtG"/>
      </w:pPr>
      <w:r w:rsidRPr="00793F60">
        <w:t>4.1</w:t>
      </w:r>
      <w:r w:rsidRPr="00793F60">
        <w:tab/>
      </w:r>
      <w:r>
        <w:t>Dans une note en date du</w:t>
      </w:r>
      <w:r w:rsidRPr="00793F60">
        <w:t xml:space="preserve"> 4 septembre 2015, l</w:t>
      </w:r>
      <w:r w:rsidR="002E0B4C">
        <w:t>’</w:t>
      </w:r>
      <w:r w:rsidRPr="00793F60">
        <w:t>État partie a affirmé que la communication des auteurs n</w:t>
      </w:r>
      <w:r w:rsidR="002E0B4C">
        <w:t>’</w:t>
      </w:r>
      <w:r w:rsidRPr="00793F60">
        <w:t>était pas recevable du fait du non-épuisement des recours internes, ou</w:t>
      </w:r>
      <w:r>
        <w:t>,</w:t>
      </w:r>
      <w:r w:rsidRPr="00793F60">
        <w:t xml:space="preserve"> subsidiairement, qu</w:t>
      </w:r>
      <w:r w:rsidR="002E0B4C">
        <w:t>’</w:t>
      </w:r>
      <w:r w:rsidRPr="00793F60">
        <w:t>elle était dénuée de fondement.</w:t>
      </w:r>
    </w:p>
    <w:p w:rsidR="0036782F" w:rsidRPr="00793F60" w:rsidRDefault="0036782F" w:rsidP="0036782F">
      <w:pPr>
        <w:pStyle w:val="SingleTxtG"/>
      </w:pPr>
      <w:r w:rsidRPr="00793F60">
        <w:t>4.2</w:t>
      </w:r>
      <w:r w:rsidRPr="00793F60">
        <w:tab/>
        <w:t>L</w:t>
      </w:r>
      <w:r w:rsidR="002E0B4C">
        <w:t>’</w:t>
      </w:r>
      <w:r w:rsidRPr="00793F60">
        <w:t>État partie rappelle tout d</w:t>
      </w:r>
      <w:r w:rsidR="002E0B4C">
        <w:t>’</w:t>
      </w:r>
      <w:r w:rsidRPr="00793F60">
        <w:t xml:space="preserve">abord les principaux faits exposés dans la communication. Le 10 octobre 2003, </w:t>
      </w:r>
      <w:proofErr w:type="spellStart"/>
      <w:r w:rsidRPr="00793F60">
        <w:t>Amrit</w:t>
      </w:r>
      <w:proofErr w:type="spellEnd"/>
      <w:r w:rsidRPr="00793F60">
        <w:t xml:space="preserve"> </w:t>
      </w:r>
      <w:proofErr w:type="spellStart"/>
      <w:r w:rsidRPr="00793F60">
        <w:t>Kandel</w:t>
      </w:r>
      <w:proofErr w:type="spellEnd"/>
      <w:r w:rsidRPr="00793F60">
        <w:t xml:space="preserve"> a été arrêté par des membres de ce qui était alors l</w:t>
      </w:r>
      <w:r w:rsidR="002E0B4C">
        <w:t>’</w:t>
      </w:r>
      <w:r w:rsidRPr="00793F60">
        <w:t xml:space="preserve">Armée royale népalaise et détenu dans la caserne du bataillon de </w:t>
      </w:r>
      <w:proofErr w:type="spellStart"/>
      <w:r w:rsidRPr="00793F60">
        <w:t>Bhairab</w:t>
      </w:r>
      <w:r w:rsidR="00E778DD">
        <w:t>a</w:t>
      </w:r>
      <w:r w:rsidRPr="00793F60">
        <w:t>nath</w:t>
      </w:r>
      <w:proofErr w:type="spellEnd"/>
      <w:r>
        <w:t>,</w:t>
      </w:r>
      <w:r w:rsidRPr="00793F60">
        <w:t xml:space="preserve"> à </w:t>
      </w:r>
      <w:proofErr w:type="spellStart"/>
      <w:r w:rsidRPr="00793F60">
        <w:t>Maharajgunj</w:t>
      </w:r>
      <w:proofErr w:type="spellEnd"/>
      <w:r w:rsidRPr="00793F60">
        <w:t xml:space="preserve">. </w:t>
      </w:r>
      <w:proofErr w:type="spellStart"/>
      <w:r w:rsidRPr="00793F60">
        <w:t>Ramhari</w:t>
      </w:r>
      <w:proofErr w:type="spellEnd"/>
      <w:r w:rsidRPr="00793F60">
        <w:t xml:space="preserve"> </w:t>
      </w:r>
      <w:proofErr w:type="spellStart"/>
      <w:r w:rsidRPr="00793F60">
        <w:t>Kandel</w:t>
      </w:r>
      <w:proofErr w:type="spellEnd"/>
      <w:r w:rsidRPr="00793F60">
        <w:t xml:space="preserve">, le frère </w:t>
      </w:r>
      <w:r w:rsidR="00E778DD" w:rsidRPr="00793F60">
        <w:t>aîné</w:t>
      </w:r>
      <w:r w:rsidRPr="00793F60">
        <w:t xml:space="preserve"> d</w:t>
      </w:r>
      <w:r w:rsidR="002E0B4C">
        <w:t>’</w:t>
      </w:r>
      <w:proofErr w:type="spellStart"/>
      <w:r w:rsidRPr="00793F60">
        <w:t>Amrit</w:t>
      </w:r>
      <w:proofErr w:type="spellEnd"/>
      <w:r w:rsidRPr="00793F60">
        <w:t xml:space="preserve"> </w:t>
      </w:r>
      <w:proofErr w:type="spellStart"/>
      <w:r w:rsidRPr="00793F60">
        <w:t>Kandel</w:t>
      </w:r>
      <w:proofErr w:type="spellEnd"/>
      <w:r w:rsidRPr="00793F60">
        <w:t>, a également été arrêté et envoyé dans l</w:t>
      </w:r>
      <w:r>
        <w:t>a</w:t>
      </w:r>
      <w:r w:rsidRPr="00793F60">
        <w:t xml:space="preserve"> même </w:t>
      </w:r>
      <w:r>
        <w:t>caserne</w:t>
      </w:r>
      <w:r w:rsidRPr="00793F60">
        <w:t xml:space="preserve">. </w:t>
      </w:r>
      <w:proofErr w:type="spellStart"/>
      <w:r w:rsidRPr="00793F60">
        <w:t>Ramhari</w:t>
      </w:r>
      <w:proofErr w:type="spellEnd"/>
      <w:r w:rsidRPr="00793F60">
        <w:t xml:space="preserve"> </w:t>
      </w:r>
      <w:proofErr w:type="spellStart"/>
      <w:r w:rsidRPr="00793F60">
        <w:t>Kandel</w:t>
      </w:r>
      <w:proofErr w:type="spellEnd"/>
      <w:r w:rsidRPr="00793F60">
        <w:t xml:space="preserve"> a constaté qu</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avait les yeux bandés et avait été torturé. Le 30 novembre 2004, </w:t>
      </w:r>
      <w:proofErr w:type="spellStart"/>
      <w:r w:rsidRPr="00793F60">
        <w:t>Tikanath</w:t>
      </w:r>
      <w:proofErr w:type="spellEnd"/>
      <w:r w:rsidRPr="00793F60">
        <w:t xml:space="preserve"> </w:t>
      </w:r>
      <w:proofErr w:type="spellStart"/>
      <w:r w:rsidRPr="00793F60">
        <w:t>Kandel</w:t>
      </w:r>
      <w:proofErr w:type="spellEnd"/>
      <w:r w:rsidRPr="00793F60">
        <w:t xml:space="preserve"> a </w:t>
      </w:r>
      <w:r>
        <w:t>introduit</w:t>
      </w:r>
      <w:r w:rsidRPr="00793F60">
        <w:t xml:space="preserve"> une </w:t>
      </w:r>
      <w:r>
        <w:t>action</w:t>
      </w:r>
      <w:r w:rsidRPr="00793F60">
        <w:t xml:space="preserve"> en </w:t>
      </w:r>
      <w:r w:rsidRPr="00793F60">
        <w:rPr>
          <w:i/>
          <w:iCs/>
        </w:rPr>
        <w:t>habeas corpus</w:t>
      </w:r>
      <w:r w:rsidRPr="00793F60">
        <w:t xml:space="preserve"> </w:t>
      </w:r>
      <w:r>
        <w:t>devant</w:t>
      </w:r>
      <w:r w:rsidRPr="00793F60">
        <w:t xml:space="preserve"> la Cour suprême du Népal </w:t>
      </w:r>
      <w:r>
        <w:t xml:space="preserve">pour obtenir </w:t>
      </w:r>
      <w:r w:rsidRPr="00793F60">
        <w:t>qu</w:t>
      </w:r>
      <w:r w:rsidR="002E0B4C">
        <w:t>’</w:t>
      </w:r>
      <w:r>
        <w:t xml:space="preserve">il soit mis fin à la détention illégale de </w:t>
      </w:r>
      <w:r w:rsidRPr="00793F60">
        <w:t xml:space="preserve">son fils, </w:t>
      </w:r>
      <w:proofErr w:type="spellStart"/>
      <w:r w:rsidRPr="00793F60">
        <w:t>Amrit</w:t>
      </w:r>
      <w:proofErr w:type="spellEnd"/>
      <w:r w:rsidRPr="00793F60">
        <w:t xml:space="preserve"> </w:t>
      </w:r>
      <w:proofErr w:type="spellStart"/>
      <w:r w:rsidRPr="00793F60">
        <w:t>Kandel</w:t>
      </w:r>
      <w:proofErr w:type="spellEnd"/>
      <w:r w:rsidRPr="00793F60">
        <w:t xml:space="preserve">, </w:t>
      </w:r>
      <w:r>
        <w:t>et que celui-ci soit remis en liberté</w:t>
      </w:r>
      <w:r w:rsidRPr="00793F60">
        <w:t>. Le 13 juillet 2005, la Cour suprême a suspendu la procédure au motif que l</w:t>
      </w:r>
      <w:r w:rsidR="002E0B4C">
        <w:t>’</w:t>
      </w:r>
      <w:r w:rsidRPr="00793F60">
        <w:t>avocat du demandeur ne s</w:t>
      </w:r>
      <w:r w:rsidR="002E0B4C">
        <w:t>’</w:t>
      </w:r>
      <w:r w:rsidRPr="00793F60">
        <w:t>était pas présenté à l</w:t>
      </w:r>
      <w:r w:rsidR="002E0B4C">
        <w:t>’</w:t>
      </w:r>
      <w:r w:rsidRPr="00793F60">
        <w:t xml:space="preserve">audience du 26 mai 2005, et </w:t>
      </w:r>
      <w:r>
        <w:t xml:space="preserve">que comme il </w:t>
      </w:r>
      <w:r w:rsidRPr="00793F60">
        <w:t>n</w:t>
      </w:r>
      <w:r w:rsidR="002E0B4C">
        <w:t>’</w:t>
      </w:r>
      <w:r w:rsidRPr="00793F60">
        <w:t xml:space="preserve">avait pas demandé </w:t>
      </w:r>
      <w:r>
        <w:t xml:space="preserve">un délai supplémentaire ou </w:t>
      </w:r>
      <w:r w:rsidRPr="00793F60">
        <w:t>le report de l</w:t>
      </w:r>
      <w:r w:rsidR="002E0B4C">
        <w:t>’</w:t>
      </w:r>
      <w:r w:rsidRPr="00793F60">
        <w:t>a</w:t>
      </w:r>
      <w:r>
        <w:t>udience</w:t>
      </w:r>
      <w:r w:rsidRPr="00793F60">
        <w:t xml:space="preserve"> à une date ultérieure</w:t>
      </w:r>
      <w:r>
        <w:t>, aucune autre mesure ne devait être prise concernant</w:t>
      </w:r>
      <w:r w:rsidRPr="00793F60">
        <w:t xml:space="preserve"> cette affaire. Le 13 février 2006, une </w:t>
      </w:r>
      <w:r>
        <w:t xml:space="preserve">action </w:t>
      </w:r>
      <w:r w:rsidRPr="00793F60">
        <w:t xml:space="preserve">en </w:t>
      </w:r>
      <w:r w:rsidRPr="00793F60">
        <w:rPr>
          <w:i/>
          <w:iCs/>
        </w:rPr>
        <w:t>habeas corpus</w:t>
      </w:r>
      <w:r w:rsidRPr="00793F60">
        <w:t xml:space="preserve"> </w:t>
      </w:r>
      <w:r>
        <w:t xml:space="preserve">distincte </w:t>
      </w:r>
      <w:r w:rsidRPr="00793F60">
        <w:t>a été</w:t>
      </w:r>
      <w:r>
        <w:t xml:space="preserve"> introduite devant</w:t>
      </w:r>
      <w:r w:rsidRPr="00793F60">
        <w:t xml:space="preserve"> la Cour suprême au nom de 34 personnes disparues, dont </w:t>
      </w:r>
      <w:proofErr w:type="spellStart"/>
      <w:r w:rsidRPr="00793F60">
        <w:t>Amrit</w:t>
      </w:r>
      <w:proofErr w:type="spellEnd"/>
      <w:r w:rsidRPr="00793F60">
        <w:t xml:space="preserve"> </w:t>
      </w:r>
      <w:proofErr w:type="spellStart"/>
      <w:r w:rsidRPr="00793F60">
        <w:t>Kandel</w:t>
      </w:r>
      <w:proofErr w:type="spellEnd"/>
      <w:r w:rsidRPr="00793F60">
        <w:t>. Le 1</w:t>
      </w:r>
      <w:r w:rsidRPr="00793F60">
        <w:rPr>
          <w:vertAlign w:val="superscript"/>
        </w:rPr>
        <w:t>er</w:t>
      </w:r>
      <w:r w:rsidRPr="00793F60">
        <w:t> juin 2007, la Cour suprême a ordonné au Gouvernement de créer une commission d</w:t>
      </w:r>
      <w:r w:rsidR="002E0B4C">
        <w:t>’</w:t>
      </w:r>
      <w:r w:rsidRPr="00793F60">
        <w:t xml:space="preserve">enquête de haut niveau sur les disparitions forcées en vue de déterminer </w:t>
      </w:r>
      <w:r>
        <w:t xml:space="preserve">quel avait été </w:t>
      </w:r>
      <w:r w:rsidRPr="00793F60">
        <w:t>le sort des intéressés et de le rendre public ; d</w:t>
      </w:r>
      <w:r w:rsidR="002E0B4C">
        <w:t>’</w:t>
      </w:r>
      <w:r w:rsidRPr="00793F60">
        <w:t>ériger la disparition forcée en infraction pénale ; d</w:t>
      </w:r>
      <w:r w:rsidR="002E0B4C">
        <w:t>’</w:t>
      </w:r>
      <w:r w:rsidRPr="00793F60">
        <w:t>engager des poursuites contre les auteurs ; de fournir assistance et réparation aux proches des victimes. L</w:t>
      </w:r>
      <w:r w:rsidR="002E0B4C">
        <w:t>’</w:t>
      </w:r>
      <w:r w:rsidRPr="00793F60">
        <w:t>État partie a reconnu qu</w:t>
      </w:r>
      <w:r w:rsidR="002E0B4C">
        <w:t>’</w:t>
      </w:r>
      <w:r w:rsidRPr="00793F60">
        <w:t>il</w:t>
      </w:r>
      <w:r>
        <w:t xml:space="preserve"> ignorait</w:t>
      </w:r>
      <w:r w:rsidRPr="00793F60">
        <w:t xml:space="preserve"> toujours </w:t>
      </w:r>
      <w:r>
        <w:t>quel avait été</w:t>
      </w:r>
      <w:r w:rsidRPr="00793F60">
        <w:t xml:space="preserve"> le sort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w:t>
      </w:r>
      <w:r>
        <w:t>ainsi que</w:t>
      </w:r>
      <w:r w:rsidRPr="00793F60">
        <w:t xml:space="preserve"> l</w:t>
      </w:r>
      <w:r w:rsidR="002E0B4C">
        <w:t>’</w:t>
      </w:r>
      <w:r w:rsidRPr="00793F60">
        <w:t>endroit où il se trouvait.</w:t>
      </w:r>
    </w:p>
    <w:p w:rsidR="0036782F" w:rsidRPr="00793F60" w:rsidRDefault="0036782F" w:rsidP="0036782F">
      <w:pPr>
        <w:pStyle w:val="SingleTxtG"/>
      </w:pPr>
      <w:r w:rsidRPr="00793F60">
        <w:t>4.3</w:t>
      </w:r>
      <w:r w:rsidRPr="00793F60">
        <w:tab/>
      </w:r>
      <w:r w:rsidRPr="00793F60">
        <w:rPr>
          <w:spacing w:val="-1"/>
        </w:rPr>
        <w:t>L</w:t>
      </w:r>
      <w:r w:rsidR="002E0B4C">
        <w:rPr>
          <w:spacing w:val="-1"/>
        </w:rPr>
        <w:t>’</w:t>
      </w:r>
      <w:r w:rsidRPr="00793F60">
        <w:rPr>
          <w:spacing w:val="-1"/>
        </w:rPr>
        <w:t xml:space="preserve">État partie soutient que les auteurs doivent épuiser les recours internes avant de pouvoir présenter une communication écrite au Comité. Il affirme que les auteurs </w:t>
      </w:r>
      <w:r>
        <w:rPr>
          <w:spacing w:val="-1"/>
        </w:rPr>
        <w:t>auraient dû</w:t>
      </w:r>
      <w:r w:rsidRPr="00793F60">
        <w:rPr>
          <w:spacing w:val="-1"/>
        </w:rPr>
        <w:t xml:space="preserve"> </w:t>
      </w:r>
      <w:r>
        <w:rPr>
          <w:spacing w:val="-1"/>
        </w:rPr>
        <w:t>invoquer les dispositions du</w:t>
      </w:r>
      <w:r w:rsidRPr="00793F60">
        <w:rPr>
          <w:spacing w:val="-1"/>
        </w:rPr>
        <w:t xml:space="preserve"> droit interne pour </w:t>
      </w:r>
      <w:r>
        <w:rPr>
          <w:spacing w:val="-1"/>
        </w:rPr>
        <w:t xml:space="preserve">accéder à des voies de recours et </w:t>
      </w:r>
      <w:r w:rsidRPr="00793F60">
        <w:rPr>
          <w:spacing w:val="-1"/>
        </w:rPr>
        <w:t xml:space="preserve">demander réparation. </w:t>
      </w:r>
      <w:r>
        <w:rPr>
          <w:spacing w:val="-1"/>
        </w:rPr>
        <w:t>L</w:t>
      </w:r>
      <w:r w:rsidR="002E0B4C">
        <w:rPr>
          <w:spacing w:val="-1"/>
        </w:rPr>
        <w:t>’</w:t>
      </w:r>
      <w:r>
        <w:rPr>
          <w:spacing w:val="-1"/>
        </w:rPr>
        <w:t>État partie fait valoir qu</w:t>
      </w:r>
      <w:r w:rsidR="002E0B4C">
        <w:rPr>
          <w:spacing w:val="-1"/>
        </w:rPr>
        <w:t>’</w:t>
      </w:r>
      <w:r>
        <w:rPr>
          <w:spacing w:val="-1"/>
        </w:rPr>
        <w:t>é</w:t>
      </w:r>
      <w:r w:rsidRPr="00793F60">
        <w:rPr>
          <w:spacing w:val="-1"/>
        </w:rPr>
        <w:t>tant donné que</w:t>
      </w:r>
      <w:r>
        <w:rPr>
          <w:spacing w:val="-1"/>
        </w:rPr>
        <w:t xml:space="preserve"> d</w:t>
      </w:r>
      <w:r w:rsidRPr="00793F60">
        <w:rPr>
          <w:spacing w:val="-1"/>
        </w:rPr>
        <w:t>es mécanismes de justice transitionnelle ont été créés en application de la loi</w:t>
      </w:r>
      <w:r>
        <w:rPr>
          <w:spacing w:val="-1"/>
        </w:rPr>
        <w:t xml:space="preserve"> n°</w:t>
      </w:r>
      <w:r w:rsidR="00E778DD">
        <w:rPr>
          <w:spacing w:val="-1"/>
        </w:rPr>
        <w:t> </w:t>
      </w:r>
      <w:r>
        <w:rPr>
          <w:spacing w:val="-1"/>
        </w:rPr>
        <w:t xml:space="preserve">2071 </w:t>
      </w:r>
      <w:r w:rsidRPr="00793F60">
        <w:rPr>
          <w:spacing w:val="-1"/>
          <w:shd w:val="clear" w:color="auto" w:fill="FFFFFF"/>
        </w:rPr>
        <w:t xml:space="preserve">relative à la </w:t>
      </w:r>
      <w:r>
        <w:rPr>
          <w:spacing w:val="-1"/>
          <w:shd w:val="clear" w:color="auto" w:fill="FFFFFF"/>
        </w:rPr>
        <w:t>Commission d</w:t>
      </w:r>
      <w:r w:rsidR="002E0B4C">
        <w:rPr>
          <w:spacing w:val="-1"/>
          <w:shd w:val="clear" w:color="auto" w:fill="FFFFFF"/>
        </w:rPr>
        <w:t>’</w:t>
      </w:r>
      <w:r>
        <w:rPr>
          <w:spacing w:val="-1"/>
          <w:shd w:val="clear" w:color="auto" w:fill="FFFFFF"/>
        </w:rPr>
        <w:t>enquête sur les personnes victimes de disparition forcée</w:t>
      </w:r>
      <w:r w:rsidRPr="00793F60">
        <w:rPr>
          <w:spacing w:val="-1"/>
          <w:shd w:val="clear" w:color="auto" w:fill="FFFFFF"/>
        </w:rPr>
        <w:t>, la vérité et la réconciliation</w:t>
      </w:r>
      <w:r w:rsidRPr="00793F60">
        <w:rPr>
          <w:spacing w:val="-1"/>
        </w:rPr>
        <w:t xml:space="preserve"> (2014) pour rendre justice aux victimes dans des cas liés au conflit, les auteurs peuvent encore saisir la </w:t>
      </w:r>
      <w:r>
        <w:rPr>
          <w:spacing w:val="-1"/>
        </w:rPr>
        <w:t>Commission d</w:t>
      </w:r>
      <w:r w:rsidR="002E0B4C">
        <w:rPr>
          <w:spacing w:val="-1"/>
        </w:rPr>
        <w:t>’</w:t>
      </w:r>
      <w:r>
        <w:rPr>
          <w:spacing w:val="-1"/>
        </w:rPr>
        <w:t>enquête sur les personnes victimes de disparition forcée d</w:t>
      </w:r>
      <w:r w:rsidR="002E0B4C">
        <w:rPr>
          <w:spacing w:val="-1"/>
        </w:rPr>
        <w:t>’</w:t>
      </w:r>
      <w:r>
        <w:rPr>
          <w:spacing w:val="-1"/>
        </w:rPr>
        <w:t>une plainte</w:t>
      </w:r>
      <w:r w:rsidRPr="00793F60">
        <w:rPr>
          <w:spacing w:val="-1"/>
        </w:rPr>
        <w:t>.</w:t>
      </w:r>
      <w:r w:rsidRPr="00793F60">
        <w:t xml:space="preserve"> </w:t>
      </w:r>
    </w:p>
    <w:p w:rsidR="0036782F" w:rsidRPr="00793F60" w:rsidRDefault="0036782F" w:rsidP="0036782F">
      <w:pPr>
        <w:pStyle w:val="SingleTxtG"/>
      </w:pPr>
      <w:r w:rsidRPr="00793F60">
        <w:t>4.4</w:t>
      </w:r>
      <w:r w:rsidRPr="00793F60">
        <w:tab/>
        <w:t>L</w:t>
      </w:r>
      <w:r w:rsidR="002E0B4C">
        <w:t>’</w:t>
      </w:r>
      <w:r w:rsidRPr="00793F60">
        <w:t xml:space="preserve">État partie </w:t>
      </w:r>
      <w:r>
        <w:t>explique</w:t>
      </w:r>
      <w:r w:rsidRPr="00793F60">
        <w:t xml:space="preserve"> que la Commission a pour mandat de connaître des cas de disparitions forcées liés au conflit, de f</w:t>
      </w:r>
      <w:r>
        <w:t xml:space="preserve">ournir des informations </w:t>
      </w:r>
      <w:r w:rsidRPr="00793F60">
        <w:t>sur le sort des personnes disparues, de recommander au Gouvernement népalais de traduire en justice les auteurs présumés et d</w:t>
      </w:r>
      <w:r w:rsidR="002E0B4C">
        <w:t>’</w:t>
      </w:r>
      <w:r w:rsidRPr="00793F60">
        <w:t xml:space="preserve">accorder réparation aux victimes. </w:t>
      </w:r>
    </w:p>
    <w:p w:rsidR="0036782F" w:rsidRPr="00793F60" w:rsidRDefault="0036782F" w:rsidP="0036782F">
      <w:pPr>
        <w:pStyle w:val="SingleTxtG"/>
      </w:pPr>
      <w:r w:rsidRPr="00793F60">
        <w:t>4.5</w:t>
      </w:r>
      <w:r w:rsidRPr="00793F60">
        <w:tab/>
      </w:r>
      <w:r>
        <w:t>L</w:t>
      </w:r>
      <w:r w:rsidR="002E0B4C">
        <w:t>’</w:t>
      </w:r>
      <w:r>
        <w:t>État partie fait valoir que s</w:t>
      </w:r>
      <w:r w:rsidR="002E0B4C">
        <w:t>’</w:t>
      </w:r>
      <w:r w:rsidRPr="00793F60">
        <w:t xml:space="preserve">il est vrai que </w:t>
      </w:r>
      <w:r>
        <w:t xml:space="preserve">traiter </w:t>
      </w:r>
      <w:r w:rsidRPr="00793F60">
        <w:t>la question de la violation du droit international des droits de l</w:t>
      </w:r>
      <w:r w:rsidR="002E0B4C">
        <w:t>’</w:t>
      </w:r>
      <w:r w:rsidRPr="00793F60">
        <w:t>homme et du droit humanitaire pendant un conflit armé n</w:t>
      </w:r>
      <w:r w:rsidR="002E0B4C">
        <w:t>’</w:t>
      </w:r>
      <w:r w:rsidRPr="00793F60">
        <w:t xml:space="preserve">est pas </w:t>
      </w:r>
      <w:r>
        <w:t>une tâche aisée</w:t>
      </w:r>
      <w:r w:rsidRPr="00793F60">
        <w:t>, l</w:t>
      </w:r>
      <w:r>
        <w:t>a Commission peut trouver des réponses aux questions qui se posent s</w:t>
      </w:r>
      <w:r w:rsidR="002E0B4C">
        <w:t>’</w:t>
      </w:r>
      <w:r>
        <w:t xml:space="preserve">agissant de savoir comment </w:t>
      </w:r>
      <w:r w:rsidRPr="00793F60">
        <w:t xml:space="preserve">les individus et les communautés </w:t>
      </w:r>
      <w:r>
        <w:t>peuvent faire face aux atrocités commises dans le</w:t>
      </w:r>
      <w:r w:rsidRPr="00793F60">
        <w:t xml:space="preserve"> passé,</w:t>
      </w:r>
      <w:r>
        <w:t xml:space="preserve"> </w:t>
      </w:r>
      <w:r w:rsidRPr="00793F60">
        <w:t>se réconcilie</w:t>
      </w:r>
      <w:r>
        <w:t xml:space="preserve">r </w:t>
      </w:r>
      <w:r w:rsidRPr="00793F60">
        <w:t xml:space="preserve">et reconstruire après le conflit. </w:t>
      </w:r>
      <w:r>
        <w:t>Son</w:t>
      </w:r>
      <w:r w:rsidRPr="00793F60">
        <w:t xml:space="preserve"> objectif </w:t>
      </w:r>
      <w:r>
        <w:t>est</w:t>
      </w:r>
      <w:r w:rsidRPr="00793F60">
        <w:t xml:space="preserve"> tout à la fois </w:t>
      </w:r>
      <w:r>
        <w:t>de</w:t>
      </w:r>
      <w:r w:rsidRPr="00793F60">
        <w:t xml:space="preserve"> réparer, afin d</w:t>
      </w:r>
      <w:r w:rsidR="002E0B4C">
        <w:t>’</w:t>
      </w:r>
      <w:r w:rsidRPr="00793F60">
        <w:t xml:space="preserve">atténuer les souffrances des victimes, et </w:t>
      </w:r>
      <w:r>
        <w:t>de réprimer</w:t>
      </w:r>
      <w:r w:rsidRPr="00793F60">
        <w:t xml:space="preserve">, en </w:t>
      </w:r>
      <w:r>
        <w:t>punissant</w:t>
      </w:r>
      <w:r w:rsidRPr="00793F60">
        <w:t xml:space="preserve"> les auteurs. Le système de justice pénale</w:t>
      </w:r>
      <w:r>
        <w:t xml:space="preserve"> ordinaire</w:t>
      </w:r>
      <w:r w:rsidRPr="00793F60">
        <w:t xml:space="preserve"> n</w:t>
      </w:r>
      <w:r w:rsidR="002E0B4C">
        <w:t>’</w:t>
      </w:r>
      <w:r w:rsidRPr="00793F60">
        <w:t xml:space="preserve">est pas </w:t>
      </w:r>
      <w:r>
        <w:t>efficace s</w:t>
      </w:r>
      <w:r w:rsidR="002E0B4C">
        <w:t>’</w:t>
      </w:r>
      <w:r>
        <w:t>agissant</w:t>
      </w:r>
      <w:r w:rsidRPr="00793F60">
        <w:t xml:space="preserve"> </w:t>
      </w:r>
      <w:r>
        <w:t>de</w:t>
      </w:r>
      <w:r w:rsidRPr="00793F60">
        <w:t xml:space="preserve"> rechercher la vérité </w:t>
      </w:r>
      <w:r>
        <w:t xml:space="preserve">concernant les </w:t>
      </w:r>
      <w:r w:rsidRPr="00793F60">
        <w:t>atteintes aux droits de l</w:t>
      </w:r>
      <w:r w:rsidR="002E0B4C">
        <w:t>’</w:t>
      </w:r>
      <w:r w:rsidRPr="00793F60">
        <w:t xml:space="preserve">homme commises pendant le conflit armé, </w:t>
      </w:r>
      <w:r>
        <w:t>en</w:t>
      </w:r>
      <w:r w:rsidRPr="00793F60">
        <w:t xml:space="preserve"> poursuivre les auteurs, assurer réparation et ré</w:t>
      </w:r>
      <w:r>
        <w:t>adaptation</w:t>
      </w:r>
      <w:r w:rsidRPr="00793F60">
        <w:t xml:space="preserve"> aux victimes, façonner la mémoire collective en vue de faciliter le processus de réconciliation et réformer les institutions pour qu</w:t>
      </w:r>
      <w:r w:rsidR="002E0B4C">
        <w:t>’</w:t>
      </w:r>
      <w:r w:rsidRPr="00793F60">
        <w:t>elles puissent mieux répondre à ce type d</w:t>
      </w:r>
      <w:r w:rsidR="002E0B4C">
        <w:t>’</w:t>
      </w:r>
      <w:r w:rsidRPr="00793F60">
        <w:t>infractions. La recherche de la vérité est au cœur de</w:t>
      </w:r>
      <w:r>
        <w:t xml:space="preserve"> l</w:t>
      </w:r>
      <w:r w:rsidR="002E0B4C">
        <w:t>’</w:t>
      </w:r>
      <w:r>
        <w:t>action de</w:t>
      </w:r>
      <w:r w:rsidRPr="00793F60">
        <w:t xml:space="preserve"> la justice transitionnelle</w:t>
      </w:r>
      <w:r>
        <w:t>, qui a pour tâche</w:t>
      </w:r>
      <w:r w:rsidRPr="00793F60">
        <w:t xml:space="preserve"> </w:t>
      </w:r>
      <w:r>
        <w:t>d</w:t>
      </w:r>
      <w:r w:rsidR="002E0B4C">
        <w:t>’</w:t>
      </w:r>
      <w:r w:rsidRPr="00793F60">
        <w:t xml:space="preserve">identifier les auteurs et les victimes et </w:t>
      </w:r>
      <w:r>
        <w:t>de mettre en évidence des tendances en matière</w:t>
      </w:r>
      <w:r w:rsidRPr="00793F60">
        <w:t xml:space="preserve"> de violations </w:t>
      </w:r>
      <w:r>
        <w:t xml:space="preserve">aux fins </w:t>
      </w:r>
      <w:r w:rsidRPr="00793F60">
        <w:t>de réforme des institutions.</w:t>
      </w:r>
    </w:p>
    <w:p w:rsidR="0036782F" w:rsidRPr="00793F60" w:rsidRDefault="0036782F" w:rsidP="0036782F">
      <w:pPr>
        <w:pStyle w:val="SingleTxtG"/>
      </w:pPr>
      <w:r w:rsidRPr="00793F60">
        <w:t>4.6</w:t>
      </w:r>
      <w:r w:rsidRPr="00793F60">
        <w:tab/>
        <w:t xml:space="preserve">Conformément aux dispositions de la Constitution provisoire, </w:t>
      </w:r>
      <w:r>
        <w:t xml:space="preserve">à </w:t>
      </w:r>
      <w:r w:rsidRPr="00793F60">
        <w:t>l</w:t>
      </w:r>
      <w:r w:rsidR="002E0B4C">
        <w:t>’</w:t>
      </w:r>
      <w:r w:rsidRPr="00793F60">
        <w:t>Accord de paix global et</w:t>
      </w:r>
      <w:r>
        <w:t xml:space="preserve"> à</w:t>
      </w:r>
      <w:r w:rsidRPr="00793F60">
        <w:t xml:space="preserve"> l</w:t>
      </w:r>
      <w:r w:rsidR="002E0B4C">
        <w:t>’</w:t>
      </w:r>
      <w:r>
        <w:t>arrêt rendu par</w:t>
      </w:r>
      <w:r w:rsidRPr="00793F60">
        <w:t xml:space="preserve"> </w:t>
      </w:r>
      <w:r>
        <w:t>l</w:t>
      </w:r>
      <w:r w:rsidRPr="00793F60">
        <w:t xml:space="preserve">a Cour suprême </w:t>
      </w:r>
      <w:r>
        <w:t>dans</w:t>
      </w:r>
      <w:r w:rsidRPr="00793F60">
        <w:t xml:space="preserve"> l</w:t>
      </w:r>
      <w:r w:rsidR="002E0B4C">
        <w:t>’</w:t>
      </w:r>
      <w:r w:rsidRPr="00793F60">
        <w:t xml:space="preserve">affaire </w:t>
      </w:r>
      <w:proofErr w:type="spellStart"/>
      <w:r w:rsidRPr="00793F60">
        <w:rPr>
          <w:i/>
        </w:rPr>
        <w:t>Rabindra</w:t>
      </w:r>
      <w:proofErr w:type="spellEnd"/>
      <w:r w:rsidRPr="00793F60">
        <w:rPr>
          <w:i/>
        </w:rPr>
        <w:t xml:space="preserve"> Prasad </w:t>
      </w:r>
      <w:proofErr w:type="spellStart"/>
      <w:r w:rsidRPr="00793F60">
        <w:rPr>
          <w:i/>
        </w:rPr>
        <w:t>Dhakal</w:t>
      </w:r>
      <w:proofErr w:type="spellEnd"/>
      <w:r w:rsidRPr="00793F60">
        <w:t xml:space="preserve"> </w:t>
      </w:r>
      <w:r>
        <w:rPr>
          <w:i/>
          <w:iCs/>
        </w:rPr>
        <w:t xml:space="preserve">on </w:t>
      </w:r>
      <w:proofErr w:type="spellStart"/>
      <w:r>
        <w:rPr>
          <w:i/>
          <w:iCs/>
        </w:rPr>
        <w:t>behalf</w:t>
      </w:r>
      <w:proofErr w:type="spellEnd"/>
      <w:r>
        <w:rPr>
          <w:i/>
          <w:iCs/>
        </w:rPr>
        <w:t xml:space="preserve"> of Rajendra Prasad </w:t>
      </w:r>
      <w:proofErr w:type="spellStart"/>
      <w:r>
        <w:rPr>
          <w:i/>
          <w:iCs/>
        </w:rPr>
        <w:t>Dhakal</w:t>
      </w:r>
      <w:proofErr w:type="spellEnd"/>
      <w:r>
        <w:rPr>
          <w:i/>
          <w:iCs/>
        </w:rPr>
        <w:t xml:space="preserve"> (</w:t>
      </w:r>
      <w:proofErr w:type="spellStart"/>
      <w:r>
        <w:rPr>
          <w:i/>
          <w:iCs/>
        </w:rPr>
        <w:t>Advocate</w:t>
      </w:r>
      <w:proofErr w:type="spellEnd"/>
      <w:r>
        <w:rPr>
          <w:i/>
          <w:iCs/>
        </w:rPr>
        <w:t xml:space="preserve">) </w:t>
      </w:r>
      <w:r w:rsidRPr="00793F60">
        <w:rPr>
          <w:i/>
        </w:rPr>
        <w:t xml:space="preserve">v. </w:t>
      </w:r>
      <w:proofErr w:type="spellStart"/>
      <w:r w:rsidRPr="00793F60">
        <w:rPr>
          <w:i/>
        </w:rPr>
        <w:t>Nepal</w:t>
      </w:r>
      <w:proofErr w:type="spellEnd"/>
      <w:r w:rsidRPr="0007755D">
        <w:rPr>
          <w:iCs/>
        </w:rPr>
        <w:t>,</w:t>
      </w:r>
      <w:r w:rsidRPr="00793F60">
        <w:rPr>
          <w:i/>
        </w:rPr>
        <w:t xml:space="preserve"> </w:t>
      </w:r>
      <w:r w:rsidRPr="00793F60">
        <w:t>notamment l</w:t>
      </w:r>
      <w:r w:rsidR="002E0B4C">
        <w:t>’</w:t>
      </w:r>
      <w:r w:rsidRPr="00793F60">
        <w:t xml:space="preserve">ordonnance </w:t>
      </w:r>
      <w:r w:rsidRPr="00793F60">
        <w:rPr>
          <w:rFonts w:eastAsia="MS Mincho"/>
          <w:szCs w:val="22"/>
        </w:rPr>
        <w:t>n</w:t>
      </w:r>
      <w:r w:rsidRPr="00793F60">
        <w:rPr>
          <w:rFonts w:eastAsia="MS Mincho"/>
          <w:szCs w:val="22"/>
          <w:vertAlign w:val="superscript"/>
        </w:rPr>
        <w:t>o</w:t>
      </w:r>
      <w:r w:rsidRPr="00793F60">
        <w:t> 3575 du 1</w:t>
      </w:r>
      <w:r w:rsidRPr="00793F60">
        <w:rPr>
          <w:vertAlign w:val="superscript"/>
        </w:rPr>
        <w:t>er</w:t>
      </w:r>
      <w:r w:rsidRPr="00793F60">
        <w:t xml:space="preserve"> juin 2007, le Parlement a </w:t>
      </w:r>
      <w:r>
        <w:t>adopté</w:t>
      </w:r>
      <w:r w:rsidRPr="00793F60">
        <w:t xml:space="preserve"> la loi </w:t>
      </w:r>
      <w:r w:rsidR="0007755D" w:rsidRPr="0007755D">
        <w:rPr>
          <w:rFonts w:eastAsia="MS Mincho"/>
          <w:spacing w:val="-1"/>
          <w:szCs w:val="22"/>
        </w:rPr>
        <w:t>n</w:t>
      </w:r>
      <w:r w:rsidR="0007755D" w:rsidRPr="0007755D">
        <w:rPr>
          <w:rFonts w:eastAsia="MS Mincho"/>
          <w:spacing w:val="-1"/>
          <w:szCs w:val="22"/>
          <w:vertAlign w:val="superscript"/>
        </w:rPr>
        <w:t>o</w:t>
      </w:r>
      <w:r w:rsidR="0007755D">
        <w:rPr>
          <w:spacing w:val="-1"/>
        </w:rPr>
        <w:t> </w:t>
      </w:r>
      <w:r>
        <w:rPr>
          <w:spacing w:val="-1"/>
        </w:rPr>
        <w:t xml:space="preserve">2071 </w:t>
      </w:r>
      <w:r w:rsidRPr="00793F60">
        <w:rPr>
          <w:spacing w:val="-1"/>
          <w:shd w:val="clear" w:color="auto" w:fill="FFFFFF"/>
        </w:rPr>
        <w:t xml:space="preserve">relative à la </w:t>
      </w:r>
      <w:r>
        <w:rPr>
          <w:spacing w:val="-1"/>
          <w:shd w:val="clear" w:color="auto" w:fill="FFFFFF"/>
        </w:rPr>
        <w:t>Commission d</w:t>
      </w:r>
      <w:r w:rsidR="002E0B4C">
        <w:rPr>
          <w:spacing w:val="-1"/>
          <w:shd w:val="clear" w:color="auto" w:fill="FFFFFF"/>
        </w:rPr>
        <w:t>’</w:t>
      </w:r>
      <w:r>
        <w:rPr>
          <w:spacing w:val="-1"/>
          <w:shd w:val="clear" w:color="auto" w:fill="FFFFFF"/>
        </w:rPr>
        <w:t>enquête sur les personnes victimes de disparition forcée</w:t>
      </w:r>
      <w:r w:rsidRPr="00793F60">
        <w:rPr>
          <w:spacing w:val="-1"/>
          <w:shd w:val="clear" w:color="auto" w:fill="FFFFFF"/>
        </w:rPr>
        <w:t>, la vérité et la réconciliation</w:t>
      </w:r>
      <w:r w:rsidRPr="00793F60">
        <w:rPr>
          <w:spacing w:val="-1"/>
        </w:rPr>
        <w:t xml:space="preserve"> (</w:t>
      </w:r>
      <w:r>
        <w:rPr>
          <w:spacing w:val="-1"/>
        </w:rPr>
        <w:t>2014)</w:t>
      </w:r>
      <w:r w:rsidRPr="00793F60">
        <w:t xml:space="preserve">. Cette loi </w:t>
      </w:r>
      <w:r w:rsidRPr="00793F60">
        <w:lastRenderedPageBreak/>
        <w:t>vise à promouvoir l</w:t>
      </w:r>
      <w:r w:rsidR="002E0B4C">
        <w:t>’</w:t>
      </w:r>
      <w:r w:rsidRPr="00793F60">
        <w:t xml:space="preserve">unité et la réconciliation nationales, comme prévu </w:t>
      </w:r>
      <w:r>
        <w:t>par</w:t>
      </w:r>
      <w:r w:rsidRPr="00793F60">
        <w:t xml:space="preserve"> l</w:t>
      </w:r>
      <w:r w:rsidR="002E0B4C">
        <w:t>’</w:t>
      </w:r>
      <w:r w:rsidRPr="00793F60">
        <w:t>Accord de paix global, sur la base d</w:t>
      </w:r>
      <w:r w:rsidR="002E0B4C">
        <w:t>’</w:t>
      </w:r>
      <w:r w:rsidRPr="00793F60">
        <w:t>un respect renforcé des principes relatifs aux droits de l</w:t>
      </w:r>
      <w:r w:rsidR="002E0B4C">
        <w:t>’</w:t>
      </w:r>
      <w:r w:rsidRPr="00793F60">
        <w:t xml:space="preserve">homme. </w:t>
      </w:r>
      <w:r>
        <w:t>Elle a en outre pour</w:t>
      </w:r>
      <w:r w:rsidRPr="00793F60">
        <w:t xml:space="preserve"> objectifs d</w:t>
      </w:r>
      <w:r w:rsidR="002E0B4C">
        <w:t>’</w:t>
      </w:r>
      <w:r w:rsidRPr="00793F60">
        <w:t>établir la vérité, d</w:t>
      </w:r>
      <w:r w:rsidR="002E0B4C">
        <w:t>’</w:t>
      </w:r>
      <w:r w:rsidRPr="00793F60">
        <w:t>assurer la justice, d</w:t>
      </w:r>
      <w:r w:rsidR="002E0B4C">
        <w:t>’</w:t>
      </w:r>
      <w:r w:rsidRPr="00793F60">
        <w:t>accorder réparation</w:t>
      </w:r>
      <w:r>
        <w:t xml:space="preserve">, </w:t>
      </w:r>
      <w:r w:rsidRPr="00793F60">
        <w:t>de garantir la reconnaissance publique des victimes, d</w:t>
      </w:r>
      <w:r w:rsidR="002E0B4C">
        <w:t>’</w:t>
      </w:r>
      <w:r w:rsidRPr="00793F60">
        <w:t>empêcher que de telles violations ne se reproduisent et de combattre l</w:t>
      </w:r>
      <w:r w:rsidR="002E0B4C">
        <w:t>’</w:t>
      </w:r>
      <w:r w:rsidRPr="00793F60">
        <w:t>impunité.</w:t>
      </w:r>
    </w:p>
    <w:p w:rsidR="0036782F" w:rsidRPr="00793F60" w:rsidRDefault="0036782F" w:rsidP="0036782F">
      <w:pPr>
        <w:pStyle w:val="SingleTxtG"/>
      </w:pPr>
      <w:r w:rsidRPr="00793F60">
        <w:t>4.7</w:t>
      </w:r>
      <w:r w:rsidRPr="00793F60">
        <w:tab/>
        <w:t>L</w:t>
      </w:r>
      <w:r w:rsidR="002E0B4C">
        <w:t>’</w:t>
      </w:r>
      <w:r w:rsidRPr="00793F60">
        <w:t>article 26 de la loi interdit expressément</w:t>
      </w:r>
      <w:r>
        <w:t xml:space="preserve"> de recommander</w:t>
      </w:r>
      <w:r w:rsidRPr="00793F60">
        <w:t xml:space="preserve"> l</w:t>
      </w:r>
      <w:r w:rsidR="002E0B4C">
        <w:t>’</w:t>
      </w:r>
      <w:r w:rsidRPr="00793F60">
        <w:t xml:space="preserve">amnistie </w:t>
      </w:r>
      <w:r>
        <w:t>des auteurs de</w:t>
      </w:r>
      <w:r w:rsidRPr="00793F60">
        <w:t xml:space="preserve"> violations graves. En application de ladite loi, le Gouvernement a créé la Commission vérité et réconciliation et la </w:t>
      </w:r>
      <w:r>
        <w:t>Commission d</w:t>
      </w:r>
      <w:r w:rsidR="002E0B4C">
        <w:t>’</w:t>
      </w:r>
      <w:r>
        <w:t>enquête sur les personnes victimes de disparition forcée</w:t>
      </w:r>
      <w:r w:rsidRPr="00793F60">
        <w:t xml:space="preserve">, qui </w:t>
      </w:r>
      <w:r>
        <w:t>est chargée d</w:t>
      </w:r>
      <w:r w:rsidR="002E0B4C">
        <w:t>’</w:t>
      </w:r>
      <w:r>
        <w:t>enquêter sur</w:t>
      </w:r>
      <w:r w:rsidRPr="00793F60">
        <w:t xml:space="preserve"> les cas de disparition forcée survenus pendant le conflit. Les deux Commissions ont été constituées en février 2015 et </w:t>
      </w:r>
      <w:r>
        <w:t>avaient pour mandat d</w:t>
      </w:r>
      <w:r w:rsidR="002E0B4C">
        <w:t>’</w:t>
      </w:r>
      <w:r w:rsidRPr="00793F60">
        <w:t>a</w:t>
      </w:r>
      <w:r>
        <w:t>tteindre leurs objectifs dans un délai de</w:t>
      </w:r>
      <w:r w:rsidRPr="00793F60">
        <w:t xml:space="preserve"> deux ans. L</w:t>
      </w:r>
      <w:r w:rsidR="002E0B4C">
        <w:t>’</w:t>
      </w:r>
      <w:r w:rsidRPr="00793F60">
        <w:t>État partie est</w:t>
      </w:r>
      <w:r>
        <w:t>ime</w:t>
      </w:r>
      <w:r w:rsidRPr="00793F60">
        <w:t xml:space="preserve"> que la création des Commissions est un pas important d</w:t>
      </w:r>
      <w:r>
        <w:t>e son</w:t>
      </w:r>
      <w:r w:rsidRPr="00793F60">
        <w:t xml:space="preserve"> processus de justice transitionnelle. </w:t>
      </w:r>
    </w:p>
    <w:p w:rsidR="0036782F" w:rsidRPr="00793F60" w:rsidRDefault="0036782F" w:rsidP="0036782F">
      <w:pPr>
        <w:pStyle w:val="SingleTxtG"/>
      </w:pPr>
      <w:r w:rsidRPr="00793F60">
        <w:t>4.8</w:t>
      </w:r>
      <w:r w:rsidRPr="00793F60">
        <w:tab/>
      </w:r>
      <w:r w:rsidRPr="00793F60">
        <w:rPr>
          <w:spacing w:val="-1"/>
        </w:rPr>
        <w:t>L</w:t>
      </w:r>
      <w:r w:rsidR="002E0B4C">
        <w:rPr>
          <w:spacing w:val="-1"/>
        </w:rPr>
        <w:t>’</w:t>
      </w:r>
      <w:r w:rsidRPr="00793F60">
        <w:rPr>
          <w:spacing w:val="-1"/>
        </w:rPr>
        <w:t xml:space="preserve">État partie ajoute que les Commissions sont des éléments </w:t>
      </w:r>
      <w:r>
        <w:rPr>
          <w:spacing w:val="-1"/>
        </w:rPr>
        <w:t>essentiels</w:t>
      </w:r>
      <w:r w:rsidRPr="00793F60">
        <w:rPr>
          <w:spacing w:val="-1"/>
        </w:rPr>
        <w:t xml:space="preserve"> du processus de paix, qui visent à panser les plaies et à corriger les injustices subies par les victimes du conflit, à aider celles-ci à reconstruire leur vie et leurs relations et à restaurer la confiance sociale. Après avoir consulté les victimes du conflit, les organisations de la société civile, les défenseurs des droits de l</w:t>
      </w:r>
      <w:r w:rsidR="002E0B4C">
        <w:rPr>
          <w:spacing w:val="-1"/>
        </w:rPr>
        <w:t>’</w:t>
      </w:r>
      <w:r w:rsidRPr="00793F60">
        <w:rPr>
          <w:spacing w:val="-1"/>
        </w:rPr>
        <w:t>homme et d</w:t>
      </w:r>
      <w:r w:rsidR="002E0B4C">
        <w:rPr>
          <w:spacing w:val="-1"/>
        </w:rPr>
        <w:t>’</w:t>
      </w:r>
      <w:r w:rsidRPr="00793F60">
        <w:rPr>
          <w:spacing w:val="-1"/>
        </w:rPr>
        <w:t xml:space="preserve">autres parties prenantes, la </w:t>
      </w:r>
      <w:r>
        <w:rPr>
          <w:spacing w:val="-1"/>
        </w:rPr>
        <w:t>Commission d</w:t>
      </w:r>
      <w:r w:rsidR="002E0B4C">
        <w:rPr>
          <w:spacing w:val="-1"/>
        </w:rPr>
        <w:t>’</w:t>
      </w:r>
      <w:r>
        <w:rPr>
          <w:spacing w:val="-1"/>
        </w:rPr>
        <w:t xml:space="preserve">enquête sur les personnes victimes de disparition forcée </w:t>
      </w:r>
      <w:r w:rsidRPr="00793F60">
        <w:rPr>
          <w:spacing w:val="-1"/>
        </w:rPr>
        <w:t xml:space="preserve">a rédigé son règlement intérieur et </w:t>
      </w:r>
      <w:r>
        <w:rPr>
          <w:spacing w:val="-1"/>
        </w:rPr>
        <w:t>travaille à l</w:t>
      </w:r>
      <w:r w:rsidR="002E0B4C">
        <w:rPr>
          <w:spacing w:val="-1"/>
        </w:rPr>
        <w:t>’</w:t>
      </w:r>
      <w:r>
        <w:rPr>
          <w:spacing w:val="-1"/>
        </w:rPr>
        <w:t>élaboration de son cadre</w:t>
      </w:r>
      <w:r w:rsidRPr="00793F60">
        <w:rPr>
          <w:spacing w:val="-1"/>
        </w:rPr>
        <w:t xml:space="preserve"> de référence.</w:t>
      </w:r>
    </w:p>
    <w:p w:rsidR="0036782F" w:rsidRPr="00793F60" w:rsidRDefault="0036782F" w:rsidP="0036782F">
      <w:pPr>
        <w:pStyle w:val="SingleTxtG"/>
      </w:pPr>
      <w:r w:rsidRPr="00793F60">
        <w:t>4.9</w:t>
      </w:r>
      <w:r w:rsidRPr="00793F60">
        <w:tab/>
      </w:r>
      <w:r w:rsidRPr="00793F60">
        <w:rPr>
          <w:spacing w:val="-1"/>
        </w:rPr>
        <w:t xml:space="preserve">La Commission </w:t>
      </w:r>
      <w:r>
        <w:rPr>
          <w:spacing w:val="-1"/>
        </w:rPr>
        <w:t>d</w:t>
      </w:r>
      <w:r w:rsidR="002E0B4C">
        <w:rPr>
          <w:spacing w:val="-1"/>
        </w:rPr>
        <w:t>’</w:t>
      </w:r>
      <w:r>
        <w:rPr>
          <w:spacing w:val="-1"/>
        </w:rPr>
        <w:t>enquête sur les personnes victimes de disparition forcée invit</w:t>
      </w:r>
      <w:r w:rsidRPr="00793F60">
        <w:rPr>
          <w:spacing w:val="-1"/>
        </w:rPr>
        <w:t xml:space="preserve">era toutes les victimes du conflit à lui faire part de leurs problèmes et à déposer </w:t>
      </w:r>
      <w:r>
        <w:rPr>
          <w:spacing w:val="-1"/>
        </w:rPr>
        <w:t>plainte et à la saisir de leur cas</w:t>
      </w:r>
      <w:r w:rsidRPr="00793F60">
        <w:rPr>
          <w:spacing w:val="-1"/>
        </w:rPr>
        <w:t>. Elle a pour mandat d</w:t>
      </w:r>
      <w:r w:rsidR="002E0B4C">
        <w:rPr>
          <w:spacing w:val="-1"/>
        </w:rPr>
        <w:t>’</w:t>
      </w:r>
      <w:r w:rsidRPr="00793F60">
        <w:rPr>
          <w:spacing w:val="-1"/>
        </w:rPr>
        <w:t>assurer la transparence tout en préservant la vie privée des victimes dans le processus d</w:t>
      </w:r>
      <w:r w:rsidR="002E0B4C">
        <w:rPr>
          <w:spacing w:val="-1"/>
        </w:rPr>
        <w:t>’</w:t>
      </w:r>
      <w:r w:rsidRPr="00793F60">
        <w:rPr>
          <w:spacing w:val="-1"/>
        </w:rPr>
        <w:t>enquête et d</w:t>
      </w:r>
      <w:r w:rsidR="002E0B4C">
        <w:rPr>
          <w:spacing w:val="-1"/>
        </w:rPr>
        <w:t>’</w:t>
      </w:r>
      <w:r w:rsidRPr="00793F60">
        <w:rPr>
          <w:spacing w:val="-1"/>
        </w:rPr>
        <w:t>établissement des faits.</w:t>
      </w:r>
    </w:p>
    <w:p w:rsidR="0036782F" w:rsidRPr="00793F60" w:rsidRDefault="0036782F" w:rsidP="0036782F">
      <w:pPr>
        <w:pStyle w:val="SingleTxtG"/>
      </w:pPr>
      <w:r w:rsidRPr="00793F60">
        <w:t>4.10</w:t>
      </w:r>
      <w:r w:rsidRPr="00793F60">
        <w:tab/>
        <w:t>L</w:t>
      </w:r>
      <w:r w:rsidR="002E0B4C">
        <w:t>’</w:t>
      </w:r>
      <w:r w:rsidRPr="00793F60">
        <w:t>État partie affirme en outre qu</w:t>
      </w:r>
      <w:r w:rsidR="002E0B4C">
        <w:t>’</w:t>
      </w:r>
      <w:r w:rsidRPr="00793F60">
        <w:t>il est légitimement en droit d</w:t>
      </w:r>
      <w:r w:rsidR="002E0B4C">
        <w:t>’</w:t>
      </w:r>
      <w:r w:rsidRPr="00793F60">
        <w:t>attendre de la communauté internationale</w:t>
      </w:r>
      <w:r>
        <w:t>,</w:t>
      </w:r>
      <w:r w:rsidRPr="00793F60">
        <w:t xml:space="preserve"> et</w:t>
      </w:r>
      <w:r>
        <w:t xml:space="preserve"> en particulier</w:t>
      </w:r>
      <w:r w:rsidRPr="00793F60">
        <w:t xml:space="preserve"> du Comité des droits de l</w:t>
      </w:r>
      <w:r w:rsidR="002E0B4C">
        <w:t>’</w:t>
      </w:r>
      <w:r w:rsidRPr="00793F60">
        <w:t>homme</w:t>
      </w:r>
      <w:r>
        <w:t>,</w:t>
      </w:r>
      <w:r w:rsidRPr="00793F60">
        <w:t xml:space="preserve"> qu</w:t>
      </w:r>
      <w:r w:rsidR="002E0B4C">
        <w:t>’</w:t>
      </w:r>
      <w:r w:rsidRPr="00793F60">
        <w:t xml:space="preserve">ils comprennent la transition et la situation spéciale dans laquelle se trouve le Népal. </w:t>
      </w:r>
      <w:r>
        <w:t>Sans</w:t>
      </w:r>
      <w:r w:rsidRPr="00793F60">
        <w:t xml:space="preserve"> mécanismes de justice transitionnelle, les victimes de conflits armés ne peuvent obtenir </w:t>
      </w:r>
      <w:r>
        <w:t xml:space="preserve">pleinement </w:t>
      </w:r>
      <w:r w:rsidRPr="00793F60">
        <w:t xml:space="preserve">justice. Le Népal a mis en place </w:t>
      </w:r>
      <w:r>
        <w:t xml:space="preserve">son mécanisme de justice transitionnelle </w:t>
      </w:r>
      <w:r w:rsidRPr="00793F60">
        <w:t xml:space="preserve">dans le respect du droit international et </w:t>
      </w:r>
      <w:r>
        <w:t>affirme</w:t>
      </w:r>
      <w:r w:rsidRPr="00793F60">
        <w:t xml:space="preserve"> que les cas de violation grave des droits de l</w:t>
      </w:r>
      <w:r w:rsidR="002E0B4C">
        <w:t>’</w:t>
      </w:r>
      <w:r w:rsidRPr="00793F60">
        <w:t>homme s</w:t>
      </w:r>
      <w:r>
        <w:t>ero</w:t>
      </w:r>
      <w:r w:rsidRPr="00793F60">
        <w:t>nt traités conformément aux normes et aux instruments internationaux. L</w:t>
      </w:r>
      <w:r w:rsidR="002E0B4C">
        <w:t>’</w:t>
      </w:r>
      <w:r w:rsidRPr="00793F60">
        <w:t xml:space="preserve">État partie </w:t>
      </w:r>
      <w:r>
        <w:t>indique</w:t>
      </w:r>
      <w:r w:rsidRPr="00793F60">
        <w:t xml:space="preserve"> qu</w:t>
      </w:r>
      <w:r w:rsidR="002E0B4C">
        <w:t>’</w:t>
      </w:r>
      <w:r>
        <w:t xml:space="preserve">un </w:t>
      </w:r>
      <w:r w:rsidRPr="00793F60">
        <w:t>projet de lo</w:t>
      </w:r>
      <w:r>
        <w:t xml:space="preserve">i </w:t>
      </w:r>
      <w:r w:rsidRPr="00793F60">
        <w:t xml:space="preserve">visant à </w:t>
      </w:r>
      <w:r>
        <w:t>incriminer</w:t>
      </w:r>
      <w:r w:rsidRPr="00793F60">
        <w:t xml:space="preserve"> la torture et </w:t>
      </w:r>
      <w:r>
        <w:t>un projet de loi visant</w:t>
      </w:r>
      <w:r w:rsidRPr="00793F60">
        <w:t xml:space="preserve"> à modifier le Code pénal en vue d</w:t>
      </w:r>
      <w:r w:rsidR="002E0B4C">
        <w:t>’</w:t>
      </w:r>
      <w:r w:rsidRPr="00793F60">
        <w:t>ériger la disparition forcée en infraction ont été présentés au Parlement</w:t>
      </w:r>
      <w:r>
        <w:t>.</w:t>
      </w:r>
    </w:p>
    <w:p w:rsidR="0036782F" w:rsidRPr="00793F60" w:rsidRDefault="0036782F" w:rsidP="0036782F">
      <w:pPr>
        <w:pStyle w:val="SingleTxtG"/>
      </w:pPr>
      <w:r w:rsidRPr="00793F60">
        <w:t>4.11</w:t>
      </w:r>
      <w:r w:rsidRPr="00793F60">
        <w:tab/>
      </w:r>
      <w:r>
        <w:t>Faisant référence au</w:t>
      </w:r>
      <w:r w:rsidRPr="00793F60">
        <w:t xml:space="preserve"> registre officiel fourni par l</w:t>
      </w:r>
      <w:r w:rsidR="002E0B4C">
        <w:t>’</w:t>
      </w:r>
      <w:r w:rsidRPr="00793F60">
        <w:t>Armée népalaise, l</w:t>
      </w:r>
      <w:r w:rsidR="002E0B4C">
        <w:t>’</w:t>
      </w:r>
      <w:r w:rsidRPr="00793F60">
        <w:t xml:space="preserve">État partie reconnaît que </w:t>
      </w:r>
      <w:proofErr w:type="spellStart"/>
      <w:r w:rsidRPr="00793F60">
        <w:t>Ramhari</w:t>
      </w:r>
      <w:proofErr w:type="spellEnd"/>
      <w:r w:rsidRPr="00793F60">
        <w:t xml:space="preserve"> </w:t>
      </w:r>
      <w:proofErr w:type="spellStart"/>
      <w:r w:rsidRPr="00793F60">
        <w:t>Kandel</w:t>
      </w:r>
      <w:proofErr w:type="spellEnd"/>
      <w:r w:rsidRPr="00793F60">
        <w:t>, un des auteurs et frère d</w:t>
      </w:r>
      <w:r w:rsidR="002E0B4C">
        <w:t>’</w:t>
      </w:r>
      <w:proofErr w:type="spellStart"/>
      <w:r w:rsidRPr="00793F60">
        <w:t>Amrit</w:t>
      </w:r>
      <w:proofErr w:type="spellEnd"/>
      <w:r w:rsidRPr="00793F60">
        <w:t xml:space="preserve"> </w:t>
      </w:r>
      <w:proofErr w:type="spellStart"/>
      <w:r w:rsidRPr="00793F60">
        <w:t>Kandel</w:t>
      </w:r>
      <w:proofErr w:type="spellEnd"/>
      <w:r w:rsidRPr="00793F60">
        <w:t>, a été arrêté et détenu pour enquête, conformément au</w:t>
      </w:r>
      <w:r>
        <w:t>x</w:t>
      </w:r>
      <w:r w:rsidRPr="00793F60">
        <w:t xml:space="preserve"> </w:t>
      </w:r>
      <w:r>
        <w:t>lois</w:t>
      </w:r>
      <w:r w:rsidRPr="00793F60">
        <w:t xml:space="preserve"> applicable</w:t>
      </w:r>
      <w:r>
        <w:t>s</w:t>
      </w:r>
      <w:r w:rsidRPr="00793F60">
        <w:t xml:space="preserve"> au Népal</w:t>
      </w:r>
      <w:r>
        <w:t>,</w:t>
      </w:r>
      <w:r w:rsidRPr="00793F60">
        <w:t xml:space="preserve"> </w:t>
      </w:r>
      <w:r>
        <w:t>mais affirme</w:t>
      </w:r>
      <w:r w:rsidRPr="00793F60">
        <w:t xml:space="preserve"> qu</w:t>
      </w:r>
      <w:r w:rsidR="002E0B4C">
        <w:t>’</w:t>
      </w:r>
      <w:r w:rsidRPr="00793F60">
        <w:t>il n</w:t>
      </w:r>
      <w:r w:rsidR="002E0B4C">
        <w:t>’</w:t>
      </w:r>
      <w:r w:rsidRPr="00793F60">
        <w:t xml:space="preserve">a pas été victime de disparition forcée. Il a été remis en liberté le 10 décembre 2003, comme </w:t>
      </w:r>
      <w:r>
        <w:t>le confirme</w:t>
      </w:r>
      <w:r w:rsidRPr="00793F60">
        <w:t xml:space="preserve"> </w:t>
      </w:r>
      <w:r>
        <w:t>le</w:t>
      </w:r>
      <w:r w:rsidRPr="00793F60">
        <w:t xml:space="preserve"> registre officiel. En revanche, aucune trace d</w:t>
      </w:r>
      <w:r w:rsidR="002E0B4C">
        <w:t>’</w:t>
      </w:r>
      <w:r w:rsidRPr="00793F60">
        <w:t>une arrestation ou d</w:t>
      </w:r>
      <w:r w:rsidR="002E0B4C">
        <w:t>’</w:t>
      </w:r>
      <w:r w:rsidRPr="00793F60">
        <w:t xml:space="preserve">une détention </w:t>
      </w:r>
      <w:r>
        <w:t xml:space="preserve">de </w:t>
      </w:r>
      <w:proofErr w:type="spellStart"/>
      <w:r w:rsidRPr="00793F60">
        <w:t>Amrit</w:t>
      </w:r>
      <w:proofErr w:type="spellEnd"/>
      <w:r w:rsidRPr="00793F60">
        <w:t xml:space="preserve"> </w:t>
      </w:r>
      <w:proofErr w:type="spellStart"/>
      <w:r w:rsidRPr="00793F60">
        <w:t>Kandel</w:t>
      </w:r>
      <w:proofErr w:type="spellEnd"/>
      <w:r>
        <w:t xml:space="preserve"> n</w:t>
      </w:r>
      <w:r w:rsidR="002E0B4C">
        <w:t>’</w:t>
      </w:r>
      <w:r>
        <w:t>a été trouvée</w:t>
      </w:r>
      <w:r w:rsidRPr="00793F60">
        <w:t>.</w:t>
      </w:r>
    </w:p>
    <w:p w:rsidR="0036782F" w:rsidRPr="00793F60" w:rsidRDefault="0036782F" w:rsidP="0036782F">
      <w:pPr>
        <w:pStyle w:val="SingleTxtG"/>
      </w:pPr>
      <w:r w:rsidRPr="00793F60">
        <w:t>4.12</w:t>
      </w:r>
      <w:r w:rsidRPr="00793F60">
        <w:tab/>
        <w:t>L</w:t>
      </w:r>
      <w:r w:rsidR="002E0B4C">
        <w:t>’</w:t>
      </w:r>
      <w:r w:rsidRPr="00793F60">
        <w:t>État partie réaffirme qu</w:t>
      </w:r>
      <w:r w:rsidR="002E0B4C">
        <w:t>’</w:t>
      </w:r>
      <w:r w:rsidRPr="00793F60">
        <w:t>il a honoré un certain nombre d</w:t>
      </w:r>
      <w:r w:rsidR="002E0B4C">
        <w:t>’</w:t>
      </w:r>
      <w:r w:rsidRPr="00793F60">
        <w:t xml:space="preserve">engagements importants </w:t>
      </w:r>
      <w:r>
        <w:t>relatifs à</w:t>
      </w:r>
      <w:r w:rsidRPr="00793F60">
        <w:t xml:space="preserve"> la transition, notamment la création d</w:t>
      </w:r>
      <w:r w:rsidR="002E0B4C">
        <w:t>’</w:t>
      </w:r>
      <w:r w:rsidRPr="00793F60">
        <w:t>un mécanisme de justice transitionnelle, et qu</w:t>
      </w:r>
      <w:r w:rsidR="002E0B4C">
        <w:t>’</w:t>
      </w:r>
      <w:r w:rsidRPr="00793F60">
        <w:t>il s</w:t>
      </w:r>
      <w:r w:rsidR="002E0B4C">
        <w:t>’</w:t>
      </w:r>
      <w:r w:rsidRPr="00793F60">
        <w:t xml:space="preserve">emploie activement à </w:t>
      </w:r>
      <w:r>
        <w:t>remédier aux</w:t>
      </w:r>
      <w:r w:rsidRPr="00793F60">
        <w:t xml:space="preserve"> </w:t>
      </w:r>
      <w:r>
        <w:t xml:space="preserve">violations des </w:t>
      </w:r>
      <w:r w:rsidRPr="00793F60">
        <w:t>droits de l</w:t>
      </w:r>
      <w:r w:rsidR="002E0B4C">
        <w:t>’</w:t>
      </w:r>
      <w:r w:rsidRPr="00793F60">
        <w:t>homme. Il affirme que son engagement à promouvoir et à protéger les droits de l</w:t>
      </w:r>
      <w:r w:rsidR="002E0B4C">
        <w:t>’</w:t>
      </w:r>
      <w:r w:rsidRPr="00793F60">
        <w:t xml:space="preserve">homme est total et inébranlable. </w:t>
      </w:r>
    </w:p>
    <w:p w:rsidR="0036782F" w:rsidRPr="00793F60" w:rsidRDefault="0036782F" w:rsidP="0036782F">
      <w:pPr>
        <w:pStyle w:val="SingleTxtG"/>
        <w:rPr>
          <w:spacing w:val="-2"/>
        </w:rPr>
      </w:pPr>
      <w:r w:rsidRPr="00793F60">
        <w:rPr>
          <w:spacing w:val="-2"/>
        </w:rPr>
        <w:t>4.13</w:t>
      </w:r>
      <w:r w:rsidRPr="00793F60">
        <w:rPr>
          <w:spacing w:val="-2"/>
        </w:rPr>
        <w:tab/>
        <w:t>En conclusion, l</w:t>
      </w:r>
      <w:r w:rsidR="002E0B4C">
        <w:rPr>
          <w:spacing w:val="-2"/>
        </w:rPr>
        <w:t>’</w:t>
      </w:r>
      <w:r w:rsidRPr="00793F60">
        <w:rPr>
          <w:spacing w:val="-2"/>
        </w:rPr>
        <w:t xml:space="preserve">État partie soutient que la communication </w:t>
      </w:r>
      <w:r>
        <w:rPr>
          <w:spacing w:val="-2"/>
        </w:rPr>
        <w:t>est irrecevable</w:t>
      </w:r>
      <w:r w:rsidRPr="00793F60">
        <w:rPr>
          <w:spacing w:val="-2"/>
        </w:rPr>
        <w:t xml:space="preserve"> </w:t>
      </w:r>
      <w:r>
        <w:rPr>
          <w:spacing w:val="-2"/>
        </w:rPr>
        <w:t>car</w:t>
      </w:r>
      <w:r w:rsidRPr="00793F60">
        <w:rPr>
          <w:spacing w:val="-2"/>
        </w:rPr>
        <w:t xml:space="preserve"> les auteurs n</w:t>
      </w:r>
      <w:r w:rsidR="002E0B4C">
        <w:rPr>
          <w:spacing w:val="-2"/>
        </w:rPr>
        <w:t>’</w:t>
      </w:r>
      <w:r w:rsidRPr="00793F60">
        <w:rPr>
          <w:spacing w:val="-2"/>
        </w:rPr>
        <w:t>ont pas épuisé les recours internes</w:t>
      </w:r>
      <w:r>
        <w:rPr>
          <w:spacing w:val="-2"/>
        </w:rPr>
        <w:t>. Leur affaire peut être traitée et des réparations offertes au moyen du mécanisme national de justice transitionnelle</w:t>
      </w:r>
      <w:r w:rsidRPr="00793F60">
        <w:rPr>
          <w:spacing w:val="-2"/>
        </w:rPr>
        <w:t xml:space="preserve">. Subsidiairement, il affirme que la communication est dénuée de fondement. </w:t>
      </w:r>
      <w:r>
        <w:rPr>
          <w:spacing w:val="-2"/>
        </w:rPr>
        <w:t>Compte tenu de</w:t>
      </w:r>
      <w:r w:rsidRPr="00793F60">
        <w:rPr>
          <w:spacing w:val="-2"/>
        </w:rPr>
        <w:t xml:space="preserve"> ce qui précède, l</w:t>
      </w:r>
      <w:r w:rsidR="002E0B4C">
        <w:rPr>
          <w:spacing w:val="-2"/>
        </w:rPr>
        <w:t>’</w:t>
      </w:r>
      <w:r w:rsidRPr="00793F60">
        <w:rPr>
          <w:spacing w:val="-2"/>
        </w:rPr>
        <w:t>État partie demande au Comité de ne pas examiner l</w:t>
      </w:r>
      <w:r>
        <w:rPr>
          <w:spacing w:val="-2"/>
        </w:rPr>
        <w:t xml:space="preserve">a </w:t>
      </w:r>
      <w:r w:rsidRPr="00793F60">
        <w:rPr>
          <w:spacing w:val="-2"/>
        </w:rPr>
        <w:t>communication.</w:t>
      </w:r>
    </w:p>
    <w:p w:rsidR="0036782F" w:rsidRPr="00793F60" w:rsidRDefault="0036782F" w:rsidP="0036782F">
      <w:pPr>
        <w:pStyle w:val="H23G"/>
      </w:pPr>
      <w:r w:rsidRPr="00793F60">
        <w:tab/>
      </w:r>
      <w:r w:rsidRPr="00793F60">
        <w:tab/>
        <w:t>Commentaires des auteurs sur les observations de l</w:t>
      </w:r>
      <w:r w:rsidR="002E0B4C">
        <w:t>’</w:t>
      </w:r>
      <w:r w:rsidRPr="00793F60">
        <w:t xml:space="preserve">État partie concernant </w:t>
      </w:r>
      <w:r w:rsidRPr="00793F60">
        <w:br/>
        <w:t xml:space="preserve">la recevabilité et le fond </w:t>
      </w:r>
    </w:p>
    <w:p w:rsidR="0036782F" w:rsidRPr="00793F60" w:rsidRDefault="0036782F" w:rsidP="0036782F">
      <w:pPr>
        <w:pStyle w:val="SingleTxtG"/>
      </w:pPr>
      <w:r w:rsidRPr="00793F60">
        <w:t>5.1</w:t>
      </w:r>
      <w:r w:rsidRPr="00793F60">
        <w:tab/>
      </w:r>
      <w:r>
        <w:t xml:space="preserve">Dans une note en date du </w:t>
      </w:r>
      <w:r w:rsidRPr="00793F60">
        <w:t xml:space="preserve">16 novembre 2015, les auteurs </w:t>
      </w:r>
      <w:r>
        <w:t>soulign</w:t>
      </w:r>
      <w:r w:rsidRPr="00793F60">
        <w:t>ent que l</w:t>
      </w:r>
      <w:r w:rsidR="002E0B4C">
        <w:t>’</w:t>
      </w:r>
      <w:r w:rsidRPr="00793F60">
        <w:t>État partie n</w:t>
      </w:r>
      <w:r w:rsidR="002E0B4C">
        <w:t>’</w:t>
      </w:r>
      <w:r w:rsidRPr="00793F60">
        <w:t>a pas réfuté les faits qu</w:t>
      </w:r>
      <w:r w:rsidR="002E0B4C">
        <w:t>’</w:t>
      </w:r>
      <w:r w:rsidRPr="00793F60">
        <w:t>ils ont décrits. Ils en déduisent que l</w:t>
      </w:r>
      <w:r w:rsidR="002E0B4C">
        <w:t>’</w:t>
      </w:r>
      <w:r w:rsidRPr="00793F60">
        <w:t>État partie reconnaît le bien-fondé de leurs griefs et la véracité des faits qu</w:t>
      </w:r>
      <w:r w:rsidR="002E0B4C">
        <w:t>’</w:t>
      </w:r>
      <w:r w:rsidRPr="00793F60">
        <w:t>ils ont exposés dans leur lettre initiale.</w:t>
      </w:r>
    </w:p>
    <w:p w:rsidR="0036782F" w:rsidRPr="00793F60" w:rsidRDefault="0036782F" w:rsidP="0036782F">
      <w:pPr>
        <w:pStyle w:val="SingleTxtG"/>
      </w:pPr>
      <w:r w:rsidRPr="00793F60">
        <w:lastRenderedPageBreak/>
        <w:t>5.2</w:t>
      </w:r>
      <w:r w:rsidRPr="00793F60">
        <w:tab/>
        <w:t xml:space="preserve">Comme </w:t>
      </w:r>
      <w:r>
        <w:t>les auteurs l</w:t>
      </w:r>
      <w:r w:rsidR="002E0B4C">
        <w:t>’</w:t>
      </w:r>
      <w:r>
        <w:t>ont expli</w:t>
      </w:r>
      <w:r w:rsidRPr="00793F60">
        <w:t xml:space="preserve">qué en détail dans leur </w:t>
      </w:r>
      <w:r>
        <w:t>lettre initiale</w:t>
      </w:r>
      <w:r w:rsidRPr="00793F60">
        <w:t xml:space="preserve"> du 11 avril 2014, la disparition forcée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a été </w:t>
      </w:r>
      <w:r>
        <w:t>attestée</w:t>
      </w:r>
      <w:r w:rsidRPr="00793F60">
        <w:t xml:space="preserve"> par plusieurs organismes des droits de l</w:t>
      </w:r>
      <w:r w:rsidR="002E0B4C">
        <w:t>’</w:t>
      </w:r>
      <w:r w:rsidRPr="00793F60">
        <w:t>homme, tant nationaux qu</w:t>
      </w:r>
      <w:r w:rsidR="002E0B4C">
        <w:t>’</w:t>
      </w:r>
      <w:r w:rsidRPr="00793F60">
        <w:t>internationaux. À cet égard</w:t>
      </w:r>
      <w:r w:rsidR="006E5E23">
        <w:t> :</w:t>
      </w:r>
      <w:r w:rsidRPr="00793F60">
        <w:t xml:space="preserve"> a)</w:t>
      </w:r>
      <w:r w:rsidR="006E5E23">
        <w:t xml:space="preserve"> </w:t>
      </w:r>
      <w:r w:rsidRPr="00793F60">
        <w:t>en 2006, le Haut</w:t>
      </w:r>
      <w:r w:rsidRPr="00793F60">
        <w:noBreakHyphen/>
        <w:t>Commissariat des Nations Unies aux droits de l</w:t>
      </w:r>
      <w:r w:rsidR="002E0B4C">
        <w:t>’</w:t>
      </w:r>
      <w:r w:rsidRPr="00793F60">
        <w:t xml:space="preserve">homme a </w:t>
      </w:r>
      <w:r>
        <w:t>publié un rapport dans lequel il a fait figurer</w:t>
      </w:r>
      <w:r w:rsidRPr="00793F60">
        <w:t xml:space="preserve"> le nom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au nombre de ceux </w:t>
      </w:r>
      <w:r>
        <w:t xml:space="preserve">des personnes </w:t>
      </w:r>
      <w:r w:rsidRPr="00793F60">
        <w:t>qu</w:t>
      </w:r>
      <w:r>
        <w:t>i</w:t>
      </w:r>
      <w:r w:rsidRPr="00793F60">
        <w:t xml:space="preserve"> sont porté</w:t>
      </w:r>
      <w:r>
        <w:t>e</w:t>
      </w:r>
      <w:r w:rsidRPr="00793F60">
        <w:t>s disparu</w:t>
      </w:r>
      <w:r>
        <w:t>e</w:t>
      </w:r>
      <w:r w:rsidRPr="00793F60">
        <w:t xml:space="preserve">s </w:t>
      </w:r>
      <w:r>
        <w:t>depuis qu</w:t>
      </w:r>
      <w:r w:rsidR="002E0B4C">
        <w:t>’</w:t>
      </w:r>
      <w:r>
        <w:t>elles ont</w:t>
      </w:r>
      <w:r w:rsidRPr="00793F60">
        <w:t xml:space="preserve"> été détenu</w:t>
      </w:r>
      <w:r>
        <w:t>e</w:t>
      </w:r>
      <w:r w:rsidRPr="00793F60">
        <w:t xml:space="preserve">s dans la caserne de </w:t>
      </w:r>
      <w:proofErr w:type="spellStart"/>
      <w:r w:rsidRPr="00793F60">
        <w:t>Mahara</w:t>
      </w:r>
      <w:r w:rsidR="006E5E23">
        <w:t>jgunj</w:t>
      </w:r>
      <w:proofErr w:type="spellEnd"/>
      <w:r w:rsidR="006E5E23">
        <w:t xml:space="preserve"> en 2003</w:t>
      </w:r>
      <w:r w:rsidRPr="00793F60">
        <w:rPr>
          <w:rStyle w:val="Appelnotedebasdep"/>
        </w:rPr>
        <w:footnoteReference w:id="5"/>
      </w:r>
      <w:r w:rsidRPr="00793F60">
        <w:t> ; b) le 1</w:t>
      </w:r>
      <w:r w:rsidRPr="00793F60">
        <w:rPr>
          <w:vertAlign w:val="superscript"/>
        </w:rPr>
        <w:t>er</w:t>
      </w:r>
      <w:r w:rsidRPr="00793F60">
        <w:t> juin 2007, dans un</w:t>
      </w:r>
      <w:r>
        <w:t xml:space="preserve"> arrêt</w:t>
      </w:r>
      <w:r w:rsidRPr="00793F60">
        <w:t xml:space="preserve"> </w:t>
      </w:r>
      <w:r>
        <w:t>fondé</w:t>
      </w:r>
      <w:r w:rsidRPr="00793F60">
        <w:t xml:space="preserve"> sur</w:t>
      </w:r>
      <w:r>
        <w:t xml:space="preserve"> l</w:t>
      </w:r>
      <w:r w:rsidR="002E0B4C">
        <w:t>’</w:t>
      </w:r>
      <w:r>
        <w:t>examen de</w:t>
      </w:r>
      <w:r w:rsidRPr="00793F60">
        <w:t xml:space="preserve"> 28 demandes d</w:t>
      </w:r>
      <w:r w:rsidR="002E0B4C">
        <w:t>’</w:t>
      </w:r>
      <w:r w:rsidRPr="00793F60">
        <w:rPr>
          <w:i/>
          <w:iCs/>
        </w:rPr>
        <w:t>habeas corpus</w:t>
      </w:r>
      <w:r w:rsidRPr="00793F60">
        <w:t xml:space="preserve"> concernant des disparitions forcées perpétrées par les forces de sécurité pendant le conflit, parmi lesquelles figurait </w:t>
      </w:r>
      <w:r>
        <w:t xml:space="preserve">celle introduite </w:t>
      </w:r>
      <w:r w:rsidRPr="00793F60">
        <w:t xml:space="preserve">au nom de 34 personnes disparues, dont </w:t>
      </w:r>
      <w:proofErr w:type="spellStart"/>
      <w:r w:rsidRPr="00793F60">
        <w:t>Amrit</w:t>
      </w:r>
      <w:proofErr w:type="spellEnd"/>
      <w:r w:rsidRPr="00793F60">
        <w:t xml:space="preserve"> </w:t>
      </w:r>
      <w:proofErr w:type="spellStart"/>
      <w:r w:rsidRPr="00793F60">
        <w:t>Kandel</w:t>
      </w:r>
      <w:proofErr w:type="spellEnd"/>
      <w:r w:rsidRPr="00793F60">
        <w:t>, la Cour suprême du Népal a ordonné au Gouvernement, entre autres choses, de créer une commission d</w:t>
      </w:r>
      <w:r w:rsidR="002E0B4C">
        <w:t>’</w:t>
      </w:r>
      <w:r w:rsidRPr="00793F60">
        <w:t>enquête de haut niveau sur les disparitions forcées</w:t>
      </w:r>
      <w:r>
        <w:t xml:space="preserve"> et</w:t>
      </w:r>
      <w:r w:rsidRPr="00793F60">
        <w:t xml:space="preserve"> de rendre public le sort des personnes disparues, dont </w:t>
      </w:r>
      <w:proofErr w:type="spellStart"/>
      <w:r w:rsidRPr="00793F60">
        <w:t>Amrit</w:t>
      </w:r>
      <w:proofErr w:type="spellEnd"/>
      <w:r w:rsidRPr="00793F60">
        <w:t xml:space="preserve"> </w:t>
      </w:r>
      <w:proofErr w:type="spellStart"/>
      <w:r w:rsidRPr="00793F60">
        <w:t>Kandel</w:t>
      </w:r>
      <w:proofErr w:type="spellEnd"/>
      <w:r w:rsidRPr="00793F60">
        <w:t xml:space="preserve"> ; c) le 4 décembre 2007, la </w:t>
      </w:r>
      <w:r w:rsidRPr="00793F60">
        <w:rPr>
          <w:rFonts w:eastAsia="Calibri"/>
        </w:rPr>
        <w:t>Commission nationale des droits de l</w:t>
      </w:r>
      <w:r w:rsidR="002E0B4C">
        <w:rPr>
          <w:rFonts w:eastAsia="Calibri"/>
        </w:rPr>
        <w:t>’</w:t>
      </w:r>
      <w:r w:rsidRPr="00793F60">
        <w:rPr>
          <w:rFonts w:eastAsia="Calibri"/>
        </w:rPr>
        <w:t>homme</w:t>
      </w:r>
      <w:r w:rsidRPr="00793F60">
        <w:t xml:space="preserve"> a publié </w:t>
      </w:r>
      <w:r>
        <w:t xml:space="preserve">un </w:t>
      </w:r>
      <w:r w:rsidRPr="00793F60">
        <w:t>rapport dans lequel elle a indiqué</w:t>
      </w:r>
      <w:r w:rsidR="006E5E23">
        <w:t xml:space="preserve"> </w:t>
      </w:r>
      <w:r w:rsidRPr="00793F60">
        <w:t>qu</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w:t>
      </w:r>
      <w:r>
        <w:t xml:space="preserve">était </w:t>
      </w:r>
      <w:r w:rsidRPr="00793F60">
        <w:t xml:space="preserve">détenu par le bataillon de </w:t>
      </w:r>
      <w:proofErr w:type="spellStart"/>
      <w:r w:rsidRPr="00793F60">
        <w:t>Bhairabnath</w:t>
      </w:r>
      <w:proofErr w:type="spellEnd"/>
      <w:r w:rsidRPr="00793F60">
        <w:rPr>
          <w:rStyle w:val="Appelnotedebasdep"/>
        </w:rPr>
        <w:footnoteReference w:id="6"/>
      </w:r>
      <w:r w:rsidRPr="00793F60">
        <w:t> » ; d) en 2009 et 2011, la famille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a reçu un total de 300 000 roupies népalaises (environ 3 000 dollars des États-Unis) à raison de la disparition forcée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dans le cadre du </w:t>
      </w:r>
      <w:r w:rsidRPr="00793F60">
        <w:rPr>
          <w:shd w:val="clear" w:color="auto" w:fill="FFFFFF"/>
        </w:rPr>
        <w:t>programme d</w:t>
      </w:r>
      <w:r w:rsidR="002E0B4C">
        <w:rPr>
          <w:shd w:val="clear" w:color="auto" w:fill="FFFFFF"/>
        </w:rPr>
        <w:t>’</w:t>
      </w:r>
      <w:r w:rsidRPr="00793F60">
        <w:rPr>
          <w:shd w:val="clear" w:color="auto" w:fill="FFFFFF"/>
        </w:rPr>
        <w:t>indemnisation provisoire mis en place par le</w:t>
      </w:r>
      <w:r w:rsidRPr="00793F60">
        <w:t xml:space="preserve"> Ministère de la paix et de la reconstruction, ce qui constitue une reconnaissance indirecte de la part du Gouvernement du fait qu</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a </w:t>
      </w:r>
      <w:r>
        <w:t xml:space="preserve">bien </w:t>
      </w:r>
      <w:r w:rsidRPr="00793F60">
        <w:t>été victime d</w:t>
      </w:r>
      <w:r>
        <w:t>e</w:t>
      </w:r>
      <w:r w:rsidRPr="00793F60">
        <w:t xml:space="preserve"> disparition forcée ; e) la base de données du Comité international de la Croix-Rouge sur les personnes disparues continue d</w:t>
      </w:r>
      <w:r w:rsidR="002E0B4C">
        <w:t>’</w:t>
      </w:r>
      <w:r w:rsidRPr="00793F60">
        <w:t>indiquer que le sort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et l</w:t>
      </w:r>
      <w:r w:rsidR="002E0B4C">
        <w:t>’</w:t>
      </w:r>
      <w:r w:rsidRPr="00793F60">
        <w:t xml:space="preserve">endroit où il se trouve </w:t>
      </w:r>
      <w:r>
        <w:t>restent</w:t>
      </w:r>
      <w:r w:rsidRPr="00793F60">
        <w:t xml:space="preserve"> inconnus. </w:t>
      </w:r>
    </w:p>
    <w:p w:rsidR="0036782F" w:rsidRPr="00793F60" w:rsidRDefault="0036782F" w:rsidP="0036782F">
      <w:pPr>
        <w:pStyle w:val="SingleTxtG"/>
      </w:pPr>
      <w:r w:rsidRPr="00793F60">
        <w:t>5.3</w:t>
      </w:r>
      <w:r w:rsidRPr="00793F60">
        <w:tab/>
        <w:t>Selon la jurisprudence du Comité des droits de l</w:t>
      </w:r>
      <w:r w:rsidR="002E0B4C">
        <w:t>’</w:t>
      </w:r>
      <w:r w:rsidRPr="00793F60">
        <w:t>homme, dans les cas de disparition forcée, la charge de la preuve</w:t>
      </w:r>
      <w:r w:rsidR="00DE1619">
        <w:t xml:space="preserve"> </w:t>
      </w:r>
      <w:r w:rsidRPr="00793F60">
        <w:t>n</w:t>
      </w:r>
      <w:r w:rsidR="002E0B4C">
        <w:t>’</w:t>
      </w:r>
      <w:r w:rsidRPr="00793F60">
        <w:t>incombe pas uniquement à l</w:t>
      </w:r>
      <w:r w:rsidR="002E0B4C">
        <w:t>’</w:t>
      </w:r>
      <w:r w:rsidRPr="00793F60">
        <w:t>auteur d</w:t>
      </w:r>
      <w:r w:rsidR="002E0B4C">
        <w:t>’</w:t>
      </w:r>
      <w:r w:rsidRPr="00793F60">
        <w:t>une communication, d</w:t>
      </w:r>
      <w:r w:rsidR="002E0B4C">
        <w:t>’</w:t>
      </w:r>
      <w:r w:rsidRPr="00793F60">
        <w:t>autant plus que l</w:t>
      </w:r>
      <w:r w:rsidR="002E0B4C">
        <w:t>’</w:t>
      </w:r>
      <w:r w:rsidRPr="00793F60">
        <w:t>auteur et l</w:t>
      </w:r>
      <w:r w:rsidR="002E0B4C">
        <w:t>’</w:t>
      </w:r>
      <w:r w:rsidRPr="00793F60">
        <w:t>État partie n</w:t>
      </w:r>
      <w:r w:rsidR="002E0B4C">
        <w:t>’</w:t>
      </w:r>
      <w:r w:rsidRPr="00793F60">
        <w:t>ont pas toujours un accès égal aux éléments de preuve et que souvent seul l</w:t>
      </w:r>
      <w:r w:rsidR="002E0B4C">
        <w:t>’</w:t>
      </w:r>
      <w:r w:rsidRPr="00793F60">
        <w:t>État partie dispose des renseignements nécessaires</w:t>
      </w:r>
      <w:r w:rsidRPr="00793F60">
        <w:rPr>
          <w:rStyle w:val="Appelnotedebasdep"/>
        </w:rPr>
        <w:footnoteReference w:id="7"/>
      </w:r>
      <w:r w:rsidRPr="00793F60">
        <w:t>. Compte tenu des explications détaillées et des éléments de preuve fournis par les auteurs de la communication et du fait que l</w:t>
      </w:r>
      <w:r w:rsidR="002E0B4C">
        <w:t>’</w:t>
      </w:r>
      <w:r w:rsidRPr="00793F60">
        <w:t>État partie ne les a pas réfutés en produisant la preuve du contraire, les auteurs prient le Comité d</w:t>
      </w:r>
      <w:r w:rsidR="002E0B4C">
        <w:t>’</w:t>
      </w:r>
      <w:r>
        <w:t xml:space="preserve">accorder le poids voulu à leurs allégations factuelles, </w:t>
      </w:r>
      <w:r w:rsidRPr="00793F60">
        <w:t xml:space="preserve"> </w:t>
      </w:r>
      <w:r>
        <w:t>conformément à</w:t>
      </w:r>
      <w:r w:rsidRPr="00793F60">
        <w:t xml:space="preserve"> sa pr</w:t>
      </w:r>
      <w:r>
        <w:t>atique</w:t>
      </w:r>
      <w:r w:rsidRPr="00793F60">
        <w:t xml:space="preserve"> établie</w:t>
      </w:r>
      <w:r w:rsidRPr="00793F60">
        <w:rPr>
          <w:rStyle w:val="Appelnotedebasdep"/>
        </w:rPr>
        <w:footnoteReference w:id="8"/>
      </w:r>
      <w:r w:rsidRPr="00793F60">
        <w:t>.</w:t>
      </w:r>
    </w:p>
    <w:p w:rsidR="0036782F" w:rsidRPr="00793F60" w:rsidRDefault="0036782F" w:rsidP="0036782F">
      <w:pPr>
        <w:pStyle w:val="SingleTxtG"/>
      </w:pPr>
      <w:r w:rsidRPr="00793F60">
        <w:t>5.4</w:t>
      </w:r>
      <w:r w:rsidRPr="00793F60">
        <w:tab/>
        <w:t>Les auteurs affirment aussi que l</w:t>
      </w:r>
      <w:r w:rsidR="002E0B4C">
        <w:t>’</w:t>
      </w:r>
      <w:r w:rsidRPr="00793F60">
        <w:t>absence de traces administratives de l</w:t>
      </w:r>
      <w:r w:rsidR="002E0B4C">
        <w:t>’</w:t>
      </w:r>
      <w:r w:rsidRPr="00793F60">
        <w:t>arrestation arbitraire d</w:t>
      </w:r>
      <w:r w:rsidR="002E0B4C">
        <w:t>’</w:t>
      </w:r>
      <w:proofErr w:type="spellStart"/>
      <w:r w:rsidRPr="00793F60">
        <w:t>Amrit</w:t>
      </w:r>
      <w:proofErr w:type="spellEnd"/>
      <w:r w:rsidRPr="00793F60">
        <w:t xml:space="preserve"> </w:t>
      </w:r>
      <w:proofErr w:type="spellStart"/>
      <w:r w:rsidRPr="00793F60">
        <w:t>Kandel</w:t>
      </w:r>
      <w:proofErr w:type="spellEnd"/>
      <w:r w:rsidRPr="00793F60">
        <w:t>, de sa détention et de sa disparition constitue, en soi, une violation des droits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ainsi que de ceux de </w:t>
      </w:r>
      <w:proofErr w:type="spellStart"/>
      <w:r w:rsidRPr="00793F60">
        <w:t>Tikanath</w:t>
      </w:r>
      <w:proofErr w:type="spellEnd"/>
      <w:r w:rsidRPr="00793F60">
        <w:t xml:space="preserve"> et de </w:t>
      </w:r>
      <w:proofErr w:type="spellStart"/>
      <w:r w:rsidRPr="00793F60">
        <w:t>Ramhari</w:t>
      </w:r>
      <w:proofErr w:type="spellEnd"/>
      <w:r w:rsidRPr="00793F60">
        <w:t xml:space="preserve"> </w:t>
      </w:r>
      <w:proofErr w:type="spellStart"/>
      <w:r w:rsidRPr="00793F60">
        <w:t>Kandel</w:t>
      </w:r>
      <w:proofErr w:type="spellEnd"/>
      <w:r w:rsidRPr="00793F60">
        <w:t xml:space="preserve">, comme </w:t>
      </w:r>
      <w:r>
        <w:t>ils l</w:t>
      </w:r>
      <w:r w:rsidR="002E0B4C">
        <w:t>’</w:t>
      </w:r>
      <w:r>
        <w:t>ont souligné</w:t>
      </w:r>
      <w:r w:rsidRPr="00793F60">
        <w:t xml:space="preserve"> dans l</w:t>
      </w:r>
      <w:r>
        <w:t>eur</w:t>
      </w:r>
      <w:r w:rsidRPr="00793F60">
        <w:t xml:space="preserve"> lettre initiale.</w:t>
      </w:r>
    </w:p>
    <w:p w:rsidR="0036782F" w:rsidRPr="00793F60" w:rsidRDefault="0036782F" w:rsidP="0036782F">
      <w:pPr>
        <w:pStyle w:val="SingleTxtG"/>
      </w:pPr>
      <w:r w:rsidRPr="00793F60">
        <w:t>5.5</w:t>
      </w:r>
      <w:r w:rsidRPr="00793F60">
        <w:tab/>
        <w:t>Par ailleurs, le Comité des droits de l</w:t>
      </w:r>
      <w:r w:rsidR="002E0B4C">
        <w:t>’</w:t>
      </w:r>
      <w:r w:rsidRPr="00793F60">
        <w:t>homme a indiqué que l</w:t>
      </w:r>
      <w:r w:rsidR="002E0B4C">
        <w:t>’</w:t>
      </w:r>
      <w:r w:rsidRPr="00793F60">
        <w:t>article 9 du Pacte exige aussi le respect des garanties importantes pour les détenus, comme l</w:t>
      </w:r>
      <w:r w:rsidR="002E0B4C">
        <w:t>’</w:t>
      </w:r>
      <w:r w:rsidRPr="00793F60">
        <w:t>établissement d</w:t>
      </w:r>
      <w:r w:rsidR="002E0B4C">
        <w:t>’</w:t>
      </w:r>
      <w:r w:rsidRPr="00793F60">
        <w:t>un procès-verbal d</w:t>
      </w:r>
      <w:r w:rsidR="002E0B4C">
        <w:t>’</w:t>
      </w:r>
      <w:r w:rsidRPr="00793F60">
        <w:t>arrestation</w:t>
      </w:r>
      <w:r w:rsidRPr="00793F60">
        <w:rPr>
          <w:rStyle w:val="Appelnotedebasdep"/>
        </w:rPr>
        <w:footnoteReference w:id="9"/>
      </w:r>
      <w:r w:rsidRPr="00793F60">
        <w:t xml:space="preserve">. Il a </w:t>
      </w:r>
      <w:r>
        <w:t xml:space="preserve">également indiqué, </w:t>
      </w:r>
      <w:r w:rsidRPr="00793F60">
        <w:t>concernant l</w:t>
      </w:r>
      <w:r w:rsidR="002E0B4C">
        <w:t>’</w:t>
      </w:r>
      <w:r w:rsidRPr="00793F60">
        <w:t>article 9 du Pacte</w:t>
      </w:r>
      <w:r>
        <w:t>,</w:t>
      </w:r>
      <w:r w:rsidRPr="00793F60">
        <w:t xml:space="preserve"> qu</w:t>
      </w:r>
      <w:r w:rsidR="002E0B4C">
        <w:t>’</w:t>
      </w:r>
      <w:r w:rsidRPr="00793F60">
        <w:t>il fa</w:t>
      </w:r>
      <w:r>
        <w:t xml:space="preserve">llait </w:t>
      </w:r>
      <w:r w:rsidRPr="00793F60">
        <w:t xml:space="preserve">tenir un registre officiel centralisé sur lequel </w:t>
      </w:r>
      <w:r>
        <w:t>étaient</w:t>
      </w:r>
      <w:r w:rsidRPr="00793F60">
        <w:t xml:space="preserve"> inscrits les noms des détenus, les lieux de détention, les dates d</w:t>
      </w:r>
      <w:r w:rsidR="002E0B4C">
        <w:t>’</w:t>
      </w:r>
      <w:r w:rsidRPr="00793F60">
        <w:t xml:space="preserve">entrée et de sortie des détenus ainsi que les noms des responsables de la détention, </w:t>
      </w:r>
      <w:r>
        <w:t>lequel doit être</w:t>
      </w:r>
      <w:r w:rsidRPr="00793F60">
        <w:t xml:space="preserve"> aisément disponible et accessible à tous les intéressés, notamment aux proches</w:t>
      </w:r>
      <w:r w:rsidRPr="00793F60">
        <w:rPr>
          <w:rStyle w:val="Appelnotedebasdep"/>
        </w:rPr>
        <w:footnoteReference w:id="10"/>
      </w:r>
      <w:r w:rsidRPr="00793F60">
        <w:t>. L</w:t>
      </w:r>
      <w:r w:rsidR="002E0B4C">
        <w:t>’</w:t>
      </w:r>
      <w:r>
        <w:t>absence de</w:t>
      </w:r>
      <w:r w:rsidRPr="00793F60">
        <w:t xml:space="preserve"> ces données </w:t>
      </w:r>
      <w:r>
        <w:t>doit</w:t>
      </w:r>
      <w:r w:rsidRPr="00793F60">
        <w:t xml:space="preserve"> être considéré</w:t>
      </w:r>
      <w:r>
        <w:t>e</w:t>
      </w:r>
      <w:r w:rsidRPr="00793F60">
        <w:t xml:space="preserve"> comme une violation du Pacte.</w:t>
      </w:r>
    </w:p>
    <w:p w:rsidR="0036782F" w:rsidRPr="00793F60" w:rsidRDefault="0036782F" w:rsidP="0036782F">
      <w:pPr>
        <w:pStyle w:val="SingleTxtG"/>
      </w:pPr>
      <w:r w:rsidRPr="00793F60">
        <w:t>5.6</w:t>
      </w:r>
      <w:r w:rsidRPr="00793F60">
        <w:tab/>
        <w:t xml:space="preserve">Se référant à la lettre initiale, </w:t>
      </w:r>
      <w:proofErr w:type="spellStart"/>
      <w:r w:rsidRPr="00793F60">
        <w:t>Ramhari</w:t>
      </w:r>
      <w:proofErr w:type="spellEnd"/>
      <w:r w:rsidRPr="00793F60">
        <w:t xml:space="preserve"> </w:t>
      </w:r>
      <w:proofErr w:type="spellStart"/>
      <w:r w:rsidRPr="00793F60">
        <w:t>Kandel</w:t>
      </w:r>
      <w:proofErr w:type="spellEnd"/>
      <w:r w:rsidRPr="00793F60">
        <w:t xml:space="preserve"> insiste sur le fait qu</w:t>
      </w:r>
      <w:r w:rsidR="002E0B4C">
        <w:t>’</w:t>
      </w:r>
      <w:r w:rsidRPr="00793F60">
        <w:t>il n</w:t>
      </w:r>
      <w:r w:rsidR="002E0B4C">
        <w:t>’</w:t>
      </w:r>
      <w:r w:rsidRPr="00793F60">
        <w:t>a jamais prétendu avoir été victime d</w:t>
      </w:r>
      <w:r w:rsidR="002E0B4C">
        <w:t>’</w:t>
      </w:r>
      <w:r w:rsidRPr="00793F60">
        <w:t>une disparation forcée. En revanche, il a fait état d</w:t>
      </w:r>
      <w:r w:rsidR="002E0B4C">
        <w:t>’</w:t>
      </w:r>
      <w:r w:rsidRPr="00793F60">
        <w:t>une violation des droits qu</w:t>
      </w:r>
      <w:r w:rsidR="002E0B4C">
        <w:t>’</w:t>
      </w:r>
      <w:r w:rsidRPr="00793F60">
        <w:t>il tient de l</w:t>
      </w:r>
      <w:r w:rsidR="002E0B4C">
        <w:t>’</w:t>
      </w:r>
      <w:r w:rsidRPr="00793F60">
        <w:t>article 7, lu seul et conjointement avec le paragraphe 3 de l</w:t>
      </w:r>
      <w:r w:rsidR="002E0B4C">
        <w:t>’</w:t>
      </w:r>
      <w:r w:rsidRPr="00793F60">
        <w:t>article 2 du Pacte, en raison de la détresse et de l</w:t>
      </w:r>
      <w:r w:rsidR="002E0B4C">
        <w:t>’</w:t>
      </w:r>
      <w:r w:rsidRPr="00793F60">
        <w:t>angoisse profonde qu</w:t>
      </w:r>
      <w:r w:rsidR="002E0B4C">
        <w:t>’</w:t>
      </w:r>
      <w:r w:rsidRPr="00793F60">
        <w:t xml:space="preserve">il continue </w:t>
      </w:r>
      <w:r w:rsidRPr="00793F60">
        <w:lastRenderedPageBreak/>
        <w:t>d</w:t>
      </w:r>
      <w:r w:rsidR="002E0B4C">
        <w:t>’</w:t>
      </w:r>
      <w:r>
        <w:t>éprouver</w:t>
      </w:r>
      <w:r w:rsidRPr="00793F60">
        <w:t xml:space="preserve"> en raison de la disparition forcée dont a été victime </w:t>
      </w:r>
      <w:proofErr w:type="spellStart"/>
      <w:r w:rsidRPr="00793F60">
        <w:t>Amrit</w:t>
      </w:r>
      <w:proofErr w:type="spellEnd"/>
      <w:r w:rsidRPr="00793F60">
        <w:t xml:space="preserve"> </w:t>
      </w:r>
      <w:proofErr w:type="spellStart"/>
      <w:r w:rsidRPr="00793F60">
        <w:t>Kandel</w:t>
      </w:r>
      <w:proofErr w:type="spellEnd"/>
      <w:r w:rsidRPr="00793F60">
        <w:t xml:space="preserve">. </w:t>
      </w:r>
      <w:proofErr w:type="spellStart"/>
      <w:r w:rsidRPr="00793F60">
        <w:t>Ramhari</w:t>
      </w:r>
      <w:proofErr w:type="spellEnd"/>
      <w:r w:rsidRPr="00793F60">
        <w:t xml:space="preserve"> </w:t>
      </w:r>
      <w:proofErr w:type="spellStart"/>
      <w:r w:rsidRPr="00793F60">
        <w:t>Kandel</w:t>
      </w:r>
      <w:proofErr w:type="spellEnd"/>
      <w:r w:rsidRPr="00793F60">
        <w:t xml:space="preserve"> souffre de dépression depuis qu</w:t>
      </w:r>
      <w:r w:rsidR="002E0B4C">
        <w:t>’</w:t>
      </w:r>
      <w:r w:rsidRPr="00793F60">
        <w:t xml:space="preserve">il a été libéré de la caserne de </w:t>
      </w:r>
      <w:proofErr w:type="spellStart"/>
      <w:r w:rsidRPr="00793F60">
        <w:t>Maharajgunj</w:t>
      </w:r>
      <w:proofErr w:type="spellEnd"/>
      <w:r w:rsidRPr="00793F60">
        <w:t>, ne parvenant pas à accepter l</w:t>
      </w:r>
      <w:r w:rsidR="002E0B4C">
        <w:t>’</w:t>
      </w:r>
      <w:r w:rsidRPr="00793F60">
        <w:t>idée qu</w:t>
      </w:r>
      <w:r w:rsidR="002E0B4C">
        <w:t>’</w:t>
      </w:r>
      <w:r w:rsidRPr="00793F60">
        <w:t>il ne peut rien faire pour obtenir la libération de son frère parce qu</w:t>
      </w:r>
      <w:r w:rsidR="002E0B4C">
        <w:t>’</w:t>
      </w:r>
      <w:r w:rsidRPr="00793F60">
        <w:t>il craint pour sa propre vie.</w:t>
      </w:r>
    </w:p>
    <w:p w:rsidR="0036782F" w:rsidRPr="00793F60" w:rsidRDefault="0036782F" w:rsidP="0036782F">
      <w:pPr>
        <w:pStyle w:val="SingleTxtG"/>
      </w:pPr>
      <w:r w:rsidRPr="00793F60">
        <w:t>5.7</w:t>
      </w:r>
      <w:r w:rsidRPr="00793F60">
        <w:tab/>
        <w:t xml:space="preserve">Les auteurs </w:t>
      </w:r>
      <w:r>
        <w:t>reprennent</w:t>
      </w:r>
      <w:r w:rsidRPr="00793F60">
        <w:t xml:space="preserve"> le</w:t>
      </w:r>
      <w:r>
        <w:t>urs</w:t>
      </w:r>
      <w:r w:rsidRPr="00793F60">
        <w:t xml:space="preserve"> allégations selon lesquelles </w:t>
      </w:r>
      <w:proofErr w:type="spellStart"/>
      <w:r w:rsidRPr="00793F60">
        <w:t>Amrit</w:t>
      </w:r>
      <w:proofErr w:type="spellEnd"/>
      <w:r w:rsidRPr="00793F60">
        <w:t xml:space="preserve"> </w:t>
      </w:r>
      <w:proofErr w:type="spellStart"/>
      <w:r w:rsidRPr="00793F60">
        <w:t>Kandel</w:t>
      </w:r>
      <w:proofErr w:type="spellEnd"/>
      <w:r w:rsidRPr="00793F60">
        <w:t xml:space="preserve"> a été victime de violations des articles 6, 7, 9, 10 et 16, lus seuls et conjointement avec le paragraphe 3 de l</w:t>
      </w:r>
      <w:r w:rsidR="002E0B4C">
        <w:t>’</w:t>
      </w:r>
      <w:r w:rsidRPr="00793F60">
        <w:t xml:space="preserve">article 2 du Pacte, </w:t>
      </w:r>
      <w:r>
        <w:t>du fait de</w:t>
      </w:r>
      <w:r w:rsidRPr="00793F60">
        <w:t xml:space="preserve"> l</w:t>
      </w:r>
      <w:r w:rsidR="002E0B4C">
        <w:t>’</w:t>
      </w:r>
      <w:r w:rsidRPr="00793F60">
        <w:t>arrestation arbitraire</w:t>
      </w:r>
      <w:r>
        <w:t xml:space="preserve"> </w:t>
      </w:r>
      <w:r w:rsidRPr="00793F60">
        <w:t>d</w:t>
      </w:r>
      <w:r w:rsidR="002E0B4C">
        <w:t>’</w:t>
      </w:r>
      <w:proofErr w:type="spellStart"/>
      <w:r w:rsidRPr="00793F60">
        <w:t>Amrit</w:t>
      </w:r>
      <w:proofErr w:type="spellEnd"/>
      <w:r w:rsidRPr="00793F60">
        <w:t xml:space="preserve"> </w:t>
      </w:r>
      <w:proofErr w:type="spellStart"/>
      <w:r w:rsidRPr="00793F60">
        <w:t>Kandel</w:t>
      </w:r>
      <w:proofErr w:type="spellEnd"/>
      <w:r>
        <w:t xml:space="preserve"> et des actes de </w:t>
      </w:r>
      <w:r w:rsidRPr="00793F60">
        <w:t xml:space="preserve">torture et </w:t>
      </w:r>
      <w:r>
        <w:t xml:space="preserve">de </w:t>
      </w:r>
      <w:r w:rsidRPr="00793F60">
        <w:t>la disparition forcée</w:t>
      </w:r>
      <w:r>
        <w:t xml:space="preserve"> dont il a été victime</w:t>
      </w:r>
      <w:r w:rsidRPr="00793F60">
        <w:t xml:space="preserve">, </w:t>
      </w:r>
      <w:r>
        <w:t>ainsi que du fait</w:t>
      </w:r>
      <w:r w:rsidRPr="00793F60">
        <w:t xml:space="preserve"> que les autorités népalaises n</w:t>
      </w:r>
      <w:r w:rsidR="002E0B4C">
        <w:t>’</w:t>
      </w:r>
      <w:r w:rsidRPr="00793F60">
        <w:t xml:space="preserve">ont toujours pas </w:t>
      </w:r>
      <w:r>
        <w:t>ouvert</w:t>
      </w:r>
      <w:r w:rsidRPr="00793F60">
        <w:t xml:space="preserve"> d</w:t>
      </w:r>
      <w:r w:rsidR="002E0B4C">
        <w:t>’</w:t>
      </w:r>
      <w:r w:rsidRPr="00793F60">
        <w:t xml:space="preserve">office une enquête efficace, indépendante, impartiale et approfondie sur sa disparition </w:t>
      </w:r>
      <w:r>
        <w:t xml:space="preserve">ni </w:t>
      </w:r>
      <w:r w:rsidRPr="00793F60">
        <w:t>trad</w:t>
      </w:r>
      <w:r>
        <w:t>uit</w:t>
      </w:r>
      <w:r w:rsidRPr="00793F60">
        <w:t xml:space="preserve"> en justice </w:t>
      </w:r>
      <w:r>
        <w:t xml:space="preserve">et puni ceux qui en sont responsables. </w:t>
      </w:r>
      <w:r w:rsidRPr="00793F60">
        <w:t>En outre, les auteurs affirment que les faits de l</w:t>
      </w:r>
      <w:r w:rsidR="002E0B4C">
        <w:t>’</w:t>
      </w:r>
      <w:r>
        <w:t>espèce</w:t>
      </w:r>
      <w:r w:rsidRPr="00793F60">
        <w:t xml:space="preserve"> font apparaître une violation de l</w:t>
      </w:r>
      <w:r w:rsidR="002E0B4C">
        <w:t>’</w:t>
      </w:r>
      <w:r w:rsidRPr="00793F60">
        <w:t>article 7, lu seul et conjointement avec le paragraphe 3 de l</w:t>
      </w:r>
      <w:r w:rsidR="002E0B4C">
        <w:t>’</w:t>
      </w:r>
      <w:r w:rsidRPr="00793F60">
        <w:t xml:space="preserve">article 2 du Pacte, </w:t>
      </w:r>
      <w:r>
        <w:t>à l</w:t>
      </w:r>
      <w:r w:rsidR="002E0B4C">
        <w:t>’</w:t>
      </w:r>
      <w:r>
        <w:t xml:space="preserve">égard de </w:t>
      </w:r>
      <w:proofErr w:type="spellStart"/>
      <w:r w:rsidRPr="00793F60">
        <w:t>Tikanath</w:t>
      </w:r>
      <w:proofErr w:type="spellEnd"/>
      <w:r w:rsidRPr="00793F60">
        <w:t xml:space="preserve"> </w:t>
      </w:r>
      <w:proofErr w:type="spellStart"/>
      <w:r w:rsidRPr="00793F60">
        <w:t>Kandel</w:t>
      </w:r>
      <w:proofErr w:type="spellEnd"/>
      <w:r w:rsidRPr="00793F60">
        <w:t xml:space="preserve"> et </w:t>
      </w:r>
      <w:proofErr w:type="spellStart"/>
      <w:r w:rsidRPr="00793F60">
        <w:t>Ramhari</w:t>
      </w:r>
      <w:proofErr w:type="spellEnd"/>
      <w:r w:rsidRPr="00793F60">
        <w:t xml:space="preserve"> </w:t>
      </w:r>
      <w:proofErr w:type="spellStart"/>
      <w:r w:rsidRPr="00793F60">
        <w:t>Kandel</w:t>
      </w:r>
      <w:proofErr w:type="spellEnd"/>
      <w:r w:rsidRPr="00793F60">
        <w:t>, en raison de la détresse et de l</w:t>
      </w:r>
      <w:r w:rsidR="002E0B4C">
        <w:t>’</w:t>
      </w:r>
      <w:r w:rsidRPr="00793F60">
        <w:t>angoisse profonde qu</w:t>
      </w:r>
      <w:r w:rsidR="002E0B4C">
        <w:t>’</w:t>
      </w:r>
      <w:r w:rsidRPr="00793F60">
        <w:t>ils continuent d</w:t>
      </w:r>
      <w:r w:rsidR="002E0B4C">
        <w:t>’</w:t>
      </w:r>
      <w:r w:rsidRPr="00793F60">
        <w:t>endurer du fait de la disparition forcée d</w:t>
      </w:r>
      <w:r w:rsidR="002E0B4C">
        <w:t>’</w:t>
      </w:r>
      <w:proofErr w:type="spellStart"/>
      <w:r w:rsidRPr="00793F60">
        <w:t>Amrit</w:t>
      </w:r>
      <w:proofErr w:type="spellEnd"/>
      <w:r w:rsidRPr="00793F60">
        <w:t xml:space="preserve"> </w:t>
      </w:r>
      <w:proofErr w:type="spellStart"/>
      <w:r w:rsidRPr="00793F60">
        <w:t>Kandel</w:t>
      </w:r>
      <w:proofErr w:type="spellEnd"/>
      <w:r w:rsidRPr="00793F60">
        <w:t>.</w:t>
      </w:r>
    </w:p>
    <w:p w:rsidR="0036782F" w:rsidRPr="00793F60" w:rsidRDefault="0036782F" w:rsidP="0036782F">
      <w:pPr>
        <w:pStyle w:val="SingleTxtG"/>
      </w:pPr>
      <w:r w:rsidRPr="00793F60">
        <w:t>5.8</w:t>
      </w:r>
      <w:r w:rsidRPr="00793F60">
        <w:tab/>
        <w:t>Les auteurs de la communication n</w:t>
      </w:r>
      <w:r w:rsidR="002E0B4C">
        <w:t>’</w:t>
      </w:r>
      <w:r w:rsidRPr="00793F60">
        <w:t>ignorent pas que des mécanismes de justice transitionnelle ont été mis en place en février 2015, après plus de neuf ans de négociations. Au moment où ils ont présenté leur complément d</w:t>
      </w:r>
      <w:r w:rsidR="002E0B4C">
        <w:t>’</w:t>
      </w:r>
      <w:r w:rsidRPr="00793F60">
        <w:t>information, ces mécanismes n</w:t>
      </w:r>
      <w:r w:rsidR="002E0B4C">
        <w:t>’</w:t>
      </w:r>
      <w:r w:rsidRPr="00793F60">
        <w:t>étaient pas encore pleinement opérationnels. Les auteurs sont particulièrement préoccupés par le fait que plus de huit mois se sont écoulés depuis la création des mécanismes de justice transitionnelle, sans qu</w:t>
      </w:r>
      <w:r w:rsidR="002E0B4C">
        <w:t>’</w:t>
      </w:r>
      <w:r w:rsidRPr="00793F60">
        <w:t>aucune mesure véritable n</w:t>
      </w:r>
      <w:r w:rsidR="002E0B4C">
        <w:t>’</w:t>
      </w:r>
      <w:r w:rsidRPr="00793F60">
        <w:t>ait été prise, d</w:t>
      </w:r>
      <w:r w:rsidR="002E0B4C">
        <w:t>’</w:t>
      </w:r>
      <w:r w:rsidRPr="00793F60">
        <w:t>autant que, comme l</w:t>
      </w:r>
      <w:r w:rsidR="002E0B4C">
        <w:t>’</w:t>
      </w:r>
      <w:r w:rsidRPr="00793F60">
        <w:t>indique l</w:t>
      </w:r>
      <w:r w:rsidR="002E0B4C">
        <w:t>’</w:t>
      </w:r>
      <w:r w:rsidRPr="00793F60">
        <w:t xml:space="preserve">État partie, </w:t>
      </w:r>
      <w:r>
        <w:t>c</w:t>
      </w:r>
      <w:r w:rsidRPr="00793F60">
        <w:t>es mécanismes</w:t>
      </w:r>
      <w:r>
        <w:t xml:space="preserve"> ont pour mandat d</w:t>
      </w:r>
      <w:r w:rsidR="002E0B4C">
        <w:t>’</w:t>
      </w:r>
      <w:r w:rsidRPr="00793F60">
        <w:t xml:space="preserve">achever leurs travaux dans les deux ans suivant leur création. De plus, le 21 mai 2015, le Gouvernement népalais a </w:t>
      </w:r>
      <w:r>
        <w:t>saisi</w:t>
      </w:r>
      <w:r w:rsidRPr="00793F60">
        <w:t xml:space="preserve"> la Cour suprême </w:t>
      </w:r>
      <w:r>
        <w:t>d</w:t>
      </w:r>
      <w:r w:rsidR="002E0B4C">
        <w:t>’</w:t>
      </w:r>
      <w:r>
        <w:t>une</w:t>
      </w:r>
      <w:r w:rsidRPr="00793F60">
        <w:t xml:space="preserve"> demande</w:t>
      </w:r>
      <w:r>
        <w:t xml:space="preserve"> de</w:t>
      </w:r>
      <w:r w:rsidRPr="00793F60">
        <w:t xml:space="preserve"> r</w:t>
      </w:r>
      <w:r>
        <w:t>éexamen</w:t>
      </w:r>
      <w:r w:rsidRPr="00793F60">
        <w:t xml:space="preserve"> de s</w:t>
      </w:r>
      <w:r>
        <w:t>on arrêt</w:t>
      </w:r>
      <w:r w:rsidRPr="00793F60">
        <w:t xml:space="preserve"> du 26 février 2015 </w:t>
      </w:r>
      <w:r>
        <w:t>concernant</w:t>
      </w:r>
      <w:r w:rsidRPr="00793F60">
        <w:t xml:space="preserve"> la </w:t>
      </w:r>
      <w:r w:rsidRPr="00793F60">
        <w:rPr>
          <w:spacing w:val="-1"/>
        </w:rPr>
        <w:t>loi</w:t>
      </w:r>
      <w:r>
        <w:rPr>
          <w:spacing w:val="-1"/>
        </w:rPr>
        <w:t xml:space="preserve"> </w:t>
      </w:r>
      <w:r w:rsidR="00042B0F" w:rsidRPr="00042B0F">
        <w:rPr>
          <w:rFonts w:eastAsia="MS Mincho"/>
          <w:spacing w:val="-1"/>
          <w:szCs w:val="22"/>
        </w:rPr>
        <w:t>n</w:t>
      </w:r>
      <w:r w:rsidR="00042B0F" w:rsidRPr="00042B0F">
        <w:rPr>
          <w:rFonts w:eastAsia="MS Mincho"/>
          <w:spacing w:val="-1"/>
          <w:szCs w:val="22"/>
          <w:vertAlign w:val="superscript"/>
        </w:rPr>
        <w:t>o</w:t>
      </w:r>
      <w:r w:rsidR="00042B0F">
        <w:rPr>
          <w:spacing w:val="-1"/>
        </w:rPr>
        <w:t> </w:t>
      </w:r>
      <w:r>
        <w:rPr>
          <w:spacing w:val="-1"/>
        </w:rPr>
        <w:t xml:space="preserve">2071 </w:t>
      </w:r>
      <w:r w:rsidRPr="00793F60">
        <w:rPr>
          <w:spacing w:val="-1"/>
          <w:shd w:val="clear" w:color="auto" w:fill="FFFFFF"/>
        </w:rPr>
        <w:t xml:space="preserve">relative à la </w:t>
      </w:r>
      <w:r>
        <w:rPr>
          <w:spacing w:val="-1"/>
          <w:shd w:val="clear" w:color="auto" w:fill="FFFFFF"/>
        </w:rPr>
        <w:t>Commission d</w:t>
      </w:r>
      <w:r w:rsidR="002E0B4C">
        <w:rPr>
          <w:spacing w:val="-1"/>
          <w:shd w:val="clear" w:color="auto" w:fill="FFFFFF"/>
        </w:rPr>
        <w:t>’</w:t>
      </w:r>
      <w:r>
        <w:rPr>
          <w:spacing w:val="-1"/>
          <w:shd w:val="clear" w:color="auto" w:fill="FFFFFF"/>
        </w:rPr>
        <w:t>enquête sur les personnes victimes de disparition forcée</w:t>
      </w:r>
      <w:r w:rsidRPr="00793F60">
        <w:rPr>
          <w:spacing w:val="-1"/>
          <w:shd w:val="clear" w:color="auto" w:fill="FFFFFF"/>
        </w:rPr>
        <w:t>, la vérité et la réconciliation</w:t>
      </w:r>
      <w:r>
        <w:rPr>
          <w:spacing w:val="-1"/>
        </w:rPr>
        <w:t xml:space="preserve"> (2014)</w:t>
      </w:r>
      <w:r w:rsidRPr="00793F60">
        <w:t xml:space="preserve">. Enregistrée le 21 mai 2015, cette </w:t>
      </w:r>
      <w:r>
        <w:t>demande</w:t>
      </w:r>
      <w:r w:rsidRPr="00793F60">
        <w:t xml:space="preserve"> est encore pendante, </w:t>
      </w:r>
      <w:r>
        <w:t>de sorte qu</w:t>
      </w:r>
      <w:r w:rsidR="002E0B4C">
        <w:t>’</w:t>
      </w:r>
      <w:r w:rsidRPr="00793F60">
        <w:t xml:space="preserve">on ne sait pas avec certitude de quels pouvoirs sera investie la </w:t>
      </w:r>
      <w:r>
        <w:t>Commission d</w:t>
      </w:r>
      <w:r w:rsidR="002E0B4C">
        <w:t>’</w:t>
      </w:r>
      <w:r>
        <w:t>enquête sur les personnes victimes de disparition forcée</w:t>
      </w:r>
      <w:r w:rsidRPr="00793F60">
        <w:t xml:space="preserve">. </w:t>
      </w:r>
      <w:r>
        <w:t>Dès</w:t>
      </w:r>
      <w:r w:rsidRPr="00793F60">
        <w:t xml:space="preserve"> que la </w:t>
      </w:r>
      <w:r>
        <w:t>Commission d</w:t>
      </w:r>
      <w:r w:rsidR="002E0B4C">
        <w:t>’</w:t>
      </w:r>
      <w:r>
        <w:t xml:space="preserve">enquête sur les personnes victimes de disparition forcée </w:t>
      </w:r>
      <w:r w:rsidRPr="00793F60">
        <w:t xml:space="preserve">deviendra opérationnelle et que ses pouvoirs et méthodes de travail seront clairement établis, les auteurs envisageront de la saisir, même si, après avoir rencontré certains commissaires lors de consultations locales, ils ne sont pas convaincus que la </w:t>
      </w:r>
      <w:r>
        <w:t xml:space="preserve">Commission </w:t>
      </w:r>
      <w:r w:rsidRPr="00793F60">
        <w:t xml:space="preserve"> leur apportera des réponses concrètes.</w:t>
      </w:r>
    </w:p>
    <w:p w:rsidR="0036782F" w:rsidRPr="00793F60" w:rsidRDefault="0036782F" w:rsidP="0036782F">
      <w:pPr>
        <w:pStyle w:val="SingleTxtG"/>
      </w:pPr>
      <w:r w:rsidRPr="00793F60">
        <w:t>5.9</w:t>
      </w:r>
      <w:r w:rsidRPr="00793F60">
        <w:tab/>
        <w:t>En tout état de cause, on ne saurait considérer que l</w:t>
      </w:r>
      <w:r w:rsidR="002E0B4C">
        <w:t>’</w:t>
      </w:r>
      <w:r w:rsidRPr="00793F60">
        <w:t xml:space="preserve">enregistrement de leur affaire </w:t>
      </w:r>
      <w:r>
        <w:t>auprès de</w:t>
      </w:r>
      <w:r w:rsidRPr="00793F60">
        <w:t xml:space="preserve"> la </w:t>
      </w:r>
      <w:r>
        <w:t>Commission d</w:t>
      </w:r>
      <w:r w:rsidR="002E0B4C">
        <w:t>’</w:t>
      </w:r>
      <w:r>
        <w:t xml:space="preserve">enquête sur les personnes victimes de disparition forcée </w:t>
      </w:r>
      <w:r w:rsidRPr="00793F60">
        <w:t>constitue un recours utile qu</w:t>
      </w:r>
      <w:r w:rsidR="002E0B4C">
        <w:t>’</w:t>
      </w:r>
      <w:r w:rsidRPr="00793F60">
        <w:t>ils devraient avoir épuisé avant de pouvoir soumettre leur communication au Comité des droits de l</w:t>
      </w:r>
      <w:r w:rsidR="002E0B4C">
        <w:t>’</w:t>
      </w:r>
      <w:r w:rsidRPr="00793F60">
        <w:t>homme, conformément à l</w:t>
      </w:r>
      <w:r w:rsidR="002E0B4C">
        <w:t>’</w:t>
      </w:r>
      <w:r w:rsidRPr="00793F60">
        <w:t>article 5 du Protocole facultatif se rapportant au Pacte. Le Comité a déjà indiqué clairement, précisément au sujet de la Commission et d</w:t>
      </w:r>
      <w:r w:rsidR="002E0B4C">
        <w:t>’</w:t>
      </w:r>
      <w:r w:rsidRPr="00793F60">
        <w:t>autres mécanismes de justice transitionnelle au Népal, qu</w:t>
      </w:r>
      <w:r w:rsidR="002E0B4C">
        <w:t>’</w:t>
      </w:r>
      <w:r w:rsidRPr="00793F60">
        <w:t>il n</w:t>
      </w:r>
      <w:r w:rsidR="002E0B4C">
        <w:t>’</w:t>
      </w:r>
      <w:r w:rsidRPr="00793F60">
        <w:t>était pas nécessaire d</w:t>
      </w:r>
      <w:r w:rsidR="002E0B4C">
        <w:t>’</w:t>
      </w:r>
      <w:r w:rsidRPr="00793F60">
        <w:t>épuiser les voies de recours devant des organes non judiciaires pour satisfaire à la condition énoncée au paragraphe 2 b) de l</w:t>
      </w:r>
      <w:r w:rsidR="002E0B4C">
        <w:t>’</w:t>
      </w:r>
      <w:r w:rsidRPr="00793F60">
        <w:t>article 5 du Protocole facultatif</w:t>
      </w:r>
      <w:r w:rsidRPr="00793F60">
        <w:rPr>
          <w:rStyle w:val="Appelnotedebasdep"/>
        </w:rPr>
        <w:footnoteReference w:id="11"/>
      </w:r>
      <w:r w:rsidRPr="00793F60">
        <w:t xml:space="preserve">. La </w:t>
      </w:r>
      <w:r>
        <w:t>Commission</w:t>
      </w:r>
      <w:r w:rsidRPr="00793F60">
        <w:t xml:space="preserve"> est un organe non judiciaire, c</w:t>
      </w:r>
      <w:r w:rsidR="002E0B4C">
        <w:t>’</w:t>
      </w:r>
      <w:r w:rsidRPr="00793F60">
        <w:t xml:space="preserve">est pourquoi </w:t>
      </w:r>
      <w:proofErr w:type="spellStart"/>
      <w:r w:rsidRPr="00793F60">
        <w:t>Tikanath</w:t>
      </w:r>
      <w:proofErr w:type="spellEnd"/>
      <w:r w:rsidRPr="00793F60">
        <w:t xml:space="preserve"> </w:t>
      </w:r>
      <w:proofErr w:type="spellStart"/>
      <w:r w:rsidRPr="00793F60">
        <w:t>Kandel</w:t>
      </w:r>
      <w:proofErr w:type="spellEnd"/>
      <w:r w:rsidRPr="00793F60">
        <w:t xml:space="preserve"> et </w:t>
      </w:r>
      <w:proofErr w:type="spellStart"/>
      <w:r w:rsidRPr="00793F60">
        <w:t>Ramhari</w:t>
      </w:r>
      <w:proofErr w:type="spellEnd"/>
      <w:r w:rsidRPr="00793F60">
        <w:t xml:space="preserve"> </w:t>
      </w:r>
      <w:proofErr w:type="spellStart"/>
      <w:r w:rsidRPr="00793F60">
        <w:t>Kandel</w:t>
      </w:r>
      <w:proofErr w:type="spellEnd"/>
      <w:r w:rsidRPr="00793F60">
        <w:t xml:space="preserve"> ne sont pas tenus d</w:t>
      </w:r>
      <w:r w:rsidR="002E0B4C">
        <w:t>’</w:t>
      </w:r>
      <w:r w:rsidRPr="00793F60">
        <w:t>attendre que ce</w:t>
      </w:r>
      <w:r>
        <w:t>lle-ci</w:t>
      </w:r>
      <w:r w:rsidRPr="00793F60">
        <w:t xml:space="preserve"> commence à recueillir des informations, à enregistrer et à </w:t>
      </w:r>
      <w:r>
        <w:t>apprécier</w:t>
      </w:r>
      <w:r w:rsidRPr="00793F60">
        <w:t xml:space="preserve"> les cas et, par la suite, </w:t>
      </w:r>
      <w:r>
        <w:t>déterminer si elle</w:t>
      </w:r>
      <w:r w:rsidRPr="00793F60">
        <w:t xml:space="preserve"> les renvoie devant les autorités nationales pour enquête pénale.</w:t>
      </w:r>
    </w:p>
    <w:p w:rsidR="0036782F" w:rsidRPr="00793F60" w:rsidRDefault="0036782F" w:rsidP="0036782F">
      <w:pPr>
        <w:pStyle w:val="SingleTxtG"/>
      </w:pPr>
      <w:r w:rsidRPr="00793F60">
        <w:t>5.10</w:t>
      </w:r>
      <w:r w:rsidRPr="00793F60">
        <w:tab/>
        <w:t>S</w:t>
      </w:r>
      <w:r w:rsidR="002E0B4C">
        <w:t>’</w:t>
      </w:r>
      <w:r w:rsidRPr="00793F60">
        <w:t>agissant de l</w:t>
      </w:r>
      <w:r w:rsidR="002E0B4C">
        <w:t>’</w:t>
      </w:r>
      <w:r w:rsidRPr="00793F60">
        <w:t>affirmation de l</w:t>
      </w:r>
      <w:r w:rsidR="002E0B4C">
        <w:t>’</w:t>
      </w:r>
      <w:r w:rsidRPr="00793F60">
        <w:t>État partie selon laquelle le système de justice pénale</w:t>
      </w:r>
      <w:r>
        <w:t xml:space="preserve"> ordinaire</w:t>
      </w:r>
      <w:r w:rsidRPr="00793F60">
        <w:t xml:space="preserve"> n</w:t>
      </w:r>
      <w:r w:rsidR="002E0B4C">
        <w:t>’</w:t>
      </w:r>
      <w:r w:rsidRPr="00793F60">
        <w:t>est pas</w:t>
      </w:r>
      <w:r>
        <w:t xml:space="preserve"> efficace s</w:t>
      </w:r>
      <w:r w:rsidR="002E0B4C">
        <w:t>’</w:t>
      </w:r>
      <w:r>
        <w:t>agissant de</w:t>
      </w:r>
      <w:r w:rsidRPr="00793F60">
        <w:t xml:space="preserve"> rechercher la vérité </w:t>
      </w:r>
      <w:r>
        <w:t xml:space="preserve">concernant les </w:t>
      </w:r>
      <w:r w:rsidRPr="00793F60">
        <w:t>atteintes aux droits de l</w:t>
      </w:r>
      <w:r w:rsidR="002E0B4C">
        <w:t>’</w:t>
      </w:r>
      <w:r w:rsidRPr="00793F60">
        <w:t xml:space="preserve">homme commises pendant le conflit armé, </w:t>
      </w:r>
      <w:r>
        <w:t>en</w:t>
      </w:r>
      <w:r w:rsidRPr="00793F60">
        <w:t xml:space="preserve"> poursuivre les auteurs, assurer réparation et ré</w:t>
      </w:r>
      <w:r>
        <w:t>adaptation</w:t>
      </w:r>
      <w:r w:rsidRPr="00793F60">
        <w:t xml:space="preserve"> aux victimes, façonner la mémoire collective en vue de faciliter le processus de réconciliation et réformer les institutions pour qu</w:t>
      </w:r>
      <w:r w:rsidR="002E0B4C">
        <w:t>’</w:t>
      </w:r>
      <w:r w:rsidRPr="00793F60">
        <w:t>elles puissent mieux ré</w:t>
      </w:r>
      <w:r>
        <w:t>pondre à ce type d</w:t>
      </w:r>
      <w:r w:rsidR="002E0B4C">
        <w:t>’</w:t>
      </w:r>
      <w:r>
        <w:t>infractions</w:t>
      </w:r>
      <w:r w:rsidRPr="00793F60">
        <w:t>, les auteurs font observer qu</w:t>
      </w:r>
      <w:r w:rsidR="002E0B4C">
        <w:t>’</w:t>
      </w:r>
      <w:r>
        <w:t>en 2014,</w:t>
      </w:r>
      <w:r w:rsidRPr="00793F60">
        <w:t xml:space="preserve"> le Comité</w:t>
      </w:r>
      <w:r>
        <w:t xml:space="preserve"> des droits de l</w:t>
      </w:r>
      <w:r w:rsidR="002E0B4C">
        <w:t>’</w:t>
      </w:r>
      <w:r>
        <w:t>homme</w:t>
      </w:r>
      <w:r w:rsidRPr="00793F60">
        <w:t xml:space="preserve"> a </w:t>
      </w:r>
      <w:r>
        <w:t>souligné</w:t>
      </w:r>
      <w:r w:rsidRPr="00793F60">
        <w:t xml:space="preserve"> que la mise en place d</w:t>
      </w:r>
      <w:r w:rsidR="002E0B4C">
        <w:t>’</w:t>
      </w:r>
      <w:r w:rsidRPr="00793F60">
        <w:t>un mécanisme de justice transitionnelle ne saurait dispenser d</w:t>
      </w:r>
      <w:r w:rsidR="002E0B4C">
        <w:t>’</w:t>
      </w:r>
      <w:r>
        <w:t>engager des poursuites pénales pour</w:t>
      </w:r>
      <w:r w:rsidRPr="00793F60">
        <w:t xml:space="preserve"> les violations graves des droits de l</w:t>
      </w:r>
      <w:r w:rsidR="002E0B4C">
        <w:t>’</w:t>
      </w:r>
      <w:r w:rsidRPr="00793F60">
        <w:t>homme</w:t>
      </w:r>
      <w:r>
        <w:t xml:space="preserve"> </w:t>
      </w:r>
      <w:r w:rsidRPr="00F375B2">
        <w:t>(CCPR/C/NPL/CO/2, par.</w:t>
      </w:r>
      <w:r w:rsidR="001E4C37">
        <w:t> </w:t>
      </w:r>
      <w:r w:rsidRPr="00F375B2">
        <w:t>5 b))</w:t>
      </w:r>
      <w:r w:rsidRPr="00793F60">
        <w:t xml:space="preserve">. De plus, le Comité a précisé que, malgré leur </w:t>
      </w:r>
      <w:r w:rsidRPr="00793F60">
        <w:lastRenderedPageBreak/>
        <w:t xml:space="preserve">importance cruciale </w:t>
      </w:r>
      <w:r>
        <w:t>pour</w:t>
      </w:r>
      <w:r w:rsidRPr="00793F60">
        <w:t xml:space="preserve"> la réconciliation, les mécanismes de justice transitionnelle ne sauraient se substituer au système de justice pénale pour ce qui est de donner accès à la justice et d</w:t>
      </w:r>
      <w:r w:rsidR="002E0B4C">
        <w:t>’</w:t>
      </w:r>
      <w:r w:rsidRPr="00793F60">
        <w:t>accorder réparation aux victimes de graves atteintes aux droits de l</w:t>
      </w:r>
      <w:r w:rsidR="002E0B4C">
        <w:t>’</w:t>
      </w:r>
      <w:r w:rsidRPr="00793F60">
        <w:t>homme et à leurs proches.</w:t>
      </w:r>
    </w:p>
    <w:p w:rsidR="0036782F" w:rsidRPr="00793F60" w:rsidRDefault="0036782F" w:rsidP="0036782F">
      <w:pPr>
        <w:pStyle w:val="SingleTxtG"/>
      </w:pPr>
      <w:r w:rsidRPr="00793F60">
        <w:t>5.11</w:t>
      </w:r>
      <w:r w:rsidRPr="00793F60">
        <w:tab/>
        <w:t>À l</w:t>
      </w:r>
      <w:r w:rsidR="002E0B4C">
        <w:t>’</w:t>
      </w:r>
      <w:r w:rsidRPr="00793F60">
        <w:t>heure actuelle, les mécanismes de justice transitionnelle ne pourraient que recommander au Gouvernement népalais d</w:t>
      </w:r>
      <w:r w:rsidR="002E0B4C">
        <w:t>’</w:t>
      </w:r>
      <w:r w:rsidRPr="00793F60">
        <w:t xml:space="preserve">engager des poursuites, celui-ci </w:t>
      </w:r>
      <w:r>
        <w:t>étant</w:t>
      </w:r>
      <w:r w:rsidRPr="00793F60">
        <w:t xml:space="preserve">, </w:t>
      </w:r>
      <w:r>
        <w:t>par le truchement</w:t>
      </w:r>
      <w:r w:rsidRPr="00793F60">
        <w:t xml:space="preserve"> du Procureur général, l</w:t>
      </w:r>
      <w:r w:rsidR="002E0B4C">
        <w:t>’</w:t>
      </w:r>
      <w:r w:rsidRPr="00793F60">
        <w:t xml:space="preserve">autorité </w:t>
      </w:r>
      <w:r>
        <w:t>suprême en matière</w:t>
      </w:r>
      <w:r w:rsidRPr="00793F60">
        <w:t xml:space="preserve"> de poursuites pénales. Par conséquent, il n</w:t>
      </w:r>
      <w:r w:rsidR="002E0B4C">
        <w:t>’</w:t>
      </w:r>
      <w:r w:rsidRPr="00793F60">
        <w:t xml:space="preserve">y a aucune raison de renvoyer les auteurs aux mécanismes de justice transitionnelle, puisque ceux-ci ont uniquement le pouvoir de recommander au </w:t>
      </w:r>
      <w:r>
        <w:t xml:space="preserve">Bureau du </w:t>
      </w:r>
      <w:r w:rsidRPr="00793F60">
        <w:t>Procureur général d</w:t>
      </w:r>
      <w:r w:rsidR="002E0B4C">
        <w:t>’</w:t>
      </w:r>
      <w:r w:rsidRPr="00793F60">
        <w:t>engager des poursuites pénales. Le Procureur général est déjà tenu de diligenter une enquête indépendante, impartiale, approfondie et efficace sur les crimes commis à l</w:t>
      </w:r>
      <w:r w:rsidR="002E0B4C">
        <w:t>’</w:t>
      </w:r>
      <w:r w:rsidRPr="00793F60">
        <w:t>encontre d</w:t>
      </w:r>
      <w:r w:rsidR="002E0B4C">
        <w:t>’</w:t>
      </w:r>
      <w:proofErr w:type="spellStart"/>
      <w:r w:rsidRPr="00793F60">
        <w:t>Amrit</w:t>
      </w:r>
      <w:proofErr w:type="spellEnd"/>
      <w:r w:rsidRPr="00793F60">
        <w:t xml:space="preserve"> </w:t>
      </w:r>
      <w:proofErr w:type="spellStart"/>
      <w:r w:rsidRPr="00793F60">
        <w:t>Kandel</w:t>
      </w:r>
      <w:proofErr w:type="spellEnd"/>
      <w:r w:rsidRPr="00793F60">
        <w:t>. Cette obligation doit être honorée d</w:t>
      </w:r>
      <w:r w:rsidR="002E0B4C">
        <w:t>’</w:t>
      </w:r>
      <w:r w:rsidRPr="00793F60">
        <w:t>office, sans qu</w:t>
      </w:r>
      <w:r w:rsidR="002E0B4C">
        <w:t>’</w:t>
      </w:r>
      <w:r w:rsidRPr="00793F60">
        <w:t>il soit besoin de passer par les mécanismes de justice transitionnelle.</w:t>
      </w:r>
    </w:p>
    <w:p w:rsidR="0036782F" w:rsidRPr="00793F60" w:rsidRDefault="0036782F" w:rsidP="0036782F">
      <w:pPr>
        <w:pStyle w:val="SingleTxtG"/>
      </w:pPr>
      <w:r w:rsidRPr="00793F60">
        <w:t>5.12</w:t>
      </w:r>
      <w:r w:rsidRPr="00793F60">
        <w:tab/>
        <w:t xml:space="preserve">Enfin, les auteurs de la communication </w:t>
      </w:r>
      <w:r>
        <w:t>accueillent avec satisfaction l</w:t>
      </w:r>
      <w:r w:rsidR="002E0B4C">
        <w:t>’</w:t>
      </w:r>
      <w:r>
        <w:t>affirmation de l</w:t>
      </w:r>
      <w:r w:rsidR="002E0B4C">
        <w:t>’</w:t>
      </w:r>
      <w:r>
        <w:t xml:space="preserve">État parties selon laquelle un </w:t>
      </w:r>
      <w:r w:rsidRPr="00793F60">
        <w:t>projet de lo</w:t>
      </w:r>
      <w:r>
        <w:t xml:space="preserve">i </w:t>
      </w:r>
      <w:r w:rsidRPr="00793F60">
        <w:t xml:space="preserve">visant à </w:t>
      </w:r>
      <w:r>
        <w:t>incriminer</w:t>
      </w:r>
      <w:r w:rsidRPr="00793F60">
        <w:t xml:space="preserve"> la torture et </w:t>
      </w:r>
      <w:r>
        <w:t>un projet de loi visant</w:t>
      </w:r>
      <w:r w:rsidRPr="00793F60">
        <w:t xml:space="preserve"> à modifier le Code pénal en vue d</w:t>
      </w:r>
      <w:r w:rsidR="002E0B4C">
        <w:t>’</w:t>
      </w:r>
      <w:r>
        <w:t>incriminer</w:t>
      </w:r>
      <w:r w:rsidRPr="00793F60">
        <w:t xml:space="preserve"> la disparition forcée ont été présentés au Parlement. Cependant, ces projets n</w:t>
      </w:r>
      <w:r w:rsidR="002E0B4C">
        <w:t>’</w:t>
      </w:r>
      <w:r w:rsidRPr="00793F60">
        <w:t xml:space="preserve">ont pas encore été </w:t>
      </w:r>
      <w:r>
        <w:t>adoptés</w:t>
      </w:r>
      <w:r w:rsidRPr="00793F60">
        <w:t xml:space="preserve"> et n</w:t>
      </w:r>
      <w:r w:rsidR="002E0B4C">
        <w:t>’</w:t>
      </w:r>
      <w:r w:rsidRPr="00793F60">
        <w:t xml:space="preserve">ont donc pas force de loi. Même si ces </w:t>
      </w:r>
      <w:r>
        <w:t>projets de loi étaient adoptés</w:t>
      </w:r>
      <w:r w:rsidRPr="00793F60">
        <w:t xml:space="preserve">, </w:t>
      </w:r>
      <w:r>
        <w:t xml:space="preserve">ils </w:t>
      </w:r>
      <w:r w:rsidRPr="00793F60">
        <w:t>ne s</w:t>
      </w:r>
      <w:r w:rsidR="002E0B4C">
        <w:t>’</w:t>
      </w:r>
      <w:r w:rsidRPr="00793F60">
        <w:t>appliqueraient pas en l</w:t>
      </w:r>
      <w:r w:rsidR="002E0B4C">
        <w:t>’</w:t>
      </w:r>
      <w:r w:rsidRPr="00793F60">
        <w:t>espèce, puisque la disparition forcée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remonte à 2003.</w:t>
      </w:r>
    </w:p>
    <w:p w:rsidR="0036782F" w:rsidRPr="00793F60" w:rsidRDefault="0036782F" w:rsidP="0036782F">
      <w:pPr>
        <w:pStyle w:val="SingleTxtG"/>
      </w:pPr>
      <w:r w:rsidRPr="00793F60">
        <w:t>5.13</w:t>
      </w:r>
      <w:r w:rsidRPr="00793F60">
        <w:tab/>
        <w:t>Pour conclure, les auteurs insistent sur le fait qu</w:t>
      </w:r>
      <w:r w:rsidR="002E0B4C">
        <w:t>’</w:t>
      </w:r>
      <w:r w:rsidRPr="00793F60">
        <w:t>ils n</w:t>
      </w:r>
      <w:r w:rsidR="002E0B4C">
        <w:t>’</w:t>
      </w:r>
      <w:r w:rsidRPr="00793F60">
        <w:t>ont pas à saisir les mécanismes de justice transitionnelle pour satisfaire à l</w:t>
      </w:r>
      <w:r w:rsidR="002E0B4C">
        <w:t>’</w:t>
      </w:r>
      <w:r w:rsidRPr="00793F60">
        <w:t>exigence de l</w:t>
      </w:r>
      <w:r w:rsidR="002E0B4C">
        <w:t>’</w:t>
      </w:r>
      <w:r w:rsidRPr="00793F60">
        <w:t xml:space="preserve">épuisement des recours internes. Même si leur cas était traité par ces mécanismes de justice transitionnelle, les dispositions de la </w:t>
      </w:r>
      <w:r w:rsidRPr="00793F60">
        <w:rPr>
          <w:spacing w:val="-1"/>
        </w:rPr>
        <w:t>loi</w:t>
      </w:r>
      <w:r>
        <w:rPr>
          <w:spacing w:val="-1"/>
        </w:rPr>
        <w:t xml:space="preserve"> </w:t>
      </w:r>
      <w:r w:rsidR="001E4C37" w:rsidRPr="001E4C37">
        <w:rPr>
          <w:rFonts w:eastAsia="MS Mincho"/>
          <w:spacing w:val="-1"/>
          <w:szCs w:val="22"/>
        </w:rPr>
        <w:t>n</w:t>
      </w:r>
      <w:r w:rsidR="001E4C37" w:rsidRPr="001E4C37">
        <w:rPr>
          <w:rFonts w:eastAsia="MS Mincho"/>
          <w:spacing w:val="-1"/>
          <w:szCs w:val="22"/>
          <w:vertAlign w:val="superscript"/>
        </w:rPr>
        <w:t>o</w:t>
      </w:r>
      <w:r w:rsidR="001E4C37">
        <w:rPr>
          <w:spacing w:val="-1"/>
        </w:rPr>
        <w:t> </w:t>
      </w:r>
      <w:r>
        <w:rPr>
          <w:spacing w:val="-1"/>
        </w:rPr>
        <w:t xml:space="preserve">2071 </w:t>
      </w:r>
      <w:r w:rsidRPr="00793F60">
        <w:rPr>
          <w:spacing w:val="-1"/>
          <w:shd w:val="clear" w:color="auto" w:fill="FFFFFF"/>
        </w:rPr>
        <w:t xml:space="preserve">relative à la </w:t>
      </w:r>
      <w:r>
        <w:rPr>
          <w:spacing w:val="-1"/>
          <w:shd w:val="clear" w:color="auto" w:fill="FFFFFF"/>
        </w:rPr>
        <w:t>Commission d</w:t>
      </w:r>
      <w:r w:rsidR="002E0B4C">
        <w:rPr>
          <w:spacing w:val="-1"/>
          <w:shd w:val="clear" w:color="auto" w:fill="FFFFFF"/>
        </w:rPr>
        <w:t>’</w:t>
      </w:r>
      <w:r>
        <w:rPr>
          <w:spacing w:val="-1"/>
          <w:shd w:val="clear" w:color="auto" w:fill="FFFFFF"/>
        </w:rPr>
        <w:t>enquête sur les personnes victimes de disparition forcée</w:t>
      </w:r>
      <w:r w:rsidRPr="00793F60">
        <w:rPr>
          <w:spacing w:val="-1"/>
          <w:shd w:val="clear" w:color="auto" w:fill="FFFFFF"/>
        </w:rPr>
        <w:t>, la vérité et la réconciliation</w:t>
      </w:r>
      <w:r w:rsidR="001E4C37">
        <w:rPr>
          <w:spacing w:val="-1"/>
          <w:shd w:val="clear" w:color="auto" w:fill="FFFFFF"/>
        </w:rPr>
        <w:t xml:space="preserve"> (2014)</w:t>
      </w:r>
      <w:r>
        <w:rPr>
          <w:spacing w:val="-1"/>
        </w:rPr>
        <w:t xml:space="preserve"> </w:t>
      </w:r>
      <w:r w:rsidR="008F11B1">
        <w:t>n</w:t>
      </w:r>
      <w:r w:rsidRPr="00793F60">
        <w:t xml:space="preserve">e sont pas conformes aux normes internationales, la loi ne </w:t>
      </w:r>
      <w:r>
        <w:t>garantissant</w:t>
      </w:r>
      <w:r w:rsidRPr="00793F60">
        <w:t xml:space="preserve"> pas le droit </w:t>
      </w:r>
      <w:r>
        <w:t>d</w:t>
      </w:r>
      <w:r w:rsidR="002E0B4C">
        <w:t>’</w:t>
      </w:r>
      <w:r>
        <w:t xml:space="preserve">obtenir </w:t>
      </w:r>
      <w:r w:rsidRPr="00793F60">
        <w:t>réparation</w:t>
      </w:r>
      <w:r>
        <w:t xml:space="preserve"> et ne prévoyant pas des</w:t>
      </w:r>
      <w:r w:rsidRPr="00793F60">
        <w:t xml:space="preserve"> garanties de non-répétition, que ce soit au moyen de mesures législatives ou de mesures de satisfaction. Les auteurs considèrent donc que les recours offerts par la </w:t>
      </w:r>
      <w:r w:rsidRPr="00793F60">
        <w:rPr>
          <w:spacing w:val="-1"/>
        </w:rPr>
        <w:t>loi</w:t>
      </w:r>
      <w:r>
        <w:rPr>
          <w:spacing w:val="-1"/>
        </w:rPr>
        <w:t xml:space="preserve"> </w:t>
      </w:r>
      <w:r w:rsidR="008F11B1" w:rsidRPr="008F11B1">
        <w:rPr>
          <w:rFonts w:eastAsia="MS Mincho"/>
          <w:spacing w:val="-1"/>
          <w:szCs w:val="22"/>
        </w:rPr>
        <w:t>n</w:t>
      </w:r>
      <w:r w:rsidR="008F11B1" w:rsidRPr="008F11B1">
        <w:rPr>
          <w:rFonts w:eastAsia="MS Mincho"/>
          <w:spacing w:val="-1"/>
          <w:szCs w:val="22"/>
          <w:vertAlign w:val="superscript"/>
        </w:rPr>
        <w:t>o</w:t>
      </w:r>
      <w:r w:rsidR="008F11B1">
        <w:rPr>
          <w:spacing w:val="-1"/>
        </w:rPr>
        <w:t> </w:t>
      </w:r>
      <w:r>
        <w:rPr>
          <w:spacing w:val="-1"/>
        </w:rPr>
        <w:t xml:space="preserve">2071 </w:t>
      </w:r>
      <w:r w:rsidRPr="00793F60">
        <w:rPr>
          <w:spacing w:val="-1"/>
          <w:shd w:val="clear" w:color="auto" w:fill="FFFFFF"/>
        </w:rPr>
        <w:t xml:space="preserve">relative à la </w:t>
      </w:r>
      <w:r>
        <w:rPr>
          <w:spacing w:val="-1"/>
          <w:shd w:val="clear" w:color="auto" w:fill="FFFFFF"/>
        </w:rPr>
        <w:t>Commission d</w:t>
      </w:r>
      <w:r w:rsidR="002E0B4C">
        <w:rPr>
          <w:spacing w:val="-1"/>
          <w:shd w:val="clear" w:color="auto" w:fill="FFFFFF"/>
        </w:rPr>
        <w:t>’</w:t>
      </w:r>
      <w:r>
        <w:rPr>
          <w:spacing w:val="-1"/>
          <w:shd w:val="clear" w:color="auto" w:fill="FFFFFF"/>
        </w:rPr>
        <w:t>enquête sur les personnes victimes de disparition forcée</w:t>
      </w:r>
      <w:r w:rsidRPr="00793F60">
        <w:rPr>
          <w:spacing w:val="-1"/>
          <w:shd w:val="clear" w:color="auto" w:fill="FFFFFF"/>
        </w:rPr>
        <w:t>, la vérité et la réconciliation</w:t>
      </w:r>
      <w:r>
        <w:rPr>
          <w:spacing w:val="-1"/>
        </w:rPr>
        <w:t xml:space="preserve"> </w:t>
      </w:r>
      <w:r>
        <w:t>en matière</w:t>
      </w:r>
      <w:r w:rsidRPr="00793F60">
        <w:t xml:space="preserve"> de réparation ne sauraient être considérés comme </w:t>
      </w:r>
      <w:r>
        <w:t>utiles</w:t>
      </w:r>
      <w:r w:rsidRPr="00793F60">
        <w:t xml:space="preserve"> en ce qui les concerne. Ils soulignent qu</w:t>
      </w:r>
      <w:r w:rsidR="002E0B4C">
        <w:t>’</w:t>
      </w:r>
      <w:r w:rsidRPr="00793F60">
        <w:t>en cas de violations flagrantes des droits de l</w:t>
      </w:r>
      <w:r w:rsidR="002E0B4C">
        <w:t>’</w:t>
      </w:r>
      <w:r w:rsidRPr="00793F60">
        <w:t>homme comme celles qu</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et eux-mêmes ont subies, ils devraient avoir droit à une réparation intégrale</w:t>
      </w:r>
      <w:r>
        <w:t xml:space="preserve"> pour le</w:t>
      </w:r>
      <w:r w:rsidRPr="00793F60">
        <w:t xml:space="preserve"> préjudice souffert,</w:t>
      </w:r>
      <w:r>
        <w:t xml:space="preserve"> </w:t>
      </w:r>
      <w:r w:rsidRPr="00793F60">
        <w:t xml:space="preserve">conformément aux </w:t>
      </w:r>
      <w:r w:rsidRPr="00793F60">
        <w:rPr>
          <w:shd w:val="clear" w:color="auto" w:fill="FFFFFF"/>
        </w:rPr>
        <w:t>Principes fondamentaux et directives concernant le droit à un recours et à réparation des victimes de violations flagrantes du droit international des droits de l</w:t>
      </w:r>
      <w:r w:rsidR="002E0B4C">
        <w:rPr>
          <w:shd w:val="clear" w:color="auto" w:fill="FFFFFF"/>
        </w:rPr>
        <w:t>’</w:t>
      </w:r>
      <w:r w:rsidRPr="00793F60">
        <w:rPr>
          <w:shd w:val="clear" w:color="auto" w:fill="FFFFFF"/>
        </w:rPr>
        <w:t>homme et de violations graves du droit international humanitaire</w:t>
      </w:r>
      <w:r w:rsidRPr="00793F60">
        <w:t>. En particulier, ils prient le Comité</w:t>
      </w:r>
      <w:r>
        <w:t xml:space="preserve"> des droits de l</w:t>
      </w:r>
      <w:r w:rsidR="002E0B4C">
        <w:t>’</w:t>
      </w:r>
      <w:r>
        <w:t>homme</w:t>
      </w:r>
      <w:r w:rsidRPr="00793F60">
        <w:t xml:space="preserve"> d</w:t>
      </w:r>
      <w:r w:rsidR="002E0B4C">
        <w:t>’</w:t>
      </w:r>
      <w:r w:rsidRPr="00793F60">
        <w:t xml:space="preserve">énoncer les mesures de réparation auxquelles </w:t>
      </w:r>
      <w:r w:rsidRPr="002B2359">
        <w:t xml:space="preserve">ils </w:t>
      </w:r>
      <w:r w:rsidRPr="000C53C7">
        <w:t>ont droit.</w:t>
      </w:r>
    </w:p>
    <w:p w:rsidR="0036782F" w:rsidRPr="00793F60" w:rsidRDefault="0036782F" w:rsidP="0036782F">
      <w:pPr>
        <w:pStyle w:val="H23G"/>
      </w:pPr>
      <w:r w:rsidRPr="00793F60">
        <w:tab/>
      </w:r>
      <w:r w:rsidRPr="00793F60">
        <w:tab/>
        <w:t>Délibérations du Comité</w:t>
      </w:r>
    </w:p>
    <w:p w:rsidR="0036782F" w:rsidRPr="00793F60" w:rsidRDefault="0036782F" w:rsidP="0036782F">
      <w:pPr>
        <w:pStyle w:val="H4G"/>
      </w:pPr>
      <w:r w:rsidRPr="00793F60">
        <w:tab/>
      </w:r>
      <w:r w:rsidRPr="00793F60">
        <w:tab/>
        <w:t>Examen de la recevabilité</w:t>
      </w:r>
    </w:p>
    <w:p w:rsidR="0036782F" w:rsidRPr="00793F60" w:rsidRDefault="0036782F" w:rsidP="0036782F">
      <w:pPr>
        <w:pStyle w:val="SingleTxtG"/>
      </w:pPr>
      <w:r w:rsidRPr="00793F60">
        <w:t>6.1</w:t>
      </w:r>
      <w:r w:rsidRPr="00793F60">
        <w:tab/>
      </w:r>
      <w:r w:rsidRPr="00793F60">
        <w:rPr>
          <w:shd w:val="clear" w:color="auto" w:fill="FFFFFF"/>
        </w:rPr>
        <w:t>Avant d</w:t>
      </w:r>
      <w:r w:rsidR="002E0B4C">
        <w:rPr>
          <w:shd w:val="clear" w:color="auto" w:fill="FFFFFF"/>
        </w:rPr>
        <w:t>’</w:t>
      </w:r>
      <w:r w:rsidRPr="00793F60">
        <w:rPr>
          <w:shd w:val="clear" w:color="auto" w:fill="FFFFFF"/>
        </w:rPr>
        <w:t>examiner tout grief formulé dans une communication, le Comité doit, conformément à l</w:t>
      </w:r>
      <w:r w:rsidR="002E0B4C">
        <w:rPr>
          <w:shd w:val="clear" w:color="auto" w:fill="FFFFFF"/>
        </w:rPr>
        <w:t>’</w:t>
      </w:r>
      <w:r w:rsidRPr="00793F60">
        <w:rPr>
          <w:shd w:val="clear" w:color="auto" w:fill="FFFFFF"/>
        </w:rPr>
        <w:t>article 97 de son règlement intérieur, déterminer si la communication est recevable au regard du Protocole facultatif se rapportant au Pacte.</w:t>
      </w:r>
    </w:p>
    <w:p w:rsidR="0036782F" w:rsidRPr="00793F60" w:rsidRDefault="0036782F" w:rsidP="0036782F">
      <w:pPr>
        <w:pStyle w:val="SingleTxtG"/>
      </w:pPr>
      <w:r w:rsidRPr="00793F60">
        <w:t>6.2</w:t>
      </w:r>
      <w:r w:rsidRPr="00793F60">
        <w:tab/>
      </w:r>
      <w:r w:rsidRPr="008F11B1">
        <w:rPr>
          <w:spacing w:val="-2"/>
          <w:shd w:val="clear" w:color="auto" w:fill="FFFFFF"/>
        </w:rPr>
        <w:t xml:space="preserve">Le Comité </w:t>
      </w:r>
      <w:r w:rsidRPr="008F11B1">
        <w:rPr>
          <w:spacing w:val="-2"/>
        </w:rPr>
        <w:t>s</w:t>
      </w:r>
      <w:r w:rsidR="002E0B4C" w:rsidRPr="008F11B1">
        <w:rPr>
          <w:spacing w:val="-2"/>
        </w:rPr>
        <w:t>’</w:t>
      </w:r>
      <w:r w:rsidRPr="008F11B1">
        <w:rPr>
          <w:spacing w:val="-2"/>
        </w:rPr>
        <w:t>est assuré, comme il est tenu de le faire conformément au paragraphe</w:t>
      </w:r>
      <w:r>
        <w:t xml:space="preserve"> 2 a) de l</w:t>
      </w:r>
      <w:r w:rsidR="002E0B4C">
        <w:t>’</w:t>
      </w:r>
      <w:r>
        <w:t>article 5 du Protocole facultatif, que la même question n</w:t>
      </w:r>
      <w:r w:rsidR="002E0B4C">
        <w:t>’</w:t>
      </w:r>
      <w:r>
        <w:t>était pas déjà en cours d</w:t>
      </w:r>
      <w:r w:rsidR="002E0B4C">
        <w:t>’</w:t>
      </w:r>
      <w:r>
        <w:t>examen devant une autre instance internationale d</w:t>
      </w:r>
      <w:r w:rsidR="002E0B4C">
        <w:t>’</w:t>
      </w:r>
      <w:r>
        <w:t>enquête ou de règlement.</w:t>
      </w:r>
    </w:p>
    <w:p w:rsidR="0036782F" w:rsidRPr="00793F60" w:rsidRDefault="0036782F" w:rsidP="0036782F">
      <w:pPr>
        <w:pStyle w:val="SingleTxtG"/>
      </w:pPr>
      <w:r w:rsidRPr="00793F60">
        <w:t>6.3</w:t>
      </w:r>
      <w:r w:rsidRPr="00793F60">
        <w:tab/>
        <w:t>Concernant la règle de l</w:t>
      </w:r>
      <w:r w:rsidR="002E0B4C">
        <w:t>’</w:t>
      </w:r>
      <w:r w:rsidRPr="00793F60">
        <w:t xml:space="preserve">épuisement des recours internes, le Comité prend note de </w:t>
      </w:r>
      <w:r>
        <w:t>l</w:t>
      </w:r>
      <w:r w:rsidR="002E0B4C">
        <w:t>’</w:t>
      </w:r>
      <w:r w:rsidRPr="00793F60">
        <w:t>argument de l</w:t>
      </w:r>
      <w:r w:rsidR="002E0B4C">
        <w:t>’</w:t>
      </w:r>
      <w:r w:rsidRPr="00793F60">
        <w:t>État partie</w:t>
      </w:r>
      <w:r>
        <w:t xml:space="preserve"> selon</w:t>
      </w:r>
      <w:r w:rsidRPr="00793F60">
        <w:t xml:space="preserve"> </w:t>
      </w:r>
      <w:r w:rsidR="008F11B1">
        <w:t xml:space="preserve">lequel </w:t>
      </w:r>
      <w:r w:rsidRPr="00793F60">
        <w:t>les auteurs auraient dû porter l</w:t>
      </w:r>
      <w:r w:rsidR="002E0B4C">
        <w:t>’</w:t>
      </w:r>
      <w:r w:rsidRPr="00793F60">
        <w:t xml:space="preserve">affaire devant la </w:t>
      </w:r>
      <w:r>
        <w:t>Commission d</w:t>
      </w:r>
      <w:r w:rsidR="002E0B4C">
        <w:t>’</w:t>
      </w:r>
      <w:r>
        <w:t xml:space="preserve">enquête sur les personnes victimes de disparition forcée </w:t>
      </w:r>
      <w:r w:rsidRPr="00793F60">
        <w:t>dans le cadre d</w:t>
      </w:r>
      <w:r>
        <w:t>u</w:t>
      </w:r>
      <w:r w:rsidRPr="00793F60">
        <w:t xml:space="preserve"> </w:t>
      </w:r>
      <w:r>
        <w:t>processus</w:t>
      </w:r>
      <w:r w:rsidRPr="00793F60">
        <w:t xml:space="preserve"> de justice transitionnelle, afin de demander réparation </w:t>
      </w:r>
      <w:r>
        <w:t>pour les</w:t>
      </w:r>
      <w:r w:rsidRPr="00793F60">
        <w:t xml:space="preserve"> violations commises pendant le conflit armé. Le Comité </w:t>
      </w:r>
      <w:r>
        <w:t xml:space="preserve">prend </w:t>
      </w:r>
      <w:r w:rsidRPr="00793F60">
        <w:t xml:space="preserve">note </w:t>
      </w:r>
      <w:r>
        <w:t>de</w:t>
      </w:r>
      <w:r w:rsidRPr="00793F60">
        <w:t xml:space="preserve"> </w:t>
      </w:r>
      <w:r>
        <w:t>l</w:t>
      </w:r>
      <w:r w:rsidR="002E0B4C">
        <w:t>’</w:t>
      </w:r>
      <w:r w:rsidRPr="00793F60">
        <w:t>argument des auteurs selon lesquels, le 1</w:t>
      </w:r>
      <w:r w:rsidRPr="00793F60">
        <w:rPr>
          <w:vertAlign w:val="superscript"/>
        </w:rPr>
        <w:t>er</w:t>
      </w:r>
      <w:r w:rsidRPr="00793F60">
        <w:t> juin 2007,</w:t>
      </w:r>
      <w:r w:rsidR="008F11B1">
        <w:t xml:space="preserve"> </w:t>
      </w:r>
      <w:r w:rsidRPr="00793F60">
        <w:t xml:space="preserve">la Cour suprême du Népal a </w:t>
      </w:r>
      <w:r>
        <w:t xml:space="preserve">rendu un arrêt fondé sur son </w:t>
      </w:r>
      <w:r w:rsidRPr="00793F60">
        <w:t>exam</w:t>
      </w:r>
      <w:r>
        <w:t>en</w:t>
      </w:r>
      <w:r w:rsidRPr="00793F60">
        <w:t xml:space="preserve"> </w:t>
      </w:r>
      <w:r>
        <w:t>d</w:t>
      </w:r>
      <w:r w:rsidR="002E0B4C">
        <w:t>’</w:t>
      </w:r>
      <w:r>
        <w:t>une action introduite</w:t>
      </w:r>
      <w:r w:rsidRPr="00793F60">
        <w:t xml:space="preserve"> au nom de 34 personnes disparues, dont </w:t>
      </w:r>
      <w:proofErr w:type="spellStart"/>
      <w:r w:rsidRPr="00793F60">
        <w:t>Amrit</w:t>
      </w:r>
      <w:proofErr w:type="spellEnd"/>
      <w:r w:rsidRPr="00793F60">
        <w:t xml:space="preserve"> </w:t>
      </w:r>
      <w:proofErr w:type="spellStart"/>
      <w:r w:rsidRPr="00793F60">
        <w:t>Kandel</w:t>
      </w:r>
      <w:proofErr w:type="spellEnd"/>
      <w:r w:rsidRPr="00793F60">
        <w:t>, et a ordonné au Gouvernement d</w:t>
      </w:r>
      <w:r w:rsidR="002E0B4C">
        <w:t>’</w:t>
      </w:r>
      <w:r>
        <w:t>enquêter</w:t>
      </w:r>
      <w:r w:rsidRPr="00793F60">
        <w:t xml:space="preserve"> sur le sort des disparus. Il note </w:t>
      </w:r>
      <w:r>
        <w:t>en outre</w:t>
      </w:r>
      <w:r w:rsidRPr="00793F60">
        <w:t xml:space="preserve"> que les auteurs indiquent</w:t>
      </w:r>
      <w:r w:rsidR="000D7134">
        <w:t xml:space="preserve"> </w:t>
      </w:r>
      <w:r w:rsidRPr="00793F60">
        <w:t>que la famille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a reçu une indemnisation financière en 2009 et 2011, ce qui constituait une reconnaissance indirecte de la disparition forcée d</w:t>
      </w:r>
      <w:r w:rsidR="002E0B4C">
        <w:t>’</w:t>
      </w:r>
      <w:proofErr w:type="spellStart"/>
      <w:r w:rsidRPr="00793F60">
        <w:t>Amrit</w:t>
      </w:r>
      <w:proofErr w:type="spellEnd"/>
      <w:r w:rsidRPr="00793F60">
        <w:t xml:space="preserve"> </w:t>
      </w:r>
      <w:proofErr w:type="spellStart"/>
      <w:r w:rsidRPr="00793F60">
        <w:lastRenderedPageBreak/>
        <w:t>Kandel</w:t>
      </w:r>
      <w:proofErr w:type="spellEnd"/>
      <w:r w:rsidRPr="00793F60">
        <w:t> ; que les mécanismes de justice transitionnelle n</w:t>
      </w:r>
      <w:r w:rsidR="002E0B4C">
        <w:t>’</w:t>
      </w:r>
      <w:r w:rsidRPr="00793F60">
        <w:t>ont été créés qu</w:t>
      </w:r>
      <w:r w:rsidR="002E0B4C">
        <w:t>’</w:t>
      </w:r>
      <w:r w:rsidRPr="00793F60">
        <w:t>en 2015</w:t>
      </w:r>
      <w:r>
        <w:t xml:space="preserve">, </w:t>
      </w:r>
      <w:r w:rsidRPr="00793F60">
        <w:t>que leurs enquêtes</w:t>
      </w:r>
      <w:r>
        <w:t xml:space="preserve"> progressent à un rythme lent et</w:t>
      </w:r>
      <w:r w:rsidRPr="00793F60">
        <w:t xml:space="preserve"> qu</w:t>
      </w:r>
      <w:r w:rsidR="002E0B4C">
        <w:t>’</w:t>
      </w:r>
      <w:r w:rsidRPr="00793F60">
        <w:t>il n</w:t>
      </w:r>
      <w:r w:rsidR="002E0B4C">
        <w:t>’</w:t>
      </w:r>
      <w:r w:rsidRPr="00793F60">
        <w:t>est pas nécessaire qu</w:t>
      </w:r>
      <w:r w:rsidR="002E0B4C">
        <w:t>’</w:t>
      </w:r>
      <w:r w:rsidRPr="00793F60">
        <w:t>ils s</w:t>
      </w:r>
      <w:r w:rsidR="002E0B4C">
        <w:t>’</w:t>
      </w:r>
      <w:r w:rsidRPr="00793F60">
        <w:t xml:space="preserve">adressent à la </w:t>
      </w:r>
      <w:r>
        <w:t>Commission d</w:t>
      </w:r>
      <w:r w:rsidR="002E0B4C">
        <w:t>’</w:t>
      </w:r>
      <w:r>
        <w:t xml:space="preserve">enquête sur les personnes victimes de disparition forcée, </w:t>
      </w:r>
      <w:r w:rsidRPr="00793F60">
        <w:t>qui est un organe non judiciaire, eu égard à l</w:t>
      </w:r>
      <w:r w:rsidR="002E0B4C">
        <w:t>’</w:t>
      </w:r>
      <w:r w:rsidRPr="00793F60">
        <w:t>obligation du Procureur général de procéder d</w:t>
      </w:r>
      <w:r w:rsidR="002E0B4C">
        <w:t>’</w:t>
      </w:r>
      <w:r w:rsidRPr="00793F60">
        <w:t>office à une enquête efficace. De plus, l</w:t>
      </w:r>
      <w:r w:rsidR="002E0B4C">
        <w:t>’</w:t>
      </w:r>
      <w:r w:rsidRPr="00793F60">
        <w:t>État partie n</w:t>
      </w:r>
      <w:r w:rsidR="002E0B4C">
        <w:t>’</w:t>
      </w:r>
      <w:r w:rsidRPr="00793F60">
        <w:t>a pris aucune mesure concrète pour enquêter sur l</w:t>
      </w:r>
      <w:r w:rsidR="002E0B4C">
        <w:t>’</w:t>
      </w:r>
      <w:r w:rsidRPr="00793F60">
        <w:t xml:space="preserve">endroit où se trouve </w:t>
      </w:r>
      <w:proofErr w:type="spellStart"/>
      <w:r w:rsidRPr="00793F60">
        <w:t>Amrit</w:t>
      </w:r>
      <w:proofErr w:type="spellEnd"/>
      <w:r w:rsidRPr="00793F60">
        <w:t xml:space="preserve"> </w:t>
      </w:r>
      <w:proofErr w:type="spellStart"/>
      <w:r w:rsidRPr="00793F60">
        <w:t>Kandel</w:t>
      </w:r>
      <w:proofErr w:type="spellEnd"/>
      <w:r w:rsidRPr="00793F60">
        <w:t xml:space="preserve"> ou pour traduire les responsables en justice depuis que les autorités ont été informées de la disparition, et ce, malgré les instructions de la Cour suprême. L</w:t>
      </w:r>
      <w:r w:rsidR="002E0B4C">
        <w:t>’</w:t>
      </w:r>
      <w:r w:rsidRPr="00793F60">
        <w:t>État partie a au contraire admis qu</w:t>
      </w:r>
      <w:r w:rsidR="002E0B4C">
        <w:t>’</w:t>
      </w:r>
      <w:r w:rsidRPr="00793F60">
        <w:t>il ne savait toujours rien du sort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ni </w:t>
      </w:r>
      <w:r>
        <w:t xml:space="preserve">de </w:t>
      </w:r>
      <w:r w:rsidRPr="00793F60">
        <w:t>l</w:t>
      </w:r>
      <w:r w:rsidR="002E0B4C">
        <w:t>’</w:t>
      </w:r>
      <w:r w:rsidRPr="00793F60">
        <w:t xml:space="preserve">endroit où il se trouve. </w:t>
      </w:r>
      <w:r>
        <w:t>Le Comité</w:t>
      </w:r>
      <w:r w:rsidRPr="00793F60">
        <w:t xml:space="preserve"> considère que, dans les circonstances de l</w:t>
      </w:r>
      <w:r w:rsidR="002E0B4C">
        <w:t>’</w:t>
      </w:r>
      <w:r w:rsidRPr="00793F60">
        <w:t>espèce, les auteurs ont épuisé tous les recours internes disponibles et que les dispositions du paragraphe 2 b) de l</w:t>
      </w:r>
      <w:r w:rsidR="002E0B4C">
        <w:t>’</w:t>
      </w:r>
      <w:r w:rsidRPr="00793F60">
        <w:t>article 5 du Protocole facultatif ne font pas obstacle à l</w:t>
      </w:r>
      <w:r w:rsidR="002E0B4C">
        <w:t>’</w:t>
      </w:r>
      <w:r w:rsidRPr="00793F60">
        <w:t>examen de la communication</w:t>
      </w:r>
      <w:r>
        <w:t xml:space="preserve">. En outre, il rappelle que les voies de recours </w:t>
      </w:r>
      <w:r w:rsidRPr="00793F60">
        <w:t>devant des organes non judiciaires ne doivent pas être épuisées pour satisfaire à la condition énoncée par cet article</w:t>
      </w:r>
      <w:r>
        <w:t>, en particulier lorsque les mécanismes de justice transitionnelle, qui ont pour vocation de renforcer le système de justice ordinaire, ne sont pas efficaces pour ce qui est des affaires de disparition forcée, comme c</w:t>
      </w:r>
      <w:r w:rsidR="002E0B4C">
        <w:t>’</w:t>
      </w:r>
      <w:r>
        <w:t>est le cas en l</w:t>
      </w:r>
      <w:r w:rsidR="002E0B4C">
        <w:t>’</w:t>
      </w:r>
      <w:r>
        <w:t>espèce.</w:t>
      </w:r>
    </w:p>
    <w:p w:rsidR="0036782F" w:rsidRPr="00793F60" w:rsidRDefault="0036782F" w:rsidP="0036782F">
      <w:pPr>
        <w:pStyle w:val="SingleTxtG"/>
      </w:pPr>
      <w:r w:rsidRPr="00793F60">
        <w:t>6.4</w:t>
      </w:r>
      <w:r w:rsidRPr="00793F60">
        <w:tab/>
      </w:r>
      <w:r>
        <w:t xml:space="preserve">Toutes les conditions de recevabilité ayant été remplies, </w:t>
      </w:r>
      <w:r w:rsidRPr="00793F60">
        <w:t xml:space="preserve">le Comité </w:t>
      </w:r>
      <w:r>
        <w:t>déclare</w:t>
      </w:r>
      <w:r w:rsidRPr="00793F60">
        <w:t xml:space="preserve"> la communication recevable et procède à l</w:t>
      </w:r>
      <w:r w:rsidR="002E0B4C">
        <w:t>’</w:t>
      </w:r>
      <w:r w:rsidRPr="00793F60">
        <w:t>examen quant au fond des griefs relatifs à la violation du paragraphe 1 de l</w:t>
      </w:r>
      <w:r w:rsidR="002E0B4C">
        <w:t>’</w:t>
      </w:r>
      <w:r w:rsidRPr="00793F60">
        <w:t>article 6 et des articles 7, 9, 10 et 16, lus seuls et conjointement avec le paragraphe 3 de l</w:t>
      </w:r>
      <w:r w:rsidR="002E0B4C">
        <w:t>’</w:t>
      </w:r>
      <w:r w:rsidRPr="00793F60">
        <w:t>article 2 du Pacte, pour ce qui est d</w:t>
      </w:r>
      <w:r w:rsidR="002E0B4C">
        <w:t>’</w:t>
      </w:r>
      <w:proofErr w:type="spellStart"/>
      <w:r w:rsidRPr="00793F60">
        <w:t>Amrit</w:t>
      </w:r>
      <w:proofErr w:type="spellEnd"/>
      <w:r w:rsidRPr="00793F60">
        <w:t xml:space="preserve"> </w:t>
      </w:r>
      <w:proofErr w:type="spellStart"/>
      <w:r w:rsidRPr="00793F60">
        <w:t>Kandel</w:t>
      </w:r>
      <w:proofErr w:type="spellEnd"/>
      <w:r w:rsidRPr="00793F60">
        <w:t>, ainsi que les griefs relatifs à la violation de l</w:t>
      </w:r>
      <w:r w:rsidR="002E0B4C">
        <w:t>’</w:t>
      </w:r>
      <w:r w:rsidRPr="00793F60">
        <w:t>article 7, lu seul et conjointement avec le paragraphe 3 de l</w:t>
      </w:r>
      <w:r w:rsidR="002E0B4C">
        <w:t>’</w:t>
      </w:r>
      <w:r w:rsidRPr="00793F60">
        <w:t xml:space="preserve">article 2, pour ce qui est de </w:t>
      </w:r>
      <w:proofErr w:type="spellStart"/>
      <w:r w:rsidRPr="00793F60">
        <w:t>Tikanath</w:t>
      </w:r>
      <w:proofErr w:type="spellEnd"/>
      <w:r w:rsidRPr="00793F60">
        <w:t xml:space="preserve"> </w:t>
      </w:r>
      <w:proofErr w:type="spellStart"/>
      <w:r w:rsidRPr="00793F60">
        <w:t>Kandel</w:t>
      </w:r>
      <w:proofErr w:type="spellEnd"/>
      <w:r w:rsidRPr="00793F60">
        <w:t xml:space="preserve"> et </w:t>
      </w:r>
      <w:proofErr w:type="spellStart"/>
      <w:r w:rsidRPr="00793F60">
        <w:t>Ramhari</w:t>
      </w:r>
      <w:proofErr w:type="spellEnd"/>
      <w:r w:rsidRPr="00793F60">
        <w:t xml:space="preserve"> </w:t>
      </w:r>
      <w:proofErr w:type="spellStart"/>
      <w:r w:rsidRPr="00793F60">
        <w:t>Kandel</w:t>
      </w:r>
      <w:proofErr w:type="spellEnd"/>
      <w:r w:rsidRPr="00793F60">
        <w:t xml:space="preserve">. </w:t>
      </w:r>
    </w:p>
    <w:p w:rsidR="0036782F" w:rsidRPr="00793F60" w:rsidRDefault="0036782F" w:rsidP="0036782F">
      <w:pPr>
        <w:pStyle w:val="H4G"/>
      </w:pPr>
      <w:r w:rsidRPr="00793F60">
        <w:tab/>
      </w:r>
      <w:r w:rsidRPr="00793F60">
        <w:tab/>
        <w:t>Examen au fond</w:t>
      </w:r>
    </w:p>
    <w:p w:rsidR="0036782F" w:rsidRPr="00793F60" w:rsidRDefault="0036782F" w:rsidP="0036782F">
      <w:pPr>
        <w:pStyle w:val="SingleTxtG"/>
      </w:pPr>
      <w:r w:rsidRPr="00793F60">
        <w:t>7.1</w:t>
      </w:r>
      <w:r w:rsidRPr="00793F60">
        <w:tab/>
        <w:t>Conformément au paragraphe 1 de l</w:t>
      </w:r>
      <w:r w:rsidR="002E0B4C">
        <w:t>’</w:t>
      </w:r>
      <w:r w:rsidRPr="00793F60">
        <w:t>article 5 du Protocole facultatif, le Comité a examiné la présente communication en tenant compte de toutes les informations que lui ont communiquées les parties.</w:t>
      </w:r>
    </w:p>
    <w:p w:rsidR="0036782F" w:rsidRPr="00793F60" w:rsidRDefault="0036782F" w:rsidP="0036782F">
      <w:pPr>
        <w:pStyle w:val="SingleTxtG"/>
      </w:pPr>
      <w:r w:rsidRPr="00793F60">
        <w:t>7.2</w:t>
      </w:r>
      <w:r w:rsidRPr="00793F60">
        <w:tab/>
        <w:t xml:space="preserve">Le Comité prend note des allégations des auteurs selon lesquelles </w:t>
      </w:r>
      <w:proofErr w:type="spellStart"/>
      <w:r w:rsidRPr="00793F60">
        <w:t>Amrit</w:t>
      </w:r>
      <w:proofErr w:type="spellEnd"/>
      <w:r w:rsidRPr="00793F60">
        <w:t xml:space="preserve"> </w:t>
      </w:r>
      <w:proofErr w:type="spellStart"/>
      <w:r w:rsidRPr="00793F60">
        <w:t>Kandel</w:t>
      </w:r>
      <w:proofErr w:type="spellEnd"/>
      <w:r w:rsidRPr="00793F60">
        <w:t xml:space="preserve"> a été arbitrairement arrêté, détenu et victime de disparition forcée depuis le 10 octobre 2003, et qu</w:t>
      </w:r>
      <w:r w:rsidR="002E0B4C">
        <w:t>’</w:t>
      </w:r>
      <w:r w:rsidRPr="00793F60">
        <w:t>il n</w:t>
      </w:r>
      <w:r w:rsidR="002E0B4C">
        <w:t>’</w:t>
      </w:r>
      <w:r w:rsidRPr="00793F60">
        <w:t xml:space="preserve">y a eu aucune enquête effective visant à </w:t>
      </w:r>
      <w:r>
        <w:t>déterminer quel avait été</w:t>
      </w:r>
      <w:r w:rsidRPr="00793F60">
        <w:t xml:space="preserve"> son sort et l</w:t>
      </w:r>
      <w:r w:rsidR="002E0B4C">
        <w:t>’</w:t>
      </w:r>
      <w:r w:rsidRPr="00793F60">
        <w:t xml:space="preserve">endroit où il se trouve. Il </w:t>
      </w:r>
      <w:r>
        <w:t>constate en outre</w:t>
      </w:r>
      <w:r w:rsidRPr="00793F60">
        <w:t xml:space="preserve"> que l</w:t>
      </w:r>
      <w:r w:rsidR="002E0B4C">
        <w:t>’</w:t>
      </w:r>
      <w:r w:rsidRPr="00793F60">
        <w:t>État partie n</w:t>
      </w:r>
      <w:r w:rsidR="002E0B4C">
        <w:t>’</w:t>
      </w:r>
      <w:r w:rsidRPr="00793F60">
        <w:t xml:space="preserve">a pas réfuté ces allégations. Il </w:t>
      </w:r>
      <w:r>
        <w:t>relève</w:t>
      </w:r>
      <w:r w:rsidRPr="00793F60">
        <w:t xml:space="preserve"> que </w:t>
      </w:r>
      <w:r w:rsidRPr="00A4166D">
        <w:t xml:space="preserve">le </w:t>
      </w:r>
      <w:r w:rsidRPr="00F375B2">
        <w:t>Haut-Commissariat des Nations Unies aux droits de l</w:t>
      </w:r>
      <w:r w:rsidR="002E0B4C">
        <w:t>’</w:t>
      </w:r>
      <w:r w:rsidRPr="00F375B2">
        <w:t>homme</w:t>
      </w:r>
      <w:r>
        <w:t xml:space="preserve"> a inscrit le </w:t>
      </w:r>
      <w:r w:rsidRPr="00A4166D">
        <w:t>nom d</w:t>
      </w:r>
      <w:r w:rsidR="002E0B4C">
        <w:t>’</w:t>
      </w:r>
      <w:proofErr w:type="spellStart"/>
      <w:r w:rsidRPr="00A4166D">
        <w:t>Amrit</w:t>
      </w:r>
      <w:proofErr w:type="spellEnd"/>
      <w:r w:rsidRPr="00A4166D">
        <w:t xml:space="preserve"> </w:t>
      </w:r>
      <w:proofErr w:type="spellStart"/>
      <w:r w:rsidRPr="00A4166D">
        <w:t>Kandel</w:t>
      </w:r>
      <w:proofErr w:type="spellEnd"/>
      <w:r w:rsidRPr="00A4166D">
        <w:t xml:space="preserve"> </w:t>
      </w:r>
      <w:r>
        <w:t>dans la liste</w:t>
      </w:r>
      <w:r w:rsidRPr="00793F60">
        <w:t xml:space="preserve"> des personnes disparues après avoir été détenues dans la caserne de </w:t>
      </w:r>
      <w:proofErr w:type="spellStart"/>
      <w:r w:rsidRPr="00793F60">
        <w:t>Maharajgunj</w:t>
      </w:r>
      <w:proofErr w:type="spellEnd"/>
      <w:r w:rsidRPr="00793F60">
        <w:t xml:space="preserve"> en 2003</w:t>
      </w:r>
      <w:r>
        <w:rPr>
          <w:rStyle w:val="Appelnotedebasdep"/>
        </w:rPr>
        <w:footnoteReference w:id="12"/>
      </w:r>
      <w:r w:rsidRPr="00793F60">
        <w:t xml:space="preserve">. </w:t>
      </w:r>
    </w:p>
    <w:p w:rsidR="0036782F" w:rsidRPr="00793F60" w:rsidRDefault="0036782F" w:rsidP="0036782F">
      <w:pPr>
        <w:pStyle w:val="SingleTxtG"/>
      </w:pPr>
      <w:r w:rsidRPr="00793F60">
        <w:t>7.3</w:t>
      </w:r>
      <w:r w:rsidRPr="00793F60">
        <w:tab/>
        <w:t>Le Comité prend note de l</w:t>
      </w:r>
      <w:r w:rsidR="002E0B4C">
        <w:t>’</w:t>
      </w:r>
      <w:r w:rsidRPr="00793F60">
        <w:t>argument de l</w:t>
      </w:r>
      <w:r w:rsidR="002E0B4C">
        <w:t>’</w:t>
      </w:r>
      <w:r w:rsidRPr="00793F60">
        <w:t>État partie selon lequel il n</w:t>
      </w:r>
      <w:r w:rsidR="002E0B4C">
        <w:t>’</w:t>
      </w:r>
      <w:r w:rsidRPr="00793F60">
        <w:t>y a aucune trace administrative indiquant qu</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a</w:t>
      </w:r>
      <w:r>
        <w:t>v</w:t>
      </w:r>
      <w:r w:rsidRPr="00793F60">
        <w:t>ait été arrêté ou détenu.</w:t>
      </w:r>
    </w:p>
    <w:p w:rsidR="0036782F" w:rsidRPr="00202656" w:rsidRDefault="0036782F" w:rsidP="0036782F">
      <w:pPr>
        <w:pStyle w:val="SingleTxtG"/>
      </w:pPr>
      <w:r w:rsidRPr="00793F60">
        <w:rPr>
          <w:spacing w:val="-2"/>
        </w:rPr>
        <w:t>7.4</w:t>
      </w:r>
      <w:r w:rsidRPr="00793F60">
        <w:rPr>
          <w:spacing w:val="-2"/>
        </w:rPr>
        <w:tab/>
        <w:t>Le Comité réaffirme sa position selon laquelle la charge de la preuve n</w:t>
      </w:r>
      <w:r w:rsidR="002E0B4C">
        <w:rPr>
          <w:spacing w:val="-2"/>
        </w:rPr>
        <w:t>’</w:t>
      </w:r>
      <w:r w:rsidRPr="00793F60">
        <w:rPr>
          <w:spacing w:val="-2"/>
        </w:rPr>
        <w:t>incombe pas uniquement à l</w:t>
      </w:r>
      <w:r w:rsidR="002E0B4C">
        <w:rPr>
          <w:spacing w:val="-2"/>
        </w:rPr>
        <w:t>’</w:t>
      </w:r>
      <w:r w:rsidRPr="00793F60">
        <w:rPr>
          <w:spacing w:val="-2"/>
        </w:rPr>
        <w:t>auteur d</w:t>
      </w:r>
      <w:r w:rsidR="002E0B4C">
        <w:rPr>
          <w:spacing w:val="-2"/>
        </w:rPr>
        <w:t>’</w:t>
      </w:r>
      <w:r w:rsidRPr="00793F60">
        <w:rPr>
          <w:spacing w:val="-2"/>
        </w:rPr>
        <w:t>une communication, d</w:t>
      </w:r>
      <w:r w:rsidR="002E0B4C">
        <w:rPr>
          <w:spacing w:val="-2"/>
        </w:rPr>
        <w:t>’</w:t>
      </w:r>
      <w:r w:rsidRPr="00793F60">
        <w:rPr>
          <w:spacing w:val="-2"/>
        </w:rPr>
        <w:t>autant plus que l</w:t>
      </w:r>
      <w:r w:rsidR="002E0B4C">
        <w:rPr>
          <w:spacing w:val="-2"/>
        </w:rPr>
        <w:t>’</w:t>
      </w:r>
      <w:r w:rsidRPr="00793F60">
        <w:rPr>
          <w:spacing w:val="-2"/>
        </w:rPr>
        <w:t>auteur et l</w:t>
      </w:r>
      <w:r w:rsidR="002E0B4C">
        <w:rPr>
          <w:spacing w:val="-2"/>
        </w:rPr>
        <w:t>’</w:t>
      </w:r>
      <w:r w:rsidRPr="00793F60">
        <w:rPr>
          <w:spacing w:val="-2"/>
        </w:rPr>
        <w:t>État partie n</w:t>
      </w:r>
      <w:r w:rsidR="002E0B4C">
        <w:rPr>
          <w:spacing w:val="-2"/>
        </w:rPr>
        <w:t>’</w:t>
      </w:r>
      <w:r w:rsidRPr="00793F60">
        <w:rPr>
          <w:spacing w:val="-2"/>
        </w:rPr>
        <w:t>ont pas toujours un accès égal aux éléments de preuve et que souvent seul l</w:t>
      </w:r>
      <w:r w:rsidR="002E0B4C">
        <w:rPr>
          <w:spacing w:val="-2"/>
        </w:rPr>
        <w:t>’</w:t>
      </w:r>
      <w:r w:rsidRPr="00793F60">
        <w:rPr>
          <w:spacing w:val="-2"/>
        </w:rPr>
        <w:t xml:space="preserve">État partie dispose </w:t>
      </w:r>
      <w:r w:rsidRPr="00202656">
        <w:rPr>
          <w:spacing w:val="-4"/>
        </w:rPr>
        <w:t>des renseignements nécessaires</w:t>
      </w:r>
      <w:r w:rsidRPr="00202656">
        <w:rPr>
          <w:rStyle w:val="Appelnotedebasdep"/>
          <w:spacing w:val="-4"/>
        </w:rPr>
        <w:footnoteReference w:id="13"/>
      </w:r>
      <w:r w:rsidRPr="00202656">
        <w:rPr>
          <w:spacing w:val="-4"/>
        </w:rPr>
        <w:t>. Il ressort du paragraphe 2 de l</w:t>
      </w:r>
      <w:r w:rsidR="002E0B4C" w:rsidRPr="00202656">
        <w:rPr>
          <w:spacing w:val="-4"/>
        </w:rPr>
        <w:t>’</w:t>
      </w:r>
      <w:r w:rsidRPr="00202656">
        <w:rPr>
          <w:spacing w:val="-4"/>
        </w:rPr>
        <w:t>article 4 du Protocole facultatif</w:t>
      </w:r>
      <w:r w:rsidRPr="00793F60">
        <w:rPr>
          <w:spacing w:val="-2"/>
        </w:rPr>
        <w:t xml:space="preserve"> que l</w:t>
      </w:r>
      <w:r w:rsidR="002E0B4C">
        <w:rPr>
          <w:spacing w:val="-2"/>
        </w:rPr>
        <w:t>’</w:t>
      </w:r>
      <w:r w:rsidRPr="00793F60">
        <w:rPr>
          <w:spacing w:val="-2"/>
        </w:rPr>
        <w:t>État partie est tenu d</w:t>
      </w:r>
      <w:r w:rsidR="002E0B4C">
        <w:rPr>
          <w:spacing w:val="-2"/>
        </w:rPr>
        <w:t>’</w:t>
      </w:r>
      <w:r w:rsidRPr="00793F60">
        <w:rPr>
          <w:spacing w:val="-2"/>
        </w:rPr>
        <w:t>enquêter de bonne foi sur toutes les allégations de violations du Pacte portées contre lui et ses représentants, et de transmettre au Comité les renseignements qu</w:t>
      </w:r>
      <w:r w:rsidR="002E0B4C">
        <w:rPr>
          <w:spacing w:val="-2"/>
        </w:rPr>
        <w:t>’</w:t>
      </w:r>
      <w:r w:rsidRPr="00793F60">
        <w:rPr>
          <w:spacing w:val="-2"/>
        </w:rPr>
        <w:t>il détient. Dans les cas où les allégations sont corroborées par des éléments crédibles apportés par l</w:t>
      </w:r>
      <w:r w:rsidR="002E0B4C">
        <w:rPr>
          <w:spacing w:val="-2"/>
        </w:rPr>
        <w:t>’</w:t>
      </w:r>
      <w:r w:rsidRPr="00793F60">
        <w:rPr>
          <w:spacing w:val="-2"/>
        </w:rPr>
        <w:t>auteur et que tout éclaircissement supplémentaire dépend de renseignements que l</w:t>
      </w:r>
      <w:r w:rsidR="002E0B4C">
        <w:rPr>
          <w:spacing w:val="-2"/>
        </w:rPr>
        <w:t>’</w:t>
      </w:r>
      <w:r w:rsidRPr="00793F60">
        <w:rPr>
          <w:spacing w:val="-2"/>
        </w:rPr>
        <w:t xml:space="preserve">État </w:t>
      </w:r>
      <w:r w:rsidRPr="00202656">
        <w:rPr>
          <w:spacing w:val="-4"/>
        </w:rPr>
        <w:t xml:space="preserve">partie est seul à détenir, le Comité peut considérer ces allégations comme suffisamment étayées </w:t>
      </w:r>
      <w:r w:rsidRPr="00202656">
        <w:t>si l</w:t>
      </w:r>
      <w:r w:rsidR="002E0B4C" w:rsidRPr="00202656">
        <w:t>’</w:t>
      </w:r>
      <w:r w:rsidRPr="00202656">
        <w:t>État partie ne les réfute pas en apportant des preuves ou des explications satisfaisantes.</w:t>
      </w:r>
    </w:p>
    <w:p w:rsidR="0036782F" w:rsidRPr="00793F60" w:rsidRDefault="0036782F" w:rsidP="0036782F">
      <w:pPr>
        <w:pStyle w:val="SingleTxtG"/>
      </w:pPr>
      <w:r w:rsidRPr="00793F60">
        <w:t>7.5</w:t>
      </w:r>
      <w:r w:rsidRPr="00793F60">
        <w:tab/>
        <w:t>En l</w:t>
      </w:r>
      <w:r w:rsidR="002E0B4C">
        <w:t>’</w:t>
      </w:r>
      <w:r w:rsidRPr="00793F60">
        <w:t xml:space="preserve">espèce, le Comité constate que, malgré les efforts déployés par les auteurs pour retrouver </w:t>
      </w:r>
      <w:proofErr w:type="spellStart"/>
      <w:r w:rsidRPr="00793F60">
        <w:t>Amrit</w:t>
      </w:r>
      <w:proofErr w:type="spellEnd"/>
      <w:r w:rsidRPr="00793F60">
        <w:t xml:space="preserve"> </w:t>
      </w:r>
      <w:proofErr w:type="spellStart"/>
      <w:r w:rsidRPr="00793F60">
        <w:t>Kandel</w:t>
      </w:r>
      <w:proofErr w:type="spellEnd"/>
      <w:r w:rsidRPr="00793F60">
        <w:t>, on ne sait toujours rien du sort qui lui a été réservé ni de l</w:t>
      </w:r>
      <w:r w:rsidR="002E0B4C">
        <w:t>’</w:t>
      </w:r>
      <w:r w:rsidRPr="00793F60">
        <w:t xml:space="preserve">endroit </w:t>
      </w:r>
      <w:r w:rsidRPr="00793F60">
        <w:lastRenderedPageBreak/>
        <w:t>où il se trouve. Il relève que les autorités ont nié toute implication dans la privation de liberté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et qu</w:t>
      </w:r>
      <w:r w:rsidR="002E0B4C">
        <w:t>’</w:t>
      </w:r>
      <w:r w:rsidRPr="00793F60">
        <w:t>elles ont constamment refusé de faire la lumière sur son sort et l</w:t>
      </w:r>
      <w:r w:rsidR="002E0B4C">
        <w:t>’</w:t>
      </w:r>
      <w:r w:rsidRPr="00793F60">
        <w:t>endroit où il se trouve.</w:t>
      </w:r>
    </w:p>
    <w:p w:rsidR="0036782F" w:rsidRPr="00793F60" w:rsidRDefault="0036782F" w:rsidP="0036782F">
      <w:pPr>
        <w:pStyle w:val="SingleTxtG"/>
      </w:pPr>
      <w:r w:rsidRPr="00793F60">
        <w:t>7.6</w:t>
      </w:r>
      <w:r w:rsidRPr="00793F60">
        <w:tab/>
        <w:t>Au vu de la documentation soumise par les auteurs et de la corroboration des faits par les témoins (</w:t>
      </w:r>
      <w:r>
        <w:t xml:space="preserve">voir </w:t>
      </w:r>
      <w:r w:rsidRPr="00793F60">
        <w:t>par.</w:t>
      </w:r>
      <w:r w:rsidR="002D1123">
        <w:t> </w:t>
      </w:r>
      <w:r w:rsidRPr="00793F60">
        <w:t>2.4 à 2.6 et 5.2</w:t>
      </w:r>
      <w:r>
        <w:t xml:space="preserve"> ci-dessus</w:t>
      </w:r>
      <w:r w:rsidRPr="00793F60">
        <w:t>), le Comité considère que l</w:t>
      </w:r>
      <w:r w:rsidR="002E0B4C">
        <w:t>’</w:t>
      </w:r>
      <w:r w:rsidRPr="00793F60">
        <w:t>État partie n</w:t>
      </w:r>
      <w:r w:rsidR="002E0B4C">
        <w:t>’</w:t>
      </w:r>
      <w:r w:rsidRPr="00793F60">
        <w:t>a pas fourni d</w:t>
      </w:r>
      <w:r w:rsidR="002E0B4C">
        <w:t>’</w:t>
      </w:r>
      <w:r w:rsidRPr="00793F60">
        <w:t xml:space="preserve">explication suffisante </w:t>
      </w:r>
      <w:r>
        <w:t>ou</w:t>
      </w:r>
      <w:r w:rsidRPr="00793F60">
        <w:t xml:space="preserve"> concrète pour réfuter les allégations des auteurs concernant la disparition forcée d</w:t>
      </w:r>
      <w:r w:rsidR="002E0B4C">
        <w:t>’</w:t>
      </w:r>
      <w:proofErr w:type="spellStart"/>
      <w:r w:rsidRPr="00793F60">
        <w:t>Amrit</w:t>
      </w:r>
      <w:proofErr w:type="spellEnd"/>
      <w:r w:rsidRPr="00793F60">
        <w:t xml:space="preserve"> </w:t>
      </w:r>
      <w:proofErr w:type="spellStart"/>
      <w:r w:rsidRPr="00793F60">
        <w:t>Kandel</w:t>
      </w:r>
      <w:proofErr w:type="spellEnd"/>
      <w:r w:rsidRPr="00793F60">
        <w:t>. Il estime donc que la privation de liberté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suivie du refus des autorités de reconnaître les faits et de faire la lumière sur ce qui lui était arrivé, constitue une disparition forcée. </w:t>
      </w:r>
    </w:p>
    <w:p w:rsidR="0036782F" w:rsidRPr="00793F60" w:rsidRDefault="0036782F" w:rsidP="0036782F">
      <w:pPr>
        <w:pStyle w:val="SingleTxtG"/>
      </w:pPr>
      <w:r w:rsidRPr="00793F60">
        <w:t>7.7</w:t>
      </w:r>
      <w:r w:rsidRPr="00793F60">
        <w:tab/>
        <w:t>Le Comité rappelle que si l</w:t>
      </w:r>
      <w:r w:rsidR="002E0B4C">
        <w:t>’</w:t>
      </w:r>
      <w:r w:rsidRPr="00793F60">
        <w:t>expression « disparition forcée » n</w:t>
      </w:r>
      <w:r w:rsidR="002E0B4C">
        <w:t>’</w:t>
      </w:r>
      <w:r w:rsidRPr="00793F60">
        <w:t>est explicitement utilisée dans aucun des articles du Pacte, la disparition forcée constitue un seul et même ensemble intégré d</w:t>
      </w:r>
      <w:r w:rsidR="002E0B4C">
        <w:t>’</w:t>
      </w:r>
      <w:r w:rsidRPr="00793F60">
        <w:t xml:space="preserve">actes qui </w:t>
      </w:r>
      <w:r>
        <w:t>constitue</w:t>
      </w:r>
      <w:r w:rsidRPr="00793F60">
        <w:t xml:space="preserve"> une violation continue de plusieurs droits consacrés par cet instrument</w:t>
      </w:r>
      <w:r w:rsidRPr="00793F60">
        <w:rPr>
          <w:rStyle w:val="Appelnotedebasdep"/>
        </w:rPr>
        <w:footnoteReference w:id="14"/>
      </w:r>
      <w:r w:rsidRPr="00793F60">
        <w:t>.</w:t>
      </w:r>
    </w:p>
    <w:p w:rsidR="0036782F" w:rsidRPr="00793F60" w:rsidRDefault="0036782F" w:rsidP="0036782F">
      <w:pPr>
        <w:pStyle w:val="SingleTxtG"/>
      </w:pPr>
      <w:r w:rsidRPr="00793F60">
        <w:t>7.8</w:t>
      </w:r>
      <w:r w:rsidRPr="00793F60">
        <w:tab/>
        <w:t>Le Comité rappelle qu</w:t>
      </w:r>
      <w:r w:rsidR="002E0B4C">
        <w:t>’</w:t>
      </w:r>
      <w:r w:rsidRPr="00793F60">
        <w:t>en matière de disparition forcée, la privation de liberté, suivie du déni de reconnaissance de celle-ci ou de la dissimulation du sort réservé à la personne disparue, soustrait cette personne à la protection de la loi et fait peser un risque constant et sérieux sur sa vie, dont l</w:t>
      </w:r>
      <w:r w:rsidR="002E0B4C">
        <w:t>’</w:t>
      </w:r>
      <w:r w:rsidRPr="00793F60">
        <w:t>État doit</w:t>
      </w:r>
      <w:r>
        <w:t xml:space="preserve"> être </w:t>
      </w:r>
      <w:r w:rsidR="00A226E6">
        <w:t>respons</w:t>
      </w:r>
      <w:r>
        <w:t>able</w:t>
      </w:r>
      <w:r w:rsidRPr="00793F60">
        <w:rPr>
          <w:rStyle w:val="Appelnotedebasdep"/>
        </w:rPr>
        <w:footnoteReference w:id="15"/>
      </w:r>
      <w:r w:rsidRPr="00793F60">
        <w:t>. En l</w:t>
      </w:r>
      <w:r w:rsidR="002E0B4C">
        <w:t>’</w:t>
      </w:r>
      <w:r w:rsidRPr="00793F60">
        <w:t>espèce, l</w:t>
      </w:r>
      <w:r w:rsidR="002E0B4C">
        <w:t>’</w:t>
      </w:r>
      <w:r w:rsidRPr="00793F60">
        <w:t>État partie n</w:t>
      </w:r>
      <w:r w:rsidR="002E0B4C">
        <w:t>’</w:t>
      </w:r>
      <w:r w:rsidRPr="00793F60">
        <w:t xml:space="preserve">a produit aucun élément </w:t>
      </w:r>
      <w:r>
        <w:t>montr</w:t>
      </w:r>
      <w:r w:rsidRPr="00793F60">
        <w:t>ant qu</w:t>
      </w:r>
      <w:r w:rsidR="002E0B4C">
        <w:t>’</w:t>
      </w:r>
      <w:r w:rsidRPr="00793F60">
        <w:t>il a honoré son obligation de protéger la vie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lorsque celui-ci était détenu par les autorités.</w:t>
      </w:r>
      <w:r>
        <w:t xml:space="preserve"> Le Comité rappelle en outre que les États parties doivent prendre des mesures, non seulement pour prévenir et réprimer les actes criminels qui entraînent la privation de la vie, mais également pour empêcher que leurs propres forces de sécurité ne tuent des individus de façon arbitraire</w:t>
      </w:r>
      <w:r>
        <w:rPr>
          <w:rStyle w:val="Appelnotedebasdep"/>
        </w:rPr>
        <w:footnoteReference w:id="16"/>
      </w:r>
      <w:r>
        <w:t>.</w:t>
      </w:r>
      <w:r w:rsidRPr="00793F60">
        <w:t xml:space="preserve"> Dans </w:t>
      </w:r>
      <w:r>
        <w:t>l</w:t>
      </w:r>
      <w:r w:rsidRPr="00793F60">
        <w:t>es circonstances</w:t>
      </w:r>
      <w:r>
        <w:t xml:space="preserve"> de l</w:t>
      </w:r>
      <w:r w:rsidR="002E0B4C">
        <w:t>’</w:t>
      </w:r>
      <w:r>
        <w:t>espèce</w:t>
      </w:r>
      <w:r w:rsidRPr="00793F60">
        <w:t>, le Comité considère que l</w:t>
      </w:r>
      <w:r w:rsidR="002E0B4C">
        <w:t>’</w:t>
      </w:r>
      <w:r w:rsidRPr="00793F60">
        <w:t>État partie a violé les obligations qui lui incombent en vertu du paragraphe 1 de l</w:t>
      </w:r>
      <w:r w:rsidR="002E0B4C">
        <w:t>’</w:t>
      </w:r>
      <w:r w:rsidRPr="00793F60">
        <w:t>article 6 du Pacte.</w:t>
      </w:r>
    </w:p>
    <w:p w:rsidR="0036782F" w:rsidRPr="00793F60" w:rsidRDefault="0036782F" w:rsidP="0036782F">
      <w:pPr>
        <w:pStyle w:val="SingleTxtG"/>
      </w:pPr>
      <w:r w:rsidRPr="00793F60">
        <w:t>7.9</w:t>
      </w:r>
      <w:r w:rsidRPr="00793F60">
        <w:tab/>
      </w:r>
      <w:r>
        <w:rPr>
          <w:spacing w:val="-1"/>
        </w:rPr>
        <w:t>Le Comité</w:t>
      </w:r>
      <w:r w:rsidRPr="00793F60">
        <w:rPr>
          <w:spacing w:val="-1"/>
        </w:rPr>
        <w:t xml:space="preserve"> rappelle également qu</w:t>
      </w:r>
      <w:r w:rsidR="002E0B4C">
        <w:rPr>
          <w:spacing w:val="-1"/>
        </w:rPr>
        <w:t>’</w:t>
      </w:r>
      <w:r w:rsidRPr="00793F60">
        <w:rPr>
          <w:spacing w:val="-1"/>
        </w:rPr>
        <w:t>en vertu du paragraphe 3 de l</w:t>
      </w:r>
      <w:r w:rsidR="002E0B4C">
        <w:rPr>
          <w:spacing w:val="-1"/>
        </w:rPr>
        <w:t>’</w:t>
      </w:r>
      <w:r w:rsidRPr="00793F60">
        <w:rPr>
          <w:spacing w:val="-1"/>
        </w:rPr>
        <w:t xml:space="preserve">article 2 du Pacte, les États parties doivent garantir que toutes les personnes puissent bénéficier de recours accessibles, utiles et exécutoires afin de faire valoir les droits dont elles jouissent en vertu du Pacte. Il rappelle en outre son observation générale </w:t>
      </w:r>
      <w:r w:rsidRPr="00793F60">
        <w:rPr>
          <w:rFonts w:eastAsia="MS Mincho"/>
          <w:spacing w:val="-1"/>
          <w:szCs w:val="22"/>
        </w:rPr>
        <w:t>n</w:t>
      </w:r>
      <w:r w:rsidRPr="00793F60">
        <w:rPr>
          <w:rFonts w:eastAsia="MS Mincho"/>
          <w:spacing w:val="-1"/>
          <w:szCs w:val="22"/>
          <w:vertAlign w:val="superscript"/>
        </w:rPr>
        <w:t>o</w:t>
      </w:r>
      <w:r w:rsidRPr="00793F60">
        <w:rPr>
          <w:rFonts w:eastAsia="MS Mincho"/>
          <w:spacing w:val="-1"/>
          <w:szCs w:val="22"/>
        </w:rPr>
        <w:t> </w:t>
      </w:r>
      <w:r w:rsidRPr="00793F60">
        <w:rPr>
          <w:spacing w:val="-1"/>
        </w:rPr>
        <w:t>31 (2004) sur la nature de l</w:t>
      </w:r>
      <w:r w:rsidR="002E0B4C">
        <w:rPr>
          <w:spacing w:val="-1"/>
        </w:rPr>
        <w:t>’</w:t>
      </w:r>
      <w:r w:rsidRPr="00793F60">
        <w:rPr>
          <w:spacing w:val="-1"/>
        </w:rPr>
        <w:t>obligation juridique générale imposée aux États parties au Pacte, en particulier le fait que dans le cas où les enquêtes révèlent la violation de certains droits reconnus dans le Pacte, les États parties doivent veiller à ce que les responsables soient traduits en justice. Tout comme le fait de ne pas mener d</w:t>
      </w:r>
      <w:r w:rsidR="002E0B4C">
        <w:rPr>
          <w:spacing w:val="-1"/>
        </w:rPr>
        <w:t>’</w:t>
      </w:r>
      <w:r w:rsidRPr="00793F60">
        <w:rPr>
          <w:spacing w:val="-1"/>
        </w:rPr>
        <w:t>enquête lorsque de telles violations se produisent, le fait de ne pas traduire en justice les auteurs de ces actes peut en soi donner lieu à une violation distincte du Pacte. Ces obligations se rapportent notamment aux violations assimilées à des crimes au regard du droit national ou international, comme la torture et les traitements cruels, inhumains ou dégradants analogues et les exécutions sommaires et arbitraires</w:t>
      </w:r>
      <w:r>
        <w:rPr>
          <w:rStyle w:val="Appelnotedebasdep"/>
          <w:spacing w:val="-1"/>
        </w:rPr>
        <w:footnoteReference w:id="17"/>
      </w:r>
      <w:r w:rsidRPr="00793F60">
        <w:rPr>
          <w:spacing w:val="-1"/>
        </w:rPr>
        <w:t>.</w:t>
      </w:r>
    </w:p>
    <w:p w:rsidR="0036782F" w:rsidRPr="00793F60" w:rsidRDefault="0036782F" w:rsidP="0036782F">
      <w:pPr>
        <w:pStyle w:val="SingleTxtG"/>
      </w:pPr>
      <w:r w:rsidRPr="00793F60">
        <w:t>7.10</w:t>
      </w:r>
      <w:r w:rsidRPr="00793F60">
        <w:tab/>
        <w:t>Le Comité prend note de l</w:t>
      </w:r>
      <w:r w:rsidR="002E0B4C">
        <w:t>’</w:t>
      </w:r>
      <w:r>
        <w:t>action introduite devant</w:t>
      </w:r>
      <w:r w:rsidRPr="00793F60">
        <w:t xml:space="preserve"> la Cour suprême au nom de 34 personnes disparues, dont </w:t>
      </w:r>
      <w:proofErr w:type="spellStart"/>
      <w:r w:rsidRPr="00793F60">
        <w:t>Amrit</w:t>
      </w:r>
      <w:proofErr w:type="spellEnd"/>
      <w:r w:rsidRPr="00793F60">
        <w:t xml:space="preserve"> </w:t>
      </w:r>
      <w:proofErr w:type="spellStart"/>
      <w:r w:rsidRPr="00793F60">
        <w:t>Kandel</w:t>
      </w:r>
      <w:proofErr w:type="spellEnd"/>
      <w:r w:rsidRPr="00793F60">
        <w:t xml:space="preserve">, </w:t>
      </w:r>
      <w:r>
        <w:t>par laquelle il était demandé</w:t>
      </w:r>
      <w:r w:rsidRPr="00793F60">
        <w:t xml:space="preserve"> </w:t>
      </w:r>
      <w:r>
        <w:t>que</w:t>
      </w:r>
      <w:r w:rsidRPr="00793F60">
        <w:t xml:space="preserve"> le sort des personnes disparues</w:t>
      </w:r>
      <w:r>
        <w:t xml:space="preserve"> soit rendu public</w:t>
      </w:r>
      <w:r w:rsidRPr="00793F60">
        <w:t>. Il prend note également d</w:t>
      </w:r>
      <w:r>
        <w:t>e l</w:t>
      </w:r>
      <w:r w:rsidR="002E0B4C">
        <w:t>’</w:t>
      </w:r>
      <w:r>
        <w:t xml:space="preserve">arrêt </w:t>
      </w:r>
      <w:r w:rsidRPr="00793F60">
        <w:t xml:space="preserve"> rendu par la Cour suprême le 1</w:t>
      </w:r>
      <w:r w:rsidRPr="00793F60">
        <w:rPr>
          <w:vertAlign w:val="superscript"/>
        </w:rPr>
        <w:t>er</w:t>
      </w:r>
      <w:r w:rsidRPr="00793F60">
        <w:t> juin 2007, ordonnant au Gouvernement d</w:t>
      </w:r>
      <w:r w:rsidR="002E0B4C">
        <w:t>’</w:t>
      </w:r>
      <w:r w:rsidRPr="00793F60">
        <w:t>enquêter sur la situation des personnes disparues, de traduire les responsables en justice et d</w:t>
      </w:r>
      <w:r w:rsidR="002E0B4C">
        <w:t>’</w:t>
      </w:r>
      <w:r w:rsidRPr="00793F60">
        <w:t xml:space="preserve">accorder réparation aux familles des victimes. </w:t>
      </w:r>
      <w:r>
        <w:t>Il prend note en outre du fait que</w:t>
      </w:r>
      <w:r w:rsidRPr="00793F60">
        <w:t xml:space="preserve"> l</w:t>
      </w:r>
      <w:r w:rsidR="002E0B4C">
        <w:t>’</w:t>
      </w:r>
      <w:r w:rsidRPr="00793F60">
        <w:t>État partie n</w:t>
      </w:r>
      <w:r w:rsidR="002E0B4C">
        <w:t>’</w:t>
      </w:r>
      <w:r w:rsidRPr="00793F60">
        <w:t>a pas exécuté ce</w:t>
      </w:r>
      <w:r>
        <w:t>t arrêt</w:t>
      </w:r>
      <w:r w:rsidRPr="00793F60">
        <w:t xml:space="preserve">, affirmant que les auteurs devraient déposer une plainte </w:t>
      </w:r>
      <w:r>
        <w:t>pour</w:t>
      </w:r>
      <w:r w:rsidRPr="00793F60">
        <w:t xml:space="preserve"> la disparition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auprès de la </w:t>
      </w:r>
      <w:r>
        <w:t>Commission d</w:t>
      </w:r>
      <w:r w:rsidR="002E0B4C">
        <w:t>’</w:t>
      </w:r>
      <w:r>
        <w:t xml:space="preserve">enquête sur les personnes victimes de disparition forcée </w:t>
      </w:r>
      <w:r w:rsidRPr="00793F60">
        <w:t>et que les autorités engageraient des poursuites contre les personnes impliquées dans l</w:t>
      </w:r>
      <w:r w:rsidR="002E0B4C">
        <w:t>’</w:t>
      </w:r>
      <w:r w:rsidRPr="00793F60">
        <w:t>infraction</w:t>
      </w:r>
      <w:r>
        <w:t xml:space="preserve"> sur </w:t>
      </w:r>
      <w:r w:rsidRPr="00793F60">
        <w:t>recommand</w:t>
      </w:r>
      <w:r>
        <w:t>ation de</w:t>
      </w:r>
      <w:r w:rsidRPr="00793F60">
        <w:t xml:space="preserve"> cette Commission.</w:t>
      </w:r>
    </w:p>
    <w:p w:rsidR="0036782F" w:rsidRPr="00793F60" w:rsidRDefault="0036782F" w:rsidP="0036782F">
      <w:pPr>
        <w:pStyle w:val="SingleTxtG"/>
      </w:pPr>
      <w:r w:rsidRPr="00793F60">
        <w:lastRenderedPageBreak/>
        <w:t>7.11</w:t>
      </w:r>
      <w:r w:rsidRPr="00793F60">
        <w:tab/>
        <w:t>Malgré les efforts de la famille d</w:t>
      </w:r>
      <w:r w:rsidR="002E0B4C">
        <w:t>’</w:t>
      </w:r>
      <w:proofErr w:type="spellStart"/>
      <w:r w:rsidRPr="00793F60">
        <w:t>Amrit</w:t>
      </w:r>
      <w:proofErr w:type="spellEnd"/>
      <w:r w:rsidRPr="00793F60">
        <w:t xml:space="preserve"> </w:t>
      </w:r>
      <w:proofErr w:type="spellStart"/>
      <w:r w:rsidRPr="00793F60">
        <w:t>Kandel</w:t>
      </w:r>
      <w:proofErr w:type="spellEnd"/>
      <w:r w:rsidRPr="00793F60">
        <w:t>, aucune enquête n</w:t>
      </w:r>
      <w:r w:rsidR="002E0B4C">
        <w:t>’</w:t>
      </w:r>
      <w:r w:rsidRPr="00793F60">
        <w:t>a été menée par l</w:t>
      </w:r>
      <w:r w:rsidR="002E0B4C">
        <w:t>’</w:t>
      </w:r>
      <w:r w:rsidRPr="00793F60">
        <w:t>État partie en vue d</w:t>
      </w:r>
      <w:r w:rsidR="002E0B4C">
        <w:t>’</w:t>
      </w:r>
      <w:r w:rsidRPr="00793F60">
        <w:t>établir les circonstances entourant l</w:t>
      </w:r>
      <w:r w:rsidR="002E0B4C">
        <w:t>’</w:t>
      </w:r>
      <w:r w:rsidRPr="00793F60">
        <w:t>arrestation, la détention et la disparition forcée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et aucun responsable n</w:t>
      </w:r>
      <w:r w:rsidR="002E0B4C">
        <w:t>’</w:t>
      </w:r>
      <w:r w:rsidRPr="00793F60">
        <w:t xml:space="preserve">a été traduit en justice ni </w:t>
      </w:r>
      <w:r>
        <w:t>puni</w:t>
      </w:r>
      <w:r w:rsidRPr="00793F60">
        <w:t>. L</w:t>
      </w:r>
      <w:r w:rsidR="002E0B4C">
        <w:t>’</w:t>
      </w:r>
      <w:r w:rsidRPr="00793F60">
        <w:t>État partie n</w:t>
      </w:r>
      <w:r w:rsidR="002E0B4C">
        <w:t>’</w:t>
      </w:r>
      <w:r w:rsidRPr="00793F60">
        <w:t xml:space="preserve">a pas expliqué pourquoi </w:t>
      </w:r>
      <w:r>
        <w:t xml:space="preserve">une telle </w:t>
      </w:r>
      <w:r w:rsidRPr="00793F60">
        <w:t xml:space="preserve">enquête </w:t>
      </w:r>
      <w:r>
        <w:t>n</w:t>
      </w:r>
      <w:r w:rsidR="002E0B4C">
        <w:t>’</w:t>
      </w:r>
      <w:r>
        <w:t>a pas encore été menée</w:t>
      </w:r>
      <w:r w:rsidRPr="00793F60">
        <w:t xml:space="preserve"> et quelle était la raison d</w:t>
      </w:r>
      <w:r>
        <w:t xml:space="preserve">u </w:t>
      </w:r>
      <w:r w:rsidRPr="00793F60">
        <w:t>retard</w:t>
      </w:r>
      <w:r>
        <w:t xml:space="preserve"> dans l</w:t>
      </w:r>
      <w:r w:rsidR="002E0B4C">
        <w:t>’</w:t>
      </w:r>
      <w:r>
        <w:t xml:space="preserve">ouverture une enquête à cette fin. </w:t>
      </w:r>
    </w:p>
    <w:p w:rsidR="0036782F" w:rsidRPr="00793F60" w:rsidRDefault="0036782F" w:rsidP="0036782F">
      <w:pPr>
        <w:pStyle w:val="SingleTxtG"/>
      </w:pPr>
      <w:r w:rsidRPr="00793F60">
        <w:t>7.12</w:t>
      </w:r>
      <w:r w:rsidRPr="00793F60">
        <w:tab/>
        <w:t>En conséquence, le Comité estime que l</w:t>
      </w:r>
      <w:r w:rsidR="002E0B4C">
        <w:t>’</w:t>
      </w:r>
      <w:r w:rsidRPr="00793F60">
        <w:t>État partie n</w:t>
      </w:r>
      <w:r w:rsidR="002E0B4C">
        <w:t>’</w:t>
      </w:r>
      <w:r w:rsidRPr="00793F60">
        <w:t>a pas procédé rapidement à une enquête approfondie et effective sur les circonstances de l</w:t>
      </w:r>
      <w:r w:rsidR="002E0B4C">
        <w:t>’</w:t>
      </w:r>
      <w:r w:rsidRPr="00793F60">
        <w:t>arrestation, de la détention et de la disparition forcée d</w:t>
      </w:r>
      <w:r w:rsidR="002E0B4C">
        <w:t>’</w:t>
      </w:r>
      <w:proofErr w:type="spellStart"/>
      <w:r w:rsidRPr="00793F60">
        <w:t>Amrit</w:t>
      </w:r>
      <w:proofErr w:type="spellEnd"/>
      <w:r w:rsidRPr="00793F60">
        <w:t xml:space="preserve"> </w:t>
      </w:r>
      <w:proofErr w:type="spellStart"/>
      <w:r w:rsidRPr="00793F60">
        <w:t>Kandel</w:t>
      </w:r>
      <w:proofErr w:type="spellEnd"/>
      <w:r w:rsidRPr="00793F60">
        <w:t>, en violation de l</w:t>
      </w:r>
      <w:r w:rsidR="002E0B4C">
        <w:t>’</w:t>
      </w:r>
      <w:r w:rsidRPr="00793F60">
        <w:t>article 6, lu conjointement avec le paragraphe 3 de l</w:t>
      </w:r>
      <w:r w:rsidR="002E0B4C">
        <w:t>’</w:t>
      </w:r>
      <w:r w:rsidRPr="00793F60">
        <w:t>article 2 du Pacte.</w:t>
      </w:r>
    </w:p>
    <w:p w:rsidR="0036782F" w:rsidRPr="00793F60" w:rsidRDefault="0036782F" w:rsidP="0036782F">
      <w:pPr>
        <w:pStyle w:val="SingleTxtG"/>
      </w:pPr>
      <w:r w:rsidRPr="00793F60">
        <w:t>7.13</w:t>
      </w:r>
      <w:r w:rsidRPr="00793F60">
        <w:tab/>
        <w:t>Le Comité prend note des griefs des auteurs, selon lesquels la détention arbitraire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et sa disparition forcée constituent en soi un traitement contraire à l</w:t>
      </w:r>
      <w:r w:rsidR="002E0B4C">
        <w:t>’</w:t>
      </w:r>
      <w:r w:rsidRPr="00793F60">
        <w:t xml:space="preserve">article 7. Le Comité </w:t>
      </w:r>
      <w:r>
        <w:t>est conscient de l</w:t>
      </w:r>
      <w:r w:rsidR="002E0B4C">
        <w:t>’</w:t>
      </w:r>
      <w:r>
        <w:t>ampleur</w:t>
      </w:r>
      <w:r w:rsidRPr="00793F60">
        <w:t xml:space="preserve"> de</w:t>
      </w:r>
      <w:r>
        <w:t>s</w:t>
      </w:r>
      <w:r w:rsidRPr="00793F60">
        <w:t xml:space="preserve"> souffrance</w:t>
      </w:r>
      <w:r>
        <w:t>s</w:t>
      </w:r>
      <w:r w:rsidRPr="00793F60">
        <w:t xml:space="preserve"> q</w:t>
      </w:r>
      <w:r>
        <w:t>ue cause le fait d</w:t>
      </w:r>
      <w:r w:rsidR="002E0B4C">
        <w:t>’</w:t>
      </w:r>
      <w:r>
        <w:t>être</w:t>
      </w:r>
      <w:r w:rsidRPr="00793F60">
        <w:t xml:space="preserve"> déten</w:t>
      </w:r>
      <w:r>
        <w:t>u</w:t>
      </w:r>
      <w:r w:rsidRPr="00793F60">
        <w:t xml:space="preserve"> sans contact avec le monde extérieur pendant une durée indéfinie. Il prend note des allégations des auteurs selon lesquelles les conditions de détention générales à la caserne du bataillon de </w:t>
      </w:r>
      <w:proofErr w:type="spellStart"/>
      <w:r w:rsidRPr="00793F60">
        <w:t>Bhairab</w:t>
      </w:r>
      <w:r w:rsidR="00A226E6">
        <w:t>a</w:t>
      </w:r>
      <w:r w:rsidRPr="00793F60">
        <w:t>nath</w:t>
      </w:r>
      <w:proofErr w:type="spellEnd"/>
      <w:r w:rsidRPr="00793F60">
        <w:t xml:space="preserve">, à </w:t>
      </w:r>
      <w:proofErr w:type="spellStart"/>
      <w:r w:rsidRPr="00793F60">
        <w:t>Maharajgunj</w:t>
      </w:r>
      <w:proofErr w:type="spellEnd"/>
      <w:r w:rsidRPr="00793F60">
        <w:t xml:space="preserve"> (2003-2004), notamment les interrogatoires sous la contrainte et l</w:t>
      </w:r>
      <w:r w:rsidR="002E0B4C">
        <w:t>’</w:t>
      </w:r>
      <w:r w:rsidRPr="00793F60">
        <w:t>utilisation d</w:t>
      </w:r>
      <w:r w:rsidR="002E0B4C">
        <w:t>’</w:t>
      </w:r>
      <w:r w:rsidRPr="00793F60">
        <w:t>électrochocs, constituaient un traitement cruel, inhumain et dégradant.</w:t>
      </w:r>
      <w:r>
        <w:t xml:space="preserve"> Il prend note en outre de ce que </w:t>
      </w:r>
      <w:proofErr w:type="spellStart"/>
      <w:r>
        <w:t>Ramhari</w:t>
      </w:r>
      <w:proofErr w:type="spellEnd"/>
      <w:r>
        <w:t xml:space="preserve"> </w:t>
      </w:r>
      <w:proofErr w:type="spellStart"/>
      <w:r>
        <w:t>Kandel</w:t>
      </w:r>
      <w:proofErr w:type="spellEnd"/>
      <w:r>
        <w:t xml:space="preserve"> a vu que le corps d</w:t>
      </w:r>
      <w:r w:rsidR="002E0B4C">
        <w:t>’</w:t>
      </w:r>
      <w:proofErr w:type="spellStart"/>
      <w:r>
        <w:t>Amrti</w:t>
      </w:r>
      <w:proofErr w:type="spellEnd"/>
      <w:r>
        <w:t xml:space="preserve"> </w:t>
      </w:r>
      <w:proofErr w:type="spellStart"/>
      <w:r>
        <w:t>Kandel</w:t>
      </w:r>
      <w:proofErr w:type="spellEnd"/>
      <w:r>
        <w:t xml:space="preserve"> </w:t>
      </w:r>
      <w:r w:rsidRPr="00793F60">
        <w:t>était enflé et couvert d</w:t>
      </w:r>
      <w:r w:rsidR="002E0B4C">
        <w:t>’</w:t>
      </w:r>
      <w:r w:rsidRPr="00793F60">
        <w:t>ecchymoses. Comme l</w:t>
      </w:r>
      <w:r w:rsidR="002E0B4C">
        <w:t>’</w:t>
      </w:r>
      <w:r w:rsidRPr="00793F60">
        <w:t>État partie nie l</w:t>
      </w:r>
      <w:r w:rsidR="002E0B4C">
        <w:t>’</w:t>
      </w:r>
      <w:r w:rsidRPr="00793F60">
        <w:t>arrestation et n</w:t>
      </w:r>
      <w:r w:rsidR="002E0B4C">
        <w:t>’</w:t>
      </w:r>
      <w:r w:rsidRPr="00793F60">
        <w:t>a fourni aucun élément d</w:t>
      </w:r>
      <w:r w:rsidR="002E0B4C">
        <w:t>’</w:t>
      </w:r>
      <w:r w:rsidRPr="00793F60">
        <w:t xml:space="preserve">information concernant la façon dont </w:t>
      </w:r>
      <w:proofErr w:type="spellStart"/>
      <w:r w:rsidRPr="00793F60">
        <w:t>Amrit</w:t>
      </w:r>
      <w:proofErr w:type="spellEnd"/>
      <w:r w:rsidRPr="00793F60">
        <w:t xml:space="preserve"> </w:t>
      </w:r>
      <w:proofErr w:type="spellStart"/>
      <w:r w:rsidRPr="00793F60">
        <w:t>Kandel</w:t>
      </w:r>
      <w:proofErr w:type="spellEnd"/>
      <w:r w:rsidRPr="00793F60">
        <w:t xml:space="preserve"> était traité pendant sa détention, le Comité estime que la disparition forcée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et son traitement pendant sa détention constituent une violation de l</w:t>
      </w:r>
      <w:r w:rsidR="002E0B4C">
        <w:t>’</w:t>
      </w:r>
      <w:r w:rsidRPr="00793F60">
        <w:t>article 7 du Pacte. Étant parvenu à cette conclusion, il n</w:t>
      </w:r>
      <w:r w:rsidR="002E0B4C">
        <w:t>’</w:t>
      </w:r>
      <w:r w:rsidRPr="00793F60">
        <w:t>examinera pas les griefs de violation du paragraphe 1 de l</w:t>
      </w:r>
      <w:r w:rsidR="002E0B4C">
        <w:t>’</w:t>
      </w:r>
      <w:r w:rsidRPr="00793F60">
        <w:t>article 10 du Pacte pour les mêmes faits.</w:t>
      </w:r>
    </w:p>
    <w:p w:rsidR="0036782F" w:rsidRPr="00793F60" w:rsidRDefault="0036782F" w:rsidP="0036782F">
      <w:pPr>
        <w:pStyle w:val="SingleTxtG"/>
      </w:pPr>
      <w:r w:rsidRPr="00793F60">
        <w:t>7.14</w:t>
      </w:r>
      <w:r w:rsidRPr="00793F60">
        <w:tab/>
        <w:t>Le Comité prend note de l</w:t>
      </w:r>
      <w:r w:rsidR="002E0B4C">
        <w:t>’</w:t>
      </w:r>
      <w:r w:rsidRPr="00793F60">
        <w:t xml:space="preserve">angoisse et de la détresse </w:t>
      </w:r>
      <w:r>
        <w:t>causées aux</w:t>
      </w:r>
      <w:r w:rsidRPr="00793F60">
        <w:t xml:space="preserve"> auteurs par la disparition d</w:t>
      </w:r>
      <w:r w:rsidR="002E0B4C">
        <w:t>’</w:t>
      </w:r>
      <w:proofErr w:type="spellStart"/>
      <w:r w:rsidRPr="00793F60">
        <w:t>Amrit</w:t>
      </w:r>
      <w:proofErr w:type="spellEnd"/>
      <w:r w:rsidRPr="00793F60">
        <w:t xml:space="preserve"> </w:t>
      </w:r>
      <w:proofErr w:type="spellStart"/>
      <w:r w:rsidRPr="00793F60">
        <w:t>Kandel</w:t>
      </w:r>
      <w:proofErr w:type="spellEnd"/>
      <w:r w:rsidR="00A226E6">
        <w:t xml:space="preserve"> </w:t>
      </w:r>
      <w:r>
        <w:t xml:space="preserve">et </w:t>
      </w:r>
      <w:r w:rsidRPr="00793F60">
        <w:t>de l</w:t>
      </w:r>
      <w:r w:rsidR="002E0B4C">
        <w:t>’</w:t>
      </w:r>
      <w:r w:rsidRPr="00793F60">
        <w:t xml:space="preserve">incertitude </w:t>
      </w:r>
      <w:r>
        <w:t>prolongée</w:t>
      </w:r>
      <w:r w:rsidRPr="00793F60">
        <w:t xml:space="preserve"> quant aux circonstances de son arrestation et de sa détention ; du fait que </w:t>
      </w:r>
      <w:r>
        <w:t>le</w:t>
      </w:r>
      <w:r w:rsidRPr="00793F60">
        <w:t xml:space="preserve">s proches </w:t>
      </w:r>
      <w:r>
        <w:t>d</w:t>
      </w:r>
      <w:r w:rsidR="002E0B4C">
        <w:t>’</w:t>
      </w:r>
      <w:proofErr w:type="spellStart"/>
      <w:r>
        <w:t>Amrit</w:t>
      </w:r>
      <w:proofErr w:type="spellEnd"/>
      <w:r>
        <w:t xml:space="preserve"> </w:t>
      </w:r>
      <w:proofErr w:type="spellStart"/>
      <w:r>
        <w:t>Kandel</w:t>
      </w:r>
      <w:proofErr w:type="spellEnd"/>
      <w:r>
        <w:t xml:space="preserve"> </w:t>
      </w:r>
      <w:r w:rsidRPr="00793F60">
        <w:t>n</w:t>
      </w:r>
      <w:r w:rsidR="002E0B4C">
        <w:t>’</w:t>
      </w:r>
      <w:r w:rsidRPr="00793F60">
        <w:t xml:space="preserve">ont pas pu obtenir sa libération ; du fait </w:t>
      </w:r>
      <w:r>
        <w:t xml:space="preserve">que les auteurs savaient </w:t>
      </w:r>
      <w:r w:rsidRPr="00793F60">
        <w:t>qu</w:t>
      </w:r>
      <w:r w:rsidR="002E0B4C">
        <w:t>’</w:t>
      </w:r>
      <w:r w:rsidRPr="00793F60">
        <w:t>aucune enquête n</w:t>
      </w:r>
      <w:r w:rsidR="002E0B4C">
        <w:t>’</w:t>
      </w:r>
      <w:r>
        <w:t>était</w:t>
      </w:r>
      <w:r w:rsidRPr="00793F60">
        <w:t xml:space="preserve"> menée et que personne n</w:t>
      </w:r>
      <w:r w:rsidR="002E0B4C">
        <w:t>’</w:t>
      </w:r>
      <w:r>
        <w:t>était tenu responsable de la disparition d</w:t>
      </w:r>
      <w:r w:rsidR="002E0B4C">
        <w:t>’</w:t>
      </w:r>
      <w:proofErr w:type="spellStart"/>
      <w:r>
        <w:t>Amrit</w:t>
      </w:r>
      <w:proofErr w:type="spellEnd"/>
      <w:r>
        <w:t xml:space="preserve"> </w:t>
      </w:r>
      <w:proofErr w:type="spellStart"/>
      <w:r>
        <w:t>Kandel</w:t>
      </w:r>
      <w:proofErr w:type="spellEnd"/>
      <w:r w:rsidRPr="00793F60">
        <w:t>. Le Comité considère que ces faits font apparaître une violation de l</w:t>
      </w:r>
      <w:r w:rsidR="002E0B4C">
        <w:t>’</w:t>
      </w:r>
      <w:r w:rsidRPr="00793F60">
        <w:t>article 7</w:t>
      </w:r>
      <w:r>
        <w:t xml:space="preserve"> du Pacte</w:t>
      </w:r>
      <w:r w:rsidRPr="00793F60">
        <w:t>,</w:t>
      </w:r>
      <w:r>
        <w:t xml:space="preserve"> </w:t>
      </w:r>
      <w:r w:rsidRPr="00793F60">
        <w:t>au préjudice des auteurs de la présente communication.</w:t>
      </w:r>
    </w:p>
    <w:p w:rsidR="0036782F" w:rsidRPr="00793F60" w:rsidRDefault="0036782F" w:rsidP="0036782F">
      <w:pPr>
        <w:pStyle w:val="SingleTxtG"/>
      </w:pPr>
      <w:r w:rsidRPr="00793F60">
        <w:t>7.15</w:t>
      </w:r>
      <w:r w:rsidRPr="00793F60">
        <w:tab/>
        <w:t>Le Comité prend note d</w:t>
      </w:r>
      <w:r>
        <w:t>e l</w:t>
      </w:r>
      <w:r w:rsidR="002E0B4C">
        <w:t>’</w:t>
      </w:r>
      <w:r>
        <w:t xml:space="preserve">allégation des auteurs selon laquelle il </w:t>
      </w:r>
      <w:r w:rsidR="00A226E6">
        <w:t xml:space="preserve">y </w:t>
      </w:r>
      <w:r>
        <w:t xml:space="preserve">a eu violation </w:t>
      </w:r>
      <w:r w:rsidRPr="00793F60">
        <w:t>de l</w:t>
      </w:r>
      <w:r w:rsidR="002E0B4C">
        <w:t>’</w:t>
      </w:r>
      <w:r w:rsidRPr="00793F60">
        <w:t>article 9 du Pacte</w:t>
      </w:r>
      <w:r>
        <w:t xml:space="preserve"> car </w:t>
      </w:r>
      <w:proofErr w:type="spellStart"/>
      <w:r w:rsidRPr="00793F60">
        <w:t>Amrit</w:t>
      </w:r>
      <w:proofErr w:type="spellEnd"/>
      <w:r w:rsidRPr="00793F60">
        <w:t xml:space="preserve"> </w:t>
      </w:r>
      <w:proofErr w:type="spellStart"/>
      <w:r w:rsidRPr="00793F60">
        <w:t>Kandel</w:t>
      </w:r>
      <w:proofErr w:type="spellEnd"/>
      <w:r w:rsidRPr="00793F60">
        <w:t xml:space="preserve"> a été</w:t>
      </w:r>
      <w:r>
        <w:t xml:space="preserve"> </w:t>
      </w:r>
      <w:r w:rsidRPr="00793F60">
        <w:t>le 10 octobre 2003 privé de liberté</w:t>
      </w:r>
      <w:r>
        <w:t xml:space="preserve"> </w:t>
      </w:r>
      <w:r w:rsidRPr="00793F60">
        <w:t>sans qu</w:t>
      </w:r>
      <w:r w:rsidR="002E0B4C">
        <w:t>’</w:t>
      </w:r>
      <w:r w:rsidRPr="00793F60">
        <w:t>un mandat lui ait été présenté au moment de son arrestation. Aucun</w:t>
      </w:r>
      <w:r>
        <w:t xml:space="preserve"> fondement juridique</w:t>
      </w:r>
      <w:r w:rsidRPr="00793F60">
        <w:t xml:space="preserve"> n</w:t>
      </w:r>
      <w:r w:rsidR="002E0B4C">
        <w:t>’</w:t>
      </w:r>
      <w:r w:rsidRPr="00793F60">
        <w:t xml:space="preserve">a été </w:t>
      </w:r>
      <w:r>
        <w:t>invoqué</w:t>
      </w:r>
      <w:r w:rsidRPr="00793F60">
        <w:t xml:space="preserve"> pour justifier sa détention. Il n</w:t>
      </w:r>
      <w:r w:rsidR="002E0B4C">
        <w:t>’</w:t>
      </w:r>
      <w:r w:rsidRPr="00793F60">
        <w:t xml:space="preserve">a jamais été </w:t>
      </w:r>
      <w:r>
        <w:t>présenté</w:t>
      </w:r>
      <w:r w:rsidRPr="00793F60">
        <w:t xml:space="preserve"> devant un juge et n</w:t>
      </w:r>
      <w:r w:rsidR="002E0B4C">
        <w:t>’</w:t>
      </w:r>
      <w:r w:rsidRPr="00793F60">
        <w:t>a pas pu contester la légalité de sa détention. De plus, l</w:t>
      </w:r>
      <w:r w:rsidR="002E0B4C">
        <w:t>’</w:t>
      </w:r>
      <w:r w:rsidRPr="00793F60">
        <w:t>arrestation et la détention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n</w:t>
      </w:r>
      <w:r w:rsidR="002E0B4C">
        <w:t>’</w:t>
      </w:r>
      <w:r w:rsidRPr="00793F60">
        <w:t xml:space="preserve">ont pas été enregistrées, ce qui est contraire aux </w:t>
      </w:r>
      <w:r>
        <w:t xml:space="preserve">lignes directrices internationales relatives aux </w:t>
      </w:r>
      <w:r w:rsidRPr="00793F60">
        <w:t>garanties reconnues aux personnes détenues. En l</w:t>
      </w:r>
      <w:r w:rsidR="002E0B4C">
        <w:t>’</w:t>
      </w:r>
      <w:r w:rsidRPr="00793F60">
        <w:t>absence de réponse de l</w:t>
      </w:r>
      <w:r w:rsidR="002E0B4C">
        <w:t>’</w:t>
      </w:r>
      <w:r w:rsidRPr="00793F60">
        <w:t>État partie à ce propos, le Comité considère que la détention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constitue une violation des droits </w:t>
      </w:r>
      <w:r>
        <w:t>qu</w:t>
      </w:r>
      <w:r w:rsidR="002E0B4C">
        <w:t>’</w:t>
      </w:r>
      <w:r>
        <w:t>il tient</w:t>
      </w:r>
      <w:r w:rsidRPr="00793F60">
        <w:t xml:space="preserve"> de l</w:t>
      </w:r>
      <w:r w:rsidR="002E0B4C">
        <w:t>’</w:t>
      </w:r>
      <w:r w:rsidRPr="00793F60">
        <w:t>article 9 du Pacte, puisqu</w:t>
      </w:r>
      <w:r w:rsidR="002E0B4C">
        <w:t>’</w:t>
      </w:r>
      <w:r w:rsidRPr="00793F60">
        <w:t>il n</w:t>
      </w:r>
      <w:r w:rsidR="002E0B4C">
        <w:t>’</w:t>
      </w:r>
      <w:r w:rsidRPr="00793F60">
        <w:t xml:space="preserve">y a aucune trace administrative de son arrestation ni de sa détention. </w:t>
      </w:r>
    </w:p>
    <w:p w:rsidR="0036782F" w:rsidRPr="00793F60" w:rsidRDefault="0036782F" w:rsidP="0036782F">
      <w:pPr>
        <w:pStyle w:val="SingleTxtG"/>
      </w:pPr>
      <w:r w:rsidRPr="00793F60">
        <w:t>7.16</w:t>
      </w:r>
      <w:r w:rsidRPr="00793F60">
        <w:tab/>
        <w:t>En ce qui concerne l</w:t>
      </w:r>
      <w:r w:rsidR="002E0B4C">
        <w:t>’</w:t>
      </w:r>
      <w:r w:rsidRPr="00793F60">
        <w:t>article 16</w:t>
      </w:r>
      <w:r>
        <w:t xml:space="preserve"> du Pacte</w:t>
      </w:r>
      <w:r w:rsidRPr="00793F60">
        <w:t>, le Comité prend note de l</w:t>
      </w:r>
      <w:r w:rsidR="002E0B4C">
        <w:t>’</w:t>
      </w:r>
      <w:r w:rsidRPr="00793F60">
        <w:t>allégation des auteurs selon laquelle, bien qu</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ait été arrêté et détenu au secret par les forces de sécurité (Armée royale népalaise), les autorités népalaises ont nié catégoriquement être impliquées dans sa disparition forcée. L</w:t>
      </w:r>
      <w:r w:rsidR="002E0B4C">
        <w:t>’</w:t>
      </w:r>
      <w:r w:rsidRPr="00793F60">
        <w:t>État partie ne leur a pas fourni d</w:t>
      </w:r>
      <w:r w:rsidR="002E0B4C">
        <w:t>’</w:t>
      </w:r>
      <w:r w:rsidRPr="00793F60">
        <w:t xml:space="preserve">informations </w:t>
      </w:r>
      <w:r>
        <w:t>utiles</w:t>
      </w:r>
      <w:r w:rsidRPr="00793F60">
        <w:t xml:space="preserve"> sur le sort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et aucune enquête sérieuse n</w:t>
      </w:r>
      <w:r w:rsidR="002E0B4C">
        <w:t>’</w:t>
      </w:r>
      <w:r w:rsidRPr="00793F60">
        <w:t>a été menée pour déterminer où il se trouve, ce qui soustrait effectivement l</w:t>
      </w:r>
      <w:r w:rsidR="002E0B4C">
        <w:t>’</w:t>
      </w:r>
      <w:r w:rsidRPr="00793F60">
        <w:t>intéressé à la protection de la loi. Le Comité considère que la soustraction délibérée d</w:t>
      </w:r>
      <w:r w:rsidR="002E0B4C">
        <w:t>’</w:t>
      </w:r>
      <w:r w:rsidRPr="00793F60">
        <w:t>une personne à la protection de la loi constitue un déni du droit à la reconnaissance de sa personnalité juridique, en particulier si toute tentative des parents de la victime pour se prévaloir de recours utiles est systématiquement entravée</w:t>
      </w:r>
      <w:r w:rsidRPr="00793F60">
        <w:rPr>
          <w:rStyle w:val="Appelnotedebasdep"/>
        </w:rPr>
        <w:footnoteReference w:id="18"/>
      </w:r>
      <w:r w:rsidRPr="00793F60">
        <w:t>. Le Comité estime donc que la disparition forcée d</w:t>
      </w:r>
      <w:r w:rsidR="002E0B4C">
        <w:t>’</w:t>
      </w:r>
      <w:proofErr w:type="spellStart"/>
      <w:r w:rsidRPr="00793F60">
        <w:t>Amrit</w:t>
      </w:r>
      <w:proofErr w:type="spellEnd"/>
      <w:r w:rsidRPr="00793F60">
        <w:t xml:space="preserve"> </w:t>
      </w:r>
      <w:proofErr w:type="spellStart"/>
      <w:r w:rsidRPr="00793F60">
        <w:t>Kandel</w:t>
      </w:r>
      <w:proofErr w:type="spellEnd"/>
      <w:r w:rsidRPr="00793F60">
        <w:t xml:space="preserve"> l</w:t>
      </w:r>
      <w:r w:rsidR="002E0B4C">
        <w:t>’</w:t>
      </w:r>
      <w:r w:rsidRPr="00793F60">
        <w:t>a privé de la protection de la loi et de son droit à la reconnaissance de sa personnalité juridique, en violation de l</w:t>
      </w:r>
      <w:r w:rsidR="002E0B4C">
        <w:t>’</w:t>
      </w:r>
      <w:r w:rsidRPr="00793F60">
        <w:t>article 16 du Pacte.</w:t>
      </w:r>
      <w:r>
        <w:t xml:space="preserve"> </w:t>
      </w:r>
    </w:p>
    <w:p w:rsidR="0036782F" w:rsidRPr="00793F60" w:rsidRDefault="0036782F" w:rsidP="0036782F">
      <w:pPr>
        <w:pStyle w:val="SingleTxtG"/>
      </w:pPr>
      <w:r w:rsidRPr="00793F60">
        <w:lastRenderedPageBreak/>
        <w:t>7.17</w:t>
      </w:r>
      <w:r w:rsidRPr="00793F60">
        <w:tab/>
        <w:t>Les auteurs invoquent le paragraphe 3 de l</w:t>
      </w:r>
      <w:r w:rsidR="002E0B4C">
        <w:t>’</w:t>
      </w:r>
      <w:r w:rsidRPr="00793F60">
        <w:t>article 2 du Pacte, qui impose aux États parties l</w:t>
      </w:r>
      <w:r w:rsidR="002E0B4C">
        <w:t>’</w:t>
      </w:r>
      <w:r w:rsidRPr="00793F60">
        <w:t xml:space="preserve">obligation de garantir un recours utile à tous les individus dont les droits reconnus </w:t>
      </w:r>
      <w:r>
        <w:t>par</w:t>
      </w:r>
      <w:r w:rsidRPr="00793F60">
        <w:t xml:space="preserve"> le Pacte </w:t>
      </w:r>
      <w:r>
        <w:t>ont</w:t>
      </w:r>
      <w:r w:rsidRPr="00793F60">
        <w:t xml:space="preserve"> été violés. Le Comité attache de l</w:t>
      </w:r>
      <w:r w:rsidR="002E0B4C">
        <w:t>’</w:t>
      </w:r>
      <w:r w:rsidRPr="00793F60">
        <w:t xml:space="preserve">importance à la mise en place par les États parties de mécanismes judiciaires et administratifs appropriés pour examiner les plaintes faisant état de violations des droits. Il renvoie à son observation générale </w:t>
      </w:r>
      <w:r w:rsidRPr="00793F60">
        <w:rPr>
          <w:rFonts w:eastAsia="MS Mincho"/>
          <w:szCs w:val="22"/>
        </w:rPr>
        <w:t>n</w:t>
      </w:r>
      <w:r w:rsidRPr="00793F60">
        <w:rPr>
          <w:rFonts w:eastAsia="MS Mincho"/>
          <w:szCs w:val="22"/>
          <w:vertAlign w:val="superscript"/>
        </w:rPr>
        <w:t>o</w:t>
      </w:r>
      <w:r w:rsidRPr="00793F60">
        <w:t> 31, qui dispose notamment que le fait pour un État partie de ne pas mener d</w:t>
      </w:r>
      <w:r w:rsidR="002E0B4C">
        <w:t>’</w:t>
      </w:r>
      <w:r w:rsidRPr="00793F60">
        <w:t>enquête sur des violations présumées pourrait en soi donner lieu à une violation distincte du Pacte. En l</w:t>
      </w:r>
      <w:r w:rsidR="002E0B4C">
        <w:t>’</w:t>
      </w:r>
      <w:r w:rsidRPr="00793F60">
        <w:t xml:space="preserve">espèce, le Comité relève que </w:t>
      </w:r>
      <w:proofErr w:type="spellStart"/>
      <w:r w:rsidRPr="00793F60">
        <w:t>Tikanath</w:t>
      </w:r>
      <w:proofErr w:type="spellEnd"/>
      <w:r w:rsidRPr="00793F60">
        <w:t xml:space="preserve"> </w:t>
      </w:r>
      <w:proofErr w:type="spellStart"/>
      <w:r w:rsidRPr="00793F60">
        <w:t>Kandel</w:t>
      </w:r>
      <w:proofErr w:type="spellEnd"/>
      <w:r w:rsidRPr="00793F60">
        <w:t xml:space="preserve"> a déposé une plainte le 15 octobre 2003 auprès de la Commission nationale des droits de l</w:t>
      </w:r>
      <w:r w:rsidR="002E0B4C">
        <w:t>’</w:t>
      </w:r>
      <w:r w:rsidRPr="00793F60">
        <w:t>homme concernant l</w:t>
      </w:r>
      <w:r w:rsidR="002E0B4C">
        <w:t>’</w:t>
      </w:r>
      <w:r w:rsidRPr="00793F60">
        <w:t xml:space="preserve">arrestation et la détention au secret de ses deux fils, </w:t>
      </w:r>
      <w:r>
        <w:t>qu</w:t>
      </w:r>
      <w:r w:rsidR="002E0B4C">
        <w:t>’</w:t>
      </w:r>
      <w:r>
        <w:t xml:space="preserve">il </w:t>
      </w:r>
      <w:r w:rsidRPr="00793F60">
        <w:t>a vainement essayé de déposer une plainte auprès de l</w:t>
      </w:r>
      <w:r w:rsidR="002E0B4C">
        <w:t>’</w:t>
      </w:r>
      <w:r w:rsidRPr="00793F60">
        <w:t>Armée royale népalaise le 17 octobre 2003</w:t>
      </w:r>
      <w:r>
        <w:t xml:space="preserve"> </w:t>
      </w:r>
      <w:r w:rsidRPr="00793F60">
        <w:t>et</w:t>
      </w:r>
      <w:r>
        <w:t xml:space="preserve"> qu</w:t>
      </w:r>
      <w:r w:rsidR="002E0B4C">
        <w:t>’</w:t>
      </w:r>
      <w:r>
        <w:t>il</w:t>
      </w:r>
      <w:r w:rsidRPr="00793F60">
        <w:t xml:space="preserve"> s</w:t>
      </w:r>
      <w:r w:rsidR="002E0B4C">
        <w:t>’</w:t>
      </w:r>
      <w:r w:rsidRPr="00793F60">
        <w:t>est enquis de l</w:t>
      </w:r>
      <w:r w:rsidR="002E0B4C">
        <w:t>’</w:t>
      </w:r>
      <w:r w:rsidRPr="00793F60">
        <w:t>endroit où se trouvaient ses fils le 21 octobre 2003 auprès d</w:t>
      </w:r>
      <w:r w:rsidR="002E0B4C">
        <w:t>’</w:t>
      </w:r>
      <w:r w:rsidRPr="00793F60">
        <w:t>un parent éloigné qui était alors Ministre de la réforme agraire</w:t>
      </w:r>
      <w:r>
        <w:t xml:space="preserve"> et de l</w:t>
      </w:r>
      <w:r w:rsidR="002E0B4C">
        <w:t>’</w:t>
      </w:r>
      <w:r>
        <w:t>aménagement des terres</w:t>
      </w:r>
      <w:r w:rsidRPr="00793F60">
        <w:t xml:space="preserve">. Les auteurs ont également </w:t>
      </w:r>
      <w:r>
        <w:t>introduit une action</w:t>
      </w:r>
      <w:r w:rsidRPr="00793F60">
        <w:t xml:space="preserve"> en </w:t>
      </w:r>
      <w:r w:rsidRPr="00793F60">
        <w:rPr>
          <w:i/>
        </w:rPr>
        <w:t>habeas corpus</w:t>
      </w:r>
      <w:r w:rsidRPr="00793F60">
        <w:t xml:space="preserve"> </w:t>
      </w:r>
      <w:r>
        <w:t>devant</w:t>
      </w:r>
      <w:r w:rsidRPr="00793F60">
        <w:t xml:space="preserve"> la Cour suprême du Népal le 30 novembre 2004. Malgré ces efforts, l</w:t>
      </w:r>
      <w:r w:rsidR="002E0B4C">
        <w:t>’</w:t>
      </w:r>
      <w:r w:rsidRPr="00793F60">
        <w:t>État partie n</w:t>
      </w:r>
      <w:r w:rsidR="002E0B4C">
        <w:t>’</w:t>
      </w:r>
      <w:r w:rsidRPr="00793F60">
        <w:t>a pas diligenté d</w:t>
      </w:r>
      <w:r w:rsidR="002E0B4C">
        <w:t>’</w:t>
      </w:r>
      <w:r w:rsidRPr="00793F60">
        <w:t>enquête indépendante et approfondie pour faire la lumière sur les circonstances entourant l</w:t>
      </w:r>
      <w:r w:rsidR="002E0B4C">
        <w:t>’</w:t>
      </w:r>
      <w:r w:rsidRPr="00793F60">
        <w:t>arrestation, la détention et la disparition d</w:t>
      </w:r>
      <w:r w:rsidR="002E0B4C">
        <w:t>’</w:t>
      </w:r>
      <w:proofErr w:type="spellStart"/>
      <w:r w:rsidRPr="00793F60">
        <w:t>Amrit</w:t>
      </w:r>
      <w:proofErr w:type="spellEnd"/>
      <w:r w:rsidRPr="00793F60">
        <w:t xml:space="preserve"> </w:t>
      </w:r>
      <w:proofErr w:type="spellStart"/>
      <w:r w:rsidRPr="00793F60">
        <w:t>Kandel</w:t>
      </w:r>
      <w:proofErr w:type="spellEnd"/>
      <w:r w:rsidRPr="00793F60">
        <w:t>. À cet égard, le Comité estime que l</w:t>
      </w:r>
      <w:r w:rsidR="002E0B4C">
        <w:t>’</w:t>
      </w:r>
      <w:r w:rsidRPr="00793F60">
        <w:t>État partie n</w:t>
      </w:r>
      <w:r w:rsidR="002E0B4C">
        <w:t>’</w:t>
      </w:r>
      <w:r w:rsidRPr="00793F60">
        <w:t>a pas procédé rapidement à une enquête approfondie et efficace sur la disparition d</w:t>
      </w:r>
      <w:r w:rsidR="002E0B4C">
        <w:t>’</w:t>
      </w:r>
      <w:proofErr w:type="spellStart"/>
      <w:r w:rsidRPr="00793F60">
        <w:t>Amrit</w:t>
      </w:r>
      <w:proofErr w:type="spellEnd"/>
      <w:r w:rsidRPr="00793F60">
        <w:t xml:space="preserve"> </w:t>
      </w:r>
      <w:proofErr w:type="spellStart"/>
      <w:r w:rsidRPr="00793F60">
        <w:t>Kandel</w:t>
      </w:r>
      <w:proofErr w:type="spellEnd"/>
      <w:r w:rsidRPr="00793F60">
        <w:t>. De plus, les sommes reçues par les auteurs à titre d</w:t>
      </w:r>
      <w:r w:rsidR="002E0B4C">
        <w:t>’</w:t>
      </w:r>
      <w:r w:rsidRPr="00793F60">
        <w:t>indemnisation provisoire ne constituent pas une réparation adéquate et proportionnée à la gravité des violations commises. En conséquence, le Comité conclut que les faits dont il est saisi font apparaître une violation du paragraphe 3 de l</w:t>
      </w:r>
      <w:r w:rsidR="002E0B4C">
        <w:t>’</w:t>
      </w:r>
      <w:r w:rsidRPr="00793F60">
        <w:t xml:space="preserve">article 2, lu conjointement avec les articles 6, 7, 9 et 16 du Pacte, </w:t>
      </w:r>
      <w:r>
        <w:t>à l</w:t>
      </w:r>
      <w:r w:rsidR="002E0B4C">
        <w:t>’</w:t>
      </w:r>
      <w:r>
        <w:t>égard</w:t>
      </w:r>
      <w:r w:rsidRPr="00793F60">
        <w:t xml:space="preserve"> d</w:t>
      </w:r>
      <w:r w:rsidR="002E0B4C">
        <w:t>’</w:t>
      </w:r>
      <w:proofErr w:type="spellStart"/>
      <w:r w:rsidRPr="00793F60">
        <w:t>Amrit</w:t>
      </w:r>
      <w:proofErr w:type="spellEnd"/>
      <w:r w:rsidRPr="00793F60">
        <w:t xml:space="preserve"> </w:t>
      </w:r>
      <w:proofErr w:type="spellStart"/>
      <w:r w:rsidRPr="00793F60">
        <w:t>Kandel</w:t>
      </w:r>
      <w:proofErr w:type="spellEnd"/>
      <w:r w:rsidRPr="00793F60">
        <w:t>, ainsi qu</w:t>
      </w:r>
      <w:r w:rsidR="002E0B4C">
        <w:t>’</w:t>
      </w:r>
      <w:r w:rsidRPr="00793F60">
        <w:t>une violation du paragraphe 3 de l</w:t>
      </w:r>
      <w:r w:rsidR="002E0B4C">
        <w:t>’</w:t>
      </w:r>
      <w:r w:rsidRPr="00793F60">
        <w:t>article 2 du Pacte, lu conjointement avec l</w:t>
      </w:r>
      <w:r w:rsidR="002E0B4C">
        <w:t>’</w:t>
      </w:r>
      <w:r w:rsidRPr="00793F60">
        <w:t xml:space="preserve">article 7 du Pacte, </w:t>
      </w:r>
      <w:r>
        <w:t>à l</w:t>
      </w:r>
      <w:r w:rsidR="002E0B4C">
        <w:t>’</w:t>
      </w:r>
      <w:r>
        <w:t>égard</w:t>
      </w:r>
      <w:r w:rsidRPr="00793F60">
        <w:t xml:space="preserve"> des auteurs.</w:t>
      </w:r>
    </w:p>
    <w:p w:rsidR="0036782F" w:rsidRPr="00793F60" w:rsidRDefault="0036782F" w:rsidP="0036782F">
      <w:pPr>
        <w:pStyle w:val="SingleTxtG"/>
      </w:pPr>
      <w:r w:rsidRPr="00793F60">
        <w:t>8.</w:t>
      </w:r>
      <w:r w:rsidRPr="00793F60">
        <w:tab/>
        <w:t>Le Comité, agissant en vertu du paragraphe 4 de l</w:t>
      </w:r>
      <w:r w:rsidR="002E0B4C">
        <w:t>’</w:t>
      </w:r>
      <w:r w:rsidRPr="00793F60">
        <w:t>article 5 du Protocole facultatif, constate que les informations dont il est saisi font apparaître une violation par l</w:t>
      </w:r>
      <w:r w:rsidR="002E0B4C">
        <w:t>’</w:t>
      </w:r>
      <w:r w:rsidRPr="00793F60">
        <w:t>État partie des articles 6, 7, 9 et 16, lus seuls et conjointement avec le paragraphe 3 de l</w:t>
      </w:r>
      <w:r w:rsidR="002E0B4C">
        <w:t>’</w:t>
      </w:r>
      <w:r w:rsidRPr="00793F60">
        <w:t xml:space="preserve">article 2 du Pacte, </w:t>
      </w:r>
      <w:r>
        <w:t>à l</w:t>
      </w:r>
      <w:r w:rsidR="002E0B4C">
        <w:t>’</w:t>
      </w:r>
      <w:r>
        <w:t xml:space="preserve">égard </w:t>
      </w:r>
      <w:r w:rsidRPr="00793F60">
        <w:t>d</w:t>
      </w:r>
      <w:r w:rsidR="002E0B4C">
        <w:t>’</w:t>
      </w:r>
      <w:proofErr w:type="spellStart"/>
      <w:r w:rsidRPr="00793F60">
        <w:t>Amrit</w:t>
      </w:r>
      <w:proofErr w:type="spellEnd"/>
      <w:r w:rsidRPr="00793F60">
        <w:t xml:space="preserve"> </w:t>
      </w:r>
      <w:proofErr w:type="spellStart"/>
      <w:r w:rsidRPr="00793F60">
        <w:t>Kandel</w:t>
      </w:r>
      <w:proofErr w:type="spellEnd"/>
      <w:r w:rsidRPr="00793F60">
        <w:t>, et une violation de l</w:t>
      </w:r>
      <w:r w:rsidR="002E0B4C">
        <w:t>’</w:t>
      </w:r>
      <w:r w:rsidRPr="00793F60">
        <w:t>article 7, lu seul et conjointement avec le paragraphe 3 de l</w:t>
      </w:r>
      <w:r w:rsidR="002E0B4C">
        <w:t>’</w:t>
      </w:r>
      <w:r w:rsidRPr="00793F60">
        <w:t xml:space="preserve">article 2, </w:t>
      </w:r>
      <w:r>
        <w:t>à l</w:t>
      </w:r>
      <w:r w:rsidR="002E0B4C">
        <w:t>’</w:t>
      </w:r>
      <w:r>
        <w:t xml:space="preserve">égard de </w:t>
      </w:r>
      <w:proofErr w:type="spellStart"/>
      <w:r w:rsidRPr="00F375B2">
        <w:t>Tikanath</w:t>
      </w:r>
      <w:proofErr w:type="spellEnd"/>
      <w:r w:rsidRPr="00F375B2">
        <w:t xml:space="preserve"> and </w:t>
      </w:r>
      <w:proofErr w:type="spellStart"/>
      <w:r w:rsidRPr="00F375B2">
        <w:t>Ramhari</w:t>
      </w:r>
      <w:proofErr w:type="spellEnd"/>
      <w:r w:rsidRPr="00F375B2">
        <w:t xml:space="preserve"> </w:t>
      </w:r>
      <w:proofErr w:type="spellStart"/>
      <w:r w:rsidRPr="00F375B2">
        <w:t>Kandel</w:t>
      </w:r>
      <w:proofErr w:type="spellEnd"/>
      <w:r w:rsidRPr="00793F60">
        <w:t xml:space="preserve">. </w:t>
      </w:r>
    </w:p>
    <w:p w:rsidR="0036782F" w:rsidRPr="00C7296B" w:rsidRDefault="0036782F" w:rsidP="0036782F">
      <w:pPr>
        <w:pStyle w:val="SingleTxtG"/>
        <w:rPr>
          <w:spacing w:val="-1"/>
        </w:rPr>
      </w:pPr>
      <w:r w:rsidRPr="00793F60">
        <w:t>9.</w:t>
      </w:r>
      <w:r w:rsidRPr="00793F60">
        <w:tab/>
      </w:r>
      <w:r w:rsidRPr="00C7296B">
        <w:rPr>
          <w:spacing w:val="-1"/>
        </w:rPr>
        <w:t>Conformément au paragraphe 3 a) de l</w:t>
      </w:r>
      <w:r w:rsidR="002E0B4C">
        <w:rPr>
          <w:spacing w:val="-1"/>
        </w:rPr>
        <w:t>’</w:t>
      </w:r>
      <w:r w:rsidRPr="00C7296B">
        <w:rPr>
          <w:spacing w:val="-1"/>
        </w:rPr>
        <w:t>article 2 du Pacte, l</w:t>
      </w:r>
      <w:r w:rsidR="002E0B4C">
        <w:rPr>
          <w:spacing w:val="-1"/>
        </w:rPr>
        <w:t>’</w:t>
      </w:r>
      <w:r w:rsidRPr="00C7296B">
        <w:rPr>
          <w:spacing w:val="-1"/>
        </w:rPr>
        <w:t>État partie est tenu d</w:t>
      </w:r>
      <w:r w:rsidR="002E0B4C">
        <w:rPr>
          <w:spacing w:val="-1"/>
        </w:rPr>
        <w:t>’</w:t>
      </w:r>
      <w:r w:rsidRPr="00C7296B">
        <w:rPr>
          <w:spacing w:val="-1"/>
        </w:rPr>
        <w:t>assurer aux auteurs un recours utile. Il a l</w:t>
      </w:r>
      <w:r w:rsidR="002E0B4C">
        <w:rPr>
          <w:spacing w:val="-1"/>
        </w:rPr>
        <w:t>’</w:t>
      </w:r>
      <w:r w:rsidRPr="00C7296B">
        <w:rPr>
          <w:spacing w:val="-1"/>
        </w:rPr>
        <w:t>obligation d</w:t>
      </w:r>
      <w:r w:rsidR="002E0B4C">
        <w:rPr>
          <w:spacing w:val="-1"/>
        </w:rPr>
        <w:t>’</w:t>
      </w:r>
      <w:r w:rsidRPr="00C7296B">
        <w:rPr>
          <w:spacing w:val="-1"/>
        </w:rPr>
        <w:t>accorder une réparation intégrale aux individus dont les droits garantis par le Pacte ont été violés. En conséquence, l</w:t>
      </w:r>
      <w:r w:rsidR="002E0B4C">
        <w:rPr>
          <w:spacing w:val="-1"/>
        </w:rPr>
        <w:t>’</w:t>
      </w:r>
      <w:r w:rsidRPr="00C7296B">
        <w:rPr>
          <w:spacing w:val="-1"/>
        </w:rPr>
        <w:t>État partie est tenu, entre autres : a) de mener une enquête approfondie et efficace sur les circonstances de la détention d</w:t>
      </w:r>
      <w:r w:rsidR="002E0B4C">
        <w:rPr>
          <w:spacing w:val="-1"/>
        </w:rPr>
        <w:t>’</w:t>
      </w:r>
      <w:proofErr w:type="spellStart"/>
      <w:r w:rsidRPr="00C7296B">
        <w:rPr>
          <w:spacing w:val="-1"/>
        </w:rPr>
        <w:t>Amrit</w:t>
      </w:r>
      <w:proofErr w:type="spellEnd"/>
      <w:r w:rsidRPr="00C7296B">
        <w:rPr>
          <w:spacing w:val="-1"/>
        </w:rPr>
        <w:t xml:space="preserve"> </w:t>
      </w:r>
      <w:proofErr w:type="spellStart"/>
      <w:r w:rsidRPr="00C7296B">
        <w:rPr>
          <w:spacing w:val="-1"/>
        </w:rPr>
        <w:t>Kandel</w:t>
      </w:r>
      <w:proofErr w:type="spellEnd"/>
      <w:r w:rsidRPr="00C7296B">
        <w:rPr>
          <w:spacing w:val="-1"/>
        </w:rPr>
        <w:t>, le traitement qui lui a été infligé en détention et sa disparition ; b) de communiquer aux auteurs des informations détaillées sur les résultats de l</w:t>
      </w:r>
      <w:r w:rsidR="002E0B4C">
        <w:rPr>
          <w:spacing w:val="-1"/>
        </w:rPr>
        <w:t>’</w:t>
      </w:r>
      <w:r w:rsidRPr="00C7296B">
        <w:rPr>
          <w:spacing w:val="-1"/>
        </w:rPr>
        <w:t xml:space="preserve">enquête ; </w:t>
      </w:r>
      <w:r w:rsidRPr="00C7296B">
        <w:rPr>
          <w:spacing w:val="-1"/>
          <w:lang w:eastAsia="en-GB"/>
        </w:rPr>
        <w:t xml:space="preserve">c) de libérer </w:t>
      </w:r>
      <w:proofErr w:type="spellStart"/>
      <w:r w:rsidRPr="00C7296B">
        <w:rPr>
          <w:spacing w:val="-1"/>
          <w:lang w:eastAsia="en-GB"/>
        </w:rPr>
        <w:t>Amrit</w:t>
      </w:r>
      <w:proofErr w:type="spellEnd"/>
      <w:r w:rsidRPr="00C7296B">
        <w:rPr>
          <w:spacing w:val="-1"/>
          <w:lang w:eastAsia="en-GB"/>
        </w:rPr>
        <w:t xml:space="preserve"> </w:t>
      </w:r>
      <w:proofErr w:type="spellStart"/>
      <w:r w:rsidRPr="00C7296B">
        <w:rPr>
          <w:spacing w:val="-1"/>
          <w:lang w:eastAsia="en-GB"/>
        </w:rPr>
        <w:t>Kandel</w:t>
      </w:r>
      <w:proofErr w:type="spellEnd"/>
      <w:r w:rsidRPr="00C7296B">
        <w:rPr>
          <w:spacing w:val="-1"/>
          <w:lang w:eastAsia="en-GB"/>
        </w:rPr>
        <w:t>, s</w:t>
      </w:r>
      <w:r w:rsidR="002E0B4C">
        <w:rPr>
          <w:spacing w:val="-1"/>
          <w:lang w:eastAsia="en-GB"/>
        </w:rPr>
        <w:t>’</w:t>
      </w:r>
      <w:r w:rsidRPr="00C7296B">
        <w:rPr>
          <w:spacing w:val="-1"/>
          <w:lang w:eastAsia="en-GB"/>
        </w:rPr>
        <w:t>il est encore en vie, ou</w:t>
      </w:r>
      <w:r>
        <w:rPr>
          <w:spacing w:val="-1"/>
          <w:lang w:eastAsia="en-GB"/>
        </w:rPr>
        <w:t>,</w:t>
      </w:r>
      <w:r w:rsidRPr="00C7296B">
        <w:rPr>
          <w:spacing w:val="-1"/>
          <w:lang w:eastAsia="en-GB"/>
        </w:rPr>
        <w:t xml:space="preserve"> s</w:t>
      </w:r>
      <w:r w:rsidR="002E0B4C">
        <w:rPr>
          <w:spacing w:val="-1"/>
          <w:lang w:eastAsia="en-GB"/>
        </w:rPr>
        <w:t>’</w:t>
      </w:r>
      <w:r>
        <w:rPr>
          <w:spacing w:val="-1"/>
          <w:lang w:eastAsia="en-GB"/>
        </w:rPr>
        <w:t xml:space="preserve">il  </w:t>
      </w:r>
      <w:r w:rsidRPr="00C7296B">
        <w:rPr>
          <w:spacing w:val="-1"/>
          <w:lang w:eastAsia="en-GB"/>
        </w:rPr>
        <w:t xml:space="preserve">est décédé, </w:t>
      </w:r>
      <w:r>
        <w:rPr>
          <w:spacing w:val="-1"/>
          <w:lang w:eastAsia="en-GB"/>
        </w:rPr>
        <w:t xml:space="preserve">de </w:t>
      </w:r>
      <w:r w:rsidRPr="00C7296B">
        <w:rPr>
          <w:spacing w:val="-1"/>
          <w:lang w:eastAsia="en-GB"/>
        </w:rPr>
        <w:t xml:space="preserve">remettre ses restes à sa famille ; </w:t>
      </w:r>
      <w:r w:rsidRPr="00C7296B">
        <w:rPr>
          <w:spacing w:val="-1"/>
        </w:rPr>
        <w:t>d) d</w:t>
      </w:r>
      <w:r w:rsidR="002E0B4C">
        <w:rPr>
          <w:spacing w:val="-1"/>
        </w:rPr>
        <w:t>’</w:t>
      </w:r>
      <w:r>
        <w:rPr>
          <w:spacing w:val="-1"/>
        </w:rPr>
        <w:t>engager des poursuites et de punir</w:t>
      </w:r>
      <w:r w:rsidRPr="00C7296B">
        <w:rPr>
          <w:spacing w:val="-1"/>
        </w:rPr>
        <w:t xml:space="preserve"> les </w:t>
      </w:r>
      <w:r>
        <w:rPr>
          <w:spacing w:val="-1"/>
        </w:rPr>
        <w:t>personnes qui auront été déclarées responsables</w:t>
      </w:r>
      <w:r w:rsidRPr="00C7296B">
        <w:rPr>
          <w:spacing w:val="-1"/>
        </w:rPr>
        <w:t xml:space="preserve"> des violations commises et de rendre public le résultat de ces mesures ; e) de veiller à ce que les auteurs bénéficient des mesures de réadaptation psychologique nécessaires et d</w:t>
      </w:r>
      <w:r w:rsidR="002E0B4C">
        <w:rPr>
          <w:spacing w:val="-1"/>
        </w:rPr>
        <w:t>’</w:t>
      </w:r>
      <w:r w:rsidRPr="00C7296B">
        <w:rPr>
          <w:spacing w:val="-1"/>
        </w:rPr>
        <w:t>un traitement médical adéquat ; f) d</w:t>
      </w:r>
      <w:r w:rsidR="002E0B4C">
        <w:rPr>
          <w:spacing w:val="-1"/>
        </w:rPr>
        <w:t>’</w:t>
      </w:r>
      <w:r w:rsidRPr="00C7296B">
        <w:rPr>
          <w:spacing w:val="-1"/>
        </w:rPr>
        <w:t>assurer aux auteurs une indemnisation adéquate</w:t>
      </w:r>
      <w:r>
        <w:rPr>
          <w:spacing w:val="-1"/>
        </w:rPr>
        <w:t xml:space="preserve"> et de prendre en leur faveur</w:t>
      </w:r>
      <w:r w:rsidRPr="00C7296B">
        <w:rPr>
          <w:spacing w:val="-1"/>
        </w:rPr>
        <w:t xml:space="preserve"> des mesures de satisfaction appropriées, au-delà de l</w:t>
      </w:r>
      <w:r w:rsidR="002E0B4C">
        <w:rPr>
          <w:spacing w:val="-1"/>
        </w:rPr>
        <w:t>’</w:t>
      </w:r>
      <w:r w:rsidRPr="00C7296B">
        <w:rPr>
          <w:spacing w:val="-1"/>
        </w:rPr>
        <w:t>indemnisation partielle déjà offerte pour les violations subies. L</w:t>
      </w:r>
      <w:r w:rsidR="002E0B4C">
        <w:rPr>
          <w:spacing w:val="-1"/>
        </w:rPr>
        <w:t>’</w:t>
      </w:r>
      <w:r w:rsidRPr="00C7296B">
        <w:rPr>
          <w:spacing w:val="-1"/>
        </w:rPr>
        <w:t>État partie est également tenu de prendre des mesures pour que pareilles violations ne se reproduisent pas. En particulier, il devrait faire en sorte que sa législation </w:t>
      </w:r>
      <w:r>
        <w:rPr>
          <w:spacing w:val="-1"/>
        </w:rPr>
        <w:t>réprime</w:t>
      </w:r>
      <w:r w:rsidRPr="00C7296B">
        <w:rPr>
          <w:spacing w:val="-1"/>
        </w:rPr>
        <w:t xml:space="preserve"> la torture et les disparitions forcées et prévoie des sanctions appropriées et des r</w:t>
      </w:r>
      <w:r>
        <w:rPr>
          <w:spacing w:val="-1"/>
        </w:rPr>
        <w:t>éparations</w:t>
      </w:r>
      <w:r w:rsidRPr="00C7296B">
        <w:rPr>
          <w:spacing w:val="-1"/>
        </w:rPr>
        <w:t xml:space="preserve"> proportionné</w:t>
      </w:r>
      <w:r>
        <w:rPr>
          <w:spacing w:val="-1"/>
        </w:rPr>
        <w:t>e</w:t>
      </w:r>
      <w:r w:rsidRPr="00C7296B">
        <w:rPr>
          <w:spacing w:val="-1"/>
        </w:rPr>
        <w:t>s à la gravité des infractions</w:t>
      </w:r>
      <w:r>
        <w:rPr>
          <w:spacing w:val="-1"/>
        </w:rPr>
        <w:t>. Elle devrait en outre garantir</w:t>
      </w:r>
      <w:r w:rsidRPr="00C7296B">
        <w:rPr>
          <w:spacing w:val="-1"/>
        </w:rPr>
        <w:t xml:space="preserve"> que de tels </w:t>
      </w:r>
      <w:r>
        <w:rPr>
          <w:spacing w:val="-1"/>
        </w:rPr>
        <w:t>faits</w:t>
      </w:r>
      <w:r w:rsidRPr="00C7296B">
        <w:rPr>
          <w:spacing w:val="-1"/>
        </w:rPr>
        <w:t xml:space="preserve"> donnent lieu à une enquête rapide, impartiale et efficace</w:t>
      </w:r>
      <w:r>
        <w:rPr>
          <w:spacing w:val="-1"/>
        </w:rPr>
        <w:t xml:space="preserve"> et prévoir l</w:t>
      </w:r>
      <w:r w:rsidR="002E0B4C">
        <w:rPr>
          <w:spacing w:val="-1"/>
        </w:rPr>
        <w:t>’</w:t>
      </w:r>
      <w:r>
        <w:rPr>
          <w:spacing w:val="-1"/>
        </w:rPr>
        <w:t>engagement de poursuites pénales contre les responsables de telles infractions</w:t>
      </w:r>
      <w:r w:rsidRPr="00C7296B">
        <w:rPr>
          <w:spacing w:val="-1"/>
        </w:rPr>
        <w:t>.</w:t>
      </w:r>
    </w:p>
    <w:p w:rsidR="00E85C42" w:rsidRDefault="0036782F" w:rsidP="0036782F">
      <w:pPr>
        <w:pStyle w:val="SingleTxtG"/>
      </w:pPr>
      <w:r w:rsidRPr="00793F60">
        <w:t>10.</w:t>
      </w:r>
      <w:r w:rsidRPr="00793F60">
        <w:tab/>
        <w:t>Étant donné qu</w:t>
      </w:r>
      <w:r w:rsidR="002E0B4C">
        <w:t>’</w:t>
      </w:r>
      <w:r w:rsidRPr="00793F60">
        <w:t>en adhérant au Protocole facultatif, l</w:t>
      </w:r>
      <w:r w:rsidR="002E0B4C">
        <w:t>’</w:t>
      </w:r>
      <w:r w:rsidRPr="00793F60">
        <w:t xml:space="preserve">État partie a reconnu que le </w:t>
      </w:r>
      <w:r w:rsidRPr="00202656">
        <w:rPr>
          <w:spacing w:val="-4"/>
        </w:rPr>
        <w:t>Comité a compétence pour déterminer s</w:t>
      </w:r>
      <w:r w:rsidR="002E0B4C" w:rsidRPr="00202656">
        <w:rPr>
          <w:spacing w:val="-4"/>
        </w:rPr>
        <w:t>’</w:t>
      </w:r>
      <w:r w:rsidRPr="00202656">
        <w:rPr>
          <w:spacing w:val="-4"/>
        </w:rPr>
        <w:t xml:space="preserve">il y a ou non violation du Pacte et que, conformément </w:t>
      </w:r>
      <w:r w:rsidRPr="00793F60">
        <w:t>à l</w:t>
      </w:r>
      <w:r w:rsidR="002E0B4C">
        <w:t>’</w:t>
      </w:r>
      <w:r w:rsidRPr="00793F60">
        <w:t>article 2 du Pacte, il s</w:t>
      </w:r>
      <w:r w:rsidR="002E0B4C">
        <w:t>’</w:t>
      </w:r>
      <w:r w:rsidRPr="00793F60">
        <w:t xml:space="preserve">est engagé à garantir à tous les individus se trouvant sur son territoire et relevant de sa juridiction les droits reconnus dans le Pacte et à assurer un </w:t>
      </w:r>
      <w:r w:rsidRPr="00202656">
        <w:rPr>
          <w:spacing w:val="-4"/>
        </w:rPr>
        <w:t>recours utile et une réparation exécutoire lorsqu</w:t>
      </w:r>
      <w:r w:rsidR="002E0B4C" w:rsidRPr="00202656">
        <w:rPr>
          <w:spacing w:val="-4"/>
        </w:rPr>
        <w:t>’</w:t>
      </w:r>
      <w:r w:rsidRPr="00202656">
        <w:rPr>
          <w:spacing w:val="-4"/>
        </w:rPr>
        <w:t>une violation a été établie, le Comité souhaite recevoir de l</w:t>
      </w:r>
      <w:r w:rsidR="002E0B4C" w:rsidRPr="00202656">
        <w:rPr>
          <w:spacing w:val="-4"/>
        </w:rPr>
        <w:t>’</w:t>
      </w:r>
      <w:r w:rsidRPr="00202656">
        <w:rPr>
          <w:spacing w:val="-4"/>
        </w:rPr>
        <w:t>État partie, dans un délai de cent quatre-v</w:t>
      </w:r>
      <w:bookmarkStart w:id="0" w:name="_GoBack"/>
      <w:bookmarkEnd w:id="0"/>
      <w:r w:rsidRPr="00202656">
        <w:rPr>
          <w:spacing w:val="-4"/>
        </w:rPr>
        <w:t>ingts jours, des</w:t>
      </w:r>
      <w:r w:rsidRPr="00793F60">
        <w:t xml:space="preserve"> renseignements sur les mesures prises pour donner effet aux présentes constatations. L</w:t>
      </w:r>
      <w:r w:rsidR="002E0B4C">
        <w:t>’</w:t>
      </w:r>
      <w:r w:rsidRPr="00793F60">
        <w:t>État partie est invité en outre à rendre celles-ci publiques et à les diffuser largement dans sa langue officielle.</w:t>
      </w:r>
    </w:p>
    <w:p w:rsidR="00202656" w:rsidRPr="00202656" w:rsidRDefault="00202656" w:rsidP="00202656">
      <w:pPr>
        <w:pStyle w:val="SingleTxtG"/>
        <w:spacing w:before="240" w:after="0"/>
        <w:jc w:val="center"/>
        <w:rPr>
          <w:u w:val="single"/>
        </w:rPr>
      </w:pPr>
      <w:r>
        <w:rPr>
          <w:u w:val="single"/>
        </w:rPr>
        <w:tab/>
      </w:r>
      <w:r>
        <w:rPr>
          <w:u w:val="single"/>
        </w:rPr>
        <w:tab/>
      </w:r>
      <w:r>
        <w:rPr>
          <w:u w:val="single"/>
        </w:rPr>
        <w:tab/>
      </w:r>
    </w:p>
    <w:sectPr w:rsidR="00202656" w:rsidRPr="00202656" w:rsidSect="0036782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82F" w:rsidRDefault="0036782F" w:rsidP="00F95C08">
      <w:pPr>
        <w:spacing w:line="240" w:lineRule="auto"/>
      </w:pPr>
    </w:p>
  </w:endnote>
  <w:endnote w:type="continuationSeparator" w:id="0">
    <w:p w:rsidR="0036782F" w:rsidRPr="00AC3823" w:rsidRDefault="0036782F" w:rsidP="00AC3823">
      <w:pPr>
        <w:pStyle w:val="Pieddepage"/>
      </w:pPr>
    </w:p>
  </w:endnote>
  <w:endnote w:type="continuationNotice" w:id="1">
    <w:p w:rsidR="0036782F" w:rsidRDefault="003678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82F" w:rsidRPr="0036782F" w:rsidRDefault="0036782F" w:rsidP="0036782F">
    <w:pPr>
      <w:pStyle w:val="Pieddepage"/>
      <w:tabs>
        <w:tab w:val="right" w:pos="9638"/>
      </w:tabs>
    </w:pPr>
    <w:r w:rsidRPr="0036782F">
      <w:rPr>
        <w:b/>
        <w:sz w:val="18"/>
      </w:rPr>
      <w:fldChar w:fldCharType="begin"/>
    </w:r>
    <w:r w:rsidRPr="0036782F">
      <w:rPr>
        <w:b/>
        <w:sz w:val="18"/>
      </w:rPr>
      <w:instrText xml:space="preserve"> PAGE  \* MERGEFORMAT </w:instrText>
    </w:r>
    <w:r w:rsidRPr="0036782F">
      <w:rPr>
        <w:b/>
        <w:sz w:val="18"/>
      </w:rPr>
      <w:fldChar w:fldCharType="separate"/>
    </w:r>
    <w:r w:rsidRPr="0036782F">
      <w:rPr>
        <w:b/>
        <w:noProof/>
        <w:sz w:val="18"/>
      </w:rPr>
      <w:t>2</w:t>
    </w:r>
    <w:r w:rsidRPr="0036782F">
      <w:rPr>
        <w:b/>
        <w:sz w:val="18"/>
      </w:rPr>
      <w:fldChar w:fldCharType="end"/>
    </w:r>
    <w:r>
      <w:rPr>
        <w:b/>
        <w:sz w:val="18"/>
      </w:rPr>
      <w:tab/>
    </w:r>
    <w:r>
      <w:t>GE.19-13957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82F" w:rsidRPr="0036782F" w:rsidRDefault="0036782F" w:rsidP="0036782F">
    <w:pPr>
      <w:pStyle w:val="Pieddepage"/>
      <w:tabs>
        <w:tab w:val="right" w:pos="9638"/>
      </w:tabs>
      <w:rPr>
        <w:b/>
        <w:sz w:val="18"/>
      </w:rPr>
    </w:pPr>
    <w:r>
      <w:t>GE.19-13957</w:t>
    </w:r>
    <w:r>
      <w:tab/>
    </w:r>
    <w:r w:rsidRPr="0036782F">
      <w:rPr>
        <w:b/>
        <w:sz w:val="18"/>
      </w:rPr>
      <w:fldChar w:fldCharType="begin"/>
    </w:r>
    <w:r w:rsidRPr="0036782F">
      <w:rPr>
        <w:b/>
        <w:sz w:val="18"/>
      </w:rPr>
      <w:instrText xml:space="preserve"> PAGE  \* MERGEFORMAT </w:instrText>
    </w:r>
    <w:r w:rsidRPr="0036782F">
      <w:rPr>
        <w:b/>
        <w:sz w:val="18"/>
      </w:rPr>
      <w:fldChar w:fldCharType="separate"/>
    </w:r>
    <w:r w:rsidRPr="0036782F">
      <w:rPr>
        <w:b/>
        <w:noProof/>
        <w:sz w:val="18"/>
      </w:rPr>
      <w:t>3</w:t>
    </w:r>
    <w:r w:rsidRPr="003678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82F" w:rsidRPr="0036782F" w:rsidRDefault="0036782F" w:rsidP="0036782F">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19-13957  (F)    010720    0</w:t>
    </w:r>
    <w:r w:rsidR="002E0B4C">
      <w:rPr>
        <w:sz w:val="20"/>
      </w:rPr>
      <w:t>2</w:t>
    </w:r>
    <w:r>
      <w:rPr>
        <w:sz w:val="20"/>
      </w:rPr>
      <w:t>0720</w:t>
    </w:r>
    <w:r>
      <w:rPr>
        <w:sz w:val="20"/>
      </w:rPr>
      <w:br/>
    </w:r>
    <w:r w:rsidRPr="0036782F">
      <w:rPr>
        <w:rFonts w:ascii="C39T30Lfz" w:hAnsi="C39T30Lfz"/>
        <w:sz w:val="56"/>
      </w:rPr>
      <w:t></w:t>
    </w:r>
    <w:r w:rsidRPr="0036782F">
      <w:rPr>
        <w:rFonts w:ascii="C39T30Lfz" w:hAnsi="C39T30Lfz"/>
        <w:sz w:val="56"/>
      </w:rPr>
      <w:t></w:t>
    </w:r>
    <w:r w:rsidRPr="0036782F">
      <w:rPr>
        <w:rFonts w:ascii="C39T30Lfz" w:hAnsi="C39T30Lfz"/>
        <w:sz w:val="56"/>
      </w:rPr>
      <w:t></w:t>
    </w:r>
    <w:r w:rsidRPr="0036782F">
      <w:rPr>
        <w:rFonts w:ascii="C39T30Lfz" w:hAnsi="C39T30Lfz"/>
        <w:sz w:val="56"/>
      </w:rPr>
      <w:t></w:t>
    </w:r>
    <w:r w:rsidRPr="0036782F">
      <w:rPr>
        <w:rFonts w:ascii="C39T30Lfz" w:hAnsi="C39T30Lfz"/>
        <w:sz w:val="56"/>
      </w:rPr>
      <w:t></w:t>
    </w:r>
    <w:r w:rsidRPr="0036782F">
      <w:rPr>
        <w:rFonts w:ascii="C39T30Lfz" w:hAnsi="C39T30Lfz"/>
        <w:sz w:val="56"/>
      </w:rPr>
      <w:t></w:t>
    </w:r>
    <w:r w:rsidRPr="0036782F">
      <w:rPr>
        <w:rFonts w:ascii="C39T30Lfz" w:hAnsi="C39T30Lfz"/>
        <w:sz w:val="56"/>
      </w:rPr>
      <w:t></w:t>
    </w:r>
    <w:r w:rsidRPr="0036782F">
      <w:rPr>
        <w:rFonts w:ascii="C39T30Lfz" w:hAnsi="C39T30Lfz"/>
        <w:sz w:val="56"/>
      </w:rPr>
      <w:t></w:t>
    </w:r>
    <w:r w:rsidRPr="0036782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82F" w:rsidRPr="00AC3823" w:rsidRDefault="0036782F" w:rsidP="00AC3823">
      <w:pPr>
        <w:pStyle w:val="Pieddepage"/>
        <w:tabs>
          <w:tab w:val="right" w:pos="2155"/>
        </w:tabs>
        <w:spacing w:after="80" w:line="240" w:lineRule="atLeast"/>
        <w:ind w:left="680"/>
        <w:rPr>
          <w:u w:val="single"/>
        </w:rPr>
      </w:pPr>
      <w:r>
        <w:rPr>
          <w:u w:val="single"/>
        </w:rPr>
        <w:tab/>
      </w:r>
    </w:p>
  </w:footnote>
  <w:footnote w:type="continuationSeparator" w:id="0">
    <w:p w:rsidR="0036782F" w:rsidRPr="00AC3823" w:rsidRDefault="0036782F" w:rsidP="00AC3823">
      <w:pPr>
        <w:pStyle w:val="Pieddepage"/>
        <w:tabs>
          <w:tab w:val="right" w:pos="2155"/>
        </w:tabs>
        <w:spacing w:after="80" w:line="240" w:lineRule="atLeast"/>
        <w:ind w:left="680"/>
        <w:rPr>
          <w:u w:val="single"/>
        </w:rPr>
      </w:pPr>
      <w:r>
        <w:rPr>
          <w:u w:val="single"/>
        </w:rPr>
        <w:tab/>
      </w:r>
    </w:p>
  </w:footnote>
  <w:footnote w:type="continuationNotice" w:id="1">
    <w:p w:rsidR="0036782F" w:rsidRPr="00AC3823" w:rsidRDefault="0036782F">
      <w:pPr>
        <w:spacing w:line="240" w:lineRule="auto"/>
        <w:rPr>
          <w:sz w:val="2"/>
          <w:szCs w:val="2"/>
        </w:rPr>
      </w:pPr>
    </w:p>
  </w:footnote>
  <w:footnote w:id="2">
    <w:p w:rsidR="00F41AC3" w:rsidRPr="00F41AC3" w:rsidRDefault="00F41AC3">
      <w:pPr>
        <w:pStyle w:val="Notedebasdepage"/>
      </w:pPr>
      <w:r>
        <w:rPr>
          <w:rStyle w:val="Appelnotedebasdep"/>
        </w:rPr>
        <w:tab/>
      </w:r>
      <w:r w:rsidRPr="00F41AC3">
        <w:rPr>
          <w:rStyle w:val="Appelnotedebasdep"/>
          <w:sz w:val="20"/>
          <w:vertAlign w:val="baseline"/>
        </w:rPr>
        <w:t>*</w:t>
      </w:r>
      <w:r>
        <w:rPr>
          <w:rStyle w:val="Appelnotedebasdep"/>
          <w:sz w:val="20"/>
          <w:vertAlign w:val="baseline"/>
        </w:rPr>
        <w:tab/>
      </w:r>
      <w:r>
        <w:t>Adoptées par le Comité à sa 126</w:t>
      </w:r>
      <w:r w:rsidRPr="00F375B2">
        <w:rPr>
          <w:vertAlign w:val="superscript"/>
        </w:rPr>
        <w:t>e</w:t>
      </w:r>
      <w:r w:rsidR="002E0B4C">
        <w:t> </w:t>
      </w:r>
      <w:r>
        <w:t>session (1-26</w:t>
      </w:r>
      <w:r w:rsidR="002E0B4C">
        <w:t> </w:t>
      </w:r>
      <w:r>
        <w:t>juillet 2019).</w:t>
      </w:r>
    </w:p>
  </w:footnote>
  <w:footnote w:id="3">
    <w:p w:rsidR="002E0B4C" w:rsidRPr="002E0B4C" w:rsidRDefault="002E0B4C">
      <w:pPr>
        <w:pStyle w:val="Notedebasdepage"/>
      </w:pPr>
      <w:r>
        <w:rPr>
          <w:rStyle w:val="Appelnotedebasdep"/>
        </w:rPr>
        <w:tab/>
      </w:r>
      <w:r w:rsidRPr="002E0B4C">
        <w:rPr>
          <w:rStyle w:val="Appelnotedebasdep"/>
          <w:sz w:val="20"/>
          <w:vertAlign w:val="baseline"/>
        </w:rPr>
        <w:t>**</w:t>
      </w:r>
      <w:r>
        <w:rPr>
          <w:rStyle w:val="Appelnotedebasdep"/>
          <w:sz w:val="20"/>
          <w:vertAlign w:val="baseline"/>
        </w:rPr>
        <w:tab/>
      </w:r>
      <w:r w:rsidRPr="00793F60">
        <w:t>Les membres du Groupe de travail dont le nom suit ont participé à l</w:t>
      </w:r>
      <w:r w:rsidR="006E5E23">
        <w:t>’</w:t>
      </w:r>
      <w:r w:rsidRPr="00793F60">
        <w:t xml:space="preserve">examen de la communication : </w:t>
      </w:r>
      <w:r>
        <w:t xml:space="preserve">Tania María Abdo </w:t>
      </w:r>
      <w:proofErr w:type="spellStart"/>
      <w:r>
        <w:t>Rocholl</w:t>
      </w:r>
      <w:proofErr w:type="spellEnd"/>
      <w:r>
        <w:t xml:space="preserve">, </w:t>
      </w:r>
      <w:proofErr w:type="spellStart"/>
      <w:r w:rsidRPr="00DF6B8C">
        <w:t>Yadh</w:t>
      </w:r>
      <w:proofErr w:type="spellEnd"/>
      <w:r w:rsidRPr="00DF6B8C">
        <w:t xml:space="preserve"> Ben Achour, </w:t>
      </w:r>
      <w:proofErr w:type="spellStart"/>
      <w:r w:rsidRPr="00DF6B8C">
        <w:t>Ilze</w:t>
      </w:r>
      <w:proofErr w:type="spellEnd"/>
      <w:r w:rsidRPr="00DF6B8C">
        <w:t xml:space="preserve"> Brands </w:t>
      </w:r>
      <w:proofErr w:type="spellStart"/>
      <w:r w:rsidRPr="007B6BF3">
        <w:t>Kehris</w:t>
      </w:r>
      <w:proofErr w:type="spellEnd"/>
      <w:r w:rsidRPr="007B6BF3">
        <w:t>, Arif</w:t>
      </w:r>
      <w:r>
        <w:t xml:space="preserve"> </w:t>
      </w:r>
      <w:proofErr w:type="spellStart"/>
      <w:r>
        <w:t>Bulkan</w:t>
      </w:r>
      <w:proofErr w:type="spellEnd"/>
      <w:r>
        <w:t xml:space="preserve">, </w:t>
      </w:r>
      <w:r w:rsidRPr="00DF6B8C">
        <w:t xml:space="preserve">Ahmed Amin </w:t>
      </w:r>
      <w:proofErr w:type="spellStart"/>
      <w:r w:rsidRPr="00DF6B8C">
        <w:t>Fathalla</w:t>
      </w:r>
      <w:proofErr w:type="spellEnd"/>
      <w:r w:rsidRPr="00DF6B8C">
        <w:t>,</w:t>
      </w:r>
      <w:r>
        <w:t xml:space="preserve"> </w:t>
      </w:r>
      <w:proofErr w:type="spellStart"/>
      <w:r>
        <w:t>Shuichi</w:t>
      </w:r>
      <w:proofErr w:type="spellEnd"/>
      <w:r>
        <w:t xml:space="preserve"> </w:t>
      </w:r>
      <w:proofErr w:type="spellStart"/>
      <w:r>
        <w:t>Furuya</w:t>
      </w:r>
      <w:proofErr w:type="spellEnd"/>
      <w:r>
        <w:t xml:space="preserve">, </w:t>
      </w:r>
      <w:proofErr w:type="spellStart"/>
      <w:r>
        <w:t>Christof</w:t>
      </w:r>
      <w:proofErr w:type="spellEnd"/>
      <w:r>
        <w:t xml:space="preserve"> </w:t>
      </w:r>
      <w:proofErr w:type="spellStart"/>
      <w:r>
        <w:t>Heyns</w:t>
      </w:r>
      <w:proofErr w:type="spellEnd"/>
      <w:r>
        <w:t xml:space="preserve">, </w:t>
      </w:r>
      <w:proofErr w:type="spellStart"/>
      <w:r w:rsidRPr="0098434E">
        <w:t>Bamariam</w:t>
      </w:r>
      <w:proofErr w:type="spellEnd"/>
      <w:r w:rsidRPr="0098434E">
        <w:t xml:space="preserve"> </w:t>
      </w:r>
      <w:proofErr w:type="spellStart"/>
      <w:r w:rsidRPr="0098434E">
        <w:t>Koita</w:t>
      </w:r>
      <w:proofErr w:type="spellEnd"/>
      <w:r w:rsidRPr="0098434E">
        <w:t>,</w:t>
      </w:r>
      <w:r w:rsidRPr="000C0942">
        <w:t xml:space="preserve"> </w:t>
      </w:r>
      <w:r>
        <w:t xml:space="preserve">Duncan Laki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w:t>
      </w:r>
      <w:proofErr w:type="spellStart"/>
      <w:r>
        <w:t>Hern</w:t>
      </w:r>
      <w:proofErr w:type="spellEnd"/>
      <w:r>
        <w:rPr>
          <w:lang w:val="cs-CZ"/>
        </w:rPr>
        <w:t xml:space="preserve">án Quezada Cabrera, Vasilka Sancin, </w:t>
      </w:r>
      <w:r w:rsidRPr="0098434E">
        <w:t xml:space="preserve">José Manuel </w:t>
      </w:r>
      <w:r>
        <w:t xml:space="preserve">Santos Pais, Yuval </w:t>
      </w:r>
      <w:proofErr w:type="spellStart"/>
      <w:r>
        <w:t>Shany</w:t>
      </w:r>
      <w:proofErr w:type="spellEnd"/>
      <w:r>
        <w:t xml:space="preserve">, Hélène </w:t>
      </w:r>
      <w:proofErr w:type="spellStart"/>
      <w:r>
        <w:t>Tigroudja</w:t>
      </w:r>
      <w:proofErr w:type="spellEnd"/>
      <w:r>
        <w:t xml:space="preserve">, Andreas Zimmermann et </w:t>
      </w:r>
      <w:proofErr w:type="spellStart"/>
      <w:r>
        <w:t>Gentian</w:t>
      </w:r>
      <w:proofErr w:type="spellEnd"/>
      <w:r>
        <w:t xml:space="preserve"> </w:t>
      </w:r>
      <w:proofErr w:type="spellStart"/>
      <w:r>
        <w:t>Zyberi</w:t>
      </w:r>
      <w:proofErr w:type="spellEnd"/>
      <w:r>
        <w:rPr>
          <w:bCs/>
        </w:rPr>
        <w:t>.</w:t>
      </w:r>
    </w:p>
  </w:footnote>
  <w:footnote w:id="4">
    <w:p w:rsidR="0036782F" w:rsidRPr="00793F60" w:rsidRDefault="0036782F" w:rsidP="0036782F">
      <w:pPr>
        <w:pStyle w:val="Notedebasdepage"/>
        <w:rPr>
          <w:lang w:eastAsia="en-GB"/>
        </w:rPr>
      </w:pPr>
      <w:r w:rsidRPr="00793F60">
        <w:tab/>
      </w:r>
      <w:r w:rsidRPr="00793F60">
        <w:rPr>
          <w:rStyle w:val="Appelnotedebasdep"/>
        </w:rPr>
        <w:footnoteRef/>
      </w:r>
      <w:r w:rsidRPr="00793F60">
        <w:tab/>
      </w:r>
      <w:r w:rsidRPr="00793F60">
        <w:rPr>
          <w:lang w:eastAsia="en-GB"/>
        </w:rPr>
        <w:t>La « cellule des droits de l</w:t>
      </w:r>
      <w:r w:rsidR="006E5E23">
        <w:rPr>
          <w:lang w:eastAsia="en-GB"/>
        </w:rPr>
        <w:t>’</w:t>
      </w:r>
      <w:r w:rsidRPr="00793F60">
        <w:rPr>
          <w:lang w:eastAsia="en-GB"/>
        </w:rPr>
        <w:t>homme » de l</w:t>
      </w:r>
      <w:r w:rsidR="006E5E23">
        <w:rPr>
          <w:lang w:eastAsia="en-GB"/>
        </w:rPr>
        <w:t>’</w:t>
      </w:r>
      <w:r w:rsidRPr="00793F60">
        <w:rPr>
          <w:rFonts w:eastAsia="Calibri"/>
        </w:rPr>
        <w:t xml:space="preserve">Armée royale népalaise </w:t>
      </w:r>
      <w:r w:rsidRPr="00793F60">
        <w:rPr>
          <w:lang w:eastAsia="en-GB"/>
        </w:rPr>
        <w:t>est un mécanismes de surveillance des droits de l</w:t>
      </w:r>
      <w:r w:rsidR="006E5E23">
        <w:rPr>
          <w:lang w:eastAsia="en-GB"/>
        </w:rPr>
        <w:t>’</w:t>
      </w:r>
      <w:r w:rsidRPr="00793F60">
        <w:rPr>
          <w:lang w:eastAsia="en-GB"/>
        </w:rPr>
        <w:t xml:space="preserve">homme mis en place en 2002 au sein des forces armées, de la </w:t>
      </w:r>
      <w:r>
        <w:rPr>
          <w:lang w:eastAsia="en-GB"/>
        </w:rPr>
        <w:t>Force de p</w:t>
      </w:r>
      <w:r w:rsidRPr="00793F60">
        <w:rPr>
          <w:lang w:eastAsia="en-GB"/>
        </w:rPr>
        <w:t xml:space="preserve">olice armée et de la </w:t>
      </w:r>
      <w:r>
        <w:rPr>
          <w:lang w:eastAsia="en-GB"/>
        </w:rPr>
        <w:t>police nationale</w:t>
      </w:r>
      <w:r w:rsidRPr="00793F60">
        <w:rPr>
          <w:lang w:eastAsia="en-GB"/>
        </w:rPr>
        <w:t xml:space="preserve"> pour mener des enquêtes internes sur les violations des droits de l</w:t>
      </w:r>
      <w:r w:rsidR="006E5E23">
        <w:rPr>
          <w:lang w:eastAsia="en-GB"/>
        </w:rPr>
        <w:t>’</w:t>
      </w:r>
      <w:r w:rsidRPr="00793F60">
        <w:rPr>
          <w:lang w:eastAsia="en-GB"/>
        </w:rPr>
        <w:t>homme commises par des agents de sécurité.</w:t>
      </w:r>
    </w:p>
  </w:footnote>
  <w:footnote w:id="5">
    <w:p w:rsidR="0036782F" w:rsidRPr="00F375B2" w:rsidRDefault="0036782F" w:rsidP="0036782F">
      <w:pPr>
        <w:pStyle w:val="Notedebasdepage"/>
        <w:rPr>
          <w:lang w:val="en-US"/>
        </w:rPr>
      </w:pPr>
      <w:r w:rsidRPr="00793F60">
        <w:tab/>
      </w:r>
      <w:r w:rsidRPr="00793F60">
        <w:rPr>
          <w:rStyle w:val="Appelnotedebasdep"/>
        </w:rPr>
        <w:footnoteRef/>
      </w:r>
      <w:r w:rsidRPr="00F375B2">
        <w:rPr>
          <w:lang w:val="en-US"/>
        </w:rPr>
        <w:tab/>
      </w:r>
      <w:proofErr w:type="spellStart"/>
      <w:r w:rsidRPr="00F375B2">
        <w:rPr>
          <w:lang w:val="en-US"/>
        </w:rPr>
        <w:t>Voir</w:t>
      </w:r>
      <w:proofErr w:type="spellEnd"/>
      <w:r w:rsidRPr="00F375B2">
        <w:rPr>
          <w:lang w:val="en-US"/>
        </w:rPr>
        <w:t xml:space="preserve"> </w:t>
      </w:r>
      <w:r w:rsidRPr="00F375B2">
        <w:rPr>
          <w:i/>
          <w:lang w:val="en-US"/>
        </w:rPr>
        <w:t xml:space="preserve">Report of investigation into arbitrary detention, torture and disappearances at </w:t>
      </w:r>
      <w:proofErr w:type="spellStart"/>
      <w:r w:rsidRPr="00F375B2">
        <w:rPr>
          <w:i/>
          <w:lang w:val="en-US"/>
        </w:rPr>
        <w:t>Maharajgunj</w:t>
      </w:r>
      <w:proofErr w:type="spellEnd"/>
      <w:r w:rsidRPr="00F375B2">
        <w:rPr>
          <w:i/>
          <w:lang w:val="en-US"/>
        </w:rPr>
        <w:t xml:space="preserve"> RNA barracks, Kathmandu, in 2003-2004</w:t>
      </w:r>
      <w:r>
        <w:rPr>
          <w:lang w:val="en-US"/>
        </w:rPr>
        <w:t xml:space="preserve">, </w:t>
      </w:r>
      <w:proofErr w:type="spellStart"/>
      <w:r>
        <w:rPr>
          <w:lang w:val="en-US"/>
        </w:rPr>
        <w:t>mai</w:t>
      </w:r>
      <w:proofErr w:type="spellEnd"/>
      <w:r>
        <w:rPr>
          <w:lang w:val="en-US"/>
        </w:rPr>
        <w:t xml:space="preserve"> 2006</w:t>
      </w:r>
      <w:r w:rsidRPr="00F375B2">
        <w:rPr>
          <w:lang w:val="en-US"/>
        </w:rPr>
        <w:t xml:space="preserve">, </w:t>
      </w:r>
      <w:proofErr w:type="spellStart"/>
      <w:r w:rsidR="00DE1619">
        <w:rPr>
          <w:lang w:val="en-US"/>
        </w:rPr>
        <w:t>a</w:t>
      </w:r>
      <w:r w:rsidRPr="00F375B2">
        <w:rPr>
          <w:lang w:val="en-US"/>
        </w:rPr>
        <w:t>nnexe</w:t>
      </w:r>
      <w:proofErr w:type="spellEnd"/>
      <w:r w:rsidRPr="00F375B2">
        <w:rPr>
          <w:lang w:val="en-US"/>
        </w:rPr>
        <w:t> A.</w:t>
      </w:r>
    </w:p>
  </w:footnote>
  <w:footnote w:id="6">
    <w:p w:rsidR="0036782F" w:rsidRPr="00793F60" w:rsidRDefault="0036782F" w:rsidP="0036782F">
      <w:pPr>
        <w:pStyle w:val="Notedebasdepage"/>
      </w:pPr>
      <w:r w:rsidRPr="00F375B2">
        <w:rPr>
          <w:lang w:val="en-US"/>
        </w:rPr>
        <w:tab/>
      </w:r>
      <w:r w:rsidRPr="00793F60">
        <w:rPr>
          <w:rStyle w:val="Appelnotedebasdep"/>
        </w:rPr>
        <w:footnoteRef/>
      </w:r>
      <w:r w:rsidRPr="00793F60">
        <w:tab/>
      </w:r>
      <w:r>
        <w:t xml:space="preserve">Voir le rapport de la </w:t>
      </w:r>
      <w:r w:rsidRPr="00793F60">
        <w:rPr>
          <w:rFonts w:eastAsia="Calibri"/>
        </w:rPr>
        <w:t xml:space="preserve">Commission </w:t>
      </w:r>
      <w:r>
        <w:t xml:space="preserve">sur le cessez-le-feu, </w:t>
      </w:r>
      <w:r w:rsidRPr="00793F60">
        <w:t>sect</w:t>
      </w:r>
      <w:r w:rsidR="00DE1619">
        <w:t>. </w:t>
      </w:r>
      <w:r w:rsidRPr="00793F60">
        <w:t>2.5</w:t>
      </w:r>
      <w:r>
        <w:t>, disponible à l</w:t>
      </w:r>
      <w:r w:rsidR="006E5E23">
        <w:t>’</w:t>
      </w:r>
      <w:r>
        <w:t>adresse suivante</w:t>
      </w:r>
      <w:r w:rsidR="00DE1619">
        <w:t> </w:t>
      </w:r>
      <w:r>
        <w:t xml:space="preserve">: </w:t>
      </w:r>
      <w:hyperlink r:id="rId1" w:history="1">
        <w:r w:rsidRPr="00161DAE">
          <w:t>www.nhrcnepal.org/nhrc_new/doc/newsletter/Ceasefire%20report%20final.pdf</w:t>
        </w:r>
      </w:hyperlink>
      <w:r w:rsidR="00DE1619">
        <w:t>.</w:t>
      </w:r>
    </w:p>
  </w:footnote>
  <w:footnote w:id="7">
    <w:p w:rsidR="0036782F" w:rsidRPr="00793F60" w:rsidRDefault="0036782F" w:rsidP="0036782F">
      <w:pPr>
        <w:pStyle w:val="Notedebasdepage"/>
      </w:pPr>
      <w:r w:rsidRPr="00793F60">
        <w:tab/>
      </w:r>
      <w:r w:rsidRPr="00793F60">
        <w:rPr>
          <w:rStyle w:val="Appelnotedebasdep"/>
        </w:rPr>
        <w:footnoteRef/>
      </w:r>
      <w:r w:rsidRPr="00793F60">
        <w:tab/>
      </w:r>
      <w:proofErr w:type="spellStart"/>
      <w:r w:rsidRPr="00F375B2">
        <w:rPr>
          <w:i/>
        </w:rPr>
        <w:t>Lewenhoff</w:t>
      </w:r>
      <w:proofErr w:type="spellEnd"/>
      <w:r w:rsidRPr="00F375B2">
        <w:rPr>
          <w:i/>
        </w:rPr>
        <w:t xml:space="preserve"> et</w:t>
      </w:r>
      <w:r w:rsidRPr="00F375B2">
        <w:t xml:space="preserve"> </w:t>
      </w:r>
      <w:proofErr w:type="spellStart"/>
      <w:r w:rsidRPr="00F375B2">
        <w:rPr>
          <w:i/>
        </w:rPr>
        <w:t>Valiño</w:t>
      </w:r>
      <w:proofErr w:type="spellEnd"/>
      <w:r w:rsidRPr="00F375B2">
        <w:rPr>
          <w:i/>
        </w:rPr>
        <w:t xml:space="preserve"> </w:t>
      </w:r>
      <w:r w:rsidRPr="00F375B2">
        <w:rPr>
          <w:i/>
          <w:iCs/>
        </w:rPr>
        <w:t xml:space="preserve">de </w:t>
      </w:r>
      <w:proofErr w:type="spellStart"/>
      <w:r w:rsidRPr="00793F60">
        <w:rPr>
          <w:i/>
        </w:rPr>
        <w:t>Bleier</w:t>
      </w:r>
      <w:proofErr w:type="spellEnd"/>
      <w:r w:rsidRPr="00793F60">
        <w:rPr>
          <w:i/>
        </w:rPr>
        <w:t xml:space="preserve"> </w:t>
      </w:r>
      <w:r w:rsidRPr="00793F60">
        <w:rPr>
          <w:i/>
          <w:iCs/>
        </w:rPr>
        <w:t>c</w:t>
      </w:r>
      <w:r w:rsidRPr="00793F60">
        <w:rPr>
          <w:i/>
        </w:rPr>
        <w:t>. Uruguay</w:t>
      </w:r>
      <w:r>
        <w:rPr>
          <w:i/>
        </w:rPr>
        <w:t xml:space="preserve"> </w:t>
      </w:r>
      <w:r w:rsidRPr="00161DAE">
        <w:t>(CCPR/C/15/D/30/1978)</w:t>
      </w:r>
      <w:r>
        <w:t>,</w:t>
      </w:r>
      <w:r w:rsidRPr="00793F60">
        <w:t xml:space="preserve"> par. 12 et 13.3</w:t>
      </w:r>
      <w:r>
        <w:t xml:space="preserve">, et </w:t>
      </w:r>
      <w:r w:rsidRPr="00793F60">
        <w:rPr>
          <w:i/>
        </w:rPr>
        <w:t xml:space="preserve">Sharma et Sharma </w:t>
      </w:r>
      <w:r w:rsidRPr="00793F60">
        <w:rPr>
          <w:i/>
          <w:iCs/>
        </w:rPr>
        <w:t>c</w:t>
      </w:r>
      <w:r w:rsidRPr="00793F60">
        <w:rPr>
          <w:i/>
        </w:rPr>
        <w:t xml:space="preserve">. Népal </w:t>
      </w:r>
      <w:r w:rsidRPr="00793F60">
        <w:t xml:space="preserve">(CCPR/C/94/D/1469/2006), par. 7.5. </w:t>
      </w:r>
    </w:p>
  </w:footnote>
  <w:footnote w:id="8">
    <w:p w:rsidR="0036782F" w:rsidRPr="00793F60" w:rsidRDefault="0036782F" w:rsidP="0036782F">
      <w:pPr>
        <w:pStyle w:val="Notedebasdepage"/>
      </w:pPr>
      <w:r w:rsidRPr="00793F60">
        <w:tab/>
      </w:r>
      <w:r w:rsidRPr="00793F60">
        <w:rPr>
          <w:rStyle w:val="Appelnotedebasdep"/>
        </w:rPr>
        <w:footnoteRef/>
      </w:r>
      <w:r w:rsidRPr="00793F60">
        <w:tab/>
        <w:t xml:space="preserve">Voir </w:t>
      </w:r>
      <w:proofErr w:type="spellStart"/>
      <w:r w:rsidRPr="00793F60">
        <w:rPr>
          <w:i/>
        </w:rPr>
        <w:t>Madoui</w:t>
      </w:r>
      <w:proofErr w:type="spellEnd"/>
      <w:r w:rsidRPr="00793F60">
        <w:rPr>
          <w:i/>
        </w:rPr>
        <w:t xml:space="preserve"> et </w:t>
      </w:r>
      <w:proofErr w:type="spellStart"/>
      <w:r w:rsidRPr="00793F60">
        <w:rPr>
          <w:i/>
        </w:rPr>
        <w:t>Madoui</w:t>
      </w:r>
      <w:proofErr w:type="spellEnd"/>
      <w:r w:rsidRPr="00793F60">
        <w:rPr>
          <w:i/>
        </w:rPr>
        <w:t xml:space="preserve"> </w:t>
      </w:r>
      <w:r w:rsidRPr="00793F60">
        <w:rPr>
          <w:i/>
          <w:iCs/>
        </w:rPr>
        <w:t>c</w:t>
      </w:r>
      <w:r w:rsidRPr="00793F60">
        <w:rPr>
          <w:i/>
        </w:rPr>
        <w:t>. Algérie</w:t>
      </w:r>
      <w:r>
        <w:rPr>
          <w:i/>
        </w:rPr>
        <w:t xml:space="preserve"> </w:t>
      </w:r>
      <w:r w:rsidRPr="00F375B2">
        <w:t>(CCPR/C/94/D/1495/2006)</w:t>
      </w:r>
      <w:r>
        <w:rPr>
          <w:i/>
        </w:rPr>
        <w:t xml:space="preserve">, </w:t>
      </w:r>
      <w:r w:rsidRPr="00793F60">
        <w:t xml:space="preserve">par. 7.6. </w:t>
      </w:r>
    </w:p>
  </w:footnote>
  <w:footnote w:id="9">
    <w:p w:rsidR="0036782F" w:rsidRPr="00793F60" w:rsidRDefault="0036782F" w:rsidP="0036782F">
      <w:pPr>
        <w:pStyle w:val="Notedebasdepage"/>
      </w:pPr>
      <w:r w:rsidRPr="00793F60">
        <w:tab/>
      </w:r>
      <w:r w:rsidRPr="00793F60">
        <w:rPr>
          <w:rStyle w:val="Appelnotedebasdep"/>
        </w:rPr>
        <w:footnoteRef/>
      </w:r>
      <w:r w:rsidRPr="00793F60">
        <w:tab/>
        <w:t xml:space="preserve">Voir </w:t>
      </w:r>
      <w:r>
        <w:t>l</w:t>
      </w:r>
      <w:r w:rsidR="006E5E23">
        <w:t>’</w:t>
      </w:r>
      <w:r w:rsidRPr="00793F60">
        <w:t>observation générale n</w:t>
      </w:r>
      <w:r w:rsidRPr="00793F60">
        <w:rPr>
          <w:vertAlign w:val="superscript"/>
        </w:rPr>
        <w:t>o</w:t>
      </w:r>
      <w:r w:rsidRPr="00793F60">
        <w:t xml:space="preserve"> 35 </w:t>
      </w:r>
      <w:r>
        <w:t>(2014) du Comité sur la liberté et la sécurité de la personne</w:t>
      </w:r>
      <w:r w:rsidRPr="00793F60">
        <w:t xml:space="preserve">, par. 23 ; </w:t>
      </w:r>
      <w:proofErr w:type="spellStart"/>
      <w:r w:rsidRPr="00793F60">
        <w:rPr>
          <w:i/>
        </w:rPr>
        <w:t>Kurbonov</w:t>
      </w:r>
      <w:proofErr w:type="spellEnd"/>
      <w:r w:rsidRPr="00793F60">
        <w:rPr>
          <w:i/>
        </w:rPr>
        <w:t xml:space="preserve"> </w:t>
      </w:r>
      <w:r w:rsidRPr="00793F60">
        <w:rPr>
          <w:i/>
          <w:iCs/>
        </w:rPr>
        <w:t>c</w:t>
      </w:r>
      <w:r w:rsidRPr="00793F60">
        <w:rPr>
          <w:i/>
        </w:rPr>
        <w:t>. Tadjikistan</w:t>
      </w:r>
      <w:r w:rsidRPr="00793F60">
        <w:t xml:space="preserve"> (CCPR/C/86/D/1208/2003), par. 6.5 ; </w:t>
      </w:r>
      <w:r>
        <w:t>l</w:t>
      </w:r>
      <w:r w:rsidR="006E5E23">
        <w:t>’</w:t>
      </w:r>
      <w:r w:rsidRPr="00793F60">
        <w:t>Ensemble de principes pour la protection de toutes les personnes soumises à une forme quelconque de détention ou d</w:t>
      </w:r>
      <w:r w:rsidR="006E5E23">
        <w:t>’</w:t>
      </w:r>
      <w:r w:rsidRPr="00793F60">
        <w:t>emprisonnement (résolution 43/173 de l</w:t>
      </w:r>
      <w:r w:rsidR="006E5E23">
        <w:t>’</w:t>
      </w:r>
      <w:r w:rsidRPr="00793F60">
        <w:t>Assemblée générale</w:t>
      </w:r>
      <w:r>
        <w:t>, annexe</w:t>
      </w:r>
      <w:r w:rsidRPr="00793F60">
        <w:t>), principe 12.</w:t>
      </w:r>
    </w:p>
  </w:footnote>
  <w:footnote w:id="10">
    <w:p w:rsidR="0036782F" w:rsidRPr="00793F60" w:rsidRDefault="0036782F" w:rsidP="0036782F">
      <w:pPr>
        <w:pStyle w:val="Notedebasdepage"/>
      </w:pPr>
      <w:r w:rsidRPr="00793F60">
        <w:tab/>
      </w:r>
      <w:r w:rsidRPr="00793F60">
        <w:rPr>
          <w:rStyle w:val="Appelnotedebasdep"/>
        </w:rPr>
        <w:footnoteRef/>
      </w:r>
      <w:r w:rsidRPr="00793F60">
        <w:tab/>
      </w:r>
      <w:r>
        <w:t>Voir l</w:t>
      </w:r>
      <w:r w:rsidR="006E5E23">
        <w:t>’</w:t>
      </w:r>
      <w:r>
        <w:t>o</w:t>
      </w:r>
      <w:r w:rsidRPr="00793F60">
        <w:t>bservation générale n</w:t>
      </w:r>
      <w:r w:rsidRPr="00793F60">
        <w:rPr>
          <w:vertAlign w:val="superscript"/>
        </w:rPr>
        <w:t>o</w:t>
      </w:r>
      <w:r w:rsidRPr="00793F60">
        <w:t> 35</w:t>
      </w:r>
      <w:r>
        <w:t xml:space="preserve"> du Comité</w:t>
      </w:r>
      <w:r w:rsidRPr="00793F60">
        <w:t xml:space="preserve">, par. 58. </w:t>
      </w:r>
    </w:p>
  </w:footnote>
  <w:footnote w:id="11">
    <w:p w:rsidR="0036782F" w:rsidRPr="00793F60" w:rsidRDefault="0036782F" w:rsidP="0036782F">
      <w:pPr>
        <w:pStyle w:val="Notedebasdepage"/>
      </w:pPr>
      <w:r w:rsidRPr="00793F60">
        <w:tab/>
      </w:r>
      <w:r w:rsidRPr="00793F60">
        <w:rPr>
          <w:rStyle w:val="Appelnotedebasdep"/>
        </w:rPr>
        <w:footnoteRef/>
      </w:r>
      <w:r w:rsidRPr="00793F60">
        <w:tab/>
        <w:t xml:space="preserve">Voir, par exemple, </w:t>
      </w:r>
      <w:proofErr w:type="spellStart"/>
      <w:r w:rsidRPr="00793F60">
        <w:rPr>
          <w:i/>
        </w:rPr>
        <w:t>Katwal</w:t>
      </w:r>
      <w:proofErr w:type="spellEnd"/>
      <w:r w:rsidRPr="00793F60">
        <w:rPr>
          <w:i/>
        </w:rPr>
        <w:t xml:space="preserve"> </w:t>
      </w:r>
      <w:r w:rsidRPr="00793F60">
        <w:rPr>
          <w:i/>
          <w:iCs/>
        </w:rPr>
        <w:t>c</w:t>
      </w:r>
      <w:r w:rsidRPr="00793F60">
        <w:rPr>
          <w:i/>
        </w:rPr>
        <w:t>. Népal</w:t>
      </w:r>
      <w:r>
        <w:rPr>
          <w:i/>
        </w:rPr>
        <w:t xml:space="preserve"> </w:t>
      </w:r>
      <w:r w:rsidRPr="00161DAE">
        <w:t>(CCPR/C/113/D/2000/2010)</w:t>
      </w:r>
      <w:r w:rsidRPr="00793F60">
        <w:rPr>
          <w:i/>
        </w:rPr>
        <w:t xml:space="preserve">, </w:t>
      </w:r>
      <w:r w:rsidRPr="00793F60">
        <w:t xml:space="preserve">par. 6.3 et 6.4 ; </w:t>
      </w:r>
      <w:proofErr w:type="spellStart"/>
      <w:r w:rsidRPr="00793F60">
        <w:rPr>
          <w:i/>
        </w:rPr>
        <w:t>Sedhai</w:t>
      </w:r>
      <w:proofErr w:type="spellEnd"/>
      <w:r w:rsidRPr="00793F60">
        <w:rPr>
          <w:i/>
        </w:rPr>
        <w:t xml:space="preserve"> </w:t>
      </w:r>
      <w:r w:rsidRPr="00793F60">
        <w:rPr>
          <w:i/>
          <w:iCs/>
        </w:rPr>
        <w:t>c</w:t>
      </w:r>
      <w:r w:rsidRPr="00793F60">
        <w:rPr>
          <w:i/>
        </w:rPr>
        <w:t>. Népal</w:t>
      </w:r>
      <w:r w:rsidRPr="00793F60">
        <w:t xml:space="preserve"> (CCPR/C/108/D/1865/2009), par. 7.5 ; </w:t>
      </w:r>
      <w:proofErr w:type="spellStart"/>
      <w:r w:rsidRPr="00793F60">
        <w:rPr>
          <w:i/>
        </w:rPr>
        <w:t>Tripathi</w:t>
      </w:r>
      <w:proofErr w:type="spellEnd"/>
      <w:r w:rsidRPr="00793F60">
        <w:rPr>
          <w:i/>
        </w:rPr>
        <w:t xml:space="preserve"> </w:t>
      </w:r>
      <w:r w:rsidRPr="00793F60">
        <w:rPr>
          <w:i/>
          <w:iCs/>
        </w:rPr>
        <w:t>c</w:t>
      </w:r>
      <w:r w:rsidRPr="00793F60">
        <w:rPr>
          <w:i/>
        </w:rPr>
        <w:t>. Népal</w:t>
      </w:r>
      <w:r w:rsidRPr="00793F60">
        <w:t xml:space="preserve"> (CCPR/C/112/D/2111/2011), par. 6.3 ; </w:t>
      </w:r>
      <w:proofErr w:type="spellStart"/>
      <w:r w:rsidRPr="00793F60">
        <w:rPr>
          <w:i/>
        </w:rPr>
        <w:t>Basnet</w:t>
      </w:r>
      <w:proofErr w:type="spellEnd"/>
      <w:r w:rsidRPr="00793F60">
        <w:rPr>
          <w:i/>
        </w:rPr>
        <w:t xml:space="preserve"> </w:t>
      </w:r>
      <w:r w:rsidRPr="00793F60">
        <w:rPr>
          <w:i/>
          <w:iCs/>
        </w:rPr>
        <w:t>c</w:t>
      </w:r>
      <w:r w:rsidRPr="00793F60">
        <w:rPr>
          <w:i/>
        </w:rPr>
        <w:t>. Népal</w:t>
      </w:r>
      <w:r w:rsidRPr="00793F60">
        <w:t xml:space="preserve"> (CCPR/C/112/D/2051/2011), par. 7.4.</w:t>
      </w:r>
    </w:p>
  </w:footnote>
  <w:footnote w:id="12">
    <w:p w:rsidR="0036782F" w:rsidRPr="00F375B2" w:rsidRDefault="000D7134" w:rsidP="0036782F">
      <w:pPr>
        <w:pStyle w:val="Notedebasdepage"/>
        <w:rPr>
          <w:lang w:val="en-US"/>
        </w:rPr>
      </w:pPr>
      <w:r>
        <w:rPr>
          <w:lang w:val="en-US"/>
        </w:rPr>
        <w:tab/>
      </w:r>
      <w:r w:rsidR="0036782F">
        <w:rPr>
          <w:rStyle w:val="Appelnotedebasdep"/>
        </w:rPr>
        <w:footnoteRef/>
      </w:r>
      <w:r>
        <w:rPr>
          <w:lang w:val="en-US"/>
        </w:rPr>
        <w:tab/>
      </w:r>
      <w:proofErr w:type="spellStart"/>
      <w:r w:rsidR="0036782F" w:rsidRPr="008F722D">
        <w:rPr>
          <w:lang w:val="en-US"/>
        </w:rPr>
        <w:t>Voir</w:t>
      </w:r>
      <w:proofErr w:type="spellEnd"/>
      <w:r w:rsidR="0036782F" w:rsidRPr="008F722D">
        <w:rPr>
          <w:lang w:val="en-US"/>
        </w:rPr>
        <w:t xml:space="preserve"> </w:t>
      </w:r>
      <w:r w:rsidR="0036782F" w:rsidRPr="008F722D">
        <w:rPr>
          <w:i/>
          <w:lang w:val="en-US"/>
        </w:rPr>
        <w:t xml:space="preserve">Report of investigation into arbitrary detention, torture and disappearances at </w:t>
      </w:r>
      <w:proofErr w:type="spellStart"/>
      <w:r w:rsidR="0036782F" w:rsidRPr="008F722D">
        <w:rPr>
          <w:i/>
          <w:lang w:val="en-US"/>
        </w:rPr>
        <w:t>Maharajgunj</w:t>
      </w:r>
      <w:proofErr w:type="spellEnd"/>
      <w:r w:rsidR="0036782F" w:rsidRPr="008F722D">
        <w:rPr>
          <w:i/>
          <w:lang w:val="en-US"/>
        </w:rPr>
        <w:t xml:space="preserve"> RNA barracks, Kathmandu, in 2003-2004</w:t>
      </w:r>
      <w:r w:rsidR="0036782F">
        <w:rPr>
          <w:lang w:val="en-US"/>
        </w:rPr>
        <w:t xml:space="preserve">, </w:t>
      </w:r>
      <w:proofErr w:type="spellStart"/>
      <w:r w:rsidR="0036782F">
        <w:rPr>
          <w:lang w:val="en-US"/>
        </w:rPr>
        <w:t>mai</w:t>
      </w:r>
      <w:proofErr w:type="spellEnd"/>
      <w:r w:rsidR="0036782F">
        <w:rPr>
          <w:lang w:val="en-US"/>
        </w:rPr>
        <w:t xml:space="preserve"> 2006, </w:t>
      </w:r>
      <w:proofErr w:type="spellStart"/>
      <w:r w:rsidR="0036782F">
        <w:rPr>
          <w:lang w:val="en-US"/>
        </w:rPr>
        <w:t>a</w:t>
      </w:r>
      <w:r w:rsidR="0036782F" w:rsidRPr="008F722D">
        <w:rPr>
          <w:lang w:val="en-US"/>
        </w:rPr>
        <w:t>nnexe</w:t>
      </w:r>
      <w:proofErr w:type="spellEnd"/>
      <w:r w:rsidR="0036782F" w:rsidRPr="008F722D">
        <w:rPr>
          <w:lang w:val="en-US"/>
        </w:rPr>
        <w:t> A.</w:t>
      </w:r>
    </w:p>
  </w:footnote>
  <w:footnote w:id="13">
    <w:p w:rsidR="0036782F" w:rsidRDefault="000D7134" w:rsidP="0036782F">
      <w:pPr>
        <w:pStyle w:val="Notedebasdepage"/>
      </w:pPr>
      <w:r>
        <w:tab/>
      </w:r>
      <w:r w:rsidR="0036782F">
        <w:rPr>
          <w:rStyle w:val="Appelnotedebasdep"/>
        </w:rPr>
        <w:footnoteRef/>
      </w:r>
      <w:r>
        <w:tab/>
      </w:r>
      <w:r w:rsidR="0036782F" w:rsidRPr="00793F60">
        <w:t xml:space="preserve">Voir </w:t>
      </w:r>
      <w:r w:rsidR="0036782F" w:rsidRPr="00793F60">
        <w:rPr>
          <w:i/>
          <w:iCs/>
          <w:lang w:eastAsia="en-GB"/>
        </w:rPr>
        <w:t xml:space="preserve">Sharma </w:t>
      </w:r>
      <w:r w:rsidR="0036782F" w:rsidRPr="00793F60">
        <w:rPr>
          <w:i/>
          <w:lang w:eastAsia="en-GB"/>
        </w:rPr>
        <w:t>c</w:t>
      </w:r>
      <w:r w:rsidR="0036782F">
        <w:rPr>
          <w:i/>
          <w:iCs/>
          <w:lang w:eastAsia="en-GB"/>
        </w:rPr>
        <w:t>. Népal</w:t>
      </w:r>
      <w:r w:rsidR="0036782F" w:rsidRPr="00793F60">
        <w:rPr>
          <w:lang w:eastAsia="en-GB"/>
        </w:rPr>
        <w:t xml:space="preserve">, par. 7.5 ; </w:t>
      </w:r>
      <w:r w:rsidR="0036782F" w:rsidRPr="00793F60">
        <w:rPr>
          <w:i/>
          <w:iCs/>
          <w:lang w:eastAsia="en-GB"/>
        </w:rPr>
        <w:t xml:space="preserve">Sharma et consorts </w:t>
      </w:r>
      <w:r w:rsidR="0036782F" w:rsidRPr="00793F60">
        <w:rPr>
          <w:i/>
          <w:lang w:eastAsia="en-GB"/>
        </w:rPr>
        <w:t>c</w:t>
      </w:r>
      <w:r w:rsidR="0036782F" w:rsidRPr="00793F60">
        <w:rPr>
          <w:i/>
          <w:iCs/>
          <w:lang w:eastAsia="en-GB"/>
        </w:rPr>
        <w:t>. Népal</w:t>
      </w:r>
      <w:r w:rsidR="0036782F" w:rsidRPr="00793F60">
        <w:rPr>
          <w:lang w:eastAsia="en-GB"/>
        </w:rPr>
        <w:t xml:space="preserve"> (CCPR/C/122/D/2364/2014)</w:t>
      </w:r>
      <w:r w:rsidR="0036782F">
        <w:rPr>
          <w:lang w:eastAsia="en-GB"/>
        </w:rPr>
        <w:t>, par.</w:t>
      </w:r>
      <w:r>
        <w:rPr>
          <w:lang w:eastAsia="en-GB"/>
        </w:rPr>
        <w:t> </w:t>
      </w:r>
      <w:r w:rsidR="0036782F">
        <w:rPr>
          <w:lang w:eastAsia="en-GB"/>
        </w:rPr>
        <w:t>5.3</w:t>
      </w:r>
      <w:r w:rsidR="0036782F" w:rsidRPr="00793F60">
        <w:rPr>
          <w:lang w:eastAsia="en-GB"/>
        </w:rPr>
        <w:t> ;</w:t>
      </w:r>
      <w:r w:rsidR="0036782F" w:rsidRPr="00793F60">
        <w:rPr>
          <w:szCs w:val="18"/>
        </w:rPr>
        <w:t xml:space="preserve"> </w:t>
      </w:r>
      <w:proofErr w:type="spellStart"/>
      <w:r w:rsidR="0036782F" w:rsidRPr="00793F60">
        <w:rPr>
          <w:i/>
          <w:iCs/>
        </w:rPr>
        <w:t>Nakarmi</w:t>
      </w:r>
      <w:proofErr w:type="spellEnd"/>
      <w:r w:rsidR="0036782F" w:rsidRPr="00793F60">
        <w:rPr>
          <w:i/>
          <w:iCs/>
        </w:rPr>
        <w:t xml:space="preserve"> et </w:t>
      </w:r>
      <w:proofErr w:type="spellStart"/>
      <w:r w:rsidR="0036782F" w:rsidRPr="00793F60">
        <w:rPr>
          <w:i/>
          <w:iCs/>
        </w:rPr>
        <w:t>Nakarmi</w:t>
      </w:r>
      <w:proofErr w:type="spellEnd"/>
      <w:r w:rsidR="0036782F" w:rsidRPr="00793F60">
        <w:rPr>
          <w:i/>
          <w:iCs/>
        </w:rPr>
        <w:t xml:space="preserve"> c. </w:t>
      </w:r>
      <w:proofErr w:type="spellStart"/>
      <w:r w:rsidR="0036782F" w:rsidRPr="00793F60">
        <w:rPr>
          <w:i/>
          <w:iCs/>
        </w:rPr>
        <w:t>Nepal</w:t>
      </w:r>
      <w:proofErr w:type="spellEnd"/>
      <w:r w:rsidR="0036782F">
        <w:rPr>
          <w:i/>
          <w:iCs/>
        </w:rPr>
        <w:t xml:space="preserve"> </w:t>
      </w:r>
      <w:r w:rsidR="0036782F" w:rsidRPr="008F722D">
        <w:t>(CCPR/C/119/D/2184/2012)</w:t>
      </w:r>
      <w:r w:rsidR="0036782F">
        <w:t>, par.</w:t>
      </w:r>
      <w:r>
        <w:t> </w:t>
      </w:r>
      <w:r w:rsidR="0036782F">
        <w:t>11</w:t>
      </w:r>
      <w:r w:rsidR="0036782F" w:rsidRPr="00C54FD5">
        <w:t>.4</w:t>
      </w:r>
      <w:r w:rsidR="0036782F" w:rsidRPr="00793F60">
        <w:rPr>
          <w:i/>
          <w:iCs/>
        </w:rPr>
        <w:t> ;</w:t>
      </w:r>
      <w:r w:rsidR="0036782F" w:rsidRPr="00793F60">
        <w:t xml:space="preserve"> </w:t>
      </w:r>
      <w:proofErr w:type="spellStart"/>
      <w:r w:rsidR="0036782F" w:rsidRPr="00793F60">
        <w:rPr>
          <w:i/>
          <w:iCs/>
        </w:rPr>
        <w:t>Dhakal</w:t>
      </w:r>
      <w:proofErr w:type="spellEnd"/>
      <w:r w:rsidR="0036782F" w:rsidRPr="00793F60">
        <w:rPr>
          <w:i/>
          <w:iCs/>
        </w:rPr>
        <w:t xml:space="preserve"> et consorts </w:t>
      </w:r>
      <w:r w:rsidR="0036782F" w:rsidRPr="00793F60">
        <w:rPr>
          <w:i/>
        </w:rPr>
        <w:t>c</w:t>
      </w:r>
      <w:r w:rsidR="0036782F" w:rsidRPr="00793F60">
        <w:rPr>
          <w:i/>
          <w:iCs/>
        </w:rPr>
        <w:t>. </w:t>
      </w:r>
      <w:r w:rsidR="0036782F">
        <w:rPr>
          <w:i/>
          <w:iCs/>
        </w:rPr>
        <w:t xml:space="preserve">Népal </w:t>
      </w:r>
      <w:r w:rsidR="0036782F" w:rsidRPr="008F722D">
        <w:t>(</w:t>
      </w:r>
      <w:r w:rsidR="0036782F" w:rsidRPr="00C54FD5">
        <w:t>CCPR</w:t>
      </w:r>
      <w:r w:rsidR="0036782F">
        <w:t>/C/119/D/2185/2012), par.</w:t>
      </w:r>
      <w:r>
        <w:t> </w:t>
      </w:r>
      <w:r w:rsidR="0036782F">
        <w:t>11.</w:t>
      </w:r>
      <w:r w:rsidR="0036782F" w:rsidRPr="00C54FD5">
        <w:t>4</w:t>
      </w:r>
      <w:r w:rsidR="0036782F" w:rsidRPr="00793F60">
        <w:rPr>
          <w:i/>
          <w:iCs/>
        </w:rPr>
        <w:t>;</w:t>
      </w:r>
      <w:r w:rsidR="0036782F" w:rsidRPr="00793F60">
        <w:t xml:space="preserve"> </w:t>
      </w:r>
      <w:r w:rsidR="0036782F" w:rsidRPr="00793F60">
        <w:rPr>
          <w:i/>
          <w:iCs/>
        </w:rPr>
        <w:t xml:space="preserve">Maya </w:t>
      </w:r>
      <w:r w:rsidR="0036782F" w:rsidRPr="00793F60">
        <w:rPr>
          <w:i/>
        </w:rPr>
        <w:t>c</w:t>
      </w:r>
      <w:r w:rsidR="0036782F" w:rsidRPr="00793F60">
        <w:rPr>
          <w:i/>
          <w:iCs/>
        </w:rPr>
        <w:t>. Népal</w:t>
      </w:r>
      <w:r w:rsidR="0036782F">
        <w:t xml:space="preserve"> (CCPR/C/119/D/2245/2013), par.</w:t>
      </w:r>
      <w:r w:rsidR="002D1123">
        <w:t> </w:t>
      </w:r>
      <w:r w:rsidR="0036782F">
        <w:t>12.2</w:t>
      </w:r>
      <w:r w:rsidR="0036782F" w:rsidRPr="00793F60">
        <w:t xml:space="preserve"> ; </w:t>
      </w:r>
      <w:proofErr w:type="spellStart"/>
      <w:r w:rsidR="0036782F" w:rsidRPr="00793F60">
        <w:rPr>
          <w:i/>
          <w:iCs/>
        </w:rPr>
        <w:t>Maharjan</w:t>
      </w:r>
      <w:proofErr w:type="spellEnd"/>
      <w:r w:rsidR="0036782F" w:rsidRPr="00793F60">
        <w:rPr>
          <w:i/>
          <w:iCs/>
        </w:rPr>
        <w:t xml:space="preserve"> et consorts </w:t>
      </w:r>
      <w:r w:rsidR="0036782F" w:rsidRPr="00793F60">
        <w:rPr>
          <w:i/>
        </w:rPr>
        <w:t>c</w:t>
      </w:r>
      <w:r w:rsidR="0036782F" w:rsidRPr="00793F60">
        <w:rPr>
          <w:i/>
          <w:iCs/>
        </w:rPr>
        <w:t>. Népal</w:t>
      </w:r>
      <w:r w:rsidR="0036782F">
        <w:t xml:space="preserve"> (CCPR/C/105/D/1863/2009), par.</w:t>
      </w:r>
      <w:r w:rsidR="002D1123">
        <w:t> </w:t>
      </w:r>
      <w:r w:rsidR="0036782F">
        <w:t>8.3</w:t>
      </w:r>
      <w:r w:rsidR="0036782F" w:rsidRPr="00793F60">
        <w:t xml:space="preserve">; </w:t>
      </w:r>
      <w:proofErr w:type="spellStart"/>
      <w:r w:rsidR="0036782F" w:rsidRPr="00793F60">
        <w:rPr>
          <w:i/>
          <w:iCs/>
        </w:rPr>
        <w:t>Tripathi</w:t>
      </w:r>
      <w:proofErr w:type="spellEnd"/>
      <w:r w:rsidR="0036782F" w:rsidRPr="00793F60">
        <w:rPr>
          <w:i/>
          <w:iCs/>
        </w:rPr>
        <w:t xml:space="preserve"> </w:t>
      </w:r>
      <w:r w:rsidR="0036782F" w:rsidRPr="00793F60">
        <w:rPr>
          <w:i/>
        </w:rPr>
        <w:t>c</w:t>
      </w:r>
      <w:r w:rsidR="0036782F" w:rsidRPr="00793F60">
        <w:rPr>
          <w:i/>
          <w:iCs/>
        </w:rPr>
        <w:t>. Népal</w:t>
      </w:r>
      <w:r w:rsidR="0036782F">
        <w:t>, par.</w:t>
      </w:r>
      <w:r w:rsidR="002D1123">
        <w:t> </w:t>
      </w:r>
      <w:r w:rsidR="0036782F">
        <w:t>7.2</w:t>
      </w:r>
      <w:r w:rsidR="0036782F" w:rsidRPr="00793F60">
        <w:t xml:space="preserve"> ; </w:t>
      </w:r>
      <w:proofErr w:type="spellStart"/>
      <w:r w:rsidR="0036782F" w:rsidRPr="00793F60">
        <w:rPr>
          <w:i/>
          <w:iCs/>
        </w:rPr>
        <w:t>Katwal</w:t>
      </w:r>
      <w:proofErr w:type="spellEnd"/>
      <w:r w:rsidR="0036782F" w:rsidRPr="00793F60">
        <w:rPr>
          <w:i/>
          <w:iCs/>
        </w:rPr>
        <w:t xml:space="preserve"> </w:t>
      </w:r>
      <w:r w:rsidR="0036782F" w:rsidRPr="00793F60">
        <w:rPr>
          <w:i/>
        </w:rPr>
        <w:t>c</w:t>
      </w:r>
      <w:r w:rsidR="0036782F" w:rsidRPr="00793F60">
        <w:rPr>
          <w:i/>
          <w:iCs/>
        </w:rPr>
        <w:t>. Népal</w:t>
      </w:r>
      <w:r w:rsidR="0036782F">
        <w:t>, par.</w:t>
      </w:r>
      <w:r w:rsidR="002D1123">
        <w:t> </w:t>
      </w:r>
      <w:r w:rsidR="0036782F">
        <w:t>3.6</w:t>
      </w:r>
      <w:r w:rsidR="0036782F" w:rsidRPr="00793F60">
        <w:t>.</w:t>
      </w:r>
    </w:p>
  </w:footnote>
  <w:footnote w:id="14">
    <w:p w:rsidR="0036782F" w:rsidRPr="00793F60" w:rsidRDefault="0036782F" w:rsidP="0036782F">
      <w:pPr>
        <w:pStyle w:val="Notedebasdepage"/>
      </w:pPr>
      <w:r w:rsidRPr="00793F60">
        <w:tab/>
      </w:r>
      <w:r w:rsidRPr="00793F60">
        <w:rPr>
          <w:rStyle w:val="Appelnotedebasdep"/>
        </w:rPr>
        <w:footnoteRef/>
      </w:r>
      <w:r w:rsidRPr="00793F60">
        <w:tab/>
        <w:t xml:space="preserve">Voir </w:t>
      </w:r>
      <w:proofErr w:type="spellStart"/>
      <w:r w:rsidRPr="00793F60">
        <w:rPr>
          <w:i/>
          <w:iCs/>
        </w:rPr>
        <w:t>Neupane</w:t>
      </w:r>
      <w:proofErr w:type="spellEnd"/>
      <w:r w:rsidRPr="00793F60">
        <w:rPr>
          <w:i/>
          <w:iCs/>
        </w:rPr>
        <w:t xml:space="preserve"> et </w:t>
      </w:r>
      <w:proofErr w:type="spellStart"/>
      <w:r w:rsidRPr="00793F60">
        <w:rPr>
          <w:i/>
          <w:iCs/>
        </w:rPr>
        <w:t>Neupane</w:t>
      </w:r>
      <w:proofErr w:type="spellEnd"/>
      <w:r w:rsidRPr="00793F60">
        <w:rPr>
          <w:i/>
          <w:iCs/>
        </w:rPr>
        <w:t xml:space="preserve"> </w:t>
      </w:r>
      <w:r w:rsidRPr="00793F60">
        <w:rPr>
          <w:i/>
        </w:rPr>
        <w:t>c</w:t>
      </w:r>
      <w:r w:rsidRPr="00793F60">
        <w:rPr>
          <w:i/>
          <w:iCs/>
        </w:rPr>
        <w:t>. Népal</w:t>
      </w:r>
      <w:r>
        <w:t xml:space="preserve"> </w:t>
      </w:r>
      <w:r w:rsidRPr="008F722D">
        <w:t>(</w:t>
      </w:r>
      <w:r w:rsidRPr="00933729">
        <w:t>CCPR/C/120/D/2170/2012),</w:t>
      </w:r>
      <w:r>
        <w:t xml:space="preserve"> </w:t>
      </w:r>
      <w:r w:rsidRPr="00793F60">
        <w:t>par.</w:t>
      </w:r>
      <w:r w:rsidR="00C16EBA">
        <w:t> </w:t>
      </w:r>
      <w:r w:rsidRPr="00793F60">
        <w:t xml:space="preserve">10.5 ; </w:t>
      </w:r>
      <w:proofErr w:type="spellStart"/>
      <w:r w:rsidRPr="00793F60">
        <w:rPr>
          <w:i/>
          <w:iCs/>
        </w:rPr>
        <w:t>Katwal</w:t>
      </w:r>
      <w:proofErr w:type="spellEnd"/>
      <w:r w:rsidRPr="00793F60">
        <w:rPr>
          <w:i/>
          <w:iCs/>
        </w:rPr>
        <w:t xml:space="preserve"> </w:t>
      </w:r>
      <w:r w:rsidRPr="00793F60">
        <w:rPr>
          <w:i/>
        </w:rPr>
        <w:t>c</w:t>
      </w:r>
      <w:r w:rsidRPr="00793F60">
        <w:rPr>
          <w:i/>
          <w:iCs/>
        </w:rPr>
        <w:t>. Népal</w:t>
      </w:r>
      <w:r w:rsidRPr="00793F60">
        <w:t xml:space="preserve">, par. 11.3 ; </w:t>
      </w:r>
      <w:proofErr w:type="spellStart"/>
      <w:r w:rsidRPr="00793F60">
        <w:rPr>
          <w:i/>
          <w:iCs/>
        </w:rPr>
        <w:t>Serna</w:t>
      </w:r>
      <w:proofErr w:type="spellEnd"/>
      <w:r w:rsidRPr="00793F60">
        <w:rPr>
          <w:i/>
          <w:iCs/>
        </w:rPr>
        <w:t xml:space="preserve"> et consorts </w:t>
      </w:r>
      <w:r w:rsidRPr="00793F60">
        <w:rPr>
          <w:i/>
        </w:rPr>
        <w:t>c</w:t>
      </w:r>
      <w:r w:rsidRPr="00793F60">
        <w:rPr>
          <w:i/>
          <w:iCs/>
        </w:rPr>
        <w:t>. Colombie</w:t>
      </w:r>
      <w:r w:rsidRPr="00793F60">
        <w:t xml:space="preserve"> (CCPR/C/114/D/2134/2012), par.</w:t>
      </w:r>
      <w:r w:rsidR="00C16EBA">
        <w:t> </w:t>
      </w:r>
      <w:r w:rsidRPr="00793F60">
        <w:t xml:space="preserve">9.4 ; </w:t>
      </w:r>
      <w:proofErr w:type="spellStart"/>
      <w:r w:rsidRPr="00793F60">
        <w:rPr>
          <w:i/>
          <w:iCs/>
        </w:rPr>
        <w:t>Nakarmi</w:t>
      </w:r>
      <w:proofErr w:type="spellEnd"/>
      <w:r w:rsidRPr="00793F60">
        <w:rPr>
          <w:i/>
          <w:iCs/>
        </w:rPr>
        <w:t xml:space="preserve"> et </w:t>
      </w:r>
      <w:proofErr w:type="spellStart"/>
      <w:r w:rsidRPr="00793F60">
        <w:rPr>
          <w:i/>
          <w:iCs/>
        </w:rPr>
        <w:t>Nakarmi</w:t>
      </w:r>
      <w:proofErr w:type="spellEnd"/>
      <w:r w:rsidRPr="00793F60">
        <w:rPr>
          <w:i/>
          <w:iCs/>
        </w:rPr>
        <w:t xml:space="preserve"> c. </w:t>
      </w:r>
      <w:proofErr w:type="spellStart"/>
      <w:r w:rsidRPr="00793F60">
        <w:rPr>
          <w:i/>
          <w:iCs/>
        </w:rPr>
        <w:t>Nepal</w:t>
      </w:r>
      <w:proofErr w:type="spellEnd"/>
      <w:r w:rsidRPr="00793F60">
        <w:t xml:space="preserve">, par. 11.5 ; </w:t>
      </w:r>
      <w:proofErr w:type="spellStart"/>
      <w:r w:rsidRPr="00793F60">
        <w:rPr>
          <w:i/>
          <w:iCs/>
        </w:rPr>
        <w:t>Dhakal</w:t>
      </w:r>
      <w:proofErr w:type="spellEnd"/>
      <w:r w:rsidRPr="00793F60">
        <w:rPr>
          <w:i/>
          <w:iCs/>
        </w:rPr>
        <w:t xml:space="preserve"> et consorts </w:t>
      </w:r>
      <w:r w:rsidRPr="00793F60">
        <w:rPr>
          <w:i/>
        </w:rPr>
        <w:t>c</w:t>
      </w:r>
      <w:r w:rsidRPr="00793F60">
        <w:rPr>
          <w:i/>
          <w:iCs/>
        </w:rPr>
        <w:t>. Népal</w:t>
      </w:r>
      <w:r w:rsidRPr="00793F60">
        <w:t>, par. 11.5.</w:t>
      </w:r>
      <w:r>
        <w:t xml:space="preserve"> Voir également l</w:t>
      </w:r>
      <w:r w:rsidR="006E5E23">
        <w:t>’</w:t>
      </w:r>
      <w:r>
        <w:t xml:space="preserve">observation générale du Comité </w:t>
      </w:r>
      <w:r w:rsidR="00C16EBA" w:rsidRPr="002D76F4">
        <w:rPr>
          <w:rFonts w:eastAsia="MS Mincho"/>
          <w:szCs w:val="22"/>
        </w:rPr>
        <w:t>n</w:t>
      </w:r>
      <w:r w:rsidR="00C16EBA" w:rsidRPr="002D76F4">
        <w:rPr>
          <w:rFonts w:eastAsia="MS Mincho"/>
          <w:szCs w:val="22"/>
          <w:vertAlign w:val="superscript"/>
        </w:rPr>
        <w:t>o</w:t>
      </w:r>
      <w:r w:rsidR="00C16EBA">
        <w:t> </w:t>
      </w:r>
      <w:r>
        <w:t>36 (2018) sur le droit à la vie, par.</w:t>
      </w:r>
      <w:r w:rsidR="00C16EBA">
        <w:t> </w:t>
      </w:r>
      <w:r>
        <w:t>58.</w:t>
      </w:r>
    </w:p>
  </w:footnote>
  <w:footnote w:id="15">
    <w:p w:rsidR="0036782F" w:rsidRPr="00793F60" w:rsidRDefault="0036782F" w:rsidP="0036782F">
      <w:pPr>
        <w:pStyle w:val="Notedebasdepage"/>
      </w:pPr>
      <w:r w:rsidRPr="00793F60">
        <w:tab/>
      </w:r>
      <w:r w:rsidRPr="00793F60">
        <w:rPr>
          <w:rStyle w:val="Appelnotedebasdep"/>
        </w:rPr>
        <w:footnoteRef/>
      </w:r>
      <w:r w:rsidRPr="00793F60">
        <w:tab/>
        <w:t xml:space="preserve">Voir </w:t>
      </w:r>
      <w:proofErr w:type="spellStart"/>
      <w:r w:rsidRPr="00793F60">
        <w:rPr>
          <w:i/>
          <w:iCs/>
        </w:rPr>
        <w:t>Abushaala</w:t>
      </w:r>
      <w:proofErr w:type="spellEnd"/>
      <w:r w:rsidRPr="00793F60">
        <w:rPr>
          <w:i/>
          <w:iCs/>
        </w:rPr>
        <w:t xml:space="preserve"> et consorts c. Libye</w:t>
      </w:r>
      <w:r w:rsidRPr="00793F60">
        <w:t xml:space="preserve"> (CCPR/C/107/D/1913/2009), par.</w:t>
      </w:r>
      <w:r w:rsidR="00C16EBA">
        <w:t> </w:t>
      </w:r>
      <w:r w:rsidRPr="00793F60">
        <w:t xml:space="preserve">6.2 ; </w:t>
      </w:r>
      <w:proofErr w:type="spellStart"/>
      <w:r w:rsidRPr="00793F60">
        <w:rPr>
          <w:i/>
          <w:iCs/>
        </w:rPr>
        <w:t>Nakarmi</w:t>
      </w:r>
      <w:proofErr w:type="spellEnd"/>
      <w:r w:rsidRPr="00793F60">
        <w:rPr>
          <w:i/>
          <w:iCs/>
        </w:rPr>
        <w:t xml:space="preserve"> et </w:t>
      </w:r>
      <w:proofErr w:type="spellStart"/>
      <w:r w:rsidRPr="00793F60">
        <w:rPr>
          <w:i/>
          <w:iCs/>
        </w:rPr>
        <w:t>Nakarmi</w:t>
      </w:r>
      <w:proofErr w:type="spellEnd"/>
      <w:r w:rsidRPr="00793F60">
        <w:rPr>
          <w:i/>
          <w:iCs/>
        </w:rPr>
        <w:t xml:space="preserve"> c. </w:t>
      </w:r>
      <w:proofErr w:type="spellStart"/>
      <w:r w:rsidRPr="00793F60">
        <w:rPr>
          <w:i/>
          <w:iCs/>
        </w:rPr>
        <w:t>Nepal</w:t>
      </w:r>
      <w:proofErr w:type="spellEnd"/>
      <w:r w:rsidRPr="00793F60">
        <w:rPr>
          <w:i/>
          <w:iCs/>
        </w:rPr>
        <w:t>,</w:t>
      </w:r>
      <w:r w:rsidRPr="00793F60">
        <w:t xml:space="preserve"> par. 11.6 ; </w:t>
      </w:r>
      <w:proofErr w:type="spellStart"/>
      <w:r w:rsidRPr="00793F60">
        <w:rPr>
          <w:i/>
          <w:iCs/>
        </w:rPr>
        <w:t>Dhakal</w:t>
      </w:r>
      <w:proofErr w:type="spellEnd"/>
      <w:r w:rsidRPr="00793F60">
        <w:rPr>
          <w:i/>
          <w:iCs/>
        </w:rPr>
        <w:t xml:space="preserve"> et consorts </w:t>
      </w:r>
      <w:r w:rsidRPr="00793F60">
        <w:rPr>
          <w:i/>
        </w:rPr>
        <w:t>c</w:t>
      </w:r>
      <w:r w:rsidRPr="00793F60">
        <w:rPr>
          <w:i/>
          <w:iCs/>
        </w:rPr>
        <w:t>. Népal</w:t>
      </w:r>
      <w:r w:rsidRPr="00793F60">
        <w:t>, par. 11.6.</w:t>
      </w:r>
      <w:r>
        <w:t xml:space="preserve"> Voir aussi l</w:t>
      </w:r>
      <w:r w:rsidR="006E5E23">
        <w:t>’</w:t>
      </w:r>
      <w:r>
        <w:t xml:space="preserve">observation générale du Comité </w:t>
      </w:r>
      <w:r w:rsidR="00C16EBA" w:rsidRPr="002D76F4">
        <w:rPr>
          <w:rFonts w:eastAsia="MS Mincho"/>
          <w:szCs w:val="22"/>
        </w:rPr>
        <w:t>n</w:t>
      </w:r>
      <w:r w:rsidR="00C16EBA" w:rsidRPr="002D76F4">
        <w:rPr>
          <w:rFonts w:eastAsia="MS Mincho"/>
          <w:szCs w:val="22"/>
          <w:vertAlign w:val="superscript"/>
        </w:rPr>
        <w:t>o</w:t>
      </w:r>
      <w:r w:rsidR="00C16EBA">
        <w:t> </w:t>
      </w:r>
      <w:r>
        <w:t xml:space="preserve">36 </w:t>
      </w:r>
      <w:r w:rsidR="00C16EBA">
        <w:t xml:space="preserve">(2018) </w:t>
      </w:r>
      <w:r>
        <w:t>sur le droit à la vie, par.</w:t>
      </w:r>
      <w:r w:rsidR="00C16EBA">
        <w:t> </w:t>
      </w:r>
      <w:r>
        <w:t>58.</w:t>
      </w:r>
    </w:p>
  </w:footnote>
  <w:footnote w:id="16">
    <w:p w:rsidR="0036782F" w:rsidRDefault="00C16EBA" w:rsidP="0036782F">
      <w:pPr>
        <w:pStyle w:val="Notedebasdepage"/>
      </w:pPr>
      <w:r>
        <w:tab/>
      </w:r>
      <w:r w:rsidR="0036782F">
        <w:rPr>
          <w:rStyle w:val="Appelnotedebasdep"/>
        </w:rPr>
        <w:footnoteRef/>
      </w:r>
      <w:r>
        <w:tab/>
      </w:r>
      <w:r w:rsidR="0036782F">
        <w:t>Voir l</w:t>
      </w:r>
      <w:r w:rsidR="006E5E23">
        <w:t>’</w:t>
      </w:r>
      <w:r w:rsidR="0036782F">
        <w:t xml:space="preserve">observation générale du Comité </w:t>
      </w:r>
      <w:r w:rsidR="00EF1682" w:rsidRPr="002D76F4">
        <w:rPr>
          <w:rFonts w:eastAsia="MS Mincho"/>
          <w:szCs w:val="22"/>
        </w:rPr>
        <w:t>n</w:t>
      </w:r>
      <w:r w:rsidR="00EF1682" w:rsidRPr="002D76F4">
        <w:rPr>
          <w:rFonts w:eastAsia="MS Mincho"/>
          <w:szCs w:val="22"/>
          <w:vertAlign w:val="superscript"/>
        </w:rPr>
        <w:t>o</w:t>
      </w:r>
      <w:r w:rsidR="00EF1682">
        <w:t> </w:t>
      </w:r>
      <w:r w:rsidR="0036782F">
        <w:t>36, par.</w:t>
      </w:r>
      <w:r>
        <w:t> </w:t>
      </w:r>
      <w:r w:rsidR="0036782F">
        <w:t>7 et 13.</w:t>
      </w:r>
    </w:p>
  </w:footnote>
  <w:footnote w:id="17">
    <w:p w:rsidR="0036782F" w:rsidRDefault="00C16EBA" w:rsidP="0036782F">
      <w:pPr>
        <w:pStyle w:val="Notedebasdepage"/>
      </w:pPr>
      <w:r>
        <w:tab/>
      </w:r>
      <w:r w:rsidR="0036782F">
        <w:rPr>
          <w:rStyle w:val="Appelnotedebasdep"/>
        </w:rPr>
        <w:footnoteRef/>
      </w:r>
      <w:r>
        <w:tab/>
      </w:r>
      <w:r w:rsidR="0036782F">
        <w:t>Voir l</w:t>
      </w:r>
      <w:r w:rsidR="006E5E23">
        <w:t>’</w:t>
      </w:r>
      <w:r w:rsidR="0036782F">
        <w:t xml:space="preserve">observation générale du Comité </w:t>
      </w:r>
      <w:r w:rsidR="00EF1682" w:rsidRPr="002D76F4">
        <w:rPr>
          <w:rFonts w:eastAsia="MS Mincho"/>
          <w:szCs w:val="22"/>
        </w:rPr>
        <w:t>n</w:t>
      </w:r>
      <w:r w:rsidR="00EF1682" w:rsidRPr="002D76F4">
        <w:rPr>
          <w:rFonts w:eastAsia="MS Mincho"/>
          <w:szCs w:val="22"/>
          <w:vertAlign w:val="superscript"/>
        </w:rPr>
        <w:t>o</w:t>
      </w:r>
      <w:r w:rsidR="00EF1682">
        <w:t> </w:t>
      </w:r>
      <w:r w:rsidR="0036782F">
        <w:t>31, par.</w:t>
      </w:r>
      <w:r>
        <w:t> </w:t>
      </w:r>
      <w:r w:rsidR="0036782F">
        <w:t>18.</w:t>
      </w:r>
    </w:p>
  </w:footnote>
  <w:footnote w:id="18">
    <w:p w:rsidR="0036782F" w:rsidRPr="00793F60" w:rsidRDefault="0036782F" w:rsidP="0036782F">
      <w:pPr>
        <w:pStyle w:val="Notedebasdepage"/>
      </w:pPr>
      <w:r w:rsidRPr="00793F60">
        <w:tab/>
      </w:r>
      <w:r w:rsidRPr="00793F60">
        <w:rPr>
          <w:rStyle w:val="Appelnotedebasdep"/>
        </w:rPr>
        <w:footnoteRef/>
      </w:r>
      <w:r w:rsidRPr="00793F60">
        <w:tab/>
      </w:r>
      <w:r w:rsidRPr="00202656">
        <w:rPr>
          <w:spacing w:val="-2"/>
        </w:rPr>
        <w:t xml:space="preserve">Voir </w:t>
      </w:r>
      <w:r w:rsidRPr="00202656">
        <w:rPr>
          <w:i/>
          <w:iCs/>
          <w:spacing w:val="-2"/>
        </w:rPr>
        <w:t xml:space="preserve">Tharu et consorts </w:t>
      </w:r>
      <w:r w:rsidRPr="00202656">
        <w:rPr>
          <w:i/>
          <w:spacing w:val="-2"/>
        </w:rPr>
        <w:t>c</w:t>
      </w:r>
      <w:r w:rsidRPr="00202656">
        <w:rPr>
          <w:i/>
          <w:iCs/>
          <w:spacing w:val="-2"/>
        </w:rPr>
        <w:t>. Népal</w:t>
      </w:r>
      <w:r w:rsidRPr="00202656">
        <w:rPr>
          <w:spacing w:val="-2"/>
        </w:rPr>
        <w:t xml:space="preserve"> (CCPR/C/114/D/2038/2011),  par.</w:t>
      </w:r>
      <w:r w:rsidR="00EF1682" w:rsidRPr="00202656">
        <w:rPr>
          <w:spacing w:val="-2"/>
        </w:rPr>
        <w:t> </w:t>
      </w:r>
      <w:r w:rsidRPr="00202656">
        <w:rPr>
          <w:spacing w:val="-2"/>
        </w:rPr>
        <w:t xml:space="preserve">10.9 ; </w:t>
      </w:r>
      <w:proofErr w:type="spellStart"/>
      <w:r w:rsidRPr="00202656">
        <w:rPr>
          <w:i/>
          <w:iCs/>
          <w:spacing w:val="-2"/>
        </w:rPr>
        <w:t>Serna</w:t>
      </w:r>
      <w:proofErr w:type="spellEnd"/>
      <w:r w:rsidRPr="00202656">
        <w:rPr>
          <w:i/>
          <w:iCs/>
          <w:spacing w:val="-2"/>
        </w:rPr>
        <w:t xml:space="preserve"> et consorts</w:t>
      </w:r>
      <w:r w:rsidRPr="00793F60">
        <w:rPr>
          <w:i/>
          <w:iCs/>
        </w:rPr>
        <w:t xml:space="preserve"> </w:t>
      </w:r>
      <w:r w:rsidRPr="00793F60">
        <w:rPr>
          <w:i/>
        </w:rPr>
        <w:t>c</w:t>
      </w:r>
      <w:r w:rsidRPr="00793F60">
        <w:rPr>
          <w:i/>
          <w:iCs/>
        </w:rPr>
        <w:t>. Colombie</w:t>
      </w:r>
      <w:r w:rsidRPr="00793F60">
        <w:t xml:space="preserve">, par. 9.5 ; </w:t>
      </w:r>
      <w:proofErr w:type="spellStart"/>
      <w:r w:rsidRPr="00793F60">
        <w:rPr>
          <w:i/>
          <w:iCs/>
        </w:rPr>
        <w:t>Nakarmi</w:t>
      </w:r>
      <w:proofErr w:type="spellEnd"/>
      <w:r w:rsidRPr="00793F60">
        <w:rPr>
          <w:i/>
          <w:iCs/>
        </w:rPr>
        <w:t xml:space="preserve"> et </w:t>
      </w:r>
      <w:proofErr w:type="spellStart"/>
      <w:r w:rsidRPr="00793F60">
        <w:rPr>
          <w:i/>
          <w:iCs/>
        </w:rPr>
        <w:t>Nakarmi</w:t>
      </w:r>
      <w:proofErr w:type="spellEnd"/>
      <w:r w:rsidRPr="00793F60">
        <w:rPr>
          <w:i/>
          <w:iCs/>
        </w:rPr>
        <w:t xml:space="preserve"> c.</w:t>
      </w:r>
      <w:r w:rsidRPr="00793F60">
        <w:t> </w:t>
      </w:r>
      <w:proofErr w:type="spellStart"/>
      <w:r w:rsidRPr="00793F60">
        <w:rPr>
          <w:i/>
          <w:iCs/>
        </w:rPr>
        <w:t>Nepal</w:t>
      </w:r>
      <w:proofErr w:type="spellEnd"/>
      <w:r w:rsidRPr="00793F60">
        <w:t xml:space="preserve">, par. 11.10 ; </w:t>
      </w:r>
      <w:proofErr w:type="spellStart"/>
      <w:r w:rsidRPr="00793F60">
        <w:rPr>
          <w:i/>
          <w:iCs/>
        </w:rPr>
        <w:t>Dhakal</w:t>
      </w:r>
      <w:proofErr w:type="spellEnd"/>
      <w:r w:rsidRPr="00793F60">
        <w:rPr>
          <w:i/>
          <w:iCs/>
        </w:rPr>
        <w:t xml:space="preserve"> et consorts </w:t>
      </w:r>
      <w:r w:rsidRPr="00793F60">
        <w:rPr>
          <w:i/>
        </w:rPr>
        <w:t>c</w:t>
      </w:r>
      <w:r w:rsidRPr="00793F60">
        <w:rPr>
          <w:i/>
          <w:iCs/>
        </w:rPr>
        <w:t>. Népal</w:t>
      </w:r>
      <w:r w:rsidRPr="00793F60">
        <w:t>, par. 11.10.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82F" w:rsidRPr="0036782F" w:rsidRDefault="00456480">
    <w:pPr>
      <w:pStyle w:val="En-tte"/>
    </w:pPr>
    <w:r>
      <w:fldChar w:fldCharType="begin"/>
    </w:r>
    <w:r>
      <w:instrText xml:space="preserve"> TITLE  \* MERGEFORMAT </w:instrText>
    </w:r>
    <w:r>
      <w:fldChar w:fldCharType="separate"/>
    </w:r>
    <w:r w:rsidR="0036782F">
      <w:t>CCPR/C/126/D/2560/2015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82F" w:rsidRPr="0036782F" w:rsidRDefault="00456480" w:rsidP="0036782F">
    <w:pPr>
      <w:pStyle w:val="En-tte"/>
      <w:jc w:val="right"/>
    </w:pPr>
    <w:r>
      <w:fldChar w:fldCharType="begin"/>
    </w:r>
    <w:r>
      <w:instrText xml:space="preserve"> TITLE  \* MERGEFORMAT </w:instrText>
    </w:r>
    <w:r>
      <w:fldChar w:fldCharType="separate"/>
    </w:r>
    <w:r w:rsidR="0036782F">
      <w:t>CCPR/C/126/D/2560/2015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3E71"/>
    <w:rsid w:val="00017F94"/>
    <w:rsid w:val="00023842"/>
    <w:rsid w:val="000334F9"/>
    <w:rsid w:val="00042B0F"/>
    <w:rsid w:val="00043E71"/>
    <w:rsid w:val="0007755D"/>
    <w:rsid w:val="0007796D"/>
    <w:rsid w:val="000A19AD"/>
    <w:rsid w:val="000B7790"/>
    <w:rsid w:val="000C2225"/>
    <w:rsid w:val="000D7134"/>
    <w:rsid w:val="00111F2F"/>
    <w:rsid w:val="0014365E"/>
    <w:rsid w:val="00176178"/>
    <w:rsid w:val="001B379B"/>
    <w:rsid w:val="001E4C37"/>
    <w:rsid w:val="001F525A"/>
    <w:rsid w:val="00202656"/>
    <w:rsid w:val="00223272"/>
    <w:rsid w:val="0024779E"/>
    <w:rsid w:val="002B7BC7"/>
    <w:rsid w:val="002D1123"/>
    <w:rsid w:val="002E0B4C"/>
    <w:rsid w:val="002E2D46"/>
    <w:rsid w:val="0032225A"/>
    <w:rsid w:val="003402F1"/>
    <w:rsid w:val="00351332"/>
    <w:rsid w:val="0036782F"/>
    <w:rsid w:val="003A6E96"/>
    <w:rsid w:val="00446FE5"/>
    <w:rsid w:val="00452396"/>
    <w:rsid w:val="005505B7"/>
    <w:rsid w:val="00573BE5"/>
    <w:rsid w:val="00586ED3"/>
    <w:rsid w:val="00596AA9"/>
    <w:rsid w:val="006E5E23"/>
    <w:rsid w:val="006F7144"/>
    <w:rsid w:val="006F71EA"/>
    <w:rsid w:val="00712717"/>
    <w:rsid w:val="0071601D"/>
    <w:rsid w:val="00793E85"/>
    <w:rsid w:val="007A611C"/>
    <w:rsid w:val="007A62E6"/>
    <w:rsid w:val="007E2032"/>
    <w:rsid w:val="0080684C"/>
    <w:rsid w:val="008560DB"/>
    <w:rsid w:val="00871C75"/>
    <w:rsid w:val="008776DC"/>
    <w:rsid w:val="008F11B1"/>
    <w:rsid w:val="009705C8"/>
    <w:rsid w:val="009B1E6C"/>
    <w:rsid w:val="009C5D0A"/>
    <w:rsid w:val="009E2C6A"/>
    <w:rsid w:val="00A226E6"/>
    <w:rsid w:val="00A9151D"/>
    <w:rsid w:val="00AA3436"/>
    <w:rsid w:val="00AA6A35"/>
    <w:rsid w:val="00AC3823"/>
    <w:rsid w:val="00AE323C"/>
    <w:rsid w:val="00B00181"/>
    <w:rsid w:val="00B765F7"/>
    <w:rsid w:val="00B965BB"/>
    <w:rsid w:val="00BA0CA9"/>
    <w:rsid w:val="00C01ACF"/>
    <w:rsid w:val="00C02897"/>
    <w:rsid w:val="00C16EBA"/>
    <w:rsid w:val="00C608F2"/>
    <w:rsid w:val="00CA7BC4"/>
    <w:rsid w:val="00CD3E2E"/>
    <w:rsid w:val="00D05667"/>
    <w:rsid w:val="00D3439C"/>
    <w:rsid w:val="00D744E5"/>
    <w:rsid w:val="00D83177"/>
    <w:rsid w:val="00DB1831"/>
    <w:rsid w:val="00DD3BFD"/>
    <w:rsid w:val="00DE1619"/>
    <w:rsid w:val="00DF6678"/>
    <w:rsid w:val="00E778DD"/>
    <w:rsid w:val="00E85C42"/>
    <w:rsid w:val="00EC30D5"/>
    <w:rsid w:val="00EE1BD4"/>
    <w:rsid w:val="00EF1682"/>
    <w:rsid w:val="00F12152"/>
    <w:rsid w:val="00F41AC3"/>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6C193"/>
  <w15:docId w15:val="{BCE00666-9000-46B4-B102-2B44893B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nhrcnepal.org/nhrc_new/doc/newsletter/Ceasefire%20report%20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8113</Words>
  <Characters>46250</Characters>
  <Application>Microsoft Office Word</Application>
  <DocSecurity>0</DocSecurity>
  <Lines>385</Lines>
  <Paragraphs>108</Paragraphs>
  <ScaleCrop>false</ScaleCrop>
  <HeadingPairs>
    <vt:vector size="2" baseType="variant">
      <vt:variant>
        <vt:lpstr>Titre</vt:lpstr>
      </vt:variant>
      <vt:variant>
        <vt:i4>1</vt:i4>
      </vt:variant>
    </vt:vector>
  </HeadingPairs>
  <TitlesOfParts>
    <vt:vector size="1" baseType="lpstr">
      <vt:lpstr>CCPR/C/126/D/2560/2015</vt:lpstr>
    </vt:vector>
  </TitlesOfParts>
  <Company>DCM</Company>
  <LinksUpToDate>false</LinksUpToDate>
  <CharactersWithSpaces>54255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CCPR/C/126/D/2560/2015</dc:title>
  <dc:subject/>
  <dc:creator>Fabienne CRELIER</dc:creator>
  <cp:keywords/>
  <cp:lastModifiedBy>Fabienne CRELIER</cp:lastModifiedBy>
  <cp:revision>2</cp:revision>
  <cp:lastPrinted>2014-05-14T10:59:00Z</cp:lastPrinted>
  <dcterms:created xsi:type="dcterms:W3CDTF">2020-07-02T10:32:00Z</dcterms:created>
  <dcterms:modified xsi:type="dcterms:W3CDTF">2020-07-02T10:32:00Z</dcterms:modified>
</cp:coreProperties>
</file>