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894CE3"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94CE3" w:rsidP="00B934F4">
            <w:pPr>
              <w:bidi w:val="0"/>
              <w:spacing w:after="20"/>
              <w:jc w:val="left"/>
              <w:rPr>
                <w:szCs w:val="20"/>
              </w:rPr>
            </w:pPr>
            <w:r w:rsidRPr="00894CE3">
              <w:rPr>
                <w:sz w:val="40"/>
                <w:szCs w:val="20"/>
              </w:rPr>
              <w:t>CCPR</w:t>
            </w:r>
            <w:r>
              <w:rPr>
                <w:szCs w:val="20"/>
              </w:rPr>
              <w:t>/C/</w:t>
            </w:r>
            <w:r w:rsidRPr="00754C8F">
              <w:rPr>
                <w:szCs w:val="20"/>
              </w:rPr>
              <w:t>126</w:t>
            </w:r>
            <w:r>
              <w:rPr>
                <w:szCs w:val="20"/>
              </w:rPr>
              <w:t>/D/</w:t>
            </w:r>
            <w:r w:rsidRPr="00754C8F">
              <w:rPr>
                <w:szCs w:val="20"/>
              </w:rPr>
              <w:t>2570</w:t>
            </w:r>
            <w:r>
              <w:rPr>
                <w:szCs w:val="20"/>
              </w:rPr>
              <w:t>/</w:t>
            </w:r>
            <w:r w:rsidRPr="00754C8F">
              <w:rPr>
                <w:szCs w:val="20"/>
              </w:rPr>
              <w:t>2015</w:t>
            </w:r>
            <w:r w:rsidR="00754C8F" w:rsidRPr="00754C8F">
              <w:rPr>
                <w:rStyle w:val="FootnoteReference"/>
                <w:sz w:val="20"/>
                <w:vertAlign w:val="baseline"/>
                <w:rtl/>
              </w:rPr>
              <w:footnoteReference w:customMarkFollows="1" w:id="1"/>
              <w:t>*</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934F4" w:rsidP="00B934F4">
            <w:pPr>
              <w:bidi w:val="0"/>
              <w:spacing w:before="240"/>
              <w:jc w:val="left"/>
              <w:rPr>
                <w:szCs w:val="20"/>
              </w:rPr>
            </w:pPr>
            <w:r>
              <w:rPr>
                <w:szCs w:val="20"/>
              </w:rPr>
              <w:t>Distr.: General</w:t>
            </w:r>
          </w:p>
          <w:p w:rsidR="00B934F4" w:rsidRDefault="00B934F4" w:rsidP="00B934F4">
            <w:pPr>
              <w:bidi w:val="0"/>
              <w:jc w:val="left"/>
              <w:rPr>
                <w:szCs w:val="20"/>
              </w:rPr>
            </w:pPr>
            <w:r w:rsidRPr="00754C8F">
              <w:rPr>
                <w:szCs w:val="20"/>
              </w:rPr>
              <w:t>20</w:t>
            </w:r>
            <w:r>
              <w:rPr>
                <w:szCs w:val="20"/>
              </w:rPr>
              <w:t xml:space="preserve"> August </w:t>
            </w:r>
            <w:r w:rsidRPr="00754C8F">
              <w:rPr>
                <w:szCs w:val="20"/>
              </w:rPr>
              <w:t>2019</w:t>
            </w:r>
          </w:p>
          <w:p w:rsidR="00B934F4" w:rsidRDefault="00B934F4" w:rsidP="00B934F4">
            <w:pPr>
              <w:bidi w:val="0"/>
              <w:jc w:val="left"/>
              <w:rPr>
                <w:szCs w:val="20"/>
              </w:rPr>
            </w:pPr>
            <w:r>
              <w:rPr>
                <w:szCs w:val="20"/>
              </w:rPr>
              <w:t>Arabic</w:t>
            </w:r>
          </w:p>
          <w:p w:rsidR="00B934F4" w:rsidRPr="00CB6622" w:rsidRDefault="00B934F4" w:rsidP="00B934F4">
            <w:pPr>
              <w:bidi w:val="0"/>
              <w:jc w:val="left"/>
              <w:rPr>
                <w:szCs w:val="20"/>
              </w:rPr>
            </w:pPr>
            <w:r>
              <w:rPr>
                <w:szCs w:val="20"/>
              </w:rPr>
              <w:t>Original: English</w:t>
            </w:r>
          </w:p>
        </w:tc>
      </w:tr>
    </w:tbl>
    <w:p w:rsidR="00B934F4" w:rsidRPr="00B934F4" w:rsidRDefault="00B934F4" w:rsidP="00B934F4">
      <w:pPr>
        <w:spacing w:before="120" w:after="120" w:line="380" w:lineRule="exact"/>
        <w:rPr>
          <w:b/>
          <w:bCs/>
          <w:sz w:val="26"/>
          <w:szCs w:val="36"/>
          <w:rtl/>
          <w:lang w:val="fr-CH"/>
        </w:rPr>
      </w:pPr>
      <w:r w:rsidRPr="00B934F4">
        <w:rPr>
          <w:b/>
          <w:bCs/>
          <w:sz w:val="26"/>
          <w:szCs w:val="36"/>
          <w:rtl/>
          <w:lang w:val="fr-CH"/>
        </w:rPr>
        <w:t>اللجنة المعنية بحقوق الإنسان</w:t>
      </w:r>
    </w:p>
    <w:p w:rsidR="00B934F4" w:rsidRPr="00B934F4" w:rsidRDefault="00B934F4" w:rsidP="00B934F4">
      <w:pPr>
        <w:pStyle w:val="HChGA"/>
        <w:rPr>
          <w:rtl/>
          <w:lang w:val="fr-CH"/>
        </w:rPr>
      </w:pPr>
      <w:r w:rsidRPr="00B934F4">
        <w:rPr>
          <w:lang w:val="en-GB"/>
        </w:rPr>
        <w:tab/>
      </w:r>
      <w:r w:rsidRPr="00B934F4">
        <w:rPr>
          <w:lang w:val="en-GB"/>
        </w:rPr>
        <w:tab/>
      </w:r>
      <w:r w:rsidRPr="00B934F4">
        <w:rPr>
          <w:rtl/>
          <w:lang w:val="fr-CH"/>
        </w:rPr>
        <w:t>قرار اتخذته اللجنة بموجب البروتوكول الاختياري، بشأن البلاغ رقم</w:t>
      </w:r>
      <w:r w:rsidR="001821A6">
        <w:rPr>
          <w:rFonts w:hint="cs"/>
          <w:rtl/>
          <w:lang w:val="fr-CH"/>
        </w:rPr>
        <w:t> </w:t>
      </w:r>
      <w:r w:rsidR="00754C8F" w:rsidRPr="00754C8F">
        <w:rPr>
          <w:szCs w:val="28"/>
          <w:rtl/>
          <w:lang w:val="fr-CH"/>
        </w:rPr>
        <w:t>2570</w:t>
      </w:r>
      <w:r w:rsidRPr="00B934F4">
        <w:rPr>
          <w:rtl/>
          <w:lang w:val="fr-CH"/>
        </w:rPr>
        <w:t>/</w:t>
      </w:r>
      <w:r w:rsidR="00754C8F" w:rsidRPr="00754C8F">
        <w:rPr>
          <w:szCs w:val="28"/>
          <w:rtl/>
          <w:lang w:val="fr-CH"/>
        </w:rPr>
        <w:t>2015</w:t>
      </w:r>
      <w:r w:rsidR="00754C8F" w:rsidRPr="00754C8F">
        <w:rPr>
          <w:rFonts w:hint="cs"/>
          <w:sz w:val="10"/>
          <w:szCs w:val="28"/>
          <w:rtl/>
          <w:lang w:val="fr-CH"/>
        </w:rPr>
        <w:t>*</w:t>
      </w:r>
      <w:r w:rsidR="00BB44FF" w:rsidRPr="00BB44FF">
        <w:rPr>
          <w:rStyle w:val="FootnoteReference"/>
          <w:sz w:val="20"/>
          <w:vertAlign w:val="baseline"/>
          <w:rtl/>
          <w:lang w:val="fr-CH"/>
        </w:rPr>
        <w:footnoteReference w:customMarkFollows="1" w:id="2"/>
        <w:t>*</w:t>
      </w:r>
      <w:r w:rsidR="00BB44FF">
        <w:rPr>
          <w:rFonts w:hint="cs"/>
          <w:rtl/>
          <w:lang w:val="fr-CH"/>
        </w:rPr>
        <w:t xml:space="preserve"> </w:t>
      </w:r>
      <w:r w:rsidR="00BB44FF" w:rsidRPr="00BB44FF">
        <w:rPr>
          <w:rStyle w:val="FootnoteReference"/>
          <w:sz w:val="20"/>
          <w:vertAlign w:val="baseline"/>
          <w:rtl/>
          <w:lang w:val="fr-CH"/>
        </w:rPr>
        <w:footnoteReference w:customMarkFollows="1" w:id="3"/>
        <w:t>**</w:t>
      </w:r>
      <w:r w:rsidR="00754C8F">
        <w:rPr>
          <w:rStyle w:val="FootnoteReference"/>
          <w:rFonts w:hint="cs"/>
          <w:sz w:val="20"/>
          <w:vertAlign w:val="baseline"/>
          <w:rtl/>
          <w:lang w:val="fr-CH"/>
        </w:rPr>
        <w:t>*</w:t>
      </w:r>
    </w:p>
    <w:p w:rsidR="00B934F4" w:rsidRPr="00754C8F" w:rsidRDefault="00D659FC" w:rsidP="00B934F4">
      <w:pPr>
        <w:pStyle w:val="SingleTxtGA"/>
        <w:ind w:left="4649" w:hanging="2721"/>
        <w:rPr>
          <w:rtl/>
          <w:lang w:val="fr-CH"/>
        </w:rPr>
      </w:pPr>
      <w:r w:rsidRPr="00754C8F">
        <w:rPr>
          <w:rFonts w:hint="cs"/>
          <w:iCs/>
          <w:rtl/>
          <w:lang w:val="fr-CH" w:bidi="ar-DZ"/>
        </w:rPr>
        <w:t>البلاغ</w:t>
      </w:r>
      <w:r w:rsidR="00B934F4" w:rsidRPr="00754C8F">
        <w:rPr>
          <w:iCs/>
          <w:rtl/>
          <w:lang w:val="fr-CH"/>
        </w:rPr>
        <w:t xml:space="preserve"> مقدم من:</w:t>
      </w:r>
      <w:r w:rsidR="00B934F4" w:rsidRPr="00754C8F">
        <w:rPr>
          <w:iCs/>
          <w:rtl/>
          <w:lang w:val="fr-CH"/>
        </w:rPr>
        <w:tab/>
      </w:r>
      <w:r w:rsidR="00B934F4" w:rsidRPr="00754C8F">
        <w:rPr>
          <w:iCs/>
          <w:rtl/>
          <w:lang w:val="fr-CH"/>
        </w:rPr>
        <w:tab/>
      </w:r>
      <w:r w:rsidR="00B934F4" w:rsidRPr="00754C8F">
        <w:rPr>
          <w:iCs/>
          <w:lang w:val="en-GB"/>
        </w:rPr>
        <w:tab/>
      </w:r>
      <w:r w:rsidR="00B934F4" w:rsidRPr="00754C8F">
        <w:rPr>
          <w:rtl/>
          <w:lang w:val="fr-CH"/>
        </w:rPr>
        <w:t>أ</w:t>
      </w:r>
      <w:r w:rsidR="00754C8F" w:rsidRPr="00754C8F">
        <w:rPr>
          <w:rFonts w:hint="cs"/>
          <w:rtl/>
          <w:lang w:val="fr-CH"/>
        </w:rPr>
        <w:t>.</w:t>
      </w:r>
      <w:r w:rsidR="00B934F4" w:rsidRPr="00754C8F">
        <w:rPr>
          <w:rtl/>
          <w:lang w:val="fr-CH"/>
        </w:rPr>
        <w:t xml:space="preserve"> ل</w:t>
      </w:r>
      <w:r w:rsidR="00754C8F" w:rsidRPr="00754C8F">
        <w:rPr>
          <w:rFonts w:hint="cs"/>
          <w:rtl/>
          <w:lang w:val="fr-CH"/>
        </w:rPr>
        <w:t>.</w:t>
      </w:r>
      <w:r w:rsidR="00B934F4" w:rsidRPr="00754C8F">
        <w:rPr>
          <w:rtl/>
          <w:lang w:val="fr-CH"/>
        </w:rPr>
        <w:t xml:space="preserve"> (يمثله المحامي أندريا </w:t>
      </w:r>
      <w:proofErr w:type="spellStart"/>
      <w:r w:rsidR="00B934F4" w:rsidRPr="00754C8F">
        <w:rPr>
          <w:rtl/>
          <w:lang w:val="fr-CH"/>
        </w:rPr>
        <w:t>ساكوتشي</w:t>
      </w:r>
      <w:proofErr w:type="spellEnd"/>
      <w:r w:rsidR="00B934F4" w:rsidRPr="00754C8F">
        <w:rPr>
          <w:rtl/>
          <w:lang w:val="fr-CH"/>
        </w:rPr>
        <w:t>)</w:t>
      </w:r>
    </w:p>
    <w:p w:rsidR="00B934F4" w:rsidRPr="00754C8F" w:rsidRDefault="00B934F4" w:rsidP="00754C8F">
      <w:pPr>
        <w:pStyle w:val="SingleTxtGA"/>
        <w:tabs>
          <w:tab w:val="clear" w:pos="3289"/>
          <w:tab w:val="clear" w:pos="3969"/>
        </w:tabs>
        <w:ind w:left="4649" w:hanging="2721"/>
        <w:rPr>
          <w:rtl/>
          <w:lang w:val="fr-CH"/>
        </w:rPr>
      </w:pPr>
      <w:r w:rsidRPr="00754C8F">
        <w:rPr>
          <w:iCs/>
          <w:rtl/>
          <w:lang w:val="fr-CH"/>
        </w:rPr>
        <w:t>الشخص المدعى أنه ضحية:</w:t>
      </w:r>
      <w:r w:rsidRPr="00754C8F">
        <w:rPr>
          <w:iCs/>
          <w:lang w:val="en-GB"/>
        </w:rPr>
        <w:tab/>
      </w:r>
      <w:r w:rsidRPr="00754C8F">
        <w:rPr>
          <w:rtl/>
          <w:lang w:val="fr-CH"/>
        </w:rPr>
        <w:t>صاحب البلاغ</w:t>
      </w:r>
    </w:p>
    <w:p w:rsidR="00B934F4" w:rsidRPr="00754C8F" w:rsidRDefault="00B934F4" w:rsidP="00B934F4">
      <w:pPr>
        <w:pStyle w:val="SingleTxtGA"/>
        <w:ind w:left="4649" w:hanging="2721"/>
        <w:rPr>
          <w:rFonts w:hint="cs"/>
          <w:rtl/>
          <w:lang w:val="fr-CH"/>
        </w:rPr>
      </w:pPr>
      <w:r w:rsidRPr="00754C8F">
        <w:rPr>
          <w:iCs/>
          <w:rtl/>
          <w:lang w:val="fr-CH"/>
        </w:rPr>
        <w:t>الدولة الطرف:</w:t>
      </w:r>
      <w:r w:rsidRPr="00754C8F">
        <w:rPr>
          <w:iCs/>
          <w:rtl/>
          <w:lang w:val="fr-CH"/>
        </w:rPr>
        <w:tab/>
      </w:r>
      <w:r w:rsidRPr="00754C8F">
        <w:rPr>
          <w:iCs/>
          <w:rtl/>
          <w:lang w:val="fr-CH"/>
        </w:rPr>
        <w:tab/>
      </w:r>
      <w:r w:rsidRPr="00754C8F">
        <w:rPr>
          <w:iCs/>
          <w:lang w:val="en-GB"/>
        </w:rPr>
        <w:tab/>
      </w:r>
      <w:r w:rsidRPr="00754C8F">
        <w:rPr>
          <w:rtl/>
          <w:lang w:val="fr-CH"/>
        </w:rPr>
        <w:t>إيطاليا</w:t>
      </w:r>
    </w:p>
    <w:p w:rsidR="00B934F4" w:rsidRPr="00754C8F" w:rsidRDefault="00B934F4" w:rsidP="00B934F4">
      <w:pPr>
        <w:pStyle w:val="SingleTxtGA"/>
        <w:ind w:left="4649" w:hanging="2721"/>
        <w:rPr>
          <w:spacing w:val="-7"/>
          <w:rtl/>
          <w:lang w:val="fr-CH"/>
        </w:rPr>
      </w:pPr>
      <w:r w:rsidRPr="00754C8F">
        <w:rPr>
          <w:iCs/>
          <w:spacing w:val="-7"/>
          <w:rtl/>
          <w:lang w:val="fr-CH"/>
        </w:rPr>
        <w:t>تاريخ تقديم البلاغ:</w:t>
      </w:r>
      <w:r w:rsidR="00BB44FF" w:rsidRPr="00754C8F">
        <w:rPr>
          <w:iCs/>
          <w:spacing w:val="-7"/>
          <w:rtl/>
          <w:lang w:val="fr-CH"/>
        </w:rPr>
        <w:tab/>
      </w:r>
      <w:r w:rsidRPr="00754C8F">
        <w:rPr>
          <w:iCs/>
          <w:spacing w:val="-7"/>
          <w:rtl/>
          <w:lang w:val="fr-CH"/>
        </w:rPr>
        <w:tab/>
      </w:r>
      <w:r w:rsidRPr="00754C8F">
        <w:rPr>
          <w:iCs/>
          <w:spacing w:val="-7"/>
          <w:lang w:val="en-GB"/>
        </w:rPr>
        <w:tab/>
      </w:r>
      <w:r w:rsidR="00754C8F" w:rsidRPr="00754C8F">
        <w:rPr>
          <w:spacing w:val="-7"/>
          <w:szCs w:val="20"/>
          <w:rtl/>
          <w:lang w:val="fr-CH"/>
        </w:rPr>
        <w:t>9</w:t>
      </w:r>
      <w:r w:rsidRPr="00754C8F">
        <w:rPr>
          <w:spacing w:val="-7"/>
          <w:rtl/>
          <w:lang w:val="fr-CH"/>
        </w:rPr>
        <w:t xml:space="preserve"> تشرين الأول/أكتوبر </w:t>
      </w:r>
      <w:r w:rsidR="00754C8F" w:rsidRPr="00754C8F">
        <w:rPr>
          <w:spacing w:val="-7"/>
          <w:szCs w:val="20"/>
          <w:rtl/>
          <w:lang w:val="fr-CH"/>
        </w:rPr>
        <w:t>2014</w:t>
      </w:r>
      <w:r w:rsidRPr="00754C8F">
        <w:rPr>
          <w:spacing w:val="-7"/>
          <w:rtl/>
          <w:lang w:val="fr-CH"/>
        </w:rPr>
        <w:t xml:space="preserve"> (تاريخ الرسالة الأولى)</w:t>
      </w:r>
    </w:p>
    <w:p w:rsidR="00B934F4" w:rsidRPr="00754C8F" w:rsidRDefault="00B934F4" w:rsidP="00B934F4">
      <w:pPr>
        <w:pStyle w:val="SingleTxtGA"/>
        <w:ind w:left="4649" w:hanging="2721"/>
        <w:rPr>
          <w:rtl/>
          <w:lang w:val="fr-CH"/>
        </w:rPr>
      </w:pPr>
      <w:r w:rsidRPr="00754C8F">
        <w:rPr>
          <w:iCs/>
          <w:rtl/>
          <w:lang w:val="fr-CH"/>
        </w:rPr>
        <w:t>الوثائق المرجعية</w:t>
      </w:r>
      <w:r w:rsidR="00D67799">
        <w:rPr>
          <w:rFonts w:hint="cs"/>
          <w:iCs/>
          <w:rtl/>
          <w:lang w:val="fr-CH"/>
        </w:rPr>
        <w:t>:</w:t>
      </w:r>
      <w:r w:rsidRPr="00754C8F">
        <w:rPr>
          <w:iCs/>
          <w:lang w:val="en-GB"/>
        </w:rPr>
        <w:tab/>
      </w:r>
      <w:r w:rsidRPr="00754C8F">
        <w:rPr>
          <w:iCs/>
        </w:rPr>
        <w:tab/>
      </w:r>
      <w:r w:rsidRPr="00754C8F">
        <w:rPr>
          <w:iCs/>
        </w:rPr>
        <w:tab/>
      </w:r>
      <w:r w:rsidRPr="00754C8F">
        <w:rPr>
          <w:rtl/>
          <w:lang w:val="fr-CH"/>
        </w:rPr>
        <w:t>القرار المتخذ بموجب المادة</w:t>
      </w:r>
      <w:r w:rsidRPr="00754C8F">
        <w:rPr>
          <w:rtl/>
          <w:lang w:val="en-GB"/>
        </w:rPr>
        <w:t xml:space="preserve"> </w:t>
      </w:r>
      <w:r w:rsidRPr="00754C8F">
        <w:rPr>
          <w:szCs w:val="20"/>
          <w:rtl/>
          <w:lang w:val="fr-CH"/>
        </w:rPr>
        <w:t>92</w:t>
      </w:r>
      <w:r w:rsidRPr="00754C8F">
        <w:rPr>
          <w:rtl/>
          <w:lang w:val="en-GB"/>
        </w:rPr>
        <w:t xml:space="preserve"> </w:t>
      </w:r>
      <w:r w:rsidRPr="00754C8F">
        <w:rPr>
          <w:rtl/>
          <w:lang w:val="fr-CH"/>
        </w:rPr>
        <w:t xml:space="preserve">من النظام الداخلي للجنة، والمحال إلى الدولة الطرف في </w:t>
      </w:r>
      <w:r w:rsidR="00754C8F" w:rsidRPr="00754C8F">
        <w:rPr>
          <w:szCs w:val="20"/>
          <w:rtl/>
          <w:lang w:val="fr-CH"/>
        </w:rPr>
        <w:t>16</w:t>
      </w:r>
      <w:r w:rsidRPr="00754C8F">
        <w:rPr>
          <w:rtl/>
          <w:lang w:val="fr-CH"/>
        </w:rPr>
        <w:t xml:space="preserve"> شباط/فبراير </w:t>
      </w:r>
      <w:r w:rsidR="00754C8F" w:rsidRPr="00754C8F">
        <w:rPr>
          <w:szCs w:val="20"/>
          <w:rtl/>
          <w:lang w:val="fr-CH"/>
        </w:rPr>
        <w:t>2015</w:t>
      </w:r>
      <w:r w:rsidRPr="00754C8F">
        <w:rPr>
          <w:rtl/>
          <w:lang w:val="fr-CH"/>
        </w:rPr>
        <w:t xml:space="preserve"> (لم يصدر في شكل وثيقة)</w:t>
      </w:r>
    </w:p>
    <w:p w:rsidR="00B934F4" w:rsidRPr="00754C8F" w:rsidRDefault="00B934F4" w:rsidP="00754C8F">
      <w:pPr>
        <w:pStyle w:val="SingleTxtGA"/>
        <w:tabs>
          <w:tab w:val="clear" w:pos="3969"/>
        </w:tabs>
        <w:ind w:left="4649" w:hanging="2721"/>
        <w:rPr>
          <w:rtl/>
          <w:lang w:val="fr-CH"/>
        </w:rPr>
      </w:pPr>
      <w:r w:rsidRPr="00754C8F">
        <w:rPr>
          <w:iCs/>
          <w:rtl/>
          <w:lang w:val="fr-CH"/>
        </w:rPr>
        <w:t>تاريخ اعتماد</w:t>
      </w:r>
      <w:r w:rsidR="00D67799">
        <w:rPr>
          <w:rFonts w:hint="cs"/>
          <w:iCs/>
          <w:rtl/>
          <w:lang w:val="fr-CH"/>
        </w:rPr>
        <w:t xml:space="preserve"> القرار:</w:t>
      </w:r>
      <w:r w:rsidRPr="00754C8F">
        <w:rPr>
          <w:iCs/>
          <w:rtl/>
          <w:lang w:val="fr-CH"/>
        </w:rPr>
        <w:tab/>
      </w:r>
      <w:r w:rsidR="00754C8F" w:rsidRPr="00754C8F">
        <w:rPr>
          <w:szCs w:val="20"/>
          <w:rtl/>
          <w:lang w:val="fr-CH"/>
        </w:rPr>
        <w:t>26</w:t>
      </w:r>
      <w:r w:rsidRPr="00754C8F">
        <w:rPr>
          <w:rtl/>
          <w:lang w:val="fr-CH"/>
        </w:rPr>
        <w:t xml:space="preserve"> تموز/يوليه </w:t>
      </w:r>
      <w:r w:rsidR="00754C8F" w:rsidRPr="00754C8F">
        <w:rPr>
          <w:szCs w:val="20"/>
          <w:rtl/>
          <w:lang w:val="fr-CH"/>
        </w:rPr>
        <w:t>2019</w:t>
      </w:r>
    </w:p>
    <w:p w:rsidR="00B934F4" w:rsidRPr="00754C8F" w:rsidRDefault="00B934F4" w:rsidP="00B934F4">
      <w:pPr>
        <w:pStyle w:val="SingleTxtGA"/>
        <w:ind w:left="4649" w:hanging="2721"/>
        <w:rPr>
          <w:rtl/>
          <w:lang w:val="fr-CH"/>
        </w:rPr>
      </w:pPr>
      <w:r w:rsidRPr="00754C8F">
        <w:rPr>
          <w:iCs/>
          <w:rtl/>
          <w:lang w:val="fr-CH"/>
        </w:rPr>
        <w:t>الموضوع</w:t>
      </w:r>
      <w:r w:rsidRPr="00754C8F">
        <w:rPr>
          <w:iCs/>
          <w:rtl/>
          <w:lang w:val="fr-CH" w:bidi="ar-DZ"/>
        </w:rPr>
        <w:t>:</w:t>
      </w:r>
      <w:r w:rsidRPr="00754C8F">
        <w:rPr>
          <w:iCs/>
          <w:rtl/>
          <w:lang w:val="en-GB"/>
        </w:rPr>
        <w:tab/>
      </w:r>
      <w:r w:rsidRPr="00754C8F">
        <w:rPr>
          <w:iCs/>
          <w:rtl/>
          <w:lang w:val="en-GB"/>
        </w:rPr>
        <w:tab/>
      </w:r>
      <w:r w:rsidRPr="00754C8F">
        <w:rPr>
          <w:iCs/>
          <w:rtl/>
          <w:lang w:val="en-GB"/>
        </w:rPr>
        <w:tab/>
      </w:r>
      <w:r w:rsidRPr="00754C8F">
        <w:rPr>
          <w:iCs/>
          <w:rtl/>
          <w:lang w:val="en-GB"/>
        </w:rPr>
        <w:tab/>
      </w:r>
      <w:dir w:val="rtl">
        <w:r w:rsidRPr="00754C8F">
          <w:rPr>
            <w:rtl/>
            <w:lang w:val="fr-CH"/>
          </w:rPr>
          <w:t>التسليم إلى أوكرانيا</w:t>
        </w:r>
        <w:r w:rsidR="00086B7B" w:rsidRPr="00754C8F">
          <w:t>‬</w:t>
        </w:r>
        <w:r w:rsidR="007E0911" w:rsidRPr="00754C8F">
          <w:t>‬</w:t>
        </w:r>
        <w:r w:rsidR="00CD6EAC" w:rsidRPr="00754C8F">
          <w:t>‬</w:t>
        </w:r>
        <w:r w:rsidR="00754C8F" w:rsidRPr="00754C8F">
          <w:t>‬</w:t>
        </w:r>
      </w:dir>
    </w:p>
    <w:p w:rsidR="00B934F4" w:rsidRPr="00754C8F" w:rsidRDefault="00B934F4" w:rsidP="00B934F4">
      <w:pPr>
        <w:pStyle w:val="SingleTxtGA"/>
        <w:ind w:left="4649" w:hanging="2721"/>
        <w:rPr>
          <w:rtl/>
          <w:lang w:val="fr-CH"/>
        </w:rPr>
      </w:pPr>
      <w:r w:rsidRPr="00754C8F">
        <w:rPr>
          <w:iCs/>
          <w:rtl/>
          <w:lang w:val="fr-CH"/>
        </w:rPr>
        <w:t>المسألة الإجرائية:</w:t>
      </w:r>
      <w:r w:rsidRPr="00754C8F">
        <w:rPr>
          <w:iCs/>
          <w:lang w:val="en-GB"/>
        </w:rPr>
        <w:tab/>
      </w:r>
      <w:r w:rsidRPr="00754C8F">
        <w:rPr>
          <w:iCs/>
        </w:rPr>
        <w:tab/>
      </w:r>
      <w:r w:rsidRPr="00754C8F">
        <w:rPr>
          <w:iCs/>
        </w:rPr>
        <w:tab/>
      </w:r>
      <w:r w:rsidRPr="00754C8F">
        <w:rPr>
          <w:rtl/>
          <w:lang w:val="fr-CH"/>
        </w:rPr>
        <w:t>مدى إثبات الادعاءات بالأدلة</w:t>
      </w:r>
    </w:p>
    <w:p w:rsidR="00B934F4" w:rsidRPr="00754C8F" w:rsidRDefault="00B934F4" w:rsidP="00754C8F">
      <w:pPr>
        <w:pStyle w:val="SingleTxtGA"/>
        <w:tabs>
          <w:tab w:val="clear" w:pos="3969"/>
        </w:tabs>
        <w:ind w:left="4649" w:hanging="2721"/>
        <w:rPr>
          <w:rtl/>
          <w:lang w:val="fr-CH"/>
        </w:rPr>
      </w:pPr>
      <w:r w:rsidRPr="00754C8F">
        <w:rPr>
          <w:iCs/>
          <w:rtl/>
          <w:lang w:val="fr-CH"/>
        </w:rPr>
        <w:t>المسائل الموضوعية:</w:t>
      </w:r>
      <w:r w:rsidRPr="00754C8F">
        <w:rPr>
          <w:iCs/>
          <w:lang w:val="en-GB"/>
        </w:rPr>
        <w:tab/>
      </w:r>
      <w:r w:rsidRPr="00754C8F">
        <w:rPr>
          <w:iCs/>
        </w:rPr>
        <w:tab/>
      </w:r>
      <w:r w:rsidRPr="00754C8F">
        <w:rPr>
          <w:rtl/>
          <w:lang w:val="fr-CH"/>
        </w:rPr>
        <w:t>الحق في الحياة؛</w:t>
      </w:r>
      <w:r w:rsidRPr="00754C8F">
        <w:rPr>
          <w:rtl/>
          <w:lang w:val="en-GB"/>
        </w:rPr>
        <w:t xml:space="preserve"> </w:t>
      </w:r>
      <w:r w:rsidRPr="00754C8F">
        <w:rPr>
          <w:rtl/>
          <w:lang w:val="fr-CH"/>
        </w:rPr>
        <w:t>وخطر التعرض للتعذيب أو المعاملة أو العقوبة القاسية أو اللاإنسانية أو المهينة؛</w:t>
      </w:r>
      <w:r w:rsidRPr="00754C8F">
        <w:rPr>
          <w:rtl/>
          <w:lang w:val="en-GB"/>
        </w:rPr>
        <w:t xml:space="preserve"> </w:t>
      </w:r>
      <w:r w:rsidRPr="00754C8F">
        <w:rPr>
          <w:rtl/>
          <w:lang w:val="fr-CH"/>
        </w:rPr>
        <w:t>وعدم الإعادة القسرية</w:t>
      </w:r>
    </w:p>
    <w:p w:rsidR="00B934F4" w:rsidRPr="00754C8F" w:rsidRDefault="00B934F4" w:rsidP="00B934F4">
      <w:pPr>
        <w:pStyle w:val="SingleTxtGA"/>
        <w:ind w:left="4649" w:hanging="2721"/>
        <w:rPr>
          <w:rtl/>
          <w:lang w:val="fr-CH"/>
        </w:rPr>
      </w:pPr>
      <w:r w:rsidRPr="00754C8F">
        <w:rPr>
          <w:iCs/>
          <w:rtl/>
          <w:lang w:val="fr-CH"/>
        </w:rPr>
        <w:t>مواد العهد:</w:t>
      </w:r>
      <w:r w:rsidRPr="00754C8F">
        <w:rPr>
          <w:iCs/>
          <w:rtl/>
          <w:lang w:val="fr-CH"/>
        </w:rPr>
        <w:tab/>
      </w:r>
      <w:r w:rsidRPr="00754C8F">
        <w:rPr>
          <w:iCs/>
          <w:rtl/>
          <w:lang w:val="fr-CH"/>
        </w:rPr>
        <w:tab/>
      </w:r>
      <w:r w:rsidRPr="00754C8F">
        <w:rPr>
          <w:iCs/>
          <w:rtl/>
          <w:lang w:val="en-GB"/>
        </w:rPr>
        <w:tab/>
      </w:r>
      <w:r w:rsidR="00754C8F" w:rsidRPr="00754C8F">
        <w:rPr>
          <w:szCs w:val="20"/>
          <w:rtl/>
          <w:lang w:val="fr-CH"/>
        </w:rPr>
        <w:t>7</w:t>
      </w:r>
      <w:r w:rsidRPr="00754C8F">
        <w:rPr>
          <w:rtl/>
          <w:lang w:val="fr-CH"/>
        </w:rPr>
        <w:t xml:space="preserve">، </w:t>
      </w:r>
      <w:proofErr w:type="spellStart"/>
      <w:r w:rsidRPr="00754C8F">
        <w:rPr>
          <w:rtl/>
          <w:lang w:val="fr-CH"/>
        </w:rPr>
        <w:t>و</w:t>
      </w:r>
      <w:r w:rsidR="00754C8F" w:rsidRPr="00754C8F">
        <w:rPr>
          <w:szCs w:val="20"/>
          <w:rtl/>
          <w:lang w:val="fr-CH"/>
        </w:rPr>
        <w:t>9</w:t>
      </w:r>
      <w:proofErr w:type="spellEnd"/>
      <w:r w:rsidRPr="00754C8F">
        <w:rPr>
          <w:rtl/>
          <w:lang w:val="fr-CH"/>
        </w:rPr>
        <w:t>(</w:t>
      </w:r>
      <w:r w:rsidR="00754C8F" w:rsidRPr="00754C8F">
        <w:rPr>
          <w:szCs w:val="20"/>
          <w:rtl/>
          <w:lang w:val="fr-CH"/>
        </w:rPr>
        <w:t>1</w:t>
      </w:r>
      <w:r w:rsidRPr="00754C8F">
        <w:rPr>
          <w:rtl/>
          <w:lang w:val="fr-CH"/>
        </w:rPr>
        <w:t>) و(</w:t>
      </w:r>
      <w:r w:rsidR="00754C8F" w:rsidRPr="00754C8F">
        <w:rPr>
          <w:szCs w:val="20"/>
          <w:rtl/>
          <w:lang w:val="fr-CH"/>
        </w:rPr>
        <w:t>3</w:t>
      </w:r>
      <w:r w:rsidRPr="00754C8F">
        <w:rPr>
          <w:rtl/>
          <w:lang w:val="fr-CH"/>
        </w:rPr>
        <w:t>) و(</w:t>
      </w:r>
      <w:r w:rsidR="00754C8F" w:rsidRPr="00754C8F">
        <w:rPr>
          <w:szCs w:val="20"/>
          <w:rtl/>
          <w:lang w:val="fr-CH"/>
        </w:rPr>
        <w:t>4</w:t>
      </w:r>
      <w:r w:rsidRPr="00754C8F">
        <w:rPr>
          <w:rtl/>
          <w:lang w:val="fr-CH"/>
        </w:rPr>
        <w:t xml:space="preserve">)، </w:t>
      </w:r>
      <w:proofErr w:type="spellStart"/>
      <w:r w:rsidRPr="00754C8F">
        <w:rPr>
          <w:rtl/>
          <w:lang w:val="fr-CH"/>
        </w:rPr>
        <w:t>و</w:t>
      </w:r>
      <w:r w:rsidR="00754C8F" w:rsidRPr="00754C8F">
        <w:rPr>
          <w:szCs w:val="20"/>
          <w:rtl/>
          <w:lang w:val="fr-CH"/>
        </w:rPr>
        <w:t>10</w:t>
      </w:r>
      <w:proofErr w:type="spellEnd"/>
      <w:r w:rsidRPr="00754C8F">
        <w:rPr>
          <w:rtl/>
          <w:lang w:val="fr-CH"/>
        </w:rPr>
        <w:t>(</w:t>
      </w:r>
      <w:r w:rsidR="00754C8F" w:rsidRPr="00754C8F">
        <w:rPr>
          <w:szCs w:val="20"/>
          <w:rtl/>
          <w:lang w:val="fr-CH"/>
        </w:rPr>
        <w:t>1</w:t>
      </w:r>
      <w:r w:rsidRPr="00754C8F">
        <w:rPr>
          <w:rtl/>
          <w:lang w:val="fr-CH"/>
        </w:rPr>
        <w:t>) و(</w:t>
      </w:r>
      <w:r w:rsidR="00754C8F" w:rsidRPr="00754C8F">
        <w:rPr>
          <w:szCs w:val="20"/>
          <w:rtl/>
          <w:lang w:val="fr-CH"/>
        </w:rPr>
        <w:t>2</w:t>
      </w:r>
      <w:r w:rsidRPr="00754C8F">
        <w:rPr>
          <w:rtl/>
          <w:lang w:val="fr-CH"/>
        </w:rPr>
        <w:t>)</w:t>
      </w:r>
    </w:p>
    <w:p w:rsidR="00B934F4" w:rsidRPr="00754C8F" w:rsidRDefault="00B934F4" w:rsidP="00B934F4">
      <w:pPr>
        <w:pStyle w:val="SingleTxtGA"/>
        <w:ind w:left="4649" w:hanging="2721"/>
        <w:rPr>
          <w:rFonts w:hint="cs"/>
          <w:rtl/>
          <w:lang w:val="fr-CH"/>
        </w:rPr>
      </w:pPr>
      <w:r w:rsidRPr="00754C8F">
        <w:rPr>
          <w:iCs/>
          <w:rtl/>
          <w:lang w:val="fr-CH"/>
        </w:rPr>
        <w:t>مادة البروتوكول الاختياري:</w:t>
      </w:r>
      <w:r w:rsidRPr="00754C8F">
        <w:rPr>
          <w:iCs/>
          <w:rtl/>
          <w:lang w:val="fr-CH"/>
        </w:rPr>
        <w:tab/>
      </w:r>
      <w:r w:rsidRPr="00754C8F">
        <w:rPr>
          <w:iCs/>
          <w:rtl/>
          <w:lang w:val="en-GB"/>
        </w:rPr>
        <w:tab/>
      </w:r>
      <w:r w:rsidR="00754C8F" w:rsidRPr="00754C8F">
        <w:rPr>
          <w:szCs w:val="20"/>
          <w:rtl/>
          <w:lang w:val="fr-CH"/>
        </w:rPr>
        <w:t>2</w:t>
      </w:r>
    </w:p>
    <w:p w:rsidR="00B934F4" w:rsidRPr="00B934F4" w:rsidRDefault="00754C8F" w:rsidP="00B934F4">
      <w:pPr>
        <w:pStyle w:val="SingleTxtGA"/>
        <w:rPr>
          <w:rtl/>
          <w:lang w:val="fr-CH"/>
        </w:rPr>
      </w:pPr>
      <w:r w:rsidRPr="00754C8F">
        <w:rPr>
          <w:szCs w:val="20"/>
          <w:rtl/>
          <w:lang w:val="fr-CH"/>
        </w:rPr>
        <w:lastRenderedPageBreak/>
        <w:t>1</w:t>
      </w:r>
      <w:r w:rsidR="00B934F4" w:rsidRPr="00B934F4">
        <w:rPr>
          <w:rtl/>
          <w:lang w:val="fr-CH"/>
        </w:rPr>
        <w:t>-</w:t>
      </w:r>
      <w:r w:rsidRPr="00754C8F">
        <w:rPr>
          <w:szCs w:val="20"/>
          <w:rtl/>
          <w:lang w:val="fr-CH"/>
        </w:rPr>
        <w:t>1</w:t>
      </w:r>
      <w:r w:rsidR="00B934F4" w:rsidRPr="00B934F4">
        <w:rPr>
          <w:rtl/>
          <w:lang w:val="en-GB"/>
        </w:rPr>
        <w:tab/>
      </w:r>
      <w:r w:rsidR="00B934F4" w:rsidRPr="00B934F4">
        <w:rPr>
          <w:rtl/>
          <w:lang w:val="fr-CH"/>
        </w:rPr>
        <w:t xml:space="preserve">صاحب البلاغ هو </w:t>
      </w:r>
      <w:r>
        <w:rPr>
          <w:rFonts w:hint="cs"/>
          <w:rtl/>
          <w:lang w:val="fr-CH"/>
        </w:rPr>
        <w:t>أ. ل.</w:t>
      </w:r>
      <w:r w:rsidR="00B934F4" w:rsidRPr="00B934F4">
        <w:rPr>
          <w:rtl/>
          <w:lang w:val="fr-CH"/>
        </w:rPr>
        <w:t xml:space="preserve">، وهو مواطن أوكراني مولود في </w:t>
      </w:r>
      <w:r w:rsidR="00B934F4" w:rsidRPr="00754C8F">
        <w:rPr>
          <w:szCs w:val="20"/>
          <w:rtl/>
          <w:lang w:val="fr-CH"/>
        </w:rPr>
        <w:t>20</w:t>
      </w:r>
      <w:r w:rsidR="00B934F4" w:rsidRPr="00B934F4">
        <w:rPr>
          <w:rtl/>
          <w:lang w:val="fr-CH"/>
        </w:rPr>
        <w:t xml:space="preserve"> تشرين الثاني/نوفمبر </w:t>
      </w:r>
      <w:r w:rsidR="00B934F4" w:rsidRPr="00754C8F">
        <w:rPr>
          <w:szCs w:val="20"/>
          <w:rtl/>
          <w:lang w:val="fr-CH"/>
        </w:rPr>
        <w:t>1979</w:t>
      </w:r>
      <w:r w:rsidR="00B934F4" w:rsidRPr="00B934F4">
        <w:rPr>
          <w:rtl/>
          <w:lang w:val="fr-CH"/>
        </w:rPr>
        <w:t>.</w:t>
      </w:r>
      <w:r w:rsidR="00B934F4" w:rsidRPr="00B934F4">
        <w:rPr>
          <w:rtl/>
          <w:lang w:val="en-GB"/>
        </w:rPr>
        <w:t xml:space="preserve"> </w:t>
      </w:r>
      <w:r w:rsidR="00B934F4" w:rsidRPr="00B934F4">
        <w:rPr>
          <w:rtl/>
          <w:lang w:val="fr-CH"/>
        </w:rPr>
        <w:t>وكان صاحب البلاغ، في و</w:t>
      </w:r>
      <w:bookmarkStart w:id="0" w:name="_GoBack"/>
      <w:bookmarkEnd w:id="0"/>
      <w:r w:rsidR="00B934F4" w:rsidRPr="00B934F4">
        <w:rPr>
          <w:rtl/>
          <w:lang w:val="fr-CH"/>
        </w:rPr>
        <w:t xml:space="preserve">قت تقديم هذا البلاغ، رهن التسليم إلى أوكرانيا لمواجهة اتهامات جنائية بارتكاب جريمة سرقة في عام </w:t>
      </w:r>
      <w:r w:rsidRPr="00754C8F">
        <w:rPr>
          <w:szCs w:val="20"/>
          <w:rtl/>
          <w:lang w:val="fr-CH"/>
        </w:rPr>
        <w:t>2000</w:t>
      </w:r>
      <w:r w:rsidR="00B934F4" w:rsidRPr="00B934F4">
        <w:rPr>
          <w:rtl/>
          <w:lang w:val="fr-CH"/>
        </w:rPr>
        <w:t>.</w:t>
      </w:r>
      <w:r w:rsidR="00B934F4" w:rsidRPr="00B934F4">
        <w:rPr>
          <w:rtl/>
          <w:lang w:val="en-GB"/>
        </w:rPr>
        <w:t xml:space="preserve"> </w:t>
      </w:r>
      <w:r w:rsidR="00B934F4" w:rsidRPr="00B934F4">
        <w:rPr>
          <w:rtl/>
          <w:lang w:val="fr-CH"/>
        </w:rPr>
        <w:t xml:space="preserve">وهو يدعى أن إيطاليا، بتسليمه إلى أوكرانيا، ستنتهك حقوقه بموجب المواد </w:t>
      </w:r>
      <w:r w:rsidR="00B934F4" w:rsidRPr="00754C8F">
        <w:rPr>
          <w:szCs w:val="20"/>
          <w:rtl/>
          <w:lang w:val="fr-CH"/>
        </w:rPr>
        <w:t>7</w:t>
      </w:r>
      <w:r w:rsidR="00B934F4" w:rsidRPr="00B934F4">
        <w:rPr>
          <w:rtl/>
          <w:lang w:val="fr-CH"/>
        </w:rPr>
        <w:t xml:space="preserve">، </w:t>
      </w:r>
      <w:proofErr w:type="spellStart"/>
      <w:r w:rsidR="00B934F4" w:rsidRPr="00B934F4">
        <w:rPr>
          <w:rtl/>
          <w:lang w:val="fr-CH"/>
        </w:rPr>
        <w:t>و</w:t>
      </w:r>
      <w:r w:rsidRPr="00754C8F">
        <w:rPr>
          <w:szCs w:val="20"/>
          <w:rtl/>
          <w:lang w:val="fr-CH"/>
        </w:rPr>
        <w:t>9</w:t>
      </w:r>
      <w:proofErr w:type="spellEnd"/>
      <w:r w:rsidR="00B934F4" w:rsidRPr="00B934F4">
        <w:rPr>
          <w:rtl/>
          <w:lang w:val="fr-CH"/>
        </w:rPr>
        <w:t>(</w:t>
      </w:r>
      <w:r w:rsidRPr="00754C8F">
        <w:rPr>
          <w:szCs w:val="20"/>
          <w:rtl/>
          <w:lang w:val="fr-CH"/>
        </w:rPr>
        <w:t>1</w:t>
      </w:r>
      <w:r w:rsidR="00B934F4" w:rsidRPr="00B934F4">
        <w:rPr>
          <w:rtl/>
          <w:lang w:val="fr-CH"/>
        </w:rPr>
        <w:t>) و(</w:t>
      </w:r>
      <w:r w:rsidRPr="00754C8F">
        <w:rPr>
          <w:szCs w:val="20"/>
          <w:rtl/>
          <w:lang w:val="fr-CH"/>
        </w:rPr>
        <w:t>3</w:t>
      </w:r>
      <w:r w:rsidR="00B934F4" w:rsidRPr="00B934F4">
        <w:rPr>
          <w:rtl/>
          <w:lang w:val="fr-CH"/>
        </w:rPr>
        <w:t>) و(</w:t>
      </w:r>
      <w:r w:rsidRPr="00754C8F">
        <w:rPr>
          <w:szCs w:val="20"/>
          <w:rtl/>
          <w:lang w:val="fr-CH"/>
        </w:rPr>
        <w:t>4</w:t>
      </w:r>
      <w:r w:rsidR="00B934F4" w:rsidRPr="00B934F4">
        <w:rPr>
          <w:rtl/>
          <w:lang w:val="fr-CH"/>
        </w:rPr>
        <w:t xml:space="preserve">)، </w:t>
      </w:r>
      <w:proofErr w:type="spellStart"/>
      <w:r w:rsidR="00B934F4" w:rsidRPr="00B934F4">
        <w:rPr>
          <w:rtl/>
          <w:lang w:val="fr-CH"/>
        </w:rPr>
        <w:t>و</w:t>
      </w:r>
      <w:r w:rsidRPr="00754C8F">
        <w:rPr>
          <w:szCs w:val="20"/>
          <w:rtl/>
          <w:lang w:val="fr-CH"/>
        </w:rPr>
        <w:t>10</w:t>
      </w:r>
      <w:proofErr w:type="spellEnd"/>
      <w:r w:rsidR="00B934F4" w:rsidRPr="00B934F4">
        <w:rPr>
          <w:rtl/>
          <w:lang w:val="fr-CH"/>
        </w:rPr>
        <w:t>(</w:t>
      </w:r>
      <w:r w:rsidRPr="00754C8F">
        <w:rPr>
          <w:szCs w:val="20"/>
          <w:rtl/>
          <w:lang w:val="fr-CH"/>
        </w:rPr>
        <w:t>1</w:t>
      </w:r>
      <w:r w:rsidR="00B934F4" w:rsidRPr="00B934F4">
        <w:rPr>
          <w:rtl/>
          <w:lang w:val="fr-CH"/>
        </w:rPr>
        <w:t>) و(</w:t>
      </w:r>
      <w:r w:rsidRPr="00754C8F">
        <w:rPr>
          <w:szCs w:val="20"/>
          <w:rtl/>
          <w:lang w:val="fr-CH"/>
        </w:rPr>
        <w:t>2</w:t>
      </w:r>
      <w:r w:rsidR="00B934F4" w:rsidRPr="00B934F4">
        <w:rPr>
          <w:rtl/>
          <w:lang w:val="fr-CH"/>
        </w:rPr>
        <w:t>)</w:t>
      </w:r>
      <w:r w:rsidR="00043414">
        <w:rPr>
          <w:rFonts w:hint="cs"/>
          <w:rtl/>
          <w:lang w:val="fr-CH"/>
        </w:rPr>
        <w:t xml:space="preserve"> </w:t>
      </w:r>
      <w:r w:rsidR="00B934F4" w:rsidRPr="00B934F4">
        <w:rPr>
          <w:rtl/>
          <w:lang w:val="fr-CH"/>
        </w:rPr>
        <w:t>من العهد.</w:t>
      </w:r>
      <w:r w:rsidR="00043414">
        <w:rPr>
          <w:rFonts w:hint="cs"/>
          <w:rtl/>
          <w:lang w:val="fr-CH"/>
        </w:rPr>
        <w:t xml:space="preserve"> </w:t>
      </w:r>
      <w:r w:rsidR="00B934F4" w:rsidRPr="00B934F4">
        <w:rPr>
          <w:rtl/>
          <w:lang w:val="fr-CH"/>
        </w:rPr>
        <w:t xml:space="preserve">وقد دخل البروتوكول الاختياري حيز النفاذ بالنسبة إلى الدولة الطرف في </w:t>
      </w:r>
      <w:r w:rsidRPr="00754C8F">
        <w:rPr>
          <w:szCs w:val="20"/>
          <w:rtl/>
          <w:lang w:val="fr-CH"/>
        </w:rPr>
        <w:t>15</w:t>
      </w:r>
      <w:r w:rsidR="00B934F4" w:rsidRPr="00B934F4">
        <w:rPr>
          <w:rtl/>
          <w:lang w:val="fr-CH"/>
        </w:rPr>
        <w:t xml:space="preserve"> أيلول/</w:t>
      </w:r>
      <w:r w:rsidR="00043414">
        <w:rPr>
          <w:rFonts w:hint="cs"/>
          <w:rtl/>
          <w:lang w:val="fr-CH"/>
        </w:rPr>
        <w:t xml:space="preserve"> </w:t>
      </w:r>
      <w:r w:rsidR="00B934F4" w:rsidRPr="00B934F4">
        <w:rPr>
          <w:rtl/>
          <w:lang w:val="fr-CH"/>
        </w:rPr>
        <w:t xml:space="preserve">سبتمبر </w:t>
      </w:r>
      <w:r w:rsidRPr="00754C8F">
        <w:rPr>
          <w:szCs w:val="20"/>
          <w:rtl/>
          <w:lang w:val="fr-CH"/>
        </w:rPr>
        <w:t>1978</w:t>
      </w:r>
      <w:r w:rsidR="00B934F4" w:rsidRPr="00B934F4">
        <w:rPr>
          <w:rtl/>
          <w:lang w:val="fr-CH"/>
        </w:rPr>
        <w:t>.</w:t>
      </w:r>
      <w:r w:rsidR="00B934F4" w:rsidRPr="00B934F4">
        <w:rPr>
          <w:rtl/>
          <w:lang w:val="en-GB"/>
        </w:rPr>
        <w:t xml:space="preserve"> </w:t>
      </w:r>
      <w:r w:rsidR="00B934F4" w:rsidRPr="00B934F4">
        <w:rPr>
          <w:rtl/>
          <w:lang w:val="fr-CH"/>
        </w:rPr>
        <w:t>ويمثّل صاحب البلاغ محام.</w:t>
      </w:r>
    </w:p>
    <w:p w:rsidR="00B934F4" w:rsidRPr="00754C8F" w:rsidRDefault="00754C8F" w:rsidP="00B934F4">
      <w:pPr>
        <w:pStyle w:val="SingleTxtGA"/>
        <w:rPr>
          <w:rtl/>
          <w:lang w:val="fr-CH"/>
        </w:rPr>
      </w:pPr>
      <w:r w:rsidRPr="00754C8F">
        <w:rPr>
          <w:szCs w:val="20"/>
          <w:rtl/>
          <w:lang w:val="fr-CH"/>
        </w:rPr>
        <w:t>1</w:t>
      </w:r>
      <w:r w:rsidR="00B934F4" w:rsidRPr="00754C8F">
        <w:rPr>
          <w:rtl/>
          <w:lang w:val="fr-CH"/>
        </w:rPr>
        <w:t>-</w:t>
      </w:r>
      <w:r w:rsidRPr="00754C8F">
        <w:rPr>
          <w:szCs w:val="20"/>
          <w:rtl/>
          <w:lang w:val="fr-CH"/>
        </w:rPr>
        <w:t>2</w:t>
      </w:r>
      <w:r w:rsidR="00B934F4" w:rsidRPr="00754C8F">
        <w:rPr>
          <w:rtl/>
          <w:lang w:val="en-GB"/>
        </w:rPr>
        <w:tab/>
      </w:r>
      <w:r w:rsidR="00B934F4" w:rsidRPr="00754C8F">
        <w:rPr>
          <w:rtl/>
          <w:lang w:val="fr-CH"/>
        </w:rPr>
        <w:t>وفي</w:t>
      </w:r>
      <w:r w:rsidR="00B934F4" w:rsidRPr="00754C8F">
        <w:rPr>
          <w:rtl/>
          <w:lang w:val="en-GB"/>
        </w:rPr>
        <w:t xml:space="preserve"> </w:t>
      </w:r>
      <w:r w:rsidR="00B934F4" w:rsidRPr="00754C8F">
        <w:rPr>
          <w:szCs w:val="20"/>
          <w:rtl/>
          <w:lang w:val="fr-CH" w:bidi="ar-DZ"/>
        </w:rPr>
        <w:t>16</w:t>
      </w:r>
      <w:r w:rsidRPr="00754C8F">
        <w:rPr>
          <w:rFonts w:hint="cs"/>
          <w:rtl/>
          <w:lang w:val="fr-CH" w:bidi="ar-DZ"/>
        </w:rPr>
        <w:t xml:space="preserve"> </w:t>
      </w:r>
      <w:r w:rsidR="00B934F4" w:rsidRPr="00754C8F">
        <w:rPr>
          <w:rtl/>
          <w:lang w:val="fr-CH" w:bidi="ar-DZ"/>
        </w:rPr>
        <w:t xml:space="preserve">شباط/فبراير </w:t>
      </w:r>
      <w:r w:rsidR="00B934F4" w:rsidRPr="00754C8F">
        <w:rPr>
          <w:szCs w:val="20"/>
          <w:rtl/>
          <w:lang w:val="fr-CH" w:bidi="ar-DZ"/>
        </w:rPr>
        <w:t>2015</w:t>
      </w:r>
      <w:r w:rsidR="00B934F4" w:rsidRPr="00754C8F">
        <w:rPr>
          <w:rtl/>
          <w:lang w:val="fr-CH"/>
        </w:rPr>
        <w:t>، قرّر المقرر الخاص المعني بالبلاغات الجديدة والتدابير المؤقتة، عملاً بالمادة</w:t>
      </w:r>
      <w:r w:rsidR="00B934F4" w:rsidRPr="00754C8F">
        <w:rPr>
          <w:rtl/>
          <w:lang w:val="en-GB"/>
        </w:rPr>
        <w:t xml:space="preserve"> </w:t>
      </w:r>
      <w:r w:rsidR="00B934F4" w:rsidRPr="00754C8F">
        <w:rPr>
          <w:szCs w:val="20"/>
          <w:rtl/>
          <w:lang w:val="fr-CH"/>
        </w:rPr>
        <w:t>94</w:t>
      </w:r>
      <w:r w:rsidR="00B934F4" w:rsidRPr="00754C8F">
        <w:rPr>
          <w:rtl/>
          <w:lang w:val="en-GB"/>
        </w:rPr>
        <w:t xml:space="preserve"> </w:t>
      </w:r>
      <w:r w:rsidR="00B934F4" w:rsidRPr="00754C8F">
        <w:rPr>
          <w:rtl/>
          <w:lang w:val="fr-CH"/>
        </w:rPr>
        <w:t>من نظام اللجنة الداخلي، عدم إصدار طلب اتخاذ تدابير مؤقتة.</w:t>
      </w:r>
      <w:r w:rsidR="00B934F4" w:rsidRPr="00754C8F">
        <w:rPr>
          <w:rtl/>
          <w:lang w:val="en-GB"/>
        </w:rPr>
        <w:t xml:space="preserve"> </w:t>
      </w:r>
      <w:r w:rsidR="00B934F4" w:rsidRPr="00754C8F">
        <w:rPr>
          <w:rtl/>
          <w:lang w:val="fr-CH"/>
        </w:rPr>
        <w:t>وفي</w:t>
      </w:r>
      <w:r w:rsidR="00212B90" w:rsidRPr="00754C8F">
        <w:rPr>
          <w:rFonts w:hint="cs"/>
          <w:rtl/>
          <w:lang w:val="en-GB"/>
        </w:rPr>
        <w:t> </w:t>
      </w:r>
      <w:r w:rsidR="00B934F4" w:rsidRPr="00754C8F">
        <w:rPr>
          <w:szCs w:val="20"/>
          <w:rtl/>
          <w:lang w:val="fr-CH"/>
        </w:rPr>
        <w:t>7</w:t>
      </w:r>
      <w:r w:rsidR="00B934F4" w:rsidRPr="00754C8F">
        <w:rPr>
          <w:rtl/>
          <w:lang w:val="en-GB"/>
        </w:rPr>
        <w:t xml:space="preserve"> </w:t>
      </w:r>
      <w:r w:rsidR="00B934F4" w:rsidRPr="00754C8F">
        <w:rPr>
          <w:rtl/>
          <w:lang w:val="fr-CH"/>
        </w:rPr>
        <w:t>كانون الأول/</w:t>
      </w:r>
      <w:r>
        <w:rPr>
          <w:rFonts w:hint="cs"/>
          <w:rtl/>
          <w:lang w:val="fr-CH"/>
        </w:rPr>
        <w:t xml:space="preserve"> </w:t>
      </w:r>
      <w:r w:rsidR="00B934F4" w:rsidRPr="00754C8F">
        <w:rPr>
          <w:rtl/>
          <w:lang w:val="fr-CH"/>
        </w:rPr>
        <w:t xml:space="preserve">ديسمبر </w:t>
      </w:r>
      <w:r w:rsidRPr="00754C8F">
        <w:rPr>
          <w:szCs w:val="20"/>
          <w:rtl/>
          <w:lang w:val="fr-CH"/>
        </w:rPr>
        <w:t>2017</w:t>
      </w:r>
      <w:r w:rsidR="00B934F4" w:rsidRPr="00754C8F">
        <w:rPr>
          <w:rtl/>
          <w:lang w:val="fr-CH"/>
        </w:rPr>
        <w:t>، قرر المقرر الخاص رفض طلبات صاحب البلاغ إصدار طلب لاتخاذ تدابير مؤقتة.</w:t>
      </w:r>
    </w:p>
    <w:p w:rsidR="00B934F4" w:rsidRPr="00B934F4" w:rsidRDefault="00B934F4" w:rsidP="00A64834">
      <w:pPr>
        <w:pStyle w:val="H23GA"/>
        <w:keepNext/>
        <w:keepLines/>
        <w:rPr>
          <w:rtl/>
          <w:lang w:val="fr-CH"/>
        </w:rPr>
      </w:pPr>
      <w:r w:rsidRPr="00B934F4">
        <w:rPr>
          <w:rtl/>
          <w:lang w:val="en-GB"/>
        </w:rPr>
        <w:tab/>
      </w:r>
      <w:r w:rsidRPr="00B934F4">
        <w:rPr>
          <w:rtl/>
          <w:lang w:val="en-GB"/>
        </w:rPr>
        <w:tab/>
      </w:r>
      <w:r w:rsidRPr="00B934F4">
        <w:rPr>
          <w:rtl/>
          <w:lang w:val="fr-CH"/>
        </w:rPr>
        <w:t>الوقائع كما عرضها صاحب البلاغ</w:t>
      </w:r>
    </w:p>
    <w:p w:rsidR="00B934F4" w:rsidRPr="00B934F4" w:rsidRDefault="00754C8F" w:rsidP="00B934F4">
      <w:pPr>
        <w:pStyle w:val="SingleTxtGA"/>
        <w:rPr>
          <w:rtl/>
          <w:lang w:val="fr-CH" w:bidi="ar-DZ"/>
        </w:rPr>
      </w:pPr>
      <w:r w:rsidRPr="00754C8F">
        <w:rPr>
          <w:szCs w:val="20"/>
          <w:rtl/>
          <w:lang w:val="fr-CH"/>
        </w:rPr>
        <w:t>2</w:t>
      </w:r>
      <w:r w:rsidR="00B934F4" w:rsidRPr="00B934F4">
        <w:rPr>
          <w:rtl/>
          <w:lang w:val="fr-CH"/>
        </w:rPr>
        <w:t>-</w:t>
      </w:r>
      <w:r w:rsidRPr="00754C8F">
        <w:rPr>
          <w:szCs w:val="20"/>
          <w:rtl/>
          <w:lang w:val="fr-CH"/>
        </w:rPr>
        <w:t>1</w:t>
      </w:r>
      <w:r w:rsidR="00B934F4" w:rsidRPr="00B934F4">
        <w:rPr>
          <w:rtl/>
          <w:lang w:val="en-GB"/>
        </w:rPr>
        <w:tab/>
      </w:r>
      <w:r w:rsidR="00B934F4" w:rsidRPr="00B934F4">
        <w:rPr>
          <w:rtl/>
          <w:lang w:val="fr-CH"/>
        </w:rPr>
        <w:t xml:space="preserve">في تاريخ غير محدد، وصل صاحب البلاغ إلى مدينة </w:t>
      </w:r>
      <w:proofErr w:type="spellStart"/>
      <w:r w:rsidR="00B934F4" w:rsidRPr="00B934F4">
        <w:rPr>
          <w:rtl/>
          <w:lang w:val="fr-CH"/>
        </w:rPr>
        <w:t>فيسينزا</w:t>
      </w:r>
      <w:proofErr w:type="spellEnd"/>
      <w:r w:rsidR="00B934F4" w:rsidRPr="00B934F4">
        <w:rPr>
          <w:rtl/>
          <w:lang w:val="fr-CH"/>
        </w:rPr>
        <w:t>، إيطاليا، " لغرض العمل"</w:t>
      </w:r>
      <w:r w:rsidR="00330541">
        <w:rPr>
          <w:vertAlign w:val="superscript"/>
          <w:rtl/>
          <w:lang w:val="en-GB"/>
        </w:rPr>
        <w:t>(</w:t>
      </w:r>
      <w:r w:rsidR="00330541" w:rsidRPr="00754C8F">
        <w:rPr>
          <w:rFonts w:cs="Times New Roman"/>
          <w:position w:val="4"/>
          <w:vertAlign w:val="superscript"/>
        </w:rPr>
        <w:footnoteReference w:id="4"/>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 xml:space="preserve">وفي </w:t>
      </w:r>
      <w:r w:rsidRPr="00754C8F">
        <w:rPr>
          <w:szCs w:val="20"/>
          <w:rtl/>
          <w:lang w:val="fr-CH"/>
        </w:rPr>
        <w:t>4</w:t>
      </w:r>
      <w:r w:rsidR="00B934F4" w:rsidRPr="00B934F4">
        <w:rPr>
          <w:rtl/>
          <w:lang w:val="fr-CH"/>
        </w:rPr>
        <w:t xml:space="preserve"> حزيران/</w:t>
      </w:r>
      <w:proofErr w:type="gramStart"/>
      <w:r w:rsidR="00B934F4" w:rsidRPr="00B934F4">
        <w:rPr>
          <w:rtl/>
          <w:lang w:val="fr-CH"/>
        </w:rPr>
        <w:t>يونيه</w:t>
      </w:r>
      <w:proofErr w:type="gramEnd"/>
      <w:r w:rsidR="00B934F4" w:rsidRPr="00B934F4">
        <w:rPr>
          <w:rtl/>
          <w:lang w:val="fr-CH"/>
        </w:rPr>
        <w:t xml:space="preserve"> </w:t>
      </w:r>
      <w:r w:rsidRPr="00754C8F">
        <w:rPr>
          <w:szCs w:val="20"/>
          <w:rtl/>
          <w:lang w:val="fr-CH"/>
        </w:rPr>
        <w:t>2010</w:t>
      </w:r>
      <w:r w:rsidR="00B934F4" w:rsidRPr="00B934F4">
        <w:rPr>
          <w:rtl/>
          <w:lang w:val="fr-CH"/>
        </w:rPr>
        <w:t xml:space="preserve">، أصدرت محكمة </w:t>
      </w:r>
      <w:proofErr w:type="spellStart"/>
      <w:r w:rsidR="00B934F4" w:rsidRPr="00B934F4">
        <w:rPr>
          <w:rtl/>
          <w:lang w:val="fr-CH"/>
        </w:rPr>
        <w:t>سوسنيفيسكي</w:t>
      </w:r>
      <w:proofErr w:type="spellEnd"/>
      <w:r w:rsidR="00B934F4" w:rsidRPr="00B934F4">
        <w:rPr>
          <w:rtl/>
          <w:lang w:val="fr-CH"/>
        </w:rPr>
        <w:t xml:space="preserve"> المحلية، في </w:t>
      </w:r>
      <w:proofErr w:type="spellStart"/>
      <w:r w:rsidR="00B934F4" w:rsidRPr="00B934F4">
        <w:rPr>
          <w:rtl/>
          <w:lang w:val="fr-CH"/>
        </w:rPr>
        <w:t>شيركاسي</w:t>
      </w:r>
      <w:proofErr w:type="spellEnd"/>
      <w:r w:rsidR="00B934F4" w:rsidRPr="00B934F4">
        <w:rPr>
          <w:rtl/>
          <w:lang w:val="fr-CH"/>
        </w:rPr>
        <w:t>، أوكرانيا، أمرا</w:t>
      </w:r>
      <w:r w:rsidR="0046391F">
        <w:rPr>
          <w:rFonts w:hint="cs"/>
          <w:rtl/>
          <w:lang w:val="fr-CH"/>
        </w:rPr>
        <w:t>ً</w:t>
      </w:r>
      <w:r w:rsidR="00B934F4" w:rsidRPr="00B934F4">
        <w:rPr>
          <w:rtl/>
          <w:lang w:val="fr-CH"/>
        </w:rPr>
        <w:t xml:space="preserve"> بإلقاء القبض على صاحب البلاغ فيما يتعلق بجريمة سرقة يُدعى أنه ارتكبها في </w:t>
      </w:r>
      <w:r w:rsidRPr="00754C8F">
        <w:rPr>
          <w:szCs w:val="20"/>
          <w:rtl/>
          <w:lang w:val="fr-CH"/>
        </w:rPr>
        <w:t>9</w:t>
      </w:r>
      <w:r w:rsidR="00B934F4" w:rsidRPr="00B934F4">
        <w:rPr>
          <w:rtl/>
          <w:lang w:val="fr-CH"/>
        </w:rPr>
        <w:t xml:space="preserve"> أيار/مايو </w:t>
      </w:r>
      <w:r w:rsidRPr="00754C8F">
        <w:rPr>
          <w:szCs w:val="20"/>
          <w:rtl/>
          <w:lang w:val="fr-CH"/>
        </w:rPr>
        <w:t>2000</w:t>
      </w:r>
      <w:r w:rsidR="00B934F4" w:rsidRPr="00B934F4">
        <w:rPr>
          <w:rtl/>
          <w:lang w:val="fr-CH"/>
        </w:rPr>
        <w:t xml:space="preserve"> في منزل خاص بقرية </w:t>
      </w:r>
      <w:proofErr w:type="spellStart"/>
      <w:r w:rsidR="00B934F4" w:rsidRPr="00B934F4">
        <w:rPr>
          <w:rtl/>
          <w:lang w:val="fr-CH"/>
        </w:rPr>
        <w:t>فاليسيس</w:t>
      </w:r>
      <w:proofErr w:type="spellEnd"/>
      <w:r w:rsidR="005C55B1">
        <w:rPr>
          <w:rFonts w:hint="cs"/>
          <w:rtl/>
          <w:lang w:val="fr-CH"/>
        </w:rPr>
        <w:t xml:space="preserve"> </w:t>
      </w:r>
      <w:r w:rsidR="00B934F4" w:rsidRPr="00B934F4">
        <w:rPr>
          <w:rtl/>
          <w:lang w:val="fr-CH"/>
        </w:rPr>
        <w:t>-</w:t>
      </w:r>
      <w:r w:rsidR="005C55B1">
        <w:rPr>
          <w:rFonts w:hint="cs"/>
          <w:rtl/>
          <w:lang w:val="fr-CH"/>
        </w:rPr>
        <w:t xml:space="preserve"> </w:t>
      </w:r>
      <w:proofErr w:type="spellStart"/>
      <w:r w:rsidR="00B934F4" w:rsidRPr="00B934F4">
        <w:rPr>
          <w:rtl/>
          <w:lang w:val="fr-CH"/>
        </w:rPr>
        <w:t>وولا</w:t>
      </w:r>
      <w:proofErr w:type="spellEnd"/>
      <w:r w:rsidR="00B934F4" w:rsidRPr="00B934F4">
        <w:rPr>
          <w:rtl/>
          <w:lang w:val="fr-CH"/>
        </w:rPr>
        <w:t>، في بولندا.</w:t>
      </w:r>
      <w:r w:rsidR="00B934F4" w:rsidRPr="00B934F4">
        <w:rPr>
          <w:rtl/>
          <w:lang w:val="en-GB"/>
        </w:rPr>
        <w:t xml:space="preserve"> </w:t>
      </w:r>
      <w:r w:rsidR="00B934F4" w:rsidRPr="00B934F4">
        <w:rPr>
          <w:rtl/>
          <w:lang w:val="fr-CH"/>
        </w:rPr>
        <w:t>وفي</w:t>
      </w:r>
      <w:r w:rsidR="001A58C5">
        <w:rPr>
          <w:rFonts w:hint="cs"/>
          <w:rtl/>
          <w:lang w:val="fr-CH"/>
        </w:rPr>
        <w:t xml:space="preserve"> </w:t>
      </w:r>
      <w:r w:rsidR="00B934F4" w:rsidRPr="00754C8F">
        <w:rPr>
          <w:szCs w:val="20"/>
          <w:rtl/>
          <w:lang w:val="fr-CH"/>
        </w:rPr>
        <w:t>30</w:t>
      </w:r>
      <w:r w:rsidR="00B934F4" w:rsidRPr="00B934F4">
        <w:rPr>
          <w:rtl/>
          <w:lang w:val="en-GB"/>
        </w:rPr>
        <w:t xml:space="preserve"> </w:t>
      </w:r>
      <w:r w:rsidR="00B934F4" w:rsidRPr="00B934F4">
        <w:rPr>
          <w:rtl/>
          <w:lang w:val="fr-CH"/>
        </w:rPr>
        <w:t xml:space="preserve">أيار/مايو </w:t>
      </w:r>
      <w:r w:rsidR="00B934F4" w:rsidRPr="00754C8F">
        <w:rPr>
          <w:szCs w:val="20"/>
          <w:rtl/>
          <w:lang w:val="fr-CH"/>
        </w:rPr>
        <w:t>2011</w:t>
      </w:r>
      <w:r w:rsidR="00B934F4" w:rsidRPr="00B934F4">
        <w:rPr>
          <w:rtl/>
          <w:lang w:val="fr-CH"/>
        </w:rPr>
        <w:t>، أُعيد إصدار أمر إلقاء القبض عليه.</w:t>
      </w:r>
      <w:r w:rsidR="00B934F4" w:rsidRPr="00B934F4">
        <w:rPr>
          <w:rtl/>
          <w:lang w:val="en-GB"/>
        </w:rPr>
        <w:t xml:space="preserve"> </w:t>
      </w:r>
      <w:r w:rsidR="00B934F4" w:rsidRPr="00B934F4">
        <w:rPr>
          <w:rtl/>
          <w:lang w:val="fr-CH"/>
        </w:rPr>
        <w:t xml:space="preserve">وفي </w:t>
      </w:r>
      <w:r w:rsidRPr="00754C8F">
        <w:rPr>
          <w:szCs w:val="20"/>
          <w:rtl/>
          <w:lang w:val="fr-CH"/>
        </w:rPr>
        <w:t>20</w:t>
      </w:r>
      <w:r w:rsidR="00B934F4" w:rsidRPr="00B934F4">
        <w:rPr>
          <w:rtl/>
          <w:lang w:val="fr-CH"/>
        </w:rPr>
        <w:t xml:space="preserve"> تموز/يوليه </w:t>
      </w:r>
      <w:r w:rsidRPr="00754C8F">
        <w:rPr>
          <w:szCs w:val="20"/>
          <w:rtl/>
          <w:lang w:val="fr-CH"/>
        </w:rPr>
        <w:t>2011</w:t>
      </w:r>
      <w:r w:rsidR="00B934F4" w:rsidRPr="00B934F4">
        <w:rPr>
          <w:rtl/>
          <w:lang w:val="fr-CH"/>
        </w:rPr>
        <w:t>، دخل أفراد من الشرطة الإيطالية منزل صاحب البلاغ وقبضوا عليه.</w:t>
      </w:r>
      <w:r w:rsidR="00B934F4" w:rsidRPr="00B934F4">
        <w:rPr>
          <w:rtl/>
          <w:lang w:val="en-GB"/>
        </w:rPr>
        <w:t xml:space="preserve"> </w:t>
      </w:r>
      <w:r w:rsidR="00B934F4" w:rsidRPr="00B934F4">
        <w:rPr>
          <w:rtl/>
          <w:lang w:val="fr-CH"/>
        </w:rPr>
        <w:t xml:space="preserve">وفي </w:t>
      </w:r>
      <w:r w:rsidRPr="00754C8F">
        <w:rPr>
          <w:szCs w:val="20"/>
          <w:rtl/>
          <w:lang w:val="fr-CH"/>
        </w:rPr>
        <w:t>2</w:t>
      </w:r>
      <w:r w:rsidR="00B934F4" w:rsidRPr="00B934F4">
        <w:rPr>
          <w:rtl/>
          <w:lang w:val="fr-CH"/>
        </w:rPr>
        <w:t xml:space="preserve"> آب/أغسطس </w:t>
      </w:r>
      <w:r w:rsidRPr="00754C8F">
        <w:rPr>
          <w:szCs w:val="20"/>
          <w:rtl/>
          <w:lang w:val="fr-CH"/>
        </w:rPr>
        <w:t>2011</w:t>
      </w:r>
      <w:r w:rsidR="00B934F4" w:rsidRPr="00B934F4">
        <w:rPr>
          <w:rtl/>
          <w:lang w:val="fr-CH"/>
        </w:rPr>
        <w:t>، أصدرت أوكرانيا إلى السلطات الإيطالية طلب تسليم.</w:t>
      </w:r>
      <w:r w:rsidR="00B934F4" w:rsidRPr="00B934F4">
        <w:rPr>
          <w:rtl/>
          <w:lang w:val="en-GB"/>
        </w:rPr>
        <w:t xml:space="preserve"> </w:t>
      </w:r>
      <w:r w:rsidR="00B934F4" w:rsidRPr="00B934F4">
        <w:rPr>
          <w:rtl/>
          <w:lang w:val="fr-CH"/>
        </w:rPr>
        <w:t xml:space="preserve">وكلتا الدولتين طرف في الاتفاقية الأوروبية المتعلقة بتسليم المجرمين، المبرمة في </w:t>
      </w:r>
      <w:r w:rsidRPr="00754C8F">
        <w:rPr>
          <w:szCs w:val="20"/>
          <w:rtl/>
          <w:lang w:val="fr-CH"/>
        </w:rPr>
        <w:t>13</w:t>
      </w:r>
      <w:r w:rsidR="00B934F4" w:rsidRPr="00B934F4">
        <w:rPr>
          <w:rtl/>
          <w:lang w:val="fr-CH"/>
        </w:rPr>
        <w:t xml:space="preserve"> كانون الأول/ديسمبر </w:t>
      </w:r>
      <w:r w:rsidRPr="00754C8F">
        <w:rPr>
          <w:szCs w:val="20"/>
          <w:rtl/>
          <w:lang w:val="fr-CH"/>
        </w:rPr>
        <w:t>1957</w:t>
      </w:r>
      <w:r w:rsidR="00B934F4" w:rsidRPr="00B934F4">
        <w:rPr>
          <w:rtl/>
          <w:lang w:val="fr-CH"/>
        </w:rPr>
        <w:t>.</w:t>
      </w:r>
    </w:p>
    <w:p w:rsidR="00B934F4" w:rsidRPr="00B934F4" w:rsidRDefault="00754C8F" w:rsidP="00B934F4">
      <w:pPr>
        <w:pStyle w:val="SingleTxtGA"/>
        <w:rPr>
          <w:rtl/>
          <w:lang w:val="fr-CH"/>
        </w:rPr>
      </w:pPr>
      <w:r w:rsidRPr="00754C8F">
        <w:rPr>
          <w:szCs w:val="20"/>
          <w:rtl/>
          <w:lang w:val="fr-CH"/>
        </w:rPr>
        <w:t>2</w:t>
      </w:r>
      <w:r w:rsidR="00B934F4" w:rsidRPr="00B934F4">
        <w:rPr>
          <w:rtl/>
          <w:lang w:val="fr-CH"/>
        </w:rPr>
        <w:t>-</w:t>
      </w:r>
      <w:r w:rsidRPr="00754C8F">
        <w:rPr>
          <w:szCs w:val="20"/>
          <w:rtl/>
          <w:lang w:val="fr-CH"/>
        </w:rPr>
        <w:t>2</w:t>
      </w:r>
      <w:r w:rsidR="005C55B1">
        <w:rPr>
          <w:rtl/>
          <w:lang w:val="fr-CH" w:bidi="ar-DZ"/>
        </w:rPr>
        <w:tab/>
      </w:r>
      <w:r w:rsidR="00B934F4" w:rsidRPr="00B934F4">
        <w:rPr>
          <w:rtl/>
          <w:lang w:val="fr-CH" w:bidi="ar-DZ"/>
        </w:rPr>
        <w:t>وفي</w:t>
      </w:r>
      <w:r w:rsidR="00B934F4" w:rsidRPr="00B934F4">
        <w:rPr>
          <w:rtl/>
          <w:lang w:val="fr-CH"/>
        </w:rPr>
        <w:t xml:space="preserve"> </w:t>
      </w:r>
      <w:r w:rsidRPr="00754C8F">
        <w:rPr>
          <w:szCs w:val="20"/>
          <w:rtl/>
          <w:lang w:val="fr-CH"/>
        </w:rPr>
        <w:t>2</w:t>
      </w:r>
      <w:r w:rsidR="00B934F4" w:rsidRPr="00B934F4">
        <w:rPr>
          <w:rtl/>
          <w:lang w:val="fr-CH"/>
        </w:rPr>
        <w:t xml:space="preserve"> أيلول/سبتمبر </w:t>
      </w:r>
      <w:r w:rsidRPr="00754C8F">
        <w:rPr>
          <w:szCs w:val="20"/>
          <w:rtl/>
          <w:lang w:val="fr-CH"/>
        </w:rPr>
        <w:t>2011</w:t>
      </w:r>
      <w:r w:rsidR="00B934F4" w:rsidRPr="00B934F4">
        <w:rPr>
          <w:rtl/>
          <w:lang w:val="fr-CH"/>
        </w:rPr>
        <w:t>، أُطلق سراح صاحب البلاغ من السجن ووضع قيد الإقامة الجبرية.</w:t>
      </w:r>
      <w:r w:rsidR="00B934F4" w:rsidRPr="00B934F4">
        <w:rPr>
          <w:rtl/>
          <w:lang w:val="en-GB"/>
        </w:rPr>
        <w:t xml:space="preserve"> </w:t>
      </w:r>
      <w:r w:rsidR="00B934F4" w:rsidRPr="00B934F4">
        <w:rPr>
          <w:rtl/>
          <w:lang w:val="fr-CH"/>
        </w:rPr>
        <w:t>وفي الوقت نفسه، قدمت السلطات الأوكرانية وثائق تدعم طلب التسليم، هي: أمر بإلقاء القبض عليه، وملخص للوقائع ذات الصلة بالقضية، و"التوصيف القانوني للجريمة المزعومة".</w:t>
      </w:r>
      <w:r w:rsidR="00B934F4" w:rsidRPr="00B934F4">
        <w:rPr>
          <w:rtl/>
          <w:lang w:val="en-GB"/>
        </w:rPr>
        <w:t xml:space="preserve"> </w:t>
      </w:r>
      <w:r w:rsidR="00B934F4" w:rsidRPr="00B934F4">
        <w:rPr>
          <w:rtl/>
          <w:lang w:val="fr-CH"/>
        </w:rPr>
        <w:t xml:space="preserve">وفي </w:t>
      </w:r>
      <w:r w:rsidRPr="00754C8F">
        <w:rPr>
          <w:szCs w:val="20"/>
          <w:rtl/>
          <w:lang w:val="fr-CH"/>
        </w:rPr>
        <w:t>27</w:t>
      </w:r>
      <w:r w:rsidR="00B934F4" w:rsidRPr="00B934F4">
        <w:rPr>
          <w:rtl/>
          <w:lang w:val="fr-CH"/>
        </w:rPr>
        <w:t xml:space="preserve"> أيلول/سبتمبر </w:t>
      </w:r>
      <w:r w:rsidRPr="00754C8F">
        <w:rPr>
          <w:szCs w:val="20"/>
          <w:rtl/>
          <w:lang w:val="fr-CH"/>
        </w:rPr>
        <w:t>2011</w:t>
      </w:r>
      <w:r w:rsidR="00B934F4" w:rsidRPr="00B934F4">
        <w:rPr>
          <w:rtl/>
          <w:lang w:val="fr-CH"/>
        </w:rPr>
        <w:t>، بدأ رئيس هيئة الادعاء في محكمة استئناف فينيسيا إجراءات قانونية لتسليم صاحب البلاغ.</w:t>
      </w:r>
      <w:r w:rsidR="00B934F4" w:rsidRPr="00B934F4">
        <w:rPr>
          <w:rtl/>
          <w:lang w:val="en-GB"/>
        </w:rPr>
        <w:t xml:space="preserve"> </w:t>
      </w:r>
      <w:r w:rsidR="00B934F4" w:rsidRPr="00B934F4">
        <w:rPr>
          <w:rtl/>
          <w:lang w:val="fr-CH" w:bidi="ar-DZ"/>
        </w:rPr>
        <w:t>و</w:t>
      </w:r>
      <w:r w:rsidR="00B934F4" w:rsidRPr="00B934F4">
        <w:rPr>
          <w:rtl/>
          <w:lang w:val="fr-CH"/>
        </w:rPr>
        <w:t xml:space="preserve">في </w:t>
      </w:r>
      <w:r w:rsidRPr="00754C8F">
        <w:rPr>
          <w:szCs w:val="20"/>
          <w:rtl/>
          <w:lang w:val="fr-CH"/>
        </w:rPr>
        <w:t>21</w:t>
      </w:r>
      <w:r w:rsidR="00B934F4" w:rsidRPr="00B934F4">
        <w:rPr>
          <w:rtl/>
          <w:lang w:val="fr-CH"/>
        </w:rPr>
        <w:t xml:space="preserve"> تشرين الثاني/نوفمبر </w:t>
      </w:r>
      <w:r w:rsidRPr="00754C8F">
        <w:rPr>
          <w:szCs w:val="20"/>
          <w:rtl/>
          <w:lang w:val="fr-CH"/>
        </w:rPr>
        <w:t>2011</w:t>
      </w:r>
      <w:r w:rsidR="00B934F4" w:rsidRPr="00B934F4">
        <w:rPr>
          <w:rtl/>
          <w:lang w:val="fr-CH"/>
        </w:rPr>
        <w:t>، طعن صاحب البلاغ في قرار تسليمه، بدعوى عدم وجود أدلة قوية تدينه؛</w:t>
      </w:r>
      <w:r w:rsidR="00B934F4" w:rsidRPr="00B934F4">
        <w:rPr>
          <w:rtl/>
          <w:lang w:val="en-GB"/>
        </w:rPr>
        <w:t xml:space="preserve"> </w:t>
      </w:r>
      <w:r w:rsidR="00B934F4" w:rsidRPr="00B934F4">
        <w:rPr>
          <w:rtl/>
          <w:lang w:val="fr-CH" w:bidi="ar-DZ"/>
        </w:rPr>
        <w:t>وانقضاء فترة</w:t>
      </w:r>
      <w:r w:rsidR="00B934F4" w:rsidRPr="00B934F4">
        <w:rPr>
          <w:rtl/>
          <w:lang w:val="fr-CH"/>
        </w:rPr>
        <w:t xml:space="preserve"> زمنية تجعل الجريمة المزعومة غير قابلة للمقاضاة وفقا</w:t>
      </w:r>
      <w:r w:rsidR="0046391F">
        <w:rPr>
          <w:rFonts w:hint="cs"/>
          <w:rtl/>
          <w:lang w:val="fr-CH"/>
        </w:rPr>
        <w:t>ً</w:t>
      </w:r>
      <w:r w:rsidR="00B934F4" w:rsidRPr="00B934F4">
        <w:rPr>
          <w:rtl/>
          <w:lang w:val="fr-CH"/>
        </w:rPr>
        <w:t xml:space="preserve"> لقوانين كلتا الدولتين؛</w:t>
      </w:r>
      <w:r w:rsidR="00B934F4" w:rsidRPr="00B934F4">
        <w:rPr>
          <w:rtl/>
          <w:lang w:val="en-GB"/>
        </w:rPr>
        <w:t xml:space="preserve"> </w:t>
      </w:r>
      <w:r w:rsidR="00B934F4" w:rsidRPr="00B934F4">
        <w:rPr>
          <w:rtl/>
          <w:lang w:val="fr-CH"/>
        </w:rPr>
        <w:t>وعدم تقديم مرسوم لوزير العدل ولا ورود شكوى من الضحية في القضية، على النحو الذي يشترطه القانون الإيطالي؛</w:t>
      </w:r>
      <w:r w:rsidR="00B934F4" w:rsidRPr="00B934F4">
        <w:rPr>
          <w:rtl/>
          <w:lang w:val="en-GB"/>
        </w:rPr>
        <w:t xml:space="preserve"> </w:t>
      </w:r>
      <w:r w:rsidR="00B934F4" w:rsidRPr="00B934F4">
        <w:rPr>
          <w:rtl/>
          <w:lang w:val="fr-CH"/>
        </w:rPr>
        <w:t>والخطر الفعلي في أن يتعرض صاحب البلاغ للمعاملة القاسية واللاإنسانية والمهينة، بل والتعذيب، إذا جرى تسليمه إلى أوكرانيا.</w:t>
      </w:r>
      <w:r w:rsidR="00B934F4" w:rsidRPr="00B934F4">
        <w:rPr>
          <w:rtl/>
          <w:lang w:val="en-GB"/>
        </w:rPr>
        <w:t xml:space="preserve"> </w:t>
      </w:r>
      <w:r w:rsidR="00B934F4" w:rsidRPr="00B934F4">
        <w:rPr>
          <w:rtl/>
          <w:lang w:val="fr-CH"/>
        </w:rPr>
        <w:t xml:space="preserve">وفي </w:t>
      </w:r>
      <w:r w:rsidRPr="00754C8F">
        <w:rPr>
          <w:szCs w:val="20"/>
          <w:rtl/>
          <w:lang w:val="fr-CH"/>
        </w:rPr>
        <w:t>28</w:t>
      </w:r>
      <w:r w:rsidR="00B934F4" w:rsidRPr="00B934F4">
        <w:rPr>
          <w:rtl/>
          <w:lang w:val="fr-CH"/>
        </w:rPr>
        <w:t xml:space="preserve"> تشرين الثاني/نوفمبر </w:t>
      </w:r>
      <w:r w:rsidRPr="00754C8F">
        <w:rPr>
          <w:szCs w:val="20"/>
          <w:rtl/>
          <w:lang w:val="fr-CH"/>
        </w:rPr>
        <w:t>2011</w:t>
      </w:r>
      <w:r w:rsidR="00B934F4" w:rsidRPr="00B934F4">
        <w:rPr>
          <w:rtl/>
          <w:lang w:val="fr-CH"/>
        </w:rPr>
        <w:t>، رفضت محكمة استئناف فينيسيا طلب التسليم، لعدم استيفاء الشروط المحددة في القانون الدولي والقانون المحلي.</w:t>
      </w:r>
      <w:r w:rsidR="00B934F4" w:rsidRPr="00B934F4">
        <w:rPr>
          <w:rtl/>
          <w:lang w:val="en-GB"/>
        </w:rPr>
        <w:t xml:space="preserve"> </w:t>
      </w:r>
      <w:r w:rsidR="00B934F4" w:rsidRPr="00B934F4">
        <w:rPr>
          <w:rtl/>
          <w:lang w:val="fr-CH"/>
        </w:rPr>
        <w:t>وعلى وجه الخصوص، رأت محكمة الاستئناف أن الجريمة المزعومة سقطت بالتقادم.</w:t>
      </w:r>
    </w:p>
    <w:p w:rsidR="00B934F4" w:rsidRPr="00754C8F" w:rsidRDefault="00754C8F" w:rsidP="00B934F4">
      <w:pPr>
        <w:pStyle w:val="SingleTxtGA"/>
        <w:rPr>
          <w:spacing w:val="-4"/>
          <w:rtl/>
          <w:lang w:val="fr-CH"/>
        </w:rPr>
      </w:pPr>
      <w:r w:rsidRPr="00754C8F">
        <w:rPr>
          <w:spacing w:val="-4"/>
          <w:szCs w:val="20"/>
          <w:rtl/>
          <w:lang w:val="fr-CH"/>
        </w:rPr>
        <w:t>2</w:t>
      </w:r>
      <w:r w:rsidR="00B934F4" w:rsidRPr="00754C8F">
        <w:rPr>
          <w:spacing w:val="-4"/>
          <w:rtl/>
          <w:lang w:val="fr-CH"/>
        </w:rPr>
        <w:t>-</w:t>
      </w:r>
      <w:r w:rsidRPr="00754C8F">
        <w:rPr>
          <w:spacing w:val="-4"/>
          <w:szCs w:val="20"/>
          <w:rtl/>
          <w:lang w:val="fr-CH"/>
        </w:rPr>
        <w:t>3</w:t>
      </w:r>
      <w:r w:rsidR="00B934F4" w:rsidRPr="00754C8F">
        <w:rPr>
          <w:spacing w:val="-4"/>
          <w:rtl/>
          <w:lang w:val="en-GB"/>
        </w:rPr>
        <w:tab/>
      </w:r>
      <w:r w:rsidR="00B934F4" w:rsidRPr="00754C8F">
        <w:rPr>
          <w:spacing w:val="-4"/>
          <w:rtl/>
          <w:lang w:val="fr-CH" w:bidi="ar-DZ"/>
        </w:rPr>
        <w:t xml:space="preserve">وطعن </w:t>
      </w:r>
      <w:r w:rsidR="00B934F4" w:rsidRPr="00754C8F">
        <w:rPr>
          <w:spacing w:val="-4"/>
          <w:rtl/>
          <w:lang w:val="fr-CH"/>
        </w:rPr>
        <w:t>المدعي العام في القرار أمام محكمة النقض، بحجة أن محكمة الاستئناف أساءت تفسير الأحكام الداخلية التي تنظم مسألة التقادم.</w:t>
      </w:r>
      <w:r w:rsidR="00B934F4" w:rsidRPr="00754C8F">
        <w:rPr>
          <w:spacing w:val="-4"/>
          <w:rtl/>
          <w:lang w:val="en-GB"/>
        </w:rPr>
        <w:t xml:space="preserve"> </w:t>
      </w:r>
      <w:r w:rsidR="00B934F4" w:rsidRPr="00754C8F">
        <w:rPr>
          <w:spacing w:val="-4"/>
          <w:rtl/>
          <w:lang w:val="fr-CH" w:bidi="ar-DZ"/>
        </w:rPr>
        <w:t xml:space="preserve">واحتج </w:t>
      </w:r>
      <w:r w:rsidR="00B934F4" w:rsidRPr="00754C8F">
        <w:rPr>
          <w:spacing w:val="-4"/>
          <w:rtl/>
          <w:lang w:val="fr-CH"/>
        </w:rPr>
        <w:t xml:space="preserve">المدعي العام بأن الجريمة التي يُدعى ارتكابها كان ينبغي توصيفها قانوناً وفقاً للقانون الإيطالي بأنها سرقة مقترنة بظروف مشددة للعقوبة </w:t>
      </w:r>
      <w:r w:rsidR="00330541" w:rsidRPr="00754C8F">
        <w:rPr>
          <w:rFonts w:hint="cs"/>
          <w:spacing w:val="-4"/>
          <w:rtl/>
          <w:lang w:val="fr-CH"/>
        </w:rPr>
        <w:t xml:space="preserve">- </w:t>
      </w:r>
      <w:r w:rsidR="00B934F4" w:rsidRPr="00754C8F">
        <w:rPr>
          <w:spacing w:val="-4"/>
          <w:rtl/>
          <w:lang w:val="fr-CH"/>
        </w:rPr>
        <w:t>لا مجرد سرقة، على النحو الذي ذكرته محكمة الاستئناف.</w:t>
      </w:r>
      <w:r w:rsidR="00B934F4" w:rsidRPr="00754C8F">
        <w:rPr>
          <w:spacing w:val="-4"/>
          <w:rtl/>
          <w:lang w:val="en-GB"/>
        </w:rPr>
        <w:t xml:space="preserve"> </w:t>
      </w:r>
      <w:r w:rsidR="00B934F4" w:rsidRPr="00754C8F">
        <w:rPr>
          <w:spacing w:val="-4"/>
          <w:rtl/>
          <w:lang w:val="fr-CH"/>
        </w:rPr>
        <w:t xml:space="preserve">وبناءً على ذلك، واستناداً إلى التشريعات الإيطالية، لا تنقضي فترة تقادم الجريمة إلا في </w:t>
      </w:r>
      <w:r w:rsidRPr="00754C8F">
        <w:rPr>
          <w:spacing w:val="-4"/>
          <w:szCs w:val="20"/>
          <w:rtl/>
          <w:lang w:val="fr-CH"/>
        </w:rPr>
        <w:t>9</w:t>
      </w:r>
      <w:r w:rsidR="00B934F4" w:rsidRPr="00754C8F">
        <w:rPr>
          <w:spacing w:val="-4"/>
          <w:rtl/>
          <w:lang w:val="fr-CH"/>
        </w:rPr>
        <w:t xml:space="preserve"> أيار/مايو </w:t>
      </w:r>
      <w:r w:rsidRPr="00754C8F">
        <w:rPr>
          <w:spacing w:val="-4"/>
          <w:szCs w:val="20"/>
          <w:rtl/>
          <w:lang w:val="fr-CH"/>
        </w:rPr>
        <w:t>2015</w:t>
      </w:r>
      <w:r w:rsidR="00B934F4" w:rsidRPr="00754C8F">
        <w:rPr>
          <w:spacing w:val="-4"/>
          <w:rtl/>
          <w:lang w:val="fr-CH"/>
        </w:rPr>
        <w:t>.</w:t>
      </w:r>
      <w:r w:rsidR="00B934F4" w:rsidRPr="00754C8F">
        <w:rPr>
          <w:spacing w:val="-4"/>
          <w:rtl/>
          <w:lang w:val="en-GB"/>
        </w:rPr>
        <w:t xml:space="preserve"> </w:t>
      </w:r>
      <w:r w:rsidR="00B934F4" w:rsidRPr="00754C8F">
        <w:rPr>
          <w:spacing w:val="-4"/>
          <w:rtl/>
          <w:lang w:val="fr-CH" w:bidi="ar-DZ"/>
        </w:rPr>
        <w:t xml:space="preserve">وتنص </w:t>
      </w:r>
      <w:r w:rsidR="00B934F4" w:rsidRPr="00754C8F">
        <w:rPr>
          <w:spacing w:val="-4"/>
          <w:rtl/>
          <w:lang w:val="fr-CH"/>
        </w:rPr>
        <w:t>المادة</w:t>
      </w:r>
      <w:r w:rsidR="00330541" w:rsidRPr="00754C8F">
        <w:rPr>
          <w:rFonts w:hint="cs"/>
          <w:spacing w:val="-4"/>
          <w:rtl/>
          <w:lang w:val="fr-CH"/>
        </w:rPr>
        <w:t> </w:t>
      </w:r>
      <w:r w:rsidRPr="00754C8F">
        <w:rPr>
          <w:spacing w:val="-4"/>
          <w:szCs w:val="20"/>
          <w:rtl/>
          <w:lang w:val="fr-CH"/>
        </w:rPr>
        <w:t>10</w:t>
      </w:r>
      <w:r w:rsidR="00B934F4" w:rsidRPr="00754C8F">
        <w:rPr>
          <w:spacing w:val="-4"/>
          <w:rtl/>
          <w:lang w:val="fr-CH"/>
        </w:rPr>
        <w:t xml:space="preserve"> من اتفاقية تسليم المجرمين على رفض التسليم إذا كانت الجريمة قد سقطت بالتقادم "وفقا</w:t>
      </w:r>
      <w:r w:rsidR="0046391F" w:rsidRPr="00754C8F">
        <w:rPr>
          <w:rFonts w:hint="cs"/>
          <w:spacing w:val="-4"/>
          <w:rtl/>
          <w:lang w:val="fr-CH"/>
        </w:rPr>
        <w:t>ً</w:t>
      </w:r>
      <w:r w:rsidR="00B934F4" w:rsidRPr="00754C8F">
        <w:rPr>
          <w:spacing w:val="-4"/>
          <w:rtl/>
          <w:lang w:val="fr-CH"/>
        </w:rPr>
        <w:t xml:space="preserve"> لقانون الطرف الذي طلب التسليم أو الطرف الموجه إليه طلب التسليم."</w:t>
      </w:r>
      <w:r w:rsidR="00B934F4" w:rsidRPr="00754C8F">
        <w:rPr>
          <w:spacing w:val="-4"/>
          <w:rtl/>
          <w:lang w:val="en-GB"/>
        </w:rPr>
        <w:t xml:space="preserve"> </w:t>
      </w:r>
      <w:r w:rsidR="00B934F4" w:rsidRPr="00754C8F">
        <w:rPr>
          <w:spacing w:val="-4"/>
          <w:rtl/>
          <w:lang w:val="fr-CH"/>
        </w:rPr>
        <w:t>ورأى المدعي العام عدم انقضاء مدة تقادم الجريمة المزعومة وفقا</w:t>
      </w:r>
      <w:r w:rsidR="0046391F" w:rsidRPr="00754C8F">
        <w:rPr>
          <w:rFonts w:hint="cs"/>
          <w:spacing w:val="-4"/>
          <w:rtl/>
          <w:lang w:val="fr-CH"/>
        </w:rPr>
        <w:t>ً</w:t>
      </w:r>
      <w:r w:rsidR="00B934F4" w:rsidRPr="00754C8F">
        <w:rPr>
          <w:spacing w:val="-4"/>
          <w:rtl/>
          <w:lang w:val="fr-CH"/>
        </w:rPr>
        <w:t xml:space="preserve"> للقانون الأوكراني أيضاً، لأن مدة التقادم انقطعت بإصدار أمر بإلقاء القبض على صاحب البلاغ في </w:t>
      </w:r>
      <w:r w:rsidRPr="00754C8F">
        <w:rPr>
          <w:spacing w:val="-4"/>
          <w:szCs w:val="20"/>
          <w:rtl/>
          <w:lang w:val="fr-CH"/>
        </w:rPr>
        <w:t>3</w:t>
      </w:r>
      <w:r w:rsidR="00B934F4" w:rsidRPr="00754C8F">
        <w:rPr>
          <w:spacing w:val="-4"/>
          <w:rtl/>
          <w:lang w:val="fr-CH"/>
        </w:rPr>
        <w:t xml:space="preserve"> أيلول/سبتمبر </w:t>
      </w:r>
      <w:r w:rsidRPr="00754C8F">
        <w:rPr>
          <w:spacing w:val="-4"/>
          <w:szCs w:val="20"/>
          <w:rtl/>
          <w:lang w:val="fr-CH"/>
        </w:rPr>
        <w:t>2007</w:t>
      </w:r>
      <w:r w:rsidR="00B934F4" w:rsidRPr="00754C8F">
        <w:rPr>
          <w:spacing w:val="-4"/>
          <w:rtl/>
          <w:lang w:val="fr-CH"/>
        </w:rPr>
        <w:t>.</w:t>
      </w:r>
      <w:r w:rsidR="00B934F4" w:rsidRPr="00754C8F">
        <w:rPr>
          <w:spacing w:val="-4"/>
          <w:rtl/>
          <w:lang w:val="en-GB"/>
        </w:rPr>
        <w:t xml:space="preserve"> </w:t>
      </w:r>
      <w:r w:rsidR="00B934F4" w:rsidRPr="00754C8F">
        <w:rPr>
          <w:spacing w:val="-4"/>
          <w:rtl/>
          <w:lang w:val="fr-CH"/>
        </w:rPr>
        <w:t xml:space="preserve">وفيما يتعلق بمسألة </w:t>
      </w:r>
      <w:r w:rsidR="00B934F4" w:rsidRPr="00754C8F">
        <w:rPr>
          <w:spacing w:val="-4"/>
          <w:rtl/>
          <w:lang w:val="fr-CH"/>
        </w:rPr>
        <w:lastRenderedPageBreak/>
        <w:t>الانتهاكات الجسيمة لحقوق الإنسان المرتكبة ضد المحتجزين في أوكرانيا، أشار المدعي العام ببساطة إلى الأحكام القضائية السابقة لمحكمة النقض التي قضت فيها المحكمة في الماضي بتسليم مطلوبين إلى أوكرانيا.</w:t>
      </w:r>
    </w:p>
    <w:p w:rsidR="00B934F4" w:rsidRPr="00B934F4" w:rsidRDefault="00754C8F" w:rsidP="00B934F4">
      <w:pPr>
        <w:pStyle w:val="SingleTxtGA"/>
        <w:rPr>
          <w:rtl/>
          <w:lang w:val="fr-CH"/>
        </w:rPr>
      </w:pPr>
      <w:r w:rsidRPr="00754C8F">
        <w:rPr>
          <w:szCs w:val="20"/>
          <w:rtl/>
          <w:lang w:val="fr-CH"/>
        </w:rPr>
        <w:t>2</w:t>
      </w:r>
      <w:r w:rsidR="00B934F4" w:rsidRPr="00B934F4">
        <w:rPr>
          <w:rtl/>
          <w:lang w:val="fr-CH"/>
        </w:rPr>
        <w:t>-</w:t>
      </w:r>
      <w:r w:rsidRPr="00754C8F">
        <w:rPr>
          <w:szCs w:val="20"/>
          <w:rtl/>
          <w:lang w:val="fr-CH"/>
        </w:rPr>
        <w:t>4</w:t>
      </w:r>
      <w:r w:rsidR="00B934F4" w:rsidRPr="00B934F4">
        <w:rPr>
          <w:rtl/>
          <w:lang w:val="en-GB"/>
        </w:rPr>
        <w:tab/>
      </w:r>
      <w:r w:rsidR="00B934F4" w:rsidRPr="00B934F4">
        <w:rPr>
          <w:rtl/>
          <w:lang w:val="fr-CH" w:bidi="ar-DZ"/>
        </w:rPr>
        <w:t>و</w:t>
      </w:r>
      <w:r w:rsidR="00B934F4" w:rsidRPr="00B934F4">
        <w:rPr>
          <w:rtl/>
          <w:lang w:val="fr-CH"/>
        </w:rPr>
        <w:t>ادعى صاحب البلاغ أمام محكمة النقض ما يلي: (أ) أن كلاً من السلطات الأوكرانية، في أمر إلقاء القبض الأصلي، والسلطات الإيطالية، في سياق الإجراءات أمام محكمة استئناف فينيسيا، لم يوجها تهمة السرقة لصاحب البلاغ وأن الظروف المشددة لا يمكن توجيهها رهن المشيئة؛</w:t>
      </w:r>
      <w:r w:rsidR="00B934F4" w:rsidRPr="00B934F4">
        <w:rPr>
          <w:rtl/>
          <w:lang w:val="en-GB"/>
        </w:rPr>
        <w:t xml:space="preserve"> </w:t>
      </w:r>
      <w:r w:rsidR="00B934F4" w:rsidRPr="00B934F4">
        <w:rPr>
          <w:rtl/>
          <w:lang w:val="fr-CH"/>
        </w:rPr>
        <w:t xml:space="preserve">(ب) أن أول أمر بإلقاء القبض الصادر في </w:t>
      </w:r>
      <w:r w:rsidRPr="00754C8F">
        <w:rPr>
          <w:szCs w:val="20"/>
          <w:rtl/>
          <w:lang w:val="fr-CH"/>
        </w:rPr>
        <w:t>3</w:t>
      </w:r>
      <w:r w:rsidR="00B934F4" w:rsidRPr="00B934F4">
        <w:rPr>
          <w:rtl/>
          <w:lang w:val="fr-CH"/>
        </w:rPr>
        <w:t xml:space="preserve"> أيلول/سبتمبر </w:t>
      </w:r>
      <w:r w:rsidRPr="00754C8F">
        <w:rPr>
          <w:szCs w:val="20"/>
          <w:rtl/>
          <w:lang w:val="fr-CH"/>
        </w:rPr>
        <w:t>2007</w:t>
      </w:r>
      <w:r w:rsidR="00B934F4" w:rsidRPr="00B934F4">
        <w:rPr>
          <w:rtl/>
          <w:lang w:val="fr-CH"/>
        </w:rPr>
        <w:t xml:space="preserve"> لم يُسلم إليه ولم يُبلغ به، وأن أمر التسليم استند، على أية حال، إلى أمر إلقاء القبض اللاحق الذي صدر بعد انقضاء مدة التقادم؛</w:t>
      </w:r>
      <w:r w:rsidR="00B934F4" w:rsidRPr="00B934F4">
        <w:rPr>
          <w:rtl/>
          <w:lang w:val="en-GB"/>
        </w:rPr>
        <w:t xml:space="preserve"> </w:t>
      </w:r>
      <w:r w:rsidR="00B934F4" w:rsidRPr="00B934F4">
        <w:rPr>
          <w:rtl/>
          <w:lang w:val="fr-CH"/>
        </w:rPr>
        <w:t>(ج) أن صاحب البلاغ، في حالة التسليم، سيتعرض لانتهاكات جسيمة لحقوق الإنسان.</w:t>
      </w:r>
    </w:p>
    <w:p w:rsidR="00B934F4" w:rsidRPr="00F03E26" w:rsidRDefault="00754C8F" w:rsidP="00B934F4">
      <w:pPr>
        <w:pStyle w:val="SingleTxtGA"/>
        <w:rPr>
          <w:b/>
          <w:spacing w:val="-2"/>
          <w:rtl/>
          <w:lang w:val="fr-CH"/>
        </w:rPr>
      </w:pPr>
      <w:r w:rsidRPr="00754C8F">
        <w:rPr>
          <w:spacing w:val="-2"/>
          <w:szCs w:val="20"/>
          <w:rtl/>
          <w:lang w:val="fr-CH"/>
        </w:rPr>
        <w:t>2</w:t>
      </w:r>
      <w:r w:rsidR="00B934F4" w:rsidRPr="00F03E26">
        <w:rPr>
          <w:spacing w:val="-2"/>
          <w:rtl/>
          <w:lang w:val="fr-CH"/>
        </w:rPr>
        <w:t>-</w:t>
      </w:r>
      <w:r w:rsidRPr="00754C8F">
        <w:rPr>
          <w:spacing w:val="-2"/>
          <w:szCs w:val="20"/>
          <w:rtl/>
          <w:lang w:val="fr-CH"/>
        </w:rPr>
        <w:t>5</w:t>
      </w:r>
      <w:r w:rsidR="00B934F4" w:rsidRPr="00F03E26">
        <w:rPr>
          <w:spacing w:val="-2"/>
          <w:rtl/>
          <w:lang w:val="en-GB"/>
        </w:rPr>
        <w:tab/>
      </w:r>
      <w:r w:rsidR="00B934F4" w:rsidRPr="00F03E26">
        <w:rPr>
          <w:spacing w:val="-2"/>
          <w:rtl/>
          <w:lang w:val="fr-CH"/>
        </w:rPr>
        <w:t xml:space="preserve">وفي </w:t>
      </w:r>
      <w:r w:rsidRPr="00754C8F">
        <w:rPr>
          <w:spacing w:val="-2"/>
          <w:szCs w:val="20"/>
          <w:rtl/>
          <w:lang w:val="fr-CH"/>
        </w:rPr>
        <w:t>17</w:t>
      </w:r>
      <w:r w:rsidR="00B934F4" w:rsidRPr="00F03E26">
        <w:rPr>
          <w:spacing w:val="-2"/>
          <w:rtl/>
          <w:lang w:val="fr-CH"/>
        </w:rPr>
        <w:t xml:space="preserve"> نيسان/أبريل </w:t>
      </w:r>
      <w:r w:rsidRPr="00754C8F">
        <w:rPr>
          <w:spacing w:val="-2"/>
          <w:szCs w:val="20"/>
          <w:rtl/>
          <w:lang w:val="fr-CH"/>
        </w:rPr>
        <w:t>2012</w:t>
      </w:r>
      <w:r w:rsidR="00B934F4" w:rsidRPr="00F03E26">
        <w:rPr>
          <w:spacing w:val="-2"/>
          <w:rtl/>
          <w:lang w:val="fr-CH"/>
        </w:rPr>
        <w:t>، أيدت محكمة النقض طعن المدعي العام وألغت القرار السابق، وأعادت القضية إلى دائرة أخرى لمحكمة استئناف فينيسيا لكي تنظر على النحو الواجب في "الوزن القانوني" لكل عنصر من عناصر القضية قيد النظر، وبخاصة "الظروف المشددة الواردة في المستندات الداعمة لطلب التسليم، التي هي مهمة لتحديد فترة تقادم الجريمة المزعومة".</w:t>
      </w:r>
    </w:p>
    <w:p w:rsidR="00B934F4" w:rsidRPr="00086B7B" w:rsidRDefault="00754C8F" w:rsidP="00B934F4">
      <w:pPr>
        <w:pStyle w:val="SingleTxtGA"/>
        <w:rPr>
          <w:b/>
          <w:rtl/>
          <w:lang w:val="fr-CH"/>
        </w:rPr>
      </w:pPr>
      <w:r w:rsidRPr="00754C8F">
        <w:rPr>
          <w:szCs w:val="20"/>
          <w:rtl/>
          <w:lang w:val="fr-CH"/>
        </w:rPr>
        <w:t>2</w:t>
      </w:r>
      <w:r w:rsidR="00B934F4" w:rsidRPr="00B934F4">
        <w:rPr>
          <w:rtl/>
          <w:lang w:val="fr-CH"/>
        </w:rPr>
        <w:t>-</w:t>
      </w:r>
      <w:r w:rsidRPr="00754C8F">
        <w:rPr>
          <w:szCs w:val="20"/>
          <w:rtl/>
          <w:lang w:val="fr-CH"/>
        </w:rPr>
        <w:t>6</w:t>
      </w:r>
      <w:r w:rsidR="00B934F4" w:rsidRPr="00B934F4">
        <w:rPr>
          <w:rtl/>
          <w:lang w:val="en-GB"/>
        </w:rPr>
        <w:tab/>
      </w:r>
      <w:r w:rsidR="00B934F4" w:rsidRPr="00B934F4">
        <w:rPr>
          <w:rtl/>
          <w:lang w:val="fr-CH"/>
        </w:rPr>
        <w:t xml:space="preserve">وفي </w:t>
      </w:r>
      <w:r w:rsidRPr="00754C8F">
        <w:rPr>
          <w:szCs w:val="20"/>
          <w:rtl/>
          <w:lang w:val="fr-CH"/>
        </w:rPr>
        <w:t>26</w:t>
      </w:r>
      <w:r w:rsidR="00B934F4" w:rsidRPr="00B934F4">
        <w:rPr>
          <w:rtl/>
          <w:lang w:val="fr-CH"/>
        </w:rPr>
        <w:t xml:space="preserve"> تشرين الأول/أكتوبر </w:t>
      </w:r>
      <w:r w:rsidRPr="00754C8F">
        <w:rPr>
          <w:szCs w:val="20"/>
          <w:rtl/>
          <w:lang w:val="fr-CH"/>
        </w:rPr>
        <w:t>2012</w:t>
      </w:r>
      <w:r w:rsidR="00B934F4" w:rsidRPr="00B934F4">
        <w:rPr>
          <w:rtl/>
          <w:lang w:val="fr-CH"/>
        </w:rPr>
        <w:t>، أكدت محكمة استئناف فينيسيا أن شروط التسليم لم تُستوف، نظراً إلى " عدم وجود أي دليل على الإدانة في الوثائق الداعمة للطلب".</w:t>
      </w:r>
      <w:r w:rsidR="00B934F4" w:rsidRPr="00B934F4">
        <w:rPr>
          <w:rtl/>
          <w:lang w:val="en-GB"/>
        </w:rPr>
        <w:t xml:space="preserve"> </w:t>
      </w:r>
      <w:r w:rsidR="00B934F4" w:rsidRPr="00B934F4">
        <w:rPr>
          <w:rtl/>
          <w:lang w:val="fr-CH"/>
        </w:rPr>
        <w:t xml:space="preserve">ومع ذلك، أيدت محكمة النقض مرة أخرى، في </w:t>
      </w:r>
      <w:r w:rsidRPr="00754C8F">
        <w:rPr>
          <w:szCs w:val="20"/>
          <w:rtl/>
          <w:lang w:val="fr-CH"/>
        </w:rPr>
        <w:t>8</w:t>
      </w:r>
      <w:r w:rsidR="00B934F4" w:rsidRPr="00B934F4">
        <w:rPr>
          <w:rtl/>
          <w:lang w:val="fr-CH"/>
        </w:rPr>
        <w:t xml:space="preserve"> آذار/مارس </w:t>
      </w:r>
      <w:r w:rsidR="00B934F4" w:rsidRPr="00754C8F">
        <w:rPr>
          <w:szCs w:val="20"/>
          <w:rtl/>
          <w:lang w:val="fr-CH"/>
        </w:rPr>
        <w:t>2013</w:t>
      </w:r>
      <w:r w:rsidR="00B934F4" w:rsidRPr="00B934F4">
        <w:rPr>
          <w:rtl/>
          <w:lang w:val="fr-CH"/>
        </w:rPr>
        <w:t>، طعناً قدمه المدعي العام وألغت القرار الثاني لمحكمة استئناف فينيسيا، وأحالت القضية من جديد إلى دائرة أخرى للمحكمة.</w:t>
      </w:r>
      <w:r w:rsidR="00B934F4" w:rsidRPr="00B934F4">
        <w:rPr>
          <w:rtl/>
          <w:lang w:val="en-GB"/>
        </w:rPr>
        <w:t xml:space="preserve"> </w:t>
      </w:r>
      <w:r w:rsidR="00B934F4" w:rsidRPr="00B934F4">
        <w:rPr>
          <w:rtl/>
          <w:lang w:val="fr-CH"/>
        </w:rPr>
        <w:t xml:space="preserve">وعلى وجه الخصوص، رأت محكمة النقض أنه " إذا لم يتضمن طلب التسليم الرسمي والوثائق المرفقة به أدلة على الإدانة، ينبغي لمحكمة الاستئناف أن تطلب [من سلطات الدولة الطالبة] معلومات تكميلية على النحو المنصوص عليه في المادة </w:t>
      </w:r>
      <w:r w:rsidRPr="00754C8F">
        <w:rPr>
          <w:szCs w:val="20"/>
          <w:rtl/>
          <w:lang w:val="fr-CH"/>
        </w:rPr>
        <w:t>13</w:t>
      </w:r>
      <w:r w:rsidR="00B934F4" w:rsidRPr="00B934F4">
        <w:rPr>
          <w:rtl/>
          <w:lang w:val="fr-CH"/>
        </w:rPr>
        <w:t xml:space="preserve"> </w:t>
      </w:r>
      <w:r w:rsidR="00B934F4" w:rsidRPr="00B934F4">
        <w:rPr>
          <w:b/>
          <w:rtl/>
          <w:lang w:val="fr-CH"/>
        </w:rPr>
        <w:t>من اتفاقية تسليم المجرمين".</w:t>
      </w:r>
    </w:p>
    <w:p w:rsidR="00B934F4" w:rsidRPr="00754C8F" w:rsidRDefault="00754C8F" w:rsidP="00B934F4">
      <w:pPr>
        <w:pStyle w:val="SingleTxtGA"/>
        <w:rPr>
          <w:b/>
          <w:spacing w:val="-2"/>
          <w:rtl/>
          <w:lang w:val="fr-CH" w:bidi="ar-DZ"/>
        </w:rPr>
      </w:pPr>
      <w:r w:rsidRPr="00754C8F">
        <w:rPr>
          <w:spacing w:val="-2"/>
          <w:szCs w:val="20"/>
          <w:rtl/>
          <w:lang w:val="fr-CH"/>
        </w:rPr>
        <w:t>2</w:t>
      </w:r>
      <w:r w:rsidR="00B934F4" w:rsidRPr="00754C8F">
        <w:rPr>
          <w:spacing w:val="-2"/>
          <w:rtl/>
          <w:lang w:val="fr-CH"/>
        </w:rPr>
        <w:t>-</w:t>
      </w:r>
      <w:r w:rsidRPr="00754C8F">
        <w:rPr>
          <w:spacing w:val="-2"/>
          <w:szCs w:val="20"/>
          <w:rtl/>
          <w:lang w:val="fr-CH"/>
        </w:rPr>
        <w:t>7</w:t>
      </w:r>
      <w:r w:rsidR="00B934F4" w:rsidRPr="00754C8F">
        <w:rPr>
          <w:spacing w:val="-2"/>
          <w:rtl/>
          <w:lang w:val="en-GB"/>
        </w:rPr>
        <w:tab/>
      </w:r>
      <w:r w:rsidR="00B934F4" w:rsidRPr="00754C8F">
        <w:rPr>
          <w:spacing w:val="-2"/>
          <w:rtl/>
          <w:lang w:val="fr-CH"/>
        </w:rPr>
        <w:t xml:space="preserve">وفي </w:t>
      </w:r>
      <w:r w:rsidRPr="00754C8F">
        <w:rPr>
          <w:spacing w:val="-2"/>
          <w:szCs w:val="20"/>
          <w:rtl/>
          <w:lang w:val="fr-CH"/>
        </w:rPr>
        <w:t>21</w:t>
      </w:r>
      <w:r w:rsidR="00B934F4" w:rsidRPr="00754C8F">
        <w:rPr>
          <w:spacing w:val="-2"/>
          <w:rtl/>
          <w:lang w:val="fr-CH"/>
        </w:rPr>
        <w:t xml:space="preserve"> تشرين الثاني/نوفمبر </w:t>
      </w:r>
      <w:r w:rsidRPr="00754C8F">
        <w:rPr>
          <w:spacing w:val="-2"/>
          <w:szCs w:val="20"/>
          <w:rtl/>
          <w:lang w:val="fr-CH"/>
        </w:rPr>
        <w:t>2013</w:t>
      </w:r>
      <w:r w:rsidR="00B934F4" w:rsidRPr="00754C8F">
        <w:rPr>
          <w:spacing w:val="-2"/>
          <w:rtl/>
          <w:lang w:val="fr-CH"/>
        </w:rPr>
        <w:t>، رفضت محكمة استئناف فينيسيا مرة أخرى طلب التسليم لعدم استيفائه الشروط المنصوص عليها في القانون المحلي والقانون الدولي.</w:t>
      </w:r>
      <w:r w:rsidR="00B934F4" w:rsidRPr="00754C8F">
        <w:rPr>
          <w:spacing w:val="-2"/>
          <w:rtl/>
          <w:lang w:val="en-GB"/>
        </w:rPr>
        <w:t xml:space="preserve"> </w:t>
      </w:r>
      <w:r w:rsidR="00B934F4" w:rsidRPr="00754C8F">
        <w:rPr>
          <w:spacing w:val="-2"/>
          <w:rtl/>
          <w:lang w:val="fr-CH"/>
        </w:rPr>
        <w:t xml:space="preserve">ورأت المحكمة أن طلب التسليم رُفض بسبب " </w:t>
      </w:r>
      <w:r w:rsidR="00B934F4" w:rsidRPr="00754C8F">
        <w:rPr>
          <w:spacing w:val="-2"/>
          <w:rtl/>
          <w:lang w:val="fr-CH" w:bidi="ar-DZ"/>
        </w:rPr>
        <w:t>ال</w:t>
      </w:r>
      <w:r w:rsidR="00B934F4" w:rsidRPr="00754C8F">
        <w:rPr>
          <w:spacing w:val="-2"/>
          <w:rtl/>
          <w:lang w:val="fr-CH"/>
        </w:rPr>
        <w:t xml:space="preserve">أدلة الثابتة التي تؤكد أن [صاحب البلاغ] من المتوقع أن يتعرض، في حال تسليمه للسلطات الأوكرانية، لمعاملة في السجن تنتهك حقوق الإنسان الأساسية، من حيث سلامته الشخصية، وقد يُحرم من أي سبيل انتصاف فعال يمكنه من الحد من مدة احتجازه المؤقت [على النحو الذي تثبته] التحذيرات المتكررة المتعلقة بالعنف البدني ضد المحتجزين وعدم كفاية المساعدة الصحية المقدمة لهم في السجون الأوكرانية [مما] يجعل النظرة إلى الاحتجاز في أوكرانيا سلبية بصورة أكبر. </w:t>
      </w:r>
    </w:p>
    <w:p w:rsidR="00B934F4" w:rsidRPr="00754C8F" w:rsidRDefault="00754C8F" w:rsidP="00F03E26">
      <w:pPr>
        <w:pStyle w:val="SingleTxtGA"/>
        <w:spacing w:line="370" w:lineRule="exact"/>
        <w:rPr>
          <w:b/>
          <w:spacing w:val="-4"/>
          <w:rtl/>
          <w:lang w:val="fr-CH" w:bidi="ar-DZ"/>
        </w:rPr>
      </w:pPr>
      <w:r w:rsidRPr="00754C8F">
        <w:rPr>
          <w:spacing w:val="-4"/>
          <w:szCs w:val="20"/>
          <w:rtl/>
          <w:lang w:val="fr-CH"/>
        </w:rPr>
        <w:t>2</w:t>
      </w:r>
      <w:r w:rsidR="00B934F4" w:rsidRPr="00754C8F">
        <w:rPr>
          <w:spacing w:val="-4"/>
          <w:rtl/>
          <w:lang w:val="fr-CH"/>
        </w:rPr>
        <w:t>-</w:t>
      </w:r>
      <w:r w:rsidRPr="00754C8F">
        <w:rPr>
          <w:spacing w:val="-4"/>
          <w:szCs w:val="20"/>
          <w:rtl/>
          <w:lang w:val="fr-CH"/>
        </w:rPr>
        <w:t>8</w:t>
      </w:r>
      <w:r w:rsidR="00B934F4" w:rsidRPr="00754C8F">
        <w:rPr>
          <w:spacing w:val="-4"/>
          <w:rtl/>
          <w:lang w:val="en-GB"/>
        </w:rPr>
        <w:tab/>
      </w:r>
      <w:r w:rsidR="00B934F4" w:rsidRPr="00754C8F">
        <w:rPr>
          <w:spacing w:val="-4"/>
          <w:rtl/>
          <w:lang w:val="fr-CH" w:bidi="ar-DZ"/>
        </w:rPr>
        <w:t>و</w:t>
      </w:r>
      <w:r w:rsidR="00B934F4" w:rsidRPr="00754C8F">
        <w:rPr>
          <w:spacing w:val="-4"/>
          <w:rtl/>
          <w:lang w:val="fr-CH"/>
        </w:rPr>
        <w:t xml:space="preserve">في </w:t>
      </w:r>
      <w:r w:rsidRPr="00754C8F">
        <w:rPr>
          <w:spacing w:val="-4"/>
          <w:szCs w:val="20"/>
          <w:rtl/>
          <w:lang w:val="fr-CH"/>
        </w:rPr>
        <w:t>8</w:t>
      </w:r>
      <w:r w:rsidR="00B934F4" w:rsidRPr="00754C8F">
        <w:rPr>
          <w:spacing w:val="-4"/>
          <w:rtl/>
          <w:lang w:val="fr-CH"/>
        </w:rPr>
        <w:t xml:space="preserve"> نيسان/أبريل </w:t>
      </w:r>
      <w:r w:rsidRPr="00754C8F">
        <w:rPr>
          <w:spacing w:val="-4"/>
          <w:szCs w:val="20"/>
          <w:rtl/>
          <w:lang w:val="fr-CH"/>
        </w:rPr>
        <w:t>2014</w:t>
      </w:r>
      <w:r w:rsidR="00B934F4" w:rsidRPr="00754C8F">
        <w:rPr>
          <w:spacing w:val="-4"/>
          <w:rtl/>
          <w:lang w:val="fr-CH"/>
        </w:rPr>
        <w:t>، أيدت محكمة النقض، للمرة الثالثة، طعن المدعي العام وألغت القرار.</w:t>
      </w:r>
      <w:r w:rsidR="00B934F4" w:rsidRPr="00754C8F">
        <w:rPr>
          <w:spacing w:val="-4"/>
          <w:rtl/>
          <w:lang w:val="en-GB"/>
        </w:rPr>
        <w:t xml:space="preserve"> </w:t>
      </w:r>
      <w:r w:rsidR="00B934F4" w:rsidRPr="00754C8F">
        <w:rPr>
          <w:spacing w:val="-4"/>
          <w:rtl/>
          <w:lang w:val="fr-CH"/>
        </w:rPr>
        <w:t>بيد أن المحكمة لم ترسل القضية من جديد إلى محكمة استئناف فينيسيا، وإنما حكمت استنادا</w:t>
      </w:r>
      <w:r w:rsidR="0046391F" w:rsidRPr="00754C8F">
        <w:rPr>
          <w:rFonts w:hint="cs"/>
          <w:spacing w:val="-4"/>
          <w:rtl/>
          <w:lang w:val="fr-CH"/>
        </w:rPr>
        <w:t>ً</w:t>
      </w:r>
      <w:r w:rsidR="00B934F4" w:rsidRPr="00754C8F">
        <w:rPr>
          <w:spacing w:val="-4"/>
          <w:rtl/>
          <w:lang w:val="fr-CH"/>
        </w:rPr>
        <w:t xml:space="preserve"> إلى الأسس الموضوعية، وأذنت بتسليم صاحب البلاغ بموجب قرار نهائي وملزم، حيث خلصت أنه لن يواجه خطرا</w:t>
      </w:r>
      <w:r w:rsidR="0046391F" w:rsidRPr="00754C8F">
        <w:rPr>
          <w:rFonts w:hint="cs"/>
          <w:spacing w:val="-4"/>
          <w:rtl/>
          <w:lang w:val="fr-CH"/>
        </w:rPr>
        <w:t>ً</w:t>
      </w:r>
      <w:r w:rsidR="00B934F4" w:rsidRPr="00754C8F">
        <w:rPr>
          <w:spacing w:val="-4"/>
          <w:rtl/>
          <w:lang w:val="fr-CH"/>
        </w:rPr>
        <w:t xml:space="preserve"> حقيقيا</w:t>
      </w:r>
      <w:r w:rsidR="0046391F" w:rsidRPr="00754C8F">
        <w:rPr>
          <w:rFonts w:hint="cs"/>
          <w:spacing w:val="-4"/>
          <w:rtl/>
          <w:lang w:val="fr-CH"/>
        </w:rPr>
        <w:t>ً</w:t>
      </w:r>
      <w:r w:rsidR="00B934F4" w:rsidRPr="00754C8F">
        <w:rPr>
          <w:spacing w:val="-4"/>
          <w:rtl/>
          <w:lang w:val="fr-CH"/>
        </w:rPr>
        <w:t xml:space="preserve"> في التعرض للمعاملة القاسية واللاإنسانية والمهينة في حالة تسليمه إلى أوكرانيا.</w:t>
      </w:r>
      <w:r w:rsidR="00B934F4" w:rsidRPr="00754C8F">
        <w:rPr>
          <w:spacing w:val="-4"/>
          <w:rtl/>
          <w:lang w:val="en-GB"/>
        </w:rPr>
        <w:t xml:space="preserve"> </w:t>
      </w:r>
      <w:r w:rsidR="00B934F4" w:rsidRPr="00754C8F">
        <w:rPr>
          <w:spacing w:val="-4"/>
          <w:rtl/>
          <w:lang w:val="fr-CH"/>
        </w:rPr>
        <w:t>ويرى صاحب البلاغ أن محكمة النقض، في سياق التوصل إلى هذا الاستنتاج، تجاهلت الغالبية العظمى من المواد التي قدمها بحجة أن هذه المواد "لم تأت من مصادر موثوقة"</w:t>
      </w:r>
      <w:r w:rsidR="001A58C5" w:rsidRPr="00754C8F">
        <w:rPr>
          <w:spacing w:val="-4"/>
          <w:vertAlign w:val="superscript"/>
          <w:rtl/>
          <w:lang w:val="en-GB"/>
        </w:rPr>
        <w:t>(</w:t>
      </w:r>
      <w:r w:rsidR="001A58C5" w:rsidRPr="00754C8F">
        <w:rPr>
          <w:rFonts w:cs="Times New Roman"/>
          <w:spacing w:val="-4"/>
          <w:position w:val="4"/>
          <w:vertAlign w:val="superscript"/>
        </w:rPr>
        <w:footnoteReference w:id="5"/>
      </w:r>
      <w:r w:rsidR="001A58C5" w:rsidRPr="00754C8F">
        <w:rPr>
          <w:spacing w:val="-4"/>
          <w:vertAlign w:val="superscript"/>
          <w:rtl/>
          <w:lang w:val="en-GB"/>
        </w:rPr>
        <w:t>)</w:t>
      </w:r>
      <w:r w:rsidR="00B934F4" w:rsidRPr="00754C8F">
        <w:rPr>
          <w:spacing w:val="-4"/>
          <w:rtl/>
          <w:lang w:val="fr-CH"/>
        </w:rPr>
        <w:t xml:space="preserve"> واعتبرت مواد أخرى غير ذات صلة </w:t>
      </w:r>
      <w:proofErr w:type="gramStart"/>
      <w:r w:rsidR="00B934F4" w:rsidRPr="00754C8F">
        <w:rPr>
          <w:spacing w:val="-4"/>
          <w:rtl/>
          <w:lang w:val="fr-CH"/>
        </w:rPr>
        <w:t>بالموضوع</w:t>
      </w:r>
      <w:r w:rsidR="00330541" w:rsidRPr="00754C8F">
        <w:rPr>
          <w:spacing w:val="-4"/>
          <w:vertAlign w:val="superscript"/>
          <w:rtl/>
          <w:lang w:val="en-GB"/>
        </w:rPr>
        <w:t>(</w:t>
      </w:r>
      <w:proofErr w:type="gramEnd"/>
      <w:r w:rsidR="00330541" w:rsidRPr="00754C8F">
        <w:rPr>
          <w:rFonts w:cs="Times New Roman"/>
          <w:spacing w:val="-4"/>
          <w:position w:val="4"/>
          <w:vertAlign w:val="superscript"/>
        </w:rPr>
        <w:footnoteReference w:id="6"/>
      </w:r>
      <w:r w:rsidR="00330541" w:rsidRPr="00754C8F">
        <w:rPr>
          <w:spacing w:val="-4"/>
          <w:vertAlign w:val="superscript"/>
          <w:rtl/>
          <w:lang w:val="en-GB"/>
        </w:rPr>
        <w:t>)</w:t>
      </w:r>
      <w:r w:rsidR="00B934F4" w:rsidRPr="00754C8F">
        <w:rPr>
          <w:spacing w:val="-4"/>
          <w:rtl/>
          <w:lang w:val="fr-CH"/>
        </w:rPr>
        <w:t>.</w:t>
      </w:r>
    </w:p>
    <w:p w:rsidR="00B934F4" w:rsidRPr="00086B7B" w:rsidRDefault="00754C8F" w:rsidP="00F03E26">
      <w:pPr>
        <w:pStyle w:val="SingleTxtGA"/>
        <w:spacing w:line="370" w:lineRule="exact"/>
        <w:rPr>
          <w:b/>
          <w:spacing w:val="-1"/>
          <w:rtl/>
          <w:lang w:val="fr-CH"/>
        </w:rPr>
      </w:pPr>
      <w:r w:rsidRPr="00754C8F">
        <w:rPr>
          <w:spacing w:val="-1"/>
          <w:szCs w:val="20"/>
          <w:rtl/>
          <w:lang w:val="fr-CH"/>
        </w:rPr>
        <w:lastRenderedPageBreak/>
        <w:t>2</w:t>
      </w:r>
      <w:r w:rsidR="00B934F4" w:rsidRPr="00330541">
        <w:rPr>
          <w:spacing w:val="-1"/>
          <w:rtl/>
          <w:lang w:val="fr-CH"/>
        </w:rPr>
        <w:t>-</w:t>
      </w:r>
      <w:r w:rsidRPr="00754C8F">
        <w:rPr>
          <w:spacing w:val="-1"/>
          <w:szCs w:val="20"/>
          <w:rtl/>
          <w:lang w:val="fr-CH"/>
        </w:rPr>
        <w:t>9</w:t>
      </w:r>
      <w:r w:rsidR="00B934F4" w:rsidRPr="00330541">
        <w:rPr>
          <w:spacing w:val="-1"/>
          <w:rtl/>
          <w:lang w:val="en-GB"/>
        </w:rPr>
        <w:tab/>
      </w:r>
      <w:r w:rsidR="00B934F4" w:rsidRPr="00330541">
        <w:rPr>
          <w:spacing w:val="-1"/>
          <w:rtl/>
          <w:lang w:val="fr-CH"/>
        </w:rPr>
        <w:t xml:space="preserve">وفي </w:t>
      </w:r>
      <w:r w:rsidRPr="00754C8F">
        <w:rPr>
          <w:spacing w:val="-1"/>
          <w:szCs w:val="20"/>
          <w:rtl/>
          <w:lang w:val="fr-CH"/>
        </w:rPr>
        <w:t>11</w:t>
      </w:r>
      <w:r w:rsidR="00B934F4" w:rsidRPr="00330541">
        <w:rPr>
          <w:spacing w:val="-1"/>
          <w:rtl/>
          <w:lang w:val="fr-CH"/>
        </w:rPr>
        <w:t xml:space="preserve"> تموز/يوليه </w:t>
      </w:r>
      <w:r w:rsidRPr="00754C8F">
        <w:rPr>
          <w:spacing w:val="-1"/>
          <w:szCs w:val="20"/>
          <w:rtl/>
          <w:lang w:val="fr-CH"/>
        </w:rPr>
        <w:t>2014</w:t>
      </w:r>
      <w:r w:rsidR="00B934F4" w:rsidRPr="00330541">
        <w:rPr>
          <w:spacing w:val="-1"/>
          <w:rtl/>
          <w:lang w:val="fr-CH"/>
        </w:rPr>
        <w:t>، أصدر وزير العدل الإيطالي مرسوم تسليم، يأذن بتسليم صاحب البلاغ لتنفيذ أمر القبض عليه الصادر عن محكمة</w:t>
      </w:r>
      <w:r w:rsidR="00B934F4" w:rsidRPr="00330541">
        <w:rPr>
          <w:spacing w:val="-1"/>
          <w:rtl/>
          <w:lang w:val="en-GB"/>
        </w:rPr>
        <w:t xml:space="preserve"> </w:t>
      </w:r>
      <w:proofErr w:type="spellStart"/>
      <w:r w:rsidR="00B934F4" w:rsidRPr="00330541">
        <w:rPr>
          <w:spacing w:val="-1"/>
          <w:rtl/>
          <w:lang w:val="fr-CH" w:bidi="ar-DZ"/>
        </w:rPr>
        <w:t>شيركاسي</w:t>
      </w:r>
      <w:proofErr w:type="spellEnd"/>
      <w:r w:rsidR="00B934F4" w:rsidRPr="00330541">
        <w:rPr>
          <w:spacing w:val="-1"/>
          <w:rtl/>
          <w:lang w:val="fr-CH" w:bidi="ar-DZ"/>
        </w:rPr>
        <w:t xml:space="preserve"> في</w:t>
      </w:r>
      <w:r w:rsidR="00B934F4" w:rsidRPr="00330541">
        <w:rPr>
          <w:spacing w:val="-1"/>
          <w:rtl/>
          <w:lang w:val="en-GB"/>
        </w:rPr>
        <w:t xml:space="preserve"> </w:t>
      </w:r>
      <w:r w:rsidRPr="00754C8F">
        <w:rPr>
          <w:spacing w:val="-1"/>
          <w:szCs w:val="20"/>
          <w:rtl/>
          <w:lang w:val="fr-CH"/>
        </w:rPr>
        <w:t>30</w:t>
      </w:r>
      <w:r w:rsidR="00B934F4" w:rsidRPr="00330541">
        <w:rPr>
          <w:spacing w:val="-1"/>
          <w:rtl/>
          <w:lang w:val="fr-CH"/>
        </w:rPr>
        <w:t xml:space="preserve"> أيار/مايو </w:t>
      </w:r>
      <w:r w:rsidRPr="00754C8F">
        <w:rPr>
          <w:spacing w:val="-1"/>
          <w:szCs w:val="20"/>
          <w:rtl/>
          <w:lang w:val="fr-CH"/>
        </w:rPr>
        <w:t>2011</w:t>
      </w:r>
      <w:r w:rsidR="00B934F4" w:rsidRPr="00330541">
        <w:rPr>
          <w:spacing w:val="-1"/>
          <w:rtl/>
          <w:lang w:val="fr-CH"/>
        </w:rPr>
        <w:t xml:space="preserve"> بشأن جريمة السرقة.</w:t>
      </w:r>
      <w:r w:rsidR="00B934F4" w:rsidRPr="00330541">
        <w:rPr>
          <w:spacing w:val="-1"/>
          <w:rtl/>
          <w:lang w:val="en-GB"/>
        </w:rPr>
        <w:t xml:space="preserve"> </w:t>
      </w:r>
      <w:r w:rsidR="00B934F4" w:rsidRPr="00330541">
        <w:rPr>
          <w:spacing w:val="-1"/>
          <w:rtl/>
          <w:lang w:val="fr-CH"/>
        </w:rPr>
        <w:t>وأشار المرسوم إلى أنه، بالنظر إلى أن أوكرانيا عضو في مجلس أوروبا، وطرف في الاتفاقية الأوروبية لحقوق الإنسان والاتفاقية الأوروبية لتسليم المجرمين، لا يمكن الاحتجاج بأن المعاملة اللاإنسانية والمهينة منصوص عليها قانوناً في النظام القانوني الأوكراني، وأن حالة الغموض السياسي الراهنة في أوكرانيا لن تؤثر بشكل مباشر على صاحب البلاغ وعلى احتجازه.</w:t>
      </w:r>
      <w:r w:rsidR="00B934F4" w:rsidRPr="00330541">
        <w:rPr>
          <w:spacing w:val="-1"/>
          <w:rtl/>
          <w:lang w:val="fr-CH" w:bidi="ar-DZ"/>
        </w:rPr>
        <w:t xml:space="preserve"> ولم </w:t>
      </w:r>
      <w:r w:rsidR="00B934F4" w:rsidRPr="00330541">
        <w:rPr>
          <w:spacing w:val="-1"/>
          <w:rtl/>
          <w:lang w:val="fr-CH"/>
        </w:rPr>
        <w:t xml:space="preserve">يُسلم المرسوم لصاحب البلاغ ولم يُبلغ به، ولم يعلم بصدوره إلا في </w:t>
      </w:r>
      <w:r w:rsidRPr="00754C8F">
        <w:rPr>
          <w:spacing w:val="-1"/>
          <w:szCs w:val="20"/>
          <w:rtl/>
          <w:lang w:val="fr-CH"/>
        </w:rPr>
        <w:t>10</w:t>
      </w:r>
      <w:r w:rsidR="00B934F4" w:rsidRPr="00330541">
        <w:rPr>
          <w:spacing w:val="-1"/>
          <w:rtl/>
          <w:lang w:val="fr-CH"/>
        </w:rPr>
        <w:t xml:space="preserve"> أيلول/سبتمبر </w:t>
      </w:r>
      <w:r w:rsidRPr="00754C8F">
        <w:rPr>
          <w:spacing w:val="-1"/>
          <w:szCs w:val="20"/>
          <w:rtl/>
          <w:lang w:val="fr-CH"/>
        </w:rPr>
        <w:t>2014</w:t>
      </w:r>
      <w:r w:rsidR="00B934F4" w:rsidRPr="00330541">
        <w:rPr>
          <w:spacing w:val="-1"/>
          <w:rtl/>
          <w:lang w:val="fr-CH"/>
        </w:rPr>
        <w:t>، عندما اطلع شقيقه على ملف القضية في دائرة سجلات محكمة استئناف فينيسيا.</w:t>
      </w:r>
    </w:p>
    <w:p w:rsidR="00B934F4" w:rsidRPr="001A58C5" w:rsidRDefault="00754C8F" w:rsidP="00F03E26">
      <w:pPr>
        <w:pStyle w:val="SingleTxtGA"/>
        <w:spacing w:line="370" w:lineRule="exact"/>
        <w:rPr>
          <w:rtl/>
          <w:lang w:val="fr-CH"/>
        </w:rPr>
      </w:pPr>
      <w:r w:rsidRPr="001A58C5">
        <w:rPr>
          <w:spacing w:val="-4"/>
          <w:szCs w:val="20"/>
          <w:rtl/>
          <w:lang w:val="fr-CH"/>
        </w:rPr>
        <w:t>2</w:t>
      </w:r>
      <w:r w:rsidR="00B934F4" w:rsidRPr="001A58C5">
        <w:rPr>
          <w:spacing w:val="-4"/>
          <w:rtl/>
          <w:lang w:val="fr-CH"/>
        </w:rPr>
        <w:t>-</w:t>
      </w:r>
      <w:r w:rsidRPr="001A58C5">
        <w:rPr>
          <w:spacing w:val="-4"/>
          <w:szCs w:val="20"/>
          <w:rtl/>
          <w:lang w:val="fr-CH"/>
        </w:rPr>
        <w:t>10</w:t>
      </w:r>
      <w:r w:rsidR="00B934F4" w:rsidRPr="001A58C5">
        <w:rPr>
          <w:spacing w:val="-4"/>
          <w:rtl/>
          <w:lang w:val="en-GB"/>
        </w:rPr>
        <w:tab/>
      </w:r>
      <w:r w:rsidR="00B934F4" w:rsidRPr="001A58C5">
        <w:rPr>
          <w:spacing w:val="-4"/>
          <w:rtl/>
          <w:lang w:val="fr-CH"/>
        </w:rPr>
        <w:t xml:space="preserve">وفي </w:t>
      </w:r>
      <w:r w:rsidRPr="001A58C5">
        <w:rPr>
          <w:spacing w:val="-4"/>
          <w:szCs w:val="20"/>
          <w:rtl/>
          <w:lang w:val="fr-CH"/>
        </w:rPr>
        <w:t>11</w:t>
      </w:r>
      <w:r w:rsidR="00B934F4" w:rsidRPr="001A58C5">
        <w:rPr>
          <w:spacing w:val="-4"/>
          <w:rtl/>
          <w:lang w:val="fr-CH"/>
        </w:rPr>
        <w:t xml:space="preserve"> آب/أغسطس </w:t>
      </w:r>
      <w:r w:rsidRPr="001A58C5">
        <w:rPr>
          <w:spacing w:val="-4"/>
          <w:szCs w:val="20"/>
          <w:rtl/>
          <w:lang w:val="fr-CH"/>
        </w:rPr>
        <w:t>2014</w:t>
      </w:r>
      <w:r w:rsidR="00B934F4" w:rsidRPr="001A58C5">
        <w:rPr>
          <w:spacing w:val="-4"/>
          <w:rtl/>
          <w:lang w:val="fr-CH"/>
        </w:rPr>
        <w:t>، قدم صاحب البلاغ، دون معرفة بصدور مرسوم التسليم، طلبا</w:t>
      </w:r>
      <w:r w:rsidR="0046391F" w:rsidRPr="001A58C5">
        <w:rPr>
          <w:rFonts w:hint="cs"/>
          <w:spacing w:val="-4"/>
          <w:rtl/>
          <w:lang w:val="fr-CH"/>
        </w:rPr>
        <w:t>ً</w:t>
      </w:r>
      <w:r w:rsidR="00B934F4" w:rsidRPr="001A58C5">
        <w:rPr>
          <w:spacing w:val="-4"/>
          <w:rtl/>
          <w:lang w:val="fr-CH"/>
        </w:rPr>
        <w:t xml:space="preserve"> إلى المحكمة الأوروبية لحقوق الإنسان لاتخاذ تدابير مؤقتة.</w:t>
      </w:r>
      <w:r w:rsidR="00B934F4" w:rsidRPr="001A58C5">
        <w:rPr>
          <w:spacing w:val="-4"/>
          <w:rtl/>
          <w:lang w:val="en-GB"/>
        </w:rPr>
        <w:t xml:space="preserve"> </w:t>
      </w:r>
      <w:r w:rsidR="00B934F4" w:rsidRPr="001A58C5">
        <w:rPr>
          <w:spacing w:val="-4"/>
          <w:rtl/>
          <w:lang w:val="fr-CH"/>
        </w:rPr>
        <w:t xml:space="preserve">وفي </w:t>
      </w:r>
      <w:r w:rsidRPr="001A58C5">
        <w:rPr>
          <w:spacing w:val="-4"/>
          <w:szCs w:val="20"/>
          <w:rtl/>
          <w:lang w:val="fr-CH"/>
        </w:rPr>
        <w:t>17</w:t>
      </w:r>
      <w:r w:rsidR="00B934F4" w:rsidRPr="001A58C5">
        <w:rPr>
          <w:spacing w:val="-4"/>
          <w:rtl/>
          <w:lang w:val="fr-CH"/>
        </w:rPr>
        <w:t xml:space="preserve"> أيلول/سبتمبر</w:t>
      </w:r>
      <w:r w:rsidR="00F03E26" w:rsidRPr="001A58C5">
        <w:rPr>
          <w:rFonts w:hint="cs"/>
          <w:spacing w:val="-4"/>
          <w:rtl/>
          <w:lang w:val="fr-CH"/>
        </w:rPr>
        <w:t xml:space="preserve"> </w:t>
      </w:r>
      <w:r w:rsidRPr="001A58C5">
        <w:rPr>
          <w:spacing w:val="-4"/>
          <w:szCs w:val="20"/>
          <w:rtl/>
          <w:lang w:val="fr-CH"/>
        </w:rPr>
        <w:t>2014</w:t>
      </w:r>
      <w:r w:rsidR="00B934F4" w:rsidRPr="001A58C5">
        <w:rPr>
          <w:spacing w:val="-4"/>
          <w:rtl/>
          <w:lang w:val="fr-CH"/>
        </w:rPr>
        <w:t>، قررت المحكمة عدم اتخاذ تدابير مؤقتة، إلا أن صاحب البلاغ رغب في الإبقاء على طلبه.</w:t>
      </w:r>
      <w:r w:rsidR="00B934F4" w:rsidRPr="001A58C5">
        <w:rPr>
          <w:spacing w:val="-4"/>
          <w:rtl/>
          <w:lang w:val="en-GB"/>
        </w:rPr>
        <w:t xml:space="preserve"> </w:t>
      </w:r>
      <w:r w:rsidR="00B934F4" w:rsidRPr="001A58C5">
        <w:rPr>
          <w:spacing w:val="-4"/>
          <w:rtl/>
          <w:lang w:val="fr-CH"/>
        </w:rPr>
        <w:t>وفي</w:t>
      </w:r>
      <w:r w:rsidR="00F03E26" w:rsidRPr="001A58C5">
        <w:rPr>
          <w:rFonts w:hint="cs"/>
          <w:spacing w:val="-4"/>
          <w:rtl/>
          <w:lang w:val="fr-CH"/>
        </w:rPr>
        <w:t> </w:t>
      </w:r>
      <w:r w:rsidRPr="001A58C5">
        <w:rPr>
          <w:spacing w:val="-4"/>
          <w:szCs w:val="20"/>
          <w:rtl/>
          <w:lang w:val="fr-CH"/>
        </w:rPr>
        <w:t>20</w:t>
      </w:r>
      <w:r w:rsidR="00B934F4" w:rsidRPr="001A58C5">
        <w:rPr>
          <w:spacing w:val="-4"/>
          <w:rtl/>
          <w:lang w:val="fr-CH"/>
        </w:rPr>
        <w:t xml:space="preserve"> تشرين الثاني/نوفمبر </w:t>
      </w:r>
      <w:r w:rsidRPr="001A58C5">
        <w:rPr>
          <w:spacing w:val="-4"/>
          <w:szCs w:val="20"/>
          <w:rtl/>
          <w:lang w:val="fr-CH"/>
        </w:rPr>
        <w:t>2014</w:t>
      </w:r>
      <w:r w:rsidR="00B934F4" w:rsidRPr="001A58C5">
        <w:rPr>
          <w:spacing w:val="-4"/>
          <w:rtl/>
          <w:lang w:val="fr-CH"/>
        </w:rPr>
        <w:t xml:space="preserve">، </w:t>
      </w:r>
      <w:r w:rsidR="00B934F4" w:rsidRPr="001A58C5">
        <w:rPr>
          <w:rtl/>
          <w:lang w:val="fr-CH"/>
        </w:rPr>
        <w:t xml:space="preserve">أُبلغ بأن المحكمة، المنعقدة بقاضٍ واحد، قررت في </w:t>
      </w:r>
      <w:r w:rsidRPr="001A58C5">
        <w:rPr>
          <w:szCs w:val="20"/>
          <w:rtl/>
          <w:lang w:val="fr-CH"/>
        </w:rPr>
        <w:t>30</w:t>
      </w:r>
      <w:r w:rsidR="00B934F4" w:rsidRPr="001A58C5">
        <w:rPr>
          <w:rtl/>
          <w:lang w:val="fr-CH"/>
        </w:rPr>
        <w:t xml:space="preserve"> تشرين الأول/أكتوبر </w:t>
      </w:r>
      <w:r w:rsidRPr="001A58C5">
        <w:rPr>
          <w:szCs w:val="20"/>
          <w:rtl/>
          <w:lang w:val="fr-CH"/>
        </w:rPr>
        <w:t>2014</w:t>
      </w:r>
      <w:r w:rsidR="00B934F4" w:rsidRPr="001A58C5">
        <w:rPr>
          <w:rtl/>
          <w:lang w:val="fr-CH"/>
        </w:rPr>
        <w:t xml:space="preserve"> </w:t>
      </w:r>
      <w:proofErr w:type="spellStart"/>
      <w:r w:rsidR="00B934F4" w:rsidRPr="001A58C5">
        <w:rPr>
          <w:rtl/>
          <w:lang w:val="fr-CH"/>
        </w:rPr>
        <w:t>و</w:t>
      </w:r>
      <w:r w:rsidRPr="001A58C5">
        <w:rPr>
          <w:szCs w:val="20"/>
          <w:rtl/>
          <w:lang w:val="fr-CH"/>
        </w:rPr>
        <w:t>13</w:t>
      </w:r>
      <w:proofErr w:type="spellEnd"/>
      <w:r w:rsidR="00B934F4" w:rsidRPr="001A58C5">
        <w:rPr>
          <w:rtl/>
          <w:lang w:val="fr-CH"/>
        </w:rPr>
        <w:t xml:space="preserve"> تشرين الثاني/نوفمبر </w:t>
      </w:r>
      <w:r w:rsidRPr="001A58C5">
        <w:rPr>
          <w:szCs w:val="20"/>
          <w:rtl/>
          <w:lang w:val="fr-CH"/>
        </w:rPr>
        <w:t>2014</w:t>
      </w:r>
      <w:r w:rsidR="00B934F4" w:rsidRPr="001A58C5">
        <w:rPr>
          <w:rtl/>
          <w:lang w:val="fr-CH"/>
        </w:rPr>
        <w:t xml:space="preserve"> إعلان عدم مقبولية </w:t>
      </w:r>
      <w:proofErr w:type="gramStart"/>
      <w:r w:rsidR="00B934F4" w:rsidRPr="001A58C5">
        <w:rPr>
          <w:rtl/>
          <w:lang w:val="fr-CH"/>
        </w:rPr>
        <w:t>طلبه</w:t>
      </w:r>
      <w:r w:rsidR="00330541" w:rsidRPr="001A58C5">
        <w:rPr>
          <w:vertAlign w:val="superscript"/>
          <w:rtl/>
          <w:lang w:val="en-GB"/>
        </w:rPr>
        <w:t>(</w:t>
      </w:r>
      <w:proofErr w:type="gramEnd"/>
      <w:r w:rsidR="00330541" w:rsidRPr="001A58C5">
        <w:rPr>
          <w:rFonts w:cs="Times New Roman"/>
          <w:position w:val="4"/>
          <w:vertAlign w:val="superscript"/>
        </w:rPr>
        <w:footnoteReference w:id="7"/>
      </w:r>
      <w:r w:rsidR="00330541" w:rsidRPr="001A58C5">
        <w:rPr>
          <w:vertAlign w:val="superscript"/>
          <w:rtl/>
          <w:lang w:val="en-GB"/>
        </w:rPr>
        <w:t>)</w:t>
      </w:r>
      <w:r w:rsidR="00B934F4" w:rsidRPr="001A58C5">
        <w:rPr>
          <w:rtl/>
          <w:lang w:val="fr-CH"/>
        </w:rPr>
        <w:t>.</w:t>
      </w:r>
    </w:p>
    <w:p w:rsidR="00B934F4" w:rsidRPr="00B934F4" w:rsidRDefault="00B934F4" w:rsidP="00A64834">
      <w:pPr>
        <w:pStyle w:val="H23GA"/>
        <w:keepNext/>
        <w:keepLines/>
        <w:rPr>
          <w:rtl/>
          <w:lang w:val="fr-CH"/>
        </w:rPr>
      </w:pPr>
      <w:r w:rsidRPr="00B934F4">
        <w:rPr>
          <w:rtl/>
          <w:lang w:val="en-GB"/>
        </w:rPr>
        <w:tab/>
      </w:r>
      <w:r w:rsidRPr="00B934F4">
        <w:rPr>
          <w:rtl/>
          <w:lang w:val="en-GB"/>
        </w:rPr>
        <w:tab/>
      </w:r>
      <w:r w:rsidRPr="00B934F4">
        <w:rPr>
          <w:rtl/>
          <w:lang w:val="fr-CH"/>
        </w:rPr>
        <w:t>الشكوى</w:t>
      </w:r>
    </w:p>
    <w:p w:rsidR="00B934F4" w:rsidRPr="00B934F4" w:rsidRDefault="00754C8F" w:rsidP="00F03E26">
      <w:pPr>
        <w:pStyle w:val="SingleTxtGA"/>
        <w:spacing w:line="370" w:lineRule="exact"/>
        <w:rPr>
          <w:rtl/>
          <w:lang w:val="fr-CH"/>
        </w:rPr>
      </w:pPr>
      <w:r w:rsidRPr="00754C8F">
        <w:rPr>
          <w:szCs w:val="20"/>
          <w:rtl/>
          <w:lang w:val="fr-CH"/>
        </w:rPr>
        <w:t>3</w:t>
      </w:r>
      <w:r w:rsidR="00B934F4" w:rsidRPr="00B934F4">
        <w:rPr>
          <w:rtl/>
          <w:lang w:val="fr-CH"/>
        </w:rPr>
        <w:t>-</w:t>
      </w:r>
      <w:r w:rsidRPr="00754C8F">
        <w:rPr>
          <w:szCs w:val="20"/>
          <w:rtl/>
          <w:lang w:val="fr-CH"/>
        </w:rPr>
        <w:t>1</w:t>
      </w:r>
      <w:r w:rsidR="00B934F4" w:rsidRPr="00B934F4">
        <w:rPr>
          <w:rtl/>
          <w:lang w:val="en-GB"/>
        </w:rPr>
        <w:tab/>
      </w:r>
      <w:r w:rsidR="00B934F4" w:rsidRPr="00B934F4">
        <w:rPr>
          <w:rtl/>
          <w:lang w:val="fr-CH"/>
        </w:rPr>
        <w:t>يحتج صاحب البلاغ، في رسالته الأولى، بأسس جوهرية تدعو إلى الاعتقاد بأنه، إذا سُلم إلى أوكرانيا، سي</w:t>
      </w:r>
      <w:r w:rsidR="00B934F4" w:rsidRPr="00B934F4">
        <w:rPr>
          <w:rtl/>
          <w:lang w:val="fr-CH" w:bidi="ar-DZ"/>
        </w:rPr>
        <w:t xml:space="preserve">واجه </w:t>
      </w:r>
      <w:r w:rsidR="00B934F4" w:rsidRPr="00B934F4">
        <w:rPr>
          <w:rtl/>
          <w:lang w:val="fr-CH"/>
        </w:rPr>
        <w:t>بالفعل خطر التعرض للعديد من الانتهاكات الجسيمة للحقوق والحريات التي يكفلها العهد.</w:t>
      </w:r>
      <w:r w:rsidR="00B934F4" w:rsidRPr="00B934F4">
        <w:rPr>
          <w:rtl/>
          <w:lang w:val="en-GB"/>
        </w:rPr>
        <w:t xml:space="preserve"> </w:t>
      </w:r>
      <w:r w:rsidR="00B934F4" w:rsidRPr="00B934F4">
        <w:rPr>
          <w:rtl/>
          <w:lang w:val="fr-CH"/>
        </w:rPr>
        <w:t>ولا يدعي صاحب البلاغ أن التسليم في حد ذاته ينتهك العهد، وإنما أن الظروف الخاصة المتعلقة بآثار تسليمه ستثير مسائل تندرج ضمن أحكام محددة من العهد، لأنه إذا سلمت دولة طرف شخصاً خاضعاً لولايتها القضائية في ظروف من هذا القبيل، يترتب عليها خطر</w:t>
      </w:r>
      <w:r w:rsidR="00330541">
        <w:rPr>
          <w:rFonts w:hint="cs"/>
          <w:rtl/>
          <w:lang w:val="fr-CH"/>
        </w:rPr>
        <w:t xml:space="preserve"> </w:t>
      </w:r>
      <w:r w:rsidR="00B934F4" w:rsidRPr="00B934F4">
        <w:rPr>
          <w:rtl/>
          <w:lang w:val="fr-CH"/>
        </w:rPr>
        <w:t xml:space="preserve">حقيقي يتمثل في تعرض حقوقه المكفولة بالعهد للانتهاك في ولاية قضائية أخرى، فإن الدولة الطرف نفسها قد تكون منتهكة </w:t>
      </w:r>
      <w:proofErr w:type="gramStart"/>
      <w:r w:rsidR="00B934F4" w:rsidRPr="00B934F4">
        <w:rPr>
          <w:rtl/>
          <w:lang w:val="fr-CH"/>
        </w:rPr>
        <w:t>للعهد</w:t>
      </w:r>
      <w:r w:rsidR="00330541">
        <w:rPr>
          <w:vertAlign w:val="superscript"/>
          <w:rtl/>
          <w:lang w:val="en-GB"/>
        </w:rPr>
        <w:t>(</w:t>
      </w:r>
      <w:proofErr w:type="gramEnd"/>
      <w:r w:rsidR="00330541" w:rsidRPr="00754C8F">
        <w:rPr>
          <w:rFonts w:cs="Times New Roman"/>
          <w:position w:val="4"/>
          <w:vertAlign w:val="superscript"/>
        </w:rPr>
        <w:footnoteReference w:id="8"/>
      </w:r>
      <w:r w:rsidR="00330541">
        <w:rPr>
          <w:vertAlign w:val="superscript"/>
          <w:rtl/>
          <w:lang w:val="en-GB"/>
        </w:rPr>
        <w:t>)</w:t>
      </w:r>
      <w:r w:rsidR="00B934F4" w:rsidRPr="00B934F4">
        <w:rPr>
          <w:rtl/>
          <w:lang w:val="fr-CH"/>
        </w:rPr>
        <w:t>.</w:t>
      </w:r>
    </w:p>
    <w:p w:rsidR="00B934F4" w:rsidRPr="00F03E26" w:rsidRDefault="00754C8F" w:rsidP="00B934F4">
      <w:pPr>
        <w:pStyle w:val="SingleTxtGA"/>
        <w:rPr>
          <w:rtl/>
          <w:lang w:val="fr-CH"/>
        </w:rPr>
      </w:pPr>
      <w:r w:rsidRPr="00754C8F">
        <w:rPr>
          <w:spacing w:val="-2"/>
          <w:szCs w:val="20"/>
          <w:rtl/>
          <w:lang w:val="fr-CH"/>
        </w:rPr>
        <w:t>3</w:t>
      </w:r>
      <w:r w:rsidR="00B934F4" w:rsidRPr="00F03E26">
        <w:rPr>
          <w:spacing w:val="-2"/>
          <w:rtl/>
          <w:lang w:val="fr-CH"/>
        </w:rPr>
        <w:t>-</w:t>
      </w:r>
      <w:r w:rsidRPr="00754C8F">
        <w:rPr>
          <w:spacing w:val="-2"/>
          <w:szCs w:val="20"/>
          <w:rtl/>
          <w:lang w:val="fr-CH"/>
        </w:rPr>
        <w:t>2</w:t>
      </w:r>
      <w:r w:rsidR="00B934F4" w:rsidRPr="00F03E26">
        <w:rPr>
          <w:spacing w:val="-2"/>
          <w:rtl/>
          <w:lang w:val="en-GB"/>
        </w:rPr>
        <w:tab/>
      </w:r>
      <w:r w:rsidR="00B934F4" w:rsidRPr="00F03E26">
        <w:rPr>
          <w:spacing w:val="-2"/>
          <w:rtl/>
          <w:lang w:val="fr-CH" w:bidi="ar-DZ"/>
        </w:rPr>
        <w:t xml:space="preserve">وتثبت </w:t>
      </w:r>
      <w:r w:rsidR="00B934F4" w:rsidRPr="00F03E26">
        <w:rPr>
          <w:spacing w:val="-2"/>
          <w:rtl/>
          <w:lang w:val="fr-CH"/>
        </w:rPr>
        <w:t>التقارير والأحكام الصادرة عن المحاكم الدولية والمحلية، بما لا يدع مجالا</w:t>
      </w:r>
      <w:r w:rsidR="0046391F" w:rsidRPr="00F03E26">
        <w:rPr>
          <w:rFonts w:hint="cs"/>
          <w:spacing w:val="-2"/>
          <w:rtl/>
          <w:lang w:val="fr-CH"/>
        </w:rPr>
        <w:t>ً</w:t>
      </w:r>
      <w:r w:rsidR="00B934F4" w:rsidRPr="00F03E26">
        <w:rPr>
          <w:spacing w:val="-2"/>
          <w:rtl/>
          <w:lang w:val="fr-CH"/>
        </w:rPr>
        <w:t xml:space="preserve"> لأي شك معقول، وجود أسس قوية تدعو إلى الاعتقاد بأن صاحب البلاغ سيواجه بالفعل، في حال </w:t>
      </w:r>
      <w:r w:rsidR="00B934F4" w:rsidRPr="00F03E26">
        <w:rPr>
          <w:rtl/>
          <w:lang w:val="fr-CH"/>
        </w:rPr>
        <w:t>تسليمه، خطر التعرض لانتهاكات جسيمة لحقوقه المكفولة بالعهد، مما يسبب ضررا</w:t>
      </w:r>
      <w:r w:rsidR="0046391F" w:rsidRPr="00F03E26">
        <w:rPr>
          <w:rFonts w:hint="cs"/>
          <w:rtl/>
          <w:lang w:val="fr-CH"/>
        </w:rPr>
        <w:t>ً</w:t>
      </w:r>
      <w:r w:rsidR="00B934F4" w:rsidRPr="00F03E26">
        <w:rPr>
          <w:rtl/>
          <w:lang w:val="fr-CH"/>
        </w:rPr>
        <w:t xml:space="preserve"> لا</w:t>
      </w:r>
      <w:r w:rsidR="0046391F" w:rsidRPr="00F03E26">
        <w:rPr>
          <w:rFonts w:hint="cs"/>
          <w:rtl/>
          <w:lang w:val="fr-CH"/>
        </w:rPr>
        <w:t> </w:t>
      </w:r>
      <w:r w:rsidR="00B934F4" w:rsidRPr="00F03E26">
        <w:rPr>
          <w:rtl/>
          <w:lang w:val="fr-CH"/>
        </w:rPr>
        <w:t>يمكن إصلاحه.</w:t>
      </w:r>
      <w:r w:rsidR="00B934F4" w:rsidRPr="00F03E26">
        <w:rPr>
          <w:rtl/>
          <w:lang w:val="en-GB"/>
        </w:rPr>
        <w:t xml:space="preserve"> </w:t>
      </w:r>
      <w:r w:rsidR="00B934F4" w:rsidRPr="00F03E26">
        <w:rPr>
          <w:rtl/>
          <w:lang w:val="fr-CH"/>
        </w:rPr>
        <w:t>وعلى وجه الخصوص، يخشى صاحب البلاغ أن يتعرض لدى عودته إلى أوكرانيا إلى</w:t>
      </w:r>
      <w:r w:rsidR="00F03E26">
        <w:rPr>
          <w:rFonts w:hint="cs"/>
          <w:rtl/>
          <w:lang w:val="fr-CH"/>
        </w:rPr>
        <w:t> </w:t>
      </w:r>
      <w:r w:rsidR="00B934F4" w:rsidRPr="00F03E26">
        <w:rPr>
          <w:rtl/>
          <w:lang w:val="fr-CH"/>
        </w:rPr>
        <w:t>(أ) معاملة قاسية ولا</w:t>
      </w:r>
      <w:r w:rsidR="00BA1826" w:rsidRPr="00F03E26">
        <w:rPr>
          <w:rFonts w:hint="cs"/>
          <w:rtl/>
          <w:lang w:val="fr-CH"/>
        </w:rPr>
        <w:t> </w:t>
      </w:r>
      <w:r w:rsidR="00B934F4" w:rsidRPr="00F03E26">
        <w:rPr>
          <w:rtl/>
          <w:lang w:val="fr-CH"/>
        </w:rPr>
        <w:t xml:space="preserve">إنسانية ومهينة، بما يخالف المادتين </w:t>
      </w:r>
      <w:r w:rsidRPr="00754C8F">
        <w:rPr>
          <w:szCs w:val="20"/>
          <w:rtl/>
          <w:lang w:val="fr-CH"/>
        </w:rPr>
        <w:t>7</w:t>
      </w:r>
      <w:r w:rsidR="00B934F4" w:rsidRPr="00F03E26">
        <w:rPr>
          <w:rtl/>
          <w:lang w:val="fr-CH"/>
        </w:rPr>
        <w:t xml:space="preserve"> </w:t>
      </w:r>
      <w:proofErr w:type="spellStart"/>
      <w:r w:rsidR="00B934F4" w:rsidRPr="00F03E26">
        <w:rPr>
          <w:rtl/>
          <w:lang w:val="fr-CH"/>
        </w:rPr>
        <w:t>و</w:t>
      </w:r>
      <w:r w:rsidRPr="00754C8F">
        <w:rPr>
          <w:szCs w:val="20"/>
          <w:rtl/>
          <w:lang w:val="fr-CH"/>
        </w:rPr>
        <w:t>10</w:t>
      </w:r>
      <w:proofErr w:type="spellEnd"/>
      <w:r w:rsidR="00B934F4" w:rsidRPr="00F03E26">
        <w:rPr>
          <w:rtl/>
          <w:lang w:val="fr-CH"/>
        </w:rPr>
        <w:t>(</w:t>
      </w:r>
      <w:r w:rsidRPr="00754C8F">
        <w:rPr>
          <w:szCs w:val="20"/>
          <w:rtl/>
          <w:lang w:val="fr-CH"/>
        </w:rPr>
        <w:t>1</w:t>
      </w:r>
      <w:r w:rsidR="00B934F4" w:rsidRPr="00F03E26">
        <w:rPr>
          <w:rtl/>
          <w:lang w:val="fr-CH"/>
        </w:rPr>
        <w:t>) و(</w:t>
      </w:r>
      <w:r w:rsidRPr="00754C8F">
        <w:rPr>
          <w:szCs w:val="20"/>
          <w:rtl/>
          <w:lang w:val="fr-CH"/>
        </w:rPr>
        <w:t>2</w:t>
      </w:r>
      <w:r w:rsidR="00B934F4" w:rsidRPr="00F03E26">
        <w:rPr>
          <w:rtl/>
          <w:lang w:val="fr-CH"/>
        </w:rPr>
        <w:t>)(أ)؛</w:t>
      </w:r>
      <w:r w:rsidR="00B934F4" w:rsidRPr="00F03E26">
        <w:rPr>
          <w:rtl/>
          <w:lang w:val="en-GB"/>
        </w:rPr>
        <w:t xml:space="preserve"> </w:t>
      </w:r>
      <w:r w:rsidR="00B934F4" w:rsidRPr="00F03E26">
        <w:rPr>
          <w:rtl/>
          <w:lang w:val="fr-CH"/>
        </w:rPr>
        <w:t>(ب)</w:t>
      </w:r>
      <w:r w:rsidR="00C173B7" w:rsidRPr="00F03E26">
        <w:rPr>
          <w:rFonts w:hint="cs"/>
          <w:rtl/>
          <w:lang w:val="fr-CH"/>
        </w:rPr>
        <w:t> </w:t>
      </w:r>
      <w:r w:rsidR="00B934F4" w:rsidRPr="00F03E26">
        <w:rPr>
          <w:rtl/>
          <w:lang w:val="fr-CH"/>
        </w:rPr>
        <w:t xml:space="preserve">التعذيب أثناء الاحتجاز السابق للمحاكمة، بما ينتهك المادة </w:t>
      </w:r>
      <w:r w:rsidRPr="00754C8F">
        <w:rPr>
          <w:szCs w:val="20"/>
          <w:rtl/>
          <w:lang w:val="fr-CH"/>
        </w:rPr>
        <w:t>7</w:t>
      </w:r>
      <w:r w:rsidR="00B934F4" w:rsidRPr="00F03E26">
        <w:rPr>
          <w:rtl/>
          <w:lang w:val="fr-CH"/>
        </w:rPr>
        <w:t xml:space="preserve">؛ (ج) الاحتجاز المؤقت إلى أجل غير مسمى والحرمان من الحق في المراجعة الدورية لمشروعية احتجازه، بما يخالف أحكام المادة </w:t>
      </w:r>
      <w:r w:rsidRPr="00754C8F">
        <w:rPr>
          <w:szCs w:val="20"/>
          <w:rtl/>
          <w:lang w:val="fr-CH"/>
        </w:rPr>
        <w:t>9</w:t>
      </w:r>
      <w:r w:rsidR="00B934F4" w:rsidRPr="00F03E26">
        <w:rPr>
          <w:rtl/>
          <w:lang w:val="fr-CH"/>
        </w:rPr>
        <w:t>(</w:t>
      </w:r>
      <w:r w:rsidRPr="00754C8F">
        <w:rPr>
          <w:szCs w:val="20"/>
          <w:rtl/>
          <w:lang w:val="fr-CH"/>
        </w:rPr>
        <w:t>1</w:t>
      </w:r>
      <w:r w:rsidR="00B934F4" w:rsidRPr="00F03E26">
        <w:rPr>
          <w:rtl/>
          <w:lang w:val="fr-CH"/>
        </w:rPr>
        <w:t>)، (</w:t>
      </w:r>
      <w:r w:rsidRPr="00754C8F">
        <w:rPr>
          <w:szCs w:val="20"/>
          <w:rtl/>
          <w:lang w:val="fr-CH"/>
        </w:rPr>
        <w:t>3</w:t>
      </w:r>
      <w:r w:rsidR="00B934F4" w:rsidRPr="00F03E26">
        <w:rPr>
          <w:rtl/>
          <w:lang w:val="fr-CH"/>
        </w:rPr>
        <w:t>) و(</w:t>
      </w:r>
      <w:r w:rsidRPr="00754C8F">
        <w:rPr>
          <w:szCs w:val="20"/>
          <w:rtl/>
          <w:lang w:val="fr-CH"/>
        </w:rPr>
        <w:t>4</w:t>
      </w:r>
      <w:r w:rsidR="00B934F4" w:rsidRPr="00F03E26">
        <w:rPr>
          <w:rtl/>
          <w:lang w:val="fr-CH"/>
        </w:rPr>
        <w:t>).</w:t>
      </w:r>
    </w:p>
    <w:p w:rsidR="00B934F4" w:rsidRPr="00F03E26" w:rsidRDefault="00754C8F" w:rsidP="00F03E26">
      <w:pPr>
        <w:pStyle w:val="SingleTxtGA"/>
        <w:spacing w:line="376" w:lineRule="exact"/>
        <w:rPr>
          <w:spacing w:val="-2"/>
          <w:rtl/>
        </w:rPr>
      </w:pPr>
      <w:r w:rsidRPr="00754C8F">
        <w:rPr>
          <w:spacing w:val="-2"/>
          <w:szCs w:val="20"/>
          <w:rtl/>
          <w:lang w:val="fr-CH"/>
        </w:rPr>
        <w:t>3</w:t>
      </w:r>
      <w:r w:rsidR="00B934F4" w:rsidRPr="00F03E26">
        <w:rPr>
          <w:spacing w:val="-2"/>
          <w:rtl/>
          <w:lang w:val="fr-CH"/>
        </w:rPr>
        <w:t>-</w:t>
      </w:r>
      <w:r w:rsidRPr="00754C8F">
        <w:rPr>
          <w:spacing w:val="-2"/>
          <w:szCs w:val="20"/>
          <w:rtl/>
          <w:lang w:val="fr-CH"/>
        </w:rPr>
        <w:t>3</w:t>
      </w:r>
      <w:r w:rsidR="00B934F4" w:rsidRPr="00F03E26">
        <w:rPr>
          <w:spacing w:val="-2"/>
          <w:rtl/>
          <w:lang w:val="en-GB"/>
        </w:rPr>
        <w:tab/>
      </w:r>
      <w:r w:rsidR="00B934F4" w:rsidRPr="00F03E26">
        <w:rPr>
          <w:spacing w:val="-2"/>
          <w:rtl/>
          <w:lang w:val="fr-CH" w:bidi="ar-DZ"/>
        </w:rPr>
        <w:t>و</w:t>
      </w:r>
      <w:r w:rsidR="00B934F4" w:rsidRPr="00F03E26">
        <w:rPr>
          <w:spacing w:val="-2"/>
          <w:rtl/>
          <w:lang w:val="fr-CH"/>
        </w:rPr>
        <w:t xml:space="preserve">استناداً إلى المادة </w:t>
      </w:r>
      <w:r w:rsidRPr="00754C8F">
        <w:rPr>
          <w:spacing w:val="-2"/>
          <w:szCs w:val="20"/>
          <w:rtl/>
          <w:lang w:val="fr-CH"/>
        </w:rPr>
        <w:t>7</w:t>
      </w:r>
      <w:r w:rsidR="00B934F4" w:rsidRPr="00F03E26">
        <w:rPr>
          <w:spacing w:val="-2"/>
          <w:rtl/>
          <w:lang w:val="fr-CH"/>
        </w:rPr>
        <w:t xml:space="preserve"> من العهد، يدعي صاحب البلاغ أن إيطاليا ملزمة بإجراء تقييم شامل للمعلومات التي كانت معروفة </w:t>
      </w:r>
      <w:r w:rsidR="005E1C49" w:rsidRPr="00F03E26">
        <w:rPr>
          <w:rFonts w:hint="cs"/>
          <w:spacing w:val="-2"/>
          <w:rtl/>
          <w:lang w:val="fr-CH"/>
        </w:rPr>
        <w:t>-</w:t>
      </w:r>
      <w:r w:rsidR="005E1C49" w:rsidRPr="00F03E26">
        <w:rPr>
          <w:spacing w:val="-2"/>
          <w:rtl/>
          <w:lang w:val="fr-CH"/>
        </w:rPr>
        <w:t xml:space="preserve"> </w:t>
      </w:r>
      <w:r w:rsidR="00B934F4" w:rsidRPr="00F03E26">
        <w:rPr>
          <w:spacing w:val="-2"/>
          <w:rtl/>
          <w:lang w:val="fr-CH"/>
        </w:rPr>
        <w:t xml:space="preserve">أو التي كان ينبغي أن تكون معروفة </w:t>
      </w:r>
      <w:r w:rsidR="0046391F" w:rsidRPr="00F03E26">
        <w:rPr>
          <w:rFonts w:hint="cs"/>
          <w:spacing w:val="-2"/>
          <w:rtl/>
          <w:lang w:val="fr-CH"/>
        </w:rPr>
        <w:t xml:space="preserve">- </w:t>
      </w:r>
      <w:r w:rsidR="00B934F4" w:rsidRPr="00F03E26">
        <w:rPr>
          <w:spacing w:val="-2"/>
          <w:rtl/>
          <w:lang w:val="fr-CH"/>
        </w:rPr>
        <w:t>للسلطات الإيطالية في وقت اتخاذ القرار المتعلق بالتسليم، والتي لها أهمية في تحديد المخاطر المرتبطة بالتسليم.</w:t>
      </w:r>
      <w:r w:rsidR="00B934F4" w:rsidRPr="00F03E26">
        <w:rPr>
          <w:spacing w:val="-2"/>
          <w:rtl/>
          <w:lang w:val="en-GB"/>
        </w:rPr>
        <w:t xml:space="preserve"> </w:t>
      </w:r>
      <w:r w:rsidR="00B934F4" w:rsidRPr="00F03E26">
        <w:rPr>
          <w:spacing w:val="-2"/>
          <w:rtl/>
          <w:lang w:val="fr-CH" w:bidi="ar-DZ"/>
        </w:rPr>
        <w:t xml:space="preserve">ويجب ألا يكون </w:t>
      </w:r>
      <w:r w:rsidR="00B934F4" w:rsidRPr="00F03E26">
        <w:rPr>
          <w:spacing w:val="-2"/>
          <w:rtl/>
          <w:lang w:val="fr-CH"/>
        </w:rPr>
        <w:t xml:space="preserve">هذا التقييم مجرد إجراء شكلي، بل يجب أن يكون </w:t>
      </w:r>
      <w:proofErr w:type="gramStart"/>
      <w:r w:rsidR="00B934F4" w:rsidRPr="00F03E26">
        <w:rPr>
          <w:spacing w:val="-2"/>
          <w:rtl/>
          <w:lang w:val="fr-CH"/>
        </w:rPr>
        <w:t>فعالاً</w:t>
      </w:r>
      <w:r w:rsidR="00330541" w:rsidRPr="00F03E26">
        <w:rPr>
          <w:spacing w:val="-2"/>
          <w:vertAlign w:val="superscript"/>
          <w:rtl/>
          <w:lang w:val="en-GB"/>
        </w:rPr>
        <w:t>(</w:t>
      </w:r>
      <w:proofErr w:type="gramEnd"/>
      <w:r w:rsidR="00330541" w:rsidRPr="00754C8F">
        <w:rPr>
          <w:rFonts w:cs="Times New Roman"/>
          <w:spacing w:val="-2"/>
          <w:position w:val="4"/>
          <w:vertAlign w:val="superscript"/>
        </w:rPr>
        <w:footnoteReference w:id="9"/>
      </w:r>
      <w:r w:rsidR="00330541" w:rsidRPr="00F03E26">
        <w:rPr>
          <w:spacing w:val="-2"/>
          <w:vertAlign w:val="superscript"/>
          <w:rtl/>
          <w:lang w:val="en-GB"/>
        </w:rPr>
        <w:t>)</w:t>
      </w:r>
      <w:r w:rsidR="00B934F4" w:rsidRPr="00F03E26">
        <w:rPr>
          <w:spacing w:val="-2"/>
          <w:rtl/>
          <w:lang w:val="fr-CH"/>
        </w:rPr>
        <w:t>.</w:t>
      </w:r>
      <w:r w:rsidR="00B934F4" w:rsidRPr="00F03E26">
        <w:rPr>
          <w:spacing w:val="-2"/>
          <w:rtl/>
          <w:lang w:val="en-GB"/>
        </w:rPr>
        <w:t xml:space="preserve"> </w:t>
      </w:r>
      <w:r w:rsidR="00B934F4" w:rsidRPr="00F03E26">
        <w:rPr>
          <w:spacing w:val="-2"/>
          <w:rtl/>
          <w:lang w:val="fr-CH"/>
        </w:rPr>
        <w:t xml:space="preserve">ولم تطلب السلطات الإيطالية أيضاً من أوكرانيا </w:t>
      </w:r>
      <w:r w:rsidR="00B934F4" w:rsidRPr="00F03E26">
        <w:rPr>
          <w:spacing w:val="-2"/>
          <w:rtl/>
          <w:lang w:val="fr-CH"/>
        </w:rPr>
        <w:lastRenderedPageBreak/>
        <w:t xml:space="preserve">أي شكل من الضمانات بشأن المعاملة التي سيتلقاها في السجن لدى </w:t>
      </w:r>
      <w:proofErr w:type="gramStart"/>
      <w:r w:rsidR="00B934F4" w:rsidRPr="00F03E26">
        <w:rPr>
          <w:spacing w:val="-2"/>
          <w:rtl/>
          <w:lang w:val="fr-CH"/>
        </w:rPr>
        <w:t>عودته</w:t>
      </w:r>
      <w:r w:rsidR="00330541" w:rsidRPr="00F03E26">
        <w:rPr>
          <w:spacing w:val="-2"/>
          <w:vertAlign w:val="superscript"/>
          <w:rtl/>
          <w:lang w:val="en-GB"/>
        </w:rPr>
        <w:t>(</w:t>
      </w:r>
      <w:proofErr w:type="gramEnd"/>
      <w:r w:rsidR="00330541" w:rsidRPr="00754C8F">
        <w:rPr>
          <w:rFonts w:cs="Times New Roman"/>
          <w:spacing w:val="-2"/>
          <w:position w:val="4"/>
          <w:vertAlign w:val="superscript"/>
        </w:rPr>
        <w:footnoteReference w:id="10"/>
      </w:r>
      <w:r w:rsidR="00330541" w:rsidRPr="00F03E26">
        <w:rPr>
          <w:spacing w:val="-2"/>
          <w:vertAlign w:val="superscript"/>
          <w:rtl/>
          <w:lang w:val="en-GB"/>
        </w:rPr>
        <w:t>)</w:t>
      </w:r>
      <w:r w:rsidR="00B934F4" w:rsidRPr="00F03E26">
        <w:rPr>
          <w:spacing w:val="-2"/>
          <w:rtl/>
          <w:lang w:val="fr-CH"/>
        </w:rPr>
        <w:t>.</w:t>
      </w:r>
      <w:r w:rsidR="00B934F4" w:rsidRPr="00F03E26">
        <w:rPr>
          <w:spacing w:val="-2"/>
          <w:rtl/>
          <w:lang w:val="en-GB"/>
        </w:rPr>
        <w:t xml:space="preserve"> </w:t>
      </w:r>
      <w:r w:rsidR="00B934F4" w:rsidRPr="00F03E26">
        <w:rPr>
          <w:spacing w:val="-2"/>
          <w:rtl/>
          <w:lang w:val="fr-CH"/>
        </w:rPr>
        <w:t>وبدلاً من ذلك، أذنت السلطات الإيطالية بتسليمه إلى بلد معروف عنه لدى اللجنة "شيوع التعذيب وإساءة المعاملة من جانب سلطات إنفاذ القانون"</w:t>
      </w:r>
      <w:r w:rsidR="00330541" w:rsidRPr="00F03E26">
        <w:rPr>
          <w:spacing w:val="-2"/>
          <w:vertAlign w:val="superscript"/>
          <w:rtl/>
          <w:lang w:val="en-GB"/>
        </w:rPr>
        <w:t>(</w:t>
      </w:r>
      <w:r w:rsidR="00330541" w:rsidRPr="00754C8F">
        <w:rPr>
          <w:rFonts w:cs="Times New Roman"/>
          <w:spacing w:val="-2"/>
          <w:position w:val="4"/>
          <w:vertAlign w:val="superscript"/>
        </w:rPr>
        <w:footnoteReference w:id="11"/>
      </w:r>
      <w:r w:rsidR="00330541" w:rsidRPr="00F03E26">
        <w:rPr>
          <w:spacing w:val="-2"/>
          <w:vertAlign w:val="superscript"/>
          <w:rtl/>
          <w:lang w:val="en-GB"/>
        </w:rPr>
        <w:t>)</w:t>
      </w:r>
      <w:r w:rsidR="00B934F4" w:rsidRPr="00F03E26">
        <w:rPr>
          <w:spacing w:val="-2"/>
          <w:rtl/>
          <w:lang w:val="fr-CH"/>
        </w:rPr>
        <w:t>.</w:t>
      </w:r>
    </w:p>
    <w:p w:rsidR="00B934F4" w:rsidRPr="00754C8F" w:rsidRDefault="00754C8F" w:rsidP="00F03E26">
      <w:pPr>
        <w:pStyle w:val="SingleTxtGA"/>
        <w:spacing w:line="376" w:lineRule="exact"/>
        <w:rPr>
          <w:spacing w:val="-2"/>
          <w:rtl/>
          <w:lang w:val="fr-CH" w:bidi="ar-DZ"/>
        </w:rPr>
      </w:pPr>
      <w:r w:rsidRPr="00754C8F">
        <w:rPr>
          <w:spacing w:val="-2"/>
          <w:szCs w:val="20"/>
          <w:rtl/>
          <w:lang w:val="fr-CH"/>
        </w:rPr>
        <w:t>3</w:t>
      </w:r>
      <w:r w:rsidR="00B934F4" w:rsidRPr="00754C8F">
        <w:rPr>
          <w:spacing w:val="-2"/>
          <w:rtl/>
          <w:lang w:val="fr-CH"/>
        </w:rPr>
        <w:t>-</w:t>
      </w:r>
      <w:r w:rsidRPr="00754C8F">
        <w:rPr>
          <w:spacing w:val="-2"/>
          <w:szCs w:val="20"/>
          <w:rtl/>
          <w:lang w:val="fr-CH"/>
        </w:rPr>
        <w:t>4</w:t>
      </w:r>
      <w:r w:rsidR="00B934F4" w:rsidRPr="00754C8F">
        <w:rPr>
          <w:spacing w:val="-2"/>
          <w:rtl/>
          <w:lang w:val="en-GB"/>
        </w:rPr>
        <w:tab/>
      </w:r>
      <w:r w:rsidR="00B934F4" w:rsidRPr="00754C8F">
        <w:rPr>
          <w:spacing w:val="-2"/>
          <w:rtl/>
          <w:lang w:val="fr-CH"/>
        </w:rPr>
        <w:t>وفي حال تسليم صاحب البلاغ، فإنه سيُحتجز في سجن الاحتجاز رهن المحاكمة رقم</w:t>
      </w:r>
      <w:r w:rsidR="004E466D" w:rsidRPr="00754C8F">
        <w:rPr>
          <w:rFonts w:hint="cs"/>
          <w:spacing w:val="-2"/>
          <w:rtl/>
          <w:lang w:val="fr-CH"/>
        </w:rPr>
        <w:t> </w:t>
      </w:r>
      <w:r w:rsidRPr="00754C8F">
        <w:rPr>
          <w:spacing w:val="-2"/>
          <w:szCs w:val="20"/>
          <w:rtl/>
          <w:lang w:val="fr-CH"/>
        </w:rPr>
        <w:t>30</w:t>
      </w:r>
      <w:r w:rsidR="00B934F4" w:rsidRPr="00754C8F">
        <w:rPr>
          <w:spacing w:val="-2"/>
          <w:rtl/>
          <w:lang w:val="fr-CH"/>
        </w:rPr>
        <w:t>، وهو</w:t>
      </w:r>
      <w:r w:rsidR="00B934F4" w:rsidRPr="00754C8F">
        <w:rPr>
          <w:spacing w:val="-2"/>
          <w:rtl/>
          <w:lang w:val="fr-CH" w:bidi="ar-DZ"/>
        </w:rPr>
        <w:t xml:space="preserve"> واحد من </w:t>
      </w:r>
      <w:r w:rsidR="00B934F4" w:rsidRPr="00754C8F">
        <w:rPr>
          <w:spacing w:val="-2"/>
          <w:szCs w:val="20"/>
          <w:rtl/>
          <w:lang w:val="fr-CH" w:bidi="ar-DZ"/>
        </w:rPr>
        <w:t>49</w:t>
      </w:r>
      <w:r w:rsidR="00B934F4" w:rsidRPr="00754C8F">
        <w:rPr>
          <w:spacing w:val="-2"/>
          <w:rtl/>
          <w:lang w:val="fr-CH" w:bidi="ar-DZ"/>
        </w:rPr>
        <w:t xml:space="preserve"> سجناً</w:t>
      </w:r>
      <w:r w:rsidR="00B934F4" w:rsidRPr="00754C8F">
        <w:rPr>
          <w:spacing w:val="-2"/>
          <w:rtl/>
          <w:lang w:val="fr-CH"/>
        </w:rPr>
        <w:t xml:space="preserve"> أوكرانياً لاحتجاز الأشخاص رهن المحاكمة.</w:t>
      </w:r>
      <w:r w:rsidR="00B934F4" w:rsidRPr="00754C8F">
        <w:rPr>
          <w:spacing w:val="-2"/>
          <w:rtl/>
          <w:lang w:val="fr-CH" w:bidi="ar-DZ"/>
        </w:rPr>
        <w:t xml:space="preserve"> و</w:t>
      </w:r>
      <w:r w:rsidR="00B934F4" w:rsidRPr="00754C8F">
        <w:rPr>
          <w:spacing w:val="-2"/>
          <w:rtl/>
          <w:lang w:val="fr-CH"/>
        </w:rPr>
        <w:t xml:space="preserve">يشير تقرير اللجنة الأوروبية لمنع التعذيب، الصادر في عام </w:t>
      </w:r>
      <w:r w:rsidR="00B934F4" w:rsidRPr="00754C8F">
        <w:rPr>
          <w:spacing w:val="-2"/>
          <w:szCs w:val="20"/>
          <w:rtl/>
          <w:lang w:val="fr-CH"/>
        </w:rPr>
        <w:t>2013</w:t>
      </w:r>
      <w:r w:rsidR="00B934F4" w:rsidRPr="00754C8F">
        <w:rPr>
          <w:spacing w:val="-2"/>
          <w:rtl/>
          <w:lang w:val="fr-CH"/>
        </w:rPr>
        <w:t xml:space="preserve">، والموجه إلى حكومة أوكرانيا، إلى أن مستوى الاكتظاظ في سجون الاحتجاز رهن المحاكمة </w:t>
      </w:r>
      <w:r w:rsidR="00B934F4" w:rsidRPr="00754C8F">
        <w:rPr>
          <w:spacing w:val="-2"/>
          <w:rtl/>
          <w:lang w:val="fr-CH" w:bidi="ar-DZ"/>
        </w:rPr>
        <w:t xml:space="preserve">مرتفع جداً وأن </w:t>
      </w:r>
      <w:r w:rsidR="00B934F4" w:rsidRPr="00754C8F">
        <w:rPr>
          <w:spacing w:val="-2"/>
          <w:rtl/>
          <w:lang w:val="fr-CH"/>
        </w:rPr>
        <w:t>الحيز المخصص لكل سجين في الحبس الاحتياطي "غير مقبول على الإطلاق"؛</w:t>
      </w:r>
      <w:r w:rsidR="00B934F4" w:rsidRPr="00754C8F">
        <w:rPr>
          <w:spacing w:val="-2"/>
          <w:rtl/>
          <w:lang w:val="en-GB"/>
        </w:rPr>
        <w:t xml:space="preserve"> </w:t>
      </w:r>
      <w:r w:rsidR="00B934F4" w:rsidRPr="00754C8F">
        <w:rPr>
          <w:spacing w:val="-2"/>
          <w:rtl/>
          <w:lang w:val="fr-CH"/>
        </w:rPr>
        <w:t>وأن هذه المرافق موجودة في "مبان قديمة جدا</w:t>
      </w:r>
      <w:r w:rsidR="0046391F" w:rsidRPr="00754C8F">
        <w:rPr>
          <w:rFonts w:hint="cs"/>
          <w:spacing w:val="-2"/>
          <w:rtl/>
          <w:lang w:val="fr-CH"/>
        </w:rPr>
        <w:t>ً</w:t>
      </w:r>
      <w:r w:rsidR="004A1FF2" w:rsidRPr="00754C8F">
        <w:rPr>
          <w:spacing w:val="-2"/>
          <w:rtl/>
          <w:lang w:val="fr-CH"/>
        </w:rPr>
        <w:t xml:space="preserve"> و</w:t>
      </w:r>
      <w:r w:rsidR="00B934F4" w:rsidRPr="00754C8F">
        <w:rPr>
          <w:spacing w:val="-2"/>
          <w:rtl/>
          <w:lang w:val="fr-CH"/>
        </w:rPr>
        <w:t>"غير مناسبة لأداء وظيفتها وفقاً لمعايير الإقامة الحديثة، بل عادة ما تكون حالتها بالغة السوء"</w:t>
      </w:r>
      <w:r w:rsidR="00330541" w:rsidRPr="00754C8F">
        <w:rPr>
          <w:spacing w:val="-2"/>
          <w:vertAlign w:val="superscript"/>
          <w:rtl/>
          <w:lang w:val="en-GB"/>
        </w:rPr>
        <w:t>(</w:t>
      </w:r>
      <w:r w:rsidR="00330541" w:rsidRPr="00754C8F">
        <w:rPr>
          <w:rFonts w:cs="Times New Roman"/>
          <w:spacing w:val="-2"/>
          <w:position w:val="4"/>
          <w:vertAlign w:val="superscript"/>
        </w:rPr>
        <w:footnoteReference w:id="12"/>
      </w:r>
      <w:r w:rsidR="00330541" w:rsidRPr="00754C8F">
        <w:rPr>
          <w:spacing w:val="-2"/>
          <w:vertAlign w:val="superscript"/>
          <w:rtl/>
          <w:lang w:val="en-GB"/>
        </w:rPr>
        <w:t>)</w:t>
      </w:r>
      <w:r w:rsidR="00B934F4" w:rsidRPr="00754C8F">
        <w:rPr>
          <w:spacing w:val="-2"/>
          <w:rtl/>
          <w:lang w:val="fr-CH"/>
        </w:rPr>
        <w:t>.</w:t>
      </w:r>
      <w:r w:rsidR="00B934F4" w:rsidRPr="00754C8F">
        <w:rPr>
          <w:spacing w:val="-2"/>
          <w:rtl/>
          <w:lang w:val="en-GB"/>
        </w:rPr>
        <w:t xml:space="preserve"> </w:t>
      </w:r>
      <w:r w:rsidR="00B934F4" w:rsidRPr="00754C8F">
        <w:rPr>
          <w:spacing w:val="-2"/>
          <w:rtl/>
          <w:lang w:val="fr-CH"/>
        </w:rPr>
        <w:t>وأدانت مفوضة البرلمان الأوكراني لحقوق الإنسان أيضاً، في تقرير صدر في عام</w:t>
      </w:r>
      <w:r w:rsidR="004A1FF2" w:rsidRPr="00754C8F">
        <w:rPr>
          <w:rFonts w:hint="cs"/>
          <w:spacing w:val="-2"/>
          <w:rtl/>
          <w:lang w:val="fr-CH"/>
        </w:rPr>
        <w:t> </w:t>
      </w:r>
      <w:r w:rsidR="00B934F4" w:rsidRPr="00754C8F">
        <w:rPr>
          <w:spacing w:val="-2"/>
          <w:szCs w:val="20"/>
          <w:rtl/>
          <w:lang w:val="fr-CH"/>
        </w:rPr>
        <w:t>2013</w:t>
      </w:r>
      <w:r w:rsidR="00B934F4" w:rsidRPr="00754C8F">
        <w:rPr>
          <w:spacing w:val="-2"/>
          <w:rtl/>
          <w:lang w:val="fr-CH"/>
        </w:rPr>
        <w:t>، وقوع "انتهاكات مألوفة معينة لحقوق الإنسان قد تصل إلى درجة إساءة المعاملة" مثل</w:t>
      </w:r>
      <w:r w:rsidR="00B934F4" w:rsidRPr="00754C8F">
        <w:rPr>
          <w:spacing w:val="-2"/>
          <w:rtl/>
          <w:lang w:val="fr-CH" w:bidi="ar-DZ"/>
        </w:rPr>
        <w:t xml:space="preserve"> إبقاء</w:t>
      </w:r>
      <w:r w:rsidR="00B934F4" w:rsidRPr="00754C8F">
        <w:rPr>
          <w:spacing w:val="-2"/>
          <w:rtl/>
          <w:lang w:val="fr-CH"/>
        </w:rPr>
        <w:t xml:space="preserve"> السجناء عدة ساعات في حجيرات غير ملائمة لاحتجاز الأشخاص (لافتقارها إلى النوافذ والتهوية والمراحيض)؛</w:t>
      </w:r>
      <w:r w:rsidR="00B934F4" w:rsidRPr="00754C8F">
        <w:rPr>
          <w:spacing w:val="-2"/>
          <w:rtl/>
          <w:lang w:val="fr-CH" w:bidi="ar-DZ"/>
        </w:rPr>
        <w:t xml:space="preserve"> وعدم كفاية الإضاءة </w:t>
      </w:r>
      <w:r w:rsidR="00B934F4" w:rsidRPr="00754C8F">
        <w:rPr>
          <w:spacing w:val="-2"/>
          <w:rtl/>
          <w:lang w:val="fr-CH"/>
        </w:rPr>
        <w:t>الطبيعية والإضاءة الكهربائية في الزنزانات؛ وعدم تزويد الزنزانات وغيرها من أماكن الاحتجاز بنظم التهوية الآلية؛</w:t>
      </w:r>
      <w:r w:rsidR="00B934F4" w:rsidRPr="00754C8F">
        <w:rPr>
          <w:spacing w:val="-2"/>
          <w:rtl/>
          <w:lang w:val="fr-CH" w:bidi="ar-DZ"/>
        </w:rPr>
        <w:t xml:space="preserve"> واحتجاز</w:t>
      </w:r>
      <w:r w:rsidR="004A1FF2" w:rsidRPr="00754C8F">
        <w:rPr>
          <w:spacing w:val="-2"/>
          <w:rtl/>
          <w:lang w:val="fr-CH" w:bidi="ar-DZ"/>
        </w:rPr>
        <w:t xml:space="preserve"> </w:t>
      </w:r>
      <w:r w:rsidR="00B934F4" w:rsidRPr="00754C8F">
        <w:rPr>
          <w:spacing w:val="-2"/>
          <w:rtl/>
          <w:lang w:val="fr-CH"/>
        </w:rPr>
        <w:t>السجناء المصابين بالسل مع السجناء الأصحاء؛</w:t>
      </w:r>
      <w:r w:rsidR="00B934F4" w:rsidRPr="00754C8F">
        <w:rPr>
          <w:spacing w:val="-2"/>
          <w:rtl/>
          <w:lang w:val="en-GB"/>
        </w:rPr>
        <w:t xml:space="preserve"> </w:t>
      </w:r>
      <w:r w:rsidR="00B934F4" w:rsidRPr="00754C8F">
        <w:rPr>
          <w:spacing w:val="-2"/>
          <w:rtl/>
          <w:lang w:val="fr-CH" w:bidi="ar-DZ"/>
        </w:rPr>
        <w:t xml:space="preserve">ونقل </w:t>
      </w:r>
      <w:r w:rsidR="00B934F4" w:rsidRPr="00754C8F">
        <w:rPr>
          <w:spacing w:val="-2"/>
          <w:rtl/>
          <w:lang w:val="fr-CH"/>
        </w:rPr>
        <w:t>السجناء إلى جلسات المحكمة دون إمدادات غذائية مناسبة؛</w:t>
      </w:r>
      <w:r w:rsidR="00B934F4" w:rsidRPr="00754C8F">
        <w:rPr>
          <w:spacing w:val="-2"/>
          <w:rtl/>
          <w:lang w:val="en-GB"/>
        </w:rPr>
        <w:t xml:space="preserve"> </w:t>
      </w:r>
      <w:r w:rsidR="00B934F4" w:rsidRPr="00754C8F">
        <w:rPr>
          <w:spacing w:val="-2"/>
          <w:rtl/>
          <w:lang w:val="fr-CH"/>
        </w:rPr>
        <w:t>وعدم إجراء تحقيق في الوقت المناسب في حالات الإيذاء البدني للسجناء وعدم كفاءة التحقيق؛</w:t>
      </w:r>
      <w:r w:rsidR="00B934F4" w:rsidRPr="00754C8F">
        <w:rPr>
          <w:spacing w:val="-2"/>
          <w:rtl/>
          <w:lang w:val="en-GB"/>
        </w:rPr>
        <w:t xml:space="preserve"> </w:t>
      </w:r>
      <w:r w:rsidR="00B934F4" w:rsidRPr="00754C8F">
        <w:rPr>
          <w:spacing w:val="-2"/>
          <w:rtl/>
          <w:lang w:val="fr-CH"/>
        </w:rPr>
        <w:t>والحالة السيئة للمراحيض وافتقارها إلى صناديق الشطف</w:t>
      </w:r>
      <w:r w:rsidR="00330541" w:rsidRPr="00754C8F">
        <w:rPr>
          <w:spacing w:val="-2"/>
          <w:vertAlign w:val="superscript"/>
          <w:rtl/>
          <w:lang w:val="en-GB"/>
        </w:rPr>
        <w:t>(</w:t>
      </w:r>
      <w:r w:rsidR="00330541" w:rsidRPr="00754C8F">
        <w:rPr>
          <w:rFonts w:cs="Times New Roman"/>
          <w:spacing w:val="-2"/>
          <w:position w:val="4"/>
          <w:vertAlign w:val="superscript"/>
        </w:rPr>
        <w:footnoteReference w:id="13"/>
      </w:r>
      <w:r w:rsidR="00330541" w:rsidRPr="00754C8F">
        <w:rPr>
          <w:spacing w:val="-2"/>
          <w:vertAlign w:val="superscript"/>
          <w:rtl/>
          <w:lang w:val="en-GB"/>
        </w:rPr>
        <w:t>)</w:t>
      </w:r>
      <w:r w:rsidR="00B934F4" w:rsidRPr="00754C8F">
        <w:rPr>
          <w:spacing w:val="-2"/>
          <w:rtl/>
          <w:lang w:val="fr-CH"/>
        </w:rPr>
        <w:t>.</w:t>
      </w:r>
      <w:r w:rsidR="00B934F4" w:rsidRPr="00754C8F">
        <w:rPr>
          <w:spacing w:val="-2"/>
          <w:rtl/>
          <w:lang w:val="en-GB"/>
        </w:rPr>
        <w:t xml:space="preserve"> </w:t>
      </w:r>
      <w:r w:rsidR="00B934F4" w:rsidRPr="00754C8F">
        <w:rPr>
          <w:spacing w:val="-2"/>
          <w:rtl/>
          <w:lang w:val="fr-CH"/>
        </w:rPr>
        <w:t>ويرى صاحب البلاغ أن هذه الانتهاكات لها في حد ذاتها طابع منهجي وتؤثر على</w:t>
      </w:r>
      <w:r w:rsidR="00B934F4" w:rsidRPr="00754C8F">
        <w:rPr>
          <w:spacing w:val="-2"/>
          <w:rtl/>
          <w:lang w:val="en-GB"/>
        </w:rPr>
        <w:t xml:space="preserve"> </w:t>
      </w:r>
      <w:r w:rsidR="00B934F4" w:rsidRPr="00754C8F">
        <w:rPr>
          <w:spacing w:val="-2"/>
          <w:rtl/>
          <w:lang w:val="fr-CH"/>
        </w:rPr>
        <w:t>كل محتجز في سجون الاحتجاز رهن المحاكمة، بصرف النظر عن الوضع السياسي أو الجنائي العام للمحتجز، أو عرقه أو جنسيته أو دينه، وما إلى ذلك.</w:t>
      </w:r>
    </w:p>
    <w:p w:rsidR="00B934F4" w:rsidRPr="00754C8F" w:rsidRDefault="00754C8F" w:rsidP="00B934F4">
      <w:pPr>
        <w:pStyle w:val="SingleTxtGA"/>
        <w:rPr>
          <w:spacing w:val="-2"/>
          <w:rtl/>
          <w:lang w:val="fr-CH"/>
        </w:rPr>
      </w:pPr>
      <w:r w:rsidRPr="00754C8F">
        <w:rPr>
          <w:spacing w:val="-2"/>
          <w:szCs w:val="20"/>
          <w:rtl/>
          <w:lang w:val="fr-CH"/>
        </w:rPr>
        <w:t>3</w:t>
      </w:r>
      <w:r w:rsidR="00B934F4" w:rsidRPr="00754C8F">
        <w:rPr>
          <w:spacing w:val="-2"/>
          <w:rtl/>
          <w:lang w:val="fr-CH"/>
        </w:rPr>
        <w:t>-</w:t>
      </w:r>
      <w:r w:rsidRPr="00754C8F">
        <w:rPr>
          <w:spacing w:val="-2"/>
          <w:szCs w:val="20"/>
          <w:rtl/>
          <w:lang w:val="fr-CH"/>
        </w:rPr>
        <w:t>5</w:t>
      </w:r>
      <w:r w:rsidR="00B934F4" w:rsidRPr="00754C8F">
        <w:rPr>
          <w:spacing w:val="-2"/>
          <w:rtl/>
          <w:lang w:val="en-GB"/>
        </w:rPr>
        <w:tab/>
      </w:r>
      <w:r w:rsidR="00B934F4" w:rsidRPr="00754C8F">
        <w:rPr>
          <w:spacing w:val="-2"/>
          <w:rtl/>
          <w:lang w:val="fr-CH"/>
        </w:rPr>
        <w:t xml:space="preserve">ويكتنف سجن الاحتجاز رهن المحاكمة رقم </w:t>
      </w:r>
      <w:r w:rsidRPr="00754C8F">
        <w:rPr>
          <w:spacing w:val="-2"/>
          <w:szCs w:val="20"/>
          <w:rtl/>
          <w:lang w:val="fr-CH"/>
        </w:rPr>
        <w:t>30</w:t>
      </w:r>
      <w:r w:rsidR="00B934F4" w:rsidRPr="00754C8F">
        <w:rPr>
          <w:spacing w:val="-2"/>
          <w:rtl/>
          <w:lang w:val="fr-CH"/>
        </w:rPr>
        <w:t xml:space="preserve"> مشاكل شديدة التعقيد.</w:t>
      </w:r>
      <w:r w:rsidR="00B934F4" w:rsidRPr="00754C8F">
        <w:rPr>
          <w:spacing w:val="-2"/>
          <w:rtl/>
          <w:lang w:val="fr-CH" w:bidi="ar-DZ"/>
        </w:rPr>
        <w:t xml:space="preserve"> وقد خلصت</w:t>
      </w:r>
      <w:r w:rsidR="00B934F4" w:rsidRPr="00754C8F">
        <w:rPr>
          <w:spacing w:val="-2"/>
          <w:rtl/>
          <w:lang w:val="en-GB"/>
        </w:rPr>
        <w:t xml:space="preserve"> </w:t>
      </w:r>
      <w:r w:rsidR="00B934F4" w:rsidRPr="00754C8F">
        <w:rPr>
          <w:spacing w:val="-2"/>
          <w:rtl/>
          <w:lang w:val="fr-CH"/>
        </w:rPr>
        <w:t xml:space="preserve">المحكمة الأوروبية لحقوق الإنسان بالفعل إلى أن أوكرانيا تنتهك المادة </w:t>
      </w:r>
      <w:r w:rsidRPr="00754C8F">
        <w:rPr>
          <w:spacing w:val="-2"/>
          <w:szCs w:val="20"/>
          <w:rtl/>
          <w:lang w:val="fr-CH"/>
        </w:rPr>
        <w:t>3</w:t>
      </w:r>
      <w:r w:rsidR="00B934F4" w:rsidRPr="00754C8F">
        <w:rPr>
          <w:spacing w:val="-2"/>
          <w:rtl/>
          <w:lang w:val="fr-CH"/>
        </w:rPr>
        <w:t xml:space="preserve"> من الاتفاقية الأوروبية فيما يتصل بظروف الاحتجاز في ذلك </w:t>
      </w:r>
      <w:proofErr w:type="gramStart"/>
      <w:r w:rsidR="00B934F4" w:rsidRPr="00754C8F">
        <w:rPr>
          <w:spacing w:val="-2"/>
          <w:rtl/>
          <w:lang w:val="fr-CH"/>
        </w:rPr>
        <w:t>المرفق</w:t>
      </w:r>
      <w:r w:rsidR="00330541" w:rsidRPr="00754C8F">
        <w:rPr>
          <w:spacing w:val="-2"/>
          <w:vertAlign w:val="superscript"/>
          <w:rtl/>
          <w:lang w:val="en-GB"/>
        </w:rPr>
        <w:t>(</w:t>
      </w:r>
      <w:proofErr w:type="gramEnd"/>
      <w:r w:rsidR="00330541" w:rsidRPr="00754C8F">
        <w:rPr>
          <w:rFonts w:cs="Times New Roman"/>
          <w:spacing w:val="-2"/>
          <w:position w:val="4"/>
          <w:vertAlign w:val="superscript"/>
        </w:rPr>
        <w:footnoteReference w:id="14"/>
      </w:r>
      <w:r w:rsidR="00330541" w:rsidRPr="00754C8F">
        <w:rPr>
          <w:spacing w:val="-2"/>
          <w:vertAlign w:val="superscript"/>
          <w:rtl/>
          <w:lang w:val="en-GB"/>
        </w:rPr>
        <w:t>)</w:t>
      </w:r>
      <w:r w:rsidR="00B934F4" w:rsidRPr="00754C8F">
        <w:rPr>
          <w:spacing w:val="-2"/>
          <w:rtl/>
          <w:lang w:val="fr-CH"/>
        </w:rPr>
        <w:t>.</w:t>
      </w:r>
      <w:r w:rsidR="00B934F4" w:rsidRPr="00754C8F">
        <w:rPr>
          <w:spacing w:val="-2"/>
          <w:rtl/>
          <w:lang w:val="en-GB"/>
        </w:rPr>
        <w:t xml:space="preserve"> </w:t>
      </w:r>
      <w:r w:rsidR="00B934F4" w:rsidRPr="00754C8F">
        <w:rPr>
          <w:spacing w:val="-2"/>
          <w:rtl/>
          <w:lang w:val="fr-CH"/>
        </w:rPr>
        <w:t xml:space="preserve">ورغم أن المحكمة تناولت تحديداً في تلك الحالة مسألة المساعدة الطبية المقدمة أثناء الاحتجاز لا أحوال سجن الاحتجاز رهن المحاكمة رقم </w:t>
      </w:r>
      <w:r w:rsidRPr="00754C8F">
        <w:rPr>
          <w:spacing w:val="-2"/>
          <w:szCs w:val="20"/>
          <w:rtl/>
          <w:lang w:val="fr-CH"/>
        </w:rPr>
        <w:t>30</w:t>
      </w:r>
      <w:r w:rsidR="00B934F4" w:rsidRPr="00754C8F">
        <w:rPr>
          <w:spacing w:val="-2"/>
          <w:rtl/>
          <w:lang w:val="fr-CH"/>
        </w:rPr>
        <w:t xml:space="preserve"> في حد ذاتها</w:t>
      </w:r>
      <w:r w:rsidR="004A1FF2" w:rsidRPr="00754C8F">
        <w:rPr>
          <w:rFonts w:hint="cs"/>
          <w:spacing w:val="-2"/>
          <w:rtl/>
          <w:lang w:val="fr-CH"/>
        </w:rPr>
        <w:t xml:space="preserve"> - </w:t>
      </w:r>
      <w:r w:rsidR="00B934F4" w:rsidRPr="00754C8F">
        <w:rPr>
          <w:spacing w:val="-2"/>
          <w:rtl/>
          <w:lang w:val="fr-CH"/>
        </w:rPr>
        <w:t xml:space="preserve">ورغم أن القرار يشير إلى الماضي </w:t>
      </w:r>
      <w:r w:rsidR="004A1FF2" w:rsidRPr="00754C8F">
        <w:rPr>
          <w:rFonts w:hint="cs"/>
          <w:spacing w:val="-2"/>
          <w:rtl/>
          <w:lang w:val="fr-CH"/>
        </w:rPr>
        <w:t xml:space="preserve">- </w:t>
      </w:r>
      <w:r w:rsidR="00B934F4" w:rsidRPr="00754C8F">
        <w:rPr>
          <w:spacing w:val="-2"/>
          <w:rtl/>
          <w:lang w:val="fr-CH"/>
        </w:rPr>
        <w:t xml:space="preserve">تبين أحكام أصدرتها المحكمة في وقت لاحق أن ظروف الاحتجاز العامة لم تتحسن منذ عام </w:t>
      </w:r>
      <w:r w:rsidRPr="00754C8F">
        <w:rPr>
          <w:spacing w:val="-2"/>
          <w:szCs w:val="20"/>
          <w:rtl/>
          <w:lang w:val="fr-CH"/>
        </w:rPr>
        <w:t>2005</w:t>
      </w:r>
      <w:r w:rsidR="00B934F4" w:rsidRPr="00754C8F">
        <w:rPr>
          <w:spacing w:val="-2"/>
          <w:rtl/>
          <w:lang w:val="en-GB"/>
        </w:rPr>
        <w:t xml:space="preserve"> </w:t>
      </w:r>
      <w:r w:rsidR="00B934F4" w:rsidRPr="00754C8F">
        <w:rPr>
          <w:spacing w:val="-2"/>
          <w:rtl/>
          <w:lang w:val="fr-CH"/>
        </w:rPr>
        <w:t xml:space="preserve">وأن مسألة المساعدة الطبية ليست جوهر </w:t>
      </w:r>
      <w:proofErr w:type="gramStart"/>
      <w:r w:rsidR="00B934F4" w:rsidRPr="00754C8F">
        <w:rPr>
          <w:spacing w:val="-2"/>
          <w:rtl/>
          <w:lang w:val="fr-CH"/>
        </w:rPr>
        <w:t>الموضوع</w:t>
      </w:r>
      <w:r w:rsidR="00330541" w:rsidRPr="00754C8F">
        <w:rPr>
          <w:spacing w:val="-2"/>
          <w:vertAlign w:val="superscript"/>
          <w:rtl/>
          <w:lang w:val="en-GB"/>
        </w:rPr>
        <w:t>(</w:t>
      </w:r>
      <w:proofErr w:type="gramEnd"/>
      <w:r w:rsidR="00330541" w:rsidRPr="00754C8F">
        <w:rPr>
          <w:rFonts w:cs="Times New Roman"/>
          <w:spacing w:val="-2"/>
          <w:position w:val="4"/>
          <w:vertAlign w:val="superscript"/>
        </w:rPr>
        <w:footnoteReference w:id="15"/>
      </w:r>
      <w:r w:rsidR="00330541" w:rsidRPr="00754C8F">
        <w:rPr>
          <w:spacing w:val="-2"/>
          <w:vertAlign w:val="superscript"/>
          <w:rtl/>
          <w:lang w:val="en-GB"/>
        </w:rPr>
        <w:t>)</w:t>
      </w:r>
      <w:r w:rsidR="00B934F4" w:rsidRPr="00754C8F">
        <w:rPr>
          <w:spacing w:val="-2"/>
          <w:rtl/>
          <w:lang w:val="fr-CH"/>
        </w:rPr>
        <w:t>.</w:t>
      </w:r>
    </w:p>
    <w:p w:rsidR="00B934F4" w:rsidRPr="00B934F4" w:rsidRDefault="00754C8F" w:rsidP="00B934F4">
      <w:pPr>
        <w:pStyle w:val="SingleTxtGA"/>
        <w:rPr>
          <w:rtl/>
          <w:lang w:val="fr-CH"/>
        </w:rPr>
      </w:pPr>
      <w:r w:rsidRPr="00754C8F">
        <w:rPr>
          <w:szCs w:val="20"/>
          <w:rtl/>
          <w:lang w:val="fr-CH"/>
        </w:rPr>
        <w:lastRenderedPageBreak/>
        <w:t>3</w:t>
      </w:r>
      <w:r w:rsidR="00B934F4" w:rsidRPr="00B934F4">
        <w:rPr>
          <w:rtl/>
          <w:lang w:val="fr-CH"/>
        </w:rPr>
        <w:t>-</w:t>
      </w:r>
      <w:r w:rsidRPr="00754C8F">
        <w:rPr>
          <w:szCs w:val="20"/>
          <w:rtl/>
          <w:lang w:val="fr-CH"/>
        </w:rPr>
        <w:t>6</w:t>
      </w:r>
      <w:r w:rsidR="00B934F4" w:rsidRPr="00B934F4">
        <w:rPr>
          <w:rtl/>
          <w:lang w:val="en-GB"/>
        </w:rPr>
        <w:tab/>
      </w:r>
      <w:r w:rsidR="00B934F4" w:rsidRPr="00B934F4">
        <w:rPr>
          <w:rtl/>
          <w:lang w:val="fr-CH"/>
        </w:rPr>
        <w:t xml:space="preserve">وفي سياق الاحتجاج بالمادة </w:t>
      </w:r>
      <w:r w:rsidRPr="00754C8F">
        <w:rPr>
          <w:szCs w:val="20"/>
          <w:rtl/>
          <w:lang w:val="fr-CH"/>
        </w:rPr>
        <w:t>10</w:t>
      </w:r>
      <w:r w:rsidR="00B934F4" w:rsidRPr="00B934F4">
        <w:rPr>
          <w:rtl/>
          <w:lang w:val="fr-CH"/>
        </w:rPr>
        <w:t>(</w:t>
      </w:r>
      <w:r w:rsidRPr="00754C8F">
        <w:rPr>
          <w:szCs w:val="20"/>
          <w:rtl/>
          <w:lang w:val="fr-CH"/>
        </w:rPr>
        <w:t>1</w:t>
      </w:r>
      <w:r w:rsidR="00B934F4" w:rsidRPr="00B934F4">
        <w:rPr>
          <w:rtl/>
          <w:lang w:val="fr-CH"/>
        </w:rPr>
        <w:t>) من العهد، يؤكد صاحب البلاغ أن اللجنة رأت مرارا</w:t>
      </w:r>
      <w:r w:rsidR="0046391F">
        <w:rPr>
          <w:rFonts w:hint="cs"/>
          <w:rtl/>
          <w:lang w:val="fr-CH"/>
        </w:rPr>
        <w:t>ً</w:t>
      </w:r>
      <w:r w:rsidR="00B934F4" w:rsidRPr="00B934F4">
        <w:rPr>
          <w:rtl/>
          <w:lang w:val="fr-CH"/>
        </w:rPr>
        <w:t xml:space="preserve"> في قضايا مماثلة أن ظروف الاحتجاز في أوكرانيا تصل إلى مستوى المعاملة </w:t>
      </w:r>
      <w:proofErr w:type="gramStart"/>
      <w:r w:rsidR="00B934F4" w:rsidRPr="00B934F4">
        <w:rPr>
          <w:rtl/>
          <w:lang w:val="fr-CH"/>
        </w:rPr>
        <w:t>اللاإنسانية</w:t>
      </w:r>
      <w:r w:rsidR="00330541">
        <w:rPr>
          <w:vertAlign w:val="superscript"/>
          <w:rtl/>
          <w:lang w:val="en-GB"/>
        </w:rPr>
        <w:t>(</w:t>
      </w:r>
      <w:proofErr w:type="gramEnd"/>
      <w:r w:rsidR="00330541" w:rsidRPr="00754C8F">
        <w:rPr>
          <w:rFonts w:cs="Times New Roman"/>
          <w:position w:val="4"/>
          <w:vertAlign w:val="superscript"/>
        </w:rPr>
        <w:footnoteReference w:id="16"/>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وعلاوة على ذلك، فإن ظروف الاحتجاز في سجون الاحتجاز رهن المحاكمة في أوكرانيا قد تكون في الواقع أسوأ مما كانت عليه</w:t>
      </w:r>
      <w:r w:rsidR="00B934F4" w:rsidRPr="00B934F4">
        <w:rPr>
          <w:rtl/>
          <w:lang w:val="en-GB"/>
        </w:rPr>
        <w:t xml:space="preserve"> </w:t>
      </w:r>
      <w:r w:rsidR="00B934F4" w:rsidRPr="00B934F4">
        <w:rPr>
          <w:rtl/>
          <w:lang w:val="fr-CH"/>
        </w:rPr>
        <w:t>قبل بضع سنوات بسبب الأزمة العسكرية الحالية والاضطرابات السياسية في البلد.</w:t>
      </w:r>
    </w:p>
    <w:p w:rsidR="00B934F4" w:rsidRPr="00B934F4" w:rsidRDefault="00754C8F" w:rsidP="00B934F4">
      <w:pPr>
        <w:pStyle w:val="SingleTxtGA"/>
        <w:rPr>
          <w:rtl/>
          <w:lang w:val="fr-CH"/>
        </w:rPr>
      </w:pPr>
      <w:r w:rsidRPr="00754C8F">
        <w:rPr>
          <w:szCs w:val="20"/>
          <w:rtl/>
          <w:lang w:val="fr-CH"/>
        </w:rPr>
        <w:t>3</w:t>
      </w:r>
      <w:r w:rsidR="00B934F4" w:rsidRPr="00B934F4">
        <w:rPr>
          <w:rtl/>
          <w:lang w:val="fr-CH"/>
        </w:rPr>
        <w:t>-</w:t>
      </w:r>
      <w:r w:rsidRPr="00754C8F">
        <w:rPr>
          <w:szCs w:val="20"/>
          <w:rtl/>
          <w:lang w:val="fr-CH"/>
        </w:rPr>
        <w:t>7</w:t>
      </w:r>
      <w:r w:rsidR="00B934F4" w:rsidRPr="00B934F4">
        <w:rPr>
          <w:rtl/>
          <w:lang w:val="en-GB"/>
        </w:rPr>
        <w:tab/>
      </w:r>
      <w:r w:rsidR="00B934F4" w:rsidRPr="00B934F4">
        <w:rPr>
          <w:rtl/>
          <w:lang w:val="fr-CH"/>
        </w:rPr>
        <w:t xml:space="preserve">وفي سياق الاحتجاج بالمادة </w:t>
      </w:r>
      <w:r w:rsidR="00B934F4" w:rsidRPr="00754C8F">
        <w:rPr>
          <w:szCs w:val="20"/>
          <w:rtl/>
          <w:lang w:val="fr-CH"/>
        </w:rPr>
        <w:t>9</w:t>
      </w:r>
      <w:r w:rsidR="00B934F4" w:rsidRPr="00B934F4">
        <w:rPr>
          <w:rtl/>
          <w:lang w:val="fr-CH"/>
        </w:rPr>
        <w:t>(</w:t>
      </w:r>
      <w:r w:rsidRPr="00754C8F">
        <w:rPr>
          <w:szCs w:val="20"/>
          <w:rtl/>
          <w:lang w:val="fr-CH"/>
        </w:rPr>
        <w:t>1</w:t>
      </w:r>
      <w:r w:rsidR="00B934F4" w:rsidRPr="00B934F4">
        <w:rPr>
          <w:rtl/>
          <w:lang w:val="fr-CH"/>
        </w:rPr>
        <w:t>) و(</w:t>
      </w:r>
      <w:r w:rsidRPr="00754C8F">
        <w:rPr>
          <w:szCs w:val="20"/>
          <w:rtl/>
          <w:lang w:val="fr-CH"/>
        </w:rPr>
        <w:t>3</w:t>
      </w:r>
      <w:r w:rsidR="00B934F4" w:rsidRPr="00B934F4">
        <w:rPr>
          <w:rtl/>
          <w:lang w:val="fr-CH"/>
        </w:rPr>
        <w:t>) و(</w:t>
      </w:r>
      <w:r w:rsidRPr="00754C8F">
        <w:rPr>
          <w:szCs w:val="20"/>
          <w:rtl/>
          <w:lang w:val="fr-CH"/>
        </w:rPr>
        <w:t>4</w:t>
      </w:r>
      <w:r w:rsidR="00B934F4" w:rsidRPr="00B934F4">
        <w:rPr>
          <w:rtl/>
          <w:lang w:val="fr-CH"/>
        </w:rPr>
        <w:t xml:space="preserve">) من العهد، يشير صاحب البلاغ إلى أن تسليمه إلى أوكرانيا سيعرضه بالفعل لخطر الاحتجاز إلى أجل غير مسمى في سجن الاحتجاز رهن المحاكمة رقم </w:t>
      </w:r>
      <w:r w:rsidRPr="00754C8F">
        <w:rPr>
          <w:szCs w:val="20"/>
          <w:rtl/>
          <w:lang w:val="fr-CH"/>
        </w:rPr>
        <w:t>30</w:t>
      </w:r>
      <w:r w:rsidR="00B934F4" w:rsidRPr="00B934F4">
        <w:rPr>
          <w:rtl/>
          <w:lang w:val="fr-CH"/>
        </w:rPr>
        <w:t xml:space="preserve"> وحرمانه من حقه في الطعن في مشروعية احتجازه.</w:t>
      </w:r>
      <w:r w:rsidR="00B934F4" w:rsidRPr="00B934F4">
        <w:rPr>
          <w:rtl/>
          <w:lang w:val="en-GB"/>
        </w:rPr>
        <w:t xml:space="preserve"> </w:t>
      </w:r>
      <w:r w:rsidR="00B934F4" w:rsidRPr="00B934F4">
        <w:rPr>
          <w:rtl/>
          <w:lang w:val="fr-CH"/>
        </w:rPr>
        <w:t xml:space="preserve">وتشير التقارير إلى "الاستخدام المفرط للاحتجاز رهن المحاكمة وطول مدته" في </w:t>
      </w:r>
      <w:proofErr w:type="gramStart"/>
      <w:r w:rsidR="00B934F4" w:rsidRPr="00B934F4">
        <w:rPr>
          <w:rtl/>
          <w:lang w:val="fr-CH"/>
        </w:rPr>
        <w:t>أوكرانيا</w:t>
      </w:r>
      <w:r w:rsidR="00330541">
        <w:rPr>
          <w:vertAlign w:val="superscript"/>
          <w:rtl/>
          <w:lang w:val="en-GB"/>
        </w:rPr>
        <w:t>(</w:t>
      </w:r>
      <w:proofErr w:type="gramEnd"/>
      <w:r w:rsidR="00330541" w:rsidRPr="00754C8F">
        <w:rPr>
          <w:rFonts w:cs="Times New Roman"/>
          <w:position w:val="4"/>
          <w:vertAlign w:val="superscript"/>
        </w:rPr>
        <w:footnoteReference w:id="17"/>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 xml:space="preserve">ورغم أن السلطات القضائية والتنفيذية الإيطالية لم تجد أدلة على التعرض للخطر في حالة التسليم إلى أوكرانيا، دأبت المحاكم البريطانية على رفض الطلبات المقدمة من أوكرانيا لهذا السبب </w:t>
      </w:r>
      <w:proofErr w:type="gramStart"/>
      <w:r w:rsidR="00B934F4" w:rsidRPr="00B934F4">
        <w:rPr>
          <w:rtl/>
          <w:lang w:val="fr-CH"/>
        </w:rPr>
        <w:t>تحديداً</w:t>
      </w:r>
      <w:r w:rsidR="00330541">
        <w:rPr>
          <w:vertAlign w:val="superscript"/>
          <w:rtl/>
          <w:lang w:val="en-GB"/>
        </w:rPr>
        <w:t>(</w:t>
      </w:r>
      <w:proofErr w:type="gramEnd"/>
      <w:r w:rsidR="00330541" w:rsidRPr="00754C8F">
        <w:rPr>
          <w:rFonts w:cs="Times New Roman"/>
          <w:position w:val="4"/>
          <w:vertAlign w:val="superscript"/>
        </w:rPr>
        <w:footnoteReference w:id="18"/>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 xml:space="preserve">ويسلِّم صاحب البلاغ بأن قانون الإجراءات الجنائية الأوكراني الجديد، الذي دخل حيز النفاذ في </w:t>
      </w:r>
      <w:r w:rsidRPr="00754C8F">
        <w:rPr>
          <w:szCs w:val="20"/>
          <w:rtl/>
          <w:lang w:val="fr-CH"/>
        </w:rPr>
        <w:t>20</w:t>
      </w:r>
      <w:r w:rsidR="00B934F4" w:rsidRPr="00B934F4">
        <w:rPr>
          <w:rtl/>
          <w:lang w:val="fr-CH"/>
        </w:rPr>
        <w:t xml:space="preserve"> كانون الأول/ديسمبر </w:t>
      </w:r>
      <w:r w:rsidRPr="00754C8F">
        <w:rPr>
          <w:szCs w:val="20"/>
          <w:rtl/>
          <w:lang w:val="fr-CH"/>
        </w:rPr>
        <w:t>2012</w:t>
      </w:r>
      <w:r w:rsidR="00B934F4" w:rsidRPr="00B934F4">
        <w:rPr>
          <w:rtl/>
          <w:lang w:val="fr-CH"/>
        </w:rPr>
        <w:t xml:space="preserve">، يتيح سبيل انتصاف للطعن في مشروعية الاحتجاز السابق للمحاكمة. غير أن هذا القانون ليس فعالاً في الممارسة العملية، على النحو الذي أكدته تقارير المفوضية السامية لحقوق الإنسان بشأن طول فترة الاحتجاز قبل </w:t>
      </w:r>
      <w:proofErr w:type="gramStart"/>
      <w:r w:rsidR="00B934F4" w:rsidRPr="00B934F4">
        <w:rPr>
          <w:rtl/>
          <w:lang w:val="fr-CH"/>
        </w:rPr>
        <w:t>المحاكمة</w:t>
      </w:r>
      <w:r w:rsidR="00330541">
        <w:rPr>
          <w:vertAlign w:val="superscript"/>
          <w:rtl/>
          <w:lang w:val="en-GB"/>
        </w:rPr>
        <w:t>(</w:t>
      </w:r>
      <w:proofErr w:type="gramEnd"/>
      <w:r w:rsidR="00330541" w:rsidRPr="00754C8F">
        <w:rPr>
          <w:rFonts w:cs="Times New Roman"/>
          <w:position w:val="4"/>
          <w:vertAlign w:val="superscript"/>
        </w:rPr>
        <w:footnoteReference w:id="19"/>
      </w:r>
      <w:r w:rsidR="00330541">
        <w:rPr>
          <w:vertAlign w:val="superscript"/>
          <w:rtl/>
          <w:lang w:val="en-GB"/>
        </w:rPr>
        <w:t>)</w:t>
      </w:r>
      <w:r w:rsidR="00B934F4" w:rsidRPr="00B934F4">
        <w:rPr>
          <w:rtl/>
          <w:lang w:val="fr-CH"/>
        </w:rPr>
        <w:t>.</w:t>
      </w:r>
    </w:p>
    <w:p w:rsidR="00B934F4" w:rsidRPr="00B934F4" w:rsidRDefault="00754C8F" w:rsidP="00B934F4">
      <w:pPr>
        <w:pStyle w:val="SingleTxtGA"/>
        <w:rPr>
          <w:rtl/>
          <w:lang w:val="fr-CH"/>
        </w:rPr>
      </w:pPr>
      <w:r w:rsidRPr="00754C8F">
        <w:rPr>
          <w:szCs w:val="20"/>
          <w:rtl/>
          <w:lang w:val="fr-CH"/>
        </w:rPr>
        <w:t>3</w:t>
      </w:r>
      <w:r w:rsidR="00B934F4" w:rsidRPr="00B934F4">
        <w:rPr>
          <w:rtl/>
          <w:lang w:val="fr-CH"/>
        </w:rPr>
        <w:t>-</w:t>
      </w:r>
      <w:r w:rsidRPr="00754C8F">
        <w:rPr>
          <w:szCs w:val="20"/>
          <w:rtl/>
          <w:lang w:val="fr-CH"/>
        </w:rPr>
        <w:t>8</w:t>
      </w:r>
      <w:r w:rsidR="00B934F4" w:rsidRPr="00B934F4">
        <w:rPr>
          <w:rtl/>
          <w:lang w:val="en-GB"/>
        </w:rPr>
        <w:tab/>
      </w:r>
      <w:r w:rsidR="00B934F4" w:rsidRPr="00B934F4">
        <w:rPr>
          <w:rtl/>
          <w:lang w:val="fr-CH"/>
        </w:rPr>
        <w:t>وأخيرا</w:t>
      </w:r>
      <w:r w:rsidR="005E1C49">
        <w:rPr>
          <w:rFonts w:hint="cs"/>
          <w:rtl/>
          <w:lang w:val="fr-CH"/>
        </w:rPr>
        <w:t>ً</w:t>
      </w:r>
      <w:r w:rsidR="00B934F4" w:rsidRPr="00B934F4">
        <w:rPr>
          <w:rtl/>
          <w:lang w:val="fr-CH"/>
        </w:rPr>
        <w:t>، لا يصل قرار عدم المقبولية الصادر عن المحكمة الأوروبية لحقوق الإنسان إلى مستوى التقييم الحقيقي لجوهر شكاوى صاحب البلاغ.</w:t>
      </w:r>
      <w:r w:rsidR="00B934F4" w:rsidRPr="00B934F4">
        <w:rPr>
          <w:rtl/>
          <w:lang w:val="en-GB"/>
        </w:rPr>
        <w:t xml:space="preserve"> </w:t>
      </w:r>
      <w:r w:rsidR="00B934F4" w:rsidRPr="00B934F4">
        <w:rPr>
          <w:rtl/>
          <w:lang w:val="fr-CH"/>
        </w:rPr>
        <w:t xml:space="preserve">وبناءً على ذلك، لا يمكن اعتبار أن قضيته "نُظرت" في إطار إجراء آخر من إجراءات التحقيق الدولي أو التسوية </w:t>
      </w:r>
      <w:proofErr w:type="gramStart"/>
      <w:r w:rsidR="00B934F4" w:rsidRPr="00B934F4">
        <w:rPr>
          <w:rtl/>
          <w:lang w:val="fr-CH"/>
        </w:rPr>
        <w:t>الدولية</w:t>
      </w:r>
      <w:r w:rsidR="00330541">
        <w:rPr>
          <w:vertAlign w:val="superscript"/>
          <w:rtl/>
          <w:lang w:val="en-GB"/>
        </w:rPr>
        <w:t>(</w:t>
      </w:r>
      <w:proofErr w:type="gramEnd"/>
      <w:r w:rsidR="00330541" w:rsidRPr="00754C8F">
        <w:rPr>
          <w:rFonts w:cs="Times New Roman"/>
          <w:position w:val="4"/>
          <w:vertAlign w:val="superscript"/>
        </w:rPr>
        <w:footnoteReference w:id="20"/>
      </w:r>
      <w:r w:rsidR="00330541">
        <w:rPr>
          <w:vertAlign w:val="superscript"/>
          <w:rtl/>
          <w:lang w:val="en-GB"/>
        </w:rPr>
        <w:t>)</w:t>
      </w:r>
      <w:r w:rsidR="00B934F4" w:rsidRPr="00B934F4">
        <w:rPr>
          <w:rtl/>
          <w:lang w:val="fr-CH"/>
        </w:rPr>
        <w:t>.</w:t>
      </w:r>
    </w:p>
    <w:p w:rsidR="00B934F4" w:rsidRPr="00B934F4" w:rsidRDefault="00B934F4" w:rsidP="00A64834">
      <w:pPr>
        <w:pStyle w:val="H23GA"/>
        <w:keepNext/>
        <w:keepLines/>
        <w:rPr>
          <w:rtl/>
          <w:lang w:val="fr-CH"/>
        </w:rPr>
      </w:pPr>
      <w:r w:rsidRPr="00B934F4">
        <w:rPr>
          <w:rtl/>
          <w:lang w:val="en-GB"/>
        </w:rPr>
        <w:tab/>
      </w:r>
      <w:r w:rsidRPr="00B934F4">
        <w:rPr>
          <w:rtl/>
          <w:lang w:val="en-GB"/>
        </w:rPr>
        <w:tab/>
      </w:r>
      <w:r w:rsidRPr="00B934F4">
        <w:rPr>
          <w:rtl/>
          <w:lang w:val="fr-CH"/>
        </w:rPr>
        <w:t>ملاحظات الدولة الطرف على مقبولية البلاغ وأسسه الموضوعية</w:t>
      </w:r>
    </w:p>
    <w:p w:rsidR="00B934F4" w:rsidRPr="00B934F4" w:rsidRDefault="00754C8F" w:rsidP="00B934F4">
      <w:pPr>
        <w:pStyle w:val="SingleTxtGA"/>
        <w:rPr>
          <w:rtl/>
          <w:lang w:val="fr-CH"/>
        </w:rPr>
      </w:pPr>
      <w:r w:rsidRPr="00754C8F">
        <w:rPr>
          <w:szCs w:val="20"/>
          <w:rtl/>
          <w:lang w:val="fr-CH"/>
        </w:rPr>
        <w:t>4</w:t>
      </w:r>
      <w:r w:rsidR="00B934F4" w:rsidRPr="00B934F4">
        <w:rPr>
          <w:rtl/>
          <w:lang w:val="fr-CH"/>
        </w:rPr>
        <w:t>-</w:t>
      </w:r>
      <w:r w:rsidRPr="00754C8F">
        <w:rPr>
          <w:szCs w:val="20"/>
          <w:rtl/>
          <w:lang w:val="fr-CH"/>
        </w:rPr>
        <w:t>1</w:t>
      </w:r>
      <w:r w:rsidR="00B934F4" w:rsidRPr="00B934F4">
        <w:rPr>
          <w:rtl/>
          <w:lang w:val="en-GB"/>
        </w:rPr>
        <w:tab/>
      </w:r>
      <w:r w:rsidR="00B934F4" w:rsidRPr="00B934F4">
        <w:rPr>
          <w:rtl/>
          <w:lang w:val="fr-CH"/>
        </w:rPr>
        <w:t xml:space="preserve">تذكِّر الدولة الطرف، في ملاحظاتها المؤرخة </w:t>
      </w:r>
      <w:r w:rsidRPr="00754C8F">
        <w:rPr>
          <w:szCs w:val="20"/>
          <w:rtl/>
          <w:lang w:val="fr-CH"/>
        </w:rPr>
        <w:t>14</w:t>
      </w:r>
      <w:r w:rsidR="00B934F4" w:rsidRPr="00B934F4">
        <w:rPr>
          <w:rtl/>
          <w:lang w:val="fr-CH"/>
        </w:rPr>
        <w:t xml:space="preserve"> أيار/مايو </w:t>
      </w:r>
      <w:r w:rsidRPr="00754C8F">
        <w:rPr>
          <w:szCs w:val="20"/>
          <w:rtl/>
          <w:lang w:val="fr-CH"/>
        </w:rPr>
        <w:t>2015</w:t>
      </w:r>
      <w:r w:rsidR="00B934F4" w:rsidRPr="00B934F4">
        <w:rPr>
          <w:rtl/>
          <w:lang w:val="fr-CH"/>
        </w:rPr>
        <w:t>، بأن المحكمة الأوروبية لحقوق الإنسان أعلنت عدم مقبولية قضية صاحب البلاغ.</w:t>
      </w:r>
      <w:r w:rsidR="00B934F4" w:rsidRPr="00B934F4">
        <w:rPr>
          <w:rtl/>
          <w:lang w:val="en-GB"/>
        </w:rPr>
        <w:t xml:space="preserve"> </w:t>
      </w:r>
      <w:r w:rsidR="00B934F4" w:rsidRPr="00B934F4">
        <w:rPr>
          <w:rtl/>
          <w:lang w:val="fr-CH"/>
        </w:rPr>
        <w:t>وتشير أيضا</w:t>
      </w:r>
      <w:r w:rsidR="0046391F">
        <w:rPr>
          <w:rFonts w:hint="cs"/>
          <w:rtl/>
          <w:lang w:val="fr-CH"/>
        </w:rPr>
        <w:t>ً</w:t>
      </w:r>
      <w:r w:rsidR="00B934F4" w:rsidRPr="00B934F4">
        <w:rPr>
          <w:rtl/>
          <w:lang w:val="fr-CH"/>
        </w:rPr>
        <w:t xml:space="preserve"> إلى أن إجراءات التسليم بين إيطاليا وأوكرانيا تنظمها الاتفاقية الأوروبية المتعلقة بتسليم المجرمين، وأن أوكرانيا عضو في مجلس أوروبا منذ عام</w:t>
      </w:r>
      <w:r>
        <w:rPr>
          <w:rFonts w:hint="cs"/>
          <w:rtl/>
          <w:lang w:val="fr-CH"/>
        </w:rPr>
        <w:t> </w:t>
      </w:r>
      <w:r w:rsidRPr="00754C8F">
        <w:rPr>
          <w:szCs w:val="20"/>
          <w:rtl/>
          <w:lang w:val="fr-CH"/>
        </w:rPr>
        <w:t>1995</w:t>
      </w:r>
      <w:r w:rsidR="00B934F4" w:rsidRPr="00B934F4">
        <w:rPr>
          <w:rtl/>
          <w:lang w:val="fr-CH"/>
        </w:rPr>
        <w:t>، وأنها صدَّقت على الاتفاقية الأوروبية لحقوق الإنسان.</w:t>
      </w:r>
    </w:p>
    <w:p w:rsidR="00B934F4" w:rsidRPr="00B934F4" w:rsidRDefault="00754C8F" w:rsidP="00B934F4">
      <w:pPr>
        <w:pStyle w:val="SingleTxtGA"/>
        <w:rPr>
          <w:rtl/>
          <w:lang w:val="fr-CH"/>
        </w:rPr>
      </w:pPr>
      <w:r w:rsidRPr="00754C8F">
        <w:rPr>
          <w:szCs w:val="20"/>
          <w:rtl/>
          <w:lang w:val="fr-CH"/>
        </w:rPr>
        <w:t>4</w:t>
      </w:r>
      <w:r w:rsidR="00B934F4" w:rsidRPr="00B934F4">
        <w:rPr>
          <w:rtl/>
          <w:lang w:val="fr-CH"/>
        </w:rPr>
        <w:t>-</w:t>
      </w:r>
      <w:r w:rsidRPr="00754C8F">
        <w:rPr>
          <w:szCs w:val="20"/>
          <w:rtl/>
          <w:lang w:val="fr-CH"/>
        </w:rPr>
        <w:t>2</w:t>
      </w:r>
      <w:r w:rsidR="00B934F4" w:rsidRPr="00B934F4">
        <w:rPr>
          <w:rtl/>
          <w:lang w:val="en-GB"/>
        </w:rPr>
        <w:tab/>
      </w:r>
      <w:r w:rsidR="00B934F4" w:rsidRPr="00B934F4">
        <w:rPr>
          <w:rtl/>
          <w:lang w:val="fr-CH"/>
        </w:rPr>
        <w:t>وتلاحظ الدولة الطرف أن محكمة النقض الإيطالية أوضحت أن خطر التعرض لإساءة المعاملة ينبع إما من أحكام تشريعية أو إدارية أو من أوضاع واقعية نتجت عن حالات</w:t>
      </w:r>
      <w:r w:rsidR="00B934F4" w:rsidRPr="00B934F4">
        <w:rPr>
          <w:rtl/>
          <w:lang w:val="fr-CH" w:bidi="ar-DZ"/>
        </w:rPr>
        <w:t xml:space="preserve"> فردية</w:t>
      </w:r>
      <w:r w:rsidR="00B934F4" w:rsidRPr="00B934F4">
        <w:rPr>
          <w:rtl/>
          <w:lang w:val="fr-CH"/>
        </w:rPr>
        <w:t xml:space="preserve"> تعتمد على سلوك الأفراد.</w:t>
      </w:r>
      <w:r w:rsidR="00B934F4" w:rsidRPr="00B934F4">
        <w:rPr>
          <w:rtl/>
          <w:lang w:val="en-GB"/>
        </w:rPr>
        <w:t xml:space="preserve"> </w:t>
      </w:r>
      <w:r w:rsidR="00B934F4" w:rsidRPr="00B934F4">
        <w:rPr>
          <w:rtl/>
          <w:lang w:val="fr-CH"/>
        </w:rPr>
        <w:t>ونظرا</w:t>
      </w:r>
      <w:r w:rsidR="0046391F">
        <w:rPr>
          <w:rFonts w:hint="cs"/>
          <w:rtl/>
          <w:lang w:val="fr-CH"/>
        </w:rPr>
        <w:t>ً</w:t>
      </w:r>
      <w:r w:rsidR="00B934F4" w:rsidRPr="00B934F4">
        <w:rPr>
          <w:rtl/>
          <w:lang w:val="fr-CH"/>
        </w:rPr>
        <w:t xml:space="preserve"> إلى عدم وجود تدابير تشريعية ممكنة ذات أثر سلبي على معاملة السجناء، اتخذت محكمة النقض حكمها على هذه الأسس. وأيدت وزارة العدل ذلك الموقف، وأضافت أن الوضع السياسي الراهن في أوكرانيا لا يمكن أن يكون له أثر مباشر على حالة صاحب البلاغ.</w:t>
      </w:r>
      <w:r w:rsidR="00B934F4" w:rsidRPr="00B934F4">
        <w:rPr>
          <w:rtl/>
          <w:lang w:val="en-GB"/>
        </w:rPr>
        <w:t xml:space="preserve"> </w:t>
      </w:r>
      <w:r w:rsidR="00B934F4" w:rsidRPr="00B934F4">
        <w:rPr>
          <w:rtl/>
          <w:lang w:val="fr-CH"/>
        </w:rPr>
        <w:t>وعقب صدور هذا القرار، لجأ صاحب البلاغ إلى الاختباء.</w:t>
      </w:r>
    </w:p>
    <w:p w:rsidR="00B934F4" w:rsidRPr="00B934F4" w:rsidRDefault="00754C8F" w:rsidP="00B934F4">
      <w:pPr>
        <w:pStyle w:val="SingleTxtGA"/>
        <w:rPr>
          <w:rFonts w:hint="cs"/>
          <w:rtl/>
          <w:lang w:val="fr-CH"/>
        </w:rPr>
      </w:pPr>
      <w:r w:rsidRPr="00754C8F">
        <w:rPr>
          <w:szCs w:val="20"/>
          <w:rtl/>
          <w:lang w:val="fr-CH"/>
        </w:rPr>
        <w:lastRenderedPageBreak/>
        <w:t>4</w:t>
      </w:r>
      <w:r w:rsidR="00B934F4" w:rsidRPr="00B934F4">
        <w:rPr>
          <w:rtl/>
          <w:lang w:val="fr-CH"/>
        </w:rPr>
        <w:t>-</w:t>
      </w:r>
      <w:r w:rsidRPr="00754C8F">
        <w:rPr>
          <w:szCs w:val="20"/>
          <w:rtl/>
          <w:lang w:val="fr-CH"/>
        </w:rPr>
        <w:t>3</w:t>
      </w:r>
      <w:r w:rsidR="00B934F4" w:rsidRPr="00B934F4">
        <w:rPr>
          <w:rtl/>
          <w:lang w:val="en-GB"/>
        </w:rPr>
        <w:tab/>
      </w:r>
      <w:r w:rsidR="00B934F4" w:rsidRPr="00B934F4">
        <w:rPr>
          <w:rtl/>
          <w:lang w:val="fr-CH"/>
        </w:rPr>
        <w:t>وأخيرا</w:t>
      </w:r>
      <w:r w:rsidR="005E1C49">
        <w:rPr>
          <w:rFonts w:hint="cs"/>
          <w:rtl/>
          <w:lang w:val="fr-CH"/>
        </w:rPr>
        <w:t>ً</w:t>
      </w:r>
      <w:r w:rsidR="00B934F4" w:rsidRPr="00B934F4">
        <w:rPr>
          <w:rtl/>
          <w:lang w:val="fr-CH"/>
        </w:rPr>
        <w:t>، تصف الدولة الطرف إجراءات التسليم، وتشدد على عدم وجود حكم قانوني يتعلق بسلطة أو بإمكانية طلب أو اشتراط ضمانات بشأن طرائق تنفيذ التدابير القسرية أو تدابير الاحتجاز في حالة صدور حكم.</w:t>
      </w:r>
      <w:r w:rsidR="00B934F4" w:rsidRPr="00B934F4">
        <w:rPr>
          <w:rtl/>
          <w:lang w:val="en-GB"/>
        </w:rPr>
        <w:t xml:space="preserve"> </w:t>
      </w:r>
      <w:r w:rsidR="00B934F4" w:rsidRPr="00B934F4">
        <w:rPr>
          <w:rtl/>
          <w:lang w:val="fr-CH"/>
        </w:rPr>
        <w:t>ويشكل هذا الشرط أو الطلب تدخلا</w:t>
      </w:r>
      <w:r w:rsidR="0046391F">
        <w:rPr>
          <w:rFonts w:hint="cs"/>
          <w:rtl/>
          <w:lang w:val="fr-CH"/>
        </w:rPr>
        <w:t>ً</w:t>
      </w:r>
      <w:r w:rsidR="00B934F4" w:rsidRPr="00B934F4">
        <w:rPr>
          <w:rtl/>
          <w:lang w:val="fr-CH"/>
        </w:rPr>
        <w:t xml:space="preserve"> غير مبرر من الدولة المتلقية للطلب في الشأن القضائي للدولة الطالبة، وبذلك يكون هذا الشرط أو الطلب متناقضاً تماماً مع مبادئ القانون الدولي </w:t>
      </w:r>
      <w:proofErr w:type="gramStart"/>
      <w:r w:rsidR="00B934F4" w:rsidRPr="00B934F4">
        <w:rPr>
          <w:rtl/>
          <w:lang w:val="fr-CH"/>
        </w:rPr>
        <w:t>العام</w:t>
      </w:r>
      <w:r w:rsidR="00330541">
        <w:rPr>
          <w:vertAlign w:val="superscript"/>
          <w:rtl/>
          <w:lang w:val="en-GB"/>
        </w:rPr>
        <w:t>(</w:t>
      </w:r>
      <w:proofErr w:type="gramEnd"/>
      <w:r w:rsidR="00330541" w:rsidRPr="00754C8F">
        <w:rPr>
          <w:rFonts w:cs="Times New Roman"/>
          <w:position w:val="4"/>
          <w:vertAlign w:val="superscript"/>
        </w:rPr>
        <w:footnoteReference w:id="21"/>
      </w:r>
      <w:r w:rsidR="00330541">
        <w:rPr>
          <w:vertAlign w:val="superscript"/>
          <w:rtl/>
          <w:lang w:val="en-GB"/>
        </w:rPr>
        <w:t>)</w:t>
      </w:r>
      <w:r w:rsidR="00B934F4" w:rsidRPr="00B934F4">
        <w:rPr>
          <w:rtl/>
          <w:lang w:val="fr-CH"/>
        </w:rPr>
        <w:t>.</w:t>
      </w:r>
    </w:p>
    <w:p w:rsidR="00B934F4" w:rsidRPr="00B934F4" w:rsidRDefault="00B934F4" w:rsidP="00A64834">
      <w:pPr>
        <w:pStyle w:val="H23GA"/>
        <w:keepNext/>
        <w:keepLines/>
        <w:rPr>
          <w:rtl/>
          <w:lang w:val="fr-CH"/>
        </w:rPr>
      </w:pPr>
      <w:r w:rsidRPr="00B934F4">
        <w:rPr>
          <w:rtl/>
          <w:lang w:val="en-GB"/>
        </w:rPr>
        <w:tab/>
      </w:r>
      <w:r w:rsidRPr="00B934F4">
        <w:rPr>
          <w:rtl/>
          <w:lang w:val="en-GB"/>
        </w:rPr>
        <w:tab/>
      </w:r>
      <w:r w:rsidRPr="00B934F4">
        <w:rPr>
          <w:rtl/>
          <w:lang w:val="fr-CH"/>
        </w:rPr>
        <w:t>تعليقات صاحب البلاغ على ملاحظات الدولة الطرف بشأن المقبولية والأسس الموضوعية</w:t>
      </w:r>
    </w:p>
    <w:p w:rsidR="00B934F4" w:rsidRPr="00B934F4" w:rsidRDefault="00754C8F" w:rsidP="00B934F4">
      <w:pPr>
        <w:pStyle w:val="SingleTxtGA"/>
        <w:rPr>
          <w:rtl/>
          <w:lang w:val="fr-CH"/>
        </w:rPr>
      </w:pPr>
      <w:r w:rsidRPr="00754C8F">
        <w:rPr>
          <w:szCs w:val="20"/>
          <w:rtl/>
          <w:lang w:val="fr-CH"/>
        </w:rPr>
        <w:t>5</w:t>
      </w:r>
      <w:r w:rsidR="00B934F4" w:rsidRPr="00B934F4">
        <w:rPr>
          <w:rtl/>
          <w:lang w:val="fr-CH"/>
        </w:rPr>
        <w:t>-</w:t>
      </w:r>
      <w:r w:rsidRPr="00754C8F">
        <w:rPr>
          <w:szCs w:val="20"/>
          <w:rtl/>
          <w:lang w:val="fr-CH"/>
        </w:rPr>
        <w:t>1</w:t>
      </w:r>
      <w:r w:rsidR="00B934F4" w:rsidRPr="00B934F4">
        <w:rPr>
          <w:rtl/>
          <w:lang w:val="en-GB"/>
        </w:rPr>
        <w:tab/>
      </w:r>
      <w:r w:rsidR="00B934F4" w:rsidRPr="00B934F4">
        <w:rPr>
          <w:rtl/>
          <w:lang w:val="fr-CH" w:bidi="ar-DZ"/>
        </w:rPr>
        <w:t xml:space="preserve">يشير صاحب البلاغ أولاً، </w:t>
      </w:r>
      <w:r w:rsidR="00B934F4" w:rsidRPr="00B934F4">
        <w:rPr>
          <w:rtl/>
          <w:lang w:val="fr-CH"/>
        </w:rPr>
        <w:t xml:space="preserve">في تعليقاته المؤرخة </w:t>
      </w:r>
      <w:r w:rsidRPr="00754C8F">
        <w:rPr>
          <w:szCs w:val="20"/>
          <w:rtl/>
          <w:lang w:val="fr-CH"/>
        </w:rPr>
        <w:t>15</w:t>
      </w:r>
      <w:r w:rsidR="00B934F4" w:rsidRPr="00B934F4">
        <w:rPr>
          <w:rtl/>
          <w:lang w:val="fr-CH"/>
        </w:rPr>
        <w:t xml:space="preserve"> كانون الثاني/يناير </w:t>
      </w:r>
      <w:r w:rsidRPr="00754C8F">
        <w:rPr>
          <w:szCs w:val="20"/>
          <w:rtl/>
          <w:lang w:val="fr-CH"/>
        </w:rPr>
        <w:t>2016</w:t>
      </w:r>
      <w:r w:rsidR="00B934F4" w:rsidRPr="00B934F4">
        <w:rPr>
          <w:rtl/>
          <w:lang w:val="fr-CH"/>
        </w:rPr>
        <w:t xml:space="preserve">، إلى أن الدولة الطرف لا تعتمد على تحفظها على المادة </w:t>
      </w:r>
      <w:r w:rsidRPr="00754C8F">
        <w:rPr>
          <w:szCs w:val="20"/>
          <w:rtl/>
          <w:lang w:val="fr-CH"/>
        </w:rPr>
        <w:t>5</w:t>
      </w:r>
      <w:r w:rsidR="00B934F4" w:rsidRPr="00B934F4">
        <w:rPr>
          <w:rtl/>
          <w:lang w:val="fr-CH"/>
        </w:rPr>
        <w:t>(</w:t>
      </w:r>
      <w:r w:rsidRPr="00754C8F">
        <w:rPr>
          <w:szCs w:val="20"/>
          <w:rtl/>
          <w:lang w:val="fr-CH"/>
        </w:rPr>
        <w:t>2</w:t>
      </w:r>
      <w:r w:rsidR="00B934F4" w:rsidRPr="00B934F4">
        <w:rPr>
          <w:rtl/>
          <w:lang w:val="fr-CH"/>
        </w:rPr>
        <w:t>)(أ) من البروتوكول الاختياري لغرض مقبولية هذا البلاغ.</w:t>
      </w:r>
      <w:r w:rsidR="00B934F4" w:rsidRPr="00B934F4">
        <w:rPr>
          <w:rtl/>
          <w:lang w:val="en-GB"/>
        </w:rPr>
        <w:t xml:space="preserve"> </w:t>
      </w:r>
      <w:r w:rsidR="00B934F4" w:rsidRPr="00B934F4">
        <w:rPr>
          <w:rtl/>
          <w:lang w:val="fr-CH"/>
        </w:rPr>
        <w:t>وعلى أية حال، لا يصل القرار الصادر عن قاض وحيد في المحكمة الأوروبية لحقوق الإنسان إلى مستوى التقييم الحقيقي لجوهر شكوى صاحب البلاغ.</w:t>
      </w:r>
    </w:p>
    <w:p w:rsidR="00B934F4" w:rsidRPr="00D67799" w:rsidRDefault="00754C8F" w:rsidP="00B934F4">
      <w:pPr>
        <w:pStyle w:val="SingleTxtGA"/>
        <w:rPr>
          <w:spacing w:val="-2"/>
          <w:rtl/>
          <w:lang w:val="fr-CH"/>
        </w:rPr>
      </w:pPr>
      <w:r w:rsidRPr="00D67799">
        <w:rPr>
          <w:spacing w:val="-2"/>
          <w:szCs w:val="20"/>
          <w:rtl/>
          <w:lang w:val="fr-CH"/>
        </w:rPr>
        <w:t>5</w:t>
      </w:r>
      <w:r w:rsidR="00B934F4" w:rsidRPr="00D67799">
        <w:rPr>
          <w:spacing w:val="-2"/>
          <w:rtl/>
          <w:lang w:val="fr-CH"/>
        </w:rPr>
        <w:t>-</w:t>
      </w:r>
      <w:r w:rsidRPr="00D67799">
        <w:rPr>
          <w:spacing w:val="-2"/>
          <w:szCs w:val="20"/>
          <w:rtl/>
          <w:lang w:val="fr-CH"/>
        </w:rPr>
        <w:t>2</w:t>
      </w:r>
      <w:r w:rsidR="00B934F4" w:rsidRPr="00D67799">
        <w:rPr>
          <w:spacing w:val="-2"/>
          <w:rtl/>
          <w:lang w:val="en-GB"/>
        </w:rPr>
        <w:tab/>
      </w:r>
      <w:r w:rsidR="00B934F4" w:rsidRPr="00D67799">
        <w:rPr>
          <w:spacing w:val="-2"/>
          <w:rtl/>
          <w:lang w:val="fr-CH"/>
        </w:rPr>
        <w:t>وفي سياق الاعتراض على ادعاءات صاحب البلاغ بموجب العهد، تعتمد الدولة الطرف ببساطة على كون أوكرانيا عضواً في مجلس أوروبا وطرفاً في الاتفاقية الأوروبية لحقوق الإنسان.</w:t>
      </w:r>
      <w:r w:rsidR="00B934F4" w:rsidRPr="00D67799">
        <w:rPr>
          <w:spacing w:val="-2"/>
          <w:rtl/>
          <w:lang w:val="en-GB"/>
        </w:rPr>
        <w:t xml:space="preserve"> </w:t>
      </w:r>
      <w:r w:rsidR="00B934F4" w:rsidRPr="00D67799">
        <w:rPr>
          <w:spacing w:val="-2"/>
          <w:rtl/>
          <w:lang w:val="fr-CH"/>
        </w:rPr>
        <w:t>ومن الواضح أن هذه الحجة وحدها غير كافية لإثبات عدم وجود خطر حقيقي في التعرض لإساءة معاملة في الدولة الطالبة، لأن التصديق على معاهدة لحقوق الإنسان لا يوفر في حد ذاته أي ضمان فيما يتعلق بالامتثال الفعلي للالتزامات الناشئة عن المعاهدة، ولا ينشأ عن هذا التصديق أي افتراض للامتثال.</w:t>
      </w:r>
      <w:r w:rsidR="00B934F4" w:rsidRPr="00D67799">
        <w:rPr>
          <w:spacing w:val="-2"/>
          <w:rtl/>
          <w:lang w:val="en-GB"/>
        </w:rPr>
        <w:t xml:space="preserve"> </w:t>
      </w:r>
      <w:r w:rsidR="00B934F4" w:rsidRPr="00D67799">
        <w:rPr>
          <w:spacing w:val="-2"/>
          <w:rtl/>
          <w:lang w:val="fr-CH"/>
        </w:rPr>
        <w:t>وعلى أية حال، يمكن دحض هذا الافتراض في ضوء المعلومات المقدمة المدعومة بأدلة، التي تثبت وجود نمط ثابت من الانتهاكات الجسيمة والمنهجية لحقوق المحتجزين في أوكرانيا.</w:t>
      </w:r>
    </w:p>
    <w:p w:rsidR="00B934F4" w:rsidRPr="00B934F4" w:rsidRDefault="00754C8F" w:rsidP="00B934F4">
      <w:pPr>
        <w:pStyle w:val="SingleTxtGA"/>
        <w:rPr>
          <w:rtl/>
          <w:lang w:val="fr-CH"/>
        </w:rPr>
      </w:pPr>
      <w:r w:rsidRPr="00754C8F">
        <w:rPr>
          <w:szCs w:val="20"/>
          <w:rtl/>
          <w:lang w:val="fr-CH"/>
        </w:rPr>
        <w:t>5</w:t>
      </w:r>
      <w:r w:rsidR="00B934F4" w:rsidRPr="00B934F4">
        <w:rPr>
          <w:rtl/>
          <w:lang w:val="fr-CH"/>
        </w:rPr>
        <w:t>-</w:t>
      </w:r>
      <w:r w:rsidRPr="00754C8F">
        <w:rPr>
          <w:szCs w:val="20"/>
          <w:rtl/>
          <w:lang w:val="fr-CH"/>
        </w:rPr>
        <w:t>3</w:t>
      </w:r>
      <w:r w:rsidR="00B934F4" w:rsidRPr="00B934F4">
        <w:rPr>
          <w:rtl/>
          <w:lang w:val="en-GB"/>
        </w:rPr>
        <w:tab/>
      </w:r>
      <w:r w:rsidR="00B934F4" w:rsidRPr="00B934F4">
        <w:rPr>
          <w:rtl/>
          <w:lang w:val="fr-CH"/>
        </w:rPr>
        <w:t>ويفيد صاحب البلاغ بأن التقارير الموثوقة التي استشهد بها في البلاغ الأصلي تبين ما</w:t>
      </w:r>
      <w:r w:rsidR="00F03E26">
        <w:rPr>
          <w:rFonts w:hint="cs"/>
          <w:rtl/>
          <w:lang w:val="fr-CH"/>
        </w:rPr>
        <w:t> </w:t>
      </w:r>
      <w:r w:rsidR="00B934F4" w:rsidRPr="00B934F4">
        <w:rPr>
          <w:rtl/>
          <w:lang w:val="fr-CH"/>
        </w:rPr>
        <w:t xml:space="preserve">يلي: </w:t>
      </w:r>
      <w:r w:rsidR="00CB1B5C">
        <w:rPr>
          <w:rFonts w:hint="cs"/>
          <w:rtl/>
          <w:lang w:val="fr-CH"/>
        </w:rPr>
        <w:t>‘</w:t>
      </w:r>
      <w:proofErr w:type="gramStart"/>
      <w:r w:rsidR="00B934F4" w:rsidRPr="00754C8F">
        <w:rPr>
          <w:szCs w:val="20"/>
          <w:rtl/>
          <w:lang w:val="fr-CH"/>
        </w:rPr>
        <w:t>1</w:t>
      </w:r>
      <w:r w:rsidR="00CB1B5C">
        <w:rPr>
          <w:rFonts w:hint="cs"/>
          <w:rtl/>
          <w:lang w:val="fr-CH"/>
        </w:rPr>
        <w:t>‘</w:t>
      </w:r>
      <w:r w:rsidR="00CB1B5C" w:rsidRPr="00B934F4">
        <w:rPr>
          <w:rtl/>
          <w:lang w:val="fr-CH"/>
        </w:rPr>
        <w:t xml:space="preserve"> </w:t>
      </w:r>
      <w:r w:rsidR="00B934F4" w:rsidRPr="00B934F4">
        <w:rPr>
          <w:rtl/>
          <w:lang w:val="fr-CH"/>
        </w:rPr>
        <w:t>أن</w:t>
      </w:r>
      <w:proofErr w:type="gramEnd"/>
      <w:r w:rsidR="00B934F4" w:rsidRPr="00B934F4">
        <w:rPr>
          <w:rtl/>
          <w:lang w:val="fr-CH"/>
        </w:rPr>
        <w:t xml:space="preserve"> ظروف الاحتجاز في أوكرانيا "غير مقبولة على الإطلاق"؛ </w:t>
      </w:r>
      <w:r w:rsidR="00CB1B5C">
        <w:rPr>
          <w:rFonts w:hint="cs"/>
          <w:rtl/>
          <w:lang w:val="fr-CH"/>
        </w:rPr>
        <w:t>‘</w:t>
      </w:r>
      <w:r w:rsidR="00B934F4" w:rsidRPr="00754C8F">
        <w:rPr>
          <w:szCs w:val="20"/>
          <w:rtl/>
          <w:lang w:val="fr-CH"/>
        </w:rPr>
        <w:t>2</w:t>
      </w:r>
      <w:r w:rsidR="00CB1B5C">
        <w:rPr>
          <w:rFonts w:hint="cs"/>
          <w:rtl/>
          <w:lang w:val="fr-CH"/>
        </w:rPr>
        <w:t>‘</w:t>
      </w:r>
      <w:r w:rsidR="00CB1B5C" w:rsidRPr="00B934F4">
        <w:rPr>
          <w:rtl/>
          <w:lang w:val="fr-CH"/>
        </w:rPr>
        <w:t xml:space="preserve"> </w:t>
      </w:r>
      <w:r w:rsidR="00B934F4" w:rsidRPr="00B934F4">
        <w:rPr>
          <w:rtl/>
          <w:lang w:val="fr-CH"/>
        </w:rPr>
        <w:t>أن الكثير من</w:t>
      </w:r>
      <w:r w:rsidR="00F03E26">
        <w:rPr>
          <w:rFonts w:hint="cs"/>
          <w:rtl/>
          <w:lang w:val="fr-CH"/>
        </w:rPr>
        <w:t> </w:t>
      </w:r>
      <w:r w:rsidR="00B934F4" w:rsidRPr="00B934F4">
        <w:rPr>
          <w:rtl/>
          <w:lang w:val="fr-CH"/>
        </w:rPr>
        <w:t xml:space="preserve">المحتجزين يتعرضون، في جملة أمور، "للضرب وإساءة المعاملة </w:t>
      </w:r>
      <w:r w:rsidR="00B934F4" w:rsidRPr="00B934F4">
        <w:rPr>
          <w:rtl/>
          <w:lang w:val="fr-CH" w:bidi="ar-DZ"/>
        </w:rPr>
        <w:t>...</w:t>
      </w:r>
      <w:r w:rsidR="00B934F4" w:rsidRPr="00B934F4">
        <w:rPr>
          <w:rtl/>
          <w:lang w:val="en-GB"/>
        </w:rPr>
        <w:t xml:space="preserve"> </w:t>
      </w:r>
      <w:r w:rsidR="00B934F4" w:rsidRPr="00B934F4">
        <w:rPr>
          <w:rtl/>
          <w:lang w:val="fr-CH"/>
        </w:rPr>
        <w:t xml:space="preserve">والحرمان من النوم والسخرة"؛ </w:t>
      </w:r>
      <w:r w:rsidR="00CB1B5C">
        <w:rPr>
          <w:rFonts w:hint="cs"/>
          <w:rtl/>
          <w:lang w:val="fr-CH"/>
        </w:rPr>
        <w:t>‘</w:t>
      </w:r>
      <w:r w:rsidR="00B934F4" w:rsidRPr="00754C8F">
        <w:rPr>
          <w:szCs w:val="20"/>
          <w:rtl/>
          <w:lang w:val="fr-CH"/>
        </w:rPr>
        <w:t>3</w:t>
      </w:r>
      <w:r w:rsidR="00CB1B5C">
        <w:rPr>
          <w:rFonts w:hint="cs"/>
          <w:rtl/>
          <w:lang w:val="fr-CH"/>
        </w:rPr>
        <w:t>‘</w:t>
      </w:r>
      <w:r w:rsidR="00CB1B5C" w:rsidRPr="00B934F4">
        <w:rPr>
          <w:rtl/>
          <w:lang w:val="fr-CH"/>
        </w:rPr>
        <w:t xml:space="preserve"> </w:t>
      </w:r>
      <w:r w:rsidR="00B934F4" w:rsidRPr="00B934F4">
        <w:rPr>
          <w:rtl/>
          <w:lang w:val="fr-CH"/>
        </w:rPr>
        <w:t xml:space="preserve">أنه منذ اندلاع أعمال القتال الراهنة، "اقتُرح على المحتجزين الانضمام إلى القوات كبديل للتعذيب وسوء المعاملة "؛ </w:t>
      </w:r>
      <w:r w:rsidR="00CB1B5C">
        <w:rPr>
          <w:rFonts w:hint="cs"/>
          <w:rtl/>
          <w:lang w:val="fr-CH"/>
        </w:rPr>
        <w:t>‘</w:t>
      </w:r>
      <w:r w:rsidR="00B934F4" w:rsidRPr="00754C8F">
        <w:rPr>
          <w:szCs w:val="20"/>
          <w:rtl/>
          <w:lang w:val="fr-CH"/>
        </w:rPr>
        <w:t>4</w:t>
      </w:r>
      <w:r w:rsidR="00CB1B5C">
        <w:rPr>
          <w:rFonts w:hint="cs"/>
          <w:rtl/>
          <w:lang w:val="fr-CH"/>
        </w:rPr>
        <w:t>‘</w:t>
      </w:r>
      <w:r w:rsidR="00CB1B5C" w:rsidRPr="00B934F4">
        <w:rPr>
          <w:rtl/>
          <w:lang w:val="fr-CH"/>
        </w:rPr>
        <w:t xml:space="preserve"> </w:t>
      </w:r>
      <w:r w:rsidR="00B934F4" w:rsidRPr="00B934F4">
        <w:rPr>
          <w:rtl/>
          <w:lang w:val="fr-CH"/>
        </w:rPr>
        <w:t>أن "استخدام التعذيب من قبل موظفي إنفاذ القانون في أوكرانيا واسع النطاق"</w:t>
      </w:r>
      <w:r w:rsidR="00330541">
        <w:rPr>
          <w:vertAlign w:val="superscript"/>
          <w:rtl/>
          <w:lang w:val="en-GB"/>
        </w:rPr>
        <w:t>(</w:t>
      </w:r>
      <w:r w:rsidR="00330541" w:rsidRPr="00754C8F">
        <w:rPr>
          <w:rFonts w:cs="Times New Roman"/>
          <w:position w:val="4"/>
          <w:vertAlign w:val="superscript"/>
        </w:rPr>
        <w:footnoteReference w:id="22"/>
      </w:r>
      <w:r w:rsidR="00330541">
        <w:rPr>
          <w:vertAlign w:val="superscript"/>
          <w:rtl/>
          <w:lang w:val="en-GB"/>
        </w:rPr>
        <w:t>)</w:t>
      </w:r>
      <w:r w:rsidR="00B934F4" w:rsidRPr="00B934F4">
        <w:rPr>
          <w:rtl/>
          <w:lang w:val="fr-CH"/>
        </w:rPr>
        <w:t>.</w:t>
      </w:r>
    </w:p>
    <w:p w:rsidR="00B934F4" w:rsidRPr="00B934F4" w:rsidRDefault="00754C8F" w:rsidP="00B934F4">
      <w:pPr>
        <w:pStyle w:val="SingleTxtGA"/>
        <w:rPr>
          <w:rtl/>
          <w:lang w:val="fr-CH"/>
        </w:rPr>
      </w:pPr>
      <w:r w:rsidRPr="00754C8F">
        <w:rPr>
          <w:szCs w:val="20"/>
          <w:rtl/>
          <w:lang w:val="fr-CH"/>
        </w:rPr>
        <w:t>5</w:t>
      </w:r>
      <w:r w:rsidR="00B934F4" w:rsidRPr="00B934F4">
        <w:rPr>
          <w:rtl/>
          <w:lang w:val="fr-CH"/>
        </w:rPr>
        <w:t>-</w:t>
      </w:r>
      <w:r w:rsidRPr="00754C8F">
        <w:rPr>
          <w:szCs w:val="20"/>
          <w:rtl/>
          <w:lang w:val="fr-CH"/>
        </w:rPr>
        <w:t>4</w:t>
      </w:r>
      <w:r w:rsidR="00B934F4" w:rsidRPr="00B934F4">
        <w:rPr>
          <w:rtl/>
          <w:lang w:val="en-GB"/>
        </w:rPr>
        <w:tab/>
      </w:r>
      <w:r w:rsidR="00B934F4" w:rsidRPr="00B934F4">
        <w:rPr>
          <w:rtl/>
          <w:lang w:val="fr-CH"/>
        </w:rPr>
        <w:t>وبالإضافة إلى ذلك، كررت لجنة مناهضة التعذيب مؤخراً الإعراب عن قلقها لعدم اتخاذ تدابير للتصدي للتعذيب وإساءة المعاملة في أوكرانيا.</w:t>
      </w:r>
      <w:r w:rsidR="00B934F4" w:rsidRPr="00B934F4">
        <w:rPr>
          <w:rtl/>
          <w:lang w:val="en-GB"/>
        </w:rPr>
        <w:t xml:space="preserve"> </w:t>
      </w:r>
      <w:r w:rsidR="00B934F4" w:rsidRPr="00B934F4">
        <w:rPr>
          <w:rtl/>
          <w:lang w:val="fr-CH"/>
        </w:rPr>
        <w:t>وخلصت اللجنة إلى أنه في أوكرانيا "لا يتمتع المحتجزون في الواقع العملي بجميع الضمانات القانونية الأساسية منذ اللحظة الأولى للحرمان من الحرية، لا سيما في مراكز احتجاز الشرطة ومراكز الاحتجاز المؤقت، مثل إبلاغهم بحقوقهم وفهمهم لها، والوصول إلى طبيب مستقل و/أو محام، والحق في إبلاغ أحد الأقارب أو شخص من اختيارهم"</w:t>
      </w:r>
      <w:r w:rsidR="00330541">
        <w:rPr>
          <w:vertAlign w:val="superscript"/>
          <w:rtl/>
          <w:lang w:val="en-GB"/>
        </w:rPr>
        <w:t>(</w:t>
      </w:r>
      <w:r w:rsidR="00330541" w:rsidRPr="00754C8F">
        <w:rPr>
          <w:rFonts w:cs="Times New Roman"/>
          <w:position w:val="4"/>
          <w:vertAlign w:val="superscript"/>
        </w:rPr>
        <w:footnoteReference w:id="23"/>
      </w:r>
      <w:r w:rsidR="00330541">
        <w:rPr>
          <w:vertAlign w:val="superscript"/>
          <w:rtl/>
          <w:lang w:val="en-GB"/>
        </w:rPr>
        <w:t>)</w:t>
      </w:r>
      <w:r w:rsidR="00B934F4" w:rsidRPr="00B934F4">
        <w:rPr>
          <w:rtl/>
          <w:lang w:val="fr-CH"/>
        </w:rPr>
        <w:t>.</w:t>
      </w:r>
      <w:r w:rsidR="00B934F4" w:rsidRPr="00B934F4">
        <w:rPr>
          <w:rtl/>
          <w:lang w:val="fr-CH" w:bidi="ar-DZ"/>
        </w:rPr>
        <w:t xml:space="preserve"> </w:t>
      </w:r>
      <w:r w:rsidR="00B934F4" w:rsidRPr="00B934F4">
        <w:rPr>
          <w:rtl/>
          <w:lang w:val="fr-CH"/>
        </w:rPr>
        <w:t>وعلاوة على ذلك، شددت لجنة مناهضة التعذيب على تدني الأوضاع في أماكن الاحتجاز، بما في ذلك الاكتظاظ الشديد، مما يؤدي إلى العنف بين السجناء.</w:t>
      </w:r>
      <w:r w:rsidR="00B934F4" w:rsidRPr="00B934F4">
        <w:rPr>
          <w:rtl/>
          <w:lang w:val="en-GB"/>
        </w:rPr>
        <w:t xml:space="preserve"> </w:t>
      </w:r>
      <w:r w:rsidR="00B934F4" w:rsidRPr="00B934F4">
        <w:rPr>
          <w:rtl/>
          <w:lang w:val="fr-CH"/>
        </w:rPr>
        <w:t>وأعربت اللجنة أيضا</w:t>
      </w:r>
      <w:r w:rsidR="0046391F">
        <w:rPr>
          <w:rFonts w:hint="cs"/>
          <w:rtl/>
          <w:lang w:val="fr-CH"/>
        </w:rPr>
        <w:t>ً</w:t>
      </w:r>
      <w:r w:rsidR="00B934F4" w:rsidRPr="00B934F4">
        <w:rPr>
          <w:rtl/>
          <w:lang w:val="fr-CH"/>
        </w:rPr>
        <w:t xml:space="preserve"> عن القلق لأن الغالبية العظمى من سجون أوكرانيا لا تستوفي المعايير الدولية للسجون، والقلق أيضاً بشأن استمرار اللجوء إلى التعذيب (أو غيره من المعاملة القاسية أو اللاإنسانية أو المهينة) لغرض انتزاع الاعترافات، بالرغم من بدء نفاذ قانون الإجراءات الجنائية </w:t>
      </w:r>
      <w:proofErr w:type="gramStart"/>
      <w:r w:rsidR="00B934F4" w:rsidRPr="00B934F4">
        <w:rPr>
          <w:rtl/>
          <w:lang w:val="fr-CH"/>
        </w:rPr>
        <w:t>الجديد</w:t>
      </w:r>
      <w:r w:rsidR="00330541">
        <w:rPr>
          <w:vertAlign w:val="superscript"/>
          <w:rtl/>
          <w:lang w:val="en-GB"/>
        </w:rPr>
        <w:t>(</w:t>
      </w:r>
      <w:proofErr w:type="gramEnd"/>
      <w:r w:rsidR="00330541" w:rsidRPr="00754C8F">
        <w:rPr>
          <w:rFonts w:cs="Times New Roman"/>
          <w:position w:val="4"/>
          <w:vertAlign w:val="superscript"/>
        </w:rPr>
        <w:footnoteReference w:id="24"/>
      </w:r>
      <w:r w:rsidR="00330541">
        <w:rPr>
          <w:vertAlign w:val="superscript"/>
          <w:rtl/>
          <w:lang w:val="en-GB"/>
        </w:rPr>
        <w:t>)</w:t>
      </w:r>
      <w:r w:rsidR="00B934F4" w:rsidRPr="00B934F4">
        <w:rPr>
          <w:rtl/>
          <w:lang w:val="fr-CH"/>
        </w:rPr>
        <w:t>.</w:t>
      </w:r>
    </w:p>
    <w:p w:rsidR="00B934F4" w:rsidRPr="00B934F4" w:rsidRDefault="00754C8F" w:rsidP="00B934F4">
      <w:pPr>
        <w:pStyle w:val="SingleTxtGA"/>
        <w:rPr>
          <w:rtl/>
          <w:lang w:val="fr-CH"/>
        </w:rPr>
      </w:pPr>
      <w:r w:rsidRPr="00754C8F">
        <w:rPr>
          <w:szCs w:val="20"/>
          <w:rtl/>
          <w:lang w:val="fr-CH"/>
        </w:rPr>
        <w:lastRenderedPageBreak/>
        <w:t>5</w:t>
      </w:r>
      <w:r w:rsidR="00B934F4" w:rsidRPr="00B934F4">
        <w:rPr>
          <w:rtl/>
          <w:lang w:val="fr-CH"/>
        </w:rPr>
        <w:t>-</w:t>
      </w:r>
      <w:r w:rsidRPr="00754C8F">
        <w:rPr>
          <w:szCs w:val="20"/>
          <w:rtl/>
          <w:lang w:val="fr-CH"/>
        </w:rPr>
        <w:t>5</w:t>
      </w:r>
      <w:r w:rsidR="00B934F4" w:rsidRPr="00B934F4">
        <w:rPr>
          <w:rtl/>
          <w:lang w:val="en-GB"/>
        </w:rPr>
        <w:tab/>
      </w:r>
      <w:r w:rsidR="00B934F4" w:rsidRPr="00B934F4">
        <w:rPr>
          <w:rtl/>
          <w:lang w:val="fr-CH"/>
        </w:rPr>
        <w:t xml:space="preserve">وفي قضية حديثة، خلصت اللجنة إلى حدوث انتهاك للمادة </w:t>
      </w:r>
      <w:r w:rsidRPr="00754C8F">
        <w:rPr>
          <w:szCs w:val="20"/>
          <w:rtl/>
          <w:lang w:val="fr-CH"/>
        </w:rPr>
        <w:t>7</w:t>
      </w:r>
      <w:r w:rsidR="00B934F4" w:rsidRPr="00B934F4">
        <w:rPr>
          <w:rtl/>
          <w:lang w:val="fr-CH"/>
        </w:rPr>
        <w:t xml:space="preserve"> من العهد بسبب تعرض صاحب البلاغ لسلسلة من حلقات التعذيب أثناء احتجازه المؤقت في سجن الاحتجاز رهن المحاكمة رقم </w:t>
      </w:r>
      <w:r w:rsidRPr="00754C8F">
        <w:rPr>
          <w:szCs w:val="20"/>
          <w:rtl/>
          <w:lang w:val="fr-CH"/>
        </w:rPr>
        <w:t>29</w:t>
      </w:r>
      <w:r w:rsidR="00330541">
        <w:rPr>
          <w:vertAlign w:val="superscript"/>
          <w:rtl/>
          <w:lang w:val="en-GB"/>
        </w:rPr>
        <w:t>(</w:t>
      </w:r>
      <w:r w:rsidR="00330541" w:rsidRPr="00754C8F">
        <w:rPr>
          <w:rFonts w:cs="Times New Roman"/>
          <w:position w:val="4"/>
          <w:vertAlign w:val="superscript"/>
        </w:rPr>
        <w:footnoteReference w:id="25"/>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ولا يترتب على كون دولة ما طرفاً في اتفاقية دولية لحقوق الإنسان افتراض أن هذه الدولة تحترم بالفعل تلك الحقوق.</w:t>
      </w:r>
      <w:r w:rsidR="004A1FF2">
        <w:rPr>
          <w:rtl/>
          <w:lang w:val="en-GB"/>
        </w:rPr>
        <w:t xml:space="preserve"> </w:t>
      </w:r>
      <w:r w:rsidR="00B934F4" w:rsidRPr="00B934F4">
        <w:rPr>
          <w:rtl/>
          <w:lang w:val="fr-CH"/>
        </w:rPr>
        <w:t>ولم تتخذ السلطات الإيطالية أي خطوات للتحقق من المعلومات التي قدمها صاحب البلاغ أمام المحاكم المحلية في سياق الإجراءات المتعلقة بالتسليم.</w:t>
      </w:r>
      <w:r w:rsidR="00B934F4" w:rsidRPr="00B934F4">
        <w:rPr>
          <w:rtl/>
          <w:lang w:val="en-GB"/>
        </w:rPr>
        <w:t xml:space="preserve"> </w:t>
      </w:r>
      <w:r w:rsidR="00B934F4" w:rsidRPr="00B934F4">
        <w:rPr>
          <w:rtl/>
          <w:lang w:val="fr-CH"/>
        </w:rPr>
        <w:t>وبذلك خالفت السلطات المبدأ الراسخ في السوابق القضائية للجنة، وهو أنه قبل تسليم أي شخص إلى بلد قد يواجه فيه</w:t>
      </w:r>
      <w:r w:rsidR="004A1FF2">
        <w:rPr>
          <w:rtl/>
          <w:lang w:val="fr-CH"/>
        </w:rPr>
        <w:t xml:space="preserve"> </w:t>
      </w:r>
      <w:r w:rsidR="00B934F4" w:rsidRPr="00B934F4">
        <w:rPr>
          <w:rtl/>
          <w:lang w:val="fr-CH"/>
        </w:rPr>
        <w:t>بالفعل</w:t>
      </w:r>
      <w:r w:rsidR="004A1FF2">
        <w:rPr>
          <w:rtl/>
          <w:lang w:val="fr-CH"/>
        </w:rPr>
        <w:t xml:space="preserve"> </w:t>
      </w:r>
      <w:r w:rsidR="00B934F4" w:rsidRPr="00B934F4">
        <w:rPr>
          <w:rtl/>
          <w:lang w:val="fr-CH"/>
        </w:rPr>
        <w:t>خطر التعرض للتعذيب أو المعاملة اللاإنسانية والمهينة، يتوجب على الدولة الطرف في العهد "إجراء تقييم شامل وفردي للمخاطر" مع الأخذ في الاعتبار "جميع الوقائع والظروف ذات الصلة ... بما في ذلك الحالة العامة لحقوق الإنسان في البلد الذي سيُرحل أو سيُسلم إليه صاحب البلاغ"</w:t>
      </w:r>
      <w:r w:rsidR="00330541">
        <w:rPr>
          <w:vertAlign w:val="superscript"/>
          <w:rtl/>
          <w:lang w:val="en-GB"/>
        </w:rPr>
        <w:t>(</w:t>
      </w:r>
      <w:r w:rsidR="00330541" w:rsidRPr="00754C8F">
        <w:rPr>
          <w:rFonts w:cs="Times New Roman"/>
          <w:position w:val="4"/>
          <w:vertAlign w:val="superscript"/>
        </w:rPr>
        <w:footnoteReference w:id="26"/>
      </w:r>
      <w:r w:rsidR="00330541">
        <w:rPr>
          <w:vertAlign w:val="superscript"/>
          <w:rtl/>
          <w:lang w:val="en-GB"/>
        </w:rPr>
        <w:t>)</w:t>
      </w:r>
      <w:r w:rsidR="00B934F4" w:rsidRPr="00B934F4">
        <w:rPr>
          <w:rtl/>
          <w:lang w:val="fr-CH"/>
        </w:rPr>
        <w:t>.</w:t>
      </w:r>
    </w:p>
    <w:p w:rsidR="00B934F4" w:rsidRPr="00B934F4" w:rsidRDefault="00754C8F" w:rsidP="00B934F4">
      <w:pPr>
        <w:pStyle w:val="SingleTxtGA"/>
        <w:rPr>
          <w:rtl/>
          <w:lang w:val="fr-CH"/>
        </w:rPr>
      </w:pPr>
      <w:r w:rsidRPr="00754C8F">
        <w:rPr>
          <w:szCs w:val="20"/>
          <w:rtl/>
          <w:lang w:val="fr-CH"/>
        </w:rPr>
        <w:t>5</w:t>
      </w:r>
      <w:r w:rsidR="00B934F4" w:rsidRPr="00B934F4">
        <w:rPr>
          <w:rtl/>
          <w:lang w:val="fr-CH"/>
        </w:rPr>
        <w:t>-</w:t>
      </w:r>
      <w:r w:rsidRPr="00754C8F">
        <w:rPr>
          <w:szCs w:val="20"/>
          <w:rtl/>
          <w:lang w:val="fr-CH"/>
        </w:rPr>
        <w:t>6</w:t>
      </w:r>
      <w:r w:rsidR="00B934F4" w:rsidRPr="00B934F4">
        <w:rPr>
          <w:rtl/>
          <w:lang w:val="en-GB"/>
        </w:rPr>
        <w:tab/>
      </w:r>
      <w:r w:rsidR="00B934F4" w:rsidRPr="00B934F4">
        <w:rPr>
          <w:rtl/>
          <w:lang w:val="fr-CH"/>
        </w:rPr>
        <w:t>ونظراً إلى "استمرار حدوث التعذيب وإساءة المعاملة من جانب سلطات إنفاذ القانون،" على النحو الذي سبق أن أشارت إليه اللجنة، من المعقول جداً توقع أن يتعرض صاحب البلاغ شخصيا</w:t>
      </w:r>
      <w:r w:rsidR="0046391F">
        <w:rPr>
          <w:rFonts w:hint="cs"/>
          <w:rtl/>
          <w:lang w:val="fr-CH"/>
        </w:rPr>
        <w:t>ً</w:t>
      </w:r>
      <w:r w:rsidR="00B934F4" w:rsidRPr="00B934F4">
        <w:rPr>
          <w:rtl/>
          <w:lang w:val="fr-CH"/>
        </w:rPr>
        <w:t xml:space="preserve"> لخطر التعذيب إذا تم تسليمه إلى أوكرانيا.</w:t>
      </w:r>
      <w:r w:rsidR="00B934F4" w:rsidRPr="00B934F4">
        <w:rPr>
          <w:rtl/>
          <w:lang w:val="en-GB"/>
        </w:rPr>
        <w:t xml:space="preserve"> </w:t>
      </w:r>
      <w:r w:rsidR="00B934F4" w:rsidRPr="00B934F4">
        <w:rPr>
          <w:rtl/>
          <w:lang w:val="fr-CH"/>
        </w:rPr>
        <w:t>ولكي تبت السلطات الإيطالية في وجود هذا الخطر الحقيقي في حالة معينة، ينبغي لها أن تنظر على النحو الواجب في جميع المعلومات التي قدمها صاحب البلاغ، بما في ذلك التقارير العامة العديدة الموثوق بها المقدمة إلى المحاكم المحلية.</w:t>
      </w:r>
      <w:r w:rsidR="00B934F4" w:rsidRPr="00B934F4">
        <w:rPr>
          <w:rtl/>
          <w:lang w:val="en-GB"/>
        </w:rPr>
        <w:t xml:space="preserve"> </w:t>
      </w:r>
      <w:r w:rsidR="00B934F4" w:rsidRPr="00B934F4">
        <w:rPr>
          <w:rtl/>
          <w:lang w:val="fr-CH"/>
        </w:rPr>
        <w:t>وبدلا</w:t>
      </w:r>
      <w:r w:rsidR="0046391F">
        <w:rPr>
          <w:rFonts w:hint="cs"/>
          <w:rtl/>
          <w:lang w:val="fr-CH"/>
        </w:rPr>
        <w:t>ً</w:t>
      </w:r>
      <w:r w:rsidR="00B934F4" w:rsidRPr="00B934F4">
        <w:rPr>
          <w:rtl/>
          <w:lang w:val="fr-CH"/>
        </w:rPr>
        <w:t xml:space="preserve"> من ذلك، أغفلت السلطات جميع ادعاءاته المتعلقة بالانتهاكات الجسيمة لحقوق الإنسان التي تحدث في مرافق الاحتجاز رهن المحاكمة في أوكرانيا، باعتبار هذه الادعاءات غير ذات صلة بتسليمه و/أو غير جوهرية.</w:t>
      </w:r>
      <w:r w:rsidR="00B934F4" w:rsidRPr="00B934F4">
        <w:rPr>
          <w:rtl/>
          <w:lang w:val="en-GB"/>
        </w:rPr>
        <w:t xml:space="preserve"> </w:t>
      </w:r>
      <w:r w:rsidR="00B934F4" w:rsidRPr="00B934F4">
        <w:rPr>
          <w:rtl/>
          <w:lang w:val="fr-CH"/>
        </w:rPr>
        <w:t xml:space="preserve">ولهذا السبب تحديداً، يحث صاحب البلاغ اللجنة على أن تقرر أن إيطاليا انتهكت المواد </w:t>
      </w:r>
      <w:r w:rsidRPr="00754C8F">
        <w:rPr>
          <w:szCs w:val="20"/>
          <w:rtl/>
          <w:lang w:val="fr-CH"/>
        </w:rPr>
        <w:t>2</w:t>
      </w:r>
      <w:r w:rsidR="00B934F4" w:rsidRPr="00B934F4">
        <w:rPr>
          <w:rtl/>
          <w:lang w:val="fr-CH"/>
        </w:rPr>
        <w:t xml:space="preserve"> </w:t>
      </w:r>
      <w:proofErr w:type="spellStart"/>
      <w:r w:rsidR="00B934F4" w:rsidRPr="00B934F4">
        <w:rPr>
          <w:rtl/>
          <w:lang w:val="fr-CH"/>
        </w:rPr>
        <w:t>و</w:t>
      </w:r>
      <w:r w:rsidRPr="00754C8F">
        <w:rPr>
          <w:szCs w:val="20"/>
          <w:rtl/>
          <w:lang w:val="fr-CH"/>
        </w:rPr>
        <w:t>7</w:t>
      </w:r>
      <w:proofErr w:type="spellEnd"/>
      <w:r w:rsidR="00B934F4" w:rsidRPr="00B934F4">
        <w:rPr>
          <w:rtl/>
          <w:lang w:val="fr-CH"/>
        </w:rPr>
        <w:t xml:space="preserve"> </w:t>
      </w:r>
      <w:proofErr w:type="spellStart"/>
      <w:r w:rsidR="00B934F4" w:rsidRPr="00B934F4">
        <w:rPr>
          <w:rtl/>
          <w:lang w:val="fr-CH"/>
        </w:rPr>
        <w:t>و</w:t>
      </w:r>
      <w:r w:rsidRPr="00754C8F">
        <w:rPr>
          <w:szCs w:val="20"/>
          <w:rtl/>
          <w:lang w:val="fr-CH"/>
        </w:rPr>
        <w:t>10</w:t>
      </w:r>
      <w:proofErr w:type="spellEnd"/>
      <w:r w:rsidR="00B934F4" w:rsidRPr="00B934F4">
        <w:rPr>
          <w:rtl/>
          <w:lang w:val="fr-CH"/>
        </w:rPr>
        <w:t xml:space="preserve"> من العهد، لعدم وفائها "بالتزامها بإجراء تقييم شامل للمعلومات التي كانت معروفة أو كان ينبغي أن تكون معروفة لسلطات الدولة الطرف في وقت التسليم والتي هي مهمة للبت في وجود مخاطر مرتبطة</w:t>
      </w:r>
      <w:r w:rsidR="00B934F4" w:rsidRPr="00B934F4">
        <w:rPr>
          <w:rtl/>
        </w:rPr>
        <w:t xml:space="preserve"> </w:t>
      </w:r>
      <w:r w:rsidR="00B934F4" w:rsidRPr="00B934F4">
        <w:rPr>
          <w:rtl/>
          <w:lang w:val="fr-CH" w:bidi="ar-DZ"/>
        </w:rPr>
        <w:t xml:space="preserve">بالتسليم"، </w:t>
      </w:r>
      <w:r w:rsidR="00B934F4" w:rsidRPr="00B934F4">
        <w:rPr>
          <w:rtl/>
          <w:lang w:val="fr-CH"/>
        </w:rPr>
        <w:t xml:space="preserve">ولاتخاذ إيطاليا قرار تسليمه رغم "التقارير العامة الموثوقة" التي توضح الوضع الحرج لحقوق الإنسان في الدولة </w:t>
      </w:r>
      <w:proofErr w:type="gramStart"/>
      <w:r w:rsidR="00B934F4" w:rsidRPr="00B934F4">
        <w:rPr>
          <w:rtl/>
          <w:lang w:val="fr-CH"/>
        </w:rPr>
        <w:t>الطالبة</w:t>
      </w:r>
      <w:r w:rsidR="00330541">
        <w:rPr>
          <w:vertAlign w:val="superscript"/>
          <w:rtl/>
          <w:lang w:val="en-GB"/>
        </w:rPr>
        <w:t>(</w:t>
      </w:r>
      <w:proofErr w:type="gramEnd"/>
      <w:r w:rsidR="00330541" w:rsidRPr="00754C8F">
        <w:rPr>
          <w:rFonts w:cs="Times New Roman"/>
          <w:position w:val="4"/>
          <w:vertAlign w:val="superscript"/>
        </w:rPr>
        <w:footnoteReference w:id="27"/>
      </w:r>
      <w:r w:rsidR="00330541">
        <w:rPr>
          <w:vertAlign w:val="superscript"/>
          <w:rtl/>
          <w:lang w:val="en-GB"/>
        </w:rPr>
        <w:t>)</w:t>
      </w:r>
      <w:r w:rsidR="00B934F4" w:rsidRPr="00B934F4">
        <w:rPr>
          <w:rtl/>
          <w:lang w:val="fr-CH"/>
        </w:rPr>
        <w:t>.</w:t>
      </w:r>
    </w:p>
    <w:p w:rsidR="00B934F4" w:rsidRPr="00B934F4" w:rsidRDefault="00754C8F" w:rsidP="00B934F4">
      <w:pPr>
        <w:pStyle w:val="SingleTxtGA"/>
        <w:rPr>
          <w:rtl/>
          <w:lang w:val="fr-CH"/>
        </w:rPr>
      </w:pPr>
      <w:r w:rsidRPr="00754C8F">
        <w:rPr>
          <w:szCs w:val="20"/>
          <w:rtl/>
          <w:lang w:val="fr-CH"/>
        </w:rPr>
        <w:t>5</w:t>
      </w:r>
      <w:r w:rsidR="00B934F4" w:rsidRPr="00B934F4">
        <w:rPr>
          <w:rtl/>
          <w:lang w:val="fr-CH"/>
        </w:rPr>
        <w:t>-</w:t>
      </w:r>
      <w:r w:rsidRPr="00754C8F">
        <w:rPr>
          <w:szCs w:val="20"/>
          <w:rtl/>
          <w:lang w:val="fr-CH"/>
        </w:rPr>
        <w:t>7</w:t>
      </w:r>
      <w:r w:rsidR="00B934F4" w:rsidRPr="00B934F4">
        <w:rPr>
          <w:rtl/>
          <w:lang w:val="en-GB"/>
        </w:rPr>
        <w:tab/>
      </w:r>
      <w:r w:rsidR="00B934F4" w:rsidRPr="00B934F4">
        <w:rPr>
          <w:rtl/>
          <w:lang w:val="fr-CH"/>
        </w:rPr>
        <w:t xml:space="preserve">وينشأ </w:t>
      </w:r>
      <w:r w:rsidR="00B934F4" w:rsidRPr="00B934F4">
        <w:rPr>
          <w:rtl/>
          <w:lang w:val="fr-CH" w:bidi="ar-DZ"/>
        </w:rPr>
        <w:t>ال</w:t>
      </w:r>
      <w:r w:rsidR="00B934F4" w:rsidRPr="00B934F4">
        <w:rPr>
          <w:rtl/>
          <w:lang w:val="fr-CH"/>
        </w:rPr>
        <w:t>خطر الفعلي في التعرض للتعذيب وغيره من ضروب المعاملة القاسية واللاإنسانية والمهينة، في حالة التسليم إلى أوكرانيا، عن "أوجه قصور هيكلية".</w:t>
      </w:r>
      <w:r w:rsidR="00B934F4" w:rsidRPr="00B934F4">
        <w:rPr>
          <w:rtl/>
          <w:lang w:val="en-GB"/>
        </w:rPr>
        <w:t xml:space="preserve"> </w:t>
      </w:r>
      <w:r w:rsidR="00B934F4" w:rsidRPr="00B934F4">
        <w:rPr>
          <w:rtl/>
          <w:lang w:val="fr-CH"/>
        </w:rPr>
        <w:t>وتكشف جميع المعلومات المتاحة عن وجود نمط ثابت من الانتهاكات الجسيمة والصارخة لحقوق الإنسان المكفولة للأوكرانيين المحتجزين، بسبب الأحوال المزرية في السجون الأوكرانية.</w:t>
      </w:r>
      <w:r w:rsidR="00B934F4" w:rsidRPr="00B934F4">
        <w:rPr>
          <w:rtl/>
          <w:lang w:val="en-GB"/>
        </w:rPr>
        <w:t xml:space="preserve"> </w:t>
      </w:r>
      <w:r w:rsidR="00B934F4" w:rsidRPr="00B934F4">
        <w:rPr>
          <w:rtl/>
          <w:lang w:val="fr-CH"/>
        </w:rPr>
        <w:t>وبالإضافة إلى ذلك، فإن صاحب البلاغ، المطلوب تسليمه ليحاكم على جريمة سرقة يُدعى ارتكابها في عام</w:t>
      </w:r>
      <w:r w:rsidR="00A64834">
        <w:rPr>
          <w:rFonts w:hint="cs"/>
          <w:rtl/>
          <w:lang w:val="fr-CH"/>
        </w:rPr>
        <w:t> </w:t>
      </w:r>
      <w:r w:rsidRPr="00754C8F">
        <w:rPr>
          <w:szCs w:val="20"/>
          <w:rtl/>
          <w:lang w:val="fr-CH"/>
        </w:rPr>
        <w:t>2000</w:t>
      </w:r>
      <w:r w:rsidR="00B934F4" w:rsidRPr="00B934F4">
        <w:rPr>
          <w:rtl/>
          <w:lang w:val="fr-CH"/>
        </w:rPr>
        <w:t>، يواجه بالفعل خطر التعرض للتعذيب لغرض الحصول منه على اعترافات.</w:t>
      </w:r>
      <w:r w:rsidR="00B934F4" w:rsidRPr="00B934F4">
        <w:rPr>
          <w:rtl/>
          <w:lang w:val="en-GB"/>
        </w:rPr>
        <w:t xml:space="preserve"> </w:t>
      </w:r>
      <w:r w:rsidR="00B934F4" w:rsidRPr="00B934F4">
        <w:rPr>
          <w:rtl/>
          <w:lang w:val="fr-CH"/>
        </w:rPr>
        <w:t>وفي ظل هذه الظروف، يرى صاحب البلاغ أنه معرض شخصيا</w:t>
      </w:r>
      <w:r w:rsidR="0046391F">
        <w:rPr>
          <w:rFonts w:hint="cs"/>
          <w:rtl/>
          <w:lang w:val="fr-CH"/>
        </w:rPr>
        <w:t>ً</w:t>
      </w:r>
      <w:r w:rsidR="00B934F4" w:rsidRPr="00B934F4">
        <w:rPr>
          <w:rtl/>
          <w:lang w:val="fr-CH"/>
        </w:rPr>
        <w:t xml:space="preserve"> لخطر الانتهاكات المذكورة أعلاه لمجرد أنه أُحيل للمحاكمة في </w:t>
      </w:r>
      <w:r w:rsidR="00CB1B5C">
        <w:rPr>
          <w:rFonts w:hint="cs"/>
          <w:rtl/>
          <w:lang w:val="fr-CH"/>
        </w:rPr>
        <w:t>هذا</w:t>
      </w:r>
      <w:r w:rsidR="00CB1B5C" w:rsidRPr="00B934F4">
        <w:rPr>
          <w:rtl/>
          <w:lang w:val="fr-CH"/>
        </w:rPr>
        <w:t xml:space="preserve"> </w:t>
      </w:r>
      <w:r w:rsidR="00B934F4" w:rsidRPr="00B934F4">
        <w:rPr>
          <w:rtl/>
          <w:lang w:val="fr-CH"/>
        </w:rPr>
        <w:t>النظام القانوني المعيب والفاسد.</w:t>
      </w:r>
    </w:p>
    <w:p w:rsidR="00B934F4" w:rsidRPr="00B934F4" w:rsidRDefault="00754C8F" w:rsidP="00B934F4">
      <w:pPr>
        <w:pStyle w:val="SingleTxtGA"/>
        <w:rPr>
          <w:rtl/>
          <w:lang w:val="fr-CH"/>
        </w:rPr>
      </w:pPr>
      <w:r w:rsidRPr="00754C8F">
        <w:rPr>
          <w:szCs w:val="20"/>
          <w:rtl/>
          <w:lang w:val="fr-CH"/>
        </w:rPr>
        <w:t>5</w:t>
      </w:r>
      <w:r w:rsidR="00B934F4" w:rsidRPr="00B934F4">
        <w:rPr>
          <w:rtl/>
          <w:lang w:val="fr-CH"/>
        </w:rPr>
        <w:t>-</w:t>
      </w:r>
      <w:r w:rsidRPr="00754C8F">
        <w:rPr>
          <w:szCs w:val="20"/>
          <w:rtl/>
          <w:lang w:val="fr-CH"/>
        </w:rPr>
        <w:t>8</w:t>
      </w:r>
      <w:r w:rsidR="00B934F4" w:rsidRPr="00B934F4">
        <w:rPr>
          <w:rtl/>
          <w:lang w:val="en-GB"/>
        </w:rPr>
        <w:tab/>
      </w:r>
      <w:r w:rsidR="00B934F4" w:rsidRPr="00B934F4">
        <w:rPr>
          <w:rtl/>
          <w:lang w:val="fr-CH"/>
        </w:rPr>
        <w:t>وأخيرا</w:t>
      </w:r>
      <w:r w:rsidR="00CB1B5C">
        <w:rPr>
          <w:rFonts w:hint="cs"/>
          <w:rtl/>
          <w:lang w:val="fr-CH"/>
        </w:rPr>
        <w:t>ً</w:t>
      </w:r>
      <w:r w:rsidR="00B934F4" w:rsidRPr="00B934F4">
        <w:rPr>
          <w:rtl/>
          <w:lang w:val="fr-CH"/>
        </w:rPr>
        <w:t xml:space="preserve">، فإن بيان الدولة الطرف بشأن الضمانات مثير للدهشة، بالنظر إلى أن إيطاليا لجأت في كثير من الأحيان إلى "الضمانات الدبلوماسية" عند إبعاد أجانب إلى بلدان يُدعى أن بها خطر التعرض لإساءة المعاملة، لغرض وحيد هو ادعاء تقيدها بالتزاماتها بمبدأ عدم الإعادة </w:t>
      </w:r>
      <w:proofErr w:type="gramStart"/>
      <w:r w:rsidR="00B934F4" w:rsidRPr="00B934F4">
        <w:rPr>
          <w:rtl/>
          <w:lang w:val="fr-CH"/>
        </w:rPr>
        <w:t>القسرية</w:t>
      </w:r>
      <w:r w:rsidR="00330541">
        <w:rPr>
          <w:vertAlign w:val="superscript"/>
          <w:rtl/>
          <w:lang w:val="en-GB"/>
        </w:rPr>
        <w:t>(</w:t>
      </w:r>
      <w:proofErr w:type="gramEnd"/>
      <w:r w:rsidR="00330541" w:rsidRPr="00754C8F">
        <w:rPr>
          <w:rFonts w:cs="Times New Roman"/>
          <w:position w:val="4"/>
          <w:vertAlign w:val="superscript"/>
        </w:rPr>
        <w:footnoteReference w:id="28"/>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 xml:space="preserve">غير </w:t>
      </w:r>
      <w:r w:rsidR="00B934F4" w:rsidRPr="00B934F4">
        <w:rPr>
          <w:rtl/>
          <w:lang w:val="fr-CH"/>
        </w:rPr>
        <w:lastRenderedPageBreak/>
        <w:t>أن صاحب البلاغ لا يعني أن الضمانات الدبلوماسية كانت ستحميه بالفعل من خطر إساءة المعاملة المزعوم</w:t>
      </w:r>
      <w:r w:rsidR="004A1FF2">
        <w:rPr>
          <w:rtl/>
          <w:lang w:val="fr-CH"/>
        </w:rPr>
        <w:t xml:space="preserve"> </w:t>
      </w:r>
      <w:r w:rsidR="00B934F4" w:rsidRPr="00B934F4">
        <w:rPr>
          <w:rtl/>
          <w:lang w:val="fr-CH"/>
        </w:rPr>
        <w:t xml:space="preserve">إذا تم تسليمه، لأن اللجنة أشارت بالفعل في قضية </w:t>
      </w:r>
      <w:proofErr w:type="spellStart"/>
      <w:r w:rsidR="00B934F4" w:rsidRPr="00CD11A1">
        <w:rPr>
          <w:i/>
          <w:iCs/>
          <w:rtl/>
          <w:lang w:val="fr-CH"/>
        </w:rPr>
        <w:t>الزيري</w:t>
      </w:r>
      <w:proofErr w:type="spellEnd"/>
      <w:r w:rsidR="00B934F4" w:rsidRPr="00CD11A1">
        <w:rPr>
          <w:i/>
          <w:iCs/>
          <w:rtl/>
          <w:lang w:val="fr-CH"/>
        </w:rPr>
        <w:t xml:space="preserve"> ضد السويد</w:t>
      </w:r>
      <w:r w:rsidR="00B934F4" w:rsidRPr="00B934F4">
        <w:rPr>
          <w:rtl/>
          <w:lang w:val="fr-CH"/>
        </w:rPr>
        <w:t xml:space="preserve"> إلى أنه، بالنظر إلى الظروف السائدة في وقت حدوث الوقائع، لم تكن هذه الضمانات كافية على الإطلاق "لاستبعاد خطر التعرض لإساءة المعاملة إلى مستوى يتوافق مع شروط المادة </w:t>
      </w:r>
      <w:r w:rsidRPr="00754C8F">
        <w:rPr>
          <w:szCs w:val="20"/>
          <w:rtl/>
          <w:lang w:val="fr-CH"/>
        </w:rPr>
        <w:t>7</w:t>
      </w:r>
      <w:r w:rsidR="00B934F4" w:rsidRPr="00B934F4">
        <w:rPr>
          <w:rtl/>
          <w:lang w:val="fr-CH"/>
        </w:rPr>
        <w:t xml:space="preserve"> من العهد"</w:t>
      </w:r>
      <w:r w:rsidR="00330541">
        <w:rPr>
          <w:vertAlign w:val="superscript"/>
          <w:rtl/>
          <w:lang w:val="en-GB"/>
        </w:rPr>
        <w:t>(</w:t>
      </w:r>
      <w:r w:rsidR="00330541" w:rsidRPr="00754C8F">
        <w:rPr>
          <w:rFonts w:cs="Times New Roman"/>
          <w:position w:val="4"/>
          <w:vertAlign w:val="superscript"/>
        </w:rPr>
        <w:footnoteReference w:id="29"/>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ويسعى صاحب البلاغ إلى التأكيد على أن الدولة الطرف لم تبذل أي محاولة لطلب معلومات من الدولة الطالبة بشأن الظروف الفعلية للاحتجاز الذي ينتظر صاحب البلاغ في أوكرانيا، ناهيك عن طلب معلومات عن وجود نمط ثابت من الانتهاكات الجسيمة أو</w:t>
      </w:r>
      <w:r w:rsidR="00F03E26">
        <w:rPr>
          <w:rFonts w:hint="cs"/>
          <w:rtl/>
          <w:lang w:val="fr-CH"/>
        </w:rPr>
        <w:t> </w:t>
      </w:r>
      <w:r w:rsidR="00B934F4" w:rsidRPr="00B934F4">
        <w:rPr>
          <w:rtl/>
          <w:lang w:val="fr-CH"/>
        </w:rPr>
        <w:t>الصارخة أو الجماعية لحقوق الإنسان في السجون الأوكرانية والحالة الراهنة للاضطرابات الداخلية.</w:t>
      </w:r>
      <w:r w:rsidR="00B934F4" w:rsidRPr="00B934F4">
        <w:rPr>
          <w:rtl/>
          <w:lang w:val="en-GB"/>
        </w:rPr>
        <w:t xml:space="preserve"> </w:t>
      </w:r>
      <w:r w:rsidR="00B934F4" w:rsidRPr="00B934F4">
        <w:rPr>
          <w:rtl/>
          <w:lang w:val="fr-CH"/>
        </w:rPr>
        <w:t>ويبين هذا الموقف تجاهلا</w:t>
      </w:r>
      <w:r w:rsidR="0046391F">
        <w:rPr>
          <w:rFonts w:hint="cs"/>
          <w:rtl/>
          <w:lang w:val="fr-CH"/>
        </w:rPr>
        <w:t>ً</w:t>
      </w:r>
      <w:r w:rsidR="00B934F4" w:rsidRPr="00B934F4">
        <w:rPr>
          <w:rtl/>
          <w:lang w:val="fr-CH"/>
        </w:rPr>
        <w:t xml:space="preserve"> تاما</w:t>
      </w:r>
      <w:r w:rsidR="0046391F">
        <w:rPr>
          <w:rFonts w:hint="cs"/>
          <w:rtl/>
          <w:lang w:val="fr-CH"/>
        </w:rPr>
        <w:t>ً</w:t>
      </w:r>
      <w:r w:rsidR="00B934F4" w:rsidRPr="00B934F4">
        <w:rPr>
          <w:rtl/>
          <w:lang w:val="fr-CH"/>
        </w:rPr>
        <w:t xml:space="preserve"> للالتزامات الناشئة عن المادة </w:t>
      </w:r>
      <w:r w:rsidRPr="00754C8F">
        <w:rPr>
          <w:szCs w:val="20"/>
          <w:rtl/>
          <w:lang w:val="fr-CH"/>
        </w:rPr>
        <w:t>7</w:t>
      </w:r>
      <w:r w:rsidR="00B934F4" w:rsidRPr="00B934F4">
        <w:rPr>
          <w:rtl/>
          <w:lang w:val="fr-CH"/>
        </w:rPr>
        <w:t xml:space="preserve"> من العهد.</w:t>
      </w:r>
    </w:p>
    <w:p w:rsidR="00B934F4" w:rsidRPr="00B934F4" w:rsidRDefault="00B934F4" w:rsidP="00A64834">
      <w:pPr>
        <w:pStyle w:val="H23GA"/>
        <w:keepNext/>
        <w:keepLines/>
        <w:rPr>
          <w:rtl/>
          <w:lang w:val="fr-CH"/>
        </w:rPr>
      </w:pPr>
      <w:r w:rsidRPr="00B934F4">
        <w:rPr>
          <w:rtl/>
          <w:lang w:val="en-GB"/>
        </w:rPr>
        <w:tab/>
      </w:r>
      <w:r w:rsidRPr="00B934F4">
        <w:rPr>
          <w:rtl/>
          <w:lang w:val="en-GB"/>
        </w:rPr>
        <w:tab/>
      </w:r>
      <w:r w:rsidRPr="00B934F4">
        <w:rPr>
          <w:rtl/>
          <w:lang w:val="fr-CH"/>
        </w:rPr>
        <w:t>ملاحظات إضافية من الدولة الطرف</w:t>
      </w:r>
    </w:p>
    <w:p w:rsidR="00B934F4" w:rsidRPr="00B934F4" w:rsidRDefault="00754C8F" w:rsidP="00B934F4">
      <w:pPr>
        <w:pStyle w:val="SingleTxtGA"/>
        <w:rPr>
          <w:rtl/>
          <w:lang w:val="fr-CH"/>
        </w:rPr>
      </w:pPr>
      <w:r w:rsidRPr="00754C8F">
        <w:rPr>
          <w:szCs w:val="20"/>
          <w:rtl/>
          <w:lang w:val="fr-CH"/>
        </w:rPr>
        <w:t>6</w:t>
      </w:r>
      <w:r w:rsidR="00B934F4" w:rsidRPr="00B934F4">
        <w:rPr>
          <w:rtl/>
          <w:lang w:val="fr-CH"/>
        </w:rPr>
        <w:t>-</w:t>
      </w:r>
      <w:r w:rsidRPr="00754C8F">
        <w:rPr>
          <w:szCs w:val="20"/>
          <w:rtl/>
          <w:lang w:val="fr-CH"/>
        </w:rPr>
        <w:t>1</w:t>
      </w:r>
      <w:r w:rsidR="00B934F4" w:rsidRPr="00B934F4">
        <w:rPr>
          <w:rtl/>
          <w:lang w:val="en-GB"/>
        </w:rPr>
        <w:tab/>
      </w:r>
      <w:dir w:val="rtl">
        <w:r w:rsidR="00B934F4" w:rsidRPr="00B934F4">
          <w:rPr>
            <w:rtl/>
            <w:lang w:val="fr-CH" w:bidi="ar-DZ"/>
          </w:rPr>
          <w:t xml:space="preserve">في </w:t>
        </w:r>
        <w:r w:rsidR="00B934F4" w:rsidRPr="00754C8F">
          <w:rPr>
            <w:szCs w:val="20"/>
            <w:rtl/>
            <w:lang w:val="fr-CH" w:bidi="ar-DZ"/>
          </w:rPr>
          <w:t>8</w:t>
        </w:r>
        <w:r w:rsidR="00B934F4" w:rsidRPr="00B934F4">
          <w:rPr>
            <w:rtl/>
            <w:lang w:val="fr-CH" w:bidi="ar-DZ"/>
          </w:rPr>
          <w:t xml:space="preserve"> آذار/مارس </w:t>
        </w:r>
        <w:r w:rsidR="00B934F4" w:rsidRPr="00754C8F">
          <w:rPr>
            <w:szCs w:val="20"/>
            <w:rtl/>
            <w:lang w:val="fr-CH" w:bidi="ar-DZ"/>
          </w:rPr>
          <w:t>2016</w:t>
        </w:r>
        <w:r w:rsidR="00B934F4" w:rsidRPr="00B934F4">
          <w:rPr>
            <w:rtl/>
            <w:lang w:val="fr-CH" w:bidi="ar-DZ"/>
          </w:rPr>
          <w:t>، ق</w:t>
        </w:r>
        <w:r w:rsidR="00B934F4" w:rsidRPr="00B934F4">
          <w:rPr>
            <w:rtl/>
            <w:lang w:val="fr-CH"/>
          </w:rPr>
          <w:t>دمت الدولة الطرف ملاحظات إضافية إلى اللجنة</w:t>
        </w:r>
        <w:r w:rsidR="00B934F4" w:rsidRPr="00B934F4">
          <w:rPr>
            <w:rtl/>
            <w:lang w:val="en-GB"/>
          </w:rPr>
          <w:t>.</w:t>
        </w:r>
        <w:r w:rsidR="00B934F4" w:rsidRPr="00B934F4">
          <w:rPr>
            <w:rFonts w:ascii="Arial" w:hAnsi="Arial" w:cs="Arial" w:hint="cs"/>
            <w:rtl/>
            <w:lang w:val="en-GB"/>
          </w:rPr>
          <w:t>‬</w:t>
        </w:r>
        <w:r w:rsidR="00B934F4" w:rsidRPr="00B934F4">
          <w:rPr>
            <w:rtl/>
            <w:lang w:val="en-GB"/>
          </w:rPr>
          <w:t xml:space="preserve"> </w:t>
        </w:r>
        <w:r w:rsidR="00B934F4" w:rsidRPr="00B934F4">
          <w:rPr>
            <w:rtl/>
            <w:lang w:val="fr-CH"/>
          </w:rPr>
          <w:t xml:space="preserve">وتشير الدولة الطرف، بعد بيان الضمانات الموضوعية والإجرائية لحقوق الإنسان في النظام القانوني الإيطالي، إلى استخدام إجراء التدابير المؤقتة من قِبل المحكمة الأوروبية لحقوق الإنسان ومن قبل </w:t>
        </w:r>
        <w:proofErr w:type="gramStart"/>
        <w:r w:rsidR="00B934F4" w:rsidRPr="00B934F4">
          <w:rPr>
            <w:rtl/>
            <w:lang w:val="fr-CH"/>
          </w:rPr>
          <w:t>اللجنة</w:t>
        </w:r>
        <w:r w:rsidR="00330541">
          <w:rPr>
            <w:vertAlign w:val="superscript"/>
            <w:rtl/>
            <w:lang w:val="en-GB"/>
          </w:rPr>
          <w:t>(</w:t>
        </w:r>
        <w:proofErr w:type="gramEnd"/>
        <w:r w:rsidR="00330541" w:rsidRPr="00754C8F">
          <w:rPr>
            <w:rFonts w:cs="Times New Roman"/>
            <w:position w:val="4"/>
            <w:vertAlign w:val="superscript"/>
          </w:rPr>
          <w:footnoteReference w:id="30"/>
        </w:r>
        <w:r w:rsidR="00330541">
          <w:rPr>
            <w:vertAlign w:val="superscript"/>
            <w:rtl/>
            <w:lang w:val="en-GB"/>
          </w:rPr>
          <w:t>)</w:t>
        </w:r>
        <w:r w:rsidR="00B934F4" w:rsidRPr="00B934F4">
          <w:rPr>
            <w:rtl/>
            <w:lang w:val="fr-CH"/>
          </w:rPr>
          <w:t>.</w:t>
        </w:r>
        <w:r w:rsidR="001821A6" w:rsidRPr="00B934F4">
          <w:rPr>
            <w:rFonts w:ascii="Arial" w:hAnsi="Arial" w:cs="Arial" w:hint="cs"/>
            <w:rtl/>
            <w:lang w:val="en-GB"/>
          </w:rPr>
          <w:t xml:space="preserve"> </w:t>
        </w:r>
        <w:r w:rsidR="00B934F4" w:rsidRPr="00B934F4">
          <w:rPr>
            <w:rFonts w:ascii="Arial" w:hAnsi="Arial" w:cs="Arial" w:hint="cs"/>
            <w:rtl/>
            <w:lang w:val="en-GB"/>
          </w:rPr>
          <w:t>‬</w:t>
        </w:r>
        <w:r w:rsidR="00B934F4" w:rsidRPr="00B934F4">
          <w:rPr>
            <w:rFonts w:ascii="Arial" w:hAnsi="Arial" w:cs="Arial" w:hint="cs"/>
            <w:rtl/>
            <w:lang w:val="en-GB"/>
          </w:rPr>
          <w:t>‬</w:t>
        </w:r>
        <w:r w:rsidR="00B934F4" w:rsidRPr="00B934F4">
          <w:rPr>
            <w:rFonts w:ascii="Arial" w:hAnsi="Arial" w:cs="Arial" w:hint="cs"/>
            <w:rtl/>
            <w:lang w:val="en-GB"/>
          </w:rPr>
          <w:t>‬</w:t>
        </w:r>
        <w:r w:rsidR="00B934F4" w:rsidRPr="00B934F4">
          <w:rPr>
            <w:rFonts w:ascii="Arial" w:hAnsi="Arial" w:cs="Arial" w:hint="cs"/>
            <w:rtl/>
            <w:lang w:val="en-GB"/>
          </w:rPr>
          <w:t>‬</w:t>
        </w:r>
        <w:r w:rsidR="00B934F4" w:rsidRPr="00B934F4">
          <w:rPr>
            <w:rFonts w:ascii="Arial" w:hAnsi="Arial" w:cs="Arial" w:hint="cs"/>
            <w:rtl/>
            <w:lang w:val="en-GB"/>
          </w:rPr>
          <w:t>‬</w:t>
        </w:r>
        <w:r w:rsidR="00B934F4" w:rsidRPr="00B934F4">
          <w:rPr>
            <w:rFonts w:ascii="Arial" w:hAnsi="Arial" w:cs="Arial" w:hint="cs"/>
            <w:rtl/>
            <w:lang w:val="en-GB"/>
          </w:rPr>
          <w:t>‬</w:t>
        </w:r>
        <w:r w:rsidR="00B934F4" w:rsidRPr="00B934F4">
          <w:rPr>
            <w:rFonts w:ascii="Arial" w:hAnsi="Arial" w:cs="Arial" w:hint="cs"/>
            <w:rtl/>
            <w:lang w:val="en-GB"/>
          </w:rPr>
          <w:t>‬</w:t>
        </w:r>
        <w:r w:rsidR="00B934F4" w:rsidRPr="00B934F4">
          <w:rPr>
            <w:rFonts w:ascii="Arial" w:hAnsi="Arial" w:cs="Arial" w:hint="cs"/>
            <w:rtl/>
            <w:lang w:val="en-GB"/>
          </w:rPr>
          <w:t>‬</w:t>
        </w:r>
        <w:r w:rsidR="00086B7B">
          <w:t>‬</w:t>
        </w:r>
        <w:r w:rsidR="007E0911">
          <w:t>‬</w:t>
        </w:r>
        <w:r w:rsidR="00CD6EAC">
          <w:t>‬</w:t>
        </w:r>
        <w:r>
          <w:t>‬</w:t>
        </w:r>
      </w:dir>
    </w:p>
    <w:p w:rsidR="00B934F4" w:rsidRPr="00D67799" w:rsidRDefault="00754C8F" w:rsidP="00B934F4">
      <w:pPr>
        <w:pStyle w:val="SingleTxtGA"/>
        <w:rPr>
          <w:bCs/>
          <w:spacing w:val="-2"/>
          <w:rtl/>
          <w:lang w:val="fr-CH"/>
        </w:rPr>
      </w:pPr>
      <w:r w:rsidRPr="00D67799">
        <w:rPr>
          <w:spacing w:val="-2"/>
          <w:szCs w:val="20"/>
          <w:rtl/>
          <w:lang w:val="fr-CH"/>
        </w:rPr>
        <w:t>6</w:t>
      </w:r>
      <w:r w:rsidR="00B934F4" w:rsidRPr="00D67799">
        <w:rPr>
          <w:spacing w:val="-2"/>
          <w:rtl/>
          <w:lang w:val="fr-CH"/>
        </w:rPr>
        <w:t>-</w:t>
      </w:r>
      <w:r w:rsidRPr="00D67799">
        <w:rPr>
          <w:spacing w:val="-2"/>
          <w:szCs w:val="20"/>
          <w:rtl/>
          <w:lang w:val="fr-CH"/>
        </w:rPr>
        <w:t>2</w:t>
      </w:r>
      <w:r w:rsidR="00B934F4" w:rsidRPr="00D67799">
        <w:rPr>
          <w:spacing w:val="-2"/>
          <w:rtl/>
          <w:lang w:val="en-GB"/>
        </w:rPr>
        <w:tab/>
      </w:r>
      <w:r w:rsidR="00B934F4" w:rsidRPr="00D67799">
        <w:rPr>
          <w:spacing w:val="-2"/>
          <w:rtl/>
          <w:lang w:val="fr-CH" w:bidi="ar-DZ"/>
        </w:rPr>
        <w:t xml:space="preserve">وتدخلت </w:t>
      </w:r>
      <w:r w:rsidR="00B934F4" w:rsidRPr="00D67799">
        <w:rPr>
          <w:spacing w:val="-2"/>
          <w:rtl/>
          <w:lang w:val="fr-CH"/>
        </w:rPr>
        <w:t xml:space="preserve">محكمة النقض، بوصفها أعلى هيئة قضائية، ثلاث مرات في قضية صاحب البلاغ. فقد بينت محكمة النقض، في قرارها النهائي المؤرخ </w:t>
      </w:r>
      <w:r w:rsidRPr="00D67799">
        <w:rPr>
          <w:spacing w:val="-2"/>
          <w:szCs w:val="20"/>
          <w:rtl/>
          <w:lang w:val="fr-CH"/>
        </w:rPr>
        <w:t>8</w:t>
      </w:r>
      <w:r w:rsidR="00B934F4" w:rsidRPr="00D67799">
        <w:rPr>
          <w:spacing w:val="-2"/>
          <w:rtl/>
          <w:lang w:val="fr-CH"/>
        </w:rPr>
        <w:t xml:space="preserve"> نيسان/أبريل </w:t>
      </w:r>
      <w:r w:rsidR="00B934F4" w:rsidRPr="00D67799">
        <w:rPr>
          <w:spacing w:val="-2"/>
          <w:szCs w:val="20"/>
          <w:rtl/>
          <w:lang w:val="fr-CH"/>
        </w:rPr>
        <w:t>2014</w:t>
      </w:r>
      <w:r w:rsidR="00B934F4" w:rsidRPr="00D67799">
        <w:rPr>
          <w:spacing w:val="-2"/>
          <w:rtl/>
          <w:lang w:val="fr-CH"/>
        </w:rPr>
        <w:t xml:space="preserve">، أن محكمة استئناف فينيسيا أشارت إلى غموض الأدلة التي قدمها صاحب </w:t>
      </w:r>
      <w:proofErr w:type="gramStart"/>
      <w:r w:rsidR="00B934F4" w:rsidRPr="00D67799">
        <w:rPr>
          <w:spacing w:val="-2"/>
          <w:rtl/>
          <w:lang w:val="fr-CH"/>
        </w:rPr>
        <w:t>البلاغ</w:t>
      </w:r>
      <w:r w:rsidR="00330541" w:rsidRPr="00D67799">
        <w:rPr>
          <w:spacing w:val="-2"/>
          <w:vertAlign w:val="superscript"/>
          <w:rtl/>
          <w:lang w:val="en-GB"/>
        </w:rPr>
        <w:t>(</w:t>
      </w:r>
      <w:proofErr w:type="gramEnd"/>
      <w:r w:rsidR="00330541" w:rsidRPr="00D67799">
        <w:rPr>
          <w:rFonts w:cs="Times New Roman"/>
          <w:spacing w:val="-2"/>
          <w:position w:val="4"/>
          <w:vertAlign w:val="superscript"/>
        </w:rPr>
        <w:footnoteReference w:id="31"/>
      </w:r>
      <w:r w:rsidR="00330541" w:rsidRPr="00D67799">
        <w:rPr>
          <w:spacing w:val="-2"/>
          <w:vertAlign w:val="superscript"/>
          <w:rtl/>
          <w:lang w:val="en-GB"/>
        </w:rPr>
        <w:t>)</w:t>
      </w:r>
      <w:r w:rsidR="00B934F4" w:rsidRPr="00D67799">
        <w:rPr>
          <w:spacing w:val="-2"/>
          <w:rtl/>
          <w:lang w:val="fr-CH"/>
        </w:rPr>
        <w:t>.</w:t>
      </w:r>
      <w:r w:rsidR="00B934F4" w:rsidRPr="00D67799">
        <w:rPr>
          <w:spacing w:val="-2"/>
          <w:rtl/>
          <w:lang w:val="en-GB"/>
        </w:rPr>
        <w:t xml:space="preserve"> </w:t>
      </w:r>
      <w:r w:rsidR="00B934F4" w:rsidRPr="00D67799">
        <w:rPr>
          <w:spacing w:val="-2"/>
          <w:rtl/>
          <w:lang w:val="fr-CH"/>
        </w:rPr>
        <w:t>وأشارت محكمة النقض كذلك إلى "التدخل القمعي المستمر من جانب الجهاز القضائي الأوكراني" فيما يتعلق بحالات تجاوزات الشرطة التي احتج بها صاحب البلاغ لدعم ادعائه المتعلق بالخطر الذي سيتعرض له إذا أُعيد إلى أوكرانيا.</w:t>
      </w:r>
      <w:r w:rsidR="00B934F4" w:rsidRPr="00D67799">
        <w:rPr>
          <w:spacing w:val="-2"/>
          <w:rtl/>
          <w:lang w:val="en-GB"/>
        </w:rPr>
        <w:t xml:space="preserve"> </w:t>
      </w:r>
      <w:r w:rsidR="00B934F4" w:rsidRPr="00D67799">
        <w:rPr>
          <w:spacing w:val="-2"/>
          <w:rtl/>
          <w:lang w:val="fr-CH" w:bidi="ar-DZ"/>
        </w:rPr>
        <w:t>وذكرت أيضا</w:t>
      </w:r>
      <w:r w:rsidR="0046391F" w:rsidRPr="00D67799">
        <w:rPr>
          <w:rFonts w:hint="cs"/>
          <w:spacing w:val="-2"/>
          <w:rtl/>
          <w:lang w:val="fr-CH" w:bidi="ar-DZ"/>
        </w:rPr>
        <w:t>ً</w:t>
      </w:r>
      <w:r w:rsidR="00B934F4" w:rsidRPr="00D67799">
        <w:rPr>
          <w:spacing w:val="-2"/>
          <w:rtl/>
          <w:lang w:val="fr-CH" w:bidi="ar-DZ"/>
        </w:rPr>
        <w:t xml:space="preserve"> أن </w:t>
      </w:r>
      <w:r w:rsidR="00B934F4" w:rsidRPr="00D67799">
        <w:rPr>
          <w:spacing w:val="-2"/>
          <w:rtl/>
          <w:lang w:val="fr-CH"/>
        </w:rPr>
        <w:t>صاحب البلاغ</w:t>
      </w:r>
      <w:r w:rsidR="004A1FF2" w:rsidRPr="00D67799">
        <w:rPr>
          <w:spacing w:val="-2"/>
          <w:rtl/>
          <w:lang w:val="fr-CH"/>
        </w:rPr>
        <w:t xml:space="preserve"> </w:t>
      </w:r>
      <w:r w:rsidR="00B934F4" w:rsidRPr="00D67799">
        <w:rPr>
          <w:spacing w:val="-2"/>
          <w:rtl/>
          <w:lang w:val="fr-CH"/>
        </w:rPr>
        <w:t>لم يوضح الأثر الملموس لحالة عدم الاستقرار السياسي العام عليه أو على معاملته أثناء الاحتجاز.</w:t>
      </w:r>
      <w:r w:rsidR="00B934F4" w:rsidRPr="00D67799">
        <w:rPr>
          <w:spacing w:val="-2"/>
          <w:rtl/>
          <w:lang w:val="en-GB"/>
        </w:rPr>
        <w:t xml:space="preserve"> </w:t>
      </w:r>
      <w:r w:rsidR="00B934F4" w:rsidRPr="00D67799">
        <w:rPr>
          <w:spacing w:val="-2"/>
          <w:rtl/>
          <w:lang w:val="fr-CH"/>
        </w:rPr>
        <w:t>وتذكِّر الدولة الطرف كذلك بأن قضية صاحب البلاغ تشير إلى جريمة شائعة.</w:t>
      </w:r>
    </w:p>
    <w:p w:rsidR="00B934F4" w:rsidRPr="00B934F4" w:rsidRDefault="00754C8F" w:rsidP="00B934F4">
      <w:pPr>
        <w:pStyle w:val="SingleTxtGA"/>
        <w:rPr>
          <w:bCs/>
          <w:rtl/>
          <w:lang w:val="fr-CH"/>
        </w:rPr>
      </w:pPr>
      <w:r w:rsidRPr="00754C8F">
        <w:rPr>
          <w:szCs w:val="20"/>
          <w:rtl/>
          <w:lang w:val="fr-CH"/>
        </w:rPr>
        <w:t>6</w:t>
      </w:r>
      <w:r w:rsidR="00B934F4" w:rsidRPr="00B934F4">
        <w:rPr>
          <w:rtl/>
          <w:lang w:val="fr-CH"/>
        </w:rPr>
        <w:t>-</w:t>
      </w:r>
      <w:r w:rsidRPr="00754C8F">
        <w:rPr>
          <w:szCs w:val="20"/>
          <w:rtl/>
          <w:lang w:val="fr-CH"/>
        </w:rPr>
        <w:t>3</w:t>
      </w:r>
      <w:r w:rsidR="00B934F4" w:rsidRPr="00B934F4">
        <w:rPr>
          <w:rtl/>
          <w:lang w:val="en-GB"/>
        </w:rPr>
        <w:tab/>
      </w:r>
      <w:r w:rsidR="00B934F4" w:rsidRPr="00B934F4">
        <w:rPr>
          <w:rtl/>
          <w:lang w:val="fr-CH" w:bidi="ar-DZ"/>
        </w:rPr>
        <w:t xml:space="preserve">وتشير </w:t>
      </w:r>
      <w:r w:rsidR="00B934F4" w:rsidRPr="00B934F4">
        <w:rPr>
          <w:rtl/>
          <w:lang w:val="fr-CH"/>
        </w:rPr>
        <w:t>الدولة الطرف أخيرا</w:t>
      </w:r>
      <w:r w:rsidR="0046391F">
        <w:rPr>
          <w:rFonts w:hint="cs"/>
          <w:rtl/>
          <w:lang w:val="fr-CH"/>
        </w:rPr>
        <w:t>ً</w:t>
      </w:r>
      <w:r w:rsidR="00B934F4" w:rsidRPr="00B934F4">
        <w:rPr>
          <w:rtl/>
          <w:lang w:val="fr-CH"/>
        </w:rPr>
        <w:t xml:space="preserve"> إلى إجراءات التسليم في النظام الإيطالي، التي تتألف من مرحلتين: مرحلة قضائية، تركز فيها محكمة الاستئناف على احترام الحقوق؛</w:t>
      </w:r>
      <w:r w:rsidR="00B934F4" w:rsidRPr="00B934F4">
        <w:rPr>
          <w:rtl/>
          <w:lang w:val="en-GB"/>
        </w:rPr>
        <w:t xml:space="preserve"> </w:t>
      </w:r>
      <w:r w:rsidR="00B934F4" w:rsidRPr="00B934F4">
        <w:rPr>
          <w:rtl/>
          <w:lang w:val="fr-CH"/>
        </w:rPr>
        <w:t>ومرحلة إدارية تندرج ضمن اختصاص وزارة العدل ويمكن أن تخضع لمراقبة محكمة إدارية.</w:t>
      </w:r>
      <w:r w:rsidR="00B934F4" w:rsidRPr="00B934F4">
        <w:rPr>
          <w:rtl/>
          <w:lang w:val="en-GB"/>
        </w:rPr>
        <w:t xml:space="preserve"> </w:t>
      </w:r>
      <w:r w:rsidR="00B934F4" w:rsidRPr="00B934F4">
        <w:rPr>
          <w:rtl/>
          <w:lang w:val="fr-CH"/>
        </w:rPr>
        <w:t>ووفقا</w:t>
      </w:r>
      <w:r w:rsidR="0046391F">
        <w:rPr>
          <w:rFonts w:hint="cs"/>
          <w:rtl/>
          <w:lang w:val="fr-CH"/>
        </w:rPr>
        <w:t>ً</w:t>
      </w:r>
      <w:r w:rsidR="00B934F4" w:rsidRPr="00B934F4">
        <w:rPr>
          <w:rtl/>
          <w:lang w:val="fr-CH"/>
        </w:rPr>
        <w:t xml:space="preserve"> للدستور الإيطالي، يجوز عدم الإذن بالتسليم، في حالة الجرائم السياسية، تحت أي ظرف من الظروف.</w:t>
      </w:r>
      <w:r w:rsidR="00B934F4" w:rsidRPr="00B934F4">
        <w:rPr>
          <w:rtl/>
          <w:lang w:val="en-GB"/>
        </w:rPr>
        <w:t xml:space="preserve"> </w:t>
      </w:r>
      <w:r w:rsidR="00B934F4" w:rsidRPr="00B934F4">
        <w:rPr>
          <w:rtl/>
          <w:lang w:val="fr-CH"/>
        </w:rPr>
        <w:t>وعلاوة على ذلك، فإن الجريمة التي يُطلب التسليم من أجلها يجب أن تكون جريمة في تشريعات الدولة الطالبة والدولة المتلقية</w:t>
      </w:r>
      <w:r w:rsidR="00B934F4" w:rsidRPr="00B934F4">
        <w:rPr>
          <w:rtl/>
          <w:lang w:val="fr-CH" w:bidi="ar-DZ"/>
        </w:rPr>
        <w:t xml:space="preserve"> للطلب</w:t>
      </w:r>
      <w:r w:rsidR="00B934F4" w:rsidRPr="00B934F4">
        <w:rPr>
          <w:rtl/>
          <w:lang w:val="fr-CH"/>
        </w:rPr>
        <w:t>.</w:t>
      </w:r>
    </w:p>
    <w:p w:rsidR="00B934F4" w:rsidRPr="00B934F4" w:rsidRDefault="00B934F4" w:rsidP="00A64834">
      <w:pPr>
        <w:pStyle w:val="H23GA"/>
        <w:keepNext/>
        <w:keepLines/>
        <w:rPr>
          <w:rtl/>
          <w:lang w:val="fr-CH"/>
        </w:rPr>
      </w:pPr>
      <w:r w:rsidRPr="00B934F4">
        <w:rPr>
          <w:rtl/>
          <w:lang w:val="en-GB"/>
        </w:rPr>
        <w:tab/>
      </w:r>
      <w:r w:rsidRPr="00B934F4">
        <w:rPr>
          <w:rtl/>
          <w:lang w:val="en-GB"/>
        </w:rPr>
        <w:tab/>
      </w:r>
      <w:dir w:val="rtl">
        <w:r w:rsidRPr="00B934F4">
          <w:rPr>
            <w:rtl/>
            <w:lang w:val="fr-CH"/>
          </w:rPr>
          <w:t xml:space="preserve">ملاحظات إضافية مقدمة من صاحب البلاغ </w:t>
        </w:r>
        <w:r w:rsidR="00086B7B">
          <w:t>‬</w:t>
        </w:r>
        <w:r w:rsidR="007E0911">
          <w:t>‬</w:t>
        </w:r>
        <w:r w:rsidR="00CD6EAC">
          <w:t>‬</w:t>
        </w:r>
        <w:r w:rsidR="00754C8F">
          <w:t>‬</w:t>
        </w:r>
      </w:dir>
    </w:p>
    <w:p w:rsidR="00B934F4" w:rsidRPr="00B934F4" w:rsidRDefault="00754C8F" w:rsidP="00B934F4">
      <w:pPr>
        <w:pStyle w:val="SingleTxtGA"/>
        <w:rPr>
          <w:rtl/>
          <w:lang w:val="fr-CH"/>
        </w:rPr>
      </w:pPr>
      <w:r w:rsidRPr="00754C8F">
        <w:rPr>
          <w:szCs w:val="20"/>
          <w:rtl/>
          <w:lang w:val="fr-CH"/>
        </w:rPr>
        <w:t>7</w:t>
      </w:r>
      <w:r w:rsidR="00B934F4" w:rsidRPr="00B934F4">
        <w:rPr>
          <w:rtl/>
          <w:lang w:val="fr-CH"/>
        </w:rPr>
        <w:t>-</w:t>
      </w:r>
      <w:r w:rsidRPr="00754C8F">
        <w:rPr>
          <w:szCs w:val="20"/>
          <w:rtl/>
          <w:lang w:val="fr-CH"/>
        </w:rPr>
        <w:t>1</w:t>
      </w:r>
      <w:r w:rsidR="00B934F4" w:rsidRPr="00B934F4">
        <w:rPr>
          <w:rtl/>
          <w:lang w:val="en-GB"/>
        </w:rPr>
        <w:tab/>
      </w:r>
      <w:r w:rsidR="00B934F4" w:rsidRPr="00B934F4">
        <w:rPr>
          <w:rtl/>
          <w:lang w:val="fr-CH"/>
        </w:rPr>
        <w:t xml:space="preserve">في </w:t>
      </w:r>
      <w:r w:rsidRPr="00754C8F">
        <w:rPr>
          <w:szCs w:val="20"/>
          <w:rtl/>
          <w:lang w:val="fr-CH"/>
        </w:rPr>
        <w:t>23</w:t>
      </w:r>
      <w:r w:rsidR="00B934F4" w:rsidRPr="00B934F4">
        <w:rPr>
          <w:rtl/>
          <w:lang w:val="fr-CH"/>
        </w:rPr>
        <w:t xml:space="preserve"> أيار/مايو </w:t>
      </w:r>
      <w:r w:rsidRPr="00754C8F">
        <w:rPr>
          <w:szCs w:val="20"/>
          <w:rtl/>
          <w:lang w:val="fr-CH"/>
        </w:rPr>
        <w:t>2016</w:t>
      </w:r>
      <w:r w:rsidR="00B934F4" w:rsidRPr="00B934F4">
        <w:rPr>
          <w:rtl/>
          <w:lang w:val="fr-CH"/>
        </w:rPr>
        <w:t>، ذكر صاحب البلاغ أن الدولة الطرف قدمت ملاحظات عامة، بدلا</w:t>
      </w:r>
      <w:r w:rsidR="0046391F">
        <w:rPr>
          <w:rFonts w:hint="cs"/>
          <w:rtl/>
          <w:lang w:val="fr-CH"/>
        </w:rPr>
        <w:t>ً</w:t>
      </w:r>
      <w:r w:rsidR="00B934F4" w:rsidRPr="00B934F4">
        <w:rPr>
          <w:rtl/>
          <w:lang w:val="fr-CH"/>
        </w:rPr>
        <w:t xml:space="preserve"> من تناول الشكاوى التي قدمها.</w:t>
      </w:r>
      <w:r w:rsidR="00B934F4" w:rsidRPr="00B934F4">
        <w:rPr>
          <w:rtl/>
          <w:lang w:val="en-GB"/>
        </w:rPr>
        <w:t xml:space="preserve"> </w:t>
      </w:r>
      <w:r w:rsidR="00B934F4" w:rsidRPr="00B934F4">
        <w:rPr>
          <w:rtl/>
          <w:lang w:val="fr-CH"/>
        </w:rPr>
        <w:t xml:space="preserve">وهو يشير إلى </w:t>
      </w:r>
      <w:r w:rsidR="00B934F4" w:rsidRPr="00B934F4">
        <w:rPr>
          <w:rtl/>
          <w:lang w:val="fr-CH" w:bidi="ar-DZ"/>
        </w:rPr>
        <w:t xml:space="preserve">تضارب </w:t>
      </w:r>
      <w:r w:rsidR="00B934F4" w:rsidRPr="00B934F4">
        <w:rPr>
          <w:rtl/>
          <w:lang w:val="fr-CH"/>
        </w:rPr>
        <w:t xml:space="preserve">الدولة الطرف عندما أكدت أنه مطلوب </w:t>
      </w:r>
      <w:r w:rsidR="00B934F4" w:rsidRPr="00B934F4">
        <w:rPr>
          <w:rtl/>
          <w:lang w:val="fr-CH"/>
        </w:rPr>
        <w:lastRenderedPageBreak/>
        <w:t>للسلطات الأوكرانية "بسبب سرقة ارتكبها ...</w:t>
      </w:r>
      <w:r w:rsidR="00B934F4" w:rsidRPr="00B934F4">
        <w:rPr>
          <w:rtl/>
          <w:lang w:val="en-GB"/>
        </w:rPr>
        <w:t xml:space="preserve"> </w:t>
      </w:r>
      <w:r w:rsidR="00B934F4" w:rsidRPr="00B934F4">
        <w:rPr>
          <w:rtl/>
          <w:lang w:val="fr-CH"/>
        </w:rPr>
        <w:t xml:space="preserve">في عام </w:t>
      </w:r>
      <w:r w:rsidRPr="00754C8F">
        <w:rPr>
          <w:szCs w:val="20"/>
          <w:rtl/>
          <w:lang w:val="fr-CH"/>
        </w:rPr>
        <w:t>2000</w:t>
      </w:r>
      <w:r w:rsidR="00B934F4" w:rsidRPr="00B934F4">
        <w:rPr>
          <w:rtl/>
          <w:lang w:val="fr-CH"/>
        </w:rPr>
        <w:t xml:space="preserve"> في بولندا"، في حين أن المسلّم به أنه مطلوب "ليُحاكم على تلك التهمة".</w:t>
      </w:r>
      <w:r w:rsidR="00B934F4" w:rsidRPr="00B934F4">
        <w:rPr>
          <w:rtl/>
          <w:lang w:val="en-GB"/>
        </w:rPr>
        <w:t xml:space="preserve"> </w:t>
      </w:r>
      <w:r w:rsidR="00B934F4" w:rsidRPr="00B934F4">
        <w:rPr>
          <w:rtl/>
          <w:lang w:val="fr-CH"/>
        </w:rPr>
        <w:t xml:space="preserve">ويتعلق جوهر شكاواه بتسليمه لكي يواجه تهمة سرقة مزعومة عمرها </w:t>
      </w:r>
      <w:r w:rsidR="00B934F4" w:rsidRPr="00754C8F">
        <w:rPr>
          <w:szCs w:val="20"/>
          <w:rtl/>
          <w:lang w:val="fr-CH"/>
        </w:rPr>
        <w:t>16</w:t>
      </w:r>
      <w:r w:rsidR="00D67799">
        <w:rPr>
          <w:rFonts w:hint="cs"/>
          <w:rtl/>
          <w:lang w:val="fr-CH"/>
        </w:rPr>
        <w:t xml:space="preserve"> </w:t>
      </w:r>
      <w:r w:rsidR="00B934F4" w:rsidRPr="00B934F4">
        <w:rPr>
          <w:rtl/>
          <w:lang w:val="fr-CH"/>
        </w:rPr>
        <w:t>عاما</w:t>
      </w:r>
      <w:r w:rsidR="0046391F">
        <w:rPr>
          <w:rFonts w:hint="cs"/>
          <w:rtl/>
          <w:lang w:val="fr-CH"/>
        </w:rPr>
        <w:t>ً</w:t>
      </w:r>
      <w:r w:rsidR="00B934F4" w:rsidRPr="00B934F4">
        <w:rPr>
          <w:rtl/>
          <w:lang w:val="fr-CH"/>
        </w:rPr>
        <w:t xml:space="preserve"> ارتُكبت في إقليم أجنبي.</w:t>
      </w:r>
    </w:p>
    <w:p w:rsidR="00B934F4" w:rsidRPr="00B934F4" w:rsidRDefault="00754C8F" w:rsidP="00B934F4">
      <w:pPr>
        <w:pStyle w:val="SingleTxtGA"/>
        <w:rPr>
          <w:rtl/>
          <w:lang w:val="fr-CH"/>
        </w:rPr>
      </w:pPr>
      <w:r w:rsidRPr="00754C8F">
        <w:rPr>
          <w:szCs w:val="20"/>
          <w:rtl/>
          <w:lang w:val="fr-CH"/>
        </w:rPr>
        <w:t>7</w:t>
      </w:r>
      <w:r w:rsidR="00B934F4" w:rsidRPr="00B934F4">
        <w:rPr>
          <w:rtl/>
          <w:lang w:val="fr-CH"/>
        </w:rPr>
        <w:t>-</w:t>
      </w:r>
      <w:r w:rsidRPr="00754C8F">
        <w:rPr>
          <w:szCs w:val="20"/>
          <w:rtl/>
          <w:lang w:val="fr-CH"/>
        </w:rPr>
        <w:t>2</w:t>
      </w:r>
      <w:r w:rsidR="00B934F4" w:rsidRPr="00B934F4">
        <w:rPr>
          <w:rtl/>
          <w:lang w:val="en-GB"/>
        </w:rPr>
        <w:tab/>
      </w:r>
      <w:r w:rsidR="00B934F4" w:rsidRPr="00B934F4">
        <w:rPr>
          <w:rtl/>
          <w:lang w:val="fr-CH"/>
        </w:rPr>
        <w:t>وفيما يتعلق بإشارة الدولة الطرف إلى إجراء اتخاذ التدابير العاجلة أمام المحكمة الأوروبية واللجنة، يذكِّر صاحب البلاغ بأن قرارات المحكمة لا تُنشر وأن أسبابها تظل غامضة.</w:t>
      </w:r>
      <w:r w:rsidR="00B934F4" w:rsidRPr="00B934F4">
        <w:rPr>
          <w:rtl/>
          <w:lang w:val="en-GB"/>
        </w:rPr>
        <w:t xml:space="preserve"> </w:t>
      </w:r>
      <w:r w:rsidR="00B934F4" w:rsidRPr="00B934F4">
        <w:rPr>
          <w:rtl/>
          <w:lang w:val="fr-CH"/>
        </w:rPr>
        <w:t>ولا ينبغي للجنة أن تتأثر بنتائج إجراء التدابير المؤقتة أمام المحكمة الأوروبية.</w:t>
      </w:r>
    </w:p>
    <w:p w:rsidR="00B934F4" w:rsidRPr="00F03E26" w:rsidRDefault="00754C8F" w:rsidP="00B934F4">
      <w:pPr>
        <w:pStyle w:val="SingleTxtGA"/>
        <w:rPr>
          <w:spacing w:val="-2"/>
          <w:rtl/>
          <w:lang w:val="fr-CH"/>
        </w:rPr>
      </w:pPr>
      <w:r w:rsidRPr="00754C8F">
        <w:rPr>
          <w:spacing w:val="-2"/>
          <w:szCs w:val="20"/>
          <w:rtl/>
          <w:lang w:val="fr-CH"/>
        </w:rPr>
        <w:t>7</w:t>
      </w:r>
      <w:r w:rsidR="00B934F4" w:rsidRPr="00F03E26">
        <w:rPr>
          <w:spacing w:val="-2"/>
          <w:rtl/>
          <w:lang w:val="fr-CH"/>
        </w:rPr>
        <w:t>-</w:t>
      </w:r>
      <w:r w:rsidRPr="00754C8F">
        <w:rPr>
          <w:spacing w:val="-2"/>
          <w:szCs w:val="20"/>
          <w:rtl/>
          <w:lang w:val="fr-CH"/>
        </w:rPr>
        <w:t>3</w:t>
      </w:r>
      <w:r w:rsidR="00B934F4" w:rsidRPr="00F03E26">
        <w:rPr>
          <w:spacing w:val="-2"/>
          <w:rtl/>
          <w:lang w:val="en-GB"/>
        </w:rPr>
        <w:tab/>
      </w:r>
      <w:r w:rsidR="00B934F4" w:rsidRPr="00F03E26">
        <w:rPr>
          <w:spacing w:val="-2"/>
          <w:rtl/>
          <w:lang w:val="fr-CH"/>
        </w:rPr>
        <w:t xml:space="preserve">ويطعن صاحب البلاغ كذلك في ادعاء الدولة الطرف أن الأدلة </w:t>
      </w:r>
      <w:r w:rsidR="00B934F4" w:rsidRPr="00F03E26">
        <w:rPr>
          <w:spacing w:val="-2"/>
          <w:rtl/>
          <w:lang w:val="fr-CH" w:bidi="ar-DZ"/>
        </w:rPr>
        <w:t>التي قدمها غير موثقة</w:t>
      </w:r>
      <w:r w:rsidR="00B934F4" w:rsidRPr="00F03E26">
        <w:rPr>
          <w:spacing w:val="-2"/>
          <w:rtl/>
          <w:lang w:val="fr-CH"/>
        </w:rPr>
        <w:t>.</w:t>
      </w:r>
      <w:r w:rsidR="00B934F4" w:rsidRPr="00F03E26">
        <w:rPr>
          <w:spacing w:val="-2"/>
          <w:rtl/>
          <w:lang w:val="en-GB"/>
        </w:rPr>
        <w:t xml:space="preserve"> </w:t>
      </w:r>
      <w:r w:rsidR="00B934F4" w:rsidRPr="00F03E26">
        <w:rPr>
          <w:spacing w:val="-2"/>
          <w:rtl/>
          <w:lang w:val="fr-CH"/>
        </w:rPr>
        <w:t>وشككت محكمة النقض، عن خطأ، في موثوقية البيانات المقدمة من مدير منظمة أوكرانية غير حكومية لحقوق الإنسان مدرج أعضاؤها في قائمة محامي قضايا حقوق الإنسان المعرضين للخطر، وكذلك في بيان محام أوكراني تلقى تهديدات بسبب إقامة دعاوى أمام المحكمة الأوروبية.</w:t>
      </w:r>
    </w:p>
    <w:p w:rsidR="00B934F4" w:rsidRPr="00B934F4" w:rsidRDefault="00754C8F" w:rsidP="00B934F4">
      <w:pPr>
        <w:pStyle w:val="SingleTxtGA"/>
        <w:rPr>
          <w:rtl/>
          <w:lang w:val="fr-CH"/>
        </w:rPr>
      </w:pPr>
      <w:r w:rsidRPr="00754C8F">
        <w:rPr>
          <w:szCs w:val="20"/>
          <w:rtl/>
          <w:lang w:val="fr-CH"/>
        </w:rPr>
        <w:t>7</w:t>
      </w:r>
      <w:r w:rsidR="00B934F4" w:rsidRPr="00B934F4">
        <w:rPr>
          <w:rtl/>
          <w:lang w:val="fr-CH"/>
        </w:rPr>
        <w:t>-</w:t>
      </w:r>
      <w:r w:rsidRPr="00754C8F">
        <w:rPr>
          <w:szCs w:val="20"/>
          <w:rtl/>
          <w:lang w:val="fr-CH"/>
        </w:rPr>
        <w:t>4</w:t>
      </w:r>
      <w:r w:rsidR="00B934F4" w:rsidRPr="00B934F4">
        <w:rPr>
          <w:rtl/>
          <w:lang w:val="en-GB"/>
        </w:rPr>
        <w:tab/>
      </w:r>
      <w:r w:rsidR="00B934F4" w:rsidRPr="00B934F4">
        <w:rPr>
          <w:rtl/>
          <w:lang w:val="fr-CH"/>
        </w:rPr>
        <w:t xml:space="preserve">وتبين التقارير والأحكام الأخيرة الصادرة عن المحكمة الأوروبية لحقوق الإنسان أن خطر التعرض للانتهاكات الجسيمة لحقوق الإنسان ازداد منذ قدم صاحب البلاغ </w:t>
      </w:r>
      <w:proofErr w:type="gramStart"/>
      <w:r w:rsidR="00B934F4" w:rsidRPr="00B934F4">
        <w:rPr>
          <w:rtl/>
          <w:lang w:val="fr-CH"/>
        </w:rPr>
        <w:t>بلاغه</w:t>
      </w:r>
      <w:r w:rsidR="00330541">
        <w:rPr>
          <w:vertAlign w:val="superscript"/>
          <w:rtl/>
          <w:lang w:val="en-GB"/>
        </w:rPr>
        <w:t>(</w:t>
      </w:r>
      <w:proofErr w:type="gramEnd"/>
      <w:r w:rsidR="00330541" w:rsidRPr="00754C8F">
        <w:rPr>
          <w:rFonts w:cs="Times New Roman"/>
          <w:position w:val="4"/>
          <w:vertAlign w:val="superscript"/>
        </w:rPr>
        <w:footnoteReference w:id="32"/>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ورأت المحكمة مرارا</w:t>
      </w:r>
      <w:r w:rsidR="0046391F">
        <w:rPr>
          <w:rFonts w:hint="cs"/>
          <w:rtl/>
          <w:lang w:val="fr-CH"/>
        </w:rPr>
        <w:t>ً</w:t>
      </w:r>
      <w:r w:rsidR="00B934F4" w:rsidRPr="00B934F4">
        <w:rPr>
          <w:rtl/>
          <w:lang w:val="fr-CH"/>
        </w:rPr>
        <w:t xml:space="preserve"> أن ظروف الاحتجاز في سجن الاحتجاز رهن المحاكمة رقم </w:t>
      </w:r>
      <w:r w:rsidRPr="00754C8F">
        <w:rPr>
          <w:szCs w:val="20"/>
          <w:rtl/>
          <w:lang w:val="fr-CH"/>
        </w:rPr>
        <w:t>30</w:t>
      </w:r>
      <w:r w:rsidR="00B934F4" w:rsidRPr="00B934F4">
        <w:rPr>
          <w:rtl/>
          <w:lang w:val="fr-CH"/>
        </w:rPr>
        <w:t xml:space="preserve"> في</w:t>
      </w:r>
      <w:r w:rsidR="004A1FF2">
        <w:rPr>
          <w:rtl/>
          <w:lang w:val="en-GB"/>
        </w:rPr>
        <w:t xml:space="preserve"> </w:t>
      </w:r>
      <w:proofErr w:type="spellStart"/>
      <w:r w:rsidR="00B934F4" w:rsidRPr="00B934F4">
        <w:rPr>
          <w:rtl/>
          <w:lang w:val="fr-CH" w:bidi="ar-DZ"/>
        </w:rPr>
        <w:t>تشيركاسي</w:t>
      </w:r>
      <w:proofErr w:type="spellEnd"/>
      <w:r w:rsidR="00B934F4" w:rsidRPr="00B934F4">
        <w:rPr>
          <w:rtl/>
          <w:lang w:val="fr-CH" w:bidi="ar-DZ"/>
        </w:rPr>
        <w:t xml:space="preserve">، </w:t>
      </w:r>
      <w:r w:rsidR="00B934F4" w:rsidRPr="00B934F4">
        <w:rPr>
          <w:rtl/>
          <w:lang w:val="fr-CH"/>
        </w:rPr>
        <w:t xml:space="preserve">الذي سيُسجن فيه صاحب البلاغ في انتظار المحاكمة لدى تسليمه، لا يستوفي المعايير المتفق عليها، بل اعتبرت المحكمة أن ممارسات إساءة المعاملة أثناء الاحتجاز وعدم التحقيق فيها يشكلان مشكلة </w:t>
      </w:r>
      <w:proofErr w:type="gramStart"/>
      <w:r w:rsidR="00B934F4" w:rsidRPr="00B934F4">
        <w:rPr>
          <w:rtl/>
          <w:lang w:val="fr-CH"/>
        </w:rPr>
        <w:t>نظامية</w:t>
      </w:r>
      <w:r w:rsidR="00330541">
        <w:rPr>
          <w:vertAlign w:val="superscript"/>
          <w:rtl/>
          <w:lang w:val="en-GB"/>
        </w:rPr>
        <w:t>(</w:t>
      </w:r>
      <w:proofErr w:type="gramEnd"/>
      <w:r w:rsidR="00330541" w:rsidRPr="00754C8F">
        <w:rPr>
          <w:rFonts w:cs="Times New Roman"/>
          <w:position w:val="4"/>
          <w:vertAlign w:val="superscript"/>
        </w:rPr>
        <w:footnoteReference w:id="33"/>
      </w:r>
      <w:r w:rsidR="00330541">
        <w:rPr>
          <w:vertAlign w:val="superscript"/>
          <w:rtl/>
          <w:lang w:val="en-GB"/>
        </w:rPr>
        <w:t>)</w:t>
      </w:r>
      <w:r w:rsidR="00B934F4" w:rsidRPr="00B934F4">
        <w:rPr>
          <w:rtl/>
          <w:lang w:val="fr-CH"/>
        </w:rPr>
        <w:t>.</w:t>
      </w:r>
    </w:p>
    <w:p w:rsidR="00B934F4" w:rsidRPr="00D67799" w:rsidRDefault="00754C8F" w:rsidP="00B934F4">
      <w:pPr>
        <w:pStyle w:val="SingleTxtGA"/>
        <w:rPr>
          <w:spacing w:val="-2"/>
          <w:rtl/>
          <w:lang w:val="fr-CH"/>
        </w:rPr>
      </w:pPr>
      <w:r w:rsidRPr="00D67799">
        <w:rPr>
          <w:spacing w:val="-2"/>
          <w:szCs w:val="20"/>
          <w:rtl/>
          <w:lang w:val="fr-CH"/>
        </w:rPr>
        <w:t>7</w:t>
      </w:r>
      <w:r w:rsidR="00B934F4" w:rsidRPr="00D67799">
        <w:rPr>
          <w:spacing w:val="-2"/>
          <w:rtl/>
          <w:lang w:val="fr-CH"/>
        </w:rPr>
        <w:t>-</w:t>
      </w:r>
      <w:r w:rsidRPr="00D67799">
        <w:rPr>
          <w:spacing w:val="-2"/>
          <w:szCs w:val="20"/>
          <w:rtl/>
          <w:lang w:val="fr-CH"/>
        </w:rPr>
        <w:t>5</w:t>
      </w:r>
      <w:r w:rsidR="00B934F4" w:rsidRPr="00D67799">
        <w:rPr>
          <w:spacing w:val="-2"/>
          <w:rtl/>
          <w:lang w:val="en-GB"/>
        </w:rPr>
        <w:tab/>
      </w:r>
      <w:r w:rsidR="00B934F4" w:rsidRPr="00D67799">
        <w:rPr>
          <w:spacing w:val="-2"/>
          <w:rtl/>
          <w:lang w:val="fr-CH"/>
        </w:rPr>
        <w:t>وأخيرا</w:t>
      </w:r>
      <w:r w:rsidR="00A64834" w:rsidRPr="00D67799">
        <w:rPr>
          <w:rFonts w:hint="cs"/>
          <w:spacing w:val="-2"/>
          <w:rtl/>
          <w:lang w:val="fr-CH"/>
        </w:rPr>
        <w:t>ً</w:t>
      </w:r>
      <w:r w:rsidR="00B934F4" w:rsidRPr="00D67799">
        <w:rPr>
          <w:spacing w:val="-2"/>
          <w:rtl/>
          <w:lang w:val="fr-CH"/>
        </w:rPr>
        <w:t xml:space="preserve">، في </w:t>
      </w:r>
      <w:r w:rsidRPr="00D67799">
        <w:rPr>
          <w:spacing w:val="-2"/>
          <w:szCs w:val="20"/>
          <w:rtl/>
          <w:lang w:val="fr-CH"/>
        </w:rPr>
        <w:t>24</w:t>
      </w:r>
      <w:r w:rsidR="00B934F4" w:rsidRPr="00D67799">
        <w:rPr>
          <w:spacing w:val="-2"/>
          <w:rtl/>
          <w:lang w:val="fr-CH"/>
        </w:rPr>
        <w:t xml:space="preserve"> تشرين الثاني/نوفمبر </w:t>
      </w:r>
      <w:r w:rsidRPr="00D67799">
        <w:rPr>
          <w:spacing w:val="-2"/>
          <w:szCs w:val="20"/>
          <w:rtl/>
          <w:lang w:val="fr-CH"/>
        </w:rPr>
        <w:t>2017</w:t>
      </w:r>
      <w:r w:rsidR="00B934F4" w:rsidRPr="00D67799">
        <w:rPr>
          <w:spacing w:val="-2"/>
          <w:rtl/>
          <w:lang w:val="fr-CH"/>
        </w:rPr>
        <w:t xml:space="preserve">، أبلغ محامي صاحب البلاغ اللجنة بأن صاحب البلاغ اعتقل في </w:t>
      </w:r>
      <w:r w:rsidRPr="00D67799">
        <w:rPr>
          <w:spacing w:val="-2"/>
          <w:szCs w:val="20"/>
          <w:rtl/>
          <w:lang w:val="fr-CH"/>
        </w:rPr>
        <w:t>21</w:t>
      </w:r>
      <w:r w:rsidR="00B934F4" w:rsidRPr="00D67799">
        <w:rPr>
          <w:spacing w:val="-2"/>
          <w:rtl/>
          <w:lang w:val="fr-CH"/>
        </w:rPr>
        <w:t xml:space="preserve"> تشرين الثاني/نوفمبر </w:t>
      </w:r>
      <w:r w:rsidRPr="00D67799">
        <w:rPr>
          <w:spacing w:val="-2"/>
          <w:szCs w:val="20"/>
          <w:rtl/>
          <w:lang w:val="fr-CH"/>
        </w:rPr>
        <w:t>2017</w:t>
      </w:r>
      <w:r w:rsidR="00B934F4" w:rsidRPr="00D67799">
        <w:rPr>
          <w:spacing w:val="-2"/>
          <w:rtl/>
          <w:lang w:val="fr-CH"/>
        </w:rPr>
        <w:t xml:space="preserve"> بموجب أمر احتجاز وقائي صدر في</w:t>
      </w:r>
      <w:r w:rsidR="00A64834" w:rsidRPr="00D67799">
        <w:rPr>
          <w:rFonts w:hint="cs"/>
          <w:spacing w:val="-2"/>
          <w:rtl/>
          <w:lang w:val="fr-CH"/>
        </w:rPr>
        <w:t> </w:t>
      </w:r>
      <w:r w:rsidRPr="00D67799">
        <w:rPr>
          <w:spacing w:val="-2"/>
          <w:szCs w:val="20"/>
          <w:rtl/>
          <w:lang w:val="fr-CH"/>
        </w:rPr>
        <w:t>21</w:t>
      </w:r>
      <w:r w:rsidR="00B934F4" w:rsidRPr="00D67799">
        <w:rPr>
          <w:spacing w:val="-2"/>
          <w:rtl/>
          <w:lang w:val="fr-CH"/>
        </w:rPr>
        <w:t xml:space="preserve"> تموز/يوليه </w:t>
      </w:r>
      <w:r w:rsidRPr="00D67799">
        <w:rPr>
          <w:spacing w:val="-2"/>
          <w:szCs w:val="20"/>
          <w:rtl/>
          <w:lang w:val="fr-CH"/>
        </w:rPr>
        <w:t>2014</w:t>
      </w:r>
      <w:r w:rsidR="00B934F4" w:rsidRPr="00D67799">
        <w:rPr>
          <w:spacing w:val="-2"/>
          <w:rtl/>
          <w:lang w:val="fr-CH"/>
        </w:rPr>
        <w:t xml:space="preserve"> لغرض " تسليمه" إلى الدولة الطالبة.</w:t>
      </w:r>
      <w:r w:rsidR="004A1FF2" w:rsidRPr="00D67799">
        <w:rPr>
          <w:spacing w:val="-2"/>
          <w:rtl/>
          <w:lang w:val="en-GB"/>
        </w:rPr>
        <w:t xml:space="preserve"> </w:t>
      </w:r>
      <w:r w:rsidR="00B934F4" w:rsidRPr="00D67799">
        <w:rPr>
          <w:spacing w:val="-2"/>
          <w:rtl/>
          <w:lang w:val="fr-CH"/>
        </w:rPr>
        <w:t>ولم يُبلغ صاحب البلاغ رسميا</w:t>
      </w:r>
      <w:r w:rsidR="0046391F" w:rsidRPr="00D67799">
        <w:rPr>
          <w:rFonts w:hint="cs"/>
          <w:spacing w:val="-2"/>
          <w:rtl/>
          <w:lang w:val="fr-CH"/>
        </w:rPr>
        <w:t>ً</w:t>
      </w:r>
      <w:r w:rsidR="00B934F4" w:rsidRPr="00D67799">
        <w:rPr>
          <w:spacing w:val="-2"/>
          <w:rtl/>
          <w:lang w:val="fr-CH"/>
        </w:rPr>
        <w:t xml:space="preserve"> قط بذلك الأمر.</w:t>
      </w:r>
      <w:r w:rsidR="00B934F4" w:rsidRPr="00D67799">
        <w:rPr>
          <w:spacing w:val="-2"/>
          <w:rtl/>
          <w:lang w:val="en-GB"/>
        </w:rPr>
        <w:t xml:space="preserve"> </w:t>
      </w:r>
      <w:r w:rsidR="00B934F4" w:rsidRPr="00D67799">
        <w:rPr>
          <w:spacing w:val="-2"/>
          <w:rtl/>
          <w:lang w:val="fr-CH"/>
        </w:rPr>
        <w:t xml:space="preserve">ثم، في </w:t>
      </w:r>
      <w:r w:rsidRPr="00D67799">
        <w:rPr>
          <w:spacing w:val="-2"/>
          <w:szCs w:val="20"/>
          <w:rtl/>
          <w:lang w:val="fr-CH"/>
        </w:rPr>
        <w:t>28</w:t>
      </w:r>
      <w:r w:rsidR="00B934F4" w:rsidRPr="00D67799">
        <w:rPr>
          <w:spacing w:val="-2"/>
          <w:rtl/>
          <w:lang w:val="fr-CH"/>
        </w:rPr>
        <w:t xml:space="preserve"> كانون الأول/ديسمبر </w:t>
      </w:r>
      <w:r w:rsidRPr="00D67799">
        <w:rPr>
          <w:spacing w:val="-2"/>
          <w:szCs w:val="20"/>
          <w:rtl/>
          <w:lang w:val="fr-CH"/>
        </w:rPr>
        <w:t>2017</w:t>
      </w:r>
      <w:r w:rsidR="00B934F4" w:rsidRPr="00D67799">
        <w:rPr>
          <w:spacing w:val="-2"/>
          <w:rtl/>
          <w:lang w:val="fr-CH"/>
        </w:rPr>
        <w:t xml:space="preserve">، أبلغ المحامي اللجنة بأن صاحب البلاغ سُلم في </w:t>
      </w:r>
      <w:r w:rsidRPr="00D67799">
        <w:rPr>
          <w:spacing w:val="-2"/>
          <w:szCs w:val="20"/>
          <w:rtl/>
          <w:lang w:val="fr-CH"/>
        </w:rPr>
        <w:t>11</w:t>
      </w:r>
      <w:r w:rsidR="00B934F4" w:rsidRPr="00D67799">
        <w:rPr>
          <w:spacing w:val="-2"/>
          <w:rtl/>
          <w:lang w:val="fr-CH"/>
        </w:rPr>
        <w:t xml:space="preserve"> كانون الأول/ديسمبر </w:t>
      </w:r>
      <w:r w:rsidRPr="00D67799">
        <w:rPr>
          <w:spacing w:val="-2"/>
          <w:szCs w:val="20"/>
          <w:rtl/>
          <w:lang w:val="fr-CH"/>
        </w:rPr>
        <w:t>2017</w:t>
      </w:r>
      <w:r w:rsidR="00B934F4" w:rsidRPr="00D67799">
        <w:rPr>
          <w:spacing w:val="-2"/>
          <w:rtl/>
          <w:lang w:val="fr-CH"/>
        </w:rPr>
        <w:t xml:space="preserve"> إلى السلطات الأوكرانية.</w:t>
      </w:r>
    </w:p>
    <w:p w:rsidR="00B934F4" w:rsidRPr="00B934F4" w:rsidRDefault="00B934F4" w:rsidP="00A64834">
      <w:pPr>
        <w:pStyle w:val="H23GA"/>
        <w:keepNext/>
        <w:keepLines/>
        <w:rPr>
          <w:rtl/>
          <w:lang w:val="fr-CH"/>
        </w:rPr>
      </w:pPr>
      <w:r w:rsidRPr="00B934F4">
        <w:rPr>
          <w:rtl/>
          <w:lang w:val="en-GB"/>
        </w:rPr>
        <w:tab/>
      </w:r>
      <w:r w:rsidRPr="00B934F4">
        <w:rPr>
          <w:rtl/>
          <w:lang w:val="en-GB"/>
        </w:rPr>
        <w:tab/>
      </w:r>
      <w:r w:rsidRPr="00B934F4">
        <w:rPr>
          <w:rtl/>
          <w:lang w:val="fr-CH"/>
        </w:rPr>
        <w:t>القضايا والإجراءات المعروضة على اللجنة</w:t>
      </w:r>
    </w:p>
    <w:p w:rsidR="00B934F4" w:rsidRPr="00B934F4" w:rsidRDefault="00B934F4" w:rsidP="005C55B1">
      <w:pPr>
        <w:pStyle w:val="H4GA"/>
        <w:rPr>
          <w:rtl/>
          <w:lang w:val="fr-CH"/>
        </w:rPr>
      </w:pPr>
      <w:r w:rsidRPr="00B934F4">
        <w:rPr>
          <w:rtl/>
          <w:lang w:val="en-GB"/>
        </w:rPr>
        <w:tab/>
      </w:r>
      <w:r w:rsidRPr="00B934F4">
        <w:rPr>
          <w:rtl/>
          <w:lang w:val="en-GB"/>
        </w:rPr>
        <w:tab/>
      </w:r>
      <w:r w:rsidRPr="00B934F4">
        <w:rPr>
          <w:rtl/>
          <w:lang w:val="fr-CH"/>
        </w:rPr>
        <w:t>النظر في المقبولية</w:t>
      </w:r>
    </w:p>
    <w:p w:rsidR="00B934F4" w:rsidRPr="00B934F4" w:rsidRDefault="00754C8F" w:rsidP="00B934F4">
      <w:pPr>
        <w:pStyle w:val="SingleTxtGA"/>
        <w:rPr>
          <w:rtl/>
          <w:lang w:val="fr-CH"/>
        </w:rPr>
      </w:pPr>
      <w:r w:rsidRPr="00754C8F">
        <w:rPr>
          <w:szCs w:val="20"/>
          <w:rtl/>
          <w:lang w:val="fr-CH"/>
        </w:rPr>
        <w:t>8</w:t>
      </w:r>
      <w:r w:rsidR="00B934F4" w:rsidRPr="00B934F4">
        <w:rPr>
          <w:rtl/>
          <w:lang w:val="fr-CH"/>
        </w:rPr>
        <w:t>-</w:t>
      </w:r>
      <w:r w:rsidRPr="00754C8F">
        <w:rPr>
          <w:szCs w:val="20"/>
          <w:rtl/>
          <w:lang w:val="fr-CH"/>
        </w:rPr>
        <w:t>1</w:t>
      </w:r>
      <w:r w:rsidR="00B934F4" w:rsidRPr="00B934F4">
        <w:rPr>
          <w:rtl/>
          <w:lang w:val="en-GB"/>
        </w:rPr>
        <w:tab/>
      </w:r>
      <w:r w:rsidR="00B934F4" w:rsidRPr="00B934F4">
        <w:rPr>
          <w:rtl/>
          <w:lang w:val="fr-CH"/>
        </w:rPr>
        <w:t>قبل النظر في أي ادعاءات ترد في بلاغ ما، يجب على اللجنة أن تقرر، وفقاً للمادة</w:t>
      </w:r>
      <w:r w:rsidR="00A64834">
        <w:rPr>
          <w:rFonts w:hint="cs"/>
          <w:rtl/>
          <w:lang w:val="en-GB"/>
        </w:rPr>
        <w:t> </w:t>
      </w:r>
      <w:r w:rsidR="00B934F4" w:rsidRPr="00754C8F">
        <w:rPr>
          <w:szCs w:val="20"/>
          <w:rtl/>
          <w:lang w:val="fr-CH"/>
        </w:rPr>
        <w:t>97</w:t>
      </w:r>
      <w:r w:rsidR="00B934F4" w:rsidRPr="00B934F4">
        <w:rPr>
          <w:rtl/>
          <w:lang w:val="en-GB"/>
        </w:rPr>
        <w:t xml:space="preserve"> </w:t>
      </w:r>
      <w:r w:rsidR="00B934F4" w:rsidRPr="00B934F4">
        <w:rPr>
          <w:rtl/>
          <w:lang w:val="fr-CH"/>
        </w:rPr>
        <w:t>من نظامها الداخلي، ما إذا كان البلاغ مقبولاً أم لا بموجب البروتوكول الاختياري.</w:t>
      </w:r>
    </w:p>
    <w:p w:rsidR="00B934F4" w:rsidRPr="00B934F4" w:rsidRDefault="00754C8F" w:rsidP="00B934F4">
      <w:pPr>
        <w:pStyle w:val="SingleTxtGA"/>
        <w:rPr>
          <w:rtl/>
          <w:lang w:val="fr-CH" w:bidi="ar-DZ"/>
        </w:rPr>
      </w:pPr>
      <w:r w:rsidRPr="00754C8F">
        <w:rPr>
          <w:szCs w:val="20"/>
          <w:rtl/>
          <w:lang w:val="fr-CH"/>
        </w:rPr>
        <w:t>8</w:t>
      </w:r>
      <w:r w:rsidR="00B934F4" w:rsidRPr="00B934F4">
        <w:rPr>
          <w:rtl/>
          <w:lang w:val="fr-CH"/>
        </w:rPr>
        <w:t>-</w:t>
      </w:r>
      <w:r w:rsidRPr="00754C8F">
        <w:rPr>
          <w:szCs w:val="20"/>
          <w:rtl/>
          <w:lang w:val="fr-CH"/>
        </w:rPr>
        <w:t>2</w:t>
      </w:r>
      <w:r w:rsidR="00B934F4" w:rsidRPr="00B934F4">
        <w:rPr>
          <w:rtl/>
          <w:lang w:val="en-GB"/>
        </w:rPr>
        <w:tab/>
      </w:r>
      <w:r w:rsidR="00B934F4" w:rsidRPr="00B934F4">
        <w:rPr>
          <w:rtl/>
          <w:lang w:val="fr-CH"/>
        </w:rPr>
        <w:t xml:space="preserve">وقد تيقنت اللجنة، وفقاً لما تقتضيه الفقرة </w:t>
      </w:r>
      <w:r w:rsidR="00B934F4" w:rsidRPr="00754C8F">
        <w:rPr>
          <w:szCs w:val="20"/>
          <w:rtl/>
          <w:lang w:val="fr-CH"/>
        </w:rPr>
        <w:t>2</w:t>
      </w:r>
      <w:r w:rsidR="00B934F4" w:rsidRPr="00B934F4">
        <w:rPr>
          <w:rtl/>
          <w:lang w:val="fr-CH"/>
        </w:rPr>
        <w:t xml:space="preserve">(أ) من المادة </w:t>
      </w:r>
      <w:r w:rsidR="00B934F4" w:rsidRPr="00754C8F">
        <w:rPr>
          <w:szCs w:val="20"/>
          <w:rtl/>
          <w:lang w:val="fr-CH"/>
        </w:rPr>
        <w:t>5</w:t>
      </w:r>
      <w:r w:rsidR="00B934F4" w:rsidRPr="00B934F4">
        <w:rPr>
          <w:rtl/>
          <w:lang w:val="fr-CH"/>
        </w:rPr>
        <w:t xml:space="preserve"> من البروتوكول الاختياري من أن المسألة نفسها ليست قيد البحث في إطار إجراء آخر من إجراءات التحقيق الدولي أو التسوية الدولية.</w:t>
      </w:r>
      <w:r w:rsidR="00D67799">
        <w:rPr>
          <w:rFonts w:hint="cs"/>
          <w:rtl/>
          <w:lang w:val="en-GB"/>
        </w:rPr>
        <w:t> </w:t>
      </w:r>
      <w:r w:rsidR="00B934F4" w:rsidRPr="00B934F4">
        <w:rPr>
          <w:rtl/>
          <w:lang w:val="fr-CH"/>
        </w:rPr>
        <w:t xml:space="preserve">وتلاحظ اللجنة أن صاحب البلاغ قدم إلى المحكمة الأوروبية لحقوق الإنسان، في </w:t>
      </w:r>
      <w:r w:rsidR="00B934F4" w:rsidRPr="00754C8F">
        <w:rPr>
          <w:szCs w:val="20"/>
          <w:rtl/>
          <w:lang w:val="fr-CH"/>
        </w:rPr>
        <w:t>11</w:t>
      </w:r>
      <w:r w:rsidR="00B934F4" w:rsidRPr="00B934F4">
        <w:rPr>
          <w:rtl/>
          <w:lang w:val="fr-CH"/>
        </w:rPr>
        <w:t xml:space="preserve"> آب/</w:t>
      </w:r>
      <w:r w:rsidR="00D67799">
        <w:rPr>
          <w:rFonts w:hint="cs"/>
          <w:rtl/>
          <w:lang w:val="fr-CH"/>
        </w:rPr>
        <w:t xml:space="preserve"> </w:t>
      </w:r>
      <w:r w:rsidR="00B934F4" w:rsidRPr="00B934F4">
        <w:rPr>
          <w:rtl/>
          <w:lang w:val="fr-CH"/>
        </w:rPr>
        <w:t xml:space="preserve">أغسطس </w:t>
      </w:r>
      <w:r w:rsidR="00B934F4" w:rsidRPr="00754C8F">
        <w:rPr>
          <w:szCs w:val="20"/>
          <w:rtl/>
          <w:lang w:val="fr-CH"/>
        </w:rPr>
        <w:t>2014</w:t>
      </w:r>
      <w:r w:rsidR="00B934F4" w:rsidRPr="00B934F4">
        <w:rPr>
          <w:rtl/>
          <w:lang w:val="fr-CH"/>
        </w:rPr>
        <w:t>، طلباً استند إلى الوقائع نفسها.</w:t>
      </w:r>
      <w:r w:rsidR="00B934F4" w:rsidRPr="00B934F4">
        <w:rPr>
          <w:rtl/>
          <w:lang w:val="en-GB"/>
        </w:rPr>
        <w:t xml:space="preserve"> </w:t>
      </w:r>
      <w:r w:rsidR="00B934F4" w:rsidRPr="00B934F4">
        <w:rPr>
          <w:rtl/>
          <w:lang w:val="fr-CH"/>
        </w:rPr>
        <w:t xml:space="preserve">بيد أنه، في </w:t>
      </w:r>
      <w:r w:rsidRPr="00754C8F">
        <w:rPr>
          <w:szCs w:val="20"/>
          <w:rtl/>
          <w:lang w:val="fr-CH"/>
        </w:rPr>
        <w:t>30</w:t>
      </w:r>
      <w:r w:rsidR="00B934F4" w:rsidRPr="00B934F4">
        <w:rPr>
          <w:rtl/>
          <w:lang w:val="fr-CH"/>
        </w:rPr>
        <w:t xml:space="preserve"> تشرين الأول/</w:t>
      </w:r>
      <w:r w:rsidR="00A64834">
        <w:rPr>
          <w:rFonts w:hint="cs"/>
          <w:rtl/>
          <w:lang w:val="fr-CH"/>
        </w:rPr>
        <w:t xml:space="preserve"> </w:t>
      </w:r>
      <w:r w:rsidR="00B934F4" w:rsidRPr="00B934F4">
        <w:rPr>
          <w:rtl/>
          <w:lang w:val="fr-CH"/>
        </w:rPr>
        <w:t xml:space="preserve">أكتوبر </w:t>
      </w:r>
      <w:r w:rsidRPr="00754C8F">
        <w:rPr>
          <w:szCs w:val="20"/>
          <w:rtl/>
          <w:lang w:val="fr-CH"/>
        </w:rPr>
        <w:t>2014</w:t>
      </w:r>
      <w:r w:rsidR="00B934F4" w:rsidRPr="00B934F4">
        <w:rPr>
          <w:rtl/>
          <w:lang w:val="fr-CH"/>
        </w:rPr>
        <w:t xml:space="preserve"> </w:t>
      </w:r>
      <w:proofErr w:type="spellStart"/>
      <w:r w:rsidR="00B934F4" w:rsidRPr="00B934F4">
        <w:rPr>
          <w:rtl/>
          <w:lang w:val="fr-CH"/>
        </w:rPr>
        <w:t>و</w:t>
      </w:r>
      <w:r w:rsidRPr="00754C8F">
        <w:rPr>
          <w:szCs w:val="20"/>
          <w:rtl/>
          <w:lang w:val="fr-CH"/>
        </w:rPr>
        <w:t>13</w:t>
      </w:r>
      <w:proofErr w:type="spellEnd"/>
      <w:r w:rsidR="00B934F4" w:rsidRPr="00B934F4">
        <w:rPr>
          <w:rtl/>
          <w:lang w:val="fr-CH"/>
        </w:rPr>
        <w:t xml:space="preserve"> تشرين الثاني/نوفمبر </w:t>
      </w:r>
      <w:r w:rsidRPr="00754C8F">
        <w:rPr>
          <w:szCs w:val="20"/>
          <w:rtl/>
          <w:lang w:val="fr-CH"/>
        </w:rPr>
        <w:t>2014</w:t>
      </w:r>
      <w:r w:rsidR="00B934F4" w:rsidRPr="00B934F4">
        <w:rPr>
          <w:rtl/>
          <w:lang w:val="fr-CH"/>
        </w:rPr>
        <w:t>، رفضت المحكمة المشكلة من قاض واحد الطلب.</w:t>
      </w:r>
      <w:r w:rsidR="00B934F4" w:rsidRPr="00B934F4">
        <w:rPr>
          <w:rtl/>
          <w:lang w:val="en-GB"/>
        </w:rPr>
        <w:t xml:space="preserve"> </w:t>
      </w:r>
      <w:r w:rsidR="00B934F4" w:rsidRPr="00B934F4">
        <w:rPr>
          <w:rtl/>
          <w:lang w:val="fr-CH"/>
        </w:rPr>
        <w:t xml:space="preserve">ومع ذلك، تلاحظ </w:t>
      </w:r>
      <w:r w:rsidR="00B934F4" w:rsidRPr="00B934F4">
        <w:rPr>
          <w:rtl/>
          <w:lang w:val="fr-CH"/>
        </w:rPr>
        <w:lastRenderedPageBreak/>
        <w:t>اللجنة أن قرار المحكمة لا يقدم مبرراً لقرار عدم المقبولية ولا</w:t>
      </w:r>
      <w:r w:rsidR="0046391F">
        <w:rPr>
          <w:rFonts w:hint="cs"/>
          <w:rtl/>
          <w:lang w:val="fr-CH"/>
        </w:rPr>
        <w:t> </w:t>
      </w:r>
      <w:r w:rsidR="00B934F4" w:rsidRPr="00B934F4">
        <w:rPr>
          <w:rtl/>
          <w:lang w:val="fr-CH"/>
        </w:rPr>
        <w:t>يقدم أي توضيح لأساس القرار.</w:t>
      </w:r>
      <w:r w:rsidR="00B934F4" w:rsidRPr="00B934F4">
        <w:rPr>
          <w:rtl/>
          <w:lang w:val="en-GB"/>
        </w:rPr>
        <w:t xml:space="preserve"> </w:t>
      </w:r>
      <w:r w:rsidR="00B934F4" w:rsidRPr="00B934F4">
        <w:rPr>
          <w:rtl/>
          <w:lang w:val="fr-CH"/>
        </w:rPr>
        <w:t xml:space="preserve">وذكرت المحكمة في رسالتها أنها استنتجت، استناداً إلى الأدلة التي في حوزتها، ومن واقع اختصاصها في البت في الشكاوى المقدمة إليها، أن طلب صاحب البلاغ </w:t>
      </w:r>
      <w:r w:rsidR="00AD028F" w:rsidRPr="00B934F4">
        <w:rPr>
          <w:rtl/>
          <w:lang w:val="fr-CH"/>
        </w:rPr>
        <w:t>لا</w:t>
      </w:r>
      <w:r w:rsidR="00AD028F">
        <w:rPr>
          <w:rFonts w:hint="cs"/>
          <w:rtl/>
          <w:lang w:val="fr-CH"/>
        </w:rPr>
        <w:t> </w:t>
      </w:r>
      <w:r w:rsidR="00B934F4" w:rsidRPr="00B934F4">
        <w:rPr>
          <w:rtl/>
          <w:lang w:val="fr-CH"/>
        </w:rPr>
        <w:t xml:space="preserve">يستوفي معايير المقبولية المنصوص عليها في المادتين </w:t>
      </w:r>
      <w:r w:rsidRPr="00754C8F">
        <w:rPr>
          <w:szCs w:val="20"/>
          <w:rtl/>
          <w:lang w:val="fr-CH"/>
        </w:rPr>
        <w:t>34</w:t>
      </w:r>
      <w:r w:rsidR="00B934F4" w:rsidRPr="00B934F4">
        <w:rPr>
          <w:rtl/>
          <w:lang w:val="fr-CH"/>
        </w:rPr>
        <w:t xml:space="preserve"> </w:t>
      </w:r>
      <w:proofErr w:type="spellStart"/>
      <w:r w:rsidR="00B934F4" w:rsidRPr="00B934F4">
        <w:rPr>
          <w:rtl/>
          <w:lang w:val="fr-CH"/>
        </w:rPr>
        <w:t>و</w:t>
      </w:r>
      <w:r w:rsidRPr="00754C8F">
        <w:rPr>
          <w:szCs w:val="20"/>
          <w:rtl/>
          <w:lang w:val="fr-CH"/>
        </w:rPr>
        <w:t>35</w:t>
      </w:r>
      <w:proofErr w:type="spellEnd"/>
      <w:r w:rsidR="00B934F4" w:rsidRPr="00B934F4">
        <w:rPr>
          <w:rtl/>
          <w:lang w:val="fr-CH"/>
        </w:rPr>
        <w:t xml:space="preserve"> من الاتفاقية الأوروبية لحقوق الإنسان.</w:t>
      </w:r>
      <w:r w:rsidR="00B934F4" w:rsidRPr="00B934F4">
        <w:rPr>
          <w:rtl/>
          <w:lang w:val="en-GB"/>
        </w:rPr>
        <w:t xml:space="preserve"> </w:t>
      </w:r>
      <w:r w:rsidR="00B934F4" w:rsidRPr="00B934F4">
        <w:rPr>
          <w:rtl/>
          <w:lang w:val="fr-CH"/>
        </w:rPr>
        <w:t>وتلاحظ اللجنة أيضا</w:t>
      </w:r>
      <w:r w:rsidR="0046391F">
        <w:rPr>
          <w:rFonts w:hint="cs"/>
          <w:rtl/>
          <w:lang w:val="fr-CH"/>
        </w:rPr>
        <w:t>ً</w:t>
      </w:r>
      <w:r w:rsidR="00B934F4" w:rsidRPr="00B934F4">
        <w:rPr>
          <w:rtl/>
          <w:lang w:val="fr-CH"/>
        </w:rPr>
        <w:t xml:space="preserve"> أن الدولة الطرف لم تطعن في حجة صاحب البلاغ المتعلقة بأثر قرار المحكمة الأوروبية المانع لإعادة النظر.</w:t>
      </w:r>
    </w:p>
    <w:p w:rsidR="00B934F4" w:rsidRPr="00D67799" w:rsidRDefault="00754C8F" w:rsidP="00B934F4">
      <w:pPr>
        <w:pStyle w:val="SingleTxtGA"/>
        <w:rPr>
          <w:spacing w:val="-2"/>
          <w:rtl/>
          <w:lang w:val="fr-CH"/>
        </w:rPr>
      </w:pPr>
      <w:r w:rsidRPr="00D67799">
        <w:rPr>
          <w:spacing w:val="-2"/>
          <w:szCs w:val="20"/>
          <w:rtl/>
          <w:lang w:val="fr-CH"/>
        </w:rPr>
        <w:t>8</w:t>
      </w:r>
      <w:r w:rsidR="00B934F4" w:rsidRPr="00D67799">
        <w:rPr>
          <w:spacing w:val="-2"/>
          <w:rtl/>
          <w:lang w:val="fr-CH"/>
        </w:rPr>
        <w:t>-</w:t>
      </w:r>
      <w:r w:rsidRPr="00D67799">
        <w:rPr>
          <w:spacing w:val="-2"/>
          <w:szCs w:val="20"/>
          <w:rtl/>
          <w:lang w:val="fr-CH"/>
        </w:rPr>
        <w:t>3</w:t>
      </w:r>
      <w:r w:rsidR="00B934F4" w:rsidRPr="00D67799">
        <w:rPr>
          <w:spacing w:val="-2"/>
          <w:rtl/>
          <w:lang w:val="en-GB"/>
        </w:rPr>
        <w:tab/>
      </w:r>
      <w:r w:rsidR="00B934F4" w:rsidRPr="00D67799">
        <w:rPr>
          <w:spacing w:val="-2"/>
          <w:rtl/>
          <w:lang w:val="fr-CH"/>
        </w:rPr>
        <w:t xml:space="preserve">وتذكّر اللجنة أيضاً باجتهادها المتعلق بالفقرة </w:t>
      </w:r>
      <w:r w:rsidR="00B934F4" w:rsidRPr="00D67799">
        <w:rPr>
          <w:spacing w:val="-2"/>
          <w:szCs w:val="20"/>
          <w:rtl/>
          <w:lang w:val="fr-CH"/>
        </w:rPr>
        <w:t>2</w:t>
      </w:r>
      <w:r w:rsidR="00B934F4" w:rsidRPr="00D67799">
        <w:rPr>
          <w:spacing w:val="-2"/>
          <w:rtl/>
          <w:lang w:val="fr-CH"/>
        </w:rPr>
        <w:t xml:space="preserve">(أ) من المادة </w:t>
      </w:r>
      <w:r w:rsidR="00B934F4" w:rsidRPr="00D67799">
        <w:rPr>
          <w:spacing w:val="-2"/>
          <w:szCs w:val="20"/>
          <w:rtl/>
          <w:lang w:val="fr-CH"/>
        </w:rPr>
        <w:t>5</w:t>
      </w:r>
      <w:r w:rsidR="00B934F4" w:rsidRPr="00D67799">
        <w:rPr>
          <w:spacing w:val="-2"/>
          <w:rtl/>
          <w:lang w:val="fr-CH"/>
        </w:rPr>
        <w:t xml:space="preserve"> من البروتوكول الاختياري، التي تشير إلى أنه عندما تعلن المحكمة الأوروبية لحقوق الإنسان عدم مقبولية طلب ما، ولا تستند في ذلك إلى أسس إجرائية فقط، بل أيضاً إلى أسس تنشأ عن النظر في موضوع القضية إلى حد ما، تُعد القضية قد تم النظر فيها بالمعنى المقصود في التحفظات على المادة </w:t>
      </w:r>
      <w:r w:rsidR="00B934F4" w:rsidRPr="00D67799">
        <w:rPr>
          <w:spacing w:val="-2"/>
          <w:szCs w:val="20"/>
          <w:rtl/>
          <w:lang w:val="fr-CH"/>
        </w:rPr>
        <w:t>5</w:t>
      </w:r>
      <w:r w:rsidR="00B934F4" w:rsidRPr="00D67799">
        <w:rPr>
          <w:spacing w:val="-2"/>
          <w:rtl/>
          <w:lang w:val="fr-CH"/>
        </w:rPr>
        <w:t>.</w:t>
      </w:r>
      <w:r w:rsidR="00B934F4" w:rsidRPr="00D67799">
        <w:rPr>
          <w:spacing w:val="-2"/>
          <w:rtl/>
          <w:lang w:val="en-GB"/>
        </w:rPr>
        <w:t xml:space="preserve"> </w:t>
      </w:r>
      <w:r w:rsidR="00B934F4" w:rsidRPr="00D67799">
        <w:rPr>
          <w:spacing w:val="-2"/>
          <w:rtl/>
          <w:lang w:val="fr-CH"/>
        </w:rPr>
        <w:t>ومع ذلك، تشير اللجنة أيضا</w:t>
      </w:r>
      <w:r w:rsidR="0046391F" w:rsidRPr="00D67799">
        <w:rPr>
          <w:rFonts w:hint="cs"/>
          <w:spacing w:val="-2"/>
          <w:rtl/>
          <w:lang w:val="fr-CH"/>
        </w:rPr>
        <w:t>ً</w:t>
      </w:r>
      <w:r w:rsidR="00B934F4" w:rsidRPr="00D67799">
        <w:rPr>
          <w:spacing w:val="-2"/>
          <w:rtl/>
          <w:lang w:val="fr-CH"/>
        </w:rPr>
        <w:t xml:space="preserve"> إلى أنه حتى في الحالات التي يُعلن فيها عدم مقبولية الطلبات لعدم وجود ما يدل على حدوث انتهاك، فإن التعليل المحدود الوارد في بعض القرارات من هذا النوع لا يمكِّن اللجنة من افتراض أن المحكمة الأوروبية قد نظرت في قضية من حيث أسسها </w:t>
      </w:r>
      <w:proofErr w:type="gramStart"/>
      <w:r w:rsidR="00B934F4" w:rsidRPr="00D67799">
        <w:rPr>
          <w:spacing w:val="-2"/>
          <w:rtl/>
          <w:lang w:val="fr-CH"/>
        </w:rPr>
        <w:t>الموضوعية</w:t>
      </w:r>
      <w:r w:rsidR="00330541" w:rsidRPr="00D67799">
        <w:rPr>
          <w:spacing w:val="-2"/>
          <w:vertAlign w:val="superscript"/>
          <w:rtl/>
          <w:lang w:val="en-GB"/>
        </w:rPr>
        <w:t>(</w:t>
      </w:r>
      <w:proofErr w:type="gramEnd"/>
      <w:r w:rsidR="00330541" w:rsidRPr="00D67799">
        <w:rPr>
          <w:rFonts w:cs="Times New Roman"/>
          <w:spacing w:val="-2"/>
          <w:position w:val="4"/>
          <w:vertAlign w:val="superscript"/>
        </w:rPr>
        <w:footnoteReference w:id="34"/>
      </w:r>
      <w:r w:rsidR="00330541" w:rsidRPr="00D67799">
        <w:rPr>
          <w:spacing w:val="-2"/>
          <w:vertAlign w:val="superscript"/>
          <w:rtl/>
          <w:lang w:val="en-GB"/>
        </w:rPr>
        <w:t>)</w:t>
      </w:r>
      <w:r w:rsidR="00B934F4" w:rsidRPr="00D67799">
        <w:rPr>
          <w:spacing w:val="-2"/>
          <w:rtl/>
          <w:lang w:val="fr-CH"/>
        </w:rPr>
        <w:t>.</w:t>
      </w:r>
      <w:r w:rsidR="00B934F4" w:rsidRPr="00D67799">
        <w:rPr>
          <w:spacing w:val="-2"/>
          <w:rtl/>
          <w:lang w:val="en-GB"/>
        </w:rPr>
        <w:t xml:space="preserve"> </w:t>
      </w:r>
      <w:r w:rsidR="00B934F4" w:rsidRPr="00D67799">
        <w:rPr>
          <w:spacing w:val="-2"/>
          <w:rtl/>
          <w:lang w:val="fr-CH"/>
        </w:rPr>
        <w:t>وفي هذه القضية، تلاحظ اللجنة أن قرار المحكمة الأوروبية لا</w:t>
      </w:r>
      <w:r w:rsidR="00D67799">
        <w:rPr>
          <w:rFonts w:hint="cs"/>
          <w:spacing w:val="-2"/>
          <w:rtl/>
          <w:lang w:val="fr-CH"/>
        </w:rPr>
        <w:t> </w:t>
      </w:r>
      <w:r w:rsidR="00B934F4" w:rsidRPr="00D67799">
        <w:rPr>
          <w:spacing w:val="-2"/>
          <w:rtl/>
          <w:lang w:val="fr-CH"/>
        </w:rPr>
        <w:t>ينص على عدم ملاحظة ما يدل على حدوث انتهاك وإنما يشير ببساطة إلى أن الطلب لا يستوفي شروط المقبولية، دون مزيد من التوضيح.</w:t>
      </w:r>
      <w:r w:rsidR="00B934F4" w:rsidRPr="00D67799">
        <w:rPr>
          <w:spacing w:val="-2"/>
          <w:rtl/>
          <w:lang w:val="en-GB"/>
        </w:rPr>
        <w:t xml:space="preserve"> </w:t>
      </w:r>
      <w:dir w:val="rtl">
        <w:r w:rsidR="00B934F4" w:rsidRPr="00D67799">
          <w:rPr>
            <w:spacing w:val="-2"/>
            <w:rtl/>
            <w:lang w:val="fr-CH"/>
          </w:rPr>
          <w:t xml:space="preserve">وعليه، ترى اللجنة أنه لا يوجد ما يمنعها من النظر في هذا البلاغ بموجب الفقرة </w:t>
        </w:r>
        <w:r w:rsidR="00B934F4" w:rsidRPr="00D67799">
          <w:rPr>
            <w:spacing w:val="-2"/>
            <w:szCs w:val="20"/>
            <w:rtl/>
            <w:lang w:val="fr-CH"/>
          </w:rPr>
          <w:t>2</w:t>
        </w:r>
        <w:r w:rsidR="00B934F4" w:rsidRPr="00D67799">
          <w:rPr>
            <w:spacing w:val="-2"/>
            <w:rtl/>
            <w:lang w:val="fr-CH"/>
          </w:rPr>
          <w:t xml:space="preserve">(أ) من المادة </w:t>
        </w:r>
        <w:r w:rsidR="00B934F4" w:rsidRPr="00D67799">
          <w:rPr>
            <w:spacing w:val="-2"/>
            <w:szCs w:val="20"/>
            <w:rtl/>
            <w:lang w:val="fr-CH"/>
          </w:rPr>
          <w:t>5</w:t>
        </w:r>
        <w:r w:rsidR="00B934F4" w:rsidRPr="00D67799">
          <w:rPr>
            <w:spacing w:val="-2"/>
            <w:rtl/>
            <w:lang w:val="fr-CH"/>
          </w:rPr>
          <w:t xml:space="preserve"> من البروتوكول الاختياري</w:t>
        </w:r>
        <w:r w:rsidR="00B934F4" w:rsidRPr="00D67799">
          <w:rPr>
            <w:spacing w:val="-2"/>
            <w:rtl/>
            <w:lang w:val="en-GB"/>
          </w:rPr>
          <w:t xml:space="preserve">. </w:t>
        </w:r>
        <w:r w:rsidR="00086B7B" w:rsidRPr="00D67799">
          <w:rPr>
            <w:spacing w:val="-2"/>
          </w:rPr>
          <w:t>‬</w:t>
        </w:r>
        <w:r w:rsidR="007E0911" w:rsidRPr="00D67799">
          <w:rPr>
            <w:spacing w:val="-2"/>
          </w:rPr>
          <w:t>‬</w:t>
        </w:r>
        <w:r w:rsidR="00CD6EAC" w:rsidRPr="00D67799">
          <w:rPr>
            <w:spacing w:val="-2"/>
          </w:rPr>
          <w:t>‬</w:t>
        </w:r>
        <w:r w:rsidRPr="00D67799">
          <w:rPr>
            <w:spacing w:val="-2"/>
          </w:rPr>
          <w:t>‬</w:t>
        </w:r>
      </w:dir>
    </w:p>
    <w:p w:rsidR="00B934F4" w:rsidRPr="00B934F4" w:rsidRDefault="00754C8F" w:rsidP="00B934F4">
      <w:pPr>
        <w:pStyle w:val="SingleTxtGA"/>
        <w:rPr>
          <w:rtl/>
          <w:lang w:val="fr-CH"/>
        </w:rPr>
      </w:pPr>
      <w:r w:rsidRPr="00754C8F">
        <w:rPr>
          <w:szCs w:val="20"/>
          <w:rtl/>
          <w:lang w:val="fr-CH"/>
        </w:rPr>
        <w:t>8</w:t>
      </w:r>
      <w:r w:rsidR="00B934F4" w:rsidRPr="00B934F4">
        <w:rPr>
          <w:rtl/>
          <w:lang w:val="fr-CH"/>
        </w:rPr>
        <w:t>-</w:t>
      </w:r>
      <w:r w:rsidRPr="00754C8F">
        <w:rPr>
          <w:szCs w:val="20"/>
          <w:rtl/>
          <w:lang w:val="fr-CH"/>
        </w:rPr>
        <w:t>4</w:t>
      </w:r>
      <w:r w:rsidR="00B934F4" w:rsidRPr="00B934F4">
        <w:rPr>
          <w:rtl/>
          <w:lang w:val="en-GB"/>
        </w:rPr>
        <w:tab/>
      </w:r>
      <w:r w:rsidR="00B934F4" w:rsidRPr="00B934F4">
        <w:rPr>
          <w:rtl/>
          <w:lang w:val="fr-CH"/>
        </w:rPr>
        <w:t>وتشير اللجنة إلى ادعاء صاحب البلاغ أنه استنفد جميع سُبُل الانتصاف المحلية الفعالة المتاحة له.</w:t>
      </w:r>
      <w:r w:rsidR="00B934F4" w:rsidRPr="00B934F4">
        <w:rPr>
          <w:rtl/>
          <w:lang w:val="en-GB"/>
        </w:rPr>
        <w:t xml:space="preserve"> </w:t>
      </w:r>
      <w:r w:rsidR="00B934F4" w:rsidRPr="00B934F4">
        <w:rPr>
          <w:rtl/>
          <w:lang w:val="fr-CH"/>
        </w:rPr>
        <w:t xml:space="preserve">ونظراً إلى عدم ورود أي اعتراض من الدولة الطرف في هذا الصدد، ترى اللجنة عدم وجود ما يمنعها من النظر في البلاغ بموجب الفقرة </w:t>
      </w:r>
      <w:r w:rsidR="00B934F4" w:rsidRPr="00754C8F">
        <w:rPr>
          <w:szCs w:val="20"/>
          <w:rtl/>
          <w:lang w:val="fr-CH"/>
        </w:rPr>
        <w:t>2</w:t>
      </w:r>
      <w:r w:rsidR="00B934F4" w:rsidRPr="00B934F4">
        <w:rPr>
          <w:rtl/>
          <w:lang w:val="fr-CH"/>
        </w:rPr>
        <w:t xml:space="preserve">(أ) من المادة </w:t>
      </w:r>
      <w:r w:rsidR="00B934F4" w:rsidRPr="00754C8F">
        <w:rPr>
          <w:szCs w:val="20"/>
          <w:rtl/>
          <w:lang w:val="fr-CH"/>
        </w:rPr>
        <w:t>5</w:t>
      </w:r>
      <w:r w:rsidR="00B934F4" w:rsidRPr="00B934F4">
        <w:rPr>
          <w:rtl/>
          <w:lang w:val="fr-CH"/>
        </w:rPr>
        <w:t xml:space="preserve"> من البروتوكول الاختياري</w:t>
      </w:r>
      <w:r w:rsidR="00B934F4" w:rsidRPr="00B934F4">
        <w:rPr>
          <w:rtl/>
          <w:lang w:val="en-GB"/>
        </w:rPr>
        <w:t>.</w:t>
      </w:r>
      <w:r w:rsidR="00B934F4" w:rsidRPr="00B934F4">
        <w:rPr>
          <w:rFonts w:ascii="Arial" w:hAnsi="Arial" w:cs="Arial" w:hint="cs"/>
          <w:rtl/>
          <w:lang w:val="en-GB"/>
        </w:rPr>
        <w:t>‬</w:t>
      </w:r>
    </w:p>
    <w:p w:rsidR="00B934F4" w:rsidRPr="00D67799" w:rsidRDefault="00754C8F" w:rsidP="00B934F4">
      <w:pPr>
        <w:pStyle w:val="SingleTxtGA"/>
        <w:rPr>
          <w:spacing w:val="-2"/>
          <w:rtl/>
          <w:lang w:val="fr-CH"/>
        </w:rPr>
      </w:pPr>
      <w:r w:rsidRPr="00D67799">
        <w:rPr>
          <w:spacing w:val="-2"/>
          <w:szCs w:val="20"/>
          <w:rtl/>
          <w:lang w:val="fr-CH"/>
        </w:rPr>
        <w:t>8</w:t>
      </w:r>
      <w:r w:rsidR="00B934F4" w:rsidRPr="00D67799">
        <w:rPr>
          <w:spacing w:val="-2"/>
          <w:rtl/>
          <w:lang w:val="fr-CH"/>
        </w:rPr>
        <w:t>-</w:t>
      </w:r>
      <w:r w:rsidRPr="00D67799">
        <w:rPr>
          <w:spacing w:val="-2"/>
          <w:szCs w:val="20"/>
          <w:rtl/>
          <w:lang w:val="fr-CH"/>
        </w:rPr>
        <w:t>5</w:t>
      </w:r>
      <w:r w:rsidR="00B934F4" w:rsidRPr="00D67799">
        <w:rPr>
          <w:spacing w:val="-2"/>
          <w:rtl/>
          <w:lang w:val="en-GB"/>
        </w:rPr>
        <w:tab/>
      </w:r>
      <w:r w:rsidR="00B934F4" w:rsidRPr="00D67799">
        <w:rPr>
          <w:spacing w:val="-2"/>
          <w:rtl/>
          <w:lang w:val="fr-CH"/>
        </w:rPr>
        <w:t>وتحيط اللجنة علما</w:t>
      </w:r>
      <w:r w:rsidR="0046391F" w:rsidRPr="00D67799">
        <w:rPr>
          <w:rFonts w:hint="cs"/>
          <w:spacing w:val="-2"/>
          <w:rtl/>
          <w:lang w:val="fr-CH"/>
        </w:rPr>
        <w:t>ً</w:t>
      </w:r>
      <w:r w:rsidR="00B934F4" w:rsidRPr="00D67799">
        <w:rPr>
          <w:spacing w:val="-2"/>
          <w:rtl/>
          <w:lang w:val="fr-CH"/>
        </w:rPr>
        <w:t xml:space="preserve"> بادعاءات صاحب البلاغ أن الدولة الطرف، بالإذن بتسليمه إلى أوكرانيا، ستنتهك حقوقه بموجب المواد </w:t>
      </w:r>
      <w:r w:rsidRPr="00D67799">
        <w:rPr>
          <w:spacing w:val="-2"/>
          <w:szCs w:val="20"/>
          <w:rtl/>
          <w:lang w:val="fr-CH"/>
        </w:rPr>
        <w:t>7</w:t>
      </w:r>
      <w:r w:rsidR="00B934F4" w:rsidRPr="00D67799">
        <w:rPr>
          <w:spacing w:val="-2"/>
          <w:rtl/>
          <w:lang w:val="fr-CH"/>
        </w:rPr>
        <w:t xml:space="preserve">، </w:t>
      </w:r>
      <w:proofErr w:type="spellStart"/>
      <w:r w:rsidR="00B934F4" w:rsidRPr="00D67799">
        <w:rPr>
          <w:spacing w:val="-2"/>
          <w:rtl/>
          <w:lang w:val="fr-CH"/>
        </w:rPr>
        <w:t>و</w:t>
      </w:r>
      <w:r w:rsidRPr="00D67799">
        <w:rPr>
          <w:spacing w:val="-2"/>
          <w:szCs w:val="20"/>
          <w:rtl/>
          <w:lang w:val="fr-CH"/>
        </w:rPr>
        <w:t>9</w:t>
      </w:r>
      <w:proofErr w:type="spellEnd"/>
      <w:r w:rsidR="00B934F4" w:rsidRPr="00D67799">
        <w:rPr>
          <w:spacing w:val="-2"/>
          <w:rtl/>
          <w:lang w:val="fr-CH"/>
        </w:rPr>
        <w:t>(</w:t>
      </w:r>
      <w:r w:rsidRPr="00D67799">
        <w:rPr>
          <w:spacing w:val="-2"/>
          <w:szCs w:val="20"/>
          <w:rtl/>
          <w:lang w:val="fr-CH"/>
        </w:rPr>
        <w:t>1</w:t>
      </w:r>
      <w:r w:rsidR="00B934F4" w:rsidRPr="00D67799">
        <w:rPr>
          <w:spacing w:val="-2"/>
          <w:rtl/>
          <w:lang w:val="fr-CH"/>
        </w:rPr>
        <w:t>)</w:t>
      </w:r>
      <w:r w:rsidR="004A1FF2" w:rsidRPr="00D67799">
        <w:rPr>
          <w:spacing w:val="-2"/>
          <w:rtl/>
          <w:lang w:val="fr-CH"/>
        </w:rPr>
        <w:t xml:space="preserve"> و</w:t>
      </w:r>
      <w:r w:rsidR="00B934F4" w:rsidRPr="00D67799">
        <w:rPr>
          <w:spacing w:val="-2"/>
          <w:rtl/>
          <w:lang w:val="fr-CH"/>
        </w:rPr>
        <w:t>(</w:t>
      </w:r>
      <w:r w:rsidRPr="00D67799">
        <w:rPr>
          <w:spacing w:val="-2"/>
          <w:szCs w:val="20"/>
          <w:rtl/>
          <w:lang w:val="fr-CH"/>
        </w:rPr>
        <w:t>3</w:t>
      </w:r>
      <w:r w:rsidR="00B934F4" w:rsidRPr="00D67799">
        <w:rPr>
          <w:spacing w:val="-2"/>
          <w:rtl/>
          <w:lang w:val="fr-CH"/>
        </w:rPr>
        <w:t>)</w:t>
      </w:r>
      <w:r w:rsidR="004A1FF2" w:rsidRPr="00D67799">
        <w:rPr>
          <w:spacing w:val="-2"/>
          <w:rtl/>
          <w:lang w:val="fr-CH"/>
        </w:rPr>
        <w:t xml:space="preserve"> و</w:t>
      </w:r>
      <w:r w:rsidR="00B934F4" w:rsidRPr="00D67799">
        <w:rPr>
          <w:spacing w:val="-2"/>
          <w:rtl/>
          <w:lang w:val="fr-CH"/>
        </w:rPr>
        <w:t>(</w:t>
      </w:r>
      <w:r w:rsidRPr="00D67799">
        <w:rPr>
          <w:spacing w:val="-2"/>
          <w:szCs w:val="20"/>
          <w:rtl/>
          <w:lang w:val="fr-CH"/>
        </w:rPr>
        <w:t>4</w:t>
      </w:r>
      <w:r w:rsidR="00B934F4" w:rsidRPr="00D67799">
        <w:rPr>
          <w:spacing w:val="-2"/>
          <w:rtl/>
          <w:lang w:val="fr-CH"/>
        </w:rPr>
        <w:t xml:space="preserve">)، </w:t>
      </w:r>
      <w:proofErr w:type="spellStart"/>
      <w:r w:rsidR="00B934F4" w:rsidRPr="00D67799">
        <w:rPr>
          <w:spacing w:val="-2"/>
          <w:rtl/>
          <w:lang w:val="fr-CH"/>
        </w:rPr>
        <w:t>و</w:t>
      </w:r>
      <w:r w:rsidRPr="00D67799">
        <w:rPr>
          <w:spacing w:val="-2"/>
          <w:szCs w:val="20"/>
          <w:rtl/>
          <w:lang w:val="fr-CH"/>
        </w:rPr>
        <w:t>10</w:t>
      </w:r>
      <w:proofErr w:type="spellEnd"/>
      <w:r w:rsidR="00B934F4" w:rsidRPr="00D67799">
        <w:rPr>
          <w:spacing w:val="-2"/>
          <w:rtl/>
          <w:lang w:val="fr-CH"/>
        </w:rPr>
        <w:t>(</w:t>
      </w:r>
      <w:r w:rsidRPr="00D67799">
        <w:rPr>
          <w:spacing w:val="-2"/>
          <w:szCs w:val="20"/>
          <w:rtl/>
          <w:lang w:val="fr-CH"/>
        </w:rPr>
        <w:t>1</w:t>
      </w:r>
      <w:r w:rsidR="00B934F4" w:rsidRPr="00D67799">
        <w:rPr>
          <w:spacing w:val="-2"/>
          <w:rtl/>
          <w:lang w:val="fr-CH"/>
        </w:rPr>
        <w:t>)</w:t>
      </w:r>
      <w:r w:rsidR="004A1FF2" w:rsidRPr="00D67799">
        <w:rPr>
          <w:spacing w:val="-2"/>
          <w:rtl/>
          <w:lang w:val="fr-CH"/>
        </w:rPr>
        <w:t xml:space="preserve"> و</w:t>
      </w:r>
      <w:r w:rsidR="00B934F4" w:rsidRPr="00D67799">
        <w:rPr>
          <w:spacing w:val="-2"/>
          <w:rtl/>
          <w:lang w:val="fr-CH"/>
        </w:rPr>
        <w:t>(</w:t>
      </w:r>
      <w:r w:rsidRPr="00D67799">
        <w:rPr>
          <w:spacing w:val="-2"/>
          <w:szCs w:val="20"/>
          <w:rtl/>
          <w:lang w:val="fr-CH"/>
        </w:rPr>
        <w:t>2</w:t>
      </w:r>
      <w:r w:rsidR="00B934F4" w:rsidRPr="00D67799">
        <w:rPr>
          <w:spacing w:val="-2"/>
          <w:rtl/>
          <w:lang w:val="fr-CH"/>
        </w:rPr>
        <w:t>) من العهد.</w:t>
      </w:r>
      <w:r w:rsidR="00B934F4" w:rsidRPr="00D67799">
        <w:rPr>
          <w:spacing w:val="-2"/>
          <w:rtl/>
          <w:lang w:val="en-GB"/>
        </w:rPr>
        <w:t xml:space="preserve"> </w:t>
      </w:r>
      <w:r w:rsidR="00B934F4" w:rsidRPr="00D67799">
        <w:rPr>
          <w:spacing w:val="-2"/>
          <w:rtl/>
          <w:lang w:val="fr-CH"/>
        </w:rPr>
        <w:t xml:space="preserve">وتلاحظ اللجنة ادعاءات صاحب البلاغ أنه، لدى عودته إلى أوكرانيا، سيُسجن وأن ظروف الاحتجاز تخالف المادتين </w:t>
      </w:r>
      <w:r w:rsidRPr="00D67799">
        <w:rPr>
          <w:spacing w:val="-2"/>
          <w:szCs w:val="20"/>
          <w:rtl/>
          <w:lang w:val="fr-CH"/>
        </w:rPr>
        <w:t>7</w:t>
      </w:r>
      <w:r w:rsidR="00B934F4" w:rsidRPr="00D67799">
        <w:rPr>
          <w:spacing w:val="-2"/>
          <w:rtl/>
          <w:lang w:val="fr-CH"/>
        </w:rPr>
        <w:t xml:space="preserve"> </w:t>
      </w:r>
      <w:proofErr w:type="spellStart"/>
      <w:r w:rsidR="00B934F4" w:rsidRPr="00D67799">
        <w:rPr>
          <w:spacing w:val="-2"/>
          <w:rtl/>
          <w:lang w:val="fr-CH"/>
        </w:rPr>
        <w:t>و</w:t>
      </w:r>
      <w:r w:rsidRPr="00D67799">
        <w:rPr>
          <w:spacing w:val="-2"/>
          <w:szCs w:val="20"/>
          <w:rtl/>
          <w:lang w:val="fr-CH"/>
        </w:rPr>
        <w:t>10</w:t>
      </w:r>
      <w:proofErr w:type="spellEnd"/>
      <w:r w:rsidR="00B934F4" w:rsidRPr="00D67799">
        <w:rPr>
          <w:spacing w:val="-2"/>
          <w:rtl/>
          <w:lang w:val="fr-CH"/>
        </w:rPr>
        <w:t>(</w:t>
      </w:r>
      <w:r w:rsidRPr="00D67799">
        <w:rPr>
          <w:spacing w:val="-2"/>
          <w:szCs w:val="20"/>
          <w:rtl/>
          <w:lang w:val="fr-CH"/>
        </w:rPr>
        <w:t>1</w:t>
      </w:r>
      <w:r w:rsidR="00B934F4" w:rsidRPr="00D67799">
        <w:rPr>
          <w:spacing w:val="-2"/>
          <w:rtl/>
          <w:lang w:val="fr-CH"/>
        </w:rPr>
        <w:t>)</w:t>
      </w:r>
      <w:r w:rsidR="004A1FF2" w:rsidRPr="00D67799">
        <w:rPr>
          <w:spacing w:val="-2"/>
          <w:rtl/>
          <w:lang w:val="fr-CH"/>
        </w:rPr>
        <w:t xml:space="preserve"> و</w:t>
      </w:r>
      <w:r w:rsidR="00B934F4" w:rsidRPr="00D67799">
        <w:rPr>
          <w:spacing w:val="-2"/>
          <w:rtl/>
          <w:lang w:val="fr-CH"/>
        </w:rPr>
        <w:t>(</w:t>
      </w:r>
      <w:r w:rsidRPr="00D67799">
        <w:rPr>
          <w:spacing w:val="-2"/>
          <w:szCs w:val="20"/>
          <w:rtl/>
          <w:lang w:val="fr-CH"/>
        </w:rPr>
        <w:t>2</w:t>
      </w:r>
      <w:r w:rsidR="00B934F4" w:rsidRPr="00D67799">
        <w:rPr>
          <w:spacing w:val="-2"/>
          <w:rtl/>
          <w:lang w:val="fr-CH"/>
        </w:rPr>
        <w:t>) من العهد؛ وأنه سيتعرض للتعذيب أثناء احتجازه السابق للمحاكمة، وهو ما ينتهك المادة</w:t>
      </w:r>
      <w:r w:rsidR="00D67799">
        <w:rPr>
          <w:rFonts w:hint="cs"/>
          <w:spacing w:val="-2"/>
          <w:rtl/>
          <w:lang w:val="fr-CH"/>
        </w:rPr>
        <w:t> </w:t>
      </w:r>
      <w:r w:rsidRPr="00D67799">
        <w:rPr>
          <w:spacing w:val="-2"/>
          <w:szCs w:val="20"/>
          <w:rtl/>
          <w:lang w:val="fr-CH"/>
        </w:rPr>
        <w:t>7</w:t>
      </w:r>
      <w:r w:rsidR="00B934F4" w:rsidRPr="00D67799">
        <w:rPr>
          <w:spacing w:val="-2"/>
          <w:rtl/>
          <w:lang w:val="fr-CH"/>
        </w:rPr>
        <w:t>؛</w:t>
      </w:r>
      <w:r w:rsidR="00B934F4" w:rsidRPr="00D67799">
        <w:rPr>
          <w:spacing w:val="-2"/>
          <w:rtl/>
          <w:lang w:val="en-GB"/>
        </w:rPr>
        <w:t xml:space="preserve"> </w:t>
      </w:r>
      <w:r w:rsidR="00B934F4" w:rsidRPr="00D67799">
        <w:rPr>
          <w:spacing w:val="-2"/>
          <w:rtl/>
          <w:lang w:val="fr-CH"/>
        </w:rPr>
        <w:t>وأنه سيبقى في الاحتجاز المؤقت إلى أجل غير مسمى وسيُحرم من الحق في المراجعة الدورية لمشروعية احتجازه، وهو ما يخالف أحكام المادة</w:t>
      </w:r>
      <w:r w:rsidR="00A64834" w:rsidRPr="00D67799">
        <w:rPr>
          <w:rFonts w:hint="cs"/>
          <w:spacing w:val="-2"/>
          <w:rtl/>
          <w:lang w:val="fr-CH"/>
        </w:rPr>
        <w:t> </w:t>
      </w:r>
      <w:r w:rsidRPr="00D67799">
        <w:rPr>
          <w:spacing w:val="-2"/>
          <w:szCs w:val="20"/>
          <w:rtl/>
          <w:lang w:val="fr-CH"/>
        </w:rPr>
        <w:t>9</w:t>
      </w:r>
      <w:r w:rsidR="00B934F4" w:rsidRPr="00D67799">
        <w:rPr>
          <w:spacing w:val="-2"/>
          <w:rtl/>
          <w:lang w:val="fr-CH"/>
        </w:rPr>
        <w:t>(</w:t>
      </w:r>
      <w:r w:rsidRPr="00D67799">
        <w:rPr>
          <w:spacing w:val="-2"/>
          <w:szCs w:val="20"/>
          <w:rtl/>
          <w:lang w:val="fr-CH"/>
        </w:rPr>
        <w:t>1</w:t>
      </w:r>
      <w:r w:rsidR="00B934F4" w:rsidRPr="00D67799">
        <w:rPr>
          <w:spacing w:val="-2"/>
          <w:rtl/>
          <w:lang w:val="fr-CH"/>
        </w:rPr>
        <w:t>) و(</w:t>
      </w:r>
      <w:r w:rsidRPr="00D67799">
        <w:rPr>
          <w:spacing w:val="-2"/>
          <w:szCs w:val="20"/>
          <w:rtl/>
          <w:lang w:val="fr-CH"/>
        </w:rPr>
        <w:t>3</w:t>
      </w:r>
      <w:r w:rsidR="00B934F4" w:rsidRPr="00D67799">
        <w:rPr>
          <w:spacing w:val="-2"/>
          <w:rtl/>
          <w:lang w:val="fr-CH"/>
        </w:rPr>
        <w:t>) و(</w:t>
      </w:r>
      <w:r w:rsidRPr="00D67799">
        <w:rPr>
          <w:spacing w:val="-2"/>
          <w:szCs w:val="20"/>
          <w:rtl/>
          <w:lang w:val="fr-CH"/>
        </w:rPr>
        <w:t>4</w:t>
      </w:r>
      <w:r w:rsidR="00B934F4" w:rsidRPr="00D67799">
        <w:rPr>
          <w:spacing w:val="-2"/>
          <w:rtl/>
          <w:lang w:val="fr-CH" w:bidi="ar-DZ"/>
        </w:rPr>
        <w:t xml:space="preserve">). </w:t>
      </w:r>
      <w:r w:rsidR="00B934F4" w:rsidRPr="00D67799">
        <w:rPr>
          <w:spacing w:val="-2"/>
          <w:rtl/>
          <w:lang w:val="fr-CH"/>
        </w:rPr>
        <w:t>ويشكو صاحب البلاغ أيضا</w:t>
      </w:r>
      <w:r w:rsidR="0046391F" w:rsidRPr="00D67799">
        <w:rPr>
          <w:rFonts w:hint="cs"/>
          <w:spacing w:val="-2"/>
          <w:rtl/>
          <w:lang w:val="fr-CH"/>
        </w:rPr>
        <w:t>ً</w:t>
      </w:r>
      <w:r w:rsidR="00B934F4" w:rsidRPr="00D67799">
        <w:rPr>
          <w:spacing w:val="-2"/>
          <w:rtl/>
          <w:lang w:val="fr-CH"/>
        </w:rPr>
        <w:t xml:space="preserve"> من أن السلطات الإيطالية لم تطلب أية ضمانات من أوكرانيا فيما يتعلق بمعاملته في السجن لدى عودته.</w:t>
      </w:r>
    </w:p>
    <w:p w:rsidR="00B934F4" w:rsidRPr="00F03E26" w:rsidRDefault="00754C8F" w:rsidP="00B934F4">
      <w:pPr>
        <w:pStyle w:val="SingleTxtGA"/>
        <w:rPr>
          <w:spacing w:val="-2"/>
          <w:rtl/>
          <w:lang w:val="fr-CH"/>
        </w:rPr>
      </w:pPr>
      <w:r w:rsidRPr="00754C8F">
        <w:rPr>
          <w:szCs w:val="20"/>
          <w:rtl/>
          <w:lang w:val="fr-CH"/>
        </w:rPr>
        <w:t>8</w:t>
      </w:r>
      <w:r w:rsidR="00B934F4" w:rsidRPr="00B934F4">
        <w:rPr>
          <w:rtl/>
          <w:lang w:val="fr-CH"/>
        </w:rPr>
        <w:t>-</w:t>
      </w:r>
      <w:r w:rsidRPr="00754C8F">
        <w:rPr>
          <w:szCs w:val="20"/>
          <w:rtl/>
          <w:lang w:val="fr-CH"/>
        </w:rPr>
        <w:t>6</w:t>
      </w:r>
      <w:r w:rsidR="00B934F4" w:rsidRPr="00B934F4">
        <w:rPr>
          <w:rtl/>
          <w:lang w:val="en-GB"/>
        </w:rPr>
        <w:tab/>
      </w:r>
      <w:r w:rsidR="00B934F4" w:rsidRPr="00B934F4">
        <w:rPr>
          <w:rtl/>
          <w:lang w:val="fr-CH"/>
        </w:rPr>
        <w:t xml:space="preserve">وتذكّر اللجنة باجتهاداتها التي رأت فيها أنه ينبغي إيلاء وزن كبير للتقييم الذي تجريه الدولة الطرف، وأنه تقع عموماً على عاتق أجهزة الدولة الطرف مهمة مراجعة وتقييم الوقائع والأدلة من أجل البت في وجود ذلك الخطر من عدمه، ما لم يتبين أن التقييم كان ظاهر التعسف أو وصل إلى درجة إنكار </w:t>
      </w:r>
      <w:proofErr w:type="gramStart"/>
      <w:r w:rsidR="00B934F4" w:rsidRPr="00B934F4">
        <w:rPr>
          <w:rtl/>
          <w:lang w:val="fr-CH"/>
        </w:rPr>
        <w:t>العدالة</w:t>
      </w:r>
      <w:r w:rsidR="00330541">
        <w:rPr>
          <w:vertAlign w:val="superscript"/>
          <w:rtl/>
          <w:lang w:val="en-GB"/>
        </w:rPr>
        <w:t>(</w:t>
      </w:r>
      <w:proofErr w:type="gramEnd"/>
      <w:r w:rsidR="00330541" w:rsidRPr="00754C8F">
        <w:rPr>
          <w:rFonts w:cs="Times New Roman"/>
          <w:position w:val="4"/>
          <w:vertAlign w:val="superscript"/>
        </w:rPr>
        <w:footnoteReference w:id="35"/>
      </w:r>
      <w:r w:rsidR="00330541">
        <w:rPr>
          <w:vertAlign w:val="superscript"/>
          <w:rtl/>
          <w:lang w:val="en-GB"/>
        </w:rPr>
        <w:t>)</w:t>
      </w:r>
      <w:r w:rsidR="00B934F4" w:rsidRPr="00B934F4">
        <w:rPr>
          <w:rtl/>
          <w:lang w:val="fr-CH"/>
        </w:rPr>
        <w:t>.</w:t>
      </w:r>
      <w:r w:rsidR="00B934F4" w:rsidRPr="00B934F4">
        <w:rPr>
          <w:rtl/>
          <w:lang w:val="en-GB"/>
        </w:rPr>
        <w:t xml:space="preserve"> </w:t>
      </w:r>
      <w:r w:rsidR="00B934F4" w:rsidRPr="00B934F4">
        <w:rPr>
          <w:rtl/>
          <w:lang w:val="fr-CH"/>
        </w:rPr>
        <w:t>ويستنتج من رواية صاحب البلاغ للقرارات المحلية أن محكمة النقض الإيطالية أجرت تقييماً شاملاً لصلاحية طلب التسليم في ثلاث مناسبات، ودرست أيضا</w:t>
      </w:r>
      <w:r w:rsidR="0046391F">
        <w:rPr>
          <w:rFonts w:hint="cs"/>
          <w:rtl/>
          <w:lang w:val="fr-CH"/>
        </w:rPr>
        <w:t>ً</w:t>
      </w:r>
      <w:r w:rsidR="00B934F4" w:rsidRPr="00B934F4">
        <w:rPr>
          <w:rtl/>
          <w:lang w:val="fr-CH"/>
        </w:rPr>
        <w:t xml:space="preserve"> ملاحظات صاحب البلاغ بشأن مسائل حقوق الإنسان في أوكرانيا.</w:t>
      </w:r>
      <w:r w:rsidR="00B934F4" w:rsidRPr="00B934F4">
        <w:rPr>
          <w:rtl/>
          <w:lang w:val="en-GB"/>
        </w:rPr>
        <w:t xml:space="preserve"> </w:t>
      </w:r>
      <w:r w:rsidR="00B934F4" w:rsidRPr="00B934F4">
        <w:rPr>
          <w:rtl/>
          <w:lang w:val="fr-CH"/>
        </w:rPr>
        <w:t>وتلاحظ اللجنة أيضا</w:t>
      </w:r>
      <w:r w:rsidR="0046391F">
        <w:rPr>
          <w:rFonts w:hint="cs"/>
          <w:rtl/>
          <w:lang w:val="fr-CH"/>
        </w:rPr>
        <w:t>ً</w:t>
      </w:r>
      <w:r w:rsidR="00B934F4" w:rsidRPr="00B934F4">
        <w:rPr>
          <w:rtl/>
          <w:lang w:val="fr-CH"/>
        </w:rPr>
        <w:t xml:space="preserve"> أن صاحب البلاغ يحتج بالظروف العامة للاحتجاز في أوكرانيا، التي هي </w:t>
      </w:r>
      <w:r w:rsidR="00B934F4" w:rsidRPr="00F03E26">
        <w:rPr>
          <w:spacing w:val="-2"/>
          <w:rtl/>
          <w:lang w:val="fr-CH"/>
        </w:rPr>
        <w:t xml:space="preserve">متماثلة لجميع المحتجزين الآخرين ولا تكشف عن أي خطر محدد لحدوث ضرر لا يمكن إصلاحه على النحو الوارد في المادة </w:t>
      </w:r>
      <w:r w:rsidRPr="00754C8F">
        <w:rPr>
          <w:spacing w:val="-2"/>
          <w:szCs w:val="20"/>
          <w:rtl/>
          <w:lang w:val="fr-CH"/>
        </w:rPr>
        <w:t>7</w:t>
      </w:r>
      <w:r w:rsidR="00B934F4" w:rsidRPr="00F03E26">
        <w:rPr>
          <w:spacing w:val="-2"/>
          <w:rtl/>
          <w:lang w:val="fr-CH"/>
        </w:rPr>
        <w:t xml:space="preserve"> من العهد.</w:t>
      </w:r>
      <w:r w:rsidR="00B934F4" w:rsidRPr="00F03E26">
        <w:rPr>
          <w:spacing w:val="-2"/>
          <w:rtl/>
          <w:lang w:val="en-GB"/>
        </w:rPr>
        <w:t xml:space="preserve"> </w:t>
      </w:r>
      <w:r w:rsidR="00B934F4" w:rsidRPr="00F03E26">
        <w:rPr>
          <w:spacing w:val="-2"/>
          <w:rtl/>
          <w:lang w:val="fr-CH"/>
        </w:rPr>
        <w:t xml:space="preserve">وترى اللجنة أن المعلومات </w:t>
      </w:r>
      <w:r w:rsidR="00B934F4" w:rsidRPr="00F03E26">
        <w:rPr>
          <w:spacing w:val="-2"/>
          <w:rtl/>
          <w:lang w:val="fr-CH"/>
        </w:rPr>
        <w:lastRenderedPageBreak/>
        <w:t>المتاحة لديها تدل على أن الدولة الطرف أخذت في الاعتبار جميع العناصر المتاحة، بما في ذلك التوصيف القانوني للجريمة المزعومة وحالة حقوق الإنسان في البلد الطالب.</w:t>
      </w:r>
      <w:r w:rsidR="00B934F4" w:rsidRPr="00F03E26">
        <w:rPr>
          <w:spacing w:val="-2"/>
          <w:rtl/>
          <w:lang w:val="en-GB"/>
        </w:rPr>
        <w:t xml:space="preserve"> </w:t>
      </w:r>
      <w:r w:rsidR="00B934F4" w:rsidRPr="00F03E26">
        <w:rPr>
          <w:spacing w:val="-2"/>
          <w:rtl/>
          <w:lang w:val="fr-CH"/>
        </w:rPr>
        <w:t>ولذلك ترى اللجنة أيضاً أنه، رغم اعتراض صاحب البلاغ على استنتاجات سلطات الدولة الطرف بشأن الوقائع وعلى قرار هذه السلطات بتأييد التسليم، فإنه لم يثبت أن قرارات المحاكم الإيطالية تعسفية أو ظاهرة البطلان أو تبلغ مستوى إنكار العدالة.</w:t>
      </w:r>
      <w:r w:rsidR="00B934F4" w:rsidRPr="00F03E26">
        <w:rPr>
          <w:spacing w:val="-2"/>
          <w:rtl/>
          <w:lang w:val="en-GB"/>
        </w:rPr>
        <w:t xml:space="preserve"> </w:t>
      </w:r>
      <w:r w:rsidR="00B934F4" w:rsidRPr="00F03E26">
        <w:rPr>
          <w:spacing w:val="-2"/>
          <w:rtl/>
          <w:lang w:val="fr-CH"/>
        </w:rPr>
        <w:t>ولم يقدم صاحب البلاغ أيضاً أدلة كافية تدعم اعتقاده أنه سيتعرض للتعذيب أثناء الاحتجاز السابق للمحاكمة أو سيظل في الاحتجاز المؤقت إلى أجل غير مسمى وسيُحرم من الحق في مراجعة مشروعية احتجازه.</w:t>
      </w:r>
      <w:r w:rsidR="00B934F4" w:rsidRPr="00F03E26">
        <w:rPr>
          <w:spacing w:val="-2"/>
          <w:rtl/>
          <w:lang w:val="en-GB"/>
        </w:rPr>
        <w:t xml:space="preserve"> </w:t>
      </w:r>
      <w:dir w:val="rtl">
        <w:r w:rsidR="00B934F4" w:rsidRPr="00F03E26">
          <w:rPr>
            <w:spacing w:val="-2"/>
            <w:rtl/>
            <w:lang w:val="fr-CH"/>
          </w:rPr>
          <w:t>وعليه، ترى اللجنة أن هذا الادعاء لا تدعمه أدلة كافية لأغراض المقبولية وتعلن عدم مقبوليته بموجب المادة</w:t>
        </w:r>
        <w:r w:rsidR="00B934F4" w:rsidRPr="00F03E26">
          <w:rPr>
            <w:spacing w:val="-2"/>
            <w:rtl/>
            <w:lang w:val="en-GB"/>
          </w:rPr>
          <w:t xml:space="preserve"> </w:t>
        </w:r>
        <w:r w:rsidR="00B934F4" w:rsidRPr="00754C8F">
          <w:rPr>
            <w:spacing w:val="-2"/>
            <w:szCs w:val="20"/>
            <w:rtl/>
            <w:lang w:val="fr-CH" w:bidi="ar-DZ"/>
          </w:rPr>
          <w:t>2</w:t>
        </w:r>
        <w:r w:rsidR="00B934F4" w:rsidRPr="00F03E26">
          <w:rPr>
            <w:spacing w:val="-2"/>
            <w:rtl/>
            <w:lang w:val="en-GB"/>
          </w:rPr>
          <w:t xml:space="preserve"> </w:t>
        </w:r>
        <w:r w:rsidR="00B934F4" w:rsidRPr="00F03E26">
          <w:rPr>
            <w:spacing w:val="-2"/>
            <w:rtl/>
            <w:lang w:val="fr-CH"/>
          </w:rPr>
          <w:t>من البروتوكول الاختياري</w:t>
        </w:r>
        <w:r w:rsidR="00B934F4" w:rsidRPr="00F03E26">
          <w:rPr>
            <w:spacing w:val="-2"/>
            <w:rtl/>
            <w:lang w:val="en-GB"/>
          </w:rPr>
          <w:t xml:space="preserve">. </w:t>
        </w:r>
        <w:r w:rsidR="00086B7B" w:rsidRPr="00F03E26">
          <w:rPr>
            <w:spacing w:val="-2"/>
          </w:rPr>
          <w:t>‬</w:t>
        </w:r>
        <w:r w:rsidR="007E0911" w:rsidRPr="00F03E26">
          <w:rPr>
            <w:spacing w:val="-2"/>
          </w:rPr>
          <w:t>‬</w:t>
        </w:r>
        <w:r w:rsidR="00CD6EAC" w:rsidRPr="00F03E26">
          <w:rPr>
            <w:spacing w:val="-2"/>
          </w:rPr>
          <w:t>‬</w:t>
        </w:r>
        <w:r>
          <w:t>‬</w:t>
        </w:r>
        <w:r w:rsidR="001A58C5">
          <w:rPr>
            <w:rFonts w:hint="cs"/>
            <w:spacing w:val="-2"/>
            <w:rtl/>
            <w:lang w:val="fr-CH"/>
          </w:rPr>
          <w:t xml:space="preserve"> </w:t>
        </w:r>
      </w:dir>
    </w:p>
    <w:p w:rsidR="00B934F4" w:rsidRPr="00B934F4" w:rsidRDefault="00754C8F" w:rsidP="00B934F4">
      <w:pPr>
        <w:pStyle w:val="SingleTxtGA"/>
        <w:rPr>
          <w:rtl/>
          <w:lang w:val="fr-CH"/>
        </w:rPr>
      </w:pPr>
      <w:r w:rsidRPr="00754C8F">
        <w:rPr>
          <w:szCs w:val="20"/>
          <w:rtl/>
          <w:lang w:val="fr-CH"/>
        </w:rPr>
        <w:t>9</w:t>
      </w:r>
      <w:r w:rsidR="00B934F4" w:rsidRPr="00B934F4">
        <w:rPr>
          <w:rtl/>
          <w:lang w:val="fr-CH"/>
        </w:rPr>
        <w:t>-</w:t>
      </w:r>
      <w:r w:rsidR="00B934F4" w:rsidRPr="00B934F4">
        <w:rPr>
          <w:rtl/>
          <w:lang w:val="en-GB"/>
        </w:rPr>
        <w:tab/>
      </w:r>
      <w:r w:rsidR="00B934F4" w:rsidRPr="00B934F4">
        <w:rPr>
          <w:rtl/>
          <w:lang w:val="fr-CH"/>
        </w:rPr>
        <w:t>وبناءً عليه، تقرر اللجنة ما يلي:</w:t>
      </w:r>
    </w:p>
    <w:p w:rsidR="00B934F4" w:rsidRPr="00B934F4" w:rsidRDefault="005C55B1" w:rsidP="00B934F4">
      <w:pPr>
        <w:pStyle w:val="SingleTxtGA"/>
        <w:rPr>
          <w:rtl/>
          <w:lang w:val="fr-CH"/>
        </w:rPr>
      </w:pPr>
      <w:r>
        <w:rPr>
          <w:rtl/>
          <w:lang w:val="fr-CH"/>
        </w:rPr>
        <w:tab/>
      </w:r>
      <w:r w:rsidR="00B934F4" w:rsidRPr="00B934F4">
        <w:rPr>
          <w:rtl/>
          <w:lang w:val="fr-CH"/>
        </w:rPr>
        <w:t>(أ)</w:t>
      </w:r>
      <w:r w:rsidR="00B934F4" w:rsidRPr="00B934F4">
        <w:rPr>
          <w:rtl/>
          <w:lang w:val="en-GB"/>
        </w:rPr>
        <w:tab/>
      </w:r>
      <w:r w:rsidR="00B934F4" w:rsidRPr="00B934F4">
        <w:rPr>
          <w:rtl/>
          <w:lang w:val="fr-CH"/>
        </w:rPr>
        <w:t xml:space="preserve">أن البلاغ غير مقبول بموجب المادة </w:t>
      </w:r>
      <w:r w:rsidR="00B934F4" w:rsidRPr="00754C8F">
        <w:rPr>
          <w:szCs w:val="20"/>
          <w:rtl/>
          <w:lang w:val="fr-CH"/>
        </w:rPr>
        <w:t>2</w:t>
      </w:r>
      <w:r w:rsidR="00B934F4" w:rsidRPr="00B934F4">
        <w:rPr>
          <w:rtl/>
          <w:lang w:val="fr-CH"/>
        </w:rPr>
        <w:t xml:space="preserve"> من البروتوكول الاختياري؛</w:t>
      </w:r>
    </w:p>
    <w:p w:rsidR="00B934F4" w:rsidRDefault="00B934F4" w:rsidP="00B934F4">
      <w:pPr>
        <w:pStyle w:val="SingleTxtGA"/>
        <w:rPr>
          <w:rtl/>
          <w:lang w:val="fr-CH"/>
        </w:rPr>
      </w:pPr>
      <w:r w:rsidRPr="00B934F4">
        <w:rPr>
          <w:rtl/>
          <w:lang w:val="en-GB"/>
        </w:rPr>
        <w:tab/>
      </w:r>
      <w:r w:rsidRPr="00B934F4">
        <w:rPr>
          <w:rtl/>
          <w:lang w:val="fr-CH" w:bidi="ar-DZ"/>
        </w:rPr>
        <w:t>(</w:t>
      </w:r>
      <w:r w:rsidRPr="00B934F4">
        <w:rPr>
          <w:rtl/>
          <w:lang w:val="fr-CH"/>
        </w:rPr>
        <w:t>ب)</w:t>
      </w:r>
      <w:r w:rsidRPr="00B934F4">
        <w:rPr>
          <w:rtl/>
          <w:lang w:val="en-GB"/>
        </w:rPr>
        <w:tab/>
      </w:r>
      <w:r w:rsidRPr="00B934F4">
        <w:rPr>
          <w:rtl/>
          <w:lang w:val="fr-CH"/>
        </w:rPr>
        <w:t>أن يُبلغ هذا القرار للدولة الطرف ولصاحب البلاغ.</w:t>
      </w:r>
    </w:p>
    <w:p w:rsidR="005C55B1" w:rsidRPr="005C55B1" w:rsidRDefault="005C55B1" w:rsidP="005C55B1">
      <w:pPr>
        <w:spacing w:before="120"/>
        <w:jc w:val="center"/>
        <w:rPr>
          <w:u w:val="single"/>
          <w:rtl/>
          <w:lang w:val="fr-CH"/>
        </w:rPr>
      </w:pPr>
      <w:r>
        <w:rPr>
          <w:u w:val="single"/>
          <w:rtl/>
          <w:lang w:val="fr-CH"/>
        </w:rPr>
        <w:tab/>
      </w:r>
      <w:r>
        <w:rPr>
          <w:u w:val="single"/>
          <w:rtl/>
          <w:lang w:val="fr-CH"/>
        </w:rPr>
        <w:tab/>
      </w:r>
      <w:r>
        <w:rPr>
          <w:u w:val="single"/>
          <w:rtl/>
          <w:lang w:val="fr-CH"/>
        </w:rPr>
        <w:tab/>
      </w:r>
    </w:p>
    <w:sectPr w:rsidR="005C55B1" w:rsidRPr="005C55B1" w:rsidSect="00894CE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C8F" w:rsidRPr="002901D9" w:rsidRDefault="00754C8F" w:rsidP="002901D9">
      <w:pPr>
        <w:spacing w:after="60" w:line="240" w:lineRule="auto"/>
        <w:rPr>
          <w:i/>
          <w:iCs/>
        </w:rPr>
      </w:pPr>
      <w:r>
        <w:rPr>
          <w:rFonts w:hint="cs"/>
          <w:i/>
          <w:iCs/>
          <w:rtl/>
        </w:rPr>
        <w:t>الحواشي</w:t>
      </w:r>
    </w:p>
  </w:endnote>
  <w:endnote w:type="continuationSeparator" w:id="0">
    <w:p w:rsidR="00754C8F" w:rsidRDefault="00754C8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8F" w:rsidRPr="00B934F4" w:rsidRDefault="00754C8F" w:rsidP="00B934F4">
    <w:pPr>
      <w:pStyle w:val="Footer"/>
      <w:tabs>
        <w:tab w:val="right" w:pos="9598"/>
      </w:tabs>
      <w:rPr>
        <w:sz w:val="17"/>
      </w:rPr>
    </w:pPr>
    <w:r>
      <w:rPr>
        <w:sz w:val="17"/>
      </w:rPr>
      <w:t>GE.19-14117</w:t>
    </w:r>
    <w:r>
      <w:rPr>
        <w:sz w:val="17"/>
      </w:rPr>
      <w:tab/>
    </w:r>
    <w:r w:rsidRPr="00B934F4">
      <w:rPr>
        <w:b/>
        <w:sz w:val="18"/>
      </w:rPr>
      <w:fldChar w:fldCharType="begin"/>
    </w:r>
    <w:r w:rsidRPr="00B934F4">
      <w:rPr>
        <w:b/>
        <w:sz w:val="18"/>
      </w:rPr>
      <w:instrText xml:space="preserve"> PAGE  \* MERGEFORMAT </w:instrText>
    </w:r>
    <w:r w:rsidRPr="00B934F4">
      <w:rPr>
        <w:b/>
        <w:sz w:val="18"/>
      </w:rPr>
      <w:fldChar w:fldCharType="separate"/>
    </w:r>
    <w:r>
      <w:rPr>
        <w:b/>
        <w:sz w:val="18"/>
      </w:rPr>
      <w:t>2</w:t>
    </w:r>
    <w:r w:rsidRPr="00B934F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8F" w:rsidRPr="00B934F4" w:rsidRDefault="00754C8F" w:rsidP="006959B0">
    <w:pPr>
      <w:pStyle w:val="Footer"/>
      <w:tabs>
        <w:tab w:val="right" w:pos="9599"/>
      </w:tabs>
      <w:jc w:val="left"/>
      <w:rPr>
        <w:b/>
        <w:sz w:val="18"/>
        <w:lang w:val="en-US"/>
      </w:rPr>
    </w:pPr>
    <w:r w:rsidRPr="00B934F4">
      <w:rPr>
        <w:b/>
        <w:sz w:val="18"/>
        <w:lang w:val="en-US"/>
      </w:rPr>
      <w:fldChar w:fldCharType="begin"/>
    </w:r>
    <w:r w:rsidRPr="00B934F4">
      <w:rPr>
        <w:b/>
        <w:sz w:val="18"/>
        <w:lang w:val="en-US"/>
      </w:rPr>
      <w:instrText xml:space="preserve"> PAGE  \* MERGEFORMAT </w:instrText>
    </w:r>
    <w:r w:rsidRPr="00B934F4">
      <w:rPr>
        <w:b/>
        <w:sz w:val="18"/>
        <w:lang w:val="en-US"/>
      </w:rPr>
      <w:fldChar w:fldCharType="separate"/>
    </w:r>
    <w:r w:rsidRPr="00B934F4">
      <w:rPr>
        <w:b/>
        <w:noProof/>
        <w:sz w:val="18"/>
        <w:lang w:val="en-US"/>
      </w:rPr>
      <w:t>3</w:t>
    </w:r>
    <w:r w:rsidRPr="00B934F4">
      <w:rPr>
        <w:b/>
        <w:sz w:val="18"/>
        <w:lang w:val="en-US"/>
      </w:rPr>
      <w:fldChar w:fldCharType="end"/>
    </w:r>
    <w:r>
      <w:rPr>
        <w:b/>
        <w:sz w:val="18"/>
        <w:lang w:val="en-US"/>
      </w:rPr>
      <w:tab/>
    </w:r>
    <w:r>
      <w:rPr>
        <w:sz w:val="17"/>
        <w:lang w:val="en-US"/>
      </w:rPr>
      <w:t>GE.19-14117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8F" w:rsidRDefault="00754C8F" w:rsidP="00982139">
    <w:pPr>
      <w:pStyle w:val="Footer"/>
      <w:spacing w:before="360"/>
      <w:jc w:val="right"/>
      <w:rPr>
        <w:sz w:val="20"/>
        <w:szCs w:val="20"/>
      </w:rPr>
    </w:pPr>
    <w:r>
      <w:rPr>
        <w:sz w:val="20"/>
        <w:szCs w:val="20"/>
      </w:rPr>
      <w:t>GE.19-14117</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54C8F" w:rsidRPr="00894CE3" w:rsidRDefault="00754C8F" w:rsidP="00894CE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C8F" w:rsidRPr="000437B8" w:rsidRDefault="00754C8F" w:rsidP="00B833CB">
      <w:pPr>
        <w:pStyle w:val="Footer"/>
        <w:bidi/>
        <w:spacing w:after="80" w:line="200" w:lineRule="exact"/>
        <w:ind w:left="680"/>
      </w:pPr>
      <w:r>
        <w:rPr>
          <w:rtl/>
        </w:rPr>
        <w:t>__________</w:t>
      </w:r>
    </w:p>
  </w:footnote>
  <w:footnote w:type="continuationSeparator" w:id="0">
    <w:p w:rsidR="00754C8F" w:rsidRDefault="00754C8F" w:rsidP="00656392">
      <w:pPr>
        <w:spacing w:line="240" w:lineRule="auto"/>
      </w:pPr>
      <w:r>
        <w:continuationSeparator/>
      </w:r>
    </w:p>
  </w:footnote>
  <w:footnote w:id="1">
    <w:p w:rsidR="00754C8F" w:rsidRPr="00754C8F" w:rsidRDefault="00754C8F" w:rsidP="00754C8F">
      <w:pPr>
        <w:pStyle w:val="FootnoteText1"/>
        <w:rPr>
          <w:rFonts w:hint="cs"/>
        </w:rPr>
      </w:pPr>
      <w:r>
        <w:rPr>
          <w:rtl/>
        </w:rPr>
        <w:t>*</w:t>
      </w:r>
      <w:r>
        <w:rPr>
          <w:rtl/>
        </w:rPr>
        <w:tab/>
      </w:r>
      <w:r>
        <w:rPr>
          <w:rFonts w:hint="cs"/>
          <w:rtl/>
        </w:rPr>
        <w:t xml:space="preserve">أُعيد إصدارها لأسباب فنية في </w:t>
      </w:r>
      <w:r w:rsidRPr="00754C8F">
        <w:rPr>
          <w:rFonts w:hint="cs"/>
          <w:szCs w:val="18"/>
          <w:rtl/>
        </w:rPr>
        <w:t>18</w:t>
      </w:r>
      <w:r>
        <w:rPr>
          <w:rFonts w:hint="cs"/>
          <w:rtl/>
        </w:rPr>
        <w:t xml:space="preserve"> شباط/فبراير </w:t>
      </w:r>
      <w:r w:rsidRPr="00754C8F">
        <w:rPr>
          <w:rFonts w:hint="cs"/>
          <w:szCs w:val="18"/>
          <w:rtl/>
        </w:rPr>
        <w:t>2020</w:t>
      </w:r>
      <w:r>
        <w:rPr>
          <w:rFonts w:hint="cs"/>
          <w:rtl/>
        </w:rPr>
        <w:t>.</w:t>
      </w:r>
    </w:p>
  </w:footnote>
  <w:footnote w:id="2">
    <w:p w:rsidR="00754C8F" w:rsidRPr="00BB44FF" w:rsidRDefault="00754C8F" w:rsidP="00754C8F">
      <w:pPr>
        <w:pStyle w:val="FootnoteText1"/>
        <w:rPr>
          <w:rtl/>
        </w:rPr>
      </w:pPr>
      <w:r>
        <w:rPr>
          <w:rtl/>
        </w:rPr>
        <w:t>*</w:t>
      </w:r>
      <w:r>
        <w:rPr>
          <w:rFonts w:hint="cs"/>
          <w:rtl/>
        </w:rPr>
        <w:t>*</w:t>
      </w:r>
      <w:r>
        <w:rPr>
          <w:rtl/>
        </w:rPr>
        <w:tab/>
      </w:r>
      <w:r w:rsidRPr="00BB44FF">
        <w:rPr>
          <w:rtl/>
        </w:rPr>
        <w:t xml:space="preserve">اعتمدته اللجنة في دورتها </w:t>
      </w:r>
      <w:r w:rsidRPr="00754C8F">
        <w:rPr>
          <w:szCs w:val="18"/>
          <w:rtl/>
        </w:rPr>
        <w:t>126</w:t>
      </w:r>
      <w:r w:rsidRPr="00BB44FF">
        <w:rPr>
          <w:rtl/>
        </w:rPr>
        <w:t xml:space="preserve"> (</w:t>
      </w:r>
      <w:r w:rsidRPr="00754C8F">
        <w:rPr>
          <w:szCs w:val="18"/>
          <w:rtl/>
        </w:rPr>
        <w:t>1</w:t>
      </w:r>
      <w:r>
        <w:rPr>
          <w:rFonts w:hint="cs"/>
          <w:rtl/>
        </w:rPr>
        <w:t>-</w:t>
      </w:r>
      <w:r w:rsidRPr="00754C8F">
        <w:rPr>
          <w:szCs w:val="18"/>
          <w:rtl/>
        </w:rPr>
        <w:t>26</w:t>
      </w:r>
      <w:r w:rsidRPr="00BB44FF">
        <w:rPr>
          <w:rtl/>
        </w:rPr>
        <w:t xml:space="preserve"> تموز/يوليه </w:t>
      </w:r>
      <w:r w:rsidRPr="00754C8F">
        <w:rPr>
          <w:szCs w:val="18"/>
          <w:rtl/>
        </w:rPr>
        <w:t>2019</w:t>
      </w:r>
      <w:r w:rsidRPr="00BB44FF">
        <w:rPr>
          <w:rtl/>
        </w:rPr>
        <w:t>).</w:t>
      </w:r>
    </w:p>
  </w:footnote>
  <w:footnote w:id="3">
    <w:p w:rsidR="00754C8F" w:rsidRPr="00BB44FF" w:rsidRDefault="00754C8F" w:rsidP="00754C8F">
      <w:pPr>
        <w:pStyle w:val="FootnoteText1"/>
        <w:rPr>
          <w:rtl/>
        </w:rPr>
      </w:pPr>
      <w:r>
        <w:rPr>
          <w:rtl/>
        </w:rPr>
        <w:t>**</w:t>
      </w:r>
      <w:r>
        <w:rPr>
          <w:rFonts w:hint="cs"/>
          <w:rtl/>
        </w:rPr>
        <w:t>*</w:t>
      </w:r>
      <w:r>
        <w:rPr>
          <w:rtl/>
        </w:rPr>
        <w:tab/>
      </w:r>
      <w:r w:rsidRPr="00BB44FF">
        <w:rPr>
          <w:rtl/>
        </w:rPr>
        <w:t xml:space="preserve">شارك في دراسة هذا البلاغ أعضاء اللجنة التالية أسماؤهم: تانيا ماريا عبدو </w:t>
      </w:r>
      <w:proofErr w:type="spellStart"/>
      <w:r w:rsidRPr="00BB44FF">
        <w:rPr>
          <w:rtl/>
        </w:rPr>
        <w:t>روتشول</w:t>
      </w:r>
      <w:proofErr w:type="spellEnd"/>
      <w:r w:rsidRPr="00BB44FF">
        <w:rPr>
          <w:rtl/>
        </w:rPr>
        <w:t xml:space="preserve">، وعياض بن عاشور، </w:t>
      </w:r>
      <w:proofErr w:type="spellStart"/>
      <w:r w:rsidRPr="00BB44FF">
        <w:rPr>
          <w:rtl/>
        </w:rPr>
        <w:t>وإلزه</w:t>
      </w:r>
      <w:proofErr w:type="spellEnd"/>
      <w:r w:rsidRPr="00BB44FF">
        <w:rPr>
          <w:rtl/>
        </w:rPr>
        <w:t xml:space="preserve"> </w:t>
      </w:r>
      <w:proofErr w:type="spellStart"/>
      <w:r w:rsidRPr="00BB44FF">
        <w:rPr>
          <w:rtl/>
        </w:rPr>
        <w:t>براندز</w:t>
      </w:r>
      <w:proofErr w:type="spellEnd"/>
      <w:r w:rsidRPr="00BB44FF">
        <w:rPr>
          <w:rtl/>
        </w:rPr>
        <w:t xml:space="preserve"> </w:t>
      </w:r>
      <w:proofErr w:type="spellStart"/>
      <w:r w:rsidRPr="00BB44FF">
        <w:rPr>
          <w:rtl/>
        </w:rPr>
        <w:t>كيريس</w:t>
      </w:r>
      <w:proofErr w:type="spellEnd"/>
      <w:r w:rsidRPr="00BB44FF">
        <w:rPr>
          <w:rtl/>
        </w:rPr>
        <w:t>، وعارف بل</w:t>
      </w:r>
      <w:r w:rsidRPr="00BB44FF">
        <w:rPr>
          <w:rtl/>
          <w:lang w:bidi="ar-DZ"/>
        </w:rPr>
        <w:t>كان</w:t>
      </w:r>
      <w:r>
        <w:rPr>
          <w:rtl/>
          <w:lang w:bidi="ar-DZ"/>
        </w:rPr>
        <w:t>،</w:t>
      </w:r>
      <w:r w:rsidRPr="00BB44FF">
        <w:rPr>
          <w:rtl/>
        </w:rPr>
        <w:t xml:space="preserve"> وأحمد أمين فتح الله، </w:t>
      </w:r>
      <w:proofErr w:type="spellStart"/>
      <w:r w:rsidRPr="00BB44FF">
        <w:rPr>
          <w:rtl/>
        </w:rPr>
        <w:t>وشويتشي</w:t>
      </w:r>
      <w:proofErr w:type="spellEnd"/>
      <w:r w:rsidRPr="00BB44FF">
        <w:rPr>
          <w:rtl/>
        </w:rPr>
        <w:t xml:space="preserve"> </w:t>
      </w:r>
      <w:proofErr w:type="spellStart"/>
      <w:r w:rsidRPr="00BB44FF">
        <w:rPr>
          <w:rtl/>
        </w:rPr>
        <w:t>فورويا</w:t>
      </w:r>
      <w:proofErr w:type="spellEnd"/>
      <w:r>
        <w:rPr>
          <w:rtl/>
        </w:rPr>
        <w:t>،</w:t>
      </w:r>
      <w:r>
        <w:rPr>
          <w:rFonts w:hint="cs"/>
          <w:rtl/>
        </w:rPr>
        <w:t xml:space="preserve"> </w:t>
      </w:r>
      <w:r w:rsidRPr="00BB44FF">
        <w:rPr>
          <w:rtl/>
        </w:rPr>
        <w:t xml:space="preserve">وكريستوف </w:t>
      </w:r>
      <w:proofErr w:type="spellStart"/>
      <w:r w:rsidRPr="00BB44FF">
        <w:rPr>
          <w:rtl/>
        </w:rPr>
        <w:t>هاينز</w:t>
      </w:r>
      <w:proofErr w:type="spellEnd"/>
      <w:r w:rsidRPr="00BB44FF">
        <w:rPr>
          <w:rtl/>
        </w:rPr>
        <w:t xml:space="preserve">، </w:t>
      </w:r>
      <w:proofErr w:type="spellStart"/>
      <w:r w:rsidRPr="00BB44FF">
        <w:rPr>
          <w:rtl/>
        </w:rPr>
        <w:t>وبامريم</w:t>
      </w:r>
      <w:proofErr w:type="spellEnd"/>
      <w:r w:rsidRPr="00BB44FF">
        <w:rPr>
          <w:rtl/>
        </w:rPr>
        <w:t xml:space="preserve"> كويتا، </w:t>
      </w:r>
      <w:proofErr w:type="spellStart"/>
      <w:r w:rsidRPr="00BB44FF">
        <w:rPr>
          <w:rtl/>
        </w:rPr>
        <w:t>ودنكان</w:t>
      </w:r>
      <w:proofErr w:type="spellEnd"/>
      <w:r w:rsidRPr="00BB44FF">
        <w:rPr>
          <w:rtl/>
        </w:rPr>
        <w:t xml:space="preserve"> </w:t>
      </w:r>
      <w:proofErr w:type="spellStart"/>
      <w:r w:rsidRPr="00BB44FF">
        <w:rPr>
          <w:rtl/>
        </w:rPr>
        <w:t>لاكي</w:t>
      </w:r>
      <w:proofErr w:type="spellEnd"/>
      <w:r w:rsidRPr="00BB44FF">
        <w:rPr>
          <w:rtl/>
        </w:rPr>
        <w:t xml:space="preserve"> </w:t>
      </w:r>
      <w:proofErr w:type="spellStart"/>
      <w:r w:rsidRPr="00BB44FF">
        <w:rPr>
          <w:rtl/>
        </w:rPr>
        <w:t>موهوموزا</w:t>
      </w:r>
      <w:proofErr w:type="spellEnd"/>
      <w:r w:rsidRPr="00BB44FF">
        <w:rPr>
          <w:rtl/>
        </w:rPr>
        <w:t xml:space="preserve">، وفوتيني </w:t>
      </w:r>
      <w:proofErr w:type="spellStart"/>
      <w:r w:rsidRPr="00BB44FF">
        <w:rPr>
          <w:rtl/>
        </w:rPr>
        <w:t>بازارتزيس</w:t>
      </w:r>
      <w:proofErr w:type="spellEnd"/>
      <w:r w:rsidRPr="00BB44FF">
        <w:rPr>
          <w:rtl/>
        </w:rPr>
        <w:t xml:space="preserve">، </w:t>
      </w:r>
      <w:proofErr w:type="spellStart"/>
      <w:r w:rsidRPr="00BB44FF">
        <w:rPr>
          <w:rtl/>
        </w:rPr>
        <w:t>وهيرنان</w:t>
      </w:r>
      <w:proofErr w:type="spellEnd"/>
      <w:r w:rsidRPr="00BB44FF">
        <w:rPr>
          <w:rtl/>
        </w:rPr>
        <w:t xml:space="preserve"> </w:t>
      </w:r>
      <w:proofErr w:type="spellStart"/>
      <w:r w:rsidRPr="00BB44FF">
        <w:rPr>
          <w:rtl/>
        </w:rPr>
        <w:t>كيزادا</w:t>
      </w:r>
      <w:proofErr w:type="spellEnd"/>
      <w:r w:rsidRPr="00BB44FF">
        <w:rPr>
          <w:rtl/>
        </w:rPr>
        <w:t xml:space="preserve"> </w:t>
      </w:r>
      <w:proofErr w:type="spellStart"/>
      <w:r w:rsidRPr="00BB44FF">
        <w:rPr>
          <w:rtl/>
        </w:rPr>
        <w:t>كابريرا</w:t>
      </w:r>
      <w:proofErr w:type="spellEnd"/>
      <w:r w:rsidRPr="00BB44FF">
        <w:rPr>
          <w:rtl/>
        </w:rPr>
        <w:t xml:space="preserve">، </w:t>
      </w:r>
      <w:proofErr w:type="spellStart"/>
      <w:r w:rsidRPr="00BB44FF">
        <w:rPr>
          <w:rtl/>
        </w:rPr>
        <w:t>وفاسيلكا</w:t>
      </w:r>
      <w:proofErr w:type="spellEnd"/>
      <w:r w:rsidRPr="00BB44FF">
        <w:rPr>
          <w:rtl/>
        </w:rPr>
        <w:t xml:space="preserve"> </w:t>
      </w:r>
      <w:proofErr w:type="spellStart"/>
      <w:r w:rsidRPr="00BB44FF">
        <w:rPr>
          <w:rtl/>
        </w:rPr>
        <w:t>سانسين</w:t>
      </w:r>
      <w:proofErr w:type="spellEnd"/>
      <w:r w:rsidRPr="00BB44FF">
        <w:rPr>
          <w:rtl/>
        </w:rPr>
        <w:t xml:space="preserve">، وخوسيه مانويل سانتوس </w:t>
      </w:r>
      <w:proofErr w:type="spellStart"/>
      <w:r w:rsidRPr="00BB44FF">
        <w:rPr>
          <w:rtl/>
        </w:rPr>
        <w:t>بايس</w:t>
      </w:r>
      <w:proofErr w:type="spellEnd"/>
      <w:r w:rsidRPr="00BB44FF">
        <w:rPr>
          <w:rtl/>
        </w:rPr>
        <w:t xml:space="preserve">، ويوفال </w:t>
      </w:r>
      <w:proofErr w:type="spellStart"/>
      <w:r w:rsidRPr="00BB44FF">
        <w:rPr>
          <w:rtl/>
        </w:rPr>
        <w:t>شاني</w:t>
      </w:r>
      <w:proofErr w:type="spellEnd"/>
      <w:r w:rsidRPr="00BB44FF">
        <w:rPr>
          <w:rtl/>
        </w:rPr>
        <w:t xml:space="preserve">، وهيلين </w:t>
      </w:r>
      <w:proofErr w:type="spellStart"/>
      <w:r w:rsidRPr="00BB44FF">
        <w:rPr>
          <w:rtl/>
        </w:rPr>
        <w:t>تيغرودجا</w:t>
      </w:r>
      <w:proofErr w:type="spellEnd"/>
      <w:r w:rsidRPr="00BB44FF">
        <w:rPr>
          <w:rtl/>
        </w:rPr>
        <w:t xml:space="preserve">، وأندرياس </w:t>
      </w:r>
      <w:proofErr w:type="spellStart"/>
      <w:r w:rsidRPr="00BB44FF">
        <w:rPr>
          <w:rtl/>
        </w:rPr>
        <w:t>زيمرمان</w:t>
      </w:r>
      <w:proofErr w:type="spellEnd"/>
      <w:r w:rsidRPr="00BB44FF">
        <w:rPr>
          <w:rtl/>
        </w:rPr>
        <w:t xml:space="preserve">، </w:t>
      </w:r>
      <w:proofErr w:type="spellStart"/>
      <w:r w:rsidRPr="00BB44FF">
        <w:rPr>
          <w:rtl/>
        </w:rPr>
        <w:t>وجنتيان</w:t>
      </w:r>
      <w:proofErr w:type="spellEnd"/>
      <w:r w:rsidRPr="00BB44FF">
        <w:rPr>
          <w:rtl/>
        </w:rPr>
        <w:t xml:space="preserve"> </w:t>
      </w:r>
      <w:proofErr w:type="spellStart"/>
      <w:r w:rsidRPr="00BB44FF">
        <w:rPr>
          <w:rtl/>
        </w:rPr>
        <w:t>زيبيري</w:t>
      </w:r>
      <w:proofErr w:type="spellEnd"/>
      <w:r w:rsidRPr="00BB44FF">
        <w:rPr>
          <w:rtl/>
        </w:rPr>
        <w:t>.</w:t>
      </w:r>
    </w:p>
  </w:footnote>
  <w:footnote w:id="4">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sidRPr="00330541">
        <w:rPr>
          <w:rtl/>
        </w:rPr>
        <w:tab/>
        <w:t>لم تُقدّم تفاصيل.</w:t>
      </w:r>
    </w:p>
  </w:footnote>
  <w:footnote w:id="5">
    <w:p w:rsidR="001A58C5" w:rsidRPr="00330541" w:rsidRDefault="001A58C5" w:rsidP="001A58C5">
      <w:pPr>
        <w:pStyle w:val="FootnoteText1"/>
        <w:rPr>
          <w:rtl/>
        </w:rPr>
      </w:pPr>
      <w:r w:rsidRPr="00330541">
        <w:rPr>
          <w:rtl/>
        </w:rPr>
        <w:t>(</w:t>
      </w:r>
      <w:r w:rsidRPr="00754C8F">
        <w:rPr>
          <w:rFonts w:cs="Times New Roman"/>
        </w:rPr>
        <w:footnoteRef/>
      </w:r>
      <w:r w:rsidRPr="00330541">
        <w:rPr>
          <w:rtl/>
        </w:rPr>
        <w:t>)</w:t>
      </w:r>
      <w:r>
        <w:rPr>
          <w:rtl/>
        </w:rPr>
        <w:tab/>
      </w:r>
      <w:r w:rsidRPr="00330541">
        <w:rPr>
          <w:rtl/>
        </w:rPr>
        <w:t>يدعي صاحب البلاغ أن مصادره موثوقة: منظمات دولية مثل اللجنة الأوروبية لمنع التعذيب والمعاملة أو العقوبة القاسية أو اللاإنسانية أو المهينة، ومنظمات غير حكومية، مثل منظمة العفو الدولية، بل هيئات برلمانية أوكرانية مثل مفوضية البرلمان الأوكراني لحقوق الإنسان، التي أنشئت لتنفيذ البروتوكول الاختياري لاتفاقية مناهضة التعذيب وغيره من ضروب المعاملة أو العقوبة القاسية أو اللاإنسانية أو المهينة.</w:t>
      </w:r>
    </w:p>
  </w:footnote>
  <w:footnote w:id="6">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تقرير لمنظمة العفو الدولية من عام </w:t>
      </w:r>
      <w:r w:rsidRPr="00754C8F">
        <w:rPr>
          <w:szCs w:val="18"/>
          <w:rtl/>
        </w:rPr>
        <w:t>2012</w:t>
      </w:r>
      <w:r>
        <w:rPr>
          <w:rtl/>
        </w:rPr>
        <w:t>، وعدة أحكام للمحكمة الأوروبية لحقوق الإنسان.</w:t>
      </w:r>
    </w:p>
  </w:footnote>
  <w:footnote w:id="7">
    <w:p w:rsidR="00754C8F" w:rsidRPr="00F03E26" w:rsidRDefault="00754C8F" w:rsidP="00754C8F">
      <w:pPr>
        <w:pStyle w:val="FootnoteText1"/>
        <w:rPr>
          <w:rtl/>
        </w:rPr>
      </w:pPr>
      <w:r w:rsidRPr="00F03E26">
        <w:rPr>
          <w:spacing w:val="-4"/>
          <w:rtl/>
        </w:rPr>
        <w:t>(</w:t>
      </w:r>
      <w:r w:rsidRPr="00754C8F">
        <w:rPr>
          <w:rFonts w:cs="Times New Roman"/>
          <w:spacing w:val="-4"/>
        </w:rPr>
        <w:footnoteRef/>
      </w:r>
      <w:r w:rsidRPr="00F03E26">
        <w:rPr>
          <w:spacing w:val="-4"/>
          <w:rtl/>
        </w:rPr>
        <w:t>)</w:t>
      </w:r>
      <w:r w:rsidRPr="00F03E26">
        <w:rPr>
          <w:spacing w:val="-4"/>
          <w:rtl/>
        </w:rPr>
        <w:tab/>
        <w:t xml:space="preserve">تشير الترجمة الإنكليزية للرسالة إلى أنه في ضوء المواد التي بحوزة المحكمة، وحيث إن المسائل موضوع الشكوى تندرج ضمن اختصاصها، ترى المحكمة أن معايير المقبولية المنصوص عليها في المادتين </w:t>
      </w:r>
      <w:r w:rsidRPr="00754C8F">
        <w:rPr>
          <w:spacing w:val="-4"/>
          <w:szCs w:val="18"/>
          <w:rtl/>
        </w:rPr>
        <w:t>34</w:t>
      </w:r>
      <w:r w:rsidRPr="00F03E26">
        <w:rPr>
          <w:spacing w:val="-4"/>
          <w:rtl/>
        </w:rPr>
        <w:t xml:space="preserve"> </w:t>
      </w:r>
      <w:proofErr w:type="spellStart"/>
      <w:r w:rsidRPr="00F03E26">
        <w:rPr>
          <w:spacing w:val="-4"/>
          <w:rtl/>
        </w:rPr>
        <w:t>و</w:t>
      </w:r>
      <w:r w:rsidRPr="00754C8F">
        <w:rPr>
          <w:spacing w:val="-4"/>
          <w:szCs w:val="18"/>
          <w:rtl/>
        </w:rPr>
        <w:t>35</w:t>
      </w:r>
      <w:proofErr w:type="spellEnd"/>
      <w:r w:rsidRPr="00F03E26">
        <w:rPr>
          <w:spacing w:val="-4"/>
          <w:rtl/>
        </w:rPr>
        <w:t xml:space="preserve"> من الاتفاقية لم</w:t>
      </w:r>
      <w:r w:rsidRPr="00F03E26">
        <w:rPr>
          <w:rFonts w:hint="cs"/>
          <w:spacing w:val="-4"/>
          <w:rtl/>
        </w:rPr>
        <w:t> </w:t>
      </w:r>
      <w:r w:rsidRPr="00F03E26">
        <w:rPr>
          <w:spacing w:val="-4"/>
          <w:rtl/>
        </w:rPr>
        <w:t>تُستوف</w:t>
      </w:r>
      <w:r w:rsidRPr="00F03E26">
        <w:rPr>
          <w:rFonts w:hint="cs"/>
          <w:spacing w:val="-4"/>
          <w:rtl/>
        </w:rPr>
        <w:t>.</w:t>
      </w:r>
    </w:p>
  </w:footnote>
  <w:footnote w:id="8">
    <w:p w:rsidR="00754C8F" w:rsidRPr="00780D0D"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انظر </w:t>
      </w:r>
      <w:proofErr w:type="spellStart"/>
      <w:r w:rsidRPr="00CD11A1">
        <w:rPr>
          <w:i/>
          <w:iCs/>
          <w:rtl/>
        </w:rPr>
        <w:t>كندلر</w:t>
      </w:r>
      <w:proofErr w:type="spellEnd"/>
      <w:r w:rsidRPr="00CD11A1">
        <w:rPr>
          <w:i/>
          <w:iCs/>
          <w:rtl/>
        </w:rPr>
        <w:t>. ضد كندا</w:t>
      </w:r>
      <w:r>
        <w:rPr>
          <w:rtl/>
        </w:rPr>
        <w:t xml:space="preserve"> (</w:t>
      </w:r>
      <w:r>
        <w:t>CCPR/C/</w:t>
      </w:r>
      <w:r w:rsidRPr="00754C8F">
        <w:rPr>
          <w:szCs w:val="18"/>
        </w:rPr>
        <w:t>48</w:t>
      </w:r>
      <w:r>
        <w:t>/D/</w:t>
      </w:r>
      <w:r w:rsidRPr="00754C8F">
        <w:rPr>
          <w:szCs w:val="18"/>
        </w:rPr>
        <w:t>470</w:t>
      </w:r>
      <w:r>
        <w:t xml:space="preserve">/ </w:t>
      </w:r>
      <w:r w:rsidRPr="00754C8F">
        <w:rPr>
          <w:szCs w:val="18"/>
        </w:rPr>
        <w:t>1991</w:t>
      </w:r>
      <w:r>
        <w:rPr>
          <w:rtl/>
        </w:rPr>
        <w:t xml:space="preserve">)، الفقرتان </w:t>
      </w:r>
      <w:r w:rsidRPr="00754C8F">
        <w:rPr>
          <w:szCs w:val="18"/>
          <w:rtl/>
        </w:rPr>
        <w:t>6</w:t>
      </w:r>
      <w:r>
        <w:rPr>
          <w:rtl/>
        </w:rPr>
        <w:t>-</w:t>
      </w:r>
      <w:r w:rsidRPr="00754C8F">
        <w:rPr>
          <w:szCs w:val="18"/>
          <w:rtl/>
        </w:rPr>
        <w:t>1</w:t>
      </w:r>
      <w:r>
        <w:rPr>
          <w:rtl/>
        </w:rPr>
        <w:t xml:space="preserve"> و</w:t>
      </w:r>
      <w:r w:rsidRPr="00754C8F">
        <w:rPr>
          <w:szCs w:val="18"/>
          <w:rtl/>
        </w:rPr>
        <w:t>13</w:t>
      </w:r>
      <w:r>
        <w:rPr>
          <w:rtl/>
        </w:rPr>
        <w:t>-</w:t>
      </w:r>
      <w:r w:rsidRPr="00754C8F">
        <w:rPr>
          <w:szCs w:val="18"/>
          <w:rtl/>
        </w:rPr>
        <w:t>1</w:t>
      </w:r>
      <w:r>
        <w:rPr>
          <w:rtl/>
        </w:rPr>
        <w:t>.</w:t>
      </w:r>
    </w:p>
  </w:footnote>
  <w:footnote w:id="9">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انظر </w:t>
      </w:r>
      <w:proofErr w:type="spellStart"/>
      <w:r w:rsidRPr="00CD11A1">
        <w:rPr>
          <w:i/>
          <w:iCs/>
          <w:rtl/>
        </w:rPr>
        <w:t>فاليتوف</w:t>
      </w:r>
      <w:proofErr w:type="spellEnd"/>
      <w:r w:rsidRPr="00CD11A1">
        <w:rPr>
          <w:i/>
          <w:iCs/>
          <w:rtl/>
        </w:rPr>
        <w:t xml:space="preserve"> ضد كازاخستان</w:t>
      </w:r>
      <w:r>
        <w:rPr>
          <w:rtl/>
        </w:rPr>
        <w:t xml:space="preserve"> (</w:t>
      </w:r>
      <w:r>
        <w:t>CCPR/C/</w:t>
      </w:r>
      <w:r w:rsidRPr="00754C8F">
        <w:rPr>
          <w:szCs w:val="18"/>
        </w:rPr>
        <w:t>110</w:t>
      </w:r>
      <w:r>
        <w:t>/D/</w:t>
      </w:r>
      <w:r w:rsidRPr="00754C8F">
        <w:rPr>
          <w:szCs w:val="18"/>
        </w:rPr>
        <w:t>2104</w:t>
      </w:r>
      <w:r>
        <w:t>/</w:t>
      </w:r>
      <w:r w:rsidRPr="00754C8F">
        <w:rPr>
          <w:szCs w:val="18"/>
        </w:rPr>
        <w:t>2011</w:t>
      </w:r>
      <w:r>
        <w:rPr>
          <w:rtl/>
        </w:rPr>
        <w:t>)، الفقر</w:t>
      </w:r>
      <w:r w:rsidRPr="00330541">
        <w:rPr>
          <w:rtl/>
        </w:rPr>
        <w:t xml:space="preserve">تان </w:t>
      </w:r>
      <w:r w:rsidRPr="00754C8F">
        <w:rPr>
          <w:szCs w:val="18"/>
          <w:rtl/>
        </w:rPr>
        <w:t>14</w:t>
      </w:r>
      <w:r w:rsidRPr="00330541">
        <w:rPr>
          <w:rtl/>
        </w:rPr>
        <w:t>-</w:t>
      </w:r>
      <w:r w:rsidRPr="00754C8F">
        <w:rPr>
          <w:szCs w:val="18"/>
          <w:rtl/>
        </w:rPr>
        <w:t>3</w:t>
      </w:r>
      <w:r w:rsidRPr="00330541">
        <w:rPr>
          <w:rtl/>
        </w:rPr>
        <w:t xml:space="preserve"> و</w:t>
      </w:r>
      <w:r w:rsidRPr="00754C8F">
        <w:rPr>
          <w:szCs w:val="18"/>
          <w:rtl/>
        </w:rPr>
        <w:t>14</w:t>
      </w:r>
      <w:r w:rsidRPr="00330541">
        <w:rPr>
          <w:rtl/>
        </w:rPr>
        <w:t>-</w:t>
      </w:r>
      <w:r w:rsidRPr="00754C8F">
        <w:rPr>
          <w:szCs w:val="18"/>
          <w:rtl/>
        </w:rPr>
        <w:t>6</w:t>
      </w:r>
      <w:r w:rsidRPr="00330541">
        <w:rPr>
          <w:rtl/>
        </w:rPr>
        <w:t>.</w:t>
      </w:r>
    </w:p>
  </w:footnote>
  <w:footnote w:id="10">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r>
      <w:r w:rsidRPr="00330541">
        <w:rPr>
          <w:rtl/>
        </w:rPr>
        <w:t xml:space="preserve">انظر قضية </w:t>
      </w:r>
      <w:proofErr w:type="spellStart"/>
      <w:r w:rsidRPr="00CD11A1">
        <w:rPr>
          <w:i/>
          <w:iCs/>
          <w:rtl/>
        </w:rPr>
        <w:t>مقصودوف</w:t>
      </w:r>
      <w:proofErr w:type="spellEnd"/>
      <w:r w:rsidRPr="00CD11A1">
        <w:rPr>
          <w:i/>
          <w:iCs/>
          <w:rtl/>
        </w:rPr>
        <w:t xml:space="preserve"> وآخرين ضد قيرغيزستان</w:t>
      </w:r>
      <w:r w:rsidRPr="00330541">
        <w:rPr>
          <w:rtl/>
        </w:rPr>
        <w:t xml:space="preserve"> (</w:t>
      </w:r>
      <w:r w:rsidRPr="00330541">
        <w:t>CCPR/C/</w:t>
      </w:r>
      <w:r w:rsidRPr="00754C8F">
        <w:rPr>
          <w:szCs w:val="18"/>
        </w:rPr>
        <w:t>93</w:t>
      </w:r>
      <w:r w:rsidRPr="00330541">
        <w:t>/D/</w:t>
      </w:r>
      <w:r w:rsidRPr="00754C8F">
        <w:rPr>
          <w:szCs w:val="18"/>
        </w:rPr>
        <w:t>1461</w:t>
      </w:r>
      <w:r w:rsidRPr="00330541">
        <w:rPr>
          <w:rtl/>
        </w:rPr>
        <w:t xml:space="preserve"> و</w:t>
      </w:r>
      <w:r w:rsidRPr="00754C8F">
        <w:rPr>
          <w:szCs w:val="18"/>
          <w:rtl/>
        </w:rPr>
        <w:t>1462</w:t>
      </w:r>
      <w:r w:rsidRPr="00330541">
        <w:rPr>
          <w:rtl/>
        </w:rPr>
        <w:t xml:space="preserve"> و</w:t>
      </w:r>
      <w:r w:rsidRPr="00754C8F">
        <w:rPr>
          <w:szCs w:val="18"/>
          <w:rtl/>
        </w:rPr>
        <w:t>1476</w:t>
      </w:r>
      <w:r w:rsidRPr="00330541">
        <w:rPr>
          <w:rtl/>
        </w:rPr>
        <w:t xml:space="preserve"> و</w:t>
      </w:r>
      <w:r w:rsidRPr="00754C8F">
        <w:rPr>
          <w:szCs w:val="18"/>
          <w:rtl/>
        </w:rPr>
        <w:t>1477</w:t>
      </w:r>
      <w:r w:rsidRPr="00330541">
        <w:rPr>
          <w:rtl/>
        </w:rPr>
        <w:t>/</w:t>
      </w:r>
      <w:r w:rsidRPr="00754C8F">
        <w:rPr>
          <w:szCs w:val="18"/>
          <w:rtl/>
        </w:rPr>
        <w:t>2006</w:t>
      </w:r>
      <w:r w:rsidRPr="00330541">
        <w:rPr>
          <w:rtl/>
        </w:rPr>
        <w:t xml:space="preserve">)، الفقرة </w:t>
      </w:r>
      <w:r w:rsidRPr="00754C8F">
        <w:rPr>
          <w:szCs w:val="18"/>
          <w:rtl/>
        </w:rPr>
        <w:t>12</w:t>
      </w:r>
      <w:r w:rsidRPr="00330541">
        <w:rPr>
          <w:rtl/>
        </w:rPr>
        <w:t>-</w:t>
      </w:r>
      <w:r w:rsidRPr="00754C8F">
        <w:rPr>
          <w:szCs w:val="18"/>
          <w:rtl/>
        </w:rPr>
        <w:t>6</w:t>
      </w:r>
      <w:r w:rsidRPr="00330541">
        <w:rPr>
          <w:rtl/>
        </w:rPr>
        <w:t>.</w:t>
      </w:r>
    </w:p>
  </w:footnote>
  <w:footnote w:id="11">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r>
      <w:r w:rsidRPr="00330541">
        <w:t>CCPR/C/UKR/CO/</w:t>
      </w:r>
      <w:r w:rsidRPr="00754C8F">
        <w:rPr>
          <w:szCs w:val="18"/>
        </w:rPr>
        <w:t>7</w:t>
      </w:r>
      <w:r w:rsidRPr="00330541">
        <w:rPr>
          <w:rtl/>
        </w:rPr>
        <w:t>، الفقرة</w:t>
      </w:r>
      <w:r>
        <w:rPr>
          <w:rtl/>
        </w:rPr>
        <w:t xml:space="preserve"> </w:t>
      </w:r>
      <w:r w:rsidRPr="00754C8F">
        <w:rPr>
          <w:szCs w:val="18"/>
          <w:rtl/>
        </w:rPr>
        <w:t>15</w:t>
      </w:r>
      <w:r w:rsidRPr="00330541">
        <w:rPr>
          <w:rtl/>
        </w:rPr>
        <w:t>.</w:t>
      </w:r>
    </w:p>
  </w:footnote>
  <w:footnote w:id="12">
    <w:p w:rsidR="00754C8F" w:rsidRPr="00780D0D"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انظر </w:t>
      </w:r>
      <w:r w:rsidRPr="00AA1AE7">
        <w:t xml:space="preserve">Council of Europe, </w:t>
      </w:r>
      <w:r w:rsidRPr="00AA1AE7">
        <w:rPr>
          <w:i/>
        </w:rPr>
        <w:t xml:space="preserve">Report to the Ukrainian Government on the Visit to Ukraine Carried Out by the European Committee for the Prevention of Torture and Inhuman or Degrading Treatment or Punishment (CPT) from </w:t>
      </w:r>
      <w:r w:rsidRPr="00754C8F">
        <w:rPr>
          <w:i/>
          <w:szCs w:val="18"/>
        </w:rPr>
        <w:t>9</w:t>
      </w:r>
      <w:r w:rsidRPr="00AA1AE7">
        <w:rPr>
          <w:i/>
        </w:rPr>
        <w:t xml:space="preserve"> to </w:t>
      </w:r>
      <w:r w:rsidRPr="00754C8F">
        <w:rPr>
          <w:i/>
          <w:szCs w:val="18"/>
        </w:rPr>
        <w:t>21</w:t>
      </w:r>
      <w:r w:rsidRPr="00AA1AE7">
        <w:rPr>
          <w:i/>
        </w:rPr>
        <w:t xml:space="preserve"> October </w:t>
      </w:r>
      <w:r w:rsidRPr="00754C8F">
        <w:rPr>
          <w:i/>
          <w:szCs w:val="18"/>
        </w:rPr>
        <w:t>2013</w:t>
      </w:r>
      <w:r w:rsidRPr="00AA1AE7">
        <w:t xml:space="preserve"> (CPT/Inf (</w:t>
      </w:r>
      <w:r w:rsidRPr="00754C8F">
        <w:rPr>
          <w:szCs w:val="18"/>
        </w:rPr>
        <w:t>2014</w:t>
      </w:r>
      <w:r w:rsidRPr="00AA1AE7">
        <w:t xml:space="preserve">) </w:t>
      </w:r>
      <w:proofErr w:type="gramStart"/>
      <w:r w:rsidRPr="00754C8F">
        <w:rPr>
          <w:szCs w:val="18"/>
        </w:rPr>
        <w:t>15</w:t>
      </w:r>
      <w:r w:rsidRPr="00AA1AE7">
        <w:t>),</w:t>
      </w:r>
      <w:proofErr w:type="gramEnd"/>
      <w:r>
        <w:t xml:space="preserve"> </w:t>
      </w:r>
      <w:r w:rsidRPr="00AA1AE7">
        <w:t xml:space="preserve">paras. </w:t>
      </w:r>
      <w:r w:rsidRPr="00754C8F">
        <w:rPr>
          <w:szCs w:val="18"/>
        </w:rPr>
        <w:t>100</w:t>
      </w:r>
      <w:r>
        <w:t>–</w:t>
      </w:r>
      <w:r w:rsidRPr="00754C8F">
        <w:rPr>
          <w:szCs w:val="18"/>
        </w:rPr>
        <w:t>101</w:t>
      </w:r>
      <w:r>
        <w:rPr>
          <w:rFonts w:hint="cs"/>
          <w:rtl/>
        </w:rPr>
        <w:t xml:space="preserve">. </w:t>
      </w:r>
    </w:p>
  </w:footnote>
  <w:footnote w:id="13">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انظر </w:t>
      </w:r>
      <w:r w:rsidRPr="0001288C">
        <w:rPr>
          <w:lang w:val="en-GB"/>
        </w:rPr>
        <w:t xml:space="preserve">Ukrainian Parliament Commissioner for Human Rights, “Monitoring of custodial settings in Ukraine. Current implementation of the national preventive mechanism: report </w:t>
      </w:r>
      <w:r w:rsidRPr="00754C8F">
        <w:rPr>
          <w:szCs w:val="18"/>
          <w:lang w:val="en-GB"/>
        </w:rPr>
        <w:t>2012</w:t>
      </w:r>
      <w:r w:rsidRPr="0001288C">
        <w:rPr>
          <w:lang w:val="en-GB"/>
        </w:rPr>
        <w:t>” (</w:t>
      </w:r>
      <w:r w:rsidRPr="00754C8F">
        <w:rPr>
          <w:szCs w:val="18"/>
          <w:lang w:val="en-GB"/>
        </w:rPr>
        <w:t>2013</w:t>
      </w:r>
      <w:r w:rsidRPr="0001288C">
        <w:rPr>
          <w:lang w:val="en-GB"/>
        </w:rPr>
        <w:t xml:space="preserve">), pp. </w:t>
      </w:r>
      <w:r w:rsidRPr="00754C8F">
        <w:rPr>
          <w:szCs w:val="18"/>
          <w:lang w:val="en-GB"/>
        </w:rPr>
        <w:t>80</w:t>
      </w:r>
      <w:r w:rsidRPr="0001288C">
        <w:rPr>
          <w:lang w:val="en-GB"/>
        </w:rPr>
        <w:t>–</w:t>
      </w:r>
      <w:r w:rsidRPr="00754C8F">
        <w:rPr>
          <w:szCs w:val="18"/>
          <w:lang w:val="en-GB"/>
        </w:rPr>
        <w:t>83</w:t>
      </w:r>
      <w:r w:rsidRPr="0001288C">
        <w:rPr>
          <w:lang w:val="en-GB"/>
        </w:rPr>
        <w:t xml:space="preserve">, available from </w:t>
      </w:r>
      <w:hyperlink r:id="rId1" w:history="1">
        <w:r w:rsidRPr="0001288C">
          <w:rPr>
            <w:rStyle w:val="Hyperlink"/>
            <w:lang w:val="en-GB"/>
          </w:rPr>
          <w:t xml:space="preserve">www.ohchr.org/Documents/HRBodies/OPCAT/NPM/AnnualReport </w:t>
        </w:r>
        <w:r w:rsidRPr="00754C8F">
          <w:rPr>
            <w:rStyle w:val="Hyperlink"/>
            <w:szCs w:val="18"/>
            <w:lang w:val="en-GB"/>
          </w:rPr>
          <w:t>2012</w:t>
        </w:r>
        <w:r w:rsidRPr="0001288C">
          <w:rPr>
            <w:rStyle w:val="Hyperlink"/>
            <w:lang w:val="en-GB"/>
          </w:rPr>
          <w:t>_Ukraine.pdf</w:t>
        </w:r>
      </w:hyperlink>
      <w:r w:rsidRPr="00233BB1">
        <w:rPr>
          <w:rtl/>
        </w:rPr>
        <w:t>.</w:t>
      </w:r>
    </w:p>
  </w:footnote>
  <w:footnote w:id="14">
    <w:p w:rsidR="00754C8F" w:rsidRPr="00330541" w:rsidRDefault="00754C8F" w:rsidP="00754C8F">
      <w:pPr>
        <w:pStyle w:val="FootnoteText1"/>
        <w:rPr>
          <w:rFonts w:hint="cs"/>
          <w:rtl/>
        </w:rPr>
      </w:pPr>
      <w:r w:rsidRPr="00330541">
        <w:rPr>
          <w:rtl/>
        </w:rPr>
        <w:t>(</w:t>
      </w:r>
      <w:r w:rsidRPr="00754C8F">
        <w:rPr>
          <w:rFonts w:cs="Times New Roman"/>
        </w:rPr>
        <w:footnoteRef/>
      </w:r>
      <w:r w:rsidRPr="00330541">
        <w:rPr>
          <w:rtl/>
        </w:rPr>
        <w:t>)</w:t>
      </w:r>
      <w:r>
        <w:rPr>
          <w:rtl/>
        </w:rPr>
        <w:tab/>
        <w:t>انظر</w:t>
      </w:r>
      <w:r w:rsidRPr="007902C5">
        <w:t xml:space="preserve"> </w:t>
      </w:r>
      <w:r w:rsidRPr="0001288C">
        <w:rPr>
          <w:lang w:val="en-GB"/>
        </w:rPr>
        <w:t xml:space="preserve">European Court of Human Rights, </w:t>
      </w:r>
      <w:proofErr w:type="spellStart"/>
      <w:r w:rsidRPr="0001288C">
        <w:rPr>
          <w:i/>
          <w:lang w:val="en-GB"/>
        </w:rPr>
        <w:t>Ukhan</w:t>
      </w:r>
      <w:proofErr w:type="spellEnd"/>
      <w:r w:rsidRPr="0001288C">
        <w:rPr>
          <w:i/>
          <w:lang w:val="en-GB"/>
        </w:rPr>
        <w:t xml:space="preserve"> v. Ukraine</w:t>
      </w:r>
      <w:r w:rsidRPr="0001288C">
        <w:rPr>
          <w:lang w:val="en-GB"/>
        </w:rPr>
        <w:t xml:space="preserve">, application No. </w:t>
      </w:r>
      <w:r w:rsidRPr="00754C8F">
        <w:rPr>
          <w:szCs w:val="18"/>
          <w:lang w:val="en-GB"/>
        </w:rPr>
        <w:t>30628</w:t>
      </w:r>
      <w:r w:rsidRPr="0001288C">
        <w:rPr>
          <w:lang w:val="en-GB"/>
        </w:rPr>
        <w:t>/</w:t>
      </w:r>
      <w:r w:rsidRPr="00754C8F">
        <w:rPr>
          <w:szCs w:val="18"/>
          <w:lang w:val="en-GB"/>
        </w:rPr>
        <w:t>02</w:t>
      </w:r>
      <w:r w:rsidRPr="0001288C">
        <w:rPr>
          <w:lang w:val="en-GB"/>
        </w:rPr>
        <w:t xml:space="preserve">, </w:t>
      </w:r>
      <w:r w:rsidRPr="00754C8F">
        <w:rPr>
          <w:szCs w:val="18"/>
          <w:lang w:val="en-GB"/>
        </w:rPr>
        <w:t>18</w:t>
      </w:r>
      <w:r w:rsidRPr="0001288C">
        <w:rPr>
          <w:lang w:val="en-GB"/>
        </w:rPr>
        <w:t xml:space="preserve"> December </w:t>
      </w:r>
      <w:r w:rsidRPr="00754C8F">
        <w:rPr>
          <w:szCs w:val="18"/>
          <w:lang w:val="en-GB"/>
        </w:rPr>
        <w:t>2008</w:t>
      </w:r>
      <w:r>
        <w:rPr>
          <w:rFonts w:hint="cs"/>
          <w:rtl/>
        </w:rPr>
        <w:t xml:space="preserve">. </w:t>
      </w:r>
    </w:p>
  </w:footnote>
  <w:footnote w:id="15">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انظر</w:t>
      </w:r>
      <w:r w:rsidRPr="007902C5">
        <w:t xml:space="preserve"> </w:t>
      </w:r>
      <w:r w:rsidRPr="0001288C">
        <w:rPr>
          <w:lang w:val="en-GB"/>
        </w:rPr>
        <w:t xml:space="preserve">European Court of Human Rights, </w:t>
      </w:r>
      <w:proofErr w:type="spellStart"/>
      <w:r w:rsidRPr="0001288C">
        <w:rPr>
          <w:i/>
          <w:lang w:val="en-GB"/>
        </w:rPr>
        <w:t>Buglov</w:t>
      </w:r>
      <w:proofErr w:type="spellEnd"/>
      <w:r w:rsidRPr="0001288C">
        <w:rPr>
          <w:i/>
          <w:lang w:val="en-GB"/>
        </w:rPr>
        <w:t xml:space="preserve"> v. Ukraine</w:t>
      </w:r>
      <w:r w:rsidRPr="0001288C">
        <w:rPr>
          <w:lang w:val="en-GB"/>
        </w:rPr>
        <w:t xml:space="preserve">, application No. </w:t>
      </w:r>
      <w:r w:rsidRPr="00754C8F">
        <w:rPr>
          <w:szCs w:val="18"/>
          <w:lang w:val="en-GB"/>
        </w:rPr>
        <w:t>28825</w:t>
      </w:r>
      <w:r w:rsidRPr="0001288C">
        <w:rPr>
          <w:lang w:val="en-GB"/>
        </w:rPr>
        <w:t>/</w:t>
      </w:r>
      <w:r w:rsidRPr="00754C8F">
        <w:rPr>
          <w:szCs w:val="18"/>
          <w:lang w:val="en-GB"/>
        </w:rPr>
        <w:t>02</w:t>
      </w:r>
      <w:r w:rsidRPr="0001288C">
        <w:rPr>
          <w:lang w:val="en-GB"/>
        </w:rPr>
        <w:t xml:space="preserve">, </w:t>
      </w:r>
      <w:r w:rsidRPr="00754C8F">
        <w:rPr>
          <w:szCs w:val="18"/>
          <w:lang w:val="en-GB"/>
        </w:rPr>
        <w:t>10</w:t>
      </w:r>
      <w:r w:rsidRPr="0001288C">
        <w:rPr>
          <w:lang w:val="en-GB"/>
        </w:rPr>
        <w:t xml:space="preserve"> July </w:t>
      </w:r>
      <w:r w:rsidRPr="00754C8F">
        <w:rPr>
          <w:szCs w:val="18"/>
          <w:lang w:val="en-GB"/>
        </w:rPr>
        <w:t>2014</w:t>
      </w:r>
      <w:r w:rsidRPr="0001288C">
        <w:rPr>
          <w:lang w:val="en-GB"/>
        </w:rPr>
        <w:t xml:space="preserve">, and </w:t>
      </w:r>
      <w:proofErr w:type="spellStart"/>
      <w:r w:rsidRPr="0001288C">
        <w:rPr>
          <w:i/>
          <w:lang w:val="en-GB"/>
        </w:rPr>
        <w:t>Osakovskiy</w:t>
      </w:r>
      <w:proofErr w:type="spellEnd"/>
      <w:r w:rsidRPr="0001288C">
        <w:rPr>
          <w:i/>
          <w:lang w:val="en-GB"/>
        </w:rPr>
        <w:t xml:space="preserve"> v. Ukraine</w:t>
      </w:r>
      <w:r w:rsidRPr="0001288C">
        <w:rPr>
          <w:lang w:val="en-GB"/>
        </w:rPr>
        <w:t xml:space="preserve">, application No. </w:t>
      </w:r>
      <w:r w:rsidRPr="00754C8F">
        <w:rPr>
          <w:szCs w:val="18"/>
          <w:lang w:val="en-GB"/>
        </w:rPr>
        <w:t>13406</w:t>
      </w:r>
      <w:r w:rsidRPr="0001288C">
        <w:rPr>
          <w:lang w:val="en-GB"/>
        </w:rPr>
        <w:t>/</w:t>
      </w:r>
      <w:r w:rsidRPr="00754C8F">
        <w:rPr>
          <w:szCs w:val="18"/>
          <w:lang w:val="en-GB"/>
        </w:rPr>
        <w:t>06</w:t>
      </w:r>
      <w:r w:rsidRPr="0001288C">
        <w:rPr>
          <w:lang w:val="en-GB"/>
        </w:rPr>
        <w:t xml:space="preserve">, </w:t>
      </w:r>
      <w:r w:rsidRPr="00754C8F">
        <w:rPr>
          <w:szCs w:val="18"/>
          <w:lang w:val="en-GB"/>
        </w:rPr>
        <w:t>17</w:t>
      </w:r>
      <w:r w:rsidRPr="0001288C">
        <w:rPr>
          <w:lang w:val="en-GB"/>
        </w:rPr>
        <w:t xml:space="preserve"> July </w:t>
      </w:r>
      <w:r w:rsidRPr="00754C8F">
        <w:rPr>
          <w:szCs w:val="18"/>
          <w:lang w:val="en-GB"/>
        </w:rPr>
        <w:t>2014</w:t>
      </w:r>
      <w:r w:rsidRPr="007902C5">
        <w:rPr>
          <w:rtl/>
        </w:rPr>
        <w:t>.</w:t>
      </w:r>
    </w:p>
  </w:footnote>
  <w:footnote w:id="16">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sidRPr="003C3E4C">
        <w:rPr>
          <w:rtl/>
        </w:rPr>
        <w:tab/>
        <w:t>انظر</w:t>
      </w:r>
      <w:r>
        <w:rPr>
          <w:rtl/>
        </w:rPr>
        <w:t xml:space="preserve"> </w:t>
      </w:r>
      <w:proofErr w:type="spellStart"/>
      <w:r w:rsidRPr="0001288C">
        <w:rPr>
          <w:i/>
          <w:iCs/>
          <w:rtl/>
        </w:rPr>
        <w:t>زيلودكوفا</w:t>
      </w:r>
      <w:proofErr w:type="spellEnd"/>
      <w:r w:rsidRPr="0001288C">
        <w:rPr>
          <w:i/>
          <w:iCs/>
          <w:rtl/>
        </w:rPr>
        <w:t xml:space="preserve"> ضد أوكرانيا</w:t>
      </w:r>
      <w:r>
        <w:rPr>
          <w:rtl/>
        </w:rPr>
        <w:t xml:space="preserve"> </w:t>
      </w:r>
      <w:r w:rsidRPr="003C3E4C">
        <w:rPr>
          <w:rtl/>
        </w:rPr>
        <w:t>(</w:t>
      </w:r>
      <w:r w:rsidRPr="003C3E4C">
        <w:t>CCPR/C/</w:t>
      </w:r>
      <w:r w:rsidRPr="00754C8F">
        <w:rPr>
          <w:szCs w:val="18"/>
        </w:rPr>
        <w:t>76</w:t>
      </w:r>
      <w:r w:rsidRPr="003C3E4C">
        <w:t>/D/</w:t>
      </w:r>
      <w:r w:rsidRPr="00754C8F">
        <w:rPr>
          <w:szCs w:val="18"/>
        </w:rPr>
        <w:t>726</w:t>
      </w:r>
      <w:r w:rsidRPr="003C3E4C">
        <w:t>/</w:t>
      </w:r>
      <w:r w:rsidRPr="00754C8F">
        <w:rPr>
          <w:szCs w:val="18"/>
        </w:rPr>
        <w:t>1996</w:t>
      </w:r>
      <w:r w:rsidRPr="003C3E4C">
        <w:rPr>
          <w:rtl/>
        </w:rPr>
        <w:t xml:space="preserve">) </w:t>
      </w:r>
      <w:proofErr w:type="spellStart"/>
      <w:r>
        <w:rPr>
          <w:rtl/>
        </w:rPr>
        <w:t>و</w:t>
      </w:r>
      <w:r w:rsidRPr="0001288C">
        <w:rPr>
          <w:i/>
          <w:iCs/>
          <w:rtl/>
        </w:rPr>
        <w:t>بوتوفينكو</w:t>
      </w:r>
      <w:proofErr w:type="spellEnd"/>
      <w:r w:rsidRPr="0001288C">
        <w:rPr>
          <w:i/>
          <w:iCs/>
          <w:rtl/>
        </w:rPr>
        <w:t xml:space="preserve"> ضد أوكرانيا</w:t>
      </w:r>
      <w:r>
        <w:rPr>
          <w:rtl/>
        </w:rPr>
        <w:t xml:space="preserve"> </w:t>
      </w:r>
      <w:r w:rsidRPr="003C3E4C">
        <w:rPr>
          <w:rtl/>
        </w:rPr>
        <w:t>(</w:t>
      </w:r>
      <w:r w:rsidRPr="003C3E4C">
        <w:t>CCPR/C/</w:t>
      </w:r>
      <w:r w:rsidRPr="00754C8F">
        <w:rPr>
          <w:szCs w:val="18"/>
        </w:rPr>
        <w:t>102</w:t>
      </w:r>
      <w:r w:rsidRPr="003C3E4C">
        <w:t>/D/</w:t>
      </w:r>
      <w:r w:rsidRPr="00754C8F">
        <w:rPr>
          <w:szCs w:val="18"/>
        </w:rPr>
        <w:t>1412</w:t>
      </w:r>
      <w:r w:rsidRPr="003C3E4C">
        <w:t>/</w:t>
      </w:r>
      <w:r w:rsidRPr="00754C8F">
        <w:rPr>
          <w:szCs w:val="18"/>
        </w:rPr>
        <w:t>2005</w:t>
      </w:r>
      <w:r w:rsidRPr="003C3E4C">
        <w:rPr>
          <w:rtl/>
        </w:rPr>
        <w:t>).</w:t>
      </w:r>
    </w:p>
  </w:footnote>
  <w:footnote w:id="17">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sidRPr="00321AAC">
        <w:rPr>
          <w:rtl/>
        </w:rPr>
        <w:tab/>
        <w:t>انظر</w:t>
      </w:r>
      <w:r>
        <w:rPr>
          <w:rtl/>
        </w:rPr>
        <w:t xml:space="preserve"> المفوضية السامية لحقوق الإنسان، "تقرير عن حالة حقوق الإنسان في أوكرانيا" (</w:t>
      </w:r>
      <w:r w:rsidRPr="00754C8F">
        <w:rPr>
          <w:szCs w:val="18"/>
          <w:rtl/>
        </w:rPr>
        <w:t>15</w:t>
      </w:r>
      <w:r>
        <w:rPr>
          <w:rtl/>
        </w:rPr>
        <w:t xml:space="preserve"> نيسان/</w:t>
      </w:r>
      <w:r>
        <w:rPr>
          <w:rFonts w:hint="cs"/>
          <w:rtl/>
        </w:rPr>
        <w:t xml:space="preserve"> </w:t>
      </w:r>
      <w:r>
        <w:rPr>
          <w:rtl/>
        </w:rPr>
        <w:t>أبريل</w:t>
      </w:r>
      <w:r>
        <w:rPr>
          <w:rFonts w:hint="cs"/>
          <w:rtl/>
        </w:rPr>
        <w:t> </w:t>
      </w:r>
      <w:r w:rsidRPr="00754C8F">
        <w:rPr>
          <w:szCs w:val="18"/>
          <w:rtl/>
        </w:rPr>
        <w:t>2014</w:t>
      </w:r>
      <w:r>
        <w:rPr>
          <w:rtl/>
        </w:rPr>
        <w:t xml:space="preserve">)، الفقرة </w:t>
      </w:r>
      <w:r w:rsidRPr="00754C8F">
        <w:rPr>
          <w:szCs w:val="18"/>
          <w:rtl/>
        </w:rPr>
        <w:t>43</w:t>
      </w:r>
      <w:r>
        <w:rPr>
          <w:rtl/>
        </w:rPr>
        <w:t xml:space="preserve">، </w:t>
      </w:r>
      <w:proofErr w:type="spellStart"/>
      <w:r w:rsidRPr="0001288C">
        <w:rPr>
          <w:i/>
          <w:iCs/>
          <w:rtl/>
        </w:rPr>
        <w:t>زيلودكوفا</w:t>
      </w:r>
      <w:proofErr w:type="spellEnd"/>
      <w:r w:rsidRPr="0001288C">
        <w:rPr>
          <w:i/>
          <w:iCs/>
          <w:rtl/>
        </w:rPr>
        <w:t xml:space="preserve"> ضد أوكرانيا</w:t>
      </w:r>
      <w:r w:rsidRPr="007E0911">
        <w:rPr>
          <w:rFonts w:hint="cs"/>
          <w:rtl/>
        </w:rPr>
        <w:t xml:space="preserve">، الفقرتان </w:t>
      </w:r>
      <w:r w:rsidRPr="00754C8F">
        <w:rPr>
          <w:rFonts w:hint="cs"/>
          <w:szCs w:val="18"/>
          <w:rtl/>
        </w:rPr>
        <w:t>8</w:t>
      </w:r>
      <w:r w:rsidRPr="007E0911">
        <w:rPr>
          <w:rFonts w:hint="cs"/>
          <w:rtl/>
        </w:rPr>
        <w:t>-</w:t>
      </w:r>
      <w:r w:rsidRPr="00754C8F">
        <w:rPr>
          <w:rFonts w:hint="cs"/>
          <w:szCs w:val="18"/>
          <w:rtl/>
        </w:rPr>
        <w:t>2</w:t>
      </w:r>
      <w:r w:rsidRPr="007E0911">
        <w:rPr>
          <w:rFonts w:hint="cs"/>
          <w:rtl/>
        </w:rPr>
        <w:t xml:space="preserve"> و</w:t>
      </w:r>
      <w:r w:rsidRPr="00754C8F">
        <w:rPr>
          <w:rFonts w:hint="cs"/>
          <w:szCs w:val="18"/>
          <w:rtl/>
        </w:rPr>
        <w:t>8</w:t>
      </w:r>
      <w:r w:rsidRPr="007E0911">
        <w:rPr>
          <w:rFonts w:hint="cs"/>
          <w:rtl/>
        </w:rPr>
        <w:t>-</w:t>
      </w:r>
      <w:r w:rsidRPr="00754C8F">
        <w:rPr>
          <w:rFonts w:hint="cs"/>
          <w:szCs w:val="18"/>
          <w:rtl/>
        </w:rPr>
        <w:t>3</w:t>
      </w:r>
      <w:r>
        <w:rPr>
          <w:rFonts w:hint="cs"/>
          <w:rtl/>
        </w:rPr>
        <w:t>.</w:t>
      </w:r>
    </w:p>
  </w:footnote>
  <w:footnote w:id="18">
    <w:p w:rsidR="00754C8F" w:rsidRPr="00330541" w:rsidRDefault="00754C8F" w:rsidP="00754C8F">
      <w:pPr>
        <w:pStyle w:val="FootnoteText1"/>
        <w:rPr>
          <w:rFonts w:hint="cs"/>
          <w:rtl/>
        </w:rPr>
      </w:pPr>
      <w:r w:rsidRPr="00330541">
        <w:rPr>
          <w:rtl/>
        </w:rPr>
        <w:t>(</w:t>
      </w:r>
      <w:r w:rsidRPr="00754C8F">
        <w:rPr>
          <w:rFonts w:cs="Times New Roman"/>
        </w:rPr>
        <w:footnoteRef/>
      </w:r>
      <w:r w:rsidRPr="00330541">
        <w:rPr>
          <w:rtl/>
        </w:rPr>
        <w:t>)</w:t>
      </w:r>
      <w:r>
        <w:rPr>
          <w:rtl/>
        </w:rPr>
        <w:tab/>
        <w:t xml:space="preserve">انظر، مثلاً </w:t>
      </w:r>
      <w:r w:rsidRPr="0001288C">
        <w:rPr>
          <w:lang w:val="en-GB"/>
        </w:rPr>
        <w:t xml:space="preserve">High Court of Justice, Queen’s Bench Decision, </w:t>
      </w:r>
      <w:r w:rsidRPr="0001288C">
        <w:rPr>
          <w:i/>
          <w:lang w:val="en-GB"/>
        </w:rPr>
        <w:t xml:space="preserve">Government of Ukraine v. Igor </w:t>
      </w:r>
      <w:proofErr w:type="spellStart"/>
      <w:r w:rsidRPr="0001288C">
        <w:rPr>
          <w:i/>
          <w:lang w:val="en-GB"/>
        </w:rPr>
        <w:t>Lutsyuk</w:t>
      </w:r>
      <w:proofErr w:type="spellEnd"/>
      <w:r w:rsidRPr="0001288C">
        <w:rPr>
          <w:lang w:val="en-GB"/>
        </w:rPr>
        <w:t xml:space="preserve">, judgment of </w:t>
      </w:r>
      <w:r w:rsidRPr="00754C8F">
        <w:rPr>
          <w:szCs w:val="18"/>
          <w:lang w:val="en-GB"/>
        </w:rPr>
        <w:t>18</w:t>
      </w:r>
      <w:r w:rsidRPr="0001288C">
        <w:rPr>
          <w:lang w:val="en-GB"/>
        </w:rPr>
        <w:t xml:space="preserve"> January </w:t>
      </w:r>
      <w:r w:rsidRPr="00754C8F">
        <w:rPr>
          <w:szCs w:val="18"/>
          <w:lang w:val="en-GB"/>
        </w:rPr>
        <w:t>2013</w:t>
      </w:r>
      <w:r w:rsidRPr="00330541">
        <w:rPr>
          <w:rtl/>
        </w:rPr>
        <w:t>.</w:t>
      </w:r>
    </w:p>
  </w:footnote>
  <w:footnote w:id="19">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sidRPr="00321AAC">
        <w:rPr>
          <w:rtl/>
        </w:rPr>
        <w:tab/>
      </w:r>
      <w:r w:rsidRPr="00330541">
        <w:rPr>
          <w:rtl/>
        </w:rPr>
        <w:t xml:space="preserve">المفوضية السامية لحقوق الإنسان، </w:t>
      </w:r>
      <w:r w:rsidRPr="007E0911">
        <w:rPr>
          <w:i/>
          <w:iCs/>
          <w:rtl/>
        </w:rPr>
        <w:t>"تقرير عن حالة حقوق الإنسان في أوكرانيا"</w:t>
      </w:r>
      <w:r w:rsidRPr="00330541">
        <w:rPr>
          <w:rtl/>
        </w:rPr>
        <w:t xml:space="preserve">، الفقرة </w:t>
      </w:r>
      <w:r w:rsidRPr="00754C8F">
        <w:rPr>
          <w:szCs w:val="18"/>
          <w:rtl/>
        </w:rPr>
        <w:t>45</w:t>
      </w:r>
      <w:r w:rsidRPr="00330541">
        <w:rPr>
          <w:rtl/>
        </w:rPr>
        <w:t xml:space="preserve">. </w:t>
      </w:r>
    </w:p>
  </w:footnote>
  <w:footnote w:id="20">
    <w:p w:rsidR="00754C8F" w:rsidRPr="007902C5" w:rsidRDefault="00754C8F" w:rsidP="00754C8F">
      <w:pPr>
        <w:pStyle w:val="FootnoteText1"/>
        <w:rPr>
          <w:rtl/>
        </w:rPr>
      </w:pPr>
      <w:r w:rsidRPr="00330541">
        <w:rPr>
          <w:rtl/>
        </w:rPr>
        <w:t>(</w:t>
      </w:r>
      <w:r w:rsidRPr="00754C8F">
        <w:rPr>
          <w:rFonts w:cs="Times New Roman"/>
        </w:rPr>
        <w:footnoteRef/>
      </w:r>
      <w:r w:rsidRPr="00330541">
        <w:rPr>
          <w:rtl/>
        </w:rPr>
        <w:t>)</w:t>
      </w:r>
      <w:r w:rsidRPr="00321AAC">
        <w:rPr>
          <w:rtl/>
        </w:rPr>
        <w:tab/>
        <w:t>انظر</w:t>
      </w:r>
      <w:r>
        <w:rPr>
          <w:rtl/>
        </w:rPr>
        <w:t xml:space="preserve"> </w:t>
      </w:r>
      <w:r w:rsidRPr="0001288C">
        <w:rPr>
          <w:i/>
          <w:iCs/>
          <w:rtl/>
        </w:rPr>
        <w:t>ويس ضد أستراليا</w:t>
      </w:r>
      <w:r>
        <w:rPr>
          <w:rtl/>
        </w:rPr>
        <w:t xml:space="preserve"> </w:t>
      </w:r>
      <w:r w:rsidRPr="00321AAC">
        <w:rPr>
          <w:rtl/>
        </w:rPr>
        <w:t>(</w:t>
      </w:r>
      <w:r w:rsidRPr="00321AAC">
        <w:t>CCPR/C/</w:t>
      </w:r>
      <w:r w:rsidRPr="00754C8F">
        <w:rPr>
          <w:szCs w:val="18"/>
        </w:rPr>
        <w:t>77</w:t>
      </w:r>
      <w:r w:rsidRPr="00321AAC">
        <w:t>/D/</w:t>
      </w:r>
      <w:r w:rsidRPr="00754C8F">
        <w:rPr>
          <w:szCs w:val="18"/>
        </w:rPr>
        <w:t>1086</w:t>
      </w:r>
      <w:r w:rsidRPr="00321AAC">
        <w:t>/</w:t>
      </w:r>
      <w:r w:rsidRPr="00754C8F">
        <w:rPr>
          <w:szCs w:val="18"/>
        </w:rPr>
        <w:t>2002</w:t>
      </w:r>
      <w:r w:rsidRPr="00321AAC">
        <w:rPr>
          <w:rtl/>
        </w:rPr>
        <w:t>)</w:t>
      </w:r>
      <w:r w:rsidR="001A58C5">
        <w:rPr>
          <w:rFonts w:hint="cs"/>
          <w:rtl/>
        </w:rPr>
        <w:t>،</w:t>
      </w:r>
      <w:r>
        <w:rPr>
          <w:rtl/>
        </w:rPr>
        <w:t xml:space="preserve"> الفقرة </w:t>
      </w:r>
      <w:r w:rsidRPr="00754C8F">
        <w:rPr>
          <w:szCs w:val="18"/>
          <w:rtl/>
        </w:rPr>
        <w:t>8</w:t>
      </w:r>
      <w:r>
        <w:rPr>
          <w:rtl/>
        </w:rPr>
        <w:t>-</w:t>
      </w:r>
      <w:r w:rsidRPr="00754C8F">
        <w:rPr>
          <w:szCs w:val="18"/>
          <w:rtl/>
        </w:rPr>
        <w:t>3</w:t>
      </w:r>
      <w:r>
        <w:rPr>
          <w:rFonts w:hint="cs"/>
          <w:rtl/>
        </w:rPr>
        <w:t xml:space="preserve">. </w:t>
      </w:r>
    </w:p>
  </w:footnote>
  <w:footnote w:id="21">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تحيل الدولة الطرف هنا إلى المادة </w:t>
      </w:r>
      <w:r w:rsidRPr="00754C8F">
        <w:rPr>
          <w:szCs w:val="18"/>
          <w:rtl/>
        </w:rPr>
        <w:t>696</w:t>
      </w:r>
      <w:r>
        <w:rPr>
          <w:rFonts w:hint="cs"/>
          <w:rtl/>
        </w:rPr>
        <w:t xml:space="preserve"> </w:t>
      </w:r>
      <w:r>
        <w:rPr>
          <w:rtl/>
        </w:rPr>
        <w:t>من قانون الإجراءات الجنائية الإيطالي.</w:t>
      </w:r>
    </w:p>
  </w:footnote>
  <w:footnote w:id="22">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r>
      <w:dir w:val="rtl">
        <w:r>
          <w:rPr>
            <w:rtl/>
          </w:rPr>
          <w:t xml:space="preserve">لا يذكر صاحب البلاغ مصادر هذه </w:t>
        </w:r>
        <w:proofErr w:type="gramStart"/>
        <w:r>
          <w:rPr>
            <w:rtl/>
          </w:rPr>
          <w:t>الاستشهادات.</w:t>
        </w:r>
        <w:r>
          <w:t>‬</w:t>
        </w:r>
        <w:r>
          <w:t>‬</w:t>
        </w:r>
        <w:proofErr w:type="gramEnd"/>
        <w:r>
          <w:t>‬</w:t>
        </w:r>
        <w:r>
          <w:t>‬</w:t>
        </w:r>
      </w:dir>
    </w:p>
  </w:footnote>
  <w:footnote w:id="23">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r>
      <w:r>
        <w:t>CAT/C/UKR/CO/</w:t>
      </w:r>
      <w:r w:rsidRPr="00754C8F">
        <w:rPr>
          <w:szCs w:val="18"/>
        </w:rPr>
        <w:t>6</w:t>
      </w:r>
      <w:r>
        <w:rPr>
          <w:rtl/>
        </w:rPr>
        <w:t>,</w:t>
      </w:r>
      <w:r w:rsidRPr="00330541">
        <w:rPr>
          <w:rtl/>
        </w:rPr>
        <w:t xml:space="preserve">، الفقرة </w:t>
      </w:r>
      <w:r w:rsidRPr="00754C8F">
        <w:rPr>
          <w:szCs w:val="18"/>
          <w:rtl/>
        </w:rPr>
        <w:t>9</w:t>
      </w:r>
    </w:p>
  </w:footnote>
  <w:footnote w:id="24">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المرجع نفسه، </w:t>
      </w:r>
      <w:r>
        <w:rPr>
          <w:rFonts w:hint="cs"/>
          <w:rtl/>
        </w:rPr>
        <w:t>ا</w:t>
      </w:r>
      <w:r>
        <w:rPr>
          <w:rtl/>
        </w:rPr>
        <w:t xml:space="preserve">لفقرتان </w:t>
      </w:r>
      <w:r w:rsidRPr="00754C8F">
        <w:rPr>
          <w:szCs w:val="18"/>
          <w:rtl/>
        </w:rPr>
        <w:t>19</w:t>
      </w:r>
      <w:r>
        <w:rPr>
          <w:rtl/>
        </w:rPr>
        <w:t xml:space="preserve"> و</w:t>
      </w:r>
      <w:r w:rsidRPr="00754C8F">
        <w:rPr>
          <w:szCs w:val="18"/>
          <w:rtl/>
        </w:rPr>
        <w:t>22</w:t>
      </w:r>
      <w:r>
        <w:rPr>
          <w:rtl/>
        </w:rPr>
        <w:t>.</w:t>
      </w:r>
    </w:p>
  </w:footnote>
  <w:footnote w:id="25">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انظر </w:t>
      </w:r>
      <w:proofErr w:type="spellStart"/>
      <w:r w:rsidRPr="0001288C">
        <w:rPr>
          <w:i/>
          <w:iCs/>
          <w:rtl/>
        </w:rPr>
        <w:t>بوستوفويت</w:t>
      </w:r>
      <w:proofErr w:type="spellEnd"/>
      <w:r w:rsidRPr="0001288C">
        <w:rPr>
          <w:i/>
          <w:iCs/>
          <w:rtl/>
        </w:rPr>
        <w:t xml:space="preserve"> ضد أوكرانيا</w:t>
      </w:r>
      <w:r w:rsidRPr="00C95A42">
        <w:rPr>
          <w:rtl/>
        </w:rPr>
        <w:t xml:space="preserve"> </w:t>
      </w:r>
      <w:r>
        <w:rPr>
          <w:rtl/>
        </w:rPr>
        <w:t>(</w:t>
      </w:r>
      <w:r>
        <w:t>CCPR/C/</w:t>
      </w:r>
      <w:r w:rsidRPr="00754C8F">
        <w:rPr>
          <w:szCs w:val="18"/>
        </w:rPr>
        <w:t>110</w:t>
      </w:r>
      <w:r>
        <w:t>/D/</w:t>
      </w:r>
      <w:r w:rsidRPr="00754C8F">
        <w:rPr>
          <w:szCs w:val="18"/>
        </w:rPr>
        <w:t>1405</w:t>
      </w:r>
      <w:r>
        <w:t>/</w:t>
      </w:r>
      <w:r w:rsidRPr="00754C8F">
        <w:rPr>
          <w:szCs w:val="18"/>
        </w:rPr>
        <w:t>2005</w:t>
      </w:r>
      <w:r>
        <w:rPr>
          <w:rtl/>
        </w:rPr>
        <w:t xml:space="preserve">)، الفقرة </w:t>
      </w:r>
      <w:r w:rsidRPr="00754C8F">
        <w:rPr>
          <w:rFonts w:hint="cs"/>
          <w:szCs w:val="18"/>
          <w:rtl/>
        </w:rPr>
        <w:t>11</w:t>
      </w:r>
      <w:r>
        <w:rPr>
          <w:rtl/>
        </w:rPr>
        <w:t xml:space="preserve"> بشأن الفقرتين </w:t>
      </w:r>
      <w:r w:rsidRPr="00754C8F">
        <w:rPr>
          <w:szCs w:val="18"/>
          <w:rtl/>
        </w:rPr>
        <w:t>2</w:t>
      </w:r>
      <w:r>
        <w:rPr>
          <w:rtl/>
        </w:rPr>
        <w:t>-</w:t>
      </w:r>
      <w:r w:rsidRPr="00754C8F">
        <w:rPr>
          <w:szCs w:val="18"/>
          <w:rtl/>
        </w:rPr>
        <w:t>6</w:t>
      </w:r>
      <w:r>
        <w:rPr>
          <w:rtl/>
        </w:rPr>
        <w:t xml:space="preserve"> و</w:t>
      </w:r>
      <w:r w:rsidRPr="00754C8F">
        <w:rPr>
          <w:szCs w:val="18"/>
          <w:rtl/>
        </w:rPr>
        <w:t>2</w:t>
      </w:r>
      <w:r>
        <w:rPr>
          <w:rtl/>
        </w:rPr>
        <w:t>-</w:t>
      </w:r>
      <w:r w:rsidRPr="00754C8F">
        <w:rPr>
          <w:szCs w:val="18"/>
          <w:rtl/>
        </w:rPr>
        <w:t>7</w:t>
      </w:r>
      <w:r>
        <w:rPr>
          <w:rtl/>
        </w:rPr>
        <w:t>.</w:t>
      </w:r>
    </w:p>
  </w:footnote>
  <w:footnote w:id="26">
    <w:p w:rsidR="00754C8F" w:rsidRPr="00C95A42" w:rsidRDefault="00754C8F" w:rsidP="00754C8F">
      <w:pPr>
        <w:pStyle w:val="FootnoteText1"/>
        <w:rPr>
          <w:rtl/>
        </w:rPr>
      </w:pPr>
      <w:r w:rsidRPr="00330541">
        <w:rPr>
          <w:rtl/>
        </w:rPr>
        <w:t>(</w:t>
      </w:r>
      <w:r w:rsidRPr="00754C8F">
        <w:rPr>
          <w:rFonts w:cs="Times New Roman"/>
        </w:rPr>
        <w:footnoteRef/>
      </w:r>
      <w:r w:rsidRPr="00330541">
        <w:rPr>
          <w:rtl/>
        </w:rPr>
        <w:t>)</w:t>
      </w:r>
      <w:r w:rsidRPr="00321AAC">
        <w:rPr>
          <w:rtl/>
        </w:rPr>
        <w:tab/>
        <w:t xml:space="preserve">انظر قضية </w:t>
      </w:r>
      <w:r w:rsidRPr="0001288C">
        <w:rPr>
          <w:i/>
          <w:iCs/>
          <w:rtl/>
        </w:rPr>
        <w:t>عرَّاس ضد إسبانيا</w:t>
      </w:r>
      <w:r w:rsidRPr="00321AAC">
        <w:rPr>
          <w:rtl/>
        </w:rPr>
        <w:t xml:space="preserve"> (</w:t>
      </w:r>
      <w:r w:rsidRPr="00321AAC">
        <w:t>CCPR/C/</w:t>
      </w:r>
      <w:r w:rsidRPr="00754C8F">
        <w:rPr>
          <w:szCs w:val="18"/>
        </w:rPr>
        <w:t>111</w:t>
      </w:r>
      <w:r w:rsidRPr="00321AAC">
        <w:t>/D/</w:t>
      </w:r>
      <w:r w:rsidRPr="00754C8F">
        <w:rPr>
          <w:szCs w:val="18"/>
        </w:rPr>
        <w:t>2008</w:t>
      </w:r>
      <w:r w:rsidRPr="00321AAC">
        <w:t>/</w:t>
      </w:r>
      <w:r w:rsidRPr="00754C8F">
        <w:rPr>
          <w:szCs w:val="18"/>
        </w:rPr>
        <w:t>2010</w:t>
      </w:r>
      <w:r w:rsidRPr="00321AAC">
        <w:rPr>
          <w:rtl/>
        </w:rPr>
        <w:t xml:space="preserve">)، الفقرة </w:t>
      </w:r>
      <w:r w:rsidRPr="00754C8F">
        <w:rPr>
          <w:szCs w:val="18"/>
          <w:rtl/>
        </w:rPr>
        <w:t>10</w:t>
      </w:r>
      <w:r w:rsidRPr="00321AAC">
        <w:rPr>
          <w:rtl/>
        </w:rPr>
        <w:t>-</w:t>
      </w:r>
      <w:r w:rsidRPr="00754C8F">
        <w:rPr>
          <w:szCs w:val="18"/>
          <w:rtl/>
        </w:rPr>
        <w:t>3</w:t>
      </w:r>
      <w:r w:rsidRPr="00321AAC">
        <w:rPr>
          <w:rtl/>
        </w:rPr>
        <w:t>. تشترك في الرأي نفسه لجنة مناهضة التعذيب: انظر</w:t>
      </w:r>
      <w:r>
        <w:rPr>
          <w:rtl/>
        </w:rPr>
        <w:t xml:space="preserve"> </w:t>
      </w:r>
      <w:r w:rsidRPr="0001288C">
        <w:rPr>
          <w:i/>
          <w:iCs/>
          <w:rtl/>
        </w:rPr>
        <w:t>فلان ضد كازاخستان</w:t>
      </w:r>
      <w:r>
        <w:rPr>
          <w:rtl/>
        </w:rPr>
        <w:t xml:space="preserve"> </w:t>
      </w:r>
      <w:r w:rsidRPr="00AA1AE7">
        <w:rPr>
          <w:rtl/>
        </w:rPr>
        <w:t>(</w:t>
      </w:r>
      <w:r w:rsidRPr="00AA1AE7">
        <w:t>CAT/C/</w:t>
      </w:r>
      <w:r w:rsidRPr="00754C8F">
        <w:rPr>
          <w:szCs w:val="18"/>
        </w:rPr>
        <w:t>55</w:t>
      </w:r>
      <w:r w:rsidRPr="00AA1AE7">
        <w:t>/D/</w:t>
      </w:r>
      <w:r w:rsidRPr="00754C8F">
        <w:rPr>
          <w:szCs w:val="18"/>
        </w:rPr>
        <w:t>554</w:t>
      </w:r>
      <w:r w:rsidRPr="00AA1AE7">
        <w:t>/</w:t>
      </w:r>
      <w:r w:rsidRPr="00754C8F">
        <w:rPr>
          <w:szCs w:val="18"/>
        </w:rPr>
        <w:t>2013</w:t>
      </w:r>
      <w:r>
        <w:t> and Corr.</w:t>
      </w:r>
      <w:r w:rsidRPr="00754C8F">
        <w:rPr>
          <w:szCs w:val="18"/>
        </w:rPr>
        <w:t>1</w:t>
      </w:r>
      <w:r w:rsidRPr="00AA1AE7">
        <w:rPr>
          <w:rtl/>
        </w:rPr>
        <w:t>)</w:t>
      </w:r>
      <w:r w:rsidR="001A58C5">
        <w:rPr>
          <w:rFonts w:hint="cs"/>
          <w:rtl/>
        </w:rPr>
        <w:t>،</w:t>
      </w:r>
      <w:r>
        <w:rPr>
          <w:rtl/>
        </w:rPr>
        <w:t xml:space="preserve"> الفقرة </w:t>
      </w:r>
      <w:r w:rsidRPr="00754C8F">
        <w:rPr>
          <w:szCs w:val="18"/>
          <w:rtl/>
        </w:rPr>
        <w:t>12</w:t>
      </w:r>
      <w:r>
        <w:rPr>
          <w:rtl/>
        </w:rPr>
        <w:t>-</w:t>
      </w:r>
      <w:r w:rsidRPr="00754C8F">
        <w:rPr>
          <w:szCs w:val="18"/>
          <w:rtl/>
        </w:rPr>
        <w:t>7</w:t>
      </w:r>
      <w:r>
        <w:rPr>
          <w:rtl/>
        </w:rPr>
        <w:t xml:space="preserve">، </w:t>
      </w:r>
      <w:proofErr w:type="spellStart"/>
      <w:r>
        <w:rPr>
          <w:rtl/>
        </w:rPr>
        <w:t>و</w:t>
      </w:r>
      <w:r w:rsidRPr="006B01AA">
        <w:rPr>
          <w:i/>
          <w:iCs/>
          <w:rtl/>
        </w:rPr>
        <w:t>تيرسنوف</w:t>
      </w:r>
      <w:proofErr w:type="spellEnd"/>
      <w:r w:rsidRPr="006B01AA">
        <w:rPr>
          <w:i/>
          <w:iCs/>
          <w:rtl/>
        </w:rPr>
        <w:t xml:space="preserve"> ضد كازاخستان</w:t>
      </w:r>
      <w:r>
        <w:rPr>
          <w:rtl/>
        </w:rPr>
        <w:t xml:space="preserve"> </w:t>
      </w:r>
      <w:r w:rsidRPr="00AA1AE7">
        <w:rPr>
          <w:rtl/>
        </w:rPr>
        <w:t>(</w:t>
      </w:r>
      <w:r w:rsidRPr="00AA1AE7">
        <w:t>CAT/C/</w:t>
      </w:r>
      <w:r w:rsidRPr="00754C8F">
        <w:rPr>
          <w:szCs w:val="18"/>
        </w:rPr>
        <w:t>54</w:t>
      </w:r>
      <w:r w:rsidRPr="00AA1AE7">
        <w:t>/D/</w:t>
      </w:r>
      <w:r w:rsidRPr="00754C8F">
        <w:rPr>
          <w:szCs w:val="18"/>
        </w:rPr>
        <w:t>538</w:t>
      </w:r>
      <w:r w:rsidRPr="00AA1AE7">
        <w:t>/</w:t>
      </w:r>
      <w:r w:rsidRPr="00754C8F">
        <w:rPr>
          <w:szCs w:val="18"/>
        </w:rPr>
        <w:t>2013</w:t>
      </w:r>
      <w:r w:rsidRPr="00AA1AE7">
        <w:rPr>
          <w:rtl/>
        </w:rPr>
        <w:t>)</w:t>
      </w:r>
      <w:r>
        <w:rPr>
          <w:rtl/>
        </w:rPr>
        <w:t xml:space="preserve">، الفقرة </w:t>
      </w:r>
      <w:r w:rsidRPr="00754C8F">
        <w:rPr>
          <w:szCs w:val="18"/>
          <w:rtl/>
        </w:rPr>
        <w:t>9</w:t>
      </w:r>
      <w:r>
        <w:rPr>
          <w:rtl/>
        </w:rPr>
        <w:t>-</w:t>
      </w:r>
      <w:r w:rsidRPr="00754C8F">
        <w:rPr>
          <w:szCs w:val="18"/>
          <w:rtl/>
        </w:rPr>
        <w:t>9</w:t>
      </w:r>
      <w:r>
        <w:rPr>
          <w:rtl/>
        </w:rPr>
        <w:t xml:space="preserve">. </w:t>
      </w:r>
    </w:p>
  </w:footnote>
  <w:footnote w:id="27">
    <w:p w:rsidR="00754C8F" w:rsidRPr="006B01AA" w:rsidRDefault="00754C8F" w:rsidP="00754C8F">
      <w:pPr>
        <w:pStyle w:val="FootnoteText1"/>
        <w:rPr>
          <w:rtl/>
        </w:rPr>
      </w:pPr>
      <w:r w:rsidRPr="006B01AA">
        <w:rPr>
          <w:spacing w:val="-3"/>
          <w:rtl/>
        </w:rPr>
        <w:t>(</w:t>
      </w:r>
      <w:r w:rsidRPr="00754C8F">
        <w:rPr>
          <w:rFonts w:cs="Times New Roman"/>
          <w:spacing w:val="-3"/>
        </w:rPr>
        <w:footnoteRef/>
      </w:r>
      <w:r w:rsidRPr="006B01AA">
        <w:rPr>
          <w:spacing w:val="-3"/>
          <w:rtl/>
        </w:rPr>
        <w:t>)</w:t>
      </w:r>
      <w:r w:rsidRPr="006B01AA">
        <w:rPr>
          <w:spacing w:val="-3"/>
          <w:rtl/>
        </w:rPr>
        <w:tab/>
        <w:t xml:space="preserve">انظر، مع مراعاة ما يقتضيه اختلاف الحال، قضية </w:t>
      </w:r>
      <w:proofErr w:type="spellStart"/>
      <w:r w:rsidRPr="006B01AA">
        <w:rPr>
          <w:i/>
          <w:iCs/>
          <w:spacing w:val="-3"/>
          <w:rtl/>
        </w:rPr>
        <w:t>فاليتوف</w:t>
      </w:r>
      <w:proofErr w:type="spellEnd"/>
      <w:r w:rsidRPr="006B01AA">
        <w:rPr>
          <w:i/>
          <w:iCs/>
          <w:spacing w:val="-3"/>
          <w:rtl/>
        </w:rPr>
        <w:t xml:space="preserve"> ضد كازاخستان</w:t>
      </w:r>
      <w:r w:rsidRPr="006B01AA">
        <w:rPr>
          <w:spacing w:val="-3"/>
          <w:rtl/>
        </w:rPr>
        <w:t xml:space="preserve"> الفقرات </w:t>
      </w:r>
      <w:r w:rsidRPr="00754C8F">
        <w:rPr>
          <w:spacing w:val="-3"/>
          <w:szCs w:val="18"/>
          <w:rtl/>
        </w:rPr>
        <w:t>14</w:t>
      </w:r>
      <w:r w:rsidRPr="006B01AA">
        <w:rPr>
          <w:spacing w:val="-3"/>
          <w:rtl/>
        </w:rPr>
        <w:t>-</w:t>
      </w:r>
      <w:r w:rsidRPr="00754C8F">
        <w:rPr>
          <w:spacing w:val="-3"/>
          <w:szCs w:val="18"/>
          <w:rtl/>
        </w:rPr>
        <w:t>2</w:t>
      </w:r>
      <w:r w:rsidRPr="006B01AA">
        <w:rPr>
          <w:spacing w:val="-3"/>
          <w:rtl/>
        </w:rPr>
        <w:t xml:space="preserve"> و</w:t>
      </w:r>
      <w:r w:rsidRPr="00754C8F">
        <w:rPr>
          <w:spacing w:val="-3"/>
          <w:szCs w:val="18"/>
          <w:rtl/>
        </w:rPr>
        <w:t>14</w:t>
      </w:r>
      <w:r w:rsidRPr="006B01AA">
        <w:rPr>
          <w:spacing w:val="-3"/>
          <w:rtl/>
        </w:rPr>
        <w:t>-</w:t>
      </w:r>
      <w:r w:rsidRPr="00754C8F">
        <w:rPr>
          <w:spacing w:val="-3"/>
          <w:szCs w:val="18"/>
          <w:rtl/>
        </w:rPr>
        <w:t>3</w:t>
      </w:r>
      <w:r w:rsidRPr="006B01AA">
        <w:rPr>
          <w:spacing w:val="-3"/>
          <w:rtl/>
        </w:rPr>
        <w:t xml:space="preserve"> و</w:t>
      </w:r>
      <w:r w:rsidRPr="00754C8F">
        <w:rPr>
          <w:spacing w:val="-3"/>
          <w:szCs w:val="18"/>
          <w:rtl/>
        </w:rPr>
        <w:t>14</w:t>
      </w:r>
      <w:r w:rsidRPr="006B01AA">
        <w:rPr>
          <w:spacing w:val="-3"/>
          <w:rtl/>
        </w:rPr>
        <w:t>-</w:t>
      </w:r>
      <w:r w:rsidRPr="00754C8F">
        <w:rPr>
          <w:spacing w:val="-3"/>
          <w:szCs w:val="18"/>
          <w:rtl/>
        </w:rPr>
        <w:t>6</w:t>
      </w:r>
      <w:r w:rsidRPr="006B01AA">
        <w:rPr>
          <w:spacing w:val="-3"/>
          <w:rtl/>
        </w:rPr>
        <w:t>.</w:t>
      </w:r>
    </w:p>
  </w:footnote>
  <w:footnote w:id="28">
    <w:p w:rsidR="00754C8F" w:rsidRPr="000E7407" w:rsidRDefault="00754C8F" w:rsidP="00754C8F">
      <w:pPr>
        <w:pStyle w:val="FootnoteText1"/>
      </w:pPr>
      <w:r w:rsidRPr="00330541">
        <w:rPr>
          <w:rtl/>
        </w:rPr>
        <w:t>(</w:t>
      </w:r>
      <w:r w:rsidRPr="00754C8F">
        <w:rPr>
          <w:rFonts w:cs="Times New Roman"/>
        </w:rPr>
        <w:footnoteRef/>
      </w:r>
      <w:r w:rsidRPr="00330541">
        <w:rPr>
          <w:rtl/>
        </w:rPr>
        <w:t>)</w:t>
      </w:r>
      <w:r>
        <w:rPr>
          <w:rtl/>
        </w:rPr>
        <w:tab/>
      </w:r>
      <w:r w:rsidRPr="00330541">
        <w:rPr>
          <w:rtl/>
        </w:rPr>
        <w:t xml:space="preserve">انظر: المحكمة الأوروبية لحقوق الإنسان، قضية </w:t>
      </w:r>
      <w:r w:rsidRPr="00CD3C33">
        <w:rPr>
          <w:i/>
          <w:iCs/>
          <w:rtl/>
        </w:rPr>
        <w:t>سعدي ضد إيطاليا</w:t>
      </w:r>
      <w:r w:rsidRPr="00330541">
        <w:rPr>
          <w:rtl/>
        </w:rPr>
        <w:t xml:space="preserve">، الطلب رقم </w:t>
      </w:r>
      <w:r w:rsidRPr="00754C8F">
        <w:rPr>
          <w:szCs w:val="18"/>
          <w:rtl/>
        </w:rPr>
        <w:t>37201</w:t>
      </w:r>
      <w:r w:rsidRPr="00330541">
        <w:rPr>
          <w:rtl/>
        </w:rPr>
        <w:t>/</w:t>
      </w:r>
      <w:r w:rsidRPr="00754C8F">
        <w:rPr>
          <w:szCs w:val="18"/>
          <w:rtl/>
        </w:rPr>
        <w:t>06</w:t>
      </w:r>
      <w:r w:rsidRPr="00330541">
        <w:rPr>
          <w:rtl/>
        </w:rPr>
        <w:t>، الحكم الصادر في</w:t>
      </w:r>
      <w:r w:rsidR="001A58C5">
        <w:rPr>
          <w:rFonts w:hint="cs"/>
          <w:rtl/>
        </w:rPr>
        <w:t> </w:t>
      </w:r>
      <w:r w:rsidRPr="00754C8F">
        <w:rPr>
          <w:szCs w:val="18"/>
          <w:rtl/>
        </w:rPr>
        <w:t>28</w:t>
      </w:r>
      <w:r w:rsidR="001A58C5">
        <w:rPr>
          <w:rFonts w:hint="cs"/>
          <w:rtl/>
        </w:rPr>
        <w:t xml:space="preserve"> شباط</w:t>
      </w:r>
      <w:r w:rsidRPr="00330541">
        <w:rPr>
          <w:rtl/>
        </w:rPr>
        <w:t xml:space="preserve">/فبراير </w:t>
      </w:r>
      <w:r w:rsidRPr="00754C8F">
        <w:rPr>
          <w:szCs w:val="18"/>
          <w:rtl/>
        </w:rPr>
        <w:t>2008</w:t>
      </w:r>
      <w:r>
        <w:rPr>
          <w:rtl/>
        </w:rPr>
        <w:t xml:space="preserve">، الفقرتان </w:t>
      </w:r>
      <w:r w:rsidRPr="00754C8F">
        <w:rPr>
          <w:szCs w:val="18"/>
          <w:rtl/>
        </w:rPr>
        <w:t>52</w:t>
      </w:r>
      <w:r>
        <w:rPr>
          <w:rtl/>
        </w:rPr>
        <w:t xml:space="preserve"> </w:t>
      </w:r>
      <w:proofErr w:type="spellStart"/>
      <w:r>
        <w:rPr>
          <w:rtl/>
        </w:rPr>
        <w:t>و</w:t>
      </w:r>
      <w:r w:rsidRPr="00754C8F">
        <w:rPr>
          <w:szCs w:val="18"/>
          <w:rtl/>
        </w:rPr>
        <w:t>116</w:t>
      </w:r>
      <w:proofErr w:type="spellEnd"/>
      <w:r>
        <w:rPr>
          <w:rtl/>
        </w:rPr>
        <w:t>.</w:t>
      </w:r>
      <w:r w:rsidR="001A58C5">
        <w:rPr>
          <w:rFonts w:hint="cs"/>
          <w:rtl/>
        </w:rPr>
        <w:t xml:space="preserve"> </w:t>
      </w:r>
    </w:p>
  </w:footnote>
  <w:footnote w:id="29">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انظر </w:t>
      </w:r>
      <w:r w:rsidRPr="00CD3C33">
        <w:rPr>
          <w:i/>
          <w:iCs/>
          <w:rtl/>
        </w:rPr>
        <w:t xml:space="preserve">قضية </w:t>
      </w:r>
      <w:proofErr w:type="spellStart"/>
      <w:r w:rsidRPr="00CD3C33">
        <w:rPr>
          <w:i/>
          <w:iCs/>
          <w:rtl/>
        </w:rPr>
        <w:t>الزيري</w:t>
      </w:r>
      <w:proofErr w:type="spellEnd"/>
      <w:r w:rsidRPr="00CD3C33">
        <w:rPr>
          <w:i/>
          <w:iCs/>
          <w:rtl/>
        </w:rPr>
        <w:t xml:space="preserve"> ضد السويد</w:t>
      </w:r>
      <w:r>
        <w:rPr>
          <w:rtl/>
        </w:rPr>
        <w:t xml:space="preserve"> (</w:t>
      </w:r>
      <w:r>
        <w:t>CCPR/C/</w:t>
      </w:r>
      <w:r w:rsidRPr="00754C8F">
        <w:rPr>
          <w:szCs w:val="18"/>
        </w:rPr>
        <w:t>88</w:t>
      </w:r>
      <w:r>
        <w:t>/D/</w:t>
      </w:r>
      <w:r w:rsidRPr="00754C8F">
        <w:rPr>
          <w:szCs w:val="18"/>
        </w:rPr>
        <w:t>1416</w:t>
      </w:r>
      <w:r>
        <w:t>/</w:t>
      </w:r>
      <w:r w:rsidRPr="00754C8F">
        <w:rPr>
          <w:szCs w:val="18"/>
        </w:rPr>
        <w:t>2005</w:t>
      </w:r>
      <w:r>
        <w:rPr>
          <w:rtl/>
        </w:rPr>
        <w:t xml:space="preserve">)، الفقرة </w:t>
      </w:r>
      <w:r w:rsidRPr="00754C8F">
        <w:rPr>
          <w:szCs w:val="18"/>
          <w:rtl/>
        </w:rPr>
        <w:t>11</w:t>
      </w:r>
      <w:r>
        <w:rPr>
          <w:rtl/>
        </w:rPr>
        <w:t>-</w:t>
      </w:r>
      <w:r w:rsidRPr="00754C8F">
        <w:rPr>
          <w:szCs w:val="18"/>
          <w:rtl/>
        </w:rPr>
        <w:t>5</w:t>
      </w:r>
      <w:r>
        <w:rPr>
          <w:rtl/>
        </w:rPr>
        <w:t xml:space="preserve">. انظر أيضاً لجنة مناهضة التعذيب، قضية </w:t>
      </w:r>
      <w:r w:rsidRPr="00CD3C33">
        <w:rPr>
          <w:i/>
          <w:iCs/>
          <w:rtl/>
        </w:rPr>
        <w:t>عجيزة ضد السويد</w:t>
      </w:r>
      <w:r>
        <w:rPr>
          <w:rtl/>
        </w:rPr>
        <w:t xml:space="preserve"> (</w:t>
      </w:r>
      <w:r>
        <w:t>CAT/C/</w:t>
      </w:r>
      <w:r w:rsidRPr="00754C8F">
        <w:rPr>
          <w:szCs w:val="18"/>
        </w:rPr>
        <w:t>34</w:t>
      </w:r>
      <w:r>
        <w:t>/D/</w:t>
      </w:r>
      <w:r w:rsidRPr="00754C8F">
        <w:rPr>
          <w:szCs w:val="18"/>
        </w:rPr>
        <w:t>233</w:t>
      </w:r>
      <w:r>
        <w:t>/</w:t>
      </w:r>
      <w:r w:rsidRPr="00754C8F">
        <w:rPr>
          <w:szCs w:val="18"/>
        </w:rPr>
        <w:t>2003</w:t>
      </w:r>
      <w:r>
        <w:rPr>
          <w:rtl/>
        </w:rPr>
        <w:t xml:space="preserve">)، الفقرتان </w:t>
      </w:r>
      <w:r w:rsidRPr="00754C8F">
        <w:rPr>
          <w:szCs w:val="18"/>
          <w:rtl/>
        </w:rPr>
        <w:t>13</w:t>
      </w:r>
      <w:r>
        <w:rPr>
          <w:rtl/>
        </w:rPr>
        <w:t>-</w:t>
      </w:r>
      <w:r w:rsidRPr="00754C8F">
        <w:rPr>
          <w:szCs w:val="18"/>
          <w:rtl/>
        </w:rPr>
        <w:t>4</w:t>
      </w:r>
      <w:r>
        <w:rPr>
          <w:rtl/>
        </w:rPr>
        <w:t xml:space="preserve"> و</w:t>
      </w:r>
      <w:r w:rsidRPr="00754C8F">
        <w:rPr>
          <w:szCs w:val="18"/>
          <w:rtl/>
        </w:rPr>
        <w:t>13</w:t>
      </w:r>
      <w:r>
        <w:rPr>
          <w:rtl/>
        </w:rPr>
        <w:t>-</w:t>
      </w:r>
      <w:r w:rsidRPr="00754C8F">
        <w:rPr>
          <w:szCs w:val="18"/>
          <w:rtl/>
        </w:rPr>
        <w:t>5</w:t>
      </w:r>
      <w:r>
        <w:rPr>
          <w:rtl/>
        </w:rPr>
        <w:t>.</w:t>
      </w:r>
    </w:p>
  </w:footnote>
  <w:footnote w:id="30">
    <w:p w:rsidR="00754C8F" w:rsidRPr="00D67799" w:rsidRDefault="00754C8F" w:rsidP="00754C8F">
      <w:pPr>
        <w:pStyle w:val="FootnoteText1"/>
        <w:rPr>
          <w:spacing w:val="-2"/>
          <w:rtl/>
        </w:rPr>
      </w:pPr>
      <w:r w:rsidRPr="00D67799">
        <w:rPr>
          <w:spacing w:val="-2"/>
          <w:rtl/>
        </w:rPr>
        <w:t>(</w:t>
      </w:r>
      <w:r w:rsidRPr="00D67799">
        <w:rPr>
          <w:rFonts w:cs="Times New Roman"/>
          <w:spacing w:val="-2"/>
        </w:rPr>
        <w:footnoteRef/>
      </w:r>
      <w:r w:rsidRPr="00D67799">
        <w:rPr>
          <w:spacing w:val="-2"/>
          <w:rtl/>
        </w:rPr>
        <w:t>)</w:t>
      </w:r>
      <w:r w:rsidRPr="00D67799">
        <w:rPr>
          <w:spacing w:val="-2"/>
          <w:rtl/>
        </w:rPr>
        <w:tab/>
        <w:t xml:space="preserve">دون الإشارة إلى صفحات محددة، تستشهد الدولة الطرف بنصوص من </w:t>
      </w:r>
      <w:r w:rsidRPr="00D67799">
        <w:rPr>
          <w:spacing w:val="-2"/>
          <w:lang w:val="en-GB"/>
        </w:rPr>
        <w:t xml:space="preserve">Helen Keller and Cedric Marti, “Interim relief compared: use of interim measures by the UN Human Rights Committee and the European Court of Human </w:t>
      </w:r>
      <w:proofErr w:type="gramStart"/>
      <w:r w:rsidRPr="00D67799">
        <w:rPr>
          <w:spacing w:val="-2"/>
          <w:lang w:val="en-GB"/>
        </w:rPr>
        <w:t>Rights”,</w:t>
      </w:r>
      <w:proofErr w:type="gramEnd"/>
      <w:r w:rsidRPr="00D67799">
        <w:rPr>
          <w:spacing w:val="-2"/>
          <w:lang w:val="en-GB"/>
        </w:rPr>
        <w:t xml:space="preserve"> </w:t>
      </w:r>
      <w:proofErr w:type="spellStart"/>
      <w:r w:rsidRPr="00D67799">
        <w:rPr>
          <w:i/>
          <w:spacing w:val="-2"/>
          <w:lang w:val="en-GB"/>
        </w:rPr>
        <w:t>Zeitschrift</w:t>
      </w:r>
      <w:proofErr w:type="spellEnd"/>
      <w:r w:rsidRPr="00D67799">
        <w:rPr>
          <w:i/>
          <w:spacing w:val="-2"/>
          <w:lang w:val="en-GB"/>
        </w:rPr>
        <w:t xml:space="preserve"> </w:t>
      </w:r>
      <w:proofErr w:type="spellStart"/>
      <w:r w:rsidRPr="00D67799">
        <w:rPr>
          <w:i/>
          <w:spacing w:val="-2"/>
          <w:lang w:val="en-GB"/>
        </w:rPr>
        <w:t>für</w:t>
      </w:r>
      <w:proofErr w:type="spellEnd"/>
      <w:r w:rsidRPr="00D67799">
        <w:rPr>
          <w:i/>
          <w:spacing w:val="-2"/>
          <w:lang w:val="en-GB"/>
        </w:rPr>
        <w:t xml:space="preserve"> </w:t>
      </w:r>
      <w:proofErr w:type="spellStart"/>
      <w:r w:rsidRPr="00D67799">
        <w:rPr>
          <w:i/>
          <w:spacing w:val="-2"/>
          <w:lang w:val="en-GB"/>
        </w:rPr>
        <w:t>ausländisches</w:t>
      </w:r>
      <w:proofErr w:type="spellEnd"/>
      <w:r w:rsidRPr="00D67799">
        <w:rPr>
          <w:i/>
          <w:spacing w:val="-2"/>
          <w:lang w:val="en-GB"/>
        </w:rPr>
        <w:t xml:space="preserve"> </w:t>
      </w:r>
      <w:proofErr w:type="spellStart"/>
      <w:r w:rsidRPr="00D67799">
        <w:rPr>
          <w:i/>
          <w:spacing w:val="-2"/>
          <w:lang w:val="en-GB"/>
        </w:rPr>
        <w:t>öffentliches</w:t>
      </w:r>
      <w:proofErr w:type="spellEnd"/>
      <w:r w:rsidRPr="00D67799">
        <w:rPr>
          <w:i/>
          <w:spacing w:val="-2"/>
          <w:lang w:val="en-GB"/>
        </w:rPr>
        <w:t xml:space="preserve"> </w:t>
      </w:r>
      <w:proofErr w:type="spellStart"/>
      <w:r w:rsidRPr="00D67799">
        <w:rPr>
          <w:i/>
          <w:spacing w:val="-2"/>
          <w:lang w:val="en-GB"/>
        </w:rPr>
        <w:t>Recht</w:t>
      </w:r>
      <w:proofErr w:type="spellEnd"/>
      <w:r w:rsidRPr="00D67799">
        <w:rPr>
          <w:i/>
          <w:spacing w:val="-2"/>
          <w:lang w:val="en-GB"/>
        </w:rPr>
        <w:t xml:space="preserve"> und </w:t>
      </w:r>
      <w:proofErr w:type="spellStart"/>
      <w:r w:rsidRPr="00D67799">
        <w:rPr>
          <w:i/>
          <w:spacing w:val="-2"/>
          <w:lang w:val="en-GB"/>
        </w:rPr>
        <w:t>Völkerrecht</w:t>
      </w:r>
      <w:proofErr w:type="spellEnd"/>
      <w:r w:rsidRPr="00D67799">
        <w:rPr>
          <w:spacing w:val="-2"/>
          <w:lang w:val="en-GB"/>
        </w:rPr>
        <w:t xml:space="preserve">, vol. </w:t>
      </w:r>
      <w:r w:rsidRPr="00D67799">
        <w:rPr>
          <w:spacing w:val="-2"/>
          <w:szCs w:val="18"/>
          <w:lang w:val="en-GB"/>
        </w:rPr>
        <w:t>73</w:t>
      </w:r>
      <w:r w:rsidRPr="00D67799">
        <w:rPr>
          <w:spacing w:val="-2"/>
          <w:lang w:val="en-GB"/>
        </w:rPr>
        <w:t xml:space="preserve"> (</w:t>
      </w:r>
      <w:r w:rsidRPr="00D67799">
        <w:rPr>
          <w:spacing w:val="-2"/>
          <w:szCs w:val="18"/>
          <w:lang w:val="en-GB"/>
        </w:rPr>
        <w:t>2013</w:t>
      </w:r>
      <w:r w:rsidRPr="00D67799">
        <w:rPr>
          <w:spacing w:val="-2"/>
          <w:lang w:val="en-GB"/>
        </w:rPr>
        <w:t>)</w:t>
      </w:r>
      <w:r w:rsidRPr="00D67799">
        <w:rPr>
          <w:spacing w:val="-2"/>
          <w:rtl/>
        </w:rPr>
        <w:t>.</w:t>
      </w:r>
    </w:p>
  </w:footnote>
  <w:footnote w:id="31">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 xml:space="preserve">على سبيل المثال، عندما يُشار إلى قضية تتعلق بالحالة في السجون الأوكرانية </w:t>
      </w:r>
      <w:r>
        <w:rPr>
          <w:rFonts w:hint="cs"/>
          <w:rtl/>
        </w:rPr>
        <w:t>-</w:t>
      </w:r>
      <w:r>
        <w:rPr>
          <w:rtl/>
        </w:rPr>
        <w:t xml:space="preserve"> على النحو الذي نظرته المحكمة الأوروبية </w:t>
      </w:r>
      <w:r>
        <w:rPr>
          <w:rFonts w:hint="cs"/>
          <w:rtl/>
        </w:rPr>
        <w:t xml:space="preserve">- </w:t>
      </w:r>
      <w:r>
        <w:rPr>
          <w:rtl/>
        </w:rPr>
        <w:t>تشير تلك القضية إلى العلاج الطبي لأحد السجناء.</w:t>
      </w:r>
    </w:p>
  </w:footnote>
  <w:footnote w:id="32">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sidRPr="00321AAC">
        <w:rPr>
          <w:rtl/>
        </w:rPr>
        <w:tab/>
        <w:t>انظر مفوضية حقوق الإنسان</w:t>
      </w:r>
      <w:r>
        <w:rPr>
          <w:rtl/>
        </w:rPr>
        <w:t xml:space="preserve"> "تقرير عن حالة حقوق الإنسان في أوكرانيا، </w:t>
      </w:r>
      <w:r w:rsidRPr="00754C8F">
        <w:rPr>
          <w:szCs w:val="18"/>
          <w:rtl/>
        </w:rPr>
        <w:t>16</w:t>
      </w:r>
      <w:r>
        <w:rPr>
          <w:rtl/>
        </w:rPr>
        <w:t xml:space="preserve"> تشرين الثاني/نوفمبر </w:t>
      </w:r>
      <w:r w:rsidRPr="00754C8F">
        <w:rPr>
          <w:szCs w:val="18"/>
          <w:rtl/>
        </w:rPr>
        <w:t>2015</w:t>
      </w:r>
      <w:r>
        <w:rPr>
          <w:rtl/>
        </w:rPr>
        <w:t xml:space="preserve"> إلى </w:t>
      </w:r>
      <w:r w:rsidRPr="00754C8F">
        <w:rPr>
          <w:szCs w:val="18"/>
          <w:rtl/>
        </w:rPr>
        <w:t>15</w:t>
      </w:r>
      <w:r>
        <w:rPr>
          <w:rtl/>
        </w:rPr>
        <w:t xml:space="preserve"> شباط/فبراير </w:t>
      </w:r>
      <w:r w:rsidRPr="00754C8F">
        <w:rPr>
          <w:szCs w:val="18"/>
          <w:rtl/>
        </w:rPr>
        <w:t>2016</w:t>
      </w:r>
      <w:r>
        <w:rPr>
          <w:rtl/>
        </w:rPr>
        <w:t xml:space="preserve">"، الفقرات </w:t>
      </w:r>
      <w:r w:rsidRPr="00754C8F">
        <w:rPr>
          <w:szCs w:val="18"/>
          <w:rtl/>
        </w:rPr>
        <w:t>52</w:t>
      </w:r>
      <w:r>
        <w:rPr>
          <w:rtl/>
        </w:rPr>
        <w:t>-</w:t>
      </w:r>
      <w:r w:rsidRPr="00754C8F">
        <w:rPr>
          <w:szCs w:val="18"/>
          <w:rtl/>
        </w:rPr>
        <w:t>55</w:t>
      </w:r>
      <w:r>
        <w:rPr>
          <w:rtl/>
        </w:rPr>
        <w:t xml:space="preserve">، والمحكمة الأوروبية لحقوق الإنسان، </w:t>
      </w:r>
      <w:proofErr w:type="spellStart"/>
      <w:r w:rsidRPr="00CD3C33">
        <w:rPr>
          <w:i/>
          <w:iCs/>
          <w:rtl/>
        </w:rPr>
        <w:t>زاشفيسكي</w:t>
      </w:r>
      <w:proofErr w:type="spellEnd"/>
      <w:r w:rsidRPr="00CD3C33">
        <w:rPr>
          <w:i/>
          <w:iCs/>
          <w:rtl/>
        </w:rPr>
        <w:t xml:space="preserve"> ضد أوكرانيا</w:t>
      </w:r>
      <w:r>
        <w:rPr>
          <w:rtl/>
        </w:rPr>
        <w:t xml:space="preserve">، القضية رقم </w:t>
      </w:r>
      <w:r w:rsidRPr="00754C8F">
        <w:rPr>
          <w:szCs w:val="18"/>
          <w:rtl/>
        </w:rPr>
        <w:t>7193</w:t>
      </w:r>
      <w:r>
        <w:rPr>
          <w:rtl/>
        </w:rPr>
        <w:t>/</w:t>
      </w:r>
      <w:r w:rsidRPr="00754C8F">
        <w:rPr>
          <w:szCs w:val="18"/>
          <w:rtl/>
        </w:rPr>
        <w:t>04</w:t>
      </w:r>
      <w:r>
        <w:rPr>
          <w:rtl/>
        </w:rPr>
        <w:t xml:space="preserve">، الحكم الصادر في </w:t>
      </w:r>
      <w:r w:rsidRPr="00754C8F">
        <w:rPr>
          <w:szCs w:val="18"/>
          <w:rtl/>
        </w:rPr>
        <w:t>17</w:t>
      </w:r>
      <w:r>
        <w:rPr>
          <w:rtl/>
        </w:rPr>
        <w:t xml:space="preserve"> آذار/مارس </w:t>
      </w:r>
      <w:r w:rsidRPr="00754C8F">
        <w:rPr>
          <w:szCs w:val="18"/>
          <w:rtl/>
        </w:rPr>
        <w:t>2016</w:t>
      </w:r>
      <w:r>
        <w:rPr>
          <w:rtl/>
        </w:rPr>
        <w:t>.</w:t>
      </w:r>
    </w:p>
  </w:footnote>
  <w:footnote w:id="33">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Pr>
          <w:rtl/>
        </w:rPr>
        <w:tab/>
        <w:t>انظر، على سبيل المثال،</w:t>
      </w:r>
      <w:r w:rsidRPr="00F259D2">
        <w:t xml:space="preserve"> </w:t>
      </w:r>
      <w:proofErr w:type="spellStart"/>
      <w:r w:rsidRPr="00CD3C33">
        <w:rPr>
          <w:i/>
          <w:lang w:val="en-GB"/>
        </w:rPr>
        <w:t>Vasiliy</w:t>
      </w:r>
      <w:proofErr w:type="spellEnd"/>
      <w:r w:rsidRPr="00CD3C33">
        <w:rPr>
          <w:i/>
          <w:lang w:val="en-GB"/>
        </w:rPr>
        <w:t xml:space="preserve"> </w:t>
      </w:r>
      <w:proofErr w:type="spellStart"/>
      <w:r w:rsidRPr="00CD3C33">
        <w:rPr>
          <w:i/>
          <w:lang w:val="en-GB"/>
        </w:rPr>
        <w:t>Ivashchenko</w:t>
      </w:r>
      <w:proofErr w:type="spellEnd"/>
      <w:r w:rsidRPr="00CD3C33">
        <w:rPr>
          <w:i/>
          <w:lang w:val="en-GB"/>
        </w:rPr>
        <w:t xml:space="preserve"> v. Ukraine</w:t>
      </w:r>
      <w:r w:rsidRPr="00CD3C33">
        <w:rPr>
          <w:lang w:val="en-GB"/>
        </w:rPr>
        <w:t xml:space="preserve">, application No. </w:t>
      </w:r>
      <w:r w:rsidRPr="00754C8F">
        <w:rPr>
          <w:szCs w:val="18"/>
          <w:lang w:val="en-GB"/>
        </w:rPr>
        <w:t>760</w:t>
      </w:r>
      <w:r w:rsidRPr="00CD3C33">
        <w:rPr>
          <w:lang w:val="en-GB"/>
        </w:rPr>
        <w:t>/</w:t>
      </w:r>
      <w:r w:rsidRPr="00754C8F">
        <w:rPr>
          <w:szCs w:val="18"/>
          <w:lang w:val="en-GB"/>
        </w:rPr>
        <w:t>03</w:t>
      </w:r>
      <w:r w:rsidRPr="00CD3C33">
        <w:rPr>
          <w:lang w:val="en-GB"/>
        </w:rPr>
        <w:t xml:space="preserve">, judgment of </w:t>
      </w:r>
      <w:r w:rsidRPr="00754C8F">
        <w:rPr>
          <w:szCs w:val="18"/>
          <w:lang w:val="en-GB"/>
        </w:rPr>
        <w:t>26</w:t>
      </w:r>
      <w:r w:rsidRPr="00CD3C33">
        <w:rPr>
          <w:lang w:val="en-GB"/>
        </w:rPr>
        <w:t xml:space="preserve"> July </w:t>
      </w:r>
      <w:r w:rsidRPr="00754C8F">
        <w:rPr>
          <w:szCs w:val="18"/>
          <w:lang w:val="en-GB"/>
        </w:rPr>
        <w:t>2012</w:t>
      </w:r>
      <w:r w:rsidRPr="00CD3C33">
        <w:rPr>
          <w:lang w:val="en-GB"/>
        </w:rPr>
        <w:t xml:space="preserve">, paras. </w:t>
      </w:r>
      <w:r w:rsidRPr="00754C8F">
        <w:rPr>
          <w:szCs w:val="18"/>
          <w:lang w:val="en-GB"/>
        </w:rPr>
        <w:t>80</w:t>
      </w:r>
      <w:r w:rsidRPr="00CD3C33">
        <w:rPr>
          <w:lang w:val="en-GB"/>
        </w:rPr>
        <w:t xml:space="preserve"> and </w:t>
      </w:r>
      <w:r w:rsidRPr="00754C8F">
        <w:rPr>
          <w:szCs w:val="18"/>
          <w:lang w:val="en-GB"/>
        </w:rPr>
        <w:t>83</w:t>
      </w:r>
      <w:r w:rsidRPr="00CD3C33">
        <w:rPr>
          <w:lang w:val="en-GB"/>
        </w:rPr>
        <w:t xml:space="preserve">; </w:t>
      </w:r>
      <w:r w:rsidRPr="00CD3C33">
        <w:rPr>
          <w:i/>
          <w:lang w:val="en-GB"/>
        </w:rPr>
        <w:t xml:space="preserve">Yevgeniy </w:t>
      </w:r>
      <w:proofErr w:type="spellStart"/>
      <w:r w:rsidRPr="00CD3C33">
        <w:rPr>
          <w:i/>
          <w:lang w:val="en-GB"/>
        </w:rPr>
        <w:t>Petrenko</w:t>
      </w:r>
      <w:proofErr w:type="spellEnd"/>
      <w:r w:rsidRPr="00CD3C33">
        <w:rPr>
          <w:i/>
          <w:lang w:val="en-GB"/>
        </w:rPr>
        <w:t xml:space="preserve"> v. Ukraine</w:t>
      </w:r>
      <w:r w:rsidRPr="00CD3C33">
        <w:rPr>
          <w:lang w:val="en-GB"/>
        </w:rPr>
        <w:t xml:space="preserve">, application No. </w:t>
      </w:r>
      <w:r w:rsidRPr="00754C8F">
        <w:rPr>
          <w:szCs w:val="18"/>
          <w:lang w:val="en-GB"/>
        </w:rPr>
        <w:t>55749</w:t>
      </w:r>
      <w:r w:rsidRPr="00CD3C33">
        <w:rPr>
          <w:lang w:val="en-GB"/>
        </w:rPr>
        <w:t>/</w:t>
      </w:r>
      <w:r w:rsidRPr="00754C8F">
        <w:rPr>
          <w:szCs w:val="18"/>
          <w:lang w:val="en-GB"/>
        </w:rPr>
        <w:t>08</w:t>
      </w:r>
      <w:r w:rsidRPr="00CD3C33">
        <w:rPr>
          <w:lang w:val="en-GB"/>
        </w:rPr>
        <w:t xml:space="preserve">, judgment of </w:t>
      </w:r>
      <w:r w:rsidRPr="00754C8F">
        <w:rPr>
          <w:szCs w:val="18"/>
          <w:lang w:val="en-GB"/>
        </w:rPr>
        <w:t>29</w:t>
      </w:r>
      <w:r w:rsidRPr="00CD3C33">
        <w:rPr>
          <w:lang w:val="en-GB"/>
        </w:rPr>
        <w:t xml:space="preserve"> January </w:t>
      </w:r>
      <w:r w:rsidRPr="00754C8F">
        <w:rPr>
          <w:szCs w:val="18"/>
          <w:lang w:val="en-GB"/>
        </w:rPr>
        <w:t>2015</w:t>
      </w:r>
      <w:r w:rsidRPr="00CD3C33">
        <w:rPr>
          <w:lang w:val="en-GB"/>
        </w:rPr>
        <w:t xml:space="preserve">, para. </w:t>
      </w:r>
      <w:r w:rsidRPr="00754C8F">
        <w:rPr>
          <w:szCs w:val="18"/>
          <w:lang w:val="en-GB"/>
        </w:rPr>
        <w:t>70</w:t>
      </w:r>
      <w:r w:rsidRPr="00CD3C33">
        <w:rPr>
          <w:lang w:val="en-GB"/>
        </w:rPr>
        <w:t xml:space="preserve">; and </w:t>
      </w:r>
      <w:proofErr w:type="spellStart"/>
      <w:r w:rsidRPr="00CD3C33">
        <w:rPr>
          <w:i/>
          <w:lang w:val="en-GB"/>
        </w:rPr>
        <w:t>Kaverzin</w:t>
      </w:r>
      <w:proofErr w:type="spellEnd"/>
      <w:r w:rsidRPr="00CD3C33">
        <w:rPr>
          <w:i/>
          <w:lang w:val="en-GB"/>
        </w:rPr>
        <w:t xml:space="preserve"> v. Ukraine</w:t>
      </w:r>
      <w:r w:rsidRPr="00CD3C33">
        <w:rPr>
          <w:lang w:val="en-GB"/>
        </w:rPr>
        <w:t xml:space="preserve">, application No. </w:t>
      </w:r>
      <w:r w:rsidRPr="00754C8F">
        <w:rPr>
          <w:szCs w:val="18"/>
          <w:lang w:val="en-GB"/>
        </w:rPr>
        <w:t>23893</w:t>
      </w:r>
      <w:r w:rsidRPr="00CD3C33">
        <w:rPr>
          <w:lang w:val="en-GB"/>
        </w:rPr>
        <w:t>/</w:t>
      </w:r>
      <w:r w:rsidRPr="00754C8F">
        <w:rPr>
          <w:szCs w:val="18"/>
          <w:lang w:val="en-GB"/>
        </w:rPr>
        <w:t>03</w:t>
      </w:r>
      <w:r w:rsidRPr="00CD3C33">
        <w:rPr>
          <w:lang w:val="en-GB"/>
        </w:rPr>
        <w:t xml:space="preserve">, judgment of </w:t>
      </w:r>
      <w:r w:rsidRPr="00754C8F">
        <w:rPr>
          <w:szCs w:val="18"/>
          <w:lang w:val="en-GB"/>
        </w:rPr>
        <w:t>15</w:t>
      </w:r>
      <w:r w:rsidRPr="00CD3C33">
        <w:rPr>
          <w:lang w:val="en-GB"/>
        </w:rPr>
        <w:t xml:space="preserve"> May </w:t>
      </w:r>
      <w:r w:rsidRPr="00754C8F">
        <w:rPr>
          <w:szCs w:val="18"/>
          <w:lang w:val="en-GB"/>
        </w:rPr>
        <w:t>2012</w:t>
      </w:r>
      <w:r w:rsidRPr="00CD3C33">
        <w:rPr>
          <w:lang w:val="en-GB"/>
        </w:rPr>
        <w:t xml:space="preserve">, paras. </w:t>
      </w:r>
      <w:r w:rsidRPr="00754C8F">
        <w:rPr>
          <w:szCs w:val="18"/>
          <w:lang w:val="en-GB"/>
        </w:rPr>
        <w:t>180</w:t>
      </w:r>
      <w:r w:rsidRPr="00CD3C33">
        <w:rPr>
          <w:lang w:val="en-GB"/>
        </w:rPr>
        <w:t>–</w:t>
      </w:r>
      <w:r w:rsidRPr="00754C8F">
        <w:rPr>
          <w:szCs w:val="18"/>
          <w:lang w:val="en-GB"/>
        </w:rPr>
        <w:t>182</w:t>
      </w:r>
      <w:r w:rsidRPr="00F259D2">
        <w:rPr>
          <w:rtl/>
        </w:rPr>
        <w:t>.</w:t>
      </w:r>
    </w:p>
  </w:footnote>
  <w:footnote w:id="34">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sidRPr="00321AAC">
        <w:rPr>
          <w:rtl/>
        </w:rPr>
        <w:tab/>
        <w:t>انظر، مثلاً،</w:t>
      </w:r>
      <w:r>
        <w:rPr>
          <w:rtl/>
        </w:rPr>
        <w:t xml:space="preserve"> </w:t>
      </w:r>
      <w:proofErr w:type="spellStart"/>
      <w:r w:rsidRPr="00CD3C33">
        <w:rPr>
          <w:i/>
          <w:iCs/>
          <w:rtl/>
        </w:rPr>
        <w:t>أشابال</w:t>
      </w:r>
      <w:proofErr w:type="spellEnd"/>
      <w:r w:rsidRPr="00CD3C33">
        <w:rPr>
          <w:i/>
          <w:iCs/>
          <w:rtl/>
        </w:rPr>
        <w:t xml:space="preserve"> </w:t>
      </w:r>
      <w:proofErr w:type="spellStart"/>
      <w:r w:rsidRPr="00CD3C33">
        <w:rPr>
          <w:i/>
          <w:iCs/>
          <w:rtl/>
        </w:rPr>
        <w:t>بويرتاس</w:t>
      </w:r>
      <w:proofErr w:type="spellEnd"/>
      <w:r w:rsidRPr="00CD3C33">
        <w:rPr>
          <w:i/>
          <w:iCs/>
          <w:rtl/>
        </w:rPr>
        <w:t xml:space="preserve"> ضد </w:t>
      </w:r>
      <w:r w:rsidR="00D67799">
        <w:rPr>
          <w:rFonts w:hint="cs"/>
          <w:i/>
          <w:iCs/>
          <w:rtl/>
        </w:rPr>
        <w:t>إ</w:t>
      </w:r>
      <w:r w:rsidRPr="00CD3C33">
        <w:rPr>
          <w:i/>
          <w:iCs/>
          <w:rtl/>
        </w:rPr>
        <w:t>سبانيا</w:t>
      </w:r>
      <w:r>
        <w:rPr>
          <w:rFonts w:hint="cs"/>
          <w:rtl/>
        </w:rPr>
        <w:t xml:space="preserve"> </w:t>
      </w:r>
      <w:r w:rsidRPr="00F23ABE">
        <w:rPr>
          <w:rtl/>
        </w:rPr>
        <w:t>(</w:t>
      </w:r>
      <w:r w:rsidRPr="00F23ABE">
        <w:t>CCPR/C/</w:t>
      </w:r>
      <w:r w:rsidRPr="00754C8F">
        <w:rPr>
          <w:szCs w:val="18"/>
        </w:rPr>
        <w:t>107</w:t>
      </w:r>
      <w:r w:rsidRPr="00F23ABE">
        <w:t>/D/</w:t>
      </w:r>
      <w:r w:rsidRPr="00754C8F">
        <w:rPr>
          <w:szCs w:val="18"/>
        </w:rPr>
        <w:t>1945</w:t>
      </w:r>
      <w:r w:rsidRPr="00F23ABE">
        <w:t>/</w:t>
      </w:r>
      <w:r w:rsidRPr="00754C8F">
        <w:rPr>
          <w:szCs w:val="18"/>
        </w:rPr>
        <w:t>2010</w:t>
      </w:r>
      <w:r w:rsidRPr="00F23ABE">
        <w:rPr>
          <w:rtl/>
        </w:rPr>
        <w:t>)</w:t>
      </w:r>
      <w:r>
        <w:rPr>
          <w:rtl/>
        </w:rPr>
        <w:t xml:space="preserve">، الفقرة </w:t>
      </w:r>
      <w:r w:rsidRPr="00754C8F">
        <w:rPr>
          <w:szCs w:val="18"/>
          <w:rtl/>
        </w:rPr>
        <w:t>7</w:t>
      </w:r>
      <w:r>
        <w:rPr>
          <w:rtl/>
        </w:rPr>
        <w:t>-</w:t>
      </w:r>
      <w:r w:rsidRPr="00754C8F">
        <w:rPr>
          <w:szCs w:val="18"/>
          <w:rtl/>
        </w:rPr>
        <w:t>3</w:t>
      </w:r>
      <w:r>
        <w:rPr>
          <w:rtl/>
        </w:rPr>
        <w:t xml:space="preserve">، </w:t>
      </w:r>
      <w:r w:rsidRPr="00CD3C33">
        <w:rPr>
          <w:i/>
          <w:iCs/>
          <w:rtl/>
        </w:rPr>
        <w:t>أ.</w:t>
      </w:r>
      <w:r>
        <w:rPr>
          <w:rFonts w:hint="cs"/>
          <w:i/>
          <w:iCs/>
          <w:rtl/>
        </w:rPr>
        <w:t xml:space="preserve"> </w:t>
      </w:r>
      <w:r w:rsidRPr="00CD3C33">
        <w:rPr>
          <w:i/>
          <w:iCs/>
          <w:rtl/>
        </w:rPr>
        <w:t>ج.</w:t>
      </w:r>
      <w:r>
        <w:rPr>
          <w:rFonts w:hint="cs"/>
          <w:i/>
          <w:iCs/>
          <w:rtl/>
        </w:rPr>
        <w:t xml:space="preserve"> </w:t>
      </w:r>
      <w:r w:rsidRPr="00CD3C33">
        <w:rPr>
          <w:i/>
          <w:iCs/>
          <w:rtl/>
        </w:rPr>
        <w:t>س</w:t>
      </w:r>
      <w:r>
        <w:rPr>
          <w:rFonts w:hint="cs"/>
          <w:i/>
          <w:iCs/>
          <w:rtl/>
        </w:rPr>
        <w:t>.</w:t>
      </w:r>
      <w:r w:rsidRPr="00CD3C33">
        <w:rPr>
          <w:i/>
          <w:iCs/>
          <w:rtl/>
        </w:rPr>
        <w:t xml:space="preserve"> ضد </w:t>
      </w:r>
      <w:r w:rsidR="00D67799">
        <w:rPr>
          <w:rFonts w:hint="cs"/>
          <w:i/>
          <w:iCs/>
          <w:rtl/>
        </w:rPr>
        <w:t>إ</w:t>
      </w:r>
      <w:r w:rsidRPr="00CD3C33">
        <w:rPr>
          <w:i/>
          <w:iCs/>
          <w:rtl/>
        </w:rPr>
        <w:t>سبانيا</w:t>
      </w:r>
      <w:r>
        <w:rPr>
          <w:rtl/>
        </w:rPr>
        <w:t xml:space="preserve"> (</w:t>
      </w:r>
      <w:r w:rsidRPr="00AA1AE7">
        <w:t>CCPR/C/</w:t>
      </w:r>
      <w:r w:rsidRPr="00754C8F">
        <w:rPr>
          <w:szCs w:val="18"/>
        </w:rPr>
        <w:t>115</w:t>
      </w:r>
      <w:r w:rsidRPr="00AA1AE7">
        <w:t>/D/</w:t>
      </w:r>
      <w:r w:rsidRPr="00754C8F">
        <w:rPr>
          <w:szCs w:val="18"/>
        </w:rPr>
        <w:t>2626</w:t>
      </w:r>
      <w:r w:rsidRPr="00AA1AE7">
        <w:t>/</w:t>
      </w:r>
      <w:r w:rsidRPr="00754C8F">
        <w:rPr>
          <w:szCs w:val="18"/>
        </w:rPr>
        <w:t>2015</w:t>
      </w:r>
      <w:r>
        <w:rPr>
          <w:rtl/>
        </w:rPr>
        <w:t xml:space="preserve">)، الفقرة </w:t>
      </w:r>
      <w:r w:rsidRPr="00754C8F">
        <w:rPr>
          <w:szCs w:val="18"/>
          <w:rtl/>
        </w:rPr>
        <w:t>4</w:t>
      </w:r>
      <w:r>
        <w:rPr>
          <w:rtl/>
        </w:rPr>
        <w:t>-</w:t>
      </w:r>
      <w:r w:rsidRPr="00754C8F">
        <w:rPr>
          <w:szCs w:val="18"/>
          <w:rtl/>
        </w:rPr>
        <w:t>2</w:t>
      </w:r>
      <w:r>
        <w:rPr>
          <w:rtl/>
        </w:rPr>
        <w:t>.</w:t>
      </w:r>
    </w:p>
  </w:footnote>
  <w:footnote w:id="35">
    <w:p w:rsidR="00754C8F" w:rsidRPr="00330541" w:rsidRDefault="00754C8F" w:rsidP="00754C8F">
      <w:pPr>
        <w:pStyle w:val="FootnoteText1"/>
        <w:rPr>
          <w:rtl/>
        </w:rPr>
      </w:pPr>
      <w:r w:rsidRPr="00330541">
        <w:rPr>
          <w:rtl/>
        </w:rPr>
        <w:t>(</w:t>
      </w:r>
      <w:r w:rsidRPr="00754C8F">
        <w:rPr>
          <w:rFonts w:cs="Times New Roman"/>
        </w:rPr>
        <w:footnoteRef/>
      </w:r>
      <w:r w:rsidRPr="00330541">
        <w:rPr>
          <w:rtl/>
        </w:rPr>
        <w:t>)</w:t>
      </w:r>
      <w:r w:rsidRPr="00321AAC">
        <w:rPr>
          <w:rtl/>
        </w:rPr>
        <w:tab/>
        <w:t>انظر، مثلاً،</w:t>
      </w:r>
      <w:r>
        <w:rPr>
          <w:rtl/>
        </w:rPr>
        <w:t xml:space="preserve"> </w:t>
      </w:r>
      <w:r w:rsidRPr="00C97276">
        <w:rPr>
          <w:i/>
          <w:iCs/>
          <w:rtl/>
        </w:rPr>
        <w:t>ي.</w:t>
      </w:r>
      <w:r w:rsidRPr="00C97276">
        <w:rPr>
          <w:rFonts w:hint="cs"/>
          <w:i/>
          <w:iCs/>
          <w:rtl/>
        </w:rPr>
        <w:t xml:space="preserve"> </w:t>
      </w:r>
      <w:r w:rsidRPr="00C97276">
        <w:rPr>
          <w:i/>
          <w:iCs/>
          <w:rtl/>
        </w:rPr>
        <w:t>أ.</w:t>
      </w:r>
      <w:r w:rsidRPr="00C97276">
        <w:rPr>
          <w:rFonts w:hint="cs"/>
          <w:i/>
          <w:iCs/>
          <w:rtl/>
        </w:rPr>
        <w:t xml:space="preserve"> </w:t>
      </w:r>
      <w:r w:rsidRPr="00C97276">
        <w:rPr>
          <w:i/>
          <w:iCs/>
          <w:rtl/>
        </w:rPr>
        <w:t xml:space="preserve">أ </w:t>
      </w:r>
      <w:r w:rsidRPr="00C97276">
        <w:rPr>
          <w:rFonts w:hint="cs"/>
          <w:i/>
          <w:iCs/>
          <w:rtl/>
        </w:rPr>
        <w:t xml:space="preserve">- </w:t>
      </w:r>
      <w:r w:rsidRPr="00C97276">
        <w:rPr>
          <w:i/>
          <w:iCs/>
          <w:rtl/>
        </w:rPr>
        <w:t>ف.</w:t>
      </w:r>
      <w:r w:rsidRPr="00C97276">
        <w:rPr>
          <w:rFonts w:hint="cs"/>
          <w:i/>
          <w:iCs/>
          <w:rtl/>
        </w:rPr>
        <w:t xml:space="preserve"> </w:t>
      </w:r>
      <w:r w:rsidRPr="00C97276">
        <w:rPr>
          <w:i/>
          <w:iCs/>
          <w:rtl/>
        </w:rPr>
        <w:t>ه.</w:t>
      </w:r>
      <w:r w:rsidRPr="00C97276">
        <w:rPr>
          <w:rFonts w:hint="cs"/>
          <w:i/>
          <w:iCs/>
          <w:rtl/>
        </w:rPr>
        <w:t xml:space="preserve"> </w:t>
      </w:r>
      <w:r w:rsidRPr="00C97276">
        <w:rPr>
          <w:i/>
          <w:iCs/>
          <w:rtl/>
        </w:rPr>
        <w:t>م ضد الدانمرك</w:t>
      </w:r>
      <w:r>
        <w:rPr>
          <w:rtl/>
        </w:rPr>
        <w:t xml:space="preserve"> </w:t>
      </w:r>
      <w:r w:rsidRPr="00AA1AE7">
        <w:rPr>
          <w:rtl/>
        </w:rPr>
        <w:t>(</w:t>
      </w:r>
      <w:r w:rsidRPr="00AA1AE7">
        <w:t>CCPR/C/</w:t>
      </w:r>
      <w:r w:rsidRPr="00754C8F">
        <w:rPr>
          <w:szCs w:val="18"/>
        </w:rPr>
        <w:t>119</w:t>
      </w:r>
      <w:r w:rsidRPr="00AA1AE7">
        <w:t>/D/</w:t>
      </w:r>
      <w:r w:rsidRPr="00754C8F">
        <w:rPr>
          <w:szCs w:val="18"/>
        </w:rPr>
        <w:t>2681</w:t>
      </w:r>
      <w:r w:rsidRPr="00AA1AE7">
        <w:t>/</w:t>
      </w:r>
      <w:r w:rsidRPr="00754C8F">
        <w:rPr>
          <w:szCs w:val="18"/>
        </w:rPr>
        <w:t>2015</w:t>
      </w:r>
      <w:r w:rsidRPr="00AA1AE7">
        <w:rPr>
          <w:rtl/>
        </w:rPr>
        <w:t>)</w:t>
      </w:r>
      <w:r>
        <w:rPr>
          <w:rFonts w:hint="cs"/>
          <w:rtl/>
        </w:rPr>
        <w:t>،</w:t>
      </w:r>
      <w:r>
        <w:rPr>
          <w:rtl/>
        </w:rPr>
        <w:t xml:space="preserve"> الفقرة </w:t>
      </w:r>
      <w:r w:rsidRPr="00754C8F">
        <w:rPr>
          <w:szCs w:val="18"/>
          <w:rtl/>
        </w:rPr>
        <w:t>3</w:t>
      </w:r>
      <w:r>
        <w:rPr>
          <w:rtl/>
        </w:rPr>
        <w:t>-</w:t>
      </w:r>
      <w:r w:rsidRPr="00754C8F">
        <w:rPr>
          <w:szCs w:val="18"/>
          <w:rtl/>
        </w:rPr>
        <w:t>7</w:t>
      </w:r>
      <w:r>
        <w:rPr>
          <w:rtl/>
        </w:rPr>
        <w:t xml:space="preserve">، </w:t>
      </w:r>
      <w:proofErr w:type="spellStart"/>
      <w:r>
        <w:rPr>
          <w:rtl/>
        </w:rPr>
        <w:t>و</w:t>
      </w:r>
      <w:r w:rsidRPr="00C97276">
        <w:rPr>
          <w:i/>
          <w:iCs/>
          <w:rtl/>
        </w:rPr>
        <w:t>ريزيفار</w:t>
      </w:r>
      <w:proofErr w:type="spellEnd"/>
      <w:r w:rsidRPr="00C97276">
        <w:rPr>
          <w:i/>
          <w:iCs/>
          <w:rtl/>
        </w:rPr>
        <w:t xml:space="preserve"> ضد الدانمرك</w:t>
      </w:r>
      <w:r>
        <w:rPr>
          <w:rtl/>
        </w:rPr>
        <w:t xml:space="preserve"> </w:t>
      </w:r>
      <w:r w:rsidRPr="00AA1AE7">
        <w:rPr>
          <w:rtl/>
        </w:rPr>
        <w:t>(</w:t>
      </w:r>
      <w:r w:rsidRPr="00AA1AE7">
        <w:t>CCPR/C/</w:t>
      </w:r>
      <w:r w:rsidRPr="00754C8F">
        <w:rPr>
          <w:szCs w:val="18"/>
        </w:rPr>
        <w:t>119</w:t>
      </w:r>
      <w:r w:rsidRPr="00AA1AE7">
        <w:t>/D/</w:t>
      </w:r>
      <w:r w:rsidRPr="00754C8F">
        <w:rPr>
          <w:szCs w:val="18"/>
        </w:rPr>
        <w:t>2512</w:t>
      </w:r>
      <w:r w:rsidRPr="00AA1AE7">
        <w:t>/</w:t>
      </w:r>
      <w:r w:rsidRPr="00754C8F">
        <w:rPr>
          <w:szCs w:val="18"/>
        </w:rPr>
        <w:t>2014</w:t>
      </w:r>
      <w:r w:rsidRPr="00AA1AE7">
        <w:rPr>
          <w:rtl/>
        </w:rPr>
        <w:t>)</w:t>
      </w:r>
      <w:r>
        <w:rPr>
          <w:rtl/>
        </w:rPr>
        <w:t xml:space="preserve">، الفقرة </w:t>
      </w:r>
      <w:r w:rsidRPr="00754C8F">
        <w:rPr>
          <w:szCs w:val="18"/>
          <w:rtl/>
        </w:rPr>
        <w:t>8</w:t>
      </w:r>
      <w:r>
        <w:rPr>
          <w:rtl/>
        </w:rPr>
        <w:t>-</w:t>
      </w:r>
      <w:r w:rsidRPr="00754C8F">
        <w:rPr>
          <w:szCs w:val="18"/>
          <w:rtl/>
        </w:rPr>
        <w:t>3</w:t>
      </w:r>
      <w:r>
        <w:rPr>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8F" w:rsidRPr="00B934F4" w:rsidRDefault="00754C8F" w:rsidP="00B934F4">
    <w:pPr>
      <w:pStyle w:val="Header"/>
      <w:jc w:val="right"/>
    </w:pPr>
    <w:r w:rsidRPr="00B934F4">
      <w:t>CCPR/C/126/D/2570/2015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8F" w:rsidRPr="00B934F4" w:rsidRDefault="00754C8F" w:rsidP="00B934F4">
    <w:pPr>
      <w:pStyle w:val="Header"/>
      <w:jc w:val="left"/>
    </w:pPr>
    <w:r w:rsidRPr="00B934F4">
      <w:t>CCPR/C/126/D/2570/2015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96C91"/>
    <w:rsid w:val="000076D5"/>
    <w:rsid w:val="0001288C"/>
    <w:rsid w:val="00043414"/>
    <w:rsid w:val="00043663"/>
    <w:rsid w:val="000437B8"/>
    <w:rsid w:val="000505CF"/>
    <w:rsid w:val="00086B7B"/>
    <w:rsid w:val="000D701C"/>
    <w:rsid w:val="000E2A71"/>
    <w:rsid w:val="00160263"/>
    <w:rsid w:val="001816CE"/>
    <w:rsid w:val="00181F96"/>
    <w:rsid w:val="001821A6"/>
    <w:rsid w:val="001A1371"/>
    <w:rsid w:val="001A58C5"/>
    <w:rsid w:val="001B346A"/>
    <w:rsid w:val="001E1CAD"/>
    <w:rsid w:val="001E290D"/>
    <w:rsid w:val="00212B90"/>
    <w:rsid w:val="002144FA"/>
    <w:rsid w:val="0023469A"/>
    <w:rsid w:val="00243C8A"/>
    <w:rsid w:val="00267A0E"/>
    <w:rsid w:val="00275A73"/>
    <w:rsid w:val="002901D9"/>
    <w:rsid w:val="00294682"/>
    <w:rsid w:val="002976C2"/>
    <w:rsid w:val="003260FF"/>
    <w:rsid w:val="00330541"/>
    <w:rsid w:val="0033323B"/>
    <w:rsid w:val="00343D95"/>
    <w:rsid w:val="00363A18"/>
    <w:rsid w:val="00374341"/>
    <w:rsid w:val="003D1062"/>
    <w:rsid w:val="00416135"/>
    <w:rsid w:val="00420D7B"/>
    <w:rsid w:val="00450B21"/>
    <w:rsid w:val="00453B63"/>
    <w:rsid w:val="00455780"/>
    <w:rsid w:val="0046391F"/>
    <w:rsid w:val="004A1FF2"/>
    <w:rsid w:val="004B0A1C"/>
    <w:rsid w:val="004D298E"/>
    <w:rsid w:val="004E466D"/>
    <w:rsid w:val="00517BC9"/>
    <w:rsid w:val="0054472E"/>
    <w:rsid w:val="005662A9"/>
    <w:rsid w:val="005827D4"/>
    <w:rsid w:val="0059622A"/>
    <w:rsid w:val="00596C91"/>
    <w:rsid w:val="005C55B1"/>
    <w:rsid w:val="005C5878"/>
    <w:rsid w:val="005C7CEA"/>
    <w:rsid w:val="005D3C0B"/>
    <w:rsid w:val="005E1C49"/>
    <w:rsid w:val="005E5217"/>
    <w:rsid w:val="005F0FA4"/>
    <w:rsid w:val="005F30EE"/>
    <w:rsid w:val="0060473A"/>
    <w:rsid w:val="00627017"/>
    <w:rsid w:val="00656392"/>
    <w:rsid w:val="0068781D"/>
    <w:rsid w:val="006959B0"/>
    <w:rsid w:val="006B01AA"/>
    <w:rsid w:val="006B3E27"/>
    <w:rsid w:val="006B6507"/>
    <w:rsid w:val="006C104C"/>
    <w:rsid w:val="006C5B09"/>
    <w:rsid w:val="00702B63"/>
    <w:rsid w:val="00733704"/>
    <w:rsid w:val="00754C8F"/>
    <w:rsid w:val="0078071A"/>
    <w:rsid w:val="00787E1E"/>
    <w:rsid w:val="007E0911"/>
    <w:rsid w:val="00852A9A"/>
    <w:rsid w:val="00894CE3"/>
    <w:rsid w:val="008F49E1"/>
    <w:rsid w:val="0090370F"/>
    <w:rsid w:val="009269D2"/>
    <w:rsid w:val="00942135"/>
    <w:rsid w:val="009521B0"/>
    <w:rsid w:val="00966497"/>
    <w:rsid w:val="00982139"/>
    <w:rsid w:val="009867A8"/>
    <w:rsid w:val="00996843"/>
    <w:rsid w:val="009A7E9F"/>
    <w:rsid w:val="009E5018"/>
    <w:rsid w:val="00A12B37"/>
    <w:rsid w:val="00A31823"/>
    <w:rsid w:val="00A64834"/>
    <w:rsid w:val="00AA2F54"/>
    <w:rsid w:val="00AB6758"/>
    <w:rsid w:val="00AD028F"/>
    <w:rsid w:val="00B0494D"/>
    <w:rsid w:val="00B13763"/>
    <w:rsid w:val="00B477A4"/>
    <w:rsid w:val="00B54045"/>
    <w:rsid w:val="00B833CB"/>
    <w:rsid w:val="00B934F4"/>
    <w:rsid w:val="00BA1826"/>
    <w:rsid w:val="00BB44FF"/>
    <w:rsid w:val="00C173B7"/>
    <w:rsid w:val="00C438D7"/>
    <w:rsid w:val="00C81B50"/>
    <w:rsid w:val="00C97276"/>
    <w:rsid w:val="00CB1B5C"/>
    <w:rsid w:val="00CB6622"/>
    <w:rsid w:val="00CD11A1"/>
    <w:rsid w:val="00CD1801"/>
    <w:rsid w:val="00CD3C33"/>
    <w:rsid w:val="00CD6EAC"/>
    <w:rsid w:val="00CF65C6"/>
    <w:rsid w:val="00D01A3A"/>
    <w:rsid w:val="00D10EF1"/>
    <w:rsid w:val="00D40C5C"/>
    <w:rsid w:val="00D42810"/>
    <w:rsid w:val="00D659FC"/>
    <w:rsid w:val="00D67799"/>
    <w:rsid w:val="00D914A7"/>
    <w:rsid w:val="00DD13C3"/>
    <w:rsid w:val="00DD596E"/>
    <w:rsid w:val="00DD621E"/>
    <w:rsid w:val="00DE50B1"/>
    <w:rsid w:val="00DF0575"/>
    <w:rsid w:val="00E70E04"/>
    <w:rsid w:val="00E96CDB"/>
    <w:rsid w:val="00EC05A7"/>
    <w:rsid w:val="00EC4B6B"/>
    <w:rsid w:val="00ED7442"/>
    <w:rsid w:val="00EF1EE5"/>
    <w:rsid w:val="00F0157E"/>
    <w:rsid w:val="00F03E26"/>
    <w:rsid w:val="00F62CE6"/>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4F30C0"/>
  <w15:docId w15:val="{1DBB7215-43FB-4497-B13D-A77FE47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754C8F"/>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B934F4"/>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B934F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B934F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B934F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B934F4"/>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B934F4"/>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B934F4"/>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B934F4"/>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B934F4"/>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B934F4"/>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B934F4"/>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B934F4"/>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B934F4"/>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B934F4"/>
    <w:pPr>
      <w:numPr>
        <w:numId w:val="14"/>
      </w:numPr>
      <w:tabs>
        <w:tab w:val="clear" w:pos="0"/>
        <w:tab w:val="num" w:pos="2495"/>
      </w:tabs>
      <w:ind w:left="2495" w:hanging="545"/>
    </w:pPr>
  </w:style>
  <w:style w:type="numbering" w:styleId="111111">
    <w:name w:val="Outline List 2"/>
    <w:basedOn w:val="NoList"/>
    <w:semiHidden/>
    <w:rsid w:val="00B934F4"/>
    <w:pPr>
      <w:numPr>
        <w:numId w:val="16"/>
      </w:numPr>
    </w:pPr>
  </w:style>
  <w:style w:type="numbering" w:styleId="1ai">
    <w:name w:val="Outline List 1"/>
    <w:basedOn w:val="NoList"/>
    <w:semiHidden/>
    <w:rsid w:val="00B934F4"/>
    <w:pPr>
      <w:numPr>
        <w:numId w:val="17"/>
      </w:numPr>
    </w:pPr>
  </w:style>
  <w:style w:type="character" w:customStyle="1" w:styleId="SingleTxtGChar">
    <w:name w:val="_ Single Txt_G Char"/>
    <w:link w:val="SingleTxtG"/>
    <w:locked/>
    <w:rsid w:val="00B934F4"/>
    <w:rPr>
      <w:rFonts w:ascii="Times New Roman" w:eastAsia="SimSun" w:cs="Traditional Arabic"/>
      <w:sz w:val="20"/>
      <w:szCs w:val="30"/>
      <w:lang w:val="en-GB" w:eastAsia="zh-CN"/>
    </w:rPr>
  </w:style>
  <w:style w:type="character" w:styleId="Hyperlink">
    <w:name w:val="Hyperlink"/>
    <w:basedOn w:val="DefaultParagraphFont"/>
    <w:uiPriority w:val="99"/>
    <w:unhideWhenUsed/>
    <w:rsid w:val="00B934F4"/>
    <w:rPr>
      <w:color w:val="0000FF" w:themeColor="hyperlink"/>
      <w:u w:val="none"/>
    </w:rPr>
  </w:style>
  <w:style w:type="character" w:styleId="UnresolvedMention">
    <w:name w:val="Unresolved Mention"/>
    <w:basedOn w:val="DefaultParagraphFont"/>
    <w:uiPriority w:val="99"/>
    <w:semiHidden/>
    <w:unhideWhenUsed/>
    <w:rsid w:val="0001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OPCAT/NPM/AnnualReport2012_Ukra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DC5D-C8BB-43A0-A33C-1247916D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4624</Words>
  <Characters>23079</Characters>
  <Application>Microsoft Office Word</Application>
  <DocSecurity>0</DocSecurity>
  <Lines>344</Lines>
  <Paragraphs>91</Paragraphs>
  <ScaleCrop>false</ScaleCrop>
  <HeadingPairs>
    <vt:vector size="2" baseType="variant">
      <vt:variant>
        <vt:lpstr>Title</vt:lpstr>
      </vt:variant>
      <vt:variant>
        <vt:i4>1</vt:i4>
      </vt:variant>
    </vt:vector>
  </HeadingPairs>
  <TitlesOfParts>
    <vt:vector size="1" baseType="lpstr">
      <vt:lpstr>CCPR/C/126/D/2570/2015</vt:lpstr>
    </vt:vector>
  </TitlesOfParts>
  <Company>DCM</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CCPR/C/126/D/2570/2015</dc:title>
  <dc:subject>GE.1914117</dc:subject>
  <dc:creator>SALY - MABD86</dc:creator>
  <cp:keywords>ODS No. 1924622</cp:keywords>
  <dc:description>Distribution: General_x000d_
Original: English_x000d_
Date: 20 August 2019</dc:description>
  <cp:lastModifiedBy>Ibrahim Balan</cp:lastModifiedBy>
  <cp:revision>2</cp:revision>
  <dcterms:created xsi:type="dcterms:W3CDTF">2020-02-19T08:08:00Z</dcterms:created>
  <dcterms:modified xsi:type="dcterms:W3CDTF">2020-02-19T08:08:00Z</dcterms:modified>
  <cp:category>Finale</cp:category>
</cp:coreProperties>
</file>