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F458A1"/>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F458A1" w:rsidP="00F458A1">
            <w:pPr>
              <w:jc w:val="right"/>
            </w:pPr>
            <w:r w:rsidRPr="00F458A1">
              <w:rPr>
                <w:sz w:val="40"/>
              </w:rPr>
              <w:t>CCPR</w:t>
            </w:r>
            <w:r>
              <w:t>/C/129/D/2482/2014</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F458A1" w:rsidP="002B7BC7">
            <w:pPr>
              <w:spacing w:before="240"/>
            </w:pPr>
            <w:proofErr w:type="spellStart"/>
            <w:r>
              <w:t>Distr</w:t>
            </w:r>
            <w:proofErr w:type="spellEnd"/>
            <w:r>
              <w:t>. générale</w:t>
            </w:r>
          </w:p>
          <w:p w:rsidR="00F458A1" w:rsidRDefault="00F458A1" w:rsidP="00F458A1">
            <w:pPr>
              <w:spacing w:line="240" w:lineRule="exact"/>
            </w:pPr>
            <w:r>
              <w:t>30 septembre 2020</w:t>
            </w:r>
          </w:p>
          <w:p w:rsidR="00F458A1" w:rsidRDefault="00F458A1" w:rsidP="00F458A1">
            <w:pPr>
              <w:spacing w:line="240" w:lineRule="exact"/>
            </w:pPr>
            <w:r>
              <w:t>Français</w:t>
            </w:r>
          </w:p>
          <w:p w:rsidR="00F458A1" w:rsidRPr="00DB58B5" w:rsidRDefault="00F458A1" w:rsidP="00F458A1">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w:t>
      </w:r>
      <w:r w:rsidR="00F458A1">
        <w:rPr>
          <w:b/>
          <w:sz w:val="24"/>
          <w:szCs w:val="24"/>
        </w:rPr>
        <w:t>’</w:t>
      </w:r>
      <w:r w:rsidRPr="00DF3BF1">
        <w:rPr>
          <w:b/>
          <w:sz w:val="24"/>
          <w:szCs w:val="24"/>
        </w:rPr>
        <w:t>homme</w:t>
      </w:r>
    </w:p>
    <w:p w:rsidR="00E85C42" w:rsidRDefault="00F458A1" w:rsidP="00F458A1">
      <w:pPr>
        <w:pStyle w:val="HChG"/>
        <w:rPr>
          <w:rFonts w:eastAsia="MS Mincho"/>
          <w:b w:val="0"/>
          <w:bCs/>
          <w:sz w:val="20"/>
          <w:lang w:val="fr-FR"/>
        </w:rPr>
      </w:pPr>
      <w:r w:rsidRPr="006D452F">
        <w:tab/>
      </w:r>
      <w:r w:rsidRPr="006D452F">
        <w:tab/>
        <w:t>C</w:t>
      </w:r>
      <w:r>
        <w:t xml:space="preserve">onstatations </w:t>
      </w:r>
      <w:r w:rsidRPr="008019A3">
        <w:t>adoptées par le Comité au titre de l</w:t>
      </w:r>
      <w:r>
        <w:t>’</w:t>
      </w:r>
      <w:r w:rsidRPr="008019A3">
        <w:t>article 5 (par. 4) du Protocole facultatif, concernant la</w:t>
      </w:r>
      <w:r>
        <w:t xml:space="preserve"> c</w:t>
      </w:r>
      <w:r w:rsidRPr="006D452F">
        <w:t>ommunication n</w:t>
      </w:r>
      <w:r w:rsidRPr="006D452F">
        <w:rPr>
          <w:vertAlign w:val="superscript"/>
        </w:rPr>
        <w:t>o</w:t>
      </w:r>
      <w:r w:rsidRPr="006D452F">
        <w:t> </w:t>
      </w:r>
      <w:r w:rsidRPr="00AF3171">
        <w:rPr>
          <w:bCs/>
          <w:lang w:val="fr-FR"/>
        </w:rPr>
        <w:t>2482/2014</w:t>
      </w:r>
      <w:r w:rsidRPr="00F458A1">
        <w:rPr>
          <w:b w:val="0"/>
          <w:bCs/>
          <w:sz w:val="20"/>
          <w:lang w:val="fr-FR"/>
        </w:rPr>
        <w:footnoteReference w:customMarkFollows="1" w:id="2"/>
        <w:t>*</w:t>
      </w:r>
      <w:r w:rsidRPr="00F458A1">
        <w:rPr>
          <w:b w:val="0"/>
          <w:bCs/>
          <w:position w:val="6"/>
          <w:sz w:val="20"/>
          <w:lang w:val="fr-FR"/>
        </w:rPr>
        <w:t>,</w:t>
      </w:r>
      <w:r w:rsidRPr="00F458A1" w:rsidDel="0043332C">
        <w:rPr>
          <w:b w:val="0"/>
          <w:bCs/>
        </w:rPr>
        <w:t xml:space="preserve"> </w:t>
      </w:r>
      <w:r w:rsidRPr="00F458A1">
        <w:rPr>
          <w:rStyle w:val="Appelnotedebasdep"/>
          <w:rFonts w:eastAsia="MS Mincho"/>
          <w:b w:val="0"/>
          <w:bCs/>
          <w:sz w:val="20"/>
          <w:vertAlign w:val="baseline"/>
          <w:lang w:val="fr-FR"/>
        </w:rPr>
        <w:footnoteReference w:customMarkFollows="1" w:id="3"/>
        <w:t>**</w:t>
      </w:r>
    </w:p>
    <w:tbl>
      <w:tblPr>
        <w:tblW w:w="6804" w:type="dxa"/>
        <w:tblInd w:w="1701" w:type="dxa"/>
        <w:tblLayout w:type="fixed"/>
        <w:tblCellMar>
          <w:left w:w="0" w:type="dxa"/>
          <w:right w:w="0" w:type="dxa"/>
        </w:tblCellMar>
        <w:tblLook w:val="01E0" w:firstRow="1" w:lastRow="1" w:firstColumn="1" w:lastColumn="1" w:noHBand="0" w:noVBand="0"/>
      </w:tblPr>
      <w:tblGrid>
        <w:gridCol w:w="2835"/>
        <w:gridCol w:w="3969"/>
      </w:tblGrid>
      <w:tr w:rsidR="00F458A1" w:rsidTr="00F458A1">
        <w:tc>
          <w:tcPr>
            <w:tcW w:w="2835" w:type="dxa"/>
          </w:tcPr>
          <w:p w:rsidR="00F458A1" w:rsidRDefault="00F458A1" w:rsidP="00A87D8E">
            <w:pPr>
              <w:pStyle w:val="SingleTxtG"/>
              <w:ind w:left="0" w:right="0"/>
              <w:jc w:val="left"/>
              <w:rPr>
                <w:i/>
              </w:rPr>
            </w:pPr>
            <w:r>
              <w:rPr>
                <w:i/>
              </w:rPr>
              <w:t>Communication présentée par</w:t>
            </w:r>
            <w:r>
              <w:t> :</w:t>
            </w:r>
          </w:p>
        </w:tc>
        <w:tc>
          <w:tcPr>
            <w:tcW w:w="3969" w:type="dxa"/>
          </w:tcPr>
          <w:p w:rsidR="00F458A1" w:rsidRDefault="00F458A1" w:rsidP="00A87D8E">
            <w:pPr>
              <w:pStyle w:val="SingleTxtG"/>
              <w:ind w:left="0" w:right="0"/>
              <w:jc w:val="left"/>
            </w:pPr>
            <w:proofErr w:type="spellStart"/>
            <w:r w:rsidRPr="00D30904">
              <w:rPr>
                <w:lang w:val="fr-FR"/>
              </w:rPr>
              <w:t>Dmitry</w:t>
            </w:r>
            <w:proofErr w:type="spellEnd"/>
            <w:r w:rsidRPr="00D30904">
              <w:rPr>
                <w:lang w:val="fr-FR"/>
              </w:rPr>
              <w:t xml:space="preserve"> </w:t>
            </w:r>
            <w:proofErr w:type="spellStart"/>
            <w:r w:rsidRPr="00D30904">
              <w:rPr>
                <w:lang w:val="fr-FR"/>
              </w:rPr>
              <w:t>Koreshkov</w:t>
            </w:r>
            <w:proofErr w:type="spellEnd"/>
            <w:r w:rsidRPr="00D30904">
              <w:rPr>
                <w:lang w:val="fr-FR"/>
              </w:rPr>
              <w:t xml:space="preserve"> (non représenté par un conseil)</w:t>
            </w:r>
          </w:p>
        </w:tc>
      </w:tr>
      <w:tr w:rsidR="00F458A1" w:rsidTr="00F458A1">
        <w:tc>
          <w:tcPr>
            <w:tcW w:w="2835" w:type="dxa"/>
          </w:tcPr>
          <w:p w:rsidR="00F458A1" w:rsidRDefault="00F458A1" w:rsidP="00A87D8E">
            <w:pPr>
              <w:pStyle w:val="SingleTxtG"/>
              <w:ind w:left="0" w:right="0"/>
              <w:jc w:val="left"/>
              <w:rPr>
                <w:i/>
              </w:rPr>
            </w:pPr>
            <w:r>
              <w:rPr>
                <w:i/>
              </w:rPr>
              <w:t>Victime(s) présumée(s)</w:t>
            </w:r>
            <w:r>
              <w:t> :</w:t>
            </w:r>
          </w:p>
        </w:tc>
        <w:tc>
          <w:tcPr>
            <w:tcW w:w="3969" w:type="dxa"/>
          </w:tcPr>
          <w:p w:rsidR="00F458A1" w:rsidRDefault="00F458A1" w:rsidP="00A87D8E">
            <w:pPr>
              <w:pStyle w:val="SingleTxtG"/>
              <w:ind w:left="0" w:right="0"/>
              <w:jc w:val="left"/>
            </w:pPr>
            <w:r>
              <w:rPr>
                <w:lang w:val="fr-FR"/>
              </w:rPr>
              <w:t>L</w:t>
            </w:r>
            <w:r>
              <w:rPr>
                <w:lang w:val="fr-FR"/>
              </w:rPr>
              <w:t>’</w:t>
            </w:r>
            <w:r>
              <w:rPr>
                <w:lang w:val="fr-FR"/>
              </w:rPr>
              <w:t>auteur</w:t>
            </w:r>
          </w:p>
        </w:tc>
      </w:tr>
      <w:tr w:rsidR="00F458A1" w:rsidTr="00F458A1">
        <w:tc>
          <w:tcPr>
            <w:tcW w:w="2835" w:type="dxa"/>
          </w:tcPr>
          <w:p w:rsidR="00F458A1" w:rsidRDefault="00F458A1" w:rsidP="00A87D8E">
            <w:pPr>
              <w:pStyle w:val="SingleTxtG"/>
              <w:ind w:left="0" w:right="0"/>
              <w:jc w:val="left"/>
              <w:rPr>
                <w:i/>
              </w:rPr>
            </w:pPr>
            <w:r>
              <w:rPr>
                <w:i/>
              </w:rPr>
              <w:t>État partie</w:t>
            </w:r>
            <w:r>
              <w:t> :</w:t>
            </w:r>
          </w:p>
        </w:tc>
        <w:tc>
          <w:tcPr>
            <w:tcW w:w="3969" w:type="dxa"/>
          </w:tcPr>
          <w:p w:rsidR="00F458A1" w:rsidRDefault="00F458A1" w:rsidP="00A87D8E">
            <w:pPr>
              <w:pStyle w:val="SingleTxtG"/>
              <w:ind w:left="0" w:right="0"/>
              <w:jc w:val="left"/>
            </w:pPr>
            <w:r w:rsidRPr="00D30904">
              <w:rPr>
                <w:lang w:val="fr-FR"/>
              </w:rPr>
              <w:t>Bélarus</w:t>
            </w:r>
          </w:p>
        </w:tc>
      </w:tr>
      <w:tr w:rsidR="00F458A1" w:rsidTr="00F458A1">
        <w:tc>
          <w:tcPr>
            <w:tcW w:w="2835" w:type="dxa"/>
          </w:tcPr>
          <w:p w:rsidR="00F458A1" w:rsidRDefault="00F458A1" w:rsidP="00A87D8E">
            <w:pPr>
              <w:pStyle w:val="SingleTxtG"/>
              <w:ind w:left="0" w:right="0"/>
              <w:jc w:val="left"/>
              <w:rPr>
                <w:i/>
              </w:rPr>
            </w:pPr>
            <w:r w:rsidRPr="00AF3171">
              <w:rPr>
                <w:i/>
                <w:iCs/>
                <w:lang w:val="fr-FR"/>
              </w:rPr>
              <w:t>Date de la communication</w:t>
            </w:r>
            <w:r>
              <w:t> :</w:t>
            </w:r>
          </w:p>
        </w:tc>
        <w:tc>
          <w:tcPr>
            <w:tcW w:w="3969" w:type="dxa"/>
          </w:tcPr>
          <w:p w:rsidR="00F458A1" w:rsidRDefault="00F458A1" w:rsidP="00A87D8E">
            <w:pPr>
              <w:pStyle w:val="SingleTxtG"/>
              <w:ind w:left="0" w:right="0"/>
              <w:jc w:val="left"/>
            </w:pPr>
            <w:r w:rsidRPr="00D30904">
              <w:rPr>
                <w:lang w:val="fr-FR"/>
              </w:rPr>
              <w:t>23 mai 2014 (date de la lettre initiale)</w:t>
            </w:r>
          </w:p>
        </w:tc>
      </w:tr>
      <w:tr w:rsidR="00F458A1" w:rsidTr="00F458A1">
        <w:tc>
          <w:tcPr>
            <w:tcW w:w="2835" w:type="dxa"/>
          </w:tcPr>
          <w:p w:rsidR="00F458A1" w:rsidRDefault="00F458A1" w:rsidP="00A87D8E">
            <w:pPr>
              <w:pStyle w:val="SingleTxtG"/>
              <w:ind w:left="0" w:right="0"/>
              <w:jc w:val="left"/>
              <w:rPr>
                <w:i/>
              </w:rPr>
            </w:pPr>
            <w:r w:rsidRPr="00AF3171">
              <w:rPr>
                <w:i/>
                <w:iCs/>
                <w:lang w:val="fr-FR"/>
              </w:rPr>
              <w:t>Références</w:t>
            </w:r>
            <w:r>
              <w:t> :</w:t>
            </w:r>
          </w:p>
        </w:tc>
        <w:tc>
          <w:tcPr>
            <w:tcW w:w="3969" w:type="dxa"/>
            <w:vAlign w:val="bottom"/>
          </w:tcPr>
          <w:p w:rsidR="00F458A1" w:rsidRDefault="00F458A1" w:rsidP="00A87D8E">
            <w:pPr>
              <w:pStyle w:val="SingleTxtG"/>
              <w:ind w:left="0" w:right="0"/>
              <w:jc w:val="left"/>
            </w:pPr>
            <w:r w:rsidRPr="00D30904">
              <w:rPr>
                <w:lang w:val="fr-FR"/>
              </w:rPr>
              <w:t>Décision prise par le Rapporteur spécial en application de l</w:t>
            </w:r>
            <w:r>
              <w:rPr>
                <w:lang w:val="fr-FR"/>
              </w:rPr>
              <w:t>’</w:t>
            </w:r>
            <w:r w:rsidRPr="00D30904">
              <w:rPr>
                <w:lang w:val="fr-FR"/>
              </w:rPr>
              <w:t xml:space="preserve">article 92 du </w:t>
            </w:r>
            <w:r w:rsidR="00417024">
              <w:rPr>
                <w:lang w:val="fr-FR"/>
              </w:rPr>
              <w:t>R</w:t>
            </w:r>
            <w:r w:rsidRPr="00D30904">
              <w:rPr>
                <w:lang w:val="fr-FR"/>
              </w:rPr>
              <w:t>èglement intérieur, communiquée à l</w:t>
            </w:r>
            <w:r>
              <w:rPr>
                <w:lang w:val="fr-FR"/>
              </w:rPr>
              <w:t>’</w:t>
            </w:r>
            <w:r w:rsidRPr="00D30904">
              <w:rPr>
                <w:lang w:val="fr-FR"/>
              </w:rPr>
              <w:t>État partie le 26</w:t>
            </w:r>
            <w:r w:rsidR="00417024">
              <w:rPr>
                <w:lang w:val="fr-FR"/>
              </w:rPr>
              <w:t> </w:t>
            </w:r>
            <w:r w:rsidRPr="00D30904">
              <w:rPr>
                <w:lang w:val="fr-FR"/>
              </w:rPr>
              <w:t>novembre 2014 (non publiée sous forme de document)</w:t>
            </w:r>
          </w:p>
        </w:tc>
      </w:tr>
      <w:tr w:rsidR="00F458A1" w:rsidTr="00F458A1">
        <w:tc>
          <w:tcPr>
            <w:tcW w:w="2835" w:type="dxa"/>
          </w:tcPr>
          <w:p w:rsidR="00F458A1" w:rsidRPr="00AF3171" w:rsidRDefault="00F458A1" w:rsidP="00A87D8E">
            <w:pPr>
              <w:pStyle w:val="SingleTxtG"/>
              <w:ind w:left="0" w:right="0"/>
              <w:jc w:val="left"/>
              <w:rPr>
                <w:i/>
                <w:iCs/>
                <w:lang w:val="fr-FR"/>
              </w:rPr>
            </w:pPr>
            <w:r w:rsidRPr="00AF3171">
              <w:rPr>
                <w:i/>
                <w:iCs/>
                <w:lang w:val="fr-FR"/>
              </w:rPr>
              <w:t>Date des constatations</w:t>
            </w:r>
            <w:r>
              <w:rPr>
                <w:i/>
                <w:iCs/>
                <w:lang w:val="fr-FR"/>
              </w:rPr>
              <w:t> </w:t>
            </w:r>
            <w:r w:rsidRPr="00D30904">
              <w:rPr>
                <w:iCs/>
                <w:lang w:val="fr-FR"/>
              </w:rPr>
              <w:t>:</w:t>
            </w:r>
          </w:p>
        </w:tc>
        <w:tc>
          <w:tcPr>
            <w:tcW w:w="3969" w:type="dxa"/>
            <w:vAlign w:val="bottom"/>
          </w:tcPr>
          <w:p w:rsidR="00F458A1" w:rsidRPr="00D30904" w:rsidRDefault="00F458A1" w:rsidP="00A87D8E">
            <w:pPr>
              <w:pStyle w:val="SingleTxtG"/>
              <w:ind w:left="0" w:right="0"/>
              <w:jc w:val="left"/>
              <w:rPr>
                <w:lang w:val="fr-FR"/>
              </w:rPr>
            </w:pPr>
            <w:r>
              <w:rPr>
                <w:lang w:val="fr-FR"/>
              </w:rPr>
              <w:t>23 juillet</w:t>
            </w:r>
            <w:r w:rsidRPr="00D30904">
              <w:rPr>
                <w:lang w:val="fr-FR"/>
              </w:rPr>
              <w:t xml:space="preserve"> 2020</w:t>
            </w:r>
          </w:p>
        </w:tc>
      </w:tr>
      <w:tr w:rsidR="00F458A1" w:rsidTr="00F458A1">
        <w:tc>
          <w:tcPr>
            <w:tcW w:w="2835" w:type="dxa"/>
          </w:tcPr>
          <w:p w:rsidR="00F458A1" w:rsidRDefault="00F458A1" w:rsidP="00A87D8E">
            <w:pPr>
              <w:pStyle w:val="SingleTxtG"/>
              <w:ind w:left="0" w:right="0"/>
              <w:jc w:val="left"/>
            </w:pPr>
            <w:r>
              <w:rPr>
                <w:i/>
              </w:rPr>
              <w:t>Objet</w:t>
            </w:r>
            <w:r>
              <w:t> :</w:t>
            </w:r>
          </w:p>
        </w:tc>
        <w:tc>
          <w:tcPr>
            <w:tcW w:w="3969" w:type="dxa"/>
            <w:vAlign w:val="bottom"/>
          </w:tcPr>
          <w:p w:rsidR="00F458A1" w:rsidRDefault="00F458A1" w:rsidP="00A87D8E">
            <w:pPr>
              <w:pStyle w:val="SingleTxtG"/>
              <w:ind w:left="0" w:right="0"/>
              <w:jc w:val="left"/>
            </w:pPr>
            <w:r>
              <w:rPr>
                <w:lang w:val="fr-FR"/>
              </w:rPr>
              <w:t>S</w:t>
            </w:r>
            <w:r w:rsidRPr="00D30904">
              <w:rPr>
                <w:lang w:val="fr-FR"/>
              </w:rPr>
              <w:t xml:space="preserve">anction pour </w:t>
            </w:r>
            <w:r>
              <w:rPr>
                <w:lang w:val="fr-FR"/>
              </w:rPr>
              <w:t>la</w:t>
            </w:r>
            <w:r w:rsidRPr="00D30904">
              <w:rPr>
                <w:lang w:val="fr-FR"/>
              </w:rPr>
              <w:t xml:space="preserve"> tenu</w:t>
            </w:r>
            <w:r>
              <w:rPr>
                <w:lang w:val="fr-FR"/>
              </w:rPr>
              <w:t>e</w:t>
            </w:r>
            <w:r w:rsidRPr="00D30904">
              <w:rPr>
                <w:lang w:val="fr-FR"/>
              </w:rPr>
              <w:t xml:space="preserve"> </w:t>
            </w:r>
            <w:r>
              <w:rPr>
                <w:lang w:val="fr-FR"/>
              </w:rPr>
              <w:t>d</w:t>
            </w:r>
            <w:r>
              <w:rPr>
                <w:lang w:val="fr-FR"/>
              </w:rPr>
              <w:t>’</w:t>
            </w:r>
            <w:r w:rsidRPr="00D30904">
              <w:rPr>
                <w:lang w:val="fr-FR"/>
              </w:rPr>
              <w:t>un piquet non autorisé</w:t>
            </w:r>
            <w:r>
              <w:rPr>
                <w:lang w:val="fr-FR"/>
              </w:rPr>
              <w:t> </w:t>
            </w:r>
            <w:r w:rsidRPr="00D30904">
              <w:rPr>
                <w:lang w:val="fr-FR"/>
              </w:rPr>
              <w:t>; liberté d</w:t>
            </w:r>
            <w:r>
              <w:rPr>
                <w:lang w:val="fr-FR"/>
              </w:rPr>
              <w:t>’</w:t>
            </w:r>
            <w:r w:rsidRPr="00D30904">
              <w:rPr>
                <w:lang w:val="fr-FR"/>
              </w:rPr>
              <w:t>expression</w:t>
            </w:r>
          </w:p>
        </w:tc>
      </w:tr>
      <w:tr w:rsidR="00F458A1" w:rsidTr="00F458A1">
        <w:tc>
          <w:tcPr>
            <w:tcW w:w="2835" w:type="dxa"/>
          </w:tcPr>
          <w:p w:rsidR="00F458A1" w:rsidRDefault="00F458A1" w:rsidP="00A87D8E">
            <w:pPr>
              <w:pStyle w:val="SingleTxtG"/>
              <w:ind w:left="0" w:right="0"/>
              <w:jc w:val="left"/>
            </w:pPr>
            <w:r w:rsidRPr="00AF3171">
              <w:rPr>
                <w:i/>
                <w:iCs/>
                <w:lang w:val="fr-FR"/>
              </w:rPr>
              <w:t>Question(s)</w:t>
            </w:r>
            <w:r>
              <w:rPr>
                <w:i/>
              </w:rPr>
              <w:t xml:space="preserve"> de procédure</w:t>
            </w:r>
            <w:r>
              <w:t> :</w:t>
            </w:r>
          </w:p>
        </w:tc>
        <w:tc>
          <w:tcPr>
            <w:tcW w:w="3969" w:type="dxa"/>
            <w:vAlign w:val="bottom"/>
          </w:tcPr>
          <w:p w:rsidR="00F458A1" w:rsidRDefault="00F458A1" w:rsidP="00A87D8E">
            <w:pPr>
              <w:pStyle w:val="SingleTxtG"/>
              <w:ind w:left="0" w:right="0"/>
              <w:jc w:val="left"/>
            </w:pPr>
            <w:r w:rsidRPr="00D30904">
              <w:rPr>
                <w:lang w:val="fr-FR"/>
              </w:rPr>
              <w:t>Défaut de coopération de l</w:t>
            </w:r>
            <w:r>
              <w:rPr>
                <w:lang w:val="fr-FR"/>
              </w:rPr>
              <w:t>’</w:t>
            </w:r>
            <w:r w:rsidRPr="00D30904">
              <w:rPr>
                <w:lang w:val="fr-FR"/>
              </w:rPr>
              <w:t>État partie</w:t>
            </w:r>
            <w:r>
              <w:rPr>
                <w:lang w:val="fr-FR"/>
              </w:rPr>
              <w:t> </w:t>
            </w:r>
            <w:r w:rsidRPr="00D30904">
              <w:rPr>
                <w:lang w:val="fr-FR"/>
              </w:rPr>
              <w:t>; recevabilité</w:t>
            </w:r>
          </w:p>
        </w:tc>
      </w:tr>
      <w:tr w:rsidR="00F458A1" w:rsidTr="00F458A1">
        <w:tc>
          <w:tcPr>
            <w:tcW w:w="2835" w:type="dxa"/>
          </w:tcPr>
          <w:p w:rsidR="00F458A1" w:rsidRDefault="00F458A1" w:rsidP="00A87D8E">
            <w:pPr>
              <w:pStyle w:val="SingleTxtG"/>
              <w:ind w:left="0" w:right="0"/>
              <w:jc w:val="left"/>
            </w:pPr>
            <w:r w:rsidRPr="00AF3171">
              <w:rPr>
                <w:i/>
                <w:iCs/>
                <w:lang w:val="fr-FR"/>
              </w:rPr>
              <w:t>Question(s)</w:t>
            </w:r>
            <w:r>
              <w:rPr>
                <w:i/>
              </w:rPr>
              <w:t xml:space="preserve"> de fond</w:t>
            </w:r>
            <w:r>
              <w:t> :</w:t>
            </w:r>
          </w:p>
        </w:tc>
        <w:tc>
          <w:tcPr>
            <w:tcW w:w="3969" w:type="dxa"/>
            <w:vAlign w:val="bottom"/>
          </w:tcPr>
          <w:p w:rsidR="00F458A1" w:rsidRDefault="00F458A1" w:rsidP="00A87D8E">
            <w:pPr>
              <w:pStyle w:val="SingleTxtG"/>
              <w:ind w:left="0" w:right="0"/>
              <w:jc w:val="left"/>
            </w:pPr>
            <w:r w:rsidRPr="00AF3171">
              <w:rPr>
                <w:lang w:val="fr-FR"/>
              </w:rPr>
              <w:t>Liberté d</w:t>
            </w:r>
            <w:r>
              <w:rPr>
                <w:lang w:val="fr-FR"/>
              </w:rPr>
              <w:t>’</w:t>
            </w:r>
            <w:r w:rsidRPr="00AF3171">
              <w:rPr>
                <w:lang w:val="fr-FR"/>
              </w:rPr>
              <w:t>expression</w:t>
            </w:r>
          </w:p>
        </w:tc>
      </w:tr>
      <w:tr w:rsidR="00F458A1" w:rsidTr="00F458A1">
        <w:tc>
          <w:tcPr>
            <w:tcW w:w="2835" w:type="dxa"/>
          </w:tcPr>
          <w:p w:rsidR="00F458A1" w:rsidRDefault="00F458A1" w:rsidP="00A87D8E">
            <w:pPr>
              <w:pStyle w:val="SingleTxtG"/>
              <w:ind w:left="0" w:right="0"/>
              <w:jc w:val="left"/>
            </w:pPr>
            <w:r w:rsidRPr="00AF3171">
              <w:rPr>
                <w:i/>
                <w:iCs/>
                <w:lang w:val="fr-FR"/>
              </w:rPr>
              <w:t>Article(s) du Pacte</w:t>
            </w:r>
            <w:r>
              <w:t> :</w:t>
            </w:r>
          </w:p>
        </w:tc>
        <w:tc>
          <w:tcPr>
            <w:tcW w:w="3969" w:type="dxa"/>
            <w:vAlign w:val="bottom"/>
          </w:tcPr>
          <w:p w:rsidR="00F458A1" w:rsidRDefault="00F458A1" w:rsidP="00A87D8E">
            <w:pPr>
              <w:pStyle w:val="SingleTxtG"/>
              <w:ind w:left="0" w:right="0"/>
              <w:jc w:val="left"/>
            </w:pPr>
            <w:r w:rsidRPr="00AF3171">
              <w:rPr>
                <w:lang w:val="fr-FR"/>
              </w:rPr>
              <w:t>19 et 2 (par. 2 et 3)</w:t>
            </w:r>
          </w:p>
        </w:tc>
      </w:tr>
      <w:tr w:rsidR="00F458A1" w:rsidTr="00F458A1">
        <w:tc>
          <w:tcPr>
            <w:tcW w:w="2835" w:type="dxa"/>
          </w:tcPr>
          <w:p w:rsidR="00F458A1" w:rsidRPr="00AF3171" w:rsidRDefault="00F458A1" w:rsidP="00A87D8E">
            <w:pPr>
              <w:pStyle w:val="SingleTxtG"/>
              <w:ind w:left="0" w:right="0"/>
              <w:jc w:val="left"/>
              <w:rPr>
                <w:i/>
                <w:iCs/>
                <w:lang w:val="fr-FR"/>
              </w:rPr>
            </w:pPr>
            <w:r w:rsidRPr="00AF3171">
              <w:rPr>
                <w:i/>
                <w:iCs/>
                <w:lang w:val="fr-FR"/>
              </w:rPr>
              <w:t>Article(s) du Protocole facultatif</w:t>
            </w:r>
            <w:r>
              <w:rPr>
                <w:i/>
                <w:iCs/>
                <w:lang w:val="fr-FR"/>
              </w:rPr>
              <w:t> </w:t>
            </w:r>
            <w:r w:rsidRPr="00D30904">
              <w:rPr>
                <w:iCs/>
                <w:lang w:val="fr-FR"/>
              </w:rPr>
              <w:t>:</w:t>
            </w:r>
          </w:p>
        </w:tc>
        <w:tc>
          <w:tcPr>
            <w:tcW w:w="3969" w:type="dxa"/>
            <w:vAlign w:val="bottom"/>
          </w:tcPr>
          <w:p w:rsidR="00F458A1" w:rsidRPr="00AF3171" w:rsidRDefault="00F458A1" w:rsidP="00A87D8E">
            <w:pPr>
              <w:pStyle w:val="SingleTxtG"/>
              <w:ind w:left="0" w:right="0"/>
              <w:jc w:val="left"/>
              <w:rPr>
                <w:lang w:val="fr-FR"/>
              </w:rPr>
            </w:pPr>
            <w:r w:rsidRPr="00AF3171">
              <w:rPr>
                <w:lang w:val="fr-FR"/>
              </w:rPr>
              <w:t>1 et 3</w:t>
            </w:r>
          </w:p>
        </w:tc>
      </w:tr>
    </w:tbl>
    <w:p w:rsidR="00F458A1" w:rsidRPr="00F458A1" w:rsidRDefault="00F458A1" w:rsidP="00F458A1">
      <w:pPr>
        <w:pStyle w:val="SingleTxtG"/>
        <w:spacing w:before="120"/>
        <w:rPr>
          <w:spacing w:val="-1"/>
          <w:lang w:val="fr-FR"/>
        </w:rPr>
      </w:pPr>
      <w:r w:rsidRPr="00F458A1">
        <w:rPr>
          <w:spacing w:val="-1"/>
          <w:lang w:val="fr-FR"/>
        </w:rPr>
        <w:t>1.</w:t>
      </w:r>
      <w:r w:rsidRPr="00F458A1">
        <w:rPr>
          <w:spacing w:val="-1"/>
          <w:lang w:val="fr-FR"/>
        </w:rPr>
        <w:tab/>
        <w:t>L</w:t>
      </w:r>
      <w:r w:rsidRPr="00F458A1">
        <w:rPr>
          <w:spacing w:val="-1"/>
          <w:lang w:val="fr-FR"/>
        </w:rPr>
        <w:t>’</w:t>
      </w:r>
      <w:r w:rsidRPr="00F458A1">
        <w:rPr>
          <w:spacing w:val="-1"/>
          <w:lang w:val="fr-FR"/>
        </w:rPr>
        <w:t xml:space="preserve">auteur de la communication est </w:t>
      </w:r>
      <w:proofErr w:type="spellStart"/>
      <w:r w:rsidRPr="00F458A1">
        <w:rPr>
          <w:spacing w:val="-1"/>
          <w:lang w:val="fr-FR"/>
        </w:rPr>
        <w:t>Dmitry</w:t>
      </w:r>
      <w:proofErr w:type="spellEnd"/>
      <w:r w:rsidRPr="00F458A1">
        <w:rPr>
          <w:spacing w:val="-1"/>
          <w:lang w:val="fr-FR"/>
        </w:rPr>
        <w:t xml:space="preserve"> </w:t>
      </w:r>
      <w:proofErr w:type="spellStart"/>
      <w:r w:rsidRPr="00F458A1">
        <w:rPr>
          <w:spacing w:val="-1"/>
          <w:lang w:val="fr-FR"/>
        </w:rPr>
        <w:t>Koreshkov</w:t>
      </w:r>
      <w:proofErr w:type="spellEnd"/>
      <w:r w:rsidRPr="00F458A1">
        <w:rPr>
          <w:spacing w:val="-1"/>
          <w:lang w:val="fr-FR"/>
        </w:rPr>
        <w:t>, de nationalité bélarussienne, né en 1976. Il affirme que l</w:t>
      </w:r>
      <w:r w:rsidRPr="00F458A1">
        <w:rPr>
          <w:spacing w:val="-1"/>
          <w:lang w:val="fr-FR"/>
        </w:rPr>
        <w:t>’</w:t>
      </w:r>
      <w:r w:rsidRPr="00F458A1">
        <w:rPr>
          <w:spacing w:val="-1"/>
          <w:lang w:val="fr-FR"/>
        </w:rPr>
        <w:t>État partie a violé les droits qu</w:t>
      </w:r>
      <w:r w:rsidRPr="00F458A1">
        <w:rPr>
          <w:spacing w:val="-1"/>
          <w:lang w:val="fr-FR"/>
        </w:rPr>
        <w:t>’</w:t>
      </w:r>
      <w:r w:rsidRPr="00F458A1">
        <w:rPr>
          <w:spacing w:val="-1"/>
          <w:lang w:val="fr-FR"/>
        </w:rPr>
        <w:t>il tient de l</w:t>
      </w:r>
      <w:r w:rsidRPr="00F458A1">
        <w:rPr>
          <w:spacing w:val="-1"/>
          <w:lang w:val="fr-FR"/>
        </w:rPr>
        <w:t>’</w:t>
      </w:r>
      <w:r w:rsidRPr="00F458A1">
        <w:rPr>
          <w:spacing w:val="-1"/>
          <w:lang w:val="fr-FR"/>
        </w:rPr>
        <w:t>article 19 du Pacte, lu conjointement avec les paragraphes 2 et 3 de l</w:t>
      </w:r>
      <w:r w:rsidRPr="00F458A1">
        <w:rPr>
          <w:spacing w:val="-1"/>
          <w:lang w:val="fr-FR"/>
        </w:rPr>
        <w:t>’</w:t>
      </w:r>
      <w:r w:rsidRPr="00F458A1">
        <w:rPr>
          <w:spacing w:val="-1"/>
          <w:lang w:val="fr-FR"/>
        </w:rPr>
        <w:t>article 2. Le Protocole facultatif est entré en vigueur pour le Bélarus le 30</w:t>
      </w:r>
      <w:r w:rsidR="00417024">
        <w:rPr>
          <w:spacing w:val="-1"/>
          <w:lang w:val="fr-FR"/>
        </w:rPr>
        <w:t> </w:t>
      </w:r>
      <w:r w:rsidRPr="00F458A1">
        <w:rPr>
          <w:spacing w:val="-1"/>
          <w:lang w:val="fr-FR"/>
        </w:rPr>
        <w:t>décembre 1992. L</w:t>
      </w:r>
      <w:r w:rsidRPr="00F458A1">
        <w:rPr>
          <w:spacing w:val="-1"/>
          <w:lang w:val="fr-FR"/>
        </w:rPr>
        <w:t>’</w:t>
      </w:r>
      <w:r w:rsidRPr="00F458A1">
        <w:rPr>
          <w:spacing w:val="-1"/>
          <w:lang w:val="fr-FR"/>
        </w:rPr>
        <w:t>auteur n</w:t>
      </w:r>
      <w:r w:rsidRPr="00F458A1">
        <w:rPr>
          <w:spacing w:val="-1"/>
          <w:lang w:val="fr-FR"/>
        </w:rPr>
        <w:t>’</w:t>
      </w:r>
      <w:r w:rsidRPr="00F458A1">
        <w:rPr>
          <w:spacing w:val="-1"/>
          <w:lang w:val="fr-FR"/>
        </w:rPr>
        <w:t>est pas représenté par un conseil.</w:t>
      </w:r>
    </w:p>
    <w:p w:rsidR="00F458A1" w:rsidRPr="00F458A1" w:rsidRDefault="00F458A1" w:rsidP="00F458A1">
      <w:pPr>
        <w:pStyle w:val="H23G"/>
        <w:rPr>
          <w:lang w:val="fr-FR"/>
        </w:rPr>
      </w:pPr>
      <w:r w:rsidRPr="00F458A1">
        <w:rPr>
          <w:lang w:val="fr-FR"/>
        </w:rPr>
        <w:tab/>
      </w:r>
      <w:r w:rsidRPr="00F458A1">
        <w:rPr>
          <w:lang w:val="fr-FR"/>
        </w:rPr>
        <w:tab/>
      </w:r>
      <w:bookmarkStart w:id="0" w:name="_Hlk54598632"/>
      <w:r w:rsidRPr="00F458A1">
        <w:rPr>
          <w:lang w:val="fr-FR"/>
        </w:rPr>
        <w:t>Rappel des faits présentés par l</w:t>
      </w:r>
      <w:r>
        <w:rPr>
          <w:lang w:val="fr-FR"/>
        </w:rPr>
        <w:t>’</w:t>
      </w:r>
      <w:r w:rsidRPr="00F458A1">
        <w:rPr>
          <w:lang w:val="fr-FR"/>
        </w:rPr>
        <w:t>auteur</w:t>
      </w:r>
    </w:p>
    <w:p w:rsidR="00F458A1" w:rsidRPr="00F458A1" w:rsidRDefault="00F458A1" w:rsidP="00F458A1">
      <w:pPr>
        <w:pStyle w:val="SingleTxtG"/>
        <w:rPr>
          <w:lang w:val="fr-FR"/>
        </w:rPr>
      </w:pPr>
      <w:r w:rsidRPr="00F458A1">
        <w:rPr>
          <w:lang w:val="fr-FR"/>
        </w:rPr>
        <w:t>2.1</w:t>
      </w:r>
      <w:r w:rsidRPr="00F458A1">
        <w:rPr>
          <w:lang w:val="fr-FR"/>
        </w:rPr>
        <w:tab/>
        <w:t>Le 11</w:t>
      </w:r>
      <w:r>
        <w:rPr>
          <w:lang w:val="fr-FR"/>
        </w:rPr>
        <w:t> </w:t>
      </w:r>
      <w:r w:rsidRPr="00F458A1">
        <w:rPr>
          <w:lang w:val="fr-FR"/>
        </w:rPr>
        <w:t>novembre 2013, l</w:t>
      </w:r>
      <w:r>
        <w:rPr>
          <w:lang w:val="fr-FR"/>
        </w:rPr>
        <w:t>’</w:t>
      </w:r>
      <w:r w:rsidRPr="00F458A1">
        <w:rPr>
          <w:lang w:val="fr-FR"/>
        </w:rPr>
        <w:t xml:space="preserve">auteur a été arrêté par la police pour avoir accroché une </w:t>
      </w:r>
      <w:r w:rsidRPr="00F458A1">
        <w:t>banderole devant</w:t>
      </w:r>
      <w:r w:rsidRPr="00F458A1">
        <w:rPr>
          <w:lang w:val="fr-FR"/>
        </w:rPr>
        <w:t xml:space="preserve"> le bâtiment du Comité exécutif régional de Gomel en signe de </w:t>
      </w:r>
      <w:r w:rsidRPr="00F458A1">
        <w:rPr>
          <w:lang w:val="fr-FR"/>
        </w:rPr>
        <w:lastRenderedPageBreak/>
        <w:t>protestation contre la vente de boissons alcoolisées à proximité des écoles. L</w:t>
      </w:r>
      <w:r>
        <w:rPr>
          <w:lang w:val="fr-FR"/>
        </w:rPr>
        <w:t>’</w:t>
      </w:r>
      <w:r w:rsidRPr="00F458A1">
        <w:rPr>
          <w:lang w:val="fr-FR"/>
        </w:rPr>
        <w:t>auteur n</w:t>
      </w:r>
      <w:r>
        <w:rPr>
          <w:lang w:val="fr-FR"/>
        </w:rPr>
        <w:t>’</w:t>
      </w:r>
      <w:r w:rsidRPr="00F458A1">
        <w:rPr>
          <w:lang w:val="fr-FR"/>
        </w:rPr>
        <w:t>avait pas au préalable demandé aux autorités municipales l</w:t>
      </w:r>
      <w:r>
        <w:rPr>
          <w:lang w:val="fr-FR"/>
        </w:rPr>
        <w:t>’</w:t>
      </w:r>
      <w:r w:rsidRPr="00F458A1">
        <w:rPr>
          <w:lang w:val="fr-FR"/>
        </w:rPr>
        <w:t>autorisation de tenir un piquet parce qu</w:t>
      </w:r>
      <w:r>
        <w:rPr>
          <w:lang w:val="fr-FR"/>
        </w:rPr>
        <w:t>’</w:t>
      </w:r>
      <w:r w:rsidRPr="00F458A1">
        <w:rPr>
          <w:lang w:val="fr-FR"/>
        </w:rPr>
        <w:t>il l</w:t>
      </w:r>
      <w:r>
        <w:rPr>
          <w:lang w:val="fr-FR"/>
        </w:rPr>
        <w:t>’</w:t>
      </w:r>
      <w:r w:rsidRPr="00F458A1">
        <w:rPr>
          <w:lang w:val="fr-FR"/>
        </w:rPr>
        <w:t>avait déjà fait en vain en d</w:t>
      </w:r>
      <w:r>
        <w:rPr>
          <w:lang w:val="fr-FR"/>
        </w:rPr>
        <w:t>’</w:t>
      </w:r>
      <w:r w:rsidRPr="00F458A1">
        <w:rPr>
          <w:lang w:val="fr-FR"/>
        </w:rPr>
        <w:t>autres occasions. Le même jour, la police a dressé un procès-verbal d</w:t>
      </w:r>
      <w:r>
        <w:rPr>
          <w:lang w:val="fr-FR"/>
        </w:rPr>
        <w:t>’</w:t>
      </w:r>
      <w:r w:rsidRPr="00F458A1">
        <w:rPr>
          <w:lang w:val="fr-FR"/>
        </w:rPr>
        <w:t>infraction administrative pour tenue d</w:t>
      </w:r>
      <w:r>
        <w:rPr>
          <w:lang w:val="fr-FR"/>
        </w:rPr>
        <w:t>’</w:t>
      </w:r>
      <w:r w:rsidRPr="00F458A1">
        <w:rPr>
          <w:lang w:val="fr-FR"/>
        </w:rPr>
        <w:t>un piquet non autorisé, sur le fondement de l</w:t>
      </w:r>
      <w:r>
        <w:rPr>
          <w:lang w:val="fr-FR"/>
        </w:rPr>
        <w:t>’</w:t>
      </w:r>
      <w:r w:rsidRPr="00F458A1">
        <w:rPr>
          <w:lang w:val="fr-FR"/>
        </w:rPr>
        <w:t xml:space="preserve">article 23.34 (1) du Code des infractions administratives </w:t>
      </w:r>
      <w:bookmarkEnd w:id="0"/>
      <w:r w:rsidRPr="00F458A1">
        <w:rPr>
          <w:lang w:val="fr-FR"/>
        </w:rPr>
        <w:t>(violation de la procédure régissant l</w:t>
      </w:r>
      <w:r>
        <w:rPr>
          <w:lang w:val="fr-FR"/>
        </w:rPr>
        <w:t>’</w:t>
      </w:r>
      <w:r w:rsidRPr="00F458A1">
        <w:rPr>
          <w:lang w:val="fr-FR"/>
        </w:rPr>
        <w:t xml:space="preserve">organisation et la tenue de manifestations de masse), et a transmis le dossier au tribunal </w:t>
      </w:r>
      <w:bookmarkStart w:id="1" w:name="_Hlk54598734"/>
      <w:r w:rsidRPr="00F458A1">
        <w:rPr>
          <w:lang w:val="fr-FR"/>
        </w:rPr>
        <w:t xml:space="preserve">du district </w:t>
      </w:r>
      <w:proofErr w:type="spellStart"/>
      <w:r w:rsidRPr="00F458A1">
        <w:rPr>
          <w:lang w:val="fr-FR"/>
        </w:rPr>
        <w:t>Tsentralny</w:t>
      </w:r>
      <w:proofErr w:type="spellEnd"/>
      <w:r w:rsidRPr="00F458A1">
        <w:rPr>
          <w:b/>
          <w:bCs/>
          <w:lang w:val="fr-FR"/>
        </w:rPr>
        <w:t xml:space="preserve"> </w:t>
      </w:r>
      <w:r w:rsidRPr="00F458A1">
        <w:rPr>
          <w:lang w:val="fr-FR"/>
        </w:rPr>
        <w:t>de Gomel</w:t>
      </w:r>
      <w:bookmarkEnd w:id="1"/>
      <w:r w:rsidRPr="00F458A1">
        <w:rPr>
          <w:lang w:val="fr-FR"/>
        </w:rPr>
        <w:t>. Le 9</w:t>
      </w:r>
      <w:r>
        <w:rPr>
          <w:lang w:val="fr-FR"/>
        </w:rPr>
        <w:t> </w:t>
      </w:r>
      <w:r w:rsidRPr="00F458A1">
        <w:rPr>
          <w:lang w:val="fr-FR"/>
        </w:rPr>
        <w:t>janvier 2014, ce tribunal a déclaré l</w:t>
      </w:r>
      <w:r>
        <w:rPr>
          <w:lang w:val="fr-FR"/>
        </w:rPr>
        <w:t>’</w:t>
      </w:r>
      <w:r w:rsidRPr="00F458A1">
        <w:rPr>
          <w:lang w:val="fr-FR"/>
        </w:rPr>
        <w:t>auteur coupable d</w:t>
      </w:r>
      <w:r>
        <w:rPr>
          <w:lang w:val="fr-FR"/>
        </w:rPr>
        <w:t>’</w:t>
      </w:r>
      <w:r w:rsidRPr="00F458A1">
        <w:rPr>
          <w:lang w:val="fr-FR"/>
        </w:rPr>
        <w:t>infraction à l</w:t>
      </w:r>
      <w:r>
        <w:rPr>
          <w:lang w:val="fr-FR"/>
        </w:rPr>
        <w:t>’</w:t>
      </w:r>
      <w:r w:rsidRPr="00F458A1">
        <w:rPr>
          <w:lang w:val="fr-FR"/>
        </w:rPr>
        <w:t>article 23.34 (1) du Code des infractions administratives et l</w:t>
      </w:r>
      <w:r>
        <w:rPr>
          <w:lang w:val="fr-FR"/>
        </w:rPr>
        <w:t>’</w:t>
      </w:r>
      <w:r w:rsidRPr="00F458A1">
        <w:rPr>
          <w:lang w:val="fr-FR"/>
        </w:rPr>
        <w:t>a condamné à une amende de 1 300 000 roubles (environ 100 dollars É</w:t>
      </w:r>
      <w:r>
        <w:rPr>
          <w:lang w:val="fr-FR"/>
        </w:rPr>
        <w:t>.</w:t>
      </w:r>
      <w:r w:rsidRPr="00F458A1">
        <w:rPr>
          <w:lang w:val="fr-FR"/>
        </w:rPr>
        <w:t>-U</w:t>
      </w:r>
      <w:r>
        <w:rPr>
          <w:lang w:val="fr-FR"/>
        </w:rPr>
        <w:t>.</w:t>
      </w:r>
      <w:r w:rsidRPr="00F458A1">
        <w:rPr>
          <w:lang w:val="fr-FR"/>
        </w:rPr>
        <w:t>).</w:t>
      </w:r>
    </w:p>
    <w:p w:rsidR="00F458A1" w:rsidRPr="00F458A1" w:rsidRDefault="00F458A1" w:rsidP="00F458A1">
      <w:pPr>
        <w:pStyle w:val="SingleTxtG"/>
        <w:rPr>
          <w:lang w:val="fr-FR"/>
        </w:rPr>
      </w:pPr>
      <w:r w:rsidRPr="00F458A1">
        <w:rPr>
          <w:lang w:val="fr-FR"/>
        </w:rPr>
        <w:t>2.2</w:t>
      </w:r>
      <w:r w:rsidRPr="00F458A1">
        <w:rPr>
          <w:lang w:val="fr-FR"/>
        </w:rPr>
        <w:tab/>
        <w:t>Le 20</w:t>
      </w:r>
      <w:r>
        <w:rPr>
          <w:lang w:val="fr-FR"/>
        </w:rPr>
        <w:t> </w:t>
      </w:r>
      <w:r w:rsidRPr="00F458A1">
        <w:rPr>
          <w:lang w:val="fr-FR"/>
        </w:rPr>
        <w:t>janvier 2014, l</w:t>
      </w:r>
      <w:r>
        <w:rPr>
          <w:lang w:val="fr-FR"/>
        </w:rPr>
        <w:t>’</w:t>
      </w:r>
      <w:r w:rsidRPr="00F458A1">
        <w:rPr>
          <w:lang w:val="fr-FR"/>
        </w:rPr>
        <w:t>auteur a formé un recours auprès du tribunal régional de Gomel. Le 31 janvier 2014, ce tribunal a rejeté le recours. Le 11</w:t>
      </w:r>
      <w:r>
        <w:rPr>
          <w:lang w:val="fr-FR"/>
        </w:rPr>
        <w:t> </w:t>
      </w:r>
      <w:r w:rsidRPr="00F458A1">
        <w:rPr>
          <w:lang w:val="fr-FR"/>
        </w:rPr>
        <w:t>février 2014, l</w:t>
      </w:r>
      <w:r>
        <w:rPr>
          <w:lang w:val="fr-FR"/>
        </w:rPr>
        <w:t>’</w:t>
      </w:r>
      <w:r w:rsidRPr="00F458A1">
        <w:rPr>
          <w:lang w:val="fr-FR"/>
        </w:rPr>
        <w:t>auteur a présenté une demande au titre de la procédure de réexamen auprès du Président du tribunal régional de Gomel, qui l</w:t>
      </w:r>
      <w:r>
        <w:rPr>
          <w:lang w:val="fr-FR"/>
        </w:rPr>
        <w:t>’</w:t>
      </w:r>
      <w:r w:rsidRPr="00F458A1">
        <w:rPr>
          <w:lang w:val="fr-FR"/>
        </w:rPr>
        <w:t>a rejetée le 19</w:t>
      </w:r>
      <w:r>
        <w:rPr>
          <w:lang w:val="fr-FR"/>
        </w:rPr>
        <w:t> </w:t>
      </w:r>
      <w:r w:rsidRPr="00F458A1">
        <w:rPr>
          <w:lang w:val="fr-FR"/>
        </w:rPr>
        <w:t>mars 2014.</w:t>
      </w:r>
    </w:p>
    <w:p w:rsidR="00F458A1" w:rsidRPr="00F458A1" w:rsidRDefault="00F458A1" w:rsidP="00F458A1">
      <w:pPr>
        <w:pStyle w:val="SingleTxtG"/>
        <w:rPr>
          <w:lang w:val="fr-FR"/>
        </w:rPr>
      </w:pPr>
      <w:r w:rsidRPr="00F458A1">
        <w:rPr>
          <w:lang w:val="fr-FR"/>
        </w:rPr>
        <w:t>2.3</w:t>
      </w:r>
      <w:r w:rsidRPr="00F458A1">
        <w:rPr>
          <w:lang w:val="fr-FR"/>
        </w:rPr>
        <w:tab/>
        <w:t>Le 11</w:t>
      </w:r>
      <w:r>
        <w:rPr>
          <w:lang w:val="fr-FR"/>
        </w:rPr>
        <w:t> </w:t>
      </w:r>
      <w:r w:rsidRPr="00F458A1">
        <w:rPr>
          <w:lang w:val="fr-FR"/>
        </w:rPr>
        <w:t>mars 2014, l</w:t>
      </w:r>
      <w:r>
        <w:rPr>
          <w:lang w:val="fr-FR"/>
        </w:rPr>
        <w:t>’</w:t>
      </w:r>
      <w:r w:rsidRPr="00F458A1">
        <w:rPr>
          <w:lang w:val="fr-FR"/>
        </w:rPr>
        <w:t>auteur a été arrêté par la police pour avoir brandi une banderole devant l</w:t>
      </w:r>
      <w:r>
        <w:rPr>
          <w:lang w:val="fr-FR"/>
        </w:rPr>
        <w:t>’</w:t>
      </w:r>
      <w:r w:rsidRPr="00F458A1">
        <w:rPr>
          <w:lang w:val="fr-FR"/>
        </w:rPr>
        <w:t xml:space="preserve">ambassade de la Fédération de Russie à Minsk dans le but de protester contre la guerre en Ukraine. Le même jour, le tribunal </w:t>
      </w:r>
      <w:bookmarkStart w:id="2" w:name="_Hlk54598771"/>
      <w:r w:rsidRPr="00F458A1">
        <w:rPr>
          <w:lang w:val="fr-FR"/>
        </w:rPr>
        <w:t xml:space="preserve">du district </w:t>
      </w:r>
      <w:proofErr w:type="spellStart"/>
      <w:r w:rsidRPr="00F458A1">
        <w:rPr>
          <w:lang w:val="fr-FR"/>
        </w:rPr>
        <w:t>Tsentralny</w:t>
      </w:r>
      <w:proofErr w:type="spellEnd"/>
      <w:r w:rsidRPr="00F458A1">
        <w:rPr>
          <w:lang w:val="fr-FR"/>
        </w:rPr>
        <w:t xml:space="preserve"> de Minsk </w:t>
      </w:r>
      <w:bookmarkEnd w:id="2"/>
      <w:r w:rsidRPr="00F458A1">
        <w:rPr>
          <w:lang w:val="fr-FR"/>
        </w:rPr>
        <w:t>a déclaré l</w:t>
      </w:r>
      <w:r>
        <w:rPr>
          <w:lang w:val="fr-FR"/>
        </w:rPr>
        <w:t>’</w:t>
      </w:r>
      <w:r w:rsidRPr="00F458A1">
        <w:rPr>
          <w:lang w:val="fr-FR"/>
        </w:rPr>
        <w:t>auteur coupable d</w:t>
      </w:r>
      <w:r>
        <w:rPr>
          <w:lang w:val="fr-FR"/>
        </w:rPr>
        <w:t>’</w:t>
      </w:r>
      <w:r w:rsidRPr="00F458A1">
        <w:rPr>
          <w:lang w:val="fr-FR"/>
        </w:rPr>
        <w:t>avoir enfreint l</w:t>
      </w:r>
      <w:r>
        <w:rPr>
          <w:lang w:val="fr-FR"/>
        </w:rPr>
        <w:t>’</w:t>
      </w:r>
      <w:r w:rsidRPr="00F458A1">
        <w:rPr>
          <w:lang w:val="fr-FR"/>
        </w:rPr>
        <w:t>article 23.34 (1) du Code des infractions administratives en tenant un piquet sans avoir au préalable demandé une autorisation, comme l</w:t>
      </w:r>
      <w:r>
        <w:rPr>
          <w:lang w:val="fr-FR"/>
        </w:rPr>
        <w:t>’</w:t>
      </w:r>
      <w:r w:rsidRPr="00F458A1">
        <w:rPr>
          <w:lang w:val="fr-FR"/>
        </w:rPr>
        <w:t>exigeait la loi sur les manifestations publiques. L</w:t>
      </w:r>
      <w:r>
        <w:rPr>
          <w:lang w:val="fr-FR"/>
        </w:rPr>
        <w:t>’</w:t>
      </w:r>
      <w:r w:rsidRPr="00F458A1">
        <w:rPr>
          <w:lang w:val="fr-FR"/>
        </w:rPr>
        <w:t>infraction ayant été commise en récidive moins d</w:t>
      </w:r>
      <w:r>
        <w:rPr>
          <w:lang w:val="fr-FR"/>
        </w:rPr>
        <w:t>’</w:t>
      </w:r>
      <w:r w:rsidRPr="00F458A1">
        <w:rPr>
          <w:lang w:val="fr-FR"/>
        </w:rPr>
        <w:t>un an après la première infraction, le tribunal a condamné l</w:t>
      </w:r>
      <w:r>
        <w:rPr>
          <w:lang w:val="fr-FR"/>
        </w:rPr>
        <w:t>’</w:t>
      </w:r>
      <w:r w:rsidRPr="00F458A1">
        <w:rPr>
          <w:lang w:val="fr-FR"/>
        </w:rPr>
        <w:t>auteur à quinze jours de détention administrative.</w:t>
      </w:r>
    </w:p>
    <w:p w:rsidR="00F458A1" w:rsidRPr="00F458A1" w:rsidRDefault="00F458A1" w:rsidP="00F458A1">
      <w:pPr>
        <w:pStyle w:val="SingleTxtG"/>
        <w:rPr>
          <w:lang w:val="fr-FR"/>
        </w:rPr>
      </w:pPr>
      <w:r w:rsidRPr="00F458A1">
        <w:rPr>
          <w:lang w:val="fr-FR"/>
        </w:rPr>
        <w:t>2.4</w:t>
      </w:r>
      <w:r w:rsidRPr="00F458A1">
        <w:rPr>
          <w:lang w:val="fr-FR"/>
        </w:rPr>
        <w:tab/>
        <w:t>Le 27 mars 2014, l</w:t>
      </w:r>
      <w:r>
        <w:rPr>
          <w:lang w:val="fr-FR"/>
        </w:rPr>
        <w:t>’</w:t>
      </w:r>
      <w:r w:rsidRPr="00F458A1">
        <w:rPr>
          <w:lang w:val="fr-FR"/>
        </w:rPr>
        <w:t>auteur a formé un recours auprès du tribunal municipal de Minsk. Le 1</w:t>
      </w:r>
      <w:r w:rsidRPr="00F458A1">
        <w:rPr>
          <w:vertAlign w:val="superscript"/>
          <w:lang w:val="fr-FR"/>
        </w:rPr>
        <w:t>er</w:t>
      </w:r>
      <w:r w:rsidRPr="00F458A1">
        <w:rPr>
          <w:lang w:val="fr-FR"/>
        </w:rPr>
        <w:t> avril 2014, ce tribunal a rejeté le recours de l</w:t>
      </w:r>
      <w:r>
        <w:rPr>
          <w:lang w:val="fr-FR"/>
        </w:rPr>
        <w:t>’</w:t>
      </w:r>
      <w:r w:rsidRPr="00F458A1">
        <w:rPr>
          <w:lang w:val="fr-FR"/>
        </w:rPr>
        <w:t>auteur. Le 7</w:t>
      </w:r>
      <w:r>
        <w:rPr>
          <w:lang w:val="fr-FR"/>
        </w:rPr>
        <w:t> </w:t>
      </w:r>
      <w:r w:rsidRPr="00F458A1">
        <w:rPr>
          <w:lang w:val="fr-FR"/>
        </w:rPr>
        <w:t>avril 2014, l</w:t>
      </w:r>
      <w:r>
        <w:rPr>
          <w:lang w:val="fr-FR"/>
        </w:rPr>
        <w:t>’</w:t>
      </w:r>
      <w:r w:rsidRPr="00F458A1">
        <w:rPr>
          <w:lang w:val="fr-FR"/>
        </w:rPr>
        <w:t>auteur a présenté une demande de réexamen auprès du Président du tribunal municipal de Minsk. Sa demande a été rejetée le 8</w:t>
      </w:r>
      <w:r w:rsidR="00DD1B6E">
        <w:rPr>
          <w:lang w:val="fr-FR"/>
        </w:rPr>
        <w:t> </w:t>
      </w:r>
      <w:r w:rsidRPr="00F458A1">
        <w:rPr>
          <w:lang w:val="fr-FR"/>
        </w:rPr>
        <w:t>mai 2014.</w:t>
      </w:r>
    </w:p>
    <w:p w:rsidR="00F458A1" w:rsidRPr="00F458A1" w:rsidRDefault="00F458A1" w:rsidP="00F458A1">
      <w:pPr>
        <w:pStyle w:val="SingleTxtG"/>
        <w:rPr>
          <w:lang w:val="fr-FR"/>
        </w:rPr>
      </w:pPr>
      <w:r w:rsidRPr="00F458A1">
        <w:rPr>
          <w:lang w:val="fr-FR"/>
        </w:rPr>
        <w:t>2.5</w:t>
      </w:r>
      <w:r w:rsidRPr="00F458A1">
        <w:rPr>
          <w:lang w:val="fr-FR"/>
        </w:rPr>
        <w:tab/>
        <w:t>L</w:t>
      </w:r>
      <w:r>
        <w:rPr>
          <w:lang w:val="fr-FR"/>
        </w:rPr>
        <w:t>’</w:t>
      </w:r>
      <w:r w:rsidRPr="00F458A1">
        <w:rPr>
          <w:lang w:val="fr-FR"/>
        </w:rPr>
        <w:t>auteur affirme avoir épuisé tous les recours internes utiles qui lui étaient ouverts.</w:t>
      </w:r>
    </w:p>
    <w:p w:rsidR="00F458A1" w:rsidRPr="00F458A1" w:rsidRDefault="00F458A1" w:rsidP="00F458A1">
      <w:pPr>
        <w:pStyle w:val="H23G"/>
        <w:rPr>
          <w:lang w:val="fr-FR"/>
        </w:rPr>
      </w:pPr>
      <w:r w:rsidRPr="00F458A1">
        <w:rPr>
          <w:lang w:val="fr-FR"/>
        </w:rPr>
        <w:tab/>
      </w:r>
      <w:r w:rsidRPr="00F458A1">
        <w:rPr>
          <w:lang w:val="fr-FR"/>
        </w:rPr>
        <w:tab/>
        <w:t>Teneur de la plainte</w:t>
      </w:r>
    </w:p>
    <w:p w:rsidR="00F458A1" w:rsidRPr="00F458A1" w:rsidRDefault="00F458A1" w:rsidP="00F458A1">
      <w:pPr>
        <w:pStyle w:val="SingleTxtG"/>
        <w:rPr>
          <w:lang w:val="fr-FR"/>
        </w:rPr>
      </w:pPr>
      <w:r w:rsidRPr="00F458A1">
        <w:rPr>
          <w:lang w:val="fr-FR"/>
        </w:rPr>
        <w:t>3.1</w:t>
      </w:r>
      <w:r w:rsidRPr="00F458A1">
        <w:rPr>
          <w:lang w:val="fr-FR"/>
        </w:rPr>
        <w:tab/>
        <w:t>L</w:t>
      </w:r>
      <w:r>
        <w:rPr>
          <w:lang w:val="fr-FR"/>
        </w:rPr>
        <w:t>’</w:t>
      </w:r>
      <w:r w:rsidRPr="00F458A1">
        <w:rPr>
          <w:lang w:val="fr-FR"/>
        </w:rPr>
        <w:t>auteur affirme que les sanctions qui lui ont été infligées constituent une violation des droits qu</w:t>
      </w:r>
      <w:r>
        <w:rPr>
          <w:lang w:val="fr-FR"/>
        </w:rPr>
        <w:t>’</w:t>
      </w:r>
      <w:r w:rsidRPr="00F458A1">
        <w:rPr>
          <w:lang w:val="fr-FR"/>
        </w:rPr>
        <w:t>il tient de l</w:t>
      </w:r>
      <w:r>
        <w:rPr>
          <w:lang w:val="fr-FR"/>
        </w:rPr>
        <w:t>’</w:t>
      </w:r>
      <w:r w:rsidRPr="00F458A1">
        <w:rPr>
          <w:lang w:val="fr-FR"/>
        </w:rPr>
        <w:t>article 19 du Pacte, lu conjointement avec les paragraphes 2 et 3 de l</w:t>
      </w:r>
      <w:r>
        <w:rPr>
          <w:lang w:val="fr-FR"/>
        </w:rPr>
        <w:t>’</w:t>
      </w:r>
      <w:r w:rsidRPr="00F458A1">
        <w:rPr>
          <w:lang w:val="fr-FR"/>
        </w:rPr>
        <w:t>article 2, et que le fait de qualifier ses actes, qui relevaient de l</w:t>
      </w:r>
      <w:r>
        <w:rPr>
          <w:lang w:val="fr-FR"/>
        </w:rPr>
        <w:t>’</w:t>
      </w:r>
      <w:r w:rsidRPr="00F458A1">
        <w:rPr>
          <w:lang w:val="fr-FR"/>
        </w:rPr>
        <w:t>exercice de la liberté d</w:t>
      </w:r>
      <w:r>
        <w:rPr>
          <w:lang w:val="fr-FR"/>
        </w:rPr>
        <w:t>’</w:t>
      </w:r>
      <w:r w:rsidRPr="00F458A1">
        <w:rPr>
          <w:lang w:val="fr-FR"/>
        </w:rPr>
        <w:t>expression, d</w:t>
      </w:r>
      <w:r>
        <w:rPr>
          <w:lang w:val="fr-FR"/>
        </w:rPr>
        <w:t>’</w:t>
      </w:r>
      <w:r w:rsidRPr="00F458A1">
        <w:rPr>
          <w:lang w:val="fr-FR"/>
        </w:rPr>
        <w:t>infraction à la loi sur les manifestations publiques, a entraîné une restriction injustifiée de ses droits. Il soutient que les restrictions imposées n</w:t>
      </w:r>
      <w:r>
        <w:rPr>
          <w:lang w:val="fr-FR"/>
        </w:rPr>
        <w:t>’</w:t>
      </w:r>
      <w:r w:rsidRPr="00F458A1">
        <w:rPr>
          <w:lang w:val="fr-FR"/>
        </w:rPr>
        <w:t>étaient nécessaires ni au respect des droits ou de la réputation d</w:t>
      </w:r>
      <w:r>
        <w:rPr>
          <w:lang w:val="fr-FR"/>
        </w:rPr>
        <w:t>’</w:t>
      </w:r>
      <w:r w:rsidRPr="00F458A1">
        <w:rPr>
          <w:lang w:val="fr-FR"/>
        </w:rPr>
        <w:t>autrui ni à la sauvegarde de la sécurité nationale, de l</w:t>
      </w:r>
      <w:r>
        <w:rPr>
          <w:lang w:val="fr-FR"/>
        </w:rPr>
        <w:t>’</w:t>
      </w:r>
      <w:r w:rsidRPr="00F458A1">
        <w:rPr>
          <w:lang w:val="fr-FR"/>
        </w:rPr>
        <w:t>ordre public, de la santé ou de la moralité publiques. D</w:t>
      </w:r>
      <w:r>
        <w:rPr>
          <w:lang w:val="fr-FR"/>
        </w:rPr>
        <w:t>’</w:t>
      </w:r>
      <w:r w:rsidRPr="00F458A1">
        <w:rPr>
          <w:lang w:val="fr-FR"/>
        </w:rPr>
        <w:t>après lui, les tribunaux n</w:t>
      </w:r>
      <w:r>
        <w:rPr>
          <w:lang w:val="fr-FR"/>
        </w:rPr>
        <w:t>’</w:t>
      </w:r>
      <w:r w:rsidRPr="00F458A1">
        <w:rPr>
          <w:lang w:val="fr-FR"/>
        </w:rPr>
        <w:t>ont pas examiné en quoi ses actes avaient mis en péril la sécurité nationale, l</w:t>
      </w:r>
      <w:r>
        <w:rPr>
          <w:lang w:val="fr-FR"/>
        </w:rPr>
        <w:t>’</w:t>
      </w:r>
      <w:r w:rsidRPr="00F458A1">
        <w:rPr>
          <w:lang w:val="fr-FR"/>
        </w:rPr>
        <w:t>ordre public ou la santé publique, ou les droits et libertés d</w:t>
      </w:r>
      <w:r>
        <w:rPr>
          <w:lang w:val="fr-FR"/>
        </w:rPr>
        <w:t>’</w:t>
      </w:r>
      <w:r w:rsidRPr="00F458A1">
        <w:rPr>
          <w:lang w:val="fr-FR"/>
        </w:rPr>
        <w:t>autrui.</w:t>
      </w:r>
    </w:p>
    <w:p w:rsidR="00F458A1" w:rsidRPr="00F458A1" w:rsidRDefault="00F458A1" w:rsidP="00F458A1">
      <w:pPr>
        <w:pStyle w:val="SingleTxtG"/>
        <w:rPr>
          <w:lang w:val="fr-FR"/>
        </w:rPr>
      </w:pPr>
      <w:r w:rsidRPr="00F458A1">
        <w:rPr>
          <w:lang w:val="fr-FR"/>
        </w:rPr>
        <w:t>3.2</w:t>
      </w:r>
      <w:r w:rsidRPr="00F458A1">
        <w:rPr>
          <w:lang w:val="fr-FR"/>
        </w:rPr>
        <w:tab/>
        <w:t>L</w:t>
      </w:r>
      <w:r>
        <w:rPr>
          <w:lang w:val="fr-FR"/>
        </w:rPr>
        <w:t>’</w:t>
      </w:r>
      <w:r w:rsidRPr="00F458A1">
        <w:rPr>
          <w:lang w:val="fr-FR"/>
        </w:rPr>
        <w:t>auteur demande au Comité de constater une violation de l</w:t>
      </w:r>
      <w:r>
        <w:rPr>
          <w:lang w:val="fr-FR"/>
        </w:rPr>
        <w:t>’</w:t>
      </w:r>
      <w:r w:rsidRPr="00F458A1">
        <w:rPr>
          <w:lang w:val="fr-FR"/>
        </w:rPr>
        <w:t>article 19 du Pacte, lu conjointement avec les paragraphes 2 et 3 de l</w:t>
      </w:r>
      <w:r>
        <w:rPr>
          <w:lang w:val="fr-FR"/>
        </w:rPr>
        <w:t>’</w:t>
      </w:r>
      <w:r w:rsidRPr="00F458A1">
        <w:rPr>
          <w:lang w:val="fr-FR"/>
        </w:rPr>
        <w:t>article 2 et de recommander à l</w:t>
      </w:r>
      <w:r>
        <w:rPr>
          <w:lang w:val="fr-FR"/>
        </w:rPr>
        <w:t>’</w:t>
      </w:r>
      <w:r w:rsidRPr="00F458A1">
        <w:rPr>
          <w:lang w:val="fr-FR"/>
        </w:rPr>
        <w:t>État partie de mettre la loi sur les manifestations publiques de 1997 en conformité avec les exigences de l</w:t>
      </w:r>
      <w:r>
        <w:rPr>
          <w:lang w:val="fr-FR"/>
        </w:rPr>
        <w:t>’</w:t>
      </w:r>
      <w:r w:rsidRPr="00F458A1">
        <w:rPr>
          <w:lang w:val="fr-FR"/>
        </w:rPr>
        <w:t>article 19 du Pacte.</w:t>
      </w:r>
    </w:p>
    <w:p w:rsidR="00F458A1" w:rsidRPr="00F458A1" w:rsidRDefault="00F458A1" w:rsidP="00F458A1">
      <w:pPr>
        <w:pStyle w:val="H23G"/>
        <w:rPr>
          <w:lang w:val="fr-FR"/>
        </w:rPr>
      </w:pPr>
      <w:r w:rsidRPr="00F458A1">
        <w:rPr>
          <w:lang w:val="fr-FR"/>
        </w:rPr>
        <w:tab/>
      </w:r>
      <w:r w:rsidRPr="00F458A1">
        <w:rPr>
          <w:lang w:val="fr-FR"/>
        </w:rPr>
        <w:tab/>
        <w:t>Défaut de coopération de l</w:t>
      </w:r>
      <w:r>
        <w:rPr>
          <w:lang w:val="fr-FR"/>
        </w:rPr>
        <w:t>’</w:t>
      </w:r>
      <w:r w:rsidRPr="00F458A1">
        <w:rPr>
          <w:lang w:val="fr-FR"/>
        </w:rPr>
        <w:t>État partie</w:t>
      </w:r>
    </w:p>
    <w:p w:rsidR="00F458A1" w:rsidRPr="00F458A1" w:rsidRDefault="00F458A1" w:rsidP="00F458A1">
      <w:pPr>
        <w:pStyle w:val="SingleTxtG"/>
        <w:rPr>
          <w:lang w:val="fr-FR"/>
        </w:rPr>
      </w:pPr>
      <w:r w:rsidRPr="00F458A1">
        <w:rPr>
          <w:lang w:val="fr-FR"/>
        </w:rPr>
        <w:t>4.</w:t>
      </w:r>
      <w:r w:rsidRPr="00F458A1">
        <w:rPr>
          <w:lang w:val="fr-FR"/>
        </w:rPr>
        <w:tab/>
        <w:t>Les 26</w:t>
      </w:r>
      <w:r w:rsidR="00DD1B6E">
        <w:rPr>
          <w:lang w:val="fr-FR"/>
        </w:rPr>
        <w:t> </w:t>
      </w:r>
      <w:r w:rsidRPr="00F458A1">
        <w:rPr>
          <w:lang w:val="fr-FR"/>
        </w:rPr>
        <w:t>novembre 2014, 26</w:t>
      </w:r>
      <w:r w:rsidR="00DD1B6E">
        <w:rPr>
          <w:lang w:val="fr-FR"/>
        </w:rPr>
        <w:t> </w:t>
      </w:r>
      <w:r w:rsidRPr="00F458A1">
        <w:rPr>
          <w:lang w:val="fr-FR"/>
        </w:rPr>
        <w:t>février 2016 et 26</w:t>
      </w:r>
      <w:r w:rsidR="00DD1B6E">
        <w:rPr>
          <w:lang w:val="fr-FR"/>
        </w:rPr>
        <w:t> </w:t>
      </w:r>
      <w:r w:rsidRPr="00F458A1">
        <w:rPr>
          <w:lang w:val="fr-FR"/>
        </w:rPr>
        <w:t>janvier 2017, le Comité a prié l</w:t>
      </w:r>
      <w:r>
        <w:rPr>
          <w:lang w:val="fr-FR"/>
        </w:rPr>
        <w:t>’</w:t>
      </w:r>
      <w:r w:rsidRPr="00F458A1">
        <w:rPr>
          <w:lang w:val="fr-FR"/>
        </w:rPr>
        <w:t>État partie de lui communiquer des renseignements ainsi que ses observations sur la recevabilité et le fond de la présente communication. Il regrette que l</w:t>
      </w:r>
      <w:r>
        <w:rPr>
          <w:lang w:val="fr-FR"/>
        </w:rPr>
        <w:t>’</w:t>
      </w:r>
      <w:r w:rsidRPr="00F458A1">
        <w:rPr>
          <w:lang w:val="fr-FR"/>
        </w:rPr>
        <w:t>État partie n</w:t>
      </w:r>
      <w:r>
        <w:rPr>
          <w:lang w:val="fr-FR"/>
        </w:rPr>
        <w:t>’</w:t>
      </w:r>
      <w:r w:rsidRPr="00F458A1">
        <w:rPr>
          <w:lang w:val="fr-FR"/>
        </w:rPr>
        <w:t>ait fourni d</w:t>
      </w:r>
      <w:r>
        <w:rPr>
          <w:lang w:val="fr-FR"/>
        </w:rPr>
        <w:t>’</w:t>
      </w:r>
      <w:r w:rsidRPr="00F458A1">
        <w:rPr>
          <w:lang w:val="fr-FR"/>
        </w:rPr>
        <w:t>informations ni sur la recevabilité ni sur le fond des griefs de l</w:t>
      </w:r>
      <w:r>
        <w:rPr>
          <w:lang w:val="fr-FR"/>
        </w:rPr>
        <w:t>’</w:t>
      </w:r>
      <w:r w:rsidRPr="00F458A1">
        <w:rPr>
          <w:lang w:val="fr-FR"/>
        </w:rPr>
        <w:t>auteur. Il rappelle qu</w:t>
      </w:r>
      <w:r>
        <w:rPr>
          <w:lang w:val="fr-FR"/>
        </w:rPr>
        <w:t>’</w:t>
      </w:r>
      <w:r w:rsidRPr="00F458A1">
        <w:rPr>
          <w:lang w:val="fr-FR"/>
        </w:rPr>
        <w:t>au titre du paragraphe 2 de l</w:t>
      </w:r>
      <w:r>
        <w:rPr>
          <w:lang w:val="fr-FR"/>
        </w:rPr>
        <w:t>’</w:t>
      </w:r>
      <w:r w:rsidRPr="00F458A1">
        <w:rPr>
          <w:lang w:val="fr-FR"/>
        </w:rPr>
        <w:t>article 4 du Protocole facultatif se rapportant au Pacte, les États parties sont tenus d</w:t>
      </w:r>
      <w:r>
        <w:rPr>
          <w:lang w:val="fr-FR"/>
        </w:rPr>
        <w:t>’</w:t>
      </w:r>
      <w:r w:rsidRPr="00F458A1">
        <w:rPr>
          <w:lang w:val="fr-FR"/>
        </w:rPr>
        <w:t>examiner de bonne foi toutes les allégations portées contre eux et de communiquer au Comité toutes les informations dont ils disposent. En l</w:t>
      </w:r>
      <w:r>
        <w:rPr>
          <w:lang w:val="fr-FR"/>
        </w:rPr>
        <w:t>’</w:t>
      </w:r>
      <w:r w:rsidRPr="00F458A1">
        <w:rPr>
          <w:lang w:val="fr-FR"/>
        </w:rPr>
        <w:t>absence de réponse de l</w:t>
      </w:r>
      <w:r>
        <w:rPr>
          <w:lang w:val="fr-FR"/>
        </w:rPr>
        <w:t>’</w:t>
      </w:r>
      <w:r w:rsidRPr="00F458A1">
        <w:rPr>
          <w:lang w:val="fr-FR"/>
        </w:rPr>
        <w:t>État partie, il y a lieu d</w:t>
      </w:r>
      <w:r>
        <w:rPr>
          <w:lang w:val="fr-FR"/>
        </w:rPr>
        <w:t>’</w:t>
      </w:r>
      <w:r w:rsidRPr="00F458A1">
        <w:rPr>
          <w:lang w:val="fr-FR"/>
        </w:rPr>
        <w:t>accorder le poids voulu aux allégations de l</w:t>
      </w:r>
      <w:r>
        <w:rPr>
          <w:lang w:val="fr-FR"/>
        </w:rPr>
        <w:t>’</w:t>
      </w:r>
      <w:r w:rsidRPr="00F458A1">
        <w:rPr>
          <w:lang w:val="fr-FR"/>
        </w:rPr>
        <w:t>auteur, pour autant qu</w:t>
      </w:r>
      <w:r>
        <w:rPr>
          <w:lang w:val="fr-FR"/>
        </w:rPr>
        <w:t>’</w:t>
      </w:r>
      <w:r w:rsidRPr="00F458A1">
        <w:rPr>
          <w:lang w:val="fr-FR"/>
        </w:rPr>
        <w:t>elles soient étayées</w:t>
      </w:r>
      <w:r w:rsidRPr="00F458A1">
        <w:rPr>
          <w:rStyle w:val="Appelnotedebasdep"/>
        </w:rPr>
        <w:footnoteReference w:id="4"/>
      </w:r>
      <w:r w:rsidRPr="00F458A1">
        <w:rPr>
          <w:lang w:val="fr-FR"/>
        </w:rPr>
        <w:t>.</w:t>
      </w:r>
    </w:p>
    <w:p w:rsidR="00F458A1" w:rsidRPr="00F458A1" w:rsidRDefault="00F458A1" w:rsidP="00F458A1">
      <w:pPr>
        <w:pStyle w:val="H23G"/>
        <w:rPr>
          <w:lang w:val="fr-FR"/>
        </w:rPr>
      </w:pPr>
      <w:r w:rsidRPr="00F458A1">
        <w:rPr>
          <w:lang w:val="fr-FR"/>
        </w:rPr>
        <w:tab/>
      </w:r>
      <w:r w:rsidRPr="00F458A1">
        <w:rPr>
          <w:lang w:val="fr-FR"/>
        </w:rPr>
        <w:tab/>
        <w:t>Délibérations du Comité</w:t>
      </w:r>
    </w:p>
    <w:p w:rsidR="00F458A1" w:rsidRPr="00F458A1" w:rsidRDefault="00F458A1" w:rsidP="00F458A1">
      <w:pPr>
        <w:pStyle w:val="H4G"/>
        <w:rPr>
          <w:lang w:val="fr-FR"/>
        </w:rPr>
      </w:pPr>
      <w:r w:rsidRPr="00F458A1">
        <w:rPr>
          <w:lang w:val="fr-FR"/>
        </w:rPr>
        <w:tab/>
      </w:r>
      <w:r w:rsidRPr="00F458A1">
        <w:rPr>
          <w:lang w:val="fr-FR"/>
        </w:rPr>
        <w:tab/>
        <w:t>Examen de la recevabilité</w:t>
      </w:r>
    </w:p>
    <w:p w:rsidR="00F458A1" w:rsidRPr="00F458A1" w:rsidRDefault="00F458A1" w:rsidP="00F458A1">
      <w:pPr>
        <w:pStyle w:val="SingleTxtG"/>
        <w:rPr>
          <w:bCs/>
          <w:lang w:val="fr-FR"/>
        </w:rPr>
      </w:pPr>
      <w:r w:rsidRPr="00F458A1">
        <w:rPr>
          <w:lang w:val="fr-FR"/>
        </w:rPr>
        <w:t>5.1</w:t>
      </w:r>
      <w:r w:rsidRPr="00F458A1">
        <w:rPr>
          <w:lang w:val="fr-FR"/>
        </w:rPr>
        <w:tab/>
        <w:t>Avant d</w:t>
      </w:r>
      <w:r>
        <w:rPr>
          <w:lang w:val="fr-FR"/>
        </w:rPr>
        <w:t>’</w:t>
      </w:r>
      <w:r w:rsidRPr="00F458A1">
        <w:rPr>
          <w:lang w:val="fr-FR"/>
        </w:rPr>
        <w:t>examiner tout grief formulé dans une communication, le Comité des droits de l</w:t>
      </w:r>
      <w:r>
        <w:rPr>
          <w:lang w:val="fr-FR"/>
        </w:rPr>
        <w:t>’</w:t>
      </w:r>
      <w:r w:rsidRPr="00F458A1">
        <w:rPr>
          <w:lang w:val="fr-FR"/>
        </w:rPr>
        <w:t>homme doit, conformément à l</w:t>
      </w:r>
      <w:r>
        <w:rPr>
          <w:lang w:val="fr-FR"/>
        </w:rPr>
        <w:t>’</w:t>
      </w:r>
      <w:r w:rsidRPr="00F458A1">
        <w:rPr>
          <w:lang w:val="fr-FR"/>
        </w:rPr>
        <w:t>article 97 de son règlement intérieur, déterminer si la communication est recevable au regard du Protocole facultatif se rapportant au Pacte.</w:t>
      </w:r>
    </w:p>
    <w:p w:rsidR="00F458A1" w:rsidRPr="00F458A1" w:rsidRDefault="00F458A1" w:rsidP="00F458A1">
      <w:pPr>
        <w:pStyle w:val="SingleTxtG"/>
        <w:rPr>
          <w:lang w:val="fr-FR"/>
        </w:rPr>
      </w:pPr>
      <w:r w:rsidRPr="00F458A1">
        <w:rPr>
          <w:lang w:val="fr-FR"/>
        </w:rPr>
        <w:t>5.2</w:t>
      </w:r>
      <w:r w:rsidRPr="00F458A1">
        <w:rPr>
          <w:lang w:val="fr-FR"/>
        </w:rPr>
        <w:tab/>
        <w:t>Le Comité s</w:t>
      </w:r>
      <w:r>
        <w:rPr>
          <w:lang w:val="fr-FR"/>
        </w:rPr>
        <w:t>’</w:t>
      </w:r>
      <w:r w:rsidRPr="00F458A1">
        <w:rPr>
          <w:lang w:val="fr-FR"/>
        </w:rPr>
        <w:t>est assuré, comme il est tenu de le faire conformément au paragraphe 2 a) de l</w:t>
      </w:r>
      <w:r>
        <w:rPr>
          <w:lang w:val="fr-FR"/>
        </w:rPr>
        <w:t>’</w:t>
      </w:r>
      <w:r w:rsidRPr="00F458A1">
        <w:rPr>
          <w:lang w:val="fr-FR"/>
        </w:rPr>
        <w:t>article 5 du Protocole facultatif, que la même question n</w:t>
      </w:r>
      <w:r>
        <w:rPr>
          <w:lang w:val="fr-FR"/>
        </w:rPr>
        <w:t>’</w:t>
      </w:r>
      <w:r w:rsidRPr="00F458A1">
        <w:rPr>
          <w:lang w:val="fr-FR"/>
        </w:rPr>
        <w:t>était pas déjà en cours d</w:t>
      </w:r>
      <w:r>
        <w:rPr>
          <w:lang w:val="fr-FR"/>
        </w:rPr>
        <w:t>’</w:t>
      </w:r>
      <w:r w:rsidRPr="00F458A1">
        <w:rPr>
          <w:lang w:val="fr-FR"/>
        </w:rPr>
        <w:t>examen devant une autre instance internationale d</w:t>
      </w:r>
      <w:r>
        <w:rPr>
          <w:lang w:val="fr-FR"/>
        </w:rPr>
        <w:t>’</w:t>
      </w:r>
      <w:r w:rsidRPr="00F458A1">
        <w:rPr>
          <w:lang w:val="fr-FR"/>
        </w:rPr>
        <w:t>enquête ou de règlement.</w:t>
      </w:r>
    </w:p>
    <w:p w:rsidR="00F458A1" w:rsidRPr="00F458A1" w:rsidRDefault="00F458A1" w:rsidP="00F458A1">
      <w:pPr>
        <w:pStyle w:val="SingleTxtG"/>
        <w:rPr>
          <w:lang w:val="fr-FR"/>
        </w:rPr>
      </w:pPr>
      <w:r w:rsidRPr="00F458A1">
        <w:rPr>
          <w:lang w:val="fr-FR"/>
        </w:rPr>
        <w:t>5.3</w:t>
      </w:r>
      <w:r w:rsidRPr="00F458A1">
        <w:rPr>
          <w:lang w:val="fr-FR"/>
        </w:rPr>
        <w:tab/>
        <w:t>Le Comité note que l</w:t>
      </w:r>
      <w:r>
        <w:rPr>
          <w:lang w:val="fr-FR"/>
        </w:rPr>
        <w:t>’</w:t>
      </w:r>
      <w:r w:rsidRPr="00F458A1">
        <w:rPr>
          <w:lang w:val="fr-FR"/>
        </w:rPr>
        <w:t>auteur affirme avoir épuisé tous les recours internes utiles qui lui étaient ouverts. Faute d</w:t>
      </w:r>
      <w:r>
        <w:rPr>
          <w:lang w:val="fr-FR"/>
        </w:rPr>
        <w:t>’</w:t>
      </w:r>
      <w:r w:rsidRPr="00F458A1">
        <w:rPr>
          <w:lang w:val="fr-FR"/>
        </w:rPr>
        <w:t>observation contraire de l</w:t>
      </w:r>
      <w:r>
        <w:rPr>
          <w:lang w:val="fr-FR"/>
        </w:rPr>
        <w:t>’</w:t>
      </w:r>
      <w:r w:rsidRPr="00F458A1">
        <w:rPr>
          <w:lang w:val="fr-FR"/>
        </w:rPr>
        <w:t>État partie, le Comité considère qu</w:t>
      </w:r>
      <w:r>
        <w:rPr>
          <w:lang w:val="fr-FR"/>
        </w:rPr>
        <w:t>’</w:t>
      </w:r>
      <w:r w:rsidRPr="00F458A1">
        <w:rPr>
          <w:lang w:val="fr-FR"/>
        </w:rPr>
        <w:t>il n</w:t>
      </w:r>
      <w:r>
        <w:rPr>
          <w:lang w:val="fr-FR"/>
        </w:rPr>
        <w:t>’</w:t>
      </w:r>
      <w:r w:rsidRPr="00F458A1">
        <w:rPr>
          <w:lang w:val="fr-FR"/>
        </w:rPr>
        <w:t>est pas empêché par les dispositions du paragraphe 2 b) de l</w:t>
      </w:r>
      <w:r>
        <w:rPr>
          <w:lang w:val="fr-FR"/>
        </w:rPr>
        <w:t>’</w:t>
      </w:r>
      <w:r w:rsidRPr="00F458A1">
        <w:rPr>
          <w:lang w:val="fr-FR"/>
        </w:rPr>
        <w:t>article 5 du Protocole facultatif d</w:t>
      </w:r>
      <w:r>
        <w:rPr>
          <w:lang w:val="fr-FR"/>
        </w:rPr>
        <w:t>’</w:t>
      </w:r>
      <w:r w:rsidRPr="00F458A1">
        <w:rPr>
          <w:lang w:val="fr-FR"/>
        </w:rPr>
        <w:t>examiner la présente communication.</w:t>
      </w:r>
    </w:p>
    <w:p w:rsidR="00F458A1" w:rsidRPr="00F458A1" w:rsidRDefault="00F458A1" w:rsidP="00F458A1">
      <w:pPr>
        <w:pStyle w:val="SingleTxtG"/>
        <w:rPr>
          <w:lang w:val="fr-FR"/>
        </w:rPr>
      </w:pPr>
      <w:r w:rsidRPr="00F458A1">
        <w:rPr>
          <w:lang w:val="fr-FR"/>
        </w:rPr>
        <w:t>5.4</w:t>
      </w:r>
      <w:r w:rsidRPr="00F458A1">
        <w:rPr>
          <w:lang w:val="fr-FR"/>
        </w:rPr>
        <w:tab/>
        <w:t>Le Comité prend note de l</w:t>
      </w:r>
      <w:r>
        <w:rPr>
          <w:lang w:val="fr-FR"/>
        </w:rPr>
        <w:t>’</w:t>
      </w:r>
      <w:r w:rsidRPr="00F458A1">
        <w:rPr>
          <w:lang w:val="fr-FR"/>
        </w:rPr>
        <w:t>allégation de l</w:t>
      </w:r>
      <w:r>
        <w:rPr>
          <w:lang w:val="fr-FR"/>
        </w:rPr>
        <w:t>’</w:t>
      </w:r>
      <w:r w:rsidRPr="00F458A1">
        <w:rPr>
          <w:lang w:val="fr-FR"/>
        </w:rPr>
        <w:t>auteur selon laquelle les droits qu</w:t>
      </w:r>
      <w:r>
        <w:rPr>
          <w:lang w:val="fr-FR"/>
        </w:rPr>
        <w:t>’</w:t>
      </w:r>
      <w:r w:rsidRPr="00F458A1">
        <w:rPr>
          <w:lang w:val="fr-FR"/>
        </w:rPr>
        <w:t>il tient de l</w:t>
      </w:r>
      <w:r>
        <w:rPr>
          <w:lang w:val="fr-FR"/>
        </w:rPr>
        <w:t>’</w:t>
      </w:r>
      <w:r w:rsidRPr="00F458A1">
        <w:rPr>
          <w:lang w:val="fr-FR"/>
        </w:rPr>
        <w:t>article 19 du Pacte, lu conjointement avec le paragraphe 2 de l</w:t>
      </w:r>
      <w:r>
        <w:rPr>
          <w:lang w:val="fr-FR"/>
        </w:rPr>
        <w:t>’</w:t>
      </w:r>
      <w:r w:rsidRPr="00F458A1">
        <w:rPr>
          <w:lang w:val="fr-FR"/>
        </w:rPr>
        <w:t>article 2, ont été violés. Le Comité rappelle que les dispositions de l</w:t>
      </w:r>
      <w:r>
        <w:rPr>
          <w:lang w:val="fr-FR"/>
        </w:rPr>
        <w:t>’</w:t>
      </w:r>
      <w:r w:rsidRPr="00F458A1">
        <w:rPr>
          <w:lang w:val="fr-FR"/>
        </w:rPr>
        <w:t>article 2 du Pacte ne peuvent être invoquées conjointement avec d</w:t>
      </w:r>
      <w:r>
        <w:rPr>
          <w:lang w:val="fr-FR"/>
        </w:rPr>
        <w:t>’</w:t>
      </w:r>
      <w:r w:rsidRPr="00F458A1">
        <w:rPr>
          <w:lang w:val="fr-FR"/>
        </w:rPr>
        <w:t>autres dispositions du Pacte dans une communication présentée en vertu du Protocole facultatif, sauf lorsque le manquement de l</w:t>
      </w:r>
      <w:r>
        <w:rPr>
          <w:lang w:val="fr-FR"/>
        </w:rPr>
        <w:t>’</w:t>
      </w:r>
      <w:r w:rsidRPr="00F458A1">
        <w:rPr>
          <w:lang w:val="fr-FR"/>
        </w:rPr>
        <w:t>État partie aux obligations que lui impose l</w:t>
      </w:r>
      <w:r>
        <w:rPr>
          <w:lang w:val="fr-FR"/>
        </w:rPr>
        <w:t>’</w:t>
      </w:r>
      <w:r w:rsidRPr="00F458A1">
        <w:rPr>
          <w:lang w:val="fr-FR"/>
        </w:rPr>
        <w:t>article 2 est la cause immédiate d</w:t>
      </w:r>
      <w:r>
        <w:rPr>
          <w:lang w:val="fr-FR"/>
        </w:rPr>
        <w:t>’</w:t>
      </w:r>
      <w:r w:rsidRPr="00F458A1">
        <w:rPr>
          <w:lang w:val="fr-FR"/>
        </w:rPr>
        <w:t>une violation distincte du Pacte portant directement atteinte à la personne qui se dit victime</w:t>
      </w:r>
      <w:r w:rsidRPr="00F458A1">
        <w:rPr>
          <w:rStyle w:val="Appelnotedebasdep"/>
        </w:rPr>
        <w:footnoteReference w:id="5"/>
      </w:r>
      <w:r w:rsidRPr="00F458A1">
        <w:rPr>
          <w:lang w:val="fr-FR"/>
        </w:rPr>
        <w:t>. Toutefois, notant que l</w:t>
      </w:r>
      <w:r>
        <w:rPr>
          <w:lang w:val="fr-FR"/>
        </w:rPr>
        <w:t>’</w:t>
      </w:r>
      <w:r w:rsidRPr="00F458A1">
        <w:rPr>
          <w:lang w:val="fr-FR"/>
        </w:rPr>
        <w:t>auteur a déjà allégué une violation des droits qu</w:t>
      </w:r>
      <w:r>
        <w:rPr>
          <w:lang w:val="fr-FR"/>
        </w:rPr>
        <w:t>’</w:t>
      </w:r>
      <w:r w:rsidRPr="00F458A1">
        <w:rPr>
          <w:lang w:val="fr-FR"/>
        </w:rPr>
        <w:t>il tient de l</w:t>
      </w:r>
      <w:r>
        <w:rPr>
          <w:lang w:val="fr-FR"/>
        </w:rPr>
        <w:t>’</w:t>
      </w:r>
      <w:r w:rsidRPr="00F458A1">
        <w:rPr>
          <w:lang w:val="fr-FR"/>
        </w:rPr>
        <w:t>article 19, fondée sur l</w:t>
      </w:r>
      <w:r>
        <w:rPr>
          <w:lang w:val="fr-FR"/>
        </w:rPr>
        <w:t>’</w:t>
      </w:r>
      <w:r w:rsidRPr="00F458A1">
        <w:rPr>
          <w:lang w:val="fr-FR"/>
        </w:rPr>
        <w:t>interprétation et l</w:t>
      </w:r>
      <w:r>
        <w:rPr>
          <w:lang w:val="fr-FR"/>
        </w:rPr>
        <w:t>’</w:t>
      </w:r>
      <w:r w:rsidRPr="00F458A1">
        <w:rPr>
          <w:lang w:val="fr-FR"/>
        </w:rPr>
        <w:t>application des lois en vigueur dans l</w:t>
      </w:r>
      <w:r>
        <w:rPr>
          <w:lang w:val="fr-FR"/>
        </w:rPr>
        <w:t>’</w:t>
      </w:r>
      <w:r w:rsidRPr="00F458A1">
        <w:rPr>
          <w:lang w:val="fr-FR"/>
        </w:rPr>
        <w:t>État partie, le Comité considère que l</w:t>
      </w:r>
      <w:r>
        <w:rPr>
          <w:lang w:val="fr-FR"/>
        </w:rPr>
        <w:t>’</w:t>
      </w:r>
      <w:r w:rsidRPr="00F458A1">
        <w:rPr>
          <w:lang w:val="fr-FR"/>
        </w:rPr>
        <w:t>examen de la question de savoir si l</w:t>
      </w:r>
      <w:r>
        <w:rPr>
          <w:lang w:val="fr-FR"/>
        </w:rPr>
        <w:t>’</w:t>
      </w:r>
      <w:r w:rsidRPr="00F458A1">
        <w:rPr>
          <w:lang w:val="fr-FR"/>
        </w:rPr>
        <w:t>État partie a également violé les obligations générales que lui imposent le paragraphe 2 de l</w:t>
      </w:r>
      <w:r>
        <w:rPr>
          <w:lang w:val="fr-FR"/>
        </w:rPr>
        <w:t>’</w:t>
      </w:r>
      <w:r w:rsidRPr="00F458A1">
        <w:rPr>
          <w:lang w:val="fr-FR"/>
        </w:rPr>
        <w:t>article 2 du Pacte, lu conjointement avec l</w:t>
      </w:r>
      <w:r>
        <w:rPr>
          <w:lang w:val="fr-FR"/>
        </w:rPr>
        <w:t>’</w:t>
      </w:r>
      <w:r w:rsidRPr="00F458A1">
        <w:rPr>
          <w:lang w:val="fr-FR"/>
        </w:rPr>
        <w:t>article 19, ne serait pas différent de l</w:t>
      </w:r>
      <w:r>
        <w:rPr>
          <w:lang w:val="fr-FR"/>
        </w:rPr>
        <w:t>’</w:t>
      </w:r>
      <w:r w:rsidRPr="00F458A1">
        <w:rPr>
          <w:lang w:val="fr-FR"/>
        </w:rPr>
        <w:t>examen de la violation des droits que l</w:t>
      </w:r>
      <w:r>
        <w:rPr>
          <w:lang w:val="fr-FR"/>
        </w:rPr>
        <w:t>’</w:t>
      </w:r>
      <w:r w:rsidRPr="00F458A1">
        <w:rPr>
          <w:lang w:val="fr-FR"/>
        </w:rPr>
        <w:t>auteur tient de l</w:t>
      </w:r>
      <w:r>
        <w:rPr>
          <w:lang w:val="fr-FR"/>
        </w:rPr>
        <w:t>’</w:t>
      </w:r>
      <w:r w:rsidRPr="00F458A1">
        <w:rPr>
          <w:lang w:val="fr-FR"/>
        </w:rPr>
        <w:t>article 19 du Pacte. Il considère donc que les griefs de l</w:t>
      </w:r>
      <w:r>
        <w:rPr>
          <w:lang w:val="fr-FR"/>
        </w:rPr>
        <w:t>’</w:t>
      </w:r>
      <w:r w:rsidRPr="00F458A1">
        <w:rPr>
          <w:lang w:val="fr-FR"/>
        </w:rPr>
        <w:t>auteur sur ce point sont incompatibles avec l</w:t>
      </w:r>
      <w:r>
        <w:rPr>
          <w:lang w:val="fr-FR"/>
        </w:rPr>
        <w:t>’</w:t>
      </w:r>
      <w:r w:rsidRPr="00F458A1">
        <w:rPr>
          <w:lang w:val="fr-FR"/>
        </w:rPr>
        <w:t>article 2 du Pacte et donc irrecevables au regard de l</w:t>
      </w:r>
      <w:r>
        <w:rPr>
          <w:lang w:val="fr-FR"/>
        </w:rPr>
        <w:t>’</w:t>
      </w:r>
      <w:r w:rsidRPr="00F458A1">
        <w:rPr>
          <w:lang w:val="fr-FR"/>
        </w:rPr>
        <w:t>article 3 du Protocole facultatif.</w:t>
      </w:r>
    </w:p>
    <w:p w:rsidR="00F458A1" w:rsidRPr="00F458A1" w:rsidRDefault="00F458A1" w:rsidP="00F458A1">
      <w:pPr>
        <w:pStyle w:val="SingleTxtG"/>
        <w:rPr>
          <w:lang w:val="fr-FR"/>
        </w:rPr>
      </w:pPr>
      <w:r w:rsidRPr="00F458A1">
        <w:rPr>
          <w:lang w:val="fr-FR"/>
        </w:rPr>
        <w:t>5.5</w:t>
      </w:r>
      <w:r w:rsidRPr="00F458A1">
        <w:rPr>
          <w:lang w:val="fr-FR"/>
        </w:rPr>
        <w:tab/>
        <w:t>Le Comité considère également que l</w:t>
      </w:r>
      <w:r>
        <w:rPr>
          <w:lang w:val="fr-FR"/>
        </w:rPr>
        <w:t>’</w:t>
      </w:r>
      <w:r w:rsidRPr="00F458A1">
        <w:rPr>
          <w:lang w:val="fr-FR"/>
        </w:rPr>
        <w:t>auteur n</w:t>
      </w:r>
      <w:r>
        <w:rPr>
          <w:lang w:val="fr-FR"/>
        </w:rPr>
        <w:t>’</w:t>
      </w:r>
      <w:r w:rsidRPr="00F458A1">
        <w:rPr>
          <w:lang w:val="fr-FR"/>
        </w:rPr>
        <w:t>a pas étayé les griefs qu</w:t>
      </w:r>
      <w:r>
        <w:rPr>
          <w:lang w:val="fr-FR"/>
        </w:rPr>
        <w:t>’</w:t>
      </w:r>
      <w:r w:rsidRPr="00F458A1">
        <w:rPr>
          <w:lang w:val="fr-FR"/>
        </w:rPr>
        <w:t>il tire de l</w:t>
      </w:r>
      <w:r>
        <w:rPr>
          <w:lang w:val="fr-FR"/>
        </w:rPr>
        <w:t>’</w:t>
      </w:r>
      <w:r w:rsidRPr="00F458A1">
        <w:rPr>
          <w:lang w:val="fr-FR"/>
        </w:rPr>
        <w:t>article 19 du Pacte, lu seul et conjointement avec le paragraphe 3 de l</w:t>
      </w:r>
      <w:r>
        <w:rPr>
          <w:lang w:val="fr-FR"/>
        </w:rPr>
        <w:t>’</w:t>
      </w:r>
      <w:r w:rsidRPr="00F458A1">
        <w:rPr>
          <w:lang w:val="fr-FR"/>
        </w:rPr>
        <w:t>article 2, et par conséquent, déclare irrecevable cette partie de la communication.</w:t>
      </w:r>
    </w:p>
    <w:p w:rsidR="00F458A1" w:rsidRPr="00F458A1" w:rsidRDefault="00F458A1" w:rsidP="00F458A1">
      <w:pPr>
        <w:pStyle w:val="SingleTxtG"/>
        <w:rPr>
          <w:lang w:val="fr-FR"/>
        </w:rPr>
      </w:pPr>
      <w:r w:rsidRPr="00F458A1">
        <w:rPr>
          <w:lang w:val="fr-FR"/>
        </w:rPr>
        <w:t>5.6</w:t>
      </w:r>
      <w:r w:rsidRPr="00F458A1">
        <w:rPr>
          <w:lang w:val="fr-FR"/>
        </w:rPr>
        <w:tab/>
        <w:t>Le Comité considère que les griefs que l</w:t>
      </w:r>
      <w:r>
        <w:rPr>
          <w:lang w:val="fr-FR"/>
        </w:rPr>
        <w:t>’</w:t>
      </w:r>
      <w:r w:rsidRPr="00F458A1">
        <w:rPr>
          <w:lang w:val="fr-FR"/>
        </w:rPr>
        <w:t>auteur tire de l</w:t>
      </w:r>
      <w:r>
        <w:rPr>
          <w:lang w:val="fr-FR"/>
        </w:rPr>
        <w:t>’</w:t>
      </w:r>
      <w:r w:rsidRPr="00F458A1">
        <w:rPr>
          <w:lang w:val="fr-FR"/>
        </w:rPr>
        <w:t>article 19 du Pacte sont suffisamment étayés aux fins de la recevabilité, et procède à leur examen quant au fond.</w:t>
      </w:r>
    </w:p>
    <w:p w:rsidR="00F458A1" w:rsidRPr="00F458A1" w:rsidRDefault="00F458A1" w:rsidP="00F458A1">
      <w:pPr>
        <w:pStyle w:val="H4G"/>
        <w:rPr>
          <w:lang w:val="fr-FR"/>
        </w:rPr>
      </w:pPr>
      <w:r w:rsidRPr="00F458A1">
        <w:rPr>
          <w:lang w:val="fr-FR"/>
        </w:rPr>
        <w:tab/>
      </w:r>
      <w:r w:rsidRPr="00F458A1">
        <w:rPr>
          <w:lang w:val="fr-FR"/>
        </w:rPr>
        <w:tab/>
        <w:t>Examen au fond</w:t>
      </w:r>
    </w:p>
    <w:p w:rsidR="00F458A1" w:rsidRPr="00F458A1" w:rsidRDefault="00F458A1" w:rsidP="00F458A1">
      <w:pPr>
        <w:pStyle w:val="SingleTxtG"/>
        <w:rPr>
          <w:lang w:val="fr-FR"/>
        </w:rPr>
      </w:pPr>
      <w:r w:rsidRPr="00F458A1">
        <w:rPr>
          <w:lang w:val="fr-FR"/>
        </w:rPr>
        <w:t>6.1</w:t>
      </w:r>
      <w:r w:rsidRPr="00F458A1">
        <w:rPr>
          <w:lang w:val="fr-FR"/>
        </w:rPr>
        <w:tab/>
        <w:t>Conformément au paragraphe 1 de l</w:t>
      </w:r>
      <w:r>
        <w:rPr>
          <w:lang w:val="fr-FR"/>
        </w:rPr>
        <w:t>’</w:t>
      </w:r>
      <w:r w:rsidRPr="00F458A1">
        <w:rPr>
          <w:lang w:val="fr-FR"/>
        </w:rPr>
        <w:t>article 5 du Protocole facultatif, le Comité des droits de l</w:t>
      </w:r>
      <w:r>
        <w:rPr>
          <w:lang w:val="fr-FR"/>
        </w:rPr>
        <w:t>’</w:t>
      </w:r>
      <w:r w:rsidRPr="00F458A1">
        <w:rPr>
          <w:lang w:val="fr-FR"/>
        </w:rPr>
        <w:t>homme a examiné la présente communication en tenant compte de toutes les informations que lui ont communiquées les parties.</w:t>
      </w:r>
    </w:p>
    <w:p w:rsidR="00F458A1" w:rsidRPr="00F458A1" w:rsidRDefault="00F458A1" w:rsidP="00F458A1">
      <w:pPr>
        <w:pStyle w:val="SingleTxtG"/>
        <w:rPr>
          <w:lang w:val="fr-FR"/>
        </w:rPr>
      </w:pPr>
      <w:r w:rsidRPr="00F458A1">
        <w:rPr>
          <w:lang w:val="fr-FR"/>
        </w:rPr>
        <w:t>6.2</w:t>
      </w:r>
      <w:r w:rsidRPr="00F458A1">
        <w:rPr>
          <w:lang w:val="fr-FR"/>
        </w:rPr>
        <w:tab/>
        <w:t>Le Comité prend note des griefs de l</w:t>
      </w:r>
      <w:r>
        <w:rPr>
          <w:lang w:val="fr-FR"/>
        </w:rPr>
        <w:t>’</w:t>
      </w:r>
      <w:r w:rsidRPr="00F458A1">
        <w:rPr>
          <w:lang w:val="fr-FR"/>
        </w:rPr>
        <w:t>auteur, selon lequel sa liberté d</w:t>
      </w:r>
      <w:r>
        <w:rPr>
          <w:lang w:val="fr-FR"/>
        </w:rPr>
        <w:t>’</w:t>
      </w:r>
      <w:r w:rsidRPr="00F458A1">
        <w:rPr>
          <w:lang w:val="fr-FR"/>
        </w:rPr>
        <w:t>expression a été restreinte arbitrairement car il a été sanctionné pour avoir tenu un piquet le 11 novembre 2013 et le 11 mars 2014. Le Comité considère que la question de droit dont il est saisi consiste à déterminer si les sanctions imposées à l</w:t>
      </w:r>
      <w:r>
        <w:rPr>
          <w:lang w:val="fr-FR"/>
        </w:rPr>
        <w:t>’</w:t>
      </w:r>
      <w:r w:rsidRPr="00F458A1">
        <w:rPr>
          <w:lang w:val="fr-FR"/>
        </w:rPr>
        <w:t>auteur constituent une violation de l</w:t>
      </w:r>
      <w:r>
        <w:rPr>
          <w:lang w:val="fr-FR"/>
        </w:rPr>
        <w:t>’</w:t>
      </w:r>
      <w:r w:rsidRPr="00F458A1">
        <w:rPr>
          <w:lang w:val="fr-FR"/>
        </w:rPr>
        <w:t>article 19 du Pacte. Les informations dont il dispose montrent que les actes de l</w:t>
      </w:r>
      <w:r>
        <w:rPr>
          <w:lang w:val="fr-FR"/>
        </w:rPr>
        <w:t>’</w:t>
      </w:r>
      <w:r w:rsidRPr="00F458A1">
        <w:rPr>
          <w:lang w:val="fr-FR"/>
        </w:rPr>
        <w:t>auteur ont été qualifiés de manifestation publique par les tribunaux et que l</w:t>
      </w:r>
      <w:r>
        <w:rPr>
          <w:lang w:val="fr-FR"/>
        </w:rPr>
        <w:t>’</w:t>
      </w:r>
      <w:r w:rsidRPr="00F458A1">
        <w:rPr>
          <w:lang w:val="fr-FR"/>
        </w:rPr>
        <w:t>auteur a été condamné à une amende pour avoir omis de demander aux autorités municipales l</w:t>
      </w:r>
      <w:r>
        <w:rPr>
          <w:lang w:val="fr-FR"/>
        </w:rPr>
        <w:t>’</w:t>
      </w:r>
      <w:r w:rsidRPr="00F458A1">
        <w:rPr>
          <w:lang w:val="fr-FR"/>
        </w:rPr>
        <w:t>autorisation préalable de tenir un piquet. De l</w:t>
      </w:r>
      <w:r>
        <w:rPr>
          <w:lang w:val="fr-FR"/>
        </w:rPr>
        <w:t>’</w:t>
      </w:r>
      <w:r w:rsidRPr="00F458A1">
        <w:rPr>
          <w:lang w:val="fr-FR"/>
        </w:rPr>
        <w:t>avis du Comité, les mesures prises par les autorités, quelle que soit leur qualification juridique, constituent une limitation des droits de l</w:t>
      </w:r>
      <w:r>
        <w:rPr>
          <w:lang w:val="fr-FR"/>
        </w:rPr>
        <w:t>’</w:t>
      </w:r>
      <w:r w:rsidRPr="00F458A1">
        <w:rPr>
          <w:lang w:val="fr-FR"/>
        </w:rPr>
        <w:t>auteur, en particulier du droit de répandre des informations et des idées de toute espèce, garanti par le paragraphe</w:t>
      </w:r>
      <w:r w:rsidR="00C571DE">
        <w:rPr>
          <w:lang w:val="fr-FR"/>
        </w:rPr>
        <w:t> </w:t>
      </w:r>
      <w:r w:rsidRPr="00F458A1">
        <w:rPr>
          <w:lang w:val="fr-FR"/>
        </w:rPr>
        <w:t>2 de l</w:t>
      </w:r>
      <w:r>
        <w:rPr>
          <w:lang w:val="fr-FR"/>
        </w:rPr>
        <w:t>’</w:t>
      </w:r>
      <w:r w:rsidRPr="00F458A1">
        <w:rPr>
          <w:lang w:val="fr-FR"/>
        </w:rPr>
        <w:t>article 19 du Pacte</w:t>
      </w:r>
      <w:r w:rsidRPr="00F458A1">
        <w:rPr>
          <w:rStyle w:val="Appelnotedebasdep"/>
        </w:rPr>
        <w:footnoteReference w:id="6"/>
      </w:r>
      <w:r w:rsidRPr="00F458A1">
        <w:rPr>
          <w:lang w:val="fr-FR"/>
        </w:rPr>
        <w:t>.</w:t>
      </w:r>
    </w:p>
    <w:p w:rsidR="00F458A1" w:rsidRPr="00F458A1" w:rsidRDefault="00F458A1" w:rsidP="00F458A1">
      <w:pPr>
        <w:pStyle w:val="SingleTxtG"/>
        <w:rPr>
          <w:spacing w:val="-2"/>
          <w:lang w:val="fr-FR"/>
        </w:rPr>
      </w:pPr>
      <w:r w:rsidRPr="00F458A1">
        <w:rPr>
          <w:spacing w:val="-2"/>
          <w:lang w:val="fr-FR"/>
        </w:rPr>
        <w:t>6.3</w:t>
      </w:r>
      <w:r w:rsidRPr="00F458A1">
        <w:rPr>
          <w:spacing w:val="-2"/>
          <w:lang w:val="fr-FR"/>
        </w:rPr>
        <w:tab/>
        <w:t>Le Comité renvoie à son observation générale n</w:t>
      </w:r>
      <w:r w:rsidRPr="00F458A1">
        <w:rPr>
          <w:spacing w:val="-2"/>
          <w:vertAlign w:val="superscript"/>
          <w:lang w:val="fr-FR"/>
        </w:rPr>
        <w:t>o</w:t>
      </w:r>
      <w:r w:rsidRPr="00F458A1">
        <w:rPr>
          <w:spacing w:val="-2"/>
          <w:lang w:val="fr-FR"/>
        </w:rPr>
        <w:t> 34 (2011) dans laquelle il a dit que la liberté d</w:t>
      </w:r>
      <w:r w:rsidRPr="00C571DE">
        <w:rPr>
          <w:spacing w:val="-2"/>
          <w:lang w:val="fr-FR"/>
        </w:rPr>
        <w:t>’</w:t>
      </w:r>
      <w:r w:rsidRPr="00F458A1">
        <w:rPr>
          <w:spacing w:val="-2"/>
          <w:lang w:val="fr-FR"/>
        </w:rPr>
        <w:t>opinion et la liberté d</w:t>
      </w:r>
      <w:r w:rsidRPr="00C571DE">
        <w:rPr>
          <w:spacing w:val="-2"/>
          <w:lang w:val="fr-FR"/>
        </w:rPr>
        <w:t>’</w:t>
      </w:r>
      <w:r w:rsidRPr="00F458A1">
        <w:rPr>
          <w:spacing w:val="-2"/>
          <w:lang w:val="fr-FR"/>
        </w:rPr>
        <w:t>expression étaient des conditions indispensables au développement complet de l</w:t>
      </w:r>
      <w:r w:rsidRPr="00C571DE">
        <w:rPr>
          <w:spacing w:val="-2"/>
          <w:lang w:val="fr-FR"/>
        </w:rPr>
        <w:t>’</w:t>
      </w:r>
      <w:r w:rsidRPr="00F458A1">
        <w:rPr>
          <w:spacing w:val="-2"/>
          <w:lang w:val="fr-FR"/>
        </w:rPr>
        <w:t>individu, étaient essentielles pour toute société, et constituaient le fondement de toute société libre et démocratique (par. 2). Le Comité rappelle que le paragraphe 3 de l</w:t>
      </w:r>
      <w:r w:rsidRPr="00C571DE">
        <w:rPr>
          <w:spacing w:val="-2"/>
          <w:lang w:val="fr-FR"/>
        </w:rPr>
        <w:t>’</w:t>
      </w:r>
      <w:r w:rsidRPr="00F458A1">
        <w:rPr>
          <w:spacing w:val="-2"/>
          <w:lang w:val="fr-FR"/>
        </w:rPr>
        <w:t xml:space="preserve">article 19 du Pacte autorise certaines restrictions, mais seulement celles qui sont fixées par la loi et qui sont </w:t>
      </w:r>
      <w:bookmarkStart w:id="3" w:name="_GoBack"/>
      <w:bookmarkEnd w:id="3"/>
      <w:r w:rsidRPr="00F458A1">
        <w:rPr>
          <w:spacing w:val="-2"/>
          <w:lang w:val="fr-FR"/>
        </w:rPr>
        <w:t>nécessaires : a) au respect des droits ou de la réputation d</w:t>
      </w:r>
      <w:r w:rsidRPr="00C571DE">
        <w:rPr>
          <w:spacing w:val="-2"/>
          <w:lang w:val="fr-FR"/>
        </w:rPr>
        <w:t>’</w:t>
      </w:r>
      <w:r w:rsidRPr="00F458A1">
        <w:rPr>
          <w:spacing w:val="-2"/>
          <w:lang w:val="fr-FR"/>
        </w:rPr>
        <w:t>autrui ; ou b) à la sauvegarde de la sécurité nationale, de l</w:t>
      </w:r>
      <w:r w:rsidRPr="00C571DE">
        <w:rPr>
          <w:spacing w:val="-2"/>
          <w:lang w:val="fr-FR"/>
        </w:rPr>
        <w:t>’</w:t>
      </w:r>
      <w:r w:rsidRPr="00F458A1">
        <w:rPr>
          <w:spacing w:val="-2"/>
          <w:lang w:val="fr-FR"/>
        </w:rPr>
        <w:t>ordre public, de la santé ou de la moralité publiques. Les éventuelles restrictions à l</w:t>
      </w:r>
      <w:r w:rsidRPr="00C571DE">
        <w:rPr>
          <w:spacing w:val="-2"/>
          <w:lang w:val="fr-FR"/>
        </w:rPr>
        <w:t>’</w:t>
      </w:r>
      <w:r w:rsidRPr="00F458A1">
        <w:rPr>
          <w:spacing w:val="-2"/>
          <w:lang w:val="fr-FR"/>
        </w:rPr>
        <w:t>exercice des libertés d</w:t>
      </w:r>
      <w:r w:rsidRPr="00C571DE">
        <w:rPr>
          <w:spacing w:val="-2"/>
          <w:lang w:val="fr-FR"/>
        </w:rPr>
        <w:t>’</w:t>
      </w:r>
      <w:r w:rsidRPr="00F458A1">
        <w:rPr>
          <w:spacing w:val="-2"/>
          <w:lang w:val="fr-FR"/>
        </w:rPr>
        <w:t>opinion et d</w:t>
      </w:r>
      <w:r w:rsidRPr="00C571DE">
        <w:rPr>
          <w:spacing w:val="-2"/>
          <w:lang w:val="fr-FR"/>
        </w:rPr>
        <w:t>’</w:t>
      </w:r>
      <w:r w:rsidRPr="00F458A1">
        <w:rPr>
          <w:spacing w:val="-2"/>
          <w:lang w:val="fr-FR"/>
        </w:rPr>
        <w:t>expression doivent répondre aux critères stricts de nécessité et de proportionnalité. Elles doivent être appliquées exclusivement aux fins pour lesquelles elles ont été prescrites et doivent être en rapport direct avec l</w:t>
      </w:r>
      <w:r w:rsidRPr="00C571DE">
        <w:rPr>
          <w:spacing w:val="-2"/>
          <w:lang w:val="fr-FR"/>
        </w:rPr>
        <w:t>’</w:t>
      </w:r>
      <w:r w:rsidRPr="00F458A1">
        <w:rPr>
          <w:spacing w:val="-2"/>
          <w:lang w:val="fr-FR"/>
        </w:rPr>
        <w:t>objectif spécifique qui les inspire (par. 22).</w:t>
      </w:r>
    </w:p>
    <w:p w:rsidR="00F458A1" w:rsidRPr="00F458A1" w:rsidRDefault="00F458A1" w:rsidP="00F458A1">
      <w:pPr>
        <w:pStyle w:val="SingleTxtG"/>
        <w:rPr>
          <w:lang w:val="fr-FR"/>
        </w:rPr>
      </w:pPr>
      <w:r w:rsidRPr="00F458A1">
        <w:rPr>
          <w:lang w:val="fr-FR"/>
        </w:rPr>
        <w:t>6.4</w:t>
      </w:r>
      <w:r w:rsidRPr="00F458A1">
        <w:rPr>
          <w:lang w:val="fr-FR"/>
        </w:rPr>
        <w:tab/>
        <w:t>Le Comité rappelle que c</w:t>
      </w:r>
      <w:r>
        <w:rPr>
          <w:lang w:val="fr-FR"/>
        </w:rPr>
        <w:t>’</w:t>
      </w:r>
      <w:r w:rsidRPr="00F458A1">
        <w:rPr>
          <w:lang w:val="fr-FR"/>
        </w:rPr>
        <w:t>est à l</w:t>
      </w:r>
      <w:r>
        <w:rPr>
          <w:lang w:val="fr-FR"/>
        </w:rPr>
        <w:t>’</w:t>
      </w:r>
      <w:r w:rsidRPr="00F458A1">
        <w:rPr>
          <w:lang w:val="fr-FR"/>
        </w:rPr>
        <w:t>État partie qu</w:t>
      </w:r>
      <w:r>
        <w:rPr>
          <w:lang w:val="fr-FR"/>
        </w:rPr>
        <w:t>’</w:t>
      </w:r>
      <w:r w:rsidRPr="00F458A1">
        <w:rPr>
          <w:lang w:val="fr-FR"/>
        </w:rPr>
        <w:t>il incombe de démontrer que les restrictions imposées aux droits que l</w:t>
      </w:r>
      <w:r>
        <w:rPr>
          <w:lang w:val="fr-FR"/>
        </w:rPr>
        <w:t>’</w:t>
      </w:r>
      <w:r w:rsidRPr="00F458A1">
        <w:rPr>
          <w:lang w:val="fr-FR"/>
        </w:rPr>
        <w:t>auteur tient de l</w:t>
      </w:r>
      <w:r>
        <w:rPr>
          <w:lang w:val="fr-FR"/>
        </w:rPr>
        <w:t>’</w:t>
      </w:r>
      <w:r w:rsidRPr="00F458A1">
        <w:rPr>
          <w:lang w:val="fr-FR"/>
        </w:rPr>
        <w:t>article 19 étaient nécessaires et proportionnées</w:t>
      </w:r>
      <w:r w:rsidRPr="00F458A1">
        <w:rPr>
          <w:rStyle w:val="Appelnotedebasdep"/>
        </w:rPr>
        <w:footnoteReference w:id="7"/>
      </w:r>
      <w:r w:rsidRPr="00F458A1">
        <w:rPr>
          <w:lang w:val="fr-FR"/>
        </w:rPr>
        <w:t>. Il fait observer qu</w:t>
      </w:r>
      <w:r>
        <w:rPr>
          <w:lang w:val="fr-FR"/>
        </w:rPr>
        <w:t>’</w:t>
      </w:r>
      <w:r w:rsidRPr="00F458A1">
        <w:rPr>
          <w:lang w:val="fr-FR"/>
        </w:rPr>
        <w:t>aucune pièce du dossier ne donne à penser que les autorités nationales ont examiné le cas de l</w:t>
      </w:r>
      <w:r>
        <w:rPr>
          <w:lang w:val="fr-FR"/>
        </w:rPr>
        <w:t>’</w:t>
      </w:r>
      <w:r w:rsidRPr="00F458A1">
        <w:rPr>
          <w:lang w:val="fr-FR"/>
        </w:rPr>
        <w:t>auteur à la lumière des critères de nécessité et de proportionnalité prévus à l</w:t>
      </w:r>
      <w:r>
        <w:rPr>
          <w:lang w:val="fr-FR"/>
        </w:rPr>
        <w:t>’</w:t>
      </w:r>
      <w:r w:rsidRPr="00F458A1">
        <w:rPr>
          <w:lang w:val="fr-FR"/>
        </w:rPr>
        <w:t>article 19 du Pacte. De la même façon, l</w:t>
      </w:r>
      <w:r>
        <w:rPr>
          <w:lang w:val="fr-FR"/>
        </w:rPr>
        <w:t>’</w:t>
      </w:r>
      <w:r w:rsidRPr="00F458A1">
        <w:rPr>
          <w:lang w:val="fr-FR"/>
        </w:rPr>
        <w:t>État partie n</w:t>
      </w:r>
      <w:r>
        <w:rPr>
          <w:lang w:val="fr-FR"/>
        </w:rPr>
        <w:t>’</w:t>
      </w:r>
      <w:r w:rsidRPr="00F458A1">
        <w:rPr>
          <w:lang w:val="fr-FR"/>
        </w:rPr>
        <w:t>a pas expliqué en quoi les actes de l</w:t>
      </w:r>
      <w:r>
        <w:rPr>
          <w:lang w:val="fr-FR"/>
        </w:rPr>
        <w:t>’</w:t>
      </w:r>
      <w:r w:rsidRPr="00F458A1">
        <w:rPr>
          <w:lang w:val="fr-FR"/>
        </w:rPr>
        <w:t>auteur avaient mis en péril les droits ou la réputation d</w:t>
      </w:r>
      <w:r>
        <w:rPr>
          <w:lang w:val="fr-FR"/>
        </w:rPr>
        <w:t>’</w:t>
      </w:r>
      <w:r w:rsidRPr="00F458A1">
        <w:rPr>
          <w:lang w:val="fr-FR"/>
        </w:rPr>
        <w:t>autrui, la sécurité nationale, l</w:t>
      </w:r>
      <w:r>
        <w:rPr>
          <w:lang w:val="fr-FR"/>
        </w:rPr>
        <w:t>’</w:t>
      </w:r>
      <w:r w:rsidRPr="00F458A1">
        <w:rPr>
          <w:lang w:val="fr-FR"/>
        </w:rPr>
        <w:t>ordre public, ou la santé ou la moralité publiques, ni en quoi les restrictions qu</w:t>
      </w:r>
      <w:r>
        <w:rPr>
          <w:lang w:val="fr-FR"/>
        </w:rPr>
        <w:t>’</w:t>
      </w:r>
      <w:r w:rsidRPr="00F458A1">
        <w:rPr>
          <w:lang w:val="fr-FR"/>
        </w:rPr>
        <w:t>il lui avait imposées étaient nécessaires. Le Comité considère que, dans les circonstances de l</w:t>
      </w:r>
      <w:r>
        <w:rPr>
          <w:lang w:val="fr-FR"/>
        </w:rPr>
        <w:t>’</w:t>
      </w:r>
      <w:r w:rsidRPr="00F458A1">
        <w:rPr>
          <w:lang w:val="fr-FR"/>
        </w:rPr>
        <w:t>espèce, les sanctions infligées à l</w:t>
      </w:r>
      <w:r>
        <w:rPr>
          <w:lang w:val="fr-FR"/>
        </w:rPr>
        <w:t>’</w:t>
      </w:r>
      <w:r w:rsidRPr="00F458A1">
        <w:rPr>
          <w:lang w:val="fr-FR"/>
        </w:rPr>
        <w:t>auteur, bien que fondées sur le droit interne, ne sauraient être considérées comme justifiées aux fins du paragraphe 3 de l</w:t>
      </w:r>
      <w:r>
        <w:rPr>
          <w:lang w:val="fr-FR"/>
        </w:rPr>
        <w:t>’</w:t>
      </w:r>
      <w:r w:rsidRPr="00F458A1">
        <w:rPr>
          <w:lang w:val="fr-FR"/>
        </w:rPr>
        <w:t>article 19 du Pacte. Il conclut donc qu</w:t>
      </w:r>
      <w:r>
        <w:rPr>
          <w:lang w:val="fr-FR"/>
        </w:rPr>
        <w:t>’</w:t>
      </w:r>
      <w:r w:rsidRPr="00F458A1">
        <w:rPr>
          <w:lang w:val="fr-FR"/>
        </w:rPr>
        <w:t>en l</w:t>
      </w:r>
      <w:r>
        <w:rPr>
          <w:lang w:val="fr-FR"/>
        </w:rPr>
        <w:t>’</w:t>
      </w:r>
      <w:r w:rsidRPr="00F458A1">
        <w:rPr>
          <w:lang w:val="fr-FR"/>
        </w:rPr>
        <w:t>espèce, l</w:t>
      </w:r>
      <w:r>
        <w:rPr>
          <w:lang w:val="fr-FR"/>
        </w:rPr>
        <w:t>’</w:t>
      </w:r>
      <w:r w:rsidRPr="00F458A1">
        <w:rPr>
          <w:lang w:val="fr-FR"/>
        </w:rPr>
        <w:t>État partie a violé les droits garantis à l</w:t>
      </w:r>
      <w:r>
        <w:rPr>
          <w:lang w:val="fr-FR"/>
        </w:rPr>
        <w:t>’</w:t>
      </w:r>
      <w:r w:rsidRPr="00F458A1">
        <w:rPr>
          <w:lang w:val="fr-FR"/>
        </w:rPr>
        <w:t>auteur par le paragraphe 2 de l</w:t>
      </w:r>
      <w:r>
        <w:rPr>
          <w:lang w:val="fr-FR"/>
        </w:rPr>
        <w:t>’</w:t>
      </w:r>
      <w:r w:rsidRPr="00F458A1">
        <w:rPr>
          <w:lang w:val="fr-FR"/>
        </w:rPr>
        <w:t>article 19 du Pacte.</w:t>
      </w:r>
    </w:p>
    <w:p w:rsidR="00F458A1" w:rsidRPr="00F458A1" w:rsidRDefault="00F458A1" w:rsidP="00F458A1">
      <w:pPr>
        <w:pStyle w:val="SingleTxtG"/>
        <w:rPr>
          <w:lang w:val="fr-FR"/>
        </w:rPr>
      </w:pPr>
      <w:r w:rsidRPr="00F458A1">
        <w:rPr>
          <w:lang w:val="fr-FR"/>
        </w:rPr>
        <w:t>7.</w:t>
      </w:r>
      <w:r w:rsidRPr="00F458A1">
        <w:rPr>
          <w:lang w:val="fr-FR"/>
        </w:rPr>
        <w:tab/>
        <w:t>Le Comité, agissant en vertu du paragraphe 4 de l</w:t>
      </w:r>
      <w:r>
        <w:rPr>
          <w:lang w:val="fr-FR"/>
        </w:rPr>
        <w:t>’</w:t>
      </w:r>
      <w:r w:rsidRPr="00F458A1">
        <w:rPr>
          <w:lang w:val="fr-FR"/>
        </w:rPr>
        <w:t>article 5 du Protocole facultatif, constate que les faits dont il est saisi font apparaître une violation, par l</w:t>
      </w:r>
      <w:r>
        <w:rPr>
          <w:lang w:val="fr-FR"/>
        </w:rPr>
        <w:t>’</w:t>
      </w:r>
      <w:r w:rsidRPr="00F458A1">
        <w:rPr>
          <w:lang w:val="fr-FR"/>
        </w:rPr>
        <w:t>État partie, du paragraphe 2 de l</w:t>
      </w:r>
      <w:r>
        <w:rPr>
          <w:lang w:val="fr-FR"/>
        </w:rPr>
        <w:t>’</w:t>
      </w:r>
      <w:r w:rsidRPr="00F458A1">
        <w:rPr>
          <w:lang w:val="fr-FR"/>
        </w:rPr>
        <w:t>article 19 du Pacte.</w:t>
      </w:r>
    </w:p>
    <w:p w:rsidR="00F458A1" w:rsidRPr="00F458A1" w:rsidRDefault="00F458A1" w:rsidP="00F458A1">
      <w:pPr>
        <w:pStyle w:val="SingleTxtG"/>
        <w:rPr>
          <w:lang w:val="fr-FR"/>
        </w:rPr>
      </w:pPr>
      <w:r w:rsidRPr="00F458A1">
        <w:rPr>
          <w:lang w:val="fr-FR"/>
        </w:rPr>
        <w:t>8.</w:t>
      </w:r>
      <w:r w:rsidRPr="00F458A1">
        <w:rPr>
          <w:lang w:val="fr-FR"/>
        </w:rPr>
        <w:tab/>
        <w:t>Conformément au paragraphe 3 a) de l</w:t>
      </w:r>
      <w:r>
        <w:rPr>
          <w:lang w:val="fr-FR"/>
        </w:rPr>
        <w:t>’</w:t>
      </w:r>
      <w:r w:rsidRPr="00F458A1">
        <w:rPr>
          <w:lang w:val="fr-FR"/>
        </w:rPr>
        <w:t>article 2 du Pacte, l</w:t>
      </w:r>
      <w:r>
        <w:rPr>
          <w:lang w:val="fr-FR"/>
        </w:rPr>
        <w:t>’</w:t>
      </w:r>
      <w:r w:rsidRPr="00F458A1">
        <w:rPr>
          <w:lang w:val="fr-FR"/>
        </w:rPr>
        <w:t>État partie est tenu d</w:t>
      </w:r>
      <w:r>
        <w:rPr>
          <w:lang w:val="fr-FR"/>
        </w:rPr>
        <w:t>’</w:t>
      </w:r>
      <w:r w:rsidRPr="00F458A1">
        <w:rPr>
          <w:lang w:val="fr-FR"/>
        </w:rPr>
        <w:t>assurer un recours utile à l</w:t>
      </w:r>
      <w:r>
        <w:rPr>
          <w:lang w:val="fr-FR"/>
        </w:rPr>
        <w:t>’</w:t>
      </w:r>
      <w:r w:rsidRPr="00F458A1">
        <w:rPr>
          <w:lang w:val="fr-FR"/>
        </w:rPr>
        <w:t>auteur. Il a l</w:t>
      </w:r>
      <w:r>
        <w:rPr>
          <w:lang w:val="fr-FR"/>
        </w:rPr>
        <w:t>’</w:t>
      </w:r>
      <w:r w:rsidRPr="00F458A1">
        <w:rPr>
          <w:lang w:val="fr-FR"/>
        </w:rPr>
        <w:t>obligation d</w:t>
      </w:r>
      <w:r>
        <w:rPr>
          <w:lang w:val="fr-FR"/>
        </w:rPr>
        <w:t>’</w:t>
      </w:r>
      <w:r w:rsidRPr="00F458A1">
        <w:rPr>
          <w:lang w:val="fr-FR"/>
        </w:rPr>
        <w:t>accorder une réparation intégrale aux individus dont les droits garantis par le Pacte ont été violés. En conséquence, l</w:t>
      </w:r>
      <w:r>
        <w:rPr>
          <w:lang w:val="fr-FR"/>
        </w:rPr>
        <w:t>’</w:t>
      </w:r>
      <w:r w:rsidRPr="00F458A1">
        <w:rPr>
          <w:lang w:val="fr-FR"/>
        </w:rPr>
        <w:t>État partie est tenu, entre autres, de prendre les mesures appropriées pour accorder à l</w:t>
      </w:r>
      <w:r>
        <w:rPr>
          <w:lang w:val="fr-FR"/>
        </w:rPr>
        <w:t>’</w:t>
      </w:r>
      <w:r w:rsidRPr="00F458A1">
        <w:rPr>
          <w:lang w:val="fr-FR"/>
        </w:rPr>
        <w:t>auteur une indemnisation adéquate, y compris le remboursement de la valeur de l</w:t>
      </w:r>
      <w:r>
        <w:rPr>
          <w:lang w:val="fr-FR"/>
        </w:rPr>
        <w:t>’</w:t>
      </w:r>
      <w:r w:rsidRPr="00F458A1">
        <w:rPr>
          <w:lang w:val="fr-FR"/>
        </w:rPr>
        <w:t>amende infligée ainsi que de tous les frais de procédure que l</w:t>
      </w:r>
      <w:r>
        <w:rPr>
          <w:lang w:val="fr-FR"/>
        </w:rPr>
        <w:t>’</w:t>
      </w:r>
      <w:r w:rsidRPr="00F458A1">
        <w:rPr>
          <w:lang w:val="fr-FR"/>
        </w:rPr>
        <w:t>auteur a pu engager. Il est également tenu de prendre toutes les mesures nécessaires pour empêcher que des violations analogues se reproduisent. À cet égard, le Comité note que l</w:t>
      </w:r>
      <w:r>
        <w:rPr>
          <w:lang w:val="fr-FR"/>
        </w:rPr>
        <w:t>’</w:t>
      </w:r>
      <w:r w:rsidRPr="00F458A1">
        <w:rPr>
          <w:lang w:val="fr-FR"/>
        </w:rPr>
        <w:t>État partie devrait réviser sa législation relative aux manifestations publiques de manière à la rendre conforme à l</w:t>
      </w:r>
      <w:r>
        <w:rPr>
          <w:lang w:val="fr-FR"/>
        </w:rPr>
        <w:t>’</w:t>
      </w:r>
      <w:r w:rsidRPr="00F458A1">
        <w:rPr>
          <w:lang w:val="fr-FR"/>
        </w:rPr>
        <w:t>obligation qui lui incombe en vertu du paragraphe 2 de l</w:t>
      </w:r>
      <w:r>
        <w:rPr>
          <w:lang w:val="fr-FR"/>
        </w:rPr>
        <w:t>’</w:t>
      </w:r>
      <w:r w:rsidRPr="00F458A1">
        <w:rPr>
          <w:lang w:val="fr-FR"/>
        </w:rPr>
        <w:t>article 2 du Pacte, afin de garantir que les droits consacrés par l</w:t>
      </w:r>
      <w:r>
        <w:rPr>
          <w:lang w:val="fr-FR"/>
        </w:rPr>
        <w:t>’</w:t>
      </w:r>
      <w:r w:rsidRPr="00F458A1">
        <w:rPr>
          <w:lang w:val="fr-FR"/>
        </w:rPr>
        <w:t>article 19 puissent être pleinement exercés dans l</w:t>
      </w:r>
      <w:r>
        <w:rPr>
          <w:lang w:val="fr-FR"/>
        </w:rPr>
        <w:t>’</w:t>
      </w:r>
      <w:r w:rsidRPr="00F458A1">
        <w:rPr>
          <w:lang w:val="fr-FR"/>
        </w:rPr>
        <w:t>État partie.</w:t>
      </w:r>
    </w:p>
    <w:p w:rsidR="00F458A1" w:rsidRDefault="00F458A1" w:rsidP="00F458A1">
      <w:pPr>
        <w:pStyle w:val="SingleTxtG"/>
        <w:rPr>
          <w:lang w:val="fr-FR"/>
        </w:rPr>
      </w:pPr>
      <w:r w:rsidRPr="00F458A1">
        <w:rPr>
          <w:lang w:val="fr-FR"/>
        </w:rPr>
        <w:t>9.</w:t>
      </w:r>
      <w:r w:rsidRPr="00F458A1">
        <w:rPr>
          <w:lang w:val="fr-FR"/>
        </w:rPr>
        <w:tab/>
        <w:t>Étant donné qu</w:t>
      </w:r>
      <w:r>
        <w:rPr>
          <w:lang w:val="fr-FR"/>
        </w:rPr>
        <w:t>’</w:t>
      </w:r>
      <w:r w:rsidRPr="00F458A1">
        <w:rPr>
          <w:lang w:val="fr-FR"/>
        </w:rPr>
        <w:t>en adhérant au Protocole facultatif, l</w:t>
      </w:r>
      <w:r>
        <w:rPr>
          <w:lang w:val="fr-FR"/>
        </w:rPr>
        <w:t>’</w:t>
      </w:r>
      <w:r w:rsidRPr="00F458A1">
        <w:rPr>
          <w:lang w:val="fr-FR"/>
        </w:rPr>
        <w:t>État partie a reconnu que le Comité a compétence pour déterminer s</w:t>
      </w:r>
      <w:r>
        <w:rPr>
          <w:lang w:val="fr-FR"/>
        </w:rPr>
        <w:t>’</w:t>
      </w:r>
      <w:r w:rsidRPr="00F458A1">
        <w:rPr>
          <w:lang w:val="fr-FR"/>
        </w:rPr>
        <w:t>il y a ou non violation du Pacte et que, conformément à l</w:t>
      </w:r>
      <w:r>
        <w:rPr>
          <w:lang w:val="fr-FR"/>
        </w:rPr>
        <w:t>’</w:t>
      </w:r>
      <w:r w:rsidRPr="00F458A1">
        <w:rPr>
          <w:lang w:val="fr-FR"/>
        </w:rPr>
        <w:t>article 2 du Pacte, il s</w:t>
      </w:r>
      <w:r>
        <w:rPr>
          <w:lang w:val="fr-FR"/>
        </w:rPr>
        <w:t>’</w:t>
      </w:r>
      <w:r w:rsidRPr="00F458A1">
        <w:rPr>
          <w:lang w:val="fr-FR"/>
        </w:rPr>
        <w:t>est engagé à garantir à tous les individus se trouvant sur son territoire et relevant de sa juridiction les droits reconnus dans le Pacte et à assurer un recours utile et une réparation exécutoire lorsqu</w:t>
      </w:r>
      <w:r>
        <w:rPr>
          <w:lang w:val="fr-FR"/>
        </w:rPr>
        <w:t>’</w:t>
      </w:r>
      <w:r w:rsidRPr="00F458A1">
        <w:rPr>
          <w:lang w:val="fr-FR"/>
        </w:rPr>
        <w:t>une violation a été établie, le Comité souhaite recevoir de l</w:t>
      </w:r>
      <w:r>
        <w:rPr>
          <w:lang w:val="fr-FR"/>
        </w:rPr>
        <w:t>’</w:t>
      </w:r>
      <w:r w:rsidRPr="00F458A1">
        <w:rPr>
          <w:lang w:val="fr-FR"/>
        </w:rPr>
        <w:t>État partie, dans un délai de cent quatre-vingts jours, des renseignements sur les mesures prises pour donner effet aux présentes constatations. L</w:t>
      </w:r>
      <w:r>
        <w:rPr>
          <w:lang w:val="fr-FR"/>
        </w:rPr>
        <w:t>’</w:t>
      </w:r>
      <w:r w:rsidRPr="00F458A1">
        <w:rPr>
          <w:lang w:val="fr-FR"/>
        </w:rPr>
        <w:t>État partie est invité en outre à rendre celles-ci publiques et à les diffuser largement dans ses langues officielles.</w:t>
      </w:r>
    </w:p>
    <w:p w:rsidR="00F458A1" w:rsidRPr="00F458A1" w:rsidRDefault="00F458A1" w:rsidP="00F458A1">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F458A1" w:rsidRPr="00F458A1" w:rsidSect="00F458A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F52" w:rsidRDefault="00BB2F52" w:rsidP="00F95C08">
      <w:pPr>
        <w:spacing w:line="240" w:lineRule="auto"/>
      </w:pPr>
    </w:p>
  </w:endnote>
  <w:endnote w:type="continuationSeparator" w:id="0">
    <w:p w:rsidR="00BB2F52" w:rsidRPr="00AC3823" w:rsidRDefault="00BB2F52" w:rsidP="00AC3823">
      <w:pPr>
        <w:pStyle w:val="Pieddepage"/>
      </w:pPr>
    </w:p>
  </w:endnote>
  <w:endnote w:type="continuationNotice" w:id="1">
    <w:p w:rsidR="00BB2F52" w:rsidRDefault="00BB2F5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8A1" w:rsidRPr="00F458A1" w:rsidRDefault="00F458A1" w:rsidP="00F458A1">
    <w:pPr>
      <w:pStyle w:val="Pieddepage"/>
      <w:tabs>
        <w:tab w:val="right" w:pos="9638"/>
      </w:tabs>
    </w:pPr>
    <w:r w:rsidRPr="00F458A1">
      <w:rPr>
        <w:b/>
        <w:sz w:val="18"/>
      </w:rPr>
      <w:fldChar w:fldCharType="begin"/>
    </w:r>
    <w:r w:rsidRPr="00F458A1">
      <w:rPr>
        <w:b/>
        <w:sz w:val="18"/>
      </w:rPr>
      <w:instrText xml:space="preserve"> PAGE  \* MERGEFORMAT </w:instrText>
    </w:r>
    <w:r w:rsidRPr="00F458A1">
      <w:rPr>
        <w:b/>
        <w:sz w:val="18"/>
      </w:rPr>
      <w:fldChar w:fldCharType="separate"/>
    </w:r>
    <w:r w:rsidRPr="00F458A1">
      <w:rPr>
        <w:b/>
        <w:noProof/>
        <w:sz w:val="18"/>
      </w:rPr>
      <w:t>2</w:t>
    </w:r>
    <w:r w:rsidRPr="00F458A1">
      <w:rPr>
        <w:b/>
        <w:sz w:val="18"/>
      </w:rPr>
      <w:fldChar w:fldCharType="end"/>
    </w:r>
    <w:r>
      <w:rPr>
        <w:b/>
        <w:sz w:val="18"/>
      </w:rPr>
      <w:tab/>
    </w:r>
    <w:r>
      <w:t>GE.20-12773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8A1" w:rsidRPr="00F458A1" w:rsidRDefault="00F458A1" w:rsidP="00F458A1">
    <w:pPr>
      <w:pStyle w:val="Pieddepage"/>
      <w:tabs>
        <w:tab w:val="right" w:pos="9638"/>
      </w:tabs>
      <w:rPr>
        <w:b/>
        <w:sz w:val="18"/>
      </w:rPr>
    </w:pPr>
    <w:r>
      <w:t>GE.20-12773</w:t>
    </w:r>
    <w:r>
      <w:tab/>
    </w:r>
    <w:r w:rsidRPr="00F458A1">
      <w:rPr>
        <w:b/>
        <w:sz w:val="18"/>
      </w:rPr>
      <w:fldChar w:fldCharType="begin"/>
    </w:r>
    <w:r w:rsidRPr="00F458A1">
      <w:rPr>
        <w:b/>
        <w:sz w:val="18"/>
      </w:rPr>
      <w:instrText xml:space="preserve"> PAGE  \* MERGEFORMAT </w:instrText>
    </w:r>
    <w:r w:rsidRPr="00F458A1">
      <w:rPr>
        <w:b/>
        <w:sz w:val="18"/>
      </w:rPr>
      <w:fldChar w:fldCharType="separate"/>
    </w:r>
    <w:r w:rsidRPr="00F458A1">
      <w:rPr>
        <w:b/>
        <w:noProof/>
        <w:sz w:val="18"/>
      </w:rPr>
      <w:t>3</w:t>
    </w:r>
    <w:r w:rsidRPr="00F458A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79B" w:rsidRPr="00F458A1" w:rsidRDefault="00F458A1" w:rsidP="00F458A1">
    <w:pPr>
      <w:pStyle w:val="Pieddepage"/>
      <w:spacing w:before="120"/>
      <w:rPr>
        <w:sz w:val="20"/>
      </w:rPr>
    </w:pPr>
    <w:r>
      <w:rPr>
        <w:sz w:val="20"/>
      </w:rPr>
      <w:t>GE.</w:t>
    </w:r>
    <w:r w:rsidR="001B379B">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20-12773  (F)    231020    261020</w:t>
    </w:r>
    <w:r>
      <w:rPr>
        <w:sz w:val="20"/>
      </w:rPr>
      <w:br/>
    </w:r>
    <w:r w:rsidRPr="00F458A1">
      <w:rPr>
        <w:rFonts w:ascii="C39T30Lfz" w:hAnsi="C39T30Lfz"/>
        <w:sz w:val="56"/>
      </w:rPr>
      <w:t>*2012773*</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F52" w:rsidRPr="00AC3823" w:rsidRDefault="00BB2F52" w:rsidP="00AC3823">
      <w:pPr>
        <w:pStyle w:val="Pieddepage"/>
        <w:tabs>
          <w:tab w:val="right" w:pos="2155"/>
        </w:tabs>
        <w:spacing w:after="80" w:line="240" w:lineRule="atLeast"/>
        <w:ind w:left="680"/>
        <w:rPr>
          <w:u w:val="single"/>
        </w:rPr>
      </w:pPr>
      <w:r>
        <w:rPr>
          <w:u w:val="single"/>
        </w:rPr>
        <w:tab/>
      </w:r>
    </w:p>
  </w:footnote>
  <w:footnote w:type="continuationSeparator" w:id="0">
    <w:p w:rsidR="00BB2F52" w:rsidRPr="00AC3823" w:rsidRDefault="00BB2F52" w:rsidP="00AC3823">
      <w:pPr>
        <w:pStyle w:val="Pieddepage"/>
        <w:tabs>
          <w:tab w:val="right" w:pos="2155"/>
        </w:tabs>
        <w:spacing w:after="80" w:line="240" w:lineRule="atLeast"/>
        <w:ind w:left="680"/>
        <w:rPr>
          <w:u w:val="single"/>
        </w:rPr>
      </w:pPr>
      <w:r>
        <w:rPr>
          <w:u w:val="single"/>
        </w:rPr>
        <w:tab/>
      </w:r>
    </w:p>
  </w:footnote>
  <w:footnote w:type="continuationNotice" w:id="1">
    <w:p w:rsidR="00BB2F52" w:rsidRPr="00AC3823" w:rsidRDefault="00BB2F52">
      <w:pPr>
        <w:spacing w:line="240" w:lineRule="auto"/>
        <w:rPr>
          <w:sz w:val="2"/>
          <w:szCs w:val="2"/>
        </w:rPr>
      </w:pPr>
    </w:p>
  </w:footnote>
  <w:footnote w:id="2">
    <w:p w:rsidR="00F458A1" w:rsidRPr="00AF3171" w:rsidRDefault="00F458A1" w:rsidP="00F458A1">
      <w:pPr>
        <w:pStyle w:val="Notedebasdepage"/>
        <w:rPr>
          <w:szCs w:val="16"/>
          <w:lang w:val="fr-FR"/>
        </w:rPr>
      </w:pPr>
      <w:r w:rsidRPr="00AF3171">
        <w:rPr>
          <w:lang w:val="fr-FR"/>
        </w:rPr>
        <w:tab/>
      </w:r>
      <w:r w:rsidRPr="00F458A1">
        <w:rPr>
          <w:sz w:val="20"/>
          <w:lang w:val="fr-FR"/>
        </w:rPr>
        <w:t>*</w:t>
      </w:r>
      <w:r w:rsidRPr="00AF3171">
        <w:rPr>
          <w:lang w:val="fr-FR"/>
        </w:rPr>
        <w:tab/>
      </w:r>
      <w:r>
        <w:rPr>
          <w:lang w:val="fr-FR"/>
        </w:rPr>
        <w:t>Adoptées par le Comité à sa 129</w:t>
      </w:r>
      <w:r w:rsidRPr="00BF3141">
        <w:rPr>
          <w:vertAlign w:val="superscript"/>
          <w:lang w:val="fr-FR"/>
        </w:rPr>
        <w:t>e</w:t>
      </w:r>
      <w:r>
        <w:rPr>
          <w:lang w:val="fr-FR"/>
        </w:rPr>
        <w:t xml:space="preserve"> session (29 juin-24 juillet 2020)</w:t>
      </w:r>
      <w:r w:rsidRPr="00AF3171">
        <w:rPr>
          <w:lang w:val="fr-FR"/>
        </w:rPr>
        <w:t>.</w:t>
      </w:r>
    </w:p>
  </w:footnote>
  <w:footnote w:id="3">
    <w:p w:rsidR="00F458A1" w:rsidRPr="00AF3171" w:rsidRDefault="00F458A1" w:rsidP="00F458A1">
      <w:pPr>
        <w:pStyle w:val="Notedebasdepage"/>
        <w:rPr>
          <w:lang w:val="fr-FR"/>
        </w:rPr>
      </w:pPr>
      <w:r w:rsidRPr="00AF3171">
        <w:rPr>
          <w:lang w:val="fr-FR"/>
        </w:rPr>
        <w:tab/>
      </w:r>
      <w:r w:rsidRPr="00F458A1">
        <w:rPr>
          <w:sz w:val="20"/>
          <w:lang w:val="fr-FR"/>
        </w:rPr>
        <w:t>**</w:t>
      </w:r>
      <w:r w:rsidRPr="00AF3171">
        <w:rPr>
          <w:lang w:val="fr-FR"/>
        </w:rPr>
        <w:tab/>
      </w:r>
      <w:r w:rsidRPr="00305AB2">
        <w:rPr>
          <w:lang w:val="fr-FR"/>
        </w:rPr>
        <w:t xml:space="preserve">Les membres du Comité dont le nom suit ont participé à l’examen de la communication : Tania María Abdo </w:t>
      </w:r>
      <w:proofErr w:type="spellStart"/>
      <w:r w:rsidRPr="00305AB2">
        <w:rPr>
          <w:lang w:val="fr-FR"/>
        </w:rPr>
        <w:t>Rocholl</w:t>
      </w:r>
      <w:proofErr w:type="spellEnd"/>
      <w:r w:rsidRPr="00305AB2">
        <w:rPr>
          <w:lang w:val="fr-FR"/>
        </w:rPr>
        <w:t xml:space="preserve">, </w:t>
      </w:r>
      <w:proofErr w:type="spellStart"/>
      <w:r w:rsidRPr="00305AB2">
        <w:rPr>
          <w:lang w:val="fr-FR"/>
        </w:rPr>
        <w:t>Yadh</w:t>
      </w:r>
      <w:proofErr w:type="spellEnd"/>
      <w:r w:rsidRPr="00305AB2">
        <w:rPr>
          <w:lang w:val="fr-FR"/>
        </w:rPr>
        <w:t xml:space="preserve"> Ben Achour, Arif </w:t>
      </w:r>
      <w:proofErr w:type="spellStart"/>
      <w:r w:rsidRPr="00305AB2">
        <w:rPr>
          <w:lang w:val="fr-FR"/>
        </w:rPr>
        <w:t>Bulkan</w:t>
      </w:r>
      <w:proofErr w:type="spellEnd"/>
      <w:r w:rsidRPr="00305AB2">
        <w:rPr>
          <w:lang w:val="fr-FR"/>
        </w:rPr>
        <w:t xml:space="preserve">, Ahmed Amin </w:t>
      </w:r>
      <w:proofErr w:type="spellStart"/>
      <w:r w:rsidRPr="00305AB2">
        <w:rPr>
          <w:lang w:val="fr-FR"/>
        </w:rPr>
        <w:t>Fathalla</w:t>
      </w:r>
      <w:proofErr w:type="spellEnd"/>
      <w:r w:rsidRPr="00305AB2">
        <w:rPr>
          <w:lang w:val="fr-FR"/>
        </w:rPr>
        <w:t xml:space="preserve">, </w:t>
      </w:r>
      <w:proofErr w:type="spellStart"/>
      <w:r w:rsidRPr="00305AB2">
        <w:rPr>
          <w:lang w:val="fr-FR"/>
        </w:rPr>
        <w:t>Furuya</w:t>
      </w:r>
      <w:proofErr w:type="spellEnd"/>
      <w:r w:rsidRPr="00305AB2">
        <w:rPr>
          <w:lang w:val="fr-FR"/>
        </w:rPr>
        <w:t xml:space="preserve"> </w:t>
      </w:r>
      <w:proofErr w:type="spellStart"/>
      <w:r w:rsidRPr="00305AB2">
        <w:rPr>
          <w:lang w:val="fr-FR"/>
        </w:rPr>
        <w:t>Shuichi</w:t>
      </w:r>
      <w:proofErr w:type="spellEnd"/>
      <w:r w:rsidRPr="00305AB2">
        <w:rPr>
          <w:lang w:val="fr-FR"/>
        </w:rPr>
        <w:t xml:space="preserve">, </w:t>
      </w:r>
      <w:proofErr w:type="spellStart"/>
      <w:r w:rsidRPr="00305AB2">
        <w:rPr>
          <w:lang w:val="fr-FR"/>
        </w:rPr>
        <w:t>Bamariam</w:t>
      </w:r>
      <w:proofErr w:type="spellEnd"/>
      <w:r w:rsidRPr="00305AB2">
        <w:rPr>
          <w:lang w:val="fr-FR"/>
        </w:rPr>
        <w:t xml:space="preserve"> </w:t>
      </w:r>
      <w:proofErr w:type="spellStart"/>
      <w:r w:rsidRPr="00305AB2">
        <w:rPr>
          <w:lang w:val="fr-FR"/>
        </w:rPr>
        <w:t>Koita</w:t>
      </w:r>
      <w:proofErr w:type="spellEnd"/>
      <w:r w:rsidRPr="00305AB2">
        <w:rPr>
          <w:lang w:val="fr-FR"/>
        </w:rPr>
        <w:t>, Marcia V.</w:t>
      </w:r>
      <w:r w:rsidR="00417024">
        <w:rPr>
          <w:lang w:val="fr-FR"/>
        </w:rPr>
        <w:t xml:space="preserve"> </w:t>
      </w:r>
      <w:r w:rsidRPr="00305AB2">
        <w:rPr>
          <w:lang w:val="fr-FR"/>
        </w:rPr>
        <w:t xml:space="preserve">J. </w:t>
      </w:r>
      <w:proofErr w:type="spellStart"/>
      <w:r w:rsidRPr="00305AB2">
        <w:rPr>
          <w:lang w:val="fr-FR"/>
        </w:rPr>
        <w:t>Kran</w:t>
      </w:r>
      <w:proofErr w:type="spellEnd"/>
      <w:r w:rsidRPr="00305AB2">
        <w:rPr>
          <w:lang w:val="fr-FR"/>
        </w:rPr>
        <w:t xml:space="preserve">, Duncan Laki </w:t>
      </w:r>
      <w:proofErr w:type="spellStart"/>
      <w:r w:rsidRPr="00305AB2">
        <w:rPr>
          <w:lang w:val="fr-FR"/>
        </w:rPr>
        <w:t>Muhumuza</w:t>
      </w:r>
      <w:proofErr w:type="spellEnd"/>
      <w:r w:rsidRPr="00305AB2">
        <w:rPr>
          <w:lang w:val="fr-FR"/>
        </w:rPr>
        <w:t xml:space="preserve">, </w:t>
      </w:r>
      <w:proofErr w:type="spellStart"/>
      <w:r w:rsidRPr="00305AB2">
        <w:rPr>
          <w:lang w:val="fr-FR"/>
        </w:rPr>
        <w:t>Photini</w:t>
      </w:r>
      <w:proofErr w:type="spellEnd"/>
      <w:r w:rsidRPr="00305AB2">
        <w:rPr>
          <w:lang w:val="fr-FR"/>
        </w:rPr>
        <w:t xml:space="preserve"> </w:t>
      </w:r>
      <w:proofErr w:type="spellStart"/>
      <w:r w:rsidRPr="00305AB2">
        <w:rPr>
          <w:lang w:val="fr-FR"/>
        </w:rPr>
        <w:t>Pazartzis</w:t>
      </w:r>
      <w:proofErr w:type="spellEnd"/>
      <w:r w:rsidRPr="00305AB2">
        <w:rPr>
          <w:lang w:val="fr-FR"/>
        </w:rPr>
        <w:t xml:space="preserve">, Hernán </w:t>
      </w:r>
      <w:proofErr w:type="spellStart"/>
      <w:r w:rsidRPr="00305AB2">
        <w:rPr>
          <w:lang w:val="fr-FR"/>
        </w:rPr>
        <w:t>Quezada</w:t>
      </w:r>
      <w:proofErr w:type="spellEnd"/>
      <w:r w:rsidRPr="00305AB2">
        <w:rPr>
          <w:lang w:val="fr-FR"/>
        </w:rPr>
        <w:t xml:space="preserve"> Cabrera, </w:t>
      </w:r>
      <w:proofErr w:type="spellStart"/>
      <w:r w:rsidRPr="00305AB2">
        <w:rPr>
          <w:lang w:val="fr-FR"/>
        </w:rPr>
        <w:t>Vasilka</w:t>
      </w:r>
      <w:proofErr w:type="spellEnd"/>
      <w:r w:rsidRPr="00305AB2">
        <w:rPr>
          <w:lang w:val="fr-FR"/>
        </w:rPr>
        <w:t xml:space="preserve"> </w:t>
      </w:r>
      <w:proofErr w:type="spellStart"/>
      <w:r w:rsidRPr="00305AB2">
        <w:rPr>
          <w:lang w:val="fr-FR"/>
        </w:rPr>
        <w:t>Sancin</w:t>
      </w:r>
      <w:proofErr w:type="spellEnd"/>
      <w:r w:rsidRPr="00305AB2">
        <w:rPr>
          <w:lang w:val="fr-FR"/>
        </w:rPr>
        <w:t xml:space="preserve">, José Manuel Santos Pais, Yuval </w:t>
      </w:r>
      <w:proofErr w:type="spellStart"/>
      <w:r w:rsidRPr="00305AB2">
        <w:rPr>
          <w:lang w:val="fr-FR"/>
        </w:rPr>
        <w:t>Shany</w:t>
      </w:r>
      <w:proofErr w:type="spellEnd"/>
      <w:r w:rsidRPr="00305AB2">
        <w:rPr>
          <w:lang w:val="fr-FR"/>
        </w:rPr>
        <w:t xml:space="preserve">, Hélène </w:t>
      </w:r>
      <w:proofErr w:type="spellStart"/>
      <w:r w:rsidRPr="00305AB2">
        <w:rPr>
          <w:lang w:val="fr-FR"/>
        </w:rPr>
        <w:t>Tigroudja</w:t>
      </w:r>
      <w:proofErr w:type="spellEnd"/>
      <w:r w:rsidRPr="00305AB2">
        <w:rPr>
          <w:lang w:val="fr-FR"/>
        </w:rPr>
        <w:t xml:space="preserve">, Andreas Zimmermann et </w:t>
      </w:r>
      <w:proofErr w:type="spellStart"/>
      <w:r w:rsidRPr="00305AB2">
        <w:rPr>
          <w:lang w:val="fr-FR"/>
        </w:rPr>
        <w:t>Gentian</w:t>
      </w:r>
      <w:proofErr w:type="spellEnd"/>
      <w:r w:rsidRPr="00305AB2">
        <w:rPr>
          <w:lang w:val="fr-FR"/>
        </w:rPr>
        <w:t xml:space="preserve"> </w:t>
      </w:r>
      <w:proofErr w:type="spellStart"/>
      <w:r w:rsidRPr="00305AB2">
        <w:rPr>
          <w:lang w:val="fr-FR"/>
        </w:rPr>
        <w:t>Zyberi</w:t>
      </w:r>
      <w:proofErr w:type="spellEnd"/>
      <w:r w:rsidRPr="00AF3171">
        <w:rPr>
          <w:lang w:val="fr-FR"/>
        </w:rPr>
        <w:t>.</w:t>
      </w:r>
    </w:p>
  </w:footnote>
  <w:footnote w:id="4">
    <w:p w:rsidR="00F458A1" w:rsidRPr="00AF3171" w:rsidRDefault="00F458A1" w:rsidP="00F458A1">
      <w:pPr>
        <w:pStyle w:val="Notedebasdepage"/>
        <w:rPr>
          <w:lang w:val="fr-FR"/>
        </w:rPr>
      </w:pPr>
      <w:r w:rsidRPr="00AF3171">
        <w:rPr>
          <w:lang w:val="fr-FR"/>
        </w:rPr>
        <w:tab/>
      </w:r>
      <w:r w:rsidRPr="00F458A1">
        <w:rPr>
          <w:rStyle w:val="Appelnotedebasdep"/>
        </w:rPr>
        <w:footnoteRef/>
      </w:r>
      <w:r w:rsidRPr="00AF3171">
        <w:rPr>
          <w:lang w:val="fr-FR"/>
        </w:rPr>
        <w:tab/>
        <w:t xml:space="preserve">Voir, par exemple, </w:t>
      </w:r>
      <w:proofErr w:type="spellStart"/>
      <w:r w:rsidRPr="00AF3171">
        <w:rPr>
          <w:i/>
          <w:lang w:val="fr-FR"/>
        </w:rPr>
        <w:t>Sannikov</w:t>
      </w:r>
      <w:proofErr w:type="spellEnd"/>
      <w:r w:rsidRPr="00AF3171">
        <w:rPr>
          <w:i/>
          <w:lang w:val="fr-FR"/>
        </w:rPr>
        <w:t xml:space="preserve"> </w:t>
      </w:r>
      <w:r w:rsidRPr="00F458A1">
        <w:rPr>
          <w:i/>
          <w:lang w:val="fr-FR"/>
        </w:rPr>
        <w:t>c.</w:t>
      </w:r>
      <w:r w:rsidRPr="00AF3171">
        <w:rPr>
          <w:i/>
          <w:lang w:val="fr-FR"/>
        </w:rPr>
        <w:t xml:space="preserve"> Bélarus</w:t>
      </w:r>
      <w:r w:rsidRPr="00AF3171">
        <w:rPr>
          <w:lang w:val="fr-FR"/>
        </w:rPr>
        <w:t xml:space="preserve"> (CCPR/C/122/D/2212/2012), par. 4.</w:t>
      </w:r>
    </w:p>
  </w:footnote>
  <w:footnote w:id="5">
    <w:p w:rsidR="00F458A1" w:rsidRPr="00AF3171" w:rsidRDefault="00F458A1" w:rsidP="00F458A1">
      <w:pPr>
        <w:pStyle w:val="Notedebasdepage"/>
        <w:rPr>
          <w:lang w:val="fr-FR"/>
        </w:rPr>
      </w:pPr>
      <w:r w:rsidRPr="00AF3171">
        <w:rPr>
          <w:lang w:val="fr-FR"/>
        </w:rPr>
        <w:tab/>
      </w:r>
      <w:r w:rsidRPr="00F458A1">
        <w:rPr>
          <w:rStyle w:val="Appelnotedebasdep"/>
        </w:rPr>
        <w:footnoteRef/>
      </w:r>
      <w:r w:rsidRPr="00AF3171">
        <w:rPr>
          <w:lang w:val="fr-FR"/>
        </w:rPr>
        <w:tab/>
      </w:r>
      <w:r>
        <w:rPr>
          <w:lang w:val="fr-FR"/>
        </w:rPr>
        <w:t>P</w:t>
      </w:r>
      <w:r w:rsidRPr="00AF3171">
        <w:rPr>
          <w:lang w:val="fr-FR"/>
        </w:rPr>
        <w:t xml:space="preserve">ar exemple, </w:t>
      </w:r>
      <w:proofErr w:type="spellStart"/>
      <w:r w:rsidRPr="00AF3171">
        <w:rPr>
          <w:i/>
          <w:lang w:val="fr-FR"/>
        </w:rPr>
        <w:t>Koreshkov</w:t>
      </w:r>
      <w:proofErr w:type="spellEnd"/>
      <w:r w:rsidRPr="00AF3171">
        <w:rPr>
          <w:i/>
          <w:lang w:val="fr-FR"/>
        </w:rPr>
        <w:t xml:space="preserve"> </w:t>
      </w:r>
      <w:r w:rsidRPr="00F458A1">
        <w:rPr>
          <w:i/>
          <w:lang w:val="fr-FR"/>
        </w:rPr>
        <w:t>c.</w:t>
      </w:r>
      <w:r w:rsidRPr="00AF3171">
        <w:rPr>
          <w:i/>
          <w:lang w:val="fr-FR"/>
        </w:rPr>
        <w:t xml:space="preserve"> Bélarus </w:t>
      </w:r>
      <w:r w:rsidRPr="00AF3171">
        <w:rPr>
          <w:lang w:val="fr-FR"/>
        </w:rPr>
        <w:t xml:space="preserve">(CCPR/C/121/D/2168/2012), par. 7.4, et </w:t>
      </w:r>
      <w:proofErr w:type="spellStart"/>
      <w:r w:rsidRPr="00AF3171">
        <w:rPr>
          <w:i/>
          <w:lang w:val="fr-FR"/>
        </w:rPr>
        <w:t>Zhukovsky</w:t>
      </w:r>
      <w:proofErr w:type="spellEnd"/>
      <w:r w:rsidRPr="00AF3171">
        <w:rPr>
          <w:i/>
          <w:lang w:val="fr-FR"/>
        </w:rPr>
        <w:t xml:space="preserve"> </w:t>
      </w:r>
      <w:r w:rsidRPr="00F458A1">
        <w:rPr>
          <w:i/>
          <w:lang w:val="fr-FR"/>
        </w:rPr>
        <w:t>c.</w:t>
      </w:r>
      <w:r>
        <w:rPr>
          <w:i/>
          <w:lang w:val="fr-FR"/>
        </w:rPr>
        <w:t> </w:t>
      </w:r>
      <w:r w:rsidRPr="00AF3171">
        <w:rPr>
          <w:i/>
          <w:lang w:val="fr-FR"/>
        </w:rPr>
        <w:t>Bélarus</w:t>
      </w:r>
      <w:r w:rsidRPr="00AF3171">
        <w:rPr>
          <w:lang w:val="fr-FR"/>
        </w:rPr>
        <w:t xml:space="preserve"> (CCPR/C/127/D/2724/2016), par. 6.4.</w:t>
      </w:r>
    </w:p>
  </w:footnote>
  <w:footnote w:id="6">
    <w:p w:rsidR="00F458A1" w:rsidRPr="00AF3171" w:rsidRDefault="00F458A1" w:rsidP="00F458A1">
      <w:pPr>
        <w:pStyle w:val="Notedebasdepage"/>
        <w:rPr>
          <w:lang w:val="fr-FR"/>
        </w:rPr>
      </w:pPr>
      <w:r w:rsidRPr="00AF3171">
        <w:rPr>
          <w:lang w:val="fr-FR"/>
        </w:rPr>
        <w:tab/>
      </w:r>
      <w:r w:rsidRPr="00F458A1">
        <w:rPr>
          <w:rStyle w:val="Appelnotedebasdep"/>
        </w:rPr>
        <w:footnoteRef/>
      </w:r>
      <w:r w:rsidRPr="00AF3171">
        <w:rPr>
          <w:lang w:val="fr-FR"/>
        </w:rPr>
        <w:tab/>
      </w:r>
      <w:r>
        <w:rPr>
          <w:lang w:val="fr-FR"/>
        </w:rPr>
        <w:t>P</w:t>
      </w:r>
      <w:r w:rsidRPr="00AF3171">
        <w:rPr>
          <w:lang w:val="fr-FR"/>
        </w:rPr>
        <w:t xml:space="preserve">ar exemple, </w:t>
      </w:r>
      <w:proofErr w:type="spellStart"/>
      <w:r w:rsidRPr="00AF3171">
        <w:rPr>
          <w:i/>
          <w:lang w:val="fr-FR"/>
        </w:rPr>
        <w:t>Misnikov</w:t>
      </w:r>
      <w:proofErr w:type="spellEnd"/>
      <w:r w:rsidRPr="00AF3171">
        <w:rPr>
          <w:i/>
          <w:lang w:val="fr-FR"/>
        </w:rPr>
        <w:t xml:space="preserve"> </w:t>
      </w:r>
      <w:r w:rsidRPr="00F458A1">
        <w:rPr>
          <w:i/>
          <w:lang w:val="fr-FR"/>
        </w:rPr>
        <w:t>c.</w:t>
      </w:r>
      <w:r w:rsidRPr="00AF3171">
        <w:rPr>
          <w:i/>
          <w:lang w:val="fr-FR"/>
        </w:rPr>
        <w:t xml:space="preserve"> Bélarus </w:t>
      </w:r>
      <w:r w:rsidRPr="00AF3171">
        <w:rPr>
          <w:lang w:val="fr-FR"/>
        </w:rPr>
        <w:t>(CCPR/C/117/D/2093/2011), par. 9.2.</w:t>
      </w:r>
    </w:p>
  </w:footnote>
  <w:footnote w:id="7">
    <w:p w:rsidR="00F458A1" w:rsidRPr="00AF3171" w:rsidRDefault="00F458A1" w:rsidP="00F458A1">
      <w:pPr>
        <w:pStyle w:val="Notedebasdepage"/>
        <w:rPr>
          <w:lang w:val="fr-FR"/>
        </w:rPr>
      </w:pPr>
      <w:r w:rsidRPr="00AF3171">
        <w:rPr>
          <w:lang w:val="fr-FR"/>
        </w:rPr>
        <w:tab/>
      </w:r>
      <w:r w:rsidRPr="00F458A1">
        <w:rPr>
          <w:rStyle w:val="Appelnotedebasdep"/>
        </w:rPr>
        <w:footnoteRef/>
      </w:r>
      <w:r w:rsidRPr="00AF3171">
        <w:rPr>
          <w:lang w:val="fr-FR"/>
        </w:rPr>
        <w:tab/>
      </w:r>
      <w:r>
        <w:rPr>
          <w:lang w:val="fr-FR"/>
        </w:rPr>
        <w:t>P</w:t>
      </w:r>
      <w:r w:rsidRPr="00AF3171">
        <w:rPr>
          <w:lang w:val="fr-FR"/>
        </w:rPr>
        <w:t xml:space="preserve">ar exemple, </w:t>
      </w:r>
      <w:proofErr w:type="spellStart"/>
      <w:r w:rsidRPr="00AF3171">
        <w:rPr>
          <w:i/>
          <w:iCs/>
          <w:lang w:val="fr-FR"/>
        </w:rPr>
        <w:t>Pivonos</w:t>
      </w:r>
      <w:proofErr w:type="spellEnd"/>
      <w:r w:rsidRPr="00AF3171">
        <w:rPr>
          <w:i/>
          <w:iCs/>
          <w:lang w:val="fr-FR"/>
        </w:rPr>
        <w:t xml:space="preserve"> </w:t>
      </w:r>
      <w:r w:rsidRPr="00C571DE">
        <w:rPr>
          <w:i/>
          <w:iCs/>
          <w:lang w:val="fr-FR"/>
        </w:rPr>
        <w:t>c.</w:t>
      </w:r>
      <w:r w:rsidRPr="00AF3171">
        <w:rPr>
          <w:i/>
          <w:iCs/>
          <w:lang w:val="fr-FR"/>
        </w:rPr>
        <w:t xml:space="preserve"> Bélarus</w:t>
      </w:r>
      <w:r w:rsidRPr="00083C3B">
        <w:rPr>
          <w:lang w:val="fr-FR"/>
        </w:rPr>
        <w:t xml:space="preserve"> </w:t>
      </w:r>
      <w:r>
        <w:rPr>
          <w:lang w:val="pt-BR"/>
        </w:rPr>
        <w:t>(</w:t>
      </w:r>
      <w:r w:rsidRPr="00BA57BF">
        <w:rPr>
          <w:lang w:val="pt-BR"/>
        </w:rPr>
        <w:t>CCPR/C/106/D/1830/2008</w:t>
      </w:r>
      <w:r>
        <w:rPr>
          <w:lang w:val="pt-BR"/>
        </w:rPr>
        <w:t>)</w:t>
      </w:r>
      <w:r w:rsidRPr="00AF3171">
        <w:rPr>
          <w:lang w:val="fr-FR"/>
        </w:rPr>
        <w:t>, par. 9.3</w:t>
      </w:r>
      <w:r>
        <w:rPr>
          <w:lang w:val="fr-FR"/>
        </w:rPr>
        <w:t> </w:t>
      </w:r>
      <w:r w:rsidRPr="00AF3171">
        <w:rPr>
          <w:lang w:val="fr-FR"/>
        </w:rPr>
        <w:t xml:space="preserve">; </w:t>
      </w:r>
      <w:proofErr w:type="spellStart"/>
      <w:r w:rsidRPr="00AF3171">
        <w:rPr>
          <w:i/>
          <w:iCs/>
          <w:lang w:val="fr-FR"/>
        </w:rPr>
        <w:t>Olechkevitch</w:t>
      </w:r>
      <w:proofErr w:type="spellEnd"/>
      <w:r w:rsidRPr="00AF3171">
        <w:rPr>
          <w:i/>
          <w:iCs/>
          <w:lang w:val="fr-FR"/>
        </w:rPr>
        <w:t xml:space="preserve"> </w:t>
      </w:r>
      <w:r w:rsidRPr="00C571DE">
        <w:rPr>
          <w:i/>
          <w:iCs/>
          <w:lang w:val="fr-FR"/>
        </w:rPr>
        <w:t>c.</w:t>
      </w:r>
      <w:r w:rsidRPr="00AF3171">
        <w:rPr>
          <w:i/>
          <w:iCs/>
          <w:lang w:val="fr-FR"/>
        </w:rPr>
        <w:t xml:space="preserve"> Bélarus </w:t>
      </w:r>
      <w:r w:rsidRPr="00DF5EB2">
        <w:rPr>
          <w:lang w:val="fr-FR"/>
        </w:rPr>
        <w:t>(CCPR/C/107/D/1785/2008)</w:t>
      </w:r>
      <w:r w:rsidRPr="00AF3171">
        <w:rPr>
          <w:lang w:val="fr-FR"/>
        </w:rPr>
        <w:t>, par. 8.5</w:t>
      </w:r>
      <w:r>
        <w:rPr>
          <w:lang w:val="fr-FR"/>
        </w:rPr>
        <w:t> </w:t>
      </w:r>
      <w:r w:rsidRPr="00AF3171">
        <w:rPr>
          <w:lang w:val="fr-FR"/>
        </w:rPr>
        <w:t xml:space="preserve">; </w:t>
      </w:r>
      <w:proofErr w:type="spellStart"/>
      <w:r w:rsidRPr="00AF3171">
        <w:rPr>
          <w:i/>
          <w:lang w:val="fr-FR"/>
        </w:rPr>
        <w:t>Androsenko</w:t>
      </w:r>
      <w:proofErr w:type="spellEnd"/>
      <w:r w:rsidRPr="00AF3171">
        <w:rPr>
          <w:i/>
          <w:lang w:val="fr-FR"/>
        </w:rPr>
        <w:t xml:space="preserve"> </w:t>
      </w:r>
      <w:r w:rsidRPr="00C571DE">
        <w:rPr>
          <w:i/>
          <w:lang w:val="fr-FR"/>
        </w:rPr>
        <w:t>c.</w:t>
      </w:r>
      <w:r w:rsidRPr="00AF3171">
        <w:rPr>
          <w:i/>
          <w:lang w:val="fr-FR"/>
        </w:rPr>
        <w:t xml:space="preserve"> Bélarus</w:t>
      </w:r>
      <w:r>
        <w:rPr>
          <w:i/>
          <w:lang w:val="fr-FR"/>
        </w:rPr>
        <w:t xml:space="preserve"> </w:t>
      </w:r>
      <w:r>
        <w:rPr>
          <w:iCs/>
          <w:lang w:val="fr-FR"/>
        </w:rPr>
        <w:t>(</w:t>
      </w:r>
      <w:r w:rsidRPr="00727A48">
        <w:rPr>
          <w:lang w:val="pt-BR"/>
        </w:rPr>
        <w:t>CCPR/C/116/D/2092/2011</w:t>
      </w:r>
      <w:r>
        <w:rPr>
          <w:lang w:val="pt-BR"/>
        </w:rPr>
        <w:t>)</w:t>
      </w:r>
      <w:r w:rsidRPr="00AF3171">
        <w:rPr>
          <w:lang w:val="fr-FR"/>
        </w:rPr>
        <w:t>, par. 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8A1" w:rsidRPr="00F458A1" w:rsidRDefault="00F458A1">
    <w:pPr>
      <w:pStyle w:val="En-tte"/>
    </w:pPr>
    <w:fldSimple w:instr=" TITLE  \* MERGEFORMAT ">
      <w:r>
        <w:t>CCPR/C/129/D/2482/2014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8A1" w:rsidRPr="00F458A1" w:rsidRDefault="00F458A1" w:rsidP="00F458A1">
    <w:pPr>
      <w:pStyle w:val="En-tte"/>
      <w:jc w:val="right"/>
    </w:pPr>
    <w:fldSimple w:instr=" TITLE  \* MERGEFORMAT ">
      <w:r>
        <w:t>CCPR/C/129/D/2482/2014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B2F52"/>
    <w:rsid w:val="00017F94"/>
    <w:rsid w:val="00023842"/>
    <w:rsid w:val="000334F9"/>
    <w:rsid w:val="0007796D"/>
    <w:rsid w:val="000B7790"/>
    <w:rsid w:val="000C2225"/>
    <w:rsid w:val="00111F2F"/>
    <w:rsid w:val="0014365E"/>
    <w:rsid w:val="00176178"/>
    <w:rsid w:val="001B379B"/>
    <w:rsid w:val="001F525A"/>
    <w:rsid w:val="00223272"/>
    <w:rsid w:val="0024779E"/>
    <w:rsid w:val="002B7BC7"/>
    <w:rsid w:val="002E2D46"/>
    <w:rsid w:val="0032225A"/>
    <w:rsid w:val="003402F1"/>
    <w:rsid w:val="00351332"/>
    <w:rsid w:val="003A6E96"/>
    <w:rsid w:val="00417024"/>
    <w:rsid w:val="00446FE5"/>
    <w:rsid w:val="00452396"/>
    <w:rsid w:val="005505B7"/>
    <w:rsid w:val="00573BE5"/>
    <w:rsid w:val="00586ED3"/>
    <w:rsid w:val="00596AA9"/>
    <w:rsid w:val="006F7144"/>
    <w:rsid w:val="006F71EA"/>
    <w:rsid w:val="0071601D"/>
    <w:rsid w:val="00793E85"/>
    <w:rsid w:val="007A611C"/>
    <w:rsid w:val="007A62E6"/>
    <w:rsid w:val="007E2032"/>
    <w:rsid w:val="0080684C"/>
    <w:rsid w:val="008560DB"/>
    <w:rsid w:val="00871C75"/>
    <w:rsid w:val="008776DC"/>
    <w:rsid w:val="009705C8"/>
    <w:rsid w:val="009B1E6C"/>
    <w:rsid w:val="009E2C6A"/>
    <w:rsid w:val="00A9151D"/>
    <w:rsid w:val="00AA6A35"/>
    <w:rsid w:val="00AC3823"/>
    <w:rsid w:val="00AE323C"/>
    <w:rsid w:val="00B00181"/>
    <w:rsid w:val="00B765F7"/>
    <w:rsid w:val="00BA0CA9"/>
    <w:rsid w:val="00BB2F52"/>
    <w:rsid w:val="00BF4397"/>
    <w:rsid w:val="00C01ACF"/>
    <w:rsid w:val="00C02897"/>
    <w:rsid w:val="00C571DE"/>
    <w:rsid w:val="00CA7BC4"/>
    <w:rsid w:val="00D05667"/>
    <w:rsid w:val="00D3439C"/>
    <w:rsid w:val="00D744E5"/>
    <w:rsid w:val="00D83177"/>
    <w:rsid w:val="00DB1831"/>
    <w:rsid w:val="00DD1B6E"/>
    <w:rsid w:val="00DD3BFD"/>
    <w:rsid w:val="00DF6678"/>
    <w:rsid w:val="00E85C42"/>
    <w:rsid w:val="00EC30D5"/>
    <w:rsid w:val="00EE1BD4"/>
    <w:rsid w:val="00F12152"/>
    <w:rsid w:val="00F458A1"/>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DEC0AD"/>
  <w15:docId w15:val="{40C7C7F8-7481-489E-84A4-77ADD39C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ootnote number,ftref,Footnotes refss,Style 10,referencia nota al pie,BVI fnr,Footnote text,4_Footnote text,callout,Fago Fußnotenzeichen,16 Point,Superscript 6 Point,Footnote,Footnote symbol,f,Ref,Footnote Refernece"/>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Footnote Text Char Char Char Char Char,Footnote Text Char Char Char Char,Footnote reference,FA Fu,Footnote Text Char Char Char,Footnote Reference1, Char,Char,ft,Style 27,Char Char Char Char Char,Style 11, Char Char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 Char Car,Char Car,ft Car,Style 27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F458A1"/>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4</Pages>
  <Words>1974</Words>
  <Characters>11572</Characters>
  <Application>Microsoft Office Word</Application>
  <DocSecurity>0</DocSecurity>
  <Lines>1052</Lines>
  <Paragraphs>451</Paragraphs>
  <ScaleCrop>false</ScaleCrop>
  <HeadingPairs>
    <vt:vector size="2" baseType="variant">
      <vt:variant>
        <vt:lpstr>Titre</vt:lpstr>
      </vt:variant>
      <vt:variant>
        <vt:i4>1</vt:i4>
      </vt:variant>
    </vt:vector>
  </HeadingPairs>
  <TitlesOfParts>
    <vt:vector size="1" baseType="lpstr">
      <vt:lpstr>CCPR/C/129/D/2482/2014</vt:lpstr>
    </vt:vector>
  </TitlesOfParts>
  <Company>DCM</Company>
  <LinksUpToDate>false</LinksUpToDate>
  <CharactersWithSpaces>13095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CCPR/C/129/D/2482/2014</dc:title>
  <dc:subject/>
  <dc:creator>Corinne ROBERT</dc:creator>
  <cp:keywords/>
  <cp:lastModifiedBy>Corinne ROBERT</cp:lastModifiedBy>
  <cp:revision>2</cp:revision>
  <cp:lastPrinted>2014-05-14T10:59:00Z</cp:lastPrinted>
  <dcterms:created xsi:type="dcterms:W3CDTF">2020-10-26T09:25:00Z</dcterms:created>
  <dcterms:modified xsi:type="dcterms:W3CDTF">2020-10-26T09:25:00Z</dcterms:modified>
</cp:coreProperties>
</file>