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0BA36290" w14:textId="77777777" w:rsidTr="005B51C4">
        <w:trPr>
          <w:trHeight w:hRule="exact" w:val="851"/>
        </w:trPr>
        <w:tc>
          <w:tcPr>
            <w:tcW w:w="1274" w:type="dxa"/>
            <w:tcBorders>
              <w:bottom w:val="single" w:sz="4" w:space="0" w:color="auto"/>
            </w:tcBorders>
            <w:shd w:val="clear" w:color="auto" w:fill="auto"/>
          </w:tcPr>
          <w:p w14:paraId="5D6706A9" w14:textId="77777777" w:rsidR="006B3E27" w:rsidRPr="00CF3695" w:rsidRDefault="006B3E27" w:rsidP="005B51C4">
            <w:pPr>
              <w:jc w:val="center"/>
              <w:rPr>
                <w:sz w:val="56"/>
                <w:szCs w:val="56"/>
                <w:rtl/>
              </w:rPr>
            </w:pPr>
          </w:p>
        </w:tc>
        <w:tc>
          <w:tcPr>
            <w:tcW w:w="4537" w:type="dxa"/>
            <w:tcBorders>
              <w:bottom w:val="single" w:sz="4" w:space="0" w:color="auto"/>
            </w:tcBorders>
            <w:shd w:val="clear" w:color="auto" w:fill="auto"/>
            <w:vAlign w:val="bottom"/>
          </w:tcPr>
          <w:p w14:paraId="54775769"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01614512" w14:textId="77777777" w:rsidR="006B3E27" w:rsidRPr="005B51C4" w:rsidRDefault="00CF3695" w:rsidP="00A65181">
            <w:pPr>
              <w:bidi w:val="0"/>
              <w:spacing w:after="20"/>
              <w:jc w:val="left"/>
              <w:rPr>
                <w:szCs w:val="20"/>
              </w:rPr>
            </w:pPr>
            <w:r w:rsidRPr="00CF3695">
              <w:rPr>
                <w:sz w:val="40"/>
                <w:szCs w:val="20"/>
              </w:rPr>
              <w:t>CCPR</w:t>
            </w:r>
            <w:r>
              <w:rPr>
                <w:szCs w:val="20"/>
              </w:rPr>
              <w:t>/C/</w:t>
            </w:r>
            <w:r w:rsidRPr="00850D2B">
              <w:rPr>
                <w:szCs w:val="20"/>
              </w:rPr>
              <w:t>129</w:t>
            </w:r>
            <w:r>
              <w:rPr>
                <w:szCs w:val="20"/>
              </w:rPr>
              <w:t>/D/</w:t>
            </w:r>
            <w:r w:rsidRPr="00850D2B">
              <w:rPr>
                <w:szCs w:val="20"/>
              </w:rPr>
              <w:t>2482</w:t>
            </w:r>
            <w:r>
              <w:rPr>
                <w:szCs w:val="20"/>
              </w:rPr>
              <w:t>/</w:t>
            </w:r>
            <w:r w:rsidRPr="00850D2B">
              <w:rPr>
                <w:szCs w:val="20"/>
              </w:rPr>
              <w:t>2014</w:t>
            </w:r>
          </w:p>
        </w:tc>
      </w:tr>
      <w:tr w:rsidR="006B3E27" w:rsidRPr="00ED7442" w14:paraId="089F5B2C" w14:textId="77777777" w:rsidTr="005B51C4">
        <w:trPr>
          <w:trHeight w:hRule="exact" w:val="2835"/>
        </w:trPr>
        <w:tc>
          <w:tcPr>
            <w:tcW w:w="1274" w:type="dxa"/>
            <w:tcBorders>
              <w:top w:val="single" w:sz="4" w:space="0" w:color="auto"/>
              <w:bottom w:val="single" w:sz="12" w:space="0" w:color="auto"/>
            </w:tcBorders>
            <w:shd w:val="clear" w:color="auto" w:fill="auto"/>
          </w:tcPr>
          <w:p w14:paraId="1608E96F" w14:textId="37CC7613" w:rsidR="006B3E27" w:rsidRPr="005B51C4" w:rsidRDefault="008A7B48" w:rsidP="005B51C4">
            <w:pPr>
              <w:jc w:val="center"/>
              <w:rPr>
                <w:sz w:val="56"/>
                <w:szCs w:val="56"/>
                <w:rtl/>
              </w:rPr>
            </w:pPr>
            <w:r>
              <w:rPr>
                <w:noProof/>
                <w:sz w:val="56"/>
                <w:szCs w:val="56"/>
              </w:rPr>
              <w:drawing>
                <wp:inline distT="0" distB="0" distL="0" distR="0" wp14:anchorId="20E06EE5" wp14:editId="0D7760E2">
                  <wp:extent cx="626745" cy="60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0960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EF0125D"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AFD637A" w14:textId="77777777" w:rsidR="006B3E27" w:rsidRDefault="00A65181" w:rsidP="00A65181">
            <w:pPr>
              <w:bidi w:val="0"/>
              <w:spacing w:before="240"/>
              <w:jc w:val="left"/>
              <w:rPr>
                <w:szCs w:val="20"/>
              </w:rPr>
            </w:pPr>
            <w:r>
              <w:rPr>
                <w:szCs w:val="20"/>
              </w:rPr>
              <w:t>Distr.: General</w:t>
            </w:r>
          </w:p>
          <w:p w14:paraId="35DDE78F" w14:textId="2DB7FC66" w:rsidR="00A65181" w:rsidRDefault="00FA521F" w:rsidP="00A65181">
            <w:pPr>
              <w:bidi w:val="0"/>
              <w:jc w:val="left"/>
              <w:rPr>
                <w:szCs w:val="20"/>
              </w:rPr>
            </w:pPr>
            <w:r w:rsidRPr="00850D2B">
              <w:rPr>
                <w:szCs w:val="20"/>
              </w:rPr>
              <w:t>30</w:t>
            </w:r>
            <w:r>
              <w:rPr>
                <w:rFonts w:cs="Times New Roman"/>
                <w:szCs w:val="20"/>
              </w:rPr>
              <w:t xml:space="preserve"> September </w:t>
            </w:r>
            <w:r w:rsidRPr="00850D2B">
              <w:rPr>
                <w:szCs w:val="20"/>
              </w:rPr>
              <w:t>2020</w:t>
            </w:r>
          </w:p>
          <w:p w14:paraId="1D09212F" w14:textId="77777777" w:rsidR="00A65181" w:rsidRDefault="00A65181" w:rsidP="00A65181">
            <w:pPr>
              <w:bidi w:val="0"/>
              <w:jc w:val="left"/>
              <w:rPr>
                <w:szCs w:val="20"/>
              </w:rPr>
            </w:pPr>
            <w:r>
              <w:rPr>
                <w:szCs w:val="20"/>
              </w:rPr>
              <w:t>Arabic</w:t>
            </w:r>
          </w:p>
          <w:p w14:paraId="024ABF73" w14:textId="77777777" w:rsidR="00A65181" w:rsidRPr="005B51C4" w:rsidRDefault="00A65181" w:rsidP="00A65181">
            <w:pPr>
              <w:bidi w:val="0"/>
              <w:jc w:val="left"/>
              <w:rPr>
                <w:szCs w:val="20"/>
              </w:rPr>
            </w:pPr>
            <w:r>
              <w:rPr>
                <w:szCs w:val="20"/>
              </w:rPr>
              <w:t>Original: English</w:t>
            </w:r>
          </w:p>
        </w:tc>
      </w:tr>
    </w:tbl>
    <w:p w14:paraId="71DE6A9D" w14:textId="77777777" w:rsidR="002F4BC3" w:rsidRPr="002F4BC3" w:rsidRDefault="002F4BC3" w:rsidP="002F4BC3">
      <w:pPr>
        <w:spacing w:before="120" w:line="360" w:lineRule="exact"/>
        <w:textDirection w:val="tbRlV"/>
        <w:rPr>
          <w:b/>
          <w:sz w:val="34"/>
          <w:szCs w:val="34"/>
          <w:lang w:val="ar-SA" w:eastAsia="zh-TW" w:bidi="en-GB"/>
        </w:rPr>
      </w:pPr>
      <w:r w:rsidRPr="002F4BC3">
        <w:rPr>
          <w:b/>
          <w:bCs/>
          <w:sz w:val="34"/>
          <w:szCs w:val="34"/>
          <w:rtl/>
        </w:rPr>
        <w:t>اللجنة المعنية بحقوق الإنسان</w:t>
      </w:r>
    </w:p>
    <w:p w14:paraId="7CACF2D5" w14:textId="7698AED4" w:rsidR="002F4BC3" w:rsidRPr="00CC61A7" w:rsidRDefault="002F4BC3" w:rsidP="002F4BC3">
      <w:pPr>
        <w:pStyle w:val="HChGA"/>
        <w:rPr>
          <w:lang w:eastAsia="zh-TW" w:bidi="en-GB"/>
        </w:rPr>
      </w:pPr>
      <w:r w:rsidRPr="00E81898">
        <w:rPr>
          <w:sz w:val="30"/>
          <w:rtl/>
        </w:rPr>
        <w:tab/>
      </w:r>
      <w:r w:rsidRPr="00E81898">
        <w:rPr>
          <w:sz w:val="30"/>
          <w:rtl/>
        </w:rPr>
        <w:tab/>
      </w:r>
      <w:r w:rsidRPr="00913480">
        <w:rPr>
          <w:rtl/>
        </w:rPr>
        <w:t xml:space="preserve">الآراء التي اعتمدتها اللجنة بموجب المادة </w:t>
      </w:r>
      <w:r w:rsidRPr="00850D2B">
        <w:rPr>
          <w:szCs w:val="28"/>
          <w:rtl/>
        </w:rPr>
        <w:t>5</w:t>
      </w:r>
      <w:r w:rsidRPr="00FB2814">
        <w:rPr>
          <w:rtl/>
        </w:rPr>
        <w:t>(</w:t>
      </w:r>
      <w:r w:rsidRPr="00850D2B">
        <w:rPr>
          <w:szCs w:val="28"/>
          <w:rtl/>
        </w:rPr>
        <w:t>4</w:t>
      </w:r>
      <w:r w:rsidRPr="00FB2814">
        <w:rPr>
          <w:rtl/>
        </w:rPr>
        <w:t>)</w:t>
      </w:r>
      <w:r w:rsidRPr="00913480">
        <w:rPr>
          <w:rtl/>
        </w:rPr>
        <w:t xml:space="preserve"> من البروتوكول الاختياري، بشأن البلاغ رقم </w:t>
      </w:r>
      <w:r w:rsidRPr="00850D2B">
        <w:rPr>
          <w:szCs w:val="28"/>
          <w:rtl/>
        </w:rPr>
        <w:t>2482</w:t>
      </w:r>
      <w:r w:rsidRPr="00913480">
        <w:rPr>
          <w:rFonts w:ascii="Traditional Arabic"/>
          <w:rtl/>
        </w:rPr>
        <w:t>/</w:t>
      </w:r>
      <w:r w:rsidRPr="00850D2B">
        <w:rPr>
          <w:szCs w:val="28"/>
          <w:rtl/>
        </w:rPr>
        <w:t>2014</w:t>
      </w:r>
      <w:r w:rsidR="002044F1" w:rsidRPr="00850D2B">
        <w:rPr>
          <w:rStyle w:val="FootnoteReference"/>
          <w:sz w:val="26"/>
          <w:szCs w:val="34"/>
          <w:vertAlign w:val="baseline"/>
          <w:rtl/>
        </w:rPr>
        <w:footnoteReference w:customMarkFollows="1" w:id="1"/>
        <w:t>*</w:t>
      </w:r>
      <w:r w:rsidRPr="00850D2B">
        <w:rPr>
          <w:rFonts w:ascii="Traditional Arabic"/>
          <w:sz w:val="34"/>
          <w:szCs w:val="44"/>
          <w:rtl/>
        </w:rPr>
        <w:t xml:space="preserve"> </w:t>
      </w:r>
      <w:r w:rsidR="002044F1" w:rsidRPr="00850D2B">
        <w:rPr>
          <w:rStyle w:val="FootnoteReference"/>
          <w:sz w:val="26"/>
          <w:szCs w:val="34"/>
          <w:vertAlign w:val="baseline"/>
          <w:rtl/>
          <w:lang w:eastAsia="zh-TW"/>
        </w:rPr>
        <w:footnoteReference w:customMarkFollows="1" w:id="2"/>
        <w:t>**</w:t>
      </w:r>
    </w:p>
    <w:p w14:paraId="11ECC181" w14:textId="77777777" w:rsidR="002F4BC3" w:rsidRPr="00E81898" w:rsidRDefault="002F4BC3" w:rsidP="002F4BC3">
      <w:pPr>
        <w:pStyle w:val="SingleTxtGA"/>
        <w:tabs>
          <w:tab w:val="clear" w:pos="1928"/>
          <w:tab w:val="clear" w:pos="2608"/>
          <w:tab w:val="clear" w:pos="3289"/>
          <w:tab w:val="clear" w:pos="3969"/>
        </w:tabs>
        <w:ind w:left="4252" w:hanging="2324"/>
        <w:rPr>
          <w:lang w:val="ar-SA" w:eastAsia="zh-TW" w:bidi="en-GB"/>
        </w:rPr>
      </w:pPr>
      <w:r w:rsidRPr="00E81898">
        <w:rPr>
          <w:i/>
          <w:iCs/>
          <w:rtl/>
        </w:rPr>
        <w:t>المقدم من:</w:t>
      </w:r>
      <w:r w:rsidRPr="00E81898">
        <w:rPr>
          <w:rtl/>
        </w:rPr>
        <w:tab/>
        <w:t xml:space="preserve">ديمتري كوريشكوف </w:t>
      </w:r>
      <w:r w:rsidRPr="00FB2814">
        <w:rPr>
          <w:rtl/>
        </w:rPr>
        <w:t>(</w:t>
      </w:r>
      <w:r w:rsidRPr="00E81898">
        <w:rPr>
          <w:rtl/>
        </w:rPr>
        <w:t>لا يمثله محام</w:t>
      </w:r>
      <w:r w:rsidRPr="00FB2814">
        <w:rPr>
          <w:rtl/>
        </w:rPr>
        <w:t>)</w:t>
      </w:r>
    </w:p>
    <w:p w14:paraId="42C82989" w14:textId="77777777" w:rsidR="002F4BC3" w:rsidRPr="00E81898" w:rsidRDefault="002F4BC3" w:rsidP="002F4BC3">
      <w:pPr>
        <w:pStyle w:val="SingleTxtGA"/>
        <w:tabs>
          <w:tab w:val="clear" w:pos="1928"/>
          <w:tab w:val="clear" w:pos="2608"/>
          <w:tab w:val="clear" w:pos="3289"/>
          <w:tab w:val="clear" w:pos="3969"/>
        </w:tabs>
        <w:ind w:left="4252" w:hanging="2324"/>
        <w:rPr>
          <w:lang w:val="ar-SA" w:eastAsia="zh-TW" w:bidi="en-GB"/>
        </w:rPr>
      </w:pPr>
      <w:r w:rsidRPr="002F4BC3">
        <w:rPr>
          <w:i/>
          <w:iCs/>
          <w:rtl/>
        </w:rPr>
        <w:t>الشخص المدعى أنه ضحية:</w:t>
      </w:r>
      <w:r w:rsidRPr="00E81898">
        <w:rPr>
          <w:rtl/>
        </w:rPr>
        <w:tab/>
        <w:t>صاحب البلاغ</w:t>
      </w:r>
    </w:p>
    <w:p w14:paraId="13EE450A" w14:textId="77777777" w:rsidR="002F4BC3" w:rsidRPr="00E81898" w:rsidRDefault="002F4BC3" w:rsidP="002F4BC3">
      <w:pPr>
        <w:pStyle w:val="SingleTxtGA"/>
        <w:tabs>
          <w:tab w:val="clear" w:pos="1928"/>
          <w:tab w:val="clear" w:pos="2608"/>
          <w:tab w:val="clear" w:pos="3289"/>
          <w:tab w:val="clear" w:pos="3969"/>
        </w:tabs>
        <w:ind w:left="4252" w:hanging="2324"/>
        <w:rPr>
          <w:lang w:val="ar-SA" w:eastAsia="zh-TW" w:bidi="en-GB"/>
        </w:rPr>
      </w:pPr>
      <w:r w:rsidRPr="002F4BC3">
        <w:rPr>
          <w:i/>
          <w:iCs/>
          <w:rtl/>
        </w:rPr>
        <w:t>الدولة الطرف:</w:t>
      </w:r>
      <w:r w:rsidRPr="00E81898">
        <w:rPr>
          <w:rtl/>
        </w:rPr>
        <w:tab/>
        <w:t>بيلاروس</w:t>
      </w:r>
    </w:p>
    <w:p w14:paraId="36DB430F" w14:textId="77777777" w:rsidR="002F4BC3" w:rsidRPr="00E81898" w:rsidRDefault="002F4BC3" w:rsidP="002F4BC3">
      <w:pPr>
        <w:pStyle w:val="SingleTxtGA"/>
        <w:tabs>
          <w:tab w:val="clear" w:pos="1928"/>
          <w:tab w:val="clear" w:pos="2608"/>
          <w:tab w:val="clear" w:pos="3289"/>
          <w:tab w:val="clear" w:pos="3969"/>
        </w:tabs>
        <w:ind w:left="4252" w:hanging="2324"/>
        <w:rPr>
          <w:lang w:val="ar-SA" w:eastAsia="zh-TW" w:bidi="en-GB"/>
        </w:rPr>
      </w:pPr>
      <w:r w:rsidRPr="00E81898">
        <w:rPr>
          <w:i/>
          <w:iCs/>
          <w:rtl/>
        </w:rPr>
        <w:t>تاريخ تقديم البلاغ:</w:t>
      </w:r>
      <w:r w:rsidRPr="00E81898">
        <w:rPr>
          <w:rtl/>
        </w:rPr>
        <w:tab/>
      </w:r>
      <w:r w:rsidRPr="00850D2B">
        <w:rPr>
          <w:szCs w:val="20"/>
          <w:rtl/>
        </w:rPr>
        <w:t>23</w:t>
      </w:r>
      <w:r w:rsidRPr="00E81898">
        <w:rPr>
          <w:rtl/>
        </w:rPr>
        <w:t xml:space="preserve"> أيار/مايو </w:t>
      </w:r>
      <w:r w:rsidRPr="00850D2B">
        <w:rPr>
          <w:szCs w:val="20"/>
          <w:rtl/>
        </w:rPr>
        <w:t>2014</w:t>
      </w:r>
      <w:r w:rsidRPr="00E81898">
        <w:rPr>
          <w:rFonts w:ascii="Traditional Arabic"/>
          <w:rtl/>
        </w:rPr>
        <w:t xml:space="preserve"> </w:t>
      </w:r>
      <w:r w:rsidRPr="00FB2814">
        <w:rPr>
          <w:rtl/>
        </w:rPr>
        <w:t>(</w:t>
      </w:r>
      <w:r w:rsidRPr="00E81898">
        <w:rPr>
          <w:rtl/>
        </w:rPr>
        <w:t>تاريخ تقديم الرسالة الأولى</w:t>
      </w:r>
      <w:r w:rsidRPr="00FB2814">
        <w:rPr>
          <w:rtl/>
        </w:rPr>
        <w:t>)</w:t>
      </w:r>
    </w:p>
    <w:p w14:paraId="14A879A8" w14:textId="25D5C413" w:rsidR="002F4BC3" w:rsidRPr="00E81898" w:rsidRDefault="002F4BC3" w:rsidP="002F4BC3">
      <w:pPr>
        <w:pStyle w:val="SingleTxtGA"/>
        <w:tabs>
          <w:tab w:val="clear" w:pos="1928"/>
          <w:tab w:val="clear" w:pos="2608"/>
          <w:tab w:val="clear" w:pos="3289"/>
          <w:tab w:val="clear" w:pos="3969"/>
        </w:tabs>
        <w:ind w:left="4252" w:hanging="2324"/>
        <w:rPr>
          <w:lang w:val="ar-SA" w:eastAsia="zh-TW" w:bidi="en-GB"/>
        </w:rPr>
      </w:pPr>
      <w:r w:rsidRPr="00E81898">
        <w:rPr>
          <w:i/>
          <w:iCs/>
          <w:rtl/>
        </w:rPr>
        <w:t>الوثائق المرجعية:</w:t>
      </w:r>
      <w:r w:rsidRPr="00E81898">
        <w:rPr>
          <w:rtl/>
        </w:rPr>
        <w:tab/>
        <w:t xml:space="preserve">القرار الذي اتخذه المقرر الخاص بموجب المادة </w:t>
      </w:r>
      <w:r w:rsidRPr="00850D2B">
        <w:rPr>
          <w:szCs w:val="20"/>
          <w:rtl/>
        </w:rPr>
        <w:t>92</w:t>
      </w:r>
      <w:r w:rsidRPr="00E81898">
        <w:rPr>
          <w:rtl/>
        </w:rPr>
        <w:t xml:space="preserve"> من النظام الداخلي والمحال إلى الدولة الطرف في </w:t>
      </w:r>
      <w:r w:rsidRPr="00850D2B">
        <w:rPr>
          <w:szCs w:val="20"/>
          <w:rtl/>
        </w:rPr>
        <w:t>26</w:t>
      </w:r>
      <w:r w:rsidRPr="00E81898">
        <w:rPr>
          <w:rtl/>
        </w:rPr>
        <w:t xml:space="preserve"> تشرين الثاني/</w:t>
      </w:r>
      <w:r w:rsidR="0013578E">
        <w:rPr>
          <w:rFonts w:hint="cs"/>
          <w:rtl/>
        </w:rPr>
        <w:t xml:space="preserve"> </w:t>
      </w:r>
      <w:r w:rsidRPr="00E81898">
        <w:rPr>
          <w:rtl/>
        </w:rPr>
        <w:t xml:space="preserve">نوفمبر </w:t>
      </w:r>
      <w:r w:rsidRPr="00850D2B">
        <w:rPr>
          <w:szCs w:val="20"/>
          <w:rtl/>
        </w:rPr>
        <w:t>2014</w:t>
      </w:r>
      <w:r w:rsidRPr="00E81898">
        <w:rPr>
          <w:rFonts w:ascii="Traditional Arabic"/>
          <w:rtl/>
        </w:rPr>
        <w:t xml:space="preserve"> </w:t>
      </w:r>
      <w:r w:rsidRPr="00FB2814">
        <w:rPr>
          <w:rtl/>
        </w:rPr>
        <w:t>(</w:t>
      </w:r>
      <w:r w:rsidRPr="00E81898">
        <w:rPr>
          <w:rtl/>
        </w:rPr>
        <w:t>لم يصدر في شكل وثيقة</w:t>
      </w:r>
      <w:r w:rsidRPr="00FB2814">
        <w:rPr>
          <w:rtl/>
        </w:rPr>
        <w:t>)</w:t>
      </w:r>
    </w:p>
    <w:p w14:paraId="1E4FE864" w14:textId="77777777" w:rsidR="002F4BC3" w:rsidRPr="00E81898" w:rsidRDefault="002F4BC3" w:rsidP="002F4BC3">
      <w:pPr>
        <w:pStyle w:val="SingleTxtGA"/>
        <w:tabs>
          <w:tab w:val="clear" w:pos="1928"/>
          <w:tab w:val="clear" w:pos="2608"/>
          <w:tab w:val="clear" w:pos="3289"/>
          <w:tab w:val="clear" w:pos="3969"/>
        </w:tabs>
        <w:ind w:left="4252" w:hanging="2324"/>
        <w:rPr>
          <w:lang w:val="ar-SA" w:eastAsia="zh-TW" w:bidi="en-GB"/>
        </w:rPr>
      </w:pPr>
      <w:r w:rsidRPr="002F4BC3">
        <w:rPr>
          <w:i/>
          <w:iCs/>
          <w:rtl/>
        </w:rPr>
        <w:t>تاريخ اعتماد الآراء:</w:t>
      </w:r>
      <w:r w:rsidRPr="00E81898">
        <w:rPr>
          <w:rtl/>
        </w:rPr>
        <w:tab/>
      </w:r>
      <w:r w:rsidRPr="00850D2B">
        <w:rPr>
          <w:szCs w:val="20"/>
          <w:rtl/>
        </w:rPr>
        <w:t>23</w:t>
      </w:r>
      <w:r w:rsidRPr="00E81898">
        <w:rPr>
          <w:rtl/>
        </w:rPr>
        <w:t xml:space="preserve"> تموز/يوليه </w:t>
      </w:r>
      <w:r w:rsidRPr="00850D2B">
        <w:rPr>
          <w:szCs w:val="20"/>
          <w:rtl/>
        </w:rPr>
        <w:t>2020</w:t>
      </w:r>
    </w:p>
    <w:p w14:paraId="7A930D4E" w14:textId="77777777" w:rsidR="002F4BC3" w:rsidRPr="004920DB" w:rsidRDefault="002F4BC3" w:rsidP="002F4BC3">
      <w:pPr>
        <w:pStyle w:val="SingleTxtGA"/>
        <w:tabs>
          <w:tab w:val="clear" w:pos="1928"/>
          <w:tab w:val="clear" w:pos="2608"/>
          <w:tab w:val="clear" w:pos="3289"/>
          <w:tab w:val="clear" w:pos="3969"/>
        </w:tabs>
        <w:ind w:left="4252" w:hanging="2324"/>
        <w:rPr>
          <w:lang w:eastAsia="zh-TW" w:bidi="en-GB"/>
        </w:rPr>
      </w:pPr>
      <w:r w:rsidRPr="00E81898">
        <w:rPr>
          <w:i/>
          <w:iCs/>
          <w:rtl/>
        </w:rPr>
        <w:t>الموضوع:</w:t>
      </w:r>
      <w:r w:rsidRPr="00E81898">
        <w:rPr>
          <w:rtl/>
        </w:rPr>
        <w:tab/>
        <w:t xml:space="preserve">فرض عقوبة على عقد اعتصام غير </w:t>
      </w:r>
      <w:r>
        <w:rPr>
          <w:rtl/>
        </w:rPr>
        <w:t>مرخَّص</w:t>
      </w:r>
      <w:r w:rsidRPr="00E81898">
        <w:rPr>
          <w:rtl/>
        </w:rPr>
        <w:t>؛ وحرية التعبير</w:t>
      </w:r>
    </w:p>
    <w:p w14:paraId="76726663" w14:textId="77777777" w:rsidR="002F4BC3" w:rsidRPr="00E81898" w:rsidRDefault="002F4BC3" w:rsidP="002F4BC3">
      <w:pPr>
        <w:pStyle w:val="SingleTxtGA"/>
        <w:tabs>
          <w:tab w:val="clear" w:pos="1928"/>
          <w:tab w:val="clear" w:pos="2608"/>
          <w:tab w:val="clear" w:pos="3289"/>
          <w:tab w:val="clear" w:pos="3969"/>
        </w:tabs>
        <w:ind w:left="4252" w:hanging="2324"/>
        <w:rPr>
          <w:lang w:val="ar-SA" w:eastAsia="zh-TW" w:bidi="en-GB"/>
        </w:rPr>
      </w:pPr>
      <w:r w:rsidRPr="00E81898">
        <w:rPr>
          <w:i/>
          <w:iCs/>
          <w:rtl/>
        </w:rPr>
        <w:t>المسائل الإجرائية:</w:t>
      </w:r>
      <w:r w:rsidRPr="00E81898">
        <w:rPr>
          <w:rtl/>
        </w:rPr>
        <w:tab/>
        <w:t>عدم تعاون الدولة الطرف؛ والمقبولية</w:t>
      </w:r>
    </w:p>
    <w:p w14:paraId="1DCEEA50" w14:textId="77777777" w:rsidR="002F4BC3" w:rsidRPr="00E81898" w:rsidRDefault="002F4BC3" w:rsidP="002F4BC3">
      <w:pPr>
        <w:pStyle w:val="SingleTxtGA"/>
        <w:tabs>
          <w:tab w:val="clear" w:pos="1928"/>
          <w:tab w:val="clear" w:pos="2608"/>
          <w:tab w:val="clear" w:pos="3289"/>
          <w:tab w:val="clear" w:pos="3969"/>
        </w:tabs>
        <w:ind w:left="4252" w:hanging="2324"/>
        <w:rPr>
          <w:lang w:val="ar-SA" w:eastAsia="zh-TW" w:bidi="en-GB"/>
        </w:rPr>
      </w:pPr>
      <w:r w:rsidRPr="002F4BC3">
        <w:rPr>
          <w:i/>
          <w:iCs/>
          <w:rtl/>
        </w:rPr>
        <w:t>المسألة الموضوعية:</w:t>
      </w:r>
      <w:r w:rsidRPr="00E81898">
        <w:rPr>
          <w:rtl/>
        </w:rPr>
        <w:tab/>
        <w:t>حرية التعبير</w:t>
      </w:r>
    </w:p>
    <w:p w14:paraId="25FFCCC4" w14:textId="77777777" w:rsidR="002F4BC3" w:rsidRPr="00E81898" w:rsidRDefault="002F4BC3" w:rsidP="002F4BC3">
      <w:pPr>
        <w:pStyle w:val="SingleTxtGA"/>
        <w:tabs>
          <w:tab w:val="clear" w:pos="1928"/>
          <w:tab w:val="clear" w:pos="2608"/>
          <w:tab w:val="clear" w:pos="3289"/>
          <w:tab w:val="clear" w:pos="3969"/>
        </w:tabs>
        <w:ind w:left="4252" w:hanging="2324"/>
        <w:rPr>
          <w:lang w:val="ar-SA" w:eastAsia="zh-TW" w:bidi="en-GB"/>
        </w:rPr>
      </w:pPr>
      <w:r w:rsidRPr="00E81898">
        <w:rPr>
          <w:i/>
          <w:iCs/>
          <w:rtl/>
        </w:rPr>
        <w:t>مواد العهد:</w:t>
      </w:r>
      <w:r w:rsidRPr="00E81898">
        <w:rPr>
          <w:rtl/>
        </w:rPr>
        <w:tab/>
      </w:r>
      <w:r w:rsidRPr="00850D2B">
        <w:rPr>
          <w:szCs w:val="20"/>
          <w:rtl/>
        </w:rPr>
        <w:t>19</w:t>
      </w:r>
      <w:r w:rsidRPr="00E81898">
        <w:rPr>
          <w:rtl/>
        </w:rPr>
        <w:t xml:space="preserve"> و</w:t>
      </w:r>
      <w:r w:rsidRPr="00850D2B">
        <w:rPr>
          <w:szCs w:val="20"/>
          <w:rtl/>
        </w:rPr>
        <w:t>2</w:t>
      </w:r>
      <w:r w:rsidRPr="00FB2814">
        <w:rPr>
          <w:rtl/>
        </w:rPr>
        <w:t>(</w:t>
      </w:r>
      <w:r w:rsidRPr="00850D2B">
        <w:rPr>
          <w:szCs w:val="20"/>
          <w:rtl/>
        </w:rPr>
        <w:t>2</w:t>
      </w:r>
      <w:r w:rsidRPr="00FB2814">
        <w:rPr>
          <w:rtl/>
        </w:rPr>
        <w:t>)</w:t>
      </w:r>
      <w:r w:rsidRPr="00E81898">
        <w:rPr>
          <w:rtl/>
        </w:rPr>
        <w:t xml:space="preserve"> و</w:t>
      </w:r>
      <w:r w:rsidRPr="00FB2814">
        <w:rPr>
          <w:rtl/>
        </w:rPr>
        <w:t>(</w:t>
      </w:r>
      <w:r w:rsidRPr="00850D2B">
        <w:rPr>
          <w:szCs w:val="20"/>
          <w:rtl/>
        </w:rPr>
        <w:t>3</w:t>
      </w:r>
      <w:r w:rsidRPr="00FB2814">
        <w:rPr>
          <w:rtl/>
        </w:rPr>
        <w:t>)</w:t>
      </w:r>
    </w:p>
    <w:p w14:paraId="615F3C8A" w14:textId="77777777" w:rsidR="002F4BC3" w:rsidRPr="00E81898" w:rsidRDefault="002F4BC3" w:rsidP="002F4BC3">
      <w:pPr>
        <w:pStyle w:val="SingleTxtGA"/>
        <w:tabs>
          <w:tab w:val="clear" w:pos="1928"/>
          <w:tab w:val="clear" w:pos="2608"/>
          <w:tab w:val="clear" w:pos="3289"/>
          <w:tab w:val="clear" w:pos="3969"/>
        </w:tabs>
        <w:ind w:left="4252" w:hanging="2324"/>
        <w:rPr>
          <w:lang w:val="ar-SA" w:eastAsia="zh-TW" w:bidi="en-GB"/>
        </w:rPr>
      </w:pPr>
      <w:r w:rsidRPr="002F4BC3">
        <w:rPr>
          <w:i/>
          <w:iCs/>
          <w:rtl/>
        </w:rPr>
        <w:t>مواد البروتوكول الاختياري:</w:t>
      </w:r>
      <w:r w:rsidRPr="00E81898">
        <w:rPr>
          <w:rtl/>
        </w:rPr>
        <w:tab/>
      </w:r>
      <w:r w:rsidRPr="00850D2B">
        <w:rPr>
          <w:szCs w:val="20"/>
          <w:rtl/>
        </w:rPr>
        <w:t>1</w:t>
      </w:r>
      <w:r w:rsidRPr="00E81898">
        <w:rPr>
          <w:rtl/>
        </w:rPr>
        <w:t xml:space="preserve"> و</w:t>
      </w:r>
      <w:r w:rsidRPr="00850D2B">
        <w:rPr>
          <w:szCs w:val="20"/>
          <w:rtl/>
        </w:rPr>
        <w:t>3</w:t>
      </w:r>
    </w:p>
    <w:p w14:paraId="79BB2F43" w14:textId="7C362AE8" w:rsidR="002F4BC3" w:rsidRPr="004920DB" w:rsidRDefault="002F4BC3" w:rsidP="002044F1">
      <w:pPr>
        <w:pStyle w:val="SingleTxtGA"/>
        <w:rPr>
          <w:lang w:eastAsia="zh-TW" w:bidi="en-GB"/>
        </w:rPr>
      </w:pPr>
      <w:r w:rsidRPr="00E81898">
        <w:rPr>
          <w:sz w:val="30"/>
        </w:rPr>
        <w:br w:type="page"/>
      </w:r>
      <w:r w:rsidRPr="00850D2B">
        <w:rPr>
          <w:szCs w:val="20"/>
          <w:rtl/>
        </w:rPr>
        <w:lastRenderedPageBreak/>
        <w:t>1</w:t>
      </w:r>
      <w:r w:rsidRPr="00FB2814">
        <w:rPr>
          <w:rtl/>
        </w:rPr>
        <w:t>-</w:t>
      </w:r>
      <w:r w:rsidRPr="00E81898">
        <w:rPr>
          <w:rtl/>
        </w:rPr>
        <w:tab/>
        <w:t xml:space="preserve">صاحب البلاغ هو ديمتري كوريشكوف، وهو مواطن بيلاروسي من مواليد عام </w:t>
      </w:r>
      <w:r w:rsidRPr="00850D2B">
        <w:rPr>
          <w:szCs w:val="20"/>
          <w:rtl/>
        </w:rPr>
        <w:t>1976</w:t>
      </w:r>
      <w:r w:rsidRPr="00E81898">
        <w:rPr>
          <w:rFonts w:ascii="Traditional Arabic"/>
          <w:rtl/>
        </w:rPr>
        <w:t>.</w:t>
      </w:r>
      <w:r w:rsidRPr="00E81898">
        <w:rPr>
          <w:rtl/>
        </w:rPr>
        <w:t xml:space="preserve"> و</w:t>
      </w:r>
      <w:r>
        <w:rPr>
          <w:rtl/>
        </w:rPr>
        <w:t xml:space="preserve">هو </w:t>
      </w:r>
      <w:r w:rsidRPr="0013578E">
        <w:rPr>
          <w:spacing w:val="-2"/>
          <w:rtl/>
        </w:rPr>
        <w:t xml:space="preserve">يدعي أن الدولة الطرف انتهكت حقوقه بموجب المادة </w:t>
      </w:r>
      <w:r w:rsidRPr="0013578E">
        <w:rPr>
          <w:spacing w:val="-2"/>
          <w:szCs w:val="20"/>
          <w:rtl/>
        </w:rPr>
        <w:t>19</w:t>
      </w:r>
      <w:r w:rsidRPr="0013578E">
        <w:rPr>
          <w:spacing w:val="-2"/>
          <w:rtl/>
        </w:rPr>
        <w:t xml:space="preserve"> من العهد، مقترنة بالفقرتين </w:t>
      </w:r>
      <w:r w:rsidRPr="0013578E">
        <w:rPr>
          <w:spacing w:val="-2"/>
          <w:szCs w:val="20"/>
          <w:rtl/>
        </w:rPr>
        <w:t>2</w:t>
      </w:r>
      <w:r w:rsidRPr="0013578E">
        <w:rPr>
          <w:spacing w:val="-2"/>
          <w:rtl/>
        </w:rPr>
        <w:t xml:space="preserve"> و</w:t>
      </w:r>
      <w:r w:rsidRPr="0013578E">
        <w:rPr>
          <w:spacing w:val="-2"/>
          <w:szCs w:val="20"/>
          <w:rtl/>
        </w:rPr>
        <w:t>3</w:t>
      </w:r>
      <w:r w:rsidRPr="0013578E">
        <w:rPr>
          <w:spacing w:val="-2"/>
          <w:rtl/>
        </w:rPr>
        <w:t xml:space="preserve"> من المادة </w:t>
      </w:r>
      <w:r w:rsidRPr="0013578E">
        <w:rPr>
          <w:spacing w:val="-2"/>
          <w:szCs w:val="20"/>
          <w:rtl/>
        </w:rPr>
        <w:t>2</w:t>
      </w:r>
      <w:r w:rsidRPr="00E81898">
        <w:rPr>
          <w:rFonts w:ascii="Traditional Arabic"/>
          <w:rtl/>
        </w:rPr>
        <w:t>.</w:t>
      </w:r>
      <w:r w:rsidRPr="00E81898">
        <w:rPr>
          <w:rtl/>
        </w:rPr>
        <w:t xml:space="preserve"> وقد بدأ نفاذ البروتوكول الاختياري بالنسبة لبيلاروس في </w:t>
      </w:r>
      <w:r w:rsidRPr="00850D2B">
        <w:rPr>
          <w:szCs w:val="20"/>
          <w:rtl/>
        </w:rPr>
        <w:t>30</w:t>
      </w:r>
      <w:r w:rsidRPr="00E81898">
        <w:rPr>
          <w:rtl/>
        </w:rPr>
        <w:t xml:space="preserve"> كانون الأول/ديسمبر </w:t>
      </w:r>
      <w:r w:rsidRPr="00850D2B">
        <w:rPr>
          <w:szCs w:val="20"/>
          <w:rtl/>
        </w:rPr>
        <w:t>1992</w:t>
      </w:r>
      <w:r w:rsidRPr="00E81898">
        <w:rPr>
          <w:rFonts w:ascii="Traditional Arabic"/>
          <w:rtl/>
        </w:rPr>
        <w:t>.</w:t>
      </w:r>
      <w:r w:rsidRPr="00E81898">
        <w:rPr>
          <w:rtl/>
        </w:rPr>
        <w:t xml:space="preserve"> ولا يمثل صاحبَ البلاغ محامٍ.</w:t>
      </w:r>
    </w:p>
    <w:p w14:paraId="1D110A83" w14:textId="77777777" w:rsidR="002F4BC3" w:rsidRPr="00E81898" w:rsidRDefault="002F4BC3" w:rsidP="00FA521F">
      <w:pPr>
        <w:pStyle w:val="H1GA"/>
        <w:rPr>
          <w:lang w:val="ar-SA" w:eastAsia="zh-TW" w:bidi="en-GB"/>
        </w:rPr>
      </w:pPr>
      <w:r w:rsidRPr="00E81898">
        <w:rPr>
          <w:rtl/>
        </w:rPr>
        <w:tab/>
      </w:r>
      <w:r w:rsidRPr="00E81898">
        <w:rPr>
          <w:rtl/>
        </w:rPr>
        <w:tab/>
        <w:t>الوقائع كما عرضها صاحب البلاغ</w:t>
      </w:r>
    </w:p>
    <w:p w14:paraId="31CD1018" w14:textId="349A31CE" w:rsidR="002F4BC3" w:rsidRPr="00971B27" w:rsidRDefault="002F4BC3" w:rsidP="002F4BC3">
      <w:pPr>
        <w:pStyle w:val="SingleTxtGA"/>
        <w:rPr>
          <w:lang w:eastAsia="zh-TW" w:bidi="en-GB"/>
        </w:rPr>
      </w:pPr>
      <w:r w:rsidRPr="00850D2B">
        <w:rPr>
          <w:szCs w:val="20"/>
          <w:rtl/>
        </w:rPr>
        <w:t>2</w:t>
      </w:r>
      <w:r w:rsidRPr="00FB2814">
        <w:rPr>
          <w:rtl/>
        </w:rPr>
        <w:t>-</w:t>
      </w:r>
      <w:r w:rsidRPr="00850D2B">
        <w:rPr>
          <w:szCs w:val="20"/>
          <w:rtl/>
        </w:rPr>
        <w:t>1</w:t>
      </w:r>
      <w:r w:rsidRPr="00E81898">
        <w:rPr>
          <w:rtl/>
        </w:rPr>
        <w:tab/>
        <w:t xml:space="preserve">في </w:t>
      </w:r>
      <w:r w:rsidRPr="00850D2B">
        <w:rPr>
          <w:szCs w:val="20"/>
          <w:rtl/>
        </w:rPr>
        <w:t>11</w:t>
      </w:r>
      <w:r w:rsidRPr="00E81898">
        <w:rPr>
          <w:rtl/>
        </w:rPr>
        <w:t xml:space="preserve"> تشرين الثاني/نوفمبر </w:t>
      </w:r>
      <w:r w:rsidRPr="00850D2B">
        <w:rPr>
          <w:szCs w:val="20"/>
          <w:rtl/>
        </w:rPr>
        <w:t>2013</w:t>
      </w:r>
      <w:r w:rsidRPr="00E81898">
        <w:rPr>
          <w:rtl/>
        </w:rPr>
        <w:t>، اعتقل</w:t>
      </w:r>
      <w:r>
        <w:rPr>
          <w:rtl/>
        </w:rPr>
        <w:t>ت الشرطة</w:t>
      </w:r>
      <w:r w:rsidRPr="00E81898">
        <w:rPr>
          <w:rtl/>
        </w:rPr>
        <w:t xml:space="preserve"> صاحب البلاغ بسبب تعليقه لافتة أمام مبنى </w:t>
      </w:r>
      <w:r>
        <w:rPr>
          <w:rtl/>
        </w:rPr>
        <w:t>ال</w:t>
      </w:r>
      <w:r w:rsidRPr="00E81898">
        <w:rPr>
          <w:rtl/>
        </w:rPr>
        <w:t>لجنة التنفيذية</w:t>
      </w:r>
      <w:r>
        <w:rPr>
          <w:rtl/>
        </w:rPr>
        <w:t xml:space="preserve"> المحلية في غوميل</w:t>
      </w:r>
      <w:r w:rsidRPr="00E81898">
        <w:rPr>
          <w:rtl/>
        </w:rPr>
        <w:t xml:space="preserve"> احتجاجاً على بيع مشروبات كحولية بالقرب من المدارس. ولم</w:t>
      </w:r>
      <w:r w:rsidR="00FB2814">
        <w:rPr>
          <w:rFonts w:hint="cs"/>
          <w:rtl/>
        </w:rPr>
        <w:t> </w:t>
      </w:r>
      <w:r w:rsidRPr="00E81898">
        <w:rPr>
          <w:rtl/>
        </w:rPr>
        <w:t xml:space="preserve">يطلب إذناً من سلطات المدينة لتنظيم اعتصام قبل تعليق اللافتة، استناداً إلى تجربته السابقة الفاشلة. وفي اليوم نفسه، </w:t>
      </w:r>
      <w:r>
        <w:rPr>
          <w:rtl/>
        </w:rPr>
        <w:t>حرر</w:t>
      </w:r>
      <w:r w:rsidRPr="00E81898">
        <w:rPr>
          <w:rtl/>
        </w:rPr>
        <w:t>ت الشرطة محضراً بمخالفة إدارية بم</w:t>
      </w:r>
      <w:r>
        <w:rPr>
          <w:rtl/>
        </w:rPr>
        <w:t>قتضى</w:t>
      </w:r>
      <w:r w:rsidRPr="00E81898">
        <w:rPr>
          <w:rtl/>
        </w:rPr>
        <w:t xml:space="preserve"> المادة </w:t>
      </w:r>
      <w:r w:rsidRPr="00850D2B">
        <w:rPr>
          <w:szCs w:val="20"/>
          <w:rtl/>
        </w:rPr>
        <w:t>23</w:t>
      </w:r>
      <w:r w:rsidRPr="00FB2814">
        <w:rPr>
          <w:rtl/>
        </w:rPr>
        <w:t>-</w:t>
      </w:r>
      <w:r w:rsidRPr="00850D2B">
        <w:rPr>
          <w:szCs w:val="20"/>
          <w:rtl/>
        </w:rPr>
        <w:t>34</w:t>
      </w:r>
      <w:r w:rsidRPr="00FB2814">
        <w:rPr>
          <w:rtl/>
        </w:rPr>
        <w:t>(</w:t>
      </w:r>
      <w:r w:rsidRPr="00850D2B">
        <w:rPr>
          <w:szCs w:val="20"/>
          <w:rtl/>
        </w:rPr>
        <w:t>1</w:t>
      </w:r>
      <w:r w:rsidRPr="00FB2814">
        <w:rPr>
          <w:rtl/>
        </w:rPr>
        <w:t>)</w:t>
      </w:r>
      <w:r w:rsidRPr="00E81898">
        <w:rPr>
          <w:rtl/>
        </w:rPr>
        <w:t xml:space="preserve"> من قانون المخالفات الإدارية </w:t>
      </w:r>
      <w:r w:rsidRPr="00FB2814">
        <w:rPr>
          <w:rtl/>
        </w:rPr>
        <w:t>(</w:t>
      </w:r>
      <w:r w:rsidRPr="00E81898">
        <w:rPr>
          <w:rtl/>
        </w:rPr>
        <w:t>بشأن الإخلال بإجراءات تنظيم مناسبات جماهيرية</w:t>
      </w:r>
      <w:r w:rsidRPr="006833FC">
        <w:rPr>
          <w:rtl/>
        </w:rPr>
        <w:t xml:space="preserve"> </w:t>
      </w:r>
      <w:r w:rsidRPr="00E81898">
        <w:rPr>
          <w:rtl/>
        </w:rPr>
        <w:t>أو عقد</w:t>
      </w:r>
      <w:r>
        <w:rPr>
          <w:rtl/>
        </w:rPr>
        <w:t>ها</w:t>
      </w:r>
      <w:r w:rsidRPr="00FB2814">
        <w:rPr>
          <w:rtl/>
        </w:rPr>
        <w:t>)</w:t>
      </w:r>
      <w:r>
        <w:rPr>
          <w:rtl/>
        </w:rPr>
        <w:t xml:space="preserve"> بتهمة</w:t>
      </w:r>
      <w:r w:rsidRPr="00E81898">
        <w:rPr>
          <w:rtl/>
        </w:rPr>
        <w:t xml:space="preserve"> عقد اعتصام</w:t>
      </w:r>
      <w:r>
        <w:rPr>
          <w:rtl/>
        </w:rPr>
        <w:t xml:space="preserve"> </w:t>
      </w:r>
      <w:r w:rsidRPr="00E81898">
        <w:rPr>
          <w:rtl/>
        </w:rPr>
        <w:t xml:space="preserve">غير </w:t>
      </w:r>
      <w:r>
        <w:rPr>
          <w:rtl/>
        </w:rPr>
        <w:t>مرخص</w:t>
      </w:r>
      <w:r w:rsidRPr="00E81898">
        <w:rPr>
          <w:rtl/>
        </w:rPr>
        <w:t>، وعرضت القضية على محكمة</w:t>
      </w:r>
      <w:r>
        <w:rPr>
          <w:rtl/>
        </w:rPr>
        <w:t xml:space="preserve"> مقاطعة</w:t>
      </w:r>
      <w:r w:rsidRPr="00E81898">
        <w:rPr>
          <w:rtl/>
        </w:rPr>
        <w:t xml:space="preserve"> غوميل المركزية. وفي </w:t>
      </w:r>
      <w:r w:rsidRPr="00850D2B">
        <w:rPr>
          <w:szCs w:val="20"/>
          <w:rtl/>
        </w:rPr>
        <w:t>9</w:t>
      </w:r>
      <w:r w:rsidRPr="00E81898">
        <w:rPr>
          <w:rtl/>
        </w:rPr>
        <w:t xml:space="preserve"> كانون الثاني/يناير </w:t>
      </w:r>
      <w:r w:rsidRPr="00850D2B">
        <w:rPr>
          <w:szCs w:val="20"/>
          <w:rtl/>
        </w:rPr>
        <w:t>2014</w:t>
      </w:r>
      <w:r w:rsidRPr="00E81898">
        <w:rPr>
          <w:rtl/>
        </w:rPr>
        <w:t xml:space="preserve">، </w:t>
      </w:r>
      <w:r w:rsidRPr="00FB2814">
        <w:rPr>
          <w:spacing w:val="-4"/>
          <w:rtl/>
        </w:rPr>
        <w:t xml:space="preserve">أدانت المحكمة صاحب البلاغ بانتهاك المادة </w:t>
      </w:r>
      <w:r w:rsidRPr="00850D2B">
        <w:rPr>
          <w:spacing w:val="-4"/>
          <w:szCs w:val="20"/>
          <w:rtl/>
        </w:rPr>
        <w:t>23</w:t>
      </w:r>
      <w:r w:rsidRPr="00FB2814">
        <w:rPr>
          <w:spacing w:val="-4"/>
          <w:rtl/>
        </w:rPr>
        <w:t>-</w:t>
      </w:r>
      <w:r w:rsidRPr="00850D2B">
        <w:rPr>
          <w:spacing w:val="-4"/>
          <w:szCs w:val="20"/>
          <w:rtl/>
        </w:rPr>
        <w:t>34</w:t>
      </w:r>
      <w:r w:rsidRPr="00FB2814">
        <w:rPr>
          <w:spacing w:val="-4"/>
          <w:rtl/>
        </w:rPr>
        <w:t>(</w:t>
      </w:r>
      <w:r w:rsidRPr="00850D2B">
        <w:rPr>
          <w:spacing w:val="-4"/>
          <w:szCs w:val="20"/>
          <w:rtl/>
        </w:rPr>
        <w:t>1</w:t>
      </w:r>
      <w:r w:rsidRPr="00FB2814">
        <w:rPr>
          <w:spacing w:val="-4"/>
          <w:rtl/>
        </w:rPr>
        <w:t xml:space="preserve">) من قانون المخالفات الإدارية، وغرمته </w:t>
      </w:r>
      <w:r w:rsidRPr="00850D2B">
        <w:rPr>
          <w:spacing w:val="-4"/>
          <w:szCs w:val="20"/>
          <w:rtl/>
        </w:rPr>
        <w:t>000</w:t>
      </w:r>
      <w:r w:rsidRPr="00FB2814">
        <w:rPr>
          <w:rFonts w:ascii="Traditional Arabic"/>
          <w:spacing w:val="-4"/>
          <w:rtl/>
        </w:rPr>
        <w:t xml:space="preserve"> </w:t>
      </w:r>
      <w:r w:rsidRPr="00850D2B">
        <w:rPr>
          <w:spacing w:val="-4"/>
          <w:szCs w:val="20"/>
          <w:rtl/>
        </w:rPr>
        <w:t>300</w:t>
      </w:r>
      <w:r w:rsidRPr="00FB2814">
        <w:rPr>
          <w:rFonts w:ascii="Traditional Arabic"/>
          <w:spacing w:val="-4"/>
          <w:rtl/>
        </w:rPr>
        <w:t xml:space="preserve"> </w:t>
      </w:r>
      <w:r w:rsidRPr="00850D2B">
        <w:rPr>
          <w:spacing w:val="-4"/>
          <w:szCs w:val="20"/>
          <w:rtl/>
        </w:rPr>
        <w:t>1</w:t>
      </w:r>
      <w:r w:rsidRPr="00E81898">
        <w:rPr>
          <w:rtl/>
        </w:rPr>
        <w:t xml:space="preserve"> روبل </w:t>
      </w:r>
      <w:r w:rsidRPr="00FB2814">
        <w:rPr>
          <w:rtl/>
        </w:rPr>
        <w:t>(</w:t>
      </w:r>
      <w:r w:rsidRPr="00E81898">
        <w:rPr>
          <w:rtl/>
        </w:rPr>
        <w:t xml:space="preserve">أي ما يعادل </w:t>
      </w:r>
      <w:r w:rsidRPr="00850D2B">
        <w:rPr>
          <w:szCs w:val="20"/>
          <w:rtl/>
        </w:rPr>
        <w:t>100</w:t>
      </w:r>
      <w:r w:rsidRPr="00E81898">
        <w:rPr>
          <w:rtl/>
        </w:rPr>
        <w:t xml:space="preserve"> دولار أمريكي تقريباً</w:t>
      </w:r>
      <w:r w:rsidRPr="00FB2814">
        <w:rPr>
          <w:rtl/>
        </w:rPr>
        <w:t>)</w:t>
      </w:r>
      <w:r w:rsidRPr="00E81898">
        <w:rPr>
          <w:rtl/>
        </w:rPr>
        <w:t>.</w:t>
      </w:r>
    </w:p>
    <w:p w14:paraId="22EF2DA8" w14:textId="03757F7F" w:rsidR="002F4BC3" w:rsidRPr="00971B27" w:rsidRDefault="002F4BC3" w:rsidP="002F4BC3">
      <w:pPr>
        <w:pStyle w:val="SingleTxtGA"/>
        <w:rPr>
          <w:lang w:eastAsia="zh-TW" w:bidi="en-GB"/>
        </w:rPr>
      </w:pPr>
      <w:r w:rsidRPr="00850D2B">
        <w:rPr>
          <w:szCs w:val="20"/>
          <w:rtl/>
        </w:rPr>
        <w:t>2</w:t>
      </w:r>
      <w:r w:rsidRPr="00FB2814">
        <w:rPr>
          <w:rtl/>
        </w:rPr>
        <w:t>-</w:t>
      </w:r>
      <w:r w:rsidRPr="00850D2B">
        <w:rPr>
          <w:szCs w:val="20"/>
          <w:rtl/>
        </w:rPr>
        <w:t>2</w:t>
      </w:r>
      <w:r w:rsidRPr="00E81898">
        <w:rPr>
          <w:rtl/>
        </w:rPr>
        <w:tab/>
        <w:t xml:space="preserve">وفي </w:t>
      </w:r>
      <w:r w:rsidRPr="00850D2B">
        <w:rPr>
          <w:szCs w:val="20"/>
          <w:rtl/>
        </w:rPr>
        <w:t>20</w:t>
      </w:r>
      <w:r w:rsidRPr="00E81898">
        <w:rPr>
          <w:rtl/>
        </w:rPr>
        <w:t xml:space="preserve"> كانون الثاني/يناير </w:t>
      </w:r>
      <w:r w:rsidRPr="00850D2B">
        <w:rPr>
          <w:szCs w:val="20"/>
          <w:rtl/>
        </w:rPr>
        <w:t>2014</w:t>
      </w:r>
      <w:r w:rsidRPr="00E81898">
        <w:rPr>
          <w:rtl/>
        </w:rPr>
        <w:t xml:space="preserve">، طعن صاحب البلاغ في هذا الحكم أمام محكمة إقليم غوميل. وفي </w:t>
      </w:r>
      <w:r w:rsidRPr="00850D2B">
        <w:rPr>
          <w:szCs w:val="20"/>
          <w:rtl/>
        </w:rPr>
        <w:t>31</w:t>
      </w:r>
      <w:r w:rsidRPr="00E81898">
        <w:rPr>
          <w:rtl/>
        </w:rPr>
        <w:t xml:space="preserve"> كانون الثاني/ يناير </w:t>
      </w:r>
      <w:r w:rsidRPr="00850D2B">
        <w:rPr>
          <w:szCs w:val="20"/>
          <w:rtl/>
        </w:rPr>
        <w:t>2014</w:t>
      </w:r>
      <w:r w:rsidRPr="00E81898">
        <w:rPr>
          <w:rtl/>
        </w:rPr>
        <w:t>، رفضت محكمة الإقليم طعن</w:t>
      </w:r>
      <w:r>
        <w:rPr>
          <w:rtl/>
        </w:rPr>
        <w:t xml:space="preserve">ه. </w:t>
      </w:r>
      <w:dir w:val="rtl">
        <w:r w:rsidRPr="00E81898">
          <w:rPr>
            <w:rtl/>
          </w:rPr>
          <w:t xml:space="preserve">وفي </w:t>
        </w:r>
        <w:r w:rsidRPr="00850D2B">
          <w:rPr>
            <w:szCs w:val="20"/>
            <w:rtl/>
          </w:rPr>
          <w:t>11</w:t>
        </w:r>
        <w:r w:rsidRPr="00E81898">
          <w:rPr>
            <w:rtl/>
          </w:rPr>
          <w:t xml:space="preserve"> شباط/فبراير </w:t>
        </w:r>
        <w:r w:rsidRPr="00850D2B">
          <w:rPr>
            <w:szCs w:val="20"/>
            <w:rtl/>
          </w:rPr>
          <w:t>2014</w:t>
        </w:r>
        <w:r w:rsidRPr="00E81898">
          <w:rPr>
            <w:rtl/>
          </w:rPr>
          <w:t xml:space="preserve">، قدم صاحب البلاغ طلب إجراء مراجعة قضائية رقابية إلى رئاسة محكمة إقليم غوميل، </w:t>
        </w:r>
        <w:r>
          <w:rPr>
            <w:rtl/>
          </w:rPr>
          <w:t xml:space="preserve">لكنه </w:t>
        </w:r>
        <w:r w:rsidRPr="00E81898">
          <w:rPr>
            <w:rtl/>
          </w:rPr>
          <w:t>رُفض في</w:t>
        </w:r>
        <w:r w:rsidR="0013578E">
          <w:rPr>
            <w:rFonts w:hint="cs"/>
            <w:rtl/>
          </w:rPr>
          <w:t> </w:t>
        </w:r>
        <w:r w:rsidRPr="00850D2B">
          <w:rPr>
            <w:szCs w:val="20"/>
            <w:rtl/>
          </w:rPr>
          <w:t>19</w:t>
        </w:r>
        <w:r w:rsidRPr="00E81898">
          <w:rPr>
            <w:rtl/>
          </w:rPr>
          <w:t xml:space="preserve"> آذار/مارس </w:t>
        </w:r>
        <w:r w:rsidRPr="00850D2B">
          <w:rPr>
            <w:szCs w:val="20"/>
            <w:rtl/>
          </w:rPr>
          <w:t>2014</w:t>
        </w:r>
        <w:r w:rsidRPr="00E81898">
          <w:rPr>
            <w:rtl/>
          </w:rPr>
          <w:t>.</w:t>
        </w:r>
        <w:r>
          <w:t>‬</w:t>
        </w:r>
        <w:r>
          <w:t>‬</w:t>
        </w:r>
        <w:r w:rsidR="008A7B48">
          <w:t>‬</w:t>
        </w:r>
      </w:dir>
    </w:p>
    <w:p w14:paraId="4CB73DB4" w14:textId="63AD307B" w:rsidR="002F4BC3" w:rsidRPr="00E81898" w:rsidRDefault="002F4BC3" w:rsidP="002F4BC3">
      <w:pPr>
        <w:pStyle w:val="SingleTxtGA"/>
        <w:rPr>
          <w:lang w:val="ar-SA" w:eastAsia="zh-TW" w:bidi="en-GB"/>
        </w:rPr>
      </w:pPr>
      <w:r w:rsidRPr="00850D2B">
        <w:rPr>
          <w:szCs w:val="20"/>
          <w:rtl/>
        </w:rPr>
        <w:t>2</w:t>
      </w:r>
      <w:r w:rsidRPr="00FB2814">
        <w:rPr>
          <w:rtl/>
        </w:rPr>
        <w:t>-</w:t>
      </w:r>
      <w:r w:rsidRPr="00850D2B">
        <w:rPr>
          <w:szCs w:val="20"/>
          <w:rtl/>
        </w:rPr>
        <w:t>3</w:t>
      </w:r>
      <w:r w:rsidRPr="00E81898">
        <w:rPr>
          <w:rtl/>
        </w:rPr>
        <w:tab/>
        <w:t xml:space="preserve">وفي </w:t>
      </w:r>
      <w:r w:rsidRPr="00850D2B">
        <w:rPr>
          <w:szCs w:val="20"/>
          <w:rtl/>
        </w:rPr>
        <w:t>11</w:t>
      </w:r>
      <w:r w:rsidRPr="00E81898">
        <w:rPr>
          <w:rtl/>
        </w:rPr>
        <w:t xml:space="preserve"> آذار/مارس </w:t>
      </w:r>
      <w:r w:rsidRPr="00850D2B">
        <w:rPr>
          <w:szCs w:val="20"/>
          <w:rtl/>
        </w:rPr>
        <w:t>2014</w:t>
      </w:r>
      <w:r w:rsidRPr="00E81898">
        <w:rPr>
          <w:rtl/>
        </w:rPr>
        <w:t xml:space="preserve">، اعتقلت الشرطة صاحب البلاغ بسبب حمله لافتة أمام سفارة الاتحاد الروسي في مينسك، احتجاجاً على الحرب في أوكرانيا. وفي اليوم نفسه، أدانت محكمة مقاطعة مينسك المركزية صاحب البلاغ بانتهاك المادة </w:t>
      </w:r>
      <w:r w:rsidRPr="00850D2B">
        <w:rPr>
          <w:szCs w:val="20"/>
          <w:rtl/>
        </w:rPr>
        <w:t>23</w:t>
      </w:r>
      <w:r w:rsidRPr="00FB2814">
        <w:rPr>
          <w:rtl/>
        </w:rPr>
        <w:t>-</w:t>
      </w:r>
      <w:r w:rsidRPr="00850D2B">
        <w:rPr>
          <w:szCs w:val="20"/>
          <w:rtl/>
        </w:rPr>
        <w:t>34</w:t>
      </w:r>
      <w:r w:rsidRPr="00FB2814">
        <w:rPr>
          <w:rtl/>
        </w:rPr>
        <w:t>(</w:t>
      </w:r>
      <w:r w:rsidRPr="00850D2B">
        <w:rPr>
          <w:szCs w:val="20"/>
          <w:rtl/>
        </w:rPr>
        <w:t>1</w:t>
      </w:r>
      <w:r w:rsidRPr="00FB2814">
        <w:rPr>
          <w:rtl/>
        </w:rPr>
        <w:t>)</w:t>
      </w:r>
      <w:r w:rsidRPr="00E81898">
        <w:rPr>
          <w:rtl/>
        </w:rPr>
        <w:t xml:space="preserve"> من قانون المخالفات الإدارية</w:t>
      </w:r>
      <w:r>
        <w:rPr>
          <w:rtl/>
        </w:rPr>
        <w:t xml:space="preserve"> بتهمة</w:t>
      </w:r>
      <w:r w:rsidRPr="00E81898">
        <w:rPr>
          <w:rtl/>
        </w:rPr>
        <w:t xml:space="preserve"> تنظيم اعتصام دون التماس إذن،</w:t>
      </w:r>
      <w:r>
        <w:rPr>
          <w:rtl/>
        </w:rPr>
        <w:t xml:space="preserve"> حسبما يقتضيه</w:t>
      </w:r>
      <w:r w:rsidRPr="00E81898">
        <w:rPr>
          <w:rtl/>
        </w:rPr>
        <w:t xml:space="preserve"> قانون المناسبات العامة. ولما كان ذلك انتهاكا</w:t>
      </w:r>
      <w:r w:rsidR="0013578E">
        <w:rPr>
          <w:rFonts w:hint="cs"/>
          <w:rtl/>
        </w:rPr>
        <w:t>ً</w:t>
      </w:r>
      <w:r w:rsidRPr="00E81898">
        <w:rPr>
          <w:rtl/>
        </w:rPr>
        <w:t xml:space="preserve"> متكررا</w:t>
      </w:r>
      <w:r w:rsidR="0013578E">
        <w:rPr>
          <w:rFonts w:hint="cs"/>
          <w:rtl/>
        </w:rPr>
        <w:t>ً</w:t>
      </w:r>
      <w:r w:rsidRPr="00E81898">
        <w:rPr>
          <w:rtl/>
        </w:rPr>
        <w:t xml:space="preserve"> في غضون سنة واحدة، فقد حكمت عليه المحكمة بالاعتقال الإداري لمدة </w:t>
      </w:r>
      <w:r w:rsidRPr="00850D2B">
        <w:rPr>
          <w:szCs w:val="20"/>
          <w:rtl/>
        </w:rPr>
        <w:t>15</w:t>
      </w:r>
      <w:r w:rsidRPr="00E81898">
        <w:rPr>
          <w:rtl/>
        </w:rPr>
        <w:t xml:space="preserve"> يوماً. </w:t>
      </w:r>
    </w:p>
    <w:p w14:paraId="2CC6FAA8" w14:textId="427DDEE8" w:rsidR="002F4BC3" w:rsidRPr="00E81898" w:rsidRDefault="002F4BC3" w:rsidP="002F4BC3">
      <w:pPr>
        <w:pStyle w:val="SingleTxtGA"/>
        <w:rPr>
          <w:lang w:val="ar-SA" w:eastAsia="zh-TW" w:bidi="en-GB"/>
        </w:rPr>
      </w:pPr>
      <w:r w:rsidRPr="00850D2B">
        <w:rPr>
          <w:szCs w:val="20"/>
          <w:rtl/>
        </w:rPr>
        <w:t>2</w:t>
      </w:r>
      <w:r w:rsidRPr="00FB2814">
        <w:rPr>
          <w:rtl/>
        </w:rPr>
        <w:t>-</w:t>
      </w:r>
      <w:r w:rsidRPr="00850D2B">
        <w:rPr>
          <w:szCs w:val="20"/>
          <w:rtl/>
        </w:rPr>
        <w:t>4</w:t>
      </w:r>
      <w:r w:rsidRPr="00E81898">
        <w:rPr>
          <w:rtl/>
        </w:rPr>
        <w:tab/>
      </w:r>
      <w:dir w:val="rtl">
        <w:r w:rsidRPr="00E81898">
          <w:rPr>
            <w:rtl/>
          </w:rPr>
          <w:t xml:space="preserve">وفي </w:t>
        </w:r>
        <w:r w:rsidRPr="00850D2B">
          <w:rPr>
            <w:szCs w:val="20"/>
            <w:rtl/>
          </w:rPr>
          <w:t>27</w:t>
        </w:r>
        <w:r w:rsidRPr="00E81898">
          <w:rPr>
            <w:rtl/>
          </w:rPr>
          <w:t xml:space="preserve"> آذار/مارس </w:t>
        </w:r>
        <w:r w:rsidRPr="00850D2B">
          <w:rPr>
            <w:szCs w:val="20"/>
            <w:rtl/>
          </w:rPr>
          <w:t>2014</w:t>
        </w:r>
        <w:r w:rsidRPr="00E81898">
          <w:rPr>
            <w:rtl/>
          </w:rPr>
          <w:t>، قدم صاحب البلاغ طعناً إلى محكمة</w:t>
        </w:r>
        <w:r>
          <w:rPr>
            <w:rtl/>
          </w:rPr>
          <w:t xml:space="preserve"> مدينة</w:t>
        </w:r>
        <w:r w:rsidRPr="00E81898">
          <w:rPr>
            <w:rtl/>
          </w:rPr>
          <w:t xml:space="preserve"> مينسك.</w:t>
        </w:r>
        <w:r w:rsidRPr="00E81898">
          <w:rPr>
            <w:rFonts w:cs="Times New Roman" w:hint="cs"/>
            <w:rtl/>
          </w:rPr>
          <w:t>‬</w:t>
        </w:r>
        <w:r w:rsidRPr="00E81898">
          <w:rPr>
            <w:rtl/>
          </w:rPr>
          <w:t xml:space="preserve"> </w:t>
        </w:r>
        <w:dir w:val="rtl">
          <w:r w:rsidRPr="00E81898">
            <w:rPr>
              <w:rtl/>
            </w:rPr>
            <w:t xml:space="preserve">وفي </w:t>
          </w:r>
          <w:r w:rsidRPr="00850D2B">
            <w:rPr>
              <w:szCs w:val="20"/>
              <w:rtl/>
            </w:rPr>
            <w:t>1</w:t>
          </w:r>
          <w:r w:rsidRPr="00E81898">
            <w:rPr>
              <w:rtl/>
            </w:rPr>
            <w:t xml:space="preserve"> نيسان/أبريل </w:t>
          </w:r>
          <w:r w:rsidRPr="00850D2B">
            <w:rPr>
              <w:szCs w:val="20"/>
              <w:rtl/>
            </w:rPr>
            <w:t>2014</w:t>
          </w:r>
          <w:r w:rsidRPr="00E81898">
            <w:rPr>
              <w:rtl/>
            </w:rPr>
            <w:t>، رفضت</w:t>
          </w:r>
          <w:r>
            <w:rPr>
              <w:rtl/>
            </w:rPr>
            <w:t xml:space="preserve"> </w:t>
          </w:r>
          <w:r w:rsidRPr="00E81898">
            <w:rPr>
              <w:rtl/>
            </w:rPr>
            <w:t>محكمة</w:t>
          </w:r>
          <w:r>
            <w:rPr>
              <w:rtl/>
            </w:rPr>
            <w:t xml:space="preserve"> مدينة مينسك</w:t>
          </w:r>
          <w:r w:rsidRPr="00E81898">
            <w:rPr>
              <w:rtl/>
            </w:rPr>
            <w:t xml:space="preserve"> طعنه.</w:t>
          </w:r>
          <w:r w:rsidRPr="00E81898">
            <w:rPr>
              <w:rFonts w:cs="Times New Roman" w:hint="cs"/>
              <w:rtl/>
            </w:rPr>
            <w:t>‬</w:t>
          </w:r>
          <w:r w:rsidRPr="00E81898">
            <w:rPr>
              <w:rtl/>
            </w:rPr>
            <w:t xml:space="preserve"> </w:t>
          </w:r>
          <w:r w:rsidRPr="00E81898">
            <w:rPr>
              <w:rFonts w:ascii="Traditional Arabic" w:hAnsi="Traditional Arabic" w:hint="cs"/>
              <w:rtl/>
            </w:rPr>
            <w:t>وفي</w:t>
          </w:r>
          <w:r w:rsidRPr="00E81898">
            <w:rPr>
              <w:rtl/>
            </w:rPr>
            <w:t xml:space="preserve"> </w:t>
          </w:r>
          <w:r w:rsidRPr="00850D2B">
            <w:rPr>
              <w:szCs w:val="20"/>
              <w:rtl/>
            </w:rPr>
            <w:t>7</w:t>
          </w:r>
          <w:r w:rsidRPr="00E81898">
            <w:rPr>
              <w:rtl/>
            </w:rPr>
            <w:t xml:space="preserve"> نيسان/أبريل </w:t>
          </w:r>
          <w:r w:rsidRPr="00850D2B">
            <w:rPr>
              <w:szCs w:val="20"/>
              <w:rtl/>
            </w:rPr>
            <w:t>2014</w:t>
          </w:r>
          <w:r w:rsidRPr="00E81898">
            <w:rPr>
              <w:rtl/>
            </w:rPr>
            <w:t xml:space="preserve">، قدم صاحب البلاغ طلب إجراء مراجعة قضائية رقابية إلى رئاسة محكمة مدينة مينسك. ورُفض طلبه في </w:t>
          </w:r>
          <w:r w:rsidRPr="00850D2B">
            <w:rPr>
              <w:szCs w:val="20"/>
              <w:rtl/>
            </w:rPr>
            <w:t>8</w:t>
          </w:r>
          <w:r w:rsidRPr="00E81898">
            <w:rPr>
              <w:rtl/>
            </w:rPr>
            <w:t xml:space="preserve"> أيار/</w:t>
          </w:r>
          <w:r w:rsidR="00D31CAB">
            <w:rPr>
              <w:rFonts w:hint="cs"/>
              <w:rtl/>
            </w:rPr>
            <w:t xml:space="preserve"> </w:t>
          </w:r>
          <w:r w:rsidRPr="00E81898">
            <w:rPr>
              <w:rtl/>
            </w:rPr>
            <w:t>مايو</w:t>
          </w:r>
          <w:r w:rsidR="00D31CAB">
            <w:rPr>
              <w:rFonts w:hint="cs"/>
              <w:rtl/>
            </w:rPr>
            <w:t> </w:t>
          </w:r>
          <w:r w:rsidRPr="00850D2B">
            <w:rPr>
              <w:szCs w:val="20"/>
              <w:rtl/>
            </w:rPr>
            <w:t>2014</w:t>
          </w:r>
          <w:r w:rsidRPr="00E81898">
            <w:rPr>
              <w:rFonts w:ascii="Traditional Arabic"/>
              <w:rtl/>
            </w:rPr>
            <w:t>.</w:t>
          </w:r>
          <w:r w:rsidRPr="00E81898">
            <w:rPr>
              <w:rtl/>
            </w:rPr>
            <w:t xml:space="preserve"> </w:t>
          </w:r>
          <w:r>
            <w:t>‬</w:t>
          </w:r>
          <w:r>
            <w:t>‬</w:t>
          </w:r>
          <w:r>
            <w:t>‬</w:t>
          </w:r>
          <w:r>
            <w:t>‬</w:t>
          </w:r>
          <w:r w:rsidR="008A7B48">
            <w:t>‬</w:t>
          </w:r>
          <w:r w:rsidR="008A7B48">
            <w:t>‬</w:t>
          </w:r>
        </w:dir>
      </w:dir>
    </w:p>
    <w:p w14:paraId="688AD7D2" w14:textId="77777777" w:rsidR="002F4BC3" w:rsidRPr="00E81898" w:rsidRDefault="002F4BC3" w:rsidP="002F4BC3">
      <w:pPr>
        <w:pStyle w:val="SingleTxtGA"/>
        <w:rPr>
          <w:lang w:val="ar-SA" w:eastAsia="zh-TW" w:bidi="en-GB"/>
        </w:rPr>
      </w:pPr>
      <w:r w:rsidRPr="00850D2B">
        <w:rPr>
          <w:szCs w:val="20"/>
          <w:rtl/>
        </w:rPr>
        <w:t>2</w:t>
      </w:r>
      <w:r w:rsidRPr="00FB2814">
        <w:rPr>
          <w:rtl/>
        </w:rPr>
        <w:t>-</w:t>
      </w:r>
      <w:r w:rsidRPr="00850D2B">
        <w:rPr>
          <w:szCs w:val="20"/>
          <w:rtl/>
        </w:rPr>
        <w:t>5</w:t>
      </w:r>
      <w:r w:rsidRPr="00E81898">
        <w:rPr>
          <w:rtl/>
        </w:rPr>
        <w:tab/>
        <w:t>ويدفع صاحب البلاغ بأنه استنفد جميع سبل الانتصاف المحلية المتاحة والفعالة.</w:t>
      </w:r>
    </w:p>
    <w:p w14:paraId="3186767F" w14:textId="77777777" w:rsidR="002F4BC3" w:rsidRPr="0085519A" w:rsidRDefault="002F4BC3" w:rsidP="002F4BC3">
      <w:pPr>
        <w:pStyle w:val="H23GA"/>
        <w:rPr>
          <w:lang w:eastAsia="zh-TW" w:bidi="en-GB"/>
        </w:rPr>
      </w:pPr>
      <w:r w:rsidRPr="00E81898">
        <w:rPr>
          <w:rtl/>
        </w:rPr>
        <w:tab/>
      </w:r>
      <w:r w:rsidRPr="00E81898">
        <w:rPr>
          <w:rtl/>
        </w:rPr>
        <w:tab/>
        <w:t xml:space="preserve">الشكوى </w:t>
      </w:r>
    </w:p>
    <w:p w14:paraId="0E7CAC7F" w14:textId="511DC456" w:rsidR="002F4BC3" w:rsidRPr="00E81898" w:rsidRDefault="002F4BC3" w:rsidP="002F4BC3">
      <w:pPr>
        <w:pStyle w:val="SingleTxtGA"/>
        <w:rPr>
          <w:lang w:val="ar-SA" w:eastAsia="zh-TW" w:bidi="en-GB"/>
        </w:rPr>
      </w:pPr>
      <w:r w:rsidRPr="00850D2B">
        <w:rPr>
          <w:szCs w:val="20"/>
          <w:rtl/>
        </w:rPr>
        <w:t>3</w:t>
      </w:r>
      <w:r w:rsidRPr="00FB2814">
        <w:rPr>
          <w:rtl/>
        </w:rPr>
        <w:t>-</w:t>
      </w:r>
      <w:r w:rsidRPr="00850D2B">
        <w:rPr>
          <w:szCs w:val="20"/>
          <w:rtl/>
        </w:rPr>
        <w:t>1</w:t>
      </w:r>
      <w:r w:rsidRPr="00E81898">
        <w:rPr>
          <w:rtl/>
        </w:rPr>
        <w:tab/>
        <w:t>يدعي صاحب البلاغ أن ال</w:t>
      </w:r>
      <w:r>
        <w:rPr>
          <w:rtl/>
        </w:rPr>
        <w:t>عقوب</w:t>
      </w:r>
      <w:r w:rsidRPr="00E81898">
        <w:rPr>
          <w:rtl/>
        </w:rPr>
        <w:t>ات المفروضة عليه</w:t>
      </w:r>
      <w:r>
        <w:rPr>
          <w:rtl/>
        </w:rPr>
        <w:t xml:space="preserve"> </w:t>
      </w:r>
      <w:r w:rsidRPr="00E81898">
        <w:rPr>
          <w:rtl/>
        </w:rPr>
        <w:t>بلغ</w:t>
      </w:r>
      <w:r>
        <w:rPr>
          <w:rtl/>
        </w:rPr>
        <w:t>ت</w:t>
      </w:r>
      <w:r w:rsidRPr="00E81898">
        <w:rPr>
          <w:rtl/>
        </w:rPr>
        <w:t xml:space="preserve"> حد انتهاك حقوقه بموجب المادة</w:t>
      </w:r>
      <w:r w:rsidR="00D31CAB">
        <w:rPr>
          <w:rFonts w:hint="cs"/>
          <w:rtl/>
        </w:rPr>
        <w:t> </w:t>
      </w:r>
      <w:r w:rsidRPr="00850D2B">
        <w:rPr>
          <w:szCs w:val="20"/>
          <w:rtl/>
        </w:rPr>
        <w:t>19</w:t>
      </w:r>
      <w:r w:rsidRPr="00E81898">
        <w:rPr>
          <w:rtl/>
        </w:rPr>
        <w:t xml:space="preserve"> من العهد، مقترنة بالمادة </w:t>
      </w:r>
      <w:r w:rsidRPr="00850D2B">
        <w:rPr>
          <w:szCs w:val="20"/>
          <w:rtl/>
        </w:rPr>
        <w:t>2</w:t>
      </w:r>
      <w:r w:rsidRPr="00FB2814">
        <w:rPr>
          <w:rtl/>
        </w:rPr>
        <w:t>(</w:t>
      </w:r>
      <w:r w:rsidRPr="00850D2B">
        <w:rPr>
          <w:szCs w:val="20"/>
          <w:rtl/>
        </w:rPr>
        <w:t>2</w:t>
      </w:r>
      <w:r w:rsidRPr="00FB2814">
        <w:rPr>
          <w:rtl/>
        </w:rPr>
        <w:t>)</w:t>
      </w:r>
      <w:r w:rsidRPr="00E81898">
        <w:rPr>
          <w:rtl/>
        </w:rPr>
        <w:t xml:space="preserve"> و</w:t>
      </w:r>
      <w:r w:rsidRPr="00FB2814">
        <w:rPr>
          <w:rtl/>
        </w:rPr>
        <w:t>(</w:t>
      </w:r>
      <w:r w:rsidRPr="00850D2B">
        <w:rPr>
          <w:szCs w:val="20"/>
          <w:rtl/>
        </w:rPr>
        <w:t>3</w:t>
      </w:r>
      <w:r w:rsidRPr="00FB2814">
        <w:rPr>
          <w:rtl/>
        </w:rPr>
        <w:t>)</w:t>
      </w:r>
      <w:r w:rsidRPr="00E81898">
        <w:rPr>
          <w:rtl/>
        </w:rPr>
        <w:t>، وأن توصيف أفعاله المتعلقة بحرية التعبير بمقتضى قانون المناسبات العامة يقيد حقوقه بدون مسوّغ. ويشدد على أن القيود المفروضة غير ضرورية لاحترام حقوق الغير أو سمعتهم، أو لحماية الأمن القومي أو النظام العام أو الصحة العامة أو الآداب العامة. و</w:t>
      </w:r>
      <w:r>
        <w:rPr>
          <w:rtl/>
        </w:rPr>
        <w:t>يرى أن</w:t>
      </w:r>
      <w:r w:rsidRPr="00E81898">
        <w:rPr>
          <w:rtl/>
        </w:rPr>
        <w:t xml:space="preserve"> المحاكم لم تقيّم كيف عرّضت</w:t>
      </w:r>
      <w:r>
        <w:rPr>
          <w:rtl/>
        </w:rPr>
        <w:t xml:space="preserve"> </w:t>
      </w:r>
      <w:r w:rsidRPr="00E81898">
        <w:rPr>
          <w:rtl/>
        </w:rPr>
        <w:t>أفعاله الأمن القومي أو النظام العام أو الصحة العامة أو حقوق الآخرين وحرياتهم</w:t>
      </w:r>
      <w:r w:rsidRPr="00AA3A1D">
        <w:rPr>
          <w:rtl/>
        </w:rPr>
        <w:t xml:space="preserve"> </w:t>
      </w:r>
      <w:r w:rsidRPr="00E81898">
        <w:rPr>
          <w:rtl/>
        </w:rPr>
        <w:t>أفعاله.</w:t>
      </w:r>
    </w:p>
    <w:p w14:paraId="5FF24D1E" w14:textId="77777777" w:rsidR="002F4BC3" w:rsidRPr="0047389B" w:rsidRDefault="002F4BC3" w:rsidP="002F4BC3">
      <w:pPr>
        <w:pStyle w:val="SingleTxtGA"/>
        <w:rPr>
          <w:lang w:eastAsia="zh-TW" w:bidi="en-GB"/>
        </w:rPr>
      </w:pPr>
      <w:r w:rsidRPr="00850D2B">
        <w:rPr>
          <w:szCs w:val="20"/>
          <w:rtl/>
        </w:rPr>
        <w:lastRenderedPageBreak/>
        <w:t>3</w:t>
      </w:r>
      <w:r w:rsidRPr="00FB2814">
        <w:rPr>
          <w:rtl/>
        </w:rPr>
        <w:t>-</w:t>
      </w:r>
      <w:r w:rsidRPr="00850D2B">
        <w:rPr>
          <w:szCs w:val="20"/>
          <w:rtl/>
        </w:rPr>
        <w:t>2</w:t>
      </w:r>
      <w:r w:rsidRPr="00E81898">
        <w:rPr>
          <w:rtl/>
        </w:rPr>
        <w:tab/>
        <w:t xml:space="preserve">ويطلب صاحب البلاغ إلى اللجنة أن تخلص إلى وجود انتهاك للمادة </w:t>
      </w:r>
      <w:r w:rsidRPr="00850D2B">
        <w:rPr>
          <w:szCs w:val="20"/>
          <w:rtl/>
        </w:rPr>
        <w:t>19</w:t>
      </w:r>
      <w:r w:rsidRPr="00E81898">
        <w:rPr>
          <w:rtl/>
        </w:rPr>
        <w:t xml:space="preserve"> من العهد، مقترنة بالمادة </w:t>
      </w:r>
      <w:r w:rsidRPr="00850D2B">
        <w:rPr>
          <w:szCs w:val="20"/>
          <w:rtl/>
        </w:rPr>
        <w:t>2</w:t>
      </w:r>
      <w:r w:rsidRPr="00FB2814">
        <w:rPr>
          <w:rtl/>
        </w:rPr>
        <w:t>(</w:t>
      </w:r>
      <w:r w:rsidRPr="00850D2B">
        <w:rPr>
          <w:szCs w:val="20"/>
          <w:rtl/>
        </w:rPr>
        <w:t>2</w:t>
      </w:r>
      <w:r w:rsidRPr="00FB2814">
        <w:rPr>
          <w:rtl/>
        </w:rPr>
        <w:t>)</w:t>
      </w:r>
      <w:r w:rsidRPr="00E81898">
        <w:rPr>
          <w:rtl/>
        </w:rPr>
        <w:t xml:space="preserve"> و</w:t>
      </w:r>
      <w:r w:rsidRPr="00FB2814">
        <w:rPr>
          <w:rtl/>
        </w:rPr>
        <w:t>(</w:t>
      </w:r>
      <w:r w:rsidRPr="00850D2B">
        <w:rPr>
          <w:szCs w:val="20"/>
          <w:rtl/>
        </w:rPr>
        <w:t>3</w:t>
      </w:r>
      <w:r w:rsidRPr="00FB2814">
        <w:rPr>
          <w:rtl/>
        </w:rPr>
        <w:t>)</w:t>
      </w:r>
      <w:r w:rsidRPr="00E81898">
        <w:rPr>
          <w:rtl/>
        </w:rPr>
        <w:t xml:space="preserve">، وأن توصي الدولة الطرف بأن تُوائم قانون المناسبات العامة لعام </w:t>
      </w:r>
      <w:r w:rsidRPr="00850D2B">
        <w:rPr>
          <w:szCs w:val="20"/>
          <w:rtl/>
        </w:rPr>
        <w:t>1997</w:t>
      </w:r>
      <w:r w:rsidRPr="00E81898">
        <w:rPr>
          <w:rtl/>
        </w:rPr>
        <w:t xml:space="preserve"> مع مقتضيات المادة </w:t>
      </w:r>
      <w:r w:rsidRPr="00850D2B">
        <w:rPr>
          <w:szCs w:val="20"/>
          <w:rtl/>
        </w:rPr>
        <w:t>19</w:t>
      </w:r>
      <w:r w:rsidRPr="00E81898">
        <w:rPr>
          <w:rtl/>
        </w:rPr>
        <w:t xml:space="preserve"> من العهد. </w:t>
      </w:r>
    </w:p>
    <w:p w14:paraId="6D854E97" w14:textId="77777777" w:rsidR="002F4BC3" w:rsidRPr="00E81898" w:rsidRDefault="002F4BC3" w:rsidP="002F4BC3">
      <w:pPr>
        <w:pStyle w:val="H23GA"/>
        <w:rPr>
          <w:lang w:val="ar-SA" w:eastAsia="zh-TW" w:bidi="en-GB"/>
        </w:rPr>
      </w:pPr>
      <w:r w:rsidRPr="00E81898">
        <w:rPr>
          <w:rtl/>
        </w:rPr>
        <w:tab/>
      </w:r>
      <w:r w:rsidRPr="00E81898">
        <w:rPr>
          <w:rtl/>
        </w:rPr>
        <w:tab/>
        <w:t xml:space="preserve">عدم تعاون الدولة الطرف </w:t>
      </w:r>
    </w:p>
    <w:p w14:paraId="2E24D6C4" w14:textId="3F24DF18" w:rsidR="002F4BC3" w:rsidRPr="0047389B" w:rsidRDefault="002F4BC3" w:rsidP="002F4BC3">
      <w:pPr>
        <w:pStyle w:val="SingleTxtGA"/>
        <w:rPr>
          <w:lang w:eastAsia="zh-TW" w:bidi="en-GB"/>
        </w:rPr>
      </w:pPr>
      <w:r w:rsidRPr="00850D2B">
        <w:rPr>
          <w:szCs w:val="20"/>
          <w:rtl/>
        </w:rPr>
        <w:t>4</w:t>
      </w:r>
      <w:r w:rsidRPr="00FB2814">
        <w:rPr>
          <w:rtl/>
        </w:rPr>
        <w:t>-</w:t>
      </w:r>
      <w:r w:rsidRPr="00E81898">
        <w:rPr>
          <w:rtl/>
        </w:rPr>
        <w:tab/>
        <w:t xml:space="preserve">طلبت اللجنة إلى الدولة الطرف، في </w:t>
      </w:r>
      <w:r w:rsidRPr="00850D2B">
        <w:rPr>
          <w:szCs w:val="20"/>
          <w:rtl/>
        </w:rPr>
        <w:t>26</w:t>
      </w:r>
      <w:r w:rsidRPr="00E81898">
        <w:rPr>
          <w:rtl/>
        </w:rPr>
        <w:t xml:space="preserve"> تشرين الثاني/نوفمبر </w:t>
      </w:r>
      <w:r w:rsidRPr="00850D2B">
        <w:rPr>
          <w:szCs w:val="20"/>
          <w:rtl/>
        </w:rPr>
        <w:t>2014</w:t>
      </w:r>
      <w:r w:rsidRPr="00E81898">
        <w:rPr>
          <w:rtl/>
        </w:rPr>
        <w:t>، و</w:t>
      </w:r>
      <w:r w:rsidRPr="00850D2B">
        <w:rPr>
          <w:szCs w:val="20"/>
          <w:rtl/>
        </w:rPr>
        <w:t>26</w:t>
      </w:r>
      <w:r w:rsidRPr="00E81898">
        <w:rPr>
          <w:rtl/>
        </w:rPr>
        <w:t xml:space="preserve"> شباط/</w:t>
      </w:r>
      <w:r w:rsidR="00D31CAB">
        <w:rPr>
          <w:rFonts w:hint="cs"/>
          <w:rtl/>
        </w:rPr>
        <w:t xml:space="preserve"> </w:t>
      </w:r>
      <w:r w:rsidRPr="00E81898">
        <w:rPr>
          <w:rtl/>
        </w:rPr>
        <w:t>فبراير</w:t>
      </w:r>
      <w:r w:rsidR="00D31CAB">
        <w:rPr>
          <w:rFonts w:hint="cs"/>
          <w:rtl/>
        </w:rPr>
        <w:t> </w:t>
      </w:r>
      <w:r w:rsidRPr="00850D2B">
        <w:rPr>
          <w:szCs w:val="20"/>
          <w:rtl/>
        </w:rPr>
        <w:t>2016</w:t>
      </w:r>
      <w:r w:rsidRPr="00E81898">
        <w:rPr>
          <w:rtl/>
        </w:rPr>
        <w:t>، و</w:t>
      </w:r>
      <w:r w:rsidRPr="00850D2B">
        <w:rPr>
          <w:szCs w:val="20"/>
          <w:rtl/>
        </w:rPr>
        <w:t>26</w:t>
      </w:r>
      <w:r w:rsidRPr="00E81898">
        <w:rPr>
          <w:rtl/>
        </w:rPr>
        <w:t xml:space="preserve"> كانون الثاني/يناير </w:t>
      </w:r>
      <w:r w:rsidRPr="00850D2B">
        <w:rPr>
          <w:szCs w:val="20"/>
          <w:rtl/>
        </w:rPr>
        <w:t>2017</w:t>
      </w:r>
      <w:r w:rsidRPr="00E81898">
        <w:rPr>
          <w:rtl/>
        </w:rPr>
        <w:t xml:space="preserve">، أن توافيها بمعلومات وملاحظات عن مقبولية البلاغ محل النظر وأسسه الموضوعية. وتعرب </w:t>
      </w:r>
      <w:r>
        <w:rPr>
          <w:rtl/>
        </w:rPr>
        <w:t xml:space="preserve">اللجنة </w:t>
      </w:r>
      <w:r w:rsidRPr="00E81898">
        <w:rPr>
          <w:rtl/>
        </w:rPr>
        <w:t xml:space="preserve">عن أسفها لأن الدولة الطرف لم تقدم أي معلومات عن مقبولية ادعاءات صاحب البلاغ أو أسسها الموضوعية. وتذكِّر بأن المادة </w:t>
      </w:r>
      <w:r w:rsidRPr="00850D2B">
        <w:rPr>
          <w:szCs w:val="20"/>
          <w:rtl/>
        </w:rPr>
        <w:t>4</w:t>
      </w:r>
      <w:r w:rsidRPr="00FB2814">
        <w:rPr>
          <w:rtl/>
        </w:rPr>
        <w:t>(</w:t>
      </w:r>
      <w:r w:rsidRPr="00850D2B">
        <w:rPr>
          <w:szCs w:val="20"/>
          <w:rtl/>
        </w:rPr>
        <w:t>2</w:t>
      </w:r>
      <w:r w:rsidRPr="00FB2814">
        <w:rPr>
          <w:rtl/>
        </w:rPr>
        <w:t>)</w:t>
      </w:r>
      <w:r w:rsidRPr="00E81898">
        <w:rPr>
          <w:rtl/>
        </w:rPr>
        <w:t xml:space="preserve"> من البروتوكول الاختياري تلزم الدول الأطراف بأن تفحص بحسن نية جميع الادعاءات المقدَّمة ضدها، وأن تتيح للجنة كلّ ما لديها من معلومات. فإن لم ترد الدولة الطرف، لزم إيلاء الاعتبار الواجب لادعاءات صاحب البلاغ ما دامت مدعومة بأدلة</w:t>
      </w:r>
      <w:r w:rsidR="007A4639">
        <w:rPr>
          <w:rStyle w:val="FootnoteReference"/>
          <w:rFonts w:cs="Times New Roman"/>
          <w:b w:val="0"/>
          <w:position w:val="4"/>
          <w:sz w:val="20"/>
          <w:rtl/>
        </w:rPr>
        <w:t>(</w:t>
      </w:r>
      <w:r w:rsidR="007A4639" w:rsidRPr="00FA521F">
        <w:rPr>
          <w:rStyle w:val="FootnoteReference"/>
          <w:rFonts w:cs="Times New Roman"/>
          <w:b w:val="0"/>
          <w:position w:val="4"/>
          <w:sz w:val="20"/>
          <w:rtl/>
        </w:rPr>
        <w:footnoteReference w:id="3"/>
      </w:r>
      <w:r w:rsidR="007A4639">
        <w:rPr>
          <w:rStyle w:val="FootnoteReference"/>
          <w:rFonts w:cs="Times New Roman"/>
          <w:b w:val="0"/>
          <w:position w:val="4"/>
          <w:sz w:val="20"/>
          <w:rtl/>
        </w:rPr>
        <w:t>)</w:t>
      </w:r>
      <w:r w:rsidRPr="00E81898">
        <w:rPr>
          <w:rtl/>
        </w:rPr>
        <w:t>.</w:t>
      </w:r>
    </w:p>
    <w:p w14:paraId="564FE3DC" w14:textId="77777777" w:rsidR="002F4BC3" w:rsidRPr="00E81898" w:rsidRDefault="002F4BC3" w:rsidP="002F4BC3">
      <w:pPr>
        <w:pStyle w:val="H23GA"/>
        <w:rPr>
          <w:lang w:val="ar-SA" w:eastAsia="zh-TW" w:bidi="en-GB"/>
        </w:rPr>
      </w:pPr>
      <w:r w:rsidRPr="00E81898">
        <w:rPr>
          <w:rtl/>
        </w:rPr>
        <w:tab/>
      </w:r>
      <w:r w:rsidRPr="00E81898">
        <w:rPr>
          <w:rtl/>
        </w:rPr>
        <w:tab/>
        <w:t>القضايا والإجراءات المعروضة على اللجنة</w:t>
      </w:r>
    </w:p>
    <w:p w14:paraId="51E553C6" w14:textId="77777777" w:rsidR="002F4BC3" w:rsidRPr="0047389B" w:rsidRDefault="002F4BC3" w:rsidP="002F4BC3">
      <w:pPr>
        <w:pStyle w:val="H4GA"/>
        <w:rPr>
          <w:lang w:eastAsia="zh-TW" w:bidi="en-GB"/>
        </w:rPr>
      </w:pPr>
      <w:r w:rsidRPr="00E81898">
        <w:rPr>
          <w:rtl/>
        </w:rPr>
        <w:tab/>
      </w:r>
      <w:r w:rsidRPr="00E81898">
        <w:rPr>
          <w:rtl/>
        </w:rPr>
        <w:tab/>
        <w:t>النظر في المقبولية</w:t>
      </w:r>
    </w:p>
    <w:p w14:paraId="65CBBF80" w14:textId="77777777" w:rsidR="002F4BC3" w:rsidRPr="00E81898" w:rsidRDefault="002F4BC3" w:rsidP="002F4BC3">
      <w:pPr>
        <w:pStyle w:val="SingleTxtGA"/>
        <w:rPr>
          <w:lang w:val="ar-SA" w:eastAsia="zh-TW" w:bidi="en-GB"/>
        </w:rPr>
      </w:pPr>
      <w:r w:rsidRPr="00850D2B">
        <w:rPr>
          <w:szCs w:val="20"/>
          <w:rtl/>
        </w:rPr>
        <w:t>5</w:t>
      </w:r>
      <w:r w:rsidRPr="00FB2814">
        <w:rPr>
          <w:rtl/>
        </w:rPr>
        <w:t>-</w:t>
      </w:r>
      <w:r w:rsidRPr="00850D2B">
        <w:rPr>
          <w:szCs w:val="20"/>
          <w:rtl/>
        </w:rPr>
        <w:t>1</w:t>
      </w:r>
      <w:r w:rsidRPr="00E81898">
        <w:rPr>
          <w:rtl/>
        </w:rPr>
        <w:tab/>
        <w:t xml:space="preserve">قبل النظر في أي ادعاء يرد في بلاغ ما، يجب على اللجنة أن تقرر، عملاً بالمادة </w:t>
      </w:r>
      <w:r w:rsidRPr="00850D2B">
        <w:rPr>
          <w:szCs w:val="20"/>
          <w:rtl/>
        </w:rPr>
        <w:t>97</w:t>
      </w:r>
      <w:r w:rsidRPr="00E81898">
        <w:rPr>
          <w:rtl/>
        </w:rPr>
        <w:t xml:space="preserve"> من نظامها الداخلي، ما إذا كان البلاغ مقبولاً أم لا بموجب البروتوكول الاختياري.</w:t>
      </w:r>
    </w:p>
    <w:p w14:paraId="547E72E8" w14:textId="77777777" w:rsidR="002F4BC3" w:rsidRPr="0047389B" w:rsidRDefault="002F4BC3" w:rsidP="002F4BC3">
      <w:pPr>
        <w:pStyle w:val="SingleTxtGA"/>
        <w:rPr>
          <w:lang w:eastAsia="zh-TW" w:bidi="en-GB"/>
        </w:rPr>
      </w:pPr>
      <w:r w:rsidRPr="00850D2B">
        <w:rPr>
          <w:szCs w:val="20"/>
          <w:rtl/>
        </w:rPr>
        <w:t>5</w:t>
      </w:r>
      <w:r w:rsidRPr="00FB2814">
        <w:rPr>
          <w:rtl/>
        </w:rPr>
        <w:t>-</w:t>
      </w:r>
      <w:r w:rsidRPr="00850D2B">
        <w:rPr>
          <w:szCs w:val="20"/>
          <w:rtl/>
        </w:rPr>
        <w:t>2</w:t>
      </w:r>
      <w:r w:rsidRPr="00E81898">
        <w:rPr>
          <w:rtl/>
        </w:rPr>
        <w:tab/>
        <w:t xml:space="preserve">وقد استيقنت اللجنة، وفقاً لما تنص عليه المادة </w:t>
      </w:r>
      <w:r w:rsidRPr="00850D2B">
        <w:rPr>
          <w:szCs w:val="20"/>
          <w:rtl/>
        </w:rPr>
        <w:t>5</w:t>
      </w:r>
      <w:r w:rsidRPr="00FB2814">
        <w:rPr>
          <w:rtl/>
        </w:rPr>
        <w:t>(</w:t>
      </w:r>
      <w:r w:rsidRPr="00850D2B">
        <w:rPr>
          <w:szCs w:val="20"/>
          <w:rtl/>
        </w:rPr>
        <w:t>2</w:t>
      </w:r>
      <w:r w:rsidRPr="00FB2814">
        <w:rPr>
          <w:rtl/>
        </w:rPr>
        <w:t>)(</w:t>
      </w:r>
      <w:r w:rsidRPr="00E81898">
        <w:rPr>
          <w:rtl/>
        </w:rPr>
        <w:t>أ</w:t>
      </w:r>
      <w:r w:rsidRPr="00FB2814">
        <w:rPr>
          <w:rtl/>
        </w:rPr>
        <w:t>)</w:t>
      </w:r>
      <w:r w:rsidRPr="00E81898">
        <w:rPr>
          <w:rtl/>
        </w:rPr>
        <w:t xml:space="preserve"> من البروتوكول الاختياري، من أن المسألة نفسها ليست قيد البحث في إطار أي إجراء آخر من إجراءات التحقيق الدولي أو التسوية الدولية. </w:t>
      </w:r>
    </w:p>
    <w:p w14:paraId="120B0D38" w14:textId="0FDDFF6D" w:rsidR="002F4BC3" w:rsidRPr="00913480" w:rsidRDefault="002F4BC3" w:rsidP="002F4BC3">
      <w:pPr>
        <w:pStyle w:val="SingleTxtGA"/>
        <w:rPr>
          <w:lang w:eastAsia="zh-TW" w:bidi="en-GB"/>
        </w:rPr>
      </w:pPr>
      <w:r w:rsidRPr="00850D2B">
        <w:rPr>
          <w:szCs w:val="20"/>
          <w:rtl/>
        </w:rPr>
        <w:t>5</w:t>
      </w:r>
      <w:r w:rsidRPr="00FB2814">
        <w:rPr>
          <w:rtl/>
        </w:rPr>
        <w:t>-</w:t>
      </w:r>
      <w:r w:rsidRPr="00850D2B">
        <w:rPr>
          <w:szCs w:val="20"/>
          <w:rtl/>
        </w:rPr>
        <w:t>3</w:t>
      </w:r>
      <w:r w:rsidRPr="00E81898">
        <w:rPr>
          <w:rtl/>
        </w:rPr>
        <w:tab/>
        <w:t>وتحيط اللجنة علما</w:t>
      </w:r>
      <w:r w:rsidR="00D7501B">
        <w:rPr>
          <w:rFonts w:hint="cs"/>
          <w:rtl/>
        </w:rPr>
        <w:t>ً</w:t>
      </w:r>
      <w:r w:rsidRPr="00E81898">
        <w:rPr>
          <w:rtl/>
        </w:rPr>
        <w:t xml:space="preserve"> بادعاء صاحب البلاغ أنه استنفد جميع سبل الانتصاف المحلية المتاحة والفعالة. ولما لم تبد الدولة الطرف ملاحظات تفند ذلك، </w:t>
      </w:r>
      <w:r>
        <w:rPr>
          <w:rtl/>
        </w:rPr>
        <w:t>فإن</w:t>
      </w:r>
      <w:r w:rsidRPr="00E81898">
        <w:rPr>
          <w:rtl/>
        </w:rPr>
        <w:t xml:space="preserve"> اللجنة</w:t>
      </w:r>
      <w:r>
        <w:rPr>
          <w:rtl/>
        </w:rPr>
        <w:t xml:space="preserve"> ترى</w:t>
      </w:r>
      <w:r w:rsidRPr="00E81898">
        <w:rPr>
          <w:rtl/>
        </w:rPr>
        <w:t xml:space="preserve"> أن مقتضيات الفقرة </w:t>
      </w:r>
      <w:r w:rsidRPr="00850D2B">
        <w:rPr>
          <w:szCs w:val="20"/>
          <w:rtl/>
        </w:rPr>
        <w:t>2</w:t>
      </w:r>
      <w:r w:rsidRPr="00FB2814">
        <w:rPr>
          <w:rtl/>
        </w:rPr>
        <w:t>(</w:t>
      </w:r>
      <w:r w:rsidRPr="00E81898">
        <w:rPr>
          <w:rtl/>
        </w:rPr>
        <w:t>ب</w:t>
      </w:r>
      <w:r w:rsidRPr="00FB2814">
        <w:rPr>
          <w:rtl/>
        </w:rPr>
        <w:t>)</w:t>
      </w:r>
      <w:r w:rsidRPr="00E81898">
        <w:rPr>
          <w:rtl/>
        </w:rPr>
        <w:t xml:space="preserve"> من المادة </w:t>
      </w:r>
      <w:r w:rsidRPr="00850D2B">
        <w:rPr>
          <w:szCs w:val="20"/>
          <w:rtl/>
        </w:rPr>
        <w:t>5</w:t>
      </w:r>
      <w:r w:rsidRPr="00E81898">
        <w:rPr>
          <w:rtl/>
        </w:rPr>
        <w:t xml:space="preserve"> من البروتوكول الاختياري لا تمنعها من النظر في هذا البلاغ</w:t>
      </w:r>
      <w:r>
        <w:rPr>
          <w:rtl/>
        </w:rPr>
        <w:t>.</w:t>
      </w:r>
    </w:p>
    <w:p w14:paraId="4D06D624" w14:textId="4B7142D4" w:rsidR="002F4BC3" w:rsidRPr="004E022C" w:rsidRDefault="002F4BC3" w:rsidP="002F4BC3">
      <w:pPr>
        <w:pStyle w:val="SingleTxtGA"/>
        <w:rPr>
          <w:rtl/>
          <w:lang w:eastAsia="zh-TW"/>
        </w:rPr>
      </w:pPr>
      <w:r w:rsidRPr="00850D2B">
        <w:rPr>
          <w:szCs w:val="20"/>
          <w:rtl/>
        </w:rPr>
        <w:t>5</w:t>
      </w:r>
      <w:r w:rsidRPr="00FB2814">
        <w:rPr>
          <w:rtl/>
        </w:rPr>
        <w:t>-</w:t>
      </w:r>
      <w:r w:rsidRPr="00850D2B">
        <w:rPr>
          <w:szCs w:val="20"/>
          <w:rtl/>
        </w:rPr>
        <w:t>4</w:t>
      </w:r>
      <w:r w:rsidRPr="00E81898">
        <w:rPr>
          <w:rtl/>
        </w:rPr>
        <w:tab/>
        <w:t>وتحيط اللجنة علما</w:t>
      </w:r>
      <w:r w:rsidR="00D31CAB">
        <w:rPr>
          <w:rFonts w:hint="cs"/>
          <w:rtl/>
        </w:rPr>
        <w:t>ً</w:t>
      </w:r>
      <w:r w:rsidRPr="00E81898">
        <w:rPr>
          <w:rtl/>
        </w:rPr>
        <w:t xml:space="preserve"> بادعاء صاحب البلاغ انتهاك حقوقه بموجب المادة </w:t>
      </w:r>
      <w:r w:rsidRPr="00850D2B">
        <w:rPr>
          <w:szCs w:val="20"/>
          <w:rtl/>
        </w:rPr>
        <w:t>19</w:t>
      </w:r>
      <w:r w:rsidRPr="00E81898">
        <w:rPr>
          <w:rtl/>
        </w:rPr>
        <w:t xml:space="preserve"> من العهد، مقترنة بالفقرة </w:t>
      </w:r>
      <w:r w:rsidRPr="00850D2B">
        <w:rPr>
          <w:szCs w:val="20"/>
          <w:rtl/>
        </w:rPr>
        <w:t>2</w:t>
      </w:r>
      <w:r w:rsidRPr="00E81898">
        <w:rPr>
          <w:rtl/>
        </w:rPr>
        <w:t xml:space="preserve"> من المادة </w:t>
      </w:r>
      <w:r w:rsidRPr="00850D2B">
        <w:rPr>
          <w:szCs w:val="20"/>
          <w:rtl/>
        </w:rPr>
        <w:t>2</w:t>
      </w:r>
      <w:r w:rsidRPr="00E81898">
        <w:rPr>
          <w:rFonts w:ascii="Traditional Arabic"/>
          <w:rtl/>
        </w:rPr>
        <w:t>.</w:t>
      </w:r>
      <w:r w:rsidRPr="00E81898">
        <w:rPr>
          <w:rtl/>
        </w:rPr>
        <w:t xml:space="preserve"> وتذكّر بأنه لا يمكن الاحتجاج بأحكام المادة </w:t>
      </w:r>
      <w:r w:rsidRPr="00850D2B">
        <w:rPr>
          <w:szCs w:val="20"/>
          <w:rtl/>
        </w:rPr>
        <w:t>2</w:t>
      </w:r>
      <w:r w:rsidRPr="00E81898">
        <w:rPr>
          <w:rtl/>
        </w:rPr>
        <w:t xml:space="preserve"> في </w:t>
      </w:r>
      <w:bookmarkStart w:id="0" w:name="_GoBack"/>
      <w:bookmarkEnd w:id="0"/>
      <w:r w:rsidRPr="00E81898">
        <w:rPr>
          <w:rtl/>
        </w:rPr>
        <w:t xml:space="preserve">ادعاء يرد في بلاغ ما بمقتضى البروتوكول الاختياري، مقترنة بأحكام أخرى من العهد، إلا إن كان عدم تقيّد الدولة الطرف بالتزاماتها بموجب المادة </w:t>
      </w:r>
      <w:r w:rsidRPr="00850D2B">
        <w:rPr>
          <w:szCs w:val="20"/>
          <w:rtl/>
        </w:rPr>
        <w:t>2</w:t>
      </w:r>
      <w:r w:rsidRPr="00E81898">
        <w:rPr>
          <w:rtl/>
        </w:rPr>
        <w:t xml:space="preserve"> هو السبب القريب لانتهاك منفصل للعهد يؤثر مباشرة في الشخص الذي يدعي أنه ضحية</w:t>
      </w:r>
      <w:r w:rsidR="007A4639">
        <w:rPr>
          <w:rStyle w:val="FootnoteReference"/>
          <w:rFonts w:cs="Times New Roman"/>
          <w:b w:val="0"/>
          <w:position w:val="4"/>
          <w:sz w:val="20"/>
          <w:rtl/>
        </w:rPr>
        <w:t>(</w:t>
      </w:r>
      <w:r w:rsidR="007A4639" w:rsidRPr="00FA521F">
        <w:rPr>
          <w:rStyle w:val="FootnoteReference"/>
          <w:rFonts w:cs="Times New Roman"/>
          <w:b w:val="0"/>
          <w:position w:val="4"/>
          <w:sz w:val="20"/>
          <w:rtl/>
        </w:rPr>
        <w:footnoteReference w:id="4"/>
      </w:r>
      <w:r w:rsidR="007A4639">
        <w:rPr>
          <w:rStyle w:val="FootnoteReference"/>
          <w:rFonts w:cs="Times New Roman"/>
          <w:b w:val="0"/>
          <w:position w:val="4"/>
          <w:sz w:val="20"/>
          <w:rtl/>
        </w:rPr>
        <w:t>)</w:t>
      </w:r>
      <w:r w:rsidRPr="00E81898">
        <w:rPr>
          <w:rtl/>
        </w:rPr>
        <w:t xml:space="preserve">. غير أن اللجنة تلاحظ أن صاحب البلاغ سبق أن ادعى حدوث انتهاك لحقوقه بمقتضى المادة </w:t>
      </w:r>
      <w:r w:rsidRPr="00850D2B">
        <w:rPr>
          <w:szCs w:val="20"/>
          <w:rtl/>
        </w:rPr>
        <w:t>19</w:t>
      </w:r>
      <w:r w:rsidRPr="00E81898">
        <w:rPr>
          <w:rtl/>
        </w:rPr>
        <w:t xml:space="preserve"> نتيجة لتفسير القوانين السارية في الدولة الطرف وتطبيقها. ولا ترى اللجنة أن النظر فيما إذا كانت الدولة الطرف انتهكت أيضاً التزاماتها العامة بموجب المادة </w:t>
      </w:r>
      <w:r w:rsidRPr="00850D2B">
        <w:rPr>
          <w:szCs w:val="20"/>
          <w:rtl/>
        </w:rPr>
        <w:t>2</w:t>
      </w:r>
      <w:r w:rsidRPr="00FB2814">
        <w:rPr>
          <w:rtl/>
        </w:rPr>
        <w:t>(</w:t>
      </w:r>
      <w:r w:rsidRPr="00850D2B">
        <w:rPr>
          <w:szCs w:val="20"/>
          <w:rtl/>
        </w:rPr>
        <w:t>2</w:t>
      </w:r>
      <w:r w:rsidRPr="00FB2814">
        <w:rPr>
          <w:rtl/>
        </w:rPr>
        <w:t>)</w:t>
      </w:r>
      <w:r w:rsidRPr="00E81898">
        <w:rPr>
          <w:rtl/>
        </w:rPr>
        <w:t xml:space="preserve"> من العهد، مقترنة بالمادة </w:t>
      </w:r>
      <w:r w:rsidRPr="00850D2B">
        <w:rPr>
          <w:szCs w:val="20"/>
          <w:rtl/>
        </w:rPr>
        <w:t>19</w:t>
      </w:r>
      <w:r w:rsidRPr="00E81898">
        <w:rPr>
          <w:rtl/>
        </w:rPr>
        <w:t xml:space="preserve">، يختلف عن النظر في انتهاك حقوق صاحب البلاغ بموجب المادة </w:t>
      </w:r>
      <w:r w:rsidRPr="00850D2B">
        <w:rPr>
          <w:szCs w:val="20"/>
          <w:rtl/>
        </w:rPr>
        <w:t>19</w:t>
      </w:r>
      <w:r w:rsidRPr="00E81898">
        <w:rPr>
          <w:rtl/>
        </w:rPr>
        <w:t xml:space="preserve"> من العهد. وعلى هذا، ترى اللجنة أن ادعاءات صاحب البلاغ في هذا الصدد تتنافى مع المادة </w:t>
      </w:r>
      <w:r w:rsidRPr="00850D2B">
        <w:rPr>
          <w:szCs w:val="20"/>
          <w:rtl/>
        </w:rPr>
        <w:t>2</w:t>
      </w:r>
      <w:r w:rsidRPr="00E81898">
        <w:rPr>
          <w:rtl/>
        </w:rPr>
        <w:t xml:space="preserve"> من العهد، وهي من ثم غير مقبولة بموجب المادة </w:t>
      </w:r>
      <w:r w:rsidRPr="00850D2B">
        <w:rPr>
          <w:szCs w:val="20"/>
          <w:rtl/>
        </w:rPr>
        <w:t>3</w:t>
      </w:r>
      <w:r w:rsidRPr="00E81898">
        <w:rPr>
          <w:rtl/>
        </w:rPr>
        <w:t xml:space="preserve"> من البروتوكول الاختياري.</w:t>
      </w:r>
    </w:p>
    <w:p w14:paraId="1A51F0C8" w14:textId="77777777" w:rsidR="002F4BC3" w:rsidRPr="00E81898" w:rsidRDefault="002F4BC3" w:rsidP="002F4BC3">
      <w:pPr>
        <w:pStyle w:val="SingleTxtGA"/>
        <w:rPr>
          <w:lang w:val="ar-SA" w:eastAsia="zh-TW" w:bidi="en-GB"/>
        </w:rPr>
      </w:pPr>
      <w:r w:rsidRPr="00850D2B">
        <w:rPr>
          <w:szCs w:val="20"/>
          <w:rtl/>
        </w:rPr>
        <w:lastRenderedPageBreak/>
        <w:t>5</w:t>
      </w:r>
      <w:r w:rsidRPr="00FB2814">
        <w:rPr>
          <w:rtl/>
        </w:rPr>
        <w:t>-</w:t>
      </w:r>
      <w:r w:rsidRPr="00850D2B">
        <w:rPr>
          <w:szCs w:val="20"/>
          <w:rtl/>
        </w:rPr>
        <w:t>5</w:t>
      </w:r>
      <w:r w:rsidRPr="00E81898">
        <w:rPr>
          <w:rtl/>
        </w:rPr>
        <w:tab/>
        <w:t xml:space="preserve">وترى اللجنة أيضاً أن صاحب البلاغ لم يدعم بأدلة ادعاءاته التي أثارها بموجب المادة </w:t>
      </w:r>
      <w:r w:rsidRPr="00850D2B">
        <w:rPr>
          <w:szCs w:val="20"/>
          <w:rtl/>
        </w:rPr>
        <w:t>19</w:t>
      </w:r>
      <w:r w:rsidRPr="00E81898">
        <w:rPr>
          <w:rtl/>
        </w:rPr>
        <w:t xml:space="preserve">، مقترنة بالمادة </w:t>
      </w:r>
      <w:r w:rsidRPr="00850D2B">
        <w:rPr>
          <w:szCs w:val="20"/>
          <w:rtl/>
        </w:rPr>
        <w:t>2</w:t>
      </w:r>
      <w:r w:rsidRPr="00FB2814">
        <w:rPr>
          <w:rtl/>
        </w:rPr>
        <w:t>(</w:t>
      </w:r>
      <w:r w:rsidRPr="00850D2B">
        <w:rPr>
          <w:szCs w:val="20"/>
          <w:rtl/>
        </w:rPr>
        <w:t>3</w:t>
      </w:r>
      <w:r w:rsidRPr="00FB2814">
        <w:rPr>
          <w:rtl/>
        </w:rPr>
        <w:t>)</w:t>
      </w:r>
      <w:r w:rsidRPr="00E81898">
        <w:rPr>
          <w:rtl/>
        </w:rPr>
        <w:t>؛ ولذلك تعلن أن هذا الجزء من البلاغ غير مقبول.</w:t>
      </w:r>
    </w:p>
    <w:p w14:paraId="548EE9FE" w14:textId="77777777" w:rsidR="002F4BC3" w:rsidRPr="00B846D4" w:rsidRDefault="002F4BC3" w:rsidP="002F4BC3">
      <w:pPr>
        <w:pStyle w:val="SingleTxtGA"/>
        <w:rPr>
          <w:lang w:eastAsia="zh-TW" w:bidi="en-GB"/>
        </w:rPr>
      </w:pPr>
      <w:r w:rsidRPr="00850D2B">
        <w:rPr>
          <w:szCs w:val="20"/>
          <w:rtl/>
        </w:rPr>
        <w:t>5</w:t>
      </w:r>
      <w:r w:rsidRPr="00FB2814">
        <w:rPr>
          <w:rtl/>
        </w:rPr>
        <w:t>-</w:t>
      </w:r>
      <w:r w:rsidRPr="00850D2B">
        <w:rPr>
          <w:szCs w:val="20"/>
          <w:rtl/>
        </w:rPr>
        <w:t>6</w:t>
      </w:r>
      <w:r w:rsidRPr="00E81898">
        <w:rPr>
          <w:rtl/>
        </w:rPr>
        <w:tab/>
        <w:t xml:space="preserve">وتجد اللجنة أن ادعاءات صاحب البلاغ بموجب المادة </w:t>
      </w:r>
      <w:r w:rsidRPr="00850D2B">
        <w:rPr>
          <w:szCs w:val="20"/>
          <w:rtl/>
        </w:rPr>
        <w:t>19</w:t>
      </w:r>
      <w:r w:rsidRPr="00E81898">
        <w:rPr>
          <w:rtl/>
        </w:rPr>
        <w:t xml:space="preserve"> من العهد تدعمها أدلة كافية لأغراض المقبولية، وتمضي إلى النظر في الأسس الموضوعية.</w:t>
      </w:r>
    </w:p>
    <w:p w14:paraId="09B39E1A" w14:textId="77777777" w:rsidR="002F4BC3" w:rsidRPr="00E81898" w:rsidRDefault="002F4BC3" w:rsidP="002F4BC3">
      <w:pPr>
        <w:pStyle w:val="H4GA"/>
        <w:rPr>
          <w:lang w:eastAsia="zh-TW" w:bidi="en-GB"/>
        </w:rPr>
      </w:pPr>
      <w:r w:rsidRPr="00E81898">
        <w:rPr>
          <w:rtl/>
        </w:rPr>
        <w:tab/>
      </w:r>
      <w:r w:rsidRPr="00E81898">
        <w:rPr>
          <w:rtl/>
        </w:rPr>
        <w:tab/>
        <w:t>النظر في الأسس الموضوعية</w:t>
      </w:r>
    </w:p>
    <w:p w14:paraId="4AC50357" w14:textId="77777777" w:rsidR="002F4BC3" w:rsidRPr="00B846D4" w:rsidRDefault="002F4BC3" w:rsidP="002F4BC3">
      <w:pPr>
        <w:pStyle w:val="SingleTxtGA"/>
        <w:rPr>
          <w:lang w:eastAsia="zh-TW" w:bidi="en-GB"/>
        </w:rPr>
      </w:pPr>
      <w:r w:rsidRPr="00850D2B">
        <w:rPr>
          <w:szCs w:val="20"/>
          <w:rtl/>
        </w:rPr>
        <w:t>6</w:t>
      </w:r>
      <w:r w:rsidRPr="00FB2814">
        <w:rPr>
          <w:rtl/>
        </w:rPr>
        <w:t>-</w:t>
      </w:r>
      <w:r w:rsidRPr="00850D2B">
        <w:rPr>
          <w:szCs w:val="20"/>
          <w:rtl/>
        </w:rPr>
        <w:t>1</w:t>
      </w:r>
      <w:r w:rsidRPr="00E81898">
        <w:rPr>
          <w:rtl/>
        </w:rPr>
        <w:tab/>
        <w:t xml:space="preserve">نظرت اللجنة في البلاغ في ضوء جميع المعلومات التي أتاحها لها الطرفان، حسبما تنص عليه المادة </w:t>
      </w:r>
      <w:r w:rsidRPr="00850D2B">
        <w:rPr>
          <w:szCs w:val="20"/>
          <w:rtl/>
        </w:rPr>
        <w:t>5</w:t>
      </w:r>
      <w:r w:rsidRPr="00FB2814">
        <w:rPr>
          <w:rtl/>
        </w:rPr>
        <w:t>(</w:t>
      </w:r>
      <w:r w:rsidRPr="00850D2B">
        <w:rPr>
          <w:szCs w:val="20"/>
          <w:rtl/>
        </w:rPr>
        <w:t>1</w:t>
      </w:r>
      <w:r w:rsidRPr="00FB2814">
        <w:rPr>
          <w:rtl/>
        </w:rPr>
        <w:t>)</w:t>
      </w:r>
      <w:r w:rsidRPr="00E81898">
        <w:rPr>
          <w:rtl/>
        </w:rPr>
        <w:t xml:space="preserve"> من البروتوكول الاختياري.</w:t>
      </w:r>
    </w:p>
    <w:p w14:paraId="031E0DC8" w14:textId="0FD595BC" w:rsidR="002F4BC3" w:rsidRPr="009E03F5" w:rsidRDefault="002F4BC3" w:rsidP="002F4BC3">
      <w:pPr>
        <w:pStyle w:val="SingleTxtGA"/>
        <w:rPr>
          <w:lang w:eastAsia="zh-TW" w:bidi="en-GB"/>
        </w:rPr>
      </w:pPr>
      <w:r w:rsidRPr="00850D2B">
        <w:rPr>
          <w:szCs w:val="20"/>
          <w:rtl/>
        </w:rPr>
        <w:t>6</w:t>
      </w:r>
      <w:r w:rsidRPr="00FB2814">
        <w:rPr>
          <w:rtl/>
        </w:rPr>
        <w:t>-</w:t>
      </w:r>
      <w:r w:rsidRPr="00850D2B">
        <w:rPr>
          <w:szCs w:val="20"/>
          <w:rtl/>
        </w:rPr>
        <w:t>2</w:t>
      </w:r>
      <w:r w:rsidRPr="00E81898">
        <w:rPr>
          <w:rtl/>
        </w:rPr>
        <w:tab/>
        <w:t>وتحيط اللجنة علما</w:t>
      </w:r>
      <w:r w:rsidR="00D7501B">
        <w:rPr>
          <w:rFonts w:hint="cs"/>
          <w:rtl/>
        </w:rPr>
        <w:t>ً</w:t>
      </w:r>
      <w:r w:rsidRPr="00E81898">
        <w:rPr>
          <w:rtl/>
        </w:rPr>
        <w:t xml:space="preserve"> بادعاءات صاحب البلاغ أن حريته في التعبير قُيدت تعسفاً لأنه عوقب على اعتصامه في </w:t>
      </w:r>
      <w:r w:rsidRPr="00850D2B">
        <w:rPr>
          <w:szCs w:val="20"/>
          <w:rtl/>
        </w:rPr>
        <w:t>11</w:t>
      </w:r>
      <w:r w:rsidRPr="00E81898">
        <w:rPr>
          <w:rtl/>
        </w:rPr>
        <w:t xml:space="preserve"> تشرين الثاني/نوفمبر </w:t>
      </w:r>
      <w:r w:rsidRPr="00850D2B">
        <w:rPr>
          <w:szCs w:val="20"/>
          <w:rtl/>
        </w:rPr>
        <w:t>2013</w:t>
      </w:r>
      <w:r w:rsidRPr="00E81898">
        <w:rPr>
          <w:rtl/>
        </w:rPr>
        <w:t xml:space="preserve"> وفي </w:t>
      </w:r>
      <w:r w:rsidRPr="00850D2B">
        <w:rPr>
          <w:szCs w:val="20"/>
          <w:rtl/>
        </w:rPr>
        <w:t>11</w:t>
      </w:r>
      <w:r w:rsidRPr="00E81898">
        <w:rPr>
          <w:rtl/>
        </w:rPr>
        <w:t xml:space="preserve"> آذار/مارس </w:t>
      </w:r>
      <w:r w:rsidRPr="00850D2B">
        <w:rPr>
          <w:szCs w:val="20"/>
          <w:rtl/>
        </w:rPr>
        <w:t>2014</w:t>
      </w:r>
      <w:r w:rsidRPr="00E81898">
        <w:rPr>
          <w:rFonts w:ascii="Traditional Arabic"/>
          <w:rtl/>
        </w:rPr>
        <w:t>.</w:t>
      </w:r>
      <w:r w:rsidRPr="00E81898">
        <w:rPr>
          <w:rtl/>
        </w:rPr>
        <w:t xml:space="preserve"> </w:t>
      </w:r>
      <w:dir w:val="rtl">
        <w:r w:rsidRPr="00E81898">
          <w:rPr>
            <w:rtl/>
          </w:rPr>
          <w:t xml:space="preserve">وترى أن القضية القانونية المعروضة عليها تتمثل في البت فيما إذا كانت العقوبات المفروضة على صاحب البلاغ تبلغ حد انتهاك المادة </w:t>
        </w:r>
        <w:r w:rsidRPr="00850D2B">
          <w:rPr>
            <w:szCs w:val="20"/>
            <w:rtl/>
          </w:rPr>
          <w:t>19</w:t>
        </w:r>
        <w:r w:rsidRPr="00E81898">
          <w:rPr>
            <w:rtl/>
          </w:rPr>
          <w:t xml:space="preserve"> من العهد.</w:t>
        </w:r>
        <w:r w:rsidRPr="00E81898">
          <w:rPr>
            <w:rFonts w:cs="Times New Roman" w:hint="cs"/>
            <w:rtl/>
          </w:rPr>
          <w:t>‬</w:t>
        </w:r>
        <w:r w:rsidRPr="00E81898">
          <w:rPr>
            <w:rtl/>
          </w:rPr>
          <w:t xml:space="preserve"> </w:t>
        </w:r>
        <w:r w:rsidRPr="00E81898">
          <w:rPr>
            <w:rFonts w:ascii="Traditional Arabic" w:hAnsi="Traditional Arabic" w:hint="cs"/>
            <w:rtl/>
          </w:rPr>
          <w:t>ويتبين</w:t>
        </w:r>
        <w:r w:rsidRPr="00E81898">
          <w:rPr>
            <w:rtl/>
          </w:rPr>
          <w:t xml:space="preserve"> </w:t>
        </w:r>
        <w:r w:rsidRPr="00E81898">
          <w:rPr>
            <w:rFonts w:ascii="Traditional Arabic" w:hAnsi="Traditional Arabic" w:hint="cs"/>
            <w:rtl/>
          </w:rPr>
          <w:t>من</w:t>
        </w:r>
        <w:r w:rsidRPr="00E81898">
          <w:rPr>
            <w:rtl/>
          </w:rPr>
          <w:t xml:space="preserve"> </w:t>
        </w:r>
        <w:r w:rsidRPr="00E81898">
          <w:rPr>
            <w:rFonts w:ascii="Traditional Arabic" w:hAnsi="Traditional Arabic" w:hint="cs"/>
            <w:rtl/>
          </w:rPr>
          <w:t>المواد</w:t>
        </w:r>
        <w:r w:rsidRPr="00E81898">
          <w:rPr>
            <w:rtl/>
          </w:rPr>
          <w:t xml:space="preserve"> </w:t>
        </w:r>
        <w:r w:rsidRPr="00E81898">
          <w:rPr>
            <w:rFonts w:ascii="Traditional Arabic" w:hAnsi="Traditional Arabic" w:hint="cs"/>
            <w:rtl/>
          </w:rPr>
          <w:t>المعروضة</w:t>
        </w:r>
        <w:r w:rsidRPr="00E81898">
          <w:rPr>
            <w:rtl/>
          </w:rPr>
          <w:t xml:space="preserve"> </w:t>
        </w:r>
        <w:r w:rsidRPr="00E81898">
          <w:rPr>
            <w:rFonts w:ascii="Traditional Arabic" w:hAnsi="Traditional Arabic" w:hint="cs"/>
            <w:rtl/>
          </w:rPr>
          <w:t>عليها</w:t>
        </w:r>
        <w:r w:rsidRPr="00E81898">
          <w:rPr>
            <w:rtl/>
          </w:rPr>
          <w:t xml:space="preserve"> </w:t>
        </w:r>
        <w:r w:rsidRPr="00E81898">
          <w:rPr>
            <w:rFonts w:ascii="Traditional Arabic" w:hAnsi="Traditional Arabic" w:hint="cs"/>
            <w:rtl/>
          </w:rPr>
          <w:t>أن</w:t>
        </w:r>
        <w:r w:rsidRPr="00E81898">
          <w:rPr>
            <w:rtl/>
          </w:rPr>
          <w:t xml:space="preserve"> </w:t>
        </w:r>
        <w:r w:rsidRPr="00E81898">
          <w:rPr>
            <w:rFonts w:ascii="Traditional Arabic" w:hAnsi="Traditional Arabic" w:hint="cs"/>
            <w:rtl/>
          </w:rPr>
          <w:t>المحاكم</w:t>
        </w:r>
        <w:r w:rsidRPr="00E81898">
          <w:rPr>
            <w:rtl/>
          </w:rPr>
          <w:t xml:space="preserve"> </w:t>
        </w:r>
        <w:r>
          <w:rPr>
            <w:rtl/>
          </w:rPr>
          <w:t>وصف</w:t>
        </w:r>
        <w:r w:rsidRPr="00E81898">
          <w:rPr>
            <w:rtl/>
          </w:rPr>
          <w:t xml:space="preserve">ت أفعال صاحب البلاغ بأنها مناسبة عامة وأنه غُرِّم بسبب عدم التماسه </w:t>
        </w:r>
        <w:r>
          <w:rPr>
            <w:rtl/>
          </w:rPr>
          <w:t>ترخيصاً</w:t>
        </w:r>
        <w:r w:rsidRPr="00E81898">
          <w:rPr>
            <w:rtl/>
          </w:rPr>
          <w:t xml:space="preserve"> مسبقاً من سلطات المدينة لتنظيم اعتصام. وترى اللجنة أن إجراءات السلطات، بصرف النظر عن توصيفها القانوني، تبلغ حد تقييد حقوق صاحب البلاغ، لا سيما حقه في نقل معلومات وأفكار أياًّ كان نوعها، وهو ما تكفله المادة </w:t>
        </w:r>
        <w:r w:rsidRPr="00850D2B">
          <w:rPr>
            <w:szCs w:val="20"/>
            <w:rtl/>
          </w:rPr>
          <w:t>19</w:t>
        </w:r>
        <w:r w:rsidRPr="00FB2814">
          <w:rPr>
            <w:rtl/>
          </w:rPr>
          <w:t>(</w:t>
        </w:r>
        <w:r w:rsidRPr="00850D2B">
          <w:rPr>
            <w:szCs w:val="20"/>
            <w:rtl/>
          </w:rPr>
          <w:t>2</w:t>
        </w:r>
        <w:r w:rsidRPr="00FB2814">
          <w:rPr>
            <w:rtl/>
          </w:rPr>
          <w:t>)</w:t>
        </w:r>
        <w:r w:rsidRPr="00E81898">
          <w:rPr>
            <w:rtl/>
          </w:rPr>
          <w:t xml:space="preserve"> من العهد</w:t>
        </w:r>
        <w:r w:rsidR="007A4639">
          <w:rPr>
            <w:rStyle w:val="FootnoteReference"/>
            <w:rFonts w:cs="Times New Roman"/>
            <w:b w:val="0"/>
            <w:position w:val="4"/>
            <w:sz w:val="20"/>
            <w:rtl/>
          </w:rPr>
          <w:t>(</w:t>
        </w:r>
        <w:r w:rsidR="007A4639" w:rsidRPr="00FA521F">
          <w:rPr>
            <w:rStyle w:val="FootnoteReference"/>
            <w:rFonts w:cs="Times New Roman"/>
            <w:b w:val="0"/>
            <w:position w:val="4"/>
            <w:sz w:val="20"/>
            <w:rtl/>
          </w:rPr>
          <w:footnoteReference w:id="5"/>
        </w:r>
        <w:r w:rsidR="007A4639">
          <w:rPr>
            <w:rStyle w:val="FootnoteReference"/>
            <w:rFonts w:cs="Times New Roman"/>
            <w:b w:val="0"/>
            <w:position w:val="4"/>
            <w:sz w:val="20"/>
            <w:rtl/>
          </w:rPr>
          <w:t>)</w:t>
        </w:r>
        <w:r w:rsidRPr="00E81898">
          <w:rPr>
            <w:rtl/>
          </w:rPr>
          <w:t xml:space="preserve">. </w:t>
        </w:r>
        <w:r>
          <w:t>‬</w:t>
        </w:r>
        <w:r>
          <w:t>‬</w:t>
        </w:r>
        <w:r w:rsidR="008A7B48">
          <w:t>‬</w:t>
        </w:r>
      </w:dir>
    </w:p>
    <w:p w14:paraId="330357B9" w14:textId="77777777" w:rsidR="002F4BC3" w:rsidRPr="00817127" w:rsidRDefault="002F4BC3" w:rsidP="002F4BC3">
      <w:pPr>
        <w:pStyle w:val="SingleTxtGA"/>
        <w:rPr>
          <w:lang w:eastAsia="zh-TW" w:bidi="en-GB"/>
        </w:rPr>
      </w:pPr>
      <w:r w:rsidRPr="00850D2B">
        <w:rPr>
          <w:szCs w:val="20"/>
          <w:rtl/>
        </w:rPr>
        <w:t>6</w:t>
      </w:r>
      <w:r w:rsidRPr="00FB2814">
        <w:rPr>
          <w:rtl/>
        </w:rPr>
        <w:t>-</w:t>
      </w:r>
      <w:r w:rsidRPr="00850D2B">
        <w:rPr>
          <w:szCs w:val="20"/>
          <w:rtl/>
        </w:rPr>
        <w:t>3</w:t>
      </w:r>
      <w:r w:rsidRPr="00E81898">
        <w:rPr>
          <w:rtl/>
        </w:rPr>
        <w:tab/>
        <w:t xml:space="preserve">وتحيل اللجنة إلى تعليقها العام رقم </w:t>
      </w:r>
      <w:r w:rsidRPr="00850D2B">
        <w:rPr>
          <w:szCs w:val="20"/>
          <w:rtl/>
        </w:rPr>
        <w:t>34</w:t>
      </w:r>
      <w:r w:rsidRPr="00FB2814">
        <w:rPr>
          <w:rtl/>
        </w:rPr>
        <w:t>(</w:t>
      </w:r>
      <w:r w:rsidRPr="00850D2B">
        <w:rPr>
          <w:szCs w:val="20"/>
          <w:rtl/>
        </w:rPr>
        <w:t>2011</w:t>
      </w:r>
      <w:r w:rsidRPr="00FB2814">
        <w:rPr>
          <w:rtl/>
        </w:rPr>
        <w:t>)</w:t>
      </w:r>
      <w:r w:rsidRPr="00E81898">
        <w:rPr>
          <w:rtl/>
        </w:rPr>
        <w:t xml:space="preserve"> بشأن حرية الرأي وحرية التعبير، حيث ذكرت أن حرية الرأي وحرية التعبير شرطان لا غنى عنهما لتحقيق النماء الكامل للفرد، وأنهما أساسيان لأي مجتمع، ويشكلان حجر الزاوية لكل مجتمع تسوده الحرية والديمقراطية </w:t>
      </w:r>
      <w:r w:rsidRPr="00FB2814">
        <w:rPr>
          <w:rtl/>
        </w:rPr>
        <w:t>(</w:t>
      </w:r>
      <w:r w:rsidRPr="00E81898">
        <w:rPr>
          <w:rtl/>
        </w:rPr>
        <w:t xml:space="preserve">الفقرة </w:t>
      </w:r>
      <w:r w:rsidRPr="00850D2B">
        <w:rPr>
          <w:szCs w:val="20"/>
          <w:rtl/>
        </w:rPr>
        <w:t>2</w:t>
      </w:r>
      <w:r w:rsidRPr="00FB2814">
        <w:rPr>
          <w:rtl/>
        </w:rPr>
        <w:t>)</w:t>
      </w:r>
      <w:r w:rsidRPr="00E81898">
        <w:rPr>
          <w:rtl/>
        </w:rPr>
        <w:t xml:space="preserve">. وتذكِّر </w:t>
      </w:r>
      <w:r>
        <w:rPr>
          <w:rtl/>
        </w:rPr>
        <w:t xml:space="preserve">اللجنة </w:t>
      </w:r>
      <w:r w:rsidRPr="00E81898">
        <w:rPr>
          <w:rtl/>
        </w:rPr>
        <w:t xml:space="preserve">بأن المادة </w:t>
      </w:r>
      <w:r w:rsidRPr="00850D2B">
        <w:rPr>
          <w:szCs w:val="20"/>
          <w:rtl/>
        </w:rPr>
        <w:t>19</w:t>
      </w:r>
      <w:r w:rsidRPr="00FB2814">
        <w:rPr>
          <w:rtl/>
        </w:rPr>
        <w:t>(</w:t>
      </w:r>
      <w:r w:rsidRPr="00850D2B">
        <w:rPr>
          <w:szCs w:val="20"/>
          <w:rtl/>
        </w:rPr>
        <w:t>3</w:t>
      </w:r>
      <w:r w:rsidRPr="00FB2814">
        <w:rPr>
          <w:rtl/>
        </w:rPr>
        <w:t>)</w:t>
      </w:r>
      <w:r w:rsidRPr="00E81898">
        <w:rPr>
          <w:rtl/>
        </w:rPr>
        <w:t xml:space="preserve"> من العهد تجيز بعض القيود، لكن شريطة أن تكون محددة بنص القانون وأن تكون ضرورية: </w:t>
      </w:r>
      <w:r w:rsidRPr="00FB2814">
        <w:rPr>
          <w:rtl/>
        </w:rPr>
        <w:t>(</w:t>
      </w:r>
      <w:r w:rsidRPr="00E81898">
        <w:rPr>
          <w:rtl/>
        </w:rPr>
        <w:t>أ</w:t>
      </w:r>
      <w:r w:rsidRPr="00FB2814">
        <w:rPr>
          <w:rtl/>
        </w:rPr>
        <w:t>)</w:t>
      </w:r>
      <w:r w:rsidRPr="00E81898">
        <w:rPr>
          <w:rtl/>
        </w:rPr>
        <w:t xml:space="preserve"> لاحترام حقوق الآخرين وسمعتهم؛ </w:t>
      </w:r>
      <w:r w:rsidRPr="00FB2814">
        <w:rPr>
          <w:rtl/>
        </w:rPr>
        <w:t>(</w:t>
      </w:r>
      <w:r w:rsidRPr="00E81898">
        <w:rPr>
          <w:rtl/>
        </w:rPr>
        <w:t>ب</w:t>
      </w:r>
      <w:r w:rsidRPr="00FB2814">
        <w:rPr>
          <w:rtl/>
        </w:rPr>
        <w:t>)</w:t>
      </w:r>
      <w:r w:rsidRPr="00E81898">
        <w:rPr>
          <w:rtl/>
        </w:rPr>
        <w:t xml:space="preserve"> لحماية الأمن القومي أو النظام العام أو الصحة العامة أو الآداب العامة. ويجب أن يتوافق أي تقييد لممارس</w:t>
      </w:r>
      <w:r>
        <w:rPr>
          <w:rtl/>
        </w:rPr>
        <w:t>ة حرية الرأي وحرية التعبير</w:t>
      </w:r>
      <w:r w:rsidRPr="00E81898">
        <w:rPr>
          <w:rtl/>
        </w:rPr>
        <w:t xml:space="preserve"> مع معياريْ الضرورة والتناسب الصارمين. ولا يجوز تطبيق القيود إلا للأغراض التي وضعت لأجلها؛ ويجب أن تتعلق مباشرة بالحاجة المحددة التي تأسست عليها </w:t>
      </w:r>
      <w:r w:rsidRPr="00FB2814">
        <w:rPr>
          <w:rtl/>
        </w:rPr>
        <w:t>(</w:t>
      </w:r>
      <w:r w:rsidRPr="00E81898">
        <w:rPr>
          <w:rtl/>
        </w:rPr>
        <w:t xml:space="preserve">الفقرة </w:t>
      </w:r>
      <w:r w:rsidRPr="00850D2B">
        <w:rPr>
          <w:szCs w:val="20"/>
          <w:rtl/>
        </w:rPr>
        <w:t>22</w:t>
      </w:r>
      <w:r w:rsidRPr="00FB2814">
        <w:rPr>
          <w:rtl/>
        </w:rPr>
        <w:t>)</w:t>
      </w:r>
      <w:r w:rsidRPr="00E81898">
        <w:rPr>
          <w:rtl/>
        </w:rPr>
        <w:t xml:space="preserve">. </w:t>
      </w:r>
    </w:p>
    <w:p w14:paraId="2249122D" w14:textId="3A5179F1" w:rsidR="002F4BC3" w:rsidRPr="00E81898" w:rsidRDefault="002F4BC3" w:rsidP="002F4BC3">
      <w:pPr>
        <w:pStyle w:val="SingleTxtGA"/>
        <w:rPr>
          <w:lang w:val="ar-SA" w:eastAsia="zh-TW" w:bidi="en-GB"/>
        </w:rPr>
      </w:pPr>
      <w:r w:rsidRPr="00850D2B">
        <w:rPr>
          <w:szCs w:val="20"/>
          <w:rtl/>
        </w:rPr>
        <w:t>6</w:t>
      </w:r>
      <w:r w:rsidRPr="00FB2814">
        <w:rPr>
          <w:rtl/>
        </w:rPr>
        <w:t>-</w:t>
      </w:r>
      <w:r w:rsidRPr="00850D2B">
        <w:rPr>
          <w:szCs w:val="20"/>
          <w:rtl/>
        </w:rPr>
        <w:t>4</w:t>
      </w:r>
      <w:r w:rsidRPr="00E81898">
        <w:rPr>
          <w:rtl/>
        </w:rPr>
        <w:tab/>
        <w:t xml:space="preserve">وتُذكّر اللجنة بأن الدولة الطرف هي التي يجب أن تُثبت وجه الضرورة والتناسب في القيود المفروضة على حقوق صاحب البلاغ بموجب المادة </w:t>
      </w:r>
      <w:r w:rsidRPr="00850D2B">
        <w:rPr>
          <w:szCs w:val="20"/>
          <w:rtl/>
        </w:rPr>
        <w:t>19</w:t>
      </w:r>
      <w:r w:rsidRPr="00E81898">
        <w:rPr>
          <w:rtl/>
        </w:rPr>
        <w:t xml:space="preserve"> من العهد</w:t>
      </w:r>
      <w:r w:rsidR="007A4639">
        <w:rPr>
          <w:rStyle w:val="FootnoteReference"/>
          <w:rFonts w:cs="Times New Roman"/>
          <w:b w:val="0"/>
          <w:position w:val="4"/>
          <w:sz w:val="20"/>
          <w:rtl/>
        </w:rPr>
        <w:t>(</w:t>
      </w:r>
      <w:r w:rsidR="007A4639" w:rsidRPr="00FA521F">
        <w:rPr>
          <w:rStyle w:val="FootnoteReference"/>
          <w:rFonts w:cs="Times New Roman"/>
          <w:b w:val="0"/>
          <w:position w:val="4"/>
          <w:sz w:val="20"/>
          <w:rtl/>
        </w:rPr>
        <w:footnoteReference w:id="6"/>
      </w:r>
      <w:r w:rsidR="007A4639">
        <w:rPr>
          <w:rStyle w:val="FootnoteReference"/>
          <w:rFonts w:cs="Times New Roman"/>
          <w:b w:val="0"/>
          <w:position w:val="4"/>
          <w:sz w:val="20"/>
          <w:rtl/>
        </w:rPr>
        <w:t>)</w:t>
      </w:r>
      <w:r w:rsidRPr="00E81898">
        <w:rPr>
          <w:rtl/>
        </w:rPr>
        <w:t xml:space="preserve">. وتلاحظ أنه لا شيء في الملف يوحي بأن السلطات المحلية راجعت قضية صاحب البلاغ في ضوء معيارَي الضرورة والتناسب بموجب المادة </w:t>
      </w:r>
      <w:r w:rsidRPr="00850D2B">
        <w:rPr>
          <w:szCs w:val="20"/>
          <w:rtl/>
        </w:rPr>
        <w:t>19</w:t>
      </w:r>
      <w:r w:rsidRPr="00E81898">
        <w:rPr>
          <w:rtl/>
        </w:rPr>
        <w:t xml:space="preserve"> من العهد. وبالمثل، لم تقدم الدولة الطرف </w:t>
      </w:r>
      <w:r>
        <w:rPr>
          <w:rtl/>
        </w:rPr>
        <w:t xml:space="preserve">أي </w:t>
      </w:r>
      <w:r w:rsidRPr="00E81898">
        <w:rPr>
          <w:rtl/>
        </w:rPr>
        <w:t>تفسير</w:t>
      </w:r>
      <w:r>
        <w:rPr>
          <w:rtl/>
        </w:rPr>
        <w:t xml:space="preserve"> </w:t>
      </w:r>
      <w:r w:rsidRPr="00E81898">
        <w:rPr>
          <w:rtl/>
        </w:rPr>
        <w:t>للكيفية التي ت</w:t>
      </w:r>
      <w:r>
        <w:rPr>
          <w:rtl/>
        </w:rPr>
        <w:t>ُ</w:t>
      </w:r>
      <w:r w:rsidRPr="00E81898">
        <w:rPr>
          <w:rtl/>
        </w:rPr>
        <w:t xml:space="preserve">عرّض بها أفعال صاحب البلاغ للخطر حقوقَ الغير وسمعتهم، أو الأمن القومي، أو النظام العام أو الصحة العامة أو الآداب العامة، </w:t>
      </w:r>
      <w:r>
        <w:rPr>
          <w:rtl/>
        </w:rPr>
        <w:t>ول</w:t>
      </w:r>
      <w:r w:rsidRPr="00E81898">
        <w:rPr>
          <w:rtl/>
        </w:rPr>
        <w:t>ضرور</w:t>
      </w:r>
      <w:r>
        <w:rPr>
          <w:rtl/>
        </w:rPr>
        <w:t xml:space="preserve">ة </w:t>
      </w:r>
      <w:r w:rsidRPr="00E81898">
        <w:rPr>
          <w:rtl/>
        </w:rPr>
        <w:t xml:space="preserve">القيود المفروضة عليه. وترى اللجنة، بالنظر إلى ملابسات القضية، أنه لا يمكن اعتبار العقوبات المفروضة على صاحب البلاغ، رغم استنادها إلى القانون الوطني، مبررة لأغراض المادة </w:t>
      </w:r>
      <w:r w:rsidRPr="00850D2B">
        <w:rPr>
          <w:szCs w:val="20"/>
          <w:rtl/>
        </w:rPr>
        <w:t>19</w:t>
      </w:r>
      <w:r w:rsidRPr="00FB2814">
        <w:rPr>
          <w:rtl/>
        </w:rPr>
        <w:t>(</w:t>
      </w:r>
      <w:r w:rsidRPr="00850D2B">
        <w:rPr>
          <w:szCs w:val="20"/>
          <w:rtl/>
        </w:rPr>
        <w:t>3</w:t>
      </w:r>
      <w:r w:rsidRPr="00FB2814">
        <w:rPr>
          <w:rtl/>
        </w:rPr>
        <w:t>)</w:t>
      </w:r>
      <w:r w:rsidRPr="00E81898">
        <w:rPr>
          <w:rtl/>
        </w:rPr>
        <w:t xml:space="preserve"> من العهد. وبناءً على ذلك، تخلص إلى أن الدولة الطرف انتهكت، في القضية موضع النظر، حقوق صاحب البلاغ بموجب المادة </w:t>
      </w:r>
      <w:r w:rsidRPr="00850D2B">
        <w:rPr>
          <w:szCs w:val="20"/>
          <w:rtl/>
        </w:rPr>
        <w:t>19</w:t>
      </w:r>
      <w:r w:rsidRPr="00FB2814">
        <w:rPr>
          <w:rtl/>
        </w:rPr>
        <w:t>(</w:t>
      </w:r>
      <w:r w:rsidRPr="00850D2B">
        <w:rPr>
          <w:szCs w:val="20"/>
          <w:rtl/>
        </w:rPr>
        <w:t>2</w:t>
      </w:r>
      <w:r w:rsidRPr="00FB2814">
        <w:rPr>
          <w:rtl/>
        </w:rPr>
        <w:t>)</w:t>
      </w:r>
      <w:r w:rsidRPr="00E81898">
        <w:rPr>
          <w:rtl/>
        </w:rPr>
        <w:t xml:space="preserve"> من العهد. </w:t>
      </w:r>
    </w:p>
    <w:p w14:paraId="684B1B24" w14:textId="77777777" w:rsidR="002F4BC3" w:rsidRPr="00E81898" w:rsidRDefault="002F4BC3" w:rsidP="002F4BC3">
      <w:pPr>
        <w:pStyle w:val="SingleTxtGA"/>
        <w:rPr>
          <w:lang w:val="ar-SA" w:eastAsia="zh-TW" w:bidi="en-GB"/>
        </w:rPr>
      </w:pPr>
      <w:r w:rsidRPr="00850D2B">
        <w:rPr>
          <w:szCs w:val="20"/>
          <w:rtl/>
        </w:rPr>
        <w:lastRenderedPageBreak/>
        <w:t>7</w:t>
      </w:r>
      <w:r w:rsidRPr="00FB2814">
        <w:rPr>
          <w:rtl/>
        </w:rPr>
        <w:t>-</w:t>
      </w:r>
      <w:r w:rsidRPr="00E81898">
        <w:rPr>
          <w:rtl/>
        </w:rPr>
        <w:tab/>
        <w:t>وترى اللجنة، وهي تتصرف بم</w:t>
      </w:r>
      <w:r>
        <w:rPr>
          <w:rtl/>
        </w:rPr>
        <w:t>قتضى</w:t>
      </w:r>
      <w:r w:rsidRPr="00E81898">
        <w:rPr>
          <w:rtl/>
        </w:rPr>
        <w:t xml:space="preserve"> المادة </w:t>
      </w:r>
      <w:r w:rsidRPr="00850D2B">
        <w:rPr>
          <w:szCs w:val="20"/>
          <w:rtl/>
        </w:rPr>
        <w:t>5</w:t>
      </w:r>
      <w:r w:rsidRPr="00FB2814">
        <w:rPr>
          <w:rtl/>
        </w:rPr>
        <w:t>(</w:t>
      </w:r>
      <w:r w:rsidRPr="00850D2B">
        <w:rPr>
          <w:szCs w:val="20"/>
          <w:rtl/>
        </w:rPr>
        <w:t>4</w:t>
      </w:r>
      <w:r w:rsidRPr="00FB2814">
        <w:rPr>
          <w:rtl/>
        </w:rPr>
        <w:t>)</w:t>
      </w:r>
      <w:r w:rsidRPr="00E81898">
        <w:rPr>
          <w:rtl/>
        </w:rPr>
        <w:t xml:space="preserve"> من البروتوكول الاختياري، أن الوقائع المعروضة عليها تكشف </w:t>
      </w:r>
      <w:r>
        <w:rPr>
          <w:rtl/>
        </w:rPr>
        <w:t xml:space="preserve">عن </w:t>
      </w:r>
      <w:r w:rsidRPr="00E81898">
        <w:rPr>
          <w:rtl/>
        </w:rPr>
        <w:t>انتهاك</w:t>
      </w:r>
      <w:r>
        <w:rPr>
          <w:rtl/>
        </w:rPr>
        <w:t xml:space="preserve"> من</w:t>
      </w:r>
      <w:r w:rsidRPr="00E81898">
        <w:rPr>
          <w:rtl/>
        </w:rPr>
        <w:t xml:space="preserve"> الدولة الطرف</w:t>
      </w:r>
      <w:r>
        <w:rPr>
          <w:rtl/>
        </w:rPr>
        <w:t xml:space="preserve"> ل</w:t>
      </w:r>
      <w:r w:rsidRPr="00E81898">
        <w:rPr>
          <w:rtl/>
        </w:rPr>
        <w:t xml:space="preserve">لمادة </w:t>
      </w:r>
      <w:r w:rsidRPr="00850D2B">
        <w:rPr>
          <w:szCs w:val="20"/>
          <w:rtl/>
        </w:rPr>
        <w:t>19</w:t>
      </w:r>
      <w:r w:rsidRPr="00FB2814">
        <w:rPr>
          <w:rtl/>
        </w:rPr>
        <w:t>(</w:t>
      </w:r>
      <w:r w:rsidRPr="00850D2B">
        <w:rPr>
          <w:szCs w:val="20"/>
          <w:rtl/>
        </w:rPr>
        <w:t>2</w:t>
      </w:r>
      <w:r w:rsidRPr="00FB2814">
        <w:rPr>
          <w:rtl/>
        </w:rPr>
        <w:t>)</w:t>
      </w:r>
      <w:r w:rsidRPr="00E81898">
        <w:rPr>
          <w:rtl/>
        </w:rPr>
        <w:t xml:space="preserve"> من العهد.</w:t>
      </w:r>
    </w:p>
    <w:p w14:paraId="245D2945" w14:textId="77777777" w:rsidR="002F4BC3" w:rsidRPr="0036100D" w:rsidRDefault="002F4BC3" w:rsidP="002F4BC3">
      <w:pPr>
        <w:pStyle w:val="SingleTxtGA"/>
        <w:rPr>
          <w:lang w:eastAsia="zh-TW" w:bidi="en-GB"/>
        </w:rPr>
      </w:pPr>
      <w:r w:rsidRPr="00850D2B">
        <w:rPr>
          <w:szCs w:val="20"/>
          <w:rtl/>
        </w:rPr>
        <w:t>8</w:t>
      </w:r>
      <w:r w:rsidRPr="00FB2814">
        <w:rPr>
          <w:rtl/>
        </w:rPr>
        <w:t>-</w:t>
      </w:r>
      <w:r w:rsidRPr="00E81898">
        <w:rPr>
          <w:rtl/>
        </w:rPr>
        <w:tab/>
        <w:t xml:space="preserve">وعملاً بالمادة </w:t>
      </w:r>
      <w:r w:rsidRPr="00850D2B">
        <w:rPr>
          <w:szCs w:val="20"/>
          <w:rtl/>
        </w:rPr>
        <w:t>2</w:t>
      </w:r>
      <w:r w:rsidRPr="00FB2814">
        <w:rPr>
          <w:rtl/>
        </w:rPr>
        <w:t>(</w:t>
      </w:r>
      <w:r w:rsidRPr="00850D2B">
        <w:rPr>
          <w:szCs w:val="20"/>
          <w:rtl/>
        </w:rPr>
        <w:t>3</w:t>
      </w:r>
      <w:r w:rsidRPr="00FB2814">
        <w:rPr>
          <w:rtl/>
        </w:rPr>
        <w:t>)(</w:t>
      </w:r>
      <w:r w:rsidRPr="00E81898">
        <w:rPr>
          <w:rtl/>
        </w:rPr>
        <w:t>أ</w:t>
      </w:r>
      <w:r w:rsidRPr="00FB2814">
        <w:rPr>
          <w:rtl/>
        </w:rPr>
        <w:t>)</w:t>
      </w:r>
      <w:r w:rsidRPr="00E81898">
        <w:rPr>
          <w:rtl/>
        </w:rPr>
        <w:t xml:space="preserve"> من العهد، يقع على عاتق الدولة الطرف التزام بتوفير سبيل انتصاف فعال لصاحب البلاغ. </w:t>
      </w:r>
      <w:r>
        <w:rPr>
          <w:rtl/>
        </w:rPr>
        <w:t>و</w:t>
      </w:r>
      <w:r w:rsidRPr="00E81898">
        <w:rPr>
          <w:rtl/>
        </w:rPr>
        <w:t>يستوجب</w:t>
      </w:r>
      <w:r>
        <w:rPr>
          <w:rtl/>
        </w:rPr>
        <w:t xml:space="preserve"> ذلك منها</w:t>
      </w:r>
      <w:r w:rsidRPr="00E81898">
        <w:rPr>
          <w:rtl/>
        </w:rPr>
        <w:t xml:space="preserve"> أن تمنح الأشخاص الذين انتُهكت حقوقهم التي يكفلها العهد تعويضاً كاملاً عما أصابهم من ضرر. وبناءً على ذلك، فإن الدولة الطرف ملزمة، في جملة أمور، باتخاذ الإجراءات المناسبة لتقديم تعويض كاف لصاحب البلاغ، بما في ذلك رد</w:t>
      </w:r>
      <w:r>
        <w:rPr>
          <w:rtl/>
        </w:rPr>
        <w:t xml:space="preserve"> </w:t>
      </w:r>
      <w:r w:rsidRPr="00E81898">
        <w:rPr>
          <w:rtl/>
        </w:rPr>
        <w:t>قيمة</w:t>
      </w:r>
      <w:r>
        <w:rPr>
          <w:rtl/>
        </w:rPr>
        <w:t xml:space="preserve"> ا</w:t>
      </w:r>
      <w:r w:rsidRPr="00E81898">
        <w:rPr>
          <w:rtl/>
        </w:rPr>
        <w:t>لغرامة التي فُرضت عليه وأي تكاليف قانونية تكبدها. والدولة الطرف ملزمةٌ أيضاً</w:t>
      </w:r>
      <w:r>
        <w:rPr>
          <w:rtl/>
        </w:rPr>
        <w:t xml:space="preserve"> باتخاذ</w:t>
      </w:r>
      <w:r w:rsidRPr="00E81898">
        <w:rPr>
          <w:rtl/>
        </w:rPr>
        <w:t xml:space="preserve"> جميع الخطوات اللازمة لمنع حدوث انتهاكات مماثلة في المستقبل. وتشير اللجنة في هذا الصدد إلى أنه ينبغي للدولة الطرف أن تراجع إطارها المعياري بشأن المناسبات العامة وفقاً لالتزاماتها بموجب المادة </w:t>
      </w:r>
      <w:r w:rsidRPr="00850D2B">
        <w:rPr>
          <w:szCs w:val="20"/>
          <w:rtl/>
        </w:rPr>
        <w:t>2</w:t>
      </w:r>
      <w:r w:rsidRPr="00FB2814">
        <w:rPr>
          <w:rtl/>
        </w:rPr>
        <w:t>(</w:t>
      </w:r>
      <w:r w:rsidRPr="00850D2B">
        <w:rPr>
          <w:szCs w:val="20"/>
          <w:rtl/>
        </w:rPr>
        <w:t>2</w:t>
      </w:r>
      <w:r w:rsidRPr="00FB2814">
        <w:rPr>
          <w:rtl/>
        </w:rPr>
        <w:t>)</w:t>
      </w:r>
      <w:r w:rsidRPr="00E81898">
        <w:rPr>
          <w:rtl/>
        </w:rPr>
        <w:t xml:space="preserve"> من العهد بحيث</w:t>
      </w:r>
      <w:r>
        <w:rPr>
          <w:rtl/>
        </w:rPr>
        <w:t xml:space="preserve"> تضمن ال</w:t>
      </w:r>
      <w:r w:rsidRPr="00E81898">
        <w:rPr>
          <w:rtl/>
        </w:rPr>
        <w:t xml:space="preserve">تمتع بالحقوق المنصوص عليها في المادة </w:t>
      </w:r>
      <w:r w:rsidRPr="00850D2B">
        <w:rPr>
          <w:szCs w:val="20"/>
          <w:rtl/>
        </w:rPr>
        <w:t>19</w:t>
      </w:r>
      <w:r w:rsidRPr="00E81898">
        <w:rPr>
          <w:rtl/>
        </w:rPr>
        <w:t xml:space="preserve"> من العهد تمتعاً كاملاً في الدولة الطرف.</w:t>
      </w:r>
    </w:p>
    <w:p w14:paraId="2504F2D7" w14:textId="77777777" w:rsidR="002F4BC3" w:rsidRDefault="002F4BC3" w:rsidP="002F4BC3">
      <w:pPr>
        <w:pStyle w:val="SingleTxtGA"/>
        <w:rPr>
          <w:szCs w:val="20"/>
          <w:lang w:val="ar-SA" w:eastAsia="zh-TW" w:bidi="en-GB"/>
        </w:rPr>
      </w:pPr>
      <w:r w:rsidRPr="00850D2B">
        <w:rPr>
          <w:szCs w:val="20"/>
          <w:rtl/>
        </w:rPr>
        <w:t>9</w:t>
      </w:r>
      <w:r w:rsidRPr="00FB2814">
        <w:rPr>
          <w:rtl/>
        </w:rPr>
        <w:t>-</w:t>
      </w:r>
      <w:r w:rsidRPr="00E81898">
        <w:rPr>
          <w:rtl/>
        </w:rPr>
        <w:tab/>
        <w:t xml:space="preserve">وإذ تأخذ اللجنة في اعتبارها أن الدولة الطرف، بانضمامها إلى البروتوكول الاختياري، قد اعترفت باختصاص اللجنة في تحديد ما إذا كان قد وقع انتهاك للعهد أم لا، وأنها تعهدت، عملاً بالمادة </w:t>
      </w:r>
      <w:r w:rsidRPr="00850D2B">
        <w:rPr>
          <w:szCs w:val="20"/>
          <w:rtl/>
        </w:rPr>
        <w:t>2</w:t>
      </w:r>
      <w:r w:rsidRPr="00E81898">
        <w:rPr>
          <w:rtl/>
        </w:rPr>
        <w:t xml:space="preserve"> من العهد، بأن تكفل لجميع الأفراد الموجودين في إقليمها أو الخاضعين لولايتها الحقوق المعترف بها في العهد، وبأن توفر لهم سبيل انتصاف فعال وقابل للإنفاذ إن ثبت حدوث انتهاك، فإنها تود أن تتلقى من الدولة الطرف في غضون </w:t>
      </w:r>
      <w:r w:rsidRPr="00850D2B">
        <w:rPr>
          <w:szCs w:val="20"/>
          <w:rtl/>
        </w:rPr>
        <w:t>180</w:t>
      </w:r>
      <w:r w:rsidRPr="00E81898">
        <w:rPr>
          <w:rtl/>
        </w:rPr>
        <w:t xml:space="preserve"> يوماً معلومات عن التدابير التي اتخذتها لوضع آراء اللجنة موضع التنفيذ. وتطلب اللجنة إلى الدولة الطرف أيضاً أن تنشر هذه الآراء على نطاق واسع بجميع اللغات الرسمية للدولة الطرف.</w:t>
      </w:r>
    </w:p>
    <w:p w14:paraId="647969E5" w14:textId="72DFF318" w:rsidR="00B54045" w:rsidRPr="00A03700" w:rsidRDefault="002F4BC3" w:rsidP="002F4BC3">
      <w:pPr>
        <w:pStyle w:val="SingleTxtG"/>
        <w:spacing w:before="240"/>
        <w:jc w:val="center"/>
        <w:rPr>
          <w:rFonts w:hint="default"/>
          <w:rtl/>
        </w:rPr>
      </w:pPr>
      <w:r>
        <w:rPr>
          <w:u w:val="single"/>
        </w:rPr>
        <w:tab/>
      </w:r>
      <w:r>
        <w:rPr>
          <w:u w:val="single"/>
        </w:rPr>
        <w:tab/>
      </w:r>
      <w:r>
        <w:rPr>
          <w:u w:val="single"/>
        </w:rPr>
        <w:tab/>
      </w:r>
    </w:p>
    <w:sectPr w:rsidR="00B54045" w:rsidRPr="00A03700" w:rsidSect="00CF369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B8774" w14:textId="77777777" w:rsidR="00BA7840" w:rsidRPr="002901D9" w:rsidRDefault="00BA7840" w:rsidP="002901D9">
      <w:pPr>
        <w:spacing w:after="60" w:line="240" w:lineRule="auto"/>
        <w:rPr>
          <w:i/>
          <w:iCs/>
        </w:rPr>
      </w:pPr>
      <w:r>
        <w:rPr>
          <w:rFonts w:hint="cs"/>
          <w:i/>
          <w:iCs/>
          <w:rtl/>
        </w:rPr>
        <w:t>الحواشي</w:t>
      </w:r>
    </w:p>
  </w:endnote>
  <w:endnote w:type="continuationSeparator" w:id="0">
    <w:p w14:paraId="6E507210" w14:textId="77777777" w:rsidR="00BA7840" w:rsidRDefault="00BA784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84FA" w14:textId="77777777" w:rsidR="00CF3695" w:rsidRPr="00A65181" w:rsidRDefault="00A65181" w:rsidP="00A65181">
    <w:pPr>
      <w:pStyle w:val="Footer"/>
      <w:tabs>
        <w:tab w:val="right" w:pos="9598"/>
      </w:tabs>
      <w:rPr>
        <w:sz w:val="17"/>
      </w:rPr>
    </w:pPr>
    <w:r>
      <w:rPr>
        <w:sz w:val="17"/>
      </w:rPr>
      <w:t>GE.20-12773</w:t>
    </w:r>
    <w:r>
      <w:rPr>
        <w:sz w:val="17"/>
      </w:rPr>
      <w:tab/>
    </w:r>
    <w:r w:rsidRPr="00A65181">
      <w:rPr>
        <w:b/>
        <w:sz w:val="18"/>
      </w:rPr>
      <w:fldChar w:fldCharType="begin"/>
    </w:r>
    <w:r w:rsidRPr="00A65181">
      <w:rPr>
        <w:b/>
        <w:sz w:val="18"/>
      </w:rPr>
      <w:instrText xml:space="preserve"> PAGE  \* MERGEFORMAT </w:instrText>
    </w:r>
    <w:r w:rsidRPr="00A65181">
      <w:rPr>
        <w:b/>
        <w:sz w:val="18"/>
      </w:rPr>
      <w:fldChar w:fldCharType="separate"/>
    </w:r>
    <w:r>
      <w:rPr>
        <w:b/>
        <w:sz w:val="18"/>
      </w:rPr>
      <w:t>2</w:t>
    </w:r>
    <w:r w:rsidRPr="00A6518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C76D" w14:textId="77777777" w:rsidR="006959B0" w:rsidRPr="00A65181" w:rsidRDefault="00A65181" w:rsidP="006959B0">
    <w:pPr>
      <w:pStyle w:val="Footer"/>
      <w:tabs>
        <w:tab w:val="right" w:pos="9599"/>
      </w:tabs>
      <w:jc w:val="left"/>
      <w:rPr>
        <w:b/>
        <w:sz w:val="18"/>
        <w:lang w:val="en-US"/>
      </w:rPr>
    </w:pPr>
    <w:r w:rsidRPr="00A65181">
      <w:rPr>
        <w:b/>
        <w:sz w:val="18"/>
        <w:lang w:val="en-US"/>
      </w:rPr>
      <w:fldChar w:fldCharType="begin"/>
    </w:r>
    <w:r w:rsidRPr="00A65181">
      <w:rPr>
        <w:b/>
        <w:sz w:val="18"/>
        <w:lang w:val="en-US"/>
      </w:rPr>
      <w:instrText xml:space="preserve"> PAGE  \* MERGEFORMAT </w:instrText>
    </w:r>
    <w:r w:rsidRPr="00A65181">
      <w:rPr>
        <w:b/>
        <w:sz w:val="18"/>
        <w:lang w:val="en-US"/>
      </w:rPr>
      <w:fldChar w:fldCharType="separate"/>
    </w:r>
    <w:r w:rsidRPr="00A65181">
      <w:rPr>
        <w:b/>
        <w:noProof/>
        <w:sz w:val="18"/>
        <w:lang w:val="en-US"/>
      </w:rPr>
      <w:t>3</w:t>
    </w:r>
    <w:r w:rsidRPr="00A65181">
      <w:rPr>
        <w:b/>
        <w:sz w:val="18"/>
        <w:lang w:val="en-US"/>
      </w:rPr>
      <w:fldChar w:fldCharType="end"/>
    </w:r>
    <w:r>
      <w:rPr>
        <w:b/>
        <w:sz w:val="18"/>
        <w:lang w:val="en-US"/>
      </w:rPr>
      <w:tab/>
    </w:r>
    <w:r>
      <w:rPr>
        <w:sz w:val="17"/>
        <w:lang w:val="en-US"/>
      </w:rPr>
      <w:t>GE.20-12773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3D464" w14:textId="4D8E7C9D" w:rsidR="00DE50B1" w:rsidRDefault="00CF3695" w:rsidP="00982139">
    <w:pPr>
      <w:pStyle w:val="Footer"/>
      <w:spacing w:before="360"/>
      <w:jc w:val="right"/>
      <w:rPr>
        <w:sz w:val="20"/>
        <w:szCs w:val="20"/>
      </w:rPr>
    </w:pPr>
    <w:r>
      <w:rPr>
        <w:sz w:val="20"/>
        <w:szCs w:val="20"/>
      </w:rPr>
      <w:t>GE.20-12773</w:t>
    </w:r>
    <w:r w:rsidR="008A7B48">
      <w:rPr>
        <w:noProof/>
      </w:rPr>
      <w:drawing>
        <wp:anchor distT="0" distB="0" distL="114300" distR="114300" simplePos="0" relativeHeight="251657728" behindDoc="1" locked="1" layoutInCell="0" allowOverlap="1" wp14:anchorId="16334C03" wp14:editId="12832E28">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14:paraId="5E77F9C9" w14:textId="38F17426" w:rsidR="00CF3695" w:rsidRPr="00CF3695" w:rsidRDefault="00CF3695" w:rsidP="00CF3695">
    <w:pPr>
      <w:pStyle w:val="Footer"/>
      <w:jc w:val="right"/>
      <w:rPr>
        <w:rFonts w:ascii="C39T30Lfz" w:hAnsi="C39T30Lfz"/>
        <w:sz w:val="56"/>
        <w:szCs w:val="20"/>
      </w:rPr>
    </w:pPr>
    <w:r>
      <w:rPr>
        <w:rFonts w:ascii="C39T30Lfz" w:hAnsi="C39T30Lfz"/>
        <w:sz w:val="56"/>
        <w:szCs w:val="20"/>
      </w:rPr>
      <w:t>*2012773*</w:t>
    </w:r>
    <w:r w:rsidR="008A7B48">
      <w:rPr>
        <w:noProof/>
      </w:rPr>
      <w:drawing>
        <wp:anchor distT="0" distB="0" distL="114300" distR="114300" simplePos="0" relativeHeight="251659776" behindDoc="0" locked="0" layoutInCell="1" allowOverlap="1" wp14:anchorId="48F7BE85" wp14:editId="57642BCE">
          <wp:simplePos x="0" y="0"/>
          <wp:positionH relativeFrom="page">
            <wp:posOffset>719455</wp:posOffset>
          </wp:positionH>
          <wp:positionV relativeFrom="page">
            <wp:posOffset>9611995</wp:posOffset>
          </wp:positionV>
          <wp:extent cx="639445" cy="639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490C5" w14:textId="6ED02334" w:rsidR="00BA7840" w:rsidRPr="00850D2B" w:rsidRDefault="00BA7840" w:rsidP="00850D2B">
      <w:pPr>
        <w:pStyle w:val="Footer"/>
        <w:bidi/>
        <w:spacing w:after="80" w:line="200" w:lineRule="exact"/>
        <w:ind w:left="680"/>
      </w:pPr>
      <w:r>
        <w:rPr>
          <w:rtl/>
        </w:rPr>
        <w:t>__________</w:t>
      </w:r>
    </w:p>
  </w:footnote>
  <w:footnote w:type="continuationSeparator" w:id="0">
    <w:p w14:paraId="4804E6CC" w14:textId="77777777" w:rsidR="00BA7840" w:rsidRDefault="00BA7840" w:rsidP="00656392">
      <w:pPr>
        <w:spacing w:line="240" w:lineRule="auto"/>
      </w:pPr>
      <w:r>
        <w:continuationSeparator/>
      </w:r>
    </w:p>
  </w:footnote>
  <w:footnote w:id="1">
    <w:p w14:paraId="7D7D04E8" w14:textId="523DF630" w:rsidR="002044F1" w:rsidRPr="002044F1" w:rsidRDefault="002044F1" w:rsidP="00FA521F">
      <w:pPr>
        <w:pStyle w:val="FootnoteText1"/>
        <w:rPr>
          <w:rtl/>
        </w:rPr>
      </w:pPr>
      <w:r>
        <w:rPr>
          <w:rtl/>
        </w:rPr>
        <w:t>*</w:t>
      </w:r>
      <w:r>
        <w:rPr>
          <w:rtl/>
        </w:rPr>
        <w:tab/>
      </w:r>
      <w:r w:rsidRPr="00913480">
        <w:rPr>
          <w:sz w:val="26"/>
          <w:rtl/>
        </w:rPr>
        <w:t xml:space="preserve">اعتمدتها اللجنة في دورتها </w:t>
      </w:r>
      <w:r w:rsidRPr="00FA521F">
        <w:rPr>
          <w:rFonts w:ascii="Traditional Arabic"/>
          <w:sz w:val="26"/>
          <w:szCs w:val="18"/>
          <w:rtl/>
        </w:rPr>
        <w:t>129</w:t>
      </w:r>
      <w:r w:rsidRPr="00913480">
        <w:rPr>
          <w:rFonts w:ascii="Traditional Arabic"/>
          <w:sz w:val="26"/>
          <w:rtl/>
        </w:rPr>
        <w:t xml:space="preserve"> (</w:t>
      </w:r>
      <w:r w:rsidRPr="00FA521F">
        <w:rPr>
          <w:rFonts w:ascii="Traditional Arabic"/>
          <w:sz w:val="26"/>
          <w:szCs w:val="18"/>
          <w:rtl/>
        </w:rPr>
        <w:t>29</w:t>
      </w:r>
      <w:r w:rsidRPr="00913480">
        <w:rPr>
          <w:sz w:val="26"/>
          <w:rtl/>
        </w:rPr>
        <w:t xml:space="preserve"> حزيران/يونيه - </w:t>
      </w:r>
      <w:r w:rsidRPr="00FA521F">
        <w:rPr>
          <w:rFonts w:ascii="Traditional Arabic"/>
          <w:sz w:val="26"/>
          <w:szCs w:val="18"/>
          <w:rtl/>
        </w:rPr>
        <w:t>24</w:t>
      </w:r>
      <w:r w:rsidRPr="00913480">
        <w:rPr>
          <w:sz w:val="26"/>
          <w:rtl/>
        </w:rPr>
        <w:t xml:space="preserve"> تموز/يوليه </w:t>
      </w:r>
      <w:r w:rsidRPr="00FA521F">
        <w:rPr>
          <w:rFonts w:ascii="Traditional Arabic"/>
          <w:sz w:val="26"/>
          <w:szCs w:val="18"/>
          <w:rtl/>
        </w:rPr>
        <w:t>2020</w:t>
      </w:r>
      <w:r w:rsidRPr="00913480">
        <w:rPr>
          <w:rFonts w:ascii="Traditional Arabic"/>
          <w:sz w:val="26"/>
          <w:rtl/>
        </w:rPr>
        <w:t>)</w:t>
      </w:r>
      <w:r w:rsidRPr="00913480">
        <w:rPr>
          <w:sz w:val="26"/>
          <w:rtl/>
        </w:rPr>
        <w:t>.</w:t>
      </w:r>
    </w:p>
  </w:footnote>
  <w:footnote w:id="2">
    <w:p w14:paraId="5A77F4D9" w14:textId="5AA4B810" w:rsidR="002044F1" w:rsidRPr="002044F1" w:rsidRDefault="002044F1" w:rsidP="00FA521F">
      <w:pPr>
        <w:pStyle w:val="FootnoteText1"/>
      </w:pPr>
      <w:r>
        <w:rPr>
          <w:rtl/>
        </w:rPr>
        <w:t>**</w:t>
      </w:r>
      <w:r>
        <w:rPr>
          <w:rtl/>
        </w:rPr>
        <w:tab/>
      </w:r>
      <w:r w:rsidRPr="002044F1">
        <w:rPr>
          <w:rtl/>
        </w:rPr>
        <w:t>شارك في دراسة هذا البلاغ أعضاء اللجنة التالية أسماؤهم: تانيا ماريا عبدو روشول، وعياض بن عاشور، وعارف بولكان، وأحمد أمين فتح الله، وفورويا سويتشي، وباماريام كويتا، ومارسيا ف. ج. كران، ودنكان لاكي موهوموزا، وفوتيني بازارتزيس ، وهيرنان كيزادا كابريرا، وفاسيلكا سانسين، وخوسيه مانويل سانتوس بايس، ويوفال شاني، وهيلين تيغرودجا، وأندرياس تسيميرمان، وجانتيان زيبيري.</w:t>
      </w:r>
    </w:p>
  </w:footnote>
  <w:footnote w:id="3">
    <w:p w14:paraId="048F6F6B" w14:textId="25750949" w:rsidR="007A4639" w:rsidRPr="00913480" w:rsidRDefault="007A4639" w:rsidP="00FA521F">
      <w:pPr>
        <w:pStyle w:val="FootnoteText1"/>
        <w:rPr>
          <w:lang w:val="ar-SA" w:eastAsia="zh-TW" w:bidi="en-GB"/>
        </w:rPr>
      </w:pPr>
      <w:r w:rsidRPr="007A4639">
        <w:rPr>
          <w:rStyle w:val="FootnoteReference"/>
          <w:rFonts w:cs="Times New Roman"/>
          <w:b w:val="0"/>
          <w:sz w:val="20"/>
          <w:szCs w:val="20"/>
          <w:vertAlign w:val="baseline"/>
          <w:rtl/>
        </w:rPr>
        <w:t>(</w:t>
      </w:r>
      <w:r w:rsidRPr="007A4639">
        <w:rPr>
          <w:rStyle w:val="FootnoteReference"/>
          <w:rFonts w:cs="Times New Roman"/>
          <w:b w:val="0"/>
          <w:sz w:val="20"/>
          <w:szCs w:val="20"/>
          <w:vertAlign w:val="baseline"/>
          <w:rtl/>
        </w:rPr>
        <w:footnoteRef/>
      </w:r>
      <w:r w:rsidRPr="007A4639">
        <w:rPr>
          <w:rStyle w:val="FootnoteReference"/>
          <w:rFonts w:cs="Times New Roman"/>
          <w:b w:val="0"/>
          <w:sz w:val="20"/>
          <w:szCs w:val="20"/>
          <w:vertAlign w:val="baseline"/>
          <w:rtl/>
        </w:rPr>
        <w:t>)</w:t>
      </w:r>
      <w:r w:rsidRPr="00913480">
        <w:rPr>
          <w:sz w:val="26"/>
          <w:rtl/>
        </w:rPr>
        <w:tab/>
        <w:t xml:space="preserve">انظر(ي)، مثلاً، </w:t>
      </w:r>
      <w:r w:rsidRPr="00913480">
        <w:rPr>
          <w:i/>
          <w:iCs/>
          <w:sz w:val="26"/>
          <w:rtl/>
        </w:rPr>
        <w:t>سانّيكوف ضد بيلاروس</w:t>
      </w:r>
      <w:r w:rsidRPr="00913480">
        <w:rPr>
          <w:sz w:val="26"/>
          <w:rtl/>
        </w:rPr>
        <w:t xml:space="preserve"> </w:t>
      </w:r>
      <w:r w:rsidRPr="00913480">
        <w:rPr>
          <w:rFonts w:ascii="Traditional Arabic"/>
          <w:sz w:val="26"/>
          <w:rtl/>
        </w:rPr>
        <w:t>(</w:t>
      </w:r>
      <w:r w:rsidRPr="00913480">
        <w:rPr>
          <w:rFonts w:cs="Times New Roman"/>
          <w:szCs w:val="18"/>
        </w:rPr>
        <w:t>CCPR/C/</w:t>
      </w:r>
      <w:r w:rsidRPr="00FA521F">
        <w:rPr>
          <w:rFonts w:cs="Times New Roman"/>
          <w:szCs w:val="18"/>
        </w:rPr>
        <w:t>122</w:t>
      </w:r>
      <w:r w:rsidRPr="00913480">
        <w:rPr>
          <w:rFonts w:cs="Times New Roman"/>
          <w:szCs w:val="18"/>
        </w:rPr>
        <w:t>/D/</w:t>
      </w:r>
      <w:r w:rsidRPr="00FA521F">
        <w:rPr>
          <w:rFonts w:cs="Times New Roman"/>
          <w:szCs w:val="18"/>
        </w:rPr>
        <w:t>2212</w:t>
      </w:r>
      <w:r w:rsidRPr="00913480">
        <w:rPr>
          <w:rFonts w:cs="Times New Roman"/>
          <w:szCs w:val="18"/>
        </w:rPr>
        <w:t>/</w:t>
      </w:r>
      <w:r w:rsidRPr="00FA521F">
        <w:rPr>
          <w:rFonts w:cs="Times New Roman"/>
          <w:szCs w:val="18"/>
        </w:rPr>
        <w:t>2012</w:t>
      </w:r>
      <w:r w:rsidRPr="00913480">
        <w:rPr>
          <w:rFonts w:ascii="Traditional Arabic"/>
          <w:sz w:val="26"/>
          <w:rtl/>
        </w:rPr>
        <w:t>)</w:t>
      </w:r>
      <w:r w:rsidRPr="00913480">
        <w:rPr>
          <w:sz w:val="26"/>
          <w:rtl/>
        </w:rPr>
        <w:t xml:space="preserve">، الفقرة </w:t>
      </w:r>
      <w:r w:rsidRPr="00FA521F">
        <w:rPr>
          <w:rFonts w:ascii="Traditional Arabic"/>
          <w:sz w:val="26"/>
          <w:szCs w:val="18"/>
          <w:rtl/>
        </w:rPr>
        <w:t>4</w:t>
      </w:r>
      <w:r w:rsidRPr="00913480">
        <w:rPr>
          <w:sz w:val="26"/>
          <w:rtl/>
        </w:rPr>
        <w:t>.</w:t>
      </w:r>
    </w:p>
  </w:footnote>
  <w:footnote w:id="4">
    <w:p w14:paraId="531DAAD6" w14:textId="2F916A6E" w:rsidR="007A4639" w:rsidRPr="00B846D4" w:rsidRDefault="007A4639" w:rsidP="00FA521F">
      <w:pPr>
        <w:pStyle w:val="FootnoteText1"/>
        <w:rPr>
          <w:lang w:eastAsia="zh-TW" w:bidi="en-GB"/>
        </w:rPr>
      </w:pPr>
      <w:r w:rsidRPr="007A4639">
        <w:rPr>
          <w:rStyle w:val="FootnoteReference"/>
          <w:rFonts w:cs="Times New Roman"/>
          <w:b w:val="0"/>
          <w:sz w:val="20"/>
          <w:szCs w:val="20"/>
          <w:vertAlign w:val="baseline"/>
          <w:rtl/>
        </w:rPr>
        <w:t>(</w:t>
      </w:r>
      <w:r w:rsidRPr="007A4639">
        <w:rPr>
          <w:rStyle w:val="FootnoteReference"/>
          <w:rFonts w:cs="Times New Roman"/>
          <w:b w:val="0"/>
          <w:sz w:val="20"/>
          <w:szCs w:val="20"/>
          <w:vertAlign w:val="baseline"/>
          <w:rtl/>
        </w:rPr>
        <w:footnoteRef/>
      </w:r>
      <w:r w:rsidRPr="007A4639">
        <w:rPr>
          <w:rStyle w:val="FootnoteReference"/>
          <w:rFonts w:cs="Times New Roman"/>
          <w:b w:val="0"/>
          <w:sz w:val="20"/>
          <w:szCs w:val="20"/>
          <w:vertAlign w:val="baseline"/>
          <w:rtl/>
        </w:rPr>
        <w:t>)</w:t>
      </w:r>
      <w:r w:rsidRPr="00913480">
        <w:rPr>
          <w:sz w:val="26"/>
          <w:rtl/>
        </w:rPr>
        <w:tab/>
        <w:t>مثلا</w:t>
      </w:r>
      <w:r>
        <w:rPr>
          <w:rFonts w:hint="cs"/>
          <w:sz w:val="26"/>
          <w:rtl/>
        </w:rPr>
        <w:t xml:space="preserve">ً </w:t>
      </w:r>
      <w:r w:rsidRPr="00913480">
        <w:rPr>
          <w:i/>
          <w:iCs/>
          <w:sz w:val="26"/>
          <w:rtl/>
        </w:rPr>
        <w:t>كورشكوف ضد بيلاروس</w:t>
      </w:r>
      <w:r w:rsidRPr="00913480">
        <w:rPr>
          <w:sz w:val="26"/>
          <w:rtl/>
        </w:rPr>
        <w:t xml:space="preserve"> </w:t>
      </w:r>
      <w:r w:rsidRPr="00913480">
        <w:rPr>
          <w:rFonts w:ascii="Traditional Arabic"/>
          <w:sz w:val="26"/>
          <w:rtl/>
        </w:rPr>
        <w:t>(</w:t>
      </w:r>
      <w:r w:rsidRPr="009E03F5">
        <w:rPr>
          <w:rFonts w:cs="Times New Roman"/>
          <w:szCs w:val="18"/>
        </w:rPr>
        <w:t>CCPR/C/</w:t>
      </w:r>
      <w:r w:rsidRPr="00FA521F">
        <w:rPr>
          <w:rFonts w:cs="Times New Roman"/>
          <w:szCs w:val="18"/>
        </w:rPr>
        <w:t>121</w:t>
      </w:r>
      <w:r w:rsidRPr="009E03F5">
        <w:rPr>
          <w:rFonts w:cs="Times New Roman"/>
          <w:szCs w:val="18"/>
        </w:rPr>
        <w:t>/D/</w:t>
      </w:r>
      <w:r w:rsidRPr="00FA521F">
        <w:rPr>
          <w:rFonts w:cs="Times New Roman"/>
          <w:szCs w:val="18"/>
        </w:rPr>
        <w:t>2168</w:t>
      </w:r>
      <w:r w:rsidRPr="009E03F5">
        <w:rPr>
          <w:rFonts w:cs="Times New Roman"/>
          <w:szCs w:val="18"/>
        </w:rPr>
        <w:t>/</w:t>
      </w:r>
      <w:r w:rsidRPr="00FA521F">
        <w:rPr>
          <w:rFonts w:cs="Times New Roman"/>
          <w:szCs w:val="18"/>
        </w:rPr>
        <w:t>2012</w:t>
      </w:r>
      <w:r w:rsidRPr="00913480">
        <w:rPr>
          <w:rFonts w:ascii="Traditional Arabic"/>
          <w:sz w:val="26"/>
          <w:rtl/>
        </w:rPr>
        <w:t>)</w:t>
      </w:r>
      <w:r w:rsidRPr="00913480">
        <w:rPr>
          <w:sz w:val="26"/>
          <w:rtl/>
        </w:rPr>
        <w:t xml:space="preserve">، الفقرة </w:t>
      </w:r>
      <w:r w:rsidRPr="00FA521F">
        <w:rPr>
          <w:sz w:val="26"/>
          <w:szCs w:val="18"/>
          <w:rtl/>
        </w:rPr>
        <w:t>7</w:t>
      </w:r>
      <w:r>
        <w:rPr>
          <w:sz w:val="26"/>
          <w:rtl/>
        </w:rPr>
        <w:t>-</w:t>
      </w:r>
      <w:r w:rsidRPr="00FA521F">
        <w:rPr>
          <w:rFonts w:ascii="Traditional Arabic"/>
          <w:sz w:val="26"/>
          <w:szCs w:val="18"/>
          <w:rtl/>
        </w:rPr>
        <w:t>4</w:t>
      </w:r>
      <w:r w:rsidRPr="00913480">
        <w:rPr>
          <w:sz w:val="26"/>
          <w:rtl/>
        </w:rPr>
        <w:t>؛ و</w:t>
      </w:r>
      <w:r w:rsidRPr="00913480">
        <w:rPr>
          <w:i/>
          <w:iCs/>
          <w:sz w:val="26"/>
          <w:rtl/>
        </w:rPr>
        <w:t>جوكوفسكي ضد بيلاروس</w:t>
      </w:r>
      <w:r w:rsidRPr="00913480">
        <w:rPr>
          <w:sz w:val="26"/>
          <w:rtl/>
        </w:rPr>
        <w:t xml:space="preserve"> </w:t>
      </w:r>
      <w:r w:rsidRPr="00913480">
        <w:rPr>
          <w:rFonts w:ascii="Traditional Arabic"/>
          <w:sz w:val="26"/>
          <w:rtl/>
        </w:rPr>
        <w:t>(</w:t>
      </w:r>
      <w:r w:rsidRPr="009E03F5">
        <w:rPr>
          <w:rFonts w:cs="Times New Roman"/>
          <w:szCs w:val="18"/>
        </w:rPr>
        <w:t>CCPR/C/</w:t>
      </w:r>
      <w:r w:rsidRPr="00FA521F">
        <w:rPr>
          <w:rFonts w:cs="Times New Roman"/>
          <w:szCs w:val="18"/>
        </w:rPr>
        <w:t>127</w:t>
      </w:r>
      <w:r w:rsidRPr="009E03F5">
        <w:rPr>
          <w:rFonts w:cs="Times New Roman"/>
          <w:szCs w:val="18"/>
        </w:rPr>
        <w:t>/D/</w:t>
      </w:r>
      <w:r w:rsidRPr="00FA521F">
        <w:rPr>
          <w:rFonts w:cs="Times New Roman"/>
          <w:szCs w:val="18"/>
        </w:rPr>
        <w:t>2724</w:t>
      </w:r>
      <w:r w:rsidRPr="009E03F5">
        <w:rPr>
          <w:rFonts w:cs="Times New Roman"/>
          <w:szCs w:val="18"/>
        </w:rPr>
        <w:t>/</w:t>
      </w:r>
      <w:r w:rsidRPr="00FA521F">
        <w:rPr>
          <w:rFonts w:cs="Times New Roman"/>
          <w:szCs w:val="18"/>
        </w:rPr>
        <w:t>2016</w:t>
      </w:r>
      <w:r w:rsidRPr="00913480">
        <w:rPr>
          <w:rFonts w:ascii="Traditional Arabic"/>
          <w:sz w:val="26"/>
          <w:rtl/>
        </w:rPr>
        <w:t>)</w:t>
      </w:r>
      <w:r w:rsidRPr="00913480">
        <w:rPr>
          <w:sz w:val="26"/>
          <w:rtl/>
        </w:rPr>
        <w:t xml:space="preserve">، الفقرة </w:t>
      </w:r>
      <w:r w:rsidRPr="00FA521F">
        <w:rPr>
          <w:rFonts w:ascii="Traditional Arabic"/>
          <w:sz w:val="26"/>
          <w:szCs w:val="18"/>
          <w:rtl/>
        </w:rPr>
        <w:t>6</w:t>
      </w:r>
      <w:r w:rsidRPr="00913480">
        <w:rPr>
          <w:rFonts w:ascii="Traditional Arabic"/>
          <w:sz w:val="26"/>
          <w:rtl/>
        </w:rPr>
        <w:t>-</w:t>
      </w:r>
      <w:r w:rsidRPr="00FA521F">
        <w:rPr>
          <w:rFonts w:ascii="Traditional Arabic"/>
          <w:sz w:val="26"/>
          <w:szCs w:val="18"/>
          <w:rtl/>
        </w:rPr>
        <w:t>4</w:t>
      </w:r>
      <w:r w:rsidRPr="00913480">
        <w:rPr>
          <w:sz w:val="26"/>
          <w:rtl/>
        </w:rPr>
        <w:t>.</w:t>
      </w:r>
    </w:p>
  </w:footnote>
  <w:footnote w:id="5">
    <w:p w14:paraId="1B01D3F5" w14:textId="3ED1860D" w:rsidR="007A4639" w:rsidRPr="00817127" w:rsidRDefault="007A4639" w:rsidP="00FA521F">
      <w:pPr>
        <w:pStyle w:val="FootnoteText1"/>
        <w:rPr>
          <w:lang w:eastAsia="zh-TW" w:bidi="en-GB"/>
        </w:rPr>
      </w:pPr>
      <w:r w:rsidRPr="007A4639">
        <w:rPr>
          <w:rStyle w:val="FootnoteReference"/>
          <w:rFonts w:cs="Times New Roman"/>
          <w:b w:val="0"/>
          <w:sz w:val="20"/>
          <w:szCs w:val="20"/>
          <w:vertAlign w:val="baseline"/>
          <w:rtl/>
        </w:rPr>
        <w:t>(</w:t>
      </w:r>
      <w:r w:rsidRPr="007A4639">
        <w:rPr>
          <w:rStyle w:val="FootnoteReference"/>
          <w:rFonts w:cs="Times New Roman"/>
          <w:b w:val="0"/>
          <w:sz w:val="20"/>
          <w:szCs w:val="20"/>
          <w:vertAlign w:val="baseline"/>
          <w:rtl/>
        </w:rPr>
        <w:footnoteRef/>
      </w:r>
      <w:r w:rsidRPr="007A4639">
        <w:rPr>
          <w:rStyle w:val="FootnoteReference"/>
          <w:rFonts w:cs="Times New Roman"/>
          <w:b w:val="0"/>
          <w:sz w:val="20"/>
          <w:szCs w:val="20"/>
          <w:vertAlign w:val="baseline"/>
          <w:rtl/>
        </w:rPr>
        <w:t>)</w:t>
      </w:r>
      <w:r w:rsidRPr="00913480">
        <w:rPr>
          <w:sz w:val="26"/>
          <w:rtl/>
        </w:rPr>
        <w:tab/>
        <w:t>مثلا</w:t>
      </w:r>
      <w:r>
        <w:rPr>
          <w:rFonts w:hint="cs"/>
          <w:sz w:val="26"/>
          <w:rtl/>
        </w:rPr>
        <w:t>ً</w:t>
      </w:r>
      <w:r w:rsidRPr="00913480">
        <w:rPr>
          <w:sz w:val="26"/>
          <w:rtl/>
        </w:rPr>
        <w:t xml:space="preserve"> </w:t>
      </w:r>
      <w:r w:rsidRPr="00913480">
        <w:rPr>
          <w:i/>
          <w:iCs/>
          <w:sz w:val="26"/>
          <w:rtl/>
        </w:rPr>
        <w:t>ميسنيكوف ضد بيلاروس</w:t>
      </w:r>
      <w:r w:rsidRPr="00913480">
        <w:rPr>
          <w:sz w:val="26"/>
          <w:rtl/>
        </w:rPr>
        <w:t xml:space="preserve"> </w:t>
      </w:r>
      <w:r w:rsidRPr="00913480">
        <w:rPr>
          <w:rFonts w:cs="Times New Roman"/>
          <w:sz w:val="26"/>
          <w:rtl/>
        </w:rPr>
        <w:t>(</w:t>
      </w:r>
      <w:r w:rsidRPr="009E03F5">
        <w:rPr>
          <w:rFonts w:cs="Times New Roman"/>
          <w:szCs w:val="18"/>
        </w:rPr>
        <w:t>CCPR/C/</w:t>
      </w:r>
      <w:r w:rsidRPr="00FA521F">
        <w:rPr>
          <w:rFonts w:cs="Times New Roman"/>
          <w:szCs w:val="18"/>
        </w:rPr>
        <w:t>117</w:t>
      </w:r>
      <w:r w:rsidRPr="009E03F5">
        <w:rPr>
          <w:rFonts w:cs="Times New Roman"/>
          <w:szCs w:val="18"/>
        </w:rPr>
        <w:t>/D/</w:t>
      </w:r>
      <w:r w:rsidRPr="00FA521F">
        <w:rPr>
          <w:rFonts w:cs="Times New Roman"/>
          <w:szCs w:val="18"/>
        </w:rPr>
        <w:t>2093</w:t>
      </w:r>
      <w:r w:rsidRPr="009E03F5">
        <w:rPr>
          <w:rFonts w:cs="Times New Roman"/>
          <w:szCs w:val="18"/>
        </w:rPr>
        <w:t>/</w:t>
      </w:r>
      <w:r w:rsidRPr="00FA521F">
        <w:rPr>
          <w:rFonts w:cs="Times New Roman"/>
          <w:szCs w:val="18"/>
        </w:rPr>
        <w:t>201</w:t>
      </w:r>
      <w:r w:rsidRPr="00FA521F">
        <w:rPr>
          <w:rFonts w:ascii="Traditional Arabic"/>
          <w:szCs w:val="18"/>
        </w:rPr>
        <w:t>1</w:t>
      </w:r>
      <w:r w:rsidRPr="00913480">
        <w:rPr>
          <w:rFonts w:ascii="Traditional Arabic"/>
          <w:sz w:val="26"/>
          <w:rtl/>
        </w:rPr>
        <w:t>)</w:t>
      </w:r>
      <w:r w:rsidRPr="00913480">
        <w:rPr>
          <w:sz w:val="26"/>
          <w:rtl/>
        </w:rPr>
        <w:t>، الفقرة</w:t>
      </w:r>
      <w:r w:rsidRPr="00913480">
        <w:rPr>
          <w:rFonts w:ascii="Traditional Arabic"/>
          <w:sz w:val="26"/>
          <w:rtl/>
        </w:rPr>
        <w:t xml:space="preserve"> </w:t>
      </w:r>
      <w:r w:rsidRPr="00FA521F">
        <w:rPr>
          <w:rFonts w:ascii="Traditional Arabic"/>
          <w:sz w:val="26"/>
          <w:szCs w:val="18"/>
          <w:rtl/>
        </w:rPr>
        <w:t>9</w:t>
      </w:r>
      <w:r w:rsidRPr="00913480">
        <w:rPr>
          <w:rFonts w:ascii="Traditional Arabic"/>
          <w:sz w:val="26"/>
          <w:rtl/>
        </w:rPr>
        <w:t>-</w:t>
      </w:r>
      <w:r w:rsidRPr="00FA521F">
        <w:rPr>
          <w:rFonts w:ascii="Traditional Arabic"/>
          <w:sz w:val="26"/>
          <w:szCs w:val="18"/>
          <w:rtl/>
        </w:rPr>
        <w:t>2</w:t>
      </w:r>
      <w:r w:rsidRPr="00913480">
        <w:rPr>
          <w:rFonts w:ascii="Traditional Arabic"/>
          <w:sz w:val="26"/>
          <w:rtl/>
        </w:rPr>
        <w:t>.</w:t>
      </w:r>
      <w:r w:rsidRPr="00913480">
        <w:rPr>
          <w:sz w:val="26"/>
          <w:rtl/>
        </w:rPr>
        <w:t xml:space="preserve"> </w:t>
      </w:r>
    </w:p>
  </w:footnote>
  <w:footnote w:id="6">
    <w:p w14:paraId="62BFE6EB" w14:textId="5C7D825D" w:rsidR="007A4639" w:rsidRPr="00BF479C" w:rsidRDefault="007A4639" w:rsidP="00FA521F">
      <w:pPr>
        <w:pStyle w:val="FootnoteText1"/>
        <w:rPr>
          <w:lang w:eastAsia="zh-TW" w:bidi="en-GB"/>
        </w:rPr>
      </w:pPr>
      <w:r w:rsidRPr="007A4639">
        <w:rPr>
          <w:rStyle w:val="FootnoteReference"/>
          <w:rFonts w:cs="Times New Roman"/>
          <w:b w:val="0"/>
          <w:sz w:val="20"/>
          <w:szCs w:val="20"/>
          <w:vertAlign w:val="baseline"/>
          <w:rtl/>
        </w:rPr>
        <w:t>(</w:t>
      </w:r>
      <w:r w:rsidRPr="007A4639">
        <w:rPr>
          <w:rStyle w:val="FootnoteReference"/>
          <w:rFonts w:cs="Times New Roman"/>
          <w:b w:val="0"/>
          <w:sz w:val="20"/>
          <w:szCs w:val="20"/>
          <w:vertAlign w:val="baseline"/>
          <w:rtl/>
        </w:rPr>
        <w:footnoteRef/>
      </w:r>
      <w:r w:rsidRPr="007A4639">
        <w:rPr>
          <w:rStyle w:val="FootnoteReference"/>
          <w:rFonts w:cs="Times New Roman"/>
          <w:b w:val="0"/>
          <w:sz w:val="20"/>
          <w:szCs w:val="20"/>
          <w:vertAlign w:val="baseline"/>
          <w:rtl/>
        </w:rPr>
        <w:t>)</w:t>
      </w:r>
      <w:r w:rsidRPr="00913480">
        <w:rPr>
          <w:sz w:val="26"/>
          <w:rtl/>
        </w:rPr>
        <w:tab/>
        <w:t xml:space="preserve">مثلاً </w:t>
      </w:r>
      <w:r w:rsidRPr="00913480">
        <w:rPr>
          <w:i/>
          <w:iCs/>
          <w:sz w:val="26"/>
          <w:rtl/>
        </w:rPr>
        <w:t>بيفونوس ضد بيلاروس</w:t>
      </w:r>
      <w:r w:rsidRPr="00913480">
        <w:rPr>
          <w:sz w:val="26"/>
          <w:rtl/>
        </w:rPr>
        <w:t xml:space="preserve"> </w:t>
      </w:r>
      <w:r>
        <w:rPr>
          <w:rFonts w:hint="cs"/>
          <w:sz w:val="26"/>
          <w:rtl/>
        </w:rPr>
        <w:t>(</w:t>
      </w:r>
      <w:r w:rsidRPr="00BF479C">
        <w:rPr>
          <w:rFonts w:cs="Times New Roman"/>
          <w:szCs w:val="18"/>
        </w:rPr>
        <w:t>CCPR/C/</w:t>
      </w:r>
      <w:r w:rsidRPr="00FA521F">
        <w:rPr>
          <w:rFonts w:cs="Times New Roman"/>
          <w:szCs w:val="18"/>
        </w:rPr>
        <w:t>106</w:t>
      </w:r>
      <w:r w:rsidRPr="00BF479C">
        <w:rPr>
          <w:rFonts w:cs="Times New Roman"/>
          <w:szCs w:val="18"/>
        </w:rPr>
        <w:t>/D/</w:t>
      </w:r>
      <w:r w:rsidRPr="00FA521F">
        <w:rPr>
          <w:rFonts w:cs="Times New Roman"/>
          <w:szCs w:val="18"/>
        </w:rPr>
        <w:t>1830</w:t>
      </w:r>
      <w:r w:rsidRPr="00BF479C">
        <w:rPr>
          <w:rFonts w:cs="Times New Roman"/>
          <w:szCs w:val="18"/>
        </w:rPr>
        <w:t>/</w:t>
      </w:r>
      <w:r w:rsidRPr="00FA521F">
        <w:rPr>
          <w:rFonts w:cs="Times New Roman"/>
          <w:szCs w:val="18"/>
        </w:rPr>
        <w:t>200</w:t>
      </w:r>
      <w:r w:rsidRPr="00FA521F">
        <w:rPr>
          <w:rFonts w:ascii="Traditional Arabic"/>
          <w:szCs w:val="18"/>
        </w:rPr>
        <w:t>8</w:t>
      </w:r>
      <w:r w:rsidRPr="00913480">
        <w:rPr>
          <w:rFonts w:ascii="Traditional Arabic"/>
          <w:sz w:val="26"/>
          <w:rtl/>
        </w:rPr>
        <w:t>)</w:t>
      </w:r>
      <w:r w:rsidRPr="00913480">
        <w:rPr>
          <w:sz w:val="26"/>
          <w:rtl/>
        </w:rPr>
        <w:t>، الفقرة</w:t>
      </w:r>
      <w:r w:rsidRPr="00913480">
        <w:rPr>
          <w:rFonts w:ascii="Traditional Arabic"/>
          <w:sz w:val="26"/>
          <w:rtl/>
        </w:rPr>
        <w:t xml:space="preserve"> </w:t>
      </w:r>
      <w:r w:rsidRPr="00FA521F">
        <w:rPr>
          <w:rFonts w:ascii="Traditional Arabic"/>
          <w:sz w:val="26"/>
          <w:szCs w:val="18"/>
          <w:rtl/>
        </w:rPr>
        <w:t>9</w:t>
      </w:r>
      <w:r w:rsidRPr="00913480">
        <w:rPr>
          <w:rFonts w:ascii="Traditional Arabic"/>
          <w:sz w:val="26"/>
          <w:rtl/>
        </w:rPr>
        <w:t>-</w:t>
      </w:r>
      <w:r w:rsidRPr="00FA521F">
        <w:rPr>
          <w:sz w:val="26"/>
          <w:szCs w:val="18"/>
          <w:rtl/>
        </w:rPr>
        <w:t>3</w:t>
      </w:r>
      <w:r w:rsidRPr="00913480">
        <w:rPr>
          <w:sz w:val="26"/>
          <w:rtl/>
        </w:rPr>
        <w:t>؛ و</w:t>
      </w:r>
      <w:r w:rsidRPr="00913480">
        <w:rPr>
          <w:i/>
          <w:iCs/>
          <w:sz w:val="26"/>
          <w:rtl/>
        </w:rPr>
        <w:t>أولسكيفيتش ضد بيلاروس</w:t>
      </w:r>
      <w:r w:rsidRPr="00913480">
        <w:rPr>
          <w:sz w:val="26"/>
          <w:rtl/>
        </w:rPr>
        <w:t xml:space="preserve"> </w:t>
      </w:r>
      <w:r>
        <w:rPr>
          <w:rFonts w:hint="cs"/>
          <w:sz w:val="26"/>
          <w:rtl/>
        </w:rPr>
        <w:t>(</w:t>
      </w:r>
      <w:r w:rsidRPr="00BF479C">
        <w:rPr>
          <w:rFonts w:cs="Times New Roman"/>
          <w:szCs w:val="18"/>
        </w:rPr>
        <w:t>CCPR/C/</w:t>
      </w:r>
      <w:r w:rsidRPr="00FA521F">
        <w:rPr>
          <w:rFonts w:cs="Times New Roman"/>
          <w:szCs w:val="18"/>
        </w:rPr>
        <w:t>107</w:t>
      </w:r>
      <w:r w:rsidRPr="00BF479C">
        <w:rPr>
          <w:rFonts w:cs="Times New Roman"/>
          <w:szCs w:val="18"/>
        </w:rPr>
        <w:t>/D/</w:t>
      </w:r>
      <w:r w:rsidRPr="00FA521F">
        <w:rPr>
          <w:rFonts w:cs="Times New Roman"/>
          <w:szCs w:val="18"/>
        </w:rPr>
        <w:t>1785</w:t>
      </w:r>
      <w:r w:rsidRPr="00BF479C">
        <w:rPr>
          <w:rFonts w:cs="Times New Roman"/>
          <w:szCs w:val="18"/>
        </w:rPr>
        <w:t>/</w:t>
      </w:r>
      <w:r w:rsidRPr="00FA521F">
        <w:rPr>
          <w:rFonts w:cs="Times New Roman"/>
          <w:szCs w:val="18"/>
        </w:rPr>
        <w:t>200</w:t>
      </w:r>
      <w:r w:rsidRPr="00FA521F">
        <w:rPr>
          <w:rFonts w:ascii="Traditional Arabic"/>
          <w:szCs w:val="18"/>
        </w:rPr>
        <w:t>8</w:t>
      </w:r>
      <w:r w:rsidRPr="00913480">
        <w:rPr>
          <w:rFonts w:ascii="Traditional Arabic"/>
          <w:sz w:val="26"/>
          <w:rtl/>
        </w:rPr>
        <w:t>)</w:t>
      </w:r>
      <w:r w:rsidRPr="00913480">
        <w:rPr>
          <w:sz w:val="26"/>
          <w:rtl/>
        </w:rPr>
        <w:t>، الفقرة</w:t>
      </w:r>
      <w:r w:rsidRPr="00913480">
        <w:rPr>
          <w:rFonts w:ascii="Traditional Arabic"/>
          <w:sz w:val="26"/>
          <w:rtl/>
        </w:rPr>
        <w:t xml:space="preserve"> </w:t>
      </w:r>
      <w:r w:rsidRPr="00FA521F">
        <w:rPr>
          <w:rFonts w:ascii="Traditional Arabic"/>
          <w:sz w:val="26"/>
          <w:szCs w:val="18"/>
          <w:rtl/>
        </w:rPr>
        <w:t>8</w:t>
      </w:r>
      <w:r w:rsidRPr="00913480">
        <w:rPr>
          <w:rFonts w:ascii="Traditional Arabic"/>
          <w:sz w:val="26"/>
          <w:rtl/>
        </w:rPr>
        <w:t>-</w:t>
      </w:r>
      <w:r w:rsidRPr="00FA521F">
        <w:rPr>
          <w:sz w:val="26"/>
          <w:szCs w:val="18"/>
          <w:rtl/>
        </w:rPr>
        <w:t>5</w:t>
      </w:r>
      <w:r w:rsidRPr="00913480">
        <w:rPr>
          <w:sz w:val="26"/>
          <w:rtl/>
        </w:rPr>
        <w:t>؛ و</w:t>
      </w:r>
      <w:r w:rsidRPr="00913480">
        <w:rPr>
          <w:i/>
          <w:iCs/>
          <w:sz w:val="26"/>
          <w:rtl/>
        </w:rPr>
        <w:t>أندروسينكو ضد بيلاروس</w:t>
      </w:r>
      <w:r w:rsidRPr="00913480">
        <w:rPr>
          <w:sz w:val="26"/>
          <w:rtl/>
        </w:rPr>
        <w:t xml:space="preserve"> </w:t>
      </w:r>
      <w:r>
        <w:rPr>
          <w:rFonts w:hint="cs"/>
          <w:sz w:val="26"/>
          <w:rtl/>
        </w:rPr>
        <w:t>(</w:t>
      </w:r>
      <w:r w:rsidRPr="00BF479C">
        <w:rPr>
          <w:rFonts w:cs="Times New Roman"/>
          <w:szCs w:val="18"/>
        </w:rPr>
        <w:t>CCPR/C/</w:t>
      </w:r>
      <w:r w:rsidRPr="00FA521F">
        <w:rPr>
          <w:rFonts w:cs="Times New Roman"/>
          <w:szCs w:val="18"/>
        </w:rPr>
        <w:t>116</w:t>
      </w:r>
      <w:r w:rsidRPr="00BF479C">
        <w:rPr>
          <w:rFonts w:cs="Times New Roman"/>
          <w:szCs w:val="18"/>
        </w:rPr>
        <w:t>/D/</w:t>
      </w:r>
      <w:r w:rsidRPr="00FA521F">
        <w:rPr>
          <w:rFonts w:cs="Times New Roman"/>
          <w:szCs w:val="18"/>
        </w:rPr>
        <w:t>2092</w:t>
      </w:r>
      <w:r w:rsidRPr="00BF479C">
        <w:rPr>
          <w:rFonts w:cs="Times New Roman"/>
          <w:szCs w:val="18"/>
        </w:rPr>
        <w:t>/</w:t>
      </w:r>
      <w:r w:rsidRPr="00FA521F">
        <w:rPr>
          <w:rFonts w:cs="Times New Roman"/>
          <w:szCs w:val="18"/>
        </w:rPr>
        <w:t>201</w:t>
      </w:r>
      <w:r w:rsidRPr="00FA521F">
        <w:rPr>
          <w:rFonts w:ascii="Traditional Arabic"/>
          <w:szCs w:val="18"/>
        </w:rPr>
        <w:t>1</w:t>
      </w:r>
      <w:r w:rsidRPr="00913480">
        <w:rPr>
          <w:rFonts w:ascii="Traditional Arabic"/>
          <w:sz w:val="26"/>
          <w:rtl/>
        </w:rPr>
        <w:t>)</w:t>
      </w:r>
      <w:r w:rsidRPr="00913480">
        <w:rPr>
          <w:sz w:val="26"/>
          <w:rtl/>
        </w:rPr>
        <w:t>، الفقرة</w:t>
      </w:r>
      <w:r w:rsidRPr="00913480">
        <w:rPr>
          <w:rFonts w:ascii="Traditional Arabic"/>
          <w:sz w:val="26"/>
          <w:rtl/>
        </w:rPr>
        <w:t xml:space="preserve"> </w:t>
      </w:r>
      <w:r w:rsidRPr="00FA521F">
        <w:rPr>
          <w:rFonts w:ascii="Traditional Arabic"/>
          <w:sz w:val="26"/>
          <w:szCs w:val="18"/>
          <w:rtl/>
        </w:rPr>
        <w:t>7</w:t>
      </w:r>
      <w:r w:rsidRPr="00913480">
        <w:rPr>
          <w:rFonts w:ascii="Traditional Arabic"/>
          <w:sz w:val="26"/>
          <w:rtl/>
        </w:rPr>
        <w:t>-</w:t>
      </w:r>
      <w:r w:rsidRPr="00FA521F">
        <w:rPr>
          <w:rFonts w:ascii="Traditional Arabic"/>
          <w:sz w:val="26"/>
          <w:szCs w:val="18"/>
          <w:rtl/>
        </w:rPr>
        <w:t>3</w:t>
      </w:r>
      <w:r w:rsidRPr="00913480">
        <w:rPr>
          <w:rFonts w:ascii="Traditional Arabic"/>
          <w:sz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5553" w14:textId="77777777" w:rsidR="00CF3695" w:rsidRPr="00A65181" w:rsidRDefault="00A65181" w:rsidP="00A65181">
    <w:pPr>
      <w:pStyle w:val="Header"/>
      <w:jc w:val="right"/>
    </w:pPr>
    <w:r w:rsidRPr="00A65181">
      <w:t>CCPR/C/129/D/2482/2014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8C9D" w14:textId="77777777" w:rsidR="00CF3695" w:rsidRPr="00A65181" w:rsidRDefault="00A65181" w:rsidP="00A65181">
    <w:pPr>
      <w:pStyle w:val="Header"/>
      <w:jc w:val="left"/>
    </w:pPr>
    <w:r w:rsidRPr="00A65181">
      <w:t>CCPR/C/129/D/2482/2014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680"/>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BA7840"/>
    <w:rsid w:val="000076D5"/>
    <w:rsid w:val="00043663"/>
    <w:rsid w:val="000437B8"/>
    <w:rsid w:val="000505CF"/>
    <w:rsid w:val="000D701C"/>
    <w:rsid w:val="000E2A71"/>
    <w:rsid w:val="0013578E"/>
    <w:rsid w:val="00160263"/>
    <w:rsid w:val="00181F96"/>
    <w:rsid w:val="001A1371"/>
    <w:rsid w:val="001B346A"/>
    <w:rsid w:val="001E1CAD"/>
    <w:rsid w:val="001E290D"/>
    <w:rsid w:val="002044F1"/>
    <w:rsid w:val="002144FA"/>
    <w:rsid w:val="0023469A"/>
    <w:rsid w:val="00243C8A"/>
    <w:rsid w:val="00267A0E"/>
    <w:rsid w:val="002901D9"/>
    <w:rsid w:val="002976C2"/>
    <w:rsid w:val="002F4BC3"/>
    <w:rsid w:val="003260FF"/>
    <w:rsid w:val="00343D95"/>
    <w:rsid w:val="00363A18"/>
    <w:rsid w:val="00374341"/>
    <w:rsid w:val="003D1062"/>
    <w:rsid w:val="00420D7B"/>
    <w:rsid w:val="00450B21"/>
    <w:rsid w:val="00453B63"/>
    <w:rsid w:val="00455780"/>
    <w:rsid w:val="004B0A1C"/>
    <w:rsid w:val="004D298E"/>
    <w:rsid w:val="00517BC9"/>
    <w:rsid w:val="0054472E"/>
    <w:rsid w:val="005662A9"/>
    <w:rsid w:val="005827D4"/>
    <w:rsid w:val="0059622A"/>
    <w:rsid w:val="005B51C4"/>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7A4639"/>
    <w:rsid w:val="00850D2B"/>
    <w:rsid w:val="00852A9A"/>
    <w:rsid w:val="008A7B48"/>
    <w:rsid w:val="008F49E1"/>
    <w:rsid w:val="0090370F"/>
    <w:rsid w:val="009269D2"/>
    <w:rsid w:val="00942135"/>
    <w:rsid w:val="009521B0"/>
    <w:rsid w:val="00982139"/>
    <w:rsid w:val="009867A8"/>
    <w:rsid w:val="009A7E9F"/>
    <w:rsid w:val="009E5018"/>
    <w:rsid w:val="00A03700"/>
    <w:rsid w:val="00A12B37"/>
    <w:rsid w:val="00A65181"/>
    <w:rsid w:val="00AB6758"/>
    <w:rsid w:val="00B13763"/>
    <w:rsid w:val="00B477A4"/>
    <w:rsid w:val="00B54045"/>
    <w:rsid w:val="00BA7840"/>
    <w:rsid w:val="00C438D7"/>
    <w:rsid w:val="00C81B50"/>
    <w:rsid w:val="00CB6622"/>
    <w:rsid w:val="00CD1801"/>
    <w:rsid w:val="00CF3695"/>
    <w:rsid w:val="00CF65C6"/>
    <w:rsid w:val="00D10EF1"/>
    <w:rsid w:val="00D31CAB"/>
    <w:rsid w:val="00D42810"/>
    <w:rsid w:val="00D7501B"/>
    <w:rsid w:val="00D914A7"/>
    <w:rsid w:val="00DD13C3"/>
    <w:rsid w:val="00DD596E"/>
    <w:rsid w:val="00DD621E"/>
    <w:rsid w:val="00DE50B1"/>
    <w:rsid w:val="00DF0575"/>
    <w:rsid w:val="00E70E04"/>
    <w:rsid w:val="00EC05A7"/>
    <w:rsid w:val="00EC4B6B"/>
    <w:rsid w:val="00ED7442"/>
    <w:rsid w:val="00EF1EE5"/>
    <w:rsid w:val="00EF5C43"/>
    <w:rsid w:val="00F17B52"/>
    <w:rsid w:val="00F763B4"/>
    <w:rsid w:val="00F900C3"/>
    <w:rsid w:val="00FA521F"/>
    <w:rsid w:val="00FB2814"/>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861644B"/>
  <w15:docId w15:val="{4A972F56-43A3-4BB8-99C8-F4C9002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ChG">
    <w:name w:val="_ H _Ch_G"/>
    <w:basedOn w:val="Normal"/>
    <w:next w:val="Normal"/>
    <w:rsid w:val="002F4BC3"/>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eastAsia="zh-CN"/>
    </w:rPr>
  </w:style>
  <w:style w:type="paragraph" w:customStyle="1" w:styleId="H23G">
    <w:name w:val="_ H_2/3_G"/>
    <w:basedOn w:val="Normal"/>
    <w:next w:val="Normal"/>
    <w:rsid w:val="002F4BC3"/>
    <w:pPr>
      <w:keepNext/>
      <w:keepLines/>
      <w:tabs>
        <w:tab w:val="right" w:pos="851"/>
      </w:tabs>
      <w:suppressAutoHyphens/>
      <w:bidi w:val="0"/>
      <w:spacing w:before="240" w:after="120" w:line="240" w:lineRule="exact"/>
      <w:ind w:left="1134" w:right="1134" w:hanging="1134"/>
      <w:jc w:val="left"/>
    </w:pPr>
    <w:rPr>
      <w:rFonts w:eastAsia="SimSun" w:hAnsi="Calibri" w:hint="cs"/>
      <w:b/>
      <w:lang w:val="en-GB" w:eastAsia="zh-CN"/>
    </w:rPr>
  </w:style>
  <w:style w:type="paragraph" w:customStyle="1" w:styleId="H4G">
    <w:name w:val="_ H_4_G"/>
    <w:basedOn w:val="Normal"/>
    <w:next w:val="Normal"/>
    <w:rsid w:val="002F4BC3"/>
    <w:pPr>
      <w:keepNext/>
      <w:keepLines/>
      <w:tabs>
        <w:tab w:val="right" w:pos="851"/>
      </w:tabs>
      <w:suppressAutoHyphens/>
      <w:bidi w:val="0"/>
      <w:spacing w:before="240" w:after="120" w:line="240" w:lineRule="exact"/>
      <w:ind w:left="1134" w:right="1134" w:hanging="1134"/>
      <w:jc w:val="left"/>
    </w:pPr>
    <w:rPr>
      <w:rFonts w:eastAsia="SimSun" w:hAnsi="Calibri" w:hint="cs"/>
      <w:i/>
      <w:lang w:val="en-GB" w:eastAsia="zh-CN"/>
    </w:rPr>
  </w:style>
  <w:style w:type="paragraph" w:customStyle="1" w:styleId="SingleTxtG">
    <w:name w:val="_ Single Txt_G"/>
    <w:basedOn w:val="Normal"/>
    <w:rsid w:val="002F4BC3"/>
    <w:pPr>
      <w:suppressAutoHyphens/>
      <w:bidi w:val="0"/>
      <w:spacing w:after="120"/>
      <w:ind w:left="1134" w:right="1134"/>
      <w:jc w:val="both"/>
    </w:pPr>
    <w:rPr>
      <w:rFonts w:eastAsia="SimSun" w:hAnsi="Calibr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10C39-87BC-4CF3-ACAD-C5DBAD76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CCPR/C/129/D/2482/2014</dc:title>
  <dc:subject>GE.2012773A</dc:subject>
  <dc:creator>IHRZ</dc:creator>
  <cp:keywords>ODS No.2024934</cp:keywords>
  <dc:description>Distribution:_x000d_
Original: English_x000d_
Date:</dc:description>
  <cp:lastModifiedBy>Ihab RIZ</cp:lastModifiedBy>
  <cp:revision>2</cp:revision>
  <dcterms:created xsi:type="dcterms:W3CDTF">2020-10-21T13:12:00Z</dcterms:created>
  <dcterms:modified xsi:type="dcterms:W3CDTF">2020-10-21T13:12:00Z</dcterms:modified>
  <cp:category>Finale</cp:category>
</cp:coreProperties>
</file>