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36EF9966" w14:textId="77777777" w:rsidTr="005B51C4">
        <w:trPr>
          <w:trHeight w:hRule="exact" w:val="851"/>
        </w:trPr>
        <w:tc>
          <w:tcPr>
            <w:tcW w:w="1274" w:type="dxa"/>
            <w:tcBorders>
              <w:bottom w:val="single" w:sz="4" w:space="0" w:color="auto"/>
            </w:tcBorders>
            <w:shd w:val="clear" w:color="auto" w:fill="auto"/>
          </w:tcPr>
          <w:p w14:paraId="020F6C7B" w14:textId="77777777" w:rsidR="006B3E27" w:rsidRPr="00F21F08"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24C15DF0"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293D7CF5" w14:textId="77777777" w:rsidR="006B3E27" w:rsidRPr="005B51C4" w:rsidRDefault="00F21F08" w:rsidP="000D498E">
            <w:pPr>
              <w:bidi w:val="0"/>
              <w:spacing w:after="20"/>
              <w:jc w:val="left"/>
              <w:rPr>
                <w:szCs w:val="20"/>
              </w:rPr>
            </w:pPr>
            <w:r w:rsidRPr="00F21F08">
              <w:rPr>
                <w:sz w:val="40"/>
                <w:szCs w:val="20"/>
              </w:rPr>
              <w:t>CCPR</w:t>
            </w:r>
            <w:r>
              <w:rPr>
                <w:szCs w:val="20"/>
              </w:rPr>
              <w:t>/C/</w:t>
            </w:r>
            <w:r w:rsidRPr="00160F80">
              <w:rPr>
                <w:szCs w:val="20"/>
              </w:rPr>
              <w:t>128</w:t>
            </w:r>
            <w:r>
              <w:rPr>
                <w:szCs w:val="20"/>
              </w:rPr>
              <w:t>/D/</w:t>
            </w:r>
            <w:r w:rsidRPr="00160F80">
              <w:rPr>
                <w:szCs w:val="20"/>
              </w:rPr>
              <w:t>2893</w:t>
            </w:r>
            <w:r>
              <w:rPr>
                <w:szCs w:val="20"/>
              </w:rPr>
              <w:t>/</w:t>
            </w:r>
            <w:r w:rsidRPr="00160F80">
              <w:rPr>
                <w:szCs w:val="20"/>
              </w:rPr>
              <w:t>2016</w:t>
            </w:r>
          </w:p>
        </w:tc>
      </w:tr>
      <w:tr w:rsidR="006B3E27" w:rsidRPr="00ED7442" w14:paraId="542DA0A9" w14:textId="77777777" w:rsidTr="005B51C4">
        <w:trPr>
          <w:trHeight w:hRule="exact" w:val="2835"/>
        </w:trPr>
        <w:tc>
          <w:tcPr>
            <w:tcW w:w="1274" w:type="dxa"/>
            <w:tcBorders>
              <w:top w:val="single" w:sz="4" w:space="0" w:color="auto"/>
              <w:bottom w:val="single" w:sz="12" w:space="0" w:color="auto"/>
            </w:tcBorders>
            <w:shd w:val="clear" w:color="auto" w:fill="auto"/>
          </w:tcPr>
          <w:p w14:paraId="20DCA218" w14:textId="41F84259" w:rsidR="006B3E27" w:rsidRPr="005B51C4" w:rsidRDefault="008E6F13" w:rsidP="005B51C4">
            <w:pPr>
              <w:jc w:val="center"/>
              <w:rPr>
                <w:sz w:val="56"/>
                <w:szCs w:val="56"/>
                <w:rtl/>
              </w:rPr>
            </w:pPr>
            <w:r>
              <w:rPr>
                <w:noProof/>
                <w:sz w:val="56"/>
                <w:szCs w:val="56"/>
              </w:rPr>
              <w:drawing>
                <wp:inline distT="0" distB="0" distL="0" distR="0" wp14:anchorId="4C076C46" wp14:editId="71E6E551">
                  <wp:extent cx="626745"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B43237F"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9B5A27D" w14:textId="77777777" w:rsidR="006B3E27" w:rsidRDefault="000D498E" w:rsidP="000D498E">
            <w:pPr>
              <w:bidi w:val="0"/>
              <w:spacing w:before="240"/>
              <w:jc w:val="left"/>
              <w:rPr>
                <w:szCs w:val="20"/>
              </w:rPr>
            </w:pPr>
            <w:r>
              <w:rPr>
                <w:szCs w:val="20"/>
              </w:rPr>
              <w:t>Distr.: General</w:t>
            </w:r>
          </w:p>
          <w:p w14:paraId="78279011" w14:textId="210C57AF" w:rsidR="000D498E" w:rsidRDefault="00703B04" w:rsidP="000D498E">
            <w:pPr>
              <w:bidi w:val="0"/>
              <w:jc w:val="left"/>
              <w:rPr>
                <w:szCs w:val="20"/>
              </w:rPr>
            </w:pPr>
            <w:r w:rsidRPr="00160F80">
              <w:rPr>
                <w:szCs w:val="20"/>
              </w:rPr>
              <w:t>3</w:t>
            </w:r>
            <w:r>
              <w:rPr>
                <w:szCs w:val="20"/>
              </w:rPr>
              <w:t xml:space="preserve"> November </w:t>
            </w:r>
            <w:r w:rsidRPr="00160F80">
              <w:rPr>
                <w:szCs w:val="20"/>
              </w:rPr>
              <w:t>2020</w:t>
            </w:r>
          </w:p>
          <w:p w14:paraId="20CEC348" w14:textId="77777777" w:rsidR="000D498E" w:rsidRDefault="000D498E" w:rsidP="000D498E">
            <w:pPr>
              <w:bidi w:val="0"/>
              <w:jc w:val="left"/>
              <w:rPr>
                <w:szCs w:val="20"/>
              </w:rPr>
            </w:pPr>
            <w:r>
              <w:rPr>
                <w:szCs w:val="20"/>
              </w:rPr>
              <w:t>Arabic</w:t>
            </w:r>
          </w:p>
          <w:p w14:paraId="3726523C" w14:textId="497F6EB9" w:rsidR="000D498E" w:rsidRPr="005B51C4" w:rsidRDefault="000D498E" w:rsidP="000D498E">
            <w:pPr>
              <w:bidi w:val="0"/>
              <w:jc w:val="left"/>
              <w:rPr>
                <w:szCs w:val="20"/>
              </w:rPr>
            </w:pPr>
            <w:r>
              <w:rPr>
                <w:szCs w:val="20"/>
              </w:rPr>
              <w:t xml:space="preserve">Original: </w:t>
            </w:r>
            <w:r w:rsidR="00703B04">
              <w:rPr>
                <w:szCs w:val="20"/>
              </w:rPr>
              <w:t>French</w:t>
            </w:r>
          </w:p>
        </w:tc>
      </w:tr>
    </w:tbl>
    <w:p w14:paraId="311BD6F5" w14:textId="77777777" w:rsidR="00B11A03" w:rsidRPr="008C2FCF" w:rsidRDefault="00B11A03" w:rsidP="00160F80">
      <w:pPr>
        <w:spacing w:before="60" w:line="360" w:lineRule="exact"/>
        <w:textDirection w:val="tbRlV"/>
        <w:rPr>
          <w:b/>
          <w:sz w:val="34"/>
          <w:szCs w:val="34"/>
          <w:lang w:val="ar-SA" w:eastAsia="zh-TW" w:bidi="en-GB"/>
        </w:rPr>
      </w:pPr>
      <w:r w:rsidRPr="008C2FCF">
        <w:rPr>
          <w:b/>
          <w:bCs/>
          <w:sz w:val="34"/>
          <w:szCs w:val="34"/>
          <w:rtl/>
        </w:rPr>
        <w:t>اللجنة المعنية بحقوق الإنسان</w:t>
      </w:r>
    </w:p>
    <w:p w14:paraId="14124ACD" w14:textId="1FCF6057" w:rsidR="00B11A03" w:rsidRPr="00992398" w:rsidRDefault="00B11A03" w:rsidP="00B11A03">
      <w:pPr>
        <w:pStyle w:val="HChGA"/>
        <w:rPr>
          <w:sz w:val="20"/>
          <w:szCs w:val="20"/>
          <w:lang w:eastAsia="zh-TW" w:bidi="en-GB"/>
        </w:rPr>
      </w:pPr>
      <w:r>
        <w:rPr>
          <w:rtl/>
        </w:rPr>
        <w:tab/>
      </w:r>
      <w:r>
        <w:rPr>
          <w:rtl/>
        </w:rPr>
        <w:tab/>
        <w:t xml:space="preserve">آراء اعتمدتها اللجنة بموجب المادة </w:t>
      </w:r>
      <w:r w:rsidRPr="00160F80">
        <w:rPr>
          <w:szCs w:val="28"/>
          <w:rtl/>
        </w:rPr>
        <w:t>5</w:t>
      </w:r>
      <w:r w:rsidRPr="003A4F27">
        <w:rPr>
          <w:rtl/>
        </w:rPr>
        <w:t>(</w:t>
      </w:r>
      <w:r w:rsidRPr="00160F80">
        <w:rPr>
          <w:szCs w:val="28"/>
          <w:rtl/>
        </w:rPr>
        <w:t>4</w:t>
      </w:r>
      <w:r w:rsidRPr="003A4F27">
        <w:rPr>
          <w:rtl/>
        </w:rPr>
        <w:t>)</w:t>
      </w:r>
      <w:r>
        <w:rPr>
          <w:rtl/>
        </w:rPr>
        <w:t xml:space="preserve"> من البروتوكول الاختياري، بشأن البلاغ رقم </w:t>
      </w:r>
      <w:r w:rsidRPr="00160F80">
        <w:rPr>
          <w:szCs w:val="28"/>
          <w:rtl/>
        </w:rPr>
        <w:t>2893</w:t>
      </w:r>
      <w:r>
        <w:rPr>
          <w:rFonts w:ascii="Traditional Arabic"/>
          <w:szCs w:val="20"/>
        </w:rPr>
        <w:t>/</w:t>
      </w:r>
      <w:r w:rsidRPr="00160F80">
        <w:rPr>
          <w:szCs w:val="28"/>
          <w:rtl/>
        </w:rPr>
        <w:t>2016</w:t>
      </w:r>
      <w:r w:rsidRPr="00B16565">
        <w:rPr>
          <w:rStyle w:val="FootnoteReference"/>
          <w:rFonts w:ascii="Traditional Arabic"/>
          <w:b/>
          <w:sz w:val="26"/>
          <w:szCs w:val="26"/>
          <w:vertAlign w:val="baseline"/>
          <w:rtl/>
        </w:rPr>
        <w:footnoteReference w:customMarkFollows="1" w:id="1"/>
        <w:t>*</w:t>
      </w:r>
      <w:r w:rsidR="00B16565" w:rsidRPr="00B16565">
        <w:rPr>
          <w:rStyle w:val="FootnoteReference"/>
          <w:rFonts w:ascii="Traditional Arabic" w:hint="cs"/>
          <w:b/>
          <w:sz w:val="26"/>
          <w:szCs w:val="26"/>
          <w:vertAlign w:val="baseline"/>
          <w:rtl/>
        </w:rPr>
        <w:t xml:space="preserve"> </w:t>
      </w:r>
      <w:r w:rsidRPr="00B16565">
        <w:rPr>
          <w:rStyle w:val="FootnoteReference"/>
          <w:rFonts w:ascii="Traditional Arabic"/>
          <w:b/>
          <w:sz w:val="26"/>
          <w:szCs w:val="26"/>
          <w:vertAlign w:val="baseline"/>
          <w:rtl/>
        </w:rPr>
        <w:footnoteReference w:customMarkFollows="1" w:id="2"/>
        <w:t>**</w:t>
      </w:r>
      <w:r>
        <w:rPr>
          <w:rtl/>
        </w:rPr>
        <w:t xml:space="preserve"> </w:t>
      </w:r>
    </w:p>
    <w:tbl>
      <w:tblPr>
        <w:bidiVisual/>
        <w:tblW w:w="6605" w:type="dxa"/>
        <w:tblInd w:w="1993" w:type="dxa"/>
        <w:tblLayout w:type="fixed"/>
        <w:tblLook w:val="01E0" w:firstRow="1" w:lastRow="1" w:firstColumn="1" w:lastColumn="1" w:noHBand="0" w:noVBand="0"/>
      </w:tblPr>
      <w:tblGrid>
        <w:gridCol w:w="2543"/>
        <w:gridCol w:w="4062"/>
      </w:tblGrid>
      <w:tr w:rsidR="00B11A03" w:rsidRPr="00FA698A" w14:paraId="72109ADE" w14:textId="77777777" w:rsidTr="000C2EE2">
        <w:tc>
          <w:tcPr>
            <w:tcW w:w="2543" w:type="dxa"/>
          </w:tcPr>
          <w:p w14:paraId="1CCC4D20" w14:textId="77777777" w:rsidR="00B11A03" w:rsidRPr="000C2EE2" w:rsidRDefault="00B11A03" w:rsidP="00160F80">
            <w:pPr>
              <w:pStyle w:val="SingleTxtG"/>
              <w:bidi/>
              <w:spacing w:after="100" w:line="340" w:lineRule="exact"/>
              <w:ind w:left="0" w:right="0"/>
              <w:jc w:val="left"/>
              <w:textDirection w:val="tbRlV"/>
              <w:rPr>
                <w:rFonts w:hAnsi="Times New Roman"/>
                <w:i/>
                <w:iCs/>
                <w:szCs w:val="28"/>
                <w:lang w:val="ar-SA" w:eastAsia="zh-TW" w:bidi="en-GB"/>
              </w:rPr>
            </w:pPr>
            <w:r w:rsidRPr="000C2EE2">
              <w:rPr>
                <w:rFonts w:hAnsi="Times New Roman"/>
                <w:i/>
                <w:iCs/>
                <w:szCs w:val="28"/>
                <w:rtl/>
              </w:rPr>
              <w:t>المقدم من:</w:t>
            </w:r>
          </w:p>
        </w:tc>
        <w:tc>
          <w:tcPr>
            <w:tcW w:w="4062" w:type="dxa"/>
          </w:tcPr>
          <w:p w14:paraId="64B7965F"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0C2EE2">
              <w:rPr>
                <w:szCs w:val="28"/>
                <w:rtl/>
              </w:rPr>
              <w:t xml:space="preserve">مليكة بن جاعل ومروان ين جاعل (تمثلهما المحامية نصيرة </w:t>
            </w:r>
            <w:proofErr w:type="spellStart"/>
            <w:r w:rsidRPr="000C2EE2">
              <w:rPr>
                <w:szCs w:val="28"/>
                <w:rtl/>
              </w:rPr>
              <w:t>ديتور</w:t>
            </w:r>
            <w:proofErr w:type="spellEnd"/>
            <w:r w:rsidRPr="000C2EE2">
              <w:rPr>
                <w:szCs w:val="28"/>
                <w:rtl/>
              </w:rPr>
              <w:t>، من تجمّع عائلات المفقودين في الجزائر)</w:t>
            </w:r>
          </w:p>
        </w:tc>
      </w:tr>
      <w:tr w:rsidR="00B11A03" w:rsidRPr="00FA698A" w14:paraId="218692E0" w14:textId="77777777" w:rsidTr="000C2EE2">
        <w:tc>
          <w:tcPr>
            <w:tcW w:w="2543" w:type="dxa"/>
          </w:tcPr>
          <w:p w14:paraId="0212271F" w14:textId="77777777" w:rsidR="00B11A03" w:rsidRPr="000C2EE2" w:rsidRDefault="00B11A03" w:rsidP="00160F80">
            <w:pPr>
              <w:pStyle w:val="SingleTxtG"/>
              <w:bidi/>
              <w:spacing w:after="100" w:line="340" w:lineRule="exact"/>
              <w:ind w:left="0" w:right="0"/>
              <w:jc w:val="left"/>
              <w:textDirection w:val="tbRlV"/>
              <w:rPr>
                <w:rFonts w:hAnsi="Times New Roman"/>
                <w:i/>
                <w:iCs/>
                <w:szCs w:val="28"/>
                <w:lang w:val="ar-SA" w:eastAsia="zh-TW" w:bidi="en-GB"/>
              </w:rPr>
            </w:pPr>
            <w:r w:rsidRPr="000C2EE2">
              <w:rPr>
                <w:rFonts w:hAnsi="Times New Roman"/>
                <w:i/>
                <w:iCs/>
                <w:szCs w:val="28"/>
                <w:rtl/>
              </w:rPr>
              <w:t>الأشخاص المدعى أنهم ضحايا:</w:t>
            </w:r>
          </w:p>
        </w:tc>
        <w:tc>
          <w:tcPr>
            <w:tcW w:w="4062" w:type="dxa"/>
          </w:tcPr>
          <w:p w14:paraId="0D73761B"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0C2EE2">
              <w:rPr>
                <w:szCs w:val="28"/>
                <w:rtl/>
              </w:rPr>
              <w:t>صاحبا البلاغ ومراد بن جاعل (ابن مليكة بن جاعل، وشقيق مروان بن جاعل)</w:t>
            </w:r>
          </w:p>
        </w:tc>
      </w:tr>
      <w:tr w:rsidR="00B11A03" w:rsidRPr="00FA698A" w14:paraId="2BDBC647" w14:textId="77777777" w:rsidTr="000C2EE2">
        <w:tc>
          <w:tcPr>
            <w:tcW w:w="2543" w:type="dxa"/>
          </w:tcPr>
          <w:p w14:paraId="42BD542C" w14:textId="77777777" w:rsidR="00B11A03" w:rsidRPr="000C2EE2" w:rsidRDefault="00B11A03" w:rsidP="00160F80">
            <w:pPr>
              <w:pStyle w:val="SingleTxtG"/>
              <w:bidi/>
              <w:spacing w:after="100" w:line="340" w:lineRule="exact"/>
              <w:ind w:left="0" w:right="0"/>
              <w:jc w:val="left"/>
              <w:textDirection w:val="tbRlV"/>
              <w:rPr>
                <w:rFonts w:hAnsi="Times New Roman"/>
                <w:i/>
                <w:iCs/>
                <w:szCs w:val="28"/>
                <w:lang w:val="ar-SA" w:eastAsia="zh-TW" w:bidi="en-GB"/>
              </w:rPr>
            </w:pPr>
            <w:r w:rsidRPr="000C2EE2">
              <w:rPr>
                <w:rFonts w:hAnsi="Times New Roman"/>
                <w:i/>
                <w:iCs/>
                <w:szCs w:val="28"/>
                <w:rtl/>
              </w:rPr>
              <w:t>الدولة الطرف:</w:t>
            </w:r>
          </w:p>
        </w:tc>
        <w:tc>
          <w:tcPr>
            <w:tcW w:w="4062" w:type="dxa"/>
          </w:tcPr>
          <w:p w14:paraId="7452E9AF" w14:textId="77777777" w:rsidR="00B11A03" w:rsidRPr="00160F80" w:rsidRDefault="00B11A03" w:rsidP="00160F80">
            <w:pPr>
              <w:spacing w:after="100" w:line="340" w:lineRule="exact"/>
              <w:textDirection w:val="tbRlV"/>
              <w:textAlignment w:val="baseline"/>
              <w:rPr>
                <w:kern w:val="3"/>
                <w:szCs w:val="28"/>
                <w:lang w:eastAsia="zh-TW" w:bidi="en-GB"/>
              </w:rPr>
            </w:pPr>
            <w:r w:rsidRPr="000C2EE2">
              <w:rPr>
                <w:szCs w:val="28"/>
                <w:rtl/>
              </w:rPr>
              <w:t>الجزائر</w:t>
            </w:r>
          </w:p>
        </w:tc>
      </w:tr>
      <w:tr w:rsidR="00B11A03" w:rsidRPr="00FA698A" w14:paraId="330E9B2F" w14:textId="77777777" w:rsidTr="000C2EE2">
        <w:tc>
          <w:tcPr>
            <w:tcW w:w="2543" w:type="dxa"/>
          </w:tcPr>
          <w:p w14:paraId="29525442" w14:textId="77777777" w:rsidR="00B11A03" w:rsidRPr="000C2EE2" w:rsidRDefault="00B11A03" w:rsidP="00160F80">
            <w:pPr>
              <w:pStyle w:val="SingleTxtG"/>
              <w:bidi/>
              <w:spacing w:after="100" w:line="340" w:lineRule="exact"/>
              <w:ind w:left="0" w:right="0"/>
              <w:jc w:val="left"/>
              <w:textDirection w:val="tbRlV"/>
              <w:rPr>
                <w:rFonts w:hAnsi="Times New Roman"/>
                <w:i/>
                <w:iCs/>
                <w:szCs w:val="28"/>
                <w:lang w:val="ar-SA" w:eastAsia="zh-TW" w:bidi="en-GB"/>
              </w:rPr>
            </w:pPr>
            <w:r w:rsidRPr="000C2EE2">
              <w:rPr>
                <w:rFonts w:hAnsi="Times New Roman"/>
                <w:i/>
                <w:iCs/>
                <w:szCs w:val="28"/>
                <w:rtl/>
              </w:rPr>
              <w:t>تاريخ تقديم البلاغ:</w:t>
            </w:r>
          </w:p>
        </w:tc>
        <w:tc>
          <w:tcPr>
            <w:tcW w:w="4062" w:type="dxa"/>
          </w:tcPr>
          <w:p w14:paraId="56771FDF"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160F80">
              <w:rPr>
                <w:szCs w:val="20"/>
                <w:rtl/>
              </w:rPr>
              <w:t>8</w:t>
            </w:r>
            <w:r w:rsidRPr="000C2EE2">
              <w:rPr>
                <w:szCs w:val="28"/>
                <w:rtl/>
              </w:rPr>
              <w:t xml:space="preserve"> نيسان/أبريل </w:t>
            </w:r>
            <w:r w:rsidRPr="00160F80">
              <w:rPr>
                <w:szCs w:val="20"/>
                <w:rtl/>
              </w:rPr>
              <w:t>2016</w:t>
            </w:r>
            <w:r w:rsidRPr="000C2EE2">
              <w:rPr>
                <w:szCs w:val="28"/>
                <w:rtl/>
              </w:rPr>
              <w:t xml:space="preserve"> (تاريخ تقديم الرسالة الأولى)</w:t>
            </w:r>
          </w:p>
        </w:tc>
      </w:tr>
      <w:tr w:rsidR="00B11A03" w:rsidRPr="00FA698A" w14:paraId="332F072C" w14:textId="77777777" w:rsidTr="000C2EE2">
        <w:tc>
          <w:tcPr>
            <w:tcW w:w="2543" w:type="dxa"/>
          </w:tcPr>
          <w:p w14:paraId="52642680" w14:textId="77777777" w:rsidR="00B11A03" w:rsidRPr="000C2EE2" w:rsidRDefault="00B11A03" w:rsidP="00160F80">
            <w:pPr>
              <w:pStyle w:val="SingleTxtG"/>
              <w:bidi/>
              <w:spacing w:after="100" w:line="340" w:lineRule="exact"/>
              <w:ind w:left="0" w:right="0"/>
              <w:jc w:val="left"/>
              <w:textDirection w:val="tbRlV"/>
              <w:rPr>
                <w:rFonts w:hAnsi="Times New Roman"/>
                <w:i/>
                <w:iCs/>
                <w:szCs w:val="28"/>
                <w:lang w:val="ar-SA" w:eastAsia="zh-TW" w:bidi="en-GB"/>
              </w:rPr>
            </w:pPr>
            <w:r w:rsidRPr="000C2EE2">
              <w:rPr>
                <w:rFonts w:hAnsi="Times New Roman"/>
                <w:i/>
                <w:iCs/>
                <w:szCs w:val="28"/>
                <w:rtl/>
              </w:rPr>
              <w:t>الوثائق المرجعية:</w:t>
            </w:r>
          </w:p>
        </w:tc>
        <w:tc>
          <w:tcPr>
            <w:tcW w:w="4062" w:type="dxa"/>
          </w:tcPr>
          <w:p w14:paraId="6725E0D4"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0C2EE2">
              <w:rPr>
                <w:szCs w:val="28"/>
                <w:rtl/>
              </w:rPr>
              <w:t xml:space="preserve">القرار المتخذ عملاً بالمادة </w:t>
            </w:r>
            <w:r w:rsidRPr="00160F80">
              <w:rPr>
                <w:szCs w:val="20"/>
                <w:rtl/>
              </w:rPr>
              <w:t>92</w:t>
            </w:r>
            <w:r w:rsidRPr="000C2EE2">
              <w:rPr>
                <w:szCs w:val="28"/>
                <w:rtl/>
              </w:rPr>
              <w:t xml:space="preserve"> من النظام الداخلي للجنة، والمحال إلى الدولة الطرف في </w:t>
            </w:r>
            <w:r w:rsidRPr="00160F80">
              <w:rPr>
                <w:szCs w:val="20"/>
                <w:rtl/>
              </w:rPr>
              <w:t>12</w:t>
            </w:r>
            <w:r w:rsidRPr="000C2EE2">
              <w:rPr>
                <w:szCs w:val="28"/>
                <w:rtl/>
              </w:rPr>
              <w:t xml:space="preserve"> كانون الأول/ديسمبر </w:t>
            </w:r>
            <w:r w:rsidRPr="00160F80">
              <w:rPr>
                <w:szCs w:val="20"/>
                <w:rtl/>
              </w:rPr>
              <w:t>2016</w:t>
            </w:r>
            <w:r w:rsidRPr="000C2EE2">
              <w:rPr>
                <w:szCs w:val="28"/>
                <w:rtl/>
              </w:rPr>
              <w:t xml:space="preserve"> (لم يصدر في شكل وثيقة)</w:t>
            </w:r>
          </w:p>
        </w:tc>
      </w:tr>
      <w:tr w:rsidR="00B11A03" w:rsidRPr="00FA698A" w14:paraId="4DCB1462" w14:textId="77777777" w:rsidTr="000C2EE2">
        <w:tc>
          <w:tcPr>
            <w:tcW w:w="2543" w:type="dxa"/>
          </w:tcPr>
          <w:p w14:paraId="2E32FAE0" w14:textId="77777777"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تاريخ اعتماد الآراء:</w:t>
            </w:r>
          </w:p>
        </w:tc>
        <w:tc>
          <w:tcPr>
            <w:tcW w:w="4062" w:type="dxa"/>
          </w:tcPr>
          <w:p w14:paraId="74CF3FAF"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160F80">
              <w:rPr>
                <w:szCs w:val="20"/>
                <w:rtl/>
              </w:rPr>
              <w:t>27</w:t>
            </w:r>
            <w:r w:rsidRPr="000C2EE2">
              <w:rPr>
                <w:szCs w:val="28"/>
                <w:rtl/>
              </w:rPr>
              <w:t xml:space="preserve"> آذار/مارس </w:t>
            </w:r>
            <w:r w:rsidRPr="00160F80">
              <w:rPr>
                <w:szCs w:val="20"/>
                <w:rtl/>
              </w:rPr>
              <w:t>2020</w:t>
            </w:r>
          </w:p>
        </w:tc>
      </w:tr>
      <w:tr w:rsidR="00B11A03" w:rsidRPr="00FA698A" w14:paraId="128896AC" w14:textId="77777777" w:rsidTr="000C2EE2">
        <w:tc>
          <w:tcPr>
            <w:tcW w:w="2543" w:type="dxa"/>
          </w:tcPr>
          <w:p w14:paraId="02D9DE87" w14:textId="17B9106E"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الموضوع:</w:t>
            </w:r>
          </w:p>
        </w:tc>
        <w:tc>
          <w:tcPr>
            <w:tcW w:w="4062" w:type="dxa"/>
          </w:tcPr>
          <w:p w14:paraId="7B3A9C3C"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0C2EE2">
              <w:rPr>
                <w:szCs w:val="28"/>
                <w:rtl/>
              </w:rPr>
              <w:t>الاختفاء القسري</w:t>
            </w:r>
          </w:p>
        </w:tc>
      </w:tr>
      <w:tr w:rsidR="00B11A03" w:rsidRPr="00FA698A" w14:paraId="0130B5B9" w14:textId="77777777" w:rsidTr="000C2EE2">
        <w:tc>
          <w:tcPr>
            <w:tcW w:w="2543" w:type="dxa"/>
          </w:tcPr>
          <w:p w14:paraId="1D090C0B" w14:textId="77777777"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المسائل الإجرائية:</w:t>
            </w:r>
          </w:p>
        </w:tc>
        <w:tc>
          <w:tcPr>
            <w:tcW w:w="4062" w:type="dxa"/>
          </w:tcPr>
          <w:p w14:paraId="7F1FC760"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0C2EE2">
              <w:rPr>
                <w:szCs w:val="28"/>
                <w:rtl/>
              </w:rPr>
              <w:t>استنفاد سبل الانتصاف المحلية</w:t>
            </w:r>
          </w:p>
        </w:tc>
      </w:tr>
      <w:tr w:rsidR="00B11A03" w:rsidRPr="00FA698A" w14:paraId="0D4AAC08" w14:textId="77777777" w:rsidTr="000C2EE2">
        <w:tc>
          <w:tcPr>
            <w:tcW w:w="2543" w:type="dxa"/>
          </w:tcPr>
          <w:p w14:paraId="44B839D2" w14:textId="77777777"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المسائل الموضوعية:</w:t>
            </w:r>
          </w:p>
        </w:tc>
        <w:tc>
          <w:tcPr>
            <w:tcW w:w="4062" w:type="dxa"/>
          </w:tcPr>
          <w:p w14:paraId="6A8F0F4B" w14:textId="77777777" w:rsidR="00B11A03" w:rsidRPr="00160F80" w:rsidRDefault="00B11A03" w:rsidP="00160F80">
            <w:pPr>
              <w:spacing w:after="100" w:line="340" w:lineRule="exact"/>
              <w:textDirection w:val="tbRlV"/>
              <w:textAlignment w:val="baseline"/>
              <w:rPr>
                <w:spacing w:val="-4"/>
                <w:kern w:val="3"/>
                <w:szCs w:val="28"/>
                <w:lang w:val="ar-SA" w:eastAsia="zh-TW" w:bidi="en-GB"/>
              </w:rPr>
            </w:pPr>
            <w:r w:rsidRPr="00160F80">
              <w:rPr>
                <w:spacing w:val="-4"/>
                <w:szCs w:val="28"/>
                <w:rtl/>
              </w:rPr>
              <w:t>الحق في سبيل انتصاف فعال؛ والمعاملة أو العقوبة القاسية أو اللاإنسانية أو المهينة؛ وحق الفرد في الحرية وفي الأمان على شخصه؛ والكرامة الإنسانية؛ والاعتراف بالشخصية القانونية؛ وانتهاك حرمة المنزل؛ وحرية التجمع</w:t>
            </w:r>
          </w:p>
        </w:tc>
      </w:tr>
      <w:tr w:rsidR="00B11A03" w:rsidRPr="00FA698A" w14:paraId="02AF09E3" w14:textId="77777777" w:rsidTr="000C2EE2">
        <w:tc>
          <w:tcPr>
            <w:tcW w:w="2543" w:type="dxa"/>
          </w:tcPr>
          <w:p w14:paraId="04B66515" w14:textId="77777777"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مواد العهد:</w:t>
            </w:r>
          </w:p>
        </w:tc>
        <w:tc>
          <w:tcPr>
            <w:tcW w:w="4062" w:type="dxa"/>
          </w:tcPr>
          <w:p w14:paraId="6450969E" w14:textId="77777777" w:rsidR="00B11A03" w:rsidRPr="000C2EE2" w:rsidRDefault="00B11A03" w:rsidP="00160F80">
            <w:pPr>
              <w:spacing w:after="100" w:line="340" w:lineRule="exact"/>
              <w:textDirection w:val="tbRlV"/>
              <w:textAlignment w:val="baseline"/>
              <w:rPr>
                <w:spacing w:val="-2"/>
                <w:kern w:val="3"/>
                <w:szCs w:val="28"/>
                <w:lang w:val="ar-SA" w:eastAsia="zh-TW" w:bidi="en-GB"/>
              </w:rPr>
            </w:pPr>
            <w:r w:rsidRPr="00160F80">
              <w:rPr>
                <w:spacing w:val="-2"/>
                <w:szCs w:val="20"/>
                <w:rtl/>
              </w:rPr>
              <w:t>2</w:t>
            </w:r>
            <w:r w:rsidRPr="000C2EE2">
              <w:rPr>
                <w:spacing w:val="-2"/>
                <w:szCs w:val="28"/>
                <w:rtl/>
              </w:rPr>
              <w:t xml:space="preserve"> (الفقرتان </w:t>
            </w:r>
            <w:r w:rsidRPr="00160F80">
              <w:rPr>
                <w:spacing w:val="-2"/>
                <w:szCs w:val="20"/>
                <w:rtl/>
              </w:rPr>
              <w:t>2</w:t>
            </w:r>
            <w:r w:rsidRPr="000C2EE2">
              <w:rPr>
                <w:spacing w:val="-2"/>
                <w:szCs w:val="28"/>
                <w:rtl/>
              </w:rPr>
              <w:t xml:space="preserve"> </w:t>
            </w:r>
            <w:proofErr w:type="spellStart"/>
            <w:r w:rsidRPr="000C2EE2">
              <w:rPr>
                <w:spacing w:val="-2"/>
                <w:szCs w:val="28"/>
                <w:rtl/>
              </w:rPr>
              <w:t>و</w:t>
            </w:r>
            <w:r w:rsidRPr="00160F80">
              <w:rPr>
                <w:spacing w:val="-2"/>
                <w:szCs w:val="20"/>
                <w:rtl/>
              </w:rPr>
              <w:t>3</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6</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7</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9</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10</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14</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16</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17</w:t>
            </w:r>
            <w:proofErr w:type="spellEnd"/>
            <w:r w:rsidRPr="000C2EE2">
              <w:rPr>
                <w:spacing w:val="-2"/>
                <w:szCs w:val="28"/>
                <w:rtl/>
              </w:rPr>
              <w:t xml:space="preserve"> </w:t>
            </w:r>
            <w:proofErr w:type="spellStart"/>
            <w:r w:rsidRPr="000C2EE2">
              <w:rPr>
                <w:spacing w:val="-2"/>
                <w:szCs w:val="28"/>
                <w:rtl/>
              </w:rPr>
              <w:t>و</w:t>
            </w:r>
            <w:r w:rsidRPr="00160F80">
              <w:rPr>
                <w:spacing w:val="-2"/>
                <w:szCs w:val="20"/>
                <w:rtl/>
              </w:rPr>
              <w:t>21</w:t>
            </w:r>
            <w:proofErr w:type="spellEnd"/>
          </w:p>
        </w:tc>
      </w:tr>
      <w:tr w:rsidR="00B11A03" w:rsidRPr="00FA698A" w14:paraId="1972815E" w14:textId="77777777" w:rsidTr="000C2EE2">
        <w:tc>
          <w:tcPr>
            <w:tcW w:w="2543" w:type="dxa"/>
          </w:tcPr>
          <w:p w14:paraId="101AFED1" w14:textId="77777777" w:rsidR="00B11A03" w:rsidRPr="000C2EE2" w:rsidRDefault="00B11A03" w:rsidP="00160F80">
            <w:pPr>
              <w:spacing w:after="100" w:line="340" w:lineRule="exact"/>
              <w:textDirection w:val="tbRlV"/>
              <w:textAlignment w:val="baseline"/>
              <w:rPr>
                <w:i/>
                <w:iCs/>
                <w:kern w:val="3"/>
                <w:szCs w:val="28"/>
                <w:lang w:val="ar-SA" w:eastAsia="zh-TW" w:bidi="en-GB"/>
              </w:rPr>
            </w:pPr>
            <w:r w:rsidRPr="000C2EE2">
              <w:rPr>
                <w:i/>
                <w:iCs/>
                <w:szCs w:val="28"/>
                <w:rtl/>
              </w:rPr>
              <w:t>مواد البروتوكول الاختياري:</w:t>
            </w:r>
          </w:p>
        </w:tc>
        <w:tc>
          <w:tcPr>
            <w:tcW w:w="4062" w:type="dxa"/>
          </w:tcPr>
          <w:p w14:paraId="76AE57FD" w14:textId="77777777" w:rsidR="00B11A03" w:rsidRPr="000C2EE2" w:rsidRDefault="00B11A03" w:rsidP="00160F80">
            <w:pPr>
              <w:spacing w:after="100" w:line="340" w:lineRule="exact"/>
              <w:textDirection w:val="tbRlV"/>
              <w:textAlignment w:val="baseline"/>
              <w:rPr>
                <w:kern w:val="3"/>
                <w:szCs w:val="28"/>
                <w:lang w:val="ar-SA" w:eastAsia="zh-TW" w:bidi="en-GB"/>
              </w:rPr>
            </w:pPr>
            <w:r w:rsidRPr="00160F80">
              <w:rPr>
                <w:szCs w:val="20"/>
                <w:rtl/>
              </w:rPr>
              <w:t>2</w:t>
            </w:r>
            <w:r w:rsidRPr="000C2EE2">
              <w:rPr>
                <w:szCs w:val="28"/>
                <w:rtl/>
              </w:rPr>
              <w:t xml:space="preserve"> </w:t>
            </w:r>
            <w:proofErr w:type="spellStart"/>
            <w:r w:rsidRPr="000C2EE2">
              <w:rPr>
                <w:szCs w:val="28"/>
                <w:rtl/>
              </w:rPr>
              <w:t>و</w:t>
            </w:r>
            <w:r w:rsidRPr="00160F80">
              <w:rPr>
                <w:szCs w:val="20"/>
                <w:rtl/>
              </w:rPr>
              <w:t>3</w:t>
            </w:r>
            <w:proofErr w:type="spellEnd"/>
            <w:r w:rsidRPr="000C2EE2">
              <w:rPr>
                <w:szCs w:val="28"/>
                <w:rtl/>
              </w:rPr>
              <w:t xml:space="preserve"> </w:t>
            </w:r>
            <w:proofErr w:type="spellStart"/>
            <w:r w:rsidRPr="000C2EE2">
              <w:rPr>
                <w:szCs w:val="28"/>
                <w:rtl/>
              </w:rPr>
              <w:t>و</w:t>
            </w:r>
            <w:r w:rsidRPr="00160F80">
              <w:rPr>
                <w:szCs w:val="20"/>
                <w:rtl/>
              </w:rPr>
              <w:t>5</w:t>
            </w:r>
            <w:proofErr w:type="spellEnd"/>
            <w:r w:rsidRPr="000C2EE2">
              <w:rPr>
                <w:szCs w:val="28"/>
                <w:rtl/>
              </w:rPr>
              <w:t xml:space="preserve"> (الفقرة </w:t>
            </w:r>
            <w:r w:rsidRPr="00160F80">
              <w:rPr>
                <w:szCs w:val="20"/>
                <w:rtl/>
              </w:rPr>
              <w:t>2</w:t>
            </w:r>
            <w:r w:rsidRPr="000C2EE2">
              <w:rPr>
                <w:szCs w:val="28"/>
                <w:rtl/>
              </w:rPr>
              <w:t>)</w:t>
            </w:r>
          </w:p>
        </w:tc>
      </w:tr>
    </w:tbl>
    <w:p w14:paraId="29AE3CEC" w14:textId="638C7A27" w:rsidR="00B11A03" w:rsidRPr="00FA698A" w:rsidRDefault="00B11A03" w:rsidP="000C2EE2">
      <w:pPr>
        <w:pStyle w:val="SingleTxtGA"/>
        <w:spacing w:before="120"/>
        <w:rPr>
          <w:szCs w:val="20"/>
          <w:lang w:val="ar-SA" w:eastAsia="zh-TW" w:bidi="en-GB"/>
        </w:rPr>
      </w:pPr>
      <w:r w:rsidRPr="00160F80">
        <w:rPr>
          <w:szCs w:val="20"/>
          <w:rtl/>
        </w:rPr>
        <w:lastRenderedPageBreak/>
        <w:t>1</w:t>
      </w:r>
      <w:r w:rsidRPr="00DA3F02">
        <w:rPr>
          <w:rtl/>
        </w:rPr>
        <w:t>-</w:t>
      </w:r>
      <w:r>
        <w:rPr>
          <w:rtl/>
        </w:rPr>
        <w:tab/>
        <w:t xml:space="preserve">صاحبا البلاغ هما مليكة بن جاعل ومروان بن جاعل، الحاملان للجنسية الجزائرية. ويدعيان أن مراد بن جاعل، ابن الأولى وشقيق الثاني، المولود في </w:t>
      </w:r>
      <w:r w:rsidRPr="00160F80">
        <w:rPr>
          <w:szCs w:val="20"/>
          <w:rtl/>
        </w:rPr>
        <w:t>12</w:t>
      </w:r>
      <w:r>
        <w:rPr>
          <w:rtl/>
        </w:rPr>
        <w:t xml:space="preserve"> آب/أغسطس </w:t>
      </w:r>
      <w:r w:rsidRPr="00160F80">
        <w:rPr>
          <w:szCs w:val="20"/>
          <w:rtl/>
        </w:rPr>
        <w:t>1967</w:t>
      </w:r>
      <w:r>
        <w:rPr>
          <w:rtl/>
        </w:rPr>
        <w:t xml:space="preserve">، وهو جزائري الجنسية أيضاً، وقع ضحية اختفاء قسري منسوب إلى الدولة الطرف، مما يشكل انتهاكاً للفقرة </w:t>
      </w:r>
      <w:r w:rsidRPr="00160F80">
        <w:rPr>
          <w:szCs w:val="20"/>
          <w:rtl/>
        </w:rPr>
        <w:t>3</w:t>
      </w:r>
      <w:r>
        <w:rPr>
          <w:rtl/>
        </w:rPr>
        <w:t xml:space="preserve"> من المادة </w:t>
      </w:r>
      <w:r w:rsidRPr="00160F80">
        <w:rPr>
          <w:szCs w:val="20"/>
          <w:rtl/>
        </w:rPr>
        <w:t>2</w:t>
      </w:r>
      <w:r>
        <w:rPr>
          <w:rtl/>
        </w:rPr>
        <w:t xml:space="preserve"> وكذلك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16</w:t>
      </w:r>
      <w:proofErr w:type="spellEnd"/>
      <w:r>
        <w:rPr>
          <w:rtl/>
        </w:rPr>
        <w:t xml:space="preserve"> من العهد. ويدعي صاحبا البلاغ أن حقوق مليكة بن جاعل بموجب الفقرتين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وكذلك المواد </w:t>
      </w:r>
      <w:r w:rsidRPr="00160F80">
        <w:rPr>
          <w:szCs w:val="20"/>
          <w:rtl/>
        </w:rPr>
        <w:t>7</w:t>
      </w:r>
      <w:r>
        <w:rPr>
          <w:rtl/>
        </w:rPr>
        <w:t xml:space="preserve"> </w:t>
      </w:r>
      <w:proofErr w:type="spellStart"/>
      <w:r>
        <w:rPr>
          <w:rtl/>
        </w:rPr>
        <w:t>و</w:t>
      </w:r>
      <w:r w:rsidRPr="00160F80">
        <w:rPr>
          <w:szCs w:val="20"/>
          <w:rtl/>
        </w:rPr>
        <w:t>14</w:t>
      </w:r>
      <w:proofErr w:type="spellEnd"/>
      <w:r>
        <w:rPr>
          <w:rtl/>
        </w:rPr>
        <w:t xml:space="preserve"> </w:t>
      </w:r>
      <w:proofErr w:type="spellStart"/>
      <w:r>
        <w:rPr>
          <w:rtl/>
        </w:rPr>
        <w:t>و</w:t>
      </w:r>
      <w:r w:rsidRPr="00160F80">
        <w:rPr>
          <w:szCs w:val="20"/>
          <w:rtl/>
        </w:rPr>
        <w:t>17</w:t>
      </w:r>
      <w:proofErr w:type="spellEnd"/>
      <w:r>
        <w:rPr>
          <w:rtl/>
        </w:rPr>
        <w:t xml:space="preserve"> </w:t>
      </w:r>
      <w:proofErr w:type="spellStart"/>
      <w:r>
        <w:rPr>
          <w:rtl/>
        </w:rPr>
        <w:t>و</w:t>
      </w:r>
      <w:r w:rsidRPr="00160F80">
        <w:rPr>
          <w:szCs w:val="20"/>
          <w:rtl/>
        </w:rPr>
        <w:t>21</w:t>
      </w:r>
      <w:proofErr w:type="spellEnd"/>
      <w:r>
        <w:rPr>
          <w:rtl/>
        </w:rPr>
        <w:t xml:space="preserve"> من العهد انتُهكت، كما انتُهكت حقوق مروان بن جاعل بموجب الفقرتين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والمواد </w:t>
      </w:r>
      <w:r w:rsidRPr="00160F80">
        <w:rPr>
          <w:szCs w:val="20"/>
          <w:rtl/>
        </w:rPr>
        <w:t>7</w:t>
      </w:r>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17</w:t>
      </w:r>
      <w:proofErr w:type="spellEnd"/>
      <w:r>
        <w:rPr>
          <w:rtl/>
        </w:rPr>
        <w:t xml:space="preserve"> </w:t>
      </w:r>
      <w:proofErr w:type="spellStart"/>
      <w:r>
        <w:rPr>
          <w:rtl/>
        </w:rPr>
        <w:t>و</w:t>
      </w:r>
      <w:r w:rsidRPr="00160F80">
        <w:rPr>
          <w:szCs w:val="20"/>
          <w:rtl/>
        </w:rPr>
        <w:t>21</w:t>
      </w:r>
      <w:proofErr w:type="spellEnd"/>
      <w:r>
        <w:rPr>
          <w:rtl/>
        </w:rPr>
        <w:t xml:space="preserve"> من العهد. وقد</w:t>
      </w:r>
      <w:r w:rsidR="00DA3F02">
        <w:rPr>
          <w:rFonts w:hint="cs"/>
          <w:rtl/>
        </w:rPr>
        <w:t> </w:t>
      </w:r>
      <w:r>
        <w:rPr>
          <w:rtl/>
        </w:rPr>
        <w:t xml:space="preserve">دخل العهد والبروتوكول الاختياري الملحق به حيز النفاذ في الدولة الطرف في </w:t>
      </w:r>
      <w:r w:rsidRPr="00160F80">
        <w:rPr>
          <w:szCs w:val="20"/>
          <w:rtl/>
        </w:rPr>
        <w:t>12</w:t>
      </w:r>
      <w:r>
        <w:rPr>
          <w:rtl/>
        </w:rPr>
        <w:t xml:space="preserve"> كانون الأول/</w:t>
      </w:r>
      <w:r w:rsidR="00DA3F02">
        <w:rPr>
          <w:rFonts w:hint="cs"/>
          <w:rtl/>
        </w:rPr>
        <w:t xml:space="preserve"> </w:t>
      </w:r>
      <w:r>
        <w:rPr>
          <w:rtl/>
        </w:rPr>
        <w:t xml:space="preserve">ديسمبر </w:t>
      </w:r>
      <w:r w:rsidRPr="00160F80">
        <w:rPr>
          <w:szCs w:val="20"/>
          <w:rtl/>
        </w:rPr>
        <w:t>1989</w:t>
      </w:r>
      <w:r w:rsidRPr="00841125">
        <w:rPr>
          <w:rtl/>
        </w:rPr>
        <w:t>.</w:t>
      </w:r>
      <w:r>
        <w:rPr>
          <w:rtl/>
        </w:rPr>
        <w:t xml:space="preserve"> وتمثل صاحبيْ البلاغ المحامية نصيرة </w:t>
      </w:r>
      <w:proofErr w:type="spellStart"/>
      <w:r>
        <w:rPr>
          <w:rtl/>
        </w:rPr>
        <w:t>ديتور</w:t>
      </w:r>
      <w:proofErr w:type="spellEnd"/>
      <w:r>
        <w:rPr>
          <w:rtl/>
        </w:rPr>
        <w:t>، من تجمّع عائلات المفقودين في الجزائر.</w:t>
      </w:r>
    </w:p>
    <w:p w14:paraId="1C63E621" w14:textId="77777777" w:rsidR="00B11A03" w:rsidRPr="00FA698A" w:rsidRDefault="00B11A03" w:rsidP="00B11A03">
      <w:pPr>
        <w:pStyle w:val="H23GA"/>
        <w:rPr>
          <w:szCs w:val="20"/>
          <w:lang w:val="ar-SA" w:eastAsia="zh-TW" w:bidi="en-GB"/>
        </w:rPr>
      </w:pPr>
      <w:r>
        <w:rPr>
          <w:rtl/>
        </w:rPr>
        <w:tab/>
      </w:r>
      <w:r>
        <w:rPr>
          <w:rtl/>
        </w:rPr>
        <w:tab/>
        <w:t>الوقائع كما عرضها صاحبا البلاغ</w:t>
      </w:r>
    </w:p>
    <w:p w14:paraId="3F8042E6" w14:textId="69A73DE6"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w:t>
      </w:r>
      <w:r>
        <w:rPr>
          <w:rtl/>
        </w:rPr>
        <w:tab/>
        <w:t xml:space="preserve">في </w:t>
      </w:r>
      <w:r w:rsidRPr="00160F80">
        <w:rPr>
          <w:szCs w:val="20"/>
          <w:rtl/>
        </w:rPr>
        <w:t>4</w:t>
      </w:r>
      <w:r>
        <w:rPr>
          <w:rtl/>
        </w:rPr>
        <w:t xml:space="preserve"> أيار/مايو </w:t>
      </w:r>
      <w:r w:rsidRPr="00160F80">
        <w:rPr>
          <w:szCs w:val="20"/>
          <w:rtl/>
        </w:rPr>
        <w:t>1994</w:t>
      </w:r>
      <w:r>
        <w:rPr>
          <w:rtl/>
        </w:rPr>
        <w:t xml:space="preserve">، في الساعة </w:t>
      </w:r>
      <w:r w:rsidRPr="00160F80">
        <w:rPr>
          <w:szCs w:val="20"/>
          <w:rtl/>
        </w:rPr>
        <w:t>00</w:t>
      </w:r>
      <w:r>
        <w:rPr>
          <w:rFonts w:ascii="Traditional Arabic"/>
          <w:szCs w:val="20"/>
          <w:rtl/>
        </w:rPr>
        <w:t>/</w:t>
      </w:r>
      <w:r w:rsidRPr="00160F80">
        <w:rPr>
          <w:szCs w:val="20"/>
          <w:rtl/>
        </w:rPr>
        <w:t>11</w:t>
      </w:r>
      <w:r>
        <w:rPr>
          <w:rtl/>
        </w:rPr>
        <w:t xml:space="preserve"> تقريبا</w:t>
      </w:r>
      <w:r w:rsidR="00601619">
        <w:rPr>
          <w:rFonts w:hint="cs"/>
          <w:rtl/>
        </w:rPr>
        <w:t>ً</w:t>
      </w:r>
      <w:r>
        <w:rPr>
          <w:rtl/>
        </w:rPr>
        <w:t>، اعتُقل مراد بن جاعل وصديقه أ. ب. في الجزائر العاصمة على أيدي عناصر تابعين لدائرة الاستعلام والأمن. ووصل هؤلاء العناصر إلى المكان الذي جرى فيه الاعتقال على متن سيارة مغطاة، وكانوا مقنعين ومسلحين ويرتدون زياً مدنياً. وأجبروا الشابيْن على ركوب السيارة بتهديدهما بالسلاح، ومن دون إظهار وثيقة أو مذكرة توقيف صادرة عن جهة رسمية، ودون توضيح أسباب تدخلهم. وقد شهد بعض المارة الواقعةَ.</w:t>
      </w:r>
    </w:p>
    <w:p w14:paraId="36935343" w14:textId="27FEDC19"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2</w:t>
      </w:r>
      <w:r>
        <w:rPr>
          <w:rtl/>
        </w:rPr>
        <w:tab/>
        <w:t xml:space="preserve">وفي </w:t>
      </w:r>
      <w:r w:rsidRPr="00160F80">
        <w:rPr>
          <w:szCs w:val="20"/>
          <w:rtl/>
        </w:rPr>
        <w:t>6</w:t>
      </w:r>
      <w:r>
        <w:rPr>
          <w:rtl/>
        </w:rPr>
        <w:t xml:space="preserve"> أيار/مايو </w:t>
      </w:r>
      <w:r w:rsidRPr="00160F80">
        <w:rPr>
          <w:szCs w:val="20"/>
          <w:rtl/>
        </w:rPr>
        <w:t>1994</w:t>
      </w:r>
      <w:r>
        <w:rPr>
          <w:rtl/>
        </w:rPr>
        <w:t xml:space="preserve">، الساعة </w:t>
      </w:r>
      <w:r w:rsidRPr="00160F80">
        <w:rPr>
          <w:szCs w:val="20"/>
          <w:rtl/>
        </w:rPr>
        <w:t>00</w:t>
      </w:r>
      <w:r>
        <w:rPr>
          <w:rFonts w:ascii="Traditional Arabic"/>
          <w:szCs w:val="20"/>
          <w:rtl/>
        </w:rPr>
        <w:t>/</w:t>
      </w:r>
      <w:r w:rsidRPr="00160F80">
        <w:rPr>
          <w:szCs w:val="20"/>
          <w:rtl/>
        </w:rPr>
        <w:t>2</w:t>
      </w:r>
      <w:r>
        <w:rPr>
          <w:rtl/>
        </w:rPr>
        <w:t xml:space="preserve">، نُشر نحو </w:t>
      </w:r>
      <w:r w:rsidRPr="00160F80">
        <w:rPr>
          <w:szCs w:val="20"/>
          <w:rtl/>
        </w:rPr>
        <w:t>20</w:t>
      </w:r>
      <w:r>
        <w:rPr>
          <w:rtl/>
        </w:rPr>
        <w:t xml:space="preserve"> من أفراد دائرة الاستعلام والأمن، يرتدون زياً مدنياً ويحملون سلاحاً، في منطقة وسط العاصمة. وعند وصولهم إلى منزل عائلة بن جاعل، قدموا أنفسهم على أنهم ضباط شرطة وزعموا أنهم يبحثون عن مراد بن جاعل رغم أنه كان قد اعتُقل قبل يومين على أيدي أفراد تابع</w:t>
      </w:r>
      <w:r>
        <w:rPr>
          <w:rFonts w:hint="cs"/>
          <w:rtl/>
        </w:rPr>
        <w:t>ي</w:t>
      </w:r>
      <w:r>
        <w:rPr>
          <w:rtl/>
        </w:rPr>
        <w:t>ن لدائرتهم. وقاموا بتفتيش المنزل من دون إظهار تكليف، وبعثروا كل شيء في طريقهم. واستجوبوا جم</w:t>
      </w:r>
      <w:r>
        <w:rPr>
          <w:rFonts w:hint="cs"/>
          <w:rtl/>
        </w:rPr>
        <w:t>ي</w:t>
      </w:r>
      <w:r>
        <w:rPr>
          <w:rtl/>
        </w:rPr>
        <w:t>ع أفراد العائلة واعتقلوا ابنيْ مليكة بن جاعل الآخريْن، كريم ومروان</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
      </w:r>
      <w:r w:rsidR="00187AE0" w:rsidRPr="00AB3B40">
        <w:rPr>
          <w:rStyle w:val="FootnoteReference"/>
          <w:b w:val="0"/>
          <w:position w:val="4"/>
          <w:sz w:val="20"/>
          <w:rtl/>
        </w:rPr>
        <w:t>)</w:t>
      </w:r>
      <w:r w:rsidR="00DA3F02">
        <w:rPr>
          <w:rtl/>
        </w:rPr>
        <w:t>.</w:t>
      </w:r>
      <w:r>
        <w:rPr>
          <w:rtl/>
        </w:rPr>
        <w:t xml:space="preserve"> وفي</w:t>
      </w:r>
      <w:r w:rsidR="00DA3F02">
        <w:rPr>
          <w:rFonts w:hint="cs"/>
          <w:rtl/>
        </w:rPr>
        <w:t> </w:t>
      </w:r>
      <w:r w:rsidRPr="00160F80">
        <w:rPr>
          <w:szCs w:val="20"/>
          <w:rtl/>
        </w:rPr>
        <w:t>12</w:t>
      </w:r>
      <w:r>
        <w:rPr>
          <w:rtl/>
        </w:rPr>
        <w:t xml:space="preserve"> </w:t>
      </w:r>
      <w:r w:rsidR="00777485">
        <w:rPr>
          <w:rFonts w:hint="cs"/>
          <w:rtl/>
        </w:rPr>
        <w:t>أيار/مايو</w:t>
      </w:r>
      <w:r>
        <w:rPr>
          <w:rtl/>
        </w:rPr>
        <w:t xml:space="preserve"> </w:t>
      </w:r>
      <w:r w:rsidRPr="00160F80">
        <w:rPr>
          <w:szCs w:val="20"/>
          <w:rtl/>
        </w:rPr>
        <w:t>1994</w:t>
      </w:r>
      <w:r>
        <w:rPr>
          <w:rtl/>
        </w:rPr>
        <w:t xml:space="preserve">، عاد الضباط إلى منزل عائلة بن جاعل لإجراء تفتيش جديد. وكان يرافقهم مروان الذي كان يرتدي سترة شقيقه المفقود. وفي </w:t>
      </w:r>
      <w:r w:rsidRPr="00160F80">
        <w:rPr>
          <w:szCs w:val="20"/>
          <w:rtl/>
        </w:rPr>
        <w:t>7</w:t>
      </w:r>
      <w:r>
        <w:rPr>
          <w:rtl/>
        </w:rPr>
        <w:t xml:space="preserve"> حزيران/</w:t>
      </w:r>
      <w:proofErr w:type="gramStart"/>
      <w:r>
        <w:rPr>
          <w:rtl/>
        </w:rPr>
        <w:t>يونيه</w:t>
      </w:r>
      <w:proofErr w:type="gramEnd"/>
      <w:r>
        <w:rPr>
          <w:rtl/>
        </w:rPr>
        <w:t xml:space="preserve"> </w:t>
      </w:r>
      <w:r w:rsidRPr="00160F80">
        <w:rPr>
          <w:szCs w:val="20"/>
          <w:rtl/>
        </w:rPr>
        <w:t>1994</w:t>
      </w:r>
      <w:r>
        <w:rPr>
          <w:rtl/>
        </w:rPr>
        <w:t xml:space="preserve">، أُفرج عن أ. ب.، الذي أبلغ مليكة بن جاعل أنه اقتيد هو وابنها، بعد إلقاء القبض عليهما، إلى ثكنة </w:t>
      </w:r>
      <w:proofErr w:type="spellStart"/>
      <w:r>
        <w:rPr>
          <w:rtl/>
        </w:rPr>
        <w:t>شاتونوف</w:t>
      </w:r>
      <w:proofErr w:type="spellEnd"/>
      <w:r>
        <w:rPr>
          <w:rtl/>
        </w:rPr>
        <w:t xml:space="preserve"> </w:t>
      </w:r>
      <w:r w:rsidRPr="003A4F27">
        <w:rPr>
          <w:rtl/>
        </w:rPr>
        <w:t>(</w:t>
      </w:r>
      <w:proofErr w:type="spellStart"/>
      <w:r>
        <w:rPr>
          <w:rFonts w:cs="Times New Roman"/>
          <w:szCs w:val="20"/>
        </w:rPr>
        <w:t>Châteauneuf</w:t>
      </w:r>
      <w:proofErr w:type="spellEnd"/>
      <w:r w:rsidRPr="003A4F27">
        <w:rPr>
          <w:rtl/>
        </w:rPr>
        <w:t>)</w:t>
      </w:r>
      <w:r>
        <w:rPr>
          <w:rtl/>
        </w:rPr>
        <w:t xml:space="preserve"> في بن عكنون. وأكد أيضاً أنهما تعرضا للتعذيب.</w:t>
      </w:r>
    </w:p>
    <w:p w14:paraId="4CEE05C9" w14:textId="0100697A"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3</w:t>
      </w:r>
      <w:r>
        <w:rPr>
          <w:rtl/>
        </w:rPr>
        <w:tab/>
        <w:t xml:space="preserve">واحتُجز مروان بن جاعل في ثكنة </w:t>
      </w:r>
      <w:proofErr w:type="spellStart"/>
      <w:r>
        <w:rPr>
          <w:rtl/>
        </w:rPr>
        <w:t>شاتونوف</w:t>
      </w:r>
      <w:proofErr w:type="spellEnd"/>
      <w:r>
        <w:rPr>
          <w:rtl/>
        </w:rPr>
        <w:t>، حيث تعرض للتعذيب لمدة أربعة أيام. ولدى وصوله، تمكن من رؤية شقيقه مراد بن جاعل ممدداً على الأرض، مربوطاً بأنبوب في استراحة أحد الممرات. وقد بدا ضعيفاً منهكاً وعلى جسمه كدمات عديدة بسبب ما تعرض له من تعذيب واضح. وخلال الأيام الأربعة التي قضاها في الاحتجاز داخل الثكنة، تمكن مروان من رؤية شقيقه مراد في كل مرة يُقتاد فيها شقيقه عبر الممر إلى غرفة التعذيب. وظل مراد في نفس المكان وفي نفس الحالة خلال كامل تلك الفترة. ولم يقدر قطّ على التحدث إليه.</w:t>
      </w:r>
    </w:p>
    <w:p w14:paraId="6260BEB1" w14:textId="14CDA2C7"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4</w:t>
      </w:r>
      <w:r>
        <w:rPr>
          <w:rtl/>
        </w:rPr>
        <w:tab/>
        <w:t xml:space="preserve">وبعد أسبوعين من تاريخ اعتقاله، التقى مروان بن جاعل شقيقه مراد في مكتب الضابط م.، وقد تعرف عليه بصعوبة بسبب التشوه الناتج عما تعرض له من تعذيب. ووضع الضابط فتحة المسدس على صدغ مروان وهدده بالقتل إذا أصر مراد على الامتناع عن الكلام. ثم ضغط على الزناد، لكن المسدس لم يكن محشواً. وفي </w:t>
      </w:r>
      <w:r w:rsidRPr="00160F80">
        <w:rPr>
          <w:szCs w:val="20"/>
          <w:rtl/>
        </w:rPr>
        <w:t>12</w:t>
      </w:r>
      <w:r>
        <w:rPr>
          <w:rtl/>
        </w:rPr>
        <w:t xml:space="preserve"> حزيران/</w:t>
      </w:r>
      <w:proofErr w:type="gramStart"/>
      <w:r>
        <w:rPr>
          <w:rtl/>
        </w:rPr>
        <w:t>يونيه</w:t>
      </w:r>
      <w:proofErr w:type="gramEnd"/>
      <w:r>
        <w:rPr>
          <w:rtl/>
        </w:rPr>
        <w:t xml:space="preserve"> </w:t>
      </w:r>
      <w:r w:rsidRPr="00160F80">
        <w:rPr>
          <w:szCs w:val="20"/>
          <w:rtl/>
        </w:rPr>
        <w:t>1994</w:t>
      </w:r>
      <w:r>
        <w:rPr>
          <w:rtl/>
        </w:rPr>
        <w:t xml:space="preserve">، عُرض مروان على النيابة العامة لدى محكمة </w:t>
      </w:r>
      <w:r>
        <w:rPr>
          <w:rtl/>
        </w:rPr>
        <w:lastRenderedPageBreak/>
        <w:t>سيدي أمحمد في الجزائر العاصمة</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4"/>
      </w:r>
      <w:r w:rsidR="00187AE0" w:rsidRPr="00AB3B40">
        <w:rPr>
          <w:rStyle w:val="FootnoteReference"/>
          <w:b w:val="0"/>
          <w:position w:val="4"/>
          <w:sz w:val="20"/>
          <w:rtl/>
        </w:rPr>
        <w:t>)</w:t>
      </w:r>
      <w:r w:rsidR="00777485">
        <w:rPr>
          <w:rFonts w:hint="cs"/>
          <w:rtl/>
        </w:rPr>
        <w:t>؛</w:t>
      </w:r>
      <w:r>
        <w:rPr>
          <w:rtl/>
        </w:rPr>
        <w:t xml:space="preserve"> ثم نُقل إلى سجن </w:t>
      </w:r>
      <w:proofErr w:type="spellStart"/>
      <w:r>
        <w:rPr>
          <w:rtl/>
        </w:rPr>
        <w:t>سركاجي</w:t>
      </w:r>
      <w:proofErr w:type="spellEnd"/>
      <w:r>
        <w:rPr>
          <w:rtl/>
        </w:rPr>
        <w:t xml:space="preserve"> بمقتضى مذكرة إيداع صدرت بحقه</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5"/>
      </w:r>
      <w:r w:rsidR="00187AE0" w:rsidRPr="00AB3B40">
        <w:rPr>
          <w:rStyle w:val="FootnoteReference"/>
          <w:b w:val="0"/>
          <w:position w:val="4"/>
          <w:sz w:val="20"/>
          <w:rtl/>
        </w:rPr>
        <w:t>)</w:t>
      </w:r>
      <w:r w:rsidR="00DA3F02">
        <w:rPr>
          <w:rtl/>
        </w:rPr>
        <w:t>.</w:t>
      </w:r>
      <w:r>
        <w:rPr>
          <w:rtl/>
        </w:rPr>
        <w:t xml:space="preserve"> وأُطلق سراح كريم، وهو الأخ الثالث، في </w:t>
      </w:r>
      <w:r w:rsidRPr="00160F80">
        <w:rPr>
          <w:szCs w:val="20"/>
          <w:rtl/>
        </w:rPr>
        <w:t>12</w:t>
      </w:r>
      <w:r>
        <w:rPr>
          <w:rtl/>
        </w:rPr>
        <w:t xml:space="preserve"> حزيران/</w:t>
      </w:r>
      <w:proofErr w:type="gramStart"/>
      <w:r>
        <w:rPr>
          <w:rtl/>
        </w:rPr>
        <w:t>يونيه</w:t>
      </w:r>
      <w:proofErr w:type="gramEnd"/>
      <w:r>
        <w:rPr>
          <w:rtl/>
        </w:rPr>
        <w:t xml:space="preserve"> </w:t>
      </w:r>
      <w:r w:rsidRPr="00160F80">
        <w:rPr>
          <w:szCs w:val="20"/>
          <w:rtl/>
        </w:rPr>
        <w:t>1994</w:t>
      </w:r>
      <w:r>
        <w:rPr>
          <w:rtl/>
        </w:rPr>
        <w:t xml:space="preserve"> من دون محاكمة.</w:t>
      </w:r>
    </w:p>
    <w:p w14:paraId="348081DD" w14:textId="5ECFA3E9" w:rsidR="00B11A03" w:rsidRPr="00177A6F" w:rsidRDefault="00B11A03" w:rsidP="00160F80">
      <w:pPr>
        <w:pStyle w:val="SingleTxtGA"/>
        <w:spacing w:line="350" w:lineRule="exact"/>
        <w:rPr>
          <w:szCs w:val="20"/>
          <w:lang w:eastAsia="zh-TW" w:bidi="en-GB"/>
        </w:rPr>
      </w:pPr>
      <w:r w:rsidRPr="00160F80">
        <w:rPr>
          <w:szCs w:val="20"/>
          <w:rtl/>
        </w:rPr>
        <w:t>2</w:t>
      </w:r>
      <w:r w:rsidRPr="00DA3F02">
        <w:rPr>
          <w:rtl/>
        </w:rPr>
        <w:t>-</w:t>
      </w:r>
      <w:r w:rsidRPr="00160F80">
        <w:rPr>
          <w:szCs w:val="20"/>
          <w:rtl/>
        </w:rPr>
        <w:t>5</w:t>
      </w:r>
      <w:r>
        <w:rPr>
          <w:rtl/>
        </w:rPr>
        <w:tab/>
        <w:t xml:space="preserve">وفي </w:t>
      </w:r>
      <w:r w:rsidR="008D2B55" w:rsidRPr="00160F80">
        <w:rPr>
          <w:rFonts w:hint="cs"/>
          <w:szCs w:val="20"/>
          <w:rtl/>
        </w:rPr>
        <w:t>21</w:t>
      </w:r>
      <w:r>
        <w:rPr>
          <w:rtl/>
        </w:rPr>
        <w:t xml:space="preserve"> حزيران/</w:t>
      </w:r>
      <w:proofErr w:type="gramStart"/>
      <w:r>
        <w:rPr>
          <w:rtl/>
        </w:rPr>
        <w:t>يونيه</w:t>
      </w:r>
      <w:proofErr w:type="gramEnd"/>
      <w:r>
        <w:rPr>
          <w:rtl/>
        </w:rPr>
        <w:t xml:space="preserve"> </w:t>
      </w:r>
      <w:r w:rsidRPr="00160F80">
        <w:rPr>
          <w:szCs w:val="20"/>
          <w:rtl/>
        </w:rPr>
        <w:t>1994</w:t>
      </w:r>
      <w:r>
        <w:rPr>
          <w:rtl/>
        </w:rPr>
        <w:t>، قدم محامي أسرة بن جاعل شكوى إلى النائب العام لدى محكمة الجزائر العاصمة</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6"/>
      </w:r>
      <w:r w:rsidR="00187AE0" w:rsidRPr="00AB3B40">
        <w:rPr>
          <w:rStyle w:val="FootnoteReference"/>
          <w:b w:val="0"/>
          <w:position w:val="4"/>
          <w:sz w:val="20"/>
          <w:rtl/>
        </w:rPr>
        <w:t>)</w:t>
      </w:r>
      <w:r w:rsidR="00DA3F02">
        <w:rPr>
          <w:rtl/>
        </w:rPr>
        <w:t>.</w:t>
      </w:r>
      <w:r>
        <w:rPr>
          <w:rtl/>
        </w:rPr>
        <w:t xml:space="preserve"> وفوجئت الأسرة، عقب هذه الشكوى، بتلقيها استدعاء</w:t>
      </w:r>
      <w:r w:rsidRPr="00610C87">
        <w:rPr>
          <w:rtl/>
        </w:rPr>
        <w:t xml:space="preserve"> </w:t>
      </w:r>
      <w:r>
        <w:rPr>
          <w:rtl/>
        </w:rPr>
        <w:t xml:space="preserve">من محكمة الحراش مؤرخاً </w:t>
      </w:r>
      <w:r w:rsidRPr="00160F80">
        <w:rPr>
          <w:szCs w:val="20"/>
          <w:rtl/>
        </w:rPr>
        <w:t>28</w:t>
      </w:r>
      <w:r>
        <w:rPr>
          <w:rtl/>
        </w:rPr>
        <w:t xml:space="preserve"> أيار/مايو </w:t>
      </w:r>
      <w:r w:rsidRPr="00160F80">
        <w:rPr>
          <w:szCs w:val="20"/>
          <w:rtl/>
        </w:rPr>
        <w:t>1994</w:t>
      </w:r>
      <w:r>
        <w:rPr>
          <w:rtl/>
        </w:rPr>
        <w:t xml:space="preserve">، يتضمن دعوة موجهة إلى مراد بن جاعل لحضور جلسة استماع في </w:t>
      </w:r>
      <w:r w:rsidRPr="00160F80">
        <w:rPr>
          <w:szCs w:val="20"/>
          <w:rtl/>
        </w:rPr>
        <w:t>7</w:t>
      </w:r>
      <w:r>
        <w:rPr>
          <w:rtl/>
        </w:rPr>
        <w:t xml:space="preserve"> حزيران/</w:t>
      </w:r>
      <w:proofErr w:type="gramStart"/>
      <w:r>
        <w:rPr>
          <w:rtl/>
        </w:rPr>
        <w:t>يونيه</w:t>
      </w:r>
      <w:proofErr w:type="gramEnd"/>
      <w:r>
        <w:rPr>
          <w:rtl/>
        </w:rPr>
        <w:t xml:space="preserve"> </w:t>
      </w:r>
      <w:r w:rsidRPr="00160F80">
        <w:rPr>
          <w:szCs w:val="20"/>
          <w:rtl/>
        </w:rPr>
        <w:t>1994</w:t>
      </w:r>
      <w:r>
        <w:rPr>
          <w:rtl/>
        </w:rPr>
        <w:t xml:space="preserve"> بسبب محاولة الفرار</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7"/>
      </w:r>
      <w:r w:rsidR="00187AE0" w:rsidRPr="00AB3B40">
        <w:rPr>
          <w:rStyle w:val="FootnoteReference"/>
          <w:b w:val="0"/>
          <w:position w:val="4"/>
          <w:sz w:val="20"/>
          <w:rtl/>
        </w:rPr>
        <w:t>)</w:t>
      </w:r>
      <w:r w:rsidR="00DA3F02">
        <w:rPr>
          <w:rtl/>
        </w:rPr>
        <w:t>.</w:t>
      </w:r>
      <w:r>
        <w:rPr>
          <w:rtl/>
        </w:rPr>
        <w:t xml:space="preserve"> وفي </w:t>
      </w:r>
      <w:r w:rsidRPr="00160F80">
        <w:rPr>
          <w:szCs w:val="20"/>
          <w:rtl/>
        </w:rPr>
        <w:t>17</w:t>
      </w:r>
      <w:r>
        <w:rPr>
          <w:rtl/>
        </w:rPr>
        <w:t xml:space="preserve"> تشرين الثاني/نوفمبر </w:t>
      </w:r>
      <w:r w:rsidRPr="00160F80">
        <w:rPr>
          <w:szCs w:val="20"/>
          <w:rtl/>
        </w:rPr>
        <w:t>1994</w:t>
      </w:r>
      <w:r>
        <w:rPr>
          <w:rtl/>
        </w:rPr>
        <w:t xml:space="preserve">، استُدعيت مليكة بن جاعل من قبل كتيبة الدرك في باب جديد في إطار تحقيق في قضية تهم ابنها. وانتقلت مليكة بن جاعل إلى مقر الكتيبة، لكن المقابلة لم تسفر عن أي نتائج ولم تتبعها إجراءات تُذكر. ثم تلقت مليكة بن جاعل استدعاءين آخرين موجَّهيْن إلى ابنها مراد في </w:t>
      </w:r>
      <w:r w:rsidRPr="00160F80">
        <w:rPr>
          <w:szCs w:val="20"/>
          <w:rtl/>
        </w:rPr>
        <w:t>23</w:t>
      </w:r>
      <w:r>
        <w:rPr>
          <w:rtl/>
        </w:rPr>
        <w:t xml:space="preserve"> تشرين الثاني/نوفمبر </w:t>
      </w:r>
      <w:r w:rsidRPr="00160F80">
        <w:rPr>
          <w:szCs w:val="20"/>
          <w:rtl/>
        </w:rPr>
        <w:t>1995</w:t>
      </w:r>
      <w:r>
        <w:rPr>
          <w:rtl/>
        </w:rPr>
        <w:t xml:space="preserve"> </w:t>
      </w:r>
      <w:proofErr w:type="spellStart"/>
      <w:r>
        <w:rPr>
          <w:rtl/>
        </w:rPr>
        <w:t>و</w:t>
      </w:r>
      <w:r w:rsidRPr="00160F80">
        <w:rPr>
          <w:szCs w:val="20"/>
          <w:rtl/>
        </w:rPr>
        <w:t>25</w:t>
      </w:r>
      <w:proofErr w:type="spellEnd"/>
      <w:r>
        <w:rPr>
          <w:rtl/>
        </w:rPr>
        <w:t xml:space="preserve"> كانون الأول/ديسمبر </w:t>
      </w:r>
      <w:r w:rsidRPr="00160F80">
        <w:rPr>
          <w:szCs w:val="20"/>
          <w:rtl/>
        </w:rPr>
        <w:t>1995</w:t>
      </w:r>
      <w:r>
        <w:rPr>
          <w:rtl/>
        </w:rPr>
        <w:t>.</w:t>
      </w:r>
    </w:p>
    <w:p w14:paraId="4102D4E6" w14:textId="2A2B1E14" w:rsidR="00B11A03" w:rsidRPr="00FA698A" w:rsidRDefault="00B11A03" w:rsidP="00160F80">
      <w:pPr>
        <w:pStyle w:val="SingleTxtGA"/>
        <w:spacing w:line="350" w:lineRule="exact"/>
        <w:rPr>
          <w:szCs w:val="20"/>
          <w:lang w:val="ar-SA" w:eastAsia="zh-TW" w:bidi="en-GB"/>
        </w:rPr>
      </w:pPr>
      <w:r w:rsidRPr="00160F80">
        <w:rPr>
          <w:szCs w:val="20"/>
          <w:rtl/>
        </w:rPr>
        <w:t>2</w:t>
      </w:r>
      <w:r w:rsidRPr="00DA3F02">
        <w:rPr>
          <w:rtl/>
        </w:rPr>
        <w:t>-</w:t>
      </w:r>
      <w:r w:rsidRPr="00160F80">
        <w:rPr>
          <w:szCs w:val="20"/>
          <w:rtl/>
        </w:rPr>
        <w:t>6</w:t>
      </w:r>
      <w:r>
        <w:rPr>
          <w:rtl/>
        </w:rPr>
        <w:tab/>
        <w:t xml:space="preserve">وفي عام </w:t>
      </w:r>
      <w:r w:rsidRPr="00160F80">
        <w:rPr>
          <w:szCs w:val="20"/>
          <w:rtl/>
        </w:rPr>
        <w:t>1999</w:t>
      </w:r>
      <w:r>
        <w:rPr>
          <w:rtl/>
        </w:rPr>
        <w:t xml:space="preserve">، تلقت مليكة بن جاعل بياناً من رئيس كتيبة الدرك في باب جديد يفيد بأن ملف مراد بن جاعل قد أُحيل إلى النائب العام لدى محكمة الجزائر العاصمة في </w:t>
      </w:r>
      <w:r w:rsidRPr="00160F80">
        <w:rPr>
          <w:szCs w:val="20"/>
          <w:rtl/>
        </w:rPr>
        <w:t>22</w:t>
      </w:r>
      <w:r>
        <w:rPr>
          <w:rtl/>
        </w:rPr>
        <w:t xml:space="preserve"> أيار/مايو </w:t>
      </w:r>
      <w:r w:rsidRPr="00160F80">
        <w:rPr>
          <w:szCs w:val="20"/>
          <w:rtl/>
        </w:rPr>
        <w:t>1999</w:t>
      </w:r>
      <w:r w:rsidRPr="002D1780">
        <w:rPr>
          <w:rtl/>
        </w:rPr>
        <w:t>.</w:t>
      </w:r>
      <w:r>
        <w:rPr>
          <w:rtl/>
        </w:rPr>
        <w:t xml:space="preserve"> وفي عام </w:t>
      </w:r>
      <w:r w:rsidRPr="00160F80">
        <w:rPr>
          <w:szCs w:val="20"/>
          <w:rtl/>
        </w:rPr>
        <w:t>2004</w:t>
      </w:r>
      <w:r>
        <w:rPr>
          <w:rtl/>
        </w:rPr>
        <w:t xml:space="preserve">، تلقت استدعاء من كتيبة الدرك في باب جديد في </w:t>
      </w:r>
      <w:r w:rsidRPr="00160F80">
        <w:rPr>
          <w:szCs w:val="20"/>
          <w:rtl/>
        </w:rPr>
        <w:t>17</w:t>
      </w:r>
      <w:r>
        <w:rPr>
          <w:rtl/>
        </w:rPr>
        <w:t xml:space="preserve"> تشرين الثاني/نوفمبر </w:t>
      </w:r>
      <w:r w:rsidRPr="00160F80">
        <w:rPr>
          <w:szCs w:val="20"/>
          <w:rtl/>
        </w:rPr>
        <w:t>2004</w:t>
      </w:r>
      <w:r w:rsidRPr="002D1780">
        <w:rPr>
          <w:rtl/>
        </w:rPr>
        <w:t>.</w:t>
      </w:r>
      <w:r>
        <w:rPr>
          <w:rtl/>
        </w:rPr>
        <w:t xml:space="preserve"> وفي</w:t>
      </w:r>
      <w:r w:rsidR="002D1780">
        <w:rPr>
          <w:rFonts w:hint="cs"/>
          <w:rtl/>
        </w:rPr>
        <w:t> </w:t>
      </w:r>
      <w:r w:rsidRPr="00160F80">
        <w:rPr>
          <w:szCs w:val="20"/>
          <w:rtl/>
        </w:rPr>
        <w:t>31</w:t>
      </w:r>
      <w:r>
        <w:rPr>
          <w:rtl/>
        </w:rPr>
        <w:t xml:space="preserve"> آب/أغسطس </w:t>
      </w:r>
      <w:r w:rsidRPr="00160F80">
        <w:rPr>
          <w:szCs w:val="20"/>
          <w:rtl/>
        </w:rPr>
        <w:t>2006</w:t>
      </w:r>
      <w:r>
        <w:rPr>
          <w:rtl/>
        </w:rPr>
        <w:t>، طلبت الحصول على تقرير عن اختفاء مراد من رئيس الكتيبة الإقليمية للدرك الوطني عملاً بالأحكام الواردة في النصوص التطبيقية لميثاق السلم والمصالحة الوطنية. وتلقت هذا</w:t>
      </w:r>
      <w:r w:rsidR="00DA3F02">
        <w:rPr>
          <w:rFonts w:hint="cs"/>
          <w:rtl/>
        </w:rPr>
        <w:t> </w:t>
      </w:r>
      <w:r>
        <w:rPr>
          <w:rtl/>
        </w:rPr>
        <w:t xml:space="preserve">التقرير المؤرخ </w:t>
      </w:r>
      <w:r w:rsidRPr="00160F80">
        <w:rPr>
          <w:szCs w:val="20"/>
          <w:rtl/>
        </w:rPr>
        <w:t>20</w:t>
      </w:r>
      <w:r>
        <w:rPr>
          <w:rtl/>
        </w:rPr>
        <w:t xml:space="preserve"> أيلول/سبتمبر </w:t>
      </w:r>
      <w:r w:rsidRPr="00160F80">
        <w:rPr>
          <w:szCs w:val="20"/>
          <w:rtl/>
        </w:rPr>
        <w:t>2006</w:t>
      </w:r>
      <w:r>
        <w:rPr>
          <w:rtl/>
        </w:rPr>
        <w:t xml:space="preserve"> عن طريق كتيبة الدرك في البليدة. وفي </w:t>
      </w:r>
      <w:r w:rsidRPr="00160F80">
        <w:rPr>
          <w:szCs w:val="20"/>
          <w:rtl/>
        </w:rPr>
        <w:t>29</w:t>
      </w:r>
      <w:r>
        <w:rPr>
          <w:rtl/>
        </w:rPr>
        <w:t xml:space="preserve"> تشرين الأول/</w:t>
      </w:r>
      <w:r w:rsidR="00DA3F02">
        <w:rPr>
          <w:rFonts w:hint="cs"/>
          <w:rtl/>
        </w:rPr>
        <w:t xml:space="preserve"> </w:t>
      </w:r>
      <w:r>
        <w:rPr>
          <w:rtl/>
        </w:rPr>
        <w:t xml:space="preserve">أكتوبر </w:t>
      </w:r>
      <w:r w:rsidRPr="00160F80">
        <w:rPr>
          <w:szCs w:val="20"/>
          <w:rtl/>
        </w:rPr>
        <w:t>2006</w:t>
      </w:r>
      <w:r>
        <w:rPr>
          <w:rtl/>
        </w:rPr>
        <w:t xml:space="preserve">، رفعت شكوى أخرى إلى النائب العام لدى محكمة الجزائر العاصمة. وفي أعقاب هذه الشكوى، استدعتها قوات الدرك عدة مرات خلال عام </w:t>
      </w:r>
      <w:r w:rsidRPr="00160F80">
        <w:rPr>
          <w:szCs w:val="20"/>
          <w:rtl/>
        </w:rPr>
        <w:t>2006</w:t>
      </w:r>
      <w:r>
        <w:rPr>
          <w:rtl/>
        </w:rPr>
        <w:t xml:space="preserve"> وعام </w:t>
      </w:r>
      <w:r w:rsidRPr="00160F80">
        <w:rPr>
          <w:szCs w:val="20"/>
          <w:rtl/>
        </w:rPr>
        <w:t>2007</w:t>
      </w:r>
      <w:r w:rsidRPr="00C96133">
        <w:rPr>
          <w:rtl/>
        </w:rPr>
        <w:t>.</w:t>
      </w:r>
      <w:r>
        <w:rPr>
          <w:rtl/>
        </w:rPr>
        <w:t xml:space="preserve"> وفي كل مرة، طلبت منها قوات الدرك اتخاذ الخطوات اللازمة للحصول على التعويضات التي يخوّلها ميثاق السلم والمصالحة </w:t>
      </w:r>
      <w:r w:rsidRPr="00DA3F02">
        <w:rPr>
          <w:spacing w:val="-2"/>
          <w:rtl/>
        </w:rPr>
        <w:t xml:space="preserve">الوطنية. وفي وقت لاحق، تلقت عائلة بن جاعل استدعاءيْن آخريْن موجّهين إلى مراد، الأول بتاريخ </w:t>
      </w:r>
      <w:r w:rsidRPr="00160F80">
        <w:rPr>
          <w:spacing w:val="-2"/>
          <w:szCs w:val="20"/>
          <w:rtl/>
        </w:rPr>
        <w:t>25</w:t>
      </w:r>
      <w:r>
        <w:rPr>
          <w:rtl/>
        </w:rPr>
        <w:t xml:space="preserve"> نيسان/أبريل </w:t>
      </w:r>
      <w:r w:rsidRPr="00160F80">
        <w:rPr>
          <w:szCs w:val="20"/>
          <w:rtl/>
        </w:rPr>
        <w:t>2009</w:t>
      </w:r>
      <w:r>
        <w:rPr>
          <w:rtl/>
        </w:rPr>
        <w:t xml:space="preserve">، والثاني بتاريخ </w:t>
      </w:r>
      <w:r w:rsidRPr="00160F80">
        <w:rPr>
          <w:szCs w:val="20"/>
          <w:rtl/>
        </w:rPr>
        <w:t>2</w:t>
      </w:r>
      <w:r>
        <w:rPr>
          <w:rtl/>
        </w:rPr>
        <w:t xml:space="preserve"> أيار/مايو </w:t>
      </w:r>
      <w:r w:rsidRPr="00160F80">
        <w:rPr>
          <w:szCs w:val="20"/>
          <w:rtl/>
        </w:rPr>
        <w:t>2009</w:t>
      </w:r>
      <w:r>
        <w:rPr>
          <w:rtl/>
        </w:rPr>
        <w:t>.</w:t>
      </w:r>
    </w:p>
    <w:p w14:paraId="24AE5EB0" w14:textId="2B24DA03" w:rsidR="00B11A03" w:rsidRPr="008379B9" w:rsidRDefault="00B11A03" w:rsidP="00160F80">
      <w:pPr>
        <w:pStyle w:val="SingleTxtGA"/>
        <w:spacing w:line="350" w:lineRule="exact"/>
        <w:rPr>
          <w:szCs w:val="20"/>
          <w:lang w:val="ar-SA" w:eastAsia="zh-TW" w:bidi="en-GB"/>
        </w:rPr>
      </w:pPr>
      <w:r w:rsidRPr="00160F80">
        <w:rPr>
          <w:szCs w:val="20"/>
          <w:rtl/>
        </w:rPr>
        <w:t>2</w:t>
      </w:r>
      <w:r w:rsidRPr="00DA3F02">
        <w:rPr>
          <w:rtl/>
        </w:rPr>
        <w:t>-</w:t>
      </w:r>
      <w:r w:rsidRPr="00160F80">
        <w:rPr>
          <w:szCs w:val="20"/>
          <w:rtl/>
        </w:rPr>
        <w:t>7</w:t>
      </w:r>
      <w:r>
        <w:rPr>
          <w:rtl/>
        </w:rPr>
        <w:tab/>
        <w:t xml:space="preserve">وفي نهاية عام </w:t>
      </w:r>
      <w:r w:rsidRPr="00160F80">
        <w:rPr>
          <w:szCs w:val="20"/>
          <w:rtl/>
        </w:rPr>
        <w:t>2011</w:t>
      </w:r>
      <w:r>
        <w:rPr>
          <w:rtl/>
        </w:rPr>
        <w:t xml:space="preserve">، اكتشفت شقيقة مراد بن جاعل اسم شقيقها في سجلات مقبرة العالية في الجزائر العاصمة. ويرد في السجل أن مراد كان يبلغ من العمر </w:t>
      </w:r>
      <w:r w:rsidRPr="00160F80">
        <w:rPr>
          <w:szCs w:val="20"/>
          <w:rtl/>
        </w:rPr>
        <w:t>19</w:t>
      </w:r>
      <w:r>
        <w:rPr>
          <w:rtl/>
        </w:rPr>
        <w:t xml:space="preserve"> عاماً وقت وفاته، في حين أنه كان في الواقع يبلغ من العمر </w:t>
      </w:r>
      <w:r w:rsidRPr="00160F80">
        <w:rPr>
          <w:szCs w:val="20"/>
          <w:rtl/>
        </w:rPr>
        <w:t>27</w:t>
      </w:r>
      <w:r>
        <w:rPr>
          <w:rtl/>
        </w:rPr>
        <w:t xml:space="preserve"> عاماً يوم اعتقاله؛ وأنه قُتل برصاص جماعات مسلحة في القبة ودُفن في مقبرة مخصصة للإرهابيين. وحصلت على شهادة وفاة من بلدية القبة تفيد بأن موظفاً في مشرحة سانت أوجين </w:t>
      </w:r>
      <w:r w:rsidRPr="003A4F27">
        <w:t>(</w:t>
      </w:r>
      <w:r>
        <w:rPr>
          <w:rFonts w:cs="Times New Roman"/>
          <w:szCs w:val="20"/>
        </w:rPr>
        <w:t>Saint</w:t>
      </w:r>
      <w:r w:rsidRPr="00DA3F02">
        <w:t>-</w:t>
      </w:r>
      <w:r>
        <w:rPr>
          <w:rFonts w:cs="Times New Roman"/>
          <w:szCs w:val="20"/>
        </w:rPr>
        <w:t>Eugène</w:t>
      </w:r>
      <w:r w:rsidRPr="003A4F27">
        <w:t>)</w:t>
      </w:r>
      <w:r>
        <w:rPr>
          <w:rtl/>
        </w:rPr>
        <w:t xml:space="preserve"> بالجزائر العاصمة هو من صرّح بالوفاة. ووفقا</w:t>
      </w:r>
      <w:r w:rsidR="00C96133">
        <w:rPr>
          <w:rFonts w:hint="cs"/>
          <w:rtl/>
        </w:rPr>
        <w:t>ً</w:t>
      </w:r>
      <w:r>
        <w:rPr>
          <w:rtl/>
        </w:rPr>
        <w:t xml:space="preserve"> لما ذكره الموظف المعني، فإن أفراداً في الشرطة التابعة للمصلحة المركزية لقمع الإجرام أحضروا جثة مراد إلى المشرحة في </w:t>
      </w:r>
      <w:r w:rsidRPr="00160F80">
        <w:rPr>
          <w:szCs w:val="20"/>
          <w:rtl/>
        </w:rPr>
        <w:t>7</w:t>
      </w:r>
      <w:r>
        <w:rPr>
          <w:rtl/>
        </w:rPr>
        <w:t xml:space="preserve"> حزيران/</w:t>
      </w:r>
      <w:proofErr w:type="gramStart"/>
      <w:r>
        <w:rPr>
          <w:rtl/>
        </w:rPr>
        <w:t>يونيه</w:t>
      </w:r>
      <w:proofErr w:type="gramEnd"/>
      <w:r>
        <w:rPr>
          <w:rtl/>
        </w:rPr>
        <w:t xml:space="preserve"> </w:t>
      </w:r>
      <w:r w:rsidRPr="00160F80">
        <w:rPr>
          <w:szCs w:val="20"/>
          <w:rtl/>
        </w:rPr>
        <w:t>1994</w:t>
      </w:r>
      <w:r>
        <w:rPr>
          <w:rtl/>
        </w:rPr>
        <w:t xml:space="preserve"> ثم دفنت الجثة في </w:t>
      </w:r>
      <w:r w:rsidRPr="00160F80">
        <w:rPr>
          <w:szCs w:val="20"/>
          <w:rtl/>
        </w:rPr>
        <w:t>15</w:t>
      </w:r>
      <w:r>
        <w:rPr>
          <w:rtl/>
        </w:rPr>
        <w:t xml:space="preserve"> آب/أغسطس </w:t>
      </w:r>
      <w:r w:rsidRPr="00160F80">
        <w:rPr>
          <w:szCs w:val="20"/>
          <w:rtl/>
        </w:rPr>
        <w:t>1994</w:t>
      </w:r>
      <w:r>
        <w:rPr>
          <w:rtl/>
        </w:rPr>
        <w:t xml:space="preserve"> في مقبرة العالية</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8"/>
      </w:r>
      <w:r w:rsidR="00187AE0" w:rsidRPr="00AB3B40">
        <w:rPr>
          <w:rStyle w:val="FootnoteReference"/>
          <w:b w:val="0"/>
          <w:position w:val="4"/>
          <w:sz w:val="20"/>
          <w:rtl/>
        </w:rPr>
        <w:t>)</w:t>
      </w:r>
      <w:r w:rsidR="00DA3F02">
        <w:rPr>
          <w:rtl/>
        </w:rPr>
        <w:t>.</w:t>
      </w:r>
    </w:p>
    <w:p w14:paraId="50734553" w14:textId="77777777" w:rsidR="00B11A03" w:rsidRPr="00FA698A" w:rsidRDefault="00B11A03" w:rsidP="00B11A03">
      <w:pPr>
        <w:pStyle w:val="SingleTxtGA"/>
        <w:rPr>
          <w:szCs w:val="20"/>
          <w:lang w:val="ar-SA" w:eastAsia="zh-TW" w:bidi="en-GB"/>
        </w:rPr>
      </w:pPr>
      <w:r w:rsidRPr="00160F80">
        <w:rPr>
          <w:szCs w:val="20"/>
          <w:rtl/>
        </w:rPr>
        <w:lastRenderedPageBreak/>
        <w:t>2</w:t>
      </w:r>
      <w:r w:rsidRPr="00DA3F02">
        <w:rPr>
          <w:rtl/>
        </w:rPr>
        <w:t>-</w:t>
      </w:r>
      <w:r w:rsidRPr="00160F80">
        <w:rPr>
          <w:szCs w:val="20"/>
          <w:rtl/>
        </w:rPr>
        <w:t>8</w:t>
      </w:r>
      <w:r>
        <w:rPr>
          <w:rtl/>
        </w:rPr>
        <w:tab/>
        <w:t xml:space="preserve">ونظراً لتضارب المعلومات، قدمت مليكة بن جاعل شكوى في </w:t>
      </w:r>
      <w:r w:rsidRPr="00160F80">
        <w:rPr>
          <w:szCs w:val="20"/>
          <w:rtl/>
        </w:rPr>
        <w:t>8</w:t>
      </w:r>
      <w:r>
        <w:rPr>
          <w:rtl/>
        </w:rPr>
        <w:t xml:space="preserve"> نيسان/أبريل </w:t>
      </w:r>
      <w:r w:rsidRPr="00160F80">
        <w:rPr>
          <w:szCs w:val="20"/>
          <w:rtl/>
        </w:rPr>
        <w:t>2013</w:t>
      </w:r>
      <w:r>
        <w:rPr>
          <w:rtl/>
        </w:rPr>
        <w:t xml:space="preserve"> إلى النائب العام لدى محكمة سيدي أمحمد، طالبةً فتح تحقيق. وفي </w:t>
      </w:r>
      <w:r w:rsidRPr="00160F80">
        <w:rPr>
          <w:szCs w:val="20"/>
          <w:rtl/>
        </w:rPr>
        <w:t>3</w:t>
      </w:r>
      <w:r>
        <w:rPr>
          <w:rtl/>
        </w:rPr>
        <w:t xml:space="preserve"> تشرين الأول/أكتوبر </w:t>
      </w:r>
      <w:r w:rsidRPr="00160F80">
        <w:rPr>
          <w:szCs w:val="20"/>
          <w:rtl/>
        </w:rPr>
        <w:t>2013</w:t>
      </w:r>
      <w:r>
        <w:rPr>
          <w:rtl/>
        </w:rPr>
        <w:t xml:space="preserve">، قدمت طلباً إلى محكمة الجزائر العاصمة من أجل الحصول على إذن باستخراج الجثة. وفي أعقاب هذا الطلب، استدعاها النائب العام لدى محكمة سيدي أمحمد في </w:t>
      </w:r>
      <w:r w:rsidRPr="00160F80">
        <w:rPr>
          <w:szCs w:val="20"/>
          <w:rtl/>
        </w:rPr>
        <w:t>3</w:t>
      </w:r>
      <w:r>
        <w:rPr>
          <w:rtl/>
        </w:rPr>
        <w:t xml:space="preserve"> تشرين الثاني/نوفمبر </w:t>
      </w:r>
      <w:r w:rsidRPr="00160F80">
        <w:rPr>
          <w:szCs w:val="20"/>
          <w:rtl/>
        </w:rPr>
        <w:t>2013</w:t>
      </w:r>
      <w:r>
        <w:rPr>
          <w:rtl/>
        </w:rPr>
        <w:t xml:space="preserve"> وفي </w:t>
      </w:r>
      <w:r w:rsidRPr="00160F80">
        <w:rPr>
          <w:szCs w:val="20"/>
          <w:rtl/>
        </w:rPr>
        <w:t>13</w:t>
      </w:r>
      <w:r>
        <w:rPr>
          <w:rtl/>
        </w:rPr>
        <w:t xml:space="preserve"> كانون الثاني/يناير </w:t>
      </w:r>
      <w:proofErr w:type="spellStart"/>
      <w:r>
        <w:rPr>
          <w:rtl/>
        </w:rPr>
        <w:t>و</w:t>
      </w:r>
      <w:r w:rsidRPr="00160F80">
        <w:rPr>
          <w:szCs w:val="20"/>
          <w:rtl/>
        </w:rPr>
        <w:t>20</w:t>
      </w:r>
      <w:proofErr w:type="spellEnd"/>
      <w:r>
        <w:rPr>
          <w:rtl/>
        </w:rPr>
        <w:t xml:space="preserve"> شباط/فبراير </w:t>
      </w:r>
      <w:r w:rsidRPr="00160F80">
        <w:rPr>
          <w:szCs w:val="20"/>
          <w:rtl/>
        </w:rPr>
        <w:t>2014</w:t>
      </w:r>
      <w:r>
        <w:rPr>
          <w:rFonts w:ascii="Traditional Arabic"/>
          <w:szCs w:val="20"/>
          <w:rtl/>
        </w:rPr>
        <w:t>.</w:t>
      </w:r>
      <w:r>
        <w:rPr>
          <w:rtl/>
        </w:rPr>
        <w:t xml:space="preserve"> وفي المقابلة الأخيرة، أبلغها المدعي العام بأنه لن يلبي طلب استخراج الجثة وحاول إقناعها باتخاذ الإجراءات اللازمة للحصول على تعويض وفق ما تنص عليه النصوص التطبيقية لميثاق السلم والمصالحة الوطنية. وفي </w:t>
      </w:r>
      <w:r w:rsidRPr="00160F80">
        <w:rPr>
          <w:szCs w:val="20"/>
          <w:rtl/>
        </w:rPr>
        <w:t>26</w:t>
      </w:r>
      <w:r>
        <w:rPr>
          <w:rtl/>
        </w:rPr>
        <w:t xml:space="preserve"> نيسان/أبريل </w:t>
      </w:r>
      <w:r w:rsidRPr="00160F80">
        <w:rPr>
          <w:szCs w:val="20"/>
          <w:rtl/>
        </w:rPr>
        <w:t>2014</w:t>
      </w:r>
      <w:r>
        <w:rPr>
          <w:rtl/>
        </w:rPr>
        <w:t xml:space="preserve">، استُدعيت للحضور بمقر كتيبة الدرك في باب جديد، حيث أبلغها رئيس الكتيبة بأنه تلقى وثيقة من المديرية العامة للدرك الوطني تفيد بأن مراد بن جاعل قُتل في جماعة مسلحة في عام </w:t>
      </w:r>
      <w:r w:rsidRPr="00160F80">
        <w:rPr>
          <w:szCs w:val="20"/>
          <w:rtl/>
        </w:rPr>
        <w:t>2006</w:t>
      </w:r>
      <w:r>
        <w:rPr>
          <w:rFonts w:ascii="Traditional Arabic"/>
          <w:szCs w:val="20"/>
          <w:rtl/>
        </w:rPr>
        <w:t>.</w:t>
      </w:r>
      <w:r>
        <w:rPr>
          <w:rtl/>
        </w:rPr>
        <w:t xml:space="preserve"> فطلبت مليكة بن جاعل نسخة من هذه الوثيقة، لكن رئيس الفرقة أخبرها أنه غير مخوّل إعطاءها إياها.</w:t>
      </w:r>
    </w:p>
    <w:p w14:paraId="7137749D" w14:textId="6B62D0C6" w:rsidR="00B11A03" w:rsidRDefault="00B11A03" w:rsidP="00B11A03">
      <w:pPr>
        <w:pStyle w:val="SingleTxtGA"/>
        <w:rPr>
          <w:rtl/>
        </w:rPr>
      </w:pPr>
      <w:r w:rsidRPr="00160F80">
        <w:rPr>
          <w:szCs w:val="20"/>
          <w:rtl/>
        </w:rPr>
        <w:t>2</w:t>
      </w:r>
      <w:r w:rsidRPr="00DA3F02">
        <w:rPr>
          <w:rtl/>
        </w:rPr>
        <w:t>-</w:t>
      </w:r>
      <w:r w:rsidRPr="00160F80">
        <w:rPr>
          <w:szCs w:val="20"/>
          <w:rtl/>
        </w:rPr>
        <w:t>9</w:t>
      </w:r>
      <w:r>
        <w:rPr>
          <w:rtl/>
        </w:rPr>
        <w:tab/>
        <w:t>ولجأت مليكة بن جاعل أيضاً إلى هيئات غير قضائية شتى، بالتوازي مع المساعي التي قامت بها لدى السلطات القضائية، وبعثت رسائل عديدة وأودعت ملفاً لدى اللجنة الوطنية الاستشارية لترقية حقوق الإنسان وحمايتها</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9"/>
      </w:r>
      <w:r w:rsidR="00187AE0" w:rsidRPr="00AB3B40">
        <w:rPr>
          <w:rStyle w:val="FootnoteReference"/>
          <w:b w:val="0"/>
          <w:position w:val="4"/>
          <w:sz w:val="20"/>
          <w:rtl/>
        </w:rPr>
        <w:t>)</w:t>
      </w:r>
      <w:r w:rsidR="00DA3F02">
        <w:rPr>
          <w:rtl/>
        </w:rPr>
        <w:t>.</w:t>
      </w:r>
      <w:r>
        <w:rPr>
          <w:rtl/>
        </w:rPr>
        <w:t xml:space="preserve"> وفي </w:t>
      </w:r>
      <w:r w:rsidRPr="00160F80">
        <w:rPr>
          <w:szCs w:val="20"/>
          <w:rtl/>
        </w:rPr>
        <w:t>8</w:t>
      </w:r>
      <w:r>
        <w:rPr>
          <w:rtl/>
        </w:rPr>
        <w:t xml:space="preserve"> نيسان/أبريل </w:t>
      </w:r>
      <w:r w:rsidRPr="00160F80">
        <w:rPr>
          <w:szCs w:val="20"/>
          <w:rtl/>
        </w:rPr>
        <w:t>2003</w:t>
      </w:r>
      <w:r>
        <w:rPr>
          <w:rtl/>
        </w:rPr>
        <w:t>، أرسلت طلبا</w:t>
      </w:r>
      <w:r w:rsidR="002B65AF">
        <w:rPr>
          <w:rFonts w:hint="cs"/>
          <w:rtl/>
        </w:rPr>
        <w:t>ً</w:t>
      </w:r>
      <w:r>
        <w:rPr>
          <w:rtl/>
        </w:rPr>
        <w:t xml:space="preserve"> مشتركا</w:t>
      </w:r>
      <w:r w:rsidR="002B65AF">
        <w:rPr>
          <w:rFonts w:hint="cs"/>
          <w:rtl/>
        </w:rPr>
        <w:t>ً</w:t>
      </w:r>
      <w:r>
        <w:rPr>
          <w:rtl/>
        </w:rPr>
        <w:t xml:space="preserve"> إلى رئيس الجمهورية، ورئيس الحكومة، ووزير الداخلية، ووزير العدل، وكذلك إلى اللجنة الاستشارية الوطنية لتعزيز حقوق الإنسان وحمايتها. وفي </w:t>
      </w:r>
      <w:r w:rsidRPr="00160F80">
        <w:rPr>
          <w:szCs w:val="20"/>
          <w:rtl/>
        </w:rPr>
        <w:t>12</w:t>
      </w:r>
      <w:r>
        <w:rPr>
          <w:rtl/>
        </w:rPr>
        <w:t xml:space="preserve"> آب/أغسطس </w:t>
      </w:r>
      <w:r w:rsidRPr="00160F80">
        <w:rPr>
          <w:szCs w:val="20"/>
          <w:rtl/>
        </w:rPr>
        <w:t>2004</w:t>
      </w:r>
      <w:r>
        <w:rPr>
          <w:rtl/>
        </w:rPr>
        <w:t>، لجأت إلى السلطات المذكورة أعلاه مرة أخرى. ووجهت رسالة إلى مستشار حقوق الإنسان لدى رئاسة الجمهورية، وكتبت مرة أخرى إلى اللجنة الاستشارية الوطنية لتعزيز حقوق الإنسان</w:t>
      </w:r>
      <w:r w:rsidRPr="004D28AD">
        <w:rPr>
          <w:rtl/>
        </w:rPr>
        <w:t xml:space="preserve"> </w:t>
      </w:r>
      <w:r>
        <w:rPr>
          <w:rtl/>
        </w:rPr>
        <w:t>وحمايتها، ورئيس الحكومة، ووزير العدل</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0"/>
      </w:r>
      <w:r w:rsidR="00187AE0" w:rsidRPr="00AB3B40">
        <w:rPr>
          <w:rStyle w:val="FootnoteReference"/>
          <w:b w:val="0"/>
          <w:position w:val="4"/>
          <w:sz w:val="20"/>
          <w:rtl/>
        </w:rPr>
        <w:t>)</w:t>
      </w:r>
      <w:r w:rsidR="00DA3F02">
        <w:rPr>
          <w:rtl/>
        </w:rPr>
        <w:t>.</w:t>
      </w:r>
      <w:r>
        <w:rPr>
          <w:rtl/>
        </w:rPr>
        <w:t xml:space="preserve"> وتلقت أسرة بن جاعل محضر شرطة بتاريخ </w:t>
      </w:r>
      <w:r w:rsidRPr="00160F80">
        <w:rPr>
          <w:szCs w:val="20"/>
          <w:rtl/>
        </w:rPr>
        <w:t>19</w:t>
      </w:r>
      <w:r>
        <w:rPr>
          <w:rtl/>
        </w:rPr>
        <w:t xml:space="preserve"> آب/أغسطس </w:t>
      </w:r>
      <w:r w:rsidRPr="00160F80">
        <w:rPr>
          <w:szCs w:val="20"/>
          <w:rtl/>
        </w:rPr>
        <w:t>2009</w:t>
      </w:r>
      <w:r>
        <w:rPr>
          <w:rtl/>
        </w:rPr>
        <w:t xml:space="preserve"> يتضمن توصية باتباع إجراءات التعويض المنصوص عليها في ميثاق السلم والمصالحة الوطنية.</w:t>
      </w:r>
    </w:p>
    <w:p w14:paraId="7781A7B6" w14:textId="0075D86A"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10</w:t>
      </w:r>
      <w:r>
        <w:rPr>
          <w:rtl/>
        </w:rPr>
        <w:tab/>
        <w:t>وتفيد مليكة بن جاعل أيضاً بأنها تعرضت مراراً للاعتقال والعنف خلال مظاهرات سلمية شاركت فيها تلبية لنداء من جمعية "</w:t>
      </w:r>
      <w:r>
        <w:rPr>
          <w:rFonts w:cs="Times New Roman"/>
          <w:szCs w:val="20"/>
          <w:rtl/>
        </w:rPr>
        <w:t xml:space="preserve">SOS </w:t>
      </w:r>
      <w:proofErr w:type="spellStart"/>
      <w:r>
        <w:rPr>
          <w:rFonts w:cs="Times New Roman"/>
          <w:szCs w:val="20"/>
          <w:rtl/>
        </w:rPr>
        <w:t>Disparus</w:t>
      </w:r>
      <w:proofErr w:type="spellEnd"/>
      <w:r w:rsidRPr="002B65AF">
        <w:rPr>
          <w:rFonts w:ascii="Traditional Arabic" w:hAnsi="Traditional Arabic"/>
          <w:sz w:val="28"/>
          <w:rtl/>
        </w:rPr>
        <w:t>"</w:t>
      </w:r>
      <w:r>
        <w:rPr>
          <w:rFonts w:cs="Times New Roman"/>
          <w:szCs w:val="20"/>
          <w:rtl/>
        </w:rPr>
        <w:t xml:space="preserve"> </w:t>
      </w:r>
      <w:r w:rsidRPr="003A4F27">
        <w:rPr>
          <w:rtl/>
        </w:rPr>
        <w:t>(</w:t>
      </w:r>
      <w:r w:rsidRPr="00AC7FC0">
        <w:rPr>
          <w:rtl/>
        </w:rPr>
        <w:t>إغاثة المختفين</w:t>
      </w:r>
      <w:r w:rsidRPr="003A4F27">
        <w:rPr>
          <w:rtl/>
        </w:rPr>
        <w:t>)</w:t>
      </w:r>
      <w:r w:rsidRPr="00AC7FC0">
        <w:rPr>
          <w:rtl/>
        </w:rPr>
        <w:t>.</w:t>
      </w:r>
      <w:r>
        <w:rPr>
          <w:rtl/>
        </w:rPr>
        <w:t xml:space="preserve"> وأُلقي القبض على صاحبيْ البلاغ وتعرضا لسوء المعاملة عدة مرات خلال تجمعات لأسر المختفين، بما في ذلك في </w:t>
      </w:r>
      <w:r w:rsidRPr="00160F80">
        <w:rPr>
          <w:szCs w:val="20"/>
          <w:rtl/>
        </w:rPr>
        <w:t>8</w:t>
      </w:r>
      <w:r>
        <w:rPr>
          <w:rtl/>
        </w:rPr>
        <w:t xml:space="preserve"> آذار/</w:t>
      </w:r>
      <w:r w:rsidR="002B65AF">
        <w:rPr>
          <w:rFonts w:hint="cs"/>
          <w:rtl/>
        </w:rPr>
        <w:t xml:space="preserve"> </w:t>
      </w:r>
      <w:r>
        <w:rPr>
          <w:rtl/>
        </w:rPr>
        <w:t>مارس</w:t>
      </w:r>
      <w:r w:rsidR="002B65AF">
        <w:rPr>
          <w:rFonts w:hint="cs"/>
          <w:rtl/>
        </w:rPr>
        <w:t> </w:t>
      </w:r>
      <w:r w:rsidRPr="00160F80">
        <w:rPr>
          <w:szCs w:val="20"/>
          <w:rtl/>
        </w:rPr>
        <w:t>2008</w:t>
      </w:r>
      <w:r>
        <w:rPr>
          <w:rtl/>
        </w:rPr>
        <w:t>، بمناسبة الاحتفال باليوم الدولي للمرأة.</w:t>
      </w:r>
    </w:p>
    <w:p w14:paraId="440BFAE9" w14:textId="77777777"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11</w:t>
      </w:r>
      <w:r>
        <w:rPr>
          <w:rtl/>
        </w:rPr>
        <w:tab/>
        <w:t xml:space="preserve">ورغم الجهود التي بذلها صاحبا البلاغ، لم يُفتح أي تحقيق لتحليل التناقضات الكبيرة بين المعلومات الواردة في السجلات الرسمية وإفادات السلطات وشهادات الشهود، بما في ذلك أ. ب. ومروان بن جاعل. ويؤكد صاحبا البلاغ أنه لم يعد يجوز لهما قانوناً اللجوء إلى القضاء، بعد صدور الأمر رقم </w:t>
      </w:r>
      <w:r w:rsidRPr="00160F80">
        <w:rPr>
          <w:szCs w:val="20"/>
          <w:rtl/>
        </w:rPr>
        <w:t>06</w:t>
      </w:r>
      <w:r w:rsidRPr="00DA3F02">
        <w:rPr>
          <w:rtl/>
        </w:rPr>
        <w:t>-</w:t>
      </w:r>
      <w:r w:rsidRPr="00160F80">
        <w:rPr>
          <w:szCs w:val="20"/>
          <w:rtl/>
        </w:rPr>
        <w:t>01</w:t>
      </w:r>
      <w:r>
        <w:rPr>
          <w:rtl/>
        </w:rPr>
        <w:t xml:space="preserve"> المؤرخ </w:t>
      </w:r>
      <w:r w:rsidRPr="00160F80">
        <w:rPr>
          <w:szCs w:val="20"/>
          <w:rtl/>
        </w:rPr>
        <w:t>27</w:t>
      </w:r>
      <w:r>
        <w:rPr>
          <w:rtl/>
        </w:rPr>
        <w:t xml:space="preserve"> شباط/فبراير </w:t>
      </w:r>
      <w:r w:rsidRPr="00160F80">
        <w:rPr>
          <w:szCs w:val="20"/>
          <w:rtl/>
        </w:rPr>
        <w:t>2006</w:t>
      </w:r>
      <w:r>
        <w:rPr>
          <w:rtl/>
        </w:rPr>
        <w:t xml:space="preserve"> المتضمن تنفيذ ميثاق السلم والمصالحة الوطنية. وبناءً عليه، انعدمت كلياً سبل الانتصاف المحلية، وهي لم تكن مفيدة وفعالة على أي حال. حيث إن ميثاق السلم والمصالحة الوطنية ينص على أن "الأفعال الجديرة بالعقاب المقترفة من قبل أعوان الدولة الذين </w:t>
      </w:r>
      <w:r>
        <w:rPr>
          <w:rtl/>
        </w:rPr>
        <w:lastRenderedPageBreak/>
        <w:t>تمت معاقبتهم من قبل العدالة كلما ثبتت تلك الأفعال، لا يمكن أن تكون مدعاة لإلقاء الشبهة على سائر قوات النظام العام التي اضطلعت بواجبها بمؤازرة من المواطنين وخدمةً للوطن".</w:t>
      </w:r>
    </w:p>
    <w:p w14:paraId="1AA597FC" w14:textId="77777777"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12</w:t>
      </w:r>
      <w:r>
        <w:rPr>
          <w:rtl/>
        </w:rPr>
        <w:tab/>
        <w:t xml:space="preserve">ويفيد صاحبا البلاغ بأن الأمر رقم </w:t>
      </w:r>
      <w:r w:rsidRPr="00160F80">
        <w:rPr>
          <w:szCs w:val="20"/>
          <w:rtl/>
        </w:rPr>
        <w:t>06</w:t>
      </w:r>
      <w:r w:rsidRPr="00DA3F02">
        <w:rPr>
          <w:rtl/>
        </w:rPr>
        <w:t>-</w:t>
      </w:r>
      <w:r w:rsidRPr="00160F80">
        <w:rPr>
          <w:szCs w:val="20"/>
          <w:rtl/>
        </w:rPr>
        <w:t>01</w:t>
      </w:r>
      <w:r>
        <w:rPr>
          <w:rtl/>
        </w:rPr>
        <w:t xml:space="preserve"> يمنع من اللجوء إلى القضاء تحت طائلة الملاحقة الجنائية، مما يعفي الضحايا من واجب استنفاد سبل الانتصاف المحلية. ويحظر هذا الأمر تقديم أي شكوى بشأن الاختفاء أو الجرائم الأخرى، حيث إن المادة </w:t>
      </w:r>
      <w:r w:rsidRPr="00160F80">
        <w:rPr>
          <w:szCs w:val="20"/>
          <w:rtl/>
        </w:rPr>
        <w:t>45</w:t>
      </w:r>
      <w:r>
        <w:rPr>
          <w:rtl/>
        </w:rPr>
        <w:t xml:space="preserve"> منه تنص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 مؤسسات الجمهورية الجزائرية الديمقراطية الشعبية". وبموجب هذا الحكم، تكون الجهة القضائية المختصة ملزمة بعدم قبول كل إبلاغ أو شكوى. وبالإضافة إلى ذلك، تنص المادة </w:t>
      </w:r>
      <w:r w:rsidRPr="00160F80">
        <w:rPr>
          <w:szCs w:val="20"/>
          <w:rtl/>
        </w:rPr>
        <w:t>46</w:t>
      </w:r>
      <w:r>
        <w:rPr>
          <w:rtl/>
        </w:rPr>
        <w:t xml:space="preserve"> من الأمر نفسه على ما يلي: "يعاقب بالحبس من ثلاث </w:t>
      </w:r>
      <w:r w:rsidRPr="003A4F27">
        <w:rPr>
          <w:rtl/>
        </w:rPr>
        <w:t>(</w:t>
      </w:r>
      <w:r w:rsidRPr="00160F80">
        <w:rPr>
          <w:szCs w:val="20"/>
          <w:rtl/>
        </w:rPr>
        <w:t>3</w:t>
      </w:r>
      <w:r w:rsidRPr="003A4F27">
        <w:rPr>
          <w:rtl/>
        </w:rPr>
        <w:t>)</w:t>
      </w:r>
      <w:r>
        <w:rPr>
          <w:rtl/>
        </w:rPr>
        <w:t xml:space="preserve"> سنوات إلى خمس </w:t>
      </w:r>
      <w:r w:rsidRPr="003A4F27">
        <w:rPr>
          <w:rtl/>
        </w:rPr>
        <w:t>(</w:t>
      </w:r>
      <w:r w:rsidRPr="00160F80">
        <w:rPr>
          <w:szCs w:val="20"/>
          <w:rtl/>
        </w:rPr>
        <w:t>5</w:t>
      </w:r>
      <w:r w:rsidRPr="003A4F27">
        <w:rPr>
          <w:rtl/>
        </w:rPr>
        <w:t>)</w:t>
      </w:r>
      <w:r>
        <w:rPr>
          <w:rtl/>
        </w:rPr>
        <w:t xml:space="preserve"> سنوات وبغرامة من </w:t>
      </w:r>
      <w:r w:rsidRPr="00160F80">
        <w:rPr>
          <w:szCs w:val="20"/>
          <w:rtl/>
        </w:rPr>
        <w:t>000</w:t>
      </w:r>
      <w:r>
        <w:rPr>
          <w:rFonts w:ascii="Traditional Arabic"/>
          <w:szCs w:val="20"/>
          <w:rtl/>
        </w:rPr>
        <w:t xml:space="preserve"> </w:t>
      </w:r>
      <w:r w:rsidRPr="00160F80">
        <w:rPr>
          <w:szCs w:val="20"/>
          <w:rtl/>
        </w:rPr>
        <w:t>250</w:t>
      </w:r>
      <w:r>
        <w:rPr>
          <w:rtl/>
        </w:rPr>
        <w:t xml:space="preserve"> إلى </w:t>
      </w:r>
      <w:r w:rsidRPr="00160F80">
        <w:rPr>
          <w:szCs w:val="20"/>
          <w:rtl/>
        </w:rPr>
        <w:t>000</w:t>
      </w:r>
      <w:r>
        <w:rPr>
          <w:rFonts w:ascii="Traditional Arabic"/>
          <w:szCs w:val="20"/>
          <w:rtl/>
        </w:rPr>
        <w:t xml:space="preserve"> </w:t>
      </w:r>
      <w:r w:rsidRPr="00160F80">
        <w:rPr>
          <w:szCs w:val="20"/>
          <w:rtl/>
        </w:rPr>
        <w:t>500</w:t>
      </w:r>
      <w:r>
        <w:rPr>
          <w:rFonts w:ascii="Traditional Arabic"/>
          <w:szCs w:val="20"/>
          <w:rtl/>
        </w:rPr>
        <w:t xml:space="preserve"> [</w:t>
      </w:r>
      <w:r>
        <w:rPr>
          <w:rtl/>
        </w:rPr>
        <w:t>دينار جزائري</w:t>
      </w:r>
      <w:r>
        <w:rPr>
          <w:rFonts w:ascii="Traditional Arabic"/>
          <w:szCs w:val="20"/>
          <w:rtl/>
        </w:rPr>
        <w:t>]</w:t>
      </w:r>
      <w:r>
        <w:rPr>
          <w:rtl/>
        </w:rPr>
        <w:t xml:space="preserve"> كل من يستعمل، من خلال تصريحاته أو كتاباته أو أي عمل آخر، جراح المأساة الوطنية أو يعتد بها للمساس بمؤسسات الجمهورية الجزائرية الديمقراطية الشعبية، أو لإضعاف الدولة، أو للإضرار بكرامة أعوانها الذين خدموها بشرف، أو لتشويه سمعة الجزائر في المحافل الدولية. وتباشر النيابة العامة المتابعات الجزائية تلقائياً. وفي حالة العود، تضاعَف العقوبة المنصوص عليها في هذه المادة". </w:t>
      </w:r>
    </w:p>
    <w:p w14:paraId="5DC46221" w14:textId="297F4820"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13</w:t>
      </w:r>
      <w:r>
        <w:rPr>
          <w:rtl/>
        </w:rPr>
        <w:tab/>
        <w:t xml:space="preserve">ولم يتمكن مروان بن جاعل من تقديم شكوى أمام المحاكم الوطنية للاعتراض على احتجازه التعسفي أو الحصول على تعويض عن احتجازه غير المبرر. ولم يباشر أي إجراءات قضائية عندما أُطلق سراحه من السجن لأنه كان خائفاً جداً من العودة إلى السجن ولم يكن يرغب في المغامرة. وبالإضافة إلى ذلك، ينص القانون رقم </w:t>
      </w:r>
      <w:r w:rsidRPr="00160F80">
        <w:rPr>
          <w:szCs w:val="20"/>
          <w:rtl/>
        </w:rPr>
        <w:t>01</w:t>
      </w:r>
      <w:r w:rsidRPr="00DA3F02">
        <w:rPr>
          <w:rtl/>
        </w:rPr>
        <w:t>-</w:t>
      </w:r>
      <w:r w:rsidRPr="00160F80">
        <w:rPr>
          <w:szCs w:val="20"/>
          <w:rtl/>
        </w:rPr>
        <w:t>8</w:t>
      </w:r>
      <w:r w:rsidR="00DD335D" w:rsidRPr="00160F80">
        <w:rPr>
          <w:rFonts w:hint="cs"/>
          <w:szCs w:val="20"/>
          <w:rtl/>
        </w:rPr>
        <w:t>0</w:t>
      </w:r>
      <w:r>
        <w:rPr>
          <w:rtl/>
        </w:rPr>
        <w:t xml:space="preserve"> المؤرخ </w:t>
      </w:r>
      <w:r w:rsidRPr="00160F80">
        <w:rPr>
          <w:szCs w:val="20"/>
          <w:rtl/>
        </w:rPr>
        <w:t>26</w:t>
      </w:r>
      <w:r>
        <w:rPr>
          <w:rtl/>
        </w:rPr>
        <w:t xml:space="preserve"> حزيران/</w:t>
      </w:r>
      <w:proofErr w:type="gramStart"/>
      <w:r>
        <w:rPr>
          <w:rtl/>
        </w:rPr>
        <w:t>يونيه</w:t>
      </w:r>
      <w:proofErr w:type="gramEnd"/>
      <w:r>
        <w:rPr>
          <w:rtl/>
        </w:rPr>
        <w:t xml:space="preserve"> </w:t>
      </w:r>
      <w:r w:rsidRPr="00160F80">
        <w:rPr>
          <w:szCs w:val="20"/>
          <w:rtl/>
        </w:rPr>
        <w:t>2001</w:t>
      </w:r>
      <w:r>
        <w:rPr>
          <w:rtl/>
        </w:rPr>
        <w:t>، الذي يقضي بتضمين قانون الإجراءات الجزائية إجراءً يتيح طلب الحصول على تعويض في هذه الحالات، على وجوب تقديم هذا الطلب في غضون ستة أشهر من صدور قرار نهائي بإغلاق ملف القضية أو إطلاق السراح أو التبرئة. ولذلك لم يتمكن مروان بن جاعل من الاستفادة من هذا الحكم الذي دخل حيز النفاذ بعد مضي سنتين على تبرئته. وبسبب ما تعرض له من تعذيب</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1"/>
      </w:r>
      <w:r w:rsidR="00187AE0" w:rsidRPr="00AB3B40">
        <w:rPr>
          <w:rStyle w:val="FootnoteReference"/>
          <w:b w:val="0"/>
          <w:position w:val="4"/>
          <w:sz w:val="20"/>
          <w:rtl/>
        </w:rPr>
        <w:t>)</w:t>
      </w:r>
      <w:r w:rsidR="00DD335D">
        <w:rPr>
          <w:rFonts w:hint="cs"/>
          <w:rtl/>
        </w:rPr>
        <w:t>،</w:t>
      </w:r>
      <w:r>
        <w:rPr>
          <w:rtl/>
        </w:rPr>
        <w:t xml:space="preserve"> يشعر مروان بن جاعل بأنه مهدد ويخشى أن يتعرض مرة أخرى للتهديد والانتقام على يد السلطات إن قرر أن يباشر أي إجراءات</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2"/>
      </w:r>
      <w:r w:rsidR="00187AE0" w:rsidRPr="00AB3B40">
        <w:rPr>
          <w:rStyle w:val="FootnoteReference"/>
          <w:b w:val="0"/>
          <w:position w:val="4"/>
          <w:sz w:val="20"/>
          <w:rtl/>
        </w:rPr>
        <w:t>)</w:t>
      </w:r>
      <w:r w:rsidR="00DA3F02">
        <w:rPr>
          <w:rtl/>
        </w:rPr>
        <w:t>.</w:t>
      </w:r>
      <w:r>
        <w:rPr>
          <w:rtl/>
        </w:rPr>
        <w:t xml:space="preserve"> ويوضح أنه لم يذكر عند إطلاق سراحه من السجن تعرضه للتعذيب وسوء المعاملة لأنه لا يوجد أي سبيل قانوني للتظلم من التعذيب وسوء المعاملة.</w:t>
      </w:r>
    </w:p>
    <w:p w14:paraId="51F5860C" w14:textId="77777777" w:rsidR="00B11A03" w:rsidRPr="00FA698A" w:rsidRDefault="00B11A03" w:rsidP="00B11A03">
      <w:pPr>
        <w:pStyle w:val="SingleTxtGA"/>
        <w:rPr>
          <w:szCs w:val="20"/>
          <w:lang w:val="ar-SA" w:eastAsia="zh-TW" w:bidi="en-GB"/>
        </w:rPr>
      </w:pPr>
      <w:r w:rsidRPr="00160F80">
        <w:rPr>
          <w:szCs w:val="20"/>
          <w:rtl/>
        </w:rPr>
        <w:t>2</w:t>
      </w:r>
      <w:r w:rsidRPr="00DA3F02">
        <w:rPr>
          <w:rtl/>
        </w:rPr>
        <w:t>-</w:t>
      </w:r>
      <w:r w:rsidRPr="00160F80">
        <w:rPr>
          <w:szCs w:val="20"/>
          <w:rtl/>
        </w:rPr>
        <w:t>14</w:t>
      </w:r>
      <w:r>
        <w:rPr>
          <w:rtl/>
        </w:rPr>
        <w:tab/>
        <w:t xml:space="preserve">ويشير صاحبا البلاغ إلى أن ملف قضية مراد بن جاعل أُحيل أيضاً إلى الفريق العامل المعني بحالات الاختفاء القسري أو غير الطوعي في </w:t>
      </w:r>
      <w:r w:rsidRPr="00160F80">
        <w:rPr>
          <w:szCs w:val="20"/>
          <w:rtl/>
        </w:rPr>
        <w:t>12</w:t>
      </w:r>
      <w:r>
        <w:rPr>
          <w:rtl/>
        </w:rPr>
        <w:t xml:space="preserve"> أيلول/سبتمبر </w:t>
      </w:r>
      <w:r w:rsidRPr="00160F80">
        <w:rPr>
          <w:szCs w:val="20"/>
          <w:rtl/>
        </w:rPr>
        <w:t>2007</w:t>
      </w:r>
      <w:r>
        <w:rPr>
          <w:rtl/>
        </w:rPr>
        <w:t>.</w:t>
      </w:r>
    </w:p>
    <w:p w14:paraId="53245014" w14:textId="21EDD934" w:rsidR="00B11A03" w:rsidRPr="00FA698A" w:rsidRDefault="00B11A03" w:rsidP="00B11A03">
      <w:pPr>
        <w:pStyle w:val="H23GA"/>
        <w:rPr>
          <w:szCs w:val="20"/>
          <w:lang w:val="ar-SA" w:eastAsia="zh-TW" w:bidi="en-GB"/>
        </w:rPr>
      </w:pPr>
      <w:r>
        <w:rPr>
          <w:rtl/>
        </w:rPr>
        <w:tab/>
      </w:r>
      <w:r>
        <w:rPr>
          <w:rtl/>
        </w:rPr>
        <w:tab/>
        <w:t>الشكوى</w:t>
      </w:r>
    </w:p>
    <w:p w14:paraId="3320E150" w14:textId="77777777"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1</w:t>
      </w:r>
      <w:r>
        <w:rPr>
          <w:rtl/>
        </w:rPr>
        <w:tab/>
        <w:t xml:space="preserve">يدعي صاحبا البلاغ أن مراد بن جاعل وقع ضحية اختفاء وفقاً لتعريف الاختفاء القسري الوارد في المادة </w:t>
      </w:r>
      <w:r w:rsidRPr="00160F80">
        <w:rPr>
          <w:szCs w:val="20"/>
          <w:rtl/>
        </w:rPr>
        <w:t>2</w:t>
      </w:r>
      <w:r>
        <w:rPr>
          <w:rtl/>
        </w:rPr>
        <w:t xml:space="preserve"> من الاتفاقية الدولية لحماية جميع الأشخاص من الاختفاء القسري. وعلى الرغم من أن العهد لا يتضمن حكماً محدداً يشير صراحةً إلى حالات الاختفاء القسري، فإن هذه الممارسة تنطوي على انتهاكات للحق في الحياة، والحق في عدم التعرض للتعذيب وغيره من ضروب المعاملة أو </w:t>
      </w:r>
      <w:r>
        <w:rPr>
          <w:rtl/>
        </w:rPr>
        <w:lastRenderedPageBreak/>
        <w:t xml:space="preserve">العقوبة القاسية أو اللاإنسانية أو المهينة، والحق في الحرية والأمن الشخصي. وفي هذه القضية، يدعي صاحبا البلاغ انتهاك الدولة الطرف للفقرتين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وكذلك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14</w:t>
      </w:r>
      <w:proofErr w:type="spellEnd"/>
      <w:r>
        <w:rPr>
          <w:rtl/>
        </w:rPr>
        <w:t xml:space="preserve"> </w:t>
      </w:r>
      <w:proofErr w:type="spellStart"/>
      <w:r>
        <w:rPr>
          <w:rtl/>
        </w:rPr>
        <w:t>و</w:t>
      </w:r>
      <w:r w:rsidRPr="00160F80">
        <w:rPr>
          <w:szCs w:val="20"/>
          <w:rtl/>
        </w:rPr>
        <w:t>16</w:t>
      </w:r>
      <w:proofErr w:type="spellEnd"/>
      <w:r>
        <w:rPr>
          <w:rtl/>
        </w:rPr>
        <w:t xml:space="preserve"> </w:t>
      </w:r>
      <w:proofErr w:type="spellStart"/>
      <w:r>
        <w:rPr>
          <w:rtl/>
        </w:rPr>
        <w:t>و</w:t>
      </w:r>
      <w:r w:rsidRPr="00160F80">
        <w:rPr>
          <w:szCs w:val="20"/>
          <w:rtl/>
        </w:rPr>
        <w:t>17</w:t>
      </w:r>
      <w:proofErr w:type="spellEnd"/>
      <w:r>
        <w:rPr>
          <w:rtl/>
        </w:rPr>
        <w:t xml:space="preserve"> </w:t>
      </w:r>
      <w:proofErr w:type="spellStart"/>
      <w:r>
        <w:rPr>
          <w:rtl/>
        </w:rPr>
        <w:t>و</w:t>
      </w:r>
      <w:r w:rsidRPr="00160F80">
        <w:rPr>
          <w:szCs w:val="20"/>
          <w:rtl/>
        </w:rPr>
        <w:t>21</w:t>
      </w:r>
      <w:proofErr w:type="spellEnd"/>
      <w:r>
        <w:rPr>
          <w:rtl/>
        </w:rPr>
        <w:t xml:space="preserve"> من العهد.</w:t>
      </w:r>
      <w:bookmarkStart w:id="0" w:name="_Hlk27397930"/>
      <w:bookmarkEnd w:id="0"/>
    </w:p>
    <w:p w14:paraId="0F708FEF" w14:textId="33ADEDB8" w:rsidR="00B11A03" w:rsidRPr="00160F80" w:rsidRDefault="00B11A03" w:rsidP="00B11A03">
      <w:pPr>
        <w:pStyle w:val="SingleTxtGA"/>
        <w:rPr>
          <w:spacing w:val="-2"/>
          <w:rtl/>
        </w:rPr>
      </w:pPr>
      <w:r w:rsidRPr="00160F80">
        <w:rPr>
          <w:szCs w:val="20"/>
          <w:rtl/>
        </w:rPr>
        <w:t>3</w:t>
      </w:r>
      <w:r w:rsidRPr="00DA3F02">
        <w:rPr>
          <w:rtl/>
        </w:rPr>
        <w:t>-</w:t>
      </w:r>
      <w:r w:rsidRPr="00160F80">
        <w:rPr>
          <w:szCs w:val="20"/>
          <w:rtl/>
        </w:rPr>
        <w:t>2</w:t>
      </w:r>
      <w:r>
        <w:rPr>
          <w:rtl/>
        </w:rPr>
        <w:tab/>
      </w:r>
      <w:r w:rsidRPr="00160F80">
        <w:rPr>
          <w:spacing w:val="-2"/>
          <w:rtl/>
        </w:rPr>
        <w:t xml:space="preserve">ويرى صاحبا البلاغ أن الأمر رقم </w:t>
      </w:r>
      <w:r w:rsidRPr="00160F80">
        <w:rPr>
          <w:spacing w:val="-2"/>
          <w:szCs w:val="20"/>
          <w:rtl/>
        </w:rPr>
        <w:t>06</w:t>
      </w:r>
      <w:r w:rsidRPr="00160F80">
        <w:rPr>
          <w:spacing w:val="-2"/>
          <w:rtl/>
        </w:rPr>
        <w:t>-</w:t>
      </w:r>
      <w:r w:rsidRPr="00160F80">
        <w:rPr>
          <w:spacing w:val="-2"/>
          <w:szCs w:val="20"/>
          <w:rtl/>
        </w:rPr>
        <w:t>01</w:t>
      </w:r>
      <w:r w:rsidRPr="00160F80">
        <w:rPr>
          <w:rFonts w:ascii="Traditional Arabic"/>
          <w:spacing w:val="-2"/>
          <w:szCs w:val="20"/>
          <w:rtl/>
        </w:rPr>
        <w:t xml:space="preserve"> </w:t>
      </w:r>
      <w:r w:rsidRPr="00160F80">
        <w:rPr>
          <w:spacing w:val="-2"/>
          <w:rtl/>
        </w:rPr>
        <w:t xml:space="preserve">يشكل إخلالاً بالالتزام العام للدولة الطرف المكرّس في الفقرة </w:t>
      </w:r>
      <w:r w:rsidRPr="00160F80">
        <w:rPr>
          <w:spacing w:val="-2"/>
          <w:szCs w:val="20"/>
          <w:rtl/>
        </w:rPr>
        <w:t>2</w:t>
      </w:r>
      <w:r w:rsidRPr="00160F80">
        <w:rPr>
          <w:spacing w:val="-2"/>
          <w:rtl/>
        </w:rPr>
        <w:t xml:space="preserve"> من المادة </w:t>
      </w:r>
      <w:r w:rsidRPr="00160F80">
        <w:rPr>
          <w:spacing w:val="-2"/>
          <w:szCs w:val="20"/>
          <w:rtl/>
        </w:rPr>
        <w:t>2</w:t>
      </w:r>
      <w:r w:rsidRPr="00160F80">
        <w:rPr>
          <w:spacing w:val="-2"/>
          <w:rtl/>
        </w:rPr>
        <w:t xml:space="preserve"> من العهد، من حيث أن هذا الحكم يقتضي أيضاً تحمّل الدول الأطراف التزاماً سلبياً بعدم اتخاذ إجراءات منافية لأحكام العهد. وباعتماد الأمر المذكور، لا سيما المادة </w:t>
      </w:r>
      <w:r w:rsidRPr="00160F80">
        <w:rPr>
          <w:spacing w:val="-2"/>
          <w:szCs w:val="20"/>
          <w:rtl/>
        </w:rPr>
        <w:t>45</w:t>
      </w:r>
      <w:r w:rsidRPr="00160F80">
        <w:rPr>
          <w:spacing w:val="-2"/>
          <w:rtl/>
        </w:rPr>
        <w:t xml:space="preserve"> منه، تكون الدولة الطرف بذلك قد اتخذت إجراء تشريعياً يمنع تلقائياً التمتع بالحقوق المكفولة بموجب العهد</w:t>
      </w:r>
      <w:r w:rsidR="00187AE0" w:rsidRPr="00160F80">
        <w:rPr>
          <w:rStyle w:val="FootnoteReference"/>
          <w:b w:val="0"/>
          <w:spacing w:val="-2"/>
          <w:position w:val="4"/>
          <w:sz w:val="20"/>
          <w:rtl/>
        </w:rPr>
        <w:t>(</w:t>
      </w:r>
      <w:r w:rsidR="00187AE0" w:rsidRPr="00160F80">
        <w:rPr>
          <w:rStyle w:val="FootnoteReference"/>
          <w:rFonts w:cs="Times New Roman"/>
          <w:b w:val="0"/>
          <w:spacing w:val="-2"/>
          <w:position w:val="4"/>
          <w:sz w:val="20"/>
        </w:rPr>
        <w:footnoteReference w:id="13"/>
      </w:r>
      <w:r w:rsidR="00187AE0" w:rsidRPr="00160F80">
        <w:rPr>
          <w:rStyle w:val="FootnoteReference"/>
          <w:b w:val="0"/>
          <w:spacing w:val="-2"/>
          <w:position w:val="4"/>
          <w:sz w:val="20"/>
          <w:rtl/>
        </w:rPr>
        <w:t>)</w:t>
      </w:r>
      <w:r w:rsidR="00DC70CA" w:rsidRPr="00160F80">
        <w:rPr>
          <w:rFonts w:hint="cs"/>
          <w:spacing w:val="-2"/>
          <w:rtl/>
        </w:rPr>
        <w:t>،</w:t>
      </w:r>
      <w:r w:rsidRPr="00160F80">
        <w:rPr>
          <w:spacing w:val="-2"/>
          <w:rtl/>
        </w:rPr>
        <w:t xml:space="preserve"> لا</w:t>
      </w:r>
      <w:r w:rsidR="00160F80">
        <w:rPr>
          <w:rFonts w:hint="cs"/>
          <w:spacing w:val="-2"/>
          <w:rtl/>
        </w:rPr>
        <w:t> </w:t>
      </w:r>
      <w:r w:rsidRPr="00160F80">
        <w:rPr>
          <w:spacing w:val="-2"/>
          <w:rtl/>
        </w:rPr>
        <w:t xml:space="preserve">سيما الحق في إمكانية اللجوء إلى سبيل انتصاف فعال من انتهاكات حقوق الإنسان. ومنذ أن صدر هذا الأمر، تعذر على صاحبي البلاغ اللجوء إلى العدالة. وهما يريان أن الإخلال بالالتزام المنصوص عليه في الفقرة </w:t>
      </w:r>
      <w:r w:rsidRPr="00160F80">
        <w:rPr>
          <w:spacing w:val="-2"/>
          <w:szCs w:val="20"/>
          <w:rtl/>
        </w:rPr>
        <w:t>2</w:t>
      </w:r>
      <w:r w:rsidRPr="00160F80">
        <w:rPr>
          <w:spacing w:val="-2"/>
          <w:rtl/>
        </w:rPr>
        <w:t xml:space="preserve"> من المادة </w:t>
      </w:r>
      <w:r w:rsidRPr="00160F80">
        <w:rPr>
          <w:spacing w:val="-2"/>
          <w:szCs w:val="20"/>
          <w:rtl/>
        </w:rPr>
        <w:t>2</w:t>
      </w:r>
      <w:r w:rsidRPr="00160F80">
        <w:rPr>
          <w:spacing w:val="-2"/>
          <w:rtl/>
        </w:rPr>
        <w:t xml:space="preserve"> من العهد، بطريق الفعل أو الامتناع عن فعل، يمكن أن تنشأ عنه المسؤولية الدولية للدولة الطرف</w:t>
      </w:r>
      <w:r w:rsidR="00187AE0" w:rsidRPr="00160F80">
        <w:rPr>
          <w:rStyle w:val="FootnoteReference"/>
          <w:b w:val="0"/>
          <w:spacing w:val="-2"/>
          <w:position w:val="4"/>
          <w:sz w:val="20"/>
          <w:rtl/>
        </w:rPr>
        <w:t>(</w:t>
      </w:r>
      <w:r w:rsidR="00187AE0" w:rsidRPr="00160F80">
        <w:rPr>
          <w:rStyle w:val="FootnoteReference"/>
          <w:rFonts w:cs="Times New Roman"/>
          <w:b w:val="0"/>
          <w:spacing w:val="-2"/>
          <w:position w:val="4"/>
          <w:sz w:val="20"/>
        </w:rPr>
        <w:footnoteReference w:id="14"/>
      </w:r>
      <w:r w:rsidR="00187AE0" w:rsidRPr="00160F80">
        <w:rPr>
          <w:rStyle w:val="FootnoteReference"/>
          <w:b w:val="0"/>
          <w:spacing w:val="-2"/>
          <w:position w:val="4"/>
          <w:sz w:val="20"/>
          <w:rtl/>
        </w:rPr>
        <w:t>)</w:t>
      </w:r>
      <w:r w:rsidR="00DA3F02" w:rsidRPr="00160F80">
        <w:rPr>
          <w:spacing w:val="-2"/>
          <w:rtl/>
        </w:rPr>
        <w:t>.</w:t>
      </w:r>
      <w:r w:rsidRPr="00160F80">
        <w:rPr>
          <w:spacing w:val="-2"/>
          <w:rtl/>
        </w:rPr>
        <w:t xml:space="preserve"> ويؤكدان أن الشكاوى التي قدماها لم تُثمر أي نتائج رغم المساعي التي بذلاها بعد دخول ميثاق السلم والمصالحة الوطنية ونصوصه التطبيقية حيز النفاذ. ولذلك، فهما يعتبران أنهما تضررا من هذا الحكم التشريعي الذي يتعارض مع الفقرة </w:t>
      </w:r>
      <w:r w:rsidRPr="00160F80">
        <w:rPr>
          <w:spacing w:val="-2"/>
          <w:szCs w:val="20"/>
          <w:rtl/>
        </w:rPr>
        <w:t>2</w:t>
      </w:r>
      <w:r w:rsidRPr="00160F80">
        <w:rPr>
          <w:spacing w:val="-2"/>
          <w:rtl/>
        </w:rPr>
        <w:t xml:space="preserve"> من المادة </w:t>
      </w:r>
      <w:r w:rsidRPr="00160F80">
        <w:rPr>
          <w:spacing w:val="-2"/>
          <w:szCs w:val="20"/>
          <w:rtl/>
        </w:rPr>
        <w:t>2</w:t>
      </w:r>
      <w:r w:rsidRPr="00160F80">
        <w:rPr>
          <w:spacing w:val="-2"/>
          <w:rtl/>
        </w:rPr>
        <w:t xml:space="preserve"> من العهد.</w:t>
      </w:r>
    </w:p>
    <w:p w14:paraId="6C4E7D71" w14:textId="18AF86E1"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3</w:t>
      </w:r>
      <w:r>
        <w:rPr>
          <w:rtl/>
        </w:rPr>
        <w:tab/>
        <w:t xml:space="preserve">ويضيف صاحبا البلاغ أن أحكام الأمر رقم </w:t>
      </w:r>
      <w:r w:rsidRPr="00160F80">
        <w:rPr>
          <w:szCs w:val="20"/>
          <w:rtl/>
        </w:rPr>
        <w:t>06</w:t>
      </w:r>
      <w:r w:rsidRPr="00DA3F02">
        <w:rPr>
          <w:rtl/>
        </w:rPr>
        <w:t>-</w:t>
      </w:r>
      <w:r w:rsidRPr="00160F80">
        <w:rPr>
          <w:szCs w:val="20"/>
          <w:rtl/>
        </w:rPr>
        <w:t>01</w:t>
      </w:r>
      <w:r>
        <w:rPr>
          <w:rtl/>
        </w:rPr>
        <w:t xml:space="preserve"> تتعارض مع الفقرة </w:t>
      </w:r>
      <w:r w:rsidRPr="00160F80">
        <w:rPr>
          <w:szCs w:val="20"/>
          <w:rtl/>
        </w:rPr>
        <w:t>3</w:t>
      </w:r>
      <w:r>
        <w:rPr>
          <w:rtl/>
        </w:rPr>
        <w:t xml:space="preserve"> من المادة </w:t>
      </w:r>
      <w:r w:rsidRPr="00160F80">
        <w:rPr>
          <w:szCs w:val="20"/>
          <w:rtl/>
        </w:rPr>
        <w:t>2</w:t>
      </w:r>
      <w:r>
        <w:rPr>
          <w:rtl/>
        </w:rPr>
        <w:t xml:space="preserve"> من العهد، لأنها تمنع من رفع دعوى جنائية مستقبلاً ضد المشتبه في ارتكابهم جرائم الاختفاء القسري، إذا كانوا من موظفي الدولة. ويمنع هذا الأمر أيضاً اللجوء إلى القضاء لاستجلاء مصير الضحايا، تحت طائلة عقوبة السجن</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5"/>
      </w:r>
      <w:r w:rsidR="00187AE0" w:rsidRPr="00AB3B40">
        <w:rPr>
          <w:rStyle w:val="FootnoteReference"/>
          <w:b w:val="0"/>
          <w:position w:val="4"/>
          <w:sz w:val="20"/>
          <w:rtl/>
        </w:rPr>
        <w:t>)</w:t>
      </w:r>
      <w:r w:rsidR="00DA3F02">
        <w:rPr>
          <w:rtl/>
        </w:rPr>
        <w:t>.</w:t>
      </w:r>
      <w:r>
        <w:rPr>
          <w:rtl/>
        </w:rPr>
        <w:t xml:space="preserve"> وعلى الرغم من المساعي العديدة التي بذلتها مليكة بن جاعل لدى السلطات الإدارية والقضائية قبل اعتماد ميثاق السلم والمصالحة الوطنية، لم تجر السلطات الجزائرية أي تحقيق فعال وشامل في قضية اختفاء ابنها. وأخيراً، تقضي الفقرة </w:t>
      </w:r>
      <w:r w:rsidRPr="00160F80">
        <w:rPr>
          <w:szCs w:val="20"/>
          <w:rtl/>
        </w:rPr>
        <w:t>3</w:t>
      </w:r>
      <w:r>
        <w:rPr>
          <w:rtl/>
        </w:rPr>
        <w:t xml:space="preserve"> من المادة </w:t>
      </w:r>
      <w:r w:rsidRPr="00160F80">
        <w:rPr>
          <w:szCs w:val="20"/>
          <w:rtl/>
        </w:rPr>
        <w:t>2</w:t>
      </w:r>
      <w:r>
        <w:rPr>
          <w:rtl/>
        </w:rPr>
        <w:t xml:space="preserve"> من العهد بأن توفر الدولة الطرف التعويض لكل شخص انتُهكت حقوقه المكفولة بالعهد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6"/>
      </w:r>
      <w:r w:rsidR="00187AE0" w:rsidRPr="00AB3B40">
        <w:rPr>
          <w:rStyle w:val="FootnoteReference"/>
          <w:b w:val="0"/>
          <w:position w:val="4"/>
          <w:sz w:val="20"/>
          <w:rtl/>
        </w:rPr>
        <w:t>)</w:t>
      </w:r>
      <w:r w:rsidR="00DA3F02">
        <w:rPr>
          <w:rtl/>
        </w:rPr>
        <w:t>.</w:t>
      </w:r>
      <w:r>
        <w:rPr>
          <w:rtl/>
        </w:rPr>
        <w:t xml:space="preserve"> وتنص المواد من </w:t>
      </w:r>
      <w:r w:rsidRPr="00160F80">
        <w:rPr>
          <w:szCs w:val="20"/>
          <w:rtl/>
        </w:rPr>
        <w:t>27</w:t>
      </w:r>
      <w:r>
        <w:rPr>
          <w:rtl/>
        </w:rPr>
        <w:t xml:space="preserve"> إلى </w:t>
      </w:r>
      <w:r w:rsidRPr="00160F80">
        <w:rPr>
          <w:szCs w:val="20"/>
          <w:rtl/>
        </w:rPr>
        <w:t>39</w:t>
      </w:r>
      <w:r>
        <w:rPr>
          <w:rtl/>
        </w:rPr>
        <w:t xml:space="preserve"> من الأمر رقم </w:t>
      </w:r>
      <w:r w:rsidRPr="00160F80">
        <w:rPr>
          <w:szCs w:val="20"/>
          <w:rtl/>
        </w:rPr>
        <w:t>06</w:t>
      </w:r>
      <w:r w:rsidRPr="00DA3F02">
        <w:rPr>
          <w:rtl/>
        </w:rPr>
        <w:t>-</w:t>
      </w:r>
      <w:r w:rsidRPr="00160F80">
        <w:rPr>
          <w:szCs w:val="20"/>
          <w:rtl/>
        </w:rPr>
        <w:t>01</w:t>
      </w:r>
      <w:r>
        <w:rPr>
          <w:rtl/>
        </w:rPr>
        <w:t xml:space="preserve"> على التعويض المالي فقط، وشريطة صدور حكم بثبوت الوفاة بعد إجراء تحقيق لم يصل إلى نتيجة، وتستبعد المادة </w:t>
      </w:r>
      <w:r w:rsidRPr="00160F80">
        <w:rPr>
          <w:szCs w:val="20"/>
          <w:rtl/>
        </w:rPr>
        <w:t>38</w:t>
      </w:r>
      <w:r>
        <w:rPr>
          <w:rtl/>
        </w:rPr>
        <w:t xml:space="preserve"> أي شكل آخر من أشكال الجبر. ولكن في الممارسة لا يُجرى أي تحقيق في مصير الشخص المختفي ولا بشأن مرتكبي الاختفاء. ويذكّر صاحبا البلاغ بأن اللجنة رأت أن الحق في سبيل انتصاف فعال يشمل بالضرورة الحق في التعويض المناسب والحق في معرفة الحقيقة، وأوصت الدولة الطرف بأن تلتزم بضمان أن يُتاح للأشخاص المختفين و/أو أسرهم سبيل انتصاف فعال وباتخاذ ما يلزم من إجراءات المتابعة، مع الحرص على أن يكون إعمال هذا الحق في التعويض والجبر شاملاً قدر الإمكان</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7"/>
      </w:r>
      <w:r w:rsidR="00187AE0" w:rsidRPr="00AB3B40">
        <w:rPr>
          <w:rStyle w:val="FootnoteReference"/>
          <w:b w:val="0"/>
          <w:position w:val="4"/>
          <w:sz w:val="20"/>
          <w:rtl/>
        </w:rPr>
        <w:t>)</w:t>
      </w:r>
      <w:r w:rsidR="00DA3F02">
        <w:rPr>
          <w:rtl/>
        </w:rPr>
        <w:t>.</w:t>
      </w:r>
      <w:r>
        <w:rPr>
          <w:rtl/>
        </w:rPr>
        <w:t xml:space="preserve"> ولذلك، انتهكت الدولة الطرف الفقرة </w:t>
      </w:r>
      <w:r w:rsidRPr="00160F80">
        <w:rPr>
          <w:szCs w:val="20"/>
          <w:rtl/>
        </w:rPr>
        <w:t>3</w:t>
      </w:r>
      <w:r>
        <w:rPr>
          <w:rtl/>
        </w:rPr>
        <w:t xml:space="preserve"> من المادة </w:t>
      </w:r>
      <w:r w:rsidRPr="00160F80">
        <w:rPr>
          <w:szCs w:val="20"/>
          <w:rtl/>
        </w:rPr>
        <w:t>2</w:t>
      </w:r>
      <w:r>
        <w:rPr>
          <w:rtl/>
        </w:rPr>
        <w:t xml:space="preserve"> من العهد ليس فقط في حق مليكة بن جاعل ومراد بن جاعل، بل أيضاً في حق مروان بن جاعل، الذي حُرم كل إجراء قضائي متاح وفعال يمكّنه من الحصول على جبر للضرر الذي لحقه من جراء احتجازه التعسفي وتعذيبه.</w:t>
      </w:r>
    </w:p>
    <w:p w14:paraId="1A2F4C0B" w14:textId="77777777"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4</w:t>
      </w:r>
      <w:r>
        <w:rPr>
          <w:rtl/>
        </w:rPr>
        <w:tab/>
        <w:t xml:space="preserve">ويشير صاحبا البلاغ إلى التطور الذي طرأ على الاجتهاد القانوني للجنة فيما يخص حالات الاختفاء القسري، ويريان أن مجرد وجود خطر يهدد بأن يفقد الشخص حياته في سياق الاختفاء </w:t>
      </w:r>
      <w:r>
        <w:rPr>
          <w:rtl/>
        </w:rPr>
        <w:lastRenderedPageBreak/>
        <w:t xml:space="preserve">القسري يشكل سبباً كافياً لاستنتاج وقوع انتهاك مباشر للمادة </w:t>
      </w:r>
      <w:r w:rsidRPr="00160F80">
        <w:rPr>
          <w:szCs w:val="20"/>
          <w:rtl/>
        </w:rPr>
        <w:t>6</w:t>
      </w:r>
      <w:r>
        <w:rPr>
          <w:rtl/>
        </w:rPr>
        <w:t xml:space="preserve"> من العهد. وبالنظر إلى الظروف التي أحاطت بقضية اختفاء مراد بن جاعل، فإنهما يعتقدان أن فرص العثور عليه تتضاءل يوماً بعد يوم. وتوحي ظروف اختفائه والمعلومات المقدمة من السلطات الجزائرية بأنه فارق الحياة أثناء احتجازه. ولذلك، يعتبر صاحبا البلاغ أن الدولة الطرف لم تف بواجبها حماية حق مراد بن جاعل في الحياة وواجبها اتخاذ خطوات للتحقيق فيما حدث له، مما يشكل انتهاكاً للفقرة </w:t>
      </w:r>
      <w:r w:rsidRPr="00160F80">
        <w:rPr>
          <w:szCs w:val="20"/>
          <w:rtl/>
        </w:rPr>
        <w:t>3</w:t>
      </w:r>
      <w:r>
        <w:rPr>
          <w:rtl/>
        </w:rPr>
        <w:t xml:space="preserve"> من المادة </w:t>
      </w:r>
      <w:r w:rsidRPr="00160F80">
        <w:rPr>
          <w:szCs w:val="20"/>
          <w:rtl/>
        </w:rPr>
        <w:t>2</w:t>
      </w:r>
      <w:r>
        <w:rPr>
          <w:rtl/>
        </w:rPr>
        <w:t xml:space="preserve"> مقروءة بالاقتران مع الفقرة </w:t>
      </w:r>
      <w:r w:rsidRPr="00160F80">
        <w:rPr>
          <w:szCs w:val="20"/>
          <w:rtl/>
        </w:rPr>
        <w:t>1</w:t>
      </w:r>
      <w:r>
        <w:rPr>
          <w:rtl/>
        </w:rPr>
        <w:t xml:space="preserve"> من المادة </w:t>
      </w:r>
      <w:r w:rsidRPr="00160F80">
        <w:rPr>
          <w:szCs w:val="20"/>
          <w:rtl/>
        </w:rPr>
        <w:t>6</w:t>
      </w:r>
      <w:r>
        <w:rPr>
          <w:rtl/>
        </w:rPr>
        <w:t xml:space="preserve"> من العهد.</w:t>
      </w:r>
    </w:p>
    <w:p w14:paraId="2384FC5E" w14:textId="74B698DC"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5</w:t>
      </w:r>
      <w:r>
        <w:rPr>
          <w:rtl/>
        </w:rPr>
        <w:tab/>
        <w:t xml:space="preserve">ويشير صاحبا البلاغ إلى الظروف المحيطة باختفاء مراد بن جاعل، وهي الانعدام التام للمعلومات المتعلقة باحتجازه، وحالته الصحية عندما رآه شقيقه في ثكنة </w:t>
      </w:r>
      <w:proofErr w:type="spellStart"/>
      <w:r>
        <w:rPr>
          <w:rtl/>
        </w:rPr>
        <w:t>شاتونوف</w:t>
      </w:r>
      <w:proofErr w:type="spellEnd"/>
      <w:r>
        <w:rPr>
          <w:rtl/>
        </w:rPr>
        <w:t>، وحرمانه من الاتصال بأسرته وبالعالم الخارجي، ولهذه الأسباب يعتبران أن مراد بن جاعل تعرض لمعاملة قاسية أو لا</w:t>
      </w:r>
      <w:r w:rsidR="0037076D">
        <w:rPr>
          <w:rFonts w:hint="cs"/>
          <w:rtl/>
        </w:rPr>
        <w:t> </w:t>
      </w:r>
      <w:r>
        <w:rPr>
          <w:rtl/>
        </w:rPr>
        <w:t xml:space="preserve">إنسانية أو مهينة. ويشيران أيضاً إلى أن الاحتجاز التعسفي المطول يزيد من خطر التعرض للتعذيب والمعاملة القاسية أو اللاإنسانية أو المهينة. وإذ يشير صاحبا البلاغ إلى الاجتهادات السابقة للجنة، يؤكدان أن حالة القلق وعدم اليقين والكرب التي سببها اختفاء مراد بن جاعل تمثل شكلاً من أشكال المعاملة القاسية أو اللاإنسانية أو المهينة لأسرته. ويعتبران أيضاً أن مروان بن جاعل تعرض للمعاملة القاسية واللاإنسانية والمهينة وللتعذيب، دون أن يحصل على سبيل انتصاف متاح فعال. وبناء على ذلك، يدعي صاحبا البلاغ أن الدولة الطرف مسؤولة عن انتهاك حقوق مراد بن جاعل ومروان بن جاعل المكفولة بمجوب المادة </w:t>
      </w:r>
      <w:r w:rsidRPr="00160F80">
        <w:rPr>
          <w:szCs w:val="20"/>
          <w:rtl/>
        </w:rPr>
        <w:t>7</w:t>
      </w:r>
      <w:r>
        <w:rPr>
          <w:rtl/>
        </w:rPr>
        <w:t xml:space="preserve"> من العهد، وعن انتهاك حقوق مراد بن جاعل وأسرته المكفولة بموجب المادة </w:t>
      </w:r>
      <w:r w:rsidRPr="00160F80">
        <w:rPr>
          <w:szCs w:val="20"/>
          <w:rtl/>
        </w:rPr>
        <w:t>7</w:t>
      </w:r>
      <w:r>
        <w:rPr>
          <w:rtl/>
        </w:rPr>
        <w:t xml:space="preserve"> مقروءة بالاقتران مع الفقرة </w:t>
      </w:r>
      <w:r w:rsidRPr="00160F80">
        <w:rPr>
          <w:szCs w:val="20"/>
          <w:rtl/>
        </w:rPr>
        <w:t>3</w:t>
      </w:r>
      <w:r>
        <w:rPr>
          <w:rtl/>
        </w:rPr>
        <w:t xml:space="preserve"> من المادة </w:t>
      </w:r>
      <w:r w:rsidRPr="00160F80">
        <w:rPr>
          <w:szCs w:val="20"/>
          <w:rtl/>
        </w:rPr>
        <w:t>2</w:t>
      </w:r>
      <w:r>
        <w:rPr>
          <w:rtl/>
        </w:rPr>
        <w:t xml:space="preserve"> من العهد.</w:t>
      </w:r>
    </w:p>
    <w:p w14:paraId="3FD268BB" w14:textId="2032CFD4"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6</w:t>
      </w:r>
      <w:r>
        <w:rPr>
          <w:rtl/>
        </w:rPr>
        <w:tab/>
        <w:t xml:space="preserve">ونظراً لأن مراد بن جاعل قد احتُجز بمعزل عن العالم الخارجي دون أن يُسمح له بالاتصال بمحاميه ودون يُبلغ بأسباب اعتقاله أو التهم الموجهة إليه، وأن احتجازه لم يُذكر في سجلات الاحتجاز لدى الشرطة، وأنه لا يوجد سجل رسمي يحدد مكان وجوده أو مصيره، يؤكد صاحبا البلاغ أنه حُرم حقه في الحرية وفي الأمن على شخصه، وأن التحقيقات لم تكن فعالة بالقدر المطلوب. وبناء عليه، يعتبر صاحبا البلاغ أن مراد بن جاعل قد حُرم الضمانات المنصوص عليها في المادة </w:t>
      </w:r>
      <w:r w:rsidRPr="00160F80">
        <w:rPr>
          <w:szCs w:val="20"/>
          <w:rtl/>
        </w:rPr>
        <w:t>9</w:t>
      </w:r>
      <w:r>
        <w:rPr>
          <w:rtl/>
        </w:rPr>
        <w:t xml:space="preserve"> من العهد، بما</w:t>
      </w:r>
      <w:r w:rsidR="00177A6F">
        <w:rPr>
          <w:rFonts w:hint="cs"/>
          <w:rtl/>
        </w:rPr>
        <w:t> </w:t>
      </w:r>
      <w:r>
        <w:rPr>
          <w:rtl/>
        </w:rPr>
        <w:t xml:space="preserve">في ذلك الحصول على سبيل انتصاف فعال، مما يشكل انتهاكاً للمادة المذكورة، منفردةً وبالاقتران مع الفقرة </w:t>
      </w:r>
      <w:r w:rsidRPr="00160F80">
        <w:rPr>
          <w:szCs w:val="20"/>
          <w:rtl/>
        </w:rPr>
        <w:t>3</w:t>
      </w:r>
      <w:r>
        <w:rPr>
          <w:rtl/>
        </w:rPr>
        <w:t xml:space="preserve"> من المادة </w:t>
      </w:r>
      <w:r w:rsidRPr="00160F80">
        <w:rPr>
          <w:szCs w:val="20"/>
          <w:rtl/>
        </w:rPr>
        <w:t>2</w:t>
      </w:r>
      <w:r>
        <w:rPr>
          <w:rtl/>
        </w:rPr>
        <w:t>.</w:t>
      </w:r>
    </w:p>
    <w:p w14:paraId="0608ABD3" w14:textId="77777777"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7</w:t>
      </w:r>
      <w:r>
        <w:rPr>
          <w:rtl/>
        </w:rPr>
        <w:tab/>
        <w:t xml:space="preserve">ويذكّر مروان بن جاعل بأنه تعرض أيضاً للاحتجاز التعسفي: فقد أُلقي القبض عليه في </w:t>
      </w:r>
      <w:r w:rsidRPr="00160F80">
        <w:rPr>
          <w:szCs w:val="20"/>
          <w:rtl/>
        </w:rPr>
        <w:t>6</w:t>
      </w:r>
      <w:r>
        <w:rPr>
          <w:rtl/>
        </w:rPr>
        <w:t xml:space="preserve"> أيار/مايو </w:t>
      </w:r>
      <w:r w:rsidRPr="00160F80">
        <w:rPr>
          <w:szCs w:val="20"/>
          <w:rtl/>
        </w:rPr>
        <w:t>1994</w:t>
      </w:r>
      <w:r>
        <w:rPr>
          <w:rtl/>
        </w:rPr>
        <w:t xml:space="preserve"> دون أمر قضائي، واستمر احتجازه بمعزل عن العالم الخارجي خمسة وثلاثين يوماً، حُرم خلالها أي اتصال بالعالم الخارجي، ومُنع من الاتصال بمحام. زد على ذلك أنه قضّى عامين ونصف العام قبل مثوله أمام قاض. وفي نهاية المطاف، بُرئت ساحته في إطار طعن بالنقض بعد أن قضى مدة عقوبته في السجن، ولكنه لم يحصل على أي تعويض عن هذا الاحتجاز غير القانوني، مما يشكل انتهاكاً للفقرة </w:t>
      </w:r>
      <w:r w:rsidRPr="00160F80">
        <w:rPr>
          <w:szCs w:val="20"/>
          <w:rtl/>
        </w:rPr>
        <w:t>5</w:t>
      </w:r>
      <w:r>
        <w:rPr>
          <w:rtl/>
        </w:rPr>
        <w:t xml:space="preserve"> من المادة </w:t>
      </w:r>
      <w:r w:rsidRPr="00160F80">
        <w:rPr>
          <w:szCs w:val="20"/>
          <w:rtl/>
        </w:rPr>
        <w:t>9</w:t>
      </w:r>
      <w:r>
        <w:rPr>
          <w:rtl/>
        </w:rPr>
        <w:t xml:space="preserve"> من العهد. ولذلك لم يحصل مروان بن جاعل على سبيل انتصاف متاح وفعال، في انتهاك للفقرة </w:t>
      </w:r>
      <w:r w:rsidRPr="00160F80">
        <w:rPr>
          <w:szCs w:val="20"/>
          <w:rtl/>
        </w:rPr>
        <w:t>3</w:t>
      </w:r>
      <w:r>
        <w:rPr>
          <w:rtl/>
        </w:rPr>
        <w:t xml:space="preserve"> من المادة </w:t>
      </w:r>
      <w:r w:rsidRPr="00160F80">
        <w:rPr>
          <w:szCs w:val="20"/>
          <w:rtl/>
        </w:rPr>
        <w:t>2</w:t>
      </w:r>
      <w:r>
        <w:rPr>
          <w:rtl/>
        </w:rPr>
        <w:t xml:space="preserve">، مقروءة بالاقتران مع المادة </w:t>
      </w:r>
      <w:r w:rsidRPr="00160F80">
        <w:rPr>
          <w:szCs w:val="20"/>
          <w:rtl/>
        </w:rPr>
        <w:t>9</w:t>
      </w:r>
      <w:r>
        <w:rPr>
          <w:rtl/>
        </w:rPr>
        <w:t xml:space="preserve"> من العهد.</w:t>
      </w:r>
    </w:p>
    <w:p w14:paraId="15B4619F" w14:textId="0590C937" w:rsidR="00B11A03" w:rsidRDefault="00B11A03" w:rsidP="00B11A03">
      <w:pPr>
        <w:pStyle w:val="SingleTxtGA"/>
      </w:pPr>
      <w:r w:rsidRPr="00160F80">
        <w:rPr>
          <w:szCs w:val="20"/>
          <w:rtl/>
        </w:rPr>
        <w:t>3</w:t>
      </w:r>
      <w:r w:rsidRPr="00DA3F02">
        <w:rPr>
          <w:rtl/>
        </w:rPr>
        <w:t>-</w:t>
      </w:r>
      <w:r w:rsidRPr="00160F80">
        <w:rPr>
          <w:szCs w:val="20"/>
          <w:rtl/>
        </w:rPr>
        <w:t>8</w:t>
      </w:r>
      <w:r>
        <w:rPr>
          <w:rtl/>
        </w:rPr>
        <w:tab/>
        <w:t xml:space="preserve">وإذ يشير صاحبا البلاغ إلى أحكام المادة </w:t>
      </w:r>
      <w:r w:rsidRPr="00160F80">
        <w:rPr>
          <w:szCs w:val="20"/>
          <w:rtl/>
        </w:rPr>
        <w:t>10</w:t>
      </w:r>
      <w:r>
        <w:rPr>
          <w:rtl/>
        </w:rPr>
        <w:t xml:space="preserve"> من العهد، يؤكدان أيضاً أن تقاعس السلطات الجزائرية عن إجراء تحقيق في اختفاء مراد بن جاعل أدى إلى حرمانه حريتَه ومعاملته معاملةً لا</w:t>
      </w:r>
      <w:r w:rsidR="00B16565">
        <w:rPr>
          <w:rFonts w:hint="cs"/>
          <w:rtl/>
        </w:rPr>
        <w:t> </w:t>
      </w:r>
      <w:r>
        <w:rPr>
          <w:rtl/>
        </w:rPr>
        <w:t xml:space="preserve">إنسانية لا تحفظ كرامته، وهو ما يشكل انتهاكاً لحقوقه المكفولة بموجب المادة </w:t>
      </w:r>
      <w:r w:rsidRPr="00160F80">
        <w:rPr>
          <w:szCs w:val="20"/>
          <w:rtl/>
        </w:rPr>
        <w:t>10</w:t>
      </w:r>
      <w:r>
        <w:rPr>
          <w:rtl/>
        </w:rPr>
        <w:t xml:space="preserve"> من العهد. وهما يعتبران أن المادة نفسها قد انتُهكت في حق مروان بن جاعل، الذي احتُجز سراً ثم قضى مدة في الاحتجاز لدى الشرطة، وحكم عليه بالسجن لمدة خمس سنوات دون أي دليل قوي ضده.</w:t>
      </w:r>
    </w:p>
    <w:p w14:paraId="4411CB6E" w14:textId="451636E3"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9</w:t>
      </w:r>
      <w:r>
        <w:rPr>
          <w:rtl/>
        </w:rPr>
        <w:tab/>
        <w:t xml:space="preserve">وإذ وتشير مليكة بن جاعل إلى أحكام المادة </w:t>
      </w:r>
      <w:r w:rsidRPr="00160F80">
        <w:rPr>
          <w:szCs w:val="20"/>
          <w:rtl/>
        </w:rPr>
        <w:t>14</w:t>
      </w:r>
      <w:r>
        <w:rPr>
          <w:rtl/>
        </w:rPr>
        <w:t xml:space="preserve"> من العهد والفقرة </w:t>
      </w:r>
      <w:r w:rsidRPr="00160F80">
        <w:rPr>
          <w:szCs w:val="20"/>
          <w:rtl/>
        </w:rPr>
        <w:t>9</w:t>
      </w:r>
      <w:r>
        <w:rPr>
          <w:rtl/>
        </w:rPr>
        <w:t xml:space="preserve"> من التعليق العام للجنة</w:t>
      </w:r>
      <w:r w:rsidR="00160F80">
        <w:rPr>
          <w:rFonts w:hint="cs"/>
          <w:rtl/>
        </w:rPr>
        <w:t> </w:t>
      </w:r>
      <w:r>
        <w:rPr>
          <w:rtl/>
        </w:rPr>
        <w:t xml:space="preserve">رقم </w:t>
      </w:r>
      <w:r w:rsidRPr="00160F80">
        <w:rPr>
          <w:szCs w:val="20"/>
          <w:rtl/>
        </w:rPr>
        <w:t>32</w:t>
      </w:r>
      <w:r w:rsidRPr="003A4F27">
        <w:rPr>
          <w:rtl/>
        </w:rPr>
        <w:t>(</w:t>
      </w:r>
      <w:r w:rsidRPr="00160F80">
        <w:rPr>
          <w:szCs w:val="20"/>
          <w:rtl/>
        </w:rPr>
        <w:t>2007</w:t>
      </w:r>
      <w:r w:rsidRPr="003A4F27">
        <w:rPr>
          <w:rtl/>
        </w:rPr>
        <w:t>)</w:t>
      </w:r>
      <w:r>
        <w:rPr>
          <w:rtl/>
        </w:rPr>
        <w:t xml:space="preserve">، تؤكد أن جميع المساعي التي بذلتها لدى الهيئات القضائية باءت بالفشل. </w:t>
      </w:r>
      <w:r>
        <w:rPr>
          <w:rtl/>
        </w:rPr>
        <w:lastRenderedPageBreak/>
        <w:t xml:space="preserve">وبالإضافة إلى ذلك، يمنع ميثاق السلام والمصالحة الوطنية، والمادة </w:t>
      </w:r>
      <w:r w:rsidRPr="00160F80">
        <w:rPr>
          <w:szCs w:val="20"/>
          <w:rtl/>
        </w:rPr>
        <w:t>45</w:t>
      </w:r>
      <w:r>
        <w:rPr>
          <w:rtl/>
        </w:rPr>
        <w:t xml:space="preserve"> من الأمر رقم </w:t>
      </w:r>
      <w:r w:rsidRPr="00160F80">
        <w:rPr>
          <w:szCs w:val="20"/>
          <w:rtl/>
        </w:rPr>
        <w:t>06</w:t>
      </w:r>
      <w:r w:rsidRPr="00DA3F02">
        <w:rPr>
          <w:rtl/>
        </w:rPr>
        <w:t>-</w:t>
      </w:r>
      <w:r w:rsidRPr="00160F80">
        <w:rPr>
          <w:szCs w:val="20"/>
          <w:rtl/>
        </w:rPr>
        <w:t>01</w:t>
      </w:r>
      <w:r>
        <w:rPr>
          <w:rtl/>
        </w:rPr>
        <w:t xml:space="preserve">، أي إمكانية لرفع دعوى قضائية ضد أعوان الدولة، الأمر الذي حرم مليكة بن جاعل إمكانية عرض قضيتها. ولذلك، انتهكت الدولة الطرف الحقوق التي تكفلها لها المادة </w:t>
      </w:r>
      <w:r w:rsidRPr="00160F80">
        <w:rPr>
          <w:szCs w:val="20"/>
          <w:rtl/>
        </w:rPr>
        <w:t>14</w:t>
      </w:r>
      <w:r>
        <w:rPr>
          <w:rtl/>
        </w:rPr>
        <w:t xml:space="preserve"> من العهد.</w:t>
      </w:r>
    </w:p>
    <w:p w14:paraId="79B61D6A" w14:textId="20AF3994"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10</w:t>
      </w:r>
      <w:r>
        <w:rPr>
          <w:rtl/>
        </w:rPr>
        <w:tab/>
        <w:t xml:space="preserve">ثم يشير صاحبا البلاغ إلى أحكام المادة </w:t>
      </w:r>
      <w:r w:rsidRPr="00160F80">
        <w:rPr>
          <w:szCs w:val="20"/>
          <w:rtl/>
        </w:rPr>
        <w:t>16</w:t>
      </w:r>
      <w:r>
        <w:rPr>
          <w:rtl/>
        </w:rPr>
        <w:t xml:space="preserve"> من العهد والاجتهادات الراسخة للجنة ومؤداها أن تعمّد حرمان شخص ما من حماية القانون لفترة مطوّلة يمكن أن يشكل إنكاراً للشخصية القانونية للشخص إذا كان الشخص في عهدة سلطات الدولة عند ظهوره للمرة الأخيرة، وإذا كانت هناك إعاقة منتظمة لجهود أقاربه الرامية إلى اللجوء إلى سبل انتصاف فعالة، بما في ذلك أمام المحاكم. وفي هذا الصدد، يحيل صاحبا البلاغ إلى الملاحظات الختامية للجنة بشأن التقرير الدوري الثاني للجزائر المقدم بموجب المادة </w:t>
      </w:r>
      <w:r w:rsidRPr="00160F80">
        <w:rPr>
          <w:szCs w:val="20"/>
          <w:rtl/>
        </w:rPr>
        <w:t>40</w:t>
      </w:r>
      <w:r>
        <w:rPr>
          <w:rtl/>
        </w:rPr>
        <w:t xml:space="preserve"> من 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8"/>
      </w:r>
      <w:r w:rsidR="00187AE0" w:rsidRPr="00AB3B40">
        <w:rPr>
          <w:rStyle w:val="FootnoteReference"/>
          <w:b w:val="0"/>
          <w:position w:val="4"/>
          <w:sz w:val="20"/>
          <w:rtl/>
        </w:rPr>
        <w:t>)</w:t>
      </w:r>
      <w:r w:rsidR="006748FE">
        <w:rPr>
          <w:rFonts w:hint="cs"/>
          <w:rtl/>
        </w:rPr>
        <w:t>،</w:t>
      </w:r>
      <w:r>
        <w:rPr>
          <w:rtl/>
        </w:rPr>
        <w:t xml:space="preserve"> حيث رأت اللجنة أن الأشخاص المختفين، الذين لا يزالون على قيد الحياة ويخضعون للاحتجاز السري، يُنتهك حقهم في أن يُعترف لهم بالشخصية القانونية، على النحو المنصوص عليه في المادة </w:t>
      </w:r>
      <w:r w:rsidRPr="00160F80">
        <w:rPr>
          <w:szCs w:val="20"/>
          <w:rtl/>
        </w:rPr>
        <w:t>16</w:t>
      </w:r>
      <w:r>
        <w:rPr>
          <w:rtl/>
        </w:rPr>
        <w:t xml:space="preserve"> من العهد. ولذلك، يدفعان بأن السلطات الجزائرية، بإبقاء مراد بن جاعل رهن الاحتجاز دون إبلاغ أسرته وأقاربه رسمياً، حرمته من حماية القانون ومن حقه في الاعتراف بشخصيته القانونية وفي سبيل انتصاف فعال، في انتهاك للمادة </w:t>
      </w:r>
      <w:r w:rsidRPr="00160F80">
        <w:rPr>
          <w:szCs w:val="20"/>
          <w:rtl/>
        </w:rPr>
        <w:t>16</w:t>
      </w:r>
      <w:r>
        <w:rPr>
          <w:rtl/>
        </w:rPr>
        <w:t xml:space="preserve"> من العهد، منفردةً ومقروءةً بالاقتران مع الفقرة </w:t>
      </w:r>
      <w:r w:rsidRPr="00160F80">
        <w:rPr>
          <w:szCs w:val="20"/>
          <w:rtl/>
        </w:rPr>
        <w:t>3</w:t>
      </w:r>
      <w:r>
        <w:rPr>
          <w:rtl/>
        </w:rPr>
        <w:t xml:space="preserve"> من المادة </w:t>
      </w:r>
      <w:r w:rsidRPr="00160F80">
        <w:rPr>
          <w:szCs w:val="20"/>
          <w:rtl/>
        </w:rPr>
        <w:t>2</w:t>
      </w:r>
      <w:r>
        <w:rPr>
          <w:rtl/>
        </w:rPr>
        <w:t>.</w:t>
      </w:r>
    </w:p>
    <w:p w14:paraId="5A935F45" w14:textId="41850A04"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11</w:t>
      </w:r>
      <w:r>
        <w:rPr>
          <w:rtl/>
        </w:rPr>
        <w:tab/>
        <w:t xml:space="preserve">وإذ يذكّر صاحبا البلاغ بأن المادة </w:t>
      </w:r>
      <w:r w:rsidRPr="00160F80">
        <w:rPr>
          <w:szCs w:val="20"/>
          <w:rtl/>
        </w:rPr>
        <w:t>17</w:t>
      </w:r>
      <w:r>
        <w:rPr>
          <w:rtl/>
        </w:rPr>
        <w:t xml:space="preserve"> من العهد تحمي الأفراد من التدخل التعسفي أو غير القانوني في حياتهم الخاصة أو منازلهم أو مراسلاتهم، وإذ يستندان إلى اجتهادات اللجنة، يؤكدان أن ظروف تفتيش قوات الأمن العسكري لمنزلهما بصورة مفاجئة ومن دون إذن قضائي، بعد يومين من إلقاء القبض على مراد بن جاعل، في الوقت الذي لا يوجد أي سبيل انتصاف متاح وفعال، تشكل انتها</w:t>
      </w:r>
      <w:r w:rsidR="002B65AF">
        <w:rPr>
          <w:rtl/>
        </w:rPr>
        <w:t xml:space="preserve">كاً </w:t>
      </w:r>
      <w:r>
        <w:rPr>
          <w:rtl/>
        </w:rPr>
        <w:t xml:space="preserve">من جانب الدولة الطرف لحقوقهما المكفولة بموجب المادة </w:t>
      </w:r>
      <w:r w:rsidRPr="00160F80">
        <w:rPr>
          <w:szCs w:val="20"/>
          <w:rtl/>
        </w:rPr>
        <w:t>17</w:t>
      </w:r>
      <w:r>
        <w:rPr>
          <w:rtl/>
        </w:rPr>
        <w:t xml:space="preserve"> من العهد، منفردةً ومقروءةً بالاقتران مع الفقرة </w:t>
      </w:r>
      <w:r w:rsidRPr="00160F80">
        <w:rPr>
          <w:szCs w:val="20"/>
          <w:rtl/>
        </w:rPr>
        <w:t>3</w:t>
      </w:r>
      <w:r>
        <w:rPr>
          <w:rtl/>
        </w:rPr>
        <w:t xml:space="preserve"> من المادة </w:t>
      </w:r>
      <w:r w:rsidRPr="00160F80">
        <w:rPr>
          <w:szCs w:val="20"/>
          <w:rtl/>
        </w:rPr>
        <w:t>2</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19"/>
      </w:r>
      <w:r w:rsidR="00187AE0" w:rsidRPr="00AB3B40">
        <w:rPr>
          <w:rStyle w:val="FootnoteReference"/>
          <w:b w:val="0"/>
          <w:position w:val="4"/>
          <w:sz w:val="20"/>
          <w:rtl/>
        </w:rPr>
        <w:t>)</w:t>
      </w:r>
      <w:r w:rsidR="00DA3F02">
        <w:rPr>
          <w:rtl/>
        </w:rPr>
        <w:t>.</w:t>
      </w:r>
    </w:p>
    <w:p w14:paraId="62BACC55" w14:textId="77777777"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12</w:t>
      </w:r>
      <w:r>
        <w:rPr>
          <w:rtl/>
        </w:rPr>
        <w:tab/>
        <w:t xml:space="preserve">وأخيراً، يشير صاحبا البلاغ إلى أن المادة </w:t>
      </w:r>
      <w:r w:rsidRPr="00160F80">
        <w:rPr>
          <w:szCs w:val="20"/>
          <w:rtl/>
        </w:rPr>
        <w:t>46</w:t>
      </w:r>
      <w:r>
        <w:rPr>
          <w:rtl/>
        </w:rPr>
        <w:t xml:space="preserve"> من الأمر رقم </w:t>
      </w:r>
      <w:r w:rsidRPr="00160F80">
        <w:rPr>
          <w:szCs w:val="20"/>
          <w:rtl/>
        </w:rPr>
        <w:t>06</w:t>
      </w:r>
      <w:r w:rsidRPr="00DA3F02">
        <w:rPr>
          <w:rtl/>
        </w:rPr>
        <w:t>-</w:t>
      </w:r>
      <w:r w:rsidRPr="00160F80">
        <w:rPr>
          <w:szCs w:val="20"/>
          <w:rtl/>
        </w:rPr>
        <w:t>01</w:t>
      </w:r>
      <w:r>
        <w:rPr>
          <w:rtl/>
        </w:rPr>
        <w:t xml:space="preserve"> تحظر التعبير الجماعي لأسر المختفين والمدافعين عن حقوق الإنسان، بما في ذلك الاجتماعات أو المظاهرات السياسية، في انتهاك للحق في حرية التجمع السلمي المنصوص عليه في المادة </w:t>
      </w:r>
      <w:r w:rsidRPr="00160F80">
        <w:rPr>
          <w:szCs w:val="20"/>
          <w:rtl/>
        </w:rPr>
        <w:t>21</w:t>
      </w:r>
      <w:r>
        <w:rPr>
          <w:rtl/>
        </w:rPr>
        <w:t xml:space="preserve"> من العهد. وبناءً عليه، يؤكدان أن الدولة الطرف انتهكت حقهما في حرية التجمع السلمي.</w:t>
      </w:r>
    </w:p>
    <w:p w14:paraId="333DB2CB" w14:textId="48B7D643" w:rsidR="00B11A03" w:rsidRPr="00FA698A" w:rsidRDefault="00B11A03" w:rsidP="00B11A03">
      <w:pPr>
        <w:pStyle w:val="SingleTxtGA"/>
        <w:rPr>
          <w:szCs w:val="20"/>
          <w:lang w:val="ar-SA" w:eastAsia="zh-TW" w:bidi="en-GB"/>
        </w:rPr>
      </w:pPr>
      <w:r w:rsidRPr="00160F80">
        <w:rPr>
          <w:szCs w:val="20"/>
          <w:rtl/>
        </w:rPr>
        <w:t>3</w:t>
      </w:r>
      <w:r w:rsidRPr="00DA3F02">
        <w:rPr>
          <w:rtl/>
        </w:rPr>
        <w:t>-</w:t>
      </w:r>
      <w:r w:rsidRPr="00160F80">
        <w:rPr>
          <w:szCs w:val="20"/>
          <w:rtl/>
        </w:rPr>
        <w:t>13</w:t>
      </w:r>
      <w:r>
        <w:rPr>
          <w:rtl/>
        </w:rPr>
        <w:tab/>
        <w:t xml:space="preserve">ويطلب صاحبا البلاغ من اللجنة أن تخلص إلى أن الدولة الطرف قد انتهكت الفقرة </w:t>
      </w:r>
      <w:r w:rsidRPr="00160F80">
        <w:rPr>
          <w:szCs w:val="20"/>
          <w:rtl/>
        </w:rPr>
        <w:t>3</w:t>
      </w:r>
      <w:r>
        <w:rPr>
          <w:rtl/>
        </w:rPr>
        <w:t xml:space="preserve"> من المادة </w:t>
      </w:r>
      <w:r w:rsidRPr="00160F80">
        <w:rPr>
          <w:szCs w:val="20"/>
          <w:rtl/>
        </w:rPr>
        <w:t>2</w:t>
      </w:r>
      <w:r>
        <w:rPr>
          <w:rtl/>
        </w:rPr>
        <w:t xml:space="preserve"> والمواد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16</w:t>
      </w:r>
      <w:proofErr w:type="spellEnd"/>
      <w:r>
        <w:rPr>
          <w:rtl/>
        </w:rPr>
        <w:t xml:space="preserve"> من العهد فيما يتعلق بمراد بن جاعل؛ والفقرتين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والمواد </w:t>
      </w:r>
      <w:r w:rsidRPr="00160F80">
        <w:rPr>
          <w:szCs w:val="20"/>
          <w:rtl/>
        </w:rPr>
        <w:t>7</w:t>
      </w:r>
      <w:r>
        <w:rPr>
          <w:rtl/>
        </w:rPr>
        <w:t xml:space="preserve"> </w:t>
      </w:r>
      <w:proofErr w:type="spellStart"/>
      <w:r>
        <w:rPr>
          <w:rtl/>
        </w:rPr>
        <w:t>و</w:t>
      </w:r>
      <w:r w:rsidRPr="00160F80">
        <w:rPr>
          <w:szCs w:val="20"/>
          <w:rtl/>
        </w:rPr>
        <w:t>14</w:t>
      </w:r>
      <w:proofErr w:type="spellEnd"/>
      <w:r>
        <w:rPr>
          <w:rtl/>
        </w:rPr>
        <w:t xml:space="preserve"> </w:t>
      </w:r>
      <w:proofErr w:type="spellStart"/>
      <w:r>
        <w:rPr>
          <w:rtl/>
        </w:rPr>
        <w:t>و</w:t>
      </w:r>
      <w:r w:rsidRPr="00160F80">
        <w:rPr>
          <w:szCs w:val="20"/>
          <w:rtl/>
        </w:rPr>
        <w:t>17</w:t>
      </w:r>
      <w:proofErr w:type="spellEnd"/>
      <w:r>
        <w:rPr>
          <w:rtl/>
        </w:rPr>
        <w:t xml:space="preserve"> </w:t>
      </w:r>
      <w:proofErr w:type="spellStart"/>
      <w:r>
        <w:rPr>
          <w:rtl/>
        </w:rPr>
        <w:t>و</w:t>
      </w:r>
      <w:r w:rsidRPr="00160F80">
        <w:rPr>
          <w:szCs w:val="20"/>
          <w:rtl/>
        </w:rPr>
        <w:t>21</w:t>
      </w:r>
      <w:proofErr w:type="spellEnd"/>
      <w:r>
        <w:rPr>
          <w:rtl/>
        </w:rPr>
        <w:t xml:space="preserve"> من العهد فيما يتعلق بمليكة بن جاعل؛ والفقرتين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والمواد </w:t>
      </w:r>
      <w:r w:rsidRPr="00160F80">
        <w:rPr>
          <w:szCs w:val="20"/>
          <w:rtl/>
        </w:rPr>
        <w:t>7</w:t>
      </w:r>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17</w:t>
      </w:r>
      <w:proofErr w:type="spellEnd"/>
      <w:r>
        <w:rPr>
          <w:rtl/>
        </w:rPr>
        <w:t xml:space="preserve"> </w:t>
      </w:r>
      <w:proofErr w:type="spellStart"/>
      <w:r>
        <w:rPr>
          <w:rtl/>
        </w:rPr>
        <w:t>و</w:t>
      </w:r>
      <w:r w:rsidRPr="00160F80">
        <w:rPr>
          <w:szCs w:val="20"/>
          <w:rtl/>
        </w:rPr>
        <w:t>21</w:t>
      </w:r>
      <w:proofErr w:type="spellEnd"/>
      <w:r>
        <w:rPr>
          <w:rtl/>
        </w:rPr>
        <w:t xml:space="preserve"> من العهد فيما يتعلق بمروان بن جاعل. إضافةً إلى ذلك، يطلبان إلى اللجنة أن تحث الدولة الطرف على احترام التزاماتها الدولية وإعمال الحقوق المعترف بها في العهد، وكذلك الحقوق المعترف بها في مجمل المعاهدات الدولية لحماية حقوق الإنسان التي صدّقت عليها الجزائر. ويطلبان أيضاً إلى اللجنة أن تحث الدولة الطرف على الإذن بإجراء تحقيقات مستقلة ونزيهة من أجل ما يلي: </w:t>
      </w:r>
      <w:r w:rsidRPr="003A4F27">
        <w:rPr>
          <w:rtl/>
        </w:rPr>
        <w:t>(</w:t>
      </w:r>
      <w:r>
        <w:rPr>
          <w:rtl/>
        </w:rPr>
        <w:t>أ</w:t>
      </w:r>
      <w:r w:rsidRPr="003A4F27">
        <w:rPr>
          <w:rtl/>
        </w:rPr>
        <w:t>)</w:t>
      </w:r>
      <w:r>
        <w:rPr>
          <w:rtl/>
        </w:rPr>
        <w:t xml:space="preserve"> العثور على مراد بن جاعل والوفاء بتعهدها بموجب الفقرة </w:t>
      </w:r>
      <w:r w:rsidRPr="00160F80">
        <w:rPr>
          <w:szCs w:val="20"/>
          <w:rtl/>
        </w:rPr>
        <w:t>3</w:t>
      </w:r>
      <w:r>
        <w:rPr>
          <w:rtl/>
        </w:rPr>
        <w:t xml:space="preserve"> من المادة </w:t>
      </w:r>
      <w:r w:rsidRPr="00160F80">
        <w:rPr>
          <w:szCs w:val="20"/>
          <w:rtl/>
        </w:rPr>
        <w:t>2</w:t>
      </w:r>
      <w:r>
        <w:rPr>
          <w:rFonts w:ascii="Traditional Arabic"/>
          <w:szCs w:val="20"/>
          <w:rtl/>
        </w:rPr>
        <w:t xml:space="preserve"> </w:t>
      </w:r>
      <w:r>
        <w:rPr>
          <w:rtl/>
        </w:rPr>
        <w:t xml:space="preserve"> من العهد؛ و</w:t>
      </w:r>
      <w:r w:rsidRPr="003A4F27">
        <w:rPr>
          <w:rtl/>
        </w:rPr>
        <w:t>(</w:t>
      </w:r>
      <w:r>
        <w:rPr>
          <w:rtl/>
        </w:rPr>
        <w:t>ب</w:t>
      </w:r>
      <w:r w:rsidRPr="003A4F27">
        <w:rPr>
          <w:rtl/>
        </w:rPr>
        <w:t>)</w:t>
      </w:r>
      <w:r>
        <w:rPr>
          <w:rtl/>
        </w:rPr>
        <w:t xml:space="preserve"> تقديم مرتكبي جريمة الاختفاء القسري هذه، من منفذين ومدبرين، إلى السلطات المدنية المختصّة من أجل ملاحقتهم أمام القضاء وفقاً للفقرة </w:t>
      </w:r>
      <w:r w:rsidRPr="00160F80">
        <w:rPr>
          <w:szCs w:val="20"/>
          <w:rtl/>
        </w:rPr>
        <w:t>3</w:t>
      </w:r>
      <w:r>
        <w:rPr>
          <w:rtl/>
        </w:rPr>
        <w:t xml:space="preserve"> من المادة </w:t>
      </w:r>
      <w:r w:rsidRPr="00160F80">
        <w:rPr>
          <w:szCs w:val="20"/>
          <w:rtl/>
        </w:rPr>
        <w:t>2</w:t>
      </w:r>
      <w:r>
        <w:rPr>
          <w:rtl/>
        </w:rPr>
        <w:t xml:space="preserve"> من العهد؛ و</w:t>
      </w:r>
      <w:r w:rsidRPr="003A4F27">
        <w:rPr>
          <w:rtl/>
        </w:rPr>
        <w:t>(</w:t>
      </w:r>
      <w:r>
        <w:rPr>
          <w:rtl/>
        </w:rPr>
        <w:t>ج</w:t>
      </w:r>
      <w:r w:rsidRPr="003A4F27">
        <w:rPr>
          <w:rtl/>
        </w:rPr>
        <w:t>)</w:t>
      </w:r>
      <w:r>
        <w:rPr>
          <w:rtl/>
        </w:rPr>
        <w:t xml:space="preserve"> جبر الضرر الذي لحق بمراد بن </w:t>
      </w:r>
      <w:r>
        <w:rPr>
          <w:rtl/>
        </w:rPr>
        <w:lastRenderedPageBreak/>
        <w:t xml:space="preserve">جاعل، إذا كان لا يزال على قيد الحياة، وبصاحبي الشكوى، جبراً كافياً وفعالاً وفورياً وفقاً للفقرة </w:t>
      </w:r>
      <w:r w:rsidRPr="00160F80">
        <w:rPr>
          <w:szCs w:val="20"/>
          <w:rtl/>
        </w:rPr>
        <w:t>3</w:t>
      </w:r>
      <w:r>
        <w:rPr>
          <w:rtl/>
        </w:rPr>
        <w:t xml:space="preserve"> من المادة </w:t>
      </w:r>
      <w:r w:rsidRPr="00160F80">
        <w:rPr>
          <w:szCs w:val="20"/>
          <w:rtl/>
        </w:rPr>
        <w:t>2</w:t>
      </w:r>
      <w:r>
        <w:rPr>
          <w:rtl/>
        </w:rPr>
        <w:t xml:space="preserve"> والمادة </w:t>
      </w:r>
      <w:r w:rsidRPr="00160F80">
        <w:rPr>
          <w:szCs w:val="20"/>
          <w:rtl/>
        </w:rPr>
        <w:t>9</w:t>
      </w:r>
      <w:r>
        <w:rPr>
          <w:rtl/>
        </w:rPr>
        <w:t xml:space="preserve"> من العهد، ويشمل ذلك التعويض المناسب الذي يتناسب مع خطورة الانتهاك، وإعادة التأهيل على أكمل وجه، وضمانات بعدم التكرار. وفيما يتعلق بمروان بن عاجل، يطلب صاحبا البلاغ إلى اللجنة أن تأمر الدولة الطرف بأن تضمن له جبر الضرر الذي لحقه جبراً كافياً وفعالاً وفورياً، وفقاً للفقرة </w:t>
      </w:r>
      <w:r w:rsidRPr="00160F80">
        <w:rPr>
          <w:szCs w:val="20"/>
          <w:rtl/>
        </w:rPr>
        <w:t>3</w:t>
      </w:r>
      <w:r>
        <w:rPr>
          <w:rtl/>
        </w:rPr>
        <w:t xml:space="preserve"> من المادة </w:t>
      </w:r>
      <w:r w:rsidRPr="00160F80">
        <w:rPr>
          <w:szCs w:val="20"/>
          <w:rtl/>
        </w:rPr>
        <w:t>2</w:t>
      </w:r>
      <w:r>
        <w:rPr>
          <w:rtl/>
        </w:rPr>
        <w:t xml:space="preserve"> والمادة </w:t>
      </w:r>
      <w:r w:rsidRPr="00160F80">
        <w:rPr>
          <w:szCs w:val="20"/>
          <w:rtl/>
        </w:rPr>
        <w:t>9</w:t>
      </w:r>
      <w:r>
        <w:rPr>
          <w:rtl/>
        </w:rPr>
        <w:t xml:space="preserve"> من العهد. وفي الأخير، يطلبان إلى اللجنة أن تُلزِم السلطات الجزائرية بإلغاء المواد من </w:t>
      </w:r>
      <w:r w:rsidRPr="00160F80">
        <w:rPr>
          <w:szCs w:val="20"/>
          <w:rtl/>
        </w:rPr>
        <w:t>27</w:t>
      </w:r>
      <w:r>
        <w:rPr>
          <w:rtl/>
        </w:rPr>
        <w:t xml:space="preserve"> إلى </w:t>
      </w:r>
      <w:r w:rsidRPr="00160F80">
        <w:rPr>
          <w:szCs w:val="20"/>
          <w:rtl/>
        </w:rPr>
        <w:t>39</w:t>
      </w:r>
      <w:r>
        <w:rPr>
          <w:rtl/>
        </w:rPr>
        <w:t xml:space="preserve"> والمادتين </w:t>
      </w:r>
      <w:r w:rsidRPr="00160F80">
        <w:rPr>
          <w:szCs w:val="20"/>
          <w:rtl/>
        </w:rPr>
        <w:t>45</w:t>
      </w:r>
      <w:r>
        <w:rPr>
          <w:rtl/>
        </w:rPr>
        <w:t xml:space="preserve"> </w:t>
      </w:r>
      <w:proofErr w:type="spellStart"/>
      <w:r>
        <w:rPr>
          <w:rtl/>
        </w:rPr>
        <w:t>و</w:t>
      </w:r>
      <w:r w:rsidRPr="00160F80">
        <w:rPr>
          <w:szCs w:val="20"/>
          <w:rtl/>
        </w:rPr>
        <w:t>46</w:t>
      </w:r>
      <w:proofErr w:type="spellEnd"/>
      <w:r>
        <w:rPr>
          <w:rtl/>
        </w:rPr>
        <w:t xml:space="preserve"> من الأمر رقم </w:t>
      </w:r>
      <w:r w:rsidRPr="00160F80">
        <w:rPr>
          <w:szCs w:val="20"/>
          <w:rtl/>
        </w:rPr>
        <w:t>06</w:t>
      </w:r>
      <w:r w:rsidRPr="00DA3F02">
        <w:rPr>
          <w:rtl/>
        </w:rPr>
        <w:t>-</w:t>
      </w:r>
      <w:r w:rsidRPr="00160F80">
        <w:rPr>
          <w:szCs w:val="20"/>
          <w:rtl/>
        </w:rPr>
        <w:t>01</w:t>
      </w:r>
      <w:r>
        <w:rPr>
          <w:rtl/>
        </w:rPr>
        <w:t>.</w:t>
      </w:r>
    </w:p>
    <w:p w14:paraId="6100EE62" w14:textId="77777777" w:rsidR="00B11A03" w:rsidRPr="00FA698A" w:rsidRDefault="00B11A03" w:rsidP="00B11A03">
      <w:pPr>
        <w:pStyle w:val="H23GA"/>
        <w:rPr>
          <w:szCs w:val="20"/>
          <w:lang w:val="ar-SA" w:eastAsia="zh-TW" w:bidi="en-GB"/>
        </w:rPr>
      </w:pPr>
      <w:r>
        <w:rPr>
          <w:rtl/>
        </w:rPr>
        <w:tab/>
      </w:r>
      <w:r>
        <w:rPr>
          <w:rtl/>
        </w:rPr>
        <w:tab/>
        <w:t>ملاحظات الدولة الطرف</w:t>
      </w:r>
    </w:p>
    <w:p w14:paraId="7BC6213B" w14:textId="77777777" w:rsidR="00B11A03" w:rsidRPr="00BF48DF" w:rsidRDefault="00B11A03" w:rsidP="00B11A03">
      <w:pPr>
        <w:pStyle w:val="SingleTxtGA"/>
        <w:rPr>
          <w:szCs w:val="20"/>
          <w:lang w:eastAsia="zh-TW" w:bidi="en-GB"/>
        </w:rPr>
      </w:pPr>
      <w:r w:rsidRPr="00160F80">
        <w:rPr>
          <w:szCs w:val="20"/>
          <w:rtl/>
        </w:rPr>
        <w:t>4</w:t>
      </w:r>
      <w:r w:rsidRPr="00DA3F02">
        <w:rPr>
          <w:rtl/>
        </w:rPr>
        <w:t>-</w:t>
      </w:r>
      <w:r>
        <w:rPr>
          <w:rtl/>
        </w:rPr>
        <w:tab/>
        <w:t xml:space="preserve">في </w:t>
      </w:r>
      <w:r w:rsidRPr="00160F80">
        <w:rPr>
          <w:szCs w:val="20"/>
          <w:rtl/>
        </w:rPr>
        <w:t>3</w:t>
      </w:r>
      <w:r>
        <w:rPr>
          <w:rtl/>
        </w:rPr>
        <w:t xml:space="preserve"> نيسان/أبريل </w:t>
      </w:r>
      <w:r w:rsidRPr="00160F80">
        <w:rPr>
          <w:szCs w:val="20"/>
          <w:rtl/>
        </w:rPr>
        <w:t>2017</w:t>
      </w:r>
      <w:r>
        <w:rPr>
          <w:rtl/>
        </w:rPr>
        <w:t>، دعت الدولة الطرف اللجنة إلى الرجوع إلى المذكرة المرجعية الصادرة عن الحكومة الجزائرية بشأن معالجة مسألة الاختفاء في ضوء تنفيذ ميثاق السلم والمصالحة، من دون أن ترفق ملاحظاتها بنسخة من هذه المذكرة.</w:t>
      </w:r>
    </w:p>
    <w:p w14:paraId="7AF5C965" w14:textId="2223EA79" w:rsidR="00B11A03" w:rsidRPr="00F64057" w:rsidRDefault="00B11A03" w:rsidP="00B11A03">
      <w:pPr>
        <w:pStyle w:val="H23GA"/>
      </w:pPr>
      <w:r>
        <w:rPr>
          <w:rtl/>
        </w:rPr>
        <w:tab/>
      </w:r>
      <w:r w:rsidRPr="00F64057">
        <w:rPr>
          <w:rtl/>
        </w:rPr>
        <w:tab/>
        <w:t>تعليقات صاحبي البلاغ على ملاحظات الدولة الطرف</w:t>
      </w:r>
    </w:p>
    <w:p w14:paraId="423C165C" w14:textId="77777777" w:rsidR="00B11A03" w:rsidRPr="00F64057" w:rsidRDefault="00B11A03" w:rsidP="00160F80">
      <w:pPr>
        <w:pStyle w:val="SingleTxtGA"/>
        <w:spacing w:line="350" w:lineRule="exact"/>
      </w:pPr>
      <w:r w:rsidRPr="00160F80">
        <w:rPr>
          <w:szCs w:val="20"/>
          <w:rtl/>
        </w:rPr>
        <w:t>5</w:t>
      </w:r>
      <w:r w:rsidRPr="00DA3F02">
        <w:rPr>
          <w:rtl/>
        </w:rPr>
        <w:t>-</w:t>
      </w:r>
      <w:r w:rsidRPr="00160F80">
        <w:rPr>
          <w:szCs w:val="20"/>
          <w:rtl/>
        </w:rPr>
        <w:t>1</w:t>
      </w:r>
      <w:r w:rsidRPr="00F64057">
        <w:rPr>
          <w:rtl/>
        </w:rPr>
        <w:tab/>
        <w:t xml:space="preserve">في </w:t>
      </w:r>
      <w:r w:rsidRPr="00160F80">
        <w:rPr>
          <w:szCs w:val="20"/>
          <w:rtl/>
        </w:rPr>
        <w:t>15</w:t>
      </w:r>
      <w:r w:rsidRPr="00F64057">
        <w:rPr>
          <w:rtl/>
        </w:rPr>
        <w:t xml:space="preserve"> آذار/مارس </w:t>
      </w:r>
      <w:r w:rsidRPr="00160F80">
        <w:rPr>
          <w:szCs w:val="20"/>
          <w:rtl/>
        </w:rPr>
        <w:t>2018</w:t>
      </w:r>
      <w:r w:rsidRPr="00F64057">
        <w:rPr>
          <w:rtl/>
        </w:rPr>
        <w:t>، قدم صاحب البلاغ تعليقاتهما على ملاحظات الدولة الطرف بشأن المقبولية. وأشارا إلى أن هذه الملاحظات موجهة إلى الفريق العامل المعني بحالات الاختفاء القسري أو غير الطوعي ولا تر</w:t>
      </w:r>
      <w:r>
        <w:rPr>
          <w:rtl/>
        </w:rPr>
        <w:t>دّ</w:t>
      </w:r>
      <w:r w:rsidRPr="00F64057">
        <w:rPr>
          <w:rtl/>
        </w:rPr>
        <w:t xml:space="preserve"> على هذه الشكوى. ويؤكدان في هذا الصدد أن الملاحظات لا تتطرق بتاتا إلى مقبولية البلاغ أو خصائص القضية أو الطعون التي تقدمت بها أسرة الضحية، مما يدل على عدم جدية السلطات الجزائرية وازدرائها للبلاغ المعروض على اللجنة. ويشيران أيضاً إلى أن هذه الملاحظات قد عفا عنها الزمن، لأن تاريخها يعود إلى تموز/يوليه </w:t>
      </w:r>
      <w:r w:rsidRPr="00160F80">
        <w:rPr>
          <w:szCs w:val="20"/>
          <w:rtl/>
        </w:rPr>
        <w:t>2009</w:t>
      </w:r>
      <w:r w:rsidRPr="00F64057">
        <w:rPr>
          <w:rtl/>
        </w:rPr>
        <w:t>.</w:t>
      </w:r>
    </w:p>
    <w:p w14:paraId="1632AC34" w14:textId="77777777" w:rsidR="00B11A03" w:rsidRPr="00FA698A" w:rsidRDefault="00B11A03" w:rsidP="00160F80">
      <w:pPr>
        <w:pStyle w:val="SingleTxtGA"/>
        <w:spacing w:line="350" w:lineRule="exact"/>
        <w:rPr>
          <w:szCs w:val="20"/>
          <w:lang w:val="ar-SA" w:eastAsia="zh-TW" w:bidi="en-GB"/>
        </w:rPr>
      </w:pPr>
      <w:r w:rsidRPr="00160F80">
        <w:rPr>
          <w:szCs w:val="20"/>
          <w:rtl/>
        </w:rPr>
        <w:t>5</w:t>
      </w:r>
      <w:r w:rsidRPr="00DA3F02">
        <w:rPr>
          <w:rtl/>
        </w:rPr>
        <w:t>-</w:t>
      </w:r>
      <w:r w:rsidRPr="00160F80">
        <w:rPr>
          <w:szCs w:val="20"/>
          <w:rtl/>
        </w:rPr>
        <w:t>2</w:t>
      </w:r>
      <w:r>
        <w:rPr>
          <w:rtl/>
        </w:rPr>
        <w:tab/>
        <w:t>وإذ يشير صاحبا البلاغ إلى أن سبل التظلم التي مارساها لم يسفر أي منها عن إجراء تحقيق فوري أو ملاحقة جنائية، وأن السلطات الجزائرية لم تقدم أي دليل ملموس على بذل جهود فعلية من أجل العثور على مراد بن جاعل وتحديد المسؤولين عن اختفائه، فإنهما يخلصان إلى أنهما استنفدا سبل الانتصاف المحلية المتاحة وأن اللجنة يجب أن تعتبر البلاغ مقبولاً.</w:t>
      </w:r>
    </w:p>
    <w:p w14:paraId="31050622" w14:textId="35C74C8B" w:rsidR="00B11A03" w:rsidRDefault="00B11A03" w:rsidP="00160F80">
      <w:pPr>
        <w:pStyle w:val="SingleTxtGA"/>
        <w:spacing w:line="350" w:lineRule="exact"/>
        <w:rPr>
          <w:rtl/>
        </w:rPr>
      </w:pPr>
      <w:r w:rsidRPr="00160F80">
        <w:rPr>
          <w:szCs w:val="20"/>
          <w:rtl/>
        </w:rPr>
        <w:t>5</w:t>
      </w:r>
      <w:r w:rsidRPr="00DA3F02">
        <w:rPr>
          <w:rtl/>
        </w:rPr>
        <w:t>-</w:t>
      </w:r>
      <w:r w:rsidRPr="00160F80">
        <w:rPr>
          <w:szCs w:val="20"/>
          <w:rtl/>
        </w:rPr>
        <w:t>3</w:t>
      </w:r>
      <w:r>
        <w:rPr>
          <w:rtl/>
        </w:rPr>
        <w:tab/>
        <w:t>وإذ يحيل صاحبا البلاغ إلى الاجتهادات السابقة للجنة التي مفادها أنه لا يجوز الاحتجاج بميثاق السلم والمصالحة الوطنية ضد الأشخاص الذين يقدمون بلاغا</w:t>
      </w:r>
      <w:r w:rsidR="006748FE">
        <w:rPr>
          <w:rFonts w:hint="cs"/>
          <w:rtl/>
        </w:rPr>
        <w:t>ً</w:t>
      </w:r>
      <w:r>
        <w:rPr>
          <w:rtl/>
        </w:rPr>
        <w:t xml:space="preserve"> فرديا</w:t>
      </w:r>
      <w:r w:rsidR="006748FE">
        <w:rPr>
          <w:rFonts w:hint="cs"/>
          <w:rtl/>
        </w:rPr>
        <w:t>ً</w:t>
      </w:r>
      <w:r>
        <w:rPr>
          <w:rtl/>
        </w:rPr>
        <w:t>، يذكّران بأن أحكام الميثاق لا تمثل بأي شكل من الأشكال استجابة كافية لمسألة حالات الاختفاء، لأن هذه الاستجابة ينبغي أن تقوم على احترام الحق في معرفة الحقيقة، والعدالة، والجبر الكامل.</w:t>
      </w:r>
    </w:p>
    <w:p w14:paraId="28C90585" w14:textId="77777777" w:rsidR="00B11A03" w:rsidRPr="00FA698A" w:rsidRDefault="00B11A03" w:rsidP="00B11A03">
      <w:pPr>
        <w:pStyle w:val="H23GA"/>
        <w:rPr>
          <w:szCs w:val="20"/>
          <w:lang w:val="ar-SA" w:eastAsia="zh-TW" w:bidi="en-GB"/>
        </w:rPr>
      </w:pPr>
      <w:r>
        <w:rPr>
          <w:rtl/>
        </w:rPr>
        <w:tab/>
      </w:r>
      <w:r>
        <w:rPr>
          <w:rtl/>
        </w:rPr>
        <w:tab/>
        <w:t>عدم تعاون الدولة الطرف</w:t>
      </w:r>
    </w:p>
    <w:p w14:paraId="42E57783" w14:textId="03A2CBD1" w:rsidR="00B11A03" w:rsidRPr="00FA698A" w:rsidRDefault="00B11A03" w:rsidP="00B11A03">
      <w:pPr>
        <w:pStyle w:val="SingleTxtGA"/>
        <w:rPr>
          <w:szCs w:val="20"/>
          <w:lang w:val="ar-SA" w:eastAsia="zh-TW" w:bidi="en-GB"/>
        </w:rPr>
      </w:pPr>
      <w:r w:rsidRPr="00160F80">
        <w:rPr>
          <w:szCs w:val="20"/>
          <w:rtl/>
        </w:rPr>
        <w:t>6</w:t>
      </w:r>
      <w:r w:rsidRPr="00DA3F02">
        <w:rPr>
          <w:rtl/>
        </w:rPr>
        <w:t>-</w:t>
      </w:r>
      <w:r>
        <w:rPr>
          <w:rtl/>
        </w:rPr>
        <w:tab/>
        <w:t xml:space="preserve">تذكّر اللجنة بأن الدولة الطرف طعنت في مقبولية البلاغ في </w:t>
      </w:r>
      <w:r w:rsidRPr="00160F80">
        <w:rPr>
          <w:szCs w:val="20"/>
          <w:rtl/>
        </w:rPr>
        <w:t>3</w:t>
      </w:r>
      <w:r>
        <w:rPr>
          <w:rtl/>
        </w:rPr>
        <w:t xml:space="preserve"> نيسان/أبريل </w:t>
      </w:r>
      <w:r w:rsidRPr="00160F80">
        <w:rPr>
          <w:szCs w:val="20"/>
          <w:rtl/>
        </w:rPr>
        <w:t>2017</w:t>
      </w:r>
      <w:r>
        <w:rPr>
          <w:rFonts w:ascii="Traditional Arabic"/>
          <w:szCs w:val="20"/>
          <w:rtl/>
        </w:rPr>
        <w:t xml:space="preserve"> </w:t>
      </w:r>
      <w:r>
        <w:rPr>
          <w:rtl/>
        </w:rPr>
        <w:t xml:space="preserve">واستندت في ذلك إلى المذكرة المرجعية الصادرة عن الحكومة الجزائرية بشأن معالجة مسألة الاختفاء في ضوء تنفيذ ميثاق السلم والمصالحة الوطنية. وفي </w:t>
      </w:r>
      <w:r w:rsidRPr="00160F80">
        <w:rPr>
          <w:szCs w:val="20"/>
          <w:rtl/>
        </w:rPr>
        <w:t>12</w:t>
      </w:r>
      <w:r>
        <w:rPr>
          <w:rtl/>
        </w:rPr>
        <w:t xml:space="preserve"> كانون الأول/ديسمبر </w:t>
      </w:r>
      <w:r w:rsidRPr="00160F80">
        <w:rPr>
          <w:szCs w:val="20"/>
          <w:rtl/>
        </w:rPr>
        <w:t>2016</w:t>
      </w:r>
      <w:r>
        <w:rPr>
          <w:rtl/>
        </w:rPr>
        <w:t xml:space="preserve"> </w:t>
      </w:r>
      <w:proofErr w:type="spellStart"/>
      <w:r>
        <w:rPr>
          <w:rtl/>
        </w:rPr>
        <w:t>و</w:t>
      </w:r>
      <w:r w:rsidRPr="00160F80">
        <w:rPr>
          <w:szCs w:val="20"/>
          <w:rtl/>
        </w:rPr>
        <w:t>8</w:t>
      </w:r>
      <w:proofErr w:type="spellEnd"/>
      <w:r>
        <w:rPr>
          <w:rtl/>
        </w:rPr>
        <w:t xml:space="preserve"> تشرين الأول/أكتوبر </w:t>
      </w:r>
      <w:proofErr w:type="spellStart"/>
      <w:r>
        <w:rPr>
          <w:rtl/>
        </w:rPr>
        <w:t>و</w:t>
      </w:r>
      <w:r w:rsidRPr="00160F80">
        <w:rPr>
          <w:szCs w:val="20"/>
          <w:rtl/>
        </w:rPr>
        <w:t>12</w:t>
      </w:r>
      <w:proofErr w:type="spellEnd"/>
      <w:r>
        <w:rPr>
          <w:rtl/>
        </w:rPr>
        <w:t xml:space="preserve"> كانون الأول/ديسمبر </w:t>
      </w:r>
      <w:r w:rsidRPr="00160F80">
        <w:rPr>
          <w:szCs w:val="20"/>
          <w:rtl/>
        </w:rPr>
        <w:t>2018</w:t>
      </w:r>
      <w:r>
        <w:rPr>
          <w:rtl/>
        </w:rPr>
        <w:t xml:space="preserve">، طُلب إلى الدولة الطرف أن تقدم ملاحظاتها بشأن الأسس الموضوعية للبلاغ. وتلاحظ اللجنة أنها لم تتلق أي رد وتأسف لعدم تعاون الدولة الطرف التي لم تقدم تعليقاتها على هذه الشكوى. والدولة الطرف ملزمةٌ، بموجب الفقرة </w:t>
      </w:r>
      <w:r w:rsidRPr="00160F80">
        <w:rPr>
          <w:szCs w:val="20"/>
          <w:rtl/>
        </w:rPr>
        <w:t>2</w:t>
      </w:r>
      <w:r>
        <w:rPr>
          <w:rtl/>
        </w:rPr>
        <w:t xml:space="preserve"> من المادة </w:t>
      </w:r>
      <w:r w:rsidRPr="00160F80">
        <w:rPr>
          <w:szCs w:val="20"/>
          <w:rtl/>
        </w:rPr>
        <w:t>4</w:t>
      </w:r>
      <w:r>
        <w:rPr>
          <w:rtl/>
        </w:rPr>
        <w:t xml:space="preserve"> من البروتوكول الاختياري، بالتحقيق بحسن نية في جميع الادعاءات المتعلقة بانتهاكات أحكام العهد التي تُنسَب إليها وإلى من يمثلها، وبموافاة اللجنة بما تملكه من معلومات</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20"/>
      </w:r>
      <w:r w:rsidR="00187AE0" w:rsidRPr="00AB3B40">
        <w:rPr>
          <w:rStyle w:val="FootnoteReference"/>
          <w:b w:val="0"/>
          <w:position w:val="4"/>
          <w:sz w:val="20"/>
          <w:rtl/>
        </w:rPr>
        <w:t>)</w:t>
      </w:r>
      <w:r w:rsidR="00DA3F02">
        <w:rPr>
          <w:rtl/>
        </w:rPr>
        <w:t>.</w:t>
      </w:r>
    </w:p>
    <w:p w14:paraId="7826BF44" w14:textId="12C880F7" w:rsidR="00B11A03" w:rsidRPr="00FA698A" w:rsidRDefault="00B11A03" w:rsidP="00BF48DF">
      <w:pPr>
        <w:pStyle w:val="H23GA"/>
        <w:rPr>
          <w:szCs w:val="20"/>
          <w:lang w:val="ar-SA" w:eastAsia="zh-TW" w:bidi="en-GB"/>
        </w:rPr>
      </w:pPr>
      <w:r>
        <w:rPr>
          <w:rtl/>
        </w:rPr>
        <w:lastRenderedPageBreak/>
        <w:tab/>
      </w:r>
      <w:r>
        <w:rPr>
          <w:rtl/>
        </w:rPr>
        <w:tab/>
        <w:t>القضايا والإجراءات المعروضة على اللجنة</w:t>
      </w:r>
    </w:p>
    <w:p w14:paraId="01849C60" w14:textId="31082FF0" w:rsidR="00B11A03" w:rsidRPr="00FA698A" w:rsidRDefault="00B11A03" w:rsidP="00B11A03">
      <w:pPr>
        <w:pStyle w:val="H4GA"/>
        <w:rPr>
          <w:szCs w:val="20"/>
          <w:lang w:val="ar-SA" w:eastAsia="zh-TW" w:bidi="en-GB"/>
        </w:rPr>
      </w:pPr>
      <w:r>
        <w:rPr>
          <w:rtl/>
        </w:rPr>
        <w:tab/>
      </w:r>
      <w:r>
        <w:rPr>
          <w:rtl/>
        </w:rPr>
        <w:tab/>
        <w:t>النظر في المقبولية</w:t>
      </w:r>
    </w:p>
    <w:p w14:paraId="576FCE57" w14:textId="77777777" w:rsidR="00B11A03" w:rsidRPr="00FA698A" w:rsidRDefault="00B11A03" w:rsidP="00160F80">
      <w:pPr>
        <w:pStyle w:val="SingleTxtGA"/>
        <w:spacing w:line="350" w:lineRule="exact"/>
        <w:rPr>
          <w:szCs w:val="20"/>
          <w:lang w:val="ar-SA" w:eastAsia="zh-TW" w:bidi="en-GB"/>
        </w:rPr>
      </w:pPr>
      <w:r w:rsidRPr="00160F80">
        <w:rPr>
          <w:szCs w:val="20"/>
          <w:rtl/>
        </w:rPr>
        <w:t>7</w:t>
      </w:r>
      <w:r w:rsidRPr="00DA3F02">
        <w:rPr>
          <w:rtl/>
        </w:rPr>
        <w:t>-</w:t>
      </w:r>
      <w:r w:rsidRPr="00160F80">
        <w:rPr>
          <w:szCs w:val="20"/>
          <w:rtl/>
        </w:rPr>
        <w:t>1</w:t>
      </w:r>
      <w:r>
        <w:rPr>
          <w:rtl/>
        </w:rPr>
        <w:tab/>
        <w:t xml:space="preserve">قبل النظر في أي شكوى ترد في بلاغ ما، يتعين على اللجنة، وفقاً للمادة </w:t>
      </w:r>
      <w:r w:rsidRPr="00160F80">
        <w:rPr>
          <w:szCs w:val="20"/>
          <w:rtl/>
        </w:rPr>
        <w:t>97</w:t>
      </w:r>
      <w:r>
        <w:rPr>
          <w:rtl/>
        </w:rPr>
        <w:t xml:space="preserve"> من نظامها الداخلي، أن تحدد ما إذا كان البلاغ مقبولاً أم لا بموجب البروتوكول الاختياري الملحق بالعهد.</w:t>
      </w:r>
    </w:p>
    <w:p w14:paraId="774BB3AC" w14:textId="59D819EF" w:rsidR="00B11A03" w:rsidRPr="00FA698A" w:rsidRDefault="00B11A03" w:rsidP="00160F80">
      <w:pPr>
        <w:pStyle w:val="SingleTxtGA"/>
        <w:spacing w:line="350" w:lineRule="exact"/>
        <w:rPr>
          <w:szCs w:val="20"/>
          <w:lang w:val="ar-SA" w:eastAsia="zh-TW" w:bidi="en-GB"/>
        </w:rPr>
      </w:pPr>
      <w:r w:rsidRPr="00160F80">
        <w:rPr>
          <w:szCs w:val="20"/>
          <w:rtl/>
        </w:rPr>
        <w:t>7</w:t>
      </w:r>
      <w:r w:rsidRPr="00DA3F02">
        <w:rPr>
          <w:rtl/>
        </w:rPr>
        <w:t>-</w:t>
      </w:r>
      <w:r w:rsidRPr="00160F80">
        <w:rPr>
          <w:szCs w:val="20"/>
          <w:rtl/>
        </w:rPr>
        <w:t>2</w:t>
      </w:r>
      <w:r>
        <w:rPr>
          <w:rtl/>
        </w:rPr>
        <w:tab/>
        <w:t xml:space="preserve">وقد تأكدت اللجنة، وفقاً لما تنص عليه المادة </w:t>
      </w:r>
      <w:r w:rsidRPr="00160F80">
        <w:rPr>
          <w:szCs w:val="20"/>
          <w:rtl/>
        </w:rPr>
        <w:t>5</w:t>
      </w:r>
      <w:r w:rsidRPr="003A4F27">
        <w:rPr>
          <w:rtl/>
        </w:rPr>
        <w:t>(</w:t>
      </w:r>
      <w:r w:rsidRPr="00160F80">
        <w:rPr>
          <w:szCs w:val="20"/>
          <w:rtl/>
        </w:rPr>
        <w:t>2</w:t>
      </w:r>
      <w:r w:rsidRPr="003A4F27">
        <w:rPr>
          <w:rtl/>
        </w:rPr>
        <w:t>)(</w:t>
      </w:r>
      <w:r>
        <w:rPr>
          <w:rtl/>
        </w:rPr>
        <w:t>أ</w:t>
      </w:r>
      <w:r w:rsidRPr="003A4F27">
        <w:rPr>
          <w:rtl/>
        </w:rPr>
        <w:t>)</w:t>
      </w:r>
      <w:r>
        <w:rPr>
          <w:rtl/>
        </w:rPr>
        <w:t xml:space="preserve"> من البروتوكول الاختياري، من أن المسألة نفسها ليست قيد البحث في إطار إجراء آخر من إجراءات التحقيق الدولي أو التسوية الدولية. وتشير اللجنة إلى أن الفريق العامل المعني بحالات الاختفاء القسري أو غير الطوعي قد أُبلغ بحالة الاختفاء هذه. إلاّ أنها تذكّر بأن إجراءات أو آليات مجلس حقوق الإنسان الخارجة عن نطاق الاتفاقيات والتي تتمثل ولايتها في دراسة حالة حقوق الإنسان في بلد أو إقليم محدد، أو فحص ظواهر تتعلق بانتهاكات واسعة النطاق لحقوق الإنسان في جميع أنحاء العالم، من جهة أولى، وتقديم تقارير عن تلك الحالات والانتهاكات، من جهة أخرى، لا تندرج عموماً ضمن إجراءات التحقيق الدولي أو التسوية الدولية بالمعنى المقصود في الفقرة </w:t>
      </w:r>
      <w:r w:rsidRPr="00160F80">
        <w:rPr>
          <w:szCs w:val="20"/>
          <w:rtl/>
        </w:rPr>
        <w:t>2</w:t>
      </w:r>
      <w:r w:rsidRPr="003A4F27">
        <w:rPr>
          <w:rtl/>
        </w:rPr>
        <w:t>(</w:t>
      </w:r>
      <w:r>
        <w:rPr>
          <w:rtl/>
        </w:rPr>
        <w:t>أ</w:t>
      </w:r>
      <w:r w:rsidRPr="003A4F27">
        <w:rPr>
          <w:rtl/>
        </w:rPr>
        <w:t>)</w:t>
      </w:r>
      <w:r>
        <w:rPr>
          <w:rtl/>
        </w:rPr>
        <w:t xml:space="preserve"> من المادة </w:t>
      </w:r>
      <w:r w:rsidRPr="00160F80">
        <w:rPr>
          <w:szCs w:val="20"/>
          <w:rtl/>
        </w:rPr>
        <w:t>5</w:t>
      </w:r>
      <w:r>
        <w:rPr>
          <w:rtl/>
        </w:rPr>
        <w:t xml:space="preserve"> من البروتوكول الاختياري</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21"/>
      </w:r>
      <w:r w:rsidR="00187AE0" w:rsidRPr="00AB3B40">
        <w:rPr>
          <w:rStyle w:val="FootnoteReference"/>
          <w:b w:val="0"/>
          <w:position w:val="4"/>
          <w:sz w:val="20"/>
          <w:rtl/>
        </w:rPr>
        <w:t>)</w:t>
      </w:r>
      <w:r w:rsidR="00DA3F02">
        <w:rPr>
          <w:rtl/>
        </w:rPr>
        <w:t>.</w:t>
      </w:r>
      <w:r>
        <w:rPr>
          <w:rtl/>
        </w:rPr>
        <w:t xml:space="preserve"> ولذلك ترى اللجنة أن نظر الفريق العامل المعني بحالات الاختفاء القسري أو غير الطوعي في حالة مراد بن جاعل لا يجعل هذا البلاغ غير مقبول بمقتضى هذه المادة.</w:t>
      </w:r>
    </w:p>
    <w:p w14:paraId="2E38D182" w14:textId="521EF7CE" w:rsidR="00B11A03" w:rsidRPr="00160F80" w:rsidRDefault="00B11A03" w:rsidP="00160F80">
      <w:pPr>
        <w:pStyle w:val="SingleTxtGA"/>
        <w:spacing w:line="350" w:lineRule="exact"/>
        <w:rPr>
          <w:spacing w:val="-2"/>
          <w:szCs w:val="20"/>
          <w:lang w:val="ar-SA" w:eastAsia="zh-TW" w:bidi="en-GB"/>
        </w:rPr>
      </w:pPr>
      <w:r w:rsidRPr="00160F80">
        <w:rPr>
          <w:szCs w:val="20"/>
          <w:rtl/>
        </w:rPr>
        <w:t>7</w:t>
      </w:r>
      <w:r w:rsidRPr="00DA3F02">
        <w:rPr>
          <w:rtl/>
        </w:rPr>
        <w:t>-</w:t>
      </w:r>
      <w:r w:rsidRPr="00160F80">
        <w:rPr>
          <w:szCs w:val="20"/>
          <w:rtl/>
        </w:rPr>
        <w:t>3</w:t>
      </w:r>
      <w:r>
        <w:rPr>
          <w:rtl/>
        </w:rPr>
        <w:tab/>
      </w:r>
      <w:r w:rsidRPr="00160F80">
        <w:rPr>
          <w:spacing w:val="-2"/>
          <w:rtl/>
        </w:rPr>
        <w:t>وتحيط اللجنة علماً بما أكده صاحبا البلاغ من أنهما استنفدا جميع سبل الانتصاف المتاحة في حالة اختفاء مراد بن جاعل. وتلاحظ أن الدولة الطرف تكتفي، في معرض الطعن في مقبولية البلاغ، بالإحالة إلى المذكرة المرجعية الصادرة عن الحكومة الجزائرية بشأن معالجة مسألة الاختفاء في ضوء تنفيذ ميثاق السلم والمصالحة الوطنية. وفي هذا الصدد، تشير اللجنة إلى أنها كانت قد أعربت عن قلقها في عام</w:t>
      </w:r>
      <w:r w:rsidR="00177A6F">
        <w:rPr>
          <w:rFonts w:hint="cs"/>
          <w:spacing w:val="-2"/>
          <w:rtl/>
        </w:rPr>
        <w:t> </w:t>
      </w:r>
      <w:r w:rsidRPr="00160F80">
        <w:rPr>
          <w:spacing w:val="-2"/>
          <w:szCs w:val="20"/>
          <w:rtl/>
        </w:rPr>
        <w:t>2018</w:t>
      </w:r>
      <w:r w:rsidRPr="00160F80">
        <w:rPr>
          <w:spacing w:val="-2"/>
          <w:rtl/>
        </w:rPr>
        <w:t xml:space="preserve"> لأن الدولة الطرف تجاهلت طلباتها المتكررة وظلت تحيل بصورة منهجية إلى وثيقة عامة نموذجية تعرف باسم "مذكرة"، من دون الرد على ادعاءات أصحاب البلاغات على نحو محدد. وبناءً على ذلك، حثت اللجنة الدولة الطرف على أن تتعاون معها بحسن نية في إطار إجراء البلاغات الفردية والتوقف عن الإحالة إلى "المذكرة"، وتقديم رد محدد وفردي بشأن ادعاءات أصحاب البلاغات</w:t>
      </w:r>
      <w:r w:rsidR="00187AE0" w:rsidRPr="00160F80">
        <w:rPr>
          <w:rStyle w:val="FootnoteReference"/>
          <w:b w:val="0"/>
          <w:spacing w:val="-2"/>
          <w:position w:val="4"/>
          <w:sz w:val="20"/>
          <w:rtl/>
        </w:rPr>
        <w:t>(</w:t>
      </w:r>
      <w:r w:rsidR="00187AE0" w:rsidRPr="00160F80">
        <w:rPr>
          <w:rStyle w:val="FootnoteReference"/>
          <w:rFonts w:cs="Times New Roman"/>
          <w:b w:val="0"/>
          <w:spacing w:val="-2"/>
          <w:position w:val="4"/>
          <w:sz w:val="20"/>
        </w:rPr>
        <w:footnoteReference w:id="22"/>
      </w:r>
      <w:r w:rsidR="00187AE0" w:rsidRPr="00160F80">
        <w:rPr>
          <w:rStyle w:val="FootnoteReference"/>
          <w:b w:val="0"/>
          <w:spacing w:val="-2"/>
          <w:position w:val="4"/>
          <w:sz w:val="20"/>
          <w:rtl/>
        </w:rPr>
        <w:t>)</w:t>
      </w:r>
      <w:r w:rsidR="00DA3F02" w:rsidRPr="00160F80">
        <w:rPr>
          <w:spacing w:val="-2"/>
          <w:rtl/>
        </w:rPr>
        <w:t>.</w:t>
      </w:r>
    </w:p>
    <w:p w14:paraId="54CA442A" w14:textId="66576B33" w:rsidR="00B11A03" w:rsidRPr="00160F80" w:rsidRDefault="00B11A03" w:rsidP="00160F80">
      <w:pPr>
        <w:pStyle w:val="SingleTxtGA"/>
        <w:spacing w:line="350" w:lineRule="exact"/>
        <w:rPr>
          <w:spacing w:val="-4"/>
          <w:szCs w:val="20"/>
          <w:lang w:val="ar-SA" w:eastAsia="zh-TW" w:bidi="en-GB"/>
        </w:rPr>
      </w:pPr>
      <w:r w:rsidRPr="00160F80">
        <w:rPr>
          <w:spacing w:val="-4"/>
          <w:szCs w:val="20"/>
          <w:rtl/>
        </w:rPr>
        <w:t>7</w:t>
      </w:r>
      <w:r w:rsidRPr="00160F80">
        <w:rPr>
          <w:spacing w:val="-4"/>
          <w:rtl/>
        </w:rPr>
        <w:t>-</w:t>
      </w:r>
      <w:r w:rsidRPr="00160F80">
        <w:rPr>
          <w:spacing w:val="-4"/>
          <w:szCs w:val="20"/>
          <w:rtl/>
        </w:rPr>
        <w:t>4</w:t>
      </w:r>
      <w:r w:rsidRPr="00160F80">
        <w:rPr>
          <w:spacing w:val="-4"/>
          <w:rtl/>
        </w:rPr>
        <w:tab/>
        <w:t>وتذكّر اللجنة بأن واجب الدولة الطرف لا يقتصر على إجراء تحقيقات شاملة في انتهاكات حقوق الإنسان المزعومة التي تُبلَّغ بها سلطاتها، ولا سيما ما تعلّق منها بانتهاك الحق في الحياة، فحسب، بل من واجبها أيضاً ملاحقة كل شخص يُزعم أنه ضالعٌ في هذه الانتهاكات ومحاكمته ومعاقبته</w:t>
      </w:r>
      <w:r w:rsidR="00187AE0" w:rsidRPr="00160F80">
        <w:rPr>
          <w:rStyle w:val="FootnoteReference"/>
          <w:b w:val="0"/>
          <w:spacing w:val="-4"/>
          <w:position w:val="4"/>
          <w:sz w:val="20"/>
          <w:rtl/>
        </w:rPr>
        <w:t>(</w:t>
      </w:r>
      <w:r w:rsidR="00187AE0" w:rsidRPr="00160F80">
        <w:rPr>
          <w:rStyle w:val="FootnoteReference"/>
          <w:rFonts w:cs="Times New Roman"/>
          <w:b w:val="0"/>
          <w:spacing w:val="-4"/>
          <w:position w:val="4"/>
          <w:sz w:val="20"/>
        </w:rPr>
        <w:footnoteReference w:id="23"/>
      </w:r>
      <w:r w:rsidR="00187AE0" w:rsidRPr="00160F80">
        <w:rPr>
          <w:rStyle w:val="FootnoteReference"/>
          <w:b w:val="0"/>
          <w:spacing w:val="-4"/>
          <w:position w:val="4"/>
          <w:sz w:val="20"/>
          <w:rtl/>
        </w:rPr>
        <w:t>)</w:t>
      </w:r>
      <w:r w:rsidR="00DA3F02" w:rsidRPr="00160F80">
        <w:rPr>
          <w:spacing w:val="-4"/>
          <w:rtl/>
        </w:rPr>
        <w:t>.</w:t>
      </w:r>
      <w:r w:rsidRPr="00160F80">
        <w:rPr>
          <w:spacing w:val="-4"/>
          <w:rtl/>
        </w:rPr>
        <w:t xml:space="preserve"> وقد أخطرت أسرة مراد بن جاعل مراراً السلطات المختصة في الدولة الطرف باختفائه القسري. بيد أن السلطات لم تجر تحقيقاً فعالاً وشاملاً في هذا الاختفاء. زد على ذلك أن الدولة الطرف لم تقدم أي دليل على أن الإمكانية قائمة لممارسة سبيل انتصاف فعال ومتاح. ويضاف إلى ذلك أن الأمر رقم </w:t>
      </w:r>
      <w:r w:rsidRPr="00160F80">
        <w:rPr>
          <w:spacing w:val="-4"/>
          <w:szCs w:val="20"/>
          <w:rtl/>
        </w:rPr>
        <w:t>06</w:t>
      </w:r>
      <w:r w:rsidRPr="00160F80">
        <w:rPr>
          <w:spacing w:val="-4"/>
          <w:rtl/>
        </w:rPr>
        <w:t>-</w:t>
      </w:r>
      <w:r w:rsidRPr="00160F80">
        <w:rPr>
          <w:spacing w:val="-4"/>
          <w:szCs w:val="20"/>
          <w:rtl/>
        </w:rPr>
        <w:t>01</w:t>
      </w:r>
      <w:r w:rsidRPr="00160F80">
        <w:rPr>
          <w:spacing w:val="-4"/>
          <w:rtl/>
        </w:rPr>
        <w:t xml:space="preserve"> لا يزال نافذاً رغم أن اللجنة أكدت على ضرورة مواءمته مع مبادئ العهد</w:t>
      </w:r>
      <w:r w:rsidR="00187AE0" w:rsidRPr="00160F80">
        <w:rPr>
          <w:rStyle w:val="FootnoteReference"/>
          <w:b w:val="0"/>
          <w:spacing w:val="-4"/>
          <w:position w:val="4"/>
          <w:sz w:val="20"/>
          <w:rtl/>
        </w:rPr>
        <w:t>(</w:t>
      </w:r>
      <w:r w:rsidR="00187AE0" w:rsidRPr="00160F80">
        <w:rPr>
          <w:rStyle w:val="FootnoteReference"/>
          <w:rFonts w:cs="Times New Roman"/>
          <w:b w:val="0"/>
          <w:spacing w:val="-4"/>
          <w:position w:val="4"/>
          <w:sz w:val="20"/>
        </w:rPr>
        <w:footnoteReference w:id="24"/>
      </w:r>
      <w:r w:rsidR="00187AE0" w:rsidRPr="00160F80">
        <w:rPr>
          <w:rStyle w:val="FootnoteReference"/>
          <w:b w:val="0"/>
          <w:spacing w:val="-4"/>
          <w:position w:val="4"/>
          <w:sz w:val="20"/>
          <w:rtl/>
        </w:rPr>
        <w:t>)</w:t>
      </w:r>
      <w:r w:rsidR="00DA3F02" w:rsidRPr="00160F80">
        <w:rPr>
          <w:spacing w:val="-4"/>
          <w:rtl/>
        </w:rPr>
        <w:t>.</w:t>
      </w:r>
      <w:r w:rsidRPr="00160F80">
        <w:rPr>
          <w:spacing w:val="-4"/>
          <w:rtl/>
        </w:rPr>
        <w:t xml:space="preserve"> وفي هذا الصدد، تذكر اللجنة أيضاً بأنها </w:t>
      </w:r>
      <w:r w:rsidRPr="00160F80">
        <w:rPr>
          <w:spacing w:val="-4"/>
          <w:rtl/>
        </w:rPr>
        <w:lastRenderedPageBreak/>
        <w:t>كانت قد أشارت في ملاحظاتها الختامية على التقرير الدوري الرابع للدولة الطرف إلى أنها تأسف على وجه الخصوص لعدم توفير سبيل انتصاف فعال للأشخاص المختفين و/أو أسرهم، وعدم اتخاذ تدابير لاستجلاء حقيقة اختفاء الأشخاص المفقودين، وتحديد مكان وجودهم وإعادة رفات من توفي منهم إلى أسرته</w:t>
      </w:r>
      <w:r w:rsidR="00187AE0" w:rsidRPr="00160F80">
        <w:rPr>
          <w:rStyle w:val="FootnoteReference"/>
          <w:b w:val="0"/>
          <w:spacing w:val="-4"/>
          <w:position w:val="4"/>
          <w:sz w:val="20"/>
          <w:rtl/>
        </w:rPr>
        <w:t>(</w:t>
      </w:r>
      <w:r w:rsidR="00187AE0" w:rsidRPr="00160F80">
        <w:rPr>
          <w:rStyle w:val="FootnoteReference"/>
          <w:rFonts w:cs="Times New Roman"/>
          <w:b w:val="0"/>
          <w:spacing w:val="-4"/>
          <w:position w:val="4"/>
          <w:sz w:val="20"/>
        </w:rPr>
        <w:footnoteReference w:id="25"/>
      </w:r>
      <w:r w:rsidR="00187AE0" w:rsidRPr="00160F80">
        <w:rPr>
          <w:rStyle w:val="FootnoteReference"/>
          <w:b w:val="0"/>
          <w:spacing w:val="-4"/>
          <w:position w:val="4"/>
          <w:sz w:val="20"/>
          <w:rtl/>
        </w:rPr>
        <w:t>)</w:t>
      </w:r>
      <w:r w:rsidR="00DA3F02" w:rsidRPr="00160F80">
        <w:rPr>
          <w:spacing w:val="-4"/>
          <w:rtl/>
        </w:rPr>
        <w:t>.</w:t>
      </w:r>
      <w:r w:rsidRPr="00160F80">
        <w:rPr>
          <w:spacing w:val="-4"/>
          <w:rtl/>
        </w:rPr>
        <w:t xml:space="preserve"> وفي ضوء هذه الظروف، ترى اللجنة أنه لا شيء يمنعها من النظر في البلاغ وفقاً للفقرة </w:t>
      </w:r>
      <w:r w:rsidRPr="00160F80">
        <w:rPr>
          <w:spacing w:val="-4"/>
          <w:szCs w:val="20"/>
          <w:rtl/>
        </w:rPr>
        <w:t>2</w:t>
      </w:r>
      <w:r w:rsidRPr="00160F80">
        <w:rPr>
          <w:spacing w:val="-4"/>
          <w:rtl/>
        </w:rPr>
        <w:t xml:space="preserve">(ب) من المادة </w:t>
      </w:r>
      <w:r w:rsidRPr="00160F80">
        <w:rPr>
          <w:spacing w:val="-4"/>
          <w:szCs w:val="20"/>
          <w:rtl/>
        </w:rPr>
        <w:t>5</w:t>
      </w:r>
      <w:r w:rsidRPr="00160F80">
        <w:rPr>
          <w:spacing w:val="-4"/>
          <w:rtl/>
        </w:rPr>
        <w:t xml:space="preserve"> من البروتوكول الاختياري.</w:t>
      </w:r>
    </w:p>
    <w:p w14:paraId="6EA5D439" w14:textId="5FD76A9C" w:rsidR="00B11A03" w:rsidRPr="00160F80" w:rsidRDefault="00B11A03" w:rsidP="00160F80">
      <w:pPr>
        <w:pStyle w:val="SingleTxtGA"/>
        <w:spacing w:line="350" w:lineRule="exact"/>
        <w:rPr>
          <w:spacing w:val="-2"/>
          <w:szCs w:val="20"/>
          <w:lang w:val="ar-SA" w:eastAsia="zh-TW" w:bidi="en-GB"/>
        </w:rPr>
      </w:pPr>
      <w:r w:rsidRPr="00160F80">
        <w:rPr>
          <w:spacing w:val="-2"/>
          <w:szCs w:val="20"/>
          <w:rtl/>
        </w:rPr>
        <w:t>7</w:t>
      </w:r>
      <w:r w:rsidRPr="00160F80">
        <w:rPr>
          <w:spacing w:val="-2"/>
          <w:rtl/>
        </w:rPr>
        <w:t>-</w:t>
      </w:r>
      <w:r w:rsidRPr="00160F80">
        <w:rPr>
          <w:spacing w:val="-2"/>
          <w:szCs w:val="20"/>
          <w:rtl/>
        </w:rPr>
        <w:t>5</w:t>
      </w:r>
      <w:r w:rsidRPr="00160F80">
        <w:rPr>
          <w:spacing w:val="-2"/>
          <w:rtl/>
        </w:rPr>
        <w:tab/>
        <w:t>ثم تلاحظ اللجنة أن مروان بن جاعل نفسه يدعي أنه وقع ضحية احتجاز تعسفي وتعرض خلال فترة الاحتجاز للتعذيب والمعاملة القاسية واللاإنسانية والمهينة دون أن يتاح له سبيل انتصاف فعال للمطالبة بجبر ما لحقه من ضرر بعد أن قضت المحكمة بتبرئته. وفي هذا الصدد، يستشهد بالقانون رقم</w:t>
      </w:r>
      <w:r w:rsidR="00160F80">
        <w:rPr>
          <w:rFonts w:hint="cs"/>
          <w:spacing w:val="-2"/>
          <w:rtl/>
        </w:rPr>
        <w:t> </w:t>
      </w:r>
      <w:r w:rsidRPr="00160F80">
        <w:rPr>
          <w:spacing w:val="-2"/>
          <w:szCs w:val="20"/>
          <w:rtl/>
        </w:rPr>
        <w:t>01</w:t>
      </w:r>
      <w:r w:rsidRPr="00160F80">
        <w:rPr>
          <w:spacing w:val="-2"/>
          <w:rtl/>
        </w:rPr>
        <w:t>-</w:t>
      </w:r>
      <w:r w:rsidRPr="00160F80">
        <w:rPr>
          <w:spacing w:val="-2"/>
          <w:szCs w:val="20"/>
          <w:rtl/>
        </w:rPr>
        <w:t>08</w:t>
      </w:r>
      <w:r w:rsidRPr="00160F80">
        <w:rPr>
          <w:spacing w:val="-2"/>
          <w:rtl/>
        </w:rPr>
        <w:t xml:space="preserve"> الذي عدّل قانون الإجراءات الجزائية في عام </w:t>
      </w:r>
      <w:r w:rsidRPr="00160F80">
        <w:rPr>
          <w:spacing w:val="-2"/>
          <w:szCs w:val="20"/>
          <w:rtl/>
        </w:rPr>
        <w:t>2001</w:t>
      </w:r>
      <w:r w:rsidRPr="00160F80">
        <w:rPr>
          <w:spacing w:val="-2"/>
          <w:rtl/>
        </w:rPr>
        <w:t>، ويوضّح أنه لم يرفع دعوى أمام المحاكم المحلية احتجاجاً على احتجازه التعسفي وما تعرض له من تعذيب ومعاملة قاسية ولا</w:t>
      </w:r>
      <w:r w:rsidR="00242E8F" w:rsidRPr="00160F80">
        <w:rPr>
          <w:rFonts w:hint="cs"/>
          <w:spacing w:val="-2"/>
          <w:rtl/>
        </w:rPr>
        <w:t> </w:t>
      </w:r>
      <w:r w:rsidRPr="00160F80">
        <w:rPr>
          <w:spacing w:val="-2"/>
          <w:rtl/>
        </w:rPr>
        <w:t>إنسانية ومهينة بسبب خوفه من الانتقام ولأنه لم يكن هناك سبيل للانتصاف من هذه الانتهاكات.</w:t>
      </w:r>
    </w:p>
    <w:p w14:paraId="6ACB8E28" w14:textId="00BE9931" w:rsidR="00B11A03" w:rsidRPr="00160F80" w:rsidRDefault="00B11A03" w:rsidP="00160F80">
      <w:pPr>
        <w:pStyle w:val="SingleTxtGA"/>
        <w:spacing w:line="350" w:lineRule="exact"/>
        <w:rPr>
          <w:spacing w:val="-2"/>
          <w:szCs w:val="20"/>
          <w:lang w:val="ar-SA" w:eastAsia="zh-TW" w:bidi="en-GB"/>
        </w:rPr>
      </w:pPr>
      <w:r w:rsidRPr="00160F80">
        <w:rPr>
          <w:spacing w:val="-2"/>
          <w:szCs w:val="20"/>
          <w:rtl/>
        </w:rPr>
        <w:t>7</w:t>
      </w:r>
      <w:r w:rsidRPr="00160F80">
        <w:rPr>
          <w:spacing w:val="-2"/>
          <w:rtl/>
        </w:rPr>
        <w:t>-</w:t>
      </w:r>
      <w:r w:rsidRPr="00160F80">
        <w:rPr>
          <w:spacing w:val="-2"/>
          <w:szCs w:val="20"/>
          <w:rtl/>
        </w:rPr>
        <w:t>6</w:t>
      </w:r>
      <w:r w:rsidRPr="00160F80">
        <w:rPr>
          <w:spacing w:val="-2"/>
          <w:rtl/>
        </w:rPr>
        <w:tab/>
        <w:t xml:space="preserve">وبخصوص استنفاد مروان بن جاعل سبلَ الانتصاف المتاحة محلياً، تكرر اللجنة ما أكدته سابقاً ومؤداه أن الدولة الطرف ليس من واجبها فقط إجراء تحقيقات شاملة </w:t>
      </w:r>
      <w:proofErr w:type="gramStart"/>
      <w:r w:rsidRPr="00160F80">
        <w:rPr>
          <w:spacing w:val="-2"/>
          <w:rtl/>
        </w:rPr>
        <w:t>في ما</w:t>
      </w:r>
      <w:proofErr w:type="gramEnd"/>
      <w:r w:rsidRPr="00160F80">
        <w:rPr>
          <w:spacing w:val="-2"/>
          <w:rtl/>
        </w:rPr>
        <w:t xml:space="preserve"> تُبلَّغ به سلطاتها من انتهاكات مزعومة لحقوق الإنسان، لا سيما إذا تعلّق الأمر بانتهاك الحق في الحياة، وإنما من واجبها أيضاً ملاحقة كل من يُزعم ضلوعه في هذه الانتهاكات ومحاكمته ومعاقبته</w:t>
      </w:r>
      <w:r w:rsidR="00187AE0" w:rsidRPr="00160F80">
        <w:rPr>
          <w:rStyle w:val="FootnoteReference"/>
          <w:b w:val="0"/>
          <w:spacing w:val="-2"/>
          <w:position w:val="4"/>
          <w:sz w:val="20"/>
          <w:rtl/>
        </w:rPr>
        <w:t>(</w:t>
      </w:r>
      <w:r w:rsidR="00187AE0" w:rsidRPr="00160F80">
        <w:rPr>
          <w:rStyle w:val="FootnoteReference"/>
          <w:rFonts w:cs="Times New Roman"/>
          <w:b w:val="0"/>
          <w:spacing w:val="-2"/>
          <w:position w:val="4"/>
          <w:sz w:val="20"/>
        </w:rPr>
        <w:footnoteReference w:id="26"/>
      </w:r>
      <w:r w:rsidR="00187AE0" w:rsidRPr="00160F80">
        <w:rPr>
          <w:rStyle w:val="FootnoteReference"/>
          <w:b w:val="0"/>
          <w:spacing w:val="-2"/>
          <w:position w:val="4"/>
          <w:sz w:val="20"/>
          <w:rtl/>
        </w:rPr>
        <w:t>)</w:t>
      </w:r>
      <w:r w:rsidR="00DA3F02" w:rsidRPr="00160F80">
        <w:rPr>
          <w:spacing w:val="-2"/>
          <w:rtl/>
        </w:rPr>
        <w:t>.</w:t>
      </w:r>
      <w:r w:rsidRPr="00160F80">
        <w:rPr>
          <w:spacing w:val="-2"/>
          <w:rtl/>
        </w:rPr>
        <w:t xml:space="preserve"> وفي هذا الصدد، تشير اللجنة إلى أنها قد أعربت، في ملاحظاتها الختامية على التقرير الدوري الرابع للجزائر، عن القلق إزاء انخفاض عدد الملاحقات والعقوبات ضد الضباط المدانين بأعمال التعذيب وسوء المعاملة، وكذلك إزاء حالات الاحتجاز التعسفي التي لا تخضع، فيما يبدو، للتحقيق أو الملاحقة القضائية</w:t>
      </w:r>
      <w:r w:rsidR="00187AE0" w:rsidRPr="00160F80">
        <w:rPr>
          <w:rStyle w:val="FootnoteReference"/>
          <w:b w:val="0"/>
          <w:spacing w:val="-2"/>
          <w:position w:val="4"/>
          <w:sz w:val="20"/>
          <w:rtl/>
        </w:rPr>
        <w:t>(</w:t>
      </w:r>
      <w:r w:rsidR="00187AE0" w:rsidRPr="00160F80">
        <w:rPr>
          <w:rStyle w:val="FootnoteReference"/>
          <w:rFonts w:cs="Times New Roman"/>
          <w:b w:val="0"/>
          <w:spacing w:val="-2"/>
          <w:position w:val="4"/>
          <w:sz w:val="20"/>
        </w:rPr>
        <w:footnoteReference w:id="27"/>
      </w:r>
      <w:r w:rsidR="00187AE0" w:rsidRPr="00160F80">
        <w:rPr>
          <w:rStyle w:val="FootnoteReference"/>
          <w:b w:val="0"/>
          <w:spacing w:val="-2"/>
          <w:position w:val="4"/>
          <w:sz w:val="20"/>
          <w:rtl/>
        </w:rPr>
        <w:t>)</w:t>
      </w:r>
      <w:r w:rsidR="00DA3F02" w:rsidRPr="00160F80">
        <w:rPr>
          <w:spacing w:val="-2"/>
          <w:rtl/>
        </w:rPr>
        <w:t>.</w:t>
      </w:r>
      <w:r w:rsidRPr="00160F80">
        <w:rPr>
          <w:spacing w:val="-2"/>
          <w:rtl/>
        </w:rPr>
        <w:t xml:space="preserve"> ولم تقدم الدولة الطرف أي دليل على أن الأشخاص الذين يجدون أنفسهم في مثل هذه الحالات، مثل مروان بن جاعل، لايزال باستطاعتهم ممارسة سبيل انتصاف متاح وفعال. وفي ظل هذه الظروف، ترى اللجنة أنه لا شيء يمنعها من النظر في ادعاءات مروان بن جاعل وفقاً للفقرة </w:t>
      </w:r>
      <w:r w:rsidRPr="00160F80">
        <w:rPr>
          <w:spacing w:val="-2"/>
          <w:szCs w:val="20"/>
          <w:rtl/>
        </w:rPr>
        <w:t>2</w:t>
      </w:r>
      <w:r w:rsidRPr="00160F80">
        <w:rPr>
          <w:spacing w:val="-2"/>
          <w:rtl/>
        </w:rPr>
        <w:t xml:space="preserve">(ب) من المادة </w:t>
      </w:r>
      <w:r w:rsidRPr="00160F80">
        <w:rPr>
          <w:spacing w:val="-2"/>
          <w:szCs w:val="20"/>
          <w:rtl/>
        </w:rPr>
        <w:t>5</w:t>
      </w:r>
      <w:r w:rsidRPr="00160F80">
        <w:rPr>
          <w:spacing w:val="-2"/>
          <w:rtl/>
        </w:rPr>
        <w:t xml:space="preserve"> من البروتوكول الاختياري.</w:t>
      </w:r>
    </w:p>
    <w:p w14:paraId="1E1993B0" w14:textId="07D891B3" w:rsidR="00B11A03" w:rsidRDefault="00B11A03" w:rsidP="00160F80">
      <w:pPr>
        <w:pStyle w:val="SingleTxtGA"/>
        <w:spacing w:line="350" w:lineRule="exact"/>
        <w:rPr>
          <w:rtl/>
        </w:rPr>
      </w:pPr>
      <w:r w:rsidRPr="00160F80">
        <w:rPr>
          <w:szCs w:val="20"/>
          <w:rtl/>
        </w:rPr>
        <w:t>7</w:t>
      </w:r>
      <w:r w:rsidRPr="00DA3F02">
        <w:rPr>
          <w:rtl/>
        </w:rPr>
        <w:t>-</w:t>
      </w:r>
      <w:r w:rsidRPr="00160F80">
        <w:rPr>
          <w:szCs w:val="20"/>
          <w:rtl/>
        </w:rPr>
        <w:t>7</w:t>
      </w:r>
      <w:r>
        <w:rPr>
          <w:rtl/>
        </w:rPr>
        <w:tab/>
        <w:t xml:space="preserve">وتلاحظ اللجنة أن صاحبيْ البلاغ أشارا إلى انتهاك حقوقهما المكفولة بموجب الفقرتين </w:t>
      </w:r>
      <w:r w:rsidRPr="00160F80">
        <w:rPr>
          <w:szCs w:val="20"/>
          <w:rtl/>
        </w:rPr>
        <w:t>2</w:t>
      </w:r>
      <w:r>
        <w:rPr>
          <w:rtl/>
        </w:rPr>
        <w:t xml:space="preserve"> </w:t>
      </w:r>
      <w:proofErr w:type="spellStart"/>
      <w:r>
        <w:rPr>
          <w:rtl/>
        </w:rPr>
        <w:t>و</w:t>
      </w:r>
      <w:r w:rsidRPr="00160F80">
        <w:rPr>
          <w:szCs w:val="20"/>
          <w:rtl/>
        </w:rPr>
        <w:t>3</w:t>
      </w:r>
      <w:proofErr w:type="spellEnd"/>
      <w:r>
        <w:rPr>
          <w:rtl/>
        </w:rPr>
        <w:t xml:space="preserve"> من المادة </w:t>
      </w:r>
      <w:r w:rsidRPr="00160F80">
        <w:rPr>
          <w:szCs w:val="20"/>
          <w:rtl/>
        </w:rPr>
        <w:t>2</w:t>
      </w:r>
      <w:r>
        <w:rPr>
          <w:rtl/>
        </w:rPr>
        <w:t xml:space="preserve"> من العهد. وإذ تشير اللجنة إلى اجتهاداتها السابقة التي رأت فيها أن أحكام المادة </w:t>
      </w:r>
      <w:r w:rsidRPr="00160F80">
        <w:rPr>
          <w:szCs w:val="20"/>
          <w:rtl/>
        </w:rPr>
        <w:t>2</w:t>
      </w:r>
      <w:r>
        <w:rPr>
          <w:rtl/>
        </w:rPr>
        <w:t xml:space="preserve"> من العهد تضع التزامات عامة على الدول الأطراف، ولا يمكن أن تشكل بمفردها أساسا يمكن الاستناد إليه لتقديم دعوى منفصلة بموجب البروتوكول الاختياري، إذ لا يمكن الاحتجاج بها إلا بالاقتران مع المواد الموضوعية الأخرى المنصوص عليها في العهد، فإنها تعتبر أن ادعاءات صاحبيْ البلاغ بموجب الفقرتين </w:t>
      </w:r>
      <w:r w:rsidRPr="00160F80">
        <w:rPr>
          <w:szCs w:val="20"/>
          <w:rtl/>
        </w:rPr>
        <w:t>2</w:t>
      </w:r>
      <w:r>
        <w:rPr>
          <w:rtl/>
        </w:rPr>
        <w:t xml:space="preserve"> و</w:t>
      </w:r>
      <w:r w:rsidRPr="003A4F27">
        <w:rPr>
          <w:rtl/>
        </w:rPr>
        <w:t>(</w:t>
      </w:r>
      <w:r w:rsidRPr="00160F80">
        <w:rPr>
          <w:szCs w:val="20"/>
          <w:rtl/>
        </w:rPr>
        <w:t>3</w:t>
      </w:r>
      <w:r w:rsidRPr="003A4F27">
        <w:rPr>
          <w:rtl/>
        </w:rPr>
        <w:t>)</w:t>
      </w:r>
      <w:r>
        <w:rPr>
          <w:rtl/>
        </w:rPr>
        <w:t xml:space="preserve"> من المادة </w:t>
      </w:r>
      <w:r w:rsidRPr="00160F80">
        <w:rPr>
          <w:szCs w:val="20"/>
          <w:rtl/>
        </w:rPr>
        <w:t>2</w:t>
      </w:r>
      <w:r>
        <w:rPr>
          <w:rtl/>
        </w:rPr>
        <w:t xml:space="preserve"> من العهد غير مقبولة بمقتضى المادة </w:t>
      </w:r>
      <w:r w:rsidRPr="00160F80">
        <w:rPr>
          <w:szCs w:val="20"/>
          <w:rtl/>
        </w:rPr>
        <w:t>3</w:t>
      </w:r>
      <w:r>
        <w:rPr>
          <w:rtl/>
        </w:rPr>
        <w:t xml:space="preserve"> من البروتوكول الاختياري</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28"/>
      </w:r>
      <w:r w:rsidR="00187AE0" w:rsidRPr="00AB3B40">
        <w:rPr>
          <w:rStyle w:val="FootnoteReference"/>
          <w:b w:val="0"/>
          <w:position w:val="4"/>
          <w:sz w:val="20"/>
          <w:rtl/>
        </w:rPr>
        <w:t>)</w:t>
      </w:r>
      <w:r w:rsidR="00DA3F02">
        <w:rPr>
          <w:rtl/>
        </w:rPr>
        <w:t>.</w:t>
      </w:r>
    </w:p>
    <w:p w14:paraId="564383DA" w14:textId="77777777" w:rsidR="00B11A03" w:rsidRPr="00160F80" w:rsidRDefault="00B11A03" w:rsidP="00160F80">
      <w:pPr>
        <w:pStyle w:val="SingleTxtGA"/>
        <w:spacing w:line="350" w:lineRule="exact"/>
        <w:rPr>
          <w:spacing w:val="-2"/>
          <w:szCs w:val="20"/>
          <w:lang w:val="ar-SA" w:eastAsia="zh-TW" w:bidi="en-GB"/>
        </w:rPr>
      </w:pPr>
      <w:r w:rsidRPr="00160F80">
        <w:rPr>
          <w:szCs w:val="20"/>
          <w:rtl/>
        </w:rPr>
        <w:t>7</w:t>
      </w:r>
      <w:r w:rsidRPr="00DA3F02">
        <w:rPr>
          <w:rtl/>
        </w:rPr>
        <w:t>-</w:t>
      </w:r>
      <w:r w:rsidRPr="00160F80">
        <w:rPr>
          <w:szCs w:val="20"/>
          <w:rtl/>
        </w:rPr>
        <w:t>8</w:t>
      </w:r>
      <w:r>
        <w:rPr>
          <w:rtl/>
        </w:rPr>
        <w:tab/>
      </w:r>
      <w:r w:rsidRPr="00160F80">
        <w:rPr>
          <w:spacing w:val="-2"/>
          <w:rtl/>
        </w:rPr>
        <w:t xml:space="preserve">وتلاحظ اللجنة أن صاحبيْ البلاغ أثارا أيضاً انتهاك المادة </w:t>
      </w:r>
      <w:r w:rsidRPr="00160F80">
        <w:rPr>
          <w:spacing w:val="-2"/>
          <w:szCs w:val="20"/>
          <w:rtl/>
        </w:rPr>
        <w:t>21</w:t>
      </w:r>
      <w:r w:rsidRPr="00160F80">
        <w:rPr>
          <w:spacing w:val="-2"/>
          <w:rtl/>
        </w:rPr>
        <w:t xml:space="preserve"> من العهد. غير أنها ترى أن صاحبيْ البلاغ لم يثبتا ادعاءاتهما بما فيه الكفاية في هذا الصدد، وتلاحظ أنهما لم يتخذا على ما يبدو أي إجراء أمام المحاكم الوطنية فيما يتعلق بادعاءات انتهاك حريتهما في التظاهر. وبناء عليه، تعتبر اللجنة أن هذا الجزء من البلاغ غير مقبول بموجب المادة </w:t>
      </w:r>
      <w:r w:rsidRPr="00160F80">
        <w:rPr>
          <w:spacing w:val="-2"/>
          <w:szCs w:val="20"/>
          <w:rtl/>
        </w:rPr>
        <w:t>2</w:t>
      </w:r>
      <w:r w:rsidRPr="00160F80">
        <w:rPr>
          <w:spacing w:val="-2"/>
          <w:rtl/>
        </w:rPr>
        <w:t xml:space="preserve"> والفقرة </w:t>
      </w:r>
      <w:r w:rsidRPr="00160F80">
        <w:rPr>
          <w:spacing w:val="-2"/>
          <w:szCs w:val="20"/>
          <w:rtl/>
        </w:rPr>
        <w:t>2</w:t>
      </w:r>
      <w:r w:rsidRPr="00160F80">
        <w:rPr>
          <w:spacing w:val="-2"/>
          <w:rtl/>
        </w:rPr>
        <w:t xml:space="preserve">(ب) من المادة </w:t>
      </w:r>
      <w:r w:rsidRPr="00160F80">
        <w:rPr>
          <w:spacing w:val="-2"/>
          <w:szCs w:val="20"/>
          <w:rtl/>
        </w:rPr>
        <w:t>5</w:t>
      </w:r>
      <w:r w:rsidRPr="00160F80">
        <w:rPr>
          <w:rFonts w:ascii="Traditional Arabic"/>
          <w:spacing w:val="-2"/>
          <w:szCs w:val="20"/>
          <w:rtl/>
        </w:rPr>
        <w:t xml:space="preserve"> </w:t>
      </w:r>
      <w:r w:rsidRPr="00160F80">
        <w:rPr>
          <w:spacing w:val="-2"/>
          <w:rtl/>
        </w:rPr>
        <w:t>من البروتوكول الاختياري.</w:t>
      </w:r>
    </w:p>
    <w:p w14:paraId="772635E2" w14:textId="50217AC7" w:rsidR="00B11A03" w:rsidRPr="00FA698A" w:rsidRDefault="00B11A03" w:rsidP="00B11A03">
      <w:pPr>
        <w:pStyle w:val="SingleTxtGA"/>
        <w:rPr>
          <w:szCs w:val="20"/>
          <w:lang w:val="ar-SA" w:eastAsia="zh-TW" w:bidi="en-GB"/>
        </w:rPr>
      </w:pPr>
      <w:r w:rsidRPr="00160F80">
        <w:rPr>
          <w:szCs w:val="20"/>
          <w:rtl/>
        </w:rPr>
        <w:lastRenderedPageBreak/>
        <w:t>7</w:t>
      </w:r>
      <w:r w:rsidRPr="00DA3F02">
        <w:rPr>
          <w:rtl/>
        </w:rPr>
        <w:t>-</w:t>
      </w:r>
      <w:r w:rsidRPr="00160F80">
        <w:rPr>
          <w:szCs w:val="20"/>
          <w:rtl/>
        </w:rPr>
        <w:t>9</w:t>
      </w:r>
      <w:r>
        <w:rPr>
          <w:rtl/>
        </w:rPr>
        <w:tab/>
        <w:t xml:space="preserve">غير أن اللجنة ترى أن صاحبيْ البلاغ قدما ما يكفي من الأدلة لإثبات ادعاءاتهما الأخرى لأغراض المقبولية، وتشرع في النظر في الأسس الموضوعية للادعاءات المتعلقة بانتهاك الفقرة </w:t>
      </w:r>
      <w:r w:rsidRPr="00160F80">
        <w:rPr>
          <w:szCs w:val="20"/>
          <w:rtl/>
        </w:rPr>
        <w:t>3</w:t>
      </w:r>
      <w:r>
        <w:rPr>
          <w:rtl/>
        </w:rPr>
        <w:t xml:space="preserve"> من المادة</w:t>
      </w:r>
      <w:r w:rsidR="00872CF7">
        <w:rPr>
          <w:rFonts w:hint="cs"/>
          <w:rtl/>
        </w:rPr>
        <w:t> </w:t>
      </w:r>
      <w:r w:rsidRPr="00160F80">
        <w:rPr>
          <w:szCs w:val="20"/>
          <w:rtl/>
        </w:rPr>
        <w:t>2</w:t>
      </w:r>
      <w:r>
        <w:rPr>
          <w:rtl/>
        </w:rPr>
        <w:t xml:space="preserve">، والفقرة </w:t>
      </w:r>
      <w:r w:rsidRPr="00160F80">
        <w:rPr>
          <w:szCs w:val="20"/>
          <w:rtl/>
        </w:rPr>
        <w:t>1</w:t>
      </w:r>
      <w:r>
        <w:rPr>
          <w:rtl/>
        </w:rPr>
        <w:t xml:space="preserve"> من المادة </w:t>
      </w:r>
      <w:r w:rsidRPr="00160F80">
        <w:rPr>
          <w:szCs w:val="20"/>
          <w:rtl/>
        </w:rPr>
        <w:t>6</w:t>
      </w:r>
      <w:r>
        <w:rPr>
          <w:rtl/>
        </w:rPr>
        <w:t xml:space="preserve"> والمواد </w:t>
      </w:r>
      <w:r w:rsidRPr="00160F80">
        <w:rPr>
          <w:szCs w:val="20"/>
          <w:rtl/>
        </w:rPr>
        <w:t>7</w:t>
      </w:r>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10</w:t>
      </w:r>
      <w:proofErr w:type="spellEnd"/>
      <w:r>
        <w:rPr>
          <w:rtl/>
        </w:rPr>
        <w:t xml:space="preserve"> </w:t>
      </w:r>
      <w:proofErr w:type="spellStart"/>
      <w:r>
        <w:rPr>
          <w:rtl/>
        </w:rPr>
        <w:t>و</w:t>
      </w:r>
      <w:r w:rsidRPr="00160F80">
        <w:rPr>
          <w:szCs w:val="20"/>
          <w:rtl/>
        </w:rPr>
        <w:t>14</w:t>
      </w:r>
      <w:proofErr w:type="spellEnd"/>
      <w:r>
        <w:rPr>
          <w:rtl/>
        </w:rPr>
        <w:t xml:space="preserve"> </w:t>
      </w:r>
      <w:proofErr w:type="spellStart"/>
      <w:r>
        <w:rPr>
          <w:rtl/>
        </w:rPr>
        <w:t>و</w:t>
      </w:r>
      <w:r w:rsidRPr="00160F80">
        <w:rPr>
          <w:szCs w:val="20"/>
          <w:rtl/>
        </w:rPr>
        <w:t>16</w:t>
      </w:r>
      <w:proofErr w:type="spellEnd"/>
      <w:r>
        <w:rPr>
          <w:rtl/>
        </w:rPr>
        <w:t xml:space="preserve"> </w:t>
      </w:r>
      <w:proofErr w:type="spellStart"/>
      <w:r>
        <w:rPr>
          <w:rtl/>
        </w:rPr>
        <w:t>و</w:t>
      </w:r>
      <w:r w:rsidRPr="00160F80">
        <w:rPr>
          <w:szCs w:val="20"/>
          <w:rtl/>
        </w:rPr>
        <w:t>17</w:t>
      </w:r>
      <w:proofErr w:type="spellEnd"/>
      <w:r>
        <w:rPr>
          <w:rtl/>
        </w:rPr>
        <w:t xml:space="preserve"> من العهد.</w:t>
      </w:r>
    </w:p>
    <w:p w14:paraId="0FEE0A54" w14:textId="77777777" w:rsidR="00B11A03" w:rsidRPr="00FA698A" w:rsidRDefault="00B11A03" w:rsidP="00B11A03">
      <w:pPr>
        <w:pStyle w:val="H4GA"/>
        <w:rPr>
          <w:szCs w:val="20"/>
          <w:lang w:val="ar-SA" w:eastAsia="zh-TW" w:bidi="en-GB"/>
        </w:rPr>
      </w:pPr>
      <w:r>
        <w:rPr>
          <w:rtl/>
        </w:rPr>
        <w:tab/>
      </w:r>
      <w:r>
        <w:rPr>
          <w:rtl/>
        </w:rPr>
        <w:tab/>
        <w:t>النظر في الأسس الموضوعية</w:t>
      </w:r>
    </w:p>
    <w:p w14:paraId="3A0EE94B" w14:textId="77777777" w:rsidR="00B11A03" w:rsidRPr="00FA698A" w:rsidRDefault="00B11A03" w:rsidP="00160F80">
      <w:pPr>
        <w:pStyle w:val="SingleTxtGA"/>
        <w:spacing w:line="350" w:lineRule="exact"/>
        <w:rPr>
          <w:szCs w:val="20"/>
          <w:lang w:val="ar-SA" w:eastAsia="zh-TW" w:bidi="en-GB"/>
        </w:rPr>
      </w:pPr>
      <w:r w:rsidRPr="00160F80">
        <w:rPr>
          <w:szCs w:val="20"/>
          <w:rtl/>
        </w:rPr>
        <w:t>8</w:t>
      </w:r>
      <w:r w:rsidRPr="00DA3F02">
        <w:rPr>
          <w:rtl/>
        </w:rPr>
        <w:t>-</w:t>
      </w:r>
      <w:r w:rsidRPr="00160F80">
        <w:rPr>
          <w:szCs w:val="20"/>
          <w:rtl/>
        </w:rPr>
        <w:t>1</w:t>
      </w:r>
      <w:r>
        <w:rPr>
          <w:rtl/>
        </w:rPr>
        <w:tab/>
        <w:t xml:space="preserve">نظرت اللجنة في هذا البلاغ في ضوء جميع المعلومات التي تلقتها، وفقاً لما تقتضيه الفقرة </w:t>
      </w:r>
      <w:r w:rsidRPr="00160F80">
        <w:rPr>
          <w:szCs w:val="20"/>
          <w:rtl/>
        </w:rPr>
        <w:t>1</w:t>
      </w:r>
      <w:r>
        <w:rPr>
          <w:rtl/>
        </w:rPr>
        <w:t xml:space="preserve"> من المادة </w:t>
      </w:r>
      <w:r w:rsidRPr="00160F80">
        <w:rPr>
          <w:szCs w:val="20"/>
          <w:rtl/>
        </w:rPr>
        <w:t>5</w:t>
      </w:r>
      <w:r>
        <w:rPr>
          <w:rtl/>
        </w:rPr>
        <w:t xml:space="preserve"> من البروتوكول الاختياري.</w:t>
      </w:r>
    </w:p>
    <w:p w14:paraId="6918C599" w14:textId="5E546B03" w:rsidR="00B11A03" w:rsidRPr="00FA698A" w:rsidRDefault="00B11A03" w:rsidP="00160F80">
      <w:pPr>
        <w:pStyle w:val="SingleTxtGA"/>
        <w:spacing w:line="350" w:lineRule="exact"/>
        <w:rPr>
          <w:szCs w:val="20"/>
          <w:lang w:val="ar-SA" w:eastAsia="zh-TW" w:bidi="en-GB"/>
        </w:rPr>
      </w:pPr>
      <w:r w:rsidRPr="00160F80">
        <w:rPr>
          <w:szCs w:val="20"/>
          <w:rtl/>
        </w:rPr>
        <w:t>8</w:t>
      </w:r>
      <w:r w:rsidRPr="00DA3F02">
        <w:rPr>
          <w:rtl/>
        </w:rPr>
        <w:t>-</w:t>
      </w:r>
      <w:r w:rsidRPr="00160F80">
        <w:rPr>
          <w:szCs w:val="20"/>
          <w:rtl/>
        </w:rPr>
        <w:t>2</w:t>
      </w:r>
      <w:r>
        <w:rPr>
          <w:rtl/>
        </w:rPr>
        <w:tab/>
        <w:t>وتلاحظ اللجنة أن الدولة الطرف اكتفت بالإشارة إلى ملاحظاتها الجماعية والعامة التي كانت قد قدّمتها سابقاً إلى الفريق العامل المعني بحالات الاختفاء القسري أو غير الطوعي، وإلى اللجنة نفسها فيما يتعلّق ببلاغات أخرى، وذلك من أجل تأكيد موقفها الذي مفاده أنه سبق تسوية مثل هذه القضايا في إطار تنفيذ ميثاق السلم والمصالحة الوطنية. وتحيل اللجنة إلى اجتهاداتها السابقة وإلى ملاحظاتها الختامية على التقرير الدوري الرابع للجزائر وتذكِّر بأنه لا يجوز للدولة الطرف أن تحتج بأحكام ميثاق السلم والمصالحة الوطنية ضد أشخاص يحتجون بأحكام العهد أو قدموا أو يمكن أن يقدّموا بلاغات إلى اللجنة. وتقضي أحكام العهد بأن تبدي الدولة الطرف حرصا</w:t>
      </w:r>
      <w:r w:rsidR="009B05F3">
        <w:rPr>
          <w:rFonts w:hint="cs"/>
          <w:rtl/>
        </w:rPr>
        <w:t>ً</w:t>
      </w:r>
      <w:r>
        <w:rPr>
          <w:rtl/>
        </w:rPr>
        <w:t xml:space="preserve"> على مصير كل شخص وبأن تعامل كل شخص معاملة تحترم كرامة الإنسان الأصيلة فيه. ونظراً إلى أن الدولة الطرف لم تُدخل التعديلات التي أوصت بها اللجنة، فإن الأمر رقم </w:t>
      </w:r>
      <w:r w:rsidRPr="00160F80">
        <w:rPr>
          <w:szCs w:val="20"/>
          <w:rtl/>
        </w:rPr>
        <w:t>06</w:t>
      </w:r>
      <w:r w:rsidRPr="00DA3F02">
        <w:rPr>
          <w:rtl/>
        </w:rPr>
        <w:t>-</w:t>
      </w:r>
      <w:r w:rsidRPr="00160F80">
        <w:rPr>
          <w:szCs w:val="20"/>
          <w:rtl/>
        </w:rPr>
        <w:t>01</w:t>
      </w:r>
      <w:r>
        <w:rPr>
          <w:rtl/>
        </w:rPr>
        <w:t xml:space="preserve"> يُسهم في الإفلات من العقاب في هذه القضية، ولذلك لا يمكن اعتباره متفقاً مع أحكام 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29"/>
      </w:r>
      <w:r w:rsidR="00187AE0" w:rsidRPr="00AB3B40">
        <w:rPr>
          <w:rStyle w:val="FootnoteReference"/>
          <w:b w:val="0"/>
          <w:position w:val="4"/>
          <w:sz w:val="20"/>
          <w:rtl/>
        </w:rPr>
        <w:t>)</w:t>
      </w:r>
      <w:r w:rsidR="00DA3F02">
        <w:rPr>
          <w:rtl/>
        </w:rPr>
        <w:t>.</w:t>
      </w:r>
    </w:p>
    <w:p w14:paraId="7661793D" w14:textId="2CFB5A71" w:rsidR="00B11A03" w:rsidRPr="00FA698A" w:rsidRDefault="00B11A03" w:rsidP="00160F80">
      <w:pPr>
        <w:pStyle w:val="SingleTxtGA"/>
        <w:spacing w:line="350" w:lineRule="exact"/>
        <w:rPr>
          <w:szCs w:val="20"/>
          <w:lang w:val="ar-SA" w:eastAsia="zh-TW" w:bidi="en-GB"/>
        </w:rPr>
      </w:pPr>
      <w:r w:rsidRPr="00160F80">
        <w:rPr>
          <w:szCs w:val="20"/>
          <w:rtl/>
        </w:rPr>
        <w:t>8</w:t>
      </w:r>
      <w:r w:rsidRPr="00DA3F02">
        <w:rPr>
          <w:rtl/>
        </w:rPr>
        <w:t>-</w:t>
      </w:r>
      <w:r w:rsidRPr="00160F80">
        <w:rPr>
          <w:szCs w:val="20"/>
          <w:rtl/>
        </w:rPr>
        <w:t>3</w:t>
      </w:r>
      <w:r>
        <w:rPr>
          <w:rtl/>
        </w:rPr>
        <w:tab/>
        <w:t>وتلاحظ اللجنة أن الدولة الطرف لم ترُد على ادعاءات صاحبيْ البلاغ بشأن الأسس الموضوعية، وتذكّر اللجنة باجتهاداتها السابقة ومفادها أن عبء الإثبات لا يجب أن يقع على عاتق صاحب البلاغ وحده، خاصة أن صاحب البلاغ لا يتساوى دائماً مع الدولة الطرف في إمكانية الحصول على أدلة الإثبات، وأن المعلومات اللازمة تملكها الدولة الطرف دون غيرها في معظم الأحيان</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0"/>
      </w:r>
      <w:r w:rsidR="00187AE0" w:rsidRPr="00AB3B40">
        <w:rPr>
          <w:rStyle w:val="FootnoteReference"/>
          <w:b w:val="0"/>
          <w:position w:val="4"/>
          <w:sz w:val="20"/>
          <w:rtl/>
        </w:rPr>
        <w:t>)</w:t>
      </w:r>
      <w:r w:rsidR="00DA3F02">
        <w:rPr>
          <w:rtl/>
        </w:rPr>
        <w:t>.</w:t>
      </w:r>
      <w:r>
        <w:rPr>
          <w:rtl/>
        </w:rPr>
        <w:t xml:space="preserve"> والدولة الطرف ملزمةٌ، بموجب الفقرة </w:t>
      </w:r>
      <w:r w:rsidRPr="00160F80">
        <w:rPr>
          <w:szCs w:val="20"/>
          <w:rtl/>
        </w:rPr>
        <w:t>2</w:t>
      </w:r>
      <w:r>
        <w:rPr>
          <w:rtl/>
        </w:rPr>
        <w:t xml:space="preserve"> من المادة </w:t>
      </w:r>
      <w:r w:rsidRPr="00160F80">
        <w:rPr>
          <w:szCs w:val="20"/>
          <w:rtl/>
        </w:rPr>
        <w:t>4</w:t>
      </w:r>
      <w:r>
        <w:rPr>
          <w:rtl/>
        </w:rPr>
        <w:t xml:space="preserve"> من البروتوكول الاختياري، بالتحقيق بحسن نية في جميع الادعاءات المتعلقة بانتهاكات أحكام العهد التي تُنسَب إليها وإلى من يمثلها، وبموافاة اللجنة بما تملكه من معلومات</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1"/>
      </w:r>
      <w:r w:rsidR="00187AE0" w:rsidRPr="00AB3B40">
        <w:rPr>
          <w:rStyle w:val="FootnoteReference"/>
          <w:b w:val="0"/>
          <w:position w:val="4"/>
          <w:sz w:val="20"/>
          <w:rtl/>
        </w:rPr>
        <w:t>)</w:t>
      </w:r>
      <w:r w:rsidR="00DA3F02">
        <w:rPr>
          <w:rtl/>
        </w:rPr>
        <w:t>.</w:t>
      </w:r>
      <w:r>
        <w:rPr>
          <w:rtl/>
        </w:rPr>
        <w:t xml:space="preserve"> وفي حال لم تقدم الدولة الطرف أي توضيح في هذا الشأن، فإنه يتعين إيلاء ادعاءات صاحب البلاغ الاهتمام الواجب ما دامت معللة بما فيه الكفاية.</w:t>
      </w:r>
    </w:p>
    <w:p w14:paraId="14750044" w14:textId="632149E7" w:rsidR="00B11A03" w:rsidRPr="00160F80" w:rsidRDefault="00B11A03" w:rsidP="00160F80">
      <w:pPr>
        <w:pStyle w:val="SingleTxtGA"/>
        <w:spacing w:line="350" w:lineRule="exact"/>
        <w:rPr>
          <w:spacing w:val="-4"/>
          <w:szCs w:val="20"/>
          <w:lang w:val="ar-SA" w:eastAsia="zh-TW" w:bidi="en-GB"/>
        </w:rPr>
      </w:pPr>
      <w:r w:rsidRPr="00160F80">
        <w:rPr>
          <w:spacing w:val="-4"/>
          <w:szCs w:val="20"/>
          <w:rtl/>
        </w:rPr>
        <w:t>8</w:t>
      </w:r>
      <w:r w:rsidRPr="00160F80">
        <w:rPr>
          <w:spacing w:val="-4"/>
          <w:rtl/>
        </w:rPr>
        <w:t>-</w:t>
      </w:r>
      <w:r w:rsidRPr="00160F80">
        <w:rPr>
          <w:spacing w:val="-4"/>
          <w:szCs w:val="20"/>
          <w:rtl/>
        </w:rPr>
        <w:t>4</w:t>
      </w:r>
      <w:r w:rsidRPr="00160F80">
        <w:rPr>
          <w:spacing w:val="-4"/>
          <w:rtl/>
        </w:rPr>
        <w:tab/>
        <w:t>وتذكّر اللجنة بأنه على الرغم من أن مصطلح "الاختفاء القسري" لا يرد صراحة في أي مادة من مواد العهد، فإن الاختفاء القسري يشكل مجموعة فريدة ومتكاملة من الأفعال التي تمثل انتهاكاً مستمراً لعدة حقوق مكرسة في هذا الصك، مثل الحق في الحياة والحق في عدم التعرض للتعذيب وغيره من ضروب العقوبة أو المعاملة القاسية أو اللاإنسانية أو المهينة، وحق الفرد في الحرية وفي الأمان على شخصه</w:t>
      </w:r>
      <w:r w:rsidR="00187AE0" w:rsidRPr="00160F80">
        <w:rPr>
          <w:rStyle w:val="FootnoteReference"/>
          <w:b w:val="0"/>
          <w:spacing w:val="-4"/>
          <w:position w:val="4"/>
          <w:sz w:val="20"/>
          <w:rtl/>
        </w:rPr>
        <w:t>(</w:t>
      </w:r>
      <w:r w:rsidR="00187AE0" w:rsidRPr="00160F80">
        <w:rPr>
          <w:rStyle w:val="FootnoteReference"/>
          <w:rFonts w:cs="Times New Roman"/>
          <w:b w:val="0"/>
          <w:spacing w:val="-4"/>
          <w:position w:val="4"/>
          <w:sz w:val="20"/>
        </w:rPr>
        <w:footnoteReference w:id="32"/>
      </w:r>
      <w:r w:rsidR="00187AE0" w:rsidRPr="00160F80">
        <w:rPr>
          <w:rStyle w:val="FootnoteReference"/>
          <w:b w:val="0"/>
          <w:spacing w:val="-4"/>
          <w:position w:val="4"/>
          <w:sz w:val="20"/>
          <w:rtl/>
        </w:rPr>
        <w:t>)</w:t>
      </w:r>
      <w:r w:rsidR="00DA3F02" w:rsidRPr="00160F80">
        <w:rPr>
          <w:spacing w:val="-4"/>
          <w:rtl/>
        </w:rPr>
        <w:t>.</w:t>
      </w:r>
    </w:p>
    <w:p w14:paraId="6797E1C7" w14:textId="6441DC68" w:rsidR="00B11A03" w:rsidRDefault="00B11A03" w:rsidP="00BF4034">
      <w:pPr>
        <w:pStyle w:val="SingleTxtGA"/>
        <w:rPr>
          <w:rtl/>
        </w:rPr>
      </w:pPr>
      <w:r w:rsidRPr="00160F80">
        <w:rPr>
          <w:szCs w:val="20"/>
          <w:rtl/>
        </w:rPr>
        <w:t>8</w:t>
      </w:r>
      <w:r w:rsidRPr="00DA3F02">
        <w:rPr>
          <w:rtl/>
        </w:rPr>
        <w:t>-</w:t>
      </w:r>
      <w:r w:rsidRPr="00160F80">
        <w:rPr>
          <w:szCs w:val="20"/>
          <w:rtl/>
        </w:rPr>
        <w:t>5</w:t>
      </w:r>
      <w:r>
        <w:rPr>
          <w:rtl/>
        </w:rPr>
        <w:tab/>
        <w:t>وتلاحظ اللجنة أن مراد بن جاعل شوهد آخر مرة من قبل أخيه مروان بن جاعل وصديقه</w:t>
      </w:r>
      <w:r w:rsidR="00160F80">
        <w:rPr>
          <w:rFonts w:hint="cs"/>
          <w:rtl/>
        </w:rPr>
        <w:t> </w:t>
      </w:r>
      <w:r>
        <w:rPr>
          <w:rtl/>
        </w:rPr>
        <w:t xml:space="preserve">أ. ب. في نهاية أيار/مايو </w:t>
      </w:r>
      <w:r w:rsidRPr="00160F80">
        <w:rPr>
          <w:szCs w:val="20"/>
          <w:rtl/>
        </w:rPr>
        <w:t>1994</w:t>
      </w:r>
      <w:r>
        <w:rPr>
          <w:rtl/>
        </w:rPr>
        <w:t xml:space="preserve">، وكان ذلك أثناء احتجازه في ثكنة </w:t>
      </w:r>
      <w:proofErr w:type="spellStart"/>
      <w:r>
        <w:rPr>
          <w:rtl/>
        </w:rPr>
        <w:t>شاتونوف</w:t>
      </w:r>
      <w:proofErr w:type="spellEnd"/>
      <w:r>
        <w:rPr>
          <w:rtl/>
        </w:rPr>
        <w:t xml:space="preserve"> في بن عكنون. </w:t>
      </w:r>
      <w:r>
        <w:rPr>
          <w:rtl/>
        </w:rPr>
        <w:lastRenderedPageBreak/>
        <w:t>وتحيط علماً كذلك بالمعلومات العديدة المتضاربة بشأن وفاة مراد بن جاعل المزعومة، وبالاستدعاءات التي أرسلت باسمه، مما يوحي بأن السلطات الجزائرية كانت لا تزال تعتبره على قيد الحياة بعد تاريخ وفاته المزعومة كما يبيّنه التقرير المتعلق بالاختفاء الصادر باسمه. وتلاحظ اللجنة كذلك أن الدولة الطرف لم</w:t>
      </w:r>
      <w:r w:rsidR="000363C2">
        <w:rPr>
          <w:rFonts w:hint="cs"/>
          <w:rtl/>
        </w:rPr>
        <w:t> </w:t>
      </w:r>
      <w:r>
        <w:rPr>
          <w:rtl/>
        </w:rPr>
        <w:t>تقدم أي معلومات تسمح بتحديد مصير مراد بن جاعل، ولم تؤكد قط أنها تحتجزه. وتذكّر اللجنة بأن سلب الشخص حريته ثم رفض الاعتراف بذلك، أو رفض الكشف عن مصير الشخص المختفي يعني، في حالات الاختفاء القسري، حرمان هذا الشخص من حماية القانون وتعريض حياته لخطر مستمر وجسيم تكون الدولة مسؤولة عنه</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3"/>
      </w:r>
      <w:r w:rsidR="00187AE0" w:rsidRPr="00AB3B40">
        <w:rPr>
          <w:rStyle w:val="FootnoteReference"/>
          <w:b w:val="0"/>
          <w:position w:val="4"/>
          <w:sz w:val="20"/>
          <w:rtl/>
        </w:rPr>
        <w:t>)</w:t>
      </w:r>
      <w:r w:rsidR="00DA3F02">
        <w:rPr>
          <w:rtl/>
        </w:rPr>
        <w:t>.</w:t>
      </w:r>
      <w:r>
        <w:rPr>
          <w:rtl/>
        </w:rPr>
        <w:t xml:space="preserve"> وفي هذه القضية، تلاحظ اللجنة أن الدولة الطرف لم تقدم أي معلومات من شأنها أن تبيّن أنها أوفت بالتزامها بحماية حياة مراد بن جاعل. وبناءً عليه، تخلص اللجنة إلى أن الدولة الطرف قد أخلَّت بالتزامها بحماية حياة مراد بن جاعل، وهو ما يشكل انتهاكاً للفقرة </w:t>
      </w:r>
      <w:r w:rsidRPr="00160F80">
        <w:rPr>
          <w:szCs w:val="20"/>
          <w:rtl/>
        </w:rPr>
        <w:t>1</w:t>
      </w:r>
      <w:r>
        <w:rPr>
          <w:rtl/>
        </w:rPr>
        <w:t xml:space="preserve"> من المادة </w:t>
      </w:r>
      <w:r w:rsidRPr="00160F80">
        <w:rPr>
          <w:szCs w:val="20"/>
          <w:rtl/>
        </w:rPr>
        <w:t>6</w:t>
      </w:r>
      <w:r>
        <w:rPr>
          <w:rtl/>
        </w:rPr>
        <w:t xml:space="preserve"> من العهد.</w:t>
      </w:r>
    </w:p>
    <w:p w14:paraId="48BD8E85" w14:textId="27DE0A48" w:rsidR="00B11A03" w:rsidRPr="00FA698A" w:rsidRDefault="00B11A03" w:rsidP="00BF4034">
      <w:pPr>
        <w:pStyle w:val="SingleTxtGA"/>
        <w:rPr>
          <w:szCs w:val="20"/>
          <w:lang w:val="ar-SA" w:eastAsia="zh-TW" w:bidi="en-GB"/>
        </w:rPr>
      </w:pPr>
      <w:r w:rsidRPr="00160F80">
        <w:rPr>
          <w:szCs w:val="20"/>
          <w:rtl/>
        </w:rPr>
        <w:t>8</w:t>
      </w:r>
      <w:r w:rsidRPr="00DA3F02">
        <w:rPr>
          <w:rtl/>
        </w:rPr>
        <w:t>-</w:t>
      </w:r>
      <w:r w:rsidRPr="00160F80">
        <w:rPr>
          <w:szCs w:val="20"/>
          <w:rtl/>
        </w:rPr>
        <w:t>6</w:t>
      </w:r>
      <w:r>
        <w:rPr>
          <w:rtl/>
        </w:rPr>
        <w:tab/>
        <w:t xml:space="preserve">وتقر اللجنة بحجم المعاناة التي يكابدها الشخص من جراء احتجازه لأجلٍ غير مسمى مع حرمانه من الاتصال بالعالم الخارجي. وتذكّر اللجنة بتعليقها العام رقم </w:t>
      </w:r>
      <w:r w:rsidRPr="00160F80">
        <w:rPr>
          <w:szCs w:val="20"/>
          <w:rtl/>
        </w:rPr>
        <w:t>20</w:t>
      </w:r>
      <w:r w:rsidRPr="003A4F27">
        <w:rPr>
          <w:rtl/>
        </w:rPr>
        <w:t>(</w:t>
      </w:r>
      <w:r w:rsidRPr="00160F80">
        <w:rPr>
          <w:szCs w:val="20"/>
          <w:rtl/>
        </w:rPr>
        <w:t>1992</w:t>
      </w:r>
      <w:r w:rsidRPr="003A4F27">
        <w:rPr>
          <w:rtl/>
        </w:rPr>
        <w:t>)</w:t>
      </w:r>
      <w:r>
        <w:rPr>
          <w:rtl/>
        </w:rPr>
        <w:t xml:space="preserve"> بشأن حظر التعذيب وغيره من ضروب المعاملة أو العقوبة القاسية أو اللاإنسانية أو المهينة، الذي أوصت فيه الدول الأطراف باتخاذ تدابير تمنع الاحتجاز السري. وتلاحظ في هذه القضية أن مروان بن جاعل هو آخر من شاهد شقيقَه مراد بن جاعل في ثكنة </w:t>
      </w:r>
      <w:proofErr w:type="spellStart"/>
      <w:r>
        <w:rPr>
          <w:rtl/>
        </w:rPr>
        <w:t>شاتونوف</w:t>
      </w:r>
      <w:proofErr w:type="spellEnd"/>
      <w:r>
        <w:rPr>
          <w:rtl/>
        </w:rPr>
        <w:t xml:space="preserve"> في أيار/مايو </w:t>
      </w:r>
      <w:r w:rsidRPr="00160F80">
        <w:rPr>
          <w:szCs w:val="20"/>
          <w:rtl/>
        </w:rPr>
        <w:t>1994</w:t>
      </w:r>
      <w:r>
        <w:rPr>
          <w:rtl/>
        </w:rPr>
        <w:t xml:space="preserve">، وأن الأسرة، بمن فيها صاحبا البلاغ، لم تتمكن بعد ذلك من الحصول على أي معلومات عن مصير مراد بن جاعل أو مكان احتجازه على الرغم من طلباتها المتكررة إلى السلطات المختصة في الدولة الطرف. ولذلك، ترى اللجنة أن مراد بن جاعل، الذي اختفى في </w:t>
      </w:r>
      <w:r w:rsidRPr="00160F80">
        <w:rPr>
          <w:szCs w:val="20"/>
          <w:rtl/>
        </w:rPr>
        <w:t>4</w:t>
      </w:r>
      <w:r>
        <w:rPr>
          <w:rtl/>
        </w:rPr>
        <w:t xml:space="preserve"> أيار/مايو </w:t>
      </w:r>
      <w:r w:rsidRPr="00160F80">
        <w:rPr>
          <w:szCs w:val="20"/>
          <w:rtl/>
        </w:rPr>
        <w:t>1994</w:t>
      </w:r>
      <w:r>
        <w:rPr>
          <w:rtl/>
        </w:rPr>
        <w:t xml:space="preserve"> وشوهد حياً في نهاية أيار/مايو </w:t>
      </w:r>
      <w:r w:rsidRPr="00160F80">
        <w:rPr>
          <w:szCs w:val="20"/>
          <w:rtl/>
        </w:rPr>
        <w:t>1994</w:t>
      </w:r>
      <w:r>
        <w:rPr>
          <w:rtl/>
        </w:rPr>
        <w:t xml:space="preserve">، قد احتجزته السلطات الجزائرية في الحبس الانفرادي خلال تلك الفترة الزمنية على الأقل. ونظراً إلى أن الدولة الطرف لم تقدم أي توضيح بهذا الخصوص، ترى اللجنة أن اختفاء مراد بن جاعل يشكل انتهاكاً لحقوقه المكفولة بموجب المادة </w:t>
      </w:r>
      <w:r w:rsidRPr="00160F80">
        <w:rPr>
          <w:szCs w:val="20"/>
          <w:rtl/>
        </w:rPr>
        <w:t>7</w:t>
      </w:r>
      <w:r>
        <w:rPr>
          <w:rtl/>
        </w:rPr>
        <w:t xml:space="preserve"> من 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4"/>
      </w:r>
      <w:r w:rsidR="00187AE0" w:rsidRPr="00AB3B40">
        <w:rPr>
          <w:rStyle w:val="FootnoteReference"/>
          <w:b w:val="0"/>
          <w:position w:val="4"/>
          <w:sz w:val="20"/>
          <w:rtl/>
        </w:rPr>
        <w:t>)</w:t>
      </w:r>
      <w:r w:rsidR="00DA3F02">
        <w:rPr>
          <w:rtl/>
        </w:rPr>
        <w:t>.</w:t>
      </w:r>
    </w:p>
    <w:p w14:paraId="2B116E7E" w14:textId="64DA66FB" w:rsidR="00B11A03" w:rsidRPr="00B16565" w:rsidRDefault="00B11A03" w:rsidP="00BF4034">
      <w:pPr>
        <w:pStyle w:val="SingleTxtGA"/>
        <w:rPr>
          <w:szCs w:val="20"/>
          <w:lang w:eastAsia="zh-TW" w:bidi="en-GB"/>
        </w:rPr>
      </w:pPr>
      <w:r w:rsidRPr="00160F80">
        <w:rPr>
          <w:szCs w:val="20"/>
          <w:rtl/>
        </w:rPr>
        <w:t>8</w:t>
      </w:r>
      <w:r w:rsidRPr="00DA3F02">
        <w:rPr>
          <w:rtl/>
        </w:rPr>
        <w:t>-</w:t>
      </w:r>
      <w:r w:rsidRPr="00160F80">
        <w:rPr>
          <w:szCs w:val="20"/>
          <w:rtl/>
        </w:rPr>
        <w:t>7</w:t>
      </w:r>
      <w:r>
        <w:rPr>
          <w:rtl/>
        </w:rPr>
        <w:tab/>
        <w:t xml:space="preserve">وتلاحظ اللجنة أن مروان بن جاعل احتُجز أيضاً بمعزل عن العالم الخارجي لمدة خمسة وثلاثين يوماً. ونظراً إلى أن الدولة الطرف لم تقدم أي توضيح بهذا الخصوص، ترى اللجنة أن احتجازه هذا بمعزل عن العالم الخارجي يشكل انتهاكاً لحقوقه المكفولة بموجب المادة </w:t>
      </w:r>
      <w:r w:rsidRPr="00160F80">
        <w:rPr>
          <w:szCs w:val="20"/>
          <w:rtl/>
        </w:rPr>
        <w:t>7</w:t>
      </w:r>
      <w:r>
        <w:rPr>
          <w:rtl/>
        </w:rPr>
        <w:t xml:space="preserve"> من العهد.</w:t>
      </w:r>
      <w:r w:rsidR="00B16565">
        <w:rPr>
          <w:rFonts w:hint="cs"/>
          <w:rtl/>
        </w:rPr>
        <w:t xml:space="preserve"> </w:t>
      </w:r>
    </w:p>
    <w:p w14:paraId="56C89A02" w14:textId="623F05AF" w:rsidR="00B11A03" w:rsidRPr="00FA698A" w:rsidRDefault="00B11A03" w:rsidP="00BF4034">
      <w:pPr>
        <w:pStyle w:val="SingleTxtGA"/>
        <w:rPr>
          <w:szCs w:val="20"/>
          <w:lang w:val="ar-SA" w:eastAsia="zh-TW" w:bidi="en-GB"/>
        </w:rPr>
      </w:pPr>
      <w:r w:rsidRPr="00160F80">
        <w:rPr>
          <w:szCs w:val="20"/>
          <w:rtl/>
        </w:rPr>
        <w:t>8</w:t>
      </w:r>
      <w:r w:rsidRPr="00DA3F02">
        <w:rPr>
          <w:rtl/>
        </w:rPr>
        <w:t>-</w:t>
      </w:r>
      <w:r w:rsidRPr="00160F80">
        <w:rPr>
          <w:szCs w:val="20"/>
          <w:rtl/>
        </w:rPr>
        <w:t>8</w:t>
      </w:r>
      <w:r>
        <w:rPr>
          <w:rtl/>
        </w:rPr>
        <w:tab/>
        <w:t xml:space="preserve">وفي ضوء ما تقدّم، لن تنظر اللجنة في الادعاءات المتعلقة بانتهاك المادة </w:t>
      </w:r>
      <w:r w:rsidRPr="00160F80">
        <w:rPr>
          <w:szCs w:val="20"/>
          <w:rtl/>
        </w:rPr>
        <w:t>10</w:t>
      </w:r>
      <w:r>
        <w:rPr>
          <w:rtl/>
        </w:rPr>
        <w:t xml:space="preserve"> من العهد على حدة</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5"/>
      </w:r>
      <w:r w:rsidR="00187AE0" w:rsidRPr="00AB3B40">
        <w:rPr>
          <w:rStyle w:val="FootnoteReference"/>
          <w:b w:val="0"/>
          <w:position w:val="4"/>
          <w:sz w:val="20"/>
          <w:rtl/>
        </w:rPr>
        <w:t>)</w:t>
      </w:r>
      <w:r w:rsidR="00DA3F02">
        <w:rPr>
          <w:rtl/>
        </w:rPr>
        <w:t>.</w:t>
      </w:r>
    </w:p>
    <w:p w14:paraId="68C92E71" w14:textId="236122C6" w:rsidR="00B11A03" w:rsidRPr="00FA698A" w:rsidRDefault="00B11A03" w:rsidP="00BF4034">
      <w:pPr>
        <w:pStyle w:val="SingleTxtGA"/>
        <w:rPr>
          <w:szCs w:val="20"/>
          <w:lang w:val="ar-SA" w:eastAsia="zh-TW" w:bidi="en-GB"/>
        </w:rPr>
      </w:pPr>
      <w:r w:rsidRPr="00160F80">
        <w:rPr>
          <w:szCs w:val="20"/>
          <w:rtl/>
        </w:rPr>
        <w:t>8</w:t>
      </w:r>
      <w:r w:rsidRPr="00DA3F02">
        <w:rPr>
          <w:rtl/>
        </w:rPr>
        <w:t>-</w:t>
      </w:r>
      <w:r w:rsidRPr="00160F80">
        <w:rPr>
          <w:szCs w:val="20"/>
          <w:rtl/>
        </w:rPr>
        <w:t>9</w:t>
      </w:r>
      <w:r>
        <w:rPr>
          <w:rtl/>
        </w:rPr>
        <w:tab/>
        <w:t xml:space="preserve">وتحيط اللجنة علماً أيضاً بحالة القلق والشدة التي يسببها اختفاء مراد بن جاعل لصاحبيْ البلاغ وأسرتهما منذ أكثر من خمسة وعشرين عاماً. وترى أن الوقائع المعروضة عليها تكشف أيضاً عن انتهاك المادة </w:t>
      </w:r>
      <w:r w:rsidRPr="00160F80">
        <w:rPr>
          <w:szCs w:val="20"/>
          <w:rtl/>
        </w:rPr>
        <w:t>7</w:t>
      </w:r>
      <w:r>
        <w:rPr>
          <w:rtl/>
        </w:rPr>
        <w:t xml:space="preserve"> من العهد في حق صاحبيْ البلاغ</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6"/>
      </w:r>
      <w:r w:rsidR="00187AE0" w:rsidRPr="00AB3B40">
        <w:rPr>
          <w:rStyle w:val="FootnoteReference"/>
          <w:b w:val="0"/>
          <w:position w:val="4"/>
          <w:sz w:val="20"/>
          <w:rtl/>
        </w:rPr>
        <w:t>)</w:t>
      </w:r>
      <w:r w:rsidR="00DA3F02">
        <w:rPr>
          <w:rtl/>
        </w:rPr>
        <w:t>.</w:t>
      </w:r>
    </w:p>
    <w:p w14:paraId="09079E97" w14:textId="76CC8349" w:rsidR="00B11A03" w:rsidRPr="00FA698A" w:rsidRDefault="00B11A03" w:rsidP="00BF4034">
      <w:pPr>
        <w:pStyle w:val="SingleTxtGA"/>
        <w:rPr>
          <w:szCs w:val="20"/>
          <w:lang w:val="ar-SA" w:eastAsia="zh-TW" w:bidi="en-GB"/>
        </w:rPr>
      </w:pPr>
      <w:r w:rsidRPr="00160F80">
        <w:rPr>
          <w:szCs w:val="20"/>
          <w:rtl/>
        </w:rPr>
        <w:lastRenderedPageBreak/>
        <w:t>8</w:t>
      </w:r>
      <w:r w:rsidRPr="00DA3F02">
        <w:rPr>
          <w:rtl/>
        </w:rPr>
        <w:t>-</w:t>
      </w:r>
      <w:r w:rsidRPr="00160F80">
        <w:rPr>
          <w:szCs w:val="20"/>
          <w:rtl/>
        </w:rPr>
        <w:t>10</w:t>
      </w:r>
      <w:r>
        <w:rPr>
          <w:rtl/>
        </w:rPr>
        <w:tab/>
        <w:t xml:space="preserve">وفيما يتعلق بالادعاءات المتصلة بانتهاك المادة </w:t>
      </w:r>
      <w:r w:rsidRPr="00160F80">
        <w:rPr>
          <w:szCs w:val="20"/>
          <w:rtl/>
        </w:rPr>
        <w:t>9</w:t>
      </w:r>
      <w:r>
        <w:rPr>
          <w:rtl/>
        </w:rPr>
        <w:t xml:space="preserve"> من العهد، تحيط اللجنة علماً بمزاعم صاحبيْ البلاغ التي مفادها أن مراد بن جاعل ومروان بن جاعل قد اعتُقلا تعسفاً دون أمر قضائي ولم توجه إليهما تهمة ولم يقدَّما إلى سلطة قضائية حتى يتسنى لهما الطعن في قانونية احتجازهما. وبالنظر إلى أن الدولة الطرف لم تقدم أي معلومات عن هذه المسألة، ترى اللجنة أنه يجب إيلاء ادعاءات صاحبيْ البلاغ ما تستحقه من اعتبار</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7"/>
      </w:r>
      <w:r w:rsidR="00187AE0" w:rsidRPr="00AB3B40">
        <w:rPr>
          <w:rStyle w:val="FootnoteReference"/>
          <w:b w:val="0"/>
          <w:position w:val="4"/>
          <w:sz w:val="20"/>
          <w:rtl/>
        </w:rPr>
        <w:t>)</w:t>
      </w:r>
      <w:r w:rsidR="00DA3F02">
        <w:rPr>
          <w:rtl/>
        </w:rPr>
        <w:t>.</w:t>
      </w:r>
      <w:r>
        <w:rPr>
          <w:rtl/>
        </w:rPr>
        <w:t xml:space="preserve"> وعليه، تخلص اللجنة إلى حدوث انتهاك للمادة </w:t>
      </w:r>
      <w:r w:rsidRPr="00160F80">
        <w:rPr>
          <w:szCs w:val="20"/>
          <w:rtl/>
        </w:rPr>
        <w:t>9</w:t>
      </w:r>
      <w:r>
        <w:rPr>
          <w:rtl/>
        </w:rPr>
        <w:t xml:space="preserve"> من العهد في حق مراد بن جاعل ومروان بن جاعل</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8"/>
      </w:r>
      <w:r w:rsidR="00187AE0" w:rsidRPr="00AB3B40">
        <w:rPr>
          <w:rStyle w:val="FootnoteReference"/>
          <w:b w:val="0"/>
          <w:position w:val="4"/>
          <w:sz w:val="20"/>
          <w:rtl/>
        </w:rPr>
        <w:t>)</w:t>
      </w:r>
      <w:r w:rsidR="00DA3F02">
        <w:rPr>
          <w:rtl/>
        </w:rPr>
        <w:t>.</w:t>
      </w:r>
      <w:bookmarkStart w:id="1" w:name="_Hlk27402397"/>
      <w:bookmarkStart w:id="2" w:name="_Hlk27403641"/>
      <w:bookmarkEnd w:id="1"/>
      <w:bookmarkEnd w:id="2"/>
    </w:p>
    <w:p w14:paraId="045BABCD" w14:textId="72256A42" w:rsidR="00B11A03" w:rsidRPr="00FA698A" w:rsidRDefault="00B11A03" w:rsidP="00BF4034">
      <w:pPr>
        <w:pStyle w:val="SingleTxtGA"/>
        <w:rPr>
          <w:szCs w:val="20"/>
          <w:lang w:val="ar-SA" w:eastAsia="zh-TW" w:bidi="en-GB"/>
        </w:rPr>
      </w:pPr>
      <w:r w:rsidRPr="00160F80">
        <w:rPr>
          <w:szCs w:val="20"/>
          <w:rtl/>
        </w:rPr>
        <w:t>8</w:t>
      </w:r>
      <w:r w:rsidRPr="00DA3F02">
        <w:rPr>
          <w:rtl/>
        </w:rPr>
        <w:t>-</w:t>
      </w:r>
      <w:r w:rsidRPr="00160F80">
        <w:rPr>
          <w:szCs w:val="20"/>
          <w:rtl/>
        </w:rPr>
        <w:t>11</w:t>
      </w:r>
      <w:r>
        <w:rPr>
          <w:rtl/>
        </w:rPr>
        <w:tab/>
        <w:t xml:space="preserve">وتلاحظ اللجنة أيضاً ادعاءات مليكة بن جاعل بأن الصعوبات التي اعترضتها للوصول إلى السلطات القضائية في الدولة الطرف تشكل انتهاكاً للمادة </w:t>
      </w:r>
      <w:r w:rsidRPr="00160F80">
        <w:rPr>
          <w:szCs w:val="20"/>
          <w:rtl/>
        </w:rPr>
        <w:t>14</w:t>
      </w:r>
      <w:r>
        <w:rPr>
          <w:rtl/>
        </w:rPr>
        <w:t xml:space="preserve"> من العهد. وتذكر اللجنة بتعليقها العام رقم </w:t>
      </w:r>
      <w:r w:rsidRPr="00160F80">
        <w:rPr>
          <w:szCs w:val="20"/>
          <w:rtl/>
        </w:rPr>
        <w:t>32</w:t>
      </w:r>
      <w:r>
        <w:rPr>
          <w:rtl/>
        </w:rPr>
        <w:t xml:space="preserve">، الذي رأت فيه أن عدم تمكُّن أحد الأفراد بصورة منهجية من الوصول إلى المحاكم أو الهيئات القضائية المختصة سواء أكان ذلك بحكم القانون أو بحكم الأمر الواقع يُعد مخالفاً للضمان الوارد في الجملة الأولى من الفقرة </w:t>
      </w:r>
      <w:r w:rsidRPr="00160F80">
        <w:rPr>
          <w:szCs w:val="20"/>
          <w:rtl/>
        </w:rPr>
        <w:t>1</w:t>
      </w:r>
      <w:r>
        <w:rPr>
          <w:rtl/>
        </w:rPr>
        <w:t xml:space="preserve"> من المادة </w:t>
      </w:r>
      <w:r w:rsidRPr="00160F80">
        <w:rPr>
          <w:szCs w:val="20"/>
          <w:rtl/>
        </w:rPr>
        <w:t>14</w:t>
      </w:r>
      <w:r>
        <w:rPr>
          <w:rtl/>
        </w:rPr>
        <w:t xml:space="preserve"> من العهد. وفي هذه القضية، تلاحظ اللجنة أن جميع المساعي التي بذلتها صاحبة البلاغ من أجل عرض قضيتها على السلطات القضائية قد باءت بالفشل. وتحيل إلى ملاحظاتها الختامية على التقرير الدوري الرابع للجزائر، التي أعربت فيها عن قلقها إزاء المادتين </w:t>
      </w:r>
      <w:r w:rsidRPr="00160F80">
        <w:rPr>
          <w:szCs w:val="20"/>
          <w:rtl/>
        </w:rPr>
        <w:t>45</w:t>
      </w:r>
      <w:r>
        <w:rPr>
          <w:rtl/>
        </w:rPr>
        <w:t xml:space="preserve"> </w:t>
      </w:r>
      <w:proofErr w:type="spellStart"/>
      <w:r>
        <w:rPr>
          <w:rtl/>
        </w:rPr>
        <w:t>و</w:t>
      </w:r>
      <w:r w:rsidRPr="00160F80">
        <w:rPr>
          <w:szCs w:val="20"/>
          <w:rtl/>
        </w:rPr>
        <w:t>46</w:t>
      </w:r>
      <w:proofErr w:type="spellEnd"/>
      <w:r>
        <w:rPr>
          <w:rtl/>
        </w:rPr>
        <w:t xml:space="preserve"> من الأمر رقم </w:t>
      </w:r>
      <w:r w:rsidRPr="00160F80">
        <w:rPr>
          <w:szCs w:val="20"/>
          <w:rtl/>
        </w:rPr>
        <w:t>06</w:t>
      </w:r>
      <w:r w:rsidRPr="00DA3F02">
        <w:rPr>
          <w:rtl/>
        </w:rPr>
        <w:t>-</w:t>
      </w:r>
      <w:r w:rsidRPr="00160F80">
        <w:rPr>
          <w:szCs w:val="20"/>
          <w:rtl/>
        </w:rPr>
        <w:t>01</w:t>
      </w:r>
      <w:r>
        <w:rPr>
          <w:rtl/>
        </w:rPr>
        <w:t>، وهما مادتان تنتهكان حق كل شخص تعرض لانتهاكات حقوق الإنسان في اللجوء إلى سبيل انتصاف فعال</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39"/>
      </w:r>
      <w:r w:rsidR="00187AE0" w:rsidRPr="00AB3B40">
        <w:rPr>
          <w:rStyle w:val="FootnoteReference"/>
          <w:b w:val="0"/>
          <w:position w:val="4"/>
          <w:sz w:val="20"/>
          <w:rtl/>
        </w:rPr>
        <w:t>)</w:t>
      </w:r>
      <w:r w:rsidR="00DA3F02">
        <w:rPr>
          <w:rtl/>
        </w:rPr>
        <w:t>.</w:t>
      </w:r>
      <w:r>
        <w:rPr>
          <w:rtl/>
        </w:rPr>
        <w:t xml:space="preserve"> ويشمل هذا الحق أيضاً الحق في اللجوء إلى محكمة، على النحو المنصوص عليه في الفقرة </w:t>
      </w:r>
      <w:r w:rsidRPr="00160F80">
        <w:rPr>
          <w:szCs w:val="20"/>
          <w:rtl/>
        </w:rPr>
        <w:t>1</w:t>
      </w:r>
      <w:r>
        <w:rPr>
          <w:rtl/>
        </w:rPr>
        <w:t xml:space="preserve"> من المادة </w:t>
      </w:r>
      <w:r w:rsidRPr="00160F80">
        <w:rPr>
          <w:szCs w:val="20"/>
          <w:rtl/>
        </w:rPr>
        <w:t>14</w:t>
      </w:r>
      <w:r>
        <w:rPr>
          <w:rtl/>
        </w:rPr>
        <w:t xml:space="preserve"> من العهد. وبناءً عليه، ترى اللجنة أن الدولة الطرف قد أخلَّت بالتزامها بأن تكفل لمليكة بن جاعل إمكانية الوصول إلى محكمة، مما يشكل انتهاكاً لأحكام الفقرة </w:t>
      </w:r>
      <w:r w:rsidRPr="00160F80">
        <w:rPr>
          <w:szCs w:val="20"/>
          <w:rtl/>
        </w:rPr>
        <w:t>1</w:t>
      </w:r>
      <w:r>
        <w:rPr>
          <w:rtl/>
        </w:rPr>
        <w:t xml:space="preserve"> من المادة </w:t>
      </w:r>
      <w:r w:rsidRPr="00160F80">
        <w:rPr>
          <w:szCs w:val="20"/>
          <w:rtl/>
        </w:rPr>
        <w:t>14</w:t>
      </w:r>
      <w:r>
        <w:rPr>
          <w:rtl/>
        </w:rPr>
        <w:t xml:space="preserve"> من العهد.</w:t>
      </w:r>
    </w:p>
    <w:p w14:paraId="4BDA79A4" w14:textId="2FAB07A7" w:rsidR="00B11A03" w:rsidRPr="00FA698A" w:rsidRDefault="00B11A03" w:rsidP="00BF4034">
      <w:pPr>
        <w:pStyle w:val="SingleTxtGA"/>
        <w:rPr>
          <w:szCs w:val="20"/>
          <w:lang w:val="ar-SA" w:eastAsia="zh-TW" w:bidi="en-GB"/>
        </w:rPr>
      </w:pPr>
      <w:r w:rsidRPr="00160F80">
        <w:rPr>
          <w:szCs w:val="20"/>
          <w:rtl/>
        </w:rPr>
        <w:t>8</w:t>
      </w:r>
      <w:r w:rsidRPr="00DA3F02">
        <w:rPr>
          <w:rtl/>
        </w:rPr>
        <w:t>-</w:t>
      </w:r>
      <w:r w:rsidRPr="00160F80">
        <w:rPr>
          <w:szCs w:val="20"/>
          <w:rtl/>
        </w:rPr>
        <w:t>12</w:t>
      </w:r>
      <w:r>
        <w:rPr>
          <w:rtl/>
        </w:rPr>
        <w:tab/>
        <w:t>وترى اللجنة كذلك أن حرمان الشخص عمداً من حماية القانون يشكل إنكاراً لحق هذا الشخص في أن يُعترف له بالشخصية القانونية، ولا سيما عندما توضع عراقيل بصورة منهجية من أجل تعطيل الجهود التي يبذلها أقارب الضحية في إطار ممارسة حقهم في الوصول إلى سبيل انتصاف فعال</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40"/>
      </w:r>
      <w:r w:rsidR="00187AE0" w:rsidRPr="00AB3B40">
        <w:rPr>
          <w:rStyle w:val="FootnoteReference"/>
          <w:b w:val="0"/>
          <w:position w:val="4"/>
          <w:sz w:val="20"/>
          <w:rtl/>
        </w:rPr>
        <w:t>)</w:t>
      </w:r>
      <w:r w:rsidR="00DA3F02">
        <w:rPr>
          <w:rtl/>
        </w:rPr>
        <w:t>.</w:t>
      </w:r>
      <w:r>
        <w:rPr>
          <w:rtl/>
        </w:rPr>
        <w:t xml:space="preserve"> وفي هذه القضية، تلاحظ اللجنة أن الدولة الطرف لم تقدم أي توضيح بشأن مصير مراد بن جاعل ولا بشأن مكان وجوده، على الرغم من المساعي التي بذلها أقاربه، وعلى الرغم أيضاً من أنه كان في عهدة سلطات الدولة الطرف عندما شوهد آخر مرة. وتخلص اللجنة إلى أن اختفاء مراد بن جاعل قسراً منذ ما يزيد على </w:t>
      </w:r>
      <w:r w:rsidRPr="00080D15">
        <w:rPr>
          <w:rtl/>
        </w:rPr>
        <w:t>خمسة وعشرين</w:t>
      </w:r>
      <w:r>
        <w:rPr>
          <w:rtl/>
        </w:rPr>
        <w:t xml:space="preserve"> عاماً قد حرمه من حماية القانون ومن حقه في أن يُعترف له بشخصيته القانونية، وهو ما يشكل انتهاكاً للمادة </w:t>
      </w:r>
      <w:r w:rsidRPr="00160F80">
        <w:rPr>
          <w:szCs w:val="20"/>
          <w:rtl/>
        </w:rPr>
        <w:t>16</w:t>
      </w:r>
      <w:r>
        <w:rPr>
          <w:rtl/>
        </w:rPr>
        <w:t xml:space="preserve"> من العهد.</w:t>
      </w:r>
    </w:p>
    <w:p w14:paraId="17795BD4" w14:textId="2F0EF336" w:rsidR="00B11A03" w:rsidRPr="00177A6F" w:rsidRDefault="00B11A03" w:rsidP="00BF4034">
      <w:pPr>
        <w:pStyle w:val="SingleTxtGA"/>
        <w:rPr>
          <w:szCs w:val="20"/>
          <w:lang w:eastAsia="zh-TW" w:bidi="en-GB"/>
        </w:rPr>
      </w:pPr>
      <w:r w:rsidRPr="00160F80">
        <w:rPr>
          <w:szCs w:val="20"/>
          <w:rtl/>
        </w:rPr>
        <w:t>8</w:t>
      </w:r>
      <w:r w:rsidRPr="00DA3F02">
        <w:rPr>
          <w:rtl/>
        </w:rPr>
        <w:t>-</w:t>
      </w:r>
      <w:r w:rsidRPr="00160F80">
        <w:rPr>
          <w:szCs w:val="20"/>
          <w:rtl/>
        </w:rPr>
        <w:t>13</w:t>
      </w:r>
      <w:r>
        <w:rPr>
          <w:rtl/>
        </w:rPr>
        <w:tab/>
        <w:t xml:space="preserve">وفيما يتعلق بادعاء صاحبيْ البلاغ انتهاكَ المادة </w:t>
      </w:r>
      <w:r w:rsidRPr="00160F80">
        <w:rPr>
          <w:szCs w:val="20"/>
          <w:rtl/>
        </w:rPr>
        <w:t>17</w:t>
      </w:r>
      <w:r>
        <w:rPr>
          <w:rtl/>
        </w:rPr>
        <w:t xml:space="preserve"> من العهد، تلاحظ اللجنة أن الدولة الطرف لم تقدم أي عنصر يبرر أو يشرح سبب دخول العسكريين في منتصف الليل بالقوة ودون أمر إلقاء قبض إلى منزل أسرة مراد بن جاعل. وتخلص اللجنة إلى أن دخول موظفي الدولة إلى منزل أسرة مراد بن جاعل في ظل هذه الظروف يشكل تدخلاً غير مشروع في منزلهم، وهو ما يشكل انتهاكاً للمادة </w:t>
      </w:r>
      <w:r w:rsidRPr="00160F80">
        <w:rPr>
          <w:szCs w:val="20"/>
          <w:rtl/>
        </w:rPr>
        <w:t>17</w:t>
      </w:r>
      <w:r>
        <w:rPr>
          <w:rtl/>
        </w:rPr>
        <w:t xml:space="preserve"> من 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41"/>
      </w:r>
      <w:r w:rsidR="00187AE0" w:rsidRPr="00AB3B40">
        <w:rPr>
          <w:rStyle w:val="FootnoteReference"/>
          <w:b w:val="0"/>
          <w:position w:val="4"/>
          <w:sz w:val="20"/>
          <w:rtl/>
        </w:rPr>
        <w:t>)</w:t>
      </w:r>
      <w:r w:rsidR="00DA3F02">
        <w:rPr>
          <w:rtl/>
        </w:rPr>
        <w:t>.</w:t>
      </w:r>
    </w:p>
    <w:p w14:paraId="25C47FED" w14:textId="2F99C59B" w:rsidR="00B11A03" w:rsidRPr="00FA698A" w:rsidRDefault="00B11A03" w:rsidP="00BF4034">
      <w:pPr>
        <w:pStyle w:val="SingleTxtGA"/>
        <w:rPr>
          <w:szCs w:val="20"/>
          <w:lang w:val="ar-SA" w:eastAsia="zh-TW" w:bidi="en-GB"/>
        </w:rPr>
      </w:pPr>
      <w:r w:rsidRPr="00160F80">
        <w:rPr>
          <w:szCs w:val="20"/>
          <w:rtl/>
        </w:rPr>
        <w:lastRenderedPageBreak/>
        <w:t>8</w:t>
      </w:r>
      <w:r w:rsidRPr="00DA3F02">
        <w:rPr>
          <w:rtl/>
        </w:rPr>
        <w:t>-</w:t>
      </w:r>
      <w:r w:rsidRPr="00160F80">
        <w:rPr>
          <w:szCs w:val="20"/>
          <w:rtl/>
        </w:rPr>
        <w:t>14</w:t>
      </w:r>
      <w:r>
        <w:rPr>
          <w:rtl/>
        </w:rPr>
        <w:tab/>
        <w:t xml:space="preserve">ويدعي صاحبا البلاغ أيضاً حدوث انتهاك للفقرة </w:t>
      </w:r>
      <w:r w:rsidRPr="00160F80">
        <w:rPr>
          <w:szCs w:val="20"/>
          <w:rtl/>
        </w:rPr>
        <w:t>3</w:t>
      </w:r>
      <w:r>
        <w:rPr>
          <w:rtl/>
        </w:rPr>
        <w:t xml:space="preserve"> من المادة </w:t>
      </w:r>
      <w:r w:rsidRPr="00160F80">
        <w:rPr>
          <w:szCs w:val="20"/>
          <w:rtl/>
        </w:rPr>
        <w:t>2</w:t>
      </w:r>
      <w:r>
        <w:rPr>
          <w:rtl/>
        </w:rPr>
        <w:t xml:space="preserve"> من العهد، مقروءةً بالاقتران مع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16</w:t>
      </w:r>
      <w:proofErr w:type="spellEnd"/>
      <w:r>
        <w:rPr>
          <w:rtl/>
        </w:rPr>
        <w:t xml:space="preserve"> </w:t>
      </w:r>
      <w:proofErr w:type="spellStart"/>
      <w:r>
        <w:rPr>
          <w:rtl/>
        </w:rPr>
        <w:t>و</w:t>
      </w:r>
      <w:r w:rsidRPr="00160F80">
        <w:rPr>
          <w:szCs w:val="20"/>
          <w:rtl/>
        </w:rPr>
        <w:t>17</w:t>
      </w:r>
      <w:proofErr w:type="spellEnd"/>
      <w:r>
        <w:rPr>
          <w:rtl/>
        </w:rPr>
        <w:t xml:space="preserve"> من العهد، التي تُلزم الدول الأطراف بأن تكفل لكل فرد سبل انتصاف يسهل الوصول إليها وتكون فعالة وواجبة الإنفاذ من أجل إثبات حقوقه المكفولة بموجب العهد. وتُذكِّر اللجنة بأنها تعلق أهمية على إنشاء الدول الأطراف آليات قضائية وإدارية مناسبة لمعالجة الشكاوى المتعلقة بانتهاكات الحقوق التي يكفلها العهد</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42"/>
      </w:r>
      <w:r w:rsidR="00187AE0" w:rsidRPr="00AB3B40">
        <w:rPr>
          <w:rStyle w:val="FootnoteReference"/>
          <w:b w:val="0"/>
          <w:position w:val="4"/>
          <w:sz w:val="20"/>
          <w:rtl/>
        </w:rPr>
        <w:t>)</w:t>
      </w:r>
      <w:r w:rsidR="00DA3F02">
        <w:rPr>
          <w:rtl/>
        </w:rPr>
        <w:t>.</w:t>
      </w:r>
      <w:r>
        <w:rPr>
          <w:rtl/>
        </w:rPr>
        <w:t xml:space="preserve"> وتذكّر بتعليقها العام رقم </w:t>
      </w:r>
      <w:r w:rsidRPr="00160F80">
        <w:rPr>
          <w:szCs w:val="20"/>
          <w:rtl/>
        </w:rPr>
        <w:t>31</w:t>
      </w:r>
      <w:r w:rsidRPr="003A4F27">
        <w:rPr>
          <w:rtl/>
        </w:rPr>
        <w:t>(</w:t>
      </w:r>
      <w:r w:rsidRPr="00160F80">
        <w:rPr>
          <w:szCs w:val="20"/>
          <w:rtl/>
        </w:rPr>
        <w:t>2004</w:t>
      </w:r>
      <w:r w:rsidRPr="003A4F27">
        <w:rPr>
          <w:rtl/>
        </w:rPr>
        <w:t>)</w:t>
      </w:r>
      <w:r>
        <w:rPr>
          <w:rtl/>
        </w:rPr>
        <w:t xml:space="preserve"> بشأن طبيعة الالتزام القانوني العام المفروض على الدول الأطراف في العهد، الذي تشير فيه على وجه الخصوص إلى أن عدم قيام الدولة الطرف بالتحقيق في الانتهاكات المزعومة قد يفضي، في حد ذاته، إلى انتهاك مستقل للعهد.</w:t>
      </w:r>
    </w:p>
    <w:p w14:paraId="7E6C6B81" w14:textId="5F5A5F6A" w:rsidR="00B11A03" w:rsidRDefault="00B11A03" w:rsidP="00BF4034">
      <w:pPr>
        <w:pStyle w:val="SingleTxtGA"/>
        <w:rPr>
          <w:rtl/>
        </w:rPr>
      </w:pPr>
      <w:r w:rsidRPr="00160F80">
        <w:rPr>
          <w:szCs w:val="20"/>
          <w:rtl/>
        </w:rPr>
        <w:t>8</w:t>
      </w:r>
      <w:r w:rsidRPr="00DA3F02">
        <w:rPr>
          <w:rtl/>
        </w:rPr>
        <w:t>-</w:t>
      </w:r>
      <w:r w:rsidRPr="00160F80">
        <w:rPr>
          <w:szCs w:val="20"/>
          <w:rtl/>
        </w:rPr>
        <w:t>15</w:t>
      </w:r>
      <w:r>
        <w:rPr>
          <w:rtl/>
        </w:rPr>
        <w:tab/>
        <w:t xml:space="preserve">وفي هذه القضية، أخطرت مليكة بن جاعل السلطات المختصة مراراً باختفاء ابنها دون أن تجري الدولة الطرف تحقيقاً شاملاً ودقيقاً في حالة الاختفاء، ودون موافاة صاحبيْ البلاغ بأي معلومات عن سير عمليات البحث والتحقيق، أو عن مصير مراد بن جاعل. وعلاوة على ذلك، فإن عدم توفر إمكانية قانونية للجوء إلى هيئة قضائية بعد صدور الأمر رقم </w:t>
      </w:r>
      <w:r w:rsidRPr="00160F80">
        <w:rPr>
          <w:szCs w:val="20"/>
          <w:rtl/>
        </w:rPr>
        <w:t>06</w:t>
      </w:r>
      <w:r w:rsidRPr="00DA3F02">
        <w:rPr>
          <w:rtl/>
        </w:rPr>
        <w:t>-</w:t>
      </w:r>
      <w:r w:rsidRPr="00160F80">
        <w:rPr>
          <w:szCs w:val="20"/>
          <w:rtl/>
        </w:rPr>
        <w:t>01</w:t>
      </w:r>
      <w:r>
        <w:rPr>
          <w:rtl/>
        </w:rPr>
        <w:t xml:space="preserve"> يحرم مراد بن جاعل وصاحبيْ البلاغ حتى الآن من أي فرصة للوصول إلى سبيل انتصاف فعال لأن هذا الأمر يمنع عليهما اللجوء إلى العدالة لاستجلاء ملابسات أشد الجرائم خطورة، مثل جرائم الاختفاء القسري</w:t>
      </w:r>
      <w:r w:rsidR="00187AE0" w:rsidRPr="00AB3B40">
        <w:rPr>
          <w:rStyle w:val="FootnoteReference"/>
          <w:b w:val="0"/>
          <w:position w:val="4"/>
          <w:sz w:val="20"/>
          <w:rtl/>
        </w:rPr>
        <w:t>(</w:t>
      </w:r>
      <w:r w:rsidR="00187AE0" w:rsidRPr="00160F80">
        <w:rPr>
          <w:rStyle w:val="FootnoteReference"/>
          <w:rFonts w:cs="Times New Roman"/>
          <w:b w:val="0"/>
          <w:position w:val="4"/>
          <w:sz w:val="20"/>
        </w:rPr>
        <w:footnoteReference w:id="43"/>
      </w:r>
      <w:r w:rsidR="00187AE0" w:rsidRPr="00AB3B40">
        <w:rPr>
          <w:rStyle w:val="FootnoteReference"/>
          <w:b w:val="0"/>
          <w:position w:val="4"/>
          <w:sz w:val="20"/>
          <w:rtl/>
        </w:rPr>
        <w:t>)</w:t>
      </w:r>
      <w:r w:rsidR="00DA3F02">
        <w:rPr>
          <w:rtl/>
        </w:rPr>
        <w:t>.</w:t>
      </w:r>
      <w:r>
        <w:rPr>
          <w:rtl/>
        </w:rPr>
        <w:t xml:space="preserve"> وتخلص اللجنة إلى أن الوقائع المعروضة عليها تكشف عن حدوث انتهاكٍ للفقرة </w:t>
      </w:r>
      <w:r w:rsidRPr="00160F80">
        <w:rPr>
          <w:szCs w:val="20"/>
          <w:rtl/>
        </w:rPr>
        <w:t>3</w:t>
      </w:r>
      <w:r>
        <w:rPr>
          <w:rtl/>
        </w:rPr>
        <w:t xml:space="preserve"> من المادة </w:t>
      </w:r>
      <w:r w:rsidRPr="00160F80">
        <w:rPr>
          <w:szCs w:val="20"/>
          <w:rtl/>
        </w:rPr>
        <w:t>2</w:t>
      </w:r>
      <w:r>
        <w:rPr>
          <w:rtl/>
        </w:rPr>
        <w:t xml:space="preserve">، مقروءةً بالاقتران مع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16</w:t>
      </w:r>
      <w:proofErr w:type="spellEnd"/>
      <w:r>
        <w:rPr>
          <w:rtl/>
        </w:rPr>
        <w:t xml:space="preserve"> من العهد، في حق مراد بن جاعل، وللفقرة </w:t>
      </w:r>
      <w:r w:rsidRPr="00160F80">
        <w:rPr>
          <w:szCs w:val="20"/>
          <w:rtl/>
        </w:rPr>
        <w:t>3</w:t>
      </w:r>
      <w:r>
        <w:rPr>
          <w:rtl/>
        </w:rPr>
        <w:t xml:space="preserve"> من المادة </w:t>
      </w:r>
      <w:r w:rsidRPr="00160F80">
        <w:rPr>
          <w:szCs w:val="20"/>
          <w:rtl/>
        </w:rPr>
        <w:t>2</w:t>
      </w:r>
      <w:r>
        <w:rPr>
          <w:rtl/>
        </w:rPr>
        <w:t xml:space="preserve">، مقروءةً بالاقتران مع المادتين </w:t>
      </w:r>
      <w:r w:rsidRPr="00160F80">
        <w:rPr>
          <w:szCs w:val="20"/>
          <w:rtl/>
        </w:rPr>
        <w:t>7</w:t>
      </w:r>
      <w:r>
        <w:rPr>
          <w:rtl/>
        </w:rPr>
        <w:t xml:space="preserve"> </w:t>
      </w:r>
      <w:proofErr w:type="spellStart"/>
      <w:r>
        <w:rPr>
          <w:rtl/>
        </w:rPr>
        <w:t>و</w:t>
      </w:r>
      <w:r w:rsidRPr="00160F80">
        <w:rPr>
          <w:szCs w:val="20"/>
          <w:rtl/>
        </w:rPr>
        <w:t>17</w:t>
      </w:r>
      <w:proofErr w:type="spellEnd"/>
      <w:r>
        <w:rPr>
          <w:rtl/>
        </w:rPr>
        <w:t xml:space="preserve"> من العهد، في حق صاحبيْ البلاغ.</w:t>
      </w:r>
    </w:p>
    <w:p w14:paraId="20652DD9" w14:textId="03B4E7C0" w:rsidR="00B11A03" w:rsidRPr="00FA698A" w:rsidRDefault="00B11A03" w:rsidP="00BF4034">
      <w:pPr>
        <w:pStyle w:val="SingleTxtGA"/>
        <w:rPr>
          <w:szCs w:val="20"/>
          <w:lang w:val="ar-SA" w:eastAsia="zh-TW" w:bidi="en-GB"/>
        </w:rPr>
      </w:pPr>
      <w:r w:rsidRPr="00160F80">
        <w:rPr>
          <w:szCs w:val="20"/>
          <w:rtl/>
        </w:rPr>
        <w:t>9</w:t>
      </w:r>
      <w:r w:rsidRPr="00DA3F02">
        <w:rPr>
          <w:rtl/>
        </w:rPr>
        <w:t>-</w:t>
      </w:r>
      <w:r>
        <w:rPr>
          <w:rtl/>
        </w:rPr>
        <w:tab/>
        <w:t xml:space="preserve">واللجنة، إذ تتصرف بموجب الفقرة </w:t>
      </w:r>
      <w:r w:rsidRPr="00160F80">
        <w:rPr>
          <w:szCs w:val="20"/>
          <w:rtl/>
        </w:rPr>
        <w:t>4</w:t>
      </w:r>
      <w:r>
        <w:rPr>
          <w:rtl/>
        </w:rPr>
        <w:t xml:space="preserve"> من المادة </w:t>
      </w:r>
      <w:r w:rsidRPr="00160F80">
        <w:rPr>
          <w:szCs w:val="20"/>
          <w:rtl/>
        </w:rPr>
        <w:t>5</w:t>
      </w:r>
      <w:r>
        <w:rPr>
          <w:rtl/>
        </w:rPr>
        <w:t xml:space="preserve"> من البروتوكول الاختياري، ترى أن الوقائع المعروضة عليها تكشف عن ارتكاب الدولة الطرف انتهاكات لحقوق مراد بن جاعل المكفولة بموجب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16</w:t>
      </w:r>
      <w:proofErr w:type="spellEnd"/>
      <w:r>
        <w:rPr>
          <w:rtl/>
        </w:rPr>
        <w:t xml:space="preserve"> من العهد، وكذلك الفقرة </w:t>
      </w:r>
      <w:r w:rsidRPr="00160F80">
        <w:rPr>
          <w:szCs w:val="20"/>
          <w:rtl/>
        </w:rPr>
        <w:t>3</w:t>
      </w:r>
      <w:r>
        <w:rPr>
          <w:rtl/>
        </w:rPr>
        <w:t xml:space="preserve"> من المادة </w:t>
      </w:r>
      <w:r w:rsidRPr="00160F80">
        <w:rPr>
          <w:szCs w:val="20"/>
          <w:rtl/>
        </w:rPr>
        <w:t>2</w:t>
      </w:r>
      <w:r>
        <w:rPr>
          <w:rtl/>
        </w:rPr>
        <w:t xml:space="preserve"> مقروءةً بالاقتران مع المواد </w:t>
      </w:r>
      <w:r w:rsidRPr="00160F80">
        <w:rPr>
          <w:szCs w:val="20"/>
          <w:rtl/>
        </w:rPr>
        <w:t>6</w:t>
      </w:r>
      <w:r>
        <w:rPr>
          <w:rtl/>
        </w:rPr>
        <w:t xml:space="preserve"> </w:t>
      </w:r>
      <w:proofErr w:type="spellStart"/>
      <w:r>
        <w:rPr>
          <w:rtl/>
        </w:rPr>
        <w:t>و</w:t>
      </w:r>
      <w:r w:rsidRPr="00160F80">
        <w:rPr>
          <w:szCs w:val="20"/>
          <w:rtl/>
        </w:rPr>
        <w:t>7</w:t>
      </w:r>
      <w:proofErr w:type="spellEnd"/>
      <w:r>
        <w:rPr>
          <w:rtl/>
        </w:rPr>
        <w:t xml:space="preserve"> </w:t>
      </w:r>
      <w:proofErr w:type="spellStart"/>
      <w:r>
        <w:rPr>
          <w:rtl/>
        </w:rPr>
        <w:t>و</w:t>
      </w:r>
      <w:r w:rsidRPr="00160F80">
        <w:rPr>
          <w:szCs w:val="20"/>
          <w:rtl/>
        </w:rPr>
        <w:t>9</w:t>
      </w:r>
      <w:proofErr w:type="spellEnd"/>
      <w:r>
        <w:rPr>
          <w:rtl/>
        </w:rPr>
        <w:t xml:space="preserve"> </w:t>
      </w:r>
      <w:proofErr w:type="spellStart"/>
      <w:r>
        <w:rPr>
          <w:rtl/>
        </w:rPr>
        <w:t>و</w:t>
      </w:r>
      <w:r w:rsidRPr="00160F80">
        <w:rPr>
          <w:szCs w:val="20"/>
          <w:rtl/>
        </w:rPr>
        <w:t>16</w:t>
      </w:r>
      <w:proofErr w:type="spellEnd"/>
      <w:r>
        <w:rPr>
          <w:rtl/>
        </w:rPr>
        <w:t xml:space="preserve"> من العهد. وترى اللجنة أيضاً أن الدولة الطرف قد انتهكت حقوق مليكة بن جاعل المكفولة بموجب المادة </w:t>
      </w:r>
      <w:r w:rsidRPr="00160F80">
        <w:rPr>
          <w:szCs w:val="20"/>
          <w:rtl/>
        </w:rPr>
        <w:t>7</w:t>
      </w:r>
      <w:r>
        <w:rPr>
          <w:rtl/>
        </w:rPr>
        <w:t xml:space="preserve"> والمادة </w:t>
      </w:r>
      <w:r w:rsidRPr="00160F80">
        <w:rPr>
          <w:szCs w:val="20"/>
          <w:rtl/>
        </w:rPr>
        <w:t>17</w:t>
      </w:r>
      <w:r>
        <w:rPr>
          <w:rtl/>
        </w:rPr>
        <w:t xml:space="preserve">، منفردتيْن ومقروءتيْن بالاقتران مع الفقرة </w:t>
      </w:r>
      <w:r w:rsidRPr="00160F80">
        <w:rPr>
          <w:szCs w:val="20"/>
          <w:rtl/>
        </w:rPr>
        <w:t>3</w:t>
      </w:r>
      <w:r>
        <w:rPr>
          <w:rtl/>
        </w:rPr>
        <w:t xml:space="preserve"> من المادة </w:t>
      </w:r>
      <w:r w:rsidRPr="00160F80">
        <w:rPr>
          <w:szCs w:val="20"/>
          <w:rtl/>
        </w:rPr>
        <w:t>2</w:t>
      </w:r>
      <w:r>
        <w:rPr>
          <w:rtl/>
        </w:rPr>
        <w:t xml:space="preserve"> من العهد، وبموجب المادة</w:t>
      </w:r>
      <w:r w:rsidR="00B16565">
        <w:rPr>
          <w:rFonts w:hint="cs"/>
          <w:rtl/>
        </w:rPr>
        <w:t> </w:t>
      </w:r>
      <w:r w:rsidRPr="00160F80">
        <w:rPr>
          <w:szCs w:val="20"/>
          <w:rtl/>
        </w:rPr>
        <w:t>14</w:t>
      </w:r>
      <w:r>
        <w:rPr>
          <w:rtl/>
        </w:rPr>
        <w:t xml:space="preserve"> من العهد.</w:t>
      </w:r>
    </w:p>
    <w:p w14:paraId="649CAC94" w14:textId="4C1AB10F" w:rsidR="00B11A03" w:rsidRPr="00177A6F" w:rsidRDefault="00B11A03" w:rsidP="00BF4034">
      <w:pPr>
        <w:pStyle w:val="SingleTxtGA"/>
        <w:rPr>
          <w:szCs w:val="20"/>
          <w:lang w:eastAsia="zh-TW" w:bidi="en-GB"/>
        </w:rPr>
      </w:pPr>
      <w:r w:rsidRPr="00160F80">
        <w:rPr>
          <w:szCs w:val="20"/>
          <w:rtl/>
        </w:rPr>
        <w:t>10</w:t>
      </w:r>
      <w:r w:rsidRPr="00DA3F02">
        <w:rPr>
          <w:rtl/>
        </w:rPr>
        <w:t>-</w:t>
      </w:r>
      <w:r>
        <w:rPr>
          <w:rtl/>
        </w:rPr>
        <w:tab/>
        <w:t xml:space="preserve">والدولة الطرف مُلزمة، بموجب الفقرة </w:t>
      </w:r>
      <w:r w:rsidRPr="00160F80">
        <w:rPr>
          <w:szCs w:val="20"/>
          <w:rtl/>
        </w:rPr>
        <w:t>3</w:t>
      </w:r>
      <w:r w:rsidRPr="003A4F27">
        <w:rPr>
          <w:rtl/>
        </w:rPr>
        <w:t>(</w:t>
      </w:r>
      <w:r>
        <w:rPr>
          <w:rtl/>
        </w:rPr>
        <w:t>أ</w:t>
      </w:r>
      <w:r w:rsidRPr="003A4F27">
        <w:rPr>
          <w:rtl/>
        </w:rPr>
        <w:t>)</w:t>
      </w:r>
      <w:r>
        <w:rPr>
          <w:rtl/>
        </w:rPr>
        <w:t xml:space="preserve"> من المادة </w:t>
      </w:r>
      <w:r w:rsidRPr="00160F80">
        <w:rPr>
          <w:szCs w:val="20"/>
          <w:rtl/>
        </w:rPr>
        <w:t>2</w:t>
      </w:r>
      <w:r>
        <w:rPr>
          <w:rtl/>
        </w:rPr>
        <w:t xml:space="preserve"> من العهد، بتوفير سبيل انتصاف فعال لصاحبيْ البلاغ. ويقتضي منها ذلك أن توفر جبراً كاملاً للأشخاص الذين انتُكت حقوقهم المكفولة لهم بموجب العهد. وفي هذه القضية، تُلزم الدولة الطرف بما يلي: </w:t>
      </w:r>
      <w:r w:rsidRPr="003A4F27">
        <w:rPr>
          <w:rtl/>
        </w:rPr>
        <w:t>(</w:t>
      </w:r>
      <w:r>
        <w:rPr>
          <w:rtl/>
        </w:rPr>
        <w:t>أ</w:t>
      </w:r>
      <w:r w:rsidRPr="003A4F27">
        <w:rPr>
          <w:rtl/>
        </w:rPr>
        <w:t>)</w:t>
      </w:r>
      <w:r>
        <w:rPr>
          <w:rtl/>
        </w:rPr>
        <w:t xml:space="preserve"> إجراء تحقيق سريع وفعال وشامل ومستقل ونزيه وشفاف في اختفاء مراد بن جاعل وموافاة صاحبيْ البلاغ بمعلومات مفصلة عن نتائج هذا التحقيق؛ و</w:t>
      </w:r>
      <w:r w:rsidRPr="003A4F27">
        <w:rPr>
          <w:rtl/>
        </w:rPr>
        <w:t>(</w:t>
      </w:r>
      <w:r>
        <w:rPr>
          <w:rtl/>
        </w:rPr>
        <w:t>ب</w:t>
      </w:r>
      <w:r w:rsidRPr="003A4F27">
        <w:rPr>
          <w:rtl/>
        </w:rPr>
        <w:t>)</w:t>
      </w:r>
      <w:r>
        <w:rPr>
          <w:rtl/>
        </w:rPr>
        <w:t xml:space="preserve"> الإفراج فوراً عن مراد بن جاعل إن كان لا يزال محبوساً انفرادياً في مكان سري؛ و</w:t>
      </w:r>
      <w:r w:rsidRPr="003A4F27">
        <w:rPr>
          <w:rtl/>
        </w:rPr>
        <w:t>(</w:t>
      </w:r>
      <w:r>
        <w:rPr>
          <w:rtl/>
        </w:rPr>
        <w:t>ج</w:t>
      </w:r>
      <w:r w:rsidRPr="003A4F27">
        <w:rPr>
          <w:rtl/>
        </w:rPr>
        <w:t>)</w:t>
      </w:r>
      <w:r>
        <w:rPr>
          <w:rtl/>
        </w:rPr>
        <w:t xml:space="preserve"> إعادة رفات مراد بن جاعل، في حالة وفاته، إلى أسرته في ظروف تحفظ الكرامة، وفقاً للمعايير والتقاليد الثقافية للضحايا؛ و</w:t>
      </w:r>
      <w:r w:rsidRPr="003A4F27">
        <w:rPr>
          <w:rtl/>
        </w:rPr>
        <w:t>(</w:t>
      </w:r>
      <w:r>
        <w:rPr>
          <w:rtl/>
        </w:rPr>
        <w:t>د</w:t>
      </w:r>
      <w:r w:rsidRPr="003A4F27">
        <w:rPr>
          <w:rtl/>
        </w:rPr>
        <w:t>)</w:t>
      </w:r>
      <w:r>
        <w:rPr>
          <w:rtl/>
        </w:rPr>
        <w:t xml:space="preserve"> ملاحقة المسؤولين عن الانتهاكات المرتكبة ومحاكمتهم ومعاقبتهم؛ و</w:t>
      </w:r>
      <w:r w:rsidRPr="003A4F27">
        <w:rPr>
          <w:rtl/>
        </w:rPr>
        <w:t>(</w:t>
      </w:r>
      <w:r>
        <w:rPr>
          <w:rtl/>
        </w:rPr>
        <w:t>ه</w:t>
      </w:r>
      <w:r w:rsidRPr="003A4F27">
        <w:rPr>
          <w:rtl/>
        </w:rPr>
        <w:t>)</w:t>
      </w:r>
      <w:r>
        <w:rPr>
          <w:rtl/>
        </w:rPr>
        <w:t xml:space="preserve"> جبر الضرر الذي لحق بصاحبيْ البلاغ وبمراد بن جاعل، إن كان على قيد الحياة، جبراً كاملاً، ويشمل ذلك التعويض المناسب؛ و</w:t>
      </w:r>
      <w:r w:rsidRPr="003A4F27">
        <w:rPr>
          <w:rtl/>
        </w:rPr>
        <w:t>(</w:t>
      </w:r>
      <w:r>
        <w:rPr>
          <w:rtl/>
        </w:rPr>
        <w:t>و</w:t>
      </w:r>
      <w:r w:rsidRPr="003A4F27">
        <w:rPr>
          <w:rtl/>
        </w:rPr>
        <w:t>)</w:t>
      </w:r>
      <w:r>
        <w:rPr>
          <w:rtl/>
        </w:rPr>
        <w:t xml:space="preserve"> اتخاذ تدابير ملائمة لترضية صاحبيْ البلاغ. و</w:t>
      </w:r>
      <w:r w:rsidRPr="003A4F27">
        <w:rPr>
          <w:rtl/>
        </w:rPr>
        <w:t>(</w:t>
      </w:r>
      <w:r>
        <w:rPr>
          <w:rtl/>
        </w:rPr>
        <w:t>ز</w:t>
      </w:r>
      <w:r w:rsidRPr="003A4F27">
        <w:rPr>
          <w:rtl/>
        </w:rPr>
        <w:t>)</w:t>
      </w:r>
      <w:r>
        <w:rPr>
          <w:rtl/>
        </w:rPr>
        <w:t xml:space="preserve"> ضمان وصول مروان بن جاعل إلى إجراءات التعويض عن الضرر الذي لحق به نتيجة تبرئته في </w:t>
      </w:r>
      <w:r w:rsidRPr="00160F80">
        <w:rPr>
          <w:szCs w:val="20"/>
          <w:rtl/>
        </w:rPr>
        <w:t>22</w:t>
      </w:r>
      <w:r>
        <w:rPr>
          <w:rtl/>
        </w:rPr>
        <w:t xml:space="preserve"> نيسان/</w:t>
      </w:r>
      <w:r w:rsidR="00B16565">
        <w:rPr>
          <w:rFonts w:hint="cs"/>
          <w:rtl/>
        </w:rPr>
        <w:t xml:space="preserve"> </w:t>
      </w:r>
      <w:r>
        <w:rPr>
          <w:rtl/>
        </w:rPr>
        <w:t>أبريل</w:t>
      </w:r>
      <w:r w:rsidR="00B16565">
        <w:rPr>
          <w:rFonts w:hint="cs"/>
          <w:rtl/>
        </w:rPr>
        <w:t> </w:t>
      </w:r>
      <w:r w:rsidRPr="00160F80">
        <w:rPr>
          <w:szCs w:val="20"/>
          <w:rtl/>
        </w:rPr>
        <w:t>1999</w:t>
      </w:r>
      <w:r w:rsidRPr="00B16565">
        <w:rPr>
          <w:rtl/>
        </w:rPr>
        <w:t>.</w:t>
      </w:r>
      <w:r>
        <w:rPr>
          <w:rtl/>
        </w:rPr>
        <w:t xml:space="preserve"> وعلى الرغم من سريان الأمر رقم </w:t>
      </w:r>
      <w:r w:rsidRPr="00160F80">
        <w:rPr>
          <w:szCs w:val="20"/>
          <w:rtl/>
        </w:rPr>
        <w:t>06</w:t>
      </w:r>
      <w:r w:rsidRPr="00DA3F02">
        <w:rPr>
          <w:rtl/>
        </w:rPr>
        <w:t>-</w:t>
      </w:r>
      <w:r w:rsidRPr="00160F80">
        <w:rPr>
          <w:szCs w:val="20"/>
          <w:rtl/>
        </w:rPr>
        <w:t>01</w:t>
      </w:r>
      <w:r>
        <w:rPr>
          <w:rtl/>
        </w:rPr>
        <w:t xml:space="preserve">، يتعين على الدولة الطرف أيضاً أن تحرص على أن يمارس ضحايا جرائم مثل التعذيب والإعدام خارج نطاق القضاء والاختفاء القسري حقهم في سبيل </w:t>
      </w:r>
      <w:r>
        <w:rPr>
          <w:rtl/>
        </w:rPr>
        <w:lastRenderedPageBreak/>
        <w:t xml:space="preserve">انتصاف فعال من دون عراقيل. والدولة الطرف ملزمةٌ أيضاً باتخاذ تدابير تمنع تكرار مثل هذه الانتهاكات في المستقبل. وفي هذا الصدد، ترى اللجنة أن الدولة الطرف ينبغي لها أن تعيد النظر في تشريعاتها وفقاً للالتزام الواقع على عاتقها بموجب الفقرة </w:t>
      </w:r>
      <w:r w:rsidRPr="00160F80">
        <w:rPr>
          <w:szCs w:val="20"/>
          <w:rtl/>
        </w:rPr>
        <w:t>2</w:t>
      </w:r>
      <w:r>
        <w:rPr>
          <w:rtl/>
        </w:rPr>
        <w:t xml:space="preserve"> من المادة </w:t>
      </w:r>
      <w:r w:rsidRPr="00160F80">
        <w:rPr>
          <w:szCs w:val="20"/>
          <w:rtl/>
        </w:rPr>
        <w:t>2</w:t>
      </w:r>
      <w:r>
        <w:rPr>
          <w:rtl/>
        </w:rPr>
        <w:t xml:space="preserve"> من العهد، وأن تلغي على وجه الخصوص أحكام الأمر المذكور التي تتنافى مع أحكام العهد، حتى يتس</w:t>
      </w:r>
      <w:bookmarkStart w:id="3" w:name="_GoBack"/>
      <w:bookmarkEnd w:id="3"/>
      <w:r>
        <w:rPr>
          <w:rtl/>
        </w:rPr>
        <w:t>نى التمتع بالحقوق المكرسة في العهد تمتعاً كاملاً في الدولة الطرف.</w:t>
      </w:r>
    </w:p>
    <w:p w14:paraId="6995A64B" w14:textId="77777777" w:rsidR="00B11A03" w:rsidRDefault="00B11A03" w:rsidP="00BF4034">
      <w:pPr>
        <w:pStyle w:val="SingleTxtGA"/>
        <w:rPr>
          <w:szCs w:val="20"/>
          <w:lang w:val="ar-SA" w:eastAsia="zh-TW" w:bidi="en-GB"/>
        </w:rPr>
      </w:pPr>
      <w:r w:rsidRPr="00160F80">
        <w:rPr>
          <w:szCs w:val="20"/>
          <w:rtl/>
        </w:rPr>
        <w:t>11</w:t>
      </w:r>
      <w:r w:rsidRPr="00DA3F02">
        <w:rPr>
          <w:rtl/>
        </w:rPr>
        <w:t>-</w:t>
      </w:r>
      <w:r>
        <w:rPr>
          <w:rtl/>
        </w:rPr>
        <w:tab/>
        <w:t xml:space="preserve">ولما كانت الدولة الطرف، بانضمامها إلى البروتوكول الاختياري، قد أقرت باختصاص اللجنة بالبتّ فيما إذا كان العهد قد انتُهك أم لا، وتعهدت، بمقتضى المادة </w:t>
      </w:r>
      <w:r w:rsidRPr="00160F80">
        <w:rPr>
          <w:szCs w:val="20"/>
          <w:rtl/>
        </w:rPr>
        <w:t>2</w:t>
      </w:r>
      <w:r>
        <w:rPr>
          <w:rtl/>
        </w:rPr>
        <w:t xml:space="preserve"> من العهد، بأن تكفل لجميع الأفراد الموجودين في إقليمها أو الخاضعين لولايتها الحقوق المعترف بها في العهد وأن توفر لهم سبيل انتصاف فعالاً وقابلاً للإنفاذ في حالة ثبوت الانتهاك، فإن اللجنة تودّ أن تتلقى من الدولة الطرف، في غضون </w:t>
      </w:r>
      <w:r w:rsidRPr="00160F80">
        <w:rPr>
          <w:szCs w:val="20"/>
          <w:rtl/>
        </w:rPr>
        <w:t>180</w:t>
      </w:r>
      <w:r>
        <w:rPr>
          <w:rtl/>
        </w:rPr>
        <w:t xml:space="preserve"> يوماً، معلومات عن التدابير المتخذة لإعمال آراء اللجنة هذه. والدولة الطرف مدعُوَّة أيضاً إلى إعلان هذه الآراء ونشرها على نطاق واسع بلغاتها الرسمية.</w:t>
      </w:r>
    </w:p>
    <w:p w14:paraId="08AA8D85" w14:textId="08A15A17" w:rsidR="00B11A03" w:rsidRPr="007241F9" w:rsidRDefault="00B11A03" w:rsidP="00160F80">
      <w:pPr>
        <w:pStyle w:val="SingleTxtG"/>
        <w:bidi/>
        <w:spacing w:before="240" w:after="0"/>
        <w:jc w:val="center"/>
      </w:pPr>
      <w:r>
        <w:rPr>
          <w:u w:val="single"/>
        </w:rPr>
        <w:tab/>
      </w:r>
      <w:r>
        <w:rPr>
          <w:u w:val="single"/>
        </w:rPr>
        <w:tab/>
      </w:r>
      <w:r>
        <w:rPr>
          <w:u w:val="single"/>
        </w:rPr>
        <w:tab/>
      </w:r>
    </w:p>
    <w:sectPr w:rsidR="00B11A03" w:rsidRPr="007241F9" w:rsidSect="00F21F0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C9F6" w14:textId="77777777" w:rsidR="00992398" w:rsidRPr="002901D9" w:rsidRDefault="00992398" w:rsidP="002901D9">
      <w:pPr>
        <w:spacing w:after="60" w:line="240" w:lineRule="auto"/>
        <w:rPr>
          <w:i/>
          <w:iCs/>
        </w:rPr>
      </w:pPr>
      <w:r>
        <w:rPr>
          <w:rFonts w:hint="cs"/>
          <w:i/>
          <w:iCs/>
          <w:rtl/>
        </w:rPr>
        <w:t>الحواشي</w:t>
      </w:r>
    </w:p>
  </w:endnote>
  <w:endnote w:type="continuationSeparator" w:id="0">
    <w:p w14:paraId="09D161D0" w14:textId="77777777" w:rsidR="00992398" w:rsidRDefault="009923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70FB" w14:textId="77777777" w:rsidR="00992398" w:rsidRPr="000D498E" w:rsidRDefault="00992398" w:rsidP="000D498E">
    <w:pPr>
      <w:pStyle w:val="Footer"/>
      <w:tabs>
        <w:tab w:val="right" w:pos="9598"/>
      </w:tabs>
      <w:rPr>
        <w:sz w:val="17"/>
      </w:rPr>
    </w:pPr>
    <w:r>
      <w:rPr>
        <w:sz w:val="17"/>
      </w:rPr>
      <w:t>GE.20-14556</w:t>
    </w:r>
    <w:r>
      <w:rPr>
        <w:sz w:val="17"/>
      </w:rPr>
      <w:tab/>
    </w:r>
    <w:r w:rsidRPr="000D498E">
      <w:rPr>
        <w:b/>
        <w:sz w:val="18"/>
      </w:rPr>
      <w:fldChar w:fldCharType="begin"/>
    </w:r>
    <w:r w:rsidRPr="000D498E">
      <w:rPr>
        <w:b/>
        <w:sz w:val="18"/>
      </w:rPr>
      <w:instrText xml:space="preserve"> PAGE  \* MERGEFORMAT </w:instrText>
    </w:r>
    <w:r w:rsidRPr="000D498E">
      <w:rPr>
        <w:b/>
        <w:sz w:val="18"/>
      </w:rPr>
      <w:fldChar w:fldCharType="separate"/>
    </w:r>
    <w:r>
      <w:rPr>
        <w:b/>
        <w:sz w:val="18"/>
      </w:rPr>
      <w:t>2</w:t>
    </w:r>
    <w:r w:rsidRPr="000D498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1194" w14:textId="77777777" w:rsidR="00992398" w:rsidRPr="000D498E" w:rsidRDefault="00992398" w:rsidP="006959B0">
    <w:pPr>
      <w:pStyle w:val="Footer"/>
      <w:tabs>
        <w:tab w:val="right" w:pos="9599"/>
      </w:tabs>
      <w:jc w:val="left"/>
      <w:rPr>
        <w:b/>
        <w:sz w:val="18"/>
        <w:lang w:val="en-US"/>
      </w:rPr>
    </w:pPr>
    <w:r w:rsidRPr="000D498E">
      <w:rPr>
        <w:b/>
        <w:sz w:val="18"/>
        <w:lang w:val="en-US"/>
      </w:rPr>
      <w:fldChar w:fldCharType="begin"/>
    </w:r>
    <w:r w:rsidRPr="000D498E">
      <w:rPr>
        <w:b/>
        <w:sz w:val="18"/>
        <w:lang w:val="en-US"/>
      </w:rPr>
      <w:instrText xml:space="preserve"> PAGE  \* MERGEFORMAT </w:instrText>
    </w:r>
    <w:r w:rsidRPr="000D498E">
      <w:rPr>
        <w:b/>
        <w:sz w:val="18"/>
        <w:lang w:val="en-US"/>
      </w:rPr>
      <w:fldChar w:fldCharType="separate"/>
    </w:r>
    <w:r w:rsidRPr="000D498E">
      <w:rPr>
        <w:b/>
        <w:noProof/>
        <w:sz w:val="18"/>
        <w:lang w:val="en-US"/>
      </w:rPr>
      <w:t>3</w:t>
    </w:r>
    <w:r w:rsidRPr="000D498E">
      <w:rPr>
        <w:b/>
        <w:sz w:val="18"/>
        <w:lang w:val="en-US"/>
      </w:rPr>
      <w:fldChar w:fldCharType="end"/>
    </w:r>
    <w:r>
      <w:rPr>
        <w:b/>
        <w:sz w:val="18"/>
        <w:lang w:val="en-US"/>
      </w:rPr>
      <w:tab/>
    </w:r>
    <w:r>
      <w:rPr>
        <w:sz w:val="17"/>
        <w:lang w:val="en-US"/>
      </w:rPr>
      <w:t>GE.20-14556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EBD7" w14:textId="5FF64193" w:rsidR="00992398" w:rsidRDefault="00992398" w:rsidP="00982139">
    <w:pPr>
      <w:pStyle w:val="Footer"/>
      <w:spacing w:before="360"/>
      <w:jc w:val="right"/>
      <w:rPr>
        <w:sz w:val="20"/>
        <w:szCs w:val="20"/>
      </w:rPr>
    </w:pPr>
    <w:r>
      <w:rPr>
        <w:sz w:val="20"/>
        <w:szCs w:val="20"/>
      </w:rPr>
      <w:t>GE.20-14556</w:t>
    </w:r>
    <w:r w:rsidR="008E6F13">
      <w:rPr>
        <w:noProof/>
      </w:rPr>
      <w:drawing>
        <wp:anchor distT="0" distB="0" distL="114300" distR="114300" simplePos="0" relativeHeight="251657728" behindDoc="1" locked="1" layoutInCell="0" allowOverlap="1" wp14:anchorId="3E66D982" wp14:editId="18C1DAD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12E48614" w14:textId="16CB5803" w:rsidR="00992398" w:rsidRPr="00F21F08" w:rsidRDefault="00992398" w:rsidP="00F21F08">
    <w:pPr>
      <w:pStyle w:val="Footer"/>
      <w:jc w:val="right"/>
      <w:rPr>
        <w:rFonts w:ascii="C39T30Lfz" w:hAnsi="C39T30Lfz"/>
        <w:sz w:val="56"/>
        <w:szCs w:val="20"/>
      </w:rPr>
    </w:pPr>
    <w:r>
      <w:rPr>
        <w:rFonts w:ascii="C39T30Lfz" w:hAnsi="C39T30Lfz"/>
        <w:sz w:val="56"/>
        <w:szCs w:val="20"/>
      </w:rPr>
      <w:t>*2014556*</w:t>
    </w:r>
    <w:r w:rsidR="008E6F13">
      <w:rPr>
        <w:noProof/>
      </w:rPr>
      <w:drawing>
        <wp:anchor distT="0" distB="0" distL="114300" distR="114300" simplePos="0" relativeHeight="251659776" behindDoc="0" locked="0" layoutInCell="1" allowOverlap="1" wp14:anchorId="0AB32054" wp14:editId="2264F9AE">
          <wp:simplePos x="0" y="0"/>
          <wp:positionH relativeFrom="page">
            <wp:posOffset>719455</wp:posOffset>
          </wp:positionH>
          <wp:positionV relativeFrom="page">
            <wp:posOffset>9611995</wp:posOffset>
          </wp:positionV>
          <wp:extent cx="639445" cy="639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B5CE" w14:textId="77777777" w:rsidR="00992398" w:rsidRDefault="00992398" w:rsidP="000437B8">
      <w:pPr>
        <w:pStyle w:val="Footer"/>
        <w:bidi/>
        <w:spacing w:after="80" w:line="200" w:lineRule="exact"/>
        <w:ind w:left="680"/>
        <w:rPr>
          <w:rtl/>
        </w:rPr>
      </w:pPr>
      <w:r>
        <w:rPr>
          <w:rtl/>
        </w:rPr>
        <w:t>__________</w:t>
      </w:r>
    </w:p>
  </w:footnote>
  <w:footnote w:type="continuationSeparator" w:id="0">
    <w:p w14:paraId="4DD9208E" w14:textId="77777777" w:rsidR="00992398" w:rsidRDefault="00992398" w:rsidP="00656392">
      <w:pPr>
        <w:spacing w:line="240" w:lineRule="auto"/>
      </w:pPr>
      <w:r>
        <w:continuationSeparator/>
      </w:r>
    </w:p>
  </w:footnote>
  <w:footnote w:id="1">
    <w:p w14:paraId="1203ED61" w14:textId="3E3C0D33" w:rsidR="00992398" w:rsidRPr="00FA698A" w:rsidRDefault="00992398" w:rsidP="00160F80">
      <w:pPr>
        <w:pStyle w:val="FootnoteText1"/>
        <w:rPr>
          <w:lang w:val="ar-SA" w:eastAsia="zh-TW" w:bidi="en-GB"/>
        </w:rPr>
      </w:pPr>
      <w:r>
        <w:rPr>
          <w:rFonts w:ascii="Traditional Arabic"/>
          <w:szCs w:val="20"/>
        </w:rPr>
        <w:t>*</w:t>
      </w:r>
      <w:r>
        <w:rPr>
          <w:rtl/>
        </w:rPr>
        <w:tab/>
      </w:r>
      <w:r w:rsidRPr="000C2EE2">
        <w:rPr>
          <w:sz w:val="26"/>
          <w:rtl/>
        </w:rPr>
        <w:t xml:space="preserve">اعتمدتها اللجنة في دورتها </w:t>
      </w:r>
      <w:r w:rsidRPr="00160F80">
        <w:rPr>
          <w:sz w:val="26"/>
          <w:szCs w:val="18"/>
          <w:rtl/>
        </w:rPr>
        <w:t>128</w:t>
      </w:r>
      <w:r w:rsidRPr="000C2EE2">
        <w:rPr>
          <w:rFonts w:ascii="Traditional Arabic"/>
          <w:sz w:val="26"/>
          <w:rtl/>
        </w:rPr>
        <w:t xml:space="preserve"> (</w:t>
      </w:r>
      <w:r w:rsidRPr="00160F80">
        <w:rPr>
          <w:sz w:val="26"/>
          <w:szCs w:val="18"/>
          <w:rtl/>
        </w:rPr>
        <w:t>2</w:t>
      </w:r>
      <w:r w:rsidRPr="000C2EE2">
        <w:rPr>
          <w:rFonts w:ascii="Traditional Arabic"/>
          <w:sz w:val="26"/>
          <w:rtl/>
        </w:rPr>
        <w:t>-</w:t>
      </w:r>
      <w:r w:rsidRPr="00160F80">
        <w:rPr>
          <w:sz w:val="26"/>
          <w:szCs w:val="18"/>
          <w:rtl/>
        </w:rPr>
        <w:t>27</w:t>
      </w:r>
      <w:r w:rsidRPr="000C2EE2">
        <w:rPr>
          <w:sz w:val="26"/>
          <w:rtl/>
        </w:rPr>
        <w:t xml:space="preserve"> آذار/مارس </w:t>
      </w:r>
      <w:r w:rsidRPr="00160F80">
        <w:rPr>
          <w:sz w:val="26"/>
          <w:szCs w:val="18"/>
          <w:rtl/>
        </w:rPr>
        <w:t>2020</w:t>
      </w:r>
      <w:r w:rsidRPr="000C2EE2">
        <w:rPr>
          <w:rFonts w:ascii="Traditional Arabic"/>
          <w:sz w:val="26"/>
          <w:rtl/>
        </w:rPr>
        <w:t>)</w:t>
      </w:r>
      <w:r w:rsidRPr="000C2EE2">
        <w:rPr>
          <w:sz w:val="26"/>
          <w:rtl/>
        </w:rPr>
        <w:t>.</w:t>
      </w:r>
    </w:p>
  </w:footnote>
  <w:footnote w:id="2">
    <w:p w14:paraId="3BB64F59" w14:textId="20D324A3" w:rsidR="00992398" w:rsidRPr="00B11A03" w:rsidRDefault="00992398" w:rsidP="00160F80">
      <w:pPr>
        <w:pStyle w:val="FootnoteText1"/>
        <w:rPr>
          <w:lang w:val="fr-CH" w:eastAsia="zh-TW" w:bidi="en-GB"/>
        </w:rPr>
      </w:pPr>
      <w:r>
        <w:rPr>
          <w:rFonts w:ascii="Traditional Arabic"/>
          <w:szCs w:val="20"/>
        </w:rPr>
        <w:t>**</w:t>
      </w:r>
      <w:r>
        <w:rPr>
          <w:rtl/>
        </w:rPr>
        <w:tab/>
      </w:r>
      <w:r w:rsidRPr="000C2EE2">
        <w:rPr>
          <w:sz w:val="26"/>
          <w:rtl/>
        </w:rPr>
        <w:t xml:space="preserve">شارك أعضاء اللجنة التالية أسماؤهم في دراسة هذا البلاغ: عياض بن عاشور، وعارف بلقان، وأحمد أمين فتح الله، وكريستوف </w:t>
      </w:r>
      <w:proofErr w:type="spellStart"/>
      <w:r w:rsidRPr="000C2EE2">
        <w:rPr>
          <w:sz w:val="26"/>
          <w:rtl/>
        </w:rPr>
        <w:t>هاينس</w:t>
      </w:r>
      <w:proofErr w:type="spellEnd"/>
      <w:r w:rsidRPr="000C2EE2">
        <w:rPr>
          <w:sz w:val="26"/>
          <w:rtl/>
        </w:rPr>
        <w:t xml:space="preserve">، </w:t>
      </w:r>
      <w:proofErr w:type="spellStart"/>
      <w:r w:rsidRPr="000C2EE2">
        <w:rPr>
          <w:sz w:val="26"/>
          <w:rtl/>
        </w:rPr>
        <w:t>وباماريم</w:t>
      </w:r>
      <w:proofErr w:type="spellEnd"/>
      <w:r w:rsidRPr="000C2EE2">
        <w:rPr>
          <w:sz w:val="26"/>
          <w:rtl/>
        </w:rPr>
        <w:t xml:space="preserve"> كويتا، </w:t>
      </w:r>
      <w:proofErr w:type="spellStart"/>
      <w:r w:rsidRPr="000C2EE2">
        <w:rPr>
          <w:sz w:val="26"/>
          <w:rtl/>
        </w:rPr>
        <w:t>ومارسيا</w:t>
      </w:r>
      <w:proofErr w:type="spellEnd"/>
      <w:r w:rsidRPr="000C2EE2">
        <w:rPr>
          <w:sz w:val="26"/>
          <w:rtl/>
        </w:rPr>
        <w:t xml:space="preserve"> ف. ج. كران، </w:t>
      </w:r>
      <w:proofErr w:type="spellStart"/>
      <w:r w:rsidRPr="000C2EE2">
        <w:rPr>
          <w:sz w:val="26"/>
          <w:rtl/>
        </w:rPr>
        <w:t>ودنكان</w:t>
      </w:r>
      <w:proofErr w:type="spellEnd"/>
      <w:r w:rsidRPr="000C2EE2">
        <w:rPr>
          <w:sz w:val="26"/>
          <w:rtl/>
        </w:rPr>
        <w:t xml:space="preserve"> </w:t>
      </w:r>
      <w:proofErr w:type="spellStart"/>
      <w:r w:rsidRPr="000C2EE2">
        <w:rPr>
          <w:sz w:val="26"/>
          <w:rtl/>
        </w:rPr>
        <w:t>لاكي</w:t>
      </w:r>
      <w:proofErr w:type="spellEnd"/>
      <w:r w:rsidRPr="000C2EE2">
        <w:rPr>
          <w:sz w:val="26"/>
          <w:rtl/>
        </w:rPr>
        <w:t xml:space="preserve"> </w:t>
      </w:r>
      <w:proofErr w:type="spellStart"/>
      <w:r w:rsidRPr="000C2EE2">
        <w:rPr>
          <w:sz w:val="26"/>
          <w:rtl/>
        </w:rPr>
        <w:t>موهوموزا</w:t>
      </w:r>
      <w:proofErr w:type="spellEnd"/>
      <w:r w:rsidRPr="000C2EE2">
        <w:rPr>
          <w:sz w:val="26"/>
          <w:rtl/>
        </w:rPr>
        <w:t xml:space="preserve">، وفوتيني </w:t>
      </w:r>
      <w:proofErr w:type="spellStart"/>
      <w:r w:rsidRPr="000C2EE2">
        <w:rPr>
          <w:sz w:val="26"/>
          <w:rtl/>
        </w:rPr>
        <w:t>بازارتسيس</w:t>
      </w:r>
      <w:proofErr w:type="spellEnd"/>
      <w:r w:rsidRPr="000C2EE2">
        <w:rPr>
          <w:sz w:val="26"/>
          <w:rtl/>
        </w:rPr>
        <w:t xml:space="preserve">، </w:t>
      </w:r>
      <w:proofErr w:type="spellStart"/>
      <w:r w:rsidRPr="000C2EE2">
        <w:rPr>
          <w:sz w:val="26"/>
          <w:rtl/>
        </w:rPr>
        <w:t>وهيرنان</w:t>
      </w:r>
      <w:proofErr w:type="spellEnd"/>
      <w:r w:rsidRPr="000C2EE2">
        <w:rPr>
          <w:sz w:val="26"/>
          <w:rtl/>
        </w:rPr>
        <w:t xml:space="preserve"> </w:t>
      </w:r>
      <w:proofErr w:type="spellStart"/>
      <w:r w:rsidRPr="000C2EE2">
        <w:rPr>
          <w:sz w:val="26"/>
          <w:rtl/>
        </w:rPr>
        <w:t>كيزادا</w:t>
      </w:r>
      <w:proofErr w:type="spellEnd"/>
      <w:r w:rsidRPr="000C2EE2">
        <w:rPr>
          <w:sz w:val="26"/>
          <w:rtl/>
        </w:rPr>
        <w:t xml:space="preserve"> </w:t>
      </w:r>
      <w:proofErr w:type="spellStart"/>
      <w:r w:rsidRPr="000C2EE2">
        <w:rPr>
          <w:sz w:val="26"/>
          <w:rtl/>
        </w:rPr>
        <w:t>كابريرا</w:t>
      </w:r>
      <w:proofErr w:type="spellEnd"/>
      <w:r w:rsidRPr="000C2EE2">
        <w:rPr>
          <w:sz w:val="26"/>
          <w:rtl/>
        </w:rPr>
        <w:t xml:space="preserve">، </w:t>
      </w:r>
      <w:proofErr w:type="spellStart"/>
      <w:r w:rsidRPr="000C2EE2">
        <w:rPr>
          <w:sz w:val="26"/>
          <w:rtl/>
        </w:rPr>
        <w:t>وفاسيلكا</w:t>
      </w:r>
      <w:proofErr w:type="spellEnd"/>
      <w:r w:rsidRPr="000C2EE2">
        <w:rPr>
          <w:sz w:val="26"/>
          <w:rtl/>
        </w:rPr>
        <w:t xml:space="preserve"> </w:t>
      </w:r>
      <w:proofErr w:type="spellStart"/>
      <w:r w:rsidRPr="000C2EE2">
        <w:rPr>
          <w:sz w:val="26"/>
          <w:rtl/>
        </w:rPr>
        <w:t>سانسين</w:t>
      </w:r>
      <w:proofErr w:type="spellEnd"/>
      <w:r w:rsidRPr="000C2EE2">
        <w:rPr>
          <w:sz w:val="26"/>
          <w:rtl/>
        </w:rPr>
        <w:t xml:space="preserve">، وخوسيه مانويل سانتوس </w:t>
      </w:r>
      <w:proofErr w:type="spellStart"/>
      <w:r w:rsidRPr="000C2EE2">
        <w:rPr>
          <w:sz w:val="26"/>
          <w:rtl/>
        </w:rPr>
        <w:t>بايس</w:t>
      </w:r>
      <w:proofErr w:type="spellEnd"/>
      <w:r w:rsidRPr="000C2EE2">
        <w:rPr>
          <w:sz w:val="26"/>
          <w:rtl/>
        </w:rPr>
        <w:t xml:space="preserve">، ويوفال </w:t>
      </w:r>
      <w:proofErr w:type="spellStart"/>
      <w:r w:rsidRPr="000C2EE2">
        <w:rPr>
          <w:sz w:val="26"/>
          <w:rtl/>
        </w:rPr>
        <w:t>شاني</w:t>
      </w:r>
      <w:proofErr w:type="spellEnd"/>
      <w:r w:rsidRPr="000C2EE2">
        <w:rPr>
          <w:sz w:val="26"/>
          <w:rtl/>
        </w:rPr>
        <w:t xml:space="preserve">، وإيلين </w:t>
      </w:r>
      <w:proofErr w:type="spellStart"/>
      <w:r w:rsidRPr="000C2EE2">
        <w:rPr>
          <w:sz w:val="26"/>
          <w:rtl/>
        </w:rPr>
        <w:t>تيغرودجا</w:t>
      </w:r>
      <w:proofErr w:type="spellEnd"/>
      <w:r w:rsidRPr="000C2EE2">
        <w:rPr>
          <w:sz w:val="26"/>
          <w:rtl/>
        </w:rPr>
        <w:t xml:space="preserve">، وأندرياس </w:t>
      </w:r>
      <w:proofErr w:type="spellStart"/>
      <w:r w:rsidRPr="000C2EE2">
        <w:rPr>
          <w:sz w:val="26"/>
          <w:rtl/>
        </w:rPr>
        <w:t>زيمرمان</w:t>
      </w:r>
      <w:proofErr w:type="spellEnd"/>
      <w:r w:rsidRPr="000C2EE2">
        <w:rPr>
          <w:sz w:val="26"/>
          <w:rtl/>
        </w:rPr>
        <w:t xml:space="preserve">، </w:t>
      </w:r>
      <w:proofErr w:type="spellStart"/>
      <w:r w:rsidRPr="000C2EE2">
        <w:rPr>
          <w:sz w:val="26"/>
          <w:rtl/>
        </w:rPr>
        <w:t>وجنتيان</w:t>
      </w:r>
      <w:proofErr w:type="spellEnd"/>
      <w:r w:rsidRPr="000C2EE2">
        <w:rPr>
          <w:sz w:val="26"/>
          <w:rtl/>
        </w:rPr>
        <w:t xml:space="preserve"> </w:t>
      </w:r>
      <w:proofErr w:type="spellStart"/>
      <w:r w:rsidRPr="000C2EE2">
        <w:rPr>
          <w:sz w:val="26"/>
          <w:rtl/>
        </w:rPr>
        <w:t>زيبيري</w:t>
      </w:r>
      <w:proofErr w:type="spellEnd"/>
      <w:r w:rsidRPr="000C2EE2">
        <w:rPr>
          <w:sz w:val="26"/>
          <w:rtl/>
        </w:rPr>
        <w:t>.</w:t>
      </w:r>
    </w:p>
  </w:footnote>
  <w:footnote w:id="3">
    <w:p w14:paraId="7F88DD2E" w14:textId="22562497" w:rsidR="00992398" w:rsidRPr="008379B9"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في تلك الليلة، ألقي القبض على </w:t>
      </w:r>
      <w:r w:rsidRPr="00160F80">
        <w:rPr>
          <w:szCs w:val="18"/>
          <w:rtl/>
        </w:rPr>
        <w:t>11</w:t>
      </w:r>
      <w:r>
        <w:rPr>
          <w:rtl/>
        </w:rPr>
        <w:t xml:space="preserve"> شخصا</w:t>
      </w:r>
      <w:r w:rsidR="00177A6F">
        <w:rPr>
          <w:rFonts w:hint="cs"/>
          <w:rtl/>
        </w:rPr>
        <w:t>ً</w:t>
      </w:r>
      <w:r>
        <w:rPr>
          <w:rtl/>
        </w:rPr>
        <w:t xml:space="preserve"> آخرين من الحي، من بينهم صديقان للأبناء بن جاعل.</w:t>
      </w:r>
    </w:p>
  </w:footnote>
  <w:footnote w:id="4">
    <w:p w14:paraId="78AB6613" w14:textId="098D6AC5"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أفاد مروان بن جاعل بتعرضه للتعذيب، لكن القاضي لم يتخذ أي خطوة للتحقيق في هذه الادعاءات.</w:t>
      </w:r>
    </w:p>
  </w:footnote>
  <w:footnote w:id="5">
    <w:p w14:paraId="60CAB238" w14:textId="1DFF55C7"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في </w:t>
      </w:r>
      <w:r w:rsidRPr="00160F80">
        <w:rPr>
          <w:szCs w:val="18"/>
          <w:rtl/>
        </w:rPr>
        <w:t>17</w:t>
      </w:r>
      <w:r>
        <w:rPr>
          <w:rtl/>
        </w:rPr>
        <w:t xml:space="preserve"> تشرين الثاني/نوفمبر </w:t>
      </w:r>
      <w:r w:rsidRPr="00160F80">
        <w:rPr>
          <w:szCs w:val="18"/>
          <w:rtl/>
        </w:rPr>
        <w:t>1996</w:t>
      </w:r>
      <w:r>
        <w:rPr>
          <w:rtl/>
        </w:rPr>
        <w:t xml:space="preserve">، حوكم مروان بن جاعل أمام محكمة الجنايات في محكمة الجزائر العاصمة بتهمة "الانتماء إلى جماعة إرهابية مسلحة تهدد أمن الدولة" والسرقة. ورغم إصرار مروان على براءته، حُكم عليه بالسجن لمدة خمس سنوات. وفي </w:t>
      </w:r>
      <w:r w:rsidRPr="00160F80">
        <w:rPr>
          <w:szCs w:val="18"/>
          <w:rtl/>
        </w:rPr>
        <w:t>22</w:t>
      </w:r>
      <w:r>
        <w:rPr>
          <w:rtl/>
        </w:rPr>
        <w:t xml:space="preserve"> نيسان/أبريل </w:t>
      </w:r>
      <w:r w:rsidRPr="00160F80">
        <w:rPr>
          <w:szCs w:val="18"/>
          <w:rtl/>
        </w:rPr>
        <w:t>1999</w:t>
      </w:r>
      <w:r>
        <w:rPr>
          <w:rtl/>
        </w:rPr>
        <w:t xml:space="preserve"> برأته المحكمة العليا في الجزائر العاصمة بعد طعنه بالنقض في الحكم المذكور. وقدم شهادة احتجاز في سجن </w:t>
      </w:r>
      <w:proofErr w:type="spellStart"/>
      <w:r>
        <w:rPr>
          <w:rtl/>
        </w:rPr>
        <w:t>سركاجي</w:t>
      </w:r>
      <w:proofErr w:type="spellEnd"/>
      <w:r>
        <w:rPr>
          <w:rtl/>
        </w:rPr>
        <w:t xml:space="preserve"> مؤرخة </w:t>
      </w:r>
      <w:r w:rsidRPr="00160F80">
        <w:rPr>
          <w:szCs w:val="18"/>
          <w:rtl/>
        </w:rPr>
        <w:t>4</w:t>
      </w:r>
      <w:r>
        <w:rPr>
          <w:rtl/>
        </w:rPr>
        <w:t xml:space="preserve"> نيسان/أبريل </w:t>
      </w:r>
      <w:r w:rsidRPr="00160F80">
        <w:rPr>
          <w:szCs w:val="18"/>
          <w:rtl/>
        </w:rPr>
        <w:t>2006</w:t>
      </w:r>
      <w:r>
        <w:rPr>
          <w:rtl/>
        </w:rPr>
        <w:t xml:space="preserve">، تثبت الإفراج عنه في </w:t>
      </w:r>
      <w:r w:rsidRPr="00160F80">
        <w:rPr>
          <w:szCs w:val="18"/>
          <w:rtl/>
        </w:rPr>
        <w:t>22</w:t>
      </w:r>
      <w:r>
        <w:rPr>
          <w:rtl/>
        </w:rPr>
        <w:t xml:space="preserve"> نيسان/أبريل </w:t>
      </w:r>
      <w:r w:rsidRPr="00160F80">
        <w:rPr>
          <w:szCs w:val="18"/>
          <w:rtl/>
        </w:rPr>
        <w:t>1999</w:t>
      </w:r>
      <w:r>
        <w:rPr>
          <w:rtl/>
        </w:rPr>
        <w:t>.</w:t>
      </w:r>
    </w:p>
  </w:footnote>
  <w:footnote w:id="6">
    <w:p w14:paraId="68E6A87C" w14:textId="60859D00"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أثار المحامي في مرافعته انتهاك أحكام قانون الإجراءات الجزائية، مبيّناً أن مراد بن جاعل لم يُقدَّم إلى القضاء رغم مضي نحو خمسين يوماً على اعتقاله ولم يتمكن من الاتصال بأسرته أو محاميه.</w:t>
      </w:r>
    </w:p>
  </w:footnote>
  <w:footnote w:id="7">
    <w:p w14:paraId="0A9A6D1F" w14:textId="41699898"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تلقت الأسرة استدعاء آخر من النائب العام لدى محكمة الجزائر العاصمة في </w:t>
      </w:r>
      <w:r w:rsidRPr="00160F80">
        <w:rPr>
          <w:szCs w:val="18"/>
          <w:rtl/>
        </w:rPr>
        <w:t>2</w:t>
      </w:r>
      <w:r>
        <w:rPr>
          <w:rtl/>
        </w:rPr>
        <w:t xml:space="preserve"> أيار/مايو </w:t>
      </w:r>
      <w:r w:rsidRPr="00160F80">
        <w:rPr>
          <w:szCs w:val="18"/>
          <w:rtl/>
        </w:rPr>
        <w:t>1995</w:t>
      </w:r>
      <w:r>
        <w:rPr>
          <w:rtl/>
        </w:rPr>
        <w:t xml:space="preserve">، يتضمن دعوة موجهة إلى مراد لحضور جلسة استماع في </w:t>
      </w:r>
      <w:r w:rsidRPr="00160F80">
        <w:rPr>
          <w:szCs w:val="18"/>
          <w:rtl/>
        </w:rPr>
        <w:t>23</w:t>
      </w:r>
      <w:r>
        <w:rPr>
          <w:rtl/>
        </w:rPr>
        <w:t xml:space="preserve"> أيار/مايو </w:t>
      </w:r>
      <w:r w:rsidRPr="00160F80">
        <w:rPr>
          <w:szCs w:val="18"/>
          <w:rtl/>
        </w:rPr>
        <w:t>1995</w:t>
      </w:r>
      <w:r>
        <w:rPr>
          <w:rtl/>
        </w:rPr>
        <w:t>.</w:t>
      </w:r>
    </w:p>
  </w:footnote>
  <w:footnote w:id="8">
    <w:p w14:paraId="6F540186" w14:textId="202998EA"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وفي العام نفسه، أعلن الضابط المكلف بقضايا المفقودين في كتيبة الدرك في باب جديد أنه لم يعثر على أي معلومات عن مراد بن جاعل.</w:t>
      </w:r>
    </w:p>
  </w:footnote>
  <w:footnote w:id="9">
    <w:p w14:paraId="32F54D57" w14:textId="77B391C5" w:rsidR="00992398" w:rsidRPr="00160F80" w:rsidRDefault="00992398" w:rsidP="00160F80">
      <w:pPr>
        <w:pStyle w:val="FootnoteText1"/>
        <w:rPr>
          <w:lang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مؤسسة حكومية مكلفة بالبحث في حالات الاختفاء التي تُبلغ بها. وفي </w:t>
      </w:r>
      <w:r w:rsidRPr="00160F80">
        <w:rPr>
          <w:szCs w:val="18"/>
          <w:rtl/>
        </w:rPr>
        <w:t>19</w:t>
      </w:r>
      <w:r>
        <w:rPr>
          <w:rtl/>
        </w:rPr>
        <w:t xml:space="preserve"> شباط/فبراير </w:t>
      </w:r>
      <w:r w:rsidRPr="00160F80">
        <w:rPr>
          <w:szCs w:val="18"/>
          <w:rtl/>
        </w:rPr>
        <w:t>2003</w:t>
      </w:r>
      <w:r>
        <w:rPr>
          <w:rtl/>
        </w:rPr>
        <w:t xml:space="preserve">، تلقت مليكة بن جاعل من هذه المؤسسة وثيقة تتعلق بوقائع ذات صلة بمراد بن جاعل كانت قد حدثت قبل اختفائه. وهذه الوثيقة هي الرد الوحيد الذي تلقته. وفي </w:t>
      </w:r>
      <w:r w:rsidRPr="00160F80">
        <w:rPr>
          <w:szCs w:val="18"/>
          <w:rtl/>
        </w:rPr>
        <w:t>20</w:t>
      </w:r>
      <w:r>
        <w:rPr>
          <w:rtl/>
        </w:rPr>
        <w:t xml:space="preserve"> آذار/مارس </w:t>
      </w:r>
      <w:r w:rsidRPr="00160F80">
        <w:rPr>
          <w:szCs w:val="18"/>
          <w:rtl/>
        </w:rPr>
        <w:t>2003</w:t>
      </w:r>
      <w:r>
        <w:rPr>
          <w:rtl/>
        </w:rPr>
        <w:t xml:space="preserve">، بعثت برسالة جديدة إلى المؤسسة، أكدت فيها من جديد أن ابنها فُقد منذ أن ألقى القبض عليه عناصر تابعون لدائرة الاستعلام والأمن في أيار/مايو </w:t>
      </w:r>
      <w:r w:rsidRPr="00160F80">
        <w:rPr>
          <w:szCs w:val="18"/>
          <w:rtl/>
        </w:rPr>
        <w:t>1994</w:t>
      </w:r>
      <w:r>
        <w:rPr>
          <w:rtl/>
        </w:rPr>
        <w:t>.</w:t>
      </w:r>
    </w:p>
  </w:footnote>
  <w:footnote w:id="10">
    <w:p w14:paraId="77528961" w14:textId="5C0D5696"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تبعاً لهذه الطلبات، تلقت مليكة بن جاعل خطاباً من رئيس الحكومة في </w:t>
      </w:r>
      <w:r w:rsidRPr="00160F80">
        <w:rPr>
          <w:szCs w:val="18"/>
          <w:rtl/>
        </w:rPr>
        <w:t>9</w:t>
      </w:r>
      <w:r>
        <w:rPr>
          <w:rtl/>
        </w:rPr>
        <w:t xml:space="preserve"> كانون الأول/ديسمبر </w:t>
      </w:r>
      <w:r w:rsidRPr="00160F80">
        <w:rPr>
          <w:szCs w:val="18"/>
          <w:rtl/>
        </w:rPr>
        <w:t>2006</w:t>
      </w:r>
      <w:r>
        <w:rPr>
          <w:rtl/>
        </w:rPr>
        <w:t xml:space="preserve"> يبيّن فيه أن ملف ابنها قيد الدراسة من قبل اللجنة الاستشارية الوطنية لتعزيز حقوق الإنسان وحمايتها. وفي </w:t>
      </w:r>
      <w:r w:rsidRPr="00160F80">
        <w:rPr>
          <w:szCs w:val="18"/>
          <w:rtl/>
        </w:rPr>
        <w:t>27</w:t>
      </w:r>
      <w:r>
        <w:rPr>
          <w:rtl/>
        </w:rPr>
        <w:t xml:space="preserve"> كانون الأول/ديسمبر </w:t>
      </w:r>
      <w:r w:rsidRPr="00160F80">
        <w:rPr>
          <w:szCs w:val="18"/>
          <w:rtl/>
        </w:rPr>
        <w:t>2006</w:t>
      </w:r>
      <w:r>
        <w:rPr>
          <w:rtl/>
        </w:rPr>
        <w:t>، تلقت رسالة من ديوان رئاسة الجمهورية تنصحها باللجوء إلى المحكمة المختصة في مكان إقامتها. ويُشار إلى أنها قامت بهذه المساعي في السابق، ولكن دون جدوى.</w:t>
      </w:r>
    </w:p>
  </w:footnote>
  <w:footnote w:id="11">
    <w:p w14:paraId="37413506" w14:textId="5A622D5A"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أُلقي بمروان بن جاعل على الأرض وتعرض للركل وللضرب بقضيب حديدي. وتعرض مراراً وتكراراً للصعق بالكهرباء، كما مورس عليه التعذيب باستخدام طريقة "الخنق بالخرقة المبللة".</w:t>
      </w:r>
    </w:p>
  </w:footnote>
  <w:footnote w:id="12">
    <w:p w14:paraId="3A6196DC" w14:textId="15A7376E"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يستشهد مروان بن جاعل بالاجتهادات السابقة للجنة، بما في ذلك </w:t>
      </w:r>
      <w:r>
        <w:rPr>
          <w:i/>
          <w:iCs/>
          <w:rtl/>
        </w:rPr>
        <w:t>قضية محالي ضد الجزائر</w:t>
      </w:r>
      <w:r>
        <w:rPr>
          <w:rtl/>
        </w:rPr>
        <w:t xml:space="preserve"> </w:t>
      </w:r>
      <w:r>
        <w:rPr>
          <w:rFonts w:ascii="Traditional Arabic"/>
          <w:szCs w:val="20"/>
          <w:rtl/>
        </w:rPr>
        <w:t>(</w:t>
      </w:r>
      <w:r w:rsidRPr="00177A6F">
        <w:rPr>
          <w:rFonts w:cs="Times New Roman"/>
          <w:szCs w:val="18"/>
        </w:rPr>
        <w:t>CCPR/C/</w:t>
      </w:r>
      <w:r w:rsidRPr="00177A6F">
        <w:rPr>
          <w:szCs w:val="16"/>
        </w:rPr>
        <w:t>110</w:t>
      </w:r>
      <w:r w:rsidRPr="00177A6F">
        <w:rPr>
          <w:rFonts w:cs="Times New Roman"/>
          <w:szCs w:val="18"/>
        </w:rPr>
        <w:t>/D/</w:t>
      </w:r>
      <w:r w:rsidRPr="00177A6F">
        <w:rPr>
          <w:szCs w:val="16"/>
        </w:rPr>
        <w:t>1900</w:t>
      </w:r>
      <w:r w:rsidRPr="00177A6F">
        <w:rPr>
          <w:rFonts w:cs="Times New Roman"/>
          <w:szCs w:val="18"/>
        </w:rPr>
        <w:t>/</w:t>
      </w:r>
      <w:r w:rsidRPr="00177A6F">
        <w:rPr>
          <w:szCs w:val="16"/>
        </w:rPr>
        <w:t>2009</w:t>
      </w:r>
      <w:r>
        <w:rPr>
          <w:rFonts w:ascii="Traditional Arabic"/>
          <w:szCs w:val="20"/>
          <w:rtl/>
        </w:rPr>
        <w:t>)</w:t>
      </w:r>
      <w:r>
        <w:rPr>
          <w:rtl/>
        </w:rPr>
        <w:t xml:space="preserve"> التي مفادها أن شرط استنفاد سبل الانتصاف الداخلية يُطبق بشكل أكثر مرونة في حالات التهديد والخوف من الانتقام.</w:t>
      </w:r>
    </w:p>
  </w:footnote>
  <w:footnote w:id="13">
    <w:p w14:paraId="03FC2CAB" w14:textId="08C444F4"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انظر، على سبيل المثال، الرأي الفردي المؤيِّد الذي أبداه فابيان </w:t>
      </w:r>
      <w:proofErr w:type="spellStart"/>
      <w:r>
        <w:rPr>
          <w:rtl/>
        </w:rPr>
        <w:t>سالفيولي</w:t>
      </w:r>
      <w:proofErr w:type="spellEnd"/>
      <w:r>
        <w:rPr>
          <w:rtl/>
        </w:rPr>
        <w:t xml:space="preserve"> في </w:t>
      </w:r>
      <w:r>
        <w:rPr>
          <w:i/>
          <w:iCs/>
          <w:rtl/>
        </w:rPr>
        <w:t>قضية جبار وشيهوب ضد الجزائر</w:t>
      </w:r>
      <w:r>
        <w:rPr>
          <w:rtl/>
        </w:rPr>
        <w:t xml:space="preserve"> </w:t>
      </w:r>
      <w:r>
        <w:rPr>
          <w:rFonts w:ascii="Traditional Arabic"/>
          <w:szCs w:val="20"/>
          <w:rtl/>
        </w:rPr>
        <w:t>(</w:t>
      </w:r>
      <w:r w:rsidRPr="0037076D">
        <w:rPr>
          <w:rFonts w:cs="Times New Roman"/>
          <w:szCs w:val="18"/>
        </w:rPr>
        <w:t>CCPR/C/</w:t>
      </w:r>
      <w:r w:rsidRPr="00160F80">
        <w:rPr>
          <w:szCs w:val="18"/>
        </w:rPr>
        <w:t>103</w:t>
      </w:r>
      <w:r w:rsidRPr="0037076D">
        <w:rPr>
          <w:rFonts w:cs="Times New Roman"/>
          <w:szCs w:val="18"/>
        </w:rPr>
        <w:t>/D/</w:t>
      </w:r>
      <w:r w:rsidRPr="00160F80">
        <w:rPr>
          <w:szCs w:val="18"/>
        </w:rPr>
        <w:t>1811</w:t>
      </w:r>
      <w:r w:rsidRPr="0037076D">
        <w:rPr>
          <w:rFonts w:cs="Times New Roman"/>
          <w:szCs w:val="18"/>
        </w:rPr>
        <w:t>/</w:t>
      </w:r>
      <w:r w:rsidRPr="00160F80">
        <w:rPr>
          <w:szCs w:val="18"/>
        </w:rPr>
        <w:t>2008</w:t>
      </w:r>
      <w:r>
        <w:rPr>
          <w:rFonts w:ascii="Traditional Arabic"/>
          <w:szCs w:val="20"/>
          <w:rtl/>
        </w:rPr>
        <w:t>)</w:t>
      </w:r>
      <w:r>
        <w:rPr>
          <w:rtl/>
        </w:rPr>
        <w:t>.</w:t>
      </w:r>
    </w:p>
  </w:footnote>
  <w:footnote w:id="14">
    <w:p w14:paraId="2D5D92C3" w14:textId="0ACF351C"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اللجنة المعنية بحقوق الإنسان، التعليق العام رقم </w:t>
      </w:r>
      <w:r w:rsidRPr="00160F80">
        <w:rPr>
          <w:szCs w:val="18"/>
          <w:rtl/>
        </w:rPr>
        <w:t>31</w:t>
      </w:r>
      <w:r>
        <w:rPr>
          <w:rFonts w:ascii="Traditional Arabic"/>
          <w:szCs w:val="20"/>
          <w:rtl/>
        </w:rPr>
        <w:t>(</w:t>
      </w:r>
      <w:r w:rsidRPr="00160F80">
        <w:rPr>
          <w:szCs w:val="18"/>
          <w:rtl/>
        </w:rPr>
        <w:t>2004</w:t>
      </w:r>
      <w:r>
        <w:rPr>
          <w:rFonts w:ascii="Traditional Arabic"/>
          <w:szCs w:val="20"/>
          <w:rtl/>
        </w:rPr>
        <w:t>)</w:t>
      </w:r>
      <w:r>
        <w:rPr>
          <w:rtl/>
        </w:rPr>
        <w:t xml:space="preserve">، الفقرة </w:t>
      </w:r>
      <w:r w:rsidRPr="00160F80">
        <w:rPr>
          <w:szCs w:val="18"/>
          <w:rtl/>
        </w:rPr>
        <w:t>4</w:t>
      </w:r>
      <w:r>
        <w:rPr>
          <w:rtl/>
        </w:rPr>
        <w:t>.</w:t>
      </w:r>
    </w:p>
  </w:footnote>
  <w:footnote w:id="15">
    <w:p w14:paraId="6DB698DC" w14:textId="02C47330"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37076D">
        <w:rPr>
          <w:rFonts w:cs="Times New Roman"/>
          <w:szCs w:val="18"/>
        </w:rPr>
        <w:t>CCPR/C/DZA/CO/</w:t>
      </w:r>
      <w:r w:rsidRPr="00160F80">
        <w:rPr>
          <w:szCs w:val="18"/>
        </w:rPr>
        <w:t>3</w:t>
      </w:r>
      <w:r>
        <w:rPr>
          <w:rtl/>
        </w:rPr>
        <w:t xml:space="preserve">، الفقرتان </w:t>
      </w:r>
      <w:r w:rsidRPr="00160F80">
        <w:rPr>
          <w:szCs w:val="18"/>
          <w:rtl/>
        </w:rPr>
        <w:t>7</w:t>
      </w:r>
      <w:r>
        <w:rPr>
          <w:rtl/>
        </w:rPr>
        <w:t xml:space="preserve"> </w:t>
      </w:r>
      <w:proofErr w:type="spellStart"/>
      <w:r>
        <w:rPr>
          <w:rtl/>
        </w:rPr>
        <w:t>و</w:t>
      </w:r>
      <w:r w:rsidRPr="00160F80">
        <w:rPr>
          <w:szCs w:val="18"/>
          <w:rtl/>
        </w:rPr>
        <w:t>8</w:t>
      </w:r>
      <w:proofErr w:type="spellEnd"/>
      <w:r>
        <w:rPr>
          <w:rtl/>
        </w:rPr>
        <w:t>.</w:t>
      </w:r>
    </w:p>
  </w:footnote>
  <w:footnote w:id="16">
    <w:p w14:paraId="19FBF1B8" w14:textId="4D96BDF8"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اللجنة المعنية بحقوق الإنسان، التعليق العام رقم </w:t>
      </w:r>
      <w:r w:rsidRPr="00160F80">
        <w:rPr>
          <w:szCs w:val="18"/>
          <w:rtl/>
        </w:rPr>
        <w:t>31</w:t>
      </w:r>
      <w:r>
        <w:rPr>
          <w:rtl/>
        </w:rPr>
        <w:t xml:space="preserve">، الفقرة </w:t>
      </w:r>
      <w:r w:rsidRPr="00160F80">
        <w:rPr>
          <w:szCs w:val="18"/>
          <w:rtl/>
        </w:rPr>
        <w:t>16</w:t>
      </w:r>
      <w:r>
        <w:rPr>
          <w:rtl/>
        </w:rPr>
        <w:t>.</w:t>
      </w:r>
    </w:p>
  </w:footnote>
  <w:footnote w:id="17">
    <w:p w14:paraId="20D62402" w14:textId="1A5282AC"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9311BE">
        <w:rPr>
          <w:rFonts w:cs="Times New Roman"/>
          <w:szCs w:val="18"/>
        </w:rPr>
        <w:t>CCPR/C/DZA/CO/</w:t>
      </w:r>
      <w:r w:rsidRPr="00160F80">
        <w:rPr>
          <w:szCs w:val="18"/>
        </w:rPr>
        <w:t>3</w:t>
      </w:r>
      <w:r>
        <w:rPr>
          <w:rtl/>
        </w:rPr>
        <w:t>، الفقرة</w:t>
      </w:r>
      <w:r>
        <w:rPr>
          <w:rFonts w:ascii="Traditional Arabic"/>
          <w:szCs w:val="20"/>
          <w:rtl/>
        </w:rPr>
        <w:t xml:space="preserve"> </w:t>
      </w:r>
      <w:r w:rsidRPr="00160F80">
        <w:rPr>
          <w:szCs w:val="18"/>
          <w:rtl/>
        </w:rPr>
        <w:t>12</w:t>
      </w:r>
      <w:r>
        <w:rPr>
          <w:rFonts w:ascii="Traditional Arabic"/>
          <w:szCs w:val="20"/>
          <w:rtl/>
        </w:rPr>
        <w:t>.</w:t>
      </w:r>
    </w:p>
  </w:footnote>
  <w:footnote w:id="18">
    <w:p w14:paraId="2EDFE6BD" w14:textId="3E59F0B8"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9311BE">
        <w:rPr>
          <w:rFonts w:cs="Times New Roman"/>
          <w:szCs w:val="18"/>
        </w:rPr>
        <w:t>CCPR/C/</w:t>
      </w:r>
      <w:r w:rsidRPr="00160F80">
        <w:rPr>
          <w:szCs w:val="18"/>
        </w:rPr>
        <w:t>79</w:t>
      </w:r>
      <w:r w:rsidRPr="009311BE">
        <w:rPr>
          <w:rFonts w:cs="Times New Roman"/>
          <w:szCs w:val="18"/>
        </w:rPr>
        <w:t>/</w:t>
      </w:r>
      <w:proofErr w:type="spellStart"/>
      <w:r w:rsidRPr="009311BE">
        <w:rPr>
          <w:rFonts w:cs="Times New Roman"/>
          <w:szCs w:val="18"/>
        </w:rPr>
        <w:t>Add.</w:t>
      </w:r>
      <w:r w:rsidRPr="00160F80">
        <w:rPr>
          <w:szCs w:val="18"/>
        </w:rPr>
        <w:t>95</w:t>
      </w:r>
      <w:proofErr w:type="spellEnd"/>
      <w:r>
        <w:rPr>
          <w:rtl/>
        </w:rPr>
        <w:t xml:space="preserve">، الفقرة </w:t>
      </w:r>
      <w:r w:rsidRPr="00160F80">
        <w:rPr>
          <w:szCs w:val="18"/>
          <w:rtl/>
        </w:rPr>
        <w:t>10</w:t>
      </w:r>
      <w:r>
        <w:rPr>
          <w:rtl/>
        </w:rPr>
        <w:t>.</w:t>
      </w:r>
    </w:p>
  </w:footnote>
  <w:footnote w:id="19">
    <w:p w14:paraId="5DF95E0E" w14:textId="4FF4415A"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C272CC">
        <w:rPr>
          <w:i/>
          <w:iCs/>
          <w:rtl/>
        </w:rPr>
        <w:t>قضية مزين ضد الجزائر</w:t>
      </w:r>
      <w:r>
        <w:rPr>
          <w:rtl/>
        </w:rPr>
        <w:t xml:space="preserve"> </w:t>
      </w:r>
      <w:r>
        <w:rPr>
          <w:rFonts w:ascii="Traditional Arabic"/>
          <w:szCs w:val="20"/>
          <w:rtl/>
        </w:rPr>
        <w:t>(</w:t>
      </w:r>
      <w:r w:rsidRPr="009311BE">
        <w:rPr>
          <w:rFonts w:cs="Times New Roman"/>
          <w:szCs w:val="18"/>
        </w:rPr>
        <w:t>CCPR/C/</w:t>
      </w:r>
      <w:r w:rsidRPr="00160F80">
        <w:rPr>
          <w:szCs w:val="18"/>
        </w:rPr>
        <w:t>106</w:t>
      </w:r>
      <w:r w:rsidRPr="009311BE">
        <w:rPr>
          <w:rFonts w:cs="Times New Roman"/>
          <w:szCs w:val="18"/>
        </w:rPr>
        <w:t>/D/</w:t>
      </w:r>
      <w:r w:rsidRPr="00160F80">
        <w:rPr>
          <w:szCs w:val="18"/>
        </w:rPr>
        <w:t>1779</w:t>
      </w:r>
      <w:r w:rsidRPr="009311BE">
        <w:rPr>
          <w:rFonts w:cs="Times New Roman"/>
          <w:szCs w:val="18"/>
        </w:rPr>
        <w:t>/</w:t>
      </w:r>
      <w:r w:rsidRPr="00160F80">
        <w:rPr>
          <w:szCs w:val="18"/>
        </w:rPr>
        <w:t>2008</w:t>
      </w:r>
      <w:r>
        <w:rPr>
          <w:rFonts w:ascii="Traditional Arabic"/>
          <w:szCs w:val="20"/>
          <w:rtl/>
        </w:rPr>
        <w:t>)</w:t>
      </w:r>
      <w:r>
        <w:rPr>
          <w:rtl/>
        </w:rPr>
        <w:t xml:space="preserve">، الفقرة </w:t>
      </w:r>
      <w:r w:rsidRPr="00160F80">
        <w:rPr>
          <w:szCs w:val="18"/>
          <w:rtl/>
        </w:rPr>
        <w:t>8</w:t>
      </w:r>
      <w:r>
        <w:rPr>
          <w:rFonts w:ascii="Traditional Arabic"/>
          <w:szCs w:val="20"/>
          <w:rtl/>
        </w:rPr>
        <w:t xml:space="preserve">- </w:t>
      </w:r>
      <w:r w:rsidRPr="00160F80">
        <w:rPr>
          <w:szCs w:val="18"/>
          <w:rtl/>
        </w:rPr>
        <w:t>10</w:t>
      </w:r>
      <w:r>
        <w:rPr>
          <w:rtl/>
        </w:rPr>
        <w:t>؛ و</w:t>
      </w:r>
      <w:r w:rsidRPr="00C272CC">
        <w:rPr>
          <w:i/>
          <w:iCs/>
          <w:rtl/>
        </w:rPr>
        <w:t xml:space="preserve">قضية </w:t>
      </w:r>
      <w:proofErr w:type="spellStart"/>
      <w:r w:rsidRPr="00C272CC">
        <w:rPr>
          <w:i/>
          <w:iCs/>
          <w:rtl/>
        </w:rPr>
        <w:t>بوجمعي</w:t>
      </w:r>
      <w:proofErr w:type="spellEnd"/>
      <w:r w:rsidRPr="00C272CC">
        <w:rPr>
          <w:i/>
          <w:iCs/>
          <w:rtl/>
        </w:rPr>
        <w:t xml:space="preserve"> ضد الجزائر </w:t>
      </w:r>
      <w:r>
        <w:rPr>
          <w:rFonts w:ascii="Traditional Arabic"/>
          <w:szCs w:val="20"/>
          <w:rtl/>
        </w:rPr>
        <w:t>(</w:t>
      </w:r>
      <w:r w:rsidRPr="009311BE">
        <w:rPr>
          <w:rFonts w:cs="Times New Roman"/>
          <w:szCs w:val="18"/>
        </w:rPr>
        <w:t>CCPR/C/</w:t>
      </w:r>
      <w:r w:rsidRPr="00160F80">
        <w:rPr>
          <w:szCs w:val="18"/>
        </w:rPr>
        <w:t>107</w:t>
      </w:r>
      <w:r w:rsidRPr="009311BE">
        <w:rPr>
          <w:rFonts w:cs="Times New Roman"/>
          <w:szCs w:val="18"/>
        </w:rPr>
        <w:t>/D/</w:t>
      </w:r>
      <w:r w:rsidRPr="00160F80">
        <w:rPr>
          <w:szCs w:val="18"/>
        </w:rPr>
        <w:t>1791</w:t>
      </w:r>
      <w:r w:rsidRPr="009311BE">
        <w:rPr>
          <w:rFonts w:cs="Times New Roman"/>
          <w:szCs w:val="18"/>
        </w:rPr>
        <w:t>/</w:t>
      </w:r>
      <w:r w:rsidRPr="00160F80">
        <w:rPr>
          <w:szCs w:val="18"/>
        </w:rPr>
        <w:t>2008</w:t>
      </w:r>
      <w:r>
        <w:rPr>
          <w:rFonts w:ascii="Traditional Arabic"/>
          <w:szCs w:val="20"/>
          <w:rtl/>
        </w:rPr>
        <w:t>)</w:t>
      </w:r>
      <w:r>
        <w:rPr>
          <w:rtl/>
        </w:rPr>
        <w:t xml:space="preserve">، الفقرة </w:t>
      </w:r>
      <w:r w:rsidRPr="00160F80">
        <w:rPr>
          <w:szCs w:val="18"/>
          <w:rtl/>
        </w:rPr>
        <w:t>8</w:t>
      </w:r>
      <w:r>
        <w:rPr>
          <w:rFonts w:ascii="Traditional Arabic"/>
          <w:szCs w:val="20"/>
          <w:rtl/>
        </w:rPr>
        <w:t>-</w:t>
      </w:r>
      <w:r w:rsidRPr="00160F80">
        <w:rPr>
          <w:szCs w:val="18"/>
          <w:rtl/>
        </w:rPr>
        <w:t>10</w:t>
      </w:r>
      <w:r>
        <w:rPr>
          <w:rtl/>
        </w:rPr>
        <w:t>.</w:t>
      </w:r>
    </w:p>
  </w:footnote>
  <w:footnote w:id="20">
    <w:p w14:paraId="1771C022" w14:textId="75D9CAF2"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EE69BC">
        <w:rPr>
          <w:i/>
          <w:iCs/>
          <w:rtl/>
        </w:rPr>
        <w:t>قضية مزين ضد الجزائر</w:t>
      </w:r>
      <w:r>
        <w:rPr>
          <w:rtl/>
        </w:rPr>
        <w:t>، الفقرة</w:t>
      </w:r>
      <w:r>
        <w:rPr>
          <w:rFonts w:ascii="Traditional Arabic"/>
          <w:szCs w:val="20"/>
          <w:rtl/>
        </w:rPr>
        <w:t xml:space="preserve"> </w:t>
      </w:r>
      <w:r w:rsidRPr="00160F80">
        <w:rPr>
          <w:szCs w:val="18"/>
          <w:rtl/>
        </w:rPr>
        <w:t>8</w:t>
      </w:r>
      <w:r>
        <w:rPr>
          <w:rFonts w:ascii="Traditional Arabic"/>
          <w:szCs w:val="20"/>
          <w:rtl/>
        </w:rPr>
        <w:t>-</w:t>
      </w:r>
      <w:r w:rsidRPr="00160F80">
        <w:rPr>
          <w:szCs w:val="18"/>
          <w:rtl/>
        </w:rPr>
        <w:t>3</w:t>
      </w:r>
      <w:r>
        <w:rPr>
          <w:rtl/>
        </w:rPr>
        <w:t>، و</w:t>
      </w:r>
      <w:r w:rsidRPr="00EE69BC">
        <w:rPr>
          <w:i/>
          <w:iCs/>
          <w:rtl/>
        </w:rPr>
        <w:t xml:space="preserve">قضية مجنون ضد الجزائر </w:t>
      </w:r>
      <w:r>
        <w:rPr>
          <w:rFonts w:cs="Times New Roman"/>
          <w:sz w:val="20"/>
          <w:szCs w:val="20"/>
          <w:rtl/>
        </w:rPr>
        <w:t>(</w:t>
      </w:r>
      <w:r w:rsidRPr="00FA698A">
        <w:rPr>
          <w:lang w:val="fr-FR"/>
        </w:rPr>
        <w:t>CCPR/C/</w:t>
      </w:r>
      <w:r w:rsidRPr="00160F80">
        <w:rPr>
          <w:szCs w:val="18"/>
          <w:lang w:val="fr-FR"/>
        </w:rPr>
        <w:t>87</w:t>
      </w:r>
      <w:r w:rsidRPr="00FA698A">
        <w:rPr>
          <w:lang w:val="fr-FR"/>
        </w:rPr>
        <w:t>/D/</w:t>
      </w:r>
      <w:r w:rsidRPr="00160F80">
        <w:rPr>
          <w:szCs w:val="18"/>
          <w:lang w:val="fr-FR"/>
        </w:rPr>
        <w:t>1297</w:t>
      </w:r>
      <w:r w:rsidRPr="00FA698A">
        <w:rPr>
          <w:lang w:val="fr-FR"/>
        </w:rPr>
        <w:t>/</w:t>
      </w:r>
      <w:r w:rsidRPr="00160F80">
        <w:rPr>
          <w:szCs w:val="18"/>
          <w:lang w:val="fr-FR"/>
        </w:rPr>
        <w:t>2004</w:t>
      </w:r>
      <w:r>
        <w:rPr>
          <w:rFonts w:ascii="Traditional Arabic"/>
          <w:szCs w:val="20"/>
          <w:rtl/>
        </w:rPr>
        <w:t>)</w:t>
      </w:r>
      <w:r>
        <w:rPr>
          <w:rtl/>
        </w:rPr>
        <w:t>، الفقرة</w:t>
      </w:r>
      <w:r>
        <w:rPr>
          <w:rFonts w:ascii="Traditional Arabic"/>
          <w:szCs w:val="20"/>
          <w:rtl/>
        </w:rPr>
        <w:t xml:space="preserve"> </w:t>
      </w:r>
      <w:r w:rsidRPr="00160F80">
        <w:rPr>
          <w:szCs w:val="18"/>
          <w:rtl/>
        </w:rPr>
        <w:t>8</w:t>
      </w:r>
      <w:r>
        <w:rPr>
          <w:rFonts w:ascii="Traditional Arabic"/>
          <w:szCs w:val="20"/>
          <w:rtl/>
        </w:rPr>
        <w:t>-</w:t>
      </w:r>
      <w:r w:rsidRPr="00160F80">
        <w:rPr>
          <w:szCs w:val="18"/>
          <w:rtl/>
        </w:rPr>
        <w:t>3</w:t>
      </w:r>
      <w:r>
        <w:rPr>
          <w:rFonts w:ascii="Traditional Arabic"/>
          <w:szCs w:val="20"/>
          <w:rtl/>
        </w:rPr>
        <w:t>.</w:t>
      </w:r>
    </w:p>
  </w:footnote>
  <w:footnote w:id="21">
    <w:p w14:paraId="5267C07D" w14:textId="20594376"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انظر، على سبيل المثال، </w:t>
      </w:r>
      <w:r>
        <w:rPr>
          <w:i/>
          <w:iCs/>
          <w:rtl/>
        </w:rPr>
        <w:t xml:space="preserve">قضية </w:t>
      </w:r>
      <w:proofErr w:type="spellStart"/>
      <w:r>
        <w:rPr>
          <w:i/>
          <w:iCs/>
          <w:rtl/>
        </w:rPr>
        <w:t>تارو</w:t>
      </w:r>
      <w:proofErr w:type="spellEnd"/>
      <w:r>
        <w:rPr>
          <w:i/>
          <w:iCs/>
          <w:rtl/>
        </w:rPr>
        <w:t xml:space="preserve"> وآخرون ضد نيبال</w:t>
      </w:r>
      <w:r>
        <w:rPr>
          <w:rtl/>
        </w:rPr>
        <w:t xml:space="preserve"> </w:t>
      </w:r>
      <w:r>
        <w:rPr>
          <w:rFonts w:ascii="Traditional Arabic"/>
          <w:szCs w:val="20"/>
          <w:rtl/>
        </w:rPr>
        <w:t>(</w:t>
      </w:r>
      <w:r w:rsidRPr="00BF48DF">
        <w:rPr>
          <w:rFonts w:cs="Times New Roman"/>
          <w:szCs w:val="18"/>
        </w:rPr>
        <w:t>CCPR/C/</w:t>
      </w:r>
      <w:r w:rsidRPr="00160F80">
        <w:rPr>
          <w:szCs w:val="18"/>
        </w:rPr>
        <w:t>114</w:t>
      </w:r>
      <w:r w:rsidRPr="00BF48DF">
        <w:rPr>
          <w:rFonts w:cs="Times New Roman"/>
          <w:szCs w:val="18"/>
        </w:rPr>
        <w:t>/D/</w:t>
      </w:r>
      <w:r w:rsidRPr="00160F80">
        <w:rPr>
          <w:szCs w:val="18"/>
        </w:rPr>
        <w:t>2038</w:t>
      </w:r>
      <w:r w:rsidRPr="00BF48DF">
        <w:rPr>
          <w:rFonts w:cs="Times New Roman"/>
          <w:szCs w:val="18"/>
        </w:rPr>
        <w:t>/</w:t>
      </w:r>
      <w:r w:rsidRPr="00160F80">
        <w:rPr>
          <w:szCs w:val="18"/>
        </w:rPr>
        <w:t>2011</w:t>
      </w:r>
      <w:r>
        <w:rPr>
          <w:rFonts w:ascii="Traditional Arabic"/>
          <w:szCs w:val="20"/>
          <w:rtl/>
        </w:rPr>
        <w:t>)</w:t>
      </w:r>
      <w:r>
        <w:rPr>
          <w:rtl/>
        </w:rPr>
        <w:t xml:space="preserve">، الفقرة، </w:t>
      </w:r>
      <w:r w:rsidRPr="00160F80">
        <w:rPr>
          <w:szCs w:val="18"/>
          <w:rtl/>
        </w:rPr>
        <w:t>9</w:t>
      </w:r>
      <w:r>
        <w:rPr>
          <w:rFonts w:ascii="Traditional Arabic"/>
          <w:szCs w:val="20"/>
          <w:rtl/>
        </w:rPr>
        <w:t>-</w:t>
      </w:r>
      <w:r w:rsidRPr="00160F80">
        <w:rPr>
          <w:szCs w:val="18"/>
          <w:rtl/>
        </w:rPr>
        <w:t>2</w:t>
      </w:r>
      <w:r>
        <w:rPr>
          <w:rtl/>
        </w:rPr>
        <w:t>؛ و</w:t>
      </w:r>
      <w:r>
        <w:rPr>
          <w:i/>
          <w:iCs/>
          <w:rtl/>
        </w:rPr>
        <w:t>قضية عماري ضد الجزائر</w:t>
      </w:r>
      <w:r>
        <w:rPr>
          <w:rtl/>
        </w:rPr>
        <w:t xml:space="preserve"> </w:t>
      </w:r>
      <w:r>
        <w:rPr>
          <w:rFonts w:ascii="Traditional Arabic"/>
          <w:szCs w:val="20"/>
          <w:rtl/>
        </w:rPr>
        <w:t>(</w:t>
      </w:r>
      <w:r w:rsidRPr="00BF48DF">
        <w:rPr>
          <w:rFonts w:cs="Times New Roman"/>
          <w:szCs w:val="18"/>
        </w:rPr>
        <w:t>CCPR/C/</w:t>
      </w:r>
      <w:r w:rsidRPr="00160F80">
        <w:rPr>
          <w:szCs w:val="18"/>
        </w:rPr>
        <w:t>112</w:t>
      </w:r>
      <w:r w:rsidRPr="00BF48DF">
        <w:rPr>
          <w:rFonts w:cs="Times New Roman"/>
          <w:szCs w:val="18"/>
        </w:rPr>
        <w:t>/D/</w:t>
      </w:r>
      <w:r w:rsidRPr="00160F80">
        <w:rPr>
          <w:szCs w:val="18"/>
        </w:rPr>
        <w:t>2098</w:t>
      </w:r>
      <w:r w:rsidRPr="00BF48DF">
        <w:rPr>
          <w:rFonts w:cs="Times New Roman"/>
          <w:szCs w:val="18"/>
        </w:rPr>
        <w:t>/</w:t>
      </w:r>
      <w:r w:rsidRPr="00160F80">
        <w:rPr>
          <w:szCs w:val="18"/>
        </w:rPr>
        <w:t>2011</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2</w:t>
      </w:r>
      <w:r>
        <w:rPr>
          <w:rtl/>
        </w:rPr>
        <w:t>؛ و</w:t>
      </w:r>
      <w:r>
        <w:rPr>
          <w:i/>
          <w:iCs/>
          <w:rtl/>
        </w:rPr>
        <w:t>قضية زاير ضد الجزائر</w:t>
      </w:r>
      <w:r>
        <w:rPr>
          <w:rtl/>
        </w:rPr>
        <w:t xml:space="preserve"> </w:t>
      </w:r>
      <w:r>
        <w:rPr>
          <w:rFonts w:ascii="Traditional Arabic"/>
          <w:szCs w:val="20"/>
          <w:rtl/>
        </w:rPr>
        <w:t>(</w:t>
      </w:r>
      <w:r w:rsidRPr="00BF48DF">
        <w:rPr>
          <w:rFonts w:cs="Times New Roman"/>
          <w:szCs w:val="18"/>
        </w:rPr>
        <w:t>CCPR/C/</w:t>
      </w:r>
      <w:r w:rsidRPr="00160F80">
        <w:rPr>
          <w:szCs w:val="18"/>
        </w:rPr>
        <w:t>112</w:t>
      </w:r>
      <w:r w:rsidRPr="00BF48DF">
        <w:rPr>
          <w:rFonts w:cs="Times New Roman"/>
          <w:szCs w:val="18"/>
        </w:rPr>
        <w:t>/D/</w:t>
      </w:r>
      <w:r w:rsidRPr="00160F80">
        <w:rPr>
          <w:szCs w:val="18"/>
        </w:rPr>
        <w:t>2026</w:t>
      </w:r>
      <w:r w:rsidRPr="00BF48DF">
        <w:rPr>
          <w:rFonts w:cs="Times New Roman"/>
          <w:szCs w:val="18"/>
        </w:rPr>
        <w:t>/</w:t>
      </w:r>
      <w:r w:rsidRPr="00160F80">
        <w:rPr>
          <w:szCs w:val="18"/>
        </w:rPr>
        <w:t>2011</w:t>
      </w:r>
      <w:r>
        <w:rPr>
          <w:rFonts w:ascii="Traditional Arabic"/>
          <w:szCs w:val="20"/>
          <w:rtl/>
        </w:rPr>
        <w:t>)</w:t>
      </w:r>
      <w:r>
        <w:rPr>
          <w:rtl/>
        </w:rPr>
        <w:t xml:space="preserve">، الفقرة </w:t>
      </w:r>
      <w:r w:rsidRPr="00160F80">
        <w:rPr>
          <w:szCs w:val="18"/>
          <w:rtl/>
        </w:rPr>
        <w:t>6</w:t>
      </w:r>
      <w:r>
        <w:rPr>
          <w:rFonts w:ascii="Traditional Arabic"/>
          <w:szCs w:val="20"/>
          <w:rtl/>
        </w:rPr>
        <w:t>-</w:t>
      </w:r>
      <w:r w:rsidRPr="00160F80">
        <w:rPr>
          <w:szCs w:val="18"/>
          <w:rtl/>
        </w:rPr>
        <w:t>2</w:t>
      </w:r>
      <w:r w:rsidR="00242E8F" w:rsidRPr="00242E8F">
        <w:rPr>
          <w:rFonts w:hint="cs"/>
          <w:rtl/>
        </w:rPr>
        <w:t>؛</w:t>
      </w:r>
      <w:r>
        <w:rPr>
          <w:rtl/>
        </w:rPr>
        <w:t xml:space="preserve"> و</w:t>
      </w:r>
      <w:r>
        <w:rPr>
          <w:i/>
          <w:iCs/>
          <w:rtl/>
        </w:rPr>
        <w:t xml:space="preserve">قضية </w:t>
      </w:r>
      <w:proofErr w:type="spellStart"/>
      <w:r>
        <w:rPr>
          <w:i/>
          <w:iCs/>
          <w:rtl/>
        </w:rPr>
        <w:t>ميهوبي</w:t>
      </w:r>
      <w:proofErr w:type="spellEnd"/>
      <w:r>
        <w:rPr>
          <w:i/>
          <w:iCs/>
          <w:rtl/>
        </w:rPr>
        <w:t xml:space="preserve"> ضد الجزائر</w:t>
      </w:r>
      <w:r>
        <w:rPr>
          <w:rtl/>
        </w:rPr>
        <w:t xml:space="preserve"> </w:t>
      </w:r>
      <w:r>
        <w:rPr>
          <w:rFonts w:ascii="Traditional Arabic"/>
          <w:szCs w:val="20"/>
          <w:rtl/>
        </w:rPr>
        <w:t>(</w:t>
      </w:r>
      <w:r w:rsidRPr="00BF48DF">
        <w:rPr>
          <w:rFonts w:cs="Times New Roman"/>
          <w:szCs w:val="18"/>
        </w:rPr>
        <w:t>CCPR/C/</w:t>
      </w:r>
      <w:r w:rsidRPr="00160F80">
        <w:rPr>
          <w:szCs w:val="18"/>
        </w:rPr>
        <w:t>109</w:t>
      </w:r>
      <w:r w:rsidRPr="00BF48DF">
        <w:rPr>
          <w:rFonts w:cs="Times New Roman"/>
          <w:szCs w:val="18"/>
        </w:rPr>
        <w:t>/D/</w:t>
      </w:r>
      <w:r w:rsidRPr="00160F80">
        <w:rPr>
          <w:szCs w:val="18"/>
        </w:rPr>
        <w:t>1874</w:t>
      </w:r>
      <w:r w:rsidRPr="00BF48DF">
        <w:rPr>
          <w:rFonts w:cs="Times New Roman"/>
          <w:szCs w:val="18"/>
        </w:rPr>
        <w:t>/</w:t>
      </w:r>
      <w:r w:rsidRPr="00160F80">
        <w:rPr>
          <w:szCs w:val="18"/>
        </w:rPr>
        <w:t>2009</w:t>
      </w:r>
      <w:r>
        <w:rPr>
          <w:rFonts w:ascii="Traditional Arabic"/>
          <w:szCs w:val="20"/>
          <w:rtl/>
        </w:rPr>
        <w:t>)</w:t>
      </w:r>
      <w:r>
        <w:rPr>
          <w:rtl/>
        </w:rPr>
        <w:t xml:space="preserve">، الفقرة </w:t>
      </w:r>
      <w:r w:rsidRPr="00160F80">
        <w:rPr>
          <w:szCs w:val="18"/>
          <w:rtl/>
        </w:rPr>
        <w:t>6</w:t>
      </w:r>
      <w:r>
        <w:rPr>
          <w:rFonts w:ascii="Traditional Arabic"/>
          <w:szCs w:val="20"/>
          <w:rtl/>
        </w:rPr>
        <w:t>-</w:t>
      </w:r>
      <w:r w:rsidRPr="00160F80">
        <w:rPr>
          <w:szCs w:val="18"/>
          <w:rtl/>
        </w:rPr>
        <w:t>2</w:t>
      </w:r>
      <w:r>
        <w:rPr>
          <w:rtl/>
        </w:rPr>
        <w:t>؛ و</w:t>
      </w:r>
      <w:r>
        <w:rPr>
          <w:i/>
          <w:iCs/>
          <w:rtl/>
        </w:rPr>
        <w:t xml:space="preserve">قضية </w:t>
      </w:r>
      <w:proofErr w:type="spellStart"/>
      <w:r>
        <w:rPr>
          <w:i/>
          <w:iCs/>
          <w:rtl/>
        </w:rPr>
        <w:t>الداقل</w:t>
      </w:r>
      <w:proofErr w:type="spellEnd"/>
      <w:r>
        <w:rPr>
          <w:i/>
          <w:iCs/>
          <w:rtl/>
        </w:rPr>
        <w:t xml:space="preserve"> ضد ليبيا</w:t>
      </w:r>
      <w:r>
        <w:rPr>
          <w:rtl/>
        </w:rPr>
        <w:t xml:space="preserve">، </w:t>
      </w:r>
      <w:r>
        <w:rPr>
          <w:rFonts w:ascii="Traditional Arabic"/>
          <w:szCs w:val="20"/>
          <w:rtl/>
        </w:rPr>
        <w:t>(</w:t>
      </w:r>
      <w:r w:rsidRPr="00BF48DF">
        <w:rPr>
          <w:rFonts w:cs="Times New Roman"/>
          <w:szCs w:val="18"/>
        </w:rPr>
        <w:t>CCPR/C/</w:t>
      </w:r>
      <w:r w:rsidRPr="00160F80">
        <w:rPr>
          <w:szCs w:val="18"/>
        </w:rPr>
        <w:t>111</w:t>
      </w:r>
      <w:r w:rsidRPr="00BF48DF">
        <w:rPr>
          <w:rFonts w:cs="Times New Roman"/>
          <w:szCs w:val="18"/>
        </w:rPr>
        <w:t>/D/</w:t>
      </w:r>
      <w:r w:rsidRPr="00160F80">
        <w:rPr>
          <w:szCs w:val="18"/>
        </w:rPr>
        <w:t>1882</w:t>
      </w:r>
      <w:r w:rsidRPr="00BF48DF">
        <w:rPr>
          <w:rFonts w:cs="Times New Roman"/>
          <w:szCs w:val="18"/>
        </w:rPr>
        <w:t>/</w:t>
      </w:r>
      <w:r w:rsidRPr="00160F80">
        <w:rPr>
          <w:szCs w:val="18"/>
        </w:rPr>
        <w:t>2009</w:t>
      </w:r>
      <w:r>
        <w:rPr>
          <w:rFonts w:ascii="Traditional Arabic"/>
          <w:szCs w:val="20"/>
          <w:rtl/>
        </w:rPr>
        <w:t>)</w:t>
      </w:r>
      <w:r>
        <w:rPr>
          <w:rtl/>
        </w:rPr>
        <w:t xml:space="preserve">، الفقرة </w:t>
      </w:r>
      <w:r w:rsidRPr="00160F80">
        <w:rPr>
          <w:szCs w:val="18"/>
          <w:rtl/>
        </w:rPr>
        <w:t>5</w:t>
      </w:r>
      <w:r>
        <w:rPr>
          <w:rFonts w:ascii="Traditional Arabic"/>
          <w:szCs w:val="20"/>
          <w:rtl/>
        </w:rPr>
        <w:t>-</w:t>
      </w:r>
      <w:r w:rsidRPr="00160F80">
        <w:rPr>
          <w:szCs w:val="18"/>
          <w:rtl/>
        </w:rPr>
        <w:t>2</w:t>
      </w:r>
      <w:r>
        <w:rPr>
          <w:rtl/>
        </w:rPr>
        <w:t>.</w:t>
      </w:r>
    </w:p>
  </w:footnote>
  <w:footnote w:id="22">
    <w:p w14:paraId="6944CA81" w14:textId="016ED12F" w:rsidR="00992398" w:rsidRPr="00160F80" w:rsidRDefault="00992398" w:rsidP="00160F80">
      <w:pPr>
        <w:pStyle w:val="FootnoteText1"/>
        <w:rPr>
          <w:lang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0A7363">
        <w:rPr>
          <w:rFonts w:cs="Times New Roman"/>
          <w:szCs w:val="18"/>
        </w:rPr>
        <w:t>CCPR/C/DZA/CO/</w:t>
      </w:r>
      <w:r w:rsidRPr="00160F80">
        <w:rPr>
          <w:szCs w:val="18"/>
        </w:rPr>
        <w:t>4</w:t>
      </w:r>
      <w:r>
        <w:rPr>
          <w:rtl/>
        </w:rPr>
        <w:t xml:space="preserve">، الفقرتان </w:t>
      </w:r>
      <w:r w:rsidRPr="00160F80">
        <w:rPr>
          <w:szCs w:val="18"/>
          <w:rtl/>
        </w:rPr>
        <w:t>7</w:t>
      </w:r>
      <w:r>
        <w:rPr>
          <w:rtl/>
        </w:rPr>
        <w:t xml:space="preserve"> </w:t>
      </w:r>
      <w:proofErr w:type="spellStart"/>
      <w:r>
        <w:rPr>
          <w:rtl/>
        </w:rPr>
        <w:t>و</w:t>
      </w:r>
      <w:r w:rsidRPr="00160F80">
        <w:rPr>
          <w:szCs w:val="18"/>
          <w:rtl/>
        </w:rPr>
        <w:t>8</w:t>
      </w:r>
      <w:proofErr w:type="spellEnd"/>
      <w:r>
        <w:rPr>
          <w:rtl/>
        </w:rPr>
        <w:t>.</w:t>
      </w:r>
    </w:p>
  </w:footnote>
  <w:footnote w:id="23">
    <w:p w14:paraId="17EAC579" w14:textId="142DBB2F" w:rsidR="00992398" w:rsidRPr="000A7363" w:rsidRDefault="00992398" w:rsidP="00160F80">
      <w:pPr>
        <w:pStyle w:val="FootnoteText1"/>
        <w:rPr>
          <w:lang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 xml:space="preserve">قضية </w:t>
      </w:r>
      <w:proofErr w:type="spellStart"/>
      <w:r>
        <w:rPr>
          <w:i/>
          <w:iCs/>
          <w:rtl/>
        </w:rPr>
        <w:t>بوجمعي</w:t>
      </w:r>
      <w:proofErr w:type="spellEnd"/>
      <w:r>
        <w:rPr>
          <w:i/>
          <w:iCs/>
          <w:rtl/>
        </w:rPr>
        <w:t xml:space="preserve"> ضد الجزائر</w:t>
      </w:r>
      <w:r>
        <w:rPr>
          <w:rtl/>
        </w:rPr>
        <w:t xml:space="preserve">، الفقرة </w:t>
      </w:r>
      <w:r w:rsidRPr="00160F80">
        <w:rPr>
          <w:szCs w:val="18"/>
          <w:rtl/>
        </w:rPr>
        <w:t>7</w:t>
      </w:r>
      <w:r>
        <w:rPr>
          <w:rFonts w:ascii="Traditional Arabic"/>
          <w:szCs w:val="20"/>
          <w:rtl/>
        </w:rPr>
        <w:t>-</w:t>
      </w:r>
      <w:r w:rsidRPr="00160F80">
        <w:rPr>
          <w:szCs w:val="18"/>
          <w:rtl/>
        </w:rPr>
        <w:t>4</w:t>
      </w:r>
      <w:r>
        <w:rPr>
          <w:rFonts w:ascii="Traditional Arabic"/>
          <w:szCs w:val="20"/>
          <w:rtl/>
        </w:rPr>
        <w:t>.</w:t>
      </w:r>
      <w:r>
        <w:rPr>
          <w:rtl/>
        </w:rPr>
        <w:t xml:space="preserve"> و</w:t>
      </w:r>
      <w:r>
        <w:rPr>
          <w:i/>
          <w:iCs/>
          <w:rtl/>
        </w:rPr>
        <w:t>قضية مزين ضد الجزائر</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Pr>
          <w:i/>
          <w:iCs/>
          <w:rtl/>
        </w:rPr>
        <w:t>قضية برزيق ضد الجزائر</w:t>
      </w:r>
      <w:r>
        <w:rPr>
          <w:rtl/>
        </w:rPr>
        <w:t xml:space="preserve"> </w:t>
      </w:r>
      <w:r>
        <w:rPr>
          <w:rFonts w:ascii="Traditional Arabic"/>
          <w:szCs w:val="20"/>
          <w:rtl/>
        </w:rPr>
        <w:t>(</w:t>
      </w:r>
      <w:r w:rsidRPr="000A7363">
        <w:rPr>
          <w:rFonts w:cs="Times New Roman"/>
          <w:szCs w:val="18"/>
        </w:rPr>
        <w:t>CCPR/C/</w:t>
      </w:r>
      <w:r w:rsidRPr="00160F80">
        <w:rPr>
          <w:szCs w:val="18"/>
        </w:rPr>
        <w:t>103</w:t>
      </w:r>
      <w:r w:rsidRPr="000A7363">
        <w:rPr>
          <w:rFonts w:cs="Times New Roman"/>
          <w:szCs w:val="18"/>
        </w:rPr>
        <w:t>/D/</w:t>
      </w:r>
      <w:r w:rsidRPr="00160F80">
        <w:rPr>
          <w:szCs w:val="18"/>
        </w:rPr>
        <w:t>1781</w:t>
      </w:r>
      <w:r w:rsidRPr="000A7363">
        <w:rPr>
          <w:rFonts w:cs="Times New Roman"/>
          <w:szCs w:val="18"/>
        </w:rPr>
        <w:t>/</w:t>
      </w:r>
      <w:r w:rsidRPr="00160F80">
        <w:rPr>
          <w:szCs w:val="18"/>
        </w:rPr>
        <w:t>2008</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Pr>
          <w:i/>
          <w:iCs/>
          <w:rtl/>
        </w:rPr>
        <w:t>قضية خيراني ضد الجزائر</w:t>
      </w:r>
      <w:r>
        <w:rPr>
          <w:rtl/>
        </w:rPr>
        <w:t xml:space="preserve"> </w:t>
      </w:r>
      <w:r w:rsidR="000A7363">
        <w:rPr>
          <w:rFonts w:hint="cs"/>
          <w:rtl/>
        </w:rPr>
        <w:t>(</w:t>
      </w:r>
      <w:r w:rsidRPr="000A7363">
        <w:rPr>
          <w:rFonts w:cs="Times New Roman"/>
          <w:szCs w:val="18"/>
        </w:rPr>
        <w:t>CCPR/C/</w:t>
      </w:r>
      <w:r w:rsidRPr="00160F80">
        <w:rPr>
          <w:szCs w:val="18"/>
        </w:rPr>
        <w:t>104</w:t>
      </w:r>
      <w:r w:rsidRPr="000A7363">
        <w:rPr>
          <w:rFonts w:cs="Times New Roman"/>
          <w:szCs w:val="18"/>
        </w:rPr>
        <w:t>/D/</w:t>
      </w:r>
      <w:r w:rsidRPr="00160F80">
        <w:rPr>
          <w:szCs w:val="18"/>
        </w:rPr>
        <w:t>1905</w:t>
      </w:r>
      <w:r w:rsidRPr="000A7363">
        <w:rPr>
          <w:rFonts w:cs="Times New Roman"/>
          <w:szCs w:val="18"/>
        </w:rPr>
        <w:t>/</w:t>
      </w:r>
      <w:r w:rsidRPr="00160F80">
        <w:rPr>
          <w:szCs w:val="18"/>
        </w:rPr>
        <w:t>2009</w:t>
      </w:r>
      <w:r>
        <w:rPr>
          <w:rtl/>
        </w:rPr>
        <w:t xml:space="preserve"> </w:t>
      </w:r>
      <w:proofErr w:type="spellStart"/>
      <w:r>
        <w:rPr>
          <w:rtl/>
        </w:rPr>
        <w:t>و</w:t>
      </w:r>
      <w:r w:rsidRPr="000A7363">
        <w:rPr>
          <w:rFonts w:cs="Times New Roman"/>
          <w:szCs w:val="18"/>
          <w:rtl/>
        </w:rPr>
        <w:t>Corr.</w:t>
      </w:r>
      <w:r w:rsidRPr="00160F80">
        <w:rPr>
          <w:szCs w:val="18"/>
          <w:rtl/>
        </w:rPr>
        <w:t>1</w:t>
      </w:r>
      <w:proofErr w:type="spellEnd"/>
      <w:r w:rsidR="000A7363">
        <w:rPr>
          <w:rFonts w:hint="cs"/>
          <w:rtl/>
        </w:rPr>
        <w:t>)</w:t>
      </w:r>
      <w:r>
        <w:rPr>
          <w:rtl/>
        </w:rPr>
        <w:t xml:space="preserve">، الفقرة </w:t>
      </w:r>
      <w:r w:rsidRPr="00160F80">
        <w:rPr>
          <w:szCs w:val="18"/>
          <w:rtl/>
        </w:rPr>
        <w:t>6</w:t>
      </w:r>
      <w:r>
        <w:rPr>
          <w:rFonts w:ascii="Traditional Arabic"/>
          <w:szCs w:val="20"/>
          <w:rtl/>
        </w:rPr>
        <w:t>-</w:t>
      </w:r>
      <w:r w:rsidRPr="00160F80">
        <w:rPr>
          <w:szCs w:val="18"/>
          <w:rtl/>
        </w:rPr>
        <w:t>4</w:t>
      </w:r>
      <w:r w:rsidR="000A7363">
        <w:rPr>
          <w:rFonts w:hint="cs"/>
          <w:rtl/>
        </w:rPr>
        <w:t xml:space="preserve">. </w:t>
      </w:r>
    </w:p>
  </w:footnote>
  <w:footnote w:id="24">
    <w:p w14:paraId="342670B1" w14:textId="69D56F50"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0A7363">
        <w:rPr>
          <w:rFonts w:cs="Times New Roman"/>
          <w:szCs w:val="18"/>
        </w:rPr>
        <w:t>CCPR/C/DZA/CO/</w:t>
      </w:r>
      <w:r w:rsidRPr="00160F80">
        <w:rPr>
          <w:szCs w:val="18"/>
        </w:rPr>
        <w:t>3</w:t>
      </w:r>
      <w:r>
        <w:rPr>
          <w:rtl/>
        </w:rPr>
        <w:t xml:space="preserve">، الفقرات </w:t>
      </w:r>
      <w:r w:rsidRPr="00160F80">
        <w:rPr>
          <w:szCs w:val="18"/>
          <w:rtl/>
        </w:rPr>
        <w:t>7</w:t>
      </w:r>
      <w:r>
        <w:rPr>
          <w:rtl/>
        </w:rPr>
        <w:t xml:space="preserve"> </w:t>
      </w:r>
      <w:proofErr w:type="spellStart"/>
      <w:r>
        <w:rPr>
          <w:rtl/>
        </w:rPr>
        <w:t>و</w:t>
      </w:r>
      <w:r w:rsidRPr="00160F80">
        <w:rPr>
          <w:szCs w:val="18"/>
          <w:rtl/>
        </w:rPr>
        <w:t>8</w:t>
      </w:r>
      <w:proofErr w:type="spellEnd"/>
      <w:r>
        <w:rPr>
          <w:rtl/>
        </w:rPr>
        <w:t xml:space="preserve"> </w:t>
      </w:r>
      <w:proofErr w:type="spellStart"/>
      <w:r>
        <w:rPr>
          <w:rtl/>
        </w:rPr>
        <w:t>و</w:t>
      </w:r>
      <w:r w:rsidRPr="00160F80">
        <w:rPr>
          <w:szCs w:val="18"/>
          <w:rtl/>
        </w:rPr>
        <w:t>13</w:t>
      </w:r>
      <w:proofErr w:type="spellEnd"/>
      <w:r>
        <w:rPr>
          <w:rtl/>
        </w:rPr>
        <w:t>؛ و</w:t>
      </w:r>
      <w:r w:rsidRPr="000A7363">
        <w:rPr>
          <w:rFonts w:cs="Times New Roman"/>
          <w:szCs w:val="18"/>
        </w:rPr>
        <w:t>CCPR/C/DZA/CO/</w:t>
      </w:r>
      <w:r w:rsidRPr="00160F80">
        <w:rPr>
          <w:szCs w:val="18"/>
        </w:rPr>
        <w:t>4</w:t>
      </w:r>
      <w:r>
        <w:rPr>
          <w:rtl/>
        </w:rPr>
        <w:t xml:space="preserve">، الفقرات </w:t>
      </w:r>
      <w:r w:rsidRPr="00160F80">
        <w:rPr>
          <w:szCs w:val="18"/>
          <w:rtl/>
        </w:rPr>
        <w:t>6</w:t>
      </w:r>
      <w:r>
        <w:rPr>
          <w:rtl/>
        </w:rPr>
        <w:t xml:space="preserve"> </w:t>
      </w:r>
      <w:proofErr w:type="spellStart"/>
      <w:r>
        <w:rPr>
          <w:rtl/>
        </w:rPr>
        <w:t>و</w:t>
      </w:r>
      <w:r w:rsidRPr="00160F80">
        <w:rPr>
          <w:szCs w:val="18"/>
          <w:rtl/>
        </w:rPr>
        <w:t>8</w:t>
      </w:r>
      <w:proofErr w:type="spellEnd"/>
      <w:r>
        <w:rPr>
          <w:rtl/>
        </w:rPr>
        <w:t xml:space="preserve"> </w:t>
      </w:r>
      <w:proofErr w:type="spellStart"/>
      <w:r>
        <w:rPr>
          <w:rtl/>
        </w:rPr>
        <w:t>و</w:t>
      </w:r>
      <w:r w:rsidRPr="00160F80">
        <w:rPr>
          <w:szCs w:val="18"/>
          <w:rtl/>
        </w:rPr>
        <w:t>12</w:t>
      </w:r>
      <w:proofErr w:type="spellEnd"/>
      <w:r>
        <w:rPr>
          <w:rtl/>
        </w:rPr>
        <w:t xml:space="preserve"> </w:t>
      </w:r>
      <w:proofErr w:type="spellStart"/>
      <w:r>
        <w:rPr>
          <w:rtl/>
        </w:rPr>
        <w:t>و</w:t>
      </w:r>
      <w:r w:rsidRPr="00160F80">
        <w:rPr>
          <w:szCs w:val="18"/>
          <w:rtl/>
        </w:rPr>
        <w:t>14</w:t>
      </w:r>
      <w:proofErr w:type="spellEnd"/>
      <w:r>
        <w:rPr>
          <w:rtl/>
        </w:rPr>
        <w:t xml:space="preserve"> </w:t>
      </w:r>
      <w:proofErr w:type="spellStart"/>
      <w:r>
        <w:rPr>
          <w:rtl/>
        </w:rPr>
        <w:t>و</w:t>
      </w:r>
      <w:r w:rsidRPr="00160F80">
        <w:rPr>
          <w:szCs w:val="18"/>
          <w:rtl/>
        </w:rPr>
        <w:t>34</w:t>
      </w:r>
      <w:proofErr w:type="spellEnd"/>
      <w:r>
        <w:rPr>
          <w:rtl/>
        </w:rPr>
        <w:t>.</w:t>
      </w:r>
    </w:p>
  </w:footnote>
  <w:footnote w:id="25">
    <w:p w14:paraId="42B87E43" w14:textId="1F27A267"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0A7363">
        <w:rPr>
          <w:rFonts w:cs="Times New Roman"/>
          <w:szCs w:val="18"/>
        </w:rPr>
        <w:t>CCPR/C/DZA/CO/</w:t>
      </w:r>
      <w:r w:rsidRPr="00160F80">
        <w:rPr>
          <w:szCs w:val="18"/>
        </w:rPr>
        <w:t>4</w:t>
      </w:r>
      <w:r>
        <w:rPr>
          <w:rtl/>
        </w:rPr>
        <w:t xml:space="preserve">، الفقرة </w:t>
      </w:r>
      <w:r w:rsidRPr="00160F80">
        <w:rPr>
          <w:szCs w:val="18"/>
          <w:rtl/>
        </w:rPr>
        <w:t>29</w:t>
      </w:r>
      <w:r>
        <w:rPr>
          <w:rtl/>
        </w:rPr>
        <w:t>.</w:t>
      </w:r>
    </w:p>
  </w:footnote>
  <w:footnote w:id="26">
    <w:p w14:paraId="300DB191" w14:textId="0F501D4B" w:rsidR="00992398" w:rsidRPr="000A7363" w:rsidRDefault="00992398" w:rsidP="00160F80">
      <w:pPr>
        <w:pStyle w:val="FootnoteText1"/>
        <w:rPr>
          <w:lang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 xml:space="preserve">قضية </w:t>
      </w:r>
      <w:proofErr w:type="spellStart"/>
      <w:r>
        <w:rPr>
          <w:i/>
          <w:iCs/>
          <w:rtl/>
        </w:rPr>
        <w:t>بوجمعي</w:t>
      </w:r>
      <w:proofErr w:type="spellEnd"/>
      <w:r>
        <w:rPr>
          <w:i/>
          <w:iCs/>
          <w:rtl/>
        </w:rPr>
        <w:t xml:space="preserve"> ضد الجزائر</w:t>
      </w:r>
      <w:r>
        <w:rPr>
          <w:rtl/>
        </w:rPr>
        <w:t xml:space="preserve">، الفقرة </w:t>
      </w:r>
      <w:r w:rsidRPr="00160F80">
        <w:rPr>
          <w:szCs w:val="18"/>
          <w:rtl/>
        </w:rPr>
        <w:t>7</w:t>
      </w:r>
      <w:r>
        <w:rPr>
          <w:rFonts w:ascii="Traditional Arabic"/>
          <w:szCs w:val="20"/>
          <w:rtl/>
        </w:rPr>
        <w:t>-</w:t>
      </w:r>
      <w:r w:rsidRPr="00160F80">
        <w:rPr>
          <w:szCs w:val="18"/>
          <w:rtl/>
        </w:rPr>
        <w:t>4</w:t>
      </w:r>
      <w:r w:rsidR="000A7363" w:rsidRPr="000A7363">
        <w:rPr>
          <w:rFonts w:hint="cs"/>
          <w:rtl/>
        </w:rPr>
        <w:t>؛</w:t>
      </w:r>
      <w:r>
        <w:rPr>
          <w:rtl/>
        </w:rPr>
        <w:t xml:space="preserve"> و</w:t>
      </w:r>
      <w:r>
        <w:rPr>
          <w:i/>
          <w:iCs/>
          <w:rtl/>
        </w:rPr>
        <w:t>قضية مزين ضد الجزائر</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Pr>
          <w:i/>
          <w:iCs/>
          <w:rtl/>
        </w:rPr>
        <w:t>قضية برزيق ضد الجزائر</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Pr>
          <w:i/>
          <w:iCs/>
          <w:rtl/>
        </w:rPr>
        <w:t>قضية خيراني ضد الجزائر</w:t>
      </w:r>
      <w:r>
        <w:rPr>
          <w:rtl/>
        </w:rPr>
        <w:t xml:space="preserve">، الفقرة </w:t>
      </w:r>
      <w:r w:rsidRPr="00160F80">
        <w:rPr>
          <w:szCs w:val="18"/>
          <w:rtl/>
        </w:rPr>
        <w:t>6</w:t>
      </w:r>
      <w:r>
        <w:rPr>
          <w:rFonts w:ascii="Traditional Arabic"/>
          <w:szCs w:val="20"/>
          <w:rtl/>
        </w:rPr>
        <w:t>-</w:t>
      </w:r>
      <w:r w:rsidRPr="00160F80">
        <w:rPr>
          <w:szCs w:val="18"/>
          <w:rtl/>
        </w:rPr>
        <w:t>4</w:t>
      </w:r>
      <w:r>
        <w:rPr>
          <w:rtl/>
        </w:rPr>
        <w:t>.</w:t>
      </w:r>
    </w:p>
  </w:footnote>
  <w:footnote w:id="27">
    <w:p w14:paraId="6817621D" w14:textId="44537ABE"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0A7363">
        <w:rPr>
          <w:rFonts w:cs="Times New Roman"/>
          <w:szCs w:val="18"/>
        </w:rPr>
        <w:t>CCPR/C/DZA/CO/</w:t>
      </w:r>
      <w:r w:rsidRPr="00160F80">
        <w:rPr>
          <w:szCs w:val="18"/>
        </w:rPr>
        <w:t>4</w:t>
      </w:r>
      <w:r>
        <w:rPr>
          <w:rtl/>
        </w:rPr>
        <w:t xml:space="preserve">، الفقرتان </w:t>
      </w:r>
      <w:r w:rsidRPr="00160F80">
        <w:rPr>
          <w:szCs w:val="18"/>
          <w:rtl/>
        </w:rPr>
        <w:t>33</w:t>
      </w:r>
      <w:r>
        <w:rPr>
          <w:rtl/>
        </w:rPr>
        <w:t xml:space="preserve"> </w:t>
      </w:r>
      <w:proofErr w:type="spellStart"/>
      <w:r>
        <w:rPr>
          <w:rtl/>
        </w:rPr>
        <w:t>و</w:t>
      </w:r>
      <w:r w:rsidRPr="00160F80">
        <w:rPr>
          <w:szCs w:val="18"/>
          <w:rtl/>
        </w:rPr>
        <w:t>35</w:t>
      </w:r>
      <w:proofErr w:type="spellEnd"/>
      <w:r>
        <w:rPr>
          <w:rtl/>
        </w:rPr>
        <w:t>.</w:t>
      </w:r>
    </w:p>
  </w:footnote>
  <w:footnote w:id="28">
    <w:p w14:paraId="1A5A32C2" w14:textId="2341BEAC" w:rsidR="00992398" w:rsidRPr="00160F80" w:rsidRDefault="00992398" w:rsidP="00160F80">
      <w:pPr>
        <w:pStyle w:val="FootnoteText1"/>
        <w:rPr>
          <w:spacing w:val="-4"/>
          <w:lang w:val="ar-SA" w:eastAsia="zh-TW" w:bidi="en-GB"/>
        </w:rPr>
      </w:pPr>
      <w:r w:rsidRPr="00160F80">
        <w:rPr>
          <w:rStyle w:val="FootnoteReference"/>
          <w:rFonts w:ascii="Traditional Arabic" w:hAnsi="Traditional Arabic"/>
          <w:b w:val="0"/>
          <w:spacing w:val="-4"/>
          <w:sz w:val="20"/>
          <w:szCs w:val="20"/>
          <w:vertAlign w:val="baseline"/>
          <w:rtl/>
        </w:rPr>
        <w:t>(</w:t>
      </w:r>
      <w:r w:rsidRPr="00160F80">
        <w:rPr>
          <w:rStyle w:val="FootnoteReference"/>
          <w:rFonts w:cs="Times New Roman"/>
          <w:b w:val="0"/>
          <w:spacing w:val="-4"/>
          <w:szCs w:val="20"/>
          <w:vertAlign w:val="baseline"/>
        </w:rPr>
        <w:footnoteRef/>
      </w:r>
      <w:r w:rsidRPr="00160F80">
        <w:rPr>
          <w:rStyle w:val="FootnoteReference"/>
          <w:rFonts w:ascii="Traditional Arabic" w:hAnsi="Traditional Arabic"/>
          <w:b w:val="0"/>
          <w:spacing w:val="-4"/>
          <w:sz w:val="20"/>
          <w:szCs w:val="20"/>
          <w:vertAlign w:val="baseline"/>
          <w:rtl/>
        </w:rPr>
        <w:t>)</w:t>
      </w:r>
      <w:r w:rsidRPr="00160F80">
        <w:rPr>
          <w:spacing w:val="-4"/>
          <w:rtl/>
        </w:rPr>
        <w:tab/>
        <w:t xml:space="preserve">انظر، على سبيل المثال، </w:t>
      </w:r>
      <w:r w:rsidRPr="00160F80">
        <w:rPr>
          <w:i/>
          <w:iCs/>
          <w:spacing w:val="-4"/>
          <w:rtl/>
        </w:rPr>
        <w:t>قضية</w:t>
      </w:r>
      <w:r w:rsidRPr="00160F80">
        <w:rPr>
          <w:spacing w:val="-4"/>
          <w:rtl/>
        </w:rPr>
        <w:t xml:space="preserve"> </w:t>
      </w:r>
      <w:r w:rsidRPr="00160F80">
        <w:rPr>
          <w:i/>
          <w:iCs/>
          <w:spacing w:val="-4"/>
          <w:rtl/>
        </w:rPr>
        <w:t xml:space="preserve">ه. إ. أ. ك. ضد الدانمرك </w:t>
      </w:r>
      <w:r w:rsidRPr="00160F80">
        <w:rPr>
          <w:rFonts w:cs="Times New Roman"/>
          <w:spacing w:val="-4"/>
          <w:sz w:val="20"/>
          <w:szCs w:val="20"/>
          <w:rtl/>
        </w:rPr>
        <w:t>(</w:t>
      </w:r>
      <w:r w:rsidRPr="00160F80">
        <w:rPr>
          <w:spacing w:val="-4"/>
        </w:rPr>
        <w:t>CCPR/C/</w:t>
      </w:r>
      <w:r w:rsidRPr="00160F80">
        <w:rPr>
          <w:spacing w:val="-4"/>
          <w:szCs w:val="18"/>
        </w:rPr>
        <w:t>114</w:t>
      </w:r>
      <w:r w:rsidRPr="00160F80">
        <w:rPr>
          <w:spacing w:val="-4"/>
        </w:rPr>
        <w:t>/D/</w:t>
      </w:r>
      <w:r w:rsidRPr="00160F80">
        <w:rPr>
          <w:spacing w:val="-4"/>
          <w:szCs w:val="18"/>
        </w:rPr>
        <w:t>2343</w:t>
      </w:r>
      <w:r w:rsidRPr="00160F80">
        <w:rPr>
          <w:spacing w:val="-4"/>
        </w:rPr>
        <w:t>/</w:t>
      </w:r>
      <w:r w:rsidRPr="00160F80">
        <w:rPr>
          <w:spacing w:val="-4"/>
          <w:szCs w:val="18"/>
        </w:rPr>
        <w:t>2014</w:t>
      </w:r>
      <w:r w:rsidRPr="00160F80">
        <w:rPr>
          <w:rFonts w:ascii="Traditional Arabic"/>
          <w:spacing w:val="-4"/>
          <w:szCs w:val="20"/>
          <w:rtl/>
        </w:rPr>
        <w:t>)</w:t>
      </w:r>
      <w:r w:rsidRPr="00160F80">
        <w:rPr>
          <w:spacing w:val="-4"/>
          <w:rtl/>
        </w:rPr>
        <w:t>، الفقرة</w:t>
      </w:r>
      <w:r w:rsidRPr="00160F80">
        <w:rPr>
          <w:rFonts w:ascii="Traditional Arabic"/>
          <w:spacing w:val="-4"/>
          <w:szCs w:val="20"/>
          <w:rtl/>
        </w:rPr>
        <w:t xml:space="preserve"> </w:t>
      </w:r>
      <w:r w:rsidRPr="00160F80">
        <w:rPr>
          <w:spacing w:val="-4"/>
          <w:szCs w:val="18"/>
          <w:rtl/>
        </w:rPr>
        <w:t>7</w:t>
      </w:r>
      <w:r w:rsidRPr="00160F80">
        <w:rPr>
          <w:rFonts w:ascii="Traditional Arabic"/>
          <w:spacing w:val="-4"/>
          <w:szCs w:val="20"/>
          <w:rtl/>
        </w:rPr>
        <w:t>-</w:t>
      </w:r>
      <w:r w:rsidRPr="00160F80">
        <w:rPr>
          <w:spacing w:val="-4"/>
          <w:szCs w:val="18"/>
          <w:rtl/>
        </w:rPr>
        <w:t>4</w:t>
      </w:r>
      <w:r w:rsidRPr="00160F80">
        <w:rPr>
          <w:spacing w:val="-4"/>
          <w:rtl/>
        </w:rPr>
        <w:t>. و</w:t>
      </w:r>
      <w:r w:rsidRPr="00160F80">
        <w:rPr>
          <w:i/>
          <w:iCs/>
          <w:spacing w:val="-4"/>
          <w:rtl/>
        </w:rPr>
        <w:t xml:space="preserve">قضية </w:t>
      </w:r>
      <w:proofErr w:type="spellStart"/>
      <w:r w:rsidRPr="00160F80">
        <w:rPr>
          <w:i/>
          <w:iCs/>
          <w:spacing w:val="-4"/>
          <w:rtl/>
        </w:rPr>
        <w:t>كاستانيدا</w:t>
      </w:r>
      <w:proofErr w:type="spellEnd"/>
      <w:r w:rsidRPr="00160F80">
        <w:rPr>
          <w:i/>
          <w:iCs/>
          <w:spacing w:val="-4"/>
          <w:rtl/>
        </w:rPr>
        <w:t xml:space="preserve"> ضد المكسيك</w:t>
      </w:r>
      <w:r w:rsidRPr="00160F80">
        <w:rPr>
          <w:spacing w:val="-4"/>
          <w:rtl/>
        </w:rPr>
        <w:t xml:space="preserve"> </w:t>
      </w:r>
      <w:r w:rsidRPr="00160F80">
        <w:rPr>
          <w:rFonts w:cs="Times New Roman"/>
          <w:spacing w:val="-4"/>
          <w:sz w:val="20"/>
          <w:szCs w:val="20"/>
          <w:rtl/>
        </w:rPr>
        <w:t>(</w:t>
      </w:r>
      <w:r w:rsidRPr="00160F80">
        <w:rPr>
          <w:spacing w:val="-4"/>
        </w:rPr>
        <w:t>CCPR/C/</w:t>
      </w:r>
      <w:r w:rsidRPr="00160F80">
        <w:rPr>
          <w:spacing w:val="-4"/>
          <w:szCs w:val="18"/>
        </w:rPr>
        <w:t>108</w:t>
      </w:r>
      <w:r w:rsidRPr="00160F80">
        <w:rPr>
          <w:spacing w:val="-4"/>
        </w:rPr>
        <w:t>/D/</w:t>
      </w:r>
      <w:r w:rsidRPr="00160F80">
        <w:rPr>
          <w:spacing w:val="-4"/>
          <w:szCs w:val="18"/>
        </w:rPr>
        <w:t>2202</w:t>
      </w:r>
      <w:r w:rsidRPr="00160F80">
        <w:rPr>
          <w:spacing w:val="-4"/>
        </w:rPr>
        <w:t>/</w:t>
      </w:r>
      <w:r w:rsidRPr="00160F80">
        <w:rPr>
          <w:spacing w:val="-4"/>
          <w:szCs w:val="18"/>
        </w:rPr>
        <w:t>2012</w:t>
      </w:r>
      <w:r w:rsidRPr="00160F80">
        <w:rPr>
          <w:rFonts w:ascii="Traditional Arabic"/>
          <w:spacing w:val="-4"/>
          <w:szCs w:val="20"/>
          <w:rtl/>
        </w:rPr>
        <w:t>)</w:t>
      </w:r>
      <w:r w:rsidRPr="00160F80">
        <w:rPr>
          <w:spacing w:val="-4"/>
          <w:rtl/>
        </w:rPr>
        <w:t>، الفقرة</w:t>
      </w:r>
      <w:r w:rsidRPr="00160F80">
        <w:rPr>
          <w:rFonts w:ascii="Traditional Arabic"/>
          <w:spacing w:val="-4"/>
          <w:szCs w:val="20"/>
          <w:rtl/>
        </w:rPr>
        <w:t xml:space="preserve"> </w:t>
      </w:r>
      <w:r w:rsidRPr="00160F80">
        <w:rPr>
          <w:spacing w:val="-4"/>
          <w:szCs w:val="18"/>
          <w:rtl/>
        </w:rPr>
        <w:t>6</w:t>
      </w:r>
      <w:r w:rsidRPr="00160F80">
        <w:rPr>
          <w:rFonts w:ascii="Traditional Arabic"/>
          <w:spacing w:val="-4"/>
          <w:szCs w:val="20"/>
          <w:rtl/>
        </w:rPr>
        <w:t>-</w:t>
      </w:r>
      <w:r w:rsidRPr="00160F80">
        <w:rPr>
          <w:spacing w:val="-4"/>
          <w:szCs w:val="18"/>
          <w:rtl/>
        </w:rPr>
        <w:t>8</w:t>
      </w:r>
      <w:r w:rsidRPr="00160F80">
        <w:rPr>
          <w:spacing w:val="-4"/>
          <w:rtl/>
        </w:rPr>
        <w:t>؛ و</w:t>
      </w:r>
      <w:r w:rsidRPr="00160F80">
        <w:rPr>
          <w:i/>
          <w:iCs/>
          <w:spacing w:val="-4"/>
          <w:rtl/>
        </w:rPr>
        <w:t>قضية ش. ه. و.</w:t>
      </w:r>
      <w:r w:rsidRPr="00160F80">
        <w:rPr>
          <w:spacing w:val="-4"/>
          <w:rtl/>
        </w:rPr>
        <w:t xml:space="preserve">  </w:t>
      </w:r>
      <w:r w:rsidRPr="00160F80">
        <w:rPr>
          <w:i/>
          <w:iCs/>
          <w:spacing w:val="-4"/>
          <w:rtl/>
        </w:rPr>
        <w:t>ضد كندا</w:t>
      </w:r>
      <w:r w:rsidRPr="00160F80">
        <w:rPr>
          <w:spacing w:val="-4"/>
          <w:rtl/>
        </w:rPr>
        <w:t xml:space="preserve"> </w:t>
      </w:r>
      <w:r w:rsidRPr="00160F80">
        <w:rPr>
          <w:rFonts w:cs="Times New Roman"/>
          <w:spacing w:val="-4"/>
          <w:sz w:val="20"/>
          <w:szCs w:val="20"/>
          <w:rtl/>
        </w:rPr>
        <w:t>(</w:t>
      </w:r>
      <w:r w:rsidRPr="00160F80">
        <w:rPr>
          <w:spacing w:val="-4"/>
          <w:lang w:val="fr-FR"/>
        </w:rPr>
        <w:t>CCPR/C/</w:t>
      </w:r>
      <w:r w:rsidRPr="00160F80">
        <w:rPr>
          <w:spacing w:val="-4"/>
          <w:szCs w:val="18"/>
          <w:lang w:val="fr-FR"/>
        </w:rPr>
        <w:t>118</w:t>
      </w:r>
      <w:r w:rsidRPr="00160F80">
        <w:rPr>
          <w:spacing w:val="-4"/>
          <w:lang w:val="fr-FR"/>
        </w:rPr>
        <w:t>/D/</w:t>
      </w:r>
      <w:r w:rsidRPr="00160F80">
        <w:rPr>
          <w:spacing w:val="-4"/>
          <w:szCs w:val="18"/>
          <w:lang w:val="fr-FR"/>
        </w:rPr>
        <w:t>2195</w:t>
      </w:r>
      <w:r w:rsidRPr="00160F80">
        <w:rPr>
          <w:spacing w:val="-4"/>
          <w:lang w:val="fr-FR"/>
        </w:rPr>
        <w:t>/</w:t>
      </w:r>
      <w:r w:rsidRPr="00160F80">
        <w:rPr>
          <w:spacing w:val="-4"/>
          <w:szCs w:val="18"/>
          <w:lang w:val="fr-FR"/>
        </w:rPr>
        <w:t>2012</w:t>
      </w:r>
      <w:r w:rsidRPr="00160F80">
        <w:rPr>
          <w:rFonts w:ascii="Traditional Arabic"/>
          <w:spacing w:val="-4"/>
          <w:szCs w:val="20"/>
          <w:rtl/>
        </w:rPr>
        <w:t>)</w:t>
      </w:r>
      <w:r w:rsidRPr="00160F80">
        <w:rPr>
          <w:spacing w:val="-4"/>
          <w:rtl/>
        </w:rPr>
        <w:t>، الفقرة</w:t>
      </w:r>
      <w:r w:rsidRPr="00160F80">
        <w:rPr>
          <w:rFonts w:ascii="Traditional Arabic"/>
          <w:spacing w:val="-4"/>
          <w:szCs w:val="20"/>
          <w:rtl/>
        </w:rPr>
        <w:t xml:space="preserve"> </w:t>
      </w:r>
      <w:r w:rsidRPr="00160F80">
        <w:rPr>
          <w:spacing w:val="-4"/>
          <w:szCs w:val="18"/>
          <w:rtl/>
        </w:rPr>
        <w:t>9</w:t>
      </w:r>
      <w:r w:rsidRPr="00160F80">
        <w:rPr>
          <w:rFonts w:ascii="Traditional Arabic"/>
          <w:spacing w:val="-4"/>
          <w:szCs w:val="20"/>
          <w:rtl/>
        </w:rPr>
        <w:t>-</w:t>
      </w:r>
      <w:r w:rsidRPr="00160F80">
        <w:rPr>
          <w:spacing w:val="-4"/>
          <w:szCs w:val="18"/>
          <w:rtl/>
        </w:rPr>
        <w:t>4</w:t>
      </w:r>
      <w:r w:rsidRPr="00160F80">
        <w:rPr>
          <w:spacing w:val="-4"/>
          <w:rtl/>
        </w:rPr>
        <w:t>؛ و</w:t>
      </w:r>
      <w:r w:rsidRPr="00160F80">
        <w:rPr>
          <w:i/>
          <w:iCs/>
          <w:spacing w:val="-4"/>
          <w:rtl/>
        </w:rPr>
        <w:t xml:space="preserve">قضية </w:t>
      </w:r>
      <w:proofErr w:type="spellStart"/>
      <w:r w:rsidRPr="00160F80">
        <w:rPr>
          <w:i/>
          <w:iCs/>
          <w:spacing w:val="-4"/>
          <w:rtl/>
        </w:rPr>
        <w:t>بيرانو</w:t>
      </w:r>
      <w:proofErr w:type="spellEnd"/>
      <w:r w:rsidRPr="00160F80">
        <w:rPr>
          <w:i/>
          <w:iCs/>
          <w:spacing w:val="-4"/>
          <w:rtl/>
        </w:rPr>
        <w:t xml:space="preserve"> باسو ضد أوروغواي</w:t>
      </w:r>
      <w:r w:rsidRPr="00160F80">
        <w:rPr>
          <w:spacing w:val="-4"/>
          <w:rtl/>
        </w:rPr>
        <w:t xml:space="preserve"> </w:t>
      </w:r>
      <w:r w:rsidRPr="00160F80">
        <w:rPr>
          <w:rFonts w:cs="Times New Roman"/>
          <w:spacing w:val="-4"/>
          <w:sz w:val="20"/>
          <w:szCs w:val="20"/>
          <w:rtl/>
        </w:rPr>
        <w:t>(</w:t>
      </w:r>
      <w:r w:rsidRPr="00160F80">
        <w:rPr>
          <w:spacing w:val="-4"/>
          <w:lang w:val="fr-FR"/>
        </w:rPr>
        <w:t>CCPR/C/</w:t>
      </w:r>
      <w:r w:rsidRPr="00160F80">
        <w:rPr>
          <w:spacing w:val="-4"/>
          <w:szCs w:val="18"/>
          <w:lang w:val="fr-FR"/>
        </w:rPr>
        <w:t>100</w:t>
      </w:r>
      <w:r w:rsidRPr="00160F80">
        <w:rPr>
          <w:spacing w:val="-4"/>
          <w:lang w:val="fr-FR"/>
        </w:rPr>
        <w:t>/D/</w:t>
      </w:r>
      <w:r w:rsidRPr="00160F80">
        <w:rPr>
          <w:spacing w:val="-4"/>
          <w:szCs w:val="18"/>
          <w:lang w:val="fr-FR"/>
        </w:rPr>
        <w:t>1887</w:t>
      </w:r>
      <w:r w:rsidRPr="00160F80">
        <w:rPr>
          <w:spacing w:val="-4"/>
          <w:lang w:val="fr-FR"/>
        </w:rPr>
        <w:t>/</w:t>
      </w:r>
      <w:r w:rsidRPr="00160F80">
        <w:rPr>
          <w:spacing w:val="-4"/>
          <w:szCs w:val="18"/>
          <w:lang w:val="fr-FR"/>
        </w:rPr>
        <w:t>2009</w:t>
      </w:r>
      <w:r w:rsidRPr="00160F80">
        <w:rPr>
          <w:rFonts w:ascii="Traditional Arabic"/>
          <w:spacing w:val="-4"/>
          <w:szCs w:val="20"/>
          <w:rtl/>
        </w:rPr>
        <w:t>)</w:t>
      </w:r>
      <w:r w:rsidRPr="00160F80">
        <w:rPr>
          <w:spacing w:val="-4"/>
          <w:rtl/>
        </w:rPr>
        <w:t>، الفقرة</w:t>
      </w:r>
      <w:r w:rsidRPr="00160F80">
        <w:rPr>
          <w:rFonts w:ascii="Traditional Arabic"/>
          <w:spacing w:val="-4"/>
          <w:szCs w:val="20"/>
          <w:rtl/>
        </w:rPr>
        <w:t xml:space="preserve"> </w:t>
      </w:r>
      <w:r w:rsidRPr="00160F80">
        <w:rPr>
          <w:spacing w:val="-4"/>
          <w:szCs w:val="18"/>
          <w:rtl/>
        </w:rPr>
        <w:t>9</w:t>
      </w:r>
      <w:r w:rsidRPr="00160F80">
        <w:rPr>
          <w:rFonts w:ascii="Traditional Arabic"/>
          <w:spacing w:val="-4"/>
          <w:szCs w:val="20"/>
          <w:rtl/>
        </w:rPr>
        <w:t>-</w:t>
      </w:r>
      <w:r w:rsidRPr="00160F80">
        <w:rPr>
          <w:spacing w:val="-4"/>
          <w:szCs w:val="18"/>
          <w:rtl/>
        </w:rPr>
        <w:t>4</w:t>
      </w:r>
      <w:r w:rsidRPr="00160F80">
        <w:rPr>
          <w:spacing w:val="-4"/>
          <w:rtl/>
        </w:rPr>
        <w:t>؛ و</w:t>
      </w:r>
      <w:r w:rsidRPr="00160F80">
        <w:rPr>
          <w:i/>
          <w:iCs/>
          <w:spacing w:val="-4"/>
          <w:rtl/>
        </w:rPr>
        <w:t>قضية أ. ب. ضد أوكرانيا</w:t>
      </w:r>
      <w:r w:rsidRPr="00160F80">
        <w:rPr>
          <w:spacing w:val="-4"/>
          <w:rtl/>
        </w:rPr>
        <w:t xml:space="preserve"> </w:t>
      </w:r>
      <w:r w:rsidRPr="00160F80">
        <w:rPr>
          <w:rFonts w:cs="Times New Roman"/>
          <w:spacing w:val="-4"/>
          <w:sz w:val="20"/>
          <w:szCs w:val="20"/>
          <w:rtl/>
        </w:rPr>
        <w:t>(</w:t>
      </w:r>
      <w:r w:rsidRPr="00160F80">
        <w:rPr>
          <w:spacing w:val="-4"/>
          <w:lang w:val="fr-FR"/>
        </w:rPr>
        <w:t>CCPR/C/</w:t>
      </w:r>
      <w:r w:rsidRPr="00160F80">
        <w:rPr>
          <w:spacing w:val="-4"/>
          <w:szCs w:val="18"/>
          <w:lang w:val="fr-FR"/>
        </w:rPr>
        <w:t>105</w:t>
      </w:r>
      <w:r w:rsidRPr="00160F80">
        <w:rPr>
          <w:spacing w:val="-4"/>
          <w:lang w:val="fr-FR"/>
        </w:rPr>
        <w:t>/D/</w:t>
      </w:r>
      <w:r w:rsidRPr="00160F80">
        <w:rPr>
          <w:spacing w:val="-4"/>
          <w:szCs w:val="18"/>
          <w:lang w:val="fr-FR"/>
        </w:rPr>
        <w:t>1834</w:t>
      </w:r>
      <w:r w:rsidRPr="00160F80">
        <w:rPr>
          <w:spacing w:val="-4"/>
          <w:lang w:val="fr-FR"/>
        </w:rPr>
        <w:t>/</w:t>
      </w:r>
      <w:r w:rsidRPr="00160F80">
        <w:rPr>
          <w:spacing w:val="-4"/>
          <w:szCs w:val="18"/>
          <w:lang w:val="fr-FR"/>
        </w:rPr>
        <w:t>2008</w:t>
      </w:r>
      <w:r w:rsidRPr="00160F80">
        <w:rPr>
          <w:rFonts w:ascii="Traditional Arabic"/>
          <w:spacing w:val="-4"/>
          <w:szCs w:val="20"/>
          <w:rtl/>
        </w:rPr>
        <w:t>)</w:t>
      </w:r>
      <w:r w:rsidRPr="00160F80">
        <w:rPr>
          <w:spacing w:val="-4"/>
          <w:rtl/>
        </w:rPr>
        <w:t>، الفقرة</w:t>
      </w:r>
      <w:r w:rsidRPr="00160F80">
        <w:rPr>
          <w:rFonts w:ascii="Traditional Arabic"/>
          <w:spacing w:val="-4"/>
          <w:szCs w:val="20"/>
          <w:rtl/>
        </w:rPr>
        <w:t xml:space="preserve"> </w:t>
      </w:r>
      <w:r w:rsidRPr="00160F80">
        <w:rPr>
          <w:spacing w:val="-4"/>
          <w:szCs w:val="18"/>
          <w:rtl/>
        </w:rPr>
        <w:t>8</w:t>
      </w:r>
      <w:r w:rsidRPr="00160F80">
        <w:rPr>
          <w:rFonts w:ascii="Traditional Arabic"/>
          <w:spacing w:val="-4"/>
          <w:szCs w:val="20"/>
          <w:rtl/>
        </w:rPr>
        <w:t>-</w:t>
      </w:r>
      <w:r w:rsidRPr="00160F80">
        <w:rPr>
          <w:spacing w:val="-4"/>
          <w:szCs w:val="18"/>
          <w:rtl/>
        </w:rPr>
        <w:t>5</w:t>
      </w:r>
      <w:r w:rsidRPr="00160F80">
        <w:rPr>
          <w:rFonts w:ascii="Traditional Arabic"/>
          <w:spacing w:val="-4"/>
          <w:szCs w:val="20"/>
          <w:rtl/>
        </w:rPr>
        <w:t>.</w:t>
      </w:r>
    </w:p>
  </w:footnote>
  <w:footnote w:id="29">
    <w:p w14:paraId="541E74D5" w14:textId="0C8891A8"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EE743A">
        <w:rPr>
          <w:i/>
          <w:iCs/>
          <w:rtl/>
        </w:rPr>
        <w:t>قضية زاير ضد الجزائر</w:t>
      </w:r>
      <w:r>
        <w:rPr>
          <w:rtl/>
        </w:rPr>
        <w:t xml:space="preserve">، الفقرة </w:t>
      </w:r>
      <w:r w:rsidRPr="00160F80">
        <w:rPr>
          <w:szCs w:val="18"/>
          <w:rtl/>
        </w:rPr>
        <w:t>7</w:t>
      </w:r>
      <w:r>
        <w:rPr>
          <w:rFonts w:ascii="Traditional Arabic"/>
          <w:szCs w:val="20"/>
          <w:rtl/>
        </w:rPr>
        <w:t>-</w:t>
      </w:r>
      <w:r w:rsidRPr="00160F80">
        <w:rPr>
          <w:szCs w:val="18"/>
          <w:rtl/>
        </w:rPr>
        <w:t>2</w:t>
      </w:r>
      <w:r>
        <w:rPr>
          <w:rtl/>
        </w:rPr>
        <w:t>؛ و</w:t>
      </w:r>
      <w:r>
        <w:rPr>
          <w:i/>
          <w:iCs/>
          <w:rtl/>
        </w:rPr>
        <w:t>قضية عماري ضد الجزائر</w:t>
      </w:r>
      <w:r>
        <w:rPr>
          <w:rtl/>
        </w:rPr>
        <w:t xml:space="preserve">، الفقرة </w:t>
      </w:r>
      <w:r w:rsidRPr="00160F80">
        <w:rPr>
          <w:szCs w:val="18"/>
          <w:rtl/>
        </w:rPr>
        <w:t>8</w:t>
      </w:r>
      <w:r>
        <w:rPr>
          <w:rFonts w:ascii="Traditional Arabic"/>
          <w:szCs w:val="20"/>
          <w:rtl/>
        </w:rPr>
        <w:t>-</w:t>
      </w:r>
      <w:r w:rsidRPr="00160F80">
        <w:rPr>
          <w:szCs w:val="18"/>
          <w:rtl/>
        </w:rPr>
        <w:t>2</w:t>
      </w:r>
      <w:r>
        <w:rPr>
          <w:rtl/>
        </w:rPr>
        <w:t>.</w:t>
      </w:r>
    </w:p>
  </w:footnote>
  <w:footnote w:id="30">
    <w:p w14:paraId="4BD948D1" w14:textId="1C1D8DC1" w:rsidR="00992398" w:rsidRPr="00160F80" w:rsidRDefault="00992398" w:rsidP="00160F80">
      <w:pPr>
        <w:pStyle w:val="FootnoteText1"/>
        <w:spacing w:line="280" w:lineRule="exact"/>
        <w:rPr>
          <w:lang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انظر، على سبيل المثال، </w:t>
      </w:r>
      <w:r>
        <w:rPr>
          <w:i/>
          <w:iCs/>
          <w:rtl/>
        </w:rPr>
        <w:t>قضية عماري ضد الجزائر</w:t>
      </w:r>
      <w:r>
        <w:rPr>
          <w:rtl/>
        </w:rPr>
        <w:t xml:space="preserve">، الفقرة </w:t>
      </w:r>
      <w:r w:rsidRPr="00160F80">
        <w:rPr>
          <w:szCs w:val="18"/>
          <w:rtl/>
        </w:rPr>
        <w:t>8</w:t>
      </w:r>
      <w:r>
        <w:rPr>
          <w:rFonts w:ascii="Traditional Arabic"/>
          <w:szCs w:val="20"/>
          <w:rtl/>
        </w:rPr>
        <w:t>-</w:t>
      </w:r>
      <w:r w:rsidRPr="00160F80">
        <w:rPr>
          <w:szCs w:val="18"/>
          <w:rtl/>
        </w:rPr>
        <w:t>3</w:t>
      </w:r>
      <w:r>
        <w:rPr>
          <w:rtl/>
        </w:rPr>
        <w:t>؛ و</w:t>
      </w:r>
      <w:r>
        <w:rPr>
          <w:i/>
          <w:iCs/>
          <w:rtl/>
        </w:rPr>
        <w:t>قضية مزين ضد الجزائ</w:t>
      </w:r>
      <w:r>
        <w:rPr>
          <w:rtl/>
        </w:rPr>
        <w:t xml:space="preserve">ر، الفقرة </w:t>
      </w:r>
      <w:r w:rsidRPr="00160F80">
        <w:rPr>
          <w:szCs w:val="18"/>
          <w:rtl/>
        </w:rPr>
        <w:t>8</w:t>
      </w:r>
      <w:r>
        <w:rPr>
          <w:rFonts w:ascii="Traditional Arabic"/>
          <w:szCs w:val="20"/>
          <w:rtl/>
        </w:rPr>
        <w:t>-</w:t>
      </w:r>
      <w:r w:rsidRPr="00160F80">
        <w:rPr>
          <w:szCs w:val="18"/>
          <w:rtl/>
        </w:rPr>
        <w:t>3</w:t>
      </w:r>
      <w:r>
        <w:rPr>
          <w:rtl/>
        </w:rPr>
        <w:t>؛ و</w:t>
      </w:r>
      <w:r>
        <w:rPr>
          <w:i/>
          <w:iCs/>
          <w:rtl/>
        </w:rPr>
        <w:t>قضية العباني ضد الجماهيرية العربية الليبية</w:t>
      </w:r>
      <w:r>
        <w:rPr>
          <w:rtl/>
        </w:rPr>
        <w:t xml:space="preserve"> </w:t>
      </w:r>
      <w:r>
        <w:rPr>
          <w:rFonts w:ascii="Traditional Arabic"/>
          <w:szCs w:val="20"/>
          <w:rtl/>
        </w:rPr>
        <w:t>(</w:t>
      </w:r>
      <w:r w:rsidRPr="000363C2">
        <w:rPr>
          <w:rFonts w:cs="Times New Roman"/>
          <w:szCs w:val="18"/>
        </w:rPr>
        <w:t>CCPR/C/</w:t>
      </w:r>
      <w:r w:rsidRPr="00160F80">
        <w:rPr>
          <w:szCs w:val="18"/>
        </w:rPr>
        <w:t>99</w:t>
      </w:r>
      <w:r w:rsidRPr="000363C2">
        <w:rPr>
          <w:rFonts w:cs="Times New Roman"/>
          <w:szCs w:val="18"/>
        </w:rPr>
        <w:t>/D/</w:t>
      </w:r>
      <w:r w:rsidRPr="00160F80">
        <w:rPr>
          <w:szCs w:val="18"/>
        </w:rPr>
        <w:t>1640</w:t>
      </w:r>
      <w:r w:rsidRPr="000363C2">
        <w:rPr>
          <w:rFonts w:cs="Times New Roman"/>
          <w:szCs w:val="18"/>
        </w:rPr>
        <w:t>/</w:t>
      </w:r>
      <w:r w:rsidRPr="00160F80">
        <w:rPr>
          <w:szCs w:val="18"/>
        </w:rPr>
        <w:t>2007</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Pr>
          <w:i/>
          <w:iCs/>
          <w:rtl/>
        </w:rPr>
        <w:t>قضية برزيق ضد الجزائر</w:t>
      </w:r>
      <w:r>
        <w:rPr>
          <w:rtl/>
        </w:rPr>
        <w:t xml:space="preserve">، الفقرة </w:t>
      </w:r>
      <w:r w:rsidRPr="00160F80">
        <w:rPr>
          <w:szCs w:val="18"/>
          <w:rtl/>
        </w:rPr>
        <w:t>8</w:t>
      </w:r>
      <w:r>
        <w:rPr>
          <w:rFonts w:ascii="Traditional Arabic"/>
          <w:szCs w:val="20"/>
          <w:rtl/>
        </w:rPr>
        <w:t>-</w:t>
      </w:r>
      <w:r w:rsidRPr="00160F80">
        <w:rPr>
          <w:szCs w:val="18"/>
          <w:rtl/>
        </w:rPr>
        <w:t>3</w:t>
      </w:r>
      <w:r>
        <w:rPr>
          <w:rtl/>
        </w:rPr>
        <w:t>.</w:t>
      </w:r>
    </w:p>
  </w:footnote>
  <w:footnote w:id="31">
    <w:p w14:paraId="41C9678F" w14:textId="1260F3EC" w:rsidR="00992398" w:rsidRPr="00FA698A" w:rsidRDefault="00992398" w:rsidP="00160F80">
      <w:pPr>
        <w:pStyle w:val="FootnoteText1"/>
        <w:spacing w:line="280" w:lineRule="exact"/>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قضية مزين ضد الجزائر</w:t>
      </w:r>
      <w:r>
        <w:rPr>
          <w:rtl/>
        </w:rPr>
        <w:t xml:space="preserve">، الفقرة </w:t>
      </w:r>
      <w:r w:rsidRPr="00160F80">
        <w:rPr>
          <w:szCs w:val="18"/>
          <w:rtl/>
        </w:rPr>
        <w:t>8</w:t>
      </w:r>
      <w:r>
        <w:rPr>
          <w:rFonts w:ascii="Traditional Arabic"/>
          <w:szCs w:val="20"/>
          <w:rtl/>
        </w:rPr>
        <w:t>-</w:t>
      </w:r>
      <w:r w:rsidRPr="00160F80">
        <w:rPr>
          <w:szCs w:val="18"/>
          <w:rtl/>
        </w:rPr>
        <w:t>3</w:t>
      </w:r>
      <w:r>
        <w:rPr>
          <w:rtl/>
        </w:rPr>
        <w:t>؛ و</w:t>
      </w:r>
      <w:r>
        <w:rPr>
          <w:i/>
          <w:iCs/>
          <w:rtl/>
        </w:rPr>
        <w:t>قضية مجنون ضد الجزائر</w:t>
      </w:r>
      <w:r>
        <w:rPr>
          <w:rtl/>
        </w:rPr>
        <w:t xml:space="preserve">، الفقرة </w:t>
      </w:r>
      <w:r w:rsidRPr="00160F80">
        <w:rPr>
          <w:szCs w:val="18"/>
          <w:rtl/>
        </w:rPr>
        <w:t>8</w:t>
      </w:r>
      <w:r>
        <w:rPr>
          <w:rFonts w:ascii="Traditional Arabic"/>
          <w:szCs w:val="20"/>
          <w:rtl/>
        </w:rPr>
        <w:t>-</w:t>
      </w:r>
      <w:r w:rsidRPr="00160F80">
        <w:rPr>
          <w:szCs w:val="18"/>
          <w:rtl/>
        </w:rPr>
        <w:t>3</w:t>
      </w:r>
      <w:r>
        <w:rPr>
          <w:rtl/>
        </w:rPr>
        <w:t>.</w:t>
      </w:r>
    </w:p>
  </w:footnote>
  <w:footnote w:id="32">
    <w:p w14:paraId="0F1D0035" w14:textId="4F231EEE"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 xml:space="preserve">قضية </w:t>
      </w:r>
      <w:proofErr w:type="spellStart"/>
      <w:r>
        <w:rPr>
          <w:i/>
          <w:iCs/>
          <w:rtl/>
        </w:rPr>
        <w:t>كاتوال</w:t>
      </w:r>
      <w:proofErr w:type="spellEnd"/>
      <w:r>
        <w:rPr>
          <w:i/>
          <w:iCs/>
          <w:rtl/>
        </w:rPr>
        <w:t xml:space="preserve"> ضد نيبال</w:t>
      </w:r>
      <w:r>
        <w:rPr>
          <w:rtl/>
        </w:rPr>
        <w:t xml:space="preserve"> </w:t>
      </w:r>
      <w:r>
        <w:rPr>
          <w:rFonts w:cs="Times New Roman"/>
          <w:sz w:val="20"/>
          <w:szCs w:val="20"/>
          <w:rtl/>
        </w:rPr>
        <w:t>(</w:t>
      </w:r>
      <w:r w:rsidRPr="00FA698A">
        <w:t>CCPR</w:t>
      </w:r>
      <w:r w:rsidRPr="00FA698A">
        <w:rPr>
          <w:lang w:val="fr-FR"/>
        </w:rPr>
        <w:t>/C/</w:t>
      </w:r>
      <w:r w:rsidRPr="00160F80">
        <w:rPr>
          <w:szCs w:val="18"/>
          <w:lang w:val="fr-FR"/>
        </w:rPr>
        <w:t>113</w:t>
      </w:r>
      <w:r w:rsidRPr="00FA698A">
        <w:rPr>
          <w:lang w:val="fr-FR"/>
        </w:rPr>
        <w:t>/D/</w:t>
      </w:r>
      <w:r w:rsidRPr="00160F80">
        <w:rPr>
          <w:szCs w:val="18"/>
          <w:lang w:val="fr-FR"/>
        </w:rPr>
        <w:t>2000</w:t>
      </w:r>
      <w:r w:rsidRPr="00FA698A">
        <w:rPr>
          <w:lang w:val="fr-FR"/>
        </w:rPr>
        <w:t>/</w:t>
      </w:r>
      <w:r w:rsidRPr="00160F80">
        <w:rPr>
          <w:szCs w:val="18"/>
          <w:lang w:val="fr-FR"/>
        </w:rPr>
        <w:t>2010</w:t>
      </w:r>
      <w:r>
        <w:rPr>
          <w:rFonts w:ascii="Traditional Arabic"/>
          <w:szCs w:val="20"/>
          <w:rtl/>
        </w:rPr>
        <w:t>)</w:t>
      </w:r>
      <w:r>
        <w:rPr>
          <w:rtl/>
        </w:rPr>
        <w:t>، الفقرة</w:t>
      </w:r>
      <w:r>
        <w:rPr>
          <w:rFonts w:ascii="Traditional Arabic"/>
          <w:szCs w:val="20"/>
          <w:rtl/>
        </w:rPr>
        <w:t xml:space="preserve"> </w:t>
      </w:r>
      <w:r w:rsidRPr="00160F80">
        <w:rPr>
          <w:szCs w:val="18"/>
          <w:rtl/>
        </w:rPr>
        <w:t>11</w:t>
      </w:r>
      <w:r>
        <w:rPr>
          <w:rFonts w:ascii="Traditional Arabic"/>
          <w:szCs w:val="20"/>
          <w:rtl/>
        </w:rPr>
        <w:t>-</w:t>
      </w:r>
      <w:r w:rsidRPr="00160F80">
        <w:rPr>
          <w:szCs w:val="18"/>
          <w:rtl/>
        </w:rPr>
        <w:t>3</w:t>
      </w:r>
      <w:r>
        <w:rPr>
          <w:rtl/>
        </w:rPr>
        <w:t>؛ و</w:t>
      </w:r>
      <w:r>
        <w:rPr>
          <w:i/>
          <w:iCs/>
          <w:rtl/>
        </w:rPr>
        <w:t xml:space="preserve">قضية سيرنا وآخرون ضد كولومبيا </w:t>
      </w:r>
      <w:r>
        <w:rPr>
          <w:rFonts w:cs="Times New Roman"/>
          <w:sz w:val="20"/>
          <w:szCs w:val="20"/>
          <w:rtl/>
        </w:rPr>
        <w:t>(</w:t>
      </w:r>
      <w:r w:rsidRPr="00FA698A">
        <w:t>CCPR/C/</w:t>
      </w:r>
      <w:r w:rsidRPr="00160F80">
        <w:rPr>
          <w:szCs w:val="18"/>
        </w:rPr>
        <w:t>104</w:t>
      </w:r>
      <w:r w:rsidRPr="00FA698A">
        <w:t>/D/</w:t>
      </w:r>
      <w:r w:rsidRPr="00160F80">
        <w:rPr>
          <w:szCs w:val="18"/>
        </w:rPr>
        <w:t>2134</w:t>
      </w:r>
      <w:r w:rsidRPr="00FA698A">
        <w:t>/</w:t>
      </w:r>
      <w:r w:rsidRPr="00160F80">
        <w:rPr>
          <w:szCs w:val="18"/>
        </w:rPr>
        <w:t>2012</w:t>
      </w:r>
      <w:r>
        <w:rPr>
          <w:rFonts w:ascii="Traditional Arabic"/>
          <w:szCs w:val="20"/>
          <w:rtl/>
        </w:rPr>
        <w:t>)</w:t>
      </w:r>
      <w:r>
        <w:rPr>
          <w:rtl/>
        </w:rPr>
        <w:t>، الفقرة</w:t>
      </w:r>
      <w:r>
        <w:rPr>
          <w:rFonts w:ascii="Traditional Arabic"/>
          <w:szCs w:val="20"/>
          <w:rtl/>
        </w:rPr>
        <w:t xml:space="preserve"> </w:t>
      </w:r>
      <w:r w:rsidRPr="00160F80">
        <w:rPr>
          <w:szCs w:val="18"/>
          <w:rtl/>
        </w:rPr>
        <w:t>9</w:t>
      </w:r>
      <w:r>
        <w:rPr>
          <w:rFonts w:ascii="Traditional Arabic"/>
          <w:szCs w:val="20"/>
          <w:rtl/>
        </w:rPr>
        <w:t>-</w:t>
      </w:r>
      <w:r w:rsidRPr="00160F80">
        <w:rPr>
          <w:szCs w:val="18"/>
          <w:rtl/>
        </w:rPr>
        <w:t>4</w:t>
      </w:r>
      <w:r>
        <w:rPr>
          <w:rtl/>
        </w:rPr>
        <w:t>؛ و</w:t>
      </w:r>
      <w:r>
        <w:rPr>
          <w:i/>
          <w:iCs/>
          <w:rtl/>
        </w:rPr>
        <w:t xml:space="preserve">قضية </w:t>
      </w:r>
      <w:proofErr w:type="spellStart"/>
      <w:r>
        <w:rPr>
          <w:i/>
          <w:iCs/>
          <w:rtl/>
        </w:rPr>
        <w:t>البواثي</w:t>
      </w:r>
      <w:proofErr w:type="spellEnd"/>
      <w:r>
        <w:rPr>
          <w:i/>
          <w:iCs/>
          <w:rtl/>
        </w:rPr>
        <w:t xml:space="preserve"> ضد الجزائر</w:t>
      </w:r>
      <w:r>
        <w:rPr>
          <w:rtl/>
        </w:rPr>
        <w:t xml:space="preserve"> </w:t>
      </w:r>
      <w:r>
        <w:rPr>
          <w:rFonts w:cs="Times New Roman"/>
          <w:sz w:val="20"/>
          <w:szCs w:val="20"/>
          <w:rtl/>
        </w:rPr>
        <w:t>(</w:t>
      </w:r>
      <w:r w:rsidRPr="00FA698A">
        <w:t>CCPR/C/</w:t>
      </w:r>
      <w:r w:rsidRPr="00160F80">
        <w:rPr>
          <w:szCs w:val="18"/>
        </w:rPr>
        <w:t>119</w:t>
      </w:r>
      <w:r w:rsidRPr="00FA698A">
        <w:t>/D/</w:t>
      </w:r>
      <w:r w:rsidRPr="00160F80">
        <w:rPr>
          <w:szCs w:val="18"/>
        </w:rPr>
        <w:t>2259</w:t>
      </w:r>
      <w:r w:rsidRPr="00FA698A">
        <w:t>/</w:t>
      </w:r>
      <w:r w:rsidRPr="00160F80">
        <w:rPr>
          <w:szCs w:val="18"/>
        </w:rPr>
        <w:t>2013</w:t>
      </w:r>
      <w:r>
        <w:rPr>
          <w:rFonts w:ascii="Traditional Arabic"/>
          <w:szCs w:val="20"/>
          <w:rtl/>
        </w:rPr>
        <w:t>)</w:t>
      </w:r>
      <w:r>
        <w:rPr>
          <w:rtl/>
        </w:rPr>
        <w:t>، الفقرة</w:t>
      </w:r>
      <w:r>
        <w:rPr>
          <w:rFonts w:ascii="Traditional Arabic"/>
          <w:szCs w:val="20"/>
          <w:rtl/>
        </w:rPr>
        <w:t xml:space="preserve"> </w:t>
      </w:r>
      <w:r w:rsidRPr="00160F80">
        <w:rPr>
          <w:szCs w:val="18"/>
          <w:rtl/>
        </w:rPr>
        <w:t>7</w:t>
      </w:r>
      <w:r>
        <w:rPr>
          <w:rFonts w:ascii="Traditional Arabic"/>
          <w:szCs w:val="20"/>
          <w:rtl/>
        </w:rPr>
        <w:t>-</w:t>
      </w:r>
      <w:r w:rsidRPr="00160F80">
        <w:rPr>
          <w:szCs w:val="18"/>
          <w:rtl/>
        </w:rPr>
        <w:t>4</w:t>
      </w:r>
      <w:r>
        <w:rPr>
          <w:rtl/>
        </w:rPr>
        <w:t>. انظر أيضاً، تعليق اللجنة العام رقم</w:t>
      </w:r>
      <w:r>
        <w:rPr>
          <w:rFonts w:ascii="Traditional Arabic"/>
          <w:szCs w:val="20"/>
          <w:rtl/>
        </w:rPr>
        <w:t xml:space="preserve"> </w:t>
      </w:r>
      <w:r w:rsidRPr="00160F80">
        <w:rPr>
          <w:szCs w:val="18"/>
          <w:rtl/>
        </w:rPr>
        <w:t>36</w:t>
      </w:r>
      <w:r>
        <w:rPr>
          <w:rFonts w:ascii="Traditional Arabic"/>
          <w:szCs w:val="20"/>
          <w:rtl/>
        </w:rPr>
        <w:t>(</w:t>
      </w:r>
      <w:r w:rsidRPr="00160F80">
        <w:rPr>
          <w:szCs w:val="18"/>
          <w:rtl/>
        </w:rPr>
        <w:t>2018</w:t>
      </w:r>
      <w:r w:rsidRPr="0003432A">
        <w:rPr>
          <w:rFonts w:ascii="Traditional Arabic"/>
          <w:szCs w:val="20"/>
          <w:rtl/>
        </w:rPr>
        <w:t>)</w:t>
      </w:r>
      <w:r>
        <w:rPr>
          <w:rtl/>
        </w:rPr>
        <w:t>، الفقرة</w:t>
      </w:r>
      <w:r>
        <w:rPr>
          <w:rFonts w:ascii="Traditional Arabic"/>
          <w:szCs w:val="20"/>
          <w:rtl/>
        </w:rPr>
        <w:t xml:space="preserve"> </w:t>
      </w:r>
      <w:r w:rsidRPr="00160F80">
        <w:rPr>
          <w:szCs w:val="18"/>
          <w:rtl/>
        </w:rPr>
        <w:t>58</w:t>
      </w:r>
      <w:r>
        <w:rPr>
          <w:rFonts w:ascii="Traditional Arabic"/>
          <w:szCs w:val="20"/>
          <w:rtl/>
        </w:rPr>
        <w:t>.</w:t>
      </w:r>
    </w:p>
  </w:footnote>
  <w:footnote w:id="33">
    <w:p w14:paraId="7921D9C8" w14:textId="37466531"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قضية العُدِّي ضد الجزائر</w:t>
      </w:r>
      <w:r>
        <w:rPr>
          <w:rtl/>
        </w:rPr>
        <w:t xml:space="preserve"> </w:t>
      </w:r>
      <w:r>
        <w:rPr>
          <w:rFonts w:ascii="Traditional Arabic"/>
          <w:szCs w:val="20"/>
          <w:rtl/>
        </w:rPr>
        <w:t>(</w:t>
      </w:r>
      <w:r w:rsidRPr="000363C2">
        <w:rPr>
          <w:rFonts w:cs="Times New Roman"/>
          <w:szCs w:val="18"/>
        </w:rPr>
        <w:t>CCPR/C/</w:t>
      </w:r>
      <w:r w:rsidRPr="00160F80">
        <w:rPr>
          <w:szCs w:val="18"/>
        </w:rPr>
        <w:t>112</w:t>
      </w:r>
      <w:r w:rsidRPr="000363C2">
        <w:rPr>
          <w:rFonts w:cs="Times New Roman"/>
          <w:szCs w:val="18"/>
        </w:rPr>
        <w:t>/D/</w:t>
      </w:r>
      <w:r w:rsidRPr="00160F80">
        <w:rPr>
          <w:szCs w:val="18"/>
        </w:rPr>
        <w:t>2117</w:t>
      </w:r>
      <w:r w:rsidRPr="000363C2">
        <w:rPr>
          <w:rFonts w:cs="Times New Roman"/>
          <w:szCs w:val="18"/>
        </w:rPr>
        <w:t>/</w:t>
      </w:r>
      <w:r w:rsidRPr="00160F80">
        <w:rPr>
          <w:szCs w:val="18"/>
        </w:rPr>
        <w:t>2011</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4</w:t>
      </w:r>
      <w:r>
        <w:rPr>
          <w:rtl/>
        </w:rPr>
        <w:t>؛ و</w:t>
      </w:r>
      <w:r w:rsidRPr="00370BCF">
        <w:rPr>
          <w:i/>
          <w:iCs/>
          <w:rtl/>
        </w:rPr>
        <w:t>قضية مزين ضد الجزائر</w:t>
      </w:r>
      <w:r>
        <w:rPr>
          <w:rtl/>
        </w:rPr>
        <w:t xml:space="preserve">، الفقرة </w:t>
      </w:r>
      <w:r w:rsidRPr="00160F80">
        <w:rPr>
          <w:szCs w:val="18"/>
          <w:rtl/>
        </w:rPr>
        <w:t>8</w:t>
      </w:r>
      <w:r>
        <w:rPr>
          <w:rFonts w:ascii="Traditional Arabic"/>
          <w:szCs w:val="20"/>
          <w:rtl/>
        </w:rPr>
        <w:t>-</w:t>
      </w:r>
      <w:r w:rsidRPr="00160F80">
        <w:rPr>
          <w:szCs w:val="18"/>
          <w:rtl/>
        </w:rPr>
        <w:t>4</w:t>
      </w:r>
      <w:r>
        <w:rPr>
          <w:rtl/>
        </w:rPr>
        <w:t>؛ و</w:t>
      </w:r>
      <w:r>
        <w:rPr>
          <w:i/>
          <w:iCs/>
          <w:rtl/>
        </w:rPr>
        <w:t xml:space="preserve">قضية </w:t>
      </w:r>
      <w:proofErr w:type="spellStart"/>
      <w:r>
        <w:rPr>
          <w:i/>
          <w:iCs/>
          <w:rtl/>
        </w:rPr>
        <w:t>بوجمعي</w:t>
      </w:r>
      <w:proofErr w:type="spellEnd"/>
      <w:r>
        <w:rPr>
          <w:i/>
          <w:iCs/>
          <w:rtl/>
        </w:rPr>
        <w:t xml:space="preserve"> ضد الجزائر</w:t>
      </w:r>
      <w:r>
        <w:rPr>
          <w:rtl/>
        </w:rPr>
        <w:t xml:space="preserve">، الفقرة </w:t>
      </w:r>
      <w:r w:rsidRPr="00160F80">
        <w:rPr>
          <w:szCs w:val="18"/>
          <w:rtl/>
        </w:rPr>
        <w:t>8</w:t>
      </w:r>
      <w:r>
        <w:rPr>
          <w:rFonts w:ascii="Traditional Arabic"/>
          <w:szCs w:val="20"/>
          <w:rtl/>
        </w:rPr>
        <w:t>-</w:t>
      </w:r>
      <w:r w:rsidRPr="00160F80">
        <w:rPr>
          <w:szCs w:val="18"/>
          <w:rtl/>
        </w:rPr>
        <w:t>4</w:t>
      </w:r>
      <w:r>
        <w:rPr>
          <w:rFonts w:ascii="Traditional Arabic"/>
          <w:szCs w:val="20"/>
          <w:rtl/>
        </w:rPr>
        <w:t>.</w:t>
      </w:r>
      <w:r>
        <w:rPr>
          <w:rtl/>
        </w:rPr>
        <w:t xml:space="preserve"> انظر أيضاً تعليق اللجنة العام رقم </w:t>
      </w:r>
      <w:r w:rsidRPr="00160F80">
        <w:rPr>
          <w:szCs w:val="18"/>
          <w:rtl/>
        </w:rPr>
        <w:t>36</w:t>
      </w:r>
      <w:r>
        <w:rPr>
          <w:rtl/>
        </w:rPr>
        <w:t xml:space="preserve">، الفقرة </w:t>
      </w:r>
      <w:r w:rsidRPr="00160F80">
        <w:rPr>
          <w:szCs w:val="18"/>
          <w:rtl/>
        </w:rPr>
        <w:t>58</w:t>
      </w:r>
      <w:r>
        <w:rPr>
          <w:rtl/>
        </w:rPr>
        <w:t>.</w:t>
      </w:r>
    </w:p>
  </w:footnote>
  <w:footnote w:id="34">
    <w:p w14:paraId="58E872AA" w14:textId="66E3F0A1"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125DF4">
        <w:rPr>
          <w:i/>
          <w:iCs/>
          <w:rtl/>
        </w:rPr>
        <w:t>قضية عماري ضد الجزائر</w:t>
      </w:r>
      <w:r>
        <w:rPr>
          <w:rtl/>
        </w:rPr>
        <w:t xml:space="preserve">، الفقرة </w:t>
      </w:r>
      <w:r w:rsidRPr="00160F80">
        <w:rPr>
          <w:szCs w:val="18"/>
          <w:rtl/>
        </w:rPr>
        <w:t>8</w:t>
      </w:r>
      <w:r>
        <w:rPr>
          <w:rFonts w:ascii="Traditional Arabic"/>
          <w:szCs w:val="20"/>
          <w:rtl/>
        </w:rPr>
        <w:t>-</w:t>
      </w:r>
      <w:r w:rsidRPr="00160F80">
        <w:rPr>
          <w:szCs w:val="18"/>
          <w:rtl/>
        </w:rPr>
        <w:t>5</w:t>
      </w:r>
      <w:r>
        <w:rPr>
          <w:rtl/>
        </w:rPr>
        <w:t>؛ و</w:t>
      </w:r>
      <w:r w:rsidRPr="00125DF4">
        <w:rPr>
          <w:i/>
          <w:iCs/>
          <w:rtl/>
        </w:rPr>
        <w:t>قضية مزين ضد الجزائر</w:t>
      </w:r>
      <w:r>
        <w:rPr>
          <w:rtl/>
        </w:rPr>
        <w:t xml:space="preserve">، الفقرة </w:t>
      </w:r>
      <w:r w:rsidRPr="00160F80">
        <w:rPr>
          <w:szCs w:val="18"/>
          <w:rtl/>
        </w:rPr>
        <w:t>8</w:t>
      </w:r>
      <w:r>
        <w:rPr>
          <w:rFonts w:ascii="Traditional Arabic"/>
          <w:szCs w:val="20"/>
          <w:rtl/>
        </w:rPr>
        <w:t>-</w:t>
      </w:r>
      <w:r w:rsidRPr="00160F80">
        <w:rPr>
          <w:szCs w:val="18"/>
          <w:rtl/>
        </w:rPr>
        <w:t>5</w:t>
      </w:r>
      <w:r>
        <w:rPr>
          <w:rtl/>
        </w:rPr>
        <w:t>؛ و</w:t>
      </w:r>
      <w:r>
        <w:rPr>
          <w:i/>
          <w:iCs/>
          <w:rtl/>
        </w:rPr>
        <w:t>قضية خيراني ضد الجزائر</w:t>
      </w:r>
      <w:r>
        <w:rPr>
          <w:rtl/>
        </w:rPr>
        <w:t xml:space="preserve">، الفقرة </w:t>
      </w:r>
      <w:r w:rsidRPr="00160F80">
        <w:rPr>
          <w:szCs w:val="18"/>
          <w:rtl/>
        </w:rPr>
        <w:t>7</w:t>
      </w:r>
      <w:r>
        <w:rPr>
          <w:rFonts w:ascii="Traditional Arabic"/>
          <w:szCs w:val="20"/>
          <w:rtl/>
        </w:rPr>
        <w:t>-</w:t>
      </w:r>
      <w:r w:rsidRPr="00160F80">
        <w:rPr>
          <w:szCs w:val="18"/>
          <w:rtl/>
        </w:rPr>
        <w:t>5</w:t>
      </w:r>
      <w:r>
        <w:rPr>
          <w:rtl/>
        </w:rPr>
        <w:t>؛ و</w:t>
      </w:r>
      <w:r>
        <w:rPr>
          <w:i/>
          <w:iCs/>
          <w:rtl/>
        </w:rPr>
        <w:t>قضية برزيق ضد الجزائر</w:t>
      </w:r>
      <w:r>
        <w:rPr>
          <w:rtl/>
        </w:rPr>
        <w:t xml:space="preserve">، الفقرة </w:t>
      </w:r>
      <w:r w:rsidRPr="00160F80">
        <w:rPr>
          <w:szCs w:val="18"/>
          <w:rtl/>
        </w:rPr>
        <w:t>8</w:t>
      </w:r>
      <w:r>
        <w:rPr>
          <w:rFonts w:ascii="Traditional Arabic"/>
          <w:szCs w:val="20"/>
          <w:rtl/>
        </w:rPr>
        <w:t>-</w:t>
      </w:r>
      <w:r w:rsidRPr="00160F80">
        <w:rPr>
          <w:szCs w:val="18"/>
          <w:rtl/>
        </w:rPr>
        <w:t>5</w:t>
      </w:r>
      <w:r>
        <w:rPr>
          <w:rtl/>
        </w:rPr>
        <w:t>؛ و</w:t>
      </w:r>
      <w:r>
        <w:rPr>
          <w:i/>
          <w:iCs/>
          <w:rtl/>
        </w:rPr>
        <w:t>قضية العلواني ضد الجماهيرية العربية الليبية</w:t>
      </w:r>
      <w:r>
        <w:rPr>
          <w:rtl/>
        </w:rPr>
        <w:t xml:space="preserve"> </w:t>
      </w:r>
      <w:r>
        <w:rPr>
          <w:rFonts w:ascii="Traditional Arabic"/>
          <w:szCs w:val="20"/>
          <w:rtl/>
        </w:rPr>
        <w:t>(</w:t>
      </w:r>
      <w:r>
        <w:rPr>
          <w:rFonts w:cs="Times New Roman"/>
          <w:sz w:val="20"/>
          <w:szCs w:val="20"/>
        </w:rPr>
        <w:t>CCPR/C/</w:t>
      </w:r>
      <w:r w:rsidRPr="00160F80">
        <w:rPr>
          <w:sz w:val="20"/>
          <w:szCs w:val="18"/>
        </w:rPr>
        <w:t>90</w:t>
      </w:r>
      <w:r>
        <w:rPr>
          <w:rFonts w:cs="Times New Roman"/>
          <w:sz w:val="20"/>
          <w:szCs w:val="20"/>
        </w:rPr>
        <w:t>/D/</w:t>
      </w:r>
      <w:r w:rsidRPr="00160F80">
        <w:rPr>
          <w:sz w:val="20"/>
          <w:szCs w:val="18"/>
        </w:rPr>
        <w:t>1295</w:t>
      </w:r>
      <w:r>
        <w:rPr>
          <w:rFonts w:cs="Times New Roman"/>
          <w:sz w:val="20"/>
          <w:szCs w:val="20"/>
        </w:rPr>
        <w:t>/</w:t>
      </w:r>
      <w:r w:rsidRPr="00160F80">
        <w:rPr>
          <w:sz w:val="20"/>
          <w:szCs w:val="18"/>
        </w:rPr>
        <w:t>2004</w:t>
      </w:r>
      <w:r>
        <w:rPr>
          <w:rFonts w:ascii="Traditional Arabic"/>
          <w:szCs w:val="20"/>
          <w:rtl/>
        </w:rPr>
        <w:t>)</w:t>
      </w:r>
      <w:r>
        <w:rPr>
          <w:rtl/>
        </w:rPr>
        <w:t xml:space="preserve">، الفقرة </w:t>
      </w:r>
      <w:r w:rsidRPr="00160F80">
        <w:rPr>
          <w:szCs w:val="18"/>
          <w:rtl/>
        </w:rPr>
        <w:t>6</w:t>
      </w:r>
      <w:r>
        <w:rPr>
          <w:rFonts w:ascii="Traditional Arabic"/>
          <w:szCs w:val="20"/>
          <w:rtl/>
        </w:rPr>
        <w:t>-</w:t>
      </w:r>
      <w:r w:rsidRPr="00160F80">
        <w:rPr>
          <w:szCs w:val="18"/>
          <w:rtl/>
        </w:rPr>
        <w:t>5</w:t>
      </w:r>
      <w:r>
        <w:rPr>
          <w:rtl/>
        </w:rPr>
        <w:t>.</w:t>
      </w:r>
    </w:p>
  </w:footnote>
  <w:footnote w:id="35">
    <w:p w14:paraId="26C9F9D8" w14:textId="2EF0B5FC"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قضية عماري ضد الجزائر</w:t>
      </w:r>
      <w:r>
        <w:rPr>
          <w:rtl/>
        </w:rPr>
        <w:t xml:space="preserve">، الفقرة </w:t>
      </w:r>
      <w:r w:rsidRPr="00160F80">
        <w:rPr>
          <w:szCs w:val="18"/>
          <w:rtl/>
        </w:rPr>
        <w:t>8</w:t>
      </w:r>
      <w:r>
        <w:rPr>
          <w:rFonts w:ascii="Traditional Arabic"/>
          <w:szCs w:val="20"/>
          <w:rtl/>
        </w:rPr>
        <w:t>-</w:t>
      </w:r>
      <w:r w:rsidRPr="00160F80">
        <w:rPr>
          <w:szCs w:val="18"/>
          <w:rtl/>
        </w:rPr>
        <w:t>6</w:t>
      </w:r>
      <w:r>
        <w:rPr>
          <w:rtl/>
        </w:rPr>
        <w:t>.</w:t>
      </w:r>
    </w:p>
  </w:footnote>
  <w:footnote w:id="36">
    <w:p w14:paraId="607FD01B" w14:textId="2CAE25D1"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قضية مزين ضد الجزائر</w:t>
      </w:r>
      <w:r>
        <w:rPr>
          <w:rtl/>
        </w:rPr>
        <w:t xml:space="preserve">، الفقرة </w:t>
      </w:r>
      <w:r w:rsidRPr="00160F80">
        <w:rPr>
          <w:szCs w:val="18"/>
          <w:rtl/>
        </w:rPr>
        <w:t>8</w:t>
      </w:r>
      <w:r>
        <w:rPr>
          <w:rFonts w:ascii="Traditional Arabic"/>
          <w:szCs w:val="20"/>
          <w:rtl/>
        </w:rPr>
        <w:t>-</w:t>
      </w:r>
      <w:r w:rsidRPr="00160F80">
        <w:rPr>
          <w:szCs w:val="18"/>
          <w:rtl/>
        </w:rPr>
        <w:t>6</w:t>
      </w:r>
      <w:r>
        <w:rPr>
          <w:rtl/>
        </w:rPr>
        <w:t>؛ و</w:t>
      </w:r>
      <w:r>
        <w:rPr>
          <w:i/>
          <w:iCs/>
          <w:rtl/>
        </w:rPr>
        <w:t>قضية خيراني ضد الجزائر</w:t>
      </w:r>
      <w:r>
        <w:rPr>
          <w:rtl/>
        </w:rPr>
        <w:t xml:space="preserve">، الفقرة </w:t>
      </w:r>
      <w:r w:rsidRPr="00160F80">
        <w:rPr>
          <w:szCs w:val="18"/>
          <w:rtl/>
        </w:rPr>
        <w:t>7</w:t>
      </w:r>
      <w:r>
        <w:rPr>
          <w:rFonts w:ascii="Traditional Arabic"/>
          <w:szCs w:val="20"/>
          <w:rtl/>
        </w:rPr>
        <w:t>-</w:t>
      </w:r>
      <w:r w:rsidRPr="00160F80">
        <w:rPr>
          <w:szCs w:val="18"/>
          <w:rtl/>
        </w:rPr>
        <w:t>6</w:t>
      </w:r>
      <w:r>
        <w:rPr>
          <w:rtl/>
        </w:rPr>
        <w:t>؛ و</w:t>
      </w:r>
      <w:r>
        <w:rPr>
          <w:i/>
          <w:iCs/>
          <w:rtl/>
        </w:rPr>
        <w:t>قضية برزيق ضد الجزائر</w:t>
      </w:r>
      <w:r>
        <w:rPr>
          <w:rtl/>
        </w:rPr>
        <w:t xml:space="preserve">، الفقرة </w:t>
      </w:r>
      <w:r w:rsidRPr="00160F80">
        <w:rPr>
          <w:szCs w:val="18"/>
          <w:rtl/>
        </w:rPr>
        <w:t>8</w:t>
      </w:r>
      <w:r>
        <w:rPr>
          <w:rFonts w:ascii="Traditional Arabic"/>
          <w:szCs w:val="20"/>
          <w:rtl/>
        </w:rPr>
        <w:t>-</w:t>
      </w:r>
      <w:r w:rsidRPr="00160F80">
        <w:rPr>
          <w:szCs w:val="18"/>
          <w:rtl/>
        </w:rPr>
        <w:t>6</w:t>
      </w:r>
      <w:r>
        <w:rPr>
          <w:rtl/>
        </w:rPr>
        <w:t>؛ و</w:t>
      </w:r>
      <w:r>
        <w:rPr>
          <w:i/>
          <w:iCs/>
          <w:rtl/>
        </w:rPr>
        <w:t>قضية العباني ضد الجماهيرية العربية الليبية</w:t>
      </w:r>
      <w:r>
        <w:rPr>
          <w:rtl/>
        </w:rPr>
        <w:t xml:space="preserve">، الفقرة </w:t>
      </w:r>
      <w:r w:rsidRPr="00160F80">
        <w:rPr>
          <w:szCs w:val="18"/>
          <w:rtl/>
        </w:rPr>
        <w:t>7</w:t>
      </w:r>
      <w:r>
        <w:rPr>
          <w:rFonts w:ascii="Traditional Arabic"/>
          <w:szCs w:val="20"/>
          <w:rtl/>
        </w:rPr>
        <w:t>-</w:t>
      </w:r>
      <w:r w:rsidRPr="00160F80">
        <w:rPr>
          <w:szCs w:val="18"/>
          <w:rtl/>
        </w:rPr>
        <w:t>5</w:t>
      </w:r>
      <w:r>
        <w:rPr>
          <w:rtl/>
        </w:rPr>
        <w:t>؛ و</w:t>
      </w:r>
      <w:r>
        <w:rPr>
          <w:i/>
          <w:iCs/>
          <w:rtl/>
        </w:rPr>
        <w:t>قضية الحاسي ضد الجماهيرية العربية الليبية</w:t>
      </w:r>
      <w:r>
        <w:rPr>
          <w:rtl/>
        </w:rPr>
        <w:t xml:space="preserve"> </w:t>
      </w:r>
      <w:r>
        <w:rPr>
          <w:rFonts w:ascii="Traditional Arabic"/>
          <w:szCs w:val="20"/>
          <w:rtl/>
        </w:rPr>
        <w:t>(</w:t>
      </w:r>
      <w:r>
        <w:rPr>
          <w:rFonts w:cs="Times New Roman"/>
          <w:sz w:val="20"/>
          <w:szCs w:val="20"/>
        </w:rPr>
        <w:t>CCPR/C/</w:t>
      </w:r>
      <w:r w:rsidRPr="00160F80">
        <w:rPr>
          <w:sz w:val="20"/>
          <w:szCs w:val="18"/>
        </w:rPr>
        <w:t>91</w:t>
      </w:r>
      <w:r>
        <w:rPr>
          <w:rFonts w:cs="Times New Roman"/>
          <w:sz w:val="20"/>
          <w:szCs w:val="20"/>
        </w:rPr>
        <w:t>/D/</w:t>
      </w:r>
      <w:r w:rsidRPr="00160F80">
        <w:rPr>
          <w:sz w:val="20"/>
          <w:szCs w:val="18"/>
        </w:rPr>
        <w:t>1422</w:t>
      </w:r>
      <w:r>
        <w:rPr>
          <w:rFonts w:cs="Times New Roman"/>
          <w:sz w:val="20"/>
          <w:szCs w:val="20"/>
        </w:rPr>
        <w:t>/</w:t>
      </w:r>
      <w:r w:rsidRPr="00160F80">
        <w:rPr>
          <w:sz w:val="20"/>
          <w:szCs w:val="18"/>
        </w:rPr>
        <w:t>2005</w:t>
      </w:r>
      <w:r>
        <w:rPr>
          <w:rFonts w:ascii="Traditional Arabic"/>
          <w:szCs w:val="20"/>
          <w:rtl/>
        </w:rPr>
        <w:t>)</w:t>
      </w:r>
      <w:r>
        <w:rPr>
          <w:rtl/>
        </w:rPr>
        <w:t xml:space="preserve">، الفقرة </w:t>
      </w:r>
      <w:r w:rsidRPr="00160F80">
        <w:rPr>
          <w:szCs w:val="18"/>
          <w:rtl/>
        </w:rPr>
        <w:t>6</w:t>
      </w:r>
      <w:r>
        <w:rPr>
          <w:rFonts w:ascii="Traditional Arabic"/>
          <w:szCs w:val="20"/>
          <w:rtl/>
        </w:rPr>
        <w:t>-</w:t>
      </w:r>
      <w:r w:rsidRPr="00160F80">
        <w:rPr>
          <w:szCs w:val="18"/>
          <w:rtl/>
        </w:rPr>
        <w:t>11</w:t>
      </w:r>
      <w:r>
        <w:rPr>
          <w:rtl/>
        </w:rPr>
        <w:t>.</w:t>
      </w:r>
    </w:p>
  </w:footnote>
  <w:footnote w:id="37">
    <w:p w14:paraId="622F26A3" w14:textId="12FCC444"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 xml:space="preserve">قضية </w:t>
      </w:r>
      <w:proofErr w:type="spellStart"/>
      <w:r>
        <w:rPr>
          <w:i/>
          <w:iCs/>
          <w:rtl/>
        </w:rPr>
        <w:t>شاني</w:t>
      </w:r>
      <w:proofErr w:type="spellEnd"/>
      <w:r>
        <w:rPr>
          <w:i/>
          <w:iCs/>
          <w:rtl/>
        </w:rPr>
        <w:t xml:space="preserve"> ضد الجزائر</w:t>
      </w:r>
      <w:r>
        <w:rPr>
          <w:rtl/>
        </w:rPr>
        <w:t xml:space="preserve"> </w:t>
      </w:r>
      <w:r>
        <w:rPr>
          <w:rFonts w:ascii="Traditional Arabic"/>
          <w:szCs w:val="20"/>
          <w:rtl/>
        </w:rPr>
        <w:t>(</w:t>
      </w:r>
      <w:r>
        <w:rPr>
          <w:rFonts w:cs="Times New Roman"/>
          <w:sz w:val="20"/>
          <w:szCs w:val="20"/>
        </w:rPr>
        <w:t>CCPR/C/</w:t>
      </w:r>
      <w:r w:rsidRPr="00160F80">
        <w:rPr>
          <w:sz w:val="20"/>
          <w:szCs w:val="18"/>
        </w:rPr>
        <w:t>116</w:t>
      </w:r>
      <w:r>
        <w:rPr>
          <w:rFonts w:cs="Times New Roman"/>
          <w:sz w:val="20"/>
          <w:szCs w:val="20"/>
        </w:rPr>
        <w:t>/D/</w:t>
      </w:r>
      <w:r w:rsidRPr="00160F80">
        <w:rPr>
          <w:sz w:val="20"/>
          <w:szCs w:val="18"/>
        </w:rPr>
        <w:t>2297</w:t>
      </w:r>
      <w:r>
        <w:rPr>
          <w:rFonts w:cs="Times New Roman"/>
          <w:sz w:val="20"/>
          <w:szCs w:val="20"/>
        </w:rPr>
        <w:t>/</w:t>
      </w:r>
      <w:r w:rsidRPr="00160F80">
        <w:rPr>
          <w:sz w:val="20"/>
          <w:szCs w:val="18"/>
        </w:rPr>
        <w:t>2013</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5</w:t>
      </w:r>
      <w:r>
        <w:rPr>
          <w:rtl/>
        </w:rPr>
        <w:t>.</w:t>
      </w:r>
    </w:p>
  </w:footnote>
  <w:footnote w:id="38">
    <w:p w14:paraId="1ED59044" w14:textId="6B27F3B4"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t xml:space="preserve">انظر، على سبيل المثال، </w:t>
      </w:r>
      <w:r w:rsidRPr="00125DF4">
        <w:rPr>
          <w:i/>
          <w:iCs/>
          <w:rtl/>
        </w:rPr>
        <w:t>قضية مزين ضد الجزائر</w:t>
      </w:r>
      <w:r>
        <w:rPr>
          <w:rtl/>
        </w:rPr>
        <w:t xml:space="preserve">، الفقرة </w:t>
      </w:r>
      <w:r w:rsidRPr="00160F80">
        <w:rPr>
          <w:szCs w:val="18"/>
          <w:rtl/>
        </w:rPr>
        <w:t>8</w:t>
      </w:r>
      <w:r>
        <w:rPr>
          <w:rFonts w:ascii="Traditional Arabic"/>
          <w:szCs w:val="20"/>
          <w:rtl/>
        </w:rPr>
        <w:t>-</w:t>
      </w:r>
      <w:r w:rsidRPr="00160F80">
        <w:rPr>
          <w:szCs w:val="18"/>
          <w:rtl/>
        </w:rPr>
        <w:t>7</w:t>
      </w:r>
      <w:r>
        <w:rPr>
          <w:rtl/>
        </w:rPr>
        <w:t>؛ و</w:t>
      </w:r>
      <w:r>
        <w:rPr>
          <w:i/>
          <w:iCs/>
          <w:rtl/>
        </w:rPr>
        <w:t>قضية خيراني ضد الجزائر</w:t>
      </w:r>
      <w:r>
        <w:rPr>
          <w:rtl/>
        </w:rPr>
        <w:t xml:space="preserve">، الفقرة </w:t>
      </w:r>
      <w:r w:rsidRPr="00160F80">
        <w:rPr>
          <w:szCs w:val="18"/>
          <w:rtl/>
        </w:rPr>
        <w:t>7</w:t>
      </w:r>
      <w:r>
        <w:rPr>
          <w:rFonts w:ascii="Traditional Arabic"/>
          <w:szCs w:val="20"/>
          <w:rtl/>
        </w:rPr>
        <w:t>-</w:t>
      </w:r>
      <w:r w:rsidRPr="00160F80">
        <w:rPr>
          <w:szCs w:val="18"/>
          <w:rtl/>
        </w:rPr>
        <w:t>7</w:t>
      </w:r>
      <w:r>
        <w:rPr>
          <w:rtl/>
        </w:rPr>
        <w:t>؛ و</w:t>
      </w:r>
      <w:r>
        <w:rPr>
          <w:i/>
          <w:iCs/>
          <w:rtl/>
        </w:rPr>
        <w:t>قضية برزيق ضد الجزائر</w:t>
      </w:r>
      <w:r>
        <w:rPr>
          <w:rtl/>
        </w:rPr>
        <w:t xml:space="preserve">، الفقرة </w:t>
      </w:r>
      <w:r w:rsidRPr="00160F80">
        <w:rPr>
          <w:szCs w:val="18"/>
          <w:rtl/>
        </w:rPr>
        <w:t>8</w:t>
      </w:r>
      <w:r>
        <w:rPr>
          <w:rFonts w:ascii="Traditional Arabic"/>
          <w:szCs w:val="20"/>
          <w:rtl/>
        </w:rPr>
        <w:t>-</w:t>
      </w:r>
      <w:r w:rsidRPr="00160F80">
        <w:rPr>
          <w:szCs w:val="18"/>
          <w:rtl/>
        </w:rPr>
        <w:t>7</w:t>
      </w:r>
      <w:r>
        <w:rPr>
          <w:rtl/>
        </w:rPr>
        <w:t>.</w:t>
      </w:r>
    </w:p>
  </w:footnote>
  <w:footnote w:id="39">
    <w:p w14:paraId="206A5639" w14:textId="710EB503"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2F0232">
        <w:rPr>
          <w:rFonts w:cs="Times New Roman"/>
          <w:szCs w:val="18"/>
        </w:rPr>
        <w:t>CCPR/C/DZA/CO/</w:t>
      </w:r>
      <w:r w:rsidRPr="00160F80">
        <w:rPr>
          <w:szCs w:val="18"/>
        </w:rPr>
        <w:t>4</w:t>
      </w:r>
      <w:r>
        <w:rPr>
          <w:rtl/>
        </w:rPr>
        <w:t xml:space="preserve">، الفقرات </w:t>
      </w:r>
      <w:r w:rsidRPr="00160F80">
        <w:rPr>
          <w:szCs w:val="18"/>
          <w:rtl/>
        </w:rPr>
        <w:t>11</w:t>
      </w:r>
      <w:r>
        <w:rPr>
          <w:rtl/>
        </w:rPr>
        <w:t xml:space="preserve"> إلى </w:t>
      </w:r>
      <w:r w:rsidRPr="00160F80">
        <w:rPr>
          <w:szCs w:val="18"/>
          <w:rtl/>
        </w:rPr>
        <w:t>14</w:t>
      </w:r>
      <w:r>
        <w:rPr>
          <w:rtl/>
        </w:rPr>
        <w:t>.</w:t>
      </w:r>
    </w:p>
  </w:footnote>
  <w:footnote w:id="40">
    <w:p w14:paraId="4F516104" w14:textId="551435DD"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 xml:space="preserve">قضية </w:t>
      </w:r>
      <w:proofErr w:type="spellStart"/>
      <w:r>
        <w:rPr>
          <w:i/>
          <w:iCs/>
          <w:rtl/>
        </w:rPr>
        <w:t>باسنت</w:t>
      </w:r>
      <w:proofErr w:type="spellEnd"/>
      <w:r>
        <w:rPr>
          <w:i/>
          <w:iCs/>
          <w:rtl/>
        </w:rPr>
        <w:t xml:space="preserve"> ضد نيبال</w:t>
      </w:r>
      <w:r>
        <w:rPr>
          <w:rtl/>
        </w:rPr>
        <w:t xml:space="preserve"> </w:t>
      </w:r>
      <w:r>
        <w:rPr>
          <w:rFonts w:cs="Times New Roman"/>
          <w:sz w:val="20"/>
          <w:szCs w:val="20"/>
          <w:rtl/>
        </w:rPr>
        <w:t>(</w:t>
      </w:r>
      <w:r w:rsidRPr="00FA698A">
        <w:rPr>
          <w:lang w:val="fr-FR"/>
        </w:rPr>
        <w:t>CCPR/C/</w:t>
      </w:r>
      <w:r w:rsidRPr="00160F80">
        <w:rPr>
          <w:szCs w:val="18"/>
          <w:lang w:val="fr-FR"/>
        </w:rPr>
        <w:t>117</w:t>
      </w:r>
      <w:r w:rsidRPr="00FA698A">
        <w:rPr>
          <w:lang w:val="fr-FR"/>
        </w:rPr>
        <w:t>/D/</w:t>
      </w:r>
      <w:r w:rsidRPr="00160F80">
        <w:rPr>
          <w:szCs w:val="18"/>
          <w:lang w:val="fr-FR"/>
        </w:rPr>
        <w:t>2164</w:t>
      </w:r>
      <w:r w:rsidRPr="00FA698A">
        <w:rPr>
          <w:lang w:val="fr-FR"/>
        </w:rPr>
        <w:t>/</w:t>
      </w:r>
      <w:r w:rsidRPr="00160F80">
        <w:rPr>
          <w:szCs w:val="18"/>
          <w:lang w:val="fr-FR"/>
        </w:rPr>
        <w:t>2012</w:t>
      </w:r>
      <w:r>
        <w:rPr>
          <w:rFonts w:ascii="Traditional Arabic"/>
          <w:szCs w:val="20"/>
          <w:rtl/>
        </w:rPr>
        <w:t>)</w:t>
      </w:r>
      <w:r>
        <w:rPr>
          <w:rtl/>
        </w:rPr>
        <w:t>، الفقرة</w:t>
      </w:r>
      <w:r>
        <w:rPr>
          <w:rFonts w:ascii="Traditional Arabic"/>
          <w:szCs w:val="20"/>
          <w:rtl/>
        </w:rPr>
        <w:t xml:space="preserve"> </w:t>
      </w:r>
      <w:r w:rsidRPr="00160F80">
        <w:rPr>
          <w:szCs w:val="18"/>
          <w:rtl/>
        </w:rPr>
        <w:t>10</w:t>
      </w:r>
      <w:r>
        <w:rPr>
          <w:rFonts w:ascii="Traditional Arabic"/>
          <w:szCs w:val="20"/>
          <w:rtl/>
        </w:rPr>
        <w:t>-</w:t>
      </w:r>
      <w:r w:rsidRPr="00160F80">
        <w:rPr>
          <w:szCs w:val="18"/>
          <w:rtl/>
        </w:rPr>
        <w:t>9</w:t>
      </w:r>
      <w:r>
        <w:rPr>
          <w:rtl/>
        </w:rPr>
        <w:t>؛ و</w:t>
      </w:r>
      <w:r w:rsidRPr="008F1D1C">
        <w:rPr>
          <w:i/>
          <w:iCs/>
          <w:rtl/>
        </w:rPr>
        <w:t xml:space="preserve">قضية </w:t>
      </w:r>
      <w:proofErr w:type="spellStart"/>
      <w:r w:rsidRPr="008F1D1C">
        <w:rPr>
          <w:i/>
          <w:iCs/>
          <w:rtl/>
        </w:rPr>
        <w:t>ثارو</w:t>
      </w:r>
      <w:proofErr w:type="spellEnd"/>
      <w:r w:rsidRPr="008F1D1C">
        <w:rPr>
          <w:i/>
          <w:iCs/>
          <w:rtl/>
        </w:rPr>
        <w:t xml:space="preserve"> وآخرون ضد نيبال</w:t>
      </w:r>
      <w:r>
        <w:rPr>
          <w:rtl/>
        </w:rPr>
        <w:t>، الفقرة</w:t>
      </w:r>
      <w:r>
        <w:rPr>
          <w:rFonts w:ascii="Traditional Arabic"/>
          <w:szCs w:val="20"/>
          <w:rtl/>
        </w:rPr>
        <w:t xml:space="preserve"> </w:t>
      </w:r>
      <w:r w:rsidRPr="00160F80">
        <w:rPr>
          <w:szCs w:val="18"/>
          <w:rtl/>
        </w:rPr>
        <w:t>10</w:t>
      </w:r>
      <w:r>
        <w:rPr>
          <w:rFonts w:ascii="Traditional Arabic"/>
          <w:szCs w:val="20"/>
          <w:rtl/>
        </w:rPr>
        <w:t>-</w:t>
      </w:r>
      <w:r w:rsidRPr="00160F80">
        <w:rPr>
          <w:szCs w:val="18"/>
          <w:rtl/>
        </w:rPr>
        <w:t>9</w:t>
      </w:r>
      <w:r>
        <w:rPr>
          <w:rtl/>
        </w:rPr>
        <w:t>؛ و</w:t>
      </w:r>
      <w:r>
        <w:rPr>
          <w:i/>
          <w:iCs/>
          <w:rtl/>
        </w:rPr>
        <w:t>قضية سيرنا وآخرون ضد كولومبيا</w:t>
      </w:r>
      <w:r>
        <w:rPr>
          <w:rtl/>
        </w:rPr>
        <w:t>، الفقرة</w:t>
      </w:r>
      <w:r>
        <w:rPr>
          <w:rFonts w:ascii="Traditional Arabic"/>
          <w:szCs w:val="20"/>
          <w:rtl/>
        </w:rPr>
        <w:t xml:space="preserve"> </w:t>
      </w:r>
      <w:r w:rsidRPr="00160F80">
        <w:rPr>
          <w:szCs w:val="18"/>
          <w:rtl/>
        </w:rPr>
        <w:t>9</w:t>
      </w:r>
      <w:r>
        <w:rPr>
          <w:rFonts w:ascii="Traditional Arabic"/>
          <w:szCs w:val="20"/>
          <w:rtl/>
        </w:rPr>
        <w:t>-</w:t>
      </w:r>
      <w:r w:rsidRPr="00160F80">
        <w:rPr>
          <w:szCs w:val="18"/>
          <w:rtl/>
        </w:rPr>
        <w:t>5</w:t>
      </w:r>
      <w:r>
        <w:rPr>
          <w:rFonts w:ascii="Traditional Arabic"/>
          <w:szCs w:val="20"/>
          <w:rtl/>
        </w:rPr>
        <w:t>.</w:t>
      </w:r>
    </w:p>
  </w:footnote>
  <w:footnote w:id="41">
    <w:p w14:paraId="6B95244C" w14:textId="0CB5D6CD" w:rsidR="00992398" w:rsidRPr="002F0232" w:rsidRDefault="00992398" w:rsidP="00160F80">
      <w:pPr>
        <w:pStyle w:val="FootnoteText1"/>
        <w:rPr>
          <w:lang w:val="ar-SA" w:eastAsia="zh-TW" w:bidi="en-GB"/>
        </w:rPr>
      </w:pPr>
      <w:r w:rsidRPr="002F0232">
        <w:rPr>
          <w:rStyle w:val="FootnoteReference"/>
          <w:rFonts w:ascii="Traditional Arabic" w:hAnsi="Traditional Arabic"/>
          <w:b w:val="0"/>
          <w:spacing w:val="-2"/>
          <w:sz w:val="20"/>
          <w:szCs w:val="20"/>
          <w:vertAlign w:val="baseline"/>
          <w:rtl/>
        </w:rPr>
        <w:t>(</w:t>
      </w:r>
      <w:r w:rsidRPr="00160F80">
        <w:rPr>
          <w:rStyle w:val="FootnoteReference"/>
          <w:rFonts w:cs="Times New Roman"/>
          <w:b w:val="0"/>
          <w:spacing w:val="-2"/>
          <w:szCs w:val="20"/>
          <w:vertAlign w:val="baseline"/>
        </w:rPr>
        <w:footnoteRef/>
      </w:r>
      <w:r w:rsidRPr="002F0232">
        <w:rPr>
          <w:rStyle w:val="FootnoteReference"/>
          <w:rFonts w:ascii="Traditional Arabic" w:hAnsi="Traditional Arabic"/>
          <w:b w:val="0"/>
          <w:spacing w:val="-2"/>
          <w:sz w:val="20"/>
          <w:szCs w:val="20"/>
          <w:vertAlign w:val="baseline"/>
          <w:rtl/>
        </w:rPr>
        <w:t>)</w:t>
      </w:r>
      <w:r w:rsidRPr="002F0232">
        <w:rPr>
          <w:spacing w:val="-2"/>
          <w:rtl/>
        </w:rPr>
        <w:tab/>
      </w:r>
      <w:r w:rsidRPr="002F0232">
        <w:rPr>
          <w:i/>
          <w:iCs/>
          <w:spacing w:val="-2"/>
          <w:rtl/>
        </w:rPr>
        <w:t>قضية مزين ضد الجزائر</w:t>
      </w:r>
      <w:r w:rsidRPr="002F0232">
        <w:rPr>
          <w:spacing w:val="-2"/>
          <w:rtl/>
        </w:rPr>
        <w:t xml:space="preserve">، الفقرة </w:t>
      </w:r>
      <w:r w:rsidRPr="00160F80">
        <w:rPr>
          <w:spacing w:val="-2"/>
          <w:szCs w:val="18"/>
          <w:rtl/>
        </w:rPr>
        <w:t>8</w:t>
      </w:r>
      <w:r w:rsidRPr="002F0232">
        <w:rPr>
          <w:rFonts w:ascii="Traditional Arabic"/>
          <w:spacing w:val="-2"/>
          <w:szCs w:val="20"/>
          <w:rtl/>
        </w:rPr>
        <w:t>-</w:t>
      </w:r>
      <w:r w:rsidRPr="00160F80">
        <w:rPr>
          <w:spacing w:val="-2"/>
          <w:szCs w:val="18"/>
          <w:rtl/>
        </w:rPr>
        <w:t>10</w:t>
      </w:r>
      <w:r w:rsidRPr="002F0232">
        <w:rPr>
          <w:spacing w:val="-2"/>
          <w:rtl/>
        </w:rPr>
        <w:t>؛ و</w:t>
      </w:r>
      <w:r w:rsidRPr="002F0232">
        <w:rPr>
          <w:i/>
          <w:iCs/>
          <w:spacing w:val="-2"/>
          <w:rtl/>
        </w:rPr>
        <w:t>قضية بوجمعة ضد الجزائر</w:t>
      </w:r>
      <w:r w:rsidRPr="002F0232">
        <w:rPr>
          <w:spacing w:val="-2"/>
          <w:rtl/>
        </w:rPr>
        <w:t xml:space="preserve"> </w:t>
      </w:r>
      <w:r w:rsidRPr="002F0232">
        <w:rPr>
          <w:rFonts w:ascii="Traditional Arabic"/>
          <w:spacing w:val="-2"/>
          <w:szCs w:val="20"/>
          <w:rtl/>
        </w:rPr>
        <w:t>(</w:t>
      </w:r>
      <w:r w:rsidRPr="002F0232">
        <w:rPr>
          <w:rFonts w:cs="Times New Roman"/>
          <w:spacing w:val="-2"/>
          <w:szCs w:val="18"/>
        </w:rPr>
        <w:t>CCPR/C/</w:t>
      </w:r>
      <w:r w:rsidRPr="00160F80">
        <w:rPr>
          <w:spacing w:val="-2"/>
          <w:szCs w:val="18"/>
        </w:rPr>
        <w:t>121</w:t>
      </w:r>
      <w:r w:rsidRPr="002F0232">
        <w:rPr>
          <w:rFonts w:cs="Times New Roman"/>
          <w:spacing w:val="-2"/>
          <w:szCs w:val="18"/>
        </w:rPr>
        <w:t>/D/</w:t>
      </w:r>
      <w:r w:rsidRPr="00160F80">
        <w:rPr>
          <w:spacing w:val="-2"/>
          <w:szCs w:val="18"/>
        </w:rPr>
        <w:t>2283</w:t>
      </w:r>
      <w:r w:rsidRPr="002F0232">
        <w:rPr>
          <w:rFonts w:cs="Times New Roman"/>
          <w:spacing w:val="-2"/>
          <w:szCs w:val="18"/>
        </w:rPr>
        <w:t>/</w:t>
      </w:r>
      <w:r w:rsidRPr="00160F80">
        <w:rPr>
          <w:spacing w:val="-2"/>
          <w:szCs w:val="18"/>
        </w:rPr>
        <w:t>2013</w:t>
      </w:r>
      <w:r w:rsidRPr="002F0232">
        <w:rPr>
          <w:rFonts w:ascii="Traditional Arabic"/>
          <w:spacing w:val="-2"/>
          <w:szCs w:val="20"/>
          <w:rtl/>
        </w:rPr>
        <w:t>)</w:t>
      </w:r>
      <w:r w:rsidRPr="002F0232">
        <w:rPr>
          <w:spacing w:val="-2"/>
          <w:rtl/>
        </w:rPr>
        <w:t xml:space="preserve">، الفقرة </w:t>
      </w:r>
      <w:r w:rsidRPr="00160F80">
        <w:rPr>
          <w:spacing w:val="-2"/>
          <w:szCs w:val="18"/>
          <w:rtl/>
        </w:rPr>
        <w:t>8</w:t>
      </w:r>
      <w:r w:rsidRPr="002F0232">
        <w:rPr>
          <w:rFonts w:ascii="Traditional Arabic"/>
          <w:spacing w:val="-2"/>
          <w:szCs w:val="20"/>
          <w:rtl/>
        </w:rPr>
        <w:t>-</w:t>
      </w:r>
      <w:r w:rsidRPr="00160F80">
        <w:rPr>
          <w:spacing w:val="-2"/>
          <w:szCs w:val="18"/>
          <w:rtl/>
        </w:rPr>
        <w:t>11</w:t>
      </w:r>
      <w:r w:rsidRPr="002F0232">
        <w:rPr>
          <w:spacing w:val="-2"/>
          <w:rtl/>
        </w:rPr>
        <w:t>.</w:t>
      </w:r>
    </w:p>
  </w:footnote>
  <w:footnote w:id="42">
    <w:p w14:paraId="393E86E1" w14:textId="52083640" w:rsidR="00992398" w:rsidRPr="00FA698A"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Pr>
          <w:i/>
          <w:iCs/>
          <w:rtl/>
        </w:rPr>
        <w:t>قضية عليوة وقيروان ضد الجزائر</w:t>
      </w:r>
      <w:r>
        <w:rPr>
          <w:rtl/>
        </w:rPr>
        <w:t xml:space="preserve"> </w:t>
      </w:r>
      <w:r>
        <w:rPr>
          <w:rFonts w:ascii="Traditional Arabic"/>
          <w:szCs w:val="20"/>
          <w:rtl/>
        </w:rPr>
        <w:t>(</w:t>
      </w:r>
      <w:r w:rsidRPr="002F0232">
        <w:rPr>
          <w:rFonts w:cs="Times New Roman"/>
          <w:szCs w:val="18"/>
        </w:rPr>
        <w:t>CCPR/C/</w:t>
      </w:r>
      <w:r w:rsidRPr="00160F80">
        <w:rPr>
          <w:szCs w:val="18"/>
        </w:rPr>
        <w:t>112</w:t>
      </w:r>
      <w:r w:rsidRPr="002F0232">
        <w:rPr>
          <w:rFonts w:cs="Times New Roman"/>
          <w:szCs w:val="18"/>
        </w:rPr>
        <w:t>/D/</w:t>
      </w:r>
      <w:r w:rsidRPr="00160F80">
        <w:rPr>
          <w:szCs w:val="18"/>
        </w:rPr>
        <w:t>2132</w:t>
      </w:r>
      <w:r w:rsidRPr="002F0232">
        <w:rPr>
          <w:rFonts w:cs="Times New Roman"/>
          <w:szCs w:val="18"/>
        </w:rPr>
        <w:t>/</w:t>
      </w:r>
      <w:r w:rsidRPr="00160F80">
        <w:rPr>
          <w:szCs w:val="18"/>
        </w:rPr>
        <w:t>2012</w:t>
      </w:r>
      <w:r>
        <w:rPr>
          <w:rFonts w:ascii="Traditional Arabic"/>
          <w:szCs w:val="20"/>
          <w:rtl/>
        </w:rPr>
        <w:t>)</w:t>
      </w:r>
      <w:r>
        <w:rPr>
          <w:rtl/>
        </w:rPr>
        <w:t xml:space="preserve">، الفقرة </w:t>
      </w:r>
      <w:r w:rsidRPr="00160F80">
        <w:rPr>
          <w:szCs w:val="18"/>
          <w:rtl/>
        </w:rPr>
        <w:t>7</w:t>
      </w:r>
      <w:r>
        <w:rPr>
          <w:rFonts w:ascii="Traditional Arabic"/>
          <w:szCs w:val="20"/>
          <w:rtl/>
        </w:rPr>
        <w:t>-</w:t>
      </w:r>
      <w:r w:rsidRPr="00160F80">
        <w:rPr>
          <w:szCs w:val="18"/>
          <w:rtl/>
        </w:rPr>
        <w:t>11</w:t>
      </w:r>
      <w:r>
        <w:rPr>
          <w:rtl/>
        </w:rPr>
        <w:t>.</w:t>
      </w:r>
    </w:p>
  </w:footnote>
  <w:footnote w:id="43">
    <w:p w14:paraId="154D8E98" w14:textId="525B53A3" w:rsidR="00992398" w:rsidRDefault="00992398" w:rsidP="00160F80">
      <w:pPr>
        <w:pStyle w:val="FootnoteText1"/>
        <w:rPr>
          <w:lang w:val="ar-SA" w:eastAsia="zh-TW" w:bidi="en-GB"/>
        </w:rPr>
      </w:pPr>
      <w:r w:rsidRPr="00C96133">
        <w:rPr>
          <w:rStyle w:val="FootnoteReference"/>
          <w:rFonts w:ascii="Traditional Arabic" w:hAnsi="Traditional Arabic"/>
          <w:b w:val="0"/>
          <w:sz w:val="20"/>
          <w:szCs w:val="20"/>
          <w:vertAlign w:val="baseline"/>
          <w:rtl/>
        </w:rPr>
        <w:t>(</w:t>
      </w:r>
      <w:r w:rsidRPr="00160F80">
        <w:rPr>
          <w:rStyle w:val="FootnoteReference"/>
          <w:rFonts w:cs="Times New Roman"/>
          <w:b w:val="0"/>
          <w:szCs w:val="20"/>
          <w:vertAlign w:val="baseline"/>
        </w:rPr>
        <w:footnoteRef/>
      </w:r>
      <w:r w:rsidRPr="00C96133">
        <w:rPr>
          <w:rStyle w:val="FootnoteReference"/>
          <w:rFonts w:ascii="Traditional Arabic" w:hAnsi="Traditional Arabic"/>
          <w:b w:val="0"/>
          <w:sz w:val="20"/>
          <w:szCs w:val="20"/>
          <w:vertAlign w:val="baseline"/>
          <w:rtl/>
        </w:rPr>
        <w:t>)</w:t>
      </w:r>
      <w:r>
        <w:rPr>
          <w:rtl/>
        </w:rPr>
        <w:tab/>
      </w:r>
      <w:r w:rsidRPr="00B5766C">
        <w:rPr>
          <w:rFonts w:cs="Times New Roman"/>
          <w:szCs w:val="18"/>
        </w:rPr>
        <w:t>CCPR/C/DZA/CO/</w:t>
      </w:r>
      <w:r w:rsidRPr="00160F80">
        <w:rPr>
          <w:szCs w:val="18"/>
        </w:rPr>
        <w:t>3</w:t>
      </w:r>
      <w:r>
        <w:rPr>
          <w:rtl/>
        </w:rPr>
        <w:t xml:space="preserve">، الفقرة </w:t>
      </w:r>
      <w:r w:rsidRPr="00160F80">
        <w:rPr>
          <w:szCs w:val="18"/>
          <w:rtl/>
        </w:rPr>
        <w:t>7</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9309" w14:textId="77777777" w:rsidR="00992398" w:rsidRPr="000D498E" w:rsidRDefault="00992398" w:rsidP="000D498E">
    <w:pPr>
      <w:pStyle w:val="Header"/>
      <w:jc w:val="right"/>
    </w:pPr>
    <w:r w:rsidRPr="000D498E">
      <w:t>CCPR/C/128/D/2893/2016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5BB" w14:textId="77777777" w:rsidR="00992398" w:rsidRPr="000D498E" w:rsidRDefault="00992398" w:rsidP="000D498E">
    <w:pPr>
      <w:pStyle w:val="Header"/>
      <w:jc w:val="left"/>
    </w:pPr>
    <w:r w:rsidRPr="000D498E">
      <w:t>CCPR/C/128/D/2893/2016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32B33"/>
    <w:rsid w:val="000076D5"/>
    <w:rsid w:val="000363C2"/>
    <w:rsid w:val="00043663"/>
    <w:rsid w:val="000437B8"/>
    <w:rsid w:val="00043CC6"/>
    <w:rsid w:val="000505CF"/>
    <w:rsid w:val="00076BA4"/>
    <w:rsid w:val="000A7363"/>
    <w:rsid w:val="000C2EE2"/>
    <w:rsid w:val="000D498E"/>
    <w:rsid w:val="000D701C"/>
    <w:rsid w:val="000E2A71"/>
    <w:rsid w:val="00122020"/>
    <w:rsid w:val="00133C38"/>
    <w:rsid w:val="00160263"/>
    <w:rsid w:val="00160F80"/>
    <w:rsid w:val="00177A6F"/>
    <w:rsid w:val="00181F96"/>
    <w:rsid w:val="00187AE0"/>
    <w:rsid w:val="001A1371"/>
    <w:rsid w:val="001B346A"/>
    <w:rsid w:val="001E1CAD"/>
    <w:rsid w:val="001E290D"/>
    <w:rsid w:val="00212ECC"/>
    <w:rsid w:val="002144FA"/>
    <w:rsid w:val="0023469A"/>
    <w:rsid w:val="00242E8F"/>
    <w:rsid w:val="00243C8A"/>
    <w:rsid w:val="00267A0E"/>
    <w:rsid w:val="002901D9"/>
    <w:rsid w:val="002976C2"/>
    <w:rsid w:val="002B65AF"/>
    <w:rsid w:val="002D0743"/>
    <w:rsid w:val="002D1780"/>
    <w:rsid w:val="002F0232"/>
    <w:rsid w:val="003260FF"/>
    <w:rsid w:val="00343D95"/>
    <w:rsid w:val="00363A18"/>
    <w:rsid w:val="0037076D"/>
    <w:rsid w:val="00374341"/>
    <w:rsid w:val="003A4F27"/>
    <w:rsid w:val="003D1062"/>
    <w:rsid w:val="00420D7B"/>
    <w:rsid w:val="00447BAF"/>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1619"/>
    <w:rsid w:val="0060473A"/>
    <w:rsid w:val="00632B33"/>
    <w:rsid w:val="00656392"/>
    <w:rsid w:val="006748FE"/>
    <w:rsid w:val="0068781D"/>
    <w:rsid w:val="006959B0"/>
    <w:rsid w:val="006B3E27"/>
    <w:rsid w:val="006B6507"/>
    <w:rsid w:val="006C104C"/>
    <w:rsid w:val="00703B04"/>
    <w:rsid w:val="00733704"/>
    <w:rsid w:val="00777485"/>
    <w:rsid w:val="0078071A"/>
    <w:rsid w:val="00787E1E"/>
    <w:rsid w:val="00841125"/>
    <w:rsid w:val="00841814"/>
    <w:rsid w:val="00852A9A"/>
    <w:rsid w:val="00872CF7"/>
    <w:rsid w:val="008C2FCF"/>
    <w:rsid w:val="008D2B55"/>
    <w:rsid w:val="008E6F13"/>
    <w:rsid w:val="008F49E1"/>
    <w:rsid w:val="0090370F"/>
    <w:rsid w:val="009269D2"/>
    <w:rsid w:val="009311BE"/>
    <w:rsid w:val="00942135"/>
    <w:rsid w:val="009521B0"/>
    <w:rsid w:val="00982139"/>
    <w:rsid w:val="009867A8"/>
    <w:rsid w:val="00992398"/>
    <w:rsid w:val="009A7E9F"/>
    <w:rsid w:val="009B05F3"/>
    <w:rsid w:val="009E5018"/>
    <w:rsid w:val="00A03700"/>
    <w:rsid w:val="00A12B37"/>
    <w:rsid w:val="00A8301F"/>
    <w:rsid w:val="00AB3B40"/>
    <w:rsid w:val="00AB6758"/>
    <w:rsid w:val="00B11A03"/>
    <w:rsid w:val="00B13763"/>
    <w:rsid w:val="00B16565"/>
    <w:rsid w:val="00B477A4"/>
    <w:rsid w:val="00B54045"/>
    <w:rsid w:val="00B5766C"/>
    <w:rsid w:val="00B9258B"/>
    <w:rsid w:val="00BA39E0"/>
    <w:rsid w:val="00BC2DD6"/>
    <w:rsid w:val="00BF4034"/>
    <w:rsid w:val="00BF48DF"/>
    <w:rsid w:val="00C438D7"/>
    <w:rsid w:val="00C81B50"/>
    <w:rsid w:val="00C96133"/>
    <w:rsid w:val="00CB6622"/>
    <w:rsid w:val="00CD1801"/>
    <w:rsid w:val="00CF65C6"/>
    <w:rsid w:val="00CF7CAD"/>
    <w:rsid w:val="00D10EF1"/>
    <w:rsid w:val="00D42810"/>
    <w:rsid w:val="00D914A7"/>
    <w:rsid w:val="00DA3F02"/>
    <w:rsid w:val="00DC70CA"/>
    <w:rsid w:val="00DD13C3"/>
    <w:rsid w:val="00DD335D"/>
    <w:rsid w:val="00DD596E"/>
    <w:rsid w:val="00DD621E"/>
    <w:rsid w:val="00DE50B1"/>
    <w:rsid w:val="00DF0575"/>
    <w:rsid w:val="00E07D12"/>
    <w:rsid w:val="00E70E04"/>
    <w:rsid w:val="00EC05A7"/>
    <w:rsid w:val="00EC4B6B"/>
    <w:rsid w:val="00ED7442"/>
    <w:rsid w:val="00EE743A"/>
    <w:rsid w:val="00EF1EE5"/>
    <w:rsid w:val="00EF5C43"/>
    <w:rsid w:val="00F21F08"/>
    <w:rsid w:val="00F763B4"/>
    <w:rsid w:val="00F900C3"/>
    <w:rsid w:val="00FB011D"/>
    <w:rsid w:val="00FB4D32"/>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86AC3"/>
  <w15:docId w15:val="{A7DB2782-5447-4FFC-844C-C45C0783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ootnote Refernece"/>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C70C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B11A03"/>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Calibri"/>
      <w:b/>
      <w:sz w:val="28"/>
      <w:lang w:val="fr-CH" w:eastAsia="zh-CN"/>
    </w:rPr>
  </w:style>
  <w:style w:type="paragraph" w:customStyle="1" w:styleId="H23G">
    <w:name w:val="_ H_2/3_G"/>
    <w:basedOn w:val="Normal"/>
    <w:next w:val="Normal"/>
    <w:link w:val="H23GChar"/>
    <w:qFormat/>
    <w:rsid w:val="00B11A0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b/>
      <w:lang w:val="fr-CH" w:eastAsia="zh-CN"/>
    </w:rPr>
  </w:style>
  <w:style w:type="paragraph" w:customStyle="1" w:styleId="H4G">
    <w:name w:val="_ H_4_G"/>
    <w:basedOn w:val="Normal"/>
    <w:next w:val="Normal"/>
    <w:qFormat/>
    <w:rsid w:val="00B11A0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hint="cs"/>
      <w:i/>
      <w:lang w:val="fr-CH" w:eastAsia="zh-CN"/>
    </w:rPr>
  </w:style>
  <w:style w:type="paragraph" w:customStyle="1" w:styleId="SingleTxtG">
    <w:name w:val="_ Single Txt_G"/>
    <w:basedOn w:val="Normal"/>
    <w:link w:val="SingleTxtGChar"/>
    <w:qFormat/>
    <w:rsid w:val="00B11A03"/>
    <w:pPr>
      <w:suppressAutoHyphens/>
      <w:kinsoku w:val="0"/>
      <w:overflowPunct w:val="0"/>
      <w:autoSpaceDE w:val="0"/>
      <w:autoSpaceDN w:val="0"/>
      <w:bidi w:val="0"/>
      <w:adjustRightInd w:val="0"/>
      <w:snapToGrid w:val="0"/>
      <w:spacing w:after="120"/>
      <w:ind w:left="1134" w:right="1134"/>
      <w:jc w:val="both"/>
    </w:pPr>
    <w:rPr>
      <w:rFonts w:hAnsi="Calibri"/>
      <w:lang w:val="fr-CH" w:eastAsia="zh-CN"/>
    </w:rPr>
  </w:style>
  <w:style w:type="character" w:customStyle="1" w:styleId="HChGChar">
    <w:name w:val="_ H _Ch_G Char"/>
    <w:link w:val="HChG"/>
    <w:locked/>
    <w:rsid w:val="00B11A03"/>
    <w:rPr>
      <w:rFonts w:ascii="Times New Roman" w:cs="Traditional Arabic"/>
      <w:b/>
      <w:sz w:val="28"/>
      <w:szCs w:val="30"/>
      <w:lang w:val="fr-CH" w:eastAsia="zh-CN"/>
    </w:rPr>
  </w:style>
  <w:style w:type="character" w:customStyle="1" w:styleId="H23GChar">
    <w:name w:val="_ H_2/3_G Char"/>
    <w:link w:val="H23G"/>
    <w:locked/>
    <w:rsid w:val="00B11A03"/>
    <w:rPr>
      <w:rFonts w:ascii="Times New Roman" w:cs="Traditional Arabic"/>
      <w:b/>
      <w:szCs w:val="30"/>
      <w:lang w:val="fr-CH" w:eastAsia="zh-CN"/>
    </w:rPr>
  </w:style>
  <w:style w:type="character" w:customStyle="1" w:styleId="SingleTxtGChar">
    <w:name w:val="_ Single Txt_G Char"/>
    <w:link w:val="SingleTxtG"/>
    <w:rsid w:val="00B11A03"/>
    <w:rPr>
      <w:rFonts w:ascii="Times New Roman" w:cs="Traditional Arabic"/>
      <w:szCs w:val="3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89ED-8B26-4DF4-B7F0-C10762BA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29</TotalTime>
  <Pages>16</Pages>
  <Words>6973</Words>
  <Characters>32708</Characters>
  <Application>Microsoft Office Word</Application>
  <DocSecurity>0</DocSecurity>
  <Lines>503</Lines>
  <Paragraphs>119</Paragraphs>
  <ScaleCrop>false</ScaleCrop>
  <HeadingPairs>
    <vt:vector size="2" baseType="variant">
      <vt:variant>
        <vt:lpstr>Title</vt:lpstr>
      </vt:variant>
      <vt:variant>
        <vt:i4>1</vt:i4>
      </vt:variant>
    </vt:vector>
  </HeadingPairs>
  <TitlesOfParts>
    <vt:vector size="1" baseType="lpstr">
      <vt:lpstr>CCPR/C/128/D/2893/2016</vt:lpstr>
    </vt:vector>
  </TitlesOfParts>
  <Company>DCM</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CCPR/C/128/D/2893/2016</dc:title>
  <dc:subject>GE.2014556A</dc:subject>
  <dc:creator>IHRZ</dc:creator>
  <cp:keywords>ODS No.2027819</cp:keywords>
  <dc:description>Distribution:_x000d_
Original: English_x000d_
Date:</dc:description>
  <cp:lastModifiedBy>Ibrahim Balan</cp:lastModifiedBy>
  <cp:revision>4</cp:revision>
  <dcterms:created xsi:type="dcterms:W3CDTF">2020-11-11T09:44:00Z</dcterms:created>
  <dcterms:modified xsi:type="dcterms:W3CDTF">2020-11-11T10:24:00Z</dcterms:modified>
  <cp:category>Finale</cp:category>
</cp:coreProperties>
</file>