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A766C" w:rsidRDefault="00EA766C" w:rsidP="00B614C4">
            <w:pPr>
              <w:spacing w:line="240" w:lineRule="atLeast"/>
              <w:jc w:val="right"/>
              <w:rPr>
                <w:sz w:val="20"/>
                <w:szCs w:val="21"/>
              </w:rPr>
            </w:pPr>
            <w:proofErr w:type="spellStart"/>
            <w:r w:rsidRPr="00EA766C">
              <w:rPr>
                <w:sz w:val="40"/>
                <w:szCs w:val="21"/>
              </w:rPr>
              <w:t>CCPR</w:t>
            </w:r>
            <w:proofErr w:type="spellEnd"/>
            <w:r>
              <w:rPr>
                <w:sz w:val="20"/>
                <w:szCs w:val="21"/>
              </w:rPr>
              <w:t>/C/123/D/2392/2014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EA766C">
            <w:pPr>
              <w:spacing w:before="240" w:line="240" w:lineRule="atLeast"/>
              <w:rPr>
                <w:sz w:val="20"/>
              </w:rPr>
            </w:pPr>
            <w:r w:rsidRPr="00F124C6">
              <w:rPr>
                <w:sz w:val="20"/>
              </w:rPr>
              <w:t xml:space="preserve">Distr.: </w:t>
            </w:r>
            <w:r w:rsidR="00EA766C" w:rsidRPr="00EA766C">
              <w:rPr>
                <w:sz w:val="20"/>
              </w:rPr>
              <w:t>General</w:t>
            </w:r>
          </w:p>
          <w:p w:rsidR="00CE1D1C" w:rsidRPr="00F124C6" w:rsidRDefault="00EA766C" w:rsidP="00B614C4">
            <w:pPr>
              <w:spacing w:line="240" w:lineRule="atLeast"/>
              <w:rPr>
                <w:sz w:val="20"/>
              </w:rPr>
            </w:pPr>
            <w:r>
              <w:rPr>
                <w:sz w:val="20"/>
              </w:rPr>
              <w:t xml:space="preserve">27 </w:t>
            </w:r>
            <w:r w:rsidRPr="00EA766C">
              <w:rPr>
                <w:sz w:val="20"/>
              </w:rPr>
              <w:t>August</w:t>
            </w:r>
            <w:r w:rsidR="00EA7E67">
              <w:rPr>
                <w:sz w:val="20"/>
              </w:rPr>
              <w:t xml:space="preserve"> 201</w:t>
            </w:r>
            <w:r>
              <w:rPr>
                <w:sz w:val="20"/>
              </w:rPr>
              <w:t>8</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395D66" w:rsidRDefault="00395D66"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395D66" w:rsidRDefault="00395D66" w:rsidP="00395D66">
      <w:pPr>
        <w:pStyle w:val="HChGC"/>
        <w:jc w:val="both"/>
      </w:pPr>
      <w:r>
        <w:tab/>
      </w:r>
      <w:r>
        <w:tab/>
      </w:r>
      <w:r w:rsidRPr="00395D66">
        <w:rPr>
          <w:rFonts w:hint="eastAsia"/>
        </w:rPr>
        <w:t>委员会根据《任择议定书》第五条第</w:t>
      </w:r>
      <w:r w:rsidRPr="00395D66">
        <w:rPr>
          <w:rFonts w:hint="eastAsia"/>
        </w:rPr>
        <w:t>4</w:t>
      </w:r>
      <w:r w:rsidRPr="00395D66">
        <w:rPr>
          <w:rFonts w:hint="eastAsia"/>
        </w:rPr>
        <w:t>款通过的关于第</w:t>
      </w:r>
      <w:r w:rsidRPr="00395D66">
        <w:rPr>
          <w:rFonts w:hint="eastAsia"/>
        </w:rPr>
        <w:t>2392/2014</w:t>
      </w:r>
      <w:r w:rsidRPr="00395D66">
        <w:rPr>
          <w:rFonts w:hint="eastAsia"/>
        </w:rPr>
        <w:t>号来文的意见</w:t>
      </w:r>
      <w:r w:rsidRPr="000B31D9">
        <w:rPr>
          <w:rStyle w:val="a8"/>
          <w:rFonts w:eastAsia="黑体"/>
          <w:sz w:val="28"/>
          <w:szCs w:val="40"/>
          <w:vertAlign w:val="baseline"/>
        </w:rPr>
        <w:footnoteReference w:customMarkFollows="1" w:id="2"/>
        <w:t>*</w:t>
      </w:r>
      <w:r w:rsidRPr="000B31D9">
        <w:rPr>
          <w:sz w:val="40"/>
          <w:szCs w:val="40"/>
        </w:rPr>
        <w:t xml:space="preserve"> </w:t>
      </w:r>
      <w:r w:rsidRPr="000B31D9">
        <w:rPr>
          <w:rStyle w:val="a8"/>
          <w:rFonts w:eastAsia="黑体"/>
          <w:sz w:val="28"/>
          <w:szCs w:val="40"/>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395D66" w:rsidTr="0069394F">
        <w:trPr>
          <w:cantSplit/>
        </w:trPr>
        <w:tc>
          <w:tcPr>
            <w:tcW w:w="2205" w:type="dxa"/>
          </w:tcPr>
          <w:p w:rsidR="00395D66" w:rsidRPr="00172E04" w:rsidRDefault="000B31D9" w:rsidP="0069394F">
            <w:pPr>
              <w:pStyle w:val="SingleTxtGC"/>
              <w:ind w:left="0" w:right="0"/>
              <w:rPr>
                <w:rFonts w:eastAsia="楷体"/>
              </w:rPr>
            </w:pPr>
            <w:r w:rsidRPr="000B31D9">
              <w:rPr>
                <w:rFonts w:ascii="Time New Roman" w:eastAsia="楷体" w:hAnsi="Time New Roman" w:hint="eastAsia"/>
              </w:rPr>
              <w:t>来文</w:t>
            </w:r>
            <w:r w:rsidR="00395D66" w:rsidRPr="00172E04">
              <w:rPr>
                <w:rFonts w:ascii="Time New Roman" w:eastAsia="楷体" w:hAnsi="Time New Roman" w:hint="eastAsia"/>
              </w:rPr>
              <w:t>提交人</w:t>
            </w:r>
            <w:r w:rsidR="00395D66" w:rsidRPr="00172E04">
              <w:rPr>
                <w:rFonts w:eastAsia="楷体" w:hint="eastAsia"/>
              </w:rPr>
              <w:t>：</w:t>
            </w:r>
          </w:p>
        </w:tc>
        <w:tc>
          <w:tcPr>
            <w:tcW w:w="4726" w:type="dxa"/>
          </w:tcPr>
          <w:p w:rsidR="00395D66" w:rsidRPr="00C74FB6" w:rsidRDefault="000B31D9" w:rsidP="0069394F">
            <w:pPr>
              <w:pStyle w:val="SingleTxtGC"/>
              <w:ind w:left="0" w:right="0"/>
            </w:pPr>
            <w:proofErr w:type="spellStart"/>
            <w:r w:rsidRPr="000B31D9">
              <w:rPr>
                <w:rFonts w:hint="eastAsia"/>
              </w:rPr>
              <w:t>S.</w:t>
            </w:r>
            <w:proofErr w:type="gramStart"/>
            <w:r w:rsidRPr="000B31D9">
              <w:rPr>
                <w:rFonts w:hint="eastAsia"/>
              </w:rPr>
              <w:t>Y</w:t>
            </w:r>
            <w:proofErr w:type="spellEnd"/>
            <w:r w:rsidRPr="000B31D9">
              <w:rPr>
                <w:rFonts w:hint="eastAsia"/>
              </w:rPr>
              <w:t>.(</w:t>
            </w:r>
            <w:proofErr w:type="gramEnd"/>
            <w:r w:rsidRPr="000B31D9">
              <w:rPr>
                <w:rFonts w:hint="eastAsia"/>
              </w:rPr>
              <w:t>由律师</w:t>
            </w:r>
            <w:r w:rsidRPr="000B31D9">
              <w:rPr>
                <w:rFonts w:hint="eastAsia"/>
              </w:rPr>
              <w:t xml:space="preserve">Willem </w:t>
            </w:r>
            <w:proofErr w:type="spellStart"/>
            <w:r w:rsidRPr="000B31D9">
              <w:rPr>
                <w:rFonts w:hint="eastAsia"/>
              </w:rPr>
              <w:t>H.Jebbink</w:t>
            </w:r>
            <w:proofErr w:type="spellEnd"/>
            <w:r w:rsidRPr="000B31D9">
              <w:rPr>
                <w:rFonts w:hint="eastAsia"/>
              </w:rPr>
              <w:t>代理</w:t>
            </w:r>
            <w:r w:rsidRPr="000B31D9">
              <w:rPr>
                <w:rFonts w:hint="eastAsia"/>
              </w:rPr>
              <w:t>)</w:t>
            </w:r>
          </w:p>
        </w:tc>
      </w:tr>
      <w:tr w:rsidR="00395D66" w:rsidTr="0069394F">
        <w:trPr>
          <w:cantSplit/>
        </w:trPr>
        <w:tc>
          <w:tcPr>
            <w:tcW w:w="2205" w:type="dxa"/>
          </w:tcPr>
          <w:p w:rsidR="00395D66" w:rsidRPr="00172E04" w:rsidRDefault="00395D66"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395D66" w:rsidRPr="00C74FB6" w:rsidRDefault="00395D66" w:rsidP="0069394F">
            <w:pPr>
              <w:pStyle w:val="SingleTxtGC"/>
              <w:ind w:left="0" w:right="0"/>
            </w:pPr>
            <w:r w:rsidRPr="00C74FB6">
              <w:rPr>
                <w:rFonts w:hint="eastAsia"/>
              </w:rPr>
              <w:t>提交人</w:t>
            </w:r>
          </w:p>
        </w:tc>
      </w:tr>
      <w:tr w:rsidR="00395D66" w:rsidTr="0069394F">
        <w:trPr>
          <w:cantSplit/>
        </w:trPr>
        <w:tc>
          <w:tcPr>
            <w:tcW w:w="2205" w:type="dxa"/>
          </w:tcPr>
          <w:p w:rsidR="00395D66" w:rsidRPr="00172E04" w:rsidRDefault="00395D66"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395D66" w:rsidRPr="00C74FB6" w:rsidRDefault="000B31D9" w:rsidP="0069394F">
            <w:pPr>
              <w:pStyle w:val="SingleTxtGC"/>
              <w:ind w:left="0" w:right="0"/>
            </w:pPr>
            <w:r w:rsidRPr="000B31D9">
              <w:rPr>
                <w:rFonts w:hint="eastAsia"/>
              </w:rPr>
              <w:t>荷兰</w:t>
            </w:r>
          </w:p>
        </w:tc>
      </w:tr>
      <w:tr w:rsidR="00395D66" w:rsidTr="0069394F">
        <w:trPr>
          <w:cantSplit/>
        </w:trPr>
        <w:tc>
          <w:tcPr>
            <w:tcW w:w="2205" w:type="dxa"/>
          </w:tcPr>
          <w:p w:rsidR="00395D66" w:rsidRPr="00172E04" w:rsidRDefault="00395D66"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395D66" w:rsidRPr="00C74FB6" w:rsidRDefault="000B31D9" w:rsidP="0069394F">
            <w:pPr>
              <w:pStyle w:val="SingleTxtGC"/>
              <w:ind w:left="0" w:right="0"/>
            </w:pPr>
            <w:r w:rsidRPr="000B31D9">
              <w:rPr>
                <w:rFonts w:hint="eastAsia"/>
              </w:rPr>
              <w:t>2014</w:t>
            </w:r>
            <w:r w:rsidRPr="000B31D9">
              <w:rPr>
                <w:rFonts w:hint="eastAsia"/>
              </w:rPr>
              <w:t>年</w:t>
            </w:r>
            <w:r w:rsidRPr="000B31D9">
              <w:rPr>
                <w:rFonts w:hint="eastAsia"/>
              </w:rPr>
              <w:t>1</w:t>
            </w:r>
            <w:r w:rsidRPr="000B31D9">
              <w:rPr>
                <w:rFonts w:hint="eastAsia"/>
              </w:rPr>
              <w:t>月</w:t>
            </w:r>
            <w:r w:rsidRPr="000B31D9">
              <w:rPr>
                <w:rFonts w:hint="eastAsia"/>
              </w:rPr>
              <w:t>15</w:t>
            </w:r>
            <w:r w:rsidRPr="000B31D9">
              <w:rPr>
                <w:rFonts w:hint="eastAsia"/>
              </w:rPr>
              <w:t>日</w:t>
            </w:r>
            <w:r w:rsidRPr="000B31D9">
              <w:rPr>
                <w:rFonts w:hint="eastAsia"/>
              </w:rPr>
              <w:t>(</w:t>
            </w:r>
            <w:r w:rsidRPr="000B31D9">
              <w:rPr>
                <w:rFonts w:hint="eastAsia"/>
              </w:rPr>
              <w:t>首次提交</w:t>
            </w:r>
            <w:r w:rsidRPr="000B31D9">
              <w:rPr>
                <w:rFonts w:hint="eastAsia"/>
              </w:rPr>
              <w:t>)</w:t>
            </w:r>
          </w:p>
        </w:tc>
      </w:tr>
      <w:tr w:rsidR="00395D66" w:rsidTr="0069394F">
        <w:trPr>
          <w:cantSplit/>
        </w:trPr>
        <w:tc>
          <w:tcPr>
            <w:tcW w:w="2205" w:type="dxa"/>
          </w:tcPr>
          <w:p w:rsidR="00395D66" w:rsidRPr="00172E04" w:rsidRDefault="00395D66"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395D66" w:rsidRPr="00C74FB6" w:rsidRDefault="007E3753" w:rsidP="0069394F">
            <w:pPr>
              <w:pStyle w:val="SingleTxtGC"/>
              <w:ind w:left="0" w:right="0"/>
              <w:rPr>
                <w:lang w:val="fr-CH"/>
              </w:rPr>
            </w:pPr>
            <w:r w:rsidRPr="007E3753">
              <w:rPr>
                <w:rFonts w:hint="eastAsia"/>
                <w:lang w:val="fr-CH"/>
              </w:rPr>
              <w:t>根据委员会议事规则第</w:t>
            </w:r>
            <w:r w:rsidRPr="007E3753">
              <w:rPr>
                <w:rFonts w:hint="eastAsia"/>
                <w:lang w:val="fr-CH"/>
              </w:rPr>
              <w:t>97</w:t>
            </w:r>
            <w:r w:rsidRPr="007E3753">
              <w:rPr>
                <w:rFonts w:hint="eastAsia"/>
                <w:lang w:val="fr-CH"/>
              </w:rPr>
              <w:t>条</w:t>
            </w:r>
            <w:proofErr w:type="gramStart"/>
            <w:r w:rsidRPr="007E3753">
              <w:rPr>
                <w:rFonts w:hint="eastAsia"/>
                <w:lang w:val="fr-CH"/>
              </w:rPr>
              <w:t>作出</w:t>
            </w:r>
            <w:proofErr w:type="gramEnd"/>
            <w:r w:rsidRPr="007E3753">
              <w:rPr>
                <w:rFonts w:hint="eastAsia"/>
                <w:lang w:val="fr-CH"/>
              </w:rPr>
              <w:t>的决定，</w:t>
            </w:r>
            <w:r w:rsidRPr="007E3753">
              <w:rPr>
                <w:rFonts w:hint="eastAsia"/>
                <w:lang w:val="fr-CH"/>
              </w:rPr>
              <w:t>2014</w:t>
            </w:r>
            <w:r w:rsidRPr="007E3753">
              <w:rPr>
                <w:rFonts w:hint="eastAsia"/>
                <w:lang w:val="fr-CH"/>
              </w:rPr>
              <w:t>年</w:t>
            </w:r>
            <w:r w:rsidRPr="007E3753">
              <w:rPr>
                <w:rFonts w:hint="eastAsia"/>
                <w:lang w:val="fr-CH"/>
              </w:rPr>
              <w:t>5</w:t>
            </w:r>
            <w:r w:rsidRPr="007E3753">
              <w:rPr>
                <w:rFonts w:hint="eastAsia"/>
                <w:lang w:val="fr-CH"/>
              </w:rPr>
              <w:t>月</w:t>
            </w:r>
            <w:r w:rsidRPr="007E3753">
              <w:rPr>
                <w:rFonts w:hint="eastAsia"/>
                <w:lang w:val="fr-CH"/>
              </w:rPr>
              <w:t>19</w:t>
            </w:r>
            <w:r w:rsidRPr="007E3753">
              <w:rPr>
                <w:rFonts w:hint="eastAsia"/>
                <w:lang w:val="fr-CH"/>
              </w:rPr>
              <w:t>日向缔约国转交</w:t>
            </w:r>
            <w:r w:rsidRPr="007E3753">
              <w:rPr>
                <w:rFonts w:hint="eastAsia"/>
                <w:lang w:val="fr-CH"/>
              </w:rPr>
              <w:t>(</w:t>
            </w:r>
            <w:r w:rsidRPr="007E3753">
              <w:rPr>
                <w:rFonts w:hint="eastAsia"/>
                <w:lang w:val="fr-CH"/>
              </w:rPr>
              <w:t>未以文件形式印发</w:t>
            </w:r>
            <w:r w:rsidRPr="007E3753">
              <w:rPr>
                <w:rFonts w:hint="eastAsia"/>
                <w:lang w:val="fr-CH"/>
              </w:rPr>
              <w:t>)</w:t>
            </w:r>
          </w:p>
        </w:tc>
      </w:tr>
      <w:tr w:rsidR="00395D66" w:rsidTr="0069394F">
        <w:trPr>
          <w:cantSplit/>
        </w:trPr>
        <w:tc>
          <w:tcPr>
            <w:tcW w:w="2205" w:type="dxa"/>
          </w:tcPr>
          <w:p w:rsidR="00395D66" w:rsidRPr="00172E04" w:rsidRDefault="007E3753" w:rsidP="0069394F">
            <w:pPr>
              <w:pStyle w:val="SingleTxtGC"/>
              <w:ind w:left="0" w:right="0"/>
              <w:rPr>
                <w:rFonts w:ascii="Time New Roman" w:eastAsia="楷体" w:hAnsi="Time New Roman" w:hint="eastAsia"/>
              </w:rPr>
            </w:pPr>
            <w:r>
              <w:rPr>
                <w:rFonts w:eastAsia="楷体" w:hint="eastAsia"/>
              </w:rPr>
              <w:t>意见</w:t>
            </w:r>
            <w:r w:rsidR="00395D66" w:rsidRPr="00172E04">
              <w:rPr>
                <w:rFonts w:eastAsia="楷体" w:hint="eastAsia"/>
              </w:rPr>
              <w:t>通过日期</w:t>
            </w:r>
            <w:r w:rsidR="00395D66" w:rsidRPr="00172E04">
              <w:rPr>
                <w:rFonts w:ascii="Time New Roman" w:eastAsia="楷体" w:hAnsi="Time New Roman" w:hint="eastAsia"/>
              </w:rPr>
              <w:t>：</w:t>
            </w:r>
          </w:p>
        </w:tc>
        <w:tc>
          <w:tcPr>
            <w:tcW w:w="4726" w:type="dxa"/>
          </w:tcPr>
          <w:p w:rsidR="00395D66" w:rsidRPr="00C74FB6" w:rsidRDefault="007E3753" w:rsidP="0069394F">
            <w:pPr>
              <w:pStyle w:val="SingleTxtGC"/>
              <w:ind w:left="0" w:right="0"/>
              <w:rPr>
                <w:lang w:val="fr-CH"/>
              </w:rPr>
            </w:pPr>
            <w:r w:rsidRPr="007E3753">
              <w:rPr>
                <w:rFonts w:hint="eastAsia"/>
                <w:snapToGrid/>
              </w:rPr>
              <w:t>2018</w:t>
            </w:r>
            <w:r w:rsidRPr="007E3753">
              <w:rPr>
                <w:rFonts w:hint="eastAsia"/>
                <w:snapToGrid/>
              </w:rPr>
              <w:t>年</w:t>
            </w:r>
            <w:r w:rsidRPr="007E3753">
              <w:rPr>
                <w:rFonts w:hint="eastAsia"/>
                <w:snapToGrid/>
              </w:rPr>
              <w:t>7</w:t>
            </w:r>
            <w:r w:rsidRPr="007E3753">
              <w:rPr>
                <w:rFonts w:hint="eastAsia"/>
                <w:snapToGrid/>
              </w:rPr>
              <w:t>月</w:t>
            </w:r>
            <w:r w:rsidRPr="007E3753">
              <w:rPr>
                <w:rFonts w:hint="eastAsia"/>
                <w:snapToGrid/>
              </w:rPr>
              <w:t>17</w:t>
            </w:r>
            <w:r w:rsidRPr="007E3753">
              <w:rPr>
                <w:rFonts w:hint="eastAsia"/>
                <w:snapToGrid/>
              </w:rPr>
              <w:t>日</w:t>
            </w:r>
          </w:p>
        </w:tc>
      </w:tr>
      <w:tr w:rsidR="00395D66" w:rsidTr="0069394F">
        <w:trPr>
          <w:cantSplit/>
        </w:trPr>
        <w:tc>
          <w:tcPr>
            <w:tcW w:w="2205" w:type="dxa"/>
          </w:tcPr>
          <w:p w:rsidR="00395D66" w:rsidRPr="00172E04" w:rsidRDefault="00395D66"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395D66" w:rsidRPr="00C74FB6" w:rsidRDefault="007E3753" w:rsidP="0069394F">
            <w:pPr>
              <w:pStyle w:val="SingleTxtGC"/>
              <w:ind w:left="0" w:right="0"/>
              <w:rPr>
                <w:snapToGrid/>
              </w:rPr>
            </w:pPr>
            <w:r w:rsidRPr="007E3753">
              <w:rPr>
                <w:rFonts w:hint="eastAsia"/>
                <w:snapToGrid/>
              </w:rPr>
              <w:t>刑事诉讼行为</w:t>
            </w:r>
          </w:p>
        </w:tc>
      </w:tr>
      <w:tr w:rsidR="00395D66" w:rsidTr="0069394F">
        <w:trPr>
          <w:cantSplit/>
        </w:trPr>
        <w:tc>
          <w:tcPr>
            <w:tcW w:w="2205" w:type="dxa"/>
          </w:tcPr>
          <w:p w:rsidR="00395D66" w:rsidRPr="00172E04" w:rsidRDefault="00395D66"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395D66" w:rsidRPr="00C74FB6" w:rsidRDefault="007E3753" w:rsidP="0069394F">
            <w:pPr>
              <w:pStyle w:val="SingleTxtGC"/>
              <w:ind w:left="0" w:right="0"/>
              <w:rPr>
                <w:snapToGrid/>
              </w:rPr>
            </w:pPr>
            <w:r w:rsidRPr="007E3753">
              <w:rPr>
                <w:rFonts w:hint="eastAsia"/>
                <w:snapToGrid/>
              </w:rPr>
              <w:t>同一事项由另一国际调查或解决程序审查；用尽国内补救办法</w:t>
            </w:r>
          </w:p>
        </w:tc>
      </w:tr>
      <w:tr w:rsidR="00395D66" w:rsidTr="0069394F">
        <w:trPr>
          <w:cantSplit/>
        </w:trPr>
        <w:tc>
          <w:tcPr>
            <w:tcW w:w="2205" w:type="dxa"/>
          </w:tcPr>
          <w:p w:rsidR="00395D66" w:rsidRPr="00172E04" w:rsidRDefault="00395D66"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395D66" w:rsidRPr="00C657A9" w:rsidRDefault="007E3753" w:rsidP="0069394F">
            <w:pPr>
              <w:pStyle w:val="SingleTxtGC"/>
              <w:ind w:left="0" w:right="0"/>
              <w:rPr>
                <w:snapToGrid/>
              </w:rPr>
            </w:pPr>
            <w:r w:rsidRPr="007E3753">
              <w:rPr>
                <w:rFonts w:hint="eastAsia"/>
                <w:snapToGrid/>
              </w:rPr>
              <w:t>刑事定罪和判刑的上诉权；获得充足便利为在上诉程序中准备辩护的权利；有效补救权</w:t>
            </w:r>
          </w:p>
        </w:tc>
      </w:tr>
      <w:tr w:rsidR="00395D66" w:rsidTr="0069394F">
        <w:trPr>
          <w:cantSplit/>
        </w:trPr>
        <w:tc>
          <w:tcPr>
            <w:tcW w:w="2205" w:type="dxa"/>
          </w:tcPr>
          <w:p w:rsidR="00395D66" w:rsidRPr="00172E04" w:rsidRDefault="00395D66"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395D66" w:rsidRPr="00C657A9" w:rsidRDefault="00331CAC" w:rsidP="0069394F">
            <w:pPr>
              <w:pStyle w:val="SingleTxtGC"/>
              <w:ind w:left="0" w:right="0"/>
              <w:rPr>
                <w:snapToGrid/>
              </w:rPr>
            </w:pPr>
            <w:r w:rsidRPr="00331CAC">
              <w:rPr>
                <w:rFonts w:hint="eastAsia"/>
                <w:snapToGrid/>
              </w:rPr>
              <w:t>第二条第三款</w:t>
            </w:r>
            <w:r w:rsidRPr="00331CAC">
              <w:rPr>
                <w:rFonts w:hint="eastAsia"/>
                <w:snapToGrid/>
              </w:rPr>
              <w:t>(</w:t>
            </w:r>
            <w:r w:rsidRPr="00331CAC">
              <w:rPr>
                <w:rFonts w:hint="eastAsia"/>
                <w:snapToGrid/>
              </w:rPr>
              <w:t>甲</w:t>
            </w:r>
            <w:r w:rsidRPr="00331CAC">
              <w:rPr>
                <w:rFonts w:hint="eastAsia"/>
                <w:snapToGrid/>
              </w:rPr>
              <w:t>)</w:t>
            </w:r>
            <w:r w:rsidRPr="00331CAC">
              <w:rPr>
                <w:rFonts w:hint="eastAsia"/>
                <w:snapToGrid/>
              </w:rPr>
              <w:t>项和第十四条第五款</w:t>
            </w:r>
          </w:p>
        </w:tc>
      </w:tr>
      <w:tr w:rsidR="00395D66" w:rsidTr="0069394F">
        <w:trPr>
          <w:cantSplit/>
        </w:trPr>
        <w:tc>
          <w:tcPr>
            <w:tcW w:w="2205" w:type="dxa"/>
          </w:tcPr>
          <w:p w:rsidR="00395D66" w:rsidRPr="00172E04" w:rsidRDefault="00395D66"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395D66" w:rsidRDefault="00331CAC" w:rsidP="0069394F">
            <w:pPr>
              <w:pStyle w:val="SingleTxtGC"/>
              <w:ind w:left="0" w:right="0"/>
              <w:rPr>
                <w:snapToGrid/>
              </w:rPr>
            </w:pPr>
            <w:r w:rsidRPr="00331CAC">
              <w:rPr>
                <w:rFonts w:hint="eastAsia"/>
                <w:snapToGrid/>
              </w:rPr>
              <w:t>第五条第</w:t>
            </w:r>
            <w:r w:rsidRPr="00331CAC">
              <w:rPr>
                <w:rFonts w:hint="eastAsia"/>
                <w:snapToGrid/>
              </w:rPr>
              <w:t>2</w:t>
            </w:r>
            <w:r w:rsidRPr="00331CAC">
              <w:rPr>
                <w:rFonts w:hint="eastAsia"/>
                <w:snapToGrid/>
              </w:rPr>
              <w:t>款</w:t>
            </w:r>
            <w:r w:rsidRPr="00331CAC">
              <w:rPr>
                <w:rFonts w:hint="eastAsia"/>
                <w:snapToGrid/>
              </w:rPr>
              <w:t>(</w:t>
            </w:r>
            <w:r w:rsidRPr="00331CAC">
              <w:rPr>
                <w:rFonts w:hint="eastAsia"/>
                <w:snapToGrid/>
              </w:rPr>
              <w:t>子</w:t>
            </w:r>
            <w:r w:rsidRPr="00331CAC">
              <w:rPr>
                <w:rFonts w:hint="eastAsia"/>
                <w:snapToGrid/>
              </w:rPr>
              <w:t>)</w:t>
            </w:r>
            <w:r w:rsidRPr="00331CAC">
              <w:rPr>
                <w:rFonts w:hint="eastAsia"/>
                <w:snapToGrid/>
              </w:rPr>
              <w:t>项和</w:t>
            </w:r>
            <w:r w:rsidRPr="00331CAC">
              <w:rPr>
                <w:rFonts w:hint="eastAsia"/>
                <w:snapToGrid/>
              </w:rPr>
              <w:t>(</w:t>
            </w:r>
            <w:r w:rsidRPr="00331CAC">
              <w:rPr>
                <w:rFonts w:hint="eastAsia"/>
                <w:snapToGrid/>
              </w:rPr>
              <w:t>丑</w:t>
            </w:r>
            <w:r w:rsidRPr="00331CAC">
              <w:rPr>
                <w:rFonts w:hint="eastAsia"/>
                <w:snapToGrid/>
              </w:rPr>
              <w:t>)</w:t>
            </w:r>
            <w:r w:rsidRPr="00331CAC">
              <w:rPr>
                <w:rFonts w:hint="eastAsia"/>
                <w:snapToGrid/>
              </w:rPr>
              <w:t>项</w:t>
            </w:r>
          </w:p>
        </w:tc>
      </w:tr>
    </w:tbl>
    <w:p w:rsidR="00370C84" w:rsidRPr="00370C84" w:rsidRDefault="00370C84" w:rsidP="00A9205E">
      <w:pPr>
        <w:pStyle w:val="SingleTxtGC"/>
        <w:spacing w:before="120"/>
      </w:pPr>
      <w:r w:rsidRPr="00370C84">
        <w:t>1.</w:t>
      </w:r>
      <w:r w:rsidR="00310CB7">
        <w:t xml:space="preserve">  </w:t>
      </w:r>
      <w:r w:rsidRPr="00370C84">
        <w:t>来文提交人</w:t>
      </w:r>
      <w:proofErr w:type="spellStart"/>
      <w:r w:rsidRPr="00370C84">
        <w:t>S.Y</w:t>
      </w:r>
      <w:proofErr w:type="spellEnd"/>
      <w:r w:rsidRPr="00370C84">
        <w:t>.</w:t>
      </w:r>
      <w:r w:rsidRPr="00370C84">
        <w:t>，荷兰国民，生于</w:t>
      </w:r>
      <w:r w:rsidRPr="00370C84">
        <w:t>1971</w:t>
      </w:r>
      <w:r w:rsidRPr="00370C84">
        <w:t>年。她声称，缔约国侵犯了她在《公约》第二条第三款</w:t>
      </w:r>
      <w:r w:rsidRPr="00370C84">
        <w:t>(</w:t>
      </w:r>
      <w:r w:rsidRPr="00370C84">
        <w:t>甲</w:t>
      </w:r>
      <w:r w:rsidRPr="00370C84">
        <w:t>)</w:t>
      </w:r>
      <w:r w:rsidRPr="00370C84">
        <w:t>项和第十四条第五款下的权利。《任择议定书》于</w:t>
      </w:r>
      <w:r w:rsidRPr="00370C84">
        <w:t>1979</w:t>
      </w:r>
      <w:r w:rsidRPr="00370C84">
        <w:t>年</w:t>
      </w:r>
      <w:r w:rsidRPr="00370C84">
        <w:t>3</w:t>
      </w:r>
      <w:r w:rsidRPr="00370C84">
        <w:t>月</w:t>
      </w:r>
      <w:r w:rsidRPr="00370C84">
        <w:t>11</w:t>
      </w:r>
      <w:r w:rsidRPr="00370C84">
        <w:t>日对荷兰生效。提交人由律师代理。</w:t>
      </w:r>
    </w:p>
    <w:p w:rsidR="00370C84" w:rsidRPr="00370C84" w:rsidRDefault="00370C84" w:rsidP="00F23791">
      <w:pPr>
        <w:pStyle w:val="H23GC"/>
      </w:pPr>
      <w:r w:rsidRPr="00370C84">
        <w:lastRenderedPageBreak/>
        <w:tab/>
      </w:r>
      <w:r w:rsidRPr="00370C84">
        <w:tab/>
      </w:r>
      <w:r w:rsidRPr="00370C84">
        <w:t>提交人陈述的事实</w:t>
      </w:r>
    </w:p>
    <w:p w:rsidR="00370C84" w:rsidRPr="00370C84" w:rsidRDefault="00370C84" w:rsidP="00370C84">
      <w:pPr>
        <w:pStyle w:val="SingleTxtGC"/>
      </w:pPr>
      <w:r w:rsidRPr="00370C84">
        <w:t>2.1</w:t>
      </w:r>
      <w:r w:rsidR="00310CB7">
        <w:t xml:space="preserve">  </w:t>
      </w:r>
      <w:r w:rsidRPr="00370C84">
        <w:t>2008</w:t>
      </w:r>
      <w:r w:rsidRPr="00370C84">
        <w:t>年</w:t>
      </w:r>
      <w:r w:rsidRPr="00370C84">
        <w:t>7</w:t>
      </w:r>
      <w:r w:rsidRPr="00370C84">
        <w:t>月</w:t>
      </w:r>
      <w:r w:rsidRPr="00370C84">
        <w:t>7</w:t>
      </w:r>
      <w:r w:rsidRPr="00370C84">
        <w:t>日，提交人被传唤，于</w:t>
      </w:r>
      <w:r w:rsidRPr="00370C84">
        <w:t>2008</w:t>
      </w:r>
      <w:r w:rsidRPr="00370C84">
        <w:t>年</w:t>
      </w:r>
      <w:r w:rsidRPr="00370C84">
        <w:t>9</w:t>
      </w:r>
      <w:r w:rsidRPr="00370C84">
        <w:t>月</w:t>
      </w:r>
      <w:r w:rsidRPr="00370C84">
        <w:t>2</w:t>
      </w:r>
      <w:r w:rsidRPr="00370C84">
        <w:t>日在乌特勒支地区法院出庭，事关袭击</w:t>
      </w:r>
      <w:r w:rsidRPr="00370C84">
        <w:t>C.A.</w:t>
      </w:r>
      <w:r w:rsidRPr="00370C84">
        <w:t>，根据荷兰《刑法》第</w:t>
      </w:r>
      <w:r w:rsidRPr="00370C84">
        <w:t>300</w:t>
      </w:r>
      <w:r w:rsidRPr="00370C84">
        <w:t>条，袭击属于刑事犯罪。</w:t>
      </w:r>
      <w:r w:rsidRPr="00370C84">
        <w:t>2008</w:t>
      </w:r>
      <w:r w:rsidRPr="00370C84">
        <w:t>年</w:t>
      </w:r>
      <w:r w:rsidRPr="00370C84">
        <w:t>9</w:t>
      </w:r>
      <w:r w:rsidRPr="00370C84">
        <w:t>月</w:t>
      </w:r>
      <w:r w:rsidRPr="00370C84">
        <w:t>2</w:t>
      </w:r>
      <w:r w:rsidRPr="00370C84">
        <w:t>日，在提交人律师的请求下，对提交人刑事案件的审理延期到</w:t>
      </w:r>
      <w:r w:rsidRPr="00370C84">
        <w:t>2008</w:t>
      </w:r>
      <w:r w:rsidRPr="00370C84">
        <w:t>年</w:t>
      </w:r>
      <w:r w:rsidRPr="00370C84">
        <w:t>12</w:t>
      </w:r>
      <w:r w:rsidRPr="00370C84">
        <w:t>月</w:t>
      </w:r>
      <w:r w:rsidRPr="00370C84">
        <w:t>5</w:t>
      </w:r>
      <w:r w:rsidRPr="00370C84">
        <w:t>日。</w:t>
      </w:r>
      <w:r w:rsidRPr="00B922FB">
        <w:rPr>
          <w:rStyle w:val="a8"/>
          <w:rFonts w:eastAsia="宋体"/>
        </w:rPr>
        <w:footnoteReference w:id="4"/>
      </w:r>
    </w:p>
    <w:p w:rsidR="00370C84" w:rsidRPr="00370C84" w:rsidRDefault="00370C84" w:rsidP="00370C84">
      <w:pPr>
        <w:pStyle w:val="SingleTxtGC"/>
      </w:pPr>
      <w:r w:rsidRPr="00370C84">
        <w:t>2.2</w:t>
      </w:r>
      <w:r w:rsidR="00310CB7">
        <w:t xml:space="preserve">  </w:t>
      </w:r>
      <w:r w:rsidRPr="00370C84">
        <w:t>2008</w:t>
      </w:r>
      <w:r w:rsidRPr="00370C84">
        <w:t>年</w:t>
      </w:r>
      <w:r w:rsidRPr="00370C84">
        <w:t>12</w:t>
      </w:r>
      <w:r w:rsidRPr="00370C84">
        <w:t>月</w:t>
      </w:r>
      <w:r w:rsidRPr="00370C84">
        <w:t>5</w:t>
      </w:r>
      <w:r w:rsidRPr="00370C84">
        <w:t>日，在庭审中，提交人亲自出庭。她声称她是无辜的，而且她本人是</w:t>
      </w:r>
      <w:r w:rsidRPr="00370C84">
        <w:t>C.A.</w:t>
      </w:r>
      <w:r w:rsidRPr="00370C84">
        <w:t>的一次袭击的受害者。在该案审判后，乌特勒支地区法院立即</w:t>
      </w:r>
      <w:proofErr w:type="gramStart"/>
      <w:r w:rsidRPr="00370C84">
        <w:t>作出</w:t>
      </w:r>
      <w:proofErr w:type="gramEnd"/>
      <w:r w:rsidRPr="00370C84">
        <w:t>口头判决，判定提交人犯有袭击罪，并判</w:t>
      </w:r>
      <w:r w:rsidRPr="00370C84">
        <w:t>250</w:t>
      </w:r>
      <w:r w:rsidRPr="00370C84">
        <w:t>欧元罚款和赔付</w:t>
      </w:r>
      <w:r w:rsidRPr="00370C84">
        <w:t>C.A.</w:t>
      </w:r>
      <w:r w:rsidR="00B8604B">
        <w:t xml:space="preserve"> </w:t>
      </w:r>
      <w:r w:rsidRPr="00370C84">
        <w:t>200</w:t>
      </w:r>
      <w:r w:rsidRPr="00370C84">
        <w:t>欧元损害赔偿金。根据《刑事诉讼法》第</w:t>
      </w:r>
      <w:r w:rsidRPr="00370C84">
        <w:t>365</w:t>
      </w:r>
      <w:r w:rsidRPr="00370C84">
        <w:t>条</w:t>
      </w:r>
      <w:r w:rsidRPr="00370C84">
        <w:t>(a)</w:t>
      </w:r>
      <w:r w:rsidRPr="00370C84">
        <w:t>项，</w:t>
      </w:r>
      <w:r w:rsidRPr="00B922FB">
        <w:rPr>
          <w:rStyle w:val="a8"/>
          <w:rFonts w:eastAsia="宋体"/>
        </w:rPr>
        <w:footnoteReference w:id="5"/>
      </w:r>
      <w:r w:rsidR="005421B3">
        <w:rPr>
          <w:rFonts w:hint="eastAsia"/>
        </w:rPr>
        <w:t xml:space="preserve"> </w:t>
      </w:r>
      <w:proofErr w:type="gramStart"/>
      <w:r w:rsidRPr="00370C84">
        <w:t>法官宣布了一项</w:t>
      </w:r>
      <w:r w:rsidRPr="00370C84">
        <w:rPr>
          <w:rFonts w:hint="eastAsia"/>
        </w:rPr>
        <w:t>“</w:t>
      </w:r>
      <w:proofErr w:type="gramEnd"/>
      <w:r w:rsidRPr="00370C84">
        <w:t>简略</w:t>
      </w:r>
      <w:r w:rsidRPr="00370C84">
        <w:rPr>
          <w:rFonts w:hint="eastAsia"/>
        </w:rPr>
        <w:t>”</w:t>
      </w:r>
      <w:r w:rsidRPr="00370C84">
        <w:t>口头判决，不需要补充证据。鉴于根据《刑事诉讼法》第</w:t>
      </w:r>
      <w:r w:rsidRPr="00370C84">
        <w:t>365</w:t>
      </w:r>
      <w:r w:rsidRPr="00370C84">
        <w:t>条</w:t>
      </w:r>
      <w:r w:rsidRPr="00370C84">
        <w:t>(a)</w:t>
      </w:r>
      <w:r w:rsidRPr="00370C84">
        <w:t>项、第</w:t>
      </w:r>
      <w:r w:rsidRPr="00370C84">
        <w:t>378</w:t>
      </w:r>
      <w:r w:rsidRPr="00370C84">
        <w:t>条和第</w:t>
      </w:r>
      <w:r w:rsidRPr="00370C84">
        <w:t>378</w:t>
      </w:r>
      <w:r w:rsidRPr="00370C84">
        <w:t>条</w:t>
      </w:r>
      <w:r w:rsidRPr="00370C84">
        <w:t>(a)</w:t>
      </w:r>
      <w:r w:rsidRPr="00370C84">
        <w:t>项，</w:t>
      </w:r>
      <w:r w:rsidRPr="00B922FB">
        <w:rPr>
          <w:rStyle w:val="a8"/>
          <w:rFonts w:eastAsia="宋体"/>
        </w:rPr>
        <w:footnoteReference w:id="6"/>
      </w:r>
      <w:r w:rsidR="005421B3">
        <w:rPr>
          <w:rFonts w:hint="eastAsia"/>
        </w:rPr>
        <w:t xml:space="preserve"> </w:t>
      </w:r>
      <w:r w:rsidRPr="00370C84">
        <w:t>没有必要编写审判记录，因而，本案无任何记录。</w:t>
      </w:r>
    </w:p>
    <w:p w:rsidR="00370C84" w:rsidRPr="00370C84" w:rsidRDefault="00370C84" w:rsidP="00370C84">
      <w:pPr>
        <w:pStyle w:val="SingleTxtGC"/>
      </w:pPr>
      <w:r w:rsidRPr="00370C84">
        <w:t>2.3</w:t>
      </w:r>
      <w:r w:rsidR="00310CB7">
        <w:t xml:space="preserve">  </w:t>
      </w:r>
      <w:r w:rsidRPr="00370C84">
        <w:t>2008</w:t>
      </w:r>
      <w:r w:rsidRPr="00370C84">
        <w:t>年</w:t>
      </w:r>
      <w:r w:rsidRPr="00370C84">
        <w:t>12</w:t>
      </w:r>
      <w:r w:rsidRPr="00370C84">
        <w:t>月</w:t>
      </w:r>
      <w:r w:rsidRPr="00370C84">
        <w:t>18</w:t>
      </w:r>
      <w:r w:rsidRPr="00370C84">
        <w:t>日，根据《刑事诉讼法》第</w:t>
      </w:r>
      <w:r w:rsidRPr="00370C84">
        <w:t>410</w:t>
      </w:r>
      <w:r w:rsidRPr="00370C84">
        <w:t>条</w:t>
      </w:r>
      <w:r w:rsidRPr="00370C84">
        <w:t>(a)</w:t>
      </w:r>
      <w:r w:rsidRPr="00370C84">
        <w:t>项，</w:t>
      </w:r>
      <w:r w:rsidRPr="00B922FB">
        <w:rPr>
          <w:rStyle w:val="a8"/>
          <w:rFonts w:eastAsia="宋体"/>
        </w:rPr>
        <w:footnoteReference w:id="7"/>
      </w:r>
      <w:r w:rsidR="005421B3">
        <w:rPr>
          <w:rFonts w:hint="eastAsia"/>
        </w:rPr>
        <w:t xml:space="preserve"> </w:t>
      </w:r>
      <w:r w:rsidRPr="00370C84">
        <w:t>提交人向阿纳</w:t>
      </w:r>
      <w:proofErr w:type="gramStart"/>
      <w:r w:rsidRPr="00370C84">
        <w:t>姆</w:t>
      </w:r>
      <w:proofErr w:type="gramEnd"/>
      <w:r w:rsidRPr="00370C84">
        <w:t>上诉法院申请允许对乌特勒支地区法院的判决进行上诉。</w:t>
      </w:r>
      <w:r w:rsidRPr="00370C84">
        <w:t>2009</w:t>
      </w:r>
      <w:r w:rsidRPr="00370C84">
        <w:t>年</w:t>
      </w:r>
      <w:r w:rsidRPr="00370C84">
        <w:t>1</w:t>
      </w:r>
      <w:r w:rsidRPr="00370C84">
        <w:t>月</w:t>
      </w:r>
      <w:r w:rsidRPr="00370C84">
        <w:t>2</w:t>
      </w:r>
      <w:r w:rsidRPr="00370C84">
        <w:t>日，提交人的律师提交了一份声明，列出了上诉理由，但他没有说明理由的书面判决、审理笔录或乌特勒支地区法院所使用的证据清单，作为声明的依据。在该声明中，提交人的律师请求上诉法院，除其他外，听取两名证人作证。在</w:t>
      </w:r>
      <w:r w:rsidRPr="00370C84">
        <w:t>2010</w:t>
      </w:r>
      <w:r w:rsidRPr="00370C84">
        <w:t>年</w:t>
      </w:r>
      <w:r w:rsidRPr="00370C84">
        <w:t>4</w:t>
      </w:r>
      <w:r w:rsidRPr="00370C84">
        <w:t>月</w:t>
      </w:r>
      <w:r w:rsidRPr="00370C84">
        <w:t>23</w:t>
      </w:r>
      <w:r w:rsidRPr="00370C84">
        <w:t>日的决定中，上诉法院裁定，提交人的上诉不会被审理，因为适当司法利益不要求该案进行上诉审理。</w:t>
      </w:r>
    </w:p>
    <w:p w:rsidR="00370C84" w:rsidRPr="00370C84" w:rsidRDefault="00370C84" w:rsidP="00370C84">
      <w:pPr>
        <w:pStyle w:val="SingleTxtGC"/>
      </w:pPr>
      <w:r w:rsidRPr="00370C84">
        <w:t>2.4</w:t>
      </w:r>
      <w:r w:rsidR="00310CB7">
        <w:t xml:space="preserve">  </w:t>
      </w:r>
      <w:r w:rsidRPr="00370C84">
        <w:t>根据《刑事诉讼法》第</w:t>
      </w:r>
      <w:r w:rsidRPr="00370C84">
        <w:t>410</w:t>
      </w:r>
      <w:r w:rsidRPr="00370C84">
        <w:t>条</w:t>
      </w:r>
      <w:r w:rsidRPr="00370C84">
        <w:t>(a)(7)</w:t>
      </w:r>
      <w:r w:rsidRPr="00370C84">
        <w:t>项，不可能对上诉法院的裁决提出推翻原判上诉。</w:t>
      </w:r>
      <w:r w:rsidRPr="00B922FB">
        <w:rPr>
          <w:rStyle w:val="a8"/>
          <w:rFonts w:eastAsia="宋体"/>
        </w:rPr>
        <w:footnoteReference w:id="8"/>
      </w:r>
      <w:r w:rsidR="005421B3">
        <w:rPr>
          <w:rFonts w:hint="eastAsia"/>
        </w:rPr>
        <w:t xml:space="preserve"> </w:t>
      </w:r>
      <w:r w:rsidRPr="00370C84">
        <w:t>提交人认为，因此，她已用尽所有可用的和有效的国内补救办法。</w:t>
      </w:r>
    </w:p>
    <w:p w:rsidR="00370C84" w:rsidRPr="00370C84" w:rsidRDefault="00370C84" w:rsidP="00370C84">
      <w:pPr>
        <w:pStyle w:val="SingleTxtGC"/>
      </w:pPr>
      <w:r w:rsidRPr="00370C84">
        <w:lastRenderedPageBreak/>
        <w:t>2.5</w:t>
      </w:r>
      <w:r w:rsidR="00310CB7">
        <w:t xml:space="preserve">  </w:t>
      </w:r>
      <w:r w:rsidRPr="00370C84">
        <w:t>提交人称，来文事由现在未由另一国际调查或解决程序审查。</w:t>
      </w:r>
      <w:r w:rsidRPr="00370C84">
        <w:t>2010</w:t>
      </w:r>
      <w:r w:rsidRPr="00370C84">
        <w:t>年</w:t>
      </w:r>
      <w:r w:rsidRPr="00370C84">
        <w:t>7</w:t>
      </w:r>
      <w:r w:rsidRPr="00370C84">
        <w:t>月</w:t>
      </w:r>
      <w:r w:rsidRPr="00370C84">
        <w:t>5</w:t>
      </w:r>
      <w:r w:rsidRPr="00370C84">
        <w:t>日，提交人向欧洲人权法院提交一项申请，声称她获得公平审判的权利、尊重家庭和私人生活的权利和获得有效补救的权利遭到侵犯，而且违反了禁止歧视和禁止滥用权利</w:t>
      </w:r>
      <w:r w:rsidRPr="00370C84">
        <w:rPr>
          <w:rFonts w:hint="eastAsia"/>
        </w:rPr>
        <w:t>等规定</w:t>
      </w:r>
      <w:r w:rsidRPr="00370C84">
        <w:t>。</w:t>
      </w:r>
      <w:r w:rsidRPr="00370C84">
        <w:t>2012</w:t>
      </w:r>
      <w:r w:rsidRPr="00370C84">
        <w:t>年</w:t>
      </w:r>
      <w:r w:rsidRPr="00370C84">
        <w:t>10</w:t>
      </w:r>
      <w:r w:rsidRPr="00370C84">
        <w:t>月</w:t>
      </w:r>
      <w:r w:rsidRPr="00370C84">
        <w:t>4</w:t>
      </w:r>
      <w:r w:rsidRPr="00370C84">
        <w:t>日，法庭</w:t>
      </w:r>
      <w:r w:rsidRPr="00370C84">
        <w:t>(</w:t>
      </w:r>
      <w:r w:rsidRPr="00370C84">
        <w:t>独任法官组庭</w:t>
      </w:r>
      <w:r w:rsidRPr="00370C84">
        <w:t>)</w:t>
      </w:r>
      <w:r w:rsidRPr="00370C84">
        <w:t>宣布，提交人的申诉不可受理。</w:t>
      </w:r>
      <w:r w:rsidRPr="00B922FB">
        <w:rPr>
          <w:rStyle w:val="a8"/>
          <w:rFonts w:eastAsia="宋体"/>
        </w:rPr>
        <w:footnoteReference w:id="9"/>
      </w:r>
    </w:p>
    <w:p w:rsidR="00370C84" w:rsidRPr="00370C84" w:rsidRDefault="00370C84" w:rsidP="0049396F">
      <w:pPr>
        <w:pStyle w:val="H23GC"/>
      </w:pPr>
      <w:r w:rsidRPr="00370C84">
        <w:tab/>
      </w:r>
      <w:r w:rsidRPr="00370C84">
        <w:tab/>
      </w:r>
      <w:r w:rsidRPr="00370C84">
        <w:rPr>
          <w:bCs/>
        </w:rPr>
        <w:t>申诉</w:t>
      </w:r>
    </w:p>
    <w:p w:rsidR="00370C84" w:rsidRPr="00370C84" w:rsidRDefault="00370C84" w:rsidP="00370C84">
      <w:pPr>
        <w:pStyle w:val="SingleTxtGC"/>
      </w:pPr>
      <w:r w:rsidRPr="00370C84">
        <w:t>3.</w:t>
      </w:r>
      <w:r w:rsidR="00310CB7">
        <w:t xml:space="preserve">  </w:t>
      </w:r>
      <w:r w:rsidRPr="00370C84">
        <w:t>提交人称，如《公约》第十四条第五款之规定，她有权使其刑事案件在两级法庭审理，这一权利遭到违反，因为她无法以有效和有意义的方式行使其上诉权。特别是，在其律师需要提交一份列明上诉理由的一项声明时，她没有一份适当说明理由的书面判决、审判记录或乌特勒支地区使用的证据清单。因此，她不知道为什么她被乌特勒支地区法院判定有罪，对她使用了哪些证据。因此，她没有充足便利为在上诉时准备辩护。</w:t>
      </w:r>
      <w:r w:rsidRPr="00B922FB">
        <w:rPr>
          <w:rStyle w:val="a8"/>
          <w:rFonts w:eastAsia="宋体"/>
        </w:rPr>
        <w:footnoteReference w:id="10"/>
      </w:r>
    </w:p>
    <w:p w:rsidR="00370C84" w:rsidRPr="00370C84" w:rsidRDefault="00370C84" w:rsidP="0049396F">
      <w:pPr>
        <w:pStyle w:val="H23GC"/>
      </w:pPr>
      <w:r w:rsidRPr="00370C84">
        <w:tab/>
      </w:r>
      <w:r w:rsidRPr="00370C84">
        <w:tab/>
      </w:r>
      <w:r w:rsidRPr="00370C84">
        <w:t>缔约国的意见</w:t>
      </w:r>
    </w:p>
    <w:p w:rsidR="00370C84" w:rsidRPr="00370C84" w:rsidRDefault="00370C84" w:rsidP="00370C84">
      <w:pPr>
        <w:pStyle w:val="SingleTxtGC"/>
      </w:pPr>
      <w:r w:rsidRPr="00370C84">
        <w:t>4.</w:t>
      </w:r>
      <w:r w:rsidR="00310CB7">
        <w:t xml:space="preserve">  </w:t>
      </w:r>
      <w:r w:rsidRPr="00370C84">
        <w:t>2014</w:t>
      </w:r>
      <w:r w:rsidRPr="00370C84">
        <w:t>年</w:t>
      </w:r>
      <w:r w:rsidRPr="00370C84">
        <w:t>11</w:t>
      </w:r>
      <w:r w:rsidRPr="00370C84">
        <w:t>月</w:t>
      </w:r>
      <w:r w:rsidRPr="00370C84">
        <w:t>19</w:t>
      </w:r>
      <w:r w:rsidRPr="00370C84">
        <w:t>日，缔约国通知委员会说，它正在设法与提交人达成友好解决，支付其金钱赔偿并取消作为向委员会提交的来文事由的犯罪记录。</w:t>
      </w:r>
    </w:p>
    <w:p w:rsidR="00370C84" w:rsidRPr="00370C84" w:rsidRDefault="00370C84" w:rsidP="0049396F">
      <w:pPr>
        <w:pStyle w:val="H23GC"/>
      </w:pPr>
      <w:r w:rsidRPr="00370C84">
        <w:tab/>
      </w:r>
      <w:r w:rsidRPr="00370C84">
        <w:tab/>
      </w:r>
      <w:r w:rsidRPr="00370C84">
        <w:t>提交人对缔约国意见的评论</w:t>
      </w:r>
    </w:p>
    <w:p w:rsidR="00370C84" w:rsidRPr="00370C84" w:rsidRDefault="00370C84" w:rsidP="00370C84">
      <w:pPr>
        <w:pStyle w:val="SingleTxtGC"/>
      </w:pPr>
      <w:r w:rsidRPr="00370C84">
        <w:t>5.1</w:t>
      </w:r>
      <w:r w:rsidR="00310CB7">
        <w:t xml:space="preserve">  </w:t>
      </w:r>
      <w:r w:rsidRPr="00370C84">
        <w:t>2015</w:t>
      </w:r>
      <w:r w:rsidRPr="00370C84">
        <w:t>年</w:t>
      </w:r>
      <w:r w:rsidRPr="00370C84">
        <w:t>10</w:t>
      </w:r>
      <w:r w:rsidRPr="00370C84">
        <w:t>月</w:t>
      </w:r>
      <w:r w:rsidRPr="00370C84">
        <w:t>16</w:t>
      </w:r>
      <w:r w:rsidRPr="00370C84">
        <w:t>日，提交人指出，她不愿意接受缔约国提出的解决办法，因为如果属于以下情况，她会认为缔约国的赔偿是合理的：</w:t>
      </w:r>
      <w:r w:rsidRPr="00370C84">
        <w:t>(a)</w:t>
      </w:r>
      <w:r w:rsidR="0049396F">
        <w:t xml:space="preserve"> </w:t>
      </w:r>
      <w:r w:rsidRPr="00370C84">
        <w:t>为乌特勒支地区法院所判罚款</w:t>
      </w:r>
      <w:proofErr w:type="gramStart"/>
      <w:r w:rsidRPr="00370C84">
        <w:t>作出</w:t>
      </w:r>
      <w:proofErr w:type="gramEnd"/>
      <w:r w:rsidRPr="00370C84">
        <w:t>的金钱赔偿；</w:t>
      </w:r>
      <w:r w:rsidRPr="00370C84">
        <w:t>(b)</w:t>
      </w:r>
      <w:r w:rsidR="0049396F">
        <w:t xml:space="preserve"> </w:t>
      </w:r>
      <w:r w:rsidRPr="00370C84">
        <w:t>为乌特勒支地区法院</w:t>
      </w:r>
      <w:proofErr w:type="gramStart"/>
      <w:r w:rsidRPr="00370C84">
        <w:t>作出</w:t>
      </w:r>
      <w:proofErr w:type="gramEnd"/>
      <w:r w:rsidRPr="00370C84">
        <w:t>的判给民事当事人的损害赔偿所作的金钱赔偿；</w:t>
      </w:r>
      <w:r w:rsidRPr="00370C84">
        <w:t>(c)</w:t>
      </w:r>
      <w:r w:rsidR="0049396F">
        <w:t xml:space="preserve"> </w:t>
      </w:r>
      <w:r w:rsidRPr="00370C84">
        <w:t>根据《警方数据法》，删除警方登记的与此案相关的所有信息；</w:t>
      </w:r>
      <w:r w:rsidRPr="00370C84">
        <w:t>(d)</w:t>
      </w:r>
      <w:r w:rsidR="0049396F">
        <w:t xml:space="preserve"> </w:t>
      </w:r>
      <w:r w:rsidRPr="00370C84">
        <w:t>根据《司法信息和犯罪记录法》，删除司法当局登记的与此案相关的所有信息；</w:t>
      </w:r>
      <w:r w:rsidRPr="00370C84">
        <w:t>(e)</w:t>
      </w:r>
      <w:r w:rsidR="0049396F">
        <w:t xml:space="preserve"> </w:t>
      </w:r>
      <w:r w:rsidRPr="00370C84">
        <w:t>为非物质损失，特别是对名誉伤害的经济赔偿；</w:t>
      </w:r>
      <w:r w:rsidRPr="00370C84">
        <w:t>(f)</w:t>
      </w:r>
      <w:r w:rsidR="0049396F">
        <w:t xml:space="preserve"> </w:t>
      </w:r>
      <w:r w:rsidRPr="00370C84">
        <w:t>对涉及一审程序法律费用的经济赔偿；</w:t>
      </w:r>
      <w:r w:rsidRPr="00370C84">
        <w:t>(g)</w:t>
      </w:r>
      <w:r w:rsidR="0049396F">
        <w:t xml:space="preserve"> </w:t>
      </w:r>
      <w:r w:rsidRPr="00370C84">
        <w:t>为涉及</w:t>
      </w:r>
      <w:r w:rsidRPr="00370C84">
        <w:t>(</w:t>
      </w:r>
      <w:r w:rsidRPr="00370C84">
        <w:t>许可</w:t>
      </w:r>
      <w:r w:rsidRPr="00370C84">
        <w:t>)</w:t>
      </w:r>
      <w:r w:rsidRPr="00370C84">
        <w:t>上诉程序法律费用的经济赔偿；</w:t>
      </w:r>
      <w:r w:rsidRPr="00370C84">
        <w:t>(h)</w:t>
      </w:r>
      <w:r w:rsidR="0049396F">
        <w:t xml:space="preserve"> </w:t>
      </w:r>
      <w:r w:rsidRPr="00370C84">
        <w:t>为涉及向委员会提出的程序的法律费用的经济赔偿；提交人指出，缔约国不愿意为</w:t>
      </w:r>
      <w:r w:rsidRPr="00370C84">
        <w:t>(c)</w:t>
      </w:r>
      <w:r w:rsidRPr="00370C84">
        <w:t>、</w:t>
      </w:r>
      <w:r w:rsidRPr="00370C84">
        <w:t>(e)</w:t>
      </w:r>
      <w:r w:rsidRPr="00370C84">
        <w:t>和</w:t>
      </w:r>
      <w:r w:rsidRPr="00370C84">
        <w:t>(f)</w:t>
      </w:r>
      <w:r w:rsidRPr="00370C84">
        <w:t>所列项目提供赔偿。关于</w:t>
      </w:r>
      <w:r w:rsidRPr="00370C84">
        <w:t>(f)</w:t>
      </w:r>
      <w:r w:rsidRPr="00370C84">
        <w:t>项下提到的法律费用，提交人指出，她从未有机会通过上诉被宣告无罪，尽管《刑事诉讼法》列入了在上诉宣布无罪后为此</w:t>
      </w:r>
      <w:proofErr w:type="gramStart"/>
      <w:r w:rsidRPr="00370C84">
        <w:t>种费用</w:t>
      </w:r>
      <w:proofErr w:type="gramEnd"/>
      <w:r w:rsidRPr="00370C84">
        <w:t>得到充分赔偿的可能性。</w:t>
      </w:r>
      <w:bookmarkStart w:id="0" w:name="_GoBack"/>
      <w:bookmarkEnd w:id="0"/>
    </w:p>
    <w:p w:rsidR="00370C84" w:rsidRPr="00370C84" w:rsidRDefault="00370C84" w:rsidP="00370C84">
      <w:pPr>
        <w:pStyle w:val="SingleTxtGC"/>
      </w:pPr>
      <w:r w:rsidRPr="00370C84">
        <w:t>5.2</w:t>
      </w:r>
      <w:r w:rsidR="00310CB7">
        <w:t xml:space="preserve">  </w:t>
      </w:r>
      <w:r w:rsidRPr="00370C84">
        <w:t>提交人还指出，缔约国尚未按照委员会在</w:t>
      </w:r>
      <w:r w:rsidRPr="00370C84">
        <w:t>Mennen</w:t>
      </w:r>
      <w:r w:rsidRPr="00A81349">
        <w:rPr>
          <w:rFonts w:ascii="Time New Roman" w:eastAsia="楷体" w:hAnsi="Time New Roman"/>
        </w:rPr>
        <w:t>诉荷兰</w:t>
      </w:r>
      <w:r w:rsidRPr="00370C84">
        <w:t>(</w:t>
      </w:r>
      <w:proofErr w:type="spellStart"/>
      <w:r w:rsidRPr="00370C84">
        <w:t>CCPR</w:t>
      </w:r>
      <w:proofErr w:type="spellEnd"/>
      <w:r w:rsidRPr="00370C84">
        <w:t>/C/99/D/</w:t>
      </w:r>
      <w:r w:rsidR="00B8604B">
        <w:t xml:space="preserve"> </w:t>
      </w:r>
      <w:r w:rsidRPr="00370C84">
        <w:t>1797/2008)</w:t>
      </w:r>
      <w:r w:rsidRPr="00370C84">
        <w:t>的</w:t>
      </w:r>
      <w:r w:rsidRPr="00370C84">
        <w:rPr>
          <w:rFonts w:hint="eastAsia"/>
        </w:rPr>
        <w:t>“</w:t>
      </w:r>
      <w:r w:rsidRPr="00370C84">
        <w:t>意见</w:t>
      </w:r>
      <w:r w:rsidRPr="00370C84">
        <w:rPr>
          <w:rFonts w:hint="eastAsia"/>
        </w:rPr>
        <w:t>”</w:t>
      </w:r>
      <w:r w:rsidRPr="00370C84">
        <w:t>中的建议，修订其《刑事诉讼法》。</w:t>
      </w:r>
      <w:r w:rsidRPr="00B922FB">
        <w:rPr>
          <w:rStyle w:val="a8"/>
          <w:rFonts w:eastAsia="宋体"/>
        </w:rPr>
        <w:footnoteReference w:id="11"/>
      </w:r>
    </w:p>
    <w:p w:rsidR="00370C84" w:rsidRPr="00370C84" w:rsidRDefault="00370C84" w:rsidP="0049396F">
      <w:pPr>
        <w:pStyle w:val="H23GC"/>
      </w:pPr>
      <w:r w:rsidRPr="00370C84">
        <w:tab/>
      </w:r>
      <w:r w:rsidRPr="00370C84">
        <w:tab/>
      </w:r>
      <w:r w:rsidRPr="00370C84">
        <w:t>缔约国的补充意见</w:t>
      </w:r>
    </w:p>
    <w:p w:rsidR="00370C84" w:rsidRPr="00370C84" w:rsidRDefault="00370C84" w:rsidP="00370C84">
      <w:pPr>
        <w:pStyle w:val="SingleTxtGC"/>
      </w:pPr>
      <w:r w:rsidRPr="00370C84">
        <w:t>6.1</w:t>
      </w:r>
      <w:r w:rsidR="00310CB7">
        <w:t xml:space="preserve">  </w:t>
      </w:r>
      <w:r w:rsidRPr="00370C84">
        <w:t>2015</w:t>
      </w:r>
      <w:r w:rsidRPr="00370C84">
        <w:t>年</w:t>
      </w:r>
      <w:r w:rsidRPr="00370C84">
        <w:t>12</w:t>
      </w:r>
      <w:r w:rsidRPr="00370C84">
        <w:t>月</w:t>
      </w:r>
      <w:r w:rsidRPr="00370C84">
        <w:t>11</w:t>
      </w:r>
      <w:r w:rsidRPr="00370C84">
        <w:t>日，缔约国告知委员会，它为与提交人达成友好解决所作的努力没有成功，尽管缔约国已提议：</w:t>
      </w:r>
      <w:r w:rsidRPr="00370C84">
        <w:t>(a)</w:t>
      </w:r>
      <w:r w:rsidR="0049396F">
        <w:t xml:space="preserve"> </w:t>
      </w:r>
      <w:r w:rsidRPr="00370C84">
        <w:t>支付国内程序的罚金；</w:t>
      </w:r>
      <w:r w:rsidRPr="00370C84">
        <w:t>(b)</w:t>
      </w:r>
      <w:r w:rsidR="0049396F">
        <w:t xml:space="preserve"> </w:t>
      </w:r>
      <w:r w:rsidRPr="00370C84">
        <w:t>偿还在国内诉讼中判罚、提交人向民事当事人支付的损害赔偿金；</w:t>
      </w:r>
      <w:r w:rsidRPr="00370C84">
        <w:t>(c)</w:t>
      </w:r>
      <w:r w:rsidR="0049396F">
        <w:t xml:space="preserve"> </w:t>
      </w:r>
      <w:r w:rsidRPr="00370C84">
        <w:t>为关于允许上诉程序的法律费用和开支</w:t>
      </w:r>
      <w:proofErr w:type="gramStart"/>
      <w:r w:rsidRPr="00370C84">
        <w:t>作出</w:t>
      </w:r>
      <w:proofErr w:type="gramEnd"/>
      <w:r w:rsidRPr="00370C84">
        <w:t>赔偿；</w:t>
      </w:r>
      <w:r w:rsidRPr="00370C84">
        <w:t>(d)</w:t>
      </w:r>
      <w:r w:rsidR="00711F5A">
        <w:t xml:space="preserve"> </w:t>
      </w:r>
      <w:r w:rsidRPr="00370C84">
        <w:t>赔偿关于来文程序的法律费用和开支；</w:t>
      </w:r>
      <w:r w:rsidRPr="00370C84">
        <w:t>(e)</w:t>
      </w:r>
      <w:r w:rsidR="00711F5A">
        <w:t xml:space="preserve"> </w:t>
      </w:r>
      <w:r w:rsidRPr="00370C84">
        <w:t>赔偿由于提交人更换律师产生的额外费用；</w:t>
      </w:r>
      <w:r w:rsidRPr="00370C84">
        <w:t>(f)</w:t>
      </w:r>
      <w:r w:rsidR="00711F5A">
        <w:t xml:space="preserve"> </w:t>
      </w:r>
      <w:r w:rsidRPr="00370C84">
        <w:t>清除</w:t>
      </w:r>
      <w:r w:rsidRPr="00370C84">
        <w:rPr>
          <w:rFonts w:hint="eastAsia"/>
        </w:rPr>
        <w:t>与</w:t>
      </w:r>
      <w:r w:rsidRPr="00370C84">
        <w:t>作为来文事由的犯罪</w:t>
      </w:r>
      <w:r w:rsidRPr="00370C84">
        <w:rPr>
          <w:rFonts w:hint="eastAsia"/>
        </w:rPr>
        <w:t>相关</w:t>
      </w:r>
      <w:r w:rsidRPr="00370C84">
        <w:t>的犯罪记录；</w:t>
      </w:r>
      <w:r w:rsidRPr="00370C84">
        <w:t>(g)</w:t>
      </w:r>
      <w:r w:rsidR="00711F5A">
        <w:t xml:space="preserve"> </w:t>
      </w:r>
      <w:r w:rsidRPr="00370C84">
        <w:t>与提交人所主张的相反，从警方记录中删除关于</w:t>
      </w:r>
      <w:proofErr w:type="gramStart"/>
      <w:r w:rsidRPr="00370C84">
        <w:t>此犯罪</w:t>
      </w:r>
      <w:proofErr w:type="gramEnd"/>
      <w:r w:rsidRPr="00370C84">
        <w:t>的所有数据。</w:t>
      </w:r>
    </w:p>
    <w:p w:rsidR="00370C84" w:rsidRPr="00370C84" w:rsidRDefault="00370C84" w:rsidP="00370C84">
      <w:pPr>
        <w:pStyle w:val="SingleTxtGC"/>
      </w:pPr>
      <w:r w:rsidRPr="00370C84">
        <w:t>6.2</w:t>
      </w:r>
      <w:r w:rsidR="00310CB7">
        <w:t xml:space="preserve">  </w:t>
      </w:r>
      <w:r w:rsidRPr="00370C84">
        <w:t>缔约国指出，它为与提交人达成友好解决已</w:t>
      </w:r>
      <w:proofErr w:type="gramStart"/>
      <w:r w:rsidRPr="00370C84">
        <w:t>作出</w:t>
      </w:r>
      <w:proofErr w:type="gramEnd"/>
      <w:r w:rsidRPr="00370C84">
        <w:t>相当大的努力。既然友好解决办法</w:t>
      </w:r>
      <w:r w:rsidRPr="00370C84">
        <w:rPr>
          <w:rFonts w:hint="eastAsia"/>
        </w:rPr>
        <w:t>因</w:t>
      </w:r>
      <w:r w:rsidRPr="00370C84">
        <w:t>其本身性质包括</w:t>
      </w:r>
      <w:r w:rsidRPr="00370C84">
        <w:rPr>
          <w:rFonts w:hint="eastAsia"/>
        </w:rPr>
        <w:t>了</w:t>
      </w:r>
      <w:proofErr w:type="gramStart"/>
      <w:r w:rsidRPr="00370C84">
        <w:t>一些</w:t>
      </w:r>
      <w:r w:rsidRPr="00370C84">
        <w:rPr>
          <w:rFonts w:hint="eastAsia"/>
        </w:rPr>
        <w:t>惠</w:t>
      </w:r>
      <w:proofErr w:type="gramEnd"/>
      <w:r w:rsidRPr="00370C84">
        <w:t>益，这种</w:t>
      </w:r>
      <w:r w:rsidRPr="00370C84">
        <w:rPr>
          <w:rFonts w:hint="eastAsia"/>
        </w:rPr>
        <w:t>惠</w:t>
      </w:r>
      <w:r w:rsidRPr="00370C84">
        <w:t>益超</w:t>
      </w:r>
      <w:r w:rsidRPr="00370C84">
        <w:rPr>
          <w:rFonts w:hint="eastAsia"/>
        </w:rPr>
        <w:t>出了</w:t>
      </w:r>
      <w:r w:rsidRPr="00370C84">
        <w:t>促</w:t>
      </w:r>
      <w:r w:rsidRPr="00370C84">
        <w:rPr>
          <w:rFonts w:hint="eastAsia"/>
        </w:rPr>
        <w:t>使提交</w:t>
      </w:r>
      <w:r w:rsidRPr="00370C84">
        <w:t>来文的单纯利益，</w:t>
      </w:r>
      <w:r w:rsidRPr="00370C84">
        <w:rPr>
          <w:rFonts w:hint="eastAsia"/>
        </w:rPr>
        <w:t>即</w:t>
      </w:r>
      <w:r w:rsidRPr="00370C84">
        <w:t>避免进一步诉讼以及所有当事方的费用和努力，因此，提交人期待满足所有希望，这是不合理的。因此，缔约国谨请委员会在</w:t>
      </w:r>
      <w:proofErr w:type="gramStart"/>
      <w:r w:rsidRPr="00370C84">
        <w:t>作出</w:t>
      </w:r>
      <w:proofErr w:type="gramEnd"/>
      <w:r w:rsidRPr="00370C84">
        <w:t>关于本来文的任何程序性决定时将这些因素考虑在内。</w:t>
      </w:r>
    </w:p>
    <w:p w:rsidR="00370C84" w:rsidRPr="00370C84" w:rsidRDefault="00370C84" w:rsidP="00370C84">
      <w:pPr>
        <w:pStyle w:val="SingleTxtGC"/>
      </w:pPr>
      <w:r w:rsidRPr="00370C84">
        <w:t>6.3</w:t>
      </w:r>
      <w:r w:rsidR="00310CB7">
        <w:t xml:space="preserve">  </w:t>
      </w:r>
      <w:r w:rsidRPr="00370C84">
        <w:t>缔约国还指出，正在</w:t>
      </w:r>
      <w:proofErr w:type="gramStart"/>
      <w:r w:rsidRPr="00370C84">
        <w:t>作出</w:t>
      </w:r>
      <w:proofErr w:type="gramEnd"/>
      <w:r w:rsidRPr="00370C84">
        <w:t>提案，废除根据《刑事诉讼法》第</w:t>
      </w:r>
      <w:r w:rsidRPr="00370C84">
        <w:t>410</w:t>
      </w:r>
      <w:r w:rsidRPr="00370C84">
        <w:t>条</w:t>
      </w:r>
      <w:r w:rsidRPr="00370C84">
        <w:t>(a)</w:t>
      </w:r>
      <w:proofErr w:type="gramStart"/>
      <w:r w:rsidRPr="00370C84">
        <w:t>项提出</w:t>
      </w:r>
      <w:proofErr w:type="gramEnd"/>
      <w:r w:rsidRPr="00370C84">
        <w:t>许可上诉的制度，作为广泛的使该法现代化的努力的一部分。经过广泛协商，</w:t>
      </w:r>
      <w:r w:rsidRPr="00370C84">
        <w:t>2015</w:t>
      </w:r>
      <w:r w:rsidRPr="00370C84">
        <w:t>年</w:t>
      </w:r>
      <w:r w:rsidRPr="00370C84">
        <w:t>9</w:t>
      </w:r>
      <w:r w:rsidRPr="00370C84">
        <w:t>月</w:t>
      </w:r>
      <w:r w:rsidRPr="00370C84">
        <w:t>30</w:t>
      </w:r>
      <w:r w:rsidRPr="00370C84">
        <w:t>日，政府向众议院提出了一项最后备忘录，依据该备忘录，正在起草具体立法提案。这些提案将分为四个部分向众议院提交，最后一部分将在</w:t>
      </w:r>
      <w:r w:rsidRPr="00370C84">
        <w:t>2018</w:t>
      </w:r>
      <w:r w:rsidRPr="00370C84">
        <w:t>年</w:t>
      </w:r>
      <w:r w:rsidRPr="00370C84">
        <w:t>1</w:t>
      </w:r>
      <w:r w:rsidRPr="00370C84">
        <w:t>月提出，随后提出实施这些修订的法律。缔约国最后说，它不会就本来文提出任何进一步的意见，而且，它将参照委员会的意见。</w:t>
      </w:r>
    </w:p>
    <w:p w:rsidR="00370C84" w:rsidRPr="00370C84" w:rsidRDefault="00370C84" w:rsidP="00711F5A">
      <w:pPr>
        <w:pStyle w:val="H23GC"/>
      </w:pPr>
      <w:r w:rsidRPr="00370C84">
        <w:tab/>
      </w:r>
      <w:r w:rsidRPr="00370C84">
        <w:tab/>
      </w:r>
      <w:r w:rsidRPr="00370C84">
        <w:t>提交人的补充评论</w:t>
      </w:r>
    </w:p>
    <w:p w:rsidR="00370C84" w:rsidRPr="00370C84" w:rsidRDefault="00370C84" w:rsidP="00370C84">
      <w:pPr>
        <w:pStyle w:val="SingleTxtGC"/>
      </w:pPr>
      <w:r w:rsidRPr="00370C84">
        <w:t>7.</w:t>
      </w:r>
      <w:r w:rsidR="00310CB7">
        <w:t xml:space="preserve">  </w:t>
      </w:r>
      <w:r w:rsidRPr="00370C84">
        <w:t>2016</w:t>
      </w:r>
      <w:r w:rsidRPr="00370C84">
        <w:t>年</w:t>
      </w:r>
      <w:r w:rsidRPr="00370C84">
        <w:t>3</w:t>
      </w:r>
      <w:r w:rsidRPr="00370C84">
        <w:t>月</w:t>
      </w:r>
      <w:r w:rsidRPr="00370C84">
        <w:t>16</w:t>
      </w:r>
      <w:r w:rsidRPr="00370C84">
        <w:t>日，提交人重申她早些时候于</w:t>
      </w:r>
      <w:r w:rsidRPr="00370C84">
        <w:t>2015</w:t>
      </w:r>
      <w:r w:rsidRPr="00370C84">
        <w:t>年</w:t>
      </w:r>
      <w:r w:rsidRPr="00370C84">
        <w:t>10</w:t>
      </w:r>
      <w:r w:rsidRPr="00370C84">
        <w:t>月</w:t>
      </w:r>
      <w:r w:rsidRPr="00370C84">
        <w:t>16</w:t>
      </w:r>
      <w:r w:rsidRPr="00370C84">
        <w:t>日提交的意见，其中载有她希望缔约国</w:t>
      </w:r>
      <w:proofErr w:type="gramStart"/>
      <w:r w:rsidRPr="00370C84">
        <w:t>作出</w:t>
      </w:r>
      <w:proofErr w:type="gramEnd"/>
      <w:r w:rsidRPr="00370C84">
        <w:t>赔偿的八个项目清单。她还说，缔约国尚未按照委员会早在</w:t>
      </w:r>
      <w:r w:rsidRPr="00370C84">
        <w:t>2010</w:t>
      </w:r>
      <w:r w:rsidRPr="00370C84">
        <w:t>年所作的建议，废除《刑事诉讼法》。</w:t>
      </w:r>
      <w:r w:rsidRPr="00B922FB">
        <w:rPr>
          <w:rStyle w:val="a8"/>
          <w:rFonts w:eastAsia="宋体"/>
        </w:rPr>
        <w:footnoteReference w:id="12"/>
      </w:r>
    </w:p>
    <w:p w:rsidR="00370C84" w:rsidRPr="00370C84" w:rsidRDefault="00370C84" w:rsidP="00524D2B">
      <w:pPr>
        <w:pStyle w:val="H23GC"/>
      </w:pPr>
      <w:r w:rsidRPr="00370C84">
        <w:tab/>
      </w:r>
      <w:r w:rsidRPr="00370C84">
        <w:tab/>
      </w:r>
      <w:r w:rsidRPr="00370C84">
        <w:t>委员会需审理的问题和议事情况</w:t>
      </w:r>
    </w:p>
    <w:p w:rsidR="00370C84" w:rsidRPr="00370C84" w:rsidRDefault="00370C84" w:rsidP="00524D2B">
      <w:pPr>
        <w:pStyle w:val="H4GC"/>
      </w:pPr>
      <w:r w:rsidRPr="00370C84">
        <w:tab/>
      </w:r>
      <w:r w:rsidRPr="00370C84">
        <w:tab/>
      </w:r>
      <w:r w:rsidRPr="00370C84">
        <w:t>对可否受理问题的审议</w:t>
      </w:r>
    </w:p>
    <w:p w:rsidR="00370C84" w:rsidRPr="00370C84" w:rsidRDefault="00370C84" w:rsidP="00370C84">
      <w:pPr>
        <w:pStyle w:val="SingleTxtGC"/>
      </w:pPr>
      <w:r w:rsidRPr="00370C84">
        <w:t>8.1</w:t>
      </w:r>
      <w:r w:rsidR="00310CB7">
        <w:t xml:space="preserve">  </w:t>
      </w:r>
      <w:r w:rsidRPr="00370C84">
        <w:t>在审议来文所载的任何申诉之前，委员会必须根据其议事规则第</w:t>
      </w:r>
      <w:r w:rsidRPr="00370C84">
        <w:t>93</w:t>
      </w:r>
      <w:r w:rsidRPr="00370C84">
        <w:t>条，决定该来文是否符合《任择议定书》规定的受理条件。</w:t>
      </w:r>
    </w:p>
    <w:p w:rsidR="00370C84" w:rsidRPr="00370C84" w:rsidRDefault="00370C84" w:rsidP="00370C84">
      <w:pPr>
        <w:pStyle w:val="SingleTxtGC"/>
      </w:pPr>
      <w:r w:rsidRPr="00370C84">
        <w:t>8.2</w:t>
      </w:r>
      <w:r w:rsidR="00310CB7">
        <w:t xml:space="preserve">  </w:t>
      </w:r>
      <w:r w:rsidRPr="00370C84">
        <w:t>根据《任择议定书》第五条第二款</w:t>
      </w:r>
      <w:r w:rsidRPr="00370C84">
        <w:t>(</w:t>
      </w:r>
      <w:r w:rsidRPr="00370C84">
        <w:t>子</w:t>
      </w:r>
      <w:r w:rsidRPr="00370C84">
        <w:t>)</w:t>
      </w:r>
      <w:r w:rsidRPr="00370C84">
        <w:t>项，委员会已确定，提交人提出的一项类似申诉</w:t>
      </w:r>
      <w:r w:rsidRPr="00370C84">
        <w:t>(</w:t>
      </w:r>
      <w:r w:rsidRPr="00370C84">
        <w:t>第</w:t>
      </w:r>
      <w:r w:rsidRPr="00370C84">
        <w:t>39456/10</w:t>
      </w:r>
      <w:r w:rsidRPr="00370C84">
        <w:t>号</w:t>
      </w:r>
      <w:r w:rsidRPr="00370C84">
        <w:t>)</w:t>
      </w:r>
      <w:r w:rsidRPr="00370C84">
        <w:t>被欧洲人权法院于</w:t>
      </w:r>
      <w:r w:rsidRPr="00370C84">
        <w:t>2012</w:t>
      </w:r>
      <w:r w:rsidRPr="00370C84">
        <w:t>年</w:t>
      </w:r>
      <w:r w:rsidRPr="00370C84">
        <w:t>10</w:t>
      </w:r>
      <w:r w:rsidRPr="00370C84">
        <w:t>月</w:t>
      </w:r>
      <w:r w:rsidRPr="00370C84">
        <w:t>4</w:t>
      </w:r>
      <w:r w:rsidRPr="00370C84">
        <w:t>日宣布为不可受理，因为《保护人权和基本自由公约》</w:t>
      </w:r>
      <w:r w:rsidRPr="00370C84">
        <w:t>(</w:t>
      </w:r>
      <w:r w:rsidRPr="00370C84">
        <w:t>《欧洲人权公约》</w:t>
      </w:r>
      <w:r w:rsidRPr="00370C84">
        <w:t>)</w:t>
      </w:r>
      <w:r w:rsidRPr="00370C84">
        <w:t>第</w:t>
      </w:r>
      <w:r w:rsidRPr="00370C84">
        <w:t>34</w:t>
      </w:r>
      <w:r w:rsidRPr="00370C84">
        <w:t>条和</w:t>
      </w:r>
      <w:r w:rsidRPr="00370C84">
        <w:t>35</w:t>
      </w:r>
      <w:r w:rsidRPr="00370C84">
        <w:t>条规定的受理标准没有达到。因此，委员会认为，《任择议定书》第五条第</w:t>
      </w:r>
      <w:r w:rsidRPr="00370C84">
        <w:t>2</w:t>
      </w:r>
      <w:r w:rsidRPr="00370C84">
        <w:t>款</w:t>
      </w:r>
      <w:r w:rsidRPr="00370C84">
        <w:t>(</w:t>
      </w:r>
      <w:r w:rsidRPr="00370C84">
        <w:t>子</w:t>
      </w:r>
      <w:r w:rsidRPr="00370C84">
        <w:t>)</w:t>
      </w:r>
      <w:r w:rsidRPr="00370C84">
        <w:t>项并不妨碍审查本来文。</w:t>
      </w:r>
      <w:r w:rsidRPr="00B922FB">
        <w:rPr>
          <w:rStyle w:val="a8"/>
          <w:rFonts w:eastAsia="宋体"/>
        </w:rPr>
        <w:footnoteReference w:id="13"/>
      </w:r>
    </w:p>
    <w:p w:rsidR="00370C84" w:rsidRPr="00370C84" w:rsidRDefault="00370C84" w:rsidP="00370C84">
      <w:pPr>
        <w:pStyle w:val="SingleTxtGC"/>
      </w:pPr>
      <w:r w:rsidRPr="00370C84">
        <w:t>8.3</w:t>
      </w:r>
      <w:r w:rsidR="00310CB7">
        <w:t xml:space="preserve">  </w:t>
      </w:r>
      <w:r w:rsidRPr="00370C84">
        <w:t>委员会回顾其判例，即提交人必须利用所有国内补救办法，以符合《任择议定书》第五条第</w:t>
      </w:r>
      <w:r w:rsidRPr="00370C84">
        <w:t>2</w:t>
      </w:r>
      <w:r w:rsidRPr="00370C84">
        <w:t>款</w:t>
      </w:r>
      <w:r w:rsidRPr="00370C84">
        <w:t>(</w:t>
      </w:r>
      <w:r w:rsidRPr="00370C84">
        <w:t>丑</w:t>
      </w:r>
      <w:r w:rsidRPr="00370C84">
        <w:t>)</w:t>
      </w:r>
      <w:r w:rsidRPr="00370C84">
        <w:t>项的要求，只要这些补救办法似乎对该案有效，而且事实上提交人可以利用。</w:t>
      </w:r>
      <w:r w:rsidRPr="00B922FB">
        <w:rPr>
          <w:rStyle w:val="a8"/>
          <w:rFonts w:eastAsia="宋体"/>
        </w:rPr>
        <w:footnoteReference w:id="14"/>
      </w:r>
      <w:r w:rsidR="00524D2B">
        <w:rPr>
          <w:rFonts w:hint="eastAsia"/>
        </w:rPr>
        <w:t xml:space="preserve"> </w:t>
      </w:r>
      <w:r w:rsidRPr="00370C84">
        <w:t>委员会注意到，提交人已用尽了一切可用的国内补救办法，这一点没有争议，因此，这项要求已经满足。</w:t>
      </w:r>
    </w:p>
    <w:p w:rsidR="00370C84" w:rsidRPr="00370C84" w:rsidRDefault="00370C84" w:rsidP="00370C84">
      <w:pPr>
        <w:pStyle w:val="SingleTxtGC"/>
      </w:pPr>
      <w:r w:rsidRPr="00370C84">
        <w:t>8.4</w:t>
      </w:r>
      <w:r w:rsidR="00310CB7">
        <w:t xml:space="preserve">  </w:t>
      </w:r>
      <w:r w:rsidRPr="00370C84">
        <w:t>委员会认为，就可否受理性而言，提交人已充分佐证了她根据《公约》第二条第三款</w:t>
      </w:r>
      <w:r w:rsidRPr="00370C84">
        <w:t>(</w:t>
      </w:r>
      <w:r w:rsidRPr="00370C84">
        <w:t>甲</w:t>
      </w:r>
      <w:r w:rsidRPr="00370C84">
        <w:t>)</w:t>
      </w:r>
      <w:r w:rsidRPr="00370C84">
        <w:t>项和第十四条第五款提出的诉称。因此，委员会宣布来文可以受理，并着手审议案情。</w:t>
      </w:r>
    </w:p>
    <w:p w:rsidR="00370C84" w:rsidRPr="00370C84" w:rsidRDefault="00370C84" w:rsidP="00524D2B">
      <w:pPr>
        <w:pStyle w:val="H4GC"/>
      </w:pPr>
      <w:r w:rsidRPr="00370C84">
        <w:tab/>
      </w:r>
      <w:r w:rsidRPr="00370C84">
        <w:tab/>
      </w:r>
      <w:r w:rsidRPr="00370C84">
        <w:t>审议案情</w:t>
      </w:r>
    </w:p>
    <w:p w:rsidR="00370C84" w:rsidRPr="00370C84" w:rsidRDefault="00370C84" w:rsidP="00370C84">
      <w:pPr>
        <w:pStyle w:val="SingleTxtGC"/>
      </w:pPr>
      <w:r w:rsidRPr="00370C84">
        <w:t>9.1</w:t>
      </w:r>
      <w:r w:rsidR="00310CB7">
        <w:t xml:space="preserve">  </w:t>
      </w:r>
      <w:r w:rsidRPr="00370C84">
        <w:t>委员会依照《任择议定书》第五条第</w:t>
      </w:r>
      <w:r w:rsidRPr="00370C84">
        <w:t>1</w:t>
      </w:r>
      <w:r w:rsidRPr="00370C84">
        <w:t>款，结合当事方提供的所有书面资料，审议了本来文。</w:t>
      </w:r>
    </w:p>
    <w:p w:rsidR="00370C84" w:rsidRPr="00370C84" w:rsidRDefault="00370C84" w:rsidP="003E2E6F">
      <w:pPr>
        <w:pStyle w:val="SingleTxtGC"/>
      </w:pPr>
      <w:r w:rsidRPr="00370C84">
        <w:t>9.2</w:t>
      </w:r>
      <w:r w:rsidR="00310CB7">
        <w:t xml:space="preserve">  </w:t>
      </w:r>
      <w:r w:rsidRPr="00370C84">
        <w:t>委员会注意到，提交人指称，她无法以有效和有意义的方式行使她在《公约》第十四条第</w:t>
      </w:r>
      <w:r w:rsidRPr="00370C84">
        <w:t>5</w:t>
      </w:r>
      <w:r w:rsidRPr="00370C84">
        <w:t>款下的权利。委员会还注意到，尽管缔约国没有就提交人的指控</w:t>
      </w:r>
      <w:proofErr w:type="gramStart"/>
      <w:r w:rsidRPr="00370C84">
        <w:t>作出</w:t>
      </w:r>
      <w:proofErr w:type="gramEnd"/>
      <w:r w:rsidRPr="00370C84">
        <w:t>评论，它的确告知委员会，它已</w:t>
      </w:r>
      <w:proofErr w:type="gramStart"/>
      <w:r w:rsidRPr="00370C84">
        <w:t>作出</w:t>
      </w:r>
      <w:proofErr w:type="gramEnd"/>
      <w:r w:rsidRPr="00370C84">
        <w:t>相当大的努力</w:t>
      </w:r>
      <w:r w:rsidR="003E2E6F">
        <w:rPr>
          <w:rFonts w:hint="eastAsia"/>
          <w:spacing w:val="-50"/>
        </w:rPr>
        <w:t>―</w:t>
      </w:r>
      <w:r w:rsidR="003E2E6F">
        <w:rPr>
          <w:rFonts w:hint="eastAsia"/>
        </w:rPr>
        <w:t>―</w:t>
      </w:r>
      <w:r w:rsidRPr="00370C84">
        <w:t>尽管未取得成功</w:t>
      </w:r>
      <w:r w:rsidR="003E2E6F">
        <w:rPr>
          <w:rFonts w:hint="eastAsia"/>
          <w:spacing w:val="-50"/>
        </w:rPr>
        <w:t>―</w:t>
      </w:r>
      <w:r w:rsidR="003E2E6F">
        <w:rPr>
          <w:rFonts w:hint="eastAsia"/>
        </w:rPr>
        <w:t>―</w:t>
      </w:r>
      <w:r w:rsidRPr="00370C84">
        <w:t>以便与提交人取得友好解决，即提议向她支付经济赔偿和清除</w:t>
      </w:r>
      <w:r w:rsidRPr="00370C84">
        <w:rPr>
          <w:rFonts w:hint="eastAsia"/>
        </w:rPr>
        <w:t>与</w:t>
      </w:r>
      <w:r w:rsidRPr="00370C84">
        <w:t>作为本来文事由的犯罪</w:t>
      </w:r>
      <w:r w:rsidRPr="00370C84">
        <w:rPr>
          <w:rFonts w:hint="eastAsia"/>
        </w:rPr>
        <w:t>相关</w:t>
      </w:r>
      <w:r w:rsidRPr="00370C84">
        <w:t>的犯罪记录。</w:t>
      </w:r>
    </w:p>
    <w:p w:rsidR="00370C84" w:rsidRPr="00370C84" w:rsidRDefault="00370C84" w:rsidP="00370C84">
      <w:pPr>
        <w:pStyle w:val="SingleTxtGC"/>
      </w:pPr>
      <w:r w:rsidRPr="00370C84">
        <w:t>9.3</w:t>
      </w:r>
      <w:r w:rsidR="00310CB7">
        <w:t xml:space="preserve">  </w:t>
      </w:r>
      <w:r w:rsidRPr="00370C84">
        <w:t>委员会回顾，定罪获得复审的权利要求，被定罪的人有权得到审判法庭适当说明理由的书面判决书和其他文件</w:t>
      </w:r>
      <w:r w:rsidRPr="00370C84">
        <w:t>(</w:t>
      </w:r>
      <w:r w:rsidRPr="00370C84">
        <w:t>例如审判记录</w:t>
      </w:r>
      <w:r w:rsidRPr="00370C84">
        <w:t>)</w:t>
      </w:r>
      <w:r w:rsidRPr="00370C84">
        <w:t>，这对于享有有效行使上诉权而言是必要的。</w:t>
      </w:r>
      <w:r w:rsidRPr="00B922FB">
        <w:rPr>
          <w:rStyle w:val="a8"/>
          <w:rFonts w:eastAsia="宋体"/>
        </w:rPr>
        <w:footnoteReference w:id="15"/>
      </w:r>
      <w:r w:rsidR="003E2E6F">
        <w:rPr>
          <w:rFonts w:hint="eastAsia"/>
        </w:rPr>
        <w:t xml:space="preserve"> </w:t>
      </w:r>
      <w:r w:rsidRPr="00370C84">
        <w:t>由于缺乏未说明理由的判决书、审理记录、甚至没有一份所用的证据清单，在本案的情况下，未向提交人提供适当准备上诉所必需的材料。</w:t>
      </w:r>
    </w:p>
    <w:p w:rsidR="00370C84" w:rsidRPr="00370C84" w:rsidRDefault="00370C84" w:rsidP="003E2E6F">
      <w:pPr>
        <w:pStyle w:val="SingleTxtGC"/>
      </w:pPr>
      <w:r w:rsidRPr="00370C84">
        <w:t>9.4</w:t>
      </w:r>
      <w:r w:rsidR="00310CB7">
        <w:t xml:space="preserve">  </w:t>
      </w:r>
      <w:r w:rsidRPr="00370C84">
        <w:t>委员会注意到，阿纳</w:t>
      </w:r>
      <w:proofErr w:type="gramStart"/>
      <w:r w:rsidRPr="00370C84">
        <w:t>姆</w:t>
      </w:r>
      <w:proofErr w:type="gramEnd"/>
      <w:r w:rsidRPr="00370C84">
        <w:t>上诉法院驳回了提交人的上诉许可申请，理由是，审理她的上诉不符合适当司法利益。委员会认为，《公约》第十四条第</w:t>
      </w:r>
      <w:r w:rsidRPr="00370C84">
        <w:t>5</w:t>
      </w:r>
      <w:r w:rsidRPr="00370C84">
        <w:t>款要求高级法庭复审刑事定罪和判刑。</w:t>
      </w:r>
      <w:r w:rsidRPr="00B922FB">
        <w:rPr>
          <w:rStyle w:val="a8"/>
          <w:rFonts w:eastAsia="宋体"/>
        </w:rPr>
        <w:footnoteReference w:id="16"/>
      </w:r>
      <w:r w:rsidR="003E2E6F">
        <w:rPr>
          <w:rFonts w:hint="eastAsia"/>
        </w:rPr>
        <w:t xml:space="preserve"> </w:t>
      </w:r>
      <w:r w:rsidRPr="00370C84">
        <w:t>在关于上诉许可请求的裁决方面，任何此种复审，都必须进行实质审查</w:t>
      </w:r>
      <w:r w:rsidR="003E2E6F">
        <w:rPr>
          <w:rFonts w:hint="eastAsia"/>
          <w:spacing w:val="-50"/>
        </w:rPr>
        <w:t>―</w:t>
      </w:r>
      <w:r w:rsidR="003E2E6F">
        <w:rPr>
          <w:rFonts w:hint="eastAsia"/>
        </w:rPr>
        <w:t>―</w:t>
      </w:r>
      <w:r w:rsidRPr="00370C84">
        <w:t>考虑向一审法官提出的证据，以及依据适用于有关案件的法律条款所进行的审理情况。</w:t>
      </w:r>
      <w:r w:rsidRPr="00B922FB">
        <w:rPr>
          <w:rStyle w:val="a8"/>
          <w:rFonts w:eastAsia="宋体"/>
        </w:rPr>
        <w:footnoteReference w:id="17"/>
      </w:r>
    </w:p>
    <w:p w:rsidR="00370C84" w:rsidRPr="00370C84" w:rsidRDefault="00370C84" w:rsidP="00370C84">
      <w:pPr>
        <w:pStyle w:val="SingleTxtGC"/>
      </w:pPr>
      <w:r w:rsidRPr="00370C84">
        <w:t>9.5</w:t>
      </w:r>
      <w:r w:rsidR="00310CB7">
        <w:t xml:space="preserve">  </w:t>
      </w:r>
      <w:r w:rsidRPr="00370C84">
        <w:t>委员会回顾，根据《公约》第二条第</w:t>
      </w:r>
      <w:r w:rsidRPr="00370C84">
        <w:t>3</w:t>
      </w:r>
      <w:r w:rsidRPr="00370C84">
        <w:t>款，缔约国必须确保个人能得到有效的、能付诸实施的补救办法，以维护《公约》权利。委员会引述关于《公约》缔约国的一般法律义务的性质的第</w:t>
      </w:r>
      <w:r w:rsidRPr="00370C84">
        <w:t>31(2004)</w:t>
      </w:r>
      <w:r w:rsidRPr="00370C84">
        <w:t>号一般性意见，根据该意见，缔约国必须建立适当的司法和行政机制，以处理关于侵犯权利的诉称。</w:t>
      </w:r>
      <w:r w:rsidRPr="00B922FB">
        <w:rPr>
          <w:rStyle w:val="a8"/>
          <w:rFonts w:eastAsia="宋体"/>
        </w:rPr>
        <w:footnoteReference w:id="18"/>
      </w:r>
      <w:r w:rsidR="003E2E6F">
        <w:rPr>
          <w:rFonts w:hint="eastAsia"/>
        </w:rPr>
        <w:t xml:space="preserve"> </w:t>
      </w:r>
      <w:r w:rsidRPr="00370C84">
        <w:t>在本案中，委员会收到的资料表明，提交人无法利用补救</w:t>
      </w:r>
      <w:r w:rsidRPr="00370C84">
        <w:rPr>
          <w:rFonts w:hint="eastAsia"/>
        </w:rPr>
        <w:t>办法</w:t>
      </w:r>
      <w:r w:rsidRPr="00370C84">
        <w:t>，以使她能针对阿纳</w:t>
      </w:r>
      <w:proofErr w:type="gramStart"/>
      <w:r w:rsidRPr="00370C84">
        <w:t>姆</w:t>
      </w:r>
      <w:proofErr w:type="gramEnd"/>
      <w:r w:rsidRPr="00370C84">
        <w:t>上诉法院不准许提出上诉的决定提出上诉。因此，提交人实际上无法受益于《公约》第十四条第</w:t>
      </w:r>
      <w:r w:rsidRPr="00370C84">
        <w:t>5</w:t>
      </w:r>
      <w:r w:rsidRPr="00370C84">
        <w:t>款所保证的权利，使她的定罪和判刑由高级法庭复审。因此，在这些具体情况下，委员会认为，提交人在《公约》第十四条第</w:t>
      </w:r>
      <w:r w:rsidRPr="00370C84">
        <w:t>5</w:t>
      </w:r>
      <w:r w:rsidRPr="00370C84">
        <w:t>款下</w:t>
      </w:r>
      <w:r w:rsidRPr="00370C84">
        <w:t>(</w:t>
      </w:r>
      <w:r w:rsidRPr="00370C84">
        <w:t>单独解读和与第二条第</w:t>
      </w:r>
      <w:r w:rsidRPr="00370C84">
        <w:t>3</w:t>
      </w:r>
      <w:r w:rsidRPr="00370C84">
        <w:t>款一并解读</w:t>
      </w:r>
      <w:r w:rsidRPr="00370C84">
        <w:t>)</w:t>
      </w:r>
      <w:r w:rsidRPr="00370C84">
        <w:t>的上诉权遭到违反。</w:t>
      </w:r>
    </w:p>
    <w:p w:rsidR="00370C84" w:rsidRPr="00370C84" w:rsidRDefault="00370C84" w:rsidP="00370C84">
      <w:pPr>
        <w:pStyle w:val="SingleTxtGC"/>
      </w:pPr>
      <w:r w:rsidRPr="00370C84">
        <w:t>10.</w:t>
      </w:r>
      <w:r w:rsidR="00310CB7">
        <w:t xml:space="preserve">  </w:t>
      </w:r>
      <w:r w:rsidRPr="00370C84">
        <w:t>根据《任择议定书》第五条第</w:t>
      </w:r>
      <w:r w:rsidRPr="00370C84">
        <w:t>4</w:t>
      </w:r>
      <w:r w:rsidRPr="00370C84">
        <w:t>款行事，委员会认为，现有事实表明，缔约国违反了《公约》第十四条第</w:t>
      </w:r>
      <w:r w:rsidRPr="00370C84">
        <w:t>5</w:t>
      </w:r>
      <w:r w:rsidRPr="00370C84">
        <w:t>款</w:t>
      </w:r>
      <w:r w:rsidRPr="00370C84">
        <w:t>(</w:t>
      </w:r>
      <w:r w:rsidRPr="00370C84">
        <w:t>单独解读以及与第二条第</w:t>
      </w:r>
      <w:r w:rsidRPr="00370C84">
        <w:t>3</w:t>
      </w:r>
      <w:r w:rsidRPr="00370C84">
        <w:t>款一并解读</w:t>
      </w:r>
      <w:r w:rsidRPr="00370C84">
        <w:t>)</w:t>
      </w:r>
      <w:r w:rsidRPr="00370C84">
        <w:t>。</w:t>
      </w:r>
    </w:p>
    <w:p w:rsidR="00370C84" w:rsidRPr="00370C84" w:rsidRDefault="00370C84" w:rsidP="00370C84">
      <w:pPr>
        <w:pStyle w:val="SingleTxtGC"/>
      </w:pPr>
      <w:r w:rsidRPr="00370C84">
        <w:t>11.</w:t>
      </w:r>
      <w:r w:rsidR="00310CB7">
        <w:t xml:space="preserve">  </w:t>
      </w:r>
      <w:r w:rsidRPr="00370C84">
        <w:t>根据《公约》第二条第三款</w:t>
      </w:r>
      <w:r w:rsidRPr="00370C84">
        <w:t>(</w:t>
      </w:r>
      <w:r w:rsidRPr="00370C84">
        <w:t>甲</w:t>
      </w:r>
      <w:r w:rsidRPr="00370C84">
        <w:t>)</w:t>
      </w:r>
      <w:r w:rsidRPr="00370C84">
        <w:t>项，缔约国有义务向提交人提供有效的补救办法。这要求缔约国向《公约》权利遭侵犯的个人</w:t>
      </w:r>
      <w:proofErr w:type="gramStart"/>
      <w:r w:rsidRPr="00370C84">
        <w:t>作出</w:t>
      </w:r>
      <w:proofErr w:type="gramEnd"/>
      <w:r w:rsidRPr="00370C84">
        <w:t>充分补偿。委员会认为，在本案中，有效补救可使高级法庭对来文人的定罪和判刑进行复核，或采取能够消除对提交人造成的不利影响的其他适当措施，同时提供充足的赔偿。在这方面，委员会欢迎，缔约国已表示愿意清除提交人与作为来文事由的犯罪相关的犯罪记录，从警方记录删除关于</w:t>
      </w:r>
      <w:proofErr w:type="gramStart"/>
      <w:r w:rsidRPr="00370C84">
        <w:t>此犯罪</w:t>
      </w:r>
      <w:proofErr w:type="gramEnd"/>
      <w:r w:rsidRPr="00370C84">
        <w:t>的所有数据，并偿还乌特勒支地区法院判罚的罚金和向民事当事人支付的损害赔偿金，并赔偿提交人与上诉许可程序和来文程序相关的法律费用和开支，包括由于更换律师所产生的额外费用。缔约国还有义务采取一切必要措施，防止今后出现类似的侵权行为。在这方面，委员会重申，根据《公约》第二条第</w:t>
      </w:r>
      <w:r w:rsidRPr="00370C84">
        <w:t>2</w:t>
      </w:r>
      <w:r w:rsidRPr="00370C84">
        <w:t>款规定的义务，缔约国应使相关法律框架符合《公约》第十四条第</w:t>
      </w:r>
      <w:r w:rsidRPr="00370C84">
        <w:t>5</w:t>
      </w:r>
      <w:r w:rsidRPr="00370C84">
        <w:t>款的要求。</w:t>
      </w:r>
      <w:r w:rsidRPr="00B922FB">
        <w:rPr>
          <w:rStyle w:val="a8"/>
          <w:rFonts w:eastAsia="宋体"/>
        </w:rPr>
        <w:footnoteReference w:id="19"/>
      </w:r>
    </w:p>
    <w:p w:rsidR="00370C84" w:rsidRPr="00370C84" w:rsidRDefault="00370C84" w:rsidP="00370C84">
      <w:pPr>
        <w:pStyle w:val="SingleTxtGC"/>
      </w:pPr>
      <w:r w:rsidRPr="00370C84">
        <w:t>12.</w:t>
      </w:r>
      <w:r w:rsidR="00310CB7">
        <w:t xml:space="preserve">  </w:t>
      </w:r>
      <w:r w:rsidRPr="00370C84">
        <w:t>缔约国加入《任择议定书》即已承认委员会有权确定是否存在违反《公约》的情况，而且，根据《公约》第二条，缔约国已承诺，确保其境内和受其管辖的所有个人享有《公约》承认的权利，并已承诺，在已经确定侵权情况已发生时，提供有效和</w:t>
      </w:r>
      <w:proofErr w:type="gramStart"/>
      <w:r w:rsidRPr="00370C84">
        <w:t>可</w:t>
      </w:r>
      <w:proofErr w:type="gramEnd"/>
      <w:r w:rsidRPr="00370C84">
        <w:t>强制执行的补救办法，有鉴于此，委员会希望缔约国在</w:t>
      </w:r>
      <w:r w:rsidRPr="00370C84">
        <w:t>180</w:t>
      </w:r>
      <w:r w:rsidRPr="00370C84">
        <w:t>天内提供资料，说明为落实委员会意见所采取的措施。还请缔约国公布本意见。</w:t>
      </w:r>
    </w:p>
    <w:p w:rsidR="00EA766C" w:rsidRDefault="00EA766C" w:rsidP="00370C84">
      <w:pPr>
        <w:pStyle w:val="SingleTxtGC"/>
      </w:pPr>
    </w:p>
    <w:p w:rsidR="007E1834" w:rsidRPr="002D6A9C" w:rsidRDefault="007E183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E1834" w:rsidRDefault="007E1834" w:rsidP="00370C84">
      <w:pPr>
        <w:pStyle w:val="SingleTxtGC"/>
      </w:pPr>
    </w:p>
    <w:sectPr w:rsidR="007E1834"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C1" w:rsidRPr="000D319F" w:rsidRDefault="00992DC1" w:rsidP="000D319F">
      <w:pPr>
        <w:pStyle w:val="af0"/>
        <w:spacing w:after="240"/>
        <w:ind w:left="907"/>
        <w:rPr>
          <w:rFonts w:asciiTheme="majorBidi" w:eastAsia="宋体" w:hAnsiTheme="majorBidi" w:cstheme="majorBidi"/>
          <w:sz w:val="21"/>
          <w:szCs w:val="21"/>
          <w:lang w:val="en-US"/>
        </w:rPr>
      </w:pPr>
    </w:p>
    <w:p w:rsidR="00992DC1" w:rsidRPr="000D319F" w:rsidRDefault="00992DC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92DC1" w:rsidRPr="000D319F" w:rsidRDefault="00992DC1" w:rsidP="000D319F">
      <w:pPr>
        <w:pStyle w:val="af0"/>
      </w:pPr>
    </w:p>
  </w:endnote>
  <w:endnote w:type="continuationNotice" w:id="1">
    <w:p w:rsidR="00992DC1" w:rsidRDefault="00992D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66C" w:rsidRDefault="00EA766C" w:rsidP="00EA766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63B91">
      <w:rPr>
        <w:rStyle w:val="af2"/>
        <w:noProof/>
      </w:rPr>
      <w:t>6</w:t>
    </w:r>
    <w:r>
      <w:rPr>
        <w:rStyle w:val="af2"/>
      </w:rPr>
      <w:fldChar w:fldCharType="end"/>
    </w:r>
    <w:r>
      <w:rPr>
        <w:rStyle w:val="af2"/>
      </w:rPr>
      <w:tab/>
    </w:r>
    <w:proofErr w:type="spellStart"/>
    <w:r w:rsidRPr="00EA766C">
      <w:rPr>
        <w:rStyle w:val="af2"/>
        <w:b w:val="0"/>
        <w:snapToGrid w:val="0"/>
        <w:sz w:val="16"/>
      </w:rPr>
      <w:t>GE.18</w:t>
    </w:r>
    <w:proofErr w:type="spellEnd"/>
    <w:r w:rsidRPr="00EA766C">
      <w:rPr>
        <w:rStyle w:val="af2"/>
        <w:b w:val="0"/>
        <w:snapToGrid w:val="0"/>
        <w:sz w:val="16"/>
      </w:rPr>
      <w:t>-14044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66C" w:rsidRDefault="00EA766C" w:rsidP="00EA766C">
    <w:pPr>
      <w:pStyle w:val="af0"/>
      <w:tabs>
        <w:tab w:val="clear" w:pos="431"/>
        <w:tab w:val="right" w:pos="9638"/>
      </w:tabs>
      <w:rPr>
        <w:rStyle w:val="af2"/>
      </w:rPr>
    </w:pPr>
    <w:proofErr w:type="spellStart"/>
    <w:r>
      <w:t>GE.18</w:t>
    </w:r>
    <w:proofErr w:type="spellEnd"/>
    <w:r>
      <w:t>-14044</w:t>
    </w:r>
    <w:r>
      <w:tab/>
    </w:r>
    <w:r>
      <w:rPr>
        <w:rStyle w:val="af2"/>
      </w:rPr>
      <w:fldChar w:fldCharType="begin"/>
    </w:r>
    <w:r>
      <w:rPr>
        <w:rStyle w:val="af2"/>
      </w:rPr>
      <w:instrText xml:space="preserve"> PAGE  \* MERGEFORMAT </w:instrText>
    </w:r>
    <w:r>
      <w:rPr>
        <w:rStyle w:val="af2"/>
      </w:rPr>
      <w:fldChar w:fldCharType="separate"/>
    </w:r>
    <w:r w:rsidR="00D63B91">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EA766C" w:rsidP="00FD37FF">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-14044</w:t>
    </w:r>
    <w:r w:rsidR="00731A42" w:rsidRPr="00EE277A">
      <w:rPr>
        <w:sz w:val="20"/>
        <w:lang w:eastAsia="zh-CN"/>
      </w:rPr>
      <w:t xml:space="preserve"> (C)</w:t>
    </w:r>
    <w:r w:rsidR="00EA7E67">
      <w:rPr>
        <w:sz w:val="20"/>
        <w:lang w:eastAsia="zh-CN"/>
      </w:rPr>
      <w:tab/>
    </w:r>
    <w:r w:rsidR="00FD37FF">
      <w:rPr>
        <w:sz w:val="20"/>
        <w:lang w:eastAsia="zh-CN"/>
      </w:rPr>
      <w:t>121118</w:t>
    </w:r>
    <w:r w:rsidR="00731A42">
      <w:rPr>
        <w:sz w:val="20"/>
        <w:lang w:eastAsia="zh-CN"/>
      </w:rPr>
      <w:tab/>
    </w:r>
    <w:r w:rsidR="00FD37FF">
      <w:rPr>
        <w:sz w:val="20"/>
        <w:lang w:eastAsia="zh-CN"/>
      </w:rPr>
      <w:t>121118</w:t>
    </w:r>
  </w:p>
  <w:p w:rsidR="00056632" w:rsidRPr="00487939" w:rsidRDefault="00EA766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3/D/2392/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92/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C1" w:rsidRPr="000157B1" w:rsidRDefault="00992DC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92DC1" w:rsidRPr="000157B1" w:rsidRDefault="00992DC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92DC1" w:rsidRDefault="00992DC1"/>
  </w:footnote>
  <w:footnote w:id="2">
    <w:p w:rsidR="00395D66" w:rsidRPr="00395D66" w:rsidRDefault="00395D66" w:rsidP="00395D66">
      <w:pPr>
        <w:pStyle w:val="a6"/>
        <w:tabs>
          <w:tab w:val="clear" w:pos="1021"/>
          <w:tab w:val="right" w:pos="1020"/>
        </w:tabs>
      </w:pPr>
      <w:r>
        <w:rPr>
          <w:rStyle w:val="a8"/>
          <w:rFonts w:eastAsia="宋体"/>
        </w:rPr>
        <w:tab/>
      </w:r>
      <w:r w:rsidRPr="00395D66">
        <w:rPr>
          <w:rStyle w:val="a8"/>
          <w:rFonts w:eastAsia="宋体"/>
          <w:vertAlign w:val="baseline"/>
        </w:rPr>
        <w:t>*</w:t>
      </w:r>
      <w:r w:rsidRPr="00395D66">
        <w:tab/>
      </w:r>
      <w:r w:rsidRPr="00395D66">
        <w:rPr>
          <w:rFonts w:hint="eastAsia"/>
        </w:rPr>
        <w:t>委员会第</w:t>
      </w:r>
      <w:r w:rsidRPr="00395D66">
        <w:rPr>
          <w:rFonts w:hint="eastAsia"/>
        </w:rPr>
        <w:t>123</w:t>
      </w:r>
      <w:r w:rsidRPr="00395D66">
        <w:rPr>
          <w:rFonts w:hint="eastAsia"/>
        </w:rPr>
        <w:t>届会议</w:t>
      </w:r>
      <w:r w:rsidRPr="00395D66">
        <w:rPr>
          <w:rFonts w:hint="eastAsia"/>
        </w:rPr>
        <w:t>(2018</w:t>
      </w:r>
      <w:r w:rsidRPr="00395D66">
        <w:rPr>
          <w:rFonts w:hint="eastAsia"/>
        </w:rPr>
        <w:t>年</w:t>
      </w:r>
      <w:r w:rsidRPr="00395D66">
        <w:rPr>
          <w:rFonts w:hint="eastAsia"/>
        </w:rPr>
        <w:t>7</w:t>
      </w:r>
      <w:r w:rsidRPr="00395D66">
        <w:rPr>
          <w:rFonts w:hint="eastAsia"/>
        </w:rPr>
        <w:t>月</w:t>
      </w:r>
      <w:r w:rsidRPr="00395D66">
        <w:rPr>
          <w:rFonts w:hint="eastAsia"/>
        </w:rPr>
        <w:t>2</w:t>
      </w:r>
      <w:r w:rsidRPr="00395D66">
        <w:rPr>
          <w:rFonts w:hint="eastAsia"/>
        </w:rPr>
        <w:t>日至</w:t>
      </w:r>
      <w:r w:rsidRPr="00395D66">
        <w:rPr>
          <w:rFonts w:hint="eastAsia"/>
        </w:rPr>
        <w:t>27</w:t>
      </w:r>
      <w:r w:rsidRPr="00395D66">
        <w:rPr>
          <w:rFonts w:hint="eastAsia"/>
        </w:rPr>
        <w:t>日</w:t>
      </w:r>
      <w:r w:rsidRPr="00395D66">
        <w:rPr>
          <w:rFonts w:hint="eastAsia"/>
        </w:rPr>
        <w:t>)</w:t>
      </w:r>
      <w:r w:rsidRPr="00395D66">
        <w:rPr>
          <w:rFonts w:hint="eastAsia"/>
        </w:rPr>
        <w:t>通过。</w:t>
      </w:r>
    </w:p>
  </w:footnote>
  <w:footnote w:id="3">
    <w:p w:rsidR="00395D66" w:rsidRPr="00395D66" w:rsidRDefault="00395D66" w:rsidP="00395D66">
      <w:pPr>
        <w:pStyle w:val="a6"/>
        <w:tabs>
          <w:tab w:val="clear" w:pos="1021"/>
          <w:tab w:val="right" w:pos="1020"/>
        </w:tabs>
      </w:pPr>
      <w:r w:rsidRPr="00395D66">
        <w:rPr>
          <w:rStyle w:val="a8"/>
          <w:rFonts w:eastAsia="宋体"/>
          <w:vertAlign w:val="baseline"/>
        </w:rPr>
        <w:tab/>
        <w:t>**</w:t>
      </w:r>
      <w:r w:rsidRPr="00395D66">
        <w:tab/>
      </w:r>
      <w:r w:rsidRPr="00395D66">
        <w:rPr>
          <w:rFonts w:hint="eastAsia"/>
        </w:rPr>
        <w:t>参加审查本来文的委员会委员有：塔尼亚·玛丽亚·阿卜杜·罗科尔、亚兹·本·阿舒尔、伊尔泽·布兰兹·科里斯、萨拉·克利夫兰、艾哈迈德·阿明·法萨拉、奥利维耶·德弗鲁维尔、赫里斯托夫·海恩斯、巴玛利亚姆·科伊塔、马西娅·克兰、邓肯·莱基·穆胡穆扎、毛罗·波利蒂、何塞·曼努埃尔·桑托斯·派斯、尤瓦尔·沙尼和马戈·瓦特瓦尔。</w:t>
      </w:r>
    </w:p>
  </w:footnote>
  <w:footnote w:id="4">
    <w:p w:rsidR="00370C84" w:rsidRPr="00B922FB" w:rsidRDefault="00370C84" w:rsidP="00B922FB">
      <w:pPr>
        <w:pStyle w:val="a6"/>
      </w:pPr>
      <w:r w:rsidRPr="00B922FB">
        <w:tab/>
      </w:r>
      <w:r w:rsidRPr="00B922FB">
        <w:rPr>
          <w:rStyle w:val="a8"/>
          <w:rFonts w:eastAsia="宋体"/>
        </w:rPr>
        <w:footnoteRef/>
      </w:r>
      <w:r w:rsidRPr="00B922FB">
        <w:tab/>
      </w:r>
      <w:r w:rsidRPr="00B922FB">
        <w:t>在国内诉讼期间，由另一名律师代理，不同于在来文中代理她的律师。</w:t>
      </w:r>
    </w:p>
  </w:footnote>
  <w:footnote w:id="5">
    <w:p w:rsidR="00370C84" w:rsidRPr="00B922FB" w:rsidRDefault="00370C84" w:rsidP="00B922FB">
      <w:pPr>
        <w:pStyle w:val="a6"/>
      </w:pPr>
      <w:r w:rsidRPr="00B922FB">
        <w:tab/>
      </w:r>
      <w:r w:rsidRPr="00B922FB">
        <w:rPr>
          <w:rStyle w:val="a8"/>
          <w:rFonts w:eastAsia="宋体"/>
        </w:rPr>
        <w:footnoteRef/>
      </w:r>
      <w:r w:rsidRPr="00B922FB">
        <w:tab/>
      </w:r>
      <w:r w:rsidRPr="00B922FB">
        <w:t>《刑事诉讼法》第</w:t>
      </w:r>
      <w:r w:rsidRPr="00B922FB">
        <w:t>365</w:t>
      </w:r>
      <w:r w:rsidRPr="00B922FB">
        <w:t>条</w:t>
      </w:r>
      <w:r w:rsidRPr="00B922FB">
        <w:t>(a)</w:t>
      </w:r>
      <w:r w:rsidRPr="00B922FB">
        <w:t>项规定如下：</w:t>
      </w:r>
    </w:p>
    <w:p w:rsidR="00370C84" w:rsidRPr="00B922FB" w:rsidRDefault="00370C84" w:rsidP="00B922FB">
      <w:pPr>
        <w:pStyle w:val="a6"/>
      </w:pPr>
      <w:r w:rsidRPr="00B922FB">
        <w:tab/>
      </w:r>
      <w:r w:rsidRPr="00B922FB">
        <w:tab/>
        <w:t>1.</w:t>
      </w:r>
      <w:r w:rsidR="00351E49">
        <w:t xml:space="preserve">  </w:t>
      </w:r>
      <w:r w:rsidRPr="00B922FB">
        <w:t>只要未寻求普通补救办法，宣布简略判决足矣。</w:t>
      </w:r>
    </w:p>
    <w:p w:rsidR="00370C84" w:rsidRPr="00B922FB" w:rsidRDefault="00370C84" w:rsidP="00B922FB">
      <w:pPr>
        <w:pStyle w:val="a6"/>
      </w:pPr>
      <w:r w:rsidRPr="00B922FB">
        <w:tab/>
      </w:r>
      <w:r w:rsidRPr="00B922FB">
        <w:tab/>
        <w:t>2.</w:t>
      </w:r>
      <w:r w:rsidR="00351E49">
        <w:t xml:space="preserve">  </w:t>
      </w:r>
      <w:r w:rsidRPr="00B922FB">
        <w:t>如针对一项简略判决已寻求普通补救办法，此判决应补充证据</w:t>
      </w:r>
      <w:r w:rsidR="007E15A2">
        <w:rPr>
          <w:rFonts w:hint="eastAsia"/>
        </w:rPr>
        <w:t>……</w:t>
      </w:r>
      <w:r w:rsidRPr="00B922FB">
        <w:t>或者</w:t>
      </w:r>
      <w:r w:rsidR="007E15A2">
        <w:rPr>
          <w:rFonts w:hint="eastAsia"/>
        </w:rPr>
        <w:t>……</w:t>
      </w:r>
      <w:r w:rsidRPr="00B922FB">
        <w:t>补充一份列明证据清单的声明，除非涉及</w:t>
      </w:r>
      <w:r w:rsidR="007E15A2">
        <w:rPr>
          <w:rFonts w:hint="eastAsia"/>
        </w:rPr>
        <w:t>……</w:t>
      </w:r>
      <w:r w:rsidRPr="00B922FB">
        <w:t>第</w:t>
      </w:r>
      <w:r w:rsidRPr="00B922FB">
        <w:t>410</w:t>
      </w:r>
      <w:r w:rsidRPr="00B922FB">
        <w:t>条</w:t>
      </w:r>
      <w:r w:rsidRPr="00B922FB">
        <w:t>(a)</w:t>
      </w:r>
      <w:r w:rsidRPr="00B922FB">
        <w:t>项第一段所述判决。</w:t>
      </w:r>
    </w:p>
  </w:footnote>
  <w:footnote w:id="6">
    <w:p w:rsidR="00370C84" w:rsidRPr="00B922FB" w:rsidRDefault="00370C84" w:rsidP="00B922FB">
      <w:pPr>
        <w:pStyle w:val="a6"/>
      </w:pPr>
      <w:r w:rsidRPr="00B922FB">
        <w:tab/>
      </w:r>
      <w:r w:rsidRPr="00B922FB">
        <w:rPr>
          <w:rStyle w:val="a8"/>
          <w:rFonts w:eastAsia="宋体"/>
        </w:rPr>
        <w:footnoteRef/>
      </w:r>
      <w:r w:rsidRPr="00B922FB">
        <w:tab/>
      </w:r>
      <w:r w:rsidRPr="00B922FB">
        <w:t>《刑事诉讼法》第</w:t>
      </w:r>
      <w:r w:rsidRPr="00B922FB">
        <w:t>378</w:t>
      </w:r>
      <w:r w:rsidRPr="00B922FB">
        <w:t>条规定如下：</w:t>
      </w:r>
    </w:p>
    <w:p w:rsidR="00370C84" w:rsidRPr="00B922FB" w:rsidRDefault="00370C84" w:rsidP="00B922FB">
      <w:pPr>
        <w:pStyle w:val="a6"/>
      </w:pPr>
      <w:r w:rsidRPr="00B922FB">
        <w:tab/>
      </w:r>
      <w:r w:rsidRPr="00B922FB">
        <w:tab/>
        <w:t>2.</w:t>
      </w:r>
      <w:r w:rsidR="00351E49">
        <w:t xml:space="preserve">  </w:t>
      </w:r>
      <w:r w:rsidRPr="00B922FB">
        <w:t>如果对判决寻求普通补救，</w:t>
      </w:r>
      <w:r w:rsidR="007E15A2">
        <w:rPr>
          <w:rFonts w:hint="eastAsia"/>
        </w:rPr>
        <w:t>……</w:t>
      </w:r>
      <w:r w:rsidRPr="00B922FB">
        <w:t>审判记录中将提到判决，除非这一法律补救办法是在判决三个多月后行使的或者如果涉及第</w:t>
      </w:r>
      <w:r w:rsidRPr="00B922FB">
        <w:t>410</w:t>
      </w:r>
      <w:r w:rsidRPr="00B922FB">
        <w:t>条</w:t>
      </w:r>
      <w:r w:rsidRPr="00B922FB">
        <w:t>(a)</w:t>
      </w:r>
      <w:r w:rsidRPr="00B922FB">
        <w:t>项第一段所述之判决。</w:t>
      </w:r>
    </w:p>
    <w:p w:rsidR="00370C84" w:rsidRPr="00B922FB" w:rsidRDefault="00370C84" w:rsidP="00B922FB">
      <w:pPr>
        <w:pStyle w:val="a6"/>
      </w:pPr>
      <w:r w:rsidRPr="00B922FB">
        <w:tab/>
      </w:r>
      <w:r w:rsidRPr="00B922FB">
        <w:tab/>
      </w:r>
      <w:r w:rsidRPr="00B922FB">
        <w:t>《刑事诉讼法》第</w:t>
      </w:r>
      <w:r w:rsidRPr="00B922FB">
        <w:t>378</w:t>
      </w:r>
      <w:r w:rsidRPr="00B922FB">
        <w:t>条</w:t>
      </w:r>
      <w:r w:rsidRPr="00B922FB">
        <w:t>(a)</w:t>
      </w:r>
      <w:r w:rsidRPr="00B922FB">
        <w:t>项规定如下：</w:t>
      </w:r>
    </w:p>
    <w:p w:rsidR="00370C84" w:rsidRPr="00B922FB" w:rsidRDefault="00370C84" w:rsidP="00B922FB">
      <w:pPr>
        <w:pStyle w:val="a6"/>
      </w:pPr>
      <w:r w:rsidRPr="00B922FB">
        <w:tab/>
      </w:r>
      <w:r w:rsidRPr="00B922FB">
        <w:tab/>
        <w:t>1.</w:t>
      </w:r>
      <w:r w:rsidR="00351E49">
        <w:t xml:space="preserve">  </w:t>
      </w:r>
      <w:r w:rsidRPr="00B922FB">
        <w:t>根据第</w:t>
      </w:r>
      <w:r w:rsidRPr="00B922FB">
        <w:t>378</w:t>
      </w:r>
      <w:r w:rsidRPr="00B922FB">
        <w:t>条第</w:t>
      </w:r>
      <w:r w:rsidRPr="00B922FB">
        <w:t>2</w:t>
      </w:r>
      <w:r w:rsidRPr="00B922FB">
        <w:t>款</w:t>
      </w:r>
      <w:r w:rsidR="00C06914">
        <w:rPr>
          <w:rFonts w:hint="eastAsia"/>
        </w:rPr>
        <w:t>……</w:t>
      </w:r>
      <w:r w:rsidRPr="00B922FB">
        <w:t>免于起草审判记录，在两倍</w:t>
      </w:r>
      <w:r w:rsidRPr="00B922FB">
        <w:t>24</w:t>
      </w:r>
      <w:r w:rsidRPr="00B922FB">
        <w:t>小时内，判决将在一份文件中记录，附于传唤书副本。</w:t>
      </w:r>
    </w:p>
    <w:p w:rsidR="00370C84" w:rsidRPr="00B922FB" w:rsidRDefault="00370C84" w:rsidP="00351E49">
      <w:pPr>
        <w:pStyle w:val="a6"/>
      </w:pPr>
      <w:r w:rsidRPr="00B922FB">
        <w:tab/>
      </w:r>
      <w:r w:rsidRPr="00B922FB">
        <w:tab/>
        <w:t>2.</w:t>
      </w:r>
      <w:r w:rsidR="00351E49">
        <w:t xml:space="preserve">  </w:t>
      </w:r>
      <w:r w:rsidR="00095F03">
        <w:rPr>
          <w:rFonts w:hint="eastAsia"/>
        </w:rPr>
        <w:t>……</w:t>
      </w:r>
      <w:r w:rsidRPr="00B922FB">
        <w:t>在任何情形下，附注均应说明：</w:t>
      </w:r>
      <w:r w:rsidRPr="00B922FB">
        <w:t>(a)</w:t>
      </w:r>
      <w:r w:rsidR="00095F03">
        <w:t xml:space="preserve"> </w:t>
      </w:r>
      <w:r w:rsidRPr="00B922FB">
        <w:t>警察法院法官的姓名、判决日期以及该判决是否是缺席审判或是在有辩护的诉讼中的判决；</w:t>
      </w:r>
      <w:r w:rsidRPr="00B922FB">
        <w:t>(b)</w:t>
      </w:r>
      <w:r w:rsidR="00095F03">
        <w:t xml:space="preserve"> </w:t>
      </w:r>
      <w:r w:rsidRPr="00B922FB">
        <w:t>如果宣判有罪，由所发现的事实构成的罪行；</w:t>
      </w:r>
      <w:r w:rsidRPr="00B922FB">
        <w:t>(c)</w:t>
      </w:r>
      <w:r w:rsidR="00095F03">
        <w:t xml:space="preserve"> </w:t>
      </w:r>
      <w:proofErr w:type="gramStart"/>
      <w:r w:rsidRPr="00B922FB">
        <w:t>作出</w:t>
      </w:r>
      <w:proofErr w:type="gramEnd"/>
      <w:r w:rsidRPr="00B922FB">
        <w:t>的处罚或命令，该处罚或命令所依据的法定条文。</w:t>
      </w:r>
    </w:p>
  </w:footnote>
  <w:footnote w:id="7">
    <w:p w:rsidR="00370C84" w:rsidRPr="00B922FB" w:rsidRDefault="00370C84" w:rsidP="00B922FB">
      <w:pPr>
        <w:pStyle w:val="a6"/>
      </w:pPr>
      <w:r w:rsidRPr="00B922FB">
        <w:tab/>
      </w:r>
      <w:r w:rsidRPr="00B922FB">
        <w:rPr>
          <w:rStyle w:val="a8"/>
          <w:rFonts w:eastAsia="宋体"/>
        </w:rPr>
        <w:footnoteRef/>
      </w:r>
      <w:r w:rsidRPr="00B922FB">
        <w:tab/>
      </w:r>
      <w:r w:rsidRPr="00B922FB">
        <w:t>《刑事诉讼法》第</w:t>
      </w:r>
      <w:r w:rsidRPr="00B922FB">
        <w:t>410</w:t>
      </w:r>
      <w:r w:rsidRPr="00B922FB">
        <w:t>条</w:t>
      </w:r>
      <w:r w:rsidRPr="00B922FB">
        <w:t>(a)</w:t>
      </w:r>
      <w:r w:rsidRPr="00B922FB">
        <w:t>项规定如下：</w:t>
      </w:r>
    </w:p>
    <w:p w:rsidR="00370C84" w:rsidRPr="00B922FB" w:rsidRDefault="00370C84" w:rsidP="009F2489">
      <w:pPr>
        <w:pStyle w:val="a6"/>
      </w:pPr>
      <w:r w:rsidRPr="00B922FB">
        <w:tab/>
      </w:r>
      <w:r w:rsidRPr="00B922FB">
        <w:tab/>
      </w:r>
      <w:r w:rsidRPr="00B922FB">
        <w:t>如果有可能上诉而且针对一项完全涉及一个或多个简易程序罪或可起诉罪的判决提出上诉，这些罪行，根据法定描述，可判处四年以下监禁，而且，除了不超过</w:t>
      </w:r>
      <w:r w:rsidR="009F2489">
        <w:rPr>
          <w:rFonts w:hint="eastAsia"/>
          <w:spacing w:val="-50"/>
        </w:rPr>
        <w:t>―</w:t>
      </w:r>
      <w:r w:rsidR="009F2489">
        <w:rPr>
          <w:rFonts w:hint="eastAsia"/>
        </w:rPr>
        <w:t>―</w:t>
      </w:r>
      <w:r w:rsidRPr="00B922FB">
        <w:t>或者，在判决中</w:t>
      </w:r>
      <w:proofErr w:type="gramStart"/>
      <w:r w:rsidRPr="00B922FB">
        <w:t>作出</w:t>
      </w:r>
      <w:proofErr w:type="gramEnd"/>
      <w:r w:rsidRPr="00B922FB">
        <w:t>两项或多项罚款，罚金相加最多为</w:t>
      </w:r>
      <w:r w:rsidR="009F2489">
        <w:rPr>
          <w:rFonts w:hint="eastAsia"/>
          <w:spacing w:val="-50"/>
        </w:rPr>
        <w:t>―</w:t>
      </w:r>
      <w:r w:rsidR="009F2489">
        <w:rPr>
          <w:rFonts w:hint="eastAsia"/>
        </w:rPr>
        <w:t>―</w:t>
      </w:r>
      <w:r w:rsidRPr="00B922FB">
        <w:t>500</w:t>
      </w:r>
      <w:r w:rsidRPr="00B922FB">
        <w:t>欧元，该上诉只有在庭长认为从司法利益而言这是必要的，法庭才会审理。</w:t>
      </w:r>
    </w:p>
  </w:footnote>
  <w:footnote w:id="8">
    <w:p w:rsidR="00370C84" w:rsidRPr="00B922FB" w:rsidRDefault="00370C84" w:rsidP="00B922FB">
      <w:pPr>
        <w:pStyle w:val="a6"/>
      </w:pPr>
      <w:r w:rsidRPr="00B922FB">
        <w:tab/>
      </w:r>
      <w:r w:rsidRPr="00B922FB">
        <w:rPr>
          <w:rStyle w:val="a8"/>
          <w:rFonts w:eastAsia="宋体"/>
        </w:rPr>
        <w:footnoteRef/>
      </w:r>
      <w:r w:rsidRPr="00B922FB">
        <w:tab/>
      </w:r>
      <w:r w:rsidRPr="00B922FB">
        <w:t>《刑事诉讼法》第</w:t>
      </w:r>
      <w:r w:rsidRPr="00B922FB">
        <w:t>410</w:t>
      </w:r>
      <w:r w:rsidRPr="00B922FB">
        <w:t>条</w:t>
      </w:r>
      <w:r w:rsidRPr="00B922FB">
        <w:t>(a)(7)</w:t>
      </w:r>
      <w:r w:rsidRPr="00B922FB">
        <w:t>项规定如下：</w:t>
      </w:r>
    </w:p>
    <w:p w:rsidR="00370C84" w:rsidRPr="00B922FB" w:rsidRDefault="00370C84" w:rsidP="00B922FB">
      <w:pPr>
        <w:pStyle w:val="a6"/>
      </w:pPr>
      <w:r w:rsidRPr="00B922FB">
        <w:tab/>
      </w:r>
      <w:r w:rsidRPr="00B922FB">
        <w:tab/>
      </w:r>
      <w:r w:rsidRPr="00B922FB">
        <w:t>在第四段所述情况下，不可能针对庭长的决定所涉及的判决提出撤回原判上诉。</w:t>
      </w:r>
    </w:p>
  </w:footnote>
  <w:footnote w:id="9">
    <w:p w:rsidR="00370C84" w:rsidRPr="00B922FB" w:rsidRDefault="00370C84" w:rsidP="00B922FB">
      <w:pPr>
        <w:pStyle w:val="a6"/>
      </w:pPr>
      <w:r w:rsidRPr="00B922FB">
        <w:tab/>
      </w:r>
      <w:r w:rsidRPr="00B922FB">
        <w:rPr>
          <w:rStyle w:val="a8"/>
          <w:rFonts w:eastAsia="宋体"/>
        </w:rPr>
        <w:footnoteRef/>
      </w:r>
      <w:r w:rsidRPr="00B922FB">
        <w:tab/>
      </w:r>
      <w:r w:rsidRPr="00B922FB">
        <w:t>欧洲人权法院秘书处</w:t>
      </w:r>
      <w:r w:rsidRPr="00B922FB">
        <w:t>2012</w:t>
      </w:r>
      <w:r w:rsidRPr="00B922FB">
        <w:t>年</w:t>
      </w:r>
      <w:r w:rsidRPr="00B922FB">
        <w:t>10</w:t>
      </w:r>
      <w:r w:rsidRPr="00B922FB">
        <w:t>月</w:t>
      </w:r>
      <w:r w:rsidRPr="00B922FB">
        <w:t>11</w:t>
      </w:r>
      <w:r w:rsidRPr="00B922FB">
        <w:t>日发布的关于第</w:t>
      </w:r>
      <w:r w:rsidRPr="00B922FB">
        <w:t>39456/10</w:t>
      </w:r>
      <w:r w:rsidRPr="00B922FB">
        <w:t>号申请的一封信件副本，可查阅案宗。</w:t>
      </w:r>
    </w:p>
  </w:footnote>
  <w:footnote w:id="10">
    <w:p w:rsidR="00370C84" w:rsidRPr="00B922FB" w:rsidRDefault="00370C84" w:rsidP="00C931E1">
      <w:pPr>
        <w:pStyle w:val="a6"/>
      </w:pPr>
      <w:r w:rsidRPr="00B922FB">
        <w:tab/>
      </w:r>
      <w:r w:rsidRPr="00B922FB">
        <w:rPr>
          <w:rStyle w:val="a8"/>
          <w:rFonts w:eastAsia="宋体"/>
        </w:rPr>
        <w:footnoteRef/>
      </w:r>
      <w:r w:rsidRPr="00B922FB">
        <w:tab/>
      </w:r>
      <w:r w:rsidRPr="00B922FB">
        <w:rPr>
          <w:rFonts w:hint="eastAsia"/>
        </w:rPr>
        <w:t>参阅</w:t>
      </w:r>
      <w:r w:rsidRPr="00B922FB">
        <w:t>Mennen</w:t>
      </w:r>
      <w:r w:rsidRPr="00C931E1">
        <w:rPr>
          <w:rFonts w:ascii="Time New Roman" w:eastAsia="楷体" w:hAnsi="Time New Roman"/>
        </w:rPr>
        <w:t>诉荷兰</w:t>
      </w:r>
      <w:r w:rsidRPr="00B922FB">
        <w:t>(</w:t>
      </w:r>
      <w:proofErr w:type="spellStart"/>
      <w:r w:rsidRPr="00B922FB">
        <w:t>CCPR</w:t>
      </w:r>
      <w:proofErr w:type="spellEnd"/>
      <w:r w:rsidRPr="00B922FB">
        <w:t>/C/99/D/1797/2008)</w:t>
      </w:r>
      <w:r w:rsidRPr="00B922FB">
        <w:t>，第</w:t>
      </w:r>
      <w:r w:rsidRPr="00B922FB">
        <w:t>8.2</w:t>
      </w:r>
      <w:r w:rsidR="00C931E1">
        <w:t>-</w:t>
      </w:r>
      <w:r w:rsidRPr="00B922FB">
        <w:t>9</w:t>
      </w:r>
      <w:r w:rsidRPr="00B922FB">
        <w:t>段。</w:t>
      </w:r>
    </w:p>
  </w:footnote>
  <w:footnote w:id="11">
    <w:p w:rsidR="00370C84" w:rsidRPr="00B922FB" w:rsidRDefault="00370C84" w:rsidP="00B922FB">
      <w:pPr>
        <w:pStyle w:val="a6"/>
      </w:pPr>
      <w:r w:rsidRPr="00B922FB">
        <w:tab/>
      </w:r>
      <w:r w:rsidRPr="00B922FB">
        <w:rPr>
          <w:rStyle w:val="a8"/>
          <w:rFonts w:eastAsia="宋体"/>
        </w:rPr>
        <w:footnoteRef/>
      </w:r>
      <w:r w:rsidRPr="00B922FB">
        <w:tab/>
      </w:r>
      <w:r w:rsidRPr="00B922FB">
        <w:t>见第</w:t>
      </w:r>
      <w:r w:rsidRPr="00B922FB">
        <w:t>10</w:t>
      </w:r>
      <w:r w:rsidRPr="00B922FB">
        <w:t>段。</w:t>
      </w:r>
    </w:p>
  </w:footnote>
  <w:footnote w:id="12">
    <w:p w:rsidR="00370C84" w:rsidRPr="00B922FB" w:rsidRDefault="00370C84" w:rsidP="00B922FB">
      <w:pPr>
        <w:pStyle w:val="a6"/>
      </w:pPr>
      <w:r w:rsidRPr="00B922FB">
        <w:tab/>
      </w:r>
      <w:r w:rsidRPr="00B922FB">
        <w:rPr>
          <w:rStyle w:val="a8"/>
          <w:rFonts w:eastAsia="宋体"/>
        </w:rPr>
        <w:footnoteRef/>
      </w:r>
      <w:r w:rsidRPr="00B922FB">
        <w:tab/>
      </w:r>
      <w:r w:rsidRPr="00B922FB">
        <w:t>同上。</w:t>
      </w:r>
    </w:p>
  </w:footnote>
  <w:footnote w:id="13">
    <w:p w:rsidR="00370C84" w:rsidRPr="00B922FB" w:rsidRDefault="00370C84" w:rsidP="00B922FB">
      <w:pPr>
        <w:pStyle w:val="a6"/>
      </w:pPr>
      <w:r w:rsidRPr="00B922FB">
        <w:tab/>
      </w:r>
      <w:r w:rsidRPr="00B922FB">
        <w:rPr>
          <w:rStyle w:val="a8"/>
          <w:rFonts w:eastAsia="宋体"/>
        </w:rPr>
        <w:footnoteRef/>
      </w:r>
      <w:r w:rsidRPr="00B922FB">
        <w:tab/>
      </w:r>
      <w:r w:rsidRPr="00B922FB">
        <w:t>缔约国未对《任择议定书》第五条第</w:t>
      </w:r>
      <w:r w:rsidRPr="00B922FB">
        <w:t>2</w:t>
      </w:r>
      <w:r w:rsidRPr="00B922FB">
        <w:t>款</w:t>
      </w:r>
      <w:r w:rsidRPr="00B922FB">
        <w:t>(</w:t>
      </w:r>
      <w:r w:rsidRPr="00B922FB">
        <w:t>子</w:t>
      </w:r>
      <w:r w:rsidRPr="00B922FB">
        <w:t>)</w:t>
      </w:r>
      <w:r w:rsidRPr="00B922FB">
        <w:t>项</w:t>
      </w:r>
      <w:proofErr w:type="gramStart"/>
      <w:r w:rsidRPr="00B922FB">
        <w:t>作出</w:t>
      </w:r>
      <w:proofErr w:type="gramEnd"/>
      <w:r w:rsidRPr="00B922FB">
        <w:t>保留。</w:t>
      </w:r>
    </w:p>
  </w:footnote>
  <w:footnote w:id="14">
    <w:p w:rsidR="00370C84" w:rsidRPr="00B922FB" w:rsidRDefault="00370C84" w:rsidP="00B922FB">
      <w:pPr>
        <w:pStyle w:val="a6"/>
      </w:pPr>
      <w:r w:rsidRPr="00B922FB">
        <w:tab/>
      </w:r>
      <w:r w:rsidRPr="00B922FB">
        <w:rPr>
          <w:rStyle w:val="a8"/>
          <w:rFonts w:eastAsia="宋体"/>
        </w:rPr>
        <w:footnoteRef/>
      </w:r>
      <w:r w:rsidRPr="00B922FB">
        <w:tab/>
      </w:r>
      <w:r w:rsidRPr="00B922FB">
        <w:t>例见，人权事务委员会，</w:t>
      </w:r>
      <w:proofErr w:type="spellStart"/>
      <w:r w:rsidRPr="00B922FB">
        <w:t>A.P.A</w:t>
      </w:r>
      <w:proofErr w:type="spellEnd"/>
      <w:r w:rsidRPr="00B922FB">
        <w:t>.</w:t>
      </w:r>
      <w:r w:rsidRPr="00524D2B">
        <w:rPr>
          <w:rFonts w:ascii="Time New Roman" w:eastAsia="楷体" w:hAnsi="Time New Roman"/>
        </w:rPr>
        <w:t>诉西班牙</w:t>
      </w:r>
      <w:r w:rsidRPr="00B922FB">
        <w:t>，第</w:t>
      </w:r>
      <w:r w:rsidRPr="00B922FB">
        <w:t>433/1990</w:t>
      </w:r>
      <w:r w:rsidRPr="00B922FB">
        <w:t>号来文，第</w:t>
      </w:r>
      <w:r w:rsidRPr="00B922FB">
        <w:t>6.2</w:t>
      </w:r>
      <w:r w:rsidRPr="00B922FB">
        <w:t>段；</w:t>
      </w:r>
      <w:proofErr w:type="spellStart"/>
      <w:r w:rsidRPr="00B922FB">
        <w:t>P.L</w:t>
      </w:r>
      <w:proofErr w:type="spellEnd"/>
      <w:r w:rsidRPr="00B922FB">
        <w:t>.</w:t>
      </w:r>
      <w:r w:rsidRPr="00524D2B">
        <w:rPr>
          <w:rFonts w:ascii="Time New Roman" w:eastAsia="楷体" w:hAnsi="Time New Roman"/>
        </w:rPr>
        <w:t>诉德国</w:t>
      </w:r>
      <w:r w:rsidRPr="00B922FB">
        <w:t>(</w:t>
      </w:r>
      <w:proofErr w:type="spellStart"/>
      <w:r w:rsidRPr="00B922FB">
        <w:t>CCPR</w:t>
      </w:r>
      <w:proofErr w:type="spellEnd"/>
      <w:r w:rsidRPr="00B922FB">
        <w:t>/C/79/D/1003/2001)</w:t>
      </w:r>
      <w:r w:rsidRPr="00B922FB">
        <w:t>，第</w:t>
      </w:r>
      <w:r w:rsidRPr="00B922FB">
        <w:t>6.5</w:t>
      </w:r>
      <w:r w:rsidRPr="00B922FB">
        <w:t>段；</w:t>
      </w:r>
      <w:proofErr w:type="spellStart"/>
      <w:r w:rsidRPr="00B922FB">
        <w:t>Timmer</w:t>
      </w:r>
      <w:proofErr w:type="spellEnd"/>
      <w:r w:rsidRPr="00D61475">
        <w:rPr>
          <w:rFonts w:ascii="Time New Roman" w:eastAsia="楷体" w:hAnsi="Time New Roman"/>
        </w:rPr>
        <w:t>诉荷兰</w:t>
      </w:r>
      <w:r w:rsidRPr="00B922FB">
        <w:t>(</w:t>
      </w:r>
      <w:proofErr w:type="spellStart"/>
      <w:r w:rsidRPr="00B922FB">
        <w:t>CCPR</w:t>
      </w:r>
      <w:proofErr w:type="spellEnd"/>
      <w:r w:rsidRPr="00B922FB">
        <w:t>/C/111/D/2097/2011)</w:t>
      </w:r>
      <w:r w:rsidRPr="00B922FB">
        <w:t>，第</w:t>
      </w:r>
      <w:r w:rsidRPr="00B922FB">
        <w:t>6.3</w:t>
      </w:r>
      <w:r w:rsidRPr="00B922FB">
        <w:t>段。</w:t>
      </w:r>
    </w:p>
  </w:footnote>
  <w:footnote w:id="15">
    <w:p w:rsidR="00370C84" w:rsidRPr="00B922FB" w:rsidRDefault="00370C84" w:rsidP="00B922FB">
      <w:pPr>
        <w:pStyle w:val="a6"/>
      </w:pPr>
      <w:r w:rsidRPr="00B922FB">
        <w:tab/>
      </w:r>
      <w:r w:rsidRPr="00B922FB">
        <w:rPr>
          <w:rStyle w:val="a8"/>
          <w:rFonts w:eastAsia="宋体"/>
        </w:rPr>
        <w:footnoteRef/>
      </w:r>
      <w:r w:rsidRPr="00B922FB">
        <w:tab/>
      </w:r>
      <w:r w:rsidRPr="00B922FB">
        <w:t>见人权事务委员会，关于在法庭和裁判所前一律平等和获得公正审判的权利的第</w:t>
      </w:r>
      <w:r w:rsidRPr="00B922FB">
        <w:t>32</w:t>
      </w:r>
      <w:r w:rsidRPr="00B922FB">
        <w:t>号一般性意见</w:t>
      </w:r>
      <w:r w:rsidRPr="00B922FB">
        <w:t>(2007</w:t>
      </w:r>
      <w:r w:rsidRPr="00B922FB">
        <w:t>年</w:t>
      </w:r>
      <w:r w:rsidRPr="00B922FB">
        <w:t>)</w:t>
      </w:r>
      <w:r w:rsidRPr="00B922FB">
        <w:t>，第</w:t>
      </w:r>
      <w:r w:rsidRPr="00B922FB">
        <w:t>49</w:t>
      </w:r>
      <w:r w:rsidRPr="00B922FB">
        <w:t>段。</w:t>
      </w:r>
    </w:p>
  </w:footnote>
  <w:footnote w:id="16">
    <w:p w:rsidR="00370C84" w:rsidRPr="00B922FB" w:rsidRDefault="00370C84" w:rsidP="00B922FB">
      <w:pPr>
        <w:pStyle w:val="a6"/>
      </w:pPr>
      <w:r w:rsidRPr="00B922FB">
        <w:tab/>
      </w:r>
      <w:r w:rsidRPr="00B922FB">
        <w:rPr>
          <w:rStyle w:val="a8"/>
          <w:rFonts w:eastAsia="宋体"/>
        </w:rPr>
        <w:footnoteRef/>
      </w:r>
      <w:r w:rsidRPr="00B922FB">
        <w:tab/>
      </w:r>
      <w:r w:rsidRPr="00B922FB">
        <w:t>见</w:t>
      </w:r>
      <w:r w:rsidRPr="00B922FB">
        <w:t>Mennen</w:t>
      </w:r>
      <w:r w:rsidRPr="007E1834">
        <w:rPr>
          <w:rFonts w:ascii="Time New Roman" w:eastAsia="楷体" w:hAnsi="Time New Roman"/>
        </w:rPr>
        <w:t>诉荷兰</w:t>
      </w:r>
      <w:r w:rsidRPr="00B922FB">
        <w:t>，第</w:t>
      </w:r>
      <w:r w:rsidRPr="00B922FB">
        <w:t>8.3</w:t>
      </w:r>
      <w:r w:rsidRPr="00B922FB">
        <w:t>段；</w:t>
      </w:r>
      <w:proofErr w:type="spellStart"/>
      <w:r w:rsidRPr="00B922FB">
        <w:t>Timmer</w:t>
      </w:r>
      <w:proofErr w:type="spellEnd"/>
      <w:r w:rsidRPr="007E1834">
        <w:rPr>
          <w:rFonts w:ascii="Time New Roman" w:eastAsia="楷体" w:hAnsi="Time New Roman"/>
        </w:rPr>
        <w:t>诉荷兰</w:t>
      </w:r>
      <w:r w:rsidRPr="00B922FB">
        <w:t>，第</w:t>
      </w:r>
      <w:r w:rsidRPr="00B922FB">
        <w:t>7.3</w:t>
      </w:r>
      <w:r w:rsidRPr="00B922FB">
        <w:t>段。</w:t>
      </w:r>
    </w:p>
  </w:footnote>
  <w:footnote w:id="17">
    <w:p w:rsidR="00370C84" w:rsidRPr="00B922FB" w:rsidRDefault="00370C84" w:rsidP="00B922FB">
      <w:pPr>
        <w:pStyle w:val="a6"/>
      </w:pPr>
      <w:r w:rsidRPr="00B922FB">
        <w:tab/>
      </w:r>
      <w:r w:rsidRPr="00B922FB">
        <w:rPr>
          <w:rStyle w:val="a8"/>
          <w:rFonts w:eastAsia="宋体"/>
        </w:rPr>
        <w:footnoteRef/>
      </w:r>
      <w:r w:rsidRPr="00B922FB">
        <w:tab/>
      </w:r>
      <w:r w:rsidRPr="00B922FB">
        <w:t>同上。</w:t>
      </w:r>
    </w:p>
  </w:footnote>
  <w:footnote w:id="18">
    <w:p w:rsidR="00370C84" w:rsidRPr="00B922FB" w:rsidRDefault="00370C84" w:rsidP="00B922FB">
      <w:pPr>
        <w:pStyle w:val="a6"/>
      </w:pPr>
      <w:r w:rsidRPr="00B922FB">
        <w:tab/>
      </w:r>
      <w:r w:rsidRPr="00B922FB">
        <w:rPr>
          <w:rStyle w:val="a8"/>
          <w:rFonts w:eastAsia="宋体"/>
        </w:rPr>
        <w:footnoteRef/>
      </w:r>
      <w:r w:rsidRPr="00B922FB">
        <w:tab/>
      </w:r>
      <w:r w:rsidRPr="00B922FB">
        <w:t>见第</w:t>
      </w:r>
      <w:r w:rsidRPr="00B922FB">
        <w:t>15</w:t>
      </w:r>
      <w:r w:rsidRPr="00B922FB">
        <w:t>段。</w:t>
      </w:r>
    </w:p>
  </w:footnote>
  <w:footnote w:id="19">
    <w:p w:rsidR="00370C84" w:rsidRPr="00B922FB" w:rsidRDefault="00370C84" w:rsidP="00B922FB">
      <w:pPr>
        <w:pStyle w:val="a6"/>
      </w:pPr>
      <w:r w:rsidRPr="00B922FB">
        <w:tab/>
      </w:r>
      <w:r w:rsidRPr="00B922FB">
        <w:rPr>
          <w:rStyle w:val="a8"/>
          <w:rFonts w:eastAsia="宋体"/>
        </w:rPr>
        <w:footnoteRef/>
      </w:r>
      <w:r w:rsidRPr="00B922FB">
        <w:tab/>
      </w:r>
      <w:r w:rsidRPr="00B922FB">
        <w:t>见</w:t>
      </w:r>
      <w:r w:rsidRPr="00B922FB">
        <w:t>Mennen</w:t>
      </w:r>
      <w:r w:rsidRPr="007E1834">
        <w:rPr>
          <w:rFonts w:ascii="Time New Roman" w:eastAsia="楷体" w:hAnsi="Time New Roman"/>
        </w:rPr>
        <w:t>诉荷兰</w:t>
      </w:r>
      <w:r w:rsidRPr="00B922FB">
        <w:t>，第</w:t>
      </w:r>
      <w:r w:rsidRPr="00B922FB">
        <w:t>10</w:t>
      </w:r>
      <w:r w:rsidRPr="00B922FB">
        <w:t>段；</w:t>
      </w:r>
      <w:proofErr w:type="spellStart"/>
      <w:r w:rsidRPr="00B922FB">
        <w:t>Timmer</w:t>
      </w:r>
      <w:proofErr w:type="spellEnd"/>
      <w:r w:rsidRPr="007E1834">
        <w:rPr>
          <w:rFonts w:ascii="Time New Roman" w:eastAsia="楷体" w:hAnsi="Time New Roman"/>
        </w:rPr>
        <w:t>诉荷兰</w:t>
      </w:r>
      <w:r w:rsidRPr="00B922FB">
        <w:t>，第</w:t>
      </w:r>
      <w:r w:rsidRPr="00B922FB">
        <w:t>9</w:t>
      </w:r>
      <w:r w:rsidRPr="00B922FB">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A766C" w:rsidP="00EA766C">
    <w:pPr>
      <w:pStyle w:val="af3"/>
    </w:pPr>
    <w:proofErr w:type="spellStart"/>
    <w:r>
      <w:t>CCPR</w:t>
    </w:r>
    <w:proofErr w:type="spellEnd"/>
    <w:r>
      <w:t>/C/123/D/2392/2014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A766C" w:rsidP="00EA766C">
    <w:pPr>
      <w:pStyle w:val="af3"/>
      <w:jc w:val="right"/>
    </w:pPr>
    <w:proofErr w:type="spellStart"/>
    <w:r>
      <w:t>CCPR</w:t>
    </w:r>
    <w:proofErr w:type="spellEnd"/>
    <w:r>
      <w:t>/C/123/D/2392/2014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C1"/>
    <w:rsid w:val="00011483"/>
    <w:rsid w:val="0004554F"/>
    <w:rsid w:val="00095F03"/>
    <w:rsid w:val="000B31D9"/>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10CB7"/>
    <w:rsid w:val="00326EBF"/>
    <w:rsid w:val="00327FE4"/>
    <w:rsid w:val="00331CAC"/>
    <w:rsid w:val="003333CC"/>
    <w:rsid w:val="00351E49"/>
    <w:rsid w:val="00370C84"/>
    <w:rsid w:val="00395D66"/>
    <w:rsid w:val="003E2E6F"/>
    <w:rsid w:val="00427F63"/>
    <w:rsid w:val="00434D38"/>
    <w:rsid w:val="0049396F"/>
    <w:rsid w:val="00494EB8"/>
    <w:rsid w:val="004C4A0A"/>
    <w:rsid w:val="004D0A00"/>
    <w:rsid w:val="004F348E"/>
    <w:rsid w:val="00501220"/>
    <w:rsid w:val="00524D2B"/>
    <w:rsid w:val="005421B3"/>
    <w:rsid w:val="00596E9A"/>
    <w:rsid w:val="005E403A"/>
    <w:rsid w:val="005E4086"/>
    <w:rsid w:val="00604D91"/>
    <w:rsid w:val="006257FE"/>
    <w:rsid w:val="00670DEE"/>
    <w:rsid w:val="00680656"/>
    <w:rsid w:val="006B1119"/>
    <w:rsid w:val="006D3757"/>
    <w:rsid w:val="006D37EB"/>
    <w:rsid w:val="006E3E46"/>
    <w:rsid w:val="006E71B1"/>
    <w:rsid w:val="006F1404"/>
    <w:rsid w:val="0070593B"/>
    <w:rsid w:val="00705D89"/>
    <w:rsid w:val="00711F5A"/>
    <w:rsid w:val="00731A42"/>
    <w:rsid w:val="0075130A"/>
    <w:rsid w:val="00755487"/>
    <w:rsid w:val="00767197"/>
    <w:rsid w:val="00767E69"/>
    <w:rsid w:val="0077079A"/>
    <w:rsid w:val="00771504"/>
    <w:rsid w:val="007A5599"/>
    <w:rsid w:val="007E15A2"/>
    <w:rsid w:val="007E1834"/>
    <w:rsid w:val="007E3753"/>
    <w:rsid w:val="00856233"/>
    <w:rsid w:val="00860F27"/>
    <w:rsid w:val="00877252"/>
    <w:rsid w:val="008B0560"/>
    <w:rsid w:val="008B2BFA"/>
    <w:rsid w:val="008D31F4"/>
    <w:rsid w:val="008E6A3F"/>
    <w:rsid w:val="008E72FA"/>
    <w:rsid w:val="00923557"/>
    <w:rsid w:val="00936F03"/>
    <w:rsid w:val="00943B69"/>
    <w:rsid w:val="00944CB3"/>
    <w:rsid w:val="0096722F"/>
    <w:rsid w:val="00986624"/>
    <w:rsid w:val="00992DC1"/>
    <w:rsid w:val="009B09D7"/>
    <w:rsid w:val="009D35ED"/>
    <w:rsid w:val="009F2489"/>
    <w:rsid w:val="00A03CB6"/>
    <w:rsid w:val="00A1364C"/>
    <w:rsid w:val="00A21076"/>
    <w:rsid w:val="00A31BA8"/>
    <w:rsid w:val="00A3739A"/>
    <w:rsid w:val="00A52DAF"/>
    <w:rsid w:val="00A81349"/>
    <w:rsid w:val="00A84072"/>
    <w:rsid w:val="00A9205E"/>
    <w:rsid w:val="00AC038B"/>
    <w:rsid w:val="00B16570"/>
    <w:rsid w:val="00B23B03"/>
    <w:rsid w:val="00B43EB7"/>
    <w:rsid w:val="00B53320"/>
    <w:rsid w:val="00B614C4"/>
    <w:rsid w:val="00B8604B"/>
    <w:rsid w:val="00B922FB"/>
    <w:rsid w:val="00BC6522"/>
    <w:rsid w:val="00C06914"/>
    <w:rsid w:val="00C121D5"/>
    <w:rsid w:val="00C17349"/>
    <w:rsid w:val="00C351AA"/>
    <w:rsid w:val="00C70852"/>
    <w:rsid w:val="00C7253F"/>
    <w:rsid w:val="00C90707"/>
    <w:rsid w:val="00C931E1"/>
    <w:rsid w:val="00CE1D1C"/>
    <w:rsid w:val="00D26A05"/>
    <w:rsid w:val="00D61475"/>
    <w:rsid w:val="00D63B91"/>
    <w:rsid w:val="00D9309B"/>
    <w:rsid w:val="00D97B98"/>
    <w:rsid w:val="00DC671F"/>
    <w:rsid w:val="00DE4DA7"/>
    <w:rsid w:val="00E02C13"/>
    <w:rsid w:val="00E33B38"/>
    <w:rsid w:val="00E442A1"/>
    <w:rsid w:val="00E47FE5"/>
    <w:rsid w:val="00E574AF"/>
    <w:rsid w:val="00EA766C"/>
    <w:rsid w:val="00EA7E67"/>
    <w:rsid w:val="00F23791"/>
    <w:rsid w:val="00F24E6D"/>
    <w:rsid w:val="00F714DA"/>
    <w:rsid w:val="00FB456B"/>
    <w:rsid w:val="00FD37F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6FFDFA-4C43-44A4-8179-2B2CC93B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224E-04BA-4EA7-9C20-C99DFA0D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4252</Words>
  <Characters>4628</Characters>
  <Application>Microsoft Office Word</Application>
  <DocSecurity>0</DocSecurity>
  <Lines>177</Lines>
  <Paragraphs>66</Paragraphs>
  <ScaleCrop>false</ScaleCrop>
  <Company>DCM</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CCPR/C/123/D/2392/2014</dc:title>
  <dc:subject>1814044</dc:subject>
  <dc:creator>Xin</dc:creator>
  <cp:keywords/>
  <dc:description/>
  <cp:lastModifiedBy>Xin Wang</cp:lastModifiedBy>
  <cp:revision>2</cp:revision>
  <cp:lastPrinted>2018-11-12T13:00:00Z</cp:lastPrinted>
  <dcterms:created xsi:type="dcterms:W3CDTF">2018-11-12T13:55:00Z</dcterms:created>
  <dcterms:modified xsi:type="dcterms:W3CDTF">2018-11-12T13:55:00Z</dcterms:modified>
</cp:coreProperties>
</file>