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7631E"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CA6913">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87631E" w:rsidP="001A7589">
            <w:pPr>
              <w:bidi w:val="0"/>
              <w:spacing w:after="20"/>
              <w:jc w:val="left"/>
              <w:rPr>
                <w:szCs w:val="20"/>
              </w:rPr>
            </w:pPr>
            <w:r w:rsidRPr="0087631E">
              <w:rPr>
                <w:sz w:val="40"/>
                <w:szCs w:val="20"/>
              </w:rPr>
              <w:t>CCPR</w:t>
            </w:r>
            <w:r>
              <w:rPr>
                <w:szCs w:val="20"/>
              </w:rPr>
              <w:t>/C/123/D/2747/2016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CA6913">
              <w:rPr>
                <w:rFonts w:hint="cs"/>
                <w:b/>
                <w:bCs/>
                <w:sz w:val="56"/>
                <w:szCs w:val="56"/>
                <w:rtl/>
              </w:rPr>
              <w:t xml:space="preserve"> </w:t>
            </w:r>
            <w:r w:rsidRPr="00ED7442">
              <w:rPr>
                <w:rFonts w:hint="cs"/>
                <w:b/>
                <w:bCs/>
                <w:sz w:val="56"/>
                <w:szCs w:val="56"/>
                <w:rtl/>
              </w:rPr>
              <w:t>الدولي</w:t>
            </w:r>
            <w:r w:rsidR="00CA6913">
              <w:rPr>
                <w:rFonts w:hint="cs"/>
                <w:b/>
                <w:bCs/>
                <w:sz w:val="56"/>
                <w:szCs w:val="56"/>
                <w:rtl/>
              </w:rPr>
              <w:t xml:space="preserve"> </w:t>
            </w:r>
            <w:r w:rsidRPr="00ED7442">
              <w:rPr>
                <w:rFonts w:hint="cs"/>
                <w:b/>
                <w:bCs/>
                <w:sz w:val="56"/>
                <w:szCs w:val="56"/>
                <w:rtl/>
              </w:rPr>
              <w:t>الخاص</w:t>
            </w:r>
            <w:r w:rsidR="00CA6913">
              <w:rPr>
                <w:rFonts w:hint="cs"/>
                <w:b/>
                <w:bCs/>
                <w:sz w:val="56"/>
                <w:szCs w:val="56"/>
                <w:rtl/>
              </w:rPr>
              <w:t xml:space="preserve"> </w:t>
            </w:r>
            <w:r w:rsidRPr="00ED7442">
              <w:rPr>
                <w:rFonts w:hint="cs"/>
                <w:b/>
                <w:bCs/>
                <w:sz w:val="56"/>
                <w:szCs w:val="56"/>
                <w:rtl/>
              </w:rPr>
              <w:t>بالحقوق</w:t>
            </w:r>
            <w:r w:rsidR="00CA6913">
              <w:rPr>
                <w:rFonts w:hint="cs"/>
                <w:b/>
                <w:bCs/>
                <w:sz w:val="56"/>
                <w:szCs w:val="56"/>
                <w:rtl/>
              </w:rPr>
              <w:t xml:space="preserve"> </w:t>
            </w:r>
            <w:r w:rsidRPr="00ED7442">
              <w:rPr>
                <w:rFonts w:hint="cs"/>
                <w:b/>
                <w:bCs/>
                <w:sz w:val="56"/>
                <w:szCs w:val="56"/>
                <w:rtl/>
              </w:rPr>
              <w:t>المدنية</w:t>
            </w:r>
            <w:r w:rsidR="00CA6913">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1A7589" w:rsidP="001A7589">
            <w:pPr>
              <w:bidi w:val="0"/>
              <w:spacing w:before="240"/>
              <w:jc w:val="left"/>
              <w:rPr>
                <w:szCs w:val="20"/>
              </w:rPr>
            </w:pPr>
            <w:r>
              <w:rPr>
                <w:szCs w:val="20"/>
              </w:rPr>
              <w:t>Distr.:</w:t>
            </w:r>
            <w:r w:rsidR="00CA6913">
              <w:rPr>
                <w:szCs w:val="20"/>
              </w:rPr>
              <w:t xml:space="preserve"> </w:t>
            </w:r>
            <w:r>
              <w:rPr>
                <w:szCs w:val="20"/>
              </w:rPr>
              <w:t>General</w:t>
            </w:r>
          </w:p>
          <w:p w:rsidR="001A7589" w:rsidRDefault="001A7589" w:rsidP="001A7589">
            <w:pPr>
              <w:bidi w:val="0"/>
              <w:jc w:val="left"/>
              <w:rPr>
                <w:szCs w:val="20"/>
              </w:rPr>
            </w:pPr>
            <w:r>
              <w:rPr>
                <w:szCs w:val="20"/>
              </w:rPr>
              <w:t>7</w:t>
            </w:r>
            <w:r w:rsidR="00CA6913">
              <w:rPr>
                <w:szCs w:val="20"/>
              </w:rPr>
              <w:t xml:space="preserve"> </w:t>
            </w:r>
            <w:r>
              <w:rPr>
                <w:szCs w:val="20"/>
              </w:rPr>
              <w:t>December</w:t>
            </w:r>
            <w:r w:rsidR="00CA6913">
              <w:rPr>
                <w:szCs w:val="20"/>
              </w:rPr>
              <w:t xml:space="preserve"> </w:t>
            </w:r>
            <w:r>
              <w:rPr>
                <w:szCs w:val="20"/>
              </w:rPr>
              <w:t>2018</w:t>
            </w:r>
          </w:p>
          <w:p w:rsidR="001A7589" w:rsidRDefault="001A7589" w:rsidP="001A7589">
            <w:pPr>
              <w:bidi w:val="0"/>
              <w:jc w:val="left"/>
              <w:rPr>
                <w:szCs w:val="20"/>
              </w:rPr>
            </w:pPr>
            <w:r>
              <w:rPr>
                <w:szCs w:val="20"/>
              </w:rPr>
              <w:t>Arabic</w:t>
            </w:r>
          </w:p>
          <w:p w:rsidR="001A7589" w:rsidRPr="00CB6622" w:rsidRDefault="001A7589" w:rsidP="001A7589">
            <w:pPr>
              <w:bidi w:val="0"/>
              <w:jc w:val="left"/>
              <w:rPr>
                <w:szCs w:val="20"/>
              </w:rPr>
            </w:pPr>
            <w:r>
              <w:rPr>
                <w:szCs w:val="20"/>
              </w:rPr>
              <w:t>Original:</w:t>
            </w:r>
            <w:r w:rsidR="00CA6913">
              <w:rPr>
                <w:szCs w:val="20"/>
              </w:rPr>
              <w:t xml:space="preserve"> </w:t>
            </w:r>
            <w:r>
              <w:rPr>
                <w:szCs w:val="20"/>
              </w:rPr>
              <w:t>English</w:t>
            </w:r>
            <w:r w:rsidR="00CA6913">
              <w:rPr>
                <w:szCs w:val="20"/>
              </w:rPr>
              <w:t xml:space="preserve"> </w:t>
            </w:r>
            <w:r>
              <w:rPr>
                <w:szCs w:val="20"/>
              </w:rPr>
              <w:t>and</w:t>
            </w:r>
            <w:r w:rsidR="00CA6913">
              <w:rPr>
                <w:szCs w:val="20"/>
              </w:rPr>
              <w:t xml:space="preserve"> </w:t>
            </w:r>
            <w:r>
              <w:rPr>
                <w:szCs w:val="20"/>
              </w:rPr>
              <w:t>French</w:t>
            </w:r>
          </w:p>
        </w:tc>
      </w:tr>
    </w:tbl>
    <w:p w:rsidR="00CA6913" w:rsidRPr="0037421A" w:rsidRDefault="00CA6913" w:rsidP="00CA6913">
      <w:pPr>
        <w:spacing w:before="120" w:line="380" w:lineRule="exact"/>
        <w:rPr>
          <w:b/>
          <w:bCs/>
          <w:sz w:val="30"/>
          <w:szCs w:val="36"/>
          <w:rtl/>
          <w:lang w:eastAsia="zh-TW"/>
        </w:rPr>
      </w:pPr>
      <w:r w:rsidRPr="0037421A">
        <w:rPr>
          <w:b/>
          <w:bCs/>
          <w:sz w:val="26"/>
          <w:szCs w:val="36"/>
          <w:rtl/>
          <w:lang w:eastAsia="zh-TW"/>
        </w:rPr>
        <w:t>اللجنة</w:t>
      </w:r>
      <w:r>
        <w:rPr>
          <w:b/>
          <w:bCs/>
          <w:sz w:val="26"/>
          <w:szCs w:val="36"/>
          <w:rtl/>
          <w:lang w:eastAsia="zh-TW"/>
        </w:rPr>
        <w:t xml:space="preserve"> </w:t>
      </w:r>
      <w:r w:rsidRPr="0037421A">
        <w:rPr>
          <w:b/>
          <w:bCs/>
          <w:sz w:val="26"/>
          <w:szCs w:val="36"/>
          <w:rtl/>
          <w:lang w:eastAsia="zh-TW"/>
        </w:rPr>
        <w:t>المعنية</w:t>
      </w:r>
      <w:r>
        <w:rPr>
          <w:b/>
          <w:bCs/>
          <w:sz w:val="26"/>
          <w:szCs w:val="36"/>
          <w:rtl/>
          <w:lang w:eastAsia="zh-TW"/>
        </w:rPr>
        <w:t xml:space="preserve"> </w:t>
      </w:r>
      <w:r w:rsidRPr="0037421A">
        <w:rPr>
          <w:b/>
          <w:bCs/>
          <w:sz w:val="26"/>
          <w:szCs w:val="36"/>
          <w:rtl/>
          <w:lang w:eastAsia="zh-TW"/>
        </w:rPr>
        <w:t>بحقوق</w:t>
      </w:r>
      <w:r>
        <w:rPr>
          <w:b/>
          <w:bCs/>
          <w:sz w:val="26"/>
          <w:szCs w:val="36"/>
          <w:rtl/>
          <w:lang w:eastAsia="zh-TW"/>
        </w:rPr>
        <w:t xml:space="preserve"> </w:t>
      </w:r>
      <w:r w:rsidRPr="0037421A">
        <w:rPr>
          <w:b/>
          <w:bCs/>
          <w:sz w:val="26"/>
          <w:szCs w:val="36"/>
          <w:rtl/>
          <w:lang w:eastAsia="zh-TW"/>
        </w:rPr>
        <w:t>الإنسان</w:t>
      </w:r>
    </w:p>
    <w:p w:rsidR="00CA6913" w:rsidRPr="001E68B1" w:rsidRDefault="00CA6913" w:rsidP="00CA6913">
      <w:pPr>
        <w:pStyle w:val="HChGA"/>
        <w:rPr>
          <w:rtl/>
          <w:lang w:eastAsia="zh-TW"/>
        </w:rPr>
      </w:pPr>
      <w:r>
        <w:rPr>
          <w:rtl/>
          <w:lang w:eastAsia="zh-TW"/>
        </w:rPr>
        <w:tab/>
      </w:r>
      <w:r>
        <w:rPr>
          <w:rtl/>
          <w:lang w:eastAsia="zh-TW"/>
        </w:rPr>
        <w:tab/>
        <w:t>آراء اعتمدتها اللجنة بموجب المادة 5(4) من البروتوكول الاختياري، بشأن البلاغ رقم 2747/2016</w:t>
      </w:r>
      <w:r w:rsidRPr="00635D1E">
        <w:rPr>
          <w:rStyle w:val="FootnoteReference"/>
          <w:sz w:val="20"/>
          <w:vertAlign w:val="baseline"/>
          <w:rtl/>
          <w:lang w:eastAsia="zh-TW"/>
        </w:rPr>
        <w:footnoteReference w:customMarkFollows="1" w:id="1"/>
        <w:t>*</w:t>
      </w:r>
      <w:r>
        <w:rPr>
          <w:rFonts w:hint="cs"/>
          <w:rtl/>
          <w:lang w:eastAsia="zh-TW"/>
        </w:rPr>
        <w:t xml:space="preserve"> </w:t>
      </w:r>
      <w:r w:rsidRPr="00635D1E">
        <w:rPr>
          <w:rStyle w:val="FootnoteReference"/>
          <w:sz w:val="20"/>
          <w:vertAlign w:val="baseline"/>
          <w:rtl/>
          <w:lang w:eastAsia="zh-TW"/>
        </w:rPr>
        <w:footnoteReference w:customMarkFollows="1" w:id="2"/>
        <w:t>**</w:t>
      </w:r>
      <w:r>
        <w:rPr>
          <w:rFonts w:hint="cs"/>
          <w:rtl/>
          <w:lang w:eastAsia="zh-TW"/>
        </w:rPr>
        <w:t xml:space="preserve"> </w:t>
      </w:r>
      <w:r w:rsidRPr="00635D1E">
        <w:rPr>
          <w:rStyle w:val="FootnoteReference"/>
          <w:sz w:val="20"/>
          <w:vertAlign w:val="baseline"/>
          <w:rtl/>
          <w:lang w:eastAsia="zh-TW"/>
        </w:rPr>
        <w:footnoteReference w:customMarkFollows="1" w:id="3"/>
        <w:t>***</w:t>
      </w:r>
      <w:r>
        <w:rPr>
          <w:rtl/>
          <w:lang w:eastAsia="zh-TW"/>
        </w:rPr>
        <w:t xml:space="preserve"> </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sidRPr="000C3F2B">
        <w:rPr>
          <w:i/>
          <w:iCs/>
          <w:rtl/>
          <w:lang w:eastAsia="zh-TW"/>
        </w:rPr>
        <w:t>بلاغ</w:t>
      </w:r>
      <w:r>
        <w:rPr>
          <w:i/>
          <w:iCs/>
          <w:rtl/>
          <w:lang w:eastAsia="zh-TW"/>
        </w:rPr>
        <w:t xml:space="preserve"> </w:t>
      </w:r>
      <w:r w:rsidRPr="000C3F2B">
        <w:rPr>
          <w:i/>
          <w:iCs/>
          <w:rtl/>
          <w:lang w:eastAsia="zh-TW"/>
        </w:rPr>
        <w:t>مقدم</w:t>
      </w:r>
      <w:r>
        <w:rPr>
          <w:i/>
          <w:iCs/>
          <w:rtl/>
          <w:lang w:eastAsia="zh-TW"/>
        </w:rPr>
        <w:t xml:space="preserve"> </w:t>
      </w:r>
      <w:r w:rsidRPr="000C3F2B">
        <w:rPr>
          <w:i/>
          <w:iCs/>
          <w:rtl/>
          <w:lang w:eastAsia="zh-TW"/>
        </w:rPr>
        <w:t>من</w:t>
      </w:r>
      <w:r w:rsidRPr="000C3F2B">
        <w:rPr>
          <w:i/>
          <w:iCs/>
          <w:lang w:eastAsia="zh-TW"/>
        </w:rPr>
        <w:t>:</w:t>
      </w:r>
      <w:r>
        <w:rPr>
          <w:lang w:eastAsia="zh-TW"/>
        </w:rPr>
        <w:tab/>
      </w:r>
      <w:r>
        <w:rPr>
          <w:rtl/>
          <w:lang w:eastAsia="zh-TW"/>
        </w:rPr>
        <w:t>صونيا ياكر (يمثلها المحامي روجر كالاس)</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الشخص المدعى أنه ضحية</w:t>
      </w:r>
      <w:r w:rsidRPr="003F017B">
        <w:rPr>
          <w:i/>
          <w:iCs/>
          <w:lang w:eastAsia="zh-TW"/>
        </w:rPr>
        <w:t>:</w:t>
      </w:r>
      <w:r>
        <w:rPr>
          <w:rtl/>
          <w:lang w:eastAsia="zh-TW"/>
        </w:rPr>
        <w:tab/>
        <w:t>صاحبة البلاغ</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الدولة الطرف</w:t>
      </w:r>
      <w:r w:rsidRPr="003F017B">
        <w:rPr>
          <w:i/>
          <w:iCs/>
          <w:lang w:eastAsia="zh-TW"/>
        </w:rPr>
        <w:t>:</w:t>
      </w:r>
      <w:r>
        <w:rPr>
          <w:lang w:eastAsia="zh-TW"/>
        </w:rPr>
        <w:tab/>
      </w:r>
      <w:r>
        <w:rPr>
          <w:rtl/>
          <w:lang w:eastAsia="zh-TW"/>
        </w:rPr>
        <w:t>فرنسا</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تاريخ تقديم البلاغ</w:t>
      </w:r>
      <w:r w:rsidRPr="003F017B">
        <w:rPr>
          <w:i/>
          <w:iCs/>
          <w:rtl/>
          <w:lang w:eastAsia="zh-TW"/>
        </w:rPr>
        <w:t>:</w:t>
      </w:r>
      <w:r>
        <w:rPr>
          <w:rtl/>
          <w:lang w:eastAsia="zh-TW"/>
        </w:rPr>
        <w:tab/>
      </w:r>
      <w:r w:rsidRPr="002B1C85">
        <w:rPr>
          <w:rtl/>
          <w:lang w:eastAsia="zh-TW"/>
        </w:rPr>
        <w:t>22</w:t>
      </w:r>
      <w:r>
        <w:rPr>
          <w:rtl/>
          <w:lang w:eastAsia="zh-TW"/>
        </w:rPr>
        <w:t xml:space="preserve"> شباط/فبراير 2016 (تاريخ الرسالة الأولى)</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الوثائق المرجعية</w:t>
      </w:r>
      <w:r w:rsidRPr="003F017B">
        <w:rPr>
          <w:i/>
          <w:iCs/>
          <w:lang w:eastAsia="zh-TW"/>
        </w:rPr>
        <w:t>:</w:t>
      </w:r>
      <w:r>
        <w:rPr>
          <w:lang w:eastAsia="zh-TW"/>
        </w:rPr>
        <w:tab/>
      </w:r>
      <w:r>
        <w:rPr>
          <w:rtl/>
          <w:lang w:eastAsia="zh-TW"/>
        </w:rPr>
        <w:t>قرار المقبولية الصادر في 26 تموز/يوليه 2017</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تاريخ اعتماد الآراء</w:t>
      </w:r>
      <w:r w:rsidRPr="003F017B">
        <w:rPr>
          <w:i/>
          <w:iCs/>
          <w:lang w:eastAsia="zh-TW"/>
        </w:rPr>
        <w:t>:</w:t>
      </w:r>
      <w:r>
        <w:rPr>
          <w:rtl/>
          <w:lang w:eastAsia="zh-TW"/>
        </w:rPr>
        <w:tab/>
        <w:t>١٧ تموز/يوليه ٢٠١٨</w:t>
      </w:r>
    </w:p>
    <w:p w:rsidR="00CA6913" w:rsidRPr="00751BAC"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spacing w:val="-6"/>
          <w:rtl/>
          <w:lang w:eastAsia="zh-TW"/>
        </w:rPr>
      </w:pPr>
      <w:r>
        <w:rPr>
          <w:i/>
          <w:iCs/>
          <w:rtl/>
          <w:lang w:eastAsia="zh-TW"/>
        </w:rPr>
        <w:t>الموضوع</w:t>
      </w:r>
      <w:r w:rsidRPr="003F017B">
        <w:rPr>
          <w:i/>
          <w:iCs/>
          <w:lang w:eastAsia="zh-TW"/>
        </w:rPr>
        <w:t>:</w:t>
      </w:r>
      <w:r>
        <w:rPr>
          <w:lang w:eastAsia="zh-TW"/>
        </w:rPr>
        <w:tab/>
      </w:r>
      <w:r w:rsidRPr="00751BAC">
        <w:rPr>
          <w:spacing w:val="-6"/>
          <w:rtl/>
          <w:lang w:eastAsia="zh-TW"/>
        </w:rPr>
        <w:t>الحق</w:t>
      </w:r>
      <w:r>
        <w:rPr>
          <w:spacing w:val="-6"/>
          <w:rtl/>
          <w:lang w:eastAsia="zh-TW"/>
        </w:rPr>
        <w:t xml:space="preserve"> </w:t>
      </w:r>
      <w:r w:rsidRPr="00751BAC">
        <w:rPr>
          <w:spacing w:val="-6"/>
          <w:rtl/>
          <w:lang w:eastAsia="zh-TW"/>
        </w:rPr>
        <w:t>في</w:t>
      </w:r>
      <w:r>
        <w:rPr>
          <w:spacing w:val="-6"/>
          <w:rtl/>
          <w:lang w:eastAsia="zh-TW"/>
        </w:rPr>
        <w:t xml:space="preserve"> </w:t>
      </w:r>
      <w:r w:rsidRPr="00751BAC">
        <w:rPr>
          <w:spacing w:val="-6"/>
          <w:rtl/>
          <w:lang w:eastAsia="zh-TW"/>
        </w:rPr>
        <w:t>حرية</w:t>
      </w:r>
      <w:r>
        <w:rPr>
          <w:spacing w:val="-6"/>
          <w:rtl/>
          <w:lang w:eastAsia="zh-TW"/>
        </w:rPr>
        <w:t xml:space="preserve"> </w:t>
      </w:r>
      <w:r w:rsidRPr="00751BAC">
        <w:rPr>
          <w:spacing w:val="-6"/>
          <w:rtl/>
          <w:lang w:eastAsia="zh-TW"/>
        </w:rPr>
        <w:t>الدين؛</w:t>
      </w:r>
      <w:r>
        <w:rPr>
          <w:spacing w:val="-6"/>
          <w:rtl/>
          <w:lang w:eastAsia="zh-TW"/>
        </w:rPr>
        <w:t xml:space="preserve"> </w:t>
      </w:r>
      <w:r w:rsidRPr="00751BAC">
        <w:rPr>
          <w:spacing w:val="-6"/>
          <w:rtl/>
          <w:lang w:eastAsia="zh-TW"/>
        </w:rPr>
        <w:t>المعاملة</w:t>
      </w:r>
      <w:r>
        <w:rPr>
          <w:spacing w:val="-6"/>
          <w:rtl/>
          <w:lang w:eastAsia="zh-TW"/>
        </w:rPr>
        <w:t xml:space="preserve"> </w:t>
      </w:r>
      <w:r w:rsidRPr="00751BAC">
        <w:rPr>
          <w:spacing w:val="-6"/>
          <w:rtl/>
          <w:lang w:eastAsia="zh-TW"/>
        </w:rPr>
        <w:t>التمييزية</w:t>
      </w:r>
      <w:r>
        <w:rPr>
          <w:spacing w:val="-6"/>
          <w:rtl/>
          <w:lang w:eastAsia="zh-TW"/>
        </w:rPr>
        <w:t xml:space="preserve"> </w:t>
      </w:r>
      <w:r w:rsidRPr="00751BAC">
        <w:rPr>
          <w:spacing w:val="-6"/>
          <w:rtl/>
          <w:lang w:eastAsia="zh-TW"/>
        </w:rPr>
        <w:t>ضد</w:t>
      </w:r>
      <w:r>
        <w:rPr>
          <w:spacing w:val="-6"/>
          <w:rtl/>
          <w:lang w:eastAsia="zh-TW"/>
        </w:rPr>
        <w:t xml:space="preserve"> </w:t>
      </w:r>
      <w:r w:rsidRPr="00751BAC">
        <w:rPr>
          <w:spacing w:val="-6"/>
          <w:rtl/>
          <w:lang w:eastAsia="zh-TW"/>
        </w:rPr>
        <w:t>الدين</w:t>
      </w:r>
      <w:r>
        <w:rPr>
          <w:spacing w:val="-6"/>
          <w:rtl/>
          <w:lang w:eastAsia="zh-TW"/>
        </w:rPr>
        <w:t xml:space="preserve"> </w:t>
      </w:r>
      <w:r w:rsidRPr="00751BAC">
        <w:rPr>
          <w:spacing w:val="-6"/>
          <w:rtl/>
          <w:lang w:eastAsia="zh-TW"/>
        </w:rPr>
        <w:t>وضد</w:t>
      </w:r>
      <w:r>
        <w:rPr>
          <w:spacing w:val="-6"/>
          <w:rtl/>
          <w:lang w:eastAsia="zh-TW"/>
        </w:rPr>
        <w:t xml:space="preserve"> </w:t>
      </w:r>
      <w:r w:rsidRPr="00751BAC">
        <w:rPr>
          <w:spacing w:val="-6"/>
          <w:rtl/>
          <w:lang w:eastAsia="zh-TW"/>
        </w:rPr>
        <w:t>أعضائه</w:t>
      </w:r>
    </w:p>
    <w:p w:rsidR="00CA6913" w:rsidRPr="00751BAC" w:rsidRDefault="00CA6913" w:rsidP="00F62896">
      <w:pPr>
        <w:pStyle w:val="SingleTxtGA"/>
        <w:tabs>
          <w:tab w:val="clear" w:pos="2608"/>
          <w:tab w:val="clear" w:pos="3289"/>
          <w:tab w:val="clear" w:pos="3969"/>
          <w:tab w:val="clear" w:pos="4649"/>
          <w:tab w:val="clear" w:pos="5330"/>
          <w:tab w:val="left" w:pos="4067"/>
        </w:tabs>
        <w:spacing w:after="100" w:line="360" w:lineRule="exact"/>
        <w:ind w:left="4067" w:hanging="2139"/>
        <w:rPr>
          <w:rtl/>
          <w:lang w:eastAsia="zh-TW"/>
        </w:rPr>
      </w:pPr>
      <w:r>
        <w:rPr>
          <w:i/>
          <w:iCs/>
          <w:rtl/>
          <w:lang w:eastAsia="zh-TW"/>
        </w:rPr>
        <w:t>المسائل الإجرائية</w:t>
      </w:r>
      <w:r w:rsidRPr="003F017B">
        <w:rPr>
          <w:i/>
          <w:iCs/>
          <w:lang w:eastAsia="zh-TW"/>
        </w:rPr>
        <w:t>:</w:t>
      </w:r>
      <w:r>
        <w:rPr>
          <w:lang w:eastAsia="zh-TW"/>
        </w:rPr>
        <w:tab/>
      </w:r>
      <w:r w:rsidRPr="00751BAC">
        <w:rPr>
          <w:rtl/>
          <w:lang w:eastAsia="zh-TW"/>
        </w:rPr>
        <w:t>المقبول</w:t>
      </w:r>
      <w:r w:rsidR="00B150FF">
        <w:rPr>
          <w:rFonts w:hint="cs"/>
          <w:rtl/>
          <w:lang w:eastAsia="zh-TW"/>
        </w:rPr>
        <w:t>ي</w:t>
      </w:r>
      <w:r w:rsidRPr="00751BAC">
        <w:rPr>
          <w:rtl/>
          <w:lang w:eastAsia="zh-TW"/>
        </w:rPr>
        <w:t>ة،</w:t>
      </w:r>
      <w:r>
        <w:rPr>
          <w:rtl/>
          <w:lang w:eastAsia="zh-TW"/>
        </w:rPr>
        <w:t xml:space="preserve"> </w:t>
      </w:r>
      <w:r w:rsidRPr="00751BAC">
        <w:rPr>
          <w:rtl/>
          <w:lang w:eastAsia="zh-TW"/>
        </w:rPr>
        <w:t>بحث</w:t>
      </w:r>
      <w:r>
        <w:rPr>
          <w:rtl/>
          <w:lang w:eastAsia="zh-TW"/>
        </w:rPr>
        <w:t xml:space="preserve"> </w:t>
      </w:r>
      <w:r w:rsidRPr="00751BAC">
        <w:rPr>
          <w:rtl/>
          <w:lang w:eastAsia="zh-TW"/>
        </w:rPr>
        <w:t>المسألة</w:t>
      </w:r>
      <w:r>
        <w:rPr>
          <w:rtl/>
          <w:lang w:eastAsia="zh-TW"/>
        </w:rPr>
        <w:t xml:space="preserve"> </w:t>
      </w:r>
      <w:r w:rsidRPr="00751BAC">
        <w:rPr>
          <w:rtl/>
          <w:lang w:eastAsia="zh-TW"/>
        </w:rPr>
        <w:t>في</w:t>
      </w:r>
      <w:r>
        <w:rPr>
          <w:rtl/>
          <w:lang w:eastAsia="zh-TW"/>
        </w:rPr>
        <w:t xml:space="preserve"> </w:t>
      </w:r>
      <w:r w:rsidRPr="00751BAC">
        <w:rPr>
          <w:rtl/>
          <w:lang w:eastAsia="zh-TW"/>
        </w:rPr>
        <w:t>إطار</w:t>
      </w:r>
      <w:r>
        <w:rPr>
          <w:rtl/>
          <w:lang w:eastAsia="zh-TW"/>
        </w:rPr>
        <w:t xml:space="preserve"> </w:t>
      </w:r>
      <w:r w:rsidRPr="00751BAC">
        <w:rPr>
          <w:rtl/>
          <w:lang w:eastAsia="zh-TW"/>
        </w:rPr>
        <w:t>إجراءٍ</w:t>
      </w:r>
      <w:r>
        <w:rPr>
          <w:rtl/>
          <w:lang w:eastAsia="zh-TW"/>
        </w:rPr>
        <w:t xml:space="preserve"> </w:t>
      </w:r>
      <w:r w:rsidRPr="00751BAC">
        <w:rPr>
          <w:rtl/>
          <w:lang w:eastAsia="zh-TW"/>
        </w:rPr>
        <w:t>آخر</w:t>
      </w:r>
      <w:r>
        <w:rPr>
          <w:rtl/>
          <w:lang w:eastAsia="zh-TW"/>
        </w:rPr>
        <w:t xml:space="preserve"> </w:t>
      </w:r>
      <w:r w:rsidRPr="00751BAC">
        <w:rPr>
          <w:rtl/>
          <w:lang w:eastAsia="zh-TW"/>
        </w:rPr>
        <w:t>من</w:t>
      </w:r>
      <w:r>
        <w:rPr>
          <w:rtl/>
          <w:lang w:eastAsia="zh-TW"/>
        </w:rPr>
        <w:t xml:space="preserve"> </w:t>
      </w:r>
      <w:r w:rsidRPr="00751BAC">
        <w:rPr>
          <w:rtl/>
          <w:lang w:eastAsia="zh-TW"/>
        </w:rPr>
        <w:t>إجراءات</w:t>
      </w:r>
      <w:r>
        <w:rPr>
          <w:rtl/>
          <w:lang w:eastAsia="zh-TW"/>
        </w:rPr>
        <w:t xml:space="preserve"> </w:t>
      </w:r>
      <w:r w:rsidRPr="00751BAC">
        <w:rPr>
          <w:rtl/>
          <w:lang w:eastAsia="zh-TW"/>
        </w:rPr>
        <w:t>التحقيق</w:t>
      </w:r>
      <w:r>
        <w:rPr>
          <w:rtl/>
          <w:lang w:eastAsia="zh-TW"/>
        </w:rPr>
        <w:t xml:space="preserve"> </w:t>
      </w:r>
      <w:r w:rsidRPr="00751BAC">
        <w:rPr>
          <w:rtl/>
          <w:lang w:eastAsia="zh-TW"/>
        </w:rPr>
        <w:t>الدولي</w:t>
      </w:r>
      <w:r>
        <w:rPr>
          <w:rtl/>
          <w:lang w:eastAsia="zh-TW"/>
        </w:rPr>
        <w:t xml:space="preserve"> </w:t>
      </w:r>
      <w:r w:rsidRPr="00751BAC">
        <w:rPr>
          <w:rtl/>
          <w:lang w:eastAsia="zh-TW"/>
        </w:rPr>
        <w:t>أو</w:t>
      </w:r>
      <w:r>
        <w:rPr>
          <w:rtl/>
          <w:lang w:eastAsia="zh-TW"/>
        </w:rPr>
        <w:t xml:space="preserve"> </w:t>
      </w:r>
      <w:r w:rsidRPr="00751BAC">
        <w:rPr>
          <w:rtl/>
          <w:lang w:eastAsia="zh-TW"/>
        </w:rPr>
        <w:t>التسوية</w:t>
      </w:r>
      <w:r>
        <w:rPr>
          <w:rtl/>
          <w:lang w:eastAsia="zh-TW"/>
        </w:rPr>
        <w:t xml:space="preserve"> </w:t>
      </w:r>
      <w:r w:rsidRPr="00751BAC">
        <w:rPr>
          <w:rtl/>
          <w:lang w:eastAsia="zh-TW"/>
        </w:rPr>
        <w:t>الدولية؛</w:t>
      </w:r>
      <w:r>
        <w:rPr>
          <w:rtl/>
          <w:lang w:eastAsia="zh-TW"/>
        </w:rPr>
        <w:t xml:space="preserve"> </w:t>
      </w:r>
      <w:r w:rsidRPr="00751BAC">
        <w:rPr>
          <w:rtl/>
          <w:lang w:eastAsia="zh-TW"/>
        </w:rPr>
        <w:t>استنفاد</w:t>
      </w:r>
      <w:r>
        <w:rPr>
          <w:rtl/>
          <w:lang w:eastAsia="zh-TW"/>
        </w:rPr>
        <w:t xml:space="preserve"> </w:t>
      </w:r>
      <w:r w:rsidRPr="00751BAC">
        <w:rPr>
          <w:rtl/>
          <w:lang w:eastAsia="zh-TW"/>
        </w:rPr>
        <w:t>سبل</w:t>
      </w:r>
      <w:r>
        <w:rPr>
          <w:rtl/>
          <w:lang w:eastAsia="zh-TW"/>
        </w:rPr>
        <w:t xml:space="preserve"> </w:t>
      </w:r>
      <w:r w:rsidRPr="00751BAC">
        <w:rPr>
          <w:rtl/>
          <w:lang w:eastAsia="zh-TW"/>
        </w:rPr>
        <w:t>الانتصاف</w:t>
      </w:r>
      <w:r>
        <w:rPr>
          <w:rtl/>
          <w:lang w:eastAsia="zh-TW"/>
        </w:rPr>
        <w:t xml:space="preserve"> </w:t>
      </w:r>
      <w:r w:rsidRPr="00751BAC">
        <w:rPr>
          <w:rtl/>
          <w:lang w:eastAsia="zh-TW"/>
        </w:rPr>
        <w:t>المحلية</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المسائل الموضوعية</w:t>
      </w:r>
      <w:r w:rsidRPr="003F017B">
        <w:rPr>
          <w:i/>
          <w:iCs/>
          <w:lang w:eastAsia="zh-TW"/>
        </w:rPr>
        <w:t>:</w:t>
      </w:r>
      <w:r>
        <w:rPr>
          <w:lang w:eastAsia="zh-TW"/>
        </w:rPr>
        <w:tab/>
      </w:r>
      <w:r>
        <w:rPr>
          <w:rtl/>
          <w:lang w:eastAsia="zh-TW"/>
        </w:rPr>
        <w:t>حرية الدين؛ عدم التمييز</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مواد العهد</w:t>
      </w:r>
      <w:r w:rsidRPr="003F017B">
        <w:rPr>
          <w:i/>
          <w:iCs/>
          <w:lang w:eastAsia="zh-TW"/>
        </w:rPr>
        <w:t>:</w:t>
      </w:r>
      <w:r>
        <w:rPr>
          <w:lang w:eastAsia="zh-TW"/>
        </w:rPr>
        <w:tab/>
      </w:r>
      <w:r>
        <w:rPr>
          <w:rtl/>
          <w:lang w:eastAsia="zh-TW"/>
        </w:rPr>
        <w:t>١٨ و٢٦</w:t>
      </w:r>
    </w:p>
    <w:p w:rsidR="00CA6913" w:rsidRPr="001E68B1" w:rsidRDefault="00CA6913" w:rsidP="00CA6913">
      <w:pPr>
        <w:pStyle w:val="SingleTxtGA"/>
        <w:tabs>
          <w:tab w:val="clear" w:pos="2608"/>
          <w:tab w:val="clear" w:pos="3289"/>
          <w:tab w:val="clear" w:pos="3969"/>
          <w:tab w:val="clear" w:pos="4649"/>
          <w:tab w:val="clear" w:pos="5330"/>
          <w:tab w:val="left" w:pos="4067"/>
        </w:tabs>
        <w:spacing w:after="100" w:line="360" w:lineRule="exact"/>
        <w:ind w:left="1928"/>
        <w:rPr>
          <w:rtl/>
          <w:lang w:eastAsia="zh-TW"/>
        </w:rPr>
      </w:pPr>
      <w:r>
        <w:rPr>
          <w:i/>
          <w:iCs/>
          <w:rtl/>
          <w:lang w:eastAsia="zh-TW"/>
        </w:rPr>
        <w:t>مواد البروتوكول الاختياري</w:t>
      </w:r>
      <w:r w:rsidRPr="003F017B">
        <w:rPr>
          <w:i/>
          <w:iCs/>
          <w:rtl/>
          <w:lang w:eastAsia="zh-TW"/>
        </w:rPr>
        <w:t>:</w:t>
      </w:r>
      <w:r>
        <w:rPr>
          <w:rtl/>
          <w:lang w:eastAsia="zh-TW"/>
        </w:rPr>
        <w:tab/>
      </w:r>
      <w:r w:rsidRPr="00F23A8E">
        <w:rPr>
          <w:rtl/>
          <w:lang w:eastAsia="zh-TW"/>
        </w:rPr>
        <w:t>5(2)(أ)</w:t>
      </w:r>
      <w:r>
        <w:rPr>
          <w:rtl/>
          <w:lang w:eastAsia="zh-TW"/>
        </w:rPr>
        <w:t xml:space="preserve"> </w:t>
      </w:r>
      <w:r w:rsidRPr="00F23A8E">
        <w:rPr>
          <w:rtl/>
          <w:lang w:eastAsia="zh-TW"/>
        </w:rPr>
        <w:t>و(ب)</w:t>
      </w:r>
    </w:p>
    <w:p w:rsidR="00CA6913" w:rsidRPr="005D5C37" w:rsidRDefault="00CA6913" w:rsidP="000F13F5">
      <w:pPr>
        <w:pStyle w:val="SingleTxtGA"/>
        <w:rPr>
          <w:rtl/>
          <w:lang w:eastAsia="zh-TW"/>
        </w:rPr>
      </w:pPr>
      <w:r w:rsidRPr="005D5C37">
        <w:rPr>
          <w:rtl/>
          <w:lang w:eastAsia="zh-TW"/>
        </w:rPr>
        <w:lastRenderedPageBreak/>
        <w:t>١</w:t>
      </w:r>
      <w:r w:rsidR="0032534E">
        <w:rPr>
          <w:rtl/>
          <w:lang w:eastAsia="zh-TW"/>
        </w:rPr>
        <w:t>-</w:t>
      </w:r>
      <w:r w:rsidRPr="005D5C37">
        <w:rPr>
          <w:rtl/>
          <w:lang w:eastAsia="zh-TW"/>
        </w:rPr>
        <w:t>١</w:t>
      </w:r>
      <w:r w:rsidRPr="005D5C37">
        <w:rPr>
          <w:rFonts w:hint="cs"/>
          <w:rtl/>
          <w:lang w:eastAsia="zh-TW"/>
        </w:rPr>
        <w:tab/>
      </w:r>
      <w:r w:rsidRPr="005D5C37">
        <w:rPr>
          <w:rtl/>
          <w:lang w:eastAsia="zh-TW"/>
        </w:rPr>
        <w:t>صاحبة البلاغ هي صونيا ياكر، وهي مواطنة فرنسية مولودة في عام 1974 وتقطن مدينة سان دوني بفرنسا. وتدعي صاحبة البلاغ أنها ضحية انتهاك فرنسا لحقوقها بموجب المادت</w:t>
      </w:r>
      <w:r w:rsidR="007F4BF6">
        <w:rPr>
          <w:rtl/>
          <w:lang w:eastAsia="zh-TW"/>
        </w:rPr>
        <w:t>ين 18</w:t>
      </w:r>
      <w:r w:rsidRPr="005D5C37">
        <w:rPr>
          <w:rtl/>
          <w:lang w:eastAsia="zh-TW"/>
        </w:rPr>
        <w:t xml:space="preserve"> و26 من العهد</w:t>
      </w:r>
      <w:r w:rsidR="00C47E7D">
        <w:rPr>
          <w:vertAlign w:val="superscript"/>
          <w:rtl/>
          <w:lang w:eastAsia="zh-TW"/>
        </w:rPr>
        <w:t>(</w:t>
      </w:r>
      <w:r w:rsidR="00C47E7D" w:rsidRPr="0001568A">
        <w:rPr>
          <w:rStyle w:val="FootnoteReference"/>
          <w:sz w:val="20"/>
          <w:szCs w:val="30"/>
          <w:rtl/>
          <w:lang w:eastAsia="zh-TW"/>
        </w:rPr>
        <w:footnoteReference w:id="4"/>
      </w:r>
      <w:r w:rsidR="00C47E7D">
        <w:rPr>
          <w:vertAlign w:val="superscript"/>
          <w:rtl/>
          <w:lang w:eastAsia="zh-TW"/>
        </w:rPr>
        <w:t>)</w:t>
      </w:r>
      <w:r w:rsidRPr="005D5C37">
        <w:rPr>
          <w:rtl/>
          <w:lang w:eastAsia="zh-TW"/>
        </w:rPr>
        <w:t>.</w:t>
      </w:r>
      <w:r w:rsidR="0001568A">
        <w:rPr>
          <w:rFonts w:hint="cs"/>
          <w:rtl/>
          <w:lang w:eastAsia="zh-TW"/>
        </w:rPr>
        <w:t xml:space="preserve"> </w:t>
      </w:r>
      <w:r w:rsidRPr="005D5C37">
        <w:rPr>
          <w:rtl/>
          <w:lang w:eastAsia="zh-TW"/>
        </w:rPr>
        <w:t xml:space="preserve">ويمثلها المحامي روجر كالاس. </w:t>
      </w:r>
    </w:p>
    <w:p w:rsidR="00CA6913" w:rsidRPr="005D5C37" w:rsidRDefault="00CA6913" w:rsidP="000F13F5">
      <w:pPr>
        <w:pStyle w:val="SingleTxtGA"/>
        <w:rPr>
          <w:rtl/>
          <w:lang w:eastAsia="zh-TW"/>
        </w:rPr>
      </w:pPr>
      <w:r w:rsidRPr="005D5C37">
        <w:rPr>
          <w:rtl/>
          <w:lang w:eastAsia="zh-TW"/>
        </w:rPr>
        <w:t>١</w:t>
      </w:r>
      <w:r w:rsidR="0032534E">
        <w:rPr>
          <w:rtl/>
          <w:lang w:eastAsia="zh-TW"/>
        </w:rPr>
        <w:t>-</w:t>
      </w:r>
      <w:r w:rsidR="005D5C37" w:rsidRPr="005D5C37">
        <w:rPr>
          <w:rtl/>
          <w:lang w:eastAsia="zh-TW"/>
        </w:rPr>
        <w:t>٢</w:t>
      </w:r>
      <w:r w:rsidR="005D5C37" w:rsidRPr="005D5C37">
        <w:rPr>
          <w:rtl/>
          <w:lang w:eastAsia="zh-TW"/>
        </w:rPr>
        <w:tab/>
      </w:r>
      <w:r w:rsidRPr="005D5C37">
        <w:rPr>
          <w:rtl/>
          <w:lang w:eastAsia="zh-TW"/>
        </w:rPr>
        <w:t>ودخل البروتوكول الاختياري الأول للعهد حيز النفاذ بالنسبة لفرنسا في ١٧ أيار/</w:t>
      </w:r>
      <w:r w:rsidR="005D5C37" w:rsidRPr="005D5C37">
        <w:rPr>
          <w:rFonts w:hint="cs"/>
          <w:rtl/>
          <w:lang w:eastAsia="zh-TW"/>
        </w:rPr>
        <w:t xml:space="preserve"> </w:t>
      </w:r>
      <w:r w:rsidRPr="005D5C37">
        <w:rPr>
          <w:rtl/>
          <w:lang w:eastAsia="zh-TW"/>
        </w:rPr>
        <w:t>مايو</w:t>
      </w:r>
      <w:r w:rsidR="005D5C37" w:rsidRPr="005D5C37">
        <w:rPr>
          <w:rFonts w:hint="cs"/>
          <w:rtl/>
          <w:lang w:eastAsia="zh-TW"/>
        </w:rPr>
        <w:t> </w:t>
      </w:r>
      <w:r w:rsidRPr="005D5C37">
        <w:rPr>
          <w:rtl/>
          <w:lang w:eastAsia="zh-TW"/>
        </w:rPr>
        <w:t>١٩</w:t>
      </w:r>
      <w:r w:rsidR="005F6E89">
        <w:rPr>
          <w:rtl/>
          <w:lang w:eastAsia="zh-TW"/>
        </w:rPr>
        <w:t>٨٤. وقد أبدت فرنسا تحفظاً بشأنه</w:t>
      </w:r>
      <w:r w:rsidR="005F6E89">
        <w:rPr>
          <w:vertAlign w:val="superscript"/>
          <w:rtl/>
          <w:lang w:eastAsia="zh-TW"/>
        </w:rPr>
        <w:t>(</w:t>
      </w:r>
      <w:r w:rsidR="005F6E89" w:rsidRPr="0001568A">
        <w:rPr>
          <w:rStyle w:val="FootnoteReference"/>
          <w:sz w:val="20"/>
          <w:szCs w:val="30"/>
          <w:rtl/>
          <w:lang w:eastAsia="zh-TW"/>
        </w:rPr>
        <w:footnoteReference w:id="5"/>
      </w:r>
      <w:r w:rsidR="005F6E89">
        <w:rPr>
          <w:vertAlign w:val="superscript"/>
          <w:rtl/>
          <w:lang w:eastAsia="zh-TW"/>
        </w:rPr>
        <w:t>)</w:t>
      </w:r>
      <w:r w:rsidR="005F6E89" w:rsidRPr="005F6E89">
        <w:rPr>
          <w:rFonts w:hint="cs"/>
          <w:rtl/>
          <w:lang w:eastAsia="zh-TW"/>
        </w:rPr>
        <w:t>.</w:t>
      </w:r>
    </w:p>
    <w:p w:rsidR="00CA6913" w:rsidRPr="005D5C37" w:rsidRDefault="00CA6913" w:rsidP="000F13F5">
      <w:pPr>
        <w:pStyle w:val="SingleTxtGA"/>
        <w:rPr>
          <w:rtl/>
          <w:lang w:eastAsia="zh-TW"/>
        </w:rPr>
      </w:pPr>
      <w:r w:rsidRPr="005D5C37">
        <w:rPr>
          <w:rtl/>
          <w:lang w:eastAsia="zh-TW"/>
        </w:rPr>
        <w:t>١</w:t>
      </w:r>
      <w:r w:rsidR="0032534E">
        <w:rPr>
          <w:rtl/>
          <w:lang w:eastAsia="zh-TW"/>
        </w:rPr>
        <w:t>-</w:t>
      </w:r>
      <w:r w:rsidRPr="005D5C37">
        <w:rPr>
          <w:rtl/>
          <w:lang w:eastAsia="zh-TW"/>
        </w:rPr>
        <w:t>٣</w:t>
      </w:r>
      <w:r w:rsidR="005D5C37" w:rsidRPr="005D5C37">
        <w:rPr>
          <w:rtl/>
          <w:lang w:eastAsia="zh-TW"/>
        </w:rPr>
        <w:tab/>
      </w:r>
      <w:r w:rsidRPr="005D5C37">
        <w:rPr>
          <w:rtl/>
          <w:lang w:eastAsia="zh-TW"/>
        </w:rPr>
        <w:t>وفي 5 أيلول/سبتمبر 2016، أبلغ المقرر الخاص المعني بالبلاغات الجديدة والتدابير المؤقتة الدولة الطرف وصاحبة البلاغ بقراره النظر في مقبولية البلاغ بمعزل عن أسسه الموضوعية وفقاً للفقرة 3 من المادة ٩٧ من النظام الداخلي للجنة.</w:t>
      </w:r>
    </w:p>
    <w:p w:rsidR="00CA6913" w:rsidRPr="005D5C37" w:rsidRDefault="005D5C37" w:rsidP="000F13F5">
      <w:pPr>
        <w:pStyle w:val="H23GA"/>
        <w:rPr>
          <w:rtl/>
        </w:rPr>
      </w:pPr>
      <w:r w:rsidRPr="005D5C37">
        <w:rPr>
          <w:rtl/>
        </w:rPr>
        <w:tab/>
      </w:r>
      <w:r w:rsidRPr="005D5C37">
        <w:rPr>
          <w:rtl/>
        </w:rPr>
        <w:tab/>
      </w:r>
      <w:r w:rsidR="00CA6913" w:rsidRPr="005D5C37">
        <w:rPr>
          <w:rtl/>
        </w:rPr>
        <w:t>الوقائع كما عرضتها صاحبة البلاغ</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D5C37" w:rsidRPr="005D5C37">
        <w:rPr>
          <w:rtl/>
          <w:lang w:eastAsia="zh-TW"/>
        </w:rPr>
        <w:t>١</w:t>
      </w:r>
      <w:r w:rsidR="005D5C37" w:rsidRPr="005D5C37">
        <w:rPr>
          <w:rtl/>
          <w:lang w:eastAsia="zh-TW"/>
        </w:rPr>
        <w:tab/>
      </w:r>
      <w:r w:rsidRPr="005D5C37">
        <w:rPr>
          <w:rtl/>
          <w:lang w:eastAsia="zh-TW"/>
        </w:rPr>
        <w:t>صاحبة البلاغ مسلمة وترتدي النقاب. وقد استوقفت في ٦ تشرين الأول/</w:t>
      </w:r>
      <w:r w:rsidR="005D5C37">
        <w:rPr>
          <w:rFonts w:hint="cs"/>
          <w:rtl/>
          <w:lang w:eastAsia="zh-TW"/>
        </w:rPr>
        <w:t xml:space="preserve"> </w:t>
      </w:r>
      <w:r w:rsidRPr="005D5C37">
        <w:rPr>
          <w:rtl/>
          <w:lang w:eastAsia="zh-TW"/>
        </w:rPr>
        <w:t>أكتوبر</w:t>
      </w:r>
      <w:r w:rsidR="005D5C37">
        <w:rPr>
          <w:rFonts w:hint="cs"/>
          <w:rtl/>
          <w:lang w:eastAsia="zh-TW"/>
        </w:rPr>
        <w:t> </w:t>
      </w:r>
      <w:r w:rsidRPr="005D5C37">
        <w:rPr>
          <w:rtl/>
          <w:lang w:eastAsia="zh-TW"/>
        </w:rPr>
        <w:t xml:space="preserve">٢٠١١ للتحقق من هويتها أثناء ارتدائها النقاب في الشارع في مدينة نانت. ثم حوكمت وأدينت بارتكاب مخالفة بسيطة تتمثل في ارتداء ملابس تخفي وجهها في مكان عام. </w:t>
      </w:r>
    </w:p>
    <w:p w:rsidR="00CA6913" w:rsidRPr="005D5C37" w:rsidRDefault="00CA6913" w:rsidP="007F4BF6">
      <w:pPr>
        <w:pStyle w:val="SingleTxtGA"/>
        <w:rPr>
          <w:rtl/>
          <w:lang w:eastAsia="zh-TW"/>
        </w:rPr>
      </w:pPr>
      <w:r w:rsidRPr="005D5C37">
        <w:rPr>
          <w:rtl/>
          <w:lang w:eastAsia="zh-TW"/>
        </w:rPr>
        <w:t>٢</w:t>
      </w:r>
      <w:r w:rsidR="0032534E">
        <w:rPr>
          <w:rtl/>
          <w:lang w:eastAsia="zh-TW"/>
        </w:rPr>
        <w:t>-</w:t>
      </w:r>
      <w:r w:rsidR="005D5C37" w:rsidRPr="005D5C37">
        <w:rPr>
          <w:rtl/>
          <w:lang w:eastAsia="zh-TW"/>
        </w:rPr>
        <w:t>٢</w:t>
      </w:r>
      <w:r w:rsidR="005D5C37" w:rsidRPr="005D5C37">
        <w:rPr>
          <w:rtl/>
          <w:lang w:eastAsia="zh-TW"/>
        </w:rPr>
        <w:tab/>
      </w:r>
      <w:r w:rsidRPr="005D5C37">
        <w:rPr>
          <w:rtl/>
          <w:lang w:eastAsia="zh-TW"/>
        </w:rPr>
        <w:t>ثم حكمت المحكمة المحلية في مدينة نانت</w:t>
      </w:r>
      <w:r w:rsidR="00CA3A78" w:rsidRPr="00CA3A78">
        <w:rPr>
          <w:rFonts w:hint="cs"/>
          <w:vertAlign w:val="superscript"/>
          <w:rtl/>
          <w:lang w:eastAsia="zh-TW"/>
        </w:rPr>
        <w:t>(</w:t>
      </w:r>
      <w:r w:rsidR="00CA3A78" w:rsidRPr="00CA3A78">
        <w:rPr>
          <w:rStyle w:val="FootnoteReference"/>
          <w:sz w:val="20"/>
          <w:szCs w:val="30"/>
          <w:rtl/>
          <w:lang w:eastAsia="zh-TW"/>
        </w:rPr>
        <w:footnoteReference w:id="6"/>
      </w:r>
      <w:r w:rsidR="00CA3A78" w:rsidRPr="00CA3A78">
        <w:rPr>
          <w:rFonts w:hint="cs"/>
          <w:vertAlign w:val="superscript"/>
          <w:rtl/>
          <w:lang w:eastAsia="zh-TW"/>
        </w:rPr>
        <w:t>)</w:t>
      </w:r>
      <w:r w:rsidR="00CA3A78">
        <w:rPr>
          <w:rFonts w:hint="cs"/>
          <w:rtl/>
          <w:lang w:eastAsia="zh-TW"/>
        </w:rPr>
        <w:t xml:space="preserve"> </w:t>
      </w:r>
      <w:r w:rsidRPr="005D5C37">
        <w:rPr>
          <w:rtl/>
          <w:lang w:eastAsia="zh-TW"/>
        </w:rPr>
        <w:t>على صاحبة البلاغ في ٢٦ آذار/</w:t>
      </w:r>
      <w:r w:rsidR="005D5C37">
        <w:rPr>
          <w:rFonts w:hint="cs"/>
          <w:rtl/>
          <w:lang w:eastAsia="zh-TW"/>
        </w:rPr>
        <w:t xml:space="preserve"> </w:t>
      </w:r>
      <w:r w:rsidRPr="005D5C37">
        <w:rPr>
          <w:rtl/>
          <w:lang w:eastAsia="zh-TW"/>
        </w:rPr>
        <w:t>مارس</w:t>
      </w:r>
      <w:r w:rsidR="005D5C37">
        <w:rPr>
          <w:rFonts w:hint="cs"/>
          <w:rtl/>
          <w:lang w:eastAsia="zh-TW"/>
        </w:rPr>
        <w:t> </w:t>
      </w:r>
      <w:r w:rsidRPr="005D5C37">
        <w:rPr>
          <w:rtl/>
          <w:lang w:eastAsia="zh-TW"/>
        </w:rPr>
        <w:t>٢٠١٢ بغرامة مالية قدرها 150 يورو، وهي أشد عقوبة على هذه المخالفة منصوص عليها في القانون رقم 2010</w:t>
      </w:r>
      <w:r w:rsidR="0032534E">
        <w:rPr>
          <w:rtl/>
          <w:lang w:eastAsia="zh-TW"/>
        </w:rPr>
        <w:t>-</w:t>
      </w:r>
      <w:r w:rsidRPr="005D5C37">
        <w:rPr>
          <w:rtl/>
          <w:lang w:eastAsia="zh-TW"/>
        </w:rPr>
        <w:t>1192 المؤرخ 11 تشرين الأول/أكتوبر 2010. وينص هذا القانون في مادته الأولى على ما يلي: "لا يجوز لأي شخص كان ارتداء ملابس بقصد إخفاء الوجه في الأماكن العامة". وتنص المادة ٢ من هذا القانون، التي تحدد نطاق تطبيق هذه المادة، على أن "المراد بالأماكن العامة هو الطرق والممرات العامة، والأماكن المفتوحة للجمهور أو</w:t>
      </w:r>
      <w:r w:rsidR="005D5C37">
        <w:rPr>
          <w:rFonts w:hint="cs"/>
          <w:rtl/>
          <w:lang w:eastAsia="zh-TW"/>
        </w:rPr>
        <w:t> </w:t>
      </w:r>
      <w:r w:rsidRPr="005D5C37">
        <w:rPr>
          <w:rtl/>
          <w:lang w:eastAsia="zh-TW"/>
        </w:rPr>
        <w:t>المخصصة لتقديم خدمة عامة". وينص هذا القانون أيض</w:t>
      </w:r>
      <w:r w:rsidR="00003AC5">
        <w:rPr>
          <w:rtl/>
          <w:lang w:eastAsia="zh-TW"/>
        </w:rPr>
        <w:t xml:space="preserve">اً </w:t>
      </w:r>
      <w:r w:rsidRPr="005D5C37">
        <w:rPr>
          <w:rtl/>
          <w:lang w:eastAsia="zh-TW"/>
        </w:rPr>
        <w:t>على أن "الحظر المنصوص عليه في المادة الأولى لا ينطبق إذا كانت الأحكام القانونية أو التنظيمية تلزم برداء ما أو تجيزه [...]، أو</w:t>
      </w:r>
      <w:r w:rsidR="005D5C37">
        <w:rPr>
          <w:rFonts w:hint="cs"/>
          <w:rtl/>
          <w:lang w:eastAsia="zh-TW"/>
        </w:rPr>
        <w:t> </w:t>
      </w:r>
      <w:r w:rsidRPr="005D5C37">
        <w:rPr>
          <w:rtl/>
          <w:lang w:eastAsia="zh-TW"/>
        </w:rPr>
        <w:t>إذا كان للرداء ما يبرره لأسباب صحية أو مهنية، أو إذا كان جزءاً من الممارسات الرياضية، أو من الأعياد، أو المناسبات الفنية أو التقليدية".</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D5C37">
        <w:rPr>
          <w:rtl/>
          <w:lang w:eastAsia="zh-TW"/>
        </w:rPr>
        <w:t>٣</w:t>
      </w:r>
      <w:r w:rsidR="005D5C37">
        <w:rPr>
          <w:rtl/>
          <w:lang w:eastAsia="zh-TW"/>
        </w:rPr>
        <w:tab/>
      </w:r>
      <w:r w:rsidRPr="005D5C37">
        <w:rPr>
          <w:rtl/>
          <w:lang w:eastAsia="zh-TW"/>
        </w:rPr>
        <w:t>وتنص المادة ٣ من هذا القانون على أن العقوبة المفروضة عن ارتكاب هذه المخالفة هي "الغرامة المقررة على المخالفات من الدرجة الثانية" و/أو "الإلزام بحضور دورة تدريبية في المواطنة". وأرسى القانون أيض</w:t>
      </w:r>
      <w:r w:rsidR="00003AC5">
        <w:rPr>
          <w:rtl/>
          <w:lang w:eastAsia="zh-TW"/>
        </w:rPr>
        <w:t xml:space="preserve">اً </w:t>
      </w:r>
      <w:r w:rsidRPr="005D5C37">
        <w:rPr>
          <w:rtl/>
          <w:lang w:eastAsia="zh-TW"/>
        </w:rPr>
        <w:t>المخالفة الأكثر خطورة المتمثلة في إجبار الشخص على إخفاء وجهه والتي أدرجت في المادة 225</w:t>
      </w:r>
      <w:r w:rsidR="0032534E">
        <w:rPr>
          <w:rtl/>
          <w:lang w:eastAsia="zh-TW"/>
        </w:rPr>
        <w:t>-</w:t>
      </w:r>
      <w:r w:rsidRPr="005D5C37">
        <w:rPr>
          <w:rtl/>
          <w:lang w:eastAsia="zh-TW"/>
        </w:rPr>
        <w:t>4</w:t>
      </w:r>
      <w:r w:rsidR="0032534E">
        <w:rPr>
          <w:rtl/>
          <w:lang w:eastAsia="zh-TW"/>
        </w:rPr>
        <w:t>-</w:t>
      </w:r>
      <w:r w:rsidRPr="005D5C37">
        <w:rPr>
          <w:rtl/>
          <w:lang w:eastAsia="zh-TW"/>
        </w:rPr>
        <w:t xml:space="preserve">10 من القانون الجنائي، على النحو التالي: "كل من أجبر شخصاً أو عدة أشخاص على إخفاء وجههم بالتهديد، أو العنف، أو الإكراه، أو سوء </w:t>
      </w:r>
      <w:r w:rsidRPr="005D5C37">
        <w:rPr>
          <w:rtl/>
          <w:lang w:eastAsia="zh-TW"/>
        </w:rPr>
        <w:lastRenderedPageBreak/>
        <w:t>استخدام السلطة، أو النفوذ على أساس نوع الجنس يُعاقب بالسجن عاماً واحداً وغرامة قدرها</w:t>
      </w:r>
      <w:r w:rsidR="005F6E89">
        <w:rPr>
          <w:rFonts w:hint="cs"/>
          <w:rtl/>
          <w:lang w:eastAsia="zh-TW"/>
        </w:rPr>
        <w:t> </w:t>
      </w:r>
      <w:r w:rsidRPr="005D5C37">
        <w:rPr>
          <w:rtl/>
          <w:lang w:eastAsia="zh-TW"/>
        </w:rPr>
        <w:t>٠٠٠ ٣٠ يورو. وإذا كان هذا الفعل ضد شخص قاصر، فتُضاعف العقوبة إلى السجن لمدة سنتين وغرامة قدرها ٠٠٠</w:t>
      </w:r>
      <w:r w:rsidRPr="005D5C37">
        <w:rPr>
          <w:rFonts w:hint="eastAsia"/>
          <w:rtl/>
          <w:lang w:eastAsia="zh-TW"/>
        </w:rPr>
        <w:t xml:space="preserve"> </w:t>
      </w:r>
      <w:r w:rsidRPr="005D5C37">
        <w:rPr>
          <w:rtl/>
          <w:lang w:eastAsia="zh-TW"/>
        </w:rPr>
        <w:t>٦٠ يورو".</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F6E89">
        <w:rPr>
          <w:rtl/>
          <w:lang w:eastAsia="zh-TW"/>
        </w:rPr>
        <w:t>٤</w:t>
      </w:r>
      <w:r w:rsidR="005F6E89">
        <w:rPr>
          <w:rtl/>
          <w:lang w:eastAsia="zh-TW"/>
        </w:rPr>
        <w:tab/>
      </w:r>
      <w:r w:rsidRPr="005D5C37">
        <w:rPr>
          <w:rtl/>
          <w:lang w:eastAsia="zh-TW"/>
        </w:rPr>
        <w:t>وتطعن صاحبة البلاغ، على أساس المادة ١٨ من العهد، في الحظر المفروض على إخفاء الوجه في الأماكن العامة، الذي يحرم الراغبات في ارتداء النقاب من ذلك.</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F6E89">
        <w:rPr>
          <w:rtl/>
          <w:lang w:eastAsia="zh-TW"/>
        </w:rPr>
        <w:t>٥</w:t>
      </w:r>
      <w:r w:rsidR="005F6E89">
        <w:rPr>
          <w:rtl/>
          <w:lang w:eastAsia="zh-TW"/>
        </w:rPr>
        <w:tab/>
      </w:r>
      <w:r w:rsidRPr="005D5C37">
        <w:rPr>
          <w:rtl/>
          <w:lang w:eastAsia="zh-TW"/>
        </w:rPr>
        <w:t>وفيما يتعلق بالخطوات التي اتخذتها صاحبة البلاغ، فقد طعنت في هذا الحكم أمام الدائرة الجنائية لمحكمة النقض لأن قرار القاضي المحلي لا يخضع للاستئناف. ودفعت صاحبة البلاغ بأن القانون رقم 2010</w:t>
      </w:r>
      <w:r w:rsidR="0032534E">
        <w:rPr>
          <w:rtl/>
          <w:lang w:eastAsia="zh-TW"/>
        </w:rPr>
        <w:t>-</w:t>
      </w:r>
      <w:r w:rsidRPr="005D5C37">
        <w:rPr>
          <w:rtl/>
          <w:lang w:eastAsia="zh-TW"/>
        </w:rPr>
        <w:t xml:space="preserve">1192 الذي يحظر ارتداء ملابس تخفي الوجه في الأماكن العامة، ويشكل الأساس القانوني للمخالفة التي أدينت بسببها، يتنافى مع المادة ٩ من </w:t>
      </w:r>
      <w:r w:rsidRPr="005D5C37">
        <w:rPr>
          <w:rtl/>
          <w:cs/>
          <w:lang w:eastAsia="zh-TW"/>
        </w:rPr>
        <w:t>‎‎اتفاقية</w:t>
      </w:r>
      <w:r w:rsidRPr="005D5C37">
        <w:rPr>
          <w:rtl/>
          <w:lang w:eastAsia="zh-TW"/>
        </w:rPr>
        <w:t xml:space="preserve"> حماية حقوق الإنسان والحريات الأساسية‏‏ (الاتفاقية الأوروبية لحقوق الإنسان) التي تحمي حق الفرد في المجاهرة بدينه. وفيما يتعلق بالأسس الموضوعية، احتجت صاحبة البلاغ أيضاً بادعاء مفاده أن هذا القانون يتسم بطابع تمييزي، ودعت محكمة النقض إلى التحقق مما إذا كان "ينتهك التعددية بالتمييز ضد ممارسة للدين الإسلامي تتبعها أقلية".</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F6E89">
        <w:rPr>
          <w:rtl/>
          <w:lang w:eastAsia="zh-TW"/>
        </w:rPr>
        <w:t>٦</w:t>
      </w:r>
      <w:r w:rsidR="005F6E89">
        <w:rPr>
          <w:rtl/>
          <w:lang w:eastAsia="zh-TW"/>
        </w:rPr>
        <w:tab/>
      </w:r>
      <w:r w:rsidRPr="005D5C37">
        <w:rPr>
          <w:rtl/>
          <w:lang w:eastAsia="zh-TW"/>
        </w:rPr>
        <w:t>ورفضت الدائرة الجنائية لمحكمة النقض في قرارها المؤرخ ٣ نيسان</w:t>
      </w:r>
      <w:r w:rsidR="00D15D5D">
        <w:rPr>
          <w:rtl/>
          <w:lang w:eastAsia="zh-TW"/>
        </w:rPr>
        <w:t>/</w:t>
      </w:r>
      <w:r w:rsidRPr="005D5C37">
        <w:rPr>
          <w:rtl/>
          <w:lang w:eastAsia="zh-TW"/>
        </w:rPr>
        <w:t>أبريل ٢٠١٣ طعن صاحبة البلاغ، وذلك لأن "الاحتجاج بوقوع انتهاك للاتفاقية الأوروبية لحقوق الإنسان، بما أنه لم يُعرض على قاضي المحكمة الابتدائية وأنه يشتمل على دليل وقائعي إضافي، يشكل عنصر</w:t>
      </w:r>
      <w:r w:rsidR="00003AC5">
        <w:rPr>
          <w:rtl/>
          <w:lang w:eastAsia="zh-TW"/>
        </w:rPr>
        <w:t xml:space="preserve">اً </w:t>
      </w:r>
      <w:r w:rsidRPr="005D5C37">
        <w:rPr>
          <w:rtl/>
          <w:lang w:eastAsia="zh-TW"/>
        </w:rPr>
        <w:t>جديد</w:t>
      </w:r>
      <w:r w:rsidR="00003AC5">
        <w:rPr>
          <w:rtl/>
          <w:lang w:eastAsia="zh-TW"/>
        </w:rPr>
        <w:t xml:space="preserve">اً </w:t>
      </w:r>
      <w:r w:rsidRPr="005D5C37">
        <w:rPr>
          <w:rtl/>
          <w:lang w:eastAsia="zh-TW"/>
        </w:rPr>
        <w:t xml:space="preserve">ومن ثم فهو غير مقبول". وقد كان هذا القرار نهائياً. وتدعي صاحبة البلاغ أنها استنفدت جميع سبل الانتصاف المحلية المتاحة. </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F6E89">
        <w:rPr>
          <w:rtl/>
          <w:lang w:eastAsia="zh-TW"/>
        </w:rPr>
        <w:t>٧</w:t>
      </w:r>
      <w:r w:rsidR="005F6E89">
        <w:rPr>
          <w:rtl/>
          <w:lang w:eastAsia="zh-TW"/>
        </w:rPr>
        <w:tab/>
      </w:r>
      <w:r w:rsidRPr="005D5C37">
        <w:rPr>
          <w:rtl/>
          <w:lang w:eastAsia="zh-TW"/>
        </w:rPr>
        <w:t>وتشير صاحبة البلاغ إلى أنها لم تحظ بمساعدة محام أمام المحكمة المحلية في مدينة نانت، وأن هذا الإجراء سريع للغاية ويقوم به قاض منفرد ليس حتى قاضي</w:t>
      </w:r>
      <w:r w:rsidR="00003AC5">
        <w:rPr>
          <w:rtl/>
          <w:lang w:eastAsia="zh-TW"/>
        </w:rPr>
        <w:t xml:space="preserve">اً </w:t>
      </w:r>
      <w:r w:rsidRPr="005D5C37">
        <w:rPr>
          <w:rtl/>
          <w:lang w:eastAsia="zh-TW"/>
        </w:rPr>
        <w:t>محترف</w:t>
      </w:r>
      <w:r w:rsidR="00003AC5">
        <w:rPr>
          <w:rtl/>
          <w:lang w:eastAsia="zh-TW"/>
        </w:rPr>
        <w:t xml:space="preserve">اً </w:t>
      </w:r>
      <w:r w:rsidRPr="005D5C37">
        <w:rPr>
          <w:rtl/>
          <w:lang w:eastAsia="zh-TW"/>
        </w:rPr>
        <w:t>بصفة عامة، وأن الإجراء غير قابل للطعن، وإلا لكانت قد تمكنت من الدفع في الطعن باحتجاجات تتعلق بما</w:t>
      </w:r>
      <w:r w:rsidR="00003AC5">
        <w:rPr>
          <w:rFonts w:hint="cs"/>
          <w:rtl/>
          <w:lang w:eastAsia="zh-TW"/>
        </w:rPr>
        <w:t> </w:t>
      </w:r>
      <w:r w:rsidRPr="005D5C37">
        <w:rPr>
          <w:rtl/>
          <w:lang w:eastAsia="zh-TW"/>
        </w:rPr>
        <w:t xml:space="preserve">هو مكفل لها من حرية الدين وبالطابع التمييزي للقانون. </w:t>
      </w:r>
    </w:p>
    <w:p w:rsidR="00CA6913" w:rsidRPr="005D5C37" w:rsidRDefault="00CA6913" w:rsidP="000F13F5">
      <w:pPr>
        <w:pStyle w:val="SingleTxtGA"/>
        <w:rPr>
          <w:rtl/>
          <w:lang w:eastAsia="zh-TW"/>
        </w:rPr>
      </w:pPr>
      <w:r w:rsidRPr="005D5C37">
        <w:rPr>
          <w:rtl/>
          <w:lang w:eastAsia="zh-TW"/>
        </w:rPr>
        <w:t>٢</w:t>
      </w:r>
      <w:r w:rsidR="0032534E">
        <w:rPr>
          <w:rtl/>
          <w:lang w:eastAsia="zh-TW"/>
        </w:rPr>
        <w:t>-</w:t>
      </w:r>
      <w:r w:rsidR="005F6E89">
        <w:rPr>
          <w:rtl/>
          <w:lang w:eastAsia="zh-TW"/>
        </w:rPr>
        <w:t>٨</w:t>
      </w:r>
      <w:r w:rsidR="005F6E89">
        <w:rPr>
          <w:rtl/>
          <w:lang w:eastAsia="zh-TW"/>
        </w:rPr>
        <w:tab/>
      </w:r>
      <w:r w:rsidRPr="005D5C37">
        <w:rPr>
          <w:rtl/>
          <w:lang w:eastAsia="zh-TW"/>
        </w:rPr>
        <w:t>وتضيف صاحبة البلاغ أن محكمة النقض حين قضت بأن "الاحتجاج بوقوع انتهاك للاتفاقية الأوروبية لحقوق الإنسان، بما أنه لم يُعرض على قاضي المحكمة الابتدائية، وأنه يشتمل على دليل وقائعي إضافي، فإنه يشكل عنصر</w:t>
      </w:r>
      <w:r w:rsidR="00003AC5">
        <w:rPr>
          <w:rtl/>
          <w:lang w:eastAsia="zh-TW"/>
        </w:rPr>
        <w:t xml:space="preserve">اً </w:t>
      </w:r>
      <w:r w:rsidRPr="005D5C37">
        <w:rPr>
          <w:rtl/>
          <w:lang w:eastAsia="zh-TW"/>
        </w:rPr>
        <w:t>جديد</w:t>
      </w:r>
      <w:r w:rsidR="00003AC5">
        <w:rPr>
          <w:rtl/>
          <w:lang w:eastAsia="zh-TW"/>
        </w:rPr>
        <w:t xml:space="preserve">اً </w:t>
      </w:r>
      <w:r w:rsidRPr="005D5C37">
        <w:rPr>
          <w:rtl/>
          <w:lang w:eastAsia="zh-TW"/>
        </w:rPr>
        <w:t xml:space="preserve">ومن ثم فهو غير مقبول"، تكون قد أخطأت في تطبيق المادة 619 من قانون الإجراءات المدنية التي تنص على أنه: "لا تُقبل الأسس الجديدة أمام محكمة النقض. لكن يمكن الاحتجاج في المرة الأولى، ما لم </w:t>
      </w:r>
      <w:r w:rsidR="00D15D5D">
        <w:rPr>
          <w:rFonts w:hint="cs"/>
          <w:rtl/>
          <w:lang w:eastAsia="zh-TW"/>
        </w:rPr>
        <w:t xml:space="preserve">يكن </w:t>
      </w:r>
      <w:r w:rsidRPr="005D5C37">
        <w:rPr>
          <w:rtl/>
          <w:lang w:eastAsia="zh-TW"/>
        </w:rPr>
        <w:t>هناك حكم ينص على خلاف ذلك، بما يلي: (1) الأسس القانونية الخالصة؛ و(2) الأسس المرتكزة على القرار المطعون فيه".</w:t>
      </w:r>
      <w:r w:rsidR="001136FD">
        <w:rPr>
          <w:rtl/>
          <w:lang w:eastAsia="zh-TW"/>
        </w:rPr>
        <w:t xml:space="preserve"> </w:t>
      </w:r>
    </w:p>
    <w:p w:rsidR="00CA6913" w:rsidRPr="005D5C37" w:rsidRDefault="00CA6913" w:rsidP="00D15D5D">
      <w:pPr>
        <w:pStyle w:val="SingleTxtGA"/>
        <w:rPr>
          <w:rtl/>
          <w:lang w:eastAsia="zh-TW"/>
        </w:rPr>
      </w:pPr>
      <w:r w:rsidRPr="005D5C37">
        <w:rPr>
          <w:rtl/>
          <w:lang w:eastAsia="zh-TW"/>
        </w:rPr>
        <w:t>٢</w:t>
      </w:r>
      <w:r w:rsidR="0032534E">
        <w:rPr>
          <w:rtl/>
          <w:lang w:eastAsia="zh-TW"/>
        </w:rPr>
        <w:t>-</w:t>
      </w:r>
      <w:r w:rsidR="00354062">
        <w:rPr>
          <w:rtl/>
          <w:lang w:eastAsia="zh-TW"/>
        </w:rPr>
        <w:t>٩</w:t>
      </w:r>
      <w:r w:rsidR="00354062">
        <w:rPr>
          <w:rtl/>
          <w:lang w:eastAsia="zh-TW"/>
        </w:rPr>
        <w:tab/>
      </w:r>
      <w:r w:rsidRPr="005D5C37">
        <w:rPr>
          <w:rtl/>
          <w:lang w:eastAsia="zh-TW"/>
        </w:rPr>
        <w:t>وترى صاحبة البلاغ أنه لما كان الأساس المحتج به، أي عدم توافق قانون ما، يشكل "أساس</w:t>
      </w:r>
      <w:r w:rsidR="00003AC5">
        <w:rPr>
          <w:rtl/>
          <w:lang w:eastAsia="zh-TW"/>
        </w:rPr>
        <w:t xml:space="preserve">اً </w:t>
      </w:r>
      <w:r w:rsidRPr="005D5C37">
        <w:rPr>
          <w:rtl/>
          <w:lang w:eastAsia="zh-TW"/>
        </w:rPr>
        <w:t>قانوني</w:t>
      </w:r>
      <w:r w:rsidR="00003AC5">
        <w:rPr>
          <w:rtl/>
          <w:lang w:eastAsia="zh-TW"/>
        </w:rPr>
        <w:t xml:space="preserve">اً </w:t>
      </w:r>
      <w:r w:rsidRPr="005D5C37">
        <w:rPr>
          <w:rtl/>
          <w:lang w:eastAsia="zh-TW"/>
        </w:rPr>
        <w:t>خالصا</w:t>
      </w:r>
      <w:r w:rsidR="00003AC5">
        <w:rPr>
          <w:rFonts w:hint="cs"/>
          <w:rtl/>
          <w:lang w:eastAsia="zh-TW"/>
        </w:rPr>
        <w:t>ً</w:t>
      </w:r>
      <w:r w:rsidRPr="005D5C37">
        <w:rPr>
          <w:rtl/>
          <w:lang w:eastAsia="zh-TW"/>
        </w:rPr>
        <w:t>"، فإن الطعن في حظر ارتداء النقاب أمام محكمة النقض كان مقبولاً تماماً، بصرف النظر عن إتيان الاحتجاج بعنصر جديد. وتستشهد صاحبة البلاغ بمثال الرقابة اللاحقة على دستورية القوانين؛ التي بات يتسنى إجراؤها في مرحلة الطعن بالنقض اعتبار</w:t>
      </w:r>
      <w:r w:rsidR="00003AC5">
        <w:rPr>
          <w:rtl/>
          <w:lang w:eastAsia="zh-TW"/>
        </w:rPr>
        <w:t xml:space="preserve">اً </w:t>
      </w:r>
      <w:r w:rsidRPr="005D5C37">
        <w:rPr>
          <w:rtl/>
          <w:lang w:eastAsia="zh-TW"/>
        </w:rPr>
        <w:t>من عام 2010؛ وتضيف صاحبة البلاغ أن التقييم المجرد لما إذا كان قانون ما متفق</w:t>
      </w:r>
      <w:r w:rsidR="00003AC5">
        <w:rPr>
          <w:rtl/>
          <w:lang w:eastAsia="zh-TW"/>
        </w:rPr>
        <w:t xml:space="preserve">اً </w:t>
      </w:r>
      <w:r w:rsidRPr="005D5C37">
        <w:rPr>
          <w:rtl/>
          <w:lang w:eastAsia="zh-TW"/>
        </w:rPr>
        <w:t>مع الدستور أم</w:t>
      </w:r>
      <w:r w:rsidR="004E04D2">
        <w:rPr>
          <w:rFonts w:hint="cs"/>
          <w:rtl/>
          <w:lang w:eastAsia="zh-TW"/>
        </w:rPr>
        <w:t> </w:t>
      </w:r>
      <w:r w:rsidRPr="005D5C37">
        <w:rPr>
          <w:rtl/>
          <w:lang w:eastAsia="zh-TW"/>
        </w:rPr>
        <w:t xml:space="preserve">لا يندرج بطبيعته ضمن "القانون الخالص" دون أي اعتبار لظروف قضية معينة. </w:t>
      </w:r>
      <w:r w:rsidRPr="005D5C37">
        <w:rPr>
          <w:rtl/>
          <w:lang w:eastAsia="zh-TW"/>
        </w:rPr>
        <w:lastRenderedPageBreak/>
        <w:t>ووفقاً</w:t>
      </w:r>
      <w:r w:rsidR="00D15D5D">
        <w:rPr>
          <w:rFonts w:hint="cs"/>
          <w:rtl/>
          <w:lang w:eastAsia="zh-TW"/>
        </w:rPr>
        <w:t> </w:t>
      </w:r>
      <w:r w:rsidRPr="005D5C37">
        <w:rPr>
          <w:rtl/>
          <w:lang w:eastAsia="zh-TW"/>
        </w:rPr>
        <w:t>لصاحبة البلاغ، فإن الشيء نفسه ينطبق على تقييم توافق أي قانون محلي، بالقدر نفسه من الموضوعية، في مقابل أحد الالتزامات التعاهدية.</w:t>
      </w:r>
    </w:p>
    <w:p w:rsidR="00CA6913" w:rsidRPr="005D5C37" w:rsidRDefault="00CA6913" w:rsidP="00CA6913">
      <w:pPr>
        <w:pStyle w:val="SingleTxtGA"/>
        <w:rPr>
          <w:rtl/>
          <w:lang w:eastAsia="zh-TW"/>
        </w:rPr>
      </w:pPr>
      <w:r w:rsidRPr="005D5C37">
        <w:rPr>
          <w:rtl/>
          <w:lang w:eastAsia="zh-TW"/>
        </w:rPr>
        <w:t>٢</w:t>
      </w:r>
      <w:r w:rsidR="0032534E">
        <w:rPr>
          <w:rtl/>
          <w:lang w:eastAsia="zh-TW"/>
        </w:rPr>
        <w:t>-</w:t>
      </w:r>
      <w:r w:rsidR="004E04D2">
        <w:rPr>
          <w:rtl/>
          <w:lang w:eastAsia="zh-TW"/>
        </w:rPr>
        <w:t>١٠</w:t>
      </w:r>
      <w:r w:rsidR="004E04D2">
        <w:rPr>
          <w:rtl/>
          <w:lang w:eastAsia="zh-TW"/>
        </w:rPr>
        <w:tab/>
      </w:r>
      <w:r w:rsidRPr="005D5C37">
        <w:rPr>
          <w:rtl/>
          <w:lang w:eastAsia="zh-TW"/>
        </w:rPr>
        <w:t>وهكذا، تدعو صاحبة البلاغ اللجنة إلى الانتهاء إلى أنه لا يمكن الاحتجاج بعدم المقبولية ضدها في هذه القضية، لأن الأسس التي احتجت بها أمام محكمة النقض لا تشكل دليل</w:t>
      </w:r>
      <w:r w:rsidR="00003AC5">
        <w:rPr>
          <w:rtl/>
          <w:lang w:eastAsia="zh-TW"/>
        </w:rPr>
        <w:t xml:space="preserve">اً </w:t>
      </w:r>
      <w:r w:rsidRPr="005D5C37">
        <w:rPr>
          <w:rtl/>
          <w:lang w:eastAsia="zh-TW"/>
        </w:rPr>
        <w:t>إضافي</w:t>
      </w:r>
      <w:r w:rsidR="00003AC5">
        <w:rPr>
          <w:rtl/>
          <w:lang w:eastAsia="zh-TW"/>
        </w:rPr>
        <w:t xml:space="preserve">اً </w:t>
      </w:r>
      <w:r w:rsidRPr="005D5C37">
        <w:rPr>
          <w:rtl/>
          <w:lang w:eastAsia="zh-TW"/>
        </w:rPr>
        <w:t>يتعلق بوقائع وجوانب قانونية، وإنما يتعلق بـ</w:t>
      </w:r>
      <w:r w:rsidR="00C83320">
        <w:rPr>
          <w:rFonts w:hint="cs"/>
          <w:rtl/>
          <w:lang w:eastAsia="zh-TW"/>
        </w:rPr>
        <w:t xml:space="preserve"> </w:t>
      </w:r>
      <w:r w:rsidRPr="005D5C37">
        <w:rPr>
          <w:rtl/>
          <w:lang w:eastAsia="zh-TW"/>
        </w:rPr>
        <w:t xml:space="preserve">"أسس قانونية خالصة". </w:t>
      </w:r>
    </w:p>
    <w:p w:rsidR="00CA6913" w:rsidRPr="005D5C37" w:rsidRDefault="00CA6913" w:rsidP="00CA6913">
      <w:pPr>
        <w:pStyle w:val="SingleTxtGA"/>
        <w:rPr>
          <w:rtl/>
          <w:lang w:eastAsia="zh-TW"/>
        </w:rPr>
      </w:pPr>
      <w:r w:rsidRPr="005D5C37">
        <w:rPr>
          <w:rtl/>
          <w:lang w:eastAsia="zh-TW"/>
        </w:rPr>
        <w:t>٢</w:t>
      </w:r>
      <w:r w:rsidR="0032534E">
        <w:rPr>
          <w:rtl/>
          <w:lang w:eastAsia="zh-TW"/>
        </w:rPr>
        <w:t>-</w:t>
      </w:r>
      <w:r w:rsidR="00C83320">
        <w:rPr>
          <w:rtl/>
          <w:lang w:eastAsia="zh-TW"/>
        </w:rPr>
        <w:t>١١</w:t>
      </w:r>
      <w:r w:rsidR="00C83320">
        <w:rPr>
          <w:rtl/>
          <w:lang w:eastAsia="zh-TW"/>
        </w:rPr>
        <w:tab/>
      </w:r>
      <w:r w:rsidRPr="005D5C37">
        <w:rPr>
          <w:rtl/>
          <w:lang w:eastAsia="zh-TW"/>
        </w:rPr>
        <w:t>وقدمت صاحبة البلاغ طلباً إلى المحكمة الأوروبية لحقوق الإنسان في ٢٤ حزيران/ يونيه ٢٠١٣ تدعوها فيه إلى الانتهاء إلى وقوع انتهاك للمادتين 6(1)، و9 من الاتفاقية الأوروبية لحقوق الإنسان. وأعلنت المحكمة في جلستها المعقودة في الفترة من 21 آب/</w:t>
      </w:r>
      <w:r w:rsidR="00C83320">
        <w:rPr>
          <w:rFonts w:hint="cs"/>
          <w:rtl/>
          <w:lang w:eastAsia="zh-TW"/>
        </w:rPr>
        <w:t xml:space="preserve"> </w:t>
      </w:r>
      <w:r w:rsidRPr="005D5C37">
        <w:rPr>
          <w:rtl/>
          <w:lang w:eastAsia="zh-TW"/>
        </w:rPr>
        <w:t>أغسطس 2014 إلى 4 أيلول/سبتمبر 2014، برئاسة قاض منفرد، أن طلبها غير مقبول على أساس "عدم استيفاء شروط المقبولية المنصوص عليها في المادتين 34 و35 من الاتفاقية".</w:t>
      </w:r>
    </w:p>
    <w:p w:rsidR="00CA6913" w:rsidRPr="005D5C37" w:rsidRDefault="00CA6913" w:rsidP="00C83320">
      <w:pPr>
        <w:pStyle w:val="H23GA"/>
        <w:rPr>
          <w:rtl/>
        </w:rPr>
      </w:pPr>
      <w:r w:rsidRPr="005D5C37">
        <w:tab/>
      </w:r>
      <w:r w:rsidRPr="005D5C37">
        <w:tab/>
      </w:r>
      <w:r w:rsidRPr="005D5C37">
        <w:rPr>
          <w:rtl/>
        </w:rPr>
        <w:t>الشكوى</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C83320">
        <w:rPr>
          <w:rtl/>
          <w:lang w:eastAsia="zh-TW"/>
        </w:rPr>
        <w:t>١</w:t>
      </w:r>
      <w:r w:rsidR="00C83320">
        <w:rPr>
          <w:rtl/>
          <w:lang w:eastAsia="zh-TW"/>
        </w:rPr>
        <w:tab/>
      </w:r>
      <w:r w:rsidRPr="005D5C37">
        <w:rPr>
          <w:rtl/>
          <w:lang w:eastAsia="zh-TW"/>
        </w:rPr>
        <w:t>ترى صاحبة البلاغ أن حظر إخفاء وجهها في الأماكن العامة، وإدانتها بارتداء النقاب يشكلان انتهاك</w:t>
      </w:r>
      <w:r w:rsidR="00003AC5">
        <w:rPr>
          <w:rtl/>
          <w:lang w:eastAsia="zh-TW"/>
        </w:rPr>
        <w:t xml:space="preserve">اً </w:t>
      </w:r>
      <w:r w:rsidRPr="005D5C37">
        <w:rPr>
          <w:rtl/>
          <w:lang w:eastAsia="zh-TW"/>
        </w:rPr>
        <w:t>لحقوقها بموجب المادتين ١٨ و٢٦ من العهد.</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C83320">
        <w:rPr>
          <w:rtl/>
          <w:lang w:eastAsia="zh-TW"/>
        </w:rPr>
        <w:t>٢</w:t>
      </w:r>
      <w:r w:rsidR="00C83320">
        <w:rPr>
          <w:rtl/>
          <w:lang w:eastAsia="zh-TW"/>
        </w:rPr>
        <w:tab/>
      </w:r>
      <w:r w:rsidRPr="005D5C37">
        <w:rPr>
          <w:rtl/>
          <w:lang w:eastAsia="zh-TW"/>
        </w:rPr>
        <w:t>وفيما يتعلق بالمادة ١٨، فإن ارتداء النقاب أو البرقع هو بمثابة ارتداء لملابس تعتبر من عادات شريحة من شرائح المسلمين. وهو سلوك مدفوع بمعتقدات دينية. وبناء على ذلك، فارتداء النقاب إنما هو أداء لشعيرة وممارسة دينية، والمادة ١٨ من العهد تكفل حرية المجاهرة بالدين، ولو لم يكن ارتداء النقاب أو البرقع فريضة دينية مشتركة بين جميع فئات المسلمين الممارسين لدينهم. وتشير صاحبة البلاغ إلى تعليق اللجنة العام رقم ٢٢(1993) بشأن الحق في حرية الفكر والوجدان والدين الذي بموجبه "لا يقتصر اتباع طقوس الدين أو العقيدة وممارستهما على الشعائر فحسب بل إنه قد يشمل أيضاً عادات مثل اتباع قواعد غذائية، والاكتساء بملابس أو أغطية رأس متميزة". وبناء على ذلك، فإن ارتداء النقاب أو البرقع يُعدُّ ارتداء لملابس ترتبط بتقاليد شريحة من المسلمين، وهو عمل يستند إلى عقيدة دينية تتمثل فعلي</w:t>
      </w:r>
      <w:r w:rsidR="00003AC5">
        <w:rPr>
          <w:rtl/>
          <w:lang w:eastAsia="zh-TW"/>
        </w:rPr>
        <w:t xml:space="preserve">اً </w:t>
      </w:r>
      <w:r w:rsidRPr="005D5C37">
        <w:rPr>
          <w:rtl/>
          <w:lang w:eastAsia="zh-TW"/>
        </w:rPr>
        <w:t xml:space="preserve">في أداء شعيرة وممارسة دينية، والمادة 18 من العهد تكفل المجاهرة بالدين. </w:t>
      </w:r>
    </w:p>
    <w:p w:rsidR="00CA6913" w:rsidRPr="005D5C37" w:rsidRDefault="00CA6913" w:rsidP="00003AC5">
      <w:pPr>
        <w:pStyle w:val="SingleTxtGA"/>
        <w:rPr>
          <w:rtl/>
          <w:lang w:eastAsia="zh-TW"/>
        </w:rPr>
      </w:pPr>
      <w:r w:rsidRPr="005D5C37">
        <w:rPr>
          <w:rtl/>
          <w:lang w:eastAsia="zh-TW"/>
        </w:rPr>
        <w:t>٣</w:t>
      </w:r>
      <w:r w:rsidR="0032534E">
        <w:rPr>
          <w:rtl/>
          <w:lang w:eastAsia="zh-TW"/>
        </w:rPr>
        <w:t>-</w:t>
      </w:r>
      <w:r w:rsidR="00EB0F40">
        <w:rPr>
          <w:rtl/>
          <w:lang w:eastAsia="zh-TW"/>
        </w:rPr>
        <w:t>٣</w:t>
      </w:r>
      <w:r w:rsidR="00EB0F40">
        <w:rPr>
          <w:rtl/>
          <w:lang w:eastAsia="zh-TW"/>
        </w:rPr>
        <w:tab/>
      </w:r>
      <w:r w:rsidRPr="005D5C37">
        <w:rPr>
          <w:rtl/>
          <w:lang w:eastAsia="zh-TW"/>
        </w:rPr>
        <w:t>ووفق</w:t>
      </w:r>
      <w:r w:rsidR="00003AC5">
        <w:rPr>
          <w:rtl/>
          <w:lang w:eastAsia="zh-TW"/>
        </w:rPr>
        <w:t xml:space="preserve">اً </w:t>
      </w:r>
      <w:r w:rsidRPr="005D5C37">
        <w:rPr>
          <w:rtl/>
          <w:lang w:eastAsia="zh-TW"/>
        </w:rPr>
        <w:t xml:space="preserve">لصاحبة البلاغ، من الواضح أن الدولة تتدخل في الحرية الدينية لأقلية من النساء المسلمات اللاتي يرتدين النقاب </w:t>
      </w:r>
      <w:r w:rsidR="0032534E">
        <w:rPr>
          <w:rtl/>
          <w:lang w:eastAsia="zh-TW"/>
        </w:rPr>
        <w:t>-</w:t>
      </w:r>
      <w:r w:rsidRPr="005D5C37">
        <w:rPr>
          <w:rtl/>
          <w:lang w:eastAsia="zh-TW"/>
        </w:rPr>
        <w:t xml:space="preserve"> واللاتي لا يتجاوز عددهن</w:t>
      </w:r>
      <w:r w:rsidR="00003AC5">
        <w:rPr>
          <w:rFonts w:hint="cs"/>
          <w:rtl/>
          <w:lang w:eastAsia="zh-TW"/>
        </w:rPr>
        <w:t xml:space="preserve"> 000 2</w:t>
      </w:r>
      <w:r w:rsidRPr="005D5C37">
        <w:rPr>
          <w:rtl/>
          <w:lang w:eastAsia="zh-TW"/>
        </w:rPr>
        <w:t xml:space="preserve"> امرأة حسب بعثة برلمانية عكفت على دراسة هذا الموضوع. وتذكّر صاحبة البلاغ في هذا الصدد بالتحفظ الذي قدمه المجلس الدستوري الفرنسي بشأن أماكن العبادة في قراره الصادر في 7 تشرين الأول/</w:t>
      </w:r>
      <w:r w:rsidR="00EB0F40">
        <w:rPr>
          <w:rFonts w:hint="cs"/>
          <w:rtl/>
          <w:lang w:eastAsia="zh-TW"/>
        </w:rPr>
        <w:t xml:space="preserve"> </w:t>
      </w:r>
      <w:r w:rsidRPr="005D5C37">
        <w:rPr>
          <w:rtl/>
          <w:lang w:eastAsia="zh-TW"/>
        </w:rPr>
        <w:t>أكتوبر</w:t>
      </w:r>
      <w:r w:rsidR="00EB0F40">
        <w:rPr>
          <w:rFonts w:hint="cs"/>
          <w:rtl/>
          <w:lang w:eastAsia="zh-TW"/>
        </w:rPr>
        <w:t> </w:t>
      </w:r>
      <w:r w:rsidRPr="005D5C37">
        <w:rPr>
          <w:rtl/>
          <w:lang w:eastAsia="zh-TW"/>
        </w:rPr>
        <w:t>2010</w:t>
      </w:r>
      <w:r w:rsidR="00EB0F40" w:rsidRPr="00EB0F40">
        <w:rPr>
          <w:rFonts w:hint="cs"/>
          <w:vertAlign w:val="superscript"/>
          <w:rtl/>
          <w:lang w:eastAsia="zh-TW"/>
        </w:rPr>
        <w:t>(</w:t>
      </w:r>
      <w:r w:rsidR="00EB0F40" w:rsidRPr="00EB0F40">
        <w:rPr>
          <w:rStyle w:val="FootnoteReference"/>
          <w:sz w:val="20"/>
          <w:szCs w:val="30"/>
          <w:rtl/>
          <w:lang w:eastAsia="zh-TW"/>
        </w:rPr>
        <w:footnoteReference w:id="7"/>
      </w:r>
      <w:r w:rsidR="00EB0F40" w:rsidRPr="00EB0F40">
        <w:rPr>
          <w:rFonts w:hint="cs"/>
          <w:vertAlign w:val="superscript"/>
          <w:rtl/>
          <w:lang w:eastAsia="zh-TW"/>
        </w:rPr>
        <w:t>)</w:t>
      </w:r>
      <w:r w:rsidRPr="005D5C37">
        <w:rPr>
          <w:lang w:eastAsia="zh-TW"/>
        </w:rPr>
        <w:t>:</w:t>
      </w:r>
      <w:r w:rsidRPr="005D5C37">
        <w:rPr>
          <w:rtl/>
          <w:lang w:eastAsia="zh-TW"/>
        </w:rPr>
        <w:t xml:space="preserve"> "ليس لحظر إخفاء الوجه في الأماكن العامة، دون إخلال مفرط بالمادة 10 من إعلان عام ١٧٨٩، أن يُقيد ممارسة الحرية الدينية في دور العبادة المفتوحة للجمهور". ووفقاً لصاحبة البلاغ، يتعين الاعتراف على العكس من ذلك بأن المشرِّع قيَّد فعلي</w:t>
      </w:r>
      <w:r w:rsidR="00003AC5">
        <w:rPr>
          <w:rtl/>
          <w:lang w:eastAsia="zh-TW"/>
        </w:rPr>
        <w:t xml:space="preserve">اً </w:t>
      </w:r>
      <w:r w:rsidRPr="005D5C37">
        <w:rPr>
          <w:rtl/>
          <w:lang w:eastAsia="zh-TW"/>
        </w:rPr>
        <w:t>حريتها الدينية في بقية الأماكن العامة.</w:t>
      </w:r>
    </w:p>
    <w:p w:rsidR="00CA6913" w:rsidRPr="005D5C37" w:rsidRDefault="00CA6913" w:rsidP="003F499C">
      <w:pPr>
        <w:pStyle w:val="SingleTxtGA"/>
        <w:rPr>
          <w:rtl/>
          <w:lang w:eastAsia="zh-TW"/>
        </w:rPr>
      </w:pPr>
      <w:r w:rsidRPr="005D5C37">
        <w:rPr>
          <w:rtl/>
          <w:lang w:eastAsia="zh-TW"/>
        </w:rPr>
        <w:lastRenderedPageBreak/>
        <w:t>٣</w:t>
      </w:r>
      <w:r w:rsidR="0032534E">
        <w:rPr>
          <w:rtl/>
          <w:lang w:eastAsia="zh-TW"/>
        </w:rPr>
        <w:t>-</w:t>
      </w:r>
      <w:r w:rsidR="00EB0F40">
        <w:rPr>
          <w:rtl/>
          <w:lang w:eastAsia="zh-TW"/>
        </w:rPr>
        <w:t>٤</w:t>
      </w:r>
      <w:r w:rsidR="00EB0F40">
        <w:rPr>
          <w:rtl/>
          <w:lang w:eastAsia="zh-TW"/>
        </w:rPr>
        <w:tab/>
      </w:r>
      <w:r w:rsidRPr="005D5C37">
        <w:rPr>
          <w:rtl/>
          <w:lang w:eastAsia="zh-TW"/>
        </w:rPr>
        <w:t xml:space="preserve">وتشير صاحبة البلاغ إلى الاجتهادات السابقة للجنة، لا سيما الحكم الصادر في </w:t>
      </w:r>
      <w:r w:rsidRPr="005D5C37">
        <w:rPr>
          <w:i/>
          <w:iCs/>
          <w:rtl/>
          <w:lang w:eastAsia="zh-TW"/>
        </w:rPr>
        <w:t>قضية سينغ ضد فرنس</w:t>
      </w:r>
      <w:r w:rsidR="00EB0F40">
        <w:rPr>
          <w:rFonts w:hint="cs"/>
          <w:i/>
          <w:iCs/>
          <w:rtl/>
          <w:lang w:eastAsia="zh-TW"/>
        </w:rPr>
        <w:t>ا</w:t>
      </w:r>
      <w:r w:rsidR="00EB0F40" w:rsidRPr="00EB0F40">
        <w:rPr>
          <w:rFonts w:hint="cs"/>
          <w:vertAlign w:val="superscript"/>
          <w:rtl/>
          <w:lang w:eastAsia="zh-TW"/>
        </w:rPr>
        <w:t>(</w:t>
      </w:r>
      <w:r w:rsidR="00EB0F40" w:rsidRPr="003F499C">
        <w:rPr>
          <w:rStyle w:val="FootnoteReference"/>
          <w:sz w:val="20"/>
          <w:szCs w:val="30"/>
          <w:rtl/>
          <w:lang w:eastAsia="zh-TW"/>
        </w:rPr>
        <w:footnoteReference w:id="8"/>
      </w:r>
      <w:r w:rsidR="00EB0F40" w:rsidRPr="00EB0F40">
        <w:rPr>
          <w:rFonts w:hint="cs"/>
          <w:vertAlign w:val="superscript"/>
          <w:rtl/>
          <w:lang w:eastAsia="zh-TW"/>
        </w:rPr>
        <w:t>)</w:t>
      </w:r>
      <w:r w:rsidRPr="005D5C37">
        <w:rPr>
          <w:rtl/>
          <w:lang w:eastAsia="zh-TW"/>
        </w:rPr>
        <w:t>، حيث خلصت اللجنة إلى أن أحكام المادة ١٨ انتُهكت في حالة تدخل حدث مرة واحدة وجرى خلاله التقاط صورة شمسية لشخص عاري الرأس بغية تجديد تصريح إقامته. وترى صاحبة البلاغ أن حظر ارتداء النقاب في الأماكن العامة يمثل بالأحرى تدخلاً فعلياً في حريتها الدينية يجبرها على الظهور باستمرار دون نقابها.</w:t>
      </w:r>
    </w:p>
    <w:p w:rsidR="00CA6913" w:rsidRPr="005D5C37" w:rsidRDefault="00CA6913" w:rsidP="00F7419A">
      <w:pPr>
        <w:pStyle w:val="SingleTxtGA"/>
        <w:rPr>
          <w:rtl/>
          <w:lang w:eastAsia="zh-TW"/>
        </w:rPr>
      </w:pPr>
      <w:r w:rsidRPr="005D5C37">
        <w:rPr>
          <w:rtl/>
          <w:lang w:eastAsia="zh-TW"/>
        </w:rPr>
        <w:t>٣</w:t>
      </w:r>
      <w:r w:rsidR="0032534E">
        <w:rPr>
          <w:rtl/>
          <w:lang w:eastAsia="zh-TW"/>
        </w:rPr>
        <w:t>-</w:t>
      </w:r>
      <w:r w:rsidR="003F499C">
        <w:rPr>
          <w:rtl/>
          <w:lang w:eastAsia="zh-TW"/>
        </w:rPr>
        <w:t>٥</w:t>
      </w:r>
      <w:r w:rsidR="003F499C">
        <w:rPr>
          <w:rtl/>
          <w:lang w:eastAsia="zh-TW"/>
        </w:rPr>
        <w:tab/>
      </w:r>
      <w:r w:rsidRPr="005D5C37">
        <w:rPr>
          <w:rtl/>
          <w:lang w:eastAsia="zh-TW"/>
        </w:rPr>
        <w:t>وتضيف صاحبة البلاغ أن القيود المفروضة على المادة ١٨ ليست لها مبررات مقبولة كتلك المنصوص عليها في المادة ١٨(3) من العهد. وإذا كانت هناك قيود ينص عليها القانون، فلا هي ضرورية ولا هي متناسبة مع الغرض المنشود. فأول</w:t>
      </w:r>
      <w:r w:rsidR="00003AC5">
        <w:rPr>
          <w:rtl/>
          <w:lang w:eastAsia="zh-TW"/>
        </w:rPr>
        <w:t xml:space="preserve">اً </w:t>
      </w:r>
      <w:r w:rsidRPr="005D5C37">
        <w:rPr>
          <w:rtl/>
          <w:lang w:eastAsia="zh-TW"/>
        </w:rPr>
        <w:t>وقبل كل شيء، لم تحدد السلطة التشريعية بوضوح الهدف المتوخى منها. ثم إن القانون رقم ٢٠١٠</w:t>
      </w:r>
      <w:r w:rsidR="0032534E">
        <w:rPr>
          <w:rtl/>
          <w:lang w:eastAsia="zh-TW"/>
        </w:rPr>
        <w:t>-</w:t>
      </w:r>
      <w:r w:rsidRPr="005D5C37">
        <w:rPr>
          <w:rtl/>
          <w:lang w:eastAsia="zh-TW"/>
        </w:rPr>
        <w:t>١١٩٢ لا يتضمن أي بيان للغرض، ولا يقدم أي معلومات عن أسسه القانونية؛ بل إنه لا يشير إلى قرار البرلمان المؤرخ ١١ أيار/مايو ٢٠١٠، الذي أكدت فيه الجمعية الوطنية أن ارتداء النقاب يتنافى مع مبادئ الجمهورية الفرنسية</w:t>
      </w:r>
      <w:r w:rsidR="00F7419A" w:rsidRPr="00F7419A">
        <w:rPr>
          <w:rFonts w:hint="cs"/>
          <w:vertAlign w:val="superscript"/>
          <w:rtl/>
          <w:lang w:eastAsia="zh-TW"/>
        </w:rPr>
        <w:t>(</w:t>
      </w:r>
      <w:r w:rsidR="00F7419A" w:rsidRPr="00F7419A">
        <w:rPr>
          <w:rStyle w:val="FootnoteReference"/>
          <w:sz w:val="20"/>
          <w:szCs w:val="30"/>
          <w:rtl/>
          <w:lang w:eastAsia="zh-TW"/>
        </w:rPr>
        <w:footnoteReference w:id="9"/>
      </w:r>
      <w:r w:rsidR="00F7419A" w:rsidRPr="00F7419A">
        <w:rPr>
          <w:rFonts w:hint="cs"/>
          <w:vertAlign w:val="superscript"/>
          <w:rtl/>
          <w:lang w:eastAsia="zh-TW"/>
        </w:rPr>
        <w:t>)</w:t>
      </w:r>
      <w:r w:rsidRPr="005D5C37">
        <w:rPr>
          <w:rtl/>
          <w:lang w:eastAsia="zh-TW"/>
        </w:rPr>
        <w:t>.</w:t>
      </w:r>
      <w:r w:rsidR="00F7419A">
        <w:rPr>
          <w:rFonts w:hint="cs"/>
          <w:rtl/>
          <w:lang w:eastAsia="zh-TW"/>
        </w:rPr>
        <w:t xml:space="preserve"> </w:t>
      </w:r>
      <w:r w:rsidRPr="005D5C37">
        <w:rPr>
          <w:rtl/>
          <w:lang w:eastAsia="zh-TW"/>
        </w:rPr>
        <w:t>ويبين الاستعراض السريع لنشأة هذا القانون أن الرغبة السياسية في حظر ارتداء النقاب، من حيث المبدأ، هي التي بررت وحدها نص هذا القانون</w:t>
      </w:r>
      <w:r w:rsidR="00F7419A" w:rsidRPr="00F7419A">
        <w:rPr>
          <w:rFonts w:hint="cs"/>
          <w:vertAlign w:val="superscript"/>
          <w:rtl/>
          <w:lang w:eastAsia="zh-TW"/>
        </w:rPr>
        <w:t>(</w:t>
      </w:r>
      <w:r w:rsidR="00F7419A" w:rsidRPr="00F7419A">
        <w:rPr>
          <w:rStyle w:val="FootnoteReference"/>
          <w:sz w:val="20"/>
          <w:szCs w:val="30"/>
          <w:rtl/>
          <w:lang w:eastAsia="zh-TW"/>
        </w:rPr>
        <w:footnoteReference w:id="10"/>
      </w:r>
      <w:r w:rsidR="00F7419A" w:rsidRPr="00F7419A">
        <w:rPr>
          <w:rFonts w:hint="cs"/>
          <w:vertAlign w:val="superscript"/>
          <w:rtl/>
          <w:lang w:eastAsia="zh-TW"/>
        </w:rPr>
        <w:t>)</w:t>
      </w:r>
      <w:r w:rsidRPr="005D5C37">
        <w:rPr>
          <w:rtl/>
          <w:lang w:eastAsia="zh-TW"/>
        </w:rPr>
        <w:t>؛</w:t>
      </w:r>
      <w:r w:rsidR="00F7419A">
        <w:rPr>
          <w:rFonts w:hint="cs"/>
          <w:rtl/>
          <w:lang w:eastAsia="zh-TW"/>
        </w:rPr>
        <w:t xml:space="preserve"> </w:t>
      </w:r>
      <w:r w:rsidRPr="005D5C37">
        <w:rPr>
          <w:rtl/>
          <w:lang w:eastAsia="zh-TW"/>
        </w:rPr>
        <w:t>مما يسلب القانون كل هدف مشر</w:t>
      </w:r>
      <w:r w:rsidR="00F7419A">
        <w:rPr>
          <w:rtl/>
          <w:lang w:eastAsia="zh-TW"/>
        </w:rPr>
        <w:t>وع بالمعنى المقصود في المادة 18</w:t>
      </w:r>
      <w:r w:rsidRPr="005D5C37">
        <w:rPr>
          <w:rtl/>
          <w:lang w:eastAsia="zh-TW"/>
        </w:rPr>
        <w:t xml:space="preserve">(3) من العهد. ومن ثم، فإن انعدام الهدف المشروع يقوض وجود الضرورة نفسها. </w:t>
      </w:r>
    </w:p>
    <w:p w:rsidR="00CA6913" w:rsidRPr="005D5C37" w:rsidRDefault="00CA6913" w:rsidP="00F7419A">
      <w:pPr>
        <w:pStyle w:val="SingleTxtGA"/>
        <w:rPr>
          <w:rtl/>
          <w:lang w:eastAsia="zh-TW"/>
        </w:rPr>
      </w:pPr>
      <w:r w:rsidRPr="005D5C37">
        <w:rPr>
          <w:rtl/>
          <w:lang w:eastAsia="zh-TW"/>
        </w:rPr>
        <w:t>٣</w:t>
      </w:r>
      <w:r w:rsidR="0032534E">
        <w:rPr>
          <w:rtl/>
          <w:lang w:eastAsia="zh-TW"/>
        </w:rPr>
        <w:t>-</w:t>
      </w:r>
      <w:r w:rsidR="00D33097">
        <w:rPr>
          <w:rtl/>
          <w:lang w:eastAsia="zh-TW"/>
        </w:rPr>
        <w:t>٦</w:t>
      </w:r>
      <w:r w:rsidR="00D33097">
        <w:rPr>
          <w:rtl/>
          <w:lang w:eastAsia="zh-TW"/>
        </w:rPr>
        <w:tab/>
      </w:r>
      <w:r w:rsidRPr="005D5C37">
        <w:rPr>
          <w:rtl/>
          <w:lang w:eastAsia="zh-TW"/>
        </w:rPr>
        <w:t>وحتى لو افتُرض أن هذا الهدف قد حُدد، فلا يمكن اعتبار هذا القيد ضروري</w:t>
      </w:r>
      <w:r w:rsidR="00003AC5">
        <w:rPr>
          <w:rtl/>
          <w:lang w:eastAsia="zh-TW"/>
        </w:rPr>
        <w:t xml:space="preserve">اً </w:t>
      </w:r>
      <w:r w:rsidRPr="005D5C37">
        <w:rPr>
          <w:rtl/>
          <w:lang w:eastAsia="zh-TW"/>
        </w:rPr>
        <w:t>ومتناسب</w:t>
      </w:r>
      <w:r w:rsidR="00E4548E">
        <w:rPr>
          <w:rtl/>
          <w:lang w:eastAsia="zh-TW"/>
        </w:rPr>
        <w:t>اً.</w:t>
      </w:r>
      <w:r w:rsidRPr="005D5C37">
        <w:rPr>
          <w:rtl/>
          <w:lang w:eastAsia="zh-TW"/>
        </w:rPr>
        <w:t xml:space="preserve"> وتحتج الدولة</w:t>
      </w:r>
      <w:r w:rsidR="00F7419A" w:rsidRPr="00F7419A">
        <w:rPr>
          <w:rFonts w:hint="cs"/>
          <w:vertAlign w:val="superscript"/>
          <w:rtl/>
          <w:lang w:eastAsia="zh-TW"/>
        </w:rPr>
        <w:t>(</w:t>
      </w:r>
      <w:r w:rsidR="00F7419A" w:rsidRPr="00F7419A">
        <w:rPr>
          <w:rStyle w:val="FootnoteReference"/>
          <w:sz w:val="20"/>
          <w:szCs w:val="30"/>
          <w:rtl/>
          <w:lang w:eastAsia="zh-TW"/>
        </w:rPr>
        <w:footnoteReference w:id="11"/>
      </w:r>
      <w:r w:rsidR="00F7419A" w:rsidRPr="00F7419A">
        <w:rPr>
          <w:rFonts w:hint="cs"/>
          <w:vertAlign w:val="superscript"/>
          <w:rtl/>
          <w:lang w:eastAsia="zh-TW"/>
        </w:rPr>
        <w:t>)</w:t>
      </w:r>
      <w:r w:rsidR="00F7419A">
        <w:rPr>
          <w:rFonts w:hint="cs"/>
          <w:rtl/>
          <w:lang w:eastAsia="zh-TW"/>
        </w:rPr>
        <w:t xml:space="preserve"> </w:t>
      </w:r>
      <w:r w:rsidRPr="005D5C37">
        <w:rPr>
          <w:rtl/>
          <w:lang w:eastAsia="zh-TW"/>
        </w:rPr>
        <w:t>بأن القانون رقم ٢٠١٠</w:t>
      </w:r>
      <w:r w:rsidR="0032534E">
        <w:rPr>
          <w:rtl/>
          <w:lang w:eastAsia="zh-TW"/>
        </w:rPr>
        <w:t>-</w:t>
      </w:r>
      <w:r w:rsidRPr="005D5C37">
        <w:rPr>
          <w:rtl/>
          <w:lang w:eastAsia="zh-TW"/>
        </w:rPr>
        <w:t>١١٩٢ يسعى إلى تحقيق هدفين رئيسيين هما: المساواة بين الرجل والمرأة، وحماية النظام العام. ومع ذلك، لا يمكن لهذين الهدفين أن يبررا انتهاك حق صاحبة البلاغ في المجاهرة بدينها.</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F7419A">
        <w:rPr>
          <w:rtl/>
          <w:lang w:eastAsia="zh-TW"/>
        </w:rPr>
        <w:t>٧</w:t>
      </w:r>
      <w:r w:rsidR="00F7419A">
        <w:rPr>
          <w:rtl/>
          <w:lang w:eastAsia="zh-TW"/>
        </w:rPr>
        <w:tab/>
      </w:r>
      <w:r w:rsidRPr="005D5C37">
        <w:rPr>
          <w:rtl/>
          <w:lang w:eastAsia="zh-TW"/>
        </w:rPr>
        <w:t>فبادئ ذي بدء، لا يمكن الربط بين هدف تحقيق المساواة بين الرجل والمرأة، في حد ذاته، وأي من الأغراض المنصوص عليها في الفقرة ٣ من المادة ١٨. وقد ذكرت اللجنة، في تعليقها العام رقم ٢٢ (الفقرة 8)، أنه لا يُسمح بفرض قيود لأسباب غير منصوص عليها في الفقرة ٣. وتضيف صاحبة البلاغ أن إجبار المرأة التي ترغب في ارتداء النقاب في الأماكن العامة على خلعه يمثل قاعدة من قواعد الملبس مفروضة على النساء؛ وأن المقصد الذي يعزى إلى النساء المعنيات فيما يتعلق بعدم المساواة بين الجنسين إنما يستند إلى أحكام مسبقة ربما كانت لدى البعض بشأن أسلوب حياة سكان بعينهم. ولا توجد امرأة واحدة ترتدي النقاب تساند عدم المساواة بين الرجل والمرأة.</w:t>
      </w:r>
    </w:p>
    <w:p w:rsidR="00CA6913" w:rsidRPr="005D5C37" w:rsidRDefault="00CA6913" w:rsidP="00CA6913">
      <w:pPr>
        <w:pStyle w:val="SingleTxtGA"/>
        <w:rPr>
          <w:rtl/>
          <w:lang w:eastAsia="zh-TW"/>
        </w:rPr>
      </w:pPr>
      <w:r w:rsidRPr="005D5C37">
        <w:rPr>
          <w:rtl/>
          <w:lang w:eastAsia="zh-TW"/>
        </w:rPr>
        <w:lastRenderedPageBreak/>
        <w:t>٣</w:t>
      </w:r>
      <w:r w:rsidR="0032534E">
        <w:rPr>
          <w:rtl/>
          <w:lang w:eastAsia="zh-TW"/>
        </w:rPr>
        <w:t>-</w:t>
      </w:r>
      <w:r w:rsidR="00F7419A">
        <w:rPr>
          <w:rtl/>
          <w:lang w:eastAsia="zh-TW"/>
        </w:rPr>
        <w:t>٨</w:t>
      </w:r>
      <w:r w:rsidR="00F7419A">
        <w:rPr>
          <w:rtl/>
          <w:lang w:eastAsia="zh-TW"/>
        </w:rPr>
        <w:tab/>
      </w:r>
      <w:r w:rsidRPr="005D5C37">
        <w:rPr>
          <w:rtl/>
          <w:lang w:eastAsia="zh-TW"/>
        </w:rPr>
        <w:t>وأما حماية النظام العام، فهو الأساس الوحيد الذي كان للسلطة التشريعية أن تستند إليه لو أنها اختارت، وفقاً لرأي بعض أعضاء البرلمان، قصر حظر ارتداء النقاب على أماكن ومناسبات معينة، أو فرض التزام بالكشف عن الوجه عند اللزوم لأغراض التحقق من الهوية. لكن هذا لم يكن الاختيار الذي وقعت عليه الحكومة الفرنسية.</w:t>
      </w:r>
    </w:p>
    <w:p w:rsidR="00CA6913" w:rsidRPr="005D5C37" w:rsidRDefault="00CA6913" w:rsidP="00F7419A">
      <w:pPr>
        <w:pStyle w:val="SingleTxtGA"/>
        <w:rPr>
          <w:rtl/>
          <w:lang w:eastAsia="zh-TW"/>
        </w:rPr>
      </w:pPr>
      <w:r w:rsidRPr="005D5C37">
        <w:rPr>
          <w:rtl/>
          <w:lang w:eastAsia="zh-TW"/>
        </w:rPr>
        <w:t>٣</w:t>
      </w:r>
      <w:r w:rsidR="0032534E">
        <w:rPr>
          <w:rtl/>
          <w:lang w:eastAsia="zh-TW"/>
        </w:rPr>
        <w:t>-</w:t>
      </w:r>
      <w:r w:rsidR="00F7419A">
        <w:rPr>
          <w:rtl/>
          <w:lang w:eastAsia="zh-TW"/>
        </w:rPr>
        <w:t>٩</w:t>
      </w:r>
      <w:r w:rsidR="00F7419A">
        <w:rPr>
          <w:rtl/>
          <w:lang w:eastAsia="zh-TW"/>
        </w:rPr>
        <w:tab/>
      </w:r>
      <w:r w:rsidRPr="005D5C37">
        <w:rPr>
          <w:rtl/>
          <w:lang w:eastAsia="zh-TW"/>
        </w:rPr>
        <w:t>وتشير صاحبة البلاغ إلى أن أحد</w:t>
      </w:r>
      <w:r w:rsidR="00003AC5">
        <w:rPr>
          <w:rtl/>
          <w:lang w:eastAsia="zh-TW"/>
        </w:rPr>
        <w:t xml:space="preserve">اً </w:t>
      </w:r>
      <w:r w:rsidRPr="005D5C37">
        <w:rPr>
          <w:rtl/>
          <w:lang w:eastAsia="zh-TW"/>
        </w:rPr>
        <w:t>لم يزعم قط أن النساء اللاتي يرتدين البرقع أو</w:t>
      </w:r>
      <w:r w:rsidR="00F7419A">
        <w:rPr>
          <w:lang w:eastAsia="zh-TW"/>
        </w:rPr>
        <w:t> </w:t>
      </w:r>
      <w:r w:rsidRPr="005D5C37">
        <w:rPr>
          <w:rtl/>
          <w:lang w:eastAsia="zh-TW"/>
        </w:rPr>
        <w:t>النقاب، وهن قلة قليلة على أية حال، يهددن السلامة العامة، أو يُشِعن الفوضى في النظام العام. ولئن كان يمكن الدفع بصورة مشروعة بأنه يجب، في ظروف محددة بعينها، أن يكون من الممكن التعرف على هوية الأشخاص في الأماكن العامة بكشف وجوههم، فإنه لا يمكن تصور أن يكون هذا الإلزام ب</w:t>
      </w:r>
      <w:r w:rsidR="00F7419A">
        <w:rPr>
          <w:rtl/>
          <w:lang w:eastAsia="zh-TW"/>
        </w:rPr>
        <w:t xml:space="preserve">ـ </w:t>
      </w:r>
      <w:r w:rsidRPr="005D5C37">
        <w:rPr>
          <w:rtl/>
          <w:lang w:eastAsia="zh-TW"/>
        </w:rPr>
        <w:t>"الكشف عن الوجه" دائم</w:t>
      </w:r>
      <w:r w:rsidR="00003AC5">
        <w:rPr>
          <w:rtl/>
          <w:lang w:eastAsia="zh-TW"/>
        </w:rPr>
        <w:t xml:space="preserve">اً </w:t>
      </w:r>
      <w:r w:rsidRPr="005D5C37">
        <w:rPr>
          <w:rtl/>
          <w:lang w:eastAsia="zh-TW"/>
        </w:rPr>
        <w:t>ومطلقاً. ولا يمكن القبول إلا بقيود ظرفية. ولا</w:t>
      </w:r>
      <w:r w:rsidR="00F7419A">
        <w:rPr>
          <w:rFonts w:hint="cs"/>
          <w:rtl/>
          <w:lang w:eastAsia="zh-TW"/>
        </w:rPr>
        <w:t> </w:t>
      </w:r>
      <w:r w:rsidRPr="005D5C37">
        <w:rPr>
          <w:rtl/>
          <w:lang w:eastAsia="zh-TW"/>
        </w:rPr>
        <w:t>يمكن وصف الحظر الذي نص عليه القانون رقم ٢٠١٠</w:t>
      </w:r>
      <w:r w:rsidR="0032534E">
        <w:rPr>
          <w:rtl/>
          <w:lang w:eastAsia="zh-TW"/>
        </w:rPr>
        <w:t>-</w:t>
      </w:r>
      <w:r w:rsidRPr="005D5C37">
        <w:rPr>
          <w:rtl/>
          <w:lang w:eastAsia="zh-TW"/>
        </w:rPr>
        <w:t>١١٩٢ بأنه ضروري لحماية النظام العام، لأن هذا الحظر يتسم بطابع عام.</w:t>
      </w:r>
    </w:p>
    <w:p w:rsidR="00CA6913" w:rsidRPr="008E2F68" w:rsidRDefault="00CA6913" w:rsidP="008E2F68">
      <w:pPr>
        <w:pStyle w:val="SingleTxtGA"/>
        <w:rPr>
          <w:rtl/>
          <w:lang w:eastAsia="zh-TW"/>
        </w:rPr>
      </w:pPr>
      <w:r w:rsidRPr="005D5C37">
        <w:rPr>
          <w:rtl/>
          <w:lang w:eastAsia="zh-TW"/>
        </w:rPr>
        <w:t>٣</w:t>
      </w:r>
      <w:r w:rsidR="0032534E">
        <w:rPr>
          <w:rtl/>
          <w:lang w:eastAsia="zh-TW"/>
        </w:rPr>
        <w:t>-</w:t>
      </w:r>
      <w:r w:rsidR="001B2AB8">
        <w:rPr>
          <w:rtl/>
          <w:lang w:eastAsia="zh-TW"/>
        </w:rPr>
        <w:t>١٠</w:t>
      </w:r>
      <w:r w:rsidR="001B2AB8">
        <w:rPr>
          <w:rtl/>
          <w:lang w:eastAsia="zh-TW"/>
        </w:rPr>
        <w:tab/>
      </w:r>
      <w:r w:rsidRPr="005D5C37">
        <w:rPr>
          <w:rtl/>
          <w:lang w:eastAsia="zh-TW"/>
        </w:rPr>
        <w:t>وعلى أية حال، فإن هذا الحظر غير متناسب مع الهدف المنشود منه لأنه حظر دائم، ويشمل جميع الأماكن العامة، ويشكل انتهاكه مخالفة جنائية. وتشير صاحبة البلاغ أيضاً إلى أن ارتداء النقاب، الذي يمثل طريقة ستر الوجه المستهدفة على وجه التحديد من المشروع والمناقشات التي سبقت اعتماد هذا القانون، لا يمكن السماح به أبداً على ما يبدو بموجب الاستثناءات المنصوص عليها في المادة 2</w:t>
      </w:r>
      <w:r w:rsidR="0032534E">
        <w:rPr>
          <w:rtl/>
          <w:lang w:eastAsia="zh-TW"/>
        </w:rPr>
        <w:t>-</w:t>
      </w:r>
      <w:r w:rsidRPr="005D5C37">
        <w:rPr>
          <w:rtl/>
          <w:lang w:eastAsia="zh-TW"/>
        </w:rPr>
        <w:t>ثانياً من القانون رقم 2010</w:t>
      </w:r>
      <w:r w:rsidR="0032534E">
        <w:rPr>
          <w:rtl/>
          <w:lang w:eastAsia="zh-TW"/>
        </w:rPr>
        <w:t>-</w:t>
      </w:r>
      <w:r w:rsidRPr="005D5C37">
        <w:rPr>
          <w:rtl/>
          <w:lang w:eastAsia="zh-TW"/>
        </w:rPr>
        <w:t>1192</w:t>
      </w:r>
      <w:r w:rsidR="008E2F68" w:rsidRPr="008E2F68">
        <w:rPr>
          <w:rFonts w:hint="cs"/>
          <w:vertAlign w:val="superscript"/>
          <w:rtl/>
          <w:lang w:eastAsia="zh-TW"/>
        </w:rPr>
        <w:t>(</w:t>
      </w:r>
      <w:r w:rsidR="008E2F68" w:rsidRPr="008E2F68">
        <w:rPr>
          <w:rStyle w:val="FootnoteReference"/>
          <w:sz w:val="20"/>
          <w:szCs w:val="30"/>
          <w:rtl/>
          <w:lang w:eastAsia="zh-TW"/>
        </w:rPr>
        <w:footnoteReference w:id="12"/>
      </w:r>
      <w:r w:rsidR="008E2F68" w:rsidRPr="008E2F68">
        <w:rPr>
          <w:rFonts w:hint="cs"/>
          <w:vertAlign w:val="superscript"/>
          <w:rtl/>
          <w:lang w:eastAsia="zh-TW"/>
        </w:rPr>
        <w:t>)</w:t>
      </w:r>
      <w:r w:rsidR="008E2F68">
        <w:rPr>
          <w:rFonts w:hint="cs"/>
          <w:rtl/>
          <w:lang w:eastAsia="zh-TW"/>
        </w:rPr>
        <w:t>.</w:t>
      </w:r>
    </w:p>
    <w:p w:rsidR="00CA6913" w:rsidRPr="005D5C37" w:rsidRDefault="00CA6913" w:rsidP="008E2F68">
      <w:pPr>
        <w:pStyle w:val="SingleTxtGA"/>
        <w:rPr>
          <w:rtl/>
          <w:lang w:eastAsia="zh-TW"/>
        </w:rPr>
      </w:pPr>
      <w:r w:rsidRPr="005D5C37">
        <w:rPr>
          <w:rtl/>
          <w:lang w:eastAsia="zh-TW"/>
        </w:rPr>
        <w:t>٣</w:t>
      </w:r>
      <w:r w:rsidR="0032534E">
        <w:rPr>
          <w:rtl/>
          <w:lang w:eastAsia="zh-TW"/>
        </w:rPr>
        <w:t>-</w:t>
      </w:r>
      <w:r w:rsidR="008E2F68">
        <w:rPr>
          <w:rtl/>
          <w:lang w:eastAsia="zh-TW"/>
        </w:rPr>
        <w:t>١١</w:t>
      </w:r>
      <w:r w:rsidR="008E2F68">
        <w:rPr>
          <w:rtl/>
          <w:lang w:eastAsia="zh-TW"/>
        </w:rPr>
        <w:tab/>
      </w:r>
      <w:r w:rsidRPr="005D5C37">
        <w:rPr>
          <w:rtl/>
          <w:lang w:eastAsia="zh-TW"/>
        </w:rPr>
        <w:t xml:space="preserve">وتشير صاحبة البلاغ إلى أن المحكمة الأوروبية لحقوق الإنسان، في حكمها ذي الصلة في </w:t>
      </w:r>
      <w:r w:rsidRPr="005D5C37">
        <w:rPr>
          <w:i/>
          <w:iCs/>
          <w:rtl/>
          <w:lang w:eastAsia="zh-TW"/>
        </w:rPr>
        <w:t>قضية س. أ. س. ضد فرنسا</w:t>
      </w:r>
      <w:r w:rsidRPr="005D5C37">
        <w:rPr>
          <w:rtl/>
          <w:lang w:eastAsia="zh-TW"/>
        </w:rPr>
        <w:t>، رفضت الهدف المتمثل في حماية القانون العام والسلامة العامة الذي احتجت به فرنسا، مستندة في ذلك إلى مبدأ التناسب</w:t>
      </w:r>
      <w:r w:rsidR="008E2F68" w:rsidRPr="008E2F68">
        <w:rPr>
          <w:rFonts w:hint="cs"/>
          <w:vertAlign w:val="superscript"/>
          <w:rtl/>
          <w:lang w:eastAsia="zh-TW"/>
        </w:rPr>
        <w:t>(</w:t>
      </w:r>
      <w:r w:rsidR="008E2F68" w:rsidRPr="008E2F68">
        <w:rPr>
          <w:rStyle w:val="FootnoteReference"/>
          <w:sz w:val="20"/>
          <w:szCs w:val="30"/>
          <w:rtl/>
          <w:lang w:eastAsia="zh-TW"/>
        </w:rPr>
        <w:footnoteReference w:id="13"/>
      </w:r>
      <w:r w:rsidR="008E2F68" w:rsidRPr="008E2F68">
        <w:rPr>
          <w:rFonts w:hint="cs"/>
          <w:vertAlign w:val="superscript"/>
          <w:rtl/>
          <w:lang w:eastAsia="zh-TW"/>
        </w:rPr>
        <w:t>)</w:t>
      </w:r>
      <w:r w:rsidR="008E2F68">
        <w:rPr>
          <w:rFonts w:hint="cs"/>
          <w:rtl/>
          <w:lang w:eastAsia="zh-TW"/>
        </w:rPr>
        <w:t xml:space="preserve">. </w:t>
      </w:r>
      <w:r w:rsidRPr="005D5C37">
        <w:rPr>
          <w:rtl/>
          <w:lang w:eastAsia="zh-TW"/>
        </w:rPr>
        <w:t xml:space="preserve">وتخلص صاحبة البلاغ، بناء على ذلك، إلى أن حظر ستر الوجه في الأماكن العامة غير ضروري لحماية النظام العام والسلامة العامة، ما دام من الواضح أنه غير متناسب مع الهدف المنشود. </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CA3A78">
        <w:rPr>
          <w:rtl/>
          <w:lang w:eastAsia="zh-TW"/>
        </w:rPr>
        <w:t>١٢</w:t>
      </w:r>
      <w:r w:rsidR="00CA3A78">
        <w:rPr>
          <w:rtl/>
          <w:lang w:eastAsia="zh-TW"/>
        </w:rPr>
        <w:tab/>
      </w:r>
      <w:r w:rsidRPr="005D5C37">
        <w:rPr>
          <w:rtl/>
          <w:lang w:eastAsia="zh-TW"/>
        </w:rPr>
        <w:t>وفيما يتعلق بالطلب المقدم في إطار المادة 26، تدفع صاحبة البلاغ بأن تطبيق القانون رقم 2010</w:t>
      </w:r>
      <w:r w:rsidR="0032534E">
        <w:rPr>
          <w:rtl/>
          <w:lang w:eastAsia="zh-TW"/>
        </w:rPr>
        <w:t>-</w:t>
      </w:r>
      <w:r w:rsidRPr="005D5C37">
        <w:rPr>
          <w:rtl/>
          <w:lang w:eastAsia="zh-TW"/>
        </w:rPr>
        <w:t>1192 يؤدي إلى تمييز غير مباشر لأنه يهدد فعلي</w:t>
      </w:r>
      <w:r w:rsidR="00003AC5">
        <w:rPr>
          <w:rtl/>
          <w:lang w:eastAsia="zh-TW"/>
        </w:rPr>
        <w:t xml:space="preserve">اً </w:t>
      </w:r>
      <w:r w:rsidRPr="005D5C37">
        <w:rPr>
          <w:rtl/>
          <w:lang w:eastAsia="zh-TW"/>
        </w:rPr>
        <w:t>ممارستها لحرية الدين وحرية التنقل. فالقانون لا يعامل صاحبة البلاغ بنفس الطريقة التي يعامل بها بقية السكان. فهو يرغمها على عدم ارتداء النقاب في الأماكن العامة إذا كانت لا تريد التعرض لعقوبة جنائية، بينما كان القيام بذلك بالنسبة لها واجب</w:t>
      </w:r>
      <w:r w:rsidR="00003AC5">
        <w:rPr>
          <w:rtl/>
          <w:lang w:eastAsia="zh-TW"/>
        </w:rPr>
        <w:t xml:space="preserve">اً </w:t>
      </w:r>
      <w:r w:rsidRPr="005D5C37">
        <w:rPr>
          <w:rtl/>
          <w:lang w:eastAsia="zh-TW"/>
        </w:rPr>
        <w:t>ديني</w:t>
      </w:r>
      <w:r w:rsidR="00E4548E">
        <w:rPr>
          <w:rtl/>
          <w:lang w:eastAsia="zh-TW"/>
        </w:rPr>
        <w:t>اً.</w:t>
      </w:r>
      <w:r w:rsidRPr="005D5C37">
        <w:rPr>
          <w:rtl/>
          <w:lang w:eastAsia="zh-TW"/>
        </w:rPr>
        <w:t xml:space="preserve"> ولما كانت الطريقة الوحيدة لارتدائها النقاب هي تجنب الخروج من المنزل وارتياد الأماكن العامة، فإن ذلك يقيد حريتها في التنقل التي تكفلها لها على نحو التحديد المادة 12 من العهد. </w:t>
      </w:r>
    </w:p>
    <w:p w:rsidR="00CA6913" w:rsidRPr="005D5C37" w:rsidRDefault="00CA6913" w:rsidP="008E2F68">
      <w:pPr>
        <w:pStyle w:val="SingleTxtGA"/>
        <w:rPr>
          <w:rtl/>
          <w:lang w:eastAsia="zh-TW"/>
        </w:rPr>
      </w:pPr>
      <w:r w:rsidRPr="005D5C37">
        <w:rPr>
          <w:rtl/>
          <w:lang w:eastAsia="zh-TW"/>
        </w:rPr>
        <w:lastRenderedPageBreak/>
        <w:t>٣</w:t>
      </w:r>
      <w:r w:rsidR="0032534E">
        <w:rPr>
          <w:rtl/>
          <w:lang w:eastAsia="zh-TW"/>
        </w:rPr>
        <w:t>-</w:t>
      </w:r>
      <w:r w:rsidR="00CA3A78">
        <w:rPr>
          <w:rtl/>
          <w:lang w:eastAsia="zh-TW"/>
        </w:rPr>
        <w:t>١٣</w:t>
      </w:r>
      <w:r w:rsidR="00CA3A78">
        <w:rPr>
          <w:rtl/>
          <w:lang w:eastAsia="zh-TW"/>
        </w:rPr>
        <w:tab/>
      </w:r>
      <w:r w:rsidRPr="005D5C37">
        <w:rPr>
          <w:rtl/>
          <w:lang w:eastAsia="zh-TW"/>
        </w:rPr>
        <w:t>ولئن كان من المفترض أن ينطبق القانون رقم 2010</w:t>
      </w:r>
      <w:r w:rsidR="0032534E">
        <w:rPr>
          <w:rtl/>
          <w:lang w:eastAsia="zh-TW"/>
        </w:rPr>
        <w:t>-</w:t>
      </w:r>
      <w:r w:rsidRPr="005D5C37">
        <w:rPr>
          <w:rtl/>
          <w:lang w:eastAsia="zh-TW"/>
        </w:rPr>
        <w:t>1192 دون تفرقة على أي شخص يخفي وجهه في الأماكن العامة، فيبقى الواقع أن من أثره التمييز بشكل غير مباشر ضد النساء اللاتي يرتدين النقاب. وتشهد المناقشات التي سبقت اعتماد هذا القانون بوضوح على أنه اتخذ حلاً قانونياً عاماً لحظر ارتداء النقاب على وجه التحديد. ويتأكد هذا التمييز غير المباشر أيضاً من الأرقام المتعلقة بتنفيذ هذا القانون الذي يُفترض أن يشمل أي نوع من أنواع إخفاء الوجه بما في ذلك الخوذات أو أقنعة التزلج على الجليد</w:t>
      </w:r>
      <w:r w:rsidR="008E2F68" w:rsidRPr="008E2F68">
        <w:rPr>
          <w:rFonts w:hint="cs"/>
          <w:vertAlign w:val="superscript"/>
          <w:rtl/>
          <w:lang w:eastAsia="zh-TW"/>
        </w:rPr>
        <w:t>(</w:t>
      </w:r>
      <w:r w:rsidR="008E2F68" w:rsidRPr="008E2F68">
        <w:rPr>
          <w:rStyle w:val="FootnoteReference"/>
          <w:sz w:val="20"/>
          <w:szCs w:val="30"/>
          <w:rtl/>
          <w:lang w:eastAsia="zh-TW"/>
        </w:rPr>
        <w:footnoteReference w:id="14"/>
      </w:r>
      <w:r w:rsidR="008E2F68" w:rsidRPr="008E2F68">
        <w:rPr>
          <w:rFonts w:hint="cs"/>
          <w:vertAlign w:val="superscript"/>
          <w:rtl/>
          <w:lang w:eastAsia="zh-TW"/>
        </w:rPr>
        <w:t>)</w:t>
      </w:r>
      <w:r w:rsidR="00C04C12">
        <w:rPr>
          <w:rFonts w:hint="cs"/>
          <w:rtl/>
          <w:lang w:eastAsia="zh-TW"/>
        </w:rPr>
        <w:t>.</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CA3A78">
        <w:rPr>
          <w:rtl/>
          <w:lang w:eastAsia="zh-TW"/>
        </w:rPr>
        <w:t>١٤</w:t>
      </w:r>
      <w:r w:rsidR="00CA3A78">
        <w:rPr>
          <w:rtl/>
          <w:lang w:eastAsia="zh-TW"/>
        </w:rPr>
        <w:tab/>
      </w:r>
      <w:r w:rsidRPr="005D5C37">
        <w:rPr>
          <w:rtl/>
          <w:lang w:eastAsia="zh-TW"/>
        </w:rPr>
        <w:t>وأخير</w:t>
      </w:r>
      <w:r w:rsidR="00E4548E">
        <w:rPr>
          <w:rtl/>
          <w:lang w:eastAsia="zh-TW"/>
        </w:rPr>
        <w:t>اً،</w:t>
      </w:r>
      <w:r w:rsidRPr="005D5C37">
        <w:rPr>
          <w:rtl/>
          <w:lang w:eastAsia="zh-TW"/>
        </w:rPr>
        <w:t xml:space="preserve"> تكرر صاحبة البلاغ أن هناك ٠٠٠ ٢ امرأة يرتدين النقاب في فرنسا. وهن يشكلن أكثر من نصف الأشخاص الذين تعرضوا للتحقق من الهوية بموجب هذا القانون، الأمر الذي يدل على أنهن يتعرضن للتفتيش على نحو غير متناسب.</w:t>
      </w:r>
    </w:p>
    <w:p w:rsidR="00CA6913" w:rsidRPr="005D5C37" w:rsidRDefault="00CA6913" w:rsidP="00CA6913">
      <w:pPr>
        <w:pStyle w:val="SingleTxtGA"/>
        <w:rPr>
          <w:rtl/>
          <w:lang w:eastAsia="zh-TW"/>
        </w:rPr>
      </w:pPr>
      <w:r w:rsidRPr="005D5C37">
        <w:rPr>
          <w:rtl/>
          <w:lang w:eastAsia="zh-TW"/>
        </w:rPr>
        <w:t>٣</w:t>
      </w:r>
      <w:r w:rsidR="0032534E">
        <w:rPr>
          <w:rtl/>
          <w:lang w:eastAsia="zh-TW"/>
        </w:rPr>
        <w:t>-</w:t>
      </w:r>
      <w:r w:rsidR="00CA3A78">
        <w:rPr>
          <w:rtl/>
          <w:lang w:eastAsia="zh-TW"/>
        </w:rPr>
        <w:t>١٥</w:t>
      </w:r>
      <w:r w:rsidR="00CA3A78">
        <w:rPr>
          <w:rtl/>
          <w:lang w:eastAsia="zh-TW"/>
        </w:rPr>
        <w:tab/>
      </w:r>
      <w:r w:rsidRPr="005D5C37">
        <w:rPr>
          <w:rtl/>
          <w:lang w:eastAsia="zh-TW"/>
        </w:rPr>
        <w:t xml:space="preserve">وبناء على ذلك، تدعي صاحبة البلاغ انتهاك المادتين </w:t>
      </w:r>
      <w:r w:rsidR="00D15D5D">
        <w:rPr>
          <w:rtl/>
          <w:lang w:eastAsia="zh-TW"/>
        </w:rPr>
        <w:t>18 و</w:t>
      </w:r>
      <w:r w:rsidRPr="005D5C37">
        <w:rPr>
          <w:rtl/>
          <w:lang w:eastAsia="zh-TW"/>
        </w:rPr>
        <w:t xml:space="preserve">26 من العهد. </w:t>
      </w:r>
    </w:p>
    <w:p w:rsidR="00CA6913" w:rsidRPr="005D5C37" w:rsidRDefault="00CA3A78" w:rsidP="00CA3A78">
      <w:pPr>
        <w:pStyle w:val="H23GA"/>
        <w:rPr>
          <w:rtl/>
        </w:rPr>
      </w:pPr>
      <w:r>
        <w:rPr>
          <w:rtl/>
        </w:rPr>
        <w:tab/>
      </w:r>
      <w:r>
        <w:rPr>
          <w:rtl/>
        </w:rPr>
        <w:tab/>
      </w:r>
      <w:r w:rsidR="00CA6913" w:rsidRPr="005D5C37">
        <w:rPr>
          <w:rtl/>
        </w:rPr>
        <w:t>ملاحظات الدولة الطرف بشأن المقبولية</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١</w:t>
      </w:r>
      <w:r w:rsidR="00CA3A78">
        <w:rPr>
          <w:rtl/>
          <w:lang w:eastAsia="zh-TW"/>
        </w:rPr>
        <w:tab/>
      </w:r>
      <w:r w:rsidRPr="005D5C37">
        <w:rPr>
          <w:rtl/>
          <w:lang w:eastAsia="zh-TW"/>
        </w:rPr>
        <w:t>في 17 أيار/مايو 2016، قدمت الدولة الطرف ملاحظاتها بشأن المقبولية، وطلبت إلى اللجنة رفض البلاغ على أساس أنه غير مقبول.</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٢</w:t>
      </w:r>
      <w:r w:rsidR="00CA3A78">
        <w:rPr>
          <w:rtl/>
          <w:lang w:eastAsia="zh-TW"/>
        </w:rPr>
        <w:tab/>
      </w:r>
      <w:r w:rsidRPr="005D5C37">
        <w:rPr>
          <w:rtl/>
          <w:lang w:eastAsia="zh-TW"/>
        </w:rPr>
        <w:t>تلاحظ الدولة الطرف أنه قد ثبت في مناسبتين أن صاحبة البلاغ أُدينت بارتداء زي لإخفاء وجهها في مكان عام، أي نقاباً على وجه التحديد. وحكمت عليها المحكمة المحلية في مدينة نانت في كلتا المناسبتين بغرامتين قدرهما 140 و150 يورو على التوالي في 21 تشرين الثاني/نوفمبر 2011، وفي 26 آذار</w:t>
      </w:r>
      <w:r w:rsidR="00D15D5D">
        <w:rPr>
          <w:rtl/>
          <w:lang w:eastAsia="zh-TW"/>
        </w:rPr>
        <w:t>/</w:t>
      </w:r>
      <w:r w:rsidRPr="005D5C37">
        <w:rPr>
          <w:rtl/>
          <w:lang w:eastAsia="zh-TW"/>
        </w:rPr>
        <w:t>مارس 2012. فهكذا حُكم على صاحبة البلاغ في 21 تشرين الثاني/نوفمبر ٢٠١١ بغرامة قدرها ١٤٠ يورو لارتدائها زياً أخفى وجهها فيِ مكان عام، وهي مخالفة بموجب أحكام القانون رقم 2010</w:t>
      </w:r>
      <w:r w:rsidR="0032534E">
        <w:rPr>
          <w:rtl/>
          <w:lang w:eastAsia="zh-TW"/>
        </w:rPr>
        <w:t>-</w:t>
      </w:r>
      <w:r w:rsidRPr="005D5C37">
        <w:rPr>
          <w:rtl/>
          <w:lang w:eastAsia="zh-TW"/>
        </w:rPr>
        <w:t>1192. وقد سُجلت هذه المخالفة في حملة مرورية. وفي ٢٦ آذار/مارس ٢٠١٢، حكم القاضي المحلي مرة أخرى على صاحبة البلاغ بدفع غرامة قدرها ١٥٠ يورو عن ارتكاب مخالفة مماثلة، بعد أن رفضت خلع نقابها أمام نقطة التفتيش الأمني لدخول المحكمة التي كانت ستبت في مخالفتها الأولى. ولم تحضر صاحبة البلاغ أياً من جلستي المحكمة.</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٣</w:t>
      </w:r>
      <w:r w:rsidR="00CA3A78">
        <w:rPr>
          <w:rtl/>
          <w:lang w:eastAsia="zh-TW"/>
        </w:rPr>
        <w:tab/>
      </w:r>
      <w:r w:rsidRPr="005D5C37">
        <w:rPr>
          <w:rtl/>
          <w:lang w:eastAsia="zh-TW"/>
        </w:rPr>
        <w:t>وقدمت صاحبة البلاغ طلبين بإعادة النظر في الحكمين المذكورين أعلاه أمام الدائرة الجنائية التابعة لمحكمة النقض. ولم تحتجّ صاحبة البلاغ بأن القانون رقم 2010</w:t>
      </w:r>
      <w:r w:rsidR="0032534E">
        <w:rPr>
          <w:rtl/>
          <w:lang w:eastAsia="zh-TW"/>
        </w:rPr>
        <w:t>-</w:t>
      </w:r>
      <w:r w:rsidRPr="005D5C37">
        <w:rPr>
          <w:rtl/>
          <w:lang w:eastAsia="zh-TW"/>
        </w:rPr>
        <w:t>1192، الذي يمثل الأساس القانوني للمخالفتين اللتين حوكمت بمقتضاهما، يتعارض مع المادتين 9 و14 من الاتفاقية الأوروبية لحقوق الإنسان إلا أمام محكمة النقض.</w:t>
      </w:r>
    </w:p>
    <w:p w:rsidR="00CA6913" w:rsidRPr="005D5C37" w:rsidRDefault="00CA6913" w:rsidP="00AF5311">
      <w:pPr>
        <w:pStyle w:val="SingleTxtGA"/>
        <w:rPr>
          <w:rtl/>
          <w:lang w:eastAsia="zh-TW"/>
        </w:rPr>
      </w:pPr>
      <w:r w:rsidRPr="005D5C37">
        <w:rPr>
          <w:rtl/>
          <w:lang w:eastAsia="zh-TW"/>
        </w:rPr>
        <w:lastRenderedPageBreak/>
        <w:t>٤</w:t>
      </w:r>
      <w:r w:rsidR="0032534E">
        <w:rPr>
          <w:rtl/>
          <w:lang w:eastAsia="zh-TW"/>
        </w:rPr>
        <w:t>-</w:t>
      </w:r>
      <w:r w:rsidR="00CA3A78">
        <w:rPr>
          <w:rtl/>
          <w:lang w:eastAsia="zh-TW"/>
        </w:rPr>
        <w:t>٤</w:t>
      </w:r>
      <w:r w:rsidR="00CA3A78">
        <w:rPr>
          <w:rtl/>
          <w:lang w:eastAsia="zh-TW"/>
        </w:rPr>
        <w:tab/>
      </w:r>
      <w:r w:rsidRPr="005D5C37">
        <w:rPr>
          <w:rtl/>
          <w:lang w:eastAsia="zh-TW"/>
        </w:rPr>
        <w:t>وتدفع الدولة الطرف بأن اللجنة سبق أن أشارت إلى أن شرط استنفاد سبل الانتصاف المحلية لم يستوف لأن المرة الأولى التي تقدمت فيها صاحبة البلاغ بشكواها المعروضة على اللجنة كانت أمام محكمة النقض. وأعلنت المحكمة الوطنية العليا عدم قبول هذا السبب على أساس أنه لم يُحتج به أمام المحكمة الابتدائية</w:t>
      </w:r>
      <w:r w:rsidR="00AF5311" w:rsidRPr="00AF5311">
        <w:rPr>
          <w:rFonts w:hint="cs"/>
          <w:vertAlign w:val="superscript"/>
          <w:rtl/>
          <w:lang w:eastAsia="zh-TW"/>
        </w:rPr>
        <w:t>(</w:t>
      </w:r>
      <w:r w:rsidR="00AF5311" w:rsidRPr="00AF5311">
        <w:rPr>
          <w:rStyle w:val="FootnoteReference"/>
          <w:sz w:val="20"/>
          <w:szCs w:val="30"/>
          <w:rtl/>
          <w:lang w:eastAsia="zh-TW"/>
        </w:rPr>
        <w:footnoteReference w:id="15"/>
      </w:r>
      <w:r w:rsidR="00AF5311" w:rsidRPr="00AF5311">
        <w:rPr>
          <w:rFonts w:hint="cs"/>
          <w:vertAlign w:val="superscript"/>
          <w:rtl/>
          <w:lang w:eastAsia="zh-TW"/>
        </w:rPr>
        <w:t>)</w:t>
      </w:r>
      <w:r w:rsidR="00AF5311">
        <w:rPr>
          <w:rFonts w:hint="cs"/>
          <w:rtl/>
          <w:lang w:eastAsia="zh-TW"/>
        </w:rPr>
        <w:t>.</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٥</w:t>
      </w:r>
      <w:r w:rsidR="00CA3A78">
        <w:rPr>
          <w:rtl/>
          <w:lang w:eastAsia="zh-TW"/>
        </w:rPr>
        <w:tab/>
      </w:r>
      <w:r w:rsidRPr="005D5C37">
        <w:rPr>
          <w:rtl/>
          <w:lang w:eastAsia="zh-TW"/>
        </w:rPr>
        <w:t>وتلاحظ الدولة الطرف أن الطلب الذي قدمته صاحبة البلاغ أمام المحكمة الأوروبية لحقوق الإنسان استند إلى الوقائع نفسها المقدمة إلى اللجنة، وأن صاحبة البلاغ أُبلغت، في ١١</w:t>
      </w:r>
      <w:r w:rsidRPr="005D5C37">
        <w:rPr>
          <w:rFonts w:hint="eastAsia"/>
          <w:rtl/>
          <w:lang w:eastAsia="zh-TW"/>
        </w:rPr>
        <w:t xml:space="preserve"> </w:t>
      </w:r>
      <w:r w:rsidRPr="005D5C37">
        <w:rPr>
          <w:rtl/>
          <w:lang w:eastAsia="zh-TW"/>
        </w:rPr>
        <w:t>أيلول/سبتمبر 2014، بأن طلبها غير مقبول بموجب المادتين ٣٤ و٣٥ من الاتفاقية الأوروبية لحقوق الإنسان. وتذكّر الدولة الطرف بالتحفظ الذي أبدته عند تصديقها على البروتوكول الاختياري على المادة 5(2)(أ). وتُذكر الدولة الطرف أيضاً بالممارسة التي تتبعها اللجنة والتي تفيد بأنه لا يمكن اعتبار أن هيئة دولية أخرى "تبحث" القضية إذا كانت القضية قد رُفضت لأسباب إجرائية بحتة. بل إن قرار عدم المقبولية الذي يستند إلى النظر في أسسها الموضوعية، ولو كان محدوداً، يشكل بحث</w:t>
      </w:r>
      <w:r w:rsidR="00003AC5">
        <w:rPr>
          <w:rtl/>
          <w:lang w:eastAsia="zh-TW"/>
        </w:rPr>
        <w:t xml:space="preserve">اً </w:t>
      </w:r>
      <w:r w:rsidRPr="005D5C37">
        <w:rPr>
          <w:rtl/>
          <w:lang w:eastAsia="zh-TW"/>
        </w:rPr>
        <w:t>لها بموجب المادة 5(2)(أ).</w:t>
      </w:r>
    </w:p>
    <w:p w:rsidR="00CA6913" w:rsidRPr="005D5C37" w:rsidRDefault="00CA6913" w:rsidP="00CA3A78">
      <w:pPr>
        <w:pStyle w:val="SingleTxtGA"/>
        <w:rPr>
          <w:rtl/>
          <w:lang w:eastAsia="zh-TW"/>
        </w:rPr>
      </w:pPr>
      <w:r w:rsidRPr="005D5C37">
        <w:rPr>
          <w:rtl/>
          <w:lang w:eastAsia="zh-TW"/>
        </w:rPr>
        <w:t>٤</w:t>
      </w:r>
      <w:r w:rsidR="0032534E">
        <w:rPr>
          <w:rtl/>
          <w:lang w:eastAsia="zh-TW"/>
        </w:rPr>
        <w:t>-</w:t>
      </w:r>
      <w:r w:rsidR="00CA3A78">
        <w:rPr>
          <w:rtl/>
          <w:lang w:eastAsia="zh-TW"/>
        </w:rPr>
        <w:t>٦</w:t>
      </w:r>
      <w:r w:rsidR="00CA3A78">
        <w:rPr>
          <w:rtl/>
          <w:lang w:eastAsia="zh-TW"/>
        </w:rPr>
        <w:tab/>
      </w:r>
      <w:r w:rsidRPr="005D5C37">
        <w:rPr>
          <w:rtl/>
          <w:lang w:eastAsia="zh-TW"/>
        </w:rPr>
        <w:t>وفي هذه القضية، لا يشير قرار المحكمة الأوروبية لحقوق الإنسان الموجه إلى السيدة ياكر والقاضي بعدم مقبولية طلبها إلى أسباب عدم مقبوليته. ومع ذلك، يمكن الإشارة إلى أن المادتين ٣٤ و٣٥ من الاتفاقية الأوروبية لحقوق الإنسان حددتا ستة أسباب لعدم المقبولية، وهي: (أ) إذا تم تجاوُز مهلة تقديم الطلب المحددة بستة أشهر، وذلك ابتداء من تاريخ اتخاذ القرار المحلي النهائي؛ و(ب) إذا كانت الشكوى مجهولة المصدر؛ و(ج) إذا كانت القضية قيد النظر بالفعل بموجب إجراء آخر من إجراءات التحقيق الدولي أو التسوية الدولية؛ و(د) إذا لم</w:t>
      </w:r>
      <w:r w:rsidR="00CA3A78">
        <w:rPr>
          <w:rFonts w:hint="cs"/>
          <w:rtl/>
          <w:lang w:eastAsia="zh-TW"/>
        </w:rPr>
        <w:t> </w:t>
      </w:r>
      <w:r w:rsidRPr="005D5C37">
        <w:rPr>
          <w:rtl/>
          <w:lang w:eastAsia="zh-TW"/>
        </w:rPr>
        <w:t xml:space="preserve">تكن سبل الانتصاف المحلية قد استنفدت؛ و(ه) إذا تبين بشكل ظاهر أن الطلب يستند إلى أسس واهية أو أنه تعسفي؛ و(و) إذا لم يكن قد لحق ضرر بالغ بصاحب الطلب. </w:t>
      </w:r>
    </w:p>
    <w:p w:rsidR="00CA6913" w:rsidRPr="005D5C37" w:rsidRDefault="00CA6913" w:rsidP="002329BA">
      <w:pPr>
        <w:pStyle w:val="SingleTxtGA"/>
        <w:rPr>
          <w:rtl/>
          <w:lang w:eastAsia="zh-TW"/>
        </w:rPr>
      </w:pPr>
      <w:r w:rsidRPr="005D5C37">
        <w:rPr>
          <w:rtl/>
          <w:lang w:eastAsia="zh-TW"/>
        </w:rPr>
        <w:t>٤</w:t>
      </w:r>
      <w:r w:rsidR="0032534E">
        <w:rPr>
          <w:rtl/>
          <w:lang w:eastAsia="zh-TW"/>
        </w:rPr>
        <w:t>-</w:t>
      </w:r>
      <w:r w:rsidR="00CA3A78">
        <w:rPr>
          <w:rtl/>
          <w:lang w:eastAsia="zh-TW"/>
        </w:rPr>
        <w:t>٧</w:t>
      </w:r>
      <w:r w:rsidR="00CA3A78">
        <w:rPr>
          <w:rtl/>
          <w:lang w:eastAsia="zh-TW"/>
        </w:rPr>
        <w:tab/>
      </w:r>
      <w:r w:rsidRPr="005D5C37">
        <w:rPr>
          <w:rtl/>
          <w:lang w:eastAsia="zh-TW"/>
        </w:rPr>
        <w:t>وبالنظر إلى أن الطلب قد قُدم إلى المحكمة الأوروبية لحقوق الإنسان في غضون ستة أشهر وبشكل حصري وعن طريق مصدر غير مجهول، وأن الضرر المزعوم كان بالغاً وفقاً للمعنى المحدد في المادة ٣</w:t>
      </w:r>
      <w:r w:rsidR="002329BA">
        <w:rPr>
          <w:rFonts w:hint="cs"/>
          <w:rtl/>
          <w:lang w:eastAsia="zh-TW"/>
        </w:rPr>
        <w:t>5</w:t>
      </w:r>
      <w:r w:rsidRPr="005D5C37">
        <w:rPr>
          <w:rtl/>
          <w:lang w:eastAsia="zh-TW"/>
        </w:rPr>
        <w:t xml:space="preserve"> من الاتفاقية، فإن الدولة الطرف ترى أنه يترتب على ذلك ضمني</w:t>
      </w:r>
      <w:r w:rsidR="00E4548E">
        <w:rPr>
          <w:rtl/>
          <w:lang w:eastAsia="zh-TW"/>
        </w:rPr>
        <w:t>اً،</w:t>
      </w:r>
      <w:r w:rsidRPr="005D5C37">
        <w:rPr>
          <w:rtl/>
          <w:lang w:eastAsia="zh-TW"/>
        </w:rPr>
        <w:t xml:space="preserve"> ولكن ليس بالضرورة، أن المحكمة الأوروبية رفضت هذا الطلب لعدم استنفاد سبل الانتصاف المحلية فحسب، أو لأنه اعتُبر بشكل ظاهر واهي</w:t>
      </w:r>
      <w:r w:rsidR="00003AC5">
        <w:rPr>
          <w:rtl/>
          <w:lang w:eastAsia="zh-TW"/>
        </w:rPr>
        <w:t xml:space="preserve">اً </w:t>
      </w:r>
      <w:r w:rsidRPr="005D5C37">
        <w:rPr>
          <w:rtl/>
          <w:lang w:eastAsia="zh-TW"/>
        </w:rPr>
        <w:t>أو تعسف</w:t>
      </w:r>
      <w:r w:rsidR="00E4548E">
        <w:rPr>
          <w:rtl/>
          <w:lang w:eastAsia="zh-TW"/>
        </w:rPr>
        <w:t>اً.</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٨</w:t>
      </w:r>
      <w:r w:rsidR="00CA3A78">
        <w:rPr>
          <w:rtl/>
          <w:lang w:eastAsia="zh-TW"/>
        </w:rPr>
        <w:tab/>
      </w:r>
      <w:r w:rsidRPr="005D5C37">
        <w:rPr>
          <w:rtl/>
          <w:lang w:eastAsia="zh-TW"/>
        </w:rPr>
        <w:t>وفي الحالة الأولى، ترى الدولة الطرف أنه لا يمكن أن تصل اللجنة إلى استنتاج آخر غير استنتاج المحكمة الأوروبية لحقوق الإنسان؛ وتلاحظ الدولة الطرف أن صاحبة البلاغ إنما أشارت للمرة الأولى إلى أن رفض المحكمة يشكل انتهاك</w:t>
      </w:r>
      <w:r w:rsidR="00003AC5">
        <w:rPr>
          <w:rtl/>
          <w:lang w:eastAsia="zh-TW"/>
        </w:rPr>
        <w:t xml:space="preserve">اً </w:t>
      </w:r>
      <w:r w:rsidRPr="005D5C37">
        <w:rPr>
          <w:rtl/>
          <w:lang w:eastAsia="zh-TW"/>
        </w:rPr>
        <w:t xml:space="preserve">للمادتين </w:t>
      </w:r>
      <w:r w:rsidR="00D15D5D">
        <w:rPr>
          <w:rtl/>
          <w:lang w:eastAsia="zh-TW"/>
        </w:rPr>
        <w:t>18 و</w:t>
      </w:r>
      <w:r w:rsidRPr="005D5C37">
        <w:rPr>
          <w:rtl/>
          <w:lang w:eastAsia="zh-TW"/>
        </w:rPr>
        <w:t xml:space="preserve">26 من العهد أمام محكمة النقض. وبناء على ذلك، وعلى غرار ما فعلته اللجنة في </w:t>
      </w:r>
      <w:r w:rsidRPr="002329BA">
        <w:rPr>
          <w:rtl/>
          <w:lang w:eastAsia="zh-TW"/>
        </w:rPr>
        <w:t>قضية</w:t>
      </w:r>
      <w:r w:rsidRPr="005D5C37">
        <w:rPr>
          <w:i/>
          <w:iCs/>
          <w:rtl/>
          <w:lang w:eastAsia="zh-TW"/>
        </w:rPr>
        <w:t xml:space="preserve"> </w:t>
      </w:r>
      <w:r w:rsidRPr="002329BA">
        <w:rPr>
          <w:i/>
          <w:iCs/>
          <w:rtl/>
          <w:lang w:eastAsia="zh-TW"/>
        </w:rPr>
        <w:t>ب. سينغ</w:t>
      </w:r>
      <w:r w:rsidRPr="005D5C37">
        <w:rPr>
          <w:rtl/>
          <w:lang w:eastAsia="zh-TW"/>
        </w:rPr>
        <w:t>، ينبغي للجنة أن تعلن عدم مقبولية هذا الطلب لعدم استنفاده سبل الانتصاف المحلية.</w:t>
      </w:r>
    </w:p>
    <w:p w:rsidR="00CA6913" w:rsidRPr="005D5C37" w:rsidRDefault="00CA6913" w:rsidP="00CA6913">
      <w:pPr>
        <w:pStyle w:val="SingleTxtGA"/>
        <w:rPr>
          <w:rtl/>
          <w:lang w:eastAsia="zh-TW"/>
        </w:rPr>
      </w:pPr>
      <w:r w:rsidRPr="005D5C37">
        <w:rPr>
          <w:rtl/>
          <w:lang w:eastAsia="zh-TW"/>
        </w:rPr>
        <w:t>٤</w:t>
      </w:r>
      <w:r w:rsidR="0032534E">
        <w:rPr>
          <w:rtl/>
          <w:lang w:eastAsia="zh-TW"/>
        </w:rPr>
        <w:t>-</w:t>
      </w:r>
      <w:r w:rsidR="00CA3A78">
        <w:rPr>
          <w:rtl/>
          <w:lang w:eastAsia="zh-TW"/>
        </w:rPr>
        <w:t>٩</w:t>
      </w:r>
      <w:r w:rsidR="00CA3A78">
        <w:rPr>
          <w:rtl/>
          <w:lang w:eastAsia="zh-TW"/>
        </w:rPr>
        <w:tab/>
      </w:r>
      <w:r w:rsidRPr="005D5C37">
        <w:rPr>
          <w:rtl/>
          <w:lang w:eastAsia="zh-TW"/>
        </w:rPr>
        <w:t>وفي الحالة الثانية، إذا كانت المحكمة الأوروبية لحقوق الإنسان قد رفضت طلب</w:t>
      </w:r>
      <w:r w:rsidR="00003AC5">
        <w:rPr>
          <w:rtl/>
          <w:lang w:eastAsia="zh-TW"/>
        </w:rPr>
        <w:t xml:space="preserve">اً </w:t>
      </w:r>
      <w:r w:rsidRPr="005D5C37">
        <w:rPr>
          <w:rtl/>
          <w:lang w:eastAsia="zh-TW"/>
        </w:rPr>
        <w:t>تعتبره واهي</w:t>
      </w:r>
      <w:r w:rsidR="00003AC5">
        <w:rPr>
          <w:rtl/>
          <w:lang w:eastAsia="zh-TW"/>
        </w:rPr>
        <w:t xml:space="preserve">اً </w:t>
      </w:r>
      <w:r w:rsidRPr="005D5C37">
        <w:rPr>
          <w:rtl/>
          <w:lang w:eastAsia="zh-TW"/>
        </w:rPr>
        <w:t>بشكل ظاهر، فلا بد وأنها قد بحثت دعاوى مقدمي الطلب، وهذا يعني أنها راجعت الأسس الموضوعية للقضية. وكان هذا أيض</w:t>
      </w:r>
      <w:r w:rsidR="00003AC5">
        <w:rPr>
          <w:rtl/>
          <w:lang w:eastAsia="zh-TW"/>
        </w:rPr>
        <w:t xml:space="preserve">اً </w:t>
      </w:r>
      <w:r w:rsidRPr="005D5C37">
        <w:rPr>
          <w:rtl/>
          <w:lang w:eastAsia="zh-TW"/>
        </w:rPr>
        <w:t>سيترك اللجنة بلا ولاية قضائية، بسبب التحفظ المقدم من فرنسا.</w:t>
      </w:r>
    </w:p>
    <w:p w:rsidR="00CA6913" w:rsidRPr="005D5C37" w:rsidRDefault="00CA6913" w:rsidP="00CA6913">
      <w:pPr>
        <w:pStyle w:val="SingleTxtGA"/>
        <w:rPr>
          <w:rtl/>
          <w:lang w:eastAsia="zh-TW"/>
        </w:rPr>
      </w:pPr>
      <w:r w:rsidRPr="005D5C37">
        <w:rPr>
          <w:rtl/>
          <w:lang w:eastAsia="zh-TW"/>
        </w:rPr>
        <w:lastRenderedPageBreak/>
        <w:t>٤</w:t>
      </w:r>
      <w:r w:rsidR="0032534E">
        <w:rPr>
          <w:rtl/>
          <w:lang w:eastAsia="zh-TW"/>
        </w:rPr>
        <w:t>-</w:t>
      </w:r>
      <w:r w:rsidR="00CA3A78">
        <w:rPr>
          <w:rtl/>
          <w:lang w:eastAsia="zh-TW"/>
        </w:rPr>
        <w:t>١٠</w:t>
      </w:r>
      <w:r w:rsidR="00CA3A78">
        <w:rPr>
          <w:rtl/>
          <w:lang w:eastAsia="zh-TW"/>
        </w:rPr>
        <w:tab/>
      </w:r>
      <w:r w:rsidRPr="005D5C37">
        <w:rPr>
          <w:rtl/>
          <w:lang w:eastAsia="zh-TW"/>
        </w:rPr>
        <w:t>ولا يمكن قبول الحجة القائلة بأن القضية الحالية لا تنطبق عليها الحالة نفسها. فالطلب يتعلق بالوقائع نفسها وبالظروف نفسها التي قُدمت إلى المحكمة الأوروبية لحقوق الإنسان. وبالإضافة إلى ذلك، تثير هذه القضية المسائل نفسها.</w:t>
      </w:r>
      <w:r w:rsidR="001136FD">
        <w:rPr>
          <w:rtl/>
          <w:lang w:eastAsia="zh-TW"/>
        </w:rPr>
        <w:t xml:space="preserve"> </w:t>
      </w:r>
      <w:r w:rsidRPr="005D5C37">
        <w:rPr>
          <w:rtl/>
          <w:lang w:eastAsia="zh-TW"/>
        </w:rPr>
        <w:t>ونتيجة لذلك، ينبغي للجنة أن تعلن عدم مقبولية البلاغ.</w:t>
      </w:r>
    </w:p>
    <w:p w:rsidR="00CA6913" w:rsidRPr="005D5C37" w:rsidRDefault="00CA3A78" w:rsidP="00CA3A78">
      <w:pPr>
        <w:pStyle w:val="H23GA"/>
        <w:rPr>
          <w:rtl/>
        </w:rPr>
      </w:pPr>
      <w:r>
        <w:rPr>
          <w:rtl/>
        </w:rPr>
        <w:tab/>
      </w:r>
      <w:r>
        <w:rPr>
          <w:rtl/>
        </w:rPr>
        <w:tab/>
      </w:r>
      <w:r w:rsidR="00CA6913" w:rsidRPr="005D5C37">
        <w:rPr>
          <w:rtl/>
        </w:rPr>
        <w:t>تعليقات صاحبة البلاغ على ملاحظات الدولة الطرف بشأن المقبولية</w:t>
      </w:r>
    </w:p>
    <w:p w:rsidR="00CA6913" w:rsidRPr="005D5C37" w:rsidRDefault="00CA6913" w:rsidP="00CA6913">
      <w:pPr>
        <w:pStyle w:val="SingleTxtGA"/>
        <w:rPr>
          <w:rtl/>
          <w:lang w:eastAsia="zh-TW"/>
        </w:rPr>
      </w:pPr>
      <w:r w:rsidRPr="005D5C37">
        <w:rPr>
          <w:rtl/>
          <w:lang w:eastAsia="zh-TW"/>
        </w:rPr>
        <w:t>٥</w:t>
      </w:r>
      <w:r w:rsidR="0032534E">
        <w:rPr>
          <w:rtl/>
          <w:lang w:eastAsia="zh-TW"/>
        </w:rPr>
        <w:t>-</w:t>
      </w:r>
      <w:r w:rsidR="00CA3A78">
        <w:rPr>
          <w:rtl/>
          <w:lang w:eastAsia="zh-TW"/>
        </w:rPr>
        <w:t>١</w:t>
      </w:r>
      <w:r w:rsidR="00CA3A78">
        <w:rPr>
          <w:rtl/>
          <w:lang w:eastAsia="zh-TW"/>
        </w:rPr>
        <w:tab/>
      </w:r>
      <w:r w:rsidRPr="005D5C37">
        <w:rPr>
          <w:rtl/>
          <w:lang w:eastAsia="zh-TW"/>
        </w:rPr>
        <w:t>أشارت صاحبة البلاغ في ٢٠ تموز/يوليه ٢٠١٦ إلى أنه ليس لديها أي تعليقات إضافية تبديها، بعد أن عرضت بإسهاب حجة المقبولية القانونية في بلاغها الأولي.</w:t>
      </w:r>
    </w:p>
    <w:p w:rsidR="00CA6913" w:rsidRPr="005D5C37" w:rsidRDefault="00CA6913" w:rsidP="00CA6913">
      <w:pPr>
        <w:pStyle w:val="SingleTxtGA"/>
        <w:rPr>
          <w:rtl/>
          <w:lang w:eastAsia="zh-TW"/>
        </w:rPr>
      </w:pPr>
      <w:r w:rsidRPr="005D5C37">
        <w:rPr>
          <w:rtl/>
          <w:lang w:eastAsia="zh-TW"/>
        </w:rPr>
        <w:t>٥</w:t>
      </w:r>
      <w:r w:rsidR="0032534E">
        <w:rPr>
          <w:rtl/>
          <w:lang w:eastAsia="zh-TW"/>
        </w:rPr>
        <w:t>-</w:t>
      </w:r>
      <w:r w:rsidR="00CA3A78">
        <w:rPr>
          <w:rtl/>
          <w:lang w:eastAsia="zh-TW"/>
        </w:rPr>
        <w:t>٢</w:t>
      </w:r>
      <w:r w:rsidR="00CA3A78">
        <w:rPr>
          <w:rtl/>
          <w:lang w:eastAsia="zh-TW"/>
        </w:rPr>
        <w:tab/>
      </w:r>
      <w:r w:rsidRPr="005D5C37">
        <w:rPr>
          <w:rtl/>
          <w:lang w:eastAsia="zh-TW"/>
        </w:rPr>
        <w:t>ومع ذلك، تنوه صاحبة البلاغ إلى استخفاف الدولة الطرف التي أكدت أن الضرر بالغ بالمعنى المحدد في المادة 35 من الاتفاقية الأوروبية لحقوق الانسان، لكنها طلبت إلى اللجنة عدم النظر في الأسس الموضوعية للطلب، بينما وقعت صاحبة البلاغ بالفعل ضحية لإنكار العدالة أمام المحكمة الأوروبية لحقوق الإنسان ومحكمة النقض الفرنسية.</w:t>
      </w:r>
    </w:p>
    <w:p w:rsidR="00CA6913" w:rsidRPr="005D5C37" w:rsidRDefault="00CA3A78" w:rsidP="00CA3A78">
      <w:pPr>
        <w:pStyle w:val="H23GA"/>
        <w:rPr>
          <w:sz w:val="23"/>
          <w:rtl/>
        </w:rPr>
      </w:pPr>
      <w:r>
        <w:rPr>
          <w:rtl/>
        </w:rPr>
        <w:tab/>
      </w:r>
      <w:r>
        <w:rPr>
          <w:rtl/>
        </w:rPr>
        <w:tab/>
      </w:r>
      <w:r w:rsidR="00CA6913" w:rsidRPr="005D5C37">
        <w:rPr>
          <w:rtl/>
        </w:rPr>
        <w:t>قرار اللجنة بشأن المقبولية</w:t>
      </w:r>
    </w:p>
    <w:p w:rsidR="00CA6913" w:rsidRPr="005D5C37" w:rsidRDefault="00CA6913" w:rsidP="002329BA">
      <w:pPr>
        <w:pStyle w:val="SingleTxtGA"/>
        <w:rPr>
          <w:rtl/>
          <w:lang w:eastAsia="zh-TW"/>
        </w:rPr>
      </w:pPr>
      <w:r w:rsidRPr="005D5C37">
        <w:rPr>
          <w:rtl/>
          <w:lang w:eastAsia="zh-TW"/>
        </w:rPr>
        <w:t>٦</w:t>
      </w:r>
      <w:r w:rsidR="0032534E">
        <w:rPr>
          <w:rtl/>
          <w:lang w:eastAsia="zh-TW"/>
        </w:rPr>
        <w:t>-</w:t>
      </w:r>
      <w:r w:rsidR="00CA3A78">
        <w:rPr>
          <w:rtl/>
          <w:lang w:eastAsia="zh-TW"/>
        </w:rPr>
        <w:t>١</w:t>
      </w:r>
      <w:r w:rsidR="00CA3A78">
        <w:rPr>
          <w:rtl/>
          <w:lang w:eastAsia="zh-TW"/>
        </w:rPr>
        <w:tab/>
      </w:r>
      <w:r w:rsidRPr="005D5C37">
        <w:rPr>
          <w:rtl/>
          <w:lang w:eastAsia="zh-TW"/>
        </w:rPr>
        <w:t>نظرت اللجنة في مقبولية البلاغ في 26 تموز/يوليه 201</w:t>
      </w:r>
      <w:r w:rsidR="002329BA">
        <w:rPr>
          <w:rFonts w:hint="cs"/>
          <w:rtl/>
          <w:lang w:eastAsia="zh-TW"/>
        </w:rPr>
        <w:t>7</w:t>
      </w:r>
      <w:r w:rsidRPr="005D5C37">
        <w:rPr>
          <w:rtl/>
          <w:lang w:eastAsia="zh-TW"/>
        </w:rPr>
        <w:t>.</w:t>
      </w:r>
    </w:p>
    <w:p w:rsidR="00CA6913" w:rsidRPr="005D5C37" w:rsidRDefault="00CA6913" w:rsidP="00AF5311">
      <w:pPr>
        <w:pStyle w:val="SingleTxtGA"/>
        <w:rPr>
          <w:rtl/>
          <w:lang w:eastAsia="zh-TW"/>
        </w:rPr>
      </w:pPr>
      <w:r w:rsidRPr="005D5C37">
        <w:rPr>
          <w:rtl/>
          <w:lang w:eastAsia="zh-TW"/>
        </w:rPr>
        <w:t>٦</w:t>
      </w:r>
      <w:r w:rsidR="0032534E">
        <w:rPr>
          <w:rtl/>
          <w:lang w:eastAsia="zh-TW"/>
        </w:rPr>
        <w:t>-</w:t>
      </w:r>
      <w:r w:rsidR="006F74E5">
        <w:rPr>
          <w:rtl/>
          <w:lang w:eastAsia="zh-TW"/>
        </w:rPr>
        <w:t>٢</w:t>
      </w:r>
      <w:r w:rsidR="006F74E5">
        <w:rPr>
          <w:rtl/>
          <w:lang w:eastAsia="zh-TW"/>
        </w:rPr>
        <w:tab/>
      </w:r>
      <w:r w:rsidRPr="005D5C37">
        <w:rPr>
          <w:rtl/>
          <w:lang w:eastAsia="zh-TW"/>
        </w:rPr>
        <w:t>ولاحظت اللجنة أن صاحبة البلاغ قدمت طلب</w:t>
      </w:r>
      <w:r w:rsidR="00003AC5">
        <w:rPr>
          <w:rtl/>
          <w:lang w:eastAsia="zh-TW"/>
        </w:rPr>
        <w:t xml:space="preserve">اً </w:t>
      </w:r>
      <w:r w:rsidRPr="005D5C37">
        <w:rPr>
          <w:rtl/>
          <w:lang w:eastAsia="zh-TW"/>
        </w:rPr>
        <w:t>يتعلق بالأحداث نفسها أمام المحكمة الأوروبية لحقوق الإنسان، وأنها كانت قد أُبلغت في رسالة مؤرخة ١١ أيلول/سبتمبر ٢٠١٤ بأن قاضي</w:t>
      </w:r>
      <w:r w:rsidR="00003AC5">
        <w:rPr>
          <w:rtl/>
          <w:lang w:eastAsia="zh-TW"/>
        </w:rPr>
        <w:t xml:space="preserve">اً </w:t>
      </w:r>
      <w:r w:rsidRPr="005D5C37">
        <w:rPr>
          <w:rtl/>
          <w:lang w:eastAsia="zh-TW"/>
        </w:rPr>
        <w:t>منفرداً أعلن "عدم مقبولية الطلب لعدم استيفاء شروط المقبولية المبينة في المادتين ٣٤ و٣٥ من الاتفاقية". وذكّرت اللجنة بأن فرنسا أبدت تحفظ</w:t>
      </w:r>
      <w:r w:rsidR="00E4548E">
        <w:rPr>
          <w:rtl/>
          <w:lang w:eastAsia="zh-TW"/>
        </w:rPr>
        <w:t>اً،</w:t>
      </w:r>
      <w:r w:rsidRPr="005D5C37">
        <w:rPr>
          <w:rtl/>
          <w:lang w:eastAsia="zh-TW"/>
        </w:rPr>
        <w:t xml:space="preserve"> عند تصديقها على البروتوكول الاختياري، يستبعد اختصاص اللجنة فيما يتعلق بالقضايا التي سبق النظر فيها </w:t>
      </w:r>
      <w:r w:rsidR="0032534E">
        <w:rPr>
          <w:rtl/>
          <w:lang w:eastAsia="zh-TW"/>
        </w:rPr>
        <w:t>-</w:t>
      </w:r>
      <w:r w:rsidRPr="005D5C37">
        <w:rPr>
          <w:rtl/>
          <w:lang w:eastAsia="zh-TW"/>
        </w:rPr>
        <w:t xml:space="preserve"> أو لا يزال النظر فيها قائم</w:t>
      </w:r>
      <w:r w:rsidR="00003AC5">
        <w:rPr>
          <w:rtl/>
          <w:lang w:eastAsia="zh-TW"/>
        </w:rPr>
        <w:t xml:space="preserve">اً </w:t>
      </w:r>
      <w:r w:rsidR="0032534E">
        <w:rPr>
          <w:rtl/>
          <w:lang w:eastAsia="zh-TW"/>
        </w:rPr>
        <w:t>-</w:t>
      </w:r>
      <w:r w:rsidRPr="005D5C37">
        <w:rPr>
          <w:rtl/>
          <w:lang w:eastAsia="zh-TW"/>
        </w:rPr>
        <w:t xml:space="preserve"> بموجب إجراء آخر من إجراءات التحقيق الدولي أو التسوية الدولية. غير أن اللجنة لاحظت من الرسالة الموجهة من المحكمة أنه لا يبدو أن عدم مقبولية طلب صاحبة البلاغ قد أُعلن لأسباب إجرائية محضة، وأنه لا يبدو من الطابع المقتضب لتعليل المحكمة أن هناك حجة أو توضيحات تتعلق بقرار عدم المقبولية قد قُدمت إلى صاحبة البلاغ لتبرير رفض الطلب استناد</w:t>
      </w:r>
      <w:r w:rsidR="00003AC5">
        <w:rPr>
          <w:rtl/>
          <w:lang w:eastAsia="zh-TW"/>
        </w:rPr>
        <w:t xml:space="preserve">اً </w:t>
      </w:r>
      <w:r w:rsidRPr="005D5C37">
        <w:rPr>
          <w:rtl/>
          <w:lang w:eastAsia="zh-TW"/>
        </w:rPr>
        <w:t>إلى الأسس الموضوعية. وبناء عليه، ترى اللجنة أنها ليست في وضع يسمح لها بأن تبت يقيناً فيما إذا كانت القضية التي تعرضها صاحبة البلاغ قد حظيت، ولو بشكل محدود، ببحث لأسسها الموضوعية</w:t>
      </w:r>
      <w:r w:rsidR="00AF5311" w:rsidRPr="00AF5311">
        <w:rPr>
          <w:rFonts w:hint="cs"/>
          <w:vertAlign w:val="superscript"/>
          <w:rtl/>
          <w:lang w:eastAsia="zh-TW"/>
        </w:rPr>
        <w:t>(</w:t>
      </w:r>
      <w:r w:rsidR="00AF5311" w:rsidRPr="00AF5311">
        <w:rPr>
          <w:rStyle w:val="FootnoteReference"/>
          <w:sz w:val="20"/>
          <w:szCs w:val="30"/>
          <w:rtl/>
          <w:lang w:eastAsia="zh-TW"/>
        </w:rPr>
        <w:footnoteReference w:id="16"/>
      </w:r>
      <w:r w:rsidR="00AF5311" w:rsidRPr="00AF5311">
        <w:rPr>
          <w:rFonts w:hint="cs"/>
          <w:vertAlign w:val="superscript"/>
          <w:rtl/>
          <w:lang w:eastAsia="zh-TW"/>
        </w:rPr>
        <w:t>)</w:t>
      </w:r>
      <w:r w:rsidRPr="005D5C37">
        <w:rPr>
          <w:rtl/>
          <w:lang w:eastAsia="zh-TW"/>
        </w:rPr>
        <w:t>،</w:t>
      </w:r>
      <w:r w:rsidR="00AF5311">
        <w:rPr>
          <w:rFonts w:hint="cs"/>
          <w:rtl/>
          <w:lang w:eastAsia="zh-TW"/>
        </w:rPr>
        <w:t xml:space="preserve"> </w:t>
      </w:r>
      <w:r w:rsidRPr="005D5C37">
        <w:rPr>
          <w:rtl/>
          <w:lang w:eastAsia="zh-TW"/>
        </w:rPr>
        <w:t>بالمعنى المحدد في التحفظ الذي أبدته فرنسا. ولهذه الأسباب، ترى اللجنة أن التحفظ الذي أبدته فرنسا بشأن المادة 5(2) من البروتوكول الاختياري لا يشكل، في حد ذاته، عائقاً يحول دون نظر اللجنة في الأسس الموضوعية.</w:t>
      </w:r>
    </w:p>
    <w:p w:rsidR="00CA6913" w:rsidRPr="005D5C37" w:rsidRDefault="00CA6913" w:rsidP="00E46011">
      <w:pPr>
        <w:pStyle w:val="SingleTxtGA"/>
        <w:rPr>
          <w:rtl/>
          <w:lang w:eastAsia="zh-TW"/>
        </w:rPr>
      </w:pPr>
      <w:r w:rsidRPr="005D5C37">
        <w:rPr>
          <w:rtl/>
          <w:lang w:eastAsia="zh-TW"/>
        </w:rPr>
        <w:t>٦</w:t>
      </w:r>
      <w:r w:rsidR="0032534E">
        <w:rPr>
          <w:rtl/>
          <w:lang w:eastAsia="zh-TW"/>
        </w:rPr>
        <w:t>-٣</w:t>
      </w:r>
      <w:r w:rsidR="0032534E">
        <w:rPr>
          <w:rtl/>
          <w:lang w:eastAsia="zh-TW"/>
        </w:rPr>
        <w:tab/>
      </w:r>
      <w:r w:rsidRPr="005D5C37">
        <w:rPr>
          <w:rtl/>
          <w:lang w:eastAsia="zh-TW"/>
        </w:rPr>
        <w:t>وفيما يتعلق بشرط استنفاد سبل الانتصاف المحلية المنصوص عليه في المادة 5(2)</w:t>
      </w:r>
      <w:r w:rsidR="0032534E">
        <w:rPr>
          <w:rFonts w:hint="cs"/>
          <w:rtl/>
          <w:lang w:eastAsia="zh-TW"/>
        </w:rPr>
        <w:t>(</w:t>
      </w:r>
      <w:r w:rsidRPr="005D5C37">
        <w:rPr>
          <w:rtl/>
          <w:lang w:eastAsia="zh-TW"/>
        </w:rPr>
        <w:t>ب) من البروتوكول الاختياري، لاحظت اللجنة أن صاحبة البلاغ لم ترفع شكواها الموضوعية بانتهاك حقوقها، المعروضة حالياً على اللجنة، إلا في أثناء طلبها الطعن في الحكم أمام الدائرة الجنائية لمحكمة النقض التي خلصت إلى عدم قبول الأسباب لأنه كان ينبغي الاحتجاج بها أمام المحكمة الأدنى درجة. ومع ذلك، لاحظت اللجنة أيض</w:t>
      </w:r>
      <w:r w:rsidR="00003AC5">
        <w:rPr>
          <w:rtl/>
          <w:lang w:eastAsia="zh-TW"/>
        </w:rPr>
        <w:t xml:space="preserve">اً </w:t>
      </w:r>
      <w:r w:rsidRPr="005D5C37">
        <w:rPr>
          <w:rtl/>
          <w:lang w:eastAsia="zh-TW"/>
        </w:rPr>
        <w:t xml:space="preserve">ما ذكرته صاحبة البلاغ من أن الفرصة الوحيدة </w:t>
      </w:r>
      <w:r w:rsidRPr="005D5C37">
        <w:rPr>
          <w:rtl/>
          <w:lang w:eastAsia="zh-TW"/>
        </w:rPr>
        <w:lastRenderedPageBreak/>
        <w:t>التي سنحت لها لطرح ادعاءاتها قبل تقديمها إلى محكمة النقض كانت إثارتها أمام المحكمة المحلية. وأشارت صاحبة البلاغ في هذا الصدد إلى أن إجراءات المحكمة المحلية كانت سريعة للغاية، وأن المحكمة كانت مكونة من قاض منفرد، ليس عامة</w:t>
      </w:r>
      <w:r w:rsidR="009D0020">
        <w:rPr>
          <w:rFonts w:hint="cs"/>
          <w:rtl/>
          <w:lang w:eastAsia="zh-TW"/>
        </w:rPr>
        <w:t>ً</w:t>
      </w:r>
      <w:r w:rsidRPr="005D5C37">
        <w:rPr>
          <w:rtl/>
          <w:lang w:eastAsia="zh-TW"/>
        </w:rPr>
        <w:t xml:space="preserve"> بقاض محترف، وأنها لم تحصل على مساعدة من محام. وتدفع صاحبة البلاغ كذلك بأن تقديم ادعاءاتها إلى محكمة النقض كان سليم</w:t>
      </w:r>
      <w:r w:rsidR="00E4548E">
        <w:rPr>
          <w:rtl/>
          <w:lang w:eastAsia="zh-TW"/>
        </w:rPr>
        <w:t>اً،</w:t>
      </w:r>
      <w:r w:rsidRPr="005D5C37">
        <w:rPr>
          <w:rtl/>
          <w:lang w:eastAsia="zh-TW"/>
        </w:rPr>
        <w:t xml:space="preserve"> بما</w:t>
      </w:r>
      <w:r w:rsidR="00E46011">
        <w:rPr>
          <w:rFonts w:hint="cs"/>
          <w:rtl/>
          <w:lang w:eastAsia="zh-TW"/>
        </w:rPr>
        <w:t> </w:t>
      </w:r>
      <w:r w:rsidRPr="005D5C37">
        <w:rPr>
          <w:rtl/>
          <w:lang w:eastAsia="zh-TW"/>
        </w:rPr>
        <w:t>أنها كانت تستند، كما في قضايا مراجعة الدستورية اللاحقة، إلى أسباب "قانونية خالصة" بالمعنى المحدد في المادة 619 من قانون الإجراءات المدنية.</w:t>
      </w:r>
    </w:p>
    <w:p w:rsidR="00CA6913" w:rsidRPr="005D5C37" w:rsidRDefault="00CA6913" w:rsidP="00AF5311">
      <w:pPr>
        <w:pStyle w:val="SingleTxtGA"/>
        <w:rPr>
          <w:rtl/>
          <w:lang w:eastAsia="zh-TW"/>
        </w:rPr>
      </w:pPr>
      <w:r w:rsidRPr="005D5C37">
        <w:rPr>
          <w:rtl/>
          <w:lang w:eastAsia="zh-TW"/>
        </w:rPr>
        <w:t>٦</w:t>
      </w:r>
      <w:r w:rsidR="0032534E">
        <w:rPr>
          <w:rtl/>
          <w:lang w:eastAsia="zh-TW"/>
        </w:rPr>
        <w:t>-٤</w:t>
      </w:r>
      <w:r w:rsidR="0032534E">
        <w:rPr>
          <w:rtl/>
          <w:lang w:eastAsia="zh-TW"/>
        </w:rPr>
        <w:tab/>
      </w:r>
      <w:r w:rsidRPr="005D5C37">
        <w:rPr>
          <w:rtl/>
          <w:lang w:eastAsia="zh-TW"/>
        </w:rPr>
        <w:t xml:space="preserve">ولاحظت اللجنة أن الدولة الطرف لم تعترض على هذه الادعاءات، لا سيما تلك المتعلقة بالإجراءات أمام المحكمة المحلية، وبإتاحتها، وفعاليتها فيما يتعلق بحالة صاحبة البلاغ. ولاحظت اللجنة كذلك أن المحكمة المحلية مكان عام، يشكل ارتداء النقاب فيه مخالفة جنائية بموجب القانون، وأن الدولة الطرف أشارت في ملاحظاتها إلى أن صاحبة البلاغ عندما حاولت حضور جلسة محكمة القاضي المحلي، حُكم عليها للمرة الثانية بدفع غرامة لأنها رفضت خلع نقابها خلال التفتيش الأمني، وأنها لم تحضر الجلسة في نهاية المطاف. ولاحظت اللجنة أيضاً أن </w:t>
      </w:r>
      <w:r w:rsidRPr="005D5C37">
        <w:rPr>
          <w:i/>
          <w:iCs/>
          <w:rtl/>
          <w:lang w:eastAsia="zh-TW"/>
        </w:rPr>
        <w:t xml:space="preserve">قضية </w:t>
      </w:r>
      <w:r w:rsidRPr="005D5C37">
        <w:rPr>
          <w:rtl/>
          <w:lang w:eastAsia="zh-TW"/>
        </w:rPr>
        <w:t xml:space="preserve">ب. </w:t>
      </w:r>
      <w:r w:rsidRPr="005D5C37">
        <w:rPr>
          <w:i/>
          <w:iCs/>
          <w:rtl/>
          <w:lang w:eastAsia="zh-TW"/>
        </w:rPr>
        <w:t>سينغ ضد فرنسا</w:t>
      </w:r>
      <w:r w:rsidRPr="005D5C37">
        <w:rPr>
          <w:rtl/>
          <w:lang w:eastAsia="zh-TW"/>
        </w:rPr>
        <w:t xml:space="preserve"> التي احتجت بها الدولة الطرف لا تتعلق بإجراء جنائي يتعين فيه ضمان الحق في الطعن، وأن صاحب البلاغ في هذه القضية أتيحت له فرصة تقديم شكاواه أمام محكمتين أدنى درجة قبل محاولته طرح شكاوى جديدة أمام محكمة النقض. وعلى النقيض من ذلك، ارتأت اللجنة في القضية الحالية أن صاحبة البلاغ لم تتمكن من إعادة النظر في شكاواها أمام محكمة أخرى غير محكمة النقض</w:t>
      </w:r>
      <w:r w:rsidR="00AF5311" w:rsidRPr="00AF5311">
        <w:rPr>
          <w:rFonts w:hint="cs"/>
          <w:vertAlign w:val="superscript"/>
          <w:rtl/>
          <w:lang w:eastAsia="zh-TW"/>
        </w:rPr>
        <w:t>(</w:t>
      </w:r>
      <w:r w:rsidR="00AF5311" w:rsidRPr="00AF5311">
        <w:rPr>
          <w:rStyle w:val="FootnoteReference"/>
          <w:sz w:val="20"/>
          <w:szCs w:val="30"/>
          <w:rtl/>
          <w:lang w:eastAsia="zh-TW"/>
        </w:rPr>
        <w:footnoteReference w:id="17"/>
      </w:r>
      <w:r w:rsidR="00AF5311" w:rsidRPr="00AF5311">
        <w:rPr>
          <w:rFonts w:hint="cs"/>
          <w:vertAlign w:val="superscript"/>
          <w:rtl/>
          <w:lang w:eastAsia="zh-TW"/>
        </w:rPr>
        <w:t>)</w:t>
      </w:r>
      <w:r w:rsidRPr="005D5C37">
        <w:rPr>
          <w:rtl/>
          <w:lang w:eastAsia="zh-TW"/>
        </w:rPr>
        <w:t>، وخلصت إلى أن سبل الانتصاف المحلية المتاحة بشكل معقول قد استنفدت.</w:t>
      </w:r>
    </w:p>
    <w:p w:rsidR="00CA6913" w:rsidRPr="005D5C37" w:rsidRDefault="00CA6913" w:rsidP="00CA6913">
      <w:pPr>
        <w:pStyle w:val="SingleTxtGA"/>
        <w:rPr>
          <w:rtl/>
          <w:lang w:eastAsia="zh-TW"/>
        </w:rPr>
      </w:pPr>
      <w:r w:rsidRPr="005D5C37">
        <w:rPr>
          <w:rtl/>
          <w:lang w:eastAsia="zh-TW"/>
        </w:rPr>
        <w:t>٦</w:t>
      </w:r>
      <w:r w:rsidR="0032534E">
        <w:rPr>
          <w:rtl/>
          <w:lang w:eastAsia="zh-TW"/>
        </w:rPr>
        <w:t>-٥</w:t>
      </w:r>
      <w:r w:rsidR="0032534E">
        <w:rPr>
          <w:rtl/>
          <w:lang w:eastAsia="zh-TW"/>
        </w:rPr>
        <w:tab/>
      </w:r>
      <w:r w:rsidRPr="005D5C37">
        <w:rPr>
          <w:rtl/>
          <w:lang w:eastAsia="zh-TW"/>
        </w:rPr>
        <w:t xml:space="preserve">وأعلنت اللجنة أن البلاغ مقبول بقدر ما يطرح مسائل تتصل بالمادتين 18 و26 من العهد. </w:t>
      </w:r>
    </w:p>
    <w:p w:rsidR="00CA6913" w:rsidRPr="005D5C37" w:rsidRDefault="0032534E" w:rsidP="0032534E">
      <w:pPr>
        <w:pStyle w:val="H23GA"/>
        <w:rPr>
          <w:rtl/>
        </w:rPr>
      </w:pPr>
      <w:r>
        <w:rPr>
          <w:rtl/>
        </w:rPr>
        <w:tab/>
      </w:r>
      <w:r>
        <w:rPr>
          <w:rtl/>
        </w:rPr>
        <w:tab/>
      </w:r>
      <w:r w:rsidR="00CA6913" w:rsidRPr="005D5C37">
        <w:rPr>
          <w:rtl/>
        </w:rPr>
        <w:t>ملاحظات الدولة الطرف بشأن الأسس الموضوعية</w:t>
      </w:r>
    </w:p>
    <w:p w:rsidR="00CA6913" w:rsidRPr="005D5C37" w:rsidRDefault="00CA6913" w:rsidP="00CA6913">
      <w:pPr>
        <w:pStyle w:val="SingleTxtGA"/>
        <w:rPr>
          <w:rtl/>
          <w:lang w:eastAsia="zh-TW"/>
        </w:rPr>
      </w:pPr>
      <w:r w:rsidRPr="005D5C37">
        <w:rPr>
          <w:rtl/>
          <w:lang w:eastAsia="zh-TW"/>
        </w:rPr>
        <w:t>٧</w:t>
      </w:r>
      <w:r w:rsidR="0032534E">
        <w:rPr>
          <w:rtl/>
          <w:lang w:eastAsia="zh-TW"/>
        </w:rPr>
        <w:t>-١</w:t>
      </w:r>
      <w:r w:rsidR="0032534E">
        <w:rPr>
          <w:rtl/>
          <w:lang w:eastAsia="zh-TW"/>
        </w:rPr>
        <w:tab/>
      </w:r>
      <w:r w:rsidRPr="005D5C37">
        <w:rPr>
          <w:rtl/>
          <w:lang w:eastAsia="zh-TW"/>
        </w:rPr>
        <w:t>تدفع الدولة الطرف في ملاحظاتها بشأن الأسس الموضوعية للبلاغ المؤرخة ١٦ أيلول/سبتمبر ٢٠١٦، بأن القانون رقم ٢٠١٠</w:t>
      </w:r>
      <w:r w:rsidR="0032534E">
        <w:rPr>
          <w:rtl/>
          <w:lang w:eastAsia="zh-TW"/>
        </w:rPr>
        <w:t>-</w:t>
      </w:r>
      <w:r w:rsidRPr="005D5C37">
        <w:rPr>
          <w:rtl/>
          <w:lang w:eastAsia="zh-TW"/>
        </w:rPr>
        <w:t xml:space="preserve">١١٩٢ اعتمدته الجمعية الوطنية ومجلس الشيوخ مع اعتراض صوت واحد فقط، بعد مناقشة ديمقراطية واسعة النطاق. وأنشئت لجنة برلمانية في هذا السياق، جمعت بين ممثلين منتخبين من جميع الأطياف السياسية، وشرعت في الاستماع إلى الآراء المختلفة للعديد من الأشخاص من داخل المجتمع المدني، بمن فيهم مسلمون وغير مسلمين. </w:t>
      </w:r>
    </w:p>
    <w:p w:rsidR="00CA6913" w:rsidRPr="005D5C37" w:rsidRDefault="00CA6913" w:rsidP="00AF5311">
      <w:pPr>
        <w:pStyle w:val="SingleTxtGA"/>
        <w:rPr>
          <w:rtl/>
          <w:lang w:eastAsia="zh-TW"/>
        </w:rPr>
      </w:pPr>
      <w:r w:rsidRPr="005D5C37">
        <w:rPr>
          <w:rtl/>
          <w:lang w:eastAsia="zh-TW"/>
        </w:rPr>
        <w:t>٧</w:t>
      </w:r>
      <w:r w:rsidR="0032534E">
        <w:rPr>
          <w:rtl/>
          <w:lang w:eastAsia="zh-TW"/>
        </w:rPr>
        <w:t>-٢</w:t>
      </w:r>
      <w:r w:rsidR="0032534E">
        <w:rPr>
          <w:rtl/>
          <w:lang w:eastAsia="zh-TW"/>
        </w:rPr>
        <w:tab/>
      </w:r>
      <w:r w:rsidRPr="005D5C37">
        <w:rPr>
          <w:rtl/>
          <w:lang w:eastAsia="zh-TW"/>
        </w:rPr>
        <w:t>وتفيد الدولة الطرف بأن الجمعية الوطنية اتخذت قرار</w:t>
      </w:r>
      <w:r w:rsidR="00E46011">
        <w:rPr>
          <w:rtl/>
          <w:lang w:eastAsia="zh-TW"/>
        </w:rPr>
        <w:t xml:space="preserve">اً </w:t>
      </w:r>
      <w:r w:rsidRPr="005D5C37">
        <w:rPr>
          <w:rtl/>
          <w:lang w:eastAsia="zh-TW"/>
        </w:rPr>
        <w:t xml:space="preserve">في ١١ أيار/مايو ٢٠١٠ </w:t>
      </w:r>
      <w:r w:rsidR="0032534E">
        <w:rPr>
          <w:rtl/>
          <w:lang w:eastAsia="zh-TW"/>
        </w:rPr>
        <w:t>-</w:t>
      </w:r>
      <w:r w:rsidRPr="005D5C37">
        <w:rPr>
          <w:rtl/>
          <w:lang w:eastAsia="zh-TW"/>
        </w:rPr>
        <w:t xml:space="preserve"> قبل اعتماد هذا قانون </w:t>
      </w:r>
      <w:r w:rsidR="0032534E">
        <w:rPr>
          <w:rtl/>
          <w:lang w:eastAsia="zh-TW"/>
        </w:rPr>
        <w:t>-</w:t>
      </w:r>
      <w:r w:rsidRPr="005D5C37">
        <w:rPr>
          <w:rtl/>
          <w:lang w:eastAsia="zh-TW"/>
        </w:rPr>
        <w:t xml:space="preserve"> ينص على أن "الممارسات الأصولية التي تقوض الكرامة والمساواة بين الرجل والمرأة، ومن بينها النقاب، تتنافى مع قيم الجمهورية"، ويدعو إلى اتباع جميع الوسائل </w:t>
      </w:r>
      <w:r w:rsidRPr="005D5C37">
        <w:rPr>
          <w:rtl/>
          <w:lang w:eastAsia="zh-TW"/>
        </w:rPr>
        <w:lastRenderedPageBreak/>
        <w:t>المناسبة "لضمان توفير حماية فعالة للنساء اللاتي يعانين من الإكراه أو الضغط، ولا سيما أولئك اللاتي يجبرن على ارتداء النقاب"</w:t>
      </w:r>
      <w:r w:rsidR="00AF5311" w:rsidRPr="00AF5311">
        <w:rPr>
          <w:rFonts w:hint="cs"/>
          <w:vertAlign w:val="superscript"/>
          <w:rtl/>
          <w:lang w:eastAsia="zh-TW"/>
        </w:rPr>
        <w:t>(</w:t>
      </w:r>
      <w:r w:rsidR="00AF5311" w:rsidRPr="00AF5311">
        <w:rPr>
          <w:rStyle w:val="FootnoteReference"/>
          <w:sz w:val="20"/>
          <w:szCs w:val="30"/>
          <w:rtl/>
          <w:lang w:eastAsia="zh-TW"/>
        </w:rPr>
        <w:footnoteReference w:id="18"/>
      </w:r>
      <w:r w:rsidR="00AF5311" w:rsidRPr="00AF5311">
        <w:rPr>
          <w:rFonts w:hint="cs"/>
          <w:vertAlign w:val="superscript"/>
          <w:rtl/>
          <w:lang w:eastAsia="zh-TW"/>
        </w:rPr>
        <w:t>)</w:t>
      </w:r>
      <w:r w:rsidRPr="005D5C37">
        <w:rPr>
          <w:rtl/>
          <w:lang w:eastAsia="zh-TW"/>
        </w:rPr>
        <w:t>.</w:t>
      </w:r>
    </w:p>
    <w:p w:rsidR="00CA6913" w:rsidRPr="005D5C37" w:rsidRDefault="00CA6913" w:rsidP="00CA6913">
      <w:pPr>
        <w:pStyle w:val="SingleTxtGA"/>
        <w:rPr>
          <w:rtl/>
          <w:lang w:eastAsia="zh-TW"/>
        </w:rPr>
      </w:pPr>
      <w:r w:rsidRPr="005D5C37">
        <w:rPr>
          <w:rtl/>
          <w:lang w:eastAsia="zh-TW"/>
        </w:rPr>
        <w:t>٧</w:t>
      </w:r>
      <w:r w:rsidR="0032534E">
        <w:rPr>
          <w:rtl/>
          <w:lang w:eastAsia="zh-TW"/>
        </w:rPr>
        <w:t>-٣</w:t>
      </w:r>
      <w:r w:rsidR="0032534E">
        <w:rPr>
          <w:rtl/>
          <w:lang w:eastAsia="zh-TW"/>
        </w:rPr>
        <w:tab/>
      </w:r>
      <w:r w:rsidRPr="005D5C37">
        <w:rPr>
          <w:rtl/>
          <w:lang w:eastAsia="zh-TW"/>
        </w:rPr>
        <w:t>وتشير الدولة الطرف إلى أن الحظر العام المنصوص عليه في القانون محدود للغاية في هدفه، بما أنه لا يتعلق إلا بإخفاء الوجه. وعلاوة على ذلك، فإن هذا التدبير ضروري للدفاع عن المبادئ التي حفزت على اعتماده، والعقوبات المقترنة به متناسبة، حيث إن الهيئة التشريعية قد أولت الأولوية لاتباع نهج تثقيفي. وهكذا، يحقق هذا الحق، وفق</w:t>
      </w:r>
      <w:r w:rsidR="00E46011">
        <w:rPr>
          <w:rtl/>
          <w:lang w:eastAsia="zh-TW"/>
        </w:rPr>
        <w:t xml:space="preserve">اً </w:t>
      </w:r>
      <w:r w:rsidRPr="005D5C37">
        <w:rPr>
          <w:rtl/>
          <w:lang w:eastAsia="zh-TW"/>
        </w:rPr>
        <w:t>للدولة الطرف، توازن</w:t>
      </w:r>
      <w:r w:rsidR="00E46011">
        <w:rPr>
          <w:rtl/>
          <w:lang w:eastAsia="zh-TW"/>
        </w:rPr>
        <w:t xml:space="preserve">اً </w:t>
      </w:r>
      <w:r w:rsidRPr="005D5C37">
        <w:rPr>
          <w:rtl/>
          <w:lang w:eastAsia="zh-TW"/>
        </w:rPr>
        <w:t>معقول</w:t>
      </w:r>
      <w:r w:rsidR="00E46011">
        <w:rPr>
          <w:rtl/>
          <w:lang w:eastAsia="zh-TW"/>
        </w:rPr>
        <w:t xml:space="preserve">اً </w:t>
      </w:r>
      <w:r w:rsidRPr="005D5C37">
        <w:rPr>
          <w:rtl/>
          <w:lang w:eastAsia="zh-TW"/>
        </w:rPr>
        <w:t>بين الحفاظ على المبادئ الأساسية في المجتمع الديمقراطي وحرية ارتداء الملابس وفق</w:t>
      </w:r>
      <w:r w:rsidR="00E46011">
        <w:rPr>
          <w:rtl/>
          <w:lang w:eastAsia="zh-TW"/>
        </w:rPr>
        <w:t xml:space="preserve">اً </w:t>
      </w:r>
      <w:r w:rsidRPr="005D5C37">
        <w:rPr>
          <w:rtl/>
          <w:lang w:eastAsia="zh-TW"/>
        </w:rPr>
        <w:t>لدين الشخص أو معتقداته الأخرى.</w:t>
      </w:r>
    </w:p>
    <w:p w:rsidR="00CA6913" w:rsidRPr="005D5C37" w:rsidRDefault="00CA6913" w:rsidP="00CA6913">
      <w:pPr>
        <w:pStyle w:val="SingleTxtGA"/>
        <w:rPr>
          <w:rtl/>
          <w:lang w:eastAsia="zh-TW"/>
        </w:rPr>
      </w:pPr>
      <w:r w:rsidRPr="005D5C37">
        <w:rPr>
          <w:rtl/>
          <w:lang w:eastAsia="zh-TW"/>
        </w:rPr>
        <w:t>٧</w:t>
      </w:r>
      <w:r w:rsidR="0032534E">
        <w:rPr>
          <w:rtl/>
          <w:lang w:eastAsia="zh-TW"/>
        </w:rPr>
        <w:t>-٤</w:t>
      </w:r>
      <w:r w:rsidR="0032534E">
        <w:rPr>
          <w:rtl/>
          <w:lang w:eastAsia="zh-TW"/>
        </w:rPr>
        <w:tab/>
      </w:r>
      <w:r w:rsidRPr="005D5C37">
        <w:rPr>
          <w:rtl/>
          <w:lang w:eastAsia="zh-TW"/>
        </w:rPr>
        <w:t>وتشدد الدولة الطرف على أنها ليست الوحيدة التي تحظر ارتداء الملابس التي تخفي الوجه في الأماكن العامة. فالبرلمان الاتحادي في بلجيكا أقر حظر</w:t>
      </w:r>
      <w:r w:rsidR="00E46011">
        <w:rPr>
          <w:rtl/>
          <w:lang w:eastAsia="zh-TW"/>
        </w:rPr>
        <w:t xml:space="preserve">اً </w:t>
      </w:r>
      <w:r w:rsidRPr="005D5C37">
        <w:rPr>
          <w:rtl/>
          <w:lang w:eastAsia="zh-TW"/>
        </w:rPr>
        <w:t>متطابق</w:t>
      </w:r>
      <w:r w:rsidR="00E4548E">
        <w:rPr>
          <w:rtl/>
          <w:lang w:eastAsia="zh-TW"/>
        </w:rPr>
        <w:t>اً،</w:t>
      </w:r>
      <w:r w:rsidRPr="005D5C37">
        <w:rPr>
          <w:rtl/>
          <w:lang w:eastAsia="zh-TW"/>
        </w:rPr>
        <w:t xml:space="preserve"> بينما أقر أيضاً مجلس نواب البرلمان الإيطالي مشروع قانون لهذا الغرض.</w:t>
      </w:r>
    </w:p>
    <w:p w:rsidR="00CA6913" w:rsidRPr="005D5C37" w:rsidRDefault="00CA6913" w:rsidP="00CA6913">
      <w:pPr>
        <w:pStyle w:val="SingleTxtGA"/>
        <w:rPr>
          <w:rtl/>
          <w:lang w:eastAsia="zh-TW"/>
        </w:rPr>
      </w:pPr>
      <w:r w:rsidRPr="005D5C37">
        <w:rPr>
          <w:rtl/>
          <w:lang w:eastAsia="zh-TW"/>
        </w:rPr>
        <w:t>٧</w:t>
      </w:r>
      <w:r w:rsidR="0032534E">
        <w:rPr>
          <w:rtl/>
          <w:lang w:eastAsia="zh-TW"/>
        </w:rPr>
        <w:t>-٥</w:t>
      </w:r>
      <w:r w:rsidR="0032534E">
        <w:rPr>
          <w:rtl/>
          <w:lang w:eastAsia="zh-TW"/>
        </w:rPr>
        <w:tab/>
      </w:r>
      <w:r w:rsidRPr="005D5C37">
        <w:rPr>
          <w:rtl/>
          <w:lang w:eastAsia="zh-TW"/>
        </w:rPr>
        <w:t>وتضيف الدولة الطرف أن الحظر المنصوص عليه بموجب هذا القانون يشمل جميع الملابس التي يتمثل الغرض منها في إخفاء الوجه في الأماكن العامة، بغض النظر عن كيفية تحقيق ذلك أو السبب فيه. ولا تطبق أي معاملة خاصة فيما يتعلق بالملابس الجاري ارتداؤها لأسباب دينية أو ثقافية. ومع ذلك، فنظر</w:t>
      </w:r>
      <w:r w:rsidR="00E46011">
        <w:rPr>
          <w:rtl/>
          <w:lang w:eastAsia="zh-TW"/>
        </w:rPr>
        <w:t xml:space="preserve">اً </w:t>
      </w:r>
      <w:r w:rsidRPr="005D5C37">
        <w:rPr>
          <w:rtl/>
          <w:lang w:eastAsia="zh-TW"/>
        </w:rPr>
        <w:t xml:space="preserve">لأن بعض الملابس التي تهدف إلى إخفاء الوجه ترتدى لأسباب دينية، فقد يُنظر إلى الحظر على أنه "قيد" مفروض على حرية الفرد في المجاهرة بدينه أو معتقده (العادات الخارجية). </w:t>
      </w:r>
    </w:p>
    <w:p w:rsidR="00CA6913" w:rsidRPr="005D5C37" w:rsidRDefault="00CA6913" w:rsidP="00CA6913">
      <w:pPr>
        <w:pStyle w:val="SingleTxtGA"/>
        <w:rPr>
          <w:rtl/>
          <w:lang w:eastAsia="zh-TW"/>
        </w:rPr>
      </w:pPr>
      <w:r w:rsidRPr="005D5C37">
        <w:rPr>
          <w:rtl/>
          <w:lang w:eastAsia="zh-TW"/>
        </w:rPr>
        <w:t>٧</w:t>
      </w:r>
      <w:r w:rsidR="0032534E">
        <w:rPr>
          <w:rtl/>
          <w:lang w:eastAsia="zh-TW"/>
        </w:rPr>
        <w:t>-٦</w:t>
      </w:r>
      <w:r w:rsidR="0032534E">
        <w:rPr>
          <w:rtl/>
          <w:lang w:eastAsia="zh-TW"/>
        </w:rPr>
        <w:tab/>
      </w:r>
      <w:r w:rsidRPr="005D5C37">
        <w:rPr>
          <w:rtl/>
          <w:lang w:eastAsia="zh-TW"/>
        </w:rPr>
        <w:t>وتدفع الدولة الطرف بأن القيد المعني، في هذه القضية، منصوص عليه في القانون، وأن له هدف</w:t>
      </w:r>
      <w:r w:rsidR="00E46011">
        <w:rPr>
          <w:rtl/>
          <w:lang w:eastAsia="zh-TW"/>
        </w:rPr>
        <w:t xml:space="preserve">اً </w:t>
      </w:r>
      <w:r w:rsidRPr="005D5C37">
        <w:rPr>
          <w:rtl/>
          <w:lang w:eastAsia="zh-TW"/>
        </w:rPr>
        <w:t>مشروع</w:t>
      </w:r>
      <w:r w:rsidR="00E4548E">
        <w:rPr>
          <w:rtl/>
          <w:lang w:eastAsia="zh-TW"/>
        </w:rPr>
        <w:t>اً،</w:t>
      </w:r>
      <w:r w:rsidRPr="005D5C37">
        <w:rPr>
          <w:rtl/>
          <w:lang w:eastAsia="zh-TW"/>
        </w:rPr>
        <w:t xml:space="preserve"> وأنه متناسب سعي</w:t>
      </w:r>
      <w:r w:rsidR="00E46011">
        <w:rPr>
          <w:rtl/>
          <w:lang w:eastAsia="zh-TW"/>
        </w:rPr>
        <w:t xml:space="preserve">اً </w:t>
      </w:r>
      <w:r w:rsidRPr="005D5C37">
        <w:rPr>
          <w:rtl/>
          <w:lang w:eastAsia="zh-TW"/>
        </w:rPr>
        <w:t>إلى تحقيق ذلك الهدف المشروع. والحظر المفروض والاستثناءات المنصوص عليها منه مذكورة بعبارات واضحة ودقيقة. وتضيف الدولة الطرف أن التعميم المؤرخ ٢</w:t>
      </w:r>
      <w:r w:rsidRPr="005D5C37">
        <w:rPr>
          <w:rFonts w:hint="eastAsia"/>
          <w:rtl/>
          <w:lang w:eastAsia="zh-TW"/>
        </w:rPr>
        <w:t xml:space="preserve"> </w:t>
      </w:r>
      <w:r w:rsidRPr="005D5C37">
        <w:rPr>
          <w:rtl/>
          <w:lang w:eastAsia="zh-TW"/>
        </w:rPr>
        <w:t>آذار/مارس ٢٠١١ يقدم شرح</w:t>
      </w:r>
      <w:r w:rsidR="00E46011">
        <w:rPr>
          <w:rtl/>
          <w:lang w:eastAsia="zh-TW"/>
        </w:rPr>
        <w:t xml:space="preserve">اً </w:t>
      </w:r>
      <w:r w:rsidRPr="005D5C37">
        <w:rPr>
          <w:rtl/>
          <w:lang w:eastAsia="zh-TW"/>
        </w:rPr>
        <w:t>شامل</w:t>
      </w:r>
      <w:r w:rsidR="00E46011">
        <w:rPr>
          <w:rtl/>
          <w:lang w:eastAsia="zh-TW"/>
        </w:rPr>
        <w:t xml:space="preserve">اً </w:t>
      </w:r>
      <w:r w:rsidRPr="005D5C37">
        <w:rPr>
          <w:rtl/>
          <w:lang w:eastAsia="zh-TW"/>
        </w:rPr>
        <w:t xml:space="preserve">لنطاق القانون وترتيبات تنفيذه، اقترنت به حملة إعلامية في الأماكن العامة، وتوزيع للمنشورات في الأماكن الإدارية التعليمية، وموقع شبكي تثقيفي. وتؤكد الدولة الطرف كذلك أن القانون ينص على فترة ستة أشهر بين سنه ودخوله حيز النفاذ؛ ولذا، فهو يفي بشرط القابلية للتنبؤ، وكانت صاحبة البلاغ على علم بأنها معرضة للعقوبة. </w:t>
      </w:r>
    </w:p>
    <w:p w:rsidR="00CA6913" w:rsidRPr="005D5C37" w:rsidRDefault="00CA6913" w:rsidP="00E46011">
      <w:pPr>
        <w:pStyle w:val="SingleTxtGA"/>
        <w:rPr>
          <w:rtl/>
          <w:lang w:eastAsia="zh-TW"/>
        </w:rPr>
      </w:pPr>
      <w:r w:rsidRPr="005D5C37">
        <w:rPr>
          <w:rtl/>
          <w:lang w:eastAsia="zh-TW"/>
        </w:rPr>
        <w:t>٧</w:t>
      </w:r>
      <w:r w:rsidR="0032534E">
        <w:rPr>
          <w:rtl/>
          <w:lang w:eastAsia="zh-TW"/>
        </w:rPr>
        <w:t>-٧</w:t>
      </w:r>
      <w:r w:rsidR="0032534E">
        <w:rPr>
          <w:rtl/>
          <w:lang w:eastAsia="zh-TW"/>
        </w:rPr>
        <w:tab/>
      </w:r>
      <w:r w:rsidRPr="005D5C37">
        <w:rPr>
          <w:rtl/>
          <w:lang w:eastAsia="zh-TW"/>
        </w:rPr>
        <w:t>ويتمثل الهدفان المشروعان للقانون المطعون فيه في حماية حقوق الآخرين وحرياتهم وحماية النظام العام، وهما هدفان منصوص عليهما في المادة ١٨(٣) من العهد. ووفق</w:t>
      </w:r>
      <w:r w:rsidR="00E46011">
        <w:rPr>
          <w:rtl/>
          <w:lang w:eastAsia="zh-TW"/>
        </w:rPr>
        <w:t xml:space="preserve">اً </w:t>
      </w:r>
      <w:r w:rsidRPr="005D5C37">
        <w:rPr>
          <w:rtl/>
          <w:lang w:eastAsia="zh-TW"/>
        </w:rPr>
        <w:t>للدولة الطرف، فإن هذين الهدفين محددان بوضوح في بيان الغرض من هذا القانون، الذي يعيد التأكيد على قيم الجمهورية ومتطلبات العيش مع</w:t>
      </w:r>
      <w:r w:rsidR="00E4548E">
        <w:rPr>
          <w:rtl/>
          <w:lang w:eastAsia="zh-TW"/>
        </w:rPr>
        <w:t>اً.</w:t>
      </w:r>
      <w:r w:rsidRPr="005D5C37">
        <w:rPr>
          <w:rtl/>
          <w:lang w:eastAsia="zh-TW"/>
        </w:rPr>
        <w:t xml:space="preserve"> وفي هذا الصدد، خلصت المحكمة الأوروبية لحقوق الإنسان في حكمها الصادر في </w:t>
      </w:r>
      <w:r w:rsidRPr="005D5C37">
        <w:rPr>
          <w:i/>
          <w:iCs/>
          <w:rtl/>
          <w:lang w:eastAsia="zh-TW"/>
        </w:rPr>
        <w:t>قضية</w:t>
      </w:r>
      <w:r w:rsidR="00E46011">
        <w:rPr>
          <w:rFonts w:hint="cs"/>
          <w:i/>
          <w:iCs/>
          <w:rtl/>
          <w:lang w:eastAsia="zh-TW"/>
        </w:rPr>
        <w:t xml:space="preserve"> س. أ. س</w:t>
      </w:r>
      <w:r w:rsidRPr="005D5C37">
        <w:rPr>
          <w:i/>
          <w:iCs/>
          <w:rtl/>
          <w:lang w:eastAsia="zh-TW"/>
        </w:rPr>
        <w:t>. ضد فرنسا</w:t>
      </w:r>
      <w:r w:rsidRPr="005D5C37">
        <w:rPr>
          <w:rtl/>
          <w:lang w:eastAsia="zh-TW"/>
        </w:rPr>
        <w:t xml:space="preserve"> إلى أنه لا يمكن تبرير الحظر إلا</w:t>
      </w:r>
      <w:r w:rsidR="00E46011">
        <w:rPr>
          <w:rFonts w:hint="cs"/>
          <w:rtl/>
          <w:lang w:eastAsia="zh-TW"/>
        </w:rPr>
        <w:t> </w:t>
      </w:r>
      <w:r w:rsidRPr="005D5C37">
        <w:rPr>
          <w:rtl/>
          <w:lang w:eastAsia="zh-TW"/>
        </w:rPr>
        <w:t>بقدر ما يهدف إلى ضمان شروط "العيش معا</w:t>
      </w:r>
      <w:r w:rsidR="002329BA">
        <w:rPr>
          <w:rFonts w:hint="cs"/>
          <w:rtl/>
          <w:lang w:eastAsia="zh-TW"/>
        </w:rPr>
        <w:t>ً</w:t>
      </w:r>
      <w:r w:rsidRPr="005D5C37">
        <w:rPr>
          <w:rtl/>
          <w:lang w:eastAsia="zh-TW"/>
        </w:rPr>
        <w:t>" التي وصفتها حكومة فرنسا بأنها احترام المتطلبات الدنيا للحياة في المجتمع. وتحتج الدولة الطرف بأن الأماكن العامة هي المكان الرئيسي الذي فيه تحدث الحياة الاجتماعية ويتواصل الناس فيما بينهم. ويؤدي الوجه في هذه التفاعلات الاجتماعية دور</w:t>
      </w:r>
      <w:r w:rsidR="00E46011">
        <w:rPr>
          <w:rtl/>
          <w:lang w:eastAsia="zh-TW"/>
        </w:rPr>
        <w:t xml:space="preserve">اً </w:t>
      </w:r>
      <w:r w:rsidRPr="005D5C37">
        <w:rPr>
          <w:rtl/>
          <w:lang w:eastAsia="zh-TW"/>
        </w:rPr>
        <w:t>مهم</w:t>
      </w:r>
      <w:r w:rsidR="00E46011">
        <w:rPr>
          <w:rtl/>
          <w:lang w:eastAsia="zh-TW"/>
        </w:rPr>
        <w:t xml:space="preserve">اً </w:t>
      </w:r>
      <w:r w:rsidRPr="005D5C37">
        <w:rPr>
          <w:rtl/>
          <w:lang w:eastAsia="zh-TW"/>
        </w:rPr>
        <w:t xml:space="preserve">لأنه ذلك الجزء من الجسد الذي يعكس إنسانية المرء المشتركة مع من </w:t>
      </w:r>
      <w:r w:rsidRPr="005D5C37">
        <w:rPr>
          <w:rtl/>
          <w:lang w:eastAsia="zh-TW"/>
        </w:rPr>
        <w:lastRenderedPageBreak/>
        <w:t>يتحاور معه. ولا يقتصر إظهار الوجه على الإشارة إلى قبوله لأن يتعرف عليه الشخص المتحاور معه، بل إنه يشير أيض</w:t>
      </w:r>
      <w:r w:rsidR="00E46011">
        <w:rPr>
          <w:rtl/>
          <w:lang w:eastAsia="zh-TW"/>
        </w:rPr>
        <w:t xml:space="preserve">اً </w:t>
      </w:r>
      <w:r w:rsidRPr="005D5C37">
        <w:rPr>
          <w:rtl/>
          <w:lang w:eastAsia="zh-TW"/>
        </w:rPr>
        <w:t>إلى عدم إخفاء الإطار الذهني لتفاعله معه بصورة غير عادلة، ومن ثم فإنه مظهر يدل على الحد الأدنى من الثقة الضرورية للعيش معاً في مجتمع قائم على المساواة والانفتاح مثل فرنسا. ويحول إخفاء الوجه دون تحديد هوية الشخص، ومن المرجح أن يضعف التفاعل بين الأفراد ويقوض شروط العيش معاً في ظل التنوع.</w:t>
      </w:r>
    </w:p>
    <w:p w:rsidR="00CA6913" w:rsidRPr="005D5C37" w:rsidRDefault="00CA6913" w:rsidP="00F20777">
      <w:pPr>
        <w:pStyle w:val="SingleTxtGA"/>
        <w:rPr>
          <w:rtl/>
          <w:lang w:eastAsia="zh-TW"/>
        </w:rPr>
      </w:pPr>
      <w:r w:rsidRPr="005D5C37">
        <w:rPr>
          <w:rtl/>
          <w:lang w:eastAsia="zh-TW"/>
        </w:rPr>
        <w:t>٧</w:t>
      </w:r>
      <w:r w:rsidR="0032534E">
        <w:rPr>
          <w:rtl/>
          <w:lang w:eastAsia="zh-TW"/>
        </w:rPr>
        <w:t>-٨</w:t>
      </w:r>
      <w:r w:rsidR="0032534E">
        <w:rPr>
          <w:rtl/>
          <w:lang w:eastAsia="zh-TW"/>
        </w:rPr>
        <w:tab/>
      </w:r>
      <w:r w:rsidRPr="005D5C37">
        <w:rPr>
          <w:rtl/>
          <w:lang w:eastAsia="zh-TW"/>
        </w:rPr>
        <w:t>وتدفع الدولة الطرف بأن ضمانها للسلامة العامة والنظام العام يحتم عليها التمكن من تحديد هوية جميع الأفراد عند الضرورة من أجل تفادي المخاطر التي تهدد أمن الأشخاص أو</w:t>
      </w:r>
      <w:r w:rsidR="00F20777">
        <w:rPr>
          <w:rFonts w:hint="cs"/>
          <w:rtl/>
          <w:lang w:eastAsia="zh-TW"/>
        </w:rPr>
        <w:t> </w:t>
      </w:r>
      <w:r w:rsidRPr="005D5C37">
        <w:rPr>
          <w:rtl/>
          <w:lang w:eastAsia="zh-TW"/>
        </w:rPr>
        <w:t>الممتلكات ومن أجل مكافحة انتحال الهوية. ويستلزم ذلك كشف الناس عن وجوههم، ويبلغ هذا الشرط ذروة أهميته في سياق التهديد العالمي بالإرهاب</w:t>
      </w:r>
      <w:r w:rsidR="00AF5311" w:rsidRPr="00AF5311">
        <w:rPr>
          <w:rFonts w:hint="cs"/>
          <w:vertAlign w:val="superscript"/>
          <w:rtl/>
          <w:lang w:eastAsia="zh-TW"/>
        </w:rPr>
        <w:t>(</w:t>
      </w:r>
      <w:r w:rsidR="00AF5311" w:rsidRPr="00AF5311">
        <w:rPr>
          <w:rStyle w:val="FootnoteReference"/>
          <w:sz w:val="20"/>
          <w:szCs w:val="30"/>
          <w:rtl/>
          <w:lang w:eastAsia="zh-TW"/>
        </w:rPr>
        <w:footnoteReference w:id="19"/>
      </w:r>
      <w:r w:rsidR="00AF5311" w:rsidRPr="00AF5311">
        <w:rPr>
          <w:rFonts w:hint="cs"/>
          <w:vertAlign w:val="superscript"/>
          <w:rtl/>
          <w:lang w:eastAsia="zh-TW"/>
        </w:rPr>
        <w:t>)</w:t>
      </w:r>
      <w:r w:rsidRPr="005D5C37">
        <w:rPr>
          <w:rtl/>
          <w:lang w:eastAsia="zh-TW"/>
        </w:rPr>
        <w:t xml:space="preserve">. </w:t>
      </w:r>
    </w:p>
    <w:p w:rsidR="00CA6913" w:rsidRPr="005D5C37" w:rsidRDefault="00CA6913" w:rsidP="009A1C3F">
      <w:pPr>
        <w:pStyle w:val="SingleTxtGA"/>
        <w:rPr>
          <w:rtl/>
          <w:lang w:eastAsia="zh-TW"/>
        </w:rPr>
      </w:pPr>
      <w:r w:rsidRPr="005D5C37">
        <w:rPr>
          <w:rtl/>
          <w:lang w:eastAsia="zh-TW"/>
        </w:rPr>
        <w:t>٧</w:t>
      </w:r>
      <w:r w:rsidR="0032534E">
        <w:rPr>
          <w:rtl/>
          <w:lang w:eastAsia="zh-TW"/>
        </w:rPr>
        <w:t>-٩</w:t>
      </w:r>
      <w:r w:rsidR="0032534E">
        <w:rPr>
          <w:rtl/>
          <w:lang w:eastAsia="zh-TW"/>
        </w:rPr>
        <w:tab/>
      </w:r>
      <w:r w:rsidRPr="005D5C37">
        <w:rPr>
          <w:rtl/>
          <w:lang w:eastAsia="zh-TW"/>
        </w:rPr>
        <w:t>وتعترض الدولة الطرف على الادعاء القائل بأن القانون يحظر على المرأة المسلمة المجاهرة بمعتقداتها الدينية من خلال ارتداء الحجاب، وتؤكد أنه يحظر فقط الإخفاء الكامل للوجه، بغض النظر عن الدافع من وراء ذلك، ويتيح لأي فرد ارتداء الملابس في الأماكن العامة بغرض التعبير عن معتقد ديني، مثل الخمار أو الوشاح، شريطة أن تكشف عن الوجه. والمشكلة هنا مختلفة تمام</w:t>
      </w:r>
      <w:r w:rsidR="00E46011">
        <w:rPr>
          <w:rtl/>
          <w:lang w:eastAsia="zh-TW"/>
        </w:rPr>
        <w:t xml:space="preserve">اً </w:t>
      </w:r>
      <w:r w:rsidRPr="005D5C37">
        <w:rPr>
          <w:rtl/>
          <w:lang w:eastAsia="zh-TW"/>
        </w:rPr>
        <w:t>عن تلك التي تتعلق بارتداء الرموز الدينية من جانب موظفي الخدمة المدنية في أثناء أداء واجبات عملهم وارتداء هذه الرموز في المدارس، والتي تتعلق باشتراط أن تكون الخدمة العامة محايدة. فالحظر في الحالة الراهنة لا يستند إلى الدلالة الدينية للملابس المعنية، بل إلى كونها ببساطة تخفي الوجه بالكامل. ولا يتأثر بهذا الحظر سوى شكل الملابس المفرط في الأصولية والذي يؤدي إلى تخفّي الشخص في الأماكن العامة. ولن يتعذر على صاحبة البلاغ الوصول إلى الأماكن العامة مرتدية حجاب</w:t>
      </w:r>
      <w:r w:rsidR="00E46011">
        <w:rPr>
          <w:rtl/>
          <w:lang w:eastAsia="zh-TW"/>
        </w:rPr>
        <w:t xml:space="preserve">اً </w:t>
      </w:r>
      <w:r w:rsidRPr="005D5C37">
        <w:rPr>
          <w:rtl/>
          <w:lang w:eastAsia="zh-TW"/>
        </w:rPr>
        <w:t>يدل على معتقداتها الدينية دون إخفاء وجهها. وبالإضافة إلى ذلك، فإن المجلس الدستوري قد أوضح أنه لا ينبغي أن يقيد الحظر ممارسة الحرية الدينية في أماكن العبادة المفتوحة للجمهور. ولذا، فإن التدابير متناسبة مع الهدف المنشود، ولم</w:t>
      </w:r>
      <w:r w:rsidR="009A1C3F">
        <w:rPr>
          <w:rFonts w:hint="cs"/>
          <w:rtl/>
          <w:lang w:eastAsia="zh-TW"/>
        </w:rPr>
        <w:t> </w:t>
      </w:r>
      <w:r w:rsidRPr="005D5C37">
        <w:rPr>
          <w:rtl/>
          <w:lang w:eastAsia="zh-TW"/>
        </w:rPr>
        <w:t xml:space="preserve">تتجاوز الدولة الطرف هامش التقدير في هذه القضية، كما ذكرت المحكمة الأوروبية لحقوق الإنسان في </w:t>
      </w:r>
      <w:r w:rsidRPr="005D5C37">
        <w:rPr>
          <w:i/>
          <w:iCs/>
          <w:rtl/>
          <w:lang w:eastAsia="zh-TW"/>
        </w:rPr>
        <w:t xml:space="preserve">قضية </w:t>
      </w:r>
      <w:r w:rsidR="009A1C3F">
        <w:rPr>
          <w:i/>
          <w:iCs/>
          <w:rtl/>
          <w:lang w:eastAsia="zh-TW"/>
        </w:rPr>
        <w:t>س. أ. س.</w:t>
      </w:r>
      <w:r w:rsidRPr="005D5C37">
        <w:rPr>
          <w:i/>
          <w:iCs/>
          <w:rtl/>
          <w:lang w:eastAsia="zh-TW"/>
        </w:rPr>
        <w:t xml:space="preserve"> ضد فرنسا</w:t>
      </w:r>
      <w:r w:rsidRPr="005D5C37">
        <w:rPr>
          <w:rtl/>
          <w:lang w:eastAsia="zh-TW"/>
        </w:rPr>
        <w:t xml:space="preserve"> المذكورة آنف</w:t>
      </w:r>
      <w:r w:rsidR="00E4548E">
        <w:rPr>
          <w:rtl/>
          <w:lang w:eastAsia="zh-TW"/>
        </w:rPr>
        <w:t>اً.</w:t>
      </w:r>
      <w:r w:rsidRPr="005D5C37">
        <w:rPr>
          <w:rtl/>
          <w:lang w:eastAsia="zh-TW"/>
        </w:rPr>
        <w:t xml:space="preserve"> وعلاوة على ذلك، فقد أصدرت محكمة النقض حكم</w:t>
      </w:r>
      <w:r w:rsidR="00E46011">
        <w:rPr>
          <w:rtl/>
          <w:lang w:eastAsia="zh-TW"/>
        </w:rPr>
        <w:t xml:space="preserve">اً </w:t>
      </w:r>
      <w:r w:rsidRPr="005D5C37">
        <w:rPr>
          <w:rtl/>
          <w:lang w:eastAsia="zh-TW"/>
        </w:rPr>
        <w:t>في ٥ آذار/مارس ٢٠١٣ يقضي بأن القانون متفق مع المادة ٩ من الاتفاقية الأوروبية لحقوق الإنسان (حرية الفكر والوجدان والدين). وأخير</w:t>
      </w:r>
      <w:r w:rsidR="00E4548E">
        <w:rPr>
          <w:rtl/>
          <w:lang w:eastAsia="zh-TW"/>
        </w:rPr>
        <w:t>اً،</w:t>
      </w:r>
      <w:r w:rsidRPr="005D5C37">
        <w:rPr>
          <w:rtl/>
          <w:lang w:eastAsia="zh-TW"/>
        </w:rPr>
        <w:t xml:space="preserve"> تلاحظ الدولة الطرف أن العقوبات المنصوص عليها في القانون، وهي غرامة أقصاها ١٥٠ يورو عن مخالفة من الدرجة الثانية، عقوبة معتدلة ومتناسبة مع الأهداف المنشودة. أما العقوبة البديلة المنصوص عليها والمتمثلة في حضور دورة تدريبية عن المواطنة، فهي عقوبة تُطبق عادة في القانون الجنائي الفرنسي، ويمكن أن تتعلق بجرائم مختلفة؛ وهي مصممة لكي تذكر المخالفين بقيم الجمهورية المتمثلة في التسامح واحترام الكرامة الإنسانية، وتوعيتهم بمسؤوليتهم الجنائية والمدنية وبالالتزامات التي يفرضها عليهم العيش كأعضاء في المجتمع. </w:t>
      </w:r>
    </w:p>
    <w:p w:rsidR="00CA6913" w:rsidRPr="005D5C37" w:rsidRDefault="00CA6913" w:rsidP="00CA6913">
      <w:pPr>
        <w:pStyle w:val="SingleTxtGA"/>
        <w:rPr>
          <w:rtl/>
          <w:lang w:eastAsia="zh-TW"/>
        </w:rPr>
      </w:pPr>
      <w:r w:rsidRPr="005D5C37">
        <w:rPr>
          <w:rtl/>
          <w:lang w:eastAsia="zh-TW"/>
        </w:rPr>
        <w:t>٧</w:t>
      </w:r>
      <w:r w:rsidR="0032534E">
        <w:rPr>
          <w:rtl/>
          <w:lang w:eastAsia="zh-TW"/>
        </w:rPr>
        <w:t>-١٠</w:t>
      </w:r>
      <w:r w:rsidR="0032534E">
        <w:rPr>
          <w:rtl/>
          <w:lang w:eastAsia="zh-TW"/>
        </w:rPr>
        <w:tab/>
      </w:r>
      <w:r w:rsidRPr="005D5C37">
        <w:rPr>
          <w:rtl/>
          <w:lang w:eastAsia="zh-TW"/>
        </w:rPr>
        <w:t xml:space="preserve">وينص تعميم رئيس الوزراء المؤرخ ٣١ آذار/مارس ٢٠١١، والموجه إلى مديري الشرطة، على كيفية تعامل الشرطة أو الدرك مع هذه المخالفة، ويشير إلى أن القانون لا يخول الضباط </w:t>
      </w:r>
      <w:r w:rsidRPr="005D5C37">
        <w:rPr>
          <w:rtl/>
          <w:lang w:eastAsia="zh-TW"/>
        </w:rPr>
        <w:lastRenderedPageBreak/>
        <w:t>تحت أي ظرف من الظروف سلطة إرغام الفرد أو المرأة على كشف وجهها. وبناء عليه، لا مجال للحديث عن تقييد غير متناسب للحق في الحرية الدينية.</w:t>
      </w:r>
    </w:p>
    <w:p w:rsidR="00CA6913" w:rsidRPr="005D5C37" w:rsidRDefault="00CA6913" w:rsidP="00CA6913">
      <w:pPr>
        <w:pStyle w:val="SingleTxtGA"/>
        <w:rPr>
          <w:rtl/>
          <w:lang w:eastAsia="zh-TW"/>
        </w:rPr>
      </w:pPr>
      <w:r w:rsidRPr="005D5C37">
        <w:rPr>
          <w:rtl/>
          <w:lang w:eastAsia="zh-TW"/>
        </w:rPr>
        <w:t>٧</w:t>
      </w:r>
      <w:r w:rsidR="0032534E">
        <w:rPr>
          <w:rtl/>
          <w:lang w:eastAsia="zh-TW"/>
        </w:rPr>
        <w:t>-١١</w:t>
      </w:r>
      <w:r w:rsidR="0032534E">
        <w:rPr>
          <w:rtl/>
          <w:lang w:eastAsia="zh-TW"/>
        </w:rPr>
        <w:tab/>
      </w:r>
      <w:r w:rsidRPr="005D5C37">
        <w:rPr>
          <w:rtl/>
          <w:lang w:eastAsia="zh-TW"/>
        </w:rPr>
        <w:t>وفيما يتعلق بشكوى صاحبة البلاغ بشأن انتهاك المادتين ١٢ و٢٦ من العهد، تدفع الدولة الطرف بأن صاحبة البلاغ لم تثبت أن الحظر المستحدث بموجب القانون ينطبق فقط على النساء المرتديات للنقاب، وأن الأشخاص الذين يخفون وجوههم بوسائل أخرى لا يخضعون للتفتيش. بل على العكس من ذلك، ينص القانون على حظر عام، ولا يستهدف أي نوع معين من الملابس، ولا يميز بين الرجال والنساء. وعلاوة على ذلك، لا يمكن للحظر المفروض بموجب هذا القانون في حد ذاته أن يكون تمييزي</w:t>
      </w:r>
      <w:r w:rsidR="00E46011">
        <w:rPr>
          <w:rtl/>
          <w:lang w:eastAsia="zh-TW"/>
        </w:rPr>
        <w:t xml:space="preserve">اً </w:t>
      </w:r>
      <w:r w:rsidRPr="005D5C37">
        <w:rPr>
          <w:rtl/>
          <w:lang w:eastAsia="zh-TW"/>
        </w:rPr>
        <w:t>أو مضر</w:t>
      </w:r>
      <w:r w:rsidR="00E46011">
        <w:rPr>
          <w:rtl/>
          <w:lang w:eastAsia="zh-TW"/>
        </w:rPr>
        <w:t xml:space="preserve">اً </w:t>
      </w:r>
      <w:r w:rsidRPr="005D5C37">
        <w:rPr>
          <w:rtl/>
          <w:lang w:eastAsia="zh-TW"/>
        </w:rPr>
        <w:t>بحرية التنقل لأن له مبرر</w:t>
      </w:r>
      <w:r w:rsidR="00E46011">
        <w:rPr>
          <w:rtl/>
          <w:lang w:eastAsia="zh-TW"/>
        </w:rPr>
        <w:t xml:space="preserve">اً </w:t>
      </w:r>
      <w:r w:rsidRPr="005D5C37">
        <w:rPr>
          <w:rtl/>
          <w:lang w:eastAsia="zh-TW"/>
        </w:rPr>
        <w:t>موضوعي</w:t>
      </w:r>
      <w:r w:rsidR="00E46011">
        <w:rPr>
          <w:rtl/>
          <w:lang w:eastAsia="zh-TW"/>
        </w:rPr>
        <w:t xml:space="preserve">اً </w:t>
      </w:r>
      <w:r w:rsidRPr="005D5C37">
        <w:rPr>
          <w:rtl/>
          <w:lang w:eastAsia="zh-TW"/>
        </w:rPr>
        <w:t>ومعقول</w:t>
      </w:r>
      <w:r w:rsidR="00E4548E">
        <w:rPr>
          <w:rtl/>
          <w:lang w:eastAsia="zh-TW"/>
        </w:rPr>
        <w:t>اً.</w:t>
      </w:r>
    </w:p>
    <w:p w:rsidR="00CA6913" w:rsidRPr="005D5C37" w:rsidRDefault="0032534E" w:rsidP="0032534E">
      <w:pPr>
        <w:pStyle w:val="H23GA"/>
        <w:rPr>
          <w:rtl/>
        </w:rPr>
      </w:pPr>
      <w:r>
        <w:rPr>
          <w:rtl/>
        </w:rPr>
        <w:tab/>
      </w:r>
      <w:r>
        <w:rPr>
          <w:rtl/>
        </w:rPr>
        <w:tab/>
      </w:r>
      <w:r w:rsidR="00CA6913" w:rsidRPr="005D5C37">
        <w:rPr>
          <w:rtl/>
        </w:rPr>
        <w:t>القضايا والإجراءات المعروضة على اللجنة</w:t>
      </w:r>
    </w:p>
    <w:p w:rsidR="00CA6913" w:rsidRPr="005D5C37" w:rsidRDefault="0032534E" w:rsidP="0032534E">
      <w:pPr>
        <w:pStyle w:val="H4GA"/>
        <w:rPr>
          <w:rtl/>
          <w:lang w:eastAsia="zh-TW"/>
        </w:rPr>
      </w:pPr>
      <w:r>
        <w:rPr>
          <w:rtl/>
          <w:lang w:eastAsia="zh-TW"/>
        </w:rPr>
        <w:tab/>
      </w:r>
      <w:r>
        <w:rPr>
          <w:rtl/>
          <w:lang w:eastAsia="zh-TW"/>
        </w:rPr>
        <w:tab/>
      </w:r>
      <w:r w:rsidR="00CA6913" w:rsidRPr="005D5C37">
        <w:rPr>
          <w:rtl/>
          <w:lang w:eastAsia="zh-TW"/>
        </w:rPr>
        <w:t>النظر في الأسس الموضوعية</w:t>
      </w:r>
    </w:p>
    <w:p w:rsidR="00CA6913" w:rsidRPr="005D5C37" w:rsidRDefault="00CA6913" w:rsidP="00CA6913">
      <w:pPr>
        <w:pStyle w:val="SingleTxtGA"/>
        <w:rPr>
          <w:rtl/>
          <w:lang w:eastAsia="zh-TW"/>
        </w:rPr>
      </w:pPr>
      <w:r w:rsidRPr="005D5C37">
        <w:rPr>
          <w:rtl/>
          <w:lang w:eastAsia="zh-TW"/>
        </w:rPr>
        <w:t>٨</w:t>
      </w:r>
      <w:r w:rsidR="0032534E">
        <w:rPr>
          <w:rtl/>
          <w:lang w:eastAsia="zh-TW"/>
        </w:rPr>
        <w:t>-١</w:t>
      </w:r>
      <w:r w:rsidR="0032534E">
        <w:rPr>
          <w:rtl/>
          <w:lang w:eastAsia="zh-TW"/>
        </w:rPr>
        <w:tab/>
      </w:r>
      <w:r w:rsidRPr="005D5C37">
        <w:rPr>
          <w:rtl/>
          <w:lang w:eastAsia="zh-TW"/>
        </w:rPr>
        <w:t>نظرت اللجنة في هذا البلاغ في ضوء جميع المعلومات التي أتاحها لها الطرفان، وفقاً للفقرة 1 من المادة 5 من البروتوكول الاختياري.</w:t>
      </w:r>
    </w:p>
    <w:p w:rsidR="00CA6913" w:rsidRPr="005D5C37" w:rsidRDefault="00CA6913" w:rsidP="00F20777">
      <w:pPr>
        <w:pStyle w:val="SingleTxtGA"/>
        <w:rPr>
          <w:rtl/>
          <w:lang w:eastAsia="zh-TW"/>
        </w:rPr>
      </w:pPr>
      <w:r w:rsidRPr="005D5C37">
        <w:rPr>
          <w:rtl/>
          <w:lang w:eastAsia="zh-TW"/>
        </w:rPr>
        <w:t>٨</w:t>
      </w:r>
      <w:r w:rsidR="0032534E">
        <w:rPr>
          <w:rtl/>
          <w:lang w:eastAsia="zh-TW"/>
        </w:rPr>
        <w:t>-٢</w:t>
      </w:r>
      <w:r w:rsidR="0032534E">
        <w:rPr>
          <w:rtl/>
          <w:lang w:eastAsia="zh-TW"/>
        </w:rPr>
        <w:tab/>
      </w:r>
      <w:r w:rsidRPr="005D5C37">
        <w:rPr>
          <w:rtl/>
          <w:lang w:eastAsia="zh-TW"/>
        </w:rPr>
        <w:t>تلاحظ اللجنة ادعاء صاحبة البلاغ بأن حظر إخفاء وجهها في الأماكن العامة، الذي استُحدث بموجب القانون رقم 2010</w:t>
      </w:r>
      <w:r w:rsidR="0032534E">
        <w:rPr>
          <w:rtl/>
          <w:lang w:eastAsia="zh-TW"/>
        </w:rPr>
        <w:t>-</w:t>
      </w:r>
      <w:r w:rsidRPr="005D5C37">
        <w:rPr>
          <w:rtl/>
          <w:lang w:eastAsia="zh-TW"/>
        </w:rPr>
        <w:t>1192، وإدانتها بارتداء النقاب ينتهكان حقوقها بموجب المادة ١٨ من العهد. وتلاحظ اللجنة حجة الدولة الطرف بأن القانون يفرض حظر</w:t>
      </w:r>
      <w:r w:rsidR="00E46011">
        <w:rPr>
          <w:rtl/>
          <w:lang w:eastAsia="zh-TW"/>
        </w:rPr>
        <w:t xml:space="preserve">اً </w:t>
      </w:r>
      <w:r w:rsidRPr="005D5C37">
        <w:rPr>
          <w:rtl/>
          <w:lang w:eastAsia="zh-TW"/>
        </w:rPr>
        <w:t>عام</w:t>
      </w:r>
      <w:r w:rsidR="00E46011">
        <w:rPr>
          <w:rtl/>
          <w:lang w:eastAsia="zh-TW"/>
        </w:rPr>
        <w:t xml:space="preserve">اً </w:t>
      </w:r>
      <w:r w:rsidRPr="005D5C37">
        <w:rPr>
          <w:rtl/>
          <w:lang w:eastAsia="zh-TW"/>
        </w:rPr>
        <w:t>على أي نوع من الملابس يقصد به إخفاء الوجه في الأماكن العامة، بصرف النظر عن الشكل الذي يتخذه أو سبب ارتدائه، وأن القانون لا يعالج تحديداً الملابس الدينية. وتلاحظ اللجنة، مع ذلك، أن المادة ٢</w:t>
      </w:r>
      <w:r w:rsidR="0032534E">
        <w:rPr>
          <w:rtl/>
          <w:lang w:eastAsia="zh-TW"/>
        </w:rPr>
        <w:t>-</w:t>
      </w:r>
      <w:r w:rsidRPr="005D5C37">
        <w:rPr>
          <w:rtl/>
          <w:lang w:eastAsia="zh-TW"/>
        </w:rPr>
        <w:t>ثانياً تستثني عموم</w:t>
      </w:r>
      <w:r w:rsidR="00E46011">
        <w:rPr>
          <w:rtl/>
          <w:lang w:eastAsia="zh-TW"/>
        </w:rPr>
        <w:t xml:space="preserve">اً </w:t>
      </w:r>
      <w:r w:rsidRPr="005D5C37">
        <w:rPr>
          <w:rtl/>
          <w:lang w:eastAsia="zh-TW"/>
        </w:rPr>
        <w:t>من القانون ارتداء الملابس ل</w:t>
      </w:r>
      <w:r w:rsidR="00F7419A">
        <w:rPr>
          <w:rtl/>
          <w:lang w:eastAsia="zh-TW"/>
        </w:rPr>
        <w:t xml:space="preserve">ـ </w:t>
      </w:r>
      <w:r w:rsidRPr="005D5C37">
        <w:rPr>
          <w:rtl/>
          <w:lang w:eastAsia="zh-TW"/>
        </w:rPr>
        <w:t>"أسباب صحية" أو ل</w:t>
      </w:r>
      <w:r w:rsidR="00F7419A">
        <w:rPr>
          <w:rtl/>
          <w:lang w:eastAsia="zh-TW"/>
        </w:rPr>
        <w:t xml:space="preserve">ـ </w:t>
      </w:r>
      <w:r w:rsidRPr="005D5C37">
        <w:rPr>
          <w:rtl/>
          <w:lang w:eastAsia="zh-TW"/>
        </w:rPr>
        <w:t>"أسباب مهنية" أو ارتداء الملابس "التي تشكل جزء</w:t>
      </w:r>
      <w:r w:rsidR="00E46011">
        <w:rPr>
          <w:rtl/>
          <w:lang w:eastAsia="zh-TW"/>
        </w:rPr>
        <w:t xml:space="preserve">اً </w:t>
      </w:r>
      <w:r w:rsidRPr="005D5C37">
        <w:rPr>
          <w:rtl/>
          <w:lang w:eastAsia="zh-TW"/>
        </w:rPr>
        <w:t>من الممارسات الرياضية، أو</w:t>
      </w:r>
      <w:r w:rsidR="00F20777">
        <w:rPr>
          <w:rFonts w:hint="cs"/>
          <w:rtl/>
          <w:lang w:eastAsia="zh-TW"/>
        </w:rPr>
        <w:t> </w:t>
      </w:r>
      <w:r w:rsidRPr="005D5C37">
        <w:rPr>
          <w:rtl/>
          <w:lang w:eastAsia="zh-TW"/>
        </w:rPr>
        <w:t>من الأعياد، أو المناسبات الفنية أو التقليدية"، بما في ذلك "المواكب الدينية،" أو الملابس التي تفرضها أو تأذن بها قانون</w:t>
      </w:r>
      <w:r w:rsidR="00E46011">
        <w:rPr>
          <w:rtl/>
          <w:lang w:eastAsia="zh-TW"/>
        </w:rPr>
        <w:t xml:space="preserve">اً </w:t>
      </w:r>
      <w:r w:rsidRPr="005D5C37">
        <w:rPr>
          <w:rtl/>
          <w:lang w:eastAsia="zh-TW"/>
        </w:rPr>
        <w:t>الأحكام التشريعية أو التنظيمية. وتلاحظ اللجنة كذلك تعليقات صاحبة البلاغ، التي لم تعترض عليها الدولة الطرف، بأن أقل من ٠٠٠ ٢ امرأة يرتدين النقاب في فرنسا، وأن الغالبية العظمى من عمليات التفتيش بموجب القانون قد أجريت على نساء يرتدين النقاب</w:t>
      </w:r>
      <w:r w:rsidR="00AF5311" w:rsidRPr="00AF5311">
        <w:rPr>
          <w:rFonts w:hint="cs"/>
          <w:vertAlign w:val="superscript"/>
          <w:rtl/>
          <w:lang w:eastAsia="zh-TW"/>
        </w:rPr>
        <w:t>(</w:t>
      </w:r>
      <w:r w:rsidR="00AF5311" w:rsidRPr="00AF5311">
        <w:rPr>
          <w:sz w:val="18"/>
          <w:vertAlign w:val="superscript"/>
          <w:rtl/>
          <w:lang w:eastAsia="zh-TW"/>
        </w:rPr>
        <w:footnoteReference w:id="20"/>
      </w:r>
      <w:r w:rsidR="00AF5311" w:rsidRPr="00AF5311">
        <w:rPr>
          <w:rFonts w:hint="cs"/>
          <w:vertAlign w:val="superscript"/>
          <w:rtl/>
          <w:lang w:eastAsia="zh-TW"/>
        </w:rPr>
        <w:t>)</w:t>
      </w:r>
      <w:r w:rsidR="00AF5311">
        <w:rPr>
          <w:rFonts w:hint="cs"/>
          <w:rtl/>
          <w:lang w:eastAsia="zh-TW"/>
        </w:rPr>
        <w:t>.</w:t>
      </w:r>
      <w:r w:rsidRPr="005D5C37">
        <w:rPr>
          <w:rtl/>
          <w:lang w:eastAsia="zh-TW"/>
        </w:rPr>
        <w:t xml:space="preserve"> </w:t>
      </w:r>
    </w:p>
    <w:p w:rsidR="00CA6913" w:rsidRPr="005D5C37" w:rsidRDefault="00CA6913" w:rsidP="00AF5311">
      <w:pPr>
        <w:pStyle w:val="SingleTxtGA"/>
        <w:rPr>
          <w:rtl/>
          <w:lang w:eastAsia="zh-TW"/>
        </w:rPr>
      </w:pPr>
      <w:r w:rsidRPr="005D5C37">
        <w:rPr>
          <w:rtl/>
          <w:lang w:eastAsia="zh-TW"/>
        </w:rPr>
        <w:t>٨</w:t>
      </w:r>
      <w:r w:rsidR="0032534E">
        <w:rPr>
          <w:rtl/>
          <w:lang w:eastAsia="zh-TW"/>
        </w:rPr>
        <w:t>-٣</w:t>
      </w:r>
      <w:r w:rsidR="0032534E">
        <w:rPr>
          <w:rtl/>
          <w:lang w:eastAsia="zh-TW"/>
        </w:rPr>
        <w:tab/>
      </w:r>
      <w:r w:rsidRPr="005D5C37">
        <w:rPr>
          <w:rtl/>
          <w:lang w:eastAsia="zh-TW"/>
        </w:rPr>
        <w:t>وتشير اللجنة إلى تعليقها العام رقم ٢٢، الذي ذكرت فيه أنه يجوز للفرد ممارسة حريته في المجاهرة بدينه أو عقيدته بمفرده أو مع جماعة، وأمام الملأ أو على حدة. ولا يقتصر اتباع طقوس الدين أو العقيدة وممارستهما على الشعائر فحسب بل إنه قد يشمل أيضاً عادات مثل ارتداء ملابس أو أغطية رأس مميزة</w:t>
      </w:r>
      <w:r w:rsidR="00AF5311" w:rsidRPr="00AF5311">
        <w:rPr>
          <w:rFonts w:hint="cs"/>
          <w:vertAlign w:val="superscript"/>
          <w:rtl/>
          <w:lang w:eastAsia="zh-TW"/>
        </w:rPr>
        <w:t>(</w:t>
      </w:r>
      <w:r w:rsidR="00AF5311" w:rsidRPr="00AF5311">
        <w:rPr>
          <w:rStyle w:val="FootnoteReference"/>
          <w:sz w:val="20"/>
          <w:szCs w:val="30"/>
          <w:rtl/>
          <w:lang w:eastAsia="zh-TW"/>
        </w:rPr>
        <w:footnoteReference w:id="21"/>
      </w:r>
      <w:r w:rsidR="00AF5311" w:rsidRPr="00AF5311">
        <w:rPr>
          <w:rFonts w:hint="cs"/>
          <w:vertAlign w:val="superscript"/>
          <w:rtl/>
          <w:lang w:eastAsia="zh-TW"/>
        </w:rPr>
        <w:t>)</w:t>
      </w:r>
      <w:r w:rsidRPr="005D5C37">
        <w:rPr>
          <w:rtl/>
          <w:lang w:eastAsia="zh-TW"/>
        </w:rPr>
        <w:t>.</w:t>
      </w:r>
      <w:r w:rsidR="00AF5311">
        <w:rPr>
          <w:rFonts w:hint="cs"/>
          <w:rtl/>
          <w:lang w:eastAsia="zh-TW"/>
        </w:rPr>
        <w:t xml:space="preserve"> </w:t>
      </w:r>
      <w:r w:rsidRPr="005D5C37">
        <w:rPr>
          <w:rtl/>
          <w:lang w:eastAsia="zh-TW"/>
        </w:rPr>
        <w:t>وليست إفادة صاحبة البلاغ بأن النقاب عادة شائعة لدى شريحة من المسلمين وأنه يتعلق بأداء طقس وممارسة دينية محل شك. ولا جدال أيض</w:t>
      </w:r>
      <w:r w:rsidR="00E46011">
        <w:rPr>
          <w:rtl/>
          <w:lang w:eastAsia="zh-TW"/>
        </w:rPr>
        <w:t xml:space="preserve">اً </w:t>
      </w:r>
      <w:r w:rsidRPr="005D5C37">
        <w:rPr>
          <w:rtl/>
          <w:lang w:eastAsia="zh-TW"/>
        </w:rPr>
        <w:t>في أن القانون رقم 2010</w:t>
      </w:r>
      <w:r w:rsidR="0032534E">
        <w:rPr>
          <w:rtl/>
          <w:lang w:eastAsia="zh-TW"/>
        </w:rPr>
        <w:t>-</w:t>
      </w:r>
      <w:r w:rsidRPr="005D5C37">
        <w:rPr>
          <w:rtl/>
          <w:lang w:eastAsia="zh-TW"/>
        </w:rPr>
        <w:t xml:space="preserve">1192 الذي يحظر الملابس التي يتمثل الغرض منها في إخفاء الوجه في الأماكن العامة، ينطبق على النقاب الذي ترتديه صاحبة البلاغ التي يتعين عليها نتيجة لذلك التخلي عن الملابس التي تتفق مع معتقداتها الدينية وإلا تعرضت لعقوبات. وبناء على ذلك، </w:t>
      </w:r>
      <w:r w:rsidRPr="005D5C37">
        <w:rPr>
          <w:rtl/>
          <w:lang w:eastAsia="zh-TW"/>
        </w:rPr>
        <w:lastRenderedPageBreak/>
        <w:t>ترى اللجنة أن الحظر المفروض بموجب القانون يشكل قيد</w:t>
      </w:r>
      <w:r w:rsidR="00E46011">
        <w:rPr>
          <w:rtl/>
          <w:lang w:eastAsia="zh-TW"/>
        </w:rPr>
        <w:t xml:space="preserve">اً </w:t>
      </w:r>
      <w:r w:rsidRPr="005D5C37">
        <w:rPr>
          <w:rtl/>
          <w:lang w:eastAsia="zh-TW"/>
        </w:rPr>
        <w:t>أو تحديد</w:t>
      </w:r>
      <w:r w:rsidR="00E46011">
        <w:rPr>
          <w:rtl/>
          <w:lang w:eastAsia="zh-TW"/>
        </w:rPr>
        <w:t xml:space="preserve">اً </w:t>
      </w:r>
      <w:r w:rsidRPr="005D5C37">
        <w:rPr>
          <w:rtl/>
          <w:lang w:eastAsia="zh-TW"/>
        </w:rPr>
        <w:t xml:space="preserve">لحرية صاحبة البلاغ في المجاهرة بمعتقداتها أو دينها </w:t>
      </w:r>
      <w:r w:rsidR="0032534E">
        <w:rPr>
          <w:rtl/>
          <w:lang w:eastAsia="zh-TW"/>
        </w:rPr>
        <w:t>-</w:t>
      </w:r>
      <w:r w:rsidRPr="005D5C37">
        <w:rPr>
          <w:rtl/>
          <w:lang w:eastAsia="zh-TW"/>
        </w:rPr>
        <w:t xml:space="preserve"> بارتداء نقابها </w:t>
      </w:r>
      <w:r w:rsidR="0032534E">
        <w:rPr>
          <w:rtl/>
          <w:lang w:eastAsia="zh-TW"/>
        </w:rPr>
        <w:t>-</w:t>
      </w:r>
      <w:r w:rsidRPr="005D5C37">
        <w:rPr>
          <w:rtl/>
          <w:lang w:eastAsia="zh-TW"/>
        </w:rPr>
        <w:t xml:space="preserve"> بالمعنى المحد</w:t>
      </w:r>
      <w:r w:rsidR="002329BA">
        <w:rPr>
          <w:rtl/>
          <w:lang w:eastAsia="zh-TW"/>
        </w:rPr>
        <w:t>د في المادة ١٨</w:t>
      </w:r>
      <w:r w:rsidRPr="005D5C37">
        <w:rPr>
          <w:rtl/>
          <w:lang w:eastAsia="zh-TW"/>
        </w:rPr>
        <w:t>(١) من العهد.</w:t>
      </w:r>
    </w:p>
    <w:p w:rsidR="00C336A4" w:rsidRDefault="00CA6913" w:rsidP="002329BA">
      <w:pPr>
        <w:pStyle w:val="SingleTxtGA"/>
        <w:rPr>
          <w:rtl/>
          <w:lang w:eastAsia="zh-TW"/>
        </w:rPr>
      </w:pPr>
      <w:r w:rsidRPr="005D5C37">
        <w:rPr>
          <w:rtl/>
          <w:lang w:eastAsia="zh-TW"/>
        </w:rPr>
        <w:t>٨</w:t>
      </w:r>
      <w:r w:rsidR="0032534E">
        <w:rPr>
          <w:rtl/>
          <w:lang w:eastAsia="zh-TW"/>
        </w:rPr>
        <w:t>-</w:t>
      </w:r>
      <w:r w:rsidR="00847718">
        <w:rPr>
          <w:rtl/>
          <w:lang w:eastAsia="zh-TW"/>
        </w:rPr>
        <w:t>٤</w:t>
      </w:r>
      <w:r w:rsidR="00847718">
        <w:rPr>
          <w:rtl/>
          <w:lang w:eastAsia="zh-TW"/>
        </w:rPr>
        <w:tab/>
      </w:r>
      <w:r w:rsidRPr="005D5C37">
        <w:rPr>
          <w:rtl/>
          <w:lang w:eastAsia="zh-TW"/>
        </w:rPr>
        <w:t>ويجب على اللجنة، من ثم، أن تحدد ما إذا كان هذا التقييد جائز</w:t>
      </w:r>
      <w:r w:rsidR="00E46011">
        <w:rPr>
          <w:rtl/>
          <w:lang w:eastAsia="zh-TW"/>
        </w:rPr>
        <w:t xml:space="preserve">اً </w:t>
      </w:r>
      <w:r w:rsidRPr="005D5C37">
        <w:rPr>
          <w:rtl/>
          <w:lang w:eastAsia="zh-TW"/>
        </w:rPr>
        <w:t>بموجب الفقرة 3 من المادة 1</w:t>
      </w:r>
      <w:r w:rsidR="002329BA">
        <w:rPr>
          <w:rFonts w:hint="cs"/>
          <w:rtl/>
          <w:lang w:eastAsia="zh-TW"/>
        </w:rPr>
        <w:t>8</w:t>
      </w:r>
      <w:r w:rsidRPr="005D5C37">
        <w:rPr>
          <w:rtl/>
          <w:lang w:eastAsia="zh-TW"/>
        </w:rPr>
        <w:t xml:space="preserve"> من العهد. تذكّر اللجنة بأن المادة 18(3) لا تسمح بتقييد حرية المجاهرة بالدين أو</w:t>
      </w:r>
      <w:r w:rsidR="001136FD">
        <w:rPr>
          <w:rFonts w:hint="cs"/>
          <w:rtl/>
          <w:lang w:eastAsia="zh-TW"/>
        </w:rPr>
        <w:t> </w:t>
      </w:r>
      <w:r w:rsidRPr="005D5C37">
        <w:rPr>
          <w:rtl/>
          <w:lang w:eastAsia="zh-TW"/>
        </w:rPr>
        <w:t>العقيدة إلا إذا كان القانون ينص على قيود ضرورية لحماية السلامة العامة، أو النظام العام، أو الصحة العامة، أو الآداب العامة، أو حقوق الآخرين وحرياتهم الأساسية</w:t>
      </w:r>
      <w:r w:rsidR="00AF5311" w:rsidRPr="00AF5311">
        <w:rPr>
          <w:rFonts w:hint="cs"/>
          <w:vertAlign w:val="superscript"/>
          <w:rtl/>
          <w:lang w:eastAsia="zh-TW"/>
        </w:rPr>
        <w:t>(</w:t>
      </w:r>
      <w:r w:rsidR="00AF5311" w:rsidRPr="00AF5311">
        <w:rPr>
          <w:rStyle w:val="FootnoteReference"/>
          <w:sz w:val="20"/>
          <w:szCs w:val="30"/>
          <w:rtl/>
          <w:lang w:eastAsia="zh-TW"/>
        </w:rPr>
        <w:footnoteReference w:id="22"/>
      </w:r>
      <w:r w:rsidR="00AF5311" w:rsidRPr="00AF5311">
        <w:rPr>
          <w:rFonts w:hint="cs"/>
          <w:vertAlign w:val="superscript"/>
          <w:rtl/>
          <w:lang w:eastAsia="zh-TW"/>
        </w:rPr>
        <w:t>)</w:t>
      </w:r>
      <w:r w:rsidRPr="005D5C37">
        <w:rPr>
          <w:rtl/>
          <w:lang w:eastAsia="zh-TW"/>
        </w:rPr>
        <w:t>.</w:t>
      </w:r>
      <w:r w:rsidR="00AF5311">
        <w:rPr>
          <w:rFonts w:hint="cs"/>
          <w:rtl/>
          <w:lang w:eastAsia="zh-TW"/>
        </w:rPr>
        <w:t xml:space="preserve"> </w:t>
      </w:r>
      <w:r w:rsidRPr="005D5C37">
        <w:rPr>
          <w:rtl/>
          <w:lang w:eastAsia="zh-TW"/>
        </w:rPr>
        <w:t>وتذكّر اللجنة أيض</w:t>
      </w:r>
      <w:r w:rsidR="00E46011">
        <w:rPr>
          <w:rtl/>
          <w:lang w:eastAsia="zh-TW"/>
        </w:rPr>
        <w:t xml:space="preserve">اً </w:t>
      </w:r>
      <w:r w:rsidRPr="005D5C37">
        <w:rPr>
          <w:rtl/>
          <w:lang w:eastAsia="zh-TW"/>
        </w:rPr>
        <w:t>بأنه ينبغي تفسير الفقرة 3 من المادة 18 تفسيراً دقيقا</w:t>
      </w:r>
      <w:r w:rsidR="002329BA">
        <w:rPr>
          <w:rFonts w:hint="cs"/>
          <w:rtl/>
          <w:lang w:eastAsia="zh-TW"/>
        </w:rPr>
        <w:t>ً</w:t>
      </w:r>
      <w:r w:rsidRPr="005D5C37">
        <w:rPr>
          <w:rtl/>
          <w:lang w:eastAsia="zh-TW"/>
        </w:rPr>
        <w:t>: فلا يسمح بفرض قيود لأسباب غير محددة فيها، حتى لو كان يسمح بها كقيود على حقوق أخرى محمية في العهد، مثل الأمن القومي. ولا يجوز تطبيق القيود إلا للأغراض التي وضعت من أجلها، كما يجب أن تتعلق مباشرة بالغرض المحدد الذي تستند إليه وأن تكون متناسبة معه. ولا يجوز فرض القيود لأغراض تمييزية أو تطبيقها على نحو تمييزي</w:t>
      </w:r>
      <w:r w:rsidR="00AF5311" w:rsidRPr="00AF5311">
        <w:rPr>
          <w:rFonts w:hint="cs"/>
          <w:vertAlign w:val="superscript"/>
          <w:rtl/>
          <w:lang w:eastAsia="zh-TW"/>
        </w:rPr>
        <w:t>(</w:t>
      </w:r>
      <w:r w:rsidR="00AF5311" w:rsidRPr="00AF5311">
        <w:rPr>
          <w:rStyle w:val="FootnoteReference"/>
          <w:sz w:val="20"/>
          <w:szCs w:val="30"/>
          <w:rtl/>
          <w:lang w:eastAsia="zh-TW"/>
        </w:rPr>
        <w:footnoteReference w:id="23"/>
      </w:r>
      <w:r w:rsidR="00AF5311" w:rsidRPr="00AF5311">
        <w:rPr>
          <w:rFonts w:hint="cs"/>
          <w:vertAlign w:val="superscript"/>
          <w:rtl/>
          <w:lang w:eastAsia="zh-TW"/>
        </w:rPr>
        <w:t>)</w:t>
      </w:r>
      <w:r w:rsidR="00C336A4">
        <w:rPr>
          <w:rFonts w:hint="cs"/>
          <w:rtl/>
          <w:lang w:eastAsia="zh-TW"/>
        </w:rPr>
        <w:t>.</w:t>
      </w:r>
    </w:p>
    <w:p w:rsidR="00CA6913" w:rsidRPr="005D5C37" w:rsidRDefault="00CA6913" w:rsidP="00C336A4">
      <w:pPr>
        <w:pStyle w:val="SingleTxtGA"/>
        <w:rPr>
          <w:bCs/>
          <w:rtl/>
          <w:lang w:eastAsia="zh-TW"/>
        </w:rPr>
      </w:pPr>
      <w:r w:rsidRPr="005D5C37">
        <w:rPr>
          <w:rtl/>
          <w:lang w:eastAsia="zh-TW"/>
        </w:rPr>
        <w:t>٨</w:t>
      </w:r>
      <w:r w:rsidR="0032534E">
        <w:rPr>
          <w:rtl/>
          <w:lang w:eastAsia="zh-TW"/>
        </w:rPr>
        <w:t>-</w:t>
      </w:r>
      <w:r w:rsidR="001136FD">
        <w:rPr>
          <w:rtl/>
          <w:lang w:eastAsia="zh-TW"/>
        </w:rPr>
        <w:t>٥</w:t>
      </w:r>
      <w:r w:rsidR="001136FD">
        <w:rPr>
          <w:rtl/>
          <w:lang w:eastAsia="zh-TW"/>
        </w:rPr>
        <w:tab/>
      </w:r>
      <w:r w:rsidRPr="005D5C37">
        <w:rPr>
          <w:rtl/>
          <w:lang w:eastAsia="zh-TW"/>
        </w:rPr>
        <w:t>وفي هذه القضية، تلاحظ اللجنة أنه لا جدال في أن الحظر المفروض على ارتداء النقاب يندرج بوضوح ضمن النطاق المحدد بموجب المادة ١ من القانون رقم 2010</w:t>
      </w:r>
      <w:r w:rsidR="0032534E">
        <w:rPr>
          <w:rtl/>
          <w:lang w:eastAsia="zh-TW"/>
        </w:rPr>
        <w:t>-</w:t>
      </w:r>
      <w:r w:rsidRPr="005D5C37">
        <w:rPr>
          <w:rtl/>
          <w:lang w:eastAsia="zh-TW"/>
        </w:rPr>
        <w:t>1192. ولذا، يتعين على اللجنة تقييم ما إذا كان القيد الذي يفرضه القانون يسعى إلى تحقيق هدف مشروع، وما إذا كان ضروري</w:t>
      </w:r>
      <w:r w:rsidR="00E46011">
        <w:rPr>
          <w:rtl/>
          <w:lang w:eastAsia="zh-TW"/>
        </w:rPr>
        <w:t xml:space="preserve">اً </w:t>
      </w:r>
      <w:r w:rsidRPr="005D5C37">
        <w:rPr>
          <w:rtl/>
          <w:lang w:eastAsia="zh-TW"/>
        </w:rPr>
        <w:t>لتحقيق ذلك الهدف، وما إذا كان متناسب</w:t>
      </w:r>
      <w:r w:rsidR="00E46011">
        <w:rPr>
          <w:rtl/>
          <w:lang w:eastAsia="zh-TW"/>
        </w:rPr>
        <w:t xml:space="preserve">اً </w:t>
      </w:r>
      <w:r w:rsidRPr="005D5C37">
        <w:rPr>
          <w:rtl/>
          <w:lang w:eastAsia="zh-TW"/>
        </w:rPr>
        <w:t xml:space="preserve">وغير تمييزي. </w:t>
      </w:r>
    </w:p>
    <w:p w:rsidR="00CA6913" w:rsidRPr="005D5C37" w:rsidRDefault="00CA6913" w:rsidP="00CA6913">
      <w:pPr>
        <w:pStyle w:val="SingleTxtGA"/>
        <w:rPr>
          <w:rtl/>
          <w:lang w:eastAsia="zh-TW"/>
        </w:rPr>
      </w:pPr>
      <w:r w:rsidRPr="005D5C37">
        <w:rPr>
          <w:rtl/>
          <w:lang w:eastAsia="zh-TW"/>
        </w:rPr>
        <w:t>٨</w:t>
      </w:r>
      <w:r w:rsidR="0032534E">
        <w:rPr>
          <w:rtl/>
          <w:lang w:eastAsia="zh-TW"/>
        </w:rPr>
        <w:t>-</w:t>
      </w:r>
      <w:r w:rsidR="001136FD">
        <w:rPr>
          <w:rtl/>
          <w:lang w:eastAsia="zh-TW"/>
        </w:rPr>
        <w:t>٦</w:t>
      </w:r>
      <w:r w:rsidR="001136FD">
        <w:rPr>
          <w:rtl/>
          <w:lang w:eastAsia="zh-TW"/>
        </w:rPr>
        <w:tab/>
      </w:r>
      <w:r w:rsidRPr="005D5C37">
        <w:rPr>
          <w:rtl/>
          <w:lang w:eastAsia="zh-TW"/>
        </w:rPr>
        <w:t xml:space="preserve">وتلاحظ اللجنة أن الدولة الطرف قد أشارت إلى هدفين يعتزم القانون تحقيقهما، وهما حماية النظام العام والسلامة العامة، وحماية حقوق الآخرين وحرياتهم. </w:t>
      </w:r>
    </w:p>
    <w:p w:rsidR="00CA6913" w:rsidRPr="005D5C37" w:rsidRDefault="00CA6913" w:rsidP="001136FD">
      <w:pPr>
        <w:pStyle w:val="SingleTxtGA"/>
        <w:rPr>
          <w:rtl/>
          <w:lang w:eastAsia="zh-TW"/>
        </w:rPr>
      </w:pPr>
      <w:r w:rsidRPr="005D5C37">
        <w:rPr>
          <w:rtl/>
          <w:lang w:eastAsia="zh-TW"/>
        </w:rPr>
        <w:t>٨</w:t>
      </w:r>
      <w:r w:rsidR="0032534E">
        <w:rPr>
          <w:rtl/>
          <w:lang w:eastAsia="zh-TW"/>
        </w:rPr>
        <w:t>-</w:t>
      </w:r>
      <w:r w:rsidR="001136FD">
        <w:rPr>
          <w:rtl/>
          <w:lang w:eastAsia="zh-TW"/>
        </w:rPr>
        <w:t>٧</w:t>
      </w:r>
      <w:r w:rsidR="001136FD">
        <w:rPr>
          <w:rtl/>
          <w:lang w:eastAsia="zh-TW"/>
        </w:rPr>
        <w:tab/>
      </w:r>
      <w:r w:rsidRPr="005D5C37">
        <w:rPr>
          <w:rtl/>
          <w:lang w:eastAsia="zh-TW"/>
        </w:rPr>
        <w:t>فيما يتعلق بحماية السلامة العامة والنظام العام، تدفع الدولة ا</w:t>
      </w:r>
      <w:r w:rsidR="002329BA">
        <w:rPr>
          <w:rtl/>
          <w:lang w:eastAsia="zh-TW"/>
        </w:rPr>
        <w:t>لطرف بأنه يج</w:t>
      </w:r>
      <w:r w:rsidRPr="005D5C37">
        <w:rPr>
          <w:rtl/>
          <w:lang w:eastAsia="zh-TW"/>
        </w:rPr>
        <w:t>ب أن يتسنى لها تحديد هوية جميع الأفراد عند الضرورة من أجل تفادي المخاطر التي تهدد أمن الأشخاص أو الممتلكات ومكافحة انتحال الهوية. وتدرك اللجنة ضرورة تمكُّن الدول، في سياقات معينة، من اشتراط إظهار الأفراد لوجوههم، وهو ما قد ينطوي على التزامات غير متكررة بكشف الأفراد عن وجوههم في ظروف محددة تنطوي على خطر على السلامة العامة أو</w:t>
      </w:r>
      <w:r w:rsidR="001136FD">
        <w:rPr>
          <w:rFonts w:hint="cs"/>
          <w:rtl/>
          <w:lang w:eastAsia="zh-TW"/>
        </w:rPr>
        <w:t> </w:t>
      </w:r>
      <w:r w:rsidRPr="005D5C37">
        <w:rPr>
          <w:rtl/>
          <w:lang w:eastAsia="zh-TW"/>
        </w:rPr>
        <w:t>النظام العام، أو لأغراض التحقق من الهوية. بيد أن اللجنة تلاحظ أن القانون لا يقتصر على هذه السياقات، بل إنه يحظر بصورة شاملة ارتداء أغطية وجه معينة في الأماكن العامة في جميع الأوقات، ولم تتمكن الدولة الطرف من إثبات كيف يشكل ارتداء النقاب في حد ذاته تهديد</w:t>
      </w:r>
      <w:r w:rsidR="00E46011">
        <w:rPr>
          <w:rtl/>
          <w:lang w:eastAsia="zh-TW"/>
        </w:rPr>
        <w:t xml:space="preserve">اً </w:t>
      </w:r>
      <w:r w:rsidRPr="005D5C37">
        <w:rPr>
          <w:rtl/>
          <w:lang w:eastAsia="zh-TW"/>
        </w:rPr>
        <w:t>للسلامة العامة أو النظام العام من شأنه أن يبرر هذا الحظر المطلق. ولم تقدم الدولة الطرف أيض</w:t>
      </w:r>
      <w:r w:rsidR="00E46011">
        <w:rPr>
          <w:rtl/>
          <w:lang w:eastAsia="zh-TW"/>
        </w:rPr>
        <w:t xml:space="preserve">اً </w:t>
      </w:r>
      <w:r w:rsidRPr="005D5C37">
        <w:rPr>
          <w:rtl/>
          <w:lang w:eastAsia="zh-TW"/>
        </w:rPr>
        <w:t xml:space="preserve">أي مبرر أو تفسير من زاوية السلامة العامة لأسباب حظر تغطية الوجه لأغراض دينية معينة </w:t>
      </w:r>
      <w:r w:rsidR="0032534E">
        <w:rPr>
          <w:rtl/>
          <w:lang w:eastAsia="zh-TW"/>
        </w:rPr>
        <w:t>-</w:t>
      </w:r>
      <w:r w:rsidRPr="005D5C37">
        <w:rPr>
          <w:rtl/>
          <w:lang w:eastAsia="zh-TW"/>
        </w:rPr>
        <w:t xml:space="preserve"> أي النقاب </w:t>
      </w:r>
      <w:r w:rsidR="0032534E">
        <w:rPr>
          <w:rtl/>
          <w:lang w:eastAsia="zh-TW"/>
        </w:rPr>
        <w:t>-</w:t>
      </w:r>
      <w:r w:rsidRPr="005D5C37">
        <w:rPr>
          <w:rtl/>
          <w:lang w:eastAsia="zh-TW"/>
        </w:rPr>
        <w:t xml:space="preserve"> في حين أن تغطية الوجه لأغراض عديدة أخرى، بما فيها الأغراض الرياضية والفنية وغير ذلك من الأغراض التقليدية والدينية، مسموح به. وتلاحظ اللجنة كذلك أن الدولة الطرف لم تبين أي سياق، أو تقدم أي مثال، يدل على وجود تهديد محدد وكبير على النظام العام والسلامة العامة من شأنه تبرير هذا الحظر الشامل على النقاب. ولا توجد أي من هذه التهديدات في بيان الغرض من القانون رقم 2010</w:t>
      </w:r>
      <w:r w:rsidR="0032534E">
        <w:rPr>
          <w:rtl/>
          <w:lang w:eastAsia="zh-TW"/>
        </w:rPr>
        <w:t>-</w:t>
      </w:r>
      <w:r w:rsidRPr="005D5C37">
        <w:rPr>
          <w:rtl/>
          <w:lang w:eastAsia="zh-TW"/>
        </w:rPr>
        <w:t xml:space="preserve">1192 أو في قرار الجمعية الوطنية المؤرخ ١١ أيار/مايو ٢٠١٠ الذي صدر قبل اعتماد هذا القانون. </w:t>
      </w:r>
    </w:p>
    <w:p w:rsidR="00CA6913" w:rsidRPr="005D5C37" w:rsidRDefault="00CA6913" w:rsidP="00C336A4">
      <w:pPr>
        <w:pStyle w:val="SingleTxtGA"/>
        <w:rPr>
          <w:rtl/>
          <w:lang w:eastAsia="zh-TW"/>
        </w:rPr>
      </w:pPr>
      <w:r w:rsidRPr="005D5C37">
        <w:rPr>
          <w:rtl/>
          <w:lang w:eastAsia="zh-TW"/>
        </w:rPr>
        <w:lastRenderedPageBreak/>
        <w:t>٨</w:t>
      </w:r>
      <w:r w:rsidR="0032534E">
        <w:rPr>
          <w:rtl/>
          <w:lang w:eastAsia="zh-TW"/>
        </w:rPr>
        <w:t>-</w:t>
      </w:r>
      <w:r w:rsidR="001136FD">
        <w:rPr>
          <w:rtl/>
          <w:lang w:eastAsia="zh-TW"/>
        </w:rPr>
        <w:t>٨</w:t>
      </w:r>
      <w:r w:rsidR="001136FD">
        <w:rPr>
          <w:rtl/>
          <w:lang w:eastAsia="zh-TW"/>
        </w:rPr>
        <w:tab/>
      </w:r>
      <w:r w:rsidRPr="005D5C37">
        <w:rPr>
          <w:rtl/>
          <w:lang w:eastAsia="zh-TW"/>
        </w:rPr>
        <w:t>وحتى إذا كان بإمكان الدولة الطرف إثبات وجود تهديد محدد وكبير للسلامة العامة والنظام العام من حيث المبدأ، فإنها لم تثبت أن الحظر الوارد في القانون رقم 2010</w:t>
      </w:r>
      <w:r w:rsidR="0032534E">
        <w:rPr>
          <w:rtl/>
          <w:lang w:eastAsia="zh-TW"/>
        </w:rPr>
        <w:t>-</w:t>
      </w:r>
      <w:r w:rsidRPr="005D5C37">
        <w:rPr>
          <w:rtl/>
          <w:lang w:eastAsia="zh-TW"/>
        </w:rPr>
        <w:t>1192 متناسب مع ذلك الهدف، بالنظر إلى تأثيره الكبير على صاحبة البلاغ بصفتها امرأة ترتدي النقاب. ولم تحاول أيض</w:t>
      </w:r>
      <w:r w:rsidR="00E46011">
        <w:rPr>
          <w:rtl/>
          <w:lang w:eastAsia="zh-TW"/>
        </w:rPr>
        <w:t xml:space="preserve">اً </w:t>
      </w:r>
      <w:r w:rsidRPr="005D5C37">
        <w:rPr>
          <w:rtl/>
          <w:lang w:eastAsia="zh-TW"/>
        </w:rPr>
        <w:t>إثبات أن الحظر هو التدبير الأقل تقييد</w:t>
      </w:r>
      <w:r w:rsidR="00E46011">
        <w:rPr>
          <w:rtl/>
          <w:lang w:eastAsia="zh-TW"/>
        </w:rPr>
        <w:t xml:space="preserve">اً </w:t>
      </w:r>
      <w:r w:rsidRPr="005D5C37">
        <w:rPr>
          <w:rtl/>
          <w:lang w:eastAsia="zh-TW"/>
        </w:rPr>
        <w:t>اللازم لضمان حماية حرية الدين أو المعتقد</w:t>
      </w:r>
      <w:r w:rsidR="00C336A4" w:rsidRPr="00C336A4">
        <w:rPr>
          <w:rFonts w:hint="cs"/>
          <w:vertAlign w:val="superscript"/>
          <w:rtl/>
          <w:lang w:eastAsia="zh-TW"/>
        </w:rPr>
        <w:t>(</w:t>
      </w:r>
      <w:r w:rsidR="00C336A4" w:rsidRPr="00C336A4">
        <w:rPr>
          <w:rStyle w:val="FootnoteReference"/>
          <w:sz w:val="20"/>
          <w:szCs w:val="30"/>
          <w:rtl/>
          <w:lang w:eastAsia="zh-TW"/>
        </w:rPr>
        <w:footnoteReference w:id="24"/>
      </w:r>
      <w:r w:rsidR="00C336A4" w:rsidRPr="00C336A4">
        <w:rPr>
          <w:rFonts w:hint="cs"/>
          <w:vertAlign w:val="superscript"/>
          <w:rtl/>
          <w:lang w:eastAsia="zh-TW"/>
        </w:rPr>
        <w:t>)</w:t>
      </w:r>
      <w:r w:rsidRPr="005D5C37">
        <w:rPr>
          <w:rtl/>
          <w:lang w:eastAsia="zh-TW"/>
        </w:rPr>
        <w:t xml:space="preserve">. </w:t>
      </w:r>
    </w:p>
    <w:p w:rsidR="00CA6913" w:rsidRPr="005D5C37" w:rsidRDefault="00CA6913" w:rsidP="001136FD">
      <w:pPr>
        <w:pStyle w:val="SingleTxtGA"/>
        <w:rPr>
          <w:rtl/>
          <w:lang w:eastAsia="zh-TW"/>
        </w:rPr>
      </w:pPr>
      <w:r w:rsidRPr="005D5C37">
        <w:rPr>
          <w:rtl/>
          <w:lang w:eastAsia="zh-TW"/>
        </w:rPr>
        <w:t>٨</w:t>
      </w:r>
      <w:r w:rsidR="0032534E">
        <w:rPr>
          <w:rtl/>
          <w:lang w:eastAsia="zh-TW"/>
        </w:rPr>
        <w:t>-</w:t>
      </w:r>
      <w:r w:rsidR="001136FD">
        <w:rPr>
          <w:rtl/>
          <w:lang w:eastAsia="zh-TW"/>
        </w:rPr>
        <w:t>٩</w:t>
      </w:r>
      <w:r w:rsidR="001136FD">
        <w:rPr>
          <w:rtl/>
          <w:lang w:eastAsia="zh-TW"/>
        </w:rPr>
        <w:tab/>
      </w:r>
      <w:r w:rsidRPr="005D5C37">
        <w:rPr>
          <w:rtl/>
          <w:lang w:eastAsia="zh-TW"/>
        </w:rPr>
        <w:t>وفيما يتعلق بالهدف الثاني الذي عرضته الدولة الطرف، والذي يُفهم أنه حماية حقوق الآخرين وحرياتهم الأساسية بموجب المادة ١٨(٣)، تلاحظ اللجنة حجة الدولة الطرف المستندة إلى مفهوم "العيش معا</w:t>
      </w:r>
      <w:r w:rsidR="00F95C27">
        <w:rPr>
          <w:rFonts w:hint="cs"/>
          <w:rtl/>
          <w:lang w:eastAsia="zh-TW"/>
        </w:rPr>
        <w:t>ً</w:t>
      </w:r>
      <w:r w:rsidRPr="005D5C37">
        <w:rPr>
          <w:rtl/>
          <w:lang w:eastAsia="zh-TW"/>
        </w:rPr>
        <w:t>" أو احترام الشروط الدنيا للحياة في المجتمع، بما أن الأماكن العامة هي أهم مكان تحدث فيه الحياة الاجتماعية ويتواصل فيه الناس فيما بينهم. وترى الدولة الطرف أن إظهار وجه الشخص يدل على قبوله لأن يتعرف عليه الشخص المتحاور معه وعدم إخفاء إطاره الذهني "بصورة غير عادلة"، وهذا يشكل "الحد الأدنى من الثقة الضرورية للعيش معاً في مجتمع قائم على المساواة والانفتاح". وتلاحظ اللجنة أيض</w:t>
      </w:r>
      <w:r w:rsidR="00E46011">
        <w:rPr>
          <w:rtl/>
          <w:lang w:eastAsia="zh-TW"/>
        </w:rPr>
        <w:t xml:space="preserve">اً </w:t>
      </w:r>
      <w:r w:rsidRPr="005D5C37">
        <w:rPr>
          <w:rtl/>
          <w:lang w:eastAsia="zh-TW"/>
        </w:rPr>
        <w:t>ادعاء صاحبة البلاغ أن المشرّع لم</w:t>
      </w:r>
      <w:r w:rsidR="001136FD">
        <w:rPr>
          <w:rFonts w:hint="cs"/>
          <w:rtl/>
          <w:lang w:eastAsia="zh-TW"/>
        </w:rPr>
        <w:t> </w:t>
      </w:r>
      <w:r w:rsidRPr="005D5C37">
        <w:rPr>
          <w:rtl/>
          <w:lang w:eastAsia="zh-TW"/>
        </w:rPr>
        <w:t xml:space="preserve">يحدد بوضوح هذا الهدف، سواء في القانون نفسه أو في بيان الغرض. وتدرك اللجنة أنه قد يكون من مصلحة الدولة تشجيع الروح الاجتماعية والاحترام المتبادل فيما بين الأفراد، على جميع اختلافاتهم، في أراضيها، ومن ثم فقد يعتبر إخفاء الوجه عقبة محتملة أمام هذا التفاعل. </w:t>
      </w:r>
    </w:p>
    <w:p w:rsidR="00CA6913" w:rsidRPr="005D5C37" w:rsidRDefault="00CA6913" w:rsidP="001136FD">
      <w:pPr>
        <w:pStyle w:val="SingleTxtGA"/>
        <w:rPr>
          <w:rtl/>
          <w:lang w:eastAsia="zh-TW"/>
        </w:rPr>
      </w:pPr>
      <w:r w:rsidRPr="005D5C37">
        <w:rPr>
          <w:rtl/>
          <w:lang w:eastAsia="zh-TW"/>
        </w:rPr>
        <w:t>٨</w:t>
      </w:r>
      <w:r w:rsidR="0032534E">
        <w:rPr>
          <w:rtl/>
          <w:lang w:eastAsia="zh-TW"/>
        </w:rPr>
        <w:t>-</w:t>
      </w:r>
      <w:r w:rsidR="001136FD">
        <w:rPr>
          <w:rtl/>
          <w:lang w:eastAsia="zh-TW"/>
        </w:rPr>
        <w:t>١٠</w:t>
      </w:r>
      <w:r w:rsidR="001136FD">
        <w:rPr>
          <w:rtl/>
          <w:lang w:eastAsia="zh-TW"/>
        </w:rPr>
        <w:tab/>
      </w:r>
      <w:r w:rsidRPr="005D5C37">
        <w:rPr>
          <w:rtl/>
          <w:lang w:eastAsia="zh-TW"/>
        </w:rPr>
        <w:t>غير أن اللجنة تلاحظ أن حماية حقوق الآخرين وحرياتهم الأساسية تتطلب تحديد ماهية هذه الحقوق الأساسية المحددة المتأثرة، والأشخاص المتضررين من ذلك. ويتعين تفسير الاستثناءات الواردة في المادة ١٨(٣) بدقة وعدم تطبيقها في المطلق</w:t>
      </w:r>
      <w:r w:rsidR="00C336A4" w:rsidRPr="00C336A4">
        <w:rPr>
          <w:rFonts w:hint="cs"/>
          <w:vertAlign w:val="superscript"/>
          <w:rtl/>
          <w:lang w:eastAsia="zh-TW"/>
        </w:rPr>
        <w:t>(</w:t>
      </w:r>
      <w:r w:rsidR="00C336A4" w:rsidRPr="00C336A4">
        <w:rPr>
          <w:rStyle w:val="FootnoteReference"/>
          <w:sz w:val="20"/>
          <w:szCs w:val="30"/>
          <w:rtl/>
          <w:lang w:eastAsia="zh-TW"/>
        </w:rPr>
        <w:footnoteReference w:id="25"/>
      </w:r>
      <w:r w:rsidR="00C336A4" w:rsidRPr="00C336A4">
        <w:rPr>
          <w:rFonts w:hint="cs"/>
          <w:vertAlign w:val="superscript"/>
          <w:rtl/>
          <w:lang w:eastAsia="zh-TW"/>
        </w:rPr>
        <w:t>)</w:t>
      </w:r>
      <w:r w:rsidRPr="005D5C37">
        <w:rPr>
          <w:rtl/>
          <w:lang w:eastAsia="zh-TW"/>
        </w:rPr>
        <w:t>.</w:t>
      </w:r>
      <w:r w:rsidR="00C336A4">
        <w:rPr>
          <w:rFonts w:hint="cs"/>
          <w:rtl/>
          <w:lang w:eastAsia="zh-TW"/>
        </w:rPr>
        <w:t xml:space="preserve"> </w:t>
      </w:r>
      <w:r w:rsidRPr="005D5C37">
        <w:rPr>
          <w:rtl/>
          <w:lang w:eastAsia="zh-TW"/>
        </w:rPr>
        <w:t>وفي هذه القضية، تلاحظ اللجنة أن مفهوم "العيش معا</w:t>
      </w:r>
      <w:r w:rsidR="00F95C27">
        <w:rPr>
          <w:rFonts w:hint="cs"/>
          <w:rtl/>
          <w:lang w:eastAsia="zh-TW"/>
        </w:rPr>
        <w:t>ً</w:t>
      </w:r>
      <w:r w:rsidRPr="005D5C37">
        <w:rPr>
          <w:rtl/>
          <w:lang w:eastAsia="zh-TW"/>
        </w:rPr>
        <w:t>" موغل في الإبهام والتجرد. ولم تحدد الدولة الطرف أي حقوق أو حريات أساسية محددة للآخرين ستتأثر من وجود بعض الناس في الأماكن العامة وهم يخفون وجوههم، ويشمل هؤلاء النساء المنتقبات. ولم توضح الدولة الطرف أيض</w:t>
      </w:r>
      <w:r w:rsidR="00E46011">
        <w:rPr>
          <w:rtl/>
          <w:lang w:eastAsia="zh-TW"/>
        </w:rPr>
        <w:t xml:space="preserve">اً </w:t>
      </w:r>
      <w:r w:rsidRPr="005D5C37">
        <w:rPr>
          <w:rtl/>
          <w:lang w:eastAsia="zh-TW"/>
        </w:rPr>
        <w:t>السبب الذي يعرقل هذه الحقوق "بصورة غير عادلة" عن طريق ارتداء النقاب ولكنه لا يعرقلها بسبب تغطية الوجه في الأماكن العامة من خلال الوسائل العديدة الأخرى المستثناة من القانون. والعهد لا</w:t>
      </w:r>
      <w:r w:rsidR="001136FD">
        <w:rPr>
          <w:rFonts w:hint="cs"/>
          <w:rtl/>
          <w:lang w:eastAsia="zh-TW"/>
        </w:rPr>
        <w:t> </w:t>
      </w:r>
      <w:r w:rsidRPr="005D5C37">
        <w:rPr>
          <w:rtl/>
          <w:lang w:eastAsia="zh-TW"/>
        </w:rPr>
        <w:t>يحمي الحق في التفاعل مع أي فرد في الأماكن العامة والحق في عدم الانزعاج من الأشخاص الآخرين الذين يرتدون النقاب، ومن ثم فلا يمكن أن يوفر هذا الحقان أساس</w:t>
      </w:r>
      <w:r w:rsidR="00E46011">
        <w:rPr>
          <w:rtl/>
          <w:lang w:eastAsia="zh-TW"/>
        </w:rPr>
        <w:t xml:space="preserve">اً </w:t>
      </w:r>
      <w:r w:rsidRPr="005D5C37">
        <w:rPr>
          <w:rtl/>
          <w:lang w:eastAsia="zh-TW"/>
        </w:rPr>
        <w:t>لفرض قيود مسموح بها بالمعنى المحدد في المادة ١٨(٣).</w:t>
      </w:r>
    </w:p>
    <w:p w:rsidR="00CA6913" w:rsidRPr="005D5C37" w:rsidRDefault="00CA6913" w:rsidP="00CA6913">
      <w:pPr>
        <w:pStyle w:val="SingleTxtGA"/>
        <w:rPr>
          <w:rtl/>
          <w:lang w:eastAsia="zh-TW"/>
        </w:rPr>
      </w:pPr>
      <w:r w:rsidRPr="005D5C37">
        <w:rPr>
          <w:rtl/>
          <w:lang w:eastAsia="zh-TW"/>
        </w:rPr>
        <w:t>٨</w:t>
      </w:r>
      <w:r w:rsidR="0032534E">
        <w:rPr>
          <w:rtl/>
          <w:lang w:eastAsia="zh-TW"/>
        </w:rPr>
        <w:t>-</w:t>
      </w:r>
      <w:r w:rsidR="001136FD">
        <w:rPr>
          <w:rtl/>
          <w:lang w:eastAsia="zh-TW"/>
        </w:rPr>
        <w:t>١١</w:t>
      </w:r>
      <w:r w:rsidR="001136FD">
        <w:rPr>
          <w:rtl/>
          <w:lang w:eastAsia="zh-TW"/>
        </w:rPr>
        <w:tab/>
      </w:r>
      <w:r w:rsidRPr="005D5C37">
        <w:rPr>
          <w:rtl/>
          <w:lang w:eastAsia="zh-TW"/>
        </w:rPr>
        <w:t>وحتى مع افتراض أنه يمكن اعتبار مفهوم العيش مع</w:t>
      </w:r>
      <w:r w:rsidR="00E46011">
        <w:rPr>
          <w:rtl/>
          <w:lang w:eastAsia="zh-TW"/>
        </w:rPr>
        <w:t xml:space="preserve">اً </w:t>
      </w:r>
      <w:r w:rsidRPr="005D5C37">
        <w:rPr>
          <w:rtl/>
          <w:lang w:eastAsia="zh-TW"/>
        </w:rPr>
        <w:t>"هدف</w:t>
      </w:r>
      <w:r w:rsidR="00E46011">
        <w:rPr>
          <w:rtl/>
          <w:lang w:eastAsia="zh-TW"/>
        </w:rPr>
        <w:t xml:space="preserve">اً </w:t>
      </w:r>
      <w:r w:rsidRPr="005D5C37">
        <w:rPr>
          <w:rtl/>
          <w:lang w:eastAsia="zh-TW"/>
        </w:rPr>
        <w:t>مشروعا</w:t>
      </w:r>
      <w:r w:rsidR="00E46011">
        <w:rPr>
          <w:rFonts w:hint="cs"/>
          <w:rtl/>
          <w:lang w:eastAsia="zh-TW"/>
        </w:rPr>
        <w:t>ً</w:t>
      </w:r>
      <w:r w:rsidRPr="005D5C37">
        <w:rPr>
          <w:rtl/>
          <w:lang w:eastAsia="zh-TW"/>
        </w:rPr>
        <w:t>" بالمعنى المحدد في المادة ١٨(٣)، فإن اللجنة تلاحظ أن الدولة الطرف لم تثبت أن الحظر الجنائي المفروض على وسائل معينة لتغطية الوجه في الأماكن العامة، والذي يشكل تقييد</w:t>
      </w:r>
      <w:r w:rsidR="00E46011">
        <w:rPr>
          <w:rtl/>
          <w:lang w:eastAsia="zh-TW"/>
        </w:rPr>
        <w:t xml:space="preserve">اً </w:t>
      </w:r>
      <w:r w:rsidRPr="005D5C37">
        <w:rPr>
          <w:rtl/>
          <w:lang w:eastAsia="zh-TW"/>
        </w:rPr>
        <w:t>كبير</w:t>
      </w:r>
      <w:r w:rsidR="00E46011">
        <w:rPr>
          <w:rtl/>
          <w:lang w:eastAsia="zh-TW"/>
        </w:rPr>
        <w:t xml:space="preserve">اً </w:t>
      </w:r>
      <w:r w:rsidRPr="005D5C37">
        <w:rPr>
          <w:rtl/>
          <w:lang w:eastAsia="zh-TW"/>
        </w:rPr>
        <w:t>لحقوق صاحبة البلاغ وحرياتها بوصفها امرأة مسلمة ترتدي النقاب، يتناسب مع ذلك الهدف، أو أنه أقل الوسائل تقييد</w:t>
      </w:r>
      <w:r w:rsidR="00E46011">
        <w:rPr>
          <w:rtl/>
          <w:lang w:eastAsia="zh-TW"/>
        </w:rPr>
        <w:t xml:space="preserve">اً </w:t>
      </w:r>
      <w:r w:rsidRPr="005D5C37">
        <w:rPr>
          <w:rtl/>
          <w:lang w:eastAsia="zh-TW"/>
        </w:rPr>
        <w:t xml:space="preserve">لتحقيق حماية الدين أو المعتقد. </w:t>
      </w:r>
    </w:p>
    <w:p w:rsidR="00CA6913" w:rsidRPr="005D5C37" w:rsidRDefault="00CA6913" w:rsidP="00F95C27">
      <w:pPr>
        <w:pStyle w:val="SingleTxtGA"/>
        <w:rPr>
          <w:bCs/>
          <w:rtl/>
          <w:lang w:eastAsia="zh-TW"/>
        </w:rPr>
      </w:pPr>
      <w:r w:rsidRPr="005D5C37">
        <w:rPr>
          <w:rtl/>
          <w:lang w:eastAsia="zh-TW"/>
        </w:rPr>
        <w:t>٨</w:t>
      </w:r>
      <w:r w:rsidR="0032534E">
        <w:rPr>
          <w:rtl/>
          <w:lang w:eastAsia="zh-TW"/>
        </w:rPr>
        <w:t>-</w:t>
      </w:r>
      <w:r w:rsidR="001136FD">
        <w:rPr>
          <w:rtl/>
          <w:lang w:eastAsia="zh-TW"/>
        </w:rPr>
        <w:t>١٢</w:t>
      </w:r>
      <w:r w:rsidR="001136FD">
        <w:rPr>
          <w:rtl/>
          <w:lang w:eastAsia="zh-TW"/>
        </w:rPr>
        <w:tab/>
      </w:r>
      <w:r w:rsidRPr="005D5C37">
        <w:rPr>
          <w:rtl/>
          <w:lang w:eastAsia="zh-TW"/>
        </w:rPr>
        <w:t xml:space="preserve">وفي ضوء ما تقدم، ترى اللجنة أن الدولة الطرف لم تثبت أن تقييد حرية صاحبة البلاغ في المجاهرة بدينها أو معتقدها، من خلال ارتداء النقاب، ضروري ومتناسب بالمعنى المحدد في </w:t>
      </w:r>
      <w:r w:rsidRPr="005D5C37">
        <w:rPr>
          <w:rtl/>
          <w:lang w:eastAsia="zh-TW"/>
        </w:rPr>
        <w:lastRenderedPageBreak/>
        <w:t>المادة</w:t>
      </w:r>
      <w:r w:rsidR="00F95C27">
        <w:rPr>
          <w:rFonts w:hint="cs"/>
          <w:rtl/>
          <w:lang w:eastAsia="zh-TW"/>
        </w:rPr>
        <w:t xml:space="preserve"> </w:t>
      </w:r>
      <w:r w:rsidR="00F95C27" w:rsidRPr="005D5C37">
        <w:rPr>
          <w:rtl/>
          <w:lang w:eastAsia="zh-TW"/>
        </w:rPr>
        <w:t>١٨</w:t>
      </w:r>
      <w:r w:rsidR="00F95C27">
        <w:rPr>
          <w:rFonts w:hint="cs"/>
          <w:rtl/>
          <w:lang w:eastAsia="zh-TW"/>
        </w:rPr>
        <w:t>(3)</w:t>
      </w:r>
      <w:r w:rsidRPr="005D5C37">
        <w:rPr>
          <w:rtl/>
          <w:lang w:eastAsia="zh-TW"/>
        </w:rPr>
        <w:t xml:space="preserve"> من العهد. ولذا، تخلص اللجنة إلى أن الحظر المستحدث بموجب القانون رقم</w:t>
      </w:r>
      <w:r w:rsidR="001136FD">
        <w:rPr>
          <w:rFonts w:hint="cs"/>
          <w:rtl/>
          <w:lang w:eastAsia="zh-TW"/>
        </w:rPr>
        <w:t> </w:t>
      </w:r>
      <w:r w:rsidRPr="005D5C37">
        <w:rPr>
          <w:rtl/>
          <w:lang w:eastAsia="zh-TW"/>
        </w:rPr>
        <w:t>2010</w:t>
      </w:r>
      <w:r w:rsidR="0032534E">
        <w:rPr>
          <w:rtl/>
          <w:lang w:eastAsia="zh-TW"/>
        </w:rPr>
        <w:t>-</w:t>
      </w:r>
      <w:r w:rsidRPr="005D5C37">
        <w:rPr>
          <w:rtl/>
          <w:lang w:eastAsia="zh-TW"/>
        </w:rPr>
        <w:t>1192، وإدانة صاحبة البلاغ بموجب القانون المذكور لارتدائها النقاب يشكلان انتهاك</w:t>
      </w:r>
      <w:r w:rsidR="00E46011">
        <w:rPr>
          <w:rtl/>
          <w:lang w:eastAsia="zh-TW"/>
        </w:rPr>
        <w:t xml:space="preserve">اً </w:t>
      </w:r>
      <w:r w:rsidRPr="005D5C37">
        <w:rPr>
          <w:rtl/>
          <w:lang w:eastAsia="zh-TW"/>
        </w:rPr>
        <w:t>لحقوق صاحبة البلاغ بموجب المادة ١٨ من العهد.</w:t>
      </w:r>
    </w:p>
    <w:p w:rsidR="00CA6913" w:rsidRPr="005D5C37" w:rsidRDefault="00CA6913" w:rsidP="00CA6913">
      <w:pPr>
        <w:pStyle w:val="SingleTxtGA"/>
        <w:rPr>
          <w:rtl/>
          <w:lang w:eastAsia="zh-TW"/>
        </w:rPr>
      </w:pPr>
      <w:r w:rsidRPr="005D5C37">
        <w:rPr>
          <w:rtl/>
          <w:lang w:eastAsia="zh-TW"/>
        </w:rPr>
        <w:t>٨</w:t>
      </w:r>
      <w:r w:rsidR="0032534E">
        <w:rPr>
          <w:rtl/>
          <w:lang w:eastAsia="zh-TW"/>
        </w:rPr>
        <w:t>-</w:t>
      </w:r>
      <w:r w:rsidR="001136FD">
        <w:rPr>
          <w:rtl/>
          <w:lang w:eastAsia="zh-TW"/>
        </w:rPr>
        <w:t>١٣</w:t>
      </w:r>
      <w:r w:rsidR="001136FD">
        <w:rPr>
          <w:rtl/>
          <w:lang w:eastAsia="zh-TW"/>
        </w:rPr>
        <w:tab/>
      </w:r>
      <w:r w:rsidRPr="005D5C37">
        <w:rPr>
          <w:rtl/>
          <w:lang w:eastAsia="zh-TW"/>
        </w:rPr>
        <w:t>وفيما يتعلق بادعاءات صاحبة البلاغ بموجب المادة ٢٦ من العهد، ومفادها أن الأثر المترتب على القانون المعني هو التمييز غير المباشر ضد الأقلية من المسلمات اللاتي يرتدين النقاب، تلاحظ اللجنة حجة الدولة الطرف أن الحظر الذي استحدثه القانون لا يستند إلى دلالة الملابس الدينية المعنية، بل إلى كونها تخفي الوجه. ووفق</w:t>
      </w:r>
      <w:r w:rsidR="00E46011">
        <w:rPr>
          <w:rtl/>
          <w:lang w:eastAsia="zh-TW"/>
        </w:rPr>
        <w:t xml:space="preserve">اً </w:t>
      </w:r>
      <w:r w:rsidRPr="005D5C37">
        <w:rPr>
          <w:rtl/>
          <w:lang w:eastAsia="zh-TW"/>
        </w:rPr>
        <w:t>للدولة الطرف، "لا يتأثر بهذا الحظر سوى شكل الملابس المفرط في الأصولية والذي يؤدي إلى تخفّي الشخص في الأماكن العامة"، وهذا يعني بالنسبة لصاحبة البلاغ أنه "سيتسنى لها الوصول إلى الأماكن العامة مع ارتداء حجاب يبين معتقداتها الدينية دون إخفاء وجهها". غير أن اللجنة تلاحظ أن الجمعية الوطنية الفرنسية، في قرارها المتعلق بالالتزام باحترام قيم الجمهورية في مواجهة نشوء الممارسات</w:t>
      </w:r>
      <w:r w:rsidR="00F95C27">
        <w:rPr>
          <w:rtl/>
          <w:lang w:eastAsia="zh-TW"/>
        </w:rPr>
        <w:t xml:space="preserve"> الأصولية التي تهددها، ترى أن "</w:t>
      </w:r>
      <w:r w:rsidRPr="005D5C37">
        <w:rPr>
          <w:rtl/>
          <w:lang w:eastAsia="zh-TW"/>
        </w:rPr>
        <w:t>الممارسات الأصولية التي تقوض الكرامة والمساواة بين الرجل والمرأة، ومن بينها النقاب، تتنافى مع قيم الجمهورية"، وأنها تريد "أن تكون مكافحة التمييز وتعزيز المساواة بين الرجل والمرأة من أولويات السياسة العامة". وتلاحظ اللجنة كذلك أن القانون رقم 2010</w:t>
      </w:r>
      <w:r w:rsidR="0032534E">
        <w:rPr>
          <w:rtl/>
          <w:lang w:eastAsia="zh-TW"/>
        </w:rPr>
        <w:t>-</w:t>
      </w:r>
      <w:r w:rsidRPr="005D5C37">
        <w:rPr>
          <w:rtl/>
          <w:lang w:eastAsia="zh-TW"/>
        </w:rPr>
        <w:t xml:space="preserve">1192، بالرغم من صياغته بعبارات عامة، يشمل استثناءات لمعظم سياقات تغطية الوجه في الأماكن العامة، مما يحد من إمكانية تطبيق الحظر إلى ما يتجاوز بالكاد النقاب الإسلامي، وأن القانون ينفذ في المقام الأول ضد النساء اللاتي يرتدين النقاب. ومن ثم، تلاحظ اللجنة، من خلال نص القانون، والنقاش الذي دار قبل اعتماده وتنفيذه في الممارسة العملية، أن القانون يطبق في المقام الأول على النقاب الإسلامي، وهو شكل من أشكال الشعائر الدينية وتحديد الهوية لأقلية من النساء المسلمات. </w:t>
      </w:r>
    </w:p>
    <w:p w:rsidR="00CA6913" w:rsidRPr="005D5C37" w:rsidRDefault="00CA6913" w:rsidP="00F95C27">
      <w:pPr>
        <w:pStyle w:val="SingleTxtGA"/>
        <w:rPr>
          <w:rtl/>
          <w:lang w:eastAsia="zh-TW"/>
        </w:rPr>
      </w:pPr>
      <w:r w:rsidRPr="005D5C37">
        <w:rPr>
          <w:rtl/>
          <w:lang w:eastAsia="zh-TW"/>
        </w:rPr>
        <w:t>٨</w:t>
      </w:r>
      <w:r w:rsidR="0032534E">
        <w:rPr>
          <w:rtl/>
          <w:lang w:eastAsia="zh-TW"/>
        </w:rPr>
        <w:t>-</w:t>
      </w:r>
      <w:r w:rsidR="001136FD">
        <w:rPr>
          <w:rtl/>
          <w:lang w:eastAsia="zh-TW"/>
        </w:rPr>
        <w:t>١٤</w:t>
      </w:r>
      <w:r w:rsidR="001136FD">
        <w:rPr>
          <w:rtl/>
          <w:lang w:eastAsia="zh-TW"/>
        </w:rPr>
        <w:tab/>
      </w:r>
      <w:r w:rsidRPr="005D5C37">
        <w:rPr>
          <w:rtl/>
          <w:lang w:eastAsia="zh-TW"/>
        </w:rPr>
        <w:t>وتذكّر اللجنة بتعليقها العام رقم 22 (الفقرة 2) الذي نظرت فيه مع القلق إلى أي ميل إلى التمييز ضد أي أديان أو معتقدات لأي سبب من الأسباب، بما في ذلك كونها تمثل أقليات دينية قد تتعرض للعداء من جانب طائفة دينية مهيمنة. وتشير اللجنة إلى أن انتهاكاً للمادة</w:t>
      </w:r>
      <w:r w:rsidR="00F95C27">
        <w:rPr>
          <w:rFonts w:hint="cs"/>
          <w:rtl/>
          <w:lang w:eastAsia="zh-TW"/>
        </w:rPr>
        <w:t> </w:t>
      </w:r>
      <w:r w:rsidRPr="005D5C37">
        <w:rPr>
          <w:rtl/>
          <w:lang w:eastAsia="zh-TW"/>
        </w:rPr>
        <w:t>26 قد ينتج عن الأثر التمييزي لقاعدة أو تدبير في ظاهره الحياد أو الافتقار إلى أي نية للتمييز</w:t>
      </w:r>
      <w:r w:rsidR="00AE2F0B" w:rsidRPr="00AE2F0B">
        <w:rPr>
          <w:rFonts w:hint="cs"/>
          <w:vertAlign w:val="superscript"/>
          <w:rtl/>
          <w:lang w:eastAsia="zh-TW"/>
        </w:rPr>
        <w:t>(</w:t>
      </w:r>
      <w:r w:rsidR="00AE2F0B" w:rsidRPr="00AE2F0B">
        <w:rPr>
          <w:sz w:val="18"/>
          <w:vertAlign w:val="superscript"/>
          <w:rtl/>
          <w:lang w:eastAsia="zh-TW"/>
        </w:rPr>
        <w:footnoteReference w:id="26"/>
      </w:r>
      <w:r w:rsidR="00AE2F0B" w:rsidRPr="00AE2F0B">
        <w:rPr>
          <w:rFonts w:hint="cs"/>
          <w:vertAlign w:val="superscript"/>
          <w:rtl/>
          <w:lang w:eastAsia="zh-TW"/>
        </w:rPr>
        <w:t>)</w:t>
      </w:r>
      <w:r w:rsidRPr="005D5C37">
        <w:rPr>
          <w:rtl/>
          <w:lang w:eastAsia="zh-TW"/>
        </w:rPr>
        <w:t>.</w:t>
      </w:r>
      <w:r w:rsidR="001136FD">
        <w:rPr>
          <w:rtl/>
          <w:lang w:eastAsia="zh-TW"/>
        </w:rPr>
        <w:t xml:space="preserve"> </w:t>
      </w:r>
      <w:r w:rsidRPr="005D5C37">
        <w:rPr>
          <w:rtl/>
          <w:lang w:eastAsia="zh-TW"/>
        </w:rPr>
        <w:t>ومع ذلك، فكل تفرقة تستند إلى الأسس الواردة في المادة 26 لا ترقى إلى التمييز، طالما كانت قائمة على معايير معقولة وموضوعية</w:t>
      </w:r>
      <w:r w:rsidR="00AE2F0B" w:rsidRPr="00AE2F0B">
        <w:rPr>
          <w:rFonts w:hint="cs"/>
          <w:vertAlign w:val="superscript"/>
          <w:rtl/>
          <w:lang w:eastAsia="zh-TW"/>
        </w:rPr>
        <w:t>(</w:t>
      </w:r>
      <w:r w:rsidR="00AE2F0B" w:rsidRPr="00AE2F0B">
        <w:rPr>
          <w:sz w:val="18"/>
          <w:vertAlign w:val="superscript"/>
          <w:rtl/>
          <w:lang w:eastAsia="zh-TW"/>
        </w:rPr>
        <w:footnoteReference w:id="27"/>
      </w:r>
      <w:r w:rsidR="00AE2F0B" w:rsidRPr="00AE2F0B">
        <w:rPr>
          <w:rFonts w:hint="cs"/>
          <w:vertAlign w:val="superscript"/>
          <w:rtl/>
          <w:lang w:eastAsia="zh-TW"/>
        </w:rPr>
        <w:t>)</w:t>
      </w:r>
      <w:r w:rsidR="00AE2F0B">
        <w:rPr>
          <w:rFonts w:hint="cs"/>
          <w:rtl/>
          <w:lang w:eastAsia="zh-TW"/>
        </w:rPr>
        <w:t xml:space="preserve"> </w:t>
      </w:r>
      <w:r w:rsidRPr="005D5C37">
        <w:rPr>
          <w:rtl/>
          <w:lang w:eastAsia="zh-TW"/>
        </w:rPr>
        <w:t>سعياً لتحقيق هدف مشروع بموجب العهد</w:t>
      </w:r>
      <w:r w:rsidR="00AE2F0B" w:rsidRPr="00AE2F0B">
        <w:rPr>
          <w:rFonts w:hint="cs"/>
          <w:vertAlign w:val="superscript"/>
          <w:rtl/>
          <w:lang w:eastAsia="zh-TW"/>
        </w:rPr>
        <w:t>(</w:t>
      </w:r>
      <w:r w:rsidR="00AE2F0B" w:rsidRPr="00AE2F0B">
        <w:rPr>
          <w:sz w:val="18"/>
          <w:vertAlign w:val="superscript"/>
          <w:rtl/>
          <w:lang w:eastAsia="zh-TW"/>
        </w:rPr>
        <w:footnoteReference w:id="28"/>
      </w:r>
      <w:r w:rsidR="00AE2F0B" w:rsidRPr="00AE2F0B">
        <w:rPr>
          <w:rFonts w:hint="cs"/>
          <w:vertAlign w:val="superscript"/>
          <w:rtl/>
          <w:lang w:eastAsia="zh-TW"/>
        </w:rPr>
        <w:t>)</w:t>
      </w:r>
      <w:r w:rsidR="00AE2F0B">
        <w:rPr>
          <w:rFonts w:hint="cs"/>
          <w:rtl/>
          <w:lang w:eastAsia="zh-TW"/>
        </w:rPr>
        <w:t xml:space="preserve">. </w:t>
      </w:r>
      <w:r w:rsidRPr="005D5C37">
        <w:rPr>
          <w:rtl/>
          <w:lang w:eastAsia="zh-TW"/>
        </w:rPr>
        <w:t>ولذا، يتعين على اللجنة أن تقرر ما إذا كانت التفرقة في معاملة صاحبة البلاغ التي ترتدي النقاب الإسلامي، فيما يتعلق بالأشكال الأخرى من تغطية الوجه المأذون بها في إطار الاستثناءات المحددة بموجب المادة ٢ من القانون رقم 2010</w:t>
      </w:r>
      <w:r w:rsidR="0032534E">
        <w:rPr>
          <w:rtl/>
          <w:lang w:eastAsia="zh-TW"/>
        </w:rPr>
        <w:t>-</w:t>
      </w:r>
      <w:r w:rsidRPr="005D5C37">
        <w:rPr>
          <w:rtl/>
          <w:lang w:eastAsia="zh-TW"/>
        </w:rPr>
        <w:t xml:space="preserve">1192، تستوفي معايير معقولية الهدف وموضوعيته ومشروعيته. </w:t>
      </w:r>
    </w:p>
    <w:p w:rsidR="00CA6913" w:rsidRPr="005D5C37" w:rsidRDefault="00CA6913" w:rsidP="009A1C3F">
      <w:pPr>
        <w:pStyle w:val="SingleTxtGA"/>
        <w:rPr>
          <w:rtl/>
          <w:lang w:eastAsia="zh-TW"/>
        </w:rPr>
      </w:pPr>
      <w:r w:rsidRPr="005D5C37">
        <w:rPr>
          <w:rtl/>
          <w:lang w:eastAsia="zh-TW"/>
        </w:rPr>
        <w:t>٨</w:t>
      </w:r>
      <w:r w:rsidR="0032534E">
        <w:rPr>
          <w:rtl/>
          <w:lang w:eastAsia="zh-TW"/>
        </w:rPr>
        <w:t>-</w:t>
      </w:r>
      <w:r w:rsidR="004D7032">
        <w:rPr>
          <w:rtl/>
          <w:lang w:eastAsia="zh-TW"/>
        </w:rPr>
        <w:t>١٥</w:t>
      </w:r>
      <w:r w:rsidR="004D7032">
        <w:rPr>
          <w:rtl/>
          <w:lang w:eastAsia="zh-TW"/>
        </w:rPr>
        <w:tab/>
      </w:r>
      <w:r w:rsidRPr="005D5C37">
        <w:rPr>
          <w:rtl/>
          <w:lang w:eastAsia="zh-TW"/>
        </w:rPr>
        <w:t>وتلاحظ اللجنة أن الدولة الطرف لم تقدم أي تفسير يوضح السبب في أن الحظر الشامل على نقاب صاحبة البلاغ معقول أو مبرر، خلاف</w:t>
      </w:r>
      <w:r w:rsidR="00E46011">
        <w:rPr>
          <w:rtl/>
          <w:lang w:eastAsia="zh-TW"/>
        </w:rPr>
        <w:t xml:space="preserve">اً </w:t>
      </w:r>
      <w:r w:rsidRPr="005D5C37">
        <w:rPr>
          <w:rtl/>
          <w:lang w:eastAsia="zh-TW"/>
        </w:rPr>
        <w:t xml:space="preserve">للاستثناءات المسموح بها بموجب </w:t>
      </w:r>
      <w:r w:rsidRPr="005D5C37">
        <w:rPr>
          <w:rtl/>
          <w:lang w:eastAsia="zh-TW"/>
        </w:rPr>
        <w:lastRenderedPageBreak/>
        <w:t>القانون</w:t>
      </w:r>
      <w:r w:rsidR="007E29DE" w:rsidRPr="007E29DE">
        <w:rPr>
          <w:rFonts w:hint="cs"/>
          <w:vertAlign w:val="superscript"/>
          <w:rtl/>
          <w:lang w:eastAsia="zh-TW"/>
        </w:rPr>
        <w:t>(</w:t>
      </w:r>
      <w:r w:rsidR="007E29DE" w:rsidRPr="007E29DE">
        <w:rPr>
          <w:rStyle w:val="FootnoteReference"/>
          <w:sz w:val="20"/>
          <w:szCs w:val="30"/>
          <w:rtl/>
          <w:lang w:eastAsia="zh-TW"/>
        </w:rPr>
        <w:footnoteReference w:id="29"/>
      </w:r>
      <w:r w:rsidR="007E29DE" w:rsidRPr="007E29DE">
        <w:rPr>
          <w:rFonts w:hint="cs"/>
          <w:vertAlign w:val="superscript"/>
          <w:rtl/>
          <w:lang w:eastAsia="zh-TW"/>
        </w:rPr>
        <w:t>)</w:t>
      </w:r>
      <w:r w:rsidRPr="005D5C37">
        <w:rPr>
          <w:rtl/>
          <w:lang w:eastAsia="zh-TW"/>
        </w:rPr>
        <w:t>.</w:t>
      </w:r>
      <w:r w:rsidR="007E29DE">
        <w:rPr>
          <w:rFonts w:hint="cs"/>
          <w:rtl/>
          <w:lang w:eastAsia="zh-TW"/>
        </w:rPr>
        <w:t xml:space="preserve"> </w:t>
      </w:r>
      <w:r w:rsidRPr="005D5C37">
        <w:rPr>
          <w:rtl/>
          <w:lang w:eastAsia="zh-TW"/>
        </w:rPr>
        <w:t>وتلاحظ اللجنة كذلك أن الحظر الشامل على النقاب الذي استحدثه القانون يستند على ما يبدو إلى فرضية أن النقاب عامل تمييزي بطبيعته، وأن النساء اللاتي يرتدينه مرغمات على ذلك. وبينما تقر اللجنة بأن بعض النساء قد يتعرضن لضغوط أسرية أو</w:t>
      </w:r>
      <w:r w:rsidR="009A1C3F">
        <w:rPr>
          <w:rFonts w:hint="cs"/>
          <w:rtl/>
          <w:lang w:eastAsia="zh-TW"/>
        </w:rPr>
        <w:t> </w:t>
      </w:r>
      <w:r w:rsidRPr="005D5C37">
        <w:rPr>
          <w:rtl/>
          <w:lang w:eastAsia="zh-TW"/>
        </w:rPr>
        <w:t>اجتماعية لتغطية وجوههن، تلاحظ اللجنة أن ارتداء النقاب يمكن أيض</w:t>
      </w:r>
      <w:r w:rsidR="00E46011">
        <w:rPr>
          <w:rtl/>
          <w:lang w:eastAsia="zh-TW"/>
        </w:rPr>
        <w:t xml:space="preserve">اً </w:t>
      </w:r>
      <w:r w:rsidRPr="005D5C37">
        <w:rPr>
          <w:rtl/>
          <w:lang w:eastAsia="zh-TW"/>
        </w:rPr>
        <w:t>أن يكون اختيار</w:t>
      </w:r>
      <w:r w:rsidR="00E46011">
        <w:rPr>
          <w:rtl/>
          <w:lang w:eastAsia="zh-TW"/>
        </w:rPr>
        <w:t xml:space="preserve">اً </w:t>
      </w:r>
      <w:r w:rsidR="0032534E">
        <w:rPr>
          <w:rtl/>
          <w:lang w:eastAsia="zh-TW"/>
        </w:rPr>
        <w:t>-</w:t>
      </w:r>
      <w:r w:rsidRPr="005D5C37">
        <w:rPr>
          <w:rtl/>
          <w:lang w:eastAsia="zh-TW"/>
        </w:rPr>
        <w:t xml:space="preserve"> بل ووسيلة لتقديم مطالبة ما </w:t>
      </w:r>
      <w:r w:rsidR="0032534E">
        <w:rPr>
          <w:rtl/>
          <w:lang w:eastAsia="zh-TW"/>
        </w:rPr>
        <w:t>-</w:t>
      </w:r>
      <w:r w:rsidRPr="005D5C37">
        <w:rPr>
          <w:rtl/>
          <w:lang w:eastAsia="zh-TW"/>
        </w:rPr>
        <w:t xml:space="preserve"> على أساس معتقد ديني، كما هي الحال في قضية صاحبة البلاغ</w:t>
      </w:r>
      <w:r w:rsidR="007E29DE" w:rsidRPr="007E29DE">
        <w:rPr>
          <w:rFonts w:hint="cs"/>
          <w:vertAlign w:val="superscript"/>
          <w:rtl/>
          <w:lang w:eastAsia="zh-TW"/>
        </w:rPr>
        <w:t>(</w:t>
      </w:r>
      <w:r w:rsidR="007E29DE" w:rsidRPr="007E29DE">
        <w:rPr>
          <w:rStyle w:val="FootnoteReference"/>
          <w:b w:val="0"/>
          <w:sz w:val="20"/>
          <w:szCs w:val="30"/>
          <w:rtl/>
          <w:lang w:eastAsia="zh-TW"/>
        </w:rPr>
        <w:footnoteReference w:id="30"/>
      </w:r>
      <w:r w:rsidR="007E29DE" w:rsidRPr="007E29DE">
        <w:rPr>
          <w:rFonts w:hint="cs"/>
          <w:vertAlign w:val="superscript"/>
          <w:rtl/>
          <w:lang w:eastAsia="zh-TW"/>
        </w:rPr>
        <w:t>)</w:t>
      </w:r>
      <w:r w:rsidRPr="005D5C37">
        <w:rPr>
          <w:rtl/>
          <w:lang w:eastAsia="zh-TW"/>
        </w:rPr>
        <w:t>.</w:t>
      </w:r>
      <w:r w:rsidR="007E29DE">
        <w:rPr>
          <w:rFonts w:hint="cs"/>
          <w:rtl/>
          <w:lang w:eastAsia="zh-TW"/>
        </w:rPr>
        <w:t xml:space="preserve"> </w:t>
      </w:r>
      <w:r w:rsidRPr="005D5C37">
        <w:rPr>
          <w:rtl/>
          <w:lang w:eastAsia="zh-TW"/>
        </w:rPr>
        <w:t>وترى اللجنة كذلك أن فرض الحظر، بدل</w:t>
      </w:r>
      <w:r w:rsidR="00E46011">
        <w:rPr>
          <w:rtl/>
          <w:lang w:eastAsia="zh-TW"/>
        </w:rPr>
        <w:t xml:space="preserve">اً </w:t>
      </w:r>
      <w:r w:rsidRPr="005D5C37">
        <w:rPr>
          <w:rtl/>
          <w:lang w:eastAsia="zh-TW"/>
        </w:rPr>
        <w:t>من توفير الحماية للنساء المنتقبات، يمكن أن يكون له تأثير عكسي بحبسهن في منازلهن، مما يعيق حصولهن على الخدمات العامة، ويعرضهن للاستغلال والتهميش. وقد سبق للجنة بالفعل أن أعربت عن قلقها من أن حظر القانون لوسائل تغطية الوجه في الأماكن العامة ينتهك حرية تعبير الشخص عن دينه أو</w:t>
      </w:r>
      <w:r w:rsidR="009A1C3F">
        <w:rPr>
          <w:rFonts w:hint="cs"/>
          <w:rtl/>
          <w:lang w:eastAsia="zh-TW"/>
        </w:rPr>
        <w:t> </w:t>
      </w:r>
      <w:r w:rsidRPr="005D5C37">
        <w:rPr>
          <w:rtl/>
          <w:lang w:eastAsia="zh-TW"/>
        </w:rPr>
        <w:t>معتقده، وله تأثير غير متناسب على المنتمين لأديان معينة وعلى الفتيات، وأن تأثير القانون على شعور فئات معينة بالاستبعاد والتهميش قد يؤدي إلى نتائج تتعارض مع الأهداف المنشودة</w:t>
      </w:r>
      <w:r w:rsidR="007E29DE" w:rsidRPr="007E29DE">
        <w:rPr>
          <w:rFonts w:hint="cs"/>
          <w:vertAlign w:val="superscript"/>
          <w:rtl/>
          <w:lang w:eastAsia="zh-TW"/>
        </w:rPr>
        <w:t>(</w:t>
      </w:r>
      <w:r w:rsidR="007E29DE" w:rsidRPr="007E29DE">
        <w:rPr>
          <w:rStyle w:val="FootnoteReference"/>
          <w:sz w:val="20"/>
          <w:szCs w:val="30"/>
          <w:rtl/>
          <w:lang w:eastAsia="zh-TW"/>
        </w:rPr>
        <w:footnoteReference w:id="31"/>
      </w:r>
      <w:r w:rsidR="007E29DE" w:rsidRPr="007E29DE">
        <w:rPr>
          <w:rFonts w:hint="cs"/>
          <w:vertAlign w:val="superscript"/>
          <w:rtl/>
          <w:lang w:eastAsia="zh-TW"/>
        </w:rPr>
        <w:t>)</w:t>
      </w:r>
      <w:r w:rsidRPr="005D5C37">
        <w:rPr>
          <w:rtl/>
          <w:lang w:eastAsia="zh-TW"/>
        </w:rPr>
        <w:t>.</w:t>
      </w:r>
      <w:r w:rsidR="007E29DE">
        <w:rPr>
          <w:rFonts w:hint="cs"/>
          <w:rtl/>
          <w:lang w:eastAsia="zh-TW"/>
        </w:rPr>
        <w:t xml:space="preserve"> </w:t>
      </w:r>
      <w:r w:rsidRPr="005D5C37">
        <w:rPr>
          <w:rtl/>
          <w:lang w:eastAsia="zh-TW"/>
        </w:rPr>
        <w:t>وتلاحظ اللجنة كذلك أن هناك حكم</w:t>
      </w:r>
      <w:r w:rsidR="00E46011">
        <w:rPr>
          <w:rtl/>
          <w:lang w:eastAsia="zh-TW"/>
        </w:rPr>
        <w:t xml:space="preserve">اً </w:t>
      </w:r>
      <w:r w:rsidRPr="005D5C37">
        <w:rPr>
          <w:rtl/>
          <w:lang w:eastAsia="zh-TW"/>
        </w:rPr>
        <w:t>منفصل</w:t>
      </w:r>
      <w:r w:rsidR="00E46011">
        <w:rPr>
          <w:rtl/>
          <w:lang w:eastAsia="zh-TW"/>
        </w:rPr>
        <w:t xml:space="preserve">اً </w:t>
      </w:r>
      <w:r w:rsidRPr="005D5C37">
        <w:rPr>
          <w:rtl/>
          <w:lang w:eastAsia="zh-TW"/>
        </w:rPr>
        <w:t>عن هذا القانون، هو المادة</w:t>
      </w:r>
      <w:r w:rsidR="009A1C3F">
        <w:rPr>
          <w:rFonts w:hint="cs"/>
          <w:rtl/>
          <w:lang w:eastAsia="zh-TW"/>
        </w:rPr>
        <w:t> </w:t>
      </w:r>
      <w:r w:rsidRPr="005D5C37">
        <w:rPr>
          <w:rtl/>
          <w:lang w:eastAsia="zh-TW"/>
        </w:rPr>
        <w:t>225</w:t>
      </w:r>
      <w:r w:rsidR="0032534E">
        <w:rPr>
          <w:rtl/>
          <w:lang w:eastAsia="zh-TW"/>
        </w:rPr>
        <w:t>-</w:t>
      </w:r>
      <w:r w:rsidRPr="005D5C37">
        <w:rPr>
          <w:rtl/>
          <w:lang w:eastAsia="zh-TW"/>
        </w:rPr>
        <w:t>4</w:t>
      </w:r>
      <w:r w:rsidR="0032534E">
        <w:rPr>
          <w:rtl/>
          <w:lang w:eastAsia="zh-TW"/>
        </w:rPr>
        <w:t>-</w:t>
      </w:r>
      <w:r w:rsidRPr="005D5C37">
        <w:rPr>
          <w:rtl/>
          <w:lang w:eastAsia="zh-TW"/>
        </w:rPr>
        <w:t>10 من القانون الجنائي، يجرم المخالفة الخطيرة المتمثلة في إجبار الفرد على إخفاء الوجه، ويتصدى بذلك على وجه التحديد للشاغل المذكور.</w:t>
      </w:r>
    </w:p>
    <w:p w:rsidR="00CA6913" w:rsidRPr="005D5C37" w:rsidRDefault="00CA6913" w:rsidP="00CA6913">
      <w:pPr>
        <w:pStyle w:val="SingleTxtGA"/>
        <w:rPr>
          <w:bCs/>
          <w:rtl/>
          <w:lang w:eastAsia="zh-TW"/>
        </w:rPr>
      </w:pPr>
      <w:r w:rsidRPr="005D5C37">
        <w:rPr>
          <w:rtl/>
          <w:lang w:eastAsia="zh-TW"/>
        </w:rPr>
        <w:t>٨</w:t>
      </w:r>
      <w:r w:rsidR="0032534E">
        <w:rPr>
          <w:rtl/>
          <w:lang w:eastAsia="zh-TW"/>
        </w:rPr>
        <w:t>-</w:t>
      </w:r>
      <w:r w:rsidR="00032628">
        <w:rPr>
          <w:rtl/>
          <w:lang w:eastAsia="zh-TW"/>
        </w:rPr>
        <w:t>١٦</w:t>
      </w:r>
      <w:r w:rsidR="00032628">
        <w:rPr>
          <w:rtl/>
          <w:lang w:eastAsia="zh-TW"/>
        </w:rPr>
        <w:tab/>
      </w:r>
      <w:r w:rsidRPr="005D5C37">
        <w:rPr>
          <w:rtl/>
          <w:lang w:eastAsia="zh-TW"/>
        </w:rPr>
        <w:t>وأخير</w:t>
      </w:r>
      <w:r w:rsidR="00E4548E">
        <w:rPr>
          <w:rtl/>
          <w:lang w:eastAsia="zh-TW"/>
        </w:rPr>
        <w:t>اً،</w:t>
      </w:r>
      <w:r w:rsidRPr="005D5C37">
        <w:rPr>
          <w:rtl/>
          <w:lang w:eastAsia="zh-TW"/>
        </w:rPr>
        <w:t xml:space="preserve"> على الرغم من أن الدولة الطرف تدعي أن الجزاءات المفروضة على النساء اللاتي يقررن ارتداء النقاب في الأماكن العامة "متناسبة"، فإن اللجنة تلاحظ أن للعقوبات طابع</w:t>
      </w:r>
      <w:r w:rsidR="00E46011">
        <w:rPr>
          <w:rtl/>
          <w:lang w:eastAsia="zh-TW"/>
        </w:rPr>
        <w:t xml:space="preserve">اً </w:t>
      </w:r>
      <w:r w:rsidRPr="005D5C37">
        <w:rPr>
          <w:rtl/>
          <w:lang w:eastAsia="zh-TW"/>
        </w:rPr>
        <w:t>جنائي</w:t>
      </w:r>
      <w:r w:rsidR="00E46011">
        <w:rPr>
          <w:rtl/>
          <w:lang w:eastAsia="zh-TW"/>
        </w:rPr>
        <w:t xml:space="preserve">اً </w:t>
      </w:r>
      <w:r w:rsidRPr="005D5C37">
        <w:rPr>
          <w:rtl/>
          <w:lang w:eastAsia="zh-TW"/>
        </w:rPr>
        <w:t>وأنها طُبقت على بعض النساء، بمن فيهن صاحبة البلاغ، في مناسبات متعددة. وهذه الجزاءات تؤثر بالضرورة تأثير</w:t>
      </w:r>
      <w:r w:rsidR="00E46011">
        <w:rPr>
          <w:rtl/>
          <w:lang w:eastAsia="zh-TW"/>
        </w:rPr>
        <w:t xml:space="preserve">اً </w:t>
      </w:r>
      <w:r w:rsidRPr="005D5C37">
        <w:rPr>
          <w:rtl/>
          <w:lang w:eastAsia="zh-TW"/>
        </w:rPr>
        <w:t>سلبي</w:t>
      </w:r>
      <w:r w:rsidR="00E46011">
        <w:rPr>
          <w:rtl/>
          <w:lang w:eastAsia="zh-TW"/>
        </w:rPr>
        <w:t xml:space="preserve">اً </w:t>
      </w:r>
      <w:r w:rsidRPr="005D5C37">
        <w:rPr>
          <w:rtl/>
          <w:lang w:eastAsia="zh-TW"/>
        </w:rPr>
        <w:t xml:space="preserve">على حق صاحبة البلاغ في المجاهرة بدينها من خلال ارتداء الحجاب وربما على حقوق أخرى. </w:t>
      </w:r>
    </w:p>
    <w:p w:rsidR="00CA6913" w:rsidRPr="005D5C37" w:rsidRDefault="00CA6913" w:rsidP="00CA6913">
      <w:pPr>
        <w:pStyle w:val="SingleTxtGA"/>
        <w:rPr>
          <w:rtl/>
          <w:lang w:eastAsia="zh-TW"/>
        </w:rPr>
      </w:pPr>
      <w:r w:rsidRPr="005D5C37">
        <w:rPr>
          <w:rtl/>
          <w:lang w:eastAsia="zh-TW"/>
        </w:rPr>
        <w:t>٨</w:t>
      </w:r>
      <w:r w:rsidR="0032534E">
        <w:rPr>
          <w:rtl/>
          <w:lang w:eastAsia="zh-TW"/>
        </w:rPr>
        <w:t>-</w:t>
      </w:r>
      <w:r w:rsidR="00032628">
        <w:rPr>
          <w:rtl/>
          <w:lang w:eastAsia="zh-TW"/>
        </w:rPr>
        <w:t>١٧</w:t>
      </w:r>
      <w:r w:rsidR="00032628">
        <w:rPr>
          <w:rtl/>
          <w:lang w:eastAsia="zh-TW"/>
        </w:rPr>
        <w:tab/>
      </w:r>
      <w:r w:rsidRPr="005D5C37">
        <w:rPr>
          <w:rtl/>
          <w:lang w:eastAsia="zh-TW"/>
        </w:rPr>
        <w:t>وفي ضوء ما تقدم، ترى اللجنة أن الحظر الجنائي المفروض بموجب المادة الأولى من القانون رقم 2010</w:t>
      </w:r>
      <w:r w:rsidR="0032534E">
        <w:rPr>
          <w:rtl/>
          <w:lang w:eastAsia="zh-TW"/>
        </w:rPr>
        <w:t>-</w:t>
      </w:r>
      <w:r w:rsidRPr="005D5C37">
        <w:rPr>
          <w:rtl/>
          <w:lang w:eastAsia="zh-TW"/>
        </w:rPr>
        <w:t>1192 يؤثر بشكل غير متناسب على صاحبة البلاغ بصفتها امرأة مسلمة تختار ارتداء النقاب، ويقيم بينها وبين غيرها من الناس، الذين يغطون وجوههم أحياناً في الأماكن العامة بصورة قانونية، تمييزاً غير ضروري ولا يتناسب مع مصلحة مشروعة، وهو بذلك غير معقول. وتستنتج اللجنة من ذلك أن هذا الحكم وتطبيقه على صاحبة البلاغ يشكلان شكلاً من أشكال التمييز المتعدد الجوانب القائم على أساس نوع الجنس والدين، في انتهاك للمادة 26 من العهد.</w:t>
      </w:r>
    </w:p>
    <w:p w:rsidR="00CA6913" w:rsidRPr="005D5C37" w:rsidRDefault="00CA6913" w:rsidP="00CA6913">
      <w:pPr>
        <w:pStyle w:val="SingleTxtGA"/>
        <w:rPr>
          <w:rtl/>
          <w:lang w:eastAsia="zh-TW"/>
        </w:rPr>
      </w:pPr>
      <w:r w:rsidRPr="005D5C37">
        <w:rPr>
          <w:rtl/>
          <w:lang w:eastAsia="zh-TW"/>
        </w:rPr>
        <w:t>٩</w:t>
      </w:r>
      <w:r w:rsidR="0032534E">
        <w:rPr>
          <w:rtl/>
          <w:lang w:eastAsia="zh-TW"/>
        </w:rPr>
        <w:t>-</w:t>
      </w:r>
      <w:r w:rsidR="00032628">
        <w:rPr>
          <w:rtl/>
          <w:lang w:eastAsia="zh-TW"/>
        </w:rPr>
        <w:tab/>
      </w:r>
      <w:r w:rsidRPr="005D5C37">
        <w:rPr>
          <w:rtl/>
          <w:lang w:eastAsia="zh-TW"/>
        </w:rPr>
        <w:t>واللجنة، إذ تتصرف بموجب المادة 5(4) من البروتوكول الاختياري، ترى أن الدولة الطرف انتهكت حقوق صاحبة البلاغ بموجب المادتين 18 و26 من العهد.</w:t>
      </w:r>
    </w:p>
    <w:p w:rsidR="00CA6913" w:rsidRPr="005D5C37" w:rsidRDefault="00CA6913" w:rsidP="007E29DE">
      <w:pPr>
        <w:pStyle w:val="SingleTxtGA"/>
        <w:rPr>
          <w:rtl/>
          <w:lang w:eastAsia="zh-TW"/>
        </w:rPr>
      </w:pPr>
      <w:r w:rsidRPr="005D5C37">
        <w:rPr>
          <w:rtl/>
          <w:lang w:eastAsia="zh-TW"/>
        </w:rPr>
        <w:t>١٠</w:t>
      </w:r>
      <w:r w:rsidR="0032534E">
        <w:rPr>
          <w:rtl/>
          <w:lang w:eastAsia="zh-TW"/>
        </w:rPr>
        <w:t>-</w:t>
      </w:r>
      <w:r w:rsidR="00032628">
        <w:rPr>
          <w:rtl/>
          <w:lang w:eastAsia="zh-TW"/>
        </w:rPr>
        <w:tab/>
      </w:r>
      <w:r w:rsidRPr="005D5C37">
        <w:rPr>
          <w:rtl/>
          <w:lang w:eastAsia="zh-TW"/>
        </w:rPr>
        <w:t xml:space="preserve">ووفقاً لأحكام الفقرة (3)(أ) من المادة 2 من العهد، يجب على الدولة الطرف أن توفر لصاحبة البلاغ سبيل انتصاف فعالاً. ويقتضي منها ذلك تقديم الجبر الكامل للأفراد الذين </w:t>
      </w:r>
      <w:r w:rsidRPr="005D5C37">
        <w:rPr>
          <w:rtl/>
          <w:lang w:eastAsia="zh-TW"/>
        </w:rPr>
        <w:lastRenderedPageBreak/>
        <w:t>انتُهكت حقوقهم التي يكفلها العهد. والدولة الطرف ملزمة في هذه القضية بجملة أمور من بينها أن توفر لصاحبة البلاغ تدابير الترضية المناسبة والتعويض المالي المناسب عن الضرر الواقع. ويقع أيض</w:t>
      </w:r>
      <w:r w:rsidR="00E46011">
        <w:rPr>
          <w:rtl/>
          <w:lang w:eastAsia="zh-TW"/>
        </w:rPr>
        <w:t xml:space="preserve">اً </w:t>
      </w:r>
      <w:r w:rsidRPr="005D5C37">
        <w:rPr>
          <w:rtl/>
          <w:lang w:eastAsia="zh-TW"/>
        </w:rPr>
        <w:t>على الدولة الطرف التزام بمنع حدوث انتهاكات مماثلة في المستقبل، بوسائل منها مراجعة القانون رقم 2010</w:t>
      </w:r>
      <w:r w:rsidR="0032534E">
        <w:rPr>
          <w:rtl/>
          <w:lang w:eastAsia="zh-TW"/>
        </w:rPr>
        <w:t>-</w:t>
      </w:r>
      <w:r w:rsidRPr="005D5C37">
        <w:rPr>
          <w:rtl/>
          <w:lang w:eastAsia="zh-TW"/>
        </w:rPr>
        <w:t>1192 في ضوء التزاماتها بموجب العهد، ولا سيما المادتان 18 و26</w:t>
      </w:r>
      <w:r w:rsidR="007E29DE" w:rsidRPr="007E29DE">
        <w:rPr>
          <w:rFonts w:hint="cs"/>
          <w:vertAlign w:val="superscript"/>
          <w:rtl/>
          <w:lang w:eastAsia="zh-TW"/>
        </w:rPr>
        <w:t>(</w:t>
      </w:r>
      <w:r w:rsidR="007E29DE" w:rsidRPr="007E29DE">
        <w:rPr>
          <w:rStyle w:val="FootnoteReference"/>
          <w:sz w:val="20"/>
          <w:szCs w:val="30"/>
          <w:rtl/>
          <w:lang w:eastAsia="zh-TW"/>
        </w:rPr>
        <w:footnoteReference w:id="32"/>
      </w:r>
      <w:r w:rsidR="007E29DE" w:rsidRPr="007E29DE">
        <w:rPr>
          <w:rFonts w:hint="cs"/>
          <w:vertAlign w:val="superscript"/>
          <w:rtl/>
          <w:lang w:eastAsia="zh-TW"/>
        </w:rPr>
        <w:t>)</w:t>
      </w:r>
      <w:r w:rsidRPr="005D5C37">
        <w:rPr>
          <w:rtl/>
          <w:lang w:eastAsia="zh-TW"/>
        </w:rPr>
        <w:t>.</w:t>
      </w:r>
    </w:p>
    <w:p w:rsidR="009443C7" w:rsidRDefault="00CA6913" w:rsidP="009443C7">
      <w:pPr>
        <w:pStyle w:val="SingleTxtGA"/>
        <w:rPr>
          <w:rtl/>
          <w:lang w:val="en-GB" w:eastAsia="zh-TW"/>
        </w:rPr>
      </w:pPr>
      <w:r w:rsidRPr="005D5C37">
        <w:rPr>
          <w:rtl/>
          <w:lang w:eastAsia="zh-TW"/>
        </w:rPr>
        <w:t>١١</w:t>
      </w:r>
      <w:r w:rsidR="0032534E">
        <w:rPr>
          <w:rtl/>
          <w:lang w:eastAsia="zh-TW"/>
        </w:rPr>
        <w:t>-</w:t>
      </w:r>
      <w:r w:rsidR="00032628">
        <w:rPr>
          <w:rtl/>
          <w:lang w:eastAsia="zh-TW"/>
        </w:rPr>
        <w:tab/>
      </w:r>
      <w:r w:rsidRPr="005D5C37">
        <w:rPr>
          <w:rtl/>
          <w:lang w:eastAsia="zh-TW"/>
        </w:rPr>
        <w:t>وإذ تضع اللجنة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2 من العهد، بأن تكفل لجميع الأفراد الموجودين في إقليمها أو الخاضعين لولايتها الحقوق المعترف بها في العهد، وتؤمن سبيل انتصاف فعالاً وواجب الإنفاذ عند ثبوت الانتهاك، فإنها تود أن تتلقى من الدولة الطرف، في غضون 180 يوماً، معلومات عن التدابير التي اتخذتها لوضع هذه آراء موضع التنفيذ. ويُطلب أيضاً إلى الدولة الطرف نشر هذه الآراء وتعميمها على نطاق واسع</w:t>
      </w:r>
      <w:r w:rsidRPr="005D5C37">
        <w:rPr>
          <w:rFonts w:hint="cs"/>
          <w:rtl/>
        </w:rPr>
        <w:t>.</w:t>
      </w:r>
      <w:bookmarkStart w:id="1" w:name="_Hlk4172710"/>
    </w:p>
    <w:p w:rsidR="00CD5D48" w:rsidRDefault="00CD5D48" w:rsidP="009443C7">
      <w:pPr>
        <w:pStyle w:val="SingleTxtGA"/>
        <w:rPr>
          <w:rtl/>
          <w:lang w:val="en-GB" w:eastAsia="zh-TW"/>
        </w:rPr>
        <w:sectPr w:rsidR="00CD5D48" w:rsidSect="008763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CA6913" w:rsidRPr="005D5C37" w:rsidRDefault="00CA6913" w:rsidP="00EF2866">
      <w:pPr>
        <w:pStyle w:val="HChGA"/>
        <w:spacing w:before="120"/>
        <w:rPr>
          <w:rtl/>
          <w:lang w:val="en-GB" w:eastAsia="zh-TW"/>
        </w:rPr>
      </w:pPr>
      <w:r w:rsidRPr="005D5C37">
        <w:rPr>
          <w:rFonts w:hint="cs"/>
          <w:rtl/>
          <w:lang w:val="en-GB" w:eastAsia="zh-TW"/>
        </w:rPr>
        <w:lastRenderedPageBreak/>
        <w:t>المرفق الأول</w:t>
      </w:r>
    </w:p>
    <w:bookmarkEnd w:id="1"/>
    <w:p w:rsidR="00CA6913" w:rsidRPr="005D5C37" w:rsidRDefault="00CA6913" w:rsidP="00EF2866">
      <w:pPr>
        <w:pStyle w:val="HChGA"/>
        <w:rPr>
          <w:rtl/>
          <w:lang w:val="en-GB" w:eastAsia="zh-TW"/>
        </w:rPr>
      </w:pPr>
      <w:r w:rsidRPr="005D5C37">
        <w:rPr>
          <w:rtl/>
          <w:lang w:val="en-GB" w:eastAsia="zh-TW"/>
        </w:rPr>
        <w:tab/>
      </w:r>
      <w:r w:rsidRPr="005D5C37">
        <w:rPr>
          <w:rtl/>
          <w:lang w:val="en-GB" w:eastAsia="zh-TW"/>
        </w:rPr>
        <w:tab/>
        <w:t xml:space="preserve">رأي فردي لأعضاء اللجنة، </w:t>
      </w:r>
      <w:r w:rsidR="007D6F6C">
        <w:rPr>
          <w:rtl/>
          <w:lang w:val="en-GB" w:eastAsia="zh-TW"/>
        </w:rPr>
        <w:t>إيلز</w:t>
      </w:r>
      <w:r w:rsidRPr="005D5C37">
        <w:rPr>
          <w:rtl/>
          <w:lang w:val="en-GB" w:eastAsia="zh-TW"/>
        </w:rPr>
        <w:t>ه براندس كي</w:t>
      </w:r>
      <w:r w:rsidR="00FD2D1E">
        <w:rPr>
          <w:rFonts w:hint="cs"/>
          <w:rtl/>
          <w:lang w:val="en-GB" w:eastAsia="zh-TW"/>
        </w:rPr>
        <w:t>ه</w:t>
      </w:r>
      <w:r w:rsidRPr="005D5C37">
        <w:rPr>
          <w:rtl/>
          <w:lang w:val="en-GB" w:eastAsia="zh-TW"/>
        </w:rPr>
        <w:t>ريس، وسارة كليفلاند، وكريستوف هاينز، ومارسيا ف. ج. كران، ويوفال شاني (رأي مؤيد)</w:t>
      </w:r>
    </w:p>
    <w:p w:rsidR="00CA6913" w:rsidRPr="005D5C37" w:rsidRDefault="00CA6913" w:rsidP="00B64619">
      <w:pPr>
        <w:pStyle w:val="SingleTxtGA"/>
        <w:rPr>
          <w:rtl/>
          <w:lang w:val="en-GB" w:eastAsia="zh-TW"/>
        </w:rPr>
      </w:pPr>
      <w:r w:rsidRPr="005D5C37">
        <w:rPr>
          <w:rtl/>
          <w:lang w:val="en-GB" w:eastAsia="zh-TW"/>
        </w:rPr>
        <w:t>١</w:t>
      </w:r>
      <w:r w:rsidR="0032534E">
        <w:rPr>
          <w:rtl/>
          <w:lang w:val="en-GB" w:eastAsia="zh-TW"/>
        </w:rPr>
        <w:t>-</w:t>
      </w:r>
      <w:r w:rsidRPr="005D5C37">
        <w:rPr>
          <w:rtl/>
          <w:lang w:val="en-GB" w:eastAsia="zh-TW"/>
        </w:rPr>
        <w:tab/>
        <w:t xml:space="preserve">إننا نتفق مع أغلبية أعضاء اللجنة في </w:t>
      </w:r>
      <w:r w:rsidRPr="005D5C37">
        <w:rPr>
          <w:rtl/>
          <w:lang w:val="ru-RU" w:eastAsia="zh-TW" w:bidi="ar-DZ"/>
        </w:rPr>
        <w:t>أ</w:t>
      </w:r>
      <w:r w:rsidRPr="005D5C37">
        <w:rPr>
          <w:rtl/>
          <w:lang w:val="en-GB" w:eastAsia="zh-TW"/>
        </w:rPr>
        <w:t>ن فرنسا، الدولة المدعى عليها، لم تقدم تفسيراً وافياً للأسباب الأمنية التي يمكن أن تبرر فرض حظر كلي على ارتداء المرأة المسلمة للنقاب، ولا</w:t>
      </w:r>
      <w:r w:rsidR="00B64619">
        <w:rPr>
          <w:rFonts w:hint="eastAsia"/>
          <w:rtl/>
          <w:lang w:val="en-GB" w:eastAsia="zh-TW"/>
        </w:rPr>
        <w:t> </w:t>
      </w:r>
      <w:r w:rsidRPr="005D5C37">
        <w:rPr>
          <w:rtl/>
          <w:lang w:val="en-GB" w:eastAsia="zh-TW"/>
        </w:rPr>
        <w:t>سيما في ضوء تطبيق استثناءات، بمقتضى القانون رقم 2010</w:t>
      </w:r>
      <w:r w:rsidR="0032534E">
        <w:rPr>
          <w:rtl/>
          <w:lang w:val="en-GB" w:eastAsia="zh-TW"/>
        </w:rPr>
        <w:t>-</w:t>
      </w:r>
      <w:r w:rsidRPr="005D5C37">
        <w:rPr>
          <w:rtl/>
          <w:lang w:val="en-GB" w:eastAsia="zh-TW"/>
        </w:rPr>
        <w:t xml:space="preserve">1192، على أشكال أخرى من الستر الكامل للوجه. ونتفق أيضاً مع الأغلبية على أن الدولة الطرف لم تقدم تفسيراً مقنعاً يبين كيف يمكن أن تكون مصلحة </w:t>
      </w:r>
      <w:r w:rsidRPr="005D5C37">
        <w:rPr>
          <w:rFonts w:hint="cs"/>
          <w:rtl/>
          <w:lang w:val="en-GB" w:eastAsia="zh-TW"/>
        </w:rPr>
        <w:t>"</w:t>
      </w:r>
      <w:r w:rsidRPr="005D5C37">
        <w:rPr>
          <w:rtl/>
          <w:lang w:val="en-GB" w:eastAsia="zh-TW"/>
        </w:rPr>
        <w:t>العيش المشترك</w:t>
      </w:r>
      <w:r w:rsidRPr="005D5C37">
        <w:rPr>
          <w:rFonts w:hint="cs"/>
          <w:rtl/>
          <w:lang w:val="en-GB" w:eastAsia="zh-TW"/>
        </w:rPr>
        <w:t>"</w:t>
      </w:r>
      <w:r w:rsidRPr="005D5C37">
        <w:rPr>
          <w:rtl/>
          <w:lang w:val="en-GB" w:eastAsia="zh-TW"/>
        </w:rPr>
        <w:t xml:space="preserve"> مبرراً لإرغام أفراد من أقلية دينية، تحت طائلة التعرض لعقوبات جنائية، على ارتداء لباس يساعد على إقامة علاقات اجتماعية </w:t>
      </w:r>
      <w:r w:rsidRPr="005D5C37">
        <w:rPr>
          <w:rFonts w:hint="cs"/>
          <w:rtl/>
          <w:lang w:val="en-GB" w:eastAsia="zh-TW"/>
        </w:rPr>
        <w:t>"</w:t>
      </w:r>
      <w:r w:rsidRPr="005D5C37">
        <w:rPr>
          <w:rtl/>
          <w:lang w:val="en-GB" w:eastAsia="zh-TW"/>
        </w:rPr>
        <w:t>طبيعية</w:t>
      </w:r>
      <w:r w:rsidRPr="005D5C37">
        <w:rPr>
          <w:rFonts w:hint="cs"/>
          <w:rtl/>
          <w:lang w:val="en-GB" w:eastAsia="zh-TW"/>
        </w:rPr>
        <w:t>"</w:t>
      </w:r>
      <w:r w:rsidRPr="005D5C37">
        <w:rPr>
          <w:rtl/>
          <w:lang w:val="en-GB" w:eastAsia="zh-TW"/>
        </w:rPr>
        <w:t xml:space="preserve">. </w:t>
      </w:r>
    </w:p>
    <w:p w:rsidR="00CA6913" w:rsidRPr="005D5C37" w:rsidRDefault="00CA6913" w:rsidP="00CA6913">
      <w:pPr>
        <w:pStyle w:val="SingleTxtGA"/>
        <w:rPr>
          <w:rtl/>
          <w:lang w:val="en-GB" w:eastAsia="zh-TW"/>
        </w:rPr>
      </w:pPr>
      <w:r w:rsidRPr="005D5C37">
        <w:rPr>
          <w:rtl/>
          <w:lang w:val="en-GB" w:eastAsia="zh-TW"/>
        </w:rPr>
        <w:t>٢</w:t>
      </w:r>
      <w:r w:rsidR="0032534E">
        <w:rPr>
          <w:rtl/>
          <w:lang w:val="en-GB" w:eastAsia="zh-TW"/>
        </w:rPr>
        <w:t>-</w:t>
      </w:r>
      <w:r w:rsidRPr="005D5C37">
        <w:rPr>
          <w:rtl/>
          <w:lang w:val="en-GB" w:eastAsia="zh-TW"/>
        </w:rPr>
        <w:tab/>
        <w:t>بيد أننا نميل إلى قبول الزعم الضمني الذي مفاده أن ارتداء النقاب ينطوي على تمييز (الفقرة 8</w:t>
      </w:r>
      <w:r w:rsidR="0032534E">
        <w:rPr>
          <w:rtl/>
          <w:lang w:val="en-GB" w:eastAsia="zh-TW"/>
        </w:rPr>
        <w:t>-</w:t>
      </w:r>
      <w:r w:rsidRPr="005D5C37">
        <w:rPr>
          <w:rtl/>
          <w:lang w:val="en-GB" w:eastAsia="zh-TW"/>
        </w:rPr>
        <w:t>15)، لأننا نعتبر النقاب ممارسة تقليديةً تسمح للرجل بإخضاع المرأة بدعوى الحفاظ على "حشمتها"</w:t>
      </w:r>
      <w:r w:rsidRPr="00886BA2">
        <w:rPr>
          <w:sz w:val="30"/>
          <w:vertAlign w:val="superscript"/>
          <w:rtl/>
          <w:lang w:val="en-GB" w:eastAsia="zh-TW"/>
        </w:rPr>
        <w:t>(</w:t>
      </w:r>
      <w:r w:rsidRPr="00886BA2">
        <w:rPr>
          <w:rStyle w:val="FootnoteReference"/>
          <w:sz w:val="30"/>
          <w:szCs w:val="30"/>
          <w:rtl/>
          <w:lang w:val="en-GB" w:eastAsia="zh-TW"/>
        </w:rPr>
        <w:footnoteReference w:id="33"/>
      </w:r>
      <w:r w:rsidRPr="00886BA2">
        <w:rPr>
          <w:sz w:val="30"/>
          <w:vertAlign w:val="superscript"/>
          <w:rtl/>
          <w:lang w:val="en-GB" w:eastAsia="zh-TW"/>
        </w:rPr>
        <w:t>)</w:t>
      </w:r>
      <w:r w:rsidRPr="005D5C37">
        <w:rPr>
          <w:rtl/>
          <w:lang w:val="en-GB" w:eastAsia="zh-TW"/>
        </w:rPr>
        <w:t>، مما يترتب عليه حرمان المرأة من الحق في ارتياد الأماكن العامة على قدم المساواة مع الرجل. ولذلك، لا نجد صعوبة في القول إن فرنسا يحق لها، بل يجب عليها، وفقاً للمواد ٢</w:t>
      </w:r>
      <w:r w:rsidRPr="005D5C37">
        <w:rPr>
          <w:szCs w:val="26"/>
          <w:rtl/>
          <w:lang w:val="en-GB" w:eastAsia="zh-TW"/>
        </w:rPr>
        <w:t>(</w:t>
      </w:r>
      <w:r w:rsidRPr="005D5C37">
        <w:rPr>
          <w:rtl/>
          <w:lang w:val="en-GB" w:eastAsia="zh-TW"/>
        </w:rPr>
        <w:t>١)، و٣ و٢٦ من العهد، وكذلك بموجب المادة ٥</w:t>
      </w:r>
      <w:r w:rsidRPr="005D5C37">
        <w:rPr>
          <w:szCs w:val="26"/>
          <w:rtl/>
          <w:lang w:val="en-GB" w:eastAsia="zh-TW"/>
        </w:rPr>
        <w:t>(</w:t>
      </w:r>
      <w:r w:rsidRPr="005D5C37">
        <w:rPr>
          <w:rtl/>
          <w:lang w:val="en-GB" w:eastAsia="zh-TW"/>
        </w:rPr>
        <w:t xml:space="preserve">أ) من اتفاقية القضاء على جميع أشكال التمييز ضد المرأة، أن تتخذ جميع التدابير المناسبة للتعامل مع هذا النمط من السلوك حرصاً على ألاَّ تتعرض المرأة للتمييز من جرائه. </w:t>
      </w:r>
    </w:p>
    <w:p w:rsidR="00CA6913" w:rsidRPr="005D5C37" w:rsidRDefault="00CA6913" w:rsidP="00CA6913">
      <w:pPr>
        <w:pStyle w:val="SingleTxtGA"/>
        <w:rPr>
          <w:rtl/>
          <w:lang w:val="en-GB" w:eastAsia="zh-TW"/>
        </w:rPr>
      </w:pPr>
      <w:r w:rsidRPr="005D5C37">
        <w:rPr>
          <w:rtl/>
          <w:lang w:val="en-GB" w:eastAsia="zh-TW"/>
        </w:rPr>
        <w:t>٣</w:t>
      </w:r>
      <w:r w:rsidR="0032534E">
        <w:rPr>
          <w:rtl/>
          <w:lang w:val="en-GB" w:eastAsia="zh-TW"/>
        </w:rPr>
        <w:t>-</w:t>
      </w:r>
      <w:r w:rsidRPr="005D5C37">
        <w:rPr>
          <w:rtl/>
          <w:lang w:val="en-GB" w:eastAsia="zh-TW"/>
        </w:rPr>
        <w:tab/>
        <w:t xml:space="preserve">بيد أن السؤال المطروح هو ما إذا كان حظر ارتداء النقاب حظراً كلياً في الأماكن العامة، وإنفاذ هذا الحظر بفرض عقوبة جنائية على المرأة التي يتوخى حمايتها أصلاً، تدبيراً مناسباً في ظل ملابسات هذه القضية </w:t>
      </w:r>
      <w:r w:rsidR="0032534E">
        <w:rPr>
          <w:rFonts w:hint="cs"/>
          <w:rtl/>
          <w:lang w:val="en-GB" w:eastAsia="zh-TW"/>
        </w:rPr>
        <w:t>-</w:t>
      </w:r>
      <w:r w:rsidRPr="005D5C37">
        <w:rPr>
          <w:rtl/>
          <w:lang w:val="en-GB" w:eastAsia="zh-TW"/>
        </w:rPr>
        <w:t xml:space="preserve"> أي ما إذا كان تدبيراً معقولاً ومتناسباً يستهدف صاحبة البلاغ ومسلمات أخريات. وفي هذا الصدد، نرى أن الدولة الطرف لم تثبت للجنة أن اعتماد تدابير أقل اقتحاماً للخصوصية من الحظر الكلي، مثل التعليم والتوعية بالآثار السلبية المترتبة على ارتداء النقاب، وتجريم جميع أشكال الضغط على النساء لارتدائه، وفرض حظر محدود على ارتداء النقاب في سياقات اجتماعية معينة، عن طريق إنفاذ عقوبات غير جنائية مناسبة، والتشديد على موقف الدولة المناهض لهذه الممارسة (مثل حظر ارتداء النقاب على المدرسات في المدارس العامة أو على الموظفات الحكوميات اللواتي يتعاملن مع الجمهور)، لم يكن ليُغيِّر بالقدر الكافي من الممارسة المتمثلة في ارتداء النقاب من دون الإخلال بحق المرأة نفسها في الخصوصية والاستقلال الذاتي والحرية الدينية، بمن في ذلك المرأة التي ترتدي الحجاب اختياراً. </w:t>
      </w:r>
    </w:p>
    <w:p w:rsidR="00CA6913" w:rsidRPr="005D5C37" w:rsidRDefault="00CA6913" w:rsidP="00CA6913">
      <w:pPr>
        <w:pStyle w:val="SingleTxtGA"/>
        <w:rPr>
          <w:rtl/>
          <w:lang w:val="en-GB" w:eastAsia="zh-TW"/>
        </w:rPr>
      </w:pPr>
      <w:r w:rsidRPr="005D5C37">
        <w:rPr>
          <w:rtl/>
          <w:lang w:val="en-GB" w:eastAsia="zh-TW"/>
        </w:rPr>
        <w:t>٤</w:t>
      </w:r>
      <w:r w:rsidR="0032534E">
        <w:rPr>
          <w:rtl/>
          <w:lang w:val="en-GB" w:eastAsia="zh-TW"/>
        </w:rPr>
        <w:t>-</w:t>
      </w:r>
      <w:r w:rsidRPr="005D5C37">
        <w:rPr>
          <w:rtl/>
          <w:lang w:val="en-GB" w:eastAsia="zh-TW"/>
        </w:rPr>
        <w:tab/>
        <w:t>وبالنظر إلى ما للحظر التام من عواقب شديدة على قدرة المرأة التي تختار ارتداء الحجاب على التنقل بحرية في الأماكن العامة، فليس لنا أن نأخذ القانون 2010</w:t>
      </w:r>
      <w:r w:rsidR="0032534E">
        <w:rPr>
          <w:rtl/>
          <w:lang w:val="en-GB" w:eastAsia="zh-TW"/>
        </w:rPr>
        <w:t>-</w:t>
      </w:r>
      <w:r w:rsidRPr="005D5C37">
        <w:rPr>
          <w:rtl/>
          <w:lang w:val="en-GB" w:eastAsia="zh-TW"/>
        </w:rPr>
        <w:t xml:space="preserve">1192 مأخذ تدبير معقول ومتناسب يتوافق مع العهد. ونعتقد أن موقفنا بشأن صرامة الشروط المطلوبة </w:t>
      </w:r>
      <w:r w:rsidRPr="005D5C37">
        <w:rPr>
          <w:rtl/>
          <w:lang w:val="en-GB" w:eastAsia="zh-TW"/>
        </w:rPr>
        <w:lastRenderedPageBreak/>
        <w:t xml:space="preserve">لتبرير فرض حظر على لباس ترتديه المرأة باختيارها، يتسق عموماً مع الأجزاء ذات الصلة من حكم المحكمة الأوروبية لحقوق الإنسان الصادر في قضية </w:t>
      </w:r>
      <w:r w:rsidRPr="005D5C37">
        <w:rPr>
          <w:rFonts w:hint="eastAsia"/>
          <w:i/>
          <w:iCs/>
          <w:rtl/>
          <w:lang w:val="en-GB" w:eastAsia="zh-TW"/>
        </w:rPr>
        <w:t>س</w:t>
      </w:r>
      <w:r w:rsidRPr="005D5C37">
        <w:rPr>
          <w:i/>
          <w:iCs/>
          <w:rtl/>
          <w:lang w:val="en-GB" w:eastAsia="zh-TW"/>
        </w:rPr>
        <w:t>.</w:t>
      </w:r>
      <w:r w:rsidRPr="005D5C37">
        <w:rPr>
          <w:rFonts w:hint="cs"/>
          <w:i/>
          <w:iCs/>
          <w:rtl/>
          <w:lang w:val="en-GB" w:eastAsia="zh-TW"/>
        </w:rPr>
        <w:t xml:space="preserve"> </w:t>
      </w:r>
      <w:r w:rsidRPr="005D5C37">
        <w:rPr>
          <w:i/>
          <w:iCs/>
          <w:rtl/>
          <w:lang w:val="en-GB" w:eastAsia="zh-TW"/>
        </w:rPr>
        <w:t>أ.</w:t>
      </w:r>
      <w:r w:rsidRPr="005D5C37">
        <w:rPr>
          <w:rFonts w:hint="cs"/>
          <w:i/>
          <w:iCs/>
          <w:rtl/>
          <w:lang w:val="en-GB" w:eastAsia="zh-TW"/>
        </w:rPr>
        <w:t xml:space="preserve"> </w:t>
      </w:r>
      <w:r w:rsidRPr="005D5C37">
        <w:rPr>
          <w:i/>
          <w:iCs/>
          <w:rtl/>
          <w:lang w:val="en-GB" w:eastAsia="zh-TW"/>
        </w:rPr>
        <w:t>س</w:t>
      </w:r>
      <w:r w:rsidRPr="005D5C37">
        <w:rPr>
          <w:rFonts w:hint="cs"/>
          <w:i/>
          <w:iCs/>
          <w:rtl/>
          <w:lang w:val="en-GB" w:eastAsia="zh-TW"/>
        </w:rPr>
        <w:t>.</w:t>
      </w:r>
      <w:r w:rsidRPr="005D5C37">
        <w:rPr>
          <w:i/>
          <w:iCs/>
          <w:rtl/>
          <w:lang w:val="en-GB" w:eastAsia="zh-TW"/>
        </w:rPr>
        <w:t xml:space="preserve"> ضد فرنسا</w:t>
      </w:r>
      <w:r w:rsidRPr="005D5C37">
        <w:rPr>
          <w:rtl/>
          <w:lang w:val="en-GB" w:eastAsia="zh-TW"/>
        </w:rPr>
        <w:t>، الذي رفضت فيه المحكمة تبرير الحظر المفروض استناداً إلى أسباب من جملتها مناهضة التمييز</w:t>
      </w:r>
      <w:r w:rsidRPr="005D5C37">
        <w:rPr>
          <w:rStyle w:val="FootnoteReference"/>
          <w:rtl/>
          <w:lang w:val="en-GB" w:eastAsia="zh-TW"/>
        </w:rPr>
        <w:t>(</w:t>
      </w:r>
      <w:r w:rsidRPr="00886BA2">
        <w:rPr>
          <w:rStyle w:val="FootnoteReference"/>
          <w:sz w:val="30"/>
          <w:szCs w:val="30"/>
          <w:rtl/>
          <w:lang w:val="en-GB" w:eastAsia="zh-TW"/>
        </w:rPr>
        <w:footnoteReference w:id="34"/>
      </w:r>
      <w:r w:rsidRPr="005D5C37">
        <w:rPr>
          <w:rStyle w:val="FootnoteReference"/>
          <w:rtl/>
          <w:lang w:val="en-GB" w:eastAsia="zh-TW"/>
        </w:rPr>
        <w:t>)</w:t>
      </w:r>
      <w:r w:rsidRPr="005D5C37">
        <w:rPr>
          <w:rFonts w:hint="cs"/>
          <w:rtl/>
          <w:lang w:val="en-GB" w:eastAsia="zh-TW"/>
        </w:rPr>
        <w:t>.</w:t>
      </w:r>
      <w:r w:rsidRPr="005D5C37">
        <w:rPr>
          <w:rtl/>
          <w:lang w:val="en-GB" w:eastAsia="zh-TW"/>
        </w:rPr>
        <w:t xml:space="preserve"> </w:t>
      </w:r>
    </w:p>
    <w:p w:rsidR="0009025E" w:rsidRDefault="0009025E" w:rsidP="00CA6913">
      <w:pPr>
        <w:pStyle w:val="SingleTxtGA"/>
        <w:rPr>
          <w:rtl/>
          <w:lang w:val="en-GB" w:eastAsia="zh-TW"/>
        </w:rPr>
        <w:sectPr w:rsidR="0009025E" w:rsidSect="00CD5D48">
          <w:footnotePr>
            <w:numRestart w:val="eachSect"/>
          </w:footnotePr>
          <w:endnotePr>
            <w:numFmt w:val="decimal"/>
          </w:endnotePr>
          <w:pgSz w:w="11907" w:h="16840" w:code="9"/>
          <w:pgMar w:top="1418" w:right="1134" w:bottom="1134" w:left="1134" w:header="851" w:footer="567" w:gutter="0"/>
          <w:cols w:space="720"/>
          <w:bidi/>
          <w:docGrid w:linePitch="360"/>
        </w:sectPr>
      </w:pPr>
    </w:p>
    <w:p w:rsidR="00CA6913" w:rsidRPr="005D5C37" w:rsidRDefault="00CA6913" w:rsidP="00B64619">
      <w:pPr>
        <w:pStyle w:val="HChGA"/>
        <w:spacing w:before="120"/>
        <w:rPr>
          <w:rtl/>
          <w:lang w:val="en-GB" w:eastAsia="zh-TW"/>
        </w:rPr>
      </w:pPr>
      <w:r w:rsidRPr="005D5C37">
        <w:rPr>
          <w:rFonts w:hint="cs"/>
          <w:rtl/>
          <w:lang w:val="en-GB" w:eastAsia="zh-TW"/>
        </w:rPr>
        <w:lastRenderedPageBreak/>
        <w:t>المرفق الثاني</w:t>
      </w:r>
    </w:p>
    <w:p w:rsidR="00CA6913" w:rsidRPr="005D5C37" w:rsidRDefault="00CA6913" w:rsidP="00B150FF">
      <w:pPr>
        <w:pStyle w:val="HChGA"/>
        <w:rPr>
          <w:rtl/>
          <w:lang w:val="en-GB" w:eastAsia="zh-TW"/>
        </w:rPr>
      </w:pPr>
      <w:r w:rsidRPr="005D5C37">
        <w:rPr>
          <w:lang w:val="en-GB" w:eastAsia="zh-TW"/>
        </w:rPr>
        <w:tab/>
      </w:r>
      <w:r w:rsidRPr="005D5C37">
        <w:rPr>
          <w:lang w:val="en-GB" w:eastAsia="zh-TW"/>
        </w:rPr>
        <w:tab/>
      </w:r>
      <w:r w:rsidRPr="005D5C37">
        <w:rPr>
          <w:rtl/>
          <w:lang w:val="en-GB" w:eastAsia="zh-TW"/>
        </w:rPr>
        <w:t xml:space="preserve">رأي مشترك لعضويْ اللجنة، </w:t>
      </w:r>
      <w:r w:rsidR="007D6F6C">
        <w:rPr>
          <w:rtl/>
          <w:lang w:val="en-GB" w:eastAsia="zh-TW"/>
        </w:rPr>
        <w:t>إيلز</w:t>
      </w:r>
      <w:r w:rsidRPr="005D5C37">
        <w:rPr>
          <w:rtl/>
          <w:lang w:val="en-GB" w:eastAsia="zh-TW"/>
        </w:rPr>
        <w:t>ه براندس كي</w:t>
      </w:r>
      <w:r w:rsidR="00FD2D1E">
        <w:rPr>
          <w:rFonts w:hint="cs"/>
          <w:rtl/>
          <w:lang w:val="en-GB" w:eastAsia="zh-TW"/>
        </w:rPr>
        <w:t>ه</w:t>
      </w:r>
      <w:r w:rsidRPr="005D5C37">
        <w:rPr>
          <w:rtl/>
          <w:lang w:val="en-GB" w:eastAsia="zh-TW"/>
        </w:rPr>
        <w:t>ريس وسار</w:t>
      </w:r>
      <w:r w:rsidR="00B150FF">
        <w:rPr>
          <w:rFonts w:hint="cs"/>
          <w:rtl/>
          <w:lang w:val="en-GB" w:eastAsia="zh-TW"/>
        </w:rPr>
        <w:t>ة</w:t>
      </w:r>
      <w:r w:rsidRPr="005D5C37">
        <w:rPr>
          <w:rtl/>
          <w:lang w:val="en-GB" w:eastAsia="zh-TW"/>
        </w:rPr>
        <w:t xml:space="preserve"> كليفلاند (رأي</w:t>
      </w:r>
      <w:r w:rsidR="00B64619">
        <w:rPr>
          <w:rFonts w:hint="cs"/>
          <w:rtl/>
          <w:lang w:val="en-GB" w:eastAsia="zh-TW"/>
        </w:rPr>
        <w:t> </w:t>
      </w:r>
      <w:r w:rsidRPr="005D5C37">
        <w:rPr>
          <w:rtl/>
          <w:lang w:val="en-GB" w:eastAsia="zh-TW"/>
        </w:rPr>
        <w:t>مؤيد</w:t>
      </w:r>
      <w:r w:rsidRPr="005D5C37">
        <w:rPr>
          <w:rFonts w:hint="cs"/>
          <w:rtl/>
          <w:lang w:val="en-GB" w:eastAsia="zh-TW"/>
        </w:rPr>
        <w:t>)</w:t>
      </w:r>
    </w:p>
    <w:p w:rsidR="00CA6913" w:rsidRPr="005D5C37" w:rsidRDefault="00CA6913" w:rsidP="00CA6913">
      <w:pPr>
        <w:pStyle w:val="SingleTxtGA"/>
        <w:rPr>
          <w:rtl/>
          <w:lang w:val="en-GB" w:eastAsia="zh-TW"/>
        </w:rPr>
      </w:pPr>
      <w:r w:rsidRPr="005D5C37">
        <w:rPr>
          <w:rtl/>
          <w:lang w:val="en-GB" w:eastAsia="zh-TW"/>
        </w:rPr>
        <w:t>١</w:t>
      </w:r>
      <w:r w:rsidR="0032534E">
        <w:rPr>
          <w:rtl/>
          <w:lang w:val="en-GB" w:eastAsia="zh-TW"/>
        </w:rPr>
        <w:t>-</w:t>
      </w:r>
      <w:r w:rsidRPr="005D5C37">
        <w:rPr>
          <w:rtl/>
          <w:lang w:val="en-GB" w:eastAsia="zh-TW"/>
        </w:rPr>
        <w:tab/>
        <w:t>إننا نشاطر الأغلبية رأيها. وفيما يتعلق بالهدف المعلن المتمثل في تعزيز السلامة العامة والنظام العام، نرى أن الدولة الطرف لم تثبت وجود تهديد شامل وكبير ومحدد من شأنه أن يبرر فرض حظر كلي على ارتداء النقاب في الأماكن العامة (الفقرة 8</w:t>
      </w:r>
      <w:r w:rsidR="0032534E">
        <w:rPr>
          <w:rtl/>
          <w:lang w:val="en-GB" w:eastAsia="zh-TW"/>
        </w:rPr>
        <w:t>-</w:t>
      </w:r>
      <w:r w:rsidRPr="005D5C37">
        <w:rPr>
          <w:rtl/>
          <w:lang w:val="en-GB" w:eastAsia="zh-TW"/>
        </w:rPr>
        <w:t>7)، فضلاً عن أنها لم تشرح وجه القصور في تشريعاتها السابقة، وهي ليست محل اعتراض في هذه القضية، عن ضمان السلامة العامة والنظام العام، وقد نصت على كشف الوجه في الأماكن العامة لأغراض محددة أو في أوقات معينة، مثل عمليات التفتيش الأمني والتحقق من الهوية، أو في مواقع محددة، مثل المدارس والمستشفيات. ومن ثمَّ، فإنه فضلاً عن الطابع الجنائي للعقوبة وأثرها على صاحبة البلاغ وعلى من تختار مثلها ارتداء النقاب من النساء المسلمات، الذي لا يتناسب مع الهدف المعلن (الفقرة 8</w:t>
      </w:r>
      <w:r w:rsidR="0032534E">
        <w:rPr>
          <w:rtl/>
          <w:lang w:val="en-GB" w:eastAsia="zh-TW"/>
        </w:rPr>
        <w:t>-</w:t>
      </w:r>
      <w:r w:rsidRPr="005D5C37">
        <w:rPr>
          <w:rtl/>
          <w:lang w:val="en-GB" w:eastAsia="zh-TW"/>
        </w:rPr>
        <w:t xml:space="preserve">11)، لم يثبت أن هذا الحظر الكلي ضروري لبلوغها الهدف المشروع المعلن المتمثل في تعزيز السلامة العامة، ولا متناسب معه. </w:t>
      </w:r>
    </w:p>
    <w:p w:rsidR="00CA6913" w:rsidRPr="005D5C37" w:rsidRDefault="00CA6913" w:rsidP="00E46011">
      <w:pPr>
        <w:pStyle w:val="SingleTxtGA"/>
        <w:rPr>
          <w:rtl/>
          <w:lang w:val="en-GB" w:eastAsia="zh-TW"/>
        </w:rPr>
      </w:pPr>
      <w:r w:rsidRPr="005D5C37">
        <w:rPr>
          <w:rtl/>
          <w:lang w:val="en-GB" w:eastAsia="zh-TW"/>
        </w:rPr>
        <w:t>٢</w:t>
      </w:r>
      <w:r w:rsidR="0032534E">
        <w:rPr>
          <w:rtl/>
          <w:lang w:val="en-GB" w:eastAsia="zh-TW"/>
        </w:rPr>
        <w:t>-</w:t>
      </w:r>
      <w:r w:rsidRPr="005D5C37">
        <w:rPr>
          <w:rtl/>
          <w:lang w:val="en-GB" w:eastAsia="zh-TW"/>
        </w:rPr>
        <w:tab/>
        <w:t>وفيما يتعلق بحماية حقوق الآخرين وحرياتهم الأساسية وبمفهوم "العيش المشترك"، اللذين تربط بهما الدولة الطرف هذا الهدف، لا يُعرف بوضوح ما هي الحقوق الأساسية المقصودة بالحماية على وجه التحديد (الفقرة 8</w:t>
      </w:r>
      <w:r w:rsidR="0032534E">
        <w:rPr>
          <w:rtl/>
          <w:lang w:val="en-GB" w:eastAsia="zh-TW"/>
        </w:rPr>
        <w:t>-</w:t>
      </w:r>
      <w:r w:rsidRPr="005D5C37">
        <w:rPr>
          <w:rtl/>
          <w:lang w:val="en-GB" w:eastAsia="zh-TW"/>
        </w:rPr>
        <w:t>10). ويكتنف الغموض أيضاً موقف الدولة الطرف بشأن كيفية مراعاة هذا المفهوم لمبدأ احترام حقوق الأشخاص المنتمين إلى أقليات، بما</w:t>
      </w:r>
      <w:r w:rsidR="00E46011">
        <w:rPr>
          <w:rFonts w:hint="eastAsia"/>
          <w:rtl/>
          <w:lang w:val="en-GB" w:eastAsia="zh-TW"/>
        </w:rPr>
        <w:t> </w:t>
      </w:r>
      <w:r w:rsidRPr="005D5C37">
        <w:rPr>
          <w:rtl/>
          <w:lang w:val="en-GB" w:eastAsia="zh-TW"/>
        </w:rPr>
        <w:t>في ذلك الأقليات الدينية، من أجل الحفاظ على قيمة التعددية، وتجنب إساءة الأغلبية لاستعمال مركز القوة المهيمن</w:t>
      </w:r>
      <w:r w:rsidRPr="005D5C37">
        <w:rPr>
          <w:vertAlign w:val="superscript"/>
          <w:rtl/>
          <w:lang w:val="en-GB" w:eastAsia="zh-TW"/>
        </w:rPr>
        <w:t>(</w:t>
      </w:r>
      <w:r w:rsidRPr="005D5C37">
        <w:rPr>
          <w:vertAlign w:val="superscript"/>
          <w:rtl/>
          <w:lang w:val="en-GB" w:eastAsia="zh-TW"/>
        </w:rPr>
        <w:footnoteReference w:id="35"/>
      </w:r>
      <w:r w:rsidRPr="005D5C37">
        <w:rPr>
          <w:vertAlign w:val="superscript"/>
          <w:rtl/>
          <w:lang w:val="en-GB" w:eastAsia="zh-TW"/>
        </w:rPr>
        <w:t>)</w:t>
      </w:r>
      <w:r w:rsidRPr="005D5C37">
        <w:rPr>
          <w:rFonts w:hint="cs"/>
          <w:rtl/>
          <w:lang w:val="en-GB" w:eastAsia="zh-TW"/>
        </w:rPr>
        <w:t>.</w:t>
      </w:r>
      <w:r w:rsidRPr="005D5C37">
        <w:rPr>
          <w:rtl/>
          <w:lang w:val="en-GB" w:eastAsia="zh-TW"/>
        </w:rPr>
        <w:t xml:space="preserve"> وهذا يقوي الشكوك في الادعاء القائل إن مفهوم </w:t>
      </w:r>
      <w:r w:rsidRPr="005D5C37">
        <w:rPr>
          <w:rFonts w:hint="cs"/>
          <w:rtl/>
          <w:lang w:val="en-GB" w:eastAsia="zh-TW"/>
        </w:rPr>
        <w:t>"</w:t>
      </w:r>
      <w:r w:rsidRPr="005D5C37">
        <w:rPr>
          <w:rtl/>
          <w:lang w:val="en-GB" w:eastAsia="zh-TW"/>
        </w:rPr>
        <w:t>العيش المشترك</w:t>
      </w:r>
      <w:r w:rsidRPr="005D5C37">
        <w:rPr>
          <w:rFonts w:hint="cs"/>
          <w:rtl/>
          <w:lang w:val="en-GB" w:eastAsia="zh-TW"/>
        </w:rPr>
        <w:t>"</w:t>
      </w:r>
      <w:r w:rsidRPr="005D5C37">
        <w:rPr>
          <w:rtl/>
          <w:lang w:val="en-GB" w:eastAsia="zh-TW"/>
        </w:rPr>
        <w:t xml:space="preserve"> يشكل هدفاً مشروعاً بمقتضى حقوق الآخرين وحرياتهم الأساسية المنصوص عليها في الفقرة 3 من المادة ١٨ من العهد.</w:t>
      </w:r>
    </w:p>
    <w:p w:rsidR="00CA6913" w:rsidRPr="005D5C37" w:rsidRDefault="00CA6913" w:rsidP="00CA6913">
      <w:pPr>
        <w:pStyle w:val="SingleTxtGA"/>
        <w:rPr>
          <w:rtl/>
          <w:lang w:val="en-GB" w:eastAsia="zh-TW"/>
        </w:rPr>
      </w:pPr>
      <w:r w:rsidRPr="005D5C37">
        <w:rPr>
          <w:rtl/>
          <w:lang w:val="en-GB" w:eastAsia="zh-TW"/>
        </w:rPr>
        <w:t>٣</w:t>
      </w:r>
      <w:r w:rsidR="0032534E">
        <w:rPr>
          <w:rtl/>
          <w:lang w:val="en-GB" w:eastAsia="zh-TW"/>
        </w:rPr>
        <w:t>-</w:t>
      </w:r>
      <w:r w:rsidRPr="005D5C37">
        <w:rPr>
          <w:rtl/>
          <w:lang w:val="en-GB" w:eastAsia="zh-TW"/>
        </w:rPr>
        <w:tab/>
        <w:t>ومع أن الدولة الطرف لا تشير صراحةً، في الحجج التي دفعت بها، إلى المساواة بين الرجل والمرأة، فقد أظهرت وثائق المعلومات الأساسية المتعلقة بالمناقشات الوطنية والأعمال التحضيرية في الجمعية الوطنية أن موضوع المساواة كان من العوامل المهمة الكامنة وراء اعتماد هذا التشريع. وفي هذا الصدد، تعتبر وجيهةً الحجةُ القائلة إن ارتداء النقاب قمعي بطبيعته ويعود أصله إلى إخضاع المرأة للسلطة الذكورية، الذي يراد به منعها من المشاركة في المجتمع على قدم المساواة مع الرجل. ولكن، في ضوء ورود حكم جنائي آخر في المادة ٤ من نفس القانون، وهو</w:t>
      </w:r>
      <w:r w:rsidRPr="005D5C37">
        <w:rPr>
          <w:rFonts w:hint="cs"/>
          <w:rtl/>
          <w:lang w:val="en-GB" w:eastAsia="zh-TW"/>
        </w:rPr>
        <w:t xml:space="preserve"> </w:t>
      </w:r>
      <w:r w:rsidRPr="005D5C37">
        <w:rPr>
          <w:rtl/>
          <w:lang w:val="en-GB" w:eastAsia="zh-TW"/>
        </w:rPr>
        <w:t xml:space="preserve">ليس محل اعتراض، ينص على معاقبة من يرغم شخصاً على ارتداء النقاب، باعتبار ذلك جريمة خطيرة، تبدو الحجة التي استُند إليها في فرض حظر شامل على ارتدائه وكأنها تعني ضمناً استبعاد أن تكون جميع النساء المنقبات قد فعلن ذلك بقرار شخصي مستقل اتخذنه عن وعي، وهو ما قد يعزز القوالب النمطية التي تصوِّر المرأة المسلمة على أنها مضطهدة. وعليه، فإن معاقبة المرأة على ارتداء النقاب حمايةً لها، يمكن أن يسهم في تفاقم وصم النساء المسلمات </w:t>
      </w:r>
      <w:r w:rsidRPr="005D5C37">
        <w:rPr>
          <w:rtl/>
          <w:lang w:val="en-GB" w:eastAsia="zh-TW"/>
        </w:rPr>
        <w:lastRenderedPageBreak/>
        <w:t>اللواتي اخترن ارتداء النقاب، ووصم عموم المسلمين، على أساس تصور نمطي لدور المرأة في أوساط المسلمين، بدلاً من أن تعزز المساواة بين الجنسين. ويجب على أية حال أن تراعي الدولة أو الأغلبية التي ترى في هذه الممارسة قمعاً، خيار صاحبة البلاغ الصريح ارتداء لباس معين أمام الناس تعبيراً عن معتقدها الديني</w:t>
      </w:r>
      <w:r w:rsidRPr="005D5C37">
        <w:rPr>
          <w:vertAlign w:val="superscript"/>
          <w:rtl/>
          <w:lang w:val="en-GB" w:eastAsia="zh-TW"/>
        </w:rPr>
        <w:t>(</w:t>
      </w:r>
      <w:r w:rsidRPr="005D5C37">
        <w:rPr>
          <w:vertAlign w:val="superscript"/>
          <w:rtl/>
          <w:lang w:val="en-GB" w:eastAsia="zh-TW"/>
        </w:rPr>
        <w:footnoteReference w:id="36"/>
      </w:r>
      <w:r w:rsidRPr="005D5C37">
        <w:rPr>
          <w:vertAlign w:val="superscript"/>
          <w:rtl/>
          <w:lang w:val="en-GB" w:eastAsia="zh-TW"/>
        </w:rPr>
        <w:t>)</w:t>
      </w:r>
      <w:r w:rsidRPr="005D5C37">
        <w:rPr>
          <w:rFonts w:hint="cs"/>
          <w:rtl/>
          <w:lang w:val="en-GB" w:eastAsia="zh-TW"/>
        </w:rPr>
        <w:t>.</w:t>
      </w:r>
      <w:r w:rsidRPr="005D5C37">
        <w:rPr>
          <w:rtl/>
          <w:lang w:val="en-GB" w:eastAsia="zh-TW"/>
        </w:rPr>
        <w:t xml:space="preserve"> ومن ثم، لا تعتبر حجة المساواة مقنعة كهدف مشروع يبرر فرض حظر كلي على ارتداء النقاب في جميع الأماكن العامة في فرنسا. </w:t>
      </w:r>
    </w:p>
    <w:p w:rsidR="00CA6913" w:rsidRPr="005D5C37" w:rsidRDefault="00CA6913" w:rsidP="00CA6913">
      <w:pPr>
        <w:pStyle w:val="SingleTxtGA"/>
        <w:rPr>
          <w:rtl/>
          <w:lang w:val="en-GB" w:eastAsia="zh-TW"/>
        </w:rPr>
      </w:pPr>
      <w:r w:rsidRPr="005D5C37">
        <w:rPr>
          <w:rtl/>
          <w:lang w:val="en-GB" w:eastAsia="zh-TW"/>
        </w:rPr>
        <w:t>٤</w:t>
      </w:r>
      <w:r w:rsidR="0032534E">
        <w:rPr>
          <w:rtl/>
          <w:lang w:val="en-GB" w:eastAsia="zh-TW"/>
        </w:rPr>
        <w:t>-</w:t>
      </w:r>
      <w:r w:rsidRPr="005D5C37">
        <w:rPr>
          <w:rtl/>
          <w:lang w:val="en-GB" w:eastAsia="zh-TW"/>
        </w:rPr>
        <w:tab/>
        <w:t xml:space="preserve">ويشار في الختام إلى أن هذه الآراء روعي فيها سياق القضية المحدد في فرنسا، بما في ذلك وجود عدد قليل جداً من النساء اللواتي اخترن ارتداء النقاب. وعلاوة على قابلية أفراد الأقليات بطبيعتهم للتأثر بالتنميط السلبي، وهم في هذه القضية أقليةٌ ضمن الأقلية، يكتسي عدم التناسب في التدابير التشريعية، التي اعتُمدت ونُفذت بدعوى تعزيز احترام حقوق الآخرين، سمة حادة جداً في سياق تضعف فيه كثيراً احتمالات مصادفة امرأة منقبة في مكان عام. وللسبب عينه، يمكن أن يسفر نشر كتيبات لتوعية عامة الجمهور بشأن قانون وتجريم ارتداء النقاب والبرقع عن أثر غير مرغوب يتمثل في تعاظم التحامل والتعصب حيال هذه الأقلية. </w:t>
      </w:r>
    </w:p>
    <w:p w:rsidR="00CA6913" w:rsidRPr="005D5C37" w:rsidRDefault="00AE2F0B" w:rsidP="00B64619">
      <w:pPr>
        <w:pStyle w:val="HChGA"/>
        <w:spacing w:before="120"/>
        <w:rPr>
          <w:rtl/>
          <w:lang w:val="en-GB" w:eastAsia="zh-TW"/>
        </w:rPr>
      </w:pPr>
      <w:r>
        <w:rPr>
          <w:rtl/>
          <w:lang w:val="en-GB" w:eastAsia="zh-TW"/>
        </w:rPr>
        <w:br w:type="page"/>
      </w:r>
      <w:r w:rsidR="00CA6913" w:rsidRPr="005D5C37">
        <w:rPr>
          <w:rFonts w:hint="cs"/>
          <w:rtl/>
          <w:lang w:val="en-GB" w:eastAsia="zh-TW"/>
        </w:rPr>
        <w:lastRenderedPageBreak/>
        <w:t>المرفق الثالث</w:t>
      </w:r>
    </w:p>
    <w:p w:rsidR="00CA6913" w:rsidRPr="005D5C37" w:rsidRDefault="00CA6913" w:rsidP="00B64619">
      <w:pPr>
        <w:pStyle w:val="HChGA"/>
        <w:rPr>
          <w:rtl/>
          <w:lang w:val="en-GB" w:eastAsia="zh-TW"/>
        </w:rPr>
      </w:pPr>
      <w:r w:rsidRPr="005D5C37">
        <w:rPr>
          <w:lang w:val="en-GB" w:eastAsia="zh-TW"/>
        </w:rPr>
        <w:tab/>
      </w:r>
      <w:r w:rsidRPr="005D5C37">
        <w:rPr>
          <w:lang w:val="en-GB" w:eastAsia="zh-TW"/>
        </w:rPr>
        <w:tab/>
      </w:r>
      <w:r w:rsidRPr="005D5C37">
        <w:rPr>
          <w:rtl/>
          <w:lang w:val="en-GB" w:eastAsia="zh-TW"/>
        </w:rPr>
        <w:t>رأي فردي للسيد عياض بن عاشور (رأي مخالف)</w:t>
      </w:r>
    </w:p>
    <w:p w:rsidR="00CA6913" w:rsidRPr="005D5C37" w:rsidRDefault="00CA6913" w:rsidP="00B64619">
      <w:pPr>
        <w:pStyle w:val="SingleTxtGA"/>
        <w:rPr>
          <w:rtl/>
          <w:lang w:val="en-GB" w:eastAsia="zh-TW"/>
        </w:rPr>
      </w:pPr>
      <w:r w:rsidRPr="005D5C37">
        <w:rPr>
          <w:rtl/>
          <w:lang w:val="en-GB" w:eastAsia="zh-TW"/>
        </w:rPr>
        <w:t>١</w:t>
      </w:r>
      <w:r w:rsidR="0032534E">
        <w:rPr>
          <w:rtl/>
          <w:lang w:val="en-GB" w:eastAsia="zh-TW"/>
        </w:rPr>
        <w:t>-</w:t>
      </w:r>
      <w:r w:rsidRPr="005D5C37">
        <w:rPr>
          <w:rtl/>
          <w:lang w:val="en-GB" w:eastAsia="zh-TW"/>
        </w:rPr>
        <w:tab/>
        <w:t>تلاحظ اللجنة في كلتا القضيتين، الواردتين في البلاغين رقم 2747/2016 ورقم</w:t>
      </w:r>
      <w:r w:rsidR="00B64619">
        <w:rPr>
          <w:rFonts w:hint="eastAsia"/>
          <w:rtl/>
          <w:lang w:val="en-GB" w:eastAsia="zh-TW"/>
        </w:rPr>
        <w:t> </w:t>
      </w:r>
      <w:r w:rsidRPr="005D5C37">
        <w:rPr>
          <w:rtl/>
          <w:lang w:val="en-GB" w:eastAsia="zh-TW"/>
        </w:rPr>
        <w:t>2807/2016، أن الدولة الطرف، باعتمادها القانون رقم 2010</w:t>
      </w:r>
      <w:r w:rsidR="0032534E">
        <w:rPr>
          <w:rtl/>
          <w:lang w:val="en-GB" w:eastAsia="zh-TW"/>
        </w:rPr>
        <w:t>-</w:t>
      </w:r>
      <w:r w:rsidRPr="005D5C37">
        <w:rPr>
          <w:rtl/>
          <w:lang w:val="en-GB" w:eastAsia="zh-TW"/>
        </w:rPr>
        <w:t xml:space="preserve">1192 المؤرخ 11 تشرين الأول/أكتوبر 2010، الذي يحظر ستر الوجه في الأماكن العامة، تكون قد انتهكت حقوق صاحبتيْ البلاغين المكفولة بموجب المادتين 18 و26 من العهد. ولا يسعني للأسف أن أشاطرها الرأي للأسباب التالية. </w:t>
      </w:r>
    </w:p>
    <w:p w:rsidR="00CA6913" w:rsidRPr="005D5C37" w:rsidRDefault="00CA6913" w:rsidP="00CA6913">
      <w:pPr>
        <w:pStyle w:val="SingleTxtGA"/>
        <w:rPr>
          <w:rtl/>
          <w:lang w:val="en-GB" w:eastAsia="zh-TW"/>
        </w:rPr>
      </w:pPr>
      <w:r w:rsidRPr="005D5C37">
        <w:rPr>
          <w:rtl/>
          <w:lang w:val="en-GB" w:eastAsia="zh-TW"/>
        </w:rPr>
        <w:t>٢</w:t>
      </w:r>
      <w:r w:rsidR="0032534E">
        <w:rPr>
          <w:rtl/>
          <w:lang w:val="en-GB" w:eastAsia="zh-TW"/>
        </w:rPr>
        <w:t>-</w:t>
      </w:r>
      <w:r w:rsidRPr="005D5C37">
        <w:rPr>
          <w:rtl/>
          <w:lang w:val="en-GB" w:eastAsia="zh-TW"/>
        </w:rPr>
        <w:tab/>
        <w:t>أولاً، أستغرب ما ذهبت إليه اللجنة من أن "الدولة الطرف لم تُبيِّن كيف أن ارتداء النقاب يشكل في حد ذاته تهديداً للسلامة العامة أو النظام العام من شأنه أن يبرر هذا الحظر المطلق". ولن أسهب في الحديث عن تهديد السلامة العامة لكونه يبدو لي جلياً في ضوء المعركة المستمرة ضد الإرهابيين الذين تنكر بعضهم في النقاب لينفذ هجمات واغتيالات في فرنسا وأماكن أخرى. وهذه الاعتبارات الأمنية تكفي وحدها لتبرير الحظر والتجريم في آن معاً. غير أنني سأتوقف وقتاً أطول عند المعنى المقصود بعبارة "حماية النظام"، مقروءة بالاقتران مع عبارة "حماية الآداب العامة أو حقوق الآخرين وحرياتهم الأساسية" الواردة في الفقرة 3 من المادة 18 من العهد.</w:t>
      </w:r>
    </w:p>
    <w:p w:rsidR="00CA6913" w:rsidRPr="005D5C37" w:rsidRDefault="00CA6913" w:rsidP="00CA6913">
      <w:pPr>
        <w:pStyle w:val="SingleTxtGA"/>
        <w:rPr>
          <w:rtl/>
          <w:lang w:val="en-GB" w:eastAsia="zh-TW"/>
        </w:rPr>
      </w:pPr>
      <w:r w:rsidRPr="005D5C37">
        <w:rPr>
          <w:rtl/>
          <w:lang w:val="en-GB" w:eastAsia="zh-TW"/>
        </w:rPr>
        <w:t>٣</w:t>
      </w:r>
      <w:r w:rsidR="0032534E">
        <w:rPr>
          <w:rtl/>
          <w:lang w:val="en-GB" w:eastAsia="zh-TW"/>
        </w:rPr>
        <w:t>-</w:t>
      </w:r>
      <w:r w:rsidRPr="005D5C37">
        <w:rPr>
          <w:rtl/>
          <w:lang w:val="en-GB" w:eastAsia="zh-TW"/>
        </w:rPr>
        <w:tab/>
        <w:t>ففي هذه المادة، يشير مصطلح "النظام" بوضوح إلى نظام الدولة التي فرضت القيود. والنظام في فرنسا هو، بموجب دستورها، نظام جمهوري وعلماني وديمقراطي. والمساواة بين الرجل والمرأة هي من أبسط المبادئ الأساسية التي يستند إليها هذا النظام، مثلما هي جزء من المبادئ الأساسية المنصوص عليها في العهد. والنقاب هو في ذاته رمز لوصم المرأة ومهين لها، ويتعارض بالتالي مع النظام الجمهوري والمساواة بين الجنسين في الدولة الطرف وكذلك مع المادتين 3 و26 من العهد. فأنصار النقاب يحصرون المرأة في وضعها البيولوجي الأصلي كأنثى خُلِقت للمتعة الجنسية، وجسد بلا روح ولا عقل، وربما تتحمل وزر الاختلال الكوني والأخلاقي وعليها، من ثم، أن تتوارى عن نظر الذكر بحيث تكاد تُمنع من الحيز العام. ولا يمكن لدولة ديمقراطية أن تسمح بوصم من هذا القبيل في حق جميع النساء الأخريات. فارتداء النقاب ينتهك "حريات الآخرين وحقوقهم الأساسية"، أي بمعنى أدق حقوق النساء الأخريات وحقوق المرأة كمرأة. وعليه، فإن حظره لا يتعارض مع العهد.</w:t>
      </w:r>
    </w:p>
    <w:p w:rsidR="00CA6913" w:rsidRPr="005D5C37" w:rsidRDefault="00CA6913" w:rsidP="00CA6913">
      <w:pPr>
        <w:pStyle w:val="SingleTxtGA"/>
        <w:rPr>
          <w:rtl/>
          <w:lang w:val="en-GB" w:eastAsia="zh-TW"/>
        </w:rPr>
      </w:pPr>
      <w:r w:rsidRPr="005D5C37">
        <w:rPr>
          <w:rtl/>
          <w:lang w:val="en-GB" w:eastAsia="zh-TW"/>
        </w:rPr>
        <w:t>٤</w:t>
      </w:r>
      <w:r w:rsidR="0032534E">
        <w:rPr>
          <w:rtl/>
          <w:lang w:val="en-GB" w:eastAsia="zh-TW"/>
        </w:rPr>
        <w:t>-</w:t>
      </w:r>
      <w:r w:rsidRPr="005D5C37">
        <w:rPr>
          <w:rtl/>
          <w:lang w:val="en-GB" w:eastAsia="zh-TW"/>
        </w:rPr>
        <w:tab/>
        <w:t>وأنا أشاطر اللجنة الرأي القائل بضرورة تفسير القيود المنصوص عليها في الفقرة 3 من المادة 18 تفسيراً دقيقاً. بيد أن كلمة "دقيقاً" لا تعني ألاَّ تُراعى في هذه القيود الأحكامُ الأخرى المنصوص عليها في العهد، أو روح المادة 18 نفسها، كما أوضحنا في الفقرة السابقة.</w:t>
      </w:r>
    </w:p>
    <w:p w:rsidR="00CA6913" w:rsidRPr="005D5C37" w:rsidRDefault="00CA6913" w:rsidP="00F95C27">
      <w:pPr>
        <w:pStyle w:val="SingleTxtGA"/>
        <w:rPr>
          <w:rtl/>
          <w:lang w:val="en-GB" w:eastAsia="zh-TW"/>
        </w:rPr>
      </w:pPr>
      <w:r w:rsidRPr="005D5C37">
        <w:rPr>
          <w:rtl/>
          <w:lang w:val="en-GB" w:eastAsia="zh-TW"/>
        </w:rPr>
        <w:t>٥</w:t>
      </w:r>
      <w:r w:rsidR="0032534E">
        <w:rPr>
          <w:rtl/>
          <w:lang w:val="en-GB" w:eastAsia="zh-TW"/>
        </w:rPr>
        <w:t>-</w:t>
      </w:r>
      <w:r w:rsidRPr="005D5C37">
        <w:rPr>
          <w:rtl/>
          <w:lang w:val="en-GB" w:eastAsia="zh-TW"/>
        </w:rPr>
        <w:tab/>
        <w:t>وفي كلتا القضيتين، تعترف اللجنة بأن "ارتداء النقاب هو عرف عند شريحة من المسلمين المتدينين</w:t>
      </w:r>
      <w:r w:rsidRPr="005D5C37">
        <w:rPr>
          <w:b/>
          <w:bCs/>
          <w:rtl/>
          <w:lang w:val="en-GB" w:eastAsia="zh-TW"/>
        </w:rPr>
        <w:t xml:space="preserve"> </w:t>
      </w:r>
      <w:r w:rsidRPr="005D5C37">
        <w:rPr>
          <w:rtl/>
          <w:lang w:val="en-GB" w:eastAsia="zh-TW"/>
        </w:rPr>
        <w:t>وتطبيق لشعيرة وممارسة دينية". غير أن اللجنة لا تشرح، في آرائها، هذا التحول الغامض الذي أحال عرفاً إلى فريضة دينية لها طابع تعبدي، بالمعنى المقصود في المادة</w:t>
      </w:r>
      <w:r w:rsidR="00F95C27">
        <w:rPr>
          <w:rFonts w:hint="eastAsia"/>
          <w:rtl/>
          <w:lang w:val="en-GB" w:eastAsia="zh-TW"/>
        </w:rPr>
        <w:t> </w:t>
      </w:r>
      <w:r w:rsidRPr="005D5C37">
        <w:rPr>
          <w:rtl/>
          <w:lang w:val="en-GB" w:eastAsia="zh-TW"/>
        </w:rPr>
        <w:t xml:space="preserve">18 من العهد. وارتداء النقاب أو البرقع هو في الحقيقة عرفٌ سائدٌ في بعض البلدان "الإسلامية"، افتُعِل ربطه، تحت تأثير الإسلام السياسي والتوجهات المتزمتة، ببعض الآيات </w:t>
      </w:r>
      <w:r w:rsidRPr="005D5C37">
        <w:rPr>
          <w:rtl/>
          <w:lang w:val="en-GB" w:eastAsia="zh-TW"/>
        </w:rPr>
        <w:lastRenderedPageBreak/>
        <w:t>القرآنية، ومنها على وجه الخصوص الآية 31 من سورة النور والآية 59 من سورة الأحزاب. غير أن أكبر علماء الإسلام الثقات لا يقولون بوجوب ستر الوجه باعتباره فريضة دينية. وحتى لو فُسر ارتداء النقاب على أنه تعبير عن حرية الدين، كما تريد اللجنة، لا ينبغي أن يغيب عن البال أن التفاسير ليست جميعها سيان في نظر مجتمع ديمقراطي ارتكز في بناء نظامه القانوني إلى حقوق الإنسان، والمبادئ المنصوص عليها في الإعلان العالمي لحقوق الإنسان وفي العهد، وأرسى مبدأ العلمانية باعتباره مبدأ</w:t>
      </w:r>
      <w:r w:rsidRPr="005D5C37">
        <w:rPr>
          <w:rFonts w:hint="cs"/>
          <w:rtl/>
          <w:lang w:val="en-GB" w:eastAsia="zh-TW"/>
        </w:rPr>
        <w:t>ً</w:t>
      </w:r>
      <w:r w:rsidRPr="005D5C37">
        <w:rPr>
          <w:rtl/>
          <w:lang w:val="en-GB" w:eastAsia="zh-TW"/>
        </w:rPr>
        <w:t xml:space="preserve"> دستورياً، ولا سيما في السياق التاريخي والقانوني الخاص بفرنسا. فهناك تفاسير لا يمكن الأخذ بها.</w:t>
      </w:r>
    </w:p>
    <w:p w:rsidR="00CA6913" w:rsidRPr="005D5C37" w:rsidRDefault="00CA6913" w:rsidP="00CA6913">
      <w:pPr>
        <w:pStyle w:val="SingleTxtGA"/>
        <w:rPr>
          <w:rtl/>
          <w:lang w:val="en-GB" w:eastAsia="zh-TW"/>
        </w:rPr>
      </w:pPr>
      <w:r w:rsidRPr="005D5C37">
        <w:rPr>
          <w:rtl/>
          <w:lang w:val="en-GB" w:eastAsia="zh-TW"/>
        </w:rPr>
        <w:t>٦</w:t>
      </w:r>
      <w:r w:rsidR="0032534E">
        <w:rPr>
          <w:rtl/>
          <w:lang w:val="en-GB" w:eastAsia="zh-TW"/>
        </w:rPr>
        <w:t>-</w:t>
      </w:r>
      <w:r w:rsidRPr="005D5C37">
        <w:rPr>
          <w:rtl/>
          <w:lang w:val="en-GB" w:eastAsia="zh-TW"/>
        </w:rPr>
        <w:tab/>
        <w:t>وهذا يسري على الممارسات المتمثلة في تعدد الزوجات، والخفض (ختان الإناث)، وعدم</w:t>
      </w:r>
      <w:r w:rsidRPr="005D5C37">
        <w:rPr>
          <w:b/>
          <w:bCs/>
          <w:rtl/>
          <w:lang w:val="en-GB" w:eastAsia="zh-TW"/>
        </w:rPr>
        <w:t xml:space="preserve"> </w:t>
      </w:r>
      <w:r w:rsidRPr="005D5C37">
        <w:rPr>
          <w:rtl/>
          <w:lang w:val="en-GB" w:eastAsia="zh-TW"/>
        </w:rPr>
        <w:t>المساواة في الميراث، والطلاق، وحق الزوج في تأديب زوجته، وزواج السلفة، وزواج الأخ من أرملة أخيه، والتي تعتبر في نظر كل من يتبعها</w:t>
      </w:r>
      <w:r w:rsidRPr="005D5C37">
        <w:rPr>
          <w:b/>
          <w:bCs/>
          <w:rtl/>
          <w:lang w:val="en-GB" w:eastAsia="zh-TW"/>
        </w:rPr>
        <w:t xml:space="preserve">، </w:t>
      </w:r>
      <w:r w:rsidRPr="005D5C37">
        <w:rPr>
          <w:rtl/>
          <w:lang w:val="en-GB" w:eastAsia="zh-TW"/>
        </w:rPr>
        <w:t>من فرائض الدين أو الشعائر، مثلما هو النقاب في نظر أنصاره. غير أن اللجنة دأبت على القول إن هذا النوع من</w:t>
      </w:r>
      <w:r w:rsidRPr="005D5C37">
        <w:rPr>
          <w:b/>
          <w:bCs/>
          <w:rtl/>
          <w:lang w:val="en-GB" w:eastAsia="zh-TW"/>
        </w:rPr>
        <w:t xml:space="preserve"> </w:t>
      </w:r>
      <w:r w:rsidRPr="005D5C37">
        <w:rPr>
          <w:rtl/>
          <w:lang w:val="en-GB" w:eastAsia="zh-TW"/>
        </w:rPr>
        <w:t>الممارسات يتعارض مع الأحكام المنصوص عليها في العهد وطلبت إلى الدول دائماً إلغاءها</w:t>
      </w:r>
      <w:r w:rsidRPr="005D5C37">
        <w:rPr>
          <w:b/>
          <w:bCs/>
          <w:rtl/>
          <w:lang w:val="en-GB" w:eastAsia="zh-TW"/>
        </w:rPr>
        <w:t>.</w:t>
      </w:r>
      <w:r w:rsidRPr="005D5C37">
        <w:rPr>
          <w:rtl/>
          <w:lang w:val="en-GB" w:eastAsia="zh-TW"/>
        </w:rPr>
        <w:t xml:space="preserve"> فأفلا يكون من التناقض أن نقول، في قضيةٍ، إن حظرَ ممارسة كهذه تمس بمبدأ المساواة في المواطنة وبكرامة المرأة يتعارض مع العهد، ثم نرى، في أخرى، أن هذه الممارسات تتعارض مع المادة 18؟ </w:t>
      </w:r>
    </w:p>
    <w:p w:rsidR="00CA6913" w:rsidRPr="005D5C37" w:rsidRDefault="00CA6913" w:rsidP="009A1C3F">
      <w:pPr>
        <w:pStyle w:val="SingleTxtGA"/>
        <w:rPr>
          <w:rtl/>
          <w:lang w:val="en-GB" w:eastAsia="zh-TW"/>
        </w:rPr>
      </w:pPr>
      <w:r w:rsidRPr="005D5C37">
        <w:rPr>
          <w:rtl/>
          <w:lang w:val="en-GB" w:eastAsia="zh-TW"/>
        </w:rPr>
        <w:t>٧</w:t>
      </w:r>
      <w:r w:rsidR="0032534E">
        <w:rPr>
          <w:rtl/>
          <w:lang w:val="en-GB" w:eastAsia="zh-TW"/>
        </w:rPr>
        <w:t>-</w:t>
      </w:r>
      <w:r w:rsidRPr="005D5C37">
        <w:rPr>
          <w:rtl/>
          <w:lang w:val="en-GB" w:eastAsia="zh-TW"/>
        </w:rPr>
        <w:tab/>
        <w:t>وهناك مشكلة أخطر يجب أن تُطرح. وأعني بذلك مسألة "العيش المشترك"، التي دفعت بها فرنسا، واستُمدت منها فكرة اعتماد القانون رقم 2010/1192. إنني أختلف كلياً مع اللجنة التي "رأت أن مفهوم "العيش المشترك" في غاية الغموض والتجريد" وأن "الدولة الطرف لم تذكر أياً من حقوق الآخرين أو حرياتهم الأساسية التي ستتأثر". بيد أن بيان الأسباب الموجبة للقانون توسَّع كثيراً في هذه المسألة، ولم يغفل الإشارة إلى أن ستر الوجه يشكل إخلالاً بالعقد الاجتماعي وبأبسط أصول الكياسة، وبمفهوميْ الإخاء والعيش المشترك. ومن المؤسف أن تغفل اللجنة في آرائها أن الحق الأساسي الذي مُسَّ به في هذه القضية ليس هو حق بضعة أفراد ولا حق مجموعة بعينها، بل هو حق مجتمع برمته في تعرُّفِ هوية أفراده، من خلال ملامحهم التي تمثل في الوقت نفسه دليلاً على قابليتهم لمؤالفة الناس في المجتمع، بل وعلى إنسانيتهم. وخلافاً لما أكدته اللجنة في آرائها، ليس مفهوم العيش المشترك مفهوماً غامضاً ولا مجرداً. بل هو مفهوم دقيق ومحدّد. وهو مبني على فكرة في غاية البساطة مفادها أن المجتمع الديمقراطي لا</w:t>
      </w:r>
      <w:r w:rsidR="009A1C3F">
        <w:rPr>
          <w:rFonts w:hint="eastAsia"/>
          <w:rtl/>
          <w:lang w:val="en-GB" w:eastAsia="zh-TW"/>
        </w:rPr>
        <w:t> </w:t>
      </w:r>
      <w:r w:rsidRPr="005D5C37">
        <w:rPr>
          <w:rtl/>
          <w:lang w:val="en-GB" w:eastAsia="zh-TW"/>
        </w:rPr>
        <w:t>يستطيع أن يؤدي وظيفته إلا بوجوه مكشوفة. وبعبارة أعم أقول، كما أسلفت، إن التواصل الإنساني الرئيسي يتم عن طريق لغة الوجه قبل أي لغة أخرى. وستر المرء لوجهه بشكل كامل ودائم في الأماكن العامة، ولا سيما في سياق ديمقراطي، يعني إنكاراً لقابليته لمؤالفة الناس في المجتمع وقطعاً للصلة التي تربطه ببني جلدته. وعليه، فإن فرض حظر بموجب القانون على ارتداء النقاب والمعاقبة عليه بغرامة بسيطة ليس تدبيراً مفرطاً ولا غير متناسب. ولا تستقيم، في هذا الصدد، مقارنة الحجاب بالنقاب. فهما مسألتان تختلفان بطبيعتهما.</w:t>
      </w:r>
    </w:p>
    <w:p w:rsidR="00CA6913" w:rsidRPr="005D5C37" w:rsidRDefault="00CA6913" w:rsidP="00CA6913">
      <w:pPr>
        <w:pStyle w:val="SingleTxtGA"/>
        <w:rPr>
          <w:rtl/>
          <w:lang w:val="en-GB" w:eastAsia="zh-TW"/>
        </w:rPr>
      </w:pPr>
      <w:r w:rsidRPr="005D5C37">
        <w:rPr>
          <w:rtl/>
          <w:lang w:val="en-GB" w:eastAsia="zh-TW"/>
        </w:rPr>
        <w:t>٨</w:t>
      </w:r>
      <w:r w:rsidR="0032534E">
        <w:rPr>
          <w:rtl/>
          <w:lang w:val="en-GB" w:eastAsia="zh-TW"/>
        </w:rPr>
        <w:t>-</w:t>
      </w:r>
      <w:r w:rsidRPr="005D5C37">
        <w:rPr>
          <w:rtl/>
          <w:lang w:val="en-GB" w:eastAsia="zh-TW"/>
        </w:rPr>
        <w:tab/>
        <w:t>ومن ثم، فإن اللجنة عكست تماماً ترتيب الحقوق فرأت أن "الحظر الجنائي المفروض بموجب المادة الأولى من القانون رقم 2010</w:t>
      </w:r>
      <w:r w:rsidR="0032534E">
        <w:rPr>
          <w:rtl/>
          <w:lang w:val="en-GB" w:eastAsia="zh-TW"/>
        </w:rPr>
        <w:t>-</w:t>
      </w:r>
      <w:r w:rsidRPr="005D5C37">
        <w:rPr>
          <w:rtl/>
          <w:lang w:val="en-GB" w:eastAsia="zh-TW"/>
        </w:rPr>
        <w:t xml:space="preserve">1192 يؤثر بشكل غير متناسب على صاحبة البلاغ، بصفتها امرأة مسلمة اختارت ارتداء النقاب، ويقيم بينها وبين غيرها من الناس، الذين يغطون وجوههم أحياناً في الأماكن العامة بصورة قانونية، تمييزاً غير ضروري ولا يتناسب مع مصلحة مشروعة، ويعد بذلك، غير منطقي". وتستنتج اللجنة من ذلك أن هذه المادة تشكل </w:t>
      </w:r>
      <w:r w:rsidRPr="005D5C37">
        <w:rPr>
          <w:rtl/>
          <w:lang w:val="en-GB" w:eastAsia="zh-TW"/>
        </w:rPr>
        <w:lastRenderedPageBreak/>
        <w:t>شكلاً من أشكال التمييز المتعدد الجوانب القائم على أساس الجنس والدين، وهو ما يشكل انتهاكاً للمادة</w:t>
      </w:r>
      <w:r w:rsidRPr="005D5C37">
        <w:rPr>
          <w:rFonts w:hint="cs"/>
          <w:rtl/>
          <w:lang w:val="en-GB" w:eastAsia="zh-TW"/>
        </w:rPr>
        <w:t xml:space="preserve"> </w:t>
      </w:r>
      <w:r w:rsidRPr="005D5C37">
        <w:rPr>
          <w:rtl/>
          <w:lang w:val="en-GB" w:eastAsia="zh-TW"/>
        </w:rPr>
        <w:t>26 من العهد. ومما لا شك فيه أن هذا الحظر ضروري، ولو من منظور درء المخاطر الأمنية وحده (انظر الفقرة 2 أعلاه) ومتناسب، والدليل على ذلك ضعف العقوبة المفروضة، التي تقوم على دفع غرامة قدرها 150 يورو والخضوع لفترة تدريب عن المواطنة، وهي عقوبة مستحقة تماماً، في هذه القضية، بالنظر إلى جسامة انتهاك مبدأ المساواة في المواطنة وكرامة المرأة.</w:t>
      </w:r>
    </w:p>
    <w:p w:rsidR="00CA6913" w:rsidRPr="005D5C37" w:rsidRDefault="00CA6913" w:rsidP="005565AF">
      <w:pPr>
        <w:pStyle w:val="SingleTxtGA"/>
        <w:rPr>
          <w:rtl/>
          <w:lang w:val="en-GB" w:eastAsia="zh-TW"/>
        </w:rPr>
      </w:pPr>
      <w:r w:rsidRPr="005D5C37">
        <w:rPr>
          <w:rtl/>
          <w:lang w:val="en-GB" w:eastAsia="zh-TW"/>
        </w:rPr>
        <w:t>٩</w:t>
      </w:r>
      <w:r w:rsidR="0032534E">
        <w:rPr>
          <w:rtl/>
          <w:lang w:val="en-GB" w:eastAsia="zh-TW"/>
        </w:rPr>
        <w:t>-</w:t>
      </w:r>
      <w:r w:rsidRPr="005D5C37">
        <w:rPr>
          <w:rtl/>
          <w:lang w:val="en-GB" w:eastAsia="zh-TW"/>
        </w:rPr>
        <w:tab/>
        <w:t>ولننتقل الآن إلى مسألة الأشخاص الذين يجيز لهم القانون رقم 2010/1192 تغطية وجوههم، على عكس المنقبات، وهو ما يشكل، وفقاً لآراء اللجنة، تمييزاً يتعارض مع المادة</w:t>
      </w:r>
      <w:r w:rsidR="005565AF">
        <w:rPr>
          <w:rFonts w:hint="eastAsia"/>
          <w:rtl/>
          <w:lang w:val="en-GB" w:eastAsia="zh-TW"/>
        </w:rPr>
        <w:t> </w:t>
      </w:r>
      <w:r w:rsidRPr="005D5C37">
        <w:rPr>
          <w:rtl/>
          <w:lang w:val="en-GB" w:eastAsia="zh-TW"/>
        </w:rPr>
        <w:t>26. وهؤلاء هم الأشخاص المشار إليهم في الفقرة 2 من المادة 2 من القانون الذي ينص على استثناءات من الحظر المفروض. فهل يمكن أن نساوي بين هذه الاستثناءات وممارسة ارتداء النقاب ونقارن هذه بتلك؟ وهل المادة 2 من القانون رقم 2010/1192 تمييزية ومتعارضة مع المادة 26؟ لا أعتقد ذلك. إن معظم هذه الاستثناءات، التي هي بوجه عام استثناءات ظرفية ومؤقتة، له طابع اللهو أو التسلية أو الاحتفال أو الفولكلور أو الرياضة، أو تمليه ضرورات الخدمة أو السلامة، ولا سيما السلامة على الطرق. وهي استثناءات لا يخلو منها بلدٌ ولا تمثل مطلقاً رموزاً أو رسائل ذات دلالة تمييزية يمكن أن تستدعي تطبيق المادة 26 من العهد، كما هو الشأن بالنسبة للنقاب.</w:t>
      </w:r>
    </w:p>
    <w:p w:rsidR="00CA6913" w:rsidRPr="005D5C37" w:rsidRDefault="00CA6913" w:rsidP="00CA6913">
      <w:pPr>
        <w:pStyle w:val="SingleTxtGA"/>
        <w:rPr>
          <w:rtl/>
          <w:lang w:val="en-GB" w:eastAsia="zh-TW"/>
        </w:rPr>
      </w:pPr>
      <w:r w:rsidRPr="005D5C37">
        <w:rPr>
          <w:rtl/>
          <w:lang w:val="en-GB" w:eastAsia="zh-TW"/>
        </w:rPr>
        <w:t>١٠</w:t>
      </w:r>
      <w:r w:rsidR="0032534E">
        <w:rPr>
          <w:rtl/>
          <w:lang w:val="en-GB" w:eastAsia="zh-TW"/>
        </w:rPr>
        <w:t>-</w:t>
      </w:r>
      <w:r w:rsidRPr="005D5C37">
        <w:rPr>
          <w:rtl/>
          <w:lang w:val="en-GB" w:eastAsia="zh-TW"/>
        </w:rPr>
        <w:tab/>
        <w:t>واستنتاجي هو أن حظر ارتداء النقاب والمعاقبة عليه بالتغريم لا يتعارض، في سياق فرنسا بوجه خاص، مع المادة 18 ولا مع المادة 26 من العهد.</w:t>
      </w:r>
    </w:p>
    <w:p w:rsidR="0009025E" w:rsidRDefault="0009025E" w:rsidP="00CA6913">
      <w:pPr>
        <w:pStyle w:val="SingleTxtGA"/>
        <w:rPr>
          <w:rtl/>
          <w:lang w:val="en-GB" w:eastAsia="zh-TW"/>
        </w:rPr>
        <w:sectPr w:rsidR="0009025E" w:rsidSect="00CD5D48">
          <w:footnotePr>
            <w:numRestart w:val="eachSect"/>
          </w:footnotePr>
          <w:endnotePr>
            <w:numFmt w:val="decimal"/>
          </w:endnotePr>
          <w:pgSz w:w="11907" w:h="16840" w:code="9"/>
          <w:pgMar w:top="1418" w:right="1134" w:bottom="1134" w:left="1134" w:header="851" w:footer="567" w:gutter="0"/>
          <w:cols w:space="720"/>
          <w:bidi/>
          <w:docGrid w:linePitch="360"/>
        </w:sectPr>
      </w:pPr>
    </w:p>
    <w:p w:rsidR="00CA6913" w:rsidRPr="005D5C37" w:rsidRDefault="00CA6913" w:rsidP="005565AF">
      <w:pPr>
        <w:pStyle w:val="HChGA"/>
        <w:spacing w:before="120"/>
        <w:rPr>
          <w:rtl/>
          <w:lang w:val="en-GB" w:eastAsia="zh-TW"/>
        </w:rPr>
      </w:pPr>
      <w:r w:rsidRPr="005D5C37">
        <w:rPr>
          <w:rFonts w:hint="cs"/>
          <w:rtl/>
          <w:lang w:val="en-GB" w:eastAsia="zh-TW"/>
        </w:rPr>
        <w:lastRenderedPageBreak/>
        <w:t>المرفق الرابع</w:t>
      </w:r>
    </w:p>
    <w:p w:rsidR="00CA6913" w:rsidRPr="005D5C37" w:rsidRDefault="00CA6913" w:rsidP="005565AF">
      <w:pPr>
        <w:pStyle w:val="HChGA"/>
        <w:rPr>
          <w:rtl/>
          <w:lang w:val="en-GB" w:eastAsia="zh-TW"/>
        </w:rPr>
      </w:pPr>
      <w:r w:rsidRPr="005D5C37">
        <w:rPr>
          <w:lang w:val="en-GB" w:eastAsia="zh-TW"/>
        </w:rPr>
        <w:tab/>
      </w:r>
      <w:r w:rsidRPr="005D5C37">
        <w:rPr>
          <w:lang w:val="en-GB" w:eastAsia="zh-TW"/>
        </w:rPr>
        <w:tab/>
      </w:r>
      <w:r w:rsidRPr="005D5C37">
        <w:rPr>
          <w:rtl/>
          <w:lang w:val="en-GB" w:eastAsia="zh-TW"/>
        </w:rPr>
        <w:t>رأي فردي لعضو اللجنة خوسيه مانويل سانتوس بايس (رأي معارض)</w:t>
      </w:r>
    </w:p>
    <w:p w:rsidR="00CA6913" w:rsidRPr="005D5C37" w:rsidRDefault="00CA6913" w:rsidP="00CA6913">
      <w:pPr>
        <w:pStyle w:val="SingleTxtGA"/>
        <w:rPr>
          <w:rtl/>
          <w:lang w:val="en-GB" w:eastAsia="zh-TW"/>
        </w:rPr>
      </w:pPr>
      <w:bookmarkStart w:id="2" w:name="_Hlk491278443"/>
      <w:r w:rsidRPr="005D5C37">
        <w:rPr>
          <w:rtl/>
          <w:lang w:val="en-GB" w:eastAsia="zh-TW"/>
        </w:rPr>
        <w:t>١</w:t>
      </w:r>
      <w:r w:rsidR="0032534E">
        <w:rPr>
          <w:rtl/>
          <w:lang w:val="en-GB" w:eastAsia="zh-TW"/>
        </w:rPr>
        <w:t>-</w:t>
      </w:r>
      <w:r w:rsidRPr="005D5C37">
        <w:rPr>
          <w:rtl/>
          <w:lang w:val="en-GB" w:eastAsia="zh-TW"/>
        </w:rPr>
        <w:tab/>
        <w:t>لا يسعني للأسف أن أشاطر اللجنة الاستنتاج الذي توصلت إليه أغلبية الأعضاء ومفاده أن الدولة الطرف انتهكت الحقوق المكفولة لصاحبتيْ البلاغيْن بموجب المادتيْن ١٨ و٢٦ من العهد.</w:t>
      </w:r>
      <w:bookmarkStart w:id="3" w:name="_Hlk491278293"/>
      <w:bookmarkStart w:id="4" w:name="_Hlk491964599"/>
      <w:bookmarkEnd w:id="2"/>
      <w:bookmarkEnd w:id="3"/>
      <w:bookmarkEnd w:id="4"/>
    </w:p>
    <w:p w:rsidR="00CA6913" w:rsidRPr="005D5C37" w:rsidRDefault="00CA6913" w:rsidP="00CA6913">
      <w:pPr>
        <w:pStyle w:val="SingleTxtGA"/>
        <w:rPr>
          <w:rtl/>
          <w:lang w:val="en-GB" w:eastAsia="zh-TW"/>
        </w:rPr>
      </w:pPr>
      <w:r w:rsidRPr="005D5C37">
        <w:rPr>
          <w:rtl/>
          <w:lang w:val="en-GB" w:eastAsia="zh-TW"/>
        </w:rPr>
        <w:t>٢</w:t>
      </w:r>
      <w:r w:rsidR="0032534E">
        <w:rPr>
          <w:rtl/>
          <w:lang w:val="en-GB" w:eastAsia="zh-TW"/>
        </w:rPr>
        <w:t>-</w:t>
      </w:r>
      <w:r w:rsidRPr="005D5C37">
        <w:rPr>
          <w:rtl/>
          <w:lang w:val="en-GB" w:eastAsia="zh-TW"/>
        </w:rPr>
        <w:tab/>
        <w:t>فالقضيتان كلتاهما تتعلقان بارتداء النقاب، وهما أول قضيتين من هذا النوع تنظر فيهما اللجنة. والمسألة المعروضة فيهما حساسة للغاية. ولذلك، يجدر التوصل إلى حل مدروس بالنظر إلى آثاره البعيدة المدى.</w:t>
      </w:r>
    </w:p>
    <w:p w:rsidR="00CA6913" w:rsidRPr="005D5C37" w:rsidRDefault="00CA6913" w:rsidP="00CA6913">
      <w:pPr>
        <w:pStyle w:val="SingleTxtGA"/>
        <w:rPr>
          <w:rtl/>
          <w:lang w:val="en-GB" w:eastAsia="zh-TW"/>
        </w:rPr>
      </w:pPr>
      <w:r w:rsidRPr="005D5C37">
        <w:rPr>
          <w:rtl/>
          <w:lang w:val="en-GB" w:eastAsia="zh-TW"/>
        </w:rPr>
        <w:t>٣</w:t>
      </w:r>
      <w:r w:rsidR="0032534E">
        <w:rPr>
          <w:rtl/>
          <w:lang w:val="en-GB" w:eastAsia="zh-TW"/>
        </w:rPr>
        <w:t>-</w:t>
      </w:r>
      <w:r w:rsidRPr="005D5C37">
        <w:rPr>
          <w:rtl/>
          <w:lang w:val="en-GB" w:eastAsia="zh-TW"/>
        </w:rPr>
        <w:tab/>
        <w:t xml:space="preserve">والشكويان لا تستهدفان دولة إسلامية بل دولة أوروبية ذات تقليد ديمقراطي راسخ وسجل مثير للإعجاب في مجال حقوق الإنسان، وهذا أمر له دلالة إلى حد ما. وتنطوي الحلول الممكنة على معضلة، لأن ثمة حججاً مقنعة يمكن الاستشهاد بها على وقوع انتهاك لحقوق معينة وعلى نفي وقوع هذا الانتهاك في نفس الوقت. وإذا وضعنا جانباً المسائل القانونية الأساسية، سيكون للقرارات التي ستُتَّخذ في كلتا القضيتين أثر سياسي كبير ليس </w:t>
      </w:r>
      <w:r w:rsidRPr="005D5C37">
        <w:rPr>
          <w:rtl/>
          <w:lang w:val="ru-RU" w:eastAsia="zh-TW" w:bidi="ar-DZ"/>
        </w:rPr>
        <w:t>في</w:t>
      </w:r>
      <w:r w:rsidRPr="005D5C37">
        <w:rPr>
          <w:rtl/>
          <w:lang w:val="en-GB" w:eastAsia="zh-TW"/>
        </w:rPr>
        <w:t xml:space="preserve"> فرنسا وحسب بل في العديد من البلدان الأخرى في أوروبا وأفريقيا وآسيا التي قد تنشأ فيها مشكلة ارتداء النقاب أيضاً. ولذلك، يلزم إيجاد حل يخفف الضرر إلى أدنى حد، مع مراعاة جميع العوامل ذات الصلة ومنع احتمال تفسير قرار اللجنة تفسيراً متعسفاً ولا مبرر له.</w:t>
      </w:r>
    </w:p>
    <w:p w:rsidR="00CA6913" w:rsidRPr="005D5C37" w:rsidRDefault="00CA6913" w:rsidP="00CA6913">
      <w:pPr>
        <w:pStyle w:val="SingleTxtGA"/>
        <w:rPr>
          <w:rtl/>
          <w:lang w:val="en-GB" w:eastAsia="zh-TW"/>
        </w:rPr>
      </w:pPr>
      <w:r w:rsidRPr="005D5C37">
        <w:rPr>
          <w:rtl/>
          <w:lang w:val="en-GB" w:eastAsia="zh-TW"/>
        </w:rPr>
        <w:t>٤</w:t>
      </w:r>
      <w:r w:rsidR="0032534E">
        <w:rPr>
          <w:rtl/>
          <w:lang w:val="en-GB" w:eastAsia="zh-TW"/>
        </w:rPr>
        <w:t>-</w:t>
      </w:r>
      <w:r w:rsidRPr="005D5C37">
        <w:rPr>
          <w:rtl/>
          <w:lang w:val="en-GB" w:eastAsia="zh-TW"/>
        </w:rPr>
        <w:tab/>
        <w:t>وأنا أميل إلى القول إن الشكويين، في كلتا القضيتين، شكويان مفتعلتان إلى حد كبير نظراً لاستخدام حجة تقييد حرية الفكر والوجدان والدين فيهما وسيلةً لتناول مشكلة تعد سياسية في المقام الأول. فصاحبتا البلاغين لم تُبينا مطلقاً الأحكام الشرعية التي تفرض عليهما ارتداء النقاب أو الآيات القرآنية التي استندتا إليها في استنتاجاتهما. ومع ذلك، تقران بأن ارتداء النقاب أو البرقع هو بمثابة لباس يمثل عرفاً لدى شريحة من المسلمين المتدينين، وهو فعلٌ تكمن وراءه معتقدات دينية. ومن ثم يعد تطبيقاً لشعيرة وممارسة دينية، مع أن ارتداء النقاب أو البرقع ليس فريضة دينية تشمل جميع المسلمين (الفقرة 3</w:t>
      </w:r>
      <w:r w:rsidR="0032534E">
        <w:rPr>
          <w:rtl/>
          <w:lang w:val="en-GB" w:eastAsia="zh-TW"/>
        </w:rPr>
        <w:t>-</w:t>
      </w:r>
      <w:r w:rsidRPr="005D5C37">
        <w:rPr>
          <w:rtl/>
          <w:lang w:val="en-GB" w:eastAsia="zh-TW"/>
        </w:rPr>
        <w:t>2). فنحن إذن أمام عرف ديني وليس فريضة دينية متفق عليها.</w:t>
      </w:r>
    </w:p>
    <w:p w:rsidR="00CA6913" w:rsidRPr="005D5C37" w:rsidRDefault="00CA6913" w:rsidP="00F20B0E">
      <w:pPr>
        <w:pStyle w:val="SingleTxtGA"/>
        <w:rPr>
          <w:rtl/>
          <w:lang w:val="en-GB" w:eastAsia="zh-TW"/>
        </w:rPr>
      </w:pPr>
      <w:r w:rsidRPr="005D5C37">
        <w:rPr>
          <w:rtl/>
          <w:lang w:val="en-GB" w:eastAsia="zh-TW"/>
        </w:rPr>
        <w:t>٥</w:t>
      </w:r>
      <w:r w:rsidR="0032534E">
        <w:rPr>
          <w:rtl/>
          <w:lang w:val="en-GB" w:eastAsia="zh-TW"/>
        </w:rPr>
        <w:t>-</w:t>
      </w:r>
      <w:r w:rsidRPr="005D5C37">
        <w:rPr>
          <w:rtl/>
          <w:lang w:val="en-GB" w:eastAsia="zh-TW"/>
        </w:rPr>
        <w:tab/>
        <w:t>وقد امتنعت اللجنة في الماضي عن اعتبار بعض الأعراف والممارسات الاجتماعية أو</w:t>
      </w:r>
      <w:r w:rsidR="00F20B0E">
        <w:rPr>
          <w:rFonts w:hint="eastAsia"/>
          <w:rtl/>
          <w:lang w:val="en-GB" w:eastAsia="zh-TW"/>
        </w:rPr>
        <w:t> </w:t>
      </w:r>
      <w:r w:rsidRPr="005D5C37">
        <w:rPr>
          <w:rtl/>
          <w:lang w:val="en-GB" w:eastAsia="zh-TW"/>
        </w:rPr>
        <w:t>الدينية المتعارضة مع حقوق الإنسان (تشويه الأعضاء التناسلية الأنثوية وجرائم الشرف والقتل الطقوسي، والاعتداءات التي تستهدف الأشخاص المصابين بالمهق وأعراف وممارسات أخرى عديدة) انتهاكات لأحكام العهد. وبناء على ذلك، فإن تذرُّع صاحبتيْ البلاغيْن بانتهاك معتقداتهما الدينية لا يُستنتج منه بالضرورة وقوع انتهاك لحقوقهما.</w:t>
      </w:r>
    </w:p>
    <w:p w:rsidR="00CA6913" w:rsidRPr="005D5C37" w:rsidRDefault="00CA6913" w:rsidP="00CA6913">
      <w:pPr>
        <w:pStyle w:val="SingleTxtGA"/>
        <w:rPr>
          <w:rtl/>
          <w:lang w:val="en-GB" w:eastAsia="zh-TW"/>
        </w:rPr>
      </w:pPr>
      <w:r w:rsidRPr="005D5C37">
        <w:rPr>
          <w:rtl/>
          <w:lang w:val="en-GB" w:eastAsia="zh-TW"/>
        </w:rPr>
        <w:t>٦</w:t>
      </w:r>
      <w:r w:rsidR="0032534E">
        <w:rPr>
          <w:rtl/>
          <w:lang w:val="en-GB" w:eastAsia="zh-TW"/>
        </w:rPr>
        <w:t>-</w:t>
      </w:r>
      <w:r w:rsidRPr="005D5C37">
        <w:rPr>
          <w:rtl/>
          <w:lang w:val="en-GB" w:eastAsia="zh-TW"/>
        </w:rPr>
        <w:tab/>
      </w:r>
      <w:r w:rsidRPr="005565AF">
        <w:rPr>
          <w:rtl/>
          <w:lang w:val="en-GB" w:eastAsia="zh-TW"/>
        </w:rPr>
        <w:t>فكلتاهما فرنسيتان مولودتان في فرنسا وتقيمان فيها. ومع ذلك، ترفضان التقيد</w:t>
      </w:r>
      <w:r w:rsidRPr="005565AF">
        <w:rPr>
          <w:rFonts w:hint="cs"/>
          <w:rtl/>
          <w:lang w:val="en-GB" w:eastAsia="zh-TW"/>
        </w:rPr>
        <w:t xml:space="preserve"> </w:t>
      </w:r>
      <w:r w:rsidRPr="005565AF">
        <w:rPr>
          <w:rtl/>
          <w:lang w:val="en-GB" w:eastAsia="zh-TW"/>
        </w:rPr>
        <w:t>بالتشريعات المعمول بها في الدولة الطرف المعنية رغم إقرارهما بالانتماء إلى أقلية من النساء</w:t>
      </w:r>
      <w:r w:rsidRPr="005565AF">
        <w:rPr>
          <w:rFonts w:hint="cs"/>
          <w:rtl/>
          <w:lang w:val="en-GB" w:eastAsia="zh-TW"/>
        </w:rPr>
        <w:t xml:space="preserve"> </w:t>
      </w:r>
      <w:r w:rsidRPr="005565AF">
        <w:rPr>
          <w:rtl/>
          <w:lang w:val="en-GB" w:eastAsia="zh-TW"/>
        </w:rPr>
        <w:t>المسلمات المنقبات. ووفقاً لإحدى اللجان البرلمانية التي درست هذه المسألة، يقل عدد هؤلاء النسوة عن٠٠٠ ٢ امرأة (الفقرتان 3</w:t>
      </w:r>
      <w:r w:rsidR="0032534E" w:rsidRPr="005565AF">
        <w:rPr>
          <w:rtl/>
          <w:lang w:val="en-GB" w:eastAsia="zh-TW"/>
        </w:rPr>
        <w:t>-</w:t>
      </w:r>
      <w:r w:rsidRPr="005565AF">
        <w:rPr>
          <w:rtl/>
          <w:lang w:val="en-GB" w:eastAsia="zh-TW"/>
        </w:rPr>
        <w:t>3 و3</w:t>
      </w:r>
      <w:r w:rsidR="0032534E" w:rsidRPr="005565AF">
        <w:rPr>
          <w:rtl/>
          <w:lang w:val="en-GB" w:eastAsia="zh-TW"/>
        </w:rPr>
        <w:t>-</w:t>
      </w:r>
      <w:r w:rsidRPr="005565AF">
        <w:rPr>
          <w:rtl/>
          <w:lang w:val="en-GB" w:eastAsia="zh-TW"/>
        </w:rPr>
        <w:t xml:space="preserve">14)، وهو عدد يشكل أقلية ضئيلة </w:t>
      </w:r>
      <w:r w:rsidR="005565AF">
        <w:rPr>
          <w:rFonts w:hint="cs"/>
          <w:rtl/>
          <w:lang w:val="en-GB" w:eastAsia="zh-TW"/>
        </w:rPr>
        <w:t xml:space="preserve">              </w:t>
      </w:r>
      <w:r w:rsidRPr="005565AF">
        <w:rPr>
          <w:rtl/>
          <w:lang w:val="en-GB" w:eastAsia="zh-TW"/>
        </w:rPr>
        <w:t>(الفقرة 3</w:t>
      </w:r>
      <w:r w:rsidR="0032534E" w:rsidRPr="005565AF">
        <w:rPr>
          <w:rtl/>
          <w:lang w:val="en-GB" w:eastAsia="zh-TW"/>
        </w:rPr>
        <w:t>-</w:t>
      </w:r>
      <w:r w:rsidRPr="005565AF">
        <w:rPr>
          <w:rtl/>
          <w:lang w:val="en-GB" w:eastAsia="zh-TW"/>
        </w:rPr>
        <w:t>9).</w:t>
      </w:r>
      <w:r w:rsidRPr="005D5C37">
        <w:rPr>
          <w:rtl/>
          <w:lang w:val="en-GB" w:eastAsia="zh-TW"/>
        </w:rPr>
        <w:t xml:space="preserve"> وترى صاحبتا البلاغين أن هذه الأقلية الضئيلة يمكنها أن تفرض معتقداتها على </w:t>
      </w:r>
      <w:r w:rsidRPr="005D5C37">
        <w:rPr>
          <w:rtl/>
          <w:lang w:val="en-GB" w:eastAsia="zh-TW"/>
        </w:rPr>
        <w:lastRenderedPageBreak/>
        <w:t>بقية السكان، وترفضان في المقابل أن يكون لهم نفس الحق. وهو أمر يبدو محيراً جداً، من حيث معيار التناسب، ولا سيما أن صاحبتيْ البلاغين بإمكانهما ارتداء زي يكون شكله أقل تزمتاً وتطرفاً، مثل الحجاب، من دون الإخلال بمعتقداتهما الدينية. وينبغي، في رأيي، توخي الحذر في تناول هذا الشكل المتطرف والمتشدد من المعتقدات الدينية لكي تتمكن اللجنة من التوصل إلى قرار منصف ومعقول، وهو ما لم يحدث، في هذه القضية، للأسف.</w:t>
      </w:r>
    </w:p>
    <w:p w:rsidR="00CA6913" w:rsidRPr="005D5C37" w:rsidRDefault="00CA6913" w:rsidP="00CA6913">
      <w:pPr>
        <w:pStyle w:val="SingleTxtGA"/>
        <w:rPr>
          <w:rtl/>
          <w:lang w:val="en-GB" w:eastAsia="zh-TW"/>
        </w:rPr>
      </w:pPr>
      <w:r w:rsidRPr="005D5C37">
        <w:rPr>
          <w:rtl/>
          <w:lang w:val="en-GB" w:eastAsia="zh-TW"/>
        </w:rPr>
        <w:t>٧</w:t>
      </w:r>
      <w:r w:rsidR="0032534E">
        <w:rPr>
          <w:rtl/>
          <w:lang w:val="en-GB" w:eastAsia="zh-TW"/>
        </w:rPr>
        <w:t>-</w:t>
      </w:r>
      <w:r w:rsidRPr="005D5C37">
        <w:rPr>
          <w:rtl/>
          <w:lang w:val="en-GB" w:eastAsia="zh-TW"/>
        </w:rPr>
        <w:tab/>
        <w:t>وعندما يجد المرء نفسه في مجتمع ما، لا بد أن يكون همّه الطبيعي ضرورة احترام عادات وأعراف هذا المجتمع فضلاً عن احترام القيم الاجتماعية السائدة. وذلك يصدق أكثر على من تربطه علاقة دائمة مع هذا المجتمع، كما هو الحال بالنسبة لصاحبتيْ البلاغين. ومع ذلك، فإنهما ترفضان تقبل الأمر.</w:t>
      </w:r>
    </w:p>
    <w:p w:rsidR="00CA6913" w:rsidRPr="005D5C37" w:rsidRDefault="00CA6913" w:rsidP="005565AF">
      <w:pPr>
        <w:pStyle w:val="SingleTxtGA"/>
        <w:rPr>
          <w:rtl/>
          <w:lang w:val="en-GB" w:eastAsia="zh-TW"/>
        </w:rPr>
      </w:pPr>
      <w:r w:rsidRPr="005D5C37">
        <w:rPr>
          <w:rtl/>
          <w:lang w:val="en-GB" w:eastAsia="zh-TW"/>
        </w:rPr>
        <w:t>٨</w:t>
      </w:r>
      <w:r w:rsidR="0032534E">
        <w:rPr>
          <w:rtl/>
          <w:lang w:val="en-GB" w:eastAsia="zh-TW"/>
        </w:rPr>
        <w:t>-</w:t>
      </w:r>
      <w:r w:rsidRPr="005D5C37">
        <w:rPr>
          <w:rtl/>
          <w:lang w:val="en-GB" w:eastAsia="zh-TW"/>
        </w:rPr>
        <w:tab/>
        <w:t>ولكل دولة صلاحيات مشروعة تخولها تحديد الإطار التشريعي لمجتمعها بطريقة ديمقراطية، مع احترام التزاماتها الدولية. وهذا ما فعلته الدولة الطرف بعناية. فالقانون رقم</w:t>
      </w:r>
      <w:r w:rsidR="005565AF">
        <w:rPr>
          <w:rFonts w:hint="eastAsia"/>
          <w:rtl/>
          <w:lang w:val="en-GB" w:eastAsia="zh-TW"/>
        </w:rPr>
        <w:t> </w:t>
      </w:r>
      <w:r w:rsidRPr="005D5C37">
        <w:rPr>
          <w:rtl/>
          <w:lang w:val="en-GB" w:eastAsia="zh-TW"/>
        </w:rPr>
        <w:t>2010</w:t>
      </w:r>
      <w:r w:rsidR="0032534E">
        <w:rPr>
          <w:rtl/>
          <w:lang w:val="en-GB" w:eastAsia="zh-TW"/>
        </w:rPr>
        <w:t>-</w:t>
      </w:r>
      <w:r w:rsidRPr="005D5C37">
        <w:rPr>
          <w:rtl/>
          <w:lang w:val="en-GB" w:eastAsia="zh-TW"/>
        </w:rPr>
        <w:t>1192 أُقرّ بالإجماع (باستثناء صوت واحد) في الجمعية الوطنية ومجلس الشيوخ بعد إجراء نقاش ديمقراطي واسع النطاق. وأُلفت فرقة عمل برلمانية من ممثلين منتخبين ينتمون إلى التيارات السياسية كافة، وشرعت في الاستماع إلى العديد من الأشخاص الذين يعتنقون آراء مختلفة، بمن في ذلك النساء المسلمات وغير المسلمات على حد سواء وأفرادٌ من المجتمع المدني (الفقرة 5</w:t>
      </w:r>
      <w:r w:rsidR="0032534E">
        <w:rPr>
          <w:rtl/>
          <w:lang w:val="en-GB" w:eastAsia="zh-TW"/>
        </w:rPr>
        <w:t>-</w:t>
      </w:r>
      <w:r w:rsidRPr="005D5C37">
        <w:rPr>
          <w:rtl/>
          <w:lang w:val="en-GB" w:eastAsia="zh-TW"/>
        </w:rPr>
        <w:t>1)</w:t>
      </w:r>
      <w:r w:rsidRPr="00CD3655">
        <w:rPr>
          <w:rStyle w:val="FootnoteReference"/>
          <w:sz w:val="20"/>
          <w:szCs w:val="30"/>
          <w:rtl/>
          <w:lang w:val="en-GB" w:eastAsia="zh-TW"/>
        </w:rPr>
        <w:t>(</w:t>
      </w:r>
      <w:r w:rsidRPr="00CD3655">
        <w:rPr>
          <w:rStyle w:val="FootnoteReference"/>
          <w:sz w:val="20"/>
          <w:szCs w:val="30"/>
          <w:rtl/>
          <w:lang w:val="en-GB" w:eastAsia="zh-TW"/>
        </w:rPr>
        <w:footnoteReference w:id="37"/>
      </w:r>
      <w:r w:rsidRPr="00CD3655">
        <w:rPr>
          <w:rStyle w:val="FootnoteReference"/>
          <w:sz w:val="20"/>
          <w:szCs w:val="30"/>
          <w:rtl/>
          <w:lang w:val="en-GB" w:eastAsia="zh-TW"/>
        </w:rPr>
        <w:t>)</w:t>
      </w:r>
      <w:r w:rsidRPr="005D5C37">
        <w:rPr>
          <w:rFonts w:hint="cs"/>
          <w:rtl/>
          <w:lang w:val="en-GB" w:eastAsia="zh-TW"/>
        </w:rPr>
        <w:t>.</w:t>
      </w:r>
      <w:r w:rsidRPr="005D5C37">
        <w:rPr>
          <w:rtl/>
          <w:lang w:val="en-GB" w:eastAsia="zh-TW"/>
        </w:rPr>
        <w:t xml:space="preserve"> وفي ١١ أيار/مايو ٢٠١٠، اعتمدت الجمعية الوطنية </w:t>
      </w:r>
      <w:r w:rsidR="0032534E">
        <w:rPr>
          <w:rtl/>
          <w:lang w:val="en-GB" w:eastAsia="zh-TW"/>
        </w:rPr>
        <w:t>-</w:t>
      </w:r>
      <w:r w:rsidRPr="005D5C37">
        <w:rPr>
          <w:rFonts w:hint="cs"/>
          <w:rtl/>
          <w:lang w:val="en-GB" w:eastAsia="zh-TW"/>
        </w:rPr>
        <w:t xml:space="preserve"> </w:t>
      </w:r>
      <w:r w:rsidRPr="005D5C37">
        <w:rPr>
          <w:rtl/>
          <w:lang w:val="en-GB" w:eastAsia="zh-TW"/>
        </w:rPr>
        <w:t>قبل اعتماد القانون</w:t>
      </w:r>
      <w:r w:rsidR="005565AF">
        <w:rPr>
          <w:rFonts w:hint="cs"/>
          <w:rtl/>
          <w:lang w:val="en-GB" w:eastAsia="zh-TW"/>
        </w:rPr>
        <w:t> </w:t>
      </w:r>
      <w:r w:rsidR="0032534E">
        <w:rPr>
          <w:rtl/>
          <w:lang w:val="en-GB" w:eastAsia="zh-TW"/>
        </w:rPr>
        <w:t>-</w:t>
      </w:r>
      <w:r w:rsidRPr="005D5C37">
        <w:rPr>
          <w:rFonts w:hint="cs"/>
          <w:rtl/>
          <w:lang w:val="en-GB" w:eastAsia="zh-TW"/>
        </w:rPr>
        <w:t xml:space="preserve"> </w:t>
      </w:r>
      <w:r w:rsidRPr="005D5C37">
        <w:rPr>
          <w:rtl/>
          <w:lang w:val="en-GB" w:eastAsia="zh-TW"/>
        </w:rPr>
        <w:t>قراراً ذكرت فيه أن الممارسات المتشددة التي تضر بالكرامة الإنسانية وبمبدأ المساواة بين الرجل والمرأة، بما في ذلك ارتداء النقاب، هي ممارسات تتعارض مع قيم الجمهورية، ودعت إلى تنفيذ جميع التدابير الممكنة لضمان الحماية الفعالة للنساء المعرضات للعنف أو الضغط، بطرق منها إجبارهن على ارتداء النقاب (الفقرة 5</w:t>
      </w:r>
      <w:r w:rsidR="0032534E">
        <w:rPr>
          <w:rtl/>
          <w:lang w:val="en-GB" w:eastAsia="zh-TW"/>
        </w:rPr>
        <w:t>-</w:t>
      </w:r>
      <w:r w:rsidRPr="005D5C37">
        <w:rPr>
          <w:rtl/>
          <w:lang w:val="en-GB" w:eastAsia="zh-TW"/>
        </w:rPr>
        <w:t>2)</w:t>
      </w:r>
      <w:r w:rsidRPr="00CD3655">
        <w:rPr>
          <w:rStyle w:val="FootnoteReference"/>
          <w:sz w:val="20"/>
          <w:szCs w:val="30"/>
          <w:rtl/>
          <w:lang w:val="en-GB" w:eastAsia="zh-TW"/>
        </w:rPr>
        <w:t>(</w:t>
      </w:r>
      <w:r w:rsidRPr="00CD3655">
        <w:rPr>
          <w:rStyle w:val="FootnoteReference"/>
          <w:sz w:val="20"/>
          <w:szCs w:val="30"/>
          <w:rtl/>
          <w:lang w:val="en-GB" w:eastAsia="zh-TW"/>
        </w:rPr>
        <w:footnoteReference w:id="38"/>
      </w:r>
      <w:r w:rsidRPr="00CD3655">
        <w:rPr>
          <w:rStyle w:val="FootnoteReference"/>
          <w:sz w:val="20"/>
          <w:szCs w:val="30"/>
          <w:rtl/>
          <w:lang w:val="en-GB" w:eastAsia="zh-TW"/>
        </w:rPr>
        <w:t>)</w:t>
      </w:r>
      <w:r w:rsidRPr="00CD3655">
        <w:rPr>
          <w:rStyle w:val="FootnoteReference"/>
          <w:rFonts w:hint="cs"/>
          <w:sz w:val="20"/>
          <w:szCs w:val="30"/>
          <w:vertAlign w:val="baseline"/>
          <w:rtl/>
          <w:lang w:val="en-GB" w:eastAsia="zh-TW"/>
        </w:rPr>
        <w:t>.</w:t>
      </w:r>
    </w:p>
    <w:p w:rsidR="00CA6913" w:rsidRPr="005D5C37" w:rsidRDefault="00CA6913" w:rsidP="009A1C3F">
      <w:pPr>
        <w:pStyle w:val="SingleTxtGA"/>
        <w:rPr>
          <w:rFonts w:ascii="Traditional Arabic" w:hAnsi="Traditional Arabic"/>
          <w:sz w:val="32"/>
          <w:szCs w:val="32"/>
          <w:rtl/>
          <w:lang w:val="en-GB" w:eastAsia="zh-TW"/>
        </w:rPr>
      </w:pPr>
      <w:r w:rsidRPr="005D5C37">
        <w:rPr>
          <w:rtl/>
          <w:lang w:val="en-GB" w:eastAsia="zh-TW"/>
        </w:rPr>
        <w:t>٩</w:t>
      </w:r>
      <w:r w:rsidR="0032534E">
        <w:rPr>
          <w:rtl/>
          <w:lang w:val="en-GB" w:eastAsia="zh-TW"/>
        </w:rPr>
        <w:t>-</w:t>
      </w:r>
      <w:r w:rsidRPr="005D5C37">
        <w:rPr>
          <w:rtl/>
          <w:lang w:val="en-GB" w:eastAsia="zh-TW"/>
        </w:rPr>
        <w:tab/>
      </w:r>
      <w:r w:rsidRPr="005D5C37">
        <w:rPr>
          <w:rFonts w:ascii="Traditional Arabic" w:hAnsi="Traditional Arabic"/>
          <w:sz w:val="32"/>
          <w:szCs w:val="32"/>
          <w:rtl/>
          <w:lang w:val="en-GB" w:eastAsia="zh-TW"/>
        </w:rPr>
        <w:t>والحظر العام الذي فرض بموجب القانون حظر محدود النطاق، بالنظر إلى أن ستر الوجه هو المحظور دون غيره. والعقوبات المطبقة هي عقوبات مدروسة لأن المشرع أعطى الأولوية لدور التثقيف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3)</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39"/>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ويشمل الحظر كل لباس يكون الغرض منه ستر الوجه في الأماكن العامة، بغض النظر عن شكله أو دواعي ارتدائه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5)</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0"/>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ولا</w:t>
      </w:r>
      <w:r w:rsidR="00CD3655">
        <w:rPr>
          <w:rFonts w:ascii="Traditional Arabic" w:hAnsi="Traditional Arabic" w:hint="eastAsia"/>
          <w:sz w:val="32"/>
          <w:szCs w:val="32"/>
          <w:rtl/>
          <w:lang w:val="en-GB" w:eastAsia="zh-TW"/>
        </w:rPr>
        <w:t> </w:t>
      </w:r>
      <w:r w:rsidRPr="005D5C37">
        <w:rPr>
          <w:rFonts w:ascii="Traditional Arabic" w:hAnsi="Traditional Arabic"/>
          <w:sz w:val="32"/>
          <w:szCs w:val="32"/>
          <w:rtl/>
          <w:lang w:val="en-GB" w:eastAsia="zh-TW"/>
        </w:rPr>
        <w:t>يستهدف لباساً بعينه ولا يميز بين رجل وامرأة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11)</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1"/>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وعليه، لا توجد معاملة خاصة لزي تمليه موجبات دينية أو ثقافية، وأثر الحظر يقتصر فقط على أكثر أشكال اللباس تشدداً التي تحول دون رؤية الشخص في الأماكن العامة. ولا يجوز في هذا الحظر تقييد ممارسة الحرية الدينية في دور العبادة المفتوحة للجمهور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9)</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2"/>
      </w:r>
      <w:r w:rsidRPr="00CD3655">
        <w:rPr>
          <w:rStyle w:val="FootnoteReference"/>
          <w:rFonts w:ascii="Traditional Arabic" w:hAnsi="Traditional Arabic"/>
          <w:sz w:val="34"/>
          <w:szCs w:val="30"/>
          <w:rtl/>
          <w:lang w:val="en-GB" w:eastAsia="zh-TW"/>
        </w:rPr>
        <w:t>)</w:t>
      </w:r>
      <w:r w:rsidRPr="005D5C37">
        <w:rPr>
          <w:rFonts w:ascii="Traditional Arabic" w:hAnsi="Traditional Arabic"/>
          <w:sz w:val="32"/>
          <w:szCs w:val="32"/>
          <w:rtl/>
          <w:lang w:val="en-GB" w:eastAsia="zh-TW"/>
        </w:rPr>
        <w:t xml:space="preserve">. وتشمل الاستثناءات من أحكام القانون كل ما يُلبس لدواع صحية أو مهنية، أو في إطار حفلة أو مناسبة رياضية أو فنية أو تقليدية، بما في ذلك المسيرات الدينية، أو غير ذلك </w:t>
      </w:r>
      <w:r w:rsidRPr="005D5C37">
        <w:rPr>
          <w:rFonts w:ascii="Traditional Arabic" w:hAnsi="Traditional Arabic"/>
          <w:sz w:val="32"/>
          <w:szCs w:val="32"/>
          <w:rtl/>
          <w:lang w:val="en-GB" w:eastAsia="zh-TW"/>
        </w:rPr>
        <w:lastRenderedPageBreak/>
        <w:t>مما</w:t>
      </w:r>
      <w:r w:rsidR="009A1C3F">
        <w:rPr>
          <w:rFonts w:ascii="Traditional Arabic" w:hAnsi="Traditional Arabic" w:hint="eastAsia"/>
          <w:sz w:val="32"/>
          <w:szCs w:val="32"/>
          <w:rtl/>
          <w:lang w:val="en-GB" w:eastAsia="zh-TW"/>
        </w:rPr>
        <w:t> </w:t>
      </w:r>
      <w:r w:rsidRPr="005D5C37">
        <w:rPr>
          <w:rFonts w:ascii="Traditional Arabic" w:hAnsi="Traditional Arabic"/>
          <w:sz w:val="32"/>
          <w:szCs w:val="32"/>
          <w:rtl/>
          <w:lang w:val="en-GB" w:eastAsia="zh-TW"/>
        </w:rPr>
        <w:t>يجيزه القانون (الفقرة 7</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2)</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3"/>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الأمر الذي يؤكد أن الحظر يكتسي طابعاً عاماً ومعقولاً. وهناك تعميم صادر في ٢ آذار/مارس ٢٠١١ قدم شرحاً شاملاً لنطاق القانون وطرائق تطبيقه، واستُكمل بحملة نُظمت في الأماكن العامة، ومنشور أتيح في المكاتب الحكومية، فضلاً عن إطلاق موقع شبكي تثقيفي بشأن هذه المسألة. وعلاوةً على ذلك، حدد القانون مهلة ستة أشهر من تاريخ سنه إلى تاريخ دخوله حيز النفاذ لاستيفاء شرط إمكانية التنبؤ بما سيحصل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6)</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4"/>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١٠</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ab/>
        <w:t>وللقانون هدف مشروع، هو حماية حقوق الآخرين وحرياتهم، وحماية النظام العام، على النحو المبين بوضوح في بيان الأسباب الموجبة لسنه، الذي يعيد تأكيد قيم الجمهورية ومتطلبات العيش المشترك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7)</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5"/>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وقد أقرت المحكمة الأوروبية لحقوق الإنسان، في حكمها الصادر في قضية </w:t>
      </w:r>
      <w:r w:rsidRPr="005D5C37">
        <w:rPr>
          <w:rFonts w:ascii="Traditional Arabic" w:hAnsi="Traditional Arabic"/>
          <w:i/>
          <w:iCs/>
          <w:sz w:val="32"/>
          <w:szCs w:val="32"/>
          <w:rtl/>
          <w:lang w:val="en-GB" w:eastAsia="zh-TW"/>
        </w:rPr>
        <w:t>س.</w:t>
      </w:r>
      <w:r w:rsidRPr="005D5C37">
        <w:rPr>
          <w:rFonts w:ascii="Traditional Arabic" w:hAnsi="Traditional Arabic" w:hint="cs"/>
          <w:i/>
          <w:iCs/>
          <w:sz w:val="32"/>
          <w:szCs w:val="32"/>
          <w:rtl/>
          <w:lang w:val="en-GB" w:eastAsia="zh-TW"/>
        </w:rPr>
        <w:t xml:space="preserve"> </w:t>
      </w:r>
      <w:r w:rsidRPr="005D5C37">
        <w:rPr>
          <w:rFonts w:ascii="Traditional Arabic" w:hAnsi="Traditional Arabic"/>
          <w:i/>
          <w:iCs/>
          <w:sz w:val="32"/>
          <w:szCs w:val="32"/>
          <w:rtl/>
          <w:lang w:val="en-GB" w:eastAsia="zh-TW"/>
        </w:rPr>
        <w:t>أ.</w:t>
      </w:r>
      <w:r w:rsidRPr="005D5C37">
        <w:rPr>
          <w:rFonts w:ascii="Traditional Arabic" w:hAnsi="Traditional Arabic" w:hint="cs"/>
          <w:i/>
          <w:iCs/>
          <w:sz w:val="32"/>
          <w:szCs w:val="32"/>
          <w:rtl/>
          <w:lang w:val="en-GB" w:eastAsia="zh-TW"/>
        </w:rPr>
        <w:t xml:space="preserve"> </w:t>
      </w:r>
      <w:r w:rsidRPr="005D5C37">
        <w:rPr>
          <w:rFonts w:ascii="Traditional Arabic" w:hAnsi="Traditional Arabic"/>
          <w:i/>
          <w:iCs/>
          <w:sz w:val="32"/>
          <w:szCs w:val="32"/>
          <w:rtl/>
          <w:lang w:val="en-GB" w:eastAsia="zh-TW"/>
        </w:rPr>
        <w:t>س. ضد فرنسا</w:t>
      </w:r>
      <w:r w:rsidRPr="005D5C37">
        <w:rPr>
          <w:rFonts w:ascii="Traditional Arabic" w:hAnsi="Traditional Arabic"/>
          <w:sz w:val="32"/>
          <w:szCs w:val="32"/>
          <w:rtl/>
          <w:lang w:val="en-GB" w:eastAsia="zh-TW"/>
        </w:rPr>
        <w:t>، بأن التقيد بالمتطلبات الدنيا للعيش في المجتمع يمثل جزءاً من حماية حقوق الآخرين وحرياتهم، وخلصت بذلك إلى أن الحظر المفروض يتناسب مع الهدف المنشود (الفقرات 140</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159).</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١١</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ab/>
        <w:t>وتتطلب ضرورات السلامة العامة والنظام العام أن يكون بالإمكان تحديد هوية أي شخص عند اللزوم، لمنع المس بأمن الأشخاص والممتلكات ومكافحة انتحال الهوية. وهذا يعني ضمناً أنه يتعين على الناس كشف وجوههم، وهذا من الشواغل الأساسية في سياق وجود تهديدات إرهابية على الصعيد الدولي في الوقت الراهن (الفقرة 5</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8)</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6"/>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ولا يبدو أن اللجنة، التي لم تتناول المشكلة الأساسية كما ينبغي، قد قدرت هذه الحاجة تقديراً كافياً (الفقرة 7</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7)</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7"/>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hint="cs"/>
          <w:sz w:val="34"/>
          <w:szCs w:val="30"/>
          <w:vertAlign w:val="baseline"/>
          <w:rtl/>
          <w:lang w:val="en-GB" w:eastAsia="zh-TW"/>
        </w:rPr>
        <w:t>.</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١٢</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bidi="ar-DZ"/>
        </w:rPr>
        <w:tab/>
      </w:r>
      <w:r w:rsidRPr="005D5C37">
        <w:rPr>
          <w:rFonts w:ascii="Traditional Arabic" w:hAnsi="Traditional Arabic"/>
          <w:sz w:val="32"/>
          <w:szCs w:val="32"/>
          <w:rtl/>
          <w:lang w:val="en-GB" w:eastAsia="zh-TW"/>
        </w:rPr>
        <w:t xml:space="preserve">صحيح أن المحكمة رفضت في حكمها في قضية </w:t>
      </w:r>
      <w:r w:rsidRPr="005D5C37">
        <w:rPr>
          <w:rFonts w:ascii="Traditional Arabic" w:hAnsi="Traditional Arabic"/>
          <w:i/>
          <w:iCs/>
          <w:sz w:val="32"/>
          <w:szCs w:val="32"/>
          <w:rtl/>
          <w:lang w:val="en-GB" w:eastAsia="zh-TW"/>
        </w:rPr>
        <w:t>س.</w:t>
      </w:r>
      <w:r w:rsidRPr="005D5C37">
        <w:rPr>
          <w:rFonts w:ascii="Traditional Arabic" w:hAnsi="Traditional Arabic" w:hint="cs"/>
          <w:i/>
          <w:iCs/>
          <w:sz w:val="32"/>
          <w:szCs w:val="32"/>
          <w:rtl/>
          <w:lang w:val="en-GB" w:eastAsia="zh-TW"/>
        </w:rPr>
        <w:t xml:space="preserve"> </w:t>
      </w:r>
      <w:r w:rsidRPr="005D5C37">
        <w:rPr>
          <w:rFonts w:ascii="Traditional Arabic" w:hAnsi="Traditional Arabic"/>
          <w:i/>
          <w:iCs/>
          <w:sz w:val="32"/>
          <w:szCs w:val="32"/>
          <w:rtl/>
          <w:lang w:val="en-GB" w:eastAsia="zh-TW"/>
        </w:rPr>
        <w:t>أ.</w:t>
      </w:r>
      <w:r w:rsidRPr="005D5C37">
        <w:rPr>
          <w:rFonts w:ascii="Traditional Arabic" w:hAnsi="Traditional Arabic" w:hint="cs"/>
          <w:i/>
          <w:iCs/>
          <w:sz w:val="32"/>
          <w:szCs w:val="32"/>
          <w:rtl/>
          <w:lang w:val="en-GB" w:eastAsia="zh-TW"/>
        </w:rPr>
        <w:t xml:space="preserve"> </w:t>
      </w:r>
      <w:r w:rsidRPr="005D5C37">
        <w:rPr>
          <w:rFonts w:ascii="Traditional Arabic" w:hAnsi="Traditional Arabic"/>
          <w:i/>
          <w:iCs/>
          <w:sz w:val="32"/>
          <w:szCs w:val="32"/>
          <w:rtl/>
          <w:lang w:val="en-GB" w:eastAsia="zh-TW"/>
        </w:rPr>
        <w:t>س.</w:t>
      </w:r>
      <w:r w:rsidRPr="005D5C37">
        <w:rPr>
          <w:rFonts w:ascii="Traditional Arabic" w:hAnsi="Traditional Arabic"/>
          <w:sz w:val="32"/>
          <w:szCs w:val="32"/>
          <w:rtl/>
          <w:lang w:val="en-GB" w:eastAsia="zh-TW"/>
        </w:rPr>
        <w:t xml:space="preserve"> الحجة القائلة بضرورة الحظر، في المجتمع الديمقراطي، حفاظاً على السلامة العامة، ورأت أن فرض "حظر كلي على ارتداء لباس يراد به ستر الوجه في الأماكن العامة لا يمكن اعتباره تدبيراً متناسباً إلا إذا كان السياق ينطوي على تهديد عام يحدق بالسلامة العامة" (الفقرة 139). ومع ذلك، تعرضت فرنسا، منذ صدور هذا الحكم، لعدة هجمات إرهابية نفذها تنظيم القاعدة وتنظيم الدولة الإسلامية في العراق والشام في مقاطعة إيل دو</w:t>
      </w:r>
      <w:r w:rsidRPr="005D5C37">
        <w:rPr>
          <w:rFonts w:ascii="Traditional Arabic" w:hAnsi="Traditional Arabic" w:hint="cs"/>
          <w:sz w:val="32"/>
          <w:szCs w:val="32"/>
          <w:rtl/>
          <w:lang w:val="en-GB" w:eastAsia="zh-TW"/>
        </w:rPr>
        <w:t xml:space="preserve"> </w:t>
      </w:r>
      <w:r w:rsidR="0032534E">
        <w:rPr>
          <w:rFonts w:ascii="Traditional Arabic" w:hAnsi="Traditional Arabic"/>
          <w:sz w:val="32"/>
          <w:szCs w:val="32"/>
          <w:rtl/>
          <w:lang w:val="en-GB" w:eastAsia="zh-TW"/>
        </w:rPr>
        <w:t>-</w:t>
      </w:r>
      <w:r w:rsidRPr="005D5C37">
        <w:rPr>
          <w:rFonts w:ascii="Traditional Arabic" w:hAnsi="Traditional Arabic" w:hint="cs"/>
          <w:sz w:val="32"/>
          <w:szCs w:val="32"/>
          <w:rtl/>
          <w:lang w:val="en-GB" w:eastAsia="zh-TW"/>
        </w:rPr>
        <w:t xml:space="preserve"> </w:t>
      </w:r>
      <w:r w:rsidRPr="005D5C37">
        <w:rPr>
          <w:rFonts w:ascii="Traditional Arabic" w:hAnsi="Traditional Arabic"/>
          <w:sz w:val="32"/>
          <w:szCs w:val="32"/>
          <w:rtl/>
          <w:lang w:val="en-GB" w:eastAsia="zh-TW"/>
        </w:rPr>
        <w:t xml:space="preserve">فرانس في كانون الثاني/يناير ٢٠١٥ (٢٠ قتيلاً و22 جريحاً)، وفي باريس في تشرين الثاني/نوفمبر ٢٠١٥ (١٣٧ قتيلاً و368 جريحاً)، وفي نيس في تموز/يوليه ٢٠١٦ (٨٧ قتيلاً و434 جريحاً). وفي عام ٢٠١٧، بلغ مجموع الاعتداءات الإرهابية التي أبلغت عنها تسع دول من الاتحاد الاوربي ٢٠٥ اعتداءات إرهابية (54 اعتداء في فرنسا) بينها اعتداءات أُحبطت وأخرى فشلت وأخرى نُفذت. وفي عام ٢٠١٧، أُوقف ما مجموعه 975 شخصاً في الاتحاد الأوروبي لارتكابهم جرائم تتعلق بالإرهاب. واستهدف معظم حالات التوقيف (٧٠٥ من أصل ٧٩١) جهاديين إرهابيين (١٢٣ امرأة، ٦٤ في المائة منهن وُلدن في دول الاتحاد </w:t>
      </w:r>
      <w:r w:rsidRPr="005D5C37">
        <w:rPr>
          <w:rFonts w:ascii="Traditional Arabic" w:hAnsi="Traditional Arabic"/>
          <w:sz w:val="32"/>
          <w:szCs w:val="32"/>
          <w:rtl/>
          <w:lang w:val="en-GB" w:eastAsia="zh-TW"/>
        </w:rPr>
        <w:lastRenderedPageBreak/>
        <w:t>الأوروبي ويحملن جنسيات هذه الدول). وفي فرنسا وحدها، بلغت حالات التوقيف 411 حالة فيما بلغت حالات الإدانة ١١٤. أما عدد المشتبه فيهم الموقوفين بتهمة ممارسة الإرهاب استناداً إلى أسس دينية/الإرهاب الجهادي، الذي بلغ ٧٠٥ موقوفين، فقد كان نصيب فرنسا منه 373</w:t>
      </w:r>
      <w:r w:rsidRPr="00CD3655">
        <w:rPr>
          <w:rStyle w:val="FootnoteReference"/>
          <w:rFonts w:ascii="Traditional Arabic" w:hAnsi="Traditional Arabic"/>
          <w:sz w:val="34"/>
          <w:szCs w:val="30"/>
          <w:rtl/>
          <w:lang w:val="en-GB" w:eastAsia="zh-TW"/>
        </w:rPr>
        <w:t>(</w:t>
      </w:r>
      <w:r w:rsidRPr="00CD3655">
        <w:rPr>
          <w:rStyle w:val="FootnoteReference"/>
          <w:rFonts w:ascii="Traditional Arabic" w:hAnsi="Traditional Arabic"/>
          <w:sz w:val="34"/>
          <w:szCs w:val="30"/>
          <w:rtl/>
          <w:lang w:val="en-GB" w:eastAsia="zh-TW"/>
        </w:rPr>
        <w:footnoteReference w:id="48"/>
      </w:r>
      <w:r w:rsidRPr="00CD3655">
        <w:rPr>
          <w:rStyle w:val="FootnoteReference"/>
          <w:rFonts w:ascii="Traditional Arabic" w:hAnsi="Traditional Arabic"/>
          <w:sz w:val="34"/>
          <w:szCs w:val="30"/>
          <w:rtl/>
          <w:lang w:val="en-GB" w:eastAsia="zh-TW"/>
        </w:rPr>
        <w:t>)</w:t>
      </w:r>
      <w:r w:rsidRPr="005D5C37">
        <w:rPr>
          <w:rFonts w:ascii="Traditional Arabic" w:hAnsi="Traditional Arabic" w:hint="cs"/>
          <w:sz w:val="32"/>
          <w:szCs w:val="32"/>
          <w:rtl/>
          <w:lang w:val="en-GB" w:eastAsia="zh-TW"/>
        </w:rPr>
        <w:t>.</w:t>
      </w:r>
      <w:r w:rsidRPr="005D5C37">
        <w:rPr>
          <w:rFonts w:ascii="Traditional Arabic" w:hAnsi="Traditional Arabic"/>
          <w:sz w:val="32"/>
          <w:szCs w:val="32"/>
          <w:rtl/>
          <w:lang w:val="en-GB" w:eastAsia="zh-TW"/>
        </w:rPr>
        <w:t xml:space="preserve"> وفي هذا السياق، من المهم للغاية الإسراع في تعيين مواقع وجود المشتبه فيهم المحتملين وتحديد هذه المواقع، لأنهم يتنقلون بين بلدان مختلفة ليبلغوا وجهتهم، ويمكن أن يستخدموا النقاب كي لا يفطن لهم أحد. ولذلك، يبدو الحظر المفروض، في ظل الظروف الراهنة، تدبيراً متناسباً مع الهدف الذي يرمي إليه هذا القانون، وإن كان يتعين أن يخضع لتقييمات دورية للمخاطر (المادة ٧ من القانون).</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١٣</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ab/>
        <w:t>وخلافاً لما ذهب إليه أغلبية أعضاء اللجنة في رأيهم (الفقرة 7</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 xml:space="preserve">16)، أرى أن العقوبات المطبقة عقوبات مدروسة. وتكتسي هذه العقوبات طابعاً جنائياً في فرنسا، لكن بلداناً أخرى قد تلجأ إلى عقوبات في شكل غرامات إدارية. وتشمل العقوبات المطبقة غرامة من الفئة ٢ (لا تتجاوز ١٥٠ يورو)، وهي عقوبة متوسطة يمكن أن يستعاض عنها مع ذلك بإلزام الشخص بالخضوع لتدريب في المواطنة. ولكن ماذا تفعل الدولة إذا رفض الشخص الامتثال للقانون؟ هل تقبل هذا السلوك؟ لقد حُكم على صاحبة البلاغ في قضية </w:t>
      </w:r>
      <w:r w:rsidRPr="005D5C37">
        <w:rPr>
          <w:rFonts w:ascii="Traditional Arabic" w:hAnsi="Traditional Arabic"/>
          <w:i/>
          <w:iCs/>
          <w:sz w:val="32"/>
          <w:szCs w:val="32"/>
          <w:rtl/>
          <w:lang w:val="en-GB" w:eastAsia="zh-TW"/>
        </w:rPr>
        <w:t>ياكر</w:t>
      </w:r>
      <w:r w:rsidRPr="005D5C37">
        <w:rPr>
          <w:rFonts w:ascii="Traditional Arabic" w:hAnsi="Traditional Arabic"/>
          <w:sz w:val="32"/>
          <w:szCs w:val="32"/>
          <w:rtl/>
          <w:lang w:val="en-GB" w:eastAsia="zh-TW"/>
        </w:rPr>
        <w:t xml:space="preserve"> مرتين، ويعود سبب الحكم الثاني إلى امتناعها عن رفع نقابها لدى وصولها إلى نقطة التفتيش الأمني قبل دخول المحكمة. فهل يُعقل أن يُجبر القاضي على قبول مثول الشخص الذي سيحاكمه أمامه وهو مغطى الوجه أثناء المحاكمة؟ الأرجح أن هذا الطلب لن يلقى قبولاً في أي محكمة في أي بلد كان. وعلاوةً على ذلك، نظرت إحدى محاكم الشرطة في القضيتين، وهو ما يؤكد، إذا كانت هناك حاجة للتأكيد، عدم جسامة المخالفة. وعليه، لا تعتبر هذه العقوبات تدبيراً غير متناسب.</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١٤</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ab/>
        <w:t>وأخيراً، يبدو واضحاً، فيما يتعلق بالادعاء القائل إن الجزاءات فُرضت على نساء مسلمات بوجه خاص، أن سبب ذلك يعود إلى خرقهن الحظر. فهل يمكن على سبيل المثال اعتبار مقاضاة سائق ثمل أو شخص يتجر بالمخدرات تدبيراً يؤثر عليه بشكل غير متناسب؟ أليس ذلك مجرد نتيجة لسياسات إنفاذ القانون؟</w:t>
      </w:r>
    </w:p>
    <w:p w:rsidR="00CA6913" w:rsidRPr="005D5C37" w:rsidRDefault="00CA6913" w:rsidP="00CA6913">
      <w:pPr>
        <w:pStyle w:val="SingleTxtGA"/>
        <w:rPr>
          <w:rFonts w:ascii="Traditional Arabic" w:hAnsi="Traditional Arabic"/>
          <w:sz w:val="32"/>
          <w:szCs w:val="32"/>
          <w:rtl/>
          <w:lang w:val="en-GB" w:eastAsia="zh-TW"/>
        </w:rPr>
      </w:pPr>
      <w:r w:rsidRPr="005D5C37">
        <w:rPr>
          <w:rFonts w:ascii="Traditional Arabic" w:hAnsi="Traditional Arabic"/>
          <w:sz w:val="32"/>
          <w:szCs w:val="32"/>
          <w:rtl/>
          <w:lang w:val="en-GB" w:eastAsia="zh-TW"/>
        </w:rPr>
        <w:t>١٥</w:t>
      </w:r>
      <w:r w:rsidR="0032534E">
        <w:rPr>
          <w:rFonts w:ascii="Traditional Arabic" w:hAnsi="Traditional Arabic"/>
          <w:sz w:val="32"/>
          <w:szCs w:val="32"/>
          <w:rtl/>
          <w:lang w:val="en-GB" w:eastAsia="zh-TW"/>
        </w:rPr>
        <w:t>-</w:t>
      </w:r>
      <w:r w:rsidRPr="005D5C37">
        <w:rPr>
          <w:rFonts w:ascii="Traditional Arabic" w:hAnsi="Traditional Arabic"/>
          <w:sz w:val="32"/>
          <w:szCs w:val="32"/>
          <w:rtl/>
          <w:lang w:val="en-GB" w:eastAsia="zh-TW"/>
        </w:rPr>
        <w:tab/>
        <w:t>وبناءً على ذلك، أخلص إلى القول بعدم وقوع انتهاك للمادتين 18 و26 من العهد. فعدم قبول الحظر المفروض يمكن، مع الأسف، أن ترى فيه بعض الدول خطوة تدنينا من اليوم الذي يصبح فيه فرض ارتداء النقاب سياسةً مقبولةً.</w:t>
      </w:r>
    </w:p>
    <w:p w:rsidR="00CA6913" w:rsidRPr="005565AF" w:rsidRDefault="005565AF" w:rsidP="005565AF">
      <w:pPr>
        <w:spacing w:before="120"/>
        <w:jc w:val="center"/>
        <w:rPr>
          <w:rFonts w:hint="cs"/>
          <w:u w:val="single"/>
          <w:rtl/>
        </w:rPr>
      </w:pPr>
      <w:r>
        <w:rPr>
          <w:u w:val="single"/>
          <w:rtl/>
        </w:rPr>
        <w:tab/>
      </w:r>
      <w:r>
        <w:rPr>
          <w:u w:val="single"/>
          <w:rtl/>
        </w:rPr>
        <w:tab/>
      </w:r>
      <w:r>
        <w:rPr>
          <w:u w:val="single"/>
          <w:rtl/>
        </w:rPr>
        <w:tab/>
      </w:r>
    </w:p>
    <w:sectPr w:rsidR="00CA6913" w:rsidRPr="005565AF" w:rsidSect="00CD5D48">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FD" w:rsidRPr="002901D9" w:rsidRDefault="001136FD" w:rsidP="002901D9">
      <w:pPr>
        <w:spacing w:after="60" w:line="240" w:lineRule="auto"/>
        <w:rPr>
          <w:i/>
          <w:iCs/>
        </w:rPr>
      </w:pPr>
      <w:r>
        <w:rPr>
          <w:rFonts w:hint="cs"/>
          <w:i/>
          <w:iCs/>
          <w:rtl/>
        </w:rPr>
        <w:t>الحواشي</w:t>
      </w:r>
    </w:p>
  </w:endnote>
  <w:endnote w:type="continuationSeparator" w:id="0">
    <w:p w:rsidR="001136FD" w:rsidRDefault="001136F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D" w:rsidRPr="001A7589" w:rsidRDefault="001136FD" w:rsidP="001A7589">
    <w:pPr>
      <w:pStyle w:val="Footer"/>
      <w:tabs>
        <w:tab w:val="right" w:pos="9598"/>
      </w:tabs>
      <w:rPr>
        <w:sz w:val="17"/>
      </w:rPr>
    </w:pPr>
    <w:r>
      <w:rPr>
        <w:sz w:val="17"/>
      </w:rPr>
      <w:t>GE.18-21160</w:t>
    </w:r>
    <w:r>
      <w:rPr>
        <w:sz w:val="17"/>
      </w:rPr>
      <w:tab/>
    </w:r>
    <w:r w:rsidRPr="001A7589">
      <w:rPr>
        <w:b/>
        <w:sz w:val="18"/>
      </w:rPr>
      <w:fldChar w:fldCharType="begin"/>
    </w:r>
    <w:r w:rsidRPr="001A7589">
      <w:rPr>
        <w:b/>
        <w:sz w:val="18"/>
      </w:rPr>
      <w:instrText xml:space="preserve"> PAGE  \* MERGEFORMAT </w:instrText>
    </w:r>
    <w:r w:rsidRPr="001A7589">
      <w:rPr>
        <w:b/>
        <w:sz w:val="18"/>
      </w:rPr>
      <w:fldChar w:fldCharType="separate"/>
    </w:r>
    <w:r w:rsidR="00FB07AB">
      <w:rPr>
        <w:b/>
        <w:noProof/>
        <w:sz w:val="18"/>
      </w:rPr>
      <w:t>20</w:t>
    </w:r>
    <w:r w:rsidRPr="001A75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D" w:rsidRPr="001A7589" w:rsidRDefault="001136FD" w:rsidP="006959B0">
    <w:pPr>
      <w:pStyle w:val="Footer"/>
      <w:tabs>
        <w:tab w:val="right" w:pos="9599"/>
      </w:tabs>
      <w:jc w:val="left"/>
      <w:rPr>
        <w:b/>
        <w:sz w:val="18"/>
        <w:lang w:val="en-US"/>
      </w:rPr>
    </w:pPr>
    <w:r w:rsidRPr="001A7589">
      <w:rPr>
        <w:b/>
        <w:sz w:val="18"/>
        <w:lang w:val="en-US"/>
      </w:rPr>
      <w:fldChar w:fldCharType="begin"/>
    </w:r>
    <w:r w:rsidRPr="001A7589">
      <w:rPr>
        <w:b/>
        <w:sz w:val="18"/>
        <w:lang w:val="en-US"/>
      </w:rPr>
      <w:instrText xml:space="preserve"> PAGE  \* MERGEFORMAT </w:instrText>
    </w:r>
    <w:r w:rsidRPr="001A7589">
      <w:rPr>
        <w:b/>
        <w:sz w:val="18"/>
        <w:lang w:val="en-US"/>
      </w:rPr>
      <w:fldChar w:fldCharType="separate"/>
    </w:r>
    <w:r w:rsidR="00FB07AB">
      <w:rPr>
        <w:b/>
        <w:noProof/>
        <w:sz w:val="18"/>
        <w:lang w:val="en-US"/>
      </w:rPr>
      <w:t>19</w:t>
    </w:r>
    <w:r w:rsidRPr="001A7589">
      <w:rPr>
        <w:b/>
        <w:sz w:val="18"/>
        <w:lang w:val="en-US"/>
      </w:rPr>
      <w:fldChar w:fldCharType="end"/>
    </w:r>
    <w:r>
      <w:rPr>
        <w:b/>
        <w:sz w:val="18"/>
        <w:lang w:val="en-US"/>
      </w:rPr>
      <w:tab/>
    </w:r>
    <w:r>
      <w:rPr>
        <w:sz w:val="17"/>
        <w:lang w:val="en-US"/>
      </w:rPr>
      <w:t>GE.18-21160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D" w:rsidRDefault="001136FD" w:rsidP="00982139">
    <w:pPr>
      <w:pStyle w:val="Footer"/>
      <w:spacing w:before="360"/>
      <w:jc w:val="right"/>
      <w:rPr>
        <w:sz w:val="20"/>
        <w:szCs w:val="20"/>
      </w:rPr>
    </w:pPr>
    <w:r>
      <w:rPr>
        <w:sz w:val="20"/>
        <w:szCs w:val="20"/>
      </w:rPr>
      <w:t>GE.18-21160</w:t>
    </w:r>
    <w:r>
      <w:rPr>
        <w:noProof/>
        <w:lang w:val="en-US"/>
      </w:rPr>
      <w:drawing>
        <wp:anchor distT="0" distB="0" distL="114300" distR="114300" simplePos="0" relativeHeight="251662336"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136FD" w:rsidRPr="0087631E" w:rsidRDefault="001136FD" w:rsidP="0087631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FD" w:rsidRPr="00D25201" w:rsidRDefault="001136FD" w:rsidP="00D25201">
      <w:pPr>
        <w:pStyle w:val="Footer"/>
        <w:bidi/>
        <w:spacing w:after="80" w:line="200" w:lineRule="exact"/>
        <w:ind w:left="680"/>
      </w:pPr>
      <w:r>
        <w:rPr>
          <w:rtl/>
        </w:rPr>
        <w:t>__________</w:t>
      </w:r>
    </w:p>
  </w:footnote>
  <w:footnote w:type="continuationSeparator" w:id="0">
    <w:p w:rsidR="001136FD" w:rsidRDefault="001136FD" w:rsidP="00656392">
      <w:pPr>
        <w:spacing w:line="240" w:lineRule="auto"/>
      </w:pPr>
      <w:r>
        <w:continuationSeparator/>
      </w:r>
    </w:p>
  </w:footnote>
  <w:footnote w:id="1">
    <w:p w:rsidR="001136FD" w:rsidRPr="00635D1E" w:rsidRDefault="001136FD" w:rsidP="00D25201">
      <w:pPr>
        <w:pStyle w:val="FootnoteText1"/>
        <w:rPr>
          <w:rtl/>
        </w:rPr>
      </w:pPr>
      <w:r>
        <w:rPr>
          <w:rtl/>
        </w:rPr>
        <w:t>*</w:t>
      </w:r>
      <w:r>
        <w:rPr>
          <w:rtl/>
        </w:rPr>
        <w:tab/>
      </w:r>
      <w:r w:rsidRPr="0037421A">
        <w:rPr>
          <w:rtl/>
          <w:lang w:eastAsia="zh-TW"/>
        </w:rPr>
        <w:t>اعتمدته</w:t>
      </w:r>
      <w:r>
        <w:rPr>
          <w:rtl/>
          <w:lang w:eastAsia="zh-TW"/>
        </w:rPr>
        <w:t xml:space="preserve"> </w:t>
      </w:r>
      <w:r w:rsidRPr="0037421A">
        <w:rPr>
          <w:rtl/>
          <w:lang w:eastAsia="zh-TW"/>
        </w:rPr>
        <w:t>اللجنة</w:t>
      </w:r>
      <w:r>
        <w:rPr>
          <w:rtl/>
          <w:lang w:eastAsia="zh-TW"/>
        </w:rPr>
        <w:t xml:space="preserve"> </w:t>
      </w:r>
      <w:r w:rsidRPr="0037421A">
        <w:rPr>
          <w:rtl/>
          <w:lang w:eastAsia="zh-TW"/>
        </w:rPr>
        <w:t>في</w:t>
      </w:r>
      <w:r>
        <w:rPr>
          <w:rtl/>
          <w:lang w:eastAsia="zh-TW"/>
        </w:rPr>
        <w:t xml:space="preserve"> </w:t>
      </w:r>
      <w:r w:rsidRPr="0037421A">
        <w:rPr>
          <w:rtl/>
          <w:lang w:eastAsia="zh-TW"/>
        </w:rPr>
        <w:t>دورتها</w:t>
      </w:r>
      <w:r>
        <w:rPr>
          <w:rtl/>
          <w:lang w:eastAsia="zh-TW"/>
        </w:rPr>
        <w:t xml:space="preserve"> </w:t>
      </w:r>
      <w:r w:rsidRPr="0037421A">
        <w:rPr>
          <w:rtl/>
          <w:lang w:eastAsia="zh-TW"/>
        </w:rPr>
        <w:t>123</w:t>
      </w:r>
      <w:r>
        <w:rPr>
          <w:rtl/>
          <w:lang w:eastAsia="zh-TW"/>
        </w:rPr>
        <w:t xml:space="preserve"> </w:t>
      </w:r>
      <w:r w:rsidRPr="0037421A">
        <w:rPr>
          <w:rtl/>
          <w:lang w:eastAsia="zh-TW"/>
        </w:rPr>
        <w:t>(2-27</w:t>
      </w:r>
      <w:r>
        <w:rPr>
          <w:rtl/>
          <w:lang w:eastAsia="zh-TW"/>
        </w:rPr>
        <w:t xml:space="preserve"> </w:t>
      </w:r>
      <w:r w:rsidRPr="0037421A">
        <w:rPr>
          <w:rtl/>
          <w:lang w:eastAsia="zh-TW"/>
        </w:rPr>
        <w:t>تموز/يوليه</w:t>
      </w:r>
      <w:r>
        <w:rPr>
          <w:rtl/>
          <w:lang w:eastAsia="zh-TW"/>
        </w:rPr>
        <w:t xml:space="preserve"> </w:t>
      </w:r>
      <w:r w:rsidRPr="0037421A">
        <w:rPr>
          <w:rtl/>
          <w:lang w:eastAsia="zh-TW"/>
        </w:rPr>
        <w:t>2018)</w:t>
      </w:r>
      <w:r>
        <w:rPr>
          <w:rFonts w:hint="cs"/>
          <w:rtl/>
        </w:rPr>
        <w:t>.</w:t>
      </w:r>
    </w:p>
  </w:footnote>
  <w:footnote w:id="2">
    <w:p w:rsidR="001136FD" w:rsidRPr="00635D1E" w:rsidRDefault="001136FD" w:rsidP="00D25201">
      <w:pPr>
        <w:pStyle w:val="FootnoteText1"/>
      </w:pPr>
      <w:r>
        <w:rPr>
          <w:rtl/>
        </w:rPr>
        <w:t>**</w:t>
      </w:r>
      <w:r>
        <w:rPr>
          <w:rtl/>
        </w:rPr>
        <w:tab/>
      </w:r>
      <w:r w:rsidRPr="0037421A">
        <w:rPr>
          <w:rtl/>
          <w:lang w:eastAsia="zh-TW"/>
        </w:rPr>
        <w:t>شارك</w:t>
      </w:r>
      <w:r>
        <w:rPr>
          <w:rtl/>
          <w:lang w:eastAsia="zh-TW"/>
        </w:rPr>
        <w:t xml:space="preserve"> </w:t>
      </w:r>
      <w:r w:rsidRPr="0037421A">
        <w:rPr>
          <w:rtl/>
          <w:lang w:eastAsia="zh-TW"/>
        </w:rPr>
        <w:t>في</w:t>
      </w:r>
      <w:r>
        <w:rPr>
          <w:rtl/>
          <w:lang w:eastAsia="zh-TW"/>
        </w:rPr>
        <w:t xml:space="preserve"> </w:t>
      </w:r>
      <w:r w:rsidRPr="0037421A">
        <w:rPr>
          <w:rtl/>
          <w:lang w:eastAsia="zh-TW"/>
        </w:rPr>
        <w:t>دراسة</w:t>
      </w:r>
      <w:r>
        <w:rPr>
          <w:rtl/>
          <w:lang w:eastAsia="zh-TW"/>
        </w:rPr>
        <w:t xml:space="preserve"> </w:t>
      </w:r>
      <w:r w:rsidRPr="0037421A">
        <w:rPr>
          <w:rtl/>
          <w:lang w:eastAsia="zh-TW"/>
        </w:rPr>
        <w:t>هذا</w:t>
      </w:r>
      <w:r>
        <w:rPr>
          <w:rtl/>
          <w:lang w:eastAsia="zh-TW"/>
        </w:rPr>
        <w:t xml:space="preserve"> </w:t>
      </w:r>
      <w:r w:rsidRPr="0037421A">
        <w:rPr>
          <w:rtl/>
          <w:lang w:eastAsia="zh-TW"/>
        </w:rPr>
        <w:t>البلاغ</w:t>
      </w:r>
      <w:r>
        <w:rPr>
          <w:rtl/>
          <w:lang w:eastAsia="zh-TW"/>
        </w:rPr>
        <w:t xml:space="preserve"> </w:t>
      </w:r>
      <w:r w:rsidRPr="0037421A">
        <w:rPr>
          <w:rtl/>
          <w:lang w:eastAsia="zh-TW"/>
        </w:rPr>
        <w:t>أعضاء</w:t>
      </w:r>
      <w:r>
        <w:rPr>
          <w:rtl/>
          <w:lang w:eastAsia="zh-TW"/>
        </w:rPr>
        <w:t xml:space="preserve"> </w:t>
      </w:r>
      <w:r w:rsidRPr="0037421A">
        <w:rPr>
          <w:rtl/>
          <w:lang w:eastAsia="zh-TW"/>
        </w:rPr>
        <w:t>اللجنة</w:t>
      </w:r>
      <w:r>
        <w:rPr>
          <w:rtl/>
          <w:lang w:eastAsia="zh-TW"/>
        </w:rPr>
        <w:t xml:space="preserve"> </w:t>
      </w:r>
      <w:r w:rsidRPr="0037421A">
        <w:rPr>
          <w:rtl/>
          <w:lang w:eastAsia="zh-TW"/>
        </w:rPr>
        <w:t>التالية</w:t>
      </w:r>
      <w:r>
        <w:rPr>
          <w:rtl/>
          <w:lang w:eastAsia="zh-TW"/>
        </w:rPr>
        <w:t xml:space="preserve"> </w:t>
      </w:r>
      <w:r w:rsidRPr="0037421A">
        <w:rPr>
          <w:rtl/>
          <w:lang w:eastAsia="zh-TW"/>
        </w:rPr>
        <w:t>أسماؤهم:</w:t>
      </w:r>
      <w:r>
        <w:rPr>
          <w:rtl/>
          <w:lang w:eastAsia="zh-TW"/>
        </w:rPr>
        <w:t xml:space="preserve"> </w:t>
      </w:r>
      <w:r w:rsidRPr="0037421A">
        <w:rPr>
          <w:rtl/>
          <w:lang w:eastAsia="zh-TW"/>
        </w:rPr>
        <w:t>تانيا</w:t>
      </w:r>
      <w:r>
        <w:rPr>
          <w:rtl/>
          <w:lang w:eastAsia="zh-TW"/>
        </w:rPr>
        <w:t xml:space="preserve"> </w:t>
      </w:r>
      <w:r w:rsidRPr="0037421A">
        <w:rPr>
          <w:rtl/>
          <w:lang w:eastAsia="zh-TW"/>
        </w:rPr>
        <w:t>ماريا</w:t>
      </w:r>
      <w:r>
        <w:rPr>
          <w:rtl/>
          <w:lang w:eastAsia="zh-TW"/>
        </w:rPr>
        <w:t xml:space="preserve"> </w:t>
      </w:r>
      <w:r w:rsidRPr="0037421A">
        <w:rPr>
          <w:rtl/>
          <w:lang w:eastAsia="zh-TW"/>
        </w:rPr>
        <w:t>عبده</w:t>
      </w:r>
      <w:r>
        <w:rPr>
          <w:rtl/>
          <w:lang w:eastAsia="zh-TW"/>
        </w:rPr>
        <w:t xml:space="preserve"> </w:t>
      </w:r>
      <w:r w:rsidRPr="0037421A">
        <w:rPr>
          <w:rtl/>
          <w:lang w:eastAsia="zh-TW"/>
        </w:rPr>
        <w:t>روتشول،</w:t>
      </w:r>
      <w:r>
        <w:rPr>
          <w:rtl/>
          <w:lang w:eastAsia="zh-TW"/>
        </w:rPr>
        <w:t xml:space="preserve"> </w:t>
      </w:r>
      <w:r w:rsidRPr="0037421A">
        <w:rPr>
          <w:rtl/>
          <w:lang w:eastAsia="zh-TW"/>
        </w:rPr>
        <w:t>وعياض</w:t>
      </w:r>
      <w:r>
        <w:rPr>
          <w:rtl/>
          <w:lang w:eastAsia="zh-TW"/>
        </w:rPr>
        <w:t xml:space="preserve"> </w:t>
      </w:r>
      <w:r w:rsidRPr="0037421A">
        <w:rPr>
          <w:rtl/>
          <w:lang w:eastAsia="zh-TW"/>
        </w:rPr>
        <w:t>بن</w:t>
      </w:r>
      <w:r>
        <w:rPr>
          <w:rtl/>
          <w:lang w:eastAsia="zh-TW"/>
        </w:rPr>
        <w:t xml:space="preserve"> </w:t>
      </w:r>
      <w:r w:rsidRPr="0037421A">
        <w:rPr>
          <w:rtl/>
          <w:lang w:eastAsia="zh-TW"/>
        </w:rPr>
        <w:t>عاشور،</w:t>
      </w:r>
      <w:r>
        <w:rPr>
          <w:rtl/>
          <w:lang w:eastAsia="zh-TW"/>
        </w:rPr>
        <w:t xml:space="preserve"> </w:t>
      </w:r>
      <w:r w:rsidR="00FD2D1E">
        <w:rPr>
          <w:rtl/>
          <w:lang w:eastAsia="zh-TW"/>
        </w:rPr>
        <w:t>و</w:t>
      </w:r>
      <w:r w:rsidR="007D6F6C">
        <w:rPr>
          <w:rtl/>
          <w:lang w:eastAsia="zh-TW"/>
        </w:rPr>
        <w:t>إيلز</w:t>
      </w:r>
      <w:r w:rsidR="00093B9F">
        <w:rPr>
          <w:rFonts w:hint="cs"/>
          <w:rtl/>
          <w:lang w:eastAsia="zh-TW"/>
        </w:rPr>
        <w:t>ه</w:t>
      </w:r>
      <w:r>
        <w:rPr>
          <w:rtl/>
          <w:lang w:eastAsia="zh-TW"/>
        </w:rPr>
        <w:t xml:space="preserve"> </w:t>
      </w:r>
      <w:r w:rsidRPr="0037421A">
        <w:rPr>
          <w:rtl/>
          <w:lang w:eastAsia="zh-TW"/>
        </w:rPr>
        <w:t>براندس</w:t>
      </w:r>
      <w:r>
        <w:rPr>
          <w:rtl/>
          <w:lang w:eastAsia="zh-TW"/>
        </w:rPr>
        <w:t xml:space="preserve"> </w:t>
      </w:r>
      <w:r w:rsidRPr="0037421A">
        <w:rPr>
          <w:rtl/>
          <w:lang w:eastAsia="zh-TW"/>
        </w:rPr>
        <w:t>كيهريس،</w:t>
      </w:r>
      <w:r>
        <w:rPr>
          <w:rtl/>
          <w:lang w:eastAsia="zh-TW"/>
        </w:rPr>
        <w:t xml:space="preserve"> </w:t>
      </w:r>
      <w:r w:rsidRPr="0037421A">
        <w:rPr>
          <w:rtl/>
          <w:lang w:eastAsia="zh-TW"/>
        </w:rPr>
        <w:t>وسارة</w:t>
      </w:r>
      <w:r>
        <w:rPr>
          <w:rtl/>
          <w:lang w:eastAsia="zh-TW"/>
        </w:rPr>
        <w:t xml:space="preserve"> </w:t>
      </w:r>
      <w:r w:rsidRPr="0037421A">
        <w:rPr>
          <w:rtl/>
          <w:lang w:eastAsia="zh-TW"/>
        </w:rPr>
        <w:t>كليفلاند،</w:t>
      </w:r>
      <w:r>
        <w:rPr>
          <w:rtl/>
          <w:lang w:eastAsia="zh-TW"/>
        </w:rPr>
        <w:t xml:space="preserve"> </w:t>
      </w:r>
      <w:r w:rsidRPr="0037421A">
        <w:rPr>
          <w:rtl/>
          <w:lang w:eastAsia="zh-TW"/>
        </w:rPr>
        <w:t>وأحمد</w:t>
      </w:r>
      <w:r>
        <w:rPr>
          <w:rtl/>
          <w:lang w:eastAsia="zh-TW"/>
        </w:rPr>
        <w:t xml:space="preserve"> </w:t>
      </w:r>
      <w:r w:rsidRPr="0037421A">
        <w:rPr>
          <w:rtl/>
          <w:lang w:eastAsia="zh-TW"/>
        </w:rPr>
        <w:t>أمين</w:t>
      </w:r>
      <w:r>
        <w:rPr>
          <w:rtl/>
          <w:lang w:eastAsia="zh-TW"/>
        </w:rPr>
        <w:t xml:space="preserve"> </w:t>
      </w:r>
      <w:r w:rsidRPr="0037421A">
        <w:rPr>
          <w:rtl/>
          <w:lang w:eastAsia="zh-TW"/>
        </w:rPr>
        <w:t>فتح</w:t>
      </w:r>
      <w:r>
        <w:rPr>
          <w:rtl/>
          <w:lang w:eastAsia="zh-TW"/>
        </w:rPr>
        <w:t xml:space="preserve"> </w:t>
      </w:r>
      <w:r w:rsidRPr="0037421A">
        <w:rPr>
          <w:rtl/>
          <w:lang w:eastAsia="zh-TW"/>
        </w:rPr>
        <w:t>الله،</w:t>
      </w:r>
      <w:r>
        <w:rPr>
          <w:rtl/>
          <w:lang w:eastAsia="zh-TW"/>
        </w:rPr>
        <w:t xml:space="preserve"> </w:t>
      </w:r>
      <w:r w:rsidRPr="0037421A">
        <w:rPr>
          <w:rtl/>
          <w:lang w:eastAsia="zh-TW"/>
        </w:rPr>
        <w:t>وكريستوف</w:t>
      </w:r>
      <w:r>
        <w:rPr>
          <w:rtl/>
          <w:lang w:eastAsia="zh-TW"/>
        </w:rPr>
        <w:t xml:space="preserve"> </w:t>
      </w:r>
      <w:r w:rsidRPr="0037421A">
        <w:rPr>
          <w:rtl/>
          <w:lang w:eastAsia="zh-TW"/>
        </w:rPr>
        <w:t>هينز،</w:t>
      </w:r>
      <w:r>
        <w:rPr>
          <w:rtl/>
          <w:lang w:eastAsia="zh-TW"/>
        </w:rPr>
        <w:t xml:space="preserve"> </w:t>
      </w:r>
      <w:r w:rsidRPr="0037421A">
        <w:rPr>
          <w:rtl/>
          <w:lang w:eastAsia="zh-TW"/>
        </w:rPr>
        <w:t>وبامريم</w:t>
      </w:r>
      <w:r>
        <w:rPr>
          <w:rtl/>
          <w:lang w:eastAsia="zh-TW"/>
        </w:rPr>
        <w:t xml:space="preserve"> </w:t>
      </w:r>
      <w:r w:rsidRPr="0037421A">
        <w:rPr>
          <w:rtl/>
          <w:lang w:eastAsia="zh-TW"/>
        </w:rPr>
        <w:t>كويتا،</w:t>
      </w:r>
      <w:r>
        <w:rPr>
          <w:rtl/>
          <w:lang w:eastAsia="zh-TW"/>
        </w:rPr>
        <w:t xml:space="preserve"> </w:t>
      </w:r>
      <w:r w:rsidRPr="0037421A">
        <w:rPr>
          <w:rtl/>
          <w:lang w:eastAsia="zh-TW"/>
        </w:rPr>
        <w:t>ومارسيا</w:t>
      </w:r>
      <w:r>
        <w:rPr>
          <w:rtl/>
          <w:lang w:eastAsia="zh-TW"/>
        </w:rPr>
        <w:t xml:space="preserve"> </w:t>
      </w:r>
      <w:r w:rsidRPr="0037421A">
        <w:rPr>
          <w:rtl/>
          <w:lang w:eastAsia="zh-TW"/>
        </w:rPr>
        <w:t>ف</w:t>
      </w:r>
      <w:r w:rsidRPr="0037421A">
        <w:rPr>
          <w:lang w:eastAsia="zh-TW"/>
        </w:rPr>
        <w:t>.</w:t>
      </w:r>
      <w:r>
        <w:rPr>
          <w:rtl/>
          <w:lang w:eastAsia="zh-TW"/>
        </w:rPr>
        <w:t xml:space="preserve"> </w:t>
      </w:r>
      <w:r w:rsidRPr="0037421A">
        <w:rPr>
          <w:rtl/>
          <w:lang w:eastAsia="zh-TW"/>
        </w:rPr>
        <w:t>ج.</w:t>
      </w:r>
      <w:r>
        <w:rPr>
          <w:rtl/>
          <w:lang w:eastAsia="zh-TW"/>
        </w:rPr>
        <w:t xml:space="preserve"> </w:t>
      </w:r>
      <w:r w:rsidRPr="0037421A">
        <w:rPr>
          <w:rtl/>
          <w:lang w:eastAsia="zh-TW"/>
        </w:rPr>
        <w:t>كران،</w:t>
      </w:r>
      <w:r>
        <w:rPr>
          <w:rtl/>
          <w:lang w:eastAsia="zh-TW"/>
        </w:rPr>
        <w:t xml:space="preserve"> </w:t>
      </w:r>
      <w:r w:rsidRPr="0037421A">
        <w:rPr>
          <w:rtl/>
          <w:lang w:eastAsia="zh-TW"/>
        </w:rPr>
        <w:t>ودنكان</w:t>
      </w:r>
      <w:r>
        <w:rPr>
          <w:rtl/>
          <w:lang w:eastAsia="zh-TW"/>
        </w:rPr>
        <w:t xml:space="preserve"> </w:t>
      </w:r>
      <w:r w:rsidRPr="0037421A">
        <w:rPr>
          <w:rtl/>
          <w:lang w:eastAsia="zh-TW"/>
        </w:rPr>
        <w:t>لاكي</w:t>
      </w:r>
      <w:r>
        <w:rPr>
          <w:rtl/>
          <w:lang w:eastAsia="zh-TW"/>
        </w:rPr>
        <w:t xml:space="preserve"> </w:t>
      </w:r>
      <w:r w:rsidRPr="0037421A">
        <w:rPr>
          <w:rtl/>
          <w:lang w:eastAsia="zh-TW"/>
        </w:rPr>
        <w:t>موهوموزا،</w:t>
      </w:r>
      <w:r>
        <w:rPr>
          <w:rtl/>
          <w:lang w:eastAsia="zh-TW"/>
        </w:rPr>
        <w:t xml:space="preserve"> </w:t>
      </w:r>
      <w:r w:rsidRPr="0037421A">
        <w:rPr>
          <w:rtl/>
          <w:lang w:eastAsia="zh-TW"/>
        </w:rPr>
        <w:t>وماورو</w:t>
      </w:r>
      <w:r>
        <w:rPr>
          <w:rtl/>
          <w:lang w:eastAsia="zh-TW"/>
        </w:rPr>
        <w:t xml:space="preserve"> </w:t>
      </w:r>
      <w:r w:rsidRPr="0037421A">
        <w:rPr>
          <w:rtl/>
          <w:lang w:eastAsia="zh-TW"/>
        </w:rPr>
        <w:t>بوليتي،</w:t>
      </w:r>
      <w:r>
        <w:rPr>
          <w:rtl/>
          <w:lang w:eastAsia="zh-TW"/>
        </w:rPr>
        <w:t xml:space="preserve"> </w:t>
      </w:r>
      <w:r w:rsidRPr="0037421A">
        <w:rPr>
          <w:rtl/>
          <w:lang w:eastAsia="zh-TW"/>
        </w:rPr>
        <w:t>وخوسيه</w:t>
      </w:r>
      <w:r>
        <w:rPr>
          <w:rtl/>
          <w:lang w:eastAsia="zh-TW"/>
        </w:rPr>
        <w:t xml:space="preserve"> </w:t>
      </w:r>
      <w:r w:rsidRPr="0037421A">
        <w:rPr>
          <w:rtl/>
          <w:lang w:eastAsia="zh-TW"/>
        </w:rPr>
        <w:t>مانويل</w:t>
      </w:r>
      <w:r>
        <w:rPr>
          <w:rtl/>
          <w:lang w:eastAsia="zh-TW"/>
        </w:rPr>
        <w:t xml:space="preserve"> </w:t>
      </w:r>
      <w:r w:rsidRPr="0037421A">
        <w:rPr>
          <w:rtl/>
          <w:lang w:eastAsia="zh-TW"/>
        </w:rPr>
        <w:t>سانتوس</w:t>
      </w:r>
      <w:r>
        <w:rPr>
          <w:rtl/>
          <w:lang w:eastAsia="zh-TW"/>
        </w:rPr>
        <w:t xml:space="preserve"> </w:t>
      </w:r>
      <w:r w:rsidRPr="0037421A">
        <w:rPr>
          <w:rtl/>
          <w:lang w:eastAsia="zh-TW"/>
        </w:rPr>
        <w:t>باييس،</w:t>
      </w:r>
      <w:r>
        <w:rPr>
          <w:rtl/>
          <w:lang w:eastAsia="zh-TW"/>
        </w:rPr>
        <w:t xml:space="preserve"> </w:t>
      </w:r>
      <w:r w:rsidRPr="0037421A">
        <w:rPr>
          <w:rtl/>
          <w:lang w:eastAsia="zh-TW"/>
        </w:rPr>
        <w:t>ويوفال</w:t>
      </w:r>
      <w:r>
        <w:rPr>
          <w:rtl/>
          <w:lang w:eastAsia="zh-TW"/>
        </w:rPr>
        <w:t xml:space="preserve"> </w:t>
      </w:r>
      <w:r w:rsidRPr="0037421A">
        <w:rPr>
          <w:rtl/>
          <w:lang w:eastAsia="zh-TW"/>
        </w:rPr>
        <w:t>شاني،</w:t>
      </w:r>
      <w:r>
        <w:rPr>
          <w:rtl/>
          <w:lang w:eastAsia="zh-TW"/>
        </w:rPr>
        <w:t xml:space="preserve"> </w:t>
      </w:r>
      <w:r w:rsidRPr="0037421A">
        <w:rPr>
          <w:rtl/>
          <w:lang w:eastAsia="zh-TW"/>
        </w:rPr>
        <w:t>ومارغو</w:t>
      </w:r>
      <w:r>
        <w:rPr>
          <w:rtl/>
          <w:lang w:eastAsia="zh-TW"/>
        </w:rPr>
        <w:t xml:space="preserve"> </w:t>
      </w:r>
      <w:r w:rsidRPr="0037421A">
        <w:rPr>
          <w:rtl/>
          <w:lang w:eastAsia="zh-TW"/>
        </w:rPr>
        <w:t>واترفال.</w:t>
      </w:r>
      <w:r>
        <w:rPr>
          <w:rtl/>
          <w:lang w:eastAsia="zh-TW"/>
        </w:rPr>
        <w:t xml:space="preserve"> </w:t>
      </w:r>
      <w:r w:rsidRPr="0037421A">
        <w:rPr>
          <w:rtl/>
          <w:lang w:eastAsia="zh-TW"/>
        </w:rPr>
        <w:t>وعملاً</w:t>
      </w:r>
      <w:r>
        <w:rPr>
          <w:rtl/>
          <w:lang w:eastAsia="zh-TW"/>
        </w:rPr>
        <w:t xml:space="preserve"> </w:t>
      </w:r>
      <w:r w:rsidRPr="0037421A">
        <w:rPr>
          <w:rtl/>
          <w:lang w:eastAsia="zh-TW"/>
        </w:rPr>
        <w:t>بالمادة</w:t>
      </w:r>
      <w:r>
        <w:rPr>
          <w:rtl/>
          <w:lang w:eastAsia="zh-TW"/>
        </w:rPr>
        <w:t xml:space="preserve"> </w:t>
      </w:r>
      <w:r w:rsidRPr="0037421A">
        <w:rPr>
          <w:rtl/>
          <w:lang w:eastAsia="zh-TW"/>
        </w:rPr>
        <w:t>90</w:t>
      </w:r>
      <w:r>
        <w:rPr>
          <w:rtl/>
          <w:lang w:eastAsia="zh-TW"/>
        </w:rPr>
        <w:t xml:space="preserve"> </w:t>
      </w:r>
      <w:r w:rsidRPr="0037421A">
        <w:rPr>
          <w:rtl/>
          <w:lang w:eastAsia="zh-TW"/>
        </w:rPr>
        <w:t>من</w:t>
      </w:r>
      <w:r>
        <w:rPr>
          <w:rtl/>
          <w:lang w:eastAsia="zh-TW"/>
        </w:rPr>
        <w:t xml:space="preserve"> </w:t>
      </w:r>
      <w:r w:rsidRPr="0037421A">
        <w:rPr>
          <w:rtl/>
          <w:lang w:eastAsia="zh-TW"/>
        </w:rPr>
        <w:t>النظام</w:t>
      </w:r>
      <w:r>
        <w:rPr>
          <w:rtl/>
          <w:lang w:eastAsia="zh-TW"/>
        </w:rPr>
        <w:t xml:space="preserve"> </w:t>
      </w:r>
      <w:r w:rsidRPr="0037421A">
        <w:rPr>
          <w:rtl/>
          <w:lang w:eastAsia="zh-TW"/>
        </w:rPr>
        <w:t>الداخلي</w:t>
      </w:r>
      <w:r>
        <w:rPr>
          <w:rtl/>
          <w:lang w:eastAsia="zh-TW"/>
        </w:rPr>
        <w:t xml:space="preserve"> </w:t>
      </w:r>
      <w:r w:rsidRPr="0037421A">
        <w:rPr>
          <w:rtl/>
          <w:lang w:eastAsia="zh-TW"/>
        </w:rPr>
        <w:t>للجنة،</w:t>
      </w:r>
      <w:r>
        <w:rPr>
          <w:rtl/>
          <w:lang w:eastAsia="zh-TW"/>
        </w:rPr>
        <w:t xml:space="preserve"> </w:t>
      </w:r>
      <w:r w:rsidRPr="0037421A">
        <w:rPr>
          <w:rtl/>
          <w:lang w:eastAsia="zh-TW"/>
        </w:rPr>
        <w:t>فإن</w:t>
      </w:r>
      <w:r>
        <w:rPr>
          <w:rtl/>
          <w:lang w:eastAsia="zh-TW"/>
        </w:rPr>
        <w:t xml:space="preserve"> </w:t>
      </w:r>
      <w:r w:rsidRPr="0037421A">
        <w:rPr>
          <w:rtl/>
          <w:lang w:eastAsia="zh-TW"/>
        </w:rPr>
        <w:t>عضو</w:t>
      </w:r>
      <w:r>
        <w:rPr>
          <w:rtl/>
          <w:lang w:eastAsia="zh-TW"/>
        </w:rPr>
        <w:t xml:space="preserve"> </w:t>
      </w:r>
      <w:r w:rsidRPr="0037421A">
        <w:rPr>
          <w:rtl/>
          <w:lang w:eastAsia="zh-TW"/>
        </w:rPr>
        <w:t>اللجنة</w:t>
      </w:r>
      <w:r>
        <w:rPr>
          <w:rtl/>
          <w:lang w:eastAsia="zh-TW"/>
        </w:rPr>
        <w:t xml:space="preserve"> </w:t>
      </w:r>
      <w:r w:rsidRPr="0037421A">
        <w:rPr>
          <w:rtl/>
          <w:lang w:eastAsia="zh-TW"/>
        </w:rPr>
        <w:t>السيد</w:t>
      </w:r>
      <w:r>
        <w:rPr>
          <w:rtl/>
          <w:lang w:eastAsia="zh-TW"/>
        </w:rPr>
        <w:t xml:space="preserve"> </w:t>
      </w:r>
      <w:r w:rsidRPr="0037421A">
        <w:rPr>
          <w:rtl/>
          <w:lang w:eastAsia="zh-TW"/>
        </w:rPr>
        <w:t>أوليفييه</w:t>
      </w:r>
      <w:r>
        <w:rPr>
          <w:rtl/>
          <w:lang w:eastAsia="zh-TW"/>
        </w:rPr>
        <w:t xml:space="preserve"> </w:t>
      </w:r>
      <w:r w:rsidRPr="0037421A">
        <w:rPr>
          <w:rtl/>
          <w:lang w:eastAsia="zh-TW"/>
        </w:rPr>
        <w:t>دو</w:t>
      </w:r>
      <w:r>
        <w:rPr>
          <w:rtl/>
          <w:lang w:eastAsia="zh-TW"/>
        </w:rPr>
        <w:t xml:space="preserve"> </w:t>
      </w:r>
      <w:r w:rsidRPr="0037421A">
        <w:rPr>
          <w:rtl/>
          <w:lang w:eastAsia="zh-TW"/>
        </w:rPr>
        <w:t>فروفيل</w:t>
      </w:r>
      <w:r>
        <w:rPr>
          <w:rtl/>
          <w:lang w:eastAsia="zh-TW"/>
        </w:rPr>
        <w:t xml:space="preserve"> </w:t>
      </w:r>
      <w:r w:rsidRPr="0037421A">
        <w:rPr>
          <w:rtl/>
          <w:lang w:eastAsia="zh-TW"/>
        </w:rPr>
        <w:t>لم</w:t>
      </w:r>
      <w:r>
        <w:rPr>
          <w:rtl/>
          <w:lang w:eastAsia="zh-TW"/>
        </w:rPr>
        <w:t xml:space="preserve"> </w:t>
      </w:r>
      <w:r w:rsidRPr="0037421A">
        <w:rPr>
          <w:rtl/>
          <w:lang w:eastAsia="zh-TW"/>
        </w:rPr>
        <w:t>يشارك</w:t>
      </w:r>
      <w:r>
        <w:rPr>
          <w:rtl/>
          <w:lang w:eastAsia="zh-TW"/>
        </w:rPr>
        <w:t xml:space="preserve"> </w:t>
      </w:r>
      <w:r w:rsidRPr="0037421A">
        <w:rPr>
          <w:rtl/>
          <w:lang w:eastAsia="zh-TW"/>
        </w:rPr>
        <w:t>في</w:t>
      </w:r>
      <w:r>
        <w:rPr>
          <w:rtl/>
          <w:lang w:eastAsia="zh-TW"/>
        </w:rPr>
        <w:t xml:space="preserve"> </w:t>
      </w:r>
      <w:r w:rsidRPr="0037421A">
        <w:rPr>
          <w:rtl/>
          <w:lang w:eastAsia="zh-TW"/>
        </w:rPr>
        <w:t>النظر</w:t>
      </w:r>
      <w:r>
        <w:rPr>
          <w:rtl/>
          <w:lang w:eastAsia="zh-TW"/>
        </w:rPr>
        <w:t xml:space="preserve"> </w:t>
      </w:r>
      <w:r w:rsidRPr="0037421A">
        <w:rPr>
          <w:rtl/>
          <w:lang w:eastAsia="zh-TW"/>
        </w:rPr>
        <w:t>في</w:t>
      </w:r>
      <w:r>
        <w:rPr>
          <w:rtl/>
          <w:lang w:eastAsia="zh-TW"/>
        </w:rPr>
        <w:t xml:space="preserve"> </w:t>
      </w:r>
      <w:r w:rsidRPr="0037421A">
        <w:rPr>
          <w:rtl/>
          <w:lang w:eastAsia="zh-TW"/>
        </w:rPr>
        <w:t>هذا</w:t>
      </w:r>
      <w:r>
        <w:rPr>
          <w:rtl/>
          <w:lang w:eastAsia="zh-TW"/>
        </w:rPr>
        <w:t xml:space="preserve"> </w:t>
      </w:r>
      <w:r w:rsidRPr="0037421A">
        <w:rPr>
          <w:rtl/>
          <w:lang w:eastAsia="zh-TW"/>
        </w:rPr>
        <w:t>البلاغ</w:t>
      </w:r>
      <w:r>
        <w:rPr>
          <w:rFonts w:hint="cs"/>
          <w:rtl/>
        </w:rPr>
        <w:t>.</w:t>
      </w:r>
    </w:p>
  </w:footnote>
  <w:footnote w:id="3">
    <w:p w:rsidR="001136FD" w:rsidRPr="00635D1E" w:rsidRDefault="001136FD" w:rsidP="00B150FF">
      <w:pPr>
        <w:pStyle w:val="FootnoteText1"/>
        <w:rPr>
          <w:rtl/>
        </w:rPr>
      </w:pPr>
      <w:r w:rsidRPr="009F41EF">
        <w:rPr>
          <w:b/>
          <w:rtl/>
        </w:rPr>
        <w:t>***</w:t>
      </w:r>
      <w:r>
        <w:rPr>
          <w:rtl/>
        </w:rPr>
        <w:tab/>
      </w:r>
      <w:r w:rsidRPr="0037421A">
        <w:rPr>
          <w:rtl/>
          <w:lang w:eastAsia="zh-TW"/>
        </w:rPr>
        <w:t>أُرفق</w:t>
      </w:r>
      <w:r>
        <w:rPr>
          <w:rtl/>
          <w:lang w:eastAsia="zh-TW"/>
        </w:rPr>
        <w:t xml:space="preserve"> </w:t>
      </w:r>
      <w:r w:rsidRPr="0037421A">
        <w:rPr>
          <w:rtl/>
          <w:lang w:eastAsia="zh-TW"/>
        </w:rPr>
        <w:t>ما</w:t>
      </w:r>
      <w:r>
        <w:rPr>
          <w:rtl/>
          <w:lang w:eastAsia="zh-TW"/>
        </w:rPr>
        <w:t xml:space="preserve"> </w:t>
      </w:r>
      <w:r w:rsidRPr="0037421A">
        <w:rPr>
          <w:rtl/>
          <w:lang w:eastAsia="zh-TW"/>
        </w:rPr>
        <w:t>يلي</w:t>
      </w:r>
      <w:r>
        <w:rPr>
          <w:rtl/>
          <w:lang w:eastAsia="zh-TW"/>
        </w:rPr>
        <w:t xml:space="preserve"> </w:t>
      </w:r>
      <w:r w:rsidRPr="0037421A">
        <w:rPr>
          <w:rtl/>
          <w:lang w:eastAsia="zh-TW"/>
        </w:rPr>
        <w:t>بهذا</w:t>
      </w:r>
      <w:r>
        <w:rPr>
          <w:rtl/>
          <w:lang w:eastAsia="zh-TW"/>
        </w:rPr>
        <w:t xml:space="preserve"> </w:t>
      </w:r>
      <w:r w:rsidRPr="0037421A">
        <w:rPr>
          <w:rtl/>
          <w:lang w:eastAsia="zh-TW"/>
        </w:rPr>
        <w:t>التقرير:</w:t>
      </w:r>
      <w:r>
        <w:rPr>
          <w:rtl/>
          <w:lang w:eastAsia="zh-TW"/>
        </w:rPr>
        <w:t xml:space="preserve"> </w:t>
      </w:r>
      <w:r w:rsidRPr="0037421A">
        <w:rPr>
          <w:rtl/>
          <w:lang w:eastAsia="zh-TW"/>
        </w:rPr>
        <w:t>رأي</w:t>
      </w:r>
      <w:r>
        <w:rPr>
          <w:rtl/>
          <w:lang w:eastAsia="zh-TW"/>
        </w:rPr>
        <w:t xml:space="preserve"> </w:t>
      </w:r>
      <w:r w:rsidRPr="0037421A">
        <w:rPr>
          <w:rtl/>
          <w:lang w:eastAsia="zh-TW"/>
        </w:rPr>
        <w:t>مشترك</w:t>
      </w:r>
      <w:r>
        <w:rPr>
          <w:rtl/>
          <w:lang w:eastAsia="zh-TW"/>
        </w:rPr>
        <w:t xml:space="preserve"> </w:t>
      </w:r>
      <w:r w:rsidRPr="0037421A">
        <w:rPr>
          <w:rtl/>
          <w:lang w:eastAsia="zh-TW"/>
        </w:rPr>
        <w:t>لأعضاء</w:t>
      </w:r>
      <w:r>
        <w:rPr>
          <w:rtl/>
          <w:lang w:eastAsia="zh-TW"/>
        </w:rPr>
        <w:t xml:space="preserve"> </w:t>
      </w:r>
      <w:r w:rsidRPr="0037421A">
        <w:rPr>
          <w:rtl/>
          <w:lang w:eastAsia="zh-TW"/>
        </w:rPr>
        <w:t>اللجنة،</w:t>
      </w:r>
      <w:r>
        <w:rPr>
          <w:rtl/>
          <w:lang w:eastAsia="zh-TW"/>
        </w:rPr>
        <w:t xml:space="preserve"> </w:t>
      </w:r>
      <w:r w:rsidR="007D6F6C">
        <w:rPr>
          <w:rtl/>
          <w:lang w:eastAsia="zh-TW"/>
        </w:rPr>
        <w:t>إيلز</w:t>
      </w:r>
      <w:r w:rsidR="00093B9F">
        <w:rPr>
          <w:rFonts w:hint="cs"/>
          <w:rtl/>
          <w:lang w:eastAsia="zh-TW"/>
        </w:rPr>
        <w:t>ه</w:t>
      </w:r>
      <w:r>
        <w:rPr>
          <w:rtl/>
          <w:lang w:eastAsia="zh-TW"/>
        </w:rPr>
        <w:t xml:space="preserve"> </w:t>
      </w:r>
      <w:r w:rsidRPr="0037421A">
        <w:rPr>
          <w:rtl/>
          <w:lang w:eastAsia="zh-TW"/>
        </w:rPr>
        <w:t>براندس</w:t>
      </w:r>
      <w:r>
        <w:rPr>
          <w:rtl/>
          <w:lang w:eastAsia="zh-TW"/>
        </w:rPr>
        <w:t xml:space="preserve"> </w:t>
      </w:r>
      <w:r w:rsidRPr="0037421A">
        <w:rPr>
          <w:rtl/>
          <w:lang w:eastAsia="zh-TW"/>
        </w:rPr>
        <w:t>كيهريس،</w:t>
      </w:r>
      <w:r>
        <w:rPr>
          <w:rtl/>
          <w:lang w:eastAsia="zh-TW"/>
        </w:rPr>
        <w:t xml:space="preserve"> </w:t>
      </w:r>
      <w:r w:rsidRPr="0037421A">
        <w:rPr>
          <w:rtl/>
          <w:lang w:eastAsia="zh-TW"/>
        </w:rPr>
        <w:t>وسارة</w:t>
      </w:r>
      <w:r>
        <w:rPr>
          <w:rtl/>
          <w:lang w:eastAsia="zh-TW"/>
        </w:rPr>
        <w:t xml:space="preserve"> </w:t>
      </w:r>
      <w:r w:rsidRPr="0037421A">
        <w:rPr>
          <w:rtl/>
          <w:lang w:eastAsia="zh-TW"/>
        </w:rPr>
        <w:t>كليفلاند،</w:t>
      </w:r>
      <w:r>
        <w:rPr>
          <w:rtl/>
          <w:lang w:eastAsia="zh-TW"/>
        </w:rPr>
        <w:t xml:space="preserve"> </w:t>
      </w:r>
      <w:r w:rsidRPr="0037421A">
        <w:rPr>
          <w:rtl/>
          <w:lang w:eastAsia="zh-TW"/>
        </w:rPr>
        <w:t>وكريستوف</w:t>
      </w:r>
      <w:r>
        <w:rPr>
          <w:rtl/>
          <w:lang w:eastAsia="zh-TW"/>
        </w:rPr>
        <w:t xml:space="preserve"> </w:t>
      </w:r>
      <w:r w:rsidRPr="0037421A">
        <w:rPr>
          <w:rtl/>
          <w:lang w:eastAsia="zh-TW"/>
        </w:rPr>
        <w:t>هينز،</w:t>
      </w:r>
      <w:r>
        <w:rPr>
          <w:rtl/>
          <w:lang w:eastAsia="zh-TW"/>
        </w:rPr>
        <w:t xml:space="preserve"> </w:t>
      </w:r>
      <w:r w:rsidRPr="0037421A">
        <w:rPr>
          <w:rtl/>
          <w:lang w:eastAsia="zh-TW"/>
        </w:rPr>
        <w:t>ومارسيا</w:t>
      </w:r>
      <w:r>
        <w:rPr>
          <w:rtl/>
          <w:lang w:eastAsia="zh-TW"/>
        </w:rPr>
        <w:t xml:space="preserve"> </w:t>
      </w:r>
      <w:r w:rsidRPr="0037421A">
        <w:rPr>
          <w:rtl/>
          <w:lang w:eastAsia="zh-TW"/>
        </w:rPr>
        <w:t>ف</w:t>
      </w:r>
      <w:r w:rsidRPr="0037421A">
        <w:rPr>
          <w:lang w:eastAsia="zh-TW"/>
        </w:rPr>
        <w:t>.</w:t>
      </w:r>
      <w:r>
        <w:rPr>
          <w:rtl/>
          <w:lang w:eastAsia="zh-TW"/>
        </w:rPr>
        <w:t xml:space="preserve"> </w:t>
      </w:r>
      <w:r w:rsidRPr="0037421A">
        <w:rPr>
          <w:rtl/>
          <w:lang w:eastAsia="zh-TW"/>
        </w:rPr>
        <w:t>ج.</w:t>
      </w:r>
      <w:r>
        <w:rPr>
          <w:rtl/>
          <w:lang w:eastAsia="zh-TW"/>
        </w:rPr>
        <w:t xml:space="preserve"> </w:t>
      </w:r>
      <w:r w:rsidRPr="0037421A">
        <w:rPr>
          <w:rtl/>
          <w:lang w:eastAsia="zh-TW"/>
        </w:rPr>
        <w:t>كران،</w:t>
      </w:r>
      <w:r>
        <w:rPr>
          <w:rtl/>
          <w:lang w:eastAsia="zh-TW"/>
        </w:rPr>
        <w:t xml:space="preserve"> </w:t>
      </w:r>
      <w:r w:rsidRPr="0037421A">
        <w:rPr>
          <w:rtl/>
          <w:lang w:eastAsia="zh-TW"/>
        </w:rPr>
        <w:t>ويوفال</w:t>
      </w:r>
      <w:r>
        <w:rPr>
          <w:rtl/>
          <w:lang w:eastAsia="zh-TW"/>
        </w:rPr>
        <w:t xml:space="preserve"> </w:t>
      </w:r>
      <w:r w:rsidRPr="0037421A">
        <w:rPr>
          <w:rtl/>
          <w:lang w:eastAsia="zh-TW"/>
        </w:rPr>
        <w:t>شاني</w:t>
      </w:r>
      <w:r>
        <w:rPr>
          <w:rtl/>
          <w:lang w:eastAsia="zh-TW"/>
        </w:rPr>
        <w:t xml:space="preserve"> </w:t>
      </w:r>
      <w:r w:rsidRPr="0037421A">
        <w:rPr>
          <w:rtl/>
          <w:lang w:eastAsia="zh-TW"/>
        </w:rPr>
        <w:t>(رأي</w:t>
      </w:r>
      <w:r>
        <w:rPr>
          <w:rtl/>
          <w:lang w:eastAsia="zh-TW"/>
        </w:rPr>
        <w:t xml:space="preserve"> </w:t>
      </w:r>
      <w:r w:rsidRPr="0037421A">
        <w:rPr>
          <w:rtl/>
          <w:lang w:eastAsia="zh-TW"/>
        </w:rPr>
        <w:t>مؤيد)؛</w:t>
      </w:r>
      <w:r>
        <w:rPr>
          <w:rtl/>
          <w:lang w:eastAsia="zh-TW"/>
        </w:rPr>
        <w:t xml:space="preserve"> </w:t>
      </w:r>
      <w:r w:rsidRPr="0037421A">
        <w:rPr>
          <w:rtl/>
          <w:lang w:eastAsia="zh-TW"/>
        </w:rPr>
        <w:t>ورأي</w:t>
      </w:r>
      <w:r>
        <w:rPr>
          <w:rtl/>
          <w:lang w:eastAsia="zh-TW"/>
        </w:rPr>
        <w:t xml:space="preserve"> </w:t>
      </w:r>
      <w:r w:rsidRPr="0037421A">
        <w:rPr>
          <w:rtl/>
          <w:lang w:eastAsia="zh-TW"/>
        </w:rPr>
        <w:t>مشترك</w:t>
      </w:r>
      <w:r>
        <w:rPr>
          <w:rtl/>
          <w:lang w:eastAsia="zh-TW"/>
        </w:rPr>
        <w:t xml:space="preserve"> </w:t>
      </w:r>
      <w:r w:rsidRPr="0037421A">
        <w:rPr>
          <w:rtl/>
          <w:lang w:eastAsia="zh-TW"/>
        </w:rPr>
        <w:t>لعضويْ</w:t>
      </w:r>
      <w:r>
        <w:rPr>
          <w:rtl/>
          <w:lang w:eastAsia="zh-TW"/>
        </w:rPr>
        <w:t xml:space="preserve"> </w:t>
      </w:r>
      <w:r w:rsidRPr="0037421A">
        <w:rPr>
          <w:rtl/>
          <w:lang w:eastAsia="zh-TW"/>
        </w:rPr>
        <w:t>اللجنة،</w:t>
      </w:r>
      <w:r>
        <w:rPr>
          <w:rtl/>
          <w:lang w:eastAsia="zh-TW"/>
        </w:rPr>
        <w:t xml:space="preserve"> </w:t>
      </w:r>
      <w:r w:rsidR="007D6F6C">
        <w:rPr>
          <w:rtl/>
          <w:lang w:eastAsia="zh-TW"/>
        </w:rPr>
        <w:t>إيلز</w:t>
      </w:r>
      <w:r w:rsidR="00093B9F">
        <w:rPr>
          <w:rFonts w:hint="cs"/>
          <w:rtl/>
          <w:lang w:eastAsia="zh-TW"/>
        </w:rPr>
        <w:t>ه</w:t>
      </w:r>
      <w:r>
        <w:rPr>
          <w:rtl/>
          <w:lang w:eastAsia="zh-TW"/>
        </w:rPr>
        <w:t xml:space="preserve"> </w:t>
      </w:r>
      <w:r w:rsidRPr="0037421A">
        <w:rPr>
          <w:rtl/>
          <w:lang w:eastAsia="zh-TW"/>
        </w:rPr>
        <w:t>براندس</w:t>
      </w:r>
      <w:r>
        <w:rPr>
          <w:rtl/>
          <w:lang w:eastAsia="zh-TW"/>
        </w:rPr>
        <w:t xml:space="preserve"> </w:t>
      </w:r>
      <w:r w:rsidRPr="0037421A">
        <w:rPr>
          <w:rtl/>
          <w:lang w:eastAsia="zh-TW"/>
        </w:rPr>
        <w:t>كيهريس</w:t>
      </w:r>
      <w:r>
        <w:rPr>
          <w:rtl/>
          <w:lang w:eastAsia="zh-TW"/>
        </w:rPr>
        <w:t xml:space="preserve"> </w:t>
      </w:r>
      <w:r w:rsidRPr="0037421A">
        <w:rPr>
          <w:rtl/>
          <w:lang w:eastAsia="zh-TW"/>
        </w:rPr>
        <w:t>وسار</w:t>
      </w:r>
      <w:r w:rsidR="00B150FF">
        <w:rPr>
          <w:rFonts w:hint="cs"/>
          <w:rtl/>
          <w:lang w:eastAsia="zh-TW"/>
        </w:rPr>
        <w:t>ة</w:t>
      </w:r>
      <w:r>
        <w:rPr>
          <w:rtl/>
          <w:lang w:eastAsia="zh-TW"/>
        </w:rPr>
        <w:t xml:space="preserve"> </w:t>
      </w:r>
      <w:r w:rsidRPr="0037421A">
        <w:rPr>
          <w:rtl/>
          <w:lang w:eastAsia="zh-TW"/>
        </w:rPr>
        <w:t>كليفلاند</w:t>
      </w:r>
      <w:r>
        <w:rPr>
          <w:rtl/>
          <w:lang w:eastAsia="zh-TW"/>
        </w:rPr>
        <w:t xml:space="preserve"> </w:t>
      </w:r>
      <w:r w:rsidRPr="0037421A">
        <w:rPr>
          <w:rtl/>
          <w:lang w:eastAsia="zh-TW"/>
        </w:rPr>
        <w:t>(رأي</w:t>
      </w:r>
      <w:r>
        <w:rPr>
          <w:rtl/>
          <w:lang w:eastAsia="zh-TW"/>
        </w:rPr>
        <w:t xml:space="preserve"> </w:t>
      </w:r>
      <w:r w:rsidRPr="0037421A">
        <w:rPr>
          <w:rtl/>
          <w:lang w:eastAsia="zh-TW"/>
        </w:rPr>
        <w:t>مؤيد)؛</w:t>
      </w:r>
      <w:r>
        <w:rPr>
          <w:rtl/>
          <w:lang w:eastAsia="zh-TW"/>
        </w:rPr>
        <w:t xml:space="preserve"> </w:t>
      </w:r>
      <w:r w:rsidRPr="0037421A">
        <w:rPr>
          <w:rtl/>
          <w:lang w:eastAsia="zh-TW"/>
        </w:rPr>
        <w:t>ورأي</w:t>
      </w:r>
      <w:r>
        <w:rPr>
          <w:rtl/>
          <w:lang w:eastAsia="zh-TW"/>
        </w:rPr>
        <w:t xml:space="preserve"> </w:t>
      </w:r>
      <w:r w:rsidRPr="0037421A">
        <w:rPr>
          <w:rtl/>
          <w:lang w:eastAsia="zh-TW"/>
        </w:rPr>
        <w:t>فردي</w:t>
      </w:r>
      <w:r>
        <w:rPr>
          <w:rtl/>
          <w:lang w:eastAsia="zh-TW"/>
        </w:rPr>
        <w:t xml:space="preserve"> </w:t>
      </w:r>
      <w:r w:rsidRPr="0037421A">
        <w:rPr>
          <w:rtl/>
          <w:lang w:eastAsia="zh-TW"/>
        </w:rPr>
        <w:t>لعضو</w:t>
      </w:r>
      <w:r>
        <w:rPr>
          <w:rtl/>
          <w:lang w:eastAsia="zh-TW"/>
        </w:rPr>
        <w:t xml:space="preserve"> </w:t>
      </w:r>
      <w:r w:rsidRPr="0037421A">
        <w:rPr>
          <w:rtl/>
          <w:lang w:eastAsia="zh-TW"/>
        </w:rPr>
        <w:t>اللجنة</w:t>
      </w:r>
      <w:r>
        <w:rPr>
          <w:rtl/>
          <w:lang w:eastAsia="zh-TW"/>
        </w:rPr>
        <w:t xml:space="preserve"> </w:t>
      </w:r>
      <w:r w:rsidRPr="0037421A">
        <w:rPr>
          <w:rtl/>
          <w:lang w:eastAsia="zh-TW"/>
        </w:rPr>
        <w:t>السيد</w:t>
      </w:r>
      <w:r>
        <w:rPr>
          <w:rtl/>
          <w:lang w:eastAsia="zh-TW"/>
        </w:rPr>
        <w:t xml:space="preserve"> </w:t>
      </w:r>
      <w:r w:rsidRPr="0037421A">
        <w:rPr>
          <w:rtl/>
          <w:lang w:eastAsia="zh-TW"/>
        </w:rPr>
        <w:t>عياض</w:t>
      </w:r>
      <w:r>
        <w:rPr>
          <w:rtl/>
          <w:lang w:eastAsia="zh-TW"/>
        </w:rPr>
        <w:t xml:space="preserve"> </w:t>
      </w:r>
      <w:r w:rsidRPr="0037421A">
        <w:rPr>
          <w:rtl/>
          <w:lang w:eastAsia="zh-TW"/>
        </w:rPr>
        <w:t>بن</w:t>
      </w:r>
      <w:r>
        <w:rPr>
          <w:rtl/>
          <w:lang w:eastAsia="zh-TW"/>
        </w:rPr>
        <w:t xml:space="preserve"> </w:t>
      </w:r>
      <w:r w:rsidRPr="0037421A">
        <w:rPr>
          <w:rtl/>
          <w:lang w:eastAsia="zh-TW"/>
        </w:rPr>
        <w:t>عاشور</w:t>
      </w:r>
      <w:r>
        <w:rPr>
          <w:rtl/>
          <w:lang w:eastAsia="zh-TW"/>
        </w:rPr>
        <w:t xml:space="preserve"> </w:t>
      </w:r>
      <w:r w:rsidRPr="0037421A">
        <w:rPr>
          <w:rtl/>
          <w:lang w:eastAsia="zh-TW"/>
        </w:rPr>
        <w:t>(رأي</w:t>
      </w:r>
      <w:r>
        <w:rPr>
          <w:rtl/>
          <w:lang w:eastAsia="zh-TW"/>
        </w:rPr>
        <w:t xml:space="preserve"> </w:t>
      </w:r>
      <w:r w:rsidRPr="0037421A">
        <w:rPr>
          <w:rtl/>
          <w:lang w:eastAsia="zh-TW"/>
        </w:rPr>
        <w:t>مخالف)؛</w:t>
      </w:r>
      <w:r>
        <w:rPr>
          <w:rtl/>
          <w:lang w:eastAsia="zh-TW"/>
        </w:rPr>
        <w:t xml:space="preserve"> </w:t>
      </w:r>
      <w:r w:rsidRPr="0037421A">
        <w:rPr>
          <w:rtl/>
          <w:lang w:eastAsia="zh-TW"/>
        </w:rPr>
        <w:t>ورأي</w:t>
      </w:r>
      <w:r>
        <w:rPr>
          <w:rtl/>
          <w:lang w:eastAsia="zh-TW"/>
        </w:rPr>
        <w:t xml:space="preserve"> </w:t>
      </w:r>
      <w:r w:rsidRPr="0037421A">
        <w:rPr>
          <w:rtl/>
          <w:lang w:eastAsia="zh-TW"/>
        </w:rPr>
        <w:t>فردي</w:t>
      </w:r>
      <w:r>
        <w:rPr>
          <w:rtl/>
          <w:lang w:eastAsia="zh-TW"/>
        </w:rPr>
        <w:t xml:space="preserve"> </w:t>
      </w:r>
      <w:r w:rsidRPr="0037421A">
        <w:rPr>
          <w:rtl/>
          <w:lang w:eastAsia="zh-TW"/>
        </w:rPr>
        <w:t>لعضو</w:t>
      </w:r>
      <w:r>
        <w:rPr>
          <w:rtl/>
          <w:lang w:eastAsia="zh-TW"/>
        </w:rPr>
        <w:t xml:space="preserve"> </w:t>
      </w:r>
      <w:r w:rsidRPr="0037421A">
        <w:rPr>
          <w:rtl/>
          <w:lang w:eastAsia="zh-TW"/>
        </w:rPr>
        <w:t>اللجنة</w:t>
      </w:r>
      <w:r>
        <w:rPr>
          <w:rtl/>
          <w:lang w:eastAsia="zh-TW"/>
        </w:rPr>
        <w:t xml:space="preserve"> </w:t>
      </w:r>
      <w:r w:rsidRPr="0037421A">
        <w:rPr>
          <w:rtl/>
          <w:lang w:eastAsia="zh-TW"/>
        </w:rPr>
        <w:t>خوسيه</w:t>
      </w:r>
      <w:r>
        <w:rPr>
          <w:rtl/>
          <w:lang w:eastAsia="zh-TW"/>
        </w:rPr>
        <w:t xml:space="preserve"> </w:t>
      </w:r>
      <w:r w:rsidRPr="0037421A">
        <w:rPr>
          <w:rtl/>
          <w:lang w:eastAsia="zh-TW"/>
        </w:rPr>
        <w:t>مانويل</w:t>
      </w:r>
      <w:r>
        <w:rPr>
          <w:rtl/>
          <w:lang w:eastAsia="zh-TW"/>
        </w:rPr>
        <w:t xml:space="preserve"> </w:t>
      </w:r>
      <w:r w:rsidRPr="0037421A">
        <w:rPr>
          <w:rtl/>
          <w:lang w:eastAsia="zh-TW"/>
        </w:rPr>
        <w:t>سانتوس</w:t>
      </w:r>
      <w:r>
        <w:rPr>
          <w:rtl/>
          <w:lang w:eastAsia="zh-TW"/>
        </w:rPr>
        <w:t xml:space="preserve"> </w:t>
      </w:r>
      <w:r w:rsidRPr="0037421A">
        <w:rPr>
          <w:rtl/>
          <w:lang w:eastAsia="zh-TW"/>
        </w:rPr>
        <w:t>بايس</w:t>
      </w:r>
      <w:r>
        <w:rPr>
          <w:rtl/>
          <w:lang w:eastAsia="zh-TW"/>
        </w:rPr>
        <w:t xml:space="preserve"> </w:t>
      </w:r>
      <w:r w:rsidRPr="0037421A">
        <w:rPr>
          <w:rtl/>
          <w:lang w:eastAsia="zh-TW"/>
        </w:rPr>
        <w:t>(رأي</w:t>
      </w:r>
      <w:r>
        <w:rPr>
          <w:rtl/>
          <w:lang w:eastAsia="zh-TW"/>
        </w:rPr>
        <w:t xml:space="preserve"> </w:t>
      </w:r>
      <w:r w:rsidRPr="0037421A">
        <w:rPr>
          <w:rtl/>
          <w:lang w:eastAsia="zh-TW"/>
        </w:rPr>
        <w:t>مخالف)</w:t>
      </w:r>
      <w:r>
        <w:rPr>
          <w:rFonts w:hint="cs"/>
          <w:rtl/>
        </w:rPr>
        <w:t>.</w:t>
      </w:r>
    </w:p>
  </w:footnote>
  <w:footnote w:id="4">
    <w:p w:rsidR="001136FD" w:rsidRPr="00C47E7D" w:rsidRDefault="001136FD" w:rsidP="000F13F5">
      <w:pPr>
        <w:pStyle w:val="FootnoteText1"/>
      </w:pPr>
      <w:r w:rsidRPr="00C47E7D">
        <w:rPr>
          <w:rtl/>
        </w:rPr>
        <w:t>(</w:t>
      </w:r>
      <w:r w:rsidR="000F13F5" w:rsidRPr="006B0664">
        <w:rPr>
          <w:rStyle w:val="FootnoteReference"/>
          <w:b w:val="0"/>
          <w:szCs w:val="26"/>
          <w:vertAlign w:val="baseline"/>
          <w:rtl/>
          <w:lang w:eastAsia="zh-TW"/>
        </w:rPr>
        <w:footnoteRef/>
      </w:r>
      <w:r>
        <w:rPr>
          <w:sz w:val="26"/>
          <w:rtl/>
        </w:rPr>
        <w:t>)</w:t>
      </w:r>
      <w:r>
        <w:rPr>
          <w:sz w:val="26"/>
          <w:rtl/>
        </w:rPr>
        <w:tab/>
      </w:r>
      <w:r w:rsidRPr="0037421A">
        <w:rPr>
          <w:rtl/>
          <w:lang w:eastAsia="zh-TW"/>
        </w:rPr>
        <w:t>تشير</w:t>
      </w:r>
      <w:r>
        <w:rPr>
          <w:rtl/>
          <w:lang w:eastAsia="zh-TW"/>
        </w:rPr>
        <w:t xml:space="preserve"> </w:t>
      </w:r>
      <w:r w:rsidRPr="0037421A">
        <w:rPr>
          <w:rtl/>
          <w:lang w:eastAsia="zh-TW"/>
        </w:rPr>
        <w:t>صاحبة</w:t>
      </w:r>
      <w:r>
        <w:rPr>
          <w:rtl/>
          <w:lang w:eastAsia="zh-TW"/>
        </w:rPr>
        <w:t xml:space="preserve"> </w:t>
      </w:r>
      <w:r w:rsidRPr="0037421A">
        <w:rPr>
          <w:rtl/>
          <w:lang w:eastAsia="zh-TW"/>
        </w:rPr>
        <w:t>البلاغ</w:t>
      </w:r>
      <w:r>
        <w:rPr>
          <w:rtl/>
          <w:lang w:eastAsia="zh-TW"/>
        </w:rPr>
        <w:t xml:space="preserve"> </w:t>
      </w:r>
      <w:r w:rsidRPr="0037421A">
        <w:rPr>
          <w:rtl/>
          <w:lang w:eastAsia="zh-TW"/>
        </w:rPr>
        <w:t>أيضاً</w:t>
      </w:r>
      <w:r>
        <w:rPr>
          <w:rtl/>
          <w:lang w:eastAsia="zh-TW"/>
        </w:rPr>
        <w:t xml:space="preserve"> </w:t>
      </w:r>
      <w:r w:rsidRPr="0037421A">
        <w:rPr>
          <w:rtl/>
          <w:lang w:eastAsia="zh-TW"/>
        </w:rPr>
        <w:t>إلى</w:t>
      </w:r>
      <w:r>
        <w:rPr>
          <w:rtl/>
          <w:lang w:eastAsia="zh-TW"/>
        </w:rPr>
        <w:t xml:space="preserve"> </w:t>
      </w:r>
      <w:r w:rsidRPr="0037421A">
        <w:rPr>
          <w:rtl/>
          <w:lang w:eastAsia="zh-TW"/>
        </w:rPr>
        <w:t>المادة</w:t>
      </w:r>
      <w:r>
        <w:rPr>
          <w:rtl/>
          <w:lang w:eastAsia="zh-TW"/>
        </w:rPr>
        <w:t xml:space="preserve"> </w:t>
      </w:r>
      <w:r w:rsidRPr="0037421A">
        <w:rPr>
          <w:rtl/>
          <w:lang w:eastAsia="zh-TW"/>
        </w:rPr>
        <w:t>١٢</w:t>
      </w:r>
      <w:r>
        <w:rPr>
          <w:rtl/>
          <w:lang w:eastAsia="zh-TW"/>
        </w:rPr>
        <w:t xml:space="preserve"> </w:t>
      </w:r>
      <w:r w:rsidRPr="0037421A">
        <w:rPr>
          <w:rtl/>
          <w:lang w:eastAsia="zh-TW"/>
        </w:rPr>
        <w:t>من</w:t>
      </w:r>
      <w:r>
        <w:rPr>
          <w:rtl/>
          <w:lang w:eastAsia="zh-TW"/>
        </w:rPr>
        <w:t xml:space="preserve"> </w:t>
      </w:r>
      <w:r w:rsidRPr="0037421A">
        <w:rPr>
          <w:rtl/>
          <w:lang w:eastAsia="zh-TW"/>
        </w:rPr>
        <w:t>العهد</w:t>
      </w:r>
      <w:r>
        <w:rPr>
          <w:rtl/>
          <w:lang w:eastAsia="zh-TW"/>
        </w:rPr>
        <w:t xml:space="preserve"> </w:t>
      </w:r>
      <w:r w:rsidRPr="0037421A">
        <w:rPr>
          <w:rtl/>
          <w:lang w:eastAsia="zh-TW"/>
        </w:rPr>
        <w:t>وإن</w:t>
      </w:r>
      <w:r>
        <w:rPr>
          <w:rtl/>
          <w:lang w:eastAsia="zh-TW"/>
        </w:rPr>
        <w:t xml:space="preserve"> </w:t>
      </w:r>
      <w:r w:rsidRPr="0037421A">
        <w:rPr>
          <w:rtl/>
          <w:lang w:eastAsia="zh-TW"/>
        </w:rPr>
        <w:t>لم</w:t>
      </w:r>
      <w:r>
        <w:rPr>
          <w:rtl/>
          <w:lang w:eastAsia="zh-TW"/>
        </w:rPr>
        <w:t xml:space="preserve"> </w:t>
      </w:r>
      <w:r w:rsidRPr="0037421A">
        <w:rPr>
          <w:rtl/>
          <w:lang w:eastAsia="zh-TW"/>
        </w:rPr>
        <w:t>تحتج</w:t>
      </w:r>
      <w:r>
        <w:rPr>
          <w:rtl/>
          <w:lang w:eastAsia="zh-TW"/>
        </w:rPr>
        <w:t xml:space="preserve"> </w:t>
      </w:r>
      <w:r w:rsidRPr="0037421A">
        <w:rPr>
          <w:rtl/>
          <w:lang w:eastAsia="zh-TW"/>
        </w:rPr>
        <w:t>بها</w:t>
      </w:r>
      <w:r>
        <w:rPr>
          <w:rtl/>
          <w:lang w:eastAsia="zh-TW"/>
        </w:rPr>
        <w:t xml:space="preserve"> </w:t>
      </w:r>
      <w:r w:rsidRPr="0037421A">
        <w:rPr>
          <w:rtl/>
          <w:lang w:eastAsia="zh-TW"/>
        </w:rPr>
        <w:t>مباشرة</w:t>
      </w:r>
      <w:r>
        <w:rPr>
          <w:rFonts w:hint="cs"/>
          <w:sz w:val="26"/>
          <w:rtl/>
        </w:rPr>
        <w:t>.</w:t>
      </w:r>
      <w:r w:rsidRPr="00C47E7D">
        <w:rPr>
          <w:rtl/>
        </w:rPr>
        <w:t xml:space="preserve"> </w:t>
      </w:r>
    </w:p>
  </w:footnote>
  <w:footnote w:id="5">
    <w:p w:rsidR="001136FD" w:rsidRPr="00C47E7D" w:rsidRDefault="001136FD" w:rsidP="000F13F5">
      <w:pPr>
        <w:pStyle w:val="FootnoteText1"/>
      </w:pPr>
      <w:r w:rsidRPr="00C47E7D">
        <w:rPr>
          <w:rtl/>
        </w:rPr>
        <w:t>(</w:t>
      </w:r>
      <w:r w:rsidR="000F13F5" w:rsidRPr="006B0664">
        <w:rPr>
          <w:rStyle w:val="FootnoteReference"/>
          <w:b w:val="0"/>
          <w:szCs w:val="26"/>
          <w:vertAlign w:val="baseline"/>
          <w:rtl/>
          <w:lang w:eastAsia="zh-TW"/>
        </w:rPr>
        <w:footnoteRef/>
      </w:r>
      <w:r>
        <w:rPr>
          <w:sz w:val="26"/>
          <w:rtl/>
        </w:rPr>
        <w:t>)</w:t>
      </w:r>
      <w:r>
        <w:rPr>
          <w:sz w:val="26"/>
          <w:rtl/>
        </w:rPr>
        <w:tab/>
      </w:r>
      <w:r w:rsidR="00DE09B6" w:rsidRPr="000F13F5">
        <w:rPr>
          <w:spacing w:val="-4"/>
          <w:rtl/>
          <w:lang w:eastAsia="zh-TW"/>
        </w:rPr>
        <w:t>عند التصديق على هذا البروتوكول، قدمت فرنسا التحفظ التالي: "تُبدي فرنسا تحفّظاً على الفقرة 2(أ) من المادة 5 من البروتوكول الاختياري مفاده أنه لا يجوز للجنة المعنية بحقوق الإنسان النظر في بلاغ مقدم من أحد الأفراد إذا كانت المسألة ذاتها، أو ما زالت، محل دراسة بموجب إجراء آخر من إجراءات التحقيق الدولي أو التسوية الدولية"</w:t>
      </w:r>
      <w:r w:rsidRPr="000F13F5">
        <w:rPr>
          <w:rFonts w:hint="cs"/>
          <w:spacing w:val="-4"/>
          <w:sz w:val="26"/>
          <w:rtl/>
        </w:rPr>
        <w:t>.</w:t>
      </w:r>
      <w:r w:rsidRPr="00C47E7D">
        <w:rPr>
          <w:rtl/>
        </w:rPr>
        <w:t xml:space="preserve"> </w:t>
      </w:r>
    </w:p>
  </w:footnote>
  <w:footnote w:id="6">
    <w:p w:rsidR="001136FD" w:rsidRPr="0037421A" w:rsidRDefault="001136FD" w:rsidP="00CA3A78">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للقاضي</w:t>
      </w:r>
      <w:r>
        <w:rPr>
          <w:sz w:val="18"/>
          <w:szCs w:val="26"/>
          <w:rtl/>
          <w:lang w:eastAsia="zh-TW"/>
        </w:rPr>
        <w:t xml:space="preserve"> </w:t>
      </w:r>
      <w:r w:rsidRPr="0037421A">
        <w:rPr>
          <w:sz w:val="18"/>
          <w:szCs w:val="26"/>
          <w:rtl/>
          <w:lang w:eastAsia="zh-TW"/>
        </w:rPr>
        <w:t>المحلي</w:t>
      </w:r>
      <w:r>
        <w:rPr>
          <w:sz w:val="18"/>
          <w:szCs w:val="26"/>
          <w:rtl/>
          <w:lang w:eastAsia="zh-TW"/>
        </w:rPr>
        <w:t xml:space="preserve"> </w:t>
      </w:r>
      <w:r w:rsidRPr="0037421A">
        <w:rPr>
          <w:sz w:val="18"/>
          <w:szCs w:val="26"/>
          <w:rtl/>
          <w:lang w:eastAsia="zh-TW"/>
        </w:rPr>
        <w:t>ولاية</w:t>
      </w:r>
      <w:r>
        <w:rPr>
          <w:sz w:val="18"/>
          <w:szCs w:val="26"/>
          <w:rtl/>
          <w:lang w:eastAsia="zh-TW"/>
        </w:rPr>
        <w:t xml:space="preserve"> </w:t>
      </w:r>
      <w:r w:rsidRPr="0037421A">
        <w:rPr>
          <w:sz w:val="18"/>
          <w:szCs w:val="26"/>
          <w:rtl/>
          <w:lang w:eastAsia="zh-TW"/>
        </w:rPr>
        <w:t>النظر</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المنازعات</w:t>
      </w:r>
      <w:r>
        <w:rPr>
          <w:sz w:val="18"/>
          <w:szCs w:val="26"/>
          <w:rtl/>
          <w:lang w:eastAsia="zh-TW"/>
        </w:rPr>
        <w:t xml:space="preserve"> </w:t>
      </w:r>
      <w:r w:rsidRPr="0037421A">
        <w:rPr>
          <w:sz w:val="18"/>
          <w:szCs w:val="26"/>
          <w:rtl/>
          <w:lang w:eastAsia="zh-TW"/>
        </w:rPr>
        <w:t>المدنية</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لا</w:t>
      </w:r>
      <w:r>
        <w:rPr>
          <w:sz w:val="18"/>
          <w:szCs w:val="26"/>
          <w:rtl/>
          <w:lang w:eastAsia="zh-TW"/>
        </w:rPr>
        <w:t xml:space="preserve"> </w:t>
      </w:r>
      <w:r w:rsidRPr="0037421A">
        <w:rPr>
          <w:sz w:val="18"/>
          <w:szCs w:val="26"/>
          <w:rtl/>
          <w:lang w:eastAsia="zh-TW"/>
        </w:rPr>
        <w:t>تتجاوز</w:t>
      </w:r>
      <w:r>
        <w:rPr>
          <w:sz w:val="18"/>
          <w:szCs w:val="26"/>
          <w:rtl/>
          <w:lang w:eastAsia="zh-TW"/>
        </w:rPr>
        <w:t xml:space="preserve"> </w:t>
      </w:r>
      <w:r w:rsidRPr="0037421A">
        <w:rPr>
          <w:sz w:val="18"/>
          <w:szCs w:val="26"/>
          <w:rtl/>
          <w:lang w:eastAsia="zh-TW"/>
        </w:rPr>
        <w:t>٠٠٠</w:t>
      </w:r>
      <w:r>
        <w:rPr>
          <w:sz w:val="18"/>
          <w:szCs w:val="26"/>
          <w:rtl/>
          <w:lang w:eastAsia="zh-TW"/>
        </w:rPr>
        <w:t xml:space="preserve"> </w:t>
      </w:r>
      <w:r w:rsidRPr="0037421A">
        <w:rPr>
          <w:sz w:val="18"/>
          <w:szCs w:val="26"/>
          <w:rtl/>
          <w:lang w:eastAsia="zh-TW"/>
        </w:rPr>
        <w:t>٤</w:t>
      </w:r>
      <w:r>
        <w:rPr>
          <w:sz w:val="18"/>
          <w:szCs w:val="26"/>
          <w:rtl/>
          <w:lang w:eastAsia="zh-TW"/>
        </w:rPr>
        <w:t xml:space="preserve"> </w:t>
      </w:r>
      <w:r w:rsidRPr="0037421A">
        <w:rPr>
          <w:sz w:val="18"/>
          <w:szCs w:val="26"/>
          <w:rtl/>
          <w:lang w:eastAsia="zh-TW"/>
        </w:rPr>
        <w:t>يورو</w:t>
      </w:r>
      <w:r w:rsidRPr="0037421A">
        <w:rPr>
          <w:sz w:val="18"/>
          <w:szCs w:val="26"/>
          <w:lang w:eastAsia="zh-TW"/>
        </w:rPr>
        <w:t>.</w:t>
      </w:r>
      <w:r>
        <w:rPr>
          <w:sz w:val="18"/>
          <w:szCs w:val="26"/>
          <w:rtl/>
          <w:lang w:eastAsia="zh-TW"/>
        </w:rPr>
        <w:t xml:space="preserve"> </w:t>
      </w:r>
      <w:r w:rsidRPr="0037421A">
        <w:rPr>
          <w:sz w:val="18"/>
          <w:szCs w:val="26"/>
          <w:rtl/>
          <w:lang w:eastAsia="zh-TW"/>
        </w:rPr>
        <w:t>وفي</w:t>
      </w:r>
      <w:r>
        <w:rPr>
          <w:sz w:val="18"/>
          <w:szCs w:val="26"/>
          <w:rtl/>
          <w:lang w:eastAsia="zh-TW"/>
        </w:rPr>
        <w:t xml:space="preserve"> </w:t>
      </w:r>
      <w:r w:rsidRPr="0037421A">
        <w:rPr>
          <w:sz w:val="18"/>
          <w:szCs w:val="26"/>
          <w:rtl/>
          <w:lang w:eastAsia="zh-TW"/>
        </w:rPr>
        <w:t>القضايا</w:t>
      </w:r>
      <w:r>
        <w:rPr>
          <w:sz w:val="18"/>
          <w:szCs w:val="26"/>
          <w:rtl/>
          <w:lang w:eastAsia="zh-TW"/>
        </w:rPr>
        <w:t xml:space="preserve"> </w:t>
      </w:r>
      <w:r w:rsidRPr="0037421A">
        <w:rPr>
          <w:sz w:val="18"/>
          <w:szCs w:val="26"/>
          <w:rtl/>
          <w:lang w:eastAsia="zh-TW"/>
        </w:rPr>
        <w:t>الجنائية،</w:t>
      </w:r>
      <w:r>
        <w:rPr>
          <w:sz w:val="18"/>
          <w:szCs w:val="26"/>
          <w:rtl/>
          <w:lang w:eastAsia="zh-TW"/>
        </w:rPr>
        <w:t xml:space="preserve"> </w:t>
      </w:r>
      <w:r w:rsidRPr="0037421A">
        <w:rPr>
          <w:sz w:val="18"/>
          <w:szCs w:val="26"/>
          <w:rtl/>
          <w:lang w:eastAsia="zh-TW"/>
        </w:rPr>
        <w:t>تنظر</w:t>
      </w:r>
      <w:r>
        <w:rPr>
          <w:sz w:val="18"/>
          <w:szCs w:val="26"/>
          <w:rtl/>
          <w:lang w:eastAsia="zh-TW"/>
        </w:rPr>
        <w:t xml:space="preserve"> </w:t>
      </w:r>
      <w:r w:rsidRPr="0037421A">
        <w:rPr>
          <w:sz w:val="18"/>
          <w:szCs w:val="26"/>
          <w:rtl/>
          <w:lang w:eastAsia="zh-TW"/>
        </w:rPr>
        <w:t>المحاكم</w:t>
      </w:r>
      <w:r>
        <w:rPr>
          <w:sz w:val="18"/>
          <w:szCs w:val="26"/>
          <w:rtl/>
          <w:lang w:eastAsia="zh-TW"/>
        </w:rPr>
        <w:t xml:space="preserve"> </w:t>
      </w:r>
      <w:r w:rsidRPr="0037421A">
        <w:rPr>
          <w:sz w:val="18"/>
          <w:szCs w:val="26"/>
          <w:rtl/>
          <w:lang w:eastAsia="zh-TW"/>
        </w:rPr>
        <w:t>المحلية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الفصول</w:t>
      </w:r>
      <w:r>
        <w:rPr>
          <w:sz w:val="18"/>
          <w:szCs w:val="26"/>
          <w:rtl/>
          <w:lang w:eastAsia="zh-TW"/>
        </w:rPr>
        <w:t xml:space="preserve"> </w:t>
      </w:r>
      <w:r w:rsidRPr="0037421A">
        <w:rPr>
          <w:sz w:val="18"/>
          <w:szCs w:val="26"/>
          <w:rtl/>
          <w:lang w:eastAsia="zh-TW"/>
        </w:rPr>
        <w:t>الأربعة</w:t>
      </w:r>
      <w:r>
        <w:rPr>
          <w:sz w:val="18"/>
          <w:szCs w:val="26"/>
          <w:rtl/>
          <w:lang w:eastAsia="zh-TW"/>
        </w:rPr>
        <w:t xml:space="preserve"> </w:t>
      </w:r>
      <w:r w:rsidRPr="0037421A">
        <w:rPr>
          <w:sz w:val="18"/>
          <w:szCs w:val="26"/>
          <w:rtl/>
          <w:lang w:eastAsia="zh-TW"/>
        </w:rPr>
        <w:t>الأولى</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المخالفات</w:t>
      </w:r>
      <w:r w:rsidRPr="0037421A">
        <w:rPr>
          <w:sz w:val="18"/>
          <w:szCs w:val="26"/>
          <w:lang w:eastAsia="zh-TW"/>
        </w:rPr>
        <w:t>.</w:t>
      </w:r>
      <w:r>
        <w:rPr>
          <w:sz w:val="18"/>
          <w:szCs w:val="26"/>
          <w:rtl/>
          <w:lang w:eastAsia="zh-TW"/>
        </w:rPr>
        <w:t xml:space="preserve"> </w:t>
      </w:r>
      <w:r w:rsidRPr="0037421A">
        <w:rPr>
          <w:sz w:val="18"/>
          <w:szCs w:val="26"/>
          <w:rtl/>
          <w:lang w:eastAsia="zh-TW"/>
        </w:rPr>
        <w:t>وقد</w:t>
      </w:r>
      <w:r>
        <w:rPr>
          <w:sz w:val="18"/>
          <w:szCs w:val="26"/>
          <w:rtl/>
          <w:lang w:eastAsia="zh-TW"/>
        </w:rPr>
        <w:t xml:space="preserve"> </w:t>
      </w:r>
      <w:r w:rsidRPr="0037421A">
        <w:rPr>
          <w:sz w:val="18"/>
          <w:szCs w:val="26"/>
          <w:rtl/>
          <w:lang w:eastAsia="zh-TW"/>
        </w:rPr>
        <w:t>دعت</w:t>
      </w:r>
      <w:r>
        <w:rPr>
          <w:sz w:val="18"/>
          <w:szCs w:val="26"/>
          <w:rtl/>
          <w:lang w:eastAsia="zh-TW"/>
        </w:rPr>
        <w:t xml:space="preserve"> </w:t>
      </w:r>
      <w:r w:rsidRPr="0037421A">
        <w:rPr>
          <w:sz w:val="18"/>
          <w:szCs w:val="26"/>
          <w:rtl/>
          <w:lang w:eastAsia="zh-TW"/>
        </w:rPr>
        <w:t>المادة</w:t>
      </w:r>
      <w:r>
        <w:rPr>
          <w:sz w:val="18"/>
          <w:szCs w:val="26"/>
          <w:rtl/>
          <w:lang w:eastAsia="zh-TW"/>
        </w:rPr>
        <w:t xml:space="preserve"> </w:t>
      </w:r>
      <w:r w:rsidRPr="0037421A">
        <w:rPr>
          <w:sz w:val="18"/>
          <w:szCs w:val="26"/>
          <w:rtl/>
          <w:lang w:eastAsia="zh-TW"/>
        </w:rPr>
        <w:t>١٥</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قانون</w:t>
      </w:r>
      <w:r>
        <w:rPr>
          <w:sz w:val="18"/>
          <w:szCs w:val="26"/>
          <w:rtl/>
          <w:lang w:eastAsia="zh-TW"/>
        </w:rPr>
        <w:t xml:space="preserve"> </w:t>
      </w:r>
      <w:r w:rsidRPr="0037421A">
        <w:rPr>
          <w:sz w:val="18"/>
          <w:szCs w:val="26"/>
          <w:rtl/>
          <w:lang w:eastAsia="zh-TW"/>
        </w:rPr>
        <w:t>تحديث</w:t>
      </w:r>
      <w:r>
        <w:rPr>
          <w:sz w:val="18"/>
          <w:szCs w:val="26"/>
          <w:rtl/>
          <w:lang w:eastAsia="zh-TW"/>
        </w:rPr>
        <w:t xml:space="preserve"> </w:t>
      </w:r>
      <w:r w:rsidRPr="0037421A">
        <w:rPr>
          <w:sz w:val="18"/>
          <w:szCs w:val="26"/>
          <w:rtl/>
          <w:lang w:eastAsia="zh-TW"/>
        </w:rPr>
        <w:t>النظام</w:t>
      </w:r>
      <w:r>
        <w:rPr>
          <w:sz w:val="18"/>
          <w:szCs w:val="26"/>
          <w:rtl/>
          <w:lang w:eastAsia="zh-TW"/>
        </w:rPr>
        <w:t xml:space="preserve"> </w:t>
      </w:r>
      <w:r w:rsidRPr="0037421A">
        <w:rPr>
          <w:sz w:val="18"/>
          <w:szCs w:val="26"/>
          <w:rtl/>
          <w:lang w:eastAsia="zh-TW"/>
        </w:rPr>
        <w:t>القضائي</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القرن</w:t>
      </w:r>
      <w:r>
        <w:rPr>
          <w:sz w:val="18"/>
          <w:szCs w:val="26"/>
          <w:rtl/>
          <w:lang w:eastAsia="zh-TW"/>
        </w:rPr>
        <w:t xml:space="preserve"> </w:t>
      </w:r>
      <w:r w:rsidRPr="0037421A">
        <w:rPr>
          <w:sz w:val="18"/>
          <w:szCs w:val="26"/>
          <w:rtl/>
          <w:lang w:eastAsia="zh-TW"/>
        </w:rPr>
        <w:t>الحادي</w:t>
      </w:r>
      <w:r>
        <w:rPr>
          <w:sz w:val="18"/>
          <w:szCs w:val="26"/>
          <w:rtl/>
          <w:lang w:eastAsia="zh-TW"/>
        </w:rPr>
        <w:t xml:space="preserve"> </w:t>
      </w:r>
      <w:r w:rsidRPr="0037421A">
        <w:rPr>
          <w:sz w:val="18"/>
          <w:szCs w:val="26"/>
          <w:rtl/>
          <w:lang w:eastAsia="zh-TW"/>
        </w:rPr>
        <w:t>والعشرين</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إلغاء</w:t>
      </w:r>
      <w:r>
        <w:rPr>
          <w:sz w:val="18"/>
          <w:szCs w:val="26"/>
          <w:rtl/>
          <w:lang w:eastAsia="zh-TW"/>
        </w:rPr>
        <w:t xml:space="preserve"> </w:t>
      </w:r>
      <w:r w:rsidRPr="0037421A">
        <w:rPr>
          <w:sz w:val="18"/>
          <w:szCs w:val="26"/>
          <w:rtl/>
          <w:lang w:eastAsia="zh-TW"/>
        </w:rPr>
        <w:t>المحاكم</w:t>
      </w:r>
      <w:r>
        <w:rPr>
          <w:sz w:val="18"/>
          <w:szCs w:val="26"/>
          <w:rtl/>
          <w:lang w:eastAsia="zh-TW"/>
        </w:rPr>
        <w:t xml:space="preserve"> </w:t>
      </w:r>
      <w:r w:rsidRPr="0037421A">
        <w:rPr>
          <w:sz w:val="18"/>
          <w:szCs w:val="26"/>
          <w:rtl/>
          <w:lang w:eastAsia="zh-TW"/>
        </w:rPr>
        <w:t>المحلية</w:t>
      </w:r>
      <w:r>
        <w:rPr>
          <w:sz w:val="18"/>
          <w:szCs w:val="26"/>
          <w:rtl/>
          <w:lang w:eastAsia="zh-TW"/>
        </w:rPr>
        <w:t xml:space="preserve"> </w:t>
      </w:r>
      <w:r w:rsidRPr="0037421A">
        <w:rPr>
          <w:sz w:val="18"/>
          <w:szCs w:val="26"/>
          <w:rtl/>
          <w:lang w:eastAsia="zh-TW"/>
        </w:rPr>
        <w:t>بحلول</w:t>
      </w:r>
      <w:r>
        <w:rPr>
          <w:sz w:val="18"/>
          <w:szCs w:val="26"/>
          <w:rtl/>
          <w:lang w:eastAsia="zh-TW"/>
        </w:rPr>
        <w:t xml:space="preserve"> </w:t>
      </w:r>
      <w:r w:rsidRPr="0037421A">
        <w:rPr>
          <w:sz w:val="18"/>
          <w:szCs w:val="26"/>
          <w:rtl/>
          <w:lang w:eastAsia="zh-TW"/>
        </w:rPr>
        <w:t>١</w:t>
      </w:r>
      <w:r>
        <w:rPr>
          <w:sz w:val="18"/>
          <w:szCs w:val="26"/>
          <w:rtl/>
          <w:lang w:eastAsia="zh-TW"/>
        </w:rPr>
        <w:t xml:space="preserve"> </w:t>
      </w:r>
      <w:r w:rsidRPr="0037421A">
        <w:rPr>
          <w:sz w:val="18"/>
          <w:szCs w:val="26"/>
          <w:rtl/>
          <w:lang w:eastAsia="zh-TW"/>
        </w:rPr>
        <w:t>تموز/يوليه</w:t>
      </w:r>
      <w:r>
        <w:rPr>
          <w:sz w:val="18"/>
          <w:szCs w:val="26"/>
          <w:rtl/>
          <w:lang w:eastAsia="zh-TW"/>
        </w:rPr>
        <w:t xml:space="preserve"> </w:t>
      </w:r>
      <w:r w:rsidRPr="0037421A">
        <w:rPr>
          <w:sz w:val="18"/>
          <w:szCs w:val="26"/>
          <w:rtl/>
          <w:lang w:eastAsia="zh-TW"/>
        </w:rPr>
        <w:t>٢٠١٧</w:t>
      </w:r>
      <w:r w:rsidRPr="0037421A">
        <w:rPr>
          <w:sz w:val="18"/>
          <w:szCs w:val="26"/>
          <w:lang w:eastAsia="zh-TW"/>
        </w:rPr>
        <w:t>.</w:t>
      </w:r>
      <w:r>
        <w:rPr>
          <w:sz w:val="18"/>
          <w:szCs w:val="26"/>
          <w:rtl/>
          <w:lang w:eastAsia="zh-TW"/>
        </w:rPr>
        <w:t xml:space="preserve"> </w:t>
      </w:r>
      <w:r w:rsidRPr="0037421A">
        <w:rPr>
          <w:sz w:val="18"/>
          <w:szCs w:val="26"/>
          <w:rtl/>
          <w:lang w:eastAsia="zh-TW"/>
        </w:rPr>
        <w:t>وحُولت</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هذا</w:t>
      </w:r>
      <w:r>
        <w:rPr>
          <w:sz w:val="18"/>
          <w:szCs w:val="26"/>
          <w:rtl/>
          <w:lang w:eastAsia="zh-TW"/>
        </w:rPr>
        <w:t xml:space="preserve"> </w:t>
      </w:r>
      <w:r w:rsidRPr="0037421A">
        <w:rPr>
          <w:sz w:val="18"/>
          <w:szCs w:val="26"/>
          <w:rtl/>
          <w:lang w:eastAsia="zh-TW"/>
        </w:rPr>
        <w:t>التاريخ</w:t>
      </w:r>
      <w:r>
        <w:rPr>
          <w:sz w:val="18"/>
          <w:szCs w:val="26"/>
          <w:rtl/>
          <w:lang w:eastAsia="zh-TW"/>
        </w:rPr>
        <w:t xml:space="preserve"> </w:t>
      </w:r>
      <w:r w:rsidRPr="0037421A">
        <w:rPr>
          <w:sz w:val="18"/>
          <w:szCs w:val="26"/>
          <w:rtl/>
          <w:lang w:eastAsia="zh-TW"/>
        </w:rPr>
        <w:t>الإجراءات</w:t>
      </w:r>
      <w:r>
        <w:rPr>
          <w:sz w:val="18"/>
          <w:szCs w:val="26"/>
          <w:rtl/>
          <w:lang w:eastAsia="zh-TW"/>
        </w:rPr>
        <w:t xml:space="preserve"> </w:t>
      </w:r>
      <w:r w:rsidRPr="0037421A">
        <w:rPr>
          <w:sz w:val="18"/>
          <w:szCs w:val="26"/>
          <w:rtl/>
          <w:lang w:eastAsia="zh-TW"/>
        </w:rPr>
        <w:t>الجارية</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كانت</w:t>
      </w:r>
      <w:r>
        <w:rPr>
          <w:sz w:val="18"/>
          <w:szCs w:val="26"/>
          <w:rtl/>
          <w:lang w:eastAsia="zh-TW"/>
        </w:rPr>
        <w:t xml:space="preserve"> </w:t>
      </w:r>
      <w:r w:rsidRPr="0037421A">
        <w:rPr>
          <w:sz w:val="18"/>
          <w:szCs w:val="26"/>
          <w:rtl/>
          <w:lang w:eastAsia="zh-TW"/>
        </w:rPr>
        <w:t>معروضة</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المحاكم</w:t>
      </w:r>
      <w:r>
        <w:rPr>
          <w:sz w:val="18"/>
          <w:szCs w:val="26"/>
          <w:rtl/>
          <w:lang w:eastAsia="zh-TW"/>
        </w:rPr>
        <w:t xml:space="preserve"> </w:t>
      </w:r>
      <w:r w:rsidRPr="0037421A">
        <w:rPr>
          <w:sz w:val="18"/>
          <w:szCs w:val="26"/>
          <w:rtl/>
          <w:lang w:eastAsia="zh-TW"/>
        </w:rPr>
        <w:t>المحلية</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المحاكم</w:t>
      </w:r>
      <w:r>
        <w:rPr>
          <w:sz w:val="18"/>
          <w:szCs w:val="26"/>
          <w:rtl/>
          <w:lang w:eastAsia="zh-TW"/>
        </w:rPr>
        <w:t xml:space="preserve"> </w:t>
      </w:r>
      <w:r w:rsidRPr="0037421A">
        <w:rPr>
          <w:sz w:val="18"/>
          <w:szCs w:val="26"/>
          <w:rtl/>
          <w:lang w:eastAsia="zh-TW"/>
        </w:rPr>
        <w:t>الابتدائية</w:t>
      </w:r>
      <w:r>
        <w:rPr>
          <w:sz w:val="18"/>
          <w:szCs w:val="26"/>
          <w:rtl/>
          <w:lang w:eastAsia="zh-TW"/>
        </w:rPr>
        <w:t xml:space="preserve"> </w:t>
      </w:r>
      <w:r w:rsidRPr="0037421A">
        <w:rPr>
          <w:sz w:val="18"/>
          <w:szCs w:val="26"/>
          <w:rtl/>
          <w:lang w:eastAsia="zh-TW"/>
        </w:rPr>
        <w:t>(محاكم</w:t>
      </w:r>
      <w:r>
        <w:rPr>
          <w:sz w:val="18"/>
          <w:szCs w:val="26"/>
          <w:rtl/>
          <w:lang w:eastAsia="zh-TW"/>
        </w:rPr>
        <w:t xml:space="preserve"> </w:t>
      </w:r>
      <w:r w:rsidRPr="0037421A">
        <w:rPr>
          <w:sz w:val="18"/>
          <w:szCs w:val="26"/>
          <w:rtl/>
          <w:lang w:eastAsia="zh-TW"/>
        </w:rPr>
        <w:t>الدرجة</w:t>
      </w:r>
      <w:r>
        <w:rPr>
          <w:sz w:val="18"/>
          <w:szCs w:val="26"/>
          <w:rtl/>
          <w:lang w:eastAsia="zh-TW"/>
        </w:rPr>
        <w:t xml:space="preserve"> </w:t>
      </w:r>
      <w:r w:rsidRPr="0037421A">
        <w:rPr>
          <w:sz w:val="18"/>
          <w:szCs w:val="26"/>
          <w:rtl/>
          <w:lang w:eastAsia="zh-TW"/>
        </w:rPr>
        <w:t>الأولى).</w:t>
      </w:r>
    </w:p>
  </w:footnote>
  <w:footnote w:id="7">
    <w:p w:rsidR="001136FD" w:rsidRPr="0037421A" w:rsidRDefault="001136FD" w:rsidP="00EB0F40">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عرض</w:t>
      </w:r>
      <w:r>
        <w:rPr>
          <w:sz w:val="18"/>
          <w:szCs w:val="26"/>
          <w:rtl/>
          <w:lang w:eastAsia="zh-TW"/>
        </w:rPr>
        <w:t xml:space="preserve"> </w:t>
      </w:r>
      <w:r w:rsidRPr="0037421A">
        <w:rPr>
          <w:sz w:val="18"/>
          <w:szCs w:val="26"/>
          <w:rtl/>
          <w:lang w:eastAsia="zh-TW"/>
        </w:rPr>
        <w:t>البرلمان</w:t>
      </w:r>
      <w:r>
        <w:rPr>
          <w:sz w:val="18"/>
          <w:szCs w:val="26"/>
          <w:rtl/>
          <w:lang w:eastAsia="zh-TW"/>
        </w:rPr>
        <w:t xml:space="preserve"> </w:t>
      </w:r>
      <w:r w:rsidRPr="0037421A">
        <w:rPr>
          <w:sz w:val="18"/>
          <w:szCs w:val="26"/>
          <w:rtl/>
          <w:lang w:eastAsia="zh-TW"/>
        </w:rPr>
        <w:t>القضية</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المجلس</w:t>
      </w:r>
      <w:r>
        <w:rPr>
          <w:sz w:val="18"/>
          <w:szCs w:val="26"/>
          <w:rtl/>
          <w:lang w:eastAsia="zh-TW"/>
        </w:rPr>
        <w:t xml:space="preserve"> </w:t>
      </w:r>
      <w:r w:rsidRPr="0037421A">
        <w:rPr>
          <w:sz w:val="18"/>
          <w:szCs w:val="26"/>
          <w:rtl/>
          <w:lang w:eastAsia="zh-TW"/>
        </w:rPr>
        <w:t>الدستوري</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١٤</w:t>
      </w:r>
      <w:r>
        <w:rPr>
          <w:sz w:val="18"/>
          <w:szCs w:val="26"/>
          <w:rtl/>
          <w:lang w:eastAsia="zh-TW"/>
        </w:rPr>
        <w:t xml:space="preserve"> </w:t>
      </w:r>
      <w:r w:rsidRPr="0037421A">
        <w:rPr>
          <w:sz w:val="18"/>
          <w:szCs w:val="26"/>
          <w:rtl/>
          <w:lang w:eastAsia="zh-TW"/>
        </w:rPr>
        <w:t>أيلول/سبتمبر</w:t>
      </w:r>
      <w:r>
        <w:rPr>
          <w:sz w:val="18"/>
          <w:szCs w:val="26"/>
          <w:rtl/>
          <w:lang w:eastAsia="zh-TW"/>
        </w:rPr>
        <w:t xml:space="preserve"> </w:t>
      </w:r>
      <w:r w:rsidRPr="0037421A">
        <w:rPr>
          <w:sz w:val="18"/>
          <w:szCs w:val="26"/>
          <w:rtl/>
          <w:lang w:eastAsia="zh-TW"/>
        </w:rPr>
        <w:t>٢٠١٠،</w:t>
      </w:r>
      <w:r>
        <w:rPr>
          <w:sz w:val="18"/>
          <w:szCs w:val="26"/>
          <w:rtl/>
          <w:lang w:eastAsia="zh-TW"/>
        </w:rPr>
        <w:t xml:space="preserve"> </w:t>
      </w:r>
      <w:r w:rsidRPr="0037421A">
        <w:rPr>
          <w:sz w:val="18"/>
          <w:szCs w:val="26"/>
          <w:rtl/>
          <w:lang w:eastAsia="zh-TW"/>
        </w:rPr>
        <w:t>وفقاً</w:t>
      </w:r>
      <w:r>
        <w:rPr>
          <w:sz w:val="18"/>
          <w:szCs w:val="26"/>
          <w:rtl/>
          <w:lang w:eastAsia="zh-TW"/>
        </w:rPr>
        <w:t xml:space="preserve"> </w:t>
      </w:r>
      <w:r w:rsidRPr="0037421A">
        <w:rPr>
          <w:sz w:val="18"/>
          <w:szCs w:val="26"/>
          <w:rtl/>
          <w:lang w:eastAsia="zh-TW"/>
        </w:rPr>
        <w:t>لأحكام</w:t>
      </w:r>
      <w:r>
        <w:rPr>
          <w:sz w:val="18"/>
          <w:szCs w:val="26"/>
          <w:rtl/>
          <w:lang w:eastAsia="zh-TW"/>
        </w:rPr>
        <w:t xml:space="preserve"> </w:t>
      </w:r>
      <w:r w:rsidRPr="0037421A">
        <w:rPr>
          <w:sz w:val="18"/>
          <w:szCs w:val="26"/>
          <w:rtl/>
          <w:lang w:eastAsia="zh-TW"/>
        </w:rPr>
        <w:t>المادة</w:t>
      </w:r>
      <w:r>
        <w:rPr>
          <w:sz w:val="18"/>
          <w:szCs w:val="26"/>
          <w:rtl/>
          <w:lang w:eastAsia="zh-TW"/>
        </w:rPr>
        <w:t xml:space="preserve"> </w:t>
      </w:r>
      <w:r w:rsidRPr="0037421A">
        <w:rPr>
          <w:sz w:val="18"/>
          <w:szCs w:val="26"/>
          <w:rtl/>
          <w:lang w:eastAsia="zh-TW"/>
        </w:rPr>
        <w:t>61(2)</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الدستور.</w:t>
      </w:r>
      <w:r>
        <w:rPr>
          <w:sz w:val="18"/>
          <w:szCs w:val="26"/>
          <w:rtl/>
          <w:lang w:eastAsia="zh-TW"/>
        </w:rPr>
        <w:t xml:space="preserve"> </w:t>
      </w:r>
      <w:r w:rsidRPr="0037421A">
        <w:rPr>
          <w:sz w:val="18"/>
          <w:szCs w:val="26"/>
          <w:rtl/>
          <w:lang w:eastAsia="zh-TW"/>
        </w:rPr>
        <w:t>وأعلن</w:t>
      </w:r>
      <w:r>
        <w:rPr>
          <w:sz w:val="18"/>
          <w:szCs w:val="26"/>
          <w:rtl/>
          <w:lang w:eastAsia="zh-TW"/>
        </w:rPr>
        <w:t xml:space="preserve"> </w:t>
      </w:r>
      <w:r w:rsidRPr="0037421A">
        <w:rPr>
          <w:sz w:val="18"/>
          <w:szCs w:val="26"/>
          <w:rtl/>
          <w:lang w:eastAsia="zh-TW"/>
        </w:rPr>
        <w:t>المجلس</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قراره</w:t>
      </w:r>
      <w:r>
        <w:rPr>
          <w:sz w:val="18"/>
          <w:szCs w:val="26"/>
          <w:rtl/>
          <w:lang w:eastAsia="zh-TW"/>
        </w:rPr>
        <w:t xml:space="preserve"> </w:t>
      </w:r>
      <w:r w:rsidRPr="0037421A">
        <w:rPr>
          <w:sz w:val="18"/>
          <w:szCs w:val="26"/>
          <w:rtl/>
          <w:lang w:eastAsia="zh-TW"/>
        </w:rPr>
        <w:t>الصادر</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٧</w:t>
      </w:r>
      <w:r>
        <w:rPr>
          <w:sz w:val="18"/>
          <w:szCs w:val="26"/>
          <w:rtl/>
          <w:lang w:eastAsia="zh-TW"/>
        </w:rPr>
        <w:t xml:space="preserve"> </w:t>
      </w:r>
      <w:r w:rsidRPr="0037421A">
        <w:rPr>
          <w:sz w:val="18"/>
          <w:szCs w:val="26"/>
          <w:rtl/>
          <w:lang w:eastAsia="zh-TW"/>
        </w:rPr>
        <w:t>تشرين</w:t>
      </w:r>
      <w:r>
        <w:rPr>
          <w:sz w:val="18"/>
          <w:szCs w:val="26"/>
          <w:rtl/>
          <w:lang w:eastAsia="zh-TW"/>
        </w:rPr>
        <w:t xml:space="preserve"> </w:t>
      </w:r>
      <w:r w:rsidRPr="0037421A">
        <w:rPr>
          <w:sz w:val="18"/>
          <w:szCs w:val="26"/>
          <w:rtl/>
          <w:lang w:eastAsia="zh-TW"/>
        </w:rPr>
        <w:t>الأول/أكتوبر</w:t>
      </w:r>
      <w:r>
        <w:rPr>
          <w:sz w:val="18"/>
          <w:szCs w:val="26"/>
          <w:rtl/>
          <w:lang w:eastAsia="zh-TW"/>
        </w:rPr>
        <w:t xml:space="preserve"> </w:t>
      </w:r>
      <w:r w:rsidRPr="0037421A">
        <w:rPr>
          <w:sz w:val="18"/>
          <w:szCs w:val="26"/>
          <w:rtl/>
          <w:lang w:eastAsia="zh-TW"/>
        </w:rPr>
        <w:t>٢٠١٠</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القانون</w:t>
      </w:r>
      <w:r>
        <w:rPr>
          <w:sz w:val="18"/>
          <w:szCs w:val="26"/>
          <w:rtl/>
          <w:lang w:eastAsia="zh-TW"/>
        </w:rPr>
        <w:t xml:space="preserve"> </w:t>
      </w:r>
      <w:r w:rsidRPr="0037421A">
        <w:rPr>
          <w:sz w:val="18"/>
          <w:szCs w:val="26"/>
          <w:rtl/>
          <w:lang w:eastAsia="zh-TW"/>
        </w:rPr>
        <w:t>متفق</w:t>
      </w:r>
      <w:r>
        <w:rPr>
          <w:sz w:val="18"/>
          <w:szCs w:val="26"/>
          <w:rtl/>
          <w:lang w:eastAsia="zh-TW"/>
        </w:rPr>
        <w:t xml:space="preserve"> </w:t>
      </w:r>
      <w:r w:rsidRPr="0037421A">
        <w:rPr>
          <w:sz w:val="18"/>
          <w:szCs w:val="26"/>
          <w:rtl/>
          <w:lang w:eastAsia="zh-TW"/>
        </w:rPr>
        <w:t>مع</w:t>
      </w:r>
      <w:r>
        <w:rPr>
          <w:sz w:val="18"/>
          <w:szCs w:val="26"/>
          <w:rtl/>
          <w:lang w:eastAsia="zh-TW"/>
        </w:rPr>
        <w:t xml:space="preserve"> </w:t>
      </w:r>
      <w:r w:rsidRPr="0037421A">
        <w:rPr>
          <w:sz w:val="18"/>
          <w:szCs w:val="26"/>
          <w:rtl/>
          <w:lang w:eastAsia="zh-TW"/>
        </w:rPr>
        <w:t>أحكام</w:t>
      </w:r>
      <w:r>
        <w:rPr>
          <w:sz w:val="18"/>
          <w:szCs w:val="26"/>
          <w:rtl/>
          <w:lang w:eastAsia="zh-TW"/>
        </w:rPr>
        <w:t xml:space="preserve"> </w:t>
      </w:r>
      <w:r w:rsidRPr="0037421A">
        <w:rPr>
          <w:sz w:val="18"/>
          <w:szCs w:val="26"/>
          <w:rtl/>
          <w:lang w:eastAsia="zh-TW"/>
        </w:rPr>
        <w:t>الدستور،</w:t>
      </w:r>
      <w:r>
        <w:rPr>
          <w:sz w:val="18"/>
          <w:szCs w:val="26"/>
          <w:rtl/>
          <w:lang w:eastAsia="zh-TW"/>
        </w:rPr>
        <w:t xml:space="preserve"> </w:t>
      </w:r>
      <w:r w:rsidRPr="0037421A">
        <w:rPr>
          <w:sz w:val="18"/>
          <w:szCs w:val="26"/>
          <w:rtl/>
          <w:lang w:eastAsia="zh-TW"/>
        </w:rPr>
        <w:t>مع</w:t>
      </w:r>
      <w:r>
        <w:rPr>
          <w:sz w:val="18"/>
          <w:szCs w:val="26"/>
          <w:rtl/>
          <w:lang w:eastAsia="zh-TW"/>
        </w:rPr>
        <w:t xml:space="preserve"> </w:t>
      </w:r>
      <w:r w:rsidRPr="0037421A">
        <w:rPr>
          <w:sz w:val="18"/>
          <w:szCs w:val="26"/>
          <w:rtl/>
          <w:lang w:eastAsia="zh-TW"/>
        </w:rPr>
        <w:t>إبداء</w:t>
      </w:r>
      <w:r>
        <w:rPr>
          <w:sz w:val="18"/>
          <w:szCs w:val="26"/>
          <w:rtl/>
          <w:lang w:eastAsia="zh-TW"/>
        </w:rPr>
        <w:t xml:space="preserve"> </w:t>
      </w:r>
      <w:r w:rsidRPr="0037421A">
        <w:rPr>
          <w:sz w:val="18"/>
          <w:szCs w:val="26"/>
          <w:rtl/>
          <w:lang w:eastAsia="zh-TW"/>
        </w:rPr>
        <w:t>تحفظ</w:t>
      </w:r>
      <w:r>
        <w:rPr>
          <w:sz w:val="18"/>
          <w:szCs w:val="26"/>
          <w:rtl/>
          <w:lang w:eastAsia="zh-TW"/>
        </w:rPr>
        <w:t xml:space="preserve"> </w:t>
      </w:r>
      <w:r w:rsidRPr="0037421A">
        <w:rPr>
          <w:sz w:val="18"/>
          <w:szCs w:val="26"/>
          <w:rtl/>
          <w:lang w:eastAsia="zh-TW"/>
        </w:rPr>
        <w:t>بشأن</w:t>
      </w:r>
      <w:r>
        <w:rPr>
          <w:sz w:val="18"/>
          <w:szCs w:val="26"/>
          <w:rtl/>
          <w:lang w:eastAsia="zh-TW"/>
        </w:rPr>
        <w:t xml:space="preserve"> </w:t>
      </w:r>
      <w:r w:rsidRPr="0037421A">
        <w:rPr>
          <w:sz w:val="18"/>
          <w:szCs w:val="26"/>
          <w:rtl/>
          <w:lang w:eastAsia="zh-TW"/>
        </w:rPr>
        <w:t>أماكن</w:t>
      </w:r>
      <w:r>
        <w:rPr>
          <w:sz w:val="18"/>
          <w:szCs w:val="26"/>
          <w:rtl/>
          <w:lang w:eastAsia="zh-TW"/>
        </w:rPr>
        <w:t xml:space="preserve"> </w:t>
      </w:r>
      <w:r w:rsidRPr="0037421A">
        <w:rPr>
          <w:sz w:val="18"/>
          <w:szCs w:val="26"/>
          <w:rtl/>
          <w:lang w:eastAsia="zh-TW"/>
        </w:rPr>
        <w:t>العبادة</w:t>
      </w:r>
      <w:r>
        <w:rPr>
          <w:sz w:val="18"/>
          <w:szCs w:val="26"/>
          <w:rtl/>
          <w:lang w:eastAsia="zh-TW"/>
        </w:rPr>
        <w:t xml:space="preserve"> </w:t>
      </w:r>
      <w:r w:rsidRPr="0037421A">
        <w:rPr>
          <w:sz w:val="18"/>
          <w:szCs w:val="26"/>
          <w:rtl/>
          <w:lang w:eastAsia="zh-TW"/>
        </w:rPr>
        <w:t>المفتوحة</w:t>
      </w:r>
      <w:r>
        <w:rPr>
          <w:sz w:val="18"/>
          <w:szCs w:val="26"/>
          <w:rtl/>
          <w:lang w:eastAsia="zh-TW"/>
        </w:rPr>
        <w:t xml:space="preserve"> </w:t>
      </w:r>
      <w:r w:rsidRPr="0037421A">
        <w:rPr>
          <w:sz w:val="18"/>
          <w:szCs w:val="26"/>
          <w:rtl/>
          <w:lang w:eastAsia="zh-TW"/>
        </w:rPr>
        <w:t>للجمهور.</w:t>
      </w:r>
      <w:r>
        <w:rPr>
          <w:sz w:val="18"/>
          <w:szCs w:val="26"/>
          <w:rtl/>
          <w:lang w:eastAsia="zh-TW"/>
        </w:rPr>
        <w:t xml:space="preserve"> </w:t>
      </w:r>
    </w:p>
  </w:footnote>
  <w:footnote w:id="8">
    <w:p w:rsidR="001136FD" w:rsidRPr="0037421A" w:rsidRDefault="001136FD" w:rsidP="00D15D5D">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قضية</w:t>
      </w:r>
      <w:r>
        <w:rPr>
          <w:sz w:val="18"/>
          <w:szCs w:val="26"/>
          <w:rtl/>
          <w:lang w:eastAsia="zh-TW"/>
        </w:rPr>
        <w:t xml:space="preserve"> </w:t>
      </w:r>
      <w:r w:rsidRPr="000B09B9">
        <w:rPr>
          <w:i/>
          <w:iCs/>
          <w:sz w:val="18"/>
          <w:szCs w:val="26"/>
          <w:rtl/>
          <w:lang w:eastAsia="zh-TW"/>
        </w:rPr>
        <w:t>ر. سينغ ضد فرنسا</w:t>
      </w:r>
      <w:r w:rsidR="009A1C3F">
        <w:rPr>
          <w:rFonts w:hint="cs"/>
          <w:sz w:val="18"/>
          <w:szCs w:val="26"/>
          <w:rtl/>
          <w:lang w:eastAsia="zh-TW"/>
        </w:rPr>
        <w:t xml:space="preserve"> (</w:t>
      </w:r>
      <w:r w:rsidR="009A1C3F" w:rsidRPr="0037421A">
        <w:rPr>
          <w:sz w:val="18"/>
          <w:szCs w:val="26"/>
          <w:lang w:eastAsia="zh-TW"/>
        </w:rPr>
        <w:t>CCPR/C/102/D/1876/2009</w:t>
      </w:r>
      <w:r w:rsid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8-4</w:t>
      </w:r>
      <w:r w:rsidRPr="0037421A">
        <w:rPr>
          <w:sz w:val="18"/>
          <w:szCs w:val="26"/>
          <w:lang w:eastAsia="zh-TW"/>
        </w:rPr>
        <w:t>.</w:t>
      </w:r>
      <w:r>
        <w:rPr>
          <w:sz w:val="18"/>
          <w:szCs w:val="26"/>
          <w:rtl/>
          <w:lang w:eastAsia="zh-TW"/>
        </w:rPr>
        <w:t xml:space="preserve"> </w:t>
      </w:r>
      <w:r w:rsidR="0061692D">
        <w:rPr>
          <w:sz w:val="18"/>
          <w:szCs w:val="26"/>
          <w:rtl/>
          <w:lang w:eastAsia="zh-TW"/>
        </w:rPr>
        <w:t>و</w:t>
      </w:r>
      <w:r w:rsidR="0061692D">
        <w:rPr>
          <w:rFonts w:hint="cs"/>
          <w:sz w:val="18"/>
          <w:szCs w:val="26"/>
          <w:rtl/>
          <w:lang w:eastAsia="zh-TW"/>
        </w:rPr>
        <w:t>ت</w:t>
      </w:r>
      <w:r w:rsidRPr="0037421A">
        <w:rPr>
          <w:sz w:val="18"/>
          <w:szCs w:val="26"/>
          <w:rtl/>
          <w:lang w:eastAsia="zh-TW"/>
        </w:rPr>
        <w:t>شير</w:t>
      </w:r>
      <w:r>
        <w:rPr>
          <w:sz w:val="18"/>
          <w:szCs w:val="26"/>
          <w:rtl/>
          <w:lang w:eastAsia="zh-TW"/>
        </w:rPr>
        <w:t xml:space="preserve"> </w:t>
      </w:r>
      <w:r w:rsidRPr="0037421A">
        <w:rPr>
          <w:sz w:val="18"/>
          <w:szCs w:val="26"/>
          <w:rtl/>
          <w:lang w:eastAsia="zh-TW"/>
        </w:rPr>
        <w:t>صاحب</w:t>
      </w:r>
      <w:r w:rsidR="0061692D">
        <w:rPr>
          <w:rFonts w:hint="cs"/>
          <w:sz w:val="18"/>
          <w:szCs w:val="26"/>
          <w:rtl/>
          <w:lang w:eastAsia="zh-TW"/>
        </w:rPr>
        <w:t>ة</w:t>
      </w:r>
      <w:r>
        <w:rPr>
          <w:sz w:val="18"/>
          <w:szCs w:val="26"/>
          <w:rtl/>
          <w:lang w:eastAsia="zh-TW"/>
        </w:rPr>
        <w:t xml:space="preserve"> </w:t>
      </w:r>
      <w:r w:rsidRPr="0037421A">
        <w:rPr>
          <w:sz w:val="18"/>
          <w:szCs w:val="26"/>
          <w:rtl/>
          <w:lang w:eastAsia="zh-TW"/>
        </w:rPr>
        <w:t>البلاغ</w:t>
      </w:r>
      <w:r>
        <w:rPr>
          <w:sz w:val="18"/>
          <w:szCs w:val="26"/>
          <w:rtl/>
          <w:lang w:eastAsia="zh-TW"/>
        </w:rPr>
        <w:t xml:space="preserve"> </w:t>
      </w:r>
      <w:r w:rsidRPr="0037421A">
        <w:rPr>
          <w:sz w:val="18"/>
          <w:szCs w:val="26"/>
          <w:rtl/>
          <w:lang w:eastAsia="zh-TW"/>
        </w:rPr>
        <w:t>أيض</w:t>
      </w:r>
      <w:r w:rsidR="009A1C3F">
        <w:rPr>
          <w:sz w:val="18"/>
          <w:szCs w:val="26"/>
          <w:rtl/>
          <w:lang w:eastAsia="zh-TW"/>
        </w:rPr>
        <w:t xml:space="preserve">اً </w:t>
      </w:r>
      <w:r w:rsidRPr="0037421A">
        <w:rPr>
          <w:sz w:val="18"/>
          <w:szCs w:val="26"/>
          <w:rtl/>
          <w:lang w:eastAsia="zh-TW"/>
        </w:rPr>
        <w:t>إلى</w:t>
      </w:r>
      <w:r>
        <w:rPr>
          <w:sz w:val="18"/>
          <w:szCs w:val="26"/>
          <w:rtl/>
          <w:lang w:eastAsia="zh-TW"/>
        </w:rPr>
        <w:t xml:space="preserve"> </w:t>
      </w:r>
      <w:r w:rsidRPr="0037421A">
        <w:rPr>
          <w:sz w:val="18"/>
          <w:szCs w:val="26"/>
          <w:rtl/>
          <w:lang w:eastAsia="zh-TW"/>
        </w:rPr>
        <w:t>قضيتي</w:t>
      </w:r>
      <w:r>
        <w:rPr>
          <w:sz w:val="18"/>
          <w:szCs w:val="26"/>
          <w:rtl/>
          <w:lang w:eastAsia="zh-TW"/>
        </w:rPr>
        <w:t xml:space="preserve"> </w:t>
      </w:r>
      <w:r w:rsidRPr="000B09B9">
        <w:rPr>
          <w:i/>
          <w:iCs/>
          <w:sz w:val="18"/>
          <w:szCs w:val="26"/>
          <w:rtl/>
          <w:lang w:eastAsia="zh-TW"/>
        </w:rPr>
        <w:t>ب. سينغ ضد فرنسا</w:t>
      </w:r>
      <w:r w:rsidR="009A1C3F">
        <w:rPr>
          <w:rFonts w:hint="cs"/>
          <w:sz w:val="18"/>
          <w:szCs w:val="26"/>
          <w:rtl/>
          <w:lang w:eastAsia="zh-TW"/>
        </w:rPr>
        <w:t xml:space="preserve"> (</w:t>
      </w:r>
      <w:r w:rsidR="009A1C3F" w:rsidRPr="0037421A">
        <w:rPr>
          <w:sz w:val="18"/>
          <w:szCs w:val="26"/>
          <w:lang w:eastAsia="zh-TW"/>
        </w:rPr>
        <w:t>CCPR/C/106/D/1852/2008</w:t>
      </w:r>
      <w:r w:rsid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8-7؛</w:t>
      </w:r>
      <w:r>
        <w:rPr>
          <w:sz w:val="18"/>
          <w:szCs w:val="26"/>
          <w:rtl/>
          <w:lang w:eastAsia="zh-TW"/>
        </w:rPr>
        <w:t xml:space="preserve"> </w:t>
      </w:r>
      <w:r w:rsidR="00D15D5D">
        <w:rPr>
          <w:sz w:val="18"/>
          <w:szCs w:val="26"/>
          <w:rtl/>
          <w:lang w:eastAsia="zh-TW"/>
        </w:rPr>
        <w:t>و</w:t>
      </w:r>
      <w:r w:rsidRPr="000B09B9">
        <w:rPr>
          <w:i/>
          <w:iCs/>
          <w:sz w:val="18"/>
          <w:szCs w:val="26"/>
          <w:rtl/>
          <w:lang w:eastAsia="zh-TW"/>
        </w:rPr>
        <w:t>س.</w:t>
      </w:r>
      <w:r w:rsidR="000B09B9">
        <w:rPr>
          <w:rFonts w:hint="cs"/>
          <w:i/>
          <w:iCs/>
          <w:sz w:val="18"/>
          <w:szCs w:val="26"/>
          <w:rtl/>
          <w:lang w:eastAsia="zh-TW"/>
        </w:rPr>
        <w:t xml:space="preserve"> </w:t>
      </w:r>
      <w:r w:rsidRPr="000B09B9">
        <w:rPr>
          <w:i/>
          <w:iCs/>
          <w:sz w:val="18"/>
          <w:szCs w:val="26"/>
          <w:rtl/>
          <w:lang w:eastAsia="zh-TW"/>
        </w:rPr>
        <w:t>م. سينغ ضد فرنسا</w:t>
      </w:r>
      <w:r>
        <w:rPr>
          <w:sz w:val="18"/>
          <w:szCs w:val="26"/>
          <w:rtl/>
          <w:lang w:eastAsia="zh-TW"/>
        </w:rPr>
        <w:t xml:space="preserve"> </w:t>
      </w:r>
      <w:r w:rsidR="009A1C3F">
        <w:rPr>
          <w:rFonts w:hint="cs"/>
          <w:sz w:val="18"/>
          <w:szCs w:val="26"/>
          <w:rtl/>
          <w:lang w:eastAsia="zh-TW"/>
        </w:rPr>
        <w:t>(</w:t>
      </w:r>
      <w:r w:rsidR="009A1C3F" w:rsidRPr="0037421A">
        <w:rPr>
          <w:sz w:val="18"/>
          <w:szCs w:val="26"/>
          <w:lang w:eastAsia="zh-TW"/>
        </w:rPr>
        <w:t>CCPR/C/108/D/1928/2010</w:t>
      </w:r>
      <w:r w:rsid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9-5.</w:t>
      </w:r>
      <w:r>
        <w:rPr>
          <w:sz w:val="18"/>
          <w:szCs w:val="26"/>
          <w:rtl/>
          <w:lang w:eastAsia="zh-TW"/>
        </w:rPr>
        <w:t xml:space="preserve"> </w:t>
      </w:r>
    </w:p>
  </w:footnote>
  <w:footnote w:id="9">
    <w:p w:rsidR="001136FD" w:rsidRPr="0037421A" w:rsidRDefault="001136FD" w:rsidP="00F7419A">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قرار</w:t>
      </w:r>
      <w:r>
        <w:rPr>
          <w:sz w:val="18"/>
          <w:szCs w:val="26"/>
          <w:rtl/>
          <w:lang w:eastAsia="zh-TW"/>
        </w:rPr>
        <w:t xml:space="preserve"> </w:t>
      </w:r>
      <w:r w:rsidRPr="0037421A">
        <w:rPr>
          <w:sz w:val="18"/>
          <w:szCs w:val="26"/>
          <w:rtl/>
          <w:lang w:eastAsia="zh-TW"/>
        </w:rPr>
        <w:t>الجمعية</w:t>
      </w:r>
      <w:r>
        <w:rPr>
          <w:sz w:val="18"/>
          <w:szCs w:val="26"/>
          <w:rtl/>
          <w:lang w:eastAsia="zh-TW"/>
        </w:rPr>
        <w:t xml:space="preserve"> </w:t>
      </w:r>
      <w:r w:rsidRPr="0037421A">
        <w:rPr>
          <w:sz w:val="18"/>
          <w:szCs w:val="26"/>
          <w:rtl/>
          <w:lang w:eastAsia="zh-TW"/>
        </w:rPr>
        <w:t>الوطنية</w:t>
      </w:r>
      <w:r>
        <w:rPr>
          <w:sz w:val="18"/>
          <w:szCs w:val="26"/>
          <w:rtl/>
          <w:lang w:eastAsia="zh-TW"/>
        </w:rPr>
        <w:t xml:space="preserve"> </w:t>
      </w:r>
      <w:r w:rsidRPr="0037421A">
        <w:rPr>
          <w:sz w:val="18"/>
          <w:szCs w:val="26"/>
          <w:rtl/>
          <w:lang w:eastAsia="zh-TW"/>
        </w:rPr>
        <w:t>المؤرخ</w:t>
      </w:r>
      <w:r>
        <w:rPr>
          <w:sz w:val="18"/>
          <w:szCs w:val="26"/>
          <w:rtl/>
          <w:lang w:eastAsia="zh-TW"/>
        </w:rPr>
        <w:t xml:space="preserve"> </w:t>
      </w:r>
      <w:r w:rsidRPr="0037421A">
        <w:rPr>
          <w:sz w:val="18"/>
          <w:szCs w:val="26"/>
          <w:rtl/>
          <w:lang w:eastAsia="zh-TW"/>
        </w:rPr>
        <w:t>١١</w:t>
      </w:r>
      <w:r>
        <w:rPr>
          <w:sz w:val="18"/>
          <w:szCs w:val="26"/>
          <w:rtl/>
          <w:lang w:eastAsia="zh-TW"/>
        </w:rPr>
        <w:t xml:space="preserve"> </w:t>
      </w:r>
      <w:r w:rsidRPr="0037421A">
        <w:rPr>
          <w:sz w:val="18"/>
          <w:szCs w:val="26"/>
          <w:rtl/>
          <w:lang w:eastAsia="zh-TW"/>
        </w:rPr>
        <w:t>أيار/مايو</w:t>
      </w:r>
      <w:r>
        <w:rPr>
          <w:sz w:val="18"/>
          <w:szCs w:val="26"/>
          <w:rtl/>
          <w:lang w:eastAsia="zh-TW"/>
        </w:rPr>
        <w:t xml:space="preserve"> </w:t>
      </w:r>
      <w:r w:rsidRPr="0037421A">
        <w:rPr>
          <w:sz w:val="18"/>
          <w:szCs w:val="26"/>
          <w:rtl/>
          <w:lang w:eastAsia="zh-TW"/>
        </w:rPr>
        <w:t>٢٠١٠</w:t>
      </w:r>
      <w:r>
        <w:rPr>
          <w:sz w:val="18"/>
          <w:szCs w:val="26"/>
          <w:rtl/>
          <w:lang w:eastAsia="zh-TW"/>
        </w:rPr>
        <w:t xml:space="preserve"> </w:t>
      </w:r>
      <w:r w:rsidRPr="0037421A">
        <w:rPr>
          <w:sz w:val="18"/>
          <w:szCs w:val="26"/>
          <w:rtl/>
          <w:lang w:eastAsia="zh-TW"/>
        </w:rPr>
        <w:t>بشأن</w:t>
      </w:r>
      <w:r>
        <w:rPr>
          <w:sz w:val="18"/>
          <w:szCs w:val="26"/>
          <w:rtl/>
          <w:lang w:eastAsia="zh-TW"/>
        </w:rPr>
        <w:t xml:space="preserve"> </w:t>
      </w:r>
      <w:r w:rsidRPr="0037421A">
        <w:rPr>
          <w:sz w:val="18"/>
          <w:szCs w:val="26"/>
          <w:rtl/>
          <w:lang w:eastAsia="zh-TW"/>
        </w:rPr>
        <w:t>الالتزام</w:t>
      </w:r>
      <w:r>
        <w:rPr>
          <w:sz w:val="18"/>
          <w:szCs w:val="26"/>
          <w:rtl/>
          <w:lang w:eastAsia="zh-TW"/>
        </w:rPr>
        <w:t xml:space="preserve"> </w:t>
      </w:r>
      <w:r w:rsidRPr="0037421A">
        <w:rPr>
          <w:sz w:val="18"/>
          <w:szCs w:val="26"/>
          <w:rtl/>
          <w:lang w:eastAsia="zh-TW"/>
        </w:rPr>
        <w:t>بدعم</w:t>
      </w:r>
      <w:r>
        <w:rPr>
          <w:sz w:val="18"/>
          <w:szCs w:val="26"/>
          <w:rtl/>
          <w:lang w:eastAsia="zh-TW"/>
        </w:rPr>
        <w:t xml:space="preserve"> </w:t>
      </w:r>
      <w:r w:rsidRPr="0037421A">
        <w:rPr>
          <w:sz w:val="18"/>
          <w:szCs w:val="26"/>
          <w:rtl/>
          <w:lang w:eastAsia="zh-TW"/>
        </w:rPr>
        <w:t>قيم</w:t>
      </w:r>
      <w:r>
        <w:rPr>
          <w:sz w:val="18"/>
          <w:szCs w:val="26"/>
          <w:rtl/>
          <w:lang w:eastAsia="zh-TW"/>
        </w:rPr>
        <w:t xml:space="preserve"> </w:t>
      </w:r>
      <w:r w:rsidRPr="0037421A">
        <w:rPr>
          <w:sz w:val="18"/>
          <w:szCs w:val="26"/>
          <w:rtl/>
          <w:lang w:eastAsia="zh-TW"/>
        </w:rPr>
        <w:t>الجمهورية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مواجهة</w:t>
      </w:r>
      <w:r>
        <w:rPr>
          <w:sz w:val="18"/>
          <w:szCs w:val="26"/>
          <w:rtl/>
          <w:lang w:eastAsia="zh-TW"/>
        </w:rPr>
        <w:t xml:space="preserve"> </w:t>
      </w:r>
      <w:r w:rsidRPr="0037421A">
        <w:rPr>
          <w:sz w:val="18"/>
          <w:szCs w:val="26"/>
          <w:rtl/>
          <w:lang w:eastAsia="zh-TW"/>
        </w:rPr>
        <w:t>نشوء</w:t>
      </w:r>
      <w:r>
        <w:rPr>
          <w:sz w:val="18"/>
          <w:szCs w:val="26"/>
          <w:rtl/>
          <w:lang w:eastAsia="zh-TW"/>
        </w:rPr>
        <w:t xml:space="preserve"> </w:t>
      </w:r>
      <w:r w:rsidRPr="0037421A">
        <w:rPr>
          <w:sz w:val="18"/>
          <w:szCs w:val="26"/>
          <w:rtl/>
          <w:lang w:eastAsia="zh-TW"/>
        </w:rPr>
        <w:t>الممارسات</w:t>
      </w:r>
      <w:r>
        <w:rPr>
          <w:sz w:val="18"/>
          <w:szCs w:val="26"/>
          <w:rtl/>
          <w:lang w:eastAsia="zh-TW"/>
        </w:rPr>
        <w:t xml:space="preserve"> </w:t>
      </w:r>
      <w:r w:rsidRPr="0037421A">
        <w:rPr>
          <w:sz w:val="18"/>
          <w:szCs w:val="26"/>
          <w:rtl/>
          <w:lang w:eastAsia="zh-TW"/>
        </w:rPr>
        <w:t>الأصولية</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تهددها.</w:t>
      </w:r>
      <w:r>
        <w:rPr>
          <w:sz w:val="18"/>
          <w:szCs w:val="26"/>
          <w:rtl/>
          <w:lang w:eastAsia="zh-TW"/>
        </w:rPr>
        <w:t xml:space="preserve"> </w:t>
      </w:r>
    </w:p>
  </w:footnote>
  <w:footnote w:id="10">
    <w:p w:rsidR="001136FD" w:rsidRPr="0037421A" w:rsidRDefault="001136FD" w:rsidP="00F7419A">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تشير</w:t>
      </w:r>
      <w:r>
        <w:rPr>
          <w:sz w:val="18"/>
          <w:szCs w:val="26"/>
          <w:rtl/>
          <w:lang w:eastAsia="zh-TW"/>
        </w:rPr>
        <w:t xml:space="preserve"> </w:t>
      </w:r>
      <w:r w:rsidRPr="0037421A">
        <w:rPr>
          <w:sz w:val="18"/>
          <w:szCs w:val="26"/>
          <w:rtl/>
          <w:lang w:eastAsia="zh-TW"/>
        </w:rPr>
        <w:t>صاحبة</w:t>
      </w:r>
      <w:r>
        <w:rPr>
          <w:sz w:val="18"/>
          <w:szCs w:val="26"/>
          <w:rtl/>
          <w:lang w:eastAsia="zh-TW"/>
        </w:rPr>
        <w:t xml:space="preserve"> </w:t>
      </w:r>
      <w:r w:rsidRPr="0037421A">
        <w:rPr>
          <w:sz w:val="18"/>
          <w:szCs w:val="26"/>
          <w:rtl/>
          <w:lang w:eastAsia="zh-TW"/>
        </w:rPr>
        <w:t>البلاغ</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نيكولا</w:t>
      </w:r>
      <w:r>
        <w:rPr>
          <w:sz w:val="18"/>
          <w:szCs w:val="26"/>
          <w:rtl/>
          <w:lang w:eastAsia="zh-TW"/>
        </w:rPr>
        <w:t xml:space="preserve"> </w:t>
      </w:r>
      <w:r w:rsidRPr="0037421A">
        <w:rPr>
          <w:sz w:val="18"/>
          <w:szCs w:val="26"/>
          <w:rtl/>
          <w:lang w:eastAsia="zh-TW"/>
        </w:rPr>
        <w:t>ساركوزي،</w:t>
      </w:r>
      <w:r>
        <w:rPr>
          <w:sz w:val="18"/>
          <w:szCs w:val="26"/>
          <w:rtl/>
          <w:lang w:eastAsia="zh-TW"/>
        </w:rPr>
        <w:t xml:space="preserve"> </w:t>
      </w:r>
      <w:r w:rsidRPr="0037421A">
        <w:rPr>
          <w:sz w:val="18"/>
          <w:szCs w:val="26"/>
          <w:rtl/>
          <w:lang w:eastAsia="zh-TW"/>
        </w:rPr>
        <w:t>رئيس</w:t>
      </w:r>
      <w:r>
        <w:rPr>
          <w:sz w:val="18"/>
          <w:szCs w:val="26"/>
          <w:rtl/>
          <w:lang w:eastAsia="zh-TW"/>
        </w:rPr>
        <w:t xml:space="preserve"> </w:t>
      </w:r>
      <w:r w:rsidRPr="0037421A">
        <w:rPr>
          <w:sz w:val="18"/>
          <w:szCs w:val="26"/>
          <w:rtl/>
          <w:lang w:eastAsia="zh-TW"/>
        </w:rPr>
        <w:t>الجمهورية</w:t>
      </w:r>
      <w:r>
        <w:rPr>
          <w:sz w:val="18"/>
          <w:szCs w:val="26"/>
          <w:rtl/>
          <w:lang w:eastAsia="zh-TW"/>
        </w:rPr>
        <w:t xml:space="preserve"> </w:t>
      </w:r>
      <w:r w:rsidRPr="0037421A">
        <w:rPr>
          <w:sz w:val="18"/>
          <w:szCs w:val="26"/>
          <w:rtl/>
          <w:lang w:eastAsia="zh-TW"/>
        </w:rPr>
        <w:t>آنذاك،</w:t>
      </w:r>
      <w:r>
        <w:rPr>
          <w:sz w:val="18"/>
          <w:szCs w:val="26"/>
          <w:rtl/>
          <w:lang w:eastAsia="zh-TW"/>
        </w:rPr>
        <w:t xml:space="preserve"> </w:t>
      </w:r>
      <w:r w:rsidRPr="0037421A">
        <w:rPr>
          <w:sz w:val="18"/>
          <w:szCs w:val="26"/>
          <w:rtl/>
          <w:lang w:eastAsia="zh-TW"/>
        </w:rPr>
        <w:t>ذكر</w:t>
      </w:r>
      <w:r>
        <w:rPr>
          <w:sz w:val="18"/>
          <w:szCs w:val="26"/>
          <w:rtl/>
          <w:lang w:eastAsia="zh-TW"/>
        </w:rPr>
        <w:t xml:space="preserve"> </w:t>
      </w:r>
      <w:r w:rsidRPr="0037421A">
        <w:rPr>
          <w:sz w:val="18"/>
          <w:szCs w:val="26"/>
          <w:rtl/>
          <w:lang w:eastAsia="zh-TW"/>
        </w:rPr>
        <w:t>أمام</w:t>
      </w:r>
      <w:r>
        <w:rPr>
          <w:sz w:val="18"/>
          <w:szCs w:val="26"/>
          <w:rtl/>
          <w:lang w:eastAsia="zh-TW"/>
        </w:rPr>
        <w:t xml:space="preserve"> </w:t>
      </w:r>
      <w:r w:rsidRPr="0037421A">
        <w:rPr>
          <w:sz w:val="18"/>
          <w:szCs w:val="26"/>
          <w:rtl/>
          <w:lang w:eastAsia="zh-TW"/>
        </w:rPr>
        <w:t>جلسة</w:t>
      </w:r>
      <w:r>
        <w:rPr>
          <w:sz w:val="18"/>
          <w:szCs w:val="26"/>
          <w:rtl/>
          <w:lang w:eastAsia="zh-TW"/>
        </w:rPr>
        <w:t xml:space="preserve"> </w:t>
      </w:r>
      <w:r w:rsidRPr="0037421A">
        <w:rPr>
          <w:sz w:val="18"/>
          <w:szCs w:val="26"/>
          <w:rtl/>
          <w:lang w:eastAsia="zh-TW"/>
        </w:rPr>
        <w:t>البرلمان</w:t>
      </w:r>
      <w:r>
        <w:rPr>
          <w:sz w:val="18"/>
          <w:szCs w:val="26"/>
          <w:rtl/>
          <w:lang w:eastAsia="zh-TW"/>
        </w:rPr>
        <w:t xml:space="preserve"> </w:t>
      </w:r>
      <w:r w:rsidRPr="0037421A">
        <w:rPr>
          <w:sz w:val="18"/>
          <w:szCs w:val="26"/>
          <w:rtl/>
          <w:lang w:eastAsia="zh-TW"/>
        </w:rPr>
        <w:t>الفرنسي</w:t>
      </w:r>
      <w:r>
        <w:rPr>
          <w:sz w:val="18"/>
          <w:szCs w:val="26"/>
          <w:rtl/>
          <w:lang w:eastAsia="zh-TW"/>
        </w:rPr>
        <w:t xml:space="preserve"> </w:t>
      </w:r>
      <w:r w:rsidRPr="0037421A">
        <w:rPr>
          <w:sz w:val="18"/>
          <w:szCs w:val="26"/>
          <w:rtl/>
          <w:lang w:eastAsia="zh-TW"/>
        </w:rPr>
        <w:t>المعقودة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فرساي</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٢٢</w:t>
      </w:r>
      <w:r>
        <w:rPr>
          <w:sz w:val="18"/>
          <w:szCs w:val="26"/>
          <w:rtl/>
          <w:lang w:eastAsia="zh-TW"/>
        </w:rPr>
        <w:t xml:space="preserve"> </w:t>
      </w:r>
      <w:r w:rsidRPr="0037421A">
        <w:rPr>
          <w:sz w:val="18"/>
          <w:szCs w:val="26"/>
          <w:rtl/>
          <w:lang w:eastAsia="zh-TW"/>
        </w:rPr>
        <w:t>حزيران/يونيه</w:t>
      </w:r>
      <w:r>
        <w:rPr>
          <w:sz w:val="18"/>
          <w:szCs w:val="26"/>
          <w:rtl/>
          <w:lang w:eastAsia="zh-TW"/>
        </w:rPr>
        <w:t xml:space="preserve"> </w:t>
      </w:r>
      <w:r w:rsidRPr="0037421A">
        <w:rPr>
          <w:sz w:val="18"/>
          <w:szCs w:val="26"/>
          <w:rtl/>
          <w:lang w:eastAsia="zh-TW"/>
        </w:rPr>
        <w:t>٢٠٠٩</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"البرقع</w:t>
      </w:r>
      <w:r>
        <w:rPr>
          <w:sz w:val="18"/>
          <w:szCs w:val="26"/>
          <w:rtl/>
          <w:lang w:eastAsia="zh-TW"/>
        </w:rPr>
        <w:t xml:space="preserve"> </w:t>
      </w:r>
      <w:r w:rsidRPr="0037421A">
        <w:rPr>
          <w:sz w:val="18"/>
          <w:szCs w:val="26"/>
          <w:rtl/>
          <w:lang w:eastAsia="zh-TW"/>
        </w:rPr>
        <w:t>غير</w:t>
      </w:r>
      <w:r>
        <w:rPr>
          <w:sz w:val="18"/>
          <w:szCs w:val="26"/>
          <w:rtl/>
          <w:lang w:eastAsia="zh-TW"/>
        </w:rPr>
        <w:t xml:space="preserve"> </w:t>
      </w:r>
      <w:r w:rsidRPr="0037421A">
        <w:rPr>
          <w:sz w:val="18"/>
          <w:szCs w:val="26"/>
          <w:rtl/>
          <w:lang w:eastAsia="zh-TW"/>
        </w:rPr>
        <w:t>مرحب</w:t>
      </w:r>
      <w:r>
        <w:rPr>
          <w:sz w:val="18"/>
          <w:szCs w:val="26"/>
          <w:rtl/>
          <w:lang w:eastAsia="zh-TW"/>
        </w:rPr>
        <w:t xml:space="preserve"> </w:t>
      </w:r>
      <w:r w:rsidRPr="0037421A">
        <w:rPr>
          <w:sz w:val="18"/>
          <w:szCs w:val="26"/>
          <w:rtl/>
          <w:lang w:eastAsia="zh-TW"/>
        </w:rPr>
        <w:t>به</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أراضي</w:t>
      </w:r>
      <w:r>
        <w:rPr>
          <w:sz w:val="18"/>
          <w:szCs w:val="26"/>
          <w:rtl/>
          <w:lang w:eastAsia="zh-TW"/>
        </w:rPr>
        <w:t xml:space="preserve"> </w:t>
      </w:r>
      <w:r w:rsidRPr="0037421A">
        <w:rPr>
          <w:sz w:val="18"/>
          <w:szCs w:val="26"/>
          <w:rtl/>
          <w:lang w:eastAsia="zh-TW"/>
        </w:rPr>
        <w:t>الجمهورية</w:t>
      </w:r>
      <w:r>
        <w:rPr>
          <w:sz w:val="18"/>
          <w:szCs w:val="26"/>
          <w:rtl/>
          <w:lang w:eastAsia="zh-TW"/>
        </w:rPr>
        <w:t xml:space="preserve"> </w:t>
      </w:r>
      <w:r w:rsidRPr="0037421A">
        <w:rPr>
          <w:sz w:val="18"/>
          <w:szCs w:val="26"/>
          <w:rtl/>
          <w:lang w:eastAsia="zh-TW"/>
        </w:rPr>
        <w:t>الفرنسية".</w:t>
      </w:r>
    </w:p>
  </w:footnote>
  <w:footnote w:id="11">
    <w:p w:rsidR="001136FD" w:rsidRPr="0037421A" w:rsidRDefault="001136FD" w:rsidP="00F7419A">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تشير</w:t>
      </w:r>
      <w:r>
        <w:rPr>
          <w:sz w:val="18"/>
          <w:szCs w:val="26"/>
          <w:rtl/>
          <w:lang w:eastAsia="zh-TW"/>
        </w:rPr>
        <w:t xml:space="preserve"> </w:t>
      </w:r>
      <w:r w:rsidRPr="0037421A">
        <w:rPr>
          <w:sz w:val="18"/>
          <w:szCs w:val="26"/>
          <w:rtl/>
          <w:lang w:eastAsia="zh-TW"/>
        </w:rPr>
        <w:t>صاحبة</w:t>
      </w:r>
      <w:r>
        <w:rPr>
          <w:sz w:val="18"/>
          <w:szCs w:val="26"/>
          <w:rtl/>
          <w:lang w:eastAsia="zh-TW"/>
        </w:rPr>
        <w:t xml:space="preserve"> </w:t>
      </w:r>
      <w:r w:rsidRPr="0037421A">
        <w:rPr>
          <w:sz w:val="18"/>
          <w:szCs w:val="26"/>
          <w:rtl/>
          <w:lang w:eastAsia="zh-TW"/>
        </w:rPr>
        <w:t>البلاغ</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التقرير</w:t>
      </w:r>
      <w:r>
        <w:rPr>
          <w:sz w:val="18"/>
          <w:szCs w:val="26"/>
          <w:rtl/>
          <w:lang w:eastAsia="zh-TW"/>
        </w:rPr>
        <w:t xml:space="preserve"> </w:t>
      </w:r>
      <w:r w:rsidRPr="0037421A">
        <w:rPr>
          <w:sz w:val="18"/>
          <w:szCs w:val="26"/>
          <w:rtl/>
          <w:lang w:eastAsia="zh-TW"/>
        </w:rPr>
        <w:t>الدوري</w:t>
      </w:r>
      <w:r>
        <w:rPr>
          <w:sz w:val="18"/>
          <w:szCs w:val="26"/>
          <w:rtl/>
          <w:lang w:eastAsia="zh-TW"/>
        </w:rPr>
        <w:t xml:space="preserve"> </w:t>
      </w:r>
      <w:r w:rsidRPr="0037421A">
        <w:rPr>
          <w:sz w:val="18"/>
          <w:szCs w:val="26"/>
          <w:rtl/>
          <w:lang w:eastAsia="zh-TW"/>
        </w:rPr>
        <w:t>الخامس</w:t>
      </w:r>
      <w:r>
        <w:rPr>
          <w:sz w:val="18"/>
          <w:szCs w:val="26"/>
          <w:rtl/>
          <w:lang w:eastAsia="zh-TW"/>
        </w:rPr>
        <w:t xml:space="preserve"> </w:t>
      </w:r>
      <w:r w:rsidRPr="0037421A">
        <w:rPr>
          <w:sz w:val="18"/>
          <w:szCs w:val="26"/>
          <w:rtl/>
          <w:lang w:eastAsia="zh-TW"/>
        </w:rPr>
        <w:t>لفرنسا</w:t>
      </w:r>
      <w:r>
        <w:rPr>
          <w:sz w:val="18"/>
          <w:szCs w:val="26"/>
          <w:rtl/>
          <w:lang w:eastAsia="zh-TW"/>
        </w:rPr>
        <w:t xml:space="preserve"> </w:t>
      </w:r>
      <w:r w:rsidRPr="0037421A">
        <w:rPr>
          <w:sz w:val="18"/>
          <w:szCs w:val="26"/>
          <w:rtl/>
          <w:lang w:eastAsia="zh-TW"/>
        </w:rPr>
        <w:t>المقدم</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اللجنة</w:t>
      </w:r>
      <w:r>
        <w:rPr>
          <w:sz w:val="18"/>
          <w:szCs w:val="26"/>
          <w:rtl/>
          <w:lang w:eastAsia="zh-TW"/>
        </w:rPr>
        <w:t xml:space="preserve"> </w:t>
      </w:r>
      <w:r w:rsidRPr="0037421A">
        <w:rPr>
          <w:sz w:val="18"/>
          <w:szCs w:val="26"/>
          <w:rtl/>
          <w:lang w:eastAsia="zh-TW"/>
        </w:rPr>
        <w:t>(</w:t>
      </w:r>
      <w:r w:rsidRPr="0037421A">
        <w:rPr>
          <w:sz w:val="18"/>
          <w:szCs w:val="26"/>
          <w:lang w:eastAsia="zh-TW"/>
        </w:rPr>
        <w:t>CCPR/C/FRA/5</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429</w:t>
      </w:r>
      <w:r>
        <w:rPr>
          <w:sz w:val="18"/>
          <w:szCs w:val="26"/>
          <w:rtl/>
          <w:lang w:eastAsia="zh-TW"/>
        </w:rPr>
        <w:t xml:space="preserve"> </w:t>
      </w:r>
      <w:r w:rsidRPr="0037421A">
        <w:rPr>
          <w:sz w:val="18"/>
          <w:szCs w:val="26"/>
          <w:rtl/>
          <w:lang w:eastAsia="zh-TW"/>
        </w:rPr>
        <w:t>وما</w:t>
      </w:r>
      <w:r>
        <w:rPr>
          <w:sz w:val="18"/>
          <w:szCs w:val="26"/>
          <w:rtl/>
          <w:lang w:eastAsia="zh-TW"/>
        </w:rPr>
        <w:t xml:space="preserve"> </w:t>
      </w:r>
      <w:r w:rsidRPr="0037421A">
        <w:rPr>
          <w:sz w:val="18"/>
          <w:szCs w:val="26"/>
          <w:rtl/>
          <w:lang w:eastAsia="zh-TW"/>
        </w:rPr>
        <w:t>بعدها.</w:t>
      </w:r>
      <w:r>
        <w:rPr>
          <w:sz w:val="18"/>
          <w:szCs w:val="26"/>
          <w:rtl/>
          <w:lang w:eastAsia="zh-TW"/>
        </w:rPr>
        <w:t xml:space="preserve"> </w:t>
      </w:r>
    </w:p>
  </w:footnote>
  <w:footnote w:id="12">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تنص</w:t>
      </w:r>
      <w:r>
        <w:rPr>
          <w:sz w:val="18"/>
          <w:szCs w:val="26"/>
          <w:rtl/>
          <w:lang w:eastAsia="zh-TW"/>
        </w:rPr>
        <w:t xml:space="preserve"> </w:t>
      </w:r>
      <w:r w:rsidRPr="0037421A">
        <w:rPr>
          <w:sz w:val="18"/>
          <w:szCs w:val="26"/>
          <w:rtl/>
          <w:lang w:eastAsia="zh-TW"/>
        </w:rPr>
        <w:t>المادة</w:t>
      </w:r>
      <w:r>
        <w:rPr>
          <w:sz w:val="18"/>
          <w:szCs w:val="26"/>
          <w:rtl/>
          <w:lang w:eastAsia="zh-TW"/>
        </w:rPr>
        <w:t xml:space="preserve"> </w:t>
      </w:r>
      <w:r w:rsidRPr="0037421A">
        <w:rPr>
          <w:sz w:val="18"/>
          <w:szCs w:val="26"/>
          <w:rtl/>
          <w:lang w:eastAsia="zh-TW"/>
        </w:rPr>
        <w:t>2-ثانياً</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الحظر</w:t>
      </w:r>
      <w:r>
        <w:rPr>
          <w:sz w:val="18"/>
          <w:szCs w:val="26"/>
          <w:rtl/>
          <w:lang w:eastAsia="zh-TW"/>
        </w:rPr>
        <w:t xml:space="preserve"> </w:t>
      </w:r>
      <w:r w:rsidRPr="0037421A">
        <w:rPr>
          <w:sz w:val="18"/>
          <w:szCs w:val="26"/>
          <w:rtl/>
          <w:lang w:eastAsia="zh-TW"/>
        </w:rPr>
        <w:t>"لا</w:t>
      </w:r>
      <w:r>
        <w:rPr>
          <w:sz w:val="18"/>
          <w:szCs w:val="26"/>
          <w:rtl/>
          <w:lang w:eastAsia="zh-TW"/>
        </w:rPr>
        <w:t xml:space="preserve"> </w:t>
      </w:r>
      <w:r w:rsidRPr="0037421A">
        <w:rPr>
          <w:sz w:val="18"/>
          <w:szCs w:val="26"/>
          <w:rtl/>
          <w:lang w:eastAsia="zh-TW"/>
        </w:rPr>
        <w:t>ينطبق</w:t>
      </w:r>
      <w:r>
        <w:rPr>
          <w:sz w:val="18"/>
          <w:szCs w:val="26"/>
          <w:rtl/>
          <w:lang w:eastAsia="zh-TW"/>
        </w:rPr>
        <w:t xml:space="preserve"> </w:t>
      </w:r>
      <w:r w:rsidRPr="0037421A">
        <w:rPr>
          <w:sz w:val="18"/>
          <w:szCs w:val="26"/>
          <w:rtl/>
          <w:lang w:eastAsia="zh-TW"/>
        </w:rPr>
        <w:t>إذا</w:t>
      </w:r>
      <w:r>
        <w:rPr>
          <w:sz w:val="18"/>
          <w:szCs w:val="26"/>
          <w:rtl/>
          <w:lang w:eastAsia="zh-TW"/>
        </w:rPr>
        <w:t xml:space="preserve"> </w:t>
      </w:r>
      <w:r w:rsidRPr="0037421A">
        <w:rPr>
          <w:sz w:val="18"/>
          <w:szCs w:val="26"/>
          <w:rtl/>
          <w:lang w:eastAsia="zh-TW"/>
        </w:rPr>
        <w:t>كانت</w:t>
      </w:r>
      <w:r>
        <w:rPr>
          <w:sz w:val="18"/>
          <w:szCs w:val="26"/>
          <w:rtl/>
          <w:lang w:eastAsia="zh-TW"/>
        </w:rPr>
        <w:t xml:space="preserve"> </w:t>
      </w:r>
      <w:r w:rsidRPr="0037421A">
        <w:rPr>
          <w:sz w:val="18"/>
          <w:szCs w:val="26"/>
          <w:rtl/>
          <w:lang w:eastAsia="zh-TW"/>
        </w:rPr>
        <w:t>الأحكام</w:t>
      </w:r>
      <w:r>
        <w:rPr>
          <w:sz w:val="18"/>
          <w:szCs w:val="26"/>
          <w:rtl/>
          <w:lang w:eastAsia="zh-TW"/>
        </w:rPr>
        <w:t xml:space="preserve"> </w:t>
      </w:r>
      <w:r w:rsidRPr="0037421A">
        <w:rPr>
          <w:sz w:val="18"/>
          <w:szCs w:val="26"/>
          <w:rtl/>
          <w:lang w:eastAsia="zh-TW"/>
        </w:rPr>
        <w:t>القانونية</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التنظيمية</w:t>
      </w:r>
      <w:r>
        <w:rPr>
          <w:sz w:val="18"/>
          <w:szCs w:val="26"/>
          <w:rtl/>
          <w:lang w:eastAsia="zh-TW"/>
        </w:rPr>
        <w:t xml:space="preserve"> </w:t>
      </w:r>
      <w:r w:rsidRPr="0037421A">
        <w:rPr>
          <w:sz w:val="18"/>
          <w:szCs w:val="26"/>
          <w:rtl/>
          <w:lang w:eastAsia="zh-TW"/>
        </w:rPr>
        <w:t>تفرض</w:t>
      </w:r>
      <w:r>
        <w:rPr>
          <w:sz w:val="18"/>
          <w:szCs w:val="26"/>
          <w:rtl/>
          <w:lang w:eastAsia="zh-TW"/>
        </w:rPr>
        <w:t xml:space="preserve"> </w:t>
      </w:r>
      <w:r w:rsidRPr="0037421A">
        <w:rPr>
          <w:sz w:val="18"/>
          <w:szCs w:val="26"/>
          <w:rtl/>
          <w:lang w:eastAsia="zh-TW"/>
        </w:rPr>
        <w:t>هذا</w:t>
      </w:r>
      <w:r>
        <w:rPr>
          <w:sz w:val="18"/>
          <w:szCs w:val="26"/>
          <w:rtl/>
          <w:lang w:eastAsia="zh-TW"/>
        </w:rPr>
        <w:t xml:space="preserve"> </w:t>
      </w:r>
      <w:r w:rsidRPr="0037421A">
        <w:rPr>
          <w:sz w:val="18"/>
          <w:szCs w:val="26"/>
          <w:rtl/>
          <w:lang w:eastAsia="zh-TW"/>
        </w:rPr>
        <w:t>الرداء</w:t>
      </w:r>
      <w:r>
        <w:rPr>
          <w:sz w:val="18"/>
          <w:szCs w:val="26"/>
          <w:rtl/>
          <w:lang w:eastAsia="zh-TW"/>
        </w:rPr>
        <w:t xml:space="preserve"> </w:t>
      </w:r>
      <w:r w:rsidRPr="0037421A">
        <w:rPr>
          <w:sz w:val="18"/>
          <w:szCs w:val="26"/>
          <w:rtl/>
          <w:lang w:eastAsia="zh-TW"/>
        </w:rPr>
        <w:t>أو</w:t>
      </w:r>
      <w:r w:rsidR="009A1C3F">
        <w:rPr>
          <w:rFonts w:hint="cs"/>
          <w:sz w:val="18"/>
          <w:szCs w:val="26"/>
          <w:rtl/>
          <w:lang w:eastAsia="zh-TW"/>
        </w:rPr>
        <w:t> </w:t>
      </w:r>
      <w:r w:rsidRPr="0037421A">
        <w:rPr>
          <w:sz w:val="18"/>
          <w:szCs w:val="26"/>
          <w:rtl/>
          <w:lang w:eastAsia="zh-TW"/>
        </w:rPr>
        <w:t>تجيزه</w:t>
      </w:r>
      <w:r>
        <w:rPr>
          <w:sz w:val="18"/>
          <w:szCs w:val="26"/>
          <w:rtl/>
          <w:lang w:eastAsia="zh-TW"/>
        </w:rPr>
        <w:t xml:space="preserve"> </w:t>
      </w:r>
      <w:r w:rsidRPr="0037421A">
        <w:rPr>
          <w:sz w:val="18"/>
          <w:szCs w:val="26"/>
          <w:rtl/>
          <w:lang w:eastAsia="zh-TW"/>
        </w:rPr>
        <w:t>[...]،</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إذا</w:t>
      </w:r>
      <w:r>
        <w:rPr>
          <w:sz w:val="18"/>
          <w:szCs w:val="26"/>
          <w:rtl/>
          <w:lang w:eastAsia="zh-TW"/>
        </w:rPr>
        <w:t xml:space="preserve"> </w:t>
      </w:r>
      <w:r w:rsidRPr="0037421A">
        <w:rPr>
          <w:sz w:val="18"/>
          <w:szCs w:val="26"/>
          <w:rtl/>
          <w:lang w:eastAsia="zh-TW"/>
        </w:rPr>
        <w:t>كان</w:t>
      </w:r>
      <w:r>
        <w:rPr>
          <w:sz w:val="18"/>
          <w:szCs w:val="26"/>
          <w:rtl/>
          <w:lang w:eastAsia="zh-TW"/>
        </w:rPr>
        <w:t xml:space="preserve"> </w:t>
      </w:r>
      <w:r w:rsidRPr="0037421A">
        <w:rPr>
          <w:sz w:val="18"/>
          <w:szCs w:val="26"/>
          <w:rtl/>
          <w:lang w:eastAsia="zh-TW"/>
        </w:rPr>
        <w:t>له</w:t>
      </w:r>
      <w:r>
        <w:rPr>
          <w:sz w:val="18"/>
          <w:szCs w:val="26"/>
          <w:rtl/>
          <w:lang w:eastAsia="zh-TW"/>
        </w:rPr>
        <w:t xml:space="preserve"> </w:t>
      </w:r>
      <w:r w:rsidRPr="0037421A">
        <w:rPr>
          <w:sz w:val="18"/>
          <w:szCs w:val="26"/>
          <w:rtl/>
          <w:lang w:eastAsia="zh-TW"/>
        </w:rPr>
        <w:t>ما</w:t>
      </w:r>
      <w:r>
        <w:rPr>
          <w:sz w:val="18"/>
          <w:szCs w:val="26"/>
          <w:rtl/>
          <w:lang w:eastAsia="zh-TW"/>
        </w:rPr>
        <w:t xml:space="preserve"> </w:t>
      </w:r>
      <w:r w:rsidRPr="0037421A">
        <w:rPr>
          <w:sz w:val="18"/>
          <w:szCs w:val="26"/>
          <w:rtl/>
          <w:lang w:eastAsia="zh-TW"/>
        </w:rPr>
        <w:t>يبرره</w:t>
      </w:r>
      <w:r>
        <w:rPr>
          <w:sz w:val="18"/>
          <w:szCs w:val="26"/>
          <w:rtl/>
          <w:lang w:eastAsia="zh-TW"/>
        </w:rPr>
        <w:t xml:space="preserve"> </w:t>
      </w:r>
      <w:r w:rsidRPr="0037421A">
        <w:rPr>
          <w:sz w:val="18"/>
          <w:szCs w:val="26"/>
          <w:rtl/>
          <w:lang w:eastAsia="zh-TW"/>
        </w:rPr>
        <w:t>لأسباب</w:t>
      </w:r>
      <w:r>
        <w:rPr>
          <w:sz w:val="18"/>
          <w:szCs w:val="26"/>
          <w:rtl/>
          <w:lang w:eastAsia="zh-TW"/>
        </w:rPr>
        <w:t xml:space="preserve"> </w:t>
      </w:r>
      <w:r w:rsidRPr="0037421A">
        <w:rPr>
          <w:sz w:val="18"/>
          <w:szCs w:val="26"/>
          <w:rtl/>
          <w:lang w:eastAsia="zh-TW"/>
        </w:rPr>
        <w:t>صحية</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مهنية،</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إذا</w:t>
      </w:r>
      <w:r>
        <w:rPr>
          <w:sz w:val="18"/>
          <w:szCs w:val="26"/>
          <w:rtl/>
          <w:lang w:eastAsia="zh-TW"/>
        </w:rPr>
        <w:t xml:space="preserve"> </w:t>
      </w:r>
      <w:r w:rsidRPr="0037421A">
        <w:rPr>
          <w:sz w:val="18"/>
          <w:szCs w:val="26"/>
          <w:rtl/>
          <w:lang w:eastAsia="zh-TW"/>
        </w:rPr>
        <w:t>كان</w:t>
      </w:r>
      <w:r>
        <w:rPr>
          <w:sz w:val="18"/>
          <w:szCs w:val="26"/>
          <w:rtl/>
          <w:lang w:eastAsia="zh-TW"/>
        </w:rPr>
        <w:t xml:space="preserve"> </w:t>
      </w:r>
      <w:r w:rsidRPr="0037421A">
        <w:rPr>
          <w:sz w:val="18"/>
          <w:szCs w:val="26"/>
          <w:rtl/>
          <w:lang w:eastAsia="zh-TW"/>
        </w:rPr>
        <w:t>جزءاً</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الممارسات</w:t>
      </w:r>
      <w:r>
        <w:rPr>
          <w:sz w:val="18"/>
          <w:szCs w:val="26"/>
          <w:rtl/>
          <w:lang w:eastAsia="zh-TW"/>
        </w:rPr>
        <w:t xml:space="preserve"> </w:t>
      </w:r>
      <w:r w:rsidRPr="0037421A">
        <w:rPr>
          <w:sz w:val="18"/>
          <w:szCs w:val="26"/>
          <w:rtl/>
          <w:lang w:eastAsia="zh-TW"/>
        </w:rPr>
        <w:t>الرياضية،</w:t>
      </w:r>
      <w:r>
        <w:rPr>
          <w:sz w:val="18"/>
          <w:szCs w:val="26"/>
          <w:rtl/>
          <w:lang w:eastAsia="zh-TW"/>
        </w:rPr>
        <w:t xml:space="preserve"> </w:t>
      </w:r>
      <w:r w:rsidRPr="0037421A">
        <w:rPr>
          <w:sz w:val="18"/>
          <w:szCs w:val="26"/>
          <w:rtl/>
          <w:lang w:eastAsia="zh-TW"/>
        </w:rPr>
        <w:t>أو</w:t>
      </w:r>
      <w:r w:rsidR="009A1C3F">
        <w:rPr>
          <w:rFonts w:hint="cs"/>
          <w:sz w:val="18"/>
          <w:szCs w:val="26"/>
          <w:rtl/>
          <w:lang w:eastAsia="zh-TW"/>
        </w:rPr>
        <w:t> </w:t>
      </w:r>
      <w:r w:rsidRPr="0037421A">
        <w:rPr>
          <w:sz w:val="18"/>
          <w:szCs w:val="26"/>
          <w:rtl/>
          <w:lang w:eastAsia="zh-TW"/>
        </w:rPr>
        <w:t>من</w:t>
      </w:r>
      <w:r>
        <w:rPr>
          <w:sz w:val="18"/>
          <w:szCs w:val="26"/>
          <w:rtl/>
          <w:lang w:eastAsia="zh-TW"/>
        </w:rPr>
        <w:t xml:space="preserve"> </w:t>
      </w:r>
      <w:r w:rsidRPr="0037421A">
        <w:rPr>
          <w:sz w:val="18"/>
          <w:szCs w:val="26"/>
          <w:rtl/>
          <w:lang w:eastAsia="zh-TW"/>
        </w:rPr>
        <w:t>الأعياد،</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المناسبات</w:t>
      </w:r>
      <w:r>
        <w:rPr>
          <w:sz w:val="18"/>
          <w:szCs w:val="26"/>
          <w:rtl/>
          <w:lang w:eastAsia="zh-TW"/>
        </w:rPr>
        <w:t xml:space="preserve"> </w:t>
      </w:r>
      <w:r w:rsidRPr="0037421A">
        <w:rPr>
          <w:sz w:val="18"/>
          <w:szCs w:val="26"/>
          <w:rtl/>
          <w:lang w:eastAsia="zh-TW"/>
        </w:rPr>
        <w:t>الفنية</w:t>
      </w:r>
      <w:r>
        <w:rPr>
          <w:sz w:val="18"/>
          <w:szCs w:val="26"/>
          <w:rtl/>
          <w:lang w:eastAsia="zh-TW"/>
        </w:rPr>
        <w:t xml:space="preserve"> </w:t>
      </w:r>
      <w:r w:rsidRPr="0037421A">
        <w:rPr>
          <w:sz w:val="18"/>
          <w:szCs w:val="26"/>
          <w:rtl/>
          <w:lang w:eastAsia="zh-TW"/>
        </w:rPr>
        <w:t>أو</w:t>
      </w:r>
      <w:r>
        <w:rPr>
          <w:sz w:val="18"/>
          <w:szCs w:val="26"/>
          <w:rtl/>
          <w:lang w:eastAsia="zh-TW"/>
        </w:rPr>
        <w:t xml:space="preserve"> </w:t>
      </w:r>
      <w:r w:rsidRPr="0037421A">
        <w:rPr>
          <w:sz w:val="18"/>
          <w:szCs w:val="26"/>
          <w:rtl/>
          <w:lang w:eastAsia="zh-TW"/>
        </w:rPr>
        <w:t>التقليدية"</w:t>
      </w:r>
      <w:r w:rsidRPr="0037421A">
        <w:rPr>
          <w:sz w:val="18"/>
          <w:szCs w:val="26"/>
          <w:lang w:eastAsia="zh-TW"/>
        </w:rPr>
        <w:t>.</w:t>
      </w:r>
      <w:r>
        <w:rPr>
          <w:sz w:val="18"/>
          <w:szCs w:val="26"/>
          <w:rtl/>
          <w:lang w:eastAsia="zh-TW"/>
        </w:rPr>
        <w:t xml:space="preserve"> </w:t>
      </w:r>
      <w:r w:rsidRPr="0037421A">
        <w:rPr>
          <w:sz w:val="18"/>
          <w:szCs w:val="26"/>
          <w:rtl/>
          <w:lang w:eastAsia="zh-TW"/>
        </w:rPr>
        <w:t>وأعطى</w:t>
      </w:r>
      <w:r>
        <w:rPr>
          <w:sz w:val="18"/>
          <w:szCs w:val="26"/>
          <w:rtl/>
          <w:lang w:eastAsia="zh-TW"/>
        </w:rPr>
        <w:t xml:space="preserve"> </w:t>
      </w:r>
      <w:r w:rsidRPr="0037421A">
        <w:rPr>
          <w:sz w:val="18"/>
          <w:szCs w:val="26"/>
          <w:rtl/>
          <w:lang w:eastAsia="zh-TW"/>
        </w:rPr>
        <w:t>التعميم</w:t>
      </w:r>
      <w:r>
        <w:rPr>
          <w:sz w:val="18"/>
          <w:szCs w:val="26"/>
          <w:rtl/>
          <w:lang w:eastAsia="zh-TW"/>
        </w:rPr>
        <w:t xml:space="preserve"> </w:t>
      </w:r>
      <w:r w:rsidRPr="0037421A">
        <w:rPr>
          <w:sz w:val="18"/>
          <w:szCs w:val="26"/>
          <w:rtl/>
          <w:lang w:eastAsia="zh-TW"/>
        </w:rPr>
        <w:t>المؤرخ</w:t>
      </w:r>
      <w:r>
        <w:rPr>
          <w:sz w:val="18"/>
          <w:szCs w:val="26"/>
          <w:rtl/>
          <w:lang w:eastAsia="zh-TW"/>
        </w:rPr>
        <w:t xml:space="preserve"> </w:t>
      </w:r>
      <w:r w:rsidRPr="0037421A">
        <w:rPr>
          <w:sz w:val="18"/>
          <w:szCs w:val="26"/>
          <w:rtl/>
          <w:lang w:eastAsia="zh-TW"/>
        </w:rPr>
        <w:t>٢</w:t>
      </w:r>
      <w:r>
        <w:rPr>
          <w:sz w:val="18"/>
          <w:szCs w:val="26"/>
          <w:rtl/>
          <w:lang w:eastAsia="zh-TW"/>
        </w:rPr>
        <w:t xml:space="preserve"> </w:t>
      </w:r>
      <w:r w:rsidRPr="0037421A">
        <w:rPr>
          <w:sz w:val="18"/>
          <w:szCs w:val="26"/>
          <w:rtl/>
          <w:lang w:eastAsia="zh-TW"/>
        </w:rPr>
        <w:t>آذار/مارس</w:t>
      </w:r>
      <w:r>
        <w:rPr>
          <w:sz w:val="18"/>
          <w:szCs w:val="26"/>
          <w:rtl/>
          <w:lang w:eastAsia="zh-TW"/>
        </w:rPr>
        <w:t xml:space="preserve"> </w:t>
      </w:r>
      <w:r w:rsidRPr="0037421A">
        <w:rPr>
          <w:sz w:val="18"/>
          <w:szCs w:val="26"/>
          <w:rtl/>
          <w:lang w:eastAsia="zh-TW"/>
        </w:rPr>
        <w:t>٢٠١١</w:t>
      </w:r>
      <w:r>
        <w:rPr>
          <w:sz w:val="18"/>
          <w:szCs w:val="26"/>
          <w:rtl/>
          <w:lang w:eastAsia="zh-TW"/>
        </w:rPr>
        <w:t xml:space="preserve"> </w:t>
      </w:r>
      <w:r w:rsidRPr="0037421A">
        <w:rPr>
          <w:sz w:val="18"/>
          <w:szCs w:val="26"/>
          <w:rtl/>
          <w:lang w:eastAsia="zh-TW"/>
        </w:rPr>
        <w:t>توضيحات</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حد</w:t>
      </w:r>
      <w:r>
        <w:rPr>
          <w:sz w:val="18"/>
          <w:szCs w:val="26"/>
          <w:rtl/>
          <w:lang w:eastAsia="zh-TW"/>
        </w:rPr>
        <w:t xml:space="preserve"> </w:t>
      </w:r>
      <w:r w:rsidRPr="0037421A">
        <w:rPr>
          <w:sz w:val="18"/>
          <w:szCs w:val="26"/>
          <w:rtl/>
          <w:lang w:eastAsia="zh-TW"/>
        </w:rPr>
        <w:t>ما</w:t>
      </w:r>
      <w:r>
        <w:rPr>
          <w:sz w:val="18"/>
          <w:szCs w:val="26"/>
          <w:rtl/>
          <w:lang w:eastAsia="zh-TW"/>
        </w:rPr>
        <w:t xml:space="preserve"> </w:t>
      </w:r>
      <w:r w:rsidRPr="0037421A">
        <w:rPr>
          <w:sz w:val="18"/>
          <w:szCs w:val="26"/>
          <w:rtl/>
          <w:lang w:eastAsia="zh-TW"/>
        </w:rPr>
        <w:t>لطريقة</w:t>
      </w:r>
      <w:r>
        <w:rPr>
          <w:sz w:val="18"/>
          <w:szCs w:val="26"/>
          <w:rtl/>
          <w:lang w:eastAsia="zh-TW"/>
        </w:rPr>
        <w:t xml:space="preserve"> </w:t>
      </w:r>
      <w:r w:rsidRPr="0037421A">
        <w:rPr>
          <w:sz w:val="18"/>
          <w:szCs w:val="26"/>
          <w:rtl/>
          <w:lang w:eastAsia="zh-TW"/>
        </w:rPr>
        <w:t>تنفيذ</w:t>
      </w:r>
      <w:r>
        <w:rPr>
          <w:sz w:val="18"/>
          <w:szCs w:val="26"/>
          <w:rtl/>
          <w:lang w:eastAsia="zh-TW"/>
        </w:rPr>
        <w:t xml:space="preserve"> </w:t>
      </w:r>
      <w:r w:rsidRPr="0037421A">
        <w:rPr>
          <w:sz w:val="18"/>
          <w:szCs w:val="26"/>
          <w:rtl/>
          <w:lang w:eastAsia="zh-TW"/>
        </w:rPr>
        <w:t>هذا</w:t>
      </w:r>
      <w:r>
        <w:rPr>
          <w:sz w:val="18"/>
          <w:szCs w:val="26"/>
          <w:rtl/>
          <w:lang w:eastAsia="zh-TW"/>
        </w:rPr>
        <w:t xml:space="preserve"> </w:t>
      </w:r>
      <w:r w:rsidRPr="0037421A">
        <w:rPr>
          <w:sz w:val="18"/>
          <w:szCs w:val="26"/>
          <w:rtl/>
          <w:lang w:eastAsia="zh-TW"/>
        </w:rPr>
        <w:t>القانون</w:t>
      </w:r>
      <w:r>
        <w:rPr>
          <w:sz w:val="18"/>
          <w:szCs w:val="26"/>
          <w:rtl/>
          <w:lang w:eastAsia="zh-TW"/>
        </w:rPr>
        <w:t xml:space="preserve"> </w:t>
      </w:r>
      <w:r w:rsidRPr="0037421A">
        <w:rPr>
          <w:sz w:val="18"/>
          <w:szCs w:val="26"/>
          <w:rtl/>
          <w:lang w:eastAsia="zh-TW"/>
        </w:rPr>
        <w:t>حيث</w:t>
      </w:r>
      <w:r>
        <w:rPr>
          <w:sz w:val="18"/>
          <w:szCs w:val="26"/>
          <w:rtl/>
          <w:lang w:eastAsia="zh-TW"/>
        </w:rPr>
        <w:t xml:space="preserve"> </w:t>
      </w:r>
      <w:r w:rsidRPr="0037421A">
        <w:rPr>
          <w:sz w:val="18"/>
          <w:szCs w:val="26"/>
          <w:rtl/>
          <w:lang w:eastAsia="zh-TW"/>
        </w:rPr>
        <w:t>نص،</w:t>
      </w:r>
      <w:r>
        <w:rPr>
          <w:sz w:val="18"/>
          <w:szCs w:val="26"/>
          <w:rtl/>
          <w:lang w:eastAsia="zh-TW"/>
        </w:rPr>
        <w:t xml:space="preserve"> </w:t>
      </w:r>
      <w:r w:rsidRPr="0037421A">
        <w:rPr>
          <w:sz w:val="18"/>
          <w:szCs w:val="26"/>
          <w:rtl/>
          <w:lang w:eastAsia="zh-TW"/>
        </w:rPr>
        <w:t>فيما</w:t>
      </w:r>
      <w:r>
        <w:rPr>
          <w:sz w:val="18"/>
          <w:szCs w:val="26"/>
          <w:rtl/>
          <w:lang w:eastAsia="zh-TW"/>
        </w:rPr>
        <w:t xml:space="preserve"> </w:t>
      </w:r>
      <w:r w:rsidRPr="0037421A">
        <w:rPr>
          <w:sz w:val="18"/>
          <w:szCs w:val="26"/>
          <w:rtl/>
          <w:lang w:eastAsia="zh-TW"/>
        </w:rPr>
        <w:t>يتعلق</w:t>
      </w:r>
      <w:r>
        <w:rPr>
          <w:sz w:val="18"/>
          <w:szCs w:val="26"/>
          <w:rtl/>
          <w:lang w:eastAsia="zh-TW"/>
        </w:rPr>
        <w:t xml:space="preserve"> </w:t>
      </w:r>
      <w:r w:rsidRPr="0037421A">
        <w:rPr>
          <w:sz w:val="18"/>
          <w:szCs w:val="26"/>
          <w:rtl/>
          <w:lang w:eastAsia="zh-TW"/>
        </w:rPr>
        <w:t>باستثناءاته</w:t>
      </w:r>
      <w:r>
        <w:rPr>
          <w:sz w:val="18"/>
          <w:szCs w:val="26"/>
          <w:rtl/>
          <w:lang w:eastAsia="zh-TW"/>
        </w:rPr>
        <w:t xml:space="preserve"> </w:t>
      </w:r>
      <w:r w:rsidRPr="0037421A">
        <w:rPr>
          <w:sz w:val="18"/>
          <w:szCs w:val="26"/>
          <w:rtl/>
          <w:lang w:eastAsia="zh-TW"/>
        </w:rPr>
        <w:t>القانونية،</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"المواكب</w:t>
      </w:r>
      <w:r>
        <w:rPr>
          <w:sz w:val="18"/>
          <w:szCs w:val="26"/>
          <w:rtl/>
          <w:lang w:eastAsia="zh-TW"/>
        </w:rPr>
        <w:t xml:space="preserve"> </w:t>
      </w:r>
      <w:r w:rsidRPr="0037421A">
        <w:rPr>
          <w:sz w:val="18"/>
          <w:szCs w:val="26"/>
          <w:rtl/>
          <w:lang w:eastAsia="zh-TW"/>
        </w:rPr>
        <w:t>الدينية</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لها</w:t>
      </w:r>
      <w:r>
        <w:rPr>
          <w:sz w:val="18"/>
          <w:szCs w:val="26"/>
          <w:rtl/>
          <w:lang w:eastAsia="zh-TW"/>
        </w:rPr>
        <w:t xml:space="preserve"> </w:t>
      </w:r>
      <w:r w:rsidRPr="0037421A">
        <w:rPr>
          <w:sz w:val="18"/>
          <w:szCs w:val="26"/>
          <w:rtl/>
          <w:lang w:eastAsia="zh-TW"/>
        </w:rPr>
        <w:t>طابع</w:t>
      </w:r>
      <w:r>
        <w:rPr>
          <w:sz w:val="18"/>
          <w:szCs w:val="26"/>
          <w:rtl/>
          <w:lang w:eastAsia="zh-TW"/>
        </w:rPr>
        <w:t xml:space="preserve"> </w:t>
      </w:r>
      <w:r w:rsidRPr="0037421A">
        <w:rPr>
          <w:sz w:val="18"/>
          <w:szCs w:val="26"/>
          <w:rtl/>
          <w:lang w:eastAsia="zh-TW"/>
        </w:rPr>
        <w:t>تقليدي</w:t>
      </w:r>
      <w:r>
        <w:rPr>
          <w:sz w:val="18"/>
          <w:szCs w:val="26"/>
          <w:rtl/>
          <w:lang w:eastAsia="zh-TW"/>
        </w:rPr>
        <w:t xml:space="preserve"> </w:t>
      </w:r>
      <w:r w:rsidRPr="0037421A">
        <w:rPr>
          <w:sz w:val="18"/>
          <w:szCs w:val="26"/>
          <w:rtl/>
          <w:lang w:eastAsia="zh-TW"/>
        </w:rPr>
        <w:t>تُستثنى</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الحظر</w:t>
      </w:r>
      <w:r>
        <w:rPr>
          <w:sz w:val="18"/>
          <w:szCs w:val="26"/>
          <w:rtl/>
          <w:lang w:eastAsia="zh-TW"/>
        </w:rPr>
        <w:t xml:space="preserve"> </w:t>
      </w:r>
      <w:r w:rsidRPr="0037421A">
        <w:rPr>
          <w:sz w:val="18"/>
          <w:szCs w:val="26"/>
          <w:rtl/>
          <w:lang w:eastAsia="zh-TW"/>
        </w:rPr>
        <w:t>الذي</w:t>
      </w:r>
      <w:r>
        <w:rPr>
          <w:sz w:val="18"/>
          <w:szCs w:val="26"/>
          <w:rtl/>
          <w:lang w:eastAsia="zh-TW"/>
        </w:rPr>
        <w:t xml:space="preserve"> </w:t>
      </w:r>
      <w:r w:rsidRPr="0037421A">
        <w:rPr>
          <w:sz w:val="18"/>
          <w:szCs w:val="26"/>
          <w:rtl/>
          <w:lang w:eastAsia="zh-TW"/>
        </w:rPr>
        <w:t>تنص</w:t>
      </w:r>
      <w:r>
        <w:rPr>
          <w:sz w:val="18"/>
          <w:szCs w:val="26"/>
          <w:rtl/>
          <w:lang w:eastAsia="zh-TW"/>
        </w:rPr>
        <w:t xml:space="preserve"> </w:t>
      </w:r>
      <w:r w:rsidRPr="0037421A">
        <w:rPr>
          <w:sz w:val="18"/>
          <w:szCs w:val="26"/>
          <w:rtl/>
          <w:lang w:eastAsia="zh-TW"/>
        </w:rPr>
        <w:t>عليه</w:t>
      </w:r>
      <w:r>
        <w:rPr>
          <w:sz w:val="18"/>
          <w:szCs w:val="26"/>
          <w:rtl/>
          <w:lang w:eastAsia="zh-TW"/>
        </w:rPr>
        <w:t xml:space="preserve"> </w:t>
      </w:r>
      <w:r w:rsidRPr="0037421A">
        <w:rPr>
          <w:sz w:val="18"/>
          <w:szCs w:val="26"/>
          <w:rtl/>
          <w:lang w:eastAsia="zh-TW"/>
        </w:rPr>
        <w:t>المادة</w:t>
      </w:r>
      <w:r>
        <w:rPr>
          <w:sz w:val="18"/>
          <w:szCs w:val="26"/>
          <w:rtl/>
          <w:lang w:eastAsia="zh-TW"/>
        </w:rPr>
        <w:t xml:space="preserve"> </w:t>
      </w:r>
      <w:r w:rsidRPr="0037421A">
        <w:rPr>
          <w:sz w:val="18"/>
          <w:szCs w:val="26"/>
          <w:rtl/>
          <w:lang w:eastAsia="zh-TW"/>
        </w:rPr>
        <w:t>1"</w:t>
      </w:r>
      <w:r w:rsidRPr="0037421A">
        <w:rPr>
          <w:sz w:val="18"/>
          <w:szCs w:val="26"/>
          <w:lang w:eastAsia="zh-TW"/>
        </w:rPr>
        <w:t>.</w:t>
      </w:r>
      <w:r>
        <w:rPr>
          <w:sz w:val="18"/>
          <w:szCs w:val="26"/>
          <w:rtl/>
          <w:lang w:eastAsia="zh-TW"/>
        </w:rPr>
        <w:t xml:space="preserve"> </w:t>
      </w:r>
      <w:r w:rsidRPr="0037421A">
        <w:rPr>
          <w:sz w:val="18"/>
          <w:szCs w:val="26"/>
          <w:rtl/>
          <w:lang w:eastAsia="zh-TW"/>
        </w:rPr>
        <w:t>لكن</w:t>
      </w:r>
      <w:r>
        <w:rPr>
          <w:sz w:val="18"/>
          <w:szCs w:val="26"/>
          <w:rtl/>
          <w:lang w:eastAsia="zh-TW"/>
        </w:rPr>
        <w:t xml:space="preserve"> </w:t>
      </w:r>
      <w:r w:rsidRPr="0037421A">
        <w:rPr>
          <w:sz w:val="18"/>
          <w:szCs w:val="26"/>
          <w:rtl/>
          <w:lang w:eastAsia="zh-TW"/>
        </w:rPr>
        <w:t>التعميم</w:t>
      </w:r>
      <w:r>
        <w:rPr>
          <w:sz w:val="18"/>
          <w:szCs w:val="26"/>
          <w:rtl/>
          <w:lang w:eastAsia="zh-TW"/>
        </w:rPr>
        <w:t xml:space="preserve"> </w:t>
      </w:r>
      <w:r w:rsidRPr="0037421A">
        <w:rPr>
          <w:sz w:val="18"/>
          <w:szCs w:val="26"/>
          <w:rtl/>
          <w:lang w:eastAsia="zh-TW"/>
        </w:rPr>
        <w:t>لم</w:t>
      </w:r>
      <w:r>
        <w:rPr>
          <w:sz w:val="18"/>
          <w:szCs w:val="26"/>
          <w:rtl/>
          <w:lang w:eastAsia="zh-TW"/>
        </w:rPr>
        <w:t xml:space="preserve"> </w:t>
      </w:r>
      <w:r w:rsidRPr="0037421A">
        <w:rPr>
          <w:sz w:val="18"/>
          <w:szCs w:val="26"/>
          <w:rtl/>
          <w:lang w:eastAsia="zh-TW"/>
        </w:rPr>
        <w:t>يضع</w:t>
      </w:r>
      <w:r>
        <w:rPr>
          <w:sz w:val="18"/>
          <w:szCs w:val="26"/>
          <w:rtl/>
          <w:lang w:eastAsia="zh-TW"/>
        </w:rPr>
        <w:t xml:space="preserve"> </w:t>
      </w:r>
      <w:r w:rsidRPr="0037421A">
        <w:rPr>
          <w:sz w:val="18"/>
          <w:szCs w:val="26"/>
          <w:rtl/>
          <w:lang w:eastAsia="zh-TW"/>
        </w:rPr>
        <w:t>تعريفاً</w:t>
      </w:r>
      <w:r>
        <w:rPr>
          <w:sz w:val="18"/>
          <w:szCs w:val="26"/>
          <w:rtl/>
          <w:lang w:eastAsia="zh-TW"/>
        </w:rPr>
        <w:t xml:space="preserve"> </w:t>
      </w:r>
      <w:r w:rsidRPr="0037421A">
        <w:rPr>
          <w:sz w:val="18"/>
          <w:szCs w:val="26"/>
          <w:rtl/>
          <w:lang w:eastAsia="zh-TW"/>
        </w:rPr>
        <w:t>ل</w:t>
      </w:r>
      <w:r>
        <w:rPr>
          <w:sz w:val="18"/>
          <w:szCs w:val="26"/>
          <w:rtl/>
          <w:lang w:eastAsia="zh-TW"/>
        </w:rPr>
        <w:t xml:space="preserve">ـ </w:t>
      </w:r>
      <w:r w:rsidRPr="0037421A">
        <w:rPr>
          <w:sz w:val="18"/>
          <w:szCs w:val="26"/>
          <w:rtl/>
          <w:lang w:eastAsia="zh-TW"/>
        </w:rPr>
        <w:t>"الموكب</w:t>
      </w:r>
      <w:r>
        <w:rPr>
          <w:sz w:val="18"/>
          <w:szCs w:val="26"/>
          <w:rtl/>
          <w:lang w:eastAsia="zh-TW"/>
        </w:rPr>
        <w:t xml:space="preserve"> </w:t>
      </w:r>
      <w:r w:rsidRPr="0037421A">
        <w:rPr>
          <w:sz w:val="18"/>
          <w:szCs w:val="26"/>
          <w:rtl/>
          <w:lang w:eastAsia="zh-TW"/>
        </w:rPr>
        <w:t>الديني".</w:t>
      </w:r>
    </w:p>
  </w:footnote>
  <w:footnote w:id="13">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قضية</w:t>
      </w:r>
      <w:r>
        <w:rPr>
          <w:sz w:val="18"/>
          <w:szCs w:val="26"/>
          <w:rtl/>
          <w:lang w:eastAsia="zh-TW"/>
        </w:rPr>
        <w:t xml:space="preserve"> </w:t>
      </w:r>
      <w:r w:rsidRPr="000B09B9">
        <w:rPr>
          <w:i/>
          <w:iCs/>
          <w:sz w:val="18"/>
          <w:szCs w:val="26"/>
          <w:rtl/>
          <w:lang w:eastAsia="zh-TW"/>
        </w:rPr>
        <w:t>س</w:t>
      </w:r>
      <w:r w:rsidRPr="000B09B9">
        <w:rPr>
          <w:i/>
          <w:iCs/>
          <w:sz w:val="18"/>
          <w:szCs w:val="26"/>
          <w:lang w:eastAsia="zh-TW"/>
        </w:rPr>
        <w:t>.</w:t>
      </w:r>
      <w:r w:rsidR="000B09B9">
        <w:rPr>
          <w:rFonts w:hint="cs"/>
          <w:i/>
          <w:iCs/>
          <w:sz w:val="18"/>
          <w:szCs w:val="26"/>
          <w:rtl/>
          <w:lang w:eastAsia="zh-TW"/>
        </w:rPr>
        <w:t xml:space="preserve"> </w:t>
      </w:r>
      <w:r w:rsidRPr="000B09B9">
        <w:rPr>
          <w:i/>
          <w:iCs/>
          <w:sz w:val="18"/>
          <w:szCs w:val="26"/>
          <w:rtl/>
          <w:lang w:eastAsia="zh-TW"/>
        </w:rPr>
        <w:t>أ.</w:t>
      </w:r>
      <w:r w:rsidR="000B09B9">
        <w:rPr>
          <w:rFonts w:hint="cs"/>
          <w:i/>
          <w:iCs/>
          <w:sz w:val="18"/>
          <w:szCs w:val="26"/>
          <w:rtl/>
          <w:lang w:eastAsia="zh-TW"/>
        </w:rPr>
        <w:t xml:space="preserve"> </w:t>
      </w:r>
      <w:r w:rsidRPr="000B09B9">
        <w:rPr>
          <w:i/>
          <w:iCs/>
          <w:sz w:val="18"/>
          <w:szCs w:val="26"/>
          <w:rtl/>
          <w:lang w:eastAsia="zh-TW"/>
        </w:rPr>
        <w:t>س</w:t>
      </w:r>
      <w:r w:rsidR="000B09B9">
        <w:rPr>
          <w:rFonts w:hint="cs"/>
          <w:i/>
          <w:iCs/>
          <w:sz w:val="18"/>
          <w:szCs w:val="26"/>
          <w:rtl/>
          <w:lang w:eastAsia="zh-TW"/>
        </w:rPr>
        <w:t>.</w:t>
      </w:r>
      <w:r w:rsidRPr="000B09B9">
        <w:rPr>
          <w:i/>
          <w:iCs/>
          <w:sz w:val="18"/>
          <w:szCs w:val="26"/>
          <w:rtl/>
          <w:lang w:eastAsia="zh-TW"/>
        </w:rPr>
        <w:t xml:space="preserve"> ضد فرنسا</w:t>
      </w:r>
      <w:r>
        <w:rPr>
          <w:sz w:val="18"/>
          <w:szCs w:val="26"/>
          <w:rtl/>
          <w:lang w:eastAsia="zh-TW"/>
        </w:rPr>
        <w:t xml:space="preserve"> </w:t>
      </w:r>
      <w:r w:rsidRPr="0037421A">
        <w:rPr>
          <w:sz w:val="18"/>
          <w:szCs w:val="26"/>
          <w:rtl/>
          <w:lang w:eastAsia="zh-TW"/>
        </w:rPr>
        <w:t>[الدائرة</w:t>
      </w:r>
      <w:r>
        <w:rPr>
          <w:sz w:val="18"/>
          <w:szCs w:val="26"/>
          <w:rtl/>
          <w:lang w:eastAsia="zh-TW"/>
        </w:rPr>
        <w:t xml:space="preserve"> </w:t>
      </w:r>
      <w:r w:rsidRPr="0037421A">
        <w:rPr>
          <w:sz w:val="18"/>
          <w:szCs w:val="26"/>
          <w:rtl/>
          <w:lang w:eastAsia="zh-TW"/>
        </w:rPr>
        <w:t>الكبرى]</w:t>
      </w:r>
      <w:r>
        <w:rPr>
          <w:sz w:val="18"/>
          <w:szCs w:val="26"/>
          <w:rtl/>
          <w:lang w:eastAsia="zh-TW"/>
        </w:rPr>
        <w:t xml:space="preserve"> </w:t>
      </w:r>
      <w:r w:rsidRPr="0037421A">
        <w:rPr>
          <w:sz w:val="18"/>
          <w:szCs w:val="26"/>
          <w:rtl/>
          <w:lang w:eastAsia="zh-TW"/>
        </w:rPr>
        <w:t>(الطلب</w:t>
      </w:r>
      <w:r>
        <w:rPr>
          <w:sz w:val="18"/>
          <w:szCs w:val="26"/>
          <w:rtl/>
          <w:lang w:eastAsia="zh-TW"/>
        </w:rPr>
        <w:t xml:space="preserve"> </w:t>
      </w:r>
      <w:r w:rsidRPr="0037421A">
        <w:rPr>
          <w:sz w:val="18"/>
          <w:szCs w:val="26"/>
          <w:rtl/>
          <w:lang w:eastAsia="zh-TW"/>
        </w:rPr>
        <w:t>رقم</w:t>
      </w:r>
      <w:r>
        <w:rPr>
          <w:sz w:val="18"/>
          <w:szCs w:val="26"/>
          <w:rtl/>
          <w:lang w:eastAsia="zh-TW"/>
        </w:rPr>
        <w:t xml:space="preserve"> </w:t>
      </w:r>
      <w:r w:rsidRPr="0037421A">
        <w:rPr>
          <w:sz w:val="18"/>
          <w:szCs w:val="26"/>
          <w:rtl/>
          <w:lang w:eastAsia="zh-TW"/>
        </w:rPr>
        <w:t>٤٣٨٣٥/١١)،</w:t>
      </w:r>
      <w:r>
        <w:rPr>
          <w:sz w:val="18"/>
          <w:szCs w:val="26"/>
          <w:rtl/>
          <w:lang w:eastAsia="zh-TW"/>
        </w:rPr>
        <w:t xml:space="preserve"> </w:t>
      </w:r>
      <w:r w:rsidRPr="0037421A">
        <w:rPr>
          <w:sz w:val="18"/>
          <w:szCs w:val="26"/>
          <w:rtl/>
          <w:lang w:eastAsia="zh-TW"/>
        </w:rPr>
        <w:t>الحكم</w:t>
      </w:r>
      <w:r>
        <w:rPr>
          <w:sz w:val="18"/>
          <w:szCs w:val="26"/>
          <w:rtl/>
          <w:lang w:eastAsia="zh-TW"/>
        </w:rPr>
        <w:t xml:space="preserve"> </w:t>
      </w:r>
      <w:r w:rsidRPr="0037421A">
        <w:rPr>
          <w:sz w:val="18"/>
          <w:szCs w:val="26"/>
          <w:rtl/>
          <w:lang w:eastAsia="zh-TW"/>
        </w:rPr>
        <w:t>المؤرخ</w:t>
      </w:r>
      <w:r>
        <w:rPr>
          <w:sz w:val="18"/>
          <w:szCs w:val="26"/>
          <w:rtl/>
          <w:lang w:eastAsia="zh-TW"/>
        </w:rPr>
        <w:t xml:space="preserve"> </w:t>
      </w:r>
      <w:r w:rsidRPr="0037421A">
        <w:rPr>
          <w:sz w:val="18"/>
          <w:szCs w:val="26"/>
          <w:rtl/>
          <w:lang w:eastAsia="zh-TW"/>
        </w:rPr>
        <w:t>١</w:t>
      </w:r>
      <w:r>
        <w:rPr>
          <w:sz w:val="18"/>
          <w:szCs w:val="26"/>
          <w:rtl/>
          <w:lang w:eastAsia="zh-TW"/>
        </w:rPr>
        <w:t xml:space="preserve"> </w:t>
      </w:r>
      <w:r w:rsidRPr="0037421A">
        <w:rPr>
          <w:sz w:val="18"/>
          <w:szCs w:val="26"/>
          <w:rtl/>
          <w:lang w:eastAsia="zh-TW"/>
        </w:rPr>
        <w:t>تموز/</w:t>
      </w:r>
      <w:r w:rsidR="009A1C3F">
        <w:rPr>
          <w:rFonts w:hint="cs"/>
          <w:sz w:val="18"/>
          <w:szCs w:val="26"/>
          <w:rtl/>
          <w:lang w:eastAsia="zh-TW"/>
        </w:rPr>
        <w:t xml:space="preserve"> </w:t>
      </w:r>
      <w:r w:rsidRPr="0037421A">
        <w:rPr>
          <w:sz w:val="18"/>
          <w:szCs w:val="26"/>
          <w:rtl/>
          <w:lang w:eastAsia="zh-TW"/>
        </w:rPr>
        <w:t>يوليه</w:t>
      </w:r>
      <w:r w:rsidR="009A1C3F">
        <w:rPr>
          <w:rFonts w:hint="cs"/>
          <w:sz w:val="18"/>
          <w:szCs w:val="26"/>
          <w:rtl/>
          <w:lang w:eastAsia="zh-TW"/>
        </w:rPr>
        <w:t> </w:t>
      </w:r>
      <w:r w:rsidRPr="0037421A">
        <w:rPr>
          <w:sz w:val="18"/>
          <w:szCs w:val="26"/>
          <w:rtl/>
          <w:lang w:eastAsia="zh-TW"/>
        </w:rPr>
        <w:t>٢٠١٤،</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139.</w:t>
      </w:r>
      <w:r>
        <w:rPr>
          <w:sz w:val="18"/>
          <w:szCs w:val="26"/>
          <w:rtl/>
          <w:lang w:eastAsia="zh-TW"/>
        </w:rPr>
        <w:t xml:space="preserve"> </w:t>
      </w:r>
    </w:p>
  </w:footnote>
  <w:footnote w:id="14">
    <w:p w:rsidR="001136FD" w:rsidRPr="0037421A" w:rsidRDefault="001136FD" w:rsidP="00D15D5D">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يشير</w:t>
      </w:r>
      <w:r>
        <w:rPr>
          <w:sz w:val="18"/>
          <w:szCs w:val="26"/>
          <w:rtl/>
          <w:lang w:eastAsia="zh-TW"/>
        </w:rPr>
        <w:t xml:space="preserve"> </w:t>
      </w:r>
      <w:r w:rsidRPr="0037421A">
        <w:rPr>
          <w:sz w:val="18"/>
          <w:szCs w:val="26"/>
          <w:rtl/>
          <w:lang w:eastAsia="zh-TW"/>
        </w:rPr>
        <w:t>تقرير</w:t>
      </w:r>
      <w:r>
        <w:rPr>
          <w:sz w:val="18"/>
          <w:szCs w:val="26"/>
          <w:rtl/>
          <w:lang w:eastAsia="zh-TW"/>
        </w:rPr>
        <w:t xml:space="preserve"> </w:t>
      </w:r>
      <w:r w:rsidRPr="0037421A">
        <w:rPr>
          <w:sz w:val="18"/>
          <w:szCs w:val="26"/>
          <w:rtl/>
          <w:lang w:eastAsia="zh-TW"/>
        </w:rPr>
        <w:t>مرصد</w:t>
      </w:r>
      <w:r>
        <w:rPr>
          <w:sz w:val="18"/>
          <w:szCs w:val="26"/>
          <w:rtl/>
          <w:lang w:eastAsia="zh-TW"/>
        </w:rPr>
        <w:t xml:space="preserve"> </w:t>
      </w:r>
      <w:r w:rsidRPr="0037421A">
        <w:rPr>
          <w:sz w:val="18"/>
          <w:szCs w:val="26"/>
          <w:rtl/>
          <w:lang w:eastAsia="zh-TW"/>
        </w:rPr>
        <w:t>العلمانية</w:t>
      </w:r>
      <w:r>
        <w:rPr>
          <w:sz w:val="18"/>
          <w:szCs w:val="26"/>
          <w:rtl/>
          <w:lang w:eastAsia="zh-TW"/>
        </w:rPr>
        <w:t xml:space="preserve"> </w:t>
      </w:r>
      <w:r w:rsidRPr="0037421A">
        <w:rPr>
          <w:sz w:val="18"/>
          <w:szCs w:val="26"/>
          <w:rtl/>
          <w:lang w:eastAsia="zh-TW"/>
        </w:rPr>
        <w:t>لعام</w:t>
      </w:r>
      <w:r>
        <w:rPr>
          <w:sz w:val="18"/>
          <w:szCs w:val="26"/>
          <w:rtl/>
          <w:lang w:eastAsia="zh-TW"/>
        </w:rPr>
        <w:t xml:space="preserve"> </w:t>
      </w:r>
      <w:r w:rsidRPr="0037421A">
        <w:rPr>
          <w:sz w:val="18"/>
          <w:szCs w:val="26"/>
          <w:rtl/>
          <w:lang w:eastAsia="zh-TW"/>
        </w:rPr>
        <w:t>2013،</w:t>
      </w:r>
      <w:r>
        <w:rPr>
          <w:sz w:val="18"/>
          <w:szCs w:val="26"/>
          <w:rtl/>
          <w:lang w:eastAsia="zh-TW"/>
        </w:rPr>
        <w:t xml:space="preserve"> </w:t>
      </w:r>
      <w:r w:rsidRPr="0037421A">
        <w:rPr>
          <w:sz w:val="18"/>
          <w:szCs w:val="26"/>
          <w:rtl/>
          <w:lang w:eastAsia="zh-TW"/>
        </w:rPr>
        <w:t>وهو</w:t>
      </w:r>
      <w:r>
        <w:rPr>
          <w:sz w:val="18"/>
          <w:szCs w:val="26"/>
          <w:rtl/>
          <w:lang w:eastAsia="zh-TW"/>
        </w:rPr>
        <w:t xml:space="preserve"> </w:t>
      </w:r>
      <w:r w:rsidRPr="0037421A">
        <w:rPr>
          <w:sz w:val="18"/>
          <w:szCs w:val="26"/>
          <w:rtl/>
          <w:lang w:eastAsia="zh-TW"/>
        </w:rPr>
        <w:t>هيئة</w:t>
      </w:r>
      <w:r>
        <w:rPr>
          <w:sz w:val="18"/>
          <w:szCs w:val="26"/>
          <w:rtl/>
          <w:lang w:eastAsia="zh-TW"/>
        </w:rPr>
        <w:t xml:space="preserve"> </w:t>
      </w:r>
      <w:r w:rsidRPr="0037421A">
        <w:rPr>
          <w:sz w:val="18"/>
          <w:szCs w:val="26"/>
          <w:rtl/>
          <w:lang w:eastAsia="zh-TW"/>
        </w:rPr>
        <w:t>تابعة</w:t>
      </w:r>
      <w:r>
        <w:rPr>
          <w:sz w:val="18"/>
          <w:szCs w:val="26"/>
          <w:rtl/>
          <w:lang w:eastAsia="zh-TW"/>
        </w:rPr>
        <w:t xml:space="preserve"> </w:t>
      </w:r>
      <w:r w:rsidRPr="0037421A">
        <w:rPr>
          <w:sz w:val="18"/>
          <w:szCs w:val="26"/>
          <w:rtl/>
          <w:lang w:eastAsia="zh-TW"/>
        </w:rPr>
        <w:t>لمكتب</w:t>
      </w:r>
      <w:r>
        <w:rPr>
          <w:sz w:val="18"/>
          <w:szCs w:val="26"/>
          <w:rtl/>
          <w:lang w:eastAsia="zh-TW"/>
        </w:rPr>
        <w:t xml:space="preserve"> </w:t>
      </w:r>
      <w:r w:rsidRPr="0037421A">
        <w:rPr>
          <w:sz w:val="18"/>
          <w:szCs w:val="26"/>
          <w:rtl/>
          <w:lang w:eastAsia="zh-TW"/>
        </w:rPr>
        <w:t>رئيس</w:t>
      </w:r>
      <w:r>
        <w:rPr>
          <w:sz w:val="18"/>
          <w:szCs w:val="26"/>
          <w:rtl/>
          <w:lang w:eastAsia="zh-TW"/>
        </w:rPr>
        <w:t xml:space="preserve"> </w:t>
      </w:r>
      <w:r w:rsidRPr="0037421A">
        <w:rPr>
          <w:sz w:val="18"/>
          <w:szCs w:val="26"/>
          <w:rtl/>
          <w:lang w:eastAsia="zh-TW"/>
        </w:rPr>
        <w:t>الوزراء</w:t>
      </w:r>
      <w:r>
        <w:rPr>
          <w:sz w:val="18"/>
          <w:szCs w:val="26"/>
          <w:rtl/>
          <w:lang w:eastAsia="zh-TW"/>
        </w:rPr>
        <w:t xml:space="preserve"> </w:t>
      </w:r>
      <w:r w:rsidRPr="0037421A">
        <w:rPr>
          <w:sz w:val="18"/>
          <w:szCs w:val="26"/>
          <w:rtl/>
          <w:lang w:eastAsia="zh-TW"/>
        </w:rPr>
        <w:t>الفرنسي،</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أنه</w:t>
      </w:r>
      <w:r>
        <w:rPr>
          <w:sz w:val="18"/>
          <w:szCs w:val="26"/>
          <w:rtl/>
          <w:lang w:eastAsia="zh-TW"/>
        </w:rPr>
        <w:t xml:space="preserve"> </w:t>
      </w:r>
      <w:r w:rsidRPr="0037421A">
        <w:rPr>
          <w:sz w:val="18"/>
          <w:szCs w:val="26"/>
          <w:rtl/>
          <w:lang w:eastAsia="zh-TW"/>
        </w:rPr>
        <w:t>"منذ</w:t>
      </w:r>
      <w:r>
        <w:rPr>
          <w:sz w:val="18"/>
          <w:szCs w:val="26"/>
          <w:rtl/>
          <w:lang w:eastAsia="zh-TW"/>
        </w:rPr>
        <w:t xml:space="preserve"> </w:t>
      </w:r>
      <w:r w:rsidRPr="0037421A">
        <w:rPr>
          <w:sz w:val="18"/>
          <w:szCs w:val="26"/>
          <w:rtl/>
          <w:lang w:eastAsia="zh-TW"/>
        </w:rPr>
        <w:t>بداية</w:t>
      </w:r>
      <w:r>
        <w:rPr>
          <w:sz w:val="18"/>
          <w:szCs w:val="26"/>
          <w:rtl/>
          <w:lang w:eastAsia="zh-TW"/>
        </w:rPr>
        <w:t xml:space="preserve"> </w:t>
      </w:r>
      <w:r w:rsidRPr="0037421A">
        <w:rPr>
          <w:sz w:val="18"/>
          <w:szCs w:val="26"/>
          <w:rtl/>
          <w:lang w:eastAsia="zh-TW"/>
        </w:rPr>
        <w:t>تنفيذ</w:t>
      </w:r>
      <w:r>
        <w:rPr>
          <w:sz w:val="18"/>
          <w:szCs w:val="26"/>
          <w:rtl/>
          <w:lang w:eastAsia="zh-TW"/>
        </w:rPr>
        <w:t xml:space="preserve"> </w:t>
      </w:r>
      <w:r w:rsidRPr="0037421A">
        <w:rPr>
          <w:sz w:val="18"/>
          <w:szCs w:val="26"/>
          <w:rtl/>
          <w:lang w:eastAsia="zh-TW"/>
        </w:rPr>
        <w:t>القانون</w:t>
      </w:r>
      <w:r>
        <w:rPr>
          <w:sz w:val="18"/>
          <w:szCs w:val="26"/>
          <w:rtl/>
          <w:lang w:eastAsia="zh-TW"/>
        </w:rPr>
        <w:t xml:space="preserve"> </w:t>
      </w:r>
      <w:r w:rsidRPr="0037421A">
        <w:rPr>
          <w:sz w:val="18"/>
          <w:szCs w:val="26"/>
          <w:rtl/>
          <w:lang w:eastAsia="zh-TW"/>
        </w:rPr>
        <w:t>وحتى</w:t>
      </w:r>
      <w:r>
        <w:rPr>
          <w:sz w:val="18"/>
          <w:szCs w:val="26"/>
          <w:rtl/>
          <w:lang w:eastAsia="zh-TW"/>
        </w:rPr>
        <w:t xml:space="preserve"> </w:t>
      </w:r>
      <w:r w:rsidRPr="0037421A">
        <w:rPr>
          <w:sz w:val="18"/>
          <w:szCs w:val="26"/>
          <w:rtl/>
          <w:lang w:eastAsia="zh-TW"/>
        </w:rPr>
        <w:t>21</w:t>
      </w:r>
      <w:r>
        <w:rPr>
          <w:sz w:val="18"/>
          <w:szCs w:val="26"/>
          <w:rtl/>
          <w:lang w:eastAsia="zh-TW"/>
        </w:rPr>
        <w:t xml:space="preserve"> </w:t>
      </w:r>
      <w:r w:rsidRPr="0037421A">
        <w:rPr>
          <w:sz w:val="18"/>
          <w:szCs w:val="26"/>
          <w:rtl/>
          <w:lang w:eastAsia="zh-TW"/>
        </w:rPr>
        <w:t>شباط/فبراير</w:t>
      </w:r>
      <w:r>
        <w:rPr>
          <w:sz w:val="18"/>
          <w:szCs w:val="26"/>
          <w:rtl/>
          <w:lang w:eastAsia="zh-TW"/>
        </w:rPr>
        <w:t xml:space="preserve"> </w:t>
      </w:r>
      <w:r w:rsidRPr="0037421A">
        <w:rPr>
          <w:sz w:val="18"/>
          <w:szCs w:val="26"/>
          <w:rtl/>
          <w:lang w:eastAsia="zh-TW"/>
        </w:rPr>
        <w:t>2014،</w:t>
      </w:r>
      <w:r>
        <w:rPr>
          <w:sz w:val="18"/>
          <w:szCs w:val="26"/>
          <w:rtl/>
          <w:lang w:eastAsia="zh-TW"/>
        </w:rPr>
        <w:t xml:space="preserve"> </w:t>
      </w:r>
      <w:r w:rsidRPr="0037421A">
        <w:rPr>
          <w:sz w:val="18"/>
          <w:szCs w:val="26"/>
          <w:rtl/>
          <w:lang w:eastAsia="zh-TW"/>
        </w:rPr>
        <w:t>نُفذت</w:t>
      </w:r>
      <w:r>
        <w:rPr>
          <w:sz w:val="18"/>
          <w:szCs w:val="26"/>
          <w:rtl/>
          <w:lang w:eastAsia="zh-TW"/>
        </w:rPr>
        <w:t xml:space="preserve"> </w:t>
      </w:r>
      <w:r w:rsidRPr="0037421A">
        <w:rPr>
          <w:sz w:val="18"/>
          <w:szCs w:val="26"/>
          <w:rtl/>
          <w:lang w:eastAsia="zh-TW"/>
        </w:rPr>
        <w:t>111</w:t>
      </w:r>
      <w:r>
        <w:rPr>
          <w:sz w:val="18"/>
          <w:szCs w:val="26"/>
          <w:rtl/>
          <w:lang w:eastAsia="zh-TW"/>
        </w:rPr>
        <w:t xml:space="preserve"> </w:t>
      </w:r>
      <w:r w:rsidRPr="0037421A">
        <w:rPr>
          <w:sz w:val="18"/>
          <w:szCs w:val="26"/>
          <w:rtl/>
          <w:lang w:eastAsia="zh-TW"/>
        </w:rPr>
        <w:t>1</w:t>
      </w:r>
      <w:r>
        <w:rPr>
          <w:sz w:val="18"/>
          <w:szCs w:val="26"/>
          <w:rtl/>
          <w:lang w:eastAsia="zh-TW"/>
        </w:rPr>
        <w:t xml:space="preserve"> </w:t>
      </w:r>
      <w:r w:rsidRPr="0037421A">
        <w:rPr>
          <w:sz w:val="18"/>
          <w:szCs w:val="26"/>
          <w:rtl/>
          <w:lang w:eastAsia="zh-TW"/>
        </w:rPr>
        <w:t>عملية</w:t>
      </w:r>
      <w:r>
        <w:rPr>
          <w:sz w:val="18"/>
          <w:szCs w:val="26"/>
          <w:rtl/>
          <w:lang w:eastAsia="zh-TW"/>
        </w:rPr>
        <w:t xml:space="preserve"> </w:t>
      </w:r>
      <w:r w:rsidRPr="0037421A">
        <w:rPr>
          <w:sz w:val="18"/>
          <w:szCs w:val="26"/>
          <w:rtl/>
          <w:lang w:eastAsia="zh-TW"/>
        </w:rPr>
        <w:t>تحقق</w:t>
      </w:r>
      <w:r>
        <w:rPr>
          <w:sz w:val="18"/>
          <w:szCs w:val="26"/>
          <w:rtl/>
          <w:lang w:eastAsia="zh-TW"/>
        </w:rPr>
        <w:t xml:space="preserve"> </w:t>
      </w:r>
      <w:r w:rsidRPr="0037421A">
        <w:rPr>
          <w:sz w:val="18"/>
          <w:szCs w:val="26"/>
          <w:rtl/>
          <w:lang w:eastAsia="zh-TW"/>
        </w:rPr>
        <w:t>أمني</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الهوية</w:t>
      </w:r>
      <w:r>
        <w:rPr>
          <w:sz w:val="18"/>
          <w:szCs w:val="26"/>
          <w:rtl/>
          <w:lang w:eastAsia="zh-TW"/>
        </w:rPr>
        <w:t xml:space="preserve"> </w:t>
      </w:r>
      <w:r w:rsidRPr="0037421A">
        <w:rPr>
          <w:sz w:val="18"/>
          <w:szCs w:val="26"/>
          <w:rtl/>
          <w:lang w:eastAsia="zh-TW"/>
        </w:rPr>
        <w:t>شملت</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أغلبيتها</w:t>
      </w:r>
      <w:r>
        <w:rPr>
          <w:sz w:val="18"/>
          <w:szCs w:val="26"/>
          <w:rtl/>
          <w:lang w:eastAsia="zh-TW"/>
        </w:rPr>
        <w:t xml:space="preserve"> </w:t>
      </w:r>
      <w:r w:rsidRPr="0037421A">
        <w:rPr>
          <w:sz w:val="18"/>
          <w:szCs w:val="26"/>
          <w:rtl/>
          <w:lang w:eastAsia="zh-TW"/>
        </w:rPr>
        <w:t>العظمى</w:t>
      </w:r>
      <w:r>
        <w:rPr>
          <w:sz w:val="18"/>
          <w:szCs w:val="26"/>
          <w:rtl/>
          <w:lang w:eastAsia="zh-TW"/>
        </w:rPr>
        <w:t xml:space="preserve"> </w:t>
      </w:r>
      <w:r w:rsidRPr="0037421A">
        <w:rPr>
          <w:sz w:val="18"/>
          <w:szCs w:val="26"/>
          <w:rtl/>
          <w:lang w:eastAsia="zh-TW"/>
        </w:rPr>
        <w:t>نساء</w:t>
      </w:r>
      <w:r>
        <w:rPr>
          <w:sz w:val="18"/>
          <w:szCs w:val="26"/>
          <w:rtl/>
          <w:lang w:eastAsia="zh-TW"/>
        </w:rPr>
        <w:t xml:space="preserve"> </w:t>
      </w:r>
      <w:r w:rsidRPr="0037421A">
        <w:rPr>
          <w:sz w:val="18"/>
          <w:szCs w:val="26"/>
          <w:rtl/>
          <w:lang w:eastAsia="zh-TW"/>
        </w:rPr>
        <w:t>يرتدين</w:t>
      </w:r>
      <w:r>
        <w:rPr>
          <w:sz w:val="18"/>
          <w:szCs w:val="26"/>
          <w:rtl/>
          <w:lang w:eastAsia="zh-TW"/>
        </w:rPr>
        <w:t xml:space="preserve"> </w:t>
      </w:r>
      <w:r w:rsidRPr="0037421A">
        <w:rPr>
          <w:sz w:val="18"/>
          <w:szCs w:val="26"/>
          <w:rtl/>
          <w:lang w:eastAsia="zh-TW"/>
        </w:rPr>
        <w:t>النقاب</w:t>
      </w:r>
      <w:r w:rsidRPr="0037421A">
        <w:rPr>
          <w:sz w:val="18"/>
          <w:szCs w:val="26"/>
          <w:lang w:eastAsia="zh-TW"/>
        </w:rPr>
        <w:t>.</w:t>
      </w:r>
      <w:r>
        <w:rPr>
          <w:sz w:val="18"/>
          <w:szCs w:val="26"/>
          <w:rtl/>
          <w:lang w:eastAsia="zh-TW"/>
        </w:rPr>
        <w:t xml:space="preserve"> </w:t>
      </w:r>
      <w:r w:rsidRPr="0037421A">
        <w:rPr>
          <w:sz w:val="18"/>
          <w:szCs w:val="26"/>
          <w:rtl/>
          <w:lang w:eastAsia="zh-TW"/>
        </w:rPr>
        <w:t>وخضعت</w:t>
      </w:r>
      <w:r>
        <w:rPr>
          <w:sz w:val="18"/>
          <w:szCs w:val="26"/>
          <w:rtl/>
          <w:lang w:eastAsia="zh-TW"/>
        </w:rPr>
        <w:t xml:space="preserve"> </w:t>
      </w:r>
      <w:r w:rsidRPr="0037421A">
        <w:rPr>
          <w:sz w:val="18"/>
          <w:szCs w:val="26"/>
          <w:rtl/>
          <w:lang w:eastAsia="zh-TW"/>
        </w:rPr>
        <w:t>بعض</w:t>
      </w:r>
      <w:r>
        <w:rPr>
          <w:sz w:val="18"/>
          <w:szCs w:val="26"/>
          <w:rtl/>
          <w:lang w:eastAsia="zh-TW"/>
        </w:rPr>
        <w:t xml:space="preserve"> </w:t>
      </w:r>
      <w:r w:rsidRPr="0037421A">
        <w:rPr>
          <w:sz w:val="18"/>
          <w:szCs w:val="26"/>
          <w:rtl/>
          <w:lang w:eastAsia="zh-TW"/>
        </w:rPr>
        <w:t>هؤلاء</w:t>
      </w:r>
      <w:r>
        <w:rPr>
          <w:sz w:val="18"/>
          <w:szCs w:val="26"/>
          <w:rtl/>
          <w:lang w:eastAsia="zh-TW"/>
        </w:rPr>
        <w:t xml:space="preserve"> </w:t>
      </w:r>
      <w:r w:rsidRPr="0037421A">
        <w:rPr>
          <w:sz w:val="18"/>
          <w:szCs w:val="26"/>
          <w:rtl/>
          <w:lang w:eastAsia="zh-TW"/>
        </w:rPr>
        <w:t>النساء</w:t>
      </w:r>
      <w:r>
        <w:rPr>
          <w:sz w:val="18"/>
          <w:szCs w:val="26"/>
          <w:rtl/>
          <w:lang w:eastAsia="zh-TW"/>
        </w:rPr>
        <w:t xml:space="preserve"> </w:t>
      </w:r>
      <w:r w:rsidRPr="0037421A">
        <w:rPr>
          <w:sz w:val="18"/>
          <w:szCs w:val="26"/>
          <w:rtl/>
          <w:lang w:eastAsia="zh-TW"/>
        </w:rPr>
        <w:t>لهذا</w:t>
      </w:r>
      <w:r>
        <w:rPr>
          <w:sz w:val="18"/>
          <w:szCs w:val="26"/>
          <w:rtl/>
          <w:lang w:eastAsia="zh-TW"/>
        </w:rPr>
        <w:t xml:space="preserve"> </w:t>
      </w:r>
      <w:r w:rsidRPr="0037421A">
        <w:rPr>
          <w:sz w:val="18"/>
          <w:szCs w:val="26"/>
          <w:rtl/>
          <w:lang w:eastAsia="zh-TW"/>
        </w:rPr>
        <w:t>التحقق</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الهوية</w:t>
      </w:r>
      <w:r>
        <w:rPr>
          <w:sz w:val="18"/>
          <w:szCs w:val="26"/>
          <w:rtl/>
          <w:lang w:eastAsia="zh-TW"/>
        </w:rPr>
        <w:t xml:space="preserve"> </w:t>
      </w:r>
      <w:r w:rsidRPr="0037421A">
        <w:rPr>
          <w:sz w:val="18"/>
          <w:szCs w:val="26"/>
          <w:rtl/>
          <w:lang w:eastAsia="zh-TW"/>
        </w:rPr>
        <w:t>مرات</w:t>
      </w:r>
      <w:r>
        <w:rPr>
          <w:sz w:val="18"/>
          <w:szCs w:val="26"/>
          <w:rtl/>
          <w:lang w:eastAsia="zh-TW"/>
        </w:rPr>
        <w:t xml:space="preserve"> </w:t>
      </w:r>
      <w:r w:rsidRPr="0037421A">
        <w:rPr>
          <w:sz w:val="18"/>
          <w:szCs w:val="26"/>
          <w:rtl/>
          <w:lang w:eastAsia="zh-TW"/>
        </w:rPr>
        <w:t>عديدة</w:t>
      </w:r>
      <w:r w:rsidRPr="0037421A">
        <w:rPr>
          <w:sz w:val="18"/>
          <w:szCs w:val="26"/>
          <w:lang w:eastAsia="zh-TW"/>
        </w:rPr>
        <w:t>.</w:t>
      </w:r>
      <w:r>
        <w:rPr>
          <w:sz w:val="18"/>
          <w:szCs w:val="26"/>
          <w:rtl/>
          <w:lang w:eastAsia="zh-TW"/>
        </w:rPr>
        <w:t xml:space="preserve"> </w:t>
      </w:r>
      <w:r w:rsidRPr="0037421A">
        <w:rPr>
          <w:sz w:val="18"/>
          <w:szCs w:val="26"/>
          <w:rtl/>
          <w:lang w:eastAsia="zh-TW"/>
        </w:rPr>
        <w:t>وقد</w:t>
      </w:r>
      <w:r>
        <w:rPr>
          <w:sz w:val="18"/>
          <w:szCs w:val="26"/>
          <w:rtl/>
          <w:lang w:eastAsia="zh-TW"/>
        </w:rPr>
        <w:t xml:space="preserve"> </w:t>
      </w:r>
      <w:r w:rsidRPr="0037421A">
        <w:rPr>
          <w:sz w:val="18"/>
          <w:szCs w:val="26"/>
          <w:rtl/>
          <w:lang w:eastAsia="zh-TW"/>
        </w:rPr>
        <w:t>حرر</w:t>
      </w:r>
      <w:r>
        <w:rPr>
          <w:sz w:val="18"/>
          <w:szCs w:val="26"/>
          <w:rtl/>
          <w:lang w:eastAsia="zh-TW"/>
        </w:rPr>
        <w:t xml:space="preserve"> </w:t>
      </w:r>
      <w:r w:rsidRPr="0037421A">
        <w:rPr>
          <w:sz w:val="18"/>
          <w:szCs w:val="26"/>
          <w:rtl/>
          <w:lang w:eastAsia="zh-TW"/>
        </w:rPr>
        <w:t>ما</w:t>
      </w:r>
      <w:r w:rsidR="009A1C3F">
        <w:rPr>
          <w:rFonts w:hint="cs"/>
          <w:sz w:val="18"/>
          <w:szCs w:val="26"/>
          <w:rtl/>
          <w:lang w:eastAsia="zh-TW"/>
        </w:rPr>
        <w:t> </w:t>
      </w:r>
      <w:r w:rsidRPr="0037421A">
        <w:rPr>
          <w:sz w:val="18"/>
          <w:szCs w:val="26"/>
          <w:rtl/>
          <w:lang w:eastAsia="zh-TW"/>
        </w:rPr>
        <w:t>مجموعه</w:t>
      </w:r>
      <w:r>
        <w:rPr>
          <w:sz w:val="18"/>
          <w:szCs w:val="26"/>
          <w:rtl/>
          <w:lang w:eastAsia="zh-TW"/>
        </w:rPr>
        <w:t xml:space="preserve"> </w:t>
      </w:r>
      <w:r w:rsidRPr="0037421A">
        <w:rPr>
          <w:sz w:val="18"/>
          <w:szCs w:val="26"/>
          <w:rtl/>
          <w:lang w:eastAsia="zh-TW"/>
        </w:rPr>
        <w:t>038</w:t>
      </w:r>
      <w:r>
        <w:rPr>
          <w:sz w:val="18"/>
          <w:szCs w:val="26"/>
          <w:rtl/>
          <w:lang w:eastAsia="zh-TW"/>
        </w:rPr>
        <w:t xml:space="preserve"> </w:t>
      </w:r>
      <w:r w:rsidRPr="0037421A">
        <w:rPr>
          <w:sz w:val="18"/>
          <w:szCs w:val="26"/>
          <w:rtl/>
          <w:lang w:eastAsia="zh-TW"/>
        </w:rPr>
        <w:t>1</w:t>
      </w:r>
      <w:r>
        <w:rPr>
          <w:sz w:val="18"/>
          <w:szCs w:val="26"/>
          <w:rtl/>
          <w:lang w:eastAsia="zh-TW"/>
        </w:rPr>
        <w:t xml:space="preserve"> </w:t>
      </w:r>
      <w:r w:rsidRPr="0037421A">
        <w:rPr>
          <w:sz w:val="18"/>
          <w:szCs w:val="26"/>
          <w:rtl/>
          <w:lang w:eastAsia="zh-TW"/>
        </w:rPr>
        <w:t>محضر</w:t>
      </w:r>
      <w:r>
        <w:rPr>
          <w:sz w:val="18"/>
          <w:szCs w:val="26"/>
          <w:rtl/>
          <w:lang w:eastAsia="zh-TW"/>
        </w:rPr>
        <w:t xml:space="preserve"> </w:t>
      </w:r>
      <w:r w:rsidRPr="0037421A">
        <w:rPr>
          <w:sz w:val="18"/>
          <w:szCs w:val="26"/>
          <w:rtl/>
          <w:lang w:eastAsia="zh-TW"/>
        </w:rPr>
        <w:t>شرطة</w:t>
      </w:r>
      <w:r>
        <w:rPr>
          <w:sz w:val="18"/>
          <w:szCs w:val="26"/>
          <w:rtl/>
          <w:lang w:eastAsia="zh-TW"/>
        </w:rPr>
        <w:t xml:space="preserve"> </w:t>
      </w:r>
      <w:r w:rsidRPr="0037421A">
        <w:rPr>
          <w:sz w:val="18"/>
          <w:szCs w:val="26"/>
          <w:rtl/>
          <w:lang w:eastAsia="zh-TW"/>
        </w:rPr>
        <w:t>لتسجيل</w:t>
      </w:r>
      <w:r>
        <w:rPr>
          <w:sz w:val="18"/>
          <w:szCs w:val="26"/>
          <w:rtl/>
          <w:lang w:eastAsia="zh-TW"/>
        </w:rPr>
        <w:t xml:space="preserve"> </w:t>
      </w:r>
      <w:r w:rsidRPr="0037421A">
        <w:rPr>
          <w:sz w:val="18"/>
          <w:szCs w:val="26"/>
          <w:rtl/>
          <w:lang w:eastAsia="zh-TW"/>
        </w:rPr>
        <w:t>المخالفة،</w:t>
      </w:r>
      <w:r>
        <w:rPr>
          <w:sz w:val="18"/>
          <w:szCs w:val="26"/>
          <w:rtl/>
          <w:lang w:eastAsia="zh-TW"/>
        </w:rPr>
        <w:t xml:space="preserve"> </w:t>
      </w:r>
      <w:r w:rsidRPr="0037421A">
        <w:rPr>
          <w:sz w:val="18"/>
          <w:szCs w:val="26"/>
          <w:rtl/>
          <w:lang w:eastAsia="zh-TW"/>
        </w:rPr>
        <w:t>ووجه</w:t>
      </w:r>
      <w:r>
        <w:rPr>
          <w:sz w:val="18"/>
          <w:szCs w:val="26"/>
          <w:rtl/>
          <w:lang w:eastAsia="zh-TW"/>
        </w:rPr>
        <w:t xml:space="preserve"> </w:t>
      </w:r>
      <w:r w:rsidRPr="0037421A">
        <w:rPr>
          <w:sz w:val="18"/>
          <w:szCs w:val="26"/>
          <w:rtl/>
          <w:lang w:eastAsia="zh-TW"/>
        </w:rPr>
        <w:t>إنذار</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61</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المخالِفات</w:t>
      </w:r>
      <w:r w:rsidRPr="0037421A">
        <w:rPr>
          <w:sz w:val="18"/>
          <w:szCs w:val="26"/>
          <w:lang w:eastAsia="zh-TW"/>
        </w:rPr>
        <w:t>.</w:t>
      </w:r>
      <w:r>
        <w:rPr>
          <w:sz w:val="18"/>
          <w:szCs w:val="26"/>
          <w:rtl/>
          <w:lang w:eastAsia="zh-TW"/>
        </w:rPr>
        <w:t xml:space="preserve"> </w:t>
      </w:r>
      <w:r w:rsidRPr="0037421A">
        <w:rPr>
          <w:sz w:val="18"/>
          <w:szCs w:val="26"/>
          <w:rtl/>
          <w:lang w:eastAsia="zh-TW"/>
        </w:rPr>
        <w:t>وكان</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أصل</w:t>
      </w:r>
      <w:r>
        <w:rPr>
          <w:sz w:val="18"/>
          <w:szCs w:val="26"/>
          <w:rtl/>
          <w:lang w:eastAsia="zh-TW"/>
        </w:rPr>
        <w:t xml:space="preserve"> </w:t>
      </w:r>
      <w:r w:rsidRPr="0037421A">
        <w:rPr>
          <w:sz w:val="18"/>
          <w:szCs w:val="26"/>
          <w:rtl/>
          <w:lang w:eastAsia="zh-TW"/>
        </w:rPr>
        <w:t>594</w:t>
      </w:r>
      <w:r>
        <w:rPr>
          <w:sz w:val="18"/>
          <w:szCs w:val="26"/>
          <w:rtl/>
          <w:lang w:eastAsia="zh-TW"/>
        </w:rPr>
        <w:t xml:space="preserve"> </w:t>
      </w:r>
      <w:r w:rsidRPr="0037421A">
        <w:rPr>
          <w:sz w:val="18"/>
          <w:szCs w:val="26"/>
          <w:rtl/>
          <w:lang w:eastAsia="zh-TW"/>
        </w:rPr>
        <w:t>امرأة</w:t>
      </w:r>
      <w:r>
        <w:rPr>
          <w:sz w:val="18"/>
          <w:szCs w:val="26"/>
          <w:rtl/>
          <w:lang w:eastAsia="zh-TW"/>
        </w:rPr>
        <w:t xml:space="preserve"> </w:t>
      </w:r>
      <w:r w:rsidRPr="0037421A">
        <w:rPr>
          <w:sz w:val="18"/>
          <w:szCs w:val="26"/>
          <w:rtl/>
          <w:lang w:eastAsia="zh-TW"/>
        </w:rPr>
        <w:t>منتقبة</w:t>
      </w:r>
      <w:r>
        <w:rPr>
          <w:sz w:val="18"/>
          <w:szCs w:val="26"/>
          <w:rtl/>
          <w:lang w:eastAsia="zh-TW"/>
        </w:rPr>
        <w:t xml:space="preserve"> </w:t>
      </w:r>
      <w:r w:rsidRPr="0037421A">
        <w:rPr>
          <w:sz w:val="18"/>
          <w:szCs w:val="26"/>
          <w:rtl/>
          <w:lang w:eastAsia="zh-TW"/>
        </w:rPr>
        <w:t>تعرضن</w:t>
      </w:r>
      <w:r>
        <w:rPr>
          <w:sz w:val="18"/>
          <w:szCs w:val="26"/>
          <w:rtl/>
          <w:lang w:eastAsia="zh-TW"/>
        </w:rPr>
        <w:t xml:space="preserve"> </w:t>
      </w:r>
      <w:r w:rsidRPr="0037421A">
        <w:rPr>
          <w:sz w:val="18"/>
          <w:szCs w:val="26"/>
          <w:rtl/>
          <w:lang w:eastAsia="zh-TW"/>
        </w:rPr>
        <w:t>للتفتيش</w:t>
      </w:r>
      <w:r>
        <w:rPr>
          <w:sz w:val="18"/>
          <w:szCs w:val="26"/>
          <w:rtl/>
          <w:lang w:eastAsia="zh-TW"/>
        </w:rPr>
        <w:t xml:space="preserve"> </w:t>
      </w:r>
      <w:r w:rsidRPr="0037421A">
        <w:rPr>
          <w:sz w:val="18"/>
          <w:szCs w:val="26"/>
          <w:rtl/>
          <w:lang w:eastAsia="zh-TW"/>
        </w:rPr>
        <w:t>461</w:t>
      </w:r>
      <w:r>
        <w:rPr>
          <w:sz w:val="18"/>
          <w:szCs w:val="26"/>
          <w:rtl/>
          <w:lang w:eastAsia="zh-TW"/>
        </w:rPr>
        <w:t xml:space="preserve"> </w:t>
      </w:r>
      <w:r w:rsidRPr="0037421A">
        <w:rPr>
          <w:sz w:val="18"/>
          <w:szCs w:val="26"/>
          <w:rtl/>
          <w:lang w:eastAsia="zh-TW"/>
        </w:rPr>
        <w:t>امرأة</w:t>
      </w:r>
      <w:r>
        <w:rPr>
          <w:sz w:val="18"/>
          <w:szCs w:val="26"/>
          <w:rtl/>
          <w:lang w:eastAsia="zh-TW"/>
        </w:rPr>
        <w:t xml:space="preserve"> </w:t>
      </w:r>
      <w:r w:rsidRPr="0037421A">
        <w:rPr>
          <w:sz w:val="18"/>
          <w:szCs w:val="26"/>
          <w:rtl/>
          <w:lang w:eastAsia="zh-TW"/>
        </w:rPr>
        <w:t>مولودة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فرنسا،</w:t>
      </w:r>
      <w:r>
        <w:rPr>
          <w:sz w:val="18"/>
          <w:szCs w:val="26"/>
          <w:rtl/>
          <w:lang w:eastAsia="zh-TW"/>
        </w:rPr>
        <w:t xml:space="preserve"> </w:t>
      </w:r>
      <w:r w:rsidRPr="0037421A">
        <w:rPr>
          <w:sz w:val="18"/>
          <w:szCs w:val="26"/>
          <w:rtl/>
          <w:lang w:eastAsia="zh-TW"/>
        </w:rPr>
        <w:t>و133</w:t>
      </w:r>
      <w:r>
        <w:rPr>
          <w:sz w:val="18"/>
          <w:szCs w:val="26"/>
          <w:rtl/>
          <w:lang w:eastAsia="zh-TW"/>
        </w:rPr>
        <w:t xml:space="preserve"> </w:t>
      </w:r>
      <w:r w:rsidRPr="0037421A">
        <w:rPr>
          <w:sz w:val="18"/>
          <w:szCs w:val="26"/>
          <w:rtl/>
          <w:lang w:eastAsia="zh-TW"/>
        </w:rPr>
        <w:t>امرأة</w:t>
      </w:r>
      <w:r>
        <w:rPr>
          <w:sz w:val="18"/>
          <w:szCs w:val="26"/>
          <w:rtl/>
          <w:lang w:eastAsia="zh-TW"/>
        </w:rPr>
        <w:t xml:space="preserve"> </w:t>
      </w:r>
      <w:r w:rsidRPr="0037421A">
        <w:rPr>
          <w:sz w:val="18"/>
          <w:szCs w:val="26"/>
          <w:rtl/>
          <w:lang w:eastAsia="zh-TW"/>
        </w:rPr>
        <w:t>مولودة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الخارج</w:t>
      </w:r>
      <w:r w:rsidRPr="0037421A">
        <w:rPr>
          <w:sz w:val="18"/>
          <w:szCs w:val="26"/>
          <w:lang w:eastAsia="zh-TW"/>
        </w:rPr>
        <w:t>.</w:t>
      </w:r>
      <w:r>
        <w:rPr>
          <w:sz w:val="18"/>
          <w:szCs w:val="26"/>
          <w:rtl/>
          <w:lang w:eastAsia="zh-TW"/>
        </w:rPr>
        <w:t xml:space="preserve"> </w:t>
      </w:r>
      <w:r w:rsidRPr="0037421A">
        <w:rPr>
          <w:sz w:val="18"/>
          <w:szCs w:val="26"/>
          <w:rtl/>
          <w:lang w:eastAsia="zh-TW"/>
        </w:rPr>
        <w:t>وتنتمي</w:t>
      </w:r>
      <w:r>
        <w:rPr>
          <w:sz w:val="18"/>
          <w:szCs w:val="26"/>
          <w:rtl/>
          <w:lang w:eastAsia="zh-TW"/>
        </w:rPr>
        <w:t xml:space="preserve"> </w:t>
      </w:r>
      <w:r w:rsidRPr="0037421A">
        <w:rPr>
          <w:sz w:val="18"/>
          <w:szCs w:val="26"/>
          <w:rtl/>
          <w:lang w:eastAsia="zh-TW"/>
        </w:rPr>
        <w:t>الأجنبيات</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معظمهن</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بلدان</w:t>
      </w:r>
      <w:r>
        <w:rPr>
          <w:sz w:val="18"/>
          <w:szCs w:val="26"/>
          <w:rtl/>
          <w:lang w:eastAsia="zh-TW"/>
        </w:rPr>
        <w:t xml:space="preserve"> </w:t>
      </w:r>
      <w:r w:rsidRPr="0037421A">
        <w:rPr>
          <w:sz w:val="18"/>
          <w:szCs w:val="26"/>
          <w:rtl/>
          <w:lang w:eastAsia="zh-TW"/>
        </w:rPr>
        <w:t>المغرب</w:t>
      </w:r>
      <w:r>
        <w:rPr>
          <w:sz w:val="18"/>
          <w:szCs w:val="26"/>
          <w:rtl/>
          <w:lang w:eastAsia="zh-TW"/>
        </w:rPr>
        <w:t xml:space="preserve"> </w:t>
      </w:r>
      <w:r w:rsidRPr="0037421A">
        <w:rPr>
          <w:sz w:val="18"/>
          <w:szCs w:val="26"/>
          <w:rtl/>
          <w:lang w:eastAsia="zh-TW"/>
        </w:rPr>
        <w:t>العربي</w:t>
      </w:r>
      <w:r>
        <w:rPr>
          <w:sz w:val="18"/>
          <w:szCs w:val="26"/>
          <w:rtl/>
          <w:lang w:eastAsia="zh-TW"/>
        </w:rPr>
        <w:t xml:space="preserve"> </w:t>
      </w:r>
      <w:r w:rsidRPr="0037421A">
        <w:rPr>
          <w:sz w:val="18"/>
          <w:szCs w:val="26"/>
          <w:rtl/>
          <w:lang w:eastAsia="zh-TW"/>
        </w:rPr>
        <w:t>(97)،</w:t>
      </w:r>
      <w:r>
        <w:rPr>
          <w:sz w:val="18"/>
          <w:szCs w:val="26"/>
          <w:rtl/>
          <w:lang w:eastAsia="zh-TW"/>
        </w:rPr>
        <w:t xml:space="preserve"> </w:t>
      </w:r>
      <w:r w:rsidRPr="0037421A">
        <w:rPr>
          <w:sz w:val="18"/>
          <w:szCs w:val="26"/>
          <w:rtl/>
          <w:lang w:eastAsia="zh-TW"/>
        </w:rPr>
        <w:t>والشرق</w:t>
      </w:r>
      <w:r>
        <w:rPr>
          <w:sz w:val="18"/>
          <w:szCs w:val="26"/>
          <w:rtl/>
          <w:lang w:eastAsia="zh-TW"/>
        </w:rPr>
        <w:t xml:space="preserve"> </w:t>
      </w:r>
      <w:r w:rsidRPr="0037421A">
        <w:rPr>
          <w:sz w:val="18"/>
          <w:szCs w:val="26"/>
          <w:rtl/>
          <w:lang w:eastAsia="zh-TW"/>
        </w:rPr>
        <w:t>الأوسط</w:t>
      </w:r>
      <w:r>
        <w:rPr>
          <w:sz w:val="18"/>
          <w:szCs w:val="26"/>
          <w:rtl/>
          <w:lang w:eastAsia="zh-TW"/>
        </w:rPr>
        <w:t xml:space="preserve"> </w:t>
      </w:r>
      <w:r w:rsidRPr="0037421A">
        <w:rPr>
          <w:sz w:val="18"/>
          <w:szCs w:val="26"/>
          <w:rtl/>
          <w:lang w:eastAsia="zh-TW"/>
        </w:rPr>
        <w:t>(9)</w:t>
      </w:r>
      <w:r w:rsidRPr="0037421A">
        <w:rPr>
          <w:sz w:val="18"/>
          <w:szCs w:val="26"/>
          <w:lang w:eastAsia="zh-TW"/>
        </w:rPr>
        <w:t>.</w:t>
      </w:r>
      <w:r>
        <w:rPr>
          <w:sz w:val="18"/>
          <w:szCs w:val="26"/>
          <w:rtl/>
          <w:lang w:eastAsia="zh-TW"/>
        </w:rPr>
        <w:t xml:space="preserve"> </w:t>
      </w:r>
      <w:r w:rsidRPr="0037421A">
        <w:rPr>
          <w:sz w:val="18"/>
          <w:szCs w:val="26"/>
          <w:rtl/>
          <w:lang w:eastAsia="zh-TW"/>
        </w:rPr>
        <w:t>وتنتمي</w:t>
      </w:r>
      <w:r>
        <w:rPr>
          <w:sz w:val="18"/>
          <w:szCs w:val="26"/>
          <w:rtl/>
          <w:lang w:eastAsia="zh-TW"/>
        </w:rPr>
        <w:t xml:space="preserve"> </w:t>
      </w:r>
      <w:r w:rsidRPr="0037421A">
        <w:rPr>
          <w:sz w:val="18"/>
          <w:szCs w:val="26"/>
          <w:rtl/>
          <w:lang w:eastAsia="zh-TW"/>
        </w:rPr>
        <w:t>تسع</w:t>
      </w:r>
      <w:r>
        <w:rPr>
          <w:sz w:val="18"/>
          <w:szCs w:val="26"/>
          <w:rtl/>
          <w:lang w:eastAsia="zh-TW"/>
        </w:rPr>
        <w:t xml:space="preserve"> </w:t>
      </w:r>
      <w:r w:rsidRPr="0037421A">
        <w:rPr>
          <w:sz w:val="18"/>
          <w:szCs w:val="26"/>
          <w:rtl/>
          <w:lang w:eastAsia="zh-TW"/>
        </w:rPr>
        <w:t>نساء</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مجتمعات</w:t>
      </w:r>
      <w:r>
        <w:rPr>
          <w:sz w:val="18"/>
          <w:szCs w:val="26"/>
          <w:rtl/>
          <w:lang w:eastAsia="zh-TW"/>
        </w:rPr>
        <w:t xml:space="preserve"> </w:t>
      </w:r>
      <w:r w:rsidRPr="0037421A">
        <w:rPr>
          <w:sz w:val="18"/>
          <w:szCs w:val="26"/>
          <w:rtl/>
          <w:lang w:eastAsia="zh-TW"/>
        </w:rPr>
        <w:t>محلية</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أفريقيا</w:t>
      </w:r>
      <w:r>
        <w:rPr>
          <w:sz w:val="18"/>
          <w:szCs w:val="26"/>
          <w:rtl/>
          <w:lang w:eastAsia="zh-TW"/>
        </w:rPr>
        <w:t xml:space="preserve"> </w:t>
      </w:r>
      <w:r w:rsidRPr="0037421A">
        <w:rPr>
          <w:sz w:val="18"/>
          <w:szCs w:val="26"/>
          <w:rtl/>
          <w:lang w:eastAsia="zh-TW"/>
        </w:rPr>
        <w:t>جنوبي</w:t>
      </w:r>
      <w:r>
        <w:rPr>
          <w:sz w:val="18"/>
          <w:szCs w:val="26"/>
          <w:rtl/>
          <w:lang w:eastAsia="zh-TW"/>
        </w:rPr>
        <w:t xml:space="preserve"> </w:t>
      </w:r>
      <w:r w:rsidRPr="0037421A">
        <w:rPr>
          <w:sz w:val="18"/>
          <w:szCs w:val="26"/>
          <w:rtl/>
          <w:lang w:eastAsia="zh-TW"/>
        </w:rPr>
        <w:t>الصحراء"</w:t>
      </w:r>
      <w:r w:rsidR="00D15D5D">
        <w:rPr>
          <w:rFonts w:hint="cs"/>
          <w:sz w:val="18"/>
          <w:szCs w:val="26"/>
          <w:rtl/>
          <w:lang w:eastAsia="zh-TW"/>
        </w:rPr>
        <w:t>.</w:t>
      </w:r>
    </w:p>
  </w:footnote>
  <w:footnote w:id="15">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تشير</w:t>
      </w:r>
      <w:r>
        <w:rPr>
          <w:sz w:val="18"/>
          <w:szCs w:val="26"/>
          <w:rtl/>
          <w:lang w:eastAsia="zh-TW"/>
        </w:rPr>
        <w:t xml:space="preserve"> </w:t>
      </w:r>
      <w:r w:rsidRPr="0037421A">
        <w:rPr>
          <w:sz w:val="18"/>
          <w:szCs w:val="26"/>
          <w:rtl/>
          <w:lang w:eastAsia="zh-TW"/>
        </w:rPr>
        <w:t>الدولة</w:t>
      </w:r>
      <w:r>
        <w:rPr>
          <w:sz w:val="18"/>
          <w:szCs w:val="26"/>
          <w:rtl/>
          <w:lang w:eastAsia="zh-TW"/>
        </w:rPr>
        <w:t xml:space="preserve"> </w:t>
      </w:r>
      <w:r w:rsidRPr="0037421A">
        <w:rPr>
          <w:sz w:val="18"/>
          <w:szCs w:val="26"/>
          <w:rtl/>
          <w:lang w:eastAsia="zh-TW"/>
        </w:rPr>
        <w:t>الطرف</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ب. سينغ ضد فرنسا</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7-4.</w:t>
      </w:r>
      <w:r>
        <w:rPr>
          <w:sz w:val="18"/>
          <w:szCs w:val="26"/>
          <w:rtl/>
          <w:lang w:eastAsia="zh-TW"/>
        </w:rPr>
        <w:t xml:space="preserve"> </w:t>
      </w:r>
    </w:p>
  </w:footnote>
  <w:footnote w:id="16">
    <w:p w:rsidR="001136FD" w:rsidRPr="0037421A" w:rsidRDefault="001136FD" w:rsidP="009A1C3F">
      <w:pPr>
        <w:pStyle w:val="FootnoteText"/>
        <w:spacing w:after="60" w:line="300" w:lineRule="exact"/>
        <w:ind w:left="1247" w:right="1247" w:hanging="567"/>
        <w:textDirection w:val="tbRlV"/>
        <w:rPr>
          <w:color w:val="000000"/>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أيض</w:t>
      </w:r>
      <w:r w:rsidR="009A1C3F">
        <w:rPr>
          <w:sz w:val="18"/>
          <w:szCs w:val="26"/>
          <w:rtl/>
          <w:lang w:eastAsia="zh-TW"/>
        </w:rPr>
        <w:t xml:space="preserve">اً </w:t>
      </w:r>
      <w:r w:rsidRPr="0037421A">
        <w:rPr>
          <w:sz w:val="18"/>
          <w:szCs w:val="26"/>
          <w:rtl/>
          <w:lang w:eastAsia="zh-TW"/>
        </w:rPr>
        <w:t>آراء</w:t>
      </w:r>
      <w:r>
        <w:rPr>
          <w:sz w:val="18"/>
          <w:szCs w:val="26"/>
          <w:rtl/>
          <w:lang w:eastAsia="zh-TW"/>
        </w:rPr>
        <w:t xml:space="preserve"> </w:t>
      </w:r>
      <w:r w:rsidRPr="0037421A">
        <w:rPr>
          <w:sz w:val="18"/>
          <w:szCs w:val="26"/>
          <w:rtl/>
          <w:lang w:eastAsia="zh-TW"/>
        </w:rPr>
        <w:t>اللجنة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أ</w:t>
      </w:r>
      <w:r w:rsidRPr="000B09B9">
        <w:rPr>
          <w:i/>
          <w:iCs/>
          <w:sz w:val="18"/>
          <w:szCs w:val="26"/>
          <w:lang w:eastAsia="zh-TW"/>
        </w:rPr>
        <w:t>.</w:t>
      </w:r>
      <w:r w:rsidR="000B09B9" w:rsidRPr="000B09B9">
        <w:rPr>
          <w:rFonts w:hint="cs"/>
          <w:i/>
          <w:iCs/>
          <w:sz w:val="18"/>
          <w:szCs w:val="26"/>
          <w:rtl/>
          <w:lang w:eastAsia="zh-TW"/>
        </w:rPr>
        <w:t xml:space="preserve"> </w:t>
      </w:r>
      <w:r w:rsidRPr="000B09B9">
        <w:rPr>
          <w:i/>
          <w:iCs/>
          <w:sz w:val="18"/>
          <w:szCs w:val="26"/>
          <w:rtl/>
          <w:lang w:eastAsia="zh-TW"/>
        </w:rPr>
        <w:t>غ.</w:t>
      </w:r>
      <w:r w:rsidR="000B09B9" w:rsidRPr="000B09B9">
        <w:rPr>
          <w:rFonts w:hint="cs"/>
          <w:i/>
          <w:iCs/>
          <w:sz w:val="18"/>
          <w:szCs w:val="26"/>
          <w:rtl/>
          <w:lang w:eastAsia="zh-TW"/>
        </w:rPr>
        <w:t xml:space="preserve"> </w:t>
      </w:r>
      <w:r w:rsidRPr="000B09B9">
        <w:rPr>
          <w:i/>
          <w:iCs/>
          <w:sz w:val="18"/>
          <w:szCs w:val="26"/>
          <w:rtl/>
          <w:lang w:eastAsia="zh-TW"/>
        </w:rPr>
        <w:t>س. ضد إسبانيا</w:t>
      </w:r>
      <w:r w:rsidR="009A1C3F">
        <w:rPr>
          <w:rFonts w:hint="cs"/>
          <w:i/>
          <w:iCs/>
          <w:sz w:val="18"/>
          <w:szCs w:val="26"/>
          <w:rtl/>
          <w:lang w:eastAsia="zh-TW"/>
        </w:rPr>
        <w:t xml:space="preserve"> </w:t>
      </w:r>
      <w:r w:rsidR="009A1C3F" w:rsidRPr="009A1C3F">
        <w:rPr>
          <w:rFonts w:hint="cs"/>
          <w:sz w:val="18"/>
          <w:szCs w:val="26"/>
          <w:rtl/>
          <w:lang w:eastAsia="zh-TW"/>
        </w:rPr>
        <w:t>(</w:t>
      </w:r>
      <w:r w:rsidR="009A1C3F" w:rsidRPr="0037421A">
        <w:rPr>
          <w:sz w:val="18"/>
          <w:szCs w:val="26"/>
          <w:lang w:eastAsia="zh-TW"/>
        </w:rPr>
        <w:t>CCPR/C/115/D/2626/2015</w:t>
      </w:r>
      <w:r w:rsidR="009A1C3F" w:rsidRP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4-2.</w:t>
      </w:r>
      <w:r>
        <w:rPr>
          <w:sz w:val="18"/>
          <w:szCs w:val="26"/>
          <w:rtl/>
          <w:lang w:eastAsia="zh-TW"/>
        </w:rPr>
        <w:t xml:space="preserve"> </w:t>
      </w:r>
    </w:p>
  </w:footnote>
  <w:footnote w:id="17">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استناداً</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48</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التعليق</w:t>
      </w:r>
      <w:r>
        <w:rPr>
          <w:sz w:val="18"/>
          <w:szCs w:val="26"/>
          <w:rtl/>
          <w:lang w:eastAsia="zh-TW"/>
        </w:rPr>
        <w:t xml:space="preserve"> </w:t>
      </w:r>
      <w:r w:rsidRPr="0037421A">
        <w:rPr>
          <w:sz w:val="18"/>
          <w:szCs w:val="26"/>
          <w:rtl/>
          <w:lang w:eastAsia="zh-TW"/>
        </w:rPr>
        <w:t>العام</w:t>
      </w:r>
      <w:r>
        <w:rPr>
          <w:sz w:val="18"/>
          <w:szCs w:val="26"/>
          <w:rtl/>
          <w:lang w:eastAsia="zh-TW"/>
        </w:rPr>
        <w:t xml:space="preserve"> </w:t>
      </w:r>
      <w:r w:rsidRPr="0037421A">
        <w:rPr>
          <w:sz w:val="18"/>
          <w:szCs w:val="26"/>
          <w:rtl/>
          <w:lang w:eastAsia="zh-TW"/>
        </w:rPr>
        <w:t>رقم</w:t>
      </w:r>
      <w:r>
        <w:rPr>
          <w:sz w:val="18"/>
          <w:szCs w:val="26"/>
          <w:rtl/>
          <w:lang w:eastAsia="zh-TW"/>
        </w:rPr>
        <w:t xml:space="preserve"> </w:t>
      </w:r>
      <w:r w:rsidRPr="0037421A">
        <w:rPr>
          <w:sz w:val="18"/>
          <w:szCs w:val="26"/>
          <w:rtl/>
          <w:lang w:eastAsia="zh-TW"/>
        </w:rPr>
        <w:t>32(2007)</w:t>
      </w:r>
      <w:r>
        <w:rPr>
          <w:sz w:val="18"/>
          <w:szCs w:val="26"/>
          <w:rtl/>
          <w:lang w:eastAsia="zh-TW"/>
        </w:rPr>
        <w:t xml:space="preserve"> </w:t>
      </w:r>
      <w:r w:rsidRPr="0037421A">
        <w:rPr>
          <w:sz w:val="18"/>
          <w:szCs w:val="26"/>
          <w:rtl/>
          <w:lang w:eastAsia="zh-TW"/>
        </w:rPr>
        <w:t>بشأن</w:t>
      </w:r>
      <w:r>
        <w:rPr>
          <w:sz w:val="18"/>
          <w:szCs w:val="26"/>
          <w:rtl/>
          <w:lang w:eastAsia="zh-TW"/>
        </w:rPr>
        <w:t xml:space="preserve"> </w:t>
      </w:r>
      <w:r w:rsidRPr="0037421A">
        <w:rPr>
          <w:sz w:val="18"/>
          <w:szCs w:val="26"/>
          <w:rtl/>
          <w:lang w:eastAsia="zh-TW"/>
        </w:rPr>
        <w:t>الحق</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المساواة</w:t>
      </w:r>
      <w:r>
        <w:rPr>
          <w:sz w:val="18"/>
          <w:szCs w:val="26"/>
          <w:rtl/>
          <w:lang w:eastAsia="zh-TW"/>
        </w:rPr>
        <w:t xml:space="preserve"> </w:t>
      </w:r>
      <w:r w:rsidRPr="0037421A">
        <w:rPr>
          <w:sz w:val="18"/>
          <w:szCs w:val="26"/>
          <w:rtl/>
          <w:lang w:eastAsia="zh-TW"/>
        </w:rPr>
        <w:t>أمام</w:t>
      </w:r>
      <w:r>
        <w:rPr>
          <w:sz w:val="18"/>
          <w:szCs w:val="26"/>
          <w:rtl/>
          <w:lang w:eastAsia="zh-TW"/>
        </w:rPr>
        <w:t xml:space="preserve"> </w:t>
      </w:r>
      <w:r w:rsidRPr="0037421A">
        <w:rPr>
          <w:sz w:val="18"/>
          <w:szCs w:val="26"/>
          <w:rtl/>
          <w:lang w:eastAsia="zh-TW"/>
        </w:rPr>
        <w:t>المحاكم</w:t>
      </w:r>
      <w:r>
        <w:rPr>
          <w:sz w:val="18"/>
          <w:szCs w:val="26"/>
          <w:rtl/>
          <w:lang w:eastAsia="zh-TW"/>
        </w:rPr>
        <w:t xml:space="preserve"> </w:t>
      </w:r>
      <w:r w:rsidRPr="0037421A">
        <w:rPr>
          <w:sz w:val="18"/>
          <w:szCs w:val="26"/>
          <w:rtl/>
          <w:lang w:eastAsia="zh-TW"/>
        </w:rPr>
        <w:t>والهيئات</w:t>
      </w:r>
      <w:r>
        <w:rPr>
          <w:sz w:val="18"/>
          <w:szCs w:val="26"/>
          <w:rtl/>
          <w:lang w:eastAsia="zh-TW"/>
        </w:rPr>
        <w:t xml:space="preserve"> </w:t>
      </w:r>
      <w:r w:rsidRPr="0037421A">
        <w:rPr>
          <w:sz w:val="18"/>
          <w:szCs w:val="26"/>
          <w:rtl/>
          <w:lang w:eastAsia="zh-TW"/>
        </w:rPr>
        <w:t>القضائية</w:t>
      </w:r>
      <w:r>
        <w:rPr>
          <w:sz w:val="18"/>
          <w:szCs w:val="26"/>
          <w:rtl/>
          <w:lang w:eastAsia="zh-TW"/>
        </w:rPr>
        <w:t xml:space="preserve"> </w:t>
      </w:r>
      <w:r w:rsidRPr="0037421A">
        <w:rPr>
          <w:sz w:val="18"/>
          <w:szCs w:val="26"/>
          <w:rtl/>
          <w:lang w:eastAsia="zh-TW"/>
        </w:rPr>
        <w:t>وفي</w:t>
      </w:r>
      <w:r>
        <w:rPr>
          <w:sz w:val="18"/>
          <w:szCs w:val="26"/>
          <w:rtl/>
          <w:lang w:eastAsia="zh-TW"/>
        </w:rPr>
        <w:t xml:space="preserve"> </w:t>
      </w:r>
      <w:r w:rsidRPr="0037421A">
        <w:rPr>
          <w:sz w:val="18"/>
          <w:szCs w:val="26"/>
          <w:rtl/>
          <w:lang w:eastAsia="zh-TW"/>
        </w:rPr>
        <w:t>محاكمة</w:t>
      </w:r>
      <w:r>
        <w:rPr>
          <w:sz w:val="18"/>
          <w:szCs w:val="26"/>
          <w:rtl/>
          <w:lang w:eastAsia="zh-TW"/>
        </w:rPr>
        <w:t xml:space="preserve"> </w:t>
      </w:r>
      <w:r w:rsidRPr="0037421A">
        <w:rPr>
          <w:sz w:val="18"/>
          <w:szCs w:val="26"/>
          <w:rtl/>
          <w:lang w:eastAsia="zh-TW"/>
        </w:rPr>
        <w:t>عادلة،</w:t>
      </w:r>
      <w:r>
        <w:rPr>
          <w:sz w:val="18"/>
          <w:szCs w:val="26"/>
          <w:rtl/>
          <w:lang w:eastAsia="zh-TW"/>
        </w:rPr>
        <w:t xml:space="preserve"> </w:t>
      </w:r>
      <w:r w:rsidRPr="0037421A">
        <w:rPr>
          <w:sz w:val="18"/>
          <w:szCs w:val="26"/>
          <w:rtl/>
          <w:lang w:eastAsia="zh-TW"/>
        </w:rPr>
        <w:t>تقول</w:t>
      </w:r>
      <w:r>
        <w:rPr>
          <w:sz w:val="18"/>
          <w:szCs w:val="26"/>
          <w:rtl/>
          <w:lang w:eastAsia="zh-TW"/>
        </w:rPr>
        <w:t xml:space="preserve"> </w:t>
      </w:r>
      <w:r w:rsidRPr="0037421A">
        <w:rPr>
          <w:sz w:val="18"/>
          <w:szCs w:val="26"/>
          <w:rtl/>
          <w:lang w:eastAsia="zh-TW"/>
        </w:rPr>
        <w:t>اللجنة</w:t>
      </w:r>
      <w:r>
        <w:rPr>
          <w:sz w:val="18"/>
          <w:szCs w:val="26"/>
          <w:rtl/>
          <w:lang w:eastAsia="zh-TW"/>
        </w:rPr>
        <w:t xml:space="preserve"> </w:t>
      </w:r>
      <w:r w:rsidRPr="0037421A">
        <w:rPr>
          <w:sz w:val="18"/>
          <w:szCs w:val="26"/>
          <w:rtl/>
          <w:lang w:eastAsia="zh-TW"/>
        </w:rPr>
        <w:t>إن</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الدولة</w:t>
      </w:r>
      <w:r>
        <w:rPr>
          <w:sz w:val="18"/>
          <w:szCs w:val="26"/>
          <w:rtl/>
          <w:lang w:eastAsia="zh-TW"/>
        </w:rPr>
        <w:t xml:space="preserve"> </w:t>
      </w:r>
      <w:r w:rsidRPr="0037421A">
        <w:rPr>
          <w:sz w:val="18"/>
          <w:szCs w:val="26"/>
          <w:rtl/>
          <w:lang w:eastAsia="zh-TW"/>
        </w:rPr>
        <w:t>الطرف</w:t>
      </w:r>
      <w:r>
        <w:rPr>
          <w:sz w:val="18"/>
          <w:szCs w:val="26"/>
          <w:rtl/>
          <w:lang w:eastAsia="zh-TW"/>
        </w:rPr>
        <w:t xml:space="preserve"> </w:t>
      </w:r>
      <w:r w:rsidRPr="0037421A">
        <w:rPr>
          <w:sz w:val="18"/>
          <w:szCs w:val="26"/>
          <w:rtl/>
          <w:lang w:eastAsia="zh-TW"/>
        </w:rPr>
        <w:t>واجب</w:t>
      </w:r>
      <w:r>
        <w:rPr>
          <w:sz w:val="18"/>
          <w:szCs w:val="26"/>
          <w:rtl/>
          <w:lang w:eastAsia="zh-TW"/>
        </w:rPr>
        <w:t xml:space="preserve"> </w:t>
      </w:r>
      <w:r w:rsidRPr="0037421A">
        <w:rPr>
          <w:sz w:val="18"/>
          <w:szCs w:val="26"/>
          <w:rtl/>
          <w:lang w:eastAsia="zh-TW"/>
        </w:rPr>
        <w:t>إعادة</w:t>
      </w:r>
      <w:r>
        <w:rPr>
          <w:sz w:val="18"/>
          <w:szCs w:val="26"/>
          <w:rtl/>
          <w:lang w:eastAsia="zh-TW"/>
        </w:rPr>
        <w:t xml:space="preserve"> </w:t>
      </w:r>
      <w:r w:rsidRPr="0037421A">
        <w:rPr>
          <w:sz w:val="18"/>
          <w:szCs w:val="26"/>
          <w:rtl/>
          <w:lang w:eastAsia="zh-TW"/>
        </w:rPr>
        <w:t>النظر</w:t>
      </w:r>
      <w:r>
        <w:rPr>
          <w:sz w:val="18"/>
          <w:szCs w:val="26"/>
          <w:rtl/>
          <w:lang w:eastAsia="zh-TW"/>
        </w:rPr>
        <w:t xml:space="preserve"> </w:t>
      </w:r>
      <w:r w:rsidRPr="0037421A">
        <w:rPr>
          <w:sz w:val="18"/>
          <w:szCs w:val="26"/>
          <w:rtl/>
          <w:lang w:eastAsia="zh-TW"/>
        </w:rPr>
        <w:t>موضوعياً،</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حيث</w:t>
      </w:r>
      <w:r>
        <w:rPr>
          <w:sz w:val="18"/>
          <w:szCs w:val="26"/>
          <w:rtl/>
          <w:lang w:eastAsia="zh-TW"/>
        </w:rPr>
        <w:t xml:space="preserve"> </w:t>
      </w:r>
      <w:r w:rsidRPr="0037421A">
        <w:rPr>
          <w:sz w:val="18"/>
          <w:szCs w:val="26"/>
          <w:rtl/>
          <w:lang w:eastAsia="zh-TW"/>
        </w:rPr>
        <w:t>كفاية</w:t>
      </w:r>
      <w:r>
        <w:rPr>
          <w:sz w:val="18"/>
          <w:szCs w:val="26"/>
          <w:rtl/>
          <w:lang w:eastAsia="zh-TW"/>
        </w:rPr>
        <w:t xml:space="preserve"> </w:t>
      </w:r>
      <w:r w:rsidRPr="0037421A">
        <w:rPr>
          <w:sz w:val="18"/>
          <w:szCs w:val="26"/>
          <w:rtl/>
          <w:lang w:eastAsia="zh-TW"/>
        </w:rPr>
        <w:t>الأدلة</w:t>
      </w:r>
      <w:r>
        <w:rPr>
          <w:sz w:val="18"/>
          <w:szCs w:val="26"/>
          <w:rtl/>
          <w:lang w:eastAsia="zh-TW"/>
        </w:rPr>
        <w:t xml:space="preserve"> </w:t>
      </w:r>
      <w:r w:rsidRPr="0037421A">
        <w:rPr>
          <w:sz w:val="18"/>
          <w:szCs w:val="26"/>
          <w:rtl/>
          <w:lang w:eastAsia="zh-TW"/>
        </w:rPr>
        <w:t>ومن</w:t>
      </w:r>
      <w:r>
        <w:rPr>
          <w:sz w:val="18"/>
          <w:szCs w:val="26"/>
          <w:rtl/>
          <w:lang w:eastAsia="zh-TW"/>
        </w:rPr>
        <w:t xml:space="preserve"> </w:t>
      </w:r>
      <w:r w:rsidRPr="0037421A">
        <w:rPr>
          <w:sz w:val="18"/>
          <w:szCs w:val="26"/>
          <w:rtl/>
          <w:lang w:eastAsia="zh-TW"/>
        </w:rPr>
        <w:t>حيث</w:t>
      </w:r>
      <w:r>
        <w:rPr>
          <w:sz w:val="18"/>
          <w:szCs w:val="26"/>
          <w:rtl/>
          <w:lang w:eastAsia="zh-TW"/>
        </w:rPr>
        <w:t xml:space="preserve"> </w:t>
      </w:r>
      <w:r w:rsidRPr="0037421A">
        <w:rPr>
          <w:sz w:val="18"/>
          <w:szCs w:val="26"/>
          <w:rtl/>
          <w:lang w:eastAsia="zh-TW"/>
        </w:rPr>
        <w:t>الأساس</w:t>
      </w:r>
      <w:r>
        <w:rPr>
          <w:sz w:val="18"/>
          <w:szCs w:val="26"/>
          <w:rtl/>
          <w:lang w:eastAsia="zh-TW"/>
        </w:rPr>
        <w:t xml:space="preserve"> </w:t>
      </w:r>
      <w:r w:rsidRPr="0037421A">
        <w:rPr>
          <w:sz w:val="18"/>
          <w:szCs w:val="26"/>
          <w:rtl/>
          <w:lang w:eastAsia="zh-TW"/>
        </w:rPr>
        <w:t>القانوني</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حد</w:t>
      </w:r>
      <w:r>
        <w:rPr>
          <w:sz w:val="18"/>
          <w:szCs w:val="26"/>
          <w:rtl/>
          <w:lang w:eastAsia="zh-TW"/>
        </w:rPr>
        <w:t xml:space="preserve"> </w:t>
      </w:r>
      <w:r w:rsidRPr="0037421A">
        <w:rPr>
          <w:sz w:val="18"/>
          <w:szCs w:val="26"/>
          <w:rtl/>
          <w:lang w:eastAsia="zh-TW"/>
        </w:rPr>
        <w:t>سواء،</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الإدانة</w:t>
      </w:r>
      <w:r>
        <w:rPr>
          <w:sz w:val="18"/>
          <w:szCs w:val="26"/>
          <w:rtl/>
          <w:lang w:eastAsia="zh-TW"/>
        </w:rPr>
        <w:t xml:space="preserve"> </w:t>
      </w:r>
      <w:r w:rsidRPr="0037421A">
        <w:rPr>
          <w:sz w:val="18"/>
          <w:szCs w:val="26"/>
          <w:rtl/>
          <w:lang w:eastAsia="zh-TW"/>
        </w:rPr>
        <w:t>والحكم</w:t>
      </w:r>
      <w:r>
        <w:rPr>
          <w:sz w:val="18"/>
          <w:szCs w:val="26"/>
          <w:rtl/>
          <w:lang w:eastAsia="zh-TW"/>
        </w:rPr>
        <w:t xml:space="preserve"> </w:t>
      </w:r>
      <w:r w:rsidRPr="0037421A">
        <w:rPr>
          <w:sz w:val="18"/>
          <w:szCs w:val="26"/>
          <w:rtl/>
          <w:lang w:eastAsia="zh-TW"/>
        </w:rPr>
        <w:t>بقدر</w:t>
      </w:r>
      <w:r>
        <w:rPr>
          <w:sz w:val="18"/>
          <w:szCs w:val="26"/>
          <w:rtl/>
          <w:lang w:eastAsia="zh-TW"/>
        </w:rPr>
        <w:t xml:space="preserve"> </w:t>
      </w:r>
      <w:r w:rsidRPr="0037421A">
        <w:rPr>
          <w:sz w:val="18"/>
          <w:szCs w:val="26"/>
          <w:rtl/>
          <w:lang w:eastAsia="zh-TW"/>
        </w:rPr>
        <w:t>ما</w:t>
      </w:r>
      <w:r>
        <w:rPr>
          <w:sz w:val="18"/>
          <w:szCs w:val="26"/>
          <w:rtl/>
          <w:lang w:eastAsia="zh-TW"/>
        </w:rPr>
        <w:t xml:space="preserve"> </w:t>
      </w:r>
      <w:r w:rsidRPr="0037421A">
        <w:rPr>
          <w:sz w:val="18"/>
          <w:szCs w:val="26"/>
          <w:rtl/>
          <w:lang w:eastAsia="zh-TW"/>
        </w:rPr>
        <w:t>تسمح</w:t>
      </w:r>
      <w:r>
        <w:rPr>
          <w:sz w:val="18"/>
          <w:szCs w:val="26"/>
          <w:rtl/>
          <w:lang w:eastAsia="zh-TW"/>
        </w:rPr>
        <w:t xml:space="preserve"> </w:t>
      </w:r>
      <w:r w:rsidRPr="0037421A">
        <w:rPr>
          <w:sz w:val="18"/>
          <w:szCs w:val="26"/>
          <w:rtl/>
          <w:lang w:eastAsia="zh-TW"/>
        </w:rPr>
        <w:t>الإجراءات</w:t>
      </w:r>
      <w:r>
        <w:rPr>
          <w:sz w:val="18"/>
          <w:szCs w:val="26"/>
          <w:rtl/>
          <w:lang w:eastAsia="zh-TW"/>
        </w:rPr>
        <w:t xml:space="preserve"> </w:t>
      </w:r>
      <w:r w:rsidRPr="0037421A">
        <w:rPr>
          <w:sz w:val="18"/>
          <w:szCs w:val="26"/>
          <w:rtl/>
          <w:lang w:eastAsia="zh-TW"/>
        </w:rPr>
        <w:t>بالنظر</w:t>
      </w:r>
      <w:r>
        <w:rPr>
          <w:sz w:val="18"/>
          <w:szCs w:val="26"/>
          <w:rtl/>
          <w:lang w:eastAsia="zh-TW"/>
        </w:rPr>
        <w:t xml:space="preserve"> </w:t>
      </w:r>
      <w:r w:rsidRPr="0037421A">
        <w:rPr>
          <w:sz w:val="18"/>
          <w:szCs w:val="26"/>
          <w:rtl/>
          <w:lang w:eastAsia="zh-TW"/>
        </w:rPr>
        <w:t>حسب</w:t>
      </w:r>
      <w:r>
        <w:rPr>
          <w:sz w:val="18"/>
          <w:szCs w:val="26"/>
          <w:rtl/>
          <w:lang w:eastAsia="zh-TW"/>
        </w:rPr>
        <w:t xml:space="preserve"> </w:t>
      </w:r>
      <w:r w:rsidRPr="0037421A">
        <w:rPr>
          <w:sz w:val="18"/>
          <w:szCs w:val="26"/>
          <w:rtl/>
          <w:lang w:eastAsia="zh-TW"/>
        </w:rPr>
        <w:t>الأصول</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طبيعة</w:t>
      </w:r>
      <w:r>
        <w:rPr>
          <w:sz w:val="18"/>
          <w:szCs w:val="26"/>
          <w:rtl/>
          <w:lang w:eastAsia="zh-TW"/>
        </w:rPr>
        <w:t xml:space="preserve"> </w:t>
      </w:r>
      <w:r w:rsidRPr="0037421A">
        <w:rPr>
          <w:sz w:val="18"/>
          <w:szCs w:val="26"/>
          <w:rtl/>
          <w:lang w:eastAsia="zh-TW"/>
        </w:rPr>
        <w:t>الدعوى.</w:t>
      </w:r>
    </w:p>
  </w:footnote>
  <w:footnote w:id="18">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قرار</w:t>
      </w:r>
      <w:r>
        <w:rPr>
          <w:sz w:val="18"/>
          <w:szCs w:val="26"/>
          <w:rtl/>
          <w:lang w:eastAsia="zh-TW"/>
        </w:rPr>
        <w:t xml:space="preserve"> </w:t>
      </w:r>
      <w:r w:rsidRPr="0037421A">
        <w:rPr>
          <w:sz w:val="18"/>
          <w:szCs w:val="26"/>
          <w:rtl/>
          <w:lang w:eastAsia="zh-TW"/>
        </w:rPr>
        <w:t>الجمعية</w:t>
      </w:r>
      <w:r>
        <w:rPr>
          <w:sz w:val="18"/>
          <w:szCs w:val="26"/>
          <w:rtl/>
          <w:lang w:eastAsia="zh-TW"/>
        </w:rPr>
        <w:t xml:space="preserve"> </w:t>
      </w:r>
      <w:r w:rsidRPr="0037421A">
        <w:rPr>
          <w:sz w:val="18"/>
          <w:szCs w:val="26"/>
          <w:rtl/>
          <w:lang w:eastAsia="zh-TW"/>
        </w:rPr>
        <w:t>الوطنية</w:t>
      </w:r>
      <w:r>
        <w:rPr>
          <w:sz w:val="18"/>
          <w:szCs w:val="26"/>
          <w:rtl/>
          <w:lang w:eastAsia="zh-TW"/>
        </w:rPr>
        <w:t xml:space="preserve"> </w:t>
      </w:r>
      <w:r w:rsidRPr="0037421A">
        <w:rPr>
          <w:sz w:val="18"/>
          <w:szCs w:val="26"/>
          <w:rtl/>
          <w:lang w:eastAsia="zh-TW"/>
        </w:rPr>
        <w:t>بشأن</w:t>
      </w:r>
      <w:r>
        <w:rPr>
          <w:sz w:val="18"/>
          <w:szCs w:val="26"/>
          <w:rtl/>
          <w:lang w:eastAsia="zh-TW"/>
        </w:rPr>
        <w:t xml:space="preserve"> </w:t>
      </w:r>
      <w:r w:rsidRPr="0037421A">
        <w:rPr>
          <w:sz w:val="18"/>
          <w:szCs w:val="26"/>
          <w:rtl/>
          <w:lang w:eastAsia="zh-TW"/>
        </w:rPr>
        <w:t>الالتزام</w:t>
      </w:r>
      <w:r>
        <w:rPr>
          <w:sz w:val="18"/>
          <w:szCs w:val="26"/>
          <w:rtl/>
          <w:lang w:eastAsia="zh-TW"/>
        </w:rPr>
        <w:t xml:space="preserve"> </w:t>
      </w:r>
      <w:r w:rsidRPr="0037421A">
        <w:rPr>
          <w:sz w:val="18"/>
          <w:szCs w:val="26"/>
          <w:rtl/>
          <w:lang w:eastAsia="zh-TW"/>
        </w:rPr>
        <w:t>بدعم</w:t>
      </w:r>
      <w:r>
        <w:rPr>
          <w:sz w:val="18"/>
          <w:szCs w:val="26"/>
          <w:rtl/>
          <w:lang w:eastAsia="zh-TW"/>
        </w:rPr>
        <w:t xml:space="preserve"> </w:t>
      </w:r>
      <w:r w:rsidRPr="0037421A">
        <w:rPr>
          <w:sz w:val="18"/>
          <w:szCs w:val="26"/>
          <w:rtl/>
          <w:lang w:eastAsia="zh-TW"/>
        </w:rPr>
        <w:t>قيم</w:t>
      </w:r>
      <w:r>
        <w:rPr>
          <w:sz w:val="18"/>
          <w:szCs w:val="26"/>
          <w:rtl/>
          <w:lang w:eastAsia="zh-TW"/>
        </w:rPr>
        <w:t xml:space="preserve"> </w:t>
      </w:r>
      <w:r w:rsidRPr="0037421A">
        <w:rPr>
          <w:sz w:val="18"/>
          <w:szCs w:val="26"/>
          <w:rtl/>
          <w:lang w:eastAsia="zh-TW"/>
        </w:rPr>
        <w:t>الجمهورية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مواجهة</w:t>
      </w:r>
      <w:r>
        <w:rPr>
          <w:sz w:val="18"/>
          <w:szCs w:val="26"/>
          <w:rtl/>
          <w:lang w:eastAsia="zh-TW"/>
        </w:rPr>
        <w:t xml:space="preserve"> </w:t>
      </w:r>
      <w:r w:rsidRPr="0037421A">
        <w:rPr>
          <w:sz w:val="18"/>
          <w:szCs w:val="26"/>
          <w:rtl/>
          <w:lang w:eastAsia="zh-TW"/>
        </w:rPr>
        <w:t>نشوء</w:t>
      </w:r>
      <w:r>
        <w:rPr>
          <w:sz w:val="18"/>
          <w:szCs w:val="26"/>
          <w:rtl/>
          <w:lang w:eastAsia="zh-TW"/>
        </w:rPr>
        <w:t xml:space="preserve"> </w:t>
      </w:r>
      <w:r w:rsidRPr="0037421A">
        <w:rPr>
          <w:sz w:val="18"/>
          <w:szCs w:val="26"/>
          <w:rtl/>
          <w:lang w:eastAsia="zh-TW"/>
        </w:rPr>
        <w:t>الممارسات</w:t>
      </w:r>
      <w:r>
        <w:rPr>
          <w:sz w:val="18"/>
          <w:szCs w:val="26"/>
          <w:rtl/>
          <w:lang w:eastAsia="zh-TW"/>
        </w:rPr>
        <w:t xml:space="preserve"> </w:t>
      </w:r>
      <w:r w:rsidRPr="0037421A">
        <w:rPr>
          <w:sz w:val="18"/>
          <w:szCs w:val="26"/>
          <w:rtl/>
          <w:lang w:eastAsia="zh-TW"/>
        </w:rPr>
        <w:t>الأصولية</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تهددها.</w:t>
      </w:r>
    </w:p>
  </w:footnote>
  <w:footnote w:id="19">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تستشهد</w:t>
      </w:r>
      <w:r>
        <w:rPr>
          <w:sz w:val="18"/>
          <w:szCs w:val="26"/>
          <w:rtl/>
          <w:lang w:eastAsia="zh-TW"/>
        </w:rPr>
        <w:t xml:space="preserve"> </w:t>
      </w:r>
      <w:r w:rsidRPr="0037421A">
        <w:rPr>
          <w:sz w:val="18"/>
          <w:szCs w:val="26"/>
          <w:rtl/>
          <w:lang w:eastAsia="zh-TW"/>
        </w:rPr>
        <w:t>الدولة</w:t>
      </w:r>
      <w:r>
        <w:rPr>
          <w:sz w:val="18"/>
          <w:szCs w:val="26"/>
          <w:rtl/>
          <w:lang w:eastAsia="zh-TW"/>
        </w:rPr>
        <w:t xml:space="preserve"> </w:t>
      </w:r>
      <w:r w:rsidRPr="0037421A">
        <w:rPr>
          <w:sz w:val="18"/>
          <w:szCs w:val="26"/>
          <w:rtl/>
          <w:lang w:eastAsia="zh-TW"/>
        </w:rPr>
        <w:t>الطرف</w:t>
      </w:r>
      <w:r>
        <w:rPr>
          <w:sz w:val="18"/>
          <w:szCs w:val="26"/>
          <w:rtl/>
          <w:lang w:eastAsia="zh-TW"/>
        </w:rPr>
        <w:t xml:space="preserve"> </w:t>
      </w:r>
      <w:r w:rsidRPr="0037421A">
        <w:rPr>
          <w:sz w:val="18"/>
          <w:szCs w:val="26"/>
          <w:rtl/>
          <w:lang w:eastAsia="zh-TW"/>
        </w:rPr>
        <w:t>بآراء</w:t>
      </w:r>
      <w:r>
        <w:rPr>
          <w:sz w:val="18"/>
          <w:szCs w:val="26"/>
          <w:rtl/>
          <w:lang w:eastAsia="zh-TW"/>
        </w:rPr>
        <w:t xml:space="preserve"> </w:t>
      </w:r>
      <w:r w:rsidRPr="0037421A">
        <w:rPr>
          <w:sz w:val="18"/>
          <w:szCs w:val="26"/>
          <w:rtl/>
          <w:lang w:eastAsia="zh-TW"/>
        </w:rPr>
        <w:t>اللجنة</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ر. سينغ ضد فرنسا</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8-4،</w:t>
      </w:r>
      <w:r>
        <w:rPr>
          <w:sz w:val="18"/>
          <w:szCs w:val="26"/>
          <w:rtl/>
          <w:lang w:eastAsia="zh-TW"/>
        </w:rPr>
        <w:t xml:space="preserve"> </w:t>
      </w:r>
      <w:r w:rsidRPr="0037421A">
        <w:rPr>
          <w:sz w:val="18"/>
          <w:szCs w:val="26"/>
          <w:rtl/>
          <w:lang w:eastAsia="zh-TW"/>
        </w:rPr>
        <w:t>التي</w:t>
      </w:r>
      <w:r>
        <w:rPr>
          <w:sz w:val="18"/>
          <w:szCs w:val="26"/>
          <w:rtl/>
          <w:lang w:eastAsia="zh-TW"/>
        </w:rPr>
        <w:t xml:space="preserve"> </w:t>
      </w:r>
      <w:r w:rsidRPr="0037421A">
        <w:rPr>
          <w:sz w:val="18"/>
          <w:szCs w:val="26"/>
          <w:rtl/>
          <w:lang w:eastAsia="zh-TW"/>
        </w:rPr>
        <w:t>سلمت</w:t>
      </w:r>
      <w:r>
        <w:rPr>
          <w:sz w:val="18"/>
          <w:szCs w:val="26"/>
          <w:rtl/>
          <w:lang w:eastAsia="zh-TW"/>
        </w:rPr>
        <w:t xml:space="preserve"> </w:t>
      </w:r>
      <w:r w:rsidRPr="0037421A">
        <w:rPr>
          <w:sz w:val="18"/>
          <w:szCs w:val="26"/>
          <w:rtl/>
          <w:lang w:eastAsia="zh-TW"/>
        </w:rPr>
        <w:t>فيها</w:t>
      </w:r>
      <w:r>
        <w:rPr>
          <w:sz w:val="18"/>
          <w:szCs w:val="26"/>
          <w:rtl/>
          <w:lang w:eastAsia="zh-TW"/>
        </w:rPr>
        <w:t xml:space="preserve"> </w:t>
      </w:r>
      <w:r w:rsidRPr="0037421A">
        <w:rPr>
          <w:sz w:val="18"/>
          <w:szCs w:val="26"/>
          <w:rtl/>
          <w:lang w:eastAsia="zh-TW"/>
        </w:rPr>
        <w:t>اللجنة</w:t>
      </w:r>
      <w:r>
        <w:rPr>
          <w:sz w:val="18"/>
          <w:szCs w:val="26"/>
          <w:rtl/>
          <w:lang w:eastAsia="zh-TW"/>
        </w:rPr>
        <w:t xml:space="preserve"> </w:t>
      </w:r>
      <w:r w:rsidRPr="0037421A">
        <w:rPr>
          <w:sz w:val="18"/>
          <w:szCs w:val="26"/>
          <w:rtl/>
          <w:lang w:eastAsia="zh-TW"/>
        </w:rPr>
        <w:t>بحاجة</w:t>
      </w:r>
      <w:r>
        <w:rPr>
          <w:sz w:val="18"/>
          <w:szCs w:val="26"/>
          <w:rtl/>
          <w:lang w:eastAsia="zh-TW"/>
        </w:rPr>
        <w:t xml:space="preserve"> </w:t>
      </w:r>
      <w:r w:rsidRPr="0037421A">
        <w:rPr>
          <w:sz w:val="18"/>
          <w:szCs w:val="26"/>
          <w:rtl/>
          <w:lang w:eastAsia="zh-TW"/>
        </w:rPr>
        <w:t>الدولة</w:t>
      </w:r>
      <w:r>
        <w:rPr>
          <w:sz w:val="18"/>
          <w:szCs w:val="26"/>
          <w:rtl/>
          <w:lang w:eastAsia="zh-TW"/>
        </w:rPr>
        <w:t xml:space="preserve"> </w:t>
      </w:r>
      <w:r w:rsidRPr="0037421A">
        <w:rPr>
          <w:sz w:val="18"/>
          <w:szCs w:val="26"/>
          <w:rtl/>
          <w:lang w:eastAsia="zh-TW"/>
        </w:rPr>
        <w:t>الطرف،</w:t>
      </w:r>
      <w:r>
        <w:rPr>
          <w:sz w:val="18"/>
          <w:szCs w:val="26"/>
          <w:rtl/>
          <w:lang w:eastAsia="zh-TW"/>
        </w:rPr>
        <w:t xml:space="preserve"> </w:t>
      </w:r>
      <w:r w:rsidRPr="0037421A">
        <w:rPr>
          <w:sz w:val="18"/>
          <w:szCs w:val="26"/>
          <w:rtl/>
          <w:lang w:eastAsia="zh-TW"/>
        </w:rPr>
        <w:t>لأغراض</w:t>
      </w:r>
      <w:r>
        <w:rPr>
          <w:sz w:val="18"/>
          <w:szCs w:val="26"/>
          <w:rtl/>
          <w:lang w:eastAsia="zh-TW"/>
        </w:rPr>
        <w:t xml:space="preserve"> </w:t>
      </w:r>
      <w:r w:rsidRPr="0037421A">
        <w:rPr>
          <w:sz w:val="18"/>
          <w:szCs w:val="26"/>
          <w:rtl/>
          <w:lang w:eastAsia="zh-TW"/>
        </w:rPr>
        <w:t>الحفاظ</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الأمن</w:t>
      </w:r>
      <w:r>
        <w:rPr>
          <w:sz w:val="18"/>
          <w:szCs w:val="26"/>
          <w:rtl/>
          <w:lang w:eastAsia="zh-TW"/>
        </w:rPr>
        <w:t xml:space="preserve"> </w:t>
      </w:r>
      <w:r w:rsidRPr="0037421A">
        <w:rPr>
          <w:sz w:val="18"/>
          <w:szCs w:val="26"/>
          <w:rtl/>
          <w:lang w:eastAsia="zh-TW"/>
        </w:rPr>
        <w:t>والنظام</w:t>
      </w:r>
      <w:r>
        <w:rPr>
          <w:sz w:val="18"/>
          <w:szCs w:val="26"/>
          <w:rtl/>
          <w:lang w:eastAsia="zh-TW"/>
        </w:rPr>
        <w:t xml:space="preserve"> </w:t>
      </w:r>
      <w:r w:rsidRPr="0037421A">
        <w:rPr>
          <w:sz w:val="18"/>
          <w:szCs w:val="26"/>
          <w:rtl/>
          <w:lang w:eastAsia="zh-TW"/>
        </w:rPr>
        <w:t>العام،</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ضمان</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الشخص</w:t>
      </w:r>
      <w:r>
        <w:rPr>
          <w:sz w:val="18"/>
          <w:szCs w:val="26"/>
          <w:rtl/>
          <w:lang w:eastAsia="zh-TW"/>
        </w:rPr>
        <w:t xml:space="preserve"> </w:t>
      </w:r>
      <w:r w:rsidRPr="0037421A">
        <w:rPr>
          <w:sz w:val="18"/>
          <w:szCs w:val="26"/>
          <w:rtl/>
          <w:lang w:eastAsia="zh-TW"/>
        </w:rPr>
        <w:t>الذي</w:t>
      </w:r>
      <w:r>
        <w:rPr>
          <w:sz w:val="18"/>
          <w:szCs w:val="26"/>
          <w:rtl/>
          <w:lang w:eastAsia="zh-TW"/>
        </w:rPr>
        <w:t xml:space="preserve"> </w:t>
      </w:r>
      <w:r w:rsidRPr="0037421A">
        <w:rPr>
          <w:sz w:val="18"/>
          <w:szCs w:val="26"/>
          <w:rtl/>
          <w:lang w:eastAsia="zh-TW"/>
        </w:rPr>
        <w:t>يظهر</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الصورة</w:t>
      </w:r>
      <w:r>
        <w:rPr>
          <w:sz w:val="18"/>
          <w:szCs w:val="26"/>
          <w:rtl/>
          <w:lang w:eastAsia="zh-TW"/>
        </w:rPr>
        <w:t xml:space="preserve"> </w:t>
      </w:r>
      <w:r w:rsidRPr="0037421A">
        <w:rPr>
          <w:sz w:val="18"/>
          <w:szCs w:val="26"/>
          <w:rtl/>
          <w:lang w:eastAsia="zh-TW"/>
        </w:rPr>
        <w:t>الفوتوغرافية</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تصريح</w:t>
      </w:r>
      <w:r>
        <w:rPr>
          <w:sz w:val="18"/>
          <w:szCs w:val="26"/>
          <w:rtl/>
          <w:lang w:eastAsia="zh-TW"/>
        </w:rPr>
        <w:t xml:space="preserve"> </w:t>
      </w:r>
      <w:r w:rsidRPr="0037421A">
        <w:rPr>
          <w:sz w:val="18"/>
          <w:szCs w:val="26"/>
          <w:rtl/>
          <w:lang w:eastAsia="zh-TW"/>
        </w:rPr>
        <w:t>الإقامة</w:t>
      </w:r>
      <w:r>
        <w:rPr>
          <w:sz w:val="18"/>
          <w:szCs w:val="26"/>
          <w:rtl/>
          <w:lang w:eastAsia="zh-TW"/>
        </w:rPr>
        <w:t xml:space="preserve"> </w:t>
      </w:r>
      <w:r w:rsidRPr="0037421A">
        <w:rPr>
          <w:sz w:val="18"/>
          <w:szCs w:val="26"/>
          <w:rtl/>
          <w:lang w:eastAsia="zh-TW"/>
        </w:rPr>
        <w:t>هو</w:t>
      </w:r>
      <w:r>
        <w:rPr>
          <w:sz w:val="18"/>
          <w:szCs w:val="26"/>
          <w:rtl/>
          <w:lang w:eastAsia="zh-TW"/>
        </w:rPr>
        <w:t xml:space="preserve"> </w:t>
      </w:r>
      <w:r w:rsidRPr="0037421A">
        <w:rPr>
          <w:sz w:val="18"/>
          <w:szCs w:val="26"/>
          <w:rtl/>
          <w:lang w:eastAsia="zh-TW"/>
        </w:rPr>
        <w:t>المالك</w:t>
      </w:r>
      <w:r>
        <w:rPr>
          <w:sz w:val="18"/>
          <w:szCs w:val="26"/>
          <w:rtl/>
          <w:lang w:eastAsia="zh-TW"/>
        </w:rPr>
        <w:t xml:space="preserve"> </w:t>
      </w:r>
      <w:r w:rsidRPr="0037421A">
        <w:rPr>
          <w:sz w:val="18"/>
          <w:szCs w:val="26"/>
          <w:rtl/>
          <w:lang w:eastAsia="zh-TW"/>
        </w:rPr>
        <w:t>الحقيقي</w:t>
      </w:r>
      <w:r>
        <w:rPr>
          <w:sz w:val="18"/>
          <w:szCs w:val="26"/>
          <w:rtl/>
          <w:lang w:eastAsia="zh-TW"/>
        </w:rPr>
        <w:t xml:space="preserve"> </w:t>
      </w:r>
      <w:r w:rsidRPr="0037421A">
        <w:rPr>
          <w:sz w:val="18"/>
          <w:szCs w:val="26"/>
          <w:rtl/>
          <w:lang w:eastAsia="zh-TW"/>
        </w:rPr>
        <w:t>لتلك</w:t>
      </w:r>
      <w:r>
        <w:rPr>
          <w:sz w:val="18"/>
          <w:szCs w:val="26"/>
          <w:rtl/>
          <w:lang w:eastAsia="zh-TW"/>
        </w:rPr>
        <w:t xml:space="preserve"> </w:t>
      </w:r>
      <w:r w:rsidRPr="0037421A">
        <w:rPr>
          <w:sz w:val="18"/>
          <w:szCs w:val="26"/>
          <w:rtl/>
          <w:lang w:eastAsia="zh-TW"/>
        </w:rPr>
        <w:t>الوثيقة،</w:t>
      </w:r>
      <w:r>
        <w:rPr>
          <w:sz w:val="18"/>
          <w:szCs w:val="26"/>
          <w:rtl/>
          <w:lang w:eastAsia="zh-TW"/>
        </w:rPr>
        <w:t xml:space="preserve"> </w:t>
      </w:r>
      <w:r w:rsidRPr="0037421A">
        <w:rPr>
          <w:sz w:val="18"/>
          <w:szCs w:val="26"/>
          <w:rtl/>
          <w:lang w:eastAsia="zh-TW"/>
        </w:rPr>
        <w:t>والتحقق</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ذلك.</w:t>
      </w:r>
    </w:p>
  </w:footnote>
  <w:footnote w:id="20">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تقرير</w:t>
      </w:r>
      <w:r>
        <w:rPr>
          <w:sz w:val="18"/>
          <w:szCs w:val="26"/>
          <w:rtl/>
          <w:lang w:eastAsia="zh-TW"/>
        </w:rPr>
        <w:t xml:space="preserve"> </w:t>
      </w:r>
      <w:r w:rsidRPr="0037421A">
        <w:rPr>
          <w:sz w:val="18"/>
          <w:szCs w:val="26"/>
          <w:rtl/>
          <w:lang w:eastAsia="zh-TW"/>
        </w:rPr>
        <w:t>مرصد</w:t>
      </w:r>
      <w:r>
        <w:rPr>
          <w:sz w:val="18"/>
          <w:szCs w:val="26"/>
          <w:rtl/>
          <w:lang w:eastAsia="zh-TW"/>
        </w:rPr>
        <w:t xml:space="preserve"> </w:t>
      </w:r>
      <w:r w:rsidRPr="0037421A">
        <w:rPr>
          <w:sz w:val="18"/>
          <w:szCs w:val="26"/>
          <w:rtl/>
          <w:lang w:eastAsia="zh-TW"/>
        </w:rPr>
        <w:t>العلمانية</w:t>
      </w:r>
      <w:r>
        <w:rPr>
          <w:sz w:val="18"/>
          <w:szCs w:val="26"/>
          <w:rtl/>
          <w:lang w:eastAsia="zh-TW"/>
        </w:rPr>
        <w:t xml:space="preserve"> </w:t>
      </w:r>
      <w:r w:rsidRPr="0037421A">
        <w:rPr>
          <w:sz w:val="18"/>
          <w:szCs w:val="26"/>
          <w:rtl/>
          <w:lang w:eastAsia="zh-TW"/>
        </w:rPr>
        <w:t>المذكور</w:t>
      </w:r>
      <w:r>
        <w:rPr>
          <w:sz w:val="18"/>
          <w:szCs w:val="26"/>
          <w:rtl/>
          <w:lang w:eastAsia="zh-TW"/>
        </w:rPr>
        <w:t xml:space="preserve"> </w:t>
      </w:r>
      <w:r w:rsidRPr="0037421A">
        <w:rPr>
          <w:sz w:val="18"/>
          <w:szCs w:val="26"/>
          <w:rtl/>
          <w:lang w:eastAsia="zh-TW"/>
        </w:rPr>
        <w:t>أعلاه.</w:t>
      </w:r>
    </w:p>
  </w:footnote>
  <w:footnote w:id="21">
    <w:p w:rsidR="001136FD" w:rsidRPr="0037421A" w:rsidRDefault="001136FD" w:rsidP="0032534E">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rStyle w:val="FootnoteReference"/>
          <w:b w:val="0"/>
          <w:szCs w:val="26"/>
          <w:vertAlign w:val="baseline"/>
          <w:rtl/>
          <w:lang w:eastAsia="zh-TW"/>
        </w:rPr>
        <w:tab/>
      </w:r>
      <w:r w:rsidRPr="0037421A">
        <w:rPr>
          <w:sz w:val="18"/>
          <w:szCs w:val="26"/>
          <w:rtl/>
          <w:lang w:eastAsia="zh-TW"/>
        </w:rPr>
        <w:t>التعليق</w:t>
      </w:r>
      <w:r>
        <w:rPr>
          <w:sz w:val="18"/>
          <w:szCs w:val="26"/>
          <w:rtl/>
          <w:lang w:eastAsia="zh-TW"/>
        </w:rPr>
        <w:t xml:space="preserve"> </w:t>
      </w:r>
      <w:r w:rsidRPr="0037421A">
        <w:rPr>
          <w:sz w:val="18"/>
          <w:szCs w:val="26"/>
          <w:rtl/>
          <w:lang w:eastAsia="zh-TW"/>
        </w:rPr>
        <w:t>العام</w:t>
      </w:r>
      <w:r>
        <w:rPr>
          <w:sz w:val="18"/>
          <w:szCs w:val="26"/>
          <w:rtl/>
          <w:lang w:eastAsia="zh-TW"/>
        </w:rPr>
        <w:t xml:space="preserve"> </w:t>
      </w:r>
      <w:r w:rsidRPr="0037421A">
        <w:rPr>
          <w:sz w:val="18"/>
          <w:szCs w:val="26"/>
          <w:rtl/>
          <w:lang w:eastAsia="zh-TW"/>
        </w:rPr>
        <w:t>رقم</w:t>
      </w:r>
      <w:r>
        <w:rPr>
          <w:sz w:val="18"/>
          <w:szCs w:val="26"/>
          <w:rtl/>
          <w:lang w:eastAsia="zh-TW"/>
        </w:rPr>
        <w:t xml:space="preserve"> </w:t>
      </w:r>
      <w:r w:rsidRPr="0037421A">
        <w:rPr>
          <w:sz w:val="18"/>
          <w:szCs w:val="26"/>
          <w:rtl/>
          <w:lang w:eastAsia="zh-TW"/>
        </w:rPr>
        <w:t>22،</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4.</w:t>
      </w:r>
    </w:p>
  </w:footnote>
  <w:footnote w:id="22">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المرجع</w:t>
      </w:r>
      <w:r>
        <w:rPr>
          <w:sz w:val="18"/>
          <w:szCs w:val="26"/>
          <w:rtl/>
          <w:lang w:eastAsia="zh-TW"/>
        </w:rPr>
        <w:t xml:space="preserve"> </w:t>
      </w:r>
      <w:r w:rsidRPr="0037421A">
        <w:rPr>
          <w:sz w:val="18"/>
          <w:szCs w:val="26"/>
          <w:rtl/>
          <w:lang w:eastAsia="zh-TW"/>
        </w:rPr>
        <w:t>نفسه،</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w:t>
      </w:r>
    </w:p>
  </w:footnote>
  <w:footnote w:id="23">
    <w:p w:rsidR="001136FD" w:rsidRPr="0037421A" w:rsidRDefault="001136FD" w:rsidP="00AF5311">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المرجع</w:t>
      </w:r>
      <w:r>
        <w:rPr>
          <w:sz w:val="18"/>
          <w:szCs w:val="26"/>
          <w:rtl/>
          <w:lang w:eastAsia="zh-TW"/>
        </w:rPr>
        <w:t xml:space="preserve"> </w:t>
      </w:r>
      <w:r w:rsidRPr="0037421A">
        <w:rPr>
          <w:sz w:val="18"/>
          <w:szCs w:val="26"/>
          <w:rtl/>
          <w:lang w:eastAsia="zh-TW"/>
        </w:rPr>
        <w:t>نفسه.</w:t>
      </w:r>
    </w:p>
  </w:footnote>
  <w:footnote w:id="24">
    <w:p w:rsidR="001136FD" w:rsidRPr="0037421A" w:rsidRDefault="001136FD" w:rsidP="00F95C27">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rStyle w:val="FootnoteReference"/>
          <w:b w:val="0"/>
          <w:szCs w:val="26"/>
          <w:vertAlign w:val="baseline"/>
          <w:rtl/>
          <w:lang w:eastAsia="zh-TW"/>
        </w:rPr>
        <w:tab/>
      </w:r>
      <w:r w:rsidRPr="0037421A">
        <w:rPr>
          <w:sz w:val="18"/>
          <w:szCs w:val="26"/>
          <w:lang w:eastAsia="zh-TW"/>
        </w:rPr>
        <w:t>E/CN.4/2006/5</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58.</w:t>
      </w:r>
    </w:p>
  </w:footnote>
  <w:footnote w:id="25">
    <w:p w:rsidR="001136FD" w:rsidRPr="0037421A" w:rsidRDefault="001136FD" w:rsidP="001136FD">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Pr>
          <w:sz w:val="18"/>
          <w:szCs w:val="26"/>
          <w:rtl/>
          <w:lang w:eastAsia="zh-TW"/>
        </w:rPr>
        <w:tab/>
      </w:r>
      <w:r w:rsidRPr="0037421A">
        <w:rPr>
          <w:sz w:val="18"/>
          <w:szCs w:val="26"/>
          <w:rtl/>
          <w:lang w:eastAsia="zh-TW"/>
        </w:rPr>
        <w:t>التعليق</w:t>
      </w:r>
      <w:r>
        <w:rPr>
          <w:sz w:val="18"/>
          <w:szCs w:val="26"/>
          <w:rtl/>
          <w:lang w:eastAsia="zh-TW"/>
        </w:rPr>
        <w:t xml:space="preserve"> </w:t>
      </w:r>
      <w:r w:rsidRPr="0037421A">
        <w:rPr>
          <w:sz w:val="18"/>
          <w:szCs w:val="26"/>
          <w:rtl/>
          <w:lang w:eastAsia="zh-TW"/>
        </w:rPr>
        <w:t>العام</w:t>
      </w:r>
      <w:r>
        <w:rPr>
          <w:sz w:val="18"/>
          <w:szCs w:val="26"/>
          <w:rtl/>
          <w:lang w:eastAsia="zh-TW"/>
        </w:rPr>
        <w:t xml:space="preserve"> </w:t>
      </w:r>
      <w:r w:rsidRPr="0037421A">
        <w:rPr>
          <w:sz w:val="18"/>
          <w:szCs w:val="26"/>
          <w:rtl/>
          <w:lang w:eastAsia="zh-TW"/>
        </w:rPr>
        <w:t>رقم</w:t>
      </w:r>
      <w:r>
        <w:rPr>
          <w:sz w:val="18"/>
          <w:szCs w:val="26"/>
          <w:rtl/>
          <w:lang w:eastAsia="zh-TW"/>
        </w:rPr>
        <w:t xml:space="preserve"> </w:t>
      </w:r>
      <w:r w:rsidRPr="0037421A">
        <w:rPr>
          <w:sz w:val="18"/>
          <w:szCs w:val="26"/>
          <w:rtl/>
          <w:lang w:eastAsia="zh-TW"/>
        </w:rPr>
        <w:t>22،</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w:t>
      </w:r>
    </w:p>
  </w:footnote>
  <w:footnote w:id="26">
    <w:p w:rsidR="00AE2F0B"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B09B9">
        <w:rPr>
          <w:rStyle w:val="FootnoteReference"/>
          <w:b w:val="0"/>
          <w:szCs w:val="26"/>
          <w:vertAlign w:val="baseline"/>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التهامر وآخرون ضد النمسا</w:t>
      </w:r>
      <w:r w:rsidR="009A1C3F">
        <w:rPr>
          <w:rFonts w:hint="cs"/>
          <w:i/>
          <w:iCs/>
          <w:sz w:val="18"/>
          <w:szCs w:val="26"/>
          <w:rtl/>
          <w:lang w:eastAsia="zh-TW"/>
        </w:rPr>
        <w:t xml:space="preserve"> </w:t>
      </w:r>
      <w:r w:rsidR="009A1C3F" w:rsidRPr="009A1C3F">
        <w:rPr>
          <w:rFonts w:hint="cs"/>
          <w:sz w:val="18"/>
          <w:szCs w:val="26"/>
          <w:rtl/>
          <w:lang w:eastAsia="zh-TW"/>
        </w:rPr>
        <w:t>(</w:t>
      </w:r>
      <w:r w:rsidR="009A1C3F" w:rsidRPr="0037421A">
        <w:rPr>
          <w:sz w:val="18"/>
          <w:szCs w:val="26"/>
          <w:lang w:eastAsia="zh-TW"/>
        </w:rPr>
        <w:t>CCPR/C/78/D/998/2001</w:t>
      </w:r>
      <w:r w:rsidR="009A1C3F" w:rsidRP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10-2.</w:t>
      </w:r>
      <w:r>
        <w:rPr>
          <w:sz w:val="18"/>
          <w:szCs w:val="26"/>
          <w:rtl/>
          <w:lang w:eastAsia="zh-TW"/>
        </w:rPr>
        <w:t xml:space="preserve"> </w:t>
      </w:r>
    </w:p>
  </w:footnote>
  <w:footnote w:id="27">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sz w:val="18"/>
          <w:szCs w:val="26"/>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سبيل</w:t>
      </w:r>
      <w:r>
        <w:rPr>
          <w:sz w:val="18"/>
          <w:szCs w:val="26"/>
          <w:rtl/>
          <w:lang w:eastAsia="zh-TW"/>
        </w:rPr>
        <w:t xml:space="preserve"> </w:t>
      </w:r>
      <w:r w:rsidRPr="0037421A">
        <w:rPr>
          <w:sz w:val="18"/>
          <w:szCs w:val="26"/>
          <w:rtl/>
          <w:lang w:eastAsia="zh-TW"/>
        </w:rPr>
        <w:t>المثال،</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بروكس ضد هولندا</w:t>
      </w:r>
      <w:r>
        <w:rPr>
          <w:sz w:val="18"/>
          <w:szCs w:val="26"/>
          <w:rtl/>
          <w:lang w:eastAsia="zh-TW"/>
        </w:rPr>
        <w:t xml:space="preserve"> </w:t>
      </w:r>
      <w:r w:rsidR="009A1C3F">
        <w:rPr>
          <w:rFonts w:hint="cs"/>
          <w:sz w:val="18"/>
          <w:szCs w:val="26"/>
          <w:rtl/>
          <w:lang w:eastAsia="zh-TW"/>
        </w:rPr>
        <w:t>(</w:t>
      </w:r>
      <w:r w:rsidR="009A1C3F" w:rsidRPr="0037421A">
        <w:rPr>
          <w:sz w:val="18"/>
          <w:szCs w:val="26"/>
          <w:lang w:eastAsia="zh-TW"/>
        </w:rPr>
        <w:t>CCPR/C/29/D/172/1984</w:t>
      </w:r>
      <w:r w:rsid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13؛</w:t>
      </w:r>
      <w:r>
        <w:rPr>
          <w:sz w:val="18"/>
          <w:szCs w:val="26"/>
          <w:rtl/>
          <w:lang w:eastAsia="zh-TW"/>
        </w:rPr>
        <w:t xml:space="preserve"> </w:t>
      </w:r>
      <w:r w:rsidRPr="0037421A">
        <w:rPr>
          <w:sz w:val="18"/>
          <w:szCs w:val="26"/>
          <w:rtl/>
          <w:lang w:eastAsia="zh-TW"/>
        </w:rPr>
        <w:t>وقضية</w:t>
      </w:r>
      <w:r w:rsidRPr="000B09B9">
        <w:rPr>
          <w:i/>
          <w:iCs/>
          <w:sz w:val="18"/>
          <w:szCs w:val="26"/>
          <w:rtl/>
          <w:lang w:eastAsia="zh-TW"/>
        </w:rPr>
        <w:t xml:space="preserve"> زوان</w:t>
      </w:r>
      <w:r w:rsidR="000B09B9" w:rsidRPr="000B09B9">
        <w:rPr>
          <w:rFonts w:hint="cs"/>
          <w:i/>
          <w:iCs/>
          <w:sz w:val="18"/>
          <w:szCs w:val="26"/>
          <w:rtl/>
          <w:lang w:eastAsia="zh-TW"/>
        </w:rPr>
        <w:t xml:space="preserve"> </w:t>
      </w:r>
      <w:r w:rsidRPr="000B09B9">
        <w:rPr>
          <w:i/>
          <w:iCs/>
          <w:sz w:val="18"/>
          <w:szCs w:val="26"/>
          <w:rtl/>
          <w:lang w:eastAsia="zh-TW"/>
        </w:rPr>
        <w:t>-</w:t>
      </w:r>
      <w:r w:rsidR="000B09B9" w:rsidRPr="000B09B9">
        <w:rPr>
          <w:rFonts w:hint="cs"/>
          <w:i/>
          <w:iCs/>
          <w:sz w:val="18"/>
          <w:szCs w:val="26"/>
          <w:rtl/>
          <w:lang w:eastAsia="zh-TW"/>
        </w:rPr>
        <w:t xml:space="preserve"> </w:t>
      </w:r>
      <w:r w:rsidRPr="000B09B9">
        <w:rPr>
          <w:i/>
          <w:iCs/>
          <w:sz w:val="18"/>
          <w:szCs w:val="26"/>
          <w:rtl/>
          <w:lang w:eastAsia="zh-TW"/>
        </w:rPr>
        <w:t>دي فريز ضد هولندا</w:t>
      </w:r>
      <w:r w:rsidR="009A1C3F">
        <w:rPr>
          <w:rFonts w:hint="cs"/>
          <w:i/>
          <w:iCs/>
          <w:sz w:val="18"/>
          <w:szCs w:val="26"/>
          <w:rtl/>
          <w:lang w:eastAsia="zh-TW"/>
        </w:rPr>
        <w:t xml:space="preserve"> </w:t>
      </w:r>
      <w:r w:rsidR="009A1C3F" w:rsidRPr="009A1C3F">
        <w:rPr>
          <w:rFonts w:hint="cs"/>
          <w:sz w:val="18"/>
          <w:szCs w:val="26"/>
          <w:rtl/>
          <w:lang w:eastAsia="zh-TW"/>
        </w:rPr>
        <w:t>(</w:t>
      </w:r>
      <w:r w:rsidR="009A1C3F" w:rsidRPr="0037421A">
        <w:rPr>
          <w:sz w:val="18"/>
          <w:szCs w:val="26"/>
          <w:lang w:eastAsia="zh-TW"/>
        </w:rPr>
        <w:t>CCPR/C/29/D/172/1984</w:t>
      </w:r>
      <w:r w:rsidR="009A1C3F" w:rsidRP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13.</w:t>
      </w:r>
      <w:r>
        <w:rPr>
          <w:sz w:val="18"/>
          <w:szCs w:val="26"/>
          <w:rtl/>
          <w:lang w:eastAsia="zh-TW"/>
        </w:rPr>
        <w:t xml:space="preserve"> </w:t>
      </w:r>
    </w:p>
  </w:footnote>
  <w:footnote w:id="28">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rStyle w:val="FootnoteReference"/>
          <w:b w:val="0"/>
          <w:szCs w:val="26"/>
          <w:vertAlign w:val="baseline"/>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أونيل وكوين ضد أيرلندا</w:t>
      </w:r>
      <w:r w:rsidR="009A1C3F">
        <w:rPr>
          <w:rFonts w:hint="cs"/>
          <w:i/>
          <w:iCs/>
          <w:sz w:val="18"/>
          <w:szCs w:val="26"/>
          <w:rtl/>
          <w:lang w:eastAsia="zh-TW"/>
        </w:rPr>
        <w:t xml:space="preserve"> </w:t>
      </w:r>
      <w:r w:rsidR="009A1C3F" w:rsidRPr="009A1C3F">
        <w:rPr>
          <w:rFonts w:hint="cs"/>
          <w:sz w:val="18"/>
          <w:szCs w:val="26"/>
          <w:rtl/>
          <w:lang w:eastAsia="zh-TW"/>
        </w:rPr>
        <w:t>(</w:t>
      </w:r>
      <w:r w:rsidR="009A1C3F" w:rsidRPr="0037421A">
        <w:rPr>
          <w:sz w:val="18"/>
          <w:szCs w:val="26"/>
          <w:lang w:eastAsia="zh-TW"/>
        </w:rPr>
        <w:t>CCPR/C/87/D/1314/2004</w:t>
      </w:r>
      <w:r w:rsidR="009A1C3F" w:rsidRP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8-3.</w:t>
      </w:r>
      <w:r>
        <w:rPr>
          <w:sz w:val="18"/>
          <w:szCs w:val="26"/>
          <w:rtl/>
          <w:lang w:eastAsia="zh-TW"/>
        </w:rPr>
        <w:t xml:space="preserve"> </w:t>
      </w:r>
    </w:p>
  </w:footnote>
  <w:footnote w:id="29">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sz w:val="18"/>
          <w:szCs w:val="26"/>
          <w:rtl/>
          <w:lang w:eastAsia="zh-TW"/>
        </w:rPr>
        <w:tab/>
      </w:r>
      <w:r w:rsidRPr="0037421A">
        <w:rPr>
          <w:sz w:val="18"/>
          <w:szCs w:val="26"/>
          <w:rtl/>
          <w:lang w:eastAsia="zh-TW"/>
        </w:rPr>
        <w:t>انظر</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هذا</w:t>
      </w:r>
      <w:r>
        <w:rPr>
          <w:sz w:val="18"/>
          <w:szCs w:val="26"/>
          <w:rtl/>
          <w:lang w:eastAsia="zh-TW"/>
        </w:rPr>
        <w:t xml:space="preserve"> </w:t>
      </w:r>
      <w:r w:rsidRPr="0037421A">
        <w:rPr>
          <w:sz w:val="18"/>
          <w:szCs w:val="26"/>
          <w:rtl/>
          <w:lang w:eastAsia="zh-TW"/>
        </w:rPr>
        <w:t>الشأن</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ك. ضد أستراليا</w:t>
      </w:r>
      <w:r>
        <w:rPr>
          <w:sz w:val="18"/>
          <w:szCs w:val="26"/>
          <w:rtl/>
          <w:lang w:eastAsia="zh-TW"/>
        </w:rPr>
        <w:t xml:space="preserve"> </w:t>
      </w:r>
      <w:r w:rsidR="009A1C3F">
        <w:rPr>
          <w:rFonts w:hint="cs"/>
          <w:sz w:val="18"/>
          <w:szCs w:val="26"/>
          <w:rtl/>
          <w:lang w:eastAsia="zh-TW"/>
        </w:rPr>
        <w:t>(</w:t>
      </w:r>
      <w:r w:rsidR="009A1C3F" w:rsidRPr="0037421A">
        <w:rPr>
          <w:sz w:val="18"/>
          <w:szCs w:val="26"/>
          <w:lang w:eastAsia="zh-TW"/>
        </w:rPr>
        <w:t>CCPR/C/119/D/2216/2012</w:t>
      </w:r>
      <w:r w:rsidR="009A1C3F">
        <w:rPr>
          <w:rFonts w:hint="cs"/>
          <w:sz w:val="18"/>
          <w:szCs w:val="26"/>
          <w:rtl/>
          <w:lang w:eastAsia="zh-TW"/>
        </w:rPr>
        <w:t>)</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8-6.</w:t>
      </w:r>
    </w:p>
  </w:footnote>
  <w:footnote w:id="30">
    <w:p w:rsidR="001136FD" w:rsidRPr="0037421A" w:rsidRDefault="001136FD" w:rsidP="009A1C3F">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sz w:val="18"/>
          <w:szCs w:val="26"/>
          <w:rtl/>
          <w:lang w:eastAsia="zh-TW"/>
        </w:rPr>
        <w:tab/>
      </w:r>
      <w:r w:rsidRPr="0037421A">
        <w:rPr>
          <w:sz w:val="18"/>
          <w:szCs w:val="26"/>
          <w:rtl/>
          <w:lang w:eastAsia="zh-TW"/>
        </w:rPr>
        <w:t>وبالمثل،</w:t>
      </w:r>
      <w:r>
        <w:rPr>
          <w:sz w:val="18"/>
          <w:szCs w:val="26"/>
          <w:rtl/>
          <w:lang w:eastAsia="zh-TW"/>
        </w:rPr>
        <w:t xml:space="preserve"> </w:t>
      </w:r>
      <w:r w:rsidRPr="0037421A">
        <w:rPr>
          <w:sz w:val="18"/>
          <w:szCs w:val="26"/>
          <w:rtl/>
          <w:lang w:eastAsia="zh-TW"/>
        </w:rPr>
        <w:t>خلصت</w:t>
      </w:r>
      <w:r>
        <w:rPr>
          <w:sz w:val="18"/>
          <w:szCs w:val="26"/>
          <w:rtl/>
          <w:lang w:eastAsia="zh-TW"/>
        </w:rPr>
        <w:t xml:space="preserve"> </w:t>
      </w:r>
      <w:r w:rsidRPr="0037421A">
        <w:rPr>
          <w:sz w:val="18"/>
          <w:szCs w:val="26"/>
          <w:rtl/>
          <w:lang w:eastAsia="zh-TW"/>
        </w:rPr>
        <w:t>المحكمة</w:t>
      </w:r>
      <w:r>
        <w:rPr>
          <w:sz w:val="18"/>
          <w:szCs w:val="26"/>
          <w:rtl/>
          <w:lang w:eastAsia="zh-TW"/>
        </w:rPr>
        <w:t xml:space="preserve"> </w:t>
      </w:r>
      <w:r w:rsidRPr="0037421A">
        <w:rPr>
          <w:sz w:val="18"/>
          <w:szCs w:val="26"/>
          <w:rtl/>
          <w:lang w:eastAsia="zh-TW"/>
        </w:rPr>
        <w:t>الأوروبية</w:t>
      </w:r>
      <w:r>
        <w:rPr>
          <w:sz w:val="18"/>
          <w:szCs w:val="26"/>
          <w:rtl/>
          <w:lang w:eastAsia="zh-TW"/>
        </w:rPr>
        <w:t xml:space="preserve"> </w:t>
      </w:r>
      <w:r w:rsidRPr="0037421A">
        <w:rPr>
          <w:sz w:val="18"/>
          <w:szCs w:val="26"/>
          <w:rtl/>
          <w:lang w:eastAsia="zh-TW"/>
        </w:rPr>
        <w:t>لحقوق</w:t>
      </w:r>
      <w:r>
        <w:rPr>
          <w:sz w:val="18"/>
          <w:szCs w:val="26"/>
          <w:rtl/>
          <w:lang w:eastAsia="zh-TW"/>
        </w:rPr>
        <w:t xml:space="preserve"> </w:t>
      </w:r>
      <w:r w:rsidRPr="0037421A">
        <w:rPr>
          <w:sz w:val="18"/>
          <w:szCs w:val="26"/>
          <w:rtl/>
          <w:lang w:eastAsia="zh-TW"/>
        </w:rPr>
        <w:t>الإنسان،</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قضية</w:t>
      </w:r>
      <w:r>
        <w:rPr>
          <w:sz w:val="18"/>
          <w:szCs w:val="26"/>
          <w:rtl/>
          <w:lang w:eastAsia="zh-TW"/>
        </w:rPr>
        <w:t xml:space="preserve"> </w:t>
      </w:r>
      <w:r w:rsidRPr="000B09B9">
        <w:rPr>
          <w:i/>
          <w:iCs/>
          <w:sz w:val="18"/>
          <w:szCs w:val="26"/>
          <w:rtl/>
          <w:lang w:eastAsia="zh-TW"/>
        </w:rPr>
        <w:t>س</w:t>
      </w:r>
      <w:r w:rsidR="000B09B9" w:rsidRPr="000B09B9">
        <w:rPr>
          <w:rFonts w:hint="cs"/>
          <w:i/>
          <w:iCs/>
          <w:sz w:val="18"/>
          <w:szCs w:val="26"/>
          <w:rtl/>
          <w:lang w:eastAsia="zh-TW"/>
        </w:rPr>
        <w:t xml:space="preserve">. </w:t>
      </w:r>
      <w:r w:rsidRPr="000B09B9">
        <w:rPr>
          <w:i/>
          <w:iCs/>
          <w:sz w:val="18"/>
          <w:szCs w:val="26"/>
          <w:rtl/>
          <w:lang w:eastAsia="zh-TW"/>
        </w:rPr>
        <w:t>أ.</w:t>
      </w:r>
      <w:r w:rsidR="000B09B9" w:rsidRPr="000B09B9">
        <w:rPr>
          <w:rFonts w:hint="cs"/>
          <w:i/>
          <w:iCs/>
          <w:sz w:val="18"/>
          <w:szCs w:val="26"/>
          <w:rtl/>
          <w:lang w:eastAsia="zh-TW"/>
        </w:rPr>
        <w:t xml:space="preserve"> </w:t>
      </w:r>
      <w:r w:rsidRPr="000B09B9">
        <w:rPr>
          <w:i/>
          <w:iCs/>
          <w:sz w:val="18"/>
          <w:szCs w:val="26"/>
          <w:rtl/>
          <w:lang w:eastAsia="zh-TW"/>
        </w:rPr>
        <w:t>س. ضد فرنسا</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119)،</w:t>
      </w:r>
      <w:r>
        <w:rPr>
          <w:sz w:val="18"/>
          <w:szCs w:val="26"/>
          <w:rtl/>
          <w:lang w:eastAsia="zh-TW"/>
        </w:rPr>
        <w:t xml:space="preserve"> </w:t>
      </w:r>
      <w:r w:rsidRPr="0037421A">
        <w:rPr>
          <w:sz w:val="18"/>
          <w:szCs w:val="26"/>
          <w:rtl/>
          <w:lang w:eastAsia="zh-TW"/>
        </w:rPr>
        <w:t>إلى</w:t>
      </w:r>
      <w:r>
        <w:rPr>
          <w:sz w:val="18"/>
          <w:szCs w:val="26"/>
          <w:rtl/>
          <w:lang w:eastAsia="zh-TW"/>
        </w:rPr>
        <w:t xml:space="preserve"> </w:t>
      </w:r>
      <w:r w:rsidRPr="0037421A">
        <w:rPr>
          <w:sz w:val="18"/>
          <w:szCs w:val="26"/>
          <w:rtl/>
          <w:lang w:eastAsia="zh-TW"/>
        </w:rPr>
        <w:t>أنه</w:t>
      </w:r>
      <w:r>
        <w:rPr>
          <w:sz w:val="18"/>
          <w:szCs w:val="26"/>
          <w:rtl/>
          <w:lang w:eastAsia="zh-TW"/>
        </w:rPr>
        <w:t xml:space="preserve"> </w:t>
      </w:r>
      <w:r w:rsidRPr="0037421A">
        <w:rPr>
          <w:sz w:val="18"/>
          <w:szCs w:val="26"/>
          <w:rtl/>
          <w:lang w:eastAsia="zh-TW"/>
        </w:rPr>
        <w:t>"لا</w:t>
      </w:r>
      <w:r>
        <w:rPr>
          <w:sz w:val="18"/>
          <w:szCs w:val="26"/>
          <w:rtl/>
          <w:lang w:eastAsia="zh-TW"/>
        </w:rPr>
        <w:t xml:space="preserve"> </w:t>
      </w:r>
      <w:r w:rsidRPr="0037421A">
        <w:rPr>
          <w:sz w:val="18"/>
          <w:szCs w:val="26"/>
          <w:rtl/>
          <w:lang w:eastAsia="zh-TW"/>
        </w:rPr>
        <w:t>يمكن</w:t>
      </w:r>
      <w:r>
        <w:rPr>
          <w:sz w:val="18"/>
          <w:szCs w:val="26"/>
          <w:rtl/>
          <w:lang w:eastAsia="zh-TW"/>
        </w:rPr>
        <w:t xml:space="preserve"> </w:t>
      </w:r>
      <w:r w:rsidRPr="0037421A">
        <w:rPr>
          <w:sz w:val="18"/>
          <w:szCs w:val="26"/>
          <w:rtl/>
          <w:lang w:eastAsia="zh-TW"/>
        </w:rPr>
        <w:t>للدولة</w:t>
      </w:r>
      <w:r>
        <w:rPr>
          <w:sz w:val="18"/>
          <w:szCs w:val="26"/>
          <w:rtl/>
          <w:lang w:eastAsia="zh-TW"/>
        </w:rPr>
        <w:t xml:space="preserve"> </w:t>
      </w:r>
      <w:r w:rsidRPr="0037421A">
        <w:rPr>
          <w:sz w:val="18"/>
          <w:szCs w:val="26"/>
          <w:rtl/>
          <w:lang w:eastAsia="zh-TW"/>
        </w:rPr>
        <w:t>الطرف</w:t>
      </w:r>
      <w:r>
        <w:rPr>
          <w:sz w:val="18"/>
          <w:szCs w:val="26"/>
          <w:rtl/>
          <w:lang w:eastAsia="zh-TW"/>
        </w:rPr>
        <w:t xml:space="preserve"> </w:t>
      </w:r>
      <w:r w:rsidRPr="0037421A">
        <w:rPr>
          <w:sz w:val="18"/>
          <w:szCs w:val="26"/>
          <w:rtl/>
          <w:lang w:eastAsia="zh-TW"/>
        </w:rPr>
        <w:t>أن</w:t>
      </w:r>
      <w:r>
        <w:rPr>
          <w:sz w:val="18"/>
          <w:szCs w:val="26"/>
          <w:rtl/>
          <w:lang w:eastAsia="zh-TW"/>
        </w:rPr>
        <w:t xml:space="preserve"> </w:t>
      </w:r>
      <w:r w:rsidRPr="0037421A">
        <w:rPr>
          <w:sz w:val="18"/>
          <w:szCs w:val="26"/>
          <w:rtl/>
          <w:lang w:eastAsia="zh-TW"/>
        </w:rPr>
        <w:t>تحتج</w:t>
      </w:r>
      <w:r>
        <w:rPr>
          <w:sz w:val="18"/>
          <w:szCs w:val="26"/>
          <w:rtl/>
          <w:lang w:eastAsia="zh-TW"/>
        </w:rPr>
        <w:t xml:space="preserve"> </w:t>
      </w:r>
      <w:r w:rsidRPr="0037421A">
        <w:rPr>
          <w:sz w:val="18"/>
          <w:szCs w:val="26"/>
          <w:rtl/>
          <w:lang w:eastAsia="zh-TW"/>
        </w:rPr>
        <w:t>بالمساواة</w:t>
      </w:r>
      <w:r>
        <w:rPr>
          <w:sz w:val="18"/>
          <w:szCs w:val="26"/>
          <w:rtl/>
          <w:lang w:eastAsia="zh-TW"/>
        </w:rPr>
        <w:t xml:space="preserve"> </w:t>
      </w:r>
      <w:r w:rsidRPr="0037421A">
        <w:rPr>
          <w:sz w:val="18"/>
          <w:szCs w:val="26"/>
          <w:rtl/>
          <w:lang w:eastAsia="zh-TW"/>
        </w:rPr>
        <w:t>بين</w:t>
      </w:r>
      <w:r>
        <w:rPr>
          <w:sz w:val="18"/>
          <w:szCs w:val="26"/>
          <w:rtl/>
          <w:lang w:eastAsia="zh-TW"/>
        </w:rPr>
        <w:t xml:space="preserve"> </w:t>
      </w:r>
      <w:r w:rsidRPr="0037421A">
        <w:rPr>
          <w:sz w:val="18"/>
          <w:szCs w:val="26"/>
          <w:rtl/>
          <w:lang w:eastAsia="zh-TW"/>
        </w:rPr>
        <w:t>الجنسين</w:t>
      </w:r>
      <w:r>
        <w:rPr>
          <w:sz w:val="18"/>
          <w:szCs w:val="26"/>
          <w:rtl/>
          <w:lang w:eastAsia="zh-TW"/>
        </w:rPr>
        <w:t xml:space="preserve"> </w:t>
      </w:r>
      <w:r w:rsidRPr="0037421A">
        <w:rPr>
          <w:sz w:val="18"/>
          <w:szCs w:val="26"/>
          <w:rtl/>
          <w:lang w:eastAsia="zh-TW"/>
        </w:rPr>
        <w:t>لحظر</w:t>
      </w:r>
      <w:r>
        <w:rPr>
          <w:sz w:val="18"/>
          <w:szCs w:val="26"/>
          <w:rtl/>
          <w:lang w:eastAsia="zh-TW"/>
        </w:rPr>
        <w:t xml:space="preserve"> </w:t>
      </w:r>
      <w:r w:rsidRPr="0037421A">
        <w:rPr>
          <w:sz w:val="18"/>
          <w:szCs w:val="26"/>
          <w:rtl/>
          <w:lang w:eastAsia="zh-TW"/>
        </w:rPr>
        <w:t>ممارسة</w:t>
      </w:r>
      <w:r>
        <w:rPr>
          <w:sz w:val="18"/>
          <w:szCs w:val="26"/>
          <w:rtl/>
          <w:lang w:eastAsia="zh-TW"/>
        </w:rPr>
        <w:t xml:space="preserve"> </w:t>
      </w:r>
      <w:r w:rsidRPr="0037421A">
        <w:rPr>
          <w:sz w:val="18"/>
          <w:szCs w:val="26"/>
          <w:rtl/>
          <w:lang w:eastAsia="zh-TW"/>
        </w:rPr>
        <w:t>تدافع</w:t>
      </w:r>
      <w:r>
        <w:rPr>
          <w:sz w:val="18"/>
          <w:szCs w:val="26"/>
          <w:rtl/>
          <w:lang w:eastAsia="zh-TW"/>
        </w:rPr>
        <w:t xml:space="preserve"> </w:t>
      </w:r>
      <w:r w:rsidRPr="0037421A">
        <w:rPr>
          <w:sz w:val="18"/>
          <w:szCs w:val="26"/>
          <w:rtl/>
          <w:lang w:eastAsia="zh-TW"/>
        </w:rPr>
        <w:t>عنها</w:t>
      </w:r>
      <w:r>
        <w:rPr>
          <w:sz w:val="18"/>
          <w:szCs w:val="26"/>
          <w:rtl/>
          <w:lang w:eastAsia="zh-TW"/>
        </w:rPr>
        <w:t xml:space="preserve"> </w:t>
      </w:r>
      <w:r w:rsidRPr="0037421A">
        <w:rPr>
          <w:sz w:val="18"/>
          <w:szCs w:val="26"/>
          <w:rtl/>
          <w:lang w:eastAsia="zh-TW"/>
        </w:rPr>
        <w:t>النساء</w:t>
      </w:r>
      <w:r>
        <w:rPr>
          <w:sz w:val="18"/>
          <w:szCs w:val="26"/>
          <w:rtl/>
          <w:lang w:eastAsia="zh-TW"/>
        </w:rPr>
        <w:t xml:space="preserve"> </w:t>
      </w:r>
      <w:r w:rsidR="009A1C3F">
        <w:rPr>
          <w:rFonts w:hint="cs"/>
          <w:sz w:val="18"/>
          <w:szCs w:val="26"/>
          <w:rtl/>
          <w:lang w:eastAsia="zh-TW"/>
        </w:rPr>
        <w:t>-</w:t>
      </w:r>
      <w:r>
        <w:rPr>
          <w:sz w:val="18"/>
          <w:szCs w:val="26"/>
          <w:rtl/>
          <w:lang w:eastAsia="zh-TW"/>
        </w:rPr>
        <w:t xml:space="preserve"> </w:t>
      </w:r>
      <w:r w:rsidRPr="0037421A">
        <w:rPr>
          <w:sz w:val="18"/>
          <w:szCs w:val="26"/>
          <w:rtl/>
          <w:lang w:eastAsia="zh-TW"/>
        </w:rPr>
        <w:t>كما</w:t>
      </w:r>
      <w:r>
        <w:rPr>
          <w:sz w:val="18"/>
          <w:szCs w:val="26"/>
          <w:rtl/>
          <w:lang w:eastAsia="zh-TW"/>
        </w:rPr>
        <w:t xml:space="preserve"> </w:t>
      </w:r>
      <w:r w:rsidRPr="0037421A">
        <w:rPr>
          <w:sz w:val="18"/>
          <w:szCs w:val="26"/>
          <w:rtl/>
          <w:lang w:eastAsia="zh-TW"/>
        </w:rPr>
        <w:t>هي</w:t>
      </w:r>
      <w:r>
        <w:rPr>
          <w:sz w:val="18"/>
          <w:szCs w:val="26"/>
          <w:rtl/>
          <w:lang w:eastAsia="zh-TW"/>
        </w:rPr>
        <w:t xml:space="preserve"> </w:t>
      </w:r>
      <w:r w:rsidRPr="0037421A">
        <w:rPr>
          <w:sz w:val="18"/>
          <w:szCs w:val="26"/>
          <w:rtl/>
          <w:lang w:eastAsia="zh-TW"/>
        </w:rPr>
        <w:t>حال</w:t>
      </w:r>
      <w:r>
        <w:rPr>
          <w:sz w:val="18"/>
          <w:szCs w:val="26"/>
          <w:rtl/>
          <w:lang w:eastAsia="zh-TW"/>
        </w:rPr>
        <w:t xml:space="preserve"> </w:t>
      </w:r>
      <w:r w:rsidRPr="0037421A">
        <w:rPr>
          <w:sz w:val="18"/>
          <w:szCs w:val="26"/>
          <w:rtl/>
          <w:lang w:eastAsia="zh-TW"/>
        </w:rPr>
        <w:t>مقدمة</w:t>
      </w:r>
      <w:r>
        <w:rPr>
          <w:sz w:val="18"/>
          <w:szCs w:val="26"/>
          <w:rtl/>
          <w:lang w:eastAsia="zh-TW"/>
        </w:rPr>
        <w:t xml:space="preserve"> </w:t>
      </w:r>
      <w:r w:rsidRPr="0037421A">
        <w:rPr>
          <w:sz w:val="18"/>
          <w:szCs w:val="26"/>
          <w:rtl/>
          <w:lang w:eastAsia="zh-TW"/>
        </w:rPr>
        <w:t>الطلب</w:t>
      </w:r>
      <w:r>
        <w:rPr>
          <w:sz w:val="18"/>
          <w:szCs w:val="26"/>
          <w:rtl/>
          <w:lang w:eastAsia="zh-TW"/>
        </w:rPr>
        <w:t xml:space="preserve"> </w:t>
      </w:r>
      <w:r w:rsidR="009A1C3F">
        <w:rPr>
          <w:rFonts w:hint="cs"/>
          <w:sz w:val="18"/>
          <w:szCs w:val="26"/>
          <w:rtl/>
          <w:lang w:eastAsia="zh-TW"/>
        </w:rPr>
        <w:t>-</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سياق</w:t>
      </w:r>
      <w:r>
        <w:rPr>
          <w:sz w:val="18"/>
          <w:szCs w:val="26"/>
          <w:rtl/>
          <w:lang w:eastAsia="zh-TW"/>
        </w:rPr>
        <w:t xml:space="preserve"> </w:t>
      </w:r>
      <w:r w:rsidRPr="0037421A">
        <w:rPr>
          <w:sz w:val="18"/>
          <w:szCs w:val="26"/>
          <w:rtl/>
          <w:lang w:eastAsia="zh-TW"/>
        </w:rPr>
        <w:t>ممارسة</w:t>
      </w:r>
      <w:r>
        <w:rPr>
          <w:sz w:val="18"/>
          <w:szCs w:val="26"/>
          <w:rtl/>
          <w:lang w:eastAsia="zh-TW"/>
        </w:rPr>
        <w:t xml:space="preserve"> </w:t>
      </w:r>
      <w:r w:rsidRPr="0037421A">
        <w:rPr>
          <w:sz w:val="18"/>
          <w:szCs w:val="26"/>
          <w:rtl/>
          <w:lang w:eastAsia="zh-TW"/>
        </w:rPr>
        <w:t>الحقوق</w:t>
      </w:r>
      <w:r>
        <w:rPr>
          <w:sz w:val="18"/>
          <w:szCs w:val="26"/>
          <w:rtl/>
          <w:lang w:eastAsia="zh-TW"/>
        </w:rPr>
        <w:t xml:space="preserve"> </w:t>
      </w:r>
      <w:r w:rsidRPr="0037421A">
        <w:rPr>
          <w:sz w:val="18"/>
          <w:szCs w:val="26"/>
          <w:rtl/>
          <w:lang w:eastAsia="zh-TW"/>
        </w:rPr>
        <w:t>المنصوص</w:t>
      </w:r>
      <w:r>
        <w:rPr>
          <w:sz w:val="18"/>
          <w:szCs w:val="26"/>
          <w:rtl/>
          <w:lang w:eastAsia="zh-TW"/>
        </w:rPr>
        <w:t xml:space="preserve"> </w:t>
      </w:r>
      <w:r w:rsidRPr="0037421A">
        <w:rPr>
          <w:sz w:val="18"/>
          <w:szCs w:val="26"/>
          <w:rtl/>
          <w:lang w:eastAsia="zh-TW"/>
        </w:rPr>
        <w:t>عليها</w:t>
      </w:r>
      <w:r>
        <w:rPr>
          <w:sz w:val="18"/>
          <w:szCs w:val="26"/>
          <w:rtl/>
          <w:lang w:eastAsia="zh-TW"/>
        </w:rPr>
        <w:t xml:space="preserve"> </w:t>
      </w:r>
      <w:r w:rsidRPr="0037421A">
        <w:rPr>
          <w:sz w:val="18"/>
          <w:szCs w:val="26"/>
          <w:rtl/>
          <w:lang w:eastAsia="zh-TW"/>
        </w:rPr>
        <w:t>في</w:t>
      </w:r>
      <w:r>
        <w:rPr>
          <w:sz w:val="18"/>
          <w:szCs w:val="26"/>
          <w:rtl/>
          <w:lang w:eastAsia="zh-TW"/>
        </w:rPr>
        <w:t xml:space="preserve"> </w:t>
      </w:r>
      <w:r w:rsidRPr="0037421A">
        <w:rPr>
          <w:sz w:val="18"/>
          <w:szCs w:val="26"/>
          <w:rtl/>
          <w:lang w:eastAsia="zh-TW"/>
        </w:rPr>
        <w:t>هذه</w:t>
      </w:r>
      <w:r>
        <w:rPr>
          <w:sz w:val="18"/>
          <w:szCs w:val="26"/>
          <w:rtl/>
          <w:lang w:eastAsia="zh-TW"/>
        </w:rPr>
        <w:t xml:space="preserve"> </w:t>
      </w:r>
      <w:r w:rsidRPr="0037421A">
        <w:rPr>
          <w:sz w:val="18"/>
          <w:szCs w:val="26"/>
          <w:rtl/>
          <w:lang w:eastAsia="zh-TW"/>
        </w:rPr>
        <w:t>الأحكام،</w:t>
      </w:r>
      <w:r>
        <w:rPr>
          <w:sz w:val="18"/>
          <w:szCs w:val="26"/>
          <w:rtl/>
          <w:lang w:eastAsia="zh-TW"/>
        </w:rPr>
        <w:t xml:space="preserve"> </w:t>
      </w:r>
      <w:r w:rsidRPr="0037421A">
        <w:rPr>
          <w:sz w:val="18"/>
          <w:szCs w:val="26"/>
          <w:rtl/>
          <w:lang w:eastAsia="zh-TW"/>
        </w:rPr>
        <w:t>ما</w:t>
      </w:r>
      <w:r>
        <w:rPr>
          <w:sz w:val="18"/>
          <w:szCs w:val="26"/>
          <w:rtl/>
          <w:lang w:eastAsia="zh-TW"/>
        </w:rPr>
        <w:t xml:space="preserve"> </w:t>
      </w:r>
      <w:r w:rsidRPr="0037421A">
        <w:rPr>
          <w:sz w:val="18"/>
          <w:szCs w:val="26"/>
          <w:rtl/>
          <w:lang w:eastAsia="zh-TW"/>
        </w:rPr>
        <w:t>لم</w:t>
      </w:r>
      <w:r>
        <w:rPr>
          <w:sz w:val="18"/>
          <w:szCs w:val="26"/>
          <w:rtl/>
          <w:lang w:eastAsia="zh-TW"/>
        </w:rPr>
        <w:t xml:space="preserve"> </w:t>
      </w:r>
      <w:r w:rsidRPr="0037421A">
        <w:rPr>
          <w:sz w:val="18"/>
          <w:szCs w:val="26"/>
          <w:rtl/>
          <w:lang w:eastAsia="zh-TW"/>
        </w:rPr>
        <w:t>يكن</w:t>
      </w:r>
      <w:r>
        <w:rPr>
          <w:sz w:val="18"/>
          <w:szCs w:val="26"/>
          <w:rtl/>
          <w:lang w:eastAsia="zh-TW"/>
        </w:rPr>
        <w:t xml:space="preserve"> </w:t>
      </w:r>
      <w:r w:rsidRPr="0037421A">
        <w:rPr>
          <w:sz w:val="18"/>
          <w:szCs w:val="26"/>
          <w:rtl/>
          <w:lang w:eastAsia="zh-TW"/>
        </w:rPr>
        <w:t>المفهوم</w:t>
      </w:r>
      <w:r>
        <w:rPr>
          <w:sz w:val="18"/>
          <w:szCs w:val="26"/>
          <w:rtl/>
          <w:lang w:eastAsia="zh-TW"/>
        </w:rPr>
        <w:t xml:space="preserve"> </w:t>
      </w:r>
      <w:r w:rsidRPr="0037421A">
        <w:rPr>
          <w:sz w:val="18"/>
          <w:szCs w:val="26"/>
          <w:rtl/>
          <w:lang w:eastAsia="zh-TW"/>
        </w:rPr>
        <w:t>منها</w:t>
      </w:r>
      <w:r>
        <w:rPr>
          <w:sz w:val="18"/>
          <w:szCs w:val="26"/>
          <w:rtl/>
          <w:lang w:eastAsia="zh-TW"/>
        </w:rPr>
        <w:t xml:space="preserve"> </w:t>
      </w:r>
      <w:r w:rsidRPr="0037421A">
        <w:rPr>
          <w:sz w:val="18"/>
          <w:szCs w:val="26"/>
          <w:rtl/>
          <w:lang w:eastAsia="zh-TW"/>
        </w:rPr>
        <w:t>أنه</w:t>
      </w:r>
      <w:r>
        <w:rPr>
          <w:sz w:val="18"/>
          <w:szCs w:val="26"/>
          <w:rtl/>
          <w:lang w:eastAsia="zh-TW"/>
        </w:rPr>
        <w:t xml:space="preserve"> </w:t>
      </w:r>
      <w:r w:rsidRPr="0037421A">
        <w:rPr>
          <w:sz w:val="18"/>
          <w:szCs w:val="26"/>
          <w:rtl/>
          <w:lang w:eastAsia="zh-TW"/>
        </w:rPr>
        <w:t>يمكن</w:t>
      </w:r>
      <w:r>
        <w:rPr>
          <w:sz w:val="18"/>
          <w:szCs w:val="26"/>
          <w:rtl/>
          <w:lang w:eastAsia="zh-TW"/>
        </w:rPr>
        <w:t xml:space="preserve"> </w:t>
      </w:r>
      <w:r w:rsidRPr="0037421A">
        <w:rPr>
          <w:sz w:val="18"/>
          <w:szCs w:val="26"/>
          <w:rtl/>
          <w:lang w:eastAsia="zh-TW"/>
        </w:rPr>
        <w:t>حماية</w:t>
      </w:r>
      <w:r>
        <w:rPr>
          <w:sz w:val="18"/>
          <w:szCs w:val="26"/>
          <w:rtl/>
          <w:lang w:eastAsia="zh-TW"/>
        </w:rPr>
        <w:t xml:space="preserve"> </w:t>
      </w:r>
      <w:r w:rsidRPr="0037421A">
        <w:rPr>
          <w:sz w:val="18"/>
          <w:szCs w:val="26"/>
          <w:rtl/>
          <w:lang w:eastAsia="zh-TW"/>
        </w:rPr>
        <w:t>الأفراد</w:t>
      </w:r>
      <w:r>
        <w:rPr>
          <w:sz w:val="18"/>
          <w:szCs w:val="26"/>
          <w:rtl/>
          <w:lang w:eastAsia="zh-TW"/>
        </w:rPr>
        <w:t xml:space="preserve"> </w:t>
      </w:r>
      <w:r w:rsidRPr="0037421A">
        <w:rPr>
          <w:sz w:val="18"/>
          <w:szCs w:val="26"/>
          <w:rtl/>
          <w:lang w:eastAsia="zh-TW"/>
        </w:rPr>
        <w:t>على</w:t>
      </w:r>
      <w:r>
        <w:rPr>
          <w:sz w:val="18"/>
          <w:szCs w:val="26"/>
          <w:rtl/>
          <w:lang w:eastAsia="zh-TW"/>
        </w:rPr>
        <w:t xml:space="preserve"> </w:t>
      </w:r>
      <w:r w:rsidRPr="0037421A">
        <w:rPr>
          <w:sz w:val="18"/>
          <w:szCs w:val="26"/>
          <w:rtl/>
          <w:lang w:eastAsia="zh-TW"/>
        </w:rPr>
        <w:t>هذا</w:t>
      </w:r>
      <w:r>
        <w:rPr>
          <w:sz w:val="18"/>
          <w:szCs w:val="26"/>
          <w:rtl/>
          <w:lang w:eastAsia="zh-TW"/>
        </w:rPr>
        <w:t xml:space="preserve"> </w:t>
      </w:r>
      <w:r w:rsidRPr="0037421A">
        <w:rPr>
          <w:sz w:val="18"/>
          <w:szCs w:val="26"/>
          <w:rtl/>
          <w:lang w:eastAsia="zh-TW"/>
        </w:rPr>
        <w:t>الأساس</w:t>
      </w:r>
      <w:r>
        <w:rPr>
          <w:sz w:val="18"/>
          <w:szCs w:val="26"/>
          <w:rtl/>
          <w:lang w:eastAsia="zh-TW"/>
        </w:rPr>
        <w:t xml:space="preserve"> </w:t>
      </w:r>
      <w:r w:rsidRPr="0037421A">
        <w:rPr>
          <w:sz w:val="18"/>
          <w:szCs w:val="26"/>
          <w:rtl/>
          <w:lang w:eastAsia="zh-TW"/>
        </w:rPr>
        <w:t>من</w:t>
      </w:r>
      <w:r>
        <w:rPr>
          <w:sz w:val="18"/>
          <w:szCs w:val="26"/>
          <w:rtl/>
          <w:lang w:eastAsia="zh-TW"/>
        </w:rPr>
        <w:t xml:space="preserve"> </w:t>
      </w:r>
      <w:r w:rsidRPr="0037421A">
        <w:rPr>
          <w:sz w:val="18"/>
          <w:szCs w:val="26"/>
          <w:rtl/>
          <w:lang w:eastAsia="zh-TW"/>
        </w:rPr>
        <w:t>ممارسة</w:t>
      </w:r>
      <w:r>
        <w:rPr>
          <w:sz w:val="18"/>
          <w:szCs w:val="26"/>
          <w:rtl/>
          <w:lang w:eastAsia="zh-TW"/>
        </w:rPr>
        <w:t xml:space="preserve"> </w:t>
      </w:r>
      <w:r w:rsidRPr="0037421A">
        <w:rPr>
          <w:sz w:val="18"/>
          <w:szCs w:val="26"/>
          <w:rtl/>
          <w:lang w:eastAsia="zh-TW"/>
        </w:rPr>
        <w:t>حقوقهم</w:t>
      </w:r>
      <w:r>
        <w:rPr>
          <w:sz w:val="18"/>
          <w:szCs w:val="26"/>
          <w:rtl/>
          <w:lang w:eastAsia="zh-TW"/>
        </w:rPr>
        <w:t xml:space="preserve"> </w:t>
      </w:r>
      <w:r w:rsidRPr="0037421A">
        <w:rPr>
          <w:sz w:val="18"/>
          <w:szCs w:val="26"/>
          <w:rtl/>
          <w:lang w:eastAsia="zh-TW"/>
        </w:rPr>
        <w:t>وحرياتهم</w:t>
      </w:r>
      <w:r>
        <w:rPr>
          <w:sz w:val="18"/>
          <w:szCs w:val="26"/>
          <w:rtl/>
          <w:lang w:eastAsia="zh-TW"/>
        </w:rPr>
        <w:t xml:space="preserve"> </w:t>
      </w:r>
      <w:r w:rsidR="00F95C27">
        <w:rPr>
          <w:sz w:val="18"/>
          <w:szCs w:val="26"/>
          <w:rtl/>
          <w:lang w:eastAsia="zh-TW"/>
        </w:rPr>
        <w:t>الأساسية</w:t>
      </w:r>
      <w:r w:rsidRPr="0037421A">
        <w:rPr>
          <w:sz w:val="18"/>
          <w:szCs w:val="26"/>
          <w:rtl/>
          <w:lang w:eastAsia="zh-TW"/>
        </w:rPr>
        <w:t>"</w:t>
      </w:r>
      <w:r w:rsidR="00F95C27">
        <w:rPr>
          <w:rFonts w:hint="cs"/>
          <w:sz w:val="18"/>
          <w:szCs w:val="26"/>
          <w:rtl/>
          <w:lang w:eastAsia="zh-TW"/>
        </w:rPr>
        <w:t>.</w:t>
      </w:r>
    </w:p>
  </w:footnote>
  <w:footnote w:id="31">
    <w:p w:rsidR="001136FD" w:rsidRPr="0037421A" w:rsidRDefault="001136FD" w:rsidP="007E29DE">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rStyle w:val="FootnoteReference"/>
          <w:b w:val="0"/>
          <w:szCs w:val="26"/>
          <w:vertAlign w:val="baseline"/>
          <w:rtl/>
          <w:lang w:eastAsia="zh-TW"/>
        </w:rPr>
        <w:tab/>
      </w:r>
      <w:r w:rsidRPr="0037421A">
        <w:rPr>
          <w:sz w:val="18"/>
          <w:szCs w:val="26"/>
          <w:lang w:eastAsia="zh-TW"/>
        </w:rPr>
        <w:t>CCPR/C/FRA/CO/5</w:t>
      </w:r>
      <w:r w:rsidRPr="0037421A">
        <w:rPr>
          <w:sz w:val="18"/>
          <w:szCs w:val="26"/>
          <w:rtl/>
          <w:lang w:eastAsia="zh-TW"/>
        </w:rPr>
        <w:t>،</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22.</w:t>
      </w:r>
    </w:p>
  </w:footnote>
  <w:footnote w:id="32">
    <w:p w:rsidR="001136FD" w:rsidRPr="0037421A" w:rsidRDefault="001136FD" w:rsidP="007E29DE">
      <w:pPr>
        <w:pStyle w:val="FootnoteText"/>
        <w:spacing w:after="60" w:line="300" w:lineRule="exact"/>
        <w:ind w:left="1247" w:right="1247" w:hanging="567"/>
        <w:textDirection w:val="tbRlV"/>
        <w:rPr>
          <w:sz w:val="18"/>
          <w:szCs w:val="26"/>
          <w:rtl/>
          <w:lang w:eastAsia="zh-TW"/>
        </w:rPr>
      </w:pPr>
      <w:r w:rsidRPr="006B0664">
        <w:rPr>
          <w:rStyle w:val="FootnoteReference"/>
          <w:b w:val="0"/>
          <w:szCs w:val="26"/>
          <w:vertAlign w:val="baseline"/>
          <w:rtl/>
          <w:lang w:eastAsia="zh-TW"/>
        </w:rPr>
        <w:t>(</w:t>
      </w:r>
      <w:r w:rsidRPr="006B0664">
        <w:rPr>
          <w:rStyle w:val="FootnoteReference"/>
          <w:b w:val="0"/>
          <w:szCs w:val="26"/>
          <w:vertAlign w:val="baseline"/>
          <w:rtl/>
          <w:lang w:eastAsia="zh-TW"/>
        </w:rPr>
        <w:footnoteRef/>
      </w:r>
      <w:r w:rsidRPr="006B0664">
        <w:rPr>
          <w:rStyle w:val="FootnoteReference"/>
          <w:b w:val="0"/>
          <w:szCs w:val="26"/>
          <w:vertAlign w:val="baseline"/>
          <w:rtl/>
          <w:lang w:eastAsia="zh-TW"/>
        </w:rPr>
        <w:t>)</w:t>
      </w:r>
      <w:r w:rsidR="00032628">
        <w:rPr>
          <w:sz w:val="18"/>
          <w:szCs w:val="26"/>
          <w:rtl/>
          <w:lang w:eastAsia="zh-TW"/>
        </w:rPr>
        <w:tab/>
      </w:r>
      <w:r w:rsidRPr="0037421A">
        <w:rPr>
          <w:sz w:val="18"/>
          <w:szCs w:val="26"/>
          <w:rtl/>
          <w:lang w:eastAsia="zh-TW"/>
        </w:rPr>
        <w:t>المرجع</w:t>
      </w:r>
      <w:r>
        <w:rPr>
          <w:sz w:val="18"/>
          <w:szCs w:val="26"/>
          <w:rtl/>
          <w:lang w:eastAsia="zh-TW"/>
        </w:rPr>
        <w:t xml:space="preserve"> </w:t>
      </w:r>
      <w:r w:rsidRPr="0037421A">
        <w:rPr>
          <w:sz w:val="18"/>
          <w:szCs w:val="26"/>
          <w:rtl/>
          <w:lang w:eastAsia="zh-TW"/>
        </w:rPr>
        <w:t>نفسه،</w:t>
      </w:r>
      <w:r>
        <w:rPr>
          <w:sz w:val="18"/>
          <w:szCs w:val="26"/>
          <w:rtl/>
          <w:lang w:eastAsia="zh-TW"/>
        </w:rPr>
        <w:t xml:space="preserve"> </w:t>
      </w:r>
      <w:r w:rsidRPr="0037421A">
        <w:rPr>
          <w:sz w:val="18"/>
          <w:szCs w:val="26"/>
          <w:rtl/>
          <w:lang w:eastAsia="zh-TW"/>
        </w:rPr>
        <w:t>الفقرة</w:t>
      </w:r>
      <w:r>
        <w:rPr>
          <w:sz w:val="18"/>
          <w:szCs w:val="26"/>
          <w:rtl/>
          <w:lang w:eastAsia="zh-TW"/>
        </w:rPr>
        <w:t xml:space="preserve"> </w:t>
      </w:r>
      <w:r w:rsidRPr="0037421A">
        <w:rPr>
          <w:sz w:val="18"/>
          <w:szCs w:val="26"/>
          <w:rtl/>
          <w:lang w:eastAsia="zh-TW"/>
        </w:rPr>
        <w:t>22.</w:t>
      </w:r>
    </w:p>
  </w:footnote>
  <w:footnote w:id="33">
    <w:p w:rsidR="001136FD" w:rsidRPr="0037421A" w:rsidRDefault="001136FD" w:rsidP="00EF2866">
      <w:pPr>
        <w:pStyle w:val="FootnoteText1"/>
      </w:pPr>
      <w:r w:rsidRPr="006B0664">
        <w:rPr>
          <w:rStyle w:val="FootnoteReference"/>
          <w:b w:val="0"/>
          <w:szCs w:val="26"/>
          <w:vertAlign w:val="baseline"/>
          <w:rtl/>
        </w:rPr>
        <w:t>(</w:t>
      </w:r>
      <w:r w:rsidRPr="006B0664">
        <w:rPr>
          <w:rStyle w:val="FootnoteReference"/>
          <w:b w:val="0"/>
          <w:szCs w:val="26"/>
          <w:vertAlign w:val="baseline"/>
          <w:rtl/>
        </w:rPr>
        <w:footnoteRef/>
      </w:r>
      <w:r w:rsidRPr="006B0664">
        <w:rPr>
          <w:rStyle w:val="FootnoteReference"/>
          <w:b w:val="0"/>
          <w:szCs w:val="26"/>
          <w:vertAlign w:val="baseline"/>
          <w:rtl/>
        </w:rPr>
        <w:t>)</w:t>
      </w:r>
      <w:r w:rsidRPr="0037421A">
        <w:rPr>
          <w:rtl/>
        </w:rPr>
        <w:tab/>
      </w:r>
      <w:r w:rsidRPr="0037421A">
        <w:rPr>
          <w:rtl/>
          <w:lang w:val="en-GB" w:eastAsia="zh-TW"/>
        </w:rPr>
        <w:t>انظر</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19</w:t>
      </w:r>
      <w:r>
        <w:rPr>
          <w:rtl/>
          <w:lang w:val="en-GB" w:eastAsia="zh-TW"/>
        </w:rPr>
        <w:t xml:space="preserve"> </w:t>
      </w:r>
      <w:r w:rsidRPr="0037421A">
        <w:rPr>
          <w:rtl/>
          <w:lang w:val="en-GB" w:eastAsia="zh-TW"/>
        </w:rPr>
        <w:t>من</w:t>
      </w:r>
      <w:r>
        <w:rPr>
          <w:rtl/>
          <w:lang w:val="en-GB" w:eastAsia="zh-TW"/>
        </w:rPr>
        <w:t xml:space="preserve"> </w:t>
      </w:r>
      <w:r w:rsidRPr="0037421A">
        <w:rPr>
          <w:rtl/>
          <w:lang w:val="en-GB" w:eastAsia="zh-TW"/>
        </w:rPr>
        <w:t>الوثيقة</w:t>
      </w:r>
      <w:r>
        <w:rPr>
          <w:rtl/>
          <w:lang w:val="en-GB" w:eastAsia="zh-TW"/>
        </w:rPr>
        <w:t xml:space="preserve"> </w:t>
      </w:r>
      <w:r w:rsidRPr="0037421A">
        <w:rPr>
          <w:lang w:val="en-GB" w:eastAsia="zh-TW"/>
        </w:rPr>
        <w:t>A/HRC/29/40</w:t>
      </w:r>
      <w:r w:rsidRPr="0037421A">
        <w:rPr>
          <w:rtl/>
          <w:lang w:val="en-GB" w:eastAsia="zh-TW"/>
        </w:rPr>
        <w:t>،</w:t>
      </w:r>
      <w:r>
        <w:rPr>
          <w:rtl/>
          <w:lang w:val="en-GB" w:eastAsia="zh-TW"/>
        </w:rPr>
        <w:t xml:space="preserve"> </w:t>
      </w:r>
      <w:r w:rsidRPr="0037421A">
        <w:rPr>
          <w:rtl/>
          <w:lang w:val="en-GB" w:eastAsia="zh-TW"/>
        </w:rPr>
        <w:t>التي</w:t>
      </w:r>
      <w:r>
        <w:rPr>
          <w:rtl/>
          <w:lang w:val="en-GB" w:eastAsia="zh-TW"/>
        </w:rPr>
        <w:t xml:space="preserve"> </w:t>
      </w:r>
      <w:r w:rsidRPr="0037421A">
        <w:rPr>
          <w:rtl/>
          <w:lang w:val="en-GB" w:eastAsia="zh-TW"/>
        </w:rPr>
        <w:t>رأى</w:t>
      </w:r>
      <w:r>
        <w:rPr>
          <w:rtl/>
          <w:lang w:val="en-GB" w:eastAsia="zh-TW"/>
        </w:rPr>
        <w:t xml:space="preserve"> </w:t>
      </w:r>
      <w:r w:rsidRPr="0037421A">
        <w:rPr>
          <w:rtl/>
          <w:lang w:val="en-GB" w:eastAsia="zh-TW"/>
        </w:rPr>
        <w:t>فيها</w:t>
      </w:r>
      <w:r>
        <w:rPr>
          <w:rtl/>
          <w:lang w:val="en-GB" w:eastAsia="zh-TW"/>
        </w:rPr>
        <w:t xml:space="preserve"> </w:t>
      </w:r>
      <w:r w:rsidRPr="0037421A">
        <w:rPr>
          <w:rtl/>
          <w:lang w:val="en-GB" w:eastAsia="zh-TW"/>
        </w:rPr>
        <w:t>الفريق</w:t>
      </w:r>
      <w:r>
        <w:rPr>
          <w:rtl/>
          <w:lang w:val="en-GB" w:eastAsia="zh-TW"/>
        </w:rPr>
        <w:t xml:space="preserve"> </w:t>
      </w:r>
      <w:r w:rsidRPr="0037421A">
        <w:rPr>
          <w:rtl/>
          <w:lang w:val="en-GB" w:eastAsia="zh-TW"/>
        </w:rPr>
        <w:t>العامل</w:t>
      </w:r>
      <w:r>
        <w:rPr>
          <w:rtl/>
          <w:lang w:val="en-GB" w:eastAsia="zh-TW"/>
        </w:rPr>
        <w:t xml:space="preserve"> </w:t>
      </w:r>
      <w:r w:rsidRPr="0037421A">
        <w:rPr>
          <w:rtl/>
          <w:lang w:val="en-GB" w:eastAsia="zh-TW"/>
        </w:rPr>
        <w:t>المعني</w:t>
      </w:r>
      <w:r>
        <w:rPr>
          <w:rtl/>
          <w:lang w:val="en-GB" w:eastAsia="zh-TW"/>
        </w:rPr>
        <w:t xml:space="preserve"> </w:t>
      </w:r>
      <w:r w:rsidRPr="0037421A">
        <w:rPr>
          <w:rtl/>
          <w:lang w:val="en-GB" w:eastAsia="zh-TW"/>
        </w:rPr>
        <w:t>بمسألة</w:t>
      </w:r>
      <w:r>
        <w:rPr>
          <w:rtl/>
          <w:lang w:val="en-GB" w:eastAsia="zh-TW"/>
        </w:rPr>
        <w:t xml:space="preserve"> </w:t>
      </w:r>
      <w:r w:rsidRPr="0037421A">
        <w:rPr>
          <w:rtl/>
          <w:lang w:val="en-GB" w:eastAsia="zh-TW"/>
        </w:rPr>
        <w:t>التمييز</w:t>
      </w:r>
      <w:r>
        <w:rPr>
          <w:rtl/>
          <w:lang w:val="en-GB" w:eastAsia="zh-TW"/>
        </w:rPr>
        <w:t xml:space="preserve"> </w:t>
      </w:r>
      <w:r w:rsidRPr="0037421A">
        <w:rPr>
          <w:rtl/>
          <w:lang w:val="en-GB" w:eastAsia="zh-TW"/>
        </w:rPr>
        <w:t>ضد</w:t>
      </w:r>
      <w:r>
        <w:rPr>
          <w:rtl/>
          <w:lang w:val="en-GB" w:eastAsia="zh-TW"/>
        </w:rPr>
        <w:t xml:space="preserve"> </w:t>
      </w:r>
      <w:r w:rsidRPr="0037421A">
        <w:rPr>
          <w:rtl/>
          <w:lang w:val="en-GB" w:eastAsia="zh-TW"/>
        </w:rPr>
        <w:t>المرأة</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القانون</w:t>
      </w:r>
      <w:r>
        <w:rPr>
          <w:rtl/>
          <w:lang w:val="en-GB" w:eastAsia="zh-TW"/>
        </w:rPr>
        <w:t xml:space="preserve"> </w:t>
      </w:r>
      <w:r w:rsidRPr="0037421A">
        <w:rPr>
          <w:rtl/>
          <w:lang w:val="en-GB" w:eastAsia="zh-TW"/>
        </w:rPr>
        <w:t>والممارسة</w:t>
      </w:r>
      <w:r>
        <w:rPr>
          <w:rtl/>
          <w:lang w:val="en-GB" w:eastAsia="zh-TW"/>
        </w:rPr>
        <w:t xml:space="preserve"> </w:t>
      </w:r>
      <w:r w:rsidRPr="0037421A">
        <w:rPr>
          <w:rtl/>
          <w:lang w:val="en-GB" w:eastAsia="zh-TW"/>
        </w:rPr>
        <w:t>العملية</w:t>
      </w:r>
      <w:r>
        <w:rPr>
          <w:rtl/>
          <w:lang w:val="en-GB" w:eastAsia="zh-TW"/>
        </w:rPr>
        <w:t xml:space="preserve"> </w:t>
      </w:r>
      <w:r w:rsidRPr="0037421A">
        <w:rPr>
          <w:rtl/>
          <w:lang w:val="en-GB" w:eastAsia="zh-TW"/>
        </w:rPr>
        <w:t>أن</w:t>
      </w:r>
      <w:r>
        <w:rPr>
          <w:rtl/>
          <w:lang w:val="en-GB" w:eastAsia="zh-TW"/>
        </w:rPr>
        <w:t xml:space="preserve"> </w:t>
      </w:r>
      <w:r w:rsidRPr="0037421A">
        <w:rPr>
          <w:rtl/>
          <w:lang w:val="en-GB" w:eastAsia="zh-TW"/>
        </w:rPr>
        <w:t>الحركات</w:t>
      </w:r>
      <w:r>
        <w:rPr>
          <w:rtl/>
          <w:lang w:val="en-GB" w:eastAsia="zh-TW"/>
        </w:rPr>
        <w:t xml:space="preserve"> </w:t>
      </w:r>
      <w:r w:rsidRPr="0037421A">
        <w:rPr>
          <w:rtl/>
          <w:lang w:val="en-GB" w:eastAsia="zh-TW"/>
        </w:rPr>
        <w:t>المتطرفة</w:t>
      </w:r>
      <w:r>
        <w:rPr>
          <w:rtl/>
          <w:lang w:val="en-GB" w:eastAsia="zh-TW"/>
        </w:rPr>
        <w:t xml:space="preserve"> </w:t>
      </w:r>
      <w:r w:rsidRPr="0037421A">
        <w:rPr>
          <w:rtl/>
          <w:lang w:val="en-GB" w:eastAsia="zh-TW"/>
        </w:rPr>
        <w:t>الدينية</w:t>
      </w:r>
      <w:r>
        <w:rPr>
          <w:rtl/>
          <w:lang w:val="en-GB" w:eastAsia="zh-TW"/>
        </w:rPr>
        <w:t xml:space="preserve"> </w:t>
      </w:r>
      <w:r w:rsidRPr="0037421A">
        <w:rPr>
          <w:rtl/>
          <w:lang w:val="en-GB" w:eastAsia="zh-TW"/>
        </w:rPr>
        <w:t>المحافظة</w:t>
      </w:r>
      <w:r>
        <w:rPr>
          <w:rtl/>
          <w:lang w:val="en-GB" w:eastAsia="zh-TW"/>
        </w:rPr>
        <w:t xml:space="preserve"> </w:t>
      </w:r>
      <w:r w:rsidRPr="0037421A">
        <w:rPr>
          <w:rtl/>
          <w:lang w:val="en-GB" w:eastAsia="zh-TW"/>
        </w:rPr>
        <w:t>تفرض</w:t>
      </w:r>
      <w:r>
        <w:rPr>
          <w:rtl/>
          <w:lang w:val="en-GB" w:eastAsia="zh-TW"/>
        </w:rPr>
        <w:t xml:space="preserve"> </w:t>
      </w:r>
      <w:r w:rsidRPr="0037421A">
        <w:rPr>
          <w:rtl/>
          <w:lang w:val="en-GB" w:eastAsia="zh-TW"/>
        </w:rPr>
        <w:t>قواعد</w:t>
      </w:r>
      <w:r>
        <w:rPr>
          <w:rtl/>
          <w:lang w:val="en-GB" w:eastAsia="zh-TW"/>
        </w:rPr>
        <w:t xml:space="preserve"> </w:t>
      </w:r>
      <w:r w:rsidRPr="0037421A">
        <w:rPr>
          <w:rtl/>
          <w:lang w:val="en-GB" w:eastAsia="zh-TW"/>
        </w:rPr>
        <w:t>صارمة</w:t>
      </w:r>
      <w:r>
        <w:rPr>
          <w:rtl/>
          <w:lang w:val="en-GB" w:eastAsia="zh-TW"/>
        </w:rPr>
        <w:t xml:space="preserve"> </w:t>
      </w:r>
      <w:r w:rsidRPr="0037421A">
        <w:rPr>
          <w:rtl/>
          <w:lang w:val="en-GB" w:eastAsia="zh-TW"/>
        </w:rPr>
        <w:t>للحشمة</w:t>
      </w:r>
      <w:r>
        <w:rPr>
          <w:rtl/>
          <w:lang w:val="en-GB" w:eastAsia="zh-TW"/>
        </w:rPr>
        <w:t xml:space="preserve"> </w:t>
      </w:r>
      <w:r w:rsidRPr="0037421A">
        <w:rPr>
          <w:rtl/>
          <w:lang w:val="en-GB" w:eastAsia="zh-TW"/>
        </w:rPr>
        <w:t>من</w:t>
      </w:r>
      <w:r>
        <w:rPr>
          <w:rtl/>
          <w:lang w:val="en-GB" w:eastAsia="zh-TW"/>
        </w:rPr>
        <w:t xml:space="preserve"> </w:t>
      </w:r>
      <w:r w:rsidRPr="0037421A">
        <w:rPr>
          <w:rtl/>
          <w:lang w:val="en-GB" w:eastAsia="zh-TW"/>
        </w:rPr>
        <w:t>أجل</w:t>
      </w:r>
      <w:r>
        <w:rPr>
          <w:rtl/>
          <w:lang w:val="en-GB" w:eastAsia="zh-TW"/>
        </w:rPr>
        <w:t xml:space="preserve"> </w:t>
      </w:r>
      <w:r w:rsidRPr="0037421A">
        <w:rPr>
          <w:rtl/>
          <w:lang w:val="en-GB" w:eastAsia="zh-TW"/>
        </w:rPr>
        <w:t>إخضاع</w:t>
      </w:r>
      <w:r>
        <w:rPr>
          <w:rtl/>
          <w:lang w:val="en-GB" w:eastAsia="zh-TW"/>
        </w:rPr>
        <w:t xml:space="preserve"> </w:t>
      </w:r>
      <w:r w:rsidRPr="0037421A">
        <w:rPr>
          <w:rtl/>
          <w:lang w:val="en-GB" w:eastAsia="zh-TW"/>
        </w:rPr>
        <w:t>النساء</w:t>
      </w:r>
      <w:r>
        <w:rPr>
          <w:rtl/>
          <w:lang w:val="en-GB" w:eastAsia="zh-TW"/>
        </w:rPr>
        <w:t xml:space="preserve"> </w:t>
      </w:r>
      <w:r w:rsidRPr="0037421A">
        <w:rPr>
          <w:rtl/>
          <w:lang w:val="en-GB" w:eastAsia="zh-TW"/>
        </w:rPr>
        <w:t>والفتيات</w:t>
      </w:r>
      <w:r>
        <w:rPr>
          <w:rtl/>
          <w:lang w:val="en-GB" w:eastAsia="zh-TW"/>
        </w:rPr>
        <w:t xml:space="preserve"> </w:t>
      </w:r>
      <w:r w:rsidRPr="0037421A">
        <w:rPr>
          <w:rtl/>
          <w:lang w:val="en-GB" w:eastAsia="zh-TW"/>
        </w:rPr>
        <w:t>باسم</w:t>
      </w:r>
      <w:r>
        <w:rPr>
          <w:rtl/>
          <w:lang w:val="en-GB" w:eastAsia="zh-TW"/>
        </w:rPr>
        <w:t xml:space="preserve"> </w:t>
      </w:r>
      <w:r w:rsidRPr="0037421A">
        <w:rPr>
          <w:rtl/>
          <w:lang w:val="en-GB" w:eastAsia="zh-TW"/>
        </w:rPr>
        <w:t>الدين</w:t>
      </w:r>
      <w:r w:rsidRPr="0037421A">
        <w:rPr>
          <w:rFonts w:hint="cs"/>
          <w:rtl/>
        </w:rPr>
        <w:t>.</w:t>
      </w:r>
      <w:r>
        <w:rPr>
          <w:rtl/>
        </w:rPr>
        <w:t xml:space="preserve"> </w:t>
      </w:r>
    </w:p>
  </w:footnote>
  <w:footnote w:id="34">
    <w:p w:rsidR="001136FD" w:rsidRPr="0037421A" w:rsidRDefault="001136FD" w:rsidP="00EF2866">
      <w:pPr>
        <w:pStyle w:val="FootnoteText1"/>
        <w:textDirection w:val="tbRlV"/>
        <w:rPr>
          <w:spacing w:val="-2"/>
          <w:rtl/>
          <w:lang w:val="en-GB" w:eastAsia="zh-TW"/>
        </w:rPr>
      </w:pPr>
      <w:r w:rsidRPr="006B0664">
        <w:rPr>
          <w:rStyle w:val="FootnoteReference"/>
          <w:b w:val="0"/>
          <w:spacing w:val="-2"/>
          <w:szCs w:val="26"/>
          <w:vertAlign w:val="baseline"/>
          <w:rtl/>
          <w:lang w:val="en-GB" w:eastAsia="zh-TW"/>
        </w:rPr>
        <w:t>(</w:t>
      </w:r>
      <w:r w:rsidRPr="006B0664">
        <w:rPr>
          <w:rStyle w:val="FootnoteReference"/>
          <w:b w:val="0"/>
          <w:spacing w:val="-2"/>
          <w:szCs w:val="26"/>
          <w:vertAlign w:val="baseline"/>
          <w:rtl/>
          <w:lang w:val="en-GB" w:eastAsia="zh-TW"/>
        </w:rPr>
        <w:footnoteRef/>
      </w:r>
      <w:r w:rsidRPr="006B0664">
        <w:rPr>
          <w:rStyle w:val="FootnoteReference"/>
          <w:b w:val="0"/>
          <w:spacing w:val="-2"/>
          <w:szCs w:val="26"/>
          <w:vertAlign w:val="baseline"/>
          <w:rtl/>
          <w:lang w:val="en-GB" w:eastAsia="zh-TW"/>
        </w:rPr>
        <w:t>)</w:t>
      </w:r>
      <w:r w:rsidRPr="0037421A">
        <w:rPr>
          <w:spacing w:val="-2"/>
          <w:rtl/>
          <w:lang w:val="en-GB" w:eastAsia="zh-TW"/>
        </w:rPr>
        <w:tab/>
      </w:r>
      <w:r w:rsidRPr="00EF2866">
        <w:rPr>
          <w:i/>
          <w:iCs/>
          <w:spacing w:val="-2"/>
          <w:rtl/>
          <w:lang w:val="en-GB" w:eastAsia="zh-TW"/>
        </w:rPr>
        <w:t>س.</w:t>
      </w:r>
      <w:r w:rsidRPr="00EF2866">
        <w:rPr>
          <w:rFonts w:hint="cs"/>
          <w:i/>
          <w:iCs/>
          <w:spacing w:val="-2"/>
          <w:rtl/>
          <w:lang w:val="en-GB" w:eastAsia="zh-TW"/>
        </w:rPr>
        <w:t xml:space="preserve"> </w:t>
      </w:r>
      <w:r w:rsidRPr="00EF2866">
        <w:rPr>
          <w:i/>
          <w:iCs/>
          <w:spacing w:val="-2"/>
          <w:rtl/>
          <w:lang w:val="en-GB" w:eastAsia="zh-TW"/>
        </w:rPr>
        <w:t>أ.</w:t>
      </w:r>
      <w:r w:rsidRPr="00EF2866">
        <w:rPr>
          <w:rFonts w:hint="cs"/>
          <w:i/>
          <w:iCs/>
          <w:spacing w:val="-2"/>
          <w:rtl/>
          <w:lang w:val="en-GB" w:eastAsia="zh-TW"/>
        </w:rPr>
        <w:t xml:space="preserve"> </w:t>
      </w:r>
      <w:r w:rsidRPr="00EF2866">
        <w:rPr>
          <w:i/>
          <w:iCs/>
          <w:spacing w:val="-2"/>
          <w:rtl/>
          <w:lang w:val="en-GB" w:eastAsia="zh-TW"/>
        </w:rPr>
        <w:t>س</w:t>
      </w:r>
      <w:r w:rsidRPr="00EF2866">
        <w:rPr>
          <w:rFonts w:hint="cs"/>
          <w:i/>
          <w:iCs/>
          <w:spacing w:val="-2"/>
          <w:rtl/>
          <w:lang w:val="en-GB" w:eastAsia="zh-TW"/>
        </w:rPr>
        <w:t>.</w:t>
      </w:r>
      <w:r w:rsidRPr="00EF2866">
        <w:rPr>
          <w:i/>
          <w:iCs/>
          <w:spacing w:val="-2"/>
          <w:rtl/>
          <w:lang w:val="en-GB" w:eastAsia="zh-TW"/>
        </w:rPr>
        <w:t xml:space="preserve"> ضد فرنسا</w:t>
      </w:r>
      <w:r>
        <w:rPr>
          <w:spacing w:val="-2"/>
          <w:rtl/>
          <w:lang w:val="en-GB" w:eastAsia="zh-TW"/>
        </w:rPr>
        <w:t xml:space="preserve"> </w:t>
      </w:r>
      <w:r w:rsidRPr="0037421A">
        <w:rPr>
          <w:spacing w:val="-2"/>
          <w:rtl/>
          <w:lang w:val="en-GB" w:eastAsia="zh-TW"/>
        </w:rPr>
        <w:t>(الطلب</w:t>
      </w:r>
      <w:r>
        <w:rPr>
          <w:spacing w:val="-2"/>
          <w:rtl/>
          <w:lang w:val="en-GB" w:eastAsia="zh-TW"/>
        </w:rPr>
        <w:t xml:space="preserve"> </w:t>
      </w:r>
      <w:r w:rsidRPr="0037421A">
        <w:rPr>
          <w:spacing w:val="-2"/>
          <w:rtl/>
          <w:lang w:val="en-GB" w:eastAsia="zh-TW"/>
        </w:rPr>
        <w:t>رقم</w:t>
      </w:r>
      <w:r>
        <w:rPr>
          <w:spacing w:val="-2"/>
          <w:rtl/>
          <w:lang w:val="en-GB" w:eastAsia="zh-TW"/>
        </w:rPr>
        <w:t xml:space="preserve"> </w:t>
      </w:r>
      <w:r w:rsidRPr="0037421A">
        <w:rPr>
          <w:spacing w:val="-2"/>
          <w:rtl/>
          <w:lang w:val="en-GB" w:eastAsia="zh-TW"/>
        </w:rPr>
        <w:t>٤٣٨٣٥/١١)،</w:t>
      </w:r>
      <w:r>
        <w:rPr>
          <w:spacing w:val="-2"/>
          <w:rtl/>
          <w:lang w:val="en-GB" w:eastAsia="zh-TW"/>
        </w:rPr>
        <w:t xml:space="preserve"> </w:t>
      </w:r>
      <w:r w:rsidRPr="0037421A">
        <w:rPr>
          <w:spacing w:val="-2"/>
          <w:rtl/>
          <w:lang w:val="en-GB" w:eastAsia="zh-TW"/>
        </w:rPr>
        <w:t>الحكم</w:t>
      </w:r>
      <w:r>
        <w:rPr>
          <w:spacing w:val="-2"/>
          <w:rtl/>
          <w:lang w:val="en-GB" w:eastAsia="zh-TW"/>
        </w:rPr>
        <w:t xml:space="preserve"> </w:t>
      </w:r>
      <w:r w:rsidRPr="0037421A">
        <w:rPr>
          <w:spacing w:val="-2"/>
          <w:rtl/>
          <w:lang w:val="en-GB" w:eastAsia="zh-TW"/>
        </w:rPr>
        <w:t>المؤرخ</w:t>
      </w:r>
      <w:r>
        <w:rPr>
          <w:spacing w:val="-2"/>
          <w:rtl/>
          <w:lang w:val="en-GB" w:eastAsia="zh-TW"/>
        </w:rPr>
        <w:t xml:space="preserve"> </w:t>
      </w:r>
      <w:r w:rsidRPr="0037421A">
        <w:rPr>
          <w:spacing w:val="-2"/>
          <w:rtl/>
          <w:lang w:val="en-GB" w:eastAsia="zh-TW"/>
        </w:rPr>
        <w:t>١</w:t>
      </w:r>
      <w:r>
        <w:rPr>
          <w:spacing w:val="-2"/>
          <w:rtl/>
          <w:lang w:val="en-GB" w:eastAsia="zh-TW"/>
        </w:rPr>
        <w:t xml:space="preserve"> </w:t>
      </w:r>
      <w:r w:rsidRPr="0037421A">
        <w:rPr>
          <w:spacing w:val="-2"/>
          <w:rtl/>
          <w:lang w:val="en-GB" w:eastAsia="zh-TW"/>
        </w:rPr>
        <w:t>تموز/يوليه</w:t>
      </w:r>
      <w:r>
        <w:rPr>
          <w:spacing w:val="-2"/>
          <w:rtl/>
          <w:lang w:val="en-GB" w:eastAsia="zh-TW"/>
        </w:rPr>
        <w:t xml:space="preserve"> </w:t>
      </w:r>
      <w:r w:rsidRPr="0037421A">
        <w:rPr>
          <w:spacing w:val="-2"/>
          <w:rtl/>
          <w:lang w:val="en-GB" w:eastAsia="zh-TW"/>
        </w:rPr>
        <w:t>٢٠١٤،</w:t>
      </w:r>
      <w:r>
        <w:rPr>
          <w:spacing w:val="-2"/>
          <w:rtl/>
          <w:lang w:val="en-GB" w:eastAsia="zh-TW"/>
        </w:rPr>
        <w:t xml:space="preserve"> </w:t>
      </w:r>
      <w:r w:rsidRPr="0037421A">
        <w:rPr>
          <w:spacing w:val="-2"/>
          <w:rtl/>
          <w:lang w:val="en-GB" w:eastAsia="zh-TW"/>
        </w:rPr>
        <w:t>الفقرات</w:t>
      </w:r>
      <w:r>
        <w:rPr>
          <w:spacing w:val="-2"/>
          <w:rtl/>
          <w:lang w:val="en-GB" w:eastAsia="zh-TW"/>
        </w:rPr>
        <w:t xml:space="preserve"> </w:t>
      </w:r>
      <w:r w:rsidRPr="0037421A">
        <w:rPr>
          <w:spacing w:val="-2"/>
          <w:rtl/>
          <w:lang w:val="en-GB" w:eastAsia="zh-TW"/>
        </w:rPr>
        <w:t>118</w:t>
      </w:r>
      <w:r w:rsidRPr="0037421A">
        <w:rPr>
          <w:rFonts w:hint="cs"/>
          <w:spacing w:val="-2"/>
          <w:rtl/>
          <w:lang w:val="en-GB" w:eastAsia="zh-TW"/>
        </w:rPr>
        <w:t>-</w:t>
      </w:r>
      <w:r w:rsidRPr="0037421A">
        <w:rPr>
          <w:spacing w:val="-2"/>
          <w:rtl/>
          <w:lang w:val="en-GB" w:eastAsia="zh-TW"/>
        </w:rPr>
        <w:t>120.</w:t>
      </w:r>
    </w:p>
  </w:footnote>
  <w:footnote w:id="35">
    <w:p w:rsidR="001136FD" w:rsidRPr="0037421A" w:rsidRDefault="001136FD" w:rsidP="00B64619">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انظر</w:t>
      </w:r>
      <w:r>
        <w:rPr>
          <w:rtl/>
          <w:lang w:val="en-GB" w:eastAsia="zh-TW"/>
        </w:rPr>
        <w:t xml:space="preserve"> </w:t>
      </w:r>
      <w:r w:rsidRPr="0037421A">
        <w:rPr>
          <w:rtl/>
          <w:lang w:val="en-GB" w:eastAsia="zh-TW"/>
        </w:rPr>
        <w:t>حكم</w:t>
      </w:r>
      <w:r>
        <w:rPr>
          <w:rtl/>
          <w:lang w:val="en-GB" w:eastAsia="zh-TW"/>
        </w:rPr>
        <w:t xml:space="preserve"> </w:t>
      </w:r>
      <w:r w:rsidRPr="0037421A">
        <w:rPr>
          <w:rtl/>
          <w:lang w:val="en-GB" w:eastAsia="zh-TW"/>
        </w:rPr>
        <w:t>المحكمة</w:t>
      </w:r>
      <w:r>
        <w:rPr>
          <w:rtl/>
          <w:lang w:val="en-GB" w:eastAsia="zh-TW"/>
        </w:rPr>
        <w:t xml:space="preserve"> </w:t>
      </w:r>
      <w:r w:rsidRPr="0037421A">
        <w:rPr>
          <w:rtl/>
          <w:lang w:val="en-GB" w:eastAsia="zh-TW"/>
        </w:rPr>
        <w:t>الأوروبية</w:t>
      </w:r>
      <w:r>
        <w:rPr>
          <w:rtl/>
          <w:lang w:val="en-GB" w:eastAsia="zh-TW"/>
        </w:rPr>
        <w:t xml:space="preserve"> </w:t>
      </w:r>
      <w:r w:rsidRPr="0037421A">
        <w:rPr>
          <w:rtl/>
          <w:lang w:val="en-GB" w:eastAsia="zh-TW"/>
        </w:rPr>
        <w:t>لحقوق</w:t>
      </w:r>
      <w:r>
        <w:rPr>
          <w:rtl/>
          <w:lang w:val="en-GB" w:eastAsia="zh-TW"/>
        </w:rPr>
        <w:t xml:space="preserve"> </w:t>
      </w:r>
      <w:r w:rsidRPr="0037421A">
        <w:rPr>
          <w:rtl/>
          <w:lang w:val="en-GB" w:eastAsia="zh-TW"/>
        </w:rPr>
        <w:t>الإنسان</w:t>
      </w:r>
      <w:r>
        <w:rPr>
          <w:rtl/>
          <w:lang w:val="en-GB" w:eastAsia="zh-TW"/>
        </w:rPr>
        <w:t xml:space="preserve"> </w:t>
      </w:r>
      <w:r w:rsidRPr="0037421A">
        <w:rPr>
          <w:rtl/>
          <w:lang w:val="en-GB" w:eastAsia="zh-TW"/>
        </w:rPr>
        <w:t>بشأن</w:t>
      </w:r>
      <w:r>
        <w:rPr>
          <w:rtl/>
          <w:lang w:val="en-GB" w:eastAsia="zh-TW"/>
        </w:rPr>
        <w:t xml:space="preserve"> </w:t>
      </w:r>
      <w:r w:rsidRPr="0037421A">
        <w:rPr>
          <w:rtl/>
          <w:lang w:val="en-GB" w:eastAsia="zh-TW"/>
        </w:rPr>
        <w:t>قضية</w:t>
      </w:r>
      <w:r>
        <w:rPr>
          <w:rtl/>
          <w:lang w:val="en-GB" w:eastAsia="zh-TW"/>
        </w:rPr>
        <w:t xml:space="preserve"> </w:t>
      </w:r>
      <w:r w:rsidRPr="000B09B9">
        <w:rPr>
          <w:i/>
          <w:iCs/>
          <w:rtl/>
          <w:lang w:val="en-GB" w:eastAsia="zh-TW"/>
        </w:rPr>
        <w:t>س.</w:t>
      </w:r>
      <w:r w:rsidRPr="000B09B9">
        <w:rPr>
          <w:rFonts w:hint="cs"/>
          <w:i/>
          <w:iCs/>
          <w:rtl/>
          <w:lang w:val="en-GB" w:eastAsia="zh-TW"/>
        </w:rPr>
        <w:t xml:space="preserve"> </w:t>
      </w:r>
      <w:r w:rsidRPr="000B09B9">
        <w:rPr>
          <w:i/>
          <w:iCs/>
          <w:rtl/>
          <w:lang w:val="en-GB" w:eastAsia="zh-TW"/>
        </w:rPr>
        <w:t>أ. س. ضد فرنسا</w:t>
      </w:r>
      <w:r>
        <w:rPr>
          <w:rtl/>
          <w:lang w:val="en-GB" w:eastAsia="zh-TW"/>
        </w:rPr>
        <w:t xml:space="preserve"> </w:t>
      </w:r>
      <w:r w:rsidRPr="0037421A">
        <w:rPr>
          <w:rtl/>
          <w:lang w:val="en-GB" w:eastAsia="zh-TW"/>
        </w:rPr>
        <w:t>(الطلب</w:t>
      </w:r>
      <w:r>
        <w:rPr>
          <w:rtl/>
          <w:lang w:val="en-GB" w:eastAsia="zh-TW"/>
        </w:rPr>
        <w:t xml:space="preserve"> </w:t>
      </w:r>
      <w:r w:rsidRPr="0037421A">
        <w:rPr>
          <w:rtl/>
          <w:lang w:val="en-GB" w:eastAsia="zh-TW"/>
        </w:rPr>
        <w:t>رقم</w:t>
      </w:r>
      <w:r>
        <w:rPr>
          <w:rtl/>
          <w:lang w:val="en-GB" w:eastAsia="zh-TW"/>
        </w:rPr>
        <w:t xml:space="preserve"> </w:t>
      </w:r>
      <w:r w:rsidRPr="0037421A">
        <w:rPr>
          <w:rtl/>
          <w:lang w:val="en-GB" w:eastAsia="zh-TW"/>
        </w:rPr>
        <w:t>43835/11)،</w:t>
      </w:r>
      <w:r>
        <w:rPr>
          <w:rtl/>
          <w:lang w:val="en-GB" w:eastAsia="zh-TW"/>
        </w:rPr>
        <w:t xml:space="preserve"> </w:t>
      </w:r>
      <w:r w:rsidRPr="0037421A">
        <w:rPr>
          <w:rtl/>
          <w:lang w:val="en-GB" w:eastAsia="zh-TW"/>
        </w:rPr>
        <w:t>الصادر</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1</w:t>
      </w:r>
      <w:r>
        <w:rPr>
          <w:rtl/>
          <w:lang w:val="en-GB" w:eastAsia="zh-TW"/>
        </w:rPr>
        <w:t xml:space="preserve"> </w:t>
      </w:r>
      <w:r w:rsidRPr="0037421A">
        <w:rPr>
          <w:rtl/>
          <w:lang w:val="en-GB" w:eastAsia="zh-TW"/>
        </w:rPr>
        <w:t>تموز/يوليه</w:t>
      </w:r>
      <w:r>
        <w:rPr>
          <w:rtl/>
          <w:lang w:val="en-GB" w:eastAsia="zh-TW"/>
        </w:rPr>
        <w:t xml:space="preserve"> </w:t>
      </w:r>
      <w:r w:rsidRPr="0037421A">
        <w:rPr>
          <w:rtl/>
          <w:lang w:val="en-GB" w:eastAsia="zh-TW"/>
        </w:rPr>
        <w:t>2014،</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127.</w:t>
      </w:r>
    </w:p>
  </w:footnote>
  <w:footnote w:id="36">
    <w:p w:rsidR="001136FD" w:rsidRPr="0037421A" w:rsidRDefault="001136FD" w:rsidP="00B64619">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r>
      <w:r w:rsidRPr="0037421A">
        <w:rPr>
          <w:spacing w:val="-1"/>
          <w:rtl/>
          <w:lang w:val="en-GB" w:eastAsia="zh-TW"/>
        </w:rPr>
        <w:t>انظر</w:t>
      </w:r>
      <w:r>
        <w:rPr>
          <w:spacing w:val="-1"/>
          <w:rtl/>
          <w:lang w:val="en-GB" w:eastAsia="zh-TW"/>
        </w:rPr>
        <w:t xml:space="preserve"> </w:t>
      </w:r>
      <w:r w:rsidRPr="0037421A">
        <w:rPr>
          <w:spacing w:val="-1"/>
          <w:lang w:val="en-GB" w:eastAsia="zh-TW"/>
        </w:rPr>
        <w:t>A/68/290</w:t>
      </w:r>
      <w:r w:rsidRPr="0037421A">
        <w:rPr>
          <w:spacing w:val="-1"/>
          <w:rtl/>
          <w:lang w:val="en-GB" w:eastAsia="zh-TW"/>
        </w:rPr>
        <w:t>،</w:t>
      </w:r>
      <w:r>
        <w:rPr>
          <w:spacing w:val="-1"/>
          <w:rtl/>
          <w:lang w:val="en-GB" w:eastAsia="zh-TW"/>
        </w:rPr>
        <w:t xml:space="preserve"> </w:t>
      </w:r>
      <w:r w:rsidRPr="0037421A">
        <w:rPr>
          <w:spacing w:val="-1"/>
          <w:rtl/>
          <w:lang w:val="en-GB" w:eastAsia="zh-TW"/>
        </w:rPr>
        <w:t>الفقرة</w:t>
      </w:r>
      <w:r>
        <w:rPr>
          <w:spacing w:val="-1"/>
          <w:rtl/>
          <w:lang w:val="en-GB" w:eastAsia="zh-TW"/>
        </w:rPr>
        <w:t xml:space="preserve"> </w:t>
      </w:r>
      <w:r w:rsidRPr="0037421A">
        <w:rPr>
          <w:spacing w:val="-1"/>
          <w:rtl/>
          <w:lang w:val="en-GB" w:eastAsia="zh-TW"/>
        </w:rPr>
        <w:t>74(د)،</w:t>
      </w:r>
      <w:r>
        <w:rPr>
          <w:spacing w:val="-1"/>
          <w:rtl/>
          <w:lang w:val="en-GB" w:eastAsia="zh-TW"/>
        </w:rPr>
        <w:t xml:space="preserve"> </w:t>
      </w:r>
      <w:r w:rsidRPr="0037421A">
        <w:rPr>
          <w:spacing w:val="-1"/>
          <w:rtl/>
          <w:lang w:val="en-GB" w:eastAsia="zh-TW"/>
        </w:rPr>
        <w:t>التي</w:t>
      </w:r>
      <w:r>
        <w:rPr>
          <w:spacing w:val="-1"/>
          <w:rtl/>
          <w:lang w:val="en-GB" w:eastAsia="zh-TW"/>
        </w:rPr>
        <w:t xml:space="preserve"> </w:t>
      </w:r>
      <w:r w:rsidRPr="0037421A">
        <w:rPr>
          <w:spacing w:val="-1"/>
          <w:rtl/>
          <w:lang w:val="en-GB" w:eastAsia="zh-TW"/>
        </w:rPr>
        <w:t>أشار</w:t>
      </w:r>
      <w:r>
        <w:rPr>
          <w:spacing w:val="-1"/>
          <w:rtl/>
          <w:lang w:val="en-GB" w:eastAsia="zh-TW"/>
        </w:rPr>
        <w:t xml:space="preserve"> </w:t>
      </w:r>
      <w:r w:rsidRPr="0037421A">
        <w:rPr>
          <w:spacing w:val="-1"/>
          <w:rtl/>
          <w:lang w:val="en-GB" w:eastAsia="zh-TW"/>
        </w:rPr>
        <w:t>فيها</w:t>
      </w:r>
      <w:r>
        <w:rPr>
          <w:spacing w:val="-1"/>
          <w:rtl/>
          <w:lang w:val="en-GB" w:eastAsia="zh-TW"/>
        </w:rPr>
        <w:t xml:space="preserve"> </w:t>
      </w:r>
      <w:r w:rsidRPr="0037421A">
        <w:rPr>
          <w:spacing w:val="-1"/>
          <w:rtl/>
          <w:lang w:val="en-GB" w:eastAsia="zh-TW"/>
        </w:rPr>
        <w:t>المقرر</w:t>
      </w:r>
      <w:r>
        <w:rPr>
          <w:spacing w:val="-1"/>
          <w:rtl/>
          <w:lang w:val="en-GB" w:eastAsia="zh-TW"/>
        </w:rPr>
        <w:t xml:space="preserve"> </w:t>
      </w:r>
      <w:r w:rsidRPr="0037421A">
        <w:rPr>
          <w:spacing w:val="-1"/>
          <w:rtl/>
          <w:lang w:val="en-GB" w:eastAsia="zh-TW"/>
        </w:rPr>
        <w:t>الخاص</w:t>
      </w:r>
      <w:r>
        <w:rPr>
          <w:spacing w:val="-1"/>
          <w:rtl/>
          <w:lang w:val="en-GB" w:eastAsia="zh-TW"/>
        </w:rPr>
        <w:t xml:space="preserve"> </w:t>
      </w:r>
      <w:r w:rsidRPr="0037421A">
        <w:rPr>
          <w:spacing w:val="-1"/>
          <w:rtl/>
          <w:lang w:val="en-GB" w:eastAsia="zh-TW"/>
        </w:rPr>
        <w:t>المعني</w:t>
      </w:r>
      <w:r>
        <w:rPr>
          <w:spacing w:val="-1"/>
          <w:rtl/>
          <w:lang w:val="en-GB" w:eastAsia="zh-TW"/>
        </w:rPr>
        <w:t xml:space="preserve"> </w:t>
      </w:r>
      <w:r w:rsidRPr="0037421A">
        <w:rPr>
          <w:spacing w:val="-1"/>
          <w:rtl/>
          <w:lang w:val="en-GB" w:eastAsia="zh-TW"/>
        </w:rPr>
        <w:t>بحرية</w:t>
      </w:r>
      <w:r>
        <w:rPr>
          <w:spacing w:val="-1"/>
          <w:rtl/>
          <w:lang w:val="en-GB" w:eastAsia="zh-TW"/>
        </w:rPr>
        <w:t xml:space="preserve"> </w:t>
      </w:r>
      <w:r w:rsidRPr="0037421A">
        <w:rPr>
          <w:spacing w:val="-1"/>
          <w:rtl/>
          <w:lang w:val="en-GB" w:eastAsia="zh-TW"/>
        </w:rPr>
        <w:t>الدين</w:t>
      </w:r>
      <w:r>
        <w:rPr>
          <w:spacing w:val="-1"/>
          <w:rtl/>
          <w:lang w:val="en-GB" w:eastAsia="zh-TW"/>
        </w:rPr>
        <w:t xml:space="preserve"> </w:t>
      </w:r>
      <w:r w:rsidRPr="0037421A">
        <w:rPr>
          <w:spacing w:val="-1"/>
          <w:rtl/>
          <w:lang w:val="en-GB" w:eastAsia="zh-TW"/>
        </w:rPr>
        <w:t>أو</w:t>
      </w:r>
      <w:r>
        <w:rPr>
          <w:spacing w:val="-1"/>
          <w:rtl/>
          <w:lang w:val="en-GB" w:eastAsia="zh-TW"/>
        </w:rPr>
        <w:t xml:space="preserve"> </w:t>
      </w:r>
      <w:r w:rsidRPr="0037421A">
        <w:rPr>
          <w:spacing w:val="-1"/>
          <w:rtl/>
          <w:lang w:val="en-GB" w:eastAsia="zh-TW"/>
        </w:rPr>
        <w:t>المعتقد</w:t>
      </w:r>
      <w:r>
        <w:rPr>
          <w:spacing w:val="-1"/>
          <w:rtl/>
          <w:lang w:val="en-GB" w:eastAsia="zh-TW"/>
        </w:rPr>
        <w:t xml:space="preserve"> </w:t>
      </w:r>
      <w:r w:rsidRPr="0037421A">
        <w:rPr>
          <w:spacing w:val="-1"/>
          <w:rtl/>
          <w:lang w:val="en-GB" w:eastAsia="zh-TW"/>
        </w:rPr>
        <w:t>إلى</w:t>
      </w:r>
      <w:r>
        <w:rPr>
          <w:spacing w:val="-1"/>
          <w:rtl/>
          <w:lang w:val="en-GB" w:eastAsia="zh-TW"/>
        </w:rPr>
        <w:t xml:space="preserve"> </w:t>
      </w:r>
      <w:r w:rsidRPr="0037421A">
        <w:rPr>
          <w:spacing w:val="-1"/>
          <w:rtl/>
          <w:lang w:val="en-GB" w:eastAsia="zh-TW"/>
        </w:rPr>
        <w:t>أنه</w:t>
      </w:r>
      <w:r>
        <w:rPr>
          <w:spacing w:val="-1"/>
          <w:rtl/>
          <w:lang w:val="en-GB" w:eastAsia="zh-TW"/>
        </w:rPr>
        <w:t xml:space="preserve"> </w:t>
      </w:r>
      <w:r w:rsidRPr="0037421A">
        <w:rPr>
          <w:spacing w:val="-1"/>
          <w:rtl/>
          <w:lang w:val="en-GB" w:eastAsia="zh-TW"/>
        </w:rPr>
        <w:t>لا</w:t>
      </w:r>
      <w:r>
        <w:rPr>
          <w:spacing w:val="-1"/>
          <w:rtl/>
          <w:lang w:val="en-GB" w:eastAsia="zh-TW"/>
        </w:rPr>
        <w:t xml:space="preserve"> </w:t>
      </w:r>
      <w:r w:rsidRPr="0037421A">
        <w:rPr>
          <w:spacing w:val="-1"/>
          <w:rtl/>
          <w:lang w:val="en-GB" w:eastAsia="zh-TW"/>
        </w:rPr>
        <w:t>يمكن</w:t>
      </w:r>
      <w:r>
        <w:rPr>
          <w:spacing w:val="-1"/>
          <w:rtl/>
          <w:lang w:val="en-GB" w:eastAsia="zh-TW"/>
        </w:rPr>
        <w:t xml:space="preserve"> </w:t>
      </w:r>
      <w:r w:rsidRPr="0037421A">
        <w:rPr>
          <w:spacing w:val="-1"/>
          <w:rtl/>
          <w:lang w:val="en-GB" w:eastAsia="zh-TW"/>
        </w:rPr>
        <w:t>ادعاء</w:t>
      </w:r>
      <w:r>
        <w:rPr>
          <w:spacing w:val="-1"/>
          <w:rtl/>
          <w:lang w:val="en-GB" w:eastAsia="zh-TW"/>
        </w:rPr>
        <w:t xml:space="preserve"> </w:t>
      </w:r>
      <w:r w:rsidRPr="0037421A">
        <w:rPr>
          <w:spacing w:val="-1"/>
          <w:rtl/>
          <w:lang w:val="en-GB" w:eastAsia="zh-TW"/>
        </w:rPr>
        <w:t>مصداقية</w:t>
      </w:r>
      <w:r>
        <w:rPr>
          <w:spacing w:val="-1"/>
          <w:rtl/>
          <w:lang w:val="en-GB" w:eastAsia="zh-TW"/>
        </w:rPr>
        <w:t xml:space="preserve"> </w:t>
      </w:r>
      <w:r w:rsidRPr="0037421A">
        <w:rPr>
          <w:spacing w:val="-1"/>
          <w:rtl/>
          <w:lang w:val="en-GB" w:eastAsia="zh-TW"/>
        </w:rPr>
        <w:t>السياسات</w:t>
      </w:r>
      <w:r>
        <w:rPr>
          <w:spacing w:val="-1"/>
          <w:rtl/>
          <w:lang w:val="en-GB" w:eastAsia="zh-TW"/>
        </w:rPr>
        <w:t xml:space="preserve"> </w:t>
      </w:r>
      <w:r w:rsidRPr="0037421A">
        <w:rPr>
          <w:spacing w:val="-1"/>
          <w:rtl/>
          <w:lang w:val="en-GB" w:eastAsia="zh-TW"/>
        </w:rPr>
        <w:t>الرامية</w:t>
      </w:r>
      <w:r>
        <w:rPr>
          <w:spacing w:val="-1"/>
          <w:rtl/>
          <w:lang w:val="en-GB" w:eastAsia="zh-TW"/>
        </w:rPr>
        <w:t xml:space="preserve"> </w:t>
      </w:r>
      <w:r w:rsidRPr="0037421A">
        <w:rPr>
          <w:spacing w:val="-1"/>
          <w:rtl/>
          <w:lang w:val="en-GB" w:eastAsia="zh-TW"/>
        </w:rPr>
        <w:t>إلى</w:t>
      </w:r>
      <w:r>
        <w:rPr>
          <w:spacing w:val="-1"/>
          <w:rtl/>
          <w:lang w:val="en-GB" w:eastAsia="zh-TW"/>
        </w:rPr>
        <w:t xml:space="preserve"> </w:t>
      </w:r>
      <w:r w:rsidRPr="0037421A">
        <w:rPr>
          <w:spacing w:val="-1"/>
          <w:rtl/>
          <w:lang w:val="en-GB" w:eastAsia="zh-TW"/>
        </w:rPr>
        <w:t>تمكين</w:t>
      </w:r>
      <w:r>
        <w:rPr>
          <w:spacing w:val="-1"/>
          <w:rtl/>
          <w:lang w:val="en-GB" w:eastAsia="zh-TW"/>
        </w:rPr>
        <w:t xml:space="preserve"> </w:t>
      </w:r>
      <w:r w:rsidRPr="0037421A">
        <w:rPr>
          <w:spacing w:val="-1"/>
          <w:rtl/>
          <w:lang w:val="en-GB" w:eastAsia="zh-TW"/>
        </w:rPr>
        <w:t>الأفراد</w:t>
      </w:r>
      <w:r>
        <w:rPr>
          <w:spacing w:val="-1"/>
          <w:rtl/>
          <w:lang w:val="en-GB" w:eastAsia="zh-TW"/>
        </w:rPr>
        <w:t xml:space="preserve"> </w:t>
      </w:r>
      <w:r w:rsidRPr="0037421A">
        <w:rPr>
          <w:spacing w:val="-1"/>
          <w:rtl/>
          <w:lang w:val="en-GB" w:eastAsia="zh-TW"/>
        </w:rPr>
        <w:t>المعرضين</w:t>
      </w:r>
      <w:r>
        <w:rPr>
          <w:spacing w:val="-1"/>
          <w:rtl/>
          <w:lang w:val="en-GB" w:eastAsia="zh-TW"/>
        </w:rPr>
        <w:t xml:space="preserve"> </w:t>
      </w:r>
      <w:r w:rsidRPr="0037421A">
        <w:rPr>
          <w:spacing w:val="-1"/>
          <w:rtl/>
          <w:lang w:val="en-GB" w:eastAsia="zh-TW"/>
        </w:rPr>
        <w:t>للتمييز</w:t>
      </w:r>
      <w:r>
        <w:rPr>
          <w:spacing w:val="-1"/>
          <w:rtl/>
          <w:lang w:val="en-GB" w:eastAsia="zh-TW"/>
        </w:rPr>
        <w:t xml:space="preserve"> </w:t>
      </w:r>
      <w:r w:rsidRPr="0037421A">
        <w:rPr>
          <w:spacing w:val="-1"/>
          <w:rtl/>
          <w:lang w:val="en-GB" w:eastAsia="zh-TW"/>
        </w:rPr>
        <w:t>المتصل</w:t>
      </w:r>
      <w:r>
        <w:rPr>
          <w:spacing w:val="-1"/>
          <w:rtl/>
          <w:lang w:val="en-GB" w:eastAsia="zh-TW"/>
        </w:rPr>
        <w:t xml:space="preserve"> </w:t>
      </w:r>
      <w:r w:rsidRPr="0037421A">
        <w:rPr>
          <w:spacing w:val="-1"/>
          <w:rtl/>
          <w:lang w:val="en-GB" w:eastAsia="zh-TW"/>
        </w:rPr>
        <w:t>بنوع</w:t>
      </w:r>
      <w:r>
        <w:rPr>
          <w:spacing w:val="-1"/>
          <w:rtl/>
          <w:lang w:val="en-GB" w:eastAsia="zh-TW"/>
        </w:rPr>
        <w:t xml:space="preserve"> </w:t>
      </w:r>
      <w:r w:rsidRPr="0037421A">
        <w:rPr>
          <w:spacing w:val="-1"/>
          <w:rtl/>
          <w:lang w:val="en-GB" w:eastAsia="zh-TW"/>
        </w:rPr>
        <w:t>الجنس</w:t>
      </w:r>
      <w:r>
        <w:rPr>
          <w:spacing w:val="-1"/>
          <w:rtl/>
          <w:lang w:val="en-GB" w:eastAsia="zh-TW"/>
        </w:rPr>
        <w:t xml:space="preserve"> </w:t>
      </w:r>
      <w:r w:rsidRPr="0037421A">
        <w:rPr>
          <w:spacing w:val="-1"/>
          <w:rtl/>
          <w:lang w:val="en-GB" w:eastAsia="zh-TW"/>
        </w:rPr>
        <w:t>ما</w:t>
      </w:r>
      <w:r>
        <w:rPr>
          <w:spacing w:val="-1"/>
          <w:rtl/>
          <w:lang w:val="en-GB" w:eastAsia="zh-TW"/>
        </w:rPr>
        <w:t xml:space="preserve"> </w:t>
      </w:r>
      <w:r w:rsidRPr="0037421A">
        <w:rPr>
          <w:spacing w:val="-1"/>
          <w:rtl/>
          <w:lang w:val="en-GB" w:eastAsia="zh-TW"/>
        </w:rPr>
        <w:t>لم</w:t>
      </w:r>
      <w:r>
        <w:rPr>
          <w:spacing w:val="-1"/>
          <w:rtl/>
          <w:lang w:val="en-GB" w:eastAsia="zh-TW"/>
        </w:rPr>
        <w:t xml:space="preserve"> </w:t>
      </w:r>
      <w:r w:rsidRPr="0037421A">
        <w:rPr>
          <w:spacing w:val="-1"/>
          <w:rtl/>
          <w:lang w:val="en-GB" w:eastAsia="zh-TW"/>
        </w:rPr>
        <w:t>تكن</w:t>
      </w:r>
      <w:r>
        <w:rPr>
          <w:spacing w:val="-1"/>
          <w:rtl/>
          <w:lang w:val="en-GB" w:eastAsia="zh-TW"/>
        </w:rPr>
        <w:t xml:space="preserve"> </w:t>
      </w:r>
      <w:r w:rsidRPr="0037421A">
        <w:rPr>
          <w:spacing w:val="-1"/>
          <w:rtl/>
          <w:lang w:val="en-GB" w:eastAsia="zh-TW"/>
        </w:rPr>
        <w:t>تولي</w:t>
      </w:r>
      <w:r>
        <w:rPr>
          <w:spacing w:val="-1"/>
          <w:rtl/>
          <w:lang w:val="en-GB" w:eastAsia="zh-TW"/>
        </w:rPr>
        <w:t xml:space="preserve"> </w:t>
      </w:r>
      <w:r w:rsidRPr="0037421A">
        <w:rPr>
          <w:spacing w:val="-1"/>
          <w:rtl/>
          <w:lang w:val="en-GB" w:eastAsia="zh-TW"/>
        </w:rPr>
        <w:t>عناية</w:t>
      </w:r>
      <w:r>
        <w:rPr>
          <w:spacing w:val="-1"/>
          <w:rtl/>
          <w:lang w:val="en-GB" w:eastAsia="zh-TW"/>
        </w:rPr>
        <w:t xml:space="preserve"> </w:t>
      </w:r>
      <w:r w:rsidRPr="0037421A">
        <w:rPr>
          <w:spacing w:val="-1"/>
          <w:rtl/>
          <w:lang w:val="en-GB" w:eastAsia="zh-TW"/>
        </w:rPr>
        <w:t>دقيقة</w:t>
      </w:r>
      <w:r>
        <w:rPr>
          <w:spacing w:val="-1"/>
          <w:rtl/>
          <w:lang w:val="en-GB" w:eastAsia="zh-TW"/>
        </w:rPr>
        <w:t xml:space="preserve"> </w:t>
      </w:r>
      <w:r w:rsidRPr="0037421A">
        <w:rPr>
          <w:spacing w:val="-1"/>
          <w:rtl/>
          <w:lang w:val="en-GB" w:eastAsia="zh-TW"/>
        </w:rPr>
        <w:t>للفهم</w:t>
      </w:r>
      <w:r>
        <w:rPr>
          <w:spacing w:val="-1"/>
          <w:rtl/>
          <w:lang w:val="en-GB" w:eastAsia="zh-TW"/>
        </w:rPr>
        <w:t xml:space="preserve"> </w:t>
      </w:r>
      <w:r w:rsidRPr="0037421A">
        <w:rPr>
          <w:spacing w:val="-1"/>
          <w:rtl/>
          <w:lang w:val="en-GB" w:eastAsia="zh-TW"/>
        </w:rPr>
        <w:t>الذاتي</w:t>
      </w:r>
      <w:r>
        <w:rPr>
          <w:spacing w:val="-1"/>
          <w:rtl/>
          <w:lang w:val="en-GB" w:eastAsia="zh-TW"/>
        </w:rPr>
        <w:t xml:space="preserve"> </w:t>
      </w:r>
      <w:r w:rsidRPr="0037421A">
        <w:rPr>
          <w:spacing w:val="-1"/>
          <w:rtl/>
          <w:lang w:val="en-GB" w:eastAsia="zh-TW"/>
        </w:rPr>
        <w:t>للأشخاص</w:t>
      </w:r>
      <w:r>
        <w:rPr>
          <w:spacing w:val="-1"/>
          <w:rtl/>
          <w:lang w:val="en-GB" w:eastAsia="zh-TW"/>
        </w:rPr>
        <w:t xml:space="preserve"> </w:t>
      </w:r>
      <w:r w:rsidRPr="0037421A">
        <w:rPr>
          <w:spacing w:val="-1"/>
          <w:rtl/>
          <w:lang w:val="en-GB" w:eastAsia="zh-TW"/>
        </w:rPr>
        <w:t>المعنيين</w:t>
      </w:r>
      <w:r>
        <w:rPr>
          <w:spacing w:val="-1"/>
          <w:rtl/>
          <w:lang w:val="en-GB" w:eastAsia="zh-TW"/>
        </w:rPr>
        <w:t xml:space="preserve"> </w:t>
      </w:r>
      <w:r w:rsidRPr="0037421A">
        <w:rPr>
          <w:spacing w:val="-1"/>
          <w:rtl/>
          <w:lang w:val="en-GB" w:eastAsia="zh-TW"/>
        </w:rPr>
        <w:t>ولاهتماماتهم</w:t>
      </w:r>
      <w:r>
        <w:rPr>
          <w:spacing w:val="-1"/>
          <w:rtl/>
          <w:lang w:val="en-GB" w:eastAsia="zh-TW"/>
        </w:rPr>
        <w:t xml:space="preserve"> </w:t>
      </w:r>
      <w:r w:rsidRPr="0037421A">
        <w:rPr>
          <w:spacing w:val="-1"/>
          <w:rtl/>
          <w:lang w:val="en-GB" w:eastAsia="zh-TW"/>
        </w:rPr>
        <w:t>وللتقديرات</w:t>
      </w:r>
      <w:r>
        <w:rPr>
          <w:spacing w:val="-1"/>
          <w:rtl/>
          <w:lang w:val="en-GB" w:eastAsia="zh-TW"/>
        </w:rPr>
        <w:t xml:space="preserve"> </w:t>
      </w:r>
      <w:r w:rsidRPr="0037421A">
        <w:rPr>
          <w:spacing w:val="-1"/>
          <w:rtl/>
          <w:lang w:val="en-GB" w:eastAsia="zh-TW"/>
        </w:rPr>
        <w:t>التي</w:t>
      </w:r>
      <w:r>
        <w:rPr>
          <w:spacing w:val="-1"/>
          <w:rtl/>
          <w:lang w:val="en-GB" w:eastAsia="zh-TW"/>
        </w:rPr>
        <w:t xml:space="preserve"> </w:t>
      </w:r>
      <w:r w:rsidRPr="0037421A">
        <w:rPr>
          <w:spacing w:val="-1"/>
          <w:rtl/>
          <w:lang w:val="en-GB" w:eastAsia="zh-TW"/>
        </w:rPr>
        <w:t>يعبرون</w:t>
      </w:r>
      <w:r>
        <w:rPr>
          <w:spacing w:val="-1"/>
          <w:rtl/>
          <w:lang w:val="en-GB" w:eastAsia="zh-TW"/>
        </w:rPr>
        <w:t xml:space="preserve"> </w:t>
      </w:r>
      <w:r w:rsidRPr="0037421A">
        <w:rPr>
          <w:spacing w:val="-1"/>
          <w:rtl/>
          <w:lang w:val="en-GB" w:eastAsia="zh-TW"/>
        </w:rPr>
        <w:t>عنها</w:t>
      </w:r>
      <w:r>
        <w:rPr>
          <w:spacing w:val="-1"/>
          <w:rtl/>
          <w:lang w:val="en-GB" w:eastAsia="zh-TW"/>
        </w:rPr>
        <w:t xml:space="preserve"> </w:t>
      </w:r>
      <w:r w:rsidRPr="0037421A">
        <w:rPr>
          <w:spacing w:val="-1"/>
          <w:rtl/>
          <w:lang w:val="en-GB" w:eastAsia="zh-TW"/>
        </w:rPr>
        <w:t>بأنفسهم،</w:t>
      </w:r>
      <w:r>
        <w:rPr>
          <w:spacing w:val="-1"/>
          <w:rtl/>
          <w:lang w:val="en-GB" w:eastAsia="zh-TW"/>
        </w:rPr>
        <w:t xml:space="preserve"> </w:t>
      </w:r>
      <w:r w:rsidRPr="0037421A">
        <w:rPr>
          <w:spacing w:val="-1"/>
          <w:rtl/>
          <w:lang w:val="en-GB" w:eastAsia="zh-TW"/>
        </w:rPr>
        <w:t>بمن</w:t>
      </w:r>
      <w:r>
        <w:rPr>
          <w:spacing w:val="-1"/>
          <w:rtl/>
          <w:lang w:val="en-GB" w:eastAsia="zh-TW"/>
        </w:rPr>
        <w:t xml:space="preserve"> </w:t>
      </w:r>
      <w:r w:rsidRPr="0037421A">
        <w:rPr>
          <w:spacing w:val="-1"/>
          <w:rtl/>
          <w:lang w:val="en-GB" w:eastAsia="zh-TW"/>
        </w:rPr>
        <w:t>فيهم</w:t>
      </w:r>
      <w:r>
        <w:rPr>
          <w:spacing w:val="-1"/>
          <w:rtl/>
          <w:lang w:val="en-GB" w:eastAsia="zh-TW"/>
        </w:rPr>
        <w:t xml:space="preserve"> </w:t>
      </w:r>
      <w:r w:rsidRPr="0037421A">
        <w:rPr>
          <w:spacing w:val="-1"/>
          <w:rtl/>
          <w:lang w:val="en-GB" w:eastAsia="zh-TW"/>
        </w:rPr>
        <w:t>النساء</w:t>
      </w:r>
      <w:r>
        <w:rPr>
          <w:spacing w:val="-1"/>
          <w:rtl/>
          <w:lang w:val="en-GB" w:eastAsia="zh-TW"/>
        </w:rPr>
        <w:t xml:space="preserve"> </w:t>
      </w:r>
      <w:r w:rsidRPr="0037421A">
        <w:rPr>
          <w:spacing w:val="-1"/>
          <w:rtl/>
          <w:lang w:val="en-GB" w:eastAsia="zh-TW"/>
        </w:rPr>
        <w:t>اللواتي</w:t>
      </w:r>
      <w:r>
        <w:rPr>
          <w:spacing w:val="-1"/>
          <w:rtl/>
          <w:lang w:val="en-GB" w:eastAsia="zh-TW"/>
        </w:rPr>
        <w:t xml:space="preserve"> </w:t>
      </w:r>
      <w:r w:rsidRPr="0037421A">
        <w:rPr>
          <w:spacing w:val="-1"/>
          <w:rtl/>
          <w:lang w:val="en-GB" w:eastAsia="zh-TW"/>
        </w:rPr>
        <w:t>ين</w:t>
      </w:r>
      <w:r w:rsidRPr="0037421A">
        <w:rPr>
          <w:rFonts w:hint="cs"/>
          <w:spacing w:val="-1"/>
          <w:rtl/>
          <w:lang w:val="en-GB" w:eastAsia="zh-TW"/>
        </w:rPr>
        <w:t>ت</w:t>
      </w:r>
      <w:r w:rsidRPr="0037421A">
        <w:rPr>
          <w:spacing w:val="-1"/>
          <w:rtl/>
          <w:lang w:val="en-GB" w:eastAsia="zh-TW"/>
        </w:rPr>
        <w:t>مين</w:t>
      </w:r>
      <w:r>
        <w:rPr>
          <w:spacing w:val="-1"/>
          <w:rtl/>
          <w:lang w:val="en-GB" w:eastAsia="zh-TW"/>
        </w:rPr>
        <w:t xml:space="preserve"> </w:t>
      </w:r>
      <w:r w:rsidRPr="0037421A">
        <w:rPr>
          <w:spacing w:val="-1"/>
          <w:rtl/>
          <w:lang w:val="en-GB" w:eastAsia="zh-TW"/>
        </w:rPr>
        <w:t>إلى</w:t>
      </w:r>
      <w:r>
        <w:rPr>
          <w:spacing w:val="-1"/>
          <w:rtl/>
          <w:lang w:val="en-GB" w:eastAsia="zh-TW"/>
        </w:rPr>
        <w:t xml:space="preserve"> </w:t>
      </w:r>
      <w:r w:rsidRPr="0037421A">
        <w:rPr>
          <w:spacing w:val="-1"/>
          <w:rtl/>
          <w:lang w:val="en-GB" w:eastAsia="zh-TW"/>
        </w:rPr>
        <w:t>الأقليات</w:t>
      </w:r>
      <w:r>
        <w:rPr>
          <w:spacing w:val="-1"/>
          <w:rtl/>
          <w:lang w:val="en-GB" w:eastAsia="zh-TW"/>
        </w:rPr>
        <w:t xml:space="preserve"> </w:t>
      </w:r>
      <w:r w:rsidRPr="0037421A">
        <w:rPr>
          <w:spacing w:val="-1"/>
          <w:rtl/>
          <w:lang w:val="en-GB" w:eastAsia="zh-TW"/>
        </w:rPr>
        <w:t>الدينية.</w:t>
      </w:r>
      <w:r>
        <w:rPr>
          <w:spacing w:val="-1"/>
          <w:rtl/>
          <w:lang w:val="en-GB" w:eastAsia="zh-TW"/>
        </w:rPr>
        <w:t xml:space="preserve"> </w:t>
      </w:r>
      <w:r w:rsidRPr="0037421A">
        <w:rPr>
          <w:spacing w:val="-1"/>
          <w:rtl/>
          <w:lang w:val="en-GB" w:eastAsia="zh-TW"/>
        </w:rPr>
        <w:t>وينبغي</w:t>
      </w:r>
      <w:r>
        <w:rPr>
          <w:spacing w:val="-1"/>
          <w:rtl/>
          <w:lang w:val="en-GB" w:eastAsia="zh-TW"/>
        </w:rPr>
        <w:t xml:space="preserve"> </w:t>
      </w:r>
      <w:r w:rsidRPr="0037421A">
        <w:rPr>
          <w:spacing w:val="-1"/>
          <w:rtl/>
          <w:lang w:val="en-GB" w:eastAsia="zh-TW"/>
        </w:rPr>
        <w:t>مراعاة</w:t>
      </w:r>
      <w:r>
        <w:rPr>
          <w:spacing w:val="-1"/>
          <w:rtl/>
          <w:lang w:val="en-GB" w:eastAsia="zh-TW"/>
        </w:rPr>
        <w:t xml:space="preserve"> </w:t>
      </w:r>
      <w:r w:rsidRPr="0037421A">
        <w:rPr>
          <w:spacing w:val="-1"/>
          <w:rtl/>
          <w:lang w:val="en-GB" w:eastAsia="zh-TW"/>
        </w:rPr>
        <w:t>هذا</w:t>
      </w:r>
      <w:r>
        <w:rPr>
          <w:spacing w:val="-1"/>
          <w:rtl/>
          <w:lang w:val="en-GB" w:eastAsia="zh-TW"/>
        </w:rPr>
        <w:t xml:space="preserve"> </w:t>
      </w:r>
      <w:r w:rsidRPr="0037421A">
        <w:rPr>
          <w:spacing w:val="-1"/>
          <w:rtl/>
          <w:lang w:val="en-GB" w:eastAsia="zh-TW"/>
        </w:rPr>
        <w:t>المبدأ</w:t>
      </w:r>
      <w:r>
        <w:rPr>
          <w:spacing w:val="-1"/>
          <w:rtl/>
          <w:lang w:val="en-GB" w:eastAsia="zh-TW"/>
        </w:rPr>
        <w:t xml:space="preserve"> </w:t>
      </w:r>
      <w:r w:rsidRPr="0037421A">
        <w:rPr>
          <w:spacing w:val="-1"/>
          <w:rtl/>
          <w:lang w:val="en-GB" w:eastAsia="zh-TW"/>
        </w:rPr>
        <w:t>دائماً،</w:t>
      </w:r>
      <w:r>
        <w:rPr>
          <w:spacing w:val="-1"/>
          <w:rtl/>
          <w:lang w:val="en-GB" w:eastAsia="zh-TW"/>
        </w:rPr>
        <w:t xml:space="preserve"> </w:t>
      </w:r>
      <w:r w:rsidRPr="0037421A">
        <w:rPr>
          <w:spacing w:val="-1"/>
          <w:rtl/>
          <w:lang w:val="en-GB" w:eastAsia="zh-TW"/>
        </w:rPr>
        <w:t>ولا</w:t>
      </w:r>
      <w:r>
        <w:rPr>
          <w:spacing w:val="-1"/>
          <w:rtl/>
          <w:lang w:val="en-GB" w:eastAsia="zh-TW"/>
        </w:rPr>
        <w:t xml:space="preserve"> </w:t>
      </w:r>
      <w:r w:rsidRPr="0037421A">
        <w:rPr>
          <w:spacing w:val="-1"/>
          <w:rtl/>
          <w:lang w:val="en-GB" w:eastAsia="zh-TW"/>
        </w:rPr>
        <w:t>سيما</w:t>
      </w:r>
      <w:r>
        <w:rPr>
          <w:spacing w:val="-1"/>
          <w:rtl/>
          <w:lang w:val="en-GB" w:eastAsia="zh-TW"/>
        </w:rPr>
        <w:t xml:space="preserve"> </w:t>
      </w:r>
      <w:r w:rsidRPr="0037421A">
        <w:rPr>
          <w:spacing w:val="-1"/>
          <w:rtl/>
          <w:lang w:val="en-GB" w:eastAsia="zh-TW"/>
        </w:rPr>
        <w:t>قبل</w:t>
      </w:r>
      <w:r>
        <w:rPr>
          <w:spacing w:val="-1"/>
          <w:rtl/>
          <w:lang w:val="en-GB" w:eastAsia="zh-TW"/>
        </w:rPr>
        <w:t xml:space="preserve"> </w:t>
      </w:r>
      <w:r w:rsidRPr="0037421A">
        <w:rPr>
          <w:spacing w:val="-1"/>
          <w:rtl/>
          <w:lang w:val="en-GB" w:eastAsia="zh-TW"/>
        </w:rPr>
        <w:t>وضع</w:t>
      </w:r>
      <w:r>
        <w:rPr>
          <w:spacing w:val="-1"/>
          <w:rtl/>
          <w:lang w:val="en-GB" w:eastAsia="zh-TW"/>
        </w:rPr>
        <w:t xml:space="preserve"> </w:t>
      </w:r>
      <w:r w:rsidRPr="0037421A">
        <w:rPr>
          <w:spacing w:val="-1"/>
          <w:rtl/>
          <w:lang w:val="en-GB" w:eastAsia="zh-TW"/>
        </w:rPr>
        <w:t>حدود</w:t>
      </w:r>
      <w:r>
        <w:rPr>
          <w:spacing w:val="-1"/>
          <w:rtl/>
          <w:lang w:val="en-GB" w:eastAsia="zh-TW"/>
        </w:rPr>
        <w:t xml:space="preserve"> </w:t>
      </w:r>
      <w:r w:rsidRPr="0037421A">
        <w:rPr>
          <w:spacing w:val="-1"/>
          <w:rtl/>
          <w:lang w:val="en-GB" w:eastAsia="zh-TW"/>
        </w:rPr>
        <w:t>تشريعية</w:t>
      </w:r>
      <w:r>
        <w:rPr>
          <w:spacing w:val="-1"/>
          <w:rtl/>
          <w:lang w:val="en-GB" w:eastAsia="zh-TW"/>
        </w:rPr>
        <w:t xml:space="preserve"> </w:t>
      </w:r>
      <w:r w:rsidRPr="0037421A">
        <w:rPr>
          <w:spacing w:val="-1"/>
          <w:rtl/>
          <w:lang w:val="en-GB" w:eastAsia="zh-TW"/>
        </w:rPr>
        <w:t>أو</w:t>
      </w:r>
      <w:r>
        <w:rPr>
          <w:rFonts w:hint="cs"/>
          <w:spacing w:val="-1"/>
          <w:rtl/>
          <w:lang w:val="en-GB" w:eastAsia="zh-TW"/>
        </w:rPr>
        <w:t xml:space="preserve"> </w:t>
      </w:r>
      <w:r w:rsidRPr="0037421A">
        <w:rPr>
          <w:spacing w:val="-1"/>
          <w:rtl/>
          <w:lang w:val="en-GB" w:eastAsia="zh-TW"/>
        </w:rPr>
        <w:t>قانونية</w:t>
      </w:r>
      <w:r>
        <w:rPr>
          <w:rtl/>
          <w:lang w:val="en-GB" w:eastAsia="zh-TW"/>
        </w:rPr>
        <w:t xml:space="preserve"> </w:t>
      </w:r>
      <w:r w:rsidRPr="0037421A">
        <w:rPr>
          <w:rtl/>
          <w:lang w:val="en-GB" w:eastAsia="zh-TW"/>
        </w:rPr>
        <w:t>للحق</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الحرية،</w:t>
      </w:r>
      <w:r>
        <w:rPr>
          <w:rtl/>
          <w:lang w:val="en-GB" w:eastAsia="zh-TW"/>
        </w:rPr>
        <w:t xml:space="preserve"> </w:t>
      </w:r>
      <w:r w:rsidRPr="0037421A">
        <w:rPr>
          <w:rtl/>
          <w:lang w:val="en-GB" w:eastAsia="zh-TW"/>
        </w:rPr>
        <w:t>مثل</w:t>
      </w:r>
      <w:r>
        <w:rPr>
          <w:rtl/>
          <w:lang w:val="en-GB" w:eastAsia="zh-TW"/>
        </w:rPr>
        <w:t xml:space="preserve"> </w:t>
      </w:r>
      <w:r w:rsidRPr="0037421A">
        <w:rPr>
          <w:rtl/>
          <w:lang w:val="en-GB" w:eastAsia="zh-TW"/>
        </w:rPr>
        <w:t>الحق</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ارتداء</w:t>
      </w:r>
      <w:r>
        <w:rPr>
          <w:rtl/>
          <w:lang w:val="en-GB" w:eastAsia="zh-TW"/>
        </w:rPr>
        <w:t xml:space="preserve"> </w:t>
      </w:r>
      <w:r w:rsidRPr="0037421A">
        <w:rPr>
          <w:rtl/>
          <w:lang w:val="en-GB" w:eastAsia="zh-TW"/>
        </w:rPr>
        <w:t>لباس</w:t>
      </w:r>
      <w:r>
        <w:rPr>
          <w:rtl/>
          <w:lang w:val="en-GB" w:eastAsia="zh-TW"/>
        </w:rPr>
        <w:t xml:space="preserve"> </w:t>
      </w:r>
      <w:r w:rsidRPr="0037421A">
        <w:rPr>
          <w:rtl/>
          <w:lang w:val="en-GB" w:eastAsia="zh-TW"/>
        </w:rPr>
        <w:t>ديني</w:t>
      </w:r>
      <w:r w:rsidRPr="0037421A">
        <w:rPr>
          <w:rFonts w:hint="cs"/>
          <w:rtl/>
          <w:lang w:val="en-GB" w:eastAsia="zh-TW"/>
        </w:rPr>
        <w:t>.</w:t>
      </w:r>
    </w:p>
  </w:footnote>
  <w:footnote w:id="37">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الفقرة</w:t>
      </w:r>
      <w:r>
        <w:rPr>
          <w:rtl/>
          <w:lang w:val="en-GB" w:eastAsia="zh-TW"/>
        </w:rPr>
        <w:t xml:space="preserve"> </w:t>
      </w:r>
      <w:r w:rsidRPr="0037421A">
        <w:rPr>
          <w:rtl/>
          <w:lang w:val="en-GB" w:eastAsia="zh-TW"/>
        </w:rPr>
        <w:t>7-1</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قضية</w:t>
      </w:r>
      <w:r>
        <w:rPr>
          <w:rtl/>
          <w:lang w:val="en-GB" w:eastAsia="zh-TW"/>
        </w:rPr>
        <w:t xml:space="preserve"> </w:t>
      </w:r>
      <w:r w:rsidRPr="000B09B9">
        <w:rPr>
          <w:i/>
          <w:iCs/>
          <w:rtl/>
          <w:lang w:val="en-GB" w:eastAsia="zh-TW"/>
        </w:rPr>
        <w:t>ياكر ضد فرنسا</w:t>
      </w:r>
      <w:r w:rsidRPr="0037421A">
        <w:rPr>
          <w:rtl/>
          <w:lang w:val="en-GB" w:eastAsia="zh-TW"/>
        </w:rPr>
        <w:t>.</w:t>
      </w:r>
      <w:r>
        <w:rPr>
          <w:rtl/>
          <w:lang w:val="en-GB" w:eastAsia="zh-TW"/>
        </w:rPr>
        <w:t xml:space="preserve"> </w:t>
      </w:r>
    </w:p>
  </w:footnote>
  <w:footnote w:id="38">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7-2.</w:t>
      </w:r>
      <w:r>
        <w:rPr>
          <w:rtl/>
          <w:lang w:val="en-GB" w:eastAsia="zh-TW"/>
        </w:rPr>
        <w:t xml:space="preserve"> </w:t>
      </w:r>
    </w:p>
  </w:footnote>
  <w:footnote w:id="39">
    <w:p w:rsidR="001136FD" w:rsidRPr="0037421A" w:rsidRDefault="001136FD" w:rsidP="00CA6913">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7-3.</w:t>
      </w:r>
      <w:r>
        <w:rPr>
          <w:rtl/>
          <w:lang w:val="en-GB" w:eastAsia="zh-TW"/>
        </w:rPr>
        <w:t xml:space="preserve"> </w:t>
      </w:r>
    </w:p>
  </w:footnote>
  <w:footnote w:id="40">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7-5.</w:t>
      </w:r>
      <w:r>
        <w:rPr>
          <w:rtl/>
          <w:lang w:val="en-GB" w:eastAsia="zh-TW"/>
        </w:rPr>
        <w:t xml:space="preserve"> </w:t>
      </w:r>
    </w:p>
  </w:footnote>
  <w:footnote w:id="41">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7-11.</w:t>
      </w:r>
      <w:r>
        <w:rPr>
          <w:rtl/>
          <w:lang w:val="en-GB" w:eastAsia="zh-TW"/>
        </w:rPr>
        <w:t xml:space="preserve"> </w:t>
      </w:r>
    </w:p>
  </w:footnote>
  <w:footnote w:id="42">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7-9.</w:t>
      </w:r>
      <w:r>
        <w:rPr>
          <w:rtl/>
          <w:lang w:val="en-GB" w:eastAsia="zh-TW"/>
        </w:rPr>
        <w:t xml:space="preserve"> </w:t>
      </w:r>
    </w:p>
  </w:footnote>
  <w:footnote w:id="43">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8-2.</w:t>
      </w:r>
      <w:r>
        <w:rPr>
          <w:rtl/>
          <w:lang w:val="en-GB" w:eastAsia="zh-TW"/>
        </w:rPr>
        <w:t xml:space="preserve"> </w:t>
      </w:r>
    </w:p>
  </w:footnote>
  <w:footnote w:id="44">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Style w:val="FootnoteReference"/>
          <w:b w:val="0"/>
          <w:szCs w:val="26"/>
          <w:rtl/>
          <w:lang w:val="en-GB" w:eastAsia="zh-TW"/>
        </w:rPr>
        <w:tab/>
      </w:r>
      <w:r w:rsidRPr="0037421A">
        <w:rPr>
          <w:rtl/>
          <w:lang w:val="en-GB" w:eastAsia="zh-TW"/>
        </w:rPr>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7-6.</w:t>
      </w:r>
      <w:r>
        <w:rPr>
          <w:rtl/>
          <w:lang w:val="en-GB" w:eastAsia="zh-TW"/>
        </w:rPr>
        <w:t xml:space="preserve"> </w:t>
      </w:r>
    </w:p>
  </w:footnote>
  <w:footnote w:id="45">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Style w:val="FootnoteReference"/>
          <w:b w:val="0"/>
          <w:szCs w:val="26"/>
          <w:rtl/>
          <w:lang w:val="en-GB" w:eastAsia="zh-TW"/>
        </w:rPr>
        <w:tab/>
      </w:r>
      <w:r w:rsidRPr="0037421A">
        <w:rPr>
          <w:rtl/>
          <w:lang w:val="en-GB" w:eastAsia="zh-TW"/>
        </w:rPr>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7-7.</w:t>
      </w:r>
      <w:r>
        <w:rPr>
          <w:rtl/>
          <w:lang w:val="en-GB" w:eastAsia="zh-TW"/>
        </w:rPr>
        <w:t xml:space="preserve"> </w:t>
      </w:r>
    </w:p>
  </w:footnote>
  <w:footnote w:id="46">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Style w:val="FootnoteReference"/>
          <w:b w:val="0"/>
          <w:szCs w:val="26"/>
          <w:rtl/>
          <w:lang w:val="en-GB" w:eastAsia="zh-TW"/>
        </w:rPr>
        <w:tab/>
      </w:r>
      <w:r w:rsidRPr="0037421A">
        <w:rPr>
          <w:rtl/>
          <w:lang w:val="en-GB" w:eastAsia="zh-TW"/>
        </w:rPr>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7-8.</w:t>
      </w:r>
      <w:r>
        <w:rPr>
          <w:rtl/>
          <w:lang w:val="en-GB" w:eastAsia="zh-TW"/>
        </w:rPr>
        <w:t xml:space="preserve"> </w:t>
      </w:r>
    </w:p>
  </w:footnote>
  <w:footnote w:id="47">
    <w:p w:rsidR="001136FD" w:rsidRPr="0037421A" w:rsidRDefault="001136FD" w:rsidP="005565AF">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Style w:val="FootnoteReference"/>
          <w:b w:val="0"/>
          <w:szCs w:val="26"/>
          <w:rtl/>
          <w:lang w:val="en-GB" w:eastAsia="zh-TW"/>
        </w:rPr>
        <w:tab/>
      </w:r>
      <w:r w:rsidRPr="0037421A">
        <w:rPr>
          <w:rtl/>
          <w:lang w:val="en-GB" w:eastAsia="zh-TW"/>
        </w:rPr>
        <w:t>المرجع</w:t>
      </w:r>
      <w:r>
        <w:rPr>
          <w:rtl/>
          <w:lang w:val="en-GB" w:eastAsia="zh-TW"/>
        </w:rPr>
        <w:t xml:space="preserve"> </w:t>
      </w:r>
      <w:r w:rsidRPr="0037421A">
        <w:rPr>
          <w:rtl/>
          <w:lang w:val="en-GB" w:eastAsia="zh-TW"/>
        </w:rPr>
        <w:t>نفسه،</w:t>
      </w:r>
      <w:r>
        <w:rPr>
          <w:rtl/>
          <w:lang w:val="en-GB" w:eastAsia="zh-TW"/>
        </w:rPr>
        <w:t xml:space="preserve"> </w:t>
      </w:r>
      <w:r w:rsidRPr="0037421A">
        <w:rPr>
          <w:rtl/>
          <w:lang w:val="en-GB" w:eastAsia="zh-TW"/>
        </w:rPr>
        <w:t>الفقرة</w:t>
      </w:r>
      <w:r>
        <w:rPr>
          <w:rtl/>
          <w:lang w:val="en-GB" w:eastAsia="zh-TW"/>
        </w:rPr>
        <w:t xml:space="preserve"> </w:t>
      </w:r>
      <w:r w:rsidRPr="0037421A">
        <w:rPr>
          <w:rtl/>
          <w:lang w:val="en-GB" w:eastAsia="zh-TW"/>
        </w:rPr>
        <w:t>8-7.</w:t>
      </w:r>
      <w:r>
        <w:rPr>
          <w:rtl/>
          <w:lang w:val="en-GB" w:eastAsia="zh-TW"/>
        </w:rPr>
        <w:t xml:space="preserve"> </w:t>
      </w:r>
    </w:p>
  </w:footnote>
  <w:footnote w:id="48">
    <w:p w:rsidR="001136FD" w:rsidRPr="0037421A" w:rsidRDefault="001136FD" w:rsidP="00CA6913">
      <w:pPr>
        <w:pStyle w:val="FootnoteText1"/>
        <w:textDirection w:val="tbRlV"/>
        <w:rPr>
          <w:rtl/>
          <w:lang w:val="en-GB" w:eastAsia="zh-TW"/>
        </w:rPr>
      </w:pPr>
      <w:r w:rsidRPr="006B0664">
        <w:rPr>
          <w:rStyle w:val="FootnoteReference"/>
          <w:b w:val="0"/>
          <w:szCs w:val="26"/>
          <w:vertAlign w:val="baseline"/>
          <w:rtl/>
          <w:lang w:val="en-GB" w:eastAsia="zh-TW"/>
        </w:rPr>
        <w:t>(</w:t>
      </w:r>
      <w:r w:rsidRPr="006B0664">
        <w:rPr>
          <w:rStyle w:val="FootnoteReference"/>
          <w:b w:val="0"/>
          <w:szCs w:val="26"/>
          <w:vertAlign w:val="baseline"/>
          <w:rtl/>
          <w:lang w:val="en-GB" w:eastAsia="zh-TW"/>
        </w:rPr>
        <w:footnoteRef/>
      </w:r>
      <w:r w:rsidRPr="006B0664">
        <w:rPr>
          <w:rStyle w:val="FootnoteReference"/>
          <w:b w:val="0"/>
          <w:szCs w:val="26"/>
          <w:vertAlign w:val="baseline"/>
          <w:rtl/>
          <w:lang w:val="en-GB" w:eastAsia="zh-TW"/>
        </w:rPr>
        <w:t>)</w:t>
      </w:r>
      <w:r w:rsidRPr="0037421A">
        <w:rPr>
          <w:rtl/>
          <w:lang w:val="en-GB" w:eastAsia="zh-TW"/>
        </w:rPr>
        <w:tab/>
        <w:t>وكالة</w:t>
      </w:r>
      <w:r>
        <w:rPr>
          <w:rtl/>
          <w:lang w:val="en-GB" w:eastAsia="zh-TW"/>
        </w:rPr>
        <w:t xml:space="preserve"> </w:t>
      </w:r>
      <w:r w:rsidRPr="0037421A">
        <w:rPr>
          <w:rtl/>
          <w:lang w:val="en-GB" w:eastAsia="zh-TW"/>
        </w:rPr>
        <w:t>الاتحاد</w:t>
      </w:r>
      <w:r>
        <w:rPr>
          <w:rtl/>
          <w:lang w:val="en-GB" w:eastAsia="zh-TW"/>
        </w:rPr>
        <w:t xml:space="preserve"> </w:t>
      </w:r>
      <w:r w:rsidRPr="0037421A">
        <w:rPr>
          <w:rtl/>
          <w:lang w:val="en-GB" w:eastAsia="zh-TW"/>
        </w:rPr>
        <w:t>الأوروبي</w:t>
      </w:r>
      <w:r>
        <w:rPr>
          <w:rtl/>
          <w:lang w:val="en-GB" w:eastAsia="zh-TW"/>
        </w:rPr>
        <w:t xml:space="preserve"> </w:t>
      </w:r>
      <w:r w:rsidRPr="0037421A">
        <w:rPr>
          <w:rtl/>
          <w:lang w:val="en-GB" w:eastAsia="zh-TW"/>
        </w:rPr>
        <w:t>للتعاون</w:t>
      </w:r>
      <w:r>
        <w:rPr>
          <w:rtl/>
          <w:lang w:val="en-GB" w:eastAsia="zh-TW"/>
        </w:rPr>
        <w:t xml:space="preserve"> </w:t>
      </w:r>
      <w:r w:rsidRPr="0037421A">
        <w:rPr>
          <w:rtl/>
          <w:lang w:val="en-GB" w:eastAsia="zh-TW"/>
        </w:rPr>
        <w:t>في</w:t>
      </w:r>
      <w:r>
        <w:rPr>
          <w:rtl/>
          <w:lang w:val="en-GB" w:eastAsia="zh-TW"/>
        </w:rPr>
        <w:t xml:space="preserve"> </w:t>
      </w:r>
      <w:r w:rsidRPr="0037421A">
        <w:rPr>
          <w:rtl/>
          <w:lang w:val="en-GB" w:eastAsia="zh-TW"/>
        </w:rPr>
        <w:t>مجال</w:t>
      </w:r>
      <w:r>
        <w:rPr>
          <w:rtl/>
          <w:lang w:val="en-GB" w:eastAsia="zh-TW"/>
        </w:rPr>
        <w:t xml:space="preserve"> </w:t>
      </w:r>
      <w:r w:rsidRPr="0037421A">
        <w:rPr>
          <w:rtl/>
          <w:lang w:val="en-GB" w:eastAsia="zh-TW"/>
        </w:rPr>
        <w:t>إنفاذ</w:t>
      </w:r>
      <w:r>
        <w:rPr>
          <w:rtl/>
          <w:lang w:val="en-GB" w:eastAsia="zh-TW"/>
        </w:rPr>
        <w:t xml:space="preserve"> </w:t>
      </w:r>
      <w:r w:rsidRPr="0037421A">
        <w:rPr>
          <w:rtl/>
          <w:lang w:val="en-GB" w:eastAsia="zh-TW"/>
        </w:rPr>
        <w:t>القانون،</w:t>
      </w:r>
      <w:r>
        <w:rPr>
          <w:rtl/>
          <w:lang w:val="en-GB" w:eastAsia="zh-TW"/>
        </w:rPr>
        <w:t xml:space="preserve"> </w:t>
      </w:r>
      <w:r w:rsidRPr="00F20B0E">
        <w:rPr>
          <w:rFonts w:hint="eastAsia"/>
          <w:i/>
          <w:iCs/>
          <w:rtl/>
          <w:lang w:val="en-GB" w:eastAsia="zh-TW"/>
        </w:rPr>
        <w:t>تقرير</w:t>
      </w:r>
      <w:r w:rsidRPr="00F20B0E">
        <w:rPr>
          <w:i/>
          <w:iCs/>
          <w:rtl/>
          <w:lang w:val="en-GB" w:eastAsia="zh-TW"/>
        </w:rPr>
        <w:t xml:space="preserve"> </w:t>
      </w:r>
      <w:r w:rsidRPr="00F20B0E">
        <w:rPr>
          <w:rFonts w:hint="eastAsia"/>
          <w:i/>
          <w:iCs/>
          <w:rtl/>
          <w:lang w:val="en-GB" w:eastAsia="zh-TW"/>
        </w:rPr>
        <w:t>بشأن</w:t>
      </w:r>
      <w:r w:rsidRPr="00F20B0E">
        <w:rPr>
          <w:i/>
          <w:iCs/>
          <w:rtl/>
          <w:lang w:val="en-GB" w:eastAsia="zh-TW"/>
        </w:rPr>
        <w:t xml:space="preserve"> </w:t>
      </w:r>
      <w:r w:rsidRPr="00F20B0E">
        <w:rPr>
          <w:rFonts w:hint="eastAsia"/>
          <w:i/>
          <w:iCs/>
          <w:rtl/>
          <w:lang w:val="en-GB" w:eastAsia="zh-TW"/>
        </w:rPr>
        <w:t>حالة</w:t>
      </w:r>
      <w:r w:rsidRPr="00F20B0E">
        <w:rPr>
          <w:i/>
          <w:iCs/>
          <w:rtl/>
          <w:lang w:val="en-GB" w:eastAsia="zh-TW"/>
        </w:rPr>
        <w:t xml:space="preserve"> </w:t>
      </w:r>
      <w:r w:rsidRPr="00F20B0E">
        <w:rPr>
          <w:rFonts w:hint="eastAsia"/>
          <w:i/>
          <w:iCs/>
          <w:rtl/>
          <w:lang w:val="en-GB" w:eastAsia="zh-TW"/>
        </w:rPr>
        <w:t>الإرهاب</w:t>
      </w:r>
      <w:r w:rsidRPr="00F20B0E">
        <w:rPr>
          <w:i/>
          <w:iCs/>
          <w:rtl/>
          <w:lang w:val="en-GB" w:eastAsia="zh-TW"/>
        </w:rPr>
        <w:t xml:space="preserve"> </w:t>
      </w:r>
      <w:r w:rsidRPr="00F20B0E">
        <w:rPr>
          <w:rFonts w:hint="eastAsia"/>
          <w:i/>
          <w:iCs/>
          <w:rtl/>
          <w:lang w:val="en-GB" w:eastAsia="zh-TW"/>
        </w:rPr>
        <w:t>واتجاهاته</w:t>
      </w:r>
      <w:r w:rsidRPr="00F20B0E">
        <w:rPr>
          <w:i/>
          <w:iCs/>
          <w:rtl/>
          <w:lang w:val="en-GB" w:eastAsia="zh-TW"/>
        </w:rPr>
        <w:t xml:space="preserve"> </w:t>
      </w:r>
      <w:r w:rsidRPr="00F20B0E">
        <w:rPr>
          <w:rFonts w:hint="eastAsia"/>
          <w:i/>
          <w:iCs/>
          <w:rtl/>
          <w:lang w:val="en-GB" w:eastAsia="zh-TW"/>
        </w:rPr>
        <w:t>في</w:t>
      </w:r>
      <w:r w:rsidRPr="00F20B0E">
        <w:rPr>
          <w:i/>
          <w:iCs/>
          <w:rtl/>
          <w:lang w:val="en-GB" w:eastAsia="zh-TW"/>
        </w:rPr>
        <w:t xml:space="preserve"> </w:t>
      </w:r>
      <w:r w:rsidRPr="00F20B0E">
        <w:rPr>
          <w:rFonts w:hint="eastAsia"/>
          <w:i/>
          <w:iCs/>
          <w:rtl/>
          <w:lang w:val="en-GB" w:eastAsia="zh-TW"/>
        </w:rPr>
        <w:t>الاتحاد</w:t>
      </w:r>
      <w:r w:rsidRPr="00F20B0E">
        <w:rPr>
          <w:i/>
          <w:iCs/>
          <w:rtl/>
          <w:lang w:val="en-GB" w:eastAsia="zh-TW"/>
        </w:rPr>
        <w:t xml:space="preserve"> </w:t>
      </w:r>
      <w:r w:rsidRPr="00F20B0E">
        <w:rPr>
          <w:rFonts w:hint="eastAsia"/>
          <w:i/>
          <w:iCs/>
          <w:rtl/>
          <w:lang w:val="en-GB" w:eastAsia="zh-TW"/>
        </w:rPr>
        <w:t>الأوروبي</w:t>
      </w:r>
      <w:r w:rsidRPr="00F20B0E">
        <w:rPr>
          <w:i/>
          <w:iCs/>
          <w:rtl/>
          <w:lang w:val="en-GB" w:eastAsia="zh-TW"/>
        </w:rPr>
        <w:t xml:space="preserve"> </w:t>
      </w:r>
      <w:r w:rsidRPr="00F20B0E">
        <w:rPr>
          <w:rFonts w:hint="eastAsia"/>
          <w:i/>
          <w:iCs/>
          <w:rtl/>
          <w:lang w:val="en-GB" w:eastAsia="zh-TW"/>
        </w:rPr>
        <w:t>لعام</w:t>
      </w:r>
      <w:r w:rsidRPr="00F20B0E">
        <w:rPr>
          <w:i/>
          <w:iCs/>
          <w:rtl/>
          <w:lang w:val="en-GB" w:eastAsia="zh-TW"/>
        </w:rPr>
        <w:t xml:space="preserve"> ٢٠١٨</w:t>
      </w:r>
      <w:r>
        <w:rPr>
          <w:rtl/>
          <w:lang w:val="en-GB" w:eastAsia="zh-TW"/>
        </w:rPr>
        <w:t xml:space="preserve"> </w:t>
      </w:r>
      <w:r w:rsidRPr="0037421A">
        <w:rPr>
          <w:rtl/>
          <w:lang w:val="en-GB" w:eastAsia="zh-TW"/>
        </w:rPr>
        <w:t>(لاهاي،</w:t>
      </w:r>
      <w:r>
        <w:rPr>
          <w:rtl/>
          <w:lang w:val="en-GB" w:eastAsia="zh-TW"/>
        </w:rPr>
        <w:t xml:space="preserve"> </w:t>
      </w:r>
      <w:r w:rsidRPr="0037421A">
        <w:rPr>
          <w:rtl/>
          <w:lang w:val="en-GB" w:eastAsia="zh-TW"/>
        </w:rPr>
        <w:t>٢٠١٨).</w:t>
      </w:r>
      <w:r>
        <w:rPr>
          <w:rtl/>
          <w:lang w:val="en-GB"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D" w:rsidRPr="001A7589" w:rsidRDefault="001136FD" w:rsidP="001A7589">
    <w:pPr>
      <w:pStyle w:val="Header"/>
      <w:jc w:val="right"/>
    </w:pPr>
    <w:r w:rsidRPr="001A7589">
      <w:t>CCPR/C/123/D/2747/2016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D" w:rsidRPr="001A7589" w:rsidRDefault="001136FD" w:rsidP="001A7589">
    <w:pPr>
      <w:pStyle w:val="Header"/>
      <w:jc w:val="left"/>
    </w:pPr>
    <w:r w:rsidRPr="001A7589">
      <w:t>CCPR/C/123/D/2747/2016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D40315E"/>
    <w:multiLevelType w:val="multilevel"/>
    <w:tmpl w:val="26B6640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F50AE8"/>
    <w:multiLevelType w:val="hybridMultilevel"/>
    <w:tmpl w:val="9B96607C"/>
    <w:lvl w:ilvl="0" w:tplc="2D00A15A">
      <w:start w:val="12"/>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10"/>
  </w:num>
  <w:num w:numId="3">
    <w:abstractNumId w:val="1"/>
  </w:num>
  <w:num w:numId="4">
    <w:abstractNumId w:val="9"/>
  </w:num>
  <w:num w:numId="5">
    <w:abstractNumId w:val="8"/>
  </w:num>
  <w:num w:numId="6">
    <w:abstractNumId w:val="4"/>
  </w:num>
  <w:num w:numId="7">
    <w:abstractNumId w:val="15"/>
  </w:num>
  <w:num w:numId="8">
    <w:abstractNumId w:val="1"/>
  </w:num>
  <w:num w:numId="9">
    <w:abstractNumId w:val="9"/>
  </w:num>
  <w:num w:numId="10">
    <w:abstractNumId w:val="4"/>
  </w:num>
  <w:num w:numId="11">
    <w:abstractNumId w:val="15"/>
  </w:num>
  <w:num w:numId="12">
    <w:abstractNumId w:val="7"/>
  </w:num>
  <w:num w:numId="13">
    <w:abstractNumId w:val="3"/>
  </w:num>
  <w:num w:numId="14">
    <w:abstractNumId w:val="0"/>
  </w:num>
  <w:num w:numId="15">
    <w:abstractNumId w:val="11"/>
  </w:num>
  <w:num w:numId="16">
    <w:abstractNumId w:val="12"/>
  </w:num>
  <w:num w:numId="17">
    <w:abstractNumId w:val="14"/>
  </w:num>
  <w:num w:numId="18">
    <w:abstractNumId w:val="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173A6"/>
    <w:rsid w:val="00003AC5"/>
    <w:rsid w:val="000076D5"/>
    <w:rsid w:val="0001568A"/>
    <w:rsid w:val="00032628"/>
    <w:rsid w:val="00043663"/>
    <w:rsid w:val="000437B8"/>
    <w:rsid w:val="000505CF"/>
    <w:rsid w:val="0009025E"/>
    <w:rsid w:val="00093B9F"/>
    <w:rsid w:val="000B09B9"/>
    <w:rsid w:val="000D701C"/>
    <w:rsid w:val="000E2A71"/>
    <w:rsid w:val="000F13F5"/>
    <w:rsid w:val="001136FD"/>
    <w:rsid w:val="00160263"/>
    <w:rsid w:val="00181F96"/>
    <w:rsid w:val="00197150"/>
    <w:rsid w:val="001A1371"/>
    <w:rsid w:val="001A7589"/>
    <w:rsid w:val="001B2AB8"/>
    <w:rsid w:val="001B346A"/>
    <w:rsid w:val="001E1CAD"/>
    <w:rsid w:val="001E290D"/>
    <w:rsid w:val="002144FA"/>
    <w:rsid w:val="002329BA"/>
    <w:rsid w:val="0023469A"/>
    <w:rsid w:val="00243C8A"/>
    <w:rsid w:val="00267A0E"/>
    <w:rsid w:val="002901D9"/>
    <w:rsid w:val="002976C2"/>
    <w:rsid w:val="0032534E"/>
    <w:rsid w:val="003260FF"/>
    <w:rsid w:val="00343D95"/>
    <w:rsid w:val="00354062"/>
    <w:rsid w:val="00363A18"/>
    <w:rsid w:val="00374341"/>
    <w:rsid w:val="003D1062"/>
    <w:rsid w:val="003F499C"/>
    <w:rsid w:val="00420D7B"/>
    <w:rsid w:val="00431A07"/>
    <w:rsid w:val="00437E23"/>
    <w:rsid w:val="00450B21"/>
    <w:rsid w:val="00453B63"/>
    <w:rsid w:val="00455780"/>
    <w:rsid w:val="004B0A1C"/>
    <w:rsid w:val="004D298E"/>
    <w:rsid w:val="004D7032"/>
    <w:rsid w:val="004E04D2"/>
    <w:rsid w:val="004F2E6F"/>
    <w:rsid w:val="00517BC9"/>
    <w:rsid w:val="0054472E"/>
    <w:rsid w:val="005565AF"/>
    <w:rsid w:val="005662A9"/>
    <w:rsid w:val="005827D4"/>
    <w:rsid w:val="0059622A"/>
    <w:rsid w:val="005C07B0"/>
    <w:rsid w:val="005C5878"/>
    <w:rsid w:val="005C7CEA"/>
    <w:rsid w:val="005D3C0B"/>
    <w:rsid w:val="005D5C37"/>
    <w:rsid w:val="005E5217"/>
    <w:rsid w:val="005F0FA4"/>
    <w:rsid w:val="005F30EE"/>
    <w:rsid w:val="005F6E89"/>
    <w:rsid w:val="0060473A"/>
    <w:rsid w:val="0061692D"/>
    <w:rsid w:val="00656392"/>
    <w:rsid w:val="0068781D"/>
    <w:rsid w:val="006959B0"/>
    <w:rsid w:val="006B0664"/>
    <w:rsid w:val="006B3E27"/>
    <w:rsid w:val="006B6507"/>
    <w:rsid w:val="006C104C"/>
    <w:rsid w:val="006F74E5"/>
    <w:rsid w:val="00713628"/>
    <w:rsid w:val="00733704"/>
    <w:rsid w:val="0076035E"/>
    <w:rsid w:val="0078071A"/>
    <w:rsid w:val="00785123"/>
    <w:rsid w:val="00787E1E"/>
    <w:rsid w:val="007A4FE8"/>
    <w:rsid w:val="007C4A39"/>
    <w:rsid w:val="007D6F6C"/>
    <w:rsid w:val="007E29DE"/>
    <w:rsid w:val="007F4BF6"/>
    <w:rsid w:val="00847718"/>
    <w:rsid w:val="00852A9A"/>
    <w:rsid w:val="0087631E"/>
    <w:rsid w:val="00886BA2"/>
    <w:rsid w:val="008D51D8"/>
    <w:rsid w:val="008E2F68"/>
    <w:rsid w:val="008F49E1"/>
    <w:rsid w:val="0090370F"/>
    <w:rsid w:val="009269D2"/>
    <w:rsid w:val="00933B60"/>
    <w:rsid w:val="00935FDA"/>
    <w:rsid w:val="00942135"/>
    <w:rsid w:val="009443C7"/>
    <w:rsid w:val="009521B0"/>
    <w:rsid w:val="00982139"/>
    <w:rsid w:val="009867A8"/>
    <w:rsid w:val="009A1C3F"/>
    <w:rsid w:val="009A7E9F"/>
    <w:rsid w:val="009D0020"/>
    <w:rsid w:val="009D413E"/>
    <w:rsid w:val="009E5018"/>
    <w:rsid w:val="00A12B37"/>
    <w:rsid w:val="00A83B8C"/>
    <w:rsid w:val="00AB6758"/>
    <w:rsid w:val="00AE2F0B"/>
    <w:rsid w:val="00AF5311"/>
    <w:rsid w:val="00B13763"/>
    <w:rsid w:val="00B150FF"/>
    <w:rsid w:val="00B173A6"/>
    <w:rsid w:val="00B477A4"/>
    <w:rsid w:val="00B54045"/>
    <w:rsid w:val="00B64619"/>
    <w:rsid w:val="00BE5895"/>
    <w:rsid w:val="00C04C12"/>
    <w:rsid w:val="00C336A4"/>
    <w:rsid w:val="00C438D7"/>
    <w:rsid w:val="00C467A2"/>
    <w:rsid w:val="00C47E7D"/>
    <w:rsid w:val="00C81B50"/>
    <w:rsid w:val="00C83320"/>
    <w:rsid w:val="00CA019E"/>
    <w:rsid w:val="00CA3A78"/>
    <w:rsid w:val="00CA6913"/>
    <w:rsid w:val="00CB4A7B"/>
    <w:rsid w:val="00CB6622"/>
    <w:rsid w:val="00CC0101"/>
    <w:rsid w:val="00CD1801"/>
    <w:rsid w:val="00CD3655"/>
    <w:rsid w:val="00CD5D48"/>
    <w:rsid w:val="00CF65C6"/>
    <w:rsid w:val="00D10EF1"/>
    <w:rsid w:val="00D15D5D"/>
    <w:rsid w:val="00D25201"/>
    <w:rsid w:val="00D33097"/>
    <w:rsid w:val="00D42810"/>
    <w:rsid w:val="00D75689"/>
    <w:rsid w:val="00D914A7"/>
    <w:rsid w:val="00DD13C3"/>
    <w:rsid w:val="00DD596E"/>
    <w:rsid w:val="00DD621E"/>
    <w:rsid w:val="00DE09B6"/>
    <w:rsid w:val="00DE505F"/>
    <w:rsid w:val="00DE50B1"/>
    <w:rsid w:val="00DF0575"/>
    <w:rsid w:val="00E4548E"/>
    <w:rsid w:val="00E46011"/>
    <w:rsid w:val="00E70E04"/>
    <w:rsid w:val="00EB0F40"/>
    <w:rsid w:val="00EC05A7"/>
    <w:rsid w:val="00EC4B6B"/>
    <w:rsid w:val="00EC7937"/>
    <w:rsid w:val="00ED3340"/>
    <w:rsid w:val="00ED7442"/>
    <w:rsid w:val="00EF1EE5"/>
    <w:rsid w:val="00EF2866"/>
    <w:rsid w:val="00F20777"/>
    <w:rsid w:val="00F20B0E"/>
    <w:rsid w:val="00F62896"/>
    <w:rsid w:val="00F7419A"/>
    <w:rsid w:val="00F763B4"/>
    <w:rsid w:val="00F900C3"/>
    <w:rsid w:val="00F95C27"/>
    <w:rsid w:val="00FB07AB"/>
    <w:rsid w:val="00FC6EDD"/>
    <w:rsid w:val="00FD2D1E"/>
    <w:rsid w:val="00FF12F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EF6C12"/>
  <w15:docId w15:val="{37E7916E-C4C8-40DF-98D0-E75D66A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83320"/>
    <w:pPr>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32534E"/>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A6913"/>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qFormat/>
    <w:rsid w:val="00CA691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CA691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CA691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qFormat/>
    <w:rsid w:val="00CA691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qFormat/>
    <w:rsid w:val="00CA6913"/>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CA6913"/>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CA6913"/>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CA691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CA6913"/>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CA691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qFormat/>
    <w:rsid w:val="00CA6913"/>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qFormat/>
    <w:rsid w:val="00CA6913"/>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CA6913"/>
    <w:pPr>
      <w:numPr>
        <w:numId w:val="14"/>
      </w:numPr>
      <w:tabs>
        <w:tab w:val="clear" w:pos="0"/>
        <w:tab w:val="num" w:pos="2495"/>
      </w:tabs>
      <w:ind w:left="2495" w:hanging="545"/>
    </w:pPr>
  </w:style>
  <w:style w:type="numbering" w:styleId="111111">
    <w:name w:val="Outline List 2"/>
    <w:basedOn w:val="NoList"/>
    <w:semiHidden/>
    <w:rsid w:val="00CA6913"/>
    <w:pPr>
      <w:numPr>
        <w:numId w:val="16"/>
      </w:numPr>
    </w:pPr>
  </w:style>
  <w:style w:type="numbering" w:styleId="1ai">
    <w:name w:val="Outline List 1"/>
    <w:basedOn w:val="NoList"/>
    <w:semiHidden/>
    <w:rsid w:val="00CA6913"/>
    <w:pPr>
      <w:numPr>
        <w:numId w:val="17"/>
      </w:numPr>
    </w:pPr>
  </w:style>
  <w:style w:type="character" w:styleId="CommentReference">
    <w:name w:val="annotation reference"/>
    <w:basedOn w:val="DefaultParagraphFont"/>
    <w:uiPriority w:val="99"/>
    <w:semiHidden/>
    <w:unhideWhenUsed/>
    <w:rsid w:val="00CA6913"/>
    <w:rPr>
      <w:sz w:val="16"/>
      <w:szCs w:val="16"/>
    </w:rPr>
  </w:style>
  <w:style w:type="paragraph" w:styleId="CommentText">
    <w:name w:val="annotation text"/>
    <w:basedOn w:val="Normal"/>
    <w:link w:val="CommentTextChar"/>
    <w:uiPriority w:val="99"/>
    <w:semiHidden/>
    <w:unhideWhenUsed/>
    <w:rsid w:val="00CA6913"/>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uiPriority w:val="99"/>
    <w:semiHidden/>
    <w:rsid w:val="00CA6913"/>
    <w:rPr>
      <w:rFonts w:ascii="Times New Roman" w:eastAsia="SimSun" w:cs="Traditional Arabic"/>
      <w:sz w:val="20"/>
      <w:szCs w:val="30"/>
      <w:lang w:val="en-GB"/>
    </w:rPr>
  </w:style>
  <w:style w:type="paragraph" w:styleId="CommentSubject">
    <w:name w:val="annotation subject"/>
    <w:basedOn w:val="Normal"/>
    <w:next w:val="Normal"/>
    <w:link w:val="CommentSubjectChar"/>
    <w:uiPriority w:val="99"/>
    <w:semiHidden/>
    <w:unhideWhenUsed/>
    <w:rsid w:val="00CA6913"/>
    <w:pPr>
      <w:bidi w:val="0"/>
      <w:spacing w:line="240" w:lineRule="auto"/>
      <w:jc w:val="left"/>
    </w:pPr>
    <w:rPr>
      <w:rFonts w:eastAsia="SimSun" w:hAnsiTheme="minorHAnsi" w:hint="cs"/>
      <w:b/>
      <w:bCs/>
      <w:lang w:val="en-GB" w:eastAsia="zh-CN"/>
    </w:rPr>
  </w:style>
  <w:style w:type="character" w:customStyle="1" w:styleId="CommentSubjectChar">
    <w:name w:val="Comment Subject Char"/>
    <w:basedOn w:val="CommentTextChar"/>
    <w:link w:val="CommentSubject"/>
    <w:uiPriority w:val="99"/>
    <w:semiHidden/>
    <w:rsid w:val="00CA6913"/>
    <w:rPr>
      <w:rFonts w:ascii="Times New Roman" w:eastAsia="SimSun" w:cs="Traditional Arabic"/>
      <w:b/>
      <w:bCs/>
      <w:sz w:val="20"/>
      <w:szCs w:val="30"/>
      <w:lang w:val="en-GB" w:eastAsia="zh-CN"/>
    </w:rPr>
  </w:style>
  <w:style w:type="paragraph" w:styleId="Revision">
    <w:name w:val="Revision"/>
    <w:hidden/>
    <w:uiPriority w:val="99"/>
    <w:semiHidden/>
    <w:rsid w:val="00CA6913"/>
    <w:pPr>
      <w:spacing w:after="0" w:line="240" w:lineRule="auto"/>
    </w:pPr>
    <w:rPr>
      <w:rFonts w:ascii="Times New Roman" w:hAnsi="Times New Roman" w:cs="Times New Roman"/>
      <w:sz w:val="20"/>
      <w:szCs w:val="20"/>
      <w:lang w:val="en-GB"/>
    </w:rPr>
  </w:style>
  <w:style w:type="character" w:styleId="Hyperlink">
    <w:name w:val="Hyperlink"/>
    <w:basedOn w:val="DefaultParagraphFont"/>
    <w:uiPriority w:val="99"/>
    <w:unhideWhenUsed/>
    <w:rsid w:val="00CA6913"/>
    <w:rPr>
      <w:color w:val="0000FF" w:themeColor="hyperlink"/>
      <w:u w:val="single"/>
    </w:rPr>
  </w:style>
  <w:style w:type="character" w:customStyle="1" w:styleId="SingleTxtGChar">
    <w:name w:val="_ Single Txt_G Char"/>
    <w:link w:val="SingleTxtG"/>
    <w:rsid w:val="00CA6913"/>
    <w:rPr>
      <w:rFonts w:ascii="Times New Roman" w:eastAsia="SimSun" w:cs="Traditional Arabic"/>
      <w:sz w:val="20"/>
      <w:szCs w:val="30"/>
      <w:lang w:val="en-GB" w:eastAsia="zh-CN"/>
    </w:rPr>
  </w:style>
  <w:style w:type="character" w:styleId="FollowedHyperlink">
    <w:name w:val="FollowedHyperlink"/>
    <w:basedOn w:val="DefaultParagraphFont"/>
    <w:uiPriority w:val="99"/>
    <w:semiHidden/>
    <w:unhideWhenUsed/>
    <w:rsid w:val="00CA6913"/>
    <w:rPr>
      <w:color w:val="800080" w:themeColor="followedHyperlink"/>
      <w:u w:val="single"/>
    </w:rPr>
  </w:style>
  <w:style w:type="paragraph" w:customStyle="1" w:styleId="SingleTxt">
    <w:name w:val="__Single Txt"/>
    <w:basedOn w:val="Normal"/>
    <w:rsid w:val="00CA6913"/>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after="120" w:line="240" w:lineRule="exact"/>
      <w:ind w:left="1267" w:right="1267"/>
      <w:jc w:val="both"/>
    </w:pPr>
    <w:rPr>
      <w:rFonts w:eastAsiaTheme="minorEastAsia" w:hAnsiTheme="minorHAnsi" w:hint="cs"/>
      <w:spacing w:val="4"/>
      <w:w w:val="103"/>
      <w:kern w:val="14"/>
      <w:lang w:val="en-GB" w:eastAsia="zh-CN"/>
    </w:rPr>
  </w:style>
  <w:style w:type="paragraph" w:styleId="NormalWeb">
    <w:name w:val="Normal (Web)"/>
    <w:basedOn w:val="Normal"/>
    <w:uiPriority w:val="99"/>
    <w:semiHidden/>
    <w:unhideWhenUsed/>
    <w:rsid w:val="00CA6913"/>
    <w:pPr>
      <w:bidi w:val="0"/>
      <w:spacing w:line="240" w:lineRule="auto"/>
      <w:jc w:val="left"/>
    </w:pPr>
    <w:rPr>
      <w:rFonts w:eastAsia="SimSun" w:hAnsiTheme="minorHAnsi" w:hint="cs"/>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216D-866B-4A98-93E4-4E208575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29</Pages>
  <Words>10286</Words>
  <Characters>52254</Characters>
  <Application>Microsoft Office Word</Application>
  <DocSecurity>0</DocSecurity>
  <Lines>768</Lines>
  <Paragraphs>138</Paragraphs>
  <ScaleCrop>false</ScaleCrop>
  <HeadingPairs>
    <vt:vector size="2" baseType="variant">
      <vt:variant>
        <vt:lpstr>Title</vt:lpstr>
      </vt:variant>
      <vt:variant>
        <vt:i4>1</vt:i4>
      </vt:variant>
    </vt:vector>
  </HeadingPairs>
  <TitlesOfParts>
    <vt:vector size="1" baseType="lpstr">
      <vt:lpstr>CCPR/C/123/D/2747/2016</vt:lpstr>
    </vt:vector>
  </TitlesOfParts>
  <Company>DCM</Company>
  <LinksUpToDate>false</LinksUpToDate>
  <CharactersWithSpaces>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CCPR/C/123/D/2747/2016</dc:title>
  <dc:subject>GE.1821160A</dc:subject>
  <dc:creator>Jamela CHEDAD/NAB</dc:creator>
  <cp:keywords>ODS No.1835827A</cp:keywords>
  <dc:description>Distribution: General_x000d_
Original: English and French_x000d_
Date: 7 December 2018</dc:description>
  <cp:lastModifiedBy>Jamila Chedad</cp:lastModifiedBy>
  <cp:revision>2</cp:revision>
  <cp:lastPrinted>2019-04-04T11:14:00Z</cp:lastPrinted>
  <dcterms:created xsi:type="dcterms:W3CDTF">2019-04-04T15:12:00Z</dcterms:created>
  <dcterms:modified xsi:type="dcterms:W3CDTF">2019-04-04T15:12:00Z</dcterms:modified>
  <cp:category>Finale</cp:category>
</cp:coreProperties>
</file>