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C3CBC" w:rsidRDefault="000C3CBC" w:rsidP="00B614C4">
            <w:pPr>
              <w:spacing w:line="240" w:lineRule="atLeast"/>
              <w:jc w:val="right"/>
              <w:rPr>
                <w:sz w:val="20"/>
                <w:szCs w:val="21"/>
              </w:rPr>
            </w:pPr>
            <w:r w:rsidRPr="000C3CBC">
              <w:rPr>
                <w:sz w:val="40"/>
                <w:szCs w:val="21"/>
              </w:rPr>
              <w:t>CCPR</w:t>
            </w:r>
            <w:r>
              <w:rPr>
                <w:sz w:val="20"/>
                <w:szCs w:val="21"/>
              </w:rPr>
              <w:t>/C/123/D/2747/2016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614C4">
            <w:pPr>
              <w:spacing w:before="240" w:line="240" w:lineRule="atLeast"/>
              <w:rPr>
                <w:sz w:val="20"/>
              </w:rPr>
            </w:pPr>
            <w:r w:rsidRPr="00F124C6">
              <w:rPr>
                <w:sz w:val="20"/>
              </w:rPr>
              <w:t xml:space="preserve">Distr.: </w:t>
            </w:r>
            <w:r w:rsidR="00B53211" w:rsidRPr="00B53211">
              <w:rPr>
                <w:sz w:val="20"/>
              </w:rPr>
              <w:t>General</w:t>
            </w:r>
          </w:p>
          <w:p w:rsidR="00CE1D1C" w:rsidRPr="00F124C6" w:rsidRDefault="00B53211" w:rsidP="00B614C4">
            <w:pPr>
              <w:spacing w:line="240" w:lineRule="atLeast"/>
              <w:rPr>
                <w:sz w:val="20"/>
              </w:rPr>
            </w:pPr>
            <w:r w:rsidRPr="00B53211">
              <w:rPr>
                <w:sz w:val="20"/>
              </w:rPr>
              <w:t>7 December 2018</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 xml:space="preserve">Original: </w:t>
            </w:r>
            <w:r w:rsidR="00B53211" w:rsidRPr="00B53211">
              <w:rPr>
                <w:sz w:val="20"/>
              </w:rPr>
              <w:t>English and French</w:t>
            </w:r>
          </w:p>
        </w:tc>
      </w:tr>
    </w:tbl>
    <w:p w:rsidR="00B53211" w:rsidRDefault="00B53211"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B53211" w:rsidRDefault="00452B17" w:rsidP="00452B17">
      <w:pPr>
        <w:pStyle w:val="HChGC"/>
      </w:pPr>
      <w:r>
        <w:tab/>
      </w:r>
      <w:r>
        <w:tab/>
      </w:r>
      <w:r w:rsidRPr="00B53211">
        <w:rPr>
          <w:rFonts w:hint="eastAsia"/>
          <w:lang w:val="en-GB"/>
        </w:rPr>
        <w:t>委</w:t>
      </w:r>
      <w:r w:rsidR="00B53211" w:rsidRPr="00B53211">
        <w:rPr>
          <w:rFonts w:hint="eastAsia"/>
          <w:lang w:val="en-GB"/>
        </w:rPr>
        <w:t>员会根据《任择议定书》第五条第</w:t>
      </w:r>
      <w:r w:rsidR="00B53211" w:rsidRPr="00B53211">
        <w:rPr>
          <w:lang w:val="en-GB"/>
        </w:rPr>
        <w:t>4</w:t>
      </w:r>
      <w:r w:rsidR="00B53211" w:rsidRPr="00B53211">
        <w:rPr>
          <w:rFonts w:hint="eastAsia"/>
          <w:lang w:val="en-GB"/>
        </w:rPr>
        <w:t>款通过的关于</w:t>
      </w:r>
      <w:r w:rsidR="00BE00DB">
        <w:rPr>
          <w:lang w:val="en-GB"/>
        </w:rPr>
        <w:br/>
      </w:r>
      <w:r w:rsidR="00B53211" w:rsidRPr="00B53211">
        <w:rPr>
          <w:rFonts w:hint="eastAsia"/>
          <w:lang w:val="en-GB"/>
        </w:rPr>
        <w:t>第</w:t>
      </w:r>
      <w:r w:rsidR="00B53211" w:rsidRPr="00B53211">
        <w:rPr>
          <w:lang w:val="en-GB"/>
        </w:rPr>
        <w:t>2747/2016</w:t>
      </w:r>
      <w:r w:rsidR="00B53211" w:rsidRPr="00B53211">
        <w:rPr>
          <w:rFonts w:hint="eastAsia"/>
          <w:lang w:val="en-GB"/>
        </w:rPr>
        <w:t>号来文的意见</w:t>
      </w:r>
      <w:r w:rsidR="00B53211" w:rsidRPr="00BE00DB">
        <w:rPr>
          <w:bCs/>
          <w:color w:val="0000FF"/>
          <w:lang w:val="en-GB"/>
        </w:rPr>
        <w:footnoteReference w:customMarkFollows="1" w:id="2"/>
        <w:t>*</w:t>
      </w:r>
      <w:r w:rsidR="002007EF">
        <w:rPr>
          <w:color w:val="0000FF"/>
          <w:lang w:val="en-GB"/>
        </w:rPr>
        <w:t xml:space="preserve"> </w:t>
      </w:r>
      <w:r w:rsidR="00B53211" w:rsidRPr="00BE00DB">
        <w:rPr>
          <w:bCs/>
          <w:color w:val="0000FF"/>
          <w:lang w:val="en-GB"/>
        </w:rPr>
        <w:footnoteReference w:customMarkFollows="1" w:id="3"/>
        <w:t xml:space="preserve">** </w:t>
      </w:r>
      <w:r w:rsidR="00B53211" w:rsidRPr="00BE00DB">
        <w:rPr>
          <w:bCs/>
          <w:color w:val="0000FF"/>
          <w:lang w:val="en-GB"/>
        </w:rPr>
        <w:footnoteReference w:customMarkFollows="1" w:id="4"/>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B53211" w:rsidTr="0069394F">
        <w:trPr>
          <w:cantSplit/>
        </w:trPr>
        <w:tc>
          <w:tcPr>
            <w:tcW w:w="2187" w:type="dxa"/>
          </w:tcPr>
          <w:p w:rsidR="00B53211" w:rsidRPr="00172E04" w:rsidRDefault="00B53211" w:rsidP="0069394F">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44" w:type="dxa"/>
          </w:tcPr>
          <w:p w:rsidR="00B53211" w:rsidRPr="00C74FB6" w:rsidRDefault="00BE00DB" w:rsidP="0069394F">
            <w:pPr>
              <w:pStyle w:val="SingleTxtGC"/>
              <w:ind w:left="0" w:right="0"/>
            </w:pPr>
            <w:r w:rsidRPr="00BE00DB">
              <w:rPr>
                <w:rFonts w:hint="eastAsia"/>
              </w:rPr>
              <w:t>Sonia Yaker (</w:t>
            </w:r>
            <w:r w:rsidRPr="00BE00DB">
              <w:rPr>
                <w:rFonts w:hint="eastAsia"/>
              </w:rPr>
              <w:t>由律师</w:t>
            </w:r>
            <w:r w:rsidRPr="00BE00DB">
              <w:rPr>
                <w:rFonts w:hint="eastAsia"/>
              </w:rPr>
              <w:t>Roger Kallas</w:t>
            </w:r>
            <w:r w:rsidRPr="00BE00DB">
              <w:rPr>
                <w:rFonts w:hint="eastAsia"/>
              </w:rPr>
              <w:t>代理</w:t>
            </w:r>
            <w:r w:rsidRPr="00BE00DB">
              <w:rPr>
                <w:rFonts w:hint="eastAsia"/>
              </w:rPr>
              <w:t>)</w:t>
            </w:r>
          </w:p>
        </w:tc>
      </w:tr>
      <w:tr w:rsidR="00B53211" w:rsidTr="0069394F">
        <w:trPr>
          <w:cantSplit/>
        </w:trPr>
        <w:tc>
          <w:tcPr>
            <w:tcW w:w="2187" w:type="dxa"/>
          </w:tcPr>
          <w:p w:rsidR="00B53211" w:rsidRPr="00172E04" w:rsidRDefault="00B53211" w:rsidP="0069394F">
            <w:pPr>
              <w:pStyle w:val="SingleTxtGC"/>
              <w:ind w:left="0" w:right="0"/>
              <w:rPr>
                <w:rFonts w:eastAsia="楷体"/>
              </w:rPr>
            </w:pPr>
            <w:r w:rsidRPr="00172E04">
              <w:rPr>
                <w:rFonts w:ascii="Time New Roman" w:eastAsia="楷体" w:hAnsi="Time New Roman" w:hint="eastAsia"/>
              </w:rPr>
              <w:t>据称受害人：</w:t>
            </w:r>
          </w:p>
        </w:tc>
        <w:tc>
          <w:tcPr>
            <w:tcW w:w="4744" w:type="dxa"/>
          </w:tcPr>
          <w:p w:rsidR="00B53211" w:rsidRPr="00C74FB6" w:rsidRDefault="00B53211" w:rsidP="0069394F">
            <w:pPr>
              <w:pStyle w:val="SingleTxtGC"/>
              <w:ind w:left="0" w:right="0"/>
            </w:pPr>
            <w:r w:rsidRPr="00C74FB6">
              <w:rPr>
                <w:rFonts w:hint="eastAsia"/>
              </w:rPr>
              <w:t>提交人</w:t>
            </w:r>
          </w:p>
        </w:tc>
      </w:tr>
      <w:tr w:rsidR="00B53211" w:rsidTr="0069394F">
        <w:trPr>
          <w:cantSplit/>
        </w:trPr>
        <w:tc>
          <w:tcPr>
            <w:tcW w:w="2187" w:type="dxa"/>
          </w:tcPr>
          <w:p w:rsidR="00B53211" w:rsidRPr="00172E04" w:rsidRDefault="00B53211" w:rsidP="0069394F">
            <w:pPr>
              <w:pStyle w:val="SingleTxtGC"/>
              <w:ind w:left="0" w:right="0"/>
              <w:rPr>
                <w:rFonts w:eastAsia="楷体"/>
              </w:rPr>
            </w:pPr>
            <w:r w:rsidRPr="00172E04">
              <w:rPr>
                <w:rFonts w:ascii="Time New Roman" w:eastAsia="楷体" w:hAnsi="Time New Roman" w:hint="eastAsia"/>
              </w:rPr>
              <w:t>所涉缔约国：</w:t>
            </w:r>
          </w:p>
        </w:tc>
        <w:tc>
          <w:tcPr>
            <w:tcW w:w="4744" w:type="dxa"/>
          </w:tcPr>
          <w:p w:rsidR="00B53211" w:rsidRPr="00C74FB6" w:rsidRDefault="00BE00DB" w:rsidP="0069394F">
            <w:pPr>
              <w:pStyle w:val="SingleTxtGC"/>
              <w:ind w:left="0" w:right="0"/>
            </w:pPr>
            <w:r w:rsidRPr="00BE00DB">
              <w:rPr>
                <w:rFonts w:hint="eastAsia"/>
              </w:rPr>
              <w:t>法国</w:t>
            </w:r>
          </w:p>
        </w:tc>
      </w:tr>
      <w:tr w:rsidR="00B53211" w:rsidTr="0069394F">
        <w:trPr>
          <w:cantSplit/>
        </w:trPr>
        <w:tc>
          <w:tcPr>
            <w:tcW w:w="2187" w:type="dxa"/>
          </w:tcPr>
          <w:p w:rsidR="00B53211" w:rsidRPr="00172E04" w:rsidRDefault="00B53211"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B53211" w:rsidRPr="00C74FB6" w:rsidRDefault="00C87786" w:rsidP="0069394F">
            <w:pPr>
              <w:pStyle w:val="SingleTxtGC"/>
              <w:ind w:left="0" w:right="0"/>
            </w:pPr>
            <w:r w:rsidRPr="00C87786">
              <w:rPr>
                <w:rFonts w:hint="eastAsia"/>
              </w:rPr>
              <w:t>2016</w:t>
            </w:r>
            <w:r w:rsidRPr="00C87786">
              <w:rPr>
                <w:rFonts w:hint="eastAsia"/>
              </w:rPr>
              <w:t>年</w:t>
            </w:r>
            <w:r w:rsidRPr="00C87786">
              <w:rPr>
                <w:rFonts w:hint="eastAsia"/>
              </w:rPr>
              <w:t>2</w:t>
            </w:r>
            <w:r w:rsidRPr="00C87786">
              <w:rPr>
                <w:rFonts w:hint="eastAsia"/>
              </w:rPr>
              <w:t>月</w:t>
            </w:r>
            <w:r w:rsidRPr="00C87786">
              <w:rPr>
                <w:rFonts w:hint="eastAsia"/>
              </w:rPr>
              <w:t>22</w:t>
            </w:r>
            <w:r w:rsidRPr="00C87786">
              <w:rPr>
                <w:rFonts w:hint="eastAsia"/>
              </w:rPr>
              <w:t>日</w:t>
            </w:r>
            <w:r w:rsidRPr="00C87786">
              <w:rPr>
                <w:rFonts w:hint="eastAsia"/>
              </w:rPr>
              <w:t>(</w:t>
            </w:r>
            <w:r w:rsidRPr="00C87786">
              <w:rPr>
                <w:rFonts w:hint="eastAsia"/>
              </w:rPr>
              <w:t>首次提交</w:t>
            </w:r>
            <w:r w:rsidRPr="00C87786">
              <w:rPr>
                <w:rFonts w:hint="eastAsia"/>
              </w:rPr>
              <w:t>)</w:t>
            </w:r>
          </w:p>
        </w:tc>
      </w:tr>
      <w:tr w:rsidR="00B53211" w:rsidTr="0069394F">
        <w:trPr>
          <w:cantSplit/>
        </w:trPr>
        <w:tc>
          <w:tcPr>
            <w:tcW w:w="2187" w:type="dxa"/>
          </w:tcPr>
          <w:p w:rsidR="00B53211" w:rsidRPr="00172E04" w:rsidRDefault="00B53211"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rsidR="00B53211" w:rsidRPr="00C74FB6" w:rsidRDefault="00C87786" w:rsidP="0069394F">
            <w:pPr>
              <w:pStyle w:val="SingleTxtGC"/>
              <w:ind w:left="0" w:right="0"/>
              <w:rPr>
                <w:lang w:val="fr-CH"/>
              </w:rPr>
            </w:pPr>
            <w:r w:rsidRPr="00C87786">
              <w:rPr>
                <w:rFonts w:hint="eastAsia"/>
                <w:lang w:val="fr-CH"/>
              </w:rPr>
              <w:t>2017</w:t>
            </w:r>
            <w:r w:rsidRPr="00C87786">
              <w:rPr>
                <w:rFonts w:hint="eastAsia"/>
                <w:lang w:val="fr-CH"/>
              </w:rPr>
              <w:t>年</w:t>
            </w:r>
            <w:r w:rsidRPr="00C87786">
              <w:rPr>
                <w:rFonts w:hint="eastAsia"/>
                <w:lang w:val="fr-CH"/>
              </w:rPr>
              <w:t>7</w:t>
            </w:r>
            <w:r w:rsidRPr="00C87786">
              <w:rPr>
                <w:rFonts w:hint="eastAsia"/>
                <w:lang w:val="fr-CH"/>
              </w:rPr>
              <w:t>月</w:t>
            </w:r>
            <w:r w:rsidRPr="00C87786">
              <w:rPr>
                <w:rFonts w:hint="eastAsia"/>
                <w:lang w:val="fr-CH"/>
              </w:rPr>
              <w:t>26</w:t>
            </w:r>
            <w:r w:rsidRPr="00C87786">
              <w:rPr>
                <w:rFonts w:hint="eastAsia"/>
                <w:lang w:val="fr-CH"/>
              </w:rPr>
              <w:t>日关于可否受理的决定</w:t>
            </w:r>
          </w:p>
        </w:tc>
      </w:tr>
      <w:tr w:rsidR="00B53211" w:rsidTr="0069394F">
        <w:trPr>
          <w:cantSplit/>
        </w:trPr>
        <w:tc>
          <w:tcPr>
            <w:tcW w:w="2187" w:type="dxa"/>
          </w:tcPr>
          <w:p w:rsidR="00B53211" w:rsidRPr="00172E04" w:rsidRDefault="00C87786" w:rsidP="0069394F">
            <w:pPr>
              <w:pStyle w:val="SingleTxtGC"/>
              <w:ind w:left="0" w:right="0"/>
              <w:rPr>
                <w:rFonts w:ascii="Time New Roman" w:eastAsia="楷体" w:hAnsi="Time New Roman" w:hint="eastAsia"/>
              </w:rPr>
            </w:pPr>
            <w:r w:rsidRPr="00C87786">
              <w:rPr>
                <w:rFonts w:ascii="Time New Roman" w:eastAsia="楷体" w:hAnsi="Time New Roman" w:hint="eastAsia"/>
              </w:rPr>
              <w:t>意见通过日期</w:t>
            </w:r>
            <w:r w:rsidR="00B53211" w:rsidRPr="00172E04">
              <w:rPr>
                <w:rFonts w:ascii="Time New Roman" w:eastAsia="楷体" w:hAnsi="Time New Roman" w:hint="eastAsia"/>
              </w:rPr>
              <w:t>：</w:t>
            </w:r>
          </w:p>
        </w:tc>
        <w:tc>
          <w:tcPr>
            <w:tcW w:w="4744" w:type="dxa"/>
          </w:tcPr>
          <w:p w:rsidR="00B53211" w:rsidRPr="00C74FB6" w:rsidRDefault="00C87786" w:rsidP="0069394F">
            <w:pPr>
              <w:pStyle w:val="SingleTxtGC"/>
              <w:ind w:left="0" w:right="0"/>
              <w:rPr>
                <w:lang w:val="fr-CH"/>
              </w:rPr>
            </w:pPr>
            <w:r w:rsidRPr="00C87786">
              <w:rPr>
                <w:rFonts w:hint="eastAsia"/>
                <w:snapToGrid/>
              </w:rPr>
              <w:t>2018</w:t>
            </w:r>
            <w:r w:rsidRPr="00C87786">
              <w:rPr>
                <w:rFonts w:hint="eastAsia"/>
                <w:snapToGrid/>
              </w:rPr>
              <w:t>年</w:t>
            </w:r>
            <w:r w:rsidRPr="00C87786">
              <w:rPr>
                <w:rFonts w:hint="eastAsia"/>
                <w:snapToGrid/>
              </w:rPr>
              <w:t>7</w:t>
            </w:r>
            <w:r w:rsidRPr="00C87786">
              <w:rPr>
                <w:rFonts w:hint="eastAsia"/>
                <w:snapToGrid/>
              </w:rPr>
              <w:t>月</w:t>
            </w:r>
            <w:r w:rsidRPr="00C87786">
              <w:rPr>
                <w:rFonts w:hint="eastAsia"/>
                <w:snapToGrid/>
              </w:rPr>
              <w:t>17</w:t>
            </w:r>
            <w:r w:rsidRPr="00C87786">
              <w:rPr>
                <w:rFonts w:hint="eastAsia"/>
                <w:snapToGrid/>
              </w:rPr>
              <w:t>日</w:t>
            </w:r>
          </w:p>
        </w:tc>
      </w:tr>
      <w:tr w:rsidR="00B53211" w:rsidTr="0069394F">
        <w:trPr>
          <w:cantSplit/>
        </w:trPr>
        <w:tc>
          <w:tcPr>
            <w:tcW w:w="2187" w:type="dxa"/>
          </w:tcPr>
          <w:p w:rsidR="00B53211" w:rsidRPr="00172E04" w:rsidRDefault="00B53211"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B53211" w:rsidRPr="00C74FB6" w:rsidRDefault="00C87786" w:rsidP="0069394F">
            <w:pPr>
              <w:pStyle w:val="SingleTxtGC"/>
              <w:ind w:left="0" w:right="0"/>
              <w:rPr>
                <w:snapToGrid/>
              </w:rPr>
            </w:pPr>
            <w:r w:rsidRPr="00C87786">
              <w:rPr>
                <w:rFonts w:hint="eastAsia"/>
                <w:snapToGrid/>
              </w:rPr>
              <w:t>宗教自由权；对某一宗教及其信徒的歧视性待遇</w:t>
            </w:r>
          </w:p>
        </w:tc>
      </w:tr>
      <w:tr w:rsidR="00B53211" w:rsidTr="0069394F">
        <w:trPr>
          <w:cantSplit/>
        </w:trPr>
        <w:tc>
          <w:tcPr>
            <w:tcW w:w="2187" w:type="dxa"/>
          </w:tcPr>
          <w:p w:rsidR="00B53211" w:rsidRPr="00172E04" w:rsidRDefault="00B53211"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rsidR="00B53211" w:rsidRPr="00C74FB6" w:rsidRDefault="00E06EFD" w:rsidP="0069394F">
            <w:pPr>
              <w:pStyle w:val="SingleTxtGC"/>
              <w:ind w:left="0" w:right="0"/>
              <w:rPr>
                <w:snapToGrid/>
              </w:rPr>
            </w:pPr>
            <w:r w:rsidRPr="00E06EFD">
              <w:rPr>
                <w:rFonts w:hint="eastAsia"/>
                <w:snapToGrid/>
              </w:rPr>
              <w:t>可否受理，其他国际调查或解决程序；用尽国内补救办法</w:t>
            </w:r>
          </w:p>
        </w:tc>
      </w:tr>
      <w:tr w:rsidR="00B53211" w:rsidTr="0069394F">
        <w:trPr>
          <w:cantSplit/>
        </w:trPr>
        <w:tc>
          <w:tcPr>
            <w:tcW w:w="2187" w:type="dxa"/>
          </w:tcPr>
          <w:p w:rsidR="00B53211" w:rsidRPr="00172E04" w:rsidRDefault="00B53211"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B53211" w:rsidRPr="00C657A9" w:rsidRDefault="00A01F8B" w:rsidP="0069394F">
            <w:pPr>
              <w:pStyle w:val="SingleTxtGC"/>
              <w:ind w:left="0" w:right="0"/>
              <w:rPr>
                <w:snapToGrid/>
              </w:rPr>
            </w:pPr>
            <w:r w:rsidRPr="00A01F8B">
              <w:rPr>
                <w:rFonts w:hint="eastAsia"/>
                <w:snapToGrid/>
              </w:rPr>
              <w:t>宗教自由；不歧视</w:t>
            </w:r>
          </w:p>
        </w:tc>
      </w:tr>
      <w:tr w:rsidR="00B53211" w:rsidTr="0069394F">
        <w:trPr>
          <w:cantSplit/>
        </w:trPr>
        <w:tc>
          <w:tcPr>
            <w:tcW w:w="2187" w:type="dxa"/>
          </w:tcPr>
          <w:p w:rsidR="00B53211" w:rsidRPr="00172E04" w:rsidRDefault="00B53211"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rsidR="00B53211" w:rsidRPr="00C657A9" w:rsidRDefault="00A01F8B" w:rsidP="0069394F">
            <w:pPr>
              <w:pStyle w:val="SingleTxtGC"/>
              <w:ind w:left="0" w:right="0"/>
              <w:rPr>
                <w:snapToGrid/>
              </w:rPr>
            </w:pPr>
            <w:r w:rsidRPr="00A01F8B">
              <w:rPr>
                <w:rFonts w:hint="eastAsia"/>
                <w:snapToGrid/>
              </w:rPr>
              <w:t>第十八和第二十六条</w:t>
            </w:r>
          </w:p>
        </w:tc>
      </w:tr>
      <w:tr w:rsidR="00B53211" w:rsidTr="0069394F">
        <w:trPr>
          <w:cantSplit/>
        </w:trPr>
        <w:tc>
          <w:tcPr>
            <w:tcW w:w="2187" w:type="dxa"/>
          </w:tcPr>
          <w:p w:rsidR="00B53211" w:rsidRPr="00172E04" w:rsidRDefault="00B53211"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rsidR="00B53211" w:rsidRDefault="00A01F8B" w:rsidP="0069394F">
            <w:pPr>
              <w:pStyle w:val="SingleTxtGC"/>
              <w:ind w:left="0" w:right="0"/>
              <w:rPr>
                <w:snapToGrid/>
              </w:rPr>
            </w:pPr>
            <w:r w:rsidRPr="00A01F8B">
              <w:rPr>
                <w:rFonts w:hint="eastAsia"/>
                <w:snapToGrid/>
              </w:rPr>
              <w:t>第五条第</w:t>
            </w:r>
            <w:r w:rsidRPr="00A01F8B">
              <w:rPr>
                <w:rFonts w:hint="eastAsia"/>
                <w:snapToGrid/>
              </w:rPr>
              <w:t>2</w:t>
            </w:r>
            <w:r w:rsidRPr="00A01F8B">
              <w:rPr>
                <w:rFonts w:hint="eastAsia"/>
                <w:snapToGrid/>
              </w:rPr>
              <w:t>款</w:t>
            </w:r>
            <w:r w:rsidRPr="00A01F8B">
              <w:rPr>
                <w:rFonts w:hint="eastAsia"/>
                <w:snapToGrid/>
              </w:rPr>
              <w:t>(</w:t>
            </w:r>
            <w:r w:rsidRPr="00A01F8B">
              <w:rPr>
                <w:rFonts w:hint="eastAsia"/>
                <w:snapToGrid/>
              </w:rPr>
              <w:t>子</w:t>
            </w:r>
            <w:r w:rsidRPr="00A01F8B">
              <w:rPr>
                <w:rFonts w:hint="eastAsia"/>
                <w:snapToGrid/>
              </w:rPr>
              <w:t>)</w:t>
            </w:r>
            <w:r w:rsidRPr="00A01F8B">
              <w:rPr>
                <w:rFonts w:hint="eastAsia"/>
                <w:snapToGrid/>
              </w:rPr>
              <w:t>项和</w:t>
            </w:r>
            <w:r w:rsidRPr="00A01F8B">
              <w:rPr>
                <w:rFonts w:hint="eastAsia"/>
                <w:snapToGrid/>
              </w:rPr>
              <w:t>(</w:t>
            </w:r>
            <w:r w:rsidRPr="00A01F8B">
              <w:rPr>
                <w:rFonts w:hint="eastAsia"/>
                <w:snapToGrid/>
              </w:rPr>
              <w:t>丑</w:t>
            </w:r>
            <w:r w:rsidRPr="00A01F8B">
              <w:rPr>
                <w:rFonts w:hint="eastAsia"/>
                <w:snapToGrid/>
              </w:rPr>
              <w:t>)</w:t>
            </w:r>
            <w:r w:rsidRPr="00A01F8B">
              <w:rPr>
                <w:rFonts w:hint="eastAsia"/>
                <w:snapToGrid/>
              </w:rPr>
              <w:t>项</w:t>
            </w:r>
          </w:p>
        </w:tc>
      </w:tr>
    </w:tbl>
    <w:p w:rsidR="007D7547" w:rsidRPr="007D7547" w:rsidRDefault="007D7547" w:rsidP="007D7547">
      <w:pPr>
        <w:pStyle w:val="SingleTxtGC"/>
        <w:rPr>
          <w:lang w:val="en-GB"/>
        </w:rPr>
      </w:pPr>
      <w:r w:rsidRPr="007D7547">
        <w:rPr>
          <w:lang w:val="en-GB"/>
        </w:rPr>
        <w:lastRenderedPageBreak/>
        <w:t>1.1</w:t>
      </w:r>
      <w:r w:rsidRPr="007D7547">
        <w:rPr>
          <w:lang w:val="en-GB"/>
        </w:rPr>
        <w:tab/>
      </w:r>
      <w:r w:rsidRPr="007D7547">
        <w:rPr>
          <w:rFonts w:hint="eastAsia"/>
          <w:lang w:val="en-GB"/>
        </w:rPr>
        <w:t>来文提交人</w:t>
      </w:r>
      <w:r w:rsidRPr="007D7547">
        <w:rPr>
          <w:lang w:val="en-GB"/>
        </w:rPr>
        <w:t>Sonia Yaker</w:t>
      </w:r>
      <w:r w:rsidRPr="007D7547">
        <w:rPr>
          <w:rFonts w:hint="eastAsia"/>
          <w:lang w:val="en-GB"/>
        </w:rPr>
        <w:t>系法国国民，生于</w:t>
      </w:r>
      <w:r w:rsidRPr="007D7547">
        <w:rPr>
          <w:lang w:val="en-GB"/>
        </w:rPr>
        <w:t>1974</w:t>
      </w:r>
      <w:r w:rsidRPr="007D7547">
        <w:rPr>
          <w:rFonts w:hint="eastAsia"/>
          <w:lang w:val="en-GB"/>
        </w:rPr>
        <w:t>年，居于法国圣但尼。她声称法国侵犯了自己根据《公约》第十八和第二十六条享有的权利。</w:t>
      </w:r>
      <w:r w:rsidR="002007EF" w:rsidRPr="002007EF">
        <w:rPr>
          <w:color w:val="0000FF"/>
          <w:vertAlign w:val="superscript"/>
          <w:lang w:val="en-GB"/>
        </w:rPr>
        <w:footnoteReference w:id="5"/>
      </w:r>
      <w:r w:rsidRPr="007D7547">
        <w:rPr>
          <w:rFonts w:hint="eastAsia"/>
          <w:lang w:val="en-GB"/>
        </w:rPr>
        <w:t xml:space="preserve"> </w:t>
      </w:r>
      <w:r w:rsidRPr="007D7547">
        <w:rPr>
          <w:rFonts w:hint="eastAsia"/>
          <w:lang w:val="en-GB"/>
        </w:rPr>
        <w:t>她由律师</w:t>
      </w:r>
      <w:r w:rsidRPr="007D7547">
        <w:rPr>
          <w:lang w:val="en-GB"/>
        </w:rPr>
        <w:t>Roger Kallas</w:t>
      </w:r>
      <w:r w:rsidRPr="007D7547">
        <w:rPr>
          <w:rFonts w:hint="eastAsia"/>
          <w:lang w:val="en-GB"/>
        </w:rPr>
        <w:t>代理。</w:t>
      </w:r>
    </w:p>
    <w:p w:rsidR="007D7547" w:rsidRPr="007D7547" w:rsidRDefault="007D7547" w:rsidP="007D7547">
      <w:pPr>
        <w:pStyle w:val="SingleTxtGC"/>
        <w:rPr>
          <w:lang w:val="en-GB"/>
        </w:rPr>
      </w:pPr>
      <w:r w:rsidRPr="007D7547">
        <w:rPr>
          <w:lang w:val="en-GB"/>
        </w:rPr>
        <w:t>1.2</w:t>
      </w:r>
      <w:r w:rsidRPr="007D7547">
        <w:rPr>
          <w:lang w:val="en-GB"/>
        </w:rPr>
        <w:tab/>
      </w:r>
      <w:r w:rsidRPr="007D7547">
        <w:rPr>
          <w:rFonts w:hint="eastAsia"/>
          <w:lang w:val="en-GB"/>
        </w:rPr>
        <w:t>《公约》的第一项《任择议定书》于</w:t>
      </w:r>
      <w:r w:rsidRPr="007D7547">
        <w:rPr>
          <w:lang w:val="en-GB"/>
        </w:rPr>
        <w:t>1984</w:t>
      </w:r>
      <w:r w:rsidRPr="007D7547">
        <w:rPr>
          <w:rFonts w:hint="eastAsia"/>
          <w:lang w:val="en-GB"/>
        </w:rPr>
        <w:t>年</w:t>
      </w:r>
      <w:r w:rsidRPr="007D7547">
        <w:rPr>
          <w:lang w:val="en-GB"/>
        </w:rPr>
        <w:t>5</w:t>
      </w:r>
      <w:r w:rsidRPr="007D7547">
        <w:rPr>
          <w:rFonts w:hint="eastAsia"/>
          <w:lang w:val="en-GB"/>
        </w:rPr>
        <w:t>月</w:t>
      </w:r>
      <w:r w:rsidRPr="007D7547">
        <w:rPr>
          <w:lang w:val="en-GB"/>
        </w:rPr>
        <w:t>17</w:t>
      </w:r>
      <w:r w:rsidRPr="007D7547">
        <w:rPr>
          <w:rFonts w:hint="eastAsia"/>
          <w:lang w:val="en-GB"/>
        </w:rPr>
        <w:t>日对法国生效。法国提出了一项保留。</w:t>
      </w:r>
      <w:r w:rsidR="002007EF" w:rsidRPr="002007EF">
        <w:rPr>
          <w:color w:val="0000FF"/>
          <w:vertAlign w:val="superscript"/>
          <w:lang w:val="en-GB"/>
        </w:rPr>
        <w:footnoteReference w:id="6"/>
      </w:r>
    </w:p>
    <w:p w:rsidR="007D7547" w:rsidRPr="007D7547" w:rsidRDefault="007D7547" w:rsidP="007D7547">
      <w:pPr>
        <w:pStyle w:val="SingleTxtGC"/>
        <w:rPr>
          <w:lang w:val="en-GB"/>
        </w:rPr>
      </w:pPr>
      <w:r w:rsidRPr="007D7547">
        <w:rPr>
          <w:lang w:val="en-GB"/>
        </w:rPr>
        <w:t>1.3</w:t>
      </w:r>
      <w:r w:rsidRPr="007D7547">
        <w:rPr>
          <w:lang w:val="en-GB"/>
        </w:rPr>
        <w:tab/>
        <w:t>2016</w:t>
      </w:r>
      <w:r w:rsidRPr="007D7547">
        <w:rPr>
          <w:rFonts w:hint="eastAsia"/>
          <w:lang w:val="en-GB"/>
        </w:rPr>
        <w:t>年</w:t>
      </w:r>
      <w:r w:rsidRPr="007D7547">
        <w:rPr>
          <w:lang w:val="en-GB"/>
        </w:rPr>
        <w:t>9</w:t>
      </w:r>
      <w:r w:rsidRPr="007D7547">
        <w:rPr>
          <w:rFonts w:hint="eastAsia"/>
          <w:lang w:val="en-GB"/>
        </w:rPr>
        <w:t>月</w:t>
      </w:r>
      <w:r w:rsidRPr="007D7547">
        <w:rPr>
          <w:lang w:val="en-GB"/>
        </w:rPr>
        <w:t>5</w:t>
      </w:r>
      <w:r w:rsidRPr="007D7547">
        <w:rPr>
          <w:rFonts w:hint="eastAsia"/>
          <w:lang w:val="en-GB"/>
        </w:rPr>
        <w:t>日，新来文和临时措施特别报告员通知缔约国和提交人，他已决定根据委员会议事规则第</w:t>
      </w:r>
      <w:r w:rsidRPr="007D7547">
        <w:rPr>
          <w:lang w:val="en-GB"/>
        </w:rPr>
        <w:t>97</w:t>
      </w:r>
      <w:r w:rsidRPr="007D7547">
        <w:rPr>
          <w:rFonts w:hint="eastAsia"/>
          <w:lang w:val="en-GB"/>
        </w:rPr>
        <w:t>条第</w:t>
      </w:r>
      <w:r w:rsidRPr="007D7547">
        <w:rPr>
          <w:lang w:val="en-GB"/>
        </w:rPr>
        <w:t>3</w:t>
      </w:r>
      <w:r w:rsidRPr="007D7547">
        <w:rPr>
          <w:rFonts w:hint="eastAsia"/>
          <w:lang w:val="en-GB"/>
        </w:rPr>
        <w:t>款，将来文可否受理问题与实质问题分开审议。</w:t>
      </w:r>
    </w:p>
    <w:p w:rsidR="007D7547" w:rsidRPr="007D7547" w:rsidRDefault="00452B17" w:rsidP="00452B17">
      <w:pPr>
        <w:pStyle w:val="H23GC"/>
        <w:rPr>
          <w:lang w:val="en-GB"/>
        </w:rPr>
      </w:pPr>
      <w:r w:rsidRPr="007D7547">
        <w:rPr>
          <w:lang w:val="en-GB"/>
        </w:rPr>
        <w:tab/>
      </w:r>
      <w:r w:rsidRPr="007D7547">
        <w:rPr>
          <w:lang w:val="en-GB"/>
        </w:rPr>
        <w:tab/>
      </w:r>
      <w:r w:rsidRPr="007D7547">
        <w:rPr>
          <w:rFonts w:hint="eastAsia"/>
          <w:lang w:val="en-GB"/>
        </w:rPr>
        <w:t>提</w:t>
      </w:r>
      <w:r w:rsidR="007D7547" w:rsidRPr="007D7547">
        <w:rPr>
          <w:rFonts w:hint="eastAsia"/>
          <w:lang w:val="en-GB"/>
        </w:rPr>
        <w:t>交人陈述的事实</w:t>
      </w:r>
    </w:p>
    <w:p w:rsidR="007D7547" w:rsidRPr="007D7547" w:rsidRDefault="007D7547" w:rsidP="007D7547">
      <w:pPr>
        <w:pStyle w:val="SingleTxtGC"/>
        <w:rPr>
          <w:lang w:val="en-GB"/>
        </w:rPr>
      </w:pPr>
      <w:r w:rsidRPr="007D7547">
        <w:rPr>
          <w:lang w:val="en-GB"/>
        </w:rPr>
        <w:t>2.1</w:t>
      </w:r>
      <w:r w:rsidRPr="007D7547">
        <w:rPr>
          <w:lang w:val="en-GB"/>
        </w:rPr>
        <w:tab/>
      </w:r>
      <w:r w:rsidRPr="007D7547">
        <w:rPr>
          <w:rFonts w:hint="eastAsia"/>
          <w:lang w:val="en-GB"/>
        </w:rPr>
        <w:t>提交人系穆斯林，佩戴尼卡布</w:t>
      </w:r>
      <w:r w:rsidRPr="007D7547">
        <w:rPr>
          <w:lang w:val="en-GB"/>
        </w:rPr>
        <w:t>(</w:t>
      </w:r>
      <w:r w:rsidRPr="007D7547">
        <w:rPr>
          <w:rFonts w:hint="eastAsia"/>
          <w:lang w:val="en-GB"/>
        </w:rPr>
        <w:t>全脸面纱</w:t>
      </w:r>
      <w:r w:rsidRPr="007D7547">
        <w:rPr>
          <w:lang w:val="en-GB"/>
        </w:rPr>
        <w:t>)</w:t>
      </w:r>
      <w:r w:rsidRPr="007D7547">
        <w:rPr>
          <w:rFonts w:hint="eastAsia"/>
          <w:lang w:val="en-GB"/>
        </w:rPr>
        <w:t>。</w:t>
      </w:r>
      <w:r w:rsidRPr="007D7547">
        <w:rPr>
          <w:lang w:val="en-GB"/>
        </w:rPr>
        <w:t>2011</w:t>
      </w:r>
      <w:r w:rsidRPr="007D7547">
        <w:rPr>
          <w:rFonts w:hint="eastAsia"/>
          <w:lang w:val="en-GB"/>
        </w:rPr>
        <w:t>年</w:t>
      </w:r>
      <w:r w:rsidRPr="007D7547">
        <w:rPr>
          <w:lang w:val="en-GB"/>
        </w:rPr>
        <w:t>10</w:t>
      </w:r>
      <w:r w:rsidRPr="007D7547">
        <w:rPr>
          <w:rFonts w:hint="eastAsia"/>
          <w:lang w:val="en-GB"/>
        </w:rPr>
        <w:t>月</w:t>
      </w:r>
      <w:r w:rsidRPr="007D7547">
        <w:rPr>
          <w:lang w:val="en-GB"/>
        </w:rPr>
        <w:t>6</w:t>
      </w:r>
      <w:r w:rsidRPr="007D7547">
        <w:rPr>
          <w:rFonts w:hint="eastAsia"/>
          <w:lang w:val="en-GB"/>
        </w:rPr>
        <w:t>日，她戴着尼卡布在南特街头时被拦下接受身份检查。随后，她遭到起诉并被宣判犯有在公共场所以服饰掩藏面部的轻罪。</w:t>
      </w:r>
    </w:p>
    <w:p w:rsidR="007D7547" w:rsidRPr="007D7547" w:rsidRDefault="007D7547" w:rsidP="007D7547">
      <w:pPr>
        <w:pStyle w:val="SingleTxtGC"/>
        <w:rPr>
          <w:lang w:val="en-GB"/>
        </w:rPr>
      </w:pPr>
      <w:r w:rsidRPr="007D7547">
        <w:rPr>
          <w:lang w:val="en-GB"/>
        </w:rPr>
        <w:t>2.2</w:t>
      </w:r>
      <w:r w:rsidRPr="007D7547">
        <w:rPr>
          <w:lang w:val="en-GB"/>
        </w:rPr>
        <w:tab/>
      </w:r>
      <w:r w:rsidRPr="007D7547">
        <w:rPr>
          <w:rFonts w:hint="eastAsia"/>
          <w:lang w:val="en-GB"/>
        </w:rPr>
        <w:t>因为此事，提交人于</w:t>
      </w:r>
      <w:r w:rsidRPr="007D7547">
        <w:rPr>
          <w:lang w:val="en-GB"/>
        </w:rPr>
        <w:t>2012</w:t>
      </w:r>
      <w:r w:rsidRPr="007D7547">
        <w:rPr>
          <w:rFonts w:hint="eastAsia"/>
          <w:lang w:val="en-GB"/>
        </w:rPr>
        <w:t>年</w:t>
      </w:r>
      <w:r w:rsidRPr="007D7547">
        <w:rPr>
          <w:lang w:val="en-GB"/>
        </w:rPr>
        <w:t>3</w:t>
      </w:r>
      <w:r w:rsidRPr="007D7547">
        <w:rPr>
          <w:rFonts w:hint="eastAsia"/>
          <w:lang w:val="en-GB"/>
        </w:rPr>
        <w:t>月</w:t>
      </w:r>
      <w:r w:rsidRPr="007D7547">
        <w:rPr>
          <w:lang w:val="en-GB"/>
        </w:rPr>
        <w:t>26</w:t>
      </w:r>
      <w:r w:rsidRPr="007D7547">
        <w:rPr>
          <w:rFonts w:hint="eastAsia"/>
          <w:lang w:val="en-GB"/>
        </w:rPr>
        <w:t>日被定罪，并被南特社区法院</w:t>
      </w:r>
      <w:r w:rsidR="002007EF" w:rsidRPr="002007EF">
        <w:rPr>
          <w:color w:val="0000FF"/>
          <w:vertAlign w:val="superscript"/>
          <w:lang w:val="en-GB"/>
        </w:rPr>
        <w:footnoteReference w:id="7"/>
      </w:r>
      <w:r w:rsidR="00FD2F07">
        <w:rPr>
          <w:rFonts w:hint="eastAsia"/>
          <w:lang w:val="en-GB"/>
        </w:rPr>
        <w:t xml:space="preserve"> </w:t>
      </w:r>
      <w:r w:rsidRPr="007D7547">
        <w:rPr>
          <w:rFonts w:hint="eastAsia"/>
          <w:lang w:val="en-GB"/>
        </w:rPr>
        <w:t>勒令缴纳</w:t>
      </w:r>
      <w:r w:rsidRPr="007D7547">
        <w:rPr>
          <w:lang w:val="en-GB"/>
        </w:rPr>
        <w:t>150</w:t>
      </w:r>
      <w:r w:rsidRPr="007D7547">
        <w:rPr>
          <w:rFonts w:hint="eastAsia"/>
          <w:lang w:val="en-GB"/>
        </w:rPr>
        <w:t>欧元罚款。这是</w:t>
      </w:r>
      <w:r w:rsidRPr="007D7547">
        <w:rPr>
          <w:lang w:val="en-GB"/>
        </w:rPr>
        <w:t>2010</w:t>
      </w:r>
      <w:r w:rsidRPr="007D7547">
        <w:rPr>
          <w:rFonts w:hint="eastAsia"/>
          <w:lang w:val="en-GB"/>
        </w:rPr>
        <w:t>年</w:t>
      </w:r>
      <w:r w:rsidRPr="007D7547">
        <w:rPr>
          <w:lang w:val="en-GB"/>
        </w:rPr>
        <w:t>10</w:t>
      </w:r>
      <w:r w:rsidRPr="007D7547">
        <w:rPr>
          <w:rFonts w:hint="eastAsia"/>
          <w:lang w:val="en-GB"/>
        </w:rPr>
        <w:t>月</w:t>
      </w:r>
      <w:r w:rsidRPr="007D7547">
        <w:rPr>
          <w:lang w:val="en-GB"/>
        </w:rPr>
        <w:t>11</w:t>
      </w:r>
      <w:r w:rsidRPr="007D7547">
        <w:rPr>
          <w:rFonts w:hint="eastAsia"/>
          <w:lang w:val="en-GB"/>
        </w:rPr>
        <w:t>日《第</w:t>
      </w:r>
      <w:r w:rsidRPr="007D7547">
        <w:rPr>
          <w:lang w:val="en-GB"/>
        </w:rPr>
        <w:t>2010-1192</w:t>
      </w:r>
      <w:r w:rsidRPr="007D7547">
        <w:rPr>
          <w:rFonts w:hint="eastAsia"/>
          <w:lang w:val="en-GB"/>
        </w:rPr>
        <w:t>号法》所规定的相关罪行的最高处罚。该法第</w:t>
      </w:r>
      <w:r w:rsidRPr="007D7547">
        <w:rPr>
          <w:lang w:val="en-GB"/>
        </w:rPr>
        <w:t>1</w:t>
      </w:r>
      <w:r w:rsidRPr="007D7547">
        <w:rPr>
          <w:rFonts w:hint="eastAsia"/>
          <w:lang w:val="en-GB"/>
        </w:rPr>
        <w:t>条规定：“任何人均不得在公共场所穿戴任何旨在掩藏面部的服饰”。该法第</w:t>
      </w:r>
      <w:r w:rsidRPr="007D7547">
        <w:rPr>
          <w:lang w:val="en-GB"/>
        </w:rPr>
        <w:t>2</w:t>
      </w:r>
      <w:r w:rsidRPr="007D7547">
        <w:rPr>
          <w:rFonts w:hint="eastAsia"/>
          <w:lang w:val="en-GB"/>
        </w:rPr>
        <w:t>条具体写明了适用该法的场合，规定“公共场所应指公共街道和人行</w:t>
      </w:r>
      <w:r w:rsidRPr="007D7547">
        <w:rPr>
          <w:lang w:val="en-GB"/>
        </w:rPr>
        <w:t>道</w:t>
      </w:r>
      <w:r w:rsidRPr="007D7547">
        <w:rPr>
          <w:rFonts w:hint="eastAsia"/>
          <w:lang w:val="en-GB"/>
        </w:rPr>
        <w:t>以及向公众开放或指定用于提供公共服务的场所”。该条还规定，“若穿着此类服饰系由法律条文或规章条款规定或授权……，因健康原因或出于职业原因具备合理理由，或是属于体育、艺术或传统庆典或活动的部分内容，则第</w:t>
      </w:r>
      <w:r w:rsidRPr="007D7547">
        <w:rPr>
          <w:rFonts w:hint="eastAsia"/>
          <w:lang w:val="en-GB"/>
        </w:rPr>
        <w:t>1</w:t>
      </w:r>
      <w:r w:rsidRPr="007D7547">
        <w:rPr>
          <w:rFonts w:hint="eastAsia"/>
          <w:lang w:val="en-GB"/>
        </w:rPr>
        <w:t>条所载禁令不适用”。</w:t>
      </w:r>
    </w:p>
    <w:p w:rsidR="007D7547" w:rsidRPr="007D7547" w:rsidRDefault="007D7547" w:rsidP="007D7547">
      <w:pPr>
        <w:pStyle w:val="SingleTxtGC"/>
        <w:rPr>
          <w:lang w:val="en-GB"/>
        </w:rPr>
      </w:pPr>
      <w:r w:rsidRPr="007D7547">
        <w:rPr>
          <w:lang w:val="en-GB"/>
        </w:rPr>
        <w:t>2.3</w:t>
      </w:r>
      <w:r w:rsidRPr="007D7547">
        <w:rPr>
          <w:lang w:val="en-GB"/>
        </w:rPr>
        <w:tab/>
      </w:r>
      <w:r w:rsidRPr="007D7547">
        <w:rPr>
          <w:rFonts w:hint="eastAsia"/>
          <w:lang w:val="en-GB"/>
        </w:rPr>
        <w:t>该法第</w:t>
      </w:r>
      <w:r w:rsidRPr="007D7547">
        <w:rPr>
          <w:lang w:val="en-GB"/>
        </w:rPr>
        <w:t>3</w:t>
      </w:r>
      <w:r w:rsidRPr="007D7547">
        <w:rPr>
          <w:rFonts w:hint="eastAsia"/>
          <w:lang w:val="en-GB"/>
        </w:rPr>
        <w:t>条规定了对这一轻罪的处罚：处以“二类罪行对应的罚款”和</w:t>
      </w:r>
      <w:r w:rsidRPr="007D7547">
        <w:rPr>
          <w:rFonts w:hint="eastAsia"/>
          <w:lang w:val="en-GB"/>
        </w:rPr>
        <w:t>(</w:t>
      </w:r>
      <w:r w:rsidRPr="007D7547">
        <w:rPr>
          <w:rFonts w:hint="eastAsia"/>
          <w:lang w:val="en-GB"/>
        </w:rPr>
        <w:t>或</w:t>
      </w:r>
      <w:r w:rsidRPr="007D7547">
        <w:rPr>
          <w:rFonts w:hint="eastAsia"/>
          <w:lang w:val="en-GB"/>
        </w:rPr>
        <w:t>)</w:t>
      </w:r>
      <w:r w:rsidRPr="007D7547">
        <w:rPr>
          <w:rFonts w:hint="eastAsia"/>
          <w:lang w:val="en-GB"/>
        </w:rPr>
        <w:t>“强制接受公民课程”。该法还规定了强迫他人掩藏面部这一更为严重的罪行，此罪行已写入《刑法》第</w:t>
      </w:r>
      <w:r w:rsidRPr="007D7547">
        <w:rPr>
          <w:lang w:val="en-GB"/>
        </w:rPr>
        <w:t>225-4-10</w:t>
      </w:r>
      <w:r w:rsidRPr="007D7547">
        <w:rPr>
          <w:rFonts w:hint="eastAsia"/>
          <w:lang w:val="en-GB"/>
        </w:rPr>
        <w:t>条，内容如下：“凡是以性别为由，以威胁、暴力、胁迫、滥用权威或滥用权力为手段强迫一名或多名他人掩藏面部的，应处以一年监禁和</w:t>
      </w:r>
      <w:r w:rsidRPr="007D7547">
        <w:rPr>
          <w:lang w:val="en-GB"/>
        </w:rPr>
        <w:t>30,000</w:t>
      </w:r>
      <w:r w:rsidRPr="007D7547">
        <w:rPr>
          <w:rFonts w:hint="eastAsia"/>
          <w:lang w:val="en-GB"/>
        </w:rPr>
        <w:t>欧元罚款。若此种行为系针对未成年人实施，则处罚应加重为两年监禁和</w:t>
      </w:r>
      <w:r w:rsidRPr="007D7547">
        <w:rPr>
          <w:lang w:val="en-GB"/>
        </w:rPr>
        <w:t>60,000</w:t>
      </w:r>
      <w:r w:rsidRPr="007D7547">
        <w:rPr>
          <w:rFonts w:hint="eastAsia"/>
          <w:lang w:val="en-GB"/>
        </w:rPr>
        <w:t>欧元罚款。”</w:t>
      </w:r>
    </w:p>
    <w:p w:rsidR="007D7547" w:rsidRPr="007D7547" w:rsidRDefault="007D7547" w:rsidP="007D7547">
      <w:pPr>
        <w:pStyle w:val="SingleTxtGC"/>
        <w:rPr>
          <w:lang w:val="en-GB"/>
        </w:rPr>
      </w:pPr>
      <w:r w:rsidRPr="007D7547">
        <w:rPr>
          <w:lang w:val="en-GB"/>
        </w:rPr>
        <w:t>2.4</w:t>
      </w:r>
      <w:r w:rsidRPr="007D7547">
        <w:rPr>
          <w:lang w:val="en-GB"/>
        </w:rPr>
        <w:tab/>
      </w:r>
      <w:r w:rsidRPr="007D7547">
        <w:rPr>
          <w:rFonts w:hint="eastAsia"/>
          <w:lang w:val="en-GB"/>
        </w:rPr>
        <w:t>提交人根据《公约》第十八条，对禁止在公共场所掩藏面部的规定提出异议，认为这剥夺了希望佩戴全脸面纱的人员佩戴全脸面纱的可能性。</w:t>
      </w:r>
    </w:p>
    <w:p w:rsidR="007D7547" w:rsidRPr="007D7547" w:rsidRDefault="007D7547" w:rsidP="007D7547">
      <w:pPr>
        <w:pStyle w:val="SingleTxtGC"/>
        <w:rPr>
          <w:lang w:val="en-GB"/>
        </w:rPr>
      </w:pPr>
      <w:r w:rsidRPr="007D7547">
        <w:rPr>
          <w:lang w:val="en-GB"/>
        </w:rPr>
        <w:t>2.5</w:t>
      </w:r>
      <w:r w:rsidRPr="007D7547">
        <w:rPr>
          <w:lang w:val="en-GB"/>
        </w:rPr>
        <w:tab/>
      </w:r>
      <w:r w:rsidRPr="007D7547">
        <w:rPr>
          <w:rFonts w:hint="eastAsia"/>
          <w:lang w:val="en-GB"/>
        </w:rPr>
        <w:t>关于提交人采取的步骤，提交人由于无法对社区法院法官的判决提出上诉，已向最高法院刑事庭申请撤销原判。提交人主张，自己被判罪名的法律依据是《第</w:t>
      </w:r>
      <w:r w:rsidRPr="007D7547">
        <w:rPr>
          <w:lang w:val="en-GB"/>
        </w:rPr>
        <w:t>2010-1192</w:t>
      </w:r>
      <w:r w:rsidRPr="007D7547">
        <w:rPr>
          <w:rFonts w:hint="eastAsia"/>
          <w:lang w:val="en-GB"/>
        </w:rPr>
        <w:t>号法》，该法禁止在公共场所穿戴掩藏面部的服饰，违反了《保护人权与基本自由公约》</w:t>
      </w:r>
      <w:r w:rsidRPr="007D7547">
        <w:rPr>
          <w:rFonts w:hint="eastAsia"/>
          <w:lang w:val="en-GB"/>
        </w:rPr>
        <w:t>(</w:t>
      </w:r>
      <w:r w:rsidRPr="007D7547">
        <w:rPr>
          <w:rFonts w:hint="eastAsia"/>
          <w:lang w:val="en-GB"/>
        </w:rPr>
        <w:t>《欧洲人权公约》</w:t>
      </w:r>
      <w:r w:rsidRPr="007D7547">
        <w:rPr>
          <w:rFonts w:hint="eastAsia"/>
          <w:lang w:val="en-GB"/>
        </w:rPr>
        <w:t>)</w:t>
      </w:r>
      <w:r w:rsidRPr="007D7547">
        <w:rPr>
          <w:rFonts w:hint="eastAsia"/>
          <w:lang w:val="en-GB"/>
        </w:rPr>
        <w:t>保护人们表示自身宗教的权利的第九条。在实质问题上，提交人声称该法本质上具有歧视性，请最高法院确定该法是否“通过歧视穆斯林宗教的一项少数派习俗而削弱多元化”。</w:t>
      </w:r>
    </w:p>
    <w:p w:rsidR="007D7547" w:rsidRPr="007D7547" w:rsidRDefault="007D7547" w:rsidP="007D7547">
      <w:pPr>
        <w:pStyle w:val="SingleTxtGC"/>
        <w:rPr>
          <w:lang w:val="en-GB"/>
        </w:rPr>
      </w:pPr>
      <w:r w:rsidRPr="007D7547">
        <w:rPr>
          <w:lang w:val="en-GB"/>
        </w:rPr>
        <w:t>2.6</w:t>
      </w:r>
      <w:r w:rsidRPr="007D7547">
        <w:rPr>
          <w:lang w:val="en-GB"/>
        </w:rPr>
        <w:tab/>
      </w:r>
      <w:r w:rsidRPr="007D7547">
        <w:rPr>
          <w:rFonts w:hint="eastAsia"/>
          <w:lang w:val="en-GB"/>
        </w:rPr>
        <w:t>最高法院刑事庭在</w:t>
      </w:r>
      <w:r w:rsidRPr="007D7547">
        <w:rPr>
          <w:lang w:val="en-GB"/>
        </w:rPr>
        <w:t>2013</w:t>
      </w:r>
      <w:r w:rsidRPr="007D7547">
        <w:rPr>
          <w:lang w:val="en-GB"/>
        </w:rPr>
        <w:t>年</w:t>
      </w:r>
      <w:r w:rsidRPr="007D7547">
        <w:rPr>
          <w:lang w:val="en-GB"/>
        </w:rPr>
        <w:t>4</w:t>
      </w:r>
      <w:r w:rsidRPr="007D7547">
        <w:rPr>
          <w:lang w:val="en-GB"/>
        </w:rPr>
        <w:t>月</w:t>
      </w:r>
      <w:r w:rsidRPr="007D7547">
        <w:rPr>
          <w:lang w:val="en-GB"/>
        </w:rPr>
        <w:t>3</w:t>
      </w:r>
      <w:r w:rsidRPr="007D7547">
        <w:rPr>
          <w:lang w:val="en-GB"/>
        </w:rPr>
        <w:t>日</w:t>
      </w:r>
      <w:r w:rsidRPr="007D7547">
        <w:rPr>
          <w:rFonts w:hint="eastAsia"/>
          <w:lang w:val="en-GB"/>
        </w:rPr>
        <w:t>的裁定中驳回了提交人的申请，理由是“所提出的违反《欧洲人权公约》这一诉因未向审判法官提出，内含追加的事实性证据，属于新诉因，故不可受理”。该裁定为终审裁定。提交人称已用尽所有国内补救办法。</w:t>
      </w:r>
    </w:p>
    <w:p w:rsidR="007D7547" w:rsidRPr="007D7547" w:rsidRDefault="007D7547" w:rsidP="007D7547">
      <w:pPr>
        <w:pStyle w:val="SingleTxtGC"/>
        <w:rPr>
          <w:lang w:val="en-GB"/>
        </w:rPr>
      </w:pPr>
      <w:r w:rsidRPr="007D7547">
        <w:rPr>
          <w:lang w:val="en-GB"/>
        </w:rPr>
        <w:t>2.7</w:t>
      </w:r>
      <w:r w:rsidRPr="007D7547">
        <w:rPr>
          <w:lang w:val="en-GB"/>
        </w:rPr>
        <w:tab/>
      </w:r>
      <w:r w:rsidRPr="007D7547">
        <w:rPr>
          <w:rFonts w:hint="eastAsia"/>
          <w:lang w:val="en-GB"/>
        </w:rPr>
        <w:t>提交人指出：自己在南特社区法院未得到律师的协助，审案过程极为匆促，只有一名通常甚至不是职业法官的法官判案，而且她无法对此程序提出上诉，若能上诉，她本可在上诉过程中提出涉及自身宗教自由和该法歧视性本质的论点。</w:t>
      </w:r>
    </w:p>
    <w:p w:rsidR="007D7547" w:rsidRPr="007D7547" w:rsidRDefault="007D7547" w:rsidP="007D7547">
      <w:pPr>
        <w:pStyle w:val="SingleTxtGC"/>
        <w:rPr>
          <w:lang w:val="en-GB"/>
        </w:rPr>
      </w:pPr>
      <w:r w:rsidRPr="007D7547">
        <w:rPr>
          <w:lang w:val="en-GB"/>
        </w:rPr>
        <w:t>2.8</w:t>
      </w:r>
      <w:r w:rsidRPr="007D7547">
        <w:rPr>
          <w:lang w:val="en-GB"/>
        </w:rPr>
        <w:tab/>
      </w:r>
      <w:r w:rsidRPr="007D7547">
        <w:rPr>
          <w:rFonts w:hint="eastAsia"/>
          <w:lang w:val="en-GB"/>
        </w:rPr>
        <w:t>提交人补充称，最高法院认定“所提出的违反《欧洲人权公约》这一诉因未向审判法官提出，内含追加的事实性证据，属于新诉因，故不可受理”，这是错误地适用了《民事诉讼法》第</w:t>
      </w:r>
      <w:r w:rsidRPr="007D7547">
        <w:rPr>
          <w:lang w:val="en-GB"/>
        </w:rPr>
        <w:t>619</w:t>
      </w:r>
      <w:r w:rsidRPr="007D7547">
        <w:rPr>
          <w:rFonts w:hint="eastAsia"/>
          <w:lang w:val="en-GB"/>
        </w:rPr>
        <w:t>条，该条规定：“最高法院不受理新的诉因。不过，除另有规定外，可新提出以下诉因：</w:t>
      </w:r>
      <w:r w:rsidRPr="007D7547">
        <w:rPr>
          <w:lang w:val="en-GB"/>
        </w:rPr>
        <w:t xml:space="preserve">(1) </w:t>
      </w:r>
      <w:r w:rsidRPr="007D7547">
        <w:rPr>
          <w:rFonts w:hint="eastAsia"/>
          <w:lang w:val="en-GB"/>
        </w:rPr>
        <w:t>纯法律诉因；以及</w:t>
      </w:r>
      <w:r w:rsidRPr="007D7547">
        <w:rPr>
          <w:lang w:val="en-GB"/>
        </w:rPr>
        <w:t>(2)</w:t>
      </w:r>
      <w:r w:rsidR="00FD2F07">
        <w:rPr>
          <w:lang w:val="en-GB"/>
        </w:rPr>
        <w:t xml:space="preserve"> </w:t>
      </w:r>
      <w:r w:rsidRPr="007D7547">
        <w:rPr>
          <w:rFonts w:hint="eastAsia"/>
          <w:lang w:val="en-GB"/>
        </w:rPr>
        <w:t>基于所质疑的判决提出的诉因。”</w:t>
      </w:r>
    </w:p>
    <w:p w:rsidR="007D7547" w:rsidRPr="007D7547" w:rsidRDefault="007D7547" w:rsidP="007D7547">
      <w:pPr>
        <w:pStyle w:val="SingleTxtGC"/>
        <w:rPr>
          <w:lang w:val="en-GB"/>
        </w:rPr>
      </w:pPr>
      <w:r w:rsidRPr="007D7547">
        <w:rPr>
          <w:lang w:val="en-GB"/>
        </w:rPr>
        <w:t>2.9</w:t>
      </w:r>
      <w:r w:rsidRPr="007D7547">
        <w:rPr>
          <w:lang w:val="en-GB"/>
        </w:rPr>
        <w:tab/>
      </w:r>
      <w:r w:rsidRPr="007D7547">
        <w:rPr>
          <w:rFonts w:hint="eastAsia"/>
          <w:lang w:val="en-GB"/>
        </w:rPr>
        <w:t>提交人称，尽管她的论点提出了新的要素，但其诉因</w:t>
      </w:r>
      <w:r w:rsidRPr="007D7547">
        <w:rPr>
          <w:rFonts w:hint="eastAsia"/>
          <w:lang w:val="en-GB"/>
        </w:rPr>
        <w:t>(</w:t>
      </w:r>
      <w:r w:rsidRPr="007D7547">
        <w:rPr>
          <w:rFonts w:hint="eastAsia"/>
          <w:lang w:val="en-GB"/>
        </w:rPr>
        <w:t>即法律不相容问题</w:t>
      </w:r>
      <w:r w:rsidRPr="007D7547">
        <w:rPr>
          <w:rFonts w:hint="eastAsia"/>
          <w:lang w:val="en-GB"/>
        </w:rPr>
        <w:t>)</w:t>
      </w:r>
      <w:r w:rsidRPr="007D7547">
        <w:rPr>
          <w:rFonts w:hint="eastAsia"/>
          <w:lang w:val="en-GB"/>
        </w:rPr>
        <w:t>属于“纯法律诉因”，因此她针对全脸面纱禁令向最高法院提出的异议完全是可以受理的。提交人援引了事后合宪监督作为例证，自</w:t>
      </w:r>
      <w:r w:rsidRPr="007D7547">
        <w:rPr>
          <w:lang w:val="en-GB"/>
        </w:rPr>
        <w:t>2010</w:t>
      </w:r>
      <w:r w:rsidRPr="007D7547">
        <w:rPr>
          <w:rFonts w:hint="eastAsia"/>
          <w:lang w:val="en-GB"/>
        </w:rPr>
        <w:t>年起，人们首次可以通过申请上诉司法复核来进行这种监督。提交人补充称，对某部法律是否合宪进行客观评估，本质上属于抽象的“纯法律诉因”，完全无需虑及特定案件的情节。提交人认为，以相同的客观程度分析某项国内法律是否符合某项条约义务，也是一样的道理。</w:t>
      </w:r>
    </w:p>
    <w:p w:rsidR="007D7547" w:rsidRPr="007D7547" w:rsidRDefault="007D7547" w:rsidP="00E143B6">
      <w:pPr>
        <w:pStyle w:val="SingleTxtGC"/>
        <w:tabs>
          <w:tab w:val="clear" w:pos="1565"/>
          <w:tab w:val="left" w:pos="1701"/>
        </w:tabs>
        <w:rPr>
          <w:lang w:val="en-GB"/>
        </w:rPr>
      </w:pPr>
      <w:r w:rsidRPr="007D7547">
        <w:rPr>
          <w:lang w:val="en-GB"/>
        </w:rPr>
        <w:t>2.10</w:t>
      </w:r>
      <w:r w:rsidRPr="007D7547">
        <w:rPr>
          <w:lang w:val="en-GB"/>
        </w:rPr>
        <w:tab/>
      </w:r>
      <w:r w:rsidRPr="007D7547">
        <w:rPr>
          <w:rFonts w:hint="eastAsia"/>
          <w:lang w:val="en-GB"/>
        </w:rPr>
        <w:t>因此，提交人请委员会认定，不可受理问题不可在本案中被用作不利于她的论据，因为她向最高法院提出的诉因不构成追加的事实和法律证据，而是“纯法律诉因”。</w:t>
      </w:r>
    </w:p>
    <w:p w:rsidR="007D7547" w:rsidRPr="007D7547" w:rsidRDefault="007D7547" w:rsidP="00E143B6">
      <w:pPr>
        <w:pStyle w:val="SingleTxtGC"/>
        <w:tabs>
          <w:tab w:val="clear" w:pos="1565"/>
          <w:tab w:val="left" w:pos="1701"/>
        </w:tabs>
        <w:rPr>
          <w:lang w:val="en-GB"/>
        </w:rPr>
      </w:pPr>
      <w:r w:rsidRPr="007D7547">
        <w:rPr>
          <w:lang w:val="en-GB"/>
        </w:rPr>
        <w:t>2.11</w:t>
      </w:r>
      <w:r w:rsidRPr="007D7547">
        <w:rPr>
          <w:lang w:val="en-GB"/>
        </w:rPr>
        <w:tab/>
      </w:r>
      <w:r w:rsidRPr="007D7547">
        <w:rPr>
          <w:rFonts w:hint="eastAsia"/>
          <w:lang w:val="en-GB"/>
        </w:rPr>
        <w:t>提交人于</w:t>
      </w:r>
      <w:r w:rsidRPr="007D7547">
        <w:rPr>
          <w:rFonts w:hint="eastAsia"/>
          <w:lang w:val="en-GB"/>
        </w:rPr>
        <w:t>2013</w:t>
      </w:r>
      <w:r w:rsidRPr="007D7547">
        <w:rPr>
          <w:rFonts w:hint="eastAsia"/>
          <w:lang w:val="en-GB"/>
        </w:rPr>
        <w:t>年</w:t>
      </w:r>
      <w:r w:rsidRPr="007D7547">
        <w:rPr>
          <w:rFonts w:hint="eastAsia"/>
          <w:lang w:val="en-GB"/>
        </w:rPr>
        <w:t>6</w:t>
      </w:r>
      <w:r w:rsidRPr="007D7547">
        <w:rPr>
          <w:rFonts w:hint="eastAsia"/>
          <w:lang w:val="en-GB"/>
        </w:rPr>
        <w:t>月</w:t>
      </w:r>
      <w:r w:rsidRPr="007D7547">
        <w:rPr>
          <w:rFonts w:hint="eastAsia"/>
          <w:lang w:val="en-GB"/>
        </w:rPr>
        <w:t>24</w:t>
      </w:r>
      <w:r w:rsidRPr="007D7547">
        <w:rPr>
          <w:rFonts w:hint="eastAsia"/>
          <w:lang w:val="en-GB"/>
        </w:rPr>
        <w:t>日向欧洲人权法院提交申请，请该法院认定存在违反《欧洲人权公约》第</w:t>
      </w:r>
      <w:r w:rsidRPr="007D7547">
        <w:rPr>
          <w:rFonts w:hint="eastAsia"/>
          <w:lang w:val="en-GB"/>
        </w:rPr>
        <w:t>6</w:t>
      </w:r>
      <w:r w:rsidRPr="007D7547">
        <w:rPr>
          <w:rFonts w:hint="eastAsia"/>
          <w:lang w:val="en-GB"/>
        </w:rPr>
        <w:t>条第</w:t>
      </w:r>
      <w:r w:rsidRPr="007D7547">
        <w:rPr>
          <w:rFonts w:hint="eastAsia"/>
          <w:lang w:val="en-GB"/>
        </w:rPr>
        <w:t>1</w:t>
      </w:r>
      <w:r w:rsidRPr="007D7547">
        <w:rPr>
          <w:rFonts w:hint="eastAsia"/>
          <w:lang w:val="en-GB"/>
        </w:rPr>
        <w:t>款和第</w:t>
      </w:r>
      <w:r w:rsidRPr="007D7547">
        <w:rPr>
          <w:rFonts w:hint="eastAsia"/>
          <w:lang w:val="en-GB"/>
        </w:rPr>
        <w:t>9</w:t>
      </w:r>
      <w:r w:rsidRPr="007D7547">
        <w:rPr>
          <w:rFonts w:hint="eastAsia"/>
          <w:lang w:val="en-GB"/>
        </w:rPr>
        <w:t>条的情况。该法院于</w:t>
      </w:r>
      <w:r w:rsidRPr="007D7547">
        <w:rPr>
          <w:rFonts w:hint="eastAsia"/>
          <w:lang w:val="en-GB"/>
        </w:rPr>
        <w:t>2014</w:t>
      </w:r>
      <w:r w:rsidRPr="007D7547">
        <w:rPr>
          <w:rFonts w:hint="eastAsia"/>
          <w:lang w:val="en-GB"/>
        </w:rPr>
        <w:t>年</w:t>
      </w:r>
      <w:r w:rsidRPr="007D7547">
        <w:rPr>
          <w:rFonts w:hint="eastAsia"/>
          <w:lang w:val="en-GB"/>
        </w:rPr>
        <w:t>8</w:t>
      </w:r>
      <w:r w:rsidRPr="007D7547">
        <w:rPr>
          <w:rFonts w:hint="eastAsia"/>
          <w:lang w:val="en-GB"/>
        </w:rPr>
        <w:t>月</w:t>
      </w:r>
      <w:r w:rsidRPr="007D7547">
        <w:rPr>
          <w:rFonts w:hint="eastAsia"/>
          <w:lang w:val="en-GB"/>
        </w:rPr>
        <w:t>21</w:t>
      </w:r>
      <w:r w:rsidRPr="007D7547">
        <w:rPr>
          <w:rFonts w:hint="eastAsia"/>
          <w:lang w:val="en-GB"/>
        </w:rPr>
        <w:t>日至</w:t>
      </w:r>
      <w:r w:rsidRPr="007D7547">
        <w:rPr>
          <w:rFonts w:hint="eastAsia"/>
          <w:lang w:val="en-GB"/>
        </w:rPr>
        <w:t>9</w:t>
      </w:r>
      <w:r w:rsidRPr="007D7547">
        <w:rPr>
          <w:rFonts w:hint="eastAsia"/>
          <w:lang w:val="en-GB"/>
        </w:rPr>
        <w:t>月</w:t>
      </w:r>
      <w:r w:rsidRPr="007D7547">
        <w:rPr>
          <w:rFonts w:hint="eastAsia"/>
          <w:lang w:val="en-GB"/>
        </w:rPr>
        <w:t>4</w:t>
      </w:r>
      <w:r w:rsidRPr="007D7547">
        <w:rPr>
          <w:rFonts w:hint="eastAsia"/>
          <w:lang w:val="en-GB"/>
        </w:rPr>
        <w:t>日由一名法官审理此案后宣布申请不可受理，理由是“不符合《公约》第</w:t>
      </w:r>
      <w:r w:rsidRPr="007D7547">
        <w:rPr>
          <w:lang w:val="en-GB"/>
        </w:rPr>
        <w:t>34</w:t>
      </w:r>
      <w:r w:rsidRPr="007D7547">
        <w:rPr>
          <w:rFonts w:hint="eastAsia"/>
          <w:lang w:val="en-GB"/>
        </w:rPr>
        <w:t>和第</w:t>
      </w:r>
      <w:r w:rsidRPr="007D7547">
        <w:rPr>
          <w:rFonts w:hint="eastAsia"/>
          <w:lang w:val="en-GB"/>
        </w:rPr>
        <w:t>35</w:t>
      </w:r>
      <w:r w:rsidRPr="007D7547">
        <w:rPr>
          <w:rFonts w:hint="eastAsia"/>
          <w:lang w:val="en-GB"/>
        </w:rPr>
        <w:t>条规定的受理条件”。</w:t>
      </w:r>
    </w:p>
    <w:p w:rsidR="007D7547" w:rsidRPr="007D7547" w:rsidRDefault="00452B17" w:rsidP="00452B17">
      <w:pPr>
        <w:pStyle w:val="H23GC"/>
        <w:rPr>
          <w:lang w:val="en-GB"/>
        </w:rPr>
      </w:pPr>
      <w:r w:rsidRPr="007D7547">
        <w:rPr>
          <w:lang w:val="en-GB"/>
        </w:rPr>
        <w:tab/>
      </w:r>
      <w:r w:rsidRPr="007D7547">
        <w:rPr>
          <w:lang w:val="en-GB"/>
        </w:rPr>
        <w:tab/>
      </w:r>
      <w:r w:rsidRPr="007D7547">
        <w:rPr>
          <w:rFonts w:hint="eastAsia"/>
          <w:lang w:val="en-GB"/>
        </w:rPr>
        <w:t>申</w:t>
      </w:r>
      <w:r w:rsidR="007D7547" w:rsidRPr="007D7547">
        <w:rPr>
          <w:rFonts w:hint="eastAsia"/>
          <w:lang w:val="en-GB"/>
        </w:rPr>
        <w:t>诉</w:t>
      </w:r>
    </w:p>
    <w:p w:rsidR="007D7547" w:rsidRPr="007D7547" w:rsidRDefault="007D7547" w:rsidP="007D7547">
      <w:pPr>
        <w:pStyle w:val="SingleTxtGC"/>
        <w:rPr>
          <w:lang w:val="en-GB"/>
        </w:rPr>
      </w:pPr>
      <w:r w:rsidRPr="007D7547">
        <w:rPr>
          <w:lang w:val="en-GB"/>
        </w:rPr>
        <w:t xml:space="preserve">3.1 </w:t>
      </w:r>
      <w:r w:rsidRPr="007D7547">
        <w:rPr>
          <w:lang w:val="en-GB"/>
        </w:rPr>
        <w:tab/>
      </w:r>
      <w:r w:rsidRPr="007D7547">
        <w:rPr>
          <w:rFonts w:hint="eastAsia"/>
          <w:lang w:val="en-GB"/>
        </w:rPr>
        <w:t>提交人认为，禁止在公共场所掩藏面部的规定和自己因戴尼卡布而获罪这一事实侵犯了她根据《公约》第十八和第二十六条享有的权利。</w:t>
      </w:r>
    </w:p>
    <w:p w:rsidR="007D7547" w:rsidRPr="007D7547" w:rsidRDefault="007D7547" w:rsidP="007D7547">
      <w:pPr>
        <w:pStyle w:val="SingleTxtGC"/>
        <w:rPr>
          <w:lang w:val="en-GB"/>
        </w:rPr>
      </w:pPr>
      <w:r w:rsidRPr="007D7547">
        <w:rPr>
          <w:lang w:val="en-GB"/>
        </w:rPr>
        <w:t>3.2</w:t>
      </w:r>
      <w:r w:rsidRPr="007D7547">
        <w:rPr>
          <w:lang w:val="en-GB"/>
        </w:rPr>
        <w:tab/>
      </w:r>
      <w:r w:rsidRPr="007D7547">
        <w:rPr>
          <w:rFonts w:hint="eastAsia"/>
          <w:lang w:val="en-GB"/>
        </w:rPr>
        <w:t>就第十八条而言，戴尼卡布或穿布卡袍是部分穆斯林信徒的习俗，是出于宗教信仰的行为。因此，这是对宗教礼仪或做法的奉行，是《公约》第十八条所保障的表示自身宗教的自由，哪怕戴尼卡布或穿布卡袍并不是所有奉行穆斯林礼仪者共同遵守的宗教要求。提交人提到委员会关于思想、良心和宗教自由权的第</w:t>
      </w:r>
      <w:r w:rsidRPr="007D7547">
        <w:rPr>
          <w:lang w:val="en-GB"/>
        </w:rPr>
        <w:t>22</w:t>
      </w:r>
      <w:r w:rsidRPr="007D7547">
        <w:rPr>
          <w:rFonts w:hint="eastAsia"/>
          <w:lang w:val="en-GB"/>
        </w:rPr>
        <w:t>号一般性意见</w:t>
      </w:r>
      <w:r w:rsidRPr="007D7547">
        <w:rPr>
          <w:rFonts w:hint="eastAsia"/>
          <w:lang w:val="en-GB"/>
        </w:rPr>
        <w:t>(</w:t>
      </w:r>
      <w:r w:rsidRPr="007D7547">
        <w:rPr>
          <w:lang w:val="en-GB"/>
        </w:rPr>
        <w:t>1993</w:t>
      </w:r>
      <w:r w:rsidRPr="007D7547">
        <w:rPr>
          <w:rFonts w:hint="eastAsia"/>
          <w:lang w:val="en-GB"/>
        </w:rPr>
        <w:t>年</w:t>
      </w:r>
      <w:r w:rsidRPr="007D7547">
        <w:rPr>
          <w:rFonts w:hint="eastAsia"/>
          <w:lang w:val="en-GB"/>
        </w:rPr>
        <w:t>)</w:t>
      </w:r>
      <w:r w:rsidRPr="007D7547">
        <w:rPr>
          <w:rFonts w:hint="eastAsia"/>
          <w:lang w:val="en-GB"/>
        </w:rPr>
        <w:t>，这项意见指出，对宗教或信仰的信守和崇奉可能不仅包括典礼，也包括遵守饮食规定和穿戴独特服饰或头巾等习俗。戴尼卡布或穿布卡袍是部分穆斯林信徒的习俗，是出于宗教信仰的行为，确实属于对宗教礼仪或做法的奉行，而《公约》第十八条保障表示自身宗教的自由。</w:t>
      </w:r>
    </w:p>
    <w:p w:rsidR="007D7547" w:rsidRPr="007D7547" w:rsidRDefault="007D7547" w:rsidP="007D7547">
      <w:pPr>
        <w:pStyle w:val="SingleTxtGC"/>
        <w:rPr>
          <w:lang w:val="en-GB"/>
        </w:rPr>
      </w:pPr>
      <w:r w:rsidRPr="007D7547">
        <w:rPr>
          <w:lang w:val="en-GB"/>
        </w:rPr>
        <w:t>3.3</w:t>
      </w:r>
      <w:r w:rsidRPr="007D7547">
        <w:rPr>
          <w:lang w:val="en-GB"/>
        </w:rPr>
        <w:tab/>
      </w:r>
      <w:r w:rsidRPr="007D7547">
        <w:rPr>
          <w:rFonts w:hint="eastAsia"/>
          <w:lang w:val="en-GB"/>
        </w:rPr>
        <w:t>提交人称，法国正在干涉佩戴全脸面纱的穆斯林妇女这一少数群体</w:t>
      </w:r>
      <w:r w:rsidRPr="007D7547">
        <w:rPr>
          <w:lang w:val="en-GB"/>
        </w:rPr>
        <w:t>(</w:t>
      </w:r>
      <w:r w:rsidRPr="007D7547">
        <w:rPr>
          <w:rFonts w:hint="eastAsia"/>
          <w:lang w:val="en-GB"/>
        </w:rPr>
        <w:t>研究此事的议会委员会称，据报所涉妇女不足</w:t>
      </w:r>
      <w:r w:rsidRPr="007D7547">
        <w:rPr>
          <w:lang w:val="en-GB"/>
        </w:rPr>
        <w:t>2,000</w:t>
      </w:r>
      <w:r w:rsidRPr="007D7547">
        <w:rPr>
          <w:rFonts w:hint="eastAsia"/>
          <w:lang w:val="en-GB"/>
        </w:rPr>
        <w:t>人</w:t>
      </w:r>
      <w:r w:rsidRPr="007D7547">
        <w:rPr>
          <w:rFonts w:hint="eastAsia"/>
          <w:lang w:val="en-GB"/>
        </w:rPr>
        <w:t>)</w:t>
      </w:r>
      <w:r w:rsidRPr="007D7547">
        <w:rPr>
          <w:rFonts w:hint="eastAsia"/>
          <w:lang w:val="en-GB"/>
        </w:rPr>
        <w:t>的宗教自由，这一点无可争议。在这方面，提交人回顾法国宪法委员会在其</w:t>
      </w:r>
      <w:r w:rsidRPr="007D7547">
        <w:rPr>
          <w:lang w:val="en-GB"/>
        </w:rPr>
        <w:t>2010</w:t>
      </w:r>
      <w:r w:rsidRPr="007D7547">
        <w:rPr>
          <w:rFonts w:hint="eastAsia"/>
          <w:lang w:val="en-GB"/>
        </w:rPr>
        <w:t>年</w:t>
      </w:r>
      <w:r w:rsidRPr="007D7547">
        <w:rPr>
          <w:lang w:val="en-GB"/>
        </w:rPr>
        <w:t>10</w:t>
      </w:r>
      <w:r w:rsidRPr="007D7547">
        <w:rPr>
          <w:rFonts w:hint="eastAsia"/>
          <w:lang w:val="en-GB"/>
        </w:rPr>
        <w:t>月</w:t>
      </w:r>
      <w:r w:rsidRPr="007D7547">
        <w:rPr>
          <w:lang w:val="en-GB"/>
        </w:rPr>
        <w:t>7</w:t>
      </w:r>
      <w:r w:rsidRPr="007D7547">
        <w:rPr>
          <w:rFonts w:hint="eastAsia"/>
          <w:lang w:val="en-GB"/>
        </w:rPr>
        <w:t>日决定中提出的涉及礼拜场所的保留</w:t>
      </w:r>
      <w:r w:rsidR="002007EF" w:rsidRPr="002007EF">
        <w:rPr>
          <w:color w:val="0000FF"/>
          <w:vertAlign w:val="superscript"/>
          <w:lang w:val="en-GB"/>
        </w:rPr>
        <w:footnoteReference w:id="8"/>
      </w:r>
      <w:r w:rsidRPr="007D7547">
        <w:rPr>
          <w:rFonts w:hint="eastAsia"/>
          <w:lang w:val="en-GB"/>
        </w:rPr>
        <w:t>：“禁止在公共场所掩藏面部的规定不可能在不过度损害</w:t>
      </w:r>
      <w:r w:rsidRPr="007D7547">
        <w:rPr>
          <w:rFonts w:hint="eastAsia"/>
          <w:lang w:val="en-GB"/>
        </w:rPr>
        <w:t>1789</w:t>
      </w:r>
      <w:r w:rsidRPr="007D7547">
        <w:rPr>
          <w:rFonts w:hint="eastAsia"/>
          <w:lang w:val="en-GB"/>
        </w:rPr>
        <w:t>年《宣言》第</w:t>
      </w:r>
      <w:r w:rsidRPr="007D7547">
        <w:rPr>
          <w:rFonts w:hint="eastAsia"/>
          <w:lang w:val="en-GB"/>
        </w:rPr>
        <w:t>10</w:t>
      </w:r>
      <w:r w:rsidRPr="007D7547">
        <w:rPr>
          <w:rFonts w:hint="eastAsia"/>
          <w:lang w:val="en-GB"/>
        </w:rPr>
        <w:t>条的情况下对在向公众开放的礼拜场所行使宗教自由施加限制。”提交人认为，应承认这项保留从反面证明立法机关确实限制了人们在其他公共场所行使宗教自由。</w:t>
      </w:r>
    </w:p>
    <w:p w:rsidR="007D7547" w:rsidRPr="007D7547" w:rsidRDefault="007D7547" w:rsidP="007D7547">
      <w:pPr>
        <w:pStyle w:val="SingleTxtGC"/>
        <w:rPr>
          <w:lang w:val="en-GB"/>
        </w:rPr>
      </w:pPr>
      <w:r w:rsidRPr="007D7547">
        <w:rPr>
          <w:lang w:val="en-GB"/>
        </w:rPr>
        <w:t>3.4</w:t>
      </w:r>
      <w:r w:rsidRPr="007D7547">
        <w:rPr>
          <w:lang w:val="en-GB"/>
        </w:rPr>
        <w:tab/>
      </w:r>
      <w:r w:rsidRPr="007D7547">
        <w:rPr>
          <w:rFonts w:hint="eastAsia"/>
          <w:lang w:val="en-GB"/>
        </w:rPr>
        <w:t>提交人提到委员会的判例，特别是</w:t>
      </w:r>
      <w:r w:rsidRPr="008E5882">
        <w:rPr>
          <w:rFonts w:ascii="Time New Roman" w:eastAsia="楷体" w:hAnsi="Time New Roman"/>
          <w:iCs/>
          <w:lang w:val="en-GB"/>
        </w:rPr>
        <w:t>R.</w:t>
      </w:r>
      <w:r w:rsidRPr="008E5882">
        <w:rPr>
          <w:rFonts w:ascii="Time New Roman" w:eastAsia="楷体" w:hAnsi="Time New Roman"/>
          <w:lang w:val="en-GB"/>
        </w:rPr>
        <w:t xml:space="preserve"> Singh</w:t>
      </w:r>
      <w:r w:rsidRPr="008E5882">
        <w:rPr>
          <w:rFonts w:ascii="Time New Roman" w:eastAsia="楷体" w:hAnsi="Time New Roman" w:hint="eastAsia"/>
          <w:lang w:val="en-GB"/>
        </w:rPr>
        <w:t>诉法国</w:t>
      </w:r>
      <w:r w:rsidRPr="007D7547">
        <w:rPr>
          <w:rFonts w:hint="eastAsia"/>
          <w:lang w:val="en-GB"/>
        </w:rPr>
        <w:t>案的决定</w:t>
      </w:r>
      <w:r w:rsidR="002007EF" w:rsidRPr="002007EF">
        <w:rPr>
          <w:color w:val="0000FF"/>
          <w:vertAlign w:val="superscript"/>
          <w:lang w:val="en-GB"/>
        </w:rPr>
        <w:footnoteReference w:id="9"/>
      </w:r>
      <w:r w:rsidRPr="007D7547">
        <w:rPr>
          <w:rFonts w:hint="eastAsia"/>
          <w:lang w:val="en-GB"/>
        </w:rPr>
        <w:t>，委员会在其中认定，要求当事人提供免冠照片以办理居留证延期，属于一次性干涉情况，违反了《公约》第十八条。提交人认为，禁止在公共场所佩戴全脸面纱是一种更为严重的对她宗教自由的干涉，因为这迫使她始终在不戴全脸面纱的情况下露面。</w:t>
      </w:r>
    </w:p>
    <w:p w:rsidR="007D7547" w:rsidRPr="007D7547" w:rsidRDefault="007D7547" w:rsidP="007D7547">
      <w:pPr>
        <w:pStyle w:val="SingleTxtGC"/>
        <w:rPr>
          <w:lang w:val="en-GB"/>
        </w:rPr>
      </w:pPr>
      <w:r w:rsidRPr="007D7547">
        <w:rPr>
          <w:lang w:val="en-GB"/>
        </w:rPr>
        <w:t>3.5</w:t>
      </w:r>
      <w:r w:rsidRPr="007D7547">
        <w:rPr>
          <w:lang w:val="en-GB"/>
        </w:rPr>
        <w:tab/>
      </w:r>
      <w:r w:rsidRPr="007D7547">
        <w:rPr>
          <w:rFonts w:hint="eastAsia"/>
          <w:lang w:val="en-GB"/>
        </w:rPr>
        <w:t>提交人补充称，缔约国没有提出诸如《公约》第十八条第</w:t>
      </w:r>
      <w:r w:rsidRPr="007D7547">
        <w:rPr>
          <w:lang w:val="en-GB"/>
        </w:rPr>
        <w:t>3</w:t>
      </w:r>
      <w:r w:rsidRPr="007D7547">
        <w:rPr>
          <w:rFonts w:hint="eastAsia"/>
          <w:lang w:val="en-GB"/>
        </w:rPr>
        <w:t>款所述的理由等可允许的理由来解释限制第十八条权利的合理性。这些限制虽然是法律所规定的，但却既非必要，也与所要实现的目标不相称。首先，立法机关并未明确界定所要实现的目标。《第</w:t>
      </w:r>
      <w:r w:rsidRPr="007D7547">
        <w:rPr>
          <w:lang w:val="en-GB"/>
        </w:rPr>
        <w:t>2010-1192</w:t>
      </w:r>
      <w:r w:rsidRPr="007D7547">
        <w:rPr>
          <w:rFonts w:hint="eastAsia"/>
          <w:lang w:val="en-GB"/>
        </w:rPr>
        <w:t>号法》不含任何有关宗旨的陈述，也没有提供任何信息说明其法律依据；该法甚至没有提到</w:t>
      </w:r>
      <w:r w:rsidRPr="007D7547">
        <w:rPr>
          <w:lang w:val="en-GB"/>
        </w:rPr>
        <w:t>2010</w:t>
      </w:r>
      <w:r w:rsidRPr="007D7547">
        <w:rPr>
          <w:rFonts w:hint="eastAsia"/>
          <w:lang w:val="en-GB"/>
        </w:rPr>
        <w:t>年</w:t>
      </w:r>
      <w:r w:rsidRPr="007D7547">
        <w:rPr>
          <w:lang w:val="en-GB"/>
        </w:rPr>
        <w:t>5</w:t>
      </w:r>
      <w:r w:rsidRPr="007D7547">
        <w:rPr>
          <w:rFonts w:hint="eastAsia"/>
          <w:lang w:val="en-GB"/>
        </w:rPr>
        <w:t>月</w:t>
      </w:r>
      <w:r w:rsidRPr="007D7547">
        <w:rPr>
          <w:lang w:val="en-GB"/>
        </w:rPr>
        <w:t>11</w:t>
      </w:r>
      <w:r w:rsidRPr="007D7547">
        <w:rPr>
          <w:rFonts w:hint="eastAsia"/>
          <w:lang w:val="en-GB"/>
        </w:rPr>
        <w:t>日国民议会表示佩戴全脸面纱有悖法兰西共和国原则这一意见的决议。</w:t>
      </w:r>
      <w:r w:rsidR="002007EF" w:rsidRPr="002007EF">
        <w:rPr>
          <w:color w:val="0000FF"/>
          <w:vertAlign w:val="superscript"/>
          <w:lang w:val="en-GB"/>
        </w:rPr>
        <w:footnoteReference w:id="10"/>
      </w:r>
      <w:r w:rsidRPr="007D7547">
        <w:rPr>
          <w:lang w:val="en-GB"/>
        </w:rPr>
        <w:t xml:space="preserve"> </w:t>
      </w:r>
      <w:r w:rsidRPr="007D7547">
        <w:rPr>
          <w:rFonts w:hint="eastAsia"/>
          <w:lang w:val="en-GB"/>
        </w:rPr>
        <w:t>对该法的起源稍作审视即不难发现，其合理性完全依赖于一种原则性禁止佩戴全脸面纱的政治意愿</w:t>
      </w:r>
      <w:r w:rsidR="002007EF" w:rsidRPr="002007EF">
        <w:rPr>
          <w:color w:val="0000FF"/>
          <w:vertAlign w:val="superscript"/>
          <w:lang w:val="en-GB"/>
        </w:rPr>
        <w:footnoteReference w:id="11"/>
      </w:r>
      <w:r w:rsidRPr="007D7547">
        <w:rPr>
          <w:rFonts w:hint="eastAsia"/>
          <w:lang w:val="en-GB"/>
        </w:rPr>
        <w:t>；因此该法并不具备《公约》第十八条第</w:t>
      </w:r>
      <w:r w:rsidRPr="007D7547">
        <w:rPr>
          <w:rFonts w:hint="eastAsia"/>
          <w:lang w:val="en-GB"/>
        </w:rPr>
        <w:t>3</w:t>
      </w:r>
      <w:r w:rsidRPr="007D7547">
        <w:rPr>
          <w:rFonts w:hint="eastAsia"/>
          <w:lang w:val="en-GB"/>
        </w:rPr>
        <w:t>款所指意义上的正当目标。既然该法没有正当目标，也就很难论证该法具有必要性。</w:t>
      </w:r>
    </w:p>
    <w:p w:rsidR="007D7547" w:rsidRPr="007D7547" w:rsidRDefault="007D7547" w:rsidP="007D7547">
      <w:pPr>
        <w:pStyle w:val="SingleTxtGC"/>
        <w:rPr>
          <w:lang w:val="en-GB"/>
        </w:rPr>
      </w:pPr>
      <w:r w:rsidRPr="007D7547">
        <w:rPr>
          <w:lang w:val="en-GB"/>
        </w:rPr>
        <w:t>3.6</w:t>
      </w:r>
      <w:r w:rsidRPr="007D7547">
        <w:rPr>
          <w:lang w:val="en-GB"/>
        </w:rPr>
        <w:tab/>
      </w:r>
      <w:r w:rsidRPr="007D7547">
        <w:rPr>
          <w:rFonts w:hint="eastAsia"/>
          <w:lang w:val="en-GB"/>
        </w:rPr>
        <w:t>即便假定该法确立了正当目标，这种限制也不可能被视为具有必要性和相称性。缔约国曾提出主张</w:t>
      </w:r>
      <w:r w:rsidR="002007EF" w:rsidRPr="002007EF">
        <w:rPr>
          <w:color w:val="0000FF"/>
          <w:vertAlign w:val="superscript"/>
          <w:lang w:val="en-GB"/>
        </w:rPr>
        <w:footnoteReference w:id="12"/>
      </w:r>
      <w:r w:rsidR="00FD2F07">
        <w:rPr>
          <w:rFonts w:hint="eastAsia"/>
          <w:lang w:val="en-GB"/>
        </w:rPr>
        <w:t xml:space="preserve"> </w:t>
      </w:r>
      <w:r w:rsidRPr="007D7547">
        <w:rPr>
          <w:rFonts w:hint="eastAsia"/>
          <w:lang w:val="en-GB"/>
        </w:rPr>
        <w:t>称，《第</w:t>
      </w:r>
      <w:r w:rsidRPr="007D7547">
        <w:rPr>
          <w:lang w:val="en-GB"/>
        </w:rPr>
        <w:t>2010-1192</w:t>
      </w:r>
      <w:r w:rsidRPr="007D7547">
        <w:rPr>
          <w:rFonts w:hint="eastAsia"/>
          <w:lang w:val="en-GB"/>
        </w:rPr>
        <w:t>号法》旨在实现两项主要目标：男女平等和维护公共秩序。但是，这种目标并不能成为侵犯表示自身宗教的权利的合理理由。</w:t>
      </w:r>
    </w:p>
    <w:p w:rsidR="007D7547" w:rsidRPr="007D7547" w:rsidRDefault="007D7547" w:rsidP="007D7547">
      <w:pPr>
        <w:pStyle w:val="SingleTxtGC"/>
        <w:rPr>
          <w:lang w:val="en-GB"/>
        </w:rPr>
      </w:pPr>
      <w:r w:rsidRPr="007D7547">
        <w:rPr>
          <w:lang w:val="en-GB"/>
        </w:rPr>
        <w:t>3.7</w:t>
      </w:r>
      <w:r w:rsidRPr="007D7547">
        <w:rPr>
          <w:lang w:val="en-GB"/>
        </w:rPr>
        <w:tab/>
      </w:r>
      <w:r w:rsidRPr="007D7547">
        <w:rPr>
          <w:rFonts w:hint="eastAsia"/>
          <w:lang w:val="en-GB"/>
        </w:rPr>
        <w:t>首先，男女平等这一目标本身并不能与第十八条第</w:t>
      </w:r>
      <w:r w:rsidRPr="007D7547">
        <w:rPr>
          <w:rFonts w:hint="eastAsia"/>
          <w:lang w:val="en-GB"/>
        </w:rPr>
        <w:t>3</w:t>
      </w:r>
      <w:r w:rsidRPr="007D7547">
        <w:rPr>
          <w:rFonts w:hint="eastAsia"/>
          <w:lang w:val="en-GB"/>
        </w:rPr>
        <w:t>款所载的任何目的建立关联。委员会已在第</w:t>
      </w:r>
      <w:r w:rsidRPr="007D7547">
        <w:rPr>
          <w:rFonts w:hint="eastAsia"/>
          <w:lang w:val="en-GB"/>
        </w:rPr>
        <w:t>22</w:t>
      </w:r>
      <w:r w:rsidRPr="007D7547">
        <w:rPr>
          <w:rFonts w:hint="eastAsia"/>
          <w:lang w:val="en-GB"/>
        </w:rPr>
        <w:t>号一般性意见</w:t>
      </w:r>
      <w:r w:rsidRPr="007D7547">
        <w:rPr>
          <w:rFonts w:hint="eastAsia"/>
          <w:lang w:val="en-GB"/>
        </w:rPr>
        <w:t>(</w:t>
      </w:r>
      <w:r w:rsidRPr="007D7547">
        <w:rPr>
          <w:rFonts w:hint="eastAsia"/>
          <w:lang w:val="en-GB"/>
        </w:rPr>
        <w:t>第</w:t>
      </w:r>
      <w:r w:rsidRPr="007D7547">
        <w:rPr>
          <w:rFonts w:hint="eastAsia"/>
          <w:lang w:val="en-GB"/>
        </w:rPr>
        <w:t>8</w:t>
      </w:r>
      <w:r w:rsidRPr="007D7547">
        <w:rPr>
          <w:rFonts w:hint="eastAsia"/>
          <w:lang w:val="en-GB"/>
        </w:rPr>
        <w:t>段</w:t>
      </w:r>
      <w:r w:rsidRPr="007D7547">
        <w:rPr>
          <w:rFonts w:hint="eastAsia"/>
          <w:lang w:val="en-GB"/>
        </w:rPr>
        <w:t>)</w:t>
      </w:r>
      <w:r w:rsidRPr="007D7547">
        <w:rPr>
          <w:rFonts w:hint="eastAsia"/>
          <w:lang w:val="en-GB"/>
        </w:rPr>
        <w:t>中指出，不许以第</w:t>
      </w:r>
      <w:r w:rsidRPr="007D7547">
        <w:rPr>
          <w:rFonts w:hint="eastAsia"/>
          <w:lang w:val="en-GB"/>
        </w:rPr>
        <w:t>3</w:t>
      </w:r>
      <w:r w:rsidRPr="007D7547">
        <w:rPr>
          <w:rFonts w:hint="eastAsia"/>
          <w:lang w:val="en-GB"/>
        </w:rPr>
        <w:t>款不曾规定的理由施加限制。提交人补充表示，强迫希望在公共场所佩戴全脸面纱的妇女摘去面纱，就是向她们强加一种着装规范，关于这些妇女在性别不平等方面的态度的推断完全是基于某些人对特定群体生活方式的偏见。没有哪位佩戴全脸面纱的妇女曾经鼓吹男女不平等。</w:t>
      </w:r>
    </w:p>
    <w:p w:rsidR="007D7547" w:rsidRPr="007D7547" w:rsidRDefault="007D7547" w:rsidP="007D7547">
      <w:pPr>
        <w:pStyle w:val="SingleTxtGC"/>
        <w:rPr>
          <w:lang w:val="en-GB"/>
        </w:rPr>
      </w:pPr>
      <w:r w:rsidRPr="007D7547">
        <w:rPr>
          <w:lang w:val="en-GB"/>
        </w:rPr>
        <w:t>3.8</w:t>
      </w:r>
      <w:r w:rsidRPr="007D7547">
        <w:rPr>
          <w:lang w:val="en-GB"/>
        </w:rPr>
        <w:tab/>
      </w:r>
      <w:r w:rsidRPr="007D7547">
        <w:rPr>
          <w:rFonts w:hint="eastAsia"/>
          <w:lang w:val="en-GB"/>
        </w:rPr>
        <w:t>对于维护公共秩序这一目标，如果立法机关当初按照某些议员的意见选择将禁止佩戴全脸面纱的规定限于某些场所或场合，或是设立一项暂时揭开面纱以便识别身份的义务，那么维护公共秩序本可成为唯一站得住脚的依据。但是，法国政府没有选择这样做。</w:t>
      </w:r>
    </w:p>
    <w:p w:rsidR="007D7547" w:rsidRPr="007D7547" w:rsidRDefault="007D7547" w:rsidP="007D7547">
      <w:pPr>
        <w:pStyle w:val="SingleTxtGC"/>
        <w:rPr>
          <w:lang w:val="en-GB"/>
        </w:rPr>
      </w:pPr>
      <w:r w:rsidRPr="007D7547">
        <w:rPr>
          <w:lang w:val="en-GB"/>
        </w:rPr>
        <w:t>3.9</w:t>
      </w:r>
      <w:r w:rsidRPr="007D7547">
        <w:rPr>
          <w:lang w:val="en-GB"/>
        </w:rPr>
        <w:tab/>
      </w:r>
      <w:r w:rsidRPr="007D7547">
        <w:rPr>
          <w:rFonts w:hint="eastAsia"/>
          <w:lang w:val="en-GB"/>
        </w:rPr>
        <w:t>提交人指出，从未有人声称穿布卡袍或戴尼卡布的妇女这一极少数群体会危及公共安全或造成公共动乱。主张在某些特定情况下必须能让人们在公共场所内露出面部以便识别身份，这是合理的，但如果让这种“露面”的义务变成常设的、绝对的义务，则不可想象。只有特定的限制才能得到容许。《第</w:t>
      </w:r>
      <w:r w:rsidRPr="007D7547">
        <w:rPr>
          <w:lang w:val="en-GB"/>
        </w:rPr>
        <w:t>2010-1192</w:t>
      </w:r>
      <w:r w:rsidRPr="007D7547">
        <w:rPr>
          <w:rFonts w:hint="eastAsia"/>
          <w:lang w:val="en-GB"/>
        </w:rPr>
        <w:t>号法》规定的禁令具有一般性，因此不能被称为维护公共秩序的必要举措。</w:t>
      </w:r>
    </w:p>
    <w:p w:rsidR="007D7547" w:rsidRPr="007D7547" w:rsidRDefault="007D7547" w:rsidP="00E143B6">
      <w:pPr>
        <w:pStyle w:val="SingleTxtGC"/>
        <w:tabs>
          <w:tab w:val="clear" w:pos="1565"/>
          <w:tab w:val="left" w:pos="1701"/>
        </w:tabs>
        <w:rPr>
          <w:lang w:val="en-GB"/>
        </w:rPr>
      </w:pPr>
      <w:r w:rsidRPr="007D7547">
        <w:rPr>
          <w:lang w:val="en-GB"/>
        </w:rPr>
        <w:t>3.10</w:t>
      </w:r>
      <w:r w:rsidRPr="007D7547">
        <w:rPr>
          <w:lang w:val="en-GB"/>
        </w:rPr>
        <w:tab/>
      </w:r>
      <w:r w:rsidRPr="007D7547">
        <w:rPr>
          <w:rFonts w:hint="eastAsia"/>
          <w:lang w:val="en-GB"/>
        </w:rPr>
        <w:t>无论如何，这项禁令与其目标并不相称，因为它是常设禁令，涵盖了所有公共场所，而且违反它就会犯下刑事罪。提交人还指出，在《第</w:t>
      </w:r>
      <w:r w:rsidRPr="007D7547">
        <w:rPr>
          <w:lang w:val="en-GB"/>
        </w:rPr>
        <w:t>2010-1192</w:t>
      </w:r>
      <w:r w:rsidRPr="007D7547">
        <w:rPr>
          <w:rFonts w:hint="eastAsia"/>
          <w:lang w:val="en-GB"/>
        </w:rPr>
        <w:t>号法》获得通过之前，其草案和辩论过程均具体提到了佩戴全脸面纱这种掩藏面部的方式，因此佩戴全脸面纱显然不可能根据该法第</w:t>
      </w:r>
      <w:r w:rsidRPr="007D7547">
        <w:rPr>
          <w:rFonts w:hint="eastAsia"/>
          <w:lang w:val="en-GB"/>
        </w:rPr>
        <w:t>2</w:t>
      </w:r>
      <w:r w:rsidRPr="007D7547">
        <w:rPr>
          <w:rFonts w:hint="eastAsia"/>
          <w:lang w:val="en-GB"/>
        </w:rPr>
        <w:t>条第</w:t>
      </w:r>
      <w:r w:rsidRPr="007D7547">
        <w:rPr>
          <w:lang w:val="en-GB"/>
        </w:rPr>
        <w:t>II</w:t>
      </w:r>
      <w:r w:rsidRPr="007D7547">
        <w:rPr>
          <w:rFonts w:hint="eastAsia"/>
          <w:lang w:val="en-GB"/>
        </w:rPr>
        <w:t>款所载的例外规定而获得批准。</w:t>
      </w:r>
      <w:r w:rsidR="002007EF" w:rsidRPr="002007EF">
        <w:rPr>
          <w:color w:val="0000FF"/>
          <w:vertAlign w:val="superscript"/>
          <w:lang w:val="en-GB"/>
        </w:rPr>
        <w:footnoteReference w:id="13"/>
      </w:r>
    </w:p>
    <w:p w:rsidR="007D7547" w:rsidRPr="007D7547" w:rsidRDefault="007D7547" w:rsidP="00E143B6">
      <w:pPr>
        <w:pStyle w:val="SingleTxtGC"/>
        <w:tabs>
          <w:tab w:val="clear" w:pos="1565"/>
          <w:tab w:val="left" w:pos="1701"/>
        </w:tabs>
        <w:rPr>
          <w:lang w:val="en-GB"/>
        </w:rPr>
      </w:pPr>
      <w:r w:rsidRPr="007D7547">
        <w:rPr>
          <w:lang w:val="en-GB"/>
        </w:rPr>
        <w:t>3.11</w:t>
      </w:r>
      <w:r w:rsidRPr="007D7547">
        <w:rPr>
          <w:lang w:val="en-GB"/>
        </w:rPr>
        <w:tab/>
      </w:r>
      <w:r w:rsidRPr="007D7547">
        <w:rPr>
          <w:rFonts w:hint="eastAsia"/>
          <w:lang w:val="en-GB"/>
        </w:rPr>
        <w:t>欧洲人权法院在</w:t>
      </w:r>
      <w:r w:rsidRPr="008E5882">
        <w:rPr>
          <w:rFonts w:ascii="Time New Roman" w:eastAsia="楷体" w:hAnsi="Time New Roman"/>
          <w:iCs/>
          <w:lang w:val="en-GB"/>
        </w:rPr>
        <w:t>S.A.S.</w:t>
      </w:r>
      <w:r w:rsidRPr="008E5882">
        <w:rPr>
          <w:rFonts w:ascii="Time New Roman" w:eastAsia="楷体" w:hAnsi="Time New Roman" w:hint="eastAsia"/>
          <w:iCs/>
          <w:lang w:val="en-GB"/>
        </w:rPr>
        <w:t>诉法国</w:t>
      </w:r>
      <w:r w:rsidRPr="007D7547">
        <w:rPr>
          <w:rFonts w:hint="eastAsia"/>
          <w:lang w:val="en-GB"/>
        </w:rPr>
        <w:t>案的判决中适用相称性原则，对法国援引的维护公共秩序和安全的目标未予采信。</w:t>
      </w:r>
      <w:r w:rsidR="002007EF" w:rsidRPr="002007EF">
        <w:rPr>
          <w:color w:val="0000FF"/>
          <w:vertAlign w:val="superscript"/>
          <w:lang w:val="en-GB"/>
        </w:rPr>
        <w:footnoteReference w:id="14"/>
      </w:r>
      <w:r w:rsidRPr="007D7547">
        <w:rPr>
          <w:lang w:val="en-GB"/>
        </w:rPr>
        <w:t xml:space="preserve"> </w:t>
      </w:r>
      <w:r w:rsidRPr="007D7547">
        <w:rPr>
          <w:rFonts w:hint="eastAsia"/>
          <w:lang w:val="en-GB"/>
        </w:rPr>
        <w:t>提交人由此得出结论，禁止在公共场所掩藏面部并不是维护公共秩序和安全的必要举措，因为这项规定显然与所称的目标不相称。</w:t>
      </w:r>
    </w:p>
    <w:p w:rsidR="007D7547" w:rsidRPr="007D7547" w:rsidRDefault="007D7547" w:rsidP="00E143B6">
      <w:pPr>
        <w:pStyle w:val="SingleTxtGC"/>
        <w:tabs>
          <w:tab w:val="clear" w:pos="1565"/>
          <w:tab w:val="left" w:pos="1701"/>
        </w:tabs>
        <w:rPr>
          <w:lang w:val="en-GB"/>
        </w:rPr>
      </w:pPr>
      <w:r w:rsidRPr="007D7547">
        <w:rPr>
          <w:lang w:val="en-GB"/>
        </w:rPr>
        <w:t>3.12</w:t>
      </w:r>
      <w:r w:rsidRPr="007D7547">
        <w:rPr>
          <w:lang w:val="en-GB"/>
        </w:rPr>
        <w:tab/>
      </w:r>
      <w:r w:rsidRPr="007D7547">
        <w:rPr>
          <w:rFonts w:hint="eastAsia"/>
          <w:lang w:val="en-GB"/>
        </w:rPr>
        <w:t>关于在第二十六条之下提出的申诉，提交人指出，《第</w:t>
      </w:r>
      <w:r w:rsidRPr="007D7547">
        <w:rPr>
          <w:lang w:val="en-GB"/>
        </w:rPr>
        <w:t>2010-1192</w:t>
      </w:r>
      <w:r w:rsidRPr="007D7547">
        <w:rPr>
          <w:rFonts w:hint="eastAsia"/>
          <w:lang w:val="en-GB"/>
        </w:rPr>
        <w:t>号法》的适用具有间接歧视性，因为该法切实有损她行使宗教自由和行动自由。该法未将提交人与其他人一视同仁，迫使她为了避免遭受刑事处罚只能在公共场所不佩戴全脸面纱，但对她而言，佩戴全脸面纱是一项宗教义务。鉴于她可以佩戴面纱的唯一办法是避免出门和避免在公共场所走动，她所享有的《公约》第十二条明文保障的行动自由遭到了限制。</w:t>
      </w:r>
    </w:p>
    <w:p w:rsidR="007D7547" w:rsidRPr="007D7547" w:rsidRDefault="007D7547" w:rsidP="00E143B6">
      <w:pPr>
        <w:pStyle w:val="SingleTxtGC"/>
        <w:tabs>
          <w:tab w:val="clear" w:pos="1565"/>
          <w:tab w:val="left" w:pos="1701"/>
        </w:tabs>
        <w:rPr>
          <w:lang w:val="en-GB"/>
        </w:rPr>
      </w:pPr>
      <w:r w:rsidRPr="007D7547">
        <w:rPr>
          <w:lang w:val="en-GB"/>
        </w:rPr>
        <w:t>3.13</w:t>
      </w:r>
      <w:r w:rsidRPr="007D7547">
        <w:rPr>
          <w:lang w:val="en-GB"/>
        </w:rPr>
        <w:tab/>
      </w:r>
      <w:r w:rsidRPr="007D7547">
        <w:rPr>
          <w:rFonts w:hint="eastAsia"/>
          <w:lang w:val="en-GB"/>
        </w:rPr>
        <w:t>虽然《第</w:t>
      </w:r>
      <w:r w:rsidRPr="007D7547">
        <w:rPr>
          <w:lang w:val="en-GB"/>
        </w:rPr>
        <w:t>2010-1192</w:t>
      </w:r>
      <w:r w:rsidRPr="007D7547">
        <w:rPr>
          <w:rFonts w:hint="eastAsia"/>
          <w:lang w:val="en-GB"/>
        </w:rPr>
        <w:t>号法》应当一律适用于任何在公共场所掩藏面部的人员，但实际情况是该法具有间接歧视佩戴全脸面纱的妇女的效果。该法获通过之前进行的讨论显然表明，该法被视为法律中专门旨在禁止全脸面纱的一般性解决方案。尽管该法本应涵盖任何类型掩藏面部的行为，包括戴头盔或滑雪面罩，但其实施情况的相关数据证实了上述间接歧视。</w:t>
      </w:r>
      <w:r w:rsidR="002007EF" w:rsidRPr="002007EF">
        <w:rPr>
          <w:color w:val="0000FF"/>
          <w:vertAlign w:val="superscript"/>
          <w:lang w:val="en-GB"/>
        </w:rPr>
        <w:footnoteReference w:id="15"/>
      </w:r>
    </w:p>
    <w:p w:rsidR="007D7547" w:rsidRPr="007D7547" w:rsidRDefault="007D7547" w:rsidP="00E143B6">
      <w:pPr>
        <w:pStyle w:val="SingleTxtGC"/>
        <w:tabs>
          <w:tab w:val="clear" w:pos="1565"/>
          <w:tab w:val="left" w:pos="1701"/>
        </w:tabs>
        <w:rPr>
          <w:lang w:val="en-GB"/>
        </w:rPr>
      </w:pPr>
      <w:r w:rsidRPr="007D7547">
        <w:rPr>
          <w:lang w:val="en-GB"/>
        </w:rPr>
        <w:t>3.14</w:t>
      </w:r>
      <w:r w:rsidRPr="007D7547">
        <w:rPr>
          <w:lang w:val="en-GB"/>
        </w:rPr>
        <w:tab/>
      </w:r>
      <w:r w:rsidRPr="007D7547">
        <w:rPr>
          <w:rFonts w:hint="eastAsia"/>
          <w:lang w:val="en-GB"/>
        </w:rPr>
        <w:t>最后，提交人重申，法国有</w:t>
      </w:r>
      <w:r w:rsidRPr="007D7547">
        <w:rPr>
          <w:lang w:val="en-GB"/>
        </w:rPr>
        <w:t>2,000</w:t>
      </w:r>
      <w:r w:rsidRPr="007D7547">
        <w:rPr>
          <w:rFonts w:hint="eastAsia"/>
          <w:lang w:val="en-GB"/>
        </w:rPr>
        <w:t>名妇女佩戴全脸面纱。在根据《第</w:t>
      </w:r>
      <w:r w:rsidRPr="007D7547">
        <w:t>2010-1192</w:t>
      </w:r>
      <w:r w:rsidRPr="007D7547">
        <w:rPr>
          <w:rFonts w:hint="eastAsia"/>
        </w:rPr>
        <w:t>号法</w:t>
      </w:r>
      <w:r w:rsidRPr="007D7547">
        <w:rPr>
          <w:rFonts w:hint="eastAsia"/>
          <w:lang w:val="en-GB"/>
        </w:rPr>
        <w:t>》受到检查的人员中，她们占据了一半以上，说明在检查方面受到了不相称的针对。</w:t>
      </w:r>
    </w:p>
    <w:p w:rsidR="007D7547" w:rsidRPr="007D7547" w:rsidRDefault="007D7547" w:rsidP="00E143B6">
      <w:pPr>
        <w:pStyle w:val="SingleTxtGC"/>
        <w:tabs>
          <w:tab w:val="clear" w:pos="1565"/>
          <w:tab w:val="left" w:pos="1701"/>
        </w:tabs>
        <w:rPr>
          <w:lang w:val="en-GB"/>
        </w:rPr>
      </w:pPr>
      <w:r w:rsidRPr="007D7547">
        <w:rPr>
          <w:lang w:val="en-GB"/>
        </w:rPr>
        <w:t>3.15</w:t>
      </w:r>
      <w:r w:rsidRPr="007D7547">
        <w:rPr>
          <w:lang w:val="en-GB"/>
        </w:rPr>
        <w:tab/>
      </w:r>
      <w:r w:rsidRPr="007D7547">
        <w:rPr>
          <w:rFonts w:hint="eastAsia"/>
          <w:lang w:val="en-GB"/>
        </w:rPr>
        <w:t>因此，提交人请委员会裁定法国违反了《公约》第十八和第二十六条。</w:t>
      </w:r>
    </w:p>
    <w:p w:rsidR="007D7547" w:rsidRPr="007D7547" w:rsidRDefault="00452B17" w:rsidP="00452B17">
      <w:pPr>
        <w:pStyle w:val="H23GC"/>
        <w:rPr>
          <w:lang w:val="en-GB"/>
        </w:rPr>
      </w:pPr>
      <w:r w:rsidRPr="007D7547">
        <w:rPr>
          <w:lang w:val="en-GB"/>
        </w:rPr>
        <w:tab/>
      </w:r>
      <w:r w:rsidRPr="007D7547">
        <w:rPr>
          <w:lang w:val="en-GB"/>
        </w:rPr>
        <w:tab/>
      </w:r>
      <w:r w:rsidRPr="007D7547">
        <w:rPr>
          <w:rFonts w:hint="eastAsia"/>
          <w:lang w:val="en-GB"/>
        </w:rPr>
        <w:t>缔</w:t>
      </w:r>
      <w:r w:rsidR="007D7547" w:rsidRPr="007D7547">
        <w:rPr>
          <w:rFonts w:hint="eastAsia"/>
          <w:lang w:val="en-GB"/>
        </w:rPr>
        <w:t>约国关于可否受理的意见</w:t>
      </w:r>
    </w:p>
    <w:p w:rsidR="007D7547" w:rsidRPr="007D7547" w:rsidRDefault="007D7547" w:rsidP="007D7547">
      <w:pPr>
        <w:pStyle w:val="SingleTxtGC"/>
        <w:rPr>
          <w:lang w:val="en-GB"/>
        </w:rPr>
      </w:pPr>
      <w:r w:rsidRPr="007D7547">
        <w:rPr>
          <w:lang w:val="en-GB"/>
        </w:rPr>
        <w:t>4.1</w:t>
      </w:r>
      <w:r w:rsidRPr="007D7547">
        <w:rPr>
          <w:lang w:val="en-GB"/>
        </w:rPr>
        <w:tab/>
        <w:t>2016</w:t>
      </w:r>
      <w:r w:rsidRPr="007D7547">
        <w:rPr>
          <w:rFonts w:hint="eastAsia"/>
          <w:lang w:val="en-GB"/>
        </w:rPr>
        <w:t>年</w:t>
      </w:r>
      <w:r w:rsidRPr="007D7547">
        <w:rPr>
          <w:rFonts w:hint="eastAsia"/>
          <w:lang w:val="en-GB"/>
        </w:rPr>
        <w:t>5</w:t>
      </w:r>
      <w:r w:rsidRPr="007D7547">
        <w:rPr>
          <w:rFonts w:hint="eastAsia"/>
          <w:lang w:val="en-GB"/>
        </w:rPr>
        <w:t>月</w:t>
      </w:r>
      <w:r w:rsidRPr="007D7547">
        <w:rPr>
          <w:rFonts w:hint="eastAsia"/>
          <w:lang w:val="en-GB"/>
        </w:rPr>
        <w:t>17</w:t>
      </w:r>
      <w:r w:rsidRPr="007D7547">
        <w:rPr>
          <w:rFonts w:hint="eastAsia"/>
          <w:lang w:val="en-GB"/>
        </w:rPr>
        <w:t>日，缔约国提交了关于可否受理的意见，并请委员会认定来文不可受理而予以驳回。</w:t>
      </w:r>
    </w:p>
    <w:p w:rsidR="007D7547" w:rsidRPr="007D7547" w:rsidRDefault="007D7547" w:rsidP="007D7547">
      <w:pPr>
        <w:pStyle w:val="SingleTxtGC"/>
        <w:rPr>
          <w:lang w:val="en-GB"/>
        </w:rPr>
      </w:pPr>
      <w:r w:rsidRPr="007D7547">
        <w:rPr>
          <w:lang w:val="en-GB"/>
        </w:rPr>
        <w:t>4.2</w:t>
      </w:r>
      <w:r w:rsidRPr="007D7547">
        <w:rPr>
          <w:lang w:val="en-GB"/>
        </w:rPr>
        <w:tab/>
      </w:r>
      <w:r w:rsidRPr="007D7547">
        <w:rPr>
          <w:rFonts w:hint="eastAsia"/>
          <w:lang w:val="en-GB"/>
        </w:rPr>
        <w:t>缔约国指出，提交人曾两次因在公共场所穿戴掩藏面部的服饰</w:t>
      </w:r>
      <w:r w:rsidRPr="007D7547">
        <w:rPr>
          <w:rFonts w:hint="eastAsia"/>
          <w:lang w:val="en-GB"/>
        </w:rPr>
        <w:t>(</w:t>
      </w:r>
      <w:r w:rsidRPr="007D7547">
        <w:rPr>
          <w:rFonts w:hint="eastAsia"/>
          <w:lang w:val="en-GB"/>
        </w:rPr>
        <w:t>具体而言是一条尼卡布</w:t>
      </w:r>
      <w:r w:rsidRPr="007D7547">
        <w:rPr>
          <w:rFonts w:hint="eastAsia"/>
          <w:lang w:val="en-GB"/>
        </w:rPr>
        <w:t>)</w:t>
      </w:r>
      <w:r w:rsidRPr="007D7547">
        <w:rPr>
          <w:rFonts w:hint="eastAsia"/>
          <w:lang w:val="en-GB"/>
        </w:rPr>
        <w:t>而被判有罪。这两次，她分别于</w:t>
      </w:r>
      <w:r w:rsidRPr="007D7547">
        <w:rPr>
          <w:rFonts w:hint="eastAsia"/>
          <w:lang w:val="en-GB"/>
        </w:rPr>
        <w:t>2011</w:t>
      </w:r>
      <w:r w:rsidRPr="007D7547">
        <w:rPr>
          <w:rFonts w:hint="eastAsia"/>
          <w:lang w:val="en-GB"/>
        </w:rPr>
        <w:t>年</w:t>
      </w:r>
      <w:r w:rsidRPr="007D7547">
        <w:rPr>
          <w:rFonts w:hint="eastAsia"/>
          <w:lang w:val="en-GB"/>
        </w:rPr>
        <w:t>11</w:t>
      </w:r>
      <w:r w:rsidRPr="007D7547">
        <w:rPr>
          <w:rFonts w:hint="eastAsia"/>
          <w:lang w:val="en-GB"/>
        </w:rPr>
        <w:t>月</w:t>
      </w:r>
      <w:r w:rsidRPr="007D7547">
        <w:rPr>
          <w:lang w:val="en-GB"/>
        </w:rPr>
        <w:t>21</w:t>
      </w:r>
      <w:r w:rsidRPr="007D7547">
        <w:rPr>
          <w:rFonts w:hint="eastAsia"/>
          <w:lang w:val="en-GB"/>
        </w:rPr>
        <w:t>日和</w:t>
      </w:r>
      <w:r w:rsidRPr="007D7547">
        <w:rPr>
          <w:rFonts w:hint="eastAsia"/>
          <w:lang w:val="en-GB"/>
        </w:rPr>
        <w:t>2012</w:t>
      </w:r>
      <w:r w:rsidRPr="007D7547">
        <w:rPr>
          <w:rFonts w:hint="eastAsia"/>
          <w:lang w:val="en-GB"/>
        </w:rPr>
        <w:t>年</w:t>
      </w:r>
      <w:r w:rsidRPr="007D7547">
        <w:rPr>
          <w:rFonts w:hint="eastAsia"/>
          <w:lang w:val="en-GB"/>
        </w:rPr>
        <w:t>3</w:t>
      </w:r>
      <w:r w:rsidRPr="007D7547">
        <w:rPr>
          <w:rFonts w:hint="eastAsia"/>
          <w:lang w:val="en-GB"/>
        </w:rPr>
        <w:t>月</w:t>
      </w:r>
      <w:r w:rsidRPr="007D7547">
        <w:rPr>
          <w:lang w:val="en-GB"/>
        </w:rPr>
        <w:t>26</w:t>
      </w:r>
      <w:r w:rsidRPr="007D7547">
        <w:rPr>
          <w:rFonts w:hint="eastAsia"/>
          <w:lang w:val="en-GB"/>
        </w:rPr>
        <w:t>日被南特社区法院处以了</w:t>
      </w:r>
      <w:r w:rsidRPr="007D7547">
        <w:rPr>
          <w:lang w:val="en-GB"/>
        </w:rPr>
        <w:t>140</w:t>
      </w:r>
      <w:r w:rsidRPr="007D7547">
        <w:rPr>
          <w:rFonts w:hint="eastAsia"/>
          <w:lang w:val="en-GB"/>
        </w:rPr>
        <w:t>欧元和</w:t>
      </w:r>
      <w:r w:rsidRPr="007D7547">
        <w:rPr>
          <w:lang w:val="en-GB"/>
        </w:rPr>
        <w:t>150</w:t>
      </w:r>
      <w:r w:rsidRPr="007D7547">
        <w:rPr>
          <w:rFonts w:hint="eastAsia"/>
          <w:lang w:val="en-GB"/>
        </w:rPr>
        <w:t>欧元的罚款。实际上，提交人先是于</w:t>
      </w:r>
      <w:r w:rsidRPr="007D7547">
        <w:rPr>
          <w:rFonts w:hint="eastAsia"/>
          <w:lang w:val="en-GB"/>
        </w:rPr>
        <w:t>2011</w:t>
      </w:r>
      <w:r w:rsidRPr="007D7547">
        <w:rPr>
          <w:rFonts w:hint="eastAsia"/>
          <w:lang w:val="en-GB"/>
        </w:rPr>
        <w:t>年</w:t>
      </w:r>
      <w:r w:rsidRPr="007D7547">
        <w:rPr>
          <w:rFonts w:hint="eastAsia"/>
          <w:lang w:val="en-GB"/>
        </w:rPr>
        <w:t>11</w:t>
      </w:r>
      <w:r w:rsidRPr="007D7547">
        <w:rPr>
          <w:rFonts w:hint="eastAsia"/>
          <w:lang w:val="en-GB"/>
        </w:rPr>
        <w:t>月</w:t>
      </w:r>
      <w:r w:rsidRPr="007D7547">
        <w:rPr>
          <w:lang w:val="en-GB"/>
        </w:rPr>
        <w:t>21</w:t>
      </w:r>
      <w:r w:rsidRPr="007D7547">
        <w:rPr>
          <w:rFonts w:hint="eastAsia"/>
          <w:lang w:val="en-GB"/>
        </w:rPr>
        <w:t>日因违反《第</w:t>
      </w:r>
      <w:r w:rsidRPr="007D7547">
        <w:rPr>
          <w:lang w:val="en-GB"/>
        </w:rPr>
        <w:t>2010-1192</w:t>
      </w:r>
      <w:r w:rsidRPr="007D7547">
        <w:rPr>
          <w:rFonts w:hint="eastAsia"/>
          <w:lang w:val="en-GB"/>
        </w:rPr>
        <w:t>号法》在公共场所穿戴掩藏面部的服饰而被处以了</w:t>
      </w:r>
      <w:r w:rsidRPr="007D7547">
        <w:rPr>
          <w:lang w:val="en-GB"/>
        </w:rPr>
        <w:t>140</w:t>
      </w:r>
      <w:r w:rsidRPr="007D7547">
        <w:rPr>
          <w:rFonts w:hint="eastAsia"/>
          <w:lang w:val="en-GB"/>
        </w:rPr>
        <w:t>欧元的罚款。这次罪行是在一次交通检查时被发现的。社区法院将对提交人的第一次罪行作出判决时，提交人拒绝在法院的入院安检站摘下全脸面纱，法官因此于</w:t>
      </w:r>
      <w:r w:rsidRPr="007D7547">
        <w:rPr>
          <w:rFonts w:hint="eastAsia"/>
          <w:lang w:val="en-GB"/>
        </w:rPr>
        <w:t>2012</w:t>
      </w:r>
      <w:r w:rsidRPr="007D7547">
        <w:rPr>
          <w:rFonts w:hint="eastAsia"/>
          <w:lang w:val="en-GB"/>
        </w:rPr>
        <w:t>年</w:t>
      </w:r>
      <w:r w:rsidRPr="007D7547">
        <w:rPr>
          <w:rFonts w:hint="eastAsia"/>
          <w:lang w:val="en-GB"/>
        </w:rPr>
        <w:t>3</w:t>
      </w:r>
      <w:r w:rsidRPr="007D7547">
        <w:rPr>
          <w:rFonts w:hint="eastAsia"/>
          <w:lang w:val="en-GB"/>
        </w:rPr>
        <w:t>月</w:t>
      </w:r>
      <w:r w:rsidRPr="007D7547">
        <w:rPr>
          <w:lang w:val="en-GB"/>
        </w:rPr>
        <w:t>26</w:t>
      </w:r>
      <w:r w:rsidRPr="007D7547">
        <w:rPr>
          <w:rFonts w:hint="eastAsia"/>
          <w:lang w:val="en-GB"/>
        </w:rPr>
        <w:t>日再次以同一罪名判处她缴纳</w:t>
      </w:r>
      <w:r w:rsidRPr="007D7547">
        <w:rPr>
          <w:rFonts w:hint="eastAsia"/>
          <w:lang w:val="en-GB"/>
        </w:rPr>
        <w:t>1</w:t>
      </w:r>
      <w:r w:rsidRPr="007D7547">
        <w:rPr>
          <w:lang w:val="en-GB"/>
        </w:rPr>
        <w:t>50</w:t>
      </w:r>
      <w:r w:rsidRPr="007D7547">
        <w:rPr>
          <w:lang w:val="en-GB"/>
        </w:rPr>
        <w:t>欧元罚款。</w:t>
      </w:r>
      <w:r w:rsidRPr="007D7547">
        <w:rPr>
          <w:rFonts w:hint="eastAsia"/>
          <w:lang w:val="en-GB"/>
        </w:rPr>
        <w:t>两次听审提交人均未出席。</w:t>
      </w:r>
    </w:p>
    <w:p w:rsidR="007D7547" w:rsidRPr="007D7547" w:rsidRDefault="007D7547" w:rsidP="007D7547">
      <w:pPr>
        <w:pStyle w:val="SingleTxtGC"/>
        <w:rPr>
          <w:lang w:val="en-GB"/>
        </w:rPr>
      </w:pPr>
      <w:r w:rsidRPr="007D7547">
        <w:rPr>
          <w:lang w:val="en-GB"/>
        </w:rPr>
        <w:t>4.3</w:t>
      </w:r>
      <w:r w:rsidRPr="007D7547">
        <w:rPr>
          <w:lang w:val="en-GB"/>
        </w:rPr>
        <w:tab/>
      </w:r>
      <w:r w:rsidRPr="007D7547">
        <w:rPr>
          <w:rFonts w:hint="eastAsia"/>
          <w:lang w:val="en-GB"/>
        </w:rPr>
        <w:t>提交人向最高法院刑事庭提交了两份复核申请，对上述判决提出异议。提交人在诉至最高法院时才提出，作为有关定罪的法律依据的《第</w:t>
      </w:r>
      <w:r w:rsidRPr="007D7547">
        <w:rPr>
          <w:lang w:val="en-GB"/>
        </w:rPr>
        <w:t>2010-1192</w:t>
      </w:r>
      <w:r w:rsidRPr="007D7547">
        <w:rPr>
          <w:rFonts w:hint="eastAsia"/>
          <w:lang w:val="en-GB"/>
        </w:rPr>
        <w:t>号法》有悖《欧洲人权公约》第</w:t>
      </w:r>
      <w:r w:rsidRPr="007D7547">
        <w:rPr>
          <w:rFonts w:hint="eastAsia"/>
          <w:lang w:val="en-GB"/>
        </w:rPr>
        <w:t>9</w:t>
      </w:r>
      <w:r w:rsidRPr="007D7547">
        <w:rPr>
          <w:rFonts w:hint="eastAsia"/>
          <w:lang w:val="en-GB"/>
        </w:rPr>
        <w:t>和第</w:t>
      </w:r>
      <w:r w:rsidRPr="007D7547">
        <w:rPr>
          <w:rFonts w:hint="eastAsia"/>
          <w:lang w:val="en-GB"/>
        </w:rPr>
        <w:t>14</w:t>
      </w:r>
      <w:r w:rsidRPr="007D7547">
        <w:rPr>
          <w:rFonts w:hint="eastAsia"/>
          <w:lang w:val="en-GB"/>
        </w:rPr>
        <w:t>条。</w:t>
      </w:r>
    </w:p>
    <w:p w:rsidR="007D7547" w:rsidRPr="007D7547" w:rsidRDefault="007D7547" w:rsidP="007D7547">
      <w:pPr>
        <w:pStyle w:val="SingleTxtGC"/>
        <w:rPr>
          <w:lang w:val="en-GB"/>
        </w:rPr>
      </w:pPr>
      <w:r w:rsidRPr="007D7547">
        <w:rPr>
          <w:lang w:val="en-GB"/>
        </w:rPr>
        <w:t>4.4</w:t>
      </w:r>
      <w:r w:rsidRPr="007D7547">
        <w:rPr>
          <w:lang w:val="en-GB"/>
        </w:rPr>
        <w:tab/>
      </w:r>
      <w:r w:rsidRPr="007D7547">
        <w:rPr>
          <w:rFonts w:hint="eastAsia"/>
          <w:lang w:val="en-GB"/>
        </w:rPr>
        <w:t>缔约国表示，委员会已经指出过，如果向委员会提出的主张是在诉至最高法院时才提出的，则没有达到用尽国内补救办法的条件，国内最高法院之所以宣布这些诉因不可受理，就是因为提交人先前没有向普通法院提出这些诉因。</w:t>
      </w:r>
      <w:r w:rsidR="002007EF" w:rsidRPr="002007EF">
        <w:rPr>
          <w:color w:val="0000FF"/>
          <w:vertAlign w:val="superscript"/>
          <w:lang w:val="en-GB"/>
        </w:rPr>
        <w:footnoteReference w:id="16"/>
      </w:r>
    </w:p>
    <w:p w:rsidR="007D7547" w:rsidRPr="007D7547" w:rsidRDefault="007D7547" w:rsidP="007D7547">
      <w:pPr>
        <w:pStyle w:val="SingleTxtGC"/>
        <w:rPr>
          <w:lang w:val="en-GB"/>
        </w:rPr>
      </w:pPr>
      <w:r w:rsidRPr="007D7547">
        <w:rPr>
          <w:lang w:val="en-GB"/>
        </w:rPr>
        <w:t>4.5</w:t>
      </w:r>
      <w:r w:rsidRPr="007D7547">
        <w:rPr>
          <w:lang w:val="en-GB"/>
        </w:rPr>
        <w:tab/>
      </w:r>
      <w:r w:rsidRPr="007D7547">
        <w:rPr>
          <w:rFonts w:hint="eastAsia"/>
          <w:lang w:val="en-GB"/>
        </w:rPr>
        <w:t>提交人向欧洲人权法院提交的申请所涉及的事实与其向委员会提交的事实相同，而欧洲人权法院已于</w:t>
      </w:r>
      <w:r w:rsidRPr="007D7547">
        <w:rPr>
          <w:rFonts w:hint="eastAsia"/>
          <w:lang w:val="en-GB"/>
        </w:rPr>
        <w:t>2014</w:t>
      </w:r>
      <w:r w:rsidRPr="007D7547">
        <w:rPr>
          <w:rFonts w:hint="eastAsia"/>
          <w:lang w:val="en-GB"/>
        </w:rPr>
        <w:t>年</w:t>
      </w:r>
      <w:r w:rsidRPr="007D7547">
        <w:rPr>
          <w:rFonts w:hint="eastAsia"/>
          <w:lang w:val="en-GB"/>
        </w:rPr>
        <w:t>9</w:t>
      </w:r>
      <w:r w:rsidRPr="007D7547">
        <w:rPr>
          <w:rFonts w:hint="eastAsia"/>
          <w:lang w:val="en-GB"/>
        </w:rPr>
        <w:t>月</w:t>
      </w:r>
      <w:r w:rsidRPr="007D7547">
        <w:rPr>
          <w:lang w:val="en-GB"/>
        </w:rPr>
        <w:t>11</w:t>
      </w:r>
      <w:r w:rsidRPr="007D7547">
        <w:rPr>
          <w:rFonts w:hint="eastAsia"/>
          <w:lang w:val="en-GB"/>
        </w:rPr>
        <w:t>日通知提交人，其申请根据《欧洲人权公约》第</w:t>
      </w:r>
      <w:r w:rsidRPr="007D7547">
        <w:rPr>
          <w:rFonts w:hint="eastAsia"/>
          <w:lang w:val="en-GB"/>
        </w:rPr>
        <w:t>34</w:t>
      </w:r>
      <w:r w:rsidRPr="007D7547">
        <w:rPr>
          <w:rFonts w:hint="eastAsia"/>
          <w:lang w:val="en-GB"/>
        </w:rPr>
        <w:t>和第</w:t>
      </w:r>
      <w:r w:rsidRPr="007D7547">
        <w:rPr>
          <w:rFonts w:hint="eastAsia"/>
          <w:lang w:val="en-GB"/>
        </w:rPr>
        <w:t>35</w:t>
      </w:r>
      <w:r w:rsidRPr="007D7547">
        <w:rPr>
          <w:rFonts w:hint="eastAsia"/>
          <w:lang w:val="en-GB"/>
        </w:rPr>
        <w:t>条不可受理。缔约国回顾该国在批准《任择议定书》时就第五条第</w:t>
      </w:r>
      <w:r w:rsidRPr="007D7547">
        <w:rPr>
          <w:rFonts w:hint="eastAsia"/>
          <w:lang w:val="en-GB"/>
        </w:rPr>
        <w:t>2</w:t>
      </w:r>
      <w:r w:rsidRPr="007D7547">
        <w:rPr>
          <w:rFonts w:hint="eastAsia"/>
          <w:lang w:val="en-GB"/>
        </w:rPr>
        <w:t>款</w:t>
      </w:r>
      <w:r w:rsidRPr="007D7547">
        <w:rPr>
          <w:lang w:val="en-GB"/>
        </w:rPr>
        <w:t>(</w:t>
      </w:r>
      <w:r w:rsidRPr="007D7547">
        <w:rPr>
          <w:rFonts w:hint="eastAsia"/>
          <w:lang w:val="en-GB"/>
        </w:rPr>
        <w:t>子</w:t>
      </w:r>
      <w:r w:rsidRPr="007D7547">
        <w:rPr>
          <w:lang w:val="en-GB"/>
        </w:rPr>
        <w:t>)</w:t>
      </w:r>
      <w:r w:rsidRPr="007D7547">
        <w:rPr>
          <w:rFonts w:hint="eastAsia"/>
          <w:lang w:val="en-GB"/>
        </w:rPr>
        <w:t>项提出的保留。缔约国回顾指出，按照委员会的惯例，如果案件已完全因程序性理由被另一国际机构驳回，则有关事项不能被视为正由上述国际机构“审查”。反之，如果上述机构基于对案件实质问题的审议做出了不予受理的决定，哪怕只是有限的审议，也构成第五条第</w:t>
      </w:r>
      <w:r w:rsidRPr="007D7547">
        <w:rPr>
          <w:rFonts w:hint="eastAsia"/>
          <w:lang w:val="en-GB"/>
        </w:rPr>
        <w:t>2</w:t>
      </w:r>
      <w:r w:rsidRPr="007D7547">
        <w:rPr>
          <w:rFonts w:hint="eastAsia"/>
          <w:lang w:val="en-GB"/>
        </w:rPr>
        <w:t>款</w:t>
      </w:r>
      <w:r w:rsidRPr="007D7547">
        <w:rPr>
          <w:lang w:val="en-GB"/>
        </w:rPr>
        <w:t>(</w:t>
      </w:r>
      <w:r w:rsidRPr="007D7547">
        <w:rPr>
          <w:rFonts w:hint="eastAsia"/>
          <w:lang w:val="en-GB"/>
        </w:rPr>
        <w:t>子</w:t>
      </w:r>
      <w:r w:rsidRPr="007D7547">
        <w:rPr>
          <w:lang w:val="en-GB"/>
        </w:rPr>
        <w:t>)</w:t>
      </w:r>
      <w:r w:rsidRPr="007D7547">
        <w:rPr>
          <w:rFonts w:hint="eastAsia"/>
          <w:lang w:val="en-GB"/>
        </w:rPr>
        <w:t>项所指意义上的审查。</w:t>
      </w:r>
    </w:p>
    <w:p w:rsidR="007D7547" w:rsidRPr="007D7547" w:rsidRDefault="007D7547" w:rsidP="007D7547">
      <w:pPr>
        <w:pStyle w:val="SingleTxtGC"/>
        <w:rPr>
          <w:lang w:val="en-GB"/>
        </w:rPr>
      </w:pPr>
      <w:r w:rsidRPr="007D7547">
        <w:rPr>
          <w:lang w:val="en-GB"/>
        </w:rPr>
        <w:t>4.6</w:t>
      </w:r>
      <w:r w:rsidRPr="007D7547">
        <w:rPr>
          <w:lang w:val="en-GB"/>
        </w:rPr>
        <w:tab/>
      </w:r>
      <w:r w:rsidRPr="007D7547">
        <w:rPr>
          <w:rFonts w:hint="eastAsia"/>
          <w:lang w:val="en-GB"/>
        </w:rPr>
        <w:t>本案中，欧洲人权法院对</w:t>
      </w:r>
      <w:r w:rsidRPr="007D7547">
        <w:rPr>
          <w:lang w:val="en-GB"/>
        </w:rPr>
        <w:t>Yaker</w:t>
      </w:r>
      <w:r w:rsidRPr="007D7547">
        <w:rPr>
          <w:rFonts w:hint="eastAsia"/>
          <w:lang w:val="en-GB"/>
        </w:rPr>
        <w:t>女士下达的宣布其申请不可受理的裁定并未提到不可受理的理由。但是，《欧洲人权公约》第</w:t>
      </w:r>
      <w:r w:rsidRPr="007D7547">
        <w:rPr>
          <w:rFonts w:hint="eastAsia"/>
          <w:lang w:val="en-GB"/>
        </w:rPr>
        <w:t>34</w:t>
      </w:r>
      <w:r w:rsidRPr="007D7547">
        <w:rPr>
          <w:rFonts w:hint="eastAsia"/>
          <w:lang w:val="en-GB"/>
        </w:rPr>
        <w:t>和第</w:t>
      </w:r>
      <w:r w:rsidRPr="007D7547">
        <w:rPr>
          <w:rFonts w:hint="eastAsia"/>
          <w:lang w:val="en-GB"/>
        </w:rPr>
        <w:t>35</w:t>
      </w:r>
      <w:r w:rsidRPr="007D7547">
        <w:rPr>
          <w:rFonts w:hint="eastAsia"/>
          <w:lang w:val="en-GB"/>
        </w:rPr>
        <w:t>条规定了六种不可受理的理由：</w:t>
      </w:r>
      <w:r w:rsidRPr="007D7547">
        <w:rPr>
          <w:lang w:val="en-GB"/>
        </w:rPr>
        <w:t xml:space="preserve">(a) </w:t>
      </w:r>
      <w:r w:rsidRPr="007D7547">
        <w:rPr>
          <w:rFonts w:hint="eastAsia"/>
          <w:lang w:val="en-GB"/>
        </w:rPr>
        <w:t>自国内终审裁定之日起六个月的申请提交期限已过；</w:t>
      </w:r>
      <w:r w:rsidRPr="007D7547">
        <w:rPr>
          <w:lang w:val="en-GB"/>
        </w:rPr>
        <w:t xml:space="preserve">(b) </w:t>
      </w:r>
      <w:r w:rsidRPr="007D7547">
        <w:rPr>
          <w:rFonts w:hint="eastAsia"/>
          <w:lang w:val="en-GB"/>
        </w:rPr>
        <w:t>申诉为匿名提交；</w:t>
      </w:r>
      <w:r w:rsidRPr="007D7547">
        <w:rPr>
          <w:lang w:val="en-GB"/>
        </w:rPr>
        <w:t xml:space="preserve">(c) </w:t>
      </w:r>
      <w:r w:rsidRPr="007D7547">
        <w:rPr>
          <w:rFonts w:hint="eastAsia"/>
          <w:lang w:val="en-GB"/>
        </w:rPr>
        <w:t>所涉事项正由另一国际调查或解决程序审查；</w:t>
      </w:r>
      <w:r w:rsidRPr="007D7547">
        <w:rPr>
          <w:lang w:val="en-GB"/>
        </w:rPr>
        <w:t xml:space="preserve">(d) </w:t>
      </w:r>
      <w:r w:rsidRPr="007D7547">
        <w:rPr>
          <w:rFonts w:hint="eastAsia"/>
          <w:lang w:val="en-GB"/>
        </w:rPr>
        <w:t>国内补救办法尚未用尽；</w:t>
      </w:r>
      <w:r w:rsidRPr="007D7547">
        <w:rPr>
          <w:lang w:val="en-GB"/>
        </w:rPr>
        <w:t xml:space="preserve">(e) </w:t>
      </w:r>
      <w:r w:rsidRPr="007D7547">
        <w:rPr>
          <w:rFonts w:hint="eastAsia"/>
          <w:lang w:val="en-GB"/>
        </w:rPr>
        <w:t>申请明显缺乏根据或属于滥用申诉权；以及</w:t>
      </w:r>
      <w:r w:rsidRPr="007D7547">
        <w:rPr>
          <w:lang w:val="en-GB"/>
        </w:rPr>
        <w:t xml:space="preserve">(f) </w:t>
      </w:r>
      <w:r w:rsidRPr="007D7547">
        <w:rPr>
          <w:rFonts w:hint="eastAsia"/>
          <w:lang w:val="en-GB"/>
        </w:rPr>
        <w:t>申请人没有遭受重大损失。</w:t>
      </w:r>
    </w:p>
    <w:p w:rsidR="007D7547" w:rsidRPr="007D7547" w:rsidRDefault="007D7547" w:rsidP="007D7547">
      <w:pPr>
        <w:pStyle w:val="SingleTxtGC"/>
        <w:rPr>
          <w:lang w:val="en-GB"/>
        </w:rPr>
      </w:pPr>
      <w:r w:rsidRPr="007D7547">
        <w:rPr>
          <w:lang w:val="en-GB"/>
        </w:rPr>
        <w:t>4.7</w:t>
      </w:r>
      <w:r w:rsidRPr="007D7547">
        <w:rPr>
          <w:lang w:val="en-GB"/>
        </w:rPr>
        <w:tab/>
      </w:r>
      <w:r w:rsidRPr="007D7547">
        <w:rPr>
          <w:rFonts w:hint="eastAsia"/>
          <w:lang w:val="en-GB"/>
        </w:rPr>
        <w:t>提交人的申请是在六个月之内提交的，是实名并只向欧洲人权法院提交的，而且提交人据称受到的损失属于《欧洲人权公约》第</w:t>
      </w:r>
      <w:r w:rsidRPr="007D7547">
        <w:rPr>
          <w:rFonts w:hint="eastAsia"/>
          <w:lang w:val="en-GB"/>
        </w:rPr>
        <w:t>35</w:t>
      </w:r>
      <w:r w:rsidRPr="007D7547">
        <w:rPr>
          <w:rFonts w:hint="eastAsia"/>
          <w:lang w:val="en-GB"/>
        </w:rPr>
        <w:t>条所指意义上的重大损失，有鉴于此，缔约国认为，虽未明言但可必然推断出的是，欧洲人权法院驳回申请要么是因为提交人没有用尽国内补救办法，要么是认为申请明显缺乏根据或属于滥用申诉权。</w:t>
      </w:r>
    </w:p>
    <w:p w:rsidR="007D7547" w:rsidRPr="007D7547" w:rsidRDefault="007D7547" w:rsidP="007D7547">
      <w:pPr>
        <w:pStyle w:val="SingleTxtGC"/>
        <w:rPr>
          <w:lang w:val="en-GB"/>
        </w:rPr>
      </w:pPr>
      <w:r w:rsidRPr="007D7547">
        <w:rPr>
          <w:lang w:val="en-GB"/>
        </w:rPr>
        <w:t>4.8</w:t>
      </w:r>
      <w:r w:rsidRPr="007D7547">
        <w:rPr>
          <w:lang w:val="en-GB"/>
        </w:rPr>
        <w:tab/>
      </w:r>
      <w:r w:rsidRPr="007D7547">
        <w:rPr>
          <w:rFonts w:hint="eastAsia"/>
          <w:lang w:val="en-GB"/>
        </w:rPr>
        <w:t>如果是第一种情况，委员会只能得出与欧洲人权法院相同的结论，指出提交人在诉至最高法院时才首次诉称缔约国违反了《公约》第十八和第二十六条。因此，委员会应像处理</w:t>
      </w:r>
      <w:r w:rsidRPr="00566EB3">
        <w:rPr>
          <w:rFonts w:ascii="Time New Roman" w:eastAsia="楷体" w:hAnsi="Time New Roman"/>
          <w:lang w:val="en-GB"/>
        </w:rPr>
        <w:t>B. Singh</w:t>
      </w:r>
      <w:r w:rsidRPr="00566EB3">
        <w:rPr>
          <w:rFonts w:ascii="Time New Roman" w:eastAsia="楷体" w:hAnsi="Time New Roman" w:hint="eastAsia"/>
          <w:lang w:val="en-GB"/>
        </w:rPr>
        <w:t>案</w:t>
      </w:r>
      <w:r w:rsidRPr="007D7547">
        <w:rPr>
          <w:rFonts w:hint="eastAsia"/>
          <w:lang w:val="en-GB"/>
        </w:rPr>
        <w:t>时一样，宣布来文因未用尽国内补救办法而不可受理。</w:t>
      </w:r>
    </w:p>
    <w:p w:rsidR="007D7547" w:rsidRPr="007D7547" w:rsidRDefault="007D7547" w:rsidP="007D7547">
      <w:pPr>
        <w:pStyle w:val="SingleTxtGC"/>
        <w:rPr>
          <w:lang w:val="en-GB"/>
        </w:rPr>
      </w:pPr>
      <w:r w:rsidRPr="007D7547">
        <w:rPr>
          <w:lang w:val="en-GB"/>
        </w:rPr>
        <w:t>4.9</w:t>
      </w:r>
      <w:r w:rsidRPr="007D7547">
        <w:rPr>
          <w:lang w:val="en-GB"/>
        </w:rPr>
        <w:tab/>
      </w:r>
      <w:r w:rsidRPr="007D7547">
        <w:rPr>
          <w:rFonts w:hint="eastAsia"/>
          <w:lang w:val="en-GB"/>
        </w:rPr>
        <w:t>如果是第二种情况，即欧洲人权法院认为申请明显缺乏根据，则该法院必然已对申请人提出的主张进行过审查，这意味着该法院已审议过此案的实质问题。由于法国提出的保留，委员会在这种情况下也不具备司法管辖权。</w:t>
      </w:r>
    </w:p>
    <w:p w:rsidR="007D7547" w:rsidRPr="007D7547" w:rsidRDefault="007D7547" w:rsidP="00E143B6">
      <w:pPr>
        <w:pStyle w:val="SingleTxtGC"/>
        <w:tabs>
          <w:tab w:val="clear" w:pos="1565"/>
          <w:tab w:val="left" w:pos="1701"/>
        </w:tabs>
        <w:rPr>
          <w:lang w:val="en-GB"/>
        </w:rPr>
      </w:pPr>
      <w:r w:rsidRPr="007D7547">
        <w:rPr>
          <w:lang w:val="en-GB"/>
        </w:rPr>
        <w:t>4.10</w:t>
      </w:r>
      <w:r w:rsidRPr="007D7547">
        <w:rPr>
          <w:lang w:val="en-GB"/>
        </w:rPr>
        <w:tab/>
      </w:r>
      <w:r w:rsidRPr="007D7547">
        <w:rPr>
          <w:rFonts w:hint="eastAsia"/>
          <w:lang w:val="en-GB"/>
        </w:rPr>
        <w:t>辩称本案与上述案件并非同一案件的说法是不可接受的。本项申请与向欧洲人权法院提交的申请涉及相同的事实和情节。此外，所提出的问题也相同。综上所述，委员会应宣布来文不可受理。</w:t>
      </w:r>
    </w:p>
    <w:p w:rsidR="007D7547" w:rsidRPr="007D7547" w:rsidRDefault="00452B17" w:rsidP="00452B17">
      <w:pPr>
        <w:pStyle w:val="H23GC"/>
        <w:rPr>
          <w:lang w:val="en-GB"/>
        </w:rPr>
      </w:pPr>
      <w:r w:rsidRPr="007D7547">
        <w:rPr>
          <w:lang w:val="en-GB"/>
        </w:rPr>
        <w:tab/>
      </w:r>
      <w:r w:rsidRPr="007D7547">
        <w:rPr>
          <w:lang w:val="en-GB"/>
        </w:rPr>
        <w:tab/>
      </w:r>
      <w:r w:rsidRPr="007D7547">
        <w:rPr>
          <w:rFonts w:hint="eastAsia"/>
          <w:lang w:val="en-GB"/>
        </w:rPr>
        <w:t>提</w:t>
      </w:r>
      <w:r w:rsidR="007D7547" w:rsidRPr="007D7547">
        <w:rPr>
          <w:rFonts w:hint="eastAsia"/>
          <w:lang w:val="en-GB"/>
        </w:rPr>
        <w:t>交人对缔约国关于可否受理的意见的评论</w:t>
      </w:r>
    </w:p>
    <w:p w:rsidR="007D7547" w:rsidRPr="007D7547" w:rsidRDefault="007D7547" w:rsidP="007D7547">
      <w:pPr>
        <w:pStyle w:val="SingleTxtGC"/>
      </w:pPr>
      <w:r w:rsidRPr="007D7547">
        <w:rPr>
          <w:lang w:val="en-GB"/>
        </w:rPr>
        <w:t>5.1</w:t>
      </w:r>
      <w:r w:rsidRPr="007D7547">
        <w:rPr>
          <w:lang w:val="en-GB"/>
        </w:rPr>
        <w:tab/>
      </w:r>
      <w:r w:rsidRPr="007D7547">
        <w:t>2016</w:t>
      </w:r>
      <w:r w:rsidRPr="007D7547">
        <w:rPr>
          <w:rFonts w:hint="eastAsia"/>
        </w:rPr>
        <w:t>年</w:t>
      </w:r>
      <w:r w:rsidRPr="007D7547">
        <w:t>7</w:t>
      </w:r>
      <w:r w:rsidRPr="007D7547">
        <w:rPr>
          <w:rFonts w:hint="eastAsia"/>
        </w:rPr>
        <w:t>月</w:t>
      </w:r>
      <w:r w:rsidRPr="007D7547">
        <w:t>20</w:t>
      </w:r>
      <w:r w:rsidRPr="007D7547">
        <w:rPr>
          <w:rFonts w:hint="eastAsia"/>
        </w:rPr>
        <w:t>日，提交人表示，自己已在首次来文中充分论证了来文应予受理的法律主张，故没有进一步评论。</w:t>
      </w:r>
    </w:p>
    <w:p w:rsidR="007D7547" w:rsidRPr="007D7547" w:rsidRDefault="007D7547" w:rsidP="007D7547">
      <w:pPr>
        <w:pStyle w:val="SingleTxtGC"/>
        <w:rPr>
          <w:lang w:val="en-GB"/>
        </w:rPr>
      </w:pPr>
      <w:r w:rsidRPr="007D7547">
        <w:rPr>
          <w:lang w:val="en-GB"/>
        </w:rPr>
        <w:t>5.2</w:t>
      </w:r>
      <w:r w:rsidRPr="007D7547">
        <w:rPr>
          <w:lang w:val="en-GB"/>
        </w:rPr>
        <w:tab/>
      </w:r>
      <w:r w:rsidRPr="007D7547">
        <w:rPr>
          <w:rFonts w:hint="eastAsia"/>
          <w:lang w:val="en-GB"/>
        </w:rPr>
        <w:t>但提交人指出，自己已在欧洲人权法院和法国最高法院诉诸司法未果，在这种情况下，缔约国一方面强调她所遭受的损失属于《欧洲人权公约》第</w:t>
      </w:r>
      <w:r w:rsidRPr="007D7547">
        <w:rPr>
          <w:rFonts w:hint="eastAsia"/>
          <w:lang w:val="en-GB"/>
        </w:rPr>
        <w:t>35</w:t>
      </w:r>
      <w:r w:rsidRPr="007D7547">
        <w:rPr>
          <w:rFonts w:hint="eastAsia"/>
          <w:lang w:val="en-GB"/>
        </w:rPr>
        <w:t>条所指意义上的重大损失，另一方面却请委员会不要审议申诉的实质问题，实为一大讽刺。</w:t>
      </w:r>
    </w:p>
    <w:p w:rsidR="007D7547" w:rsidRPr="007D7547" w:rsidRDefault="00452B17" w:rsidP="00452B17">
      <w:pPr>
        <w:pStyle w:val="H23GC"/>
        <w:rPr>
          <w:lang w:val="en-GB"/>
        </w:rPr>
      </w:pPr>
      <w:r w:rsidRPr="007D7547">
        <w:rPr>
          <w:lang w:val="en-GB"/>
        </w:rPr>
        <w:tab/>
      </w:r>
      <w:r w:rsidRPr="007D7547">
        <w:rPr>
          <w:lang w:val="en-GB"/>
        </w:rPr>
        <w:tab/>
      </w:r>
      <w:r w:rsidRPr="007D7547">
        <w:rPr>
          <w:rFonts w:hint="eastAsia"/>
          <w:bCs/>
          <w:lang w:val="en-GB"/>
        </w:rPr>
        <w:t>委</w:t>
      </w:r>
      <w:r w:rsidR="007D7547" w:rsidRPr="007D7547">
        <w:rPr>
          <w:rFonts w:hint="eastAsia"/>
          <w:bCs/>
          <w:lang w:val="en-GB"/>
        </w:rPr>
        <w:t>员会关于可否受理的决定</w:t>
      </w:r>
    </w:p>
    <w:p w:rsidR="007D7547" w:rsidRPr="007D7547" w:rsidRDefault="007D7547" w:rsidP="007D7547">
      <w:pPr>
        <w:pStyle w:val="SingleTxtGC"/>
        <w:rPr>
          <w:lang w:val="en-GB"/>
        </w:rPr>
      </w:pPr>
      <w:r w:rsidRPr="007D7547">
        <w:rPr>
          <w:lang w:val="en-GB"/>
        </w:rPr>
        <w:t>6.1</w:t>
      </w:r>
      <w:r w:rsidRPr="007D7547">
        <w:rPr>
          <w:lang w:val="en-GB"/>
        </w:rPr>
        <w:tab/>
        <w:t>2017</w:t>
      </w:r>
      <w:r w:rsidRPr="007D7547">
        <w:rPr>
          <w:rFonts w:hint="eastAsia"/>
          <w:lang w:val="en-GB"/>
        </w:rPr>
        <w:t>年</w:t>
      </w:r>
      <w:r w:rsidRPr="007D7547">
        <w:rPr>
          <w:rFonts w:hint="eastAsia"/>
          <w:lang w:val="en-GB"/>
        </w:rPr>
        <w:t>7</w:t>
      </w:r>
      <w:r w:rsidRPr="007D7547">
        <w:rPr>
          <w:rFonts w:hint="eastAsia"/>
          <w:lang w:val="en-GB"/>
        </w:rPr>
        <w:t>月</w:t>
      </w:r>
      <w:r w:rsidRPr="007D7547">
        <w:rPr>
          <w:rFonts w:hint="eastAsia"/>
          <w:lang w:val="en-GB"/>
        </w:rPr>
        <w:t>26</w:t>
      </w:r>
      <w:r w:rsidRPr="007D7547">
        <w:rPr>
          <w:rFonts w:hint="eastAsia"/>
          <w:lang w:val="en-GB"/>
        </w:rPr>
        <w:t>日，委员会审议了来文可否受理的问题。</w:t>
      </w:r>
    </w:p>
    <w:p w:rsidR="007D7547" w:rsidRPr="007D7547" w:rsidRDefault="007D7547" w:rsidP="007D7547">
      <w:pPr>
        <w:pStyle w:val="SingleTxtGC"/>
        <w:rPr>
          <w:lang w:val="en-GB"/>
        </w:rPr>
      </w:pPr>
      <w:r w:rsidRPr="007D7547">
        <w:rPr>
          <w:lang w:val="en-GB"/>
        </w:rPr>
        <w:t>6.2</w:t>
      </w:r>
      <w:r w:rsidRPr="007D7547">
        <w:rPr>
          <w:lang w:val="en-GB"/>
        </w:rPr>
        <w:tab/>
      </w:r>
      <w:r w:rsidRPr="007D7547">
        <w:rPr>
          <w:rFonts w:hint="eastAsia"/>
          <w:lang w:val="en-GB"/>
        </w:rPr>
        <w:t>委员会注意到，提交人曾就相同事件向欧洲人权法</w:t>
      </w:r>
      <w:r w:rsidRPr="007D7547">
        <w:rPr>
          <w:lang w:val="en-GB"/>
        </w:rPr>
        <w:t>院</w:t>
      </w:r>
      <w:r w:rsidRPr="007D7547">
        <w:rPr>
          <w:rFonts w:hint="eastAsia"/>
          <w:lang w:val="en-GB"/>
        </w:rPr>
        <w:t>递交申请，并已从</w:t>
      </w:r>
      <w:r w:rsidRPr="007D7547">
        <w:rPr>
          <w:rFonts w:hint="eastAsia"/>
          <w:lang w:val="en-GB"/>
        </w:rPr>
        <w:t>2014</w:t>
      </w:r>
      <w:r w:rsidRPr="007D7547">
        <w:rPr>
          <w:rFonts w:hint="eastAsia"/>
          <w:lang w:val="en-GB"/>
        </w:rPr>
        <w:t>年</w:t>
      </w:r>
      <w:r w:rsidRPr="007D7547">
        <w:rPr>
          <w:rFonts w:hint="eastAsia"/>
          <w:lang w:val="en-GB"/>
        </w:rPr>
        <w:t>9</w:t>
      </w:r>
      <w:r w:rsidRPr="007D7547">
        <w:rPr>
          <w:rFonts w:hint="eastAsia"/>
          <w:lang w:val="en-GB"/>
        </w:rPr>
        <w:t>月</w:t>
      </w:r>
      <w:r w:rsidRPr="007D7547">
        <w:rPr>
          <w:rFonts w:hint="eastAsia"/>
          <w:lang w:val="en-GB"/>
        </w:rPr>
        <w:t>11</w:t>
      </w:r>
      <w:r w:rsidRPr="007D7547">
        <w:rPr>
          <w:rFonts w:hint="eastAsia"/>
          <w:lang w:val="en-GB"/>
        </w:rPr>
        <w:t>日的信函获悉，该法院已由一名法官做出决定，宣布“申诉不符合《公约》第</w:t>
      </w:r>
      <w:r w:rsidRPr="007D7547">
        <w:rPr>
          <w:lang w:val="en-GB"/>
        </w:rPr>
        <w:t>34</w:t>
      </w:r>
      <w:r w:rsidRPr="007D7547">
        <w:rPr>
          <w:rFonts w:hint="eastAsia"/>
          <w:lang w:val="en-GB"/>
        </w:rPr>
        <w:t>和第</w:t>
      </w:r>
      <w:r w:rsidRPr="007D7547">
        <w:rPr>
          <w:rFonts w:hint="eastAsia"/>
          <w:lang w:val="en-GB"/>
        </w:rPr>
        <w:t>35</w:t>
      </w:r>
      <w:r w:rsidRPr="007D7547">
        <w:rPr>
          <w:rFonts w:hint="eastAsia"/>
          <w:lang w:val="en-GB"/>
        </w:rPr>
        <w:t>条规定的受理条件，故不可受理”。委员会回顾指出，法国在批准《任择议定书》时曾提出一项保留，对于已由或正由另一国际调查或解决程序审查的案件，不承认委员会的职权。但是，委员会从欧洲人权法院的信函中看出，提交人的申请被宣布不可受理似乎并不是单纯基于程序性理由，而从该法院简练的论述来看，显然也没有就不予受理的决定向提交人提供任何论据或说明，以表明有合理理由基于案件的实质问题驳回其申请。因此，委员会认为其无法确切地肯定提交人所递交案件的实质问题已经过法国的保留所指意义上的审议，哪怕是有限的审议。</w:t>
      </w:r>
      <w:r w:rsidR="002007EF" w:rsidRPr="002007EF">
        <w:rPr>
          <w:color w:val="0000FF"/>
          <w:vertAlign w:val="superscript"/>
          <w:lang w:val="en-GB"/>
        </w:rPr>
        <w:footnoteReference w:id="17"/>
      </w:r>
      <w:r w:rsidRPr="007D7547">
        <w:rPr>
          <w:rFonts w:hint="eastAsia"/>
          <w:lang w:val="en-GB"/>
        </w:rPr>
        <w:t xml:space="preserve"> </w:t>
      </w:r>
      <w:r w:rsidRPr="007D7547">
        <w:rPr>
          <w:rFonts w:hint="eastAsia"/>
          <w:lang w:val="en-GB"/>
        </w:rPr>
        <w:t>鉴于上述原因，委员会认为，法国就《任择议定书》第五条第</w:t>
      </w:r>
      <w:r w:rsidRPr="007D7547">
        <w:rPr>
          <w:rFonts w:hint="eastAsia"/>
          <w:lang w:val="en-GB"/>
        </w:rPr>
        <w:t>2</w:t>
      </w:r>
      <w:r w:rsidRPr="007D7547">
        <w:rPr>
          <w:rFonts w:hint="eastAsia"/>
          <w:lang w:val="en-GB"/>
        </w:rPr>
        <w:t>款提出的保留本身并不妨碍委员会审议本案的实质问题。</w:t>
      </w:r>
    </w:p>
    <w:p w:rsidR="007D7547" w:rsidRPr="007D7547" w:rsidRDefault="007D7547" w:rsidP="007D7547">
      <w:pPr>
        <w:pStyle w:val="SingleTxtGC"/>
        <w:rPr>
          <w:lang w:val="en-GB"/>
        </w:rPr>
      </w:pPr>
      <w:r w:rsidRPr="007D7547">
        <w:rPr>
          <w:lang w:val="en-GB"/>
        </w:rPr>
        <w:t>6.3</w:t>
      </w:r>
      <w:r w:rsidRPr="007D7547">
        <w:rPr>
          <w:lang w:val="en-GB"/>
        </w:rPr>
        <w:tab/>
      </w:r>
      <w:r w:rsidRPr="007D7547">
        <w:rPr>
          <w:rFonts w:hint="eastAsia"/>
          <w:lang w:val="en-GB"/>
        </w:rPr>
        <w:t>关于《任择议定书》第五条第</w:t>
      </w:r>
      <w:r w:rsidRPr="007D7547">
        <w:rPr>
          <w:rFonts w:hint="eastAsia"/>
          <w:lang w:val="en-GB"/>
        </w:rPr>
        <w:t>2</w:t>
      </w:r>
      <w:r w:rsidRPr="007D7547">
        <w:rPr>
          <w:rFonts w:hint="eastAsia"/>
          <w:lang w:val="en-GB"/>
        </w:rPr>
        <w:t>款</w:t>
      </w:r>
      <w:r w:rsidRPr="007D7547">
        <w:rPr>
          <w:lang w:val="en-GB"/>
        </w:rPr>
        <w:t>(</w:t>
      </w:r>
      <w:r w:rsidRPr="007D7547">
        <w:rPr>
          <w:rFonts w:hint="eastAsia"/>
          <w:lang w:val="en-GB"/>
        </w:rPr>
        <w:t>丑</w:t>
      </w:r>
      <w:r w:rsidRPr="007D7547">
        <w:rPr>
          <w:lang w:val="en-GB"/>
        </w:rPr>
        <w:t>)</w:t>
      </w:r>
      <w:r w:rsidRPr="007D7547">
        <w:rPr>
          <w:rFonts w:hint="eastAsia"/>
          <w:lang w:val="en-GB"/>
        </w:rPr>
        <w:t>项规定的用尽国内补救办法的要求，委员会注意到，提交人目前向委员会提出的实质性侵权申诉是在诉至最高法院刑事庭时才首次提出的，最高法院刑事庭认定有关诉因不可受理，因为提交人本应向下级法院提出这些诉因。但是，委员会也注意到，提交人声称自己在将有关申诉提交最高法院之前仅有一次机会向社区法院提出申诉。在这个问题上，提交人指出社区法院的审案程序极为匆促，只有一名通常不是职业法官的法官判案，而且她无法对此程序提出上诉，也没有得到律师协助。提交人还表示，自己诉至向最高法院是妥当的，因为与事后合宪监督案件一样，她的申诉是基于《民事诉讼法》第</w:t>
      </w:r>
      <w:r w:rsidRPr="007D7547">
        <w:rPr>
          <w:rFonts w:hint="eastAsia"/>
          <w:lang w:val="en-GB"/>
        </w:rPr>
        <w:t>619</w:t>
      </w:r>
      <w:r w:rsidRPr="007D7547">
        <w:rPr>
          <w:rFonts w:hint="eastAsia"/>
          <w:lang w:val="en-GB"/>
        </w:rPr>
        <w:t>条所指意义上的“纯法律诉因”。</w:t>
      </w:r>
    </w:p>
    <w:p w:rsidR="007D7547" w:rsidRPr="007D7547" w:rsidRDefault="007D7547" w:rsidP="007D7547">
      <w:pPr>
        <w:pStyle w:val="SingleTxtGC"/>
        <w:rPr>
          <w:lang w:val="en-GB"/>
        </w:rPr>
      </w:pPr>
      <w:r w:rsidRPr="007D7547">
        <w:rPr>
          <w:lang w:val="en-GB"/>
        </w:rPr>
        <w:t>6.4</w:t>
      </w:r>
      <w:r w:rsidRPr="007D7547">
        <w:rPr>
          <w:lang w:val="en-GB"/>
        </w:rPr>
        <w:tab/>
      </w:r>
      <w:r w:rsidRPr="007D7547">
        <w:rPr>
          <w:rFonts w:hint="eastAsia"/>
          <w:lang w:val="en-GB"/>
        </w:rPr>
        <w:t>委员会注意到，缔约国没有反驳上述指称，尤其是没有反驳那些关于社区法院的程序及其在提交人一案中是否可用和有效的指称。委员会还注意到：社区法院是公共场所，根据《第</w:t>
      </w:r>
      <w:r w:rsidRPr="007D7547">
        <w:rPr>
          <w:lang w:val="en-GB"/>
        </w:rPr>
        <w:t>2010-1192</w:t>
      </w:r>
      <w:r w:rsidRPr="007D7547">
        <w:rPr>
          <w:rFonts w:hint="eastAsia"/>
          <w:lang w:val="en-GB"/>
        </w:rPr>
        <w:t>号法》，在社区法院戴尼卡布属于刑事犯罪，此外缔约国在提交的材料中表示，提交人在试图出席社区法官主持的听审时，因在安检过程中拒绝摘下全脸面纱而被第二次处以罚款，最终没有出席听审。委员会还注意到，缔约国援引的</w:t>
      </w:r>
      <w:r w:rsidRPr="007D7547">
        <w:rPr>
          <w:rFonts w:hint="eastAsia"/>
          <w:iCs/>
          <w:lang w:val="en-GB"/>
        </w:rPr>
        <w:t>B</w:t>
      </w:r>
      <w:r w:rsidRPr="007D7547">
        <w:rPr>
          <w:iCs/>
          <w:lang w:val="en-GB"/>
        </w:rPr>
        <w:t>. Singh</w:t>
      </w:r>
      <w:r w:rsidRPr="00566EB3">
        <w:rPr>
          <w:rFonts w:ascii="Time New Roman" w:eastAsia="楷体" w:hAnsi="Time New Roman" w:hint="eastAsia"/>
          <w:iCs/>
          <w:lang w:val="en-GB"/>
        </w:rPr>
        <w:t>诉法国</w:t>
      </w:r>
      <w:r w:rsidRPr="007D7547">
        <w:rPr>
          <w:rFonts w:hint="eastAsia"/>
          <w:lang w:val="en-GB"/>
        </w:rPr>
        <w:t>案不涉及必须保障上诉权的刑事诉讼程序，且该案提交人在试图向最高法院提出新的申诉之前已经有过机会向两所下级法院提出申诉。相比之下，本案中委员会认为提交人无法以上诉方式请最高法院之外的另一所法院重新审理她的申诉，</w:t>
      </w:r>
      <w:r w:rsidR="002007EF" w:rsidRPr="002007EF">
        <w:rPr>
          <w:color w:val="0000FF"/>
          <w:vertAlign w:val="superscript"/>
          <w:lang w:val="en-GB"/>
        </w:rPr>
        <w:footnoteReference w:id="18"/>
      </w:r>
      <w:r w:rsidR="00A322DF">
        <w:rPr>
          <w:rFonts w:hint="eastAsia"/>
          <w:lang w:val="en-GB"/>
        </w:rPr>
        <w:t xml:space="preserve"> </w:t>
      </w:r>
      <w:r w:rsidRPr="007D7547">
        <w:rPr>
          <w:rFonts w:hint="eastAsia"/>
          <w:lang w:val="en-GB"/>
        </w:rPr>
        <w:t>并认定提交人已用尽合理可用的国内补救办法。</w:t>
      </w:r>
    </w:p>
    <w:p w:rsidR="007D7547" w:rsidRPr="0083293E" w:rsidRDefault="007D7547" w:rsidP="007D7547">
      <w:pPr>
        <w:pStyle w:val="SingleTxtGC"/>
      </w:pPr>
      <w:r w:rsidRPr="007D7547">
        <w:rPr>
          <w:lang w:val="en-GB"/>
        </w:rPr>
        <w:t>6.5</w:t>
      </w:r>
      <w:r w:rsidRPr="007D7547">
        <w:rPr>
          <w:lang w:val="en-GB"/>
        </w:rPr>
        <w:tab/>
      </w:r>
      <w:r w:rsidRPr="007D7547">
        <w:rPr>
          <w:rFonts w:hint="eastAsia"/>
          <w:lang w:val="en-GB"/>
        </w:rPr>
        <w:t>委员会宣布来文提出了涉及《公约》第十八和第二十六条的问题，故可予受理</w:t>
      </w:r>
      <w:r w:rsidR="0083293E">
        <w:rPr>
          <w:rFonts w:hint="eastAsia"/>
          <w:lang w:val="en-GB"/>
        </w:rPr>
        <w:t>。</w:t>
      </w:r>
    </w:p>
    <w:p w:rsidR="007D7547" w:rsidRPr="007D7547" w:rsidRDefault="00452B17" w:rsidP="00452B17">
      <w:pPr>
        <w:pStyle w:val="H23GC"/>
        <w:rPr>
          <w:lang w:val="en-GB"/>
        </w:rPr>
      </w:pPr>
      <w:r w:rsidRPr="007D7547">
        <w:rPr>
          <w:lang w:val="en-GB"/>
        </w:rPr>
        <w:tab/>
      </w:r>
      <w:r w:rsidRPr="007D7547">
        <w:rPr>
          <w:lang w:val="en-GB"/>
        </w:rPr>
        <w:tab/>
      </w:r>
      <w:r w:rsidRPr="007D7547">
        <w:rPr>
          <w:rFonts w:hint="eastAsia"/>
          <w:bCs/>
          <w:lang w:val="en-GB"/>
        </w:rPr>
        <w:t>缔</w:t>
      </w:r>
      <w:r w:rsidR="007D7547" w:rsidRPr="007D7547">
        <w:rPr>
          <w:rFonts w:hint="eastAsia"/>
          <w:bCs/>
          <w:lang w:val="en-GB"/>
        </w:rPr>
        <w:t>约国关于实质问题的意见</w:t>
      </w:r>
    </w:p>
    <w:p w:rsidR="007D7547" w:rsidRPr="007D7547" w:rsidRDefault="007D7547" w:rsidP="007D7547">
      <w:pPr>
        <w:pStyle w:val="SingleTxtGC"/>
        <w:rPr>
          <w:lang w:val="en-GB"/>
        </w:rPr>
      </w:pPr>
      <w:r w:rsidRPr="007D7547">
        <w:rPr>
          <w:lang w:val="en-GB"/>
        </w:rPr>
        <w:t>7.1</w:t>
      </w:r>
      <w:r w:rsidRPr="007D7547">
        <w:rPr>
          <w:lang w:val="en-GB"/>
        </w:rPr>
        <w:tab/>
      </w:r>
      <w:r w:rsidRPr="007D7547">
        <w:rPr>
          <w:rFonts w:hint="eastAsia"/>
          <w:lang w:val="en-GB"/>
        </w:rPr>
        <w:t>缔约国在</w:t>
      </w:r>
      <w:r w:rsidRPr="007D7547">
        <w:rPr>
          <w:lang w:val="en-GB"/>
        </w:rPr>
        <w:t>2016</w:t>
      </w:r>
      <w:r w:rsidRPr="007D7547">
        <w:rPr>
          <w:rFonts w:hint="eastAsia"/>
          <w:lang w:val="en-GB"/>
        </w:rPr>
        <w:t>年</w:t>
      </w:r>
      <w:r w:rsidRPr="007D7547">
        <w:rPr>
          <w:lang w:val="en-GB"/>
        </w:rPr>
        <w:t>9</w:t>
      </w:r>
      <w:r w:rsidRPr="007D7547">
        <w:rPr>
          <w:rFonts w:hint="eastAsia"/>
          <w:lang w:val="en-GB"/>
        </w:rPr>
        <w:t>月</w:t>
      </w:r>
      <w:r w:rsidRPr="007D7547">
        <w:rPr>
          <w:lang w:val="en-GB"/>
        </w:rPr>
        <w:t>16</w:t>
      </w:r>
      <w:r w:rsidRPr="007D7547">
        <w:rPr>
          <w:rFonts w:hint="eastAsia"/>
          <w:lang w:val="en-GB"/>
        </w:rPr>
        <w:t>日关于来文实质问题的意见中指出，《第</w:t>
      </w:r>
      <w:r w:rsidRPr="007D7547">
        <w:rPr>
          <w:lang w:val="en-GB"/>
        </w:rPr>
        <w:t>2010-1192</w:t>
      </w:r>
      <w:r w:rsidRPr="007D7547">
        <w:rPr>
          <w:rFonts w:hint="eastAsia"/>
          <w:lang w:val="en-GB"/>
        </w:rPr>
        <w:t>号法》是经过广泛的民主辩论后，由国民议会和参议院在仅有一票反对的情况下通过的。缔约国为此设立了一个议会委员会，汇集了各政治派别的民选代表，听取了民间社会多方的不同意见，包括穆斯林和非穆斯林的意见。</w:t>
      </w:r>
    </w:p>
    <w:p w:rsidR="007D7547" w:rsidRPr="007D7547" w:rsidRDefault="007D7547" w:rsidP="007D7547">
      <w:pPr>
        <w:pStyle w:val="SingleTxtGC"/>
        <w:rPr>
          <w:lang w:val="en-GB"/>
        </w:rPr>
      </w:pPr>
      <w:r w:rsidRPr="007D7547">
        <w:rPr>
          <w:lang w:val="en-GB"/>
        </w:rPr>
        <w:t>7.2</w:t>
      </w:r>
      <w:r w:rsidRPr="007D7547">
        <w:rPr>
          <w:lang w:val="en-GB"/>
        </w:rPr>
        <w:tab/>
      </w:r>
      <w:r w:rsidRPr="007D7547">
        <w:rPr>
          <w:rFonts w:hint="eastAsia"/>
          <w:lang w:val="en-GB"/>
        </w:rPr>
        <w:t>缔约国报告称，在《第</w:t>
      </w:r>
      <w:r w:rsidRPr="007D7547">
        <w:rPr>
          <w:lang w:val="en-GB"/>
        </w:rPr>
        <w:t>2010-1192</w:t>
      </w:r>
      <w:r w:rsidRPr="007D7547">
        <w:rPr>
          <w:rFonts w:hint="eastAsia"/>
          <w:lang w:val="en-GB"/>
        </w:rPr>
        <w:t>号法》获通过之前，国民议会曾于</w:t>
      </w:r>
      <w:r w:rsidRPr="007D7547">
        <w:rPr>
          <w:lang w:val="en-GB"/>
        </w:rPr>
        <w:t>2010</w:t>
      </w:r>
      <w:r w:rsidRPr="007D7547">
        <w:rPr>
          <w:rFonts w:hint="eastAsia"/>
          <w:lang w:val="en-GB"/>
        </w:rPr>
        <w:t>年</w:t>
      </w:r>
      <w:r w:rsidRPr="007D7547">
        <w:rPr>
          <w:lang w:val="en-GB"/>
        </w:rPr>
        <w:t>5</w:t>
      </w:r>
      <w:r w:rsidRPr="007D7547">
        <w:rPr>
          <w:rFonts w:hint="eastAsia"/>
          <w:lang w:val="en-GB"/>
        </w:rPr>
        <w:t>月</w:t>
      </w:r>
      <w:r w:rsidRPr="007D7547">
        <w:rPr>
          <w:lang w:val="en-GB"/>
        </w:rPr>
        <w:t>11</w:t>
      </w:r>
      <w:r w:rsidRPr="007D7547">
        <w:rPr>
          <w:rFonts w:hint="eastAsia"/>
          <w:lang w:val="en-GB"/>
        </w:rPr>
        <w:t>日通过一项决议，指出“佩戴全脸面纱等有损尊严和男女平等的激进做法不符合共和国的价值观”，并呼吁采取一切适当手段，“确保切实保护遭受胁迫或压力的妇女，特别是被迫佩戴全脸面纱的妇女”。</w:t>
      </w:r>
      <w:r w:rsidR="002007EF" w:rsidRPr="002007EF">
        <w:rPr>
          <w:color w:val="0000FF"/>
          <w:vertAlign w:val="superscript"/>
          <w:lang w:val="en-GB"/>
        </w:rPr>
        <w:footnoteReference w:id="19"/>
      </w:r>
    </w:p>
    <w:p w:rsidR="007D7547" w:rsidRPr="007D7547" w:rsidRDefault="007D7547" w:rsidP="007D7547">
      <w:pPr>
        <w:pStyle w:val="SingleTxtGC"/>
        <w:rPr>
          <w:lang w:val="en-GB"/>
        </w:rPr>
      </w:pPr>
      <w:r w:rsidRPr="007D7547">
        <w:rPr>
          <w:lang w:val="en-GB"/>
        </w:rPr>
        <w:t>7.3</w:t>
      </w:r>
      <w:r w:rsidRPr="007D7547">
        <w:rPr>
          <w:lang w:val="en-GB"/>
        </w:rPr>
        <w:tab/>
      </w:r>
      <w:r w:rsidRPr="007D7547">
        <w:rPr>
          <w:rFonts w:hint="eastAsia"/>
          <w:lang w:val="en-GB"/>
        </w:rPr>
        <w:t>缔约国指出，《第</w:t>
      </w:r>
      <w:r w:rsidRPr="007D7547">
        <w:rPr>
          <w:lang w:val="en-GB"/>
        </w:rPr>
        <w:t>2010-1192</w:t>
      </w:r>
      <w:r w:rsidRPr="007D7547">
        <w:rPr>
          <w:rFonts w:hint="eastAsia"/>
          <w:lang w:val="en-GB"/>
        </w:rPr>
        <w:t>号法》规定的一般性禁令只涉及掩藏面部，因此在宗旨上范围极为有限。此外，该法是保护有关原则的必要举措，正是这些原则推动了该法的通过。在其规定的处罚措施方面，立法机关已经采取了以教育为主的方针，因而也是恰如其分的。缔约国认为，该法因此在民主社会基本原则的维护与按照自身宗教或其他信仰着装的自由之间实现了合理平衡。</w:t>
      </w:r>
    </w:p>
    <w:p w:rsidR="007D7547" w:rsidRPr="007D7547" w:rsidRDefault="007D7547" w:rsidP="007D7547">
      <w:pPr>
        <w:pStyle w:val="SingleTxtGC"/>
        <w:rPr>
          <w:lang w:val="en-GB"/>
        </w:rPr>
      </w:pPr>
      <w:r w:rsidRPr="007D7547">
        <w:rPr>
          <w:lang w:val="en-GB"/>
        </w:rPr>
        <w:t>7.4</w:t>
      </w:r>
      <w:r w:rsidRPr="007D7547">
        <w:rPr>
          <w:lang w:val="en-GB"/>
        </w:rPr>
        <w:tab/>
      </w:r>
      <w:r w:rsidRPr="007D7547">
        <w:rPr>
          <w:rFonts w:hint="eastAsia"/>
          <w:lang w:val="en-GB"/>
        </w:rPr>
        <w:t>缔约国强调，该国并不是唯一一个禁止在公共场所穿戴掩藏面部的服饰的国家。比利时联邦议会已批准了相同的禁令，意大利议会下院也已为此目的通过了一项法案。</w:t>
      </w:r>
    </w:p>
    <w:p w:rsidR="00722306" w:rsidRDefault="00722306">
      <w:pPr>
        <w:tabs>
          <w:tab w:val="clear" w:pos="431"/>
        </w:tabs>
        <w:overflowPunct/>
        <w:adjustRightInd/>
        <w:snapToGrid/>
        <w:spacing w:line="240" w:lineRule="auto"/>
        <w:jc w:val="left"/>
        <w:rPr>
          <w:lang w:val="en-GB"/>
        </w:rPr>
      </w:pPr>
      <w:r>
        <w:rPr>
          <w:lang w:val="en-GB"/>
        </w:rPr>
        <w:br w:type="page"/>
      </w:r>
    </w:p>
    <w:p w:rsidR="007D7547" w:rsidRPr="007D7547" w:rsidRDefault="007D7547" w:rsidP="007D7547">
      <w:pPr>
        <w:pStyle w:val="SingleTxtGC"/>
        <w:rPr>
          <w:lang w:val="en-GB"/>
        </w:rPr>
      </w:pPr>
      <w:r w:rsidRPr="007D7547">
        <w:rPr>
          <w:lang w:val="en-GB"/>
        </w:rPr>
        <w:t>7.5</w:t>
      </w:r>
      <w:r w:rsidRPr="007D7547">
        <w:rPr>
          <w:lang w:val="en-GB"/>
        </w:rPr>
        <w:tab/>
      </w:r>
      <w:r w:rsidRPr="007D7547">
        <w:rPr>
          <w:rFonts w:hint="eastAsia"/>
          <w:lang w:val="en-GB"/>
        </w:rPr>
        <w:t>缔约国补充称，该法确立的禁令涵盖所有旨在在公共场所掩藏面部的服饰，不论其形式或穿戴目的。出于宗教或原因穿戴的服饰不会享受特殊对待。但是，鉴于人们穿戴某些旨在掩藏面部的服饰是出于宗教原因，该禁令可能被视为对表示自身宗教或信仰的自由</w:t>
      </w:r>
      <w:r w:rsidRPr="007D7547">
        <w:rPr>
          <w:lang w:val="en-GB"/>
        </w:rPr>
        <w:t>(</w:t>
      </w:r>
      <w:r w:rsidRPr="007D7547">
        <w:rPr>
          <w:lang w:val="en-GB"/>
        </w:rPr>
        <w:t>外庭</w:t>
      </w:r>
      <w:r w:rsidRPr="007D7547">
        <w:rPr>
          <w:rFonts w:hint="eastAsia"/>
          <w:lang w:val="en-GB"/>
        </w:rPr>
        <w:t>自由</w:t>
      </w:r>
      <w:r w:rsidRPr="007D7547">
        <w:rPr>
          <w:lang w:val="en-GB"/>
        </w:rPr>
        <w:t>)</w:t>
      </w:r>
      <w:r w:rsidRPr="007D7547">
        <w:rPr>
          <w:rFonts w:hint="eastAsia"/>
          <w:lang w:val="en-GB"/>
        </w:rPr>
        <w:t>的“限制”。</w:t>
      </w:r>
    </w:p>
    <w:p w:rsidR="007D7547" w:rsidRPr="007D7547" w:rsidRDefault="007D7547" w:rsidP="007D7547">
      <w:pPr>
        <w:pStyle w:val="SingleTxtGC"/>
        <w:rPr>
          <w:lang w:val="en-GB"/>
        </w:rPr>
      </w:pPr>
      <w:r w:rsidRPr="007D7547">
        <w:rPr>
          <w:lang w:val="en-GB"/>
        </w:rPr>
        <w:t>7.6</w:t>
      </w:r>
      <w:r w:rsidRPr="007D7547">
        <w:rPr>
          <w:lang w:val="en-GB"/>
        </w:rPr>
        <w:tab/>
      </w:r>
      <w:r w:rsidRPr="007D7547">
        <w:rPr>
          <w:rFonts w:hint="eastAsia"/>
          <w:lang w:val="en-GB"/>
        </w:rPr>
        <w:t>缔约国指出，在这种情况下，有关限制是由法律规定的，具有正当的目标，并且是实现这一正当目标的相称举措。对禁令及其例外情况的表述均清楚、确切。缔约国补充称，</w:t>
      </w:r>
      <w:r w:rsidRPr="007D7547">
        <w:rPr>
          <w:lang w:val="en-GB"/>
        </w:rPr>
        <w:t>2011</w:t>
      </w:r>
      <w:r w:rsidRPr="007D7547">
        <w:rPr>
          <w:rFonts w:hint="eastAsia"/>
          <w:lang w:val="en-GB"/>
        </w:rPr>
        <w:t>年</w:t>
      </w:r>
      <w:r w:rsidRPr="007D7547">
        <w:rPr>
          <w:lang w:val="en-GB"/>
        </w:rPr>
        <w:t>3</w:t>
      </w:r>
      <w:r w:rsidRPr="007D7547">
        <w:rPr>
          <w:rFonts w:hint="eastAsia"/>
          <w:lang w:val="en-GB"/>
        </w:rPr>
        <w:t>月</w:t>
      </w:r>
      <w:r w:rsidRPr="007D7547">
        <w:rPr>
          <w:lang w:val="en-GB"/>
        </w:rPr>
        <w:t>2</w:t>
      </w:r>
      <w:r w:rsidRPr="007D7547">
        <w:rPr>
          <w:rFonts w:hint="eastAsia"/>
          <w:lang w:val="en-GB"/>
        </w:rPr>
        <w:t>日的通知全面解释了该法的范围和实施安排，同时在公共场所开展了宣传活动，在行政单位分发了传单，并建立了一个教育网站。缔约国进一步强调，该法规定，从颁布到生效有六个月的间隔；因此，该法符合可预见性要求，而且提交人已经知晓自己可能遭到处罚。</w:t>
      </w:r>
    </w:p>
    <w:p w:rsidR="007D7547" w:rsidRPr="007D7547" w:rsidRDefault="007D7547" w:rsidP="007D7547">
      <w:pPr>
        <w:pStyle w:val="SingleTxtGC"/>
        <w:rPr>
          <w:lang w:val="en-GB"/>
        </w:rPr>
      </w:pPr>
      <w:r w:rsidRPr="007D7547">
        <w:rPr>
          <w:lang w:val="en-GB"/>
        </w:rPr>
        <w:t>7.7</w:t>
      </w:r>
      <w:r w:rsidRPr="007D7547">
        <w:rPr>
          <w:lang w:val="en-GB"/>
        </w:rPr>
        <w:tab/>
      </w:r>
      <w:r w:rsidRPr="007D7547">
        <w:rPr>
          <w:rFonts w:hint="eastAsia"/>
          <w:lang w:val="en-GB"/>
        </w:rPr>
        <w:t>这项受到质疑的法律具有保护他人权利和自由及维护公共秩序的正当目标，这些都是《公约》第十八条第</w:t>
      </w:r>
      <w:r w:rsidRPr="007D7547">
        <w:rPr>
          <w:lang w:val="en-GB"/>
        </w:rPr>
        <w:t>3</w:t>
      </w:r>
      <w:r w:rsidRPr="007D7547">
        <w:rPr>
          <w:rFonts w:hint="eastAsia"/>
          <w:lang w:val="en-GB"/>
        </w:rPr>
        <w:t>款所载的目标。缔约国认为，该法的宗旨声明明确地界定了这些目标，并重申了共和国的价值观和共同生活的要求。在这方面，欧洲人权法院在其对</w:t>
      </w:r>
      <w:r w:rsidRPr="007D7547">
        <w:rPr>
          <w:iCs/>
          <w:lang w:val="en-GB"/>
        </w:rPr>
        <w:t>S.A.S.</w:t>
      </w:r>
      <w:r w:rsidRPr="00566EB3">
        <w:rPr>
          <w:rFonts w:ascii="Time New Roman" w:eastAsia="楷体" w:hAnsi="Time New Roman" w:hint="eastAsia"/>
          <w:iCs/>
          <w:lang w:val="en-GB"/>
        </w:rPr>
        <w:t>诉法国</w:t>
      </w:r>
      <w:r w:rsidRPr="007D7547">
        <w:rPr>
          <w:rFonts w:hint="eastAsia"/>
          <w:lang w:val="en-GB"/>
        </w:rPr>
        <w:t>案的判决中认定，只有旨在保证“共同生活”</w:t>
      </w:r>
      <w:r w:rsidRPr="007D7547">
        <w:rPr>
          <w:rFonts w:hint="eastAsia"/>
          <w:lang w:val="en-GB"/>
        </w:rPr>
        <w:t>(</w:t>
      </w:r>
      <w:r w:rsidRPr="007D7547">
        <w:rPr>
          <w:lang w:val="en-GB"/>
        </w:rPr>
        <w:t>法国政府</w:t>
      </w:r>
      <w:r w:rsidRPr="007D7547">
        <w:rPr>
          <w:rFonts w:hint="eastAsia"/>
          <w:lang w:val="en-GB"/>
        </w:rPr>
        <w:t>称之为遵守社会生活最基本要求</w:t>
      </w:r>
      <w:r w:rsidRPr="007D7547">
        <w:rPr>
          <w:rFonts w:hint="eastAsia"/>
          <w:lang w:val="en-GB"/>
        </w:rPr>
        <w:t>)</w:t>
      </w:r>
      <w:r w:rsidRPr="007D7547">
        <w:rPr>
          <w:rFonts w:hint="eastAsia"/>
          <w:lang w:val="en-GB"/>
        </w:rPr>
        <w:t>的条件的禁令，才是合理的禁令。缔约国认为，公共场所是开展社会生活和人际交往的主要场所。面部在这种社会交往中具有重要的作用，因为在身体各个部位中，面部能够表现对话双方共同具备的人性。人们露出面部，既表露出愿意被他人识别为同类，也不会不公平地掩藏自己与他人交往时的心态，因此能表现出在法国这样一个奉行平等主义和开放的社会共同生活所必需的最基本程度的信任。掩藏面部不仅妨碍了身份的识别，还可能损害人际交往，并破坏多样人群共同生活的条件。</w:t>
      </w:r>
    </w:p>
    <w:p w:rsidR="007D7547" w:rsidRPr="007D7547" w:rsidRDefault="007D7547" w:rsidP="007D7547">
      <w:pPr>
        <w:pStyle w:val="SingleTxtGC"/>
        <w:rPr>
          <w:lang w:val="en-GB"/>
        </w:rPr>
      </w:pPr>
      <w:r w:rsidRPr="007D7547">
        <w:rPr>
          <w:lang w:val="en-GB"/>
        </w:rPr>
        <w:t>7.8</w:t>
      </w:r>
      <w:r w:rsidRPr="007D7547">
        <w:rPr>
          <w:lang w:val="en-GB"/>
        </w:rPr>
        <w:tab/>
      </w:r>
      <w:r w:rsidRPr="007D7547">
        <w:rPr>
          <w:rFonts w:hint="eastAsia"/>
          <w:lang w:val="en-GB"/>
        </w:rPr>
        <w:t>缔约国指出，为了保障公共安全和公共秩序，该国必须能在必要时识别所有人的身份，以规避对人身或财产安全的威胁并打击身份欺诈。这意味着人们要露出面部，在全球恐怖主义威胁的背景下，这一要求尤为重要。</w:t>
      </w:r>
      <w:r w:rsidR="002007EF" w:rsidRPr="002007EF">
        <w:rPr>
          <w:color w:val="0000FF"/>
          <w:vertAlign w:val="superscript"/>
          <w:lang w:val="en-GB"/>
        </w:rPr>
        <w:footnoteReference w:id="20"/>
      </w:r>
      <w:r w:rsidRPr="007D7547">
        <w:rPr>
          <w:lang w:val="en-GB"/>
        </w:rPr>
        <w:t xml:space="preserve"> </w:t>
      </w:r>
    </w:p>
    <w:p w:rsidR="007D7547" w:rsidRPr="007D7547" w:rsidRDefault="007D7547" w:rsidP="007D7547">
      <w:pPr>
        <w:pStyle w:val="SingleTxtGC"/>
        <w:rPr>
          <w:lang w:val="en-GB"/>
        </w:rPr>
      </w:pPr>
      <w:r w:rsidRPr="007D7547">
        <w:rPr>
          <w:lang w:val="en-GB"/>
        </w:rPr>
        <w:t>7.9</w:t>
      </w:r>
      <w:r w:rsidRPr="007D7547">
        <w:rPr>
          <w:lang w:val="en-GB"/>
        </w:rPr>
        <w:tab/>
      </w:r>
      <w:r w:rsidRPr="007D7547">
        <w:rPr>
          <w:rFonts w:hint="eastAsia"/>
          <w:lang w:val="en-GB"/>
        </w:rPr>
        <w:t>缔约国反对关于《第</w:t>
      </w:r>
      <w:r w:rsidRPr="007D7547">
        <w:rPr>
          <w:lang w:val="en-GB"/>
        </w:rPr>
        <w:t>2010-1192</w:t>
      </w:r>
      <w:r w:rsidRPr="007D7547">
        <w:rPr>
          <w:rFonts w:hint="eastAsia"/>
          <w:lang w:val="en-GB"/>
        </w:rPr>
        <w:t>号法》禁止穆斯林妇女通过戴面纱来表示自身宗教信仰的说法，并强调该法只禁止出于任何动机的完全掩藏面部的行为，任何人只要露出面部，都可在公共场所穿戴旨在表示宗教信仰的服饰，例如头巾或裹头巾。这项禁令涉及的问题与禁止公务员在履行职责时佩戴宗教标志和禁止人们在学校内佩戴此类标志的问题有很大差异，后两者是因为公共服务必须保持中立。而就此项禁令而言，有关服饰之所以被禁止，并不是因为它们的宗教内涵，而只是单纯因为它们完全遮盖了面部。禁令只会影响那些在公众视野中藏匿穿戴者的极为激进的服饰形式。提交人可以在不掩藏面部的情况下，戴着表示自身宗教信仰的面纱进出公共场所，这并非难事。此外，宪法委员会已作过澄清，禁令不应限制人们在向公众开放的礼拜场所行使宗教自由。因此，正如欧洲人权法院在上述</w:t>
      </w:r>
      <w:r w:rsidRPr="007D7547">
        <w:rPr>
          <w:iCs/>
          <w:lang w:val="en-GB"/>
        </w:rPr>
        <w:t>S.A.S.</w:t>
      </w:r>
      <w:r w:rsidRPr="00566EB3">
        <w:rPr>
          <w:rFonts w:ascii="Time New Roman" w:eastAsia="楷体" w:hAnsi="Time New Roman" w:hint="eastAsia"/>
          <w:iCs/>
          <w:lang w:val="en-GB"/>
        </w:rPr>
        <w:t>诉法国</w:t>
      </w:r>
      <w:r w:rsidRPr="007D7547">
        <w:rPr>
          <w:rFonts w:hint="eastAsia"/>
          <w:lang w:val="en-GB"/>
        </w:rPr>
        <w:t>案中指出的，这项禁令与所要实现的目标相称，缔约国在本案中也并未逾越自己的酌处范围。另外，最高法院已在</w:t>
      </w:r>
      <w:r w:rsidRPr="007D7547">
        <w:rPr>
          <w:lang w:val="en-GB"/>
        </w:rPr>
        <w:t>2013</w:t>
      </w:r>
      <w:r w:rsidRPr="007D7547">
        <w:rPr>
          <w:rFonts w:hint="eastAsia"/>
          <w:lang w:val="en-GB"/>
        </w:rPr>
        <w:t>年</w:t>
      </w:r>
      <w:r w:rsidRPr="007D7547">
        <w:rPr>
          <w:lang w:val="en-GB"/>
        </w:rPr>
        <w:t>3</w:t>
      </w:r>
      <w:r w:rsidRPr="007D7547">
        <w:rPr>
          <w:rFonts w:hint="eastAsia"/>
          <w:lang w:val="en-GB"/>
        </w:rPr>
        <w:t>月</w:t>
      </w:r>
      <w:r w:rsidRPr="007D7547">
        <w:rPr>
          <w:lang w:val="en-GB"/>
        </w:rPr>
        <w:t>5</w:t>
      </w:r>
      <w:r w:rsidRPr="007D7547">
        <w:rPr>
          <w:rFonts w:hint="eastAsia"/>
          <w:lang w:val="en-GB"/>
        </w:rPr>
        <w:t>日的判决中裁定，《第</w:t>
      </w:r>
      <w:r w:rsidRPr="007D7547">
        <w:rPr>
          <w:lang w:val="en-GB"/>
        </w:rPr>
        <w:t>2010-1192</w:t>
      </w:r>
      <w:r w:rsidRPr="007D7547">
        <w:rPr>
          <w:rFonts w:hint="eastAsia"/>
          <w:lang w:val="en-GB"/>
        </w:rPr>
        <w:t>号法》符合《欧洲人权公约》第</w:t>
      </w:r>
      <w:r w:rsidRPr="007D7547">
        <w:rPr>
          <w:rFonts w:hint="eastAsia"/>
          <w:lang w:val="en-GB"/>
        </w:rPr>
        <w:t>9</w:t>
      </w:r>
      <w:r w:rsidRPr="007D7547">
        <w:rPr>
          <w:rFonts w:hint="eastAsia"/>
          <w:lang w:val="en-GB"/>
        </w:rPr>
        <w:t>条</w:t>
      </w:r>
      <w:r w:rsidRPr="007D7547">
        <w:rPr>
          <w:lang w:val="en-GB"/>
        </w:rPr>
        <w:t>(</w:t>
      </w:r>
      <w:r w:rsidRPr="007D7547">
        <w:rPr>
          <w:rFonts w:hint="eastAsia"/>
          <w:lang w:val="en-GB"/>
        </w:rPr>
        <w:t>思想、良心和宗教自由</w:t>
      </w:r>
      <w:r w:rsidRPr="007D7547">
        <w:rPr>
          <w:lang w:val="en-GB"/>
        </w:rPr>
        <w:t>)</w:t>
      </w:r>
      <w:r w:rsidRPr="007D7547">
        <w:rPr>
          <w:rFonts w:hint="eastAsia"/>
          <w:lang w:val="en-GB"/>
        </w:rPr>
        <w:t>。最后，缔约国指出，该法规定的处罚，</w:t>
      </w:r>
      <w:r w:rsidRPr="007D7547">
        <w:rPr>
          <w:rFonts w:hint="eastAsia"/>
        </w:rPr>
        <w:t>即</w:t>
      </w:r>
      <w:r w:rsidRPr="007D7547">
        <w:rPr>
          <w:rFonts w:hint="eastAsia"/>
          <w:lang w:val="en-GB"/>
        </w:rPr>
        <w:t>对一项二类罪行处以最高</w:t>
      </w:r>
      <w:r w:rsidRPr="007D7547">
        <w:rPr>
          <w:lang w:val="en-GB"/>
        </w:rPr>
        <w:t>150</w:t>
      </w:r>
      <w:r w:rsidRPr="007D7547">
        <w:rPr>
          <w:rFonts w:hint="eastAsia"/>
          <w:lang w:val="en-GB"/>
        </w:rPr>
        <w:t>欧元的罚款，不仅适度，也与所要实现的目标相称。该法规定的参加公民课程这一替代处罚是法国刑法中一种常见处罚，可能适用于多种罪行，旨在让犯罪人铭记宽容和尊重人的尊严这两项共和国价值观，并让他们意识到自己的刑事和民事责任以及作为社会的一分子生活时所</w:t>
      </w:r>
      <w:r w:rsidRPr="007D7547">
        <w:rPr>
          <w:rFonts w:hint="eastAsia"/>
        </w:rPr>
        <w:t>要承担</w:t>
      </w:r>
      <w:r w:rsidRPr="007D7547">
        <w:rPr>
          <w:rFonts w:hint="eastAsia"/>
          <w:lang w:val="en-GB"/>
        </w:rPr>
        <w:t>的义务。</w:t>
      </w:r>
    </w:p>
    <w:p w:rsidR="007D7547" w:rsidRPr="007D7547" w:rsidRDefault="007D7547" w:rsidP="00E143B6">
      <w:pPr>
        <w:pStyle w:val="SingleTxtGC"/>
        <w:tabs>
          <w:tab w:val="clear" w:pos="1565"/>
          <w:tab w:val="left" w:pos="1701"/>
        </w:tabs>
        <w:rPr>
          <w:lang w:val="en-GB"/>
        </w:rPr>
      </w:pPr>
      <w:r w:rsidRPr="007D7547">
        <w:rPr>
          <w:lang w:val="en-GB"/>
        </w:rPr>
        <w:t>7.10</w:t>
      </w:r>
      <w:r w:rsidRPr="007D7547">
        <w:rPr>
          <w:lang w:val="en-GB"/>
        </w:rPr>
        <w:tab/>
        <w:t>2011</w:t>
      </w:r>
      <w:r w:rsidRPr="007D7547">
        <w:rPr>
          <w:rFonts w:hint="eastAsia"/>
          <w:lang w:val="en-GB"/>
        </w:rPr>
        <w:t>年</w:t>
      </w:r>
      <w:r w:rsidRPr="007D7547">
        <w:rPr>
          <w:lang w:val="en-GB"/>
        </w:rPr>
        <w:t>3</w:t>
      </w:r>
      <w:r w:rsidRPr="007D7547">
        <w:rPr>
          <w:rFonts w:hint="eastAsia"/>
          <w:lang w:val="en-GB"/>
        </w:rPr>
        <w:t>月</w:t>
      </w:r>
      <w:r w:rsidRPr="007D7547">
        <w:rPr>
          <w:lang w:val="en-GB"/>
        </w:rPr>
        <w:t>31</w:t>
      </w:r>
      <w:r w:rsidRPr="007D7547">
        <w:rPr>
          <w:rFonts w:hint="eastAsia"/>
          <w:lang w:val="en-GB"/>
        </w:rPr>
        <w:t>日总理致各省长的通知详细介绍了警察和宪兵可处理有关罪行的方式，并指出《第</w:t>
      </w:r>
      <w:r w:rsidRPr="007D7547">
        <w:rPr>
          <w:lang w:val="en-GB"/>
        </w:rPr>
        <w:t>2010-1192</w:t>
      </w:r>
      <w:r w:rsidRPr="007D7547">
        <w:rPr>
          <w:rFonts w:hint="eastAsia"/>
          <w:lang w:val="en-GB"/>
        </w:rPr>
        <w:t>号法》在任何情况下都不授予警员强迫个人露出面部的权力。因此，不存在过度限制宗教自由权的问题。</w:t>
      </w:r>
    </w:p>
    <w:p w:rsidR="007D7547" w:rsidRPr="007D7547" w:rsidRDefault="007D7547" w:rsidP="00E143B6">
      <w:pPr>
        <w:pStyle w:val="SingleTxtGC"/>
        <w:tabs>
          <w:tab w:val="clear" w:pos="1565"/>
          <w:tab w:val="left" w:pos="1701"/>
        </w:tabs>
        <w:rPr>
          <w:lang w:val="en-GB"/>
        </w:rPr>
      </w:pPr>
      <w:r w:rsidRPr="007D7547">
        <w:rPr>
          <w:lang w:val="en-GB"/>
        </w:rPr>
        <w:t>7.11</w:t>
      </w:r>
      <w:r w:rsidRPr="007D7547">
        <w:rPr>
          <w:lang w:val="en-GB"/>
        </w:rPr>
        <w:tab/>
      </w:r>
      <w:r w:rsidRPr="007D7547">
        <w:rPr>
          <w:rFonts w:hint="eastAsia"/>
          <w:lang w:val="en-GB"/>
        </w:rPr>
        <w:t>关于提交人声称缔约国违反《公约》第十二和第二十六条的申诉，缔约国指出，提交人未能证明《第</w:t>
      </w:r>
      <w:r w:rsidRPr="007D7547">
        <w:rPr>
          <w:lang w:val="en-GB"/>
        </w:rPr>
        <w:t>2010-1192</w:t>
      </w:r>
      <w:r w:rsidRPr="007D7547">
        <w:rPr>
          <w:rFonts w:hint="eastAsia"/>
          <w:lang w:val="en-GB"/>
        </w:rPr>
        <w:t>号法》所出台的禁令仅适用于佩戴全脸面纱的妇女，以其他方式掩藏面部的人员不用接受检查。事实与此相反，《第</w:t>
      </w:r>
      <w:r w:rsidRPr="007D7547">
        <w:rPr>
          <w:lang w:val="en-GB"/>
        </w:rPr>
        <w:t>2010-1192</w:t>
      </w:r>
      <w:r w:rsidRPr="007D7547">
        <w:rPr>
          <w:rFonts w:hint="eastAsia"/>
          <w:lang w:val="en-GB"/>
        </w:rPr>
        <w:t>号法》规定的是一般性禁令，并不针对任何特定服饰，对男女也没有区别对待。此外，该法出台的禁令具有客观、合理的理由，因此其本身不可能具有歧视性，也不可能有损行动自由。</w:t>
      </w:r>
    </w:p>
    <w:p w:rsidR="007D7547" w:rsidRPr="007D7547" w:rsidRDefault="00452B17" w:rsidP="00452B17">
      <w:pPr>
        <w:pStyle w:val="H23GC"/>
        <w:rPr>
          <w:lang w:val="en-GB"/>
        </w:rPr>
      </w:pPr>
      <w:r w:rsidRPr="007D7547">
        <w:rPr>
          <w:lang w:val="en-GB"/>
        </w:rPr>
        <w:tab/>
      </w:r>
      <w:r w:rsidRPr="007D7547">
        <w:rPr>
          <w:lang w:val="en-GB"/>
        </w:rPr>
        <w:tab/>
      </w:r>
      <w:r w:rsidRPr="007D7547">
        <w:rPr>
          <w:rFonts w:hint="eastAsia"/>
          <w:bCs/>
          <w:lang w:val="en-GB"/>
        </w:rPr>
        <w:t>委</w:t>
      </w:r>
      <w:r w:rsidR="007D7547" w:rsidRPr="007D7547">
        <w:rPr>
          <w:rFonts w:hint="eastAsia"/>
          <w:bCs/>
          <w:lang w:val="en-GB"/>
        </w:rPr>
        <w:t>员会需审理的问题和议事情况</w:t>
      </w:r>
    </w:p>
    <w:p w:rsidR="007D7547" w:rsidRPr="007D7547" w:rsidRDefault="00452B17" w:rsidP="00E143B6">
      <w:pPr>
        <w:pStyle w:val="H4GC"/>
        <w:rPr>
          <w:lang w:val="en-GB"/>
        </w:rPr>
      </w:pPr>
      <w:r w:rsidRPr="007D7547">
        <w:rPr>
          <w:lang w:val="en-GB"/>
        </w:rPr>
        <w:tab/>
      </w:r>
      <w:r w:rsidRPr="007D7547">
        <w:rPr>
          <w:lang w:val="en-GB"/>
        </w:rPr>
        <w:tab/>
      </w:r>
      <w:r w:rsidRPr="007D7547">
        <w:rPr>
          <w:rFonts w:hint="eastAsia"/>
          <w:iCs/>
          <w:lang w:val="en-GB"/>
        </w:rPr>
        <w:t>审</w:t>
      </w:r>
      <w:r w:rsidR="007D7547" w:rsidRPr="007D7547">
        <w:rPr>
          <w:rFonts w:hint="eastAsia"/>
          <w:iCs/>
          <w:lang w:val="en-GB"/>
        </w:rPr>
        <w:t>议</w:t>
      </w:r>
      <w:r w:rsidR="007D7547" w:rsidRPr="00E143B6">
        <w:rPr>
          <w:rFonts w:hint="eastAsia"/>
          <w:lang w:val="en-GB"/>
        </w:rPr>
        <w:t>实质</w:t>
      </w:r>
      <w:r w:rsidR="007D7547" w:rsidRPr="007D7547">
        <w:rPr>
          <w:rFonts w:hint="eastAsia"/>
          <w:iCs/>
          <w:lang w:val="en-GB"/>
        </w:rPr>
        <w:t>问题</w:t>
      </w:r>
    </w:p>
    <w:p w:rsidR="007D7547" w:rsidRPr="007D7547" w:rsidRDefault="007D7547" w:rsidP="007D7547">
      <w:pPr>
        <w:pStyle w:val="SingleTxtGC"/>
        <w:rPr>
          <w:lang w:val="en-GB"/>
        </w:rPr>
      </w:pPr>
      <w:r w:rsidRPr="007D7547">
        <w:rPr>
          <w:lang w:val="en-GB"/>
        </w:rPr>
        <w:t>8.1</w:t>
      </w:r>
      <w:r w:rsidRPr="007D7547">
        <w:rPr>
          <w:lang w:val="en-GB"/>
        </w:rPr>
        <w:tab/>
      </w:r>
      <w:r w:rsidRPr="007D7547">
        <w:rPr>
          <w:rFonts w:hint="eastAsia"/>
          <w:lang w:val="en-GB"/>
        </w:rPr>
        <w:t>委员会根据《任择议定书》第五条第</w:t>
      </w:r>
      <w:r w:rsidRPr="007D7547">
        <w:rPr>
          <w:lang w:val="en-GB"/>
        </w:rPr>
        <w:t>1</w:t>
      </w:r>
      <w:r w:rsidRPr="007D7547">
        <w:rPr>
          <w:rFonts w:hint="eastAsia"/>
          <w:lang w:val="en-GB"/>
        </w:rPr>
        <w:t>款的要求，参照各方提供的所有资料，审议了本来文。</w:t>
      </w:r>
    </w:p>
    <w:p w:rsidR="007D7547" w:rsidRPr="001B6388" w:rsidRDefault="007D7547" w:rsidP="007D7547">
      <w:pPr>
        <w:pStyle w:val="SingleTxtGC"/>
        <w:rPr>
          <w:spacing w:val="2"/>
          <w:lang w:val="en-GB"/>
        </w:rPr>
      </w:pPr>
      <w:r w:rsidRPr="007D7547">
        <w:rPr>
          <w:lang w:val="en-GB"/>
        </w:rPr>
        <w:t>8.2</w:t>
      </w:r>
      <w:r w:rsidRPr="007D7547">
        <w:rPr>
          <w:lang w:val="en-GB"/>
        </w:rPr>
        <w:tab/>
      </w:r>
      <w:r w:rsidRPr="007D7547">
        <w:rPr>
          <w:rFonts w:hint="eastAsia"/>
          <w:lang w:val="en-GB"/>
        </w:rPr>
        <w:t>委员会注意到，提交人声称《第</w:t>
      </w:r>
      <w:r w:rsidRPr="007D7547">
        <w:rPr>
          <w:lang w:val="en-GB"/>
        </w:rPr>
        <w:t>2010-1192</w:t>
      </w:r>
      <w:r w:rsidRPr="007D7547">
        <w:rPr>
          <w:rFonts w:hint="eastAsia"/>
          <w:lang w:val="en-GB"/>
        </w:rPr>
        <w:t>号法》出台的禁止在公共场所掩藏面部的刑事禁令以及她因戴尼卡布而被定罪一事侵犯了她根据《公约》第十八条享有的权利。委员会注意到缔约国的主张，即该《第</w:t>
      </w:r>
      <w:r w:rsidRPr="007D7547">
        <w:rPr>
          <w:lang w:val="en-GB"/>
        </w:rPr>
        <w:t>2010-1192</w:t>
      </w:r>
      <w:r w:rsidRPr="007D7547">
        <w:rPr>
          <w:rFonts w:hint="eastAsia"/>
          <w:lang w:val="en-GB"/>
        </w:rPr>
        <w:t>号法》实施的是一般性禁令，禁止所有旨在用于在公共场所掩藏面部的服饰，不论其形式或穿戴原因，并且该法并未专门针对宗教服饰。但委员会注意到，该法第</w:t>
      </w:r>
      <w:r w:rsidRPr="007D7547">
        <w:rPr>
          <w:rFonts w:hint="eastAsia"/>
          <w:lang w:val="en-GB"/>
        </w:rPr>
        <w:t>2</w:t>
      </w:r>
      <w:r w:rsidRPr="007D7547">
        <w:rPr>
          <w:rFonts w:hint="eastAsia"/>
          <w:lang w:val="en-GB"/>
        </w:rPr>
        <w:t>条第</w:t>
      </w:r>
      <w:r w:rsidRPr="007D7547">
        <w:rPr>
          <w:lang w:val="en-GB"/>
        </w:rPr>
        <w:t>II</w:t>
      </w:r>
      <w:r w:rsidRPr="007D7547">
        <w:rPr>
          <w:rFonts w:hint="eastAsia"/>
          <w:lang w:val="en-GB"/>
        </w:rPr>
        <w:t>款规定了广泛的例外情况，因“健康原因”或出于“职业原因”穿戴的服饰，或是“属于体育、艺术或传统庆典或活动的部分内容”，包括“宗教游行”部分内容的服饰，以及经法律条文或规章条款规定或授权的服饰，均不受禁令限制。委员会还注意到，提交人提出并且缔约国没有反驳的是，法国佩戴全脸面纱的妇女只有不到</w:t>
      </w:r>
      <w:r w:rsidRPr="007D7547">
        <w:rPr>
          <w:lang w:val="en-GB"/>
        </w:rPr>
        <w:t>2,000</w:t>
      </w:r>
      <w:r w:rsidRPr="007D7547">
        <w:rPr>
          <w:rFonts w:hint="eastAsia"/>
          <w:lang w:val="en-GB"/>
        </w:rPr>
        <w:t>人，根据《第</w:t>
      </w:r>
      <w:r w:rsidRPr="007D7547">
        <w:rPr>
          <w:lang w:val="en-GB"/>
        </w:rPr>
        <w:t>2010-1192</w:t>
      </w:r>
      <w:r w:rsidRPr="007D7547">
        <w:rPr>
          <w:rFonts w:hint="eastAsia"/>
          <w:lang w:val="en-GB"/>
        </w:rPr>
        <w:t>号法》实施的绝大多数检查都是针对</w:t>
      </w:r>
      <w:r w:rsidRPr="001B6388">
        <w:rPr>
          <w:rFonts w:hint="eastAsia"/>
          <w:spacing w:val="2"/>
          <w:lang w:val="en-GB"/>
        </w:rPr>
        <w:t>佩戴全脸面纱的妇女进行的。</w:t>
      </w:r>
      <w:r w:rsidR="002007EF" w:rsidRPr="001B6388">
        <w:rPr>
          <w:color w:val="0000FF"/>
          <w:spacing w:val="2"/>
          <w:vertAlign w:val="superscript"/>
          <w:lang w:val="en-GB"/>
        </w:rPr>
        <w:footnoteReference w:id="21"/>
      </w:r>
      <w:r w:rsidRPr="001B6388">
        <w:rPr>
          <w:spacing w:val="2"/>
          <w:lang w:val="en-GB"/>
        </w:rPr>
        <w:t xml:space="preserve"> </w:t>
      </w:r>
    </w:p>
    <w:p w:rsidR="007D7547" w:rsidRPr="007D7547" w:rsidRDefault="007D7547" w:rsidP="007D7547">
      <w:pPr>
        <w:pStyle w:val="SingleTxtGC"/>
        <w:rPr>
          <w:lang w:val="en-GB"/>
        </w:rPr>
      </w:pPr>
      <w:r w:rsidRPr="001B6388">
        <w:rPr>
          <w:spacing w:val="2"/>
          <w:lang w:val="en-GB"/>
        </w:rPr>
        <w:t>8.3</w:t>
      </w:r>
      <w:r w:rsidRPr="001B6388">
        <w:rPr>
          <w:spacing w:val="2"/>
          <w:lang w:val="en-GB"/>
        </w:rPr>
        <w:tab/>
      </w:r>
      <w:r w:rsidRPr="001B6388">
        <w:rPr>
          <w:rFonts w:hint="eastAsia"/>
          <w:spacing w:val="2"/>
          <w:lang w:val="en-GB"/>
        </w:rPr>
        <w:t>委员会回顾其第</w:t>
      </w:r>
      <w:r w:rsidRPr="001B6388">
        <w:rPr>
          <w:spacing w:val="2"/>
          <w:lang w:val="en-GB"/>
        </w:rPr>
        <w:t>22</w:t>
      </w:r>
      <w:r w:rsidRPr="001B6388">
        <w:rPr>
          <w:rFonts w:hint="eastAsia"/>
          <w:spacing w:val="2"/>
          <w:lang w:val="en-GB"/>
        </w:rPr>
        <w:t>号一般性意见，委员会在其中指出，表示宗教或信仰的自由既可单独行使，也可与他人集体行使，既可公开行使，也可私下行使。对宗教或信仰的信守和崇奉可能不仅包括典礼，也包括穿戴独特服饰或头巾等习俗。</w:t>
      </w:r>
      <w:r w:rsidR="002007EF" w:rsidRPr="001B6388">
        <w:rPr>
          <w:color w:val="0000FF"/>
          <w:spacing w:val="2"/>
          <w:vertAlign w:val="superscript"/>
          <w:lang w:val="en-GB"/>
        </w:rPr>
        <w:footnoteReference w:id="22"/>
      </w:r>
      <w:r w:rsidRPr="007D7547">
        <w:rPr>
          <w:rFonts w:hint="eastAsia"/>
          <w:lang w:val="en-GB"/>
        </w:rPr>
        <w:t xml:space="preserve"> </w:t>
      </w:r>
      <w:r w:rsidRPr="007D7547">
        <w:rPr>
          <w:rFonts w:hint="eastAsia"/>
          <w:lang w:val="en-GB"/>
        </w:rPr>
        <w:t>提交人声称佩戴全脸面纱是部分穆斯林信徒的习俗，涉及对礼仪的履行和对宗教的奉行，这一说法并没有疑问。同样没有争议的是，《第</w:t>
      </w:r>
      <w:r w:rsidRPr="007D7547">
        <w:rPr>
          <w:lang w:val="en-GB"/>
        </w:rPr>
        <w:t>2010-1192</w:t>
      </w:r>
      <w:r w:rsidRPr="007D7547">
        <w:rPr>
          <w:rFonts w:hint="eastAsia"/>
          <w:lang w:val="en-GB"/>
        </w:rPr>
        <w:t>号法》禁止旨在在公共场所掩藏面部的服饰，适用于提交人所戴的尼卡布，提交人因而不得不放弃符合其宗教信仰的服饰，否则就将面临处罚。因此，委员会认为，《第</w:t>
      </w:r>
      <w:r w:rsidRPr="007D7547">
        <w:rPr>
          <w:lang w:val="en-GB"/>
        </w:rPr>
        <w:t>2010-1192</w:t>
      </w:r>
      <w:r w:rsidRPr="007D7547">
        <w:rPr>
          <w:rFonts w:hint="eastAsia"/>
          <w:lang w:val="en-GB"/>
        </w:rPr>
        <w:t>号法》出台的禁令构成对《公约》第十八条第</w:t>
      </w:r>
      <w:r w:rsidRPr="007D7547">
        <w:rPr>
          <w:lang w:val="en-GB"/>
        </w:rPr>
        <w:t>1</w:t>
      </w:r>
      <w:r w:rsidRPr="007D7547">
        <w:rPr>
          <w:rFonts w:hint="eastAsia"/>
          <w:lang w:val="en-GB"/>
        </w:rPr>
        <w:t>款所指意义上提交人</w:t>
      </w:r>
      <w:r w:rsidRPr="007D7547">
        <w:rPr>
          <w:rFonts w:hint="eastAsia"/>
          <w:lang w:val="en-GB"/>
        </w:rPr>
        <w:t>(</w:t>
      </w:r>
      <w:r w:rsidRPr="007D7547">
        <w:rPr>
          <w:rFonts w:hint="eastAsia"/>
          <w:lang w:val="en-GB"/>
        </w:rPr>
        <w:t>通过戴尼卡布</w:t>
      </w:r>
      <w:r w:rsidRPr="007D7547">
        <w:rPr>
          <w:rFonts w:hint="eastAsia"/>
          <w:lang w:val="en-GB"/>
        </w:rPr>
        <w:t>)</w:t>
      </w:r>
      <w:r w:rsidRPr="007D7547">
        <w:rPr>
          <w:rFonts w:hint="eastAsia"/>
          <w:lang w:val="en-GB"/>
        </w:rPr>
        <w:t>表示自身信仰或宗教的自由的限制或制约。</w:t>
      </w:r>
    </w:p>
    <w:p w:rsidR="007D7547" w:rsidRPr="007D7547" w:rsidRDefault="007D7547" w:rsidP="007D7547">
      <w:pPr>
        <w:pStyle w:val="SingleTxtGC"/>
        <w:rPr>
          <w:lang w:val="en-GB"/>
        </w:rPr>
      </w:pPr>
      <w:r w:rsidRPr="007D7547">
        <w:rPr>
          <w:lang w:val="en-GB"/>
        </w:rPr>
        <w:t>8.4</w:t>
      </w:r>
      <w:r w:rsidRPr="007D7547">
        <w:rPr>
          <w:lang w:val="en-GB"/>
        </w:rPr>
        <w:tab/>
      </w:r>
      <w:r w:rsidRPr="007D7547">
        <w:rPr>
          <w:rFonts w:hint="eastAsia"/>
          <w:lang w:val="en-GB"/>
        </w:rPr>
        <w:t>接下来，委员会必须确定这一限制是否属于《公约》第十八条第</w:t>
      </w:r>
      <w:r w:rsidRPr="007D7547">
        <w:rPr>
          <w:lang w:val="en-GB"/>
        </w:rPr>
        <w:t>3</w:t>
      </w:r>
      <w:r w:rsidRPr="007D7547">
        <w:rPr>
          <w:rFonts w:hint="eastAsia"/>
          <w:lang w:val="en-GB"/>
        </w:rPr>
        <w:t>款所授权的限制。委员会回顾指出，第十八条第</w:t>
      </w:r>
      <w:r w:rsidRPr="007D7547">
        <w:rPr>
          <w:rFonts w:hint="eastAsia"/>
          <w:lang w:val="en-GB"/>
        </w:rPr>
        <w:t>3</w:t>
      </w:r>
      <w:r w:rsidRPr="007D7547">
        <w:rPr>
          <w:rFonts w:hint="eastAsia"/>
          <w:lang w:val="en-GB"/>
        </w:rPr>
        <w:t>款仅允许对表示宗教或信仰的自由施加法律所规定的以及为保护公共安全、秩序、卫生或道德或他人的基本权利和自由所必需的限制。</w:t>
      </w:r>
      <w:r w:rsidR="002007EF" w:rsidRPr="002007EF">
        <w:rPr>
          <w:color w:val="0000FF"/>
          <w:vertAlign w:val="superscript"/>
          <w:lang w:val="en-GB"/>
        </w:rPr>
        <w:footnoteReference w:id="23"/>
      </w:r>
      <w:r w:rsidRPr="007D7547">
        <w:rPr>
          <w:lang w:val="en-GB"/>
        </w:rPr>
        <w:t xml:space="preserve"> </w:t>
      </w:r>
      <w:r w:rsidRPr="007D7547">
        <w:rPr>
          <w:rFonts w:hint="eastAsia"/>
          <w:lang w:val="en-GB"/>
        </w:rPr>
        <w:t>委员会还回顾指出，对于第十八条第</w:t>
      </w:r>
      <w:r w:rsidRPr="007D7547">
        <w:rPr>
          <w:rFonts w:hint="eastAsia"/>
          <w:lang w:val="en-GB"/>
        </w:rPr>
        <w:t>3</w:t>
      </w:r>
      <w:r w:rsidRPr="007D7547">
        <w:rPr>
          <w:rFonts w:hint="eastAsia"/>
          <w:lang w:val="en-GB"/>
        </w:rPr>
        <w:t>款应予以严格字面的解释：不允许以该款未提及的理由实施限制，哪怕是国家安全这样的可以之限制《公约》所保护的其他权利的理由。制约措施的实施必须符合其既定目的，并且必须与其所基于的特殊需要直接相关和相称。不得以歧视目的或以歧视性方式施加限制。</w:t>
      </w:r>
      <w:r w:rsidR="002007EF" w:rsidRPr="002007EF">
        <w:rPr>
          <w:color w:val="0000FF"/>
          <w:vertAlign w:val="superscript"/>
          <w:lang w:val="en-GB"/>
        </w:rPr>
        <w:footnoteReference w:id="24"/>
      </w:r>
    </w:p>
    <w:p w:rsidR="007D7547" w:rsidRPr="007D7547" w:rsidRDefault="007D7547" w:rsidP="007D7547">
      <w:pPr>
        <w:pStyle w:val="SingleTxtGC"/>
        <w:rPr>
          <w:bCs/>
          <w:lang w:val="en-GB"/>
        </w:rPr>
      </w:pPr>
      <w:r w:rsidRPr="007D7547">
        <w:rPr>
          <w:lang w:val="en-GB"/>
        </w:rPr>
        <w:t>8.5</w:t>
      </w:r>
      <w:r w:rsidRPr="007D7547">
        <w:rPr>
          <w:lang w:val="en-GB"/>
        </w:rPr>
        <w:tab/>
      </w:r>
      <w:r w:rsidRPr="007D7547">
        <w:rPr>
          <w:rFonts w:hint="eastAsia"/>
          <w:bCs/>
          <w:lang w:val="en-GB"/>
        </w:rPr>
        <w:t>本案中，委员会注意到，尼卡布禁令明显属于《第</w:t>
      </w:r>
      <w:r w:rsidRPr="007D7547">
        <w:rPr>
          <w:bCs/>
          <w:lang w:val="en-GB"/>
        </w:rPr>
        <w:t>2010-1192</w:t>
      </w:r>
      <w:r w:rsidRPr="007D7547">
        <w:rPr>
          <w:rFonts w:hint="eastAsia"/>
          <w:bCs/>
          <w:lang w:val="en-GB"/>
        </w:rPr>
        <w:t>号法》第</w:t>
      </w:r>
      <w:r w:rsidRPr="007D7547">
        <w:rPr>
          <w:bCs/>
          <w:lang w:val="en-GB"/>
        </w:rPr>
        <w:t>1</w:t>
      </w:r>
      <w:r w:rsidRPr="007D7547">
        <w:rPr>
          <w:rFonts w:hint="eastAsia"/>
          <w:bCs/>
          <w:lang w:val="en-GB"/>
        </w:rPr>
        <w:t>条界定的范围，这一点没有争议。因此，委员会有责任评估这一法定限制是否是为了实现正当目标、是否是实现这一目标的必要举措以及是否相称和不歧视。</w:t>
      </w:r>
    </w:p>
    <w:p w:rsidR="007D7547" w:rsidRPr="007D7547" w:rsidRDefault="007D7547" w:rsidP="007D7547">
      <w:pPr>
        <w:pStyle w:val="SingleTxtGC"/>
        <w:rPr>
          <w:lang w:val="en-GB"/>
        </w:rPr>
      </w:pPr>
      <w:r w:rsidRPr="007D7547">
        <w:rPr>
          <w:lang w:val="en-GB"/>
        </w:rPr>
        <w:t>8.6</w:t>
      </w:r>
      <w:r w:rsidRPr="007D7547">
        <w:rPr>
          <w:lang w:val="en-GB"/>
        </w:rPr>
        <w:tab/>
      </w:r>
      <w:r w:rsidRPr="007D7547">
        <w:rPr>
          <w:rFonts w:hint="eastAsia"/>
          <w:lang w:val="en-GB"/>
        </w:rPr>
        <w:t>委员会注意到，缔约国指出了</w:t>
      </w:r>
      <w:r w:rsidRPr="007D7547">
        <w:rPr>
          <w:rFonts w:hint="eastAsia"/>
          <w:bCs/>
          <w:lang w:val="en-GB"/>
        </w:rPr>
        <w:t>《第</w:t>
      </w:r>
      <w:r w:rsidRPr="007D7547">
        <w:rPr>
          <w:bCs/>
          <w:lang w:val="en-GB"/>
        </w:rPr>
        <w:t>2010-1192</w:t>
      </w:r>
      <w:r w:rsidRPr="007D7547">
        <w:rPr>
          <w:rFonts w:hint="eastAsia"/>
          <w:bCs/>
          <w:lang w:val="en-GB"/>
        </w:rPr>
        <w:t>号法》所要实现的两个目标</w:t>
      </w:r>
      <w:r w:rsidRPr="007D7547">
        <w:rPr>
          <w:rFonts w:hint="eastAsia"/>
          <w:lang w:val="en-GB"/>
        </w:rPr>
        <w:t>，即维护公共秩序和安全，以及保护他人的权利和自由。</w:t>
      </w:r>
    </w:p>
    <w:p w:rsidR="007D7547" w:rsidRPr="007D7547" w:rsidRDefault="007D7547" w:rsidP="007D7547">
      <w:pPr>
        <w:pStyle w:val="SingleTxtGC"/>
        <w:rPr>
          <w:lang w:val="en-GB"/>
        </w:rPr>
      </w:pPr>
      <w:r w:rsidRPr="007D7547">
        <w:rPr>
          <w:lang w:val="en-GB"/>
        </w:rPr>
        <w:t>8.7</w:t>
      </w:r>
      <w:r w:rsidRPr="007D7547">
        <w:rPr>
          <w:lang w:val="en-GB"/>
        </w:rPr>
        <w:tab/>
      </w:r>
      <w:r w:rsidRPr="007D7547">
        <w:rPr>
          <w:rFonts w:hint="eastAsia"/>
          <w:lang w:val="en-GB"/>
        </w:rPr>
        <w:t>关于维护公共秩序和安全这一目标，缔约国表示该国必须能在必要时识别所有人的身份，以规避对人身或财产安全的威胁并打击身份欺诈。委员会确认各国在某些情况下确实需要能够要求人们露出面部，这可能意味着在公共安全或秩序面临风险的特定情况下或者出于身份识别的目的，人们有露出面部的一次性义务。但委员会注意到，</w:t>
      </w:r>
      <w:r w:rsidRPr="007D7547">
        <w:rPr>
          <w:rFonts w:hint="eastAsia"/>
          <w:bCs/>
          <w:lang w:val="en-GB"/>
        </w:rPr>
        <w:t>《第</w:t>
      </w:r>
      <w:r w:rsidRPr="007D7547">
        <w:rPr>
          <w:bCs/>
          <w:lang w:val="en-GB"/>
        </w:rPr>
        <w:t>2010-1192</w:t>
      </w:r>
      <w:r w:rsidRPr="007D7547">
        <w:rPr>
          <w:rFonts w:hint="eastAsia"/>
          <w:bCs/>
          <w:lang w:val="en-GB"/>
        </w:rPr>
        <w:t>号法》</w:t>
      </w:r>
      <w:r w:rsidRPr="007D7547">
        <w:rPr>
          <w:rFonts w:hint="eastAsia"/>
          <w:lang w:val="en-GB"/>
        </w:rPr>
        <w:t>并不局限于此类情况，而是全面地禁止任何时候在公共场所穿戴某些遮面服饰，而缔约国未能证明佩戴全脸面纱这一行为本身如何会危及公共安全或秩序而需要一律予以禁止。缔约国也没有提供任何公共安全方面的理由或解释，说明为什么出于某些宗教目的遮盖面部</w:t>
      </w:r>
      <w:r w:rsidRPr="007D7547">
        <w:rPr>
          <w:rFonts w:hint="eastAsia"/>
          <w:lang w:val="en-GB"/>
        </w:rPr>
        <w:t>(</w:t>
      </w:r>
      <w:r w:rsidRPr="007D7547">
        <w:rPr>
          <w:rFonts w:hint="eastAsia"/>
          <w:lang w:val="en-GB"/>
        </w:rPr>
        <w:t>即戴尼卡布</w:t>
      </w:r>
      <w:r w:rsidRPr="007D7547">
        <w:rPr>
          <w:rFonts w:hint="eastAsia"/>
          <w:lang w:val="en-GB"/>
        </w:rPr>
        <w:t>)</w:t>
      </w:r>
      <w:r w:rsidRPr="007D7547">
        <w:rPr>
          <w:rFonts w:hint="eastAsia"/>
          <w:lang w:val="en-GB"/>
        </w:rPr>
        <w:t>就要被禁止，而出于体育、艺术及其他传统和宗教目的等许多其他目的遮盖面部就不被禁止。委员会还注意到，缔约国没有说明在何种情况下会发生对公共秩序和安全的具体重大威胁从而需要一律禁止全脸面纱，也没有提供任何实例。</w:t>
      </w:r>
      <w:r w:rsidRPr="007D7547">
        <w:rPr>
          <w:rFonts w:hint="eastAsia"/>
          <w:bCs/>
          <w:lang w:val="en-GB"/>
        </w:rPr>
        <w:t>《第</w:t>
      </w:r>
      <w:r w:rsidRPr="007D7547">
        <w:rPr>
          <w:bCs/>
          <w:lang w:val="en-GB"/>
        </w:rPr>
        <w:t>2010-1192</w:t>
      </w:r>
      <w:r w:rsidRPr="007D7547">
        <w:rPr>
          <w:rFonts w:hint="eastAsia"/>
          <w:bCs/>
          <w:lang w:val="en-GB"/>
        </w:rPr>
        <w:t>号法》的宗旨声明以及该法通过之前发表的</w:t>
      </w:r>
      <w:r w:rsidRPr="007D7547">
        <w:rPr>
          <w:bCs/>
          <w:lang w:val="en-GB"/>
        </w:rPr>
        <w:t>2010</w:t>
      </w:r>
      <w:r w:rsidRPr="007D7547">
        <w:rPr>
          <w:rFonts w:hint="eastAsia"/>
          <w:bCs/>
          <w:lang w:val="en-GB"/>
        </w:rPr>
        <w:t>年</w:t>
      </w:r>
      <w:r w:rsidRPr="007D7547">
        <w:rPr>
          <w:bCs/>
          <w:lang w:val="en-GB"/>
        </w:rPr>
        <w:t>5</w:t>
      </w:r>
      <w:r w:rsidRPr="007D7547">
        <w:rPr>
          <w:rFonts w:hint="eastAsia"/>
          <w:bCs/>
          <w:lang w:val="en-GB"/>
        </w:rPr>
        <w:t>月</w:t>
      </w:r>
      <w:r w:rsidRPr="007D7547">
        <w:rPr>
          <w:bCs/>
          <w:lang w:val="en-GB"/>
        </w:rPr>
        <w:t>11</w:t>
      </w:r>
      <w:r w:rsidRPr="007D7547">
        <w:rPr>
          <w:rFonts w:hint="eastAsia"/>
          <w:bCs/>
          <w:lang w:val="en-GB"/>
        </w:rPr>
        <w:t>日国民议会决议都没有提到此种威胁。</w:t>
      </w:r>
    </w:p>
    <w:p w:rsidR="007D7547" w:rsidRPr="007D7547" w:rsidRDefault="007D7547" w:rsidP="007D7547">
      <w:pPr>
        <w:pStyle w:val="SingleTxtGC"/>
        <w:rPr>
          <w:lang w:val="en-GB"/>
        </w:rPr>
      </w:pPr>
      <w:r w:rsidRPr="007D7547">
        <w:rPr>
          <w:lang w:val="en-GB"/>
        </w:rPr>
        <w:t>8.8</w:t>
      </w:r>
      <w:r w:rsidRPr="007D7547">
        <w:rPr>
          <w:lang w:val="en-GB"/>
        </w:rPr>
        <w:tab/>
      </w:r>
      <w:r w:rsidRPr="007D7547">
        <w:rPr>
          <w:rFonts w:hint="eastAsia"/>
          <w:lang w:val="en-GB"/>
        </w:rPr>
        <w:t>即便缔约国可以证明原则上存在对公共安全和秩序的具体重大威胁，该国也未能证明《第</w:t>
      </w:r>
      <w:r w:rsidRPr="007D7547">
        <w:rPr>
          <w:lang w:val="en-GB"/>
        </w:rPr>
        <w:t>2010-1192</w:t>
      </w:r>
      <w:r w:rsidRPr="007D7547">
        <w:rPr>
          <w:rFonts w:hint="eastAsia"/>
          <w:lang w:val="en-GB"/>
        </w:rPr>
        <w:t>号法》所载的禁令与这一目标相称，毕竟禁令对提交人这一佩戴全脸面纱的妇女产生了较大的影响。该国也未试图证明这项禁令是确保保护宗教或信仰自由所必需的、限制性最小的措施。</w:t>
      </w:r>
      <w:r w:rsidR="002007EF" w:rsidRPr="002007EF">
        <w:rPr>
          <w:bCs/>
          <w:color w:val="0000FF"/>
          <w:vertAlign w:val="superscript"/>
          <w:lang w:val="en-GB"/>
        </w:rPr>
        <w:footnoteReference w:id="25"/>
      </w:r>
      <w:r w:rsidRPr="007D7547">
        <w:rPr>
          <w:lang w:val="en-GB"/>
        </w:rPr>
        <w:t xml:space="preserve"> </w:t>
      </w:r>
    </w:p>
    <w:p w:rsidR="007D7547" w:rsidRPr="007D7547" w:rsidRDefault="007D7547" w:rsidP="007D7547">
      <w:pPr>
        <w:pStyle w:val="SingleTxtGC"/>
        <w:rPr>
          <w:lang w:val="en-GB"/>
        </w:rPr>
      </w:pPr>
      <w:r w:rsidRPr="007D7547">
        <w:rPr>
          <w:lang w:val="en-GB"/>
        </w:rPr>
        <w:t>8.9</w:t>
      </w:r>
      <w:r w:rsidRPr="007D7547">
        <w:rPr>
          <w:lang w:val="en-GB"/>
        </w:rPr>
        <w:tab/>
      </w:r>
      <w:r w:rsidRPr="007D7547">
        <w:rPr>
          <w:rFonts w:hint="eastAsia"/>
          <w:lang w:val="en-GB"/>
        </w:rPr>
        <w:t>关于缔约国提出的第二个目标，即第十八第</w:t>
      </w:r>
      <w:r w:rsidRPr="007D7547">
        <w:rPr>
          <w:rFonts w:hint="eastAsia"/>
          <w:lang w:val="en-GB"/>
        </w:rPr>
        <w:t>3</w:t>
      </w:r>
      <w:r w:rsidRPr="007D7547">
        <w:rPr>
          <w:rFonts w:hint="eastAsia"/>
          <w:lang w:val="en-GB"/>
        </w:rPr>
        <w:t>款所指的保护他人的基本权利和自由，委员会注意到缔约国论点的基础是“共同生活”这一概念，即遵守社会生活最基本的要求，而公共场所是开展社会生活和人际交往的主要场所。缔约国认为，人们露出面部，既表露出愿意被他人识别为同类，也不会“不公平地”掩藏自己的心态，这是“在……奉行平等主义和开放的社会共同生活所必需的最基本程度的信任”。委员会还注意到，提交人声称立法机关在</w:t>
      </w:r>
      <w:r w:rsidRPr="007D7547">
        <w:rPr>
          <w:rFonts w:hint="eastAsia"/>
          <w:bCs/>
          <w:lang w:val="en-GB"/>
        </w:rPr>
        <w:t>《第</w:t>
      </w:r>
      <w:r w:rsidRPr="007D7547">
        <w:rPr>
          <w:bCs/>
          <w:lang w:val="en-GB"/>
        </w:rPr>
        <w:t>2010-1192</w:t>
      </w:r>
      <w:r w:rsidRPr="007D7547">
        <w:rPr>
          <w:rFonts w:hint="eastAsia"/>
          <w:bCs/>
          <w:lang w:val="en-GB"/>
        </w:rPr>
        <w:t>号法》</w:t>
      </w:r>
      <w:r w:rsidRPr="007D7547">
        <w:rPr>
          <w:rFonts w:hint="eastAsia"/>
          <w:lang w:val="en-GB"/>
        </w:rPr>
        <w:t>本身及其宗旨声明中都没有对这一目标做出明确界定。委员会承认，在一国领土内促进多样人群之间的良好社交和相互尊重，符合一国的利益，因此掩藏面部可被视为这种交往的潜在障碍。</w:t>
      </w:r>
    </w:p>
    <w:p w:rsidR="007D7547" w:rsidRPr="007D7547" w:rsidRDefault="007D7547" w:rsidP="001B6388">
      <w:pPr>
        <w:pStyle w:val="SingleTxtGC"/>
        <w:tabs>
          <w:tab w:val="clear" w:pos="1565"/>
          <w:tab w:val="left" w:pos="1701"/>
        </w:tabs>
        <w:rPr>
          <w:lang w:val="en-GB"/>
        </w:rPr>
      </w:pPr>
      <w:r w:rsidRPr="007D7547">
        <w:rPr>
          <w:lang w:val="en-GB"/>
        </w:rPr>
        <w:t>8.10</w:t>
      </w:r>
      <w:r w:rsidRPr="007D7547">
        <w:rPr>
          <w:lang w:val="en-GB"/>
        </w:rPr>
        <w:tab/>
      </w:r>
      <w:r w:rsidRPr="007D7547">
        <w:rPr>
          <w:rFonts w:hint="eastAsia"/>
          <w:lang w:val="en-GB"/>
        </w:rPr>
        <w:t>但委员会表示，保护他人的基本权利和自由必须查明会受到影响的具体基本权利和人员。对第</w:t>
      </w:r>
      <w:r w:rsidRPr="007D7547">
        <w:rPr>
          <w:lang w:val="en-GB"/>
        </w:rPr>
        <w:t>18</w:t>
      </w:r>
      <w:r w:rsidRPr="007D7547">
        <w:rPr>
          <w:rFonts w:hint="eastAsia"/>
          <w:lang w:val="en-GB"/>
        </w:rPr>
        <w:t>条第</w:t>
      </w:r>
      <w:r w:rsidRPr="007D7547">
        <w:rPr>
          <w:lang w:val="en-GB"/>
        </w:rPr>
        <w:t>3</w:t>
      </w:r>
      <w:r w:rsidRPr="007D7547">
        <w:rPr>
          <w:rFonts w:hint="eastAsia"/>
          <w:lang w:val="en-GB"/>
        </w:rPr>
        <w:t>款规定的例外情况应作严格字面的解释，不应抽象适用。</w:t>
      </w:r>
      <w:r w:rsidR="002007EF" w:rsidRPr="002007EF">
        <w:rPr>
          <w:color w:val="0000FF"/>
          <w:vertAlign w:val="superscript"/>
          <w:lang w:val="en-GB"/>
        </w:rPr>
        <w:footnoteReference w:id="26"/>
      </w:r>
      <w:r w:rsidRPr="007D7547">
        <w:rPr>
          <w:lang w:val="en-GB"/>
        </w:rPr>
        <w:t xml:space="preserve"> </w:t>
      </w:r>
      <w:r w:rsidRPr="007D7547">
        <w:rPr>
          <w:rFonts w:hint="eastAsia"/>
          <w:lang w:val="en-GB"/>
        </w:rPr>
        <w:t>本案中，委员会注意到，“共同生活”这一概念非常模糊和抽象。缔约国没有指明他人的哪些具体基本权利或自由会因一些人在公共场所遮盖面部</w:t>
      </w:r>
      <w:r w:rsidRPr="007D7547">
        <w:rPr>
          <w:rFonts w:hint="eastAsia"/>
          <w:lang w:val="en-GB"/>
        </w:rPr>
        <w:t>(</w:t>
      </w:r>
      <w:r w:rsidRPr="007D7547">
        <w:rPr>
          <w:rFonts w:hint="eastAsia"/>
          <w:lang w:val="en-GB"/>
        </w:rPr>
        <w:t>包括妇女佩戴全脸面纱</w:t>
      </w:r>
      <w:r w:rsidRPr="007D7547">
        <w:rPr>
          <w:rFonts w:hint="eastAsia"/>
          <w:lang w:val="en-GB"/>
        </w:rPr>
        <w:t>)</w:t>
      </w:r>
      <w:r w:rsidRPr="007D7547">
        <w:rPr>
          <w:rFonts w:hint="eastAsia"/>
          <w:lang w:val="en-GB"/>
        </w:rPr>
        <w:t>而受到影响。缔约国也没有解释为什么佩戴全脸面纱就会“不公平地”妨碍此类权利，而以不受《第</w:t>
      </w:r>
      <w:r w:rsidRPr="007D7547">
        <w:rPr>
          <w:lang w:val="en-GB"/>
        </w:rPr>
        <w:t>2010-1192</w:t>
      </w:r>
      <w:r w:rsidRPr="007D7547">
        <w:rPr>
          <w:rFonts w:hint="eastAsia"/>
          <w:lang w:val="en-GB"/>
        </w:rPr>
        <w:t>号法》处罚的许多其他方式在公共场所遮盖面部就不会妨碍这些权利。在公共场所与任何人交往的权利以及不被佩戴全脸面纱的他人打扰的权利并不受《公约》保护，因此不能作为第十八条第</w:t>
      </w:r>
      <w:r w:rsidRPr="007D7547">
        <w:rPr>
          <w:lang w:val="en-GB"/>
        </w:rPr>
        <w:t>3</w:t>
      </w:r>
      <w:r w:rsidRPr="007D7547">
        <w:rPr>
          <w:rFonts w:hint="eastAsia"/>
          <w:lang w:val="en-GB"/>
        </w:rPr>
        <w:t>款所指意义上的可允许的限制的施行依据。</w:t>
      </w:r>
    </w:p>
    <w:p w:rsidR="007D7547" w:rsidRPr="007D7547" w:rsidRDefault="007D7547" w:rsidP="001B6388">
      <w:pPr>
        <w:pStyle w:val="SingleTxtGC"/>
        <w:tabs>
          <w:tab w:val="clear" w:pos="1565"/>
          <w:tab w:val="left" w:pos="1701"/>
        </w:tabs>
        <w:rPr>
          <w:lang w:val="en-GB"/>
        </w:rPr>
      </w:pPr>
      <w:r w:rsidRPr="007D7547">
        <w:rPr>
          <w:lang w:val="en-GB"/>
        </w:rPr>
        <w:t>8.11</w:t>
      </w:r>
      <w:r w:rsidRPr="007D7547">
        <w:rPr>
          <w:lang w:val="en-GB"/>
        </w:rPr>
        <w:tab/>
      </w:r>
      <w:r w:rsidRPr="007D7547">
        <w:rPr>
          <w:rFonts w:hint="eastAsia"/>
          <w:lang w:val="en-GB"/>
        </w:rPr>
        <w:t>即便假定共同生活这一概念可被视为第十八条第</w:t>
      </w:r>
      <w:r w:rsidRPr="007D7547">
        <w:rPr>
          <w:rFonts w:hint="eastAsia"/>
          <w:lang w:val="en-GB"/>
        </w:rPr>
        <w:t>3</w:t>
      </w:r>
      <w:r w:rsidRPr="007D7547">
        <w:rPr>
          <w:rFonts w:hint="eastAsia"/>
          <w:lang w:val="en-GB"/>
        </w:rPr>
        <w:t>款所指意义上的“正当目标”，委员会仍然认为，禁止人们在公共场所使用某些方式遮盖面部会严重限制提交人这一佩戴全脸面纱的穆斯林妇女的权利和自由，缔约国未能证明这项禁令是实现上述目标的相称举措，也未能证明这项禁令是保护宗教或信仰所需的限制性最小的手段。</w:t>
      </w:r>
    </w:p>
    <w:p w:rsidR="007D7547" w:rsidRPr="007D7547" w:rsidRDefault="007D7547" w:rsidP="001B6388">
      <w:pPr>
        <w:pStyle w:val="SingleTxtGC"/>
        <w:tabs>
          <w:tab w:val="clear" w:pos="1565"/>
          <w:tab w:val="left" w:pos="1701"/>
        </w:tabs>
        <w:rPr>
          <w:bCs/>
          <w:lang w:val="en-GB"/>
        </w:rPr>
      </w:pPr>
      <w:r w:rsidRPr="007D7547">
        <w:rPr>
          <w:lang w:val="en-GB"/>
        </w:rPr>
        <w:t>8.12</w:t>
      </w:r>
      <w:r w:rsidRPr="007D7547">
        <w:rPr>
          <w:lang w:val="en-GB"/>
        </w:rPr>
        <w:tab/>
      </w:r>
      <w:r w:rsidRPr="007D7547">
        <w:rPr>
          <w:rFonts w:hint="eastAsia"/>
          <w:bCs/>
          <w:lang w:val="en-GB"/>
        </w:rPr>
        <w:t>鉴于上述情况，委员会认为缔约国未能证明，限制提交人通过戴尼卡布表示自身宗教或信仰的自由是《公约》第十八条第</w:t>
      </w:r>
      <w:r w:rsidRPr="007D7547">
        <w:rPr>
          <w:rFonts w:hint="eastAsia"/>
          <w:bCs/>
          <w:lang w:val="en-GB"/>
        </w:rPr>
        <w:t>3</w:t>
      </w:r>
      <w:r w:rsidRPr="007D7547">
        <w:rPr>
          <w:rFonts w:hint="eastAsia"/>
          <w:bCs/>
          <w:lang w:val="en-GB"/>
        </w:rPr>
        <w:t>款所指意义上的必要和相称举措。因此，委员会得出结论，《第</w:t>
      </w:r>
      <w:r w:rsidRPr="007D7547">
        <w:rPr>
          <w:bCs/>
          <w:lang w:val="en-GB"/>
        </w:rPr>
        <w:t>2010-1192</w:t>
      </w:r>
      <w:r w:rsidRPr="007D7547">
        <w:rPr>
          <w:rFonts w:hint="eastAsia"/>
          <w:bCs/>
          <w:lang w:val="en-GB"/>
        </w:rPr>
        <w:t>号法》出台的禁令和根据该法因提交人戴尼卡布而将她定罪一事侵犯了提交人根据《公约》第十八条享有的权利。</w:t>
      </w:r>
    </w:p>
    <w:p w:rsidR="007D7547" w:rsidRPr="007D7547" w:rsidRDefault="007D7547" w:rsidP="001B6388">
      <w:pPr>
        <w:pStyle w:val="SingleTxtGC"/>
        <w:tabs>
          <w:tab w:val="clear" w:pos="1565"/>
          <w:tab w:val="left" w:pos="1701"/>
        </w:tabs>
        <w:rPr>
          <w:lang w:val="en-GB"/>
        </w:rPr>
      </w:pPr>
      <w:r w:rsidRPr="007D7547">
        <w:rPr>
          <w:lang w:val="en-GB"/>
        </w:rPr>
        <w:t>8.13</w:t>
      </w:r>
      <w:r w:rsidRPr="007D7547">
        <w:rPr>
          <w:lang w:val="en-GB"/>
        </w:rPr>
        <w:tab/>
      </w:r>
      <w:r w:rsidRPr="007D7547">
        <w:rPr>
          <w:rFonts w:hint="eastAsia"/>
          <w:lang w:val="en-GB"/>
        </w:rPr>
        <w:t>关于提交人根据《公约》第二十六条提出的主张，即有关法律具有间接歧视佩戴全脸面纱的穆斯林妇女这一少数群体的效果，委员会注意到缔约国的论点，即该法出台的禁令之所以禁止有关服饰，并不是因为它们的宗教内涵，而是因为它们掩藏了面部。据缔约国称，只有“那些在公众视野中藏匿穿戴者的极为激进的服饰形式”会受到影响，意味着提交人“可以在不掩藏面部的情况下，戴着表示自身宗教信仰的面纱进出公共场所，这并非难事”。但委员会注意到，法国国民议会在其关于面对有损共和国价值观的激进做法的发展坚持尊重共和国价值观的决议中认为“</w:t>
      </w:r>
      <w:r w:rsidRPr="007D7547">
        <w:t>包括佩戴全脸面纱</w:t>
      </w:r>
      <w:r w:rsidRPr="007D7547">
        <w:rPr>
          <w:rFonts w:hint="eastAsia"/>
        </w:rPr>
        <w:t>在内的有损</w:t>
      </w:r>
      <w:r w:rsidRPr="007D7547">
        <w:t>人类尊严和男女平等的激进做法</w:t>
      </w:r>
      <w:r w:rsidRPr="007D7547">
        <w:rPr>
          <w:rFonts w:hint="eastAsia"/>
        </w:rPr>
        <w:t>有悖</w:t>
      </w:r>
      <w:r w:rsidRPr="007D7547">
        <w:t>共和国的价值观</w:t>
      </w:r>
      <w:r w:rsidRPr="007D7547">
        <w:rPr>
          <w:rFonts w:hint="eastAsia"/>
          <w:lang w:val="en-GB"/>
        </w:rPr>
        <w:t>”，国民议会希望“打击歧视和促进男女平等能成为公共政策的优先事项”。委员会还注意到，《第</w:t>
      </w:r>
      <w:r w:rsidRPr="007D7547">
        <w:rPr>
          <w:lang w:val="en-GB"/>
        </w:rPr>
        <w:t>2010-1192</w:t>
      </w:r>
      <w:r w:rsidRPr="007D7547">
        <w:rPr>
          <w:rFonts w:hint="eastAsia"/>
          <w:lang w:val="en-GB"/>
        </w:rPr>
        <w:t>号法》的禁令虽然在行文上是一般性禁令，但载有许多例外，包含了在公共场所遮盖面部的大多数情况，从而使禁令的适用范围近乎于只针对伊斯兰全脸面纱，并且该法的执行对象也主要是佩戴全脸面纱的妇女。因此，从该法的案文、通过前的辩论及其实际实施情况来看，委员会认为该法主要被用于针对全脸伊斯兰面纱，而全脸伊斯兰面纱是少数穆斯林妇女宗教信守和身份认同的一种形式。</w:t>
      </w:r>
    </w:p>
    <w:p w:rsidR="00722306" w:rsidRDefault="00722306">
      <w:pPr>
        <w:tabs>
          <w:tab w:val="clear" w:pos="431"/>
        </w:tabs>
        <w:overflowPunct/>
        <w:adjustRightInd/>
        <w:snapToGrid/>
        <w:spacing w:line="240" w:lineRule="auto"/>
        <w:jc w:val="left"/>
        <w:rPr>
          <w:lang w:val="en-GB"/>
        </w:rPr>
      </w:pPr>
      <w:r>
        <w:rPr>
          <w:lang w:val="en-GB"/>
        </w:rPr>
        <w:br w:type="page"/>
      </w:r>
    </w:p>
    <w:p w:rsidR="007D7547" w:rsidRPr="007D7547" w:rsidRDefault="007D7547" w:rsidP="001B6388">
      <w:pPr>
        <w:pStyle w:val="SingleTxtGC"/>
        <w:tabs>
          <w:tab w:val="clear" w:pos="1565"/>
          <w:tab w:val="left" w:pos="1701"/>
        </w:tabs>
        <w:rPr>
          <w:lang w:val="en-GB"/>
        </w:rPr>
      </w:pPr>
      <w:r w:rsidRPr="007D7547">
        <w:rPr>
          <w:lang w:val="en-GB"/>
        </w:rPr>
        <w:t>8.14</w:t>
      </w:r>
      <w:r w:rsidRPr="007D7547">
        <w:rPr>
          <w:lang w:val="en-GB"/>
        </w:rPr>
        <w:tab/>
      </w:r>
      <w:r w:rsidRPr="007D7547">
        <w:rPr>
          <w:rFonts w:hint="eastAsia"/>
          <w:lang w:val="en-GB"/>
        </w:rPr>
        <w:t>委员会回顾其第</w:t>
      </w:r>
      <w:r w:rsidRPr="007D7547">
        <w:rPr>
          <w:lang w:val="en-GB"/>
        </w:rPr>
        <w:t>22</w:t>
      </w:r>
      <w:r w:rsidRPr="007D7547">
        <w:rPr>
          <w:rFonts w:hint="eastAsia"/>
          <w:lang w:val="en-GB"/>
        </w:rPr>
        <w:t>号一般性意见</w:t>
      </w:r>
      <w:r w:rsidRPr="007D7547">
        <w:rPr>
          <w:lang w:val="en-GB"/>
        </w:rPr>
        <w:t>(</w:t>
      </w:r>
      <w:r w:rsidRPr="007D7547">
        <w:rPr>
          <w:rFonts w:hint="eastAsia"/>
          <w:lang w:val="en-GB"/>
        </w:rPr>
        <w:t>第</w:t>
      </w:r>
      <w:r w:rsidRPr="007D7547">
        <w:rPr>
          <w:lang w:val="en-GB"/>
        </w:rPr>
        <w:t>2</w:t>
      </w:r>
      <w:r w:rsidRPr="007D7547">
        <w:rPr>
          <w:rFonts w:hint="eastAsia"/>
          <w:lang w:val="en-GB"/>
        </w:rPr>
        <w:t>段</w:t>
      </w:r>
      <w:r w:rsidRPr="007D7547">
        <w:rPr>
          <w:lang w:val="en-GB"/>
        </w:rPr>
        <w:t>)</w:t>
      </w:r>
      <w:r w:rsidRPr="007D7547">
        <w:rPr>
          <w:rFonts w:hint="eastAsia"/>
          <w:lang w:val="en-GB"/>
        </w:rPr>
        <w:t>，委员会在该意见中关切地关注基于任何理由歧视任何宗教或信仰的任何趋势，包括歧视可能遭宗教主流社群敌视的宗教少数群体的趋势。即便是看似中立或没有歧视意图的原则或法律，也可能产生违反第二十六条的效果。</w:t>
      </w:r>
      <w:r w:rsidR="002007EF" w:rsidRPr="002007EF">
        <w:rPr>
          <w:color w:val="0000FF"/>
          <w:vertAlign w:val="superscript"/>
          <w:lang w:val="en-GB"/>
        </w:rPr>
        <w:footnoteReference w:id="27"/>
      </w:r>
      <w:r w:rsidRPr="007D7547">
        <w:rPr>
          <w:lang w:val="en-GB"/>
        </w:rPr>
        <w:t xml:space="preserve"> </w:t>
      </w:r>
      <w:r w:rsidRPr="007D7547">
        <w:rPr>
          <w:rFonts w:hint="eastAsia"/>
          <w:lang w:val="en-GB"/>
        </w:rPr>
        <w:t>但是，并非每一种基于第二十六条所列理由的区别对待都构成歧视，只要这种区别对待有合理和客观的标准为依据，</w:t>
      </w:r>
      <w:r w:rsidR="002007EF" w:rsidRPr="002007EF">
        <w:rPr>
          <w:color w:val="0000FF"/>
          <w:vertAlign w:val="superscript"/>
          <w:lang w:val="en-GB"/>
        </w:rPr>
        <w:footnoteReference w:id="28"/>
      </w:r>
      <w:r w:rsidR="00A322DF">
        <w:rPr>
          <w:rFonts w:hint="eastAsia"/>
          <w:lang w:val="en-GB"/>
        </w:rPr>
        <w:t xml:space="preserve"> </w:t>
      </w:r>
      <w:r w:rsidRPr="007D7547">
        <w:rPr>
          <w:rFonts w:hint="eastAsia"/>
          <w:lang w:val="en-GB"/>
        </w:rPr>
        <w:t>并且是为了实现《公约》规定的正当目标，就不是歧视。</w:t>
      </w:r>
      <w:r w:rsidR="002007EF" w:rsidRPr="002007EF">
        <w:rPr>
          <w:color w:val="0000FF"/>
          <w:vertAlign w:val="superscript"/>
          <w:lang w:val="en-GB"/>
        </w:rPr>
        <w:footnoteReference w:id="29"/>
      </w:r>
      <w:r w:rsidRPr="007D7547">
        <w:rPr>
          <w:lang w:val="en-GB"/>
        </w:rPr>
        <w:t xml:space="preserve"> </w:t>
      </w:r>
      <w:r w:rsidRPr="007D7547">
        <w:rPr>
          <w:rFonts w:hint="eastAsia"/>
          <w:lang w:val="en-GB"/>
        </w:rPr>
        <w:t>因此，委员会必须决定提交人所受的区别对待</w:t>
      </w:r>
      <w:r w:rsidRPr="007D7547">
        <w:rPr>
          <w:rFonts w:hint="eastAsia"/>
          <w:lang w:val="en-GB"/>
        </w:rPr>
        <w:t>(</w:t>
      </w:r>
      <w:r w:rsidRPr="007D7547">
        <w:rPr>
          <w:rFonts w:hint="eastAsia"/>
          <w:lang w:val="en-GB"/>
        </w:rPr>
        <w:t>即佩戴全脸面纱相比《第</w:t>
      </w:r>
      <w:r w:rsidRPr="007D7547">
        <w:rPr>
          <w:lang w:val="en-GB"/>
        </w:rPr>
        <w:t>2010-1192</w:t>
      </w:r>
      <w:r w:rsidRPr="007D7547">
        <w:rPr>
          <w:rFonts w:hint="eastAsia"/>
          <w:lang w:val="en-GB"/>
        </w:rPr>
        <w:t>号法》第</w:t>
      </w:r>
      <w:r w:rsidRPr="007D7547">
        <w:rPr>
          <w:rFonts w:hint="eastAsia"/>
          <w:lang w:val="en-GB"/>
        </w:rPr>
        <w:t>2</w:t>
      </w:r>
      <w:r w:rsidRPr="007D7547">
        <w:rPr>
          <w:rFonts w:hint="eastAsia"/>
          <w:lang w:val="en-GB"/>
        </w:rPr>
        <w:t>条规定的例外所准许的其他形式的遮面服饰所受的区别对待</w:t>
      </w:r>
      <w:r w:rsidRPr="007D7547">
        <w:rPr>
          <w:rFonts w:hint="eastAsia"/>
          <w:lang w:val="en-GB"/>
        </w:rPr>
        <w:t>)</w:t>
      </w:r>
      <w:r w:rsidRPr="007D7547">
        <w:rPr>
          <w:rFonts w:hint="eastAsia"/>
          <w:lang w:val="en-GB"/>
        </w:rPr>
        <w:t>是否符合合理性、客观性和目标正当性的标准。</w:t>
      </w:r>
    </w:p>
    <w:p w:rsidR="007D7547" w:rsidRPr="007D7547" w:rsidRDefault="007D7547" w:rsidP="001B6388">
      <w:pPr>
        <w:pStyle w:val="SingleTxtGC"/>
        <w:tabs>
          <w:tab w:val="clear" w:pos="1565"/>
          <w:tab w:val="left" w:pos="1701"/>
        </w:tabs>
        <w:rPr>
          <w:lang w:val="en-GB"/>
        </w:rPr>
      </w:pPr>
      <w:r w:rsidRPr="007D7547">
        <w:rPr>
          <w:lang w:val="en-GB"/>
        </w:rPr>
        <w:t>8.15</w:t>
      </w:r>
      <w:r w:rsidRPr="007D7547">
        <w:rPr>
          <w:lang w:val="en-GB"/>
        </w:rPr>
        <w:tab/>
      </w:r>
      <w:r w:rsidRPr="007D7547">
        <w:rPr>
          <w:rFonts w:hint="eastAsia"/>
          <w:lang w:val="en-GB"/>
        </w:rPr>
        <w:t>委员会注意到，缔约国没有解释，为什么相比该法已经准许的多项例外，禁止提交人佩戴面纱是合理或正当的举措。</w:t>
      </w:r>
      <w:r w:rsidR="002007EF" w:rsidRPr="002007EF">
        <w:rPr>
          <w:color w:val="0000FF"/>
          <w:vertAlign w:val="superscript"/>
          <w:lang w:val="en-GB"/>
        </w:rPr>
        <w:footnoteReference w:id="30"/>
      </w:r>
      <w:r w:rsidRPr="007D7547">
        <w:rPr>
          <w:lang w:val="en-GB"/>
        </w:rPr>
        <w:t xml:space="preserve"> </w:t>
      </w:r>
      <w:r w:rsidRPr="007D7547">
        <w:rPr>
          <w:rFonts w:hint="eastAsia"/>
          <w:lang w:val="en-GB"/>
        </w:rPr>
        <w:t>委员会还注意到，该法一律禁止全脸面纱似乎是基于这样的假设，即全脸面纱本质上具有歧视性，妇女佩戴全脸面纱都是被迫的。委员会虽然承认可能有一些妇女受到了家庭或社会压力要遮住面部，但佩戴全脸面纱也可能是一种基于宗教信仰的选择乃至提出权利主张的手段，提交人的情况就是如此。</w:t>
      </w:r>
      <w:r w:rsidR="002007EF" w:rsidRPr="002007EF">
        <w:rPr>
          <w:bCs/>
          <w:color w:val="0000FF"/>
          <w:vertAlign w:val="superscript"/>
          <w:lang w:val="en-GB"/>
        </w:rPr>
        <w:footnoteReference w:id="31"/>
      </w:r>
      <w:r w:rsidRPr="007D7547">
        <w:rPr>
          <w:lang w:val="en-GB"/>
        </w:rPr>
        <w:t xml:space="preserve"> </w:t>
      </w:r>
      <w:r w:rsidRPr="007D7547">
        <w:rPr>
          <w:rFonts w:hint="eastAsia"/>
          <w:lang w:val="en-GB"/>
        </w:rPr>
        <w:t>委员会还认为，禁止妇女完全蒙面而不是保护这些妇女，可能会产生相反的效果，导致她们受困于家中，难以获得公共服务并可能遭到虐待和边缘化。事实上，委员会先前曾表示过关切，即该法禁止在公共场所掩藏面部会侵犯人们表示自身宗教或信仰的自由，对特定宗教的成员和女童产生过大的影响，而且该法会让某些人群感觉遭到排斥和边缘化，这可能与其预期目标背道而驰。</w:t>
      </w:r>
      <w:r w:rsidR="002007EF" w:rsidRPr="002007EF">
        <w:rPr>
          <w:color w:val="0000FF"/>
          <w:vertAlign w:val="superscript"/>
          <w:lang w:val="en-GB"/>
        </w:rPr>
        <w:footnoteReference w:id="32"/>
      </w:r>
      <w:r w:rsidRPr="007D7547">
        <w:rPr>
          <w:lang w:val="en-GB"/>
        </w:rPr>
        <w:t xml:space="preserve"> </w:t>
      </w:r>
      <w:r w:rsidRPr="007D7547">
        <w:rPr>
          <w:rFonts w:hint="eastAsia"/>
          <w:lang w:val="en-GB"/>
        </w:rPr>
        <w:t>委员会还注意到，已有一项单独的法律条款</w:t>
      </w:r>
      <w:r w:rsidRPr="007D7547">
        <w:rPr>
          <w:rFonts w:hint="eastAsia"/>
          <w:lang w:val="en-GB"/>
        </w:rPr>
        <w:t>(</w:t>
      </w:r>
      <w:r w:rsidRPr="007D7547">
        <w:rPr>
          <w:rFonts w:hint="eastAsia"/>
          <w:lang w:val="en-GB"/>
        </w:rPr>
        <w:t>《刑法》第</w:t>
      </w:r>
      <w:r w:rsidRPr="007D7547">
        <w:rPr>
          <w:lang w:val="en-GB"/>
        </w:rPr>
        <w:t>225-4-10</w:t>
      </w:r>
      <w:r w:rsidRPr="007D7547">
        <w:rPr>
          <w:rFonts w:hint="eastAsia"/>
          <w:lang w:val="en-GB"/>
        </w:rPr>
        <w:t>条</w:t>
      </w:r>
      <w:r w:rsidRPr="007D7547">
        <w:rPr>
          <w:rFonts w:hint="eastAsia"/>
          <w:lang w:val="en-GB"/>
        </w:rPr>
        <w:t>)</w:t>
      </w:r>
      <w:r w:rsidRPr="007D7547">
        <w:rPr>
          <w:rFonts w:hint="eastAsia"/>
          <w:lang w:val="en-GB"/>
        </w:rPr>
        <w:t>专门针对所称的关切，将强迫他人掩藏面部的严重行为定为了刑事罪。</w:t>
      </w:r>
    </w:p>
    <w:p w:rsidR="007D7547" w:rsidRPr="007D7547" w:rsidRDefault="007D7547" w:rsidP="001B6388">
      <w:pPr>
        <w:pStyle w:val="SingleTxtGC"/>
        <w:tabs>
          <w:tab w:val="clear" w:pos="1565"/>
          <w:tab w:val="left" w:pos="1701"/>
        </w:tabs>
        <w:rPr>
          <w:bCs/>
          <w:lang w:val="en-GB"/>
        </w:rPr>
      </w:pPr>
      <w:r w:rsidRPr="007D7547">
        <w:rPr>
          <w:lang w:val="en-GB"/>
        </w:rPr>
        <w:t>8.16</w:t>
      </w:r>
      <w:r w:rsidRPr="007D7547">
        <w:rPr>
          <w:lang w:val="en-GB"/>
        </w:rPr>
        <w:tab/>
      </w:r>
      <w:r w:rsidRPr="007D7547">
        <w:rPr>
          <w:rFonts w:hint="eastAsia"/>
          <w:lang w:val="en-GB"/>
        </w:rPr>
        <w:t>最后，尽管缔约国认为该国对决定在公共场所佩戴全脸面纱的妇女实施的制裁是“恰如其分的”，但委员会注意到，这些处罚是刑事处罚并已多次适用于包括提交人在内的一些妇女。这种制裁必然会对提交人通过戴面纱表示自身宗教的权利产生不利影响，还可能影响她的其他权利。</w:t>
      </w:r>
    </w:p>
    <w:p w:rsidR="007D7547" w:rsidRPr="007D7547" w:rsidRDefault="007D7547" w:rsidP="001B6388">
      <w:pPr>
        <w:pStyle w:val="SingleTxtGC"/>
        <w:tabs>
          <w:tab w:val="clear" w:pos="1565"/>
          <w:tab w:val="left" w:pos="1701"/>
        </w:tabs>
        <w:rPr>
          <w:lang w:val="en-GB"/>
        </w:rPr>
      </w:pPr>
      <w:r w:rsidRPr="007D7547">
        <w:rPr>
          <w:lang w:val="en-GB"/>
        </w:rPr>
        <w:t>8.17</w:t>
      </w:r>
      <w:r w:rsidRPr="007D7547">
        <w:rPr>
          <w:lang w:val="en-GB"/>
        </w:rPr>
        <w:tab/>
      </w:r>
      <w:r w:rsidRPr="007D7547">
        <w:rPr>
          <w:rFonts w:hint="eastAsia"/>
          <w:lang w:val="en-GB"/>
        </w:rPr>
        <w:t>鉴于上述情况，委员会认为《第</w:t>
      </w:r>
      <w:r w:rsidRPr="007D7547">
        <w:rPr>
          <w:lang w:val="en-GB"/>
        </w:rPr>
        <w:t>2010/1192</w:t>
      </w:r>
      <w:r w:rsidRPr="007D7547">
        <w:rPr>
          <w:rFonts w:hint="eastAsia"/>
          <w:lang w:val="en-GB"/>
        </w:rPr>
        <w:t>号法》第</w:t>
      </w:r>
      <w:r w:rsidRPr="007D7547">
        <w:rPr>
          <w:lang w:val="en-GB"/>
        </w:rPr>
        <w:t>1</w:t>
      </w:r>
      <w:r w:rsidRPr="007D7547">
        <w:rPr>
          <w:rFonts w:hint="eastAsia"/>
          <w:lang w:val="en-GB"/>
        </w:rPr>
        <w:t>条出台的刑事禁令会过度影响提交人这一选择佩戴全脸面纱的穆斯林妇女，并将她与其他可在公共场所合法遮盖面部的人区别对待，不是为了实现正当利益的必要、相称手段，因此不合理。委员会因此认定，这项规定及其对提交人的适用构成一种基于性别和宗教的交叉形式的歧视，违反了《公约》第二十六条</w:t>
      </w:r>
    </w:p>
    <w:p w:rsidR="007D7547" w:rsidRPr="007D7547" w:rsidRDefault="007D7547" w:rsidP="007D7547">
      <w:pPr>
        <w:pStyle w:val="SingleTxtGC"/>
        <w:rPr>
          <w:lang w:val="en-GB"/>
        </w:rPr>
      </w:pPr>
      <w:r w:rsidRPr="007D7547">
        <w:rPr>
          <w:lang w:val="en-GB"/>
        </w:rPr>
        <w:t>9.</w:t>
      </w:r>
      <w:r w:rsidRPr="007D7547">
        <w:rPr>
          <w:lang w:val="en-GB"/>
        </w:rPr>
        <w:tab/>
      </w:r>
      <w:r w:rsidRPr="007D7547">
        <w:rPr>
          <w:rFonts w:hint="eastAsia"/>
          <w:lang w:val="en-GB"/>
        </w:rPr>
        <w:t>委员会依《公约》第五条第</w:t>
      </w:r>
      <w:r w:rsidRPr="007D7547">
        <w:rPr>
          <w:lang w:val="en-GB"/>
        </w:rPr>
        <w:t>4</w:t>
      </w:r>
      <w:r w:rsidRPr="007D7547">
        <w:rPr>
          <w:rFonts w:hint="eastAsia"/>
          <w:lang w:val="en-GB"/>
        </w:rPr>
        <w:t>款规定行事，认为缔约国侵犯了提交人根据《公约》第十八和第二十六条享有的权利。</w:t>
      </w:r>
    </w:p>
    <w:p w:rsidR="007D7547" w:rsidRPr="007D7547" w:rsidRDefault="007D7547" w:rsidP="007D7547">
      <w:pPr>
        <w:pStyle w:val="SingleTxtGC"/>
        <w:rPr>
          <w:lang w:val="en-GB"/>
        </w:rPr>
      </w:pPr>
      <w:r w:rsidRPr="007D7547">
        <w:rPr>
          <w:lang w:val="en-GB"/>
        </w:rPr>
        <w:t>10.</w:t>
      </w:r>
      <w:r w:rsidRPr="007D7547">
        <w:rPr>
          <w:lang w:val="en-GB"/>
        </w:rPr>
        <w:tab/>
      </w:r>
      <w:r w:rsidRPr="007D7547">
        <w:rPr>
          <w:rFonts w:hint="eastAsia"/>
        </w:rPr>
        <w:t>根据《公约》第二条第</w:t>
      </w:r>
      <w:r w:rsidRPr="007D7547">
        <w:rPr>
          <w:rFonts w:hint="eastAsia"/>
        </w:rPr>
        <w:t>3</w:t>
      </w:r>
      <w:r w:rsidRPr="007D7547">
        <w:rPr>
          <w:rFonts w:hint="eastAsia"/>
        </w:rPr>
        <w:t>款</w:t>
      </w:r>
      <w:r w:rsidRPr="007D7547">
        <w:t>(</w:t>
      </w:r>
      <w:r w:rsidRPr="007D7547">
        <w:rPr>
          <w:rFonts w:hint="eastAsia"/>
        </w:rPr>
        <w:t>甲</w:t>
      </w:r>
      <w:r w:rsidRPr="007D7547">
        <w:t>)</w:t>
      </w:r>
      <w:r w:rsidRPr="007D7547">
        <w:rPr>
          <w:rFonts w:hint="eastAsia"/>
        </w:rPr>
        <w:t>项，缔约国有义务给予提交人有效的补救。这要求缔约国向《公约》权利遭到侵犯的个人提供充分的赔偿。本案中，缔约国有义务除其他外给予提交人适当的抵偿措施和经济补偿以弥补其损失。缔约国还有义务防止今后再发生类似的违约情况，包括为此审查《第</w:t>
      </w:r>
      <w:r w:rsidRPr="007D7547">
        <w:rPr>
          <w:rFonts w:hint="eastAsia"/>
        </w:rPr>
        <w:t>2010-</w:t>
      </w:r>
      <w:r w:rsidRPr="007D7547">
        <w:t>1192</w:t>
      </w:r>
      <w:r w:rsidRPr="007D7547">
        <w:t>号法》</w:t>
      </w:r>
      <w:r w:rsidRPr="007D7547">
        <w:rPr>
          <w:rFonts w:hint="eastAsia"/>
        </w:rPr>
        <w:t>，审查时应考虑到该国根据《公约》承担的义务，特别是根据第十八和第二十六条承担的义务。</w:t>
      </w:r>
      <w:r w:rsidR="002007EF" w:rsidRPr="002007EF">
        <w:rPr>
          <w:color w:val="0000FF"/>
          <w:vertAlign w:val="superscript"/>
          <w:lang w:val="en-GB"/>
        </w:rPr>
        <w:footnoteReference w:id="33"/>
      </w:r>
    </w:p>
    <w:p w:rsidR="00B53211" w:rsidRDefault="007D7547" w:rsidP="007D7547">
      <w:pPr>
        <w:pStyle w:val="SingleTxtGC"/>
      </w:pPr>
      <w:r w:rsidRPr="007D7547">
        <w:rPr>
          <w:lang w:val="en-GB"/>
        </w:rPr>
        <w:t>11.</w:t>
      </w:r>
      <w:r w:rsidRPr="007D7547">
        <w:rPr>
          <w:lang w:val="en-GB"/>
        </w:rPr>
        <w:tab/>
      </w:r>
      <w:r w:rsidRPr="007D7547">
        <w:t>缔约国加入《任择议定书》即已承认委员会有权确定是否存在违反《公约》的情况，而且缔约国也已根据《公约》第二条规定承诺确保在其领土内和受其管辖的一切个人享有《公约》承认的权利，并承诺如违约行为经确定成立，即予以有效且可强制执行的补救。鉴此，委员会希望缔约国在</w:t>
      </w:r>
      <w:r w:rsidRPr="007D7547">
        <w:rPr>
          <w:rFonts w:hint="eastAsia"/>
        </w:rPr>
        <w:t>180</w:t>
      </w:r>
      <w:r w:rsidRPr="007D7547">
        <w:t>天内提供资料，说明采取措施落实</w:t>
      </w:r>
      <w:r w:rsidRPr="007D7547">
        <w:rPr>
          <w:rFonts w:hint="eastAsia"/>
        </w:rPr>
        <w:t>本意见</w:t>
      </w:r>
      <w:r w:rsidRPr="007D7547">
        <w:t>的情况。此外，还请缔约国公布</w:t>
      </w:r>
      <w:r w:rsidRPr="007D7547">
        <w:rPr>
          <w:rFonts w:hint="eastAsia"/>
        </w:rPr>
        <w:t>并广泛传播本</w:t>
      </w:r>
      <w:r w:rsidRPr="007D7547">
        <w:t>意见</w:t>
      </w:r>
      <w:r w:rsidR="00797A3E" w:rsidRPr="007D7547">
        <w:rPr>
          <w:rFonts w:hint="eastAsia"/>
        </w:rPr>
        <w:t>。</w:t>
      </w:r>
    </w:p>
    <w:p w:rsidR="00797A3E" w:rsidRDefault="00797A3E" w:rsidP="00797A3E">
      <w:pPr>
        <w:pStyle w:val="SingleTxtGC"/>
        <w:rPr>
          <w:bCs/>
          <w:lang w:val="en-GB"/>
        </w:rPr>
        <w:sectPr w:rsidR="00797A3E" w:rsidSect="004D0A00">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425"/>
          <w:titlePg/>
          <w:docGrid w:type="lines" w:linePitch="326"/>
        </w:sectPr>
      </w:pPr>
    </w:p>
    <w:p w:rsidR="00797A3E" w:rsidRPr="00797A3E" w:rsidRDefault="00797A3E" w:rsidP="001B6388">
      <w:pPr>
        <w:pStyle w:val="HChGC"/>
        <w:rPr>
          <w:lang w:val="en-GB"/>
        </w:rPr>
      </w:pPr>
      <w:r w:rsidRPr="00797A3E">
        <w:rPr>
          <w:rFonts w:hint="eastAsia"/>
          <w:lang w:val="en-GB"/>
        </w:rPr>
        <w:t>附件一</w:t>
      </w:r>
    </w:p>
    <w:p w:rsidR="00797A3E" w:rsidRPr="00797A3E" w:rsidRDefault="00452B17" w:rsidP="001B6388">
      <w:pPr>
        <w:pStyle w:val="HChGC"/>
      </w:pPr>
      <w:r w:rsidRPr="00797A3E">
        <w:tab/>
      </w:r>
      <w:r w:rsidRPr="00797A3E">
        <w:tab/>
      </w:r>
      <w:r w:rsidRPr="00797A3E">
        <w:rPr>
          <w:rFonts w:hint="eastAsia"/>
        </w:rPr>
        <w:t>委</w:t>
      </w:r>
      <w:r w:rsidR="00797A3E" w:rsidRPr="00797A3E">
        <w:rPr>
          <w:rFonts w:hint="eastAsia"/>
        </w:rPr>
        <w:t>员会委员伊尔泽·布兰兹·科里斯、萨拉·克利夫兰、克里斯托夫·海恩斯、马西娅·克兰和尤瓦尔·沙尼的联合意见</w:t>
      </w:r>
      <w:r w:rsidR="00797A3E" w:rsidRPr="00797A3E">
        <w:rPr>
          <w:rFonts w:hint="eastAsia"/>
        </w:rPr>
        <w:t>(</w:t>
      </w:r>
      <w:r w:rsidR="00797A3E" w:rsidRPr="00797A3E">
        <w:rPr>
          <w:rFonts w:hint="eastAsia"/>
        </w:rPr>
        <w:t>同意</w:t>
      </w:r>
      <w:r w:rsidR="00797A3E" w:rsidRPr="00797A3E">
        <w:rPr>
          <w:rFonts w:hint="eastAsia"/>
        </w:rPr>
        <w:t>)</w:t>
      </w:r>
    </w:p>
    <w:p w:rsidR="00797A3E" w:rsidRPr="00797A3E" w:rsidRDefault="00797A3E" w:rsidP="00797A3E">
      <w:pPr>
        <w:pStyle w:val="SingleTxtGC"/>
      </w:pPr>
      <w:r w:rsidRPr="00797A3E">
        <w:t xml:space="preserve">1.  </w:t>
      </w:r>
      <w:r w:rsidRPr="00797A3E">
        <w:t>我们同意委员会多数</w:t>
      </w:r>
      <w:r w:rsidRPr="00797A3E">
        <w:rPr>
          <w:rFonts w:hint="eastAsia"/>
        </w:rPr>
        <w:t>委员</w:t>
      </w:r>
      <w:r w:rsidRPr="00797A3E">
        <w:t>的意见，即被告国法国没有充分解释</w:t>
      </w:r>
      <w:r w:rsidRPr="00797A3E">
        <w:rPr>
          <w:rFonts w:hint="eastAsia"/>
        </w:rPr>
        <w:t>为什么出于安全理由有必要一律禁止遮盖整个面部的穆斯林宗教服饰，尤其是考虑到《第</w:t>
      </w:r>
      <w:r w:rsidRPr="00797A3E">
        <w:t>2010-1192</w:t>
      </w:r>
      <w:r w:rsidRPr="00797A3E">
        <w:rPr>
          <w:rFonts w:hint="eastAsia"/>
        </w:rPr>
        <w:t>号法》规定了例外情况，没有禁止一些其他形式的遮盖整个面部的服饰。我们也同意多数委员的观点，即缔约国没有令人信服地解释为什么为了“共同生活”的利益，就能迫使属于某一宗教少数群体的人员在刑事制裁的威胁下穿戴有助于“正常”社会交往的服饰。</w:t>
      </w:r>
    </w:p>
    <w:p w:rsidR="00797A3E" w:rsidRPr="00797A3E" w:rsidRDefault="00797A3E" w:rsidP="00797A3E">
      <w:pPr>
        <w:pStyle w:val="SingleTxtGC"/>
      </w:pPr>
      <w:r w:rsidRPr="00797A3E">
        <w:t xml:space="preserve">2.  </w:t>
      </w:r>
      <w:r w:rsidRPr="00797A3E">
        <w:rPr>
          <w:rFonts w:hint="eastAsia"/>
        </w:rPr>
        <w:t>但是，对于全脸面纱具有歧视性这一暗含的主张</w:t>
      </w:r>
      <w:r w:rsidRPr="00797A3E">
        <w:rPr>
          <w:rFonts w:hint="eastAsia"/>
        </w:rPr>
        <w:t>(</w:t>
      </w:r>
      <w:r w:rsidRPr="00797A3E">
        <w:rPr>
          <w:rFonts w:hint="eastAsia"/>
        </w:rPr>
        <w:t>第</w:t>
      </w:r>
      <w:r w:rsidRPr="00797A3E">
        <w:rPr>
          <w:rFonts w:hint="eastAsia"/>
        </w:rPr>
        <w:t>8.15</w:t>
      </w:r>
      <w:r w:rsidRPr="00797A3E">
        <w:rPr>
          <w:rFonts w:hint="eastAsia"/>
        </w:rPr>
        <w:t>段</w:t>
      </w:r>
      <w:r w:rsidRPr="00797A3E">
        <w:rPr>
          <w:rFonts w:hint="eastAsia"/>
        </w:rPr>
        <w:t>)</w:t>
      </w:r>
      <w:r w:rsidRPr="00797A3E">
        <w:rPr>
          <w:rFonts w:hint="eastAsia"/>
        </w:rPr>
        <w:t>，我们持较为接受的态度，因为我们认为佩戴面纱这种传统做法让男子能以保护妇女“端庄”的名义使妇女屈从</w:t>
      </w:r>
      <w:r w:rsidR="002007EF" w:rsidRPr="002007EF">
        <w:rPr>
          <w:color w:val="0000FF"/>
          <w:vertAlign w:val="superscript"/>
        </w:rPr>
        <w:footnoteReference w:id="34"/>
      </w:r>
      <w:r w:rsidRPr="00797A3E">
        <w:rPr>
          <w:rFonts w:hint="eastAsia"/>
        </w:rPr>
        <w:t>，导致妇女无权在与男子相同的条件下占据公共空间。因此，我们没有任何困难地认为，法国有权采取一切适当措施处理这种行为模式，确保其不导致对妇女的歧视，事实上，根据《公约》第二条第</w:t>
      </w:r>
      <w:r w:rsidRPr="00797A3E">
        <w:rPr>
          <w:rFonts w:hint="eastAsia"/>
        </w:rPr>
        <w:t>1</w:t>
      </w:r>
      <w:r w:rsidRPr="00797A3E">
        <w:rPr>
          <w:rFonts w:hint="eastAsia"/>
        </w:rPr>
        <w:t>款、第三条和第二十六条以及</w:t>
      </w:r>
      <w:r w:rsidRPr="00797A3E">
        <w:t>《消除对妇女一切形式歧视公约》</w:t>
      </w:r>
      <w:r w:rsidRPr="00797A3E">
        <w:rPr>
          <w:rFonts w:hint="eastAsia"/>
        </w:rPr>
        <w:t>第五条</w:t>
      </w:r>
      <w:r w:rsidRPr="00797A3E">
        <w:rPr>
          <w:rFonts w:hint="eastAsia"/>
        </w:rPr>
        <w:t>(</w:t>
      </w:r>
      <w:r w:rsidRPr="00797A3E">
        <w:t>a</w:t>
      </w:r>
      <w:r w:rsidRPr="00797A3E">
        <w:rPr>
          <w:rFonts w:hint="eastAsia"/>
        </w:rPr>
        <w:t>)</w:t>
      </w:r>
      <w:r w:rsidRPr="00797A3E">
        <w:rPr>
          <w:rFonts w:hint="eastAsia"/>
        </w:rPr>
        <w:t>项，法国有义务这样做。</w:t>
      </w:r>
    </w:p>
    <w:p w:rsidR="00797A3E" w:rsidRPr="00797A3E" w:rsidRDefault="00797A3E" w:rsidP="00797A3E">
      <w:pPr>
        <w:pStyle w:val="SingleTxtGC"/>
      </w:pPr>
      <w:r w:rsidRPr="00797A3E">
        <w:t xml:space="preserve">3.  </w:t>
      </w:r>
      <w:r w:rsidRPr="00797A3E">
        <w:rPr>
          <w:rFonts w:hint="eastAsia"/>
        </w:rPr>
        <w:t>但仍需解答的问题是，在公共场所一律禁止佩戴全脸面纱，通过刑事制裁予以强制执行，所制裁的对象恰恰是禁令声称要保护的妇女，在本案的情况下，这一措施是否适当？换言之，这一针对提交人和其他穆斯林妇女的措施是否合理、相称？在这个问题上，我们认为缔约国未能向委员会证明，在全面禁令之外，其他侵扰性较小的措施，例如教育和宣传佩戴全脸面纱的不利影响、将一切形式的通过施压迫使妇女佩戴全脸面纱的行为定为刑事罪、对在特定社会环境下佩戴全脸面纱的行为予以适当的非刑事制裁从而执行有限度的禁令、强调国家反对这种做法</w:t>
      </w:r>
      <w:r w:rsidRPr="00797A3E">
        <w:rPr>
          <w:rFonts w:hint="eastAsia"/>
        </w:rPr>
        <w:t>(</w:t>
      </w:r>
      <w:r w:rsidRPr="00797A3E">
        <w:rPr>
          <w:rFonts w:hint="eastAsia"/>
        </w:rPr>
        <w:t>例如禁止教师在公立学校佩戴全脸面纱或禁止政府职员在与公众讲话时佩戴全脸面纱</w:t>
      </w:r>
      <w:r w:rsidRPr="00797A3E">
        <w:rPr>
          <w:rFonts w:hint="eastAsia"/>
        </w:rPr>
        <w:t>)</w:t>
      </w:r>
      <w:r w:rsidRPr="00797A3E">
        <w:rPr>
          <w:rFonts w:hint="eastAsia"/>
        </w:rPr>
        <w:t>，均无法在尊重妇女</w:t>
      </w:r>
      <w:r w:rsidRPr="00797A3E">
        <w:t>(</w:t>
      </w:r>
      <w:r w:rsidRPr="00797A3E">
        <w:rPr>
          <w:rFonts w:hint="eastAsia"/>
        </w:rPr>
        <w:t>包括选择佩戴面纱的妇女</w:t>
      </w:r>
      <w:r w:rsidRPr="00797A3E">
        <w:t>)</w:t>
      </w:r>
      <w:r w:rsidRPr="00797A3E">
        <w:rPr>
          <w:rFonts w:hint="eastAsia"/>
        </w:rPr>
        <w:t>自身的隐私权、自主权和宗教自由权的同时，对佩戴全脸面纱的做法产生足够的修正作用。</w:t>
      </w:r>
    </w:p>
    <w:p w:rsidR="00B53211" w:rsidRPr="00797A3E" w:rsidRDefault="00797A3E" w:rsidP="00797A3E">
      <w:pPr>
        <w:pStyle w:val="SingleTxtGC"/>
      </w:pPr>
      <w:r w:rsidRPr="00797A3E">
        <w:t xml:space="preserve">4.  </w:t>
      </w:r>
      <w:r w:rsidRPr="00797A3E">
        <w:t>鉴于全面禁</w:t>
      </w:r>
      <w:r w:rsidRPr="00797A3E">
        <w:rPr>
          <w:rFonts w:hint="eastAsia"/>
        </w:rPr>
        <w:t>令会严重影响选择佩戴面纱的妇女在公共场所自由行动的能力，我们无法认同《第</w:t>
      </w:r>
      <w:r w:rsidRPr="00797A3E">
        <w:t>2010-1192</w:t>
      </w:r>
      <w:r w:rsidRPr="00797A3E">
        <w:t>号法</w:t>
      </w:r>
      <w:r w:rsidRPr="00797A3E">
        <w:rPr>
          <w:rFonts w:hint="eastAsia"/>
        </w:rPr>
        <w:t>》是符合《公约》的合理、相称的措施。我们认为，只有达到较高的标准，方能证明禁止妇女所选服饰的举措属于正当，我们坚信这一立场基本符合欧洲人权法院</w:t>
      </w:r>
      <w:r w:rsidRPr="00797A3E">
        <w:t>S.A.S.</w:t>
      </w:r>
      <w:r w:rsidRPr="00F173F6">
        <w:rPr>
          <w:rFonts w:ascii="Time New Roman" w:eastAsia="楷体" w:hAnsi="Time New Roman" w:hint="eastAsia"/>
        </w:rPr>
        <w:t>诉法国</w:t>
      </w:r>
      <w:r w:rsidRPr="00797A3E">
        <w:rPr>
          <w:rFonts w:hint="eastAsia"/>
        </w:rPr>
        <w:t>案</w:t>
      </w:r>
      <w:r w:rsidRPr="00797A3E">
        <w:rPr>
          <w:rFonts w:hint="eastAsia"/>
          <w:iCs/>
        </w:rPr>
        <w:t>判决的相关部分，在此案中，被告国试图以反歧视等理由来证明禁令的正当性，被欧洲人权法院驳回。</w:t>
      </w:r>
      <w:r w:rsidR="002007EF" w:rsidRPr="002007EF">
        <w:rPr>
          <w:color w:val="0000FF"/>
          <w:vertAlign w:val="superscript"/>
        </w:rPr>
        <w:footnoteReference w:id="35"/>
      </w:r>
    </w:p>
    <w:p w:rsidR="00797A3E" w:rsidRDefault="00797A3E" w:rsidP="00170F36">
      <w:pPr>
        <w:pStyle w:val="SingleTxtGC"/>
        <w:sectPr w:rsidR="00797A3E" w:rsidSect="00E34196">
          <w:footnotePr>
            <w:numRestart w:val="eachSect"/>
          </w:footnotePr>
          <w:endnotePr>
            <w:numFmt w:val="decimal"/>
          </w:endnotePr>
          <w:pgSz w:w="11906" w:h="16838" w:code="9"/>
          <w:pgMar w:top="1418" w:right="1134" w:bottom="1134" w:left="1134" w:header="851" w:footer="567" w:gutter="0"/>
          <w:cols w:space="425"/>
          <w:docGrid w:type="lines" w:linePitch="326"/>
        </w:sectPr>
      </w:pPr>
    </w:p>
    <w:p w:rsidR="00E34196" w:rsidRPr="00E34196" w:rsidRDefault="00E34196" w:rsidP="001B6388">
      <w:pPr>
        <w:pStyle w:val="HChGC"/>
        <w:rPr>
          <w:lang w:val="en-GB"/>
        </w:rPr>
      </w:pPr>
      <w:r w:rsidRPr="00E34196">
        <w:rPr>
          <w:rFonts w:hint="eastAsia"/>
          <w:lang w:val="en-GB"/>
        </w:rPr>
        <w:t>附件二</w:t>
      </w:r>
    </w:p>
    <w:p w:rsidR="00E34196" w:rsidRPr="00E34196" w:rsidRDefault="00452B17" w:rsidP="001B6388">
      <w:pPr>
        <w:pStyle w:val="HChGC"/>
      </w:pPr>
      <w:r w:rsidRPr="00E34196">
        <w:tab/>
      </w:r>
      <w:r w:rsidRPr="00E34196">
        <w:tab/>
      </w:r>
      <w:r w:rsidRPr="00E34196">
        <w:rPr>
          <w:rFonts w:hint="eastAsia"/>
        </w:rPr>
        <w:t>委</w:t>
      </w:r>
      <w:r w:rsidR="00E34196" w:rsidRPr="00E34196">
        <w:rPr>
          <w:rFonts w:hint="eastAsia"/>
        </w:rPr>
        <w:t>员会委员伊尔泽·布兰兹·科里斯和萨拉·克利夫兰的</w:t>
      </w:r>
      <w:r w:rsidR="001B6388">
        <w:br/>
      </w:r>
      <w:r w:rsidR="00E34196" w:rsidRPr="00E34196">
        <w:rPr>
          <w:rFonts w:hint="eastAsia"/>
        </w:rPr>
        <w:t>联合意见</w:t>
      </w:r>
      <w:r w:rsidR="00E34196" w:rsidRPr="00E34196">
        <w:rPr>
          <w:rFonts w:hint="eastAsia"/>
        </w:rPr>
        <w:t>(</w:t>
      </w:r>
      <w:r w:rsidR="00E34196" w:rsidRPr="00E34196">
        <w:rPr>
          <w:rFonts w:hint="eastAsia"/>
        </w:rPr>
        <w:t>同意</w:t>
      </w:r>
      <w:r w:rsidR="00E34196" w:rsidRPr="00E34196">
        <w:rPr>
          <w:rFonts w:hint="eastAsia"/>
        </w:rPr>
        <w:t>)</w:t>
      </w:r>
    </w:p>
    <w:p w:rsidR="00E34196" w:rsidRPr="00E34196" w:rsidRDefault="00E34196" w:rsidP="00E34196">
      <w:pPr>
        <w:pStyle w:val="SingleTxtGC"/>
      </w:pPr>
      <w:r w:rsidRPr="00E34196">
        <w:t xml:space="preserve">1.  </w:t>
      </w:r>
      <w:r w:rsidRPr="00E34196">
        <w:rPr>
          <w:rFonts w:hint="eastAsia"/>
        </w:rPr>
        <w:t>我们赞同多数意见。缔约国声称有关禁令旨在促进公共安全与秩序，对此，我们认为缔约国不仅未能证实存在全面、重大和具体的威胁，以此说明一律禁止在公共场所佩戴全脸面纱的正当性</w:t>
      </w:r>
      <w:r w:rsidRPr="00E34196">
        <w:t>(</w:t>
      </w:r>
      <w:r w:rsidRPr="00E34196">
        <w:rPr>
          <w:rFonts w:hint="eastAsia"/>
        </w:rPr>
        <w:t>第</w:t>
      </w:r>
      <w:r w:rsidRPr="00E34196">
        <w:t>8.7</w:t>
      </w:r>
      <w:r w:rsidRPr="00E34196">
        <w:rPr>
          <w:rFonts w:hint="eastAsia"/>
        </w:rPr>
        <w:t>段</w:t>
      </w:r>
      <w:r w:rsidRPr="00E34196">
        <w:t>)</w:t>
      </w:r>
      <w:r w:rsidRPr="00E34196">
        <w:rPr>
          <w:rFonts w:hint="eastAsia"/>
        </w:rPr>
        <w:t>，也没有解释为什么缔约国原本现成的法律不足以确保公共安全与秩序，这些法律已经规定，为了特定目的或在特定时候，例如进行安全检查和身份核查时，以及在学校和医院等特定场所，人们应露出面部，而来文并未对这些规定提出异议。因此，除了制裁的刑事性质及其对提交人和其他选择佩戴全脸面纱的穆斯林妇女的影响与所称目标不相称</w:t>
      </w:r>
      <w:r w:rsidRPr="00E34196">
        <w:rPr>
          <w:rFonts w:hint="eastAsia"/>
        </w:rPr>
        <w:t>(</w:t>
      </w:r>
      <w:r w:rsidRPr="00E34196">
        <w:rPr>
          <w:rFonts w:hint="eastAsia"/>
        </w:rPr>
        <w:t>第</w:t>
      </w:r>
      <w:r w:rsidRPr="00E34196">
        <w:rPr>
          <w:rFonts w:hint="eastAsia"/>
        </w:rPr>
        <w:t>8.11</w:t>
      </w:r>
      <w:r w:rsidRPr="00E34196">
        <w:rPr>
          <w:rFonts w:hint="eastAsia"/>
        </w:rPr>
        <w:t>段</w:t>
      </w:r>
      <w:r w:rsidRPr="00E34196">
        <w:rPr>
          <w:rFonts w:hint="eastAsia"/>
        </w:rPr>
        <w:t>)</w:t>
      </w:r>
      <w:r w:rsidRPr="00E34196">
        <w:rPr>
          <w:rFonts w:hint="eastAsia"/>
        </w:rPr>
        <w:t>之外，缔约国也未能证明此项全面禁令是实现促进公共安全这一所称正当目标的必要、相称手段。</w:t>
      </w:r>
    </w:p>
    <w:p w:rsidR="00E34196" w:rsidRPr="00E34196" w:rsidRDefault="00E34196" w:rsidP="00E34196">
      <w:pPr>
        <w:pStyle w:val="SingleTxtGC"/>
      </w:pPr>
      <w:r w:rsidRPr="00E34196">
        <w:t xml:space="preserve">2.  </w:t>
      </w:r>
      <w:r w:rsidRPr="00E34196">
        <w:t>关于保护他人基本权利和自由</w:t>
      </w:r>
      <w:r w:rsidRPr="00E34196">
        <w:rPr>
          <w:rFonts w:hint="eastAsia"/>
        </w:rPr>
        <w:t>这一目标</w:t>
      </w:r>
      <w:r w:rsidRPr="00E34196">
        <w:t>及缔约国</w:t>
      </w:r>
      <w:r w:rsidRPr="00E34196">
        <w:rPr>
          <w:rFonts w:hint="eastAsia"/>
        </w:rPr>
        <w:t>认为与之相关的“共同生活”的</w:t>
      </w:r>
      <w:r w:rsidRPr="00E34196">
        <w:t>概念，</w:t>
      </w:r>
      <w:r w:rsidRPr="00E34196">
        <w:rPr>
          <w:rFonts w:hint="eastAsia"/>
        </w:rPr>
        <w:t>缔约国并未清楚说明具体旨在保护哪些基本权利</w:t>
      </w:r>
      <w:r w:rsidRPr="00E34196">
        <w:rPr>
          <w:rFonts w:hint="eastAsia"/>
        </w:rPr>
        <w:t>(</w:t>
      </w:r>
      <w:r w:rsidRPr="00E34196">
        <w:rPr>
          <w:rFonts w:hint="eastAsia"/>
        </w:rPr>
        <w:t>第</w:t>
      </w:r>
      <w:r w:rsidRPr="00E34196">
        <w:rPr>
          <w:rFonts w:hint="eastAsia"/>
        </w:rPr>
        <w:t>8.10</w:t>
      </w:r>
      <w:r w:rsidRPr="00E34196">
        <w:rPr>
          <w:rFonts w:hint="eastAsia"/>
        </w:rPr>
        <w:t>段</w:t>
      </w:r>
      <w:r w:rsidRPr="00E34196">
        <w:t>)</w:t>
      </w:r>
      <w:r w:rsidRPr="00E34196">
        <w:rPr>
          <w:rFonts w:hint="eastAsia"/>
        </w:rPr>
        <w:t>。</w:t>
      </w:r>
      <w:r w:rsidRPr="00E34196">
        <w:t>缔约国的立场也</w:t>
      </w:r>
      <w:r w:rsidRPr="00E34196">
        <w:rPr>
          <w:rFonts w:hint="eastAsia"/>
        </w:rPr>
        <w:t>未清楚说明如何在上述概念中考虑到了对少数群体人员权利的尊重，包括对宗教少数群体人员权利的尊重，以维护多元价值，避免多数人滥用主导地位。</w:t>
      </w:r>
      <w:r w:rsidR="002007EF" w:rsidRPr="002007EF">
        <w:rPr>
          <w:color w:val="0000FF"/>
          <w:vertAlign w:val="superscript"/>
        </w:rPr>
        <w:footnoteReference w:id="36"/>
      </w:r>
      <w:r w:rsidRPr="00E34196">
        <w:rPr>
          <w:rFonts w:hint="eastAsia"/>
        </w:rPr>
        <w:t xml:space="preserve"> </w:t>
      </w:r>
      <w:r w:rsidRPr="00E34196">
        <w:rPr>
          <w:rFonts w:hint="eastAsia"/>
        </w:rPr>
        <w:t>这让人更难信服缔约国的主张，即“共同生活”</w:t>
      </w:r>
      <w:r w:rsidRPr="00E34196">
        <w:t>的概念</w:t>
      </w:r>
      <w:r w:rsidRPr="00E34196">
        <w:rPr>
          <w:rFonts w:hint="eastAsia"/>
        </w:rPr>
        <w:t>构成</w:t>
      </w:r>
      <w:r w:rsidRPr="00E34196">
        <w:t>《公约》第十八条第</w:t>
      </w:r>
      <w:r w:rsidRPr="00E34196">
        <w:rPr>
          <w:rFonts w:hint="eastAsia"/>
        </w:rPr>
        <w:t>3</w:t>
      </w:r>
      <w:r w:rsidRPr="00E34196">
        <w:t>款</w:t>
      </w:r>
      <w:r w:rsidRPr="00E34196">
        <w:rPr>
          <w:rFonts w:hint="eastAsia"/>
        </w:rPr>
        <w:t>所载的他人</w:t>
      </w:r>
      <w:r w:rsidRPr="00E34196">
        <w:t>基本权利和自由</w:t>
      </w:r>
      <w:r w:rsidRPr="00E34196">
        <w:rPr>
          <w:rFonts w:hint="eastAsia"/>
        </w:rPr>
        <w:t>之下的一项正当目标</w:t>
      </w:r>
      <w:r w:rsidRPr="00E34196">
        <w:t>。</w:t>
      </w:r>
    </w:p>
    <w:p w:rsidR="00E34196" w:rsidRPr="00E34196" w:rsidRDefault="00E34196" w:rsidP="00E34196">
      <w:pPr>
        <w:pStyle w:val="SingleTxtGC"/>
      </w:pPr>
      <w:r w:rsidRPr="00E34196">
        <w:t xml:space="preserve">3.  </w:t>
      </w:r>
      <w:r w:rsidRPr="00E34196">
        <w:rPr>
          <w:rFonts w:hint="eastAsia"/>
        </w:rPr>
        <w:t>虽然</w:t>
      </w:r>
      <w:r w:rsidRPr="00E34196">
        <w:t>缔约国在</w:t>
      </w:r>
      <w:r w:rsidRPr="00E34196">
        <w:rPr>
          <w:rFonts w:hint="eastAsia"/>
        </w:rPr>
        <w:t>论证</w:t>
      </w:r>
      <w:r w:rsidRPr="00E34196">
        <w:t>中没有明确提到男女平等，但</w:t>
      </w:r>
      <w:r w:rsidRPr="00E34196">
        <w:rPr>
          <w:rFonts w:hint="eastAsia"/>
        </w:rPr>
        <w:t>从取自</w:t>
      </w:r>
      <w:r w:rsidRPr="00E34196">
        <w:t>全国辩论和国民议会筹备工作的背景文件</w:t>
      </w:r>
      <w:r w:rsidRPr="00E34196">
        <w:rPr>
          <w:rFonts w:hint="eastAsia"/>
        </w:rPr>
        <w:t>来看</w:t>
      </w:r>
      <w:r w:rsidRPr="00E34196">
        <w:t>，平等是</w:t>
      </w:r>
      <w:r w:rsidRPr="00E34196">
        <w:rPr>
          <w:rFonts w:hint="eastAsia"/>
        </w:rPr>
        <w:t>《第</w:t>
      </w:r>
      <w:r w:rsidRPr="00E34196">
        <w:t>2010-1192</w:t>
      </w:r>
      <w:r w:rsidRPr="00E34196">
        <w:t>号法</w:t>
      </w:r>
      <w:r w:rsidRPr="00E34196">
        <w:rPr>
          <w:rFonts w:hint="eastAsia"/>
        </w:rPr>
        <w:t>》得以通过</w:t>
      </w:r>
      <w:r w:rsidRPr="00E34196">
        <w:t>的一个重要因素。在这方面，认为全脸面纱本质上</w:t>
      </w:r>
      <w:r w:rsidRPr="00E34196">
        <w:rPr>
          <w:rFonts w:hint="eastAsia"/>
        </w:rPr>
        <w:t>具有压迫性、</w:t>
      </w:r>
      <w:r w:rsidRPr="00E34196">
        <w:t>源于</w:t>
      </w:r>
      <w:r w:rsidRPr="00E34196">
        <w:rPr>
          <w:rFonts w:hint="eastAsia"/>
        </w:rPr>
        <w:t>父权</w:t>
      </w:r>
      <w:r w:rsidRPr="00E34196">
        <w:t>对妇女</w:t>
      </w:r>
      <w:r w:rsidRPr="00E34196">
        <w:rPr>
          <w:rFonts w:hint="eastAsia"/>
        </w:rPr>
        <w:t>屈从的要求、旨在阻止妇女平等参与社会的论点是有相关意义的</w:t>
      </w:r>
      <w:r w:rsidRPr="00E34196">
        <w:t>。</w:t>
      </w:r>
      <w:r w:rsidRPr="00E34196">
        <w:rPr>
          <w:rFonts w:hint="eastAsia"/>
        </w:rPr>
        <w:t>但是</w:t>
      </w:r>
      <w:r w:rsidRPr="00E34196">
        <w:t>，鉴于</w:t>
      </w:r>
      <w:r w:rsidRPr="00E34196">
        <w:rPr>
          <w:rFonts w:hint="eastAsia"/>
        </w:rPr>
        <w:t>该</w:t>
      </w:r>
      <w:r w:rsidRPr="00E34196">
        <w:t>法</w:t>
      </w:r>
      <w:r w:rsidRPr="00E34196">
        <w:rPr>
          <w:rFonts w:hint="eastAsia"/>
        </w:rPr>
        <w:t>第</w:t>
      </w:r>
      <w:r w:rsidRPr="00E34196">
        <w:rPr>
          <w:rFonts w:hint="eastAsia"/>
        </w:rPr>
        <w:t>4</w:t>
      </w:r>
      <w:r w:rsidRPr="00E34196">
        <w:rPr>
          <w:rFonts w:hint="eastAsia"/>
        </w:rPr>
        <w:t>条已有另一项刑事规定</w:t>
      </w:r>
      <w:r w:rsidRPr="00E34196">
        <w:rPr>
          <w:rFonts w:hint="eastAsia"/>
        </w:rPr>
        <w:t>(</w:t>
      </w:r>
      <w:r w:rsidRPr="00E34196">
        <w:rPr>
          <w:rFonts w:hint="eastAsia"/>
        </w:rPr>
        <w:t>来文未对其提出异议</w:t>
      </w:r>
      <w:r w:rsidRPr="00E34196">
        <w:rPr>
          <w:rFonts w:hint="eastAsia"/>
        </w:rPr>
        <w:t>)</w:t>
      </w:r>
      <w:r w:rsidRPr="00E34196">
        <w:rPr>
          <w:rFonts w:hint="eastAsia"/>
        </w:rPr>
        <w:t>惩罚强迫他人佩戴此种面纱的严重罪行，缔约国用于支持全面禁止佩戴面纱的论证似乎隐含着这样的意思，即只要有妇女戴上全脸面纱，就不可能是她自己知情、自主的决定，这可能强化穆斯林妇女受到压迫这一陈规定型观念。</w:t>
      </w:r>
      <w:r w:rsidRPr="00E34196">
        <w:t>因此，</w:t>
      </w:r>
      <w:r w:rsidRPr="00E34196">
        <w:rPr>
          <w:rFonts w:hint="eastAsia"/>
        </w:rPr>
        <w:t>以保护妇女为目的惩罚佩戴全脸面纱的行为，也许并不能促进性别平等，而是可能导致</w:t>
      </w:r>
      <w:r w:rsidRPr="00E34196">
        <w:t>选择佩戴全脸面纱的穆斯林妇女</w:t>
      </w:r>
      <w:r w:rsidRPr="00E34196">
        <w:rPr>
          <w:rFonts w:hint="eastAsia"/>
        </w:rPr>
        <w:t>及其广大穆斯林因人们对穆斯林妇女角色的陈规定型认识而进一步蒙受污名。即便国家或大多数人认为这种做法具有压迫性，但无论如何，这种观点必须容许提交人自己明确选择在公共场所穿戴某种服饰以表示自身的宗教信仰。</w:t>
      </w:r>
      <w:r w:rsidR="002007EF" w:rsidRPr="002007EF">
        <w:rPr>
          <w:color w:val="0000FF"/>
          <w:vertAlign w:val="superscript"/>
        </w:rPr>
        <w:footnoteReference w:id="37"/>
      </w:r>
      <w:r w:rsidRPr="00E34196">
        <w:rPr>
          <w:rFonts w:hint="eastAsia"/>
        </w:rPr>
        <w:t xml:space="preserve"> </w:t>
      </w:r>
      <w:r w:rsidRPr="00E34196">
        <w:t>因此，</w:t>
      </w:r>
      <w:r w:rsidRPr="00E34196">
        <w:rPr>
          <w:rFonts w:hint="eastAsia"/>
        </w:rPr>
        <w:t>法国在所有公共场所一律禁止佩戴全脸面纱是为了实现平等这一正当目标的论证，并不令人信服。</w:t>
      </w:r>
    </w:p>
    <w:p w:rsidR="000C3CBC" w:rsidRDefault="00E34196" w:rsidP="00E34196">
      <w:pPr>
        <w:pStyle w:val="SingleTxtGC"/>
      </w:pPr>
      <w:r w:rsidRPr="00E34196">
        <w:t xml:space="preserve">4.  </w:t>
      </w:r>
      <w:r w:rsidRPr="00E34196">
        <w:rPr>
          <w:rFonts w:hint="eastAsia"/>
        </w:rPr>
        <w:t>最后，本意见考虑到了法国的具体情况，包括该国有极少数妇女选择佩戴全脸面纱。这些妇女身为少数群体的成员，实际上属于少数群体中的少数群体，本就容易被人以陈规定型的负面眼光看待，此外，人们在公共场所遇见佩戴全脸面纱的妇女的几率其实非常低，法国却在这种情况下通过并实施了据称旨在促进尊重他人权利的立法措施，此举明显不符合相称性。同理，向广大公众发放宣传单介绍这项法律以及将戴尼卡布和穿布卡袍的行为定为刑事罪，可能无意间增加了对这一少数群体的歧视和不容忍</w:t>
      </w:r>
      <w:r w:rsidR="00B41733">
        <w:rPr>
          <w:rFonts w:hint="eastAsia"/>
        </w:rPr>
        <w:t>。</w:t>
      </w:r>
    </w:p>
    <w:p w:rsidR="00B41733" w:rsidRDefault="00B41733" w:rsidP="00E34196">
      <w:pPr>
        <w:pStyle w:val="SingleTxtGC"/>
        <w:sectPr w:rsidR="00B41733" w:rsidSect="00E34196">
          <w:footnotePr>
            <w:numRestart w:val="eachSect"/>
          </w:footnotePr>
          <w:endnotePr>
            <w:numFmt w:val="decimal"/>
          </w:endnotePr>
          <w:pgSz w:w="11906" w:h="16838" w:code="9"/>
          <w:pgMar w:top="1418" w:right="1134" w:bottom="1134" w:left="1134" w:header="851" w:footer="567" w:gutter="0"/>
          <w:cols w:space="425"/>
          <w:docGrid w:type="lines" w:linePitch="326"/>
        </w:sectPr>
      </w:pPr>
    </w:p>
    <w:p w:rsidR="00B41733" w:rsidRPr="00B41733" w:rsidRDefault="00B41733" w:rsidP="001B6388">
      <w:pPr>
        <w:pStyle w:val="HChGC"/>
        <w:rPr>
          <w:lang w:val="en-GB"/>
        </w:rPr>
      </w:pPr>
      <w:r w:rsidRPr="00B41733">
        <w:rPr>
          <w:rFonts w:hint="eastAsia"/>
          <w:lang w:val="en-GB"/>
        </w:rPr>
        <w:t>附件三</w:t>
      </w:r>
    </w:p>
    <w:p w:rsidR="00B41733" w:rsidRPr="00B41733" w:rsidRDefault="00452B17" w:rsidP="001B6388">
      <w:pPr>
        <w:pStyle w:val="HChGC"/>
      </w:pPr>
      <w:r w:rsidRPr="00B41733">
        <w:tab/>
      </w:r>
      <w:r w:rsidRPr="00B41733">
        <w:tab/>
      </w:r>
      <w:r w:rsidRPr="00B41733">
        <w:rPr>
          <w:rFonts w:hint="eastAsia"/>
        </w:rPr>
        <w:t>委</w:t>
      </w:r>
      <w:r w:rsidR="00B41733" w:rsidRPr="00B41733">
        <w:rPr>
          <w:rFonts w:hint="eastAsia"/>
        </w:rPr>
        <w:t>员会委员亚兹·本·阿舒尔的个人意见</w:t>
      </w:r>
      <w:r w:rsidR="00B41733" w:rsidRPr="00B41733">
        <w:t>(</w:t>
      </w:r>
      <w:r w:rsidR="00B41733" w:rsidRPr="00B41733">
        <w:rPr>
          <w:rFonts w:hint="eastAsia"/>
        </w:rPr>
        <w:t>反对</w:t>
      </w:r>
      <w:r w:rsidR="00B41733" w:rsidRPr="00B41733">
        <w:t>)</w:t>
      </w:r>
    </w:p>
    <w:p w:rsidR="00B41733" w:rsidRPr="00B41733" w:rsidRDefault="00B41733" w:rsidP="00B41733">
      <w:pPr>
        <w:pStyle w:val="SingleTxtGC"/>
      </w:pPr>
      <w:r w:rsidRPr="00B41733">
        <w:t xml:space="preserve">1.  </w:t>
      </w:r>
      <w:r w:rsidRPr="00B41733">
        <w:rPr>
          <w:rFonts w:hint="eastAsia"/>
        </w:rPr>
        <w:t>委员会</w:t>
      </w:r>
      <w:r w:rsidRPr="00B41733">
        <w:t>在第</w:t>
      </w:r>
      <w:r w:rsidRPr="00B41733">
        <w:t>2747/2016</w:t>
      </w:r>
      <w:r w:rsidRPr="00B41733">
        <w:t>号和第</w:t>
      </w:r>
      <w:r w:rsidRPr="00B41733">
        <w:t>2807/2016</w:t>
      </w:r>
      <w:r w:rsidRPr="00B41733">
        <w:t>号来文中所述的两起案件中</w:t>
      </w:r>
      <w:r w:rsidRPr="00B41733">
        <w:rPr>
          <w:rFonts w:hint="eastAsia"/>
        </w:rPr>
        <w:t>都指出</w:t>
      </w:r>
      <w:r w:rsidRPr="00B41733">
        <w:t>，缔约国</w:t>
      </w:r>
      <w:r w:rsidRPr="00B41733">
        <w:rPr>
          <w:rFonts w:hint="eastAsia"/>
        </w:rPr>
        <w:t>经</w:t>
      </w:r>
      <w:r w:rsidRPr="00B41733">
        <w:t>通过</w:t>
      </w:r>
      <w:r w:rsidRPr="00B41733">
        <w:t>2010</w:t>
      </w:r>
      <w:r w:rsidRPr="00B41733">
        <w:t>年</w:t>
      </w:r>
      <w:r w:rsidRPr="00B41733">
        <w:t>10</w:t>
      </w:r>
      <w:r w:rsidRPr="00B41733">
        <w:t>月</w:t>
      </w:r>
      <w:r w:rsidRPr="00B41733">
        <w:t>11</w:t>
      </w:r>
      <w:r w:rsidRPr="00B41733">
        <w:t>日</w:t>
      </w:r>
      <w:r w:rsidRPr="00B41733">
        <w:rPr>
          <w:rFonts w:hint="eastAsia"/>
        </w:rPr>
        <w:t>《</w:t>
      </w:r>
      <w:r w:rsidRPr="00B41733">
        <w:t>第</w:t>
      </w:r>
      <w:r w:rsidRPr="00B41733">
        <w:t>2010-1192</w:t>
      </w:r>
      <w:r w:rsidRPr="00B41733">
        <w:t>号法</w:t>
      </w:r>
      <w:r w:rsidRPr="00B41733">
        <w:rPr>
          <w:rFonts w:hint="eastAsia"/>
        </w:rPr>
        <w:t>》</w:t>
      </w:r>
      <w:r w:rsidRPr="00B41733">
        <w:t>禁止在公共场所</w:t>
      </w:r>
      <w:r w:rsidRPr="00B41733">
        <w:rPr>
          <w:rFonts w:hint="eastAsia"/>
        </w:rPr>
        <w:t>掩藏面部</w:t>
      </w:r>
      <w:r w:rsidRPr="00B41733">
        <w:t>，侵犯了提交人根据《公约》第十八和第二十六条享有的权利。</w:t>
      </w:r>
      <w:r w:rsidRPr="00B41733">
        <w:rPr>
          <w:rFonts w:hint="eastAsia"/>
        </w:rPr>
        <w:t>对于这一观点，很遗憾我不能苟同，理由如下。</w:t>
      </w:r>
    </w:p>
    <w:p w:rsidR="00B41733" w:rsidRPr="00B41733" w:rsidRDefault="00B41733" w:rsidP="00B41733">
      <w:pPr>
        <w:pStyle w:val="SingleTxtGC"/>
      </w:pPr>
      <w:r w:rsidRPr="00B41733">
        <w:t xml:space="preserve">2.  </w:t>
      </w:r>
      <w:r w:rsidRPr="00B41733">
        <w:rPr>
          <w:rFonts w:hint="eastAsia"/>
        </w:rPr>
        <w:t>首先，我很惊讶委员会作出以下陈述，即“缔约国未能证明为什么佩戴全脸面纱本身会对公共安全或公共秩序构成威胁，因此有必要采取如此全面的禁令”。佩戴全脸面纱对公共安全的威胁不需赘述，考虑到正在进行的与恐怖分子的斗争，这似乎是不证自明的，毕竟已有一些恐怖分子在法国和其他地方以尼卡布为伪装实施了袭击和刺杀。仅仅出于安全考虑，都有正当理由实施禁令和刑事处罚。但是，关于《公约》第十八条第</w:t>
      </w:r>
      <w:r w:rsidRPr="00B41733">
        <w:rPr>
          <w:rFonts w:hint="eastAsia"/>
        </w:rPr>
        <w:t>3</w:t>
      </w:r>
      <w:r w:rsidRPr="00B41733">
        <w:rPr>
          <w:rFonts w:hint="eastAsia"/>
        </w:rPr>
        <w:t>款中与“保障道德或他人的基本权利和自由”一并解读的“保障秩序”一语的含义，我要多说几句。</w:t>
      </w:r>
    </w:p>
    <w:p w:rsidR="00B41733" w:rsidRPr="00B41733" w:rsidRDefault="00B41733" w:rsidP="00B41733">
      <w:pPr>
        <w:pStyle w:val="SingleTxtGC"/>
      </w:pPr>
      <w:r w:rsidRPr="00B41733">
        <w:t xml:space="preserve">3.  </w:t>
      </w:r>
      <w:r w:rsidRPr="00B41733">
        <w:rPr>
          <w:rFonts w:hint="eastAsia"/>
        </w:rPr>
        <w:t>在该条中，“秩序”一词明显指采取限制措施的国家的秩序。根据法国《宪法》，法国的秩序是共和、世俗和民主的秩序。男女平等是这一秩序最基本的原则之一，正如它也是《公约》最基本的原则之一。尼卡布本身是向妇女施加污名和侮辱的标志，因此不仅违反了缔约国的共和秩序与性别平等，也违反了《公约》第三和第二十六条。尼卡布的辩护者们将妇女简化为女性这一基本生理属性，视她们为性的玩物、没有思维或理性的肉体，可能要承担宇宙和道德失序的罪责，因此必须脱离男性的视线，从而实际上被逐出公共空间。这种污名化将戴尼卡布的妇女与所有其他妇女区分开，是民主国家所不能容许的。戴尼卡布会侵犯“他人的基本权利和自由”，更确切而言，是会侵犯其他妇女的权利和妇女本身的权利。因此，禁止戴尼卡布并不违反《公约》。</w:t>
      </w:r>
    </w:p>
    <w:p w:rsidR="00B41733" w:rsidRPr="00B41733" w:rsidRDefault="00B41733" w:rsidP="00B41733">
      <w:pPr>
        <w:pStyle w:val="SingleTxtGC"/>
      </w:pPr>
      <w:r w:rsidRPr="00B41733">
        <w:t xml:space="preserve">4.  </w:t>
      </w:r>
      <w:r w:rsidRPr="00B41733">
        <w:rPr>
          <w:rFonts w:hint="eastAsia"/>
        </w:rPr>
        <w:t>我同意委员会的意见，即必须严格地解读第十八条第</w:t>
      </w:r>
      <w:r w:rsidRPr="00B41733">
        <w:rPr>
          <w:rFonts w:hint="eastAsia"/>
        </w:rPr>
        <w:t>3</w:t>
      </w:r>
      <w:r w:rsidRPr="00B41733">
        <w:rPr>
          <w:rFonts w:hint="eastAsia"/>
        </w:rPr>
        <w:t>款规定的限制。但是，“严格”并不意味着这些限制不需要遵守《公约》的其他规定或我们在上一段解释的第十八条本身的精神。</w:t>
      </w:r>
    </w:p>
    <w:p w:rsidR="00B41733" w:rsidRPr="00B41733" w:rsidRDefault="00B41733" w:rsidP="00B41733">
      <w:pPr>
        <w:pStyle w:val="SingleTxtGC"/>
      </w:pPr>
      <w:r w:rsidRPr="00B41733">
        <w:t xml:space="preserve">5.  </w:t>
      </w:r>
      <w:r w:rsidRPr="00B41733">
        <w:rPr>
          <w:rFonts w:hint="eastAsia"/>
        </w:rPr>
        <w:t>委员会在两起案件中都承认，“戴尼卡布或穿布卡袍是部分穆斯林信徒的习俗，是对</w:t>
      </w:r>
      <w:r w:rsidRPr="00B41733">
        <w:rPr>
          <w:rFonts w:hint="eastAsia"/>
          <w:lang w:val="en-GB"/>
        </w:rPr>
        <w:t>宗教礼仪或做法的奉行</w:t>
      </w:r>
      <w:r w:rsidRPr="00B41733">
        <w:rPr>
          <w:rFonts w:hint="eastAsia"/>
        </w:rPr>
        <w:t>”。但是，委员会并未解释一项习俗为什么会莫名地转变为《公约》第十八条所指的宗教义务，成为礼拜的一部分。事实是，戴尼卡布或穿布卡袍是被称为“穆斯林国家”的某些国家所遵循的习俗，在政治伊斯兰主义和严守戒规的趋势的影响下，这种习俗被人为地与《古兰经》的某些章节联系在了一起，特别是光明章第</w:t>
      </w:r>
      <w:r w:rsidRPr="00B41733">
        <w:t>31</w:t>
      </w:r>
      <w:r w:rsidRPr="00B41733">
        <w:rPr>
          <w:rFonts w:hint="eastAsia"/>
        </w:rPr>
        <w:t>节和同盟军章第</w:t>
      </w:r>
      <w:r w:rsidRPr="00B41733">
        <w:t>59</w:t>
      </w:r>
      <w:r w:rsidRPr="00B41733">
        <w:rPr>
          <w:rFonts w:hint="eastAsia"/>
        </w:rPr>
        <w:t>节。但是，最权威的伊斯兰学者们并未承认掩藏面部是一项宗教义务。委员会希望允许将戴尼卡布的行为解读为一种表达宗教自由的方式，即便如此，我们也不能忘记，在一个以人权及《世界人权宣言》和《公约》的各项原则为基础建立法律制度并将世俗主义原则载入《宪法》的民主社会的眼中，并非所有解读都是平等的。考虑到法国的具体历史和法律背景，就更是如此。某些解读就是不可容忍。</w:t>
      </w:r>
    </w:p>
    <w:p w:rsidR="00722306" w:rsidRDefault="00722306">
      <w:pPr>
        <w:tabs>
          <w:tab w:val="clear" w:pos="431"/>
        </w:tabs>
        <w:overflowPunct/>
        <w:adjustRightInd/>
        <w:snapToGrid/>
        <w:spacing w:line="240" w:lineRule="auto"/>
        <w:jc w:val="left"/>
      </w:pPr>
      <w:r>
        <w:br w:type="page"/>
      </w:r>
    </w:p>
    <w:p w:rsidR="00B41733" w:rsidRPr="00B41733" w:rsidRDefault="00B41733" w:rsidP="00B41733">
      <w:pPr>
        <w:pStyle w:val="SingleTxtGC"/>
      </w:pPr>
      <w:r w:rsidRPr="00B41733">
        <w:t xml:space="preserve">6.  </w:t>
      </w:r>
      <w:r w:rsidRPr="00B41733">
        <w:rPr>
          <w:rFonts w:hint="eastAsia"/>
        </w:rPr>
        <w:t>这也适用于一夫多妻、外阴残割、继承权不平等、休妻、丈夫管教妻子的权利以及夫兄弟婚或妻姐妹婚等做法。这些做法的奉行者将之视为宗教义务或礼仪，与遵循佩戴全脸面纱的习俗的人员一样。但是，委员会始终认为前者违反了《公约》的规定并一贯吁请各国废除这些做法。前者与后者都有损公民之间的平等和妇女的尊严，委员会却一方面裁定前者违反第十八条，另一方面裁定对后者的禁令违反《公约》，难道不自相矛盾吗？</w:t>
      </w:r>
    </w:p>
    <w:p w:rsidR="00B41733" w:rsidRPr="00B41733" w:rsidRDefault="00B41733" w:rsidP="00B41733">
      <w:pPr>
        <w:pStyle w:val="SingleTxtGC"/>
      </w:pPr>
      <w:r w:rsidRPr="00B41733">
        <w:t xml:space="preserve">7.  </w:t>
      </w:r>
      <w:r w:rsidRPr="00B41733">
        <w:rPr>
          <w:rFonts w:hint="eastAsia"/>
        </w:rPr>
        <w:t>我必须提出一个更为严重的问题。这个问题涉及法国倡导的、促成通过《第</w:t>
      </w:r>
      <w:r w:rsidRPr="00B41733">
        <w:t>2010/1192</w:t>
      </w:r>
      <w:r w:rsidRPr="00B41733">
        <w:t>号法</w:t>
      </w:r>
      <w:r w:rsidRPr="00B41733">
        <w:rPr>
          <w:rFonts w:hint="eastAsia"/>
        </w:rPr>
        <w:t>》的“共同生活”的概念。委员会认为“缔约国提出的‘共同生活’的概念非常模糊和抽象”并且“缔约国没有指明哪些他人的基本权利或自由受到了影响”，对此我完全不同意。恰恰相反，《第</w:t>
      </w:r>
      <w:r w:rsidRPr="00B41733">
        <w:t>2010/1192</w:t>
      </w:r>
      <w:r w:rsidRPr="00B41733">
        <w:t>号法</w:t>
      </w:r>
      <w:r w:rsidRPr="00B41733">
        <w:rPr>
          <w:rFonts w:hint="eastAsia"/>
        </w:rPr>
        <w:t>》的序言充分论述了这一问题，并已明确指出掩藏面部有悖于社会契约、基本礼仪以及友爱和共同生活的理念。</w:t>
      </w:r>
      <w:r w:rsidRPr="00B41733">
        <w:t>遗憾的是，委员会</w:t>
      </w:r>
      <w:r w:rsidRPr="00B41733">
        <w:rPr>
          <w:rFonts w:hint="eastAsia"/>
        </w:rPr>
        <w:t>的意见没有指出在此情况下受到侵犯的基本权利既不是少数个人的权利，也不是任何特定群体的权利，而是整个社会通过面部识别各个成员的权利，面部既是我们社会性的标志，也是我们人性的标志</w:t>
      </w:r>
      <w:r w:rsidRPr="00B41733">
        <w:t>。与</w:t>
      </w:r>
      <w:r w:rsidRPr="00B41733">
        <w:rPr>
          <w:rFonts w:hint="eastAsia"/>
        </w:rPr>
        <w:t>委员会的主张相反</w:t>
      </w:r>
      <w:r w:rsidRPr="00B41733">
        <w:t>，共同生活的概念既不模糊也不抽象</w:t>
      </w:r>
      <w:r w:rsidRPr="00B41733">
        <w:rPr>
          <w:rFonts w:hint="eastAsia"/>
        </w:rPr>
        <w:t>，而是准确</w:t>
      </w:r>
      <w:r w:rsidRPr="00B41733">
        <w:t>和具体的。</w:t>
      </w:r>
      <w:r w:rsidRPr="00B41733">
        <w:rPr>
          <w:rFonts w:hint="eastAsia"/>
        </w:rPr>
        <w:t>该概念立足于一个非常基本的理念，即民主社会只有在无人蒙面的条件下才能运作。更广泛而言，正如我已经指出的，在任何其他语言诞生之前，人类最基本的交流是通过面部来实现的。在公共场所，特别是在民主环境下始终彻底蒙住面部，就等于否定自己的社会性，切断与他人的联系。因此，禁止佩戴全脸面纱并处以小额罚款既不过分，也不存在不相称的问题。在这方面，希贾布与尼卡布没有可比性。二者具有本质差异。</w:t>
      </w:r>
    </w:p>
    <w:p w:rsidR="00B41733" w:rsidRPr="00B41733" w:rsidRDefault="00B41733" w:rsidP="00B41733">
      <w:pPr>
        <w:pStyle w:val="SingleTxtGC"/>
      </w:pPr>
      <w:r w:rsidRPr="00B41733">
        <w:t xml:space="preserve">8.  </w:t>
      </w:r>
      <w:r w:rsidRPr="00B41733">
        <w:t>委员会认为</w:t>
      </w:r>
      <w:r w:rsidRPr="00B41733">
        <w:rPr>
          <w:rFonts w:hint="eastAsia"/>
        </w:rPr>
        <w:t>“《第</w:t>
      </w:r>
      <w:r w:rsidRPr="00B41733">
        <w:t>2010/1192</w:t>
      </w:r>
      <w:r w:rsidRPr="00B41733">
        <w:t>号法</w:t>
      </w:r>
      <w:r w:rsidRPr="00B41733">
        <w:rPr>
          <w:rFonts w:hint="eastAsia"/>
        </w:rPr>
        <w:t>》第</w:t>
      </w:r>
      <w:r w:rsidRPr="00B41733">
        <w:rPr>
          <w:rFonts w:hint="eastAsia"/>
        </w:rPr>
        <w:t>1</w:t>
      </w:r>
      <w:r w:rsidRPr="00B41733">
        <w:rPr>
          <w:rFonts w:hint="eastAsia"/>
        </w:rPr>
        <w:t>条出台的刑事禁令</w:t>
      </w:r>
      <w:r w:rsidRPr="00B41733">
        <w:rPr>
          <w:rFonts w:hint="eastAsia"/>
          <w:lang w:val="en-GB"/>
        </w:rPr>
        <w:t>会过度影响提交人这一选择佩戴全脸面纱的穆斯林妇女，并将她与其他可在公共场所合法遮盖面部的人</w:t>
      </w:r>
      <w:r w:rsidRPr="00B41733">
        <w:rPr>
          <w:rFonts w:hint="eastAsia"/>
        </w:rPr>
        <w:t>区别对待，不是为了实现正当利益的必要、相称手段，因此不合理”，这完全颠倒了有关权利的主次。委员会从这一推论出发，认定该法第</w:t>
      </w:r>
      <w:r w:rsidRPr="00B41733">
        <w:rPr>
          <w:rFonts w:hint="eastAsia"/>
        </w:rPr>
        <w:t>1</w:t>
      </w:r>
      <w:r w:rsidRPr="00B41733">
        <w:rPr>
          <w:rFonts w:hint="eastAsia"/>
        </w:rPr>
        <w:t>条构成某种基于性别和宗教的交叉形式的歧视，违反了《公约》第二十六条。但是，哪怕是仅仅考虑到安全方面的威胁</w:t>
      </w:r>
      <w:r w:rsidRPr="00B41733">
        <w:rPr>
          <w:rFonts w:hint="eastAsia"/>
        </w:rPr>
        <w:t>(</w:t>
      </w:r>
      <w:r w:rsidRPr="00B41733">
        <w:rPr>
          <w:rFonts w:hint="eastAsia"/>
        </w:rPr>
        <w:t>见上文第</w:t>
      </w:r>
      <w:r w:rsidRPr="00B41733">
        <w:rPr>
          <w:rFonts w:hint="eastAsia"/>
        </w:rPr>
        <w:t>2</w:t>
      </w:r>
      <w:r w:rsidRPr="00B41733">
        <w:rPr>
          <w:rFonts w:hint="eastAsia"/>
        </w:rPr>
        <w:t>段</w:t>
      </w:r>
      <w:r w:rsidRPr="00B41733">
        <w:rPr>
          <w:rFonts w:hint="eastAsia"/>
        </w:rPr>
        <w:t>)</w:t>
      </w:r>
      <w:r w:rsidRPr="00B41733">
        <w:rPr>
          <w:rFonts w:hint="eastAsia"/>
        </w:rPr>
        <w:t>，禁令也无疑是必要的；此外，考虑到佩戴全脸面纱严重侵犯公民之间的平等和妇女的尊严，处以</w:t>
      </w:r>
      <w:r w:rsidRPr="00B41733">
        <w:rPr>
          <w:rFonts w:hint="eastAsia"/>
        </w:rPr>
        <w:t>1</w:t>
      </w:r>
      <w:r w:rsidRPr="00B41733">
        <w:t>50</w:t>
      </w:r>
      <w:r w:rsidRPr="00B41733">
        <w:rPr>
          <w:rFonts w:hint="eastAsia"/>
        </w:rPr>
        <w:t>欧元罚款和要求完成一项公民课程并不严厉，说明禁令是相称的。</w:t>
      </w:r>
    </w:p>
    <w:p w:rsidR="00B41733" w:rsidRPr="00B41733" w:rsidRDefault="00B41733" w:rsidP="00B41733">
      <w:pPr>
        <w:pStyle w:val="SingleTxtGC"/>
      </w:pPr>
      <w:r w:rsidRPr="00B41733">
        <w:t xml:space="preserve">9.  </w:t>
      </w:r>
      <w:r w:rsidRPr="00B41733">
        <w:rPr>
          <w:rFonts w:hint="eastAsia"/>
        </w:rPr>
        <w:t>现在我们来讨论另一个问题，《第</w:t>
      </w:r>
      <w:r w:rsidRPr="00B41733">
        <w:t>2010/1192</w:t>
      </w:r>
      <w:r w:rsidRPr="00B41733">
        <w:t>号法</w:t>
      </w:r>
      <w:r w:rsidRPr="00B41733">
        <w:rPr>
          <w:rFonts w:hint="eastAsia"/>
        </w:rPr>
        <w:t>》不允许妇女佩戴全脸面纱，却允许另一些人员蒙面，委员会的《意见》认为这构成了《公约》第二十六条所指的歧视。提到这些人员的是《第</w:t>
      </w:r>
      <w:r w:rsidRPr="00B41733">
        <w:t>2010/1192</w:t>
      </w:r>
      <w:r w:rsidRPr="00B41733">
        <w:t>号法</w:t>
      </w:r>
      <w:r w:rsidRPr="00B41733">
        <w:rPr>
          <w:rFonts w:hint="eastAsia"/>
        </w:rPr>
        <w:t>》第</w:t>
      </w:r>
      <w:r w:rsidRPr="00B41733">
        <w:rPr>
          <w:rFonts w:hint="eastAsia"/>
        </w:rPr>
        <w:t>2.II</w:t>
      </w:r>
      <w:r w:rsidRPr="00B41733">
        <w:rPr>
          <w:rFonts w:hint="eastAsia"/>
        </w:rPr>
        <w:t>条，该条规定了可不受禁令约束的例外情况。这些例外可与佩戴全脸面纱的做法相提并论吗？《第</w:t>
      </w:r>
      <w:r w:rsidRPr="00B41733">
        <w:t>2010/1192</w:t>
      </w:r>
      <w:r w:rsidRPr="00B41733">
        <w:t>号法</w:t>
      </w:r>
      <w:r w:rsidRPr="00B41733">
        <w:rPr>
          <w:rFonts w:hint="eastAsia"/>
        </w:rPr>
        <w:t>》第</w:t>
      </w:r>
      <w:r w:rsidRPr="00B41733">
        <w:rPr>
          <w:rFonts w:hint="eastAsia"/>
        </w:rPr>
        <w:t>2</w:t>
      </w:r>
      <w:r w:rsidRPr="00B41733">
        <w:rPr>
          <w:rFonts w:hint="eastAsia"/>
        </w:rPr>
        <w:t>条具有《公约》第二十六条所指的歧视性吗？我不这么认为。这些例外基本上都属于环境造成的、暂时的例外，大多是为了实现娱乐、节日、狂欢或体育目的，或是为了提供服务或维护安全，特别是道路安全。这些例外存在于所有国家，绝不像全脸面纱那样构成歧视性标志或信号，可能触发执行《公约》第二十六条。</w:t>
      </w:r>
    </w:p>
    <w:p w:rsidR="00B41733" w:rsidRDefault="00B41733" w:rsidP="00B41733">
      <w:pPr>
        <w:pStyle w:val="SingleTxtGC"/>
      </w:pPr>
      <w:r w:rsidRPr="00B41733">
        <w:t xml:space="preserve">10.  </w:t>
      </w:r>
      <w:r w:rsidRPr="00B41733">
        <w:rPr>
          <w:rFonts w:hint="eastAsia"/>
        </w:rPr>
        <w:t>我的结论是，禁止佩戴全脸面纱和处以罚金，特别是在法国的国情下，既不违反《公约》第十八条，也不违反《公约》第二十六条</w:t>
      </w:r>
      <w:r>
        <w:rPr>
          <w:rFonts w:hint="eastAsia"/>
        </w:rPr>
        <w:t>。</w:t>
      </w:r>
    </w:p>
    <w:p w:rsidR="00B41733" w:rsidRDefault="00B41733" w:rsidP="00B41733">
      <w:pPr>
        <w:pStyle w:val="SingleTxtGC"/>
        <w:sectPr w:rsidR="00B41733" w:rsidSect="00E34196">
          <w:footnotePr>
            <w:numRestart w:val="eachSect"/>
          </w:footnotePr>
          <w:endnotePr>
            <w:numFmt w:val="decimal"/>
          </w:endnotePr>
          <w:pgSz w:w="11906" w:h="16838" w:code="9"/>
          <w:pgMar w:top="1418" w:right="1134" w:bottom="1134" w:left="1134" w:header="851" w:footer="567" w:gutter="0"/>
          <w:cols w:space="425"/>
          <w:docGrid w:type="lines" w:linePitch="326"/>
        </w:sectPr>
      </w:pPr>
    </w:p>
    <w:p w:rsidR="00B41733" w:rsidRPr="00B41733" w:rsidRDefault="00B41733" w:rsidP="001B6388">
      <w:pPr>
        <w:pStyle w:val="HChGC"/>
        <w:rPr>
          <w:lang w:val="en-GB"/>
        </w:rPr>
      </w:pPr>
      <w:r w:rsidRPr="00B41733">
        <w:rPr>
          <w:rFonts w:hint="eastAsia"/>
          <w:lang w:val="en-GB"/>
        </w:rPr>
        <w:t>附件四</w:t>
      </w:r>
    </w:p>
    <w:p w:rsidR="00B41733" w:rsidRPr="00C317EF" w:rsidRDefault="00452B17" w:rsidP="001B6388">
      <w:pPr>
        <w:pStyle w:val="HChGC"/>
        <w:rPr>
          <w:spacing w:val="-4"/>
        </w:rPr>
      </w:pPr>
      <w:r w:rsidRPr="00B41733">
        <w:tab/>
      </w:r>
      <w:r w:rsidRPr="00B41733">
        <w:tab/>
      </w:r>
      <w:r w:rsidRPr="00C317EF">
        <w:rPr>
          <w:rFonts w:hint="eastAsia"/>
          <w:spacing w:val="-4"/>
        </w:rPr>
        <w:t>委</w:t>
      </w:r>
      <w:r w:rsidR="00B41733" w:rsidRPr="00C317EF">
        <w:rPr>
          <w:rFonts w:hint="eastAsia"/>
          <w:spacing w:val="-4"/>
        </w:rPr>
        <w:t>员会委员若泽·曼努埃尔·桑托斯·派斯的个人意见</w:t>
      </w:r>
      <w:r w:rsidR="00B41733" w:rsidRPr="00C317EF">
        <w:rPr>
          <w:spacing w:val="-4"/>
        </w:rPr>
        <w:t>(</w:t>
      </w:r>
      <w:r w:rsidR="00B41733" w:rsidRPr="00C317EF">
        <w:rPr>
          <w:rFonts w:hint="eastAsia"/>
          <w:spacing w:val="-4"/>
        </w:rPr>
        <w:t>反对</w:t>
      </w:r>
      <w:r w:rsidR="00B41733" w:rsidRPr="00C317EF">
        <w:rPr>
          <w:spacing w:val="-4"/>
        </w:rPr>
        <w:t>)</w:t>
      </w:r>
    </w:p>
    <w:p w:rsidR="00B41733" w:rsidRPr="00B41733" w:rsidRDefault="00B41733" w:rsidP="00B41733">
      <w:pPr>
        <w:pStyle w:val="SingleTxtGC"/>
      </w:pPr>
      <w:bookmarkStart w:id="0" w:name="_Hlk491278443"/>
      <w:r w:rsidRPr="00B41733">
        <w:t xml:space="preserve">1.  </w:t>
      </w:r>
      <w:bookmarkEnd w:id="0"/>
      <w:r w:rsidRPr="00B41733">
        <w:t>我很遗憾不能同意委员会</w:t>
      </w:r>
      <w:r w:rsidRPr="00B41733">
        <w:rPr>
          <w:rFonts w:hint="eastAsia"/>
        </w:rPr>
        <w:t>多数委员</w:t>
      </w:r>
      <w:r w:rsidRPr="00B41733">
        <w:t>的结论，即缔约国侵犯了提交人根据《公约》第十八和第二十六条享有的权利。</w:t>
      </w:r>
    </w:p>
    <w:p w:rsidR="00B41733" w:rsidRPr="00B41733" w:rsidRDefault="00B41733" w:rsidP="00B41733">
      <w:pPr>
        <w:pStyle w:val="SingleTxtGC"/>
      </w:pPr>
      <w:r w:rsidRPr="00B41733">
        <w:t xml:space="preserve">2.  </w:t>
      </w:r>
      <w:r w:rsidRPr="00B41733">
        <w:rPr>
          <w:rFonts w:hint="eastAsia"/>
        </w:rPr>
        <w:t>这两起案件都涉及尼卡布的使用，委员会是第一次审议此类案件。这个问题非常敏感，其解决方案会产生深远的影响，因此在确定解决方案时应经过深思熟虑。</w:t>
      </w:r>
    </w:p>
    <w:p w:rsidR="00B41733" w:rsidRPr="00B41733" w:rsidRDefault="00B41733" w:rsidP="00B41733">
      <w:pPr>
        <w:pStyle w:val="SingleTxtGC"/>
      </w:pPr>
      <w:r w:rsidRPr="00B41733">
        <w:t xml:space="preserve">3.  </w:t>
      </w:r>
      <w:r w:rsidRPr="00B41733">
        <w:rPr>
          <w:rFonts w:hint="eastAsia"/>
        </w:rPr>
        <w:t>值得注意的是，这两起申诉涉及的国家并不是伊斯兰国家，而是一个民主传统浓厚和人权记录出众的欧洲国家。各种可能的解决方案都无法两全其美，因为在认定某些权利是否受到侵犯的问题上，正方和反方都可以找到颇具说服力的论据。对两案的决定除了会产生潜在的法律问题外，还会产生深远的政治影响，不仅影响法国，还会影响到欧洲、非洲和亚洲的许多其他国家，这些国家也可能出现使用尼卡布的问题。那么，问题在于如何找到一种解决方案，既尽可能减少损害，同时又能考虑到所有相关因素并防止委员会的决定免遭任何不正当或滥用性解读。</w:t>
      </w:r>
    </w:p>
    <w:p w:rsidR="00B41733" w:rsidRPr="00B41733" w:rsidRDefault="00B41733" w:rsidP="00B41733">
      <w:pPr>
        <w:pStyle w:val="SingleTxtGC"/>
      </w:pPr>
      <w:r w:rsidRPr="00B41733">
        <w:t xml:space="preserve">4.  </w:t>
      </w:r>
      <w:r w:rsidRPr="00B41733">
        <w:t>我倾向于认为</w:t>
      </w:r>
      <w:r w:rsidRPr="00B41733">
        <w:rPr>
          <w:rFonts w:hint="eastAsia"/>
        </w:rPr>
        <w:t>，</w:t>
      </w:r>
      <w:r w:rsidRPr="00B41733">
        <w:t>这两</w:t>
      </w:r>
      <w:r w:rsidRPr="00B41733">
        <w:rPr>
          <w:rFonts w:hint="eastAsia"/>
        </w:rPr>
        <w:t>起案件的申诉很可能别有目的，指控当局</w:t>
      </w:r>
      <w:r w:rsidRPr="00B41733">
        <w:t>限制思想、良心和宗教自由</w:t>
      </w:r>
      <w:r w:rsidRPr="00B41733">
        <w:rPr>
          <w:rFonts w:hint="eastAsia"/>
        </w:rPr>
        <w:t>只是一种手段，主要针对的其实是一个政治问题。提交人</w:t>
      </w:r>
      <w:r w:rsidRPr="00B41733">
        <w:t>从未解释过</w:t>
      </w:r>
      <w:r w:rsidRPr="00B41733">
        <w:rPr>
          <w:rFonts w:hint="eastAsia"/>
        </w:rPr>
        <w:t>强制她们戴尼卡布的是哪些宗教法规</w:t>
      </w:r>
      <w:r w:rsidRPr="00B41733">
        <w:t>，</w:t>
      </w:r>
      <w:r w:rsidRPr="00B41733">
        <w:rPr>
          <w:rFonts w:hint="eastAsia"/>
        </w:rPr>
        <w:t>也未解释过她们的结论所依据的是《古兰经》的哪些章节。但她们却承认，戴尼卡布或穿布卡袍是部分穆斯林信徒的习俗，是出于宗教信仰的行为，因此涉及对宗教的信守和崇奉，</w:t>
      </w:r>
      <w:r w:rsidRPr="00B41733">
        <w:rPr>
          <w:rFonts w:hint="eastAsia"/>
          <w:lang w:val="en-GB"/>
        </w:rPr>
        <w:t>哪怕戴尼卡布或穿布卡袍并不是所有奉行穆斯林礼仪者共同遵守的宗教要求</w:t>
      </w:r>
      <w:r w:rsidRPr="00B41733">
        <w:t>(</w:t>
      </w:r>
      <w:r w:rsidRPr="00B41733">
        <w:rPr>
          <w:rFonts w:hint="eastAsia"/>
        </w:rPr>
        <w:t>第</w:t>
      </w:r>
      <w:r w:rsidRPr="00B41733">
        <w:rPr>
          <w:rFonts w:hint="eastAsia"/>
        </w:rPr>
        <w:t>3.</w:t>
      </w:r>
      <w:r w:rsidRPr="00B41733">
        <w:t>2</w:t>
      </w:r>
      <w:r w:rsidRPr="00B41733">
        <w:rPr>
          <w:rFonts w:hint="eastAsia"/>
        </w:rPr>
        <w:t>段</w:t>
      </w:r>
      <w:r w:rsidRPr="00B41733">
        <w:t>)</w:t>
      </w:r>
      <w:r w:rsidRPr="00B41733">
        <w:rPr>
          <w:rFonts w:hint="eastAsia"/>
        </w:rPr>
        <w:t>。因此，我们所审议的是一项宗教习俗，而不是无可争议的宗教义务。</w:t>
      </w:r>
    </w:p>
    <w:p w:rsidR="00B41733" w:rsidRPr="00B41733" w:rsidRDefault="00B41733" w:rsidP="00B41733">
      <w:pPr>
        <w:pStyle w:val="SingleTxtGC"/>
      </w:pPr>
      <w:r w:rsidRPr="00B41733">
        <w:t xml:space="preserve">5.  </w:t>
      </w:r>
      <w:r w:rsidRPr="00B41733">
        <w:rPr>
          <w:rFonts w:hint="eastAsia"/>
        </w:rPr>
        <w:t>过去，对于某些有悖人权的社会或宗教习俗和做法</w:t>
      </w:r>
      <w:r w:rsidRPr="00B41733">
        <w:rPr>
          <w:rFonts w:hint="eastAsia"/>
        </w:rPr>
        <w:t>(</w:t>
      </w:r>
      <w:r w:rsidRPr="00B41733">
        <w:rPr>
          <w:rFonts w:hint="eastAsia"/>
        </w:rPr>
        <w:t>残割女性生殖器、名誉杀人和祭祀杀人</w:t>
      </w:r>
      <w:r w:rsidRPr="00B41733">
        <w:rPr>
          <w:rFonts w:hint="eastAsia"/>
        </w:rPr>
        <w:t>)</w:t>
      </w:r>
      <w:r w:rsidRPr="00B41733">
        <w:rPr>
          <w:rFonts w:hint="eastAsia"/>
        </w:rPr>
        <w:t>，委员会曾拒绝认定它们违反《公约》规定。因此，提交人声称其宗教信仰遭到侵犯，并不一定能得出她们的权利受到了侵犯这一结论。</w:t>
      </w:r>
    </w:p>
    <w:p w:rsidR="00B41733" w:rsidRPr="00B41733" w:rsidRDefault="00B41733" w:rsidP="00B41733">
      <w:pPr>
        <w:pStyle w:val="SingleTxtGC"/>
      </w:pPr>
      <w:r w:rsidRPr="00B41733">
        <w:t xml:space="preserve">6.  </w:t>
      </w:r>
      <w:r w:rsidRPr="00B41733">
        <w:rPr>
          <w:rFonts w:hint="eastAsia"/>
        </w:rPr>
        <w:t>两名提交人都是在法国出生和居住的法国国民。但是，她们拒绝遵守有关缔约国的现行法律，却承认自己属于佩戴全脸面纱的穆斯林妇女这一少数群体。研究此事的议会委员会称，所涉妇女不足</w:t>
      </w:r>
      <w:r w:rsidRPr="00B41733">
        <w:rPr>
          <w:rFonts w:hint="eastAsia"/>
        </w:rPr>
        <w:t>2,</w:t>
      </w:r>
      <w:r w:rsidRPr="00B41733">
        <w:t>000</w:t>
      </w:r>
      <w:r w:rsidRPr="00B41733">
        <w:rPr>
          <w:rFonts w:hint="eastAsia"/>
        </w:rPr>
        <w:t>人</w:t>
      </w:r>
      <w:r w:rsidRPr="00B41733">
        <w:rPr>
          <w:rFonts w:hint="eastAsia"/>
        </w:rPr>
        <w:t>(</w:t>
      </w:r>
      <w:r w:rsidRPr="00B41733">
        <w:rPr>
          <w:rFonts w:hint="eastAsia"/>
        </w:rPr>
        <w:t>第</w:t>
      </w:r>
      <w:r w:rsidRPr="00B41733">
        <w:rPr>
          <w:rFonts w:hint="eastAsia"/>
        </w:rPr>
        <w:t>3.</w:t>
      </w:r>
      <w:r w:rsidRPr="00B41733">
        <w:t>3</w:t>
      </w:r>
      <w:r w:rsidRPr="00B41733">
        <w:rPr>
          <w:rFonts w:hint="eastAsia"/>
        </w:rPr>
        <w:t>和第</w:t>
      </w:r>
      <w:r w:rsidRPr="00B41733">
        <w:rPr>
          <w:rFonts w:hint="eastAsia"/>
        </w:rPr>
        <w:t>3.</w:t>
      </w:r>
      <w:r w:rsidRPr="00B41733">
        <w:t>14</w:t>
      </w:r>
      <w:r w:rsidRPr="00B41733">
        <w:rPr>
          <w:rFonts w:hint="eastAsia"/>
        </w:rPr>
        <w:t>段</w:t>
      </w:r>
      <w:r w:rsidRPr="00B41733">
        <w:rPr>
          <w:rFonts w:hint="eastAsia"/>
        </w:rPr>
        <w:t>)</w:t>
      </w:r>
      <w:r w:rsidRPr="00B41733">
        <w:rPr>
          <w:rFonts w:hint="eastAsia"/>
        </w:rPr>
        <w:t>，属于极少数群体</w:t>
      </w:r>
      <w:r w:rsidRPr="00B41733">
        <w:rPr>
          <w:rFonts w:hint="eastAsia"/>
        </w:rPr>
        <w:t>(</w:t>
      </w:r>
      <w:r w:rsidRPr="00B41733">
        <w:rPr>
          <w:rFonts w:hint="eastAsia"/>
        </w:rPr>
        <w:t>第</w:t>
      </w:r>
      <w:r w:rsidRPr="00B41733">
        <w:rPr>
          <w:rFonts w:hint="eastAsia"/>
        </w:rPr>
        <w:t>3.</w:t>
      </w:r>
      <w:r w:rsidRPr="00B41733">
        <w:t>9</w:t>
      </w:r>
      <w:r w:rsidRPr="00B41733">
        <w:rPr>
          <w:rFonts w:hint="eastAsia"/>
        </w:rPr>
        <w:t>段</w:t>
      </w:r>
      <w:r w:rsidRPr="00B41733">
        <w:rPr>
          <w:rFonts w:hint="eastAsia"/>
        </w:rPr>
        <w:t>)</w:t>
      </w:r>
      <w:r w:rsidRPr="00B41733">
        <w:rPr>
          <w:rFonts w:hint="eastAsia"/>
        </w:rPr>
        <w:t>。两名提交人认为这一极少数群体可以将自己的信仰强加于其他民众，却不希望承认其他民众享有相同的权利。从考察相称性的角度而言，这种想法颇为令人不安，尤其是两名提交人完全可以采用头巾等其他不那么严格和极端的服饰，也不会违背自己的宗教信仰。在我看来，对于这种极端和激进的宗教信仰形式，委员会在审议时应当慎重，以便能够做出公平、合理的决定，但遗憾的是，本案中委员会并未这样做。</w:t>
      </w:r>
    </w:p>
    <w:p w:rsidR="00B41733" w:rsidRPr="00B41733" w:rsidRDefault="00B41733" w:rsidP="00B41733">
      <w:pPr>
        <w:pStyle w:val="SingleTxtGC"/>
      </w:pPr>
      <w:r w:rsidRPr="00B41733">
        <w:t xml:space="preserve">7.  </w:t>
      </w:r>
      <w:r w:rsidRPr="00B41733">
        <w:rPr>
          <w:rFonts w:hint="eastAsia"/>
        </w:rPr>
        <w:t>人们与某一特定社会接触时，自然应当考虑到需要尊重这一社会的习惯、习俗和主流价值观，如果像两名提交人一样与有关社会具有长期的关系，则更应如此。但提交人却拒绝接受这一点。</w:t>
      </w:r>
    </w:p>
    <w:p w:rsidR="00B41733" w:rsidRPr="00B41733" w:rsidRDefault="00B41733" w:rsidP="00B41733">
      <w:pPr>
        <w:pStyle w:val="SingleTxtGC"/>
      </w:pPr>
      <w:r w:rsidRPr="00B41733">
        <w:t xml:space="preserve">8.  </w:t>
      </w:r>
      <w:r w:rsidRPr="00B41733">
        <w:rPr>
          <w:rFonts w:hint="eastAsia"/>
        </w:rPr>
        <w:t>在遵守国际义务的同时以民主方式界定本国社会的法律框架，是每个国家的正当权力。缔约国就谨慎地行使了这项权力。《第</w:t>
      </w:r>
      <w:r w:rsidRPr="00B41733">
        <w:t>2010-1192</w:t>
      </w:r>
      <w:r w:rsidRPr="00B41733">
        <w:rPr>
          <w:rFonts w:hint="eastAsia"/>
        </w:rPr>
        <w:t>号法》是经过广泛的民主讨论后，由国民议会和参议院一致通过的</w:t>
      </w:r>
      <w:r w:rsidRPr="00B41733">
        <w:rPr>
          <w:rFonts w:hint="eastAsia"/>
        </w:rPr>
        <w:t>(</w:t>
      </w:r>
      <w:r w:rsidRPr="00B41733">
        <w:rPr>
          <w:rFonts w:hint="eastAsia"/>
        </w:rPr>
        <w:t>仅有一票反对</w:t>
      </w:r>
      <w:r w:rsidRPr="00B41733">
        <w:rPr>
          <w:rFonts w:hint="eastAsia"/>
        </w:rPr>
        <w:t>)</w:t>
      </w:r>
      <w:r w:rsidRPr="00B41733">
        <w:rPr>
          <w:rFonts w:hint="eastAsia"/>
        </w:rPr>
        <w:t>。法国为此设立了</w:t>
      </w:r>
      <w:r w:rsidRPr="00B41733">
        <w:t>一个议会工作</w:t>
      </w:r>
      <w:r w:rsidRPr="00B41733">
        <w:rPr>
          <w:rFonts w:hint="eastAsia"/>
        </w:rPr>
        <w:t>组，该工作组由各政治派别的</w:t>
      </w:r>
      <w:r w:rsidRPr="00B41733">
        <w:t>民选代表</w:t>
      </w:r>
      <w:r w:rsidRPr="00B41733">
        <w:rPr>
          <w:rFonts w:hint="eastAsia"/>
        </w:rPr>
        <w:t>组成，听取了观点各异的许多人群的意见，既包括穆斯林妇女和非穆斯林妇女的意见，也包括民间社会人员的意见</w:t>
      </w:r>
      <w:r w:rsidRPr="00B41733">
        <w:rPr>
          <w:rFonts w:hint="eastAsia"/>
        </w:rPr>
        <w:t>(</w:t>
      </w:r>
      <w:r w:rsidRPr="00B41733">
        <w:rPr>
          <w:rFonts w:hint="eastAsia"/>
        </w:rPr>
        <w:t>第</w:t>
      </w:r>
      <w:r w:rsidRPr="00B41733">
        <w:rPr>
          <w:rFonts w:hint="eastAsia"/>
        </w:rPr>
        <w:t>5.</w:t>
      </w:r>
      <w:r w:rsidRPr="00B41733">
        <w:t>1</w:t>
      </w:r>
      <w:r w:rsidRPr="00B41733">
        <w:rPr>
          <w:rFonts w:hint="eastAsia"/>
        </w:rPr>
        <w:t>段</w:t>
      </w:r>
      <w:r w:rsidRPr="00B41733">
        <w:rPr>
          <w:rFonts w:hint="eastAsia"/>
        </w:rPr>
        <w:t>)</w:t>
      </w:r>
      <w:r w:rsidRPr="00B41733">
        <w:rPr>
          <w:rFonts w:hint="eastAsia"/>
        </w:rPr>
        <w:t>。</w:t>
      </w:r>
      <w:r w:rsidR="002007EF" w:rsidRPr="002007EF">
        <w:rPr>
          <w:color w:val="0000FF"/>
          <w:vertAlign w:val="superscript"/>
        </w:rPr>
        <w:footnoteReference w:id="38"/>
      </w:r>
      <w:r w:rsidRPr="00B41733">
        <w:t xml:space="preserve"> </w:t>
      </w:r>
      <w:r w:rsidRPr="00B41733">
        <w:t>在该法通过之前</w:t>
      </w:r>
      <w:r w:rsidRPr="00B41733">
        <w:rPr>
          <w:rFonts w:hint="eastAsia"/>
        </w:rPr>
        <w:t>，国民议会于</w:t>
      </w:r>
      <w:r w:rsidRPr="00B41733">
        <w:t>2010</w:t>
      </w:r>
      <w:r w:rsidRPr="00B41733">
        <w:t>年</w:t>
      </w:r>
      <w:r w:rsidRPr="00B41733">
        <w:t>5</w:t>
      </w:r>
      <w:r w:rsidRPr="00B41733">
        <w:t>月</w:t>
      </w:r>
      <w:r w:rsidRPr="00B41733">
        <w:t>11</w:t>
      </w:r>
      <w:r w:rsidRPr="00B41733">
        <w:t>日</w:t>
      </w:r>
      <w:r w:rsidRPr="00B41733">
        <w:rPr>
          <w:rFonts w:hint="eastAsia"/>
        </w:rPr>
        <w:t>通过了一项决议，指出</w:t>
      </w:r>
      <w:r w:rsidRPr="00B41733">
        <w:t>包括佩戴全脸面纱</w:t>
      </w:r>
      <w:r w:rsidRPr="00B41733">
        <w:rPr>
          <w:rFonts w:hint="eastAsia"/>
        </w:rPr>
        <w:t>在内的有损</w:t>
      </w:r>
      <w:r w:rsidRPr="00B41733">
        <w:t>人类尊严和男女平等的激进做法</w:t>
      </w:r>
      <w:r w:rsidRPr="00B41733">
        <w:rPr>
          <w:rFonts w:hint="eastAsia"/>
        </w:rPr>
        <w:t>有悖</w:t>
      </w:r>
      <w:r w:rsidRPr="00B41733">
        <w:t>共和国的价值观，并呼吁采取一切可能的措施，确保有效保护</w:t>
      </w:r>
      <w:r w:rsidRPr="00B41733">
        <w:rPr>
          <w:rFonts w:hint="eastAsia"/>
        </w:rPr>
        <w:t>屈从于</w:t>
      </w:r>
      <w:r w:rsidRPr="00B41733">
        <w:t>暴力或</w:t>
      </w:r>
      <w:r w:rsidRPr="00B41733">
        <w:rPr>
          <w:rFonts w:hint="eastAsia"/>
        </w:rPr>
        <w:t>压力</w:t>
      </w:r>
      <w:r w:rsidRPr="00B41733">
        <w:t>的妇女，包括</w:t>
      </w:r>
      <w:r w:rsidRPr="00B41733">
        <w:rPr>
          <w:rFonts w:hint="eastAsia"/>
        </w:rPr>
        <w:t>被</w:t>
      </w:r>
      <w:r w:rsidRPr="00B41733">
        <w:t>迫</w:t>
      </w:r>
      <w:r w:rsidRPr="00B41733">
        <w:rPr>
          <w:rFonts w:hint="eastAsia"/>
        </w:rPr>
        <w:t>佩戴</w:t>
      </w:r>
      <w:r w:rsidRPr="00B41733">
        <w:t>全脸面纱</w:t>
      </w:r>
      <w:r w:rsidRPr="00B41733">
        <w:rPr>
          <w:rFonts w:hint="eastAsia"/>
        </w:rPr>
        <w:t>的妇女</w:t>
      </w:r>
      <w:r w:rsidRPr="00B41733">
        <w:t>(</w:t>
      </w:r>
      <w:r w:rsidRPr="00B41733">
        <w:t>第</w:t>
      </w:r>
      <w:r w:rsidRPr="00B41733">
        <w:t>5.2</w:t>
      </w:r>
      <w:r w:rsidRPr="00B41733">
        <w:rPr>
          <w:rFonts w:hint="eastAsia"/>
        </w:rPr>
        <w:t>段</w:t>
      </w:r>
      <w:r w:rsidRPr="00B41733">
        <w:t>)</w:t>
      </w:r>
      <w:r w:rsidRPr="00B41733">
        <w:t>。</w:t>
      </w:r>
      <w:r w:rsidR="002007EF" w:rsidRPr="002007EF">
        <w:rPr>
          <w:color w:val="0000FF"/>
          <w:vertAlign w:val="superscript"/>
        </w:rPr>
        <w:footnoteReference w:id="39"/>
      </w:r>
    </w:p>
    <w:p w:rsidR="00B41733" w:rsidRPr="00B41733" w:rsidRDefault="00B41733" w:rsidP="00B41733">
      <w:pPr>
        <w:pStyle w:val="SingleTxtGC"/>
      </w:pPr>
      <w:r w:rsidRPr="00B41733">
        <w:t xml:space="preserve">9.  </w:t>
      </w:r>
      <w:r w:rsidRPr="00B41733">
        <w:rPr>
          <w:rFonts w:hint="eastAsia"/>
        </w:rPr>
        <w:t>该法出台的全面禁令只禁止掩藏面部，范围是有限的。制裁措施也恰如其分，立法者们希望以教育为主</w:t>
      </w:r>
      <w:r w:rsidRPr="00B41733">
        <w:rPr>
          <w:rFonts w:hint="eastAsia"/>
        </w:rPr>
        <w:t>(</w:t>
      </w:r>
      <w:r w:rsidRPr="00B41733">
        <w:rPr>
          <w:rFonts w:hint="eastAsia"/>
        </w:rPr>
        <w:t>第</w:t>
      </w:r>
      <w:r w:rsidRPr="00B41733">
        <w:rPr>
          <w:rFonts w:hint="eastAsia"/>
        </w:rPr>
        <w:t>5.</w:t>
      </w:r>
      <w:r w:rsidRPr="00B41733">
        <w:t>3</w:t>
      </w:r>
      <w:r w:rsidRPr="00B41733">
        <w:rPr>
          <w:rFonts w:hint="eastAsia"/>
        </w:rPr>
        <w:t>段</w:t>
      </w:r>
      <w:r w:rsidRPr="00B41733">
        <w:t>)</w:t>
      </w:r>
      <w:r w:rsidRPr="00B41733">
        <w:rPr>
          <w:rFonts w:hint="eastAsia"/>
        </w:rPr>
        <w:t>。</w:t>
      </w:r>
      <w:r w:rsidR="002007EF" w:rsidRPr="002007EF">
        <w:rPr>
          <w:color w:val="0000FF"/>
          <w:vertAlign w:val="superscript"/>
        </w:rPr>
        <w:footnoteReference w:id="40"/>
      </w:r>
      <w:r w:rsidRPr="00B41733">
        <w:t xml:space="preserve"> </w:t>
      </w:r>
      <w:r w:rsidRPr="00B41733">
        <w:rPr>
          <w:rFonts w:hint="eastAsia"/>
        </w:rPr>
        <w:t>禁令涵盖了任何旨在在公共场所掩藏面部的服饰，不论其形式或穿戴理由</w:t>
      </w:r>
      <w:r w:rsidRPr="00B41733">
        <w:t>(</w:t>
      </w:r>
      <w:r w:rsidRPr="00B41733">
        <w:rPr>
          <w:rFonts w:hint="eastAsia"/>
        </w:rPr>
        <w:t>第</w:t>
      </w:r>
      <w:r w:rsidRPr="00B41733">
        <w:rPr>
          <w:rFonts w:hint="eastAsia"/>
        </w:rPr>
        <w:t>5.</w:t>
      </w:r>
      <w:r w:rsidRPr="00B41733">
        <w:t>5</w:t>
      </w:r>
      <w:r w:rsidRPr="00B41733">
        <w:rPr>
          <w:rFonts w:hint="eastAsia"/>
        </w:rPr>
        <w:t>段</w:t>
      </w:r>
      <w:r w:rsidRPr="00B41733">
        <w:t>)</w:t>
      </w:r>
      <w:r w:rsidRPr="00B41733">
        <w:rPr>
          <w:rFonts w:hint="eastAsia"/>
        </w:rPr>
        <w:t>，</w:t>
      </w:r>
      <w:r w:rsidR="002007EF" w:rsidRPr="002007EF">
        <w:rPr>
          <w:color w:val="0000FF"/>
          <w:vertAlign w:val="superscript"/>
        </w:rPr>
        <w:footnoteReference w:id="41"/>
      </w:r>
      <w:r w:rsidRPr="00B41733">
        <w:t xml:space="preserve"> </w:t>
      </w:r>
      <w:r w:rsidRPr="00B41733">
        <w:rPr>
          <w:rFonts w:hint="eastAsia"/>
        </w:rPr>
        <w:t>既不针对任何特定服饰，也不区分男女</w:t>
      </w:r>
      <w:r w:rsidRPr="00B41733">
        <w:rPr>
          <w:rFonts w:hint="eastAsia"/>
        </w:rPr>
        <w:t>(</w:t>
      </w:r>
      <w:r w:rsidRPr="00B41733">
        <w:rPr>
          <w:rFonts w:hint="eastAsia"/>
        </w:rPr>
        <w:t>第</w:t>
      </w:r>
      <w:r w:rsidRPr="00B41733">
        <w:t>5.11</w:t>
      </w:r>
      <w:r w:rsidRPr="00B41733">
        <w:rPr>
          <w:rFonts w:hint="eastAsia"/>
        </w:rPr>
        <w:t>段</w:t>
      </w:r>
      <w:r w:rsidRPr="00B41733">
        <w:t>)</w:t>
      </w:r>
      <w:r w:rsidRPr="00B41733">
        <w:rPr>
          <w:rFonts w:hint="eastAsia"/>
        </w:rPr>
        <w:t>。</w:t>
      </w:r>
      <w:r w:rsidR="002007EF" w:rsidRPr="002007EF">
        <w:rPr>
          <w:color w:val="0000FF"/>
          <w:vertAlign w:val="superscript"/>
        </w:rPr>
        <w:footnoteReference w:id="42"/>
      </w:r>
      <w:r w:rsidRPr="00B41733">
        <w:t xml:space="preserve"> </w:t>
      </w:r>
      <w:r w:rsidRPr="00B41733">
        <w:rPr>
          <w:rFonts w:hint="eastAsia"/>
        </w:rPr>
        <w:t>因此，出于宗教或文化原因穿戴的服饰不享受任何特殊待遇，而且只有在公共场所完全遮盖穿戴者的最激进的服饰才会受到影响。这项禁令并不能限制人们在对公众开放的礼拜场所行使宗教自由</w:t>
      </w:r>
      <w:r w:rsidRPr="00B41733">
        <w:t>(</w:t>
      </w:r>
      <w:r w:rsidRPr="00B41733">
        <w:rPr>
          <w:rFonts w:hint="eastAsia"/>
        </w:rPr>
        <w:t>第</w:t>
      </w:r>
      <w:r w:rsidRPr="00B41733">
        <w:t>5.9</w:t>
      </w:r>
      <w:r w:rsidRPr="00B41733">
        <w:rPr>
          <w:rFonts w:hint="eastAsia"/>
        </w:rPr>
        <w:t>段</w:t>
      </w:r>
      <w:r w:rsidRPr="00B41733">
        <w:t>)</w:t>
      </w:r>
      <w:r w:rsidRPr="00B41733">
        <w:rPr>
          <w:rFonts w:hint="eastAsia"/>
        </w:rPr>
        <w:t>。</w:t>
      </w:r>
      <w:r w:rsidR="002007EF" w:rsidRPr="002007EF">
        <w:rPr>
          <w:color w:val="0000FF"/>
          <w:vertAlign w:val="superscript"/>
        </w:rPr>
        <w:footnoteReference w:id="43"/>
      </w:r>
      <w:r w:rsidRPr="00B41733">
        <w:t xml:space="preserve"> </w:t>
      </w:r>
      <w:r w:rsidRPr="00B41733">
        <w:rPr>
          <w:rFonts w:hint="eastAsia"/>
        </w:rPr>
        <w:t>该法规定的豁免情况包括出于卫生或职业原因穿戴的服饰，为体育、艺术或传统节日或活动穿戴的服饰，包括宗教游行服饰，或者其他得到依法许可的服饰</w:t>
      </w:r>
      <w:r w:rsidRPr="00B41733">
        <w:t>(</w:t>
      </w:r>
      <w:r w:rsidRPr="00B41733">
        <w:rPr>
          <w:rFonts w:hint="eastAsia"/>
        </w:rPr>
        <w:t>第</w:t>
      </w:r>
      <w:r w:rsidRPr="00B41733">
        <w:rPr>
          <w:rFonts w:hint="eastAsia"/>
        </w:rPr>
        <w:t>7.</w:t>
      </w:r>
      <w:r w:rsidRPr="00B41733">
        <w:t>2</w:t>
      </w:r>
      <w:r w:rsidRPr="00B41733">
        <w:rPr>
          <w:rFonts w:hint="eastAsia"/>
        </w:rPr>
        <w:t>段</w:t>
      </w:r>
      <w:r w:rsidRPr="00B41733">
        <w:t>)</w:t>
      </w:r>
      <w:r w:rsidRPr="00B41733">
        <w:rPr>
          <w:rFonts w:hint="eastAsia"/>
        </w:rPr>
        <w:t>，</w:t>
      </w:r>
      <w:r w:rsidR="002007EF" w:rsidRPr="002007EF">
        <w:rPr>
          <w:color w:val="0000FF"/>
          <w:vertAlign w:val="superscript"/>
        </w:rPr>
        <w:footnoteReference w:id="44"/>
      </w:r>
      <w:r w:rsidRPr="00B41733">
        <w:rPr>
          <w:rFonts w:hint="eastAsia"/>
        </w:rPr>
        <w:t xml:space="preserve"> </w:t>
      </w:r>
      <w:r w:rsidRPr="00B41733">
        <w:rPr>
          <w:rFonts w:hint="eastAsia"/>
        </w:rPr>
        <w:t>这证明禁令是一般适用的、合理的。</w:t>
      </w:r>
      <w:r w:rsidRPr="00B41733">
        <w:t>2011</w:t>
      </w:r>
      <w:r w:rsidRPr="00B41733">
        <w:rPr>
          <w:rFonts w:hint="eastAsia"/>
        </w:rPr>
        <w:t>年</w:t>
      </w:r>
      <w:r w:rsidRPr="00B41733">
        <w:t>3</w:t>
      </w:r>
      <w:r w:rsidRPr="00B41733">
        <w:rPr>
          <w:rFonts w:hint="eastAsia"/>
        </w:rPr>
        <w:t>月</w:t>
      </w:r>
      <w:r w:rsidRPr="00B41733">
        <w:t>2</w:t>
      </w:r>
      <w:r w:rsidRPr="00B41733">
        <w:rPr>
          <w:rFonts w:hint="eastAsia"/>
        </w:rPr>
        <w:t>日的通告全面解释了该法的适用范围和模式，作为补充，当局还在公共场所开展了宣传活动，并在各政府办事处和一个教育网站上提供了宣传单。此外，该法在颁布与生效之间有六个月的间隔，以满足有关要求，让人们做好守法准备</w:t>
      </w:r>
      <w:r w:rsidRPr="00B41733">
        <w:rPr>
          <w:rFonts w:hint="eastAsia"/>
        </w:rPr>
        <w:t>(</w:t>
      </w:r>
      <w:r w:rsidRPr="00B41733">
        <w:rPr>
          <w:rFonts w:hint="eastAsia"/>
        </w:rPr>
        <w:t>第</w:t>
      </w:r>
      <w:r w:rsidRPr="00B41733">
        <w:rPr>
          <w:rFonts w:hint="eastAsia"/>
        </w:rPr>
        <w:t>5.</w:t>
      </w:r>
      <w:r w:rsidRPr="00B41733">
        <w:t>6</w:t>
      </w:r>
      <w:r w:rsidRPr="00B41733">
        <w:rPr>
          <w:rFonts w:hint="eastAsia"/>
        </w:rPr>
        <w:t>段</w:t>
      </w:r>
      <w:r w:rsidRPr="00B41733">
        <w:rPr>
          <w:rFonts w:hint="eastAsia"/>
        </w:rPr>
        <w:t>)</w:t>
      </w:r>
      <w:r w:rsidRPr="00B41733">
        <w:rPr>
          <w:rFonts w:hint="eastAsia"/>
        </w:rPr>
        <w:t>。</w:t>
      </w:r>
      <w:r w:rsidR="002007EF" w:rsidRPr="002007EF">
        <w:rPr>
          <w:color w:val="0000FF"/>
          <w:vertAlign w:val="superscript"/>
        </w:rPr>
        <w:footnoteReference w:id="45"/>
      </w:r>
    </w:p>
    <w:p w:rsidR="00B41733" w:rsidRPr="00B41733" w:rsidRDefault="00B41733" w:rsidP="00B41733">
      <w:pPr>
        <w:pStyle w:val="SingleTxtGC"/>
      </w:pPr>
      <w:r w:rsidRPr="00B41733">
        <w:t xml:space="preserve">10.  </w:t>
      </w:r>
      <w:r w:rsidRPr="00B41733">
        <w:rPr>
          <w:rFonts w:hint="eastAsia"/>
        </w:rPr>
        <w:t>该法所要实现的目标是正当目标，即保护他人的权利和自由并维护公共秩序，该法的宗旨声明明确界定了这一点，并重申了共和国的价值观和共同生活的要求</w:t>
      </w:r>
      <w:r w:rsidRPr="00B41733">
        <w:t>(</w:t>
      </w:r>
      <w:r w:rsidRPr="00B41733">
        <w:rPr>
          <w:rFonts w:hint="eastAsia"/>
        </w:rPr>
        <w:t>第</w:t>
      </w:r>
      <w:r w:rsidRPr="00B41733">
        <w:t>5.7</w:t>
      </w:r>
      <w:r w:rsidRPr="00B41733">
        <w:rPr>
          <w:rFonts w:hint="eastAsia"/>
        </w:rPr>
        <w:t>段</w:t>
      </w:r>
      <w:r w:rsidRPr="00B41733">
        <w:t>)</w:t>
      </w:r>
      <w:r w:rsidRPr="00B41733">
        <w:rPr>
          <w:rFonts w:hint="eastAsia"/>
        </w:rPr>
        <w:t>。</w:t>
      </w:r>
      <w:r w:rsidR="002007EF" w:rsidRPr="002007EF">
        <w:rPr>
          <w:color w:val="0000FF"/>
          <w:vertAlign w:val="superscript"/>
        </w:rPr>
        <w:footnoteReference w:id="46"/>
      </w:r>
      <w:r w:rsidRPr="00B41733">
        <w:t xml:space="preserve"> </w:t>
      </w:r>
      <w:r w:rsidRPr="00B41733">
        <w:t>欧洲人权法院在</w:t>
      </w:r>
      <w:r w:rsidRPr="003F4D76">
        <w:rPr>
          <w:rFonts w:ascii="Time New Roman" w:eastAsia="楷体" w:hAnsi="Time New Roman"/>
          <w:iCs/>
        </w:rPr>
        <w:t>S.A.S.</w:t>
      </w:r>
      <w:r w:rsidRPr="003F4D76">
        <w:rPr>
          <w:rFonts w:ascii="Time New Roman" w:eastAsia="楷体" w:hAnsi="Time New Roman" w:hint="eastAsia"/>
          <w:iCs/>
        </w:rPr>
        <w:t>诉法国</w:t>
      </w:r>
      <w:r w:rsidRPr="00B41733">
        <w:rPr>
          <w:iCs/>
        </w:rPr>
        <w:t>案</w:t>
      </w:r>
      <w:r w:rsidRPr="00B41733">
        <w:t>的判决中承认</w:t>
      </w:r>
      <w:r w:rsidRPr="00B41733">
        <w:rPr>
          <w:rFonts w:hint="eastAsia"/>
        </w:rPr>
        <w:t>，</w:t>
      </w:r>
      <w:r w:rsidRPr="00B41733">
        <w:t>遵守社会生活</w:t>
      </w:r>
      <w:r w:rsidRPr="00B41733">
        <w:rPr>
          <w:rFonts w:hint="eastAsia"/>
        </w:rPr>
        <w:t>最基本的</w:t>
      </w:r>
      <w:r w:rsidRPr="00B41733">
        <w:t>要求是保护他人权利和自由</w:t>
      </w:r>
      <w:r w:rsidRPr="00B41733">
        <w:rPr>
          <w:rFonts w:hint="eastAsia"/>
        </w:rPr>
        <w:t>的组成</w:t>
      </w:r>
      <w:r w:rsidRPr="00B41733">
        <w:t>部分，</w:t>
      </w:r>
      <w:r w:rsidRPr="00B41733">
        <w:rPr>
          <w:rFonts w:hint="eastAsia"/>
        </w:rPr>
        <w:t>该法院因此认定，法国施行的</w:t>
      </w:r>
      <w:r w:rsidRPr="00B41733">
        <w:t>禁令与</w:t>
      </w:r>
      <w:r w:rsidRPr="00B41733">
        <w:rPr>
          <w:rFonts w:hint="eastAsia"/>
        </w:rPr>
        <w:t>所要实现</w:t>
      </w:r>
      <w:r w:rsidRPr="00B41733">
        <w:t>的目标相称</w:t>
      </w:r>
      <w:r w:rsidRPr="00B41733">
        <w:t>(</w:t>
      </w:r>
      <w:r w:rsidRPr="00B41733">
        <w:rPr>
          <w:rFonts w:hint="eastAsia"/>
        </w:rPr>
        <w:t>第</w:t>
      </w:r>
      <w:r w:rsidRPr="00B41733">
        <w:t>140-159</w:t>
      </w:r>
      <w:r w:rsidRPr="00B41733">
        <w:rPr>
          <w:rFonts w:hint="eastAsia"/>
        </w:rPr>
        <w:t>段</w:t>
      </w:r>
      <w:r w:rsidRPr="00B41733">
        <w:t>)</w:t>
      </w:r>
      <w:r w:rsidRPr="00B41733">
        <w:t>。</w:t>
      </w:r>
    </w:p>
    <w:p w:rsidR="002F38E8" w:rsidRDefault="002F38E8">
      <w:pPr>
        <w:tabs>
          <w:tab w:val="clear" w:pos="431"/>
        </w:tabs>
        <w:overflowPunct/>
        <w:adjustRightInd/>
        <w:snapToGrid/>
        <w:spacing w:line="240" w:lineRule="auto"/>
        <w:jc w:val="left"/>
      </w:pPr>
      <w:r>
        <w:br w:type="page"/>
      </w:r>
    </w:p>
    <w:p w:rsidR="00B41733" w:rsidRPr="00B41733" w:rsidRDefault="00B41733" w:rsidP="00B41733">
      <w:pPr>
        <w:pStyle w:val="SingleTxtGC"/>
      </w:pPr>
      <w:r w:rsidRPr="00B41733">
        <w:t xml:space="preserve">11.  </w:t>
      </w:r>
      <w:r w:rsidRPr="00B41733">
        <w:rPr>
          <w:rFonts w:hint="eastAsia"/>
        </w:rPr>
        <w:t>为了维护公共安全和公共秩序，必须能在必要时识别每个人的身份，以防止危害人身和财产安全的行为并打击身份欺诈。这意味着人们必须露出面部，这是当前国际恐怖主义威胁下的一项重要要求</w:t>
      </w:r>
      <w:r w:rsidRPr="00B41733">
        <w:t>(</w:t>
      </w:r>
      <w:r w:rsidRPr="00B41733">
        <w:rPr>
          <w:rFonts w:hint="eastAsia"/>
        </w:rPr>
        <w:t>第</w:t>
      </w:r>
      <w:r w:rsidRPr="00B41733">
        <w:t>5.8</w:t>
      </w:r>
      <w:r w:rsidRPr="00B41733">
        <w:rPr>
          <w:rFonts w:hint="eastAsia"/>
        </w:rPr>
        <w:t>段</w:t>
      </w:r>
      <w:r w:rsidRPr="00B41733">
        <w:t>)</w:t>
      </w:r>
      <w:r w:rsidRPr="00B41733">
        <w:rPr>
          <w:rFonts w:hint="eastAsia"/>
        </w:rPr>
        <w:t>。</w:t>
      </w:r>
      <w:r w:rsidR="002007EF" w:rsidRPr="002007EF">
        <w:rPr>
          <w:color w:val="0000FF"/>
          <w:vertAlign w:val="superscript"/>
        </w:rPr>
        <w:footnoteReference w:id="47"/>
      </w:r>
      <w:r w:rsidRPr="00B41733">
        <w:t xml:space="preserve"> </w:t>
      </w:r>
      <w:r w:rsidRPr="00B41733">
        <w:t>委员会</w:t>
      </w:r>
      <w:r w:rsidRPr="00B41733">
        <w:rPr>
          <w:rFonts w:hint="eastAsia"/>
        </w:rPr>
        <w:t>在未能妥善讨论根本问题的同时，似乎也并未</w:t>
      </w:r>
      <w:r w:rsidRPr="00B41733">
        <w:t>充分权衡</w:t>
      </w:r>
      <w:r w:rsidRPr="00B41733">
        <w:rPr>
          <w:rFonts w:hint="eastAsia"/>
        </w:rPr>
        <w:t>上述</w:t>
      </w:r>
      <w:r w:rsidRPr="00B41733">
        <w:t>要求</w:t>
      </w:r>
      <w:r w:rsidRPr="00B41733">
        <w:t>(</w:t>
      </w:r>
      <w:r w:rsidRPr="00B41733">
        <w:t>第</w:t>
      </w:r>
      <w:r w:rsidRPr="00B41733">
        <w:t>7.7</w:t>
      </w:r>
      <w:r w:rsidRPr="00B41733">
        <w:rPr>
          <w:rFonts w:hint="eastAsia"/>
        </w:rPr>
        <w:t>段</w:t>
      </w:r>
      <w:r w:rsidRPr="00B41733">
        <w:t>)</w:t>
      </w:r>
      <w:r w:rsidRPr="00B41733">
        <w:t>。</w:t>
      </w:r>
      <w:r w:rsidR="002007EF" w:rsidRPr="002007EF">
        <w:rPr>
          <w:color w:val="0000FF"/>
          <w:vertAlign w:val="superscript"/>
        </w:rPr>
        <w:footnoteReference w:id="48"/>
      </w:r>
    </w:p>
    <w:p w:rsidR="00B41733" w:rsidRPr="00B41733" w:rsidRDefault="00B41733" w:rsidP="00B41733">
      <w:pPr>
        <w:pStyle w:val="SingleTxtGC"/>
      </w:pPr>
      <w:r w:rsidRPr="00B41733">
        <w:t xml:space="preserve">12.  </w:t>
      </w:r>
      <w:r w:rsidRPr="00B41733">
        <w:rPr>
          <w:rFonts w:hint="eastAsia"/>
        </w:rPr>
        <w:t>的确，欧洲人权法院在</w:t>
      </w:r>
      <w:r w:rsidRPr="006B5D85">
        <w:rPr>
          <w:rFonts w:ascii="Time New Roman" w:eastAsia="楷体" w:hAnsi="Time New Roman"/>
          <w:iCs/>
        </w:rPr>
        <w:t>S.A.S.</w:t>
      </w:r>
      <w:r w:rsidRPr="006B5D85">
        <w:rPr>
          <w:rFonts w:ascii="Time New Roman" w:eastAsia="楷体" w:hAnsi="Time New Roman" w:hint="eastAsia"/>
          <w:iCs/>
        </w:rPr>
        <w:t>案</w:t>
      </w:r>
      <w:r w:rsidRPr="00B41733">
        <w:rPr>
          <w:rFonts w:hint="eastAsia"/>
          <w:iCs/>
        </w:rPr>
        <w:t>的</w:t>
      </w:r>
      <w:r w:rsidRPr="00B41733">
        <w:rPr>
          <w:rFonts w:hint="eastAsia"/>
        </w:rPr>
        <w:t>判决中驳回了该项禁令是民主社会维护公共安全的必要手段这一主张，因为“仅在存在普遍的公共安全威胁时，才可将一律禁止在公共场所穿戴旨在掩藏面部的服饰视为相称的手段”</w:t>
      </w:r>
      <w:r w:rsidRPr="00B41733">
        <w:t>(</w:t>
      </w:r>
      <w:r w:rsidRPr="00B41733">
        <w:rPr>
          <w:rFonts w:hint="eastAsia"/>
        </w:rPr>
        <w:t>第</w:t>
      </w:r>
      <w:r w:rsidRPr="00B41733">
        <w:t>139</w:t>
      </w:r>
      <w:r w:rsidRPr="00B41733">
        <w:rPr>
          <w:rFonts w:hint="eastAsia"/>
        </w:rPr>
        <w:t>段</w:t>
      </w:r>
      <w:r w:rsidRPr="00B41733">
        <w:t>)</w:t>
      </w:r>
      <w:r w:rsidRPr="00B41733">
        <w:rPr>
          <w:rFonts w:hint="eastAsia"/>
        </w:rPr>
        <w:t>。但是，自欧洲人权法院作出这项判决以来，法国经历了多次基地组织和伊拉克和黎凡特伊斯兰国发动的恐怖袭击：</w:t>
      </w:r>
      <w:r w:rsidRPr="00B41733">
        <w:t>2015</w:t>
      </w:r>
      <w:r w:rsidRPr="00B41733">
        <w:rPr>
          <w:rFonts w:hint="eastAsia"/>
        </w:rPr>
        <w:t>年</w:t>
      </w:r>
      <w:r w:rsidRPr="00B41733">
        <w:t>1</w:t>
      </w:r>
      <w:r w:rsidRPr="00B41733">
        <w:rPr>
          <w:rFonts w:hint="eastAsia"/>
        </w:rPr>
        <w:t>月在法兰西岛</w:t>
      </w:r>
      <w:r w:rsidRPr="00B41733">
        <w:t>(20</w:t>
      </w:r>
      <w:r w:rsidRPr="00B41733">
        <w:rPr>
          <w:rFonts w:hint="eastAsia"/>
        </w:rPr>
        <w:t>人遇害，</w:t>
      </w:r>
      <w:r w:rsidRPr="00B41733">
        <w:t>22</w:t>
      </w:r>
      <w:r w:rsidRPr="00B41733">
        <w:rPr>
          <w:rFonts w:hint="eastAsia"/>
        </w:rPr>
        <w:t>人受伤</w:t>
      </w:r>
      <w:r w:rsidRPr="00B41733">
        <w:t>)</w:t>
      </w:r>
      <w:r w:rsidRPr="00B41733">
        <w:rPr>
          <w:rFonts w:hint="eastAsia"/>
        </w:rPr>
        <w:t>、</w:t>
      </w:r>
      <w:r w:rsidRPr="00B41733">
        <w:t>2015</w:t>
      </w:r>
      <w:r w:rsidRPr="00B41733">
        <w:rPr>
          <w:rFonts w:hint="eastAsia"/>
        </w:rPr>
        <w:t>年</w:t>
      </w:r>
      <w:r w:rsidRPr="00B41733">
        <w:t>11</w:t>
      </w:r>
      <w:r w:rsidRPr="00B41733">
        <w:rPr>
          <w:rFonts w:hint="eastAsia"/>
        </w:rPr>
        <w:t>月在巴黎</w:t>
      </w:r>
      <w:r w:rsidRPr="00B41733">
        <w:t>(137</w:t>
      </w:r>
      <w:r w:rsidRPr="00B41733">
        <w:rPr>
          <w:rFonts w:hint="eastAsia"/>
        </w:rPr>
        <w:t>人遇害，</w:t>
      </w:r>
      <w:r w:rsidRPr="00B41733">
        <w:t>368</w:t>
      </w:r>
      <w:r w:rsidRPr="00B41733">
        <w:rPr>
          <w:rFonts w:hint="eastAsia"/>
        </w:rPr>
        <w:t>人受伤</w:t>
      </w:r>
      <w:r w:rsidRPr="00B41733">
        <w:t>)</w:t>
      </w:r>
      <w:r w:rsidRPr="00B41733">
        <w:rPr>
          <w:rFonts w:hint="eastAsia"/>
        </w:rPr>
        <w:t>及</w:t>
      </w:r>
      <w:r w:rsidRPr="00B41733">
        <w:t>2016</w:t>
      </w:r>
      <w:r w:rsidRPr="00B41733">
        <w:rPr>
          <w:rFonts w:hint="eastAsia"/>
        </w:rPr>
        <w:t>年</w:t>
      </w:r>
      <w:r w:rsidRPr="00B41733">
        <w:t>7</w:t>
      </w:r>
      <w:r w:rsidRPr="00B41733">
        <w:rPr>
          <w:rFonts w:hint="eastAsia"/>
        </w:rPr>
        <w:t>月在尼斯</w:t>
      </w:r>
      <w:r w:rsidRPr="00B41733">
        <w:t>(87</w:t>
      </w:r>
      <w:r w:rsidRPr="00B41733">
        <w:rPr>
          <w:rFonts w:hint="eastAsia"/>
        </w:rPr>
        <w:t>人遇害，</w:t>
      </w:r>
      <w:r w:rsidRPr="00B41733">
        <w:t>434</w:t>
      </w:r>
      <w:r w:rsidRPr="00B41733">
        <w:rPr>
          <w:rFonts w:hint="eastAsia"/>
        </w:rPr>
        <w:t>人受伤</w:t>
      </w:r>
      <w:r w:rsidRPr="00B41733">
        <w:t>)</w:t>
      </w:r>
      <w:r w:rsidRPr="00B41733">
        <w:rPr>
          <w:rFonts w:hint="eastAsia"/>
        </w:rPr>
        <w:t>。根据欧洲联盟九个成员国的报告，</w:t>
      </w:r>
      <w:r w:rsidRPr="00B41733">
        <w:t>2017</w:t>
      </w:r>
      <w:r w:rsidRPr="00B41733">
        <w:rPr>
          <w:rFonts w:hint="eastAsia"/>
        </w:rPr>
        <w:t>年挫败、失败和完成的恐怖袭击共有</w:t>
      </w:r>
      <w:r w:rsidRPr="00B41733">
        <w:rPr>
          <w:rFonts w:hint="eastAsia"/>
        </w:rPr>
        <w:t>205</w:t>
      </w:r>
      <w:r w:rsidRPr="00B41733">
        <w:rPr>
          <w:rFonts w:hint="eastAsia"/>
        </w:rPr>
        <w:t>起</w:t>
      </w:r>
      <w:r w:rsidRPr="00B41733">
        <w:t>(</w:t>
      </w:r>
      <w:r w:rsidRPr="00B41733">
        <w:rPr>
          <w:rFonts w:hint="eastAsia"/>
        </w:rPr>
        <w:t>法国经历了</w:t>
      </w:r>
      <w:r w:rsidRPr="00B41733">
        <w:t>54</w:t>
      </w:r>
      <w:r w:rsidRPr="00B41733">
        <w:rPr>
          <w:rFonts w:hint="eastAsia"/>
        </w:rPr>
        <w:t>起袭击</w:t>
      </w:r>
      <w:r w:rsidRPr="00B41733">
        <w:t>)</w:t>
      </w:r>
      <w:r w:rsidRPr="00B41733">
        <w:rPr>
          <w:rFonts w:hint="eastAsia"/>
        </w:rPr>
        <w:t>。</w:t>
      </w:r>
      <w:r w:rsidRPr="00B41733">
        <w:t>2017</w:t>
      </w:r>
      <w:r w:rsidRPr="00B41733">
        <w:rPr>
          <w:rFonts w:hint="eastAsia"/>
        </w:rPr>
        <w:t>年，共有</w:t>
      </w:r>
      <w:r w:rsidRPr="00B41733">
        <w:t>975</w:t>
      </w:r>
      <w:r w:rsidRPr="00B41733">
        <w:rPr>
          <w:rFonts w:hint="eastAsia"/>
        </w:rPr>
        <w:t>人因恐怖主义相关罪行在欧洲联盟被捕。大多数逮捕</w:t>
      </w:r>
      <w:r w:rsidRPr="00B41733">
        <w:t>(791</w:t>
      </w:r>
      <w:r w:rsidRPr="00B41733">
        <w:rPr>
          <w:rFonts w:hint="eastAsia"/>
        </w:rPr>
        <w:t>起中的</w:t>
      </w:r>
      <w:r w:rsidRPr="00B41733">
        <w:t>705</w:t>
      </w:r>
      <w:r w:rsidRPr="00B41733">
        <w:rPr>
          <w:rFonts w:hint="eastAsia"/>
        </w:rPr>
        <w:t>起</w:t>
      </w:r>
      <w:r w:rsidRPr="00B41733">
        <w:t>)</w:t>
      </w:r>
      <w:r w:rsidRPr="00B41733">
        <w:rPr>
          <w:rFonts w:hint="eastAsia"/>
        </w:rPr>
        <w:t>都与圣战恐怖主义有关</w:t>
      </w:r>
      <w:r w:rsidRPr="00B41733">
        <w:t>(</w:t>
      </w:r>
      <w:r w:rsidRPr="00B41733">
        <w:rPr>
          <w:rFonts w:hint="eastAsia"/>
        </w:rPr>
        <w:t>被捕人员中有</w:t>
      </w:r>
      <w:r w:rsidRPr="00B41733">
        <w:t>123</w:t>
      </w:r>
      <w:r w:rsidRPr="00B41733">
        <w:rPr>
          <w:rFonts w:hint="eastAsia"/>
        </w:rPr>
        <w:t>名妇女，其中</w:t>
      </w:r>
      <w:r w:rsidRPr="00B41733">
        <w:t>64</w:t>
      </w:r>
      <w:r w:rsidRPr="00B41733">
        <w:rPr>
          <w:rFonts w:hint="eastAsia"/>
        </w:rPr>
        <w:t>%</w:t>
      </w:r>
      <w:r w:rsidRPr="00B41733">
        <w:rPr>
          <w:rFonts w:hint="eastAsia"/>
        </w:rPr>
        <w:t>拥有欧盟成员国国籍并出生于欧盟</w:t>
      </w:r>
      <w:r w:rsidRPr="00B41733">
        <w:rPr>
          <w:rFonts w:hint="eastAsia"/>
        </w:rPr>
        <w:t>)</w:t>
      </w:r>
      <w:r w:rsidRPr="00B41733">
        <w:rPr>
          <w:rFonts w:hint="eastAsia"/>
        </w:rPr>
        <w:t>。仅法国一国，就有</w:t>
      </w:r>
      <w:r w:rsidRPr="00B41733">
        <w:rPr>
          <w:rFonts w:hint="eastAsia"/>
        </w:rPr>
        <w:t>411</w:t>
      </w:r>
      <w:r w:rsidRPr="00B41733">
        <w:rPr>
          <w:rFonts w:hint="eastAsia"/>
        </w:rPr>
        <w:t>人被捕，</w:t>
      </w:r>
      <w:r w:rsidRPr="00B41733">
        <w:rPr>
          <w:rFonts w:hint="eastAsia"/>
        </w:rPr>
        <w:t>114</w:t>
      </w:r>
      <w:r w:rsidRPr="00B41733">
        <w:rPr>
          <w:rFonts w:hint="eastAsia"/>
        </w:rPr>
        <w:t>人被定罪。因涉嫌宗教煽动型恐怖主义</w:t>
      </w:r>
      <w:r w:rsidRPr="00B41733">
        <w:t>/</w:t>
      </w:r>
      <w:r w:rsidRPr="00B41733">
        <w:rPr>
          <w:rFonts w:hint="eastAsia"/>
        </w:rPr>
        <w:t>圣战恐怖主义而被捕的人员</w:t>
      </w:r>
      <w:r w:rsidRPr="00B41733">
        <w:rPr>
          <w:rFonts w:hint="eastAsia"/>
        </w:rPr>
        <w:t>(</w:t>
      </w:r>
      <w:r w:rsidRPr="00B41733">
        <w:t>705</w:t>
      </w:r>
      <w:r w:rsidRPr="00B41733">
        <w:rPr>
          <w:rFonts w:hint="eastAsia"/>
        </w:rPr>
        <w:t>人</w:t>
      </w:r>
      <w:r w:rsidRPr="00B41733">
        <w:rPr>
          <w:rFonts w:hint="eastAsia"/>
        </w:rPr>
        <w:t>)</w:t>
      </w:r>
      <w:r w:rsidRPr="00B41733">
        <w:rPr>
          <w:rFonts w:hint="eastAsia"/>
        </w:rPr>
        <w:t>中，法国占</w:t>
      </w:r>
      <w:r w:rsidRPr="00B41733">
        <w:t>373</w:t>
      </w:r>
      <w:r w:rsidRPr="00B41733">
        <w:rPr>
          <w:rFonts w:hint="eastAsia"/>
        </w:rPr>
        <w:t>人。</w:t>
      </w:r>
      <w:r w:rsidR="002007EF" w:rsidRPr="002007EF">
        <w:rPr>
          <w:color w:val="0000FF"/>
          <w:vertAlign w:val="superscript"/>
        </w:rPr>
        <w:footnoteReference w:id="49"/>
      </w:r>
      <w:r w:rsidRPr="00B41733">
        <w:t xml:space="preserve"> </w:t>
      </w:r>
      <w:r w:rsidRPr="00B41733">
        <w:rPr>
          <w:rFonts w:hint="eastAsia"/>
        </w:rPr>
        <w:t>在这一背景下，对可能嫌疑人的快速识别和定位极为重要，因为他们会穿越不同国家以抵达目的地，并可能利用尼卡布来掩藏身份。因此，在当前情况下，法国施行的禁令似乎是实现《第</w:t>
      </w:r>
      <w:r w:rsidRPr="00B41733">
        <w:t>2010/1192</w:t>
      </w:r>
      <w:r w:rsidRPr="00B41733">
        <w:t>号法</w:t>
      </w:r>
      <w:r w:rsidRPr="00B41733">
        <w:rPr>
          <w:rFonts w:hint="eastAsia"/>
        </w:rPr>
        <w:t>》目标的相称手段，但应接受定期风险评估</w:t>
      </w:r>
      <w:r w:rsidRPr="00B41733">
        <w:t>(</w:t>
      </w:r>
      <w:r w:rsidRPr="00B41733">
        <w:rPr>
          <w:rFonts w:hint="eastAsia"/>
        </w:rPr>
        <w:t>该法第</w:t>
      </w:r>
      <w:r w:rsidRPr="00B41733">
        <w:t>7</w:t>
      </w:r>
      <w:r w:rsidRPr="00B41733">
        <w:rPr>
          <w:rFonts w:hint="eastAsia"/>
        </w:rPr>
        <w:t>条</w:t>
      </w:r>
      <w:r w:rsidRPr="00B41733">
        <w:t>)</w:t>
      </w:r>
      <w:r w:rsidRPr="00B41733">
        <w:rPr>
          <w:rFonts w:hint="eastAsia"/>
        </w:rPr>
        <w:t>。</w:t>
      </w:r>
    </w:p>
    <w:p w:rsidR="00B41733" w:rsidRPr="00B41733" w:rsidRDefault="00B41733" w:rsidP="00B41733">
      <w:pPr>
        <w:pStyle w:val="SingleTxtGC"/>
      </w:pPr>
      <w:r w:rsidRPr="00B41733">
        <w:t xml:space="preserve">13.  </w:t>
      </w:r>
      <w:r w:rsidRPr="00B41733">
        <w:rPr>
          <w:rFonts w:hint="eastAsia"/>
        </w:rPr>
        <w:t>与委员会多数委员的意见</w:t>
      </w:r>
      <w:r w:rsidRPr="00B41733">
        <w:t>(</w:t>
      </w:r>
      <w:r w:rsidRPr="00B41733">
        <w:rPr>
          <w:rFonts w:hint="eastAsia"/>
        </w:rPr>
        <w:t>第</w:t>
      </w:r>
      <w:r w:rsidRPr="00B41733">
        <w:t>7.16</w:t>
      </w:r>
      <w:r w:rsidRPr="00B41733">
        <w:rPr>
          <w:rFonts w:hint="eastAsia"/>
        </w:rPr>
        <w:t>段</w:t>
      </w:r>
      <w:r w:rsidRPr="00B41733">
        <w:t>)</w:t>
      </w:r>
      <w:r w:rsidRPr="00B41733">
        <w:rPr>
          <w:rFonts w:hint="eastAsia"/>
        </w:rPr>
        <w:t>相反，我认为制裁是恰如其分的。这些制裁在法国虽然属</w:t>
      </w:r>
      <w:bookmarkStart w:id="1" w:name="_GoBack"/>
      <w:bookmarkEnd w:id="1"/>
      <w:r w:rsidRPr="00B41733">
        <w:rPr>
          <w:rFonts w:hint="eastAsia"/>
        </w:rPr>
        <w:t>于刑事制裁，但在其他国家很可能只相当于行政罚款。制裁内容包括一项二类罚款</w:t>
      </w:r>
      <w:r w:rsidRPr="00B41733">
        <w:rPr>
          <w:rFonts w:hint="eastAsia"/>
        </w:rPr>
        <w:t>(</w:t>
      </w:r>
      <w:r w:rsidRPr="00B41733">
        <w:rPr>
          <w:rFonts w:hint="eastAsia"/>
        </w:rPr>
        <w:t>最高</w:t>
      </w:r>
      <w:r w:rsidRPr="00B41733">
        <w:rPr>
          <w:rFonts w:hint="eastAsia"/>
        </w:rPr>
        <w:t>150</w:t>
      </w:r>
      <w:r w:rsidRPr="00B41733">
        <w:rPr>
          <w:rFonts w:hint="eastAsia"/>
        </w:rPr>
        <w:t>欧元</w:t>
      </w:r>
      <w:r w:rsidRPr="00B41733">
        <w:rPr>
          <w:rFonts w:hint="eastAsia"/>
        </w:rPr>
        <w:t>)</w:t>
      </w:r>
      <w:r w:rsidRPr="00B41733">
        <w:rPr>
          <w:rFonts w:hint="eastAsia"/>
        </w:rPr>
        <w:t>，不仅属于轻罚，而且可由必修的公民课程代替。如果有关人员拒不遵守法律，国家应该怎么做？接受这种行为吗？在</w:t>
      </w:r>
      <w:r w:rsidRPr="00B41733">
        <w:rPr>
          <w:iCs/>
        </w:rPr>
        <w:t>Yaker</w:t>
      </w:r>
      <w:r w:rsidRPr="00F173F6">
        <w:rPr>
          <w:rFonts w:ascii="Time New Roman" w:eastAsia="楷体" w:hAnsi="Time New Roman" w:hint="eastAsia"/>
          <w:iCs/>
        </w:rPr>
        <w:t>案</w:t>
      </w:r>
      <w:r w:rsidRPr="00B41733">
        <w:rPr>
          <w:rFonts w:hint="eastAsia"/>
        </w:rPr>
        <w:t>中，提交人被判了两次刑，第二次判刑是因为她在进入法院前拒绝在安检处摘下全脸面纱。强迫法官同意在被告全程蒙面的情况下进行庭审，这合理吗？无论是哪个国家的哪所法院，多半都无法接受这种要求。此外，这两起案件都是由社区法院审理的，在一定程度上证明所涉违法行为属于轻罪。因此，法国实施的制裁是相称的。</w:t>
      </w:r>
    </w:p>
    <w:p w:rsidR="00B41733" w:rsidRPr="00B41733" w:rsidRDefault="00B41733" w:rsidP="00B41733">
      <w:pPr>
        <w:pStyle w:val="SingleTxtGC"/>
      </w:pPr>
      <w:r w:rsidRPr="00B41733">
        <w:t xml:space="preserve">14.  </w:t>
      </w:r>
      <w:r w:rsidRPr="00B41733">
        <w:rPr>
          <w:rFonts w:hint="eastAsia"/>
        </w:rPr>
        <w:t>最后，关于提交人声称法国专门针对伊斯兰妇女实施处罚的问题，她们受罚的原因是显而易见的：她们违反了禁令。以醉驾者或贩毒者为例，难道我们认为起诉会给这些人造成不相称影响吗？这不就是执法政策的效果而已吗？</w:t>
      </w:r>
    </w:p>
    <w:p w:rsidR="00B41733" w:rsidRDefault="00B41733" w:rsidP="00B41733">
      <w:pPr>
        <w:pStyle w:val="SingleTxtGC"/>
      </w:pPr>
      <w:r w:rsidRPr="00B41733">
        <w:t xml:space="preserve">15.  </w:t>
      </w:r>
      <w:r w:rsidRPr="00B41733">
        <w:rPr>
          <w:rFonts w:hint="eastAsia"/>
        </w:rPr>
        <w:t>因此，我的结论是，法国并未违反《公约》第十八和第二十六条。委员会拒绝接受这项禁令可能会被有些国家认为，距离认可施行全脸面纱政策仅有一步之遥，这令人遗憾。</w:t>
      </w:r>
    </w:p>
    <w:p w:rsidR="00C317EF" w:rsidRPr="002D6A9C" w:rsidRDefault="00C317E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F2F66" w:rsidRPr="000C3CBC" w:rsidRDefault="006F2F66" w:rsidP="00B41733">
      <w:pPr>
        <w:pStyle w:val="SingleTxtGC"/>
      </w:pPr>
    </w:p>
    <w:sectPr w:rsidR="006F2F66" w:rsidRPr="000C3CBC" w:rsidSect="00E34196">
      <w:footnotePr>
        <w:numRestart w:val="eachSect"/>
      </w:footnotePr>
      <w:endnotePr>
        <w:numFmt w:val="decimal"/>
      </w:endnotePr>
      <w:pgSz w:w="11906" w:h="16838" w:code="9"/>
      <w:pgMar w:top="1418" w:right="1134" w:bottom="1134" w:left="1134"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544" w:rsidRPr="000D319F" w:rsidRDefault="00E15544" w:rsidP="000D319F">
      <w:pPr>
        <w:pStyle w:val="af0"/>
        <w:spacing w:after="240"/>
        <w:ind w:left="907"/>
        <w:rPr>
          <w:rFonts w:asciiTheme="majorBidi" w:eastAsia="宋体" w:hAnsiTheme="majorBidi" w:cstheme="majorBidi"/>
          <w:sz w:val="21"/>
          <w:szCs w:val="21"/>
          <w:lang w:val="en-US"/>
        </w:rPr>
      </w:pPr>
    </w:p>
    <w:p w:rsidR="00E15544" w:rsidRPr="000D319F" w:rsidRDefault="00E1554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15544" w:rsidRPr="000D319F" w:rsidRDefault="00E15544" w:rsidP="000D319F">
      <w:pPr>
        <w:pStyle w:val="af0"/>
      </w:pPr>
    </w:p>
  </w:endnote>
  <w:endnote w:type="continuationNotice" w:id="1">
    <w:p w:rsidR="00E15544" w:rsidRDefault="00E155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5DF" w:rsidRPr="007D7547" w:rsidRDefault="000C3CBC" w:rsidP="007D7547">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C3CBC">
      <w:rPr>
        <w:rStyle w:val="af2"/>
        <w:b w:val="0"/>
        <w:snapToGrid w:val="0"/>
        <w:sz w:val="16"/>
      </w:rPr>
      <w:t>GE.18-21160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5DF" w:rsidRPr="007D7547" w:rsidRDefault="000C3CBC" w:rsidP="007D7547">
    <w:pPr>
      <w:pStyle w:val="af0"/>
      <w:tabs>
        <w:tab w:val="clear" w:pos="431"/>
        <w:tab w:val="right" w:pos="9638"/>
      </w:tabs>
      <w:rPr>
        <w:b/>
        <w:snapToGrid/>
        <w:sz w:val="18"/>
      </w:rPr>
    </w:pPr>
    <w:r>
      <w:t>GE.18-21160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0C3CBC"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-21160</w:t>
    </w:r>
    <w:r w:rsidR="00731A42" w:rsidRPr="00EE277A">
      <w:rPr>
        <w:sz w:val="20"/>
        <w:lang w:eastAsia="zh-CN"/>
      </w:rPr>
      <w:t xml:space="preserve"> (C)</w:t>
    </w:r>
    <w:r w:rsidR="00EA7E67">
      <w:rPr>
        <w:sz w:val="20"/>
        <w:lang w:eastAsia="zh-CN"/>
      </w:rPr>
      <w:tab/>
    </w:r>
    <w:r w:rsidR="00CC3D3B">
      <w:rPr>
        <w:sz w:val="20"/>
        <w:lang w:eastAsia="zh-CN"/>
      </w:rPr>
      <w:t>0104</w:t>
    </w:r>
    <w:r w:rsidR="00EA7E67">
      <w:rPr>
        <w:sz w:val="20"/>
        <w:lang w:eastAsia="zh-CN"/>
      </w:rPr>
      <w:t>1</w:t>
    </w:r>
    <w:r w:rsidR="004E473D">
      <w:rPr>
        <w:rFonts w:eastAsiaTheme="minorEastAsia"/>
        <w:sz w:val="20"/>
        <w:lang w:eastAsia="zh-CN"/>
      </w:rPr>
      <w:t>9</w:t>
    </w:r>
    <w:r w:rsidR="00731A42">
      <w:rPr>
        <w:sz w:val="20"/>
        <w:lang w:eastAsia="zh-CN"/>
      </w:rPr>
      <w:tab/>
    </w:r>
    <w:r w:rsidR="00CC3D3B">
      <w:rPr>
        <w:sz w:val="20"/>
        <w:lang w:eastAsia="zh-CN"/>
      </w:rPr>
      <w:t>0</w:t>
    </w:r>
    <w:r w:rsidR="00A621D9">
      <w:rPr>
        <w:sz w:val="20"/>
        <w:lang w:eastAsia="zh-CN"/>
      </w:rPr>
      <w:t>3</w:t>
    </w:r>
    <w:r w:rsidR="00CC3D3B">
      <w:rPr>
        <w:sz w:val="20"/>
        <w:lang w:eastAsia="zh-CN"/>
      </w:rPr>
      <w:t>04</w:t>
    </w:r>
    <w:r w:rsidR="00731A42">
      <w:rPr>
        <w:sz w:val="20"/>
        <w:lang w:eastAsia="zh-CN"/>
      </w:rPr>
      <w:t>1</w:t>
    </w:r>
    <w:r w:rsidR="004E473D">
      <w:rPr>
        <w:rFonts w:eastAsiaTheme="minorEastAsia"/>
        <w:sz w:val="20"/>
        <w:lang w:eastAsia="zh-CN"/>
      </w:rPr>
      <w:t>9</w:t>
    </w:r>
  </w:p>
  <w:p w:rsidR="00056632" w:rsidRPr="00487939" w:rsidRDefault="000C3CB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9264"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3/D/2747/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747/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544" w:rsidRPr="000157B1" w:rsidRDefault="00E1554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15544" w:rsidRPr="000157B1" w:rsidRDefault="00E1554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15544" w:rsidRDefault="00E15544"/>
  </w:footnote>
  <w:footnote w:id="2">
    <w:p w:rsidR="00B53211" w:rsidRPr="00E56B07" w:rsidRDefault="00B53211" w:rsidP="00B53211">
      <w:pPr>
        <w:pStyle w:val="a6"/>
      </w:pPr>
      <w:r w:rsidRPr="00A01F8B">
        <w:rPr>
          <w:rStyle w:val="a8"/>
          <w:rFonts w:eastAsia="宋体"/>
          <w:szCs w:val="21"/>
          <w:vertAlign w:val="baseline"/>
        </w:rPr>
        <w:tab/>
        <w:t>*</w:t>
      </w:r>
      <w:r w:rsidRPr="00E56B07">
        <w:rPr>
          <w:rStyle w:val="a8"/>
          <w:rFonts w:eastAsia="宋体"/>
          <w:sz w:val="20"/>
        </w:rPr>
        <w:tab/>
      </w:r>
      <w:r w:rsidRPr="00E56B07">
        <w:rPr>
          <w:rFonts w:hint="eastAsia"/>
        </w:rPr>
        <w:t>委员会第一二三届会议</w:t>
      </w:r>
      <w:r w:rsidRPr="00E56B07">
        <w:t>(2018</w:t>
      </w:r>
      <w:r w:rsidRPr="00E56B07">
        <w:rPr>
          <w:rFonts w:hint="eastAsia"/>
        </w:rPr>
        <w:t>年</w:t>
      </w:r>
      <w:r w:rsidRPr="00E56B07">
        <w:t>7</w:t>
      </w:r>
      <w:r w:rsidRPr="00E56B07">
        <w:rPr>
          <w:rFonts w:hint="eastAsia"/>
        </w:rPr>
        <w:t>月</w:t>
      </w:r>
      <w:r w:rsidRPr="00E56B07">
        <w:t>2</w:t>
      </w:r>
      <w:r w:rsidRPr="00E56B07">
        <w:rPr>
          <w:rFonts w:hint="eastAsia"/>
        </w:rPr>
        <w:t>日至</w:t>
      </w:r>
      <w:r w:rsidRPr="00E56B07">
        <w:t>27</w:t>
      </w:r>
      <w:r w:rsidRPr="00E56B07">
        <w:rPr>
          <w:rFonts w:hint="eastAsia"/>
        </w:rPr>
        <w:t>日</w:t>
      </w:r>
      <w:r w:rsidRPr="00E56B07">
        <w:t>)</w:t>
      </w:r>
      <w:r w:rsidRPr="00E56B07">
        <w:rPr>
          <w:rFonts w:hint="eastAsia"/>
        </w:rPr>
        <w:t>通过。</w:t>
      </w:r>
    </w:p>
  </w:footnote>
  <w:footnote w:id="3">
    <w:p w:rsidR="00B53211" w:rsidRPr="00343ACF" w:rsidRDefault="00B53211" w:rsidP="00B53211">
      <w:pPr>
        <w:pStyle w:val="a6"/>
      </w:pPr>
      <w:r w:rsidRPr="00A01F8B">
        <w:rPr>
          <w:rStyle w:val="a8"/>
          <w:rFonts w:eastAsia="宋体"/>
          <w:szCs w:val="21"/>
          <w:vertAlign w:val="baseline"/>
        </w:rPr>
        <w:tab/>
        <w:t>**</w:t>
      </w:r>
      <w:r w:rsidRPr="00E56B07">
        <w:rPr>
          <w:rStyle w:val="a8"/>
          <w:rFonts w:eastAsia="宋体"/>
          <w:sz w:val="20"/>
        </w:rPr>
        <w:tab/>
      </w:r>
      <w:r w:rsidRPr="00343ACF">
        <w:rPr>
          <w:rFonts w:cs="微软雅黑" w:hint="eastAsia"/>
        </w:rPr>
        <w:t>参加审查本来文的委员会委员有：</w:t>
      </w:r>
      <w:r w:rsidRPr="00343ACF">
        <w:rPr>
          <w:rFonts w:hint="eastAsia"/>
        </w:rPr>
        <w:t>塔尼亚·玛丽亚·阿布多·罗乔利、亚兹·本·阿舒尔、伊尔泽·布兰兹·科里斯、萨拉·克利夫兰、艾哈迈德·阿明·法萨拉、克里斯托夫·海恩斯、巴马里阿姆·科伊塔、马西娅·克兰、邓肯·莱基·穆胡穆扎、毛罗·波利蒂、若泽·曼努埃尔·桑托斯·派斯、尤瓦尔·沙尼和</w:t>
      </w:r>
      <w:r w:rsidRPr="00343ACF">
        <w:rPr>
          <w:rFonts w:hint="eastAsia"/>
          <w:lang w:val="fr-CH"/>
        </w:rPr>
        <w:t>马戈</w:t>
      </w:r>
      <w:r w:rsidRPr="00343ACF">
        <w:rPr>
          <w:rFonts w:hint="eastAsia"/>
        </w:rPr>
        <w:t>·瓦特瓦尔。根据委员会议事规则第</w:t>
      </w:r>
      <w:r w:rsidRPr="00343ACF">
        <w:t>90</w:t>
      </w:r>
      <w:r w:rsidRPr="00343ACF">
        <w:rPr>
          <w:rFonts w:hint="eastAsia"/>
        </w:rPr>
        <w:t>条，委员会委员奥利维耶·德弗鲁维尔没有参加本来文的审议工作。</w:t>
      </w:r>
    </w:p>
  </w:footnote>
  <w:footnote w:id="4">
    <w:p w:rsidR="00B53211" w:rsidRPr="00343ACF" w:rsidRDefault="00B53211" w:rsidP="00B53211">
      <w:pPr>
        <w:pStyle w:val="a6"/>
      </w:pPr>
      <w:r w:rsidRPr="00A01F8B">
        <w:rPr>
          <w:rStyle w:val="a8"/>
          <w:rFonts w:eastAsia="宋体"/>
          <w:szCs w:val="21"/>
          <w:vertAlign w:val="baseline"/>
        </w:rPr>
        <w:tab/>
        <w:t>***</w:t>
      </w:r>
      <w:r w:rsidRPr="00343ACF">
        <w:rPr>
          <w:rStyle w:val="a8"/>
          <w:rFonts w:eastAsia="宋体"/>
          <w:sz w:val="20"/>
        </w:rPr>
        <w:tab/>
      </w:r>
      <w:r w:rsidRPr="00343ACF">
        <w:rPr>
          <w:rFonts w:hint="eastAsia"/>
        </w:rPr>
        <w:t>本报告附件有：委员会委员伊尔泽·布兰兹·科里斯、萨拉·克利夫兰、克里斯托夫·海恩斯、马西娅·克兰和尤瓦尔·沙尼的联合意见</w:t>
      </w:r>
      <w:r w:rsidRPr="00343ACF">
        <w:rPr>
          <w:rFonts w:hint="eastAsia"/>
        </w:rPr>
        <w:t>(</w:t>
      </w:r>
      <w:r w:rsidRPr="00343ACF">
        <w:rPr>
          <w:rFonts w:hint="eastAsia"/>
        </w:rPr>
        <w:t>同意</w:t>
      </w:r>
      <w:r w:rsidRPr="00343ACF">
        <w:rPr>
          <w:rFonts w:hint="eastAsia"/>
        </w:rPr>
        <w:t>)</w:t>
      </w:r>
      <w:r w:rsidRPr="00343ACF">
        <w:rPr>
          <w:rFonts w:hint="eastAsia"/>
        </w:rPr>
        <w:t>；委员会委员伊尔泽·布兰兹·科里斯和萨拉·克利夫兰的联合意见</w:t>
      </w:r>
      <w:r w:rsidRPr="00343ACF">
        <w:rPr>
          <w:rFonts w:hint="eastAsia"/>
        </w:rPr>
        <w:t>(</w:t>
      </w:r>
      <w:r w:rsidRPr="00343ACF">
        <w:rPr>
          <w:rFonts w:hint="eastAsia"/>
        </w:rPr>
        <w:t>同意</w:t>
      </w:r>
      <w:r w:rsidRPr="00343ACF">
        <w:rPr>
          <w:rFonts w:hint="eastAsia"/>
        </w:rPr>
        <w:t>)</w:t>
      </w:r>
      <w:r w:rsidRPr="00343ACF">
        <w:rPr>
          <w:rFonts w:hint="eastAsia"/>
        </w:rPr>
        <w:t>；委员会委员亚兹·本·阿舒尔的个人意见</w:t>
      </w:r>
      <w:r w:rsidRPr="00343ACF">
        <w:t>(</w:t>
      </w:r>
      <w:r w:rsidRPr="00343ACF">
        <w:rPr>
          <w:rFonts w:hint="eastAsia"/>
        </w:rPr>
        <w:t>反对</w:t>
      </w:r>
      <w:r w:rsidRPr="00343ACF">
        <w:t>)</w:t>
      </w:r>
      <w:r w:rsidRPr="00343ACF">
        <w:rPr>
          <w:rFonts w:hint="eastAsia"/>
        </w:rPr>
        <w:t>；委员会委员若泽·曼努埃尔·桑托斯·派斯的个人意见</w:t>
      </w:r>
      <w:r w:rsidRPr="00343ACF">
        <w:t>(</w:t>
      </w:r>
      <w:r w:rsidRPr="00343ACF">
        <w:rPr>
          <w:rFonts w:hint="eastAsia"/>
        </w:rPr>
        <w:t>反对</w:t>
      </w:r>
      <w:r w:rsidRPr="00343ACF">
        <w:t>)</w:t>
      </w:r>
      <w:r w:rsidRPr="00343ACF">
        <w:rPr>
          <w:rFonts w:hint="eastAsia"/>
        </w:rPr>
        <w:t>。</w:t>
      </w:r>
    </w:p>
  </w:footnote>
  <w:footnote w:id="5">
    <w:p w:rsidR="002007EF" w:rsidRPr="00E56B07" w:rsidRDefault="002007EF" w:rsidP="007D7547">
      <w:pPr>
        <w:pStyle w:val="a6"/>
      </w:pPr>
      <w:r w:rsidRPr="00343ACF">
        <w:tab/>
      </w:r>
      <w:r w:rsidRPr="002007EF">
        <w:rPr>
          <w:rStyle w:val="a8"/>
          <w:rFonts w:eastAsia="宋体"/>
        </w:rPr>
        <w:footnoteRef/>
      </w:r>
      <w:r w:rsidRPr="00343ACF">
        <w:tab/>
      </w:r>
      <w:r w:rsidRPr="00343ACF">
        <w:rPr>
          <w:rFonts w:hint="eastAsia"/>
        </w:rPr>
        <w:t>提交人还提到《公约》第十二条，不过并未直接援引。</w:t>
      </w:r>
    </w:p>
  </w:footnote>
  <w:footnote w:id="6">
    <w:p w:rsidR="002007EF" w:rsidRPr="00E56B07" w:rsidRDefault="002007EF" w:rsidP="007D7547">
      <w:pPr>
        <w:pStyle w:val="a6"/>
      </w:pPr>
      <w:r w:rsidRPr="00E56B07">
        <w:tab/>
      </w:r>
      <w:r w:rsidRPr="002007EF">
        <w:rPr>
          <w:rStyle w:val="a8"/>
          <w:rFonts w:eastAsia="宋体"/>
        </w:rPr>
        <w:footnoteRef/>
      </w:r>
      <w:r w:rsidRPr="00E56B07">
        <w:rPr>
          <w:rStyle w:val="a8"/>
          <w:rFonts w:eastAsia="宋体"/>
        </w:rPr>
        <w:tab/>
      </w:r>
      <w:r w:rsidRPr="0025314B">
        <w:rPr>
          <w:rFonts w:hint="eastAsia"/>
        </w:rPr>
        <w:t>法国在批准该任择议定书之际提出如下保留：“法国针对第五条第</w:t>
      </w:r>
      <w:r w:rsidRPr="0025314B">
        <w:t>2</w:t>
      </w:r>
      <w:r w:rsidRPr="0025314B">
        <w:rPr>
          <w:rFonts w:hint="eastAsia"/>
        </w:rPr>
        <w:t>款</w:t>
      </w:r>
      <w:r w:rsidRPr="0025314B">
        <w:t>(</w:t>
      </w:r>
      <w:r w:rsidRPr="0025314B">
        <w:rPr>
          <w:rFonts w:hint="eastAsia"/>
        </w:rPr>
        <w:t>子</w:t>
      </w:r>
      <w:r w:rsidRPr="0025314B">
        <w:t>)</w:t>
      </w:r>
      <w:r w:rsidRPr="0025314B">
        <w:rPr>
          <w:rFonts w:hint="eastAsia"/>
        </w:rPr>
        <w:t>项提出保留，具体内容为：若个人来文所涉同一事项正由或已由另一国际调查或解决程序审查，则人权事务委员会无权审议该来文。”</w:t>
      </w:r>
    </w:p>
  </w:footnote>
  <w:footnote w:id="7">
    <w:p w:rsidR="002007EF" w:rsidRPr="00781211" w:rsidRDefault="002007EF" w:rsidP="007D7547">
      <w:pPr>
        <w:pStyle w:val="a6"/>
      </w:pPr>
      <w:r w:rsidRPr="00E56B07">
        <w:tab/>
      </w:r>
      <w:r w:rsidRPr="002007EF">
        <w:rPr>
          <w:rStyle w:val="a8"/>
          <w:rFonts w:eastAsia="宋体"/>
        </w:rPr>
        <w:footnoteRef/>
      </w:r>
      <w:r w:rsidRPr="00E56B07">
        <w:tab/>
      </w:r>
      <w:r w:rsidRPr="002F38E8">
        <w:rPr>
          <w:rFonts w:hint="eastAsia"/>
          <w:spacing w:val="4"/>
        </w:rPr>
        <w:t>社区法院法官有权审理涉案争议额不超过</w:t>
      </w:r>
      <w:r w:rsidRPr="002F38E8">
        <w:rPr>
          <w:spacing w:val="4"/>
        </w:rPr>
        <w:t>4,000</w:t>
      </w:r>
      <w:r w:rsidRPr="002F38E8">
        <w:rPr>
          <w:rFonts w:hint="eastAsia"/>
          <w:spacing w:val="4"/>
        </w:rPr>
        <w:t>欧元的民事案件。就刑事案件而言，社区法院可审理涉及头四类轻罪的案件。《二十一世纪司法系统现代化法》第</w:t>
      </w:r>
      <w:r w:rsidRPr="002F38E8">
        <w:rPr>
          <w:rFonts w:hint="eastAsia"/>
          <w:spacing w:val="4"/>
        </w:rPr>
        <w:t>15</w:t>
      </w:r>
      <w:r w:rsidRPr="002F38E8">
        <w:rPr>
          <w:rFonts w:hint="eastAsia"/>
          <w:spacing w:val="4"/>
        </w:rPr>
        <w:t>条已要求于</w:t>
      </w:r>
      <w:r w:rsidRPr="002F38E8">
        <w:rPr>
          <w:spacing w:val="4"/>
        </w:rPr>
        <w:t>2017</w:t>
      </w:r>
      <w:r w:rsidRPr="002F38E8">
        <w:rPr>
          <w:spacing w:val="4"/>
        </w:rPr>
        <w:t>年</w:t>
      </w:r>
      <w:r w:rsidRPr="002F38E8">
        <w:rPr>
          <w:spacing w:val="4"/>
        </w:rPr>
        <w:t>7</w:t>
      </w:r>
      <w:r w:rsidRPr="002F38E8">
        <w:rPr>
          <w:spacing w:val="4"/>
        </w:rPr>
        <w:t>月</w:t>
      </w:r>
      <w:r w:rsidRPr="002F38E8">
        <w:rPr>
          <w:spacing w:val="4"/>
        </w:rPr>
        <w:t>1</w:t>
      </w:r>
      <w:r w:rsidRPr="002F38E8">
        <w:rPr>
          <w:spacing w:val="4"/>
        </w:rPr>
        <w:t>日前</w:t>
      </w:r>
      <w:r w:rsidRPr="00E22E11">
        <w:rPr>
          <w:rFonts w:hint="eastAsia"/>
        </w:rPr>
        <w:t>取消</w:t>
      </w:r>
      <w:r>
        <w:rPr>
          <w:rFonts w:hint="eastAsia"/>
        </w:rPr>
        <w:t>社区法院。是日，社区法院的在审民事案件将移交</w:t>
      </w:r>
      <w:r w:rsidRPr="00E22E11">
        <w:rPr>
          <w:rFonts w:hint="eastAsia"/>
        </w:rPr>
        <w:t>初审法院</w:t>
      </w:r>
      <w:r>
        <w:rPr>
          <w:rFonts w:hint="eastAsia"/>
        </w:rPr>
        <w:t>(</w:t>
      </w:r>
      <w:r w:rsidRPr="004E23C6">
        <w:rPr>
          <w:rFonts w:eastAsia="楷体"/>
          <w:iCs/>
        </w:rPr>
        <w:t>tribunal d’instance</w:t>
      </w:r>
      <w:r>
        <w:rPr>
          <w:rFonts w:hint="eastAsia"/>
        </w:rPr>
        <w:t>)</w:t>
      </w:r>
      <w:r w:rsidRPr="00E22E11">
        <w:rPr>
          <w:rFonts w:hint="eastAsia"/>
        </w:rPr>
        <w:t>。</w:t>
      </w:r>
    </w:p>
  </w:footnote>
  <w:footnote w:id="8">
    <w:p w:rsidR="002007EF" w:rsidRPr="00E56B07" w:rsidRDefault="002007EF" w:rsidP="007D7547">
      <w:pPr>
        <w:pStyle w:val="a6"/>
      </w:pPr>
      <w:r w:rsidRPr="00E56B07">
        <w:tab/>
      </w:r>
      <w:r w:rsidRPr="002007EF">
        <w:rPr>
          <w:rStyle w:val="a8"/>
          <w:rFonts w:eastAsia="宋体"/>
        </w:rPr>
        <w:footnoteRef/>
      </w:r>
      <w:r w:rsidRPr="00E56B07">
        <w:tab/>
      </w:r>
      <w:r w:rsidRPr="00C10B2E">
        <w:rPr>
          <w:rFonts w:hint="eastAsia"/>
        </w:rPr>
        <w:t>根据</w:t>
      </w:r>
      <w:r>
        <w:rPr>
          <w:rFonts w:hint="eastAsia"/>
        </w:rPr>
        <w:t>《宪法》第</w:t>
      </w:r>
      <w:r>
        <w:rPr>
          <w:rFonts w:hint="eastAsia"/>
        </w:rPr>
        <w:t>61</w:t>
      </w:r>
      <w:r>
        <w:rPr>
          <w:rFonts w:hint="eastAsia"/>
        </w:rPr>
        <w:t>条第</w:t>
      </w:r>
      <w:r>
        <w:rPr>
          <w:rFonts w:hint="eastAsia"/>
        </w:rPr>
        <w:t>2</w:t>
      </w:r>
      <w:r>
        <w:rPr>
          <w:rFonts w:hint="eastAsia"/>
        </w:rPr>
        <w:t>款的规定，议会于</w:t>
      </w:r>
      <w:r>
        <w:rPr>
          <w:rFonts w:hint="eastAsia"/>
        </w:rPr>
        <w:t>2010</w:t>
      </w:r>
      <w:r>
        <w:rPr>
          <w:rFonts w:hint="eastAsia"/>
        </w:rPr>
        <w:t>年</w:t>
      </w:r>
      <w:r>
        <w:rPr>
          <w:rFonts w:hint="eastAsia"/>
        </w:rPr>
        <w:t>9</w:t>
      </w:r>
      <w:r>
        <w:rPr>
          <w:rFonts w:hint="eastAsia"/>
        </w:rPr>
        <w:t>月</w:t>
      </w:r>
      <w:r>
        <w:rPr>
          <w:rFonts w:hint="eastAsia"/>
        </w:rPr>
        <w:t>14</w:t>
      </w:r>
      <w:r>
        <w:rPr>
          <w:rFonts w:hint="eastAsia"/>
        </w:rPr>
        <w:t>日将禁止在公共场所掩藏面部的法律提交宪法委员会审查。宪法委员会在</w:t>
      </w:r>
      <w:r>
        <w:rPr>
          <w:rFonts w:hint="eastAsia"/>
        </w:rPr>
        <w:t>2010</w:t>
      </w:r>
      <w:r>
        <w:rPr>
          <w:rFonts w:hint="eastAsia"/>
        </w:rPr>
        <w:t>年</w:t>
      </w:r>
      <w:r>
        <w:rPr>
          <w:rFonts w:hint="eastAsia"/>
        </w:rPr>
        <w:t>10</w:t>
      </w:r>
      <w:r>
        <w:rPr>
          <w:rFonts w:hint="eastAsia"/>
        </w:rPr>
        <w:t>月</w:t>
      </w:r>
      <w:r>
        <w:rPr>
          <w:rFonts w:hint="eastAsia"/>
        </w:rPr>
        <w:t>7</w:t>
      </w:r>
      <w:r>
        <w:rPr>
          <w:rFonts w:hint="eastAsia"/>
        </w:rPr>
        <w:t>日的决定中宣布该法合宪，同时提出了一项涉及向公众开放的礼拜场所的保留。</w:t>
      </w:r>
    </w:p>
  </w:footnote>
  <w:footnote w:id="9">
    <w:p w:rsidR="002007EF" w:rsidRPr="00E56B07" w:rsidRDefault="002007EF" w:rsidP="007D7547">
      <w:pPr>
        <w:pStyle w:val="a6"/>
      </w:pPr>
      <w:r w:rsidRPr="00E56B07">
        <w:tab/>
      </w:r>
      <w:r w:rsidRPr="002007EF">
        <w:rPr>
          <w:rStyle w:val="a8"/>
          <w:rFonts w:eastAsia="宋体"/>
        </w:rPr>
        <w:footnoteRef/>
      </w:r>
      <w:r w:rsidRPr="00E56B07">
        <w:tab/>
      </w:r>
      <w:r w:rsidRPr="004E23C6">
        <w:rPr>
          <w:rFonts w:eastAsia="楷体"/>
        </w:rPr>
        <w:t>R. Singh</w:t>
      </w:r>
      <w:r w:rsidRPr="004E23C6">
        <w:rPr>
          <w:rFonts w:eastAsia="楷体" w:hint="eastAsia"/>
        </w:rPr>
        <w:t>诉法国</w:t>
      </w:r>
      <w:r>
        <w:t>(CCPR/C/102/D/1876/2009)</w:t>
      </w:r>
      <w:r>
        <w:rPr>
          <w:rFonts w:hint="eastAsia"/>
        </w:rPr>
        <w:t>，第</w:t>
      </w:r>
      <w:r w:rsidRPr="00E56B07">
        <w:t>8.4</w:t>
      </w:r>
      <w:r>
        <w:rPr>
          <w:rFonts w:hint="eastAsia"/>
        </w:rPr>
        <w:t>段。提交人还提到以下两案：</w:t>
      </w:r>
      <w:r w:rsidRPr="004E23C6">
        <w:rPr>
          <w:rFonts w:eastAsia="楷体"/>
        </w:rPr>
        <w:t>B. Singh</w:t>
      </w:r>
      <w:r w:rsidRPr="004E23C6">
        <w:rPr>
          <w:rFonts w:eastAsia="楷体" w:hint="eastAsia"/>
        </w:rPr>
        <w:t>诉法国</w:t>
      </w:r>
      <w:r>
        <w:t>(CCPR/C/106/D/1852/2008)</w:t>
      </w:r>
      <w:r>
        <w:rPr>
          <w:rFonts w:hint="eastAsia"/>
        </w:rPr>
        <w:t>，第</w:t>
      </w:r>
      <w:r w:rsidRPr="00E56B07">
        <w:t>8.7</w:t>
      </w:r>
      <w:r>
        <w:rPr>
          <w:rFonts w:hint="eastAsia"/>
        </w:rPr>
        <w:t>段；</w:t>
      </w:r>
      <w:r w:rsidRPr="004E23C6">
        <w:rPr>
          <w:rFonts w:eastAsia="楷体"/>
        </w:rPr>
        <w:t>S.M. Singh</w:t>
      </w:r>
      <w:r w:rsidRPr="004E23C6">
        <w:rPr>
          <w:rFonts w:eastAsia="楷体" w:hint="eastAsia"/>
        </w:rPr>
        <w:t>诉法国</w:t>
      </w:r>
      <w:r>
        <w:t>(CCPR/C/108/D/1928/2010)</w:t>
      </w:r>
      <w:r>
        <w:rPr>
          <w:rFonts w:hint="eastAsia"/>
        </w:rPr>
        <w:t>，第</w:t>
      </w:r>
      <w:r>
        <w:t>9.5</w:t>
      </w:r>
      <w:r>
        <w:rPr>
          <w:rFonts w:hint="eastAsia"/>
        </w:rPr>
        <w:t>段。</w:t>
      </w:r>
    </w:p>
  </w:footnote>
  <w:footnote w:id="10">
    <w:p w:rsidR="002007EF" w:rsidRPr="00E56B07" w:rsidRDefault="002007EF" w:rsidP="007D7547">
      <w:pPr>
        <w:pStyle w:val="a6"/>
      </w:pPr>
      <w:r w:rsidRPr="00E56B07">
        <w:tab/>
      </w:r>
      <w:r w:rsidRPr="002007EF">
        <w:rPr>
          <w:rStyle w:val="a8"/>
          <w:rFonts w:eastAsia="宋体"/>
        </w:rPr>
        <w:footnoteRef/>
      </w:r>
      <w:r w:rsidRPr="00E56B07">
        <w:tab/>
      </w:r>
      <w:r>
        <w:t>2010</w:t>
      </w:r>
      <w:r>
        <w:rPr>
          <w:rFonts w:hint="eastAsia"/>
        </w:rPr>
        <w:t>年</w:t>
      </w:r>
      <w:r>
        <w:rPr>
          <w:rFonts w:hint="eastAsia"/>
        </w:rPr>
        <w:t>5</w:t>
      </w:r>
      <w:r>
        <w:rPr>
          <w:rFonts w:hint="eastAsia"/>
        </w:rPr>
        <w:t>月</w:t>
      </w:r>
      <w:r>
        <w:rPr>
          <w:rFonts w:hint="eastAsia"/>
        </w:rPr>
        <w:t>11</w:t>
      </w:r>
      <w:r>
        <w:rPr>
          <w:rFonts w:hint="eastAsia"/>
        </w:rPr>
        <w:t>日国民议会关于</w:t>
      </w:r>
      <w:r w:rsidRPr="00AB0A49">
        <w:rPr>
          <w:rFonts w:hint="eastAsia"/>
        </w:rPr>
        <w:t>面对有损共和国价值观的激进做法的发展坚持尊重共和国价值观的决议</w:t>
      </w:r>
      <w:r w:rsidRPr="003A2F7F">
        <w:rPr>
          <w:rFonts w:hint="eastAsia"/>
        </w:rPr>
        <w:t>。</w:t>
      </w:r>
    </w:p>
  </w:footnote>
  <w:footnote w:id="11">
    <w:p w:rsidR="002007EF" w:rsidRPr="00E56B07" w:rsidRDefault="002007EF" w:rsidP="007D7547">
      <w:pPr>
        <w:pStyle w:val="a6"/>
      </w:pPr>
      <w:r w:rsidRPr="00E56B07">
        <w:tab/>
      </w:r>
      <w:r w:rsidRPr="002007EF">
        <w:rPr>
          <w:rStyle w:val="a8"/>
          <w:rFonts w:eastAsia="宋体"/>
        </w:rPr>
        <w:footnoteRef/>
      </w:r>
      <w:r w:rsidRPr="00E56B07">
        <w:tab/>
      </w:r>
      <w:r w:rsidRPr="006B5CBE">
        <w:rPr>
          <w:rFonts w:hint="eastAsia"/>
        </w:rPr>
        <w:t>提交人指出，</w:t>
      </w:r>
      <w:r w:rsidRPr="006B5CBE">
        <w:t>2009</w:t>
      </w:r>
      <w:r w:rsidRPr="006B5CBE">
        <w:rPr>
          <w:rFonts w:hint="eastAsia"/>
        </w:rPr>
        <w:t>年</w:t>
      </w:r>
      <w:r w:rsidRPr="006B5CBE">
        <w:t>6</w:t>
      </w:r>
      <w:r w:rsidRPr="006B5CBE">
        <w:t>月</w:t>
      </w:r>
      <w:r w:rsidRPr="006B5CBE">
        <w:t>22</w:t>
      </w:r>
      <w:r w:rsidRPr="006B5CBE">
        <w:rPr>
          <w:rFonts w:hint="eastAsia"/>
        </w:rPr>
        <w:t>日，</w:t>
      </w:r>
      <w:r w:rsidRPr="00EA106B">
        <w:rPr>
          <w:rFonts w:hint="eastAsia"/>
        </w:rPr>
        <w:t>时任</w:t>
      </w:r>
      <w:r>
        <w:rPr>
          <w:rFonts w:hint="eastAsia"/>
        </w:rPr>
        <w:t>法兰西</w:t>
      </w:r>
      <w:r w:rsidRPr="00EA106B">
        <w:rPr>
          <w:rFonts w:hint="eastAsia"/>
        </w:rPr>
        <w:t>共和国总统尼古拉·萨科齐</w:t>
      </w:r>
      <w:r>
        <w:rPr>
          <w:rFonts w:hint="eastAsia"/>
        </w:rPr>
        <w:t>在议会两院于</w:t>
      </w:r>
      <w:r w:rsidRPr="006B5CBE">
        <w:rPr>
          <w:rFonts w:hint="eastAsia"/>
        </w:rPr>
        <w:t>凡尔赛宫举行</w:t>
      </w:r>
      <w:r>
        <w:rPr>
          <w:rFonts w:hint="eastAsia"/>
        </w:rPr>
        <w:t>联席会议前</w:t>
      </w:r>
      <w:r w:rsidRPr="006B5CBE">
        <w:rPr>
          <w:rFonts w:hint="eastAsia"/>
        </w:rPr>
        <w:t>表示，“布卡</w:t>
      </w:r>
      <w:r>
        <w:rPr>
          <w:rFonts w:hint="eastAsia"/>
        </w:rPr>
        <w:t>袍</w:t>
      </w:r>
      <w:r w:rsidRPr="006B5CBE">
        <w:rPr>
          <w:rFonts w:hint="eastAsia"/>
        </w:rPr>
        <w:t>在法兰西共和国不受欢迎”。</w:t>
      </w:r>
    </w:p>
  </w:footnote>
  <w:footnote w:id="12">
    <w:p w:rsidR="002007EF" w:rsidRPr="00E56B07" w:rsidRDefault="002007EF" w:rsidP="007D7547">
      <w:pPr>
        <w:pStyle w:val="a6"/>
      </w:pPr>
      <w:r w:rsidRPr="00E56B07">
        <w:tab/>
      </w:r>
      <w:r w:rsidRPr="002007EF">
        <w:rPr>
          <w:rStyle w:val="a8"/>
          <w:rFonts w:eastAsia="宋体"/>
        </w:rPr>
        <w:footnoteRef/>
      </w:r>
      <w:r w:rsidRPr="00E56B07">
        <w:tab/>
      </w:r>
      <w:r>
        <w:rPr>
          <w:rFonts w:hint="eastAsia"/>
        </w:rPr>
        <w:t>提交人指的是</w:t>
      </w:r>
      <w:r w:rsidRPr="00604AEE">
        <w:rPr>
          <w:rFonts w:hint="eastAsia"/>
        </w:rPr>
        <w:t>法国向委员会提交的第五次定期报告</w:t>
      </w:r>
      <w:r w:rsidRPr="00604AEE">
        <w:rPr>
          <w:rFonts w:hint="eastAsia"/>
        </w:rPr>
        <w:t>(</w:t>
      </w:r>
      <w:r w:rsidRPr="00604AEE">
        <w:t>CCPR/C/FRA/5</w:t>
      </w:r>
      <w:r w:rsidRPr="00604AEE">
        <w:rPr>
          <w:rFonts w:hint="eastAsia"/>
        </w:rPr>
        <w:t>)</w:t>
      </w:r>
      <w:r w:rsidRPr="00604AEE">
        <w:rPr>
          <w:rFonts w:hint="eastAsia"/>
        </w:rPr>
        <w:t>，第</w:t>
      </w:r>
      <w:r w:rsidRPr="00604AEE">
        <w:t>429</w:t>
      </w:r>
      <w:r w:rsidRPr="00604AEE">
        <w:rPr>
          <w:rFonts w:hint="eastAsia"/>
        </w:rPr>
        <w:t>段及以下</w:t>
      </w:r>
      <w:r>
        <w:rPr>
          <w:rFonts w:hint="eastAsia"/>
        </w:rPr>
        <w:t>各段</w:t>
      </w:r>
      <w:r w:rsidRPr="00604AEE">
        <w:rPr>
          <w:rFonts w:hint="eastAsia"/>
        </w:rPr>
        <w:t>。</w:t>
      </w:r>
    </w:p>
  </w:footnote>
  <w:footnote w:id="13">
    <w:p w:rsidR="002007EF" w:rsidRPr="00BC17E1" w:rsidRDefault="002007EF" w:rsidP="007D7547">
      <w:pPr>
        <w:pStyle w:val="a6"/>
      </w:pPr>
      <w:r w:rsidRPr="00E56B07">
        <w:tab/>
      </w:r>
      <w:r w:rsidRPr="002007EF">
        <w:rPr>
          <w:rStyle w:val="a8"/>
          <w:rFonts w:eastAsia="宋体"/>
        </w:rPr>
        <w:footnoteRef/>
      </w:r>
      <w:r w:rsidRPr="00E56B07">
        <w:tab/>
      </w:r>
      <w:r w:rsidRPr="00EB4CED">
        <w:rPr>
          <w:rFonts w:hint="eastAsia"/>
        </w:rPr>
        <w:t>第</w:t>
      </w:r>
      <w:r w:rsidRPr="00EB4CED">
        <w:t>2</w:t>
      </w:r>
      <w:r>
        <w:rPr>
          <w:rFonts w:hint="eastAsia"/>
        </w:rPr>
        <w:t>条第</w:t>
      </w:r>
      <w:r>
        <w:t>II</w:t>
      </w:r>
      <w:r>
        <w:rPr>
          <w:rFonts w:hint="eastAsia"/>
        </w:rPr>
        <w:t>款</w:t>
      </w:r>
      <w:r w:rsidRPr="00EB4CED">
        <w:rPr>
          <w:rFonts w:hint="eastAsia"/>
        </w:rPr>
        <w:t>规定，“</w:t>
      </w:r>
      <w:r w:rsidRPr="00BC17E1">
        <w:rPr>
          <w:rFonts w:hint="eastAsia"/>
        </w:rPr>
        <w:t>若穿着此类服饰系由法律条文或规章条款规定或授权……，因健康原因或出于职业原因具备合理理由，或是属于体育、艺术或传统庆典或活动的部分内容</w:t>
      </w:r>
      <w:r>
        <w:rPr>
          <w:rFonts w:hint="eastAsia"/>
        </w:rPr>
        <w:t>”，则</w:t>
      </w:r>
      <w:r w:rsidRPr="00BC17E1">
        <w:rPr>
          <w:rFonts w:hint="eastAsia"/>
        </w:rPr>
        <w:t>禁令不适用</w:t>
      </w:r>
      <w:r>
        <w:rPr>
          <w:rFonts w:hint="eastAsia"/>
        </w:rPr>
        <w:t>。</w:t>
      </w:r>
      <w:r w:rsidRPr="00EB4CED">
        <w:t>2011</w:t>
      </w:r>
      <w:r w:rsidRPr="00EB4CED">
        <w:rPr>
          <w:rFonts w:hint="eastAsia"/>
        </w:rPr>
        <w:t>年</w:t>
      </w:r>
      <w:r w:rsidRPr="00EB4CED">
        <w:t>3</w:t>
      </w:r>
      <w:r w:rsidRPr="00EB4CED">
        <w:t>月</w:t>
      </w:r>
      <w:r w:rsidRPr="00EB4CED">
        <w:t>2</w:t>
      </w:r>
      <w:r>
        <w:rPr>
          <w:rFonts w:hint="eastAsia"/>
        </w:rPr>
        <w:t>日的通知随后在一定程度上澄清了该法的实施问题。在合法例外的</w:t>
      </w:r>
      <w:r w:rsidRPr="00EB4CED">
        <w:rPr>
          <w:rFonts w:hint="eastAsia"/>
        </w:rPr>
        <w:t>问题</w:t>
      </w:r>
      <w:r>
        <w:rPr>
          <w:rFonts w:hint="eastAsia"/>
        </w:rPr>
        <w:t>上，该通知</w:t>
      </w:r>
      <w:r w:rsidRPr="00EB4CED">
        <w:rPr>
          <w:rFonts w:hint="eastAsia"/>
        </w:rPr>
        <w:t>规定，“宗教游行若属于传统性质，则涵盖在第</w:t>
      </w:r>
      <w:r w:rsidRPr="00EB4CED">
        <w:t>1</w:t>
      </w:r>
      <w:r w:rsidRPr="00EB4CED">
        <w:rPr>
          <w:rFonts w:hint="eastAsia"/>
        </w:rPr>
        <w:t>条禁令例外情况的范围之内”。不过，</w:t>
      </w:r>
      <w:r>
        <w:rPr>
          <w:rFonts w:hint="eastAsia"/>
        </w:rPr>
        <w:t>对</w:t>
      </w:r>
      <w:r w:rsidRPr="00EB4CED">
        <w:rPr>
          <w:rFonts w:hint="eastAsia"/>
        </w:rPr>
        <w:t>“宗教游行”一词未作界定。</w:t>
      </w:r>
    </w:p>
  </w:footnote>
  <w:footnote w:id="14">
    <w:p w:rsidR="002007EF" w:rsidRPr="00E56B07" w:rsidRDefault="002007EF" w:rsidP="007D7547">
      <w:pPr>
        <w:pStyle w:val="a6"/>
      </w:pPr>
      <w:r w:rsidRPr="00E56B07">
        <w:tab/>
      </w:r>
      <w:r w:rsidRPr="002007EF">
        <w:rPr>
          <w:rStyle w:val="a8"/>
          <w:rFonts w:eastAsia="宋体"/>
        </w:rPr>
        <w:footnoteRef/>
      </w:r>
      <w:r w:rsidRPr="00E56B07">
        <w:tab/>
      </w:r>
      <w:r w:rsidRPr="004E23C6">
        <w:rPr>
          <w:rFonts w:eastAsia="楷体"/>
        </w:rPr>
        <w:t>S.A.S.</w:t>
      </w:r>
      <w:r w:rsidRPr="004E23C6">
        <w:rPr>
          <w:rFonts w:eastAsia="楷体" w:hint="eastAsia"/>
        </w:rPr>
        <w:t>诉法国</w:t>
      </w:r>
      <w:r>
        <w:t xml:space="preserve"> [</w:t>
      </w:r>
      <w:r>
        <w:rPr>
          <w:rFonts w:hint="eastAsia"/>
        </w:rPr>
        <w:t>大审判庭</w:t>
      </w:r>
      <w:r w:rsidRPr="00E56B07">
        <w:t>] (</w:t>
      </w:r>
      <w:r>
        <w:rPr>
          <w:rFonts w:hint="eastAsia"/>
        </w:rPr>
        <w:t>第</w:t>
      </w:r>
      <w:r w:rsidRPr="00E56B07">
        <w:t>43835/11</w:t>
      </w:r>
      <w:r>
        <w:rPr>
          <w:rFonts w:hint="eastAsia"/>
        </w:rPr>
        <w:t>号申请</w:t>
      </w:r>
      <w:r>
        <w:t>)</w:t>
      </w:r>
      <w:r>
        <w:rPr>
          <w:rFonts w:hint="eastAsia"/>
        </w:rPr>
        <w:t>，</w:t>
      </w:r>
      <w:r w:rsidRPr="00E56B07">
        <w:t>2014</w:t>
      </w:r>
      <w:r>
        <w:rPr>
          <w:rFonts w:hint="eastAsia"/>
        </w:rPr>
        <w:t>年</w:t>
      </w:r>
      <w:r>
        <w:rPr>
          <w:rFonts w:hint="eastAsia"/>
        </w:rPr>
        <w:t>7</w:t>
      </w:r>
      <w:r>
        <w:rPr>
          <w:rFonts w:hint="eastAsia"/>
        </w:rPr>
        <w:t>月</w:t>
      </w:r>
      <w:r>
        <w:rPr>
          <w:rFonts w:hint="eastAsia"/>
        </w:rPr>
        <w:t>1</w:t>
      </w:r>
      <w:r>
        <w:rPr>
          <w:rFonts w:hint="eastAsia"/>
        </w:rPr>
        <w:t>日的判决，第</w:t>
      </w:r>
      <w:r>
        <w:t>139</w:t>
      </w:r>
      <w:r>
        <w:rPr>
          <w:rFonts w:hint="eastAsia"/>
        </w:rPr>
        <w:t>段。</w:t>
      </w:r>
    </w:p>
  </w:footnote>
  <w:footnote w:id="15">
    <w:p w:rsidR="002007EF" w:rsidRPr="00195AAF" w:rsidRDefault="002007EF" w:rsidP="007D7547">
      <w:pPr>
        <w:pStyle w:val="a6"/>
      </w:pPr>
      <w:r w:rsidRPr="00E56B07">
        <w:tab/>
      </w:r>
      <w:r w:rsidRPr="002007EF">
        <w:rPr>
          <w:rStyle w:val="a8"/>
          <w:rFonts w:eastAsia="宋体"/>
        </w:rPr>
        <w:footnoteRef/>
      </w:r>
      <w:r w:rsidRPr="00E56B07">
        <w:tab/>
      </w:r>
      <w:r>
        <w:rPr>
          <w:rFonts w:hint="eastAsia"/>
        </w:rPr>
        <w:t>法国总理办公室下设</w:t>
      </w:r>
      <w:r w:rsidRPr="00195AAF">
        <w:rPr>
          <w:rFonts w:hint="eastAsia"/>
        </w:rPr>
        <w:t>机构世俗主义观察站</w:t>
      </w:r>
      <w:r w:rsidRPr="00195AAF">
        <w:t>2013</w:t>
      </w:r>
      <w:r w:rsidRPr="00195AAF">
        <w:rPr>
          <w:rFonts w:hint="eastAsia"/>
        </w:rPr>
        <w:t>年的报告指出，“自</w:t>
      </w:r>
      <w:r>
        <w:rPr>
          <w:rFonts w:hint="eastAsia"/>
        </w:rPr>
        <w:t>《</w:t>
      </w:r>
      <w:r w:rsidRPr="00195AAF">
        <w:rPr>
          <w:rFonts w:hint="eastAsia"/>
        </w:rPr>
        <w:t>第</w:t>
      </w:r>
      <w:r w:rsidRPr="00195AAF">
        <w:t>2010-1192</w:t>
      </w:r>
      <w:r w:rsidRPr="00195AAF">
        <w:rPr>
          <w:rFonts w:hint="eastAsia"/>
        </w:rPr>
        <w:t>号法</w:t>
      </w:r>
      <w:r>
        <w:rPr>
          <w:rFonts w:hint="eastAsia"/>
        </w:rPr>
        <w:t>》</w:t>
      </w:r>
      <w:r w:rsidRPr="00195AAF">
        <w:rPr>
          <w:rFonts w:hint="eastAsia"/>
        </w:rPr>
        <w:t>开始实施至</w:t>
      </w:r>
      <w:r w:rsidRPr="00195AAF">
        <w:t>2014</w:t>
      </w:r>
      <w:r w:rsidRPr="00195AAF">
        <w:rPr>
          <w:rFonts w:hint="eastAsia"/>
        </w:rPr>
        <w:t>年</w:t>
      </w:r>
      <w:r w:rsidRPr="00195AAF">
        <w:t>2</w:t>
      </w:r>
      <w:r w:rsidRPr="00195AAF">
        <w:rPr>
          <w:rFonts w:hint="eastAsia"/>
        </w:rPr>
        <w:t>月</w:t>
      </w:r>
      <w:r w:rsidRPr="00195AAF">
        <w:t>21</w:t>
      </w:r>
      <w:r w:rsidRPr="00195AAF">
        <w:rPr>
          <w:rFonts w:hint="eastAsia"/>
        </w:rPr>
        <w:t>日期间，进行了</w:t>
      </w:r>
      <w:r w:rsidRPr="00195AAF">
        <w:t>1,111</w:t>
      </w:r>
      <w:r>
        <w:rPr>
          <w:rFonts w:hint="eastAsia"/>
        </w:rPr>
        <w:t>次检查，其中绝大多数检查的对象是佩戴全脸面纱的妇女。一些妇女被检查了几次。总共出具记录口供的警方报告</w:t>
      </w:r>
      <w:r>
        <w:rPr>
          <w:rFonts w:hint="eastAsia"/>
        </w:rPr>
        <w:t>1,038</w:t>
      </w:r>
      <w:r>
        <w:rPr>
          <w:rFonts w:hint="eastAsia"/>
        </w:rPr>
        <w:t>份，警告犯罪人</w:t>
      </w:r>
      <w:r w:rsidRPr="00195AAF">
        <w:t>61</w:t>
      </w:r>
      <w:r>
        <w:rPr>
          <w:rFonts w:hint="eastAsia"/>
        </w:rPr>
        <w:t>名</w:t>
      </w:r>
      <w:r w:rsidRPr="00195AAF">
        <w:rPr>
          <w:rFonts w:hint="eastAsia"/>
        </w:rPr>
        <w:t>。</w:t>
      </w:r>
      <w:r>
        <w:rPr>
          <w:rFonts w:hint="eastAsia"/>
        </w:rPr>
        <w:t>有</w:t>
      </w:r>
      <w:r>
        <w:rPr>
          <w:rFonts w:hint="eastAsia"/>
        </w:rPr>
        <w:t>5</w:t>
      </w:r>
      <w:r w:rsidRPr="00195AAF">
        <w:t>94</w:t>
      </w:r>
      <w:r>
        <w:rPr>
          <w:rFonts w:hint="eastAsia"/>
        </w:rPr>
        <w:t>名完全遮盖面部的妇女接受了检查，其中</w:t>
      </w:r>
      <w:r w:rsidRPr="00195AAF">
        <w:t>461</w:t>
      </w:r>
      <w:r>
        <w:rPr>
          <w:rFonts w:hint="eastAsia"/>
        </w:rPr>
        <w:t>人生于</w:t>
      </w:r>
      <w:r w:rsidRPr="00195AAF">
        <w:rPr>
          <w:rFonts w:hint="eastAsia"/>
        </w:rPr>
        <w:t>法国，</w:t>
      </w:r>
      <w:r w:rsidRPr="00195AAF">
        <w:t>133</w:t>
      </w:r>
      <w:r>
        <w:rPr>
          <w:rFonts w:hint="eastAsia"/>
        </w:rPr>
        <w:t>人生于境外。后者</w:t>
      </w:r>
      <w:r w:rsidRPr="00195AAF">
        <w:rPr>
          <w:rFonts w:hint="eastAsia"/>
        </w:rPr>
        <w:t>主要来自马格里布</w:t>
      </w:r>
      <w:r w:rsidRPr="00195AAF">
        <w:rPr>
          <w:rFonts w:hint="eastAsia"/>
        </w:rPr>
        <w:t>(</w:t>
      </w:r>
      <w:r w:rsidRPr="00195AAF">
        <w:t>97</w:t>
      </w:r>
      <w:r>
        <w:rPr>
          <w:rFonts w:hint="eastAsia"/>
        </w:rPr>
        <w:t>人</w:t>
      </w:r>
      <w:r w:rsidRPr="00195AAF">
        <w:rPr>
          <w:rFonts w:hint="eastAsia"/>
        </w:rPr>
        <w:t>)</w:t>
      </w:r>
      <w:r w:rsidRPr="00195AAF">
        <w:rPr>
          <w:rFonts w:hint="eastAsia"/>
        </w:rPr>
        <w:t>和中东</w:t>
      </w:r>
      <w:r w:rsidRPr="00195AAF">
        <w:rPr>
          <w:rFonts w:hint="eastAsia"/>
        </w:rPr>
        <w:t>(</w:t>
      </w:r>
      <w:r w:rsidRPr="00195AAF">
        <w:t>9</w:t>
      </w:r>
      <w:r>
        <w:rPr>
          <w:rFonts w:hint="eastAsia"/>
        </w:rPr>
        <w:t>人</w:t>
      </w:r>
      <w:r w:rsidRPr="00195AAF">
        <w:rPr>
          <w:rFonts w:hint="eastAsia"/>
        </w:rPr>
        <w:t>)</w:t>
      </w:r>
      <w:r w:rsidRPr="00195AAF">
        <w:rPr>
          <w:rFonts w:hint="eastAsia"/>
        </w:rPr>
        <w:t>。有</w:t>
      </w:r>
      <w:r w:rsidRPr="00195AAF">
        <w:t>9</w:t>
      </w:r>
      <w:r>
        <w:rPr>
          <w:rFonts w:hint="eastAsia"/>
        </w:rPr>
        <w:t>人</w:t>
      </w:r>
      <w:r w:rsidRPr="00195AAF">
        <w:rPr>
          <w:rFonts w:hint="eastAsia"/>
        </w:rPr>
        <w:t>来自撒哈拉以南非洲地区。”</w:t>
      </w:r>
    </w:p>
  </w:footnote>
  <w:footnote w:id="16">
    <w:p w:rsidR="002007EF" w:rsidRPr="00E56B07" w:rsidRDefault="002007EF" w:rsidP="007D7547">
      <w:pPr>
        <w:pStyle w:val="a6"/>
      </w:pPr>
      <w:r w:rsidRPr="00E56B07">
        <w:tab/>
      </w:r>
      <w:r w:rsidRPr="002007EF">
        <w:rPr>
          <w:rStyle w:val="a8"/>
          <w:rFonts w:eastAsia="宋体"/>
        </w:rPr>
        <w:footnoteRef/>
      </w:r>
      <w:r>
        <w:tab/>
      </w:r>
      <w:r>
        <w:rPr>
          <w:rFonts w:hint="eastAsia"/>
        </w:rPr>
        <w:t>缔约国指的是</w:t>
      </w:r>
      <w:r w:rsidRPr="004E23C6">
        <w:rPr>
          <w:rFonts w:eastAsia="楷体"/>
        </w:rPr>
        <w:t>B.</w:t>
      </w:r>
      <w:r w:rsidRPr="00FB10E6">
        <w:t xml:space="preserve"> </w:t>
      </w:r>
      <w:r w:rsidRPr="004E23C6">
        <w:rPr>
          <w:rFonts w:eastAsia="楷体"/>
        </w:rPr>
        <w:t>Singh</w:t>
      </w:r>
      <w:r w:rsidRPr="004E23C6">
        <w:rPr>
          <w:rFonts w:eastAsia="楷体" w:hint="eastAsia"/>
        </w:rPr>
        <w:t>诉法国</w:t>
      </w:r>
      <w:r>
        <w:rPr>
          <w:rFonts w:hint="eastAsia"/>
          <w:iCs/>
        </w:rPr>
        <w:t>案，第</w:t>
      </w:r>
      <w:r>
        <w:rPr>
          <w:rFonts w:hint="eastAsia"/>
          <w:iCs/>
        </w:rPr>
        <w:t>7.4</w:t>
      </w:r>
      <w:r>
        <w:rPr>
          <w:rFonts w:hint="eastAsia"/>
          <w:iCs/>
        </w:rPr>
        <w:t>段。</w:t>
      </w:r>
    </w:p>
  </w:footnote>
  <w:footnote w:id="17">
    <w:p w:rsidR="002007EF" w:rsidRPr="00D8049D" w:rsidRDefault="002007EF" w:rsidP="007D7547">
      <w:pPr>
        <w:pStyle w:val="a6"/>
      </w:pPr>
      <w:r w:rsidRPr="00E56B07">
        <w:tab/>
      </w:r>
      <w:r w:rsidRPr="002007EF">
        <w:rPr>
          <w:rStyle w:val="a8"/>
          <w:rFonts w:eastAsia="宋体"/>
        </w:rPr>
        <w:footnoteRef/>
      </w:r>
      <w:r w:rsidRPr="00E56B07">
        <w:tab/>
      </w:r>
      <w:r>
        <w:rPr>
          <w:rFonts w:hint="eastAsia"/>
        </w:rPr>
        <w:t>委员会关于</w:t>
      </w:r>
      <w:r>
        <w:rPr>
          <w:rFonts w:hint="eastAsia"/>
        </w:rPr>
        <w:t>A</w:t>
      </w:r>
      <w:r w:rsidRPr="00D8049D">
        <w:t>.G.S.</w:t>
      </w:r>
      <w:r w:rsidRPr="004E23C6">
        <w:rPr>
          <w:rFonts w:eastAsia="楷体" w:hint="eastAsia"/>
          <w:iCs/>
        </w:rPr>
        <w:t>诉西班牙</w:t>
      </w:r>
      <w:r>
        <w:rPr>
          <w:rFonts w:hint="eastAsia"/>
        </w:rPr>
        <w:t>案的意见</w:t>
      </w:r>
      <w:r>
        <w:t>(CCPR/C/115/D/2626/2015)</w:t>
      </w:r>
      <w:r w:rsidRPr="00D8049D">
        <w:rPr>
          <w:rFonts w:hint="eastAsia"/>
        </w:rPr>
        <w:t>，第</w:t>
      </w:r>
      <w:r w:rsidRPr="00D8049D">
        <w:t>4.2</w:t>
      </w:r>
      <w:r w:rsidRPr="00D8049D">
        <w:rPr>
          <w:rFonts w:hint="eastAsia"/>
        </w:rPr>
        <w:t>段。</w:t>
      </w:r>
    </w:p>
  </w:footnote>
  <w:footnote w:id="18">
    <w:p w:rsidR="002007EF" w:rsidRPr="002509A6" w:rsidRDefault="002007EF" w:rsidP="007D7547">
      <w:pPr>
        <w:pStyle w:val="a6"/>
      </w:pPr>
      <w:r w:rsidRPr="00E56B07">
        <w:tab/>
      </w:r>
      <w:r w:rsidRPr="002007EF">
        <w:rPr>
          <w:rStyle w:val="a8"/>
          <w:rFonts w:eastAsia="宋体"/>
        </w:rPr>
        <w:footnoteRef/>
      </w:r>
      <w:r w:rsidRPr="00E56B07">
        <w:tab/>
      </w:r>
      <w:r w:rsidRPr="002509A6">
        <w:rPr>
          <w:rFonts w:hint="eastAsia"/>
        </w:rPr>
        <w:t>委员会</w:t>
      </w:r>
      <w:r>
        <w:rPr>
          <w:rFonts w:hint="eastAsia"/>
        </w:rPr>
        <w:t>关于</w:t>
      </w:r>
      <w:r w:rsidRPr="002509A6">
        <w:rPr>
          <w:rFonts w:hint="eastAsia"/>
        </w:rPr>
        <w:t>在法庭和裁判所前一律平等和获得公正审判的权利</w:t>
      </w:r>
      <w:r>
        <w:rPr>
          <w:rFonts w:hint="eastAsia"/>
        </w:rPr>
        <w:t>的第</w:t>
      </w:r>
      <w:r>
        <w:rPr>
          <w:rFonts w:hint="eastAsia"/>
        </w:rPr>
        <w:t>32</w:t>
      </w:r>
      <w:r w:rsidRPr="002509A6">
        <w:rPr>
          <w:rFonts w:hint="eastAsia"/>
        </w:rPr>
        <w:t>号一般性意见</w:t>
      </w:r>
      <w:r w:rsidRPr="002509A6">
        <w:rPr>
          <w:rFonts w:hint="eastAsia"/>
        </w:rPr>
        <w:t>(</w:t>
      </w:r>
      <w:r w:rsidRPr="002509A6">
        <w:t>2007</w:t>
      </w:r>
      <w:r w:rsidRPr="002509A6">
        <w:rPr>
          <w:rFonts w:hint="eastAsia"/>
        </w:rPr>
        <w:t>年</w:t>
      </w:r>
      <w:r w:rsidRPr="002509A6">
        <w:rPr>
          <w:rFonts w:hint="eastAsia"/>
        </w:rPr>
        <w:t>)</w:t>
      </w:r>
      <w:r w:rsidRPr="002509A6">
        <w:rPr>
          <w:rFonts w:hint="eastAsia"/>
        </w:rPr>
        <w:t>第</w:t>
      </w:r>
      <w:r w:rsidRPr="002509A6">
        <w:t>48</w:t>
      </w:r>
      <w:r w:rsidRPr="002509A6">
        <w:rPr>
          <w:rFonts w:hint="eastAsia"/>
        </w:rPr>
        <w:t>段规定，缔约国有义务</w:t>
      </w:r>
      <w:r>
        <w:rPr>
          <w:rFonts w:hint="eastAsia"/>
        </w:rPr>
        <w:t>从证据充分性和法律两方面对</w:t>
      </w:r>
      <w:r w:rsidRPr="002509A6">
        <w:rPr>
          <w:rFonts w:hint="eastAsia"/>
        </w:rPr>
        <w:t>定罪和判刑进行实质性复审，以使</w:t>
      </w:r>
      <w:r>
        <w:rPr>
          <w:rFonts w:hint="eastAsia"/>
        </w:rPr>
        <w:t>有关程序能够对案件的性质给予应有的考量</w:t>
      </w:r>
      <w:r w:rsidRPr="002509A6">
        <w:rPr>
          <w:rFonts w:hint="eastAsia"/>
        </w:rPr>
        <w:t>。</w:t>
      </w:r>
    </w:p>
  </w:footnote>
  <w:footnote w:id="19">
    <w:p w:rsidR="002007EF" w:rsidRPr="00E56B07" w:rsidRDefault="002007EF" w:rsidP="007D7547">
      <w:pPr>
        <w:pStyle w:val="a6"/>
      </w:pPr>
      <w:r w:rsidRPr="00E56B07">
        <w:tab/>
      </w:r>
      <w:r w:rsidRPr="002007EF">
        <w:rPr>
          <w:rStyle w:val="a8"/>
          <w:rFonts w:eastAsia="宋体"/>
        </w:rPr>
        <w:footnoteRef/>
      </w:r>
      <w:r w:rsidRPr="00E56B07">
        <w:tab/>
      </w:r>
      <w:r>
        <w:rPr>
          <w:rFonts w:hint="eastAsia"/>
        </w:rPr>
        <w:t>国民议会关于</w:t>
      </w:r>
      <w:r w:rsidRPr="005E1E98">
        <w:rPr>
          <w:rFonts w:hint="eastAsia"/>
        </w:rPr>
        <w:t>面对有损共和国价值观的激进做法的发展坚持尊重共和国价值观的决议</w:t>
      </w:r>
      <w:r w:rsidRPr="00A57652">
        <w:rPr>
          <w:rFonts w:hint="eastAsia"/>
        </w:rPr>
        <w:t>。</w:t>
      </w:r>
    </w:p>
  </w:footnote>
  <w:footnote w:id="20">
    <w:p w:rsidR="002007EF" w:rsidRPr="00E56B07" w:rsidRDefault="002007EF" w:rsidP="007D7547">
      <w:pPr>
        <w:pStyle w:val="a6"/>
      </w:pPr>
      <w:r w:rsidRPr="00E56B07">
        <w:tab/>
      </w:r>
      <w:r w:rsidRPr="002007EF">
        <w:rPr>
          <w:rStyle w:val="a8"/>
          <w:rFonts w:eastAsia="宋体"/>
        </w:rPr>
        <w:footnoteRef/>
      </w:r>
      <w:r w:rsidRPr="00E56B07">
        <w:tab/>
      </w:r>
      <w:r>
        <w:rPr>
          <w:rFonts w:hint="eastAsia"/>
        </w:rPr>
        <w:t>缔约国援引委员会关于</w:t>
      </w:r>
      <w:r w:rsidRPr="004E23C6">
        <w:rPr>
          <w:rFonts w:eastAsia="楷体"/>
          <w:iCs/>
        </w:rPr>
        <w:t>R. Singh</w:t>
      </w:r>
      <w:r w:rsidRPr="004E23C6">
        <w:rPr>
          <w:rFonts w:eastAsia="楷体" w:hint="eastAsia"/>
          <w:iCs/>
        </w:rPr>
        <w:t>诉法国</w:t>
      </w:r>
      <w:r>
        <w:rPr>
          <w:rFonts w:hint="eastAsia"/>
        </w:rPr>
        <w:t>案中的意见</w:t>
      </w:r>
      <w:r w:rsidRPr="00D9081A">
        <w:rPr>
          <w:rFonts w:hint="eastAsia"/>
        </w:rPr>
        <w:t>第</w:t>
      </w:r>
      <w:r>
        <w:rPr>
          <w:rFonts w:hint="eastAsia"/>
        </w:rPr>
        <w:t>8</w:t>
      </w:r>
      <w:r w:rsidRPr="00D9081A">
        <w:t>.4</w:t>
      </w:r>
      <w:r>
        <w:rPr>
          <w:rFonts w:hint="eastAsia"/>
        </w:rPr>
        <w:t>段，</w:t>
      </w:r>
      <w:r w:rsidRPr="00D9081A">
        <w:rPr>
          <w:rFonts w:hint="eastAsia"/>
        </w:rPr>
        <w:t>委员会在</w:t>
      </w:r>
      <w:r>
        <w:rPr>
          <w:rFonts w:hint="eastAsia"/>
        </w:rPr>
        <w:t>这项意见中承认，缔约国为了维护安全和公共秩序，需要确保并核实居留证上的照片显示的是证件的合法持有者本人。</w:t>
      </w:r>
    </w:p>
  </w:footnote>
  <w:footnote w:id="21">
    <w:p w:rsidR="002007EF" w:rsidRPr="00E56B07" w:rsidRDefault="002007EF" w:rsidP="007D7547">
      <w:pPr>
        <w:pStyle w:val="a6"/>
      </w:pPr>
      <w:r w:rsidRPr="00E56B07">
        <w:tab/>
      </w:r>
      <w:r w:rsidRPr="002007EF">
        <w:rPr>
          <w:rStyle w:val="a8"/>
          <w:rFonts w:eastAsia="宋体"/>
        </w:rPr>
        <w:footnoteRef/>
      </w:r>
      <w:r w:rsidRPr="00E56B07">
        <w:tab/>
      </w:r>
      <w:r>
        <w:rPr>
          <w:rFonts w:hint="eastAsia"/>
        </w:rPr>
        <w:t>见上文所述世俗主义观察站的报告。</w:t>
      </w:r>
    </w:p>
  </w:footnote>
  <w:footnote w:id="22">
    <w:p w:rsidR="002007EF" w:rsidRPr="00E56B07" w:rsidRDefault="002007EF" w:rsidP="007D7547">
      <w:pPr>
        <w:pStyle w:val="a6"/>
        <w:rPr>
          <w:lang w:val="es-ES"/>
        </w:rPr>
      </w:pPr>
      <w:r w:rsidRPr="00E56B07">
        <w:tab/>
      </w:r>
      <w:r w:rsidRPr="002007EF">
        <w:rPr>
          <w:rStyle w:val="a8"/>
          <w:rFonts w:eastAsia="宋体"/>
        </w:rPr>
        <w:footnoteRef/>
      </w:r>
      <w:r>
        <w:rPr>
          <w:lang w:val="es-ES"/>
        </w:rPr>
        <w:tab/>
      </w:r>
      <w:r>
        <w:rPr>
          <w:rFonts w:hint="eastAsia"/>
          <w:lang w:val="es-ES"/>
        </w:rPr>
        <w:t>第</w:t>
      </w:r>
      <w:r w:rsidRPr="00E56B07">
        <w:rPr>
          <w:lang w:val="es-ES"/>
        </w:rPr>
        <w:t>22</w:t>
      </w:r>
      <w:r>
        <w:rPr>
          <w:rFonts w:hint="eastAsia"/>
          <w:lang w:val="es-ES"/>
        </w:rPr>
        <w:t>号一般性意见，第</w:t>
      </w:r>
      <w:r>
        <w:rPr>
          <w:lang w:val="es-ES"/>
        </w:rPr>
        <w:t>4</w:t>
      </w:r>
      <w:r>
        <w:rPr>
          <w:rFonts w:hint="eastAsia"/>
          <w:lang w:val="es-ES"/>
        </w:rPr>
        <w:t>段。</w:t>
      </w:r>
    </w:p>
  </w:footnote>
  <w:footnote w:id="23">
    <w:p w:rsidR="002007EF" w:rsidRPr="00E56B07" w:rsidRDefault="002007EF" w:rsidP="007D7547">
      <w:pPr>
        <w:pStyle w:val="a6"/>
        <w:rPr>
          <w:lang w:val="es-ES"/>
        </w:rPr>
      </w:pPr>
      <w:r w:rsidRPr="00E56B07">
        <w:rPr>
          <w:lang w:val="es-ES"/>
        </w:rPr>
        <w:tab/>
      </w:r>
      <w:r w:rsidRPr="002007EF">
        <w:rPr>
          <w:rStyle w:val="a8"/>
          <w:rFonts w:eastAsia="宋体"/>
        </w:rPr>
        <w:footnoteRef/>
      </w:r>
      <w:r w:rsidRPr="00E56B07">
        <w:rPr>
          <w:lang w:val="es-ES"/>
        </w:rPr>
        <w:tab/>
      </w:r>
      <w:r>
        <w:rPr>
          <w:rFonts w:hint="eastAsia"/>
          <w:lang w:val="es-ES"/>
        </w:rPr>
        <w:t>同上，第</w:t>
      </w:r>
      <w:r>
        <w:rPr>
          <w:lang w:val="es-ES"/>
        </w:rPr>
        <w:t>8</w:t>
      </w:r>
      <w:r>
        <w:rPr>
          <w:rFonts w:hint="eastAsia"/>
          <w:lang w:val="es-ES"/>
        </w:rPr>
        <w:t>段。</w:t>
      </w:r>
    </w:p>
  </w:footnote>
  <w:footnote w:id="24">
    <w:p w:rsidR="002007EF" w:rsidRPr="00E56B07" w:rsidRDefault="002007EF" w:rsidP="007D7547">
      <w:pPr>
        <w:pStyle w:val="a6"/>
        <w:rPr>
          <w:lang w:val="es-ES"/>
        </w:rPr>
      </w:pPr>
      <w:r w:rsidRPr="00E56B07">
        <w:rPr>
          <w:lang w:val="es-ES"/>
        </w:rPr>
        <w:tab/>
      </w:r>
      <w:r w:rsidRPr="002007EF">
        <w:rPr>
          <w:rStyle w:val="a8"/>
          <w:rFonts w:eastAsia="宋体"/>
        </w:rPr>
        <w:footnoteRef/>
      </w:r>
      <w:r w:rsidRPr="00E56B07">
        <w:rPr>
          <w:rStyle w:val="a8"/>
          <w:rFonts w:eastAsia="宋体"/>
          <w:lang w:val="es-ES"/>
        </w:rPr>
        <w:tab/>
      </w:r>
      <w:r>
        <w:rPr>
          <w:rFonts w:hint="eastAsia"/>
          <w:lang w:val="es-ES"/>
        </w:rPr>
        <w:t>同上。</w:t>
      </w:r>
    </w:p>
  </w:footnote>
  <w:footnote w:id="25">
    <w:p w:rsidR="002007EF" w:rsidRPr="00E56B07" w:rsidRDefault="002007EF" w:rsidP="007D7547">
      <w:pPr>
        <w:pStyle w:val="a6"/>
        <w:rPr>
          <w:lang w:val="es-ES"/>
        </w:rPr>
      </w:pPr>
      <w:r w:rsidRPr="00E56B07">
        <w:rPr>
          <w:lang w:val="es-ES"/>
        </w:rPr>
        <w:tab/>
      </w:r>
      <w:r w:rsidRPr="002007EF">
        <w:rPr>
          <w:rStyle w:val="a8"/>
          <w:rFonts w:eastAsia="宋体"/>
        </w:rPr>
        <w:footnoteRef/>
      </w:r>
      <w:r>
        <w:rPr>
          <w:lang w:val="es-ES"/>
        </w:rPr>
        <w:tab/>
        <w:t>E/CN.4/2006/5</w:t>
      </w:r>
      <w:r>
        <w:rPr>
          <w:rFonts w:hint="eastAsia"/>
          <w:lang w:val="es-ES"/>
        </w:rPr>
        <w:t>，第</w:t>
      </w:r>
      <w:r>
        <w:rPr>
          <w:lang w:val="es-ES"/>
        </w:rPr>
        <w:t>58</w:t>
      </w:r>
      <w:r>
        <w:rPr>
          <w:rFonts w:hint="eastAsia"/>
          <w:lang w:val="es-ES"/>
        </w:rPr>
        <w:t>段。</w:t>
      </w:r>
    </w:p>
  </w:footnote>
  <w:footnote w:id="26">
    <w:p w:rsidR="002007EF" w:rsidRPr="00E56B07" w:rsidRDefault="002007EF" w:rsidP="007D7547">
      <w:pPr>
        <w:pStyle w:val="a6"/>
      </w:pPr>
      <w:r w:rsidRPr="00E56B07">
        <w:rPr>
          <w:lang w:val="es-ES"/>
        </w:rPr>
        <w:tab/>
      </w:r>
      <w:r w:rsidRPr="002007EF">
        <w:rPr>
          <w:rStyle w:val="a8"/>
          <w:rFonts w:eastAsia="宋体"/>
        </w:rPr>
        <w:footnoteRef/>
      </w:r>
      <w:r w:rsidRPr="00E56B07">
        <w:rPr>
          <w:lang w:val="es-ES"/>
        </w:rPr>
        <w:tab/>
      </w:r>
      <w:r>
        <w:rPr>
          <w:rFonts w:hint="eastAsia"/>
          <w:lang w:val="es-ES"/>
        </w:rPr>
        <w:t>第</w:t>
      </w:r>
      <w:r w:rsidRPr="00E56B07">
        <w:rPr>
          <w:lang w:val="es-ES"/>
        </w:rPr>
        <w:t>22</w:t>
      </w:r>
      <w:r>
        <w:rPr>
          <w:rFonts w:hint="eastAsia"/>
          <w:lang w:val="es-ES"/>
        </w:rPr>
        <w:t>号一般性意见，第</w:t>
      </w:r>
      <w:r>
        <w:t>8</w:t>
      </w:r>
      <w:r>
        <w:rPr>
          <w:rFonts w:hint="eastAsia"/>
        </w:rPr>
        <w:t>段。</w:t>
      </w:r>
    </w:p>
  </w:footnote>
  <w:footnote w:id="27">
    <w:p w:rsidR="002007EF" w:rsidRPr="00E56B07" w:rsidRDefault="002007EF" w:rsidP="007D7547">
      <w:pPr>
        <w:pStyle w:val="a6"/>
      </w:pPr>
      <w:r w:rsidRPr="00E56B07">
        <w:tab/>
      </w:r>
      <w:r w:rsidRPr="002007EF">
        <w:rPr>
          <w:rStyle w:val="a8"/>
          <w:rFonts w:eastAsia="宋体"/>
        </w:rPr>
        <w:footnoteRef/>
      </w:r>
      <w:r>
        <w:tab/>
      </w:r>
      <w:r>
        <w:rPr>
          <w:rFonts w:hint="eastAsia"/>
        </w:rPr>
        <w:t>见</w:t>
      </w:r>
      <w:r w:rsidRPr="004E23C6">
        <w:rPr>
          <w:rFonts w:eastAsia="楷体"/>
        </w:rPr>
        <w:t>Althammer</w:t>
      </w:r>
      <w:r w:rsidRPr="004E23C6">
        <w:rPr>
          <w:rFonts w:eastAsia="楷体" w:hint="eastAsia"/>
        </w:rPr>
        <w:t>等人诉奥地利</w:t>
      </w:r>
      <w:r>
        <w:t>(CCPR/C/78/D/998/2001)</w:t>
      </w:r>
      <w:r>
        <w:rPr>
          <w:rFonts w:hint="eastAsia"/>
        </w:rPr>
        <w:t>，第</w:t>
      </w:r>
      <w:r>
        <w:t>10.2</w:t>
      </w:r>
      <w:r>
        <w:rPr>
          <w:rFonts w:hint="eastAsia"/>
        </w:rPr>
        <w:t>段。</w:t>
      </w:r>
    </w:p>
  </w:footnote>
  <w:footnote w:id="28">
    <w:p w:rsidR="002007EF" w:rsidRPr="00E56B07" w:rsidRDefault="002007EF" w:rsidP="007D7547">
      <w:pPr>
        <w:pStyle w:val="a6"/>
      </w:pPr>
      <w:r w:rsidRPr="00E56B07">
        <w:tab/>
      </w:r>
      <w:r w:rsidRPr="002007EF">
        <w:rPr>
          <w:rStyle w:val="a8"/>
          <w:rFonts w:eastAsia="宋体"/>
        </w:rPr>
        <w:footnoteRef/>
      </w:r>
      <w:r w:rsidRPr="00E56B07">
        <w:tab/>
      </w:r>
      <w:r>
        <w:rPr>
          <w:rFonts w:hint="eastAsia"/>
        </w:rPr>
        <w:t>例如，见</w:t>
      </w:r>
      <w:r w:rsidRPr="004E23C6">
        <w:rPr>
          <w:rFonts w:eastAsia="楷体"/>
        </w:rPr>
        <w:t>Broeks</w:t>
      </w:r>
      <w:r w:rsidRPr="004E23C6">
        <w:rPr>
          <w:rFonts w:eastAsia="楷体" w:hint="eastAsia"/>
        </w:rPr>
        <w:t>诉荷兰</w:t>
      </w:r>
      <w:r>
        <w:t>(CCPR/C/29/D/172/1984)</w:t>
      </w:r>
      <w:r>
        <w:rPr>
          <w:rFonts w:hint="eastAsia"/>
        </w:rPr>
        <w:t>，第</w:t>
      </w:r>
      <w:r>
        <w:t>13</w:t>
      </w:r>
      <w:r>
        <w:rPr>
          <w:rFonts w:hint="eastAsia"/>
        </w:rPr>
        <w:t>段；</w:t>
      </w:r>
      <w:r w:rsidRPr="004E23C6">
        <w:rPr>
          <w:rFonts w:eastAsia="楷体"/>
          <w:iCs/>
        </w:rPr>
        <w:t>Zwaan-de Vries</w:t>
      </w:r>
      <w:r w:rsidRPr="004E23C6">
        <w:rPr>
          <w:rFonts w:eastAsia="楷体" w:hint="eastAsia"/>
          <w:iCs/>
        </w:rPr>
        <w:t>诉荷兰</w:t>
      </w:r>
      <w:r>
        <w:t>(CCPR/C/</w:t>
      </w:r>
      <w:r w:rsidR="0023045F">
        <w:t xml:space="preserve"> </w:t>
      </w:r>
      <w:r>
        <w:t>29/D/182/1984)</w:t>
      </w:r>
      <w:r>
        <w:rPr>
          <w:rFonts w:hint="eastAsia"/>
        </w:rPr>
        <w:t>，第</w:t>
      </w:r>
      <w:r>
        <w:t>13</w:t>
      </w:r>
      <w:r>
        <w:rPr>
          <w:rFonts w:hint="eastAsia"/>
        </w:rPr>
        <w:t>段。</w:t>
      </w:r>
    </w:p>
  </w:footnote>
  <w:footnote w:id="29">
    <w:p w:rsidR="002007EF" w:rsidRPr="00E56B07" w:rsidRDefault="002007EF" w:rsidP="007D7547">
      <w:pPr>
        <w:pStyle w:val="a6"/>
      </w:pPr>
      <w:r w:rsidRPr="00E56B07">
        <w:tab/>
      </w:r>
      <w:r w:rsidRPr="002007EF">
        <w:rPr>
          <w:rStyle w:val="a8"/>
          <w:rFonts w:eastAsia="宋体"/>
        </w:rPr>
        <w:footnoteRef/>
      </w:r>
      <w:r w:rsidRPr="00E56B07">
        <w:tab/>
      </w:r>
      <w:r>
        <w:rPr>
          <w:rFonts w:hint="eastAsia"/>
        </w:rPr>
        <w:t>见</w:t>
      </w:r>
      <w:r w:rsidRPr="004E23C6">
        <w:rPr>
          <w:rFonts w:eastAsia="楷体"/>
        </w:rPr>
        <w:t>O’Neill</w:t>
      </w:r>
      <w:r w:rsidRPr="004E23C6">
        <w:rPr>
          <w:rFonts w:eastAsia="楷体" w:hint="eastAsia"/>
        </w:rPr>
        <w:t>和</w:t>
      </w:r>
      <w:r w:rsidRPr="004E23C6">
        <w:rPr>
          <w:rFonts w:eastAsia="楷体"/>
        </w:rPr>
        <w:t>Quinn</w:t>
      </w:r>
      <w:r w:rsidRPr="004E23C6">
        <w:rPr>
          <w:rFonts w:eastAsia="楷体" w:hint="eastAsia"/>
        </w:rPr>
        <w:t>诉爱尔兰</w:t>
      </w:r>
      <w:r>
        <w:t>(CCPR/C/87/D/1314/2004)</w:t>
      </w:r>
      <w:r>
        <w:rPr>
          <w:rFonts w:hint="eastAsia"/>
        </w:rPr>
        <w:t>，第</w:t>
      </w:r>
      <w:r>
        <w:t>8.3</w:t>
      </w:r>
      <w:r>
        <w:rPr>
          <w:rFonts w:hint="eastAsia"/>
        </w:rPr>
        <w:t>段。</w:t>
      </w:r>
    </w:p>
  </w:footnote>
  <w:footnote w:id="30">
    <w:p w:rsidR="002007EF" w:rsidRPr="00E56B07" w:rsidRDefault="002007EF" w:rsidP="007D7547">
      <w:pPr>
        <w:pStyle w:val="a6"/>
      </w:pPr>
      <w:r w:rsidRPr="00E56B07">
        <w:tab/>
      </w:r>
      <w:r w:rsidRPr="002007EF">
        <w:rPr>
          <w:rStyle w:val="a8"/>
          <w:rFonts w:eastAsia="宋体"/>
        </w:rPr>
        <w:footnoteRef/>
      </w:r>
      <w:r w:rsidRPr="00E56B07">
        <w:tab/>
      </w:r>
      <w:r>
        <w:rPr>
          <w:rFonts w:hint="eastAsia"/>
        </w:rPr>
        <w:t>在这方面，见</w:t>
      </w:r>
      <w:r w:rsidRPr="004E23C6">
        <w:rPr>
          <w:rFonts w:eastAsia="楷体"/>
        </w:rPr>
        <w:t>C</w:t>
      </w:r>
      <w:r w:rsidRPr="004E23C6">
        <w:rPr>
          <w:rFonts w:eastAsia="楷体" w:hint="eastAsia"/>
        </w:rPr>
        <w:t>诉澳大利亚</w:t>
      </w:r>
      <w:r w:rsidRPr="00E56B07">
        <w:t>(CCPR/C/119/D/2216/2012)</w:t>
      </w:r>
      <w:r>
        <w:rPr>
          <w:rFonts w:hint="eastAsia"/>
        </w:rPr>
        <w:t>，第</w:t>
      </w:r>
      <w:r>
        <w:t>8.6</w:t>
      </w:r>
      <w:r>
        <w:rPr>
          <w:rFonts w:hint="eastAsia"/>
        </w:rPr>
        <w:t>段。</w:t>
      </w:r>
    </w:p>
  </w:footnote>
  <w:footnote w:id="31">
    <w:p w:rsidR="002007EF" w:rsidRPr="00E56B07" w:rsidRDefault="002007EF" w:rsidP="007D7547">
      <w:pPr>
        <w:pStyle w:val="a6"/>
      </w:pPr>
      <w:r w:rsidRPr="00E56B07">
        <w:tab/>
      </w:r>
      <w:r w:rsidRPr="002007EF">
        <w:rPr>
          <w:rStyle w:val="a8"/>
          <w:rFonts w:eastAsia="宋体"/>
        </w:rPr>
        <w:footnoteRef/>
      </w:r>
      <w:r w:rsidRPr="00E56B07">
        <w:tab/>
      </w:r>
      <w:r w:rsidRPr="008B5E46">
        <w:rPr>
          <w:rFonts w:hint="eastAsia"/>
        </w:rPr>
        <w:t>同样，欧洲人权法院在</w:t>
      </w:r>
      <w:r w:rsidRPr="004E23C6">
        <w:rPr>
          <w:rFonts w:eastAsia="楷体"/>
        </w:rPr>
        <w:t>S.A.S.</w:t>
      </w:r>
      <w:r w:rsidRPr="004E23C6">
        <w:rPr>
          <w:rFonts w:eastAsia="楷体" w:hint="eastAsia"/>
        </w:rPr>
        <w:t>诉法国</w:t>
      </w:r>
      <w:r>
        <w:rPr>
          <w:rFonts w:hint="eastAsia"/>
          <w:iCs/>
        </w:rPr>
        <w:t>案中</w:t>
      </w:r>
      <w:r>
        <w:t>(</w:t>
      </w:r>
      <w:r>
        <w:rPr>
          <w:rFonts w:hint="eastAsia"/>
        </w:rPr>
        <w:t>第</w:t>
      </w:r>
      <w:r w:rsidRPr="008B5E46">
        <w:t>119</w:t>
      </w:r>
      <w:r>
        <w:rPr>
          <w:rFonts w:hint="eastAsia"/>
        </w:rPr>
        <w:t>段</w:t>
      </w:r>
      <w:r w:rsidRPr="008B5E46">
        <w:t>)</w:t>
      </w:r>
      <w:r>
        <w:rPr>
          <w:rFonts w:hint="eastAsia"/>
        </w:rPr>
        <w:t>认定，“缔约国不能以性别</w:t>
      </w:r>
      <w:r w:rsidRPr="008B5E46">
        <w:rPr>
          <w:rFonts w:hint="eastAsia"/>
        </w:rPr>
        <w:t>平等</w:t>
      </w:r>
      <w:r>
        <w:rPr>
          <w:rFonts w:hint="eastAsia"/>
        </w:rPr>
        <w:t>为由</w:t>
      </w:r>
      <w:r w:rsidRPr="008B5E46">
        <w:rPr>
          <w:rFonts w:hint="eastAsia"/>
        </w:rPr>
        <w:t>禁止</w:t>
      </w:r>
      <w:r>
        <w:rPr>
          <w:rFonts w:hint="eastAsia"/>
        </w:rPr>
        <w:t>一项</w:t>
      </w:r>
      <w:r>
        <w:rPr>
          <w:rFonts w:hint="eastAsia"/>
        </w:rPr>
        <w:t>(</w:t>
      </w:r>
      <w:r>
        <w:rPr>
          <w:rFonts w:hint="eastAsia"/>
        </w:rPr>
        <w:t>申请人这样的</w:t>
      </w:r>
      <w:r>
        <w:rPr>
          <w:rFonts w:hint="eastAsia"/>
        </w:rPr>
        <w:t>)</w:t>
      </w:r>
      <w:r w:rsidRPr="008B5E46">
        <w:rPr>
          <w:rFonts w:hint="eastAsia"/>
        </w:rPr>
        <w:t>妇女</w:t>
      </w:r>
      <w:r>
        <w:rPr>
          <w:rFonts w:hint="eastAsia"/>
        </w:rPr>
        <w:t>在</w:t>
      </w:r>
      <w:r w:rsidRPr="005467C2">
        <w:rPr>
          <w:rFonts w:hint="eastAsia"/>
        </w:rPr>
        <w:t>行使上述条款所载的权利方面</w:t>
      </w:r>
      <w:r>
        <w:rPr>
          <w:rFonts w:hint="eastAsia"/>
        </w:rPr>
        <w:t>所维护的做法，除非公认可以藉此保护有关人员免于因行使自己的基本权利和自由而受害。”</w:t>
      </w:r>
    </w:p>
  </w:footnote>
  <w:footnote w:id="32">
    <w:p w:rsidR="002007EF" w:rsidRPr="004822AC" w:rsidRDefault="002007EF" w:rsidP="007D7547">
      <w:pPr>
        <w:pStyle w:val="a6"/>
      </w:pPr>
      <w:r w:rsidRPr="00E56B07">
        <w:tab/>
      </w:r>
      <w:r w:rsidRPr="002007EF">
        <w:rPr>
          <w:rStyle w:val="a8"/>
          <w:rFonts w:eastAsia="宋体"/>
        </w:rPr>
        <w:footnoteRef/>
      </w:r>
      <w:r w:rsidRPr="004822AC">
        <w:tab/>
        <w:t>CCPR/C/FRA/CO/5</w:t>
      </w:r>
      <w:r w:rsidRPr="004822AC">
        <w:rPr>
          <w:rFonts w:hint="eastAsia"/>
        </w:rPr>
        <w:t>，</w:t>
      </w:r>
      <w:r>
        <w:rPr>
          <w:rFonts w:hint="eastAsia"/>
          <w:lang w:val="es-ES"/>
        </w:rPr>
        <w:t>第</w:t>
      </w:r>
      <w:r w:rsidRPr="004822AC">
        <w:t>22</w:t>
      </w:r>
      <w:r>
        <w:rPr>
          <w:rFonts w:hint="eastAsia"/>
        </w:rPr>
        <w:t>段。</w:t>
      </w:r>
    </w:p>
  </w:footnote>
  <w:footnote w:id="33">
    <w:p w:rsidR="002007EF" w:rsidRPr="00E56B07" w:rsidRDefault="002007EF" w:rsidP="007D7547">
      <w:pPr>
        <w:pStyle w:val="a6"/>
        <w:rPr>
          <w:lang w:val="es-ES"/>
        </w:rPr>
      </w:pPr>
      <w:r w:rsidRPr="004822AC">
        <w:tab/>
      </w:r>
      <w:r w:rsidRPr="002007EF">
        <w:rPr>
          <w:rStyle w:val="a8"/>
          <w:rFonts w:eastAsia="宋体"/>
        </w:rPr>
        <w:footnoteRef/>
      </w:r>
      <w:r>
        <w:rPr>
          <w:lang w:val="es-ES"/>
        </w:rPr>
        <w:tab/>
      </w:r>
      <w:r>
        <w:rPr>
          <w:rFonts w:hint="eastAsia"/>
          <w:lang w:val="es-ES"/>
        </w:rPr>
        <w:t>同上，第</w:t>
      </w:r>
      <w:r>
        <w:rPr>
          <w:lang w:val="es-ES"/>
        </w:rPr>
        <w:t>22</w:t>
      </w:r>
      <w:r>
        <w:rPr>
          <w:rFonts w:hint="eastAsia"/>
          <w:lang w:val="es-ES"/>
        </w:rPr>
        <w:t>段。</w:t>
      </w:r>
    </w:p>
  </w:footnote>
  <w:footnote w:id="34">
    <w:p w:rsidR="002007EF" w:rsidRPr="006B570C" w:rsidRDefault="002007EF" w:rsidP="00797A3E">
      <w:pPr>
        <w:pStyle w:val="a6"/>
      </w:pPr>
      <w:r w:rsidRPr="006B570C">
        <w:tab/>
      </w:r>
      <w:r w:rsidRPr="002007EF">
        <w:rPr>
          <w:rStyle w:val="a8"/>
          <w:rFonts w:eastAsia="宋体"/>
        </w:rPr>
        <w:footnoteRef/>
      </w:r>
      <w:r w:rsidRPr="006B570C">
        <w:tab/>
      </w:r>
      <w:r>
        <w:rPr>
          <w:rFonts w:hint="eastAsia"/>
        </w:rPr>
        <w:t>见</w:t>
      </w:r>
      <w:r>
        <w:t>A/HRC/29/40</w:t>
      </w:r>
      <w:r>
        <w:rPr>
          <w:rFonts w:hint="eastAsia"/>
        </w:rPr>
        <w:t>,</w:t>
      </w:r>
      <w:r>
        <w:t xml:space="preserve"> </w:t>
      </w:r>
      <w:r>
        <w:rPr>
          <w:rFonts w:hint="eastAsia"/>
        </w:rPr>
        <w:t>第</w:t>
      </w:r>
      <w:r w:rsidRPr="006B570C">
        <w:t>19</w:t>
      </w:r>
      <w:r>
        <w:rPr>
          <w:rFonts w:hint="eastAsia"/>
        </w:rPr>
        <w:t>段，</w:t>
      </w:r>
      <w:r w:rsidRPr="00BB562A">
        <w:rPr>
          <w:rFonts w:hint="eastAsia"/>
        </w:rPr>
        <w:t>法律和实践中的歧视妇女问题工作组</w:t>
      </w:r>
      <w:r>
        <w:rPr>
          <w:rFonts w:hint="eastAsia"/>
        </w:rPr>
        <w:t>在该段中指出，保守极端主义宗教运动强加了严苛的端庄守则，以宗教的名义让妇女和女童屈从</w:t>
      </w:r>
      <w:r w:rsidRPr="00F43142">
        <w:rPr>
          <w:rFonts w:hint="eastAsia"/>
        </w:rPr>
        <w:t>。</w:t>
      </w:r>
    </w:p>
  </w:footnote>
  <w:footnote w:id="35">
    <w:p w:rsidR="002007EF" w:rsidRPr="006B570C" w:rsidRDefault="002007EF" w:rsidP="00797A3E">
      <w:pPr>
        <w:pStyle w:val="a6"/>
      </w:pPr>
      <w:r w:rsidRPr="006B570C">
        <w:tab/>
      </w:r>
      <w:r w:rsidRPr="002007EF">
        <w:rPr>
          <w:rStyle w:val="a8"/>
          <w:rFonts w:eastAsia="宋体"/>
        </w:rPr>
        <w:footnoteRef/>
      </w:r>
      <w:r w:rsidRPr="006B570C">
        <w:tab/>
      </w:r>
      <w:r w:rsidRPr="004F23F9">
        <w:rPr>
          <w:rFonts w:eastAsia="楷体"/>
          <w:iCs/>
        </w:rPr>
        <w:t>S.A.S.</w:t>
      </w:r>
      <w:r w:rsidRPr="004F23F9">
        <w:rPr>
          <w:rFonts w:eastAsia="楷体" w:hint="eastAsia"/>
          <w:iCs/>
        </w:rPr>
        <w:t>诉法国</w:t>
      </w:r>
      <w:r>
        <w:t>(</w:t>
      </w:r>
      <w:r>
        <w:rPr>
          <w:rFonts w:hint="eastAsia"/>
        </w:rPr>
        <w:t>第</w:t>
      </w:r>
      <w:r w:rsidRPr="006B570C">
        <w:t>43835/11</w:t>
      </w:r>
      <w:r>
        <w:rPr>
          <w:rFonts w:hint="eastAsia"/>
        </w:rPr>
        <w:t>号申诉</w:t>
      </w:r>
      <w:r>
        <w:t>)</w:t>
      </w:r>
      <w:r>
        <w:rPr>
          <w:rFonts w:hint="eastAsia"/>
        </w:rPr>
        <w:t>，</w:t>
      </w:r>
      <w:r w:rsidRPr="006B570C">
        <w:t>2014</w:t>
      </w:r>
      <w:r>
        <w:rPr>
          <w:rFonts w:hint="eastAsia"/>
        </w:rPr>
        <w:t>年</w:t>
      </w:r>
      <w:r>
        <w:rPr>
          <w:rFonts w:hint="eastAsia"/>
        </w:rPr>
        <w:t>7</w:t>
      </w:r>
      <w:r>
        <w:rPr>
          <w:rFonts w:hint="eastAsia"/>
        </w:rPr>
        <w:t>月</w:t>
      </w:r>
      <w:r>
        <w:rPr>
          <w:rFonts w:hint="eastAsia"/>
        </w:rPr>
        <w:t>1</w:t>
      </w:r>
      <w:r>
        <w:rPr>
          <w:rFonts w:hint="eastAsia"/>
        </w:rPr>
        <w:t>日的判决，第</w:t>
      </w:r>
      <w:r>
        <w:t>118-120</w:t>
      </w:r>
      <w:r>
        <w:rPr>
          <w:rFonts w:hint="eastAsia"/>
        </w:rPr>
        <w:t>段。</w:t>
      </w:r>
    </w:p>
  </w:footnote>
  <w:footnote w:id="36">
    <w:p w:rsidR="002007EF" w:rsidRPr="006B570C" w:rsidRDefault="002007EF" w:rsidP="00E34196">
      <w:pPr>
        <w:pStyle w:val="a6"/>
      </w:pPr>
      <w:r w:rsidRPr="006B570C">
        <w:tab/>
      </w:r>
      <w:r w:rsidRPr="002007EF">
        <w:rPr>
          <w:rStyle w:val="a8"/>
          <w:rFonts w:eastAsia="宋体"/>
        </w:rPr>
        <w:footnoteRef/>
      </w:r>
      <w:r w:rsidRPr="006B570C">
        <w:tab/>
      </w:r>
      <w:r>
        <w:rPr>
          <w:rFonts w:hint="eastAsia"/>
        </w:rPr>
        <w:t>见欧洲人权法院，</w:t>
      </w:r>
      <w:r w:rsidRPr="004F23F9">
        <w:rPr>
          <w:rFonts w:eastAsia="楷体"/>
          <w:iCs/>
        </w:rPr>
        <w:t>S.A.S.</w:t>
      </w:r>
      <w:r w:rsidRPr="004F23F9">
        <w:rPr>
          <w:rFonts w:eastAsia="楷体" w:hint="eastAsia"/>
          <w:iCs/>
        </w:rPr>
        <w:t>诉法国</w:t>
      </w:r>
      <w:r>
        <w:t>(</w:t>
      </w:r>
      <w:r>
        <w:rPr>
          <w:rFonts w:hint="eastAsia"/>
        </w:rPr>
        <w:t>第</w:t>
      </w:r>
      <w:r w:rsidRPr="006B570C">
        <w:t>43835/11</w:t>
      </w:r>
      <w:r>
        <w:rPr>
          <w:rFonts w:hint="eastAsia"/>
        </w:rPr>
        <w:t>号申诉</w:t>
      </w:r>
      <w:r>
        <w:t>)</w:t>
      </w:r>
      <w:r>
        <w:rPr>
          <w:rFonts w:hint="eastAsia"/>
        </w:rPr>
        <w:t>，</w:t>
      </w:r>
      <w:r w:rsidRPr="006B570C">
        <w:t>2014</w:t>
      </w:r>
      <w:r>
        <w:rPr>
          <w:rFonts w:hint="eastAsia"/>
        </w:rPr>
        <w:t>年</w:t>
      </w:r>
      <w:r>
        <w:rPr>
          <w:rFonts w:hint="eastAsia"/>
        </w:rPr>
        <w:t>7</w:t>
      </w:r>
      <w:r>
        <w:rPr>
          <w:rFonts w:hint="eastAsia"/>
        </w:rPr>
        <w:t>月</w:t>
      </w:r>
      <w:r>
        <w:rPr>
          <w:rFonts w:hint="eastAsia"/>
        </w:rPr>
        <w:t>1</w:t>
      </w:r>
      <w:r>
        <w:rPr>
          <w:rFonts w:hint="eastAsia"/>
        </w:rPr>
        <w:t>日的判决，第</w:t>
      </w:r>
      <w:r>
        <w:t>127</w:t>
      </w:r>
      <w:r>
        <w:rPr>
          <w:rFonts w:hint="eastAsia"/>
        </w:rPr>
        <w:t>段。</w:t>
      </w:r>
    </w:p>
  </w:footnote>
  <w:footnote w:id="37">
    <w:p w:rsidR="002007EF" w:rsidRPr="006B570C" w:rsidRDefault="002007EF" w:rsidP="00E34196">
      <w:pPr>
        <w:pStyle w:val="a6"/>
      </w:pPr>
      <w:r w:rsidRPr="006B570C">
        <w:tab/>
      </w:r>
      <w:r w:rsidRPr="002007EF">
        <w:rPr>
          <w:rStyle w:val="a8"/>
          <w:rFonts w:eastAsia="宋体"/>
        </w:rPr>
        <w:footnoteRef/>
      </w:r>
      <w:r>
        <w:tab/>
      </w:r>
      <w:r>
        <w:rPr>
          <w:rFonts w:hint="eastAsia"/>
        </w:rPr>
        <w:t>见</w:t>
      </w:r>
      <w:r>
        <w:t>A/68/290</w:t>
      </w:r>
      <w:r>
        <w:rPr>
          <w:rFonts w:hint="eastAsia"/>
        </w:rPr>
        <w:t>,</w:t>
      </w:r>
      <w:r>
        <w:t xml:space="preserve"> </w:t>
      </w:r>
      <w:r>
        <w:rPr>
          <w:rFonts w:hint="eastAsia"/>
        </w:rPr>
        <w:t>第</w:t>
      </w:r>
      <w:r w:rsidRPr="006B570C">
        <w:t>74(d)</w:t>
      </w:r>
      <w:r>
        <w:rPr>
          <w:rFonts w:hint="eastAsia"/>
        </w:rPr>
        <w:t>段，</w:t>
      </w:r>
      <w:r w:rsidRPr="009142B6">
        <w:rPr>
          <w:rFonts w:hint="eastAsia"/>
        </w:rPr>
        <w:t>宗教或信仰自由问题特别报告员</w:t>
      </w:r>
      <w:r>
        <w:rPr>
          <w:rFonts w:hint="eastAsia"/>
        </w:rPr>
        <w:t>在该段指出，</w:t>
      </w:r>
      <w:r w:rsidRPr="00B758D3">
        <w:rPr>
          <w:rFonts w:hint="eastAsia"/>
        </w:rPr>
        <w:t>旨在赋权给遭受性别相关歧视的个人的各项</w:t>
      </w:r>
      <w:r w:rsidRPr="009142B6">
        <w:rPr>
          <w:rFonts w:hint="eastAsia"/>
        </w:rPr>
        <w:t>政策</w:t>
      </w:r>
      <w:r w:rsidRPr="00B758D3">
        <w:rPr>
          <w:rFonts w:hint="eastAsia"/>
        </w:rPr>
        <w:t>必须认真重视相关者本人、包括宗教少数群体妇女所述的自我理解、利益和评估</w:t>
      </w:r>
      <w:r>
        <w:rPr>
          <w:rFonts w:hint="eastAsia"/>
        </w:rPr>
        <w:t>，方能具有公信力。应始终遵守这项原则，尤其是</w:t>
      </w:r>
      <w:r w:rsidRPr="009142B6">
        <w:rPr>
          <w:rFonts w:hint="eastAsia"/>
        </w:rPr>
        <w:t>在对自由权</w:t>
      </w:r>
      <w:r w:rsidRPr="009142B6">
        <w:t>(</w:t>
      </w:r>
      <w:r w:rsidRPr="009142B6">
        <w:rPr>
          <w:rFonts w:hint="eastAsia"/>
        </w:rPr>
        <w:t>例如宗教着装权</w:t>
      </w:r>
      <w:r w:rsidRPr="009142B6">
        <w:t>)</w:t>
      </w:r>
      <w:r w:rsidRPr="009142B6">
        <w:rPr>
          <w:rFonts w:hint="eastAsia"/>
        </w:rPr>
        <w:t>实行立法或管辖限制之前</w:t>
      </w:r>
      <w:r>
        <w:rPr>
          <w:rFonts w:hint="eastAsia"/>
        </w:rPr>
        <w:t>。</w:t>
      </w:r>
    </w:p>
  </w:footnote>
  <w:footnote w:id="38">
    <w:p w:rsidR="002007EF" w:rsidRPr="006B570C" w:rsidRDefault="002007EF" w:rsidP="00B41733">
      <w:pPr>
        <w:pStyle w:val="a6"/>
        <w:spacing w:after="100"/>
      </w:pPr>
      <w:r w:rsidRPr="006B570C">
        <w:tab/>
      </w:r>
      <w:r w:rsidRPr="002007EF">
        <w:rPr>
          <w:rStyle w:val="a8"/>
          <w:rFonts w:eastAsia="宋体"/>
        </w:rPr>
        <w:footnoteRef/>
      </w:r>
      <w:r w:rsidRPr="006B570C">
        <w:tab/>
      </w:r>
      <w:r w:rsidRPr="004F23F9">
        <w:rPr>
          <w:rFonts w:eastAsia="楷体"/>
          <w:iCs/>
        </w:rPr>
        <w:t>Yaker</w:t>
      </w:r>
      <w:r w:rsidRPr="004F23F9">
        <w:rPr>
          <w:rFonts w:eastAsia="楷体" w:hint="eastAsia"/>
          <w:iCs/>
        </w:rPr>
        <w:t>诉法国</w:t>
      </w:r>
      <w:r>
        <w:rPr>
          <w:rFonts w:hint="eastAsia"/>
        </w:rPr>
        <w:t>，第</w:t>
      </w:r>
      <w:r>
        <w:rPr>
          <w:rFonts w:hint="eastAsia"/>
        </w:rPr>
        <w:t>7.</w:t>
      </w:r>
      <w:r>
        <w:t>1</w:t>
      </w:r>
      <w:r>
        <w:rPr>
          <w:rFonts w:hint="eastAsia"/>
        </w:rPr>
        <w:t>段。</w:t>
      </w:r>
    </w:p>
  </w:footnote>
  <w:footnote w:id="39">
    <w:p w:rsidR="002007EF" w:rsidRPr="00120780" w:rsidRDefault="002007EF" w:rsidP="00B41733">
      <w:pPr>
        <w:pStyle w:val="a6"/>
      </w:pPr>
      <w:r w:rsidRPr="006B570C">
        <w:tab/>
      </w:r>
      <w:r w:rsidRPr="002007EF">
        <w:rPr>
          <w:rStyle w:val="a8"/>
          <w:rFonts w:eastAsia="宋体"/>
        </w:rPr>
        <w:footnoteRef/>
      </w:r>
      <w:r w:rsidRPr="00120780">
        <w:tab/>
      </w:r>
      <w:r>
        <w:rPr>
          <w:rFonts w:hint="eastAsia"/>
          <w:lang w:val="es-ES"/>
        </w:rPr>
        <w:t>同上</w:t>
      </w:r>
      <w:r w:rsidRPr="00120780">
        <w:rPr>
          <w:rFonts w:hint="eastAsia"/>
        </w:rPr>
        <w:t>，</w:t>
      </w:r>
      <w:r>
        <w:rPr>
          <w:rFonts w:hint="eastAsia"/>
          <w:lang w:val="es-ES"/>
        </w:rPr>
        <w:t>第</w:t>
      </w:r>
      <w:r w:rsidRPr="00120780">
        <w:t>7.2</w:t>
      </w:r>
      <w:r>
        <w:rPr>
          <w:rFonts w:hint="eastAsia"/>
          <w:lang w:val="es-ES"/>
        </w:rPr>
        <w:t>段。</w:t>
      </w:r>
    </w:p>
  </w:footnote>
  <w:footnote w:id="40">
    <w:p w:rsidR="002007EF" w:rsidRPr="00120780" w:rsidRDefault="002007EF" w:rsidP="00B41733">
      <w:pPr>
        <w:pStyle w:val="a6"/>
      </w:pPr>
      <w:r w:rsidRPr="00120780">
        <w:tab/>
      </w:r>
      <w:r w:rsidRPr="002007EF">
        <w:rPr>
          <w:rStyle w:val="a8"/>
          <w:rFonts w:eastAsia="宋体"/>
        </w:rPr>
        <w:footnoteRef/>
      </w:r>
      <w:r w:rsidRPr="00120780">
        <w:tab/>
      </w:r>
      <w:r>
        <w:rPr>
          <w:rFonts w:hint="eastAsia"/>
          <w:lang w:val="es-ES"/>
        </w:rPr>
        <w:t>同上</w:t>
      </w:r>
      <w:r w:rsidRPr="00120780">
        <w:rPr>
          <w:rFonts w:hint="eastAsia"/>
        </w:rPr>
        <w:t>，</w:t>
      </w:r>
      <w:r>
        <w:rPr>
          <w:rFonts w:hint="eastAsia"/>
          <w:lang w:val="es-ES"/>
        </w:rPr>
        <w:t>第</w:t>
      </w:r>
      <w:r w:rsidRPr="00120780">
        <w:t>7.3</w:t>
      </w:r>
      <w:r>
        <w:rPr>
          <w:rFonts w:hint="eastAsia"/>
          <w:lang w:val="es-ES"/>
        </w:rPr>
        <w:t>段。</w:t>
      </w:r>
    </w:p>
  </w:footnote>
  <w:footnote w:id="41">
    <w:p w:rsidR="002007EF" w:rsidRPr="00120780" w:rsidRDefault="002007EF" w:rsidP="00B41733">
      <w:pPr>
        <w:pStyle w:val="a6"/>
      </w:pPr>
      <w:r w:rsidRPr="00120780">
        <w:tab/>
      </w:r>
      <w:r w:rsidRPr="002007EF">
        <w:rPr>
          <w:rStyle w:val="a8"/>
          <w:rFonts w:eastAsia="宋体"/>
        </w:rPr>
        <w:footnoteRef/>
      </w:r>
      <w:r w:rsidRPr="00120780">
        <w:tab/>
      </w:r>
      <w:r>
        <w:rPr>
          <w:rFonts w:hint="eastAsia"/>
          <w:lang w:val="es-ES"/>
        </w:rPr>
        <w:t>同上</w:t>
      </w:r>
      <w:r w:rsidRPr="00120780">
        <w:rPr>
          <w:rFonts w:hint="eastAsia"/>
        </w:rPr>
        <w:t>，</w:t>
      </w:r>
      <w:r>
        <w:rPr>
          <w:rFonts w:hint="eastAsia"/>
          <w:lang w:val="es-ES"/>
        </w:rPr>
        <w:t>第</w:t>
      </w:r>
      <w:r w:rsidRPr="00120780">
        <w:t>7.5</w:t>
      </w:r>
      <w:r>
        <w:rPr>
          <w:rFonts w:hint="eastAsia"/>
          <w:lang w:val="es-ES"/>
        </w:rPr>
        <w:t>段。</w:t>
      </w:r>
    </w:p>
  </w:footnote>
  <w:footnote w:id="42">
    <w:p w:rsidR="002007EF" w:rsidRPr="00120780" w:rsidRDefault="002007EF" w:rsidP="00B41733">
      <w:pPr>
        <w:pStyle w:val="a6"/>
      </w:pPr>
      <w:r w:rsidRPr="00120780">
        <w:tab/>
      </w:r>
      <w:r w:rsidRPr="002007EF">
        <w:rPr>
          <w:rStyle w:val="a8"/>
          <w:rFonts w:eastAsia="宋体"/>
        </w:rPr>
        <w:footnoteRef/>
      </w:r>
      <w:r w:rsidRPr="00120780">
        <w:tab/>
      </w:r>
      <w:r>
        <w:rPr>
          <w:rFonts w:hint="eastAsia"/>
          <w:lang w:val="es-ES"/>
        </w:rPr>
        <w:t>同上</w:t>
      </w:r>
      <w:r w:rsidRPr="00120780">
        <w:rPr>
          <w:rFonts w:hint="eastAsia"/>
        </w:rPr>
        <w:t>，</w:t>
      </w:r>
      <w:r>
        <w:rPr>
          <w:rFonts w:hint="eastAsia"/>
          <w:lang w:val="es-ES"/>
        </w:rPr>
        <w:t>第</w:t>
      </w:r>
      <w:r w:rsidRPr="00120780">
        <w:t>7.11</w:t>
      </w:r>
      <w:r>
        <w:rPr>
          <w:rFonts w:hint="eastAsia"/>
          <w:lang w:val="es-ES"/>
        </w:rPr>
        <w:t>段。</w:t>
      </w:r>
    </w:p>
  </w:footnote>
  <w:footnote w:id="43">
    <w:p w:rsidR="002007EF" w:rsidRPr="00120780" w:rsidRDefault="002007EF" w:rsidP="00B41733">
      <w:pPr>
        <w:pStyle w:val="a6"/>
      </w:pPr>
      <w:r w:rsidRPr="00120780">
        <w:tab/>
      </w:r>
      <w:r w:rsidRPr="002007EF">
        <w:rPr>
          <w:rStyle w:val="a8"/>
          <w:rFonts w:eastAsia="宋体"/>
        </w:rPr>
        <w:footnoteRef/>
      </w:r>
      <w:r w:rsidRPr="00120780">
        <w:tab/>
      </w:r>
      <w:r>
        <w:rPr>
          <w:rFonts w:hint="eastAsia"/>
          <w:lang w:val="es-ES"/>
        </w:rPr>
        <w:t>同上</w:t>
      </w:r>
      <w:r w:rsidRPr="00120780">
        <w:rPr>
          <w:rFonts w:hint="eastAsia"/>
        </w:rPr>
        <w:t>，</w:t>
      </w:r>
      <w:r>
        <w:rPr>
          <w:rFonts w:hint="eastAsia"/>
          <w:lang w:val="es-ES"/>
        </w:rPr>
        <w:t>第</w:t>
      </w:r>
      <w:r w:rsidRPr="00120780">
        <w:t>7.9</w:t>
      </w:r>
      <w:r>
        <w:rPr>
          <w:rFonts w:hint="eastAsia"/>
          <w:lang w:val="es-ES"/>
        </w:rPr>
        <w:t>段。</w:t>
      </w:r>
    </w:p>
  </w:footnote>
  <w:footnote w:id="44">
    <w:p w:rsidR="002007EF" w:rsidRPr="00120780" w:rsidRDefault="002007EF" w:rsidP="00B41733">
      <w:pPr>
        <w:pStyle w:val="a6"/>
      </w:pPr>
      <w:r w:rsidRPr="00120780">
        <w:tab/>
      </w:r>
      <w:r w:rsidRPr="002007EF">
        <w:rPr>
          <w:rStyle w:val="a8"/>
          <w:rFonts w:eastAsia="宋体"/>
        </w:rPr>
        <w:footnoteRef/>
      </w:r>
      <w:r w:rsidRPr="00120780">
        <w:tab/>
      </w:r>
      <w:r>
        <w:rPr>
          <w:rFonts w:hint="eastAsia"/>
          <w:lang w:val="es-ES"/>
        </w:rPr>
        <w:t>同上</w:t>
      </w:r>
      <w:r w:rsidRPr="00120780">
        <w:rPr>
          <w:rFonts w:hint="eastAsia"/>
        </w:rPr>
        <w:t>，</w:t>
      </w:r>
      <w:r>
        <w:rPr>
          <w:rFonts w:hint="eastAsia"/>
          <w:lang w:val="es-ES"/>
        </w:rPr>
        <w:t>第</w:t>
      </w:r>
      <w:r w:rsidRPr="00120780">
        <w:t>8.2</w:t>
      </w:r>
      <w:r>
        <w:rPr>
          <w:rFonts w:hint="eastAsia"/>
          <w:lang w:val="es-ES"/>
        </w:rPr>
        <w:t>段。</w:t>
      </w:r>
    </w:p>
  </w:footnote>
  <w:footnote w:id="45">
    <w:p w:rsidR="002007EF" w:rsidRPr="00120780" w:rsidRDefault="002007EF" w:rsidP="00B41733">
      <w:pPr>
        <w:pStyle w:val="a6"/>
      </w:pPr>
      <w:r w:rsidRPr="00120780">
        <w:tab/>
      </w:r>
      <w:r w:rsidRPr="002007EF">
        <w:rPr>
          <w:rStyle w:val="a8"/>
          <w:rFonts w:eastAsia="宋体"/>
        </w:rPr>
        <w:footnoteRef/>
      </w:r>
      <w:r w:rsidRPr="00120780">
        <w:tab/>
      </w:r>
      <w:r>
        <w:rPr>
          <w:rFonts w:hint="eastAsia"/>
          <w:lang w:val="es-ES"/>
        </w:rPr>
        <w:t>同上</w:t>
      </w:r>
      <w:r w:rsidRPr="00120780">
        <w:rPr>
          <w:rFonts w:hint="eastAsia"/>
        </w:rPr>
        <w:t>，</w:t>
      </w:r>
      <w:r>
        <w:rPr>
          <w:rFonts w:hint="eastAsia"/>
          <w:lang w:val="es-ES"/>
        </w:rPr>
        <w:t>第</w:t>
      </w:r>
      <w:r w:rsidRPr="00120780">
        <w:t>7.6</w:t>
      </w:r>
      <w:r>
        <w:rPr>
          <w:rFonts w:hint="eastAsia"/>
          <w:lang w:val="es-ES"/>
        </w:rPr>
        <w:t>段。</w:t>
      </w:r>
    </w:p>
  </w:footnote>
  <w:footnote w:id="46">
    <w:p w:rsidR="002007EF" w:rsidRPr="00120780" w:rsidRDefault="002007EF" w:rsidP="00B41733">
      <w:pPr>
        <w:pStyle w:val="a6"/>
      </w:pPr>
      <w:r w:rsidRPr="00120780">
        <w:tab/>
      </w:r>
      <w:r w:rsidRPr="002007EF">
        <w:rPr>
          <w:rStyle w:val="a8"/>
          <w:rFonts w:eastAsia="宋体"/>
        </w:rPr>
        <w:footnoteRef/>
      </w:r>
      <w:r w:rsidRPr="00120780">
        <w:tab/>
      </w:r>
      <w:r>
        <w:rPr>
          <w:rFonts w:hint="eastAsia"/>
          <w:lang w:val="es-ES"/>
        </w:rPr>
        <w:t>同上</w:t>
      </w:r>
      <w:r w:rsidRPr="00120780">
        <w:rPr>
          <w:rFonts w:hint="eastAsia"/>
        </w:rPr>
        <w:t>，</w:t>
      </w:r>
      <w:r>
        <w:rPr>
          <w:rFonts w:hint="eastAsia"/>
          <w:lang w:val="es-ES"/>
        </w:rPr>
        <w:t>第</w:t>
      </w:r>
      <w:r w:rsidRPr="00120780">
        <w:t>7.7</w:t>
      </w:r>
      <w:r>
        <w:rPr>
          <w:rFonts w:hint="eastAsia"/>
          <w:lang w:val="es-ES"/>
        </w:rPr>
        <w:t>段。</w:t>
      </w:r>
    </w:p>
  </w:footnote>
  <w:footnote w:id="47">
    <w:p w:rsidR="002007EF" w:rsidRPr="00120780" w:rsidRDefault="002007EF" w:rsidP="00B41733">
      <w:pPr>
        <w:pStyle w:val="a6"/>
      </w:pPr>
      <w:r w:rsidRPr="00120780">
        <w:tab/>
      </w:r>
      <w:r w:rsidRPr="002007EF">
        <w:rPr>
          <w:rStyle w:val="a8"/>
          <w:rFonts w:eastAsia="宋体"/>
        </w:rPr>
        <w:footnoteRef/>
      </w:r>
      <w:r w:rsidRPr="00120780">
        <w:tab/>
      </w:r>
      <w:r>
        <w:rPr>
          <w:rFonts w:hint="eastAsia"/>
          <w:lang w:val="es-ES"/>
        </w:rPr>
        <w:t>同上</w:t>
      </w:r>
      <w:r w:rsidRPr="00120780">
        <w:rPr>
          <w:rFonts w:hint="eastAsia"/>
        </w:rPr>
        <w:t>，</w:t>
      </w:r>
      <w:r>
        <w:rPr>
          <w:rFonts w:hint="eastAsia"/>
          <w:lang w:val="es-ES"/>
        </w:rPr>
        <w:t>第</w:t>
      </w:r>
      <w:r w:rsidRPr="00120780">
        <w:t>7.8</w:t>
      </w:r>
      <w:r>
        <w:rPr>
          <w:rFonts w:hint="eastAsia"/>
          <w:lang w:val="es-ES"/>
        </w:rPr>
        <w:t>段。</w:t>
      </w:r>
    </w:p>
  </w:footnote>
  <w:footnote w:id="48">
    <w:p w:rsidR="002007EF" w:rsidRPr="006B570C" w:rsidRDefault="002007EF" w:rsidP="00B41733">
      <w:pPr>
        <w:pStyle w:val="a6"/>
      </w:pPr>
      <w:r w:rsidRPr="00120780">
        <w:tab/>
      </w:r>
      <w:r w:rsidRPr="002007EF">
        <w:rPr>
          <w:rStyle w:val="a8"/>
          <w:rFonts w:eastAsia="宋体"/>
        </w:rPr>
        <w:footnoteRef/>
      </w:r>
      <w:r>
        <w:tab/>
      </w:r>
      <w:r>
        <w:rPr>
          <w:rFonts w:hint="eastAsia"/>
        </w:rPr>
        <w:t>同上，第</w:t>
      </w:r>
      <w:r>
        <w:t>8.7</w:t>
      </w:r>
      <w:r>
        <w:rPr>
          <w:rFonts w:hint="eastAsia"/>
        </w:rPr>
        <w:t>段。</w:t>
      </w:r>
    </w:p>
  </w:footnote>
  <w:footnote w:id="49">
    <w:p w:rsidR="002007EF" w:rsidRPr="006B570C" w:rsidRDefault="002007EF" w:rsidP="00B41733">
      <w:pPr>
        <w:pStyle w:val="a6"/>
      </w:pPr>
      <w:r w:rsidRPr="006B570C">
        <w:tab/>
      </w:r>
      <w:r w:rsidRPr="002007EF">
        <w:rPr>
          <w:rStyle w:val="a8"/>
          <w:rFonts w:eastAsia="宋体"/>
        </w:rPr>
        <w:footnoteRef/>
      </w:r>
      <w:r w:rsidRPr="006B570C">
        <w:tab/>
      </w:r>
      <w:r w:rsidRPr="00BE1F2E">
        <w:rPr>
          <w:rFonts w:hint="eastAsia"/>
        </w:rPr>
        <w:t>欧洲联盟执法合作署</w:t>
      </w:r>
      <w:r>
        <w:rPr>
          <w:rFonts w:hint="eastAsia"/>
        </w:rPr>
        <w:t>，《</w:t>
      </w:r>
      <w:r>
        <w:t>2018</w:t>
      </w:r>
      <w:r>
        <w:rPr>
          <w:rFonts w:hint="eastAsia"/>
        </w:rPr>
        <w:t>年欧洲联盟恐怖主义</w:t>
      </w:r>
      <w:r>
        <w:rPr>
          <w:rFonts w:hint="eastAsia"/>
          <w:lang w:val="fr-CH" w:bidi="ar-DZ"/>
        </w:rPr>
        <w:t>状况和区域报告</w:t>
      </w:r>
      <w:r>
        <w:rPr>
          <w:rFonts w:hint="eastAsia"/>
        </w:rPr>
        <w:t>》</w:t>
      </w:r>
      <w:r w:rsidRPr="006B570C">
        <w:t>(</w:t>
      </w:r>
      <w:r>
        <w:rPr>
          <w:rFonts w:hint="eastAsia"/>
        </w:rPr>
        <w:t>海牙，</w:t>
      </w:r>
      <w:r w:rsidRPr="006B570C">
        <w:t>2018</w:t>
      </w:r>
      <w:r>
        <w:rPr>
          <w:rFonts w:hint="eastAsia"/>
        </w:rPr>
        <w:t>年</w:t>
      </w:r>
      <w:r>
        <w:t>)</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5DF" w:rsidRDefault="000C3CBC" w:rsidP="00170F36">
    <w:pPr>
      <w:pStyle w:val="af3"/>
    </w:pPr>
    <w:r>
      <w:t>CCPR/C/123/D/2747/2016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5DF" w:rsidRDefault="000C3CBC" w:rsidP="00170F36">
    <w:pPr>
      <w:pStyle w:val="af3"/>
      <w:jc w:val="right"/>
    </w:pPr>
    <w:r>
      <w:t>CCPR/C/123/D/2747/2016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5544"/>
    <w:rsid w:val="00011483"/>
    <w:rsid w:val="0004554F"/>
    <w:rsid w:val="000B5151"/>
    <w:rsid w:val="000C3CBC"/>
    <w:rsid w:val="000D319F"/>
    <w:rsid w:val="000D59E1"/>
    <w:rsid w:val="000E4D0E"/>
    <w:rsid w:val="000F5EB8"/>
    <w:rsid w:val="00144B69"/>
    <w:rsid w:val="00153E86"/>
    <w:rsid w:val="00170F36"/>
    <w:rsid w:val="00172E04"/>
    <w:rsid w:val="001B1BD1"/>
    <w:rsid w:val="001B6388"/>
    <w:rsid w:val="001C3EF2"/>
    <w:rsid w:val="001C7622"/>
    <w:rsid w:val="001D17F6"/>
    <w:rsid w:val="001D744B"/>
    <w:rsid w:val="002007EF"/>
    <w:rsid w:val="00204B42"/>
    <w:rsid w:val="0021265F"/>
    <w:rsid w:val="002210FB"/>
    <w:rsid w:val="002231C3"/>
    <w:rsid w:val="0023045F"/>
    <w:rsid w:val="0024417F"/>
    <w:rsid w:val="00250F8D"/>
    <w:rsid w:val="00290315"/>
    <w:rsid w:val="002E1C97"/>
    <w:rsid w:val="002F38E8"/>
    <w:rsid w:val="002F5834"/>
    <w:rsid w:val="003006AB"/>
    <w:rsid w:val="00326EBF"/>
    <w:rsid w:val="00327FE4"/>
    <w:rsid w:val="003333CC"/>
    <w:rsid w:val="0037258C"/>
    <w:rsid w:val="003D19F7"/>
    <w:rsid w:val="003E6713"/>
    <w:rsid w:val="003F4D76"/>
    <w:rsid w:val="00427F63"/>
    <w:rsid w:val="00434D38"/>
    <w:rsid w:val="00452B17"/>
    <w:rsid w:val="00476926"/>
    <w:rsid w:val="00494EB8"/>
    <w:rsid w:val="004C4A0A"/>
    <w:rsid w:val="004D0A00"/>
    <w:rsid w:val="004E473D"/>
    <w:rsid w:val="004F348E"/>
    <w:rsid w:val="00501220"/>
    <w:rsid w:val="00566EB3"/>
    <w:rsid w:val="005E403A"/>
    <w:rsid w:val="005E4086"/>
    <w:rsid w:val="00604D91"/>
    <w:rsid w:val="006257FE"/>
    <w:rsid w:val="00670DEE"/>
    <w:rsid w:val="00680656"/>
    <w:rsid w:val="006B1119"/>
    <w:rsid w:val="006B5D85"/>
    <w:rsid w:val="006D3757"/>
    <w:rsid w:val="006D37EB"/>
    <w:rsid w:val="006E3E46"/>
    <w:rsid w:val="006E71B1"/>
    <w:rsid w:val="006F1404"/>
    <w:rsid w:val="006F2F66"/>
    <w:rsid w:val="0070593B"/>
    <w:rsid w:val="00705D89"/>
    <w:rsid w:val="00722306"/>
    <w:rsid w:val="00731A42"/>
    <w:rsid w:val="00755487"/>
    <w:rsid w:val="00767E69"/>
    <w:rsid w:val="0077079A"/>
    <w:rsid w:val="00771504"/>
    <w:rsid w:val="00797A3E"/>
    <w:rsid w:val="007A5599"/>
    <w:rsid w:val="007B5F68"/>
    <w:rsid w:val="007D7547"/>
    <w:rsid w:val="0083293E"/>
    <w:rsid w:val="00856233"/>
    <w:rsid w:val="00860F27"/>
    <w:rsid w:val="008B0560"/>
    <w:rsid w:val="008B2BFA"/>
    <w:rsid w:val="008D31F4"/>
    <w:rsid w:val="008E5882"/>
    <w:rsid w:val="008E6A3F"/>
    <w:rsid w:val="00923557"/>
    <w:rsid w:val="009257CF"/>
    <w:rsid w:val="00936F03"/>
    <w:rsid w:val="00943B69"/>
    <w:rsid w:val="00944CB3"/>
    <w:rsid w:val="0096722F"/>
    <w:rsid w:val="00986624"/>
    <w:rsid w:val="009B09D7"/>
    <w:rsid w:val="009D35ED"/>
    <w:rsid w:val="009F4885"/>
    <w:rsid w:val="00A01F8B"/>
    <w:rsid w:val="00A03CB6"/>
    <w:rsid w:val="00A1364C"/>
    <w:rsid w:val="00A21076"/>
    <w:rsid w:val="00A31BA8"/>
    <w:rsid w:val="00A322DF"/>
    <w:rsid w:val="00A3739A"/>
    <w:rsid w:val="00A52DAF"/>
    <w:rsid w:val="00A621D9"/>
    <w:rsid w:val="00A84072"/>
    <w:rsid w:val="00B16570"/>
    <w:rsid w:val="00B23B03"/>
    <w:rsid w:val="00B41733"/>
    <w:rsid w:val="00B43EB7"/>
    <w:rsid w:val="00B465D6"/>
    <w:rsid w:val="00B53211"/>
    <w:rsid w:val="00B53320"/>
    <w:rsid w:val="00B614C4"/>
    <w:rsid w:val="00BC6522"/>
    <w:rsid w:val="00BE00DB"/>
    <w:rsid w:val="00C121D5"/>
    <w:rsid w:val="00C17349"/>
    <w:rsid w:val="00C317EF"/>
    <w:rsid w:val="00C351AA"/>
    <w:rsid w:val="00C70852"/>
    <w:rsid w:val="00C7253F"/>
    <w:rsid w:val="00C87786"/>
    <w:rsid w:val="00C90707"/>
    <w:rsid w:val="00CA0F1F"/>
    <w:rsid w:val="00CC3D3B"/>
    <w:rsid w:val="00CE1D1C"/>
    <w:rsid w:val="00D26A05"/>
    <w:rsid w:val="00D9309B"/>
    <w:rsid w:val="00D97B98"/>
    <w:rsid w:val="00DC671F"/>
    <w:rsid w:val="00DE4DA7"/>
    <w:rsid w:val="00E02C13"/>
    <w:rsid w:val="00E06EFD"/>
    <w:rsid w:val="00E143B6"/>
    <w:rsid w:val="00E15544"/>
    <w:rsid w:val="00E33B38"/>
    <w:rsid w:val="00E34196"/>
    <w:rsid w:val="00E435DF"/>
    <w:rsid w:val="00E442A1"/>
    <w:rsid w:val="00E47FE5"/>
    <w:rsid w:val="00E574AF"/>
    <w:rsid w:val="00EA7E67"/>
    <w:rsid w:val="00EB6128"/>
    <w:rsid w:val="00F173F6"/>
    <w:rsid w:val="00F24E6D"/>
    <w:rsid w:val="00F714DA"/>
    <w:rsid w:val="00FB456B"/>
    <w:rsid w:val="00FD2F0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EFC7B"/>
  <w15:docId w15:val="{BF31E1DB-3FDF-4881-B819-28A765F0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5356-C8A3-4855-82DC-3353FFA0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22</Pages>
  <Words>20980</Words>
  <Characters>22159</Characters>
  <Application>Microsoft Office Word</Application>
  <DocSecurity>0</DocSecurity>
  <Lines>719</Lines>
  <Paragraphs>157</Paragraphs>
  <ScaleCrop>false</ScaleCrop>
  <Company>DCM</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CCPR/C/123/D/2747/2016</dc:title>
  <dc:subject>1821160</dc:subject>
  <dc:creator>Ji</dc:creator>
  <cp:keywords/>
  <dc:description/>
  <cp:lastModifiedBy>Xiangli FERSCHIN-JI</cp:lastModifiedBy>
  <cp:revision>2</cp:revision>
  <cp:lastPrinted>2014-05-09T11:28:00Z</cp:lastPrinted>
  <dcterms:created xsi:type="dcterms:W3CDTF">2019-04-03T08:02:00Z</dcterms:created>
  <dcterms:modified xsi:type="dcterms:W3CDTF">2019-04-03T08:02:00Z</dcterms:modified>
</cp:coreProperties>
</file>