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34149E8" w14:textId="77777777" w:rsidTr="005B51C4">
        <w:trPr>
          <w:trHeight w:hRule="exact" w:val="851"/>
        </w:trPr>
        <w:tc>
          <w:tcPr>
            <w:tcW w:w="1274" w:type="dxa"/>
            <w:tcBorders>
              <w:bottom w:val="single" w:sz="4" w:space="0" w:color="auto"/>
            </w:tcBorders>
            <w:shd w:val="clear" w:color="auto" w:fill="auto"/>
          </w:tcPr>
          <w:p w14:paraId="1993C621" w14:textId="77777777" w:rsidR="006B3E27" w:rsidRPr="00C175A6" w:rsidRDefault="006B3E27" w:rsidP="00256576">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524951D"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7794B0E" w14:textId="5A0A6CA1" w:rsidR="006B3E27" w:rsidRPr="000A23B7" w:rsidRDefault="000A23B7" w:rsidP="000A23B7">
            <w:pPr>
              <w:bidi w:val="0"/>
              <w:rPr>
                <w:szCs w:val="20"/>
              </w:rPr>
            </w:pPr>
            <w:r w:rsidRPr="007954CB">
              <w:rPr>
                <w:sz w:val="40"/>
                <w:szCs w:val="20"/>
              </w:rPr>
              <w:t>CCPR</w:t>
            </w:r>
            <w:r w:rsidRPr="007954CB">
              <w:rPr>
                <w:szCs w:val="20"/>
              </w:rPr>
              <w:t>/C/</w:t>
            </w:r>
            <w:r w:rsidRPr="00AA67D7">
              <w:rPr>
                <w:szCs w:val="20"/>
              </w:rPr>
              <w:t>128</w:t>
            </w:r>
            <w:r w:rsidRPr="007954CB">
              <w:rPr>
                <w:szCs w:val="20"/>
              </w:rPr>
              <w:t>/</w:t>
            </w:r>
            <w:r w:rsidRPr="00AA67D7">
              <w:rPr>
                <w:szCs w:val="20"/>
              </w:rPr>
              <w:t>4</w:t>
            </w:r>
          </w:p>
        </w:tc>
      </w:tr>
      <w:tr w:rsidR="006B3E27" w:rsidRPr="00C175A6" w14:paraId="3F934AA3" w14:textId="77777777" w:rsidTr="005B51C4">
        <w:trPr>
          <w:trHeight w:hRule="exact" w:val="2835"/>
        </w:trPr>
        <w:tc>
          <w:tcPr>
            <w:tcW w:w="1274" w:type="dxa"/>
            <w:tcBorders>
              <w:top w:val="single" w:sz="4" w:space="0" w:color="auto"/>
              <w:bottom w:val="single" w:sz="12" w:space="0" w:color="auto"/>
            </w:tcBorders>
            <w:shd w:val="clear" w:color="auto" w:fill="auto"/>
          </w:tcPr>
          <w:p w14:paraId="7ABCF975"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C096B2C" wp14:editId="70616E0B">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EBAF5D7" w14:textId="77777777" w:rsidR="006B3E27" w:rsidRPr="00AA67D7" w:rsidRDefault="00ED7442" w:rsidP="00730446">
            <w:pPr>
              <w:spacing w:before="120" w:after="40" w:line="640" w:lineRule="exact"/>
              <w:ind w:left="57"/>
              <w:rPr>
                <w:b/>
                <w:bCs/>
                <w:sz w:val="46"/>
                <w:szCs w:val="46"/>
              </w:rPr>
            </w:pPr>
            <w:r w:rsidRPr="00AA67D7">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AA1A503" w14:textId="0CCC879B" w:rsidR="006B3E27" w:rsidRDefault="000A23B7" w:rsidP="004B27E0">
            <w:pPr>
              <w:bidi w:val="0"/>
              <w:spacing w:before="240"/>
              <w:rPr>
                <w:szCs w:val="20"/>
              </w:rPr>
            </w:pPr>
            <w:r>
              <w:rPr>
                <w:szCs w:val="20"/>
              </w:rPr>
              <w:t>Dist</w:t>
            </w:r>
            <w:r w:rsidR="007954CB" w:rsidRPr="007954CB">
              <w:rPr>
                <w:szCs w:val="20"/>
              </w:rPr>
              <w:t>r.:</w:t>
            </w:r>
            <w:r>
              <w:rPr>
                <w:szCs w:val="20"/>
              </w:rPr>
              <w:t xml:space="preserve"> General</w:t>
            </w:r>
          </w:p>
          <w:p w14:paraId="7F5F4800" w14:textId="228EB708" w:rsidR="000A23B7" w:rsidRDefault="00D2562D" w:rsidP="000A23B7">
            <w:pPr>
              <w:bidi w:val="0"/>
              <w:spacing w:line="240" w:lineRule="exact"/>
              <w:jc w:val="left"/>
              <w:rPr>
                <w:szCs w:val="20"/>
              </w:rPr>
            </w:pPr>
            <w:r w:rsidRPr="00AA67D7">
              <w:rPr>
                <w:szCs w:val="20"/>
              </w:rPr>
              <w:t>21</w:t>
            </w:r>
            <w:r>
              <w:rPr>
                <w:szCs w:val="20"/>
              </w:rPr>
              <w:t xml:space="preserve"> March </w:t>
            </w:r>
            <w:r w:rsidR="000A23B7" w:rsidRPr="00AA67D7">
              <w:rPr>
                <w:szCs w:val="20"/>
              </w:rPr>
              <w:t>2023</w:t>
            </w:r>
          </w:p>
          <w:p w14:paraId="0CA606DA" w14:textId="77777777" w:rsidR="000A23B7" w:rsidRDefault="000A23B7" w:rsidP="000A23B7">
            <w:pPr>
              <w:bidi w:val="0"/>
              <w:spacing w:line="240" w:lineRule="exact"/>
              <w:jc w:val="left"/>
              <w:rPr>
                <w:szCs w:val="20"/>
              </w:rPr>
            </w:pPr>
            <w:r>
              <w:rPr>
                <w:szCs w:val="20"/>
              </w:rPr>
              <w:t>Arabic</w:t>
            </w:r>
          </w:p>
          <w:p w14:paraId="25761F16" w14:textId="47448406" w:rsidR="000A23B7" w:rsidRPr="000A23B7" w:rsidRDefault="000A23B7" w:rsidP="000A23B7">
            <w:pPr>
              <w:bidi w:val="0"/>
              <w:spacing w:line="240" w:lineRule="exact"/>
              <w:jc w:val="left"/>
              <w:rPr>
                <w:szCs w:val="20"/>
              </w:rPr>
            </w:pPr>
            <w:r>
              <w:rPr>
                <w:szCs w:val="20"/>
              </w:rPr>
              <w:t>Origina</w:t>
            </w:r>
            <w:r w:rsidR="007954CB" w:rsidRPr="007954CB">
              <w:rPr>
                <w:szCs w:val="20"/>
              </w:rPr>
              <w:t xml:space="preserve">l: </w:t>
            </w:r>
            <w:r>
              <w:rPr>
                <w:szCs w:val="20"/>
              </w:rPr>
              <w:t>English</w:t>
            </w:r>
          </w:p>
        </w:tc>
      </w:tr>
    </w:tbl>
    <w:p w14:paraId="20869D4C" w14:textId="77777777" w:rsidR="00D2562D" w:rsidRPr="00AA67D7" w:rsidRDefault="00D2562D" w:rsidP="007954CB">
      <w:pPr>
        <w:pStyle w:val="SingleTxtGA"/>
        <w:spacing w:before="120" w:after="0"/>
        <w:ind w:left="0" w:right="284"/>
        <w:jc w:val="left"/>
        <w:rPr>
          <w:b/>
          <w:bCs/>
          <w:sz w:val="26"/>
          <w:szCs w:val="26"/>
          <w:lang w:val="ar-SA" w:eastAsia="zh-TW" w:bidi="en-GB"/>
        </w:rPr>
      </w:pPr>
      <w:r w:rsidRPr="00AA67D7">
        <w:rPr>
          <w:b/>
          <w:bCs/>
          <w:sz w:val="26"/>
          <w:szCs w:val="26"/>
          <w:rtl/>
        </w:rPr>
        <w:t>اللجنة المعنية بحقوق الإنسان</w:t>
      </w:r>
    </w:p>
    <w:p w14:paraId="674D3776" w14:textId="5AAFA725" w:rsidR="00D2562D" w:rsidRPr="00AA67D7" w:rsidRDefault="00D2562D" w:rsidP="00D2562D">
      <w:pPr>
        <w:pStyle w:val="HChGA"/>
        <w:rPr>
          <w:lang w:val="en-US" w:eastAsia="zh-TW" w:bidi="en-GB"/>
        </w:rPr>
      </w:pPr>
      <w:r w:rsidRPr="00AA67D7">
        <w:rPr>
          <w:rtl/>
        </w:rPr>
        <w:tab/>
      </w:r>
      <w:r w:rsidRPr="00AA67D7">
        <w:rPr>
          <w:rtl/>
        </w:rPr>
        <w:tab/>
        <w:t>تقرير متابعة مرحلي بشأن البلاغات الفردية</w:t>
      </w:r>
      <w:r w:rsidR="006978E0" w:rsidRPr="00AA67D7">
        <w:rPr>
          <w:rStyle w:val="FootnoteReference"/>
          <w:sz w:val="26"/>
          <w:szCs w:val="26"/>
          <w:vertAlign w:val="baseline"/>
          <w:rtl/>
          <w:lang w:val="en-US" w:eastAsia="zh-TW"/>
        </w:rPr>
        <w:footnoteReference w:customMarkFollows="1" w:id="1"/>
        <w:t>*</w:t>
      </w:r>
    </w:p>
    <w:p w14:paraId="18559551" w14:textId="1997D13E" w:rsidR="00D2562D" w:rsidRPr="00AA67D7" w:rsidRDefault="00D2562D" w:rsidP="00D2562D">
      <w:pPr>
        <w:pStyle w:val="H1GA"/>
        <w:rPr>
          <w:lang w:val="en-US" w:eastAsia="zh-TW" w:bidi="en-GB"/>
        </w:rPr>
      </w:pPr>
      <w:r w:rsidRPr="00AA67D7">
        <w:rPr>
          <w:rtl/>
        </w:rPr>
        <w:tab/>
        <w:t>ألف-</w:t>
      </w:r>
      <w:r w:rsidRPr="00AA67D7">
        <w:rPr>
          <w:rtl/>
        </w:rPr>
        <w:tab/>
        <w:t>مقدمة</w:t>
      </w:r>
    </w:p>
    <w:p w14:paraId="264E0A09" w14:textId="0C9F8FBD" w:rsidR="00D2562D" w:rsidRPr="00D2562D" w:rsidRDefault="00D2562D" w:rsidP="009A6E88">
      <w:pPr>
        <w:pStyle w:val="SingleTxtGA"/>
        <w:rPr>
          <w:lang w:val="ar-SA" w:eastAsia="zh-TW" w:bidi="en-GB"/>
        </w:rPr>
      </w:pPr>
      <w:r w:rsidRPr="00AA67D7">
        <w:rPr>
          <w:rtl/>
        </w:rPr>
        <w:t>1</w:t>
      </w:r>
      <w:r w:rsidRPr="00D2562D">
        <w:rPr>
          <w:rtl/>
        </w:rPr>
        <w:t>-</w:t>
      </w:r>
      <w:r w:rsidRPr="00D2562D">
        <w:rPr>
          <w:rtl/>
        </w:rPr>
        <w:tab/>
        <w:t xml:space="preserve">حددت اللجنة المعنية بحقوق الإنسان، في دورتها التاسعة والثلاثين، الإجراء اللازم وعينت مقرراً خاصاً لرصد متابعة آرائها المعتمدة بموجب المادة </w:t>
      </w:r>
      <w:r w:rsidRPr="00AA67D7">
        <w:rPr>
          <w:rtl/>
        </w:rPr>
        <w:t>5</w:t>
      </w:r>
      <w:r w:rsidRPr="00D2562D">
        <w:rPr>
          <w:rtl/>
        </w:rPr>
        <w:t>(</w:t>
      </w:r>
      <w:r w:rsidR="007954CB" w:rsidRPr="00AA67D7">
        <w:rPr>
          <w:rtl/>
        </w:rPr>
        <w:t>4</w:t>
      </w:r>
      <w:r w:rsidR="007954CB" w:rsidRPr="007954CB">
        <w:rPr>
          <w:rtl/>
        </w:rPr>
        <w:t xml:space="preserve">) </w:t>
      </w:r>
      <w:r w:rsidRPr="00D2562D">
        <w:rPr>
          <w:rtl/>
        </w:rPr>
        <w:t xml:space="preserve">من البروتوكول الاختياري الملحق بالعهد. وأعدّ المقرر الخاص المعني بمتابعة الآراء هذا التقرير وفقاً للمادة </w:t>
      </w:r>
      <w:r w:rsidRPr="00AA67D7">
        <w:rPr>
          <w:rtl/>
        </w:rPr>
        <w:t>106</w:t>
      </w:r>
      <w:r w:rsidRPr="00D2562D">
        <w:rPr>
          <w:rtl/>
        </w:rPr>
        <w:t>(</w:t>
      </w:r>
      <w:r w:rsidR="007954CB" w:rsidRPr="00AA67D7">
        <w:rPr>
          <w:rtl/>
        </w:rPr>
        <w:t>3</w:t>
      </w:r>
      <w:r w:rsidR="007954CB" w:rsidRPr="007954CB">
        <w:rPr>
          <w:rtl/>
        </w:rPr>
        <w:t xml:space="preserve">) </w:t>
      </w:r>
      <w:r w:rsidRPr="00D2562D">
        <w:rPr>
          <w:rtl/>
        </w:rPr>
        <w:t>من النظام الداخلي للجنة. وفي ضوء العدد الكبير من الآراء التي يلزم إجراء متابعة بشأنها والموارد المحدودة التي يمكن أن تخصصها الأمانة لهذا الغرض، كان ولا يزال من المستحيل ضمان متابعة منهجية وشاملة وفي الوقت المناسب لجميع القضايا، لا سيما بالنظر إلى القيود المفروضة على عدد الكلمات. ولذلك، يستند هذا التقرير حصراً إلى المعلومات المتاحة ويعكس جولة واحدة على الأقل من المحادثات مع الدولة الطرف وصاحب(ة) البلاغ أو أصحاب البلاغات و/أو محاميهم.</w:t>
      </w:r>
    </w:p>
    <w:p w14:paraId="1AE3CB4C" w14:textId="77777777" w:rsidR="00D2562D" w:rsidRPr="00D2562D" w:rsidRDefault="00D2562D" w:rsidP="00D2562D">
      <w:pPr>
        <w:pStyle w:val="SingleTxtGA"/>
        <w:rPr>
          <w:rFonts w:eastAsiaTheme="minorEastAsia"/>
          <w:lang w:val="ar-SA" w:eastAsia="zh-TW" w:bidi="en-GB"/>
        </w:rPr>
      </w:pPr>
      <w:r w:rsidRPr="00AA67D7">
        <w:rPr>
          <w:rFonts w:eastAsiaTheme="minorEastAsia"/>
          <w:rtl/>
        </w:rPr>
        <w:t>2</w:t>
      </w:r>
      <w:r w:rsidRPr="00D2562D">
        <w:rPr>
          <w:rFonts w:eastAsiaTheme="minorEastAsia"/>
          <w:rtl/>
        </w:rPr>
        <w:t>-</w:t>
      </w:r>
      <w:r w:rsidRPr="00D2562D">
        <w:rPr>
          <w:rFonts w:eastAsiaTheme="minorEastAsia"/>
          <w:rtl/>
        </w:rPr>
        <w:tab/>
        <w:t xml:space="preserve">وبموجب المنهجية الحالية، تظل القضية قيد تدقيق اللجنة الفعلي ما لم تتوصل إلى قرار مفاده أن آراءها قد نُفذت تنفيذاً مرضياً وتغلق القضية. وفي ضوء العدد القليل من القضايا التي أُغلقت، وتزايد عدد القضايا التي اعتمدتها اللجنة، والتي يلزم بالتالي متابعتها، فإن العدد الإجمالي للقضايا الخاضعة لإجراءات المتابعة ما فتئ يتزايد باطراد. ولذلك، يقترح المقرر الخاص المعني بمتابعة الآراء، سعياً منه إلى ترشيد العمل المتعلق بالمتابعة، تعديل منهجية إعداد التقارير وحالة القضايا عن طريق وضع قائمة بالأولويات بالاستناد إلى معايير موضوعية. وعليه، يقترح المقرر الخاص، من حيث المبدأ، أن تقوم اللجنة بما يلي: (أ) إغلاق القضايا التي قررت فيها أن التنفيذ كان مُرضياً أو مُرضياً جزئياً؛ (ب) الإبقاء على القضايا التي يتعين عليها مواصلة الحوار بشأنها؛ (ج) تعليق القضايا التي لم تقدِّم الدولة الطرف المعنية أو صاحب(ة) (أصحاب) البلاغ و/أو محاميهم معلومات إضافية بشأنها في السنوات الخمس الماضية، وإدراجها في فئة منفصلة تضم "القضايا التي لا تتوافر معلومات كافية عن تنفيذها تنفيذاً مُرضياً". ولن يُتوقع من اللجنة أن تكفل أي متابعة استباقية لمثل هذه القضايا، ما لم يقدم أحد الطرفين معلومات محدثة. وستحظى القضايا الحديثة والقضايا التي يقوم أحد الطرفين أو كلاهما بتزويد اللجنة بمعلومات منتظمة عنها بالأولوية وستكون موضع تركيزها. ويأمل المقرر الخاص أن يؤدي هذا التعديل إلى خفض عدد القضايا التي تتطلب متابعة استباقية. وبالإضافة إلى ذلك، يقترح المقرر الخاص وضع </w:t>
      </w:r>
      <w:r w:rsidRPr="00D2562D">
        <w:rPr>
          <w:rFonts w:eastAsiaTheme="minorEastAsia"/>
          <w:rtl/>
        </w:rPr>
        <w:lastRenderedPageBreak/>
        <w:t>استراتيجية لضمان التنسيق مع قائمة الدول الأطراف التي من المقرر أن تحضر اجتماعات اللجنة التي ستُدرس تقاريرها خلالها. وعند الاقتضاء، سيتم إعداد صفحة قطرية عن متابعة الآراء ونشرها على موقع اللجنة الشبكي. وستكمل هذه الصفحات القطرية القائمة العالمية المتداولة للقضايا الخاضعة لإجراءات المتابعة النشطة. وستكون القائمة العالمية والصفحات القطرية متاحة على موقع اللجنة الشبكي، وسيتم تحديثها بانتظام.</w:t>
      </w:r>
      <w:bookmarkStart w:id="0" w:name="_Hlk53733841"/>
      <w:bookmarkStart w:id="1" w:name="_Hlk22118425"/>
      <w:bookmarkEnd w:id="0"/>
      <w:bookmarkEnd w:id="1"/>
    </w:p>
    <w:p w14:paraId="7D96AAEB" w14:textId="6A76577A" w:rsidR="007954CB" w:rsidRPr="007954CB" w:rsidRDefault="00D2562D" w:rsidP="00D2562D">
      <w:pPr>
        <w:pStyle w:val="SingleTxtGA"/>
        <w:rPr>
          <w:rFonts w:eastAsiaTheme="minorEastAsia"/>
          <w:lang w:val="ar-SA" w:eastAsia="zh-TW" w:bidi="en-GB"/>
        </w:rPr>
      </w:pPr>
      <w:r w:rsidRPr="00AA67D7">
        <w:rPr>
          <w:rFonts w:eastAsiaTheme="minorEastAsia"/>
          <w:rtl/>
        </w:rPr>
        <w:t>3</w:t>
      </w:r>
      <w:r w:rsidRPr="00D2562D">
        <w:rPr>
          <w:rFonts w:eastAsiaTheme="minorEastAsia"/>
          <w:rtl/>
        </w:rPr>
        <w:t>-</w:t>
      </w:r>
      <w:r w:rsidRPr="006978E0">
        <w:rPr>
          <w:rFonts w:eastAsiaTheme="minorEastAsia"/>
          <w:spacing w:val="-4"/>
          <w:rtl/>
        </w:rPr>
        <w:tab/>
        <w:t xml:space="preserve">وفي نهاية الدورة </w:t>
      </w:r>
      <w:r w:rsidRPr="00AA67D7">
        <w:rPr>
          <w:rFonts w:eastAsiaTheme="minorEastAsia"/>
          <w:spacing w:val="-4"/>
          <w:rtl/>
        </w:rPr>
        <w:t>127</w:t>
      </w:r>
      <w:r w:rsidRPr="006978E0">
        <w:rPr>
          <w:rFonts w:eastAsiaTheme="minorEastAsia"/>
          <w:spacing w:val="-4"/>
          <w:rtl/>
        </w:rPr>
        <w:t xml:space="preserve">، خلصت اللجنة إلى حدوث انتهاك للعهد في </w:t>
      </w:r>
      <w:r w:rsidRPr="00AA67D7">
        <w:rPr>
          <w:rFonts w:eastAsiaTheme="minorEastAsia"/>
          <w:spacing w:val="-4"/>
          <w:rtl/>
        </w:rPr>
        <w:t>157</w:t>
      </w:r>
      <w:r w:rsidRPr="006978E0">
        <w:rPr>
          <w:rFonts w:eastAsiaTheme="minorEastAsia"/>
          <w:spacing w:val="-4"/>
          <w:rtl/>
        </w:rPr>
        <w:t xml:space="preserve"> </w:t>
      </w:r>
      <w:r w:rsidRPr="00AA67D7">
        <w:rPr>
          <w:rFonts w:eastAsiaTheme="minorEastAsia"/>
          <w:spacing w:val="-4"/>
          <w:rtl/>
        </w:rPr>
        <w:t>1</w:t>
      </w:r>
      <w:r w:rsidRPr="006978E0">
        <w:rPr>
          <w:rFonts w:eastAsiaTheme="minorEastAsia"/>
          <w:spacing w:val="-4"/>
          <w:rtl/>
        </w:rPr>
        <w:t xml:space="preserve"> رأياً من أصل </w:t>
      </w:r>
      <w:r w:rsidRPr="00AA67D7">
        <w:rPr>
          <w:rFonts w:eastAsiaTheme="minorEastAsia"/>
          <w:spacing w:val="-4"/>
          <w:rtl/>
        </w:rPr>
        <w:t>396</w:t>
      </w:r>
      <w:r w:rsidRPr="006978E0">
        <w:rPr>
          <w:rFonts w:eastAsiaTheme="minorEastAsia"/>
          <w:spacing w:val="-4"/>
          <w:rtl/>
        </w:rPr>
        <w:t xml:space="preserve"> </w:t>
      </w:r>
      <w:r w:rsidRPr="00AA67D7">
        <w:rPr>
          <w:rFonts w:eastAsiaTheme="minorEastAsia"/>
          <w:spacing w:val="-4"/>
          <w:rtl/>
        </w:rPr>
        <w:t>1</w:t>
      </w:r>
      <w:r w:rsidRPr="006978E0">
        <w:rPr>
          <w:rFonts w:eastAsiaTheme="minorEastAsia"/>
          <w:spacing w:val="-4"/>
          <w:rtl/>
        </w:rPr>
        <w:t xml:space="preserve"> رأياً من الآراء</w:t>
      </w:r>
      <w:r w:rsidRPr="00D2562D">
        <w:rPr>
          <w:rFonts w:eastAsiaTheme="minorEastAsia"/>
          <w:rtl/>
        </w:rPr>
        <w:t xml:space="preserve"> التي اعتمدتها منذ عام </w:t>
      </w:r>
      <w:r w:rsidRPr="00AA67D7">
        <w:rPr>
          <w:rFonts w:eastAsiaTheme="minorEastAsia"/>
          <w:rtl/>
        </w:rPr>
        <w:t>197</w:t>
      </w:r>
      <w:r w:rsidR="007954CB" w:rsidRPr="00AA67D7">
        <w:rPr>
          <w:rFonts w:eastAsiaTheme="minorEastAsia"/>
          <w:rtl/>
        </w:rPr>
        <w:t>9</w:t>
      </w:r>
      <w:r w:rsidR="007954CB" w:rsidRPr="007954CB">
        <w:rPr>
          <w:rFonts w:eastAsiaTheme="minorEastAsia"/>
          <w:rtl/>
        </w:rPr>
        <w:t>.</w:t>
      </w:r>
    </w:p>
    <w:p w14:paraId="44E85C2E" w14:textId="182801F8" w:rsidR="00D2562D" w:rsidRPr="00D2562D" w:rsidRDefault="00D2562D" w:rsidP="00D2562D">
      <w:pPr>
        <w:pStyle w:val="SingleTxtGA"/>
        <w:rPr>
          <w:rFonts w:eastAsiaTheme="minorEastAsia"/>
          <w:lang w:val="ar-SA" w:eastAsia="zh-TW" w:bidi="en-GB"/>
        </w:rPr>
      </w:pPr>
      <w:r w:rsidRPr="00AA67D7">
        <w:rPr>
          <w:rFonts w:eastAsiaTheme="minorEastAsia"/>
          <w:rtl/>
        </w:rPr>
        <w:t>4</w:t>
      </w:r>
      <w:r w:rsidRPr="00D2562D">
        <w:rPr>
          <w:rFonts w:eastAsiaTheme="minorEastAsia"/>
          <w:rtl/>
        </w:rPr>
        <w:t>-</w:t>
      </w:r>
      <w:r w:rsidRPr="00D2562D">
        <w:rPr>
          <w:rFonts w:eastAsiaTheme="minorEastAsia"/>
          <w:rtl/>
        </w:rPr>
        <w:tab/>
        <w:t xml:space="preserve">وقررت اللجنة، في دورتها </w:t>
      </w:r>
      <w:r w:rsidRPr="00AA67D7">
        <w:rPr>
          <w:rFonts w:eastAsiaTheme="minorEastAsia"/>
          <w:rtl/>
        </w:rPr>
        <w:t>109</w:t>
      </w:r>
      <w:r w:rsidRPr="00D2562D">
        <w:rPr>
          <w:rFonts w:eastAsiaTheme="minorEastAsia"/>
          <w:rtl/>
        </w:rPr>
        <w:t>، أن تدرج في تقاريرها المتعلقة بمتابعة الآراء تقييماً للردود الواردة من الدول الأطراف وللإجراءات التي اتخذتها. ويستند التقييم إلى معايير مماثلة لتلك التي طبقتها اللجنة في إجراءات متابعة ملاحظاتها الختامية.</w:t>
      </w:r>
    </w:p>
    <w:p w14:paraId="21253A96" w14:textId="5B238F77" w:rsidR="00D2562D" w:rsidRPr="00D2562D" w:rsidRDefault="00D2562D" w:rsidP="00D2562D">
      <w:pPr>
        <w:pStyle w:val="SingleTxtGA"/>
        <w:rPr>
          <w:rFonts w:eastAsiaTheme="minorEastAsia"/>
          <w:lang w:val="ar-SA" w:eastAsia="zh-TW" w:bidi="en-GB"/>
        </w:rPr>
      </w:pPr>
      <w:r w:rsidRPr="00AA67D7">
        <w:rPr>
          <w:rFonts w:eastAsiaTheme="minorEastAsia"/>
          <w:rtl/>
        </w:rPr>
        <w:t>5</w:t>
      </w:r>
      <w:r w:rsidRPr="00D2562D">
        <w:rPr>
          <w:rFonts w:eastAsiaTheme="minorEastAsia"/>
          <w:rtl/>
        </w:rPr>
        <w:t>-</w:t>
      </w:r>
      <w:r w:rsidRPr="00D2562D">
        <w:rPr>
          <w:rFonts w:eastAsiaTheme="minorEastAsia"/>
          <w:rtl/>
        </w:rPr>
        <w:tab/>
        <w:t xml:space="preserve">وقررت اللجنة، في دورتها </w:t>
      </w:r>
      <w:r w:rsidRPr="00AA67D7">
        <w:rPr>
          <w:rFonts w:eastAsiaTheme="minorEastAsia"/>
          <w:rtl/>
        </w:rPr>
        <w:t>118</w:t>
      </w:r>
      <w:r w:rsidRPr="00D2562D">
        <w:rPr>
          <w:rFonts w:eastAsiaTheme="minorEastAsia"/>
          <w:rtl/>
        </w:rPr>
        <w:t xml:space="preserve"> (</w:t>
      </w:r>
      <w:r w:rsidRPr="00AA67D7">
        <w:rPr>
          <w:rFonts w:eastAsiaTheme="minorEastAsia"/>
          <w:rtl/>
        </w:rPr>
        <w:t>17</w:t>
      </w:r>
      <w:r w:rsidRPr="00D2562D">
        <w:rPr>
          <w:rFonts w:eastAsiaTheme="minorEastAsia"/>
          <w:rtl/>
        </w:rPr>
        <w:t xml:space="preserve"> تشرين الأول/أكتوبر - </w:t>
      </w:r>
      <w:r w:rsidRPr="00AA67D7">
        <w:rPr>
          <w:rFonts w:eastAsiaTheme="minorEastAsia"/>
          <w:rtl/>
        </w:rPr>
        <w:t>4</w:t>
      </w:r>
      <w:r w:rsidRPr="00D2562D">
        <w:rPr>
          <w:rFonts w:eastAsiaTheme="minorEastAsia"/>
          <w:rtl/>
        </w:rPr>
        <w:t xml:space="preserve"> تشرين الثاني/نوفمبر </w:t>
      </w:r>
      <w:r w:rsidRPr="00AA67D7">
        <w:rPr>
          <w:rFonts w:eastAsiaTheme="minorEastAsia"/>
          <w:rtl/>
        </w:rPr>
        <w:t>2016</w:t>
      </w:r>
      <w:r w:rsidR="007954CB" w:rsidRPr="007954CB">
        <w:rPr>
          <w:rFonts w:eastAsiaTheme="minorEastAsia"/>
          <w:rtl/>
        </w:rPr>
        <w:t xml:space="preserve">)، </w:t>
      </w:r>
      <w:r w:rsidRPr="00D2562D">
        <w:rPr>
          <w:rFonts w:eastAsiaTheme="minorEastAsia"/>
          <w:rtl/>
        </w:rPr>
        <w:t>أن تنقح معايير التقييم التي تتبعها.</w:t>
      </w:r>
    </w:p>
    <w:p w14:paraId="715B42CF" w14:textId="43844004" w:rsidR="007954CB" w:rsidRPr="00AA67D7" w:rsidRDefault="00D2562D" w:rsidP="006978E0">
      <w:pPr>
        <w:pStyle w:val="H23GA"/>
        <w:rPr>
          <w:lang w:val="ar-SA" w:eastAsia="zh-TW" w:bidi="en-GB"/>
        </w:rPr>
      </w:pPr>
      <w:r w:rsidRPr="00AA67D7">
        <w:rPr>
          <w:rtl/>
        </w:rPr>
        <w:tab/>
      </w:r>
      <w:r w:rsidRPr="00AA67D7">
        <w:rPr>
          <w:rtl/>
        </w:rPr>
        <w:tab/>
        <w:t>معايير التقييم (بالصيغة المنقحة أثناء الدورة 11</w:t>
      </w:r>
      <w:r w:rsidR="007954CB" w:rsidRPr="00AA67D7">
        <w:rPr>
          <w:rtl/>
        </w:rPr>
        <w:t>8)</w:t>
      </w:r>
    </w:p>
    <w:p w14:paraId="7B7C932E" w14:textId="551EE34D" w:rsidR="00D2562D" w:rsidRPr="00546212" w:rsidRDefault="00D2562D" w:rsidP="006978E0">
      <w:pPr>
        <w:pStyle w:val="H56GA"/>
        <w:rPr>
          <w:lang w:val="ar-SA" w:eastAsia="zh-TW" w:bidi="en-GB"/>
        </w:rPr>
      </w:pPr>
      <w:r w:rsidRPr="00AA67D7">
        <w:rPr>
          <w:bCs/>
          <w:rtl/>
        </w:rPr>
        <w:tab/>
      </w:r>
      <w:r w:rsidRPr="00AA67D7">
        <w:rPr>
          <w:bCs/>
          <w:rtl/>
        </w:rPr>
        <w:tab/>
      </w:r>
      <w:r w:rsidRPr="00546212">
        <w:rPr>
          <w:rtl/>
        </w:rPr>
        <w:t>تقييم الردود</w:t>
      </w:r>
      <w:r w:rsidRPr="00AA67D7">
        <w:rPr>
          <w:bCs/>
          <w:rtl/>
        </w:rPr>
        <w:t>:</w:t>
      </w:r>
    </w:p>
    <w:p w14:paraId="752743BE" w14:textId="77777777" w:rsidR="00D2562D" w:rsidRPr="00D2562D" w:rsidRDefault="00D2562D" w:rsidP="006978E0">
      <w:pPr>
        <w:pStyle w:val="SingleTxtGA"/>
        <w:ind w:left="1928" w:hanging="681"/>
        <w:rPr>
          <w:rFonts w:eastAsiaTheme="minorEastAsia"/>
          <w:lang w:val="ar-SA" w:eastAsia="zh-TW" w:bidi="en-GB"/>
        </w:rPr>
      </w:pPr>
      <w:r w:rsidRPr="00AA67D7">
        <w:rPr>
          <w:rFonts w:eastAsiaTheme="minorEastAsia"/>
          <w:b/>
          <w:bCs/>
          <w:rtl/>
        </w:rPr>
        <w:t>ألف</w:t>
      </w:r>
      <w:r w:rsidRPr="00D2562D">
        <w:rPr>
          <w:rFonts w:eastAsiaTheme="minorEastAsia"/>
          <w:rtl/>
        </w:rPr>
        <w:tab/>
      </w:r>
      <w:r w:rsidRPr="00AA67D7">
        <w:rPr>
          <w:rFonts w:eastAsiaTheme="minorEastAsia"/>
          <w:b/>
          <w:bCs/>
          <w:rtl/>
        </w:rPr>
        <w:t>ردٌ/إجراءٌ مُرضٍ إلى حد بعيد</w:t>
      </w:r>
      <w:r w:rsidRPr="00D2562D">
        <w:rPr>
          <w:rFonts w:eastAsiaTheme="minorEastAsia"/>
          <w:rtl/>
        </w:rPr>
        <w:t>: قدمت الدولة الطرف أدلة على اتخاذ إجراءات هامة لتنفيذ توصية اللجنة.</w:t>
      </w:r>
    </w:p>
    <w:p w14:paraId="7E5ECFEC" w14:textId="77777777" w:rsidR="00D2562D" w:rsidRPr="00D2562D" w:rsidRDefault="00D2562D" w:rsidP="006978E0">
      <w:pPr>
        <w:pStyle w:val="SingleTxtGA"/>
        <w:ind w:left="1928" w:hanging="681"/>
        <w:rPr>
          <w:rFonts w:eastAsiaTheme="minorEastAsia"/>
          <w:lang w:val="ar-SA" w:eastAsia="zh-TW" w:bidi="en-GB"/>
        </w:rPr>
      </w:pPr>
      <w:r w:rsidRPr="00AA67D7">
        <w:rPr>
          <w:rFonts w:eastAsiaTheme="minorEastAsia"/>
          <w:b/>
          <w:bCs/>
          <w:rtl/>
        </w:rPr>
        <w:t>باء</w:t>
      </w:r>
      <w:r w:rsidRPr="00D2562D">
        <w:rPr>
          <w:rFonts w:eastAsiaTheme="minorEastAsia"/>
          <w:rtl/>
        </w:rPr>
        <w:tab/>
      </w:r>
      <w:r w:rsidRPr="00AA67D7">
        <w:rPr>
          <w:rFonts w:eastAsiaTheme="minorEastAsia"/>
          <w:b/>
          <w:bCs/>
          <w:rtl/>
        </w:rPr>
        <w:t>ردٌ/إجراءٌ مُرضٍ جزئياً</w:t>
      </w:r>
      <w:r w:rsidRPr="00D2562D">
        <w:rPr>
          <w:rFonts w:eastAsiaTheme="minorEastAsia"/>
          <w:rtl/>
        </w:rPr>
        <w:t>: خطت الدولة الطرف خطوات لتنفيذ التوصية، لكن لا يزال يتعيّن عليها تقديم معلومات إضافية أو اتخاذ مزيد من الإجراءات.</w:t>
      </w:r>
    </w:p>
    <w:p w14:paraId="165B9356" w14:textId="77777777" w:rsidR="00D2562D" w:rsidRPr="00D2562D" w:rsidRDefault="00D2562D" w:rsidP="006978E0">
      <w:pPr>
        <w:pStyle w:val="SingleTxtGA"/>
        <w:ind w:left="1928" w:hanging="681"/>
        <w:rPr>
          <w:rFonts w:eastAsiaTheme="minorEastAsia"/>
          <w:lang w:val="ar-SA" w:eastAsia="zh-TW" w:bidi="en-GB"/>
        </w:rPr>
      </w:pPr>
      <w:r w:rsidRPr="00AA67D7">
        <w:rPr>
          <w:rFonts w:eastAsiaTheme="minorEastAsia"/>
          <w:b/>
          <w:bCs/>
          <w:rtl/>
        </w:rPr>
        <w:t>جيم</w:t>
      </w:r>
      <w:r w:rsidRPr="00D2562D">
        <w:rPr>
          <w:rFonts w:eastAsiaTheme="minorEastAsia"/>
          <w:rtl/>
        </w:rPr>
        <w:tab/>
      </w:r>
      <w:r w:rsidRPr="00AA67D7">
        <w:rPr>
          <w:rFonts w:eastAsiaTheme="minorEastAsia"/>
          <w:b/>
          <w:bCs/>
          <w:rtl/>
        </w:rPr>
        <w:t>ردٌ/إجراءٌ غير مُرضٍ</w:t>
      </w:r>
      <w:r w:rsidRPr="00D2562D">
        <w:rPr>
          <w:rFonts w:eastAsiaTheme="minorEastAsia"/>
          <w:rtl/>
        </w:rPr>
        <w:t>: ورد ردٌ ولكن الإجراءات التي اتخذتها الدولة الطرف أو المعلومات التي قدمتها هي إما غير ملائمة أو لا تفضي إلى تنفيذ التوصيات.</w:t>
      </w:r>
    </w:p>
    <w:p w14:paraId="523014CC"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دال</w:t>
      </w:r>
      <w:r w:rsidRPr="00D2562D">
        <w:rPr>
          <w:rFonts w:eastAsiaTheme="minorEastAsia"/>
          <w:rtl/>
        </w:rPr>
        <w:tab/>
      </w:r>
      <w:r w:rsidRPr="00AA67D7">
        <w:rPr>
          <w:rFonts w:eastAsiaTheme="minorEastAsia"/>
          <w:b/>
          <w:bCs/>
          <w:rtl/>
        </w:rPr>
        <w:t>عدم التعاون مع اللجنة</w:t>
      </w:r>
      <w:r w:rsidRPr="00D2562D">
        <w:rPr>
          <w:rFonts w:eastAsiaTheme="minorEastAsia"/>
          <w:rtl/>
        </w:rPr>
        <w:t>: لم يرد أي تقرير متابعة بعد توجيه رسالة (رسائل) تذكير.</w:t>
      </w:r>
    </w:p>
    <w:p w14:paraId="199AA5B0"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هاء</w:t>
      </w:r>
      <w:r w:rsidRPr="00D2562D">
        <w:rPr>
          <w:rFonts w:eastAsiaTheme="minorEastAsia"/>
          <w:rtl/>
        </w:rPr>
        <w:tab/>
      </w:r>
      <w:r w:rsidRPr="00AA67D7">
        <w:rPr>
          <w:rFonts w:eastAsiaTheme="minorEastAsia"/>
          <w:b/>
          <w:bCs/>
          <w:rtl/>
        </w:rPr>
        <w:t>المعلومات المقدمة أو التدابير المتخذة تتنافى مع التوصية أو تنم عن رفضها.</w:t>
      </w:r>
    </w:p>
    <w:p w14:paraId="5CD300AA" w14:textId="77777777" w:rsidR="00D2562D" w:rsidRPr="00D2562D" w:rsidRDefault="00D2562D" w:rsidP="00D2562D">
      <w:pPr>
        <w:pStyle w:val="SingleTxtGA"/>
        <w:rPr>
          <w:rFonts w:eastAsiaTheme="minorEastAsia"/>
          <w:lang w:val="ar-SA" w:eastAsia="zh-TW" w:bidi="en-GB"/>
        </w:rPr>
      </w:pPr>
      <w:r w:rsidRPr="00AA67D7">
        <w:rPr>
          <w:rFonts w:eastAsiaTheme="minorEastAsia"/>
          <w:rtl/>
        </w:rPr>
        <w:t>6</w:t>
      </w:r>
      <w:r w:rsidRPr="00D2562D">
        <w:rPr>
          <w:rFonts w:eastAsiaTheme="minorEastAsia"/>
          <w:rtl/>
        </w:rPr>
        <w:t>-</w:t>
      </w:r>
      <w:r w:rsidRPr="00D2562D">
        <w:rPr>
          <w:rFonts w:eastAsiaTheme="minorEastAsia"/>
          <w:rtl/>
        </w:rPr>
        <w:tab/>
        <w:t xml:space="preserve">وقررت اللجنة، في دورتها </w:t>
      </w:r>
      <w:r w:rsidRPr="00AA67D7">
        <w:rPr>
          <w:rFonts w:eastAsiaTheme="minorEastAsia"/>
          <w:rtl/>
        </w:rPr>
        <w:t>121</w:t>
      </w:r>
      <w:r w:rsidRPr="00D2562D">
        <w:rPr>
          <w:rFonts w:eastAsiaTheme="minorEastAsia"/>
          <w:rtl/>
        </w:rPr>
        <w:t xml:space="preserve">، المعقودة في </w:t>
      </w:r>
      <w:r w:rsidRPr="00AA67D7">
        <w:rPr>
          <w:rFonts w:eastAsiaTheme="minorEastAsia"/>
          <w:rtl/>
        </w:rPr>
        <w:t>9</w:t>
      </w:r>
      <w:r w:rsidRPr="00D2562D">
        <w:rPr>
          <w:rFonts w:eastAsiaTheme="minorEastAsia"/>
          <w:rtl/>
        </w:rPr>
        <w:t xml:space="preserve"> تشرين الثاني/نوفمبر </w:t>
      </w:r>
      <w:r w:rsidRPr="00AA67D7">
        <w:rPr>
          <w:rFonts w:eastAsiaTheme="minorEastAsia"/>
          <w:rtl/>
        </w:rPr>
        <w:t>2017</w:t>
      </w:r>
      <w:r w:rsidRPr="00D2562D">
        <w:rPr>
          <w:rFonts w:eastAsiaTheme="minorEastAsia"/>
          <w:rtl/>
        </w:rPr>
        <w:t>، تنقيح منهجيتها وإجراءاتها لرصد متابعة آرائها.</w:t>
      </w:r>
    </w:p>
    <w:p w14:paraId="25CD6EA6" w14:textId="77777777" w:rsidR="00D2562D" w:rsidRPr="00AA67D7" w:rsidRDefault="00D2562D" w:rsidP="006978E0">
      <w:pPr>
        <w:pStyle w:val="H56GA"/>
        <w:rPr>
          <w:b/>
          <w:lang w:val="ar-SA" w:eastAsia="zh-TW" w:bidi="en-GB"/>
        </w:rPr>
      </w:pPr>
      <w:r w:rsidRPr="00546212">
        <w:rPr>
          <w:rtl/>
        </w:rPr>
        <w:tab/>
      </w:r>
      <w:r w:rsidRPr="00546212">
        <w:rPr>
          <w:rtl/>
        </w:rPr>
        <w:tab/>
        <w:t>القرارات المتخذة:</w:t>
      </w:r>
    </w:p>
    <w:p w14:paraId="551A9791" w14:textId="77777777" w:rsidR="00D2562D" w:rsidRPr="00D2562D" w:rsidRDefault="00D2562D" w:rsidP="006978E0">
      <w:pPr>
        <w:pStyle w:val="SingleTxtGA"/>
        <w:numPr>
          <w:ilvl w:val="0"/>
          <w:numId w:val="37"/>
        </w:numPr>
        <w:tabs>
          <w:tab w:val="clear" w:pos="1928"/>
          <w:tab w:val="left" w:pos="1954"/>
        </w:tabs>
        <w:rPr>
          <w:rFonts w:eastAsiaTheme="minorEastAsia"/>
          <w:lang w:val="ar-SA" w:eastAsia="zh-TW" w:bidi="en-GB"/>
        </w:rPr>
      </w:pPr>
      <w:r w:rsidRPr="00D2562D">
        <w:rPr>
          <w:rFonts w:eastAsiaTheme="minorEastAsia"/>
          <w:rtl/>
        </w:rPr>
        <w:t>لن يُطبَّق نظام تحديد درجات المتابعة بعد الآن في القضايا التي تكون فيها الآراء قد نُشرت و/أو عُممت فقط؛</w:t>
      </w:r>
    </w:p>
    <w:p w14:paraId="78357787" w14:textId="372727DE" w:rsidR="00D2562D" w:rsidRPr="00D2562D" w:rsidRDefault="00D2562D" w:rsidP="006978E0">
      <w:pPr>
        <w:pStyle w:val="SingleTxtGA"/>
        <w:numPr>
          <w:ilvl w:val="0"/>
          <w:numId w:val="37"/>
        </w:numPr>
        <w:tabs>
          <w:tab w:val="clear" w:pos="1928"/>
          <w:tab w:val="left" w:pos="1954"/>
        </w:tabs>
        <w:rPr>
          <w:rFonts w:eastAsiaTheme="minorEastAsia"/>
          <w:lang w:val="ar-SA" w:eastAsia="zh-TW" w:bidi="en-GB"/>
        </w:rPr>
      </w:pPr>
      <w:r w:rsidRPr="00D2562D">
        <w:rPr>
          <w:rFonts w:eastAsiaTheme="minorEastAsia"/>
          <w:rtl/>
        </w:rPr>
        <w:t>لن يُطبَّق نظام تحديد درجات المتابعة على ردّ الدولة الطرف بشأن تدابير عدم التكرار إلا</w:t>
      </w:r>
      <w:r w:rsidR="00383F67">
        <w:rPr>
          <w:rFonts w:eastAsiaTheme="minorEastAsia" w:hint="cs"/>
          <w:rtl/>
        </w:rPr>
        <w:t> </w:t>
      </w:r>
      <w:r w:rsidRPr="00D2562D">
        <w:rPr>
          <w:rFonts w:eastAsiaTheme="minorEastAsia"/>
          <w:rtl/>
        </w:rPr>
        <w:t>إذا</w:t>
      </w:r>
      <w:r w:rsidR="00383F67">
        <w:rPr>
          <w:rFonts w:eastAsiaTheme="minorEastAsia" w:hint="cs"/>
          <w:rtl/>
        </w:rPr>
        <w:t> </w:t>
      </w:r>
      <w:r w:rsidRPr="00D2562D">
        <w:rPr>
          <w:rFonts w:eastAsiaTheme="minorEastAsia"/>
          <w:rtl/>
        </w:rPr>
        <w:t>أُدرجت هذه التدابير تحديداً في الآراء؛</w:t>
      </w:r>
    </w:p>
    <w:p w14:paraId="36377ECA" w14:textId="095EF8F9" w:rsidR="00D2562D" w:rsidRPr="00D2562D" w:rsidRDefault="00D2562D" w:rsidP="006978E0">
      <w:pPr>
        <w:pStyle w:val="SingleTxtGA"/>
        <w:numPr>
          <w:ilvl w:val="0"/>
          <w:numId w:val="37"/>
        </w:numPr>
        <w:tabs>
          <w:tab w:val="clear" w:pos="1928"/>
          <w:tab w:val="left" w:pos="1954"/>
        </w:tabs>
        <w:rPr>
          <w:rFonts w:eastAsiaTheme="minorEastAsia"/>
          <w:lang w:val="ar-SA" w:eastAsia="zh-TW" w:bidi="en-GB"/>
        </w:rPr>
      </w:pPr>
      <w:r w:rsidRPr="00D2562D">
        <w:rPr>
          <w:rFonts w:eastAsiaTheme="minorEastAsia"/>
          <w:rtl/>
        </w:rPr>
        <w:t>لن يتضمن تقرير المتابعة سوى معلومات عن القضايا التي تكون جاهزة لكي تحدد اللجنة درجات متابعتها، أي في القضايا التي يتوافر فيها ردّ الدولة الطرف ومعلومات من صاحب</w:t>
      </w:r>
      <w:r w:rsidR="006978E0">
        <w:rPr>
          <w:rFonts w:eastAsiaTheme="minorEastAsia" w:hint="cs"/>
          <w:rtl/>
        </w:rPr>
        <w:t> </w:t>
      </w:r>
      <w:r w:rsidRPr="00D2562D">
        <w:rPr>
          <w:rFonts w:eastAsiaTheme="minorEastAsia"/>
          <w:rtl/>
        </w:rPr>
        <w:t>البلاغ.</w:t>
      </w:r>
    </w:p>
    <w:p w14:paraId="0A07D1E5" w14:textId="16743B0B" w:rsidR="00D2562D" w:rsidRPr="00AA67D7" w:rsidRDefault="006978E0" w:rsidP="006978E0">
      <w:pPr>
        <w:pStyle w:val="H1GA"/>
        <w:rPr>
          <w:lang w:val="ar-SA" w:eastAsia="zh-TW" w:bidi="en-GB"/>
        </w:rPr>
      </w:pPr>
      <w:r w:rsidRPr="00AA67D7">
        <w:rPr>
          <w:rtl/>
        </w:rPr>
        <w:lastRenderedPageBreak/>
        <w:tab/>
      </w:r>
      <w:r w:rsidR="00D2562D" w:rsidRPr="00AA67D7">
        <w:rPr>
          <w:rtl/>
        </w:rPr>
        <w:t>باء-</w:t>
      </w:r>
      <w:r w:rsidR="00D2562D" w:rsidRPr="00AA67D7">
        <w:rPr>
          <w:rtl/>
        </w:rPr>
        <w:tab/>
        <w:t>معلومات المتابعة التي وردت وعولجت إلى غاية شباط/فبراير 2020</w:t>
      </w:r>
    </w:p>
    <w:p w14:paraId="690BEEBE" w14:textId="70365645" w:rsidR="00D2562D" w:rsidRPr="00AA67D7" w:rsidRDefault="006978E0" w:rsidP="006978E0">
      <w:pPr>
        <w:pStyle w:val="H23GA"/>
        <w:rPr>
          <w:lang w:val="ar-SA" w:eastAsia="zh-TW" w:bidi="en-GB"/>
        </w:rPr>
      </w:pPr>
      <w:r w:rsidRPr="00AA67D7">
        <w:rPr>
          <w:rtl/>
        </w:rPr>
        <w:tab/>
      </w:r>
      <w:r w:rsidR="00D2562D" w:rsidRPr="00AA67D7">
        <w:rPr>
          <w:rtl/>
        </w:rPr>
        <w:t>1-</w:t>
      </w:r>
      <w:r w:rsidR="00D2562D" w:rsidRPr="00AA67D7">
        <w:rPr>
          <w:rtl/>
        </w:rPr>
        <w:tab/>
        <w:t>إكوادور</w:t>
      </w:r>
    </w:p>
    <w:p w14:paraId="09D2E3D7" w14:textId="77777777" w:rsidR="00D2562D" w:rsidRPr="00AA67D7" w:rsidRDefault="00D2562D" w:rsidP="00D2562D">
      <w:pPr>
        <w:pStyle w:val="SingleTxtGA"/>
        <w:rPr>
          <w:rFonts w:eastAsiaTheme="minorEastAsia"/>
          <w:b/>
          <w:bCs/>
          <w:i/>
          <w:lang w:val="ar-SA" w:eastAsia="zh-TW" w:bidi="en-GB"/>
        </w:rPr>
      </w:pPr>
      <w:r w:rsidRPr="00AA67D7">
        <w:rPr>
          <w:rFonts w:eastAsiaTheme="minorEastAsia"/>
          <w:b/>
          <w:bCs/>
          <w:rtl/>
        </w:rPr>
        <w:t xml:space="preserve">البلاغ رقم 2290/2013، </w:t>
      </w:r>
      <w:r w:rsidRPr="00AA67D7">
        <w:rPr>
          <w:rFonts w:eastAsiaTheme="minorEastAsia"/>
          <w:b/>
          <w:bCs/>
          <w:i/>
          <w:iCs/>
          <w:rtl/>
        </w:rPr>
        <w:t>فوفانا</w:t>
      </w:r>
    </w:p>
    <w:p w14:paraId="7A7B6965" w14:textId="2E5DB18D" w:rsidR="00D2562D" w:rsidRPr="00D2562D" w:rsidRDefault="00D2562D" w:rsidP="00D2562D">
      <w:pPr>
        <w:pStyle w:val="SingleTxtGA"/>
        <w:rPr>
          <w:rFonts w:eastAsiaTheme="minorEastAsia"/>
          <w:lang w:val="ar-SA" w:eastAsia="zh-TW" w:bidi="en-GB"/>
        </w:rPr>
      </w:pPr>
      <w:r w:rsidRPr="00AA67D7">
        <w:rPr>
          <w:rFonts w:eastAsiaTheme="minorEastAsia"/>
          <w:b/>
          <w:bCs/>
          <w:rtl/>
        </w:rPr>
        <w:t>تاريخ اعتماد الآراء:</w:t>
      </w:r>
      <w:r w:rsidR="006978E0">
        <w:rPr>
          <w:rFonts w:eastAsiaTheme="minorEastAsia"/>
          <w:rtl/>
        </w:rPr>
        <w:tab/>
      </w:r>
      <w:r w:rsidR="006978E0">
        <w:rPr>
          <w:rFonts w:eastAsiaTheme="minorEastAsia"/>
          <w:rtl/>
        </w:rPr>
        <w:tab/>
      </w:r>
      <w:r w:rsidRPr="00D2562D">
        <w:rPr>
          <w:rFonts w:eastAsiaTheme="minorEastAsia"/>
          <w:rtl/>
        </w:rPr>
        <w:tab/>
      </w:r>
      <w:r w:rsidRPr="00AA67D7">
        <w:rPr>
          <w:rFonts w:eastAsiaTheme="minorEastAsia"/>
          <w:rtl/>
        </w:rPr>
        <w:t>23</w:t>
      </w:r>
      <w:r w:rsidRPr="00D2562D">
        <w:rPr>
          <w:rFonts w:eastAsiaTheme="minorEastAsia"/>
          <w:rtl/>
        </w:rPr>
        <w:t xml:space="preserve"> تشرين الأول/أكتوبر </w:t>
      </w:r>
      <w:r w:rsidRPr="00AA67D7">
        <w:rPr>
          <w:rFonts w:eastAsiaTheme="minorEastAsia"/>
          <w:rtl/>
        </w:rPr>
        <w:t>2018</w:t>
      </w:r>
    </w:p>
    <w:p w14:paraId="7DA9566A" w14:textId="024FEAC2" w:rsidR="007954CB" w:rsidRPr="007954CB" w:rsidRDefault="00D2562D" w:rsidP="00D2562D">
      <w:pPr>
        <w:pStyle w:val="SingleTxtGA"/>
        <w:rPr>
          <w:rFonts w:eastAsiaTheme="minorEastAsia"/>
          <w:lang w:val="ar-SA" w:eastAsia="zh-TW" w:bidi="en-GB"/>
        </w:rPr>
      </w:pPr>
      <w:r w:rsidRPr="00AA67D7">
        <w:rPr>
          <w:rFonts w:eastAsiaTheme="minorEastAsia"/>
          <w:b/>
          <w:bCs/>
          <w:rtl/>
        </w:rPr>
        <w:t>المواد المنتهكة:</w:t>
      </w:r>
      <w:r w:rsidRPr="00D2562D">
        <w:rPr>
          <w:rFonts w:eastAsiaTheme="minorEastAsia"/>
          <w:rtl/>
        </w:rPr>
        <w:tab/>
      </w:r>
      <w:r w:rsidR="006978E0">
        <w:rPr>
          <w:rFonts w:eastAsiaTheme="minorEastAsia"/>
          <w:rtl/>
        </w:rPr>
        <w:tab/>
      </w:r>
      <w:r w:rsidR="006978E0">
        <w:rPr>
          <w:rFonts w:eastAsiaTheme="minorEastAsia"/>
          <w:rtl/>
        </w:rPr>
        <w:tab/>
      </w:r>
      <w:r w:rsidR="006978E0">
        <w:rPr>
          <w:rFonts w:eastAsiaTheme="minorEastAsia"/>
          <w:rtl/>
        </w:rPr>
        <w:tab/>
      </w:r>
      <w:r w:rsidRPr="00D2562D">
        <w:rPr>
          <w:rFonts w:eastAsiaTheme="minorEastAsia"/>
          <w:rtl/>
        </w:rPr>
        <w:t xml:space="preserve">المادة </w:t>
      </w:r>
      <w:r w:rsidRPr="00AA67D7">
        <w:rPr>
          <w:rFonts w:eastAsiaTheme="minorEastAsia"/>
          <w:rtl/>
        </w:rPr>
        <w:t>9</w:t>
      </w:r>
      <w:r w:rsidRPr="00D2562D">
        <w:rPr>
          <w:rFonts w:eastAsiaTheme="minorEastAsia"/>
          <w:rtl/>
        </w:rPr>
        <w:t>(</w:t>
      </w:r>
      <w:r w:rsidR="007954CB" w:rsidRPr="00AA67D7">
        <w:rPr>
          <w:rFonts w:eastAsiaTheme="minorEastAsia"/>
          <w:rtl/>
        </w:rPr>
        <w:t>1</w:t>
      </w:r>
      <w:r w:rsidR="007954CB" w:rsidRPr="007954CB">
        <w:rPr>
          <w:rFonts w:eastAsiaTheme="minorEastAsia"/>
          <w:rtl/>
        </w:rPr>
        <w:t xml:space="preserve">) </w:t>
      </w:r>
      <w:r w:rsidRPr="00D2562D">
        <w:rPr>
          <w:rFonts w:eastAsiaTheme="minorEastAsia"/>
          <w:rtl/>
        </w:rPr>
        <w:t>و(</w:t>
      </w:r>
      <w:r w:rsidR="007954CB" w:rsidRPr="00AA67D7">
        <w:rPr>
          <w:rFonts w:eastAsiaTheme="minorEastAsia"/>
          <w:rtl/>
        </w:rPr>
        <w:t>4</w:t>
      </w:r>
      <w:r w:rsidR="007954CB" w:rsidRPr="007954CB">
        <w:rPr>
          <w:rFonts w:eastAsiaTheme="minorEastAsia"/>
          <w:rtl/>
        </w:rPr>
        <w:t xml:space="preserve">) </w:t>
      </w:r>
      <w:r w:rsidRPr="00D2562D">
        <w:rPr>
          <w:rFonts w:eastAsiaTheme="minorEastAsia"/>
          <w:rtl/>
        </w:rPr>
        <w:t>و(</w:t>
      </w:r>
      <w:r w:rsidR="007954CB" w:rsidRPr="00AA67D7">
        <w:rPr>
          <w:rFonts w:eastAsiaTheme="minorEastAsia"/>
          <w:rtl/>
        </w:rPr>
        <w:t>5</w:t>
      </w:r>
      <w:r w:rsidR="007954CB" w:rsidRPr="007954CB">
        <w:rPr>
          <w:rFonts w:eastAsiaTheme="minorEastAsia"/>
          <w:rtl/>
        </w:rPr>
        <w:t>)</w:t>
      </w:r>
    </w:p>
    <w:p w14:paraId="41AF98FD" w14:textId="64652162" w:rsidR="00D2562D" w:rsidRPr="00D2562D" w:rsidRDefault="00D2562D" w:rsidP="006978E0">
      <w:pPr>
        <w:pStyle w:val="SingleTxtGA"/>
        <w:ind w:left="4649" w:hanging="3402"/>
        <w:rPr>
          <w:rFonts w:eastAsiaTheme="minorEastAsia"/>
          <w:lang w:val="ar-SA" w:eastAsia="zh-TW" w:bidi="en-GB"/>
        </w:rPr>
      </w:pPr>
      <w:r w:rsidRPr="00AA67D7">
        <w:rPr>
          <w:rFonts w:eastAsiaTheme="minorEastAsia"/>
          <w:b/>
          <w:bCs/>
          <w:rtl/>
        </w:rPr>
        <w:t>إجراء الانتصاف:</w:t>
      </w:r>
      <w:r w:rsidRPr="00D2562D">
        <w:rPr>
          <w:rFonts w:eastAsiaTheme="minorEastAsia"/>
          <w:rtl/>
        </w:rPr>
        <w:tab/>
      </w:r>
      <w:r w:rsidR="006978E0">
        <w:rPr>
          <w:rFonts w:eastAsiaTheme="minorEastAsia"/>
          <w:rtl/>
        </w:rPr>
        <w:tab/>
      </w:r>
      <w:r w:rsidR="006978E0">
        <w:rPr>
          <w:rFonts w:eastAsiaTheme="minorEastAsia"/>
          <w:rtl/>
        </w:rPr>
        <w:tab/>
      </w:r>
      <w:r w:rsidR="006978E0">
        <w:rPr>
          <w:rFonts w:eastAsiaTheme="minorEastAsia"/>
          <w:rtl/>
        </w:rPr>
        <w:tab/>
      </w:r>
      <w:r w:rsidRPr="00D2562D">
        <w:rPr>
          <w:rFonts w:eastAsiaTheme="minorEastAsia"/>
          <w:rtl/>
        </w:rPr>
        <w:t>(أ) شطب السجل الجنائي لصاحب البلاغ؛ (ب) تقديم جبر كامل له، بما في ذلك تعويض مالي؛ (ج) اتخاذ جميع الخطوات المناسبة لمنع حدوث انتهاكات مماثلة في المستقبل، بجملة طرق منها اعتماد تدابير مؤسسية.</w:t>
      </w:r>
    </w:p>
    <w:p w14:paraId="088CF2E9" w14:textId="1CA38FD1" w:rsidR="00D2562D" w:rsidRPr="00D2562D" w:rsidRDefault="00D2562D" w:rsidP="00D2562D">
      <w:pPr>
        <w:pStyle w:val="SingleTxtGA"/>
        <w:rPr>
          <w:rFonts w:eastAsiaTheme="minorEastAsia"/>
          <w:lang w:val="ar-SA" w:eastAsia="zh-TW" w:bidi="en-GB"/>
        </w:rPr>
      </w:pPr>
      <w:r w:rsidRPr="00AA67D7">
        <w:rPr>
          <w:rFonts w:eastAsiaTheme="minorEastAsia"/>
          <w:b/>
          <w:bCs/>
          <w:rtl/>
        </w:rPr>
        <w:t>الموضوع</w:t>
      </w:r>
      <w:r w:rsidRPr="00D2562D">
        <w:rPr>
          <w:rFonts w:eastAsiaTheme="minorEastAsia"/>
        </w:rPr>
        <w:t>:</w:t>
      </w:r>
      <w:r w:rsidRPr="00D2562D">
        <w:rPr>
          <w:rFonts w:eastAsiaTheme="minorEastAsia"/>
          <w:rtl/>
        </w:rPr>
        <w:tab/>
      </w:r>
      <w:r w:rsidR="006978E0">
        <w:rPr>
          <w:rFonts w:eastAsiaTheme="minorEastAsia"/>
          <w:rtl/>
        </w:rPr>
        <w:tab/>
      </w:r>
      <w:r w:rsidR="006978E0">
        <w:rPr>
          <w:rFonts w:eastAsiaTheme="minorEastAsia"/>
          <w:rtl/>
        </w:rPr>
        <w:tab/>
      </w:r>
      <w:r w:rsidR="006978E0">
        <w:rPr>
          <w:rFonts w:eastAsiaTheme="minorEastAsia"/>
          <w:rtl/>
        </w:rPr>
        <w:tab/>
      </w:r>
      <w:r w:rsidR="006978E0">
        <w:rPr>
          <w:rFonts w:eastAsiaTheme="minorEastAsia"/>
          <w:rtl/>
        </w:rPr>
        <w:tab/>
      </w:r>
      <w:r w:rsidRPr="00D2562D">
        <w:rPr>
          <w:rFonts w:eastAsiaTheme="minorEastAsia"/>
          <w:rtl/>
        </w:rPr>
        <w:t>الاحتجاز التعسفي لشخص يتمتع بوضع</w:t>
      </w:r>
      <w:r w:rsidR="006978E0">
        <w:rPr>
          <w:rFonts w:eastAsiaTheme="minorEastAsia"/>
          <w:rtl/>
        </w:rPr>
        <w:t xml:space="preserve"> </w:t>
      </w:r>
      <w:r w:rsidRPr="00D2562D">
        <w:rPr>
          <w:rFonts w:eastAsiaTheme="minorEastAsia"/>
          <w:rtl/>
        </w:rPr>
        <w:t>لاجئ</w:t>
      </w:r>
    </w:p>
    <w:p w14:paraId="224F95AF" w14:textId="68A63D3C" w:rsidR="00D2562D" w:rsidRPr="00D2562D" w:rsidRDefault="00D2562D" w:rsidP="00D2562D">
      <w:pPr>
        <w:pStyle w:val="SingleTxtGA"/>
        <w:rPr>
          <w:rFonts w:eastAsiaTheme="minorEastAsia"/>
          <w:lang w:val="ar-SA" w:eastAsia="zh-TW" w:bidi="en-GB"/>
        </w:rPr>
      </w:pPr>
      <w:r w:rsidRPr="00AA67D7">
        <w:rPr>
          <w:rFonts w:eastAsiaTheme="minorEastAsia"/>
          <w:b/>
          <w:bCs/>
          <w:rtl/>
        </w:rPr>
        <w:t>معلومات المتابعة المقدمة سابقاً:</w:t>
      </w:r>
      <w:r w:rsidR="006978E0">
        <w:rPr>
          <w:rFonts w:eastAsiaTheme="minorEastAsia"/>
          <w:rtl/>
        </w:rPr>
        <w:tab/>
      </w:r>
      <w:r w:rsidRPr="00D2562D">
        <w:rPr>
          <w:rFonts w:eastAsiaTheme="minorEastAsia"/>
          <w:rtl/>
        </w:rPr>
        <w:tab/>
        <w:t>لا يوجد</w:t>
      </w:r>
    </w:p>
    <w:p w14:paraId="622E2786" w14:textId="29902E63"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الدولة الطرف:</w:t>
      </w:r>
      <w:r w:rsidRPr="00D2562D">
        <w:rPr>
          <w:rFonts w:eastAsiaTheme="minorEastAsia"/>
          <w:rtl/>
        </w:rPr>
        <w:tab/>
      </w:r>
      <w:r w:rsidRPr="00D2562D">
        <w:rPr>
          <w:rFonts w:eastAsiaTheme="minorEastAsia"/>
          <w:rtl/>
        </w:rPr>
        <w:tab/>
      </w:r>
      <w:r w:rsidRPr="00AA67D7">
        <w:rPr>
          <w:rFonts w:eastAsiaTheme="minorEastAsia"/>
          <w:rtl/>
        </w:rPr>
        <w:t>27</w:t>
      </w:r>
      <w:r w:rsidRPr="00D2562D">
        <w:rPr>
          <w:rFonts w:eastAsiaTheme="minorEastAsia"/>
          <w:rtl/>
        </w:rPr>
        <w:t xml:space="preserve"> أيار/مايو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
      </w:r>
      <w:r w:rsidRPr="00D2562D">
        <w:rPr>
          <w:rStyle w:val="FootnoteReference"/>
          <w:rFonts w:eastAsiaTheme="minorEastAsia"/>
          <w:sz w:val="22"/>
          <w:rtl/>
        </w:rPr>
        <w:t>)</w:t>
      </w:r>
    </w:p>
    <w:p w14:paraId="1FAF2E6D" w14:textId="5B712B70" w:rsidR="00D2562D" w:rsidRPr="00D2562D" w:rsidRDefault="006978E0"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تقر الدولة الطرف بالتزاماتها بشطب السجل الجنائي لصاحب البلاغ واتخاذ خطوات لمنع حدوث انتهاكات مماثلة في المستقبل، منها خطوات تهدف إلى تعزيز القدرة المؤسسية حتى لا يتعرض اللاجئون وملتمسو اللجوء للاحتجاز التعسفي بعد الآن.</w:t>
      </w:r>
    </w:p>
    <w:p w14:paraId="1E94D0E9" w14:textId="1F9C50E4" w:rsidR="00D2562D" w:rsidRPr="00FF33B9" w:rsidRDefault="006978E0" w:rsidP="00D2562D">
      <w:pPr>
        <w:pStyle w:val="SingleTxtGA"/>
        <w:rPr>
          <w:rFonts w:eastAsiaTheme="minorEastAsia"/>
          <w:lang w:val="en-US" w:eastAsia="zh-TW" w:bidi="en-GB"/>
        </w:rPr>
      </w:pPr>
      <w:r>
        <w:rPr>
          <w:rFonts w:eastAsiaTheme="minorEastAsia"/>
          <w:rtl/>
        </w:rPr>
        <w:tab/>
      </w:r>
      <w:r w:rsidR="00D2562D" w:rsidRPr="00D2562D">
        <w:rPr>
          <w:rFonts w:eastAsiaTheme="minorEastAsia"/>
          <w:rtl/>
        </w:rPr>
        <w:t xml:space="preserve">وفي </w:t>
      </w:r>
      <w:r w:rsidR="00D2562D" w:rsidRPr="00AA67D7">
        <w:rPr>
          <w:rFonts w:eastAsiaTheme="minorEastAsia"/>
          <w:rtl/>
        </w:rPr>
        <w:t>2</w:t>
      </w:r>
      <w:r w:rsidR="00D2562D" w:rsidRPr="00D2562D">
        <w:rPr>
          <w:rFonts w:eastAsiaTheme="minorEastAsia"/>
          <w:rtl/>
        </w:rPr>
        <w:t xml:space="preserve"> أيار/مايو </w:t>
      </w:r>
      <w:r w:rsidR="00D2562D" w:rsidRPr="00AA67D7">
        <w:rPr>
          <w:rFonts w:eastAsiaTheme="minorEastAsia"/>
          <w:rtl/>
        </w:rPr>
        <w:t>2019</w:t>
      </w:r>
      <w:r w:rsidR="00D2562D" w:rsidRPr="00D2562D">
        <w:rPr>
          <w:rFonts w:eastAsiaTheme="minorEastAsia"/>
          <w:rtl/>
        </w:rPr>
        <w:t xml:space="preserve">، طلبت مديرية حقوق الإنسان والمساواة بين الجنسين إلى سلطات الشرطة الوطنية حذف السجلات الجنائية المسجلة باسم صاحب البلاغ، سواء في المحفوظات المادية أو في النظام الحاسوبي. وفي </w:t>
      </w:r>
      <w:r w:rsidR="00D2562D" w:rsidRPr="00AA67D7">
        <w:rPr>
          <w:rFonts w:eastAsiaTheme="minorEastAsia"/>
          <w:rtl/>
        </w:rPr>
        <w:t>24</w:t>
      </w:r>
      <w:r w:rsidR="00D2562D" w:rsidRPr="00D2562D">
        <w:rPr>
          <w:rFonts w:eastAsiaTheme="minorEastAsia"/>
          <w:rtl/>
        </w:rPr>
        <w:t xml:space="preserve"> أيار/مايو </w:t>
      </w:r>
      <w:r w:rsidR="00D2562D" w:rsidRPr="00AA67D7">
        <w:rPr>
          <w:rFonts w:eastAsiaTheme="minorEastAsia"/>
          <w:rtl/>
        </w:rPr>
        <w:t>2019</w:t>
      </w:r>
      <w:r w:rsidR="00D2562D" w:rsidRPr="00D2562D">
        <w:rPr>
          <w:rFonts w:eastAsiaTheme="minorEastAsia"/>
          <w:rtl/>
        </w:rPr>
        <w:t>، أكدت سلطات الشرطة أن السجلات ذات الصلة قد شُطبت. وتؤكد الدولة الطرف أنه تم بعد ذلك تنفيذ إجراء للتحقق من البيانات، أصدرت وزارة الداخلية على إثرها شهادة تثبت عدم وجود سجل جنائي باسم صاحب البلاغ في قاعدة البيانات الحاسوبية للشرطة الوطنية. وعليه، تخلص الدولة الطرف إلى أنها نفذت آراء اللجنة بشأن شطب السجل الجنائي لصاحب البلاغ تنفيذاً كاملاً.</w:t>
      </w:r>
    </w:p>
    <w:p w14:paraId="4E1F2ECB" w14:textId="4AD7EF34" w:rsidR="00D2562D" w:rsidRPr="00D2562D" w:rsidRDefault="006978E0"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وفي آب/أغسطس </w:t>
      </w:r>
      <w:r w:rsidR="00D2562D" w:rsidRPr="00AA67D7">
        <w:rPr>
          <w:rFonts w:eastAsiaTheme="minorEastAsia"/>
          <w:rtl/>
        </w:rPr>
        <w:t>2018</w:t>
      </w:r>
      <w:r w:rsidR="00D2562D" w:rsidRPr="00D2562D">
        <w:rPr>
          <w:rFonts w:eastAsiaTheme="minorEastAsia"/>
          <w:rtl/>
        </w:rPr>
        <w:t xml:space="preserve">، عقد مكتب وكيل وزارة شؤون الهجرة في وزارة الداخلية، بناء على طلب مديرية حقوق الإنسان والمساواة بين الجنسين، حلقة عمل حول حقوق الإنسان تركز على تنقل الأشخاص، استهدفت موظفي الخدمة المدنية العاملين في جهات مثل مراكز مراقبة الهجرة والمطارات الدولية والإقليمية. وحضرها ما مجموعه </w:t>
      </w:r>
      <w:r w:rsidR="00D2562D" w:rsidRPr="00AA67D7">
        <w:rPr>
          <w:rFonts w:eastAsiaTheme="minorEastAsia"/>
          <w:rtl/>
        </w:rPr>
        <w:t>114</w:t>
      </w:r>
      <w:r w:rsidR="00D2562D" w:rsidRPr="00D2562D">
        <w:rPr>
          <w:rFonts w:eastAsiaTheme="minorEastAsia"/>
          <w:rtl/>
        </w:rPr>
        <w:t xml:space="preserve"> موظفاً.</w:t>
      </w:r>
    </w:p>
    <w:p w14:paraId="1D530BC6" w14:textId="2C128E0F"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محامي صاحب البلاغ</w:t>
      </w:r>
      <w:r w:rsidRPr="00D2562D">
        <w:rPr>
          <w:rFonts w:eastAsiaTheme="minorEastAsia"/>
        </w:rPr>
        <w:t>:</w:t>
      </w:r>
      <w:r w:rsidRPr="00D2562D">
        <w:rPr>
          <w:rFonts w:eastAsiaTheme="minorEastAsia"/>
          <w:rtl/>
        </w:rPr>
        <w:t xml:space="preserve"> </w:t>
      </w:r>
      <w:r w:rsidRPr="00AA67D7">
        <w:rPr>
          <w:rFonts w:eastAsiaTheme="minorEastAsia"/>
          <w:rtl/>
        </w:rPr>
        <w:t>5</w:t>
      </w:r>
      <w:r w:rsidRPr="00D2562D">
        <w:rPr>
          <w:rFonts w:eastAsiaTheme="minorEastAsia"/>
          <w:rtl/>
        </w:rPr>
        <w:t xml:space="preserve"> كانون الأول/ديسمبر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3"/>
      </w:r>
      <w:r w:rsidRPr="00D2562D">
        <w:rPr>
          <w:rStyle w:val="FootnoteReference"/>
          <w:rFonts w:eastAsiaTheme="minorEastAsia"/>
          <w:sz w:val="22"/>
          <w:rtl/>
        </w:rPr>
        <w:t>)</w:t>
      </w:r>
    </w:p>
    <w:p w14:paraId="15F75F3C" w14:textId="59007674" w:rsidR="00D2562D" w:rsidRPr="00D2562D" w:rsidRDefault="006978E0"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يعرب محامي صاحب البلاغ عن ارتياحه التام لامتثال الدولة الطرف للتوصية الأولى للجنة، لأن السجل الجنائي المسجل باسم صاحب البلاغ قد حذف بكامله من النظام الحاسوبي للشرطة الوطنية. وفيما يتعلق بالتوصية الثانية، وعلى الرغم من أن الدولة الطرف أعربت عن استعدادها للتعاون ونظرت في منح صاحب البلاغ تعويضاً مناسباً، لم يُصرف أي مبلغ حتى الآن. وفيما يتعلق بالتوصية الأخيرة، </w:t>
      </w:r>
      <w:r w:rsidR="00D2562D" w:rsidRPr="00D2562D">
        <w:rPr>
          <w:rFonts w:eastAsiaTheme="minorEastAsia"/>
          <w:rtl/>
        </w:rPr>
        <w:lastRenderedPageBreak/>
        <w:t>يعترض محامي صاحب البلاغ على وجاهة الخطوات التي اتخذتها الدولة الطرف، لأن التدريب المقدم لموظفي الخدمة المدنية جرى قبل أن تصدر اللجنة آراءها. وعليه، يخلص محامي صاحب البلاغ إلى أنه على الرغم من أن الدولة الطرف قد نفذت التوصية الأولى تنفيذاً مرضياً، فإنها لم تحرز سوى تقدم ضئيل نحو تنفيذ التوصيتين الأخريين.</w:t>
      </w:r>
    </w:p>
    <w:p w14:paraId="4E0D2C08"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تقييم اللجنة:</w:t>
      </w:r>
    </w:p>
    <w:p w14:paraId="6A5F0153" w14:textId="01CD34CF" w:rsidR="00D2562D" w:rsidRPr="00D2562D" w:rsidRDefault="006978E0"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(أ)</w:t>
      </w:r>
      <w:r w:rsidR="00D2562D" w:rsidRPr="00D2562D">
        <w:rPr>
          <w:rFonts w:eastAsiaTheme="minorEastAsia"/>
          <w:rtl/>
        </w:rPr>
        <w:tab/>
        <w:t>شطب السجل الجنائي لصاحب البلاغ: ألف؛</w:t>
      </w:r>
    </w:p>
    <w:p w14:paraId="59C2C5DC" w14:textId="386F958F" w:rsidR="00D2562D" w:rsidRPr="00D2562D" w:rsidRDefault="006978E0"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(ب)</w:t>
      </w:r>
      <w:r w:rsidR="00D2562D" w:rsidRPr="00D2562D">
        <w:rPr>
          <w:rFonts w:eastAsiaTheme="minorEastAsia"/>
          <w:rtl/>
        </w:rPr>
        <w:tab/>
        <w:t>الجبر الشامل: جيم؛</w:t>
      </w:r>
    </w:p>
    <w:p w14:paraId="202D7AAA" w14:textId="2BC956CF" w:rsidR="00D2562D" w:rsidRPr="00D2562D" w:rsidRDefault="006978E0"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(ج)</w:t>
      </w:r>
      <w:r w:rsidR="00D2562D" w:rsidRPr="00D2562D">
        <w:rPr>
          <w:rFonts w:eastAsiaTheme="minorEastAsia"/>
          <w:rtl/>
        </w:rPr>
        <w:tab/>
        <w:t>عدم التكرار، بما في ذلك اعتماد تدابير مؤسسية: جيم.</w:t>
      </w:r>
    </w:p>
    <w:p w14:paraId="0BC79B43"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قرار اللجنة</w:t>
      </w:r>
      <w:r w:rsidRPr="00D2562D">
        <w:rPr>
          <w:rFonts w:eastAsiaTheme="minorEastAsia"/>
          <w:rtl/>
        </w:rPr>
        <w:t>: مواصلة حوار المتابعة.</w:t>
      </w:r>
    </w:p>
    <w:p w14:paraId="039C021B" w14:textId="66141518" w:rsidR="00D2562D" w:rsidRPr="00AA67D7" w:rsidRDefault="006978E0" w:rsidP="006978E0">
      <w:pPr>
        <w:pStyle w:val="H23GA"/>
        <w:rPr>
          <w:lang w:val="ar-SA" w:eastAsia="zh-TW" w:bidi="en-GB"/>
        </w:rPr>
      </w:pPr>
      <w:r w:rsidRPr="00AA67D7">
        <w:rPr>
          <w:rtl/>
        </w:rPr>
        <w:tab/>
      </w:r>
      <w:r w:rsidR="00D2562D" w:rsidRPr="00AA67D7">
        <w:rPr>
          <w:rtl/>
        </w:rPr>
        <w:t>2-</w:t>
      </w:r>
      <w:r w:rsidR="00D2562D" w:rsidRPr="00AA67D7">
        <w:rPr>
          <w:rtl/>
        </w:rPr>
        <w:tab/>
        <w:t>فنلندا</w:t>
      </w:r>
    </w:p>
    <w:p w14:paraId="13097218" w14:textId="77777777" w:rsidR="00D2562D" w:rsidRPr="00AA67D7" w:rsidRDefault="00D2562D" w:rsidP="00D2562D">
      <w:pPr>
        <w:pStyle w:val="SingleTxtGA"/>
        <w:rPr>
          <w:rFonts w:eastAsiaTheme="minorEastAsia"/>
          <w:b/>
          <w:i/>
          <w:lang w:val="ar-SA" w:eastAsia="zh-TW" w:bidi="en-GB"/>
        </w:rPr>
      </w:pPr>
      <w:r w:rsidRPr="00AA67D7">
        <w:rPr>
          <w:rFonts w:eastAsiaTheme="minorEastAsia"/>
          <w:b/>
          <w:bCs/>
          <w:rtl/>
        </w:rPr>
        <w:t xml:space="preserve">البلاغ رقم 2668/2015، </w:t>
      </w:r>
      <w:r w:rsidRPr="00AA67D7">
        <w:rPr>
          <w:rFonts w:eastAsiaTheme="minorEastAsia"/>
          <w:b/>
          <w:bCs/>
          <w:i/>
          <w:iCs/>
          <w:rtl/>
        </w:rPr>
        <w:t>سانيلا - آيكيو</w:t>
      </w:r>
    </w:p>
    <w:p w14:paraId="6C6AC39B" w14:textId="085DE352" w:rsidR="00D2562D" w:rsidRPr="00D2562D" w:rsidRDefault="00D2562D" w:rsidP="00261ADA">
      <w:pPr>
        <w:pStyle w:val="SingleTxtGA"/>
        <w:spacing w:line="340" w:lineRule="exact"/>
        <w:rPr>
          <w:rFonts w:eastAsiaTheme="minorEastAsia"/>
          <w:lang w:val="ar-SA" w:eastAsia="zh-TW" w:bidi="en-GB"/>
        </w:rPr>
      </w:pPr>
      <w:r w:rsidRPr="00AA67D7">
        <w:rPr>
          <w:rFonts w:eastAsiaTheme="minorEastAsia"/>
          <w:b/>
          <w:bCs/>
          <w:rtl/>
        </w:rPr>
        <w:t>تاريخ اعتماد الآراء:</w:t>
      </w:r>
      <w:r w:rsidR="006978E0">
        <w:rPr>
          <w:rFonts w:eastAsiaTheme="minorEastAsia"/>
          <w:rtl/>
        </w:rPr>
        <w:tab/>
      </w:r>
      <w:r w:rsidR="006978E0">
        <w:rPr>
          <w:rFonts w:eastAsiaTheme="minorEastAsia"/>
          <w:rtl/>
        </w:rPr>
        <w:tab/>
      </w:r>
      <w:r w:rsidRPr="00D2562D">
        <w:rPr>
          <w:rFonts w:eastAsiaTheme="minorEastAsia"/>
          <w:rtl/>
        </w:rPr>
        <w:tab/>
      </w:r>
      <w:r w:rsidRPr="00AA67D7">
        <w:rPr>
          <w:rFonts w:eastAsiaTheme="minorEastAsia"/>
          <w:rtl/>
        </w:rPr>
        <w:t>1</w:t>
      </w:r>
      <w:r w:rsidRPr="00D2562D">
        <w:rPr>
          <w:rFonts w:eastAsiaTheme="minorEastAsia"/>
          <w:rtl/>
        </w:rPr>
        <w:t xml:space="preserve"> تشرين الثاني/نوفمبر </w:t>
      </w:r>
      <w:r w:rsidRPr="00AA67D7">
        <w:rPr>
          <w:rFonts w:eastAsiaTheme="minorEastAsia"/>
          <w:rtl/>
        </w:rPr>
        <w:t>2018</w:t>
      </w:r>
    </w:p>
    <w:p w14:paraId="56DEF6AF" w14:textId="6FC27B2D" w:rsidR="00D2562D" w:rsidRPr="00D2562D" w:rsidRDefault="00D2562D" w:rsidP="00261ADA">
      <w:pPr>
        <w:pStyle w:val="SingleTxtGA"/>
        <w:spacing w:line="340" w:lineRule="exact"/>
        <w:rPr>
          <w:rFonts w:eastAsiaTheme="minorEastAsia"/>
          <w:lang w:val="ar-SA" w:eastAsia="zh-TW" w:bidi="en-GB"/>
        </w:rPr>
      </w:pPr>
      <w:r w:rsidRPr="00D2562D">
        <w:rPr>
          <w:rFonts w:eastAsiaTheme="minorEastAsia"/>
          <w:rtl/>
        </w:rPr>
        <w:t>المواد المنتهكة:</w:t>
      </w:r>
      <w:r w:rsidR="006978E0">
        <w:rPr>
          <w:rFonts w:eastAsiaTheme="minorEastAsia"/>
          <w:rtl/>
        </w:rPr>
        <w:tab/>
      </w:r>
      <w:r w:rsidR="006978E0">
        <w:rPr>
          <w:rFonts w:eastAsiaTheme="minorEastAsia"/>
          <w:rtl/>
        </w:rPr>
        <w:tab/>
      </w:r>
      <w:r w:rsidR="006978E0">
        <w:rPr>
          <w:rFonts w:eastAsiaTheme="minorEastAsia"/>
          <w:rtl/>
        </w:rPr>
        <w:tab/>
      </w:r>
      <w:r w:rsidRPr="00D2562D">
        <w:rPr>
          <w:rFonts w:eastAsiaTheme="minorEastAsia"/>
          <w:rtl/>
        </w:rPr>
        <w:tab/>
        <w:t xml:space="preserve">المادة </w:t>
      </w:r>
      <w:r w:rsidRPr="00AA67D7">
        <w:rPr>
          <w:rFonts w:eastAsiaTheme="minorEastAsia"/>
          <w:rtl/>
        </w:rPr>
        <w:t>25</w:t>
      </w:r>
      <w:r w:rsidRPr="00D2562D">
        <w:rPr>
          <w:rFonts w:eastAsiaTheme="minorEastAsia"/>
          <w:rtl/>
        </w:rPr>
        <w:t xml:space="preserve">، مقروءة بمفردها وبالاقتران مع المادة </w:t>
      </w:r>
      <w:r w:rsidRPr="00AA67D7">
        <w:rPr>
          <w:rFonts w:eastAsiaTheme="minorEastAsia"/>
          <w:rtl/>
        </w:rPr>
        <w:t>27</w:t>
      </w:r>
    </w:p>
    <w:p w14:paraId="42AA8EA3" w14:textId="47EE8846" w:rsidR="00D2562D" w:rsidRPr="00FF33B9" w:rsidRDefault="00D2562D" w:rsidP="003378A0">
      <w:pPr>
        <w:pStyle w:val="SingleTxtGA"/>
        <w:spacing w:before="240" w:line="340" w:lineRule="exact"/>
        <w:ind w:left="4649" w:hanging="3402"/>
        <w:rPr>
          <w:rFonts w:eastAsiaTheme="minorEastAsia"/>
          <w:spacing w:val="-4"/>
          <w:lang w:val="ar-SA" w:eastAsia="zh-TW" w:bidi="en-GB"/>
        </w:rPr>
      </w:pPr>
      <w:r w:rsidRPr="00D2562D">
        <w:rPr>
          <w:rFonts w:eastAsiaTheme="minorEastAsia"/>
          <w:rtl/>
        </w:rPr>
        <w:t>إجراء الانتصاف:</w:t>
      </w:r>
      <w:r w:rsidR="006978E0">
        <w:rPr>
          <w:rFonts w:eastAsiaTheme="minorEastAsia"/>
          <w:rtl/>
        </w:rPr>
        <w:tab/>
      </w:r>
      <w:r w:rsidR="006978E0">
        <w:rPr>
          <w:rFonts w:eastAsiaTheme="minorEastAsia"/>
          <w:rtl/>
        </w:rPr>
        <w:tab/>
      </w:r>
      <w:r w:rsidR="006978E0">
        <w:rPr>
          <w:rFonts w:eastAsiaTheme="minorEastAsia"/>
          <w:rtl/>
        </w:rPr>
        <w:tab/>
      </w:r>
      <w:r w:rsidRPr="00D2562D">
        <w:rPr>
          <w:rFonts w:eastAsiaTheme="minorEastAsia"/>
          <w:rtl/>
        </w:rPr>
        <w:tab/>
      </w:r>
      <w:r w:rsidR="003378A0" w:rsidRPr="003378A0">
        <w:rPr>
          <w:rFonts w:eastAsiaTheme="minorEastAsia"/>
          <w:rtl/>
        </w:rPr>
        <w:t>(</w:t>
      </w:r>
      <w:r w:rsidR="003378A0">
        <w:rPr>
          <w:rFonts w:eastAsiaTheme="minorEastAsia" w:hint="cs"/>
          <w:rtl/>
        </w:rPr>
        <w:t>أ</w:t>
      </w:r>
      <w:r w:rsidR="003378A0" w:rsidRPr="003378A0">
        <w:rPr>
          <w:rFonts w:eastAsiaTheme="minorEastAsia"/>
          <w:rtl/>
        </w:rPr>
        <w:t>)</w:t>
      </w:r>
      <w:r w:rsidR="003378A0">
        <w:rPr>
          <w:rFonts w:eastAsiaTheme="minorEastAsia" w:hint="cs"/>
          <w:rtl/>
        </w:rPr>
        <w:t xml:space="preserve"> </w:t>
      </w:r>
      <w:r w:rsidRPr="00D2562D">
        <w:rPr>
          <w:rFonts w:eastAsiaTheme="minorEastAsia"/>
          <w:rtl/>
        </w:rPr>
        <w:t xml:space="preserve">تقديم سبيل انتصاف فعال وجبر كامل لصاحبة البلاغ؛ (ب) وإعادة النظر في المادة </w:t>
      </w:r>
      <w:r w:rsidRPr="00AA67D7">
        <w:rPr>
          <w:rFonts w:eastAsiaTheme="minorEastAsia"/>
          <w:rtl/>
        </w:rPr>
        <w:t>3</w:t>
      </w:r>
      <w:r w:rsidRPr="00D2562D">
        <w:rPr>
          <w:rFonts w:eastAsiaTheme="minorEastAsia"/>
          <w:rtl/>
        </w:rPr>
        <w:t xml:space="preserve"> من قانون البرلمان الصامي بهدف ضمان تحديد وتطبيق معايير الأهلية القانونية للتصويت في انتخابات هذا البرلمان بطريقة </w:t>
      </w:r>
      <w:r w:rsidRPr="00FF33B9">
        <w:rPr>
          <w:rFonts w:eastAsiaTheme="minorEastAsia"/>
          <w:spacing w:val="-4"/>
          <w:rtl/>
        </w:rPr>
        <w:t xml:space="preserve">تراعي حق الشعب الصامي في تقرير المصير داخلياً وفقاً للمادتين </w:t>
      </w:r>
      <w:r w:rsidRPr="00AA67D7">
        <w:rPr>
          <w:rFonts w:eastAsiaTheme="minorEastAsia"/>
          <w:spacing w:val="-4"/>
          <w:rtl/>
        </w:rPr>
        <w:t>25</w:t>
      </w:r>
      <w:r w:rsidRPr="00FF33B9">
        <w:rPr>
          <w:rFonts w:eastAsiaTheme="minorEastAsia"/>
          <w:spacing w:val="-4"/>
          <w:rtl/>
        </w:rPr>
        <w:t xml:space="preserve"> و</w:t>
      </w:r>
      <w:r w:rsidRPr="00AA67D7">
        <w:rPr>
          <w:rFonts w:eastAsiaTheme="minorEastAsia"/>
          <w:spacing w:val="-4"/>
          <w:rtl/>
        </w:rPr>
        <w:t>27</w:t>
      </w:r>
      <w:r w:rsidRPr="00FF33B9">
        <w:rPr>
          <w:rFonts w:eastAsiaTheme="minorEastAsia"/>
          <w:spacing w:val="-4"/>
          <w:rtl/>
        </w:rPr>
        <w:t xml:space="preserve"> من العهد؛ (ج) واتخاذ جميع الخطوات اللازمة لمنع حدوث انتهاكات مماثلة في المستقبل.</w:t>
      </w:r>
    </w:p>
    <w:p w14:paraId="242ECEBF" w14:textId="191DA352" w:rsidR="00D2562D" w:rsidRPr="00D2562D" w:rsidRDefault="00D2562D" w:rsidP="00261ADA">
      <w:pPr>
        <w:pStyle w:val="SingleTxtGA"/>
        <w:spacing w:line="340" w:lineRule="exact"/>
        <w:rPr>
          <w:rFonts w:eastAsiaTheme="minorEastAsia"/>
          <w:lang w:val="ar-SA" w:eastAsia="zh-TW" w:bidi="en-GB"/>
        </w:rPr>
      </w:pPr>
      <w:r w:rsidRPr="00AA67D7">
        <w:rPr>
          <w:rFonts w:eastAsiaTheme="minorEastAsia"/>
          <w:b/>
          <w:bCs/>
          <w:rtl/>
        </w:rPr>
        <w:t>الموضوع:</w:t>
      </w:r>
      <w:r w:rsidRPr="00D2562D">
        <w:rPr>
          <w:rFonts w:eastAsiaTheme="minorEastAsia"/>
          <w:rtl/>
        </w:rPr>
        <w:tab/>
      </w:r>
      <w:r w:rsidR="006978E0">
        <w:rPr>
          <w:rFonts w:eastAsiaTheme="minorEastAsia"/>
          <w:rtl/>
        </w:rPr>
        <w:tab/>
      </w:r>
      <w:r w:rsidR="006978E0">
        <w:rPr>
          <w:rFonts w:eastAsiaTheme="minorEastAsia"/>
          <w:rtl/>
        </w:rPr>
        <w:tab/>
      </w:r>
      <w:r w:rsidR="006978E0">
        <w:rPr>
          <w:rFonts w:eastAsiaTheme="minorEastAsia"/>
          <w:rtl/>
        </w:rPr>
        <w:tab/>
      </w:r>
      <w:r w:rsidRPr="00D2562D">
        <w:rPr>
          <w:rFonts w:eastAsiaTheme="minorEastAsia"/>
          <w:rtl/>
        </w:rPr>
        <w:t>الحق في التصويت في انتخابات البرلمان الصامي</w:t>
      </w:r>
    </w:p>
    <w:p w14:paraId="32BE2C76" w14:textId="2FD5D5EB" w:rsidR="00D2562D" w:rsidRPr="00D2562D" w:rsidRDefault="00D2562D" w:rsidP="00261ADA">
      <w:pPr>
        <w:pStyle w:val="SingleTxtGA"/>
        <w:spacing w:line="340" w:lineRule="exact"/>
        <w:rPr>
          <w:rFonts w:eastAsiaTheme="minorEastAsia"/>
          <w:lang w:val="ar-SA" w:eastAsia="zh-TW" w:bidi="en-GB"/>
        </w:rPr>
      </w:pPr>
      <w:r w:rsidRPr="00AA67D7">
        <w:rPr>
          <w:rFonts w:eastAsiaTheme="minorEastAsia"/>
          <w:b/>
          <w:bCs/>
          <w:rtl/>
        </w:rPr>
        <w:t>معلومات المتابعة المقدمة سابقاً:</w:t>
      </w:r>
      <w:r w:rsidRPr="00D2562D">
        <w:rPr>
          <w:rFonts w:eastAsiaTheme="minorEastAsia"/>
          <w:rtl/>
        </w:rPr>
        <w:tab/>
      </w:r>
      <w:r w:rsidR="006978E0">
        <w:rPr>
          <w:rFonts w:eastAsiaTheme="minorEastAsia"/>
          <w:rtl/>
        </w:rPr>
        <w:tab/>
      </w:r>
      <w:r w:rsidRPr="00D2562D">
        <w:rPr>
          <w:rFonts w:eastAsiaTheme="minorEastAsia"/>
          <w:rtl/>
        </w:rPr>
        <w:t>لا يوجد</w:t>
      </w:r>
    </w:p>
    <w:p w14:paraId="44BC71C0" w14:textId="41CD247E" w:rsidR="00D2562D" w:rsidRPr="00D2562D" w:rsidRDefault="00D2562D" w:rsidP="00261ADA">
      <w:pPr>
        <w:pStyle w:val="SingleTxtGA"/>
        <w:spacing w:line="340" w:lineRule="exact"/>
        <w:rPr>
          <w:rStyle w:val="FootnoteReference"/>
          <w:rFonts w:eastAsiaTheme="minorEastAsia"/>
          <w:sz w:val="22"/>
          <w:lang w:val="ar-SA" w:eastAsia="zh-TW" w:bidi="en-GB"/>
        </w:rPr>
      </w:pPr>
      <w:r w:rsidRPr="00AA67D7">
        <w:rPr>
          <w:rFonts w:eastAsiaTheme="minorEastAsia"/>
          <w:b/>
          <w:bCs/>
          <w:rtl/>
        </w:rPr>
        <w:t>المعلومات المقدمة من الدولة الطرف</w:t>
      </w:r>
      <w:r w:rsidRPr="006978E0">
        <w:rPr>
          <w:rFonts w:ascii="Simplified Arabic" w:eastAsiaTheme="minorEastAsia" w:hAnsi="Simplified Arabic"/>
        </w:rPr>
        <w:t>:</w:t>
      </w:r>
      <w:r w:rsidRPr="00D2562D">
        <w:rPr>
          <w:rFonts w:eastAsiaTheme="minorEastAsia"/>
          <w:rtl/>
        </w:rPr>
        <w:t xml:space="preserve"> </w:t>
      </w:r>
      <w:r w:rsidR="006978E0">
        <w:rPr>
          <w:rFonts w:eastAsiaTheme="minorEastAsia"/>
          <w:rtl/>
        </w:rPr>
        <w:tab/>
      </w:r>
      <w:r w:rsidR="006978E0">
        <w:rPr>
          <w:rFonts w:eastAsiaTheme="minorEastAsia"/>
          <w:rtl/>
        </w:rPr>
        <w:tab/>
      </w:r>
      <w:r w:rsidRPr="00AA67D7">
        <w:rPr>
          <w:rFonts w:eastAsiaTheme="minorEastAsia"/>
          <w:rtl/>
        </w:rPr>
        <w:t>31</w:t>
      </w:r>
      <w:r w:rsidRPr="00D2562D">
        <w:rPr>
          <w:rFonts w:eastAsiaTheme="minorEastAsia"/>
          <w:rtl/>
        </w:rPr>
        <w:t xml:space="preserve"> تموز/يوليه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4"/>
      </w:r>
      <w:r w:rsidRPr="00D2562D">
        <w:rPr>
          <w:rStyle w:val="FootnoteReference"/>
          <w:rFonts w:eastAsiaTheme="minorEastAsia"/>
          <w:sz w:val="22"/>
          <w:rtl/>
        </w:rPr>
        <w:t>)</w:t>
      </w:r>
    </w:p>
    <w:p w14:paraId="0C64A626" w14:textId="7DDCB3F0" w:rsidR="00D2562D" w:rsidRPr="00AA67D7" w:rsidRDefault="006978E0" w:rsidP="00D2562D">
      <w:pPr>
        <w:pStyle w:val="SingleTxtGA"/>
        <w:rPr>
          <w:rFonts w:eastAsiaTheme="minorEastAsia"/>
          <w:bCs/>
          <w:lang w:val="en-US" w:eastAsia="zh-TW" w:bidi="en-GB"/>
        </w:rPr>
      </w:pPr>
      <w:r>
        <w:rPr>
          <w:rFonts w:eastAsiaTheme="minorEastAsia"/>
          <w:rtl/>
        </w:rPr>
        <w:tab/>
      </w:r>
      <w:r w:rsidR="00D2562D" w:rsidRPr="00D2562D">
        <w:rPr>
          <w:rFonts w:eastAsiaTheme="minorEastAsia"/>
          <w:rtl/>
        </w:rPr>
        <w:t>تقول الدولة الطرف إن ترجمات آراء اللجنة إلى اللغتين الفنلندية والصامية الشمالية وُزعت على</w:t>
      </w:r>
      <w:r w:rsidR="003378A0">
        <w:rPr>
          <w:rFonts w:eastAsiaTheme="minorEastAsia" w:hint="cs"/>
          <w:rtl/>
        </w:rPr>
        <w:t xml:space="preserve"> </w:t>
      </w:r>
      <w:r w:rsidR="00D2562D" w:rsidRPr="003378A0">
        <w:rPr>
          <w:rFonts w:eastAsiaTheme="minorEastAsia"/>
          <w:spacing w:val="-2"/>
          <w:rtl/>
        </w:rPr>
        <w:t xml:space="preserve">جميع السلطات المعنية، التي ناقشتها في اجتماع مشترك عبر القطاعات عقد في </w:t>
      </w:r>
      <w:r w:rsidR="00D2562D" w:rsidRPr="00AA67D7">
        <w:rPr>
          <w:rFonts w:eastAsiaTheme="minorEastAsia"/>
          <w:spacing w:val="-2"/>
          <w:rtl/>
        </w:rPr>
        <w:t>14</w:t>
      </w:r>
      <w:r w:rsidR="00D2562D" w:rsidRPr="003378A0">
        <w:rPr>
          <w:rFonts w:eastAsiaTheme="minorEastAsia"/>
          <w:spacing w:val="-2"/>
          <w:rtl/>
        </w:rPr>
        <w:t xml:space="preserve"> حزيران/يونيه </w:t>
      </w:r>
      <w:r w:rsidR="00D2562D" w:rsidRPr="00AA67D7">
        <w:rPr>
          <w:rFonts w:eastAsiaTheme="minorEastAsia"/>
          <w:spacing w:val="-2"/>
          <w:rtl/>
        </w:rPr>
        <w:t>2019</w:t>
      </w:r>
      <w:r w:rsidR="00D2562D" w:rsidRPr="00D2562D">
        <w:rPr>
          <w:rFonts w:eastAsiaTheme="minorEastAsia"/>
          <w:rtl/>
        </w:rPr>
        <w:t>، وكذلك من خلال إجراء كتابي.</w:t>
      </w:r>
    </w:p>
    <w:p w14:paraId="0C46B9A7" w14:textId="01C36921" w:rsidR="00D2562D" w:rsidRPr="00AA67D7" w:rsidRDefault="006978E0" w:rsidP="00D2562D">
      <w:pPr>
        <w:pStyle w:val="SingleTxtGA"/>
        <w:rPr>
          <w:rFonts w:eastAsiaTheme="minorEastAsia"/>
          <w:bCs/>
          <w:lang w:val="ar-SA" w:eastAsia="zh-TW" w:bidi="en-GB"/>
        </w:rPr>
      </w:pPr>
      <w:r>
        <w:rPr>
          <w:rFonts w:eastAsiaTheme="minorEastAsia"/>
          <w:rtl/>
        </w:rPr>
        <w:tab/>
      </w:r>
      <w:r w:rsidR="00D2562D" w:rsidRPr="00D2562D">
        <w:rPr>
          <w:rFonts w:eastAsiaTheme="minorEastAsia"/>
          <w:rtl/>
        </w:rPr>
        <w:t xml:space="preserve">وعلاوة على ذلك، طلب المجلس التنفيذي للبرلمان الصامي في </w:t>
      </w:r>
      <w:r w:rsidR="00D2562D" w:rsidRPr="00AA67D7">
        <w:rPr>
          <w:rFonts w:eastAsiaTheme="minorEastAsia"/>
          <w:rtl/>
        </w:rPr>
        <w:t>3</w:t>
      </w:r>
      <w:r w:rsidR="00D2562D" w:rsidRPr="00D2562D">
        <w:rPr>
          <w:rFonts w:eastAsiaTheme="minorEastAsia"/>
          <w:rtl/>
        </w:rPr>
        <w:t xml:space="preserve"> نيسان/أبريل </w:t>
      </w:r>
      <w:r w:rsidR="00D2562D" w:rsidRPr="00AA67D7">
        <w:rPr>
          <w:rFonts w:eastAsiaTheme="minorEastAsia"/>
          <w:rtl/>
        </w:rPr>
        <w:t>2019</w:t>
      </w:r>
      <w:r w:rsidR="00D2562D" w:rsidRPr="00D2562D">
        <w:rPr>
          <w:rFonts w:eastAsiaTheme="minorEastAsia"/>
          <w:rtl/>
        </w:rPr>
        <w:t xml:space="preserve">، بناء على آراء اللجنة واستناداً إلى المادة </w:t>
      </w:r>
      <w:r w:rsidR="00D2562D" w:rsidRPr="00AA67D7">
        <w:rPr>
          <w:rFonts w:eastAsiaTheme="minorEastAsia"/>
          <w:rtl/>
        </w:rPr>
        <w:t>63</w:t>
      </w:r>
      <w:r w:rsidR="00D2562D" w:rsidRPr="00D2562D">
        <w:rPr>
          <w:rFonts w:eastAsiaTheme="minorEastAsia"/>
          <w:rtl/>
        </w:rPr>
        <w:t xml:space="preserve"> بشأن (إلغاء) قانون الإجراءات القضائية الإدارية</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5"/>
      </w:r>
      <w:r w:rsidR="007954CB" w:rsidRPr="007954CB">
        <w:rPr>
          <w:rStyle w:val="FootnoteReference"/>
          <w:rFonts w:eastAsiaTheme="minorEastAsia"/>
          <w:sz w:val="22"/>
          <w:rtl/>
        </w:rPr>
        <w:t>)</w:t>
      </w:r>
      <w:r w:rsidR="007954CB" w:rsidRPr="007954CB">
        <w:rPr>
          <w:rFonts w:eastAsiaTheme="minorEastAsia"/>
          <w:rtl/>
        </w:rPr>
        <w:t xml:space="preserve">، </w:t>
      </w:r>
      <w:r w:rsidR="00D2562D" w:rsidRPr="00D2562D">
        <w:rPr>
          <w:rFonts w:eastAsiaTheme="minorEastAsia"/>
          <w:rtl/>
        </w:rPr>
        <w:t xml:space="preserve">إلى المحكمة </w:t>
      </w:r>
      <w:r w:rsidR="00D2562D" w:rsidRPr="00D2562D">
        <w:rPr>
          <w:rFonts w:eastAsiaTheme="minorEastAsia"/>
          <w:rtl/>
        </w:rPr>
        <w:lastRenderedPageBreak/>
        <w:t xml:space="preserve">الإدارية العليا إلغاء قراريها المؤرخين </w:t>
      </w:r>
      <w:r w:rsidR="00D2562D" w:rsidRPr="00AA67D7">
        <w:rPr>
          <w:rFonts w:eastAsiaTheme="minorEastAsia"/>
          <w:rtl/>
        </w:rPr>
        <w:t>26</w:t>
      </w:r>
      <w:r w:rsidR="00D2562D" w:rsidRPr="00D2562D">
        <w:rPr>
          <w:rFonts w:eastAsiaTheme="minorEastAsia"/>
          <w:rtl/>
        </w:rPr>
        <w:t xml:space="preserve"> تشرين الثاني/نوفمبر </w:t>
      </w:r>
      <w:r w:rsidR="00D2562D" w:rsidRPr="00AA67D7">
        <w:rPr>
          <w:rFonts w:eastAsiaTheme="minorEastAsia"/>
          <w:rtl/>
        </w:rPr>
        <w:t>2011</w:t>
      </w:r>
      <w:r w:rsidR="00D2562D" w:rsidRPr="00D2562D">
        <w:rPr>
          <w:rFonts w:eastAsiaTheme="minorEastAsia"/>
          <w:rtl/>
        </w:rPr>
        <w:t xml:space="preserve"> و</w:t>
      </w:r>
      <w:r w:rsidR="00D2562D" w:rsidRPr="00AA67D7">
        <w:rPr>
          <w:rFonts w:eastAsiaTheme="minorEastAsia"/>
          <w:rtl/>
        </w:rPr>
        <w:t>30</w:t>
      </w:r>
      <w:r w:rsidR="00D2562D" w:rsidRPr="00D2562D">
        <w:rPr>
          <w:rFonts w:eastAsiaTheme="minorEastAsia"/>
          <w:rtl/>
        </w:rPr>
        <w:t xml:space="preserve"> أيلول/سبتمبر </w:t>
      </w:r>
      <w:r w:rsidR="00D2562D" w:rsidRPr="00AA67D7">
        <w:rPr>
          <w:rFonts w:eastAsiaTheme="minorEastAsia"/>
          <w:rtl/>
        </w:rPr>
        <w:t>2015</w:t>
      </w:r>
      <w:r w:rsidR="00D2562D" w:rsidRPr="00D2562D">
        <w:rPr>
          <w:rFonts w:eastAsiaTheme="minorEastAsia"/>
          <w:rtl/>
        </w:rPr>
        <w:t xml:space="preserve"> بشأن</w:t>
      </w:r>
      <w:r w:rsidR="00FF33B9">
        <w:rPr>
          <w:rFonts w:eastAsiaTheme="minorEastAsia" w:hint="cs"/>
          <w:rtl/>
        </w:rPr>
        <w:t> </w:t>
      </w:r>
      <w:r w:rsidR="00D2562D" w:rsidRPr="00AA67D7">
        <w:rPr>
          <w:rFonts w:eastAsiaTheme="minorEastAsia"/>
          <w:rtl/>
        </w:rPr>
        <w:t>97</w:t>
      </w:r>
      <w:r w:rsidR="00D2562D" w:rsidRPr="00D2562D">
        <w:rPr>
          <w:rFonts w:eastAsiaTheme="minorEastAsia"/>
          <w:rtl/>
        </w:rPr>
        <w:t xml:space="preserve"> شخصاً مدرجين في القائمة الانتخابية. وفي </w:t>
      </w:r>
      <w:r w:rsidR="00D2562D" w:rsidRPr="00AA67D7">
        <w:rPr>
          <w:rFonts w:eastAsiaTheme="minorEastAsia"/>
          <w:rtl/>
        </w:rPr>
        <w:t>5</w:t>
      </w:r>
      <w:r w:rsidR="00D2562D" w:rsidRPr="00D2562D">
        <w:rPr>
          <w:rFonts w:eastAsiaTheme="minorEastAsia"/>
          <w:rtl/>
        </w:rPr>
        <w:t xml:space="preserve"> تموز/يوليه </w:t>
      </w:r>
      <w:r w:rsidR="00D2562D" w:rsidRPr="00AA67D7">
        <w:rPr>
          <w:rFonts w:eastAsiaTheme="minorEastAsia"/>
          <w:rtl/>
        </w:rPr>
        <w:t>2019</w:t>
      </w:r>
      <w:r w:rsidR="00D2562D" w:rsidRPr="00D2562D">
        <w:rPr>
          <w:rFonts w:eastAsiaTheme="minorEastAsia"/>
          <w:rtl/>
        </w:rPr>
        <w:t xml:space="preserve">، رفضت المحكمة هذا الطلب، بعد أن خلصت إلى أنه لا يتضمن أياً من التبريرات المشار إليها في تلك المادة من القانون. وخلصت إلى أن التغييرات في السوابق القضائية أو تأويل القانون لا يمكن اعتبارها أسباباً يجوز أخذها في الاعتبار كدليل جديد بالمعنى المقصود في المادة </w:t>
      </w:r>
      <w:r w:rsidR="00D2562D" w:rsidRPr="00AA67D7">
        <w:rPr>
          <w:rFonts w:eastAsiaTheme="minorEastAsia"/>
          <w:rtl/>
        </w:rPr>
        <w:t>63</w:t>
      </w:r>
      <w:r w:rsidR="00D2562D" w:rsidRPr="00D2562D">
        <w:rPr>
          <w:rFonts w:eastAsiaTheme="minorEastAsia"/>
          <w:rtl/>
        </w:rPr>
        <w:t>(</w:t>
      </w:r>
      <w:r w:rsidR="00D2562D" w:rsidRPr="00AA67D7">
        <w:rPr>
          <w:rFonts w:eastAsiaTheme="minorEastAsia"/>
          <w:rtl/>
        </w:rPr>
        <w:t>1</w:t>
      </w:r>
      <w:r w:rsidR="00D2562D" w:rsidRPr="00D2562D">
        <w:rPr>
          <w:rFonts w:eastAsiaTheme="minorEastAsia"/>
          <w:rtl/>
        </w:rPr>
        <w:t>)(</w:t>
      </w:r>
      <w:r w:rsidR="007954CB" w:rsidRPr="00AA67D7">
        <w:rPr>
          <w:rFonts w:eastAsiaTheme="minorEastAsia"/>
          <w:rtl/>
        </w:rPr>
        <w:t>3</w:t>
      </w:r>
      <w:r w:rsidR="007954CB" w:rsidRPr="007954CB">
        <w:rPr>
          <w:rFonts w:eastAsiaTheme="minorEastAsia"/>
          <w:rtl/>
        </w:rPr>
        <w:t xml:space="preserve">) </w:t>
      </w:r>
      <w:r w:rsidR="00D2562D" w:rsidRPr="00D2562D">
        <w:rPr>
          <w:rFonts w:eastAsiaTheme="minorEastAsia"/>
          <w:rtl/>
        </w:rPr>
        <w:t xml:space="preserve">من القانون. ولذلك، فإن آراء اللجنة لا تشكل دليلاً جديداً يبرر إلغاء قرارات المحكمة. وأشارت المحكمة إلى أنه إذا أريد إلغاء قرار نهائي على أساس تطبيق خاطئ بيّن للقانون، يشترط بموجب المادة </w:t>
      </w:r>
      <w:r w:rsidR="00D2562D" w:rsidRPr="00AA67D7">
        <w:rPr>
          <w:rFonts w:eastAsiaTheme="minorEastAsia"/>
          <w:rtl/>
        </w:rPr>
        <w:t>63</w:t>
      </w:r>
      <w:r w:rsidR="00D2562D" w:rsidRPr="00D2562D">
        <w:rPr>
          <w:rFonts w:eastAsiaTheme="minorEastAsia"/>
          <w:rtl/>
        </w:rPr>
        <w:t>(</w:t>
      </w:r>
      <w:r w:rsidR="00D2562D" w:rsidRPr="00AA67D7">
        <w:rPr>
          <w:rFonts w:eastAsiaTheme="minorEastAsia"/>
          <w:rtl/>
        </w:rPr>
        <w:t>1</w:t>
      </w:r>
      <w:r w:rsidR="00D2562D" w:rsidRPr="00D2562D">
        <w:rPr>
          <w:rFonts w:eastAsiaTheme="minorEastAsia"/>
          <w:rtl/>
        </w:rPr>
        <w:t>)(</w:t>
      </w:r>
      <w:r w:rsidR="007954CB" w:rsidRPr="00AA67D7">
        <w:rPr>
          <w:rFonts w:eastAsiaTheme="minorEastAsia"/>
          <w:rtl/>
        </w:rPr>
        <w:t>2</w:t>
      </w:r>
      <w:r w:rsidR="007954CB" w:rsidRPr="007954CB">
        <w:rPr>
          <w:rFonts w:eastAsiaTheme="minorEastAsia"/>
          <w:rtl/>
        </w:rPr>
        <w:t xml:space="preserve">) </w:t>
      </w:r>
      <w:r w:rsidR="00D2562D" w:rsidRPr="00D2562D">
        <w:rPr>
          <w:rFonts w:eastAsiaTheme="minorEastAsia"/>
          <w:rtl/>
        </w:rPr>
        <w:t>من القانون، أن يكون تطبيق القانون متعارضاً بشكل بيّن لا جدال فيه مع الوضع القانوني السائد في ذلك الوقت وغير قابل للتأويلات. وفي هذا الصدد، لاحظت المحكمة أنه قبل اعتماد الآراء، كانت السوابق القضائية لهيئات الرصد الدولية المتعلقة بوزن تحديد الهوية الذاتية مقابل وزن تحديد هوية المجموعات غير واضحة في سياق تحديد من هو الصامي. وبالتالي، لا يمكن الخلوص إلى أن المحكمة، وقت اتخاذ القرارات المعنية، طبقت القانون على نحو خاطئ في ضوء السوابق القضائية المتاحة المتعلقة بالقانون الدولي.</w:t>
      </w:r>
    </w:p>
    <w:p w14:paraId="104CF7D7" w14:textId="74314DE8" w:rsidR="00D2562D" w:rsidRPr="00AA67D7" w:rsidRDefault="00FF33B9" w:rsidP="00D2562D">
      <w:pPr>
        <w:pStyle w:val="SingleTxtGA"/>
        <w:rPr>
          <w:rFonts w:eastAsiaTheme="minorEastAsia"/>
          <w:bCs/>
          <w:lang w:val="ar-SA" w:eastAsia="zh-TW" w:bidi="en-GB"/>
        </w:rPr>
      </w:pPr>
      <w:r>
        <w:rPr>
          <w:rFonts w:eastAsiaTheme="minorEastAsia"/>
          <w:rtl/>
        </w:rPr>
        <w:tab/>
      </w:r>
      <w:r w:rsidR="00D2562D" w:rsidRPr="00D2562D">
        <w:rPr>
          <w:rFonts w:eastAsiaTheme="minorEastAsia"/>
          <w:rtl/>
        </w:rPr>
        <w:t xml:space="preserve">وفي </w:t>
      </w:r>
      <w:r w:rsidR="00D2562D" w:rsidRPr="00AA67D7">
        <w:rPr>
          <w:rFonts w:eastAsiaTheme="minorEastAsia"/>
          <w:rtl/>
        </w:rPr>
        <w:t>1</w:t>
      </w:r>
      <w:r w:rsidR="00D2562D" w:rsidRPr="00D2562D">
        <w:rPr>
          <w:rFonts w:eastAsiaTheme="minorEastAsia"/>
          <w:rtl/>
        </w:rPr>
        <w:t xml:space="preserve"> تموز/يوليه </w:t>
      </w:r>
      <w:r w:rsidR="00D2562D" w:rsidRPr="00AA67D7">
        <w:rPr>
          <w:rFonts w:eastAsiaTheme="minorEastAsia"/>
          <w:rtl/>
        </w:rPr>
        <w:t>2019</w:t>
      </w:r>
      <w:r w:rsidR="00D2562D" w:rsidRPr="00D2562D">
        <w:rPr>
          <w:rFonts w:eastAsiaTheme="minorEastAsia"/>
          <w:rtl/>
        </w:rPr>
        <w:t>، شطبت اللجنة الانتخابية للبرلمان الصامي الأفراد الـ</w:t>
      </w:r>
      <w:r w:rsidR="00383F67">
        <w:rPr>
          <w:rFonts w:eastAsiaTheme="minorEastAsia" w:hint="cs"/>
          <w:rtl/>
        </w:rPr>
        <w:t xml:space="preserve"> </w:t>
      </w:r>
      <w:r w:rsidR="00D2562D" w:rsidRPr="00AA67D7">
        <w:rPr>
          <w:rFonts w:eastAsiaTheme="minorEastAsia"/>
          <w:rtl/>
        </w:rPr>
        <w:t>97</w:t>
      </w:r>
      <w:r w:rsidR="00D2562D" w:rsidRPr="00D2562D">
        <w:rPr>
          <w:rFonts w:eastAsiaTheme="minorEastAsia"/>
          <w:rtl/>
        </w:rPr>
        <w:t xml:space="preserve"> من القائمة الانتخابية. ومنذ ذلك الحين، اتصل بعض هؤلاء الأشخاص بالحكومة وأعربوا عن قلقهم لعدم الاستماع إليهم في الإجراءات المعروضة على اللجنة.</w:t>
      </w:r>
    </w:p>
    <w:p w14:paraId="73CCA11C" w14:textId="3ED73B76" w:rsidR="00D2562D" w:rsidRPr="00D2562D" w:rsidRDefault="00FF33B9"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وفيما يتعلق بتوصية اللجنة باستعراض المادة </w:t>
      </w:r>
      <w:r w:rsidR="00D2562D" w:rsidRPr="00AA67D7">
        <w:rPr>
          <w:rFonts w:eastAsiaTheme="minorEastAsia"/>
          <w:rtl/>
        </w:rPr>
        <w:t>3</w:t>
      </w:r>
      <w:r w:rsidR="00D2562D" w:rsidRPr="00D2562D">
        <w:rPr>
          <w:rFonts w:eastAsiaTheme="minorEastAsia"/>
          <w:rtl/>
        </w:rPr>
        <w:t xml:space="preserve"> من القانون المتعلق بالبرلمان الصامي، مع مراعاة توقيت انتخابات البرلمان الصامي المقرر إجراؤها في أيلول/سبتمبر </w:t>
      </w:r>
      <w:r w:rsidR="00D2562D" w:rsidRPr="00AA67D7">
        <w:rPr>
          <w:rFonts w:eastAsiaTheme="minorEastAsia"/>
          <w:rtl/>
        </w:rPr>
        <w:t>2019</w:t>
      </w:r>
      <w:r w:rsidR="00D2562D" w:rsidRPr="00D2562D">
        <w:rPr>
          <w:rFonts w:eastAsiaTheme="minorEastAsia"/>
          <w:rtl/>
        </w:rPr>
        <w:t>، خلصت الدولة الطرف إلى أنه لا يوجد وقت كاف لاستعراض التشريعات ذات الصلة وتعديلها حسب الاقتضاء قبل الانتخابات.</w:t>
      </w:r>
    </w:p>
    <w:p w14:paraId="0C4D9D3F" w14:textId="3C6B229E"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محامي صاحبة البلاغ</w:t>
      </w:r>
      <w:r w:rsidRPr="00D2562D">
        <w:rPr>
          <w:rFonts w:eastAsiaTheme="minorEastAsia"/>
        </w:rPr>
        <w:t>:</w:t>
      </w:r>
      <w:r w:rsidRPr="00D2562D">
        <w:rPr>
          <w:rFonts w:eastAsiaTheme="minorEastAsia"/>
          <w:rtl/>
        </w:rPr>
        <w:t xml:space="preserve"> </w:t>
      </w:r>
      <w:r w:rsidRPr="00AA67D7">
        <w:rPr>
          <w:rFonts w:eastAsiaTheme="minorEastAsia"/>
          <w:rtl/>
        </w:rPr>
        <w:t>24</w:t>
      </w:r>
      <w:r w:rsidRPr="00D2562D">
        <w:rPr>
          <w:rFonts w:eastAsiaTheme="minorEastAsia"/>
          <w:rtl/>
        </w:rPr>
        <w:t xml:space="preserve"> تشرين الأول/أكتوبر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6"/>
      </w:r>
      <w:r w:rsidRPr="00D2562D">
        <w:rPr>
          <w:rStyle w:val="FootnoteReference"/>
          <w:rFonts w:eastAsiaTheme="minorEastAsia"/>
          <w:sz w:val="22"/>
          <w:rtl/>
        </w:rPr>
        <w:t>)</w:t>
      </w:r>
    </w:p>
    <w:p w14:paraId="5CE79CC1" w14:textId="64861EA9" w:rsidR="007954CB" w:rsidRPr="007954CB" w:rsidRDefault="00FF33B9" w:rsidP="00D2562D">
      <w:pPr>
        <w:pStyle w:val="SingleTxtGA"/>
        <w:rPr>
          <w:rStyle w:val="FootnoteReference"/>
          <w:rFonts w:eastAsiaTheme="minorEastAsia"/>
          <w:sz w:val="22"/>
          <w:lang w:val="ar-SA" w:eastAsia="zh-TW" w:bidi="en-GB"/>
        </w:rPr>
      </w:pPr>
      <w:r>
        <w:rPr>
          <w:rFonts w:eastAsiaTheme="minorEastAsia"/>
          <w:rtl/>
        </w:rPr>
        <w:tab/>
      </w:r>
      <w:r w:rsidR="00D2562D" w:rsidRPr="00D2562D">
        <w:rPr>
          <w:rFonts w:eastAsiaTheme="minorEastAsia"/>
          <w:rtl/>
        </w:rPr>
        <w:t>تعرب صاحبة البلاغ عن خيبة أملها لعدم تنفيذ الدولة الطرف لآراء اللجنة في غضون مهلة الأشهر الستة وتشكك في حسن نية الدولة الطرف إزاء القيام بذلك، بالنظر إلى بعض العبارات والمعلومات الواردة في المعلومات التي قدمتها</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7"/>
      </w:r>
      <w:r w:rsidR="007954CB" w:rsidRPr="007954CB">
        <w:rPr>
          <w:rStyle w:val="FootnoteReference"/>
          <w:rFonts w:eastAsiaTheme="minorEastAsia"/>
          <w:sz w:val="22"/>
          <w:rtl/>
        </w:rPr>
        <w:t>)</w:t>
      </w:r>
      <w:r w:rsidR="007954CB" w:rsidRPr="007954CB">
        <w:rPr>
          <w:rFonts w:eastAsiaTheme="minorEastAsia"/>
          <w:rtl/>
        </w:rPr>
        <w:t>.</w:t>
      </w:r>
    </w:p>
    <w:p w14:paraId="535FE594" w14:textId="3C757613" w:rsidR="00D2562D" w:rsidRPr="00D2562D" w:rsidRDefault="00FF33B9"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وتلاحظ أن الدولة الطرف تشير إلى بيان نشره أربعة أعضاء في البرلمان الصامي الحالي في</w:t>
      </w:r>
      <w:r>
        <w:rPr>
          <w:rFonts w:eastAsiaTheme="minorEastAsia" w:hint="cs"/>
          <w:rtl/>
        </w:rPr>
        <w:t> </w:t>
      </w:r>
      <w:r w:rsidR="00D2562D" w:rsidRPr="00AA67D7">
        <w:rPr>
          <w:rFonts w:eastAsiaTheme="minorEastAsia"/>
          <w:rtl/>
        </w:rPr>
        <w:t>21</w:t>
      </w:r>
      <w:r w:rsidR="00D2562D" w:rsidRPr="00D2562D">
        <w:rPr>
          <w:rFonts w:eastAsiaTheme="minorEastAsia"/>
          <w:rtl/>
        </w:rPr>
        <w:t xml:space="preserve"> شباط/فبراير </w:t>
      </w:r>
      <w:r w:rsidR="00D2562D" w:rsidRPr="00AA67D7">
        <w:rPr>
          <w:rFonts w:eastAsiaTheme="minorEastAsia"/>
          <w:rtl/>
        </w:rPr>
        <w:t>2019</w:t>
      </w:r>
      <w:r w:rsidR="00D2562D" w:rsidRPr="00D2562D">
        <w:rPr>
          <w:rFonts w:eastAsiaTheme="minorEastAsia"/>
          <w:rtl/>
        </w:rPr>
        <w:t xml:space="preserve">، جاء فيه أن آراء اللجنة والأسباب المقدمة لدعمها متحيزة وتستند إلى معلومات غير دقيقة، وأن الجلسة المكتملة للبرلمان الصامي في فنلندا لم تتناول هذه المسألة. وتؤكد أن الدولة الطرف، باعتمادها على بيان صادر عن </w:t>
      </w:r>
      <w:r w:rsidR="00D2562D" w:rsidRPr="00AA67D7">
        <w:rPr>
          <w:rFonts w:eastAsiaTheme="minorEastAsia"/>
          <w:rtl/>
        </w:rPr>
        <w:t>4</w:t>
      </w:r>
      <w:r w:rsidR="00D2562D" w:rsidRPr="00D2562D">
        <w:rPr>
          <w:rFonts w:eastAsiaTheme="minorEastAsia"/>
          <w:rtl/>
        </w:rPr>
        <w:t xml:space="preserve"> أعضاء من أصل </w:t>
      </w:r>
      <w:r w:rsidR="00D2562D" w:rsidRPr="00AA67D7">
        <w:rPr>
          <w:rFonts w:eastAsiaTheme="minorEastAsia"/>
          <w:rtl/>
        </w:rPr>
        <w:t>21</w:t>
      </w:r>
      <w:r w:rsidR="00D2562D" w:rsidRPr="00D2562D">
        <w:rPr>
          <w:rFonts w:eastAsiaTheme="minorEastAsia"/>
          <w:rtl/>
        </w:rPr>
        <w:t xml:space="preserve"> عضواً في هيئة البرلمان الصامي، تبدو وكأنها تنحاز إليهم من خلال الطعن في سلطتها لتمثيل الصاميين. وتشير إلى أنها تصرفت كرئيسة منتخبة للبرلمان الصامي بإذن صريح من مجلسه التنفيذي، وهو السلطة المختصة بالبت في هذه المسائل. وبالإضافة إلى ذلك، تلاحظ أن الدولة الطرف تنتقد اللجنة على ما يبدو لعدم استماعها لأطراف ثالثة عند النظر في البلاغ. وتذكر بأنه ينبغي الفصل في أي قضية من قضايا القانون الدولي لحقوق الإنسان بين ضحية الانتهاك المزعوم والدولة الطرف المعنية.</w:t>
      </w:r>
    </w:p>
    <w:p w14:paraId="20F7414C" w14:textId="7DF1B0EC" w:rsidR="00D2562D" w:rsidRPr="00D2562D" w:rsidRDefault="00261ADA" w:rsidP="00D2562D">
      <w:pPr>
        <w:pStyle w:val="SingleTxtGA"/>
        <w:rPr>
          <w:rFonts w:eastAsiaTheme="minorEastAsia"/>
          <w:lang w:val="ar-SA" w:eastAsia="zh-TW" w:bidi="en-GB"/>
        </w:rPr>
      </w:pPr>
      <w:r>
        <w:rPr>
          <w:rFonts w:eastAsiaTheme="minorEastAsia"/>
          <w:rtl/>
        </w:rPr>
        <w:lastRenderedPageBreak/>
        <w:tab/>
      </w:r>
      <w:r w:rsidR="00D2562D" w:rsidRPr="00D2562D">
        <w:rPr>
          <w:rFonts w:eastAsiaTheme="minorEastAsia"/>
          <w:rtl/>
        </w:rPr>
        <w:t>وتؤكد أن المعلومات المقدمة من الدولة الطرف تسيء عرض الأحكام التي أصدرتها المحكمة</w:t>
      </w:r>
      <w:r w:rsidR="00383F67">
        <w:rPr>
          <w:rFonts w:eastAsiaTheme="minorEastAsia" w:hint="cs"/>
          <w:rtl/>
        </w:rPr>
        <w:t> </w:t>
      </w:r>
      <w:r w:rsidR="00D2562D" w:rsidRPr="00D2562D">
        <w:rPr>
          <w:rFonts w:eastAsiaTheme="minorEastAsia"/>
          <w:rtl/>
        </w:rPr>
        <w:t xml:space="preserve">الإدارية العليا في عام </w:t>
      </w:r>
      <w:r w:rsidR="00D2562D" w:rsidRPr="00AA67D7">
        <w:rPr>
          <w:rFonts w:eastAsiaTheme="minorEastAsia"/>
          <w:rtl/>
        </w:rPr>
        <w:t>201</w:t>
      </w:r>
      <w:r w:rsidR="007954CB" w:rsidRPr="00AA67D7">
        <w:rPr>
          <w:rFonts w:eastAsiaTheme="minorEastAsia"/>
          <w:rtl/>
        </w:rPr>
        <w:t>5</w:t>
      </w:r>
      <w:r w:rsidR="007954CB" w:rsidRPr="007954CB">
        <w:rPr>
          <w:rFonts w:eastAsiaTheme="minorEastAsia"/>
          <w:rtl/>
        </w:rPr>
        <w:t xml:space="preserve">. </w:t>
      </w:r>
      <w:r w:rsidR="00D2562D" w:rsidRPr="00D2562D">
        <w:rPr>
          <w:rFonts w:eastAsiaTheme="minorEastAsia"/>
          <w:rtl/>
        </w:rPr>
        <w:t xml:space="preserve">فقد ادعت الدولة الطرف أن المستأنفين في هذه الحالات استوفوا، من حيث المبدأ، المعايير المنصوص عليها في المادة </w:t>
      </w:r>
      <w:r w:rsidR="00D2562D" w:rsidRPr="00AA67D7">
        <w:rPr>
          <w:rFonts w:eastAsiaTheme="minorEastAsia"/>
          <w:rtl/>
        </w:rPr>
        <w:t>3</w:t>
      </w:r>
      <w:r w:rsidR="00D2562D" w:rsidRPr="00D2562D">
        <w:rPr>
          <w:rFonts w:eastAsiaTheme="minorEastAsia"/>
          <w:rtl/>
        </w:rPr>
        <w:t>(</w:t>
      </w:r>
      <w:r w:rsidR="007954CB" w:rsidRPr="00AA67D7">
        <w:rPr>
          <w:rFonts w:eastAsiaTheme="minorEastAsia"/>
          <w:rtl/>
        </w:rPr>
        <w:t>2</w:t>
      </w:r>
      <w:r w:rsidR="007954CB" w:rsidRPr="007954CB">
        <w:rPr>
          <w:rFonts w:eastAsiaTheme="minorEastAsia"/>
          <w:rtl/>
        </w:rPr>
        <w:t xml:space="preserve">) </w:t>
      </w:r>
      <w:r w:rsidR="00D2562D" w:rsidRPr="00D2562D">
        <w:rPr>
          <w:rFonts w:eastAsiaTheme="minorEastAsia"/>
          <w:rtl/>
        </w:rPr>
        <w:t xml:space="preserve">من قانون البرلمان الصامي، في حين أن المحكمة ذكرت صراحة في الواقع أنه لم يُستوفَ أي من المعايير الموضوعية في معظم الحالات، بل أُمر المستأنفون رغم ذلك بإدراج أنفسهم في القائمة الانتخابية على أساس </w:t>
      </w:r>
      <w:r w:rsidR="00142AB1">
        <w:rPr>
          <w:rFonts w:eastAsiaTheme="minorEastAsia" w:hint="cs"/>
          <w:rtl/>
        </w:rPr>
        <w:t>"</w:t>
      </w:r>
      <w:r w:rsidR="00D2562D" w:rsidRPr="00D2562D">
        <w:rPr>
          <w:rFonts w:eastAsiaTheme="minorEastAsia"/>
          <w:rtl/>
        </w:rPr>
        <w:t>النظرة الشاملة</w:t>
      </w:r>
      <w:r w:rsidR="00142AB1">
        <w:rPr>
          <w:rFonts w:eastAsiaTheme="minorEastAsia" w:hint="cs"/>
          <w:rtl/>
        </w:rPr>
        <w:t>"</w:t>
      </w:r>
      <w:r w:rsidR="00D2562D" w:rsidRPr="00D2562D">
        <w:rPr>
          <w:rFonts w:eastAsiaTheme="minorEastAsia"/>
          <w:rtl/>
        </w:rPr>
        <w:t xml:space="preserve"> للمحكمة. وتدعي صاحبة البلاغ أن تحريف أحكام المحكمة له آثار تتجاوز تنفيذ آراء اللجنة بشأن انتخابات البرلمان الصامي لعام </w:t>
      </w:r>
      <w:r w:rsidR="00D2562D" w:rsidRPr="00AA67D7">
        <w:rPr>
          <w:rFonts w:eastAsiaTheme="minorEastAsia"/>
          <w:rtl/>
        </w:rPr>
        <w:t>201</w:t>
      </w:r>
      <w:r w:rsidR="007954CB" w:rsidRPr="00AA67D7">
        <w:rPr>
          <w:rFonts w:eastAsiaTheme="minorEastAsia"/>
          <w:rtl/>
        </w:rPr>
        <w:t>9</w:t>
      </w:r>
      <w:r w:rsidR="007954CB" w:rsidRPr="007954CB">
        <w:rPr>
          <w:rFonts w:eastAsiaTheme="minorEastAsia"/>
          <w:rtl/>
        </w:rPr>
        <w:t xml:space="preserve">. </w:t>
      </w:r>
      <w:r w:rsidR="00D2562D" w:rsidRPr="00D2562D">
        <w:rPr>
          <w:rFonts w:eastAsiaTheme="minorEastAsia"/>
          <w:rtl/>
        </w:rPr>
        <w:t>وتبلغ اللجنةَ بأنه تم تقديم بلاغات جديدة بشأن هذه المسألة.</w:t>
      </w:r>
    </w:p>
    <w:p w14:paraId="4890D4FA" w14:textId="31185DAE"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وبالنظر إلى استنفاد السبل القضائية لتنفيذ آراء اللجنة، تطلب صاحبة البلاغ إلى اللجنة أن تحث الدولة الطرف على اتخاذ إجراءات تشريعية فورية لتعديل المادة </w:t>
      </w:r>
      <w:r w:rsidR="00D2562D" w:rsidRPr="00AA67D7">
        <w:rPr>
          <w:rFonts w:eastAsiaTheme="minorEastAsia"/>
          <w:rtl/>
        </w:rPr>
        <w:t>3</w:t>
      </w:r>
      <w:r w:rsidR="00D2562D" w:rsidRPr="00D2562D">
        <w:rPr>
          <w:rFonts w:eastAsiaTheme="minorEastAsia"/>
          <w:rtl/>
        </w:rPr>
        <w:t xml:space="preserve"> من القانون المتعلق بالبرلمان الصامي، بالاتفاق مع البرلمان الصامي وبطريقة تحترم حق الشعب الصامي في تقرير مصيره الداخلي وتمنع أي انتهاكات للعهد في المستقبل من جانب الدولة الطرف.</w:t>
      </w:r>
    </w:p>
    <w:p w14:paraId="774768E3"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تقييم اللجنة:</w:t>
      </w:r>
    </w:p>
    <w:p w14:paraId="098FC627" w14:textId="08A8C334"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(أ)</w:t>
      </w:r>
      <w:r w:rsidR="00D2562D" w:rsidRPr="00D2562D">
        <w:rPr>
          <w:rFonts w:eastAsiaTheme="minorEastAsia"/>
          <w:rtl/>
        </w:rPr>
        <w:tab/>
        <w:t>الجبر الكامل: جيم؛</w:t>
      </w:r>
    </w:p>
    <w:p w14:paraId="6BB1790B" w14:textId="4D55464E"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(ب)</w:t>
      </w:r>
      <w:r w:rsidR="00D2562D" w:rsidRPr="00D2562D">
        <w:rPr>
          <w:rFonts w:eastAsiaTheme="minorEastAsia"/>
          <w:rtl/>
        </w:rPr>
        <w:tab/>
        <w:t xml:space="preserve">مراجعة المادة </w:t>
      </w:r>
      <w:r w:rsidR="00D2562D" w:rsidRPr="00AA67D7">
        <w:rPr>
          <w:rFonts w:eastAsiaTheme="minorEastAsia"/>
          <w:rtl/>
        </w:rPr>
        <w:t>3</w:t>
      </w:r>
      <w:r w:rsidR="00D2562D" w:rsidRPr="00D2562D">
        <w:rPr>
          <w:rFonts w:eastAsiaTheme="minorEastAsia"/>
          <w:rtl/>
        </w:rPr>
        <w:t xml:space="preserve"> من القانون المتعلق بالبرلمان الصامي: جيم؛</w:t>
      </w:r>
    </w:p>
    <w:p w14:paraId="127D81A7" w14:textId="5B7702D0"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(ج)</w:t>
      </w:r>
      <w:r w:rsidR="00D2562D" w:rsidRPr="00D2562D">
        <w:rPr>
          <w:rFonts w:eastAsiaTheme="minorEastAsia"/>
          <w:rtl/>
        </w:rPr>
        <w:tab/>
        <w:t>عدم التكرار: جيم.</w:t>
      </w:r>
    </w:p>
    <w:p w14:paraId="73E39172"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قرار اللجنة</w:t>
      </w:r>
      <w:r w:rsidRPr="00D2562D">
        <w:rPr>
          <w:rFonts w:eastAsiaTheme="minorEastAsia"/>
          <w:rtl/>
        </w:rPr>
        <w:t>: مواصلة حوار المتابعة.</w:t>
      </w:r>
    </w:p>
    <w:p w14:paraId="7C4FC1F0" w14:textId="0ECEB95A" w:rsidR="00D2562D" w:rsidRPr="00AA67D7" w:rsidRDefault="00261ADA" w:rsidP="00261ADA">
      <w:pPr>
        <w:pStyle w:val="H23GA"/>
        <w:rPr>
          <w:lang w:val="ar-SA" w:eastAsia="zh-TW" w:bidi="en-GB"/>
        </w:rPr>
      </w:pPr>
      <w:r w:rsidRPr="00AA67D7">
        <w:rPr>
          <w:rtl/>
        </w:rPr>
        <w:tab/>
      </w:r>
      <w:r w:rsidR="00D2562D" w:rsidRPr="00AA67D7">
        <w:rPr>
          <w:rtl/>
        </w:rPr>
        <w:t>3-</w:t>
      </w:r>
      <w:r w:rsidR="00D2562D" w:rsidRPr="00AA67D7">
        <w:rPr>
          <w:rtl/>
        </w:rPr>
        <w:tab/>
        <w:t>موريشيوس</w:t>
      </w:r>
    </w:p>
    <w:p w14:paraId="1AD01A63" w14:textId="77777777" w:rsidR="00D2562D" w:rsidRPr="00AA67D7" w:rsidRDefault="00D2562D" w:rsidP="00D2562D">
      <w:pPr>
        <w:pStyle w:val="SingleTxtGA"/>
        <w:rPr>
          <w:rFonts w:eastAsiaTheme="minorEastAsia"/>
          <w:b/>
          <w:bCs/>
          <w:lang w:val="ar-SA" w:eastAsia="zh-TW" w:bidi="en-GB"/>
        </w:rPr>
      </w:pPr>
      <w:r w:rsidRPr="00AA67D7">
        <w:rPr>
          <w:rFonts w:eastAsiaTheme="minorEastAsia"/>
          <w:b/>
          <w:bCs/>
          <w:rtl/>
        </w:rPr>
        <w:t xml:space="preserve">البلاغ رقم 1744/2007، </w:t>
      </w:r>
      <w:r w:rsidRPr="00AA67D7">
        <w:rPr>
          <w:rFonts w:eastAsiaTheme="minorEastAsia"/>
          <w:b/>
          <w:bCs/>
          <w:i/>
          <w:iCs/>
          <w:rtl/>
        </w:rPr>
        <w:t>نارين وآخرون</w:t>
      </w:r>
    </w:p>
    <w:p w14:paraId="3C9107BB" w14:textId="2A3F6650" w:rsidR="00D2562D" w:rsidRPr="00D2562D" w:rsidRDefault="00D2562D" w:rsidP="00D2562D">
      <w:pPr>
        <w:pStyle w:val="SingleTxtGA"/>
        <w:rPr>
          <w:rFonts w:eastAsiaTheme="minorEastAsia"/>
          <w:lang w:val="ar-SA" w:eastAsia="zh-TW" w:bidi="en-GB"/>
        </w:rPr>
      </w:pPr>
      <w:r w:rsidRPr="00AA67D7">
        <w:rPr>
          <w:rFonts w:eastAsiaTheme="minorEastAsia"/>
          <w:b/>
          <w:bCs/>
          <w:rtl/>
        </w:rPr>
        <w:t>تاريخ اعتماد الآراء</w:t>
      </w:r>
      <w:r w:rsidR="00261ADA" w:rsidRPr="00AA67D7">
        <w:rPr>
          <w:rFonts w:eastAsiaTheme="minorEastAsia" w:hint="cs"/>
          <w:b/>
          <w:bCs/>
          <w:rtl/>
        </w:rPr>
        <w:t>:</w:t>
      </w:r>
      <w:r w:rsidR="00261ADA" w:rsidRPr="00AA67D7">
        <w:rPr>
          <w:rFonts w:eastAsiaTheme="minorEastAsia"/>
          <w:b/>
          <w:bCs/>
          <w:rtl/>
        </w:rPr>
        <w:tab/>
      </w:r>
      <w:r w:rsidR="00261ADA">
        <w:rPr>
          <w:rFonts w:eastAsiaTheme="minorEastAsia"/>
          <w:rtl/>
        </w:rPr>
        <w:tab/>
      </w:r>
      <w:r w:rsidRPr="00D2562D">
        <w:rPr>
          <w:rFonts w:eastAsiaTheme="minorEastAsia"/>
          <w:rtl/>
        </w:rPr>
        <w:tab/>
      </w:r>
      <w:r w:rsidRPr="00AA67D7">
        <w:rPr>
          <w:rFonts w:eastAsiaTheme="minorEastAsia"/>
          <w:rtl/>
        </w:rPr>
        <w:t>27</w:t>
      </w:r>
      <w:r w:rsidRPr="00D2562D">
        <w:rPr>
          <w:rFonts w:eastAsiaTheme="minorEastAsia"/>
          <w:rtl/>
        </w:rPr>
        <w:t xml:space="preserve"> تموز/يوليه </w:t>
      </w:r>
      <w:r w:rsidRPr="00AA67D7">
        <w:rPr>
          <w:rFonts w:eastAsiaTheme="minorEastAsia"/>
          <w:rtl/>
        </w:rPr>
        <w:t>2012</w:t>
      </w:r>
    </w:p>
    <w:p w14:paraId="22E25A84" w14:textId="5D44D816" w:rsidR="00D2562D" w:rsidRPr="00D2562D" w:rsidRDefault="00D2562D" w:rsidP="00D2562D">
      <w:pPr>
        <w:pStyle w:val="SingleTxtGA"/>
        <w:rPr>
          <w:rFonts w:eastAsiaTheme="minorEastAsia"/>
          <w:lang w:val="ar-SA" w:eastAsia="zh-TW" w:bidi="en-GB"/>
        </w:rPr>
      </w:pPr>
      <w:r w:rsidRPr="00AA67D7">
        <w:rPr>
          <w:rFonts w:eastAsiaTheme="minorEastAsia"/>
          <w:b/>
          <w:bCs/>
          <w:rtl/>
        </w:rPr>
        <w:t>المواد المنتهكة:</w:t>
      </w:r>
      <w:r w:rsidRPr="00D2562D">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 xml:space="preserve">المادة </w:t>
      </w:r>
      <w:r w:rsidRPr="00AA67D7">
        <w:rPr>
          <w:rFonts w:eastAsiaTheme="minorEastAsia"/>
          <w:rtl/>
        </w:rPr>
        <w:t>25</w:t>
      </w:r>
      <w:r w:rsidRPr="00D2562D">
        <w:rPr>
          <w:rFonts w:eastAsiaTheme="minorEastAsia"/>
          <w:rtl/>
        </w:rPr>
        <w:t>(ب)</w:t>
      </w:r>
    </w:p>
    <w:p w14:paraId="60B73BAA" w14:textId="2DF0D1DC" w:rsidR="00D2562D" w:rsidRPr="00D2562D" w:rsidRDefault="00D2562D" w:rsidP="00261ADA">
      <w:pPr>
        <w:pStyle w:val="SingleTxtGA"/>
        <w:ind w:left="4649" w:hanging="3402"/>
        <w:rPr>
          <w:rFonts w:eastAsiaTheme="minorEastAsia"/>
          <w:lang w:val="ar-SA" w:eastAsia="zh-TW" w:bidi="en-GB"/>
        </w:rPr>
      </w:pPr>
      <w:r w:rsidRPr="00AA67D7">
        <w:rPr>
          <w:rFonts w:eastAsiaTheme="minorEastAsia"/>
          <w:b/>
          <w:bCs/>
          <w:rtl/>
        </w:rPr>
        <w:t>إجراء الانتصاف:</w:t>
      </w:r>
      <w:r w:rsidRPr="00D2562D">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 xml:space="preserve">(أ) توفير سبيل انتصاف فعال لأصحاب البلاغ، بما في ذلك التعويض في شكل سداد لأي نفقات قانونية تكبدوها في التقاضي في القضية؛ (ب) وتحديث تعداد عام </w:t>
      </w:r>
      <w:r w:rsidRPr="00AA67D7">
        <w:rPr>
          <w:rFonts w:eastAsiaTheme="minorEastAsia"/>
          <w:rtl/>
        </w:rPr>
        <w:t>1972</w:t>
      </w:r>
      <w:r w:rsidRPr="00D2562D">
        <w:rPr>
          <w:rFonts w:eastAsiaTheme="minorEastAsia"/>
          <w:rtl/>
        </w:rPr>
        <w:t xml:space="preserve"> فيما يتعلق بالانتماء الطائفي، وإعادة النظر فيما إذا كان النظام الانتخابي القائم على التصنيف الطائفي لا يزال ضرورياً؛ (ج) وتجنب وقوع انتهاكات مماثلة في المستقبل.</w:t>
      </w:r>
    </w:p>
    <w:p w14:paraId="7078CE0F" w14:textId="7EC32245" w:rsidR="00D2562D" w:rsidRPr="00AA67D7" w:rsidRDefault="00D2562D" w:rsidP="00261ADA">
      <w:pPr>
        <w:pStyle w:val="SingleTxtGA"/>
        <w:ind w:left="4649" w:hanging="3402"/>
        <w:rPr>
          <w:rFonts w:eastAsiaTheme="minorEastAsia"/>
          <w:bCs/>
          <w:spacing w:val="-2"/>
          <w:lang w:val="ar-SA" w:eastAsia="zh-TW" w:bidi="en-GB"/>
        </w:rPr>
      </w:pPr>
      <w:r w:rsidRPr="00AA67D7">
        <w:rPr>
          <w:rFonts w:eastAsiaTheme="minorEastAsia"/>
          <w:b/>
          <w:bCs/>
          <w:rtl/>
        </w:rPr>
        <w:t>الموضوع:</w:t>
      </w:r>
      <w:r w:rsidRPr="00D2562D">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اشتراط أن يعّرف المرشحون المحتملون لانتخابات الجمعية الوطنية أنفسهم ضمن إحدى الفئات الأربع لسكان موريشيوس</w:t>
      </w:r>
    </w:p>
    <w:p w14:paraId="0B0D6F6E" w14:textId="44545B3F" w:rsidR="007954CB" w:rsidRPr="007954CB" w:rsidRDefault="00D2562D" w:rsidP="007954CB">
      <w:pPr>
        <w:pStyle w:val="SingleTxtGA"/>
        <w:ind w:left="4649" w:hanging="3402"/>
        <w:rPr>
          <w:rFonts w:eastAsiaTheme="minorEastAsia"/>
          <w:spacing w:val="-2"/>
          <w:lang w:val="ar-SA" w:eastAsia="zh-TW" w:bidi="en-GB"/>
        </w:rPr>
      </w:pPr>
      <w:r w:rsidRPr="00AA67D7">
        <w:rPr>
          <w:rFonts w:eastAsiaTheme="minorEastAsia"/>
          <w:b/>
          <w:bCs/>
          <w:rtl/>
        </w:rPr>
        <w:t>معلومات المتابعة المقدمة سابقاً:</w:t>
      </w:r>
      <w:r w:rsidR="00261ADA">
        <w:rPr>
          <w:rFonts w:eastAsiaTheme="minorEastAsia"/>
          <w:rtl/>
        </w:rPr>
        <w:tab/>
      </w:r>
      <w:r w:rsidRPr="00D2562D">
        <w:rPr>
          <w:rFonts w:eastAsiaTheme="minorEastAsia"/>
          <w:rtl/>
        </w:rPr>
        <w:tab/>
      </w:r>
      <w:hyperlink r:id="rId9" w:history="1">
        <w:r w:rsidRPr="007954CB">
          <w:rPr>
            <w:rStyle w:val="Hyperlink"/>
            <w:lang w:val="en-US"/>
          </w:rPr>
          <w:t>A/</w:t>
        </w:r>
        <w:r w:rsidRPr="00AA67D7">
          <w:rPr>
            <w:rStyle w:val="Hyperlink"/>
            <w:lang w:val="en-US"/>
          </w:rPr>
          <w:t>68</w:t>
        </w:r>
        <w:r w:rsidRPr="007954CB">
          <w:rPr>
            <w:rStyle w:val="Hyperlink"/>
            <w:lang w:val="en-US"/>
          </w:rPr>
          <w:t>/</w:t>
        </w:r>
        <w:r w:rsidRPr="00AA67D7">
          <w:rPr>
            <w:rStyle w:val="Hyperlink"/>
            <w:lang w:val="en-US"/>
          </w:rPr>
          <w:t>40</w:t>
        </w:r>
      </w:hyperlink>
      <w:r w:rsidRPr="00D2562D">
        <w:rPr>
          <w:rFonts w:eastAsiaTheme="minorEastAsia"/>
          <w:rtl/>
        </w:rPr>
        <w:t xml:space="preserve"> (</w:t>
      </w:r>
      <w:hyperlink r:id="rId10" w:history="1">
        <w:r w:rsidRPr="000371C7">
          <w:rPr>
            <w:rStyle w:val="Hyperlink"/>
            <w:rFonts w:eastAsiaTheme="minorEastAsia"/>
            <w:rtl/>
          </w:rPr>
          <w:t>المجلد الأول</w:t>
        </w:r>
      </w:hyperlink>
      <w:r w:rsidR="007954CB" w:rsidRPr="007954CB">
        <w:rPr>
          <w:rFonts w:eastAsiaTheme="minorEastAsia"/>
          <w:rtl/>
        </w:rPr>
        <w:t xml:space="preserve">)، </w:t>
      </w:r>
      <w:r w:rsidRPr="00D2562D">
        <w:rPr>
          <w:rFonts w:eastAsiaTheme="minorEastAsia"/>
          <w:rtl/>
        </w:rPr>
        <w:t xml:space="preserve">الصفحتان </w:t>
      </w:r>
      <w:r w:rsidRPr="00AA67D7">
        <w:rPr>
          <w:rFonts w:eastAsiaTheme="minorEastAsia"/>
          <w:rtl/>
        </w:rPr>
        <w:t>176</w:t>
      </w:r>
      <w:r w:rsidRPr="00D2562D">
        <w:rPr>
          <w:rFonts w:eastAsiaTheme="minorEastAsia"/>
          <w:rtl/>
        </w:rPr>
        <w:t xml:space="preserve"> و</w:t>
      </w:r>
      <w:r w:rsidRPr="00AA67D7">
        <w:rPr>
          <w:rFonts w:eastAsiaTheme="minorEastAsia"/>
          <w:rtl/>
        </w:rPr>
        <w:t>177</w:t>
      </w:r>
      <w:r w:rsidRPr="00D2562D">
        <w:rPr>
          <w:rFonts w:eastAsiaTheme="minorEastAsia"/>
          <w:rtl/>
        </w:rPr>
        <w:t>،</w:t>
      </w:r>
      <w:r w:rsidR="007954CB" w:rsidRPr="00D2562D">
        <w:rPr>
          <w:rFonts w:eastAsiaTheme="minorEastAsia"/>
          <w:rtl/>
        </w:rPr>
        <w:t xml:space="preserve"> و</w:t>
      </w:r>
      <w:hyperlink r:id="rId11" w:history="1">
        <w:r w:rsidR="007954CB" w:rsidRPr="007954CB">
          <w:rPr>
            <w:rStyle w:val="Hyperlink"/>
            <w:lang w:val="en-US"/>
          </w:rPr>
          <w:t>A</w:t>
        </w:r>
        <w:r w:rsidRPr="007954CB">
          <w:rPr>
            <w:rStyle w:val="Hyperlink"/>
            <w:lang w:val="en-US"/>
          </w:rPr>
          <w:t>/</w:t>
        </w:r>
        <w:r w:rsidRPr="00AA67D7">
          <w:rPr>
            <w:rStyle w:val="Hyperlink"/>
            <w:lang w:val="en-US"/>
          </w:rPr>
          <w:t>69</w:t>
        </w:r>
        <w:r w:rsidRPr="007954CB">
          <w:rPr>
            <w:rStyle w:val="Hyperlink"/>
            <w:lang w:val="en-US"/>
          </w:rPr>
          <w:t>/</w:t>
        </w:r>
        <w:r w:rsidRPr="00AA67D7">
          <w:rPr>
            <w:rStyle w:val="Hyperlink"/>
            <w:lang w:val="en-US"/>
          </w:rPr>
          <w:t>40</w:t>
        </w:r>
      </w:hyperlink>
      <w:r w:rsidRPr="00D2562D">
        <w:rPr>
          <w:rFonts w:eastAsiaTheme="minorEastAsia"/>
          <w:rtl/>
        </w:rPr>
        <w:t xml:space="preserve"> (</w:t>
      </w:r>
      <w:hyperlink r:id="rId12" w:history="1">
        <w:r w:rsidRPr="000371C7">
          <w:rPr>
            <w:rStyle w:val="Hyperlink"/>
            <w:rFonts w:eastAsiaTheme="minorEastAsia"/>
            <w:rtl/>
          </w:rPr>
          <w:t>المجلد الأول</w:t>
        </w:r>
      </w:hyperlink>
      <w:r w:rsidR="007954CB" w:rsidRPr="007954CB">
        <w:rPr>
          <w:rFonts w:eastAsiaTheme="minorEastAsia"/>
          <w:rtl/>
        </w:rPr>
        <w:t xml:space="preserve">)، </w:t>
      </w:r>
      <w:r w:rsidRPr="00D2562D">
        <w:rPr>
          <w:rFonts w:eastAsiaTheme="minorEastAsia"/>
          <w:rtl/>
        </w:rPr>
        <w:t xml:space="preserve">الصفحتان </w:t>
      </w:r>
      <w:r w:rsidRPr="00AA67D7">
        <w:rPr>
          <w:rFonts w:eastAsiaTheme="minorEastAsia"/>
          <w:rtl/>
        </w:rPr>
        <w:t>200</w:t>
      </w:r>
      <w:r w:rsidRPr="00D2562D">
        <w:rPr>
          <w:rFonts w:eastAsiaTheme="minorEastAsia"/>
          <w:rtl/>
        </w:rPr>
        <w:t xml:space="preserve"> و</w:t>
      </w:r>
      <w:r w:rsidRPr="00AA67D7">
        <w:rPr>
          <w:rFonts w:eastAsiaTheme="minorEastAsia"/>
          <w:rtl/>
        </w:rPr>
        <w:t>20</w:t>
      </w:r>
      <w:r w:rsidR="007954CB" w:rsidRPr="00AA67D7">
        <w:rPr>
          <w:rFonts w:eastAsiaTheme="minorEastAsia"/>
          <w:rtl/>
        </w:rPr>
        <w:t>1</w:t>
      </w:r>
      <w:r w:rsidR="007954CB" w:rsidRPr="007954CB">
        <w:rPr>
          <w:rFonts w:eastAsiaTheme="minorEastAsia"/>
          <w:rtl/>
        </w:rPr>
        <w:t>.</w:t>
      </w:r>
    </w:p>
    <w:p w14:paraId="618C9559" w14:textId="51E58290"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lastRenderedPageBreak/>
        <w:t>المعلومات المقدمة من محامي أصحاب البلاغ:</w:t>
      </w:r>
      <w:r w:rsidR="00261ADA" w:rsidRPr="00546212">
        <w:rPr>
          <w:rFonts w:eastAsiaTheme="minorEastAsia"/>
          <w:rtl/>
        </w:rPr>
        <w:tab/>
      </w:r>
      <w:r w:rsidRPr="00AA67D7">
        <w:rPr>
          <w:rFonts w:eastAsiaTheme="minorEastAsia"/>
          <w:rtl/>
        </w:rPr>
        <w:t>6</w:t>
      </w:r>
      <w:r w:rsidRPr="00D2562D">
        <w:rPr>
          <w:rFonts w:eastAsiaTheme="minorEastAsia"/>
          <w:rtl/>
        </w:rPr>
        <w:t xml:space="preserve"> تشرين الثاني/نوفمبر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8"/>
      </w:r>
      <w:r w:rsidRPr="00D2562D">
        <w:rPr>
          <w:rStyle w:val="FootnoteReference"/>
          <w:rFonts w:eastAsiaTheme="minorEastAsia"/>
          <w:sz w:val="22"/>
          <w:rtl/>
        </w:rPr>
        <w:t>)</w:t>
      </w:r>
    </w:p>
    <w:p w14:paraId="694A5F7B" w14:textId="76113516"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يدفع محامي أصحاب البلاغ بأن الدولة الطرف لم توفر سبيل انتصاف فعالاً وقابلاً للإنفاذ فيما</w:t>
      </w:r>
      <w:r w:rsidR="007954CB">
        <w:rPr>
          <w:rFonts w:eastAsiaTheme="minorEastAsia" w:hint="cs"/>
          <w:rtl/>
        </w:rPr>
        <w:t> </w:t>
      </w:r>
      <w:r w:rsidR="00D2562D" w:rsidRPr="00D2562D">
        <w:rPr>
          <w:rFonts w:eastAsiaTheme="minorEastAsia"/>
          <w:rtl/>
        </w:rPr>
        <w:t xml:space="preserve">يتعلق بانتهاك المادة </w:t>
      </w:r>
      <w:r w:rsidR="00D2562D" w:rsidRPr="00AA67D7">
        <w:rPr>
          <w:rFonts w:eastAsiaTheme="minorEastAsia"/>
          <w:rtl/>
        </w:rPr>
        <w:t>25</w:t>
      </w:r>
      <w:r w:rsidR="00D2562D" w:rsidRPr="00D2562D">
        <w:rPr>
          <w:rFonts w:eastAsiaTheme="minorEastAsia"/>
          <w:rtl/>
        </w:rPr>
        <w:t xml:space="preserve">(ب) من العهد، مشيراً إلى أن الدولة الطرف عدّلت دستورها في </w:t>
      </w:r>
      <w:r w:rsidR="00D2562D" w:rsidRPr="00AA67D7">
        <w:rPr>
          <w:rFonts w:eastAsiaTheme="minorEastAsia"/>
          <w:rtl/>
        </w:rPr>
        <w:t>14</w:t>
      </w:r>
      <w:r w:rsidR="00D2562D" w:rsidRPr="00D2562D">
        <w:rPr>
          <w:rFonts w:eastAsiaTheme="minorEastAsia"/>
          <w:rtl/>
        </w:rPr>
        <w:t xml:space="preserve"> تموز/</w:t>
      </w:r>
      <w:r w:rsidR="007954CB">
        <w:rPr>
          <w:rFonts w:eastAsiaTheme="minorEastAsia" w:hint="cs"/>
          <w:rtl/>
        </w:rPr>
        <w:t xml:space="preserve"> </w:t>
      </w:r>
      <w:r w:rsidR="00D2562D" w:rsidRPr="00D2562D">
        <w:rPr>
          <w:rFonts w:eastAsiaTheme="minorEastAsia"/>
          <w:rtl/>
        </w:rPr>
        <w:t xml:space="preserve">يوليه </w:t>
      </w:r>
      <w:r w:rsidR="00D2562D" w:rsidRPr="00AA67D7">
        <w:rPr>
          <w:rFonts w:eastAsiaTheme="minorEastAsia"/>
          <w:rtl/>
        </w:rPr>
        <w:t>2014</w:t>
      </w:r>
      <w:r w:rsidR="00D2562D" w:rsidRPr="00D2562D">
        <w:rPr>
          <w:rFonts w:eastAsiaTheme="minorEastAsia"/>
          <w:rtl/>
        </w:rPr>
        <w:t xml:space="preserve"> ليتوافق مع آراء اللجنة بحظر استبعاد مرشح مؤهل في انتخابات عامة على أساس عدم تصنيفه لنفسه ضمن إحدى الفئات على أساس انتمائه الإثني أو الديني. ومع ذلك، يدفع محامي أصحاب البلاغ بأن التعديل الدستوري كان مؤقتاً، وقُصد به ألا ينطبق إلا على أول انتخابات عامة بعد دخوله حيز النفاذ</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9"/>
      </w:r>
      <w:r w:rsidR="007954CB" w:rsidRPr="007954CB">
        <w:rPr>
          <w:rStyle w:val="FootnoteReference"/>
          <w:rFonts w:eastAsiaTheme="minorEastAsia"/>
          <w:sz w:val="22"/>
          <w:rtl/>
        </w:rPr>
        <w:t>)</w:t>
      </w:r>
      <w:r w:rsidR="007954CB" w:rsidRPr="007954CB">
        <w:rPr>
          <w:rFonts w:eastAsiaTheme="minorEastAsia"/>
          <w:rtl/>
        </w:rPr>
        <w:t xml:space="preserve">. </w:t>
      </w:r>
      <w:r w:rsidR="00D2562D" w:rsidRPr="00D2562D">
        <w:rPr>
          <w:rFonts w:eastAsiaTheme="minorEastAsia"/>
          <w:rtl/>
        </w:rPr>
        <w:t xml:space="preserve">وعلى الرغم من أن التعديل كان ساري المفعول حيث انطبق على الانتخابات العامة التي أجريت في </w:t>
      </w:r>
      <w:r w:rsidR="00D2562D" w:rsidRPr="00AA67D7">
        <w:rPr>
          <w:rFonts w:eastAsiaTheme="minorEastAsia"/>
          <w:rtl/>
        </w:rPr>
        <w:t>10</w:t>
      </w:r>
      <w:r w:rsidR="00D2562D" w:rsidRPr="00D2562D">
        <w:rPr>
          <w:rFonts w:eastAsiaTheme="minorEastAsia"/>
          <w:rtl/>
        </w:rPr>
        <w:t xml:space="preserve"> كانون الأول/ديسمبر </w:t>
      </w:r>
      <w:r w:rsidR="00D2562D" w:rsidRPr="00AA67D7">
        <w:rPr>
          <w:rFonts w:eastAsiaTheme="minorEastAsia"/>
          <w:rtl/>
        </w:rPr>
        <w:t>2014</w:t>
      </w:r>
      <w:r w:rsidR="00D2562D" w:rsidRPr="00D2562D">
        <w:rPr>
          <w:rFonts w:eastAsiaTheme="minorEastAsia"/>
          <w:rtl/>
        </w:rPr>
        <w:t xml:space="preserve">، فإنه لم يعد سارياً بعد ذلك. ومنذ ذلك الحين، يحث محامي أصحاب البلاغ الدولة الطرف على توفير سبيل انتصاف فعال لضمان حماية حقوقهم بموجب المادة </w:t>
      </w:r>
      <w:r w:rsidR="00D2562D" w:rsidRPr="00AA67D7">
        <w:rPr>
          <w:rFonts w:eastAsiaTheme="minorEastAsia"/>
          <w:rtl/>
        </w:rPr>
        <w:t>25</w:t>
      </w:r>
      <w:r w:rsidR="00D2562D" w:rsidRPr="00D2562D">
        <w:rPr>
          <w:rFonts w:eastAsiaTheme="minorEastAsia"/>
          <w:rtl/>
        </w:rPr>
        <w:t>(ب) من</w:t>
      </w:r>
      <w:r>
        <w:rPr>
          <w:rFonts w:eastAsiaTheme="minorEastAsia" w:hint="cs"/>
          <w:rtl/>
        </w:rPr>
        <w:t> </w:t>
      </w:r>
      <w:r w:rsidR="00D2562D" w:rsidRPr="00D2562D">
        <w:rPr>
          <w:rFonts w:eastAsiaTheme="minorEastAsia"/>
          <w:rtl/>
        </w:rPr>
        <w:t>العهد.</w:t>
      </w:r>
    </w:p>
    <w:p w14:paraId="653DDDF4" w14:textId="16BBB3BF"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ويلاحظ محامي أصحاب البلاغ أنه لم يجر أي إصلاح عام للنظام الانتخابي في الدولة الطرف، نظراً لأن مشروع قانون التعديل الدستوري بشأن الإصلاح الانتخابي المثير للجدل الذي قدم إلى البرلمان في كانون الأول/ديسمبر </w:t>
      </w:r>
      <w:r w:rsidR="00D2562D" w:rsidRPr="00AA67D7">
        <w:rPr>
          <w:rFonts w:eastAsiaTheme="minorEastAsia"/>
          <w:rtl/>
        </w:rPr>
        <w:t>2016</w:t>
      </w:r>
      <w:r w:rsidR="00D2562D" w:rsidRPr="00D2562D">
        <w:rPr>
          <w:rFonts w:eastAsiaTheme="minorEastAsia"/>
          <w:rtl/>
        </w:rPr>
        <w:t xml:space="preserve"> لم يطرح للتصويت قط. ويلاحظ محامي أصحاب البلاغ أيضاً</w:t>
      </w:r>
      <w:r>
        <w:rPr>
          <w:rFonts w:eastAsiaTheme="minorEastAsia" w:hint="cs"/>
          <w:rtl/>
        </w:rPr>
        <w:t> </w:t>
      </w:r>
      <w:r w:rsidR="00D2562D" w:rsidRPr="00D2562D">
        <w:rPr>
          <w:rFonts w:eastAsiaTheme="minorEastAsia"/>
          <w:rtl/>
        </w:rPr>
        <w:t xml:space="preserve">أن يومي الترشح في </w:t>
      </w:r>
      <w:r w:rsidR="00D2562D" w:rsidRPr="00AA67D7">
        <w:rPr>
          <w:rFonts w:eastAsiaTheme="minorEastAsia"/>
          <w:rtl/>
        </w:rPr>
        <w:t>22</w:t>
      </w:r>
      <w:r w:rsidR="00D2562D" w:rsidRPr="00D2562D">
        <w:rPr>
          <w:rFonts w:eastAsiaTheme="minorEastAsia"/>
          <w:rtl/>
        </w:rPr>
        <w:t xml:space="preserve"> تشرين الأول/أكتوبر </w:t>
      </w:r>
      <w:r w:rsidR="00D2562D" w:rsidRPr="00AA67D7">
        <w:rPr>
          <w:rFonts w:eastAsiaTheme="minorEastAsia"/>
          <w:rtl/>
        </w:rPr>
        <w:t>2019</w:t>
      </w:r>
      <w:r w:rsidR="00D2562D" w:rsidRPr="00D2562D">
        <w:rPr>
          <w:rFonts w:eastAsiaTheme="minorEastAsia"/>
          <w:rtl/>
        </w:rPr>
        <w:t xml:space="preserve">، والانتخابات العامة في </w:t>
      </w:r>
      <w:r w:rsidR="00D2562D" w:rsidRPr="00AA67D7">
        <w:rPr>
          <w:rFonts w:eastAsiaTheme="minorEastAsia"/>
          <w:rtl/>
        </w:rPr>
        <w:t>7</w:t>
      </w:r>
      <w:r w:rsidR="00D2562D" w:rsidRPr="00D2562D">
        <w:rPr>
          <w:rFonts w:eastAsiaTheme="minorEastAsia"/>
          <w:rtl/>
        </w:rPr>
        <w:t xml:space="preserve"> تشرين الثاني/</w:t>
      </w:r>
      <w:r>
        <w:rPr>
          <w:rFonts w:eastAsiaTheme="minorEastAsia" w:hint="cs"/>
          <w:rtl/>
        </w:rPr>
        <w:t xml:space="preserve"> </w:t>
      </w:r>
      <w:r w:rsidR="00D2562D" w:rsidRPr="00D2562D">
        <w:rPr>
          <w:rFonts w:eastAsiaTheme="minorEastAsia"/>
          <w:rtl/>
        </w:rPr>
        <w:t xml:space="preserve">نوفمبر </w:t>
      </w:r>
      <w:r w:rsidR="00D2562D" w:rsidRPr="00AA67D7">
        <w:rPr>
          <w:rFonts w:eastAsiaTheme="minorEastAsia"/>
          <w:rtl/>
        </w:rPr>
        <w:t>2019</w:t>
      </w:r>
      <w:r w:rsidR="00D2562D" w:rsidRPr="00D2562D">
        <w:rPr>
          <w:rFonts w:eastAsiaTheme="minorEastAsia"/>
          <w:rtl/>
        </w:rPr>
        <w:t xml:space="preserve">، قد حددا في غياب أي سبيل انتصاف فعال أو قابل للإنفاذ لتجنب احتمال حدوث انتهاك للمادة </w:t>
      </w:r>
      <w:r w:rsidR="00D2562D" w:rsidRPr="00AA67D7">
        <w:rPr>
          <w:rFonts w:eastAsiaTheme="minorEastAsia"/>
          <w:rtl/>
        </w:rPr>
        <w:t>25</w:t>
      </w:r>
      <w:r w:rsidR="00D2562D" w:rsidRPr="00D2562D">
        <w:rPr>
          <w:rFonts w:eastAsiaTheme="minorEastAsia"/>
          <w:rtl/>
        </w:rPr>
        <w:t>(ب) من العهد.</w:t>
      </w:r>
    </w:p>
    <w:p w14:paraId="1178C58A" w14:textId="14CA096B"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ويشير محامي أصحاب البلاغ أيضاً إلى أن لوائح (تعديل) انتخابات الجمعية الوطنية لعام</w:t>
      </w:r>
      <w:r>
        <w:rPr>
          <w:rFonts w:eastAsiaTheme="minorEastAsia" w:hint="cs"/>
          <w:rtl/>
        </w:rPr>
        <w:t> </w:t>
      </w:r>
      <w:r w:rsidR="00D2562D" w:rsidRPr="00AA67D7">
        <w:rPr>
          <w:rFonts w:eastAsiaTheme="minorEastAsia"/>
          <w:rtl/>
        </w:rPr>
        <w:t>2019</w:t>
      </w:r>
      <w:r w:rsidR="00D2562D" w:rsidRPr="00D2562D">
        <w:rPr>
          <w:rFonts w:eastAsiaTheme="minorEastAsia"/>
          <w:rtl/>
        </w:rPr>
        <w:t xml:space="preserve"> تتناقض مع التزامات الدولة الطرف بموجب المادة </w:t>
      </w:r>
      <w:r w:rsidR="00D2562D" w:rsidRPr="00AA67D7">
        <w:rPr>
          <w:rFonts w:eastAsiaTheme="minorEastAsia"/>
          <w:rtl/>
        </w:rPr>
        <w:t>25</w:t>
      </w:r>
      <w:r w:rsidR="00D2562D" w:rsidRPr="00D2562D">
        <w:rPr>
          <w:rFonts w:eastAsiaTheme="minorEastAsia"/>
          <w:rtl/>
        </w:rPr>
        <w:t>(ب) من العهد ومع توصية اللجنة بإعادة النظر فيما إذا كان النظام الانتخابي القائم على التصنيف الطائفي لا يزال ضرورياً. وتستبعد اللوائح المرشحين المؤهلين في الانتخابات العامة لعدم تصنيفهم أنفسهم ضمن فئات إثنية ودينية معينة.</w:t>
      </w:r>
    </w:p>
    <w:p w14:paraId="2ED8DE28" w14:textId="733D5407" w:rsidR="007954CB" w:rsidRPr="007954CB" w:rsidRDefault="00261ADA" w:rsidP="00D2562D">
      <w:pPr>
        <w:pStyle w:val="SingleTxtGA"/>
        <w:rPr>
          <w:rStyle w:val="FootnoteReference"/>
          <w:rFonts w:eastAsiaTheme="minorEastAsia"/>
          <w:sz w:val="22"/>
          <w:lang w:val="ar-SA" w:eastAsia="zh-TW" w:bidi="en-GB"/>
        </w:rPr>
      </w:pPr>
      <w:r>
        <w:rPr>
          <w:rFonts w:eastAsiaTheme="minorEastAsia"/>
          <w:rtl/>
        </w:rPr>
        <w:tab/>
      </w:r>
      <w:r w:rsidR="00D2562D" w:rsidRPr="00D2562D">
        <w:rPr>
          <w:rFonts w:eastAsiaTheme="minorEastAsia"/>
          <w:rtl/>
        </w:rPr>
        <w:t xml:space="preserve">ولذلك يدعي محامي أصحاب البلاغ أن الانتخابات العامة التي جرت في </w:t>
      </w:r>
      <w:r w:rsidR="00D2562D" w:rsidRPr="00AA67D7">
        <w:rPr>
          <w:rFonts w:eastAsiaTheme="minorEastAsia"/>
          <w:rtl/>
        </w:rPr>
        <w:t>7</w:t>
      </w:r>
      <w:r w:rsidR="00D2562D" w:rsidRPr="00D2562D">
        <w:rPr>
          <w:rFonts w:eastAsiaTheme="minorEastAsia"/>
          <w:rtl/>
        </w:rPr>
        <w:t xml:space="preserve"> تشرين الثاني/</w:t>
      </w:r>
      <w:r w:rsidR="000371C7">
        <w:rPr>
          <w:rFonts w:eastAsiaTheme="minorEastAsia" w:hint="cs"/>
          <w:rtl/>
        </w:rPr>
        <w:t xml:space="preserve"> </w:t>
      </w:r>
      <w:r w:rsidR="00D2562D" w:rsidRPr="00D2562D">
        <w:rPr>
          <w:rFonts w:eastAsiaTheme="minorEastAsia"/>
          <w:rtl/>
        </w:rPr>
        <w:t xml:space="preserve">نوفمبر </w:t>
      </w:r>
      <w:r w:rsidR="00D2562D" w:rsidRPr="00AA67D7">
        <w:rPr>
          <w:rFonts w:eastAsiaTheme="minorEastAsia"/>
          <w:rtl/>
        </w:rPr>
        <w:t>2019</w:t>
      </w:r>
      <w:r w:rsidR="00D2562D" w:rsidRPr="00D2562D">
        <w:rPr>
          <w:rFonts w:eastAsiaTheme="minorEastAsia"/>
          <w:rtl/>
        </w:rPr>
        <w:t xml:space="preserve"> لا يمكن اعتبارها ديمقراطية وحرة ونزيهة بالمعنى المقصود في العهد ما دامت تجرى في غياب المرشحين الذين جردوا من أهليتهم في تشرين الأول/أكتوبر </w:t>
      </w:r>
      <w:r w:rsidR="00D2562D" w:rsidRPr="00AA67D7">
        <w:rPr>
          <w:rFonts w:eastAsiaTheme="minorEastAsia"/>
          <w:rtl/>
        </w:rPr>
        <w:t>2019</w:t>
      </w:r>
      <w:r w:rsidR="00D2562D" w:rsidRPr="00D2562D">
        <w:rPr>
          <w:rFonts w:eastAsiaTheme="minorEastAsia"/>
          <w:rtl/>
        </w:rPr>
        <w:t xml:space="preserve"> بموجب تلك اللوائح. ولقد</w:t>
      </w:r>
      <w:r w:rsidR="00383F67">
        <w:rPr>
          <w:rFonts w:eastAsiaTheme="minorEastAsia" w:hint="cs"/>
          <w:rtl/>
        </w:rPr>
        <w:t> </w:t>
      </w:r>
      <w:r w:rsidR="00D2562D" w:rsidRPr="00D2562D">
        <w:rPr>
          <w:rFonts w:eastAsiaTheme="minorEastAsia"/>
          <w:rtl/>
        </w:rPr>
        <w:t>أثرت اللوائح على العديد من المرشحين، بمن فيهم بعض أصحاب البلاغ، الذين استبعدوا من الترشح في الانتخابات العامة بسبب عدم امتثالهم للتصنيف الإلزامي</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0"/>
      </w:r>
      <w:r w:rsidR="007954CB" w:rsidRPr="007954CB">
        <w:rPr>
          <w:rStyle w:val="FootnoteReference"/>
          <w:rFonts w:eastAsiaTheme="minorEastAsia"/>
          <w:sz w:val="22"/>
          <w:rtl/>
        </w:rPr>
        <w:t>)</w:t>
      </w:r>
      <w:r w:rsidR="007954CB" w:rsidRPr="007954CB">
        <w:rPr>
          <w:rFonts w:eastAsiaTheme="minorEastAsia"/>
          <w:rtl/>
        </w:rPr>
        <w:t>.</w:t>
      </w:r>
    </w:p>
    <w:p w14:paraId="4A29F719" w14:textId="1DE26977"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الدولة الطرف:</w:t>
      </w:r>
      <w:r w:rsidRPr="00D2562D">
        <w:rPr>
          <w:rFonts w:eastAsiaTheme="minorEastAsia"/>
          <w:rtl/>
        </w:rPr>
        <w:t xml:space="preserve"> </w:t>
      </w:r>
      <w:r w:rsidRPr="00AA67D7">
        <w:rPr>
          <w:rFonts w:eastAsiaTheme="minorEastAsia"/>
          <w:rtl/>
        </w:rPr>
        <w:t>6</w:t>
      </w:r>
      <w:r w:rsidRPr="00D2562D">
        <w:rPr>
          <w:rFonts w:eastAsiaTheme="minorEastAsia"/>
          <w:rtl/>
        </w:rPr>
        <w:t xml:space="preserve"> كانون الثاني/يناير </w:t>
      </w:r>
      <w:r w:rsidRPr="00AA67D7">
        <w:rPr>
          <w:rFonts w:eastAsiaTheme="minorEastAsia"/>
          <w:rtl/>
        </w:rPr>
        <w:t>2020</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1"/>
      </w:r>
      <w:r w:rsidRPr="00D2562D">
        <w:rPr>
          <w:rStyle w:val="FootnoteReference"/>
          <w:rFonts w:eastAsiaTheme="minorEastAsia"/>
          <w:sz w:val="22"/>
          <w:rtl/>
        </w:rPr>
        <w:t>)</w:t>
      </w:r>
    </w:p>
    <w:p w14:paraId="46F955DE" w14:textId="0987E36A"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في تموز/يوليه </w:t>
      </w:r>
      <w:r w:rsidR="00D2562D" w:rsidRPr="00AA67D7">
        <w:rPr>
          <w:rFonts w:eastAsiaTheme="minorEastAsia"/>
          <w:rtl/>
        </w:rPr>
        <w:t>2014</w:t>
      </w:r>
      <w:r w:rsidR="00D2562D" w:rsidRPr="00D2562D">
        <w:rPr>
          <w:rFonts w:eastAsiaTheme="minorEastAsia"/>
          <w:rtl/>
        </w:rPr>
        <w:t>، أقر البرلمان مشروع قانون الدستور (إعلان الطائفة) (أحكام مؤقتة</w:t>
      </w:r>
      <w:r w:rsidR="007954CB" w:rsidRPr="007954CB">
        <w:rPr>
          <w:rFonts w:eastAsiaTheme="minorEastAsia"/>
          <w:rtl/>
        </w:rPr>
        <w:t xml:space="preserve">)، </w:t>
      </w:r>
      <w:r w:rsidR="00D2562D" w:rsidRPr="00D2562D">
        <w:rPr>
          <w:rFonts w:eastAsiaTheme="minorEastAsia"/>
          <w:rtl/>
        </w:rPr>
        <w:t xml:space="preserve">الذي ألغى الشرط الإلزامي الذي يفرض على المرشحين المحتملين في الانتخابات العامة الإعلان عن الطائفة التي ينتمون إليها. غير أن مشروع القانون هذا لا ينطبق إلا على أول انتخابات عامة تجرى بعد </w:t>
      </w:r>
      <w:r w:rsidR="00D2562D" w:rsidRPr="00D2562D">
        <w:rPr>
          <w:rFonts w:eastAsiaTheme="minorEastAsia"/>
          <w:rtl/>
        </w:rPr>
        <w:lastRenderedPageBreak/>
        <w:t>سَنّ القانون. وبالنسبة للانتخابات العامة اللاحقة، لا يزال يتعين على المرشحين الإعلان عن الطائفة التي ينتمون إليها ما لم يجر أي تغيير على القانون.</w:t>
      </w:r>
    </w:p>
    <w:p w14:paraId="6660130B" w14:textId="731CE25F" w:rsidR="00D2562D" w:rsidRPr="00AA67D7" w:rsidRDefault="00261ADA" w:rsidP="00D2562D">
      <w:pPr>
        <w:pStyle w:val="SingleTxtGA"/>
        <w:rPr>
          <w:rFonts w:eastAsiaTheme="minorEastAsia"/>
          <w:b/>
          <w:lang w:val="ar-SA" w:eastAsia="zh-TW" w:bidi="en-GB"/>
        </w:rPr>
      </w:pPr>
      <w:r w:rsidRPr="00AA67D7">
        <w:rPr>
          <w:rFonts w:eastAsiaTheme="minorEastAsia"/>
          <w:b/>
          <w:rtl/>
        </w:rPr>
        <w:tab/>
      </w:r>
      <w:r w:rsidR="00D2562D" w:rsidRPr="00AA67D7">
        <w:rPr>
          <w:rFonts w:eastAsiaTheme="minorEastAsia"/>
          <w:b/>
          <w:rtl/>
        </w:rPr>
        <w:t>وكررت الحكومة، بعد وصولها إلى السلطة في عام 2014، تعهدها بإصلاح النظام الانتخابي الوطني وأعلنت عن تدابير إصلاحية في برنامجها للفترة 2015-2019، لإدراكها الحاجة إلى إلغاء شرط إعلان الانتماء الطائفي كشرط مسبق للترشح في الانتخابات العامة. وبناء على ذلك، شُكلت لجنة وزارية في كانون الثاني/يناير 2016 لتقديم مقترحات للإصلاح الانتخابي، لا سيما فيما يتعلق بهذا الإعلان الإلزامي. ووافقت الحكومة على توصيات اللجنة الوزارية، ثم عرضتها على الجمهور وفقاً لنهجها التشاوري والتشاركي بشأن القضايا الأساسية التي تمس المبادئ الأساسية للديمقراطية الوطنية. وعلاوة على ذلك، عممت ورقة استشارية بشأن الإصلاح الانتخابي المقترح على جميع قادة الأحزاب السياسية والأعضاء المستقلين في الجمعية الوطنية ونُشرت على الموقع الشبكي لمكتب رئيس الوزراء لتعميمها على نطاق واسع. وكانت الحكومة تهدف بذلك إلى إثارة نقاش بنّاء بشأن المقترحات وتشجيع الأحزاب السياسية والجمهور على تقديم آرائهم واقتراحاتهم. وعندما انتهت العملية التشاورية، قدمت الحكومة مشروع قانون (تعديل) الدستور الذي يجسد مقترحاتها بشأن الإصلاح الانتخابي إلى الجمعية الوطنية في 4 كانون الأول/ديسمبر 201</w:t>
      </w:r>
      <w:r w:rsidR="007954CB" w:rsidRPr="00AA67D7">
        <w:rPr>
          <w:rFonts w:eastAsiaTheme="minorEastAsia"/>
          <w:b/>
          <w:rtl/>
        </w:rPr>
        <w:t xml:space="preserve">8. </w:t>
      </w:r>
      <w:r w:rsidR="00D2562D" w:rsidRPr="00AA67D7">
        <w:rPr>
          <w:rFonts w:eastAsiaTheme="minorEastAsia"/>
          <w:b/>
          <w:rtl/>
        </w:rPr>
        <w:t>وينص مشروع القانون على إدراج ما يسمى بنظام أفضل خاسر</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2"/>
      </w:r>
      <w:r w:rsidR="00D2562D" w:rsidRPr="00D2562D">
        <w:rPr>
          <w:rStyle w:val="FootnoteReference"/>
          <w:rFonts w:eastAsiaTheme="minorEastAsia"/>
          <w:sz w:val="22"/>
          <w:rtl/>
        </w:rPr>
        <w:t>)</w:t>
      </w:r>
      <w:r w:rsidR="00D2562D" w:rsidRPr="00AA67D7">
        <w:rPr>
          <w:rFonts w:eastAsiaTheme="minorEastAsia"/>
          <w:b/>
          <w:rtl/>
        </w:rPr>
        <w:t> في سياق إعفاء جديد، مما يغني عن حاجة المرشحين المحتملين إلى الإعلان عن طائفتهم في ورقة ترشحهم. ووفقاً للدستور، يجب أن يحظى مشروع القانون بتأييد ما لا يقل عن ثلاثة أرباع الأعضاء في التصويت النهائي في الجمعية، لكي تقره الجمعية الوطنية. ومما يؤسف له أن مشروع قانون (تعديل) الدستور لم يحظ بتأييد أحزاب المعارضة، لعدم حصوله على الأغلبية المطلوبة. وبالتالي، كان على المرشحين المحتملين لانتخابات الجمعية الوطنية التي أجريت في عام 2019 الامتثال للفقرة 3 من الجدول الأول للدستور</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3"/>
      </w:r>
      <w:r w:rsidR="00D2562D" w:rsidRPr="00D2562D">
        <w:rPr>
          <w:rStyle w:val="FootnoteReference"/>
          <w:rFonts w:eastAsiaTheme="minorEastAsia"/>
          <w:sz w:val="22"/>
          <w:rtl/>
        </w:rPr>
        <w:t>)</w:t>
      </w:r>
      <w:r w:rsidR="00D2562D" w:rsidRPr="00AA67D7">
        <w:rPr>
          <w:rFonts w:eastAsiaTheme="minorEastAsia"/>
          <w:b/>
          <w:rtl/>
        </w:rPr>
        <w:t> واللائحة 12(</w:t>
      </w:r>
      <w:r w:rsidR="007954CB" w:rsidRPr="00AA67D7">
        <w:rPr>
          <w:rFonts w:eastAsiaTheme="minorEastAsia"/>
          <w:b/>
          <w:rtl/>
        </w:rPr>
        <w:t xml:space="preserve">4) </w:t>
      </w:r>
      <w:r w:rsidR="00D2562D" w:rsidRPr="00AA67D7">
        <w:rPr>
          <w:rFonts w:eastAsiaTheme="minorEastAsia"/>
          <w:b/>
          <w:rtl/>
        </w:rPr>
        <w:t>من لوائح انتخابات الجمعية الوطنية لعام 2014، بصيغتها المعدلة بموجب لوائح (تعديل) انتخابات الجمعية الوطنية لعام 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4"/>
      </w:r>
      <w:r w:rsidR="007954CB" w:rsidRPr="007954CB">
        <w:rPr>
          <w:rStyle w:val="FootnoteReference"/>
          <w:rFonts w:eastAsiaTheme="minorEastAsia"/>
          <w:sz w:val="22"/>
          <w:rtl/>
        </w:rPr>
        <w:t>)</w:t>
      </w:r>
      <w:r w:rsidR="007954CB" w:rsidRPr="00AA67D7">
        <w:rPr>
          <w:rFonts w:eastAsiaTheme="minorEastAsia"/>
          <w:b/>
          <w:rtl/>
        </w:rPr>
        <w:t xml:space="preserve">. </w:t>
      </w:r>
      <w:r w:rsidR="00D2562D" w:rsidRPr="00AA67D7">
        <w:rPr>
          <w:rFonts w:eastAsiaTheme="minorEastAsia"/>
          <w:b/>
          <w:rtl/>
        </w:rPr>
        <w:t>وتلاحظ الدولة الطرف أن أوراق ترشح أصحاب البلاغ اعتبرت باطلة لأنهم لم يقدموا إعلانهم على النحو المطلوب بموجب الدستور وتلك اللوائح.</w:t>
      </w:r>
    </w:p>
    <w:p w14:paraId="0EC76E55" w14:textId="633A7AA1"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وتلاحظ الدولة الطرف أيضاً أن أصحاب البلاغ طعنوا في قرار رفض أوراق ترشحهم والتمسوا سبل الجبر أمام المحكمة العليا، التي استبعدت الطلبات على أساس أن القرار المطعون فيه بإبطال ورفض أوراق ترشح المدعين سليم من الناحية القانونية ولا شك في عدم دستوريته. ومع ذلك، تدعي الدولة الطرف أنها لا تزال ملتزمة باتخاذ التدابير المناسبة من أجل إلغاء الإعلان الإلزامي عن الطائفة.</w:t>
      </w:r>
    </w:p>
    <w:p w14:paraId="13E0647C"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تقييم اللجنة:</w:t>
      </w:r>
    </w:p>
    <w:p w14:paraId="227BA5F7" w14:textId="557F55C4"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(أ)</w:t>
      </w:r>
      <w:r w:rsidR="00D2562D" w:rsidRPr="00D2562D">
        <w:rPr>
          <w:rFonts w:eastAsiaTheme="minorEastAsia"/>
          <w:rtl/>
        </w:rPr>
        <w:tab/>
        <w:t>سبل الانتصاف الفعالة، بما في ذلك التعويض المالي: باء؛</w:t>
      </w:r>
    </w:p>
    <w:p w14:paraId="7C9AC20E" w14:textId="110A33E5"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(ب)</w:t>
      </w:r>
      <w:r w:rsidR="00D2562D" w:rsidRPr="00D2562D">
        <w:rPr>
          <w:rFonts w:eastAsiaTheme="minorEastAsia"/>
          <w:rtl/>
        </w:rPr>
        <w:tab/>
        <w:t>عدم التكرار، بما في ذلك مراجعة النظام الانتخابي: باء.</w:t>
      </w:r>
    </w:p>
    <w:p w14:paraId="58137E4F" w14:textId="77777777" w:rsidR="00D2562D" w:rsidRPr="00546212" w:rsidRDefault="00D2562D" w:rsidP="00D2562D">
      <w:pPr>
        <w:pStyle w:val="SingleTxtGA"/>
        <w:rPr>
          <w:rFonts w:eastAsiaTheme="minorEastAsia"/>
          <w:lang w:val="en-US" w:eastAsia="zh-TW" w:bidi="en-GB"/>
        </w:rPr>
      </w:pPr>
      <w:r w:rsidRPr="00AA67D7">
        <w:rPr>
          <w:rFonts w:eastAsiaTheme="minorEastAsia"/>
          <w:b/>
          <w:bCs/>
          <w:rtl/>
        </w:rPr>
        <w:t>قرار اللجنة</w:t>
      </w:r>
      <w:r w:rsidRPr="00546212">
        <w:rPr>
          <w:rFonts w:eastAsiaTheme="minorEastAsia"/>
          <w:rtl/>
        </w:rPr>
        <w:t>: مواصلة حوار المتابعة.</w:t>
      </w:r>
    </w:p>
    <w:p w14:paraId="7EE173D6" w14:textId="4F759D0D" w:rsidR="00D2562D" w:rsidRPr="00AA67D7" w:rsidRDefault="00261ADA" w:rsidP="00261ADA">
      <w:pPr>
        <w:pStyle w:val="H23GA"/>
        <w:rPr>
          <w:lang w:val="ar-SA" w:eastAsia="zh-TW" w:bidi="en-GB"/>
        </w:rPr>
      </w:pPr>
      <w:r w:rsidRPr="00AA67D7">
        <w:rPr>
          <w:rtl/>
        </w:rPr>
        <w:lastRenderedPageBreak/>
        <w:tab/>
      </w:r>
      <w:r w:rsidR="00D2562D" w:rsidRPr="00AA67D7">
        <w:rPr>
          <w:rtl/>
        </w:rPr>
        <w:t>4-</w:t>
      </w:r>
      <w:r w:rsidR="00D2562D" w:rsidRPr="00AA67D7">
        <w:rPr>
          <w:rtl/>
        </w:rPr>
        <w:tab/>
        <w:t>نيوزيلندا</w:t>
      </w:r>
    </w:p>
    <w:p w14:paraId="2A25E276" w14:textId="77777777" w:rsidR="00D2562D" w:rsidRPr="00AA67D7" w:rsidRDefault="00D2562D" w:rsidP="00D2562D">
      <w:pPr>
        <w:pStyle w:val="SingleTxtGA"/>
        <w:rPr>
          <w:rFonts w:eastAsiaTheme="minorEastAsia"/>
          <w:b/>
          <w:lang w:val="ar-SA" w:eastAsia="zh-TW" w:bidi="en-GB"/>
        </w:rPr>
      </w:pPr>
      <w:r w:rsidRPr="00AA67D7">
        <w:rPr>
          <w:rFonts w:eastAsiaTheme="minorEastAsia"/>
          <w:b/>
          <w:bCs/>
          <w:rtl/>
        </w:rPr>
        <w:t xml:space="preserve">البلاغ رقم 2502/2014، </w:t>
      </w:r>
      <w:r w:rsidRPr="00AA67D7">
        <w:rPr>
          <w:rFonts w:eastAsiaTheme="minorEastAsia"/>
          <w:b/>
          <w:bCs/>
          <w:i/>
          <w:iCs/>
          <w:rtl/>
        </w:rPr>
        <w:t>ميلر وكارول</w:t>
      </w:r>
    </w:p>
    <w:p w14:paraId="0A6D9D51" w14:textId="5BB6609A" w:rsidR="00D2562D" w:rsidRPr="00D2562D" w:rsidRDefault="00D2562D" w:rsidP="00D2562D">
      <w:pPr>
        <w:pStyle w:val="SingleTxtGA"/>
        <w:rPr>
          <w:rFonts w:eastAsiaTheme="minorEastAsia"/>
          <w:lang w:val="ar-SA" w:eastAsia="zh-TW" w:bidi="en-GB"/>
        </w:rPr>
      </w:pPr>
      <w:r w:rsidRPr="00AA67D7">
        <w:rPr>
          <w:rFonts w:eastAsiaTheme="minorEastAsia"/>
          <w:b/>
          <w:bCs/>
          <w:rtl/>
        </w:rPr>
        <w:t>تاريخ اعتماد الآراء:</w:t>
      </w:r>
      <w:r w:rsidRPr="00D2562D">
        <w:rPr>
          <w:rFonts w:eastAsiaTheme="minorEastAsia"/>
          <w:rtl/>
        </w:rPr>
        <w:tab/>
      </w:r>
      <w:r w:rsidR="00261ADA">
        <w:rPr>
          <w:rFonts w:eastAsiaTheme="minorEastAsia"/>
          <w:rtl/>
        </w:rPr>
        <w:tab/>
      </w:r>
      <w:r w:rsidR="00261ADA">
        <w:rPr>
          <w:rFonts w:eastAsiaTheme="minorEastAsia"/>
          <w:rtl/>
        </w:rPr>
        <w:tab/>
      </w:r>
      <w:r w:rsidRPr="00AA67D7">
        <w:rPr>
          <w:rFonts w:eastAsiaTheme="minorEastAsia"/>
          <w:rtl/>
        </w:rPr>
        <w:t>7</w:t>
      </w:r>
      <w:r w:rsidRPr="00D2562D">
        <w:rPr>
          <w:rFonts w:eastAsiaTheme="minorEastAsia"/>
          <w:rtl/>
        </w:rPr>
        <w:t xml:space="preserve"> تشرين الثاني/نوفمبر </w:t>
      </w:r>
      <w:r w:rsidRPr="00AA67D7">
        <w:rPr>
          <w:rFonts w:eastAsiaTheme="minorEastAsia"/>
          <w:rtl/>
        </w:rPr>
        <w:t>2017</w:t>
      </w:r>
    </w:p>
    <w:p w14:paraId="0335F7B7" w14:textId="097242CB" w:rsidR="007954CB" w:rsidRPr="007954CB" w:rsidRDefault="00D2562D" w:rsidP="00D2562D">
      <w:pPr>
        <w:pStyle w:val="SingleTxtGA"/>
        <w:rPr>
          <w:rFonts w:eastAsiaTheme="minorEastAsia"/>
          <w:lang w:val="ar-SA" w:eastAsia="zh-TW" w:bidi="en-GB"/>
        </w:rPr>
      </w:pPr>
      <w:r w:rsidRPr="00AA67D7">
        <w:rPr>
          <w:rFonts w:eastAsiaTheme="minorEastAsia"/>
          <w:b/>
          <w:bCs/>
          <w:rtl/>
        </w:rPr>
        <w:t>المواد المنتهكة:</w:t>
      </w:r>
      <w:r w:rsidR="00261ADA">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 xml:space="preserve">المادتان </w:t>
      </w:r>
      <w:r w:rsidRPr="00AA67D7">
        <w:rPr>
          <w:rFonts w:eastAsiaTheme="minorEastAsia"/>
          <w:rtl/>
        </w:rPr>
        <w:t>9</w:t>
      </w:r>
      <w:r w:rsidRPr="00D2562D">
        <w:rPr>
          <w:rFonts w:eastAsiaTheme="minorEastAsia"/>
          <w:rtl/>
        </w:rPr>
        <w:t>(</w:t>
      </w:r>
      <w:r w:rsidRPr="00AA67D7">
        <w:rPr>
          <w:rFonts w:eastAsiaTheme="minorEastAsia"/>
          <w:rtl/>
        </w:rPr>
        <w:t>1</w:t>
      </w:r>
      <w:r w:rsidRPr="00D2562D">
        <w:rPr>
          <w:rFonts w:eastAsiaTheme="minorEastAsia"/>
          <w:rtl/>
        </w:rPr>
        <w:t>)</w:t>
      </w:r>
      <w:r w:rsidR="00B957DD">
        <w:rPr>
          <w:rFonts w:eastAsiaTheme="minorEastAsia" w:hint="cs"/>
          <w:rtl/>
        </w:rPr>
        <w:t xml:space="preserve"> </w:t>
      </w:r>
      <w:r w:rsidRPr="00D2562D">
        <w:rPr>
          <w:rFonts w:eastAsiaTheme="minorEastAsia"/>
          <w:rtl/>
        </w:rPr>
        <w:t>و(</w:t>
      </w:r>
      <w:r w:rsidR="007954CB" w:rsidRPr="00AA67D7">
        <w:rPr>
          <w:rFonts w:eastAsiaTheme="minorEastAsia"/>
          <w:rtl/>
        </w:rPr>
        <w:t>4</w:t>
      </w:r>
      <w:r w:rsidR="007954CB" w:rsidRPr="007954CB">
        <w:rPr>
          <w:rFonts w:eastAsiaTheme="minorEastAsia"/>
          <w:rtl/>
        </w:rPr>
        <w:t xml:space="preserve">) </w:t>
      </w:r>
      <w:r w:rsidRPr="00D2562D">
        <w:rPr>
          <w:rFonts w:eastAsiaTheme="minorEastAsia"/>
          <w:rtl/>
        </w:rPr>
        <w:t>و</w:t>
      </w:r>
      <w:r w:rsidRPr="00AA67D7">
        <w:rPr>
          <w:rFonts w:eastAsiaTheme="minorEastAsia"/>
          <w:rtl/>
        </w:rPr>
        <w:t>10</w:t>
      </w:r>
      <w:r w:rsidRPr="00D2562D">
        <w:rPr>
          <w:rFonts w:eastAsiaTheme="minorEastAsia"/>
          <w:rtl/>
        </w:rPr>
        <w:t>(</w:t>
      </w:r>
      <w:r w:rsidR="007954CB" w:rsidRPr="00AA67D7">
        <w:rPr>
          <w:rFonts w:eastAsiaTheme="minorEastAsia"/>
          <w:rtl/>
        </w:rPr>
        <w:t>3</w:t>
      </w:r>
      <w:r w:rsidR="007954CB" w:rsidRPr="007954CB">
        <w:rPr>
          <w:rFonts w:eastAsiaTheme="minorEastAsia"/>
          <w:rtl/>
        </w:rPr>
        <w:t>)</w:t>
      </w:r>
    </w:p>
    <w:p w14:paraId="614625DC" w14:textId="4E9DCEA2" w:rsidR="00D2562D" w:rsidRPr="00D2562D" w:rsidRDefault="00D2562D" w:rsidP="00261ADA">
      <w:pPr>
        <w:pStyle w:val="SingleTxtGA"/>
        <w:ind w:left="4649" w:hanging="3402"/>
        <w:rPr>
          <w:rFonts w:eastAsiaTheme="minorEastAsia"/>
          <w:lang w:val="ar-SA" w:eastAsia="zh-TW" w:bidi="en-GB"/>
        </w:rPr>
      </w:pPr>
      <w:r w:rsidRPr="00AA67D7">
        <w:rPr>
          <w:rFonts w:eastAsiaTheme="minorEastAsia"/>
          <w:b/>
          <w:bCs/>
          <w:rtl/>
        </w:rPr>
        <w:t>إجراء الانتصاف:</w:t>
      </w:r>
      <w:r w:rsidRPr="00D2562D">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 xml:space="preserve">(أ) تقديم سبيل انتصاف فعال في شكل جبر كامل لصاحبي البلاغ؛ (ب) إعادة النظر فوراً في استمرار احتجاز صاحبي البلاغ واتخاذ خطوات لتيسير الإفراج عنهما؛ (ج) اتخاذ جميع الخطوات اللازمة لمنع حدوث انتهاكات مماثلة في المستقبل، بسبل منها مراجعة تشريعاتها لضمان التمتع الكامل بالحقوق المنصوص عليها في المادتين </w:t>
      </w:r>
      <w:r w:rsidRPr="00AA67D7">
        <w:rPr>
          <w:rFonts w:eastAsiaTheme="minorEastAsia"/>
          <w:rtl/>
        </w:rPr>
        <w:t>9</w:t>
      </w:r>
      <w:r w:rsidRPr="00D2562D">
        <w:rPr>
          <w:rFonts w:eastAsiaTheme="minorEastAsia"/>
          <w:rtl/>
        </w:rPr>
        <w:t>(</w:t>
      </w:r>
      <w:r w:rsidR="007954CB" w:rsidRPr="00AA67D7">
        <w:rPr>
          <w:rFonts w:eastAsiaTheme="minorEastAsia"/>
          <w:rtl/>
        </w:rPr>
        <w:t>1</w:t>
      </w:r>
      <w:r w:rsidR="007954CB" w:rsidRPr="007954CB">
        <w:rPr>
          <w:rFonts w:eastAsiaTheme="minorEastAsia"/>
          <w:rtl/>
        </w:rPr>
        <w:t xml:space="preserve">) </w:t>
      </w:r>
      <w:r w:rsidRPr="00D2562D">
        <w:rPr>
          <w:rFonts w:eastAsiaTheme="minorEastAsia"/>
          <w:rtl/>
        </w:rPr>
        <w:t>و(</w:t>
      </w:r>
      <w:r w:rsidR="007954CB" w:rsidRPr="00AA67D7">
        <w:rPr>
          <w:rFonts w:eastAsiaTheme="minorEastAsia"/>
          <w:rtl/>
        </w:rPr>
        <w:t>4</w:t>
      </w:r>
      <w:r w:rsidR="007954CB" w:rsidRPr="007954CB">
        <w:rPr>
          <w:rFonts w:eastAsiaTheme="minorEastAsia"/>
          <w:rtl/>
        </w:rPr>
        <w:t xml:space="preserve">) </w:t>
      </w:r>
      <w:r w:rsidRPr="00D2562D">
        <w:rPr>
          <w:rFonts w:eastAsiaTheme="minorEastAsia"/>
          <w:rtl/>
        </w:rPr>
        <w:t>و</w:t>
      </w:r>
      <w:r w:rsidRPr="00AA67D7">
        <w:rPr>
          <w:rFonts w:eastAsiaTheme="minorEastAsia"/>
          <w:rtl/>
        </w:rPr>
        <w:t>10</w:t>
      </w:r>
      <w:r w:rsidRPr="00D2562D">
        <w:rPr>
          <w:rFonts w:eastAsiaTheme="minorEastAsia"/>
          <w:rtl/>
        </w:rPr>
        <w:t>(</w:t>
      </w:r>
      <w:r w:rsidR="007954CB" w:rsidRPr="00AA67D7">
        <w:rPr>
          <w:rFonts w:eastAsiaTheme="minorEastAsia"/>
          <w:rtl/>
        </w:rPr>
        <w:t>3</w:t>
      </w:r>
      <w:r w:rsidR="007954CB" w:rsidRPr="007954CB">
        <w:rPr>
          <w:rFonts w:eastAsiaTheme="minorEastAsia"/>
          <w:rtl/>
        </w:rPr>
        <w:t xml:space="preserve">) </w:t>
      </w:r>
      <w:r w:rsidRPr="00D2562D">
        <w:rPr>
          <w:rFonts w:eastAsiaTheme="minorEastAsia"/>
          <w:rtl/>
        </w:rPr>
        <w:t>من العهد.</w:t>
      </w:r>
    </w:p>
    <w:p w14:paraId="5B274289" w14:textId="3E45B26E" w:rsidR="00D2562D" w:rsidRPr="00D2562D" w:rsidRDefault="00D2562D" w:rsidP="00D2562D">
      <w:pPr>
        <w:pStyle w:val="SingleTxtGA"/>
        <w:rPr>
          <w:rFonts w:eastAsiaTheme="minorEastAsia"/>
          <w:lang w:val="ar-SA" w:eastAsia="zh-TW" w:bidi="en-GB"/>
        </w:rPr>
      </w:pPr>
      <w:r w:rsidRPr="00AA67D7">
        <w:rPr>
          <w:rFonts w:eastAsiaTheme="minorEastAsia"/>
          <w:b/>
          <w:bCs/>
          <w:rtl/>
        </w:rPr>
        <w:t>الموضوع:</w:t>
      </w:r>
      <w:r w:rsidRPr="00D2562D">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استمرار الاحتجاز بعد قضاء مدة العقوبات الجزائية</w:t>
      </w:r>
    </w:p>
    <w:p w14:paraId="0C3064E7" w14:textId="3B425199" w:rsidR="00D2562D" w:rsidRPr="00D2562D" w:rsidRDefault="00D2562D" w:rsidP="00D2562D">
      <w:pPr>
        <w:pStyle w:val="SingleTxtGA"/>
        <w:rPr>
          <w:rFonts w:eastAsiaTheme="minorEastAsia"/>
          <w:lang w:val="ar-SA" w:eastAsia="zh-TW" w:bidi="en-GB"/>
        </w:rPr>
      </w:pPr>
      <w:r w:rsidRPr="00AA67D7">
        <w:rPr>
          <w:rFonts w:eastAsiaTheme="minorEastAsia"/>
          <w:b/>
          <w:bCs/>
          <w:rtl/>
        </w:rPr>
        <w:t>معلومات المتابعة المقدمة سابقاً:</w:t>
      </w:r>
      <w:r w:rsidRPr="00D2562D">
        <w:rPr>
          <w:rFonts w:eastAsiaTheme="minorEastAsia"/>
          <w:rtl/>
        </w:rPr>
        <w:tab/>
      </w:r>
      <w:r w:rsidR="00261ADA">
        <w:rPr>
          <w:rFonts w:eastAsiaTheme="minorEastAsia"/>
          <w:rtl/>
        </w:rPr>
        <w:tab/>
      </w:r>
      <w:r w:rsidRPr="00D2562D">
        <w:rPr>
          <w:rFonts w:eastAsiaTheme="minorEastAsia"/>
          <w:rtl/>
        </w:rPr>
        <w:t>لا يوجد</w:t>
      </w:r>
    </w:p>
    <w:p w14:paraId="379BB14F" w14:textId="5CA71770"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الدولة الطرف:</w:t>
      </w:r>
      <w:r w:rsidR="00261ADA">
        <w:rPr>
          <w:rFonts w:eastAsiaTheme="minorEastAsia"/>
          <w:rtl/>
        </w:rPr>
        <w:tab/>
      </w:r>
      <w:r w:rsidRPr="00D2562D">
        <w:rPr>
          <w:rFonts w:eastAsiaTheme="minorEastAsia"/>
          <w:rtl/>
        </w:rPr>
        <w:tab/>
      </w:r>
      <w:r w:rsidRPr="00AA67D7">
        <w:rPr>
          <w:rFonts w:eastAsiaTheme="minorEastAsia"/>
          <w:rtl/>
        </w:rPr>
        <w:t>26</w:t>
      </w:r>
      <w:r w:rsidRPr="00D2562D">
        <w:rPr>
          <w:rFonts w:eastAsiaTheme="minorEastAsia"/>
          <w:rtl/>
        </w:rPr>
        <w:t xml:space="preserve"> تشرين الثاني/نوفمبر </w:t>
      </w:r>
      <w:r w:rsidRPr="00AA67D7">
        <w:rPr>
          <w:rFonts w:eastAsiaTheme="minorEastAsia"/>
          <w:rtl/>
        </w:rPr>
        <w:t>2018</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5"/>
      </w:r>
      <w:r w:rsidRPr="00D2562D">
        <w:rPr>
          <w:rStyle w:val="FootnoteReference"/>
          <w:rFonts w:eastAsiaTheme="minorEastAsia"/>
          <w:sz w:val="22"/>
          <w:rtl/>
        </w:rPr>
        <w:t>)</w:t>
      </w:r>
    </w:p>
    <w:p w14:paraId="0A666E1C" w14:textId="1409067B" w:rsidR="007954CB" w:rsidRPr="007954CB" w:rsidRDefault="00261ADA" w:rsidP="00D2562D">
      <w:pPr>
        <w:pStyle w:val="SingleTxtGA"/>
        <w:rPr>
          <w:rStyle w:val="FootnoteReference"/>
          <w:rFonts w:eastAsiaTheme="minorEastAsia"/>
          <w:sz w:val="22"/>
          <w:lang w:val="ar-SA" w:eastAsia="zh-TW" w:bidi="en-GB"/>
        </w:rPr>
      </w:pPr>
      <w:r>
        <w:rPr>
          <w:rFonts w:eastAsiaTheme="minorEastAsia"/>
          <w:rtl/>
        </w:rPr>
        <w:tab/>
      </w:r>
      <w:r w:rsidR="00D2562D" w:rsidRPr="00D2562D">
        <w:rPr>
          <w:rFonts w:eastAsiaTheme="minorEastAsia"/>
          <w:rtl/>
        </w:rPr>
        <w:t xml:space="preserve">تبلغ الدولة الطرف اللجنة بأن مجلس الإفراج المشروط قد استعرض وضع صاحبي البلاغ منذ إحالة آراء اللجنة في نيسان/أبريل </w:t>
      </w:r>
      <w:r w:rsidR="00D2562D" w:rsidRPr="00AA67D7">
        <w:rPr>
          <w:rFonts w:eastAsiaTheme="minorEastAsia"/>
          <w:rtl/>
        </w:rPr>
        <w:t>201</w:t>
      </w:r>
      <w:r w:rsidR="007954CB" w:rsidRPr="00AA67D7">
        <w:rPr>
          <w:rFonts w:eastAsiaTheme="minorEastAsia"/>
          <w:rtl/>
        </w:rPr>
        <w:t>8</w:t>
      </w:r>
      <w:r w:rsidR="007954CB" w:rsidRPr="007954CB">
        <w:rPr>
          <w:rFonts w:eastAsiaTheme="minorEastAsia"/>
          <w:rtl/>
        </w:rPr>
        <w:t xml:space="preserve">. </w:t>
      </w:r>
      <w:r w:rsidR="00D2562D" w:rsidRPr="00D2562D">
        <w:rPr>
          <w:rFonts w:eastAsiaTheme="minorEastAsia"/>
          <w:rtl/>
        </w:rPr>
        <w:t>وبينما لا يزال كلاهما في السجن بموجب حكم بالحبس الوقائي، فإنهما قادران على التماس الوصول إلى كامل مجموعة برامج إعادة التأهيل وإعادة الإدماج المتاحة (رهناً بمعايير الأهلية لكل برنامج</w:t>
      </w:r>
      <w:r w:rsidR="007954CB" w:rsidRPr="007954CB">
        <w:rPr>
          <w:rFonts w:eastAsiaTheme="minorEastAsia"/>
          <w:rtl/>
        </w:rPr>
        <w:t xml:space="preserve">). </w:t>
      </w:r>
      <w:r w:rsidR="00D2562D" w:rsidRPr="00D2562D">
        <w:rPr>
          <w:rFonts w:eastAsiaTheme="minorEastAsia"/>
          <w:rtl/>
        </w:rPr>
        <w:t>ويشمل ذلك فرصاً للسعي إلى الانضمام لبرامج ووحدات تقدم نظماً مختلفة عن النظم المتاحة في أماكن أخرى من نظام السجون، مثل وحدات الرعاية الذاتية، وهي وحدات إيواء صغيرة الحجم توفر بيئة شبيهة بأماكن الإقامة السكنية وتقدم فرصاً لإعادة إدماج السجناء الذين قضوا مدة طويلة في السجن</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6"/>
      </w:r>
      <w:r w:rsidR="007954CB" w:rsidRPr="007954CB">
        <w:rPr>
          <w:rStyle w:val="FootnoteReference"/>
          <w:rFonts w:eastAsiaTheme="minorEastAsia"/>
          <w:sz w:val="22"/>
          <w:rtl/>
        </w:rPr>
        <w:t>)</w:t>
      </w:r>
      <w:r w:rsidR="007954CB" w:rsidRPr="007954CB">
        <w:rPr>
          <w:rFonts w:eastAsiaTheme="minorEastAsia"/>
          <w:rtl/>
        </w:rPr>
        <w:t>.</w:t>
      </w:r>
    </w:p>
    <w:p w14:paraId="453BBECA" w14:textId="169ACC97"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ويعيش السيد ميلر في وحدة رعاية ذاتية داخلية منذ آذار/مارس </w:t>
      </w:r>
      <w:r w:rsidR="00D2562D" w:rsidRPr="00AA67D7">
        <w:rPr>
          <w:rFonts w:eastAsiaTheme="minorEastAsia"/>
          <w:rtl/>
        </w:rPr>
        <w:t>2016</w:t>
      </w:r>
      <w:r w:rsidR="00D2562D" w:rsidRPr="00D2562D">
        <w:rPr>
          <w:rFonts w:eastAsiaTheme="minorEastAsia"/>
          <w:rtl/>
        </w:rPr>
        <w:t xml:space="preserve">، كما يشارك حالياً في برامج العمل والتعليم داخل السجن. وشارك في برنامج الإفراج المؤقت للخروج إلى المجتمع ليوم واحد، برفقة موظفين من السجن. ومثل أمام مجلس الإفراج المشروط في </w:t>
      </w:r>
      <w:r w:rsidR="00D2562D" w:rsidRPr="00AA67D7">
        <w:rPr>
          <w:rFonts w:eastAsiaTheme="minorEastAsia"/>
          <w:rtl/>
        </w:rPr>
        <w:t>7</w:t>
      </w:r>
      <w:r w:rsidR="00D2562D" w:rsidRPr="00D2562D">
        <w:rPr>
          <w:rFonts w:eastAsiaTheme="minorEastAsia"/>
          <w:rtl/>
        </w:rPr>
        <w:t xml:space="preserve"> أيلول/سبتمبر </w:t>
      </w:r>
      <w:r w:rsidR="00D2562D" w:rsidRPr="00AA67D7">
        <w:rPr>
          <w:rFonts w:eastAsiaTheme="minorEastAsia"/>
          <w:rtl/>
        </w:rPr>
        <w:t>2016</w:t>
      </w:r>
      <w:r w:rsidR="00D2562D" w:rsidRPr="00D2562D">
        <w:rPr>
          <w:rFonts w:eastAsiaTheme="minorEastAsia"/>
          <w:rtl/>
        </w:rPr>
        <w:t>، و</w:t>
      </w:r>
      <w:r w:rsidR="00D2562D" w:rsidRPr="00AA67D7">
        <w:rPr>
          <w:rFonts w:eastAsiaTheme="minorEastAsia"/>
          <w:rtl/>
        </w:rPr>
        <w:t>1</w:t>
      </w:r>
      <w:r w:rsidR="00D2562D" w:rsidRPr="00D2562D">
        <w:rPr>
          <w:rFonts w:eastAsiaTheme="minorEastAsia"/>
          <w:rtl/>
        </w:rPr>
        <w:t xml:space="preserve"> آب/أغسطس </w:t>
      </w:r>
      <w:r w:rsidR="00D2562D" w:rsidRPr="00AA67D7">
        <w:rPr>
          <w:rFonts w:eastAsiaTheme="minorEastAsia"/>
          <w:rtl/>
        </w:rPr>
        <w:t>2017</w:t>
      </w:r>
      <w:r w:rsidR="00D2562D" w:rsidRPr="00D2562D">
        <w:rPr>
          <w:rFonts w:eastAsiaTheme="minorEastAsia"/>
          <w:rtl/>
        </w:rPr>
        <w:t>، و</w:t>
      </w:r>
      <w:r w:rsidR="00D2562D" w:rsidRPr="00AA67D7">
        <w:rPr>
          <w:rFonts w:eastAsiaTheme="minorEastAsia"/>
          <w:rtl/>
        </w:rPr>
        <w:t>8</w:t>
      </w:r>
      <w:r w:rsidR="00D2562D" w:rsidRPr="00D2562D">
        <w:rPr>
          <w:rFonts w:eastAsiaTheme="minorEastAsia"/>
          <w:rtl/>
        </w:rPr>
        <w:t xml:space="preserve"> شباط/فبراير </w:t>
      </w:r>
      <w:r w:rsidR="00D2562D" w:rsidRPr="00AA67D7">
        <w:rPr>
          <w:rFonts w:eastAsiaTheme="minorEastAsia"/>
          <w:rtl/>
        </w:rPr>
        <w:t>2018</w:t>
      </w:r>
      <w:r w:rsidR="00D2562D" w:rsidRPr="00D2562D">
        <w:rPr>
          <w:rFonts w:eastAsiaTheme="minorEastAsia"/>
          <w:rtl/>
        </w:rPr>
        <w:t>، و</w:t>
      </w:r>
      <w:r w:rsidR="00D2562D" w:rsidRPr="00AA67D7">
        <w:rPr>
          <w:rFonts w:eastAsiaTheme="minorEastAsia"/>
          <w:rtl/>
        </w:rPr>
        <w:t>31</w:t>
      </w:r>
      <w:r w:rsidR="00D2562D" w:rsidRPr="00D2562D">
        <w:rPr>
          <w:rFonts w:eastAsiaTheme="minorEastAsia"/>
          <w:rtl/>
        </w:rPr>
        <w:t xml:space="preserve"> أيار/مايو </w:t>
      </w:r>
      <w:r w:rsidR="00D2562D" w:rsidRPr="00AA67D7">
        <w:rPr>
          <w:rFonts w:eastAsiaTheme="minorEastAsia"/>
          <w:rtl/>
        </w:rPr>
        <w:t>2018</w:t>
      </w:r>
      <w:r w:rsidR="00D2562D" w:rsidRPr="00D2562D">
        <w:rPr>
          <w:rFonts w:eastAsiaTheme="minorEastAsia"/>
          <w:rtl/>
        </w:rPr>
        <w:t xml:space="preserve">، ورفض له الإفراج المشروط في كل مرة. وفي جلسة الاستماع التي عقدت في أيار/مايو </w:t>
      </w:r>
      <w:r w:rsidR="00D2562D" w:rsidRPr="00AA67D7">
        <w:rPr>
          <w:rFonts w:eastAsiaTheme="minorEastAsia"/>
          <w:rtl/>
        </w:rPr>
        <w:t>2018</w:t>
      </w:r>
      <w:r w:rsidR="00D2562D" w:rsidRPr="00D2562D">
        <w:rPr>
          <w:rFonts w:eastAsiaTheme="minorEastAsia"/>
          <w:rtl/>
        </w:rPr>
        <w:t>، كرر المجلس تعليقاً من قراره السابق فيما يتعلق بـ</w:t>
      </w:r>
      <w:r w:rsidR="00142AB1">
        <w:rPr>
          <w:rFonts w:eastAsiaTheme="minorEastAsia" w:hint="cs"/>
          <w:rtl/>
        </w:rPr>
        <w:t xml:space="preserve"> "</w:t>
      </w:r>
      <w:r w:rsidR="00D2562D" w:rsidRPr="00D2562D">
        <w:rPr>
          <w:rFonts w:eastAsiaTheme="minorEastAsia"/>
          <w:rtl/>
        </w:rPr>
        <w:t>افتقاره التام والبيّن لفهم الخطر الذي يشكله</w:t>
      </w:r>
      <w:r w:rsidR="00142AB1">
        <w:rPr>
          <w:rFonts w:eastAsiaTheme="minorEastAsia" w:hint="cs"/>
          <w:rtl/>
        </w:rPr>
        <w:t>"</w:t>
      </w:r>
      <w:r w:rsidR="00D2562D" w:rsidRPr="00D2562D">
        <w:rPr>
          <w:rFonts w:eastAsiaTheme="minorEastAsia"/>
          <w:rtl/>
        </w:rPr>
        <w:t xml:space="preserve">. وبالتالي، لم يقتنع المجلس على الإطلاق، استناداً إلى المعلومات المتاحة له، بأن خطر ارتكابه المزيد من الجرائم الجنسية غير شديد، أو أنه يفهم حقاً هذا الخطر. وكان من المقرر أن يمثل أمام المجلس مرة أخرى في موعد أقصاه أيار/مايو </w:t>
      </w:r>
      <w:r w:rsidR="00D2562D" w:rsidRPr="00AA67D7">
        <w:rPr>
          <w:rFonts w:eastAsiaTheme="minorEastAsia"/>
          <w:rtl/>
        </w:rPr>
        <w:t>2019</w:t>
      </w:r>
      <w:r w:rsidR="00D2562D" w:rsidRPr="00D2562D">
        <w:rPr>
          <w:rFonts w:eastAsiaTheme="minorEastAsia"/>
          <w:rtl/>
        </w:rPr>
        <w:t>، ويُطلب حينئذ تقرير تقييم محدث.</w:t>
      </w:r>
    </w:p>
    <w:p w14:paraId="614D1961" w14:textId="5E067109" w:rsidR="007954CB" w:rsidRPr="007954CB" w:rsidRDefault="00261ADA" w:rsidP="00D2562D">
      <w:pPr>
        <w:pStyle w:val="SingleTxtGA"/>
        <w:rPr>
          <w:rFonts w:eastAsiaTheme="minorEastAsia"/>
          <w:lang w:val="ar-SA" w:eastAsia="zh-TW" w:bidi="en-GB"/>
        </w:rPr>
      </w:pPr>
      <w:r>
        <w:rPr>
          <w:rFonts w:eastAsiaTheme="minorEastAsia"/>
          <w:rtl/>
        </w:rPr>
        <w:lastRenderedPageBreak/>
        <w:tab/>
      </w:r>
      <w:r w:rsidR="00D2562D" w:rsidRPr="00D2562D">
        <w:rPr>
          <w:rFonts w:eastAsiaTheme="minorEastAsia"/>
          <w:rtl/>
        </w:rPr>
        <w:t xml:space="preserve">ويعيش السيد كارول أيضاً في وحدة رعاية ذاتية داخلية منذ أيلول/سبتمبر </w:t>
      </w:r>
      <w:r w:rsidR="00D2562D" w:rsidRPr="00AA67D7">
        <w:rPr>
          <w:rFonts w:eastAsiaTheme="minorEastAsia"/>
          <w:rtl/>
        </w:rPr>
        <w:t>201</w:t>
      </w:r>
      <w:r w:rsidR="007954CB" w:rsidRPr="00AA67D7">
        <w:rPr>
          <w:rFonts w:eastAsiaTheme="minorEastAsia"/>
          <w:rtl/>
        </w:rPr>
        <w:t>8</w:t>
      </w:r>
      <w:r w:rsidR="007954CB" w:rsidRPr="007954CB">
        <w:rPr>
          <w:rFonts w:eastAsiaTheme="minorEastAsia"/>
          <w:rtl/>
        </w:rPr>
        <w:t xml:space="preserve">. </w:t>
      </w:r>
      <w:r w:rsidR="00D2562D" w:rsidRPr="00D2562D">
        <w:rPr>
          <w:rFonts w:eastAsiaTheme="minorEastAsia"/>
          <w:rtl/>
        </w:rPr>
        <w:t>وحصل على الإذن بمغادرة السجن نهاراً لحضور وحدة رعاية ذاتية خارج السجن، على أن يخضع خلال تلك الفترة لرصد إلكتروني</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7"/>
      </w:r>
      <w:r w:rsidR="007954CB" w:rsidRPr="007954CB">
        <w:rPr>
          <w:rStyle w:val="FootnoteReference"/>
          <w:rFonts w:eastAsiaTheme="minorEastAsia"/>
          <w:sz w:val="22"/>
          <w:rtl/>
        </w:rPr>
        <w:t>)</w:t>
      </w:r>
      <w:r w:rsidR="007954CB" w:rsidRPr="007954CB">
        <w:rPr>
          <w:rFonts w:eastAsiaTheme="minorEastAsia"/>
          <w:rtl/>
        </w:rPr>
        <w:t xml:space="preserve">. </w:t>
      </w:r>
      <w:r w:rsidR="00D2562D" w:rsidRPr="00D2562D">
        <w:rPr>
          <w:rFonts w:eastAsiaTheme="minorEastAsia"/>
          <w:rtl/>
        </w:rPr>
        <w:t xml:space="preserve">وهو يعمل داخل السجن وأكمل مؤهلاً جامعياً وبرنامجاً علاجياً لمرتكبي الجرائم الجنسية البالغين. كما شارك في </w:t>
      </w:r>
      <w:r w:rsidR="00D2562D" w:rsidRPr="00AA67D7">
        <w:rPr>
          <w:rFonts w:eastAsiaTheme="minorEastAsia"/>
          <w:rtl/>
        </w:rPr>
        <w:t>11</w:t>
      </w:r>
      <w:r w:rsidR="00D2562D" w:rsidRPr="00D2562D">
        <w:rPr>
          <w:rFonts w:eastAsiaTheme="minorEastAsia"/>
          <w:rtl/>
        </w:rPr>
        <w:t xml:space="preserve"> جلسة علاج فردية مع أخصائي سريري بين </w:t>
      </w:r>
      <w:r w:rsidR="00D2562D" w:rsidRPr="00AA67D7">
        <w:rPr>
          <w:rFonts w:eastAsiaTheme="minorEastAsia"/>
          <w:rtl/>
        </w:rPr>
        <w:t>3</w:t>
      </w:r>
      <w:r w:rsidR="00D2562D" w:rsidRPr="00D2562D">
        <w:rPr>
          <w:rFonts w:eastAsiaTheme="minorEastAsia"/>
          <w:rtl/>
        </w:rPr>
        <w:t xml:space="preserve"> تموز/يوليه </w:t>
      </w:r>
      <w:r w:rsidR="00D2562D" w:rsidRPr="00AA67D7">
        <w:rPr>
          <w:rFonts w:eastAsiaTheme="minorEastAsia"/>
          <w:rtl/>
        </w:rPr>
        <w:t>2017</w:t>
      </w:r>
      <w:r w:rsidR="00D2562D" w:rsidRPr="00D2562D">
        <w:rPr>
          <w:rFonts w:eastAsiaTheme="minorEastAsia"/>
          <w:rtl/>
        </w:rPr>
        <w:t xml:space="preserve"> و</w:t>
      </w:r>
      <w:r w:rsidR="00D2562D" w:rsidRPr="00AA67D7">
        <w:rPr>
          <w:rFonts w:eastAsiaTheme="minorEastAsia"/>
          <w:rtl/>
        </w:rPr>
        <w:t>26</w:t>
      </w:r>
      <w:r w:rsidR="00D2562D" w:rsidRPr="00D2562D">
        <w:rPr>
          <w:rFonts w:eastAsiaTheme="minorEastAsia"/>
          <w:rtl/>
        </w:rPr>
        <w:t xml:space="preserve"> أيلول/سبتمبر </w:t>
      </w:r>
      <w:r w:rsidR="00D2562D" w:rsidRPr="00AA67D7">
        <w:rPr>
          <w:rFonts w:eastAsiaTheme="minorEastAsia"/>
          <w:rtl/>
        </w:rPr>
        <w:t>201</w:t>
      </w:r>
      <w:r w:rsidR="007954CB" w:rsidRPr="00AA67D7">
        <w:rPr>
          <w:rFonts w:eastAsiaTheme="minorEastAsia"/>
          <w:rtl/>
        </w:rPr>
        <w:t>8</w:t>
      </w:r>
      <w:r w:rsidR="007954CB" w:rsidRPr="007954CB">
        <w:rPr>
          <w:rFonts w:eastAsiaTheme="minorEastAsia"/>
          <w:rtl/>
        </w:rPr>
        <w:t xml:space="preserve">. </w:t>
      </w:r>
      <w:r w:rsidR="00D2562D" w:rsidRPr="00D2562D">
        <w:rPr>
          <w:rFonts w:eastAsiaTheme="minorEastAsia"/>
          <w:rtl/>
        </w:rPr>
        <w:t xml:space="preserve">ومثل أمام مجلس الإفراج المشروط في عامي </w:t>
      </w:r>
      <w:r w:rsidR="00D2562D" w:rsidRPr="00AA67D7">
        <w:rPr>
          <w:rFonts w:eastAsiaTheme="minorEastAsia"/>
          <w:rtl/>
        </w:rPr>
        <w:t>2016</w:t>
      </w:r>
      <w:r w:rsidR="00D2562D" w:rsidRPr="00D2562D">
        <w:rPr>
          <w:rFonts w:eastAsiaTheme="minorEastAsia"/>
          <w:rtl/>
        </w:rPr>
        <w:t xml:space="preserve"> و</w:t>
      </w:r>
      <w:r w:rsidR="00D2562D" w:rsidRPr="00AA67D7">
        <w:rPr>
          <w:rFonts w:eastAsiaTheme="minorEastAsia"/>
          <w:rtl/>
        </w:rPr>
        <w:t>2018</w:t>
      </w:r>
      <w:r w:rsidR="00D2562D" w:rsidRPr="00D2562D">
        <w:rPr>
          <w:rFonts w:eastAsiaTheme="minorEastAsia"/>
          <w:rtl/>
        </w:rPr>
        <w:t xml:space="preserve"> ورُفض له الإفراج المشروط. وأشار المجلس إلى أن خطط إعادة الإدماج في ذلك الوقت لم تتناول المخاطر التي قد يمثلها على الغير ولم تخففها. وكان من المقرر أن يمثل صاحب البلاغ أمام المجلس مرة أخرى في موعد أقصاه أيار/مايو </w:t>
      </w:r>
      <w:r w:rsidR="00D2562D" w:rsidRPr="00AA67D7">
        <w:rPr>
          <w:rFonts w:eastAsiaTheme="minorEastAsia"/>
          <w:rtl/>
        </w:rPr>
        <w:t>201</w:t>
      </w:r>
      <w:r w:rsidR="007954CB" w:rsidRPr="00AA67D7">
        <w:rPr>
          <w:rFonts w:eastAsiaTheme="minorEastAsia"/>
          <w:rtl/>
        </w:rPr>
        <w:t>9</w:t>
      </w:r>
      <w:r w:rsidR="007954CB" w:rsidRPr="007954CB">
        <w:rPr>
          <w:rFonts w:eastAsiaTheme="minorEastAsia"/>
          <w:rtl/>
        </w:rPr>
        <w:t>.</w:t>
      </w:r>
    </w:p>
    <w:p w14:paraId="1AF7BCD4" w14:textId="65D384F7"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وتدفع الدولة الطرف بأنه لا يمكن، في التقييم الذي أجراه مجلس الإفراج المشروط، الإفراج في الوقت الراهن عن أي من صاحبي البلاغ من الحبس الوقائي. وفي كلتا الحالتين، خلص المجلس إلى أن الحد الأدنى القانوني للإفراج عنه لم يستوف، ولم يقتنع بأن صاحبي البلاغ لن يشكلا خطراً لا داعي له</w:t>
      </w:r>
      <w:r w:rsidR="00383F67">
        <w:rPr>
          <w:rFonts w:eastAsiaTheme="minorEastAsia" w:hint="cs"/>
          <w:rtl/>
        </w:rPr>
        <w:t> </w:t>
      </w:r>
      <w:r w:rsidR="00D2562D" w:rsidRPr="00D2562D">
        <w:rPr>
          <w:rFonts w:eastAsiaTheme="minorEastAsia"/>
          <w:rtl/>
        </w:rPr>
        <w:t>على سلامة المجتمع إذا أفرج عنهما. وبالنظر إلى قرارات المجلس بعد النظر في وقائع قضية كل من صاحبي البلاغ، لا يمكن فرض أي شكل أقل شدّة من القيود على أي منهما.</w:t>
      </w:r>
    </w:p>
    <w:p w14:paraId="2D13CDA2" w14:textId="66D9A9EB"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وللحيلولة دون حدوث انتهاكات في المستقبل، طلبت الدولة الطرف إلى إدارة الإصلاحيات إسداء المشورة بشأن كيفية إصلاح سير عمل السجون وتصميمها على المدى الطويل لبلوغ الحد الأقصى من فرص إعادة التأهيل وإعادة الإدماج لجميع السجناء.</w:t>
      </w:r>
    </w:p>
    <w:p w14:paraId="6BC497AA" w14:textId="663CFB9F" w:rsidR="00D2562D" w:rsidRPr="00D2562D" w:rsidRDefault="00261ADA" w:rsidP="00D2562D">
      <w:pPr>
        <w:pStyle w:val="SingleTxtGA"/>
        <w:rPr>
          <w:rFonts w:eastAsiaTheme="minorEastAsia"/>
          <w:lang w:val="ar-SA" w:eastAsia="zh-TW" w:bidi="en-GB"/>
        </w:rPr>
      </w:pPr>
      <w:r w:rsidRPr="00383F67">
        <w:rPr>
          <w:rFonts w:eastAsiaTheme="minorEastAsia"/>
          <w:spacing w:val="-4"/>
          <w:rtl/>
        </w:rPr>
        <w:tab/>
      </w:r>
      <w:r w:rsidR="00D2562D" w:rsidRPr="00383F67">
        <w:rPr>
          <w:rFonts w:eastAsiaTheme="minorEastAsia"/>
          <w:spacing w:val="-4"/>
          <w:rtl/>
        </w:rPr>
        <w:t xml:space="preserve">وفيما يتعلق بالإصلاح التشريعي، تدفع الدولة الطرف بأن الحكومة أطلقت في تموز/يوليه </w:t>
      </w:r>
      <w:r w:rsidR="00D2562D" w:rsidRPr="00AA67D7">
        <w:rPr>
          <w:rFonts w:eastAsiaTheme="minorEastAsia"/>
          <w:spacing w:val="-4"/>
          <w:rtl/>
        </w:rPr>
        <w:t>2018</w:t>
      </w:r>
      <w:r w:rsidR="00D2562D" w:rsidRPr="00D2562D">
        <w:rPr>
          <w:rFonts w:eastAsiaTheme="minorEastAsia"/>
          <w:rtl/>
        </w:rPr>
        <w:t xml:space="preserve"> مبادرة بعنوان العدالة الآمنة والفعالة، تسعى إلى تحويل نظام العدالة الجنائية بحيث يركز بشكل أفضل على دعم رفاه جميع الأشخاص المتضررين من الجريمة. وتشكل هذه المبادرة فرصة لاستعراض الإطار التشريعي للاحتجاز الوقائي والإفراج المشروط في ضوء آراء اللجنة. وتتضمن خطة عمل مرحلية حتى حزيران/يونيه </w:t>
      </w:r>
      <w:r w:rsidR="00D2562D" w:rsidRPr="00AA67D7">
        <w:rPr>
          <w:rFonts w:eastAsiaTheme="minorEastAsia"/>
          <w:rtl/>
        </w:rPr>
        <w:t>2020</w:t>
      </w:r>
      <w:r w:rsidR="00D2562D" w:rsidRPr="00D2562D">
        <w:rPr>
          <w:rFonts w:eastAsiaTheme="minorEastAsia"/>
          <w:rtl/>
        </w:rPr>
        <w:t>، تشمل فحص الإجراءات الحالية المتعلقة بإصدار الأحكام والإفراج المشروط، بما</w:t>
      </w:r>
      <w:r w:rsidR="00383F67">
        <w:rPr>
          <w:rFonts w:eastAsiaTheme="minorEastAsia" w:hint="cs"/>
          <w:rtl/>
        </w:rPr>
        <w:t> </w:t>
      </w:r>
      <w:r w:rsidR="00D2562D" w:rsidRPr="00D2562D">
        <w:rPr>
          <w:rFonts w:eastAsiaTheme="minorEastAsia"/>
          <w:rtl/>
        </w:rPr>
        <w:t>في ذلك الترتيبات القائمة للجناة الذين يشكلون خطراً جسيماً ومستمراً على السلامة العامة. وعلى الرغم من عدم تركيز البرنامج تحديداً على عقوبة الحبس الوقائي، فمن المرجح أن يشمل النظر في مدى ملاءمة وفعالية العقوبة والأوامر.</w:t>
      </w:r>
    </w:p>
    <w:p w14:paraId="6FFB5076" w14:textId="343E8D4E"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صاحبي البلاغ:</w:t>
      </w:r>
      <w:r w:rsidRPr="00D2562D">
        <w:rPr>
          <w:rFonts w:eastAsiaTheme="minorEastAsia"/>
          <w:rtl/>
        </w:rPr>
        <w:t xml:space="preserve"> </w:t>
      </w:r>
      <w:r w:rsidRPr="00AA67D7">
        <w:rPr>
          <w:rFonts w:eastAsiaTheme="minorEastAsia"/>
          <w:rtl/>
        </w:rPr>
        <w:t>25</w:t>
      </w:r>
      <w:r w:rsidRPr="00D2562D">
        <w:rPr>
          <w:rFonts w:eastAsiaTheme="minorEastAsia"/>
          <w:rtl/>
        </w:rPr>
        <w:t xml:space="preserve"> حزيران/يونيه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8"/>
      </w:r>
      <w:r w:rsidRPr="00D2562D">
        <w:rPr>
          <w:rStyle w:val="FootnoteReference"/>
          <w:rFonts w:eastAsiaTheme="minorEastAsia"/>
          <w:sz w:val="22"/>
          <w:rtl/>
        </w:rPr>
        <w:t>)</w:t>
      </w:r>
    </w:p>
    <w:p w14:paraId="69F782D6" w14:textId="77006B4B" w:rsidR="007954CB" w:rsidRPr="007954CB" w:rsidRDefault="00261ADA" w:rsidP="00D2562D">
      <w:pPr>
        <w:pStyle w:val="SingleTxtGA"/>
        <w:rPr>
          <w:rStyle w:val="FootnoteReference"/>
          <w:rFonts w:eastAsiaTheme="minorEastAsia"/>
          <w:sz w:val="22"/>
          <w:lang w:val="ar-SA" w:eastAsia="zh-TW" w:bidi="en-GB"/>
        </w:rPr>
      </w:pPr>
      <w:r>
        <w:rPr>
          <w:rFonts w:eastAsiaTheme="minorEastAsia"/>
          <w:rtl/>
        </w:rPr>
        <w:tab/>
      </w:r>
      <w:r w:rsidR="00D2562D" w:rsidRPr="00D2562D">
        <w:rPr>
          <w:rFonts w:eastAsiaTheme="minorEastAsia"/>
          <w:rtl/>
        </w:rPr>
        <w:t xml:space="preserve">يؤكد صاحبا البلاغ أن الدولة الطرف، وإن كانت تعترف بالحاجة إلى بعض التغيير، لم تقدم لهما أي شكل من أشكال الجبر وأن صاحبي البلاغ لا يزالان محتجزين تعسفاً على الرغم من اعتماد آراء اللجنة. ويذكران بأن اللجنة خلصت إلى أن مجلس الإفراج المشروط لم يشكِّل، لغرض تمكين صاحبي البلاغ من الطعن في قانونية احتجازهما، محكمةً بالمعنى المقصود في المادة </w:t>
      </w:r>
      <w:r w:rsidR="00D2562D" w:rsidRPr="00AA67D7">
        <w:rPr>
          <w:rFonts w:eastAsiaTheme="minorEastAsia"/>
          <w:rtl/>
        </w:rPr>
        <w:t>9</w:t>
      </w:r>
      <w:r w:rsidR="00D2562D" w:rsidRPr="00D2562D">
        <w:rPr>
          <w:rFonts w:eastAsiaTheme="minorEastAsia"/>
          <w:rtl/>
        </w:rPr>
        <w:t>(</w:t>
      </w:r>
      <w:r w:rsidR="007954CB" w:rsidRPr="00AA67D7">
        <w:rPr>
          <w:rFonts w:eastAsiaTheme="minorEastAsia"/>
          <w:rtl/>
        </w:rPr>
        <w:t>4</w:t>
      </w:r>
      <w:r w:rsidR="007954CB" w:rsidRPr="007954CB">
        <w:rPr>
          <w:rFonts w:eastAsiaTheme="minorEastAsia"/>
          <w:rtl/>
        </w:rPr>
        <w:t xml:space="preserve">) </w:t>
      </w:r>
      <w:r w:rsidR="00D2562D" w:rsidRPr="00D2562D">
        <w:rPr>
          <w:rFonts w:eastAsiaTheme="minorEastAsia"/>
          <w:rtl/>
        </w:rPr>
        <w:t>من العهد وأن حقوق صاحبي البلاغ في الطعن في قرار المجلس أمام المحاكم العادية لا تفي بالمعيار الذي تقتضيه المادة</w:t>
      </w:r>
      <w:r>
        <w:rPr>
          <w:rFonts w:eastAsiaTheme="minorEastAsia" w:hint="cs"/>
          <w:rtl/>
        </w:rPr>
        <w:t> </w:t>
      </w:r>
      <w:r w:rsidR="00D2562D" w:rsidRPr="00AA67D7">
        <w:rPr>
          <w:rFonts w:eastAsiaTheme="minorEastAsia"/>
          <w:rtl/>
        </w:rPr>
        <w:t>9</w:t>
      </w:r>
      <w:r w:rsidR="00D2562D" w:rsidRPr="00D2562D">
        <w:rPr>
          <w:rFonts w:eastAsiaTheme="minorEastAsia"/>
          <w:rtl/>
        </w:rPr>
        <w:t>(</w:t>
      </w:r>
      <w:r w:rsidR="007954CB" w:rsidRPr="00AA67D7">
        <w:rPr>
          <w:rFonts w:eastAsiaTheme="minorEastAsia"/>
          <w:rtl/>
        </w:rPr>
        <w:t>4</w:t>
      </w:r>
      <w:r w:rsidR="007954CB" w:rsidRPr="007954CB">
        <w:rPr>
          <w:rFonts w:eastAsiaTheme="minorEastAsia"/>
          <w:rtl/>
        </w:rPr>
        <w:t xml:space="preserve">). </w:t>
      </w:r>
      <w:r w:rsidR="00D2562D" w:rsidRPr="00D2562D">
        <w:rPr>
          <w:rFonts w:eastAsiaTheme="minorEastAsia"/>
          <w:rtl/>
        </w:rPr>
        <w:t xml:space="preserve">غير أن الدولة الطرف تجادل بأنه يكفي أن يخضع احتجاز صاحب البلاغ لاستعراض دوري من جانب المجلس وأنها تعتمد على تقييمه لوقائع قضية كل من صاحبي بلاغ لإثبات مشروعية </w:t>
      </w:r>
      <w:r w:rsidR="00D2562D" w:rsidRPr="00D2562D">
        <w:rPr>
          <w:rFonts w:eastAsiaTheme="minorEastAsia"/>
          <w:rtl/>
        </w:rPr>
        <w:lastRenderedPageBreak/>
        <w:t>احتجاز كل منهما. ويدفع صاحبا البلاغ بأن الدولة الطرف لا تدرك أن الاحتجاز القانوني محلياً يمكن أن يكون تعسفياً في ضوء القانون الدولي لحقوق الإنسان، وفقاً لآراء اللجنة</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19"/>
      </w:r>
      <w:r w:rsidR="007954CB" w:rsidRPr="007954CB">
        <w:rPr>
          <w:rStyle w:val="FootnoteReference"/>
          <w:rFonts w:eastAsiaTheme="minorEastAsia"/>
          <w:sz w:val="22"/>
          <w:rtl/>
        </w:rPr>
        <w:t>)</w:t>
      </w:r>
      <w:r w:rsidR="007954CB" w:rsidRPr="007954CB">
        <w:rPr>
          <w:rFonts w:eastAsiaTheme="minorEastAsia"/>
          <w:rtl/>
        </w:rPr>
        <w:t>.</w:t>
      </w:r>
    </w:p>
    <w:p w14:paraId="28EFEE88" w14:textId="2E88861A"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وعلاوة على ذلك، يدعي صاحبا البلاغ أن رد الدولة الطرف بشأن منع وقوع انتهاكات مماثلة في المستقبل لا معنى له من حيث تقديم سبيل انتصاف فعلي فوري لأي منهما. وفيما يتعلق بإطلاق مبادرة العدالة الآمنة والفعالة، أشارا إلى أنه من غير المرجح تقديم اقتراح بالإصلاح التشريعي قبل حزيران/يونيه </w:t>
      </w:r>
      <w:r w:rsidR="00D2562D" w:rsidRPr="00AA67D7">
        <w:rPr>
          <w:rFonts w:eastAsiaTheme="minorEastAsia"/>
          <w:rtl/>
        </w:rPr>
        <w:t>202</w:t>
      </w:r>
      <w:r w:rsidR="007954CB" w:rsidRPr="00AA67D7">
        <w:rPr>
          <w:rFonts w:eastAsiaTheme="minorEastAsia"/>
          <w:rtl/>
        </w:rPr>
        <w:t>0</w:t>
      </w:r>
      <w:r w:rsidR="007954CB" w:rsidRPr="007954CB">
        <w:rPr>
          <w:rFonts w:eastAsiaTheme="minorEastAsia"/>
          <w:rtl/>
        </w:rPr>
        <w:t xml:space="preserve">. </w:t>
      </w:r>
      <w:r w:rsidR="00D2562D" w:rsidRPr="00D2562D">
        <w:rPr>
          <w:rFonts w:eastAsiaTheme="minorEastAsia"/>
          <w:rtl/>
        </w:rPr>
        <w:t xml:space="preserve">وبالنظر إلى أن فترة ولاية الحكومة الحالية تنتهي في أيلول/سبتمبر </w:t>
      </w:r>
      <w:r w:rsidR="00D2562D" w:rsidRPr="00AA67D7">
        <w:rPr>
          <w:rFonts w:eastAsiaTheme="minorEastAsia"/>
          <w:rtl/>
        </w:rPr>
        <w:t>2020</w:t>
      </w:r>
      <w:r w:rsidR="00D2562D" w:rsidRPr="00D2562D">
        <w:rPr>
          <w:rFonts w:eastAsiaTheme="minorEastAsia"/>
          <w:rtl/>
        </w:rPr>
        <w:t xml:space="preserve"> وأن المعارضة لديها وجهات نظر مختلفة اختلافاً جذرياً بشأن إصلاح نظام العقوبات، فإن مصير المبادرة سيعتمد على الانتخابات المقبلة. وفي غضون ذلك، سيظل صاحبا البلاغ رهن الاحتجاز التعسفي.</w:t>
      </w:r>
    </w:p>
    <w:p w14:paraId="179E9201"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تقييم اللجنة:</w:t>
      </w:r>
    </w:p>
    <w:p w14:paraId="3953E57D" w14:textId="10E9F85D"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(أ)</w:t>
      </w:r>
      <w:r w:rsidR="00D2562D" w:rsidRPr="00D2562D">
        <w:rPr>
          <w:rFonts w:eastAsiaTheme="minorEastAsia"/>
          <w:rtl/>
        </w:rPr>
        <w:tab/>
        <w:t>الجبر الكامل: جيم؛</w:t>
      </w:r>
    </w:p>
    <w:p w14:paraId="6297BDEE" w14:textId="7AE9C36D"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(ب)</w:t>
      </w:r>
      <w:r w:rsidR="00D2562D" w:rsidRPr="00D2562D">
        <w:rPr>
          <w:rFonts w:eastAsiaTheme="minorEastAsia"/>
          <w:rtl/>
        </w:rPr>
        <w:tab/>
        <w:t>إعادة النظر في احتجاز صاحبي البلاغ وتيسير الإفراج عنهما: جيم؛</w:t>
      </w:r>
    </w:p>
    <w:p w14:paraId="725E4546" w14:textId="74FB1CEA"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(ج)</w:t>
      </w:r>
      <w:r w:rsidR="00D2562D" w:rsidRPr="00D2562D">
        <w:rPr>
          <w:rFonts w:eastAsiaTheme="minorEastAsia"/>
          <w:rtl/>
        </w:rPr>
        <w:tab/>
        <w:t>عدم التكرار، بما في ذلك مراجعة التشريعات: باء.</w:t>
      </w:r>
    </w:p>
    <w:p w14:paraId="25948B43" w14:textId="77777777" w:rsidR="00D2562D" w:rsidRPr="00AA67D7" w:rsidRDefault="00D2562D" w:rsidP="00D2562D">
      <w:pPr>
        <w:pStyle w:val="SingleTxtGA"/>
        <w:rPr>
          <w:rFonts w:eastAsiaTheme="minorEastAsia"/>
          <w:bCs/>
          <w:lang w:val="ar-SA" w:eastAsia="zh-TW" w:bidi="en-GB"/>
        </w:rPr>
      </w:pPr>
      <w:r w:rsidRPr="00AA67D7">
        <w:rPr>
          <w:rFonts w:eastAsiaTheme="minorEastAsia"/>
          <w:b/>
          <w:bCs/>
          <w:rtl/>
        </w:rPr>
        <w:t>قرار اللجنة:</w:t>
      </w:r>
      <w:r w:rsidRPr="00D2562D">
        <w:rPr>
          <w:rFonts w:eastAsiaTheme="minorEastAsia"/>
          <w:rtl/>
        </w:rPr>
        <w:t xml:space="preserve"> مواصلة حوار المتابعة.</w:t>
      </w:r>
    </w:p>
    <w:p w14:paraId="4EAF547E" w14:textId="609121A3" w:rsidR="00D2562D" w:rsidRPr="00AA67D7" w:rsidRDefault="00261ADA" w:rsidP="00261ADA">
      <w:pPr>
        <w:pStyle w:val="H23GA"/>
        <w:rPr>
          <w:lang w:val="ar-SA" w:eastAsia="zh-TW" w:bidi="en-GB"/>
        </w:rPr>
      </w:pPr>
      <w:r w:rsidRPr="00AA67D7">
        <w:rPr>
          <w:rtl/>
        </w:rPr>
        <w:tab/>
      </w:r>
      <w:r w:rsidR="00D2562D" w:rsidRPr="00AA67D7">
        <w:rPr>
          <w:rtl/>
        </w:rPr>
        <w:t>5-</w:t>
      </w:r>
      <w:r w:rsidR="00D2562D" w:rsidRPr="00AA67D7">
        <w:rPr>
          <w:rtl/>
        </w:rPr>
        <w:tab/>
        <w:t>أوكرانيا</w:t>
      </w:r>
    </w:p>
    <w:p w14:paraId="374946BB" w14:textId="77777777" w:rsidR="00D2562D" w:rsidRPr="00AA67D7" w:rsidRDefault="00D2562D" w:rsidP="00D2562D">
      <w:pPr>
        <w:pStyle w:val="SingleTxtGA"/>
        <w:rPr>
          <w:rFonts w:eastAsiaTheme="minorEastAsia"/>
          <w:b/>
          <w:i/>
          <w:lang w:val="ar-SA" w:eastAsia="zh-TW" w:bidi="en-GB"/>
        </w:rPr>
      </w:pPr>
      <w:r w:rsidRPr="00AA67D7">
        <w:rPr>
          <w:rFonts w:eastAsiaTheme="minorEastAsia"/>
          <w:b/>
          <w:bCs/>
          <w:rtl/>
        </w:rPr>
        <w:t>البلاغ رقم 2250/2013، </w:t>
      </w:r>
      <w:r w:rsidRPr="00AA67D7">
        <w:rPr>
          <w:rFonts w:eastAsiaTheme="minorEastAsia"/>
          <w:b/>
          <w:bCs/>
          <w:i/>
          <w:iCs/>
          <w:rtl/>
        </w:rPr>
        <w:t>كاتاشينسكي</w:t>
      </w:r>
    </w:p>
    <w:p w14:paraId="112B4F6D" w14:textId="16232262" w:rsidR="00D2562D" w:rsidRPr="00D2562D" w:rsidRDefault="00D2562D" w:rsidP="00D2562D">
      <w:pPr>
        <w:pStyle w:val="SingleTxtGA"/>
        <w:rPr>
          <w:rFonts w:eastAsiaTheme="minorEastAsia"/>
          <w:lang w:val="ar-SA" w:eastAsia="zh-TW" w:bidi="en-GB"/>
        </w:rPr>
      </w:pPr>
      <w:r w:rsidRPr="00AA67D7">
        <w:rPr>
          <w:rFonts w:eastAsiaTheme="minorEastAsia"/>
          <w:b/>
          <w:bCs/>
          <w:rtl/>
        </w:rPr>
        <w:t>تاريخ اعتماد الآراء:</w:t>
      </w:r>
      <w:r w:rsidRPr="00D2562D">
        <w:rPr>
          <w:rFonts w:eastAsiaTheme="minorEastAsia"/>
          <w:rtl/>
        </w:rPr>
        <w:tab/>
      </w:r>
      <w:r w:rsidR="00261ADA">
        <w:rPr>
          <w:rFonts w:eastAsiaTheme="minorEastAsia"/>
          <w:rtl/>
        </w:rPr>
        <w:tab/>
      </w:r>
      <w:r w:rsidR="00261ADA">
        <w:rPr>
          <w:rFonts w:eastAsiaTheme="minorEastAsia"/>
          <w:rtl/>
        </w:rPr>
        <w:tab/>
      </w:r>
      <w:r w:rsidRPr="00AA67D7">
        <w:rPr>
          <w:rFonts w:eastAsiaTheme="minorEastAsia"/>
          <w:rtl/>
        </w:rPr>
        <w:t>25</w:t>
      </w:r>
      <w:r w:rsidRPr="00D2562D">
        <w:rPr>
          <w:rFonts w:eastAsiaTheme="minorEastAsia"/>
          <w:rtl/>
        </w:rPr>
        <w:t xml:space="preserve"> تموز/يوليه </w:t>
      </w:r>
      <w:r w:rsidRPr="00AA67D7">
        <w:rPr>
          <w:rFonts w:eastAsiaTheme="minorEastAsia"/>
          <w:rtl/>
        </w:rPr>
        <w:t>2018</w:t>
      </w:r>
    </w:p>
    <w:p w14:paraId="20BA371B" w14:textId="23554657" w:rsidR="007954CB" w:rsidRPr="007954CB" w:rsidRDefault="00D2562D" w:rsidP="00D2562D">
      <w:pPr>
        <w:pStyle w:val="SingleTxtGA"/>
        <w:rPr>
          <w:rFonts w:eastAsiaTheme="minorEastAsia"/>
          <w:lang w:val="ar-SA" w:eastAsia="zh-TW" w:bidi="en-GB"/>
        </w:rPr>
      </w:pPr>
      <w:r w:rsidRPr="00AA67D7">
        <w:rPr>
          <w:rFonts w:eastAsiaTheme="minorEastAsia"/>
          <w:b/>
          <w:bCs/>
          <w:rtl/>
        </w:rPr>
        <w:t>المواد المنتهكة:</w:t>
      </w:r>
      <w:r w:rsidRPr="00D2562D">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 xml:space="preserve">المادة </w:t>
      </w:r>
      <w:r w:rsidRPr="00AA67D7">
        <w:rPr>
          <w:rFonts w:eastAsiaTheme="minorEastAsia"/>
          <w:rtl/>
        </w:rPr>
        <w:t>25</w:t>
      </w:r>
      <w:r w:rsidRPr="00D2562D">
        <w:rPr>
          <w:rFonts w:eastAsiaTheme="minorEastAsia"/>
          <w:rtl/>
        </w:rPr>
        <w:t xml:space="preserve">، مقروءة بمفردها وبالاقتران مع المادة </w:t>
      </w:r>
      <w:r w:rsidRPr="00AA67D7">
        <w:rPr>
          <w:rFonts w:eastAsiaTheme="minorEastAsia"/>
          <w:rtl/>
        </w:rPr>
        <w:t>2</w:t>
      </w:r>
      <w:r w:rsidRPr="00D2562D">
        <w:rPr>
          <w:rFonts w:eastAsiaTheme="minorEastAsia"/>
          <w:rtl/>
        </w:rPr>
        <w:t>(</w:t>
      </w:r>
      <w:r w:rsidR="007954CB" w:rsidRPr="00AA67D7">
        <w:rPr>
          <w:rFonts w:eastAsiaTheme="minorEastAsia"/>
          <w:rtl/>
        </w:rPr>
        <w:t>3</w:t>
      </w:r>
      <w:r w:rsidR="007954CB" w:rsidRPr="007954CB">
        <w:rPr>
          <w:rFonts w:eastAsiaTheme="minorEastAsia"/>
          <w:rtl/>
        </w:rPr>
        <w:t>)</w:t>
      </w:r>
    </w:p>
    <w:p w14:paraId="2806E4EE" w14:textId="22E0D410" w:rsidR="00D2562D" w:rsidRPr="00D2562D" w:rsidRDefault="00D2562D" w:rsidP="00261ADA">
      <w:pPr>
        <w:pStyle w:val="SingleTxtGA"/>
        <w:ind w:left="4649" w:hanging="3402"/>
        <w:rPr>
          <w:rFonts w:eastAsiaTheme="minorEastAsia"/>
          <w:lang w:val="ar-SA" w:eastAsia="zh-TW" w:bidi="en-GB"/>
        </w:rPr>
      </w:pPr>
      <w:r w:rsidRPr="00AA67D7">
        <w:rPr>
          <w:rFonts w:eastAsiaTheme="minorEastAsia"/>
          <w:b/>
          <w:bCs/>
          <w:rtl/>
        </w:rPr>
        <w:t>إجراء الانتصاف:</w:t>
      </w:r>
      <w:r w:rsidRPr="00D2562D">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(أ) توفير سبيل انتصاف فعال لصاحب البلاغ، بما يشمل توفير التعويض الكافي وتدابير الترضية المناسبة، بما فيها سداد أي أتعاب قانونية، وكذلك تعويض الخسائر غير المالية، التي تكبدها صاحب البلاغ؛ (ب) اتخاذ جميع الخطوات اللازمة لمنع حدوث انتهاكات مماثلة في المستقبل.</w:t>
      </w:r>
    </w:p>
    <w:p w14:paraId="2B8954EE" w14:textId="646EC268" w:rsidR="00D2562D" w:rsidRPr="00D2562D" w:rsidRDefault="00D2562D" w:rsidP="00261ADA">
      <w:pPr>
        <w:pStyle w:val="SingleTxtGA"/>
        <w:ind w:left="4649" w:hanging="3402"/>
        <w:rPr>
          <w:rFonts w:eastAsiaTheme="minorEastAsia"/>
          <w:lang w:val="ar-SA" w:eastAsia="zh-TW" w:bidi="en-GB"/>
        </w:rPr>
      </w:pPr>
      <w:r w:rsidRPr="00AA67D7">
        <w:rPr>
          <w:rFonts w:eastAsiaTheme="minorEastAsia"/>
          <w:b/>
          <w:bCs/>
          <w:rtl/>
        </w:rPr>
        <w:t>الموضوع:</w:t>
      </w:r>
      <w:r w:rsidRPr="00D2562D">
        <w:rPr>
          <w:rFonts w:eastAsiaTheme="minorEastAsia"/>
          <w:rtl/>
        </w:rPr>
        <w:tab/>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انتهاك الحق والفرصة في المشاركة في إدارة الشؤون العامة والترشح في انتخابات دورية نزيهة</w:t>
      </w:r>
    </w:p>
    <w:p w14:paraId="4E8BF977" w14:textId="0824EE7F" w:rsidR="00D2562D" w:rsidRPr="00D2562D" w:rsidRDefault="00D2562D" w:rsidP="00D2562D">
      <w:pPr>
        <w:pStyle w:val="SingleTxtGA"/>
        <w:rPr>
          <w:rFonts w:eastAsiaTheme="minorEastAsia"/>
          <w:lang w:val="ar-SA" w:eastAsia="zh-TW" w:bidi="en-GB"/>
        </w:rPr>
      </w:pPr>
      <w:r w:rsidRPr="00AA67D7">
        <w:rPr>
          <w:rFonts w:eastAsiaTheme="minorEastAsia"/>
          <w:b/>
          <w:bCs/>
          <w:rtl/>
        </w:rPr>
        <w:t>معلومات المتابعة المقدمة سابقاً:</w:t>
      </w:r>
      <w:r w:rsidRPr="00D2562D">
        <w:rPr>
          <w:rFonts w:eastAsiaTheme="minorEastAsia"/>
          <w:rtl/>
        </w:rPr>
        <w:tab/>
      </w:r>
      <w:r w:rsidR="00261ADA">
        <w:rPr>
          <w:rFonts w:eastAsiaTheme="minorEastAsia"/>
          <w:rtl/>
        </w:rPr>
        <w:tab/>
      </w:r>
      <w:r w:rsidRPr="00D2562D">
        <w:rPr>
          <w:rFonts w:eastAsiaTheme="minorEastAsia"/>
          <w:rtl/>
        </w:rPr>
        <w:t>لا يوجد</w:t>
      </w:r>
    </w:p>
    <w:p w14:paraId="6AEE1D40" w14:textId="546C91E7" w:rsidR="00D2562D" w:rsidRPr="00261ADA" w:rsidRDefault="00D2562D" w:rsidP="00D2562D">
      <w:pPr>
        <w:pStyle w:val="SingleTxtGA"/>
        <w:rPr>
          <w:rStyle w:val="FootnoteReference"/>
          <w:rFonts w:eastAsiaTheme="minorEastAsia"/>
          <w:sz w:val="22"/>
          <w:lang w:val="en-US" w:eastAsia="zh-TW" w:bidi="en-GB"/>
        </w:rPr>
      </w:pPr>
      <w:r w:rsidRPr="00AA67D7">
        <w:rPr>
          <w:rFonts w:eastAsiaTheme="minorEastAsia"/>
          <w:b/>
          <w:bCs/>
          <w:rtl/>
        </w:rPr>
        <w:t xml:space="preserve">المعلومات المقدمة من الدولة الطرف: </w:t>
      </w:r>
      <w:r w:rsidR="00261ADA" w:rsidRPr="00AA67D7">
        <w:rPr>
          <w:rFonts w:eastAsiaTheme="minorEastAsia"/>
          <w:b/>
          <w:bCs/>
          <w:rtl/>
        </w:rPr>
        <w:tab/>
      </w:r>
      <w:r w:rsidR="00261ADA" w:rsidRPr="00AA67D7">
        <w:rPr>
          <w:rFonts w:eastAsiaTheme="minorEastAsia"/>
          <w:b/>
          <w:bCs/>
          <w:rtl/>
        </w:rPr>
        <w:tab/>
      </w:r>
      <w:r w:rsidRPr="00AA67D7">
        <w:rPr>
          <w:rFonts w:eastAsiaTheme="minorEastAsia"/>
          <w:rtl/>
        </w:rPr>
        <w:t>1</w:t>
      </w:r>
      <w:r w:rsidRPr="00D2562D">
        <w:rPr>
          <w:rFonts w:eastAsiaTheme="minorEastAsia"/>
          <w:rtl/>
        </w:rPr>
        <w:t xml:space="preserve"> آذار/مارس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0"/>
      </w:r>
      <w:r w:rsidRPr="00D2562D">
        <w:rPr>
          <w:rStyle w:val="FootnoteReference"/>
          <w:rFonts w:eastAsiaTheme="minorEastAsia"/>
          <w:sz w:val="22"/>
          <w:rtl/>
        </w:rPr>
        <w:t>)</w:t>
      </w:r>
    </w:p>
    <w:p w14:paraId="4BE503FB" w14:textId="0E21FE20" w:rsidR="00D2562D" w:rsidRPr="00D2562D" w:rsidRDefault="00261ADA" w:rsidP="00D2562D">
      <w:pPr>
        <w:pStyle w:val="SingleTxtGA"/>
        <w:rPr>
          <w:rFonts w:eastAsiaTheme="minorEastAsia"/>
          <w:lang w:val="ar-SA" w:eastAsia="zh-TW" w:bidi="en-GB"/>
        </w:rPr>
      </w:pPr>
      <w:r>
        <w:rPr>
          <w:rFonts w:eastAsiaTheme="minorEastAsia"/>
          <w:rtl/>
        </w:rPr>
        <w:lastRenderedPageBreak/>
        <w:tab/>
      </w:r>
      <w:r w:rsidR="00D2562D" w:rsidRPr="00D2562D">
        <w:rPr>
          <w:rFonts w:eastAsiaTheme="minorEastAsia"/>
          <w:rtl/>
        </w:rPr>
        <w:t>تدفع الدولة الطرف بأن آراء اللجنة قد ترجمت إلى الأوكرانية من قبل وزارة العدل، وهي الهيئة التنفيذية المركزية الرئيسية المسؤولة عن الوفاء بالالتزامات القانونية الدولية لأوكرانيا بموجب العهد. ونشرت الآراء على الموقع الرسمي للوزارة ثم أحيلت إلى اللجنة الانتخابية المركزية والمحكمة العليا.</w:t>
      </w:r>
    </w:p>
    <w:p w14:paraId="2BD68508" w14:textId="2980F886"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يتم تحديد إجراءات تنظيم الانتخابات والاستفتاءات حصرياً بموجب التشريعات الأوكرانية، بما في ذلك في جمهورية القرم المتمتعة بالحكم الذاتي</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1"/>
      </w:r>
      <w:r w:rsidR="007954CB" w:rsidRPr="007954CB">
        <w:rPr>
          <w:rStyle w:val="FootnoteReference"/>
          <w:rFonts w:eastAsiaTheme="minorEastAsia"/>
          <w:sz w:val="22"/>
          <w:rtl/>
        </w:rPr>
        <w:t>)</w:t>
      </w:r>
      <w:r w:rsidR="007954CB" w:rsidRPr="007954CB">
        <w:rPr>
          <w:rFonts w:eastAsiaTheme="minorEastAsia"/>
          <w:rtl/>
        </w:rPr>
        <w:t xml:space="preserve">. </w:t>
      </w:r>
      <w:r w:rsidR="00D2562D" w:rsidRPr="00D2562D">
        <w:rPr>
          <w:rFonts w:eastAsiaTheme="minorEastAsia"/>
          <w:rtl/>
        </w:rPr>
        <w:t xml:space="preserve">وتم تحديد إجراءات الانتخابات في شبه جزيرة القرم بموجب القانون رقم </w:t>
      </w:r>
      <w:r w:rsidR="00D2562D" w:rsidRPr="00AA67D7">
        <w:rPr>
          <w:rFonts w:eastAsiaTheme="minorEastAsia"/>
          <w:rtl/>
        </w:rPr>
        <w:t>595</w:t>
      </w:r>
      <w:r w:rsidR="00D2562D" w:rsidRPr="00D2562D">
        <w:rPr>
          <w:rFonts w:eastAsiaTheme="minorEastAsia"/>
          <w:rtl/>
        </w:rPr>
        <w:t xml:space="preserve"> المؤرخ </w:t>
      </w:r>
      <w:r w:rsidR="00D2562D" w:rsidRPr="00AA67D7">
        <w:rPr>
          <w:rFonts w:eastAsiaTheme="minorEastAsia"/>
          <w:rtl/>
        </w:rPr>
        <w:t>14</w:t>
      </w:r>
      <w:r w:rsidR="00D2562D" w:rsidRPr="00D2562D">
        <w:rPr>
          <w:rFonts w:eastAsiaTheme="minorEastAsia"/>
          <w:rtl/>
        </w:rPr>
        <w:t xml:space="preserve"> تموز/يوليه </w:t>
      </w:r>
      <w:r w:rsidR="00D2562D" w:rsidRPr="00AA67D7">
        <w:rPr>
          <w:rFonts w:eastAsiaTheme="minorEastAsia"/>
          <w:rtl/>
        </w:rPr>
        <w:t>201</w:t>
      </w:r>
      <w:r w:rsidR="007954CB" w:rsidRPr="00AA67D7">
        <w:rPr>
          <w:rFonts w:eastAsiaTheme="minorEastAsia"/>
          <w:rtl/>
        </w:rPr>
        <w:t>5</w:t>
      </w:r>
      <w:r w:rsidR="007954CB" w:rsidRPr="007954CB">
        <w:rPr>
          <w:rFonts w:eastAsiaTheme="minorEastAsia"/>
          <w:rtl/>
        </w:rPr>
        <w:t xml:space="preserve">. </w:t>
      </w:r>
      <w:r w:rsidR="00D2562D" w:rsidRPr="00D2562D">
        <w:rPr>
          <w:rFonts w:eastAsiaTheme="minorEastAsia"/>
          <w:rtl/>
        </w:rPr>
        <w:t>وتقع على عاتق مراكز الاقتراع واللجان الانتخابية الإقليمية مسؤولية تنظيم وإجراء الانتخابات على المستوى المحلي ويطلب إليها العمل وفقاً لدستور أوكرانيا وقوانينها. ومع ذلك، فإن هذا التشريع لا يتوخى إجراء لتحديد نتائج الانتخابات المحلية، ولا إجراء في حالة فقدان بطاقات الاقتراع.</w:t>
      </w:r>
    </w:p>
    <w:p w14:paraId="5FBA5D5E" w14:textId="3E8A5073"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وتتولى اللجنة الانتخابية المركزية ولجان الانتخابات الإقليمية مسؤولية ضمان حماية الوثائق الانتخابية. وتقدم اللجنة الدعم الاستشاري والمنهجي لتطبيق التشريعات على اللجان الانتخابية الإقليمية. واعتُمد القرار رقم </w:t>
      </w:r>
      <w:r w:rsidR="00D2562D" w:rsidRPr="00AA67D7">
        <w:rPr>
          <w:rFonts w:eastAsiaTheme="minorEastAsia"/>
          <w:rtl/>
        </w:rPr>
        <w:t>355</w:t>
      </w:r>
      <w:r w:rsidR="00D2562D" w:rsidRPr="00D2562D">
        <w:rPr>
          <w:rFonts w:eastAsiaTheme="minorEastAsia"/>
          <w:rtl/>
        </w:rPr>
        <w:t xml:space="preserve"> المؤرخ </w:t>
      </w:r>
      <w:r w:rsidR="00D2562D" w:rsidRPr="00AA67D7">
        <w:rPr>
          <w:rFonts w:eastAsiaTheme="minorEastAsia"/>
          <w:rtl/>
        </w:rPr>
        <w:t>21</w:t>
      </w:r>
      <w:r w:rsidR="00D2562D" w:rsidRPr="00D2562D">
        <w:rPr>
          <w:rFonts w:eastAsiaTheme="minorEastAsia"/>
          <w:rtl/>
        </w:rPr>
        <w:t xml:space="preserve"> أيلول/سبتمبر </w:t>
      </w:r>
      <w:r w:rsidR="00D2562D" w:rsidRPr="00AA67D7">
        <w:rPr>
          <w:rFonts w:eastAsiaTheme="minorEastAsia"/>
          <w:rtl/>
        </w:rPr>
        <w:t>2015</w:t>
      </w:r>
      <w:r w:rsidR="00D2562D" w:rsidRPr="00D2562D">
        <w:rPr>
          <w:rFonts w:eastAsiaTheme="minorEastAsia"/>
          <w:rtl/>
        </w:rPr>
        <w:t xml:space="preserve"> بشأن إجراءات فرز الأصوات في مراكز الاقتراع خلال الانتخابات المحلية في القرم. ووفقاً للتشريعات الوطنية، فإن بطاقات الاقتراع الانتخابية هي وثائق تخضع للمساءلة الصارمة، وبالتالي فهي تُمنح مستوى عالياً من الحماية.</w:t>
      </w:r>
    </w:p>
    <w:p w14:paraId="0B9CDAB5" w14:textId="68D4BEB7"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وتقع على عاتق اللجنة الانتخابية في القرم مسؤولية حماية بطاقات الاقتراع. فتُحفظ جميع الوثائق الانتخابية في مقر اللجنة الانتخابية في خزنة مغلقة (خزانة معدنية</w:t>
      </w:r>
      <w:r w:rsidR="007954CB" w:rsidRPr="007954CB">
        <w:rPr>
          <w:rFonts w:eastAsiaTheme="minorEastAsia"/>
          <w:rtl/>
        </w:rPr>
        <w:t xml:space="preserve">)، </w:t>
      </w:r>
      <w:r w:rsidR="00D2562D" w:rsidRPr="00D2562D">
        <w:rPr>
          <w:rFonts w:eastAsiaTheme="minorEastAsia"/>
          <w:rtl/>
        </w:rPr>
        <w:t>مختومة بشريط يحمل توقيعات جميع الحاضرين في اجتماع اللجنة. وتخضع الخزنة لمراقبة مستمرة من جانب الشرطة، كما تخضع لمراقبة ضباط أجهزة الأمن الأوكرانية إذا طلبت اللجنة الانتخابية المركزية ذلك. وفي حالة تلف الختم، يقوم رئيس اللجنة الانتخابية على الفور بإبلاغ الشرطة واللجنة الانتخابية ذات المستوى الأعلى. وفي هذه الحالة، تُفتح الخزنة ويقوم أعضاء اللجنة الانتخابية بفحص أوراق الاقتراع وعدّها لمقارنة عددها بالعدد الذي جُمع في مركز الاقتراع. ويعَدّ تقرير يصف سبب فتح الخزنة، وأي تناقض في أرقام الاقتراع إن وجد، ويسجل في محضر اجتماع اللجنة الانتخابية.</w:t>
      </w:r>
    </w:p>
    <w:p w14:paraId="1B7F1963" w14:textId="55BEBA37"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واللجنة الانتخابية هي الجهة المسؤولة عن تنظيم التصويت. وتُفتح الخزنة خلال اجتماع قبل بدء التصويت بما لا يقل عن </w:t>
      </w:r>
      <w:r w:rsidR="00D2562D" w:rsidRPr="00AA67D7">
        <w:rPr>
          <w:rFonts w:eastAsiaTheme="minorEastAsia"/>
          <w:rtl/>
        </w:rPr>
        <w:t>45</w:t>
      </w:r>
      <w:r w:rsidR="00D2562D" w:rsidRPr="00D2562D">
        <w:rPr>
          <w:rFonts w:eastAsiaTheme="minorEastAsia"/>
          <w:rtl/>
        </w:rPr>
        <w:t xml:space="preserve"> دقيقة. ويعلن رئيس اللجنة عدد بطاقات الاقتراع ويضطلع بفرزها حسب الدائرة الانتخابية. وتسجَّل عملية إرسال بطاقات الاقتراع إلى مركز الاقتراع على مستوى الإقليم وكذلك من قبل اللجنة الانتخابية المركزية. وفي حالة تلف صندوق الاقتراع أثناء التصويت، يغلَق الصندوق ويخزَّن في مركز الاقتراع حتى نهاية التصويت.</w:t>
      </w:r>
    </w:p>
    <w:p w14:paraId="75FDB750" w14:textId="3FDF6331"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ويحدد قرار اللجنة الانتخابية المركزية رقم </w:t>
      </w:r>
      <w:r w:rsidR="00D2562D" w:rsidRPr="00AA67D7">
        <w:rPr>
          <w:rFonts w:eastAsiaTheme="minorEastAsia"/>
          <w:rtl/>
        </w:rPr>
        <w:t>182</w:t>
      </w:r>
      <w:r w:rsidR="00D2562D" w:rsidRPr="00D2562D">
        <w:rPr>
          <w:rFonts w:eastAsiaTheme="minorEastAsia"/>
          <w:rtl/>
        </w:rPr>
        <w:t xml:space="preserve"> المؤرخ </w:t>
      </w:r>
      <w:r w:rsidR="00D2562D" w:rsidRPr="00AA67D7">
        <w:rPr>
          <w:rFonts w:eastAsiaTheme="minorEastAsia"/>
          <w:rtl/>
        </w:rPr>
        <w:t>25</w:t>
      </w:r>
      <w:r w:rsidR="00D2562D" w:rsidRPr="00D2562D">
        <w:rPr>
          <w:rFonts w:eastAsiaTheme="minorEastAsia"/>
          <w:rtl/>
        </w:rPr>
        <w:t xml:space="preserve"> آب/أغسطس </w:t>
      </w:r>
      <w:r w:rsidR="00D2562D" w:rsidRPr="00AA67D7">
        <w:rPr>
          <w:rFonts w:eastAsiaTheme="minorEastAsia"/>
          <w:rtl/>
        </w:rPr>
        <w:t>2015</w:t>
      </w:r>
      <w:r w:rsidR="00D2562D" w:rsidRPr="00D2562D">
        <w:rPr>
          <w:rFonts w:eastAsiaTheme="minorEastAsia"/>
          <w:rtl/>
        </w:rPr>
        <w:t xml:space="preserve"> إجراءات نقل الوثائق الانتخابية الخاصة بالانتخابات في القرم. وينص على أن يرافق أعضاء اللجنة الانتخابية الإقليمية موظفون من هيئات الشؤون الداخلية في أوكرانيا، وإذا لزم الأمر، ضباط من أجهزة الأمن الأوكرانية. وعقب نشر النتائج رسمياً، ترسَل الوثائق الانتخابية إلى مؤسسة المحفوظات المحلية على أساس قائمة وضعتها اللجنة الانتخابية المركزية، وفقاً لقرار اللجنة الانتخابية المركزية رقم </w:t>
      </w:r>
      <w:r w:rsidR="00D2562D" w:rsidRPr="00AA67D7">
        <w:rPr>
          <w:rFonts w:eastAsiaTheme="minorEastAsia"/>
          <w:rtl/>
        </w:rPr>
        <w:t>485</w:t>
      </w:r>
      <w:r w:rsidR="00D2562D" w:rsidRPr="00D2562D">
        <w:rPr>
          <w:rFonts w:eastAsiaTheme="minorEastAsia"/>
          <w:rtl/>
        </w:rPr>
        <w:t xml:space="preserve"> المؤرخ </w:t>
      </w:r>
      <w:r w:rsidR="00D2562D" w:rsidRPr="00AA67D7">
        <w:rPr>
          <w:rFonts w:eastAsiaTheme="minorEastAsia"/>
          <w:rtl/>
        </w:rPr>
        <w:t>21</w:t>
      </w:r>
      <w:r w:rsidR="00D2562D" w:rsidRPr="00D2562D">
        <w:rPr>
          <w:rFonts w:eastAsiaTheme="minorEastAsia"/>
          <w:rtl/>
        </w:rPr>
        <w:t xml:space="preserve"> تشرين الأول/أكتوبر </w:t>
      </w:r>
      <w:r w:rsidR="00D2562D" w:rsidRPr="00AA67D7">
        <w:rPr>
          <w:rFonts w:eastAsiaTheme="minorEastAsia"/>
          <w:rtl/>
        </w:rPr>
        <w:t>201</w:t>
      </w:r>
      <w:r w:rsidR="007954CB" w:rsidRPr="00AA67D7">
        <w:rPr>
          <w:rFonts w:eastAsiaTheme="minorEastAsia"/>
          <w:rtl/>
        </w:rPr>
        <w:t>5</w:t>
      </w:r>
      <w:r w:rsidR="007954CB" w:rsidRPr="007954CB">
        <w:rPr>
          <w:rFonts w:eastAsiaTheme="minorEastAsia"/>
          <w:rtl/>
        </w:rPr>
        <w:t xml:space="preserve">. </w:t>
      </w:r>
      <w:r w:rsidR="00D2562D" w:rsidRPr="00D2562D">
        <w:rPr>
          <w:rFonts w:eastAsiaTheme="minorEastAsia"/>
          <w:rtl/>
        </w:rPr>
        <w:t xml:space="preserve">وتُحفظ الوثائق لمدة خمس سنوات بعد نشرها رسمياً، ثم تُتلف وفقاً للإجراءات المعمول بها. وينص قرار اللجنة الانتخابية المركزية رقم </w:t>
      </w:r>
      <w:r w:rsidR="00D2562D" w:rsidRPr="00AA67D7">
        <w:rPr>
          <w:rFonts w:eastAsiaTheme="minorEastAsia"/>
          <w:rtl/>
        </w:rPr>
        <w:t>365</w:t>
      </w:r>
      <w:r w:rsidR="00D2562D" w:rsidRPr="00D2562D">
        <w:rPr>
          <w:rFonts w:eastAsiaTheme="minorEastAsia"/>
          <w:rtl/>
        </w:rPr>
        <w:t xml:space="preserve"> المؤرخ </w:t>
      </w:r>
      <w:r w:rsidR="00D2562D" w:rsidRPr="00AA67D7">
        <w:rPr>
          <w:rFonts w:eastAsiaTheme="minorEastAsia"/>
          <w:rtl/>
        </w:rPr>
        <w:t>21</w:t>
      </w:r>
      <w:r w:rsidR="00D2562D" w:rsidRPr="00D2562D">
        <w:rPr>
          <w:rFonts w:eastAsiaTheme="minorEastAsia"/>
          <w:rtl/>
        </w:rPr>
        <w:t xml:space="preserve"> أيلول/سبتمبر </w:t>
      </w:r>
      <w:r w:rsidR="00D2562D" w:rsidRPr="00AA67D7">
        <w:rPr>
          <w:rFonts w:eastAsiaTheme="minorEastAsia"/>
          <w:rtl/>
        </w:rPr>
        <w:t>2015</w:t>
      </w:r>
      <w:r w:rsidR="00D2562D" w:rsidRPr="00D2562D">
        <w:rPr>
          <w:rFonts w:eastAsiaTheme="minorEastAsia"/>
          <w:rtl/>
        </w:rPr>
        <w:t xml:space="preserve"> على تطبيق تلك الأحكام القانونية بشكل متساو على انتخاب نواب البرلمان الأوكراني في القرم.</w:t>
      </w:r>
    </w:p>
    <w:p w14:paraId="216E7BCA" w14:textId="7A5D59F3" w:rsidR="00D2562D" w:rsidRPr="00D2562D" w:rsidRDefault="00261ADA" w:rsidP="00D2562D">
      <w:pPr>
        <w:pStyle w:val="SingleTxtGA"/>
        <w:rPr>
          <w:rFonts w:eastAsiaTheme="minorEastAsia"/>
          <w:lang w:val="ar-SA" w:eastAsia="zh-TW" w:bidi="en-GB"/>
        </w:rPr>
      </w:pPr>
      <w:r>
        <w:rPr>
          <w:rFonts w:eastAsiaTheme="minorEastAsia"/>
          <w:rtl/>
        </w:rPr>
        <w:lastRenderedPageBreak/>
        <w:tab/>
      </w:r>
      <w:r w:rsidR="00D2562D" w:rsidRPr="00D2562D">
        <w:rPr>
          <w:rFonts w:eastAsiaTheme="minorEastAsia"/>
          <w:rtl/>
        </w:rPr>
        <w:t xml:space="preserve">ويمكن تقديم الشكاوى إلى اللجنة الانتخابية فيما يتعلق بالعملية الانتخابية. وفي حال تولي المحكمة الإدارية النظر في الشكوى، لا يجوز للجنة الانتخابية النظر فيها. ويحدد قانون القضاء الإداري، بصيغته المعدلة بموجب القانون رقم </w:t>
      </w:r>
      <w:r w:rsidR="00D2562D" w:rsidRPr="00AA67D7">
        <w:rPr>
          <w:rFonts w:eastAsiaTheme="minorEastAsia"/>
          <w:rtl/>
        </w:rPr>
        <w:t>2147</w:t>
      </w:r>
      <w:r w:rsidR="00D2562D" w:rsidRPr="00D2562D">
        <w:rPr>
          <w:rFonts w:eastAsiaTheme="minorEastAsia"/>
          <w:rtl/>
        </w:rPr>
        <w:t xml:space="preserve"> المؤرخ </w:t>
      </w:r>
      <w:r w:rsidR="00D2562D" w:rsidRPr="00AA67D7">
        <w:rPr>
          <w:rFonts w:eastAsiaTheme="minorEastAsia"/>
          <w:rtl/>
        </w:rPr>
        <w:t>3</w:t>
      </w:r>
      <w:r w:rsidR="00D2562D" w:rsidRPr="00D2562D">
        <w:rPr>
          <w:rFonts w:eastAsiaTheme="minorEastAsia"/>
          <w:rtl/>
        </w:rPr>
        <w:t xml:space="preserve"> تشرين الأول/أكتوبر </w:t>
      </w:r>
      <w:r w:rsidR="00D2562D" w:rsidRPr="00AA67D7">
        <w:rPr>
          <w:rFonts w:eastAsiaTheme="minorEastAsia"/>
          <w:rtl/>
        </w:rPr>
        <w:t>2017</w:t>
      </w:r>
      <w:r w:rsidR="00D2562D" w:rsidRPr="00D2562D">
        <w:rPr>
          <w:rFonts w:eastAsiaTheme="minorEastAsia"/>
          <w:rtl/>
        </w:rPr>
        <w:t>، إجراءات الاستئناف القضائي لقرارات اللجنة الانتخابية. وفيما يتعلق بالمسائل الانتخابية، تحكم المحكمة العليا بوصفها المحكمة الابتدائية والدائرة الكبرى فيها بوصفها محكمة استئناف. ويمكن الطعن في القرارات التي تتخذها اللجان الانتخابية الإقليمية أمام المحاكم الإدارية، ثم أمام محاكم الاستئناف الإدارية المعنية. وتدفع الدولة الطرف بأنه لما كانت المعايير الدولية لا تضمن الحق في الاستئناف إلا إذا أقر التشريع الوطني ذلك الحق، فهو شرط غير مستقل، وأن الدولة الطرف تمتثل لتلك المعايير الدولية. ولقد أحيلت آراء اللجنة إلى جميع محاكم الاستئناف.</w:t>
      </w:r>
    </w:p>
    <w:p w14:paraId="268FB473" w14:textId="655B1C52"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وينص القانون على عقوبات تأديبية وإدارية وجنائية لمن ينتهكون التشريعات المتعلقة بالانتخابات المحلية. وتجري حالياً القراءة الثانية لمشروع القانون الانتخابي، الرامي إلى مواءمة جميع</w:t>
      </w:r>
      <w:r w:rsidR="00383F67">
        <w:rPr>
          <w:rFonts w:eastAsiaTheme="minorEastAsia" w:hint="cs"/>
          <w:rtl/>
        </w:rPr>
        <w:t> </w:t>
      </w:r>
      <w:r w:rsidR="00D2562D" w:rsidRPr="00D2562D">
        <w:rPr>
          <w:rFonts w:eastAsiaTheme="minorEastAsia"/>
          <w:rtl/>
        </w:rPr>
        <w:t>الإجراءات الانتخابية. وعليه، تدفع الدولة الطرف بأنه منذ اعتماد آراء اللجنة بشأن قضية السيد</w:t>
      </w:r>
      <w:r w:rsidR="00383F67">
        <w:rPr>
          <w:rFonts w:eastAsiaTheme="minorEastAsia" w:hint="cs"/>
          <w:rtl/>
        </w:rPr>
        <w:t> </w:t>
      </w:r>
      <w:r w:rsidR="00D2562D" w:rsidRPr="00D2562D">
        <w:rPr>
          <w:rFonts w:eastAsiaTheme="minorEastAsia"/>
          <w:rtl/>
        </w:rPr>
        <w:t>كاتاشينسكي، أُحرز تقدم فيما يتعلق بالطعون في القرارات التي اتخذتها اللجان الانتخابية وفيما يتعلق بالمسؤولية عن الجرائم الانتخابية.</w:t>
      </w:r>
    </w:p>
    <w:p w14:paraId="720A5EDD" w14:textId="3388EB04"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محامي صاحب البلاغ:</w:t>
      </w:r>
      <w:r w:rsidRPr="00D2562D">
        <w:rPr>
          <w:rFonts w:eastAsiaTheme="minorEastAsia"/>
          <w:rtl/>
        </w:rPr>
        <w:t xml:space="preserve"> </w:t>
      </w:r>
      <w:r w:rsidRPr="00AA67D7">
        <w:rPr>
          <w:rFonts w:eastAsiaTheme="minorEastAsia"/>
          <w:rtl/>
        </w:rPr>
        <w:t>10</w:t>
      </w:r>
      <w:r w:rsidRPr="00D2562D">
        <w:rPr>
          <w:rFonts w:eastAsiaTheme="minorEastAsia"/>
          <w:rtl/>
        </w:rPr>
        <w:t xml:space="preserve"> تشرين الثاني/نوفمبر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2"/>
      </w:r>
      <w:r w:rsidRPr="00D2562D">
        <w:rPr>
          <w:rStyle w:val="FootnoteReference"/>
          <w:rFonts w:eastAsiaTheme="minorEastAsia"/>
          <w:sz w:val="22"/>
          <w:rtl/>
        </w:rPr>
        <w:t>)</w:t>
      </w:r>
    </w:p>
    <w:p w14:paraId="12E6423E" w14:textId="377DFB78"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يؤكد محامي صاحب البلاغ أن الدولة الطرف لم تتخذ، على الرغم من آراء اللجنة، أي تدابير لمنح صاحب البلاغ تعويضاً مناسباً أو تدابير مرضية مناسبة فيما يتعلق بانتهاك حقوقه. وعلى وجه الخصوص، تجاهلت الدولة الطرف توصية اللجنة المتعلقة بسداد التكاليف القانونية والتعويض عن الخسائر غير المالية التي تكبدها صاحب البلاغ.</w:t>
      </w:r>
    </w:p>
    <w:p w14:paraId="2688050A" w14:textId="7724EEC7" w:rsidR="00D2562D" w:rsidRPr="00D2562D" w:rsidRDefault="00261ADA" w:rsidP="00D2562D">
      <w:pPr>
        <w:pStyle w:val="SingleTxtGA"/>
        <w:rPr>
          <w:rFonts w:eastAsiaTheme="minorEastAsia"/>
          <w:rtl/>
          <w:lang w:val="ar-SA" w:eastAsia="zh-TW"/>
        </w:rPr>
      </w:pPr>
      <w:r>
        <w:rPr>
          <w:rFonts w:eastAsiaTheme="minorEastAsia"/>
          <w:rtl/>
        </w:rPr>
        <w:tab/>
      </w:r>
      <w:r w:rsidR="00D2562D" w:rsidRPr="00546212">
        <w:rPr>
          <w:rFonts w:eastAsiaTheme="minorEastAsia"/>
          <w:rtl/>
        </w:rPr>
        <w:t>وعلاوة على ذلك، وعلى الرغم من توصية اللجنة بأن تتخذ الدولة الطرف جميع الخطوات اللازمة لمنع حدوث انتهاكات مماثلة في المستقبل، لم تتخذ أي تدابير من هذا القبيل ولا يزال التشريع الحالي، الذي لا ينظم عواقب فقدان (سرقة) بطاقات الاقتراع، سارياً.</w:t>
      </w:r>
    </w:p>
    <w:p w14:paraId="4B36132B" w14:textId="1A0A3D95"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وفي حين أن الدولة الطرف نشرت بالفعل ترجمة باللغة الأوكرانية لآراء اللجنة وأحالتها بعد ذلك إلى اللجنة الانتخابية المركزية والمحكمة العليا، وبالنظر إلى أنها لم تنشر سوى منطوق الآراء المعنون </w:t>
      </w:r>
      <w:r>
        <w:rPr>
          <w:rFonts w:eastAsiaTheme="minorEastAsia"/>
          <w:rtl/>
        </w:rPr>
        <w:t>“</w:t>
      </w:r>
      <w:r w:rsidR="00D2562D" w:rsidRPr="00D2562D">
        <w:rPr>
          <w:rFonts w:eastAsiaTheme="minorEastAsia"/>
          <w:rtl/>
        </w:rPr>
        <w:t>النظر في الأسس الموضوعية‘‘، فإن النسخة المترجمة من الآراء تنص على الخلفية الوقائعية وتفاصيل القضية. وبناء على ذلك، فإن وقائع القضية التي خلصت اللجنة على أساسها إلى حدوث انتهاك لحقوق صاحب البلاغ لا تزال مخفية. وعلاوة على ذلك، تعمدت الدولة الطرف حجب نص الآراء بكامله، إذ</w:t>
      </w:r>
      <w:r w:rsidR="00662AD5">
        <w:rPr>
          <w:rFonts w:eastAsiaTheme="minorEastAsia" w:hint="cs"/>
          <w:rtl/>
        </w:rPr>
        <w:t> </w:t>
      </w:r>
      <w:r w:rsidR="00D2562D" w:rsidRPr="00D2562D">
        <w:rPr>
          <w:rFonts w:eastAsiaTheme="minorEastAsia"/>
          <w:rtl/>
        </w:rPr>
        <w:t>لم</w:t>
      </w:r>
      <w:r w:rsidR="00662AD5">
        <w:rPr>
          <w:rFonts w:eastAsiaTheme="minorEastAsia" w:hint="cs"/>
          <w:rtl/>
        </w:rPr>
        <w:t> </w:t>
      </w:r>
      <w:r w:rsidR="00D2562D" w:rsidRPr="00D2562D">
        <w:rPr>
          <w:rFonts w:eastAsiaTheme="minorEastAsia"/>
          <w:rtl/>
        </w:rPr>
        <w:t>تنشر سوى الفرع المتعلق بالنظر في الأسس الموضوعية فقط. ويقوض عدم وجود مراجع في تلك الوثيقة فهم الآراء، مما يجعل من شبه المستحيل فهم فحوى قرار اللجنة في سياق قضية صاحب البلاغ. ولذلك، فإن من المشكوك فيه جداً أن تكون المعلومات التي قدمتها الدولة الطرف كافية لإبلاغ جميع الأشخاص المهتمين بنتيجة قضية صاحب البلاغ.</w:t>
      </w:r>
    </w:p>
    <w:p w14:paraId="748A3DD9" w14:textId="58CC860B"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وعلاوة على ذلك، لم تتح لصاحب البلاغ فرصة التماس إعادة النظر في القرارات المتخذة في قضيته. ويجادل محامي صاحب البلاغ بأنه لا يوجد احتمال معقول للنجاح في إنفاذ آراء اللجنة، مذكراً في هذا الصدد بقرار الدائرة الكبرى للمحكمة العليا لأوكرانيا المؤرخ </w:t>
      </w:r>
      <w:r w:rsidR="00D2562D" w:rsidRPr="00AA67D7">
        <w:rPr>
          <w:rFonts w:eastAsiaTheme="minorEastAsia"/>
          <w:rtl/>
        </w:rPr>
        <w:t>18</w:t>
      </w:r>
      <w:r w:rsidR="00D2562D" w:rsidRPr="00D2562D">
        <w:rPr>
          <w:rFonts w:eastAsiaTheme="minorEastAsia"/>
          <w:rtl/>
        </w:rPr>
        <w:t xml:space="preserve"> أيلول/سبتمبر </w:t>
      </w:r>
      <w:r w:rsidR="00D2562D" w:rsidRPr="00AA67D7">
        <w:rPr>
          <w:rFonts w:eastAsiaTheme="minorEastAsia"/>
          <w:rtl/>
        </w:rPr>
        <w:t>2018</w:t>
      </w:r>
      <w:r w:rsidR="00D2562D" w:rsidRPr="00D2562D">
        <w:rPr>
          <w:rFonts w:eastAsiaTheme="minorEastAsia"/>
          <w:rtl/>
        </w:rPr>
        <w:t xml:space="preserve"> بشأن آراء </w:t>
      </w:r>
      <w:r w:rsidR="00D2562D" w:rsidRPr="00D2562D">
        <w:rPr>
          <w:rFonts w:eastAsiaTheme="minorEastAsia"/>
          <w:rtl/>
        </w:rPr>
        <w:lastRenderedPageBreak/>
        <w:t>اللجنة في قضية</w:t>
      </w:r>
      <w:r w:rsidR="00D2562D" w:rsidRPr="00AA67D7">
        <w:rPr>
          <w:rFonts w:eastAsiaTheme="minorEastAsia"/>
          <w:i/>
          <w:iCs/>
          <w:rtl/>
        </w:rPr>
        <w:t xml:space="preserve"> بوستوفويت ضد أوكرانيا</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3"/>
      </w:r>
      <w:r w:rsidR="007954CB" w:rsidRPr="007954CB">
        <w:rPr>
          <w:rStyle w:val="FootnoteReference"/>
          <w:rFonts w:eastAsiaTheme="minorEastAsia"/>
          <w:sz w:val="22"/>
          <w:rtl/>
        </w:rPr>
        <w:t>)</w:t>
      </w:r>
      <w:r w:rsidR="007954CB" w:rsidRPr="007954CB">
        <w:rPr>
          <w:rFonts w:eastAsiaTheme="minorEastAsia"/>
          <w:rtl/>
        </w:rPr>
        <w:t xml:space="preserve">. </w:t>
      </w:r>
      <w:r w:rsidR="00D2562D" w:rsidRPr="00D2562D">
        <w:rPr>
          <w:rFonts w:eastAsiaTheme="minorEastAsia"/>
          <w:rtl/>
        </w:rPr>
        <w:t xml:space="preserve">وعملاً بالمادة </w:t>
      </w:r>
      <w:r w:rsidR="00D2562D" w:rsidRPr="00AA67D7">
        <w:rPr>
          <w:rFonts w:eastAsiaTheme="minorEastAsia"/>
          <w:rtl/>
        </w:rPr>
        <w:t>55</w:t>
      </w:r>
      <w:r w:rsidR="00D2562D" w:rsidRPr="00D2562D">
        <w:rPr>
          <w:rFonts w:eastAsiaTheme="minorEastAsia"/>
          <w:rtl/>
        </w:rPr>
        <w:t xml:space="preserve"> من دستور أوكرانيا، يحق لكل شخص، بعد استنفاد جميع سبل الانتصاف المحلية، أن يطلب حماية حقوقه وحرياته أمام المؤسسات القضائية الدولية ذات الصلة أو الهيئات المعنية في المنظمات الدولية التي تكون أوكرانيا عضواً فيها أو مشاركاً فيها. وهكذا ميز المشرع بوضوح بين المؤسسات القضائية الدولية وهيئات المنظمات الدولية. وعملاً بالمادة </w:t>
      </w:r>
      <w:r w:rsidR="00D2562D" w:rsidRPr="00AA67D7">
        <w:rPr>
          <w:rFonts w:eastAsiaTheme="minorEastAsia"/>
          <w:rtl/>
        </w:rPr>
        <w:t>400</w:t>
      </w:r>
      <w:r w:rsidR="00D2562D" w:rsidRPr="00D2562D">
        <w:rPr>
          <w:rFonts w:eastAsiaTheme="minorEastAsia"/>
          <w:rtl/>
        </w:rPr>
        <w:t>-</w:t>
      </w:r>
      <w:r w:rsidR="00D2562D" w:rsidRPr="00AA67D7">
        <w:rPr>
          <w:rFonts w:eastAsiaTheme="minorEastAsia"/>
          <w:rtl/>
        </w:rPr>
        <w:t>12</w:t>
      </w:r>
      <w:r w:rsidR="00D2562D" w:rsidRPr="00D2562D">
        <w:rPr>
          <w:rFonts w:eastAsiaTheme="minorEastAsia"/>
          <w:rtl/>
        </w:rPr>
        <w:t xml:space="preserve"> من قانون الإجراءات الجنائية لعام </w:t>
      </w:r>
      <w:r w:rsidR="00D2562D" w:rsidRPr="00AA67D7">
        <w:rPr>
          <w:rFonts w:eastAsiaTheme="minorEastAsia"/>
          <w:rtl/>
        </w:rPr>
        <w:t>1960</w:t>
      </w:r>
      <w:r w:rsidR="00D2562D" w:rsidRPr="00D2562D">
        <w:rPr>
          <w:rFonts w:eastAsiaTheme="minorEastAsia"/>
          <w:rtl/>
        </w:rPr>
        <w:t xml:space="preserve">، يشكل أي قرار صادر عن مؤسسة قضائية دولية تعترف بها أوكرانيا أحد أسباب إعادة النظر في القرارات التي تتخذها المحاكم الوطنية. ومع ذلك، أشارت الدائرة الكبرى للمحكمة العليا في أوكرانيا، في قرارها المؤرخ </w:t>
      </w:r>
      <w:r w:rsidR="00D2562D" w:rsidRPr="00AA67D7">
        <w:rPr>
          <w:rFonts w:eastAsiaTheme="minorEastAsia"/>
          <w:rtl/>
        </w:rPr>
        <w:t>18</w:t>
      </w:r>
      <w:r w:rsidR="00D2562D" w:rsidRPr="00D2562D">
        <w:rPr>
          <w:rFonts w:eastAsiaTheme="minorEastAsia"/>
          <w:rtl/>
        </w:rPr>
        <w:t xml:space="preserve"> أيلول/سبتمبر </w:t>
      </w:r>
      <w:r w:rsidR="00D2562D" w:rsidRPr="00AA67D7">
        <w:rPr>
          <w:rFonts w:eastAsiaTheme="minorEastAsia"/>
          <w:rtl/>
        </w:rPr>
        <w:t>2018</w:t>
      </w:r>
      <w:r w:rsidR="00D2562D" w:rsidRPr="00D2562D">
        <w:rPr>
          <w:rFonts w:eastAsiaTheme="minorEastAsia"/>
          <w:rtl/>
        </w:rPr>
        <w:t>، إلى أن اللجنة المعنية بحقوق الإنسان، بحكم طبيعتها القانونية، هي جهاز تابع لمنظمة دولية وليست مؤسسة قضائية دولية.</w:t>
      </w:r>
    </w:p>
    <w:p w14:paraId="767396E1" w14:textId="7097F7C6" w:rsidR="00D2562D" w:rsidRPr="00261ADA" w:rsidRDefault="00261ADA" w:rsidP="00261ADA">
      <w:pPr>
        <w:pStyle w:val="SingleTxtGA"/>
        <w:ind w:left="1928"/>
        <w:rPr>
          <w:rFonts w:eastAsiaTheme="minorEastAsia"/>
          <w:lang w:val="en-US" w:eastAsia="zh-TW" w:bidi="en-GB"/>
        </w:rPr>
      </w:pPr>
      <w:r>
        <w:rPr>
          <w:rFonts w:eastAsiaTheme="minorEastAsia"/>
          <w:rtl/>
        </w:rPr>
        <w:tab/>
      </w:r>
      <w:r w:rsidR="00D2562D" w:rsidRPr="00D2562D">
        <w:rPr>
          <w:rFonts w:eastAsiaTheme="minorEastAsia"/>
          <w:rtl/>
        </w:rPr>
        <w:t>وتلاحظ المحكمة أيضاً أن اللجنة المعنية بحقوق الإنسان تنظر في الشكاوى الفردية المقدمة ضد الدول الأطراف، تمشياً مع البروتوكول الاختياري الأول الملحق بالعهد. وبعد النظر في الشكوى، تصدر اللجنة قراراتها في شكل آراء. غير أن المحكمة تلاحظ أن اللجنة ليست مختصة بسلطة اتخاذ قرارات ملزمة قانوناً، وأن الوثائق التأسيسية للجنة لا تنص على عواقب قانونية بالنسبة للدول بمجرد ثبوت وقوع انتهاك لحقوق الإنسان. ولذلك، فإن آراء اللجنة تشكل مجرد توصيات للدولة، والتي لها سلطة تقديرية نهائية بشأن تنفيذها.</w:t>
      </w:r>
    </w:p>
    <w:p w14:paraId="4B70290D" w14:textId="6F8CA851" w:rsidR="00D2562D" w:rsidRPr="00D2562D" w:rsidRDefault="00261ADA" w:rsidP="00261ADA">
      <w:pPr>
        <w:pStyle w:val="SingleTxtGA"/>
        <w:ind w:left="1928"/>
        <w:rPr>
          <w:rFonts w:eastAsiaTheme="minorEastAsia"/>
          <w:lang w:val="ar-SA" w:eastAsia="zh-TW" w:bidi="en-GB"/>
        </w:rPr>
      </w:pPr>
      <w:r>
        <w:rPr>
          <w:rFonts w:eastAsiaTheme="minorEastAsia"/>
          <w:rtl/>
        </w:rPr>
        <w:tab/>
      </w:r>
      <w:r w:rsidR="00D2562D" w:rsidRPr="00D2562D">
        <w:rPr>
          <w:rFonts w:eastAsiaTheme="minorEastAsia"/>
          <w:rtl/>
        </w:rPr>
        <w:t>وبناء على ذلك، وبعد تحليل القواعد القانونية الدولية المذكورة أعلاه، تخلص المحكمة إلى استنتاج مفاده أن اللجنة المعنية بحقوق الإنسان ليست مؤسسة قضائية دولية. ولذلك، فإن آراءها ليست قرارات قضائية من حيث الشكل أو المضمون، ومن وجهة نظر قانونية، فهي ليست ملزمة بل تكتسي طابع التوصية.</w:t>
      </w:r>
    </w:p>
    <w:p w14:paraId="28E3C68B" w14:textId="0222154E"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وعليه، يؤكد محامي صاحب البلاغ أنه ينبغي اتخاذ تدابير على الصعيد المحلي، بما في ذلك استعراض التشريعات و/أو ممارسات إنفاذ القانون، من أجل تقديم سبل الانتصاف اللازمة لإعمال حقوق ضحايا انتهاكات حقوق الإنسان. ويطلب محامي صاحب البلاغ مساعدة اللجنة في تيسير تنفيذ الدولة الطرف لآرائها في قضية السيد كاتاشينسكي.</w:t>
      </w:r>
    </w:p>
    <w:p w14:paraId="45448EC6" w14:textId="77777777" w:rsidR="00D2562D" w:rsidRPr="00D2562D" w:rsidRDefault="00D2562D" w:rsidP="00D2562D">
      <w:pPr>
        <w:pStyle w:val="SingleTxtGA"/>
        <w:rPr>
          <w:rFonts w:eastAsiaTheme="minorEastAsia"/>
          <w:lang w:val="ar-SA" w:eastAsia="zh-TW" w:bidi="en-GB"/>
        </w:rPr>
      </w:pPr>
      <w:r w:rsidRPr="00AA67D7">
        <w:rPr>
          <w:rFonts w:eastAsiaTheme="minorEastAsia"/>
          <w:b/>
          <w:bCs/>
          <w:rtl/>
        </w:rPr>
        <w:t>تقييم اللجنة:</w:t>
      </w:r>
    </w:p>
    <w:p w14:paraId="72261852" w14:textId="6DBC8D70"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(أ)</w:t>
      </w:r>
      <w:r w:rsidR="00D2562D" w:rsidRPr="00D2562D">
        <w:rPr>
          <w:rFonts w:eastAsiaTheme="minorEastAsia"/>
          <w:rtl/>
        </w:rPr>
        <w:tab/>
        <w:t>تقديم تعويض كاف واتخاذ سائر تدابير الترضية: جيم؛</w:t>
      </w:r>
    </w:p>
    <w:p w14:paraId="3A7FEC30" w14:textId="758AF958"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(ب)</w:t>
      </w:r>
      <w:r w:rsidR="00D2562D" w:rsidRPr="00D2562D">
        <w:rPr>
          <w:rFonts w:eastAsiaTheme="minorEastAsia"/>
          <w:rtl/>
        </w:rPr>
        <w:tab/>
        <w:t>عدم التكرار: جيم.</w:t>
      </w:r>
    </w:p>
    <w:p w14:paraId="5894C494" w14:textId="77777777" w:rsidR="00D2562D" w:rsidRPr="00AA67D7" w:rsidRDefault="00D2562D" w:rsidP="00D2562D">
      <w:pPr>
        <w:pStyle w:val="SingleTxtGA"/>
        <w:rPr>
          <w:rFonts w:eastAsiaTheme="minorEastAsia"/>
          <w:b/>
          <w:lang w:val="ar-SA" w:eastAsia="zh-TW" w:bidi="en-GB"/>
        </w:rPr>
      </w:pPr>
      <w:r w:rsidRPr="00AA67D7">
        <w:rPr>
          <w:rFonts w:eastAsiaTheme="minorEastAsia"/>
          <w:b/>
          <w:bCs/>
          <w:rtl/>
        </w:rPr>
        <w:t>قرار اللجنة:</w:t>
      </w:r>
      <w:r w:rsidRPr="00AA67D7">
        <w:rPr>
          <w:rFonts w:eastAsiaTheme="minorEastAsia"/>
          <w:bCs/>
          <w:rtl/>
        </w:rPr>
        <w:t xml:space="preserve"> </w:t>
      </w:r>
      <w:r w:rsidRPr="00AA67D7">
        <w:rPr>
          <w:rFonts w:eastAsiaTheme="minorEastAsia"/>
          <w:b/>
          <w:rtl/>
        </w:rPr>
        <w:t>مواصلة حوار المتابعة. ستطلب اللجنة عقد اجتماع مع ممثل الدولة الطرف خلال إحدى دوراتها المقبلة</w:t>
      </w:r>
      <w:r w:rsidRPr="00AA67D7">
        <w:rPr>
          <w:rFonts w:eastAsiaTheme="minorEastAsia"/>
          <w:bCs/>
          <w:rtl/>
        </w:rPr>
        <w:t>.</w:t>
      </w:r>
    </w:p>
    <w:p w14:paraId="5E46451E" w14:textId="68BB1FB7" w:rsidR="00D2562D" w:rsidRPr="00AA67D7" w:rsidRDefault="00261ADA" w:rsidP="00261ADA">
      <w:pPr>
        <w:pStyle w:val="H23GA"/>
        <w:rPr>
          <w:lang w:val="ar-SA" w:eastAsia="zh-TW" w:bidi="en-GB"/>
        </w:rPr>
      </w:pPr>
      <w:r w:rsidRPr="00AA67D7">
        <w:rPr>
          <w:rtl/>
        </w:rPr>
        <w:tab/>
      </w:r>
      <w:r w:rsidR="00D2562D" w:rsidRPr="00AA67D7">
        <w:rPr>
          <w:rtl/>
        </w:rPr>
        <w:t>6-</w:t>
      </w:r>
      <w:r w:rsidR="00D2562D" w:rsidRPr="00AA67D7">
        <w:rPr>
          <w:rtl/>
        </w:rPr>
        <w:tab/>
        <w:t>أوزبكستان</w:t>
      </w:r>
    </w:p>
    <w:p w14:paraId="48D68A8E" w14:textId="77777777" w:rsidR="00D2562D" w:rsidRPr="00AA67D7" w:rsidRDefault="00D2562D" w:rsidP="00D2562D">
      <w:pPr>
        <w:pStyle w:val="SingleTxtGA"/>
        <w:rPr>
          <w:rFonts w:eastAsiaTheme="minorEastAsia"/>
          <w:b/>
          <w:i/>
          <w:lang w:val="ar-SA" w:eastAsia="zh-TW" w:bidi="en-GB"/>
        </w:rPr>
      </w:pPr>
      <w:r w:rsidRPr="00AA67D7">
        <w:rPr>
          <w:rFonts w:eastAsiaTheme="minorEastAsia"/>
          <w:b/>
          <w:bCs/>
          <w:rtl/>
        </w:rPr>
        <w:t xml:space="preserve">البلاغ رقم 1769/2008، </w:t>
      </w:r>
      <w:r w:rsidRPr="00AA67D7">
        <w:rPr>
          <w:rFonts w:eastAsiaTheme="minorEastAsia"/>
          <w:b/>
          <w:bCs/>
          <w:i/>
          <w:iCs/>
          <w:rtl/>
        </w:rPr>
        <w:t>إسماعيلوف</w:t>
      </w:r>
    </w:p>
    <w:p w14:paraId="698E50AF" w14:textId="5EAC1620" w:rsidR="00D2562D" w:rsidRPr="00D2562D" w:rsidRDefault="00D2562D" w:rsidP="00D2562D">
      <w:pPr>
        <w:pStyle w:val="SingleTxtGA"/>
        <w:rPr>
          <w:rFonts w:eastAsiaTheme="minorEastAsia"/>
          <w:lang w:val="ar-SA" w:eastAsia="zh-TW" w:bidi="en-GB"/>
        </w:rPr>
      </w:pPr>
      <w:r w:rsidRPr="00AA67D7">
        <w:rPr>
          <w:rFonts w:eastAsiaTheme="minorEastAsia"/>
          <w:b/>
          <w:bCs/>
          <w:rtl/>
        </w:rPr>
        <w:t>تاريخ اعتماد الآراء:</w:t>
      </w:r>
      <w:r w:rsidRPr="00D2562D">
        <w:rPr>
          <w:rFonts w:eastAsiaTheme="minorEastAsia"/>
          <w:rtl/>
        </w:rPr>
        <w:tab/>
      </w:r>
      <w:r w:rsidR="00261ADA">
        <w:rPr>
          <w:rFonts w:eastAsiaTheme="minorEastAsia"/>
          <w:rtl/>
        </w:rPr>
        <w:tab/>
      </w:r>
      <w:r w:rsidRPr="00D2562D">
        <w:rPr>
          <w:rFonts w:eastAsiaTheme="minorEastAsia"/>
          <w:rtl/>
        </w:rPr>
        <w:tab/>
      </w:r>
      <w:r w:rsidRPr="00AA67D7">
        <w:rPr>
          <w:rFonts w:eastAsiaTheme="minorEastAsia"/>
          <w:rtl/>
        </w:rPr>
        <w:t>25</w:t>
      </w:r>
      <w:r w:rsidRPr="00D2562D">
        <w:rPr>
          <w:rFonts w:eastAsiaTheme="minorEastAsia"/>
          <w:rtl/>
        </w:rPr>
        <w:t xml:space="preserve"> آذار/مارس </w:t>
      </w:r>
      <w:r w:rsidRPr="00AA67D7">
        <w:rPr>
          <w:rFonts w:eastAsiaTheme="minorEastAsia"/>
          <w:rtl/>
        </w:rPr>
        <w:t>2011</w:t>
      </w:r>
    </w:p>
    <w:p w14:paraId="13BA4762" w14:textId="4333E872" w:rsidR="00D2562D" w:rsidRPr="00D2562D" w:rsidRDefault="00D2562D" w:rsidP="00D2562D">
      <w:pPr>
        <w:pStyle w:val="SingleTxtGA"/>
        <w:rPr>
          <w:rFonts w:eastAsiaTheme="minorEastAsia"/>
          <w:lang w:val="ar-SA" w:eastAsia="zh-TW" w:bidi="en-GB"/>
        </w:rPr>
      </w:pPr>
      <w:r w:rsidRPr="00AA67D7">
        <w:rPr>
          <w:rFonts w:eastAsiaTheme="minorEastAsia"/>
          <w:b/>
          <w:bCs/>
          <w:rtl/>
        </w:rPr>
        <w:t>المواد المنتهكة:</w:t>
      </w:r>
      <w:r w:rsidRPr="00D2562D">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ab/>
        <w:t xml:space="preserve">المادة </w:t>
      </w:r>
      <w:r w:rsidRPr="00AA67D7">
        <w:rPr>
          <w:rFonts w:eastAsiaTheme="minorEastAsia"/>
          <w:rtl/>
        </w:rPr>
        <w:t>9</w:t>
      </w:r>
      <w:r w:rsidRPr="00D2562D">
        <w:rPr>
          <w:rFonts w:eastAsiaTheme="minorEastAsia"/>
          <w:rtl/>
        </w:rPr>
        <w:t>(</w:t>
      </w:r>
      <w:r w:rsidR="007954CB" w:rsidRPr="00AA67D7">
        <w:rPr>
          <w:rFonts w:eastAsiaTheme="minorEastAsia"/>
          <w:rtl/>
        </w:rPr>
        <w:t>2</w:t>
      </w:r>
      <w:r w:rsidR="007954CB" w:rsidRPr="007954CB">
        <w:rPr>
          <w:rFonts w:eastAsiaTheme="minorEastAsia"/>
          <w:rtl/>
        </w:rPr>
        <w:t xml:space="preserve">) </w:t>
      </w:r>
      <w:r w:rsidRPr="00D2562D">
        <w:rPr>
          <w:rFonts w:eastAsiaTheme="minorEastAsia"/>
          <w:rtl/>
        </w:rPr>
        <w:t>و(</w:t>
      </w:r>
      <w:r w:rsidR="007954CB" w:rsidRPr="00AA67D7">
        <w:rPr>
          <w:rFonts w:eastAsiaTheme="minorEastAsia"/>
          <w:rtl/>
        </w:rPr>
        <w:t>3</w:t>
      </w:r>
      <w:r w:rsidR="007954CB" w:rsidRPr="007954CB">
        <w:rPr>
          <w:rFonts w:eastAsiaTheme="minorEastAsia"/>
          <w:rtl/>
        </w:rPr>
        <w:t xml:space="preserve">) </w:t>
      </w:r>
      <w:r w:rsidRPr="00D2562D">
        <w:rPr>
          <w:rFonts w:eastAsiaTheme="minorEastAsia"/>
          <w:rtl/>
        </w:rPr>
        <w:t xml:space="preserve">والمادة </w:t>
      </w:r>
      <w:r w:rsidRPr="00AA67D7">
        <w:rPr>
          <w:rFonts w:eastAsiaTheme="minorEastAsia"/>
          <w:rtl/>
        </w:rPr>
        <w:t>14</w:t>
      </w:r>
      <w:r w:rsidRPr="00D2562D">
        <w:rPr>
          <w:rFonts w:eastAsiaTheme="minorEastAsia"/>
          <w:rtl/>
        </w:rPr>
        <w:t>(</w:t>
      </w:r>
      <w:r w:rsidRPr="00AA67D7">
        <w:rPr>
          <w:rFonts w:eastAsiaTheme="minorEastAsia"/>
          <w:rtl/>
        </w:rPr>
        <w:t>3</w:t>
      </w:r>
      <w:r w:rsidRPr="00D2562D">
        <w:rPr>
          <w:rFonts w:eastAsiaTheme="minorEastAsia"/>
          <w:rtl/>
        </w:rPr>
        <w:t>)(ب) و(د) و(هـ) و(ز)</w:t>
      </w:r>
    </w:p>
    <w:p w14:paraId="6C512D1A" w14:textId="2FC6674A" w:rsidR="00D2562D" w:rsidRPr="00D2562D" w:rsidRDefault="00D2562D" w:rsidP="00261ADA">
      <w:pPr>
        <w:pStyle w:val="SingleTxtGA"/>
        <w:ind w:left="4649" w:hanging="3402"/>
        <w:rPr>
          <w:rFonts w:eastAsiaTheme="minorEastAsia"/>
          <w:lang w:val="ar-SA" w:eastAsia="zh-TW" w:bidi="en-GB"/>
        </w:rPr>
      </w:pPr>
      <w:r w:rsidRPr="00AA67D7">
        <w:rPr>
          <w:rFonts w:eastAsiaTheme="minorEastAsia"/>
          <w:b/>
          <w:bCs/>
          <w:rtl/>
        </w:rPr>
        <w:lastRenderedPageBreak/>
        <w:t>إجراء الانتصاف:</w:t>
      </w:r>
      <w:r w:rsidR="00261ADA">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ab/>
        <w:t>(أ) تقديم سبيل انتصاف فعال للضحية، بما في ذلك النظر في إعادة المحاكمة امتثالاً لجميع الضمانات المنصوص عليها في العهد، أو الإفراج عنه؛ (ب)</w:t>
      </w:r>
      <w:r w:rsidR="00662AD5">
        <w:rPr>
          <w:rFonts w:eastAsiaTheme="minorEastAsia" w:hint="cs"/>
          <w:rtl/>
        </w:rPr>
        <w:t> </w:t>
      </w:r>
      <w:r w:rsidRPr="00D2562D">
        <w:rPr>
          <w:rFonts w:eastAsiaTheme="minorEastAsia"/>
          <w:rtl/>
        </w:rPr>
        <w:t>وتقديم جبر مناسب له، بما في ذلك التعويض؛ (ج) واتخاذ الخطوات اللازمة لمنع حدوث انتهاكات مماثلة في المستقبل.</w:t>
      </w:r>
    </w:p>
    <w:p w14:paraId="013C289F" w14:textId="1BE7FEA4" w:rsidR="00D2562D" w:rsidRPr="00D2562D" w:rsidRDefault="00D2562D" w:rsidP="00261ADA">
      <w:pPr>
        <w:pStyle w:val="SingleTxtGA"/>
        <w:ind w:left="4649" w:hanging="3402"/>
        <w:rPr>
          <w:rFonts w:eastAsiaTheme="minorEastAsia"/>
          <w:lang w:val="ar-SA" w:eastAsia="zh-TW" w:bidi="en-GB"/>
        </w:rPr>
      </w:pPr>
      <w:r w:rsidRPr="00AA67D7">
        <w:rPr>
          <w:rFonts w:eastAsiaTheme="minorEastAsia"/>
          <w:b/>
          <w:bCs/>
          <w:rtl/>
        </w:rPr>
        <w:t>الموضوع:</w:t>
      </w:r>
      <w:r w:rsidRPr="00D2562D">
        <w:rPr>
          <w:rFonts w:eastAsiaTheme="minorEastAsia"/>
          <w:rtl/>
        </w:rPr>
        <w:tab/>
      </w:r>
      <w:r w:rsidRPr="00D2562D">
        <w:rPr>
          <w:rFonts w:eastAsiaTheme="minorEastAsia"/>
          <w:rtl/>
        </w:rPr>
        <w:tab/>
      </w:r>
      <w:r w:rsidR="00261ADA">
        <w:rPr>
          <w:rFonts w:eastAsiaTheme="minorEastAsia"/>
          <w:rtl/>
        </w:rPr>
        <w:tab/>
      </w:r>
      <w:r w:rsidR="00261ADA">
        <w:rPr>
          <w:rFonts w:eastAsiaTheme="minorEastAsia"/>
          <w:rtl/>
        </w:rPr>
        <w:tab/>
      </w:r>
      <w:r w:rsidRPr="00D2562D">
        <w:rPr>
          <w:rFonts w:eastAsiaTheme="minorEastAsia"/>
          <w:rtl/>
        </w:rPr>
        <w:t>الاحتجاز التعسفي وانتهاك ضمانات المحاكمة العادلة في الإجراءات الجنائية</w:t>
      </w:r>
    </w:p>
    <w:p w14:paraId="7BEF1E12" w14:textId="516072CB" w:rsidR="00D2562D" w:rsidRPr="00662AD5" w:rsidRDefault="00D2562D" w:rsidP="007954CB">
      <w:pPr>
        <w:pStyle w:val="SingleTxtGA"/>
        <w:ind w:left="4649" w:hanging="3402"/>
        <w:rPr>
          <w:rFonts w:eastAsiaTheme="minorEastAsia"/>
          <w:lang w:val="en-US" w:eastAsia="zh-TW" w:bidi="en-GB"/>
        </w:rPr>
      </w:pPr>
      <w:r w:rsidRPr="00AA67D7">
        <w:rPr>
          <w:rFonts w:eastAsiaTheme="minorEastAsia"/>
          <w:b/>
          <w:bCs/>
          <w:rtl/>
        </w:rPr>
        <w:t>معلومات المتابعة المقدمة سابقاً:</w:t>
      </w:r>
      <w:r w:rsidRPr="00D2562D">
        <w:rPr>
          <w:rFonts w:eastAsiaTheme="minorEastAsia"/>
          <w:rtl/>
        </w:rPr>
        <w:tab/>
      </w:r>
      <w:r w:rsidR="00261ADA">
        <w:rPr>
          <w:rFonts w:eastAsiaTheme="minorEastAsia"/>
          <w:rtl/>
        </w:rPr>
        <w:tab/>
      </w:r>
      <w:hyperlink r:id="rId13" w:history="1">
        <w:r w:rsidRPr="007954CB">
          <w:rPr>
            <w:rStyle w:val="Hyperlink"/>
            <w:lang w:val="en-US"/>
          </w:rPr>
          <w:t>A/</w:t>
        </w:r>
        <w:r w:rsidRPr="00AA67D7">
          <w:rPr>
            <w:rStyle w:val="Hyperlink"/>
            <w:lang w:val="en-US"/>
          </w:rPr>
          <w:t>69</w:t>
        </w:r>
        <w:r w:rsidRPr="007954CB">
          <w:rPr>
            <w:rStyle w:val="Hyperlink"/>
            <w:lang w:val="en-US"/>
          </w:rPr>
          <w:t>/</w:t>
        </w:r>
        <w:r w:rsidRPr="00AA67D7">
          <w:rPr>
            <w:rStyle w:val="Hyperlink"/>
            <w:lang w:val="en-US"/>
          </w:rPr>
          <w:t>40</w:t>
        </w:r>
      </w:hyperlink>
      <w:r w:rsidRPr="00D2562D">
        <w:rPr>
          <w:rFonts w:eastAsiaTheme="minorEastAsia"/>
          <w:rtl/>
        </w:rPr>
        <w:t xml:space="preserve"> (</w:t>
      </w:r>
      <w:hyperlink r:id="rId14" w:history="1">
        <w:r w:rsidRPr="00662AD5">
          <w:rPr>
            <w:rStyle w:val="Hyperlink"/>
            <w:rFonts w:eastAsiaTheme="minorEastAsia"/>
            <w:rtl/>
          </w:rPr>
          <w:t>المجلد الأول</w:t>
        </w:r>
      </w:hyperlink>
      <w:r w:rsidR="007954CB" w:rsidRPr="007954CB">
        <w:rPr>
          <w:rFonts w:eastAsiaTheme="minorEastAsia"/>
          <w:rtl/>
        </w:rPr>
        <w:t xml:space="preserve">)، </w:t>
      </w:r>
      <w:r w:rsidRPr="00D2562D">
        <w:rPr>
          <w:rFonts w:eastAsiaTheme="minorEastAsia"/>
          <w:rtl/>
        </w:rPr>
        <w:t xml:space="preserve">الصفحة </w:t>
      </w:r>
      <w:r w:rsidRPr="00AA67D7">
        <w:rPr>
          <w:rFonts w:eastAsiaTheme="minorEastAsia"/>
          <w:rtl/>
        </w:rPr>
        <w:t>226</w:t>
      </w:r>
      <w:r w:rsidRPr="00D2562D">
        <w:rPr>
          <w:rFonts w:eastAsiaTheme="minorEastAsia"/>
          <w:rtl/>
        </w:rPr>
        <w:t>،</w:t>
      </w:r>
      <w:r w:rsidR="007954CB" w:rsidRPr="00D2562D">
        <w:rPr>
          <w:rFonts w:eastAsiaTheme="minorEastAsia"/>
          <w:rtl/>
        </w:rPr>
        <w:t xml:space="preserve"> و</w:t>
      </w:r>
      <w:hyperlink r:id="rId15" w:history="1">
        <w:r w:rsidR="007954CB" w:rsidRPr="007954CB">
          <w:rPr>
            <w:rStyle w:val="Hyperlink"/>
            <w:lang w:val="en-US"/>
          </w:rPr>
          <w:t>C</w:t>
        </w:r>
        <w:r w:rsidRPr="007954CB">
          <w:rPr>
            <w:rStyle w:val="Hyperlink"/>
            <w:lang w:val="en-US"/>
          </w:rPr>
          <w:t>CPR/C/</w:t>
        </w:r>
        <w:r w:rsidRPr="00AA67D7">
          <w:rPr>
            <w:rStyle w:val="Hyperlink"/>
            <w:lang w:val="en-US"/>
          </w:rPr>
          <w:t>113</w:t>
        </w:r>
        <w:r w:rsidRPr="007954CB">
          <w:rPr>
            <w:rStyle w:val="Hyperlink"/>
            <w:lang w:val="en-US"/>
          </w:rPr>
          <w:t>/</w:t>
        </w:r>
        <w:r w:rsidRPr="00AA67D7">
          <w:rPr>
            <w:rStyle w:val="Hyperlink"/>
            <w:lang w:val="en-US"/>
          </w:rPr>
          <w:t>3</w:t>
        </w:r>
      </w:hyperlink>
      <w:r w:rsidR="007954CB" w:rsidRPr="00D2562D">
        <w:rPr>
          <w:rFonts w:eastAsiaTheme="minorEastAsia"/>
          <w:rtl/>
        </w:rPr>
        <w:t xml:space="preserve"> و</w:t>
      </w:r>
      <w:hyperlink r:id="rId16" w:history="1">
        <w:r w:rsidR="007954CB" w:rsidRPr="00662AD5">
          <w:rPr>
            <w:rStyle w:val="Hyperlink"/>
            <w:rFonts w:eastAsiaTheme="minorEastAsia"/>
          </w:rPr>
          <w:t>C</w:t>
        </w:r>
        <w:r w:rsidRPr="00662AD5">
          <w:rPr>
            <w:rStyle w:val="Hyperlink"/>
            <w:rFonts w:eastAsiaTheme="minorEastAsia"/>
          </w:rPr>
          <w:t>orr.</w:t>
        </w:r>
        <w:r w:rsidRPr="00AA67D7">
          <w:rPr>
            <w:rStyle w:val="Hyperlink"/>
            <w:rFonts w:eastAsiaTheme="minorEastAsia"/>
          </w:rPr>
          <w:t>1</w:t>
        </w:r>
      </w:hyperlink>
    </w:p>
    <w:p w14:paraId="1F618F3B" w14:textId="130F12F5"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صاحبة البلاغ ووالدة الضحية:</w:t>
      </w:r>
      <w:r w:rsidRPr="00D2562D">
        <w:rPr>
          <w:rFonts w:eastAsiaTheme="minorEastAsia"/>
          <w:rtl/>
        </w:rPr>
        <w:t xml:space="preserve"> </w:t>
      </w:r>
      <w:r w:rsidRPr="00AA67D7">
        <w:rPr>
          <w:rFonts w:eastAsiaTheme="minorEastAsia"/>
          <w:rtl/>
        </w:rPr>
        <w:t>11</w:t>
      </w:r>
      <w:r w:rsidRPr="00D2562D">
        <w:rPr>
          <w:rFonts w:eastAsiaTheme="minorEastAsia"/>
          <w:rtl/>
        </w:rPr>
        <w:t xml:space="preserve"> حزيران/يونيه و</w:t>
      </w:r>
      <w:r w:rsidRPr="00AA67D7">
        <w:rPr>
          <w:rFonts w:eastAsiaTheme="minorEastAsia"/>
          <w:rtl/>
        </w:rPr>
        <w:t>7</w:t>
      </w:r>
      <w:r w:rsidRPr="00D2562D">
        <w:rPr>
          <w:rFonts w:eastAsiaTheme="minorEastAsia"/>
          <w:rtl/>
        </w:rPr>
        <w:t xml:space="preserve"> تشرين الأول/أكتوبر </w:t>
      </w:r>
      <w:r w:rsidRPr="00AA67D7">
        <w:rPr>
          <w:rFonts w:eastAsiaTheme="minorEastAsia"/>
          <w:rtl/>
        </w:rPr>
        <w:t>2017</w:t>
      </w:r>
      <w:r w:rsidRPr="00D2562D">
        <w:rPr>
          <w:rFonts w:eastAsiaTheme="minorEastAsia"/>
          <w:rtl/>
        </w:rPr>
        <w:t xml:space="preserve"> و</w:t>
      </w:r>
      <w:r w:rsidRPr="00AA67D7">
        <w:rPr>
          <w:rFonts w:eastAsiaTheme="minorEastAsia"/>
          <w:rtl/>
        </w:rPr>
        <w:t>5</w:t>
      </w:r>
      <w:r w:rsidRPr="00D2562D">
        <w:rPr>
          <w:rFonts w:eastAsiaTheme="minorEastAsia"/>
          <w:rtl/>
        </w:rPr>
        <w:t xml:space="preserve"> أيار/مايو</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4"/>
      </w:r>
      <w:r w:rsidRPr="00D2562D">
        <w:rPr>
          <w:rStyle w:val="FootnoteReference"/>
          <w:rFonts w:eastAsiaTheme="minorEastAsia"/>
          <w:sz w:val="22"/>
          <w:rtl/>
        </w:rPr>
        <w:t>)</w:t>
      </w:r>
      <w:r w:rsidRPr="00D2562D">
        <w:rPr>
          <w:rFonts w:eastAsiaTheme="minorEastAsia"/>
          <w:rtl/>
        </w:rPr>
        <w:t> و</w:t>
      </w:r>
      <w:r w:rsidRPr="00AA67D7">
        <w:rPr>
          <w:rFonts w:eastAsiaTheme="minorEastAsia"/>
          <w:rtl/>
        </w:rPr>
        <w:t>11</w:t>
      </w:r>
      <w:r w:rsidRPr="00D2562D">
        <w:rPr>
          <w:rFonts w:eastAsiaTheme="minorEastAsia"/>
          <w:rtl/>
        </w:rPr>
        <w:t xml:space="preserve"> آب/أغسطس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5"/>
      </w:r>
      <w:r w:rsidRPr="00D2562D">
        <w:rPr>
          <w:rStyle w:val="FootnoteReference"/>
          <w:rFonts w:eastAsiaTheme="minorEastAsia"/>
          <w:sz w:val="22"/>
          <w:rtl/>
        </w:rPr>
        <w:t>)</w:t>
      </w:r>
    </w:p>
    <w:p w14:paraId="7ACF5D0D" w14:textId="12F275F4" w:rsidR="007954CB" w:rsidRPr="007954CB" w:rsidRDefault="00261ADA" w:rsidP="00D2562D">
      <w:pPr>
        <w:pStyle w:val="SingleTxtGA"/>
        <w:rPr>
          <w:rFonts w:eastAsiaTheme="minorEastAsia"/>
          <w:spacing w:val="-4"/>
          <w:lang w:val="ar-SA" w:eastAsia="zh-TW" w:bidi="en-GB"/>
        </w:rPr>
      </w:pPr>
      <w:r>
        <w:rPr>
          <w:rFonts w:eastAsiaTheme="minorEastAsia"/>
          <w:rtl/>
        </w:rPr>
        <w:tab/>
      </w:r>
      <w:r w:rsidR="00D2562D" w:rsidRPr="00D2562D">
        <w:rPr>
          <w:rFonts w:eastAsiaTheme="minorEastAsia"/>
          <w:rtl/>
        </w:rPr>
        <w:t xml:space="preserve">تدفع صاحبة البلاغ بأن الدولة الطرف لم تتخذ أي تدابير بعد لإنفاذ آراء اللجنة وأن الطعون العديدة الموجهة إلى السلطات المحلية لالتماس الامتثال للآراء وإعادة النظر في القضية الجنائية المتعلقة بالسيد إسماعيلوف لم تكلل بالنجاح. وعلاوة على ذلك، لا يزال يتعرض لاتهامات متكررة لا أساس لها بانتهاك القواعد الداخلية بشكل منهجي في المستوطنة </w:t>
      </w:r>
      <w:r w:rsidR="00662AD5" w:rsidRPr="001621F0">
        <w:t>UYa</w:t>
      </w:r>
      <w:r w:rsidR="00662AD5">
        <w:t xml:space="preserve"> </w:t>
      </w:r>
      <w:r w:rsidR="00662AD5" w:rsidRPr="00AA67D7">
        <w:t>64</w:t>
      </w:r>
      <w:r w:rsidR="00662AD5" w:rsidRPr="001621F0">
        <w:t>/</w:t>
      </w:r>
      <w:r w:rsidR="00662AD5" w:rsidRPr="00AA67D7">
        <w:t>21</w:t>
      </w:r>
      <w:r w:rsidR="00D2562D" w:rsidRPr="00D2562D">
        <w:rPr>
          <w:rFonts w:eastAsiaTheme="minorEastAsia"/>
          <w:rtl/>
        </w:rPr>
        <w:t xml:space="preserve">، مما يجعله غير مؤهل للتمتع بقرارات العفو التي تعلنها السلطات المحلية بانتظام. وتشير صاحبة البلاغ، على وجه الخصوص، إلى الردود الواردة من مكتب المدعي العام العسكري في </w:t>
      </w:r>
      <w:r w:rsidR="00D2562D" w:rsidRPr="00AA67D7">
        <w:rPr>
          <w:rFonts w:eastAsiaTheme="minorEastAsia"/>
          <w:rtl/>
        </w:rPr>
        <w:t>4</w:t>
      </w:r>
      <w:r w:rsidR="00D2562D" w:rsidRPr="00D2562D">
        <w:rPr>
          <w:rFonts w:eastAsiaTheme="minorEastAsia"/>
          <w:rtl/>
        </w:rPr>
        <w:t xml:space="preserve"> أيار/مايو و</w:t>
      </w:r>
      <w:r w:rsidR="00D2562D" w:rsidRPr="00AA67D7">
        <w:rPr>
          <w:rFonts w:eastAsiaTheme="minorEastAsia"/>
          <w:rtl/>
        </w:rPr>
        <w:t>13</w:t>
      </w:r>
      <w:r w:rsidR="00D2562D" w:rsidRPr="00D2562D">
        <w:rPr>
          <w:rFonts w:eastAsiaTheme="minorEastAsia"/>
          <w:rtl/>
        </w:rPr>
        <w:t xml:space="preserve"> تشرين الأول/أكتوبر و</w:t>
      </w:r>
      <w:r w:rsidR="00D2562D" w:rsidRPr="00AA67D7">
        <w:rPr>
          <w:rFonts w:eastAsiaTheme="minorEastAsia"/>
          <w:rtl/>
        </w:rPr>
        <w:t>21</w:t>
      </w:r>
      <w:r w:rsidR="00D2562D" w:rsidRPr="00D2562D">
        <w:rPr>
          <w:rFonts w:eastAsiaTheme="minorEastAsia"/>
          <w:rtl/>
        </w:rPr>
        <w:t xml:space="preserve"> تشرين الأول/أكتوبر </w:t>
      </w:r>
      <w:r w:rsidR="00D2562D" w:rsidRPr="00AA67D7">
        <w:rPr>
          <w:rFonts w:eastAsiaTheme="minorEastAsia"/>
          <w:rtl/>
        </w:rPr>
        <w:t>2016</w:t>
      </w:r>
      <w:r w:rsidR="00D2562D" w:rsidRPr="00D2562D">
        <w:rPr>
          <w:rFonts w:eastAsiaTheme="minorEastAsia"/>
          <w:rtl/>
        </w:rPr>
        <w:t xml:space="preserve"> و</w:t>
      </w:r>
      <w:r w:rsidR="00D2562D" w:rsidRPr="00AA67D7">
        <w:rPr>
          <w:rFonts w:eastAsiaTheme="minorEastAsia"/>
          <w:rtl/>
        </w:rPr>
        <w:t>13</w:t>
      </w:r>
      <w:r w:rsidR="00D2562D" w:rsidRPr="00D2562D">
        <w:rPr>
          <w:rFonts w:eastAsiaTheme="minorEastAsia"/>
          <w:rtl/>
        </w:rPr>
        <w:t xml:space="preserve"> نيسان/أبريل </w:t>
      </w:r>
      <w:r w:rsidR="00D2562D" w:rsidRPr="00AA67D7">
        <w:rPr>
          <w:rFonts w:eastAsiaTheme="minorEastAsia"/>
          <w:rtl/>
        </w:rPr>
        <w:t>2017</w:t>
      </w:r>
      <w:r w:rsidR="00D2562D" w:rsidRPr="00D2562D">
        <w:rPr>
          <w:rFonts w:eastAsiaTheme="minorEastAsia"/>
          <w:rtl/>
        </w:rPr>
        <w:t xml:space="preserve"> و</w:t>
      </w:r>
      <w:r w:rsidR="00D2562D" w:rsidRPr="00AA67D7">
        <w:rPr>
          <w:rFonts w:eastAsiaTheme="minorEastAsia"/>
          <w:rtl/>
        </w:rPr>
        <w:t>19</w:t>
      </w:r>
      <w:r w:rsidR="00D2562D" w:rsidRPr="00D2562D">
        <w:rPr>
          <w:rFonts w:eastAsiaTheme="minorEastAsia"/>
          <w:rtl/>
        </w:rPr>
        <w:t xml:space="preserve"> شباط/فبراير و</w:t>
      </w:r>
      <w:r w:rsidR="00D2562D" w:rsidRPr="00AA67D7">
        <w:rPr>
          <w:rFonts w:eastAsiaTheme="minorEastAsia"/>
          <w:rtl/>
        </w:rPr>
        <w:t>28</w:t>
      </w:r>
      <w:r w:rsidR="00D2562D" w:rsidRPr="00D2562D">
        <w:rPr>
          <w:rFonts w:eastAsiaTheme="minorEastAsia"/>
          <w:rtl/>
        </w:rPr>
        <w:t xml:space="preserve"> أيلول/سبتمبر </w:t>
      </w:r>
      <w:r w:rsidR="00D2562D" w:rsidRPr="00AA67D7">
        <w:rPr>
          <w:rFonts w:eastAsiaTheme="minorEastAsia"/>
          <w:rtl/>
        </w:rPr>
        <w:t>2018</w:t>
      </w:r>
      <w:r w:rsidR="00D2562D" w:rsidRPr="00D2562D">
        <w:rPr>
          <w:rFonts w:eastAsiaTheme="minorEastAsia"/>
          <w:rtl/>
        </w:rPr>
        <w:t xml:space="preserve">؛ ومن مكتب المدعي العام </w:t>
      </w:r>
      <w:r w:rsidR="00D2562D" w:rsidRPr="00261ADA">
        <w:rPr>
          <w:rFonts w:eastAsiaTheme="minorEastAsia"/>
          <w:spacing w:val="-4"/>
          <w:rtl/>
        </w:rPr>
        <w:t xml:space="preserve">في </w:t>
      </w:r>
      <w:r w:rsidR="00D2562D" w:rsidRPr="00AA67D7">
        <w:rPr>
          <w:rFonts w:eastAsiaTheme="minorEastAsia"/>
          <w:spacing w:val="-4"/>
          <w:rtl/>
        </w:rPr>
        <w:t>19</w:t>
      </w:r>
      <w:r w:rsidR="00D2562D" w:rsidRPr="00261ADA">
        <w:rPr>
          <w:rFonts w:eastAsiaTheme="minorEastAsia"/>
          <w:spacing w:val="-4"/>
          <w:rtl/>
        </w:rPr>
        <w:t xml:space="preserve"> شباط/فبراير </w:t>
      </w:r>
      <w:r w:rsidR="00D2562D" w:rsidRPr="00AA67D7">
        <w:rPr>
          <w:rFonts w:eastAsiaTheme="minorEastAsia"/>
          <w:spacing w:val="-4"/>
          <w:rtl/>
        </w:rPr>
        <w:t>2019</w:t>
      </w:r>
      <w:r w:rsidR="00D2562D" w:rsidRPr="00261ADA">
        <w:rPr>
          <w:rFonts w:eastAsiaTheme="minorEastAsia"/>
          <w:spacing w:val="-4"/>
          <w:rtl/>
        </w:rPr>
        <w:t xml:space="preserve">؛ ومن مكتب المدعي العام المتخصص في طشقند في </w:t>
      </w:r>
      <w:r w:rsidR="00D2562D" w:rsidRPr="00AA67D7">
        <w:rPr>
          <w:rFonts w:eastAsiaTheme="minorEastAsia"/>
          <w:spacing w:val="-4"/>
          <w:rtl/>
        </w:rPr>
        <w:t>17</w:t>
      </w:r>
      <w:r w:rsidR="00D2562D" w:rsidRPr="00261ADA">
        <w:rPr>
          <w:rFonts w:eastAsiaTheme="minorEastAsia"/>
          <w:spacing w:val="-4"/>
          <w:rtl/>
        </w:rPr>
        <w:t xml:space="preserve"> شباط/</w:t>
      </w:r>
      <w:r>
        <w:rPr>
          <w:rFonts w:eastAsiaTheme="minorEastAsia" w:hint="cs"/>
          <w:spacing w:val="-4"/>
          <w:rtl/>
        </w:rPr>
        <w:t xml:space="preserve"> </w:t>
      </w:r>
      <w:r w:rsidR="00D2562D" w:rsidRPr="00261ADA">
        <w:rPr>
          <w:rFonts w:eastAsiaTheme="minorEastAsia"/>
          <w:spacing w:val="-4"/>
          <w:rtl/>
        </w:rPr>
        <w:t xml:space="preserve">فبراير </w:t>
      </w:r>
      <w:r w:rsidR="00D2562D" w:rsidRPr="00AA67D7">
        <w:rPr>
          <w:rFonts w:eastAsiaTheme="minorEastAsia"/>
          <w:spacing w:val="-4"/>
          <w:rtl/>
        </w:rPr>
        <w:t>2019</w:t>
      </w:r>
      <w:r w:rsidR="00D2562D" w:rsidRPr="00261ADA">
        <w:rPr>
          <w:rFonts w:eastAsiaTheme="minorEastAsia"/>
          <w:spacing w:val="-4"/>
          <w:rtl/>
        </w:rPr>
        <w:t xml:space="preserve">؛ ومن المحكمة العليا في </w:t>
      </w:r>
      <w:r w:rsidR="00D2562D" w:rsidRPr="00AA67D7">
        <w:rPr>
          <w:rFonts w:eastAsiaTheme="minorEastAsia"/>
          <w:spacing w:val="-4"/>
          <w:rtl/>
        </w:rPr>
        <w:t>5</w:t>
      </w:r>
      <w:r w:rsidR="00D2562D" w:rsidRPr="00261ADA">
        <w:rPr>
          <w:rFonts w:eastAsiaTheme="minorEastAsia"/>
          <w:spacing w:val="-4"/>
          <w:rtl/>
        </w:rPr>
        <w:t xml:space="preserve"> تشرين الثاني/نوفمبر </w:t>
      </w:r>
      <w:r w:rsidR="00D2562D" w:rsidRPr="00AA67D7">
        <w:rPr>
          <w:rFonts w:eastAsiaTheme="minorEastAsia"/>
          <w:spacing w:val="-4"/>
          <w:rtl/>
        </w:rPr>
        <w:t>2015</w:t>
      </w:r>
      <w:r w:rsidR="00D2562D" w:rsidRPr="00261ADA">
        <w:rPr>
          <w:rFonts w:eastAsiaTheme="minorEastAsia"/>
          <w:spacing w:val="-4"/>
          <w:rtl/>
        </w:rPr>
        <w:t>، و</w:t>
      </w:r>
      <w:r w:rsidR="00D2562D" w:rsidRPr="00AA67D7">
        <w:rPr>
          <w:rFonts w:eastAsiaTheme="minorEastAsia"/>
          <w:spacing w:val="-4"/>
          <w:rtl/>
        </w:rPr>
        <w:t>29</w:t>
      </w:r>
      <w:r w:rsidR="00D2562D" w:rsidRPr="00261ADA">
        <w:rPr>
          <w:rFonts w:eastAsiaTheme="minorEastAsia"/>
          <w:spacing w:val="-4"/>
          <w:rtl/>
        </w:rPr>
        <w:t xml:space="preserve"> تموز/يوليه </w:t>
      </w:r>
      <w:r w:rsidR="00D2562D" w:rsidRPr="00AA67D7">
        <w:rPr>
          <w:rFonts w:eastAsiaTheme="minorEastAsia"/>
          <w:spacing w:val="-4"/>
          <w:rtl/>
        </w:rPr>
        <w:t>2016</w:t>
      </w:r>
      <w:r w:rsidR="00D2562D" w:rsidRPr="00261ADA">
        <w:rPr>
          <w:rFonts w:eastAsiaTheme="minorEastAsia"/>
          <w:spacing w:val="-4"/>
          <w:rtl/>
        </w:rPr>
        <w:t>، و</w:t>
      </w:r>
      <w:r w:rsidR="00D2562D" w:rsidRPr="00AA67D7">
        <w:rPr>
          <w:rFonts w:eastAsiaTheme="minorEastAsia"/>
          <w:spacing w:val="-4"/>
          <w:rtl/>
        </w:rPr>
        <w:t>12</w:t>
      </w:r>
      <w:r w:rsidR="00D2562D" w:rsidRPr="00261ADA">
        <w:rPr>
          <w:rFonts w:eastAsiaTheme="minorEastAsia"/>
          <w:spacing w:val="-4"/>
          <w:rtl/>
        </w:rPr>
        <w:t xml:space="preserve"> أيلول/</w:t>
      </w:r>
      <w:r>
        <w:rPr>
          <w:rFonts w:eastAsiaTheme="minorEastAsia" w:hint="cs"/>
          <w:spacing w:val="-4"/>
          <w:rtl/>
        </w:rPr>
        <w:t xml:space="preserve"> </w:t>
      </w:r>
      <w:r w:rsidR="00D2562D" w:rsidRPr="00261ADA">
        <w:rPr>
          <w:rFonts w:eastAsiaTheme="minorEastAsia"/>
          <w:spacing w:val="-4"/>
          <w:rtl/>
        </w:rPr>
        <w:t xml:space="preserve">سبتمبر </w:t>
      </w:r>
      <w:r w:rsidR="00D2562D" w:rsidRPr="00AA67D7">
        <w:rPr>
          <w:rFonts w:eastAsiaTheme="minorEastAsia"/>
          <w:spacing w:val="-4"/>
          <w:rtl/>
        </w:rPr>
        <w:t>2017</w:t>
      </w:r>
      <w:r w:rsidR="00D2562D" w:rsidRPr="00261ADA">
        <w:rPr>
          <w:rFonts w:eastAsiaTheme="minorEastAsia"/>
          <w:spacing w:val="-4"/>
          <w:rtl/>
        </w:rPr>
        <w:t>، و</w:t>
      </w:r>
      <w:r w:rsidR="00D2562D" w:rsidRPr="00AA67D7">
        <w:rPr>
          <w:rFonts w:eastAsiaTheme="minorEastAsia"/>
          <w:spacing w:val="-4"/>
          <w:rtl/>
        </w:rPr>
        <w:t>15</w:t>
      </w:r>
      <w:r w:rsidR="00D2562D" w:rsidRPr="00261ADA">
        <w:rPr>
          <w:rFonts w:eastAsiaTheme="minorEastAsia"/>
          <w:spacing w:val="-4"/>
          <w:rtl/>
        </w:rPr>
        <w:t xml:space="preserve"> كانون الثاني/يناير، و</w:t>
      </w:r>
      <w:r w:rsidR="00D2562D" w:rsidRPr="00AA67D7">
        <w:rPr>
          <w:rFonts w:eastAsiaTheme="minorEastAsia"/>
          <w:spacing w:val="-4"/>
          <w:rtl/>
        </w:rPr>
        <w:t>17</w:t>
      </w:r>
      <w:r w:rsidR="00D2562D" w:rsidRPr="00261ADA">
        <w:rPr>
          <w:rFonts w:eastAsiaTheme="minorEastAsia"/>
          <w:spacing w:val="-4"/>
          <w:rtl/>
        </w:rPr>
        <w:t xml:space="preserve"> أيلول/سبتمبر، و</w:t>
      </w:r>
      <w:r w:rsidR="00D2562D" w:rsidRPr="00AA67D7">
        <w:rPr>
          <w:rFonts w:eastAsiaTheme="minorEastAsia"/>
          <w:spacing w:val="-4"/>
          <w:rtl/>
        </w:rPr>
        <w:t>1</w:t>
      </w:r>
      <w:r w:rsidR="00D2562D" w:rsidRPr="00261ADA">
        <w:rPr>
          <w:rFonts w:eastAsiaTheme="minorEastAsia"/>
          <w:spacing w:val="-4"/>
          <w:rtl/>
        </w:rPr>
        <w:t xml:space="preserve"> تشرين الثاني/نوفمبر </w:t>
      </w:r>
      <w:r w:rsidR="00D2562D" w:rsidRPr="00AA67D7">
        <w:rPr>
          <w:rFonts w:eastAsiaTheme="minorEastAsia"/>
          <w:spacing w:val="-4"/>
          <w:rtl/>
        </w:rPr>
        <w:t>2018</w:t>
      </w:r>
      <w:r w:rsidR="00D2562D" w:rsidRPr="00261ADA">
        <w:rPr>
          <w:rFonts w:eastAsiaTheme="minorEastAsia"/>
          <w:spacing w:val="-4"/>
          <w:rtl/>
        </w:rPr>
        <w:t xml:space="preserve">؛ ومن إدارة تنفيذ العقوبات الجنائية في </w:t>
      </w:r>
      <w:r w:rsidR="00D2562D" w:rsidRPr="00AA67D7">
        <w:rPr>
          <w:rFonts w:eastAsiaTheme="minorEastAsia"/>
          <w:spacing w:val="-4"/>
          <w:rtl/>
        </w:rPr>
        <w:t>21</w:t>
      </w:r>
      <w:r w:rsidR="00D2562D" w:rsidRPr="00261ADA">
        <w:rPr>
          <w:rFonts w:eastAsiaTheme="minorEastAsia"/>
          <w:spacing w:val="-4"/>
          <w:rtl/>
        </w:rPr>
        <w:t xml:space="preserve"> شباط/فبراير </w:t>
      </w:r>
      <w:r w:rsidR="00D2562D" w:rsidRPr="00AA67D7">
        <w:rPr>
          <w:rFonts w:eastAsiaTheme="minorEastAsia"/>
          <w:spacing w:val="-4"/>
          <w:rtl/>
        </w:rPr>
        <w:t>2017</w:t>
      </w:r>
      <w:r w:rsidR="00D2562D" w:rsidRPr="00261ADA">
        <w:rPr>
          <w:rFonts w:eastAsiaTheme="minorEastAsia"/>
          <w:spacing w:val="-4"/>
          <w:rtl/>
        </w:rPr>
        <w:t xml:space="preserve">؛ ومن وزارة الدفاع في </w:t>
      </w:r>
      <w:r w:rsidR="00D2562D" w:rsidRPr="00AA67D7">
        <w:rPr>
          <w:rFonts w:eastAsiaTheme="minorEastAsia"/>
          <w:spacing w:val="-4"/>
          <w:rtl/>
        </w:rPr>
        <w:t>18</w:t>
      </w:r>
      <w:r w:rsidR="00D2562D" w:rsidRPr="00261ADA">
        <w:rPr>
          <w:rFonts w:eastAsiaTheme="minorEastAsia"/>
          <w:spacing w:val="-4"/>
          <w:rtl/>
        </w:rPr>
        <w:t xml:space="preserve"> أيلول/سبتمبر </w:t>
      </w:r>
      <w:r w:rsidR="00D2562D" w:rsidRPr="00AA67D7">
        <w:rPr>
          <w:rFonts w:eastAsiaTheme="minorEastAsia"/>
          <w:spacing w:val="-4"/>
          <w:rtl/>
        </w:rPr>
        <w:t>201</w:t>
      </w:r>
      <w:r w:rsidR="007954CB" w:rsidRPr="00AA67D7">
        <w:rPr>
          <w:rFonts w:eastAsiaTheme="minorEastAsia"/>
          <w:spacing w:val="-4"/>
          <w:rtl/>
        </w:rPr>
        <w:t>8</w:t>
      </w:r>
      <w:r w:rsidR="007954CB" w:rsidRPr="007954CB">
        <w:rPr>
          <w:rFonts w:eastAsiaTheme="minorEastAsia"/>
          <w:spacing w:val="-4"/>
          <w:rtl/>
        </w:rPr>
        <w:t>.</w:t>
      </w:r>
    </w:p>
    <w:p w14:paraId="7FC7E405" w14:textId="7AA3C869" w:rsidR="00D2562D" w:rsidRPr="00D2562D" w:rsidRDefault="00662AD5" w:rsidP="00D2562D">
      <w:pPr>
        <w:pStyle w:val="SingleTxtGA"/>
        <w:rPr>
          <w:rFonts w:eastAsiaTheme="minorEastAsia"/>
          <w:lang w:val="ar-SA" w:eastAsia="zh-TW" w:bidi="en-GB"/>
        </w:rPr>
      </w:pPr>
      <w:r w:rsidRPr="00662AD5">
        <w:rPr>
          <w:rFonts w:eastAsiaTheme="minorEastAsia"/>
          <w:spacing w:val="-4"/>
          <w:rtl/>
        </w:rPr>
        <w:tab/>
      </w:r>
      <w:r w:rsidR="00D2562D" w:rsidRPr="00662AD5">
        <w:rPr>
          <w:rFonts w:eastAsiaTheme="minorEastAsia"/>
          <w:spacing w:val="-4"/>
          <w:rtl/>
        </w:rPr>
        <w:t xml:space="preserve">وعملاً بحكم محكمة زانجيوتا الإقليمية الصادر في </w:t>
      </w:r>
      <w:r w:rsidR="00D2562D" w:rsidRPr="00AA67D7">
        <w:rPr>
          <w:rFonts w:eastAsiaTheme="minorEastAsia"/>
          <w:spacing w:val="-4"/>
          <w:rtl/>
        </w:rPr>
        <w:t>13</w:t>
      </w:r>
      <w:r w:rsidR="00D2562D" w:rsidRPr="00662AD5">
        <w:rPr>
          <w:rFonts w:eastAsiaTheme="minorEastAsia"/>
          <w:spacing w:val="-4"/>
          <w:rtl/>
        </w:rPr>
        <w:t xml:space="preserve"> شباط/فبراير </w:t>
      </w:r>
      <w:r w:rsidR="00D2562D" w:rsidRPr="00AA67D7">
        <w:rPr>
          <w:rFonts w:eastAsiaTheme="minorEastAsia"/>
          <w:spacing w:val="-4"/>
          <w:rtl/>
        </w:rPr>
        <w:t>2019</w:t>
      </w:r>
      <w:r w:rsidR="00D2562D" w:rsidRPr="00662AD5">
        <w:rPr>
          <w:rFonts w:eastAsiaTheme="minorEastAsia"/>
          <w:spacing w:val="-4"/>
          <w:rtl/>
        </w:rPr>
        <w:t>، نُقل السيد إسماعيلوف</w:t>
      </w:r>
      <w:r w:rsidR="00D2562D" w:rsidRPr="00D2562D">
        <w:rPr>
          <w:rFonts w:eastAsiaTheme="minorEastAsia"/>
          <w:rtl/>
        </w:rPr>
        <w:t xml:space="preserve"> إلى سجن مخفَّف الحراسة، يشار إليه بأنه مستوطنة/إقامة، لقضاء ما تبقى من عقوبته، حيث تعرض من جديد مراراً وتكراراً لعقوبات تأديبية بسبب خرقه المزعوم للقواعد الداخلية.</w:t>
      </w:r>
    </w:p>
    <w:p w14:paraId="328390B9" w14:textId="784C5BE0" w:rsidR="00D2562D" w:rsidRPr="00D2562D" w:rsidRDefault="00662AD5"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وتدفع صاحبة البلاغ بأن السيد إسماعيلوف غير مؤهل للحصول على عفو رئاسي، لأن أحد الشروط الإلزامية لهذا العفو هو اعتراف الشخص المدان بالذنب والتنازل عن أي مطالب بإعادة النظر في قضيته الجنائية في المستقبل. ويرفض السيد إسماعيلوف الاعتراف بجريمة لم يرتكبها.</w:t>
      </w:r>
    </w:p>
    <w:p w14:paraId="7C53DB40" w14:textId="7A448A06"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 xml:space="preserve">المعلومات المقدمة من الدولة الطرف: </w:t>
      </w:r>
      <w:r w:rsidRPr="00AA67D7">
        <w:rPr>
          <w:rFonts w:eastAsiaTheme="minorEastAsia"/>
          <w:rtl/>
        </w:rPr>
        <w:t>20</w:t>
      </w:r>
      <w:r w:rsidRPr="00D2562D">
        <w:rPr>
          <w:rFonts w:eastAsiaTheme="minorEastAsia"/>
          <w:rtl/>
        </w:rPr>
        <w:t xml:space="preserve"> آب/أغسطس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6"/>
      </w:r>
      <w:r w:rsidRPr="00D2562D">
        <w:rPr>
          <w:rStyle w:val="FootnoteReference"/>
          <w:rFonts w:eastAsiaTheme="minorEastAsia"/>
          <w:sz w:val="22"/>
          <w:rtl/>
        </w:rPr>
        <w:t>)</w:t>
      </w:r>
    </w:p>
    <w:p w14:paraId="380F227B" w14:textId="43CA842E" w:rsidR="00D2562D" w:rsidRPr="00D2562D" w:rsidRDefault="00261ADA" w:rsidP="00D2562D">
      <w:pPr>
        <w:pStyle w:val="SingleTxtGA"/>
        <w:rPr>
          <w:rFonts w:eastAsiaTheme="minorEastAsia"/>
          <w:lang w:val="ar-SA" w:eastAsia="zh-TW" w:bidi="en-GB"/>
        </w:rPr>
      </w:pPr>
      <w:r>
        <w:rPr>
          <w:rFonts w:eastAsiaTheme="minorEastAsia"/>
          <w:rtl/>
        </w:rPr>
        <w:lastRenderedPageBreak/>
        <w:tab/>
      </w:r>
      <w:r w:rsidR="00D2562D" w:rsidRPr="00D2562D">
        <w:rPr>
          <w:rFonts w:eastAsiaTheme="minorEastAsia"/>
          <w:rtl/>
        </w:rPr>
        <w:t xml:space="preserve">فيما يتعلق بإمكانية إعادة المحاكمة في قضية السيد إسماعيلوف، تقدم الدولة الطرف شرحاً مفصلاً لطرائق إجراء المراجعة القضائية الرقابية عملاً بالمادة </w:t>
      </w:r>
      <w:r w:rsidR="00D2562D" w:rsidRPr="00AA67D7">
        <w:rPr>
          <w:rFonts w:eastAsiaTheme="minorEastAsia"/>
          <w:rtl/>
        </w:rPr>
        <w:t>510</w:t>
      </w:r>
      <w:r w:rsidR="00D2562D" w:rsidRPr="00D2562D">
        <w:rPr>
          <w:rFonts w:eastAsiaTheme="minorEastAsia"/>
          <w:rtl/>
        </w:rPr>
        <w:t xml:space="preserve"> من قانون الإجراءات الجنائية، وتدفع بأن سبيل الانتصاف المحلي هذا لا يزال متاحاً له.</w:t>
      </w:r>
    </w:p>
    <w:p w14:paraId="37AAA8D1" w14:textId="1EB35D0D"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وتذكّر الدولة الطرف بأن السيد إسماعيلوف أدين بارتكاب جرائم بموجب المادة </w:t>
      </w:r>
      <w:r w:rsidR="00D2562D" w:rsidRPr="00AA67D7">
        <w:rPr>
          <w:rFonts w:eastAsiaTheme="minorEastAsia"/>
          <w:rtl/>
        </w:rPr>
        <w:t>157</w:t>
      </w:r>
      <w:r w:rsidR="00D2562D" w:rsidRPr="00D2562D">
        <w:rPr>
          <w:rFonts w:eastAsiaTheme="minorEastAsia"/>
          <w:rtl/>
        </w:rPr>
        <w:t>(</w:t>
      </w:r>
      <w:r w:rsidR="007954CB" w:rsidRPr="00AA67D7">
        <w:rPr>
          <w:rFonts w:eastAsiaTheme="minorEastAsia"/>
          <w:rtl/>
        </w:rPr>
        <w:t>1</w:t>
      </w:r>
      <w:r w:rsidR="007954CB" w:rsidRPr="007954CB">
        <w:rPr>
          <w:rFonts w:eastAsiaTheme="minorEastAsia"/>
          <w:rtl/>
        </w:rPr>
        <w:t xml:space="preserve">) </w:t>
      </w:r>
      <w:r w:rsidR="00D2562D" w:rsidRPr="00D2562D">
        <w:rPr>
          <w:rFonts w:eastAsiaTheme="minorEastAsia"/>
          <w:rtl/>
        </w:rPr>
        <w:t>(الخيانة) و</w:t>
      </w:r>
      <w:r w:rsidR="00D2562D" w:rsidRPr="00AA67D7">
        <w:rPr>
          <w:rFonts w:eastAsiaTheme="minorEastAsia"/>
          <w:rtl/>
        </w:rPr>
        <w:t>248</w:t>
      </w:r>
      <w:r w:rsidR="00D2562D" w:rsidRPr="00D2562D">
        <w:rPr>
          <w:rFonts w:eastAsiaTheme="minorEastAsia"/>
          <w:rtl/>
        </w:rPr>
        <w:t>(</w:t>
      </w:r>
      <w:r w:rsidR="007954CB" w:rsidRPr="00AA67D7">
        <w:rPr>
          <w:rFonts w:eastAsiaTheme="minorEastAsia"/>
          <w:rtl/>
        </w:rPr>
        <w:t>1</w:t>
      </w:r>
      <w:r w:rsidR="007954CB" w:rsidRPr="007954CB">
        <w:rPr>
          <w:rFonts w:eastAsiaTheme="minorEastAsia"/>
          <w:rtl/>
        </w:rPr>
        <w:t xml:space="preserve">) </w:t>
      </w:r>
      <w:r w:rsidR="00D2562D" w:rsidRPr="00D2562D">
        <w:rPr>
          <w:rFonts w:eastAsiaTheme="minorEastAsia"/>
          <w:rtl/>
        </w:rPr>
        <w:t>(تخزين الذخيرة بصورة غير مشروعة) من القانون الجنائي وحكم عليه بالسجن لمدة</w:t>
      </w:r>
      <w:r>
        <w:rPr>
          <w:rFonts w:eastAsiaTheme="minorEastAsia" w:hint="cs"/>
          <w:rtl/>
        </w:rPr>
        <w:t> </w:t>
      </w:r>
      <w:r w:rsidR="00D2562D" w:rsidRPr="00AA67D7">
        <w:rPr>
          <w:rFonts w:eastAsiaTheme="minorEastAsia"/>
          <w:rtl/>
        </w:rPr>
        <w:t>20</w:t>
      </w:r>
      <w:r w:rsidR="00D2562D" w:rsidRPr="00D2562D">
        <w:rPr>
          <w:rFonts w:eastAsiaTheme="minorEastAsia"/>
          <w:rtl/>
        </w:rPr>
        <w:t xml:space="preserve"> سنة. وحيث ثبت أن السيد إسماعيلوف لم يبرأ ولم يُعد تأهيله عملاً بالمادة </w:t>
      </w:r>
      <w:r w:rsidR="00D2562D" w:rsidRPr="00AA67D7">
        <w:rPr>
          <w:rFonts w:eastAsiaTheme="minorEastAsia"/>
          <w:rtl/>
        </w:rPr>
        <w:t>301</w:t>
      </w:r>
      <w:r w:rsidR="00D2562D" w:rsidRPr="00D2562D">
        <w:rPr>
          <w:rFonts w:eastAsiaTheme="minorEastAsia"/>
          <w:rtl/>
        </w:rPr>
        <w:t xml:space="preserve"> من قانون</w:t>
      </w:r>
      <w:r w:rsidR="00383F67">
        <w:rPr>
          <w:rFonts w:eastAsiaTheme="minorEastAsia" w:hint="cs"/>
          <w:rtl/>
        </w:rPr>
        <w:t> </w:t>
      </w:r>
      <w:r w:rsidR="00D2562D" w:rsidRPr="00D2562D">
        <w:rPr>
          <w:rFonts w:eastAsiaTheme="minorEastAsia"/>
          <w:rtl/>
        </w:rPr>
        <w:t xml:space="preserve">الإجراءات الجنائية، فليس هناك ما يبرر دفع تعويض إليه على أساس الإجراء المنصوص عليه في المادة </w:t>
      </w:r>
      <w:r w:rsidR="00D2562D" w:rsidRPr="00AA67D7">
        <w:rPr>
          <w:rFonts w:eastAsiaTheme="minorEastAsia"/>
          <w:rtl/>
        </w:rPr>
        <w:t>304</w:t>
      </w:r>
      <w:r w:rsidR="00D2562D" w:rsidRPr="00D2562D">
        <w:rPr>
          <w:rFonts w:eastAsiaTheme="minorEastAsia"/>
          <w:rtl/>
        </w:rPr>
        <w:t xml:space="preserve"> من هذا القانون. وعليه، لا توجد أيضاً أسباب تدعو الدولة الطرف إلى الامتثال لآراء اللجنة فيما يتعلق بتقديم الجبر والتعويض المناسبين.</w:t>
      </w:r>
    </w:p>
    <w:p w14:paraId="291B357D" w14:textId="4A999FDE"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 xml:space="preserve">المعلومات المقدمة من صاحبة البلاغ: </w:t>
      </w:r>
      <w:r w:rsidRPr="00AA67D7">
        <w:rPr>
          <w:rFonts w:eastAsiaTheme="minorEastAsia"/>
          <w:rtl/>
        </w:rPr>
        <w:t>12</w:t>
      </w:r>
      <w:r w:rsidRPr="00D2562D">
        <w:rPr>
          <w:rFonts w:eastAsiaTheme="minorEastAsia"/>
          <w:rtl/>
        </w:rPr>
        <w:t xml:space="preserve"> تشرين الأول/أكتوبر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7"/>
      </w:r>
      <w:r w:rsidRPr="00D2562D">
        <w:rPr>
          <w:rStyle w:val="FootnoteReference"/>
          <w:rFonts w:eastAsiaTheme="minorEastAsia"/>
          <w:sz w:val="22"/>
          <w:rtl/>
        </w:rPr>
        <w:t>)</w:t>
      </w:r>
      <w:r w:rsidRPr="00D2562D">
        <w:rPr>
          <w:rFonts w:eastAsiaTheme="minorEastAsia"/>
          <w:rtl/>
        </w:rPr>
        <w:t>و</w:t>
      </w:r>
      <w:r w:rsidRPr="00AA67D7">
        <w:rPr>
          <w:rFonts w:eastAsiaTheme="minorEastAsia"/>
          <w:rtl/>
        </w:rPr>
        <w:t>19</w:t>
      </w:r>
      <w:r w:rsidRPr="00D2562D">
        <w:rPr>
          <w:rFonts w:eastAsiaTheme="minorEastAsia"/>
          <w:rtl/>
        </w:rPr>
        <w:t xml:space="preserve"> شباط/فبراير </w:t>
      </w:r>
      <w:r w:rsidRPr="00AA67D7">
        <w:rPr>
          <w:rFonts w:eastAsiaTheme="minorEastAsia"/>
          <w:rtl/>
        </w:rPr>
        <w:t>2020</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8"/>
      </w:r>
      <w:r w:rsidRPr="00D2562D">
        <w:rPr>
          <w:rStyle w:val="FootnoteReference"/>
          <w:rFonts w:eastAsiaTheme="minorEastAsia"/>
          <w:sz w:val="22"/>
          <w:rtl/>
        </w:rPr>
        <w:t>)</w:t>
      </w:r>
    </w:p>
    <w:p w14:paraId="13DFD4E7" w14:textId="1BEF406E"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تدفع صاحبة البلاغ بأنها تلتمس إعادة النظر في قضية السيد إسماعيلوف الجنائية من قبل السلطات المحلية منذ عام </w:t>
      </w:r>
      <w:r w:rsidR="00D2562D" w:rsidRPr="00AA67D7">
        <w:rPr>
          <w:rFonts w:eastAsiaTheme="minorEastAsia"/>
          <w:rtl/>
        </w:rPr>
        <w:t>2007</w:t>
      </w:r>
      <w:r w:rsidR="00D2562D" w:rsidRPr="00D2562D">
        <w:rPr>
          <w:rFonts w:eastAsiaTheme="minorEastAsia"/>
          <w:rtl/>
        </w:rPr>
        <w:t xml:space="preserve">، ولكن من دون جدوى. وفي كانون الثاني/يناير </w:t>
      </w:r>
      <w:r w:rsidR="00D2562D" w:rsidRPr="00AA67D7">
        <w:rPr>
          <w:rFonts w:eastAsiaTheme="minorEastAsia"/>
          <w:rtl/>
        </w:rPr>
        <w:t>2019</w:t>
      </w:r>
      <w:r w:rsidR="00D2562D" w:rsidRPr="00D2562D">
        <w:rPr>
          <w:rFonts w:eastAsiaTheme="minorEastAsia"/>
          <w:rtl/>
        </w:rPr>
        <w:t xml:space="preserve">، قبلت المحكمة </w:t>
      </w:r>
      <w:r w:rsidR="00D2562D" w:rsidRPr="00142AB1">
        <w:rPr>
          <w:rFonts w:eastAsiaTheme="minorEastAsia"/>
          <w:spacing w:val="-4"/>
          <w:rtl/>
        </w:rPr>
        <w:t xml:space="preserve">العليا النظر في قضيته مرة أخرى بموجب المراجعة القضائية الرقابية. ومع ذلك، في </w:t>
      </w:r>
      <w:r w:rsidR="00D2562D" w:rsidRPr="00AA67D7">
        <w:rPr>
          <w:rFonts w:eastAsiaTheme="minorEastAsia"/>
          <w:spacing w:val="-4"/>
          <w:rtl/>
        </w:rPr>
        <w:t>15</w:t>
      </w:r>
      <w:r w:rsidR="00D2562D" w:rsidRPr="00142AB1">
        <w:rPr>
          <w:rFonts w:eastAsiaTheme="minorEastAsia"/>
          <w:spacing w:val="-4"/>
          <w:rtl/>
        </w:rPr>
        <w:t xml:space="preserve"> أيلول/سبتمبر </w:t>
      </w:r>
      <w:r w:rsidR="00D2562D" w:rsidRPr="00AA67D7">
        <w:rPr>
          <w:rFonts w:eastAsiaTheme="minorEastAsia"/>
          <w:spacing w:val="-4"/>
          <w:rtl/>
        </w:rPr>
        <w:t>2019</w:t>
      </w:r>
      <w:r w:rsidR="00D2562D" w:rsidRPr="00142AB1">
        <w:rPr>
          <w:rFonts w:eastAsiaTheme="minorEastAsia"/>
          <w:spacing w:val="-4"/>
          <w:rtl/>
        </w:rPr>
        <w:t>،</w:t>
      </w:r>
      <w:r w:rsidR="00D2562D" w:rsidRPr="00D2562D">
        <w:rPr>
          <w:rFonts w:eastAsiaTheme="minorEastAsia"/>
          <w:rtl/>
        </w:rPr>
        <w:t xml:space="preserve"> قررت المحكمة العليا أنه لا توجد أسباب تبرر إعادة النظر في قضيته. وتضيف صاحبة البلاغ أنه على الرغم من الردود الشكلية التي تلقتها من السلطات والمحاكم المحلية على طعونها وشكاواها العديدة، فإن قضية السيد إسماعيلوف لا تزال فعلياً غير مدروسة من حيث أسسها الموضوعية، خلافاً لتوصية اللجنة الواردة في آرائها. وتشير بوجه خاص إلى الردود الواردة من مكتب المدعي العام العسكري لأوزبكستان في</w:t>
      </w:r>
      <w:r w:rsidR="00142AB1">
        <w:rPr>
          <w:rFonts w:eastAsiaTheme="minorEastAsia" w:hint="cs"/>
          <w:rtl/>
        </w:rPr>
        <w:t> </w:t>
      </w:r>
      <w:r w:rsidR="00D2562D" w:rsidRPr="00AA67D7">
        <w:rPr>
          <w:rFonts w:eastAsiaTheme="minorEastAsia"/>
          <w:rtl/>
        </w:rPr>
        <w:t>29</w:t>
      </w:r>
      <w:r w:rsidR="00D2562D" w:rsidRPr="00D2562D">
        <w:rPr>
          <w:rFonts w:eastAsiaTheme="minorEastAsia"/>
          <w:rtl/>
        </w:rPr>
        <w:t xml:space="preserve"> آب/أغسطس </w:t>
      </w:r>
      <w:r w:rsidR="00D2562D" w:rsidRPr="00AA67D7">
        <w:rPr>
          <w:rFonts w:eastAsiaTheme="minorEastAsia"/>
          <w:rtl/>
        </w:rPr>
        <w:t>2018</w:t>
      </w:r>
      <w:r w:rsidR="00D2562D" w:rsidRPr="00D2562D">
        <w:rPr>
          <w:rFonts w:eastAsiaTheme="minorEastAsia"/>
          <w:rtl/>
        </w:rPr>
        <w:t xml:space="preserve"> و</w:t>
      </w:r>
      <w:r w:rsidR="00D2562D" w:rsidRPr="00AA67D7">
        <w:rPr>
          <w:rFonts w:eastAsiaTheme="minorEastAsia"/>
          <w:rtl/>
        </w:rPr>
        <w:t>15</w:t>
      </w:r>
      <w:r w:rsidR="00D2562D" w:rsidRPr="00D2562D">
        <w:rPr>
          <w:rFonts w:eastAsiaTheme="minorEastAsia"/>
          <w:rtl/>
        </w:rPr>
        <w:t xml:space="preserve"> آذار/مارس و</w:t>
      </w:r>
      <w:r w:rsidR="00D2562D" w:rsidRPr="00AA67D7">
        <w:rPr>
          <w:rFonts w:eastAsiaTheme="minorEastAsia"/>
          <w:rtl/>
        </w:rPr>
        <w:t>6</w:t>
      </w:r>
      <w:r w:rsidR="00D2562D" w:rsidRPr="00D2562D">
        <w:rPr>
          <w:rFonts w:eastAsiaTheme="minorEastAsia"/>
          <w:rtl/>
        </w:rPr>
        <w:t xml:space="preserve"> أيار/مايو و</w:t>
      </w:r>
      <w:r w:rsidR="00D2562D" w:rsidRPr="00AA67D7">
        <w:rPr>
          <w:rFonts w:eastAsiaTheme="minorEastAsia"/>
          <w:rtl/>
        </w:rPr>
        <w:t>21</w:t>
      </w:r>
      <w:r w:rsidR="00D2562D" w:rsidRPr="00D2562D">
        <w:rPr>
          <w:rFonts w:eastAsiaTheme="minorEastAsia"/>
          <w:rtl/>
        </w:rPr>
        <w:t xml:space="preserve"> حزيران/يونيه </w:t>
      </w:r>
      <w:r w:rsidR="00D2562D" w:rsidRPr="00AA67D7">
        <w:rPr>
          <w:rFonts w:eastAsiaTheme="minorEastAsia"/>
          <w:rtl/>
        </w:rPr>
        <w:t>2019</w:t>
      </w:r>
      <w:r w:rsidR="00D2562D" w:rsidRPr="00D2562D">
        <w:rPr>
          <w:rFonts w:eastAsiaTheme="minorEastAsia"/>
          <w:rtl/>
        </w:rPr>
        <w:t xml:space="preserve">، ومن مكتب المدعي العام في </w:t>
      </w:r>
      <w:r w:rsidR="00D2562D" w:rsidRPr="00AA67D7">
        <w:rPr>
          <w:rFonts w:eastAsiaTheme="minorEastAsia"/>
          <w:rtl/>
        </w:rPr>
        <w:t>9</w:t>
      </w:r>
      <w:r w:rsidR="00D2562D" w:rsidRPr="00D2562D">
        <w:rPr>
          <w:rFonts w:eastAsiaTheme="minorEastAsia"/>
          <w:rtl/>
        </w:rPr>
        <w:t xml:space="preserve"> آذار/مارس و</w:t>
      </w:r>
      <w:r w:rsidR="00D2562D" w:rsidRPr="00AA67D7">
        <w:rPr>
          <w:rFonts w:eastAsiaTheme="minorEastAsia"/>
          <w:rtl/>
        </w:rPr>
        <w:t>22</w:t>
      </w:r>
      <w:r w:rsidR="00D2562D" w:rsidRPr="00D2562D">
        <w:rPr>
          <w:rFonts w:eastAsiaTheme="minorEastAsia"/>
          <w:rtl/>
        </w:rPr>
        <w:t xml:space="preserve"> نيسان/أبريل و</w:t>
      </w:r>
      <w:r w:rsidR="00D2562D" w:rsidRPr="00AA67D7">
        <w:rPr>
          <w:rFonts w:eastAsiaTheme="minorEastAsia"/>
          <w:rtl/>
        </w:rPr>
        <w:t>17</w:t>
      </w:r>
      <w:r w:rsidR="00D2562D" w:rsidRPr="00D2562D">
        <w:rPr>
          <w:rFonts w:eastAsiaTheme="minorEastAsia"/>
          <w:rtl/>
        </w:rPr>
        <w:t xml:space="preserve"> حزيران/يونيه </w:t>
      </w:r>
      <w:r w:rsidR="00D2562D" w:rsidRPr="00AA67D7">
        <w:rPr>
          <w:rFonts w:eastAsiaTheme="minorEastAsia"/>
          <w:rtl/>
        </w:rPr>
        <w:t>201</w:t>
      </w:r>
      <w:r w:rsidR="007954CB" w:rsidRPr="00AA67D7">
        <w:rPr>
          <w:rFonts w:eastAsiaTheme="minorEastAsia"/>
          <w:rtl/>
        </w:rPr>
        <w:t>9</w:t>
      </w:r>
      <w:r w:rsidR="007954CB" w:rsidRPr="007954CB">
        <w:rPr>
          <w:rFonts w:eastAsiaTheme="minorEastAsia"/>
          <w:rtl/>
        </w:rPr>
        <w:t xml:space="preserve">. </w:t>
      </w:r>
      <w:r w:rsidR="00D2562D" w:rsidRPr="00D2562D">
        <w:rPr>
          <w:rFonts w:eastAsiaTheme="minorEastAsia"/>
          <w:rtl/>
        </w:rPr>
        <w:t>وتلاحظ أيضاً أوجه عدم الاتساق في الردود الواردة من السلطات والمحاكم المحلية فيما يتعلق بقضيته.</w:t>
      </w:r>
    </w:p>
    <w:p w14:paraId="0CF76941" w14:textId="0DDC8AD1"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وبالإشارة إلى المادة </w:t>
      </w:r>
      <w:r w:rsidR="00D2562D" w:rsidRPr="00AA67D7">
        <w:rPr>
          <w:rFonts w:eastAsiaTheme="minorEastAsia"/>
          <w:rtl/>
        </w:rPr>
        <w:t>302</w:t>
      </w:r>
      <w:r w:rsidR="00D2562D" w:rsidRPr="00D2562D">
        <w:rPr>
          <w:rFonts w:eastAsiaTheme="minorEastAsia"/>
          <w:rtl/>
        </w:rPr>
        <w:t xml:space="preserve"> من قانون الإجراءات الجنائية، تؤكد صاحبة البلاغ أنه من المستحيل أن يحصل السيد إسماعيلوف على تعويض عن انتهاك حقوقه الذي خلصت إليه اللجنة في آرائها، لأن الدولة الطرف لا تزال تعتبره مجرماً مداناً. واستناداً إلى ملاحظات الدولة الطرف، تخلص صاحبة البلاغ إلى أنها لا تعتزم تنفيذ أي من آراء اللجنة وأنها لن تمتثل لها إلا إذا برأت محاكم الدولة الطرف الأفراد المعنيين. ومع ذلك، وعلى الرغم من الأدلة القاطعة التي قدمها محامو السيد إسماعيلوف إلى السلطات والمحاكم المحلية والتي تثبت عدم وجود ركن مادي في أفعاله، فإن جميع المحاولات الرامية إلى تبرئة السيد إسماعيلوف باءت بالفشل.</w:t>
      </w:r>
    </w:p>
    <w:p w14:paraId="0A8D9318" w14:textId="30FD71BD" w:rsidR="00D2562D" w:rsidRPr="00D2562D" w:rsidRDefault="00261ADA"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وتشدد صاحبة البلاغ على أهمية التزام الدولة الطرف بالامتثال لآراء اللجنة، وتوجه انتباه اللجنة</w:t>
      </w:r>
      <w:r>
        <w:rPr>
          <w:rFonts w:eastAsiaTheme="minorEastAsia" w:hint="cs"/>
          <w:rtl/>
        </w:rPr>
        <w:t> </w:t>
      </w:r>
      <w:r w:rsidR="00D2562D" w:rsidRPr="00D2562D">
        <w:rPr>
          <w:rFonts w:eastAsiaTheme="minorEastAsia"/>
          <w:rtl/>
        </w:rPr>
        <w:t xml:space="preserve">إلى مسألة حياد المحاكم المحلية بالإشارة إلى الملاحظات الأولية التي أبداها المقرر الخاص المعني باستقلال القضاة والمحامين خلال زيارته الرسمية إلى أوزبكستان في الفترة من </w:t>
      </w:r>
      <w:r w:rsidR="00D2562D" w:rsidRPr="00AA67D7">
        <w:rPr>
          <w:rFonts w:eastAsiaTheme="minorEastAsia"/>
          <w:rtl/>
        </w:rPr>
        <w:t>19</w:t>
      </w:r>
      <w:r w:rsidR="00D2562D" w:rsidRPr="00D2562D">
        <w:rPr>
          <w:rFonts w:eastAsiaTheme="minorEastAsia"/>
          <w:rtl/>
        </w:rPr>
        <w:t xml:space="preserve"> إلى </w:t>
      </w:r>
      <w:r w:rsidR="00D2562D" w:rsidRPr="00AA67D7">
        <w:rPr>
          <w:rFonts w:eastAsiaTheme="minorEastAsia"/>
          <w:rtl/>
        </w:rPr>
        <w:t>25</w:t>
      </w:r>
      <w:r w:rsidR="00D2562D" w:rsidRPr="00D2562D">
        <w:rPr>
          <w:rFonts w:eastAsiaTheme="minorEastAsia"/>
          <w:rtl/>
        </w:rPr>
        <w:t xml:space="preserve"> أيلول/</w:t>
      </w:r>
      <w:r>
        <w:rPr>
          <w:rFonts w:eastAsiaTheme="minorEastAsia" w:hint="cs"/>
          <w:rtl/>
        </w:rPr>
        <w:t xml:space="preserve"> </w:t>
      </w:r>
      <w:r w:rsidR="00D2562D" w:rsidRPr="00D2562D">
        <w:rPr>
          <w:rFonts w:eastAsiaTheme="minorEastAsia"/>
          <w:rtl/>
        </w:rPr>
        <w:t>سبتمبر</w:t>
      </w:r>
      <w:r w:rsidR="00DA4A3A">
        <w:rPr>
          <w:rFonts w:eastAsiaTheme="minorEastAsia" w:hint="cs"/>
          <w:rtl/>
        </w:rPr>
        <w:t> </w:t>
      </w:r>
      <w:r w:rsidR="00D2562D"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29"/>
      </w:r>
      <w:r w:rsidR="007954CB" w:rsidRPr="007954CB">
        <w:rPr>
          <w:rStyle w:val="FootnoteReference"/>
          <w:rFonts w:eastAsiaTheme="minorEastAsia"/>
          <w:sz w:val="22"/>
          <w:rtl/>
        </w:rPr>
        <w:t>)</w:t>
      </w:r>
      <w:r w:rsidR="007954CB" w:rsidRPr="007954CB">
        <w:rPr>
          <w:rFonts w:eastAsiaTheme="minorEastAsia"/>
          <w:rtl/>
        </w:rPr>
        <w:t xml:space="preserve">. </w:t>
      </w:r>
      <w:r w:rsidR="00D2562D" w:rsidRPr="00D2562D">
        <w:rPr>
          <w:rFonts w:eastAsiaTheme="minorEastAsia"/>
          <w:rtl/>
        </w:rPr>
        <w:t>وقد وُجه انتباه المقرر الخاص إلى حالة السيد إسماعيلوف أثناء زيارته. وتطلب صاحبة البلاغ مساعدة اللجنة في تيسير تنفيذ الدولة الطرف لآرائها.</w:t>
      </w:r>
    </w:p>
    <w:p w14:paraId="61F5ABE8" w14:textId="7D29EC54" w:rsidR="007954CB" w:rsidRPr="007954CB" w:rsidRDefault="00261ADA" w:rsidP="00DA4A3A">
      <w:pPr>
        <w:pStyle w:val="SingleTxtGA"/>
        <w:tabs>
          <w:tab w:val="right" w:pos="7654"/>
        </w:tabs>
        <w:spacing w:line="380" w:lineRule="exact"/>
        <w:rPr>
          <w:rFonts w:eastAsiaTheme="minorEastAsia"/>
          <w:lang w:val="ar-SA" w:eastAsia="zh-TW" w:bidi="en-GB"/>
        </w:rPr>
      </w:pPr>
      <w:r>
        <w:rPr>
          <w:rFonts w:eastAsiaTheme="minorEastAsia"/>
          <w:rtl/>
        </w:rPr>
        <w:lastRenderedPageBreak/>
        <w:tab/>
      </w:r>
      <w:r w:rsidR="00D2562D" w:rsidRPr="00D2562D">
        <w:rPr>
          <w:rFonts w:eastAsiaTheme="minorEastAsia"/>
          <w:rtl/>
        </w:rPr>
        <w:t xml:space="preserve">وفي </w:t>
      </w:r>
      <w:r w:rsidR="00D2562D" w:rsidRPr="00AA67D7">
        <w:rPr>
          <w:rFonts w:eastAsiaTheme="minorEastAsia"/>
          <w:rtl/>
        </w:rPr>
        <w:t>19</w:t>
      </w:r>
      <w:r w:rsidR="00D2562D" w:rsidRPr="00D2562D">
        <w:rPr>
          <w:rFonts w:eastAsiaTheme="minorEastAsia"/>
          <w:rtl/>
        </w:rPr>
        <w:t xml:space="preserve"> شباط/فبراير </w:t>
      </w:r>
      <w:r w:rsidR="00D2562D" w:rsidRPr="00AA67D7">
        <w:rPr>
          <w:rFonts w:eastAsiaTheme="minorEastAsia"/>
          <w:rtl/>
        </w:rPr>
        <w:t>2020</w:t>
      </w:r>
      <w:r w:rsidR="00D2562D" w:rsidRPr="00D2562D">
        <w:rPr>
          <w:rFonts w:eastAsiaTheme="minorEastAsia"/>
          <w:rtl/>
        </w:rPr>
        <w:t xml:space="preserve">، أبلغت صاحبة البلاغ اللجنة بأن الهيئة القضائية التابعة للمحكمة العليا نظرت في قضية السيد إسماعيلوف في كانون الثاني/يناير </w:t>
      </w:r>
      <w:r w:rsidR="00D2562D" w:rsidRPr="00AA67D7">
        <w:rPr>
          <w:rFonts w:eastAsiaTheme="minorEastAsia"/>
          <w:rtl/>
        </w:rPr>
        <w:t>2020</w:t>
      </w:r>
      <w:r w:rsidR="00D2562D" w:rsidRPr="00D2562D">
        <w:rPr>
          <w:rFonts w:eastAsiaTheme="minorEastAsia"/>
          <w:rtl/>
        </w:rPr>
        <w:t xml:space="preserve"> بموجب المراجعة القضائية الرقابية، على أساس طلب الشروع في هذه المراجعة الذي قدمه محامي السيد إسماعيلوف وما يسمى بالتماس الاحتجاج الذي قدمه رئيس المحكمة العليا في </w:t>
      </w:r>
      <w:r w:rsidR="00D2562D" w:rsidRPr="00AA67D7">
        <w:rPr>
          <w:rFonts w:eastAsiaTheme="minorEastAsia"/>
          <w:rtl/>
        </w:rPr>
        <w:t>19</w:t>
      </w:r>
      <w:r w:rsidR="00D2562D" w:rsidRPr="00D2562D">
        <w:rPr>
          <w:rFonts w:eastAsiaTheme="minorEastAsia"/>
          <w:rtl/>
        </w:rPr>
        <w:t xml:space="preserve"> كانون الأول/ديسمبر </w:t>
      </w:r>
      <w:r w:rsidR="00D2562D" w:rsidRPr="00AA67D7">
        <w:rPr>
          <w:rFonts w:eastAsiaTheme="minorEastAsia"/>
          <w:rtl/>
        </w:rPr>
        <w:t>201</w:t>
      </w:r>
      <w:r w:rsidR="007954CB" w:rsidRPr="00AA67D7">
        <w:rPr>
          <w:rFonts w:eastAsiaTheme="minorEastAsia"/>
          <w:rtl/>
        </w:rPr>
        <w:t>9</w:t>
      </w:r>
      <w:r w:rsidR="007954CB" w:rsidRPr="007954CB">
        <w:rPr>
          <w:rFonts w:eastAsiaTheme="minorEastAsia"/>
          <w:rtl/>
        </w:rPr>
        <w:t>.</w:t>
      </w:r>
    </w:p>
    <w:p w14:paraId="59F6D44E" w14:textId="299EC438" w:rsidR="00D2562D" w:rsidRPr="00D2562D" w:rsidRDefault="00261ADA" w:rsidP="00546212">
      <w:pPr>
        <w:pStyle w:val="SingleTxtGA"/>
        <w:spacing w:line="380" w:lineRule="exact"/>
        <w:rPr>
          <w:rFonts w:eastAsiaTheme="minorEastAsia"/>
          <w:lang w:val="ar-SA" w:eastAsia="zh-TW" w:bidi="en-GB"/>
        </w:rPr>
      </w:pPr>
      <w:r>
        <w:rPr>
          <w:rFonts w:eastAsiaTheme="minorEastAsia"/>
          <w:rtl/>
        </w:rPr>
        <w:tab/>
      </w:r>
      <w:r w:rsidR="00D2562D" w:rsidRPr="00D2562D">
        <w:rPr>
          <w:rFonts w:eastAsiaTheme="minorEastAsia"/>
          <w:rtl/>
        </w:rPr>
        <w:t xml:space="preserve">وخلال جلسات الاستماع أمام المحكمة العليا في </w:t>
      </w:r>
      <w:r w:rsidR="00D2562D" w:rsidRPr="00AA67D7">
        <w:rPr>
          <w:rFonts w:eastAsiaTheme="minorEastAsia"/>
          <w:rtl/>
        </w:rPr>
        <w:t>16</w:t>
      </w:r>
      <w:r w:rsidR="00D2562D" w:rsidRPr="00D2562D">
        <w:rPr>
          <w:rFonts w:eastAsiaTheme="minorEastAsia"/>
          <w:rtl/>
        </w:rPr>
        <w:t xml:space="preserve"> و</w:t>
      </w:r>
      <w:r w:rsidR="00D2562D" w:rsidRPr="00AA67D7">
        <w:rPr>
          <w:rFonts w:eastAsiaTheme="minorEastAsia"/>
          <w:rtl/>
        </w:rPr>
        <w:t>23</w:t>
      </w:r>
      <w:r w:rsidR="00D2562D" w:rsidRPr="00D2562D">
        <w:rPr>
          <w:rFonts w:eastAsiaTheme="minorEastAsia"/>
          <w:rtl/>
        </w:rPr>
        <w:t xml:space="preserve"> كانون الثاني/يناير </w:t>
      </w:r>
      <w:r w:rsidR="00D2562D" w:rsidRPr="00AA67D7">
        <w:rPr>
          <w:rFonts w:eastAsiaTheme="minorEastAsia"/>
          <w:rtl/>
        </w:rPr>
        <w:t>2020</w:t>
      </w:r>
      <w:r w:rsidR="00D2562D" w:rsidRPr="00D2562D">
        <w:rPr>
          <w:rFonts w:eastAsiaTheme="minorEastAsia"/>
          <w:rtl/>
        </w:rPr>
        <w:t xml:space="preserve">، قدم محامي السيد إسماعيلوف، معلومات من بينها أدلة تبرئ موكله؛ وأشار إلى العديد من الانتهاكات الإجرائية المرتكبة في مرحلة التحقيق السابق للمحاكمة ومن قبل المحكمة الابتدائية ومحكمة النقض؛ وقدم عدداً من الالتماسات الإجرائية طلب بموجبها استجواب شهود النفي عن السيد إسماعيلوف وشهود الاتهام والخبراء والسيد إسماعيلوف نفسه. وطلب أيضاً إلى المحكمة العليا تبرئة السيد إسماعيلوف بموجب المادتين </w:t>
      </w:r>
      <w:r w:rsidR="00D2562D" w:rsidRPr="00AA67D7">
        <w:rPr>
          <w:rFonts w:eastAsiaTheme="minorEastAsia"/>
          <w:rtl/>
        </w:rPr>
        <w:t>157</w:t>
      </w:r>
      <w:r w:rsidR="00D2562D" w:rsidRPr="00D2562D">
        <w:rPr>
          <w:rFonts w:eastAsiaTheme="minorEastAsia"/>
          <w:rtl/>
        </w:rPr>
        <w:t>(</w:t>
      </w:r>
      <w:r w:rsidR="007954CB" w:rsidRPr="00AA67D7">
        <w:rPr>
          <w:rFonts w:eastAsiaTheme="minorEastAsia"/>
          <w:rtl/>
        </w:rPr>
        <w:t>1</w:t>
      </w:r>
      <w:r w:rsidR="007954CB" w:rsidRPr="007954CB">
        <w:rPr>
          <w:rFonts w:eastAsiaTheme="minorEastAsia"/>
          <w:rtl/>
        </w:rPr>
        <w:t xml:space="preserve">) </w:t>
      </w:r>
      <w:r w:rsidR="00D2562D" w:rsidRPr="00D2562D">
        <w:rPr>
          <w:rFonts w:eastAsiaTheme="minorEastAsia"/>
          <w:rtl/>
        </w:rPr>
        <w:t>(الخيانة) و</w:t>
      </w:r>
      <w:r w:rsidR="00D2562D" w:rsidRPr="00AA67D7">
        <w:rPr>
          <w:rFonts w:eastAsiaTheme="minorEastAsia"/>
          <w:rtl/>
        </w:rPr>
        <w:t>301</w:t>
      </w:r>
      <w:r w:rsidR="00D2562D" w:rsidRPr="00D2562D">
        <w:rPr>
          <w:rFonts w:eastAsiaTheme="minorEastAsia"/>
          <w:rtl/>
        </w:rPr>
        <w:t>(</w:t>
      </w:r>
      <w:r w:rsidR="007954CB" w:rsidRPr="00AA67D7">
        <w:rPr>
          <w:rFonts w:eastAsiaTheme="minorEastAsia"/>
          <w:rtl/>
        </w:rPr>
        <w:t>1</w:t>
      </w:r>
      <w:r w:rsidR="007954CB" w:rsidRPr="007954CB">
        <w:rPr>
          <w:rFonts w:eastAsiaTheme="minorEastAsia"/>
          <w:rtl/>
        </w:rPr>
        <w:t xml:space="preserve">) </w:t>
      </w:r>
      <w:r w:rsidR="00D2562D" w:rsidRPr="00D2562D">
        <w:rPr>
          <w:rFonts w:eastAsiaTheme="minorEastAsia"/>
          <w:rtl/>
        </w:rPr>
        <w:t xml:space="preserve">(إساءة استعمال السلطة) من القانون الجنائي لعدم وجود ركن مادي، وتغيير توصيف الجريمة المنصوص عليها في المادة </w:t>
      </w:r>
      <w:r w:rsidR="00D2562D" w:rsidRPr="00AA67D7">
        <w:rPr>
          <w:rFonts w:eastAsiaTheme="minorEastAsia"/>
          <w:rtl/>
        </w:rPr>
        <w:t>248</w:t>
      </w:r>
      <w:r w:rsidR="00D2562D" w:rsidRPr="00D2562D">
        <w:rPr>
          <w:rFonts w:eastAsiaTheme="minorEastAsia"/>
          <w:rtl/>
        </w:rPr>
        <w:t xml:space="preserve"> (التخزين غير القانوني للذخيرة) من القانون الجنائي من الجزء </w:t>
      </w:r>
      <w:r w:rsidR="00D2562D" w:rsidRPr="00AA67D7">
        <w:rPr>
          <w:rFonts w:eastAsiaTheme="minorEastAsia"/>
          <w:rtl/>
        </w:rPr>
        <w:t>1</w:t>
      </w:r>
      <w:r w:rsidR="00D2562D" w:rsidRPr="00D2562D">
        <w:rPr>
          <w:rFonts w:eastAsiaTheme="minorEastAsia"/>
          <w:rtl/>
        </w:rPr>
        <w:t xml:space="preserve"> إلى الجزء </w:t>
      </w:r>
      <w:r w:rsidR="00D2562D" w:rsidRPr="00AA67D7">
        <w:rPr>
          <w:rFonts w:eastAsiaTheme="minorEastAsia"/>
          <w:rtl/>
        </w:rPr>
        <w:t>4</w:t>
      </w:r>
      <w:r w:rsidR="00D2562D" w:rsidRPr="00D2562D">
        <w:rPr>
          <w:rFonts w:eastAsiaTheme="minorEastAsia"/>
          <w:rtl/>
        </w:rPr>
        <w:t xml:space="preserve"> منه. واتبعت الهيئة القضائية للمحكمة العليا في قرارها الشفوي المؤرخ </w:t>
      </w:r>
      <w:r w:rsidR="00D2562D" w:rsidRPr="00AA67D7">
        <w:rPr>
          <w:rFonts w:eastAsiaTheme="minorEastAsia"/>
          <w:rtl/>
        </w:rPr>
        <w:t>31</w:t>
      </w:r>
      <w:r w:rsidR="00D2562D" w:rsidRPr="00D2562D">
        <w:rPr>
          <w:rFonts w:eastAsiaTheme="minorEastAsia"/>
          <w:rtl/>
        </w:rPr>
        <w:t xml:space="preserve"> كانون الثاني/يناير </w:t>
      </w:r>
      <w:r w:rsidR="00D2562D" w:rsidRPr="00AA67D7">
        <w:rPr>
          <w:rFonts w:eastAsiaTheme="minorEastAsia"/>
          <w:rtl/>
        </w:rPr>
        <w:t>2020</w:t>
      </w:r>
      <w:r w:rsidR="00D2562D" w:rsidRPr="00D2562D">
        <w:rPr>
          <w:rFonts w:eastAsiaTheme="minorEastAsia"/>
          <w:rtl/>
        </w:rPr>
        <w:t xml:space="preserve">، الموقف الذي اتخذه مكتب المدعي العام في </w:t>
      </w:r>
      <w:r w:rsidR="00D2562D" w:rsidRPr="00AA67D7">
        <w:rPr>
          <w:rFonts w:eastAsiaTheme="minorEastAsia"/>
          <w:rtl/>
        </w:rPr>
        <w:t>30</w:t>
      </w:r>
      <w:r w:rsidR="00D2562D" w:rsidRPr="00D2562D">
        <w:rPr>
          <w:rFonts w:eastAsiaTheme="minorEastAsia"/>
          <w:rtl/>
        </w:rPr>
        <w:t xml:space="preserve"> كانون الثاني/</w:t>
      </w:r>
      <w:r w:rsidR="00DA4A3A">
        <w:rPr>
          <w:rFonts w:eastAsiaTheme="minorEastAsia" w:hint="cs"/>
          <w:rtl/>
        </w:rPr>
        <w:t xml:space="preserve"> </w:t>
      </w:r>
      <w:r w:rsidR="00D2562D" w:rsidRPr="00D2562D">
        <w:rPr>
          <w:rFonts w:eastAsiaTheme="minorEastAsia"/>
          <w:rtl/>
        </w:rPr>
        <w:t>يناير</w:t>
      </w:r>
      <w:r w:rsidR="00DA4A3A">
        <w:rPr>
          <w:rFonts w:eastAsiaTheme="minorEastAsia" w:hint="cs"/>
          <w:rtl/>
        </w:rPr>
        <w:t> </w:t>
      </w:r>
      <w:r w:rsidR="00D2562D" w:rsidRPr="00AA67D7">
        <w:rPr>
          <w:rFonts w:eastAsiaTheme="minorEastAsia"/>
          <w:rtl/>
        </w:rPr>
        <w:t>2020</w:t>
      </w:r>
      <w:r w:rsidR="00D2562D" w:rsidRPr="00D2562D">
        <w:rPr>
          <w:rFonts w:eastAsiaTheme="minorEastAsia"/>
          <w:rtl/>
        </w:rPr>
        <w:t xml:space="preserve"> وبرأت السيد إسماعيلوف بموجب المادة </w:t>
      </w:r>
      <w:r w:rsidR="00D2562D" w:rsidRPr="00AA67D7">
        <w:rPr>
          <w:rFonts w:eastAsiaTheme="minorEastAsia"/>
          <w:rtl/>
        </w:rPr>
        <w:t>301</w:t>
      </w:r>
      <w:r w:rsidR="00D2562D" w:rsidRPr="00D2562D">
        <w:rPr>
          <w:rFonts w:eastAsiaTheme="minorEastAsia"/>
          <w:rtl/>
        </w:rPr>
        <w:t>(</w:t>
      </w:r>
      <w:r w:rsidR="007954CB" w:rsidRPr="00AA67D7">
        <w:rPr>
          <w:rFonts w:eastAsiaTheme="minorEastAsia"/>
          <w:rtl/>
        </w:rPr>
        <w:t>1</w:t>
      </w:r>
      <w:r w:rsidR="007954CB" w:rsidRPr="007954CB">
        <w:rPr>
          <w:rFonts w:eastAsiaTheme="minorEastAsia"/>
          <w:rtl/>
        </w:rPr>
        <w:t xml:space="preserve">) </w:t>
      </w:r>
      <w:r w:rsidR="00D2562D" w:rsidRPr="00D2562D">
        <w:rPr>
          <w:rFonts w:eastAsiaTheme="minorEastAsia"/>
          <w:rtl/>
        </w:rPr>
        <w:t>فقط من القانون الجنائي. ولم تبت المحكمة العليا في أي من الالتماسات الإجرائية التي قدمها محامي السيد إسماعيلوف.</w:t>
      </w:r>
    </w:p>
    <w:p w14:paraId="6D3B9A03" w14:textId="07E470ED" w:rsidR="00D2562D" w:rsidRPr="00D2562D" w:rsidRDefault="00261ADA" w:rsidP="00546212">
      <w:pPr>
        <w:pStyle w:val="SingleTxtGA"/>
        <w:spacing w:line="380" w:lineRule="exact"/>
        <w:rPr>
          <w:rFonts w:eastAsiaTheme="minorEastAsia"/>
          <w:lang w:val="ar-SA" w:eastAsia="zh-TW" w:bidi="en-GB"/>
        </w:rPr>
      </w:pPr>
      <w:r>
        <w:rPr>
          <w:rFonts w:eastAsiaTheme="minorEastAsia"/>
          <w:rtl/>
        </w:rPr>
        <w:tab/>
      </w:r>
      <w:r w:rsidR="00D2562D" w:rsidRPr="00D2562D">
        <w:rPr>
          <w:rFonts w:eastAsiaTheme="minorEastAsia"/>
          <w:rtl/>
        </w:rPr>
        <w:t xml:space="preserve">وبمجرد أن أعلنت المحكمة العليا شفهياً في </w:t>
      </w:r>
      <w:r w:rsidR="00D2562D" w:rsidRPr="00AA67D7">
        <w:rPr>
          <w:rFonts w:eastAsiaTheme="minorEastAsia"/>
          <w:rtl/>
        </w:rPr>
        <w:t>31</w:t>
      </w:r>
      <w:r w:rsidR="00D2562D" w:rsidRPr="00D2562D">
        <w:rPr>
          <w:rFonts w:eastAsiaTheme="minorEastAsia"/>
          <w:rtl/>
        </w:rPr>
        <w:t xml:space="preserve"> كانون الثاني/يناير </w:t>
      </w:r>
      <w:r w:rsidR="00D2562D" w:rsidRPr="00AA67D7">
        <w:rPr>
          <w:rFonts w:eastAsiaTheme="minorEastAsia"/>
          <w:rtl/>
        </w:rPr>
        <w:t>2020</w:t>
      </w:r>
      <w:r w:rsidR="00D2562D" w:rsidRPr="00D2562D">
        <w:rPr>
          <w:rFonts w:eastAsiaTheme="minorEastAsia"/>
          <w:rtl/>
        </w:rPr>
        <w:t xml:space="preserve"> أن الحكم الأولي </w:t>
      </w:r>
      <w:r w:rsidR="00D2562D" w:rsidRPr="00082805">
        <w:rPr>
          <w:rFonts w:eastAsiaTheme="minorEastAsia"/>
          <w:spacing w:val="-6"/>
          <w:rtl/>
        </w:rPr>
        <w:t xml:space="preserve">على السيد إسماعيلوف بالسجن لمدة </w:t>
      </w:r>
      <w:r w:rsidR="00D2562D" w:rsidRPr="00AA67D7">
        <w:rPr>
          <w:rFonts w:eastAsiaTheme="minorEastAsia"/>
          <w:spacing w:val="-6"/>
          <w:rtl/>
        </w:rPr>
        <w:t>20</w:t>
      </w:r>
      <w:r w:rsidR="00D2562D" w:rsidRPr="00082805">
        <w:rPr>
          <w:rFonts w:eastAsiaTheme="minorEastAsia"/>
          <w:spacing w:val="-6"/>
          <w:rtl/>
        </w:rPr>
        <w:t xml:space="preserve"> عاماً - والذي كان من المقرر أن ينتهي في </w:t>
      </w:r>
      <w:r w:rsidR="00D2562D" w:rsidRPr="00AA67D7">
        <w:rPr>
          <w:rFonts w:eastAsiaTheme="minorEastAsia"/>
          <w:spacing w:val="-6"/>
          <w:rtl/>
        </w:rPr>
        <w:t>8</w:t>
      </w:r>
      <w:r w:rsidR="00D2562D" w:rsidRPr="00082805">
        <w:rPr>
          <w:rFonts w:eastAsiaTheme="minorEastAsia"/>
          <w:spacing w:val="-6"/>
          <w:rtl/>
        </w:rPr>
        <w:t xml:space="preserve"> آب/أغسطس </w:t>
      </w:r>
      <w:r w:rsidR="00D2562D" w:rsidRPr="00AA67D7">
        <w:rPr>
          <w:rFonts w:eastAsiaTheme="minorEastAsia"/>
          <w:spacing w:val="-6"/>
          <w:rtl/>
        </w:rPr>
        <w:t>2020</w:t>
      </w:r>
      <w:r w:rsidR="00D2562D" w:rsidRPr="00082805">
        <w:rPr>
          <w:rFonts w:eastAsiaTheme="minorEastAsia"/>
          <w:spacing w:val="-6"/>
          <w:rtl/>
        </w:rPr>
        <w:t xml:space="preserve"> -</w:t>
      </w:r>
      <w:r w:rsidR="00D2562D" w:rsidRPr="00261ADA">
        <w:rPr>
          <w:rFonts w:eastAsiaTheme="minorEastAsia"/>
          <w:spacing w:val="-4"/>
          <w:rtl/>
        </w:rPr>
        <w:t xml:space="preserve"> قد تم تخفيضه بمدة عام واحد، طلب محاميه على الفور من المحكمة إطلاق سراح موكله من السجن</w:t>
      </w:r>
      <w:r w:rsidR="00D2562D" w:rsidRPr="00D2562D">
        <w:rPr>
          <w:rFonts w:eastAsiaTheme="minorEastAsia"/>
          <w:rtl/>
        </w:rPr>
        <w:t xml:space="preserve">، لأنه كان قد قضى بالفعل عقوبته المخففة بالكامل. وفي القرار الخطي الصادر عن الهيئة القضائية للمحكمة </w:t>
      </w:r>
      <w:r w:rsidR="00D2562D" w:rsidRPr="00E60F47">
        <w:rPr>
          <w:rFonts w:eastAsiaTheme="minorEastAsia"/>
          <w:spacing w:val="-4"/>
          <w:rtl/>
        </w:rPr>
        <w:t xml:space="preserve">العليا بتاريخ </w:t>
      </w:r>
      <w:r w:rsidR="00D2562D" w:rsidRPr="00AA67D7">
        <w:rPr>
          <w:rFonts w:eastAsiaTheme="minorEastAsia"/>
          <w:spacing w:val="-4"/>
          <w:rtl/>
        </w:rPr>
        <w:t>23</w:t>
      </w:r>
      <w:r w:rsidR="00D2562D" w:rsidRPr="00E60F47">
        <w:rPr>
          <w:rFonts w:eastAsiaTheme="minorEastAsia"/>
          <w:spacing w:val="-4"/>
          <w:rtl/>
        </w:rPr>
        <w:t xml:space="preserve"> كانون الثاني/يناير </w:t>
      </w:r>
      <w:r w:rsidR="00D2562D" w:rsidRPr="00AA67D7">
        <w:rPr>
          <w:rFonts w:eastAsiaTheme="minorEastAsia"/>
          <w:spacing w:val="-4"/>
          <w:rtl/>
        </w:rPr>
        <w:t>2020</w:t>
      </w:r>
      <w:r w:rsidR="00D2562D" w:rsidRPr="00E60F47">
        <w:rPr>
          <w:rFonts w:eastAsiaTheme="minorEastAsia"/>
          <w:spacing w:val="-4"/>
          <w:rtl/>
        </w:rPr>
        <w:t xml:space="preserve">، والذي أتيح لمحامي السيد إسماعيلوف في </w:t>
      </w:r>
      <w:r w:rsidR="00D2562D" w:rsidRPr="00AA67D7">
        <w:rPr>
          <w:rFonts w:eastAsiaTheme="minorEastAsia"/>
          <w:spacing w:val="-4"/>
          <w:rtl/>
        </w:rPr>
        <w:t>5</w:t>
      </w:r>
      <w:r w:rsidR="00D2562D" w:rsidRPr="00E60F47">
        <w:rPr>
          <w:rFonts w:eastAsiaTheme="minorEastAsia"/>
          <w:spacing w:val="-4"/>
          <w:rtl/>
        </w:rPr>
        <w:t xml:space="preserve"> شباط/فبراير </w:t>
      </w:r>
      <w:r w:rsidR="00D2562D" w:rsidRPr="00AA67D7">
        <w:rPr>
          <w:rFonts w:eastAsiaTheme="minorEastAsia"/>
          <w:spacing w:val="-4"/>
          <w:rtl/>
        </w:rPr>
        <w:t>2020</w:t>
      </w:r>
      <w:r w:rsidR="00D2562D" w:rsidRPr="00E60F47">
        <w:rPr>
          <w:rFonts w:eastAsiaTheme="minorEastAsia"/>
          <w:spacing w:val="-4"/>
          <w:rtl/>
        </w:rPr>
        <w:t xml:space="preserve">، خفضت عقوبة موكله بالسجن البالغة </w:t>
      </w:r>
      <w:r w:rsidR="00D2562D" w:rsidRPr="00AA67D7">
        <w:rPr>
          <w:rFonts w:eastAsiaTheme="minorEastAsia"/>
          <w:spacing w:val="-4"/>
          <w:rtl/>
        </w:rPr>
        <w:t>20</w:t>
      </w:r>
      <w:r w:rsidR="00D2562D" w:rsidRPr="00E60F47">
        <w:rPr>
          <w:rFonts w:eastAsiaTheme="minorEastAsia"/>
          <w:spacing w:val="-4"/>
          <w:rtl/>
        </w:rPr>
        <w:t xml:space="preserve"> عاماً</w:t>
      </w:r>
      <w:r w:rsidR="006978E0" w:rsidRPr="00E60F47">
        <w:rPr>
          <w:rFonts w:eastAsiaTheme="minorEastAsia"/>
          <w:spacing w:val="-4"/>
          <w:rtl/>
        </w:rPr>
        <w:t xml:space="preserve"> </w:t>
      </w:r>
      <w:r w:rsidR="00D2562D" w:rsidRPr="00E60F47">
        <w:rPr>
          <w:rFonts w:eastAsiaTheme="minorEastAsia"/>
          <w:spacing w:val="-4"/>
          <w:rtl/>
        </w:rPr>
        <w:t>بمدة شهرين فقط، وبالتالي أصبح من المقرر أن تنتهي في</w:t>
      </w:r>
      <w:r w:rsidR="00D2562D" w:rsidRPr="00D2562D">
        <w:rPr>
          <w:rFonts w:eastAsiaTheme="minorEastAsia"/>
          <w:rtl/>
        </w:rPr>
        <w:t xml:space="preserve"> </w:t>
      </w:r>
      <w:r w:rsidR="00D2562D" w:rsidRPr="00AA67D7">
        <w:rPr>
          <w:rFonts w:eastAsiaTheme="minorEastAsia"/>
          <w:rtl/>
        </w:rPr>
        <w:t>23</w:t>
      </w:r>
      <w:r w:rsidR="00D2562D" w:rsidRPr="00D2562D">
        <w:rPr>
          <w:rFonts w:eastAsiaTheme="minorEastAsia"/>
          <w:rtl/>
        </w:rPr>
        <w:t xml:space="preserve"> حزيران/يونيه </w:t>
      </w:r>
      <w:r w:rsidR="00D2562D" w:rsidRPr="00AA67D7">
        <w:rPr>
          <w:rFonts w:eastAsiaTheme="minorEastAsia"/>
          <w:rtl/>
        </w:rPr>
        <w:t>202</w:t>
      </w:r>
      <w:r w:rsidR="007954CB" w:rsidRPr="00AA67D7">
        <w:rPr>
          <w:rFonts w:eastAsiaTheme="minorEastAsia"/>
          <w:rtl/>
        </w:rPr>
        <w:t>0</w:t>
      </w:r>
      <w:r w:rsidR="007954CB" w:rsidRPr="007954CB">
        <w:rPr>
          <w:rFonts w:eastAsiaTheme="minorEastAsia"/>
          <w:rtl/>
        </w:rPr>
        <w:t xml:space="preserve">. </w:t>
      </w:r>
      <w:r w:rsidR="00D2562D" w:rsidRPr="00D2562D">
        <w:rPr>
          <w:rFonts w:eastAsiaTheme="minorEastAsia"/>
          <w:rtl/>
        </w:rPr>
        <w:t xml:space="preserve">ولم يرد رداً على الطلبات الشفوية التي قدمها المحامي للحصول على توضيحات بشأن سبب قيام الهيئة القضائية للمحكمة العليا بتأريخ القرار الذي أعلن في </w:t>
      </w:r>
      <w:r w:rsidR="00D2562D" w:rsidRPr="00AA67D7">
        <w:rPr>
          <w:rFonts w:eastAsiaTheme="minorEastAsia"/>
          <w:rtl/>
        </w:rPr>
        <w:t>31</w:t>
      </w:r>
      <w:r w:rsidR="00D2562D" w:rsidRPr="00D2562D">
        <w:rPr>
          <w:rFonts w:eastAsiaTheme="minorEastAsia"/>
          <w:rtl/>
        </w:rPr>
        <w:t xml:space="preserve"> كانون الثاني/يناير </w:t>
      </w:r>
      <w:r w:rsidR="00D2562D" w:rsidRPr="00AA67D7">
        <w:rPr>
          <w:rFonts w:eastAsiaTheme="minorEastAsia"/>
          <w:rtl/>
        </w:rPr>
        <w:t>2020</w:t>
      </w:r>
      <w:r w:rsidR="00D2562D" w:rsidRPr="00D2562D">
        <w:rPr>
          <w:rFonts w:eastAsiaTheme="minorEastAsia"/>
          <w:rtl/>
        </w:rPr>
        <w:t xml:space="preserve"> بأثر رجعي إلى </w:t>
      </w:r>
      <w:r w:rsidR="00D2562D" w:rsidRPr="00AA67D7">
        <w:rPr>
          <w:rFonts w:eastAsiaTheme="minorEastAsia"/>
          <w:rtl/>
        </w:rPr>
        <w:t>23</w:t>
      </w:r>
      <w:r w:rsidR="00D2562D" w:rsidRPr="00D2562D">
        <w:rPr>
          <w:rFonts w:eastAsiaTheme="minorEastAsia"/>
          <w:rtl/>
        </w:rPr>
        <w:t xml:space="preserve"> كانون الثاني/يناير </w:t>
      </w:r>
      <w:r w:rsidR="00D2562D" w:rsidRPr="00AA67D7">
        <w:rPr>
          <w:rFonts w:eastAsiaTheme="minorEastAsia"/>
          <w:rtl/>
        </w:rPr>
        <w:t>2020</w:t>
      </w:r>
      <w:r w:rsidR="00D2562D" w:rsidRPr="00D2562D">
        <w:rPr>
          <w:rFonts w:eastAsiaTheme="minorEastAsia"/>
          <w:rtl/>
        </w:rPr>
        <w:t xml:space="preserve"> وتعديله.</w:t>
      </w:r>
    </w:p>
    <w:p w14:paraId="22905197" w14:textId="12E8E023" w:rsidR="00D2562D" w:rsidRPr="00D2562D" w:rsidRDefault="00E60F47" w:rsidP="00546212">
      <w:pPr>
        <w:pStyle w:val="SingleTxtGA"/>
        <w:spacing w:line="380" w:lineRule="exact"/>
        <w:rPr>
          <w:rFonts w:eastAsiaTheme="minorEastAsia"/>
          <w:lang w:val="ar-SA" w:eastAsia="zh-TW" w:bidi="en-GB"/>
        </w:rPr>
      </w:pPr>
      <w:r>
        <w:rPr>
          <w:rFonts w:eastAsiaTheme="minorEastAsia"/>
          <w:rtl/>
        </w:rPr>
        <w:tab/>
      </w:r>
      <w:r w:rsidR="00D2562D" w:rsidRPr="00D2562D">
        <w:rPr>
          <w:rFonts w:eastAsiaTheme="minorEastAsia"/>
          <w:rtl/>
        </w:rPr>
        <w:t>وعليه، تدفع صاحبة البلاغ بأن قضية السيد إسماعيلوف لم تستعرضها محكمة مستقلة وفقاً لمبادئ المحاكمة العادلة، وافتراض البراءة، وغير ذلك من الضمانات الإجرائية من أجل كفالة إقامة العدل في نهاية المطاف. ولا يزال السيد إسماعيلوف يقضي عقوبته بالسجن لفترة طويلة بسبب جرائم لم يرتكبها.</w:t>
      </w:r>
    </w:p>
    <w:p w14:paraId="1596C1EF" w14:textId="77777777" w:rsidR="00D2562D" w:rsidRPr="00AA67D7" w:rsidRDefault="00D2562D" w:rsidP="00546212">
      <w:pPr>
        <w:pStyle w:val="SingleTxtGA"/>
        <w:spacing w:line="380" w:lineRule="exact"/>
        <w:rPr>
          <w:rFonts w:eastAsiaTheme="minorEastAsia"/>
          <w:bCs/>
          <w:lang w:val="ar-SA" w:eastAsia="zh-TW" w:bidi="en-GB"/>
        </w:rPr>
      </w:pPr>
      <w:r w:rsidRPr="00AA67D7">
        <w:rPr>
          <w:rFonts w:eastAsiaTheme="minorEastAsia"/>
          <w:b/>
          <w:bCs/>
          <w:rtl/>
        </w:rPr>
        <w:t>تقييم اللجنة:</w:t>
      </w:r>
    </w:p>
    <w:p w14:paraId="539AAA84" w14:textId="0AEB6AB2" w:rsidR="00D2562D" w:rsidRPr="00D2562D" w:rsidRDefault="00E60F47" w:rsidP="00546212">
      <w:pPr>
        <w:pStyle w:val="SingleTxtGA"/>
        <w:spacing w:line="380" w:lineRule="exact"/>
        <w:rPr>
          <w:rFonts w:eastAsiaTheme="minorEastAsia"/>
          <w:lang w:val="ar-SA" w:eastAsia="zh-TW" w:bidi="en-GB"/>
        </w:rPr>
      </w:pPr>
      <w:r>
        <w:rPr>
          <w:rFonts w:eastAsiaTheme="minorEastAsia"/>
          <w:rtl/>
        </w:rPr>
        <w:tab/>
      </w:r>
      <w:r w:rsidR="00D2562D" w:rsidRPr="00D2562D">
        <w:rPr>
          <w:rFonts w:eastAsiaTheme="minorEastAsia"/>
          <w:rtl/>
        </w:rPr>
        <w:t>(أ)</w:t>
      </w:r>
      <w:r w:rsidR="00D2562D" w:rsidRPr="00D2562D">
        <w:rPr>
          <w:rFonts w:eastAsiaTheme="minorEastAsia"/>
          <w:rtl/>
        </w:rPr>
        <w:tab/>
        <w:t>إعادة المحاكمة أو الإفراج: جيم؛</w:t>
      </w:r>
    </w:p>
    <w:p w14:paraId="6F8C68BC" w14:textId="0468E930" w:rsidR="00D2562D" w:rsidRPr="00D2562D" w:rsidRDefault="00E60F47" w:rsidP="00546212">
      <w:pPr>
        <w:pStyle w:val="SingleTxtGA"/>
        <w:spacing w:line="380" w:lineRule="exact"/>
        <w:rPr>
          <w:rFonts w:eastAsiaTheme="minorEastAsia"/>
          <w:lang w:val="ar-SA" w:eastAsia="zh-TW" w:bidi="en-GB"/>
        </w:rPr>
      </w:pPr>
      <w:r>
        <w:rPr>
          <w:rFonts w:eastAsiaTheme="minorEastAsia"/>
          <w:rtl/>
        </w:rPr>
        <w:tab/>
      </w:r>
      <w:r w:rsidR="00D2562D" w:rsidRPr="00D2562D">
        <w:rPr>
          <w:rFonts w:eastAsiaTheme="minorEastAsia"/>
          <w:rtl/>
        </w:rPr>
        <w:t>(ب)</w:t>
      </w:r>
      <w:r w:rsidR="00D2562D" w:rsidRPr="00D2562D">
        <w:rPr>
          <w:rFonts w:eastAsiaTheme="minorEastAsia"/>
          <w:rtl/>
        </w:rPr>
        <w:tab/>
        <w:t>الجبر المناسب، بما في ذلك التعويض: هاء؛</w:t>
      </w:r>
    </w:p>
    <w:p w14:paraId="789AEBE1" w14:textId="47C68498" w:rsidR="00D2562D" w:rsidRPr="00D2562D" w:rsidRDefault="00E60F47" w:rsidP="00546212">
      <w:pPr>
        <w:pStyle w:val="SingleTxtGA"/>
        <w:spacing w:line="380" w:lineRule="exact"/>
        <w:rPr>
          <w:rFonts w:eastAsiaTheme="minorEastAsia"/>
          <w:lang w:val="ar-SA" w:eastAsia="zh-TW" w:bidi="en-GB"/>
        </w:rPr>
      </w:pPr>
      <w:r>
        <w:rPr>
          <w:rFonts w:eastAsiaTheme="minorEastAsia"/>
          <w:rtl/>
        </w:rPr>
        <w:tab/>
      </w:r>
      <w:r w:rsidR="00D2562D" w:rsidRPr="00D2562D">
        <w:rPr>
          <w:rFonts w:eastAsiaTheme="minorEastAsia"/>
          <w:rtl/>
        </w:rPr>
        <w:t>(ج)</w:t>
      </w:r>
      <w:r w:rsidR="00D2562D" w:rsidRPr="00D2562D">
        <w:rPr>
          <w:rFonts w:eastAsiaTheme="minorEastAsia"/>
          <w:rtl/>
        </w:rPr>
        <w:tab/>
        <w:t>عدم التكرار: جيم.</w:t>
      </w:r>
    </w:p>
    <w:p w14:paraId="6A58130B" w14:textId="77777777" w:rsidR="00D2562D" w:rsidRPr="00D2562D" w:rsidRDefault="00D2562D" w:rsidP="00546212">
      <w:pPr>
        <w:pStyle w:val="SingleTxtGA"/>
        <w:spacing w:line="380" w:lineRule="exact"/>
        <w:rPr>
          <w:rFonts w:eastAsiaTheme="minorEastAsia"/>
          <w:lang w:val="ar-SA" w:eastAsia="zh-TW" w:bidi="en-GB"/>
        </w:rPr>
      </w:pPr>
      <w:r w:rsidRPr="00AA67D7">
        <w:rPr>
          <w:rFonts w:eastAsiaTheme="minorEastAsia"/>
          <w:b/>
          <w:bCs/>
          <w:rtl/>
        </w:rPr>
        <w:t>قرار اللجنة:</w:t>
      </w:r>
      <w:r w:rsidRPr="00D2562D">
        <w:rPr>
          <w:rFonts w:eastAsiaTheme="minorEastAsia"/>
          <w:rtl/>
        </w:rPr>
        <w:t xml:space="preserve"> مواصلة حوار المتابعة. ستطلب اللجنة عقد اجتماع مع ممثل الدولة الطرف خلال إحدى دوراتها المقبلة.</w:t>
      </w:r>
    </w:p>
    <w:p w14:paraId="4FDF7406" w14:textId="25D990DD" w:rsidR="00D2562D" w:rsidRPr="00AA67D7" w:rsidRDefault="00E60F47" w:rsidP="00E60F47">
      <w:pPr>
        <w:pStyle w:val="H23GA"/>
        <w:rPr>
          <w:lang w:val="ar-SA" w:eastAsia="zh-TW" w:bidi="en-GB"/>
        </w:rPr>
      </w:pPr>
      <w:r w:rsidRPr="00AA67D7">
        <w:rPr>
          <w:rtl/>
        </w:rPr>
        <w:lastRenderedPageBreak/>
        <w:tab/>
      </w:r>
      <w:r w:rsidR="00D2562D" w:rsidRPr="00AA67D7">
        <w:rPr>
          <w:rtl/>
        </w:rPr>
        <w:t>7-</w:t>
      </w:r>
      <w:r w:rsidR="00D2562D" w:rsidRPr="00AA67D7">
        <w:rPr>
          <w:rtl/>
        </w:rPr>
        <w:tab/>
        <w:t>أوزبكستان</w:t>
      </w:r>
    </w:p>
    <w:p w14:paraId="4A72DAA7" w14:textId="77777777" w:rsidR="00D2562D" w:rsidRPr="00AA67D7" w:rsidRDefault="00D2562D" w:rsidP="00D2562D">
      <w:pPr>
        <w:pStyle w:val="SingleTxtGA"/>
        <w:rPr>
          <w:rFonts w:eastAsiaTheme="minorEastAsia"/>
          <w:b/>
          <w:i/>
          <w:lang w:val="ar-SA" w:eastAsia="zh-TW" w:bidi="en-GB"/>
        </w:rPr>
      </w:pPr>
      <w:r w:rsidRPr="00AA67D7">
        <w:rPr>
          <w:rFonts w:eastAsiaTheme="minorEastAsia"/>
          <w:b/>
          <w:bCs/>
          <w:rtl/>
        </w:rPr>
        <w:t xml:space="preserve">البلاغ رقم 2430/2014، </w:t>
      </w:r>
      <w:r w:rsidRPr="00AA67D7">
        <w:rPr>
          <w:rFonts w:eastAsiaTheme="minorEastAsia"/>
          <w:b/>
          <w:bCs/>
          <w:i/>
          <w:iCs/>
          <w:rtl/>
        </w:rPr>
        <w:t>ألاكولوف</w:t>
      </w:r>
    </w:p>
    <w:p w14:paraId="333B15A8" w14:textId="12807EC7" w:rsidR="00D2562D" w:rsidRPr="00D2562D" w:rsidRDefault="00D2562D" w:rsidP="00D2562D">
      <w:pPr>
        <w:pStyle w:val="SingleTxtGA"/>
        <w:rPr>
          <w:rFonts w:eastAsiaTheme="minorEastAsia"/>
          <w:lang w:val="ar-SA" w:eastAsia="zh-TW" w:bidi="en-GB"/>
        </w:rPr>
      </w:pPr>
      <w:r w:rsidRPr="00AA67D7">
        <w:rPr>
          <w:rFonts w:eastAsiaTheme="minorEastAsia"/>
          <w:b/>
          <w:bCs/>
          <w:rtl/>
        </w:rPr>
        <w:t>تاريخ اعتماد الآراء:</w:t>
      </w:r>
      <w:r w:rsidRPr="00D2562D">
        <w:rPr>
          <w:rFonts w:eastAsiaTheme="minorEastAsia"/>
          <w:rtl/>
        </w:rPr>
        <w:tab/>
      </w:r>
      <w:r w:rsidR="00E60F47">
        <w:rPr>
          <w:rFonts w:eastAsiaTheme="minorEastAsia"/>
          <w:rtl/>
        </w:rPr>
        <w:tab/>
      </w:r>
      <w:r w:rsidR="00E60F47">
        <w:rPr>
          <w:rFonts w:eastAsiaTheme="minorEastAsia"/>
          <w:rtl/>
        </w:rPr>
        <w:tab/>
      </w:r>
      <w:r w:rsidRPr="00AA67D7">
        <w:rPr>
          <w:rFonts w:eastAsiaTheme="minorEastAsia"/>
          <w:rtl/>
        </w:rPr>
        <w:t>19</w:t>
      </w:r>
      <w:r w:rsidRPr="00D2562D">
        <w:rPr>
          <w:rFonts w:eastAsiaTheme="minorEastAsia"/>
          <w:rtl/>
        </w:rPr>
        <w:t xml:space="preserve"> تموز/يوليه </w:t>
      </w:r>
      <w:r w:rsidRPr="00AA67D7">
        <w:rPr>
          <w:rFonts w:eastAsiaTheme="minorEastAsia"/>
          <w:rtl/>
        </w:rPr>
        <w:t>2017</w:t>
      </w:r>
    </w:p>
    <w:p w14:paraId="0B29809C" w14:textId="37C9D36B" w:rsidR="007954CB" w:rsidRPr="007954CB" w:rsidRDefault="00D2562D" w:rsidP="00E60F47">
      <w:pPr>
        <w:pStyle w:val="SingleTxtGA"/>
        <w:ind w:left="4649" w:hanging="3402"/>
        <w:rPr>
          <w:rFonts w:eastAsiaTheme="minorEastAsia"/>
          <w:lang w:val="ar-SA" w:eastAsia="zh-TW" w:bidi="en-GB"/>
        </w:rPr>
      </w:pPr>
      <w:r w:rsidRPr="00AA67D7">
        <w:rPr>
          <w:rFonts w:eastAsiaTheme="minorEastAsia"/>
          <w:b/>
          <w:bCs/>
          <w:rtl/>
        </w:rPr>
        <w:t>المواد المنتهكة:</w:t>
      </w:r>
      <w:r w:rsidRPr="00D2562D">
        <w:rPr>
          <w:rFonts w:eastAsiaTheme="minorEastAsia"/>
          <w:rtl/>
        </w:rPr>
        <w:tab/>
      </w:r>
      <w:r w:rsidR="00E60F47">
        <w:rPr>
          <w:rFonts w:eastAsiaTheme="minorEastAsia"/>
          <w:rtl/>
        </w:rPr>
        <w:tab/>
      </w:r>
      <w:r w:rsidR="00E60F47">
        <w:rPr>
          <w:rFonts w:eastAsiaTheme="minorEastAsia"/>
          <w:rtl/>
        </w:rPr>
        <w:tab/>
      </w:r>
      <w:r w:rsidR="00E60F47">
        <w:rPr>
          <w:rFonts w:eastAsiaTheme="minorEastAsia"/>
          <w:rtl/>
        </w:rPr>
        <w:tab/>
      </w:r>
      <w:r w:rsidRPr="00D2562D">
        <w:rPr>
          <w:rFonts w:eastAsiaTheme="minorEastAsia"/>
          <w:rtl/>
        </w:rPr>
        <w:t xml:space="preserve">المادة </w:t>
      </w:r>
      <w:r w:rsidRPr="00AA67D7">
        <w:rPr>
          <w:rFonts w:eastAsiaTheme="minorEastAsia"/>
          <w:rtl/>
        </w:rPr>
        <w:t>14</w:t>
      </w:r>
      <w:r w:rsidRPr="00D2562D">
        <w:rPr>
          <w:rFonts w:eastAsiaTheme="minorEastAsia"/>
          <w:rtl/>
        </w:rPr>
        <w:t>(</w:t>
      </w:r>
      <w:r w:rsidRPr="00AA67D7">
        <w:rPr>
          <w:rFonts w:eastAsiaTheme="minorEastAsia"/>
          <w:rtl/>
        </w:rPr>
        <w:t>1</w:t>
      </w:r>
      <w:r w:rsidR="007954CB" w:rsidRPr="007954CB">
        <w:rPr>
          <w:rFonts w:eastAsiaTheme="minorEastAsia"/>
          <w:rtl/>
        </w:rPr>
        <w:t xml:space="preserve">)، </w:t>
      </w:r>
      <w:r w:rsidRPr="00D2562D">
        <w:rPr>
          <w:rFonts w:eastAsiaTheme="minorEastAsia"/>
          <w:rtl/>
        </w:rPr>
        <w:t xml:space="preserve">مقروءة بالاقتران مع المادة </w:t>
      </w:r>
      <w:r w:rsidRPr="00AA67D7">
        <w:rPr>
          <w:rFonts w:eastAsiaTheme="minorEastAsia"/>
          <w:rtl/>
        </w:rPr>
        <w:t>2</w:t>
      </w:r>
      <w:r w:rsidRPr="00D2562D">
        <w:rPr>
          <w:rFonts w:eastAsiaTheme="minorEastAsia"/>
          <w:rtl/>
        </w:rPr>
        <w:t>(</w:t>
      </w:r>
      <w:r w:rsidRPr="00AA67D7">
        <w:rPr>
          <w:rFonts w:eastAsiaTheme="minorEastAsia"/>
          <w:rtl/>
        </w:rPr>
        <w:t>3</w:t>
      </w:r>
      <w:r w:rsidR="007954CB" w:rsidRPr="007954CB">
        <w:rPr>
          <w:rFonts w:eastAsiaTheme="minorEastAsia"/>
          <w:rtl/>
        </w:rPr>
        <w:t xml:space="preserve">)؛ </w:t>
      </w:r>
      <w:r w:rsidRPr="00D2562D">
        <w:rPr>
          <w:rFonts w:eastAsiaTheme="minorEastAsia"/>
          <w:rtl/>
        </w:rPr>
        <w:t xml:space="preserve">والمادة </w:t>
      </w:r>
      <w:r w:rsidRPr="00AA67D7">
        <w:rPr>
          <w:rFonts w:eastAsiaTheme="minorEastAsia"/>
          <w:rtl/>
        </w:rPr>
        <w:t>17</w:t>
      </w:r>
      <w:r w:rsidRPr="00D2562D">
        <w:rPr>
          <w:rFonts w:eastAsiaTheme="minorEastAsia"/>
          <w:rtl/>
        </w:rPr>
        <w:t xml:space="preserve">، مقروءة بمفردها وبالاقتران مع المادة </w:t>
      </w:r>
      <w:r w:rsidRPr="00AA67D7">
        <w:rPr>
          <w:rFonts w:eastAsiaTheme="minorEastAsia"/>
          <w:rtl/>
        </w:rPr>
        <w:t>2</w:t>
      </w:r>
      <w:r w:rsidRPr="00D2562D">
        <w:rPr>
          <w:rFonts w:eastAsiaTheme="minorEastAsia"/>
          <w:rtl/>
        </w:rPr>
        <w:t>(</w:t>
      </w:r>
      <w:r w:rsidR="007954CB" w:rsidRPr="00AA67D7">
        <w:rPr>
          <w:rFonts w:eastAsiaTheme="minorEastAsia"/>
          <w:rtl/>
        </w:rPr>
        <w:t>3</w:t>
      </w:r>
      <w:r w:rsidR="007954CB" w:rsidRPr="007954CB">
        <w:rPr>
          <w:rFonts w:eastAsiaTheme="minorEastAsia"/>
          <w:rtl/>
        </w:rPr>
        <w:t>)</w:t>
      </w:r>
    </w:p>
    <w:p w14:paraId="1C6B6E5B" w14:textId="52379ABE" w:rsidR="00D2562D" w:rsidRPr="00D2562D" w:rsidRDefault="00D2562D" w:rsidP="00E60F47">
      <w:pPr>
        <w:pStyle w:val="SingleTxtGA"/>
        <w:ind w:left="4649" w:hanging="3402"/>
        <w:rPr>
          <w:rFonts w:eastAsiaTheme="minorEastAsia"/>
          <w:lang w:val="ar-SA" w:eastAsia="zh-TW" w:bidi="en-GB"/>
        </w:rPr>
      </w:pPr>
      <w:r w:rsidRPr="00AA67D7">
        <w:rPr>
          <w:rFonts w:eastAsiaTheme="minorEastAsia"/>
          <w:b/>
          <w:bCs/>
          <w:rtl/>
        </w:rPr>
        <w:t>إجراء الانتصاف:</w:t>
      </w:r>
      <w:r w:rsidRPr="00D2562D">
        <w:rPr>
          <w:rFonts w:eastAsiaTheme="minorEastAsia"/>
          <w:rtl/>
        </w:rPr>
        <w:tab/>
      </w:r>
      <w:r w:rsidR="00E60F47">
        <w:rPr>
          <w:rFonts w:eastAsiaTheme="minorEastAsia"/>
          <w:rtl/>
        </w:rPr>
        <w:tab/>
      </w:r>
      <w:r w:rsidR="00E60F47">
        <w:rPr>
          <w:rFonts w:eastAsiaTheme="minorEastAsia"/>
          <w:rtl/>
        </w:rPr>
        <w:tab/>
      </w:r>
      <w:r w:rsidR="00E60F47">
        <w:rPr>
          <w:rFonts w:eastAsiaTheme="minorEastAsia"/>
          <w:rtl/>
        </w:rPr>
        <w:tab/>
      </w:r>
      <w:r w:rsidRPr="00D2562D">
        <w:rPr>
          <w:rFonts w:eastAsiaTheme="minorEastAsia"/>
          <w:rtl/>
        </w:rPr>
        <w:t xml:space="preserve">(أ) تقديم سبيل انتصاف فعال لصاحب البلاغ، بما في ذلك تعويض كاف، بما في ذلك التعويض عن الخسارة في الإيرادات وعن الأضرار والتكاليف القانونية التي تكبدها في إجراءات التقاضي وعن انتهاك حقوقه على النحو المنصوص عليه في هذه الآراء؛ (ب) اتخاذ تدابير ترضية مناسبة لصاحب البلاغ بغية استعادة سمعته وشرفه وكرامته ومكانته المهنية، بما يتمشى مع قرار محكمة المدينة الصادر في </w:t>
      </w:r>
      <w:r w:rsidRPr="00AA67D7">
        <w:rPr>
          <w:rFonts w:eastAsiaTheme="minorEastAsia"/>
          <w:rtl/>
        </w:rPr>
        <w:t>16</w:t>
      </w:r>
      <w:r w:rsidRPr="00D2562D">
        <w:rPr>
          <w:rFonts w:eastAsiaTheme="minorEastAsia"/>
          <w:rtl/>
        </w:rPr>
        <w:t xml:space="preserve"> كانون الثاني/يناير </w:t>
      </w:r>
      <w:r w:rsidRPr="00AA67D7">
        <w:rPr>
          <w:rFonts w:eastAsiaTheme="minorEastAsia"/>
          <w:rtl/>
        </w:rPr>
        <w:t>2009</w:t>
      </w:r>
      <w:r w:rsidRPr="00D2562D">
        <w:rPr>
          <w:rFonts w:eastAsiaTheme="minorEastAsia"/>
          <w:rtl/>
        </w:rPr>
        <w:t>؛ (ج) اتخاذ الخطوات اللازمة لمنع حدوث انتهاكات مماثلة في المستقبل.</w:t>
      </w:r>
    </w:p>
    <w:p w14:paraId="607550BB" w14:textId="63EC1894" w:rsidR="00D2562D" w:rsidRPr="00D2562D" w:rsidRDefault="00D2562D" w:rsidP="00E60F47">
      <w:pPr>
        <w:pStyle w:val="SingleTxtGA"/>
        <w:ind w:left="4649" w:hanging="3402"/>
        <w:rPr>
          <w:rFonts w:eastAsiaTheme="minorEastAsia"/>
          <w:lang w:val="ar-SA" w:eastAsia="zh-TW" w:bidi="en-GB"/>
        </w:rPr>
      </w:pPr>
      <w:r w:rsidRPr="00AA67D7">
        <w:rPr>
          <w:rFonts w:eastAsiaTheme="minorEastAsia"/>
          <w:b/>
          <w:bCs/>
          <w:rtl/>
        </w:rPr>
        <w:t>الموضوع</w:t>
      </w:r>
      <w:r w:rsidRPr="00D2562D">
        <w:rPr>
          <w:rFonts w:eastAsiaTheme="minorEastAsia"/>
        </w:rPr>
        <w:t>:</w:t>
      </w:r>
      <w:r w:rsidRPr="00D2562D">
        <w:rPr>
          <w:rFonts w:eastAsiaTheme="minorEastAsia"/>
          <w:rtl/>
        </w:rPr>
        <w:tab/>
      </w:r>
      <w:r w:rsidR="00E60F47">
        <w:rPr>
          <w:rFonts w:eastAsiaTheme="minorEastAsia"/>
          <w:rtl/>
        </w:rPr>
        <w:tab/>
      </w:r>
      <w:r w:rsidR="00E60F47">
        <w:rPr>
          <w:rFonts w:eastAsiaTheme="minorEastAsia"/>
          <w:rtl/>
        </w:rPr>
        <w:tab/>
      </w:r>
      <w:r w:rsidR="00E60F47">
        <w:rPr>
          <w:rFonts w:eastAsiaTheme="minorEastAsia"/>
          <w:rtl/>
        </w:rPr>
        <w:tab/>
      </w:r>
      <w:r w:rsidR="00E60F47">
        <w:rPr>
          <w:rFonts w:eastAsiaTheme="minorEastAsia"/>
          <w:rtl/>
        </w:rPr>
        <w:tab/>
      </w:r>
      <w:r w:rsidRPr="00D2562D">
        <w:rPr>
          <w:rFonts w:eastAsiaTheme="minorEastAsia"/>
          <w:rtl/>
        </w:rPr>
        <w:t>إلغاء قرارات نهائية توضح إنفاذ قرار قضائي صدر لصالح صاحب البلاغ</w:t>
      </w:r>
    </w:p>
    <w:p w14:paraId="0FA6EE34" w14:textId="7377E212" w:rsidR="00D2562D" w:rsidRPr="00D2562D" w:rsidRDefault="00D2562D" w:rsidP="00D2562D">
      <w:pPr>
        <w:pStyle w:val="SingleTxtGA"/>
        <w:rPr>
          <w:rFonts w:eastAsiaTheme="minorEastAsia"/>
          <w:lang w:val="ar-SA" w:eastAsia="zh-TW" w:bidi="en-GB"/>
        </w:rPr>
      </w:pPr>
      <w:r w:rsidRPr="00AA67D7">
        <w:rPr>
          <w:rFonts w:eastAsiaTheme="minorEastAsia"/>
          <w:b/>
          <w:bCs/>
          <w:rtl/>
        </w:rPr>
        <w:t>معلومات المتابعة المقدمة سابقاً:</w:t>
      </w:r>
      <w:r w:rsidRPr="00D2562D">
        <w:rPr>
          <w:rFonts w:eastAsiaTheme="minorEastAsia"/>
          <w:rtl/>
        </w:rPr>
        <w:tab/>
      </w:r>
      <w:r w:rsidR="00E60F47">
        <w:rPr>
          <w:rFonts w:eastAsiaTheme="minorEastAsia"/>
          <w:rtl/>
        </w:rPr>
        <w:tab/>
      </w:r>
      <w:r w:rsidRPr="00D2562D">
        <w:rPr>
          <w:rFonts w:eastAsiaTheme="minorEastAsia"/>
          <w:rtl/>
        </w:rPr>
        <w:t>لا يوجد</w:t>
      </w:r>
    </w:p>
    <w:p w14:paraId="120CF352" w14:textId="31336E2A"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الدولة الطرف:</w:t>
      </w:r>
      <w:r w:rsidR="00E60F47">
        <w:rPr>
          <w:rFonts w:eastAsiaTheme="minorEastAsia"/>
          <w:rtl/>
        </w:rPr>
        <w:tab/>
      </w:r>
      <w:r w:rsidR="00E60F47">
        <w:rPr>
          <w:rFonts w:eastAsiaTheme="minorEastAsia"/>
          <w:rtl/>
        </w:rPr>
        <w:tab/>
      </w:r>
      <w:r w:rsidRPr="00AA67D7">
        <w:rPr>
          <w:rFonts w:eastAsiaTheme="minorEastAsia"/>
          <w:rtl/>
        </w:rPr>
        <w:t>7</w:t>
      </w:r>
      <w:r w:rsidRPr="00D2562D">
        <w:rPr>
          <w:rFonts w:eastAsiaTheme="minorEastAsia"/>
          <w:rtl/>
        </w:rPr>
        <w:t xml:space="preserve"> آذار/مارس </w:t>
      </w:r>
      <w:r w:rsidRPr="00AA67D7">
        <w:rPr>
          <w:rFonts w:eastAsiaTheme="minorEastAsia"/>
          <w:rtl/>
        </w:rPr>
        <w:t>2018</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30"/>
      </w:r>
      <w:r w:rsidRPr="00D2562D">
        <w:rPr>
          <w:rStyle w:val="FootnoteReference"/>
          <w:rFonts w:eastAsiaTheme="minorEastAsia"/>
          <w:sz w:val="22"/>
          <w:rtl/>
        </w:rPr>
        <w:t>)</w:t>
      </w:r>
    </w:p>
    <w:p w14:paraId="15DF4DA2" w14:textId="3F59FA21" w:rsidR="00D2562D" w:rsidRPr="00D2562D"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تذكر الدولة الطرف بمسار الأحداث التي دفعت صاحب البلاغ إلى رفع دعوى تشهير في </w:t>
      </w:r>
      <w:r w:rsidR="00D2562D" w:rsidRPr="00AA67D7">
        <w:rPr>
          <w:rFonts w:eastAsiaTheme="minorEastAsia"/>
          <w:rtl/>
        </w:rPr>
        <w:t>30</w:t>
      </w:r>
      <w:r w:rsidR="00D2562D" w:rsidRPr="00D2562D">
        <w:rPr>
          <w:rFonts w:eastAsiaTheme="minorEastAsia"/>
          <w:rtl/>
        </w:rPr>
        <w:t xml:space="preserve"> حزيران/يونيه </w:t>
      </w:r>
      <w:r w:rsidR="00D2562D" w:rsidRPr="00AA67D7">
        <w:rPr>
          <w:rFonts w:eastAsiaTheme="minorEastAsia"/>
          <w:rtl/>
        </w:rPr>
        <w:t>2008</w:t>
      </w:r>
      <w:r w:rsidR="00D2562D" w:rsidRPr="00D2562D">
        <w:rPr>
          <w:rFonts w:eastAsiaTheme="minorEastAsia"/>
          <w:rtl/>
        </w:rPr>
        <w:t xml:space="preserve"> ضد صحيفة وطنية كبرى، هي</w:t>
      </w:r>
      <w:r w:rsidR="00D2562D" w:rsidRPr="00AA67D7">
        <w:rPr>
          <w:rFonts w:eastAsiaTheme="minorEastAsia"/>
          <w:i/>
          <w:iCs/>
          <w:rtl/>
        </w:rPr>
        <w:t> أوزبكستان أوفوسي</w:t>
      </w:r>
      <w:r w:rsidR="00D2562D" w:rsidRPr="00D2562D">
        <w:rPr>
          <w:rFonts w:eastAsiaTheme="minorEastAsia"/>
          <w:rtl/>
        </w:rPr>
        <w:t> (</w:t>
      </w:r>
      <w:r w:rsidR="00142AB1">
        <w:rPr>
          <w:rFonts w:eastAsiaTheme="minorEastAsia" w:hint="cs"/>
          <w:rtl/>
        </w:rPr>
        <w:t>"</w:t>
      </w:r>
      <w:r w:rsidR="00D2562D" w:rsidRPr="00D2562D">
        <w:rPr>
          <w:rFonts w:eastAsiaTheme="minorEastAsia"/>
          <w:rtl/>
        </w:rPr>
        <w:t>صوت أوزبكستان</w:t>
      </w:r>
      <w:r w:rsidR="00142AB1">
        <w:rPr>
          <w:rFonts w:eastAsiaTheme="minorEastAsia" w:hint="cs"/>
          <w:rtl/>
        </w:rPr>
        <w:t>"</w:t>
      </w:r>
      <w:r w:rsidR="007954CB" w:rsidRPr="007954CB">
        <w:rPr>
          <w:rFonts w:eastAsiaTheme="minorEastAsia"/>
          <w:rtl/>
        </w:rPr>
        <w:t xml:space="preserve">). </w:t>
      </w:r>
      <w:r w:rsidR="00D2562D" w:rsidRPr="00D2562D">
        <w:rPr>
          <w:rFonts w:eastAsiaTheme="minorEastAsia"/>
          <w:rtl/>
        </w:rPr>
        <w:t>وفي</w:t>
      </w:r>
      <w:r>
        <w:rPr>
          <w:rFonts w:eastAsiaTheme="minorEastAsia" w:hint="cs"/>
          <w:rtl/>
        </w:rPr>
        <w:t> </w:t>
      </w:r>
      <w:r w:rsidR="00D2562D" w:rsidRPr="00AA67D7">
        <w:rPr>
          <w:rFonts w:eastAsiaTheme="minorEastAsia"/>
          <w:rtl/>
        </w:rPr>
        <w:t>12</w:t>
      </w:r>
      <w:r w:rsidR="00D2562D" w:rsidRPr="00D2562D">
        <w:rPr>
          <w:rFonts w:eastAsiaTheme="minorEastAsia"/>
          <w:rtl/>
        </w:rPr>
        <w:t xml:space="preserve"> تشرين الثاني/نوفمبر </w:t>
      </w:r>
      <w:r w:rsidR="00D2562D" w:rsidRPr="00AA67D7">
        <w:rPr>
          <w:rFonts w:eastAsiaTheme="minorEastAsia"/>
          <w:rtl/>
        </w:rPr>
        <w:t>2008</w:t>
      </w:r>
      <w:r w:rsidR="00D2562D" w:rsidRPr="00D2562D">
        <w:rPr>
          <w:rFonts w:eastAsiaTheme="minorEastAsia"/>
          <w:rtl/>
        </w:rPr>
        <w:t>، قبلت محكمة ميراباد المحلية في طشقند طلب صاحب البلاغ وأمرت الصحيفة بنشر تصحيح في عددها التالي.</w:t>
      </w:r>
    </w:p>
    <w:p w14:paraId="6A7F6D8C" w14:textId="29E825A5" w:rsidR="007954CB" w:rsidRPr="007954CB"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وفي </w:t>
      </w:r>
      <w:r w:rsidR="00D2562D" w:rsidRPr="00AA67D7">
        <w:rPr>
          <w:rFonts w:eastAsiaTheme="minorEastAsia"/>
          <w:rtl/>
        </w:rPr>
        <w:t>16</w:t>
      </w:r>
      <w:r w:rsidR="00D2562D" w:rsidRPr="00D2562D">
        <w:rPr>
          <w:rFonts w:eastAsiaTheme="minorEastAsia"/>
          <w:rtl/>
        </w:rPr>
        <w:t xml:space="preserve"> كانون الثاني/يناير </w:t>
      </w:r>
      <w:r w:rsidR="00D2562D" w:rsidRPr="00AA67D7">
        <w:rPr>
          <w:rFonts w:eastAsiaTheme="minorEastAsia"/>
          <w:rtl/>
        </w:rPr>
        <w:t>2009</w:t>
      </w:r>
      <w:r w:rsidR="00D2562D" w:rsidRPr="00D2562D">
        <w:rPr>
          <w:rFonts w:eastAsiaTheme="minorEastAsia"/>
          <w:rtl/>
        </w:rPr>
        <w:t xml:space="preserve">، وفي أعقاب الطعن بالنقض الذي قدمته صحيفة </w:t>
      </w:r>
      <w:r w:rsidR="00D2562D" w:rsidRPr="00AA67D7">
        <w:rPr>
          <w:rFonts w:eastAsiaTheme="minorEastAsia"/>
          <w:i/>
          <w:iCs/>
          <w:rtl/>
        </w:rPr>
        <w:t>أوزبكستان أوفوسي</w:t>
      </w:r>
      <w:r w:rsidR="00D2562D" w:rsidRPr="00D2562D">
        <w:rPr>
          <w:rFonts w:eastAsiaTheme="minorEastAsia"/>
          <w:rtl/>
        </w:rPr>
        <w:t xml:space="preserve">، عدّلت محكمة مدينة طشقند قرار المحكمة الابتدائية، وأمرت الصحيفة بنشر صيغة تصحيحية بديلة، تمشياً مع أحكام قانون وسائط الإعلام. وفي </w:t>
      </w:r>
      <w:r w:rsidR="00D2562D" w:rsidRPr="00AA67D7">
        <w:rPr>
          <w:rFonts w:eastAsiaTheme="minorEastAsia"/>
          <w:rtl/>
        </w:rPr>
        <w:t>16</w:t>
      </w:r>
      <w:r w:rsidR="00D2562D" w:rsidRPr="00D2562D">
        <w:rPr>
          <w:rFonts w:eastAsiaTheme="minorEastAsia"/>
          <w:rtl/>
        </w:rPr>
        <w:t xml:space="preserve"> تموز/يوليه </w:t>
      </w:r>
      <w:r w:rsidR="00D2562D" w:rsidRPr="00AA67D7">
        <w:rPr>
          <w:rFonts w:eastAsiaTheme="minorEastAsia"/>
          <w:rtl/>
        </w:rPr>
        <w:t>2009</w:t>
      </w:r>
      <w:r w:rsidR="00D2562D" w:rsidRPr="00D2562D">
        <w:rPr>
          <w:rFonts w:eastAsiaTheme="minorEastAsia"/>
          <w:rtl/>
        </w:rPr>
        <w:t xml:space="preserve">، أبلغت الصحيفة المحكمة بأنها نشرت التصحيح، ممتثلة بذلك للقرار الصادر في </w:t>
      </w:r>
      <w:r w:rsidR="00D2562D" w:rsidRPr="00AA67D7">
        <w:rPr>
          <w:rFonts w:eastAsiaTheme="minorEastAsia"/>
          <w:rtl/>
        </w:rPr>
        <w:t>16</w:t>
      </w:r>
      <w:r w:rsidR="00D2562D" w:rsidRPr="00D2562D">
        <w:rPr>
          <w:rFonts w:eastAsiaTheme="minorEastAsia"/>
          <w:rtl/>
        </w:rPr>
        <w:t xml:space="preserve"> كانون الثاني/يناير </w:t>
      </w:r>
      <w:r w:rsidR="00D2562D" w:rsidRPr="00AA67D7">
        <w:rPr>
          <w:rFonts w:eastAsiaTheme="minorEastAsia"/>
          <w:rtl/>
        </w:rPr>
        <w:t>200</w:t>
      </w:r>
      <w:r w:rsidR="007954CB" w:rsidRPr="00AA67D7">
        <w:rPr>
          <w:rFonts w:eastAsiaTheme="minorEastAsia"/>
          <w:rtl/>
        </w:rPr>
        <w:t>9</w:t>
      </w:r>
      <w:r w:rsidR="007954CB" w:rsidRPr="007954CB">
        <w:rPr>
          <w:rFonts w:eastAsiaTheme="minorEastAsia"/>
          <w:rtl/>
        </w:rPr>
        <w:t>.</w:t>
      </w:r>
    </w:p>
    <w:p w14:paraId="760B212A" w14:textId="29A4D1E4" w:rsidR="007954CB" w:rsidRPr="007954CB"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وفي </w:t>
      </w:r>
      <w:r w:rsidR="00D2562D" w:rsidRPr="00AA67D7">
        <w:rPr>
          <w:rFonts w:eastAsiaTheme="minorEastAsia"/>
          <w:rtl/>
        </w:rPr>
        <w:t>16</w:t>
      </w:r>
      <w:r w:rsidR="00D2562D" w:rsidRPr="00D2562D">
        <w:rPr>
          <w:rFonts w:eastAsiaTheme="minorEastAsia"/>
          <w:rtl/>
        </w:rPr>
        <w:t xml:space="preserve"> تموز/يوليه و</w:t>
      </w:r>
      <w:r w:rsidR="00D2562D" w:rsidRPr="00AA67D7">
        <w:rPr>
          <w:rFonts w:eastAsiaTheme="minorEastAsia"/>
          <w:rtl/>
        </w:rPr>
        <w:t>25</w:t>
      </w:r>
      <w:r w:rsidR="00D2562D" w:rsidRPr="00D2562D">
        <w:rPr>
          <w:rFonts w:eastAsiaTheme="minorEastAsia"/>
          <w:rtl/>
        </w:rPr>
        <w:t xml:space="preserve"> آب/أغسطس و</w:t>
      </w:r>
      <w:r w:rsidR="00D2562D" w:rsidRPr="00AA67D7">
        <w:rPr>
          <w:rFonts w:eastAsiaTheme="minorEastAsia"/>
          <w:rtl/>
        </w:rPr>
        <w:t>7</w:t>
      </w:r>
      <w:r w:rsidR="00D2562D" w:rsidRPr="00D2562D">
        <w:rPr>
          <w:rFonts w:eastAsiaTheme="minorEastAsia"/>
          <w:rtl/>
        </w:rPr>
        <w:t xml:space="preserve"> أيلول/سبتمبر </w:t>
      </w:r>
      <w:r w:rsidR="00D2562D" w:rsidRPr="00AA67D7">
        <w:rPr>
          <w:rFonts w:eastAsiaTheme="minorEastAsia"/>
          <w:rtl/>
        </w:rPr>
        <w:t>2009</w:t>
      </w:r>
      <w:r w:rsidR="00D2562D" w:rsidRPr="00D2562D">
        <w:rPr>
          <w:rFonts w:eastAsiaTheme="minorEastAsia"/>
          <w:rtl/>
        </w:rPr>
        <w:t xml:space="preserve">، طلبت دائرة مأموري التنفيذ القضائي في مقاطعة ميراباد إلى محكمة مدينة طشقند توضيح ما إذا كان التصحيح الذي نشرته الصحيفة، </w:t>
      </w:r>
      <w:r w:rsidR="00D2562D" w:rsidRPr="00E60F47">
        <w:rPr>
          <w:rFonts w:eastAsiaTheme="minorEastAsia"/>
          <w:spacing w:val="-4"/>
          <w:rtl/>
        </w:rPr>
        <w:t xml:space="preserve">يمكن أن يُعدَّ بمثابة إنفاذ للقرار الصادر في </w:t>
      </w:r>
      <w:r w:rsidR="00D2562D" w:rsidRPr="00AA67D7">
        <w:rPr>
          <w:rFonts w:eastAsiaTheme="minorEastAsia"/>
          <w:spacing w:val="-4"/>
          <w:rtl/>
        </w:rPr>
        <w:t>16</w:t>
      </w:r>
      <w:r w:rsidR="00D2562D" w:rsidRPr="00E60F47">
        <w:rPr>
          <w:rFonts w:eastAsiaTheme="minorEastAsia"/>
          <w:spacing w:val="-4"/>
          <w:rtl/>
        </w:rPr>
        <w:t xml:space="preserve"> كانون الثاني/يناير </w:t>
      </w:r>
      <w:r w:rsidR="00D2562D" w:rsidRPr="00AA67D7">
        <w:rPr>
          <w:rFonts w:eastAsiaTheme="minorEastAsia"/>
          <w:spacing w:val="-4"/>
          <w:rtl/>
        </w:rPr>
        <w:t>200</w:t>
      </w:r>
      <w:r w:rsidR="007954CB" w:rsidRPr="00AA67D7">
        <w:rPr>
          <w:rFonts w:eastAsiaTheme="minorEastAsia"/>
          <w:spacing w:val="-4"/>
          <w:rtl/>
        </w:rPr>
        <w:t>9</w:t>
      </w:r>
      <w:r w:rsidR="007954CB" w:rsidRPr="007954CB">
        <w:rPr>
          <w:rFonts w:eastAsiaTheme="minorEastAsia"/>
          <w:spacing w:val="-4"/>
          <w:rtl/>
        </w:rPr>
        <w:t xml:space="preserve">. </w:t>
      </w:r>
      <w:r w:rsidR="00D2562D" w:rsidRPr="00E60F47">
        <w:rPr>
          <w:rFonts w:eastAsiaTheme="minorEastAsia"/>
          <w:spacing w:val="-4"/>
          <w:rtl/>
        </w:rPr>
        <w:t xml:space="preserve">وفي </w:t>
      </w:r>
      <w:r w:rsidR="00D2562D" w:rsidRPr="00AA67D7">
        <w:rPr>
          <w:rFonts w:eastAsiaTheme="minorEastAsia"/>
          <w:spacing w:val="-4"/>
          <w:rtl/>
        </w:rPr>
        <w:t>10</w:t>
      </w:r>
      <w:r w:rsidR="00D2562D" w:rsidRPr="00E60F47">
        <w:rPr>
          <w:rFonts w:eastAsiaTheme="minorEastAsia"/>
          <w:spacing w:val="-4"/>
          <w:rtl/>
        </w:rPr>
        <w:t xml:space="preserve"> أيلول/سبتمبر </w:t>
      </w:r>
      <w:r w:rsidR="00D2562D" w:rsidRPr="00AA67D7">
        <w:rPr>
          <w:rFonts w:eastAsiaTheme="minorEastAsia"/>
          <w:spacing w:val="-4"/>
          <w:rtl/>
        </w:rPr>
        <w:t>2009</w:t>
      </w:r>
      <w:r w:rsidR="00D2562D" w:rsidRPr="00E60F47">
        <w:rPr>
          <w:rFonts w:eastAsiaTheme="minorEastAsia"/>
          <w:spacing w:val="-4"/>
          <w:rtl/>
        </w:rPr>
        <w:t>، قدم</w:t>
      </w:r>
      <w:r>
        <w:rPr>
          <w:rFonts w:eastAsiaTheme="minorEastAsia" w:hint="cs"/>
          <w:spacing w:val="-4"/>
          <w:rtl/>
        </w:rPr>
        <w:t> </w:t>
      </w:r>
      <w:r w:rsidR="00D2562D" w:rsidRPr="00E60F47">
        <w:rPr>
          <w:rFonts w:eastAsiaTheme="minorEastAsia"/>
          <w:spacing w:val="-4"/>
          <w:rtl/>
        </w:rPr>
        <w:t xml:space="preserve">صاحب البلاغ نفس طلب الاستيضاح إلى محكمة مدينة طشقند. وبموجب قرار صادر في </w:t>
      </w:r>
      <w:r w:rsidR="00D2562D" w:rsidRPr="00AA67D7">
        <w:rPr>
          <w:rFonts w:eastAsiaTheme="minorEastAsia"/>
          <w:spacing w:val="-4"/>
          <w:rtl/>
        </w:rPr>
        <w:t>11</w:t>
      </w:r>
      <w:r w:rsidR="00D2562D" w:rsidRPr="00E60F47">
        <w:rPr>
          <w:rFonts w:eastAsiaTheme="minorEastAsia"/>
          <w:spacing w:val="-4"/>
          <w:rtl/>
        </w:rPr>
        <w:t xml:space="preserve"> أيلول/</w:t>
      </w:r>
      <w:r>
        <w:rPr>
          <w:rFonts w:eastAsiaTheme="minorEastAsia" w:hint="cs"/>
          <w:spacing w:val="-4"/>
          <w:rtl/>
        </w:rPr>
        <w:t xml:space="preserve"> </w:t>
      </w:r>
      <w:r w:rsidR="00D2562D" w:rsidRPr="00E60F47">
        <w:rPr>
          <w:rFonts w:eastAsiaTheme="minorEastAsia"/>
          <w:spacing w:val="-4"/>
          <w:rtl/>
        </w:rPr>
        <w:t xml:space="preserve">سبتمبر </w:t>
      </w:r>
      <w:r w:rsidR="00D2562D" w:rsidRPr="00AA67D7">
        <w:rPr>
          <w:rFonts w:eastAsiaTheme="minorEastAsia"/>
          <w:spacing w:val="-4"/>
          <w:rtl/>
        </w:rPr>
        <w:t>2009</w:t>
      </w:r>
      <w:r w:rsidR="00D2562D" w:rsidRPr="00E60F47">
        <w:rPr>
          <w:rFonts w:eastAsiaTheme="minorEastAsia"/>
          <w:spacing w:val="-4"/>
          <w:rtl/>
        </w:rPr>
        <w:t xml:space="preserve">، ردت محكمة مدينة طشقند بما يفيد أن هذا التصحيح لا يمكن أن يعدَّ بمثابة إنفاذ لقرارها الصادر في </w:t>
      </w:r>
      <w:r w:rsidR="00D2562D" w:rsidRPr="00AA67D7">
        <w:rPr>
          <w:rFonts w:eastAsiaTheme="minorEastAsia"/>
          <w:spacing w:val="-4"/>
          <w:rtl/>
        </w:rPr>
        <w:t>16</w:t>
      </w:r>
      <w:r w:rsidR="00D2562D" w:rsidRPr="00E60F47">
        <w:rPr>
          <w:rFonts w:eastAsiaTheme="minorEastAsia"/>
          <w:spacing w:val="-4"/>
          <w:rtl/>
        </w:rPr>
        <w:t xml:space="preserve"> كانون الثاني/يناير </w:t>
      </w:r>
      <w:r w:rsidR="00D2562D" w:rsidRPr="00AA67D7">
        <w:rPr>
          <w:rFonts w:eastAsiaTheme="minorEastAsia"/>
          <w:spacing w:val="-4"/>
          <w:rtl/>
        </w:rPr>
        <w:t>2009</w:t>
      </w:r>
      <w:r w:rsidR="00D2562D" w:rsidRPr="00E60F47">
        <w:rPr>
          <w:rFonts w:eastAsiaTheme="minorEastAsia"/>
          <w:spacing w:val="-4"/>
          <w:rtl/>
        </w:rPr>
        <w:t>، وأوضحت أن التصحيح ينبغي أن يستند إلى الصيغة التي قدَّمها صاحب البلاغ أو يصاغ بالتنسيق معه، إن كان طول النص المقدم من صاحب</w:t>
      </w:r>
      <w:r w:rsidR="00D2562D" w:rsidRPr="00D2562D">
        <w:rPr>
          <w:rFonts w:eastAsiaTheme="minorEastAsia"/>
          <w:rtl/>
        </w:rPr>
        <w:t xml:space="preserve"> البلاغ ووقت إرساله يُضران </w:t>
      </w:r>
      <w:r w:rsidR="00D2562D" w:rsidRPr="00D2562D">
        <w:rPr>
          <w:rFonts w:eastAsiaTheme="minorEastAsia"/>
          <w:rtl/>
        </w:rPr>
        <w:lastRenderedPageBreak/>
        <w:t xml:space="preserve">بأنشطة الصحيفة. وفي </w:t>
      </w:r>
      <w:r w:rsidR="00D2562D" w:rsidRPr="00AA67D7">
        <w:rPr>
          <w:rFonts w:eastAsiaTheme="minorEastAsia"/>
          <w:rtl/>
        </w:rPr>
        <w:t>2</w:t>
      </w:r>
      <w:r w:rsidR="00D2562D" w:rsidRPr="00D2562D">
        <w:rPr>
          <w:rFonts w:eastAsiaTheme="minorEastAsia"/>
          <w:rtl/>
        </w:rPr>
        <w:t xml:space="preserve"> تشرين الأول/أكتوبر </w:t>
      </w:r>
      <w:r w:rsidR="00D2562D" w:rsidRPr="00AA67D7">
        <w:rPr>
          <w:rFonts w:eastAsiaTheme="minorEastAsia"/>
          <w:rtl/>
        </w:rPr>
        <w:t>2009</w:t>
      </w:r>
      <w:r w:rsidR="00D2562D" w:rsidRPr="00D2562D">
        <w:rPr>
          <w:rFonts w:eastAsiaTheme="minorEastAsia"/>
          <w:rtl/>
        </w:rPr>
        <w:t xml:space="preserve">، طلبت دائرة مأموري التنفيذ القضائي في مقاطعة ميراباد إلى </w:t>
      </w:r>
      <w:r w:rsidR="00D2562D" w:rsidRPr="00AA67D7">
        <w:rPr>
          <w:rFonts w:eastAsiaTheme="minorEastAsia"/>
          <w:i/>
          <w:iCs/>
          <w:rtl/>
        </w:rPr>
        <w:t>أوزبكستان أوفوسي</w:t>
      </w:r>
      <w:r w:rsidR="00D2562D" w:rsidRPr="00D2562D">
        <w:rPr>
          <w:rFonts w:eastAsiaTheme="minorEastAsia"/>
          <w:rtl/>
        </w:rPr>
        <w:t xml:space="preserve"> أن تنشر فوراً صيغة التصحيح التي قدمها صاحب البلاغ، مع الإشارة إلى قرار محكمة مدينة طشقند الصادر في </w:t>
      </w:r>
      <w:r w:rsidR="00D2562D" w:rsidRPr="00AA67D7">
        <w:rPr>
          <w:rFonts w:eastAsiaTheme="minorEastAsia"/>
          <w:rtl/>
        </w:rPr>
        <w:t>11</w:t>
      </w:r>
      <w:r w:rsidR="00D2562D" w:rsidRPr="00D2562D">
        <w:rPr>
          <w:rFonts w:eastAsiaTheme="minorEastAsia"/>
          <w:rtl/>
        </w:rPr>
        <w:t xml:space="preserve"> أيلول/سبتمبر </w:t>
      </w:r>
      <w:r w:rsidR="00D2562D" w:rsidRPr="00AA67D7">
        <w:rPr>
          <w:rFonts w:eastAsiaTheme="minorEastAsia"/>
          <w:rtl/>
        </w:rPr>
        <w:t>2009</w:t>
      </w:r>
      <w:r w:rsidR="00D2562D" w:rsidRPr="00D2562D">
        <w:rPr>
          <w:rFonts w:eastAsiaTheme="minorEastAsia"/>
          <w:rtl/>
        </w:rPr>
        <w:t xml:space="preserve"> وإلى المادة </w:t>
      </w:r>
      <w:r w:rsidR="00D2562D" w:rsidRPr="00AA67D7">
        <w:rPr>
          <w:rFonts w:eastAsiaTheme="minorEastAsia"/>
          <w:rtl/>
        </w:rPr>
        <w:t>34</w:t>
      </w:r>
      <w:r w:rsidR="00D2562D" w:rsidRPr="00D2562D">
        <w:rPr>
          <w:rFonts w:eastAsiaTheme="minorEastAsia"/>
          <w:rtl/>
        </w:rPr>
        <w:t xml:space="preserve"> من القانون المتعلق بوسائط الإعلام (الحق في التصحيح والرد</w:t>
      </w:r>
      <w:r w:rsidR="007954CB" w:rsidRPr="007954CB">
        <w:rPr>
          <w:rFonts w:eastAsiaTheme="minorEastAsia"/>
          <w:rtl/>
        </w:rPr>
        <w:t xml:space="preserve">). </w:t>
      </w:r>
      <w:r w:rsidR="00D2562D" w:rsidRPr="00D2562D">
        <w:rPr>
          <w:rFonts w:eastAsiaTheme="minorEastAsia"/>
          <w:rtl/>
        </w:rPr>
        <w:t xml:space="preserve">بيد أن الصحيفة لم تمتثل لذلك الطلب، بل قدمت طعناً إجرائياً ضد القرار الصادر في </w:t>
      </w:r>
      <w:r w:rsidR="00D2562D" w:rsidRPr="00AA67D7">
        <w:rPr>
          <w:rFonts w:eastAsiaTheme="minorEastAsia"/>
          <w:rtl/>
        </w:rPr>
        <w:t>11</w:t>
      </w:r>
      <w:r w:rsidR="00D2562D" w:rsidRPr="00D2562D">
        <w:rPr>
          <w:rFonts w:eastAsiaTheme="minorEastAsia"/>
          <w:rtl/>
        </w:rPr>
        <w:t xml:space="preserve"> أيلول/سبتمبر </w:t>
      </w:r>
      <w:r w:rsidR="00D2562D" w:rsidRPr="00AA67D7">
        <w:rPr>
          <w:rFonts w:eastAsiaTheme="minorEastAsia"/>
          <w:rtl/>
        </w:rPr>
        <w:t>2009</w:t>
      </w:r>
      <w:r w:rsidR="00D2562D" w:rsidRPr="00D2562D">
        <w:rPr>
          <w:rFonts w:eastAsiaTheme="minorEastAsia"/>
          <w:rtl/>
        </w:rPr>
        <w:t xml:space="preserve"> أمام محكمة مدينة طشقند، التي رفضته في </w:t>
      </w:r>
      <w:r w:rsidR="00D2562D" w:rsidRPr="00AA67D7">
        <w:rPr>
          <w:rFonts w:eastAsiaTheme="minorEastAsia"/>
          <w:rtl/>
        </w:rPr>
        <w:t>13</w:t>
      </w:r>
      <w:r w:rsidR="00D2562D" w:rsidRPr="00D2562D">
        <w:rPr>
          <w:rFonts w:eastAsiaTheme="minorEastAsia"/>
          <w:rtl/>
        </w:rPr>
        <w:t xml:space="preserve"> تشرين الأول/أكتوبر </w:t>
      </w:r>
      <w:r w:rsidR="00D2562D" w:rsidRPr="00AA67D7">
        <w:rPr>
          <w:rFonts w:eastAsiaTheme="minorEastAsia"/>
          <w:rtl/>
        </w:rPr>
        <w:t>200</w:t>
      </w:r>
      <w:r w:rsidR="007954CB" w:rsidRPr="00AA67D7">
        <w:rPr>
          <w:rFonts w:eastAsiaTheme="minorEastAsia"/>
          <w:rtl/>
        </w:rPr>
        <w:t>9</w:t>
      </w:r>
      <w:r w:rsidR="007954CB" w:rsidRPr="007954CB">
        <w:rPr>
          <w:rFonts w:eastAsiaTheme="minorEastAsia"/>
          <w:rtl/>
        </w:rPr>
        <w:t>.</w:t>
      </w:r>
    </w:p>
    <w:p w14:paraId="412DDA46" w14:textId="562D6C40" w:rsidR="00D2562D" w:rsidRPr="00D2562D"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وفي </w:t>
      </w:r>
      <w:r w:rsidR="00D2562D" w:rsidRPr="00AA67D7">
        <w:rPr>
          <w:rFonts w:eastAsiaTheme="minorEastAsia"/>
          <w:rtl/>
        </w:rPr>
        <w:t>30</w:t>
      </w:r>
      <w:r w:rsidR="00D2562D" w:rsidRPr="00D2562D">
        <w:rPr>
          <w:rFonts w:eastAsiaTheme="minorEastAsia"/>
          <w:rtl/>
        </w:rPr>
        <w:t xml:space="preserve"> تشرين الأول/أكتوبر </w:t>
      </w:r>
      <w:r w:rsidR="00D2562D" w:rsidRPr="00AA67D7">
        <w:rPr>
          <w:rFonts w:eastAsiaTheme="minorEastAsia"/>
          <w:rtl/>
        </w:rPr>
        <w:t>2009</w:t>
      </w:r>
      <w:r w:rsidR="00D2562D" w:rsidRPr="00D2562D">
        <w:rPr>
          <w:rFonts w:eastAsiaTheme="minorEastAsia"/>
          <w:rtl/>
        </w:rPr>
        <w:t xml:space="preserve">، طلب المدعي العام لمدينة طشقند إلى هيئة رئاسة محكمة مدينة طشقند إلغاء القرارين الصادرين في </w:t>
      </w:r>
      <w:r w:rsidR="00D2562D" w:rsidRPr="00AA67D7">
        <w:rPr>
          <w:rFonts w:eastAsiaTheme="minorEastAsia"/>
          <w:rtl/>
        </w:rPr>
        <w:t>11</w:t>
      </w:r>
      <w:r w:rsidR="00D2562D" w:rsidRPr="00D2562D">
        <w:rPr>
          <w:rFonts w:eastAsiaTheme="minorEastAsia"/>
          <w:rtl/>
        </w:rPr>
        <w:t xml:space="preserve"> أيلول/سبتمبر و</w:t>
      </w:r>
      <w:r w:rsidR="00D2562D" w:rsidRPr="00AA67D7">
        <w:rPr>
          <w:rFonts w:eastAsiaTheme="minorEastAsia"/>
          <w:rtl/>
        </w:rPr>
        <w:t>13</w:t>
      </w:r>
      <w:r w:rsidR="00D2562D" w:rsidRPr="00D2562D">
        <w:rPr>
          <w:rFonts w:eastAsiaTheme="minorEastAsia"/>
          <w:rtl/>
        </w:rPr>
        <w:t xml:space="preserve"> تشرين الأول/أكتوبر </w:t>
      </w:r>
      <w:r w:rsidR="00D2562D" w:rsidRPr="00AA67D7">
        <w:rPr>
          <w:rFonts w:eastAsiaTheme="minorEastAsia"/>
          <w:rtl/>
        </w:rPr>
        <w:t>200</w:t>
      </w:r>
      <w:r w:rsidR="007954CB" w:rsidRPr="00AA67D7">
        <w:rPr>
          <w:rFonts w:eastAsiaTheme="minorEastAsia"/>
          <w:rtl/>
        </w:rPr>
        <w:t>9</w:t>
      </w:r>
      <w:r w:rsidR="007954CB" w:rsidRPr="007954CB">
        <w:rPr>
          <w:rFonts w:eastAsiaTheme="minorEastAsia"/>
          <w:rtl/>
        </w:rPr>
        <w:t xml:space="preserve">. </w:t>
      </w:r>
      <w:r w:rsidR="00D2562D" w:rsidRPr="00D2562D">
        <w:rPr>
          <w:rFonts w:eastAsiaTheme="minorEastAsia"/>
          <w:rtl/>
        </w:rPr>
        <w:t xml:space="preserve">وفي </w:t>
      </w:r>
      <w:r w:rsidR="00D2562D" w:rsidRPr="00AA67D7">
        <w:rPr>
          <w:rFonts w:eastAsiaTheme="minorEastAsia"/>
          <w:rtl/>
        </w:rPr>
        <w:t>24</w:t>
      </w:r>
      <w:r w:rsidR="00D2562D" w:rsidRPr="00D2562D">
        <w:rPr>
          <w:rFonts w:eastAsiaTheme="minorEastAsia"/>
          <w:rtl/>
        </w:rPr>
        <w:t xml:space="preserve"> كانون الأول/ديسمبر </w:t>
      </w:r>
      <w:r w:rsidR="00D2562D" w:rsidRPr="00AA67D7">
        <w:rPr>
          <w:rFonts w:eastAsiaTheme="minorEastAsia"/>
          <w:rtl/>
        </w:rPr>
        <w:t>2009</w:t>
      </w:r>
      <w:r w:rsidR="00D2562D" w:rsidRPr="00D2562D">
        <w:rPr>
          <w:rFonts w:eastAsiaTheme="minorEastAsia"/>
          <w:rtl/>
        </w:rPr>
        <w:t xml:space="preserve">، ألغت هيئة رئاسة محكمة مدينة طشقند هذين القرارين وأحالت القضية إلى محكمة أخرى ليُنظر فيها من جديد في مرحلة الاستئناف. وفي </w:t>
      </w:r>
      <w:r w:rsidR="00D2562D" w:rsidRPr="00AA67D7">
        <w:rPr>
          <w:rFonts w:eastAsiaTheme="minorEastAsia"/>
          <w:rtl/>
        </w:rPr>
        <w:t>29</w:t>
      </w:r>
      <w:r w:rsidR="00D2562D" w:rsidRPr="00D2562D">
        <w:rPr>
          <w:rFonts w:eastAsiaTheme="minorEastAsia"/>
          <w:rtl/>
        </w:rPr>
        <w:t xml:space="preserve"> كانون الثاني/يناير </w:t>
      </w:r>
      <w:r w:rsidR="00D2562D" w:rsidRPr="00AA67D7">
        <w:rPr>
          <w:rFonts w:eastAsiaTheme="minorEastAsia"/>
          <w:rtl/>
        </w:rPr>
        <w:t>2010</w:t>
      </w:r>
      <w:r w:rsidR="00D2562D" w:rsidRPr="00D2562D">
        <w:rPr>
          <w:rFonts w:eastAsiaTheme="minorEastAsia"/>
          <w:rtl/>
        </w:rPr>
        <w:t xml:space="preserve">، رفضت محكمة مدينة طشقند طلبي الاستيضاح بشأن تطابق التصحيح مع قرارها الصادر في </w:t>
      </w:r>
      <w:r w:rsidR="00D2562D" w:rsidRPr="00AA67D7">
        <w:rPr>
          <w:rFonts w:eastAsiaTheme="minorEastAsia"/>
          <w:rtl/>
        </w:rPr>
        <w:t>16</w:t>
      </w:r>
      <w:r w:rsidR="00D2562D" w:rsidRPr="00D2562D">
        <w:rPr>
          <w:rFonts w:eastAsiaTheme="minorEastAsia"/>
          <w:rtl/>
        </w:rPr>
        <w:t xml:space="preserve"> كانون الثاني/يناير </w:t>
      </w:r>
      <w:r w:rsidR="00D2562D" w:rsidRPr="00AA67D7">
        <w:rPr>
          <w:rFonts w:eastAsiaTheme="minorEastAsia"/>
          <w:rtl/>
        </w:rPr>
        <w:t>2009</w:t>
      </w:r>
      <w:r w:rsidR="00D2562D" w:rsidRPr="00D2562D">
        <w:rPr>
          <w:rFonts w:eastAsiaTheme="minorEastAsia"/>
          <w:rtl/>
        </w:rPr>
        <w:t xml:space="preserve">، المقدمين من دائرة مأموري التنفيذ القضائي في مقاطعة ميراباد ومن صاحب البلاغ. ولم يستأنف صاحب البلاغ القرار المؤرخ </w:t>
      </w:r>
      <w:r w:rsidR="00D2562D" w:rsidRPr="00AA67D7">
        <w:rPr>
          <w:rFonts w:eastAsiaTheme="minorEastAsia"/>
          <w:rtl/>
        </w:rPr>
        <w:t>29</w:t>
      </w:r>
      <w:r w:rsidR="00D2562D" w:rsidRPr="00D2562D">
        <w:rPr>
          <w:rFonts w:eastAsiaTheme="minorEastAsia"/>
          <w:rtl/>
        </w:rPr>
        <w:t xml:space="preserve"> كانون الثاني/يناير </w:t>
      </w:r>
      <w:r w:rsidR="00D2562D" w:rsidRPr="00AA67D7">
        <w:rPr>
          <w:rFonts w:eastAsiaTheme="minorEastAsia"/>
          <w:rtl/>
        </w:rPr>
        <w:t>2010</w:t>
      </w:r>
      <w:r w:rsidR="00D2562D" w:rsidRPr="00D2562D">
        <w:rPr>
          <w:rFonts w:eastAsiaTheme="minorEastAsia"/>
          <w:rtl/>
        </w:rPr>
        <w:t xml:space="preserve"> بتقديم طعن إجرائي.</w:t>
      </w:r>
    </w:p>
    <w:p w14:paraId="7F4C2F49" w14:textId="7EAB4EA6" w:rsidR="007954CB" w:rsidRPr="007954CB"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ولا تتفق الدولة الطرف مع اللجنة فيما خلصت إليه بأن إلغاء قرارين نهائيين للمحكمة عن طريق المراجعة القضائية الرقابية، بتدخل من سلطات الادعاء العام، وهو إلغاء لم يقدم له أي تفسير، لا يمكن اعتباره منسجماً مع الحق في محاكمة عادلة من قبل محكمة مستقلة ونزيهة. وتذكر أن طلب المدعي العام لمدينة طشقند المؤرخ </w:t>
      </w:r>
      <w:r w:rsidR="00D2562D" w:rsidRPr="00AA67D7">
        <w:rPr>
          <w:rFonts w:eastAsiaTheme="minorEastAsia"/>
          <w:rtl/>
        </w:rPr>
        <w:t>30</w:t>
      </w:r>
      <w:r w:rsidR="00D2562D" w:rsidRPr="00D2562D">
        <w:rPr>
          <w:rFonts w:eastAsiaTheme="minorEastAsia"/>
          <w:rtl/>
        </w:rPr>
        <w:t xml:space="preserve"> تشرين الأول/أكتوبر </w:t>
      </w:r>
      <w:r w:rsidR="00D2562D" w:rsidRPr="00AA67D7">
        <w:rPr>
          <w:rFonts w:eastAsiaTheme="minorEastAsia"/>
          <w:rtl/>
        </w:rPr>
        <w:t>2009</w:t>
      </w:r>
      <w:r w:rsidR="00D2562D" w:rsidRPr="00D2562D">
        <w:rPr>
          <w:rFonts w:eastAsiaTheme="minorEastAsia"/>
          <w:rtl/>
        </w:rPr>
        <w:t xml:space="preserve"> قدم على أساس المادة </w:t>
      </w:r>
      <w:r w:rsidR="00D2562D" w:rsidRPr="00AA67D7">
        <w:rPr>
          <w:rFonts w:eastAsiaTheme="minorEastAsia"/>
          <w:rtl/>
        </w:rPr>
        <w:t>35</w:t>
      </w:r>
      <w:r w:rsidR="00D2562D" w:rsidRPr="00D2562D">
        <w:rPr>
          <w:rFonts w:eastAsiaTheme="minorEastAsia"/>
          <w:rtl/>
        </w:rPr>
        <w:t xml:space="preserve"> بشأن قانون الادعاء العام والمادة </w:t>
      </w:r>
      <w:r w:rsidR="00D2562D" w:rsidRPr="00AA67D7">
        <w:rPr>
          <w:rFonts w:eastAsiaTheme="minorEastAsia"/>
          <w:rtl/>
        </w:rPr>
        <w:t>349</w:t>
      </w:r>
      <w:r w:rsidR="00D2562D" w:rsidRPr="00D2562D">
        <w:rPr>
          <w:rFonts w:eastAsiaTheme="minorEastAsia"/>
          <w:rtl/>
        </w:rPr>
        <w:t xml:space="preserve"> من قانون الإجراءات المدنية (بصيغته القديمة</w:t>
      </w:r>
      <w:r w:rsidR="007954CB" w:rsidRPr="007954CB">
        <w:rPr>
          <w:rFonts w:eastAsiaTheme="minorEastAsia"/>
          <w:rtl/>
        </w:rPr>
        <w:t>).</w:t>
      </w:r>
    </w:p>
    <w:p w14:paraId="1759A323" w14:textId="28BEF796" w:rsidR="00D2562D" w:rsidRPr="00D2562D"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كما لا تتفق الدولة الطرف مع استنتاج اللجنة بأن رفض محكمة مدينة طشقند إصدار توضيحات بشأن مدى توافق التصحيح مع قرارها السابق، المؤرخ </w:t>
      </w:r>
      <w:r w:rsidR="00D2562D" w:rsidRPr="00AA67D7">
        <w:rPr>
          <w:rFonts w:eastAsiaTheme="minorEastAsia"/>
          <w:rtl/>
        </w:rPr>
        <w:t>16</w:t>
      </w:r>
      <w:r w:rsidR="00D2562D" w:rsidRPr="00D2562D">
        <w:rPr>
          <w:rFonts w:eastAsiaTheme="minorEastAsia"/>
          <w:rtl/>
        </w:rPr>
        <w:t xml:space="preserve"> كانون الثاني/يناير </w:t>
      </w:r>
      <w:r w:rsidR="00D2562D" w:rsidRPr="00AA67D7">
        <w:rPr>
          <w:rFonts w:eastAsiaTheme="minorEastAsia"/>
          <w:rtl/>
        </w:rPr>
        <w:t>2009</w:t>
      </w:r>
      <w:r w:rsidR="00D2562D" w:rsidRPr="00D2562D">
        <w:rPr>
          <w:rFonts w:eastAsiaTheme="minorEastAsia"/>
          <w:rtl/>
        </w:rPr>
        <w:t>، إنما</w:t>
      </w:r>
      <w:r w:rsidR="00142AB1">
        <w:rPr>
          <w:rFonts w:eastAsiaTheme="minorEastAsia" w:hint="cs"/>
          <w:rtl/>
        </w:rPr>
        <w:t> </w:t>
      </w:r>
      <w:r w:rsidR="00D2562D" w:rsidRPr="00D2562D">
        <w:rPr>
          <w:rFonts w:eastAsiaTheme="minorEastAsia"/>
          <w:rtl/>
        </w:rPr>
        <w:t xml:space="preserve">يضر بتنفيذ هذا القرار، الذي لا يزال حتى الآن حبراً على ورق. وتوضح أن التصحيح المعني قد نُشر قبل أن تقدم دائرة مأموري التنفيذ القضائي في مقاطعة ميراباد وصاحب البلاغ طلبات التصحيح. وتحتج بالتالي بأن نص التصحيح الذي نشرته صحيفة </w:t>
      </w:r>
      <w:r w:rsidR="00D2562D" w:rsidRPr="00AA67D7">
        <w:rPr>
          <w:rFonts w:eastAsiaTheme="minorEastAsia"/>
          <w:i/>
          <w:iCs/>
          <w:rtl/>
        </w:rPr>
        <w:t>أوزبكستان أوفوسي</w:t>
      </w:r>
      <w:r w:rsidR="00D2562D" w:rsidRPr="00D2562D">
        <w:rPr>
          <w:rFonts w:eastAsiaTheme="minorEastAsia"/>
          <w:rtl/>
        </w:rPr>
        <w:t xml:space="preserve"> في </w:t>
      </w:r>
      <w:r w:rsidR="00D2562D" w:rsidRPr="00AA67D7">
        <w:rPr>
          <w:rFonts w:eastAsiaTheme="minorEastAsia"/>
          <w:rtl/>
        </w:rPr>
        <w:t>16</w:t>
      </w:r>
      <w:r w:rsidR="00D2562D" w:rsidRPr="00D2562D">
        <w:rPr>
          <w:rFonts w:eastAsiaTheme="minorEastAsia"/>
          <w:rtl/>
        </w:rPr>
        <w:t xml:space="preserve"> تموز/يوليه </w:t>
      </w:r>
      <w:r w:rsidR="00D2562D" w:rsidRPr="00AA67D7">
        <w:rPr>
          <w:rFonts w:eastAsiaTheme="minorEastAsia"/>
          <w:rtl/>
        </w:rPr>
        <w:t>2009</w:t>
      </w:r>
      <w:r w:rsidR="00D2562D" w:rsidRPr="00D2562D">
        <w:rPr>
          <w:rFonts w:eastAsiaTheme="minorEastAsia"/>
          <w:rtl/>
        </w:rPr>
        <w:t xml:space="preserve"> يتماشى مع قرار محكمة مدينة طشقند المؤرخ </w:t>
      </w:r>
      <w:r w:rsidR="00D2562D" w:rsidRPr="00AA67D7">
        <w:rPr>
          <w:rFonts w:eastAsiaTheme="minorEastAsia"/>
          <w:rtl/>
        </w:rPr>
        <w:t>16</w:t>
      </w:r>
      <w:r w:rsidR="00D2562D" w:rsidRPr="00D2562D">
        <w:rPr>
          <w:rFonts w:eastAsiaTheme="minorEastAsia"/>
          <w:rtl/>
        </w:rPr>
        <w:t xml:space="preserve"> كانون الثاني/يناير </w:t>
      </w:r>
      <w:r w:rsidR="00D2562D" w:rsidRPr="00AA67D7">
        <w:rPr>
          <w:rFonts w:eastAsiaTheme="minorEastAsia"/>
          <w:rtl/>
        </w:rPr>
        <w:t>2009</w:t>
      </w:r>
      <w:r w:rsidR="00D2562D" w:rsidRPr="00D2562D">
        <w:rPr>
          <w:rFonts w:eastAsiaTheme="minorEastAsia"/>
          <w:rtl/>
        </w:rPr>
        <w:t>، وأن صاحب البلاغ لم يطعن قط في شرعيته ولا في صحته.</w:t>
      </w:r>
    </w:p>
    <w:p w14:paraId="55DE8C5D" w14:textId="0CACD248" w:rsidR="007954CB" w:rsidRPr="007954CB"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وتضيف الدولة الطرف أنه حُكم على مكتب تحرير صحيفة </w:t>
      </w:r>
      <w:r w:rsidR="00082805" w:rsidRPr="00AA67D7">
        <w:rPr>
          <w:rFonts w:eastAsiaTheme="minorEastAsia"/>
          <w:i/>
          <w:iCs/>
          <w:rtl/>
        </w:rPr>
        <w:t xml:space="preserve">أوزبكستان أوفوسي </w:t>
      </w:r>
      <w:r w:rsidR="00D2562D" w:rsidRPr="00D2562D">
        <w:rPr>
          <w:rFonts w:eastAsiaTheme="minorEastAsia"/>
          <w:rtl/>
        </w:rPr>
        <w:t xml:space="preserve">ورئيس تحريرها الرئيسي في </w:t>
      </w:r>
      <w:r w:rsidR="00D2562D" w:rsidRPr="00AA67D7">
        <w:rPr>
          <w:rFonts w:eastAsiaTheme="minorEastAsia"/>
          <w:rtl/>
        </w:rPr>
        <w:t>16</w:t>
      </w:r>
      <w:r w:rsidR="00D2562D" w:rsidRPr="00D2562D">
        <w:rPr>
          <w:rFonts w:eastAsiaTheme="minorEastAsia"/>
          <w:rtl/>
        </w:rPr>
        <w:t xml:space="preserve"> شباط/فبراير </w:t>
      </w:r>
      <w:r w:rsidR="00D2562D" w:rsidRPr="00AA67D7">
        <w:rPr>
          <w:rFonts w:eastAsiaTheme="minorEastAsia"/>
          <w:rtl/>
        </w:rPr>
        <w:t>2009</w:t>
      </w:r>
      <w:r w:rsidR="00D2562D" w:rsidRPr="00D2562D">
        <w:rPr>
          <w:rFonts w:eastAsiaTheme="minorEastAsia"/>
          <w:rtl/>
        </w:rPr>
        <w:t xml:space="preserve"> بغرامة لعدم امتثالهما طوعاً لقرار محكمة مدينة طشقند الصادر في</w:t>
      </w:r>
      <w:r w:rsidR="00AA610B">
        <w:rPr>
          <w:rFonts w:eastAsiaTheme="minorEastAsia" w:hint="cs"/>
          <w:rtl/>
        </w:rPr>
        <w:t> </w:t>
      </w:r>
      <w:r w:rsidR="00D2562D" w:rsidRPr="00AA67D7">
        <w:rPr>
          <w:rFonts w:eastAsiaTheme="minorEastAsia"/>
          <w:rtl/>
        </w:rPr>
        <w:t>16</w:t>
      </w:r>
      <w:r w:rsidR="00D2562D" w:rsidRPr="00D2562D">
        <w:rPr>
          <w:rFonts w:eastAsiaTheme="minorEastAsia"/>
          <w:rtl/>
        </w:rPr>
        <w:t xml:space="preserve"> كانون الثاني/يناير </w:t>
      </w:r>
      <w:r w:rsidR="00D2562D" w:rsidRPr="00AA67D7">
        <w:rPr>
          <w:rFonts w:eastAsiaTheme="minorEastAsia"/>
          <w:rtl/>
        </w:rPr>
        <w:t>200</w:t>
      </w:r>
      <w:r w:rsidR="007954CB" w:rsidRPr="00AA67D7">
        <w:rPr>
          <w:rFonts w:eastAsiaTheme="minorEastAsia"/>
          <w:rtl/>
        </w:rPr>
        <w:t>9</w:t>
      </w:r>
      <w:r w:rsidR="007954CB" w:rsidRPr="007954CB">
        <w:rPr>
          <w:rFonts w:eastAsiaTheme="minorEastAsia"/>
          <w:rtl/>
        </w:rPr>
        <w:t xml:space="preserve">. </w:t>
      </w:r>
      <w:r w:rsidR="00D2562D" w:rsidRPr="00D2562D">
        <w:rPr>
          <w:rFonts w:eastAsiaTheme="minorEastAsia"/>
          <w:rtl/>
        </w:rPr>
        <w:t xml:space="preserve">ودفعا كامل مبلغ الغرامة في </w:t>
      </w:r>
      <w:r w:rsidR="00D2562D" w:rsidRPr="00AA67D7">
        <w:rPr>
          <w:rFonts w:eastAsiaTheme="minorEastAsia"/>
          <w:rtl/>
        </w:rPr>
        <w:t>14</w:t>
      </w:r>
      <w:r w:rsidR="00D2562D" w:rsidRPr="00D2562D">
        <w:rPr>
          <w:rFonts w:eastAsiaTheme="minorEastAsia"/>
          <w:rtl/>
        </w:rPr>
        <w:t xml:space="preserve"> تموز/يوليه </w:t>
      </w:r>
      <w:r w:rsidR="00D2562D" w:rsidRPr="00AA67D7">
        <w:rPr>
          <w:rFonts w:eastAsiaTheme="minorEastAsia"/>
          <w:rtl/>
        </w:rPr>
        <w:t>200</w:t>
      </w:r>
      <w:r w:rsidR="007954CB" w:rsidRPr="00AA67D7">
        <w:rPr>
          <w:rFonts w:eastAsiaTheme="minorEastAsia"/>
          <w:rtl/>
        </w:rPr>
        <w:t>9</w:t>
      </w:r>
      <w:r w:rsidR="007954CB" w:rsidRPr="007954CB">
        <w:rPr>
          <w:rFonts w:eastAsiaTheme="minorEastAsia"/>
          <w:rtl/>
        </w:rPr>
        <w:t>.</w:t>
      </w:r>
    </w:p>
    <w:p w14:paraId="1E05685C" w14:textId="6CF72D98" w:rsidR="007954CB" w:rsidRPr="007954CB"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وفي ضوء ما تقدم، تدفع الدولة الطرف بأن إجراءات الإنفاذ قد أرجئت استناداً إلى المادة </w:t>
      </w:r>
      <w:r w:rsidR="00D2562D" w:rsidRPr="00AA67D7">
        <w:rPr>
          <w:rFonts w:eastAsiaTheme="minorEastAsia"/>
          <w:rtl/>
        </w:rPr>
        <w:t>41</w:t>
      </w:r>
      <w:r w:rsidR="00D2562D" w:rsidRPr="00D2562D">
        <w:rPr>
          <w:rFonts w:eastAsiaTheme="minorEastAsia"/>
          <w:rtl/>
        </w:rPr>
        <w:t xml:space="preserve"> من القانون المتعلق بإنفاذ قرارات المحاكم وقوانين الهيئات الأخرى، عطفاً على إنفاذ قرار محكمة مدينة طشقند المؤرخ </w:t>
      </w:r>
      <w:r w:rsidR="00D2562D" w:rsidRPr="00AA67D7">
        <w:rPr>
          <w:rFonts w:eastAsiaTheme="minorEastAsia"/>
          <w:rtl/>
        </w:rPr>
        <w:t>16</w:t>
      </w:r>
      <w:r w:rsidR="00D2562D" w:rsidRPr="00D2562D">
        <w:rPr>
          <w:rFonts w:eastAsiaTheme="minorEastAsia"/>
          <w:rtl/>
        </w:rPr>
        <w:t xml:space="preserve"> كانون الثاني/يناير </w:t>
      </w:r>
      <w:r w:rsidR="00D2562D" w:rsidRPr="00AA67D7">
        <w:rPr>
          <w:rFonts w:eastAsiaTheme="minorEastAsia"/>
          <w:rtl/>
        </w:rPr>
        <w:t>2009</w:t>
      </w:r>
      <w:r w:rsidR="00D2562D" w:rsidRPr="00D2562D">
        <w:rPr>
          <w:rFonts w:eastAsiaTheme="minorEastAsia"/>
          <w:rtl/>
        </w:rPr>
        <w:t>، أي نشر صحيفة </w:t>
      </w:r>
      <w:r w:rsidR="00D2562D" w:rsidRPr="00AA67D7">
        <w:rPr>
          <w:rFonts w:eastAsiaTheme="minorEastAsia"/>
          <w:i/>
          <w:iCs/>
          <w:rtl/>
        </w:rPr>
        <w:t xml:space="preserve">أوزبكستان أوفوسي </w:t>
      </w:r>
      <w:r w:rsidR="00D2562D" w:rsidRPr="00D2562D">
        <w:rPr>
          <w:rFonts w:eastAsiaTheme="minorEastAsia"/>
          <w:rtl/>
        </w:rPr>
        <w:t>التصحيح</w:t>
      </w:r>
      <w:r w:rsidR="00D2562D" w:rsidRPr="00D2562D">
        <w:rPr>
          <w:rFonts w:eastAsiaTheme="minorEastAsia"/>
        </w:rPr>
        <w:t xml:space="preserve"> </w:t>
      </w:r>
      <w:r w:rsidR="00D2562D" w:rsidRPr="00D2562D">
        <w:rPr>
          <w:rFonts w:eastAsiaTheme="minorEastAsia"/>
          <w:rtl/>
        </w:rPr>
        <w:t xml:space="preserve">في </w:t>
      </w:r>
      <w:r w:rsidR="00D2562D" w:rsidRPr="00AA67D7">
        <w:rPr>
          <w:rFonts w:eastAsiaTheme="minorEastAsia"/>
          <w:rtl/>
        </w:rPr>
        <w:t>16</w:t>
      </w:r>
      <w:r w:rsidR="00D2562D" w:rsidRPr="00D2562D">
        <w:rPr>
          <w:rFonts w:eastAsiaTheme="minorEastAsia"/>
          <w:rtl/>
        </w:rPr>
        <w:t xml:space="preserve"> تموز/يوليه </w:t>
      </w:r>
      <w:r w:rsidR="00D2562D" w:rsidRPr="00AA67D7">
        <w:rPr>
          <w:rFonts w:eastAsiaTheme="minorEastAsia"/>
          <w:rtl/>
        </w:rPr>
        <w:t>200</w:t>
      </w:r>
      <w:r w:rsidR="007954CB" w:rsidRPr="00AA67D7">
        <w:rPr>
          <w:rFonts w:eastAsiaTheme="minorEastAsia"/>
          <w:rtl/>
        </w:rPr>
        <w:t>9</w:t>
      </w:r>
      <w:r w:rsidR="007954CB" w:rsidRPr="007954CB">
        <w:rPr>
          <w:rFonts w:eastAsiaTheme="minorEastAsia"/>
          <w:rtl/>
        </w:rPr>
        <w:t>.</w:t>
      </w:r>
    </w:p>
    <w:p w14:paraId="74AF1F49" w14:textId="56918101" w:rsidR="00D2562D" w:rsidRPr="00D2562D" w:rsidRDefault="00D2562D" w:rsidP="00D2562D">
      <w:pPr>
        <w:pStyle w:val="SingleTxtGA"/>
        <w:rPr>
          <w:rStyle w:val="FootnoteReference"/>
          <w:rFonts w:eastAsiaTheme="minorEastAsia"/>
          <w:sz w:val="22"/>
          <w:lang w:val="ar-SA" w:eastAsia="zh-TW" w:bidi="en-GB"/>
        </w:rPr>
      </w:pPr>
      <w:r w:rsidRPr="00AA67D7">
        <w:rPr>
          <w:rFonts w:eastAsiaTheme="minorEastAsia"/>
          <w:b/>
          <w:bCs/>
          <w:rtl/>
        </w:rPr>
        <w:t>المعلومات المقدمة من صاحب البلاغ:</w:t>
      </w:r>
      <w:r w:rsidRPr="00D2562D">
        <w:rPr>
          <w:rFonts w:eastAsiaTheme="minorEastAsia"/>
          <w:rtl/>
        </w:rPr>
        <w:t xml:space="preserve"> </w:t>
      </w:r>
      <w:r w:rsidRPr="00AA67D7">
        <w:rPr>
          <w:rFonts w:eastAsiaTheme="minorEastAsia"/>
          <w:rtl/>
        </w:rPr>
        <w:t>25</w:t>
      </w:r>
      <w:r w:rsidRPr="00D2562D">
        <w:rPr>
          <w:rFonts w:eastAsiaTheme="minorEastAsia"/>
          <w:rtl/>
        </w:rPr>
        <w:t xml:space="preserve"> تموز/يوليه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31"/>
      </w:r>
      <w:r w:rsidRPr="00D2562D">
        <w:rPr>
          <w:rStyle w:val="FootnoteReference"/>
          <w:rFonts w:eastAsiaTheme="minorEastAsia"/>
          <w:sz w:val="22"/>
          <w:rtl/>
        </w:rPr>
        <w:t>)</w:t>
      </w:r>
      <w:r w:rsidR="00E60F47">
        <w:rPr>
          <w:rStyle w:val="FootnoteReference"/>
          <w:rFonts w:eastAsiaTheme="minorEastAsia" w:hint="cs"/>
          <w:sz w:val="22"/>
          <w:rtl/>
        </w:rPr>
        <w:t xml:space="preserve"> </w:t>
      </w:r>
      <w:r w:rsidRPr="00D2562D">
        <w:rPr>
          <w:rFonts w:eastAsiaTheme="minorEastAsia"/>
          <w:rtl/>
        </w:rPr>
        <w:t>و</w:t>
      </w:r>
      <w:r w:rsidRPr="00AA67D7">
        <w:rPr>
          <w:rFonts w:eastAsiaTheme="minorEastAsia"/>
          <w:rtl/>
        </w:rPr>
        <w:t>17</w:t>
      </w:r>
      <w:r w:rsidRPr="00D2562D">
        <w:rPr>
          <w:rFonts w:eastAsiaTheme="minorEastAsia"/>
          <w:rtl/>
        </w:rPr>
        <w:t xml:space="preserve"> أيلول/سبتمبر </w:t>
      </w:r>
      <w:r w:rsidRPr="00AA67D7">
        <w:rPr>
          <w:rFonts w:eastAsiaTheme="minorEastAsia"/>
          <w:rtl/>
        </w:rPr>
        <w:t>2019</w:t>
      </w:r>
      <w:r w:rsidR="007954CB" w:rsidRPr="00546212">
        <w:rPr>
          <w:rStyle w:val="FootnoteReference"/>
          <w:rFonts w:eastAsiaTheme="minorEastAsia"/>
          <w:sz w:val="22"/>
          <w:rtl/>
        </w:rPr>
        <w:t>(</w:t>
      </w:r>
      <w:r w:rsidR="007954CB" w:rsidRPr="00AA67D7">
        <w:rPr>
          <w:rStyle w:val="FootnoteReference"/>
          <w:rFonts w:eastAsiaTheme="minorEastAsia"/>
          <w:sz w:val="22"/>
          <w:lang w:val="en-US"/>
        </w:rPr>
        <w:footnoteReference w:id="32"/>
      </w:r>
      <w:r w:rsidRPr="00D2562D">
        <w:rPr>
          <w:rStyle w:val="FootnoteReference"/>
          <w:rFonts w:eastAsiaTheme="minorEastAsia"/>
          <w:sz w:val="22"/>
          <w:rtl/>
        </w:rPr>
        <w:t>)</w:t>
      </w:r>
    </w:p>
    <w:p w14:paraId="7D502435" w14:textId="304D2D09" w:rsidR="00D2562D" w:rsidRPr="00082805" w:rsidRDefault="00E60F47" w:rsidP="00D2562D">
      <w:pPr>
        <w:pStyle w:val="SingleTxtGA"/>
        <w:rPr>
          <w:rFonts w:eastAsiaTheme="minorEastAsia"/>
          <w:lang w:val="en-US" w:eastAsia="zh-TW" w:bidi="en-GB"/>
        </w:rPr>
      </w:pPr>
      <w:r>
        <w:rPr>
          <w:rFonts w:eastAsiaTheme="minorEastAsia"/>
          <w:rtl/>
        </w:rPr>
        <w:lastRenderedPageBreak/>
        <w:tab/>
      </w:r>
      <w:r w:rsidR="00D2562D" w:rsidRPr="00546212">
        <w:rPr>
          <w:rFonts w:eastAsiaTheme="minorEastAsia"/>
          <w:rtl/>
        </w:rPr>
        <w:t>يؤكد صاحب البلاغ أن الدولة الطرف لم تتخذ أي تدابير بعد لإعمال آراء اللجنة، على الرغم من نداءاته العديدة الموجهة إلى السلطات المحلية، التي شملت عدداً من الرسائل المفتوحة الموجهة إلى رئيس أوزبكستان، طلب فيها الامتثال لآراء اللجنة وردّ سمعته وشرفه وكرامته ومكانته المهنية.</w:t>
      </w:r>
    </w:p>
    <w:p w14:paraId="068A0CA7" w14:textId="0291B763" w:rsidR="00D2562D" w:rsidRPr="00D2562D"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 xml:space="preserve">وعلى وجه الخصوص، وعلى الرغم من تبرئته من محكمة ديقان آباد المحلية في </w:t>
      </w:r>
      <w:r w:rsidR="00D2562D" w:rsidRPr="00AA67D7">
        <w:rPr>
          <w:rFonts w:eastAsiaTheme="minorEastAsia"/>
          <w:rtl/>
        </w:rPr>
        <w:t>23</w:t>
      </w:r>
      <w:r w:rsidR="00D2562D" w:rsidRPr="00D2562D">
        <w:rPr>
          <w:rFonts w:eastAsiaTheme="minorEastAsia"/>
          <w:rtl/>
        </w:rPr>
        <w:t xml:space="preserve"> شباط/فبراير </w:t>
      </w:r>
      <w:r w:rsidR="00D2562D" w:rsidRPr="00AA67D7">
        <w:rPr>
          <w:rFonts w:eastAsiaTheme="minorEastAsia"/>
          <w:rtl/>
        </w:rPr>
        <w:t>2007</w:t>
      </w:r>
      <w:r w:rsidR="00D2562D" w:rsidRPr="00D2562D">
        <w:rPr>
          <w:rFonts w:eastAsiaTheme="minorEastAsia"/>
          <w:rtl/>
        </w:rPr>
        <w:t xml:space="preserve"> وقرار محكمة بخارى الإقليمية المؤرخ </w:t>
      </w:r>
      <w:r w:rsidR="00D2562D" w:rsidRPr="00AA67D7">
        <w:rPr>
          <w:rFonts w:eastAsiaTheme="minorEastAsia"/>
          <w:rtl/>
        </w:rPr>
        <w:t>5</w:t>
      </w:r>
      <w:r w:rsidR="00D2562D" w:rsidRPr="00D2562D">
        <w:rPr>
          <w:rFonts w:eastAsiaTheme="minorEastAsia"/>
          <w:rtl/>
        </w:rPr>
        <w:t xml:space="preserve"> حزيران/يونيه </w:t>
      </w:r>
      <w:r w:rsidR="00D2562D" w:rsidRPr="00AA67D7">
        <w:rPr>
          <w:rFonts w:eastAsiaTheme="minorEastAsia"/>
          <w:rtl/>
        </w:rPr>
        <w:t>2007</w:t>
      </w:r>
      <w:r w:rsidR="00D2562D" w:rsidRPr="00D2562D">
        <w:rPr>
          <w:rFonts w:eastAsiaTheme="minorEastAsia"/>
          <w:rtl/>
        </w:rPr>
        <w:t xml:space="preserve"> الذي يؤكد حكم البراءة، فإنه لم يعد إلى منصبه كعميد لجامعة طرميز الحكومية. ونتيجة للإجراءات الجنائية ومقالين تشهيريين نشرتهما صحيفة </w:t>
      </w:r>
      <w:r w:rsidR="00D2562D" w:rsidRPr="00AA67D7">
        <w:rPr>
          <w:rFonts w:eastAsiaTheme="minorEastAsia"/>
          <w:i/>
          <w:iCs/>
          <w:rtl/>
        </w:rPr>
        <w:t>أوزبكستان أوفوسي</w:t>
      </w:r>
      <w:r w:rsidR="00D2562D" w:rsidRPr="00D2562D">
        <w:rPr>
          <w:rFonts w:eastAsiaTheme="minorEastAsia"/>
          <w:rtl/>
        </w:rPr>
        <w:t xml:space="preserve"> عنه في </w:t>
      </w:r>
      <w:r w:rsidR="00D2562D" w:rsidRPr="00AA67D7">
        <w:rPr>
          <w:rFonts w:eastAsiaTheme="minorEastAsia"/>
          <w:rtl/>
        </w:rPr>
        <w:t>20</w:t>
      </w:r>
      <w:r w:rsidR="00D2562D" w:rsidRPr="00D2562D">
        <w:rPr>
          <w:rFonts w:eastAsiaTheme="minorEastAsia"/>
          <w:rtl/>
        </w:rPr>
        <w:t xml:space="preserve"> أيار/مايو و</w:t>
      </w:r>
      <w:r w:rsidR="00D2562D" w:rsidRPr="00AA67D7">
        <w:rPr>
          <w:rFonts w:eastAsiaTheme="minorEastAsia"/>
          <w:rtl/>
        </w:rPr>
        <w:t>28</w:t>
      </w:r>
      <w:r w:rsidR="00D2562D" w:rsidRPr="00D2562D">
        <w:rPr>
          <w:rFonts w:eastAsiaTheme="minorEastAsia"/>
          <w:rtl/>
        </w:rPr>
        <w:t xml:space="preserve"> أيلول/سبتمبر </w:t>
      </w:r>
      <w:r w:rsidR="00D2562D" w:rsidRPr="00AA67D7">
        <w:rPr>
          <w:rFonts w:eastAsiaTheme="minorEastAsia"/>
          <w:rtl/>
        </w:rPr>
        <w:t>2004</w:t>
      </w:r>
      <w:r w:rsidR="00D2562D" w:rsidRPr="00D2562D">
        <w:rPr>
          <w:rFonts w:eastAsiaTheme="minorEastAsia"/>
          <w:rtl/>
        </w:rPr>
        <w:t xml:space="preserve">، لم يتمكن صاحب </w:t>
      </w:r>
      <w:r w:rsidR="00D2562D" w:rsidRPr="00AA610B">
        <w:rPr>
          <w:rFonts w:eastAsiaTheme="minorEastAsia"/>
          <w:spacing w:val="-6"/>
          <w:rtl/>
        </w:rPr>
        <w:t xml:space="preserve">البلاغ من الحصول على وظيفة جديدة ولا يزال عاطلاً عن العمل. وعلاوة على ذلك، لم تنشر </w:t>
      </w:r>
      <w:r w:rsidR="00D2562D" w:rsidRPr="00AA67D7">
        <w:rPr>
          <w:rFonts w:eastAsiaTheme="minorEastAsia"/>
          <w:i/>
          <w:iCs/>
          <w:spacing w:val="-6"/>
          <w:rtl/>
        </w:rPr>
        <w:t xml:space="preserve">أوزبكستان </w:t>
      </w:r>
      <w:r w:rsidR="00D2562D" w:rsidRPr="00AA67D7">
        <w:rPr>
          <w:rFonts w:eastAsiaTheme="minorEastAsia"/>
          <w:i/>
          <w:iCs/>
          <w:spacing w:val="-4"/>
          <w:rtl/>
        </w:rPr>
        <w:t>أوفوسي</w:t>
      </w:r>
      <w:r w:rsidR="00D2562D" w:rsidRPr="00D2562D">
        <w:rPr>
          <w:rFonts w:eastAsiaTheme="minorEastAsia"/>
          <w:rtl/>
        </w:rPr>
        <w:t xml:space="preserve"> بعد التصحيح استناداً إلى الصيغة التي قدَّمها صاحب البلاغ أو التي صيغت بالتنسيق معه.</w:t>
      </w:r>
    </w:p>
    <w:p w14:paraId="79141ED5" w14:textId="2B34F2C2" w:rsidR="00D2562D" w:rsidRPr="00D2562D" w:rsidRDefault="00E60F47"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ويؤكد صاحب البلاغ أن مدير المركز الوطني لحقوق الإنسان، لم يكتف بالطعون العديدة التي قدمها إلى وزارة العدل ووزارة الخارجية والمحكمة العليا والادعاء العام، بل اتصل أيضاً بالسلطات المحلية الرفيعة المستوى في ثماني مناسبات على الأقل طالباً منها التعجيل بتنفيذ آراء اللجنة. وظلت غالبية هذه الطلبات من دون إجابة ورد الادعاء العام معرباً عن عدم موافقته على استنتاجات اللجنة.</w:t>
      </w:r>
    </w:p>
    <w:p w14:paraId="13EFCC1D" w14:textId="2951D33F" w:rsidR="00D2562D" w:rsidRPr="00AA610B" w:rsidRDefault="00E60F47" w:rsidP="00D2562D">
      <w:pPr>
        <w:pStyle w:val="SingleTxtGA"/>
        <w:rPr>
          <w:rFonts w:eastAsiaTheme="minorEastAsia"/>
          <w:lang w:val="en-US" w:eastAsia="zh-TW" w:bidi="en-GB"/>
        </w:rPr>
      </w:pPr>
      <w:r>
        <w:rPr>
          <w:rFonts w:eastAsiaTheme="minorEastAsia"/>
          <w:rtl/>
        </w:rPr>
        <w:tab/>
      </w:r>
      <w:r w:rsidR="00D2562D" w:rsidRPr="00D2562D">
        <w:rPr>
          <w:rFonts w:eastAsiaTheme="minorEastAsia"/>
          <w:rtl/>
        </w:rPr>
        <w:t xml:space="preserve">ولذلك، يطلب صاحب البلاغ إلى اللجنة أن تدعو الدولة الطرف إلى الوفاء بالتزاماتها بموجب العهد </w:t>
      </w:r>
      <w:r w:rsidR="00D2562D" w:rsidRPr="00546212">
        <w:rPr>
          <w:rFonts w:eastAsiaTheme="minorEastAsia"/>
          <w:rtl/>
        </w:rPr>
        <w:t>والبروتوكول الاختياري. ويطلب أيضاً إلى اللجنة أن تتخذ تدابير المتابعة المناسبة لضمان امتثال الدولة الطرف لآرائها. وعلى وجه الخصوص، يلتمس صاحب البلاغ مساعدة اللجنة في تنفيذ توصيتها بأن تردّ له سلطات الدولة الطرف سمعته وشرفه وكرامته ومكانته المهنية من خلال إعادته على سبيل المثال إلى منصبه كعميد لجامعة طرميز الحكومية.</w:t>
      </w:r>
    </w:p>
    <w:p w14:paraId="71763C64" w14:textId="6E4EB535" w:rsidR="00D2562D" w:rsidRPr="00383F67" w:rsidRDefault="00E60F47" w:rsidP="00D2562D">
      <w:pPr>
        <w:pStyle w:val="SingleTxtGA"/>
        <w:rPr>
          <w:rFonts w:eastAsiaTheme="minorEastAsia"/>
          <w:lang w:val="en-US" w:eastAsia="zh-TW" w:bidi="en-GB"/>
        </w:rPr>
      </w:pPr>
      <w:r>
        <w:rPr>
          <w:rFonts w:eastAsiaTheme="minorEastAsia"/>
          <w:rtl/>
        </w:rPr>
        <w:tab/>
      </w:r>
      <w:r w:rsidR="00D2562D" w:rsidRPr="00D2562D">
        <w:rPr>
          <w:rFonts w:eastAsiaTheme="minorEastAsia"/>
          <w:rtl/>
        </w:rPr>
        <w:t xml:space="preserve">وأخيراً، يعترض صاحب البلاغ على عدد من استنتاجات اللجنة على النحو المبين في آرائها المعتمدة بشأن بلاغه. وعلى وجه الخصوص، لا يتفق صاحب البلاغ مع تقييم اللجنة القائل بأن ادعاءاته بشأن إعادة العمل بالآجال الزمنية لرفع دعوى مدنية لم تُدعَم بما يكفي من الأدلة. كما يعرب عن اختلافه بشدة مع استنتاج اللجنة بأن ادعاءاته بموجب المادتين </w:t>
      </w:r>
      <w:r w:rsidR="00D2562D" w:rsidRPr="00AA67D7">
        <w:rPr>
          <w:rFonts w:eastAsiaTheme="minorEastAsia"/>
          <w:rtl/>
        </w:rPr>
        <w:t>19</w:t>
      </w:r>
      <w:r w:rsidR="00D2562D" w:rsidRPr="00D2562D">
        <w:rPr>
          <w:rFonts w:eastAsiaTheme="minorEastAsia"/>
          <w:rtl/>
        </w:rPr>
        <w:t xml:space="preserve"> و</w:t>
      </w:r>
      <w:r w:rsidR="00D2562D" w:rsidRPr="00AA67D7">
        <w:rPr>
          <w:rFonts w:eastAsiaTheme="minorEastAsia"/>
          <w:rtl/>
        </w:rPr>
        <w:t>26</w:t>
      </w:r>
      <w:r w:rsidR="00D2562D" w:rsidRPr="00D2562D">
        <w:rPr>
          <w:rFonts w:eastAsiaTheme="minorEastAsia"/>
          <w:rtl/>
        </w:rPr>
        <w:t xml:space="preserve"> من العهد، </w:t>
      </w:r>
      <w:r w:rsidR="00142AB1">
        <w:rPr>
          <w:rFonts w:eastAsiaTheme="minorEastAsia" w:hint="cs"/>
          <w:rtl/>
        </w:rPr>
        <w:t>"</w:t>
      </w:r>
      <w:r w:rsidR="00D2562D" w:rsidRPr="00D2562D">
        <w:rPr>
          <w:rFonts w:eastAsiaTheme="minorEastAsia"/>
          <w:rtl/>
        </w:rPr>
        <w:t>في ظل عدم تقديم صاحب البلاغ لأي معلومات أخرى ذات صلة</w:t>
      </w:r>
      <w:r w:rsidR="00142AB1">
        <w:rPr>
          <w:rFonts w:eastAsiaTheme="minorEastAsia" w:hint="cs"/>
          <w:rtl/>
        </w:rPr>
        <w:t>"</w:t>
      </w:r>
      <w:r w:rsidR="00D2562D" w:rsidRPr="00D2562D">
        <w:rPr>
          <w:rFonts w:eastAsiaTheme="minorEastAsia"/>
          <w:rtl/>
        </w:rPr>
        <w:t>، لم تُدعَم بما يكفي من الأدلة.</w:t>
      </w:r>
    </w:p>
    <w:p w14:paraId="5FF7A995" w14:textId="77777777" w:rsidR="00D2562D" w:rsidRPr="00AA67D7" w:rsidRDefault="00D2562D" w:rsidP="00D2562D">
      <w:pPr>
        <w:pStyle w:val="SingleTxtGA"/>
        <w:rPr>
          <w:rFonts w:eastAsiaTheme="minorEastAsia"/>
          <w:bCs/>
          <w:lang w:val="en-US" w:eastAsia="zh-TW" w:bidi="en-GB"/>
        </w:rPr>
      </w:pPr>
      <w:r w:rsidRPr="00AA67D7">
        <w:rPr>
          <w:rFonts w:eastAsiaTheme="minorEastAsia"/>
          <w:b/>
          <w:bCs/>
          <w:rtl/>
        </w:rPr>
        <w:t>تقييم اللجنة:</w:t>
      </w:r>
    </w:p>
    <w:p w14:paraId="3B31B0A4" w14:textId="08B62535" w:rsidR="00D2562D" w:rsidRPr="00D2562D" w:rsidRDefault="00FF33B9"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(أ)</w:t>
      </w:r>
      <w:r w:rsidR="00D2562D" w:rsidRPr="00D2562D">
        <w:rPr>
          <w:rFonts w:eastAsiaTheme="minorEastAsia"/>
          <w:rtl/>
        </w:rPr>
        <w:tab/>
        <w:t>تقديم تعويض كاف: جيم؛</w:t>
      </w:r>
    </w:p>
    <w:p w14:paraId="7C52528D" w14:textId="29BE685B" w:rsidR="00D2562D" w:rsidRPr="00D2562D" w:rsidRDefault="00FF33B9"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(ب)</w:t>
      </w:r>
      <w:r w:rsidR="00D2562D" w:rsidRPr="00D2562D">
        <w:rPr>
          <w:rFonts w:eastAsiaTheme="minorEastAsia"/>
          <w:rtl/>
        </w:rPr>
        <w:tab/>
        <w:t>تدابير الترضية الرامية إلى استعادة سمعة صاحب البلاغ وشرفه وكرامته ومكانته المهنية: جيم؛</w:t>
      </w:r>
    </w:p>
    <w:p w14:paraId="7D35D64B" w14:textId="4487D335" w:rsidR="00D2562D" w:rsidRPr="00D2562D" w:rsidRDefault="00FF33B9" w:rsidP="00D2562D">
      <w:pPr>
        <w:pStyle w:val="SingleTxtGA"/>
        <w:rPr>
          <w:rFonts w:eastAsiaTheme="minorEastAsia"/>
          <w:lang w:val="ar-SA" w:eastAsia="zh-TW" w:bidi="en-GB"/>
        </w:rPr>
      </w:pPr>
      <w:r>
        <w:rPr>
          <w:rFonts w:eastAsiaTheme="minorEastAsia"/>
          <w:rtl/>
        </w:rPr>
        <w:tab/>
      </w:r>
      <w:r w:rsidR="00D2562D" w:rsidRPr="00D2562D">
        <w:rPr>
          <w:rFonts w:eastAsiaTheme="minorEastAsia"/>
          <w:rtl/>
        </w:rPr>
        <w:t>(ج)</w:t>
      </w:r>
      <w:r w:rsidR="00D2562D" w:rsidRPr="00D2562D">
        <w:rPr>
          <w:rFonts w:eastAsiaTheme="minorEastAsia"/>
          <w:rtl/>
        </w:rPr>
        <w:tab/>
        <w:t>عدم التكرار: لا توجد معلومات.</w:t>
      </w:r>
    </w:p>
    <w:p w14:paraId="156AEAD1" w14:textId="07EA2241" w:rsidR="00D2562D" w:rsidRDefault="00D2562D" w:rsidP="00D2562D">
      <w:pPr>
        <w:pStyle w:val="SingleTxtGA"/>
        <w:rPr>
          <w:rFonts w:eastAsiaTheme="minorEastAsia"/>
          <w:lang w:val="en-US" w:eastAsia="zh-TW" w:bidi="en-GB"/>
        </w:rPr>
      </w:pPr>
      <w:r w:rsidRPr="00AA67D7">
        <w:rPr>
          <w:rFonts w:eastAsiaTheme="minorEastAsia"/>
          <w:b/>
          <w:bCs/>
          <w:rtl/>
        </w:rPr>
        <w:t>قرار اللجنة:</w:t>
      </w:r>
      <w:r w:rsidRPr="00D2562D">
        <w:rPr>
          <w:rFonts w:eastAsiaTheme="minorEastAsia"/>
          <w:rtl/>
        </w:rPr>
        <w:t xml:space="preserve"> مواصلة حوار المتابعة.</w:t>
      </w:r>
    </w:p>
    <w:p w14:paraId="4E12691C" w14:textId="33573C1A" w:rsidR="00E60F47" w:rsidRPr="00E60F47" w:rsidRDefault="00E60F47" w:rsidP="00E60F47">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E60F47" w:rsidRPr="00E60F47" w:rsidSect="000A23B7">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A9DC" w14:textId="77777777" w:rsidR="00C97066" w:rsidRPr="002901D9" w:rsidRDefault="00C97066" w:rsidP="00DC4D4B">
      <w:pPr>
        <w:spacing w:after="60" w:line="240" w:lineRule="auto"/>
        <w:ind w:left="57"/>
        <w:rPr>
          <w:i/>
          <w:iCs/>
        </w:rPr>
      </w:pPr>
      <w:r>
        <w:rPr>
          <w:rFonts w:hint="cs"/>
          <w:i/>
          <w:iCs/>
          <w:rtl/>
        </w:rPr>
        <w:t>الحواشي</w:t>
      </w:r>
    </w:p>
  </w:endnote>
  <w:endnote w:type="continuationSeparator" w:id="0">
    <w:p w14:paraId="283E5BBA" w14:textId="77777777" w:rsidR="00C97066" w:rsidRDefault="00C9706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5C91" w14:textId="40921F86" w:rsidR="00256576" w:rsidRPr="00256576" w:rsidRDefault="00256576" w:rsidP="00256576">
    <w:pPr>
      <w:pStyle w:val="Footer"/>
      <w:tabs>
        <w:tab w:val="right" w:pos="9638"/>
      </w:tabs>
      <w:rPr>
        <w:b/>
        <w:sz w:val="18"/>
        <w:lang w:val="en-US"/>
      </w:rPr>
    </w:pPr>
    <w:r>
      <w:rPr>
        <w:lang w:val="en-US"/>
      </w:rPr>
      <w:t>GE.23-05191</w:t>
    </w:r>
    <w:r>
      <w:rPr>
        <w:lang w:val="en-US"/>
      </w:rPr>
      <w:tab/>
    </w:r>
    <w:r w:rsidRPr="00256576">
      <w:rPr>
        <w:b/>
        <w:sz w:val="18"/>
        <w:lang w:val="en-US"/>
      </w:rPr>
      <w:fldChar w:fldCharType="begin"/>
    </w:r>
    <w:r w:rsidRPr="00256576">
      <w:rPr>
        <w:b/>
        <w:sz w:val="18"/>
        <w:lang w:val="en-US"/>
      </w:rPr>
      <w:instrText xml:space="preserve"> PAGE  \* MERGEFORMAT </w:instrText>
    </w:r>
    <w:r w:rsidRPr="00256576">
      <w:rPr>
        <w:b/>
        <w:sz w:val="18"/>
        <w:lang w:val="en-US"/>
      </w:rPr>
      <w:fldChar w:fldCharType="separate"/>
    </w:r>
    <w:r w:rsidRPr="00256576">
      <w:rPr>
        <w:b/>
        <w:noProof/>
        <w:sz w:val="18"/>
        <w:lang w:val="en-US"/>
      </w:rPr>
      <w:t>2</w:t>
    </w:r>
    <w:r w:rsidRPr="0025657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951E" w14:textId="4966AA21" w:rsidR="006959B0" w:rsidRPr="00256576" w:rsidRDefault="00256576" w:rsidP="0025657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GE.23-05191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5C95" w14:textId="7D1500BD" w:rsidR="00DE50B1" w:rsidRPr="00256576" w:rsidRDefault="00256576" w:rsidP="00256576">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A944520" wp14:editId="2E90399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23-05191 (A)</w:t>
    </w:r>
    <w:r>
      <w:rPr>
        <w:noProof/>
        <w:sz w:val="20"/>
        <w:lang w:val="en-US"/>
      </w:rPr>
      <w:drawing>
        <wp:anchor distT="0" distB="0" distL="114300" distR="114300" simplePos="0" relativeHeight="251659264" behindDoc="0" locked="0" layoutInCell="1" allowOverlap="1" wp14:anchorId="0C402F06" wp14:editId="08807BB2">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8DE3" w14:textId="77777777" w:rsidR="00C97066" w:rsidRPr="008A49D2" w:rsidRDefault="00C97066"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763D6CE" w14:textId="77777777" w:rsidR="00C97066" w:rsidRDefault="00C97066" w:rsidP="00656392">
      <w:pPr>
        <w:spacing w:line="240" w:lineRule="auto"/>
      </w:pPr>
      <w:r>
        <w:continuationSeparator/>
      </w:r>
    </w:p>
  </w:footnote>
  <w:footnote w:id="1">
    <w:p w14:paraId="5D2A1C47" w14:textId="20CC3EAF" w:rsidR="006978E0" w:rsidRPr="006978E0" w:rsidRDefault="006978E0" w:rsidP="006978E0">
      <w:pPr>
        <w:pStyle w:val="FootnoteText1"/>
        <w:rPr>
          <w:rFonts w:eastAsiaTheme="minorEastAsia"/>
          <w:rtl/>
        </w:rPr>
      </w:pPr>
      <w:r w:rsidRPr="007954CB">
        <w:rPr>
          <w:rFonts w:eastAsiaTheme="minorEastAsia"/>
          <w:sz w:val="22"/>
          <w:szCs w:val="22"/>
          <w:rtl/>
        </w:rPr>
        <w:t>*</w:t>
      </w:r>
      <w:r w:rsidRPr="007954CB">
        <w:rPr>
          <w:rFonts w:eastAsiaTheme="minorEastAsia"/>
          <w:sz w:val="22"/>
          <w:szCs w:val="22"/>
          <w:rtl/>
        </w:rPr>
        <w:tab/>
      </w:r>
      <w:r w:rsidRPr="006978E0">
        <w:rPr>
          <w:rFonts w:eastAsiaTheme="minorEastAsia"/>
          <w:rtl/>
        </w:rPr>
        <w:t xml:space="preserve">اعتمدت اللجنة هذه الوثيقة في دورتها </w:t>
      </w:r>
      <w:r w:rsidRPr="00AA67D7">
        <w:rPr>
          <w:rFonts w:eastAsiaTheme="minorEastAsia"/>
          <w:rtl/>
        </w:rPr>
        <w:t>129</w:t>
      </w:r>
      <w:r w:rsidRPr="006978E0">
        <w:rPr>
          <w:rFonts w:eastAsiaTheme="minorEastAsia"/>
          <w:rtl/>
        </w:rPr>
        <w:t xml:space="preserve"> (</w:t>
      </w:r>
      <w:r w:rsidRPr="00AA67D7">
        <w:rPr>
          <w:rFonts w:eastAsiaTheme="minorEastAsia"/>
          <w:rtl/>
        </w:rPr>
        <w:t>29</w:t>
      </w:r>
      <w:r w:rsidRPr="006978E0">
        <w:rPr>
          <w:rFonts w:eastAsiaTheme="minorEastAsia"/>
          <w:rtl/>
        </w:rPr>
        <w:t xml:space="preserve"> حزيران/يونيه</w:t>
      </w:r>
      <w:r w:rsidR="00AA610B" w:rsidRPr="00546212">
        <w:rPr>
          <w:rFonts w:eastAsiaTheme="minorEastAsia" w:hint="cs"/>
          <w:rtl/>
        </w:rPr>
        <w:t xml:space="preserve"> - </w:t>
      </w:r>
      <w:r w:rsidRPr="00AA67D7">
        <w:rPr>
          <w:rFonts w:eastAsiaTheme="minorEastAsia"/>
          <w:rtl/>
        </w:rPr>
        <w:t>24</w:t>
      </w:r>
      <w:r w:rsidRPr="006978E0">
        <w:rPr>
          <w:rFonts w:eastAsiaTheme="minorEastAsia"/>
          <w:rtl/>
        </w:rPr>
        <w:t xml:space="preserve"> تموز/يوليه </w:t>
      </w:r>
      <w:r w:rsidRPr="00AA67D7">
        <w:rPr>
          <w:rFonts w:eastAsiaTheme="minorEastAsia"/>
          <w:rtl/>
        </w:rPr>
        <w:t>2020</w:t>
      </w:r>
      <w:r w:rsidR="007954CB" w:rsidRPr="007954CB">
        <w:rPr>
          <w:rFonts w:eastAsiaTheme="minorEastAsia"/>
          <w:rtl/>
        </w:rPr>
        <w:t xml:space="preserve">)، </w:t>
      </w:r>
      <w:r w:rsidRPr="006978E0">
        <w:rPr>
          <w:rFonts w:eastAsiaTheme="minorEastAsia"/>
          <w:rtl/>
        </w:rPr>
        <w:t>بعد أن أجلت النظر فيها لظروف خارجة عن إرادتها</w:t>
      </w:r>
      <w:r w:rsidR="007954CB">
        <w:rPr>
          <w:rFonts w:eastAsiaTheme="minorEastAsia"/>
          <w:rtl/>
        </w:rPr>
        <w:t xml:space="preserve">. </w:t>
      </w:r>
    </w:p>
  </w:footnote>
  <w:footnote w:id="2">
    <w:p w14:paraId="1B50509A" w14:textId="77777777" w:rsidR="007954CB" w:rsidRPr="006978E0" w:rsidRDefault="007954CB" w:rsidP="006978E0">
      <w:pPr>
        <w:pStyle w:val="FootnoteText1"/>
        <w:textDirection w:val="tbRlV"/>
        <w:rPr>
          <w:rFonts w:eastAsiaTheme="minorEastAsia"/>
          <w:lang w:val="ar-SA" w:eastAsia="zh-TW" w:bidi="en-GB"/>
        </w:rPr>
      </w:pPr>
      <w:r w:rsidRPr="006978E0">
        <w:rPr>
          <w:rStyle w:val="FootnoteReference"/>
          <w:rFonts w:eastAsiaTheme="minorEastAsia"/>
          <w:vertAlign w:val="baseline"/>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الدولة الطرف وأُحيلت المعلومات إلى محامي صاحب البلاغ، في </w:t>
      </w:r>
      <w:r w:rsidRPr="00AA67D7">
        <w:rPr>
          <w:rFonts w:eastAsiaTheme="minorEastAsia"/>
          <w:rtl/>
        </w:rPr>
        <w:t>6</w:t>
      </w:r>
      <w:r w:rsidRPr="006978E0">
        <w:rPr>
          <w:rFonts w:eastAsiaTheme="minorEastAsia"/>
          <w:rtl/>
        </w:rPr>
        <w:t xml:space="preserve"> آب/أغسطس </w:t>
      </w:r>
      <w:r w:rsidRPr="00AA67D7">
        <w:rPr>
          <w:rFonts w:eastAsiaTheme="minorEastAsia"/>
          <w:rtl/>
        </w:rPr>
        <w:t>2019</w:t>
      </w:r>
      <w:r w:rsidRPr="006978E0">
        <w:rPr>
          <w:rFonts w:eastAsiaTheme="minorEastAsia"/>
          <w:rtl/>
        </w:rPr>
        <w:t>، لكي يبدي تعليقاته عليها</w:t>
      </w:r>
      <w:r>
        <w:rPr>
          <w:rFonts w:eastAsiaTheme="minorEastAsia"/>
          <w:rtl/>
        </w:rPr>
        <w:t xml:space="preserve">. </w:t>
      </w:r>
    </w:p>
  </w:footnote>
  <w:footnote w:id="3">
    <w:p w14:paraId="5EE09ECD" w14:textId="77777777" w:rsidR="007954CB" w:rsidRPr="00FF33B9" w:rsidRDefault="007954CB" w:rsidP="006978E0">
      <w:pPr>
        <w:pStyle w:val="FootnoteText1"/>
        <w:textDirection w:val="tbRlV"/>
        <w:rPr>
          <w:rFonts w:eastAsiaTheme="minorEastAsia"/>
          <w:color w:val="000000"/>
          <w:spacing w:val="-4"/>
          <w:lang w:val="ar-SA" w:eastAsia="zh-TW" w:bidi="en-GB"/>
        </w:rPr>
      </w:pPr>
      <w:r w:rsidRPr="006978E0">
        <w:rPr>
          <w:rStyle w:val="FootnoteReference"/>
          <w:rFonts w:eastAsiaTheme="minorEastAsia"/>
          <w:vertAlign w:val="baseline"/>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FF33B9">
        <w:rPr>
          <w:rFonts w:eastAsiaTheme="minorEastAsia"/>
          <w:spacing w:val="-4"/>
          <w:rtl/>
        </w:rPr>
        <w:tab/>
        <w:t xml:space="preserve">أُرسل إقرار باستلام المعلومات إلى محامي صاحب البلاغ وأُحيلت المعلومات إلى الدولة الطرف، في </w:t>
      </w:r>
      <w:r w:rsidRPr="00AA67D7">
        <w:rPr>
          <w:rFonts w:eastAsiaTheme="minorEastAsia"/>
          <w:spacing w:val="-4"/>
          <w:rtl/>
        </w:rPr>
        <w:t>17</w:t>
      </w:r>
      <w:r w:rsidRPr="00FF33B9">
        <w:rPr>
          <w:rFonts w:eastAsiaTheme="minorEastAsia"/>
          <w:spacing w:val="-4"/>
          <w:rtl/>
        </w:rPr>
        <w:t xml:space="preserve"> كانون الأول/ديسمبر </w:t>
      </w:r>
      <w:r w:rsidRPr="00AA67D7">
        <w:rPr>
          <w:rFonts w:eastAsiaTheme="minorEastAsia"/>
          <w:spacing w:val="-4"/>
          <w:rtl/>
        </w:rPr>
        <w:t>2019</w:t>
      </w:r>
      <w:r w:rsidRPr="007954CB">
        <w:rPr>
          <w:rFonts w:eastAsiaTheme="minorEastAsia"/>
          <w:spacing w:val="-4"/>
          <w:rtl/>
        </w:rPr>
        <w:t xml:space="preserve">. </w:t>
      </w:r>
    </w:p>
  </w:footnote>
  <w:footnote w:id="4">
    <w:p w14:paraId="75FDC964" w14:textId="77777777" w:rsidR="007954CB" w:rsidRPr="006978E0" w:rsidRDefault="007954CB" w:rsidP="006978E0">
      <w:pPr>
        <w:pStyle w:val="FootnoteText1"/>
        <w:textDirection w:val="tbRlV"/>
        <w:rPr>
          <w:rFonts w:eastAsiaTheme="minorEastAsia"/>
          <w:lang w:val="ar-SA" w:eastAsia="zh-TW" w:bidi="en-GB"/>
        </w:rPr>
      </w:pPr>
      <w:r w:rsidRPr="006978E0">
        <w:rPr>
          <w:rStyle w:val="FootnoteReference"/>
          <w:rFonts w:eastAsiaTheme="minorEastAsia"/>
          <w:vertAlign w:val="baseline"/>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الدولة الطرف وأُحيلت المعلومات إلى صاحبة البلاغ، في </w:t>
      </w:r>
      <w:r w:rsidRPr="00AA67D7">
        <w:rPr>
          <w:rFonts w:eastAsiaTheme="minorEastAsia"/>
          <w:rtl/>
        </w:rPr>
        <w:t>4</w:t>
      </w:r>
      <w:r w:rsidRPr="006978E0">
        <w:rPr>
          <w:rFonts w:eastAsiaTheme="minorEastAsia"/>
          <w:rtl/>
        </w:rPr>
        <w:t xml:space="preserve"> أيلول/سبتمبر </w:t>
      </w:r>
      <w:r w:rsidRPr="00AA67D7">
        <w:rPr>
          <w:rFonts w:eastAsiaTheme="minorEastAsia"/>
          <w:rtl/>
        </w:rPr>
        <w:t>2019</w:t>
      </w:r>
      <w:r w:rsidRPr="006978E0">
        <w:rPr>
          <w:rFonts w:eastAsiaTheme="minorEastAsia"/>
          <w:rtl/>
        </w:rPr>
        <w:t>، لكي تبدي تعليقاتها عليها</w:t>
      </w:r>
      <w:r>
        <w:rPr>
          <w:rFonts w:eastAsiaTheme="minorEastAsia"/>
          <w:rtl/>
        </w:rPr>
        <w:t xml:space="preserve">. </w:t>
      </w:r>
    </w:p>
  </w:footnote>
  <w:footnote w:id="5">
    <w:p w14:paraId="40A4DA93" w14:textId="77777777" w:rsidR="007954CB" w:rsidRPr="00261ADA" w:rsidRDefault="007954CB" w:rsidP="006978E0">
      <w:pPr>
        <w:pStyle w:val="FootnoteText1"/>
        <w:textDirection w:val="tbRlV"/>
        <w:rPr>
          <w:rFonts w:eastAsiaTheme="minorEastAsia"/>
          <w:spacing w:val="-6"/>
          <w:lang w:val="ar-SA" w:eastAsia="zh-TW" w:bidi="en-GB"/>
        </w:rPr>
      </w:pPr>
      <w:r w:rsidRPr="006978E0">
        <w:rPr>
          <w:rStyle w:val="FootnoteReference"/>
          <w:rFonts w:eastAsiaTheme="minorEastAsia"/>
          <w:vertAlign w:val="baseline"/>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r>
      <w:r w:rsidRPr="00FF33B9">
        <w:rPr>
          <w:rFonts w:eastAsiaTheme="minorEastAsia"/>
          <w:spacing w:val="-4"/>
          <w:rtl/>
        </w:rPr>
        <w:t xml:space="preserve">تنص المادة </w:t>
      </w:r>
      <w:r w:rsidRPr="00AA67D7">
        <w:rPr>
          <w:rFonts w:eastAsiaTheme="minorEastAsia"/>
          <w:spacing w:val="-4"/>
          <w:rtl/>
        </w:rPr>
        <w:t>63</w:t>
      </w:r>
      <w:r w:rsidRPr="00FF33B9">
        <w:rPr>
          <w:rFonts w:eastAsiaTheme="minorEastAsia"/>
          <w:spacing w:val="-4"/>
          <w:rtl/>
        </w:rPr>
        <w:t>(</w:t>
      </w:r>
      <w:r w:rsidRPr="00AA67D7">
        <w:rPr>
          <w:rFonts w:eastAsiaTheme="minorEastAsia"/>
          <w:spacing w:val="-4"/>
          <w:rtl/>
        </w:rPr>
        <w:t>1</w:t>
      </w:r>
      <w:r w:rsidRPr="007954CB">
        <w:rPr>
          <w:rFonts w:eastAsiaTheme="minorEastAsia"/>
          <w:spacing w:val="-4"/>
          <w:rtl/>
        </w:rPr>
        <w:t xml:space="preserve">) </w:t>
      </w:r>
      <w:r w:rsidRPr="00FF33B9">
        <w:rPr>
          <w:rFonts w:eastAsiaTheme="minorEastAsia"/>
          <w:spacing w:val="-4"/>
          <w:rtl/>
        </w:rPr>
        <w:t xml:space="preserve">من القانون على أنه </w:t>
      </w:r>
      <w:r>
        <w:rPr>
          <w:rFonts w:eastAsiaTheme="minorEastAsia" w:hint="cs"/>
          <w:spacing w:val="-4"/>
          <w:rtl/>
        </w:rPr>
        <w:t>"</w:t>
      </w:r>
      <w:r w:rsidRPr="00FF33B9">
        <w:rPr>
          <w:rFonts w:eastAsiaTheme="minorEastAsia"/>
          <w:spacing w:val="-4"/>
          <w:rtl/>
        </w:rPr>
        <w:t>يجوز إلغاء القرار</w:t>
      </w:r>
      <w:r w:rsidRPr="00FF33B9">
        <w:rPr>
          <w:rFonts w:eastAsiaTheme="minorEastAsia"/>
          <w:spacing w:val="-4"/>
        </w:rPr>
        <w:t xml:space="preserve">: </w:t>
      </w:r>
      <w:r w:rsidRPr="00FF33B9">
        <w:rPr>
          <w:rFonts w:eastAsiaTheme="minorEastAsia"/>
          <w:spacing w:val="-4"/>
          <w:rtl/>
        </w:rPr>
        <w:t>(</w:t>
      </w:r>
      <w:r w:rsidRPr="00AA67D7">
        <w:rPr>
          <w:rFonts w:eastAsiaTheme="minorEastAsia"/>
          <w:spacing w:val="-4"/>
          <w:rtl/>
        </w:rPr>
        <w:t>1</w:t>
      </w:r>
      <w:r w:rsidRPr="007954CB">
        <w:rPr>
          <w:rFonts w:eastAsiaTheme="minorEastAsia"/>
          <w:spacing w:val="-4"/>
          <w:rtl/>
        </w:rPr>
        <w:t xml:space="preserve">) </w:t>
      </w:r>
      <w:r w:rsidRPr="00FF33B9">
        <w:rPr>
          <w:rFonts w:eastAsiaTheme="minorEastAsia"/>
          <w:spacing w:val="-4"/>
          <w:rtl/>
        </w:rPr>
        <w:t>إذا ارتكب خطأ إجرائي قد يكون له أثر ذو صلة على القرار؛ (</w:t>
      </w:r>
      <w:r w:rsidRPr="00AA67D7">
        <w:rPr>
          <w:rFonts w:eastAsiaTheme="minorEastAsia"/>
          <w:spacing w:val="-4"/>
          <w:rtl/>
        </w:rPr>
        <w:t>2</w:t>
      </w:r>
      <w:r w:rsidRPr="007954CB">
        <w:rPr>
          <w:rFonts w:eastAsiaTheme="minorEastAsia"/>
          <w:spacing w:val="-4"/>
          <w:rtl/>
        </w:rPr>
        <w:t>)</w:t>
      </w:r>
      <w:r w:rsidRPr="007954CB">
        <w:rPr>
          <w:rFonts w:eastAsiaTheme="minorEastAsia" w:hint="cs"/>
          <w:spacing w:val="-4"/>
          <w:rtl/>
        </w:rPr>
        <w:t> </w:t>
      </w:r>
      <w:r w:rsidRPr="00FF33B9">
        <w:rPr>
          <w:rFonts w:eastAsiaTheme="minorEastAsia"/>
          <w:spacing w:val="-4"/>
          <w:rtl/>
        </w:rPr>
        <w:t>إذا</w:t>
      </w:r>
      <w:r>
        <w:rPr>
          <w:rFonts w:eastAsiaTheme="minorEastAsia" w:hint="cs"/>
          <w:spacing w:val="-4"/>
          <w:rtl/>
        </w:rPr>
        <w:t> </w:t>
      </w:r>
      <w:r w:rsidRPr="00FF33B9">
        <w:rPr>
          <w:rFonts w:eastAsiaTheme="minorEastAsia"/>
          <w:spacing w:val="-4"/>
          <w:rtl/>
        </w:rPr>
        <w:t>كان القرار يستند إلى تطبيق ظاهر البطلان للقانون أو إلى خطأ قد يكون له تأثير جوهري على القرار؛ أو (</w:t>
      </w:r>
      <w:r w:rsidRPr="00AA67D7">
        <w:rPr>
          <w:rFonts w:eastAsiaTheme="minorEastAsia"/>
          <w:spacing w:val="-4"/>
          <w:rtl/>
        </w:rPr>
        <w:t>3</w:t>
      </w:r>
      <w:r w:rsidRPr="007954CB">
        <w:rPr>
          <w:rFonts w:eastAsiaTheme="minorEastAsia"/>
          <w:spacing w:val="-4"/>
          <w:rtl/>
        </w:rPr>
        <w:t xml:space="preserve">) </w:t>
      </w:r>
      <w:r w:rsidRPr="00FF33B9">
        <w:rPr>
          <w:rFonts w:eastAsiaTheme="minorEastAsia"/>
          <w:spacing w:val="-4"/>
          <w:rtl/>
        </w:rPr>
        <w:t xml:space="preserve">إذا ظهرت أدلة جديدة </w:t>
      </w:r>
      <w:r w:rsidRPr="00261ADA">
        <w:rPr>
          <w:rFonts w:eastAsiaTheme="minorEastAsia"/>
          <w:spacing w:val="-6"/>
          <w:rtl/>
        </w:rPr>
        <w:t>كان يمكن أن يكون لها تأثير ذو صلة على القرار وإذا كان خطأ عدم تقديم الأدلة في الوقت المناسب لا يعود إلى مقدم الطلب</w:t>
      </w:r>
      <w:r>
        <w:rPr>
          <w:rFonts w:eastAsiaTheme="minorEastAsia" w:hint="cs"/>
          <w:spacing w:val="-6"/>
          <w:rtl/>
        </w:rPr>
        <w:t>"</w:t>
      </w:r>
      <w:r w:rsidRPr="00261ADA">
        <w:rPr>
          <w:rFonts w:eastAsiaTheme="minorEastAsia"/>
          <w:spacing w:val="-6"/>
          <w:rtl/>
        </w:rPr>
        <w:t>. وتنص المادة</w:t>
      </w:r>
      <w:r>
        <w:rPr>
          <w:rFonts w:eastAsiaTheme="minorEastAsia" w:hint="cs"/>
          <w:spacing w:val="-6"/>
          <w:rtl/>
        </w:rPr>
        <w:t> </w:t>
      </w:r>
      <w:r w:rsidRPr="00AA67D7">
        <w:rPr>
          <w:rFonts w:eastAsiaTheme="minorEastAsia"/>
          <w:spacing w:val="-6"/>
          <w:rtl/>
        </w:rPr>
        <w:t>63</w:t>
      </w:r>
      <w:r w:rsidRPr="00261ADA">
        <w:rPr>
          <w:rFonts w:eastAsiaTheme="minorEastAsia"/>
          <w:spacing w:val="-6"/>
          <w:rtl/>
        </w:rPr>
        <w:t>(</w:t>
      </w:r>
      <w:r w:rsidRPr="00AA67D7">
        <w:rPr>
          <w:rFonts w:eastAsiaTheme="minorEastAsia"/>
          <w:spacing w:val="-6"/>
          <w:rtl/>
        </w:rPr>
        <w:t>2</w:t>
      </w:r>
      <w:r w:rsidRPr="007954CB">
        <w:rPr>
          <w:rFonts w:eastAsiaTheme="minorEastAsia"/>
          <w:spacing w:val="-6"/>
          <w:rtl/>
        </w:rPr>
        <w:t xml:space="preserve">) </w:t>
      </w:r>
      <w:r w:rsidRPr="00261ADA">
        <w:rPr>
          <w:rFonts w:eastAsiaTheme="minorEastAsia"/>
          <w:spacing w:val="-6"/>
          <w:rtl/>
        </w:rPr>
        <w:t xml:space="preserve">على أنه </w:t>
      </w:r>
      <w:r>
        <w:rPr>
          <w:rFonts w:eastAsiaTheme="minorEastAsia" w:hint="cs"/>
          <w:spacing w:val="-6"/>
          <w:rtl/>
        </w:rPr>
        <w:t>"</w:t>
      </w:r>
      <w:r w:rsidRPr="00261ADA">
        <w:rPr>
          <w:rFonts w:eastAsiaTheme="minorEastAsia"/>
          <w:spacing w:val="-6"/>
          <w:rtl/>
        </w:rPr>
        <w:t>لا يجوز إلغاء القرار، ما لم ينتهك حق الفرد أو ما لم يُعتبر أن من المصلحة العامة إلغاء القرار</w:t>
      </w:r>
      <w:r>
        <w:rPr>
          <w:rFonts w:eastAsiaTheme="minorEastAsia" w:hint="cs"/>
          <w:spacing w:val="-6"/>
          <w:rtl/>
        </w:rPr>
        <w:t>"</w:t>
      </w:r>
      <w:r w:rsidRPr="00261ADA">
        <w:rPr>
          <w:rFonts w:eastAsiaTheme="minorEastAsia"/>
          <w:spacing w:val="-6"/>
          <w:rtl/>
        </w:rPr>
        <w:t>. وتنص</w:t>
      </w:r>
      <w:r w:rsidRPr="006978E0">
        <w:rPr>
          <w:rFonts w:eastAsiaTheme="minorEastAsia"/>
          <w:rtl/>
        </w:rPr>
        <w:t xml:space="preserve"> </w:t>
      </w:r>
      <w:r w:rsidRPr="00261ADA">
        <w:rPr>
          <w:rFonts w:eastAsiaTheme="minorEastAsia"/>
          <w:spacing w:val="-6"/>
          <w:rtl/>
        </w:rPr>
        <w:t xml:space="preserve">المادة </w:t>
      </w:r>
      <w:r w:rsidRPr="00AA67D7">
        <w:rPr>
          <w:rFonts w:eastAsiaTheme="minorEastAsia"/>
          <w:spacing w:val="-6"/>
          <w:rtl/>
        </w:rPr>
        <w:t>63</w:t>
      </w:r>
      <w:r w:rsidRPr="00261ADA">
        <w:rPr>
          <w:rFonts w:eastAsiaTheme="minorEastAsia"/>
          <w:spacing w:val="-6"/>
          <w:rtl/>
        </w:rPr>
        <w:t>(</w:t>
      </w:r>
      <w:r w:rsidRPr="00AA67D7">
        <w:rPr>
          <w:rFonts w:eastAsiaTheme="minorEastAsia"/>
          <w:spacing w:val="-6"/>
          <w:rtl/>
        </w:rPr>
        <w:t>3</w:t>
      </w:r>
      <w:r w:rsidRPr="007954CB">
        <w:rPr>
          <w:rFonts w:eastAsiaTheme="minorEastAsia"/>
          <w:spacing w:val="-6"/>
          <w:rtl/>
        </w:rPr>
        <w:t xml:space="preserve">) </w:t>
      </w:r>
      <w:r w:rsidRPr="00261ADA">
        <w:rPr>
          <w:rFonts w:eastAsiaTheme="minorEastAsia"/>
          <w:spacing w:val="-6"/>
          <w:rtl/>
        </w:rPr>
        <w:t xml:space="preserve">على أنه </w:t>
      </w:r>
      <w:r>
        <w:rPr>
          <w:rFonts w:eastAsiaTheme="minorEastAsia" w:hint="cs"/>
          <w:spacing w:val="-6"/>
          <w:rtl/>
        </w:rPr>
        <w:t>"</w:t>
      </w:r>
      <w:r w:rsidRPr="00261ADA">
        <w:rPr>
          <w:rFonts w:eastAsiaTheme="minorEastAsia"/>
          <w:spacing w:val="-6"/>
          <w:rtl/>
        </w:rPr>
        <w:t>لا يجوز طلب الإلغاء إذا كان من الممكن تقديم طعن ضريبي مادي أو شكوى إجرائية ضد القرار على نفس الأساس</w:t>
      </w:r>
      <w:r>
        <w:rPr>
          <w:rFonts w:eastAsiaTheme="minorEastAsia" w:hint="cs"/>
          <w:spacing w:val="-6"/>
          <w:rtl/>
        </w:rPr>
        <w:t>"</w:t>
      </w:r>
      <w:r>
        <w:rPr>
          <w:rFonts w:eastAsiaTheme="minorEastAsia"/>
          <w:spacing w:val="-6"/>
          <w:rtl/>
        </w:rPr>
        <w:t xml:space="preserve">. </w:t>
      </w:r>
    </w:p>
  </w:footnote>
  <w:footnote w:id="6">
    <w:p w14:paraId="751BD984"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صاحبة البلاغ وأُحيلت المعلومات إلى الدولة الطرف في </w:t>
      </w:r>
      <w:r w:rsidRPr="00AA67D7">
        <w:rPr>
          <w:rFonts w:eastAsiaTheme="minorEastAsia"/>
          <w:rtl/>
        </w:rPr>
        <w:t>22</w:t>
      </w:r>
      <w:r w:rsidRPr="006978E0">
        <w:rPr>
          <w:rFonts w:eastAsiaTheme="minorEastAsia"/>
          <w:rtl/>
        </w:rPr>
        <w:t xml:space="preserve"> تشرين الثاني/نوفمبر </w:t>
      </w:r>
      <w:r w:rsidRPr="00AA67D7">
        <w:rPr>
          <w:rFonts w:eastAsiaTheme="minorEastAsia"/>
          <w:rtl/>
        </w:rPr>
        <w:t>2019</w:t>
      </w:r>
      <w:r w:rsidRPr="006978E0">
        <w:rPr>
          <w:rFonts w:eastAsiaTheme="minorEastAsia"/>
          <w:rtl/>
        </w:rPr>
        <w:t>، للعلم بها</w:t>
      </w:r>
      <w:r>
        <w:rPr>
          <w:rFonts w:eastAsiaTheme="minorEastAsia"/>
          <w:rtl/>
        </w:rPr>
        <w:t xml:space="preserve">. </w:t>
      </w:r>
    </w:p>
  </w:footnote>
  <w:footnote w:id="7">
    <w:p w14:paraId="08532A3E"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تشير صاحبة البلاغ إلى أن </w:t>
      </w:r>
      <w:r>
        <w:rPr>
          <w:rFonts w:eastAsiaTheme="minorEastAsia" w:hint="cs"/>
          <w:rtl/>
        </w:rPr>
        <w:t>"</w:t>
      </w:r>
      <w:r w:rsidRPr="006978E0">
        <w:rPr>
          <w:rFonts w:eastAsiaTheme="minorEastAsia"/>
          <w:rtl/>
        </w:rPr>
        <w:t>ممثلي رابطة الصاميين الإناريين ورابطة قرية لابلاند في إيناري</w:t>
      </w:r>
      <w:r>
        <w:rPr>
          <w:rFonts w:eastAsiaTheme="minorEastAsia" w:hint="cs"/>
          <w:rtl/>
        </w:rPr>
        <w:t>"</w:t>
      </w:r>
      <w:r w:rsidRPr="006978E0">
        <w:rPr>
          <w:rFonts w:eastAsiaTheme="minorEastAsia"/>
          <w:rtl/>
        </w:rPr>
        <w:t xml:space="preserve"> الذين تدعي الدولة الطرف أنها عقدت معهم اجتماعاً في </w:t>
      </w:r>
      <w:r w:rsidRPr="00AA67D7">
        <w:rPr>
          <w:rFonts w:eastAsiaTheme="minorEastAsia"/>
          <w:rtl/>
        </w:rPr>
        <w:t>11</w:t>
      </w:r>
      <w:r w:rsidRPr="006978E0">
        <w:rPr>
          <w:rFonts w:eastAsiaTheme="minorEastAsia"/>
          <w:rtl/>
        </w:rPr>
        <w:t xml:space="preserve"> حزيران/يونيه </w:t>
      </w:r>
      <w:r w:rsidRPr="00AA67D7">
        <w:rPr>
          <w:rFonts w:eastAsiaTheme="minorEastAsia"/>
          <w:rtl/>
        </w:rPr>
        <w:t>2019</w:t>
      </w:r>
      <w:r w:rsidRPr="006978E0">
        <w:rPr>
          <w:rFonts w:eastAsiaTheme="minorEastAsia"/>
          <w:rtl/>
        </w:rPr>
        <w:t xml:space="preserve"> لا يمثلون في واقع الأمر طائفة الصاميين الإناريين التقليدية</w:t>
      </w:r>
      <w:r>
        <w:rPr>
          <w:rFonts w:eastAsiaTheme="minorEastAsia"/>
          <w:rtl/>
        </w:rPr>
        <w:t xml:space="preserve">. </w:t>
      </w:r>
    </w:p>
  </w:footnote>
  <w:footnote w:id="8">
    <w:p w14:paraId="6CCEB4AA"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أصحاب البلاغ وأُحيلت المعلومات إلى الدولة الطرف في </w:t>
      </w:r>
      <w:r w:rsidRPr="00AA67D7">
        <w:rPr>
          <w:rFonts w:eastAsiaTheme="minorEastAsia"/>
          <w:rtl/>
        </w:rPr>
        <w:t>8</w:t>
      </w:r>
      <w:r w:rsidRPr="006978E0">
        <w:rPr>
          <w:rFonts w:eastAsiaTheme="minorEastAsia"/>
          <w:rtl/>
        </w:rPr>
        <w:t xml:space="preserve"> تشرين الثاني/نوفمبر </w:t>
      </w:r>
      <w:r w:rsidRPr="00AA67D7">
        <w:rPr>
          <w:rFonts w:eastAsiaTheme="minorEastAsia"/>
          <w:rtl/>
        </w:rPr>
        <w:t>2019</w:t>
      </w:r>
      <w:r w:rsidRPr="006978E0">
        <w:rPr>
          <w:rFonts w:eastAsiaTheme="minorEastAsia"/>
          <w:rtl/>
        </w:rPr>
        <w:t>، للعلم بها</w:t>
      </w:r>
      <w:r>
        <w:rPr>
          <w:rFonts w:eastAsiaTheme="minorEastAsia"/>
          <w:rtl/>
        </w:rPr>
        <w:t xml:space="preserve">. </w:t>
      </w:r>
    </w:p>
  </w:footnote>
  <w:footnote w:id="9">
    <w:p w14:paraId="0D2E7C90"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تنص المادة </w:t>
      </w:r>
      <w:r w:rsidRPr="00AA67D7">
        <w:rPr>
          <w:rFonts w:eastAsiaTheme="minorEastAsia"/>
          <w:rtl/>
        </w:rPr>
        <w:t>3</w:t>
      </w:r>
      <w:r w:rsidRPr="006978E0">
        <w:rPr>
          <w:rFonts w:eastAsiaTheme="minorEastAsia"/>
          <w:rtl/>
        </w:rPr>
        <w:t xml:space="preserve"> من مشروع قانون الدستور (إعلان الطائفة) (أحكام مؤقتة) (</w:t>
      </w:r>
      <w:r w:rsidRPr="00AA67D7">
        <w:rPr>
          <w:rFonts w:eastAsiaTheme="minorEastAsia"/>
          <w:rtl/>
        </w:rPr>
        <w:t>2014</w:t>
      </w:r>
      <w:r w:rsidRPr="007954CB">
        <w:rPr>
          <w:rFonts w:eastAsiaTheme="minorEastAsia"/>
          <w:rtl/>
        </w:rPr>
        <w:t xml:space="preserve">) </w:t>
      </w:r>
      <w:r w:rsidRPr="006978E0">
        <w:rPr>
          <w:rFonts w:eastAsiaTheme="minorEastAsia"/>
          <w:rtl/>
        </w:rPr>
        <w:t xml:space="preserve">على ما يلي: </w:t>
      </w:r>
      <w:r>
        <w:rPr>
          <w:rFonts w:eastAsiaTheme="minorEastAsia" w:hint="cs"/>
          <w:rtl/>
        </w:rPr>
        <w:t>"</w:t>
      </w:r>
      <w:r w:rsidRPr="006978E0">
        <w:rPr>
          <w:rFonts w:eastAsiaTheme="minorEastAsia"/>
          <w:rtl/>
        </w:rPr>
        <w:t>لا ينطبق هذا القانون إلا على أول انتخابات عامة تجرى بعد دخول هذا القانون حيز النفاذ</w:t>
      </w:r>
      <w:r>
        <w:rPr>
          <w:rFonts w:eastAsiaTheme="minorEastAsia" w:hint="cs"/>
          <w:rtl/>
        </w:rPr>
        <w:t>"</w:t>
      </w:r>
      <w:r>
        <w:rPr>
          <w:rFonts w:eastAsiaTheme="minorEastAsia"/>
          <w:rtl/>
        </w:rPr>
        <w:t xml:space="preserve">. </w:t>
      </w:r>
    </w:p>
  </w:footnote>
  <w:footnote w:id="10">
    <w:p w14:paraId="4AD0FBBC"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يشير أصحاب البلاغ إلى أن المحكمة العليا أيدت، في حكم شفوي صدر في </w:t>
      </w:r>
      <w:r w:rsidRPr="00AA67D7">
        <w:rPr>
          <w:rFonts w:eastAsiaTheme="minorEastAsia"/>
          <w:rtl/>
        </w:rPr>
        <w:t>26</w:t>
      </w:r>
      <w:r w:rsidRPr="006978E0">
        <w:rPr>
          <w:rFonts w:eastAsiaTheme="minorEastAsia"/>
          <w:rtl/>
        </w:rPr>
        <w:t xml:space="preserve"> تشرين الأول/أكتوبر </w:t>
      </w:r>
      <w:r w:rsidRPr="00AA67D7">
        <w:rPr>
          <w:rFonts w:eastAsiaTheme="minorEastAsia"/>
          <w:rtl/>
        </w:rPr>
        <w:t>2019</w:t>
      </w:r>
      <w:r w:rsidRPr="006978E0">
        <w:rPr>
          <w:rFonts w:eastAsiaTheme="minorEastAsia"/>
          <w:rtl/>
        </w:rPr>
        <w:t>، صحة فقدان الأهلية على أساس تلك اللوائح</w:t>
      </w:r>
      <w:r>
        <w:rPr>
          <w:rFonts w:eastAsiaTheme="minorEastAsia"/>
          <w:rtl/>
        </w:rPr>
        <w:t xml:space="preserve">. </w:t>
      </w:r>
    </w:p>
  </w:footnote>
  <w:footnote w:id="11">
    <w:p w14:paraId="11F4CADB"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الدولة الطرف وأُحيلت المعلومات إلى أصحاب البلاغ في </w:t>
      </w:r>
      <w:r w:rsidRPr="00AA67D7">
        <w:rPr>
          <w:rFonts w:eastAsiaTheme="minorEastAsia"/>
          <w:rtl/>
        </w:rPr>
        <w:t>24</w:t>
      </w:r>
      <w:r w:rsidRPr="006978E0">
        <w:rPr>
          <w:rFonts w:eastAsiaTheme="minorEastAsia"/>
          <w:rtl/>
        </w:rPr>
        <w:t xml:space="preserve"> كانون الثاني/يناير </w:t>
      </w:r>
      <w:r w:rsidRPr="00AA67D7">
        <w:rPr>
          <w:rFonts w:eastAsiaTheme="minorEastAsia"/>
          <w:rtl/>
        </w:rPr>
        <w:t>2020</w:t>
      </w:r>
      <w:r w:rsidRPr="006978E0">
        <w:rPr>
          <w:rFonts w:eastAsiaTheme="minorEastAsia"/>
          <w:rtl/>
        </w:rPr>
        <w:t>، للعلم بها</w:t>
      </w:r>
      <w:r>
        <w:rPr>
          <w:rFonts w:eastAsiaTheme="minorEastAsia"/>
          <w:rtl/>
        </w:rPr>
        <w:t xml:space="preserve">. </w:t>
      </w:r>
    </w:p>
  </w:footnote>
  <w:footnote w:id="12">
    <w:p w14:paraId="4BA33260"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نظام يستخدم لضمان تمثيل الأقليات الإثنية تمثيلاً عادلاً في البرلمان من خلال تخصيص مقاعد إضافية للمرشحين المنتمين إلى مجموعات من الأقليات. وبالإضافة إلى الأعضاء الـ</w:t>
      </w:r>
      <w:r>
        <w:rPr>
          <w:rFonts w:eastAsiaTheme="minorEastAsia" w:hint="cs"/>
          <w:rtl/>
        </w:rPr>
        <w:t xml:space="preserve"> </w:t>
      </w:r>
      <w:r w:rsidRPr="00AA67D7">
        <w:rPr>
          <w:rFonts w:eastAsiaTheme="minorEastAsia"/>
          <w:rtl/>
        </w:rPr>
        <w:t>62</w:t>
      </w:r>
      <w:r w:rsidRPr="006978E0">
        <w:rPr>
          <w:rFonts w:eastAsiaTheme="minorEastAsia"/>
          <w:rtl/>
        </w:rPr>
        <w:t xml:space="preserve"> المنتخبين انتخاباً مباشراً، ينص الدستور على تخصيص ثمانية مقاعد إضافية ل</w:t>
      </w:r>
      <w:r>
        <w:rPr>
          <w:rFonts w:eastAsiaTheme="minorEastAsia" w:hint="cs"/>
          <w:rtl/>
        </w:rPr>
        <w:t xml:space="preserve"> "</w:t>
      </w:r>
      <w:r w:rsidRPr="006978E0">
        <w:rPr>
          <w:rFonts w:eastAsiaTheme="minorEastAsia"/>
          <w:rtl/>
        </w:rPr>
        <w:t>أفضل الخاسرين</w:t>
      </w:r>
      <w:r>
        <w:rPr>
          <w:rFonts w:eastAsiaTheme="minorEastAsia" w:hint="cs"/>
          <w:rtl/>
        </w:rPr>
        <w:t>"</w:t>
      </w:r>
      <w:r w:rsidRPr="006978E0">
        <w:rPr>
          <w:rFonts w:eastAsiaTheme="minorEastAsia"/>
          <w:rtl/>
        </w:rPr>
        <w:t>، أي المرشحين عن مجموعاتهم الإثنية، أي الأقليات</w:t>
      </w:r>
      <w:r>
        <w:rPr>
          <w:rFonts w:eastAsiaTheme="minorEastAsia"/>
          <w:rtl/>
        </w:rPr>
        <w:t xml:space="preserve">. </w:t>
      </w:r>
    </w:p>
  </w:footnote>
  <w:footnote w:id="13">
    <w:p w14:paraId="4F5D2CA7"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تقتضي هذه الفقرة من جميع أعضاء الجمعية الوطنية المرشحين في أي انتخابات عامة أن يعلنوا عن الطائفة التي ينتمون إليها بحيث تتسنى الإشارة إلى الطائفة في إشعار منشور بترشحهم</w:t>
      </w:r>
      <w:r>
        <w:rPr>
          <w:rFonts w:eastAsiaTheme="minorEastAsia"/>
          <w:rtl/>
        </w:rPr>
        <w:t xml:space="preserve">. </w:t>
      </w:r>
    </w:p>
  </w:footnote>
  <w:footnote w:id="14">
    <w:p w14:paraId="708F3A35"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وتنص المادة </w:t>
      </w:r>
      <w:r w:rsidRPr="00AA67D7">
        <w:rPr>
          <w:rFonts w:eastAsiaTheme="minorEastAsia"/>
          <w:rtl/>
        </w:rPr>
        <w:t>12</w:t>
      </w:r>
      <w:r w:rsidRPr="006978E0">
        <w:rPr>
          <w:rFonts w:eastAsiaTheme="minorEastAsia"/>
          <w:rtl/>
        </w:rPr>
        <w:t>(</w:t>
      </w:r>
      <w:r w:rsidRPr="00AA67D7">
        <w:rPr>
          <w:rFonts w:eastAsiaTheme="minorEastAsia"/>
          <w:rtl/>
        </w:rPr>
        <w:t>4</w:t>
      </w:r>
      <w:r w:rsidRPr="007954CB">
        <w:rPr>
          <w:rFonts w:eastAsiaTheme="minorEastAsia"/>
          <w:rtl/>
        </w:rPr>
        <w:t xml:space="preserve">) </w:t>
      </w:r>
      <w:r w:rsidRPr="006978E0">
        <w:rPr>
          <w:rFonts w:eastAsiaTheme="minorEastAsia"/>
          <w:rtl/>
        </w:rPr>
        <w:t>على أنه في حالة الانتخابات العامة، يتعين على جميع المرشحين أن يعلنوا عما إذا كانوا ينتمون إلى طائفة السكان الهندوسية أم المسلمة أم الصينية</w:t>
      </w:r>
      <w:r>
        <w:rPr>
          <w:rFonts w:eastAsiaTheme="minorEastAsia" w:hint="cs"/>
          <w:rtl/>
        </w:rPr>
        <w:t xml:space="preserve"> </w:t>
      </w:r>
      <w:r w:rsidRPr="006978E0">
        <w:rPr>
          <w:rFonts w:eastAsiaTheme="minorEastAsia"/>
          <w:rtl/>
        </w:rPr>
        <w:t>-</w:t>
      </w:r>
      <w:r>
        <w:rPr>
          <w:rFonts w:eastAsiaTheme="minorEastAsia" w:hint="cs"/>
          <w:rtl/>
        </w:rPr>
        <w:t xml:space="preserve"> </w:t>
      </w:r>
      <w:r w:rsidRPr="006978E0">
        <w:rPr>
          <w:rFonts w:eastAsiaTheme="minorEastAsia"/>
          <w:rtl/>
        </w:rPr>
        <w:t>الموريشيوسية أو عامة السكان، وأن يشيروا لذلك في أوراق ترشحهم</w:t>
      </w:r>
      <w:r>
        <w:rPr>
          <w:rFonts w:eastAsiaTheme="minorEastAsia"/>
          <w:rtl/>
        </w:rPr>
        <w:t xml:space="preserve">. </w:t>
      </w:r>
    </w:p>
  </w:footnote>
  <w:footnote w:id="15">
    <w:p w14:paraId="113B0360"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الدولة الطرف وأُحيلت المعلومات إلى صاحبي البلاغ، في </w:t>
      </w:r>
      <w:r w:rsidRPr="00AA67D7">
        <w:rPr>
          <w:rFonts w:eastAsiaTheme="minorEastAsia"/>
          <w:rtl/>
        </w:rPr>
        <w:t>8</w:t>
      </w:r>
      <w:r w:rsidRPr="006978E0">
        <w:rPr>
          <w:rFonts w:eastAsiaTheme="minorEastAsia"/>
          <w:rtl/>
        </w:rPr>
        <w:t xml:space="preserve"> كانون الثاني/يناير </w:t>
      </w:r>
      <w:r w:rsidRPr="00AA67D7">
        <w:rPr>
          <w:rFonts w:eastAsiaTheme="minorEastAsia"/>
          <w:rtl/>
        </w:rPr>
        <w:t>2019</w:t>
      </w:r>
      <w:r w:rsidRPr="006978E0">
        <w:rPr>
          <w:rFonts w:eastAsiaTheme="minorEastAsia"/>
          <w:rtl/>
        </w:rPr>
        <w:t>، للتعليق عليها</w:t>
      </w:r>
      <w:r>
        <w:rPr>
          <w:rFonts w:eastAsiaTheme="minorEastAsia"/>
          <w:rtl/>
        </w:rPr>
        <w:t xml:space="preserve">. </w:t>
      </w:r>
    </w:p>
  </w:footnote>
  <w:footnote w:id="16">
    <w:p w14:paraId="394A527C"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الهدف من الوحدات هو التشجيع على تولي المزيد من المسؤولية الشخصية والاعتماد على الذات. وعلى الرغم من أن الأنظمة تختلف من سجن لآخر، عادة ما يُسمح للنزلاء بالتنقل بحرية في وحدات الرعاية الذاتية حتى </w:t>
      </w:r>
      <w:r w:rsidRPr="00546212">
        <w:rPr>
          <w:rFonts w:eastAsiaTheme="minorEastAsia"/>
          <w:rtl/>
        </w:rPr>
        <w:t>الساعة العاشرة مساء</w:t>
      </w:r>
      <w:r w:rsidRPr="006978E0">
        <w:rPr>
          <w:rFonts w:eastAsiaTheme="minorEastAsia"/>
          <w:rtl/>
        </w:rPr>
        <w:t>، ويمكنهم تنظيم أنشطتهم اليومية وفقاً لذلك. وتوفر وحدات الرعاية الذاتية مجالاً للنزلاء لإعداد وجبات الطعام وتطوير مهاراتهم والمشاركة في الحياة اليومية في سكن الاحتجاز</w:t>
      </w:r>
      <w:r>
        <w:rPr>
          <w:rFonts w:eastAsiaTheme="minorEastAsia"/>
          <w:rtl/>
        </w:rPr>
        <w:t xml:space="preserve">. </w:t>
      </w:r>
    </w:p>
  </w:footnote>
  <w:footnote w:id="17">
    <w:p w14:paraId="382B5863"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توفر الوحدة بيئة تتمحور حول المبادئ الثقافية للسكان الأصليين لمساعدة السجناء على التدرب من أجل العمل وتشكيل شبكات داعمة مع المجموعات القبلية والمجموعات القبلية الأصغر والمنظمات المجتمعية، مع تعزيز هويتهم الثقافية أيضاً</w:t>
      </w:r>
      <w:r>
        <w:rPr>
          <w:rFonts w:eastAsiaTheme="minorEastAsia"/>
          <w:rtl/>
        </w:rPr>
        <w:t xml:space="preserve">. </w:t>
      </w:r>
    </w:p>
  </w:footnote>
  <w:footnote w:id="18">
    <w:p w14:paraId="5EBFA607"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صاحبي البلاغ وأُحيلت المعلومات إلى الدولة الطرف في </w:t>
      </w:r>
      <w:r w:rsidRPr="00AA67D7">
        <w:rPr>
          <w:rFonts w:eastAsiaTheme="minorEastAsia"/>
          <w:rtl/>
        </w:rPr>
        <w:t>31</w:t>
      </w:r>
      <w:r w:rsidRPr="006978E0">
        <w:rPr>
          <w:rFonts w:eastAsiaTheme="minorEastAsia"/>
          <w:rtl/>
        </w:rPr>
        <w:t xml:space="preserve"> تشرين الأول/أكتوبر </w:t>
      </w:r>
      <w:r w:rsidRPr="00AA67D7">
        <w:rPr>
          <w:rFonts w:eastAsiaTheme="minorEastAsia"/>
          <w:rtl/>
        </w:rPr>
        <w:t>2019</w:t>
      </w:r>
      <w:r w:rsidRPr="006978E0">
        <w:rPr>
          <w:rFonts w:eastAsiaTheme="minorEastAsia"/>
          <w:rtl/>
        </w:rPr>
        <w:t>، للعلم بها</w:t>
      </w:r>
      <w:r>
        <w:rPr>
          <w:rFonts w:eastAsiaTheme="minorEastAsia"/>
          <w:rtl/>
        </w:rPr>
        <w:t xml:space="preserve">. </w:t>
      </w:r>
    </w:p>
  </w:footnote>
  <w:footnote w:id="19">
    <w:p w14:paraId="662123F0" w14:textId="7A33FD01"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يشير صاحبا البلاغ إلى المحكمة الأوروبية لحقوق الإنسان، قضية </w:t>
      </w:r>
      <w:r w:rsidRPr="00AA67D7">
        <w:rPr>
          <w:rFonts w:eastAsiaTheme="minorEastAsia"/>
          <w:i/>
          <w:iCs/>
          <w:rtl/>
        </w:rPr>
        <w:t>جيمس وويلز ولي ضد المملكة المتحدة</w:t>
      </w:r>
      <w:r w:rsidRPr="006978E0">
        <w:rPr>
          <w:rFonts w:eastAsiaTheme="minorEastAsia"/>
          <w:rtl/>
        </w:rPr>
        <w:t>، البلاغات رقم</w:t>
      </w:r>
      <w:r>
        <w:rPr>
          <w:rFonts w:eastAsiaTheme="minorEastAsia" w:hint="cs"/>
          <w:rtl/>
        </w:rPr>
        <w:t> </w:t>
      </w:r>
      <w:r w:rsidR="00AA610B" w:rsidRPr="00AA67D7">
        <w:rPr>
          <w:rFonts w:eastAsiaTheme="minorEastAsia"/>
          <w:rtl/>
        </w:rPr>
        <w:t>25119</w:t>
      </w:r>
      <w:r w:rsidR="00AA610B" w:rsidRPr="006978E0">
        <w:rPr>
          <w:rFonts w:eastAsiaTheme="minorEastAsia"/>
          <w:rtl/>
        </w:rPr>
        <w:t>/</w:t>
      </w:r>
      <w:r w:rsidR="00AA610B" w:rsidRPr="00AA67D7">
        <w:rPr>
          <w:rFonts w:eastAsiaTheme="minorEastAsia"/>
          <w:rtl/>
        </w:rPr>
        <w:t>09</w:t>
      </w:r>
      <w:r w:rsidRPr="006978E0">
        <w:rPr>
          <w:rFonts w:eastAsiaTheme="minorEastAsia"/>
          <w:rtl/>
        </w:rPr>
        <w:t xml:space="preserve"> و</w:t>
      </w:r>
      <w:r w:rsidR="00AA610B" w:rsidRPr="00AA67D7">
        <w:rPr>
          <w:rFonts w:eastAsiaTheme="minorEastAsia"/>
          <w:rtl/>
        </w:rPr>
        <w:t>57715</w:t>
      </w:r>
      <w:r w:rsidR="00AA610B" w:rsidRPr="006978E0">
        <w:rPr>
          <w:rFonts w:eastAsiaTheme="minorEastAsia"/>
          <w:rtl/>
        </w:rPr>
        <w:t>/</w:t>
      </w:r>
      <w:r w:rsidR="00AA610B" w:rsidRPr="00AA67D7">
        <w:rPr>
          <w:rFonts w:eastAsiaTheme="minorEastAsia"/>
          <w:rtl/>
        </w:rPr>
        <w:t>09</w:t>
      </w:r>
      <w:r w:rsidRPr="006978E0">
        <w:rPr>
          <w:rFonts w:eastAsiaTheme="minorEastAsia"/>
          <w:rtl/>
        </w:rPr>
        <w:t xml:space="preserve"> و</w:t>
      </w:r>
      <w:r w:rsidR="00AA610B" w:rsidRPr="00AA67D7">
        <w:rPr>
          <w:rFonts w:eastAsiaTheme="minorEastAsia"/>
          <w:rtl/>
        </w:rPr>
        <w:t>57877</w:t>
      </w:r>
      <w:r w:rsidR="00AA610B" w:rsidRPr="006978E0">
        <w:rPr>
          <w:rFonts w:eastAsiaTheme="minorEastAsia"/>
          <w:rtl/>
        </w:rPr>
        <w:t>/</w:t>
      </w:r>
      <w:r w:rsidR="00AA610B" w:rsidRPr="00AA67D7">
        <w:rPr>
          <w:rFonts w:eastAsiaTheme="minorEastAsia"/>
          <w:rtl/>
        </w:rPr>
        <w:t>09</w:t>
      </w:r>
      <w:r w:rsidRPr="006978E0">
        <w:rPr>
          <w:rFonts w:eastAsiaTheme="minorEastAsia"/>
          <w:rtl/>
        </w:rPr>
        <w:t xml:space="preserve">، الحكم الصادر في </w:t>
      </w:r>
      <w:r w:rsidRPr="00AA67D7">
        <w:rPr>
          <w:rFonts w:eastAsiaTheme="minorEastAsia"/>
          <w:rtl/>
        </w:rPr>
        <w:t>18</w:t>
      </w:r>
      <w:r w:rsidRPr="006978E0">
        <w:rPr>
          <w:rFonts w:eastAsiaTheme="minorEastAsia"/>
          <w:rtl/>
        </w:rPr>
        <w:t xml:space="preserve"> أيلول/سبتمبر </w:t>
      </w:r>
      <w:r w:rsidRPr="00AA67D7">
        <w:rPr>
          <w:rFonts w:eastAsiaTheme="minorEastAsia"/>
          <w:rtl/>
        </w:rPr>
        <w:t>2012</w:t>
      </w:r>
      <w:r w:rsidRPr="007954CB">
        <w:rPr>
          <w:rFonts w:eastAsiaTheme="minorEastAsia"/>
          <w:rtl/>
        </w:rPr>
        <w:t xml:space="preserve">. </w:t>
      </w:r>
    </w:p>
  </w:footnote>
  <w:footnote w:id="20">
    <w:p w14:paraId="64262C2C"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الدولة الطرف وأُحيلت المعلومات إلى محامي صاحب البلاغ، في </w:t>
      </w:r>
      <w:r w:rsidRPr="00AA67D7">
        <w:rPr>
          <w:rFonts w:eastAsiaTheme="minorEastAsia"/>
          <w:rtl/>
        </w:rPr>
        <w:t>10</w:t>
      </w:r>
      <w:r w:rsidRPr="006978E0">
        <w:rPr>
          <w:rFonts w:eastAsiaTheme="minorEastAsia"/>
          <w:rtl/>
        </w:rPr>
        <w:t xml:space="preserve"> أيلول/سبتمبر </w:t>
      </w:r>
      <w:r w:rsidRPr="00AA67D7">
        <w:rPr>
          <w:rFonts w:eastAsiaTheme="minorEastAsia"/>
          <w:rtl/>
        </w:rPr>
        <w:t>2019</w:t>
      </w:r>
      <w:r w:rsidRPr="006978E0">
        <w:rPr>
          <w:rFonts w:eastAsiaTheme="minorEastAsia"/>
          <w:rtl/>
        </w:rPr>
        <w:t>، للتعليق عليها</w:t>
      </w:r>
      <w:r>
        <w:rPr>
          <w:rFonts w:eastAsiaTheme="minorEastAsia"/>
          <w:rtl/>
        </w:rPr>
        <w:t xml:space="preserve">. </w:t>
      </w:r>
    </w:p>
  </w:footnote>
  <w:footnote w:id="21">
    <w:p w14:paraId="53CAFEA6"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انظر قرار الجمعية العامة </w:t>
      </w:r>
      <w:r w:rsidRPr="00AA67D7">
        <w:rPr>
          <w:rFonts w:eastAsiaTheme="minorEastAsia"/>
          <w:rtl/>
        </w:rPr>
        <w:t>68</w:t>
      </w:r>
      <w:r w:rsidRPr="006978E0">
        <w:rPr>
          <w:rFonts w:eastAsiaTheme="minorEastAsia"/>
          <w:rtl/>
        </w:rPr>
        <w:t>/</w:t>
      </w:r>
      <w:r w:rsidRPr="00AA67D7">
        <w:rPr>
          <w:rFonts w:eastAsiaTheme="minorEastAsia"/>
          <w:rtl/>
        </w:rPr>
        <w:t>262</w:t>
      </w:r>
      <w:r w:rsidRPr="006978E0">
        <w:rPr>
          <w:rFonts w:eastAsiaTheme="minorEastAsia"/>
          <w:rtl/>
        </w:rPr>
        <w:t xml:space="preserve"> بشأن السلامة الإقليمية لأوكرانيا</w:t>
      </w:r>
      <w:r>
        <w:rPr>
          <w:rFonts w:eastAsiaTheme="minorEastAsia"/>
          <w:rtl/>
        </w:rPr>
        <w:t xml:space="preserve">. </w:t>
      </w:r>
    </w:p>
  </w:footnote>
  <w:footnote w:id="22">
    <w:p w14:paraId="26ACD464" w14:textId="365F7BA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محامي صاحب البلاغ وأُحيلت المعلومات إلى الدولة الطرف، في </w:t>
      </w:r>
      <w:r w:rsidRPr="00AA67D7">
        <w:rPr>
          <w:rFonts w:eastAsiaTheme="minorEastAsia"/>
          <w:rtl/>
        </w:rPr>
        <w:t>26</w:t>
      </w:r>
      <w:r w:rsidRPr="006978E0">
        <w:rPr>
          <w:rFonts w:eastAsiaTheme="minorEastAsia"/>
          <w:rtl/>
        </w:rPr>
        <w:t xml:space="preserve"> تشرين الثاني/</w:t>
      </w:r>
      <w:r w:rsidR="00AA610B">
        <w:rPr>
          <w:rFonts w:eastAsiaTheme="minorEastAsia" w:hint="cs"/>
          <w:rtl/>
        </w:rPr>
        <w:t xml:space="preserve"> </w:t>
      </w:r>
      <w:r w:rsidRPr="006978E0">
        <w:rPr>
          <w:rFonts w:eastAsiaTheme="minorEastAsia"/>
          <w:rtl/>
        </w:rPr>
        <w:t>نوفمبر</w:t>
      </w:r>
      <w:r w:rsidR="00DA4A3A">
        <w:rPr>
          <w:rFonts w:eastAsiaTheme="minorEastAsia" w:hint="cs"/>
          <w:rtl/>
        </w:rPr>
        <w:t> </w:t>
      </w:r>
      <w:r w:rsidRPr="00AA67D7">
        <w:rPr>
          <w:rFonts w:eastAsiaTheme="minorEastAsia"/>
          <w:rtl/>
        </w:rPr>
        <w:t>2019</w:t>
      </w:r>
      <w:r w:rsidRPr="006978E0">
        <w:rPr>
          <w:rFonts w:eastAsiaTheme="minorEastAsia"/>
          <w:rtl/>
        </w:rPr>
        <w:t>، للعلم بها</w:t>
      </w:r>
      <w:r>
        <w:rPr>
          <w:rFonts w:eastAsiaTheme="minorEastAsia"/>
          <w:rtl/>
        </w:rPr>
        <w:t xml:space="preserve">. </w:t>
      </w:r>
    </w:p>
  </w:footnote>
  <w:footnote w:id="23">
    <w:p w14:paraId="393F3C39" w14:textId="77777777" w:rsidR="007954CB" w:rsidRPr="006978E0" w:rsidRDefault="007954CB" w:rsidP="007954CB">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r>
      <w:hyperlink r:id="rId1" w:history="1">
        <w:r w:rsidRPr="007954CB">
          <w:rPr>
            <w:rStyle w:val="Hyperlink"/>
          </w:rPr>
          <w:t>CCPR/C/</w:t>
        </w:r>
        <w:r w:rsidRPr="00AA67D7">
          <w:rPr>
            <w:rStyle w:val="Hyperlink"/>
          </w:rPr>
          <w:t>110</w:t>
        </w:r>
        <w:r w:rsidRPr="007954CB">
          <w:rPr>
            <w:rStyle w:val="Hyperlink"/>
          </w:rPr>
          <w:t>/D/</w:t>
        </w:r>
        <w:r w:rsidRPr="00AA67D7">
          <w:rPr>
            <w:rStyle w:val="Hyperlink"/>
          </w:rPr>
          <w:t>1405</w:t>
        </w:r>
        <w:r w:rsidRPr="007954CB">
          <w:rPr>
            <w:rStyle w:val="Hyperlink"/>
          </w:rPr>
          <w:t>/</w:t>
        </w:r>
        <w:r w:rsidRPr="00AA67D7">
          <w:rPr>
            <w:rStyle w:val="Hyperlink"/>
          </w:rPr>
          <w:t>2005</w:t>
        </w:r>
      </w:hyperlink>
      <w:r w:rsidRPr="007954CB">
        <w:rPr>
          <w:rFonts w:eastAsiaTheme="minorEastAsia"/>
          <w:rtl/>
        </w:rPr>
        <w:t xml:space="preserve">. </w:t>
      </w:r>
    </w:p>
  </w:footnote>
  <w:footnote w:id="24">
    <w:p w14:paraId="46798780"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المؤرخة </w:t>
      </w:r>
      <w:r w:rsidRPr="00AA67D7">
        <w:rPr>
          <w:rFonts w:eastAsiaTheme="minorEastAsia"/>
          <w:rtl/>
        </w:rPr>
        <w:t>11</w:t>
      </w:r>
      <w:r w:rsidRPr="006978E0">
        <w:rPr>
          <w:rFonts w:eastAsiaTheme="minorEastAsia"/>
          <w:rtl/>
        </w:rPr>
        <w:t xml:space="preserve"> حزيران/يونيه و</w:t>
      </w:r>
      <w:r w:rsidRPr="00AA67D7">
        <w:rPr>
          <w:rFonts w:eastAsiaTheme="minorEastAsia"/>
          <w:rtl/>
        </w:rPr>
        <w:t>7</w:t>
      </w:r>
      <w:r w:rsidRPr="006978E0">
        <w:rPr>
          <w:rFonts w:eastAsiaTheme="minorEastAsia"/>
          <w:rtl/>
        </w:rPr>
        <w:t xml:space="preserve"> تشرين الأول/أكتوبر </w:t>
      </w:r>
      <w:r w:rsidRPr="00AA67D7">
        <w:rPr>
          <w:rFonts w:eastAsiaTheme="minorEastAsia"/>
          <w:rtl/>
        </w:rPr>
        <w:t>2017</w:t>
      </w:r>
      <w:r w:rsidRPr="006978E0">
        <w:rPr>
          <w:rFonts w:eastAsiaTheme="minorEastAsia"/>
          <w:rtl/>
        </w:rPr>
        <w:t xml:space="preserve"> و</w:t>
      </w:r>
      <w:r w:rsidRPr="00AA67D7">
        <w:rPr>
          <w:rFonts w:eastAsiaTheme="minorEastAsia"/>
          <w:rtl/>
        </w:rPr>
        <w:t>5</w:t>
      </w:r>
      <w:r w:rsidRPr="006978E0">
        <w:rPr>
          <w:rFonts w:eastAsiaTheme="minorEastAsia"/>
          <w:rtl/>
        </w:rPr>
        <w:t xml:space="preserve"> أيار/مايو </w:t>
      </w:r>
      <w:r w:rsidRPr="00AA67D7">
        <w:rPr>
          <w:rFonts w:eastAsiaTheme="minorEastAsia"/>
          <w:rtl/>
        </w:rPr>
        <w:t>2019</w:t>
      </w:r>
      <w:r w:rsidRPr="006978E0">
        <w:rPr>
          <w:rFonts w:eastAsiaTheme="minorEastAsia"/>
          <w:rtl/>
        </w:rPr>
        <w:t xml:space="preserve"> إلى صاحبة البلاغ ووالدة الضحية وأحيلت إلى الدولة الطرف في </w:t>
      </w:r>
      <w:r w:rsidRPr="00AA67D7">
        <w:rPr>
          <w:rFonts w:eastAsiaTheme="minorEastAsia"/>
          <w:rtl/>
        </w:rPr>
        <w:t>7</w:t>
      </w:r>
      <w:r w:rsidRPr="006978E0">
        <w:rPr>
          <w:rFonts w:eastAsiaTheme="minorEastAsia"/>
          <w:rtl/>
        </w:rPr>
        <w:t xml:space="preserve"> أيار/مايو </w:t>
      </w:r>
      <w:r w:rsidRPr="00AA67D7">
        <w:rPr>
          <w:rFonts w:eastAsiaTheme="minorEastAsia"/>
          <w:rtl/>
        </w:rPr>
        <w:t>2019</w:t>
      </w:r>
      <w:r w:rsidRPr="006978E0">
        <w:rPr>
          <w:rFonts w:eastAsiaTheme="minorEastAsia"/>
          <w:rtl/>
        </w:rPr>
        <w:t xml:space="preserve"> للتعليق عليها</w:t>
      </w:r>
      <w:r>
        <w:rPr>
          <w:rFonts w:eastAsiaTheme="minorEastAsia"/>
          <w:rtl/>
        </w:rPr>
        <w:t xml:space="preserve">. </w:t>
      </w:r>
    </w:p>
  </w:footnote>
  <w:footnote w:id="25">
    <w:p w14:paraId="4456F84D"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المؤرخة </w:t>
      </w:r>
      <w:r w:rsidRPr="00AA67D7">
        <w:rPr>
          <w:rFonts w:eastAsiaTheme="minorEastAsia"/>
          <w:rtl/>
        </w:rPr>
        <w:t>11</w:t>
      </w:r>
      <w:r w:rsidRPr="006978E0">
        <w:rPr>
          <w:rFonts w:eastAsiaTheme="minorEastAsia"/>
          <w:rtl/>
        </w:rPr>
        <w:t xml:space="preserve"> آب/أغسطس </w:t>
      </w:r>
      <w:r w:rsidRPr="00AA67D7">
        <w:rPr>
          <w:rFonts w:eastAsiaTheme="minorEastAsia"/>
          <w:rtl/>
        </w:rPr>
        <w:t>2019</w:t>
      </w:r>
      <w:r w:rsidRPr="006978E0">
        <w:rPr>
          <w:rFonts w:eastAsiaTheme="minorEastAsia"/>
          <w:rtl/>
        </w:rPr>
        <w:t xml:space="preserve"> إلى والدة الضحية في </w:t>
      </w:r>
      <w:r w:rsidRPr="00AA67D7">
        <w:rPr>
          <w:rFonts w:eastAsiaTheme="minorEastAsia"/>
          <w:rtl/>
        </w:rPr>
        <w:t>1</w:t>
      </w:r>
      <w:r w:rsidRPr="006978E0">
        <w:rPr>
          <w:rFonts w:eastAsiaTheme="minorEastAsia"/>
          <w:rtl/>
        </w:rPr>
        <w:t xml:space="preserve"> تشرين الأول/أكتوبر </w:t>
      </w:r>
      <w:r w:rsidRPr="00AA67D7">
        <w:rPr>
          <w:rFonts w:eastAsiaTheme="minorEastAsia"/>
          <w:rtl/>
        </w:rPr>
        <w:t>2019</w:t>
      </w:r>
      <w:r w:rsidRPr="007954CB">
        <w:rPr>
          <w:rFonts w:eastAsiaTheme="minorEastAsia"/>
          <w:rtl/>
        </w:rPr>
        <w:t xml:space="preserve">. </w:t>
      </w:r>
    </w:p>
  </w:footnote>
  <w:footnote w:id="26">
    <w:p w14:paraId="326FF3C7"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الدولة الطرف وأُحيلت المعلومات إلى صاحبة البلاغ، في </w:t>
      </w:r>
      <w:r w:rsidRPr="00AA67D7">
        <w:rPr>
          <w:rFonts w:eastAsiaTheme="minorEastAsia"/>
          <w:rtl/>
        </w:rPr>
        <w:t>26</w:t>
      </w:r>
      <w:r w:rsidRPr="006978E0">
        <w:rPr>
          <w:rFonts w:eastAsiaTheme="minorEastAsia"/>
          <w:rtl/>
        </w:rPr>
        <w:t xml:space="preserve"> آب/أغسطس </w:t>
      </w:r>
      <w:r w:rsidRPr="00AA67D7">
        <w:rPr>
          <w:rFonts w:eastAsiaTheme="minorEastAsia"/>
          <w:rtl/>
        </w:rPr>
        <w:t>2019</w:t>
      </w:r>
      <w:r w:rsidRPr="006978E0">
        <w:rPr>
          <w:rFonts w:eastAsiaTheme="minorEastAsia"/>
          <w:rtl/>
        </w:rPr>
        <w:t>، للتعليق</w:t>
      </w:r>
      <w:r>
        <w:rPr>
          <w:rFonts w:eastAsiaTheme="minorEastAsia" w:hint="cs"/>
          <w:rtl/>
        </w:rPr>
        <w:t> </w:t>
      </w:r>
      <w:r w:rsidRPr="006978E0">
        <w:rPr>
          <w:rFonts w:eastAsiaTheme="minorEastAsia"/>
          <w:rtl/>
        </w:rPr>
        <w:t>عليها</w:t>
      </w:r>
      <w:r>
        <w:rPr>
          <w:rFonts w:eastAsiaTheme="minorEastAsia"/>
          <w:rtl/>
        </w:rPr>
        <w:t xml:space="preserve">. </w:t>
      </w:r>
    </w:p>
  </w:footnote>
  <w:footnote w:id="27">
    <w:p w14:paraId="50E05997" w14:textId="5C6C9CA5"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صاحبة البلاغ وأُحيلت المعلومات إلى الدولة الطرف في </w:t>
      </w:r>
      <w:r w:rsidRPr="00AA67D7">
        <w:rPr>
          <w:rFonts w:eastAsiaTheme="minorEastAsia"/>
          <w:rtl/>
        </w:rPr>
        <w:t>23</w:t>
      </w:r>
      <w:r w:rsidRPr="006978E0">
        <w:rPr>
          <w:rFonts w:eastAsiaTheme="minorEastAsia"/>
          <w:rtl/>
        </w:rPr>
        <w:t xml:space="preserve"> كانون الثاني/يناير </w:t>
      </w:r>
      <w:r w:rsidRPr="00AA67D7">
        <w:rPr>
          <w:rFonts w:eastAsiaTheme="minorEastAsia"/>
          <w:rtl/>
        </w:rPr>
        <w:t>2020</w:t>
      </w:r>
      <w:r w:rsidRPr="006978E0">
        <w:rPr>
          <w:rFonts w:eastAsiaTheme="minorEastAsia"/>
          <w:rtl/>
        </w:rPr>
        <w:t>، للعلم</w:t>
      </w:r>
      <w:r w:rsidR="00AA610B">
        <w:rPr>
          <w:rFonts w:eastAsiaTheme="minorEastAsia" w:hint="cs"/>
          <w:rtl/>
        </w:rPr>
        <w:t> </w:t>
      </w:r>
      <w:r w:rsidRPr="006978E0">
        <w:rPr>
          <w:rFonts w:eastAsiaTheme="minorEastAsia"/>
          <w:rtl/>
        </w:rPr>
        <w:t>بها</w:t>
      </w:r>
      <w:r>
        <w:rPr>
          <w:rFonts w:eastAsiaTheme="minorEastAsia"/>
          <w:rtl/>
        </w:rPr>
        <w:t xml:space="preserve">. </w:t>
      </w:r>
    </w:p>
  </w:footnote>
  <w:footnote w:id="28">
    <w:p w14:paraId="0296D188"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صاحبة البلاغ وأُحيلت المعلومات إلى الدولة الطرف في </w:t>
      </w:r>
      <w:r w:rsidRPr="00AA67D7">
        <w:rPr>
          <w:rFonts w:eastAsiaTheme="minorEastAsia"/>
          <w:rtl/>
        </w:rPr>
        <w:t>2</w:t>
      </w:r>
      <w:r w:rsidRPr="006978E0">
        <w:rPr>
          <w:rFonts w:eastAsiaTheme="minorEastAsia"/>
          <w:rtl/>
        </w:rPr>
        <w:t xml:space="preserve"> آذار/مارس </w:t>
      </w:r>
      <w:r w:rsidRPr="00AA67D7">
        <w:rPr>
          <w:rFonts w:eastAsiaTheme="minorEastAsia"/>
          <w:rtl/>
        </w:rPr>
        <w:t>2020</w:t>
      </w:r>
      <w:r w:rsidRPr="006978E0">
        <w:rPr>
          <w:rFonts w:eastAsiaTheme="minorEastAsia"/>
          <w:rtl/>
        </w:rPr>
        <w:t>، للعلم بها</w:t>
      </w:r>
      <w:r>
        <w:rPr>
          <w:rFonts w:eastAsiaTheme="minorEastAsia"/>
          <w:rtl/>
        </w:rPr>
        <w:t xml:space="preserve">. </w:t>
      </w:r>
    </w:p>
  </w:footnote>
  <w:footnote w:id="29">
    <w:p w14:paraId="68DE7CB0" w14:textId="77777777" w:rsidR="007954CB" w:rsidRPr="006978E0" w:rsidRDefault="007954CB" w:rsidP="007954CB">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انظر </w:t>
      </w:r>
      <w:hyperlink r:id="rId2" w:history="1">
        <w:r w:rsidRPr="007954CB">
          <w:rPr>
            <w:rStyle w:val="Hyperlink"/>
          </w:rPr>
          <w:t>www.ohchr.org/EN/NewsEvents/Pages/DisplayNews.aspx?NewsID=</w:t>
        </w:r>
        <w:r w:rsidRPr="00AA67D7">
          <w:rPr>
            <w:rStyle w:val="Hyperlink"/>
          </w:rPr>
          <w:t>25043</w:t>
        </w:r>
        <w:r w:rsidRPr="007954CB">
          <w:rPr>
            <w:rStyle w:val="Hyperlink"/>
          </w:rPr>
          <w:t>&amp;LangID=E</w:t>
        </w:r>
      </w:hyperlink>
      <w:r w:rsidRPr="007954CB">
        <w:rPr>
          <w:rFonts w:eastAsiaTheme="minorEastAsia"/>
          <w:rtl/>
        </w:rPr>
        <w:t xml:space="preserve">. </w:t>
      </w:r>
    </w:p>
  </w:footnote>
  <w:footnote w:id="30">
    <w:p w14:paraId="1D160C90" w14:textId="77777777" w:rsidR="007954CB" w:rsidRPr="00E60F47" w:rsidRDefault="007954CB" w:rsidP="006978E0">
      <w:pPr>
        <w:pStyle w:val="FootnoteText1"/>
        <w:textDirection w:val="tbRlV"/>
        <w:rPr>
          <w:rFonts w:eastAsiaTheme="minorEastAsia"/>
          <w:spacing w:val="-4"/>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r>
      <w:r w:rsidRPr="00E60F47">
        <w:rPr>
          <w:rFonts w:eastAsiaTheme="minorEastAsia"/>
          <w:spacing w:val="-4"/>
          <w:rtl/>
        </w:rPr>
        <w:t xml:space="preserve">أُرسل إقرار باستلام المعلومات إلى الدولة الطرف وأُحيلت المعلومات إلى صاحب البلاغ، في </w:t>
      </w:r>
      <w:r w:rsidRPr="00AA67D7">
        <w:rPr>
          <w:rFonts w:eastAsiaTheme="minorEastAsia"/>
          <w:spacing w:val="-4"/>
          <w:rtl/>
        </w:rPr>
        <w:t>30</w:t>
      </w:r>
      <w:r w:rsidRPr="00E60F47">
        <w:rPr>
          <w:rFonts w:eastAsiaTheme="minorEastAsia"/>
          <w:spacing w:val="-4"/>
          <w:rtl/>
        </w:rPr>
        <w:t xml:space="preserve"> تموز/يوليه </w:t>
      </w:r>
      <w:r w:rsidRPr="00AA67D7">
        <w:rPr>
          <w:rFonts w:eastAsiaTheme="minorEastAsia"/>
          <w:spacing w:val="-4"/>
          <w:rtl/>
        </w:rPr>
        <w:t>2019</w:t>
      </w:r>
      <w:r w:rsidRPr="00E60F47">
        <w:rPr>
          <w:rFonts w:eastAsiaTheme="minorEastAsia"/>
          <w:spacing w:val="-4"/>
          <w:rtl/>
        </w:rPr>
        <w:t>، للتعليق عليها</w:t>
      </w:r>
      <w:r>
        <w:rPr>
          <w:rFonts w:eastAsiaTheme="minorEastAsia"/>
          <w:spacing w:val="-4"/>
          <w:rtl/>
        </w:rPr>
        <w:t xml:space="preserve">. </w:t>
      </w:r>
    </w:p>
  </w:footnote>
  <w:footnote w:id="31">
    <w:p w14:paraId="415CE9BE"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صاحب البلاغ وأُحيلت المعلومات إلى الدولة الطرف في </w:t>
      </w:r>
      <w:r w:rsidRPr="00AA67D7">
        <w:rPr>
          <w:rFonts w:eastAsiaTheme="minorEastAsia"/>
          <w:rtl/>
        </w:rPr>
        <w:t>30</w:t>
      </w:r>
      <w:r w:rsidRPr="006978E0">
        <w:rPr>
          <w:rFonts w:eastAsiaTheme="minorEastAsia"/>
          <w:rtl/>
        </w:rPr>
        <w:t xml:space="preserve"> تموز/يوليه </w:t>
      </w:r>
      <w:r w:rsidRPr="00AA67D7">
        <w:rPr>
          <w:rFonts w:eastAsiaTheme="minorEastAsia"/>
          <w:rtl/>
        </w:rPr>
        <w:t>2019</w:t>
      </w:r>
      <w:r w:rsidRPr="006978E0">
        <w:rPr>
          <w:rFonts w:eastAsiaTheme="minorEastAsia"/>
          <w:rtl/>
        </w:rPr>
        <w:t>، للعلم بها</w:t>
      </w:r>
      <w:r>
        <w:rPr>
          <w:rFonts w:eastAsiaTheme="minorEastAsia"/>
          <w:rtl/>
        </w:rPr>
        <w:t xml:space="preserve">. </w:t>
      </w:r>
    </w:p>
  </w:footnote>
  <w:footnote w:id="32">
    <w:p w14:paraId="270EE838" w14:textId="77777777" w:rsidR="007954CB" w:rsidRPr="006978E0" w:rsidRDefault="007954CB" w:rsidP="006978E0">
      <w:pPr>
        <w:pStyle w:val="FootnoteText1"/>
        <w:textDirection w:val="tbRlV"/>
        <w:rPr>
          <w:rFonts w:eastAsiaTheme="minorEastAsia"/>
          <w:lang w:val="ar-SA" w:eastAsia="zh-TW" w:bidi="en-GB"/>
        </w:rPr>
      </w:pPr>
      <w:r>
        <w:rPr>
          <w:rFonts w:eastAsiaTheme="minorEastAsia"/>
          <w:rtl/>
        </w:rPr>
        <w:t>(</w:t>
      </w:r>
      <w:r w:rsidRPr="00AA67D7">
        <w:rPr>
          <w:rStyle w:val="FootnoteReference"/>
          <w:rFonts w:eastAsiaTheme="minorEastAsia"/>
          <w:vertAlign w:val="baseline"/>
        </w:rPr>
        <w:footnoteRef/>
      </w:r>
      <w:r w:rsidRPr="006978E0">
        <w:rPr>
          <w:rStyle w:val="FootnoteReference"/>
          <w:rFonts w:eastAsiaTheme="minorEastAsia"/>
          <w:vertAlign w:val="baseline"/>
          <w:rtl/>
        </w:rPr>
        <w:t>)</w:t>
      </w:r>
      <w:r w:rsidRPr="006978E0">
        <w:rPr>
          <w:rFonts w:eastAsiaTheme="minorEastAsia"/>
          <w:rtl/>
        </w:rPr>
        <w:tab/>
        <w:t xml:space="preserve">أُرسل إقرار باستلام المعلومات إلى صاحب البلاغ وأُحيلت المعلومات إلى الدولة الطرف في </w:t>
      </w:r>
      <w:r w:rsidRPr="00AA67D7">
        <w:rPr>
          <w:rFonts w:eastAsiaTheme="minorEastAsia"/>
          <w:rtl/>
        </w:rPr>
        <w:t>27</w:t>
      </w:r>
      <w:r w:rsidRPr="006978E0">
        <w:rPr>
          <w:rFonts w:eastAsiaTheme="minorEastAsia"/>
          <w:rtl/>
        </w:rPr>
        <w:t xml:space="preserve"> شباط/فبراير </w:t>
      </w:r>
      <w:r w:rsidRPr="00AA67D7">
        <w:rPr>
          <w:rFonts w:eastAsiaTheme="minorEastAsia"/>
          <w:rtl/>
        </w:rPr>
        <w:t>2020</w:t>
      </w:r>
      <w:r w:rsidRPr="006978E0">
        <w:rPr>
          <w:rFonts w:eastAsiaTheme="minorEastAsia"/>
          <w:rtl/>
        </w:rPr>
        <w:t>، للعلم بها</w:t>
      </w:r>
      <w:r>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007" w14:textId="21F81C38" w:rsidR="00256576" w:rsidRPr="00256576" w:rsidRDefault="00256576" w:rsidP="0025657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B6D01">
      <w:t>CCPR/C/128/4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28EF" w14:textId="5040BAE2" w:rsidR="00256576" w:rsidRPr="00256576" w:rsidRDefault="00256576" w:rsidP="0025657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1B6D01">
      <w:t>CCPR/C/128/4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135E9"/>
    <w:multiLevelType w:val="hybridMultilevel"/>
    <w:tmpl w:val="D524822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02893254">
    <w:abstractNumId w:val="19"/>
  </w:num>
  <w:num w:numId="2" w16cid:durableId="63308256">
    <w:abstractNumId w:val="15"/>
  </w:num>
  <w:num w:numId="3" w16cid:durableId="1269894753">
    <w:abstractNumId w:val="3"/>
  </w:num>
  <w:num w:numId="4" w16cid:durableId="209534384">
    <w:abstractNumId w:val="14"/>
  </w:num>
  <w:num w:numId="5" w16cid:durableId="1034767007">
    <w:abstractNumId w:val="11"/>
  </w:num>
  <w:num w:numId="6" w16cid:durableId="618411845">
    <w:abstractNumId w:val="7"/>
  </w:num>
  <w:num w:numId="7" w16cid:durableId="1051734938">
    <w:abstractNumId w:val="22"/>
  </w:num>
  <w:num w:numId="8" w16cid:durableId="2035962613">
    <w:abstractNumId w:val="3"/>
  </w:num>
  <w:num w:numId="9" w16cid:durableId="667246478">
    <w:abstractNumId w:val="14"/>
  </w:num>
  <w:num w:numId="10" w16cid:durableId="1977711330">
    <w:abstractNumId w:val="7"/>
  </w:num>
  <w:num w:numId="11" w16cid:durableId="406463918">
    <w:abstractNumId w:val="22"/>
  </w:num>
  <w:num w:numId="12" w16cid:durableId="254361725">
    <w:abstractNumId w:val="3"/>
  </w:num>
  <w:num w:numId="13" w16cid:durableId="931275516">
    <w:abstractNumId w:val="14"/>
  </w:num>
  <w:num w:numId="14" w16cid:durableId="1842815034">
    <w:abstractNumId w:val="11"/>
  </w:num>
  <w:num w:numId="15" w16cid:durableId="1362053205">
    <w:abstractNumId w:val="7"/>
  </w:num>
  <w:num w:numId="16" w16cid:durableId="587422039">
    <w:abstractNumId w:val="22"/>
  </w:num>
  <w:num w:numId="17" w16cid:durableId="447817316">
    <w:abstractNumId w:val="5"/>
  </w:num>
  <w:num w:numId="18" w16cid:durableId="1726104440">
    <w:abstractNumId w:val="4"/>
  </w:num>
  <w:num w:numId="19" w16cid:durableId="431319146">
    <w:abstractNumId w:val="20"/>
  </w:num>
  <w:num w:numId="20" w16cid:durableId="1762412099">
    <w:abstractNumId w:val="16"/>
  </w:num>
  <w:num w:numId="21" w16cid:durableId="787546454">
    <w:abstractNumId w:val="2"/>
  </w:num>
  <w:num w:numId="22" w16cid:durableId="246496290">
    <w:abstractNumId w:val="18"/>
  </w:num>
  <w:num w:numId="23" w16cid:durableId="342519098">
    <w:abstractNumId w:val="0"/>
  </w:num>
  <w:num w:numId="24" w16cid:durableId="1077827530">
    <w:abstractNumId w:val="12"/>
  </w:num>
  <w:num w:numId="25" w16cid:durableId="1805536937">
    <w:abstractNumId w:val="18"/>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5215493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4866311">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75296795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742265276">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960570582">
    <w:abstractNumId w:val="9"/>
  </w:num>
  <w:num w:numId="31" w16cid:durableId="1583837690">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634287878">
    <w:abstractNumId w:val="8"/>
  </w:num>
  <w:num w:numId="33" w16cid:durableId="1670061065">
    <w:abstractNumId w:val="10"/>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34" w16cid:durableId="657805549">
    <w:abstractNumId w:val="6"/>
  </w:num>
  <w:num w:numId="35" w16cid:durableId="1586526436">
    <w:abstractNumId w:val="17"/>
  </w:num>
  <w:num w:numId="36" w16cid:durableId="559053520">
    <w:abstractNumId w:val="21"/>
  </w:num>
  <w:num w:numId="37" w16cid:durableId="2032100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66"/>
    <w:rsid w:val="000076D5"/>
    <w:rsid w:val="000371C7"/>
    <w:rsid w:val="00043663"/>
    <w:rsid w:val="000437B8"/>
    <w:rsid w:val="000505CF"/>
    <w:rsid w:val="00082805"/>
    <w:rsid w:val="000A23B7"/>
    <w:rsid w:val="000D701C"/>
    <w:rsid w:val="000E2A71"/>
    <w:rsid w:val="00142AB1"/>
    <w:rsid w:val="00145577"/>
    <w:rsid w:val="00160263"/>
    <w:rsid w:val="00181F96"/>
    <w:rsid w:val="001872B1"/>
    <w:rsid w:val="001A1371"/>
    <w:rsid w:val="001B043F"/>
    <w:rsid w:val="001B346A"/>
    <w:rsid w:val="001B6D01"/>
    <w:rsid w:val="001E1CAD"/>
    <w:rsid w:val="001E290D"/>
    <w:rsid w:val="002144FA"/>
    <w:rsid w:val="0023469A"/>
    <w:rsid w:val="00243C8A"/>
    <w:rsid w:val="00256576"/>
    <w:rsid w:val="00261ADA"/>
    <w:rsid w:val="00267A0E"/>
    <w:rsid w:val="002901D9"/>
    <w:rsid w:val="002976C2"/>
    <w:rsid w:val="003068BC"/>
    <w:rsid w:val="003260FF"/>
    <w:rsid w:val="003378A0"/>
    <w:rsid w:val="00343D95"/>
    <w:rsid w:val="00363A18"/>
    <w:rsid w:val="00374341"/>
    <w:rsid w:val="00383F67"/>
    <w:rsid w:val="003B4237"/>
    <w:rsid w:val="003D1062"/>
    <w:rsid w:val="00402051"/>
    <w:rsid w:val="00420D7B"/>
    <w:rsid w:val="00450B21"/>
    <w:rsid w:val="00453B63"/>
    <w:rsid w:val="00455780"/>
    <w:rsid w:val="0046323F"/>
    <w:rsid w:val="004B0A1C"/>
    <w:rsid w:val="004B27E0"/>
    <w:rsid w:val="004D298E"/>
    <w:rsid w:val="005044B3"/>
    <w:rsid w:val="00517BC9"/>
    <w:rsid w:val="0054472E"/>
    <w:rsid w:val="00546212"/>
    <w:rsid w:val="005662A9"/>
    <w:rsid w:val="005827D4"/>
    <w:rsid w:val="0058508B"/>
    <w:rsid w:val="0059622A"/>
    <w:rsid w:val="005B403B"/>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2AD5"/>
    <w:rsid w:val="006645EC"/>
    <w:rsid w:val="0068781D"/>
    <w:rsid w:val="006959B0"/>
    <w:rsid w:val="006978E0"/>
    <w:rsid w:val="006B3E27"/>
    <w:rsid w:val="006B6507"/>
    <w:rsid w:val="006C104C"/>
    <w:rsid w:val="006C632E"/>
    <w:rsid w:val="00717FB3"/>
    <w:rsid w:val="00730446"/>
    <w:rsid w:val="00733704"/>
    <w:rsid w:val="0078071A"/>
    <w:rsid w:val="00787022"/>
    <w:rsid w:val="00787E1E"/>
    <w:rsid w:val="007954CB"/>
    <w:rsid w:val="00852A9A"/>
    <w:rsid w:val="00862C94"/>
    <w:rsid w:val="008A49D2"/>
    <w:rsid w:val="008F49E1"/>
    <w:rsid w:val="0090370F"/>
    <w:rsid w:val="009077C3"/>
    <w:rsid w:val="009269D2"/>
    <w:rsid w:val="00926E69"/>
    <w:rsid w:val="00942135"/>
    <w:rsid w:val="009521B0"/>
    <w:rsid w:val="00957437"/>
    <w:rsid w:val="00982139"/>
    <w:rsid w:val="009867A8"/>
    <w:rsid w:val="00991F44"/>
    <w:rsid w:val="00996849"/>
    <w:rsid w:val="009A0CFB"/>
    <w:rsid w:val="009A6E88"/>
    <w:rsid w:val="009A7E9F"/>
    <w:rsid w:val="009C17EC"/>
    <w:rsid w:val="009E5018"/>
    <w:rsid w:val="00A03700"/>
    <w:rsid w:val="00A053F2"/>
    <w:rsid w:val="00A12B37"/>
    <w:rsid w:val="00A54828"/>
    <w:rsid w:val="00A97E1F"/>
    <w:rsid w:val="00AA610B"/>
    <w:rsid w:val="00AA67D7"/>
    <w:rsid w:val="00AB512E"/>
    <w:rsid w:val="00AB6758"/>
    <w:rsid w:val="00AB727F"/>
    <w:rsid w:val="00B13763"/>
    <w:rsid w:val="00B477A4"/>
    <w:rsid w:val="00B54045"/>
    <w:rsid w:val="00B63ADD"/>
    <w:rsid w:val="00B957DD"/>
    <w:rsid w:val="00BB09A0"/>
    <w:rsid w:val="00BF3DD2"/>
    <w:rsid w:val="00C175A6"/>
    <w:rsid w:val="00C41DCF"/>
    <w:rsid w:val="00C42AF7"/>
    <w:rsid w:val="00C438D7"/>
    <w:rsid w:val="00C62C20"/>
    <w:rsid w:val="00C81B50"/>
    <w:rsid w:val="00C902EF"/>
    <w:rsid w:val="00C97066"/>
    <w:rsid w:val="00CB0011"/>
    <w:rsid w:val="00CB6622"/>
    <w:rsid w:val="00CD1801"/>
    <w:rsid w:val="00CF56F9"/>
    <w:rsid w:val="00CF65C6"/>
    <w:rsid w:val="00D00A89"/>
    <w:rsid w:val="00D10EF1"/>
    <w:rsid w:val="00D2562D"/>
    <w:rsid w:val="00D42810"/>
    <w:rsid w:val="00D60DD5"/>
    <w:rsid w:val="00D914A7"/>
    <w:rsid w:val="00DA4A3A"/>
    <w:rsid w:val="00DB3E39"/>
    <w:rsid w:val="00DC4D4B"/>
    <w:rsid w:val="00DD13C3"/>
    <w:rsid w:val="00DD596E"/>
    <w:rsid w:val="00DD621E"/>
    <w:rsid w:val="00DE50B1"/>
    <w:rsid w:val="00DF0138"/>
    <w:rsid w:val="00DF0575"/>
    <w:rsid w:val="00E2228E"/>
    <w:rsid w:val="00E60F47"/>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33B9"/>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73CE5"/>
  <w15:docId w15:val="{596B9AE1-19B9-4426-9E84-72ED08BB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3B4237"/>
    <w:pPr>
      <w:keepNext/>
      <w:keepLines/>
      <w:spacing w:before="200"/>
      <w:outlineLvl w:val="2"/>
    </w:pPr>
    <w:rPr>
      <w:b/>
      <w:bCs/>
      <w:color w:val="4F81BD"/>
    </w:rPr>
  </w:style>
  <w:style w:type="paragraph" w:styleId="Heading4">
    <w:name w:val="heading 4"/>
    <w:basedOn w:val="Normal"/>
    <w:next w:val="Normal"/>
    <w:link w:val="Heading4Char"/>
    <w:unhideWhenUsed/>
    <w:rsid w:val="003B4237"/>
    <w:pPr>
      <w:keepNext/>
      <w:keepLines/>
      <w:spacing w:before="200"/>
      <w:outlineLvl w:val="3"/>
    </w:pPr>
    <w:rPr>
      <w:b/>
      <w:bCs/>
      <w:i/>
      <w:iCs/>
      <w:color w:val="4F81BD"/>
    </w:rPr>
  </w:style>
  <w:style w:type="paragraph" w:styleId="Heading5">
    <w:name w:val="heading 5"/>
    <w:basedOn w:val="Normal"/>
    <w:next w:val="Normal"/>
    <w:link w:val="Heading5Char"/>
    <w:unhideWhenUsed/>
    <w:rsid w:val="003B4237"/>
    <w:pPr>
      <w:keepNext/>
      <w:keepLines/>
      <w:spacing w:before="200"/>
      <w:outlineLvl w:val="4"/>
    </w:pPr>
    <w:rPr>
      <w:color w:val="243F60"/>
    </w:rPr>
  </w:style>
  <w:style w:type="paragraph" w:styleId="Heading6">
    <w:name w:val="heading 6"/>
    <w:basedOn w:val="Normal"/>
    <w:next w:val="Normal"/>
    <w:link w:val="Heading6Char"/>
    <w:unhideWhenUsed/>
    <w:rsid w:val="003B4237"/>
    <w:pPr>
      <w:keepNext/>
      <w:keepLines/>
      <w:spacing w:before="200"/>
      <w:outlineLvl w:val="5"/>
    </w:pPr>
    <w:rPr>
      <w:i/>
      <w:iCs/>
      <w:color w:val="243F60"/>
    </w:rPr>
  </w:style>
  <w:style w:type="paragraph" w:styleId="Heading7">
    <w:name w:val="heading 7"/>
    <w:basedOn w:val="Normal"/>
    <w:next w:val="Normal"/>
    <w:link w:val="Heading7Char"/>
    <w:unhideWhenUsed/>
    <w:rsid w:val="003B4237"/>
    <w:pPr>
      <w:keepNext/>
      <w:keepLines/>
      <w:spacing w:before="200"/>
      <w:outlineLvl w:val="6"/>
    </w:pPr>
    <w:rPr>
      <w:i/>
      <w:iCs/>
      <w:color w:val="404040"/>
    </w:rPr>
  </w:style>
  <w:style w:type="paragraph" w:styleId="Heading8">
    <w:name w:val="heading 8"/>
    <w:basedOn w:val="Normal"/>
    <w:next w:val="Normal"/>
    <w:link w:val="Heading8Char"/>
    <w:unhideWhenUsed/>
    <w:rsid w:val="003B4237"/>
    <w:pPr>
      <w:keepNext/>
      <w:keepLines/>
      <w:spacing w:before="200"/>
      <w:outlineLvl w:val="7"/>
    </w:pPr>
    <w:rPr>
      <w:color w:val="404040"/>
      <w:szCs w:val="20"/>
    </w:rPr>
  </w:style>
  <w:style w:type="paragraph" w:styleId="Heading9">
    <w:name w:val="heading 9"/>
    <w:basedOn w:val="Normal"/>
    <w:next w:val="Normal"/>
    <w:link w:val="Heading9Char"/>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3B4237"/>
    <w:rPr>
      <w:rFonts w:ascii="Times New Roman" w:eastAsia="PMingLiU" w:hAnsi="Times New Roman" w:cs="Simplified Arabic"/>
      <w:color w:val="404040"/>
      <w:lang w:eastAsia="en-US"/>
    </w:rPr>
  </w:style>
  <w:style w:type="character" w:customStyle="1" w:styleId="Heading9Char">
    <w:name w:val="Heading 9 Char"/>
    <w:link w:val="Heading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MG">
    <w:name w:val="_ H __M_G"/>
    <w:basedOn w:val="Normal"/>
    <w:next w:val="Normal"/>
    <w:rsid w:val="00D2562D"/>
    <w:pPr>
      <w:keepNext/>
      <w:keepLines/>
      <w:tabs>
        <w:tab w:val="right" w:pos="851"/>
      </w:tabs>
      <w:suppressAutoHyphens/>
      <w:bidi w:val="0"/>
      <w:spacing w:before="240" w:after="240" w:line="360" w:lineRule="exact"/>
      <w:ind w:left="1134" w:right="1134" w:hanging="1134"/>
      <w:jc w:val="left"/>
      <w:outlineLvl w:val="0"/>
    </w:pPr>
    <w:rPr>
      <w:rFonts w:eastAsia="SimSun" w:hAnsiTheme="minorHAnsi" w:hint="cs"/>
      <w:b/>
      <w:sz w:val="34"/>
      <w:szCs w:val="30"/>
      <w:lang w:val="en-GB" w:eastAsia="zh-CN"/>
    </w:rPr>
  </w:style>
  <w:style w:type="paragraph" w:customStyle="1" w:styleId="HChG">
    <w:name w:val="_ H _Ch_G"/>
    <w:basedOn w:val="Normal"/>
    <w:next w:val="Normal"/>
    <w:qFormat/>
    <w:rsid w:val="00D2562D"/>
    <w:pPr>
      <w:keepNext/>
      <w:keepLines/>
      <w:tabs>
        <w:tab w:val="right" w:pos="851"/>
      </w:tabs>
      <w:suppressAutoHyphens/>
      <w:bidi w:val="0"/>
      <w:spacing w:before="360" w:after="240" w:line="300" w:lineRule="exact"/>
      <w:ind w:left="1134" w:right="1134" w:hanging="1134"/>
      <w:jc w:val="left"/>
      <w:outlineLvl w:val="1"/>
    </w:pPr>
    <w:rPr>
      <w:rFonts w:eastAsia="SimSun" w:hAnsiTheme="minorHAnsi" w:hint="cs"/>
      <w:b/>
      <w:sz w:val="28"/>
      <w:szCs w:val="30"/>
      <w:lang w:val="en-GB" w:eastAsia="zh-CN"/>
    </w:rPr>
  </w:style>
  <w:style w:type="paragraph" w:customStyle="1" w:styleId="H1G">
    <w:name w:val="_ H_1_G"/>
    <w:basedOn w:val="Normal"/>
    <w:next w:val="Normal"/>
    <w:qFormat/>
    <w:rsid w:val="00D2562D"/>
    <w:pPr>
      <w:keepNext/>
      <w:keepLines/>
      <w:tabs>
        <w:tab w:val="right" w:pos="851"/>
      </w:tabs>
      <w:suppressAutoHyphens/>
      <w:bidi w:val="0"/>
      <w:spacing w:before="360" w:after="240" w:line="270" w:lineRule="exact"/>
      <w:ind w:left="1134" w:right="1134" w:hanging="1134"/>
      <w:jc w:val="left"/>
      <w:outlineLvl w:val="2"/>
    </w:pPr>
    <w:rPr>
      <w:rFonts w:eastAsia="SimSun" w:hAnsiTheme="minorHAnsi" w:hint="cs"/>
      <w:b/>
      <w:sz w:val="24"/>
      <w:szCs w:val="30"/>
      <w:lang w:val="en-GB" w:eastAsia="zh-CN"/>
    </w:rPr>
  </w:style>
  <w:style w:type="paragraph" w:customStyle="1" w:styleId="H23G">
    <w:name w:val="_ H_2/3_G"/>
    <w:basedOn w:val="Normal"/>
    <w:next w:val="Normal"/>
    <w:qFormat/>
    <w:rsid w:val="00D2562D"/>
    <w:pPr>
      <w:keepNext/>
      <w:keepLines/>
      <w:tabs>
        <w:tab w:val="right" w:pos="851"/>
      </w:tabs>
      <w:suppressAutoHyphens/>
      <w:bidi w:val="0"/>
      <w:spacing w:before="240" w:after="120" w:line="240" w:lineRule="exact"/>
      <w:ind w:left="1134" w:right="1134" w:hanging="1134"/>
      <w:jc w:val="left"/>
      <w:outlineLvl w:val="3"/>
    </w:pPr>
    <w:rPr>
      <w:rFonts w:eastAsia="SimSun" w:hAnsiTheme="minorHAnsi" w:hint="cs"/>
      <w:b/>
      <w:szCs w:val="30"/>
      <w:lang w:val="en-GB" w:eastAsia="zh-CN"/>
    </w:rPr>
  </w:style>
  <w:style w:type="paragraph" w:customStyle="1" w:styleId="H4G">
    <w:name w:val="_ H_4_G"/>
    <w:basedOn w:val="Normal"/>
    <w:next w:val="Normal"/>
    <w:qFormat/>
    <w:rsid w:val="00D2562D"/>
    <w:pPr>
      <w:keepNext/>
      <w:keepLines/>
      <w:tabs>
        <w:tab w:val="right" w:pos="851"/>
      </w:tabs>
      <w:suppressAutoHyphens/>
      <w:bidi w:val="0"/>
      <w:spacing w:before="240" w:after="120" w:line="240" w:lineRule="exact"/>
      <w:ind w:left="1134" w:right="1134" w:hanging="1134"/>
      <w:jc w:val="left"/>
      <w:outlineLvl w:val="4"/>
    </w:pPr>
    <w:rPr>
      <w:rFonts w:eastAsia="SimSun" w:hAnsiTheme="minorHAnsi" w:hint="cs"/>
      <w:i/>
      <w:szCs w:val="30"/>
      <w:lang w:val="en-GB" w:eastAsia="zh-CN"/>
    </w:rPr>
  </w:style>
  <w:style w:type="paragraph" w:customStyle="1" w:styleId="H56G">
    <w:name w:val="_ H_5/6_G"/>
    <w:basedOn w:val="Normal"/>
    <w:next w:val="Normal"/>
    <w:qFormat/>
    <w:rsid w:val="00D2562D"/>
    <w:pPr>
      <w:keepNext/>
      <w:keepLines/>
      <w:tabs>
        <w:tab w:val="right" w:pos="851"/>
      </w:tabs>
      <w:suppressAutoHyphens/>
      <w:bidi w:val="0"/>
      <w:spacing w:before="240" w:after="120" w:line="240" w:lineRule="exact"/>
      <w:ind w:left="1134" w:right="1134" w:hanging="1134"/>
      <w:jc w:val="left"/>
      <w:outlineLvl w:val="5"/>
    </w:pPr>
    <w:rPr>
      <w:rFonts w:eastAsia="SimSun" w:hAnsiTheme="minorHAnsi" w:hint="cs"/>
      <w:szCs w:val="30"/>
      <w:lang w:val="en-GB" w:eastAsia="zh-CN"/>
    </w:rPr>
  </w:style>
  <w:style w:type="paragraph" w:customStyle="1" w:styleId="SingleTxtG">
    <w:name w:val="_ Single Txt_G"/>
    <w:basedOn w:val="Normal"/>
    <w:qFormat/>
    <w:rsid w:val="00D2562D"/>
    <w:pPr>
      <w:tabs>
        <w:tab w:val="left" w:pos="1701"/>
        <w:tab w:val="left" w:pos="2268"/>
      </w:tabs>
      <w:suppressAutoHyphens/>
      <w:bidi w:val="0"/>
      <w:spacing w:after="120"/>
      <w:ind w:left="1134" w:right="1134"/>
      <w:jc w:val="both"/>
    </w:pPr>
    <w:rPr>
      <w:rFonts w:eastAsia="SimSun" w:hAnsiTheme="minorHAnsi" w:hint="cs"/>
      <w:szCs w:val="30"/>
      <w:lang w:val="en-GB" w:eastAsia="zh-CN"/>
    </w:rPr>
  </w:style>
  <w:style w:type="paragraph" w:customStyle="1" w:styleId="SLG">
    <w:name w:val="__S_L_G"/>
    <w:basedOn w:val="Normal"/>
    <w:next w:val="Normal"/>
    <w:rsid w:val="00D2562D"/>
    <w:pPr>
      <w:keepNext/>
      <w:keepLines/>
      <w:suppressAutoHyphens/>
      <w:bidi w:val="0"/>
      <w:spacing w:before="240" w:after="240" w:line="580" w:lineRule="exact"/>
      <w:ind w:left="1134" w:right="1134"/>
      <w:jc w:val="left"/>
    </w:pPr>
    <w:rPr>
      <w:rFonts w:eastAsia="SimSun" w:hAnsiTheme="minorHAnsi" w:hint="cs"/>
      <w:b/>
      <w:sz w:val="56"/>
      <w:szCs w:val="30"/>
      <w:lang w:val="en-GB" w:eastAsia="zh-CN"/>
    </w:rPr>
  </w:style>
  <w:style w:type="paragraph" w:customStyle="1" w:styleId="SMG">
    <w:name w:val="__S_M_G"/>
    <w:basedOn w:val="Normal"/>
    <w:next w:val="Normal"/>
    <w:rsid w:val="00D2562D"/>
    <w:pPr>
      <w:keepNext/>
      <w:keepLines/>
      <w:suppressAutoHyphens/>
      <w:bidi w:val="0"/>
      <w:spacing w:before="240" w:after="240" w:line="420" w:lineRule="exact"/>
      <w:ind w:left="1134" w:right="1134"/>
      <w:jc w:val="left"/>
    </w:pPr>
    <w:rPr>
      <w:rFonts w:eastAsia="SimSun" w:hAnsiTheme="minorHAnsi" w:hint="cs"/>
      <w:b/>
      <w:sz w:val="40"/>
      <w:szCs w:val="30"/>
      <w:lang w:val="en-GB" w:eastAsia="zh-CN"/>
    </w:rPr>
  </w:style>
  <w:style w:type="paragraph" w:customStyle="1" w:styleId="SSG">
    <w:name w:val="__S_S_G"/>
    <w:basedOn w:val="Normal"/>
    <w:next w:val="Normal"/>
    <w:rsid w:val="00D2562D"/>
    <w:pPr>
      <w:keepNext/>
      <w:keepLines/>
      <w:suppressAutoHyphens/>
      <w:bidi w:val="0"/>
      <w:spacing w:before="240" w:after="240" w:line="300" w:lineRule="exact"/>
      <w:ind w:left="1134" w:right="1134"/>
      <w:jc w:val="left"/>
    </w:pPr>
    <w:rPr>
      <w:rFonts w:eastAsia="SimSun" w:hAnsiTheme="minorHAnsi" w:hint="cs"/>
      <w:b/>
      <w:sz w:val="28"/>
      <w:szCs w:val="30"/>
      <w:lang w:val="en-GB" w:eastAsia="zh-CN"/>
    </w:rPr>
  </w:style>
  <w:style w:type="paragraph" w:customStyle="1" w:styleId="XLargeG">
    <w:name w:val="__XLarge_G"/>
    <w:basedOn w:val="Normal"/>
    <w:next w:val="Normal"/>
    <w:rsid w:val="00D2562D"/>
    <w:pPr>
      <w:keepNext/>
      <w:keepLines/>
      <w:suppressAutoHyphens/>
      <w:bidi w:val="0"/>
      <w:spacing w:before="240" w:after="240" w:line="420" w:lineRule="exact"/>
      <w:ind w:left="1134" w:right="1134"/>
      <w:jc w:val="left"/>
    </w:pPr>
    <w:rPr>
      <w:rFonts w:eastAsia="SimSun" w:hAnsiTheme="minorHAnsi" w:hint="cs"/>
      <w:b/>
      <w:sz w:val="40"/>
      <w:szCs w:val="30"/>
      <w:lang w:val="en-GB" w:eastAsia="zh-CN"/>
    </w:rPr>
  </w:style>
  <w:style w:type="paragraph" w:customStyle="1" w:styleId="Bullet1G">
    <w:name w:val="_Bullet 1_G"/>
    <w:basedOn w:val="Normal"/>
    <w:qFormat/>
    <w:rsid w:val="00D2562D"/>
    <w:pPr>
      <w:numPr>
        <w:numId w:val="33"/>
      </w:numPr>
      <w:suppressAutoHyphens/>
      <w:bidi w:val="0"/>
      <w:spacing w:after="120"/>
      <w:ind w:right="1134"/>
      <w:jc w:val="both"/>
    </w:pPr>
    <w:rPr>
      <w:rFonts w:eastAsia="SimSun" w:hAnsiTheme="minorHAnsi" w:hint="cs"/>
      <w:szCs w:val="30"/>
      <w:lang w:val="en-GB" w:eastAsia="zh-CN"/>
    </w:rPr>
  </w:style>
  <w:style w:type="paragraph" w:customStyle="1" w:styleId="Bullet2G">
    <w:name w:val="_Bullet 2_G"/>
    <w:basedOn w:val="Normal"/>
    <w:qFormat/>
    <w:rsid w:val="00D2562D"/>
    <w:pPr>
      <w:numPr>
        <w:numId w:val="34"/>
      </w:numPr>
      <w:suppressAutoHyphens/>
      <w:bidi w:val="0"/>
      <w:spacing w:after="120"/>
      <w:ind w:right="1134"/>
      <w:jc w:val="both"/>
    </w:pPr>
    <w:rPr>
      <w:rFonts w:eastAsia="SimSun" w:hAnsiTheme="minorHAnsi" w:hint="cs"/>
      <w:szCs w:val="30"/>
      <w:lang w:val="en-GB" w:eastAsia="zh-CN"/>
    </w:rPr>
  </w:style>
  <w:style w:type="paragraph" w:customStyle="1" w:styleId="ParaNoG">
    <w:name w:val="_ParaNo._G"/>
    <w:basedOn w:val="SingleTxtG"/>
    <w:rsid w:val="00D2562D"/>
    <w:pPr>
      <w:tabs>
        <w:tab w:val="num" w:pos="0"/>
      </w:tabs>
    </w:pPr>
  </w:style>
  <w:style w:type="numbering" w:styleId="111111">
    <w:name w:val="Outline List 2"/>
    <w:basedOn w:val="NoList"/>
    <w:semiHidden/>
    <w:rsid w:val="00D2562D"/>
    <w:pPr>
      <w:numPr>
        <w:numId w:val="35"/>
      </w:numPr>
    </w:pPr>
  </w:style>
  <w:style w:type="numbering" w:styleId="1ai">
    <w:name w:val="Outline List 1"/>
    <w:basedOn w:val="NoList"/>
    <w:semiHidden/>
    <w:rsid w:val="00D2562D"/>
    <w:pPr>
      <w:numPr>
        <w:numId w:val="36"/>
      </w:numPr>
    </w:pPr>
  </w:style>
  <w:style w:type="character" w:styleId="EndnoteReference">
    <w:name w:val="endnote reference"/>
    <w:aliases w:val="1_G"/>
    <w:rsid w:val="00D2562D"/>
    <w:rPr>
      <w:rFonts w:ascii="Times New Roman" w:hAnsi="Times New Roman"/>
      <w:sz w:val="18"/>
      <w:vertAlign w:val="superscript"/>
    </w:rPr>
  </w:style>
  <w:style w:type="paragraph" w:styleId="FootnoteText">
    <w:name w:val="footnote text"/>
    <w:aliases w:val="5_G"/>
    <w:basedOn w:val="Normal"/>
    <w:link w:val="FootnoteTextChar"/>
    <w:rsid w:val="00D2562D"/>
    <w:pPr>
      <w:tabs>
        <w:tab w:val="right" w:pos="1021"/>
      </w:tabs>
      <w:suppressAutoHyphens/>
      <w:bidi w:val="0"/>
      <w:spacing w:line="220" w:lineRule="exact"/>
      <w:ind w:left="1134" w:right="1134" w:hanging="1134"/>
      <w:jc w:val="left"/>
    </w:pPr>
    <w:rPr>
      <w:rFonts w:eastAsia="SimSun" w:hAnsiTheme="minorHAnsi" w:hint="cs"/>
      <w:sz w:val="18"/>
      <w:szCs w:val="30"/>
      <w:lang w:val="en-GB" w:eastAsia="zh-CN"/>
    </w:rPr>
  </w:style>
  <w:style w:type="character" w:customStyle="1" w:styleId="FootnoteTextChar">
    <w:name w:val="Footnote Text Char"/>
    <w:aliases w:val="5_G Char"/>
    <w:basedOn w:val="DefaultParagraphFont"/>
    <w:link w:val="FootnoteText"/>
    <w:rsid w:val="00D2562D"/>
    <w:rPr>
      <w:rFonts w:ascii="Times New Roman" w:eastAsia="SimSun" w:hAnsiTheme="minorHAnsi" w:cs="Simplified Arabic"/>
      <w:sz w:val="18"/>
      <w:szCs w:val="30"/>
      <w:lang w:val="en-GB" w:eastAsia="zh-CN"/>
    </w:rPr>
  </w:style>
  <w:style w:type="character" w:styleId="FootnoteReference">
    <w:name w:val="footnote reference"/>
    <w:aliases w:val="4_G"/>
    <w:rsid w:val="00D2562D"/>
    <w:rPr>
      <w:rFonts w:ascii="Times New Roman" w:hAnsi="Times New Roman"/>
      <w:sz w:val="18"/>
      <w:vertAlign w:val="superscript"/>
    </w:rPr>
  </w:style>
  <w:style w:type="character" w:styleId="BookTitle">
    <w:name w:val="Book Title"/>
    <w:basedOn w:val="DefaultParagraphFont"/>
    <w:uiPriority w:val="33"/>
    <w:rsid w:val="00D2562D"/>
    <w:rPr>
      <w:b/>
      <w:bCs/>
      <w:smallCaps/>
      <w:spacing w:val="5"/>
    </w:rPr>
  </w:style>
  <w:style w:type="paragraph" w:styleId="BalloonText">
    <w:name w:val="Balloon Text"/>
    <w:basedOn w:val="Normal"/>
    <w:link w:val="BalloonTextChar"/>
    <w:uiPriority w:val="99"/>
    <w:semiHidden/>
    <w:unhideWhenUsed/>
    <w:rsid w:val="00D2562D"/>
    <w:pPr>
      <w:suppressAutoHyphens/>
      <w:bidi w:val="0"/>
      <w:spacing w:line="240" w:lineRule="auto"/>
      <w:jc w:val="left"/>
    </w:pPr>
    <w:rPr>
      <w:rFonts w:ascii="Tahoma" w:eastAsia="SimSun" w:hAnsi="Tahoma" w:cs="Tahoma" w:hint="cs"/>
      <w:sz w:val="16"/>
      <w:szCs w:val="16"/>
      <w:lang w:val="en-GB" w:eastAsia="zh-CN"/>
    </w:rPr>
  </w:style>
  <w:style w:type="character" w:customStyle="1" w:styleId="BalloonTextChar">
    <w:name w:val="Balloon Text Char"/>
    <w:basedOn w:val="DefaultParagraphFont"/>
    <w:link w:val="BalloonText"/>
    <w:uiPriority w:val="99"/>
    <w:semiHidden/>
    <w:rsid w:val="00D2562D"/>
    <w:rPr>
      <w:rFonts w:ascii="Tahoma" w:eastAsia="SimSun" w:hAnsi="Tahoma" w:cs="Tahoma"/>
      <w:sz w:val="16"/>
      <w:szCs w:val="16"/>
      <w:lang w:val="en-GB" w:eastAsia="zh-CN"/>
    </w:rPr>
  </w:style>
  <w:style w:type="character" w:styleId="UnresolvedMention">
    <w:name w:val="Unresolved Mention"/>
    <w:basedOn w:val="DefaultParagraphFont"/>
    <w:uiPriority w:val="99"/>
    <w:semiHidden/>
    <w:unhideWhenUsed/>
    <w:rsid w:val="00D2562D"/>
    <w:rPr>
      <w:color w:val="605E5C"/>
      <w:shd w:val="clear" w:color="auto" w:fill="E1DFDD"/>
    </w:rPr>
  </w:style>
  <w:style w:type="character" w:styleId="FollowedHyperlink">
    <w:name w:val="FollowedHyperlink"/>
    <w:basedOn w:val="DefaultParagraphFont"/>
    <w:uiPriority w:val="99"/>
    <w:semiHidden/>
    <w:unhideWhenUsed/>
    <w:rsid w:val="00D2562D"/>
    <w:rPr>
      <w:color w:val="0000FF"/>
      <w:u w:val="none"/>
    </w:rPr>
  </w:style>
  <w:style w:type="character" w:styleId="CommentReference">
    <w:name w:val="annotation reference"/>
    <w:basedOn w:val="DefaultParagraphFont"/>
    <w:uiPriority w:val="99"/>
    <w:semiHidden/>
    <w:unhideWhenUsed/>
    <w:rsid w:val="00D2562D"/>
    <w:rPr>
      <w:sz w:val="16"/>
      <w:szCs w:val="16"/>
    </w:rPr>
  </w:style>
  <w:style w:type="paragraph" w:styleId="CommentText">
    <w:name w:val="annotation text"/>
    <w:basedOn w:val="Normal"/>
    <w:link w:val="CommentTextChar"/>
    <w:uiPriority w:val="99"/>
    <w:unhideWhenUsed/>
    <w:rsid w:val="00D2562D"/>
    <w:pPr>
      <w:suppressAutoHyphens/>
      <w:bidi w:val="0"/>
      <w:spacing w:line="240" w:lineRule="auto"/>
      <w:jc w:val="left"/>
    </w:pPr>
    <w:rPr>
      <w:rFonts w:eastAsia="SimSun" w:hAnsiTheme="minorHAnsi" w:hint="cs"/>
      <w:szCs w:val="30"/>
      <w:lang w:val="en-GB" w:eastAsia="zh-CN"/>
    </w:rPr>
  </w:style>
  <w:style w:type="character" w:customStyle="1" w:styleId="CommentTextChar">
    <w:name w:val="Comment Text Char"/>
    <w:basedOn w:val="DefaultParagraphFont"/>
    <w:link w:val="CommentText"/>
    <w:uiPriority w:val="99"/>
    <w:rsid w:val="00D2562D"/>
    <w:rPr>
      <w:rFonts w:ascii="Times New Roman" w:eastAsia="SimSun" w:hAnsiTheme="minorHAnsi" w:cs="Simplified Arabic"/>
      <w:szCs w:val="30"/>
      <w:lang w:val="en-GB" w:eastAsia="zh-CN"/>
    </w:rPr>
  </w:style>
  <w:style w:type="paragraph" w:styleId="CommentSubject">
    <w:name w:val="annotation subject"/>
    <w:basedOn w:val="CommentText"/>
    <w:next w:val="CommentText"/>
    <w:link w:val="CommentSubjectChar"/>
    <w:uiPriority w:val="99"/>
    <w:semiHidden/>
    <w:unhideWhenUsed/>
    <w:rsid w:val="00D2562D"/>
    <w:rPr>
      <w:b/>
      <w:bCs/>
    </w:rPr>
  </w:style>
  <w:style w:type="character" w:customStyle="1" w:styleId="CommentSubjectChar">
    <w:name w:val="Comment Subject Char"/>
    <w:basedOn w:val="CommentTextChar"/>
    <w:link w:val="CommentSubject"/>
    <w:uiPriority w:val="99"/>
    <w:semiHidden/>
    <w:rsid w:val="00D2562D"/>
    <w:rPr>
      <w:rFonts w:ascii="Times New Roman" w:eastAsia="SimSun" w:hAnsiTheme="minorHAnsi" w:cs="Simplified Arabic"/>
      <w:b/>
      <w:bCs/>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r/A/69/4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1575;&#1604;&#1605;&#1580;&#1604;&#1583;%20&#1575;&#1604;&#1571;&#1608;&#16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rr.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A/69/40" TargetMode="External"/><Relationship Id="rId5" Type="http://schemas.openxmlformats.org/officeDocument/2006/relationships/webSettings" Target="webSettings.xml"/><Relationship Id="rId15" Type="http://schemas.openxmlformats.org/officeDocument/2006/relationships/hyperlink" Target="https://undocs.org/ar/CCPR/C/113/3" TargetMode="External"/><Relationship Id="rId23" Type="http://schemas.openxmlformats.org/officeDocument/2006/relationships/theme" Target="theme/theme1.xml"/><Relationship Id="rId10" Type="http://schemas.openxmlformats.org/officeDocument/2006/relationships/hyperlink" Target="&#1575;&#1604;&#1605;&#1580;&#1604;&#1583;%20&#1575;&#1604;&#1571;&#1608;&#160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ocs.org/ar/A/68/40" TargetMode="External"/><Relationship Id="rId14" Type="http://schemas.openxmlformats.org/officeDocument/2006/relationships/hyperlink" Target="&#1575;&#1604;&#1605;&#1580;&#1604;&#1583;%20&#1575;&#1604;&#1571;&#1608;&#1604;"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25043&amp;LangID=E" TargetMode="External"/><Relationship Id="rId1" Type="http://schemas.openxmlformats.org/officeDocument/2006/relationships/hyperlink" Target="https://undocs.org/ar/CCPR/C/110/D/1405/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CCPR/C/128/4</vt:lpstr>
    </vt:vector>
  </TitlesOfParts>
  <Company>DCM</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CCPR/C/128/4</dc:title>
  <dc:subject>GE.2305191(A)</dc:subject>
  <dc:creator>Muntaha BUHNAM -  Abdelmajid ALAOUI</dc:creator>
  <cp:keywords>GE. 2305399(A)</cp:keywords>
  <dc:description>Distr.: General
21 March 2023
Arabic
Original: English</dc:description>
  <cp:lastModifiedBy>Jamila Chedad</cp:lastModifiedBy>
  <cp:revision>3</cp:revision>
  <cp:lastPrinted>2023-04-27T15:00:00Z</cp:lastPrinted>
  <dcterms:created xsi:type="dcterms:W3CDTF">2023-04-27T15:00:00Z</dcterms:created>
  <dcterms:modified xsi:type="dcterms:W3CDTF">2023-04-27T15:01:00Z</dcterms:modified>
  <cp:category>Finale</cp:category>
</cp:coreProperties>
</file>