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7D09A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7D09AD" w:rsidP="007D09AD">
            <w:pPr>
              <w:jc w:val="right"/>
            </w:pPr>
            <w:r w:rsidRPr="007D09AD">
              <w:rPr>
                <w:sz w:val="40"/>
              </w:rPr>
              <w:t>CCPR</w:t>
            </w:r>
            <w:r>
              <w:t>/C/129/D/2427/2014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7D09AD" w:rsidP="002B7BC7">
            <w:pPr>
              <w:spacing w:before="240"/>
            </w:pPr>
            <w:r>
              <w:t>Distr. générale</w:t>
            </w:r>
          </w:p>
          <w:p w:rsidR="007D09AD" w:rsidRDefault="007D09AD" w:rsidP="007D09AD">
            <w:pPr>
              <w:spacing w:line="240" w:lineRule="exact"/>
            </w:pPr>
            <w:r>
              <w:t>17</w:t>
            </w:r>
            <w:r w:rsidR="0086391E">
              <w:t> </w:t>
            </w:r>
            <w:r>
              <w:t>mars 2021</w:t>
            </w:r>
          </w:p>
          <w:p w:rsidR="007D09AD" w:rsidRDefault="007D09AD" w:rsidP="007D09AD">
            <w:pPr>
              <w:spacing w:line="240" w:lineRule="exact"/>
            </w:pPr>
            <w:r>
              <w:t>Français</w:t>
            </w:r>
          </w:p>
          <w:p w:rsidR="007D09AD" w:rsidRPr="00DB58B5" w:rsidRDefault="007D09AD" w:rsidP="007D09AD">
            <w:pPr>
              <w:spacing w:line="240" w:lineRule="exact"/>
            </w:pPr>
            <w:r>
              <w:t>Original</w:t>
            </w:r>
            <w:r w:rsidR="00A142DE">
              <w:t> </w:t>
            </w:r>
            <w:r>
              <w:t>: anglais</w:t>
            </w:r>
          </w:p>
        </w:tc>
      </w:tr>
    </w:tbl>
    <w:p w:rsidR="006F71EA" w:rsidRDefault="006F71EA" w:rsidP="006F71EA">
      <w:pPr>
        <w:spacing w:before="120"/>
        <w:rPr>
          <w:b/>
          <w:sz w:val="24"/>
          <w:szCs w:val="24"/>
        </w:rPr>
      </w:pPr>
      <w:r w:rsidRPr="00DF3BF1">
        <w:rPr>
          <w:b/>
          <w:sz w:val="24"/>
          <w:szCs w:val="24"/>
        </w:rPr>
        <w:t>Comité des droits de l’homme</w:t>
      </w:r>
    </w:p>
    <w:p w:rsidR="00A142DE" w:rsidRPr="00511808" w:rsidRDefault="00A142DE" w:rsidP="00A142DE">
      <w:pPr>
        <w:pStyle w:val="HChG"/>
        <w:rPr>
          <w:lang w:val="fr-FR"/>
        </w:rPr>
      </w:pPr>
      <w:r w:rsidRPr="00511808">
        <w:rPr>
          <w:lang w:val="fr-FR"/>
        </w:rPr>
        <w:tab/>
      </w:r>
      <w:r w:rsidRPr="00511808">
        <w:rPr>
          <w:lang w:val="fr-FR"/>
        </w:rPr>
        <w:tab/>
      </w:r>
      <w:r>
        <w:t xml:space="preserve">Décision adoptée par le Comité en vertu du Protocole facultatif, concernant la </w:t>
      </w:r>
      <w:r>
        <w:rPr>
          <w:lang w:val="fr-FR"/>
        </w:rPr>
        <w:t>c</w:t>
      </w:r>
      <w:r w:rsidRPr="00511808">
        <w:rPr>
          <w:lang w:val="fr-FR"/>
        </w:rPr>
        <w:t>ommunication</w:t>
      </w:r>
      <w:r>
        <w:rPr>
          <w:lang w:val="fr-FR"/>
        </w:rPr>
        <w:t xml:space="preserve"> n</w:t>
      </w:r>
      <w:r w:rsidRPr="00511808">
        <w:rPr>
          <w:vertAlign w:val="superscript"/>
          <w:lang w:val="fr-FR"/>
        </w:rPr>
        <w:t>o</w:t>
      </w:r>
      <w:r>
        <w:rPr>
          <w:color w:val="1D1B11" w:themeColor="background2" w:themeShade="1A"/>
          <w:lang w:val="fr-FR"/>
        </w:rPr>
        <w:t> </w:t>
      </w:r>
      <w:r w:rsidRPr="00511808">
        <w:rPr>
          <w:color w:val="1D1B11" w:themeColor="background2" w:themeShade="1A"/>
          <w:lang w:val="fr-FR"/>
        </w:rPr>
        <w:t>2427/2014</w:t>
      </w:r>
      <w:r w:rsidRPr="00A142DE">
        <w:rPr>
          <w:rStyle w:val="Appelnotedebasdep"/>
          <w:b w:val="0"/>
          <w:bCs/>
          <w:color w:val="1D1B11" w:themeColor="background2" w:themeShade="1A"/>
          <w:sz w:val="20"/>
          <w:vertAlign w:val="baseline"/>
        </w:rPr>
        <w:footnoteReference w:customMarkFollows="1" w:id="2"/>
        <w:t>*</w:t>
      </w:r>
      <w:r w:rsidRPr="00F114BA">
        <w:rPr>
          <w:sz w:val="20"/>
          <w:vertAlign w:val="superscript"/>
        </w:rPr>
        <w:t xml:space="preserve">, </w:t>
      </w:r>
      <w:r w:rsidRPr="00F114BA">
        <w:rPr>
          <w:rFonts w:eastAsia="MS Mincho"/>
          <w:b w:val="0"/>
          <w:sz w:val="20"/>
          <w:lang w:val="fr-FR"/>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A142DE" w:rsidRPr="00511808" w:rsidTr="00A142DE">
        <w:tc>
          <w:tcPr>
            <w:tcW w:w="2835" w:type="dxa"/>
          </w:tcPr>
          <w:p w:rsidR="00A142DE" w:rsidRPr="00511808" w:rsidRDefault="00A142DE" w:rsidP="0086391E">
            <w:pPr>
              <w:spacing w:after="120"/>
              <w:rPr>
                <w:rFonts w:eastAsia="SimSun"/>
                <w:i/>
                <w:lang w:val="fr-FR" w:eastAsia="zh-CN"/>
              </w:rPr>
            </w:pPr>
            <w:r w:rsidRPr="00511808">
              <w:rPr>
                <w:rFonts w:eastAsia="SimSun"/>
                <w:i/>
                <w:lang w:val="fr-FR" w:eastAsia="zh-CN"/>
              </w:rPr>
              <w:t>Communication</w:t>
            </w:r>
            <w:r>
              <w:rPr>
                <w:rFonts w:eastAsia="SimSun"/>
                <w:i/>
                <w:lang w:val="fr-FR" w:eastAsia="zh-CN"/>
              </w:rPr>
              <w:t xml:space="preserve"> présentée par</w:t>
            </w:r>
            <w:r w:rsidRPr="009C3376">
              <w:rPr>
                <w:rFonts w:eastAsia="SimSun"/>
                <w:lang w:val="fr-FR" w:eastAsia="zh-CN"/>
              </w:rPr>
              <w:t> :</w:t>
            </w:r>
          </w:p>
        </w:tc>
        <w:tc>
          <w:tcPr>
            <w:tcW w:w="3969" w:type="dxa"/>
          </w:tcPr>
          <w:p w:rsidR="00A142DE" w:rsidRPr="00511808" w:rsidRDefault="00A142DE" w:rsidP="0086391E">
            <w:pPr>
              <w:spacing w:after="120"/>
              <w:rPr>
                <w:rFonts w:eastAsia="SimSun"/>
                <w:lang w:val="fr-FR" w:eastAsia="zh-CN"/>
              </w:rPr>
            </w:pPr>
            <w:r w:rsidRPr="00511808">
              <w:rPr>
                <w:rFonts w:eastAsia="SimSun"/>
                <w:lang w:val="fr-FR" w:eastAsia="zh-CN"/>
              </w:rPr>
              <w:t>M</w:t>
            </w:r>
            <w:r>
              <w:rPr>
                <w:rFonts w:eastAsia="SimSun"/>
                <w:lang w:val="fr-FR" w:eastAsia="zh-CN"/>
              </w:rPr>
              <w:t>. </w:t>
            </w:r>
            <w:r w:rsidRPr="00511808">
              <w:rPr>
                <w:rFonts w:eastAsia="SimSun"/>
                <w:lang w:val="fr-FR" w:eastAsia="zh-CN"/>
              </w:rPr>
              <w:t>R</w:t>
            </w:r>
            <w:r>
              <w:rPr>
                <w:rFonts w:eastAsia="SimSun"/>
                <w:lang w:val="fr-FR" w:eastAsia="zh-CN"/>
              </w:rPr>
              <w:t>.</w:t>
            </w:r>
          </w:p>
        </w:tc>
      </w:tr>
      <w:tr w:rsidR="00A142DE" w:rsidRPr="00511808" w:rsidTr="00A142DE">
        <w:tc>
          <w:tcPr>
            <w:tcW w:w="2835" w:type="dxa"/>
          </w:tcPr>
          <w:p w:rsidR="00A142DE" w:rsidRPr="00511808" w:rsidRDefault="00A142DE" w:rsidP="0086391E">
            <w:pPr>
              <w:spacing w:after="120"/>
              <w:rPr>
                <w:rFonts w:eastAsia="SimSun"/>
                <w:i/>
                <w:lang w:val="fr-FR" w:eastAsia="zh-CN"/>
              </w:rPr>
            </w:pPr>
            <w:r>
              <w:rPr>
                <w:rFonts w:eastAsia="SimSun"/>
                <w:i/>
                <w:lang w:val="fr-FR" w:eastAsia="zh-CN"/>
              </w:rPr>
              <w:t xml:space="preserve">Victime(s) présumée(s) </w:t>
            </w:r>
            <w:r w:rsidRPr="009C3376">
              <w:rPr>
                <w:rFonts w:eastAsia="SimSun"/>
                <w:lang w:val="fr-FR" w:eastAsia="zh-CN"/>
              </w:rPr>
              <w:t>:</w:t>
            </w:r>
          </w:p>
        </w:tc>
        <w:tc>
          <w:tcPr>
            <w:tcW w:w="3969" w:type="dxa"/>
          </w:tcPr>
          <w:p w:rsidR="00A142DE" w:rsidRPr="00511808" w:rsidRDefault="00A142DE" w:rsidP="0086391E">
            <w:pPr>
              <w:spacing w:after="120"/>
              <w:rPr>
                <w:rFonts w:eastAsia="SimSun"/>
                <w:lang w:val="fr-FR" w:eastAsia="zh-CN"/>
              </w:rPr>
            </w:pPr>
            <w:r w:rsidRPr="00511808">
              <w:rPr>
                <w:rFonts w:eastAsia="SimSun"/>
                <w:lang w:val="fr-FR" w:eastAsia="zh-CN"/>
              </w:rPr>
              <w:t>M</w:t>
            </w:r>
            <w:r>
              <w:rPr>
                <w:rFonts w:eastAsia="SimSun"/>
                <w:lang w:val="fr-FR" w:eastAsia="zh-CN"/>
              </w:rPr>
              <w:t>. </w:t>
            </w:r>
            <w:r w:rsidRPr="00511808">
              <w:rPr>
                <w:rFonts w:eastAsia="SimSun"/>
                <w:lang w:val="fr-FR" w:eastAsia="zh-CN"/>
              </w:rPr>
              <w:t>R</w:t>
            </w:r>
            <w:r>
              <w:rPr>
                <w:rFonts w:eastAsia="SimSun"/>
                <w:lang w:val="fr-FR" w:eastAsia="zh-CN"/>
              </w:rPr>
              <w:t>.</w:t>
            </w:r>
          </w:p>
        </w:tc>
      </w:tr>
      <w:tr w:rsidR="00A142DE" w:rsidRPr="00511808" w:rsidTr="00A142DE">
        <w:tc>
          <w:tcPr>
            <w:tcW w:w="2835" w:type="dxa"/>
          </w:tcPr>
          <w:p w:rsidR="00A142DE" w:rsidRPr="00511808" w:rsidRDefault="00A142DE" w:rsidP="0086391E">
            <w:pPr>
              <w:spacing w:after="120"/>
              <w:rPr>
                <w:rFonts w:eastAsia="SimSun"/>
                <w:i/>
                <w:lang w:val="fr-FR" w:eastAsia="zh-CN"/>
              </w:rPr>
            </w:pPr>
            <w:r>
              <w:rPr>
                <w:rFonts w:eastAsia="SimSun"/>
                <w:i/>
                <w:lang w:val="fr-FR" w:eastAsia="zh-CN"/>
              </w:rPr>
              <w:t>État partie</w:t>
            </w:r>
            <w:r w:rsidRPr="009C3376">
              <w:rPr>
                <w:rFonts w:eastAsia="SimSun"/>
                <w:lang w:val="fr-FR" w:eastAsia="zh-CN"/>
              </w:rPr>
              <w:t> :</w:t>
            </w:r>
          </w:p>
        </w:tc>
        <w:tc>
          <w:tcPr>
            <w:tcW w:w="3969" w:type="dxa"/>
          </w:tcPr>
          <w:p w:rsidR="00A142DE" w:rsidRPr="00511808" w:rsidRDefault="00A142DE" w:rsidP="0086391E">
            <w:pPr>
              <w:spacing w:after="120"/>
              <w:rPr>
                <w:rFonts w:eastAsia="SimSun"/>
                <w:lang w:val="fr-FR" w:eastAsia="zh-CN"/>
              </w:rPr>
            </w:pPr>
            <w:r>
              <w:rPr>
                <w:rFonts w:eastAsia="SimSun"/>
                <w:lang w:val="fr-FR" w:eastAsia="zh-CN"/>
              </w:rPr>
              <w:t>Fédération de Russie</w:t>
            </w:r>
          </w:p>
        </w:tc>
      </w:tr>
      <w:tr w:rsidR="00A142DE" w:rsidRPr="006058AE" w:rsidTr="00A142DE">
        <w:tc>
          <w:tcPr>
            <w:tcW w:w="2835" w:type="dxa"/>
          </w:tcPr>
          <w:p w:rsidR="00A142DE" w:rsidRPr="00511808" w:rsidRDefault="00A142DE" w:rsidP="0086391E">
            <w:pPr>
              <w:spacing w:after="120"/>
              <w:rPr>
                <w:rFonts w:eastAsia="SimSun"/>
                <w:i/>
                <w:lang w:val="fr-FR" w:eastAsia="zh-CN"/>
              </w:rPr>
            </w:pPr>
            <w:r w:rsidRPr="00511808">
              <w:rPr>
                <w:rFonts w:eastAsia="SimSun"/>
                <w:i/>
                <w:lang w:val="fr-FR" w:eastAsia="zh-CN"/>
              </w:rPr>
              <w:t>Date</w:t>
            </w:r>
            <w:r>
              <w:rPr>
                <w:rFonts w:eastAsia="SimSun"/>
                <w:i/>
                <w:lang w:val="fr-FR" w:eastAsia="zh-CN"/>
              </w:rPr>
              <w:t xml:space="preserve"> de la </w:t>
            </w:r>
            <w:r w:rsidRPr="00511808">
              <w:rPr>
                <w:rFonts w:eastAsia="SimSun"/>
                <w:i/>
                <w:lang w:val="fr-FR" w:eastAsia="zh-CN"/>
              </w:rPr>
              <w:t>communication</w:t>
            </w:r>
            <w:r w:rsidRPr="009C3376">
              <w:rPr>
                <w:rFonts w:eastAsia="SimSun"/>
                <w:lang w:val="fr-FR" w:eastAsia="zh-CN"/>
              </w:rPr>
              <w:t> :</w:t>
            </w:r>
          </w:p>
        </w:tc>
        <w:tc>
          <w:tcPr>
            <w:tcW w:w="3969" w:type="dxa"/>
          </w:tcPr>
          <w:p w:rsidR="00A142DE" w:rsidRPr="00511808" w:rsidRDefault="00A142DE" w:rsidP="0086391E">
            <w:pPr>
              <w:spacing w:after="120"/>
              <w:rPr>
                <w:lang w:val="fr-FR"/>
              </w:rPr>
            </w:pPr>
            <w:r w:rsidRPr="00511808">
              <w:rPr>
                <w:lang w:val="fr-FR"/>
              </w:rPr>
              <w:t>27</w:t>
            </w:r>
            <w:r>
              <w:rPr>
                <w:lang w:val="fr-FR"/>
              </w:rPr>
              <w:t xml:space="preserve"> janvier </w:t>
            </w:r>
            <w:r w:rsidRPr="00511808">
              <w:rPr>
                <w:lang w:val="fr-FR"/>
              </w:rPr>
              <w:t>2014</w:t>
            </w:r>
            <w:r>
              <w:rPr>
                <w:lang w:val="fr-FR"/>
              </w:rPr>
              <w:t xml:space="preserve"> </w:t>
            </w:r>
            <w:r w:rsidRPr="00511808">
              <w:rPr>
                <w:lang w:val="fr-FR"/>
              </w:rPr>
              <w:t>(</w:t>
            </w:r>
            <w:r>
              <w:rPr>
                <w:lang w:val="fr-FR"/>
              </w:rPr>
              <w:t>date de la lettre initiale</w:t>
            </w:r>
            <w:r w:rsidRPr="00511808">
              <w:rPr>
                <w:lang w:val="fr-FR"/>
              </w:rPr>
              <w:t>)</w:t>
            </w:r>
          </w:p>
        </w:tc>
      </w:tr>
      <w:tr w:rsidR="00A142DE" w:rsidRPr="006058AE" w:rsidTr="00A142DE">
        <w:tc>
          <w:tcPr>
            <w:tcW w:w="2835" w:type="dxa"/>
          </w:tcPr>
          <w:p w:rsidR="00A142DE" w:rsidRPr="00511808" w:rsidRDefault="00A142DE" w:rsidP="0086391E">
            <w:pPr>
              <w:spacing w:after="120"/>
              <w:rPr>
                <w:rFonts w:eastAsia="SimSun"/>
                <w:i/>
                <w:lang w:val="fr-FR" w:eastAsia="zh-CN"/>
              </w:rPr>
            </w:pPr>
            <w:r>
              <w:rPr>
                <w:rFonts w:eastAsia="SimSun"/>
                <w:i/>
                <w:lang w:val="fr-FR" w:eastAsia="zh-CN"/>
              </w:rPr>
              <w:t>Références</w:t>
            </w:r>
            <w:r w:rsidRPr="009C3376">
              <w:rPr>
                <w:rFonts w:eastAsia="SimSun"/>
                <w:lang w:val="fr-FR" w:eastAsia="zh-CN"/>
              </w:rPr>
              <w:t> :</w:t>
            </w:r>
          </w:p>
        </w:tc>
        <w:tc>
          <w:tcPr>
            <w:tcW w:w="3969" w:type="dxa"/>
          </w:tcPr>
          <w:p w:rsidR="00A142DE" w:rsidRPr="00511808" w:rsidRDefault="00A142DE" w:rsidP="0086391E">
            <w:pPr>
              <w:spacing w:after="120"/>
              <w:rPr>
                <w:rFonts w:eastAsia="SimSun"/>
                <w:lang w:val="fr-FR" w:eastAsia="zh-CN"/>
              </w:rPr>
            </w:pPr>
            <w:r>
              <w:rPr>
                <w:lang w:val="fr-FR"/>
              </w:rPr>
              <w:t xml:space="preserve">Décision prise en application de l’article </w:t>
            </w:r>
            <w:r w:rsidRPr="00511808">
              <w:rPr>
                <w:lang w:val="fr-FR"/>
              </w:rPr>
              <w:t>92</w:t>
            </w:r>
            <w:r>
              <w:rPr>
                <w:lang w:val="fr-FR"/>
              </w:rPr>
              <w:t xml:space="preserve"> du Règlement intérieur du Comité</w:t>
            </w:r>
            <w:r w:rsidRPr="00511808">
              <w:rPr>
                <w:lang w:val="fr-FR"/>
              </w:rPr>
              <w:t>,</w:t>
            </w:r>
            <w:r>
              <w:rPr>
                <w:lang w:val="fr-FR"/>
              </w:rPr>
              <w:t xml:space="preserve"> communiquée à l’État partie le </w:t>
            </w:r>
            <w:r w:rsidRPr="00511808">
              <w:rPr>
                <w:lang w:val="fr-FR"/>
              </w:rPr>
              <w:t>1</w:t>
            </w:r>
            <w:r>
              <w:rPr>
                <w:lang w:val="fr-FR"/>
              </w:rPr>
              <w:t xml:space="preserve">8 juin </w:t>
            </w:r>
            <w:r w:rsidRPr="00511808">
              <w:rPr>
                <w:lang w:val="fr-FR"/>
              </w:rPr>
              <w:t>2014</w:t>
            </w:r>
            <w:r>
              <w:rPr>
                <w:lang w:val="fr-FR"/>
              </w:rPr>
              <w:t xml:space="preserve"> </w:t>
            </w:r>
            <w:r w:rsidRPr="00511808">
              <w:rPr>
                <w:lang w:val="fr-FR"/>
              </w:rPr>
              <w:t>(</w:t>
            </w:r>
            <w:r>
              <w:rPr>
                <w:lang w:val="fr-FR"/>
              </w:rPr>
              <w:t xml:space="preserve">non publiée sous forme de </w:t>
            </w:r>
            <w:r w:rsidRPr="00511808">
              <w:rPr>
                <w:lang w:val="fr-FR"/>
              </w:rPr>
              <w:t>document)</w:t>
            </w:r>
          </w:p>
        </w:tc>
      </w:tr>
      <w:tr w:rsidR="00A142DE" w:rsidRPr="00511808" w:rsidTr="00A142DE">
        <w:tc>
          <w:tcPr>
            <w:tcW w:w="2835" w:type="dxa"/>
          </w:tcPr>
          <w:p w:rsidR="00A142DE" w:rsidRPr="000703E9" w:rsidRDefault="00A142DE" w:rsidP="0086391E">
            <w:pPr>
              <w:spacing w:after="120"/>
              <w:rPr>
                <w:rFonts w:eastAsia="SimSun"/>
                <w:i/>
                <w:highlight w:val="yellow"/>
                <w:lang w:val="fr-FR" w:eastAsia="zh-CN"/>
              </w:rPr>
            </w:pPr>
            <w:r w:rsidRPr="000703E9">
              <w:rPr>
                <w:rFonts w:eastAsia="SimSun"/>
                <w:i/>
                <w:lang w:val="fr-FR" w:eastAsia="zh-CN"/>
              </w:rPr>
              <w:t>Date des constatations </w:t>
            </w:r>
            <w:r w:rsidRPr="000703E9">
              <w:rPr>
                <w:rFonts w:eastAsia="SimSun"/>
                <w:iCs/>
                <w:lang w:val="fr-FR" w:eastAsia="zh-CN"/>
              </w:rPr>
              <w:t>:</w:t>
            </w:r>
          </w:p>
        </w:tc>
        <w:tc>
          <w:tcPr>
            <w:tcW w:w="3969" w:type="dxa"/>
            <w:vAlign w:val="bottom"/>
          </w:tcPr>
          <w:p w:rsidR="00A142DE" w:rsidRPr="00511808" w:rsidRDefault="00A142DE" w:rsidP="0086391E">
            <w:pPr>
              <w:spacing w:after="120"/>
              <w:rPr>
                <w:rFonts w:eastAsia="SimSun"/>
                <w:lang w:val="fr-FR" w:eastAsia="zh-CN"/>
              </w:rPr>
            </w:pPr>
            <w:r>
              <w:rPr>
                <w:rFonts w:eastAsia="SimSun"/>
                <w:lang w:val="fr-FR" w:eastAsia="zh-CN"/>
              </w:rPr>
              <w:t xml:space="preserve">23 juillet </w:t>
            </w:r>
            <w:r w:rsidRPr="00511808">
              <w:rPr>
                <w:rFonts w:eastAsia="SimSun"/>
                <w:lang w:val="fr-FR" w:eastAsia="zh-CN"/>
              </w:rPr>
              <w:t>2020</w:t>
            </w:r>
          </w:p>
        </w:tc>
      </w:tr>
      <w:tr w:rsidR="00A142DE" w:rsidRPr="006058AE" w:rsidTr="00A142DE">
        <w:tc>
          <w:tcPr>
            <w:tcW w:w="2835" w:type="dxa"/>
          </w:tcPr>
          <w:p w:rsidR="00A142DE" w:rsidRPr="00511808" w:rsidRDefault="00A142DE" w:rsidP="0086391E">
            <w:pPr>
              <w:spacing w:after="120"/>
              <w:rPr>
                <w:rFonts w:eastAsia="SimSun"/>
                <w:i/>
                <w:lang w:val="fr-FR" w:eastAsia="zh-CN"/>
              </w:rPr>
            </w:pPr>
            <w:r>
              <w:rPr>
                <w:rFonts w:eastAsia="SimSun"/>
                <w:i/>
                <w:iCs/>
                <w:lang w:val="fr-FR" w:eastAsia="zh-CN"/>
              </w:rPr>
              <w:t>Objet</w:t>
            </w:r>
            <w:r w:rsidRPr="009C3376">
              <w:rPr>
                <w:rFonts w:eastAsia="SimSun"/>
                <w:iCs/>
                <w:lang w:val="fr-FR" w:eastAsia="zh-CN"/>
              </w:rPr>
              <w:t> :</w:t>
            </w:r>
          </w:p>
        </w:tc>
        <w:tc>
          <w:tcPr>
            <w:tcW w:w="3969" w:type="dxa"/>
          </w:tcPr>
          <w:p w:rsidR="00A142DE" w:rsidRPr="00511808" w:rsidRDefault="00A142DE" w:rsidP="0086391E">
            <w:pPr>
              <w:spacing w:after="120"/>
              <w:rPr>
                <w:lang w:val="fr-FR"/>
              </w:rPr>
            </w:pPr>
            <w:r>
              <w:rPr>
                <w:lang w:val="fr-FR"/>
              </w:rPr>
              <w:t xml:space="preserve">L’auteur n’a pas été informé de son droit d’être représenté par un avocat de la défense au cours de la procédure </w:t>
            </w:r>
            <w:r w:rsidRPr="00DA3DED">
              <w:rPr>
                <w:lang w:val="fr-FR"/>
              </w:rPr>
              <w:t>de</w:t>
            </w:r>
            <w:r>
              <w:rPr>
                <w:lang w:val="fr-FR"/>
              </w:rPr>
              <w:t xml:space="preserve"> </w:t>
            </w:r>
            <w:r w:rsidRPr="00DA3DED">
              <w:rPr>
                <w:lang w:val="fr-FR"/>
              </w:rPr>
              <w:t>cassation</w:t>
            </w:r>
            <w:r>
              <w:rPr>
                <w:lang w:val="fr-FR"/>
              </w:rPr>
              <w:t xml:space="preserve"> malgré la gravité des infractions pour lesquelles il avait été condamné ; droit à un procès équitable ; application rétroactive d’une loi pénale prévoyant une peine plus légère</w:t>
            </w:r>
          </w:p>
        </w:tc>
      </w:tr>
      <w:tr w:rsidR="00A142DE" w:rsidRPr="006058AE" w:rsidTr="00A142DE">
        <w:tc>
          <w:tcPr>
            <w:tcW w:w="2835" w:type="dxa"/>
          </w:tcPr>
          <w:p w:rsidR="00A142DE" w:rsidRPr="00511808" w:rsidRDefault="00A142DE" w:rsidP="0086391E">
            <w:pPr>
              <w:spacing w:after="120"/>
              <w:rPr>
                <w:rFonts w:eastAsia="SimSun"/>
                <w:i/>
                <w:iCs/>
                <w:lang w:val="fr-FR" w:eastAsia="zh-CN"/>
              </w:rPr>
            </w:pPr>
            <w:r>
              <w:rPr>
                <w:rFonts w:eastAsia="SimSun"/>
                <w:i/>
                <w:iCs/>
                <w:lang w:val="fr-FR" w:eastAsia="zh-CN"/>
              </w:rPr>
              <w:t>Question(s) de procédure</w:t>
            </w:r>
            <w:r w:rsidRPr="009C3376">
              <w:rPr>
                <w:rFonts w:eastAsia="SimSun"/>
                <w:lang w:val="fr-FR" w:eastAsia="zh-CN"/>
              </w:rPr>
              <w:t> :</w:t>
            </w:r>
          </w:p>
        </w:tc>
        <w:tc>
          <w:tcPr>
            <w:tcW w:w="3969" w:type="dxa"/>
          </w:tcPr>
          <w:p w:rsidR="00A142DE" w:rsidRPr="00511808" w:rsidRDefault="00A142DE" w:rsidP="0086391E">
            <w:pPr>
              <w:spacing w:after="120"/>
              <w:rPr>
                <w:rFonts w:eastAsia="SimSun"/>
                <w:lang w:val="fr-FR" w:eastAsia="zh-CN"/>
              </w:rPr>
            </w:pPr>
            <w:r w:rsidRPr="00511808">
              <w:rPr>
                <w:lang w:val="fr-FR"/>
              </w:rPr>
              <w:t>Abus</w:t>
            </w:r>
            <w:r>
              <w:rPr>
                <w:lang w:val="fr-FR"/>
              </w:rPr>
              <w:t xml:space="preserve"> du droit de plainte ; retard injustifié dans la soumission de la communication ; griefs non étayés</w:t>
            </w:r>
          </w:p>
        </w:tc>
      </w:tr>
      <w:tr w:rsidR="00A142DE" w:rsidRPr="006058AE" w:rsidTr="00A142DE">
        <w:tc>
          <w:tcPr>
            <w:tcW w:w="2835" w:type="dxa"/>
          </w:tcPr>
          <w:p w:rsidR="00A142DE" w:rsidRPr="00511808" w:rsidRDefault="00A142DE" w:rsidP="0086391E">
            <w:pPr>
              <w:keepNext/>
              <w:spacing w:after="120"/>
              <w:rPr>
                <w:rFonts w:eastAsia="SimSun"/>
                <w:i/>
                <w:iCs/>
                <w:lang w:val="fr-FR" w:eastAsia="zh-CN"/>
              </w:rPr>
            </w:pPr>
            <w:r>
              <w:rPr>
                <w:rFonts w:eastAsia="SimSun"/>
                <w:i/>
                <w:iCs/>
                <w:lang w:val="fr-FR" w:eastAsia="zh-CN"/>
              </w:rPr>
              <w:t>Question(s) de fond</w:t>
            </w:r>
            <w:r w:rsidRPr="009C3376">
              <w:rPr>
                <w:rFonts w:eastAsia="SimSun"/>
                <w:iCs/>
                <w:lang w:val="fr-FR" w:eastAsia="zh-CN"/>
              </w:rPr>
              <w:t> :</w:t>
            </w:r>
          </w:p>
        </w:tc>
        <w:tc>
          <w:tcPr>
            <w:tcW w:w="3969" w:type="dxa"/>
          </w:tcPr>
          <w:p w:rsidR="00A142DE" w:rsidRPr="00511808" w:rsidRDefault="00A142DE" w:rsidP="0086391E">
            <w:pPr>
              <w:keepNext/>
              <w:spacing w:after="120"/>
              <w:rPr>
                <w:lang w:val="fr-FR"/>
              </w:rPr>
            </w:pPr>
            <w:r>
              <w:rPr>
                <w:lang w:val="fr-FR"/>
              </w:rPr>
              <w:t xml:space="preserve">Procès équitable − principe de l’égalité des armes ; procès équitable − </w:t>
            </w:r>
            <w:r w:rsidRPr="00511808">
              <w:rPr>
                <w:lang w:val="fr-FR"/>
              </w:rPr>
              <w:t>assistance</w:t>
            </w:r>
            <w:r>
              <w:rPr>
                <w:lang w:val="fr-FR"/>
              </w:rPr>
              <w:t xml:space="preserve"> d’un avocat ; procès équitable − droit d’être présent à son procès ; </w:t>
            </w:r>
            <w:r w:rsidRPr="00511808">
              <w:rPr>
                <w:lang w:val="fr-FR"/>
              </w:rPr>
              <w:t>application</w:t>
            </w:r>
            <w:r>
              <w:rPr>
                <w:lang w:val="fr-FR"/>
              </w:rPr>
              <w:t xml:space="preserve"> rétroactive d’une loi pénale prévoyant une peine plus légère ; interdiction de la </w:t>
            </w:r>
            <w:r w:rsidRPr="00511808">
              <w:rPr>
                <w:lang w:val="fr-FR"/>
              </w:rPr>
              <w:t>discrimination</w:t>
            </w:r>
          </w:p>
        </w:tc>
      </w:tr>
      <w:tr w:rsidR="00A142DE" w:rsidRPr="006058AE" w:rsidTr="00A142DE">
        <w:tc>
          <w:tcPr>
            <w:tcW w:w="2835" w:type="dxa"/>
          </w:tcPr>
          <w:p w:rsidR="00A142DE" w:rsidRPr="00511808" w:rsidRDefault="00A142DE" w:rsidP="0086391E">
            <w:pPr>
              <w:spacing w:after="120"/>
              <w:rPr>
                <w:rFonts w:eastAsia="SimSun"/>
                <w:i/>
                <w:iCs/>
                <w:lang w:val="fr-FR" w:eastAsia="zh-CN"/>
              </w:rPr>
            </w:pPr>
            <w:r w:rsidRPr="00511808">
              <w:rPr>
                <w:rFonts w:eastAsia="SimSun"/>
                <w:i/>
                <w:iCs/>
                <w:lang w:val="fr-FR" w:eastAsia="zh-CN"/>
              </w:rPr>
              <w:t>Article</w:t>
            </w:r>
            <w:r>
              <w:rPr>
                <w:rFonts w:eastAsia="SimSun"/>
                <w:i/>
                <w:iCs/>
                <w:lang w:val="fr-FR" w:eastAsia="zh-CN"/>
              </w:rPr>
              <w:t>(</w:t>
            </w:r>
            <w:r w:rsidRPr="00511808">
              <w:rPr>
                <w:rFonts w:eastAsia="SimSun"/>
                <w:i/>
                <w:iCs/>
                <w:lang w:val="fr-FR" w:eastAsia="zh-CN"/>
              </w:rPr>
              <w:t>s</w:t>
            </w:r>
            <w:r>
              <w:rPr>
                <w:rFonts w:eastAsia="SimSun"/>
                <w:i/>
                <w:iCs/>
                <w:lang w:val="fr-FR" w:eastAsia="zh-CN"/>
              </w:rPr>
              <w:t>) du Pacte</w:t>
            </w:r>
            <w:r w:rsidRPr="009C3376">
              <w:rPr>
                <w:rFonts w:eastAsia="SimSun"/>
                <w:lang w:val="fr-FR" w:eastAsia="zh-CN"/>
              </w:rPr>
              <w:t> :</w:t>
            </w:r>
          </w:p>
        </w:tc>
        <w:tc>
          <w:tcPr>
            <w:tcW w:w="3969" w:type="dxa"/>
          </w:tcPr>
          <w:p w:rsidR="00A142DE" w:rsidRPr="00A142DE" w:rsidRDefault="00A142DE" w:rsidP="0086391E">
            <w:pPr>
              <w:spacing w:after="120"/>
              <w:rPr>
                <w:rFonts w:eastAsia="SimSun"/>
                <w:lang w:val="fr-FR" w:eastAsia="zh-CN"/>
              </w:rPr>
            </w:pPr>
            <w:r w:rsidRPr="00A142DE">
              <w:rPr>
                <w:rFonts w:eastAsia="SimSun"/>
                <w:lang w:val="fr-FR" w:eastAsia="zh-CN"/>
              </w:rPr>
              <w:t>2 (par. 1 et 3 a)), 14 (par. 1 et 3 d)), 15 (par. 1) et</w:t>
            </w:r>
            <w:r>
              <w:rPr>
                <w:rFonts w:eastAsia="SimSun"/>
                <w:lang w:val="fr-FR" w:eastAsia="zh-CN"/>
              </w:rPr>
              <w:t> </w:t>
            </w:r>
            <w:r w:rsidRPr="00A142DE">
              <w:rPr>
                <w:rFonts w:eastAsia="SimSun"/>
                <w:lang w:val="fr-FR" w:eastAsia="zh-CN"/>
              </w:rPr>
              <w:t>26</w:t>
            </w:r>
          </w:p>
        </w:tc>
      </w:tr>
      <w:tr w:rsidR="00A142DE" w:rsidRPr="00511808" w:rsidTr="00A142DE">
        <w:tc>
          <w:tcPr>
            <w:tcW w:w="2835" w:type="dxa"/>
          </w:tcPr>
          <w:p w:rsidR="00A142DE" w:rsidRPr="00511808" w:rsidRDefault="00A142DE" w:rsidP="0086391E">
            <w:pPr>
              <w:spacing w:after="120"/>
              <w:rPr>
                <w:rFonts w:eastAsia="SimSun"/>
                <w:i/>
                <w:iCs/>
                <w:lang w:val="fr-FR" w:eastAsia="zh-CN"/>
              </w:rPr>
            </w:pPr>
            <w:r w:rsidRPr="00511808">
              <w:rPr>
                <w:rFonts w:eastAsia="SimSun"/>
                <w:i/>
                <w:iCs/>
                <w:lang w:val="fr-FR" w:eastAsia="zh-CN"/>
              </w:rPr>
              <w:t>Article</w:t>
            </w:r>
            <w:r>
              <w:rPr>
                <w:rFonts w:eastAsia="SimSun"/>
                <w:i/>
                <w:iCs/>
                <w:lang w:val="fr-FR" w:eastAsia="zh-CN"/>
              </w:rPr>
              <w:t xml:space="preserve">(s) du </w:t>
            </w:r>
            <w:r w:rsidRPr="00511808">
              <w:rPr>
                <w:rFonts w:eastAsia="SimSun"/>
                <w:i/>
                <w:iCs/>
                <w:lang w:val="fr-FR" w:eastAsia="zh-CN"/>
              </w:rPr>
              <w:t>Protocol</w:t>
            </w:r>
            <w:r>
              <w:rPr>
                <w:rFonts w:eastAsia="SimSun"/>
                <w:i/>
                <w:iCs/>
                <w:lang w:val="fr-FR" w:eastAsia="zh-CN"/>
              </w:rPr>
              <w:t>e facultatif</w:t>
            </w:r>
            <w:r w:rsidRPr="009C3376">
              <w:rPr>
                <w:rFonts w:eastAsia="SimSun"/>
                <w:iCs/>
                <w:lang w:val="fr-FR" w:eastAsia="zh-CN"/>
              </w:rPr>
              <w:t> :</w:t>
            </w:r>
          </w:p>
        </w:tc>
        <w:tc>
          <w:tcPr>
            <w:tcW w:w="3969" w:type="dxa"/>
          </w:tcPr>
          <w:p w:rsidR="00A142DE" w:rsidRPr="00511808" w:rsidRDefault="00A142DE" w:rsidP="0086391E">
            <w:pPr>
              <w:spacing w:after="120"/>
              <w:rPr>
                <w:rFonts w:eastAsia="SimSun"/>
                <w:lang w:val="fr-FR" w:eastAsia="zh-CN"/>
              </w:rPr>
            </w:pPr>
            <w:r w:rsidRPr="00511808">
              <w:rPr>
                <w:lang w:val="fr-FR"/>
              </w:rPr>
              <w:t>3</w:t>
            </w:r>
          </w:p>
        </w:tc>
      </w:tr>
    </w:tbl>
    <w:p w:rsidR="00A142DE" w:rsidRPr="00511808" w:rsidRDefault="00A142DE" w:rsidP="00A142DE">
      <w:pPr>
        <w:pStyle w:val="SingleTxtG"/>
        <w:rPr>
          <w:lang w:val="fr-FR"/>
        </w:rPr>
      </w:pPr>
      <w:r w:rsidRPr="00511808">
        <w:rPr>
          <w:lang w:val="fr-FR"/>
        </w:rPr>
        <w:lastRenderedPageBreak/>
        <w:t>1.</w:t>
      </w:r>
      <w:r w:rsidRPr="00511808">
        <w:rPr>
          <w:lang w:val="fr-FR"/>
        </w:rPr>
        <w:tab/>
      </w:r>
      <w:r>
        <w:rPr>
          <w:lang w:val="fr-FR"/>
        </w:rPr>
        <w:t xml:space="preserve">L’auteur de la communication est </w:t>
      </w:r>
      <w:r w:rsidRPr="00511808">
        <w:rPr>
          <w:lang w:val="fr-FR"/>
        </w:rPr>
        <w:t>M</w:t>
      </w:r>
      <w:r>
        <w:rPr>
          <w:lang w:val="fr-FR"/>
        </w:rPr>
        <w:t>.</w:t>
      </w:r>
      <w:r w:rsidR="0086391E">
        <w:rPr>
          <w:lang w:val="fr-FR"/>
        </w:rPr>
        <w:t> </w:t>
      </w:r>
      <w:r w:rsidRPr="00511808">
        <w:rPr>
          <w:lang w:val="fr-FR"/>
        </w:rPr>
        <w:t>R</w:t>
      </w:r>
      <w:r>
        <w:rPr>
          <w:lang w:val="fr-FR"/>
        </w:rPr>
        <w:t>.</w:t>
      </w:r>
      <w:r w:rsidRPr="00511808">
        <w:rPr>
          <w:lang w:val="fr-FR"/>
        </w:rPr>
        <w:t>,</w:t>
      </w:r>
      <w:r>
        <w:rPr>
          <w:lang w:val="fr-FR"/>
        </w:rPr>
        <w:t xml:space="preserve"> ressortissant de la Fédération de Russie, né en </w:t>
      </w:r>
      <w:r w:rsidRPr="00511808">
        <w:rPr>
          <w:lang w:val="fr-FR"/>
        </w:rPr>
        <w:t>1967.</w:t>
      </w:r>
      <w:r>
        <w:rPr>
          <w:lang w:val="fr-FR"/>
        </w:rPr>
        <w:t xml:space="preserve"> Il affirme que l’État partie a violé les droits qu’il tient des </w:t>
      </w:r>
      <w:r w:rsidRPr="00511808">
        <w:rPr>
          <w:lang w:val="fr-FR"/>
        </w:rPr>
        <w:t>article</w:t>
      </w:r>
      <w:r>
        <w:rPr>
          <w:lang w:val="fr-FR"/>
        </w:rPr>
        <w:t xml:space="preserve">s </w:t>
      </w:r>
      <w:r w:rsidRPr="00511808">
        <w:rPr>
          <w:lang w:val="fr-FR"/>
        </w:rPr>
        <w:t>2</w:t>
      </w:r>
      <w:r>
        <w:rPr>
          <w:lang w:val="fr-FR"/>
        </w:rPr>
        <w:t xml:space="preserve"> (par. 1 et 3 a)), </w:t>
      </w:r>
      <w:r w:rsidRPr="00511808">
        <w:rPr>
          <w:lang w:val="fr-FR"/>
        </w:rPr>
        <w:t>14</w:t>
      </w:r>
      <w:r>
        <w:rPr>
          <w:lang w:val="fr-FR"/>
        </w:rPr>
        <w:t xml:space="preserve"> (par. 1 et 3 d)), </w:t>
      </w:r>
      <w:r w:rsidRPr="00511808">
        <w:rPr>
          <w:lang w:val="fr-FR"/>
        </w:rPr>
        <w:t>15</w:t>
      </w:r>
      <w:r>
        <w:rPr>
          <w:lang w:val="fr-FR"/>
        </w:rPr>
        <w:t xml:space="preserve"> (par. 1) et </w:t>
      </w:r>
      <w:r w:rsidRPr="00511808">
        <w:rPr>
          <w:lang w:val="fr-FR"/>
        </w:rPr>
        <w:t>26</w:t>
      </w:r>
      <w:r>
        <w:rPr>
          <w:lang w:val="fr-FR"/>
        </w:rPr>
        <w:t xml:space="preserve"> du Pacte</w:t>
      </w:r>
      <w:r w:rsidRPr="00511808">
        <w:rPr>
          <w:lang w:val="fr-FR"/>
        </w:rPr>
        <w:t>.</w:t>
      </w:r>
      <w:r>
        <w:rPr>
          <w:lang w:val="fr-FR"/>
        </w:rPr>
        <w:t xml:space="preserve"> Le Protocole facultatif est entré en vigueur pour l’État partie le 1</w:t>
      </w:r>
      <w:r w:rsidRPr="003A49B6">
        <w:rPr>
          <w:vertAlign w:val="superscript"/>
          <w:lang w:val="fr-FR"/>
        </w:rPr>
        <w:t>er</w:t>
      </w:r>
      <w:r>
        <w:rPr>
          <w:lang w:val="fr-FR"/>
        </w:rPr>
        <w:t xml:space="preserve"> janvier </w:t>
      </w:r>
      <w:r w:rsidRPr="00511808">
        <w:rPr>
          <w:lang w:val="fr-FR"/>
        </w:rPr>
        <w:t>1992.</w:t>
      </w:r>
      <w:r>
        <w:rPr>
          <w:lang w:val="fr-FR"/>
        </w:rPr>
        <w:t xml:space="preserve"> L’auteur n’est pas représenté par un conseil</w:t>
      </w:r>
      <w:r w:rsidRPr="00511808">
        <w:rPr>
          <w:lang w:val="fr-FR"/>
        </w:rPr>
        <w:t>.</w:t>
      </w:r>
    </w:p>
    <w:p w:rsidR="00A142DE" w:rsidRPr="00511808" w:rsidRDefault="00A142DE" w:rsidP="00A142DE">
      <w:pPr>
        <w:pStyle w:val="H23G"/>
        <w:rPr>
          <w:lang w:val="fr-FR"/>
        </w:rPr>
      </w:pPr>
      <w:r w:rsidRPr="00511808">
        <w:rPr>
          <w:lang w:val="fr-FR"/>
        </w:rPr>
        <w:tab/>
      </w:r>
      <w:r w:rsidRPr="00511808">
        <w:rPr>
          <w:lang w:val="fr-FR"/>
        </w:rPr>
        <w:tab/>
      </w:r>
      <w:r>
        <w:rPr>
          <w:lang w:val="fr-FR"/>
        </w:rPr>
        <w:t>Rappel des faits présentés par l’auteur</w:t>
      </w:r>
    </w:p>
    <w:p w:rsidR="00A142DE" w:rsidRPr="00511808" w:rsidRDefault="00A142DE" w:rsidP="00A142DE">
      <w:pPr>
        <w:pStyle w:val="SingleTxtG"/>
        <w:rPr>
          <w:lang w:val="fr-FR"/>
        </w:rPr>
      </w:pPr>
      <w:r w:rsidRPr="00511808">
        <w:rPr>
          <w:rFonts w:eastAsia="Verdana"/>
          <w:lang w:val="fr-FR"/>
        </w:rPr>
        <w:t>2.1</w:t>
      </w:r>
      <w:r w:rsidRPr="00511808">
        <w:rPr>
          <w:rFonts w:eastAsia="Verdana"/>
          <w:lang w:val="fr-FR"/>
        </w:rPr>
        <w:tab/>
      </w:r>
      <w:r>
        <w:rPr>
          <w:lang w:val="fr-FR"/>
        </w:rPr>
        <w:t xml:space="preserve">Le </w:t>
      </w:r>
      <w:r w:rsidRPr="00511808">
        <w:rPr>
          <w:lang w:val="fr-FR"/>
        </w:rPr>
        <w:t>3</w:t>
      </w:r>
      <w:r>
        <w:rPr>
          <w:lang w:val="fr-FR"/>
        </w:rPr>
        <w:t xml:space="preserve"> mars </w:t>
      </w:r>
      <w:r w:rsidRPr="00511808">
        <w:rPr>
          <w:lang w:val="fr-FR"/>
        </w:rPr>
        <w:t>1992,</w:t>
      </w:r>
      <w:r>
        <w:rPr>
          <w:lang w:val="fr-FR"/>
        </w:rPr>
        <w:t xml:space="preserve"> l’auteur a été condamné à mort par le tribunal provincial de </w:t>
      </w:r>
      <w:r w:rsidRPr="00DB0DAB">
        <w:rPr>
          <w:lang w:val="fr-FR"/>
        </w:rPr>
        <w:t>Sverdlovsk</w:t>
      </w:r>
      <w:r>
        <w:rPr>
          <w:lang w:val="fr-FR"/>
        </w:rPr>
        <w:t xml:space="preserve"> pour le meurtre de plusieurs personnes et pour une tentative de fuite avec prise d’otage</w:t>
      </w:r>
      <w:r w:rsidRPr="00511808">
        <w:rPr>
          <w:lang w:val="fr-FR"/>
        </w:rPr>
        <w:t>.</w:t>
      </w:r>
      <w:r>
        <w:rPr>
          <w:lang w:val="fr-FR"/>
        </w:rPr>
        <w:t xml:space="preserve"> À une </w:t>
      </w:r>
      <w:r w:rsidRPr="00511808">
        <w:rPr>
          <w:lang w:val="fr-FR"/>
        </w:rPr>
        <w:t>date</w:t>
      </w:r>
      <w:r>
        <w:rPr>
          <w:lang w:val="fr-FR"/>
        </w:rPr>
        <w:t xml:space="preserve"> non précisée</w:t>
      </w:r>
      <w:r w:rsidRPr="00511808">
        <w:rPr>
          <w:lang w:val="fr-FR"/>
        </w:rPr>
        <w:t>,</w:t>
      </w:r>
      <w:r>
        <w:rPr>
          <w:lang w:val="fr-FR"/>
        </w:rPr>
        <w:t xml:space="preserve"> l’auteur a fait appel du jugement</w:t>
      </w:r>
      <w:r w:rsidRPr="00823E4E">
        <w:rPr>
          <w:rStyle w:val="Appelnotedebasdep"/>
        </w:rPr>
        <w:footnoteReference w:id="4"/>
      </w:r>
      <w:r>
        <w:rPr>
          <w:lang w:val="fr-FR"/>
        </w:rPr>
        <w:t xml:space="preserve">. Le </w:t>
      </w:r>
      <w:r w:rsidRPr="00511808">
        <w:rPr>
          <w:lang w:val="fr-FR"/>
        </w:rPr>
        <w:t>4</w:t>
      </w:r>
      <w:r>
        <w:rPr>
          <w:lang w:val="fr-FR"/>
        </w:rPr>
        <w:t xml:space="preserve"> juin </w:t>
      </w:r>
      <w:r w:rsidRPr="00511808">
        <w:rPr>
          <w:lang w:val="fr-FR"/>
        </w:rPr>
        <w:t>1992,</w:t>
      </w:r>
      <w:r>
        <w:rPr>
          <w:lang w:val="fr-FR"/>
        </w:rPr>
        <w:t xml:space="preserve"> la Cour suprême a rejeté le recours formé par l’auteur</w:t>
      </w:r>
      <w:r w:rsidRPr="00823E4E">
        <w:rPr>
          <w:rStyle w:val="Appelnotedebasdep"/>
        </w:rPr>
        <w:footnoteReference w:id="5"/>
      </w:r>
      <w:r>
        <w:rPr>
          <w:lang w:val="fr-FR"/>
        </w:rPr>
        <w:t xml:space="preserve">. L’auteur n’était pas présent à </w:t>
      </w:r>
      <w:r w:rsidRPr="00B9744C">
        <w:rPr>
          <w:lang w:val="fr-FR"/>
        </w:rPr>
        <w:t>l</w:t>
      </w:r>
      <w:r>
        <w:rPr>
          <w:lang w:val="fr-FR"/>
        </w:rPr>
        <w:t>’</w:t>
      </w:r>
      <w:r w:rsidRPr="00B9744C">
        <w:rPr>
          <w:lang w:val="fr-FR"/>
        </w:rPr>
        <w:t>audience</w:t>
      </w:r>
      <w:r>
        <w:rPr>
          <w:lang w:val="fr-FR"/>
        </w:rPr>
        <w:t xml:space="preserve"> </w:t>
      </w:r>
      <w:r w:rsidRPr="00B9744C">
        <w:rPr>
          <w:lang w:val="fr-FR"/>
        </w:rPr>
        <w:t>de</w:t>
      </w:r>
      <w:r>
        <w:rPr>
          <w:lang w:val="fr-FR"/>
        </w:rPr>
        <w:t xml:space="preserve"> </w:t>
      </w:r>
      <w:r w:rsidRPr="00B9744C">
        <w:rPr>
          <w:lang w:val="fr-FR"/>
        </w:rPr>
        <w:t>cassation</w:t>
      </w:r>
      <w:r>
        <w:rPr>
          <w:lang w:val="fr-FR"/>
        </w:rPr>
        <w:t xml:space="preserve"> et n’était pas non plus représenté par un avocat</w:t>
      </w:r>
      <w:r w:rsidRPr="00511808">
        <w:rPr>
          <w:lang w:val="fr-FR"/>
        </w:rPr>
        <w:t>.</w:t>
      </w:r>
    </w:p>
    <w:p w:rsidR="00A142DE" w:rsidRPr="00E34288" w:rsidRDefault="00A142DE" w:rsidP="00A142DE">
      <w:pPr>
        <w:pStyle w:val="SingleTxtG"/>
        <w:rPr>
          <w:lang w:val="fr-FR"/>
        </w:rPr>
      </w:pPr>
      <w:r w:rsidRPr="00E34288">
        <w:rPr>
          <w:lang w:val="fr-FR"/>
        </w:rPr>
        <w:t>2.2</w:t>
      </w:r>
      <w:r w:rsidRPr="00E34288">
        <w:rPr>
          <w:lang w:val="fr-FR"/>
        </w:rPr>
        <w:tab/>
        <w:t xml:space="preserve">L’auteur fait valoir que selon les articles 47, 48 et 49 du Code de procédure pénale de la </w:t>
      </w:r>
      <w:r w:rsidRPr="00E34288">
        <w:t xml:space="preserve">République socialiste fédérative soviétique de Russie du 27 octobre 1960, </w:t>
      </w:r>
      <w:r w:rsidRPr="00E34288">
        <w:rPr>
          <w:lang w:val="fr-FR"/>
        </w:rPr>
        <w:t>en vigueur à l’époque, le tribunal aurait dû désigner un avocat pour l’assister dans le cadre de la procédure d’appel. Selon lui, cette exigence était d’autant plus importante qu’il avait été condamné à mort.</w:t>
      </w:r>
    </w:p>
    <w:p w:rsidR="00A142DE" w:rsidRPr="00511808" w:rsidRDefault="00A142DE" w:rsidP="00A142DE">
      <w:pPr>
        <w:pStyle w:val="SingleTxtG"/>
        <w:rPr>
          <w:lang w:val="fr-FR"/>
        </w:rPr>
      </w:pPr>
      <w:r w:rsidRPr="00511808">
        <w:rPr>
          <w:rFonts w:ascii="Times" w:eastAsia="SimSun" w:hAnsi="Times"/>
          <w:lang w:val="fr-FR" w:eastAsia="zh-CN"/>
        </w:rPr>
        <w:t>2.3</w:t>
      </w:r>
      <w:r w:rsidRPr="00511808">
        <w:rPr>
          <w:rFonts w:ascii="Times" w:eastAsia="SimSun" w:hAnsi="Times"/>
          <w:lang w:val="fr-FR" w:eastAsia="zh-CN"/>
        </w:rPr>
        <w:tab/>
      </w:r>
      <w:r>
        <w:rPr>
          <w:lang w:val="fr-FR"/>
        </w:rPr>
        <w:t xml:space="preserve">Le </w:t>
      </w:r>
      <w:r w:rsidRPr="00511808">
        <w:rPr>
          <w:lang w:val="fr-FR"/>
        </w:rPr>
        <w:t>4</w:t>
      </w:r>
      <w:r>
        <w:rPr>
          <w:lang w:val="fr-FR"/>
        </w:rPr>
        <w:t xml:space="preserve"> mai </w:t>
      </w:r>
      <w:r w:rsidRPr="00511808">
        <w:rPr>
          <w:lang w:val="fr-FR"/>
        </w:rPr>
        <w:t>1994,</w:t>
      </w:r>
      <w:r>
        <w:rPr>
          <w:lang w:val="fr-FR"/>
        </w:rPr>
        <w:t xml:space="preserve"> en vertu d’un décret de grâce présidentielle, la condamnation de l’auteur à la peine de mort a été commuée en peine de réclusion à perpétuité</w:t>
      </w:r>
      <w:r w:rsidRPr="00511808">
        <w:rPr>
          <w:lang w:val="fr-FR"/>
        </w:rPr>
        <w:t>.</w:t>
      </w:r>
    </w:p>
    <w:p w:rsidR="00A142DE" w:rsidRPr="00511808" w:rsidRDefault="00A142DE" w:rsidP="00A142DE">
      <w:pPr>
        <w:pStyle w:val="SingleTxtG"/>
        <w:rPr>
          <w:lang w:val="fr-FR"/>
        </w:rPr>
      </w:pPr>
      <w:r w:rsidRPr="00511808">
        <w:rPr>
          <w:lang w:val="fr-FR"/>
        </w:rPr>
        <w:t>2.4</w:t>
      </w:r>
      <w:r w:rsidRPr="00511808">
        <w:rPr>
          <w:lang w:val="fr-FR"/>
        </w:rPr>
        <w:tab/>
      </w:r>
      <w:r>
        <w:rPr>
          <w:lang w:val="fr-FR"/>
        </w:rPr>
        <w:t xml:space="preserve">Le </w:t>
      </w:r>
      <w:r w:rsidRPr="00511808">
        <w:rPr>
          <w:lang w:val="fr-FR"/>
        </w:rPr>
        <w:t>9</w:t>
      </w:r>
      <w:r>
        <w:rPr>
          <w:lang w:val="fr-FR"/>
        </w:rPr>
        <w:t xml:space="preserve"> août </w:t>
      </w:r>
      <w:r w:rsidRPr="00511808">
        <w:rPr>
          <w:lang w:val="fr-FR"/>
        </w:rPr>
        <w:t>2011,</w:t>
      </w:r>
      <w:r>
        <w:rPr>
          <w:lang w:val="fr-FR"/>
        </w:rPr>
        <w:t xml:space="preserve"> l’auteur a formé un recours au titre de la procédure de contrôle auprès de la Cour suprême de la Fédération de Russie, affirmant que son droit à l’assistance d’un conseil avait été violé</w:t>
      </w:r>
      <w:r w:rsidRPr="00823E4E">
        <w:rPr>
          <w:rStyle w:val="Appelnotedebasdep"/>
        </w:rPr>
        <w:footnoteReference w:id="6"/>
      </w:r>
      <w:r w:rsidRPr="00511808">
        <w:rPr>
          <w:lang w:val="fr-FR"/>
        </w:rPr>
        <w:t>.</w:t>
      </w:r>
      <w:r>
        <w:rPr>
          <w:lang w:val="fr-FR"/>
        </w:rPr>
        <w:t xml:space="preserve"> Le </w:t>
      </w:r>
      <w:r w:rsidRPr="00511808">
        <w:rPr>
          <w:lang w:val="fr-FR"/>
        </w:rPr>
        <w:t>20</w:t>
      </w:r>
      <w:r>
        <w:rPr>
          <w:lang w:val="fr-FR"/>
        </w:rPr>
        <w:t xml:space="preserve"> septembre </w:t>
      </w:r>
      <w:r w:rsidRPr="00511808">
        <w:rPr>
          <w:lang w:val="fr-FR"/>
        </w:rPr>
        <w:t>2011,</w:t>
      </w:r>
      <w:r>
        <w:rPr>
          <w:lang w:val="fr-FR"/>
        </w:rPr>
        <w:t xml:space="preserve"> la Cour suprême a rejeté le recours formé par l’auteur</w:t>
      </w:r>
      <w:r w:rsidRPr="00511808">
        <w:rPr>
          <w:lang w:val="fr-FR"/>
        </w:rPr>
        <w:t>.</w:t>
      </w:r>
      <w:r>
        <w:rPr>
          <w:lang w:val="fr-FR"/>
        </w:rPr>
        <w:t xml:space="preserve"> Elle a estimé que les dispositions du Code de procédure pénale en vigueur à l’époque ne rendaient pas obligatoire la présence de l’auteur et de son avocat</w:t>
      </w:r>
      <w:r w:rsidRPr="00511808">
        <w:rPr>
          <w:lang w:val="fr-FR"/>
        </w:rPr>
        <w:t>.</w:t>
      </w:r>
    </w:p>
    <w:p w:rsidR="00A142DE" w:rsidRPr="00511808" w:rsidRDefault="00A142DE" w:rsidP="00A142DE">
      <w:pPr>
        <w:pStyle w:val="SingleTxtG"/>
        <w:rPr>
          <w:lang w:val="fr-FR"/>
        </w:rPr>
      </w:pPr>
      <w:r w:rsidRPr="00511808">
        <w:rPr>
          <w:rFonts w:eastAsia="Verdana"/>
          <w:bCs/>
          <w:lang w:val="fr-FR"/>
        </w:rPr>
        <w:t>2.5</w:t>
      </w:r>
      <w:r w:rsidRPr="00511808">
        <w:rPr>
          <w:rFonts w:eastAsia="Verdana"/>
          <w:bCs/>
          <w:lang w:val="fr-FR"/>
        </w:rPr>
        <w:tab/>
      </w:r>
      <w:r>
        <w:rPr>
          <w:lang w:val="fr-FR"/>
        </w:rPr>
        <w:t xml:space="preserve">L’auteur indique qu’il a également saisi la Cour constitutionnelle de la Fédération de Russie d’un recours, mais qu’il en a été débouté le </w:t>
      </w:r>
      <w:r w:rsidRPr="00511808">
        <w:rPr>
          <w:lang w:val="fr-FR"/>
        </w:rPr>
        <w:t>24</w:t>
      </w:r>
      <w:r>
        <w:rPr>
          <w:lang w:val="fr-FR"/>
        </w:rPr>
        <w:t xml:space="preserve"> octobre </w:t>
      </w:r>
      <w:r w:rsidRPr="00511808">
        <w:rPr>
          <w:lang w:val="fr-FR"/>
        </w:rPr>
        <w:t>2013.</w:t>
      </w:r>
    </w:p>
    <w:p w:rsidR="00A142DE" w:rsidRPr="00511808" w:rsidRDefault="00A142DE" w:rsidP="00A142DE">
      <w:pPr>
        <w:pStyle w:val="SingleTxtG"/>
        <w:rPr>
          <w:lang w:val="fr-FR"/>
        </w:rPr>
      </w:pPr>
      <w:r w:rsidRPr="00511808">
        <w:rPr>
          <w:rFonts w:eastAsia="Verdana"/>
          <w:bCs/>
          <w:lang w:val="fr-FR"/>
        </w:rPr>
        <w:t>2.6</w:t>
      </w:r>
      <w:r w:rsidRPr="00511808">
        <w:rPr>
          <w:rFonts w:eastAsia="Verdana"/>
          <w:bCs/>
          <w:lang w:val="fr-FR"/>
        </w:rPr>
        <w:tab/>
      </w:r>
      <w:r>
        <w:rPr>
          <w:lang w:val="fr-FR"/>
        </w:rPr>
        <w:t>L’auteur affirme qu’il a saisi la Cour suprême tardivement parce qu’il était en prison, que ses parents étaient décédés et qu’il n’avait aucun contact avec le monde extérieur</w:t>
      </w:r>
      <w:r w:rsidRPr="00823E4E">
        <w:rPr>
          <w:rStyle w:val="Appelnotedebasdep"/>
        </w:rPr>
        <w:footnoteReference w:id="7"/>
      </w:r>
      <w:r>
        <w:rPr>
          <w:lang w:val="fr-FR"/>
        </w:rPr>
        <w:t>. Durant toute cette période, il n’avait pas d’emploi rémunéré et il n’avait reçu aucune allocation ni aucun autre type de prestations sociales, de sorte qu’il n’était pas en mesure d’engager un avocat</w:t>
      </w:r>
      <w:r w:rsidRPr="00511808">
        <w:rPr>
          <w:lang w:val="fr-FR"/>
        </w:rPr>
        <w:t>.</w:t>
      </w:r>
      <w:r>
        <w:rPr>
          <w:lang w:val="fr-FR"/>
        </w:rPr>
        <w:t xml:space="preserve"> Il fait également valoir qu’il était en dépression et ne connaissait pas ses droits</w:t>
      </w:r>
      <w:r w:rsidRPr="00511808">
        <w:rPr>
          <w:lang w:val="fr-FR"/>
        </w:rPr>
        <w:t>.</w:t>
      </w:r>
      <w:r>
        <w:rPr>
          <w:lang w:val="fr-FR"/>
        </w:rPr>
        <w:t xml:space="preserve"> En </w:t>
      </w:r>
      <w:r w:rsidRPr="00511808">
        <w:rPr>
          <w:lang w:val="fr-FR"/>
        </w:rPr>
        <w:t>2010,</w:t>
      </w:r>
      <w:r>
        <w:rPr>
          <w:lang w:val="fr-FR"/>
        </w:rPr>
        <w:t xml:space="preserve"> il s’est marié, et, avec l’aide de son épouse, il a commencé à se battre pour défendre ses droits au niveau national</w:t>
      </w:r>
      <w:r w:rsidRPr="00511808">
        <w:rPr>
          <w:lang w:val="fr-FR"/>
        </w:rPr>
        <w:t>.</w:t>
      </w:r>
      <w:r>
        <w:rPr>
          <w:lang w:val="fr-FR"/>
        </w:rPr>
        <w:t xml:space="preserve"> L’auteur affirme en outre qu’avant 2013, il ignorait l’existence de la procédure permettant aux particuliers de soumettre des communications au Comité</w:t>
      </w:r>
      <w:r w:rsidRPr="00511808">
        <w:rPr>
          <w:lang w:val="fr-FR"/>
        </w:rPr>
        <w:t>.</w:t>
      </w:r>
      <w:r>
        <w:rPr>
          <w:lang w:val="fr-FR"/>
        </w:rPr>
        <w:t xml:space="preserve"> L’auteur affirme avoir épuisé tous les recours internes utiles disponibles</w:t>
      </w:r>
      <w:r w:rsidRPr="00511808">
        <w:rPr>
          <w:lang w:val="fr-FR"/>
        </w:rPr>
        <w:t>.</w:t>
      </w:r>
    </w:p>
    <w:p w:rsidR="00A142DE" w:rsidRPr="00511808" w:rsidRDefault="00A142DE" w:rsidP="00A142DE">
      <w:pPr>
        <w:pStyle w:val="H23G"/>
        <w:rPr>
          <w:lang w:val="fr-FR"/>
        </w:rPr>
      </w:pPr>
      <w:r w:rsidRPr="00511808">
        <w:rPr>
          <w:lang w:val="fr-FR"/>
        </w:rPr>
        <w:tab/>
      </w:r>
      <w:r w:rsidRPr="00511808">
        <w:rPr>
          <w:lang w:val="fr-FR"/>
        </w:rPr>
        <w:tab/>
        <w:t>T</w:t>
      </w:r>
      <w:r>
        <w:rPr>
          <w:lang w:val="fr-FR"/>
        </w:rPr>
        <w:t>eneur de la plainte</w:t>
      </w:r>
    </w:p>
    <w:p w:rsidR="00A142DE" w:rsidRDefault="00A142DE" w:rsidP="00A142DE">
      <w:pPr>
        <w:pStyle w:val="SingleTxtG"/>
        <w:rPr>
          <w:lang w:val="fr-FR"/>
        </w:rPr>
      </w:pPr>
      <w:r w:rsidRPr="00511808">
        <w:rPr>
          <w:lang w:val="fr-FR"/>
        </w:rPr>
        <w:t>3.1</w:t>
      </w:r>
      <w:r w:rsidRPr="00511808">
        <w:rPr>
          <w:lang w:val="fr-FR"/>
        </w:rPr>
        <w:tab/>
      </w:r>
      <w:r>
        <w:rPr>
          <w:lang w:val="fr-FR"/>
        </w:rPr>
        <w:t>L’auteur affirme qu’il y a eu violation de l’</w:t>
      </w:r>
      <w:r w:rsidRPr="00511808">
        <w:rPr>
          <w:lang w:val="fr-FR"/>
        </w:rPr>
        <w:t>article</w:t>
      </w:r>
      <w:r>
        <w:rPr>
          <w:lang w:val="fr-FR"/>
        </w:rPr>
        <w:t xml:space="preserve"> </w:t>
      </w:r>
      <w:r w:rsidRPr="00511808">
        <w:rPr>
          <w:lang w:val="fr-FR"/>
        </w:rPr>
        <w:t>14</w:t>
      </w:r>
      <w:r>
        <w:rPr>
          <w:lang w:val="fr-FR"/>
        </w:rPr>
        <w:t xml:space="preserve"> (par. 1) du Pacte car la Cour suprême a enfreint les dispositions du Code de procédure pénale en ne tenant pas compte de sa situation au </w:t>
      </w:r>
      <w:r w:rsidRPr="00511808">
        <w:rPr>
          <w:lang w:val="fr-FR"/>
        </w:rPr>
        <w:t>moment</w:t>
      </w:r>
      <w:r>
        <w:rPr>
          <w:lang w:val="fr-FR"/>
        </w:rPr>
        <w:t xml:space="preserve"> du recours en </w:t>
      </w:r>
      <w:r w:rsidRPr="00511808">
        <w:rPr>
          <w:lang w:val="fr-FR"/>
        </w:rPr>
        <w:t>cassation.</w:t>
      </w:r>
    </w:p>
    <w:p w:rsidR="00A142DE" w:rsidRDefault="00A142DE" w:rsidP="00A142DE">
      <w:pPr>
        <w:pStyle w:val="SingleTxtG"/>
        <w:rPr>
          <w:lang w:val="fr-FR"/>
        </w:rPr>
      </w:pPr>
      <w:r w:rsidRPr="00511808">
        <w:rPr>
          <w:lang w:val="fr-FR"/>
        </w:rPr>
        <w:t>3.2</w:t>
      </w:r>
      <w:r w:rsidRPr="00511808">
        <w:rPr>
          <w:lang w:val="fr-FR"/>
        </w:rPr>
        <w:tab/>
      </w:r>
      <w:r>
        <w:rPr>
          <w:lang w:val="fr-FR"/>
        </w:rPr>
        <w:t>L’auteur affirme que l’État partie a violé les droits qu’il tient de l’</w:t>
      </w:r>
      <w:r w:rsidRPr="00511808">
        <w:rPr>
          <w:lang w:val="fr-FR"/>
        </w:rPr>
        <w:t>article</w:t>
      </w:r>
      <w:r>
        <w:rPr>
          <w:lang w:val="fr-FR"/>
        </w:rPr>
        <w:t xml:space="preserve"> </w:t>
      </w:r>
      <w:r w:rsidRPr="00511808">
        <w:rPr>
          <w:lang w:val="fr-FR"/>
        </w:rPr>
        <w:t>14</w:t>
      </w:r>
      <w:r>
        <w:rPr>
          <w:lang w:val="fr-FR"/>
        </w:rPr>
        <w:t xml:space="preserve"> (par. 3 d)) du Pacte parce qu’il n’a pas pu assurer lui-même sa défense ni être représenté par un avocat à l’audience de </w:t>
      </w:r>
      <w:r w:rsidRPr="00511808">
        <w:rPr>
          <w:lang w:val="fr-FR"/>
        </w:rPr>
        <w:t>cassation.</w:t>
      </w:r>
    </w:p>
    <w:p w:rsidR="00A142DE" w:rsidRPr="00511808" w:rsidRDefault="00A142DE" w:rsidP="00A142DE">
      <w:pPr>
        <w:pStyle w:val="H23G"/>
        <w:rPr>
          <w:lang w:val="fr-FR"/>
        </w:rPr>
      </w:pPr>
      <w:r w:rsidRPr="00511808">
        <w:rPr>
          <w:lang w:val="fr-FR"/>
        </w:rPr>
        <w:lastRenderedPageBreak/>
        <w:tab/>
      </w:r>
      <w:r w:rsidRPr="00511808">
        <w:rPr>
          <w:lang w:val="fr-FR"/>
        </w:rPr>
        <w:tab/>
      </w:r>
      <w:r>
        <w:rPr>
          <w:lang w:val="fr-FR"/>
        </w:rPr>
        <w:t>Observations de l’État partie sur la recevabilité et le fond</w:t>
      </w:r>
    </w:p>
    <w:p w:rsidR="00A142DE" w:rsidRDefault="00A142DE" w:rsidP="00A142DE">
      <w:pPr>
        <w:pStyle w:val="SingleTxtG"/>
        <w:rPr>
          <w:rFonts w:eastAsia="SimSun"/>
          <w:lang w:val="fr-FR" w:eastAsia="zh-CN"/>
        </w:rPr>
      </w:pPr>
      <w:r w:rsidRPr="00511808">
        <w:rPr>
          <w:lang w:val="fr-FR"/>
        </w:rPr>
        <w:t>4.1</w:t>
      </w:r>
      <w:r w:rsidRPr="00511808">
        <w:rPr>
          <w:lang w:val="fr-FR"/>
        </w:rPr>
        <w:tab/>
      </w:r>
      <w:r>
        <w:rPr>
          <w:lang w:val="fr-FR"/>
        </w:rPr>
        <w:t xml:space="preserve">Dans une </w:t>
      </w:r>
      <w:r w:rsidRPr="00511808">
        <w:rPr>
          <w:lang w:val="fr-FR"/>
        </w:rPr>
        <w:t>note</w:t>
      </w:r>
      <w:r>
        <w:rPr>
          <w:lang w:val="fr-FR"/>
        </w:rPr>
        <w:t xml:space="preserve"> </w:t>
      </w:r>
      <w:r w:rsidRPr="00511808">
        <w:rPr>
          <w:lang w:val="fr-FR"/>
        </w:rPr>
        <w:t>verbale</w:t>
      </w:r>
      <w:r>
        <w:rPr>
          <w:lang w:val="fr-FR"/>
        </w:rPr>
        <w:t xml:space="preserve"> en date du 2 octobre </w:t>
      </w:r>
      <w:r w:rsidRPr="00511808">
        <w:rPr>
          <w:lang w:val="fr-FR"/>
        </w:rPr>
        <w:t>2014,</w:t>
      </w:r>
      <w:r>
        <w:rPr>
          <w:lang w:val="fr-FR"/>
        </w:rPr>
        <w:t xml:space="preserve"> l’État partie a soumis ses </w:t>
      </w:r>
      <w:r w:rsidRPr="00511808">
        <w:rPr>
          <w:lang w:val="fr-FR"/>
        </w:rPr>
        <w:t>observations</w:t>
      </w:r>
      <w:r>
        <w:rPr>
          <w:lang w:val="fr-FR"/>
        </w:rPr>
        <w:t xml:space="preserve"> sur la recevabilité et sur le fond</w:t>
      </w:r>
      <w:r w:rsidRPr="00511808">
        <w:rPr>
          <w:lang w:val="fr-FR"/>
        </w:rPr>
        <w:t>,</w:t>
      </w:r>
      <w:r>
        <w:rPr>
          <w:lang w:val="fr-FR"/>
        </w:rPr>
        <w:t xml:space="preserve"> et a invité le Comité à déclarer la </w:t>
      </w:r>
      <w:r w:rsidRPr="00511808">
        <w:rPr>
          <w:lang w:val="fr-FR"/>
        </w:rPr>
        <w:t>communication</w:t>
      </w:r>
      <w:r>
        <w:rPr>
          <w:lang w:val="fr-FR"/>
        </w:rPr>
        <w:t xml:space="preserve"> irrecevable</w:t>
      </w:r>
      <w:r w:rsidRPr="00511808">
        <w:rPr>
          <w:rFonts w:eastAsia="SimSun"/>
          <w:lang w:val="fr-FR" w:eastAsia="zh-CN"/>
        </w:rPr>
        <w:t>.</w:t>
      </w:r>
    </w:p>
    <w:p w:rsidR="00A142DE" w:rsidRPr="00511808" w:rsidRDefault="00A142DE" w:rsidP="00A142DE">
      <w:pPr>
        <w:pStyle w:val="SingleTxtG"/>
        <w:rPr>
          <w:rFonts w:eastAsia="SimSun"/>
          <w:lang w:val="fr-FR" w:eastAsia="zh-CN"/>
        </w:rPr>
      </w:pPr>
      <w:r w:rsidRPr="00511808">
        <w:rPr>
          <w:lang w:val="fr-FR"/>
        </w:rPr>
        <w:t>4.2</w:t>
      </w:r>
      <w:r w:rsidRPr="00511808">
        <w:rPr>
          <w:lang w:val="fr-FR"/>
        </w:rPr>
        <w:tab/>
      </w:r>
      <w:r>
        <w:rPr>
          <w:lang w:val="fr-FR"/>
        </w:rPr>
        <w:t>L’État partie fait valoir que, selon l’</w:t>
      </w:r>
      <w:r w:rsidRPr="00511808">
        <w:rPr>
          <w:lang w:val="fr-FR"/>
        </w:rPr>
        <w:t>article</w:t>
      </w:r>
      <w:r>
        <w:rPr>
          <w:lang w:val="fr-FR"/>
        </w:rPr>
        <w:t xml:space="preserve"> </w:t>
      </w:r>
      <w:r w:rsidRPr="00511808">
        <w:rPr>
          <w:lang w:val="fr-FR"/>
        </w:rPr>
        <w:t>246</w:t>
      </w:r>
      <w:r>
        <w:rPr>
          <w:lang w:val="fr-FR"/>
        </w:rPr>
        <w:t xml:space="preserve"> du Code de procédure pénale de la </w:t>
      </w:r>
      <w:r w:rsidRPr="00A86DD4">
        <w:rPr>
          <w:lang w:val="fr-FR"/>
        </w:rPr>
        <w:t>R</w:t>
      </w:r>
      <w:r>
        <w:rPr>
          <w:lang w:val="fr-FR"/>
        </w:rPr>
        <w:t>épublique socialiste soviétique fédérative de R</w:t>
      </w:r>
      <w:r w:rsidRPr="00A86DD4">
        <w:rPr>
          <w:lang w:val="fr-FR"/>
        </w:rPr>
        <w:t>ussi</w:t>
      </w:r>
      <w:r>
        <w:rPr>
          <w:lang w:val="fr-FR"/>
        </w:rPr>
        <w:t>e</w:t>
      </w:r>
      <w:r w:rsidRPr="00511808">
        <w:rPr>
          <w:rFonts w:eastAsia="SimSun"/>
          <w:lang w:val="fr-FR" w:eastAsia="zh-CN"/>
        </w:rPr>
        <w:t>,</w:t>
      </w:r>
      <w:r>
        <w:rPr>
          <w:rFonts w:eastAsia="SimSun"/>
          <w:lang w:val="fr-FR" w:eastAsia="zh-CN"/>
        </w:rPr>
        <w:t xml:space="preserve"> la présence de l’accusé devant la juridiction de première instance est garantie</w:t>
      </w:r>
      <w:r w:rsidRPr="00511808">
        <w:rPr>
          <w:rFonts w:eastAsia="SimSun"/>
          <w:lang w:val="fr-FR" w:eastAsia="zh-CN"/>
        </w:rPr>
        <w:t>.</w:t>
      </w:r>
      <w:r>
        <w:rPr>
          <w:rFonts w:eastAsia="SimSun"/>
          <w:lang w:val="fr-FR" w:eastAsia="zh-CN"/>
        </w:rPr>
        <w:t xml:space="preserve"> L’examen d’une affaire en l’absence de l’accusé n’est possible que dans un nombre limité de cas et à la condition que cela n’entrave pas l’</w:t>
      </w:r>
      <w:r w:rsidRPr="00511808">
        <w:rPr>
          <w:rFonts w:eastAsia="SimSun"/>
          <w:lang w:val="fr-FR" w:eastAsia="zh-CN"/>
        </w:rPr>
        <w:t>administration</w:t>
      </w:r>
      <w:r>
        <w:rPr>
          <w:rFonts w:eastAsia="SimSun"/>
          <w:lang w:val="fr-FR" w:eastAsia="zh-CN"/>
        </w:rPr>
        <w:t xml:space="preserve"> de la </w:t>
      </w:r>
      <w:r w:rsidRPr="00511808">
        <w:rPr>
          <w:rFonts w:eastAsia="SimSun"/>
          <w:lang w:val="fr-FR" w:eastAsia="zh-CN"/>
        </w:rPr>
        <w:t>justice.</w:t>
      </w:r>
    </w:p>
    <w:p w:rsidR="00A142DE" w:rsidRPr="00511808" w:rsidRDefault="00A142DE" w:rsidP="00A142DE">
      <w:pPr>
        <w:pStyle w:val="SingleTxtG"/>
        <w:rPr>
          <w:lang w:val="fr-FR"/>
        </w:rPr>
      </w:pPr>
      <w:r w:rsidRPr="00511808">
        <w:rPr>
          <w:lang w:val="fr-FR"/>
        </w:rPr>
        <w:t>4.3</w:t>
      </w:r>
      <w:r w:rsidRPr="00511808">
        <w:rPr>
          <w:lang w:val="fr-FR"/>
        </w:rPr>
        <w:tab/>
      </w:r>
      <w:r>
        <w:rPr>
          <w:lang w:val="fr-FR"/>
        </w:rPr>
        <w:t>L’État partie affirme que l’affaire concernant l’auteur a été examinée avec sa participation et celle de son avocat</w:t>
      </w:r>
      <w:r w:rsidRPr="00511808">
        <w:rPr>
          <w:lang w:val="fr-FR"/>
        </w:rPr>
        <w:t>.</w:t>
      </w:r>
      <w:r>
        <w:rPr>
          <w:lang w:val="fr-FR"/>
        </w:rPr>
        <w:t xml:space="preserve"> Toutefois, la peine a été prononcée en l’absence de l’auteur parce que celui-ci avait tenté de se </w:t>
      </w:r>
      <w:r w:rsidRPr="00511808">
        <w:rPr>
          <w:lang w:val="fr-FR"/>
        </w:rPr>
        <w:t>suicide</w:t>
      </w:r>
      <w:r>
        <w:rPr>
          <w:lang w:val="fr-FR"/>
        </w:rPr>
        <w:t>r juste avant l’audience</w:t>
      </w:r>
      <w:r w:rsidRPr="00511808">
        <w:rPr>
          <w:lang w:val="fr-FR"/>
        </w:rPr>
        <w:t>.</w:t>
      </w:r>
      <w:r>
        <w:rPr>
          <w:lang w:val="fr-FR"/>
        </w:rPr>
        <w:t xml:space="preserve"> L’auteur avait été transporté vers une structure médicale et avait reçu copie du jugement le même jour</w:t>
      </w:r>
      <w:r w:rsidRPr="00511808">
        <w:rPr>
          <w:lang w:val="fr-FR"/>
        </w:rPr>
        <w:t>.</w:t>
      </w:r>
      <w:r>
        <w:rPr>
          <w:lang w:val="fr-FR"/>
        </w:rPr>
        <w:t xml:space="preserve"> Il avait été dûment informé de son droit de faire appel</w:t>
      </w:r>
      <w:r w:rsidRPr="00511808">
        <w:rPr>
          <w:lang w:val="fr-FR"/>
        </w:rPr>
        <w:t>.</w:t>
      </w:r>
    </w:p>
    <w:p w:rsidR="00A142DE" w:rsidRDefault="00A142DE" w:rsidP="00A142DE">
      <w:pPr>
        <w:pStyle w:val="SingleTxtG"/>
        <w:rPr>
          <w:lang w:val="fr-FR"/>
        </w:rPr>
      </w:pPr>
      <w:r w:rsidRPr="00511808">
        <w:rPr>
          <w:lang w:val="fr-FR"/>
        </w:rPr>
        <w:t>4.4</w:t>
      </w:r>
      <w:r w:rsidRPr="00511808">
        <w:rPr>
          <w:lang w:val="fr-FR"/>
        </w:rPr>
        <w:tab/>
      </w:r>
      <w:r>
        <w:rPr>
          <w:lang w:val="fr-FR"/>
        </w:rPr>
        <w:t>L’État partie affirme que ni l’auteur, ni son avocat n’ont fait grief du fait que le jugement avait été prononcé en l’absence de l’auteur ou soutenu que les droits de celui-ci avaient ainsi été violés</w:t>
      </w:r>
      <w:r w:rsidRPr="00511808">
        <w:rPr>
          <w:lang w:val="fr-FR"/>
        </w:rPr>
        <w:t>.</w:t>
      </w:r>
    </w:p>
    <w:p w:rsidR="00A142DE" w:rsidRDefault="00A142DE" w:rsidP="00A142DE">
      <w:pPr>
        <w:pStyle w:val="SingleTxtG"/>
        <w:rPr>
          <w:lang w:val="fr-FR"/>
        </w:rPr>
      </w:pPr>
      <w:r w:rsidRPr="00511808">
        <w:rPr>
          <w:lang w:val="fr-FR"/>
        </w:rPr>
        <w:t>4.5</w:t>
      </w:r>
      <w:r w:rsidRPr="00511808">
        <w:rPr>
          <w:lang w:val="fr-FR"/>
        </w:rPr>
        <w:tab/>
      </w:r>
      <w:r>
        <w:rPr>
          <w:lang w:val="fr-FR"/>
        </w:rPr>
        <w:t>L’État partie soutient que l’</w:t>
      </w:r>
      <w:r w:rsidRPr="00511808">
        <w:rPr>
          <w:lang w:val="fr-FR"/>
        </w:rPr>
        <w:t>article</w:t>
      </w:r>
      <w:r>
        <w:rPr>
          <w:lang w:val="fr-FR"/>
        </w:rPr>
        <w:t xml:space="preserve"> </w:t>
      </w:r>
      <w:r w:rsidRPr="00511808">
        <w:rPr>
          <w:lang w:val="fr-FR"/>
        </w:rPr>
        <w:t>33</w:t>
      </w:r>
      <w:r>
        <w:rPr>
          <w:lang w:val="fr-FR"/>
        </w:rPr>
        <w:t xml:space="preserve">5 du Code de procédure pénale de la </w:t>
      </w:r>
      <w:r w:rsidRPr="00A86DD4">
        <w:rPr>
          <w:lang w:val="fr-FR"/>
        </w:rPr>
        <w:t>R</w:t>
      </w:r>
      <w:r>
        <w:rPr>
          <w:lang w:val="fr-FR"/>
        </w:rPr>
        <w:t>épublique socialiste soviétique fédérative de R</w:t>
      </w:r>
      <w:r w:rsidRPr="00A86DD4">
        <w:rPr>
          <w:lang w:val="fr-FR"/>
        </w:rPr>
        <w:t>ussi</w:t>
      </w:r>
      <w:r>
        <w:rPr>
          <w:lang w:val="fr-FR"/>
        </w:rPr>
        <w:t xml:space="preserve">e prévoyait la possibilité qu’un avocat participe à l’audience de </w:t>
      </w:r>
      <w:r w:rsidRPr="00511808">
        <w:rPr>
          <w:lang w:val="fr-FR"/>
        </w:rPr>
        <w:t>cassation.</w:t>
      </w:r>
      <w:r>
        <w:rPr>
          <w:lang w:val="fr-FR"/>
        </w:rPr>
        <w:t xml:space="preserve"> Il appartenait au tribunal d’apprécier la question de la </w:t>
      </w:r>
      <w:r w:rsidRPr="00511808">
        <w:rPr>
          <w:lang w:val="fr-FR"/>
        </w:rPr>
        <w:t>participation</w:t>
      </w:r>
      <w:r>
        <w:rPr>
          <w:lang w:val="fr-FR"/>
        </w:rPr>
        <w:t xml:space="preserve"> de l’accusé</w:t>
      </w:r>
      <w:r w:rsidRPr="00511808">
        <w:rPr>
          <w:lang w:val="fr-FR"/>
        </w:rPr>
        <w:t>.</w:t>
      </w:r>
      <w:r>
        <w:rPr>
          <w:lang w:val="fr-FR"/>
        </w:rPr>
        <w:t xml:space="preserve"> En l’espèce</w:t>
      </w:r>
      <w:r w:rsidRPr="00511808">
        <w:rPr>
          <w:lang w:val="fr-FR"/>
        </w:rPr>
        <w:t>,</w:t>
      </w:r>
      <w:r>
        <w:rPr>
          <w:lang w:val="fr-FR"/>
        </w:rPr>
        <w:t xml:space="preserve"> l’auteur n’a pas donné d’informations ou fourni d’éléments démontrant qu’il avait demandé un avocat et que cette demande avait été ignorée ou rejetée par le tribunal</w:t>
      </w:r>
      <w:r w:rsidRPr="00511808">
        <w:rPr>
          <w:lang w:val="fr-FR"/>
        </w:rPr>
        <w:t>.</w:t>
      </w:r>
      <w:r>
        <w:rPr>
          <w:lang w:val="fr-FR"/>
        </w:rPr>
        <w:t xml:space="preserve"> Par conséquent, la juridiction de </w:t>
      </w:r>
      <w:r w:rsidRPr="00511808">
        <w:rPr>
          <w:lang w:val="fr-FR"/>
        </w:rPr>
        <w:t>cassation</w:t>
      </w:r>
      <w:r>
        <w:rPr>
          <w:lang w:val="fr-FR"/>
        </w:rPr>
        <w:t xml:space="preserve"> a examiné le recours formé par l’auteur en son absence et en l’absence de son avocat</w:t>
      </w:r>
      <w:r w:rsidRPr="00511808">
        <w:rPr>
          <w:lang w:val="fr-FR"/>
        </w:rPr>
        <w:t>.</w:t>
      </w:r>
    </w:p>
    <w:p w:rsidR="00A142DE" w:rsidRPr="00511808" w:rsidRDefault="00A142DE" w:rsidP="00A142DE">
      <w:pPr>
        <w:pStyle w:val="SingleTxtG"/>
        <w:rPr>
          <w:rFonts w:ascii="Times" w:eastAsia="SimSun" w:hAnsi="Times"/>
          <w:lang w:val="fr-FR" w:eastAsia="zh-CN"/>
        </w:rPr>
      </w:pPr>
      <w:r w:rsidRPr="00511808">
        <w:rPr>
          <w:rFonts w:ascii="Times" w:eastAsia="SimSun" w:hAnsi="Times"/>
          <w:lang w:val="fr-FR" w:eastAsia="zh-CN"/>
        </w:rPr>
        <w:t>4.6</w:t>
      </w:r>
      <w:r w:rsidRPr="00511808">
        <w:rPr>
          <w:rFonts w:ascii="Times" w:eastAsia="SimSun" w:hAnsi="Times"/>
          <w:lang w:val="fr-FR" w:eastAsia="zh-CN"/>
        </w:rPr>
        <w:tab/>
      </w:r>
      <w:r>
        <w:rPr>
          <w:lang w:val="fr-FR"/>
        </w:rPr>
        <w:t>L’État partie affirme que, compte tenu de ce qui précède, il n’y a pas eu de violation des droits garantis à l’auteur par l’</w:t>
      </w:r>
      <w:r w:rsidRPr="00511808">
        <w:rPr>
          <w:lang w:val="fr-FR"/>
        </w:rPr>
        <w:t>article</w:t>
      </w:r>
      <w:r>
        <w:rPr>
          <w:lang w:val="fr-FR"/>
        </w:rPr>
        <w:t xml:space="preserve"> 14 (par. 1 et 3 d)) du Pacte</w:t>
      </w:r>
      <w:r w:rsidRPr="00511808">
        <w:rPr>
          <w:lang w:val="fr-FR"/>
        </w:rPr>
        <w:t>.</w:t>
      </w:r>
    </w:p>
    <w:p w:rsidR="00A142DE" w:rsidRDefault="00A142DE" w:rsidP="00A142DE">
      <w:pPr>
        <w:pStyle w:val="H23G"/>
        <w:rPr>
          <w:lang w:val="fr-FR"/>
        </w:rPr>
      </w:pPr>
      <w:r w:rsidRPr="00511808">
        <w:rPr>
          <w:lang w:val="fr-FR"/>
        </w:rPr>
        <w:tab/>
      </w:r>
      <w:r w:rsidRPr="00511808">
        <w:rPr>
          <w:lang w:val="fr-FR"/>
        </w:rPr>
        <w:tab/>
      </w:r>
      <w:r>
        <w:t>Commentaires de l’auteur sur les observations de l’État partie concernant la recevabilité et le fond</w:t>
      </w:r>
    </w:p>
    <w:p w:rsidR="00A142DE" w:rsidRDefault="00A142DE" w:rsidP="00A142DE">
      <w:pPr>
        <w:pStyle w:val="SingleTxtG"/>
        <w:rPr>
          <w:lang w:val="fr-FR"/>
        </w:rPr>
      </w:pPr>
      <w:r w:rsidRPr="00511808">
        <w:rPr>
          <w:lang w:val="fr-FR"/>
        </w:rPr>
        <w:t>5</w:t>
      </w:r>
      <w:r w:rsidRPr="00511808">
        <w:rPr>
          <w:lang w:val="fr-FR"/>
        </w:rPr>
        <w:tab/>
      </w:r>
      <w:r>
        <w:rPr>
          <w:lang w:val="fr-FR"/>
        </w:rPr>
        <w:t xml:space="preserve">Dans une note en date du </w:t>
      </w:r>
      <w:r w:rsidRPr="00511808">
        <w:rPr>
          <w:lang w:val="fr-FR"/>
        </w:rPr>
        <w:t>19</w:t>
      </w:r>
      <w:r>
        <w:rPr>
          <w:lang w:val="fr-FR"/>
        </w:rPr>
        <w:t xml:space="preserve"> décembre </w:t>
      </w:r>
      <w:r w:rsidRPr="00511808">
        <w:rPr>
          <w:lang w:val="fr-FR"/>
        </w:rPr>
        <w:t>2014,</w:t>
      </w:r>
      <w:r>
        <w:rPr>
          <w:lang w:val="fr-FR"/>
        </w:rPr>
        <w:t xml:space="preserve"> l’auteur a affirmé que son droit d’être représenté par un avocat devant la juridiction de </w:t>
      </w:r>
      <w:r w:rsidRPr="00511808">
        <w:rPr>
          <w:lang w:val="fr-FR"/>
        </w:rPr>
        <w:t>cassation</w:t>
      </w:r>
      <w:r>
        <w:rPr>
          <w:lang w:val="fr-FR"/>
        </w:rPr>
        <w:t xml:space="preserve"> avait été violé car la Cour suprême n’avait pas appliqué l’</w:t>
      </w:r>
      <w:r w:rsidRPr="00511808">
        <w:rPr>
          <w:lang w:val="fr-FR"/>
        </w:rPr>
        <w:t>article</w:t>
      </w:r>
      <w:r>
        <w:rPr>
          <w:lang w:val="fr-FR"/>
        </w:rPr>
        <w:t xml:space="preserve"> </w:t>
      </w:r>
      <w:r w:rsidRPr="00511808">
        <w:rPr>
          <w:lang w:val="fr-FR"/>
        </w:rPr>
        <w:t>49</w:t>
      </w:r>
      <w:r>
        <w:rPr>
          <w:lang w:val="fr-FR"/>
        </w:rPr>
        <w:t xml:space="preserve"> du Code de procédure pénale de la </w:t>
      </w:r>
      <w:r w:rsidRPr="00823E4E">
        <w:t>République socialiste fédérative soviétique de Russie</w:t>
      </w:r>
      <w:r>
        <w:t>, relatif à la p</w:t>
      </w:r>
      <w:r w:rsidRPr="00823E4E">
        <w:t xml:space="preserve">résence </w:t>
      </w:r>
      <w:r w:rsidRPr="00C008FF">
        <w:t>obligatoire</w:t>
      </w:r>
      <w:r>
        <w:rPr>
          <w:lang w:val="fr-FR"/>
        </w:rPr>
        <w:t xml:space="preserve"> de l’accusé, malgré le fait qu’il était condamné à la peine capitale</w:t>
      </w:r>
      <w:r w:rsidRPr="00511808">
        <w:rPr>
          <w:lang w:val="fr-FR"/>
        </w:rPr>
        <w:t>.</w:t>
      </w:r>
      <w:r>
        <w:rPr>
          <w:lang w:val="fr-FR"/>
        </w:rPr>
        <w:t xml:space="preserve"> L’auteur soutient que la Cour suprême aurait dû lui fournir un avocat même s’il n’avait pas fait de demande en ce sens</w:t>
      </w:r>
      <w:r w:rsidRPr="00511808">
        <w:rPr>
          <w:lang w:val="fr-FR"/>
        </w:rPr>
        <w:t>.</w:t>
      </w:r>
    </w:p>
    <w:p w:rsidR="00A142DE" w:rsidRPr="00823E4E" w:rsidRDefault="00A142DE" w:rsidP="00A142DE">
      <w:pPr>
        <w:pStyle w:val="H23G"/>
        <w:rPr>
          <w:lang w:val="fr-FR"/>
        </w:rPr>
      </w:pPr>
      <w:r>
        <w:rPr>
          <w:lang w:val="fr-FR"/>
        </w:rPr>
        <w:tab/>
      </w:r>
      <w:r>
        <w:rPr>
          <w:lang w:val="fr-FR"/>
        </w:rPr>
        <w:tab/>
        <w:t>Observations complémentaires de l’auteur</w:t>
      </w:r>
    </w:p>
    <w:p w:rsidR="00A142DE" w:rsidRDefault="00A142DE" w:rsidP="00A142DE">
      <w:pPr>
        <w:pStyle w:val="SingleTxtG"/>
        <w:rPr>
          <w:lang w:val="fr-FR"/>
        </w:rPr>
      </w:pPr>
      <w:r>
        <w:rPr>
          <w:lang w:val="fr-FR"/>
        </w:rPr>
        <w:t>6.1</w:t>
      </w:r>
      <w:r w:rsidRPr="00511808">
        <w:rPr>
          <w:lang w:val="fr-FR"/>
        </w:rPr>
        <w:tab/>
      </w:r>
      <w:r>
        <w:rPr>
          <w:lang w:val="fr-FR"/>
        </w:rPr>
        <w:t xml:space="preserve">Dans une note en date du 24 novembre </w:t>
      </w:r>
      <w:r w:rsidRPr="00511808">
        <w:rPr>
          <w:lang w:val="fr-FR"/>
        </w:rPr>
        <w:t>2014,</w:t>
      </w:r>
      <w:r>
        <w:rPr>
          <w:lang w:val="fr-FR"/>
        </w:rPr>
        <w:t xml:space="preserve"> l’auteur a fait part de nouveaux griefs</w:t>
      </w:r>
      <w:r w:rsidRPr="00511808">
        <w:rPr>
          <w:lang w:val="fr-FR"/>
        </w:rPr>
        <w:t>.</w:t>
      </w:r>
      <w:r>
        <w:rPr>
          <w:lang w:val="fr-FR"/>
        </w:rPr>
        <w:t xml:space="preserve"> Il rappelle que le </w:t>
      </w:r>
      <w:r w:rsidRPr="00511808">
        <w:rPr>
          <w:lang w:val="fr-FR"/>
        </w:rPr>
        <w:t>4</w:t>
      </w:r>
      <w:r>
        <w:rPr>
          <w:lang w:val="fr-FR"/>
        </w:rPr>
        <w:t xml:space="preserve"> mai </w:t>
      </w:r>
      <w:r w:rsidRPr="00511808">
        <w:rPr>
          <w:lang w:val="fr-FR"/>
        </w:rPr>
        <w:t>1994,</w:t>
      </w:r>
      <w:r>
        <w:rPr>
          <w:lang w:val="fr-FR"/>
        </w:rPr>
        <w:t xml:space="preserve"> en vertu d’un décret de grâce présidentielle, sa peine de mort avait été commuée en peine de réclusion à perpétuité, et indique que le </w:t>
      </w:r>
      <w:r w:rsidRPr="00511808">
        <w:rPr>
          <w:lang w:val="fr-FR"/>
        </w:rPr>
        <w:t>5</w:t>
      </w:r>
      <w:r>
        <w:rPr>
          <w:lang w:val="fr-FR"/>
        </w:rPr>
        <w:t xml:space="preserve"> juillet </w:t>
      </w:r>
      <w:r w:rsidRPr="00511808">
        <w:rPr>
          <w:lang w:val="fr-FR"/>
        </w:rPr>
        <w:t>2011,</w:t>
      </w:r>
      <w:r>
        <w:rPr>
          <w:lang w:val="fr-FR"/>
        </w:rPr>
        <w:t xml:space="preserve"> il a formé un recours contre ce décret présidentiel auprès de la Cour suprême au motif que le décret avait aggravé sa situation en lui imposant une peine plus lourde que la peine qui était applicable au moment où il avait commis l’infraction</w:t>
      </w:r>
      <w:r w:rsidRPr="00511808">
        <w:rPr>
          <w:lang w:val="fr-FR"/>
        </w:rPr>
        <w:t>.</w:t>
      </w:r>
      <w:r>
        <w:rPr>
          <w:lang w:val="fr-FR"/>
        </w:rPr>
        <w:t xml:space="preserve"> L’auteur souligne qu’à l’époque des faits</w:t>
      </w:r>
      <w:r w:rsidRPr="00511808">
        <w:rPr>
          <w:lang w:val="fr-FR"/>
        </w:rPr>
        <w:t>,</w:t>
      </w:r>
      <w:r>
        <w:rPr>
          <w:lang w:val="fr-FR"/>
        </w:rPr>
        <w:t xml:space="preserve"> l’</w:t>
      </w:r>
      <w:r w:rsidRPr="00511808">
        <w:rPr>
          <w:lang w:val="fr-FR"/>
        </w:rPr>
        <w:t>article</w:t>
      </w:r>
      <w:r>
        <w:rPr>
          <w:lang w:val="fr-FR"/>
        </w:rPr>
        <w:t xml:space="preserve"> </w:t>
      </w:r>
      <w:r w:rsidRPr="00511808">
        <w:rPr>
          <w:lang w:val="fr-FR"/>
        </w:rPr>
        <w:t>24</w:t>
      </w:r>
      <w:r>
        <w:rPr>
          <w:lang w:val="fr-FR"/>
        </w:rPr>
        <w:t xml:space="preserve"> du </w:t>
      </w:r>
      <w:r w:rsidRPr="00511808">
        <w:rPr>
          <w:lang w:val="fr-FR"/>
        </w:rPr>
        <w:t>Code</w:t>
      </w:r>
      <w:r>
        <w:rPr>
          <w:lang w:val="fr-FR"/>
        </w:rPr>
        <w:t xml:space="preserve"> pénal prévoyait la substitution de la peine capitale par une peine maximale de vingt </w:t>
      </w:r>
      <w:r w:rsidRPr="00C008FF">
        <w:rPr>
          <w:lang w:val="fr-FR"/>
        </w:rPr>
        <w:t>ans d</w:t>
      </w:r>
      <w:r>
        <w:rPr>
          <w:lang w:val="fr-FR"/>
        </w:rPr>
        <w:t>’</w:t>
      </w:r>
      <w:r w:rsidRPr="00C008FF">
        <w:rPr>
          <w:lang w:val="fr-FR"/>
        </w:rPr>
        <w:t>emprisonnement</w:t>
      </w:r>
      <w:r w:rsidRPr="00CF20CF">
        <w:rPr>
          <w:lang w:val="fr-FR"/>
        </w:rPr>
        <w:t>.</w:t>
      </w:r>
      <w:r w:rsidRPr="00C65D55">
        <w:rPr>
          <w:lang w:val="fr-FR"/>
        </w:rPr>
        <w:t xml:space="preserve"> Cependant</w:t>
      </w:r>
      <w:r>
        <w:rPr>
          <w:lang w:val="fr-FR"/>
        </w:rPr>
        <w:t>, le décret présidentiel avait eu pour conséquence l’application d’une version plus récente de l’article 24 du Code pénal, qui avait été promulguée le 17 décembre 2992, neuf mois après sa condamnation à la peine capitale</w:t>
      </w:r>
      <w:r w:rsidRPr="00511808">
        <w:rPr>
          <w:lang w:val="fr-FR"/>
        </w:rPr>
        <w:t>.</w:t>
      </w:r>
      <w:r>
        <w:rPr>
          <w:lang w:val="fr-FR"/>
        </w:rPr>
        <w:t xml:space="preserve"> Le </w:t>
      </w:r>
      <w:r w:rsidRPr="00511808">
        <w:rPr>
          <w:lang w:val="fr-FR"/>
        </w:rPr>
        <w:t>28</w:t>
      </w:r>
      <w:r>
        <w:rPr>
          <w:lang w:val="fr-FR"/>
        </w:rPr>
        <w:t xml:space="preserve"> août </w:t>
      </w:r>
      <w:r w:rsidRPr="00511808">
        <w:rPr>
          <w:lang w:val="fr-FR"/>
        </w:rPr>
        <w:t>2011,</w:t>
      </w:r>
      <w:r>
        <w:rPr>
          <w:lang w:val="fr-FR"/>
        </w:rPr>
        <w:t xml:space="preserve"> la Cour suprême a rejeté le recours formé par l’auteur</w:t>
      </w:r>
      <w:r w:rsidRPr="00511808">
        <w:rPr>
          <w:lang w:val="fr-FR"/>
        </w:rPr>
        <w:t>.</w:t>
      </w:r>
    </w:p>
    <w:p w:rsidR="00A142DE" w:rsidRDefault="00A142DE" w:rsidP="00A142DE">
      <w:pPr>
        <w:pStyle w:val="SingleTxtG"/>
        <w:rPr>
          <w:lang w:val="fr-FR"/>
        </w:rPr>
      </w:pPr>
      <w:r>
        <w:rPr>
          <w:lang w:val="fr-FR"/>
        </w:rPr>
        <w:t>6.2</w:t>
      </w:r>
      <w:r w:rsidRPr="00511808">
        <w:rPr>
          <w:lang w:val="fr-FR"/>
        </w:rPr>
        <w:tab/>
      </w:r>
      <w:r>
        <w:rPr>
          <w:lang w:val="fr-FR"/>
        </w:rPr>
        <w:t xml:space="preserve">Le </w:t>
      </w:r>
      <w:r w:rsidRPr="00511808">
        <w:rPr>
          <w:lang w:val="fr-FR"/>
        </w:rPr>
        <w:t>16</w:t>
      </w:r>
      <w:r>
        <w:rPr>
          <w:lang w:val="fr-FR"/>
        </w:rPr>
        <w:t xml:space="preserve"> septembre </w:t>
      </w:r>
      <w:r w:rsidRPr="00511808">
        <w:rPr>
          <w:lang w:val="fr-FR"/>
        </w:rPr>
        <w:t>2011,</w:t>
      </w:r>
      <w:r>
        <w:rPr>
          <w:lang w:val="fr-FR"/>
        </w:rPr>
        <w:t xml:space="preserve"> l’auteur a saisi la Cour suprême d’un recours en </w:t>
      </w:r>
      <w:r w:rsidRPr="00511808">
        <w:rPr>
          <w:lang w:val="fr-FR"/>
        </w:rPr>
        <w:t>cassation,</w:t>
      </w:r>
      <w:r>
        <w:rPr>
          <w:lang w:val="fr-FR"/>
        </w:rPr>
        <w:t xml:space="preserve"> qui a été rejeté le </w:t>
      </w:r>
      <w:r w:rsidRPr="00511808">
        <w:rPr>
          <w:lang w:val="fr-FR"/>
        </w:rPr>
        <w:t>10</w:t>
      </w:r>
      <w:r>
        <w:rPr>
          <w:lang w:val="fr-FR"/>
        </w:rPr>
        <w:t xml:space="preserve"> novembre </w:t>
      </w:r>
      <w:r w:rsidRPr="00511808">
        <w:rPr>
          <w:lang w:val="fr-FR"/>
        </w:rPr>
        <w:t>2011.</w:t>
      </w:r>
      <w:r>
        <w:rPr>
          <w:lang w:val="fr-FR"/>
        </w:rPr>
        <w:t xml:space="preserve"> Le </w:t>
      </w:r>
      <w:r w:rsidRPr="00511808">
        <w:rPr>
          <w:lang w:val="fr-FR"/>
        </w:rPr>
        <w:t>8</w:t>
      </w:r>
      <w:r>
        <w:rPr>
          <w:lang w:val="fr-FR"/>
        </w:rPr>
        <w:t xml:space="preserve"> décembre </w:t>
      </w:r>
      <w:r w:rsidRPr="00511808">
        <w:rPr>
          <w:lang w:val="fr-FR"/>
        </w:rPr>
        <w:t>2011,</w:t>
      </w:r>
      <w:r>
        <w:rPr>
          <w:lang w:val="fr-FR"/>
        </w:rPr>
        <w:t xml:space="preserve"> l’auteur a présenté un nouveau recours devant la Cour suprême, en vain</w:t>
      </w:r>
      <w:r w:rsidRPr="00511808">
        <w:rPr>
          <w:lang w:val="fr-FR"/>
        </w:rPr>
        <w:t>.</w:t>
      </w:r>
      <w:r>
        <w:rPr>
          <w:lang w:val="fr-FR"/>
        </w:rPr>
        <w:t xml:space="preserve"> Le </w:t>
      </w:r>
      <w:r w:rsidRPr="00511808">
        <w:rPr>
          <w:lang w:val="fr-FR"/>
        </w:rPr>
        <w:t>13</w:t>
      </w:r>
      <w:r>
        <w:rPr>
          <w:lang w:val="fr-FR"/>
        </w:rPr>
        <w:t xml:space="preserve"> février </w:t>
      </w:r>
      <w:r w:rsidRPr="00511808">
        <w:rPr>
          <w:lang w:val="fr-FR"/>
        </w:rPr>
        <w:t>2012,</w:t>
      </w:r>
      <w:r>
        <w:rPr>
          <w:lang w:val="fr-FR"/>
        </w:rPr>
        <w:t xml:space="preserve"> il a saisi le </w:t>
      </w:r>
      <w:r w:rsidRPr="00511808">
        <w:rPr>
          <w:lang w:val="fr-FR"/>
        </w:rPr>
        <w:t>Pr</w:t>
      </w:r>
      <w:r>
        <w:rPr>
          <w:lang w:val="fr-FR"/>
        </w:rPr>
        <w:t>é</w:t>
      </w:r>
      <w:r w:rsidRPr="00511808">
        <w:rPr>
          <w:lang w:val="fr-FR"/>
        </w:rPr>
        <w:t>sident</w:t>
      </w:r>
      <w:r>
        <w:rPr>
          <w:lang w:val="fr-FR"/>
        </w:rPr>
        <w:t xml:space="preserve"> de la Cour suprême</w:t>
      </w:r>
      <w:r w:rsidRPr="00511808">
        <w:rPr>
          <w:lang w:val="fr-FR"/>
        </w:rPr>
        <w:t>,</w:t>
      </w:r>
      <w:r>
        <w:rPr>
          <w:lang w:val="fr-FR"/>
        </w:rPr>
        <w:t xml:space="preserve"> sans succès</w:t>
      </w:r>
      <w:r w:rsidRPr="00511808">
        <w:rPr>
          <w:lang w:val="fr-FR"/>
        </w:rPr>
        <w:t>.</w:t>
      </w:r>
      <w:r>
        <w:rPr>
          <w:lang w:val="fr-FR"/>
        </w:rPr>
        <w:t xml:space="preserve"> L’auteur a également saisi, en vain, le Bureau du Procureur général, le Bureau du Médiateur et la Cour constitutionnelle</w:t>
      </w:r>
      <w:r w:rsidRPr="00511808">
        <w:rPr>
          <w:lang w:val="fr-FR"/>
        </w:rPr>
        <w:t>.</w:t>
      </w:r>
    </w:p>
    <w:p w:rsidR="00A142DE" w:rsidRPr="00511808" w:rsidRDefault="00A142DE" w:rsidP="00A142DE">
      <w:pPr>
        <w:pStyle w:val="SingleTxtG"/>
        <w:rPr>
          <w:lang w:val="fr-FR"/>
        </w:rPr>
      </w:pPr>
      <w:r>
        <w:rPr>
          <w:lang w:val="fr-FR"/>
        </w:rPr>
        <w:lastRenderedPageBreak/>
        <w:t>6.3</w:t>
      </w:r>
      <w:r w:rsidRPr="00511808">
        <w:rPr>
          <w:lang w:val="fr-FR"/>
        </w:rPr>
        <w:tab/>
      </w:r>
      <w:r>
        <w:rPr>
          <w:lang w:val="fr-FR"/>
        </w:rPr>
        <w:t>L’auteur répète que le retard avec lequel il a saisi la Cour suprême était dû au fait qu’il était en prison, que ses parents étaient décédés et qu’il n’avait aucun contact avec le monde extérieur</w:t>
      </w:r>
      <w:r w:rsidRPr="00511808">
        <w:rPr>
          <w:lang w:val="fr-FR"/>
        </w:rPr>
        <w:t>.</w:t>
      </w:r>
      <w:r>
        <w:rPr>
          <w:lang w:val="fr-FR"/>
        </w:rPr>
        <w:t xml:space="preserve"> Durant tout ce temps, il n’a eu aucun emploi rémunéré et n’a reçu aucune allocation ni aucun autre type de prestations, et il n’était donc pas en mesure d’engager un avocat</w:t>
      </w:r>
      <w:r w:rsidRPr="00511808">
        <w:rPr>
          <w:lang w:val="fr-FR"/>
        </w:rPr>
        <w:t>.</w:t>
      </w:r>
      <w:r>
        <w:rPr>
          <w:lang w:val="fr-FR"/>
        </w:rPr>
        <w:t xml:space="preserve"> Il affirme qu’il était en dépression et qu’il ne connaissait pas ses droits</w:t>
      </w:r>
      <w:r w:rsidRPr="00511808">
        <w:rPr>
          <w:lang w:val="fr-FR"/>
        </w:rPr>
        <w:t>.</w:t>
      </w:r>
      <w:r>
        <w:rPr>
          <w:lang w:val="fr-FR"/>
        </w:rPr>
        <w:t xml:space="preserve"> Ce n’est qu’après son mariage, en </w:t>
      </w:r>
      <w:r w:rsidRPr="00511808">
        <w:rPr>
          <w:lang w:val="fr-FR"/>
        </w:rPr>
        <w:t>2010</w:t>
      </w:r>
      <w:r>
        <w:rPr>
          <w:lang w:val="fr-FR"/>
        </w:rPr>
        <w:t>, qu’il a commencé à se battre pour défendre ses droits, avec l’aide de son épouse</w:t>
      </w:r>
      <w:r w:rsidRPr="00511808">
        <w:rPr>
          <w:lang w:val="fr-FR"/>
        </w:rPr>
        <w:t>.</w:t>
      </w:r>
    </w:p>
    <w:p w:rsidR="00A142DE" w:rsidRDefault="00A142DE" w:rsidP="00A142DE">
      <w:pPr>
        <w:pStyle w:val="SingleTxtG"/>
        <w:rPr>
          <w:lang w:val="fr-FR"/>
        </w:rPr>
      </w:pPr>
      <w:r>
        <w:rPr>
          <w:lang w:val="fr-FR"/>
        </w:rPr>
        <w:t>6.4</w:t>
      </w:r>
      <w:r w:rsidRPr="00511808">
        <w:rPr>
          <w:lang w:val="fr-FR"/>
        </w:rPr>
        <w:tab/>
      </w:r>
      <w:r>
        <w:rPr>
          <w:lang w:val="fr-FR"/>
        </w:rPr>
        <w:t xml:space="preserve">L’auteur indique qu’en </w:t>
      </w:r>
      <w:r w:rsidRPr="00511808">
        <w:rPr>
          <w:lang w:val="fr-FR"/>
        </w:rPr>
        <w:t>2014,</w:t>
      </w:r>
      <w:r>
        <w:rPr>
          <w:lang w:val="fr-FR"/>
        </w:rPr>
        <w:t xml:space="preserve"> il a saisi la Cour européenne des droits de l’homme, et que celle-ci a déclaré sa requête irrecevable le </w:t>
      </w:r>
      <w:r w:rsidRPr="00511808">
        <w:rPr>
          <w:lang w:val="fr-FR"/>
        </w:rPr>
        <w:t>19</w:t>
      </w:r>
      <w:r>
        <w:rPr>
          <w:lang w:val="fr-FR"/>
        </w:rPr>
        <w:t xml:space="preserve"> juin </w:t>
      </w:r>
      <w:r w:rsidRPr="00511808">
        <w:rPr>
          <w:lang w:val="fr-FR"/>
        </w:rPr>
        <w:t>2014</w:t>
      </w:r>
      <w:r w:rsidRPr="00823E4E">
        <w:rPr>
          <w:rStyle w:val="Appelnotedebasdep"/>
        </w:rPr>
        <w:footnoteReference w:id="8"/>
      </w:r>
      <w:r>
        <w:rPr>
          <w:lang w:val="fr-FR"/>
        </w:rPr>
        <w:t>.</w:t>
      </w:r>
    </w:p>
    <w:p w:rsidR="00A142DE" w:rsidRDefault="00A142DE" w:rsidP="00A142DE">
      <w:pPr>
        <w:pStyle w:val="SingleTxtG"/>
        <w:rPr>
          <w:lang w:val="fr-FR"/>
        </w:rPr>
      </w:pPr>
      <w:r>
        <w:rPr>
          <w:lang w:val="fr-FR"/>
        </w:rPr>
        <w:t>6.5</w:t>
      </w:r>
      <w:r w:rsidRPr="00511808">
        <w:rPr>
          <w:lang w:val="fr-FR"/>
        </w:rPr>
        <w:tab/>
      </w:r>
      <w:r>
        <w:rPr>
          <w:lang w:val="fr-FR"/>
        </w:rPr>
        <w:t>L’auteur affirme que les droits qu’il tient de l’a</w:t>
      </w:r>
      <w:r w:rsidRPr="00511808">
        <w:rPr>
          <w:lang w:val="fr-FR"/>
        </w:rPr>
        <w:t>rticle</w:t>
      </w:r>
      <w:r>
        <w:rPr>
          <w:lang w:val="fr-FR"/>
        </w:rPr>
        <w:t xml:space="preserve"> </w:t>
      </w:r>
      <w:r w:rsidRPr="00511808">
        <w:rPr>
          <w:lang w:val="fr-FR"/>
        </w:rPr>
        <w:t>2</w:t>
      </w:r>
      <w:r>
        <w:rPr>
          <w:lang w:val="fr-FR"/>
        </w:rPr>
        <w:t xml:space="preserve"> (par. 3) ont été violés car les autorités n’ont répondu à ses recours que par des réponses de pure forme</w:t>
      </w:r>
      <w:r w:rsidRPr="00511808">
        <w:rPr>
          <w:lang w:val="fr-FR"/>
        </w:rPr>
        <w:t>.</w:t>
      </w:r>
    </w:p>
    <w:p w:rsidR="00A142DE" w:rsidRDefault="00A142DE" w:rsidP="00A142DE">
      <w:pPr>
        <w:pStyle w:val="SingleTxtG"/>
        <w:rPr>
          <w:lang w:val="fr-FR"/>
        </w:rPr>
      </w:pPr>
      <w:r>
        <w:rPr>
          <w:lang w:val="fr-FR"/>
        </w:rPr>
        <w:t>6.6</w:t>
      </w:r>
      <w:r w:rsidRPr="00511808">
        <w:rPr>
          <w:lang w:val="fr-FR"/>
        </w:rPr>
        <w:tab/>
      </w:r>
      <w:r>
        <w:rPr>
          <w:lang w:val="fr-FR"/>
        </w:rPr>
        <w:t>L’auteur affirme que les droits qui lui sont garantis par l’</w:t>
      </w:r>
      <w:r w:rsidRPr="00511808">
        <w:rPr>
          <w:lang w:val="fr-FR"/>
        </w:rPr>
        <w:t>article</w:t>
      </w:r>
      <w:r>
        <w:rPr>
          <w:lang w:val="fr-FR"/>
        </w:rPr>
        <w:t xml:space="preserve"> </w:t>
      </w:r>
      <w:r w:rsidRPr="00511808">
        <w:rPr>
          <w:lang w:val="fr-FR"/>
        </w:rPr>
        <w:t>14</w:t>
      </w:r>
      <w:r>
        <w:rPr>
          <w:lang w:val="fr-FR"/>
        </w:rPr>
        <w:t xml:space="preserve"> (par. 1 et 3 d)) du Pacte ont été violés car, bien qu’il en ait expressément fait la demande</w:t>
      </w:r>
      <w:r w:rsidRPr="00511808">
        <w:rPr>
          <w:lang w:val="fr-FR"/>
        </w:rPr>
        <w:t>,</w:t>
      </w:r>
      <w:r>
        <w:rPr>
          <w:lang w:val="fr-FR"/>
        </w:rPr>
        <w:t xml:space="preserve"> la Cour suprême n’a pas veillé à ce qu’il participe à la procédure et ne lui a pas fourni d’avocat</w:t>
      </w:r>
      <w:r w:rsidRPr="00511808">
        <w:rPr>
          <w:lang w:val="fr-FR"/>
        </w:rPr>
        <w:t>.</w:t>
      </w:r>
    </w:p>
    <w:p w:rsidR="00A142DE" w:rsidRPr="00511808" w:rsidRDefault="00A142DE" w:rsidP="00A142DE">
      <w:pPr>
        <w:pStyle w:val="SingleTxtG"/>
        <w:rPr>
          <w:lang w:val="fr-FR"/>
        </w:rPr>
      </w:pPr>
      <w:r>
        <w:rPr>
          <w:lang w:val="fr-FR"/>
        </w:rPr>
        <w:t>6.7</w:t>
      </w:r>
      <w:r w:rsidRPr="00511808">
        <w:rPr>
          <w:lang w:val="fr-FR"/>
        </w:rPr>
        <w:tab/>
      </w:r>
      <w:r>
        <w:rPr>
          <w:lang w:val="fr-FR"/>
        </w:rPr>
        <w:t>L’auteur affirme que les droits qu’il tient de l’</w:t>
      </w:r>
      <w:r w:rsidRPr="00511808">
        <w:rPr>
          <w:lang w:val="fr-FR"/>
        </w:rPr>
        <w:t>article</w:t>
      </w:r>
      <w:r>
        <w:rPr>
          <w:lang w:val="fr-FR"/>
        </w:rPr>
        <w:t xml:space="preserve"> </w:t>
      </w:r>
      <w:r w:rsidRPr="00511808">
        <w:rPr>
          <w:lang w:val="fr-FR"/>
        </w:rPr>
        <w:t>15</w:t>
      </w:r>
      <w:r>
        <w:rPr>
          <w:lang w:val="fr-FR"/>
        </w:rPr>
        <w:t xml:space="preserve"> (par. 1) du Pacte ont été violés étant donné que la peine de réclusion à perpétuité en laquelle sa peine capitale a été commuée est une peine plus lourde que celle qui était applicable au moment de la commission des infractions, à savoir vingt ans d’emprisonnement au maximum</w:t>
      </w:r>
      <w:r w:rsidRPr="00511808">
        <w:rPr>
          <w:lang w:val="fr-FR"/>
        </w:rPr>
        <w:t>.</w:t>
      </w:r>
    </w:p>
    <w:p w:rsidR="00A142DE" w:rsidRDefault="00A142DE" w:rsidP="00A142DE">
      <w:pPr>
        <w:pStyle w:val="SingleTxtG"/>
        <w:rPr>
          <w:lang w:val="fr-FR"/>
        </w:rPr>
      </w:pPr>
      <w:r>
        <w:rPr>
          <w:lang w:val="fr-FR"/>
        </w:rPr>
        <w:t>6.8</w:t>
      </w:r>
      <w:r w:rsidRPr="00511808">
        <w:rPr>
          <w:lang w:val="fr-FR"/>
        </w:rPr>
        <w:tab/>
      </w:r>
      <w:r>
        <w:rPr>
          <w:lang w:val="fr-FR"/>
        </w:rPr>
        <w:t xml:space="preserve">L’auteur a déposé plusieurs plaintes au niveau national. Le </w:t>
      </w:r>
      <w:r w:rsidRPr="00511808">
        <w:rPr>
          <w:lang w:val="fr-FR"/>
        </w:rPr>
        <w:t>29</w:t>
      </w:r>
      <w:r>
        <w:rPr>
          <w:lang w:val="fr-FR"/>
        </w:rPr>
        <w:t xml:space="preserve"> mars </w:t>
      </w:r>
      <w:r w:rsidRPr="00511808">
        <w:rPr>
          <w:lang w:val="fr-FR"/>
        </w:rPr>
        <w:t>2013,</w:t>
      </w:r>
      <w:r>
        <w:rPr>
          <w:lang w:val="fr-FR"/>
        </w:rPr>
        <w:t xml:space="preserve"> il a saisi la Cour suprême d’un recours en réexamen</w:t>
      </w:r>
      <w:r w:rsidRPr="00511808">
        <w:rPr>
          <w:lang w:val="fr-FR"/>
        </w:rPr>
        <w:t>,</w:t>
      </w:r>
      <w:r>
        <w:rPr>
          <w:lang w:val="fr-FR"/>
        </w:rPr>
        <w:t xml:space="preserve"> qui a été rejeté le </w:t>
      </w:r>
      <w:r w:rsidRPr="00511808">
        <w:rPr>
          <w:lang w:val="fr-FR"/>
        </w:rPr>
        <w:t>25</w:t>
      </w:r>
      <w:r>
        <w:rPr>
          <w:lang w:val="fr-FR"/>
        </w:rPr>
        <w:t xml:space="preserve"> avril </w:t>
      </w:r>
      <w:r w:rsidRPr="00511808">
        <w:rPr>
          <w:lang w:val="fr-FR"/>
        </w:rPr>
        <w:t>2013.</w:t>
      </w:r>
      <w:r>
        <w:rPr>
          <w:lang w:val="fr-FR"/>
        </w:rPr>
        <w:t xml:space="preserve"> Le </w:t>
      </w:r>
      <w:r w:rsidRPr="00511808">
        <w:rPr>
          <w:lang w:val="fr-FR"/>
        </w:rPr>
        <w:t>29</w:t>
      </w:r>
      <w:r>
        <w:rPr>
          <w:lang w:val="fr-FR"/>
        </w:rPr>
        <w:t xml:space="preserve"> mai </w:t>
      </w:r>
      <w:r w:rsidRPr="00511808">
        <w:rPr>
          <w:lang w:val="fr-FR"/>
        </w:rPr>
        <w:t>2013,</w:t>
      </w:r>
      <w:r>
        <w:rPr>
          <w:lang w:val="fr-FR"/>
        </w:rPr>
        <w:t xml:space="preserve"> l’auteur a formé un nouveau recours auprès de la Cour suprême, en vain</w:t>
      </w:r>
      <w:r w:rsidRPr="00823E4E">
        <w:rPr>
          <w:rStyle w:val="Appelnotedebasdep"/>
        </w:rPr>
        <w:footnoteReference w:id="9"/>
      </w:r>
      <w:r>
        <w:rPr>
          <w:lang w:val="fr-FR"/>
        </w:rPr>
        <w:t>. L’auteur a également saisi le Bureau du Procureur général et la Cour constitutionnelle, sans succès</w:t>
      </w:r>
      <w:r w:rsidRPr="00511808">
        <w:rPr>
          <w:lang w:val="fr-FR"/>
        </w:rPr>
        <w:t>.</w:t>
      </w:r>
      <w:r>
        <w:rPr>
          <w:lang w:val="fr-FR"/>
        </w:rPr>
        <w:t xml:space="preserve"> Le </w:t>
      </w:r>
      <w:r w:rsidRPr="00511808">
        <w:rPr>
          <w:lang w:val="fr-FR"/>
        </w:rPr>
        <w:t>21</w:t>
      </w:r>
      <w:r>
        <w:rPr>
          <w:lang w:val="fr-FR"/>
        </w:rPr>
        <w:t xml:space="preserve"> février </w:t>
      </w:r>
      <w:r w:rsidRPr="00511808">
        <w:rPr>
          <w:lang w:val="fr-FR"/>
        </w:rPr>
        <w:t>2014,</w:t>
      </w:r>
      <w:r>
        <w:rPr>
          <w:lang w:val="fr-FR"/>
        </w:rPr>
        <w:t xml:space="preserve"> l’auteur a déposé plainte auprès du tribunal du district </w:t>
      </w:r>
      <w:proofErr w:type="spellStart"/>
      <w:r w:rsidRPr="00511808">
        <w:rPr>
          <w:lang w:val="fr-FR"/>
        </w:rPr>
        <w:t>Tversko</w:t>
      </w:r>
      <w:r>
        <w:rPr>
          <w:lang w:val="fr-FR"/>
        </w:rPr>
        <w:t>ï</w:t>
      </w:r>
      <w:proofErr w:type="spellEnd"/>
      <w:r>
        <w:rPr>
          <w:lang w:val="fr-FR"/>
        </w:rPr>
        <w:t xml:space="preserve"> de Moscou pour les actions ou omissions illégales du Bureau du Procureur général</w:t>
      </w:r>
      <w:r w:rsidRPr="00511808">
        <w:rPr>
          <w:lang w:val="fr-FR"/>
        </w:rPr>
        <w:t>.</w:t>
      </w:r>
      <w:r>
        <w:rPr>
          <w:lang w:val="fr-FR"/>
        </w:rPr>
        <w:t xml:space="preserve"> Ses plaintes ont été rejetées le </w:t>
      </w:r>
      <w:r w:rsidRPr="00511808">
        <w:rPr>
          <w:lang w:val="fr-FR"/>
        </w:rPr>
        <w:t>2</w:t>
      </w:r>
      <w:r>
        <w:rPr>
          <w:lang w:val="fr-FR"/>
        </w:rPr>
        <w:t xml:space="preserve"> juin </w:t>
      </w:r>
      <w:r w:rsidRPr="00511808">
        <w:rPr>
          <w:lang w:val="fr-FR"/>
        </w:rPr>
        <w:t>2014</w:t>
      </w:r>
      <w:r>
        <w:rPr>
          <w:lang w:val="fr-FR"/>
        </w:rPr>
        <w:t xml:space="preserve"> et le </w:t>
      </w:r>
      <w:r w:rsidRPr="00511808">
        <w:rPr>
          <w:lang w:val="fr-FR"/>
        </w:rPr>
        <w:t>20</w:t>
      </w:r>
      <w:r>
        <w:rPr>
          <w:lang w:val="fr-FR"/>
        </w:rPr>
        <w:t xml:space="preserve"> novembre </w:t>
      </w:r>
      <w:r w:rsidRPr="00511808">
        <w:rPr>
          <w:lang w:val="fr-FR"/>
        </w:rPr>
        <w:t>2014</w:t>
      </w:r>
      <w:r>
        <w:rPr>
          <w:lang w:val="fr-FR"/>
        </w:rPr>
        <w:t>, respectivement</w:t>
      </w:r>
      <w:r w:rsidRPr="00511808">
        <w:rPr>
          <w:lang w:val="fr-FR"/>
        </w:rPr>
        <w:t>.</w:t>
      </w:r>
    </w:p>
    <w:p w:rsidR="00A142DE" w:rsidRPr="0017614D" w:rsidRDefault="00A142DE" w:rsidP="00A142DE">
      <w:pPr>
        <w:pStyle w:val="SingleTxtG"/>
        <w:rPr>
          <w:spacing w:val="-1"/>
          <w:lang w:val="fr-FR"/>
        </w:rPr>
      </w:pPr>
      <w:r w:rsidRPr="0017614D">
        <w:rPr>
          <w:spacing w:val="-1"/>
          <w:lang w:val="fr-FR"/>
        </w:rPr>
        <w:t>6.9</w:t>
      </w:r>
      <w:r w:rsidRPr="0017614D">
        <w:rPr>
          <w:spacing w:val="-1"/>
          <w:lang w:val="fr-FR"/>
        </w:rPr>
        <w:tab/>
        <w:t>Le 21 novembre 2013, l’auteur a porté plainte auprès du Procureur général. Celle-ci a été rejetée le 19 décembre 2013. Le 24 avril 2014, l’auteur a demandé au Bureau du Procureur général de réexaminer son affaire au motif de l’existence de nouvelles circonstances. Cette demande a été rejetée le 30 mai 2014. Le 21 août 2014, l’auteur a fait appel de cette décision auprès du Procureur général, mais l’appel a été rejeté le 9 septembre</w:t>
      </w:r>
      <w:r w:rsidR="0017614D" w:rsidRPr="0017614D">
        <w:rPr>
          <w:spacing w:val="-1"/>
          <w:lang w:val="fr-FR"/>
        </w:rPr>
        <w:t xml:space="preserve"> </w:t>
      </w:r>
      <w:r w:rsidRPr="0017614D">
        <w:rPr>
          <w:spacing w:val="-1"/>
          <w:lang w:val="fr-FR"/>
        </w:rPr>
        <w:t>2014.</w:t>
      </w:r>
    </w:p>
    <w:p w:rsidR="00A142DE" w:rsidRDefault="00A142DE" w:rsidP="00A142DE">
      <w:pPr>
        <w:pStyle w:val="SingleTxtG"/>
        <w:rPr>
          <w:lang w:val="fr-FR"/>
        </w:rPr>
      </w:pPr>
      <w:r>
        <w:rPr>
          <w:lang w:val="fr-FR"/>
        </w:rPr>
        <w:t>6.10</w:t>
      </w:r>
      <w:r w:rsidRPr="00511808">
        <w:rPr>
          <w:lang w:val="fr-FR"/>
        </w:rPr>
        <w:tab/>
      </w:r>
      <w:r>
        <w:rPr>
          <w:lang w:val="fr-FR"/>
        </w:rPr>
        <w:t xml:space="preserve">Le </w:t>
      </w:r>
      <w:r w:rsidRPr="00511808">
        <w:rPr>
          <w:lang w:val="fr-FR"/>
        </w:rPr>
        <w:t>4</w:t>
      </w:r>
      <w:r>
        <w:rPr>
          <w:lang w:val="fr-FR"/>
        </w:rPr>
        <w:t xml:space="preserve"> août </w:t>
      </w:r>
      <w:r w:rsidRPr="00511808">
        <w:rPr>
          <w:lang w:val="fr-FR"/>
        </w:rPr>
        <w:t>2014,</w:t>
      </w:r>
      <w:r>
        <w:rPr>
          <w:lang w:val="fr-FR"/>
        </w:rPr>
        <w:t xml:space="preserve"> l’auteur a porté plainte contre les actes du Bureau du Procureur général auprès du tribunal du district </w:t>
      </w:r>
      <w:proofErr w:type="spellStart"/>
      <w:r w:rsidRPr="00511808">
        <w:rPr>
          <w:lang w:val="fr-FR"/>
        </w:rPr>
        <w:t>Tversko</w:t>
      </w:r>
      <w:r>
        <w:rPr>
          <w:lang w:val="fr-FR"/>
        </w:rPr>
        <w:t>ï</w:t>
      </w:r>
      <w:proofErr w:type="spellEnd"/>
      <w:r>
        <w:rPr>
          <w:lang w:val="fr-FR"/>
        </w:rPr>
        <w:t xml:space="preserve"> de Moscou</w:t>
      </w:r>
      <w:r w:rsidRPr="00511808">
        <w:rPr>
          <w:lang w:val="fr-FR"/>
        </w:rPr>
        <w:t>.</w:t>
      </w:r>
      <w:r>
        <w:rPr>
          <w:lang w:val="fr-FR"/>
        </w:rPr>
        <w:t xml:space="preserve"> Il a été débouté le </w:t>
      </w:r>
      <w:r w:rsidRPr="00511808">
        <w:rPr>
          <w:lang w:val="fr-FR"/>
        </w:rPr>
        <w:t>18</w:t>
      </w:r>
      <w:r>
        <w:rPr>
          <w:lang w:val="fr-FR"/>
        </w:rPr>
        <w:t xml:space="preserve"> août </w:t>
      </w:r>
      <w:r w:rsidRPr="00511808">
        <w:rPr>
          <w:lang w:val="fr-FR"/>
        </w:rPr>
        <w:t>2014.</w:t>
      </w:r>
    </w:p>
    <w:p w:rsidR="00A142DE" w:rsidRDefault="00A142DE" w:rsidP="00A142DE">
      <w:pPr>
        <w:pStyle w:val="SingleTxtG"/>
        <w:rPr>
          <w:lang w:val="fr-FR"/>
        </w:rPr>
      </w:pPr>
      <w:r>
        <w:rPr>
          <w:lang w:val="fr-FR"/>
        </w:rPr>
        <w:t>6.11</w:t>
      </w:r>
      <w:r>
        <w:rPr>
          <w:lang w:val="fr-FR"/>
        </w:rPr>
        <w:tab/>
        <w:t xml:space="preserve">Le </w:t>
      </w:r>
      <w:r w:rsidRPr="00511808">
        <w:rPr>
          <w:lang w:val="fr-FR"/>
        </w:rPr>
        <w:t>2</w:t>
      </w:r>
      <w:r>
        <w:rPr>
          <w:lang w:val="fr-FR"/>
        </w:rPr>
        <w:t xml:space="preserve">3 mars </w:t>
      </w:r>
      <w:r w:rsidRPr="00511808">
        <w:rPr>
          <w:lang w:val="fr-FR"/>
        </w:rPr>
        <w:t>2015</w:t>
      </w:r>
      <w:r>
        <w:rPr>
          <w:lang w:val="fr-FR"/>
        </w:rPr>
        <w:t xml:space="preserve"> et le 18 janvier 2016</w:t>
      </w:r>
      <w:r w:rsidRPr="00511808">
        <w:rPr>
          <w:lang w:val="fr-FR"/>
        </w:rPr>
        <w:t>,</w:t>
      </w:r>
      <w:r>
        <w:rPr>
          <w:lang w:val="fr-FR"/>
        </w:rPr>
        <w:t xml:space="preserve"> l’auteur a </w:t>
      </w:r>
      <w:r w:rsidRPr="00492C4D">
        <w:rPr>
          <w:lang w:val="fr-FR"/>
        </w:rPr>
        <w:t>formulé</w:t>
      </w:r>
      <w:r>
        <w:rPr>
          <w:lang w:val="fr-FR"/>
        </w:rPr>
        <w:t xml:space="preserve"> </w:t>
      </w:r>
      <w:r w:rsidRPr="00492C4D">
        <w:rPr>
          <w:lang w:val="fr-FR"/>
        </w:rPr>
        <w:t>un</w:t>
      </w:r>
      <w:r>
        <w:rPr>
          <w:lang w:val="fr-FR"/>
        </w:rPr>
        <w:t xml:space="preserve"> </w:t>
      </w:r>
      <w:r w:rsidRPr="00492C4D">
        <w:rPr>
          <w:lang w:val="fr-FR"/>
        </w:rPr>
        <w:t>grief</w:t>
      </w:r>
      <w:r>
        <w:rPr>
          <w:lang w:val="fr-FR"/>
        </w:rPr>
        <w:t xml:space="preserve"> supplémentaire, se disant victime de violation des droits qu’il tient des </w:t>
      </w:r>
      <w:r w:rsidRPr="00511808">
        <w:rPr>
          <w:lang w:val="fr-FR"/>
        </w:rPr>
        <w:t>article</w:t>
      </w:r>
      <w:r>
        <w:rPr>
          <w:lang w:val="fr-FR"/>
        </w:rPr>
        <w:t xml:space="preserve">s </w:t>
      </w:r>
      <w:r w:rsidRPr="00511808">
        <w:rPr>
          <w:lang w:val="fr-FR"/>
        </w:rPr>
        <w:t>2</w:t>
      </w:r>
      <w:r>
        <w:rPr>
          <w:lang w:val="fr-FR"/>
        </w:rPr>
        <w:t xml:space="preserve"> (par. 3</w:t>
      </w:r>
      <w:r w:rsidR="0088737F">
        <w:rPr>
          <w:lang w:val="fr-FR"/>
        </w:rPr>
        <w:t> a)</w:t>
      </w:r>
      <w:r>
        <w:rPr>
          <w:lang w:val="fr-FR"/>
        </w:rPr>
        <w:t>) et 14 (par. </w:t>
      </w:r>
      <w:r w:rsidRPr="00511808">
        <w:rPr>
          <w:lang w:val="fr-FR"/>
        </w:rPr>
        <w:t>1</w:t>
      </w:r>
      <w:r>
        <w:rPr>
          <w:lang w:val="fr-FR"/>
        </w:rPr>
        <w:t xml:space="preserve"> et </w:t>
      </w:r>
      <w:r w:rsidRPr="00511808">
        <w:rPr>
          <w:lang w:val="fr-FR"/>
        </w:rPr>
        <w:t>3</w:t>
      </w:r>
      <w:r>
        <w:rPr>
          <w:lang w:val="fr-FR"/>
        </w:rPr>
        <w:t> </w:t>
      </w:r>
      <w:r w:rsidRPr="00511808">
        <w:rPr>
          <w:lang w:val="fr-FR"/>
        </w:rPr>
        <w:t>d)</w:t>
      </w:r>
      <w:r>
        <w:rPr>
          <w:lang w:val="fr-FR"/>
        </w:rPr>
        <w:t>) du Pacte</w:t>
      </w:r>
      <w:r w:rsidRPr="00511808">
        <w:rPr>
          <w:lang w:val="fr-FR"/>
        </w:rPr>
        <w:t>.</w:t>
      </w:r>
      <w:r>
        <w:rPr>
          <w:lang w:val="fr-FR"/>
        </w:rPr>
        <w:t xml:space="preserve"> Le </w:t>
      </w:r>
      <w:r w:rsidRPr="00511808">
        <w:rPr>
          <w:lang w:val="fr-FR"/>
        </w:rPr>
        <w:t>10</w:t>
      </w:r>
      <w:r>
        <w:rPr>
          <w:lang w:val="fr-FR"/>
        </w:rPr>
        <w:t xml:space="preserve"> février </w:t>
      </w:r>
      <w:r w:rsidRPr="00511808">
        <w:rPr>
          <w:lang w:val="fr-FR"/>
        </w:rPr>
        <w:t>2016,</w:t>
      </w:r>
      <w:r>
        <w:rPr>
          <w:lang w:val="fr-FR"/>
        </w:rPr>
        <w:t xml:space="preserve"> l’auteur a allégué de nouvelles violations des droits qu’il tient des </w:t>
      </w:r>
      <w:r w:rsidRPr="00511808">
        <w:rPr>
          <w:lang w:val="fr-FR"/>
        </w:rPr>
        <w:t>article</w:t>
      </w:r>
      <w:r>
        <w:rPr>
          <w:lang w:val="fr-FR"/>
        </w:rPr>
        <w:t xml:space="preserve">s </w:t>
      </w:r>
      <w:r w:rsidRPr="00511808">
        <w:rPr>
          <w:lang w:val="fr-FR"/>
        </w:rPr>
        <w:t>2</w:t>
      </w:r>
      <w:r>
        <w:rPr>
          <w:lang w:val="fr-FR"/>
        </w:rPr>
        <w:t xml:space="preserve"> (par. 1), </w:t>
      </w:r>
      <w:r w:rsidRPr="00511808">
        <w:rPr>
          <w:lang w:val="fr-FR"/>
        </w:rPr>
        <w:t>14</w:t>
      </w:r>
      <w:r>
        <w:rPr>
          <w:lang w:val="fr-FR"/>
        </w:rPr>
        <w:t xml:space="preserve"> (par. 1) et </w:t>
      </w:r>
      <w:r w:rsidRPr="00511808">
        <w:rPr>
          <w:lang w:val="fr-FR"/>
        </w:rPr>
        <w:t>26</w:t>
      </w:r>
      <w:r>
        <w:rPr>
          <w:lang w:val="fr-FR"/>
        </w:rPr>
        <w:t xml:space="preserve"> du Pacte</w:t>
      </w:r>
      <w:r w:rsidRPr="00511808">
        <w:rPr>
          <w:lang w:val="fr-FR"/>
        </w:rPr>
        <w:t>.</w:t>
      </w:r>
      <w:r>
        <w:rPr>
          <w:lang w:val="fr-FR"/>
        </w:rPr>
        <w:t xml:space="preserve"> Il répète que le </w:t>
      </w:r>
      <w:r w:rsidRPr="00511808">
        <w:rPr>
          <w:lang w:val="fr-FR"/>
        </w:rPr>
        <w:t>3</w:t>
      </w:r>
      <w:r>
        <w:rPr>
          <w:lang w:val="fr-FR"/>
        </w:rPr>
        <w:t xml:space="preserve"> mars </w:t>
      </w:r>
      <w:r w:rsidRPr="00511808">
        <w:rPr>
          <w:lang w:val="fr-FR"/>
        </w:rPr>
        <w:t>1992,</w:t>
      </w:r>
      <w:r>
        <w:rPr>
          <w:lang w:val="fr-FR"/>
        </w:rPr>
        <w:t xml:space="preserve"> il a été condamné à mort par le tribunal provincial de </w:t>
      </w:r>
      <w:r w:rsidRPr="00511808">
        <w:rPr>
          <w:lang w:val="fr-FR"/>
        </w:rPr>
        <w:t>Sverdlovsk</w:t>
      </w:r>
      <w:r>
        <w:rPr>
          <w:lang w:val="fr-FR"/>
        </w:rPr>
        <w:t xml:space="preserve"> pour plusieurs </w:t>
      </w:r>
      <w:r w:rsidRPr="00511808">
        <w:rPr>
          <w:lang w:val="fr-FR"/>
        </w:rPr>
        <w:t>crimes,</w:t>
      </w:r>
      <w:r>
        <w:rPr>
          <w:lang w:val="fr-FR"/>
        </w:rPr>
        <w:t xml:space="preserve"> dont une tentative de fuite avec prise d’otage</w:t>
      </w:r>
      <w:r w:rsidRPr="00511808">
        <w:rPr>
          <w:lang w:val="fr-FR"/>
        </w:rPr>
        <w:t>.</w:t>
      </w:r>
      <w:r>
        <w:rPr>
          <w:lang w:val="fr-FR"/>
        </w:rPr>
        <w:t xml:space="preserve"> L’auteur affirme que trois autres personnes étaient complices de cette infraction mais que lui seul a été traduit en </w:t>
      </w:r>
      <w:r w:rsidRPr="00511808">
        <w:rPr>
          <w:lang w:val="fr-FR"/>
        </w:rPr>
        <w:t>justice.</w:t>
      </w:r>
    </w:p>
    <w:p w:rsidR="00A142DE" w:rsidRPr="00A142DE" w:rsidRDefault="00A142DE" w:rsidP="00A142DE">
      <w:pPr>
        <w:pStyle w:val="SingleTxtG"/>
        <w:rPr>
          <w:spacing w:val="-2"/>
          <w:lang w:val="fr-FR"/>
        </w:rPr>
      </w:pPr>
      <w:r w:rsidRPr="00A142DE">
        <w:rPr>
          <w:spacing w:val="-2"/>
          <w:lang w:val="fr-FR"/>
        </w:rPr>
        <w:t>6.12</w:t>
      </w:r>
      <w:r w:rsidRPr="00A142DE">
        <w:rPr>
          <w:spacing w:val="-2"/>
          <w:lang w:val="fr-FR"/>
        </w:rPr>
        <w:tab/>
        <w:t>L’auteur affirme que les droits qu’il tient de l’article 2 (par. 3</w:t>
      </w:r>
      <w:r w:rsidR="0088737F">
        <w:rPr>
          <w:spacing w:val="-2"/>
          <w:lang w:val="fr-FR"/>
        </w:rPr>
        <w:t> </w:t>
      </w:r>
      <w:r w:rsidRPr="00A142DE">
        <w:rPr>
          <w:spacing w:val="-2"/>
          <w:lang w:val="fr-FR"/>
        </w:rPr>
        <w:t>a)) et de l’article 14 (par. 1 et 3 d)) du Pacte ont été violés car le jugement le concernant a été prononcé en son absence.</w:t>
      </w:r>
    </w:p>
    <w:p w:rsidR="00A142DE" w:rsidRPr="00511808" w:rsidRDefault="00A142DE" w:rsidP="00A142DE">
      <w:pPr>
        <w:pStyle w:val="H23G"/>
        <w:rPr>
          <w:lang w:val="fr-FR"/>
        </w:rPr>
      </w:pPr>
      <w:r w:rsidRPr="00511808">
        <w:rPr>
          <w:lang w:val="fr-FR"/>
        </w:rPr>
        <w:tab/>
      </w:r>
      <w:r w:rsidRPr="00511808">
        <w:rPr>
          <w:lang w:val="fr-FR"/>
        </w:rPr>
        <w:tab/>
      </w:r>
      <w:r>
        <w:rPr>
          <w:lang w:val="fr-FR"/>
        </w:rPr>
        <w:t>Observations complémentaires de l’État partie</w:t>
      </w:r>
    </w:p>
    <w:p w:rsidR="00A142DE" w:rsidRPr="00511808" w:rsidRDefault="00A142DE" w:rsidP="00A142DE">
      <w:pPr>
        <w:pStyle w:val="SingleTxtG"/>
        <w:rPr>
          <w:rFonts w:eastAsia="SimSun"/>
          <w:lang w:val="fr-FR" w:eastAsia="zh-CN"/>
        </w:rPr>
      </w:pPr>
      <w:r>
        <w:rPr>
          <w:lang w:val="fr-FR"/>
        </w:rPr>
        <w:t>7</w:t>
      </w:r>
      <w:r w:rsidRPr="00511808">
        <w:rPr>
          <w:lang w:val="fr-FR"/>
        </w:rPr>
        <w:t>.1</w:t>
      </w:r>
      <w:r w:rsidRPr="00511808">
        <w:rPr>
          <w:b/>
          <w:lang w:val="fr-FR"/>
        </w:rPr>
        <w:tab/>
      </w:r>
      <w:r>
        <w:rPr>
          <w:lang w:val="fr-FR"/>
        </w:rPr>
        <w:t xml:space="preserve">Le 19 juillet </w:t>
      </w:r>
      <w:r w:rsidRPr="00511808">
        <w:rPr>
          <w:lang w:val="fr-FR"/>
        </w:rPr>
        <w:t>2016,</w:t>
      </w:r>
      <w:r>
        <w:rPr>
          <w:lang w:val="fr-FR"/>
        </w:rPr>
        <w:t xml:space="preserve"> l’État partie a invité le Comité à déclarer la communication irrecevable pour abus du droit de plainte et défaut de fondement</w:t>
      </w:r>
      <w:r w:rsidRPr="00511808">
        <w:rPr>
          <w:rFonts w:eastAsia="SimSun"/>
          <w:lang w:val="fr-FR" w:eastAsia="zh-CN"/>
        </w:rPr>
        <w:t>.</w:t>
      </w:r>
    </w:p>
    <w:p w:rsidR="00A142DE" w:rsidRPr="00511808" w:rsidRDefault="00A142DE" w:rsidP="00A142DE">
      <w:pPr>
        <w:pStyle w:val="SingleTxtG"/>
        <w:rPr>
          <w:lang w:val="fr-FR" w:eastAsia="zh-CN"/>
        </w:rPr>
      </w:pPr>
      <w:r>
        <w:rPr>
          <w:lang w:val="fr-FR"/>
        </w:rPr>
        <w:t>7</w:t>
      </w:r>
      <w:r w:rsidRPr="00511808">
        <w:rPr>
          <w:lang w:val="fr-FR" w:eastAsia="zh-CN"/>
        </w:rPr>
        <w:t>.2</w:t>
      </w:r>
      <w:r w:rsidRPr="00511808">
        <w:rPr>
          <w:lang w:val="fr-FR" w:eastAsia="zh-CN"/>
        </w:rPr>
        <w:tab/>
      </w:r>
      <w:r>
        <w:rPr>
          <w:lang w:val="fr-FR" w:eastAsia="zh-CN"/>
        </w:rPr>
        <w:t>L’État partie insiste sur le fait que l’auteur a bénéficié d’un décret de grâce présidentielle et que sa peine de mort a été commuée en peine de réclusion à perpétuité</w:t>
      </w:r>
      <w:r w:rsidRPr="00511808">
        <w:rPr>
          <w:lang w:val="fr-FR" w:eastAsia="zh-CN"/>
        </w:rPr>
        <w:t>.</w:t>
      </w:r>
      <w:r>
        <w:rPr>
          <w:lang w:val="fr-FR" w:eastAsia="zh-CN"/>
        </w:rPr>
        <w:t xml:space="preserve"> L’auteur a soumis sa communication au Comité plus de vingt ans après</w:t>
      </w:r>
      <w:r w:rsidRPr="00511808">
        <w:rPr>
          <w:lang w:val="fr-FR" w:eastAsia="zh-CN"/>
        </w:rPr>
        <w:t>.</w:t>
      </w:r>
      <w:r>
        <w:rPr>
          <w:lang w:val="fr-FR" w:eastAsia="zh-CN"/>
        </w:rPr>
        <w:t xml:space="preserve"> Il n’a contesté le décret de grâce présidentielle que plus de </w:t>
      </w:r>
      <w:r w:rsidR="0088737F">
        <w:rPr>
          <w:lang w:val="fr-FR" w:eastAsia="zh-CN"/>
        </w:rPr>
        <w:t>dix-sept</w:t>
      </w:r>
      <w:r>
        <w:rPr>
          <w:lang w:val="fr-FR" w:eastAsia="zh-CN"/>
        </w:rPr>
        <w:t xml:space="preserve"> ans après que celui-ci a été adopté</w:t>
      </w:r>
      <w:r w:rsidRPr="00511808">
        <w:rPr>
          <w:lang w:val="fr-FR" w:eastAsia="zh-CN"/>
        </w:rPr>
        <w:t>.</w:t>
      </w:r>
      <w:r>
        <w:rPr>
          <w:lang w:val="fr-FR" w:eastAsia="zh-CN"/>
        </w:rPr>
        <w:t xml:space="preserve"> L’État partie estime que l’auteur n’a donné aucune explication susceptible de justifier d’un tel retard </w:t>
      </w:r>
      <w:r>
        <w:rPr>
          <w:lang w:val="fr-FR" w:eastAsia="zh-CN"/>
        </w:rPr>
        <w:lastRenderedPageBreak/>
        <w:t>dans la soumission de sa communication et que celle-ci devrait donc être déclarée irrecevable au regard de l’article 3 du Protocole facultatif</w:t>
      </w:r>
      <w:r w:rsidRPr="00511808">
        <w:rPr>
          <w:lang w:val="fr-FR" w:eastAsia="zh-CN"/>
        </w:rPr>
        <w:t>.</w:t>
      </w:r>
    </w:p>
    <w:p w:rsidR="00A142DE" w:rsidRPr="00782964" w:rsidRDefault="00A142DE" w:rsidP="00A142DE">
      <w:pPr>
        <w:pStyle w:val="SingleTxtG"/>
        <w:rPr>
          <w:lang w:val="fr-FR"/>
        </w:rPr>
      </w:pPr>
      <w:r>
        <w:rPr>
          <w:lang w:val="fr-FR"/>
        </w:rPr>
        <w:t>7</w:t>
      </w:r>
      <w:r w:rsidRPr="00511808">
        <w:rPr>
          <w:lang w:val="fr-FR" w:eastAsia="zh-CN"/>
        </w:rPr>
        <w:t>.3</w:t>
      </w:r>
      <w:r w:rsidRPr="00511808">
        <w:rPr>
          <w:lang w:val="fr-FR" w:eastAsia="zh-CN"/>
        </w:rPr>
        <w:tab/>
      </w:r>
      <w:r>
        <w:rPr>
          <w:lang w:val="fr-FR" w:eastAsia="zh-CN"/>
        </w:rPr>
        <w:t>L’État partie fait valoir qu’un décret de grâce présidentielle n’impose pas une peine mais ne fait que substituer à la peine capitale une sanction plus légère</w:t>
      </w:r>
      <w:r w:rsidRPr="00511808">
        <w:rPr>
          <w:lang w:val="fr-FR" w:eastAsia="zh-CN"/>
        </w:rPr>
        <w:t>,</w:t>
      </w:r>
      <w:r>
        <w:rPr>
          <w:lang w:val="fr-FR" w:eastAsia="zh-CN"/>
        </w:rPr>
        <w:t xml:space="preserve"> telle qu’une peine de réclusion à perpétuité</w:t>
      </w:r>
      <w:r w:rsidRPr="00511808">
        <w:rPr>
          <w:lang w:val="fr-FR" w:eastAsia="zh-CN"/>
        </w:rPr>
        <w:t>.</w:t>
      </w:r>
      <w:r>
        <w:rPr>
          <w:lang w:val="fr-FR" w:eastAsia="zh-CN"/>
        </w:rPr>
        <w:t xml:space="preserve"> Le décret de grâce présidentielle ne fait pas partie de l’arsenal répressif, mais constitue plutôt un acte de clémence faisant partie des droits constitutionnels du Président</w:t>
      </w:r>
      <w:r w:rsidRPr="00511808">
        <w:rPr>
          <w:lang w:val="fr-FR" w:eastAsia="zh-CN"/>
        </w:rPr>
        <w:t>.</w:t>
      </w:r>
      <w:r>
        <w:rPr>
          <w:lang w:val="fr-FR" w:eastAsia="zh-CN"/>
        </w:rPr>
        <w:t xml:space="preserve"> L’État partie rappelle que dans ses constatations dans l’affaire </w:t>
      </w:r>
      <w:proofErr w:type="spellStart"/>
      <w:r w:rsidRPr="00511808">
        <w:rPr>
          <w:i/>
          <w:iCs/>
          <w:lang w:val="fr-FR" w:eastAsia="zh-CN"/>
        </w:rPr>
        <w:t>Alekperov</w:t>
      </w:r>
      <w:proofErr w:type="spellEnd"/>
      <w:r w:rsidRPr="00A142DE">
        <w:rPr>
          <w:i/>
          <w:iCs/>
          <w:lang w:val="fr-FR" w:eastAsia="zh-CN"/>
        </w:rPr>
        <w:t xml:space="preserve"> c.</w:t>
      </w:r>
      <w:r>
        <w:rPr>
          <w:i/>
          <w:iCs/>
          <w:lang w:val="fr-FR" w:eastAsia="zh-CN"/>
        </w:rPr>
        <w:t xml:space="preserve"> Fédération de Russie </w:t>
      </w:r>
      <w:r w:rsidRPr="00823E4E">
        <w:rPr>
          <w:rFonts w:eastAsia="SimSun"/>
          <w:lang w:val="fr-FR" w:eastAsia="zh-CN"/>
        </w:rPr>
        <w:t>(CCPR/C/109/D/1764/2008)</w:t>
      </w:r>
      <w:r w:rsidRPr="00511808">
        <w:rPr>
          <w:lang w:val="fr-FR" w:eastAsia="zh-CN"/>
        </w:rPr>
        <w:t>,</w:t>
      </w:r>
      <w:r>
        <w:rPr>
          <w:lang w:val="fr-FR" w:eastAsia="zh-CN"/>
        </w:rPr>
        <w:t xml:space="preserve"> le Comité a indiqué qu’en tout état de cause, la réclusion à perpétuité ne pouvait pas être considérée comme une peine plus lourde que la peine capitale </w:t>
      </w:r>
      <w:r w:rsidRPr="00823E4E">
        <w:rPr>
          <w:rFonts w:eastAsia="SimSun"/>
          <w:lang w:val="fr-FR" w:eastAsia="zh-CN"/>
        </w:rPr>
        <w:t>(</w:t>
      </w:r>
      <w:r w:rsidRPr="00DB1325">
        <w:rPr>
          <w:rFonts w:eastAsia="SimSun"/>
          <w:lang w:val="fr-FR" w:eastAsia="zh-CN"/>
        </w:rPr>
        <w:t>ibid</w:t>
      </w:r>
      <w:r>
        <w:rPr>
          <w:rFonts w:eastAsia="SimSun"/>
          <w:i/>
          <w:iCs/>
          <w:lang w:val="fr-FR" w:eastAsia="zh-CN"/>
        </w:rPr>
        <w:t>.</w:t>
      </w:r>
      <w:r w:rsidRPr="00823E4E">
        <w:rPr>
          <w:rFonts w:eastAsia="SimSun"/>
          <w:lang w:val="fr-FR" w:eastAsia="zh-CN"/>
        </w:rPr>
        <w:t xml:space="preserve">, </w:t>
      </w:r>
      <w:r>
        <w:rPr>
          <w:rFonts w:eastAsia="SimSun"/>
          <w:lang w:val="fr-FR" w:eastAsia="zh-CN"/>
        </w:rPr>
        <w:t>par. </w:t>
      </w:r>
      <w:r w:rsidRPr="00823E4E">
        <w:rPr>
          <w:rFonts w:eastAsia="SimSun"/>
          <w:lang w:val="fr-FR" w:eastAsia="zh-CN"/>
        </w:rPr>
        <w:t>9.9</w:t>
      </w:r>
      <w:r>
        <w:rPr>
          <w:rFonts w:eastAsia="SimSun"/>
          <w:lang w:val="fr-FR" w:eastAsia="zh-CN"/>
        </w:rPr>
        <w:t>)</w:t>
      </w:r>
      <w:r>
        <w:rPr>
          <w:lang w:val="fr-FR" w:eastAsia="zh-CN"/>
        </w:rPr>
        <w:t>.</w:t>
      </w:r>
    </w:p>
    <w:p w:rsidR="00A142DE" w:rsidRDefault="00A142DE" w:rsidP="00A142DE">
      <w:pPr>
        <w:pStyle w:val="SingleTxtG"/>
        <w:rPr>
          <w:lang w:val="fr-FR"/>
        </w:rPr>
      </w:pPr>
      <w:r>
        <w:rPr>
          <w:lang w:val="fr-FR"/>
        </w:rPr>
        <w:t>7</w:t>
      </w:r>
      <w:r w:rsidRPr="00511808">
        <w:rPr>
          <w:lang w:val="fr-FR"/>
        </w:rPr>
        <w:t>.4</w:t>
      </w:r>
      <w:r w:rsidRPr="00511808">
        <w:rPr>
          <w:lang w:val="fr-FR"/>
        </w:rPr>
        <w:tab/>
      </w:r>
      <w:r>
        <w:rPr>
          <w:lang w:val="fr-FR"/>
        </w:rPr>
        <w:t xml:space="preserve">L’État partie soutient également que la décision des tribunaux d’examiner le grief de l’auteur concernant le décret de grâce présidentielle en son </w:t>
      </w:r>
      <w:r w:rsidRPr="00511808">
        <w:rPr>
          <w:lang w:val="fr-FR"/>
        </w:rPr>
        <w:t>absence</w:t>
      </w:r>
      <w:r>
        <w:rPr>
          <w:lang w:val="fr-FR"/>
        </w:rPr>
        <w:t xml:space="preserve"> était légale étant donné qu’il n’y avait pas de nécessité d’entendre l’auteur et que l’essentiel de la plainte portait sur l’appréciation de points de droit</w:t>
      </w:r>
      <w:r w:rsidRPr="00511808">
        <w:rPr>
          <w:lang w:val="fr-FR"/>
        </w:rPr>
        <w:t>.</w:t>
      </w:r>
      <w:r>
        <w:rPr>
          <w:lang w:val="fr-FR"/>
        </w:rPr>
        <w:t xml:space="preserve"> Cette approche est conforme à la </w:t>
      </w:r>
      <w:r w:rsidRPr="00511808">
        <w:rPr>
          <w:lang w:val="fr-FR"/>
        </w:rPr>
        <w:t>jurisprudence</w:t>
      </w:r>
      <w:r>
        <w:rPr>
          <w:lang w:val="fr-FR"/>
        </w:rPr>
        <w:t xml:space="preserve"> de la Cour européenne des droits de l’homme et à la pratique du Comité des droits de l’homme</w:t>
      </w:r>
      <w:r w:rsidRPr="00823E4E">
        <w:rPr>
          <w:rStyle w:val="Appelnotedebasdep"/>
        </w:rPr>
        <w:footnoteReference w:id="10"/>
      </w:r>
      <w:r>
        <w:rPr>
          <w:lang w:val="fr-FR"/>
        </w:rPr>
        <w:t>.</w:t>
      </w:r>
    </w:p>
    <w:p w:rsidR="00A142DE" w:rsidRDefault="00A142DE" w:rsidP="00A142DE">
      <w:pPr>
        <w:pStyle w:val="SingleTxtG"/>
        <w:rPr>
          <w:lang w:val="fr-FR"/>
        </w:rPr>
      </w:pPr>
      <w:r>
        <w:rPr>
          <w:lang w:val="fr-FR"/>
        </w:rPr>
        <w:t>7</w:t>
      </w:r>
      <w:r w:rsidRPr="00511808">
        <w:rPr>
          <w:lang w:val="fr-FR"/>
        </w:rPr>
        <w:t>.5</w:t>
      </w:r>
      <w:r w:rsidRPr="00511808">
        <w:rPr>
          <w:lang w:val="fr-FR"/>
        </w:rPr>
        <w:tab/>
      </w:r>
      <w:r>
        <w:rPr>
          <w:lang w:val="fr-FR"/>
        </w:rPr>
        <w:t>En ce qui concerne le grief de l’auteur selon lequel il s’est vu refuser l’</w:t>
      </w:r>
      <w:r w:rsidRPr="00511808">
        <w:rPr>
          <w:lang w:val="fr-FR"/>
        </w:rPr>
        <w:t>assistance</w:t>
      </w:r>
      <w:r>
        <w:rPr>
          <w:lang w:val="fr-FR"/>
        </w:rPr>
        <w:t xml:space="preserve"> d’un avocat devant les juridictions de première instance et d’appel</w:t>
      </w:r>
      <w:r w:rsidRPr="00511808">
        <w:rPr>
          <w:lang w:val="fr-FR"/>
        </w:rPr>
        <w:t>,</w:t>
      </w:r>
      <w:r>
        <w:rPr>
          <w:lang w:val="fr-FR"/>
        </w:rPr>
        <w:t xml:space="preserve"> l’État partie soutient que l’examen du recours formé par l’auteur contre le décret de grâce présidentielle n’était pas une décision relative à des droits et obligations de caractère civil et que les garanties énoncées à l’</w:t>
      </w:r>
      <w:r w:rsidRPr="00511808">
        <w:rPr>
          <w:lang w:val="fr-FR"/>
        </w:rPr>
        <w:t>article</w:t>
      </w:r>
      <w:r>
        <w:rPr>
          <w:lang w:val="fr-FR"/>
        </w:rPr>
        <w:t xml:space="preserve"> </w:t>
      </w:r>
      <w:r w:rsidRPr="00511808">
        <w:rPr>
          <w:lang w:val="fr-FR"/>
        </w:rPr>
        <w:t>14</w:t>
      </w:r>
      <w:r>
        <w:rPr>
          <w:lang w:val="fr-FR"/>
        </w:rPr>
        <w:t xml:space="preserve"> du Pacte ne sont donc pas </w:t>
      </w:r>
      <w:r w:rsidRPr="00511808">
        <w:rPr>
          <w:lang w:val="fr-FR"/>
        </w:rPr>
        <w:t>applicable</w:t>
      </w:r>
      <w:r>
        <w:rPr>
          <w:lang w:val="fr-FR"/>
        </w:rPr>
        <w:t>s en l’espèce</w:t>
      </w:r>
      <w:r w:rsidRPr="00511808">
        <w:rPr>
          <w:lang w:val="fr-FR"/>
        </w:rPr>
        <w:t>.</w:t>
      </w:r>
    </w:p>
    <w:p w:rsidR="00A142DE" w:rsidRPr="00DB1325" w:rsidRDefault="00A142DE" w:rsidP="00A142DE">
      <w:pPr>
        <w:pStyle w:val="SingleTxtG"/>
        <w:rPr>
          <w:lang w:val="fr-FR"/>
        </w:rPr>
      </w:pPr>
      <w:r w:rsidRPr="00DB1325">
        <w:rPr>
          <w:lang w:val="fr-FR"/>
        </w:rPr>
        <w:t>7.6</w:t>
      </w:r>
      <w:r w:rsidRPr="00DB1325">
        <w:rPr>
          <w:lang w:val="fr-FR"/>
        </w:rPr>
        <w:tab/>
        <w:t>L’État partie affirme que cette partie de la communication est irrecevable au regard de l’article 3 du Protocole facultatif car elle n’est pas fondée, étant donné qu’il n’y a pas eu de violation de l’article 2 (par. 3</w:t>
      </w:r>
      <w:r w:rsidR="00DB1325" w:rsidRPr="00DB1325">
        <w:rPr>
          <w:lang w:val="fr-FR"/>
        </w:rPr>
        <w:t> a)</w:t>
      </w:r>
      <w:r w:rsidRPr="00DB1325">
        <w:rPr>
          <w:lang w:val="fr-FR"/>
        </w:rPr>
        <w:t>), de l’article 14 (par. 1 et 3 d)) ou de l’article 15 (par. 1) du Pacte.</w:t>
      </w:r>
    </w:p>
    <w:p w:rsidR="00A142DE" w:rsidRDefault="00A142DE" w:rsidP="00A142DE">
      <w:pPr>
        <w:pStyle w:val="SingleTxtG"/>
        <w:rPr>
          <w:lang w:val="fr-FR"/>
        </w:rPr>
      </w:pPr>
      <w:r>
        <w:rPr>
          <w:lang w:val="fr-FR"/>
        </w:rPr>
        <w:t>7</w:t>
      </w:r>
      <w:r w:rsidRPr="00511808">
        <w:rPr>
          <w:lang w:val="fr-FR"/>
        </w:rPr>
        <w:t>.7</w:t>
      </w:r>
      <w:r w:rsidRPr="00511808">
        <w:rPr>
          <w:lang w:val="fr-FR"/>
        </w:rPr>
        <w:tab/>
      </w:r>
      <w:r>
        <w:rPr>
          <w:lang w:val="fr-FR"/>
        </w:rPr>
        <w:t xml:space="preserve">En ce qui concerne les observations de l’auteur en date du </w:t>
      </w:r>
      <w:r w:rsidRPr="00511808">
        <w:rPr>
          <w:lang w:val="fr-FR"/>
        </w:rPr>
        <w:t>23</w:t>
      </w:r>
      <w:r>
        <w:rPr>
          <w:lang w:val="fr-FR"/>
        </w:rPr>
        <w:t xml:space="preserve"> mars </w:t>
      </w:r>
      <w:r w:rsidRPr="00511808">
        <w:rPr>
          <w:lang w:val="fr-FR"/>
        </w:rPr>
        <w:t>2015,</w:t>
      </w:r>
      <w:r>
        <w:rPr>
          <w:lang w:val="fr-FR"/>
        </w:rPr>
        <w:t xml:space="preserve"> dans lesquelles il affirme que ses droits ont été violés parce que le jugement du 3 mars 1992 a été prononcé en son absence</w:t>
      </w:r>
      <w:r w:rsidRPr="00511808">
        <w:rPr>
          <w:lang w:val="fr-FR"/>
        </w:rPr>
        <w:t>,</w:t>
      </w:r>
      <w:r>
        <w:rPr>
          <w:lang w:val="fr-FR"/>
        </w:rPr>
        <w:t xml:space="preserve"> l’État partie souligne que l’auteur a formé un recours au titre de la procédure de contrôle plus de dix-sept ans après la prise du décret de grâce présidentielle, le 4 mai 1994, en vertu duquel sa peine de mort a été commuée en peine de réclusion à perpétuité, et qu’il a saisi le Comité plus de vingt ans après</w:t>
      </w:r>
      <w:r w:rsidRPr="00511808">
        <w:rPr>
          <w:lang w:val="fr-FR"/>
        </w:rPr>
        <w:t>.</w:t>
      </w:r>
      <w:r>
        <w:rPr>
          <w:lang w:val="fr-FR"/>
        </w:rPr>
        <w:t xml:space="preserve"> L’État partie soutient que rien ne justifie que ces recours aient été présentés si tardivement</w:t>
      </w:r>
      <w:r w:rsidRPr="00511808">
        <w:rPr>
          <w:lang w:val="fr-FR"/>
        </w:rPr>
        <w:t>.</w:t>
      </w:r>
    </w:p>
    <w:p w:rsidR="00A142DE" w:rsidRDefault="00A142DE" w:rsidP="00A142DE">
      <w:pPr>
        <w:pStyle w:val="SingleTxtG"/>
        <w:rPr>
          <w:lang w:val="fr-FR"/>
        </w:rPr>
      </w:pPr>
      <w:r>
        <w:rPr>
          <w:lang w:val="fr-FR"/>
        </w:rPr>
        <w:t>7</w:t>
      </w:r>
      <w:r w:rsidRPr="00511808">
        <w:rPr>
          <w:lang w:val="fr-FR"/>
        </w:rPr>
        <w:t>.8</w:t>
      </w:r>
      <w:r w:rsidRPr="00511808">
        <w:rPr>
          <w:lang w:val="fr-FR"/>
        </w:rPr>
        <w:tab/>
      </w:r>
      <w:r>
        <w:rPr>
          <w:lang w:val="fr-FR"/>
        </w:rPr>
        <w:t xml:space="preserve">L’État partie argue qu’un accusé peut renoncer </w:t>
      </w:r>
      <w:r w:rsidR="00DB1325">
        <w:rPr>
          <w:lang w:val="fr-FR"/>
        </w:rPr>
        <w:t xml:space="preserve">à </w:t>
      </w:r>
      <w:r>
        <w:rPr>
          <w:lang w:val="fr-FR"/>
        </w:rPr>
        <w:t>son droit d’être présent au moment du prononcé de la peine</w:t>
      </w:r>
      <w:r w:rsidRPr="00823E4E">
        <w:rPr>
          <w:rStyle w:val="Appelnotedebasdep"/>
        </w:rPr>
        <w:footnoteReference w:id="11"/>
      </w:r>
      <w:r>
        <w:rPr>
          <w:lang w:val="fr-FR"/>
        </w:rPr>
        <w:t>. Le fait que l’auteur se soit poignardé au cœur juste avant ce prononcé est considéré comme un refus délibéré du droit d’être présent, puisque l’auteur comprenait les conséquences de ses actes</w:t>
      </w:r>
      <w:r w:rsidRPr="00511808">
        <w:rPr>
          <w:lang w:val="fr-FR"/>
        </w:rPr>
        <w:t>.</w:t>
      </w:r>
      <w:r>
        <w:rPr>
          <w:lang w:val="fr-FR"/>
        </w:rPr>
        <w:t xml:space="preserve"> Par conséquent, ce grief devrait être déclaré irrecevable au regard de l’</w:t>
      </w:r>
      <w:r w:rsidRPr="00511808">
        <w:rPr>
          <w:lang w:val="fr-FR"/>
        </w:rPr>
        <w:t>article</w:t>
      </w:r>
      <w:r>
        <w:rPr>
          <w:lang w:val="fr-FR"/>
        </w:rPr>
        <w:t xml:space="preserve"> </w:t>
      </w:r>
      <w:r w:rsidRPr="00511808">
        <w:rPr>
          <w:lang w:val="fr-FR"/>
        </w:rPr>
        <w:t>3</w:t>
      </w:r>
      <w:r>
        <w:rPr>
          <w:lang w:val="fr-FR"/>
        </w:rPr>
        <w:t xml:space="preserve"> du Protocole facultatif</w:t>
      </w:r>
      <w:r w:rsidRPr="00511808">
        <w:rPr>
          <w:lang w:val="fr-FR"/>
        </w:rPr>
        <w:t>.</w:t>
      </w:r>
    </w:p>
    <w:p w:rsidR="00A142DE" w:rsidRPr="00CF20CF" w:rsidRDefault="00A142DE" w:rsidP="00A142DE">
      <w:pPr>
        <w:pStyle w:val="SingleTxtG"/>
        <w:rPr>
          <w:lang w:val="fr-FR"/>
        </w:rPr>
      </w:pPr>
      <w:r>
        <w:rPr>
          <w:lang w:val="fr-FR"/>
        </w:rPr>
        <w:t>7</w:t>
      </w:r>
      <w:r w:rsidRPr="00511808">
        <w:rPr>
          <w:lang w:val="fr-FR"/>
        </w:rPr>
        <w:t>.9</w:t>
      </w:r>
      <w:r w:rsidRPr="00511808">
        <w:rPr>
          <w:lang w:val="fr-FR"/>
        </w:rPr>
        <w:tab/>
      </w:r>
      <w:r>
        <w:rPr>
          <w:lang w:val="fr-FR"/>
        </w:rPr>
        <w:t>En ce qui concerne le grief que l’auteur tire du fait que trois personnes étaient complices de sa tentative de fuite avec prise d’otage mais qu’elles n’ont pas fait l’objet de poursuites pénales</w:t>
      </w:r>
      <w:r w:rsidRPr="00511808">
        <w:rPr>
          <w:lang w:val="fr-FR"/>
        </w:rPr>
        <w:t>,</w:t>
      </w:r>
      <w:r>
        <w:rPr>
          <w:lang w:val="fr-FR"/>
        </w:rPr>
        <w:t xml:space="preserve"> l’État partie relève que ni l’</w:t>
      </w:r>
      <w:r w:rsidRPr="00511808">
        <w:rPr>
          <w:lang w:val="fr-FR"/>
        </w:rPr>
        <w:t>article</w:t>
      </w:r>
      <w:r>
        <w:rPr>
          <w:lang w:val="fr-FR"/>
        </w:rPr>
        <w:t xml:space="preserve"> </w:t>
      </w:r>
      <w:r w:rsidRPr="00511808">
        <w:rPr>
          <w:lang w:val="fr-FR"/>
        </w:rPr>
        <w:t>14</w:t>
      </w:r>
      <w:r>
        <w:rPr>
          <w:lang w:val="fr-FR"/>
        </w:rPr>
        <w:t xml:space="preserve"> ni aucune autre disposition du </w:t>
      </w:r>
      <w:r w:rsidRPr="00C008FF">
        <w:rPr>
          <w:lang w:val="fr-FR"/>
        </w:rPr>
        <w:t>Pacte ne prévoit un droit de poursuite contre un complice.</w:t>
      </w:r>
    </w:p>
    <w:p w:rsidR="00A142DE" w:rsidRDefault="00A142DE" w:rsidP="00A142DE">
      <w:pPr>
        <w:pStyle w:val="SingleTxtG"/>
        <w:rPr>
          <w:lang w:val="fr-FR"/>
        </w:rPr>
      </w:pPr>
      <w:r w:rsidRPr="00C65D55">
        <w:rPr>
          <w:lang w:val="fr-FR"/>
        </w:rPr>
        <w:t>7</w:t>
      </w:r>
      <w:r w:rsidRPr="00725025">
        <w:rPr>
          <w:lang w:val="fr-FR"/>
        </w:rPr>
        <w:t>.10</w:t>
      </w:r>
      <w:r w:rsidRPr="00725025">
        <w:rPr>
          <w:lang w:val="fr-FR"/>
        </w:rPr>
        <w:tab/>
        <w:t>L</w:t>
      </w:r>
      <w:r>
        <w:rPr>
          <w:lang w:val="fr-FR"/>
        </w:rPr>
        <w:t>’</w:t>
      </w:r>
      <w:r w:rsidRPr="00725025">
        <w:rPr>
          <w:lang w:val="fr-FR"/>
        </w:rPr>
        <w:t>État partie</w:t>
      </w:r>
      <w:r>
        <w:rPr>
          <w:lang w:val="fr-FR"/>
        </w:rPr>
        <w:t xml:space="preserve"> répète que l’auteur a présenté sa plainte plus de vingt et un ans après que sa condamnation pénale a été prononcée, sans que rien ne justifie un tel laps de temps</w:t>
      </w:r>
      <w:r w:rsidRPr="00511808">
        <w:rPr>
          <w:lang w:val="fr-FR"/>
        </w:rPr>
        <w:t>.</w:t>
      </w:r>
      <w:r>
        <w:rPr>
          <w:lang w:val="fr-FR"/>
        </w:rPr>
        <w:t xml:space="preserve"> Par conséquent, la </w:t>
      </w:r>
      <w:r w:rsidRPr="00511808">
        <w:rPr>
          <w:lang w:val="fr-FR"/>
        </w:rPr>
        <w:t>communication</w:t>
      </w:r>
      <w:r>
        <w:rPr>
          <w:lang w:val="fr-FR"/>
        </w:rPr>
        <w:t xml:space="preserve"> devrait être déclarée irrecevable au regard de l’article 3 du </w:t>
      </w:r>
      <w:r w:rsidRPr="00C008FF">
        <w:rPr>
          <w:lang w:val="fr-FR"/>
        </w:rPr>
        <w:t>Protocole facultatif</w:t>
      </w:r>
      <w:r w:rsidRPr="00CF20CF">
        <w:rPr>
          <w:lang w:val="fr-FR"/>
        </w:rPr>
        <w:t>.</w:t>
      </w:r>
    </w:p>
    <w:p w:rsidR="00A142DE" w:rsidRPr="00511808" w:rsidRDefault="00A142DE" w:rsidP="00A142DE">
      <w:pPr>
        <w:pStyle w:val="H23G"/>
        <w:rPr>
          <w:lang w:val="fr-FR"/>
        </w:rPr>
      </w:pPr>
      <w:r w:rsidRPr="00511808">
        <w:rPr>
          <w:lang w:val="fr-FR"/>
        </w:rPr>
        <w:lastRenderedPageBreak/>
        <w:tab/>
      </w:r>
      <w:r w:rsidRPr="00511808">
        <w:rPr>
          <w:lang w:val="fr-FR"/>
        </w:rPr>
        <w:tab/>
      </w:r>
      <w:r>
        <w:rPr>
          <w:lang w:val="fr-FR"/>
        </w:rPr>
        <w:t>Délibérations du Comité</w:t>
      </w:r>
    </w:p>
    <w:p w:rsidR="00A142DE" w:rsidRPr="00511808" w:rsidRDefault="00A142DE" w:rsidP="00A142DE">
      <w:pPr>
        <w:pStyle w:val="H4G"/>
        <w:rPr>
          <w:lang w:val="fr-FR"/>
        </w:rPr>
      </w:pPr>
      <w:r w:rsidRPr="00511808">
        <w:rPr>
          <w:lang w:val="fr-FR"/>
        </w:rPr>
        <w:tab/>
      </w:r>
      <w:r w:rsidRPr="00511808">
        <w:rPr>
          <w:lang w:val="fr-FR"/>
        </w:rPr>
        <w:tab/>
      </w:r>
      <w:r>
        <w:rPr>
          <w:lang w:val="fr-FR"/>
        </w:rPr>
        <w:t>Examen de la recevabilité</w:t>
      </w:r>
    </w:p>
    <w:p w:rsidR="00A142DE" w:rsidRPr="00511808" w:rsidRDefault="00A142DE" w:rsidP="00A142DE">
      <w:pPr>
        <w:pStyle w:val="SingleTxtG"/>
        <w:rPr>
          <w:rFonts w:eastAsia="SimSun"/>
          <w:lang w:val="fr-FR" w:eastAsia="zh-CN"/>
        </w:rPr>
      </w:pPr>
      <w:r>
        <w:rPr>
          <w:rFonts w:eastAsia="SimSun"/>
          <w:lang w:val="fr-FR" w:eastAsia="zh-CN"/>
        </w:rPr>
        <w:t>8</w:t>
      </w:r>
      <w:r w:rsidRPr="00511808">
        <w:rPr>
          <w:rFonts w:eastAsia="SimSun"/>
          <w:lang w:val="fr-FR" w:eastAsia="zh-CN"/>
        </w:rPr>
        <w:t>.1</w:t>
      </w:r>
      <w:r w:rsidRPr="00511808">
        <w:rPr>
          <w:rFonts w:eastAsia="SimSun"/>
          <w:lang w:val="fr-FR" w:eastAsia="zh-CN"/>
        </w:rPr>
        <w:tab/>
      </w:r>
      <w:r w:rsidRPr="006058AE">
        <w:t>Avant</w:t>
      </w:r>
      <w:r>
        <w:t xml:space="preserve"> </w:t>
      </w:r>
      <w:r w:rsidRPr="006058AE">
        <w:t>d</w:t>
      </w:r>
      <w:r>
        <w:t>’</w:t>
      </w:r>
      <w:r w:rsidRPr="006058AE">
        <w:t>examiner</w:t>
      </w:r>
      <w:r>
        <w:t xml:space="preserve"> </w:t>
      </w:r>
      <w:r w:rsidRPr="006058AE">
        <w:t>tout</w:t>
      </w:r>
      <w:r>
        <w:t xml:space="preserve"> </w:t>
      </w:r>
      <w:r w:rsidRPr="006058AE">
        <w:t>grief</w:t>
      </w:r>
      <w:r>
        <w:t xml:space="preserve"> </w:t>
      </w:r>
      <w:r w:rsidRPr="006058AE">
        <w:t>formulé</w:t>
      </w:r>
      <w:r>
        <w:t xml:space="preserve"> </w:t>
      </w:r>
      <w:r w:rsidRPr="006058AE">
        <w:t>dans</w:t>
      </w:r>
      <w:r>
        <w:t xml:space="preserve"> </w:t>
      </w:r>
      <w:r w:rsidRPr="006058AE">
        <w:t>une</w:t>
      </w:r>
      <w:r>
        <w:t xml:space="preserve"> </w:t>
      </w:r>
      <w:r w:rsidRPr="006058AE">
        <w:t>communication,</w:t>
      </w:r>
      <w:r>
        <w:t xml:space="preserve"> </w:t>
      </w:r>
      <w:r w:rsidRPr="006058AE">
        <w:t>le</w:t>
      </w:r>
      <w:r>
        <w:t xml:space="preserve"> </w:t>
      </w:r>
      <w:r w:rsidRPr="006058AE">
        <w:t>Comité</w:t>
      </w:r>
      <w:r>
        <w:t xml:space="preserve"> </w:t>
      </w:r>
      <w:r w:rsidRPr="006058AE">
        <w:t>des</w:t>
      </w:r>
      <w:r>
        <w:t xml:space="preserve"> </w:t>
      </w:r>
      <w:r w:rsidRPr="006058AE">
        <w:t>droits</w:t>
      </w:r>
      <w:r>
        <w:t xml:space="preserve"> </w:t>
      </w:r>
      <w:r w:rsidRPr="006058AE">
        <w:t>de</w:t>
      </w:r>
      <w:r>
        <w:t xml:space="preserve"> </w:t>
      </w:r>
      <w:r w:rsidRPr="006058AE">
        <w:t>l</w:t>
      </w:r>
      <w:r>
        <w:t>’</w:t>
      </w:r>
      <w:r w:rsidRPr="006058AE">
        <w:t>homme</w:t>
      </w:r>
      <w:r>
        <w:t xml:space="preserve"> </w:t>
      </w:r>
      <w:r w:rsidRPr="006058AE">
        <w:t>doit,</w:t>
      </w:r>
      <w:r>
        <w:t xml:space="preserve"> </w:t>
      </w:r>
      <w:r w:rsidRPr="006058AE">
        <w:t>conformément</w:t>
      </w:r>
      <w:r>
        <w:t xml:space="preserve"> </w:t>
      </w:r>
      <w:r w:rsidRPr="006058AE">
        <w:t>à</w:t>
      </w:r>
      <w:r>
        <w:t xml:space="preserve"> </w:t>
      </w:r>
      <w:r w:rsidRPr="006058AE">
        <w:t>l</w:t>
      </w:r>
      <w:r>
        <w:t>’</w:t>
      </w:r>
      <w:r w:rsidRPr="006058AE">
        <w:t>article</w:t>
      </w:r>
      <w:r>
        <w:t xml:space="preserve"> </w:t>
      </w:r>
      <w:r w:rsidRPr="006058AE">
        <w:t>97</w:t>
      </w:r>
      <w:r>
        <w:t xml:space="preserve"> </w:t>
      </w:r>
      <w:r w:rsidRPr="006058AE">
        <w:t>de</w:t>
      </w:r>
      <w:r>
        <w:t xml:space="preserve"> </w:t>
      </w:r>
      <w:r w:rsidRPr="006058AE">
        <w:t>son</w:t>
      </w:r>
      <w:r>
        <w:t xml:space="preserve"> </w:t>
      </w:r>
      <w:r w:rsidRPr="006058AE">
        <w:t>règlement</w:t>
      </w:r>
      <w:r>
        <w:t xml:space="preserve"> </w:t>
      </w:r>
      <w:r w:rsidRPr="006058AE">
        <w:t>intérieur,</w:t>
      </w:r>
      <w:r>
        <w:t xml:space="preserve"> </w:t>
      </w:r>
      <w:r w:rsidRPr="006058AE">
        <w:t>déterminer</w:t>
      </w:r>
      <w:r>
        <w:t xml:space="preserve"> </w:t>
      </w:r>
      <w:r w:rsidRPr="006058AE">
        <w:t>si</w:t>
      </w:r>
      <w:r>
        <w:t xml:space="preserve"> </w:t>
      </w:r>
      <w:r w:rsidRPr="006058AE">
        <w:t>la</w:t>
      </w:r>
      <w:r>
        <w:t xml:space="preserve"> </w:t>
      </w:r>
      <w:r w:rsidRPr="006058AE">
        <w:t>communication</w:t>
      </w:r>
      <w:r>
        <w:t xml:space="preserve"> </w:t>
      </w:r>
      <w:r w:rsidRPr="006058AE">
        <w:t>est</w:t>
      </w:r>
      <w:r>
        <w:t xml:space="preserve"> </w:t>
      </w:r>
      <w:r w:rsidRPr="006058AE">
        <w:t>recevable</w:t>
      </w:r>
      <w:r>
        <w:t xml:space="preserve"> </w:t>
      </w:r>
      <w:r w:rsidRPr="006058AE">
        <w:t>au</w:t>
      </w:r>
      <w:r>
        <w:t xml:space="preserve"> </w:t>
      </w:r>
      <w:r w:rsidRPr="006058AE">
        <w:t>regard</w:t>
      </w:r>
      <w:r>
        <w:t xml:space="preserve"> </w:t>
      </w:r>
      <w:r w:rsidRPr="006058AE">
        <w:t>du</w:t>
      </w:r>
      <w:r>
        <w:t xml:space="preserve"> </w:t>
      </w:r>
      <w:r w:rsidRPr="006058AE">
        <w:t>Protocole</w:t>
      </w:r>
      <w:r>
        <w:t xml:space="preserve"> </w:t>
      </w:r>
      <w:r w:rsidRPr="006058AE">
        <w:t>facultatif</w:t>
      </w:r>
      <w:r>
        <w:t xml:space="preserve"> </w:t>
      </w:r>
      <w:r w:rsidRPr="006058AE">
        <w:t>se</w:t>
      </w:r>
      <w:r>
        <w:t xml:space="preserve"> </w:t>
      </w:r>
      <w:r w:rsidRPr="006058AE">
        <w:t>rapportant</w:t>
      </w:r>
      <w:r>
        <w:t xml:space="preserve"> </w:t>
      </w:r>
      <w:r w:rsidRPr="006058AE">
        <w:t>au</w:t>
      </w:r>
      <w:r>
        <w:t xml:space="preserve"> </w:t>
      </w:r>
      <w:r w:rsidRPr="006058AE">
        <w:t>Pacte.</w:t>
      </w:r>
    </w:p>
    <w:p w:rsidR="00A142DE" w:rsidRPr="00511808" w:rsidRDefault="00A142DE" w:rsidP="00A142DE">
      <w:pPr>
        <w:pStyle w:val="SingleTxtG"/>
        <w:rPr>
          <w:lang w:val="fr-FR"/>
        </w:rPr>
      </w:pPr>
      <w:r>
        <w:rPr>
          <w:rFonts w:eastAsia="SimSun"/>
          <w:lang w:val="fr-FR" w:eastAsia="zh-CN"/>
        </w:rPr>
        <w:t>8</w:t>
      </w:r>
      <w:r w:rsidRPr="00511808">
        <w:rPr>
          <w:rFonts w:eastAsia="SimSun"/>
          <w:lang w:val="fr-FR" w:eastAsia="zh-CN"/>
        </w:rPr>
        <w:t>.2</w:t>
      </w:r>
      <w:r w:rsidRPr="00511808">
        <w:rPr>
          <w:rFonts w:eastAsia="SimSun"/>
          <w:lang w:val="fr-FR" w:eastAsia="zh-CN"/>
        </w:rPr>
        <w:tab/>
      </w:r>
      <w:r>
        <w:rPr>
          <w:lang w:val="fr-FR"/>
        </w:rPr>
        <w:t xml:space="preserve">Le Comité constate que l’auteur a saisi des mêmes faits la Cour européenne des droits de l’homme et que sa requête a été déclarée irrecevable le </w:t>
      </w:r>
      <w:r w:rsidRPr="00511808">
        <w:rPr>
          <w:lang w:val="fr-FR"/>
        </w:rPr>
        <w:t>19</w:t>
      </w:r>
      <w:r>
        <w:rPr>
          <w:lang w:val="fr-FR"/>
        </w:rPr>
        <w:t xml:space="preserve"> juin </w:t>
      </w:r>
      <w:r w:rsidRPr="00511808">
        <w:rPr>
          <w:lang w:val="fr-FR"/>
        </w:rPr>
        <w:t>2014.</w:t>
      </w:r>
      <w:r>
        <w:rPr>
          <w:lang w:val="fr-FR"/>
        </w:rPr>
        <w:t xml:space="preserve"> Il constate également que l’affaire n’est plus en cours d’examen devant une autre instance internationale d’enquête ou de règlement et que la Fédération de Russie n’a pas fait de réserve à l’</w:t>
      </w:r>
      <w:r w:rsidRPr="00511808">
        <w:rPr>
          <w:lang w:val="fr-FR"/>
        </w:rPr>
        <w:t>article</w:t>
      </w:r>
      <w:r>
        <w:rPr>
          <w:lang w:val="fr-FR"/>
        </w:rPr>
        <w:t xml:space="preserve"> </w:t>
      </w:r>
      <w:r w:rsidRPr="00511808">
        <w:rPr>
          <w:lang w:val="fr-FR"/>
        </w:rPr>
        <w:t>5</w:t>
      </w:r>
      <w:r>
        <w:rPr>
          <w:lang w:val="fr-FR"/>
        </w:rPr>
        <w:t xml:space="preserve"> (par. 2 a)) du </w:t>
      </w:r>
      <w:r w:rsidRPr="00511808">
        <w:rPr>
          <w:lang w:val="fr-FR"/>
        </w:rPr>
        <w:t>Protocol</w:t>
      </w:r>
      <w:r>
        <w:rPr>
          <w:lang w:val="fr-FR"/>
        </w:rPr>
        <w:t>e facultatif</w:t>
      </w:r>
      <w:r w:rsidRPr="00511808">
        <w:rPr>
          <w:lang w:val="fr-FR"/>
        </w:rPr>
        <w:t>.</w:t>
      </w:r>
      <w:r>
        <w:rPr>
          <w:lang w:val="fr-FR"/>
        </w:rPr>
        <w:t xml:space="preserve"> Par conséquent</w:t>
      </w:r>
      <w:r w:rsidRPr="00511808">
        <w:rPr>
          <w:lang w:val="fr-FR"/>
        </w:rPr>
        <w:t>,</w:t>
      </w:r>
      <w:r>
        <w:rPr>
          <w:lang w:val="fr-FR"/>
        </w:rPr>
        <w:t xml:space="preserve"> le Comité considère qu’il n’est pas empêché par cette disposition d’examiner la présente </w:t>
      </w:r>
      <w:r w:rsidRPr="00511808">
        <w:rPr>
          <w:lang w:val="fr-FR"/>
        </w:rPr>
        <w:t>communication.</w:t>
      </w:r>
    </w:p>
    <w:p w:rsidR="00A142DE" w:rsidRPr="00511808" w:rsidRDefault="00A142DE" w:rsidP="00A142DE">
      <w:pPr>
        <w:pStyle w:val="SingleTxtG"/>
        <w:rPr>
          <w:lang w:val="fr-FR" w:eastAsia="zh-CN"/>
        </w:rPr>
      </w:pPr>
      <w:r>
        <w:rPr>
          <w:rFonts w:eastAsia="SimSun"/>
          <w:lang w:val="fr-FR" w:eastAsia="zh-CN"/>
        </w:rPr>
        <w:t>8</w:t>
      </w:r>
      <w:r w:rsidRPr="00511808">
        <w:rPr>
          <w:lang w:val="fr-FR" w:eastAsia="zh-CN"/>
        </w:rPr>
        <w:t>.3</w:t>
      </w:r>
      <w:r w:rsidRPr="00511808">
        <w:rPr>
          <w:lang w:val="fr-FR" w:eastAsia="zh-CN"/>
        </w:rPr>
        <w:tab/>
      </w:r>
      <w:r>
        <w:rPr>
          <w:lang w:val="fr-FR" w:eastAsia="zh-CN"/>
        </w:rPr>
        <w:t>Le Comité prend également note de ce que l’auteur affirme avoir épuisé tous les recours internes utiles disponibles</w:t>
      </w:r>
      <w:r w:rsidRPr="00511808">
        <w:rPr>
          <w:lang w:val="fr-FR" w:eastAsia="zh-CN"/>
        </w:rPr>
        <w:t>.</w:t>
      </w:r>
      <w:r>
        <w:rPr>
          <w:lang w:val="fr-FR" w:eastAsia="zh-CN"/>
        </w:rPr>
        <w:t xml:space="preserve"> L’État partie n’ayant pas formulé d’objection à cet égard</w:t>
      </w:r>
      <w:r w:rsidRPr="00511808">
        <w:rPr>
          <w:lang w:val="fr-FR" w:eastAsia="zh-CN"/>
        </w:rPr>
        <w:t>,</w:t>
      </w:r>
      <w:r>
        <w:rPr>
          <w:lang w:val="fr-FR" w:eastAsia="zh-CN"/>
        </w:rPr>
        <w:t xml:space="preserve"> le Comité considère que les conditions énoncées à l’</w:t>
      </w:r>
      <w:r w:rsidRPr="00511808">
        <w:rPr>
          <w:lang w:val="fr-FR" w:eastAsia="zh-CN"/>
        </w:rPr>
        <w:t>article</w:t>
      </w:r>
      <w:r>
        <w:rPr>
          <w:lang w:val="fr-FR" w:eastAsia="zh-CN"/>
        </w:rPr>
        <w:t xml:space="preserve"> </w:t>
      </w:r>
      <w:r w:rsidRPr="00511808">
        <w:rPr>
          <w:lang w:val="fr-FR" w:eastAsia="zh-CN"/>
        </w:rPr>
        <w:t>5</w:t>
      </w:r>
      <w:r>
        <w:rPr>
          <w:lang w:val="fr-FR" w:eastAsia="zh-CN"/>
        </w:rPr>
        <w:t xml:space="preserve"> (par. 2 b))</w:t>
      </w:r>
      <w:r w:rsidR="00DB1325">
        <w:rPr>
          <w:lang w:val="fr-FR" w:eastAsia="zh-CN"/>
        </w:rPr>
        <w:t xml:space="preserve"> </w:t>
      </w:r>
      <w:r>
        <w:rPr>
          <w:lang w:val="fr-FR" w:eastAsia="zh-CN"/>
        </w:rPr>
        <w:t xml:space="preserve">du </w:t>
      </w:r>
      <w:r w:rsidRPr="00511808">
        <w:rPr>
          <w:lang w:val="fr-FR" w:eastAsia="zh-CN"/>
        </w:rPr>
        <w:t>Protocol</w:t>
      </w:r>
      <w:r>
        <w:rPr>
          <w:lang w:val="fr-FR" w:eastAsia="zh-CN"/>
        </w:rPr>
        <w:t>e facultatif sont remplies</w:t>
      </w:r>
      <w:r w:rsidRPr="00511808">
        <w:rPr>
          <w:lang w:val="fr-FR" w:eastAsia="zh-CN"/>
        </w:rPr>
        <w:t>.</w:t>
      </w:r>
    </w:p>
    <w:p w:rsidR="00A142DE" w:rsidRPr="00511808" w:rsidRDefault="00A142DE" w:rsidP="00A142DE">
      <w:pPr>
        <w:pStyle w:val="SingleTxtG"/>
        <w:rPr>
          <w:lang w:val="fr-FR" w:eastAsia="zh-CN"/>
        </w:rPr>
      </w:pPr>
      <w:r>
        <w:rPr>
          <w:rFonts w:eastAsia="SimSun"/>
          <w:lang w:val="fr-FR" w:eastAsia="zh-CN"/>
        </w:rPr>
        <w:t>8</w:t>
      </w:r>
      <w:r w:rsidRPr="00511808">
        <w:rPr>
          <w:lang w:val="fr-FR" w:eastAsia="zh-CN"/>
        </w:rPr>
        <w:t>.4</w:t>
      </w:r>
      <w:r w:rsidRPr="00511808">
        <w:rPr>
          <w:lang w:val="fr-FR" w:eastAsia="zh-CN"/>
        </w:rPr>
        <w:tab/>
      </w:r>
      <w:r>
        <w:rPr>
          <w:lang w:val="fr-FR" w:eastAsia="zh-CN"/>
        </w:rPr>
        <w:t xml:space="preserve">Le Comité prend note de l’argument de l’État partie selon lequel la </w:t>
      </w:r>
      <w:r w:rsidRPr="00511808">
        <w:rPr>
          <w:lang w:val="fr-FR" w:eastAsia="zh-CN"/>
        </w:rPr>
        <w:t>communication</w:t>
      </w:r>
      <w:r>
        <w:rPr>
          <w:lang w:val="fr-FR" w:eastAsia="zh-CN"/>
        </w:rPr>
        <w:t xml:space="preserve"> soumise par l’auteur le </w:t>
      </w:r>
      <w:r w:rsidRPr="00511808">
        <w:rPr>
          <w:lang w:val="fr-FR" w:eastAsia="zh-CN"/>
        </w:rPr>
        <w:t>27</w:t>
      </w:r>
      <w:r>
        <w:rPr>
          <w:lang w:val="fr-FR" w:eastAsia="zh-CN"/>
        </w:rPr>
        <w:t xml:space="preserve"> janvier </w:t>
      </w:r>
      <w:r w:rsidRPr="00511808">
        <w:rPr>
          <w:lang w:val="fr-FR" w:eastAsia="zh-CN"/>
        </w:rPr>
        <w:t>2014</w:t>
      </w:r>
      <w:r>
        <w:rPr>
          <w:lang w:val="fr-FR" w:eastAsia="zh-CN"/>
        </w:rPr>
        <w:t xml:space="preserve"> est irrecevable parce qu’il n’y a pas eu violation des droits garantis à l’auteur par l’</w:t>
      </w:r>
      <w:r w:rsidRPr="00511808">
        <w:rPr>
          <w:lang w:val="fr-FR" w:eastAsia="zh-CN"/>
        </w:rPr>
        <w:t>article</w:t>
      </w:r>
      <w:r>
        <w:rPr>
          <w:lang w:val="fr-FR" w:eastAsia="zh-CN"/>
        </w:rPr>
        <w:t xml:space="preserve"> </w:t>
      </w:r>
      <w:r w:rsidRPr="00511808">
        <w:rPr>
          <w:lang w:val="fr-FR" w:eastAsia="zh-CN"/>
        </w:rPr>
        <w:t>14</w:t>
      </w:r>
      <w:r>
        <w:rPr>
          <w:lang w:val="fr-FR" w:eastAsia="zh-CN"/>
        </w:rPr>
        <w:t xml:space="preserve"> (par. 1 et 3 d)) du Pacte</w:t>
      </w:r>
      <w:r w:rsidRPr="00511808">
        <w:rPr>
          <w:lang w:val="fr-FR" w:eastAsia="zh-CN"/>
        </w:rPr>
        <w:t>.</w:t>
      </w:r>
      <w:r>
        <w:rPr>
          <w:lang w:val="fr-FR" w:eastAsia="zh-CN"/>
        </w:rPr>
        <w:t xml:space="preserve"> Le Comité note également que l’État partie affirme que, compte tenu du retard avec lequel ont été soumises les observations des </w:t>
      </w:r>
      <w:r w:rsidRPr="00511808">
        <w:rPr>
          <w:lang w:val="fr-FR" w:eastAsia="zh-CN"/>
        </w:rPr>
        <w:t>24</w:t>
      </w:r>
      <w:r>
        <w:rPr>
          <w:lang w:val="fr-FR" w:eastAsia="zh-CN"/>
        </w:rPr>
        <w:t xml:space="preserve"> novembre </w:t>
      </w:r>
      <w:r w:rsidRPr="00511808">
        <w:rPr>
          <w:lang w:val="fr-FR" w:eastAsia="zh-CN"/>
        </w:rPr>
        <w:t>2014,</w:t>
      </w:r>
      <w:r>
        <w:rPr>
          <w:lang w:val="fr-FR" w:eastAsia="zh-CN"/>
        </w:rPr>
        <w:t xml:space="preserve"> </w:t>
      </w:r>
      <w:r w:rsidRPr="00511808">
        <w:rPr>
          <w:lang w:val="fr-FR" w:eastAsia="zh-CN"/>
        </w:rPr>
        <w:t>23</w:t>
      </w:r>
      <w:r>
        <w:rPr>
          <w:lang w:val="fr-FR" w:eastAsia="zh-CN"/>
        </w:rPr>
        <w:t xml:space="preserve"> mars </w:t>
      </w:r>
      <w:r w:rsidRPr="00511808">
        <w:rPr>
          <w:lang w:val="fr-FR" w:eastAsia="zh-CN"/>
        </w:rPr>
        <w:t>2015</w:t>
      </w:r>
      <w:r>
        <w:rPr>
          <w:lang w:val="fr-FR" w:eastAsia="zh-CN"/>
        </w:rPr>
        <w:t xml:space="preserve"> et </w:t>
      </w:r>
      <w:r w:rsidRPr="00511808">
        <w:rPr>
          <w:lang w:val="fr-FR" w:eastAsia="zh-CN"/>
        </w:rPr>
        <w:t>18</w:t>
      </w:r>
      <w:r>
        <w:rPr>
          <w:lang w:val="fr-FR" w:eastAsia="zh-CN"/>
        </w:rPr>
        <w:t xml:space="preserve"> janvier </w:t>
      </w:r>
      <w:r w:rsidRPr="00511808">
        <w:rPr>
          <w:lang w:val="fr-FR" w:eastAsia="zh-CN"/>
        </w:rPr>
        <w:t>2016,</w:t>
      </w:r>
      <w:r>
        <w:rPr>
          <w:lang w:val="fr-FR" w:eastAsia="zh-CN"/>
        </w:rPr>
        <w:t xml:space="preserve"> il devrait les déclarer irrecevables au regard de l’article 3 du Protocole facultatif car elles relèvent de l’abus du droit de soumettre une communication</w:t>
      </w:r>
      <w:r w:rsidRPr="00511808">
        <w:rPr>
          <w:lang w:val="fr-FR" w:eastAsia="zh-CN"/>
        </w:rPr>
        <w:t>.</w:t>
      </w:r>
      <w:r>
        <w:rPr>
          <w:lang w:val="fr-FR" w:eastAsia="zh-CN"/>
        </w:rPr>
        <w:t xml:space="preserve"> L’État partie souligne également que l’auteur a saisi le Comité, en vertu du Protocole facultatif, d’une plainte concernant la procédure pénale dont il a fait l’objet environ vingt ans après que sa peine de mort a été commuée en peine de </w:t>
      </w:r>
      <w:r w:rsidRPr="00C008FF">
        <w:rPr>
          <w:lang w:val="fr-FR" w:eastAsia="zh-CN"/>
        </w:rPr>
        <w:t>réclusion p</w:t>
      </w:r>
      <w:r w:rsidRPr="00CF20CF">
        <w:rPr>
          <w:lang w:val="fr-FR" w:eastAsia="zh-CN"/>
        </w:rPr>
        <w:t>erpétuelle.</w:t>
      </w:r>
    </w:p>
    <w:p w:rsidR="00A142DE" w:rsidRPr="00511808" w:rsidRDefault="00A142DE" w:rsidP="00A142DE">
      <w:pPr>
        <w:pStyle w:val="SingleTxtG"/>
        <w:rPr>
          <w:lang w:val="fr-FR"/>
        </w:rPr>
      </w:pPr>
      <w:r>
        <w:rPr>
          <w:rFonts w:eastAsia="SimSun"/>
          <w:lang w:val="fr-FR" w:eastAsia="zh-CN"/>
        </w:rPr>
        <w:t>8</w:t>
      </w:r>
      <w:r w:rsidRPr="00511808">
        <w:rPr>
          <w:rFonts w:eastAsia="SimSun"/>
          <w:lang w:val="fr-FR" w:eastAsia="zh-CN"/>
        </w:rPr>
        <w:t>.5</w:t>
      </w:r>
      <w:r w:rsidRPr="00511808">
        <w:rPr>
          <w:rFonts w:eastAsia="SimSun"/>
          <w:lang w:val="fr-FR" w:eastAsia="zh-CN"/>
        </w:rPr>
        <w:tab/>
      </w:r>
      <w:r>
        <w:rPr>
          <w:lang w:val="fr-FR"/>
        </w:rPr>
        <w:t xml:space="preserve">Le Comité </w:t>
      </w:r>
      <w:r w:rsidRPr="00511808">
        <w:rPr>
          <w:lang w:val="fr-FR"/>
        </w:rPr>
        <w:t>note</w:t>
      </w:r>
      <w:r>
        <w:rPr>
          <w:lang w:val="fr-FR"/>
        </w:rPr>
        <w:t xml:space="preserve"> à cet égard qu’il n’existe pas de délai impératif pour la soumission de </w:t>
      </w:r>
      <w:r w:rsidRPr="00511808">
        <w:rPr>
          <w:lang w:val="fr-FR"/>
        </w:rPr>
        <w:t>communications</w:t>
      </w:r>
      <w:r>
        <w:rPr>
          <w:lang w:val="fr-FR"/>
        </w:rPr>
        <w:t xml:space="preserve"> en vertu du Protocole facultatif et que le simple fait d’avoir attendu avant de soumettre une communication ne constitue pas en soi un abus du droit de soumettre une communication</w:t>
      </w:r>
      <w:r w:rsidRPr="00823E4E">
        <w:rPr>
          <w:rStyle w:val="Appelnotedebasdep"/>
        </w:rPr>
        <w:footnoteReference w:id="12"/>
      </w:r>
      <w:r>
        <w:rPr>
          <w:lang w:val="fr-FR"/>
        </w:rPr>
        <w:t xml:space="preserve">. Cela étant, dans certaines </w:t>
      </w:r>
      <w:r w:rsidRPr="00511808">
        <w:rPr>
          <w:lang w:val="fr-FR"/>
        </w:rPr>
        <w:t>circ</w:t>
      </w:r>
      <w:r>
        <w:rPr>
          <w:lang w:val="fr-FR"/>
        </w:rPr>
        <w:t>on</w:t>
      </w:r>
      <w:r w:rsidRPr="00511808">
        <w:rPr>
          <w:lang w:val="fr-FR"/>
        </w:rPr>
        <w:t>stances,</w:t>
      </w:r>
      <w:r>
        <w:rPr>
          <w:lang w:val="fr-FR"/>
        </w:rPr>
        <w:t xml:space="preserve"> le Comité s’attend à ce qu’il soit donné une explication raisonnable pour justifier le retard</w:t>
      </w:r>
      <w:r w:rsidRPr="00823E4E">
        <w:rPr>
          <w:rStyle w:val="Appelnotedebasdep"/>
        </w:rPr>
        <w:footnoteReference w:id="13"/>
      </w:r>
      <w:r>
        <w:rPr>
          <w:lang w:val="fr-FR"/>
        </w:rPr>
        <w:t xml:space="preserve">. En outre, conformément à l’article </w:t>
      </w:r>
      <w:r w:rsidRPr="00511808">
        <w:rPr>
          <w:lang w:val="fr-FR"/>
        </w:rPr>
        <w:t>99</w:t>
      </w:r>
      <w:r>
        <w:rPr>
          <w:lang w:val="fr-FR"/>
        </w:rPr>
        <w:t> </w:t>
      </w:r>
      <w:r w:rsidRPr="00511808">
        <w:rPr>
          <w:lang w:val="fr-FR"/>
        </w:rPr>
        <w:t>c)</w:t>
      </w:r>
      <w:r>
        <w:rPr>
          <w:lang w:val="fr-FR"/>
        </w:rPr>
        <w:t xml:space="preserve"> du Règlement intérieur du Comité (</w:t>
      </w:r>
      <w:r>
        <w:t>CCPR/C/3/Rev.11)</w:t>
      </w:r>
      <w:r w:rsidRPr="00511808">
        <w:rPr>
          <w:lang w:val="fr-FR"/>
        </w:rPr>
        <w:t>,</w:t>
      </w:r>
      <w:r>
        <w:rPr>
          <w:lang w:val="fr-FR"/>
        </w:rPr>
        <w:t xml:space="preserve"> il peut y avoir abus du droit de présenter une communication si celle-ci est soumise cinq ans après l’épuisement des recours internes par son auteur, ou, selon le cas, trois ans après l’achèvement d’une autre procédure internationale d’enquête ou de règlement, sauf s’il existe des raisons justifiant le retard compte tenu de toutes les </w:t>
      </w:r>
      <w:r w:rsidRPr="00511808">
        <w:rPr>
          <w:lang w:val="fr-FR"/>
        </w:rPr>
        <w:t>circ</w:t>
      </w:r>
      <w:r>
        <w:rPr>
          <w:lang w:val="fr-FR"/>
        </w:rPr>
        <w:t>ons</w:t>
      </w:r>
      <w:r w:rsidRPr="00511808">
        <w:rPr>
          <w:lang w:val="fr-FR"/>
        </w:rPr>
        <w:t>tances</w:t>
      </w:r>
      <w:r>
        <w:rPr>
          <w:lang w:val="fr-FR"/>
        </w:rPr>
        <w:t xml:space="preserve"> de l’affaire</w:t>
      </w:r>
      <w:r w:rsidRPr="00823E4E">
        <w:rPr>
          <w:rStyle w:val="Appelnotedebasdep"/>
        </w:rPr>
        <w:footnoteReference w:id="14"/>
      </w:r>
      <w:r>
        <w:rPr>
          <w:lang w:val="fr-FR"/>
        </w:rPr>
        <w:t>.</w:t>
      </w:r>
    </w:p>
    <w:p w:rsidR="00A142DE" w:rsidRDefault="00A142DE" w:rsidP="00A142DE">
      <w:pPr>
        <w:pStyle w:val="SingleTxtG"/>
        <w:rPr>
          <w:lang w:val="fr-FR"/>
        </w:rPr>
      </w:pPr>
      <w:r>
        <w:rPr>
          <w:rFonts w:eastAsia="SimSun"/>
          <w:lang w:val="fr-FR" w:eastAsia="zh-CN"/>
        </w:rPr>
        <w:t>8</w:t>
      </w:r>
      <w:r w:rsidRPr="00511808">
        <w:rPr>
          <w:rFonts w:eastAsia="SimSun"/>
          <w:lang w:val="fr-FR" w:eastAsia="zh-CN"/>
        </w:rPr>
        <w:t>.6</w:t>
      </w:r>
      <w:r w:rsidRPr="00511808">
        <w:rPr>
          <w:rFonts w:eastAsia="SimSun"/>
          <w:lang w:val="fr-FR" w:eastAsia="zh-CN"/>
        </w:rPr>
        <w:tab/>
      </w:r>
      <w:r>
        <w:rPr>
          <w:rFonts w:eastAsia="SimSun"/>
          <w:lang w:val="fr-FR" w:eastAsia="zh-CN"/>
        </w:rPr>
        <w:t>L</w:t>
      </w:r>
      <w:r>
        <w:rPr>
          <w:lang w:val="fr-FR"/>
        </w:rPr>
        <w:t xml:space="preserve">e Comité souligne en outre qu’il incombe généralement à l’auteur de s’assurer que ses griefs sont portés devant les autorités nationales et devant le Comité avec la célérité nécessaire pour qu’ils puissent être statués sur eux correctement et équitablement, en particulier, lorsque le temps est un facteur essentiel à la résolution </w:t>
      </w:r>
      <w:r w:rsidRPr="00C008FF">
        <w:rPr>
          <w:lang w:val="fr-FR"/>
        </w:rPr>
        <w:t>d</w:t>
      </w:r>
      <w:r>
        <w:rPr>
          <w:lang w:val="fr-FR"/>
        </w:rPr>
        <w:t>’</w:t>
      </w:r>
      <w:r w:rsidRPr="00C008FF">
        <w:rPr>
          <w:lang w:val="fr-FR"/>
        </w:rPr>
        <w:t>une affaire.</w:t>
      </w:r>
      <w:r>
        <w:rPr>
          <w:lang w:val="fr-FR"/>
        </w:rPr>
        <w:t xml:space="preserve"> </w:t>
      </w:r>
      <w:r>
        <w:t>Le Comité souligne également qu’il est préférable de saisir le plus rapidement possible les autorités nationales afin qu’elles puissent remédier en temps voulu à toute violation présumée des droits de l’homme</w:t>
      </w:r>
      <w:r w:rsidRPr="00511808">
        <w:rPr>
          <w:lang w:val="fr-FR"/>
        </w:rPr>
        <w:t>.</w:t>
      </w:r>
      <w:r>
        <w:rPr>
          <w:lang w:val="fr-FR"/>
        </w:rPr>
        <w:t xml:space="preserve"> </w:t>
      </w:r>
      <w:r>
        <w:t>S’il est essentiel, pour l’efficacité du système de protection prévu par le Pacte, qu’un État partie s’acquitte de ses obligations juridiques internationales de bonne foi, le fait pour une personne de faire preuve de diligence et d’initiative dans la défense de ses droits contribue généralement à éviter des retards excessifs ou inexpliqués dans l’administration de la justice et l’application effective des droits protégés par le Pacte.</w:t>
      </w:r>
    </w:p>
    <w:p w:rsidR="00A142DE" w:rsidRPr="00511808" w:rsidRDefault="00A142DE" w:rsidP="00A142DE">
      <w:pPr>
        <w:pStyle w:val="SingleTxtG"/>
        <w:rPr>
          <w:lang w:val="fr-FR"/>
        </w:rPr>
      </w:pPr>
      <w:r>
        <w:rPr>
          <w:rFonts w:eastAsia="SimSun"/>
          <w:lang w:val="fr-FR" w:eastAsia="zh-CN"/>
        </w:rPr>
        <w:t>8</w:t>
      </w:r>
      <w:r w:rsidRPr="00511808">
        <w:rPr>
          <w:lang w:val="fr-FR"/>
        </w:rPr>
        <w:t>.7</w:t>
      </w:r>
      <w:r w:rsidRPr="00511808">
        <w:rPr>
          <w:lang w:val="fr-FR"/>
        </w:rPr>
        <w:tab/>
      </w:r>
      <w:r>
        <w:rPr>
          <w:lang w:val="fr-FR"/>
        </w:rPr>
        <w:t>En l’espèce</w:t>
      </w:r>
      <w:r w:rsidRPr="00511808">
        <w:rPr>
          <w:lang w:val="fr-FR"/>
        </w:rPr>
        <w:t>,</w:t>
      </w:r>
      <w:r>
        <w:rPr>
          <w:lang w:val="fr-FR"/>
        </w:rPr>
        <w:t xml:space="preserve"> le Comité relève que rien dans la communication ne permet de penser que l’auteur a fait preuve de la diligence et de l’</w:t>
      </w:r>
      <w:r w:rsidRPr="00511808">
        <w:rPr>
          <w:lang w:val="fr-FR"/>
        </w:rPr>
        <w:t>initiative</w:t>
      </w:r>
      <w:r>
        <w:rPr>
          <w:lang w:val="fr-FR"/>
        </w:rPr>
        <w:t xml:space="preserve"> voulus dans la soumission de ses griefs concernant la défense de ses droits</w:t>
      </w:r>
      <w:r w:rsidRPr="00511808">
        <w:rPr>
          <w:lang w:val="fr-FR"/>
        </w:rPr>
        <w:t>.</w:t>
      </w:r>
      <w:r>
        <w:rPr>
          <w:lang w:val="fr-FR"/>
        </w:rPr>
        <w:t xml:space="preserve"> Il a adressé sa lettre </w:t>
      </w:r>
      <w:r w:rsidRPr="00511808">
        <w:rPr>
          <w:lang w:val="fr-FR"/>
        </w:rPr>
        <w:t>initial</w:t>
      </w:r>
      <w:r>
        <w:rPr>
          <w:lang w:val="fr-FR"/>
        </w:rPr>
        <w:t xml:space="preserve">e au Comité avec un retard considérable, à savoir plus de vingt et un ans après que le jugement le concernant est </w:t>
      </w:r>
      <w:r>
        <w:rPr>
          <w:lang w:val="fr-FR"/>
        </w:rPr>
        <w:lastRenderedPageBreak/>
        <w:t xml:space="preserve">devenu exécutoire en vertu de la décision de la Cour suprême du 4 juin </w:t>
      </w:r>
      <w:r w:rsidRPr="00511808">
        <w:rPr>
          <w:lang w:val="fr-FR"/>
        </w:rPr>
        <w:t>1992,</w:t>
      </w:r>
      <w:r>
        <w:rPr>
          <w:lang w:val="fr-FR"/>
        </w:rPr>
        <w:t xml:space="preserve"> et presque vingt ans après que sa peine de mort a été commuée en peine de réclusion à perpétuité en vertu du décret de grâce présidentielle du 4 </w:t>
      </w:r>
      <w:r w:rsidRPr="00CF20CF">
        <w:rPr>
          <w:lang w:val="fr-FR"/>
        </w:rPr>
        <w:t xml:space="preserve">mai </w:t>
      </w:r>
      <w:r w:rsidRPr="00FB4299">
        <w:rPr>
          <w:lang w:val="fr-FR"/>
        </w:rPr>
        <w:t>1994</w:t>
      </w:r>
      <w:r w:rsidRPr="00407C3E">
        <w:rPr>
          <w:lang w:val="fr-FR"/>
        </w:rPr>
        <w:t>. Le</w:t>
      </w:r>
      <w:r>
        <w:rPr>
          <w:lang w:val="fr-FR"/>
        </w:rPr>
        <w:t xml:space="preserve"> Comité fait observer que l’auteur ne donne aucune explication convaincante quant aux raisons qui l’auraient empêché de porter ses griefs devant les autorités nationales pendant cette période</w:t>
      </w:r>
      <w:r w:rsidRPr="00511808">
        <w:rPr>
          <w:lang w:val="fr-FR"/>
        </w:rPr>
        <w:t>.</w:t>
      </w:r>
      <w:r>
        <w:rPr>
          <w:lang w:val="fr-FR"/>
        </w:rPr>
        <w:t xml:space="preserve"> Les arguments qu’il avance relativement à son ignorance de la procédure et de ses droits sont vagues et de caractère général</w:t>
      </w:r>
      <w:r w:rsidRPr="00511808">
        <w:rPr>
          <w:lang w:val="fr-FR"/>
        </w:rPr>
        <w:t>.</w:t>
      </w:r>
      <w:r>
        <w:rPr>
          <w:lang w:val="fr-FR"/>
        </w:rPr>
        <w:t xml:space="preserve"> À cet égard</w:t>
      </w:r>
      <w:r w:rsidRPr="00511808">
        <w:rPr>
          <w:lang w:val="fr-FR"/>
        </w:rPr>
        <w:t>,</w:t>
      </w:r>
      <w:r>
        <w:rPr>
          <w:lang w:val="fr-FR"/>
        </w:rPr>
        <w:t xml:space="preserve"> le Comité observe qu’en dépit de ces affirmations</w:t>
      </w:r>
      <w:r w:rsidRPr="00511808">
        <w:rPr>
          <w:lang w:val="fr-FR"/>
        </w:rPr>
        <w:t>,</w:t>
      </w:r>
      <w:r>
        <w:rPr>
          <w:lang w:val="fr-FR"/>
        </w:rPr>
        <w:t xml:space="preserve"> l’auteur a bien été capable de préparer son recours en cassation</w:t>
      </w:r>
      <w:r w:rsidRPr="00511808">
        <w:rPr>
          <w:lang w:val="fr-FR"/>
        </w:rPr>
        <w:t>,</w:t>
      </w:r>
      <w:r>
        <w:rPr>
          <w:lang w:val="fr-FR"/>
        </w:rPr>
        <w:t xml:space="preserve"> qu’il a formé séparément de celui présenté par son avocat</w:t>
      </w:r>
      <w:r w:rsidRPr="00511808">
        <w:rPr>
          <w:lang w:val="fr-FR"/>
        </w:rPr>
        <w:t>.</w:t>
      </w:r>
      <w:r>
        <w:rPr>
          <w:lang w:val="fr-FR"/>
        </w:rPr>
        <w:t xml:space="preserve"> Le Comité, compte tenu de toutes les circonstances de l’espèce, considère donc que l’auteur n’a pas donné de raison justifiant le retard dans la soumission de sa communication</w:t>
      </w:r>
      <w:r w:rsidRPr="00511808">
        <w:rPr>
          <w:lang w:val="fr-FR"/>
        </w:rPr>
        <w:t>.</w:t>
      </w:r>
      <w:r>
        <w:rPr>
          <w:lang w:val="fr-FR"/>
        </w:rPr>
        <w:t xml:space="preserve"> En l’</w:t>
      </w:r>
      <w:r w:rsidRPr="00511808">
        <w:rPr>
          <w:lang w:val="fr-FR"/>
        </w:rPr>
        <w:t>absence</w:t>
      </w:r>
      <w:r>
        <w:rPr>
          <w:lang w:val="fr-FR"/>
        </w:rPr>
        <w:t xml:space="preserve"> de toute autre information ou explication pertinente dans le dossier</w:t>
      </w:r>
      <w:r w:rsidRPr="00511808">
        <w:rPr>
          <w:lang w:val="fr-FR"/>
        </w:rPr>
        <w:t>,</w:t>
      </w:r>
      <w:r>
        <w:rPr>
          <w:lang w:val="fr-FR"/>
        </w:rPr>
        <w:t xml:space="preserve"> le Comité considère que la soumission de la communication après un laps de temps aussi long constitue un abus du droit de plainte</w:t>
      </w:r>
      <w:r w:rsidRPr="00511808">
        <w:rPr>
          <w:lang w:val="fr-FR"/>
        </w:rPr>
        <w:t>.</w:t>
      </w:r>
      <w:r>
        <w:rPr>
          <w:lang w:val="fr-FR"/>
        </w:rPr>
        <w:t xml:space="preserve"> En conséquence, il déclare la </w:t>
      </w:r>
      <w:r w:rsidRPr="00511808">
        <w:rPr>
          <w:lang w:val="fr-FR"/>
        </w:rPr>
        <w:t>communication</w:t>
      </w:r>
      <w:r>
        <w:rPr>
          <w:lang w:val="fr-FR"/>
        </w:rPr>
        <w:t xml:space="preserve"> irrecevable au regard de l’article 3 du Protocole facultatif et de l’article </w:t>
      </w:r>
      <w:r w:rsidRPr="00511808">
        <w:rPr>
          <w:lang w:val="fr-FR"/>
        </w:rPr>
        <w:t>99</w:t>
      </w:r>
      <w:r>
        <w:rPr>
          <w:lang w:val="fr-FR"/>
        </w:rPr>
        <w:t> </w:t>
      </w:r>
      <w:r w:rsidRPr="00511808">
        <w:rPr>
          <w:lang w:val="fr-FR"/>
        </w:rPr>
        <w:t>c)</w:t>
      </w:r>
      <w:r>
        <w:rPr>
          <w:lang w:val="fr-FR"/>
        </w:rPr>
        <w:t xml:space="preserve"> du Règlement intérieur du Comité</w:t>
      </w:r>
      <w:r w:rsidRPr="00511808">
        <w:rPr>
          <w:lang w:val="fr-FR"/>
        </w:rPr>
        <w:t>.</w:t>
      </w:r>
    </w:p>
    <w:p w:rsidR="00A142DE" w:rsidRDefault="00A142DE" w:rsidP="00A142DE">
      <w:pPr>
        <w:pStyle w:val="SingleTxtG"/>
        <w:rPr>
          <w:lang w:val="fr-FR" w:eastAsia="zh-CN"/>
        </w:rPr>
      </w:pPr>
      <w:r>
        <w:rPr>
          <w:rFonts w:eastAsia="SimSun"/>
          <w:lang w:val="fr-FR" w:eastAsia="zh-CN"/>
        </w:rPr>
        <w:t>8</w:t>
      </w:r>
      <w:r w:rsidRPr="00511808">
        <w:rPr>
          <w:lang w:val="fr-FR" w:eastAsia="zh-CN"/>
        </w:rPr>
        <w:t>.8</w:t>
      </w:r>
      <w:r w:rsidRPr="00511808">
        <w:rPr>
          <w:lang w:val="fr-FR" w:eastAsia="zh-CN"/>
        </w:rPr>
        <w:tab/>
      </w:r>
      <w:r>
        <w:rPr>
          <w:lang w:val="fr-FR" w:eastAsia="zh-CN"/>
        </w:rPr>
        <w:t xml:space="preserve">Étant parvenu à cette </w:t>
      </w:r>
      <w:r w:rsidRPr="00511808">
        <w:rPr>
          <w:lang w:val="fr-FR" w:eastAsia="zh-CN"/>
        </w:rPr>
        <w:t>conclusion,</w:t>
      </w:r>
      <w:r>
        <w:rPr>
          <w:lang w:val="fr-FR" w:eastAsia="zh-CN"/>
        </w:rPr>
        <w:t xml:space="preserve"> le Comité décide de ne pas examiner d’autres motifs d’irrecevabilité</w:t>
      </w:r>
      <w:r w:rsidRPr="00511808">
        <w:rPr>
          <w:lang w:val="fr-FR" w:eastAsia="zh-CN"/>
        </w:rPr>
        <w:t>.</w:t>
      </w:r>
    </w:p>
    <w:p w:rsidR="00A142DE" w:rsidRPr="00511808" w:rsidRDefault="00A142DE" w:rsidP="001750A6">
      <w:pPr>
        <w:pStyle w:val="SingleTxtG"/>
        <w:keepNext/>
        <w:rPr>
          <w:lang w:val="fr-FR" w:eastAsia="zh-CN"/>
        </w:rPr>
      </w:pPr>
      <w:r>
        <w:rPr>
          <w:lang w:val="fr-FR" w:eastAsia="zh-CN"/>
        </w:rPr>
        <w:t>9</w:t>
      </w:r>
      <w:r w:rsidRPr="00511808">
        <w:rPr>
          <w:lang w:val="fr-FR" w:eastAsia="zh-CN"/>
        </w:rPr>
        <w:t>.</w:t>
      </w:r>
      <w:r w:rsidRPr="00511808">
        <w:rPr>
          <w:lang w:val="fr-FR" w:eastAsia="zh-CN"/>
        </w:rPr>
        <w:tab/>
      </w:r>
      <w:r>
        <w:rPr>
          <w:lang w:val="fr-FR" w:eastAsia="zh-CN"/>
        </w:rPr>
        <w:t>En conséquence, le Comité décide</w:t>
      </w:r>
      <w:r w:rsidRPr="009C3376">
        <w:rPr>
          <w:lang w:val="fr-FR" w:eastAsia="zh-CN"/>
        </w:rPr>
        <w:t> :</w:t>
      </w:r>
    </w:p>
    <w:p w:rsidR="00A142DE" w:rsidRPr="00511808" w:rsidRDefault="00A142DE" w:rsidP="00A142DE">
      <w:pPr>
        <w:pStyle w:val="SingleTxtG"/>
        <w:ind w:firstLine="567"/>
        <w:rPr>
          <w:lang w:val="fr-FR" w:eastAsia="zh-CN"/>
        </w:rPr>
      </w:pPr>
      <w:r w:rsidRPr="00511808">
        <w:rPr>
          <w:lang w:val="fr-FR" w:eastAsia="zh-CN"/>
        </w:rPr>
        <w:t>a)</w:t>
      </w:r>
      <w:r w:rsidRPr="00511808">
        <w:rPr>
          <w:lang w:val="fr-FR" w:eastAsia="zh-CN"/>
        </w:rPr>
        <w:tab/>
      </w:r>
      <w:r>
        <w:rPr>
          <w:lang w:val="fr-FR" w:eastAsia="zh-CN"/>
        </w:rPr>
        <w:t xml:space="preserve">Que la </w:t>
      </w:r>
      <w:r w:rsidRPr="00511808">
        <w:rPr>
          <w:lang w:val="fr-FR" w:eastAsia="zh-CN"/>
        </w:rPr>
        <w:t>communication</w:t>
      </w:r>
      <w:r>
        <w:rPr>
          <w:lang w:val="fr-FR" w:eastAsia="zh-CN"/>
        </w:rPr>
        <w:t xml:space="preserve"> est irrecevable au regard de l’article 3 du Protocole facultatif ;</w:t>
      </w:r>
    </w:p>
    <w:p w:rsidR="00A142DE" w:rsidRDefault="00A142DE" w:rsidP="00A142DE">
      <w:pPr>
        <w:pStyle w:val="SingleTxtG"/>
        <w:ind w:firstLine="567"/>
        <w:rPr>
          <w:lang w:val="fr-FR" w:eastAsia="zh-CN"/>
        </w:rPr>
      </w:pPr>
      <w:r w:rsidRPr="00511808">
        <w:rPr>
          <w:lang w:val="fr-FR" w:eastAsia="zh-CN"/>
        </w:rPr>
        <w:t>b)</w:t>
      </w:r>
      <w:r w:rsidRPr="00511808">
        <w:rPr>
          <w:lang w:val="fr-FR" w:eastAsia="zh-CN"/>
        </w:rPr>
        <w:tab/>
      </w:r>
      <w:r>
        <w:rPr>
          <w:lang w:val="fr-FR" w:eastAsia="zh-CN"/>
        </w:rPr>
        <w:t>Que la présente décision sera communiquée à l’État partie et à l’auteur de la communication</w:t>
      </w:r>
      <w:r w:rsidRPr="00511808">
        <w:rPr>
          <w:lang w:val="fr-FR" w:eastAsia="zh-CN"/>
        </w:rPr>
        <w:t>.</w:t>
      </w:r>
    </w:p>
    <w:p w:rsidR="00E85C42" w:rsidRPr="00A142DE" w:rsidRDefault="00A142DE" w:rsidP="00A142DE">
      <w:pPr>
        <w:pStyle w:val="SingleTxtG"/>
        <w:spacing w:before="240" w:after="0"/>
        <w:jc w:val="center"/>
        <w:rPr>
          <w:u w:val="single"/>
        </w:rPr>
      </w:pPr>
      <w:r>
        <w:rPr>
          <w:u w:val="single"/>
        </w:rPr>
        <w:tab/>
      </w:r>
      <w:r>
        <w:rPr>
          <w:u w:val="single"/>
        </w:rPr>
        <w:tab/>
      </w:r>
      <w:r>
        <w:rPr>
          <w:u w:val="single"/>
        </w:rPr>
        <w:tab/>
      </w:r>
    </w:p>
    <w:sectPr w:rsidR="00E85C42" w:rsidRPr="00A142DE" w:rsidSect="007D09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91E" w:rsidRDefault="0086391E" w:rsidP="00F95C08">
      <w:pPr>
        <w:spacing w:line="240" w:lineRule="auto"/>
      </w:pPr>
    </w:p>
  </w:endnote>
  <w:endnote w:type="continuationSeparator" w:id="0">
    <w:p w:rsidR="0086391E" w:rsidRPr="00AC3823" w:rsidRDefault="0086391E" w:rsidP="00AC3823">
      <w:pPr>
        <w:pStyle w:val="Pieddepage"/>
      </w:pPr>
    </w:p>
  </w:endnote>
  <w:endnote w:type="continuationNotice" w:id="1">
    <w:p w:rsidR="0086391E" w:rsidRDefault="008639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1E" w:rsidRPr="007D09AD" w:rsidRDefault="0086391E" w:rsidP="007D09AD">
    <w:pPr>
      <w:pStyle w:val="Pieddepage"/>
      <w:tabs>
        <w:tab w:val="right" w:pos="9638"/>
      </w:tabs>
    </w:pPr>
    <w:r w:rsidRPr="007D09AD">
      <w:rPr>
        <w:b/>
        <w:sz w:val="18"/>
      </w:rPr>
      <w:fldChar w:fldCharType="begin"/>
    </w:r>
    <w:r w:rsidRPr="007D09AD">
      <w:rPr>
        <w:b/>
        <w:sz w:val="18"/>
      </w:rPr>
      <w:instrText xml:space="preserve"> PAGE  \* MERGEFORMAT </w:instrText>
    </w:r>
    <w:r w:rsidRPr="007D09AD">
      <w:rPr>
        <w:b/>
        <w:sz w:val="18"/>
      </w:rPr>
      <w:fldChar w:fldCharType="separate"/>
    </w:r>
    <w:r w:rsidRPr="007D09AD">
      <w:rPr>
        <w:b/>
        <w:noProof/>
        <w:sz w:val="18"/>
      </w:rPr>
      <w:t>2</w:t>
    </w:r>
    <w:r w:rsidRPr="007D09AD">
      <w:rPr>
        <w:b/>
        <w:sz w:val="18"/>
      </w:rPr>
      <w:fldChar w:fldCharType="end"/>
    </w:r>
    <w:r>
      <w:rPr>
        <w:b/>
        <w:sz w:val="18"/>
      </w:rPr>
      <w:tab/>
    </w:r>
    <w:r>
      <w:t>GE.21-03616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1E" w:rsidRPr="007D09AD" w:rsidRDefault="0086391E" w:rsidP="007D09AD">
    <w:pPr>
      <w:pStyle w:val="Pieddepage"/>
      <w:tabs>
        <w:tab w:val="right" w:pos="9638"/>
      </w:tabs>
      <w:rPr>
        <w:b/>
        <w:sz w:val="18"/>
      </w:rPr>
    </w:pPr>
    <w:r>
      <w:t>GE.21-03616</w:t>
    </w:r>
    <w:r>
      <w:tab/>
    </w:r>
    <w:r w:rsidRPr="007D09AD">
      <w:rPr>
        <w:b/>
        <w:sz w:val="18"/>
      </w:rPr>
      <w:fldChar w:fldCharType="begin"/>
    </w:r>
    <w:r w:rsidRPr="007D09AD">
      <w:rPr>
        <w:b/>
        <w:sz w:val="18"/>
      </w:rPr>
      <w:instrText xml:space="preserve"> PAGE  \* MERGEFORMAT </w:instrText>
    </w:r>
    <w:r w:rsidRPr="007D09AD">
      <w:rPr>
        <w:b/>
        <w:sz w:val="18"/>
      </w:rPr>
      <w:fldChar w:fldCharType="separate"/>
    </w:r>
    <w:r w:rsidRPr="007D09AD">
      <w:rPr>
        <w:b/>
        <w:noProof/>
        <w:sz w:val="18"/>
      </w:rPr>
      <w:t>3</w:t>
    </w:r>
    <w:r w:rsidRPr="007D09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1E" w:rsidRPr="007D09AD" w:rsidRDefault="0086391E" w:rsidP="007D09A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21-03616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260321    2</w:t>
    </w:r>
    <w:r w:rsidR="00FC5911">
      <w:rPr>
        <w:sz w:val="20"/>
      </w:rPr>
      <w:t>9</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91E" w:rsidRPr="00AC3823" w:rsidRDefault="0086391E" w:rsidP="00AC3823">
      <w:pPr>
        <w:pStyle w:val="Pieddepage"/>
        <w:tabs>
          <w:tab w:val="right" w:pos="2155"/>
        </w:tabs>
        <w:spacing w:after="80" w:line="240" w:lineRule="atLeast"/>
        <w:ind w:left="680"/>
        <w:rPr>
          <w:u w:val="single"/>
        </w:rPr>
      </w:pPr>
      <w:r>
        <w:rPr>
          <w:u w:val="single"/>
        </w:rPr>
        <w:tab/>
      </w:r>
    </w:p>
  </w:footnote>
  <w:footnote w:type="continuationSeparator" w:id="0">
    <w:p w:rsidR="0086391E" w:rsidRPr="00AC3823" w:rsidRDefault="0086391E" w:rsidP="00AC3823">
      <w:pPr>
        <w:pStyle w:val="Pieddepage"/>
        <w:tabs>
          <w:tab w:val="right" w:pos="2155"/>
        </w:tabs>
        <w:spacing w:after="80" w:line="240" w:lineRule="atLeast"/>
        <w:ind w:left="680"/>
        <w:rPr>
          <w:u w:val="single"/>
        </w:rPr>
      </w:pPr>
      <w:r>
        <w:rPr>
          <w:u w:val="single"/>
        </w:rPr>
        <w:tab/>
      </w:r>
    </w:p>
  </w:footnote>
  <w:footnote w:type="continuationNotice" w:id="1">
    <w:p w:rsidR="0086391E" w:rsidRPr="00AC3823" w:rsidRDefault="0086391E">
      <w:pPr>
        <w:spacing w:line="240" w:lineRule="auto"/>
        <w:rPr>
          <w:sz w:val="2"/>
          <w:szCs w:val="2"/>
        </w:rPr>
      </w:pPr>
    </w:p>
  </w:footnote>
  <w:footnote w:id="2">
    <w:p w:rsidR="0086391E" w:rsidRPr="00A142DE" w:rsidRDefault="0086391E">
      <w:pPr>
        <w:pStyle w:val="Notedebasdepage"/>
      </w:pPr>
      <w:r>
        <w:rPr>
          <w:rStyle w:val="Appelnotedebasdep"/>
        </w:rPr>
        <w:tab/>
      </w:r>
      <w:r w:rsidRPr="00A142DE">
        <w:rPr>
          <w:rStyle w:val="Appelnotedebasdep"/>
          <w:sz w:val="20"/>
          <w:vertAlign w:val="baseline"/>
        </w:rPr>
        <w:t>*</w:t>
      </w:r>
      <w:r>
        <w:rPr>
          <w:rStyle w:val="Appelnotedebasdep"/>
          <w:sz w:val="20"/>
          <w:vertAlign w:val="baseline"/>
        </w:rPr>
        <w:tab/>
      </w:r>
      <w:r>
        <w:rPr>
          <w:lang w:val="fr-FR"/>
        </w:rPr>
        <w:t>Adoptée par le Comité à sa 129</w:t>
      </w:r>
      <w:r w:rsidRPr="00823E4E">
        <w:rPr>
          <w:vertAlign w:val="superscript"/>
          <w:lang w:val="fr-FR"/>
        </w:rPr>
        <w:t>e</w:t>
      </w:r>
      <w:r>
        <w:rPr>
          <w:lang w:val="fr-FR"/>
        </w:rPr>
        <w:t> session (29 juin-24 juillet 2020)</w:t>
      </w:r>
      <w:r w:rsidRPr="00ED00E1">
        <w:rPr>
          <w:lang w:val="fr-FR"/>
        </w:rPr>
        <w:t>.</w:t>
      </w:r>
    </w:p>
  </w:footnote>
  <w:footnote w:id="3">
    <w:p w:rsidR="0086391E" w:rsidRPr="00ED00E1" w:rsidRDefault="0086391E" w:rsidP="00A142DE">
      <w:pPr>
        <w:pStyle w:val="Notedebasdepage"/>
        <w:rPr>
          <w:lang w:val="fr-FR"/>
        </w:rPr>
      </w:pPr>
      <w:r w:rsidRPr="00F114BA">
        <w:rPr>
          <w:sz w:val="20"/>
          <w:lang w:val="fr-FR"/>
        </w:rPr>
        <w:tab/>
        <w:t>**</w:t>
      </w:r>
      <w:r w:rsidRPr="00F114BA">
        <w:rPr>
          <w:sz w:val="20"/>
          <w:lang w:val="fr-FR"/>
        </w:rPr>
        <w:tab/>
      </w:r>
      <w:r>
        <w:t xml:space="preserve">Les membres du Comité dont le nom suit ont participé à l’examen de la communication : </w:t>
      </w:r>
      <w:r w:rsidRPr="007C512E">
        <w:t xml:space="preserve">Tania María Abdo </w:t>
      </w:r>
      <w:proofErr w:type="spellStart"/>
      <w:r w:rsidRPr="007C512E">
        <w:t>Rocholl</w:t>
      </w:r>
      <w:proofErr w:type="spellEnd"/>
      <w:r w:rsidRPr="007C512E">
        <w:t xml:space="preserve">, </w:t>
      </w:r>
      <w:proofErr w:type="spellStart"/>
      <w:r w:rsidRPr="007C512E">
        <w:t>Yadh</w:t>
      </w:r>
      <w:proofErr w:type="spellEnd"/>
      <w:r w:rsidRPr="007C512E">
        <w:t xml:space="preserve"> Ben Achour, Arif </w:t>
      </w:r>
      <w:proofErr w:type="spellStart"/>
      <w:r w:rsidRPr="007C512E">
        <w:t>Bulkan</w:t>
      </w:r>
      <w:proofErr w:type="spellEnd"/>
      <w:r w:rsidRPr="007C512E">
        <w:t xml:space="preserve">, Ahmed Amin </w:t>
      </w:r>
      <w:proofErr w:type="spellStart"/>
      <w:r w:rsidRPr="007C512E">
        <w:t>Fathalla</w:t>
      </w:r>
      <w:proofErr w:type="spellEnd"/>
      <w:r w:rsidRPr="007C512E">
        <w:t xml:space="preserve">, </w:t>
      </w:r>
      <w:proofErr w:type="spellStart"/>
      <w:r w:rsidRPr="007C512E">
        <w:t>Furuya</w:t>
      </w:r>
      <w:proofErr w:type="spellEnd"/>
      <w:r w:rsidRPr="00BF3DF5">
        <w:t xml:space="preserve"> </w:t>
      </w:r>
      <w:proofErr w:type="spellStart"/>
      <w:r w:rsidRPr="007C512E">
        <w:t>Shuichi</w:t>
      </w:r>
      <w:proofErr w:type="spellEnd"/>
      <w:r w:rsidRPr="007C512E">
        <w:t xml:space="preserve">, </w:t>
      </w:r>
      <w:proofErr w:type="spellStart"/>
      <w:r w:rsidRPr="007C512E">
        <w:t>Bamariam</w:t>
      </w:r>
      <w:proofErr w:type="spellEnd"/>
      <w:r w:rsidRPr="007C512E">
        <w:t xml:space="preserve"> </w:t>
      </w:r>
      <w:proofErr w:type="spellStart"/>
      <w:r w:rsidRPr="007C512E">
        <w:t>Koita</w:t>
      </w:r>
      <w:proofErr w:type="spellEnd"/>
      <w:r w:rsidRPr="007C512E">
        <w:t xml:space="preserve">, Marcia </w:t>
      </w:r>
      <w:r w:rsidRPr="00BF3DF5">
        <w:t>V.</w:t>
      </w:r>
      <w:r>
        <w:t> </w:t>
      </w:r>
      <w:r w:rsidRPr="00BF3DF5">
        <w:t xml:space="preserve">J. </w:t>
      </w:r>
      <w:proofErr w:type="spellStart"/>
      <w:r w:rsidRPr="007C512E">
        <w:t>Kran</w:t>
      </w:r>
      <w:proofErr w:type="spellEnd"/>
      <w:r w:rsidRPr="007C512E">
        <w:t xml:space="preserve">, Duncan Laki </w:t>
      </w:r>
      <w:proofErr w:type="spellStart"/>
      <w:r w:rsidRPr="007C512E">
        <w:t>Muhumuza</w:t>
      </w:r>
      <w:proofErr w:type="spellEnd"/>
      <w:r w:rsidRPr="007C512E">
        <w:t xml:space="preserve">, </w:t>
      </w:r>
      <w:proofErr w:type="spellStart"/>
      <w:r w:rsidRPr="007C512E">
        <w:t>Photini</w:t>
      </w:r>
      <w:proofErr w:type="spellEnd"/>
      <w:r w:rsidRPr="007C512E">
        <w:t xml:space="preserve"> </w:t>
      </w:r>
      <w:proofErr w:type="spellStart"/>
      <w:r w:rsidRPr="007C512E">
        <w:t>Pazartzis</w:t>
      </w:r>
      <w:proofErr w:type="spellEnd"/>
      <w:r w:rsidRPr="007C512E">
        <w:t xml:space="preserve">, Hernán </w:t>
      </w:r>
      <w:proofErr w:type="spellStart"/>
      <w:r w:rsidRPr="007C512E">
        <w:t>Quezada</w:t>
      </w:r>
      <w:proofErr w:type="spellEnd"/>
      <w:r w:rsidRPr="007C512E">
        <w:t xml:space="preserve"> Cabrera, </w:t>
      </w:r>
      <w:proofErr w:type="spellStart"/>
      <w:r w:rsidRPr="007C512E">
        <w:t>Vasilka</w:t>
      </w:r>
      <w:proofErr w:type="spellEnd"/>
      <w:r w:rsidRPr="007C512E">
        <w:t xml:space="preserve"> </w:t>
      </w:r>
      <w:proofErr w:type="spellStart"/>
      <w:r w:rsidRPr="007C512E">
        <w:t>Sancin</w:t>
      </w:r>
      <w:proofErr w:type="spellEnd"/>
      <w:r w:rsidRPr="007C512E">
        <w:t xml:space="preserve">, José Manuel Santos Pais, Yuval </w:t>
      </w:r>
      <w:proofErr w:type="spellStart"/>
      <w:r w:rsidRPr="007C512E">
        <w:t>Shany</w:t>
      </w:r>
      <w:proofErr w:type="spellEnd"/>
      <w:r w:rsidRPr="007C512E">
        <w:t xml:space="preserve">, Hélène </w:t>
      </w:r>
      <w:proofErr w:type="spellStart"/>
      <w:r w:rsidRPr="007C512E">
        <w:t>Tigroudja</w:t>
      </w:r>
      <w:proofErr w:type="spellEnd"/>
      <w:r w:rsidRPr="007C512E">
        <w:t>, Andreas Z</w:t>
      </w:r>
      <w:r w:rsidRPr="001433B5">
        <w:t xml:space="preserve">immermann </w:t>
      </w:r>
      <w:r>
        <w:t>et </w:t>
      </w:r>
      <w:proofErr w:type="spellStart"/>
      <w:r w:rsidRPr="001433B5">
        <w:t>Gentian</w:t>
      </w:r>
      <w:proofErr w:type="spellEnd"/>
      <w:r w:rsidRPr="001433B5">
        <w:t xml:space="preserve"> </w:t>
      </w:r>
      <w:proofErr w:type="spellStart"/>
      <w:r w:rsidRPr="001433B5">
        <w:t>Zyberi</w:t>
      </w:r>
      <w:proofErr w:type="spellEnd"/>
      <w:r w:rsidRPr="001433B5">
        <w:t>.</w:t>
      </w:r>
      <w:bookmarkStart w:id="0" w:name="_GoBack"/>
      <w:bookmarkEnd w:id="0"/>
    </w:p>
  </w:footnote>
  <w:footnote w:id="4">
    <w:p w:rsidR="0086391E" w:rsidRPr="00ED00E1" w:rsidRDefault="0086391E" w:rsidP="00A142DE">
      <w:pPr>
        <w:pStyle w:val="Notedebasdepage"/>
        <w:rPr>
          <w:lang w:val="fr-FR"/>
        </w:rPr>
      </w:pPr>
      <w:r w:rsidRPr="00ED00E1">
        <w:rPr>
          <w:lang w:val="fr-FR"/>
        </w:rPr>
        <w:tab/>
      </w:r>
      <w:r w:rsidRPr="00823E4E">
        <w:rPr>
          <w:rStyle w:val="Appelnotedebasdep"/>
        </w:rPr>
        <w:footnoteRef/>
      </w:r>
      <w:r w:rsidRPr="00ED00E1">
        <w:rPr>
          <w:lang w:val="fr-FR"/>
        </w:rPr>
        <w:tab/>
      </w:r>
      <w:r>
        <w:rPr>
          <w:lang w:val="fr-FR"/>
        </w:rPr>
        <w:t>D</w:t>
      </w:r>
      <w:r w:rsidRPr="00ED00E1">
        <w:rPr>
          <w:lang w:val="fr-FR"/>
        </w:rPr>
        <w:t>es</w:t>
      </w:r>
      <w:r>
        <w:rPr>
          <w:lang w:val="fr-FR"/>
        </w:rPr>
        <w:t xml:space="preserve"> </w:t>
      </w:r>
      <w:r w:rsidRPr="00ED00E1">
        <w:rPr>
          <w:lang w:val="fr-FR"/>
        </w:rPr>
        <w:t>recours</w:t>
      </w:r>
      <w:r>
        <w:rPr>
          <w:lang w:val="fr-FR"/>
        </w:rPr>
        <w:t xml:space="preserve"> </w:t>
      </w:r>
      <w:r w:rsidRPr="00ED00E1">
        <w:rPr>
          <w:lang w:val="fr-FR"/>
        </w:rPr>
        <w:t>en</w:t>
      </w:r>
      <w:r>
        <w:rPr>
          <w:lang w:val="fr-FR"/>
        </w:rPr>
        <w:t xml:space="preserve"> </w:t>
      </w:r>
      <w:r w:rsidRPr="00ED00E1">
        <w:rPr>
          <w:lang w:val="fr-FR"/>
        </w:rPr>
        <w:t>cassation</w:t>
      </w:r>
      <w:r>
        <w:rPr>
          <w:lang w:val="fr-FR"/>
        </w:rPr>
        <w:t xml:space="preserve"> </w:t>
      </w:r>
      <w:r w:rsidRPr="00ED00E1">
        <w:rPr>
          <w:lang w:val="fr-FR"/>
        </w:rPr>
        <w:t>ont</w:t>
      </w:r>
      <w:r>
        <w:rPr>
          <w:lang w:val="fr-FR"/>
        </w:rPr>
        <w:t xml:space="preserve"> </w:t>
      </w:r>
      <w:r w:rsidRPr="00ED00E1">
        <w:rPr>
          <w:lang w:val="fr-FR"/>
        </w:rPr>
        <w:t>été</w:t>
      </w:r>
      <w:r>
        <w:rPr>
          <w:lang w:val="fr-FR"/>
        </w:rPr>
        <w:t xml:space="preserve"> formés </w:t>
      </w:r>
      <w:r w:rsidRPr="00ED00E1">
        <w:rPr>
          <w:lang w:val="fr-FR"/>
        </w:rPr>
        <w:t>par</w:t>
      </w:r>
      <w:r>
        <w:rPr>
          <w:lang w:val="fr-FR"/>
        </w:rPr>
        <w:t xml:space="preserve"> </w:t>
      </w:r>
      <w:r w:rsidRPr="00ED00E1">
        <w:rPr>
          <w:lang w:val="fr-FR"/>
        </w:rPr>
        <w:t>l</w:t>
      </w:r>
      <w:r>
        <w:rPr>
          <w:lang w:val="fr-FR"/>
        </w:rPr>
        <w:t>’</w:t>
      </w:r>
      <w:r w:rsidRPr="00ED00E1">
        <w:rPr>
          <w:lang w:val="fr-FR"/>
        </w:rPr>
        <w:t>auteur</w:t>
      </w:r>
      <w:r>
        <w:rPr>
          <w:lang w:val="fr-FR"/>
        </w:rPr>
        <w:t xml:space="preserve"> </w:t>
      </w:r>
      <w:r w:rsidRPr="00ED00E1">
        <w:rPr>
          <w:lang w:val="fr-FR"/>
        </w:rPr>
        <w:t>et</w:t>
      </w:r>
      <w:r>
        <w:rPr>
          <w:lang w:val="fr-FR"/>
        </w:rPr>
        <w:t xml:space="preserve"> </w:t>
      </w:r>
      <w:r w:rsidRPr="00ED00E1">
        <w:rPr>
          <w:lang w:val="fr-FR"/>
        </w:rPr>
        <w:t>par</w:t>
      </w:r>
      <w:r>
        <w:rPr>
          <w:lang w:val="fr-FR"/>
        </w:rPr>
        <w:t xml:space="preserve"> </w:t>
      </w:r>
      <w:r w:rsidRPr="00ED00E1">
        <w:rPr>
          <w:lang w:val="fr-FR"/>
        </w:rPr>
        <w:t>son</w:t>
      </w:r>
      <w:r>
        <w:rPr>
          <w:lang w:val="fr-FR"/>
        </w:rPr>
        <w:t xml:space="preserve"> </w:t>
      </w:r>
      <w:r w:rsidRPr="00ED00E1">
        <w:rPr>
          <w:lang w:val="fr-FR"/>
        </w:rPr>
        <w:t>conseil.</w:t>
      </w:r>
    </w:p>
  </w:footnote>
  <w:footnote w:id="5">
    <w:p w:rsidR="0086391E" w:rsidRPr="00ED00E1" w:rsidRDefault="0086391E" w:rsidP="00A142DE">
      <w:pPr>
        <w:pStyle w:val="Notedebasdepage"/>
        <w:rPr>
          <w:lang w:val="fr-FR"/>
        </w:rPr>
      </w:pPr>
      <w:r w:rsidRPr="00ED00E1">
        <w:rPr>
          <w:lang w:val="fr-FR"/>
        </w:rPr>
        <w:tab/>
      </w:r>
      <w:r w:rsidRPr="00823E4E">
        <w:rPr>
          <w:rStyle w:val="Appelnotedebasdep"/>
        </w:rPr>
        <w:footnoteRef/>
      </w:r>
      <w:r w:rsidRPr="00ED00E1">
        <w:rPr>
          <w:lang w:val="fr-FR"/>
        </w:rPr>
        <w:tab/>
      </w:r>
      <w:r>
        <w:rPr>
          <w:lang w:val="fr-FR"/>
        </w:rPr>
        <w:t xml:space="preserve">Les infractions faisant l’objet de l’affaire étant passibles de </w:t>
      </w:r>
      <w:r w:rsidRPr="00ED00E1">
        <w:rPr>
          <w:lang w:val="fr-FR"/>
        </w:rPr>
        <w:t>la</w:t>
      </w:r>
      <w:r>
        <w:rPr>
          <w:lang w:val="fr-FR"/>
        </w:rPr>
        <w:t xml:space="preserve"> </w:t>
      </w:r>
      <w:r w:rsidRPr="00ED00E1">
        <w:rPr>
          <w:lang w:val="fr-FR"/>
        </w:rPr>
        <w:t>peine</w:t>
      </w:r>
      <w:r>
        <w:rPr>
          <w:lang w:val="fr-FR"/>
        </w:rPr>
        <w:t xml:space="preserve"> </w:t>
      </w:r>
      <w:r w:rsidRPr="00ED00E1">
        <w:rPr>
          <w:lang w:val="fr-FR"/>
        </w:rPr>
        <w:t>capitale,</w:t>
      </w:r>
      <w:r>
        <w:rPr>
          <w:lang w:val="fr-FR"/>
        </w:rPr>
        <w:t xml:space="preserve"> </w:t>
      </w:r>
      <w:r w:rsidRPr="00ED00E1">
        <w:rPr>
          <w:lang w:val="fr-FR"/>
        </w:rPr>
        <w:t>le</w:t>
      </w:r>
      <w:r>
        <w:rPr>
          <w:lang w:val="fr-FR"/>
        </w:rPr>
        <w:t xml:space="preserve"> </w:t>
      </w:r>
      <w:r w:rsidRPr="00ED00E1">
        <w:rPr>
          <w:lang w:val="fr-FR"/>
        </w:rPr>
        <w:t>tribunal</w:t>
      </w:r>
      <w:r>
        <w:rPr>
          <w:lang w:val="fr-FR"/>
        </w:rPr>
        <w:t xml:space="preserve"> </w:t>
      </w:r>
      <w:r w:rsidRPr="00ED00E1">
        <w:rPr>
          <w:lang w:val="fr-FR"/>
        </w:rPr>
        <w:t>régional</w:t>
      </w:r>
      <w:r>
        <w:rPr>
          <w:lang w:val="fr-FR"/>
        </w:rPr>
        <w:t xml:space="preserve"> a </w:t>
      </w:r>
      <w:r w:rsidRPr="00ED00E1">
        <w:rPr>
          <w:lang w:val="fr-FR"/>
        </w:rPr>
        <w:t>statu</w:t>
      </w:r>
      <w:r>
        <w:rPr>
          <w:lang w:val="fr-FR"/>
        </w:rPr>
        <w:t xml:space="preserve">é </w:t>
      </w:r>
      <w:r w:rsidRPr="00ED00E1">
        <w:rPr>
          <w:lang w:val="fr-FR"/>
        </w:rPr>
        <w:t>en</w:t>
      </w:r>
      <w:r>
        <w:rPr>
          <w:lang w:val="fr-FR"/>
        </w:rPr>
        <w:t xml:space="preserve"> </w:t>
      </w:r>
      <w:r w:rsidRPr="00ED00E1">
        <w:rPr>
          <w:lang w:val="fr-FR"/>
        </w:rPr>
        <w:t>tant</w:t>
      </w:r>
      <w:r>
        <w:rPr>
          <w:lang w:val="fr-FR"/>
        </w:rPr>
        <w:t xml:space="preserve"> </w:t>
      </w:r>
      <w:r w:rsidRPr="00ED00E1">
        <w:rPr>
          <w:lang w:val="fr-FR"/>
        </w:rPr>
        <w:t>que</w:t>
      </w:r>
      <w:r>
        <w:rPr>
          <w:lang w:val="fr-FR"/>
        </w:rPr>
        <w:t xml:space="preserve"> </w:t>
      </w:r>
      <w:r w:rsidRPr="00ED00E1">
        <w:rPr>
          <w:lang w:val="fr-FR"/>
        </w:rPr>
        <w:t>juridiction</w:t>
      </w:r>
      <w:r>
        <w:rPr>
          <w:lang w:val="fr-FR"/>
        </w:rPr>
        <w:t xml:space="preserve"> </w:t>
      </w:r>
      <w:r w:rsidRPr="00ED00E1">
        <w:rPr>
          <w:lang w:val="fr-FR"/>
        </w:rPr>
        <w:t>de</w:t>
      </w:r>
      <w:r>
        <w:rPr>
          <w:lang w:val="fr-FR"/>
        </w:rPr>
        <w:t xml:space="preserve"> </w:t>
      </w:r>
      <w:r w:rsidRPr="00ED00E1">
        <w:rPr>
          <w:lang w:val="fr-FR"/>
        </w:rPr>
        <w:t>première</w:t>
      </w:r>
      <w:r>
        <w:rPr>
          <w:lang w:val="fr-FR"/>
        </w:rPr>
        <w:t xml:space="preserve"> </w:t>
      </w:r>
      <w:r w:rsidRPr="00ED00E1">
        <w:rPr>
          <w:lang w:val="fr-FR"/>
        </w:rPr>
        <w:t>instance</w:t>
      </w:r>
      <w:r>
        <w:rPr>
          <w:lang w:val="fr-FR"/>
        </w:rPr>
        <w:t xml:space="preserve"> </w:t>
      </w:r>
      <w:r w:rsidRPr="00ED00E1">
        <w:rPr>
          <w:lang w:val="fr-FR"/>
        </w:rPr>
        <w:t>et</w:t>
      </w:r>
      <w:r>
        <w:rPr>
          <w:lang w:val="fr-FR"/>
        </w:rPr>
        <w:t xml:space="preserve"> </w:t>
      </w:r>
      <w:r w:rsidRPr="00ED00E1">
        <w:rPr>
          <w:lang w:val="fr-FR"/>
        </w:rPr>
        <w:t>la</w:t>
      </w:r>
      <w:r>
        <w:rPr>
          <w:lang w:val="fr-FR"/>
        </w:rPr>
        <w:t xml:space="preserve"> </w:t>
      </w:r>
      <w:r w:rsidRPr="00ED00E1">
        <w:rPr>
          <w:lang w:val="fr-FR"/>
        </w:rPr>
        <w:t>Cour</w:t>
      </w:r>
      <w:r>
        <w:rPr>
          <w:lang w:val="fr-FR"/>
        </w:rPr>
        <w:t xml:space="preserve"> </w:t>
      </w:r>
      <w:r w:rsidRPr="00ED00E1">
        <w:rPr>
          <w:lang w:val="fr-FR"/>
        </w:rPr>
        <w:t>suprême</w:t>
      </w:r>
      <w:r>
        <w:rPr>
          <w:lang w:val="fr-FR"/>
        </w:rPr>
        <w:t xml:space="preserve"> </w:t>
      </w:r>
      <w:r w:rsidRPr="00ED00E1">
        <w:rPr>
          <w:lang w:val="fr-FR"/>
        </w:rPr>
        <w:t>en</w:t>
      </w:r>
      <w:r>
        <w:rPr>
          <w:lang w:val="fr-FR"/>
        </w:rPr>
        <w:t xml:space="preserve"> tant que cour d’</w:t>
      </w:r>
      <w:r w:rsidRPr="00ED00E1">
        <w:rPr>
          <w:lang w:val="fr-FR"/>
        </w:rPr>
        <w:t>appel</w:t>
      </w:r>
      <w:r>
        <w:rPr>
          <w:lang w:val="fr-FR"/>
        </w:rPr>
        <w:t xml:space="preserve"> </w:t>
      </w:r>
      <w:r w:rsidRPr="00ED00E1">
        <w:rPr>
          <w:lang w:val="fr-FR"/>
        </w:rPr>
        <w:t>(</w:t>
      </w:r>
      <w:r>
        <w:rPr>
          <w:lang w:val="fr-FR"/>
        </w:rPr>
        <w:t xml:space="preserve">juridiction de </w:t>
      </w:r>
      <w:r w:rsidRPr="00ED00E1">
        <w:rPr>
          <w:lang w:val="fr-FR"/>
        </w:rPr>
        <w:t>deuxième</w:t>
      </w:r>
      <w:r>
        <w:rPr>
          <w:lang w:val="fr-FR"/>
        </w:rPr>
        <w:t xml:space="preserve"> </w:t>
      </w:r>
      <w:r w:rsidRPr="00ED00E1">
        <w:rPr>
          <w:lang w:val="fr-FR"/>
        </w:rPr>
        <w:t>instance).</w:t>
      </w:r>
    </w:p>
  </w:footnote>
  <w:footnote w:id="6">
    <w:p w:rsidR="0086391E" w:rsidRDefault="0086391E" w:rsidP="00A142DE">
      <w:pPr>
        <w:pStyle w:val="Notedebasdepage"/>
      </w:pPr>
      <w:r>
        <w:tab/>
      </w:r>
      <w:r w:rsidRPr="00823E4E">
        <w:rPr>
          <w:rStyle w:val="Appelnotedebasdep"/>
        </w:rPr>
        <w:footnoteRef/>
      </w:r>
      <w:r>
        <w:tab/>
        <w:t>L’auteur n’a pas fourni de copie de ses recours en cassation.</w:t>
      </w:r>
    </w:p>
  </w:footnote>
  <w:footnote w:id="7">
    <w:p w:rsidR="0086391E" w:rsidRPr="00ED00E1" w:rsidRDefault="0086391E" w:rsidP="00A142DE">
      <w:pPr>
        <w:pStyle w:val="Notedebasdepage"/>
        <w:rPr>
          <w:lang w:val="fr-FR"/>
        </w:rPr>
      </w:pPr>
      <w:r w:rsidRPr="00ED00E1">
        <w:rPr>
          <w:lang w:val="fr-FR"/>
        </w:rPr>
        <w:tab/>
      </w:r>
      <w:r w:rsidRPr="00823E4E">
        <w:rPr>
          <w:rStyle w:val="Appelnotedebasdep"/>
        </w:rPr>
        <w:footnoteRef/>
      </w:r>
      <w:r w:rsidRPr="00ED00E1">
        <w:rPr>
          <w:lang w:val="fr-FR"/>
        </w:rPr>
        <w:tab/>
        <w:t>Le</w:t>
      </w:r>
      <w:r>
        <w:rPr>
          <w:lang w:val="fr-FR"/>
        </w:rPr>
        <w:t xml:space="preserve"> s</w:t>
      </w:r>
      <w:r w:rsidRPr="00ED00E1">
        <w:rPr>
          <w:lang w:val="fr-FR"/>
        </w:rPr>
        <w:t>ecrétariat</w:t>
      </w:r>
      <w:r>
        <w:rPr>
          <w:lang w:val="fr-FR"/>
        </w:rPr>
        <w:t xml:space="preserve"> </w:t>
      </w:r>
      <w:r w:rsidRPr="00ED00E1">
        <w:rPr>
          <w:lang w:val="fr-FR"/>
        </w:rPr>
        <w:t>a</w:t>
      </w:r>
      <w:r>
        <w:rPr>
          <w:lang w:val="fr-FR"/>
        </w:rPr>
        <w:t xml:space="preserve"> </w:t>
      </w:r>
      <w:r w:rsidRPr="00ED00E1">
        <w:rPr>
          <w:lang w:val="fr-FR"/>
        </w:rPr>
        <w:t>demandé</w:t>
      </w:r>
      <w:r>
        <w:rPr>
          <w:lang w:val="fr-FR"/>
        </w:rPr>
        <w:t xml:space="preserve"> </w:t>
      </w:r>
      <w:r w:rsidRPr="00ED00E1">
        <w:rPr>
          <w:lang w:val="fr-FR"/>
        </w:rPr>
        <w:t>des</w:t>
      </w:r>
      <w:r>
        <w:rPr>
          <w:lang w:val="fr-FR"/>
        </w:rPr>
        <w:t xml:space="preserve"> </w:t>
      </w:r>
      <w:r w:rsidRPr="00ED00E1">
        <w:rPr>
          <w:lang w:val="fr-FR"/>
        </w:rPr>
        <w:t>explications</w:t>
      </w:r>
      <w:r>
        <w:rPr>
          <w:lang w:val="fr-FR"/>
        </w:rPr>
        <w:t xml:space="preserve"> </w:t>
      </w:r>
      <w:r w:rsidRPr="00ED00E1">
        <w:rPr>
          <w:lang w:val="fr-FR"/>
        </w:rPr>
        <w:t>à</w:t>
      </w:r>
      <w:r>
        <w:rPr>
          <w:lang w:val="fr-FR"/>
        </w:rPr>
        <w:t xml:space="preserve"> </w:t>
      </w:r>
      <w:r w:rsidRPr="00ED00E1">
        <w:rPr>
          <w:lang w:val="fr-FR"/>
        </w:rPr>
        <w:t>l</w:t>
      </w:r>
      <w:r>
        <w:rPr>
          <w:lang w:val="fr-FR"/>
        </w:rPr>
        <w:t>’</w:t>
      </w:r>
      <w:r w:rsidRPr="00ED00E1">
        <w:rPr>
          <w:lang w:val="fr-FR"/>
        </w:rPr>
        <w:t>auteur</w:t>
      </w:r>
      <w:r>
        <w:rPr>
          <w:lang w:val="fr-FR"/>
        </w:rPr>
        <w:t xml:space="preserve"> </w:t>
      </w:r>
      <w:r w:rsidRPr="00ED00E1">
        <w:rPr>
          <w:lang w:val="fr-FR"/>
        </w:rPr>
        <w:t>concernant</w:t>
      </w:r>
      <w:r>
        <w:rPr>
          <w:lang w:val="fr-FR"/>
        </w:rPr>
        <w:t xml:space="preserve"> </w:t>
      </w:r>
      <w:r w:rsidRPr="00ED00E1">
        <w:rPr>
          <w:lang w:val="fr-FR"/>
        </w:rPr>
        <w:t>ce</w:t>
      </w:r>
      <w:r>
        <w:rPr>
          <w:lang w:val="fr-FR"/>
        </w:rPr>
        <w:t xml:space="preserve"> </w:t>
      </w:r>
      <w:r w:rsidRPr="00ED00E1">
        <w:rPr>
          <w:lang w:val="fr-FR"/>
        </w:rPr>
        <w:t>retard,</w:t>
      </w:r>
      <w:r>
        <w:rPr>
          <w:lang w:val="fr-FR"/>
        </w:rPr>
        <w:t xml:space="preserve"> </w:t>
      </w:r>
      <w:r w:rsidRPr="00ED00E1">
        <w:rPr>
          <w:lang w:val="fr-FR"/>
        </w:rPr>
        <w:t>et</w:t>
      </w:r>
      <w:r>
        <w:rPr>
          <w:lang w:val="fr-FR"/>
        </w:rPr>
        <w:t xml:space="preserve"> </w:t>
      </w:r>
      <w:r w:rsidRPr="00ED00E1">
        <w:rPr>
          <w:lang w:val="fr-FR"/>
        </w:rPr>
        <w:t>l</w:t>
      </w:r>
      <w:r>
        <w:rPr>
          <w:lang w:val="fr-FR"/>
        </w:rPr>
        <w:t>’</w:t>
      </w:r>
      <w:r w:rsidRPr="00ED00E1">
        <w:rPr>
          <w:lang w:val="fr-FR"/>
        </w:rPr>
        <w:t>auteur</w:t>
      </w:r>
      <w:r>
        <w:rPr>
          <w:lang w:val="fr-FR"/>
        </w:rPr>
        <w:t xml:space="preserve"> </w:t>
      </w:r>
      <w:r w:rsidRPr="00ED00E1">
        <w:rPr>
          <w:lang w:val="fr-FR"/>
        </w:rPr>
        <w:t>a</w:t>
      </w:r>
      <w:r>
        <w:rPr>
          <w:lang w:val="fr-FR"/>
        </w:rPr>
        <w:t xml:space="preserve"> </w:t>
      </w:r>
      <w:r w:rsidRPr="00ED00E1">
        <w:rPr>
          <w:lang w:val="fr-FR"/>
        </w:rPr>
        <w:t>répondu</w:t>
      </w:r>
      <w:r>
        <w:rPr>
          <w:lang w:val="fr-FR"/>
        </w:rPr>
        <w:t xml:space="preserve"> </w:t>
      </w:r>
      <w:r w:rsidRPr="00ED00E1">
        <w:rPr>
          <w:lang w:val="fr-FR"/>
        </w:rPr>
        <w:t>le</w:t>
      </w:r>
      <w:r>
        <w:rPr>
          <w:lang w:val="fr-FR"/>
        </w:rPr>
        <w:t xml:space="preserve"> </w:t>
      </w:r>
      <w:r w:rsidRPr="00ED00E1">
        <w:rPr>
          <w:lang w:val="fr-FR"/>
        </w:rPr>
        <w:t>8</w:t>
      </w:r>
      <w:r>
        <w:rPr>
          <w:lang w:val="fr-FR"/>
        </w:rPr>
        <w:t> </w:t>
      </w:r>
      <w:r w:rsidRPr="00ED00E1">
        <w:rPr>
          <w:lang w:val="fr-FR"/>
        </w:rPr>
        <w:t>mai</w:t>
      </w:r>
      <w:r>
        <w:rPr>
          <w:lang w:val="fr-FR"/>
        </w:rPr>
        <w:t xml:space="preserve"> </w:t>
      </w:r>
      <w:r w:rsidRPr="00ED00E1">
        <w:rPr>
          <w:lang w:val="fr-FR"/>
        </w:rPr>
        <w:t>2014.</w:t>
      </w:r>
    </w:p>
  </w:footnote>
  <w:footnote w:id="8">
    <w:p w:rsidR="0086391E" w:rsidRPr="00ED00E1" w:rsidRDefault="0086391E" w:rsidP="00A142DE">
      <w:pPr>
        <w:pStyle w:val="Notedebasdepage"/>
        <w:rPr>
          <w:lang w:val="fr-FR"/>
        </w:rPr>
      </w:pPr>
      <w:r w:rsidRPr="00ED00E1">
        <w:rPr>
          <w:lang w:val="fr-FR"/>
        </w:rPr>
        <w:tab/>
      </w:r>
      <w:r w:rsidRPr="00823E4E">
        <w:rPr>
          <w:rStyle w:val="Appelnotedebasdep"/>
        </w:rPr>
        <w:footnoteRef/>
      </w:r>
      <w:r w:rsidRPr="00ED00E1">
        <w:rPr>
          <w:lang w:val="fr-FR"/>
        </w:rPr>
        <w:tab/>
        <w:t>Il</w:t>
      </w:r>
      <w:r>
        <w:rPr>
          <w:lang w:val="fr-FR"/>
        </w:rPr>
        <w:t xml:space="preserve"> </w:t>
      </w:r>
      <w:r w:rsidRPr="00ED00E1">
        <w:rPr>
          <w:lang w:val="fr-FR"/>
        </w:rPr>
        <w:t>n</w:t>
      </w:r>
      <w:r>
        <w:rPr>
          <w:lang w:val="fr-FR"/>
        </w:rPr>
        <w:t>’</w:t>
      </w:r>
      <w:r w:rsidRPr="00ED00E1">
        <w:rPr>
          <w:lang w:val="fr-FR"/>
        </w:rPr>
        <w:t>a</w:t>
      </w:r>
      <w:r>
        <w:rPr>
          <w:lang w:val="fr-FR"/>
        </w:rPr>
        <w:t xml:space="preserve"> </w:t>
      </w:r>
      <w:r w:rsidRPr="00ED00E1">
        <w:rPr>
          <w:lang w:val="fr-FR"/>
        </w:rPr>
        <w:t>pas</w:t>
      </w:r>
      <w:r>
        <w:rPr>
          <w:lang w:val="fr-FR"/>
        </w:rPr>
        <w:t xml:space="preserve"> </w:t>
      </w:r>
      <w:r w:rsidRPr="00ED00E1">
        <w:rPr>
          <w:lang w:val="fr-FR"/>
        </w:rPr>
        <w:t>été</w:t>
      </w:r>
      <w:r>
        <w:rPr>
          <w:lang w:val="fr-FR"/>
        </w:rPr>
        <w:t xml:space="preserve"> </w:t>
      </w:r>
      <w:r w:rsidRPr="00ED00E1">
        <w:rPr>
          <w:lang w:val="fr-FR"/>
        </w:rPr>
        <w:t>fourni</w:t>
      </w:r>
      <w:r>
        <w:rPr>
          <w:lang w:val="fr-FR"/>
        </w:rPr>
        <w:t xml:space="preserve"> </w:t>
      </w:r>
      <w:r w:rsidRPr="00ED00E1">
        <w:rPr>
          <w:lang w:val="fr-FR"/>
        </w:rPr>
        <w:t>de</w:t>
      </w:r>
      <w:r>
        <w:rPr>
          <w:lang w:val="fr-FR"/>
        </w:rPr>
        <w:t xml:space="preserve"> </w:t>
      </w:r>
      <w:r w:rsidRPr="00ED00E1">
        <w:rPr>
          <w:lang w:val="fr-FR"/>
        </w:rPr>
        <w:t>copie</w:t>
      </w:r>
      <w:r>
        <w:rPr>
          <w:lang w:val="fr-FR"/>
        </w:rPr>
        <w:t xml:space="preserve"> </w:t>
      </w:r>
      <w:r w:rsidRPr="00ED00E1">
        <w:rPr>
          <w:lang w:val="fr-FR"/>
        </w:rPr>
        <w:t>des</w:t>
      </w:r>
      <w:r>
        <w:rPr>
          <w:lang w:val="fr-FR"/>
        </w:rPr>
        <w:t xml:space="preserve"> </w:t>
      </w:r>
      <w:r w:rsidRPr="00ED00E1">
        <w:rPr>
          <w:lang w:val="fr-FR"/>
        </w:rPr>
        <w:t>documents</w:t>
      </w:r>
      <w:r>
        <w:rPr>
          <w:lang w:val="fr-FR"/>
        </w:rPr>
        <w:t xml:space="preserve"> </w:t>
      </w:r>
      <w:r w:rsidRPr="00ED00E1">
        <w:rPr>
          <w:lang w:val="fr-FR"/>
        </w:rPr>
        <w:t>correspondants.</w:t>
      </w:r>
    </w:p>
  </w:footnote>
  <w:footnote w:id="9">
    <w:p w:rsidR="0086391E" w:rsidRPr="00ED00E1" w:rsidRDefault="0086391E" w:rsidP="00A142DE">
      <w:pPr>
        <w:pStyle w:val="Notedebasdepage"/>
        <w:rPr>
          <w:lang w:val="fr-FR"/>
        </w:rPr>
      </w:pPr>
      <w:r w:rsidRPr="00ED00E1">
        <w:rPr>
          <w:lang w:val="fr-FR"/>
        </w:rPr>
        <w:tab/>
      </w:r>
      <w:r w:rsidRPr="00823E4E">
        <w:rPr>
          <w:rStyle w:val="Appelnotedebasdep"/>
        </w:rPr>
        <w:footnoteRef/>
      </w:r>
      <w:r w:rsidRPr="00ED00E1">
        <w:rPr>
          <w:lang w:val="fr-FR"/>
        </w:rPr>
        <w:tab/>
        <w:t>La</w:t>
      </w:r>
      <w:r>
        <w:rPr>
          <w:lang w:val="fr-FR"/>
        </w:rPr>
        <w:t xml:space="preserve"> </w:t>
      </w:r>
      <w:r w:rsidRPr="00ED00E1">
        <w:rPr>
          <w:lang w:val="fr-FR"/>
        </w:rPr>
        <w:t>date</w:t>
      </w:r>
      <w:r>
        <w:rPr>
          <w:lang w:val="fr-FR"/>
        </w:rPr>
        <w:t xml:space="preserve"> </w:t>
      </w:r>
      <w:r w:rsidRPr="00ED00E1">
        <w:rPr>
          <w:lang w:val="fr-FR"/>
        </w:rPr>
        <w:t>à</w:t>
      </w:r>
      <w:r>
        <w:rPr>
          <w:lang w:val="fr-FR"/>
        </w:rPr>
        <w:t xml:space="preserve"> </w:t>
      </w:r>
      <w:r w:rsidRPr="00ED00E1">
        <w:rPr>
          <w:lang w:val="fr-FR"/>
        </w:rPr>
        <w:t>laquelle</w:t>
      </w:r>
      <w:r>
        <w:rPr>
          <w:lang w:val="fr-FR"/>
        </w:rPr>
        <w:t xml:space="preserve"> </w:t>
      </w:r>
      <w:r w:rsidRPr="00ED00E1">
        <w:rPr>
          <w:lang w:val="fr-FR"/>
        </w:rPr>
        <w:t>le</w:t>
      </w:r>
      <w:r>
        <w:rPr>
          <w:lang w:val="fr-FR"/>
        </w:rPr>
        <w:t xml:space="preserve"> </w:t>
      </w:r>
      <w:r w:rsidRPr="00ED00E1">
        <w:rPr>
          <w:lang w:val="fr-FR"/>
        </w:rPr>
        <w:t>recours</w:t>
      </w:r>
      <w:r>
        <w:rPr>
          <w:lang w:val="fr-FR"/>
        </w:rPr>
        <w:t xml:space="preserve"> </w:t>
      </w:r>
      <w:r w:rsidRPr="00ED00E1">
        <w:rPr>
          <w:lang w:val="fr-FR"/>
        </w:rPr>
        <w:t>a</w:t>
      </w:r>
      <w:r>
        <w:rPr>
          <w:lang w:val="fr-FR"/>
        </w:rPr>
        <w:t xml:space="preserve"> </w:t>
      </w:r>
      <w:r w:rsidRPr="00ED00E1">
        <w:rPr>
          <w:lang w:val="fr-FR"/>
        </w:rPr>
        <w:t>été</w:t>
      </w:r>
      <w:r>
        <w:rPr>
          <w:lang w:val="fr-FR"/>
        </w:rPr>
        <w:t xml:space="preserve"> </w:t>
      </w:r>
      <w:r w:rsidRPr="00ED00E1">
        <w:rPr>
          <w:lang w:val="fr-FR"/>
        </w:rPr>
        <w:t>rejeté</w:t>
      </w:r>
      <w:r>
        <w:rPr>
          <w:lang w:val="fr-FR"/>
        </w:rPr>
        <w:t xml:space="preserve"> </w:t>
      </w:r>
      <w:r w:rsidRPr="00ED00E1">
        <w:rPr>
          <w:lang w:val="fr-FR"/>
        </w:rPr>
        <w:t>n</w:t>
      </w:r>
      <w:r>
        <w:rPr>
          <w:lang w:val="fr-FR"/>
        </w:rPr>
        <w:t>’</w:t>
      </w:r>
      <w:r w:rsidRPr="00ED00E1">
        <w:rPr>
          <w:lang w:val="fr-FR"/>
        </w:rPr>
        <w:t>est</w:t>
      </w:r>
      <w:r>
        <w:rPr>
          <w:lang w:val="fr-FR"/>
        </w:rPr>
        <w:t xml:space="preserve"> </w:t>
      </w:r>
      <w:r w:rsidRPr="00ED00E1">
        <w:rPr>
          <w:lang w:val="fr-FR"/>
        </w:rPr>
        <w:t>pas</w:t>
      </w:r>
      <w:r>
        <w:rPr>
          <w:lang w:val="fr-FR"/>
        </w:rPr>
        <w:t xml:space="preserve"> précisée</w:t>
      </w:r>
      <w:r w:rsidRPr="00ED00E1">
        <w:rPr>
          <w:lang w:val="fr-FR"/>
        </w:rPr>
        <w:t>.</w:t>
      </w:r>
    </w:p>
  </w:footnote>
  <w:footnote w:id="10">
    <w:p w:rsidR="0086391E" w:rsidRPr="00ED00E1" w:rsidRDefault="0086391E" w:rsidP="00A142DE">
      <w:pPr>
        <w:pStyle w:val="Notedebasdepage"/>
        <w:rPr>
          <w:lang w:val="fr-FR"/>
        </w:rPr>
      </w:pPr>
      <w:r w:rsidRPr="00ED00E1">
        <w:rPr>
          <w:lang w:val="fr-FR"/>
        </w:rPr>
        <w:tab/>
      </w:r>
      <w:r w:rsidRPr="00823E4E">
        <w:rPr>
          <w:rStyle w:val="Appelnotedebasdep"/>
        </w:rPr>
        <w:footnoteRef/>
      </w:r>
      <w:r w:rsidRPr="00ED00E1">
        <w:rPr>
          <w:lang w:val="fr-FR"/>
        </w:rPr>
        <w:tab/>
      </w:r>
      <w:r>
        <w:rPr>
          <w:lang w:val="fr-FR"/>
        </w:rPr>
        <w:t xml:space="preserve">Cour européenne des droits de l’homme, affaire </w:t>
      </w:r>
      <w:r w:rsidRPr="005217D5">
        <w:rPr>
          <w:i/>
          <w:iCs/>
        </w:rPr>
        <w:t xml:space="preserve">Roman </w:t>
      </w:r>
      <w:proofErr w:type="spellStart"/>
      <w:r w:rsidRPr="005217D5">
        <w:rPr>
          <w:i/>
          <w:iCs/>
        </w:rPr>
        <w:t>Karasev</w:t>
      </w:r>
      <w:proofErr w:type="spellEnd"/>
      <w:r w:rsidRPr="005217D5">
        <w:rPr>
          <w:i/>
          <w:iCs/>
        </w:rPr>
        <w:t xml:space="preserve"> </w:t>
      </w:r>
      <w:r>
        <w:rPr>
          <w:i/>
          <w:iCs/>
        </w:rPr>
        <w:t>c</w:t>
      </w:r>
      <w:r w:rsidRPr="005217D5">
        <w:rPr>
          <w:i/>
          <w:iCs/>
        </w:rPr>
        <w:t>. Russi</w:t>
      </w:r>
      <w:r>
        <w:rPr>
          <w:i/>
          <w:iCs/>
        </w:rPr>
        <w:t>e</w:t>
      </w:r>
      <w:r w:rsidRPr="00DB1325">
        <w:rPr>
          <w:lang w:val="fr-FR"/>
        </w:rPr>
        <w:t>,</w:t>
      </w:r>
      <w:r>
        <w:rPr>
          <w:i/>
          <w:iCs/>
          <w:lang w:val="fr-FR"/>
        </w:rPr>
        <w:t xml:space="preserve"> </w:t>
      </w:r>
      <w:r>
        <w:rPr>
          <w:lang w:val="fr-FR"/>
        </w:rPr>
        <w:t xml:space="preserve">requête </w:t>
      </w:r>
      <w:r w:rsidRPr="00A142DE">
        <w:rPr>
          <w:rFonts w:eastAsia="MS Mincho"/>
          <w:lang w:val="fr-FR"/>
        </w:rPr>
        <w:t>n</w:t>
      </w:r>
      <w:r w:rsidRPr="00A142DE">
        <w:rPr>
          <w:rFonts w:eastAsia="MS Mincho"/>
          <w:vertAlign w:val="superscript"/>
          <w:lang w:val="fr-FR"/>
        </w:rPr>
        <w:t>o</w:t>
      </w:r>
      <w:r>
        <w:rPr>
          <w:lang w:val="fr-FR"/>
        </w:rPr>
        <w:t> </w:t>
      </w:r>
      <w:r w:rsidRPr="005217D5">
        <w:t>30251/03</w:t>
      </w:r>
      <w:r>
        <w:t xml:space="preserve">, arrêt du 25 novembre 2010, par. 59; Comité des droits de l’homme, </w:t>
      </w:r>
      <w:r>
        <w:rPr>
          <w:lang w:val="fr-FR"/>
        </w:rPr>
        <w:t>o</w:t>
      </w:r>
      <w:r w:rsidRPr="00ED00E1">
        <w:rPr>
          <w:lang w:val="fr-FR"/>
        </w:rPr>
        <w:t>bservation</w:t>
      </w:r>
      <w:r>
        <w:rPr>
          <w:lang w:val="fr-FR"/>
        </w:rPr>
        <w:t xml:space="preserve"> </w:t>
      </w:r>
      <w:r w:rsidRPr="00ED00E1">
        <w:rPr>
          <w:lang w:val="fr-FR"/>
        </w:rPr>
        <w:t>générale</w:t>
      </w:r>
      <w:r>
        <w:rPr>
          <w:lang w:val="fr-FR"/>
        </w:rPr>
        <w:t xml:space="preserve"> </w:t>
      </w:r>
      <w:r w:rsidRPr="009C3376">
        <w:rPr>
          <w:rFonts w:eastAsia="MS Mincho"/>
          <w:lang w:val="fr-FR"/>
        </w:rPr>
        <w:t>n</w:t>
      </w:r>
      <w:r w:rsidRPr="009C3376">
        <w:rPr>
          <w:rFonts w:eastAsia="MS Mincho"/>
          <w:vertAlign w:val="superscript"/>
          <w:lang w:val="fr-FR"/>
        </w:rPr>
        <w:t>o</w:t>
      </w:r>
      <w:r>
        <w:rPr>
          <w:lang w:val="fr-FR"/>
        </w:rPr>
        <w:t> </w:t>
      </w:r>
      <w:r w:rsidRPr="00ED00E1">
        <w:rPr>
          <w:lang w:val="fr-FR"/>
        </w:rPr>
        <w:t>32</w:t>
      </w:r>
      <w:r>
        <w:rPr>
          <w:lang w:val="fr-FR"/>
        </w:rPr>
        <w:t xml:space="preserve"> (2007)</w:t>
      </w:r>
      <w:r w:rsidRPr="00ED00E1">
        <w:rPr>
          <w:lang w:val="fr-FR"/>
        </w:rPr>
        <w:t>,</w:t>
      </w:r>
      <w:r>
        <w:rPr>
          <w:lang w:val="fr-FR"/>
        </w:rPr>
        <w:t xml:space="preserve"> par. </w:t>
      </w:r>
      <w:r w:rsidRPr="00ED00E1">
        <w:rPr>
          <w:lang w:val="fr-FR"/>
        </w:rPr>
        <w:t>8,</w:t>
      </w:r>
      <w:r>
        <w:rPr>
          <w:lang w:val="fr-FR"/>
        </w:rPr>
        <w:t xml:space="preserve"> </w:t>
      </w:r>
      <w:r w:rsidRPr="00ED00E1">
        <w:rPr>
          <w:lang w:val="fr-FR"/>
        </w:rPr>
        <w:t>12</w:t>
      </w:r>
      <w:r>
        <w:rPr>
          <w:lang w:val="fr-FR"/>
        </w:rPr>
        <w:t xml:space="preserve"> </w:t>
      </w:r>
      <w:r w:rsidRPr="00ED00E1">
        <w:rPr>
          <w:lang w:val="fr-FR"/>
        </w:rPr>
        <w:t>et</w:t>
      </w:r>
      <w:r>
        <w:rPr>
          <w:lang w:val="fr-FR"/>
        </w:rPr>
        <w:t xml:space="preserve"> </w:t>
      </w:r>
      <w:r w:rsidRPr="00ED00E1">
        <w:rPr>
          <w:lang w:val="fr-FR"/>
        </w:rPr>
        <w:t>13.</w:t>
      </w:r>
    </w:p>
  </w:footnote>
  <w:footnote w:id="11">
    <w:p w:rsidR="0086391E" w:rsidRPr="00ED00E1" w:rsidRDefault="0086391E" w:rsidP="00A142DE">
      <w:pPr>
        <w:pStyle w:val="Notedebasdepage"/>
        <w:rPr>
          <w:lang w:val="fr-FR"/>
        </w:rPr>
      </w:pPr>
      <w:r w:rsidRPr="00ED00E1">
        <w:rPr>
          <w:lang w:val="fr-FR"/>
        </w:rPr>
        <w:tab/>
      </w:r>
      <w:r w:rsidRPr="00823E4E">
        <w:rPr>
          <w:rStyle w:val="Appelnotedebasdep"/>
        </w:rPr>
        <w:footnoteRef/>
      </w:r>
      <w:r w:rsidRPr="00ED00E1">
        <w:rPr>
          <w:lang w:val="fr-FR"/>
        </w:rPr>
        <w:tab/>
        <w:t>Cour</w:t>
      </w:r>
      <w:r>
        <w:rPr>
          <w:lang w:val="fr-FR"/>
        </w:rPr>
        <w:t xml:space="preserve"> </w:t>
      </w:r>
      <w:r w:rsidRPr="00ED00E1">
        <w:rPr>
          <w:lang w:val="fr-FR"/>
        </w:rPr>
        <w:t>européenne</w:t>
      </w:r>
      <w:r>
        <w:rPr>
          <w:lang w:val="fr-FR"/>
        </w:rPr>
        <w:t xml:space="preserve"> </w:t>
      </w:r>
      <w:r w:rsidRPr="00ED00E1">
        <w:rPr>
          <w:lang w:val="fr-FR"/>
        </w:rPr>
        <w:t>des</w:t>
      </w:r>
      <w:r>
        <w:rPr>
          <w:lang w:val="fr-FR"/>
        </w:rPr>
        <w:t xml:space="preserve"> </w:t>
      </w:r>
      <w:r w:rsidRPr="00ED00E1">
        <w:rPr>
          <w:lang w:val="fr-FR"/>
        </w:rPr>
        <w:t>droits</w:t>
      </w:r>
      <w:r>
        <w:rPr>
          <w:lang w:val="fr-FR"/>
        </w:rPr>
        <w:t xml:space="preserve"> </w:t>
      </w:r>
      <w:r w:rsidRPr="00ED00E1">
        <w:rPr>
          <w:lang w:val="fr-FR"/>
        </w:rPr>
        <w:t>de</w:t>
      </w:r>
      <w:r>
        <w:rPr>
          <w:lang w:val="fr-FR"/>
        </w:rPr>
        <w:t xml:space="preserve"> </w:t>
      </w:r>
      <w:r w:rsidRPr="00ED00E1">
        <w:rPr>
          <w:lang w:val="fr-FR"/>
        </w:rPr>
        <w:t>l</w:t>
      </w:r>
      <w:r>
        <w:rPr>
          <w:lang w:val="fr-FR"/>
        </w:rPr>
        <w:t>’</w:t>
      </w:r>
      <w:r w:rsidRPr="00ED00E1">
        <w:rPr>
          <w:lang w:val="fr-FR"/>
        </w:rPr>
        <w:t>homme,</w:t>
      </w:r>
      <w:r>
        <w:rPr>
          <w:lang w:val="fr-FR"/>
        </w:rPr>
        <w:t xml:space="preserve"> affaire </w:t>
      </w:r>
      <w:proofErr w:type="spellStart"/>
      <w:r w:rsidRPr="00ED00E1">
        <w:rPr>
          <w:i/>
          <w:iCs/>
          <w:lang w:val="fr-FR"/>
        </w:rPr>
        <w:t>Pishchalnikov</w:t>
      </w:r>
      <w:proofErr w:type="spellEnd"/>
      <w:r>
        <w:rPr>
          <w:i/>
          <w:iCs/>
          <w:lang w:val="fr-FR"/>
        </w:rPr>
        <w:t xml:space="preserve"> </w:t>
      </w:r>
      <w:r w:rsidRPr="00A142DE">
        <w:rPr>
          <w:i/>
          <w:iCs/>
          <w:lang w:val="fr-FR"/>
        </w:rPr>
        <w:t>c.</w:t>
      </w:r>
      <w:r>
        <w:rPr>
          <w:i/>
          <w:iCs/>
          <w:lang w:val="fr-FR"/>
        </w:rPr>
        <w:t xml:space="preserve"> </w:t>
      </w:r>
      <w:r w:rsidRPr="00ED00E1">
        <w:rPr>
          <w:i/>
          <w:iCs/>
          <w:lang w:val="fr-FR"/>
        </w:rPr>
        <w:t>Russie</w:t>
      </w:r>
      <w:r w:rsidRPr="00ED00E1">
        <w:rPr>
          <w:lang w:val="fr-FR"/>
        </w:rPr>
        <w:t>,</w:t>
      </w:r>
      <w:r>
        <w:rPr>
          <w:lang w:val="fr-FR"/>
        </w:rPr>
        <w:t xml:space="preserve"> </w:t>
      </w:r>
      <w:r w:rsidRPr="00ED00E1">
        <w:rPr>
          <w:lang w:val="fr-FR"/>
        </w:rPr>
        <w:t>requête</w:t>
      </w:r>
      <w:r>
        <w:rPr>
          <w:lang w:val="fr-FR"/>
        </w:rPr>
        <w:t xml:space="preserve"> </w:t>
      </w:r>
      <w:r w:rsidRPr="009C3376">
        <w:rPr>
          <w:rFonts w:eastAsia="MS Mincho"/>
          <w:lang w:val="fr-FR"/>
        </w:rPr>
        <w:t>n</w:t>
      </w:r>
      <w:r w:rsidRPr="009C3376">
        <w:rPr>
          <w:rFonts w:eastAsia="MS Mincho"/>
          <w:vertAlign w:val="superscript"/>
          <w:lang w:val="fr-FR"/>
        </w:rPr>
        <w:t>o</w:t>
      </w:r>
      <w:r>
        <w:rPr>
          <w:lang w:val="fr-FR"/>
        </w:rPr>
        <w:t> </w:t>
      </w:r>
      <w:r w:rsidRPr="00ED00E1">
        <w:rPr>
          <w:lang w:val="fr-FR"/>
        </w:rPr>
        <w:t>7025/04,</w:t>
      </w:r>
      <w:r>
        <w:rPr>
          <w:lang w:val="fr-FR"/>
        </w:rPr>
        <w:t xml:space="preserve"> </w:t>
      </w:r>
      <w:r w:rsidRPr="00ED00E1">
        <w:rPr>
          <w:lang w:val="fr-FR"/>
        </w:rPr>
        <w:t>arrêt</w:t>
      </w:r>
      <w:r>
        <w:rPr>
          <w:lang w:val="fr-FR"/>
        </w:rPr>
        <w:t xml:space="preserve"> </w:t>
      </w:r>
      <w:r w:rsidRPr="00ED00E1">
        <w:rPr>
          <w:lang w:val="fr-FR"/>
        </w:rPr>
        <w:t>du</w:t>
      </w:r>
      <w:r>
        <w:rPr>
          <w:lang w:val="fr-FR"/>
        </w:rPr>
        <w:t xml:space="preserve"> </w:t>
      </w:r>
      <w:r w:rsidRPr="00ED00E1">
        <w:rPr>
          <w:lang w:val="fr-FR"/>
        </w:rPr>
        <w:t>24</w:t>
      </w:r>
      <w:r>
        <w:rPr>
          <w:lang w:val="fr-FR"/>
        </w:rPr>
        <w:t> </w:t>
      </w:r>
      <w:r w:rsidRPr="00ED00E1">
        <w:rPr>
          <w:lang w:val="fr-FR"/>
        </w:rPr>
        <w:t>septembre</w:t>
      </w:r>
      <w:r>
        <w:rPr>
          <w:lang w:val="fr-FR"/>
        </w:rPr>
        <w:t xml:space="preserve"> </w:t>
      </w:r>
      <w:r w:rsidRPr="00ED00E1">
        <w:rPr>
          <w:lang w:val="fr-FR"/>
        </w:rPr>
        <w:t>2009,</w:t>
      </w:r>
      <w:r>
        <w:rPr>
          <w:lang w:val="fr-FR"/>
        </w:rPr>
        <w:t xml:space="preserve"> par. </w:t>
      </w:r>
      <w:r w:rsidRPr="00ED00E1">
        <w:rPr>
          <w:lang w:val="fr-FR"/>
        </w:rPr>
        <w:t>77</w:t>
      </w:r>
      <w:r>
        <w:rPr>
          <w:lang w:val="fr-FR"/>
        </w:rPr>
        <w:t xml:space="preserve"> ; Comité des droits de l’homme, </w:t>
      </w:r>
      <w:r w:rsidRPr="00ED00E1">
        <w:rPr>
          <w:lang w:val="fr-FR"/>
        </w:rPr>
        <w:t>observation</w:t>
      </w:r>
      <w:r>
        <w:rPr>
          <w:lang w:val="fr-FR"/>
        </w:rPr>
        <w:t xml:space="preserve"> </w:t>
      </w:r>
      <w:r w:rsidRPr="00ED00E1">
        <w:rPr>
          <w:lang w:val="fr-FR"/>
        </w:rPr>
        <w:t>générale</w:t>
      </w:r>
      <w:r>
        <w:rPr>
          <w:lang w:val="fr-FR"/>
        </w:rPr>
        <w:t xml:space="preserve"> </w:t>
      </w:r>
      <w:r w:rsidRPr="009C3376">
        <w:rPr>
          <w:rFonts w:eastAsia="MS Mincho"/>
          <w:lang w:val="fr-FR"/>
        </w:rPr>
        <w:t>n</w:t>
      </w:r>
      <w:r w:rsidRPr="009C3376">
        <w:rPr>
          <w:rFonts w:eastAsia="MS Mincho"/>
          <w:vertAlign w:val="superscript"/>
          <w:lang w:val="fr-FR"/>
        </w:rPr>
        <w:t>o</w:t>
      </w:r>
      <w:r>
        <w:rPr>
          <w:lang w:val="fr-FR"/>
        </w:rPr>
        <w:t> </w:t>
      </w:r>
      <w:r w:rsidRPr="00ED00E1">
        <w:rPr>
          <w:lang w:val="fr-FR"/>
        </w:rPr>
        <w:t>32</w:t>
      </w:r>
      <w:r>
        <w:rPr>
          <w:lang w:val="fr-FR"/>
        </w:rPr>
        <w:t xml:space="preserve"> (2007)</w:t>
      </w:r>
      <w:r w:rsidRPr="00ED00E1">
        <w:rPr>
          <w:lang w:val="fr-FR"/>
        </w:rPr>
        <w:t>,</w:t>
      </w:r>
      <w:r>
        <w:rPr>
          <w:lang w:val="fr-FR"/>
        </w:rPr>
        <w:t xml:space="preserve"> par. </w:t>
      </w:r>
      <w:r w:rsidRPr="00ED00E1">
        <w:rPr>
          <w:lang w:val="fr-FR"/>
        </w:rPr>
        <w:t>36.</w:t>
      </w:r>
    </w:p>
  </w:footnote>
  <w:footnote w:id="12">
    <w:p w:rsidR="0086391E" w:rsidRPr="00ED00E1" w:rsidRDefault="0086391E" w:rsidP="00A142DE">
      <w:pPr>
        <w:pStyle w:val="Notedebasdepage"/>
        <w:rPr>
          <w:lang w:val="fr-FR"/>
        </w:rPr>
      </w:pPr>
      <w:r w:rsidRPr="00ED00E1">
        <w:rPr>
          <w:lang w:val="fr-FR"/>
        </w:rPr>
        <w:tab/>
      </w:r>
      <w:r w:rsidRPr="00823E4E">
        <w:rPr>
          <w:rStyle w:val="Appelnotedebasdep"/>
        </w:rPr>
        <w:footnoteRef/>
      </w:r>
      <w:r w:rsidRPr="00ED00E1">
        <w:rPr>
          <w:lang w:val="fr-FR"/>
        </w:rPr>
        <w:tab/>
      </w:r>
      <w:proofErr w:type="spellStart"/>
      <w:r w:rsidRPr="00A142DE">
        <w:rPr>
          <w:i/>
          <w:lang w:val="fr-FR"/>
        </w:rPr>
        <w:t>Polacková</w:t>
      </w:r>
      <w:proofErr w:type="spellEnd"/>
      <w:r w:rsidRPr="00A142DE">
        <w:rPr>
          <w:i/>
          <w:lang w:val="fr-FR"/>
        </w:rPr>
        <w:t xml:space="preserve"> et </w:t>
      </w:r>
      <w:proofErr w:type="spellStart"/>
      <w:r w:rsidRPr="00A142DE">
        <w:rPr>
          <w:i/>
          <w:lang w:val="fr-FR"/>
        </w:rPr>
        <w:t>Polacek</w:t>
      </w:r>
      <w:proofErr w:type="spellEnd"/>
      <w:r w:rsidRPr="00A142DE">
        <w:rPr>
          <w:i/>
          <w:lang w:val="fr-FR"/>
        </w:rPr>
        <w:t xml:space="preserve"> c. République tchèque</w:t>
      </w:r>
      <w:r>
        <w:rPr>
          <w:i/>
          <w:lang w:val="fr-FR"/>
        </w:rPr>
        <w:t xml:space="preserve"> </w:t>
      </w:r>
      <w:r w:rsidRPr="00ED00E1">
        <w:rPr>
          <w:sz w:val="23"/>
          <w:szCs w:val="23"/>
          <w:lang w:val="fr-FR"/>
        </w:rPr>
        <w:t>(</w:t>
      </w:r>
      <w:r w:rsidRPr="00ED00E1">
        <w:rPr>
          <w:lang w:val="fr-FR"/>
        </w:rPr>
        <w:t>CCPR/C/90/D/1445/2006),</w:t>
      </w:r>
      <w:r>
        <w:rPr>
          <w:lang w:val="fr-FR"/>
        </w:rPr>
        <w:t xml:space="preserve"> par. </w:t>
      </w:r>
      <w:r w:rsidRPr="00ED00E1">
        <w:rPr>
          <w:lang w:val="fr-FR"/>
        </w:rPr>
        <w:t>6.3</w:t>
      </w:r>
      <w:r>
        <w:rPr>
          <w:lang w:val="fr-FR"/>
        </w:rPr>
        <w:t xml:space="preserve"> ; </w:t>
      </w:r>
      <w:r w:rsidRPr="00ED00E1">
        <w:rPr>
          <w:i/>
          <w:lang w:val="fr-FR"/>
        </w:rPr>
        <w:t>D.</w:t>
      </w:r>
      <w:r>
        <w:rPr>
          <w:i/>
          <w:lang w:val="fr-FR"/>
        </w:rPr>
        <w:t> </w:t>
      </w:r>
      <w:r w:rsidRPr="00ED00E1">
        <w:rPr>
          <w:i/>
          <w:lang w:val="fr-FR"/>
        </w:rPr>
        <w:t>S.</w:t>
      </w:r>
      <w:r w:rsidRPr="00A142DE">
        <w:rPr>
          <w:i/>
          <w:lang w:val="fr-FR"/>
        </w:rPr>
        <w:t xml:space="preserve"> c. </w:t>
      </w:r>
      <w:r w:rsidRPr="00ED00E1">
        <w:rPr>
          <w:i/>
          <w:lang w:val="fr-FR"/>
        </w:rPr>
        <w:t>Fédération</w:t>
      </w:r>
      <w:r>
        <w:rPr>
          <w:i/>
          <w:lang w:val="fr-FR"/>
        </w:rPr>
        <w:t xml:space="preserve"> </w:t>
      </w:r>
      <w:r w:rsidRPr="00ED00E1">
        <w:rPr>
          <w:i/>
          <w:lang w:val="fr-FR"/>
        </w:rPr>
        <w:t>de</w:t>
      </w:r>
      <w:r>
        <w:rPr>
          <w:i/>
          <w:lang w:val="fr-FR"/>
        </w:rPr>
        <w:t xml:space="preserve"> </w:t>
      </w:r>
      <w:r w:rsidRPr="00ED00E1">
        <w:rPr>
          <w:i/>
          <w:lang w:val="fr-FR"/>
        </w:rPr>
        <w:t>Russie</w:t>
      </w:r>
      <w:r>
        <w:rPr>
          <w:lang w:val="fr-FR"/>
        </w:rPr>
        <w:t xml:space="preserve"> </w:t>
      </w:r>
      <w:r w:rsidRPr="00ED00E1">
        <w:rPr>
          <w:lang w:val="fr-FR"/>
        </w:rPr>
        <w:t>(CCPR/C/120/D/2705/2015),</w:t>
      </w:r>
      <w:r>
        <w:rPr>
          <w:lang w:val="fr-FR"/>
        </w:rPr>
        <w:t xml:space="preserve"> par. </w:t>
      </w:r>
      <w:r w:rsidRPr="00ED00E1">
        <w:rPr>
          <w:lang w:val="fr-FR"/>
        </w:rPr>
        <w:t>6.4.</w:t>
      </w:r>
    </w:p>
  </w:footnote>
  <w:footnote w:id="13">
    <w:p w:rsidR="0086391E" w:rsidRPr="00ED00E1" w:rsidRDefault="0086391E" w:rsidP="00A142DE">
      <w:pPr>
        <w:pStyle w:val="Notedebasdepage"/>
        <w:rPr>
          <w:lang w:val="fr-FR"/>
        </w:rPr>
      </w:pPr>
      <w:r w:rsidRPr="00ED00E1">
        <w:rPr>
          <w:lang w:val="fr-FR"/>
        </w:rPr>
        <w:tab/>
      </w:r>
      <w:r w:rsidRPr="00823E4E">
        <w:rPr>
          <w:rStyle w:val="Appelnotedebasdep"/>
        </w:rPr>
        <w:footnoteRef/>
      </w:r>
      <w:r w:rsidRPr="00ED00E1">
        <w:rPr>
          <w:lang w:val="fr-FR"/>
        </w:rPr>
        <w:tab/>
      </w:r>
      <w:r w:rsidRPr="00ED00E1">
        <w:rPr>
          <w:i/>
          <w:lang w:val="fr-FR"/>
        </w:rPr>
        <w:t>Gobin</w:t>
      </w:r>
      <w:r>
        <w:rPr>
          <w:i/>
          <w:lang w:val="fr-FR"/>
        </w:rPr>
        <w:t xml:space="preserve"> </w:t>
      </w:r>
      <w:r w:rsidRPr="00A142DE">
        <w:rPr>
          <w:i/>
          <w:lang w:val="fr-FR"/>
        </w:rPr>
        <w:t>c.</w:t>
      </w:r>
      <w:r>
        <w:rPr>
          <w:i/>
          <w:lang w:val="fr-FR"/>
        </w:rPr>
        <w:t xml:space="preserve"> </w:t>
      </w:r>
      <w:r w:rsidRPr="00ED00E1">
        <w:rPr>
          <w:i/>
          <w:lang w:val="fr-FR"/>
        </w:rPr>
        <w:t>Maurice</w:t>
      </w:r>
      <w:r>
        <w:rPr>
          <w:i/>
          <w:lang w:val="fr-FR"/>
        </w:rPr>
        <w:t xml:space="preserve"> </w:t>
      </w:r>
      <w:r w:rsidRPr="00ED00E1">
        <w:rPr>
          <w:lang w:val="fr-FR"/>
        </w:rPr>
        <w:t>(CCPR/C/72/D/787/1997),</w:t>
      </w:r>
      <w:r>
        <w:rPr>
          <w:lang w:val="fr-FR"/>
        </w:rPr>
        <w:t xml:space="preserve"> par. </w:t>
      </w:r>
      <w:r w:rsidRPr="00ED00E1">
        <w:rPr>
          <w:lang w:val="fr-FR"/>
        </w:rPr>
        <w:t>6.3.</w:t>
      </w:r>
    </w:p>
  </w:footnote>
  <w:footnote w:id="14">
    <w:p w:rsidR="0086391E" w:rsidRPr="00ED00E1" w:rsidRDefault="0086391E" w:rsidP="00A142DE">
      <w:pPr>
        <w:pStyle w:val="Notedebasdepage"/>
        <w:rPr>
          <w:lang w:val="fr-FR"/>
        </w:rPr>
      </w:pPr>
      <w:r w:rsidRPr="00ED00E1">
        <w:rPr>
          <w:lang w:val="fr-FR"/>
        </w:rPr>
        <w:tab/>
      </w:r>
      <w:r w:rsidRPr="00823E4E">
        <w:rPr>
          <w:rStyle w:val="Appelnotedebasdep"/>
        </w:rPr>
        <w:footnoteRef/>
      </w:r>
      <w:r w:rsidRPr="00ED00E1">
        <w:rPr>
          <w:lang w:val="fr-FR"/>
        </w:rPr>
        <w:tab/>
        <w:t>Règle</w:t>
      </w:r>
      <w:r>
        <w:rPr>
          <w:lang w:val="fr-FR"/>
        </w:rPr>
        <w:t xml:space="preserve"> </w:t>
      </w:r>
      <w:r w:rsidRPr="00ED00E1">
        <w:rPr>
          <w:lang w:val="fr-FR"/>
        </w:rPr>
        <w:t>applicable</w:t>
      </w:r>
      <w:r>
        <w:rPr>
          <w:lang w:val="fr-FR"/>
        </w:rPr>
        <w:t xml:space="preserve"> </w:t>
      </w:r>
      <w:r w:rsidRPr="00ED00E1">
        <w:rPr>
          <w:lang w:val="fr-FR"/>
        </w:rPr>
        <w:t>aux</w:t>
      </w:r>
      <w:r>
        <w:rPr>
          <w:lang w:val="fr-FR"/>
        </w:rPr>
        <w:t xml:space="preserve"> </w:t>
      </w:r>
      <w:r w:rsidRPr="00ED00E1">
        <w:rPr>
          <w:lang w:val="fr-FR"/>
        </w:rPr>
        <w:t>communications</w:t>
      </w:r>
      <w:r>
        <w:rPr>
          <w:lang w:val="fr-FR"/>
        </w:rPr>
        <w:t xml:space="preserve"> </w:t>
      </w:r>
      <w:r w:rsidRPr="00ED00E1">
        <w:rPr>
          <w:lang w:val="fr-FR"/>
        </w:rPr>
        <w:t>reçues</w:t>
      </w:r>
      <w:r>
        <w:rPr>
          <w:lang w:val="fr-FR"/>
        </w:rPr>
        <w:t xml:space="preserve"> </w:t>
      </w:r>
      <w:r w:rsidRPr="00ED00E1">
        <w:rPr>
          <w:lang w:val="fr-FR"/>
        </w:rPr>
        <w:t>par</w:t>
      </w:r>
      <w:r>
        <w:rPr>
          <w:lang w:val="fr-FR"/>
        </w:rPr>
        <w:t xml:space="preserve"> </w:t>
      </w:r>
      <w:r w:rsidRPr="00ED00E1">
        <w:rPr>
          <w:lang w:val="fr-FR"/>
        </w:rPr>
        <w:t>le</w:t>
      </w:r>
      <w:r>
        <w:rPr>
          <w:lang w:val="fr-FR"/>
        </w:rPr>
        <w:t xml:space="preserve"> </w:t>
      </w:r>
      <w:r w:rsidRPr="00ED00E1">
        <w:rPr>
          <w:lang w:val="fr-FR"/>
        </w:rPr>
        <w:t>Comité</w:t>
      </w:r>
      <w:r>
        <w:rPr>
          <w:lang w:val="fr-FR"/>
        </w:rPr>
        <w:t xml:space="preserve"> </w:t>
      </w:r>
      <w:r w:rsidRPr="00ED00E1">
        <w:rPr>
          <w:lang w:val="fr-FR"/>
        </w:rPr>
        <w:t>à</w:t>
      </w:r>
      <w:r>
        <w:rPr>
          <w:lang w:val="fr-FR"/>
        </w:rPr>
        <w:t xml:space="preserve"> </w:t>
      </w:r>
      <w:r w:rsidRPr="00ED00E1">
        <w:rPr>
          <w:lang w:val="fr-FR"/>
        </w:rPr>
        <w:t>compter</w:t>
      </w:r>
      <w:r>
        <w:rPr>
          <w:lang w:val="fr-FR"/>
        </w:rPr>
        <w:t xml:space="preserve"> </w:t>
      </w:r>
      <w:r w:rsidRPr="00ED00E1">
        <w:rPr>
          <w:lang w:val="fr-FR"/>
        </w:rPr>
        <w:t>du</w:t>
      </w:r>
      <w:r>
        <w:rPr>
          <w:lang w:val="fr-FR"/>
        </w:rPr>
        <w:t xml:space="preserve"> </w:t>
      </w:r>
      <w:r w:rsidRPr="00ED00E1">
        <w:rPr>
          <w:lang w:val="fr-FR"/>
        </w:rPr>
        <w:t>1</w:t>
      </w:r>
      <w:r w:rsidRPr="00ED00E1">
        <w:rPr>
          <w:vertAlign w:val="superscript"/>
          <w:lang w:val="fr-FR"/>
        </w:rPr>
        <w:t>er</w:t>
      </w:r>
      <w:r>
        <w:rPr>
          <w:lang w:val="fr-FR"/>
        </w:rPr>
        <w:t> </w:t>
      </w:r>
      <w:r w:rsidRPr="00ED00E1">
        <w:rPr>
          <w:lang w:val="fr-FR"/>
        </w:rPr>
        <w:t>janvier</w:t>
      </w:r>
      <w:r>
        <w:rPr>
          <w:lang w:val="fr-FR"/>
        </w:rPr>
        <w:t xml:space="preserve"> </w:t>
      </w:r>
      <w:r w:rsidRPr="00ED00E1">
        <w:rPr>
          <w:lang w:val="fr-FR"/>
        </w:rPr>
        <w:t>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1E" w:rsidRPr="007D09AD" w:rsidRDefault="0086391E">
    <w:pPr>
      <w:pStyle w:val="En-tte"/>
    </w:pPr>
    <w:fldSimple w:instr=" TITLE  \* MERGEFORMAT ">
      <w:r>
        <w:t>CCPR/C/129/D/2427/2014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1E" w:rsidRPr="007D09AD" w:rsidRDefault="0086391E" w:rsidP="007D09AD">
    <w:pPr>
      <w:pStyle w:val="En-tte"/>
      <w:jc w:val="right"/>
    </w:pPr>
    <w:fldSimple w:instr=" TITLE  \* MERGEFORMAT ">
      <w:r>
        <w:t>CCPR/C/129/D/2427/2014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4A"/>
    <w:rsid w:val="00017F94"/>
    <w:rsid w:val="00023842"/>
    <w:rsid w:val="000334F9"/>
    <w:rsid w:val="0007796D"/>
    <w:rsid w:val="000919AD"/>
    <w:rsid w:val="000B7790"/>
    <w:rsid w:val="000C2225"/>
    <w:rsid w:val="00111F2F"/>
    <w:rsid w:val="0014365E"/>
    <w:rsid w:val="001750A6"/>
    <w:rsid w:val="0017614D"/>
    <w:rsid w:val="00176178"/>
    <w:rsid w:val="001B379B"/>
    <w:rsid w:val="001F525A"/>
    <w:rsid w:val="00223272"/>
    <w:rsid w:val="0024779E"/>
    <w:rsid w:val="0029394A"/>
    <w:rsid w:val="002B7BC7"/>
    <w:rsid w:val="002E2D46"/>
    <w:rsid w:val="0032225A"/>
    <w:rsid w:val="003265B7"/>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D09AD"/>
    <w:rsid w:val="007E2032"/>
    <w:rsid w:val="0080684C"/>
    <w:rsid w:val="008560DB"/>
    <w:rsid w:val="0086391E"/>
    <w:rsid w:val="00871C75"/>
    <w:rsid w:val="008776DC"/>
    <w:rsid w:val="0088737F"/>
    <w:rsid w:val="009705C8"/>
    <w:rsid w:val="009B1E6C"/>
    <w:rsid w:val="009E2C6A"/>
    <w:rsid w:val="00A142DE"/>
    <w:rsid w:val="00A57411"/>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B1325"/>
    <w:rsid w:val="00DB1831"/>
    <w:rsid w:val="00DD3BFD"/>
    <w:rsid w:val="00DF6678"/>
    <w:rsid w:val="00E34288"/>
    <w:rsid w:val="00E85C42"/>
    <w:rsid w:val="00EC30D5"/>
    <w:rsid w:val="00EE1BD4"/>
    <w:rsid w:val="00F12152"/>
    <w:rsid w:val="00F660DF"/>
    <w:rsid w:val="00F95C08"/>
    <w:rsid w:val="00FC5911"/>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767730"/>
  <w15:docId w15:val="{C821C45D-91C6-436F-A15B-F5D9DB6B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A142D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3308</Words>
  <Characters>19390</Characters>
  <Application>Microsoft Office Word</Application>
  <DocSecurity>0</DocSecurity>
  <Lines>1762</Lines>
  <Paragraphs>756</Paragraphs>
  <ScaleCrop>false</ScaleCrop>
  <HeadingPairs>
    <vt:vector size="2" baseType="variant">
      <vt:variant>
        <vt:lpstr>Titre</vt:lpstr>
      </vt:variant>
      <vt:variant>
        <vt:i4>1</vt:i4>
      </vt:variant>
    </vt:vector>
  </HeadingPairs>
  <TitlesOfParts>
    <vt:vector size="1" baseType="lpstr">
      <vt:lpstr>CCPR/C/129/D/2427/2014</vt:lpstr>
    </vt:vector>
  </TitlesOfParts>
  <Company>DCM</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CCPR/C/129/D/2427/2014</dc:title>
  <dc:subject/>
  <dc:creator>Nicolas MORIN</dc:creator>
  <cp:keywords/>
  <cp:lastModifiedBy>Nicolas Morin</cp:lastModifiedBy>
  <cp:revision>2</cp:revision>
  <cp:lastPrinted>2014-05-14T10:59:00Z</cp:lastPrinted>
  <dcterms:created xsi:type="dcterms:W3CDTF">2021-03-29T12:47:00Z</dcterms:created>
  <dcterms:modified xsi:type="dcterms:W3CDTF">2021-03-29T12:47:00Z</dcterms:modified>
</cp:coreProperties>
</file>