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D34CEB"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D34CEB" w:rsidP="00540D30">
            <w:pPr>
              <w:bidi w:val="0"/>
              <w:spacing w:after="20"/>
              <w:jc w:val="left"/>
              <w:rPr>
                <w:szCs w:val="20"/>
              </w:rPr>
            </w:pPr>
            <w:r w:rsidRPr="00D34CEB">
              <w:rPr>
                <w:sz w:val="40"/>
                <w:szCs w:val="20"/>
              </w:rPr>
              <w:t>CCPR</w:t>
            </w:r>
            <w:r>
              <w:rPr>
                <w:szCs w:val="20"/>
              </w:rPr>
              <w:t>/C/121/2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540D30" w:rsidP="00540D30">
            <w:pPr>
              <w:bidi w:val="0"/>
              <w:spacing w:before="240"/>
              <w:jc w:val="left"/>
              <w:rPr>
                <w:szCs w:val="20"/>
              </w:rPr>
            </w:pPr>
            <w:r>
              <w:rPr>
                <w:szCs w:val="20"/>
              </w:rPr>
              <w:t>Distr.: General</w:t>
            </w:r>
          </w:p>
          <w:p w:rsidR="00540D30" w:rsidRDefault="00540D30" w:rsidP="00540D30">
            <w:pPr>
              <w:bidi w:val="0"/>
              <w:jc w:val="left"/>
              <w:rPr>
                <w:szCs w:val="20"/>
              </w:rPr>
            </w:pPr>
            <w:r>
              <w:rPr>
                <w:szCs w:val="20"/>
              </w:rPr>
              <w:t>8 February 2018</w:t>
            </w:r>
          </w:p>
          <w:p w:rsidR="00540D30" w:rsidRDefault="00540D30" w:rsidP="00540D30">
            <w:pPr>
              <w:bidi w:val="0"/>
              <w:jc w:val="left"/>
              <w:rPr>
                <w:szCs w:val="20"/>
              </w:rPr>
            </w:pPr>
            <w:r>
              <w:rPr>
                <w:szCs w:val="20"/>
              </w:rPr>
              <w:t>Arabic</w:t>
            </w:r>
          </w:p>
          <w:p w:rsidR="00540D30" w:rsidRPr="00CB6622" w:rsidRDefault="00540D30" w:rsidP="00540D30">
            <w:pPr>
              <w:bidi w:val="0"/>
              <w:jc w:val="left"/>
              <w:rPr>
                <w:szCs w:val="20"/>
              </w:rPr>
            </w:pPr>
            <w:r>
              <w:rPr>
                <w:szCs w:val="20"/>
              </w:rPr>
              <w:t>Original: English</w:t>
            </w:r>
          </w:p>
        </w:tc>
      </w:tr>
    </w:tbl>
    <w:p w:rsidR="00B54045" w:rsidRPr="00540D30" w:rsidRDefault="00540D30" w:rsidP="00B54045">
      <w:pPr>
        <w:spacing w:before="120" w:line="380" w:lineRule="exact"/>
        <w:jc w:val="left"/>
        <w:rPr>
          <w:b/>
          <w:bCs/>
          <w:sz w:val="36"/>
          <w:szCs w:val="36"/>
          <w:rtl/>
          <w:lang w:bidi="ar-DZ"/>
        </w:rPr>
      </w:pPr>
      <w:r w:rsidRPr="00540D30">
        <w:rPr>
          <w:rFonts w:hint="cs"/>
          <w:b/>
          <w:bCs/>
          <w:sz w:val="36"/>
          <w:szCs w:val="36"/>
          <w:rtl/>
          <w:lang w:bidi="ar-DZ"/>
        </w:rPr>
        <w:t>اللجنة المعنية بحقوق الإنسان</w:t>
      </w:r>
    </w:p>
    <w:p w:rsidR="00540D30" w:rsidRPr="00754E03" w:rsidRDefault="00540D30" w:rsidP="00540D30">
      <w:pPr>
        <w:pStyle w:val="HChGA"/>
        <w:rPr>
          <w:rtl/>
          <w:lang w:eastAsia="zh-TW"/>
        </w:rPr>
      </w:pPr>
      <w:r>
        <w:rPr>
          <w:rtl/>
          <w:lang w:eastAsia="zh-TW"/>
        </w:rPr>
        <w:tab/>
      </w:r>
      <w:r>
        <w:rPr>
          <w:rtl/>
          <w:lang w:eastAsia="zh-TW"/>
        </w:rPr>
        <w:tab/>
      </w:r>
      <w:r w:rsidRPr="00754E03">
        <w:rPr>
          <w:rtl/>
          <w:lang w:eastAsia="zh-TW"/>
        </w:rPr>
        <w:t>تقرير متابعة الملاحظات الختامية للجنة المعنية بحقوق الإنسان</w:t>
      </w:r>
      <w:r w:rsidRPr="00540D30">
        <w:rPr>
          <w:rStyle w:val="FootnoteReference"/>
          <w:sz w:val="20"/>
          <w:vertAlign w:val="baseline"/>
          <w:rtl/>
          <w:lang w:eastAsia="zh-TW"/>
        </w:rPr>
        <w:footnoteReference w:customMarkFollows="1" w:id="1"/>
        <w:t>*</w:t>
      </w:r>
      <w:r w:rsidRPr="00754E03">
        <w:rPr>
          <w:rtl/>
          <w:lang w:eastAsia="zh-TW"/>
        </w:rPr>
        <w:t xml:space="preserve"> </w:t>
      </w:r>
    </w:p>
    <w:p w:rsidR="00540D30" w:rsidRPr="00754E03" w:rsidRDefault="00540D30" w:rsidP="00540D30">
      <w:pPr>
        <w:pStyle w:val="HChGA"/>
        <w:rPr>
          <w:rtl/>
          <w:lang w:eastAsia="zh-TW"/>
        </w:rPr>
      </w:pPr>
      <w:r>
        <w:rPr>
          <w:rtl/>
          <w:lang w:eastAsia="zh-TW"/>
        </w:rPr>
        <w:tab/>
      </w:r>
      <w:r w:rsidRPr="00754E03">
        <w:rPr>
          <w:rtl/>
          <w:lang w:eastAsia="zh-TW"/>
        </w:rPr>
        <w:t>أولا</w:t>
      </w:r>
      <w:r>
        <w:rPr>
          <w:rFonts w:hint="cs"/>
          <w:rtl/>
          <w:lang w:eastAsia="zh-TW"/>
        </w:rPr>
        <w:t>ً</w:t>
      </w:r>
      <w:r w:rsidRPr="00754E03">
        <w:rPr>
          <w:rtl/>
          <w:lang w:eastAsia="zh-TW"/>
        </w:rPr>
        <w:t>-</w:t>
      </w:r>
      <w:r>
        <w:rPr>
          <w:rtl/>
          <w:lang w:eastAsia="zh-TW"/>
        </w:rPr>
        <w:tab/>
      </w:r>
      <w:r w:rsidRPr="00754E03">
        <w:rPr>
          <w:rtl/>
          <w:lang w:eastAsia="zh-TW"/>
        </w:rPr>
        <w:t>مقدمة</w:t>
      </w:r>
    </w:p>
    <w:p w:rsidR="00540D30" w:rsidRPr="006F1939" w:rsidRDefault="00540D30" w:rsidP="00540D30">
      <w:pPr>
        <w:pStyle w:val="SingleTxtGA"/>
        <w:rPr>
          <w:rtl/>
          <w:lang w:eastAsia="zh-TW"/>
        </w:rPr>
      </w:pPr>
      <w:r>
        <w:rPr>
          <w:rtl/>
          <w:lang w:eastAsia="zh-TW"/>
        </w:rPr>
        <w:t>١-</w:t>
      </w:r>
      <w:r>
        <w:rPr>
          <w:rtl/>
          <w:lang w:eastAsia="zh-TW"/>
        </w:rPr>
        <w:tab/>
        <w:t>يجوز للجنة المعنية بحقوق الإنسان، وفقاً للمادة 40(4) من العهد الدولي الخاص بالحقوق المدنية والسياسية، أن تعدَّ تقارير متابعة استناداً إلى مختلف مواد العهد وأحكامه، وذلك لمساعدة الدول الأطراف على الوفاء بالتزاماتها فيما يتعلق بتقديم التقارير. وقد أُعدَّ هذا التقرير عملاً بتلك المادة.</w:t>
      </w:r>
    </w:p>
    <w:p w:rsidR="00540D30" w:rsidRPr="00540D30" w:rsidRDefault="00540D30" w:rsidP="00540D30">
      <w:pPr>
        <w:pStyle w:val="SingleTxtGA"/>
        <w:rPr>
          <w:spacing w:val="-2"/>
          <w:rtl/>
          <w:lang w:eastAsia="zh-TW"/>
        </w:rPr>
      </w:pPr>
      <w:r w:rsidRPr="00540D30">
        <w:rPr>
          <w:spacing w:val="-2"/>
          <w:rtl/>
          <w:lang w:eastAsia="zh-TW"/>
        </w:rPr>
        <w:t>٢-</w:t>
      </w:r>
      <w:r w:rsidRPr="00540D30">
        <w:rPr>
          <w:spacing w:val="-2"/>
          <w:rtl/>
          <w:lang w:eastAsia="zh-TW"/>
        </w:rPr>
        <w:tab/>
        <w:t>ويعرض التقرير المعلومات التي تلقتها المقرر</w:t>
      </w:r>
      <w:r w:rsidRPr="00540D30">
        <w:rPr>
          <w:spacing w:val="-2"/>
          <w:rtl/>
          <w:lang w:val="ru-RU" w:eastAsia="zh-TW" w:bidi="ar-DZ"/>
        </w:rPr>
        <w:t>ة</w:t>
      </w:r>
      <w:r w:rsidRPr="00540D30">
        <w:rPr>
          <w:spacing w:val="-2"/>
          <w:rtl/>
          <w:lang w:eastAsia="zh-TW"/>
        </w:rPr>
        <w:t xml:space="preserve"> الخاصة المعنية بمتابعة الملاحظات الختامية وتقييمات اللجنة والقرارات التي اعتمدتها خلال دورتها 121. وترد جميع المعلومات المتاحة عن إجراء المتابعة الذي استخدمته اللجنة منذ دورتها 105، المعقودة في تموز/يوليه 2012، في جدول يمكن الاطلاع عليه</w:t>
      </w:r>
      <w:r w:rsidRPr="00540D30">
        <w:rPr>
          <w:spacing w:val="-2"/>
          <w:rtl/>
          <w:lang w:val="ru-RU" w:eastAsia="zh-TW" w:bidi="ar-DZ"/>
        </w:rPr>
        <w:t xml:space="preserve"> في الرابط التالي</w:t>
      </w:r>
      <w:r w:rsidRPr="00540D30">
        <w:rPr>
          <w:spacing w:val="-2"/>
          <w:rtl/>
          <w:lang w:eastAsia="zh-TW"/>
        </w:rPr>
        <w:t>:</w:t>
      </w:r>
      <w:r w:rsidRPr="00540D30">
        <w:rPr>
          <w:rFonts w:hint="cs"/>
          <w:spacing w:val="-2"/>
          <w:rtl/>
          <w:lang w:eastAsia="zh-TW"/>
        </w:rPr>
        <w:t xml:space="preserve"> </w:t>
      </w:r>
      <w:hyperlink r:id="rId9" w:history="1">
        <w:r w:rsidRPr="00540D30">
          <w:rPr>
            <w:rStyle w:val="Hyperlink"/>
            <w:rFonts w:eastAsiaTheme="majorEastAsia"/>
            <w:spacing w:val="-2"/>
            <w:u w:val="none"/>
          </w:rPr>
          <w:t>http://tbinternet.ohchr.org/Treaties/CCPR/Shared%20</w:t>
        </w:r>
        <w:r w:rsidRPr="00540D30">
          <w:rPr>
            <w:rStyle w:val="Hyperlink"/>
            <w:rFonts w:eastAsiaTheme="majorEastAsia"/>
            <w:spacing w:val="-2"/>
            <w:u w:val="none"/>
          </w:rPr>
          <w:br/>
          <w:t>Documents/1_Global/INT_CCPR_UCS_121_26619_E.pdf</w:t>
        </w:r>
      </w:hyperlink>
      <w:r w:rsidRPr="00540D30">
        <w:rPr>
          <w:spacing w:val="-2"/>
          <w:rtl/>
          <w:lang w:eastAsia="zh-TW"/>
        </w:rPr>
        <w:t>.</w:t>
      </w:r>
    </w:p>
    <w:tbl>
      <w:tblPr>
        <w:bidiVisual/>
        <w:tblW w:w="7358" w:type="dxa"/>
        <w:tblInd w:w="1254" w:type="dxa"/>
        <w:tblBorders>
          <w:top w:val="single" w:sz="4" w:space="0" w:color="auto"/>
          <w:bottom w:val="single" w:sz="12" w:space="0" w:color="auto"/>
        </w:tblBorders>
        <w:tblLayout w:type="fixed"/>
        <w:tblLook w:val="00A0" w:firstRow="1" w:lastRow="0" w:firstColumn="1" w:lastColumn="0" w:noHBand="0" w:noVBand="0"/>
      </w:tblPr>
      <w:tblGrid>
        <w:gridCol w:w="903"/>
        <w:gridCol w:w="6401"/>
        <w:gridCol w:w="54"/>
      </w:tblGrid>
      <w:tr w:rsidR="00540D30" w:rsidRPr="00540D30" w:rsidTr="001F2F4A">
        <w:trPr>
          <w:cantSplit/>
          <w:tblHeader/>
        </w:trPr>
        <w:tc>
          <w:tcPr>
            <w:tcW w:w="7358" w:type="dxa"/>
            <w:gridSpan w:val="3"/>
            <w:tcBorders>
              <w:top w:val="single" w:sz="4" w:space="0" w:color="auto"/>
              <w:bottom w:val="single" w:sz="12" w:space="0" w:color="auto"/>
            </w:tcBorders>
            <w:shd w:val="clear" w:color="auto" w:fill="auto"/>
            <w:vAlign w:val="bottom"/>
          </w:tcPr>
          <w:p w:rsidR="00540D30" w:rsidRPr="00540D30" w:rsidRDefault="00540D30" w:rsidP="00540D30">
            <w:pPr>
              <w:spacing w:after="80" w:line="320" w:lineRule="exact"/>
              <w:ind w:right="113"/>
              <w:textDirection w:val="tbRlV"/>
              <w:rPr>
                <w:iCs/>
                <w:sz w:val="18"/>
                <w:szCs w:val="28"/>
                <w:rtl/>
                <w:lang w:eastAsia="zh-TW"/>
              </w:rPr>
            </w:pPr>
            <w:r w:rsidRPr="00540D30">
              <w:rPr>
                <w:b/>
                <w:bCs/>
                <w:sz w:val="18"/>
                <w:szCs w:val="28"/>
                <w:rtl/>
                <w:lang w:eastAsia="zh-TW"/>
              </w:rPr>
              <w:t>تقييم الردود</w:t>
            </w:r>
            <w:r w:rsidRPr="00540D30">
              <w:rPr>
                <w:sz w:val="18"/>
                <w:szCs w:val="28"/>
                <w:vertAlign w:val="superscript"/>
                <w:rtl/>
                <w:lang w:eastAsia="zh-TW"/>
              </w:rPr>
              <w:t>(</w:t>
            </w:r>
            <w:r w:rsidRPr="00540D30">
              <w:rPr>
                <w:rStyle w:val="FootnoteReference"/>
                <w:rtl/>
                <w:lang w:eastAsia="zh-TW"/>
              </w:rPr>
              <w:footnoteReference w:id="2"/>
            </w:r>
            <w:r w:rsidRPr="00540D30">
              <w:rPr>
                <w:sz w:val="18"/>
                <w:szCs w:val="28"/>
                <w:vertAlign w:val="superscript"/>
                <w:rtl/>
                <w:lang w:eastAsia="zh-TW"/>
              </w:rPr>
              <w:t>)</w:t>
            </w:r>
          </w:p>
        </w:tc>
      </w:tr>
      <w:tr w:rsidR="00540D30" w:rsidRPr="00540D30" w:rsidTr="001F2F4A">
        <w:trPr>
          <w:gridAfter w:val="1"/>
          <w:wAfter w:w="54" w:type="dxa"/>
          <w:cantSplit/>
          <w:trHeight w:hRule="exact" w:val="113"/>
          <w:tblHeader/>
        </w:trPr>
        <w:tc>
          <w:tcPr>
            <w:tcW w:w="903" w:type="dxa"/>
            <w:tcBorders>
              <w:top w:val="single" w:sz="12" w:space="0" w:color="auto"/>
            </w:tcBorders>
            <w:shd w:val="clear" w:color="auto" w:fill="auto"/>
          </w:tcPr>
          <w:p w:rsidR="00540D30" w:rsidRPr="00540D30" w:rsidRDefault="00540D30" w:rsidP="00540D30">
            <w:pPr>
              <w:spacing w:after="80" w:line="320" w:lineRule="exact"/>
              <w:ind w:right="113"/>
              <w:rPr>
                <w:sz w:val="18"/>
                <w:szCs w:val="28"/>
              </w:rPr>
            </w:pPr>
          </w:p>
        </w:tc>
        <w:tc>
          <w:tcPr>
            <w:tcW w:w="6401" w:type="dxa"/>
            <w:tcBorders>
              <w:top w:val="single" w:sz="12" w:space="0" w:color="auto"/>
            </w:tcBorders>
            <w:shd w:val="clear" w:color="auto" w:fill="auto"/>
          </w:tcPr>
          <w:p w:rsidR="00540D30" w:rsidRPr="00540D30" w:rsidRDefault="00540D30" w:rsidP="00540D30">
            <w:pPr>
              <w:spacing w:after="80" w:line="320" w:lineRule="exact"/>
              <w:ind w:right="113"/>
              <w:rPr>
                <w:sz w:val="18"/>
                <w:szCs w:val="28"/>
              </w:rPr>
            </w:pPr>
          </w:p>
        </w:tc>
      </w:tr>
      <w:tr w:rsidR="00540D30" w:rsidRPr="00540D30" w:rsidTr="001F2F4A">
        <w:trPr>
          <w:gridAfter w:val="1"/>
          <w:wAfter w:w="54" w:type="dxa"/>
          <w:cantSplit/>
        </w:trPr>
        <w:tc>
          <w:tcPr>
            <w:tcW w:w="903" w:type="dxa"/>
            <w:shd w:val="clear" w:color="auto" w:fill="auto"/>
          </w:tcPr>
          <w:p w:rsidR="00540D30" w:rsidRPr="00540D30" w:rsidRDefault="00540D30" w:rsidP="00540D30">
            <w:pPr>
              <w:spacing w:after="80" w:line="320" w:lineRule="exact"/>
              <w:ind w:right="113"/>
              <w:jc w:val="both"/>
              <w:textDirection w:val="tbRlV"/>
              <w:rPr>
                <w:b/>
                <w:bCs/>
                <w:sz w:val="18"/>
                <w:szCs w:val="28"/>
                <w:rtl/>
                <w:lang w:eastAsia="zh-TW"/>
              </w:rPr>
            </w:pPr>
            <w:r w:rsidRPr="00540D30">
              <w:rPr>
                <w:b/>
                <w:bCs/>
                <w:sz w:val="18"/>
                <w:szCs w:val="28"/>
                <w:rtl/>
                <w:lang w:eastAsia="zh-TW"/>
              </w:rPr>
              <w:t>ألف</w:t>
            </w:r>
          </w:p>
        </w:tc>
        <w:tc>
          <w:tcPr>
            <w:tcW w:w="6401" w:type="dxa"/>
            <w:shd w:val="clear" w:color="auto" w:fill="auto"/>
          </w:tcPr>
          <w:p w:rsidR="00540D30" w:rsidRPr="00540D30" w:rsidRDefault="00540D30" w:rsidP="00540D30">
            <w:pPr>
              <w:spacing w:after="80" w:line="320" w:lineRule="exact"/>
              <w:ind w:right="113"/>
              <w:jc w:val="both"/>
              <w:textDirection w:val="tbRlV"/>
              <w:rPr>
                <w:sz w:val="18"/>
                <w:szCs w:val="28"/>
                <w:rtl/>
                <w:lang w:eastAsia="zh-TW"/>
              </w:rPr>
            </w:pPr>
            <w:r w:rsidRPr="00540D30">
              <w:rPr>
                <w:b/>
                <w:bCs/>
                <w:sz w:val="18"/>
                <w:szCs w:val="28"/>
                <w:rtl/>
                <w:lang w:eastAsia="zh-TW"/>
              </w:rPr>
              <w:t>ردٌ/إجراءٌ مرض</w:t>
            </w:r>
            <w:r w:rsidRPr="00540D30">
              <w:rPr>
                <w:sz w:val="18"/>
                <w:szCs w:val="28"/>
                <w:rtl/>
                <w:lang w:eastAsia="zh-TW"/>
              </w:rPr>
              <w:t xml:space="preserve"> </w:t>
            </w:r>
            <w:r w:rsidRPr="00540D30">
              <w:rPr>
                <w:b/>
                <w:bCs/>
                <w:sz w:val="18"/>
                <w:szCs w:val="28"/>
                <w:rtl/>
                <w:lang w:eastAsia="zh-TW"/>
              </w:rPr>
              <w:t>إلى حد كبير:</w:t>
            </w:r>
            <w:r w:rsidRPr="00540D30">
              <w:rPr>
                <w:sz w:val="18"/>
                <w:szCs w:val="28"/>
                <w:rtl/>
                <w:lang w:eastAsia="zh-TW"/>
              </w:rPr>
              <w:t xml:space="preserve"> قدمت الدولة الطرف أدلة على اتخاذ إجراءات هامة لتنفيذ توصية اللجنة.</w:t>
            </w:r>
          </w:p>
        </w:tc>
      </w:tr>
      <w:tr w:rsidR="00540D30" w:rsidRPr="00540D30" w:rsidTr="001F2F4A">
        <w:trPr>
          <w:gridAfter w:val="1"/>
          <w:wAfter w:w="54" w:type="dxa"/>
          <w:cantSplit/>
        </w:trPr>
        <w:tc>
          <w:tcPr>
            <w:tcW w:w="903" w:type="dxa"/>
            <w:shd w:val="clear" w:color="auto" w:fill="auto"/>
          </w:tcPr>
          <w:p w:rsidR="00540D30" w:rsidRPr="00540D30" w:rsidRDefault="00540D30" w:rsidP="00540D30">
            <w:pPr>
              <w:spacing w:after="80" w:line="320" w:lineRule="exact"/>
              <w:ind w:right="113"/>
              <w:jc w:val="both"/>
              <w:textDirection w:val="tbRlV"/>
              <w:rPr>
                <w:b/>
                <w:bCs/>
                <w:sz w:val="18"/>
                <w:szCs w:val="28"/>
                <w:rtl/>
                <w:lang w:eastAsia="zh-TW"/>
              </w:rPr>
            </w:pPr>
            <w:r w:rsidRPr="00540D30">
              <w:rPr>
                <w:b/>
                <w:bCs/>
                <w:sz w:val="18"/>
                <w:szCs w:val="28"/>
                <w:rtl/>
                <w:lang w:eastAsia="zh-TW"/>
              </w:rPr>
              <w:t>باء</w:t>
            </w:r>
          </w:p>
        </w:tc>
        <w:tc>
          <w:tcPr>
            <w:tcW w:w="6401" w:type="dxa"/>
            <w:shd w:val="clear" w:color="auto" w:fill="auto"/>
          </w:tcPr>
          <w:p w:rsidR="00540D30" w:rsidRPr="00540D30" w:rsidRDefault="00540D30" w:rsidP="00540D30">
            <w:pPr>
              <w:spacing w:after="80" w:line="320" w:lineRule="exact"/>
              <w:ind w:right="113"/>
              <w:jc w:val="both"/>
              <w:textDirection w:val="tbRlV"/>
              <w:rPr>
                <w:sz w:val="18"/>
                <w:szCs w:val="28"/>
                <w:rtl/>
                <w:lang w:eastAsia="zh-TW"/>
              </w:rPr>
            </w:pPr>
            <w:r w:rsidRPr="00540D30">
              <w:rPr>
                <w:b/>
                <w:bCs/>
                <w:sz w:val="18"/>
                <w:szCs w:val="28"/>
                <w:rtl/>
                <w:lang w:eastAsia="zh-TW"/>
              </w:rPr>
              <w:t>رد/إجراء مرض جزئياً</w:t>
            </w:r>
            <w:r w:rsidRPr="00540D30">
              <w:rPr>
                <w:sz w:val="18"/>
                <w:szCs w:val="28"/>
                <w:rtl/>
                <w:lang w:eastAsia="zh-TW"/>
              </w:rPr>
              <w:t>: اتخذت الدولة الطرف خطوات لتنفيذ التوصية، ولكن لا يزال يلزم تقديم معلومات إضافية أو اتخاذ مزيد من الإجراءات.</w:t>
            </w:r>
          </w:p>
        </w:tc>
      </w:tr>
      <w:tr w:rsidR="00540D30" w:rsidRPr="00540D30" w:rsidTr="001F2F4A">
        <w:trPr>
          <w:gridAfter w:val="1"/>
          <w:wAfter w:w="54" w:type="dxa"/>
          <w:cantSplit/>
        </w:trPr>
        <w:tc>
          <w:tcPr>
            <w:tcW w:w="903" w:type="dxa"/>
            <w:shd w:val="clear" w:color="auto" w:fill="auto"/>
          </w:tcPr>
          <w:p w:rsidR="00540D30" w:rsidRPr="00540D30" w:rsidRDefault="00540D30" w:rsidP="00540D30">
            <w:pPr>
              <w:spacing w:after="80" w:line="320" w:lineRule="exact"/>
              <w:ind w:right="113"/>
              <w:jc w:val="both"/>
              <w:textDirection w:val="tbRlV"/>
              <w:rPr>
                <w:b/>
                <w:bCs/>
                <w:sz w:val="18"/>
                <w:szCs w:val="28"/>
                <w:rtl/>
                <w:lang w:eastAsia="zh-TW"/>
              </w:rPr>
            </w:pPr>
            <w:r w:rsidRPr="00540D30">
              <w:rPr>
                <w:b/>
                <w:bCs/>
                <w:sz w:val="18"/>
                <w:szCs w:val="28"/>
                <w:rtl/>
                <w:lang w:eastAsia="zh-TW"/>
              </w:rPr>
              <w:t>جيم</w:t>
            </w:r>
          </w:p>
        </w:tc>
        <w:tc>
          <w:tcPr>
            <w:tcW w:w="6401" w:type="dxa"/>
            <w:shd w:val="clear" w:color="auto" w:fill="auto"/>
          </w:tcPr>
          <w:p w:rsidR="00540D30" w:rsidRPr="00540D30" w:rsidRDefault="00540D30" w:rsidP="00540D30">
            <w:pPr>
              <w:spacing w:after="80" w:line="320" w:lineRule="exact"/>
              <w:ind w:right="113"/>
              <w:jc w:val="both"/>
              <w:textDirection w:val="tbRlV"/>
              <w:rPr>
                <w:sz w:val="18"/>
                <w:szCs w:val="28"/>
                <w:rtl/>
                <w:lang w:eastAsia="zh-TW"/>
              </w:rPr>
            </w:pPr>
            <w:r w:rsidRPr="00540D30">
              <w:rPr>
                <w:b/>
                <w:bCs/>
                <w:sz w:val="18"/>
                <w:szCs w:val="28"/>
                <w:rtl/>
                <w:lang w:eastAsia="zh-TW"/>
              </w:rPr>
              <w:t>رد/إجراء غير مرضٍ</w:t>
            </w:r>
            <w:r w:rsidRPr="00540D30">
              <w:rPr>
                <w:sz w:val="18"/>
                <w:szCs w:val="28"/>
                <w:rtl/>
                <w:lang w:eastAsia="zh-TW"/>
              </w:rPr>
              <w:t xml:space="preserve">: ورد رد لكن الإجراءات التي اتخذتها الدولة الطرف أو المعلومات التي قدمتها ليست ذات صلة أو لا تؤدي إلى تنفيذ التوصيات. </w:t>
            </w:r>
          </w:p>
        </w:tc>
      </w:tr>
      <w:tr w:rsidR="00540D30" w:rsidRPr="00540D30" w:rsidTr="001F2F4A">
        <w:trPr>
          <w:gridAfter w:val="1"/>
          <w:wAfter w:w="54" w:type="dxa"/>
          <w:cantSplit/>
        </w:trPr>
        <w:tc>
          <w:tcPr>
            <w:tcW w:w="903" w:type="dxa"/>
            <w:shd w:val="clear" w:color="auto" w:fill="auto"/>
          </w:tcPr>
          <w:p w:rsidR="00540D30" w:rsidRPr="00540D30" w:rsidRDefault="00540D30" w:rsidP="00540D30">
            <w:pPr>
              <w:spacing w:after="80" w:line="320" w:lineRule="exact"/>
              <w:ind w:right="113"/>
              <w:jc w:val="both"/>
              <w:textDirection w:val="tbRlV"/>
              <w:rPr>
                <w:b/>
                <w:bCs/>
                <w:sz w:val="18"/>
                <w:szCs w:val="28"/>
                <w:rtl/>
                <w:lang w:eastAsia="zh-TW"/>
              </w:rPr>
            </w:pPr>
            <w:r w:rsidRPr="00540D30">
              <w:rPr>
                <w:b/>
                <w:bCs/>
                <w:sz w:val="18"/>
                <w:szCs w:val="28"/>
                <w:rtl/>
                <w:lang w:eastAsia="zh-TW"/>
              </w:rPr>
              <w:t>دال</w:t>
            </w:r>
          </w:p>
        </w:tc>
        <w:tc>
          <w:tcPr>
            <w:tcW w:w="6401" w:type="dxa"/>
            <w:shd w:val="clear" w:color="auto" w:fill="auto"/>
          </w:tcPr>
          <w:p w:rsidR="00540D30" w:rsidRPr="00540D30" w:rsidRDefault="00540D30" w:rsidP="00A501A7">
            <w:pPr>
              <w:spacing w:after="80" w:line="320" w:lineRule="exact"/>
              <w:ind w:left="14" w:right="113"/>
              <w:jc w:val="both"/>
              <w:textDirection w:val="tbRlV"/>
              <w:rPr>
                <w:sz w:val="18"/>
                <w:szCs w:val="28"/>
                <w:rtl/>
                <w:lang w:eastAsia="zh-TW"/>
              </w:rPr>
            </w:pPr>
            <w:r w:rsidRPr="00540D30">
              <w:rPr>
                <w:b/>
                <w:bCs/>
                <w:sz w:val="18"/>
                <w:szCs w:val="28"/>
                <w:rtl/>
                <w:lang w:eastAsia="zh-TW"/>
              </w:rPr>
              <w:t>لم يجر أي تعاون مع اللجنة</w:t>
            </w:r>
            <w:r w:rsidRPr="00540D30">
              <w:rPr>
                <w:sz w:val="18"/>
                <w:szCs w:val="28"/>
                <w:rtl/>
                <w:lang w:eastAsia="zh-TW"/>
              </w:rPr>
              <w:t>: لم يرد أي تقرير متابعة بعد توجيه رسالة (رسائل) تذكير.</w:t>
            </w:r>
          </w:p>
        </w:tc>
      </w:tr>
      <w:tr w:rsidR="00540D30" w:rsidRPr="00540D30" w:rsidTr="001F2F4A">
        <w:trPr>
          <w:cantSplit/>
        </w:trPr>
        <w:tc>
          <w:tcPr>
            <w:tcW w:w="903" w:type="dxa"/>
            <w:shd w:val="clear" w:color="auto" w:fill="auto"/>
          </w:tcPr>
          <w:p w:rsidR="00540D30" w:rsidRPr="00540D30" w:rsidRDefault="00540D30" w:rsidP="00540D30">
            <w:pPr>
              <w:spacing w:after="80" w:line="320" w:lineRule="exact"/>
              <w:ind w:right="113"/>
              <w:jc w:val="both"/>
              <w:textDirection w:val="tbRlV"/>
              <w:rPr>
                <w:b/>
                <w:bCs/>
                <w:sz w:val="18"/>
                <w:szCs w:val="28"/>
                <w:rtl/>
                <w:lang w:eastAsia="zh-TW"/>
              </w:rPr>
            </w:pPr>
            <w:r w:rsidRPr="00540D30">
              <w:rPr>
                <w:b/>
                <w:bCs/>
                <w:sz w:val="18"/>
                <w:szCs w:val="28"/>
                <w:rtl/>
                <w:lang w:eastAsia="zh-TW"/>
              </w:rPr>
              <w:t>هاء</w:t>
            </w:r>
          </w:p>
        </w:tc>
        <w:tc>
          <w:tcPr>
            <w:tcW w:w="6455" w:type="dxa"/>
            <w:gridSpan w:val="2"/>
            <w:shd w:val="clear" w:color="auto" w:fill="auto"/>
          </w:tcPr>
          <w:p w:rsidR="00540D30" w:rsidRPr="00540D30" w:rsidRDefault="00540D30" w:rsidP="00A501A7">
            <w:pPr>
              <w:spacing w:after="80" w:line="320" w:lineRule="exact"/>
              <w:ind w:left="-113" w:right="113"/>
              <w:textDirection w:val="tbRlV"/>
              <w:rPr>
                <w:b/>
                <w:bCs/>
                <w:sz w:val="18"/>
                <w:szCs w:val="28"/>
                <w:rtl/>
                <w:lang w:eastAsia="zh-TW"/>
              </w:rPr>
            </w:pPr>
            <w:r w:rsidRPr="00540D30">
              <w:rPr>
                <w:b/>
                <w:bCs/>
                <w:sz w:val="18"/>
                <w:szCs w:val="28"/>
                <w:rtl/>
                <w:lang w:eastAsia="zh-TW"/>
              </w:rPr>
              <w:t>المعلومات المقدمة أو التدابير المتخذة تنافي التوصية أو تنم عن رفضها</w:t>
            </w:r>
            <w:r w:rsidRPr="00540D30">
              <w:rPr>
                <w:sz w:val="18"/>
                <w:szCs w:val="28"/>
                <w:rtl/>
                <w:lang w:eastAsia="zh-TW"/>
              </w:rPr>
              <w:t>.</w:t>
            </w:r>
          </w:p>
        </w:tc>
      </w:tr>
    </w:tbl>
    <w:p w:rsidR="00540D30" w:rsidRPr="00CA6A67" w:rsidRDefault="00540D30" w:rsidP="00540D30">
      <w:pPr>
        <w:pStyle w:val="HChGA"/>
        <w:rPr>
          <w:rtl/>
          <w:lang w:eastAsia="zh-TW"/>
        </w:rPr>
      </w:pPr>
      <w:bookmarkStart w:id="0" w:name="_Toc458504791"/>
      <w:r>
        <w:rPr>
          <w:rtl/>
          <w:lang w:eastAsia="zh-TW"/>
        </w:rPr>
        <w:lastRenderedPageBreak/>
        <w:tab/>
      </w:r>
      <w:r w:rsidRPr="00CA6A67">
        <w:rPr>
          <w:rtl/>
          <w:lang w:eastAsia="zh-TW"/>
        </w:rPr>
        <w:t>ثانيا</w:t>
      </w:r>
      <w:r>
        <w:rPr>
          <w:rFonts w:hint="cs"/>
          <w:rtl/>
          <w:lang w:eastAsia="zh-TW"/>
        </w:rPr>
        <w:t>ً</w:t>
      </w:r>
      <w:r w:rsidRPr="00CA6A67">
        <w:rPr>
          <w:rtl/>
          <w:lang w:eastAsia="zh-TW"/>
        </w:rPr>
        <w:t>-</w:t>
      </w:r>
      <w:r>
        <w:rPr>
          <w:rtl/>
          <w:lang w:eastAsia="zh-TW"/>
        </w:rPr>
        <w:tab/>
      </w:r>
      <w:r w:rsidRPr="00CA6A67">
        <w:rPr>
          <w:rtl/>
          <w:lang w:eastAsia="zh-TW"/>
        </w:rPr>
        <w:t>تقييم معلومات المتابعة</w:t>
      </w:r>
      <w:bookmarkEnd w:id="0"/>
    </w:p>
    <w:p w:rsidR="00540D30" w:rsidRPr="00CA6A67" w:rsidRDefault="00540D30" w:rsidP="00540D30">
      <w:pPr>
        <w:pStyle w:val="H1GA"/>
        <w:rPr>
          <w:rtl/>
          <w:lang w:eastAsia="zh-TW"/>
        </w:rPr>
      </w:pPr>
      <w:r>
        <w:rPr>
          <w:rtl/>
          <w:lang w:eastAsia="zh-TW"/>
        </w:rPr>
        <w:tab/>
      </w:r>
      <w:r>
        <w:rPr>
          <w:rtl/>
          <w:lang w:eastAsia="zh-TW"/>
        </w:rPr>
        <w:tab/>
      </w:r>
      <w:r w:rsidRPr="00CA6A67">
        <w:rPr>
          <w:rtl/>
          <w:lang w:eastAsia="zh-TW"/>
        </w:rPr>
        <w:t>الدول الأطراف التي حصلت على تقييم بدرجة [دال] لعدم تعاونها مع اللجنة في إطار إجراء متابعة الملاحظات الختامية</w:t>
      </w:r>
    </w:p>
    <w:tbl>
      <w:tblPr>
        <w:bidiVisual/>
        <w:tblW w:w="7237"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88"/>
        <w:gridCol w:w="1791"/>
        <w:gridCol w:w="1876"/>
        <w:gridCol w:w="2282"/>
      </w:tblGrid>
      <w:tr w:rsidR="00540D30" w:rsidRPr="00540D30" w:rsidTr="00C63586">
        <w:trPr>
          <w:tblHeader/>
        </w:trPr>
        <w:tc>
          <w:tcPr>
            <w:tcW w:w="1288" w:type="dxa"/>
            <w:tcBorders>
              <w:top w:val="single" w:sz="4" w:space="0" w:color="auto"/>
              <w:bottom w:val="single" w:sz="12" w:space="0" w:color="auto"/>
            </w:tcBorders>
            <w:shd w:val="clear" w:color="auto" w:fill="auto"/>
            <w:vAlign w:val="bottom"/>
          </w:tcPr>
          <w:p w:rsidR="00540D30" w:rsidRPr="00B545F8" w:rsidRDefault="00540D30" w:rsidP="00C63586">
            <w:pPr>
              <w:spacing w:after="120" w:line="340" w:lineRule="exact"/>
              <w:ind w:left="57" w:right="57"/>
              <w:jc w:val="left"/>
              <w:textDirection w:val="tbRlV"/>
              <w:rPr>
                <w:i/>
                <w:iCs/>
                <w:rtl/>
                <w:lang w:eastAsia="zh-TW"/>
              </w:rPr>
            </w:pPr>
            <w:r w:rsidRPr="00B545F8">
              <w:rPr>
                <w:i/>
                <w:iCs/>
                <w:rtl/>
                <w:lang w:eastAsia="zh-TW"/>
              </w:rPr>
              <w:t>الدولة الطرف</w:t>
            </w:r>
          </w:p>
        </w:tc>
        <w:tc>
          <w:tcPr>
            <w:tcW w:w="1791" w:type="dxa"/>
            <w:tcBorders>
              <w:top w:val="single" w:sz="4" w:space="0" w:color="auto"/>
              <w:bottom w:val="single" w:sz="12" w:space="0" w:color="auto"/>
            </w:tcBorders>
            <w:shd w:val="clear" w:color="auto" w:fill="auto"/>
            <w:vAlign w:val="bottom"/>
          </w:tcPr>
          <w:p w:rsidR="00540D30" w:rsidRPr="00B545F8" w:rsidRDefault="00540D30" w:rsidP="00C63586">
            <w:pPr>
              <w:spacing w:after="120" w:line="340" w:lineRule="exact"/>
              <w:ind w:left="57" w:right="57"/>
              <w:jc w:val="left"/>
              <w:textDirection w:val="tbRlV"/>
              <w:rPr>
                <w:i/>
                <w:iCs/>
                <w:rtl/>
                <w:lang w:eastAsia="zh-TW"/>
              </w:rPr>
            </w:pPr>
            <w:r w:rsidRPr="00B545F8">
              <w:rPr>
                <w:i/>
                <w:iCs/>
                <w:rtl/>
                <w:lang w:eastAsia="zh-TW"/>
              </w:rPr>
              <w:t>الملاحظات الختامية</w:t>
            </w:r>
          </w:p>
        </w:tc>
        <w:tc>
          <w:tcPr>
            <w:tcW w:w="1876" w:type="dxa"/>
            <w:tcBorders>
              <w:top w:val="single" w:sz="4" w:space="0" w:color="auto"/>
              <w:bottom w:val="single" w:sz="12" w:space="0" w:color="auto"/>
            </w:tcBorders>
            <w:shd w:val="clear" w:color="auto" w:fill="auto"/>
            <w:vAlign w:val="bottom"/>
          </w:tcPr>
          <w:p w:rsidR="00540D30" w:rsidRPr="00B545F8" w:rsidRDefault="00540D30" w:rsidP="00C63586">
            <w:pPr>
              <w:spacing w:after="120" w:line="340" w:lineRule="exact"/>
              <w:ind w:left="57" w:right="57"/>
              <w:jc w:val="left"/>
              <w:textDirection w:val="tbRlV"/>
              <w:rPr>
                <w:i/>
                <w:iCs/>
                <w:rtl/>
                <w:lang w:eastAsia="zh-TW"/>
              </w:rPr>
            </w:pPr>
            <w:r w:rsidRPr="00B545F8">
              <w:rPr>
                <w:i/>
                <w:iCs/>
                <w:rtl/>
                <w:lang w:eastAsia="zh-TW"/>
              </w:rPr>
              <w:t>تاريخ تقديم تقرير المتابعة (رقم التقرير)</w:t>
            </w:r>
          </w:p>
        </w:tc>
        <w:tc>
          <w:tcPr>
            <w:tcW w:w="2282" w:type="dxa"/>
            <w:tcBorders>
              <w:top w:val="single" w:sz="4" w:space="0" w:color="auto"/>
              <w:bottom w:val="single" w:sz="12" w:space="0" w:color="auto"/>
            </w:tcBorders>
            <w:shd w:val="clear" w:color="auto" w:fill="auto"/>
            <w:vAlign w:val="bottom"/>
          </w:tcPr>
          <w:p w:rsidR="00540D30" w:rsidRPr="00B545F8" w:rsidRDefault="00540D30" w:rsidP="00C63586">
            <w:pPr>
              <w:spacing w:after="120" w:line="340" w:lineRule="exact"/>
              <w:ind w:left="57" w:right="57"/>
              <w:jc w:val="left"/>
              <w:textDirection w:val="tbRlV"/>
              <w:rPr>
                <w:i/>
                <w:iCs/>
                <w:spacing w:val="-4"/>
                <w:rtl/>
                <w:lang w:eastAsia="zh-TW"/>
              </w:rPr>
            </w:pPr>
            <w:r w:rsidRPr="00B545F8">
              <w:rPr>
                <w:i/>
                <w:iCs/>
                <w:spacing w:val="-4"/>
                <w:rtl/>
                <w:lang w:eastAsia="zh-TW"/>
              </w:rPr>
              <w:t>الرسائل التذكيرية والإجراءات ذات الصلة</w:t>
            </w:r>
          </w:p>
        </w:tc>
      </w:tr>
      <w:tr w:rsidR="00540D30" w:rsidRPr="00540D30" w:rsidTr="00C63586">
        <w:trPr>
          <w:trHeight w:hRule="exact" w:val="113"/>
          <w:tblHeader/>
        </w:trPr>
        <w:tc>
          <w:tcPr>
            <w:tcW w:w="1288" w:type="dxa"/>
            <w:tcBorders>
              <w:top w:val="single" w:sz="12" w:space="0" w:color="auto"/>
            </w:tcBorders>
            <w:shd w:val="clear" w:color="auto" w:fill="auto"/>
          </w:tcPr>
          <w:p w:rsidR="00540D30" w:rsidRPr="00B545F8" w:rsidRDefault="00540D30" w:rsidP="00C63586">
            <w:pPr>
              <w:spacing w:after="120" w:line="340" w:lineRule="exact"/>
              <w:ind w:left="57" w:right="57"/>
            </w:pPr>
          </w:p>
        </w:tc>
        <w:tc>
          <w:tcPr>
            <w:tcW w:w="1791" w:type="dxa"/>
            <w:tcBorders>
              <w:top w:val="single" w:sz="12" w:space="0" w:color="auto"/>
            </w:tcBorders>
            <w:shd w:val="clear" w:color="auto" w:fill="auto"/>
          </w:tcPr>
          <w:p w:rsidR="00540D30" w:rsidRPr="00B545F8" w:rsidRDefault="00540D30" w:rsidP="00C63586">
            <w:pPr>
              <w:spacing w:after="120" w:line="340" w:lineRule="exact"/>
              <w:ind w:left="57" w:right="57"/>
            </w:pPr>
          </w:p>
        </w:tc>
        <w:tc>
          <w:tcPr>
            <w:tcW w:w="1876" w:type="dxa"/>
            <w:tcBorders>
              <w:top w:val="single" w:sz="12" w:space="0" w:color="auto"/>
            </w:tcBorders>
            <w:shd w:val="clear" w:color="auto" w:fill="auto"/>
          </w:tcPr>
          <w:p w:rsidR="00540D30" w:rsidRPr="00B545F8" w:rsidRDefault="00540D30" w:rsidP="00C63586">
            <w:pPr>
              <w:spacing w:after="120" w:line="340" w:lineRule="exact"/>
              <w:ind w:left="57" w:right="57"/>
            </w:pPr>
          </w:p>
        </w:tc>
        <w:tc>
          <w:tcPr>
            <w:tcW w:w="2282" w:type="dxa"/>
            <w:tcBorders>
              <w:top w:val="single" w:sz="12" w:space="0" w:color="auto"/>
            </w:tcBorders>
            <w:shd w:val="clear" w:color="auto" w:fill="auto"/>
          </w:tcPr>
          <w:p w:rsidR="00540D30" w:rsidRPr="00B545F8" w:rsidRDefault="00540D30" w:rsidP="00C63586">
            <w:pPr>
              <w:spacing w:after="120" w:line="340" w:lineRule="exact"/>
              <w:ind w:left="57" w:right="57"/>
            </w:pPr>
          </w:p>
        </w:tc>
      </w:tr>
      <w:tr w:rsidR="00540D30" w:rsidRPr="00540D30" w:rsidTr="00C63586">
        <w:tc>
          <w:tcPr>
            <w:tcW w:w="7237" w:type="dxa"/>
            <w:gridSpan w:val="4"/>
            <w:shd w:val="clear" w:color="auto" w:fill="auto"/>
          </w:tcPr>
          <w:p w:rsidR="00540D30" w:rsidRPr="00B545F8" w:rsidRDefault="00540D30" w:rsidP="00C63586">
            <w:pPr>
              <w:spacing w:after="120" w:line="340" w:lineRule="exact"/>
              <w:ind w:left="57" w:right="57"/>
              <w:textDirection w:val="tbRlV"/>
              <w:rPr>
                <w:rtl/>
                <w:lang w:eastAsia="zh-TW"/>
              </w:rPr>
            </w:pPr>
            <w:r w:rsidRPr="00B545F8">
              <w:rPr>
                <w:rtl/>
                <w:lang w:eastAsia="zh-TW"/>
              </w:rPr>
              <w:t>لم تحصل أي دولة من الدول الأطراف على تقييم بدرجة</w:t>
            </w:r>
            <w:r w:rsidR="00EE72E6">
              <w:rPr>
                <w:rFonts w:hint="cs"/>
                <w:rtl/>
                <w:lang w:eastAsia="zh-TW"/>
              </w:rPr>
              <w:t xml:space="preserve"> </w:t>
            </w:r>
            <w:r w:rsidRPr="00B545F8">
              <w:rPr>
                <w:rtl/>
                <w:lang w:eastAsia="zh-TW"/>
              </w:rPr>
              <w:t>[دال] وقت اعتماد التقرير.</w:t>
            </w:r>
          </w:p>
        </w:tc>
      </w:tr>
    </w:tbl>
    <w:p w:rsidR="00540D30" w:rsidRPr="006F1939" w:rsidRDefault="00540D30" w:rsidP="00540D30">
      <w:pPr>
        <w:pStyle w:val="H1GA"/>
        <w:rPr>
          <w:rtl/>
          <w:lang w:eastAsia="zh-TW"/>
        </w:rPr>
      </w:pPr>
      <w:r>
        <w:rPr>
          <w:rtl/>
          <w:lang w:eastAsia="zh-TW"/>
        </w:rPr>
        <w:tab/>
      </w:r>
      <w:r>
        <w:rPr>
          <w:rtl/>
          <w:lang w:eastAsia="zh-TW"/>
        </w:rPr>
        <w:tab/>
        <w:t>الدورة 108 (تموز/يوليه 2013)</w:t>
      </w:r>
    </w:p>
    <w:tbl>
      <w:tblPr>
        <w:bidiVisual/>
        <w:tblW w:w="7237" w:type="dxa"/>
        <w:tblInd w:w="1350" w:type="dxa"/>
        <w:tblBorders>
          <w:top w:val="single" w:sz="4" w:space="0" w:color="auto"/>
          <w:bottom w:val="single" w:sz="12" w:space="0" w:color="auto"/>
        </w:tblBorders>
        <w:tblLayout w:type="fixed"/>
        <w:tblLook w:val="00A0" w:firstRow="1" w:lastRow="0" w:firstColumn="1" w:lastColumn="0" w:noHBand="0" w:noVBand="0"/>
      </w:tblPr>
      <w:tblGrid>
        <w:gridCol w:w="2199"/>
        <w:gridCol w:w="5038"/>
      </w:tblGrid>
      <w:tr w:rsidR="00540D30" w:rsidRPr="00540D30" w:rsidTr="00387BAB">
        <w:trPr>
          <w:trHeight w:val="240"/>
          <w:tblHeader/>
        </w:trPr>
        <w:tc>
          <w:tcPr>
            <w:tcW w:w="2199" w:type="dxa"/>
            <w:tcBorders>
              <w:top w:val="single" w:sz="4" w:space="0" w:color="auto"/>
              <w:bottom w:val="single" w:sz="12" w:space="0" w:color="auto"/>
            </w:tcBorders>
            <w:shd w:val="clear" w:color="auto" w:fill="auto"/>
            <w:vAlign w:val="bottom"/>
          </w:tcPr>
          <w:p w:rsidR="00540D30" w:rsidRPr="00540D30" w:rsidRDefault="00540D30" w:rsidP="00540D30">
            <w:pPr>
              <w:spacing w:after="120" w:line="360" w:lineRule="exact"/>
              <w:textDirection w:val="tbRlV"/>
              <w:rPr>
                <w:i/>
                <w:iCs/>
                <w:rtl/>
                <w:lang w:eastAsia="zh-TW"/>
              </w:rPr>
            </w:pPr>
            <w:r w:rsidRPr="00540D30">
              <w:rPr>
                <w:i/>
                <w:iCs/>
                <w:rtl/>
                <w:lang w:eastAsia="zh-TW"/>
              </w:rPr>
              <w:t>أوكرانيا</w:t>
            </w:r>
          </w:p>
        </w:tc>
        <w:tc>
          <w:tcPr>
            <w:tcW w:w="5038" w:type="dxa"/>
            <w:tcBorders>
              <w:top w:val="single" w:sz="4" w:space="0" w:color="auto"/>
              <w:bottom w:val="single" w:sz="12" w:space="0" w:color="auto"/>
            </w:tcBorders>
            <w:shd w:val="clear" w:color="auto" w:fill="auto"/>
            <w:vAlign w:val="bottom"/>
          </w:tcPr>
          <w:p w:rsidR="00540D30" w:rsidRPr="00540D30" w:rsidRDefault="00540D30" w:rsidP="00540D30">
            <w:pPr>
              <w:spacing w:after="120" w:line="360" w:lineRule="exact"/>
              <w:rPr>
                <w:i/>
              </w:rPr>
            </w:pPr>
          </w:p>
        </w:tc>
      </w:tr>
      <w:tr w:rsidR="00540D30" w:rsidRPr="00540D30" w:rsidTr="00387BAB">
        <w:trPr>
          <w:trHeight w:hRule="exact" w:val="113"/>
          <w:tblHeader/>
        </w:trPr>
        <w:tc>
          <w:tcPr>
            <w:tcW w:w="2199" w:type="dxa"/>
            <w:tcBorders>
              <w:top w:val="single" w:sz="12" w:space="0" w:color="auto"/>
            </w:tcBorders>
            <w:shd w:val="clear" w:color="auto" w:fill="auto"/>
          </w:tcPr>
          <w:p w:rsidR="00540D30" w:rsidRPr="00540D30" w:rsidRDefault="00540D30" w:rsidP="00540D30">
            <w:pPr>
              <w:spacing w:after="120" w:line="360" w:lineRule="exact"/>
            </w:pPr>
          </w:p>
        </w:tc>
        <w:tc>
          <w:tcPr>
            <w:tcW w:w="5038" w:type="dxa"/>
            <w:tcBorders>
              <w:top w:val="single" w:sz="12" w:space="0" w:color="auto"/>
            </w:tcBorders>
            <w:shd w:val="clear" w:color="auto" w:fill="auto"/>
          </w:tcPr>
          <w:p w:rsidR="00540D30" w:rsidRPr="00540D30" w:rsidRDefault="00540D30" w:rsidP="00540D30">
            <w:pPr>
              <w:spacing w:after="120" w:line="360" w:lineRule="exact"/>
            </w:pPr>
          </w:p>
        </w:tc>
      </w:tr>
      <w:tr w:rsidR="00540D30" w:rsidRPr="00540D30" w:rsidTr="00387BAB">
        <w:trPr>
          <w:trHeight w:val="240"/>
        </w:trPr>
        <w:tc>
          <w:tcPr>
            <w:tcW w:w="2199" w:type="dxa"/>
            <w:shd w:val="clear" w:color="auto" w:fill="auto"/>
          </w:tcPr>
          <w:p w:rsidR="00540D30" w:rsidRPr="00540D30" w:rsidRDefault="00540D30" w:rsidP="00540D30">
            <w:pPr>
              <w:spacing w:after="120" w:line="360" w:lineRule="exact"/>
              <w:textDirection w:val="tbRlV"/>
              <w:rPr>
                <w:rtl/>
                <w:lang w:eastAsia="zh-TW"/>
              </w:rPr>
            </w:pPr>
            <w:r w:rsidRPr="00540D30">
              <w:rPr>
                <w:rtl/>
                <w:lang w:eastAsia="zh-TW"/>
              </w:rPr>
              <w:t>الملاحظات الختامية:</w:t>
            </w:r>
          </w:p>
        </w:tc>
        <w:tc>
          <w:tcPr>
            <w:tcW w:w="5038" w:type="dxa"/>
            <w:shd w:val="clear" w:color="auto" w:fill="auto"/>
          </w:tcPr>
          <w:p w:rsidR="00540D30" w:rsidRPr="00540D30" w:rsidRDefault="00D8591B" w:rsidP="00282D59">
            <w:pPr>
              <w:spacing w:after="120" w:line="360" w:lineRule="exact"/>
              <w:textDirection w:val="tbRlV"/>
              <w:rPr>
                <w:rtl/>
                <w:lang w:eastAsia="zh-TW"/>
              </w:rPr>
            </w:pPr>
            <w:hyperlink r:id="rId10" w:history="1">
              <w:dir w:val="rtl">
                <w:r w:rsidR="00540D30" w:rsidRPr="00540D30">
                  <w:t>CCPR/C/UKR/CO/7</w:t>
                </w:r>
                <w:r w:rsidR="00282D59">
                  <w:rPr>
                    <w:rFonts w:hint="cs"/>
                    <w:rtl/>
                  </w:rPr>
                  <w:t xml:space="preserve">، </w:t>
                </w:r>
                <w:r w:rsidR="00540D30" w:rsidRPr="00540D30">
                  <w:rPr>
                    <w:rtl/>
                  </w:rPr>
                  <w:t>23 تموز/يوليه 2013</w:t>
                </w:r>
                <w:r w:rsidR="00540D30" w:rsidRPr="00540D30">
                  <w:t>‬</w:t>
                </w:r>
                <w:r w:rsidR="00540D30" w:rsidRPr="00540D30">
                  <w:t>‬</w:t>
                </w:r>
                <w:r w:rsidR="00540D30" w:rsidRPr="00540D30">
                  <w:t>‬</w:t>
                </w:r>
                <w:r w:rsidR="00540D30" w:rsidRPr="00540D30">
                  <w:t>‬</w:t>
                </w:r>
                <w:r w:rsidR="00540D30" w:rsidRPr="00540D30">
                  <w:t>‬</w:t>
                </w:r>
                <w:r w:rsidR="00540D30" w:rsidRPr="00540D30">
                  <w:t>‬</w:t>
                </w:r>
                <w:r w:rsidR="00540D30" w:rsidRPr="00540D30">
                  <w:t>‬</w:t>
                </w:r>
                <w:r w:rsidR="00DC1DEF">
                  <w:t>‬</w:t>
                </w:r>
                <w:r w:rsidR="00BD0320">
                  <w:t>‬</w:t>
                </w:r>
                <w:r w:rsidR="00E50C3B">
                  <w:t>‬</w:t>
                </w:r>
                <w:r>
                  <w:t>‬</w:t>
                </w:r>
              </w:dir>
            </w:hyperlink>
          </w:p>
        </w:tc>
      </w:tr>
      <w:tr w:rsidR="00540D30" w:rsidRPr="00540D30" w:rsidTr="00387BAB">
        <w:trPr>
          <w:trHeight w:val="240"/>
        </w:trPr>
        <w:tc>
          <w:tcPr>
            <w:tcW w:w="2199" w:type="dxa"/>
            <w:shd w:val="clear" w:color="auto" w:fill="auto"/>
          </w:tcPr>
          <w:p w:rsidR="00540D30" w:rsidRPr="00540D30" w:rsidRDefault="00540D30" w:rsidP="00540D30">
            <w:pPr>
              <w:spacing w:after="120" w:line="360" w:lineRule="exact"/>
              <w:textDirection w:val="tbRlV"/>
              <w:rPr>
                <w:rtl/>
                <w:lang w:eastAsia="zh-TW"/>
              </w:rPr>
            </w:pPr>
            <w:r w:rsidRPr="00540D30">
              <w:rPr>
                <w:rtl/>
                <w:lang w:eastAsia="zh-TW"/>
              </w:rPr>
              <w:t>فقرات المتابعة:</w:t>
            </w:r>
          </w:p>
        </w:tc>
        <w:tc>
          <w:tcPr>
            <w:tcW w:w="5038" w:type="dxa"/>
            <w:shd w:val="clear" w:color="auto" w:fill="auto"/>
          </w:tcPr>
          <w:p w:rsidR="00540D30" w:rsidRPr="00540D30" w:rsidRDefault="00540D30" w:rsidP="00540D30">
            <w:pPr>
              <w:spacing w:after="120" w:line="360" w:lineRule="exact"/>
              <w:textDirection w:val="tbRlV"/>
              <w:rPr>
                <w:rtl/>
                <w:lang w:eastAsia="zh-TW"/>
              </w:rPr>
            </w:pPr>
            <w:r w:rsidRPr="00540D30">
              <w:rPr>
                <w:rtl/>
                <w:lang w:eastAsia="zh-TW"/>
              </w:rPr>
              <w:t>6 و10 و15 و17</w:t>
            </w:r>
          </w:p>
        </w:tc>
      </w:tr>
      <w:tr w:rsidR="00540D30" w:rsidRPr="00540D30" w:rsidTr="00387BAB">
        <w:trPr>
          <w:trHeight w:val="240"/>
        </w:trPr>
        <w:tc>
          <w:tcPr>
            <w:tcW w:w="2199" w:type="dxa"/>
            <w:shd w:val="clear" w:color="auto" w:fill="auto"/>
          </w:tcPr>
          <w:p w:rsidR="00540D30" w:rsidRPr="00540D30" w:rsidRDefault="00540D30" w:rsidP="00540D30">
            <w:pPr>
              <w:spacing w:after="120" w:line="360" w:lineRule="exact"/>
              <w:textDirection w:val="tbRlV"/>
              <w:rPr>
                <w:rtl/>
                <w:lang w:eastAsia="zh-TW" w:bidi="ar-DZ"/>
              </w:rPr>
            </w:pPr>
            <w:r w:rsidRPr="00540D30">
              <w:rPr>
                <w:rtl/>
                <w:lang w:eastAsia="zh-TW"/>
              </w:rPr>
              <w:t>الرد الأول:</w:t>
            </w:r>
          </w:p>
        </w:tc>
        <w:tc>
          <w:tcPr>
            <w:tcW w:w="5038" w:type="dxa"/>
            <w:shd w:val="clear" w:color="auto" w:fill="auto"/>
          </w:tcPr>
          <w:p w:rsidR="00540D30" w:rsidRPr="001F2F4A" w:rsidRDefault="00D8591B" w:rsidP="00540D30">
            <w:pPr>
              <w:spacing w:after="120" w:line="360" w:lineRule="exact"/>
              <w:textDirection w:val="tbRlV"/>
              <w:rPr>
                <w:rtl/>
                <w:lang w:eastAsia="zh-TW"/>
              </w:rPr>
            </w:pPr>
            <w:hyperlink r:id="rId11" w:history="1">
              <w:r w:rsidR="00540D30" w:rsidRPr="00540D30">
                <w:t>CCPR/C/UKR/CO/7/Add.1</w:t>
              </w:r>
              <w:r w:rsidR="00540D30" w:rsidRPr="00540D30">
                <w:rPr>
                  <w:rtl/>
                </w:rPr>
                <w:t>، 19 حزيران/يونيه 2015</w:t>
              </w:r>
            </w:hyperlink>
          </w:p>
        </w:tc>
      </w:tr>
      <w:tr w:rsidR="00540D30" w:rsidRPr="00540D30" w:rsidTr="00387BAB">
        <w:trPr>
          <w:trHeight w:val="240"/>
        </w:trPr>
        <w:tc>
          <w:tcPr>
            <w:tcW w:w="2199" w:type="dxa"/>
            <w:shd w:val="clear" w:color="auto" w:fill="auto"/>
          </w:tcPr>
          <w:p w:rsidR="00540D30" w:rsidRPr="00540D30" w:rsidRDefault="00540D30" w:rsidP="00540D30">
            <w:pPr>
              <w:spacing w:after="120" w:line="360" w:lineRule="exact"/>
              <w:textDirection w:val="tbRlV"/>
              <w:rPr>
                <w:rtl/>
                <w:lang w:eastAsia="zh-TW"/>
              </w:rPr>
            </w:pPr>
            <w:r w:rsidRPr="00540D30">
              <w:rPr>
                <w:rtl/>
                <w:lang w:eastAsia="zh-TW"/>
              </w:rPr>
              <w:t>تقييم اللجنة:</w:t>
            </w:r>
          </w:p>
        </w:tc>
        <w:tc>
          <w:tcPr>
            <w:tcW w:w="5038" w:type="dxa"/>
            <w:shd w:val="clear" w:color="auto" w:fill="auto"/>
          </w:tcPr>
          <w:p w:rsidR="00540D30" w:rsidRPr="00EE72E6" w:rsidRDefault="00540D30" w:rsidP="00EE72E6">
            <w:pPr>
              <w:spacing w:after="120" w:line="360" w:lineRule="exact"/>
              <w:textDirection w:val="tbRlV"/>
              <w:rPr>
                <w:rtl/>
                <w:lang w:eastAsia="zh-TW"/>
              </w:rPr>
            </w:pPr>
            <w:r w:rsidRPr="00EE72E6">
              <w:rPr>
                <w:rtl/>
                <w:lang w:eastAsia="zh-TW"/>
              </w:rPr>
              <w:t>يلزم تق</w:t>
            </w:r>
            <w:r w:rsidR="00EE72E6" w:rsidRPr="00EE72E6">
              <w:rPr>
                <w:rtl/>
                <w:lang w:eastAsia="zh-TW"/>
              </w:rPr>
              <w:t>ديم معلومات إضافية عن الفقرات 6</w:t>
            </w:r>
            <w:r w:rsidRPr="00EE72E6">
              <w:rPr>
                <w:b/>
                <w:bCs/>
                <w:rtl/>
                <w:lang w:eastAsia="zh-TW"/>
              </w:rPr>
              <w:t>[جيم]</w:t>
            </w:r>
            <w:r w:rsidRPr="00EE72E6">
              <w:rPr>
                <w:rtl/>
                <w:lang w:eastAsia="zh-TW"/>
              </w:rPr>
              <w:t xml:space="preserve"> </w:t>
            </w:r>
            <w:r w:rsidRPr="00387BAB">
              <w:rPr>
                <w:spacing w:val="-6"/>
                <w:rtl/>
                <w:lang w:eastAsia="zh-TW"/>
              </w:rPr>
              <w:t>و10[</w:t>
            </w:r>
            <w:r w:rsidR="000679C9" w:rsidRPr="00387BAB">
              <w:rPr>
                <w:b/>
                <w:bCs/>
                <w:spacing w:val="-6"/>
                <w:rtl/>
                <w:lang w:eastAsia="zh-TW"/>
              </w:rPr>
              <w:t>باء]</w:t>
            </w:r>
            <w:r w:rsidRPr="00387BAB">
              <w:rPr>
                <w:b/>
                <w:bCs/>
                <w:spacing w:val="-6"/>
                <w:rtl/>
                <w:lang w:eastAsia="zh-TW"/>
              </w:rPr>
              <w:t>[باء]</w:t>
            </w:r>
            <w:r w:rsidRPr="00387BAB">
              <w:rPr>
                <w:spacing w:val="-6"/>
                <w:rtl/>
                <w:lang w:eastAsia="zh-TW"/>
              </w:rPr>
              <w:t>، و15</w:t>
            </w:r>
            <w:r w:rsidR="00EE72E6" w:rsidRPr="00387BAB">
              <w:rPr>
                <w:spacing w:val="-6"/>
                <w:rtl/>
                <w:lang w:eastAsia="zh-TW"/>
              </w:rPr>
              <w:t>[</w:t>
            </w:r>
            <w:r w:rsidRPr="00387BAB">
              <w:rPr>
                <w:b/>
                <w:bCs/>
                <w:spacing w:val="-6"/>
                <w:rtl/>
                <w:lang w:eastAsia="zh-TW"/>
              </w:rPr>
              <w:t>جيم]</w:t>
            </w:r>
            <w:r w:rsidR="00EE72E6" w:rsidRPr="00387BAB">
              <w:rPr>
                <w:rFonts w:hint="cs"/>
                <w:b/>
                <w:bCs/>
                <w:spacing w:val="-6"/>
                <w:rtl/>
                <w:lang w:eastAsia="zh-TW"/>
              </w:rPr>
              <w:t>[</w:t>
            </w:r>
            <w:r w:rsidRPr="00387BAB">
              <w:rPr>
                <w:b/>
                <w:bCs/>
                <w:spacing w:val="-6"/>
                <w:rtl/>
                <w:lang w:eastAsia="zh-TW"/>
              </w:rPr>
              <w:t>باء]</w:t>
            </w:r>
            <w:r w:rsidR="000679C9" w:rsidRPr="00387BAB">
              <w:rPr>
                <w:b/>
                <w:bCs/>
                <w:spacing w:val="-6"/>
                <w:rtl/>
                <w:lang w:eastAsia="zh-TW"/>
              </w:rPr>
              <w:t>[باء]</w:t>
            </w:r>
            <w:r w:rsidRPr="00387BAB">
              <w:rPr>
                <w:b/>
                <w:bCs/>
                <w:spacing w:val="-6"/>
                <w:rtl/>
                <w:lang w:eastAsia="zh-TW"/>
              </w:rPr>
              <w:t>[جيم]</w:t>
            </w:r>
            <w:r w:rsidRPr="00387BAB">
              <w:rPr>
                <w:spacing w:val="-6"/>
                <w:rtl/>
                <w:lang w:eastAsia="zh-TW"/>
              </w:rPr>
              <w:t>، و17</w:t>
            </w:r>
            <w:r w:rsidR="00EE72E6" w:rsidRPr="00387BAB">
              <w:rPr>
                <w:spacing w:val="-6"/>
                <w:rtl/>
                <w:lang w:eastAsia="zh-TW"/>
              </w:rPr>
              <w:t>[</w:t>
            </w:r>
            <w:r w:rsidRPr="00387BAB">
              <w:rPr>
                <w:b/>
                <w:bCs/>
                <w:spacing w:val="-6"/>
                <w:rtl/>
                <w:lang w:eastAsia="zh-TW"/>
              </w:rPr>
              <w:t>باء][باء]</w:t>
            </w:r>
          </w:p>
        </w:tc>
      </w:tr>
      <w:tr w:rsidR="00540D30" w:rsidRPr="00540D30" w:rsidTr="00387BAB">
        <w:trPr>
          <w:trHeight w:val="240"/>
        </w:trPr>
        <w:tc>
          <w:tcPr>
            <w:tcW w:w="2199" w:type="dxa"/>
            <w:tcBorders>
              <w:bottom w:val="nil"/>
            </w:tcBorders>
            <w:shd w:val="clear" w:color="auto" w:fill="auto"/>
          </w:tcPr>
          <w:p w:rsidR="00540D30" w:rsidRPr="00540D30" w:rsidRDefault="00540D30" w:rsidP="00540D30">
            <w:pPr>
              <w:spacing w:after="120" w:line="360" w:lineRule="exact"/>
              <w:textDirection w:val="tbRlV"/>
              <w:rPr>
                <w:rtl/>
                <w:lang w:eastAsia="zh-TW"/>
              </w:rPr>
            </w:pPr>
            <w:r w:rsidRPr="00540D30">
              <w:rPr>
                <w:rtl/>
                <w:lang w:eastAsia="zh-TW"/>
              </w:rPr>
              <w:t>المنظمات غير الحكومية:</w:t>
            </w:r>
          </w:p>
        </w:tc>
        <w:tc>
          <w:tcPr>
            <w:tcW w:w="5038" w:type="dxa"/>
            <w:tcBorders>
              <w:bottom w:val="nil"/>
            </w:tcBorders>
            <w:shd w:val="clear" w:color="auto" w:fill="auto"/>
          </w:tcPr>
          <w:p w:rsidR="00540D30" w:rsidRPr="00540D30" w:rsidRDefault="00540D30" w:rsidP="00540D30">
            <w:pPr>
              <w:spacing w:after="120" w:line="360" w:lineRule="exact"/>
              <w:textDirection w:val="tbRlV"/>
              <w:rPr>
                <w:spacing w:val="-2"/>
                <w:rtl/>
                <w:lang w:eastAsia="zh-TW"/>
              </w:rPr>
            </w:pPr>
            <w:r w:rsidRPr="00540D30">
              <w:rPr>
                <w:spacing w:val="-2"/>
                <w:rtl/>
                <w:lang w:eastAsia="zh-TW"/>
              </w:rPr>
              <w:t>مؤسسة دار حقوق الإنسان في ٦ حزيران/يونيه ٢٠١٦</w:t>
            </w:r>
            <w:r w:rsidRPr="00540D30">
              <w:rPr>
                <w:rFonts w:hint="cs"/>
                <w:spacing w:val="-2"/>
                <w:vertAlign w:val="superscript"/>
                <w:rtl/>
                <w:lang w:eastAsia="zh-TW"/>
              </w:rPr>
              <w:t>(</w:t>
            </w:r>
            <w:r w:rsidRPr="00540D30">
              <w:rPr>
                <w:rStyle w:val="FootnoteReference"/>
                <w:spacing w:val="-2"/>
                <w:sz w:val="20"/>
                <w:szCs w:val="30"/>
                <w:rtl/>
                <w:lang w:eastAsia="zh-TW"/>
              </w:rPr>
              <w:footnoteReference w:id="3"/>
            </w:r>
            <w:r w:rsidRPr="00540D30">
              <w:rPr>
                <w:rFonts w:hint="cs"/>
                <w:spacing w:val="-2"/>
                <w:vertAlign w:val="superscript"/>
                <w:rtl/>
                <w:lang w:eastAsia="zh-TW"/>
              </w:rPr>
              <w:t>)</w:t>
            </w:r>
            <w:r w:rsidRPr="00540D30">
              <w:rPr>
                <w:spacing w:val="-2"/>
                <w:rtl/>
                <w:lang w:eastAsia="zh-TW"/>
              </w:rPr>
              <w:t xml:space="preserve"> وائتلاف منظمات حقوق الإنسان في ٤ تموز/يوليه ٢٠١٦</w:t>
            </w:r>
            <w:r w:rsidRPr="00540D30">
              <w:rPr>
                <w:rFonts w:hint="cs"/>
                <w:spacing w:val="-2"/>
                <w:vertAlign w:val="superscript"/>
                <w:rtl/>
                <w:lang w:eastAsia="zh-TW"/>
              </w:rPr>
              <w:t>(</w:t>
            </w:r>
            <w:r w:rsidRPr="00540D30">
              <w:rPr>
                <w:rStyle w:val="FootnoteReference"/>
                <w:spacing w:val="-2"/>
                <w:sz w:val="20"/>
                <w:szCs w:val="30"/>
                <w:rtl/>
                <w:lang w:eastAsia="zh-TW"/>
              </w:rPr>
              <w:footnoteReference w:id="4"/>
            </w:r>
            <w:r w:rsidRPr="00540D30">
              <w:rPr>
                <w:rFonts w:hint="cs"/>
                <w:spacing w:val="-2"/>
                <w:vertAlign w:val="superscript"/>
                <w:rtl/>
                <w:lang w:eastAsia="zh-TW"/>
              </w:rPr>
              <w:t>)</w:t>
            </w:r>
          </w:p>
        </w:tc>
      </w:tr>
    </w:tbl>
    <w:p w:rsidR="00540D30" w:rsidRPr="00540D30" w:rsidRDefault="001F2F4A" w:rsidP="001F2F4A">
      <w:pPr>
        <w:pStyle w:val="H23GA"/>
        <w:rPr>
          <w:rtl/>
        </w:rPr>
      </w:pPr>
      <w:r>
        <w:rPr>
          <w:rtl/>
        </w:rPr>
        <w:tab/>
      </w:r>
      <w:r>
        <w:rPr>
          <w:rtl/>
        </w:rPr>
        <w:tab/>
      </w:r>
      <w:dir w:val="rtl">
        <w:r w:rsidR="00540D30" w:rsidRPr="00540D30">
          <w:rPr>
            <w:rtl/>
          </w:rPr>
          <w:t>الفقرة 6</w:t>
        </w:r>
        <w:r w:rsidR="00540D30" w:rsidRPr="00540D30">
          <w:rPr>
            <w:rFonts w:cs="Times New Roman" w:hint="cs"/>
            <w:rtl/>
          </w:rPr>
          <w:t>‬</w:t>
        </w:r>
        <w:r w:rsidR="00540D30" w:rsidRPr="00540D30">
          <w:t>‬</w:t>
        </w:r>
        <w:r w:rsidR="00540D30" w:rsidRPr="00540D30">
          <w:t>‬</w:t>
        </w:r>
        <w:r w:rsidR="00540D30" w:rsidRPr="00540D30">
          <w:t>‬</w:t>
        </w:r>
        <w:r w:rsidR="00540D30" w:rsidRPr="00540D30">
          <w:t>‬</w:t>
        </w:r>
        <w:r w:rsidR="00540D30" w:rsidRPr="00540D30">
          <w:t>‬</w:t>
        </w:r>
        <w:r w:rsidR="00540D30" w:rsidRPr="00540D30">
          <w:t>‬</w:t>
        </w:r>
        <w:r w:rsidR="00DC1DEF">
          <w:t>‬</w:t>
        </w:r>
        <w:r w:rsidR="00BD0320">
          <w:t>‬</w:t>
        </w:r>
        <w:r w:rsidR="00E50C3B">
          <w:t>‬</w:t>
        </w:r>
        <w:r w:rsidR="00D8591B">
          <w:t>‬</w:t>
        </w:r>
      </w:dir>
    </w:p>
    <w:p w:rsidR="00540D30" w:rsidRPr="00540D30" w:rsidRDefault="001F2F4A" w:rsidP="00540D30">
      <w:pPr>
        <w:pStyle w:val="SingleTxtGA"/>
        <w:rPr>
          <w:b/>
          <w:bCs/>
          <w:rtl/>
          <w:lang w:eastAsia="zh-TW"/>
        </w:rPr>
      </w:pPr>
      <w:r>
        <w:rPr>
          <w:b/>
          <w:bCs/>
          <w:rtl/>
          <w:lang w:eastAsia="zh-TW"/>
        </w:rPr>
        <w:tab/>
      </w:r>
      <w:r w:rsidR="00540D30" w:rsidRPr="00540D30">
        <w:rPr>
          <w:b/>
          <w:bCs/>
          <w:rtl/>
          <w:lang w:eastAsia="zh-TW"/>
        </w:rPr>
        <w:t>ينبغي للدولة الطرف أن تعيد النظر في موقفها فيما يتعلق بالآراء التي اعتمدتها اللجنة في إطار البروتوكول الاختياري الأول.</w:t>
      </w:r>
      <w:r w:rsidR="00540D30" w:rsidRPr="00540D30">
        <w:rPr>
          <w:rFonts w:cs="Times New Roman" w:hint="cs"/>
          <w:b/>
          <w:bCs/>
          <w:rtl/>
          <w:lang w:eastAsia="zh-TW"/>
        </w:rPr>
        <w:t>‬</w:t>
      </w:r>
      <w:r w:rsidR="00540D30" w:rsidRPr="00540D30">
        <w:rPr>
          <w:b/>
          <w:bCs/>
          <w:rtl/>
          <w:lang w:eastAsia="zh-TW"/>
        </w:rPr>
        <w:t xml:space="preserve"> </w:t>
      </w:r>
      <w:r w:rsidR="00540D30" w:rsidRPr="00540D30">
        <w:rPr>
          <w:rFonts w:ascii="Traditional Arabic" w:hAnsi="Traditional Arabic" w:hint="cs"/>
          <w:b/>
          <w:bCs/>
          <w:rtl/>
          <w:lang w:eastAsia="zh-TW"/>
        </w:rPr>
        <w:t>وينبغي</w:t>
      </w:r>
      <w:r w:rsidR="00540D30" w:rsidRPr="00540D30">
        <w:rPr>
          <w:b/>
          <w:bCs/>
          <w:rtl/>
          <w:lang w:eastAsia="zh-TW"/>
        </w:rPr>
        <w:t xml:space="preserve"> </w:t>
      </w:r>
      <w:r w:rsidR="00540D30" w:rsidRPr="00540D30">
        <w:rPr>
          <w:rFonts w:ascii="Traditional Arabic" w:hAnsi="Traditional Arabic" w:hint="cs"/>
          <w:b/>
          <w:bCs/>
          <w:rtl/>
          <w:lang w:eastAsia="zh-TW"/>
        </w:rPr>
        <w:t>أن</w:t>
      </w:r>
      <w:r w:rsidR="00540D30" w:rsidRPr="00540D30">
        <w:rPr>
          <w:b/>
          <w:bCs/>
          <w:rtl/>
          <w:lang w:eastAsia="zh-TW"/>
        </w:rPr>
        <w:t xml:space="preserve"> </w:t>
      </w:r>
      <w:r w:rsidR="00540D30" w:rsidRPr="00540D30">
        <w:rPr>
          <w:rFonts w:ascii="Traditional Arabic" w:hAnsi="Traditional Arabic" w:hint="cs"/>
          <w:b/>
          <w:bCs/>
          <w:rtl/>
          <w:lang w:eastAsia="zh-TW"/>
        </w:rPr>
        <w:t>تتخذ</w:t>
      </w:r>
      <w:r w:rsidR="00540D30" w:rsidRPr="00540D30">
        <w:rPr>
          <w:b/>
          <w:bCs/>
          <w:rtl/>
          <w:lang w:eastAsia="zh-TW"/>
        </w:rPr>
        <w:t xml:space="preserve"> </w:t>
      </w:r>
      <w:r w:rsidR="00540D30" w:rsidRPr="00540D30">
        <w:rPr>
          <w:rFonts w:ascii="Traditional Arabic" w:hAnsi="Traditional Arabic" w:hint="cs"/>
          <w:b/>
          <w:bCs/>
          <w:rtl/>
          <w:lang w:eastAsia="zh-TW"/>
        </w:rPr>
        <w:t>جميع</w:t>
      </w:r>
      <w:r w:rsidR="00540D30" w:rsidRPr="00540D30">
        <w:rPr>
          <w:b/>
          <w:bCs/>
          <w:rtl/>
          <w:lang w:eastAsia="zh-TW"/>
        </w:rPr>
        <w:t xml:space="preserve"> </w:t>
      </w:r>
      <w:r w:rsidR="00540D30" w:rsidRPr="00540D30">
        <w:rPr>
          <w:rFonts w:ascii="Traditional Arabic" w:hAnsi="Traditional Arabic" w:hint="cs"/>
          <w:b/>
          <w:bCs/>
          <w:rtl/>
          <w:lang w:eastAsia="zh-TW"/>
        </w:rPr>
        <w:t>التدابير</w:t>
      </w:r>
      <w:r w:rsidR="00540D30" w:rsidRPr="00540D30">
        <w:rPr>
          <w:b/>
          <w:bCs/>
          <w:rtl/>
          <w:lang w:eastAsia="zh-TW"/>
        </w:rPr>
        <w:t xml:space="preserve"> </w:t>
      </w:r>
      <w:r w:rsidR="00540D30" w:rsidRPr="00540D30">
        <w:rPr>
          <w:rFonts w:ascii="Traditional Arabic" w:hAnsi="Traditional Arabic" w:hint="cs"/>
          <w:b/>
          <w:bCs/>
          <w:rtl/>
          <w:lang w:eastAsia="zh-TW"/>
        </w:rPr>
        <w:t>اللازمة</w:t>
      </w:r>
      <w:r w:rsidR="00540D30" w:rsidRPr="00540D30">
        <w:rPr>
          <w:b/>
          <w:bCs/>
          <w:rtl/>
          <w:lang w:eastAsia="zh-TW"/>
        </w:rPr>
        <w:t xml:space="preserve"> </w:t>
      </w:r>
      <w:r w:rsidR="00540D30" w:rsidRPr="00540D30">
        <w:rPr>
          <w:rFonts w:ascii="Traditional Arabic" w:hAnsi="Traditional Arabic" w:hint="cs"/>
          <w:b/>
          <w:bCs/>
          <w:rtl/>
          <w:lang w:eastAsia="zh-TW"/>
        </w:rPr>
        <w:t>لوضع</w:t>
      </w:r>
      <w:r w:rsidR="00540D30" w:rsidRPr="00540D30">
        <w:rPr>
          <w:b/>
          <w:bCs/>
          <w:rtl/>
          <w:lang w:eastAsia="zh-TW"/>
        </w:rPr>
        <w:t xml:space="preserve"> </w:t>
      </w:r>
      <w:r w:rsidR="00540D30" w:rsidRPr="00540D30">
        <w:rPr>
          <w:rFonts w:ascii="Traditional Arabic" w:hAnsi="Traditional Arabic" w:hint="cs"/>
          <w:b/>
          <w:bCs/>
          <w:rtl/>
          <w:lang w:eastAsia="zh-TW"/>
        </w:rPr>
        <w:t>آليات</w:t>
      </w:r>
      <w:r w:rsidR="00540D30" w:rsidRPr="00540D30">
        <w:rPr>
          <w:b/>
          <w:bCs/>
          <w:rtl/>
          <w:lang w:eastAsia="zh-TW"/>
        </w:rPr>
        <w:t xml:space="preserve"> </w:t>
      </w:r>
      <w:r w:rsidR="00540D30" w:rsidRPr="00540D30">
        <w:rPr>
          <w:rFonts w:ascii="Traditional Arabic" w:hAnsi="Traditional Arabic" w:hint="cs"/>
          <w:b/>
          <w:bCs/>
          <w:rtl/>
          <w:lang w:eastAsia="zh-TW"/>
        </w:rPr>
        <w:t>وإجراءات</w:t>
      </w:r>
      <w:r w:rsidR="00540D30" w:rsidRPr="00540D30">
        <w:rPr>
          <w:b/>
          <w:bCs/>
          <w:rtl/>
          <w:lang w:eastAsia="zh-TW"/>
        </w:rPr>
        <w:t xml:space="preserve"> </w:t>
      </w:r>
      <w:r w:rsidR="00540D30" w:rsidRPr="00540D30">
        <w:rPr>
          <w:rFonts w:ascii="Traditional Arabic" w:hAnsi="Traditional Arabic" w:hint="cs"/>
          <w:b/>
          <w:bCs/>
          <w:rtl/>
          <w:lang w:eastAsia="zh-TW"/>
        </w:rPr>
        <w:t>مناسبة،</w:t>
      </w:r>
      <w:r w:rsidR="00540D30" w:rsidRPr="00540D30">
        <w:rPr>
          <w:b/>
          <w:bCs/>
          <w:rtl/>
          <w:lang w:eastAsia="zh-TW"/>
        </w:rPr>
        <w:t xml:space="preserve"> </w:t>
      </w:r>
      <w:r w:rsidR="00540D30" w:rsidRPr="00540D30">
        <w:rPr>
          <w:rFonts w:ascii="Traditional Arabic" w:hAnsi="Traditional Arabic" w:hint="cs"/>
          <w:b/>
          <w:bCs/>
          <w:rtl/>
          <w:lang w:eastAsia="zh-TW"/>
        </w:rPr>
        <w:t>بما</w:t>
      </w:r>
      <w:r w:rsidR="00540D30" w:rsidRPr="00540D30">
        <w:rPr>
          <w:b/>
          <w:bCs/>
          <w:rtl/>
          <w:lang w:eastAsia="zh-TW"/>
        </w:rPr>
        <w:t xml:space="preserve"> </w:t>
      </w:r>
      <w:r w:rsidR="00540D30" w:rsidRPr="00540D30">
        <w:rPr>
          <w:rFonts w:ascii="Traditional Arabic" w:hAnsi="Traditional Arabic" w:hint="cs"/>
          <w:b/>
          <w:bCs/>
          <w:rtl/>
          <w:lang w:eastAsia="zh-TW"/>
        </w:rPr>
        <w:t>في</w:t>
      </w:r>
      <w:r w:rsidR="00540D30" w:rsidRPr="00540D30">
        <w:rPr>
          <w:b/>
          <w:bCs/>
          <w:rtl/>
          <w:lang w:eastAsia="zh-TW"/>
        </w:rPr>
        <w:t xml:space="preserve"> </w:t>
      </w:r>
      <w:r w:rsidR="00540D30" w:rsidRPr="00540D30">
        <w:rPr>
          <w:rFonts w:ascii="Traditional Arabic" w:hAnsi="Traditional Arabic" w:hint="cs"/>
          <w:b/>
          <w:bCs/>
          <w:rtl/>
          <w:lang w:eastAsia="zh-TW"/>
        </w:rPr>
        <w:t>ذلك</w:t>
      </w:r>
      <w:r w:rsidR="00540D30" w:rsidRPr="00540D30">
        <w:rPr>
          <w:b/>
          <w:bCs/>
          <w:rtl/>
          <w:lang w:eastAsia="zh-TW"/>
        </w:rPr>
        <w:t xml:space="preserve"> </w:t>
      </w:r>
      <w:r w:rsidR="00540D30" w:rsidRPr="00540D30">
        <w:rPr>
          <w:rFonts w:ascii="Traditional Arabic" w:hAnsi="Traditional Arabic" w:hint="cs"/>
          <w:b/>
          <w:bCs/>
          <w:rtl/>
          <w:lang w:eastAsia="zh-TW"/>
        </w:rPr>
        <w:t>إمكانية</w:t>
      </w:r>
      <w:r w:rsidR="00540D30" w:rsidRPr="00540D30">
        <w:rPr>
          <w:b/>
          <w:bCs/>
          <w:rtl/>
          <w:lang w:eastAsia="zh-TW"/>
        </w:rPr>
        <w:t xml:space="preserve"> إعادة فتح القضايا، وخفض عقوبات السجن ومنح تعويض على سبيل الهبة، لتنفيذ آراء اللجنة تنفيذاً كاملاً بحيث تضمن إتاحة سبيل انتصاف فعال عند حدوث انتهاك للعهد، وفقاً للفقرة 3 من المادة 2 من العهد.</w:t>
      </w:r>
    </w:p>
    <w:p w:rsidR="00540D30" w:rsidRPr="00360BD6" w:rsidRDefault="001F2F4A" w:rsidP="001F2F4A">
      <w:pPr>
        <w:pStyle w:val="H23GA"/>
        <w:rPr>
          <w:rtl/>
        </w:rPr>
      </w:pPr>
      <w:r>
        <w:rPr>
          <w:rtl/>
        </w:rPr>
        <w:tab/>
      </w:r>
      <w:r>
        <w:rPr>
          <w:rtl/>
        </w:rPr>
        <w:tab/>
      </w:r>
      <w:r w:rsidR="00540D30" w:rsidRPr="00540D30">
        <w:rPr>
          <w:rtl/>
        </w:rPr>
        <w:t>ملخص ردّ الدولة الطرف</w:t>
      </w:r>
      <w:r w:rsidR="00540D30">
        <w:rPr>
          <w:rtl/>
        </w:rPr>
        <w:t xml:space="preserve"> </w:t>
      </w:r>
    </w:p>
    <w:p w:rsidR="00540D30" w:rsidRPr="00360BD6" w:rsidRDefault="00282D59" w:rsidP="00282D59">
      <w:pPr>
        <w:pStyle w:val="SingleTxtGA"/>
        <w:rPr>
          <w:rtl/>
          <w:lang w:eastAsia="zh-TW"/>
        </w:rPr>
      </w:pPr>
      <w:r>
        <w:rPr>
          <w:rtl/>
          <w:lang w:eastAsia="zh-TW"/>
        </w:rPr>
        <w:tab/>
      </w:r>
      <w:r w:rsidR="00540D30">
        <w:rPr>
          <w:rtl/>
          <w:lang w:eastAsia="zh-TW"/>
        </w:rPr>
        <w:t>تسلط الدولة الطرف الضوء على أحكام مختلفة من قانون الإجراءات الجنائية لعام</w:t>
      </w:r>
      <w:r>
        <w:rPr>
          <w:rFonts w:hint="cs"/>
          <w:rtl/>
          <w:lang w:eastAsia="zh-TW"/>
        </w:rPr>
        <w:t> </w:t>
      </w:r>
      <w:r w:rsidR="00540D30">
        <w:rPr>
          <w:rtl/>
          <w:lang w:eastAsia="zh-TW"/>
        </w:rPr>
        <w:t xml:space="preserve">2012 وقوانين أخرى تتعلق بالضمانات الأساسية والمحاكمة العادلة والحق في الجبر. </w:t>
      </w:r>
    </w:p>
    <w:tbl>
      <w:tblPr>
        <w:bidiVisual/>
        <w:tblW w:w="7338" w:type="dxa"/>
        <w:tblInd w:w="1249" w:type="dxa"/>
        <w:tblBorders>
          <w:top w:val="single" w:sz="4" w:space="0" w:color="auto"/>
          <w:bottom w:val="single" w:sz="12" w:space="0" w:color="auto"/>
        </w:tblBorders>
        <w:tblLayout w:type="fixed"/>
        <w:tblLook w:val="00A0" w:firstRow="1" w:lastRow="0" w:firstColumn="1" w:lastColumn="0" w:noHBand="0" w:noVBand="0"/>
      </w:tblPr>
      <w:tblGrid>
        <w:gridCol w:w="2509"/>
        <w:gridCol w:w="4829"/>
      </w:tblGrid>
      <w:tr w:rsidR="00D85109" w:rsidRPr="00540D30" w:rsidTr="00FF281A">
        <w:trPr>
          <w:trHeight w:val="240"/>
          <w:tblHeader/>
        </w:trPr>
        <w:tc>
          <w:tcPr>
            <w:tcW w:w="2509"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textDirection w:val="tbRlV"/>
              <w:rPr>
                <w:i/>
                <w:iCs/>
                <w:rtl/>
                <w:lang w:eastAsia="zh-TW"/>
              </w:rPr>
            </w:pPr>
            <w:r w:rsidRPr="00540D30">
              <w:rPr>
                <w:i/>
                <w:iCs/>
                <w:rtl/>
                <w:lang w:eastAsia="zh-TW"/>
              </w:rPr>
              <w:lastRenderedPageBreak/>
              <w:t>أوكرانيا</w:t>
            </w:r>
          </w:p>
        </w:tc>
        <w:tc>
          <w:tcPr>
            <w:tcW w:w="4829"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rPr>
                <w:i/>
              </w:rPr>
            </w:pPr>
          </w:p>
        </w:tc>
      </w:tr>
    </w:tbl>
    <w:p w:rsidR="00540D30" w:rsidRPr="00D85109" w:rsidRDefault="001F2F4A" w:rsidP="001F2F4A">
      <w:pPr>
        <w:pStyle w:val="H23GA"/>
        <w:rPr>
          <w:rtl/>
        </w:rPr>
      </w:pPr>
      <w:r>
        <w:rPr>
          <w:rtl/>
        </w:rPr>
        <w:tab/>
      </w:r>
      <w:r>
        <w:rPr>
          <w:rtl/>
        </w:rPr>
        <w:tab/>
      </w:r>
      <w:r w:rsidR="00540D30" w:rsidRPr="00D85109">
        <w:rPr>
          <w:rtl/>
        </w:rPr>
        <w:t>المعلومات الواردة من المنظمات غير الحكومية</w:t>
      </w:r>
      <w:r w:rsidR="00540D30" w:rsidRPr="00D85109">
        <w:rPr>
          <w:rFonts w:cs="Times New Roman" w:hint="cs"/>
          <w:rtl/>
        </w:rPr>
        <w:t>‬</w:t>
      </w:r>
      <w:r w:rsidR="00540D30" w:rsidRPr="00D85109">
        <w:rPr>
          <w:rtl/>
        </w:rPr>
        <w:t xml:space="preserve"> </w:t>
      </w:r>
    </w:p>
    <w:p w:rsidR="00540D30" w:rsidRPr="00D85109" w:rsidRDefault="001F2F4A" w:rsidP="001F2F4A">
      <w:pPr>
        <w:pStyle w:val="H4GA"/>
        <w:spacing w:before="120"/>
        <w:rPr>
          <w:rtl/>
          <w:lang w:eastAsia="zh-TW"/>
        </w:rPr>
      </w:pPr>
      <w:r>
        <w:rPr>
          <w:rtl/>
          <w:lang w:eastAsia="zh-TW"/>
        </w:rPr>
        <w:tab/>
      </w:r>
      <w:r>
        <w:rPr>
          <w:rtl/>
          <w:lang w:eastAsia="zh-TW"/>
        </w:rPr>
        <w:tab/>
      </w:r>
      <w:r w:rsidR="00540D30" w:rsidRPr="00D85109">
        <w:rPr>
          <w:rtl/>
          <w:lang w:eastAsia="zh-TW"/>
        </w:rPr>
        <w:t>مركز السياسات والإصلاحات القانونية، ومؤسسة دار حقوق الإنسان</w:t>
      </w:r>
    </w:p>
    <w:p w:rsidR="00540D30" w:rsidRPr="005D2C32" w:rsidRDefault="00D85109" w:rsidP="001F2F4A">
      <w:pPr>
        <w:pStyle w:val="SingleTxtGA"/>
        <w:spacing w:after="80" w:line="360" w:lineRule="exact"/>
        <w:rPr>
          <w:rtl/>
          <w:lang w:eastAsia="zh-TW"/>
        </w:rPr>
      </w:pPr>
      <w:r>
        <w:rPr>
          <w:rtl/>
          <w:lang w:eastAsia="zh-TW"/>
        </w:rPr>
        <w:tab/>
      </w:r>
      <w:r w:rsidR="00540D30">
        <w:rPr>
          <w:rtl/>
          <w:lang w:eastAsia="zh-TW"/>
        </w:rPr>
        <w:t xml:space="preserve">قدم مشروع قانون إلى البرلمان في 19 أيار/مايو ٢٠١٥ </w:t>
      </w:r>
      <w:r w:rsidR="00540D30" w:rsidRPr="005D2C32">
        <w:rPr>
          <w:rtl/>
          <w:lang w:eastAsia="zh-TW"/>
        </w:rPr>
        <w:t xml:space="preserve">وهو يقترح أن تشكل القرارات ذات الصلة الصادرة عن المنظمات الدولية المتعلقة بحماية حقوق الإنسان أساساً </w:t>
      </w:r>
      <w:r w:rsidR="00540D30" w:rsidRPr="005D2C32">
        <w:rPr>
          <w:rtl/>
          <w:lang w:val="ru-RU" w:eastAsia="zh-TW" w:bidi="ar-DZ"/>
        </w:rPr>
        <w:t xml:space="preserve">تستند إليه </w:t>
      </w:r>
      <w:r w:rsidR="00540D30" w:rsidRPr="005D2C32">
        <w:rPr>
          <w:rtl/>
          <w:lang w:eastAsia="zh-TW"/>
        </w:rPr>
        <w:t>محكمة التمييز لمراجعة القرارات القضائية الوطنية.</w:t>
      </w:r>
    </w:p>
    <w:p w:rsidR="00540D30" w:rsidRPr="00360BD6" w:rsidRDefault="00D85109" w:rsidP="001F2F4A">
      <w:pPr>
        <w:pStyle w:val="SingleTxtGA"/>
        <w:spacing w:after="80" w:line="360" w:lineRule="exact"/>
        <w:rPr>
          <w:rtl/>
          <w:lang w:eastAsia="zh-TW"/>
        </w:rPr>
      </w:pPr>
      <w:r>
        <w:rPr>
          <w:rtl/>
          <w:lang w:eastAsia="zh-TW"/>
        </w:rPr>
        <w:tab/>
      </w:r>
      <w:r w:rsidR="00540D30" w:rsidRPr="0043010E">
        <w:rPr>
          <w:spacing w:val="-4"/>
          <w:rtl/>
          <w:lang w:eastAsia="zh-TW"/>
        </w:rPr>
        <w:t>ورفضت محكمة أوكرانيا العليا المتخصصة في المسائل المدنية والجنائية مرار</w:t>
      </w:r>
      <w:r w:rsidR="0043010E" w:rsidRPr="0043010E">
        <w:rPr>
          <w:spacing w:val="-4"/>
          <w:rtl/>
          <w:lang w:eastAsia="zh-TW"/>
        </w:rPr>
        <w:t xml:space="preserve">اً </w:t>
      </w:r>
      <w:r w:rsidR="00540D30" w:rsidRPr="0043010E">
        <w:rPr>
          <w:spacing w:val="-4"/>
          <w:rtl/>
          <w:lang w:eastAsia="zh-TW"/>
        </w:rPr>
        <w:t>طلبات مراجعة</w:t>
      </w:r>
      <w:r w:rsidR="00540D30">
        <w:rPr>
          <w:rtl/>
          <w:lang w:eastAsia="zh-TW"/>
        </w:rPr>
        <w:t xml:space="preserve"> القضايا، بحجة أن اللجنة "ليست هيئة قضائية، </w:t>
      </w:r>
      <w:r w:rsidR="00540D30">
        <w:rPr>
          <w:rtl/>
          <w:lang w:val="ru-RU" w:eastAsia="zh-TW" w:bidi="ar-DZ"/>
        </w:rPr>
        <w:t xml:space="preserve">إذ إن </w:t>
      </w:r>
      <w:r w:rsidR="00540D30">
        <w:rPr>
          <w:rtl/>
          <w:lang w:eastAsia="zh-TW"/>
        </w:rPr>
        <w:t>قراراتها في شكلها ومضمونها لا تعتبر أحكاماً قضائية وليست ملزمة قانونا</w:t>
      </w:r>
      <w:r w:rsidR="0043010E">
        <w:rPr>
          <w:rFonts w:hint="cs"/>
          <w:rtl/>
          <w:lang w:eastAsia="zh-TW"/>
        </w:rPr>
        <w:t>ً</w:t>
      </w:r>
      <w:r w:rsidR="00540D30">
        <w:rPr>
          <w:rtl/>
          <w:lang w:eastAsia="zh-TW"/>
        </w:rPr>
        <w:t>".</w:t>
      </w:r>
    </w:p>
    <w:p w:rsidR="00540D30" w:rsidRPr="00D85109" w:rsidRDefault="001F2F4A" w:rsidP="001F2F4A">
      <w:pPr>
        <w:pStyle w:val="H23GA"/>
        <w:spacing w:before="200"/>
        <w:rPr>
          <w:rtl/>
        </w:rPr>
      </w:pPr>
      <w:r>
        <w:rPr>
          <w:rtl/>
        </w:rPr>
        <w:tab/>
      </w:r>
      <w:r>
        <w:rPr>
          <w:rtl/>
        </w:rPr>
        <w:tab/>
      </w:r>
      <w:r w:rsidR="00540D30" w:rsidRPr="00D85109">
        <w:rPr>
          <w:rtl/>
        </w:rPr>
        <w:t>تقييم اللجنة</w:t>
      </w:r>
      <w:r w:rsidR="00D85109">
        <w:rPr>
          <w:rFonts w:cs="Times New Roman" w:hint="cs"/>
          <w:rtl/>
        </w:rPr>
        <w:t xml:space="preserve"> </w:t>
      </w:r>
    </w:p>
    <w:p w:rsidR="00540D30" w:rsidRPr="00D85109" w:rsidRDefault="00540D30" w:rsidP="0043010E">
      <w:pPr>
        <w:pStyle w:val="SingleTxtGA"/>
        <w:spacing w:line="360" w:lineRule="exact"/>
        <w:rPr>
          <w:spacing w:val="-2"/>
          <w:rtl/>
          <w:lang w:eastAsia="zh-TW"/>
        </w:rPr>
      </w:pPr>
      <w:r w:rsidRPr="00D85109">
        <w:rPr>
          <w:bCs/>
          <w:spacing w:val="-2"/>
          <w:rtl/>
          <w:lang w:eastAsia="zh-TW"/>
        </w:rPr>
        <w:t>[جيم]</w:t>
      </w:r>
      <w:r w:rsidRPr="00D85109">
        <w:rPr>
          <w:bCs/>
          <w:spacing w:val="-2"/>
          <w:rtl/>
          <w:lang w:val="ru-RU" w:eastAsia="zh-TW" w:bidi="ar-DZ"/>
        </w:rPr>
        <w:t>:</w:t>
      </w:r>
      <w:r w:rsidRPr="00D85109">
        <w:rPr>
          <w:spacing w:val="-2"/>
          <w:rtl/>
          <w:lang w:eastAsia="zh-TW"/>
        </w:rPr>
        <w:t xml:space="preserve"> المعلومات التي قدمتها الدولة الطرف ليست ذات صلة بالتوصية. ومع ذلك، تشير اللجنة إلى تقديم مشروع قانون إلى البرلمان في 19 أيار/مايو 2015 من شأنه أن يعترف بالقرارات المتعلقة بحماية حقوق الإنسان التي اعتمدتها المنظمات الدولية كأساس لمراجعة القرارات القضائية الوطنية. وهي تطلب معلومات عن التقدم المحرز في مشروع القانون المذكور، بما في ذلك توضيح ما</w:t>
      </w:r>
      <w:r w:rsidR="0043010E">
        <w:rPr>
          <w:rFonts w:hint="cs"/>
          <w:spacing w:val="-2"/>
          <w:rtl/>
          <w:lang w:eastAsia="zh-TW"/>
        </w:rPr>
        <w:t> </w:t>
      </w:r>
      <w:r w:rsidRPr="00D85109">
        <w:rPr>
          <w:spacing w:val="-2"/>
          <w:rtl/>
          <w:lang w:eastAsia="zh-TW"/>
        </w:rPr>
        <w:t>إذا كانت الآراء التي اعتمدتها اللجنة بموجب البروتوكول الاختياري الأول ستشكل أساس</w:t>
      </w:r>
      <w:r w:rsidR="00152B44">
        <w:rPr>
          <w:spacing w:val="-2"/>
          <w:rtl/>
          <w:lang w:eastAsia="zh-TW"/>
        </w:rPr>
        <w:t xml:space="preserve">اً </w:t>
      </w:r>
      <w:r w:rsidRPr="00D85109">
        <w:rPr>
          <w:spacing w:val="-2"/>
          <w:rtl/>
          <w:lang w:eastAsia="zh-TW"/>
        </w:rPr>
        <w:t>لمراجعة القرارات الوطنية، وعن طبيعة المراجعة التي تقوم بها المحكمة العليا والنتائج المحتملة وعن أي تدابير أخرى ذات صلة ترمي إلى تنفيذ توصية اللجنة. وتكرر اللجنة تأكيد توصيتها.</w:t>
      </w:r>
    </w:p>
    <w:p w:rsidR="00540D30" w:rsidRPr="00D85109" w:rsidRDefault="001F2F4A" w:rsidP="001F2F4A">
      <w:pPr>
        <w:pStyle w:val="H23GA"/>
        <w:spacing w:before="200"/>
        <w:rPr>
          <w:rtl/>
        </w:rPr>
      </w:pPr>
      <w:r>
        <w:rPr>
          <w:rtl/>
        </w:rPr>
        <w:tab/>
      </w:r>
      <w:r>
        <w:rPr>
          <w:rtl/>
        </w:rPr>
        <w:tab/>
      </w:r>
      <w:dir w:val="rtl">
        <w:r w:rsidR="00540D30" w:rsidRPr="00D85109">
          <w:rPr>
            <w:rtl/>
          </w:rPr>
          <w:t>الفقرة 10</w:t>
        </w:r>
        <w:r w:rsidR="00540D30" w:rsidRPr="00D85109">
          <w:rPr>
            <w:rFonts w:cs="Times New Roman" w:hint="cs"/>
            <w:rtl/>
          </w:rPr>
          <w:t>‬</w:t>
        </w:r>
        <w:r w:rsidR="00540D30" w:rsidRPr="00D85109">
          <w:rPr>
            <w:rtl/>
          </w:rPr>
          <w:t xml:space="preserve"> </w:t>
        </w:r>
        <w:r w:rsidR="00540D30" w:rsidRPr="00D85109">
          <w:t>‬</w:t>
        </w:r>
        <w:r w:rsidR="00540D30" w:rsidRPr="00D85109">
          <w:t>‬</w:t>
        </w:r>
        <w:r w:rsidR="00540D30" w:rsidRPr="00D85109">
          <w:t>‬</w:t>
        </w:r>
        <w:r w:rsidR="00540D30" w:rsidRPr="00D85109">
          <w:t>‬</w:t>
        </w:r>
        <w:r w:rsidR="00540D30" w:rsidRPr="00D85109">
          <w:t>‬</w:t>
        </w:r>
        <w:r w:rsidR="00540D30" w:rsidRPr="00D85109">
          <w:t>‬</w:t>
        </w:r>
        <w:r w:rsidR="00DC1DEF">
          <w:t>‬</w:t>
        </w:r>
        <w:r w:rsidR="00BD0320">
          <w:t>‬</w:t>
        </w:r>
        <w:r w:rsidR="00E50C3B">
          <w:t>‬</w:t>
        </w:r>
        <w:r w:rsidR="00D8591B">
          <w:t>‬</w:t>
        </w:r>
      </w:dir>
    </w:p>
    <w:p w:rsidR="00540D30" w:rsidRDefault="00D85109" w:rsidP="001F2F4A">
      <w:pPr>
        <w:pStyle w:val="SingleTxtGA"/>
        <w:spacing w:line="350" w:lineRule="exact"/>
        <w:rPr>
          <w:bCs/>
          <w:rtl/>
          <w:lang w:eastAsia="zh-TW"/>
        </w:rPr>
      </w:pPr>
      <w:r>
        <w:rPr>
          <w:bCs/>
          <w:rtl/>
          <w:lang w:eastAsia="zh-TW"/>
        </w:rPr>
        <w:tab/>
      </w:r>
      <w:r w:rsidR="00540D30" w:rsidRPr="00D85109">
        <w:rPr>
          <w:bCs/>
          <w:rtl/>
          <w:lang w:eastAsia="zh-TW"/>
        </w:rPr>
        <w:t xml:space="preserve">تقرّ اللجنة بتنوع الأخلاقيات والثقافات على الصعيد الدولي، إلا أنها تذكر بأن جميع الدول الأطراف تخضع دائماً لمبدأي عالمية حقوق الإنسان وعدم التمييز. ولذلك ينبغي للدولة الطرف أن تنص بوضوح وبشكل رسمي على أنها لا تتسامح مع أي شكل من أشكال الوصم الاجتماعي للمثلية الجنسية أو ازدواجية الميل الجنسي أو مغايرة الهوية الجنسية، أو خطاب الكراهية أو التمييز أو العنف ضد الأشخاص بسبب ميولهم الجنسية أو هويتهم الجنسانية. وينبغي للدولة الطرف أن توفر حماية فعالة للمثليات والمثليين ومزدوجي الميل الجنسي ومغايري الهوية الجنسانية وتضمن التحقيق في أي عمل من أعمال العنف يقع بدافع الميول الجنسية أو الهوية الجنسية للضحية ومقاضاة المسؤولين عن هذه الأفعال ومعاقبتهم. وينبغي أيضاً أن تتخذ جميع التدابير اللازمة لضمان الممارسة العملية للحق في حرية التعبير والتجمع للمثليات والمثليين ومزدوجي الميل الجنسي ومغايري الهوية الجنسانية والمدافعين عن حقوقهم. وينبغي للدولة الطرف أيضاً أن تعدل الأمر رقم 60 والقوانين واللوائح الأخرى بغية كفالة ما يلي: (1) الاستعاضة عن الحبس الإجباري للأشخاص الذين يحتاجون إلى تغيير (تصحيح) نوع الجنس في مصحة للأمراض النفسية لمدة تصل إلى 45 يوماً بتدبير أقل تطفلاً؛ (2) توفير أي علاج طبي بمراعاة المصالح الفضلى للفرد وموافقته، وأن يقتصر العلاج على الإجراءات الطبية الضرورية للغاية، ويتكيف وفقاً لرغبة الفرد واحتياجاته وحالته الطبية المحددة؛ (3) إلغاء أي متطلبات تعسفية أو غير متناسبة بشأن الاعتراف القانوني بتغيير نوع الجنس. وتحث اللجنة الدولة الطرف أخيراً على عدم السماح بأن يصبح مشروعا القانونين "بشأن الدعاية للمثلية الجنسية" قانوناً. </w:t>
      </w:r>
    </w:p>
    <w:tbl>
      <w:tblPr>
        <w:bidiVisual/>
        <w:tblW w:w="7312" w:type="dxa"/>
        <w:tblInd w:w="1275" w:type="dxa"/>
        <w:tblBorders>
          <w:top w:val="single" w:sz="4" w:space="0" w:color="auto"/>
          <w:bottom w:val="single" w:sz="12" w:space="0" w:color="auto"/>
        </w:tblBorders>
        <w:tblLayout w:type="fixed"/>
        <w:tblLook w:val="00A0" w:firstRow="1" w:lastRow="0" w:firstColumn="1" w:lastColumn="0" w:noHBand="0" w:noVBand="0"/>
      </w:tblPr>
      <w:tblGrid>
        <w:gridCol w:w="2483"/>
        <w:gridCol w:w="4829"/>
      </w:tblGrid>
      <w:tr w:rsidR="00D85109" w:rsidRPr="00540D30" w:rsidTr="00FF281A">
        <w:trPr>
          <w:trHeight w:val="240"/>
          <w:tblHeader/>
        </w:trPr>
        <w:tc>
          <w:tcPr>
            <w:tcW w:w="2483" w:type="dxa"/>
            <w:tcBorders>
              <w:top w:val="single" w:sz="4" w:space="0" w:color="auto"/>
              <w:bottom w:val="single" w:sz="12" w:space="0" w:color="auto"/>
            </w:tcBorders>
            <w:shd w:val="clear" w:color="auto" w:fill="auto"/>
            <w:vAlign w:val="bottom"/>
          </w:tcPr>
          <w:p w:rsidR="00D85109" w:rsidRPr="00540D30" w:rsidRDefault="00D85109" w:rsidP="001F2F4A">
            <w:pPr>
              <w:spacing w:after="120" w:line="320" w:lineRule="exact"/>
              <w:textDirection w:val="tbRlV"/>
              <w:rPr>
                <w:i/>
                <w:iCs/>
                <w:rtl/>
                <w:lang w:eastAsia="zh-TW"/>
              </w:rPr>
            </w:pPr>
            <w:r w:rsidRPr="00540D30">
              <w:rPr>
                <w:i/>
                <w:iCs/>
                <w:rtl/>
                <w:lang w:eastAsia="zh-TW"/>
              </w:rPr>
              <w:lastRenderedPageBreak/>
              <w:t>أوكرانيا</w:t>
            </w:r>
          </w:p>
        </w:tc>
        <w:tc>
          <w:tcPr>
            <w:tcW w:w="4829" w:type="dxa"/>
            <w:tcBorders>
              <w:top w:val="single" w:sz="4" w:space="0" w:color="auto"/>
              <w:bottom w:val="single" w:sz="12" w:space="0" w:color="auto"/>
            </w:tcBorders>
            <w:shd w:val="clear" w:color="auto" w:fill="auto"/>
            <w:vAlign w:val="bottom"/>
          </w:tcPr>
          <w:p w:rsidR="00D85109" w:rsidRPr="00540D30" w:rsidRDefault="00D85109" w:rsidP="001F2F4A">
            <w:pPr>
              <w:spacing w:after="120" w:line="320" w:lineRule="exact"/>
              <w:rPr>
                <w:i/>
              </w:rPr>
            </w:pPr>
          </w:p>
        </w:tc>
      </w:tr>
    </w:tbl>
    <w:p w:rsidR="00540D30" w:rsidRPr="00D85109" w:rsidRDefault="001F2F4A" w:rsidP="001F2F4A">
      <w:pPr>
        <w:pStyle w:val="H23GA"/>
        <w:rPr>
          <w:rtl/>
        </w:rPr>
      </w:pPr>
      <w:r>
        <w:rPr>
          <w:rtl/>
        </w:rPr>
        <w:tab/>
      </w:r>
      <w:r>
        <w:rPr>
          <w:rtl/>
        </w:rPr>
        <w:tab/>
      </w:r>
      <w:r w:rsidR="00540D30" w:rsidRPr="00D85109">
        <w:rPr>
          <w:rtl/>
        </w:rPr>
        <w:t>ملخص ردّ الدولة الطرف</w:t>
      </w:r>
      <w:r w:rsidR="00D85109">
        <w:rPr>
          <w:rFonts w:cs="Times New Roman" w:hint="cs"/>
          <w:rtl/>
        </w:rPr>
        <w:t xml:space="preserve"> </w:t>
      </w:r>
    </w:p>
    <w:p w:rsidR="00540D30" w:rsidRPr="00360BD6" w:rsidRDefault="00D85109" w:rsidP="00A501A7">
      <w:pPr>
        <w:pStyle w:val="SingleTxtGA"/>
        <w:spacing w:line="360" w:lineRule="exact"/>
        <w:rPr>
          <w:rtl/>
          <w:lang w:eastAsia="zh-TW"/>
        </w:rPr>
      </w:pPr>
      <w:r>
        <w:rPr>
          <w:rtl/>
          <w:lang w:eastAsia="zh-TW"/>
        </w:rPr>
        <w:tab/>
      </w:r>
      <w:r w:rsidR="00540D30">
        <w:rPr>
          <w:rtl/>
          <w:lang w:eastAsia="zh-TW"/>
        </w:rPr>
        <w:t>تقدم الدولة الطرف معلومات مفصلة عن إطارها القانوني لمكافحة التمييز، بما في ذلك المادة ٢٤ من الدستور والقانون الذي يعدل بعض القوانين التشريعية المتعلقة بمنع التمييز ومكافحته (٣٠ أيار/مايو ٢٠١٤) والقانون المتعلق بمبادئ منع ومكافحة التمييز (٤ تشرين الأول</w:t>
      </w:r>
      <w:r w:rsidR="0043010E">
        <w:rPr>
          <w:rtl/>
          <w:lang w:eastAsia="zh-TW"/>
        </w:rPr>
        <w:t>/</w:t>
      </w:r>
      <w:r w:rsidR="00540D30">
        <w:rPr>
          <w:rtl/>
          <w:lang w:eastAsia="zh-TW"/>
        </w:rPr>
        <w:t>أكتوبر</w:t>
      </w:r>
      <w:r>
        <w:rPr>
          <w:rFonts w:hint="cs"/>
          <w:rtl/>
          <w:lang w:eastAsia="zh-TW"/>
        </w:rPr>
        <w:t> </w:t>
      </w:r>
      <w:r w:rsidR="00540D30">
        <w:rPr>
          <w:rtl/>
          <w:lang w:eastAsia="zh-TW"/>
        </w:rPr>
        <w:t>٢٠١٤)</w:t>
      </w:r>
      <w:r w:rsidR="00540D30">
        <w:rPr>
          <w:rtl/>
          <w:lang w:val="ru-RU" w:eastAsia="zh-TW" w:bidi="ar-DZ"/>
        </w:rPr>
        <w:t>.</w:t>
      </w:r>
      <w:r w:rsidR="00540D30">
        <w:rPr>
          <w:rtl/>
          <w:lang w:eastAsia="zh-TW"/>
        </w:rPr>
        <w:t xml:space="preserve"> وتسلط الدولة الطرف الضوء على تعاريف أشكال التمييز المحظورة، والمسؤولية عن الانتهاكات وسبل الانتصاف المتاحة لضحايا التمييز، </w:t>
      </w:r>
      <w:r w:rsidR="00540D30" w:rsidRPr="00BC4CA3">
        <w:rPr>
          <w:rtl/>
          <w:lang w:eastAsia="zh-TW"/>
        </w:rPr>
        <w:t xml:space="preserve">وعلى تعديل </w:t>
      </w:r>
      <w:r w:rsidR="00540D30">
        <w:rPr>
          <w:rtl/>
          <w:lang w:eastAsia="zh-TW"/>
        </w:rPr>
        <w:t>المادة ٦٠ من قانون الإجراءات المدنية فيما يتعلق بمبدأ تقاسم عبء الإثبات في قضايا التمييز، والمسؤولية الجنائية عن انتهاك الحق في المساواة في المعاملة على أساس العرق أو الإثنية أو الدين بموجب المادة</w:t>
      </w:r>
      <w:r>
        <w:rPr>
          <w:rFonts w:hint="cs"/>
          <w:rtl/>
          <w:lang w:eastAsia="zh-TW"/>
        </w:rPr>
        <w:t> </w:t>
      </w:r>
      <w:r w:rsidR="00540D30">
        <w:rPr>
          <w:rtl/>
          <w:lang w:eastAsia="zh-TW"/>
        </w:rPr>
        <w:t>١٦١ من القانون الجنائي.</w:t>
      </w:r>
    </w:p>
    <w:p w:rsidR="00540D30" w:rsidRPr="00360BD6" w:rsidRDefault="00D85109" w:rsidP="00A501A7">
      <w:pPr>
        <w:pStyle w:val="SingleTxtGA"/>
        <w:spacing w:line="360" w:lineRule="exact"/>
        <w:rPr>
          <w:rtl/>
          <w:lang w:eastAsia="zh-TW"/>
        </w:rPr>
      </w:pPr>
      <w:r>
        <w:rPr>
          <w:rtl/>
          <w:lang w:eastAsia="zh-TW"/>
        </w:rPr>
        <w:tab/>
      </w:r>
      <w:r w:rsidR="00540D30">
        <w:rPr>
          <w:rtl/>
          <w:lang w:eastAsia="zh-TW"/>
        </w:rPr>
        <w:t xml:space="preserve">وسيعدل الأمر رقم 60 الصادر عن وزارة الصحة في 3 شباط/فبراير ٢٠١١ بشأن تحسين الرعاية الطبية المقدمة إلى الأشخاص الذين يحتاجون إلى تغيير أو تصحيح نوع الجنس لمراعاة شواغل اللجنة. </w:t>
      </w:r>
    </w:p>
    <w:p w:rsidR="00540D30" w:rsidRPr="00360BD6" w:rsidRDefault="00D85109" w:rsidP="00A501A7">
      <w:pPr>
        <w:pStyle w:val="SingleTxtGA"/>
        <w:spacing w:line="360" w:lineRule="exact"/>
        <w:rPr>
          <w:rtl/>
          <w:lang w:eastAsia="zh-TW"/>
        </w:rPr>
      </w:pPr>
      <w:r>
        <w:rPr>
          <w:rtl/>
          <w:lang w:eastAsia="zh-TW"/>
        </w:rPr>
        <w:tab/>
      </w:r>
      <w:r w:rsidR="00540D30">
        <w:rPr>
          <w:rtl/>
          <w:lang w:eastAsia="zh-TW"/>
        </w:rPr>
        <w:t xml:space="preserve">وسحب مشروعا القانونين المتعلقان بحظر الدعاية </w:t>
      </w:r>
      <w:r w:rsidR="00540D30" w:rsidRPr="001E081E">
        <w:rPr>
          <w:rtl/>
          <w:lang w:val="ru-RU" w:eastAsia="zh-TW" w:bidi="ar-DZ"/>
        </w:rPr>
        <w:t>الموجهة إلى</w:t>
      </w:r>
      <w:r w:rsidR="00540D30" w:rsidRPr="001E081E">
        <w:rPr>
          <w:rtl/>
          <w:lang w:eastAsia="zh-TW"/>
        </w:rPr>
        <w:t xml:space="preserve"> الأطفال التي تشجع العلاقات المثلية</w:t>
      </w:r>
      <w:r w:rsidR="00540D30">
        <w:rPr>
          <w:rtl/>
          <w:lang w:eastAsia="zh-TW"/>
        </w:rPr>
        <w:t xml:space="preserve"> (رقم ١١٥٥) وبالتعديلات التي ستدخل بشأن حماية حقوق الأطفال في بيئة آمنة (رقم 0945)، ولن يمعن النظر فيها. </w:t>
      </w:r>
    </w:p>
    <w:p w:rsidR="00540D30" w:rsidRPr="00D85109" w:rsidRDefault="001F2F4A" w:rsidP="001F2F4A">
      <w:pPr>
        <w:pStyle w:val="H23GA"/>
        <w:rPr>
          <w:rtl/>
        </w:rPr>
      </w:pPr>
      <w:r>
        <w:rPr>
          <w:rtl/>
        </w:rPr>
        <w:tab/>
      </w:r>
      <w:r>
        <w:rPr>
          <w:rtl/>
        </w:rPr>
        <w:tab/>
      </w:r>
      <w:r w:rsidR="00540D30" w:rsidRPr="00D85109">
        <w:rPr>
          <w:rtl/>
        </w:rPr>
        <w:t>المعلومات الواردة من المنظمات غير الحكومية</w:t>
      </w:r>
      <w:r w:rsidR="00540D30" w:rsidRPr="00D85109">
        <w:rPr>
          <w:rFonts w:cs="Times New Roman" w:hint="cs"/>
          <w:rtl/>
        </w:rPr>
        <w:t>‬</w:t>
      </w:r>
      <w:r w:rsidR="00540D30" w:rsidRPr="00D85109">
        <w:rPr>
          <w:rtl/>
        </w:rPr>
        <w:t xml:space="preserve"> </w:t>
      </w:r>
    </w:p>
    <w:p w:rsidR="00540D30" w:rsidRPr="00D85109" w:rsidRDefault="001F2F4A" w:rsidP="001F2F4A">
      <w:pPr>
        <w:pStyle w:val="H4GA"/>
        <w:rPr>
          <w:rtl/>
          <w:lang w:eastAsia="zh-TW"/>
        </w:rPr>
      </w:pPr>
      <w:r>
        <w:rPr>
          <w:rtl/>
          <w:lang w:eastAsia="zh-TW"/>
        </w:rPr>
        <w:tab/>
      </w:r>
      <w:r>
        <w:rPr>
          <w:rtl/>
          <w:lang w:eastAsia="zh-TW"/>
        </w:rPr>
        <w:tab/>
      </w:r>
      <w:r w:rsidR="00540D30" w:rsidRPr="00D85109">
        <w:rPr>
          <w:rtl/>
          <w:lang w:eastAsia="zh-TW"/>
        </w:rPr>
        <w:t>مشروع "لا حدود" ومؤسسة دار حقوق الإنسان</w:t>
      </w:r>
    </w:p>
    <w:p w:rsidR="00540D30" w:rsidRPr="00C70E6E" w:rsidRDefault="00D85109" w:rsidP="001F2F4A">
      <w:pPr>
        <w:pStyle w:val="SingleTxtGA"/>
        <w:spacing w:after="80" w:line="360" w:lineRule="exact"/>
        <w:rPr>
          <w:rtl/>
          <w:lang w:eastAsia="zh-TW"/>
        </w:rPr>
      </w:pPr>
      <w:r>
        <w:rPr>
          <w:rtl/>
          <w:lang w:eastAsia="zh-TW"/>
        </w:rPr>
        <w:tab/>
      </w:r>
      <w:r w:rsidR="00540D30">
        <w:rPr>
          <w:rtl/>
          <w:lang w:eastAsia="zh-TW"/>
        </w:rPr>
        <w:t>لا</w:t>
      </w:r>
      <w:r>
        <w:rPr>
          <w:rFonts w:hint="cs"/>
          <w:rtl/>
          <w:lang w:eastAsia="zh-TW"/>
        </w:rPr>
        <w:t xml:space="preserve"> </w:t>
      </w:r>
      <w:r w:rsidR="00540D30">
        <w:rPr>
          <w:rtl/>
          <w:lang w:eastAsia="zh-TW"/>
        </w:rPr>
        <w:t>تزال حالات التمييز وخطاب الكراهية والعنف ضد المثليات والمثليين ومزدوجي الميل الجنسي ومغايري الهوية الجنسانية تنتشر انتشار</w:t>
      </w:r>
      <w:r w:rsidR="00152B44">
        <w:rPr>
          <w:rtl/>
          <w:lang w:eastAsia="zh-TW"/>
        </w:rPr>
        <w:t xml:space="preserve">اً </w:t>
      </w:r>
      <w:r w:rsidR="00540D30">
        <w:rPr>
          <w:rtl/>
          <w:lang w:eastAsia="zh-TW"/>
        </w:rPr>
        <w:t>واسع</w:t>
      </w:r>
      <w:r w:rsidR="00152B44">
        <w:rPr>
          <w:rtl/>
          <w:lang w:eastAsia="zh-TW"/>
        </w:rPr>
        <w:t xml:space="preserve">اً </w:t>
      </w:r>
      <w:r w:rsidR="00540D30">
        <w:rPr>
          <w:rtl/>
          <w:lang w:eastAsia="zh-TW"/>
        </w:rPr>
        <w:t xml:space="preserve">تماماً دون أن تعالج وذلك بسبب سوء التصنيف القانوني لهذه الجرائم، وعدم </w:t>
      </w:r>
      <w:r w:rsidR="00540D30" w:rsidRPr="00C70E6E">
        <w:rPr>
          <w:rtl/>
          <w:lang w:eastAsia="zh-TW"/>
        </w:rPr>
        <w:t xml:space="preserve">رغبة وكالات إنفاذ القانون </w:t>
      </w:r>
      <w:r w:rsidR="00540D30">
        <w:rPr>
          <w:rtl/>
          <w:lang w:eastAsia="zh-TW"/>
        </w:rPr>
        <w:t xml:space="preserve">في </w:t>
      </w:r>
      <w:r w:rsidR="00540D30" w:rsidRPr="00C70E6E">
        <w:rPr>
          <w:rtl/>
          <w:lang w:eastAsia="zh-TW"/>
        </w:rPr>
        <w:t>التحقيق فيها</w:t>
      </w:r>
      <w:r w:rsidR="00540D30">
        <w:rPr>
          <w:rtl/>
          <w:lang w:eastAsia="zh-TW"/>
        </w:rPr>
        <w:t xml:space="preserve"> وعدم قدرتها على ذلك</w:t>
      </w:r>
      <w:r w:rsidR="00540D30" w:rsidRPr="00C70E6E">
        <w:rPr>
          <w:rtl/>
          <w:lang w:eastAsia="zh-TW"/>
        </w:rPr>
        <w:t>، وقلة الإبلاغ عنها بسبب عدم الثقة والخوف من تعرض الضحايا للإيذاء مرة أخرى والكشف عن ميلهم الجنسي.</w:t>
      </w:r>
    </w:p>
    <w:p w:rsidR="00540D30" w:rsidRPr="00360BD6" w:rsidRDefault="00D85109" w:rsidP="001F2F4A">
      <w:pPr>
        <w:pStyle w:val="SingleTxtGA"/>
        <w:spacing w:after="80" w:line="360" w:lineRule="exact"/>
        <w:rPr>
          <w:rtl/>
          <w:lang w:eastAsia="zh-TW"/>
        </w:rPr>
      </w:pPr>
      <w:r>
        <w:rPr>
          <w:rtl/>
          <w:lang w:eastAsia="zh-TW"/>
        </w:rPr>
        <w:tab/>
      </w:r>
      <w:r w:rsidR="00540D30">
        <w:rPr>
          <w:rtl/>
          <w:lang w:eastAsia="zh-TW"/>
        </w:rPr>
        <w:t>ولا</w:t>
      </w:r>
      <w:r>
        <w:rPr>
          <w:rFonts w:hint="cs"/>
          <w:rtl/>
          <w:lang w:eastAsia="zh-TW"/>
        </w:rPr>
        <w:t xml:space="preserve"> </w:t>
      </w:r>
      <w:r w:rsidR="00540D30">
        <w:rPr>
          <w:rtl/>
          <w:lang w:eastAsia="zh-TW"/>
        </w:rPr>
        <w:t>يزال الأمر رقم 60 الصادر عن وزارة الصحة في ٣ شباط/فبراير ٢٠١١ ساري</w:t>
      </w:r>
      <w:r w:rsidR="00683334">
        <w:rPr>
          <w:rtl/>
          <w:lang w:eastAsia="zh-TW"/>
        </w:rPr>
        <w:t>اً،</w:t>
      </w:r>
      <w:r w:rsidR="00540D30">
        <w:rPr>
          <w:rtl/>
          <w:lang w:eastAsia="zh-TW"/>
        </w:rPr>
        <w:t xml:space="preserve"> بل ينص على إلزامية الفحص النفسي للمرضى الداخليين لمدة تصل إلى شهر واحد عوضاً عن ٤٥ يوم</w:t>
      </w:r>
      <w:r w:rsidR="00683334">
        <w:rPr>
          <w:rtl/>
          <w:lang w:eastAsia="zh-TW"/>
        </w:rPr>
        <w:t>اً.</w:t>
      </w:r>
      <w:r w:rsidR="00540D30">
        <w:rPr>
          <w:rtl/>
          <w:lang w:eastAsia="zh-TW"/>
        </w:rPr>
        <w:t xml:space="preserve"> وتنص خطة العمل المتعلقة بتنفيذ الاستراتيجية الوطنية لحقوق الإنسان للفترة الممتدة حتى عام ٢٠٢٠ على إعداد إجراء جديد والموافقة عليه بحلول عام 2018 بشأن توفير الرعاية الطبية للأشخاص الذين يحتاجون إلى تغيير (تصحيح) نوع الجنس وهو ما </w:t>
      </w:r>
      <w:r w:rsidR="00540D30" w:rsidRPr="004B20E8">
        <w:rPr>
          <w:rtl/>
          <w:lang w:eastAsia="zh-TW"/>
        </w:rPr>
        <w:t>سيحدد بوضوح الجوانب الطبية والقانونية</w:t>
      </w:r>
      <w:r w:rsidR="00540D30">
        <w:rPr>
          <w:rtl/>
          <w:lang w:eastAsia="zh-TW"/>
        </w:rPr>
        <w:t>. و</w:t>
      </w:r>
      <w:r w:rsidR="0043010E">
        <w:rPr>
          <w:rtl/>
          <w:lang w:eastAsia="zh-TW"/>
        </w:rPr>
        <w:t>لا يزال</w:t>
      </w:r>
      <w:r w:rsidR="00540D30">
        <w:rPr>
          <w:rtl/>
          <w:lang w:eastAsia="zh-TW"/>
        </w:rPr>
        <w:t xml:space="preserve"> إنشاء الفريق العامل لرصد الحالة في البلد ودراسة الممارسات الدولية في هذا الصدد </w:t>
      </w:r>
      <w:r w:rsidR="00540D30" w:rsidRPr="00B22595">
        <w:rPr>
          <w:rtl/>
          <w:lang w:eastAsia="zh-TW"/>
        </w:rPr>
        <w:t>قيد النظر</w:t>
      </w:r>
      <w:r w:rsidR="00540D30">
        <w:rPr>
          <w:rtl/>
          <w:lang w:eastAsia="zh-TW"/>
        </w:rPr>
        <w:t>.</w:t>
      </w:r>
    </w:p>
    <w:p w:rsidR="00540D30" w:rsidRDefault="00D85109" w:rsidP="001F2F4A">
      <w:pPr>
        <w:pStyle w:val="SingleTxtGA"/>
        <w:spacing w:after="80" w:line="360" w:lineRule="exact"/>
        <w:rPr>
          <w:rtl/>
          <w:lang w:eastAsia="zh-TW"/>
        </w:rPr>
      </w:pPr>
      <w:r>
        <w:rPr>
          <w:rtl/>
          <w:lang w:eastAsia="zh-TW"/>
        </w:rPr>
        <w:tab/>
      </w:r>
      <w:r w:rsidR="00540D30">
        <w:rPr>
          <w:rtl/>
          <w:lang w:eastAsia="zh-TW"/>
        </w:rPr>
        <w:t>وسحب مشروع القانون رقم 1155 في 15 نيسان/أبريل ٢٠١٤، وقدمت اقتراحات لكي يسحب أيضاً مشروع القانون رقم 0945.</w:t>
      </w:r>
    </w:p>
    <w:p w:rsidR="00A501A7" w:rsidRDefault="00A501A7" w:rsidP="00A501A7">
      <w:pPr>
        <w:pStyle w:val="SingleTxtGA"/>
        <w:spacing w:line="360" w:lineRule="exact"/>
        <w:rPr>
          <w:rtl/>
          <w:lang w:eastAsia="zh-TW"/>
        </w:rPr>
      </w:pPr>
      <w:r>
        <w:rPr>
          <w:rtl/>
          <w:lang w:eastAsia="zh-TW"/>
        </w:rPr>
        <w:tab/>
        <w:t>وفيما يتعلق بالخطوات الإيجابية، اعتمد قانون في 12 تشرين الثاني/نوفمبر ٢٠١٥، وسيحظر هذا القانون التمييز في العمل، بما في ذلك التمييز على أساس الهوية الجنسانية والميل الجنسي.</w:t>
      </w:r>
    </w:p>
    <w:tbl>
      <w:tblPr>
        <w:bidiVisual/>
        <w:tblW w:w="7337" w:type="dxa"/>
        <w:tblInd w:w="1250" w:type="dxa"/>
        <w:tblBorders>
          <w:top w:val="single" w:sz="4" w:space="0" w:color="auto"/>
          <w:bottom w:val="single" w:sz="12" w:space="0" w:color="auto"/>
        </w:tblBorders>
        <w:tblLayout w:type="fixed"/>
        <w:tblLook w:val="00A0" w:firstRow="1" w:lastRow="0" w:firstColumn="1" w:lastColumn="0" w:noHBand="0" w:noVBand="0"/>
      </w:tblPr>
      <w:tblGrid>
        <w:gridCol w:w="2508"/>
        <w:gridCol w:w="4829"/>
      </w:tblGrid>
      <w:tr w:rsidR="00D85109" w:rsidRPr="00540D30" w:rsidTr="00FF281A">
        <w:trPr>
          <w:trHeight w:val="240"/>
          <w:tblHeader/>
        </w:trPr>
        <w:tc>
          <w:tcPr>
            <w:tcW w:w="2508"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textDirection w:val="tbRlV"/>
              <w:rPr>
                <w:i/>
                <w:iCs/>
                <w:rtl/>
                <w:lang w:eastAsia="zh-TW"/>
              </w:rPr>
            </w:pPr>
            <w:r w:rsidRPr="00540D30">
              <w:rPr>
                <w:i/>
                <w:iCs/>
                <w:rtl/>
                <w:lang w:eastAsia="zh-TW"/>
              </w:rPr>
              <w:lastRenderedPageBreak/>
              <w:t>أوكرانيا</w:t>
            </w:r>
          </w:p>
        </w:tc>
        <w:tc>
          <w:tcPr>
            <w:tcW w:w="4829"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rPr>
                <w:i/>
              </w:rPr>
            </w:pPr>
          </w:p>
        </w:tc>
      </w:tr>
    </w:tbl>
    <w:p w:rsidR="00540D30" w:rsidRPr="00D85109" w:rsidRDefault="001F2F4A" w:rsidP="001F2F4A">
      <w:pPr>
        <w:pStyle w:val="H23GA"/>
        <w:rPr>
          <w:rtl/>
        </w:rPr>
      </w:pPr>
      <w:r>
        <w:rPr>
          <w:rtl/>
        </w:rPr>
        <w:tab/>
      </w:r>
      <w:r>
        <w:rPr>
          <w:rtl/>
        </w:rPr>
        <w:tab/>
      </w:r>
      <w:r w:rsidR="00A501A7">
        <w:rPr>
          <w:rtl/>
        </w:rPr>
        <w:t>تقييم اللجنة</w:t>
      </w:r>
    </w:p>
    <w:p w:rsidR="00540D30" w:rsidRPr="00360BD6" w:rsidRDefault="00540D30" w:rsidP="00282D59">
      <w:pPr>
        <w:pStyle w:val="SingleTxtGA"/>
        <w:rPr>
          <w:rtl/>
          <w:lang w:eastAsia="zh-TW"/>
        </w:rPr>
      </w:pPr>
      <w:r w:rsidRPr="00D85109">
        <w:rPr>
          <w:bCs/>
          <w:rtl/>
          <w:lang w:eastAsia="zh-TW"/>
        </w:rPr>
        <w:t>[باء]:</w:t>
      </w:r>
      <w:r>
        <w:rPr>
          <w:rtl/>
          <w:lang w:eastAsia="zh-TW"/>
        </w:rPr>
        <w:t xml:space="preserve"> ترحب اللجنة بالمعلومات المقدمة بشأن الإطار القانوني لمكافحة التمييز. بيد أنها تأسف لأن الدولة الطرف لم تقدم أية معلومات ملموسة عن تنفيذ توصية اللجنة الخاصة بمكافحة خطاب الكراهية أو التمييز أو العنف ضد المثليات والمثليين ومزدوجي الميل الجنسي ومغايري الهوية الجنسانية. ولذلك، يستلزم تقديم معلومات عن التدابير المتخذة بشأن ما</w:t>
      </w:r>
      <w:r w:rsidR="00282D59">
        <w:rPr>
          <w:rFonts w:hint="cs"/>
          <w:rtl/>
          <w:lang w:eastAsia="zh-TW"/>
        </w:rPr>
        <w:t xml:space="preserve"> </w:t>
      </w:r>
      <w:r>
        <w:rPr>
          <w:rtl/>
          <w:lang w:eastAsia="zh-TW"/>
        </w:rPr>
        <w:t xml:space="preserve">يلي (أ) الإشارة بوضوح وبصورة رسمية إلى أن الدولة الطرف لا تتسامح مع أي شكل من أشكال الوصم الاجتماعي للمثلية الجنسية أو ازدواجية الميل الجنسي أو مغايرة الهوية الجنسانية أو خطاب الكراهية أو التمييز أو العنف ضد الأشخاص بسبب ميولهم الجنسية أو هويتهم الجنسانية؛ </w:t>
      </w:r>
      <w:dir w:val="rtl">
        <w:r>
          <w:rPr>
            <w:rtl/>
            <w:lang w:eastAsia="zh-TW"/>
          </w:rPr>
          <w:t>(ب)</w:t>
        </w:r>
        <w:r w:rsidR="00282D59">
          <w:rPr>
            <w:rFonts w:hint="cs"/>
            <w:rtl/>
            <w:lang w:eastAsia="zh-TW"/>
          </w:rPr>
          <w:t> </w:t>
        </w:r>
        <w:r>
          <w:rPr>
            <w:rtl/>
            <w:lang w:eastAsia="zh-TW"/>
          </w:rPr>
          <w:t>تقديم تدريب إلزامي محدد إلى موظفي إنفاذ القانون والمدعين العامين والقضاة بشأن كيفية معالجة العنف المرتكب لأسباب تتعلق بالميل الجنسي أو الهوية الجنسانية؛ (ج) التحقيق في احتمالات التمييز وخطاب الكراهية وأعمال العنف بدافع الميل الجنسي أو الهوية الجنسانية للشخص وفرض عقوبات على ذلك. وفي هذا الصدد، يرجى تقديم الإحصاءات ذات الصلة للفترة الممتدة منذ عام ٢٠١٤؛ (د) ضمان حرية التعبير وتكوين الجمعيات للمثليات والمثليين ومزدوجي الميل الجنسي ومغايري الهوية الجنسانية والمدافعين عن حقوقهم في الممارسة العملية.</w:t>
        </w:r>
        <w:r>
          <w:t>‬</w:t>
        </w:r>
        <w:r>
          <w:t>‬</w:t>
        </w:r>
        <w:r>
          <w:t>‬</w:t>
        </w:r>
        <w:r>
          <w:t>‬</w:t>
        </w:r>
        <w:r>
          <w:t>‬</w:t>
        </w:r>
        <w:r>
          <w:t>‬</w:t>
        </w:r>
        <w:r w:rsidR="00DC1DEF">
          <w:t>‬</w:t>
        </w:r>
        <w:r w:rsidR="00BD0320">
          <w:t>‬</w:t>
        </w:r>
        <w:r w:rsidR="00E50C3B">
          <w:t>‬</w:t>
        </w:r>
        <w:r w:rsidR="00D8591B">
          <w:t>‬</w:t>
        </w:r>
      </w:dir>
    </w:p>
    <w:p w:rsidR="00540D30" w:rsidRPr="001F2F4A" w:rsidRDefault="00540D30" w:rsidP="001F2F4A">
      <w:pPr>
        <w:pStyle w:val="SingleTxtGA"/>
        <w:rPr>
          <w:spacing w:val="-2"/>
          <w:rtl/>
          <w:lang w:eastAsia="zh-TW"/>
        </w:rPr>
      </w:pPr>
      <w:r w:rsidRPr="001F2F4A">
        <w:rPr>
          <w:bCs/>
          <w:spacing w:val="-2"/>
          <w:rtl/>
          <w:lang w:eastAsia="zh-TW"/>
        </w:rPr>
        <w:t>[باء]:</w:t>
      </w:r>
      <w:r w:rsidRPr="001F2F4A">
        <w:rPr>
          <w:spacing w:val="-2"/>
          <w:rtl/>
          <w:lang w:eastAsia="zh-TW"/>
        </w:rPr>
        <w:t xml:space="preserve"> ترحب اللجنة بالحظر الصريح للتمييز على أساس الميل الجنسي والهوية الجنسانية في أماكن العمل وهو حظر أدخله القانون المعتمد في ١٢ تشرين الثاني/نوفمبر ٢٠١٥. وتطلب اللجنة المزيد من المعلومات عن التقدم المحرز في تعديل الأمر رقم 60 الصادر عن وزارة الصحة في 3 شباط/فبراير 2011 بشأن تحسين الرعاية الطبية للأشخاص الذين يحتاجون إلى تغيير أو</w:t>
      </w:r>
      <w:r w:rsidR="001F2F4A" w:rsidRPr="001F2F4A">
        <w:rPr>
          <w:rFonts w:hint="cs"/>
          <w:spacing w:val="-2"/>
          <w:rtl/>
          <w:lang w:eastAsia="zh-TW"/>
        </w:rPr>
        <w:t> </w:t>
      </w:r>
      <w:r w:rsidRPr="001F2F4A">
        <w:rPr>
          <w:spacing w:val="-2"/>
          <w:rtl/>
          <w:lang w:eastAsia="zh-TW"/>
        </w:rPr>
        <w:t>تصحيح نوع الجنس، بما في ذلك محتوى أي أنظمة مقترحة أو معتمدة ومدى توافقها مع العهد.</w:t>
      </w:r>
    </w:p>
    <w:p w:rsidR="00540D30" w:rsidRPr="00360BD6" w:rsidRDefault="00D85109" w:rsidP="00540D30">
      <w:pPr>
        <w:pStyle w:val="SingleTxtGA"/>
        <w:rPr>
          <w:rtl/>
          <w:lang w:eastAsia="zh-TW"/>
        </w:rPr>
      </w:pPr>
      <w:r>
        <w:rPr>
          <w:rtl/>
          <w:lang w:eastAsia="zh-TW"/>
        </w:rPr>
        <w:tab/>
      </w:r>
      <w:r w:rsidR="00540D30">
        <w:rPr>
          <w:rtl/>
          <w:lang w:eastAsia="zh-TW"/>
        </w:rPr>
        <w:t>وتطلب اللجنة تأكيد سحب مشروع القانون رقم ٠٩٤٥.</w:t>
      </w:r>
    </w:p>
    <w:p w:rsidR="00540D30" w:rsidRPr="00D85109" w:rsidRDefault="001F2F4A" w:rsidP="001F2F4A">
      <w:pPr>
        <w:pStyle w:val="H23GA"/>
        <w:rPr>
          <w:rtl/>
        </w:rPr>
      </w:pPr>
      <w:r>
        <w:rPr>
          <w:rtl/>
        </w:rPr>
        <w:tab/>
      </w:r>
      <w:r>
        <w:rPr>
          <w:rtl/>
        </w:rPr>
        <w:tab/>
      </w:r>
      <w:dir w:val="rtl">
        <w:r w:rsidR="00540D30" w:rsidRPr="00D85109">
          <w:rPr>
            <w:rtl/>
          </w:rPr>
          <w:t>الفقرة 15</w:t>
        </w:r>
        <w:r w:rsidR="00540D30" w:rsidRPr="00D85109">
          <w:rPr>
            <w:rFonts w:cs="Times New Roman" w:hint="cs"/>
            <w:rtl/>
          </w:rPr>
          <w:t>‬</w:t>
        </w:r>
        <w:r w:rsidR="00540D30" w:rsidRPr="00D85109">
          <w:rPr>
            <w:rtl/>
          </w:rPr>
          <w:t xml:space="preserve"> </w:t>
        </w:r>
        <w:r w:rsidR="00540D30" w:rsidRPr="00D85109">
          <w:t>‬</w:t>
        </w:r>
        <w:r w:rsidR="00540D30" w:rsidRPr="00D85109">
          <w:t>‬</w:t>
        </w:r>
        <w:r w:rsidR="00540D30" w:rsidRPr="00D85109">
          <w:t>‬</w:t>
        </w:r>
        <w:r w:rsidR="00540D30" w:rsidRPr="00D85109">
          <w:t>‬</w:t>
        </w:r>
        <w:r w:rsidR="00540D30" w:rsidRPr="00D85109">
          <w:t>‬</w:t>
        </w:r>
        <w:r w:rsidR="00540D30" w:rsidRPr="00D85109">
          <w:t>‬</w:t>
        </w:r>
        <w:r w:rsidR="00DC1DEF">
          <w:t>‬</w:t>
        </w:r>
        <w:r w:rsidR="00BD0320">
          <w:t>‬</w:t>
        </w:r>
        <w:r w:rsidR="00E50C3B">
          <w:t>‬</w:t>
        </w:r>
        <w:r w:rsidR="00D8591B">
          <w:t>‬</w:t>
        </w:r>
      </w:dir>
    </w:p>
    <w:p w:rsidR="00540D30" w:rsidRDefault="00D85109" w:rsidP="00540D30">
      <w:pPr>
        <w:pStyle w:val="SingleTxtGA"/>
        <w:rPr>
          <w:bCs/>
          <w:rtl/>
        </w:rPr>
      </w:pPr>
      <w:r>
        <w:rPr>
          <w:b/>
          <w:rtl/>
          <w:lang w:eastAsia="zh-TW"/>
        </w:rPr>
        <w:tab/>
      </w:r>
      <w:r w:rsidR="00540D30" w:rsidRPr="00D85109">
        <w:rPr>
          <w:bCs/>
          <w:rtl/>
          <w:lang w:eastAsia="zh-TW"/>
        </w:rPr>
        <w:t>ينبغي للدولة الطرف أن تعزز تدابيرها للقضاء على التعذيب وسوء المعاملة، وأن تضمن التحقيق في مثل هذه الأفعال بسرعة وبصورة شاملة ومستقلة، ومقاضاة مرتكبي أفعال التعذيب وسوء المعاملة بطريقة تتناسب مع خطورة أفعالهم، وتوفير سبل انتصاف فعالة ل</w:t>
      </w:r>
      <w:r w:rsidR="001F2F4A">
        <w:rPr>
          <w:bCs/>
          <w:rtl/>
          <w:lang w:eastAsia="zh-TW"/>
        </w:rPr>
        <w:t>لضحايا، بما في ذلك تعويض مناسب.</w:t>
      </w:r>
      <w:dir w:val="rtl">
        <w:r w:rsidR="00540D30" w:rsidRPr="00D85109">
          <w:rPr>
            <w:bCs/>
            <w:rtl/>
            <w:lang w:eastAsia="zh-TW"/>
          </w:rPr>
          <w:t xml:space="preserve"> وعلى سبيل الأولوية، ينبغي للدولة الطرف أن تنشئ آلية شكاوى مستقلة حقاً لتناول حالات الادعاء بالتعرض للتعذيب أو سوء المعاملة. كما ينبغي أن تعدل قانون الإجراءات الجنائية لديها لينص على توفير تسجيلات فيديو إلزامية للاستجوابات، وأن تواصل جهودها من أجل تجهيز أماكن الحرمان من الحرية بأجهزة تسجيل فيديوية بغية تثبيط أي لجوء إلى التعذيب أو سوء المعاملة.</w:t>
        </w:r>
        <w:r w:rsidR="00540D30" w:rsidRPr="00D85109">
          <w:rPr>
            <w:bCs/>
          </w:rPr>
          <w:t>‬</w:t>
        </w:r>
        <w:r w:rsidR="00540D30" w:rsidRPr="00D85109">
          <w:rPr>
            <w:bCs/>
          </w:rPr>
          <w:t>‬</w:t>
        </w:r>
        <w:r w:rsidR="00540D30" w:rsidRPr="00D85109">
          <w:rPr>
            <w:bCs/>
          </w:rPr>
          <w:t>‬</w:t>
        </w:r>
        <w:r w:rsidR="00540D30" w:rsidRPr="00D85109">
          <w:rPr>
            <w:bCs/>
          </w:rPr>
          <w:t>‬</w:t>
        </w:r>
        <w:r w:rsidR="00540D30" w:rsidRPr="00D85109">
          <w:rPr>
            <w:bCs/>
          </w:rPr>
          <w:t>‬</w:t>
        </w:r>
        <w:r w:rsidR="00540D30" w:rsidRPr="00D85109">
          <w:rPr>
            <w:bCs/>
          </w:rPr>
          <w:t>‬</w:t>
        </w:r>
        <w:r w:rsidR="00DC1DEF">
          <w:t>‬</w:t>
        </w:r>
        <w:r w:rsidR="00BD0320">
          <w:t>‬</w:t>
        </w:r>
        <w:r w:rsidR="00E50C3B">
          <w:t>‬</w:t>
        </w:r>
        <w:r w:rsidR="00D8591B">
          <w:t>‬</w:t>
        </w:r>
      </w:dir>
    </w:p>
    <w:tbl>
      <w:tblPr>
        <w:bidiVisual/>
        <w:tblW w:w="7324" w:type="dxa"/>
        <w:tblInd w:w="1263" w:type="dxa"/>
        <w:tblBorders>
          <w:top w:val="single" w:sz="4" w:space="0" w:color="auto"/>
          <w:bottom w:val="single" w:sz="12" w:space="0" w:color="auto"/>
        </w:tblBorders>
        <w:tblLayout w:type="fixed"/>
        <w:tblLook w:val="00A0" w:firstRow="1" w:lastRow="0" w:firstColumn="1" w:lastColumn="0" w:noHBand="0" w:noVBand="0"/>
      </w:tblPr>
      <w:tblGrid>
        <w:gridCol w:w="2495"/>
        <w:gridCol w:w="4829"/>
      </w:tblGrid>
      <w:tr w:rsidR="00D85109" w:rsidRPr="00540D30" w:rsidTr="00B545F8">
        <w:trPr>
          <w:trHeight w:val="240"/>
          <w:tblHeader/>
        </w:trPr>
        <w:tc>
          <w:tcPr>
            <w:tcW w:w="2495"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textDirection w:val="tbRlV"/>
              <w:rPr>
                <w:i/>
                <w:iCs/>
                <w:rtl/>
                <w:lang w:eastAsia="zh-TW"/>
              </w:rPr>
            </w:pPr>
            <w:r w:rsidRPr="00540D30">
              <w:rPr>
                <w:i/>
                <w:iCs/>
                <w:rtl/>
                <w:lang w:eastAsia="zh-TW"/>
              </w:rPr>
              <w:lastRenderedPageBreak/>
              <w:t>أوكرانيا</w:t>
            </w:r>
          </w:p>
        </w:tc>
        <w:tc>
          <w:tcPr>
            <w:tcW w:w="4829"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rPr>
                <w:i/>
              </w:rPr>
            </w:pPr>
          </w:p>
        </w:tc>
      </w:tr>
    </w:tbl>
    <w:p w:rsidR="00540D30" w:rsidRPr="00D85109" w:rsidRDefault="001F2F4A" w:rsidP="001F2F4A">
      <w:pPr>
        <w:pStyle w:val="H23GA"/>
        <w:rPr>
          <w:rtl/>
        </w:rPr>
      </w:pPr>
      <w:r>
        <w:rPr>
          <w:rtl/>
        </w:rPr>
        <w:tab/>
      </w:r>
      <w:r>
        <w:rPr>
          <w:rtl/>
        </w:rPr>
        <w:tab/>
      </w:r>
      <w:r w:rsidR="00540D30" w:rsidRPr="00D85109">
        <w:rPr>
          <w:rtl/>
        </w:rPr>
        <w:t xml:space="preserve">ملخص ردّ الدولة الطرف </w:t>
      </w:r>
    </w:p>
    <w:p w:rsidR="00540D30" w:rsidRPr="00360BD6" w:rsidRDefault="00D85109" w:rsidP="001F2F4A">
      <w:pPr>
        <w:pStyle w:val="SingleTxtGA"/>
        <w:spacing w:line="370" w:lineRule="exact"/>
        <w:rPr>
          <w:rtl/>
          <w:lang w:eastAsia="zh-TW"/>
        </w:rPr>
      </w:pPr>
      <w:r>
        <w:rPr>
          <w:rtl/>
          <w:lang w:eastAsia="zh-TW"/>
        </w:rPr>
        <w:tab/>
      </w:r>
      <w:r w:rsidR="00540D30">
        <w:rPr>
          <w:rtl/>
          <w:lang w:eastAsia="zh-TW"/>
        </w:rPr>
        <w:t xml:space="preserve">تشير الدولة الطرف إلى حظر التعذيب في المادة ٢٨ من دستورها وتقدم تفاصيل عن محتوى المادتين 127(1) و365(1) من القانون الجنائي، اللتين تنصان على المسؤولية الجنائية عن التعذيب وإساءة استعمال الصلاحيات أو السلطة الرسمية، على التوالي. وتسلط الدولة الطرف الضوء على أحكام قانون الإجراءات الجنائية بشأن التحقيقات </w:t>
      </w:r>
      <w:r w:rsidR="00540D30" w:rsidRPr="007C661D">
        <w:rPr>
          <w:rtl/>
          <w:lang w:eastAsia="zh-TW"/>
        </w:rPr>
        <w:t>السابقة للمحاكمة</w:t>
      </w:r>
      <w:r w:rsidR="00540D30">
        <w:rPr>
          <w:rtl/>
          <w:lang w:eastAsia="zh-TW"/>
        </w:rPr>
        <w:t xml:space="preserve">، والمراقبة القضائية للاحتجاز، والضمانات المحددة ضد الاحتجاز غير القانوني والتعسفي والحصول على المساعدة القانونية، وتصف الإجراء اللازم للتحقيق في ادعاءات استخدام القوة من جانب موظفي إنفاذ القانون. وتقدم الدولة الطرف معلومات تتعلق برصد المؤسسات العقابية من جانب المجلس العام الذي أنشأته دائرة </w:t>
      </w:r>
      <w:r w:rsidR="00540D30" w:rsidRPr="007C661D">
        <w:rPr>
          <w:rtl/>
          <w:lang w:eastAsia="zh-TW"/>
        </w:rPr>
        <w:t>السجون</w:t>
      </w:r>
      <w:r w:rsidR="00540D30">
        <w:rPr>
          <w:rtl/>
          <w:lang w:eastAsia="zh-TW"/>
        </w:rPr>
        <w:t xml:space="preserve"> الحكومية والآلية الوقائية الوطنية ولجنة السياسات الحكومية المعنية بإنفاذ الأحكام الجنائية.</w:t>
      </w:r>
    </w:p>
    <w:p w:rsidR="00540D30" w:rsidRPr="00360BD6" w:rsidRDefault="00D85109" w:rsidP="001F2F4A">
      <w:pPr>
        <w:pStyle w:val="SingleTxtGA"/>
        <w:spacing w:line="370" w:lineRule="exact"/>
        <w:rPr>
          <w:rtl/>
          <w:lang w:eastAsia="zh-TW"/>
        </w:rPr>
      </w:pPr>
      <w:r>
        <w:rPr>
          <w:rtl/>
          <w:lang w:eastAsia="zh-TW"/>
        </w:rPr>
        <w:tab/>
      </w:r>
      <w:r w:rsidR="00540D30">
        <w:rPr>
          <w:rtl/>
          <w:lang w:eastAsia="zh-TW"/>
        </w:rPr>
        <w:t>وتنص المادة ١٠٧ من قانون الإجراءات الجنائية على تسجيل الاستجوابات بالفيديو وعلى أن يتخذ هذا القرار الشخص المسؤول عن الإجراءات. وتسجيل الفيديو إلزامي إذا طلب ذلك المشاركون في الإجراءات. وللمشتبه فيه أو المتهم الحق، رهن</w:t>
      </w:r>
      <w:r w:rsidR="00152B44">
        <w:rPr>
          <w:rtl/>
          <w:lang w:eastAsia="zh-TW"/>
        </w:rPr>
        <w:t xml:space="preserve">اً </w:t>
      </w:r>
      <w:r w:rsidR="00540D30">
        <w:rPr>
          <w:rtl/>
          <w:lang w:eastAsia="zh-TW"/>
        </w:rPr>
        <w:t>ببعض الاستثناءات، في استخدام جهاز تقني لتسجيل أ</w:t>
      </w:r>
      <w:r>
        <w:rPr>
          <w:rtl/>
          <w:lang w:eastAsia="zh-TW"/>
        </w:rPr>
        <w:t>ي إجراءات يشارك فيها (المادة ٤٢(٣)</w:t>
      </w:r>
      <w:r w:rsidR="00540D30">
        <w:rPr>
          <w:rtl/>
          <w:lang w:eastAsia="zh-TW"/>
        </w:rPr>
        <w:t>(11) من قانون الإجرا</w:t>
      </w:r>
      <w:r>
        <w:rPr>
          <w:rtl/>
          <w:lang w:eastAsia="zh-TW"/>
        </w:rPr>
        <w:t>ءات الجنائية)، وتسمح المادة ٢٢٤</w:t>
      </w:r>
      <w:r w:rsidR="00540D30">
        <w:rPr>
          <w:rtl/>
          <w:lang w:eastAsia="zh-TW"/>
        </w:rPr>
        <w:t>(٥) من القانون أيض</w:t>
      </w:r>
      <w:r w:rsidR="00152B44">
        <w:rPr>
          <w:rtl/>
          <w:lang w:eastAsia="zh-TW"/>
        </w:rPr>
        <w:t xml:space="preserve">اً </w:t>
      </w:r>
      <w:r w:rsidR="00540D30">
        <w:rPr>
          <w:rtl/>
          <w:lang w:eastAsia="zh-TW"/>
        </w:rPr>
        <w:t xml:space="preserve">بالتصوير أو بإجراء </w:t>
      </w:r>
      <w:r w:rsidR="00540D30" w:rsidRPr="00751F38">
        <w:rPr>
          <w:rtl/>
          <w:lang w:eastAsia="zh-TW"/>
        </w:rPr>
        <w:t>تسجيلات صوتية</w:t>
      </w:r>
      <w:r w:rsidR="00540D30">
        <w:rPr>
          <w:rtl/>
          <w:lang w:eastAsia="zh-TW"/>
        </w:rPr>
        <w:t xml:space="preserve"> أو فيديوية للإجراءات. </w:t>
      </w:r>
    </w:p>
    <w:p w:rsidR="00540D30" w:rsidRPr="00360BD6" w:rsidRDefault="00D85109" w:rsidP="001F2F4A">
      <w:pPr>
        <w:pStyle w:val="SingleTxtGA"/>
        <w:spacing w:line="370" w:lineRule="exact"/>
        <w:rPr>
          <w:rtl/>
          <w:lang w:eastAsia="zh-TW"/>
        </w:rPr>
      </w:pPr>
      <w:r>
        <w:rPr>
          <w:rtl/>
          <w:lang w:eastAsia="zh-TW"/>
        </w:rPr>
        <w:tab/>
      </w:r>
      <w:r w:rsidR="00540D30">
        <w:rPr>
          <w:rtl/>
          <w:lang w:eastAsia="zh-TW"/>
        </w:rPr>
        <w:t xml:space="preserve">ولا يلزم إدخال أي تعديلات أخرى على قانون الإجراءات الجنائية. </w:t>
      </w:r>
    </w:p>
    <w:p w:rsidR="00540D30" w:rsidRPr="00D85109" w:rsidRDefault="001F2F4A" w:rsidP="001F2F4A">
      <w:pPr>
        <w:pStyle w:val="H23GA"/>
        <w:rPr>
          <w:rtl/>
        </w:rPr>
      </w:pPr>
      <w:r>
        <w:rPr>
          <w:rtl/>
        </w:rPr>
        <w:tab/>
      </w:r>
      <w:r>
        <w:rPr>
          <w:rtl/>
        </w:rPr>
        <w:tab/>
      </w:r>
      <w:r w:rsidR="00540D30" w:rsidRPr="00D85109">
        <w:rPr>
          <w:rtl/>
        </w:rPr>
        <w:t>المعلومات الواردة من المنظمات غير الحكومية</w:t>
      </w:r>
      <w:r w:rsidR="00540D30" w:rsidRPr="00D85109">
        <w:rPr>
          <w:rFonts w:cs="Times New Roman" w:hint="cs"/>
          <w:rtl/>
        </w:rPr>
        <w:t>‬</w:t>
      </w:r>
      <w:r w:rsidR="00540D30" w:rsidRPr="00D85109">
        <w:rPr>
          <w:rtl/>
        </w:rPr>
        <w:t xml:space="preserve"> </w:t>
      </w:r>
    </w:p>
    <w:p w:rsidR="00540D30" w:rsidRPr="00D85109" w:rsidRDefault="001F2F4A" w:rsidP="001F2F4A">
      <w:pPr>
        <w:pStyle w:val="H4GA"/>
        <w:rPr>
          <w:rtl/>
          <w:lang w:eastAsia="zh-TW"/>
        </w:rPr>
      </w:pPr>
      <w:r>
        <w:rPr>
          <w:rtl/>
          <w:lang w:eastAsia="zh-TW"/>
        </w:rPr>
        <w:tab/>
      </w:r>
      <w:r>
        <w:rPr>
          <w:rtl/>
          <w:lang w:eastAsia="zh-TW"/>
        </w:rPr>
        <w:tab/>
      </w:r>
      <w:r w:rsidR="00540D30" w:rsidRPr="00D85109">
        <w:rPr>
          <w:rtl/>
          <w:lang w:eastAsia="zh-TW"/>
        </w:rPr>
        <w:t>اتحاد هلسنكي الأوكراني لحقوق الإنسان ومؤسسة دار حقوق الإنسان</w:t>
      </w:r>
    </w:p>
    <w:p w:rsidR="00540D30" w:rsidRPr="00A501A7" w:rsidRDefault="00D85109" w:rsidP="001F2F4A">
      <w:pPr>
        <w:pStyle w:val="SingleTxtGA"/>
        <w:spacing w:line="360" w:lineRule="exact"/>
        <w:rPr>
          <w:spacing w:val="-4"/>
          <w:rtl/>
          <w:lang w:eastAsia="zh-TW"/>
        </w:rPr>
      </w:pPr>
      <w:r w:rsidRPr="00A501A7">
        <w:rPr>
          <w:spacing w:val="-4"/>
          <w:rtl/>
          <w:lang w:eastAsia="zh-TW"/>
        </w:rPr>
        <w:tab/>
      </w:r>
      <w:r w:rsidR="00540D30" w:rsidRPr="00A501A7">
        <w:rPr>
          <w:spacing w:val="-4"/>
          <w:rtl/>
          <w:lang w:eastAsia="zh-TW"/>
        </w:rPr>
        <w:t>لا</w:t>
      </w:r>
      <w:r w:rsidRPr="00A501A7">
        <w:rPr>
          <w:rFonts w:hint="cs"/>
          <w:spacing w:val="-4"/>
          <w:rtl/>
          <w:lang w:eastAsia="zh-TW"/>
        </w:rPr>
        <w:t xml:space="preserve"> </w:t>
      </w:r>
      <w:r w:rsidR="00540D30" w:rsidRPr="00A501A7">
        <w:rPr>
          <w:spacing w:val="-4"/>
          <w:rtl/>
          <w:lang w:eastAsia="zh-TW"/>
        </w:rPr>
        <w:t>تزال أعمال التعذيب وسوء معاملة الأشخاص مسلوبي الحرية تطرح مشكلة منهجية على الرغم من إحراز بعض التقدم في مكافحتها. وتلاحظ المنظمات غير الحكومية بعض التطورات الإيجابية، بما في ذلك قانون الإجراءات الجنائية لعام ٢٠١٢ وإصلاح الشرطة، ووجود آلية وقائية وطنية فعالة تمام</w:t>
      </w:r>
      <w:r w:rsidR="00683334" w:rsidRPr="00A501A7">
        <w:rPr>
          <w:spacing w:val="-4"/>
          <w:rtl/>
          <w:lang w:eastAsia="zh-TW"/>
        </w:rPr>
        <w:t>اً،</w:t>
      </w:r>
      <w:r w:rsidR="00540D30" w:rsidRPr="00A501A7">
        <w:rPr>
          <w:spacing w:val="-4"/>
          <w:rtl/>
          <w:lang w:eastAsia="zh-TW"/>
        </w:rPr>
        <w:t xml:space="preserve"> والتعديلات التي أدخلت على قانون الإجراءات الجنائية المتعلقة بالمركز القانوني للمدانين والاستراتيجية الوطنية لحقوق الإنسان التي وضعت في 25 آب/أغسطس ٢٠١٥، والتي تتضمن خطة عمل لمكافحة التعذيب وسوء المعاملة.</w:t>
      </w:r>
    </w:p>
    <w:p w:rsidR="00540D30" w:rsidRDefault="00D85109" w:rsidP="001F2F4A">
      <w:pPr>
        <w:pStyle w:val="SingleTxtGA"/>
        <w:spacing w:line="360" w:lineRule="exact"/>
        <w:rPr>
          <w:rtl/>
          <w:lang w:eastAsia="zh-TW"/>
        </w:rPr>
      </w:pPr>
      <w:r>
        <w:rPr>
          <w:rtl/>
          <w:lang w:eastAsia="zh-TW"/>
        </w:rPr>
        <w:tab/>
      </w:r>
      <w:r w:rsidR="00540D30">
        <w:rPr>
          <w:rtl/>
          <w:lang w:eastAsia="zh-TW"/>
        </w:rPr>
        <w:t>ولا</w:t>
      </w:r>
      <w:r>
        <w:rPr>
          <w:rFonts w:hint="cs"/>
          <w:rtl/>
          <w:lang w:eastAsia="zh-TW"/>
        </w:rPr>
        <w:t xml:space="preserve"> </w:t>
      </w:r>
      <w:r w:rsidR="00540D30">
        <w:rPr>
          <w:rtl/>
          <w:lang w:eastAsia="zh-TW"/>
        </w:rPr>
        <w:t xml:space="preserve">تزال جريمة التعذيب تصنف في معظم القضايا إساءة استعمال </w:t>
      </w:r>
      <w:r w:rsidR="00540D30" w:rsidRPr="000801DD">
        <w:rPr>
          <w:rtl/>
          <w:lang w:eastAsia="zh-TW"/>
        </w:rPr>
        <w:t>السلطة أو المنصب</w:t>
      </w:r>
      <w:r w:rsidR="00540D30">
        <w:rPr>
          <w:rtl/>
          <w:lang w:eastAsia="zh-TW"/>
        </w:rPr>
        <w:t xml:space="preserve"> الرسمي (المادة ٣٦٤ من القانون الجنائي</w:t>
      </w:r>
      <w:r w:rsidR="00540D30" w:rsidRPr="006D3634">
        <w:rPr>
          <w:rtl/>
          <w:lang w:eastAsia="zh-TW"/>
        </w:rPr>
        <w:t xml:space="preserve">)، وإساءة استعمال موظف إنفاذ القانون </w:t>
      </w:r>
      <w:r w:rsidR="00540D30" w:rsidRPr="006D3634">
        <w:rPr>
          <w:rtl/>
          <w:lang w:val="ru-RU" w:eastAsia="zh-TW" w:bidi="ar-DZ"/>
        </w:rPr>
        <w:t xml:space="preserve">الصلاحيات </w:t>
      </w:r>
      <w:r w:rsidR="00540D30" w:rsidRPr="006D3634">
        <w:rPr>
          <w:rtl/>
          <w:lang w:eastAsia="zh-TW"/>
        </w:rPr>
        <w:t>أو السلطة</w:t>
      </w:r>
      <w:r w:rsidR="00540D30">
        <w:rPr>
          <w:rtl/>
          <w:lang w:eastAsia="zh-TW"/>
        </w:rPr>
        <w:t xml:space="preserve"> (المادة ٣٦٥) أو الإكراه على الإدلاء بالشهادة (المادة ٣٧٣). ولا تنص المادة ١٢٧ (التعذيب) من القانون الجنائي على المسؤولية المباشرة للموظفين عن التعذيب، ولا</w:t>
      </w:r>
      <w:r w:rsidR="00152B44">
        <w:rPr>
          <w:rFonts w:hint="cs"/>
          <w:rtl/>
          <w:lang w:eastAsia="zh-TW"/>
        </w:rPr>
        <w:t xml:space="preserve"> </w:t>
      </w:r>
      <w:r w:rsidR="00540D30">
        <w:rPr>
          <w:rtl/>
          <w:lang w:eastAsia="zh-TW"/>
        </w:rPr>
        <w:t xml:space="preserve">تنطبق هذه المادة </w:t>
      </w:r>
      <w:r w:rsidR="00540D30" w:rsidRPr="00A007A7">
        <w:rPr>
          <w:rtl/>
          <w:lang w:eastAsia="zh-TW"/>
        </w:rPr>
        <w:t>كقاعدة عامة،</w:t>
      </w:r>
      <w:r>
        <w:rPr>
          <w:rFonts w:hint="cs"/>
          <w:rtl/>
          <w:lang w:eastAsia="zh-TW"/>
        </w:rPr>
        <w:t xml:space="preserve"> </w:t>
      </w:r>
      <w:r w:rsidR="00540D30" w:rsidRPr="00A007A7">
        <w:rPr>
          <w:rtl/>
          <w:lang w:val="ru-RU" w:eastAsia="zh-TW" w:bidi="ar-DZ"/>
        </w:rPr>
        <w:t xml:space="preserve">باعتبارها </w:t>
      </w:r>
      <w:r w:rsidR="00540D30" w:rsidRPr="00A007A7">
        <w:rPr>
          <w:rtl/>
          <w:lang w:eastAsia="zh-TW"/>
        </w:rPr>
        <w:t>تصنيف إثبات</w:t>
      </w:r>
      <w:r w:rsidR="00540D30">
        <w:rPr>
          <w:rtl/>
          <w:lang w:eastAsia="zh-TW"/>
        </w:rPr>
        <w:t>. و</w:t>
      </w:r>
      <w:r w:rsidR="0043010E">
        <w:rPr>
          <w:rtl/>
          <w:lang w:eastAsia="zh-TW"/>
        </w:rPr>
        <w:t>لا يزال</w:t>
      </w:r>
      <w:r w:rsidR="00540D30">
        <w:rPr>
          <w:rtl/>
          <w:lang w:eastAsia="zh-TW"/>
        </w:rPr>
        <w:t xml:space="preserve"> التعذيب أيضاً جريمة متوسطة الخطورة يعاقب عليها بموجب المادة ١٢٧ بالسجن لمدة تصل إلى خمس سنوات، وتترجم تلك العقوبة من الناحية العملية إلى سنتين وحتى ثلاث سنوات من السجن أو في كثير من الأحيان إلى عقوبة مشروطة. ويعزز وجود العديد من المواد التي تتضمن عناصر مماثلة للجريمة الغموض في تفسير أفعال التعذيب وسوء المعاملة وتصنيفها والمعاقبة عليها. </w:t>
      </w:r>
    </w:p>
    <w:tbl>
      <w:tblPr>
        <w:bidiVisual/>
        <w:tblW w:w="7326" w:type="dxa"/>
        <w:tblInd w:w="1261" w:type="dxa"/>
        <w:tblBorders>
          <w:top w:val="single" w:sz="4" w:space="0" w:color="auto"/>
          <w:bottom w:val="single" w:sz="12" w:space="0" w:color="auto"/>
        </w:tblBorders>
        <w:tblLayout w:type="fixed"/>
        <w:tblLook w:val="00A0" w:firstRow="1" w:lastRow="0" w:firstColumn="1" w:lastColumn="0" w:noHBand="0" w:noVBand="0"/>
      </w:tblPr>
      <w:tblGrid>
        <w:gridCol w:w="2497"/>
        <w:gridCol w:w="4829"/>
      </w:tblGrid>
      <w:tr w:rsidR="00D85109" w:rsidRPr="00540D30" w:rsidTr="00FF281A">
        <w:trPr>
          <w:trHeight w:val="240"/>
          <w:tblHeader/>
        </w:trPr>
        <w:tc>
          <w:tcPr>
            <w:tcW w:w="2497" w:type="dxa"/>
            <w:tcBorders>
              <w:top w:val="single" w:sz="4" w:space="0" w:color="auto"/>
              <w:bottom w:val="single" w:sz="12" w:space="0" w:color="auto"/>
            </w:tcBorders>
            <w:shd w:val="clear" w:color="auto" w:fill="auto"/>
            <w:vAlign w:val="bottom"/>
          </w:tcPr>
          <w:p w:rsidR="00D85109" w:rsidRPr="00540D30" w:rsidRDefault="00D85109" w:rsidP="00FF281A">
            <w:pPr>
              <w:pageBreakBefore/>
              <w:spacing w:after="120" w:line="320" w:lineRule="exact"/>
              <w:ind w:left="14" w:hanging="14"/>
              <w:textDirection w:val="tbRlV"/>
              <w:rPr>
                <w:i/>
                <w:iCs/>
                <w:rtl/>
                <w:lang w:eastAsia="zh-TW"/>
              </w:rPr>
            </w:pPr>
            <w:r w:rsidRPr="00540D30">
              <w:rPr>
                <w:i/>
                <w:iCs/>
                <w:rtl/>
                <w:lang w:eastAsia="zh-TW"/>
              </w:rPr>
              <w:lastRenderedPageBreak/>
              <w:t>أوكرانيا</w:t>
            </w:r>
          </w:p>
        </w:tc>
        <w:tc>
          <w:tcPr>
            <w:tcW w:w="4829"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rPr>
                <w:i/>
              </w:rPr>
            </w:pPr>
          </w:p>
        </w:tc>
      </w:tr>
    </w:tbl>
    <w:p w:rsidR="00540D30" w:rsidRPr="00360BD6" w:rsidRDefault="00D85109" w:rsidP="00D85109">
      <w:pPr>
        <w:pStyle w:val="SingleTxtGA"/>
        <w:rPr>
          <w:rtl/>
          <w:lang w:eastAsia="zh-TW"/>
        </w:rPr>
      </w:pPr>
      <w:r>
        <w:rPr>
          <w:rtl/>
          <w:lang w:eastAsia="zh-TW"/>
        </w:rPr>
        <w:tab/>
      </w:r>
      <w:r w:rsidR="00540D30">
        <w:rPr>
          <w:rtl/>
          <w:lang w:eastAsia="zh-TW"/>
        </w:rPr>
        <w:t>والتحقيقات في الشكاوى المتعلقة بسوء المعاملة ليست فورية ومستقلة وفعالة. وينص القانون المتعلق بمكتب التحقيقات الحكومي الصادر في 12 تشرين الثاني/نوفمبر ٢٠١٥ على إنشاء آلية مستقلة للتحقيق في قضايا التعذيب وسوء المعاملة بحلول 20 تشرين الثاني/</w:t>
      </w:r>
      <w:r>
        <w:rPr>
          <w:rFonts w:hint="cs"/>
          <w:rtl/>
          <w:lang w:eastAsia="zh-TW"/>
        </w:rPr>
        <w:t xml:space="preserve"> </w:t>
      </w:r>
      <w:r w:rsidR="00540D30">
        <w:rPr>
          <w:rtl/>
          <w:lang w:eastAsia="zh-TW"/>
        </w:rPr>
        <w:t>نوفمبر</w:t>
      </w:r>
      <w:r>
        <w:rPr>
          <w:rFonts w:hint="cs"/>
          <w:rtl/>
          <w:lang w:eastAsia="zh-TW"/>
        </w:rPr>
        <w:t> </w:t>
      </w:r>
      <w:r w:rsidR="00540D30">
        <w:rPr>
          <w:rtl/>
          <w:lang w:eastAsia="zh-TW"/>
        </w:rPr>
        <w:t>٢٠١٧، بيد أن هذه العملية قد تأخرت وتأجلت مرار</w:t>
      </w:r>
      <w:r w:rsidR="00152B44">
        <w:rPr>
          <w:rtl/>
          <w:lang w:eastAsia="zh-TW"/>
        </w:rPr>
        <w:t xml:space="preserve">اً </w:t>
      </w:r>
      <w:r w:rsidR="00540D30">
        <w:rPr>
          <w:rtl/>
          <w:lang w:eastAsia="zh-TW"/>
        </w:rPr>
        <w:t>وتكراراً.</w:t>
      </w:r>
    </w:p>
    <w:p w:rsidR="00540D30" w:rsidRPr="00360BD6" w:rsidRDefault="00D85109" w:rsidP="00540D30">
      <w:pPr>
        <w:pStyle w:val="SingleTxtGA"/>
        <w:rPr>
          <w:rtl/>
          <w:lang w:eastAsia="zh-TW"/>
        </w:rPr>
      </w:pPr>
      <w:r>
        <w:rPr>
          <w:rtl/>
          <w:lang w:eastAsia="zh-TW"/>
        </w:rPr>
        <w:tab/>
      </w:r>
      <w:r w:rsidR="00540D30">
        <w:rPr>
          <w:rtl/>
          <w:lang w:eastAsia="zh-TW"/>
        </w:rPr>
        <w:t>وتسجيل الاستجوابات بالفيديو ممكن بموجب قانون الإجراءات الجنائية، ولكنه ليس إلزامي</w:t>
      </w:r>
      <w:r w:rsidR="00683334">
        <w:rPr>
          <w:rtl/>
          <w:lang w:eastAsia="zh-TW"/>
        </w:rPr>
        <w:t>اً.</w:t>
      </w:r>
      <w:r w:rsidR="00540D30">
        <w:rPr>
          <w:rtl/>
          <w:lang w:eastAsia="zh-TW"/>
        </w:rPr>
        <w:t xml:space="preserve"> ولا يحق للشخص المستجوب طلب نسخة من استجوابه. ويرد اعتماد الأنظمة المتعلقة باستخدام وسائل الرقابة والمراقبة في أماكن الاحتجاز في خطة العمل المتعلقة بتنفيذ الاستراتيجية الوطنية لحقوق الإنسان للفترة الممتدة حتى عام ٢٠٢٠. والسجون أو مرافق الاحتجاز هي أساس</w:t>
      </w:r>
      <w:r w:rsidR="00152B44">
        <w:rPr>
          <w:rtl/>
          <w:lang w:eastAsia="zh-TW"/>
        </w:rPr>
        <w:t xml:space="preserve">اً </w:t>
      </w:r>
      <w:r w:rsidR="00540D30">
        <w:rPr>
          <w:rtl/>
          <w:lang w:eastAsia="zh-TW"/>
        </w:rPr>
        <w:t>غير مجهزة بنظم المراقبة بالفيديو.</w:t>
      </w:r>
    </w:p>
    <w:p w:rsidR="00540D30" w:rsidRPr="00D85109" w:rsidRDefault="001F2F4A" w:rsidP="001F2F4A">
      <w:pPr>
        <w:pStyle w:val="H23GA"/>
        <w:rPr>
          <w:rtl/>
        </w:rPr>
      </w:pPr>
      <w:r>
        <w:rPr>
          <w:rtl/>
        </w:rPr>
        <w:tab/>
      </w:r>
      <w:r>
        <w:rPr>
          <w:rtl/>
        </w:rPr>
        <w:tab/>
      </w:r>
      <w:r w:rsidR="00540D30" w:rsidRPr="00D85109">
        <w:rPr>
          <w:rtl/>
        </w:rPr>
        <w:t>تقييم اللجنة</w:t>
      </w:r>
      <w:r w:rsidR="00D85109">
        <w:rPr>
          <w:rFonts w:cs="Times New Roman" w:hint="cs"/>
          <w:rtl/>
        </w:rPr>
        <w:t xml:space="preserve"> </w:t>
      </w:r>
    </w:p>
    <w:p w:rsidR="00540D30" w:rsidRPr="00360BD6" w:rsidRDefault="00540D30" w:rsidP="00540D30">
      <w:pPr>
        <w:pStyle w:val="SingleTxtGA"/>
        <w:rPr>
          <w:rtl/>
          <w:lang w:eastAsia="zh-TW"/>
        </w:rPr>
      </w:pPr>
      <w:r w:rsidRPr="00D85109">
        <w:rPr>
          <w:bCs/>
          <w:rtl/>
          <w:lang w:eastAsia="zh-TW"/>
        </w:rPr>
        <w:t>[جيم]:</w:t>
      </w:r>
      <w:r>
        <w:rPr>
          <w:rtl/>
          <w:lang w:eastAsia="zh-TW"/>
        </w:rPr>
        <w:t xml:space="preserve"> تحيط اللجنة علم</w:t>
      </w:r>
      <w:r w:rsidR="00152B44">
        <w:rPr>
          <w:rtl/>
          <w:lang w:eastAsia="zh-TW"/>
        </w:rPr>
        <w:t xml:space="preserve">اً </w:t>
      </w:r>
      <w:r>
        <w:rPr>
          <w:rtl/>
          <w:lang w:eastAsia="zh-TW"/>
        </w:rPr>
        <w:t>بالمعلومات التي قدمتها الدولة الطرف والمنظمات غير الحكومية على السواء، لكنها تأسف لأن الدولة الطرف لم تقدم معلومات محددة رد</w:t>
      </w:r>
      <w:r w:rsidR="00152B44">
        <w:rPr>
          <w:rtl/>
          <w:lang w:eastAsia="zh-TW"/>
        </w:rPr>
        <w:t xml:space="preserve">اً </w:t>
      </w:r>
      <w:r>
        <w:rPr>
          <w:rtl/>
          <w:lang w:eastAsia="zh-TW"/>
        </w:rPr>
        <w:t xml:space="preserve">على شواغل اللجنة والتوصية المتعلقة بالتحقيق والمقاضاة بشأن التعذيب وسوء المعاملة، في الممارسة العملية، وسبل الانتصاف المتاحة للضحايا. ولذلك، تطلب اللجنة </w:t>
      </w:r>
      <w:dir w:val="rtl">
        <w:r>
          <w:rPr>
            <w:rtl/>
            <w:lang w:eastAsia="zh-TW"/>
          </w:rPr>
          <w:t>معلومات محددة عن التدابير المتخذة لضمان إجراء تحقيقات في أفعال التعذيب وسوء المعاملة بسرعة وشمولية واستقلالية، ومقاضاة مرتكبيها بموجب أحكام جنائية مناسبة ومعاقبتهم بطريقة تتناسب مع خطورة أفعالهم، وإتاحة سبل انتصاف فعالة للضحايا، بما في ذلك تعويضهم تعويضاً مناسباً.</w:t>
        </w:r>
        <w:r>
          <w:rPr>
            <w:rFonts w:cs="Times New Roman" w:hint="cs"/>
            <w:rtl/>
            <w:lang w:eastAsia="zh-TW"/>
          </w:rPr>
          <w:t>‬</w:t>
        </w:r>
        <w:r>
          <w:rPr>
            <w:rtl/>
            <w:lang w:eastAsia="zh-TW"/>
          </w:rPr>
          <w:t xml:space="preserve"> </w:t>
        </w:r>
        <w:r>
          <w:t>‬</w:t>
        </w:r>
        <w:r>
          <w:t>‬</w:t>
        </w:r>
        <w:r>
          <w:t>‬</w:t>
        </w:r>
        <w:r>
          <w:t>‬</w:t>
        </w:r>
        <w:r>
          <w:t>‬</w:t>
        </w:r>
        <w:r>
          <w:t>‬</w:t>
        </w:r>
        <w:r w:rsidR="00DC1DEF">
          <w:t>‬</w:t>
        </w:r>
        <w:r w:rsidR="00BD0320">
          <w:t>‬</w:t>
        </w:r>
        <w:r w:rsidR="00E50C3B">
          <w:t>‬</w:t>
        </w:r>
        <w:r w:rsidR="00D8591B">
          <w:t>‬</w:t>
        </w:r>
      </w:dir>
    </w:p>
    <w:p w:rsidR="00540D30" w:rsidRPr="00360BD6" w:rsidRDefault="00540D30" w:rsidP="00540D30">
      <w:pPr>
        <w:pStyle w:val="SingleTxtGA"/>
        <w:rPr>
          <w:rtl/>
          <w:lang w:eastAsia="zh-TW"/>
        </w:rPr>
      </w:pPr>
      <w:r w:rsidRPr="00D85109">
        <w:rPr>
          <w:bCs/>
          <w:rtl/>
          <w:lang w:eastAsia="zh-TW"/>
        </w:rPr>
        <w:t>[باء]:</w:t>
      </w:r>
      <w:r>
        <w:rPr>
          <w:rtl/>
          <w:lang w:eastAsia="zh-TW"/>
        </w:rPr>
        <w:t xml:space="preserve"> تحيط اللجنة علم</w:t>
      </w:r>
      <w:r w:rsidR="00152B44">
        <w:rPr>
          <w:rtl/>
          <w:lang w:eastAsia="zh-TW"/>
        </w:rPr>
        <w:t xml:space="preserve">اً </w:t>
      </w:r>
      <w:r>
        <w:rPr>
          <w:rtl/>
          <w:lang w:eastAsia="zh-TW"/>
        </w:rPr>
        <w:t>بالتطورات الإيجابية في مكافحة التعذيب وسوء المعاملة. بيد أنها تطلب معلومات عن تنفيذ خطة العمل بشأن مكافحة التعذيب وسوء المعاملة التي تشكل جزء</w:t>
      </w:r>
      <w:r w:rsidR="00152B44">
        <w:rPr>
          <w:rtl/>
          <w:lang w:eastAsia="zh-TW"/>
        </w:rPr>
        <w:t xml:space="preserve">اً </w:t>
      </w:r>
      <w:r>
        <w:rPr>
          <w:rtl/>
          <w:lang w:eastAsia="zh-TW"/>
        </w:rPr>
        <w:t xml:space="preserve">من الاستراتيجية الوطنية لحقوق الإنسان المعدة في ٢٥ آب/أغسطس ٢٠١٥، بما في ذلك وضع مشروع قانون يلغي قوانين </w:t>
      </w:r>
      <w:r w:rsidRPr="004961E3">
        <w:rPr>
          <w:rtl/>
          <w:lang w:eastAsia="zh-TW"/>
        </w:rPr>
        <w:t>التقادم في حالة التعذيب</w:t>
      </w:r>
      <w:r>
        <w:rPr>
          <w:rtl/>
          <w:lang w:eastAsia="zh-TW"/>
        </w:rPr>
        <w:t xml:space="preserve">، واستحداث آلية لتقديم تقارير إحصائية منفصلة عن جرائم التعذيب ونشرها بصورة إلزامية. </w:t>
      </w:r>
    </w:p>
    <w:p w:rsidR="00540D30" w:rsidRPr="00360BD6" w:rsidRDefault="00540D30" w:rsidP="00540D30">
      <w:pPr>
        <w:pStyle w:val="SingleTxtGA"/>
        <w:rPr>
          <w:rtl/>
          <w:lang w:eastAsia="zh-TW"/>
        </w:rPr>
      </w:pPr>
      <w:r w:rsidRPr="00D85109">
        <w:rPr>
          <w:bCs/>
          <w:rtl/>
          <w:lang w:eastAsia="zh-TW"/>
        </w:rPr>
        <w:t>[باء]:</w:t>
      </w:r>
      <w:r>
        <w:rPr>
          <w:rtl/>
          <w:lang w:eastAsia="zh-TW"/>
        </w:rPr>
        <w:t xml:space="preserve"> تحيط اللجنة علم</w:t>
      </w:r>
      <w:r w:rsidR="00152B44">
        <w:rPr>
          <w:rtl/>
          <w:lang w:eastAsia="zh-TW"/>
        </w:rPr>
        <w:t xml:space="preserve">اً </w:t>
      </w:r>
      <w:r>
        <w:rPr>
          <w:rtl/>
          <w:lang w:eastAsia="zh-TW"/>
        </w:rPr>
        <w:t>بالموعد المحدد في 20 تشرين الثاني/نوفمبر ٢٠١٧ لإنشاء آلية مستقلة للتحقيق في حالات التعذيب وسوء المعاملة، على النحو المبين في قانون المكتب الحكومي للتحقيقات الصادر في 12 تشرين الثاني/نوفمبر ٢٠١٥ وتطلب معلومات عن التقدم المحرز في هذا الصدد.</w:t>
      </w:r>
    </w:p>
    <w:p w:rsidR="00540D30" w:rsidRDefault="00540D30" w:rsidP="00540D30">
      <w:pPr>
        <w:pStyle w:val="SingleTxtGA"/>
        <w:rPr>
          <w:rtl/>
          <w:lang w:eastAsia="zh-TW"/>
        </w:rPr>
      </w:pPr>
      <w:r w:rsidRPr="00D85109">
        <w:rPr>
          <w:bCs/>
          <w:rtl/>
          <w:lang w:eastAsia="zh-TW"/>
        </w:rPr>
        <w:t>[جيم]:</w:t>
      </w:r>
      <w:r>
        <w:rPr>
          <w:rtl/>
          <w:lang w:eastAsia="zh-TW"/>
        </w:rPr>
        <w:t xml:space="preserve"> تلاحظ اللجنة أن تسجيل الاستجوابات لا يزال غير إلزامي بموجب تشريعات الإجراءات الجنائية، وتأسف لبيان الدولة الطرف بأن من غير الضروري إدخال تعديلات على تشريعاتها في هذا الخصوص. وتأسف اللجنة أيض</w:t>
      </w:r>
      <w:r w:rsidR="00152B44">
        <w:rPr>
          <w:rtl/>
          <w:lang w:eastAsia="zh-TW"/>
        </w:rPr>
        <w:t xml:space="preserve">اً </w:t>
      </w:r>
      <w:r>
        <w:rPr>
          <w:rtl/>
          <w:lang w:eastAsia="zh-TW"/>
        </w:rPr>
        <w:t xml:space="preserve">لعدم توافر معلومات عن الجهود الرامية إلى تجهيز أماكن سلب الحرية بمعدات التسجيل بالفيديو. وتطلب اللجنة معلومات عن اعتماد أنظمة تتعلق باستخدام وسائل الرقابة والمراقبة في أماكن الاحتجاز على النحو الوارد في خطة العمل المتعلقة بتنفيذ الاستراتيجية الوطنية لحقوق الإنسان للفترة الممتدة حتى عام ٢٠٢٠. وتكرر اللجنة تأكيد توصيتها. </w:t>
      </w:r>
    </w:p>
    <w:tbl>
      <w:tblPr>
        <w:bidiVisual/>
        <w:tblW w:w="7326" w:type="dxa"/>
        <w:tblInd w:w="1261" w:type="dxa"/>
        <w:tblBorders>
          <w:top w:val="single" w:sz="4" w:space="0" w:color="auto"/>
          <w:bottom w:val="single" w:sz="12" w:space="0" w:color="auto"/>
        </w:tblBorders>
        <w:tblLayout w:type="fixed"/>
        <w:tblLook w:val="00A0" w:firstRow="1" w:lastRow="0" w:firstColumn="1" w:lastColumn="0" w:noHBand="0" w:noVBand="0"/>
      </w:tblPr>
      <w:tblGrid>
        <w:gridCol w:w="2497"/>
        <w:gridCol w:w="4829"/>
      </w:tblGrid>
      <w:tr w:rsidR="00D85109" w:rsidRPr="00540D30" w:rsidTr="00FF281A">
        <w:trPr>
          <w:trHeight w:val="240"/>
          <w:tblHeader/>
        </w:trPr>
        <w:tc>
          <w:tcPr>
            <w:tcW w:w="2497"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textDirection w:val="tbRlV"/>
              <w:rPr>
                <w:i/>
                <w:iCs/>
                <w:rtl/>
                <w:lang w:eastAsia="zh-TW"/>
              </w:rPr>
            </w:pPr>
            <w:r w:rsidRPr="00540D30">
              <w:rPr>
                <w:i/>
                <w:iCs/>
                <w:rtl/>
                <w:lang w:eastAsia="zh-TW"/>
              </w:rPr>
              <w:lastRenderedPageBreak/>
              <w:t>أوكرانيا</w:t>
            </w:r>
          </w:p>
        </w:tc>
        <w:tc>
          <w:tcPr>
            <w:tcW w:w="4829"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rPr>
                <w:i/>
              </w:rPr>
            </w:pPr>
          </w:p>
        </w:tc>
      </w:tr>
    </w:tbl>
    <w:p w:rsidR="00540D30" w:rsidRPr="00D85109" w:rsidRDefault="001F2F4A" w:rsidP="001F2F4A">
      <w:pPr>
        <w:pStyle w:val="H23GA"/>
        <w:rPr>
          <w:rtl/>
        </w:rPr>
      </w:pPr>
      <w:r>
        <w:rPr>
          <w:rtl/>
        </w:rPr>
        <w:tab/>
      </w:r>
      <w:r>
        <w:rPr>
          <w:rtl/>
        </w:rPr>
        <w:tab/>
      </w:r>
      <w:dir w:val="rtl">
        <w:r w:rsidR="00540D30" w:rsidRPr="00D85109">
          <w:rPr>
            <w:rtl/>
          </w:rPr>
          <w:t>الفقرة 17</w:t>
        </w:r>
        <w:r w:rsidR="00540D30" w:rsidRPr="00D85109">
          <w:rPr>
            <w:rFonts w:cs="Times New Roman" w:hint="cs"/>
            <w:rtl/>
          </w:rPr>
          <w:t>‬</w:t>
        </w:r>
        <w:r w:rsidR="00540D30" w:rsidRPr="00D85109">
          <w:rPr>
            <w:rtl/>
          </w:rPr>
          <w:t xml:space="preserve"> </w:t>
        </w:r>
        <w:r w:rsidR="00540D30" w:rsidRPr="00D85109">
          <w:t>‬</w:t>
        </w:r>
        <w:r w:rsidR="00540D30" w:rsidRPr="00D85109">
          <w:t>‬</w:t>
        </w:r>
        <w:r w:rsidR="00540D30" w:rsidRPr="00D85109">
          <w:t>‬</w:t>
        </w:r>
        <w:r w:rsidR="00540D30" w:rsidRPr="00D85109">
          <w:t>‬</w:t>
        </w:r>
        <w:r w:rsidR="00540D30" w:rsidRPr="00D85109">
          <w:t>‬</w:t>
        </w:r>
        <w:r w:rsidR="00540D30" w:rsidRPr="00D85109">
          <w:t>‬</w:t>
        </w:r>
        <w:r w:rsidR="00DC1DEF">
          <w:t>‬</w:t>
        </w:r>
        <w:r w:rsidR="00BD0320">
          <w:t>‬</w:t>
        </w:r>
        <w:r w:rsidR="00E50C3B">
          <w:t>‬</w:t>
        </w:r>
        <w:r w:rsidR="00D8591B">
          <w:t>‬</w:t>
        </w:r>
      </w:dir>
    </w:p>
    <w:p w:rsidR="00540D30" w:rsidRPr="00D85109" w:rsidRDefault="00D85109" w:rsidP="001F2F4A">
      <w:pPr>
        <w:pStyle w:val="SingleTxtGA"/>
        <w:spacing w:line="370" w:lineRule="exact"/>
        <w:rPr>
          <w:bCs/>
          <w:rtl/>
          <w:lang w:eastAsia="zh-TW"/>
        </w:rPr>
      </w:pPr>
      <w:r>
        <w:rPr>
          <w:b/>
          <w:rtl/>
          <w:lang w:eastAsia="zh-TW"/>
        </w:rPr>
        <w:tab/>
      </w:r>
      <w:r w:rsidR="00540D30" w:rsidRPr="00D85109">
        <w:rPr>
          <w:bCs/>
          <w:rtl/>
          <w:lang w:eastAsia="zh-TW"/>
        </w:rPr>
        <w:t>ينبغي للدولة الطرف أن تضمن عدم خضوع القضاة لأي شكل من أشكال النفوذ السياسي في اتخاذ القرارات وأن تتسم عملية الإدارة القضائية بالشفافية. وينبغي للدولة الطرف أن تعتمد قانوناً ينص على إجراءات واضحة ومعايير موضوعية لترقية القضاة ووقفهم عن العمل وإقالتهم. وينبغي أن تضمن ألا تشارك سلطات الادعاء في البت في اتخاذ إجراءات تأديبية ضد القضاة وألا تكون الهيئات التأديبية القضائية خاضعة للسلطة التنفيذية وألا تتأثر بأي نفوذ سياسي. وينبغي للدولة الطرف أن تضمن أن تمتثل عمليات المقاضاة بموجب المادة 365 من القانون الجنائي امتثالاً تاماً لمتطلبات العهد.</w:t>
      </w:r>
    </w:p>
    <w:p w:rsidR="00D85109" w:rsidRDefault="001F2F4A" w:rsidP="001F2F4A">
      <w:pPr>
        <w:pStyle w:val="H23GA"/>
        <w:rPr>
          <w:rFonts w:cs="Times New Roman"/>
          <w:rtl/>
        </w:rPr>
      </w:pPr>
      <w:r>
        <w:rPr>
          <w:rtl/>
        </w:rPr>
        <w:tab/>
      </w:r>
      <w:r>
        <w:rPr>
          <w:rtl/>
        </w:rPr>
        <w:tab/>
      </w:r>
      <w:r w:rsidR="00540D30" w:rsidRPr="00D85109">
        <w:rPr>
          <w:rtl/>
        </w:rPr>
        <w:t>ملخص ردّ الدولة الطرف</w:t>
      </w:r>
      <w:r w:rsidR="00D85109">
        <w:rPr>
          <w:rFonts w:cs="Times New Roman" w:hint="cs"/>
          <w:rtl/>
        </w:rPr>
        <w:t xml:space="preserve"> </w:t>
      </w:r>
    </w:p>
    <w:p w:rsidR="00540D30" w:rsidRPr="00D85109" w:rsidRDefault="00D85109" w:rsidP="001F2F4A">
      <w:pPr>
        <w:pStyle w:val="SingleTxtGA"/>
        <w:spacing w:line="360" w:lineRule="exact"/>
        <w:rPr>
          <w:spacing w:val="-2"/>
          <w:rtl/>
          <w:lang w:eastAsia="zh-TW"/>
        </w:rPr>
      </w:pPr>
      <w:r w:rsidRPr="00D85109">
        <w:rPr>
          <w:rFonts w:cs="Times New Roman"/>
          <w:b/>
          <w:bCs/>
          <w:spacing w:val="-2"/>
          <w:rtl/>
          <w:lang w:eastAsia="zh-TW"/>
        </w:rPr>
        <w:tab/>
      </w:r>
      <w:r w:rsidR="00540D30" w:rsidRPr="00D85109">
        <w:rPr>
          <w:spacing w:val="-2"/>
          <w:rtl/>
          <w:lang w:eastAsia="zh-TW"/>
        </w:rPr>
        <w:t xml:space="preserve">اعتمد القانون المتعلق بالحق في محاكمة عادلة في ١٢ شباط/فبراير ٢٠١٥ وهو يهدف إلى وضع إجراءات شفافة وموضوعية لتعيين القضاة وإقالتهم. ويحدد القانون أسباباً دقيقة لمسؤولية القضاة وعدة إجراءات تأديبية، وتركيبة مختلفة للجنة العليا لتأهيل القضاة والمجلس الأعلى للقضاء ويكفل اللجوء إلى العدالة، بما في ذلك الطعون المباشرة المقدمة إلى محكمة التمييز. </w:t>
      </w:r>
    </w:p>
    <w:p w:rsidR="00540D30" w:rsidRPr="001F2F4A" w:rsidRDefault="00D85109" w:rsidP="001F2F4A">
      <w:pPr>
        <w:pStyle w:val="SingleTxtGA"/>
        <w:spacing w:line="360" w:lineRule="exact"/>
        <w:rPr>
          <w:spacing w:val="-2"/>
          <w:rtl/>
          <w:lang w:eastAsia="zh-TW"/>
        </w:rPr>
      </w:pPr>
      <w:r w:rsidRPr="00D85109">
        <w:rPr>
          <w:spacing w:val="-2"/>
          <w:rtl/>
          <w:lang w:eastAsia="zh-TW"/>
        </w:rPr>
        <w:tab/>
      </w:r>
      <w:r w:rsidR="00540D30" w:rsidRPr="00D85109">
        <w:rPr>
          <w:spacing w:val="-2"/>
          <w:rtl/>
          <w:lang w:eastAsia="zh-TW"/>
        </w:rPr>
        <w:t xml:space="preserve">وأحيل القانون إلى لجنة فينيسيا للتعليقات. ويشير الرأي المشترك بين لجنة فينيسيا ومديرية حقوق الإنسان التابعة لمجلس أوروبا بشأن قانون النظام القضائي ومركز القضاة والقانون المتعلق بإدخال تعديلات على قانون المجلس الأعلى للقضاء إلى أن الأحكام الدستورية تتضمن مشاكل تؤثر على استقلال السلطة القضائية أكثر خطورة من القوانين المعنية ويستلزم إجراء تعديلات على </w:t>
      </w:r>
      <w:r w:rsidR="00540D30" w:rsidRPr="001F2F4A">
        <w:rPr>
          <w:spacing w:val="-2"/>
          <w:rtl/>
          <w:lang w:eastAsia="zh-TW"/>
        </w:rPr>
        <w:t>الدستور من أجل جعل النظام القضائي متماشي</w:t>
      </w:r>
      <w:r w:rsidR="00152B44" w:rsidRPr="001F2F4A">
        <w:rPr>
          <w:spacing w:val="-2"/>
          <w:rtl/>
          <w:lang w:eastAsia="zh-TW"/>
        </w:rPr>
        <w:t xml:space="preserve">اً </w:t>
      </w:r>
      <w:r w:rsidR="00540D30" w:rsidRPr="001F2F4A">
        <w:rPr>
          <w:spacing w:val="-2"/>
          <w:rtl/>
          <w:lang w:eastAsia="zh-TW"/>
        </w:rPr>
        <w:t xml:space="preserve">مع المعايير الأوروبية. </w:t>
      </w:r>
      <w:r w:rsidR="005106F7">
        <w:rPr>
          <w:spacing w:val="-2"/>
          <w:rtl/>
          <w:lang w:eastAsia="zh-TW"/>
        </w:rPr>
        <w:t>وعلى وجه الخصوص، ينبغي للبرلمان</w:t>
      </w:r>
      <w:r w:rsidR="005106F7">
        <w:rPr>
          <w:rFonts w:hint="cs"/>
          <w:spacing w:val="-2"/>
          <w:rtl/>
          <w:lang w:eastAsia="zh-TW"/>
        </w:rPr>
        <w:t xml:space="preserve"> </w:t>
      </w:r>
      <w:r w:rsidR="00540D30" w:rsidRPr="001F2F4A">
        <w:rPr>
          <w:spacing w:val="-2"/>
          <w:rtl/>
          <w:lang w:eastAsia="zh-TW"/>
        </w:rPr>
        <w:t xml:space="preserve">الأوكراني (فيركوفنا رادا) ألا يشارك في تعيين القضاة لأجل غير مسمى أو في إقالتهم عن العمل، وينبغي تغيير تشكيل المجلس الأعلى للقضاء لضمان أن يكون جزء كبير من أعضائه إن لم يكن أغلبية الأعضاء قضاة ينتخبهم أقرانهم، وينبغي إلغاء دور البرلمان الأوكراني في رفع الحصانات عن القضاة؛ ويجب إلغاء صلاحيات رئيس الجمهورية في مجالي إنشاء المحاكم وإلغائها. </w:t>
      </w:r>
    </w:p>
    <w:p w:rsidR="00540D30" w:rsidRPr="00D85109" w:rsidRDefault="00D85109" w:rsidP="001F2F4A">
      <w:pPr>
        <w:pStyle w:val="SingleTxtGA"/>
        <w:spacing w:line="360" w:lineRule="exact"/>
        <w:rPr>
          <w:rtl/>
          <w:lang w:eastAsia="zh-TW"/>
        </w:rPr>
      </w:pPr>
      <w:r w:rsidRPr="00D85109">
        <w:rPr>
          <w:rtl/>
          <w:lang w:eastAsia="zh-TW"/>
        </w:rPr>
        <w:tab/>
      </w:r>
      <w:r w:rsidR="00540D30" w:rsidRPr="00D85109">
        <w:rPr>
          <w:rtl/>
          <w:lang w:eastAsia="zh-TW"/>
        </w:rPr>
        <w:t>وقد أغلقت المحكمة العليا القضية الجنائية التي فتحت ضد رئيسة الوزراء السابقة يوليا</w:t>
      </w:r>
      <w:r w:rsidRPr="00D85109">
        <w:rPr>
          <w:rFonts w:hint="cs"/>
          <w:rtl/>
          <w:lang w:eastAsia="zh-TW"/>
        </w:rPr>
        <w:t> </w:t>
      </w:r>
      <w:r w:rsidR="00540D30" w:rsidRPr="00D85109">
        <w:rPr>
          <w:rtl/>
          <w:lang w:eastAsia="zh-TW"/>
        </w:rPr>
        <w:t>تيموشينكو</w:t>
      </w:r>
      <w:r w:rsidRPr="00D85109">
        <w:rPr>
          <w:rtl/>
          <w:lang w:eastAsia="zh-TW"/>
        </w:rPr>
        <w:t xml:space="preserve"> بموجب المادة ٣٦٥</w:t>
      </w:r>
      <w:r w:rsidR="00540D30" w:rsidRPr="00D85109">
        <w:rPr>
          <w:rtl/>
          <w:lang w:eastAsia="zh-TW"/>
        </w:rPr>
        <w:t>(3) من القانون الجنائي في ١٤ نيسان/أبريل ٢٠١٤ لغياب الجريمة. وعدلت المادة ٣٦٥ من القانون الجنائي لمعالجة الشواغل التي أثارتها اللجنة (القانون رقم ٧٤٦-سابعاً المؤرخ ٢١ شباط/فبراير ٢٠١٤ الذي يجعل التشريعات متماشية مع المادة ١٩ من اتفاقية الأمم المتحدة لمكافحة الفساد).</w:t>
      </w:r>
    </w:p>
    <w:p w:rsidR="00540D30" w:rsidRPr="00D85109" w:rsidRDefault="001F2F4A" w:rsidP="001F2F4A">
      <w:pPr>
        <w:pStyle w:val="H23GA"/>
        <w:rPr>
          <w:rtl/>
        </w:rPr>
      </w:pPr>
      <w:r>
        <w:rPr>
          <w:rtl/>
        </w:rPr>
        <w:tab/>
      </w:r>
      <w:r>
        <w:rPr>
          <w:rtl/>
        </w:rPr>
        <w:tab/>
      </w:r>
      <w:r w:rsidR="00540D30" w:rsidRPr="00D85109">
        <w:rPr>
          <w:rtl/>
        </w:rPr>
        <w:t>المعلومات الواردة من المنظمات غير الحكومية</w:t>
      </w:r>
      <w:r w:rsidR="00540D30" w:rsidRPr="00D85109">
        <w:rPr>
          <w:rFonts w:cs="Times New Roman" w:hint="cs"/>
          <w:rtl/>
        </w:rPr>
        <w:t>‬</w:t>
      </w:r>
      <w:r w:rsidR="00540D30" w:rsidRPr="00D85109">
        <w:rPr>
          <w:rtl/>
        </w:rPr>
        <w:t xml:space="preserve"> </w:t>
      </w:r>
    </w:p>
    <w:p w:rsidR="00540D30" w:rsidRPr="00D85109" w:rsidRDefault="001F2F4A" w:rsidP="001F2F4A">
      <w:pPr>
        <w:pStyle w:val="H4GA"/>
        <w:rPr>
          <w:rtl/>
          <w:lang w:eastAsia="zh-TW"/>
        </w:rPr>
      </w:pPr>
      <w:r>
        <w:rPr>
          <w:rtl/>
          <w:lang w:eastAsia="zh-TW"/>
        </w:rPr>
        <w:tab/>
      </w:r>
      <w:r>
        <w:rPr>
          <w:rtl/>
          <w:lang w:eastAsia="zh-TW"/>
        </w:rPr>
        <w:tab/>
      </w:r>
      <w:r w:rsidR="00540D30" w:rsidRPr="00D85109">
        <w:rPr>
          <w:rtl/>
          <w:lang w:eastAsia="zh-TW"/>
        </w:rPr>
        <w:t>مركز السياسات والإصلاحات القانونية، ومؤسسة دار حقوق الإنسان</w:t>
      </w:r>
    </w:p>
    <w:p w:rsidR="00D85109" w:rsidRDefault="00D85109" w:rsidP="001F2F4A">
      <w:pPr>
        <w:pStyle w:val="SingleTxtGA"/>
        <w:spacing w:line="370" w:lineRule="exact"/>
        <w:rPr>
          <w:rtl/>
          <w:lang w:eastAsia="zh-TW"/>
        </w:rPr>
      </w:pPr>
      <w:r>
        <w:rPr>
          <w:rtl/>
          <w:lang w:eastAsia="zh-TW"/>
        </w:rPr>
        <w:tab/>
      </w:r>
      <w:r w:rsidR="00540D30">
        <w:rPr>
          <w:rtl/>
          <w:lang w:eastAsia="zh-TW"/>
        </w:rPr>
        <w:t>يتضمن القانون المتعلق بالحق في محاكمة عادلة المؤرخ ١٢ شباط/فبراير ٢٠١٥ عدد</w:t>
      </w:r>
      <w:r w:rsidR="00152B44">
        <w:rPr>
          <w:rtl/>
          <w:lang w:eastAsia="zh-TW"/>
        </w:rPr>
        <w:t xml:space="preserve">اً </w:t>
      </w:r>
      <w:r w:rsidR="00540D30">
        <w:rPr>
          <w:rtl/>
          <w:lang w:eastAsia="zh-TW"/>
        </w:rPr>
        <w:t xml:space="preserve">من الأحكام الإيجابية، بما في ذلك إجراء تنافسي لاختيار القضاة وأعضاء المجلس الأعلى للقضاء ولجنة الكفاءات العليا للقضاة </w:t>
      </w:r>
      <w:r w:rsidR="00540D30" w:rsidRPr="00A763B7">
        <w:rPr>
          <w:rtl/>
          <w:lang w:eastAsia="zh-TW"/>
        </w:rPr>
        <w:t xml:space="preserve">والطعون المباشرة في أحكام محاكم درجة أعلى أمام </w:t>
      </w:r>
      <w:r>
        <w:rPr>
          <w:rtl/>
          <w:lang w:eastAsia="zh-TW"/>
        </w:rPr>
        <w:br/>
      </w:r>
    </w:p>
    <w:tbl>
      <w:tblPr>
        <w:bidiVisual/>
        <w:tblW w:w="7335" w:type="dxa"/>
        <w:tblInd w:w="1252" w:type="dxa"/>
        <w:tblBorders>
          <w:top w:val="single" w:sz="4" w:space="0" w:color="auto"/>
          <w:bottom w:val="single" w:sz="12" w:space="0" w:color="auto"/>
        </w:tblBorders>
        <w:tblLayout w:type="fixed"/>
        <w:tblLook w:val="00A0" w:firstRow="1" w:lastRow="0" w:firstColumn="1" w:lastColumn="0" w:noHBand="0" w:noVBand="0"/>
      </w:tblPr>
      <w:tblGrid>
        <w:gridCol w:w="2506"/>
        <w:gridCol w:w="4829"/>
      </w:tblGrid>
      <w:tr w:rsidR="00D85109" w:rsidRPr="00540D30" w:rsidTr="00FF281A">
        <w:trPr>
          <w:trHeight w:val="240"/>
          <w:tblHeader/>
        </w:trPr>
        <w:tc>
          <w:tcPr>
            <w:tcW w:w="2506"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textDirection w:val="tbRlV"/>
              <w:rPr>
                <w:i/>
                <w:iCs/>
                <w:rtl/>
                <w:lang w:eastAsia="zh-TW"/>
              </w:rPr>
            </w:pPr>
            <w:r w:rsidRPr="00540D30">
              <w:rPr>
                <w:i/>
                <w:iCs/>
                <w:rtl/>
                <w:lang w:eastAsia="zh-TW"/>
              </w:rPr>
              <w:lastRenderedPageBreak/>
              <w:t>أوكرانيا</w:t>
            </w:r>
          </w:p>
        </w:tc>
        <w:tc>
          <w:tcPr>
            <w:tcW w:w="4829"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rPr>
                <w:i/>
              </w:rPr>
            </w:pPr>
          </w:p>
        </w:tc>
      </w:tr>
    </w:tbl>
    <w:p w:rsidR="00540D30" w:rsidRPr="00360BD6" w:rsidRDefault="00540D30" w:rsidP="00540D30">
      <w:pPr>
        <w:pStyle w:val="SingleTxtGA"/>
        <w:rPr>
          <w:rtl/>
          <w:lang w:eastAsia="zh-TW"/>
        </w:rPr>
      </w:pPr>
      <w:r w:rsidRPr="00A763B7">
        <w:rPr>
          <w:rtl/>
          <w:lang w:val="ru-RU" w:eastAsia="zh-TW" w:bidi="ar-DZ"/>
        </w:rPr>
        <w:t>محكمة التمييز</w:t>
      </w:r>
      <w:r w:rsidRPr="00A763B7">
        <w:rPr>
          <w:rtl/>
          <w:lang w:eastAsia="zh-TW"/>
        </w:rPr>
        <w:t xml:space="preserve"> وتوسيع </w:t>
      </w:r>
      <w:r>
        <w:rPr>
          <w:rtl/>
          <w:lang w:eastAsia="zh-TW"/>
        </w:rPr>
        <w:t xml:space="preserve">نطاق الأسس التي تستند إليها هذه الطعون، وتنفيذ نظام لتقييم القضاة بانتظام من جانب مختلف الجهات الفاعلة، وفرض ست عقوبات تأديبية عوضاً عن اثنين. ومع ذلك، يتمثل الخلل الرئيسي في القانون في أنه يحافظ على </w:t>
      </w:r>
      <w:r w:rsidRPr="005C2F19">
        <w:rPr>
          <w:rtl/>
          <w:lang w:eastAsia="zh-TW"/>
        </w:rPr>
        <w:t xml:space="preserve">ممارسة نفوذ سياسي على القضاة أي أن القرارات النهائية بشأن تعيين القضاة ومسلكهم الوظيفي وإقالتهم، </w:t>
      </w:r>
      <w:r w:rsidR="0043010E">
        <w:rPr>
          <w:rtl/>
          <w:lang w:eastAsia="zh-TW"/>
        </w:rPr>
        <w:t>لا تزال</w:t>
      </w:r>
      <w:r w:rsidRPr="005C2F19">
        <w:rPr>
          <w:rtl/>
          <w:lang w:eastAsia="zh-TW"/>
        </w:rPr>
        <w:t xml:space="preserve"> بين أيدي رئيس الجمهورية</w:t>
      </w:r>
      <w:r>
        <w:rPr>
          <w:rtl/>
          <w:lang w:eastAsia="zh-TW"/>
        </w:rPr>
        <w:t xml:space="preserve"> والبرلمان. </w:t>
      </w:r>
    </w:p>
    <w:p w:rsidR="00540D30" w:rsidRPr="00360BD6" w:rsidRDefault="00D85109" w:rsidP="00540D30">
      <w:pPr>
        <w:pStyle w:val="SingleTxtGA"/>
        <w:rPr>
          <w:rtl/>
          <w:lang w:eastAsia="zh-TW"/>
        </w:rPr>
      </w:pPr>
      <w:r>
        <w:rPr>
          <w:rtl/>
          <w:lang w:eastAsia="zh-TW"/>
        </w:rPr>
        <w:tab/>
      </w:r>
      <w:r w:rsidR="00540D30">
        <w:rPr>
          <w:rtl/>
          <w:lang w:eastAsia="zh-TW"/>
        </w:rPr>
        <w:t>ويتأثر استقلال القضاة سلب</w:t>
      </w:r>
      <w:r w:rsidR="00152B44">
        <w:rPr>
          <w:rtl/>
          <w:lang w:eastAsia="zh-TW"/>
        </w:rPr>
        <w:t xml:space="preserve">اً </w:t>
      </w:r>
      <w:r w:rsidR="00540D30">
        <w:rPr>
          <w:rtl/>
          <w:lang w:eastAsia="zh-TW"/>
        </w:rPr>
        <w:t>من جراء عدم وجود معايير محد</w:t>
      </w:r>
      <w:r w:rsidR="00A501A7">
        <w:rPr>
          <w:rtl/>
          <w:lang w:eastAsia="zh-TW"/>
        </w:rPr>
        <w:t xml:space="preserve">دة لتقييمهم عند اتخاذ قرار </w:t>
      </w:r>
      <w:r w:rsidR="00A501A7" w:rsidRPr="00A501A7">
        <w:rPr>
          <w:spacing w:val="-4"/>
          <w:rtl/>
          <w:lang w:eastAsia="zh-TW"/>
        </w:rPr>
        <w:t>بشأن</w:t>
      </w:r>
      <w:r w:rsidR="00540D30" w:rsidRPr="00A501A7">
        <w:rPr>
          <w:spacing w:val="-4"/>
          <w:rtl/>
          <w:lang w:eastAsia="zh-TW"/>
        </w:rPr>
        <w:t xml:space="preserve"> ترقيتهم الوظيفية. واحتفظ أيضاً بالأحكام التي تجعل القضاة يعتمدون على السل</w:t>
      </w:r>
      <w:r w:rsidRPr="00A501A7">
        <w:rPr>
          <w:spacing w:val="-4"/>
          <w:rtl/>
          <w:lang w:eastAsia="zh-TW"/>
        </w:rPr>
        <w:t>طات المحلية</w:t>
      </w:r>
      <w:r>
        <w:rPr>
          <w:rtl/>
          <w:lang w:eastAsia="zh-TW"/>
        </w:rPr>
        <w:t xml:space="preserve"> (أماكن إقامة حكومية</w:t>
      </w:r>
      <w:r w:rsidR="00540D30">
        <w:rPr>
          <w:rtl/>
          <w:lang w:eastAsia="zh-TW"/>
        </w:rPr>
        <w:t>) ودائرة الأمن (</w:t>
      </w:r>
      <w:r w:rsidR="00540D30" w:rsidRPr="00A763B7">
        <w:rPr>
          <w:rtl/>
          <w:lang w:eastAsia="zh-TW"/>
        </w:rPr>
        <w:t>رسوم إضافية للحصول على أسرار الدولة</w:t>
      </w:r>
      <w:r w:rsidR="00540D30">
        <w:rPr>
          <w:rtl/>
          <w:lang w:eastAsia="zh-TW"/>
        </w:rPr>
        <w:t xml:space="preserve">). </w:t>
      </w:r>
    </w:p>
    <w:p w:rsidR="00540D30" w:rsidRPr="00D85109" w:rsidRDefault="00D85109" w:rsidP="00540D30">
      <w:pPr>
        <w:pStyle w:val="SingleTxtGA"/>
        <w:rPr>
          <w:rtl/>
          <w:lang w:eastAsia="zh-TW"/>
        </w:rPr>
      </w:pPr>
      <w:r w:rsidRPr="00D85109">
        <w:rPr>
          <w:rtl/>
          <w:lang w:eastAsia="zh-TW"/>
        </w:rPr>
        <w:tab/>
      </w:r>
      <w:r w:rsidR="00540D30" w:rsidRPr="00D85109">
        <w:rPr>
          <w:rtl/>
          <w:lang w:eastAsia="zh-TW"/>
        </w:rPr>
        <w:t>وقدم مشروع قانون لتعديل الدستور إلى البرلمان في 25 تشرين الثاني/نوفمبر ٢٠١٥. ويدخل القانون عدداً من المعايير الأوروبية فيما يتعلق بتعيين القضاة الدائمين، بما في ذلك تجريد البرلمان من سلطة تعيين القضاة وعزلهم، و</w:t>
      </w:r>
      <w:r w:rsidR="00540D30" w:rsidRPr="00D85109">
        <w:rPr>
          <w:rtl/>
          <w:lang w:val="ru-RU" w:eastAsia="zh-TW" w:bidi="ar-DZ"/>
        </w:rPr>
        <w:t xml:space="preserve">إنشاء </w:t>
      </w:r>
      <w:r w:rsidR="00540D30" w:rsidRPr="00D85109">
        <w:rPr>
          <w:rtl/>
          <w:lang w:eastAsia="zh-TW"/>
        </w:rPr>
        <w:t>مجلس أعلى للقضاء يتألف في معظمه من القضاة، وجعل الحصانة القضائية مقصورة على الحصانة الوظيفية. و</w:t>
      </w:r>
      <w:r w:rsidR="0043010E">
        <w:rPr>
          <w:rtl/>
          <w:lang w:eastAsia="zh-TW"/>
        </w:rPr>
        <w:t>لا يزال</w:t>
      </w:r>
      <w:r w:rsidR="00540D30" w:rsidRPr="00D85109">
        <w:rPr>
          <w:rtl/>
          <w:lang w:eastAsia="zh-TW"/>
        </w:rPr>
        <w:t xml:space="preserve"> مشروع القانون يتضمن بعض الأحكام الإشكالية، مثل آلية سياسية لتعيين المدعي العام وإقالته. وعولجت تعليقات لجنة فينيسيا إلى حد كبير في المشروع النهائي. وحظي مشروع القانون بالموافقة الأولية من البرلمان في ٢ شباط/فبراير ٢٠١٦.</w:t>
      </w:r>
    </w:p>
    <w:p w:rsidR="00540D30" w:rsidRPr="00360BD6" w:rsidRDefault="00D85109" w:rsidP="00540D30">
      <w:pPr>
        <w:pStyle w:val="SingleTxtGA"/>
        <w:rPr>
          <w:rtl/>
          <w:lang w:eastAsia="zh-TW"/>
        </w:rPr>
      </w:pPr>
      <w:r>
        <w:rPr>
          <w:rtl/>
          <w:lang w:eastAsia="zh-TW"/>
        </w:rPr>
        <w:tab/>
      </w:r>
      <w:r w:rsidR="00540D30">
        <w:rPr>
          <w:rtl/>
          <w:lang w:eastAsia="zh-TW"/>
        </w:rPr>
        <w:t>ويقلل قانون الإجراءات الجنائية المعتمد في عام 2012 من احتمال تكرار التحيز السياسي. ولم يدخل القانون الجديد المتعلق بدائرة الادعاء، الذي أقر في 14 تشرين الأول/</w:t>
      </w:r>
      <w:r w:rsidR="00A501A7">
        <w:rPr>
          <w:rFonts w:hint="cs"/>
          <w:rtl/>
          <w:lang w:eastAsia="zh-TW"/>
        </w:rPr>
        <w:t xml:space="preserve"> </w:t>
      </w:r>
      <w:r w:rsidR="00540D30">
        <w:rPr>
          <w:rtl/>
          <w:lang w:eastAsia="zh-TW"/>
        </w:rPr>
        <w:t>أكتوبر ٢٠١٤ حيز النفاذ بالكامل بعد الأمر الذي يؤدي إلى إصلاح غير كامل لسلطات الادعاء، ولذلك فإن القضاة لا يزالون عرضة للنفوذ السياسي.</w:t>
      </w:r>
    </w:p>
    <w:p w:rsidR="00540D30" w:rsidRPr="00D85109" w:rsidRDefault="00D85109" w:rsidP="00540D30">
      <w:pPr>
        <w:pStyle w:val="SingleTxtGA"/>
        <w:rPr>
          <w:rtl/>
          <w:lang w:eastAsia="zh-TW"/>
        </w:rPr>
      </w:pPr>
      <w:r>
        <w:rPr>
          <w:rtl/>
          <w:lang w:eastAsia="zh-TW"/>
        </w:rPr>
        <w:tab/>
      </w:r>
      <w:r w:rsidR="00540D30" w:rsidRPr="00D85109">
        <w:rPr>
          <w:rtl/>
          <w:lang w:eastAsia="zh-TW"/>
        </w:rPr>
        <w:t>وأفرج عن رئيسة الوزراء السابقة، يوليا تيموشينكو، استناد</w:t>
      </w:r>
      <w:r w:rsidR="00152B44">
        <w:rPr>
          <w:rtl/>
          <w:lang w:eastAsia="zh-TW"/>
        </w:rPr>
        <w:t xml:space="preserve">اً </w:t>
      </w:r>
      <w:r w:rsidR="00540D30" w:rsidRPr="00D85109">
        <w:rPr>
          <w:rtl/>
          <w:lang w:eastAsia="zh-TW"/>
        </w:rPr>
        <w:t>إلى قرار البرلمان فيركوفنا رادا في ٢٢ شباط/فبراير ٢٠١٤. و</w:t>
      </w:r>
      <w:r w:rsidR="0043010E">
        <w:rPr>
          <w:rtl/>
          <w:lang w:eastAsia="zh-TW"/>
        </w:rPr>
        <w:t>لا تزال</w:t>
      </w:r>
      <w:r w:rsidR="00540D30" w:rsidRPr="00D85109">
        <w:rPr>
          <w:rtl/>
          <w:lang w:eastAsia="zh-TW"/>
        </w:rPr>
        <w:t xml:space="preserve"> مشكلة المقاضاة الانتقائية ذات الدوافع السياسية وجيهة بالنسبة إلى نظام العدالة الجنائية.</w:t>
      </w:r>
    </w:p>
    <w:p w:rsidR="00540D30" w:rsidRPr="00D85109" w:rsidRDefault="001F2F4A" w:rsidP="001F2F4A">
      <w:pPr>
        <w:pStyle w:val="H23GA"/>
        <w:rPr>
          <w:rtl/>
        </w:rPr>
      </w:pPr>
      <w:r>
        <w:rPr>
          <w:rtl/>
        </w:rPr>
        <w:tab/>
      </w:r>
      <w:r>
        <w:rPr>
          <w:rtl/>
        </w:rPr>
        <w:tab/>
      </w:r>
      <w:r w:rsidR="00540D30" w:rsidRPr="00D85109">
        <w:rPr>
          <w:rtl/>
        </w:rPr>
        <w:t>تقييم اللجنة</w:t>
      </w:r>
      <w:r w:rsidR="00D85109">
        <w:rPr>
          <w:rFonts w:cs="Times New Roman" w:hint="cs"/>
          <w:rtl/>
        </w:rPr>
        <w:t xml:space="preserve"> </w:t>
      </w:r>
    </w:p>
    <w:p w:rsidR="00540D30" w:rsidRPr="00360BD6" w:rsidRDefault="00540D30" w:rsidP="00540D30">
      <w:pPr>
        <w:pStyle w:val="SingleTxtGA"/>
        <w:rPr>
          <w:rtl/>
          <w:lang w:eastAsia="zh-TW"/>
        </w:rPr>
      </w:pPr>
      <w:r w:rsidRPr="00D85109">
        <w:rPr>
          <w:bCs/>
          <w:rtl/>
          <w:lang w:eastAsia="zh-TW"/>
        </w:rPr>
        <w:t>[باء]:</w:t>
      </w:r>
      <w:r>
        <w:rPr>
          <w:rtl/>
          <w:lang w:eastAsia="zh-TW"/>
        </w:rPr>
        <w:t xml:space="preserve"> تعرب اللجنة عن تقديرها للتدابير المتخذة لضمان استقلال السلطة القضائية، بما في ذلك الجهود المبذولة لتعديل الدستور واعتماد القانون المتعلق بمكتب الادعاء والقانون المتعلق بالحق في محاكمة عادلة في ١٤ تشرين الأول/أكتوبر ٢٠١٤ و١٢ شباط/فبراير ٢٠١٥، على التوالي. وتطلب اللجنة الحصول على المزيد من المعلومات عن مضمون هذه الأحكام وتنفيذها، وعن مدى </w:t>
      </w:r>
      <w:r w:rsidRPr="00D85109">
        <w:rPr>
          <w:rtl/>
          <w:lang w:eastAsia="zh-TW"/>
        </w:rPr>
        <w:t>إزالة</w:t>
      </w:r>
      <w:r>
        <w:rPr>
          <w:rtl/>
          <w:lang w:eastAsia="zh-TW"/>
        </w:rPr>
        <w:t xml:space="preserve"> التدخلات السياسية في السلطة القضائية وخضوع عمليات تعيين القضاة وترقيتهم ووقفهم عن العمل وفصلهم منه لمعايير واضحة وموضوعية. </w:t>
      </w:r>
    </w:p>
    <w:p w:rsidR="00540D30" w:rsidRDefault="00540D30" w:rsidP="00152B44">
      <w:pPr>
        <w:pStyle w:val="SingleTxtGA"/>
        <w:rPr>
          <w:rtl/>
          <w:lang w:eastAsia="zh-TW"/>
        </w:rPr>
      </w:pPr>
      <w:r w:rsidRPr="00D85109">
        <w:rPr>
          <w:bCs/>
          <w:rtl/>
          <w:lang w:eastAsia="zh-TW"/>
        </w:rPr>
        <w:t>[باء]:</w:t>
      </w:r>
      <w:r>
        <w:rPr>
          <w:rtl/>
          <w:lang w:eastAsia="zh-TW"/>
        </w:rPr>
        <w:t xml:space="preserve"> ترحب اللجنة بإغلاق ال</w:t>
      </w:r>
      <w:r>
        <w:rPr>
          <w:rtl/>
          <w:lang w:val="ru-RU" w:eastAsia="zh-TW" w:bidi="ar-DZ"/>
        </w:rPr>
        <w:t>قضية</w:t>
      </w:r>
      <w:r>
        <w:rPr>
          <w:rtl/>
          <w:lang w:eastAsia="zh-TW"/>
        </w:rPr>
        <w:t xml:space="preserve"> الجنائية ضد رئيسة الوزراء السابقة، يوليا تيموشينكو، إلا</w:t>
      </w:r>
      <w:r w:rsidR="00152B44">
        <w:rPr>
          <w:rFonts w:hint="cs"/>
          <w:rtl/>
          <w:lang w:eastAsia="zh-TW"/>
        </w:rPr>
        <w:t> </w:t>
      </w:r>
      <w:r>
        <w:rPr>
          <w:rtl/>
          <w:lang w:eastAsia="zh-TW"/>
        </w:rPr>
        <w:t xml:space="preserve">أنها تطلب معلومات إضافية بشأن التعديلات على المادة 365 من القانون الجنائي التي أدخلت بموجب القانون رقم ٧٤٦-سابعاً الصادر في 21 شباط/فبراير ٢٠١٤، وبشأن أي جهود أخرى لمنع عمليات المقاضاة ذات الدوافع السياسية. </w:t>
      </w:r>
    </w:p>
    <w:tbl>
      <w:tblPr>
        <w:bidiVisual/>
        <w:tblW w:w="7347" w:type="dxa"/>
        <w:tblInd w:w="1240" w:type="dxa"/>
        <w:tblBorders>
          <w:top w:val="single" w:sz="4" w:space="0" w:color="auto"/>
          <w:bottom w:val="single" w:sz="12" w:space="0" w:color="auto"/>
        </w:tblBorders>
        <w:tblLayout w:type="fixed"/>
        <w:tblLook w:val="00A0" w:firstRow="1" w:lastRow="0" w:firstColumn="1" w:lastColumn="0" w:noHBand="0" w:noVBand="0"/>
      </w:tblPr>
      <w:tblGrid>
        <w:gridCol w:w="2518"/>
        <w:gridCol w:w="4829"/>
      </w:tblGrid>
      <w:tr w:rsidR="00D85109" w:rsidRPr="00540D30" w:rsidTr="00FF281A">
        <w:trPr>
          <w:trHeight w:val="240"/>
          <w:tblHeader/>
        </w:trPr>
        <w:tc>
          <w:tcPr>
            <w:tcW w:w="2518" w:type="dxa"/>
            <w:tcBorders>
              <w:top w:val="single" w:sz="4" w:space="0" w:color="auto"/>
              <w:bottom w:val="single" w:sz="12" w:space="0" w:color="auto"/>
            </w:tcBorders>
            <w:shd w:val="clear" w:color="auto" w:fill="auto"/>
            <w:vAlign w:val="bottom"/>
          </w:tcPr>
          <w:p w:rsidR="00D85109" w:rsidRPr="00540D30" w:rsidRDefault="00D85109" w:rsidP="00FF281A">
            <w:pPr>
              <w:pageBreakBefore/>
              <w:spacing w:after="120" w:line="320" w:lineRule="exact"/>
              <w:ind w:left="33"/>
              <w:textDirection w:val="tbRlV"/>
              <w:rPr>
                <w:i/>
                <w:iCs/>
                <w:rtl/>
                <w:lang w:eastAsia="zh-TW"/>
              </w:rPr>
            </w:pPr>
            <w:r w:rsidRPr="00540D30">
              <w:rPr>
                <w:i/>
                <w:iCs/>
                <w:rtl/>
                <w:lang w:eastAsia="zh-TW"/>
              </w:rPr>
              <w:lastRenderedPageBreak/>
              <w:t>أوكرانيا</w:t>
            </w:r>
          </w:p>
        </w:tc>
        <w:tc>
          <w:tcPr>
            <w:tcW w:w="4829" w:type="dxa"/>
            <w:tcBorders>
              <w:top w:val="single" w:sz="4" w:space="0" w:color="auto"/>
              <w:bottom w:val="single" w:sz="12" w:space="0" w:color="auto"/>
            </w:tcBorders>
            <w:shd w:val="clear" w:color="auto" w:fill="auto"/>
            <w:vAlign w:val="bottom"/>
          </w:tcPr>
          <w:p w:rsidR="00D85109" w:rsidRPr="00540D30" w:rsidRDefault="00D85109" w:rsidP="001F2F4A">
            <w:pPr>
              <w:pageBreakBefore/>
              <w:spacing w:after="120" w:line="320" w:lineRule="exact"/>
              <w:rPr>
                <w:i/>
              </w:rPr>
            </w:pPr>
          </w:p>
        </w:tc>
      </w:tr>
    </w:tbl>
    <w:p w:rsidR="00540D30" w:rsidRPr="00360BD6" w:rsidRDefault="00540D30" w:rsidP="00540D30">
      <w:pPr>
        <w:pStyle w:val="SingleTxtGA"/>
        <w:rPr>
          <w:rtl/>
          <w:lang w:eastAsia="zh-TW"/>
        </w:rPr>
      </w:pPr>
      <w:r w:rsidRPr="00D85109">
        <w:rPr>
          <w:bCs/>
          <w:rtl/>
          <w:lang w:eastAsia="zh-TW"/>
        </w:rPr>
        <w:t>الإجراء الموصى به</w:t>
      </w:r>
      <w:r>
        <w:rPr>
          <w:rtl/>
          <w:lang w:eastAsia="zh-TW"/>
        </w:rPr>
        <w:t>: ينبغي توجيه رسالة إلى الدولة الطرف لإبلاغها بوقف إجراء المتابعة. وينبغي إدراج المعلومات المطلوبة في التقرير الدوري المقبل للدولة الطرف.</w:t>
      </w:r>
    </w:p>
    <w:p w:rsidR="00540D30" w:rsidRDefault="00540D30" w:rsidP="00026EAB">
      <w:pPr>
        <w:pStyle w:val="SingleTxtGA"/>
        <w:spacing w:after="0"/>
        <w:rPr>
          <w:rtl/>
          <w:lang w:eastAsia="zh-TW"/>
        </w:rPr>
      </w:pPr>
      <w:r w:rsidRPr="00D85109">
        <w:rPr>
          <w:bCs/>
          <w:rtl/>
          <w:lang w:eastAsia="zh-TW"/>
        </w:rPr>
        <w:t>التقرير الدوري المقبل:</w:t>
      </w:r>
      <w:r>
        <w:rPr>
          <w:rtl/>
          <w:lang w:eastAsia="zh-TW"/>
        </w:rPr>
        <w:t xml:space="preserve"> ٢٦ تموز/يوليه ٢٠١٨</w:t>
      </w:r>
    </w:p>
    <w:p w:rsidR="00026EAB" w:rsidRPr="00360BD6" w:rsidRDefault="00026EAB" w:rsidP="00026EAB">
      <w:pPr>
        <w:pStyle w:val="SingleTxtGA"/>
        <w:pBdr>
          <w:bottom w:val="single" w:sz="12" w:space="1" w:color="auto"/>
        </w:pBdr>
        <w:spacing w:after="360" w:line="180" w:lineRule="exact"/>
        <w:rPr>
          <w:rtl/>
          <w:lang w:eastAsia="zh-TW"/>
        </w:rPr>
      </w:pPr>
    </w:p>
    <w:p w:rsidR="00540D30" w:rsidRPr="004478D8" w:rsidRDefault="00D85109" w:rsidP="00D85109">
      <w:pPr>
        <w:pStyle w:val="H1GA"/>
        <w:rPr>
          <w:rtl/>
          <w:lang w:eastAsia="zh-TW"/>
        </w:rPr>
      </w:pPr>
      <w:r>
        <w:rPr>
          <w:rtl/>
          <w:lang w:eastAsia="zh-TW"/>
        </w:rPr>
        <w:tab/>
      </w:r>
      <w:r>
        <w:rPr>
          <w:rtl/>
          <w:lang w:eastAsia="zh-TW"/>
        </w:rPr>
        <w:tab/>
      </w:r>
      <w:r w:rsidR="00540D30" w:rsidRPr="004478D8">
        <w:rPr>
          <w:rtl/>
          <w:lang w:eastAsia="zh-TW"/>
        </w:rPr>
        <w:t>الدورة 111 (تموز/يوليه 2014)</w:t>
      </w:r>
      <w:r w:rsidR="00540D30" w:rsidRPr="004478D8">
        <w:rPr>
          <w:rFonts w:cs="Times New Roman" w:hint="cs"/>
          <w:rtl/>
          <w:lang w:eastAsia="zh-TW"/>
        </w:rPr>
        <w:t>‬</w:t>
      </w:r>
    </w:p>
    <w:tbl>
      <w:tblPr>
        <w:bidiVisual/>
        <w:tblW w:w="7321" w:type="dxa"/>
        <w:jc w:val="center"/>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61"/>
        <w:gridCol w:w="5560"/>
      </w:tblGrid>
      <w:tr w:rsidR="00540D30" w:rsidRPr="00B545F8" w:rsidTr="00C63586">
        <w:trPr>
          <w:trHeight w:val="240"/>
          <w:tblHeader/>
          <w:jc w:val="center"/>
        </w:trPr>
        <w:tc>
          <w:tcPr>
            <w:tcW w:w="7321" w:type="dxa"/>
            <w:gridSpan w:val="2"/>
            <w:tcBorders>
              <w:top w:val="single" w:sz="4" w:space="0" w:color="auto"/>
              <w:bottom w:val="single" w:sz="12" w:space="0" w:color="auto"/>
            </w:tcBorders>
            <w:shd w:val="clear" w:color="auto" w:fill="auto"/>
            <w:tcMar>
              <w:left w:w="108" w:type="dxa"/>
              <w:right w:w="108" w:type="dxa"/>
            </w:tcMar>
            <w:vAlign w:val="bottom"/>
          </w:tcPr>
          <w:p w:rsidR="00540D30" w:rsidRPr="00B545F8" w:rsidRDefault="00540D30" w:rsidP="00FF281A">
            <w:pPr>
              <w:spacing w:after="120" w:line="320" w:lineRule="exact"/>
              <w:ind w:left="5"/>
              <w:jc w:val="both"/>
              <w:textDirection w:val="tbRlV"/>
              <w:rPr>
                <w:i/>
                <w:iCs/>
                <w:sz w:val="16"/>
                <w:rtl/>
                <w:lang w:eastAsia="zh-TW"/>
              </w:rPr>
            </w:pPr>
            <w:r w:rsidRPr="00B545F8">
              <w:rPr>
                <w:i/>
                <w:iCs/>
                <w:rtl/>
                <w:lang w:eastAsia="zh-TW"/>
              </w:rPr>
              <w:t>ملاوي</w:t>
            </w:r>
          </w:p>
        </w:tc>
      </w:tr>
      <w:tr w:rsidR="00540D30" w:rsidRPr="00B545F8" w:rsidTr="00C63586">
        <w:trPr>
          <w:trHeight w:hRule="exact" w:val="113"/>
          <w:tblHeader/>
          <w:jc w:val="center"/>
        </w:trPr>
        <w:tc>
          <w:tcPr>
            <w:tcW w:w="1761" w:type="dxa"/>
            <w:tcBorders>
              <w:top w:val="single" w:sz="12" w:space="0" w:color="auto"/>
            </w:tcBorders>
            <w:shd w:val="clear" w:color="auto" w:fill="auto"/>
            <w:tcMar>
              <w:left w:w="108" w:type="dxa"/>
              <w:right w:w="108" w:type="dxa"/>
            </w:tcMar>
          </w:tcPr>
          <w:p w:rsidR="00540D30" w:rsidRPr="00B545F8" w:rsidRDefault="00540D30" w:rsidP="00D85109">
            <w:pPr>
              <w:spacing w:after="120" w:line="380" w:lineRule="exact"/>
              <w:jc w:val="both"/>
            </w:pPr>
          </w:p>
        </w:tc>
        <w:tc>
          <w:tcPr>
            <w:tcW w:w="5560" w:type="dxa"/>
            <w:tcBorders>
              <w:top w:val="single" w:sz="12" w:space="0" w:color="auto"/>
            </w:tcBorders>
            <w:shd w:val="clear" w:color="auto" w:fill="auto"/>
            <w:tcMar>
              <w:left w:w="108" w:type="dxa"/>
              <w:right w:w="108" w:type="dxa"/>
            </w:tcMar>
          </w:tcPr>
          <w:p w:rsidR="00540D30" w:rsidRPr="00B545F8" w:rsidRDefault="00540D30" w:rsidP="00D85109">
            <w:pPr>
              <w:spacing w:after="120" w:line="380" w:lineRule="exact"/>
              <w:jc w:val="both"/>
            </w:pPr>
          </w:p>
        </w:tc>
      </w:tr>
      <w:tr w:rsidR="00540D30" w:rsidRPr="00B545F8" w:rsidTr="00C63586">
        <w:trPr>
          <w:trHeight w:val="240"/>
          <w:jc w:val="center"/>
        </w:trPr>
        <w:tc>
          <w:tcPr>
            <w:tcW w:w="1761" w:type="dxa"/>
            <w:shd w:val="clear" w:color="auto" w:fill="auto"/>
            <w:tcMar>
              <w:left w:w="108" w:type="dxa"/>
              <w:right w:w="108" w:type="dxa"/>
            </w:tcMar>
          </w:tcPr>
          <w:p w:rsidR="00540D30" w:rsidRPr="00B545F8" w:rsidRDefault="00540D30" w:rsidP="00D85109">
            <w:pPr>
              <w:spacing w:after="120" w:line="380" w:lineRule="exact"/>
              <w:jc w:val="both"/>
              <w:textDirection w:val="tbRlV"/>
              <w:rPr>
                <w:rtl/>
                <w:lang w:eastAsia="zh-TW"/>
              </w:rPr>
            </w:pPr>
            <w:r w:rsidRPr="00B545F8">
              <w:rPr>
                <w:rtl/>
                <w:lang w:eastAsia="zh-TW"/>
              </w:rPr>
              <w:t>الملاحظات الختامية:</w:t>
            </w:r>
          </w:p>
        </w:tc>
        <w:tc>
          <w:tcPr>
            <w:tcW w:w="5560" w:type="dxa"/>
            <w:shd w:val="clear" w:color="auto" w:fill="auto"/>
            <w:tcMar>
              <w:left w:w="108" w:type="dxa"/>
              <w:right w:w="108" w:type="dxa"/>
            </w:tcMar>
          </w:tcPr>
          <w:p w:rsidR="00540D30" w:rsidRPr="00B545F8" w:rsidRDefault="00D8591B" w:rsidP="00D85109">
            <w:pPr>
              <w:spacing w:after="120" w:line="380" w:lineRule="exact"/>
              <w:jc w:val="both"/>
              <w:textDirection w:val="tbRlV"/>
              <w:rPr>
                <w:rtl/>
                <w:lang w:eastAsia="zh-TW"/>
              </w:rPr>
            </w:pPr>
            <w:hyperlink r:id="rId12" w:history="1">
              <w:r w:rsidR="00540D30" w:rsidRPr="00B545F8">
                <w:t>CCPR/C/MWI/CO/1/Add.1</w:t>
              </w:r>
              <w:r w:rsidR="00540D30" w:rsidRPr="00B545F8">
                <w:rPr>
                  <w:rtl/>
                </w:rPr>
                <w:t>، 23 تموز/يوليه 2014</w:t>
              </w:r>
            </w:hyperlink>
          </w:p>
        </w:tc>
      </w:tr>
      <w:tr w:rsidR="00540D30" w:rsidRPr="00B545F8" w:rsidTr="00C63586">
        <w:trPr>
          <w:trHeight w:val="240"/>
          <w:jc w:val="center"/>
        </w:trPr>
        <w:tc>
          <w:tcPr>
            <w:tcW w:w="1761" w:type="dxa"/>
            <w:shd w:val="clear" w:color="auto" w:fill="auto"/>
            <w:tcMar>
              <w:left w:w="108" w:type="dxa"/>
              <w:right w:w="108" w:type="dxa"/>
            </w:tcMar>
          </w:tcPr>
          <w:p w:rsidR="00540D30" w:rsidRPr="00B545F8" w:rsidRDefault="00540D30" w:rsidP="00D85109">
            <w:pPr>
              <w:spacing w:after="120" w:line="380" w:lineRule="exact"/>
              <w:jc w:val="both"/>
              <w:textDirection w:val="tbRlV"/>
              <w:rPr>
                <w:rtl/>
                <w:lang w:eastAsia="zh-TW"/>
              </w:rPr>
            </w:pPr>
            <w:r w:rsidRPr="00B545F8">
              <w:rPr>
                <w:rtl/>
                <w:lang w:eastAsia="zh-TW"/>
              </w:rPr>
              <w:t>فقرات المتابعة:</w:t>
            </w:r>
          </w:p>
        </w:tc>
        <w:tc>
          <w:tcPr>
            <w:tcW w:w="5560" w:type="dxa"/>
            <w:shd w:val="clear" w:color="auto" w:fill="auto"/>
            <w:tcMar>
              <w:left w:w="108" w:type="dxa"/>
              <w:right w:w="108" w:type="dxa"/>
            </w:tcMar>
          </w:tcPr>
          <w:p w:rsidR="00540D30" w:rsidRPr="00B545F8" w:rsidRDefault="00540D30" w:rsidP="00D85109">
            <w:pPr>
              <w:spacing w:after="120" w:line="380" w:lineRule="exact"/>
              <w:jc w:val="both"/>
              <w:textDirection w:val="tbRlV"/>
              <w:rPr>
                <w:rtl/>
                <w:lang w:eastAsia="zh-TW"/>
              </w:rPr>
            </w:pPr>
            <w:r w:rsidRPr="00B545F8">
              <w:rPr>
                <w:rtl/>
                <w:lang w:eastAsia="zh-TW"/>
              </w:rPr>
              <w:t>١</w:t>
            </w:r>
            <w:r w:rsidR="00282D59">
              <w:rPr>
                <w:rtl/>
                <w:lang w:eastAsia="zh-TW"/>
              </w:rPr>
              <w:t>٢ و١٣ و٢٤ و</w:t>
            </w:r>
            <w:r w:rsidRPr="00B545F8">
              <w:rPr>
                <w:rtl/>
                <w:lang w:eastAsia="zh-TW"/>
              </w:rPr>
              <w:t>٢٥،</w:t>
            </w:r>
          </w:p>
        </w:tc>
      </w:tr>
      <w:tr w:rsidR="00540D30" w:rsidRPr="00B545F8" w:rsidTr="00C63586">
        <w:trPr>
          <w:trHeight w:val="240"/>
          <w:jc w:val="center"/>
        </w:trPr>
        <w:tc>
          <w:tcPr>
            <w:tcW w:w="1761" w:type="dxa"/>
            <w:shd w:val="clear" w:color="auto" w:fill="auto"/>
            <w:tcMar>
              <w:left w:w="108" w:type="dxa"/>
              <w:right w:w="108" w:type="dxa"/>
            </w:tcMar>
          </w:tcPr>
          <w:p w:rsidR="00540D30" w:rsidRPr="00B545F8" w:rsidRDefault="00540D30" w:rsidP="00D85109">
            <w:pPr>
              <w:spacing w:after="120" w:line="380" w:lineRule="exact"/>
              <w:jc w:val="both"/>
              <w:textDirection w:val="tbRlV"/>
              <w:rPr>
                <w:rtl/>
                <w:lang w:eastAsia="zh-TW" w:bidi="ar-DZ"/>
              </w:rPr>
            </w:pPr>
            <w:r w:rsidRPr="00B545F8">
              <w:rPr>
                <w:rtl/>
                <w:lang w:eastAsia="zh-TW"/>
              </w:rPr>
              <w:t>الرد الأول:</w:t>
            </w:r>
          </w:p>
        </w:tc>
        <w:tc>
          <w:tcPr>
            <w:tcW w:w="5560" w:type="dxa"/>
            <w:shd w:val="clear" w:color="auto" w:fill="auto"/>
            <w:tcMar>
              <w:left w:w="108" w:type="dxa"/>
              <w:right w:w="108" w:type="dxa"/>
            </w:tcMar>
          </w:tcPr>
          <w:p w:rsidR="00540D30" w:rsidRPr="00387BAB" w:rsidRDefault="00D8591B" w:rsidP="00D85109">
            <w:pPr>
              <w:spacing w:after="120" w:line="380" w:lineRule="exact"/>
              <w:jc w:val="both"/>
              <w:textDirection w:val="tbRlV"/>
              <w:rPr>
                <w:spacing w:val="-4"/>
                <w:rtl/>
                <w:lang w:eastAsia="zh-TW"/>
              </w:rPr>
            </w:pPr>
            <w:hyperlink r:id="rId13" w:history="1">
              <w:r w:rsidR="00026EAB" w:rsidRPr="00387BAB">
                <w:rPr>
                  <w:spacing w:val="-4"/>
                </w:rPr>
                <w:t>CCPR/C/MWI/CO/1/Add.2</w:t>
              </w:r>
              <w:r w:rsidR="00026EAB" w:rsidRPr="00387BAB">
                <w:rPr>
                  <w:rFonts w:hint="cs"/>
                  <w:spacing w:val="-4"/>
                  <w:rtl/>
                </w:rPr>
                <w:t>،</w:t>
              </w:r>
              <w:r w:rsidR="00540D30" w:rsidRPr="00387BAB">
                <w:rPr>
                  <w:spacing w:val="-4"/>
                  <w:rtl/>
                </w:rPr>
                <w:t xml:space="preserve"> 18 تشرين الثاني/نوفمبر 2016</w:t>
              </w:r>
            </w:hyperlink>
          </w:p>
        </w:tc>
      </w:tr>
      <w:tr w:rsidR="00540D30" w:rsidRPr="00B545F8" w:rsidTr="00C63586">
        <w:trPr>
          <w:trHeight w:val="240"/>
          <w:jc w:val="center"/>
        </w:trPr>
        <w:tc>
          <w:tcPr>
            <w:tcW w:w="1761" w:type="dxa"/>
            <w:tcBorders>
              <w:bottom w:val="nil"/>
            </w:tcBorders>
            <w:shd w:val="clear" w:color="auto" w:fill="auto"/>
            <w:tcMar>
              <w:left w:w="108" w:type="dxa"/>
              <w:right w:w="108" w:type="dxa"/>
            </w:tcMar>
          </w:tcPr>
          <w:p w:rsidR="00540D30" w:rsidRPr="00B545F8" w:rsidRDefault="00540D30" w:rsidP="00D85109">
            <w:pPr>
              <w:spacing w:after="120" w:line="380" w:lineRule="exact"/>
              <w:jc w:val="both"/>
              <w:textDirection w:val="tbRlV"/>
              <w:rPr>
                <w:rtl/>
                <w:lang w:eastAsia="zh-TW"/>
              </w:rPr>
            </w:pPr>
            <w:r w:rsidRPr="00B545F8">
              <w:rPr>
                <w:rtl/>
                <w:lang w:eastAsia="zh-TW"/>
              </w:rPr>
              <w:t>تقييم اللجنة:</w:t>
            </w:r>
          </w:p>
        </w:tc>
        <w:tc>
          <w:tcPr>
            <w:tcW w:w="5560" w:type="dxa"/>
            <w:tcBorders>
              <w:bottom w:val="nil"/>
            </w:tcBorders>
            <w:shd w:val="clear" w:color="auto" w:fill="auto"/>
            <w:tcMar>
              <w:left w:w="108" w:type="dxa"/>
              <w:right w:w="108" w:type="dxa"/>
            </w:tcMar>
          </w:tcPr>
          <w:p w:rsidR="00540D30" w:rsidRPr="00387BAB" w:rsidRDefault="00540D30" w:rsidP="00D85109">
            <w:pPr>
              <w:spacing w:after="120" w:line="380" w:lineRule="exact"/>
              <w:jc w:val="both"/>
              <w:textDirection w:val="tbRlV"/>
              <w:rPr>
                <w:spacing w:val="-6"/>
                <w:rtl/>
                <w:lang w:eastAsia="zh-TW"/>
              </w:rPr>
            </w:pPr>
            <w:r w:rsidRPr="00387BAB">
              <w:rPr>
                <w:spacing w:val="-6"/>
                <w:rtl/>
                <w:lang w:eastAsia="zh-TW"/>
              </w:rPr>
              <w:t>يلزم تقد</w:t>
            </w:r>
            <w:r w:rsidR="001F2F4A" w:rsidRPr="00387BAB">
              <w:rPr>
                <w:spacing w:val="-6"/>
                <w:rtl/>
                <w:lang w:eastAsia="zh-TW"/>
              </w:rPr>
              <w:t>يم معلومات إضافية عن الفقرات 12</w:t>
            </w:r>
            <w:r w:rsidRPr="00387BAB">
              <w:rPr>
                <w:b/>
                <w:bCs/>
                <w:spacing w:val="-6"/>
                <w:rtl/>
                <w:lang w:eastAsia="zh-TW"/>
              </w:rPr>
              <w:t>[باء]</w:t>
            </w:r>
            <w:r w:rsidR="00B545F8" w:rsidRPr="00387BAB">
              <w:rPr>
                <w:rFonts w:hint="cs"/>
                <w:spacing w:val="-6"/>
                <w:rtl/>
                <w:lang w:eastAsia="zh-TW"/>
              </w:rPr>
              <w:t xml:space="preserve"> </w:t>
            </w:r>
            <w:r w:rsidRPr="00387BAB">
              <w:rPr>
                <w:spacing w:val="-6"/>
                <w:rtl/>
                <w:lang w:eastAsia="zh-TW"/>
              </w:rPr>
              <w:t>و13</w:t>
            </w:r>
            <w:r w:rsidRPr="00387BAB">
              <w:rPr>
                <w:b/>
                <w:bCs/>
                <w:spacing w:val="-6"/>
                <w:rtl/>
                <w:lang w:eastAsia="zh-TW"/>
              </w:rPr>
              <w:t>[جيم]</w:t>
            </w:r>
            <w:r w:rsidR="00EE72E6" w:rsidRPr="00387BAB">
              <w:rPr>
                <w:rFonts w:hint="cs"/>
                <w:b/>
                <w:bCs/>
                <w:spacing w:val="-6"/>
                <w:rtl/>
                <w:lang w:eastAsia="zh-TW"/>
              </w:rPr>
              <w:t>[</w:t>
            </w:r>
            <w:r w:rsidRPr="00387BAB">
              <w:rPr>
                <w:b/>
                <w:bCs/>
                <w:spacing w:val="-6"/>
                <w:rtl/>
                <w:lang w:eastAsia="zh-TW"/>
              </w:rPr>
              <w:t>جيم]</w:t>
            </w:r>
            <w:r w:rsidR="00B545F8" w:rsidRPr="00387BAB">
              <w:rPr>
                <w:rFonts w:hint="cs"/>
                <w:spacing w:val="-6"/>
                <w:rtl/>
                <w:lang w:eastAsia="zh-TW"/>
              </w:rPr>
              <w:t xml:space="preserve"> </w:t>
            </w:r>
            <w:r w:rsidR="001F2F4A" w:rsidRPr="00387BAB">
              <w:rPr>
                <w:spacing w:val="-6"/>
                <w:rtl/>
                <w:lang w:eastAsia="zh-TW"/>
              </w:rPr>
              <w:t>و24</w:t>
            </w:r>
            <w:r w:rsidRPr="00387BAB">
              <w:rPr>
                <w:b/>
                <w:bCs/>
                <w:spacing w:val="-6"/>
                <w:rtl/>
                <w:lang w:eastAsia="zh-TW"/>
              </w:rPr>
              <w:t>[جيم]</w:t>
            </w:r>
            <w:r w:rsidR="001F2F4A" w:rsidRPr="00387BAB">
              <w:rPr>
                <w:b/>
                <w:bCs/>
                <w:spacing w:val="-6"/>
                <w:rtl/>
                <w:lang w:eastAsia="zh-TW"/>
              </w:rPr>
              <w:t>[جيم]</w:t>
            </w:r>
            <w:r w:rsidR="001F2F4A" w:rsidRPr="00387BAB">
              <w:rPr>
                <w:spacing w:val="-6"/>
                <w:rtl/>
                <w:lang w:eastAsia="zh-TW"/>
              </w:rPr>
              <w:t>، و25</w:t>
            </w:r>
            <w:r w:rsidRPr="00387BAB">
              <w:rPr>
                <w:b/>
                <w:bCs/>
                <w:spacing w:val="-6"/>
                <w:rtl/>
                <w:lang w:eastAsia="zh-TW"/>
              </w:rPr>
              <w:t>[جيم]</w:t>
            </w:r>
          </w:p>
        </w:tc>
      </w:tr>
    </w:tbl>
    <w:p w:rsidR="00B545F8" w:rsidRPr="00B545F8" w:rsidRDefault="001F2F4A" w:rsidP="001F2F4A">
      <w:pPr>
        <w:pStyle w:val="H23GA"/>
        <w:rPr>
          <w:rtl/>
        </w:rPr>
      </w:pPr>
      <w:r>
        <w:rPr>
          <w:rtl/>
        </w:rPr>
        <w:tab/>
      </w:r>
      <w:r>
        <w:rPr>
          <w:rtl/>
        </w:rPr>
        <w:tab/>
      </w:r>
      <w:r w:rsidR="00B545F8" w:rsidRPr="00B545F8">
        <w:rPr>
          <w:rtl/>
        </w:rPr>
        <w:t>الفقرة ١٢: حالات الإعدام خارج نطاق القضاء</w:t>
      </w:r>
    </w:p>
    <w:p w:rsidR="00B545F8" w:rsidRPr="00B545F8" w:rsidRDefault="00B545F8" w:rsidP="00B545F8">
      <w:pPr>
        <w:pStyle w:val="SingleTxtGA"/>
        <w:rPr>
          <w:b/>
          <w:bCs/>
          <w:rtl/>
          <w:lang w:eastAsia="zh-TW"/>
        </w:rPr>
      </w:pPr>
      <w:r>
        <w:rPr>
          <w:b/>
          <w:bCs/>
          <w:rtl/>
          <w:lang w:eastAsia="zh-TW"/>
        </w:rPr>
        <w:tab/>
      </w:r>
      <w:r w:rsidRPr="00B545F8">
        <w:rPr>
          <w:b/>
          <w:bCs/>
          <w:rtl/>
          <w:lang w:eastAsia="zh-TW"/>
        </w:rPr>
        <w:t>ينبغي للدولة الطرف مقاضاة جميع الأشخاص الذين يدعى ارتكابهم لحالات الإعدام خارج نطاق القضاء وإكمال أية عملية بدأت بالفعل على وجه السرعة ومعاقبة الأشخاص الذين تثبت إدانتهم، وحماية الضحايا وإعادة تأهيلهم وتعويضهم</w:t>
      </w:r>
      <w:dir w:val="rtl">
        <w:r w:rsidRPr="00B545F8">
          <w:rPr>
            <w:b/>
            <w:bCs/>
            <w:rtl/>
            <w:lang w:eastAsia="zh-TW"/>
          </w:rPr>
          <w:t>.</w:t>
        </w:r>
        <w:r w:rsidRPr="00B545F8">
          <w:rPr>
            <w:rFonts w:cs="Times New Roman" w:hint="cs"/>
            <w:b/>
            <w:bCs/>
            <w:rtl/>
            <w:lang w:eastAsia="zh-TW"/>
          </w:rPr>
          <w:t>‬</w:t>
        </w:r>
        <w:r w:rsidRPr="00B545F8">
          <w:rPr>
            <w:b/>
            <w:bCs/>
            <w:rtl/>
            <w:lang w:eastAsia="zh-TW"/>
          </w:rPr>
          <w:t xml:space="preserve"> </w:t>
        </w:r>
        <w:r w:rsidRPr="00B545F8">
          <w:rPr>
            <w:b/>
            <w:bCs/>
          </w:rPr>
          <w:t>‬</w:t>
        </w:r>
        <w:r w:rsidRPr="00B545F8">
          <w:rPr>
            <w:b/>
            <w:bCs/>
          </w:rPr>
          <w:t>‬</w:t>
        </w:r>
        <w:r w:rsidRPr="00B545F8">
          <w:rPr>
            <w:b/>
            <w:bCs/>
          </w:rPr>
          <w:t>‬</w:t>
        </w:r>
        <w:r w:rsidRPr="00B545F8">
          <w:rPr>
            <w:b/>
            <w:bCs/>
          </w:rPr>
          <w:t>‬</w:t>
        </w:r>
        <w:r w:rsidRPr="00B545F8">
          <w:rPr>
            <w:b/>
            <w:bCs/>
          </w:rPr>
          <w:t>‬</w:t>
        </w:r>
        <w:r w:rsidRPr="00B545F8">
          <w:rPr>
            <w:b/>
            <w:bCs/>
          </w:rPr>
          <w:t>‬</w:t>
        </w:r>
        <w:r w:rsidR="00DC1DEF">
          <w:t>‬</w:t>
        </w:r>
        <w:r w:rsidR="00BD0320">
          <w:t>‬</w:t>
        </w:r>
        <w:r w:rsidR="00E50C3B">
          <w:t>‬</w:t>
        </w:r>
        <w:r w:rsidR="00D8591B">
          <w:t>‬</w:t>
        </w:r>
      </w:dir>
    </w:p>
    <w:p w:rsidR="00B545F8" w:rsidRPr="00B545F8" w:rsidRDefault="001F2F4A" w:rsidP="001F2F4A">
      <w:pPr>
        <w:pStyle w:val="H23GA"/>
        <w:rPr>
          <w:rtl/>
        </w:rPr>
      </w:pPr>
      <w:r>
        <w:rPr>
          <w:rtl/>
        </w:rPr>
        <w:tab/>
      </w:r>
      <w:r>
        <w:rPr>
          <w:rtl/>
        </w:rPr>
        <w:tab/>
      </w:r>
      <w:r w:rsidR="00B545F8" w:rsidRPr="00B545F8">
        <w:rPr>
          <w:rtl/>
        </w:rPr>
        <w:t>ملخص ردّ الدولة الطرف</w:t>
      </w:r>
      <w:r w:rsidR="00B545F8">
        <w:rPr>
          <w:rFonts w:cs="Times New Roman" w:hint="cs"/>
          <w:rtl/>
        </w:rPr>
        <w:t xml:space="preserve"> </w:t>
      </w:r>
    </w:p>
    <w:p w:rsidR="00B545F8" w:rsidRPr="005F262B" w:rsidRDefault="00B545F8" w:rsidP="00B545F8">
      <w:pPr>
        <w:pStyle w:val="SingleTxtGA"/>
        <w:rPr>
          <w:rtl/>
          <w:lang w:eastAsia="zh-TW"/>
        </w:rPr>
      </w:pPr>
      <w:r>
        <w:rPr>
          <w:rtl/>
          <w:lang w:eastAsia="zh-TW"/>
        </w:rPr>
        <w:tab/>
        <w:t xml:space="preserve">أنهت الشرطة التحقيقات في الاستخدام المفرط للقوة خلال الاحتجاجات في جميع أنحاء البلد في تموز/يوليه ٢٠١١. واتهم تسعة أفراد من الشرطة بجرائم تتعلق بالقتل، ويوجد أمام المحكمة قضايا جنائية تتعلق بأربعة أفراد من الشرطة، في حين وضعت بقية ملفات المتهمين لدى </w:t>
      </w:r>
      <w:r w:rsidRPr="00B671FA">
        <w:rPr>
          <w:rtl/>
          <w:lang w:eastAsia="zh-TW"/>
        </w:rPr>
        <w:t>مكتب مدير النيابة العامة</w:t>
      </w:r>
      <w:r>
        <w:rPr>
          <w:rtl/>
          <w:lang w:eastAsia="zh-TW"/>
        </w:rPr>
        <w:t xml:space="preserve"> للمحاكمة.</w:t>
      </w:r>
    </w:p>
    <w:p w:rsidR="00B545F8" w:rsidRPr="005F262B" w:rsidRDefault="00B545F8" w:rsidP="00B545F8">
      <w:pPr>
        <w:pStyle w:val="SingleTxtGA"/>
        <w:rPr>
          <w:rtl/>
          <w:lang w:eastAsia="zh-TW"/>
        </w:rPr>
      </w:pPr>
      <w:r>
        <w:rPr>
          <w:rtl/>
          <w:lang w:eastAsia="zh-TW"/>
        </w:rPr>
        <w:tab/>
        <w:t xml:space="preserve">ويعكف مكتب المدعي العام على إنشاء آليات تكفل تعويض الضحايا الحقيقيين. </w:t>
      </w:r>
    </w:p>
    <w:p w:rsidR="00B545F8" w:rsidRPr="00B545F8" w:rsidRDefault="001F2F4A" w:rsidP="001F2F4A">
      <w:pPr>
        <w:pStyle w:val="H23GA"/>
        <w:rPr>
          <w:rtl/>
        </w:rPr>
      </w:pPr>
      <w:r>
        <w:rPr>
          <w:rtl/>
        </w:rPr>
        <w:tab/>
      </w:r>
      <w:r>
        <w:rPr>
          <w:rtl/>
        </w:rPr>
        <w:tab/>
      </w:r>
      <w:r w:rsidR="00B545F8" w:rsidRPr="00B545F8">
        <w:rPr>
          <w:rtl/>
        </w:rPr>
        <w:t>تقييم اللجنة</w:t>
      </w:r>
      <w:r w:rsidR="00B545F8">
        <w:rPr>
          <w:rFonts w:cs="Times New Roman" w:hint="cs"/>
          <w:rtl/>
        </w:rPr>
        <w:t xml:space="preserve"> </w:t>
      </w:r>
    </w:p>
    <w:p w:rsidR="00B545F8" w:rsidRDefault="00B545F8" w:rsidP="00026EAB">
      <w:pPr>
        <w:pStyle w:val="SingleTxtGA"/>
        <w:spacing w:line="360" w:lineRule="exact"/>
        <w:rPr>
          <w:rtl/>
          <w:lang w:eastAsia="zh-TW"/>
        </w:rPr>
      </w:pPr>
      <w:r w:rsidRPr="00B545F8">
        <w:rPr>
          <w:b/>
          <w:bCs/>
          <w:rtl/>
          <w:lang w:eastAsia="zh-TW"/>
        </w:rPr>
        <w:t>[باء]:</w:t>
      </w:r>
      <w:r>
        <w:rPr>
          <w:rtl/>
          <w:lang w:eastAsia="zh-TW"/>
        </w:rPr>
        <w:t xml:space="preserve"> تحيط اللجنة علم</w:t>
      </w:r>
      <w:r w:rsidR="00152B44">
        <w:rPr>
          <w:rtl/>
          <w:lang w:eastAsia="zh-TW"/>
        </w:rPr>
        <w:t xml:space="preserve">اً </w:t>
      </w:r>
      <w:r>
        <w:rPr>
          <w:rtl/>
          <w:lang w:eastAsia="zh-TW"/>
        </w:rPr>
        <w:t>بالمعلومات المقدمة، لكنها تطلب معلومات إضافية بشأن: (أ) نتيجة إجراءات المحكمة ضد ضباط الشرطة الأربعة المتهمين بجرائم تتعلق بالقتل، بما في ذلك مدى صدور أية إدانات وفرض عقوبات محددة؛ (ب) حالة</w:t>
      </w:r>
      <w:r>
        <w:rPr>
          <w:rtl/>
          <w:lang w:val="ru-RU" w:eastAsia="zh-TW" w:bidi="ar-DZ"/>
        </w:rPr>
        <w:t xml:space="preserve"> </w:t>
      </w:r>
      <w:r w:rsidRPr="00B671FA">
        <w:rPr>
          <w:rtl/>
          <w:lang w:val="ru-RU" w:eastAsia="zh-TW" w:bidi="ar-DZ"/>
        </w:rPr>
        <w:t>ال</w:t>
      </w:r>
      <w:r w:rsidRPr="00B671FA">
        <w:rPr>
          <w:rtl/>
          <w:lang w:eastAsia="zh-TW"/>
        </w:rPr>
        <w:t>مقاضاة في القضايا</w:t>
      </w:r>
      <w:r>
        <w:rPr>
          <w:rtl/>
          <w:lang w:eastAsia="zh-TW"/>
        </w:rPr>
        <w:t xml:space="preserve"> المتبقية المحالة إلى مدير النيابة العامة؛ (ج) التقدم الذي أحرزه مكتب المدعي العام في ضمان تقديم تعويضات إلى الضحايا وإعادة تأهيلهم، بما في ذلك عند الاقتضاء، مبلغ التعويض المدفوع، وخدمات إعادة التأهيل المقدمة. وتطلب اللجنة أيض</w:t>
      </w:r>
      <w:r w:rsidR="00152B44">
        <w:rPr>
          <w:rtl/>
          <w:lang w:eastAsia="zh-TW"/>
        </w:rPr>
        <w:t xml:space="preserve">اً </w:t>
      </w:r>
      <w:r>
        <w:rPr>
          <w:rtl/>
          <w:lang w:eastAsia="zh-TW"/>
        </w:rPr>
        <w:t xml:space="preserve">معلومات عن التحقيقات والملاحقات القضائية والإدانات المتعلقة بحالات الإعدام خارج نطاق القضاء غير تلك التي ارتكبت خلال المظاهرات التي نظمت في تموز/يوليه ٢٠١١. </w:t>
      </w:r>
    </w:p>
    <w:tbl>
      <w:tblPr>
        <w:bidiVisual/>
        <w:tblW w:w="7321" w:type="dxa"/>
        <w:jc w:val="center"/>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321"/>
      </w:tblGrid>
      <w:tr w:rsidR="00B545F8" w:rsidRPr="00B545F8" w:rsidTr="00C63586">
        <w:trPr>
          <w:trHeight w:val="240"/>
          <w:tblHeader/>
          <w:jc w:val="center"/>
        </w:trPr>
        <w:tc>
          <w:tcPr>
            <w:tcW w:w="7321" w:type="dxa"/>
            <w:tcBorders>
              <w:top w:val="single" w:sz="4" w:space="0" w:color="auto"/>
              <w:bottom w:val="single" w:sz="12" w:space="0" w:color="auto"/>
            </w:tcBorders>
            <w:shd w:val="clear" w:color="auto" w:fill="auto"/>
            <w:tcMar>
              <w:left w:w="108" w:type="dxa"/>
              <w:right w:w="108" w:type="dxa"/>
            </w:tcMar>
            <w:vAlign w:val="bottom"/>
          </w:tcPr>
          <w:p w:rsidR="00B545F8" w:rsidRPr="00B545F8" w:rsidRDefault="00B545F8" w:rsidP="001F2F4A">
            <w:pPr>
              <w:pageBreakBefore/>
              <w:spacing w:after="120" w:line="320" w:lineRule="exact"/>
              <w:jc w:val="both"/>
              <w:textDirection w:val="tbRlV"/>
              <w:rPr>
                <w:i/>
                <w:iCs/>
                <w:sz w:val="16"/>
                <w:rtl/>
                <w:lang w:eastAsia="zh-TW"/>
              </w:rPr>
            </w:pPr>
            <w:r w:rsidRPr="00B545F8">
              <w:rPr>
                <w:i/>
                <w:iCs/>
                <w:rtl/>
                <w:lang w:eastAsia="zh-TW"/>
              </w:rPr>
              <w:lastRenderedPageBreak/>
              <w:t>ملاوي</w:t>
            </w:r>
          </w:p>
        </w:tc>
      </w:tr>
    </w:tbl>
    <w:p w:rsidR="00B545F8" w:rsidRPr="00B545F8" w:rsidRDefault="001F2F4A" w:rsidP="001F2F4A">
      <w:pPr>
        <w:pStyle w:val="H23GA"/>
        <w:rPr>
          <w:rtl/>
        </w:rPr>
      </w:pPr>
      <w:r>
        <w:rPr>
          <w:rtl/>
        </w:rPr>
        <w:tab/>
      </w:r>
      <w:r>
        <w:rPr>
          <w:rtl/>
        </w:rPr>
        <w:tab/>
      </w:r>
      <w:r w:rsidR="00B545F8" w:rsidRPr="00B545F8">
        <w:rPr>
          <w:rtl/>
        </w:rPr>
        <w:t>الفقرة 13: حظر التعذيب</w:t>
      </w:r>
      <w:r w:rsidR="00B545F8" w:rsidRPr="00B545F8">
        <w:rPr>
          <w:rFonts w:cs="Times New Roman" w:hint="cs"/>
          <w:rtl/>
        </w:rPr>
        <w:t>‬</w:t>
      </w:r>
    </w:p>
    <w:p w:rsidR="00B545F8" w:rsidRPr="00B545F8" w:rsidRDefault="00B545F8" w:rsidP="00B545F8">
      <w:pPr>
        <w:pStyle w:val="SingleTxtGA"/>
        <w:rPr>
          <w:b/>
          <w:bCs/>
          <w:rtl/>
          <w:lang w:eastAsia="zh-TW"/>
        </w:rPr>
      </w:pPr>
      <w:r>
        <w:rPr>
          <w:rtl/>
          <w:lang w:eastAsia="zh-TW"/>
        </w:rPr>
        <w:tab/>
      </w:r>
      <w:r w:rsidRPr="00B545F8">
        <w:rPr>
          <w:b/>
          <w:bCs/>
          <w:rtl/>
          <w:lang w:eastAsia="zh-TW"/>
        </w:rPr>
        <w:t xml:space="preserve">ينبغي للدولة الطرف القيام بما يلي: </w:t>
      </w:r>
    </w:p>
    <w:p w:rsidR="00B545F8" w:rsidRPr="00B545F8" w:rsidRDefault="00B545F8" w:rsidP="00B545F8">
      <w:pPr>
        <w:pStyle w:val="SingleTxtGA"/>
        <w:rPr>
          <w:b/>
          <w:bCs/>
          <w:rtl/>
          <w:lang w:eastAsia="zh-TW"/>
        </w:rPr>
      </w:pPr>
      <w:r w:rsidRPr="00B545F8">
        <w:rPr>
          <w:b/>
          <w:bCs/>
          <w:lang w:eastAsia="zh-TW"/>
        </w:rPr>
        <w:tab/>
      </w:r>
      <w:r w:rsidRPr="00B545F8">
        <w:rPr>
          <w:b/>
          <w:bCs/>
          <w:rtl/>
          <w:lang w:eastAsia="zh-TW"/>
        </w:rPr>
        <w:t>(أ)</w:t>
      </w:r>
      <w:r w:rsidRPr="00B545F8">
        <w:rPr>
          <w:b/>
          <w:bCs/>
          <w:rtl/>
          <w:lang w:eastAsia="zh-TW"/>
        </w:rPr>
        <w:tab/>
        <w:t>الإسراع في إنشاء لجنة مستقلة لتلقي الشكاوى ضد أفراد الشرطة، وتخصيص ما يكفي من الموارد البشرية والمالية لها؛</w:t>
      </w:r>
    </w:p>
    <w:p w:rsidR="00B545F8" w:rsidRPr="00B545F8" w:rsidRDefault="00B545F8" w:rsidP="00B545F8">
      <w:pPr>
        <w:pStyle w:val="SingleTxtGA"/>
        <w:rPr>
          <w:b/>
          <w:bCs/>
          <w:rtl/>
          <w:lang w:eastAsia="zh-TW"/>
        </w:rPr>
      </w:pPr>
      <w:r w:rsidRPr="00B545F8">
        <w:rPr>
          <w:b/>
          <w:bCs/>
          <w:lang w:eastAsia="zh-TW"/>
        </w:rPr>
        <w:tab/>
      </w:r>
      <w:r w:rsidRPr="00B545F8">
        <w:rPr>
          <w:b/>
          <w:bCs/>
          <w:rtl/>
          <w:lang w:eastAsia="zh-TW"/>
        </w:rPr>
        <w:t>(ب)</w:t>
      </w:r>
      <w:r w:rsidRPr="00B545F8">
        <w:rPr>
          <w:b/>
          <w:bCs/>
          <w:rtl/>
          <w:lang w:eastAsia="zh-TW"/>
        </w:rPr>
        <w:tab/>
        <w:t>إنشاء نظام مركزي بهدف تتبع جميع الشكاوى وإتاحتها للجمهور؛</w:t>
      </w:r>
    </w:p>
    <w:p w:rsidR="00B545F8" w:rsidRPr="00B545F8" w:rsidRDefault="00B545F8" w:rsidP="00B545F8">
      <w:pPr>
        <w:pStyle w:val="SingleTxtGA"/>
        <w:rPr>
          <w:b/>
          <w:bCs/>
          <w:rtl/>
          <w:lang w:eastAsia="zh-TW"/>
        </w:rPr>
      </w:pPr>
      <w:r w:rsidRPr="00B545F8">
        <w:rPr>
          <w:b/>
          <w:bCs/>
          <w:lang w:eastAsia="zh-TW"/>
        </w:rPr>
        <w:tab/>
      </w:r>
      <w:r w:rsidRPr="00B545F8">
        <w:rPr>
          <w:b/>
          <w:bCs/>
          <w:rtl/>
          <w:lang w:eastAsia="zh-TW"/>
        </w:rPr>
        <w:t>(ج)</w:t>
      </w:r>
      <w:r w:rsidRPr="00B545F8">
        <w:rPr>
          <w:b/>
          <w:bCs/>
          <w:rtl/>
          <w:lang w:eastAsia="zh-TW"/>
        </w:rPr>
        <w:tab/>
        <w:t>التحقيق في جميع حالات التعذيب ومقاضاة الجناة المزعومين وتعويض الضحايا؛</w:t>
      </w:r>
    </w:p>
    <w:p w:rsidR="00B545F8" w:rsidRPr="00B545F8" w:rsidRDefault="00B545F8" w:rsidP="00B545F8">
      <w:pPr>
        <w:pStyle w:val="SingleTxtGA"/>
        <w:rPr>
          <w:b/>
          <w:bCs/>
          <w:rtl/>
          <w:lang w:eastAsia="zh-TW"/>
        </w:rPr>
      </w:pPr>
      <w:r>
        <w:rPr>
          <w:b/>
          <w:bCs/>
          <w:rtl/>
          <w:lang w:eastAsia="zh-TW"/>
        </w:rPr>
        <w:tab/>
      </w:r>
      <w:r w:rsidRPr="00B545F8">
        <w:rPr>
          <w:b/>
          <w:bCs/>
          <w:rtl/>
          <w:lang w:eastAsia="zh-TW"/>
        </w:rPr>
        <w:t>(د)</w:t>
      </w:r>
      <w:r>
        <w:rPr>
          <w:b/>
          <w:bCs/>
          <w:rtl/>
          <w:lang w:eastAsia="zh-TW"/>
        </w:rPr>
        <w:tab/>
      </w:r>
      <w:r w:rsidRPr="00B545F8">
        <w:rPr>
          <w:b/>
          <w:bCs/>
          <w:rtl/>
          <w:lang w:eastAsia="zh-TW"/>
        </w:rPr>
        <w:t>ضمان امتثال قانون الشرطة للمبادئ الأساسية بشأن استخدام القوة والأسلحة النارية من جانب الموظفين المكلفين بإنفاذ القوانين التي اعتمدها مؤتمر الأمم المتحدة الثامن لمنع الجريمة ومعاملة المجرمين، وتعزيز جهودها الرامية إلى تدريب أفراد الشرطة في مجال حقوق الإنسان.</w:t>
      </w:r>
      <w:r w:rsidRPr="00B545F8">
        <w:rPr>
          <w:rFonts w:cs="Times New Roman" w:hint="cs"/>
          <w:b/>
          <w:bCs/>
          <w:rtl/>
          <w:lang w:eastAsia="zh-TW"/>
        </w:rPr>
        <w:t>‬</w:t>
      </w:r>
    </w:p>
    <w:p w:rsidR="00B545F8" w:rsidRPr="00B545F8" w:rsidRDefault="001F2F4A" w:rsidP="001F2F4A">
      <w:pPr>
        <w:pStyle w:val="H23GA"/>
        <w:rPr>
          <w:rtl/>
        </w:rPr>
      </w:pPr>
      <w:r>
        <w:rPr>
          <w:rtl/>
        </w:rPr>
        <w:tab/>
      </w:r>
      <w:r>
        <w:rPr>
          <w:rtl/>
        </w:rPr>
        <w:tab/>
      </w:r>
      <w:r w:rsidR="00B545F8" w:rsidRPr="00B545F8">
        <w:rPr>
          <w:rtl/>
        </w:rPr>
        <w:t>ملخص ردّ الدولة الطرف</w:t>
      </w:r>
      <w:r w:rsidR="00B545F8">
        <w:rPr>
          <w:rFonts w:cs="Times New Roman" w:hint="cs"/>
          <w:rtl/>
        </w:rPr>
        <w:t xml:space="preserve"> </w:t>
      </w:r>
    </w:p>
    <w:p w:rsidR="00B545F8" w:rsidRPr="00B545F8" w:rsidRDefault="00B545F8" w:rsidP="00B545F8">
      <w:pPr>
        <w:pStyle w:val="SingleTxtGA"/>
        <w:rPr>
          <w:spacing w:val="-4"/>
          <w:rtl/>
          <w:lang w:eastAsia="zh-TW"/>
        </w:rPr>
      </w:pPr>
      <w:r w:rsidRPr="00B545F8">
        <w:rPr>
          <w:spacing w:val="-4"/>
          <w:rtl/>
          <w:lang w:eastAsia="zh-TW"/>
        </w:rPr>
        <w:tab/>
        <w:t>(أ)</w:t>
      </w:r>
      <w:r w:rsidRPr="00B545F8">
        <w:rPr>
          <w:spacing w:val="-4"/>
          <w:rtl/>
          <w:lang w:eastAsia="zh-TW"/>
        </w:rPr>
        <w:tab/>
        <w:t>بدأ اثنان من المغتربين في أيلول/سبتمبر ٢٠١٥، عملية التشاور مع أصحاب المصلحة الرئيسيين من أجل إنشاء اللجنة المستقلة للشكاوى المقدمة ضد الشرطة (اللجنة المستقلة)؛</w:t>
      </w:r>
    </w:p>
    <w:p w:rsidR="00B545F8" w:rsidRPr="001F2F4A" w:rsidRDefault="00B545F8" w:rsidP="00B545F8">
      <w:pPr>
        <w:pStyle w:val="SingleTxtGA"/>
        <w:rPr>
          <w:spacing w:val="-4"/>
          <w:rtl/>
          <w:lang w:eastAsia="zh-TW"/>
        </w:rPr>
      </w:pPr>
      <w:r w:rsidRPr="001F2F4A">
        <w:rPr>
          <w:spacing w:val="-4"/>
          <w:rtl/>
          <w:lang w:eastAsia="zh-TW"/>
        </w:rPr>
        <w:tab/>
        <w:t>(ب)</w:t>
      </w:r>
      <w:r w:rsidRPr="001F2F4A">
        <w:rPr>
          <w:rFonts w:hint="cs"/>
          <w:spacing w:val="-4"/>
          <w:rtl/>
          <w:lang w:eastAsia="zh-TW"/>
        </w:rPr>
        <w:t xml:space="preserve"> </w:t>
      </w:r>
      <w:r w:rsidRPr="001F2F4A">
        <w:rPr>
          <w:spacing w:val="-4"/>
          <w:rtl/>
          <w:lang w:eastAsia="zh-TW"/>
        </w:rPr>
        <w:t>و(ج) ستكون اللجنة المستقلة هيئة مستقلة مسؤولة عن تلقي الشكاوى المقدمة ضد أفراد الشرطة والتحقيق فيها، بما في ذلك الوفاة أو الإصابة نتيجة لأعمال الشرطة والأعمال التي تحدث أثناء الاحتجاز لدى الشرطة. وريثما يتم إنشاء هذه اللجنة، اضطلعت وحدة المعايير المهنية داخل الشرطة</w:t>
      </w:r>
      <w:r w:rsidR="001F2F4A">
        <w:rPr>
          <w:rFonts w:hint="cs"/>
          <w:spacing w:val="-4"/>
          <w:rtl/>
          <w:lang w:eastAsia="zh-TW"/>
        </w:rPr>
        <w:t xml:space="preserve"> </w:t>
      </w:r>
      <w:r w:rsidRPr="001F2F4A">
        <w:rPr>
          <w:spacing w:val="-4"/>
          <w:rtl/>
          <w:lang w:eastAsia="zh-TW"/>
        </w:rPr>
        <w:t>(الوحدة) بتحقيقات في الأعمال الخطيرة المتعلقة بسوء سلوك الشرطة. وخضع بعض الجناة للمحاكمة وواجه البعض الآخر إجراءات تأديبية، بما في ذلك الفصل. ويمكن للجمهور الاطلاع على تقارير الوحدة وفق</w:t>
      </w:r>
      <w:r w:rsidR="00152B44" w:rsidRPr="001F2F4A">
        <w:rPr>
          <w:spacing w:val="-4"/>
          <w:rtl/>
          <w:lang w:eastAsia="zh-TW"/>
        </w:rPr>
        <w:t xml:space="preserve">اً </w:t>
      </w:r>
      <w:r w:rsidRPr="001F2F4A">
        <w:rPr>
          <w:spacing w:val="-4"/>
          <w:rtl/>
          <w:lang w:eastAsia="zh-TW"/>
        </w:rPr>
        <w:t>للقواعد التنظيمية ذات الصلة المتعلقة بالحصول على المعلومات؛</w:t>
      </w:r>
    </w:p>
    <w:p w:rsidR="00B545F8" w:rsidRPr="00B545F8" w:rsidRDefault="00B545F8" w:rsidP="00B545F8">
      <w:pPr>
        <w:pStyle w:val="SingleTxtGA"/>
        <w:rPr>
          <w:spacing w:val="-2"/>
          <w:rtl/>
          <w:lang w:eastAsia="zh-TW"/>
        </w:rPr>
      </w:pPr>
      <w:r w:rsidRPr="00B545F8">
        <w:rPr>
          <w:spacing w:val="-2"/>
          <w:rtl/>
          <w:lang w:eastAsia="zh-TW"/>
        </w:rPr>
        <w:tab/>
        <w:t>(د)</w:t>
      </w:r>
      <w:r w:rsidRPr="00B545F8">
        <w:rPr>
          <w:spacing w:val="-2"/>
          <w:rtl/>
          <w:lang w:eastAsia="zh-TW"/>
        </w:rPr>
        <w:tab/>
        <w:t>يجوز استخدام الأسلحة النارية بموجب المادة 44 من قانون الشرطة ضد أي شخص محتجز قانوناً ويكون متهماً أو مداناً بارتكاب جناية ويهرب أو يحاول الهرب أو أي شخص ينقذ بالقوة أو يحاول إنقاذ شخص ما من الاحتجاز القانوني أو ي</w:t>
      </w:r>
      <w:r w:rsidRPr="00B545F8">
        <w:rPr>
          <w:spacing w:val="-2"/>
          <w:rtl/>
          <w:lang w:val="ru-RU" w:eastAsia="zh-TW" w:bidi="ar-DZ"/>
        </w:rPr>
        <w:t>عوق</w:t>
      </w:r>
      <w:r w:rsidRPr="00B545F8">
        <w:rPr>
          <w:spacing w:val="-2"/>
          <w:rtl/>
          <w:lang w:eastAsia="zh-TW"/>
        </w:rPr>
        <w:t xml:space="preserve"> بالقوة إمكانية القبض عليه هو نفسه أو القبض على شخص آخر. وفي جميع هذه الحالات، يعطى أولاً إنذار بأن السلاح الناري على وشك أن يستخدم، ويكون اللجوء إلى استخدام السلاح الناري هو الخيار الأخير بعد استكشاف بدائل أخرى. وتستخدم الأسلحة النارية لأغراض التعطيل لا للقتل. </w:t>
      </w:r>
    </w:p>
    <w:p w:rsidR="00B545F8" w:rsidRDefault="00B545F8" w:rsidP="00B545F8">
      <w:pPr>
        <w:pStyle w:val="SingleTxtGA"/>
        <w:rPr>
          <w:rtl/>
          <w:lang w:eastAsia="zh-TW"/>
        </w:rPr>
      </w:pPr>
      <w:r>
        <w:rPr>
          <w:rtl/>
          <w:lang w:eastAsia="zh-TW"/>
        </w:rPr>
        <w:tab/>
        <w:t xml:space="preserve">وتنص المادة ١٠٥(٤) من قانون الشرطة على استخدام القوة أو السلاح الناري أثناء أعمال الشغب، أو التجمعات أو المظاهرات ضد شخص يقتل أو يتسبب بجراح خطيرة أو يحاول القيام بذلك والشخص الذي يظهر نية ظاهرة بقتل شخص آخر أو بإصابته، أو يدمر ويلحق أضراراً خطيرة أو يحاول القيام بذلك أو يظهر نية جلية لتدمير أي ممتلكات تعتبر ثمينة. وتستخدم القوة بالدرجة اللازمة لأغراض منع هذه الأعمال من الحدوث. ويمكن في هذه الحالات استخدام السلاح الناري أو أي سلاح آخر. </w:t>
      </w:r>
    </w:p>
    <w:tbl>
      <w:tblPr>
        <w:bidiVisual/>
        <w:tblW w:w="7243" w:type="dxa"/>
        <w:tblInd w:w="1261"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243"/>
      </w:tblGrid>
      <w:tr w:rsidR="00B545F8" w:rsidRPr="00B545F8" w:rsidTr="00FF281A">
        <w:trPr>
          <w:trHeight w:val="240"/>
          <w:tblHeader/>
        </w:trPr>
        <w:tc>
          <w:tcPr>
            <w:tcW w:w="7243" w:type="dxa"/>
            <w:tcBorders>
              <w:top w:val="single" w:sz="4" w:space="0" w:color="auto"/>
              <w:bottom w:val="single" w:sz="12" w:space="0" w:color="auto"/>
            </w:tcBorders>
            <w:shd w:val="clear" w:color="auto" w:fill="auto"/>
            <w:tcMar>
              <w:left w:w="108" w:type="dxa"/>
              <w:right w:w="108" w:type="dxa"/>
            </w:tcMar>
            <w:vAlign w:val="bottom"/>
          </w:tcPr>
          <w:p w:rsidR="00B545F8" w:rsidRPr="00B545F8" w:rsidRDefault="00B545F8" w:rsidP="00FF281A">
            <w:pPr>
              <w:pageBreakBefore/>
              <w:spacing w:after="120" w:line="320" w:lineRule="exact"/>
              <w:ind w:left="2"/>
              <w:jc w:val="both"/>
              <w:textDirection w:val="tbRlV"/>
              <w:rPr>
                <w:i/>
                <w:iCs/>
                <w:sz w:val="16"/>
                <w:rtl/>
                <w:lang w:eastAsia="zh-TW"/>
              </w:rPr>
            </w:pPr>
            <w:r w:rsidRPr="00B545F8">
              <w:rPr>
                <w:i/>
                <w:iCs/>
                <w:rtl/>
                <w:lang w:eastAsia="zh-TW"/>
              </w:rPr>
              <w:lastRenderedPageBreak/>
              <w:t>ملاوي</w:t>
            </w:r>
          </w:p>
        </w:tc>
      </w:tr>
    </w:tbl>
    <w:p w:rsidR="00B545F8" w:rsidRPr="005F262B" w:rsidRDefault="00B545F8" w:rsidP="00B545F8">
      <w:pPr>
        <w:pStyle w:val="SingleTxtGA"/>
        <w:rPr>
          <w:rtl/>
          <w:lang w:eastAsia="zh-TW"/>
        </w:rPr>
      </w:pPr>
      <w:r>
        <w:rPr>
          <w:rtl/>
          <w:lang w:eastAsia="zh-TW"/>
        </w:rPr>
        <w:tab/>
        <w:t>وترى الدولة الطرف أن أحكام قانون الشرطة لا تخالف المبادئ الأساسية بشأن استخدام القوة والأسلحة النارية من جانب الموظفين المكلفين بإنفاذ القوانين.</w:t>
      </w:r>
      <w:r>
        <w:rPr>
          <w:rFonts w:cs="Times New Roman" w:hint="cs"/>
          <w:rtl/>
          <w:lang w:eastAsia="zh-TW"/>
        </w:rPr>
        <w:t>‬</w:t>
      </w:r>
      <w:r>
        <w:rPr>
          <w:rtl/>
          <w:lang w:eastAsia="zh-TW"/>
        </w:rPr>
        <w:t xml:space="preserve"> </w:t>
      </w:r>
    </w:p>
    <w:p w:rsidR="00B545F8" w:rsidRPr="005F262B" w:rsidRDefault="00B545F8" w:rsidP="00B545F8">
      <w:pPr>
        <w:pStyle w:val="SingleTxtGA"/>
        <w:rPr>
          <w:rtl/>
          <w:lang w:eastAsia="zh-TW"/>
        </w:rPr>
      </w:pPr>
      <w:r>
        <w:rPr>
          <w:rtl/>
          <w:lang w:eastAsia="zh-TW"/>
        </w:rPr>
        <w:tab/>
        <w:t>ويستخدم التدريب المقدم إلى الشرطة المبادئ الأساسية بشأن استخدام القوة والأسلحة النارية من جانب الموظفين المكلفين بإنفاذ القوانين كجزء من المنهاج.</w:t>
      </w:r>
      <w:r>
        <w:rPr>
          <w:rFonts w:cs="Times New Roman" w:hint="cs"/>
          <w:rtl/>
          <w:lang w:eastAsia="zh-TW"/>
        </w:rPr>
        <w:t>‬</w:t>
      </w:r>
      <w:r>
        <w:rPr>
          <w:rtl/>
          <w:lang w:eastAsia="zh-TW"/>
        </w:rPr>
        <w:t xml:space="preserve"> </w:t>
      </w:r>
      <w:r>
        <w:rPr>
          <w:rFonts w:ascii="Traditional Arabic" w:hAnsi="Traditional Arabic" w:hint="cs"/>
          <w:rtl/>
          <w:lang w:eastAsia="zh-TW"/>
        </w:rPr>
        <w:t>وتدرس</w:t>
      </w:r>
      <w:r>
        <w:rPr>
          <w:rtl/>
          <w:lang w:eastAsia="zh-TW"/>
        </w:rPr>
        <w:t xml:space="preserve"> </w:t>
      </w:r>
      <w:r>
        <w:rPr>
          <w:rFonts w:ascii="Traditional Arabic" w:hAnsi="Traditional Arabic" w:hint="cs"/>
          <w:rtl/>
          <w:lang w:eastAsia="zh-TW"/>
        </w:rPr>
        <w:t>هذه</w:t>
      </w:r>
      <w:r>
        <w:rPr>
          <w:rtl/>
          <w:lang w:eastAsia="zh-TW"/>
        </w:rPr>
        <w:t xml:space="preserve"> </w:t>
      </w:r>
      <w:r>
        <w:rPr>
          <w:rFonts w:ascii="Traditional Arabic" w:hAnsi="Traditional Arabic" w:hint="cs"/>
          <w:rtl/>
          <w:lang w:eastAsia="zh-TW"/>
        </w:rPr>
        <w:t>المبادئ</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عملية</w:t>
      </w:r>
      <w:r>
        <w:rPr>
          <w:rtl/>
          <w:lang w:eastAsia="zh-TW"/>
        </w:rPr>
        <w:t xml:space="preserve"> </w:t>
      </w:r>
      <w:r>
        <w:rPr>
          <w:rFonts w:ascii="Traditional Arabic" w:hAnsi="Traditional Arabic" w:hint="cs"/>
          <w:rtl/>
          <w:lang w:eastAsia="zh-TW"/>
        </w:rPr>
        <w:t>التدريب</w:t>
      </w:r>
      <w:r>
        <w:rPr>
          <w:rtl/>
          <w:lang w:eastAsia="zh-TW"/>
        </w:rPr>
        <w:t xml:space="preserve"> </w:t>
      </w:r>
      <w:r>
        <w:rPr>
          <w:rFonts w:ascii="Traditional Arabic" w:hAnsi="Traditional Arabic" w:hint="cs"/>
          <w:rtl/>
          <w:lang w:eastAsia="zh-TW"/>
        </w:rPr>
        <w:t>الأساسي</w:t>
      </w:r>
      <w:r>
        <w:rPr>
          <w:rtl/>
          <w:lang w:eastAsia="zh-TW"/>
        </w:rPr>
        <w:t xml:space="preserve"> </w:t>
      </w:r>
      <w:r>
        <w:rPr>
          <w:rFonts w:ascii="Traditional Arabic" w:hAnsi="Traditional Arabic" w:hint="cs"/>
          <w:rtl/>
          <w:lang w:eastAsia="zh-TW"/>
        </w:rPr>
        <w:t>للشرطة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مرحلة</w:t>
      </w:r>
      <w:r>
        <w:rPr>
          <w:rtl/>
          <w:lang w:eastAsia="zh-TW"/>
        </w:rPr>
        <w:t xml:space="preserve"> </w:t>
      </w:r>
      <w:r>
        <w:rPr>
          <w:rFonts w:ascii="Traditional Arabic" w:hAnsi="Traditional Arabic" w:hint="cs"/>
          <w:rtl/>
          <w:lang w:eastAsia="zh-TW"/>
        </w:rPr>
        <w:t>التجني</w:t>
      </w:r>
      <w:r>
        <w:rPr>
          <w:rtl/>
          <w:lang w:eastAsia="zh-TW"/>
        </w:rPr>
        <w:t>د وفي دورات الطلاب العسكريين.</w:t>
      </w:r>
    </w:p>
    <w:p w:rsidR="00B545F8" w:rsidRPr="00B545F8" w:rsidRDefault="001F2F4A" w:rsidP="001F2F4A">
      <w:pPr>
        <w:pStyle w:val="H23GA"/>
        <w:rPr>
          <w:rtl/>
        </w:rPr>
      </w:pPr>
      <w:r>
        <w:rPr>
          <w:rtl/>
        </w:rPr>
        <w:tab/>
      </w:r>
      <w:r>
        <w:rPr>
          <w:rtl/>
        </w:rPr>
        <w:tab/>
      </w:r>
      <w:r w:rsidR="00B545F8" w:rsidRPr="00B545F8">
        <w:rPr>
          <w:rtl/>
        </w:rPr>
        <w:t>تقييم اللجنة</w:t>
      </w:r>
      <w:r w:rsidR="00B545F8">
        <w:rPr>
          <w:rFonts w:cs="Times New Roman" w:hint="cs"/>
          <w:rtl/>
        </w:rPr>
        <w:t xml:space="preserve"> </w:t>
      </w:r>
    </w:p>
    <w:p w:rsidR="00B545F8" w:rsidRPr="001F2F4A" w:rsidRDefault="00B545F8" w:rsidP="00B545F8">
      <w:pPr>
        <w:pStyle w:val="SingleTxtGA"/>
        <w:rPr>
          <w:spacing w:val="-4"/>
          <w:rtl/>
          <w:lang w:eastAsia="zh-TW"/>
        </w:rPr>
      </w:pPr>
      <w:r w:rsidRPr="001F2F4A">
        <w:rPr>
          <w:b/>
          <w:bCs/>
          <w:spacing w:val="-4"/>
          <w:rtl/>
          <w:lang w:eastAsia="zh-TW"/>
        </w:rPr>
        <w:t>[جيم]:</w:t>
      </w:r>
      <w:r w:rsidRPr="001F2F4A">
        <w:rPr>
          <w:spacing w:val="-4"/>
          <w:rtl/>
          <w:lang w:eastAsia="zh-TW"/>
        </w:rPr>
        <w:t xml:space="preserve"> (أ) و(ب)</w:t>
      </w:r>
      <w:r w:rsidR="0043010E" w:rsidRPr="001F2F4A">
        <w:rPr>
          <w:spacing w:val="-4"/>
          <w:rtl/>
          <w:lang w:eastAsia="zh-TW"/>
        </w:rPr>
        <w:t xml:space="preserve"> و</w:t>
      </w:r>
      <w:r w:rsidRPr="001F2F4A">
        <w:rPr>
          <w:spacing w:val="-4"/>
          <w:rtl/>
          <w:lang w:eastAsia="zh-TW"/>
        </w:rPr>
        <w:t xml:space="preserve">(ج): تأسف اللجنة للتأخر الكبير في إنشاء هذه </w:t>
      </w:r>
      <w:r w:rsidRPr="001F2F4A">
        <w:rPr>
          <w:spacing w:val="-4"/>
          <w:rtl/>
          <w:lang w:val="ru-RU" w:eastAsia="zh-TW" w:bidi="ar-DZ"/>
        </w:rPr>
        <w:t>ا</w:t>
      </w:r>
      <w:r w:rsidRPr="001F2F4A">
        <w:rPr>
          <w:spacing w:val="-4"/>
          <w:rtl/>
          <w:lang w:eastAsia="zh-TW"/>
        </w:rPr>
        <w:t xml:space="preserve">للجنة المستقلة المعنية بالشكاوى المقدمة ضد الشرطة (اللجنة المستقلة)، وتطلب معلومات عن التقدم المحرز في هذا الصدد بشأن تشكيلة اللجنة والهيئة التي ستكون تابعة لها، وعن التدابير المتخذة لكفالة استقلالها عن الشرطة وتزويدها بالموارد البشرية والمالية الكافية لتمكينها من العمل بفعالية. وريثما يتم إنشاء اللجنة المستقلة، تطلب اللجنة توضيحات </w:t>
      </w:r>
      <w:r w:rsidRPr="001F2F4A">
        <w:rPr>
          <w:spacing w:val="-4"/>
          <w:rtl/>
          <w:lang w:val="ru-RU" w:eastAsia="zh-TW" w:bidi="ar-DZ"/>
        </w:rPr>
        <w:t xml:space="preserve">لمعرفة ما إذا كانت </w:t>
      </w:r>
      <w:r w:rsidRPr="001F2F4A">
        <w:rPr>
          <w:spacing w:val="-4"/>
          <w:rtl/>
          <w:lang w:eastAsia="zh-TW"/>
        </w:rPr>
        <w:t xml:space="preserve">التحقيقات في ادعاءات التعرض للتعذيب وسوء المعاملة التي تجريها وحدة المعايير المهنية داخل الشرطة تستوفي شرطي الاستقلال والحياد. </w:t>
      </w:r>
    </w:p>
    <w:p w:rsidR="00B545F8" w:rsidRPr="00BB7E4E" w:rsidRDefault="00B545F8" w:rsidP="001F2F4A">
      <w:pPr>
        <w:pStyle w:val="SingleTxtGA"/>
        <w:rPr>
          <w:rtl/>
          <w:lang w:eastAsia="zh-TW"/>
        </w:rPr>
      </w:pPr>
      <w:r>
        <w:rPr>
          <w:rtl/>
          <w:lang w:eastAsia="zh-TW"/>
        </w:rPr>
        <w:tab/>
      </w:r>
      <w:r w:rsidRPr="00BB7E4E">
        <w:rPr>
          <w:rtl/>
          <w:lang w:eastAsia="zh-TW"/>
        </w:rPr>
        <w:t xml:space="preserve">وتأسف اللجنة لعدم تقديم معلومات </w:t>
      </w:r>
      <w:r>
        <w:rPr>
          <w:rtl/>
          <w:lang w:eastAsia="zh-TW"/>
        </w:rPr>
        <w:t>تبين</w:t>
      </w:r>
      <w:r w:rsidRPr="00BB7E4E">
        <w:rPr>
          <w:rtl/>
          <w:lang w:eastAsia="zh-TW"/>
        </w:rPr>
        <w:t xml:space="preserve"> ما إذا كان قد أنشئ نظام مركزي لتتبع جميع</w:t>
      </w:r>
      <w:r w:rsidR="001F2F4A">
        <w:rPr>
          <w:rFonts w:hint="cs"/>
          <w:rtl/>
          <w:lang w:eastAsia="zh-TW"/>
        </w:rPr>
        <w:t> </w:t>
      </w:r>
      <w:r w:rsidRPr="00BB7E4E">
        <w:rPr>
          <w:rtl/>
          <w:lang w:eastAsia="zh-TW"/>
        </w:rPr>
        <w:t xml:space="preserve">الشكاوى المتعلقة بالتعذيب وسوء المعاملة وما إذا كانت هذه المعلومات متاحة للجمهور و/أو مقدمة عند الطلب فقط. وتكرر اللجنة تأكيد توصيتها. </w:t>
      </w:r>
    </w:p>
    <w:p w:rsidR="00B545F8" w:rsidRPr="00282D59" w:rsidRDefault="00B545F8" w:rsidP="00B545F8">
      <w:pPr>
        <w:pStyle w:val="SingleTxtGA"/>
        <w:rPr>
          <w:spacing w:val="-4"/>
          <w:rtl/>
          <w:lang w:eastAsia="zh-TW"/>
        </w:rPr>
      </w:pPr>
      <w:r w:rsidRPr="00282D59">
        <w:rPr>
          <w:b/>
          <w:bCs/>
          <w:spacing w:val="-4"/>
          <w:rtl/>
          <w:lang w:eastAsia="zh-TW"/>
        </w:rPr>
        <w:t>[جيم]</w:t>
      </w:r>
      <w:r w:rsidR="00A501A7">
        <w:rPr>
          <w:spacing w:val="-4"/>
          <w:rtl/>
          <w:lang w:eastAsia="zh-TW"/>
        </w:rPr>
        <w:t>(</w:t>
      </w:r>
      <w:r w:rsidRPr="00282D59">
        <w:rPr>
          <w:spacing w:val="-4"/>
          <w:rtl/>
          <w:lang w:eastAsia="zh-TW"/>
        </w:rPr>
        <w:t>د): تعرب اللجنة عن تقديرها للمعلومات المقدمة عن أحكام قانون الشرطة التي تنظم استخدام الأسلحة النارية، لكنها تطلب توضيحات تبين إلى أي مدى سيكون استخدام هذه الأسلحة عندما تستخدم لأغراض منع شخص متهم أو مدان بارتكاب جناية بموجب المادة ٤٤ من قانون الشرطة من الفرار، وحماية الممتلكات ال</w:t>
      </w:r>
      <w:r w:rsidR="00152B44">
        <w:rPr>
          <w:spacing w:val="-4"/>
          <w:rtl/>
          <w:lang w:eastAsia="zh-TW"/>
        </w:rPr>
        <w:t>تي تعتبر ثمينة بموجب المادة 105</w:t>
      </w:r>
      <w:r w:rsidRPr="00282D59">
        <w:rPr>
          <w:spacing w:val="-4"/>
          <w:rtl/>
          <w:lang w:eastAsia="zh-TW"/>
        </w:rPr>
        <w:t xml:space="preserve">(٤) من قانون الشرطة في حالات لا يوجد فيها خطر يهدد الحياة، </w:t>
      </w:r>
      <w:r w:rsidRPr="00BD0320">
        <w:rPr>
          <w:spacing w:val="-4"/>
          <w:rtl/>
          <w:lang w:eastAsia="zh-TW"/>
        </w:rPr>
        <w:t>متفقاً مع المبادئ</w:t>
      </w:r>
      <w:r w:rsidRPr="00282D59">
        <w:rPr>
          <w:spacing w:val="-4"/>
          <w:rtl/>
          <w:lang w:eastAsia="zh-TW"/>
        </w:rPr>
        <w:t xml:space="preserve"> الأساسية بشأن استخدام القوة والأسلحة النارية من جانب الموظفين المكلفين بإنفاذ القوانين التي تجعل الاستخدام المشروع للأسلحة النارية يقتصر على ظروف بالغة الضرورة من أجل مواجهة أي تهديد وشيك بالموت أو بإصابة خطيرة، أو لمنع ارتكاب جريمة بالغة الخطورة تنطوي على خطر كبير يهدد الحياة. </w:t>
      </w:r>
    </w:p>
    <w:p w:rsidR="00B545F8" w:rsidRPr="00B545F8" w:rsidRDefault="001F2F4A" w:rsidP="001F2F4A">
      <w:pPr>
        <w:pStyle w:val="H23GA"/>
        <w:rPr>
          <w:rtl/>
        </w:rPr>
      </w:pPr>
      <w:r>
        <w:rPr>
          <w:rtl/>
        </w:rPr>
        <w:tab/>
      </w:r>
      <w:r>
        <w:rPr>
          <w:rtl/>
        </w:rPr>
        <w:tab/>
      </w:r>
      <w:r w:rsidR="00B545F8" w:rsidRPr="00B545F8">
        <w:rPr>
          <w:rtl/>
        </w:rPr>
        <w:t>الفقرة ٢٤:</w:t>
      </w:r>
      <w:r w:rsidR="00B545F8" w:rsidRPr="00B545F8">
        <w:rPr>
          <w:rFonts w:hint="cs"/>
          <w:rtl/>
        </w:rPr>
        <w:t xml:space="preserve"> </w:t>
      </w:r>
      <w:r w:rsidR="00B545F8" w:rsidRPr="00B545F8">
        <w:rPr>
          <w:rtl/>
        </w:rPr>
        <w:t xml:space="preserve">إيذاء الأطفال جنسياً </w:t>
      </w:r>
    </w:p>
    <w:p w:rsidR="00B545F8" w:rsidRPr="00B545F8" w:rsidRDefault="00B545F8" w:rsidP="00B545F8">
      <w:pPr>
        <w:pStyle w:val="SingleTxtGA"/>
        <w:rPr>
          <w:b/>
          <w:bCs/>
          <w:rtl/>
          <w:lang w:eastAsia="zh-TW"/>
        </w:rPr>
      </w:pPr>
      <w:r>
        <w:rPr>
          <w:b/>
          <w:bCs/>
          <w:rtl/>
          <w:lang w:eastAsia="zh-TW"/>
        </w:rPr>
        <w:tab/>
      </w:r>
      <w:r w:rsidRPr="00B545F8">
        <w:rPr>
          <w:b/>
          <w:bCs/>
          <w:rtl/>
          <w:lang w:eastAsia="zh-TW"/>
        </w:rPr>
        <w:t>ينبغي للدولة الطرف القيام بما يلي:</w:t>
      </w:r>
    </w:p>
    <w:p w:rsidR="00B545F8" w:rsidRPr="00B545F8" w:rsidRDefault="00B545F8" w:rsidP="00B545F8">
      <w:pPr>
        <w:pStyle w:val="SingleTxtGA"/>
        <w:rPr>
          <w:b/>
          <w:bCs/>
          <w:rtl/>
          <w:lang w:eastAsia="zh-TW"/>
        </w:rPr>
      </w:pPr>
      <w:r w:rsidRPr="00B545F8">
        <w:rPr>
          <w:b/>
          <w:bCs/>
          <w:lang w:eastAsia="zh-TW"/>
        </w:rPr>
        <w:tab/>
      </w:r>
      <w:r w:rsidRPr="00B545F8">
        <w:rPr>
          <w:b/>
          <w:bCs/>
          <w:rtl/>
          <w:lang w:eastAsia="zh-TW"/>
        </w:rPr>
        <w:t>(أ)</w:t>
      </w:r>
      <w:r w:rsidRPr="00B545F8">
        <w:rPr>
          <w:b/>
          <w:bCs/>
          <w:rtl/>
          <w:lang w:eastAsia="zh-TW"/>
        </w:rPr>
        <w:tab/>
        <w:t>تعديل قانون العقوبات بهدف تجريم جميع أشكال إيذاء الأطفال جنسياً بصرف النظر عن جنس الطفل؛</w:t>
      </w:r>
    </w:p>
    <w:p w:rsidR="00B545F8" w:rsidRPr="00B545F8" w:rsidRDefault="00B545F8" w:rsidP="00152B44">
      <w:pPr>
        <w:pStyle w:val="SingleTxtGA"/>
        <w:rPr>
          <w:b/>
          <w:bCs/>
          <w:rtl/>
          <w:lang w:eastAsia="zh-TW"/>
        </w:rPr>
      </w:pPr>
      <w:r w:rsidRPr="00B545F8">
        <w:rPr>
          <w:b/>
          <w:bCs/>
          <w:lang w:eastAsia="zh-TW"/>
        </w:rPr>
        <w:tab/>
      </w:r>
      <w:r w:rsidRPr="00B545F8">
        <w:rPr>
          <w:b/>
          <w:bCs/>
          <w:rtl/>
          <w:lang w:eastAsia="zh-TW"/>
        </w:rPr>
        <w:t>(ب)</w:t>
      </w:r>
      <w:r w:rsidRPr="00B545F8">
        <w:rPr>
          <w:b/>
          <w:bCs/>
          <w:rtl/>
          <w:lang w:eastAsia="zh-TW"/>
        </w:rPr>
        <w:tab/>
        <w:t>ضمان تقديم جميع الجناة إلى العدالة وعدم سحب القضايا على نحو لا</w:t>
      </w:r>
      <w:r w:rsidR="00152B44">
        <w:rPr>
          <w:rFonts w:hint="cs"/>
          <w:b/>
          <w:bCs/>
          <w:rtl/>
          <w:lang w:eastAsia="zh-TW"/>
        </w:rPr>
        <w:t> </w:t>
      </w:r>
      <w:r w:rsidRPr="00B545F8">
        <w:rPr>
          <w:b/>
          <w:bCs/>
          <w:rtl/>
          <w:lang w:eastAsia="zh-TW"/>
        </w:rPr>
        <w:t xml:space="preserve">موجب له وإعادة تأهيل الضحايا وتعويضهم؛ </w:t>
      </w:r>
    </w:p>
    <w:p w:rsidR="00B545F8" w:rsidRDefault="00B545F8" w:rsidP="00B545F8">
      <w:pPr>
        <w:pStyle w:val="SingleTxtGA"/>
        <w:rPr>
          <w:b/>
          <w:bCs/>
          <w:rtl/>
          <w:lang w:eastAsia="zh-TW"/>
        </w:rPr>
      </w:pPr>
      <w:r>
        <w:rPr>
          <w:b/>
          <w:bCs/>
          <w:rtl/>
          <w:lang w:eastAsia="zh-TW"/>
        </w:rPr>
        <w:tab/>
      </w:r>
      <w:r w:rsidRPr="00B545F8">
        <w:rPr>
          <w:b/>
          <w:bCs/>
          <w:rtl/>
          <w:lang w:eastAsia="zh-TW"/>
        </w:rPr>
        <w:t>(ج)</w:t>
      </w:r>
      <w:r>
        <w:rPr>
          <w:b/>
          <w:bCs/>
          <w:rtl/>
          <w:lang w:eastAsia="zh-TW"/>
        </w:rPr>
        <w:tab/>
      </w:r>
      <w:r w:rsidRPr="00B545F8">
        <w:rPr>
          <w:b/>
          <w:bCs/>
          <w:rtl/>
          <w:lang w:eastAsia="zh-TW"/>
        </w:rPr>
        <w:t>كفل عدم تطبيق "قاعدة إثبات الادعاء" التي تفيد ضرورة إفادة شاهد في القانون والممارسة بطريقة من شأنها أن تسفر عن الإفلات من العقاب لدى الفصل في قضايا العنف الجنسي.</w:t>
      </w:r>
    </w:p>
    <w:tbl>
      <w:tblPr>
        <w:bidiVisual/>
        <w:tblW w:w="7257" w:type="dxa"/>
        <w:tblInd w:w="1247"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257"/>
      </w:tblGrid>
      <w:tr w:rsidR="00282D59" w:rsidRPr="00B545F8" w:rsidTr="00FF281A">
        <w:trPr>
          <w:trHeight w:val="240"/>
          <w:tblHeader/>
        </w:trPr>
        <w:tc>
          <w:tcPr>
            <w:tcW w:w="7257" w:type="dxa"/>
            <w:tcBorders>
              <w:top w:val="single" w:sz="4" w:space="0" w:color="auto"/>
              <w:bottom w:val="single" w:sz="12" w:space="0" w:color="auto"/>
            </w:tcBorders>
            <w:shd w:val="clear" w:color="auto" w:fill="auto"/>
            <w:tcMar>
              <w:left w:w="108" w:type="dxa"/>
              <w:right w:w="108" w:type="dxa"/>
            </w:tcMar>
            <w:vAlign w:val="bottom"/>
          </w:tcPr>
          <w:p w:rsidR="00282D59" w:rsidRPr="00B545F8" w:rsidRDefault="00282D59" w:rsidP="00BD0320">
            <w:pPr>
              <w:spacing w:after="120" w:line="320" w:lineRule="exact"/>
              <w:jc w:val="both"/>
              <w:textDirection w:val="tbRlV"/>
              <w:rPr>
                <w:i/>
                <w:iCs/>
                <w:sz w:val="16"/>
                <w:rtl/>
                <w:lang w:eastAsia="zh-TW"/>
              </w:rPr>
            </w:pPr>
            <w:r w:rsidRPr="00B545F8">
              <w:rPr>
                <w:i/>
                <w:iCs/>
                <w:rtl/>
                <w:lang w:eastAsia="zh-TW"/>
              </w:rPr>
              <w:lastRenderedPageBreak/>
              <w:t>ملاوي</w:t>
            </w:r>
          </w:p>
        </w:tc>
      </w:tr>
    </w:tbl>
    <w:p w:rsidR="00B545F8" w:rsidRPr="00B545F8" w:rsidRDefault="00BD0320" w:rsidP="00BD0320">
      <w:pPr>
        <w:pStyle w:val="H23GA"/>
        <w:rPr>
          <w:rtl/>
        </w:rPr>
      </w:pPr>
      <w:r>
        <w:rPr>
          <w:rtl/>
        </w:rPr>
        <w:tab/>
      </w:r>
      <w:r>
        <w:rPr>
          <w:rtl/>
        </w:rPr>
        <w:tab/>
      </w:r>
      <w:r w:rsidR="00B545F8" w:rsidRPr="00B545F8">
        <w:rPr>
          <w:rtl/>
        </w:rPr>
        <w:t xml:space="preserve">ملخص ردّ الدولة الطرف </w:t>
      </w:r>
    </w:p>
    <w:p w:rsidR="00B545F8" w:rsidRPr="008E50C3" w:rsidRDefault="00B545F8" w:rsidP="00B545F8">
      <w:pPr>
        <w:pStyle w:val="SingleTxtGA"/>
        <w:rPr>
          <w:lang w:val="fr-CH" w:eastAsia="zh-TW"/>
        </w:rPr>
      </w:pPr>
      <w:r>
        <w:rPr>
          <w:rtl/>
          <w:lang w:eastAsia="zh-TW"/>
        </w:rPr>
        <w:tab/>
        <w:t>(ب)</w:t>
      </w:r>
      <w:r>
        <w:rPr>
          <w:rtl/>
          <w:lang w:eastAsia="zh-TW"/>
        </w:rPr>
        <w:tab/>
        <w:t xml:space="preserve">لا تسحب الدولة أي حالة إلا إذا لم تتوفر أدلة كافية تثبتها. وبصفة عامة، يمكن سحب القضايا بناء على طلب الضحية، وللمحكمة </w:t>
      </w:r>
      <w:r w:rsidRPr="008E50C3">
        <w:rPr>
          <w:rtl/>
          <w:lang w:eastAsia="zh-TW"/>
        </w:rPr>
        <w:t>التي تتولى الرئاسة صلاحية</w:t>
      </w:r>
      <w:r>
        <w:rPr>
          <w:rtl/>
          <w:lang w:eastAsia="zh-TW"/>
        </w:rPr>
        <w:t xml:space="preserve"> رفض الطلب أو قبوله. ويتلقى أفراد الشرطة التدريب في مجال الاستفسار عن </w:t>
      </w:r>
      <w:r>
        <w:rPr>
          <w:rtl/>
          <w:lang w:val="ru-RU" w:eastAsia="zh-TW" w:bidi="ar-DZ"/>
        </w:rPr>
        <w:t>مبررات</w:t>
      </w:r>
      <w:r>
        <w:rPr>
          <w:rtl/>
          <w:lang w:eastAsia="zh-TW"/>
        </w:rPr>
        <w:t xml:space="preserve"> أي سحب للقضايا بغية تفادي التأثير غير المبرر. </w:t>
      </w:r>
    </w:p>
    <w:p w:rsidR="00B545F8" w:rsidRPr="00A501A7" w:rsidRDefault="00B545F8" w:rsidP="00B545F8">
      <w:pPr>
        <w:pStyle w:val="SingleTxtGA"/>
        <w:rPr>
          <w:spacing w:val="-5"/>
          <w:rtl/>
          <w:lang w:eastAsia="zh-TW"/>
        </w:rPr>
      </w:pPr>
      <w:r w:rsidRPr="00A501A7">
        <w:rPr>
          <w:spacing w:val="-5"/>
          <w:rtl/>
          <w:lang w:eastAsia="zh-TW"/>
        </w:rPr>
        <w:tab/>
        <w:t>وتؤدي وحدة دعم الضحايا دور</w:t>
      </w:r>
      <w:r w:rsidR="006147D2" w:rsidRPr="00A501A7">
        <w:rPr>
          <w:spacing w:val="-5"/>
          <w:rtl/>
          <w:lang w:eastAsia="zh-TW"/>
        </w:rPr>
        <w:t xml:space="preserve">اً </w:t>
      </w:r>
      <w:r w:rsidRPr="00A501A7">
        <w:rPr>
          <w:spacing w:val="-5"/>
          <w:rtl/>
          <w:lang w:eastAsia="zh-TW"/>
        </w:rPr>
        <w:t>هام</w:t>
      </w:r>
      <w:r w:rsidR="006147D2" w:rsidRPr="00A501A7">
        <w:rPr>
          <w:spacing w:val="-5"/>
          <w:rtl/>
          <w:lang w:eastAsia="zh-TW"/>
        </w:rPr>
        <w:t xml:space="preserve">اً </w:t>
      </w:r>
      <w:r w:rsidRPr="00A501A7">
        <w:rPr>
          <w:spacing w:val="-5"/>
          <w:rtl/>
          <w:lang w:eastAsia="zh-TW"/>
        </w:rPr>
        <w:t>في إعادة تأهيل الضحايا وتوفر خدمات مشورة أساسية. وتقدم وحدة الرعاية الاجتماعية التابعة لوزارة المساواة بين الجنسين أو المركز الجامع للخدمات (في بلانتير) المشورة المسبقة. وتؤدي المنظمات غير الحكومية أيض</w:t>
      </w:r>
      <w:r w:rsidR="006147D2" w:rsidRPr="00A501A7">
        <w:rPr>
          <w:spacing w:val="-5"/>
          <w:rtl/>
          <w:lang w:eastAsia="zh-TW"/>
        </w:rPr>
        <w:t xml:space="preserve">اً </w:t>
      </w:r>
      <w:r w:rsidRPr="00A501A7">
        <w:rPr>
          <w:spacing w:val="-5"/>
          <w:rtl/>
          <w:lang w:eastAsia="zh-TW"/>
        </w:rPr>
        <w:t>دور</w:t>
      </w:r>
      <w:r w:rsidR="006147D2" w:rsidRPr="00A501A7">
        <w:rPr>
          <w:spacing w:val="-5"/>
          <w:rtl/>
          <w:lang w:eastAsia="zh-TW"/>
        </w:rPr>
        <w:t xml:space="preserve">اً </w:t>
      </w:r>
      <w:r w:rsidRPr="00A501A7">
        <w:rPr>
          <w:spacing w:val="-5"/>
          <w:rtl/>
          <w:lang w:eastAsia="zh-TW"/>
        </w:rPr>
        <w:t>حاسم</w:t>
      </w:r>
      <w:r w:rsidR="006147D2" w:rsidRPr="00A501A7">
        <w:rPr>
          <w:spacing w:val="-5"/>
          <w:rtl/>
          <w:lang w:eastAsia="zh-TW"/>
        </w:rPr>
        <w:t xml:space="preserve">اً </w:t>
      </w:r>
      <w:r w:rsidRPr="00A501A7">
        <w:rPr>
          <w:spacing w:val="-5"/>
          <w:rtl/>
          <w:lang w:eastAsia="zh-TW"/>
        </w:rPr>
        <w:t>في هذا الصدد.</w:t>
      </w:r>
    </w:p>
    <w:p w:rsidR="00B545F8" w:rsidRPr="00B545F8" w:rsidRDefault="00BD0320" w:rsidP="00BD0320">
      <w:pPr>
        <w:pStyle w:val="H23GA"/>
        <w:rPr>
          <w:rtl/>
        </w:rPr>
      </w:pPr>
      <w:r>
        <w:rPr>
          <w:rtl/>
        </w:rPr>
        <w:tab/>
      </w:r>
      <w:r>
        <w:rPr>
          <w:rtl/>
        </w:rPr>
        <w:tab/>
      </w:r>
      <w:r w:rsidR="00B545F8" w:rsidRPr="00B545F8">
        <w:rPr>
          <w:rtl/>
        </w:rPr>
        <w:t xml:space="preserve">تقييم اللجنة </w:t>
      </w:r>
    </w:p>
    <w:p w:rsidR="00B545F8" w:rsidRPr="005F262B" w:rsidRDefault="00B545F8" w:rsidP="00B545F8">
      <w:pPr>
        <w:pStyle w:val="SingleTxtGA"/>
        <w:rPr>
          <w:rtl/>
          <w:lang w:eastAsia="zh-TW"/>
        </w:rPr>
      </w:pPr>
      <w:r w:rsidRPr="00B545F8">
        <w:rPr>
          <w:b/>
          <w:bCs/>
          <w:rtl/>
          <w:lang w:eastAsia="zh-TW"/>
        </w:rPr>
        <w:t>[جيم]</w:t>
      </w:r>
      <w:r>
        <w:rPr>
          <w:rtl/>
          <w:lang w:eastAsia="zh-TW"/>
        </w:rPr>
        <w:t xml:space="preserve"> (أ) و(ج): تعرب اللجنة عن أسفها لأن الدولة الطرف لم تقدم أي معلومات بشأن الخطوات المتخذة لتجريم جميع أشكال الإيذاء الجنسي للأطفال، بغض النظر عن جنس الطفل، وضمان عدم تطبيق "قاعدة إثبات الادعاء" التي تتطلب شهادة شاهد بطريقة تسفر عن الإفلات من العقاب عند الفصل في قضايا العنف الجنسي. وتكرر اللجنة تأكيد توصياتها.</w:t>
      </w:r>
    </w:p>
    <w:p w:rsidR="00B545F8" w:rsidRPr="00A501A7" w:rsidRDefault="00B545F8" w:rsidP="00B545F8">
      <w:pPr>
        <w:pStyle w:val="SingleTxtGA"/>
        <w:rPr>
          <w:spacing w:val="-4"/>
          <w:rtl/>
          <w:lang w:eastAsia="zh-TW"/>
        </w:rPr>
      </w:pPr>
      <w:r w:rsidRPr="00A501A7">
        <w:rPr>
          <w:b/>
          <w:bCs/>
          <w:spacing w:val="-4"/>
          <w:rtl/>
          <w:lang w:eastAsia="zh-TW"/>
        </w:rPr>
        <w:t>[جيم]</w:t>
      </w:r>
      <w:r w:rsidRPr="00A501A7">
        <w:rPr>
          <w:spacing w:val="-4"/>
          <w:rtl/>
          <w:lang w:eastAsia="zh-TW"/>
        </w:rPr>
        <w:t xml:space="preserve"> (ب): تلاحظ اللجنة المعلومات المقدمة، لكنها تطلب معلومات أكثر تحديد</w:t>
      </w:r>
      <w:r w:rsidR="006147D2" w:rsidRPr="00A501A7">
        <w:rPr>
          <w:spacing w:val="-4"/>
          <w:rtl/>
          <w:lang w:eastAsia="zh-TW"/>
        </w:rPr>
        <w:t xml:space="preserve">اً </w:t>
      </w:r>
      <w:r w:rsidRPr="00A501A7">
        <w:rPr>
          <w:spacing w:val="-4"/>
          <w:rtl/>
          <w:lang w:eastAsia="zh-TW"/>
        </w:rPr>
        <w:t>عن التدابير المتخذة منذ اعتماد ملاحظاتها الختامية من أجل تقديم جميع مرتكبي الإيذاء الجنسي للأطفال بجميع أشكاله إلى العدالة. وهي تطلب أيض</w:t>
      </w:r>
      <w:r w:rsidR="006147D2" w:rsidRPr="00A501A7">
        <w:rPr>
          <w:spacing w:val="-4"/>
          <w:rtl/>
          <w:lang w:eastAsia="zh-TW"/>
        </w:rPr>
        <w:t xml:space="preserve">اً </w:t>
      </w:r>
      <w:r w:rsidRPr="00A501A7">
        <w:rPr>
          <w:spacing w:val="-4"/>
          <w:rtl/>
          <w:lang w:eastAsia="zh-TW"/>
        </w:rPr>
        <w:t xml:space="preserve">معلومات عن التعويضات وخدمات إعادة التأهيل الملموسة المقدمة إلى الضحايا، في الممارسة العملية. وتكرر اللجنة تأكيد توصياتها. </w:t>
      </w:r>
    </w:p>
    <w:p w:rsidR="00B545F8" w:rsidRPr="00B545F8" w:rsidRDefault="00BD0320" w:rsidP="00BD0320">
      <w:pPr>
        <w:pStyle w:val="H23GA"/>
        <w:rPr>
          <w:rtl/>
        </w:rPr>
      </w:pPr>
      <w:r>
        <w:rPr>
          <w:rtl/>
        </w:rPr>
        <w:tab/>
      </w:r>
      <w:r>
        <w:rPr>
          <w:rtl/>
        </w:rPr>
        <w:tab/>
      </w:r>
      <w:r w:rsidR="00B545F8" w:rsidRPr="00B545F8">
        <w:rPr>
          <w:rtl/>
        </w:rPr>
        <w:t>الفقرة ٢٥: الزواج القسري وزواج الأطفال</w:t>
      </w:r>
    </w:p>
    <w:p w:rsidR="00B545F8" w:rsidRPr="00B545F8" w:rsidRDefault="00B545F8" w:rsidP="00B545F8">
      <w:pPr>
        <w:pStyle w:val="SingleTxtGA"/>
        <w:rPr>
          <w:b/>
          <w:bCs/>
          <w:rtl/>
          <w:lang w:eastAsia="zh-TW"/>
        </w:rPr>
      </w:pPr>
      <w:r>
        <w:rPr>
          <w:rtl/>
          <w:lang w:eastAsia="zh-TW"/>
        </w:rPr>
        <w:tab/>
      </w:r>
      <w:r w:rsidRPr="00B545F8">
        <w:rPr>
          <w:b/>
          <w:bCs/>
          <w:rtl/>
          <w:lang w:eastAsia="zh-TW"/>
        </w:rPr>
        <w:t>ينبغي للدولة الطرف القيام بما يلي:</w:t>
      </w:r>
    </w:p>
    <w:p w:rsidR="00B545F8" w:rsidRPr="00B545F8" w:rsidRDefault="00B545F8" w:rsidP="00B545F8">
      <w:pPr>
        <w:pStyle w:val="SingleTxtGA"/>
        <w:rPr>
          <w:b/>
          <w:bCs/>
          <w:rtl/>
          <w:lang w:eastAsia="zh-TW"/>
        </w:rPr>
      </w:pPr>
      <w:r w:rsidRPr="00B545F8">
        <w:rPr>
          <w:b/>
          <w:bCs/>
          <w:lang w:eastAsia="zh-TW"/>
        </w:rPr>
        <w:tab/>
      </w:r>
      <w:r w:rsidRPr="00B545F8">
        <w:rPr>
          <w:b/>
          <w:bCs/>
          <w:rtl/>
          <w:lang w:eastAsia="zh-TW"/>
        </w:rPr>
        <w:t>(أ)</w:t>
      </w:r>
      <w:r w:rsidRPr="00B545F8">
        <w:rPr>
          <w:b/>
          <w:bCs/>
          <w:rtl/>
          <w:lang w:eastAsia="zh-TW"/>
        </w:rPr>
        <w:tab/>
        <w:t xml:space="preserve">التعجيل باعتماد مشروع القانون المتعلق بالزواج والطلاق والعلاقات الأسرية، وضمان أن يجرم مشروع القانون صراحة الزواج القسري وزواج الأطفال، ويحدد الحد الأدنى لسن الزواج وفقاً للمعايير الدولية؛ </w:t>
      </w:r>
    </w:p>
    <w:p w:rsidR="00B545F8" w:rsidRPr="00B545F8" w:rsidRDefault="00B545F8" w:rsidP="00B545F8">
      <w:pPr>
        <w:pStyle w:val="SingleTxtGA"/>
        <w:rPr>
          <w:b/>
          <w:bCs/>
          <w:rtl/>
          <w:lang w:eastAsia="zh-TW"/>
        </w:rPr>
      </w:pPr>
      <w:r w:rsidRPr="00B545F8">
        <w:rPr>
          <w:b/>
          <w:bCs/>
          <w:lang w:eastAsia="zh-TW"/>
        </w:rPr>
        <w:tab/>
      </w:r>
      <w:r w:rsidRPr="00B545F8">
        <w:rPr>
          <w:b/>
          <w:bCs/>
          <w:rtl/>
          <w:lang w:eastAsia="zh-TW"/>
        </w:rPr>
        <w:t>(ب)</w:t>
      </w:r>
      <w:r w:rsidRPr="00B545F8">
        <w:rPr>
          <w:b/>
          <w:bCs/>
          <w:rtl/>
          <w:lang w:eastAsia="zh-TW"/>
        </w:rPr>
        <w:tab/>
        <w:t xml:space="preserve">توفير التدريب للجهات المعنية ذات الصلة وتنظيم حملات توعية ترمي إلى منع الزواج القسري وزواج الأطفال؛ </w:t>
      </w:r>
    </w:p>
    <w:p w:rsidR="00B545F8" w:rsidRPr="00B545F8" w:rsidRDefault="00B545F8" w:rsidP="00B545F8">
      <w:pPr>
        <w:pStyle w:val="SingleTxtGA"/>
        <w:rPr>
          <w:b/>
          <w:bCs/>
          <w:rtl/>
          <w:lang w:eastAsia="zh-TW"/>
        </w:rPr>
      </w:pPr>
      <w:r>
        <w:rPr>
          <w:b/>
          <w:bCs/>
          <w:rtl/>
          <w:lang w:eastAsia="zh-TW"/>
        </w:rPr>
        <w:tab/>
      </w:r>
      <w:r w:rsidRPr="00B545F8">
        <w:rPr>
          <w:b/>
          <w:bCs/>
          <w:rtl/>
          <w:lang w:eastAsia="zh-TW"/>
        </w:rPr>
        <w:t>(ج)</w:t>
      </w:r>
      <w:r>
        <w:rPr>
          <w:b/>
          <w:bCs/>
          <w:rtl/>
          <w:lang w:eastAsia="zh-TW"/>
        </w:rPr>
        <w:tab/>
      </w:r>
      <w:r w:rsidRPr="00B545F8">
        <w:rPr>
          <w:b/>
          <w:bCs/>
          <w:rtl/>
          <w:lang w:eastAsia="zh-TW"/>
        </w:rPr>
        <w:t>مقاضاة الجناة المزعومين ومعاقبة المدانين وتعويض الضحايا.</w:t>
      </w:r>
    </w:p>
    <w:p w:rsidR="00B545F8" w:rsidRPr="005F262B" w:rsidRDefault="00BD0320" w:rsidP="00BD0320">
      <w:pPr>
        <w:pStyle w:val="H23GA"/>
        <w:rPr>
          <w:rtl/>
        </w:rPr>
      </w:pPr>
      <w:r>
        <w:rPr>
          <w:rtl/>
        </w:rPr>
        <w:tab/>
      </w:r>
      <w:r>
        <w:rPr>
          <w:rtl/>
        </w:rPr>
        <w:tab/>
      </w:r>
      <w:r w:rsidR="00B545F8" w:rsidRPr="00B545F8">
        <w:rPr>
          <w:rtl/>
        </w:rPr>
        <w:t>ملخص ردّ الدولة الطرف</w:t>
      </w:r>
      <w:r w:rsidR="00B545F8">
        <w:rPr>
          <w:rFonts w:cs="Times New Roman" w:hint="cs"/>
          <w:rtl/>
        </w:rPr>
        <w:t xml:space="preserve"> </w:t>
      </w:r>
    </w:p>
    <w:p w:rsidR="00B545F8" w:rsidRDefault="00B545F8" w:rsidP="00B545F8">
      <w:pPr>
        <w:pStyle w:val="SingleTxtGA"/>
        <w:rPr>
          <w:rtl/>
        </w:rPr>
      </w:pPr>
      <w:r>
        <w:rPr>
          <w:rtl/>
        </w:rPr>
        <w:tab/>
      </w:r>
      <w:dir w:val="rtl">
        <w:r>
          <w:rPr>
            <w:rtl/>
            <w:lang w:eastAsia="zh-TW"/>
          </w:rPr>
          <w:t>لم تقدم أي معلومات</w:t>
        </w:r>
        <w:r>
          <w:rPr>
            <w:rFonts w:cs="Times New Roman" w:hint="cs"/>
            <w:rtl/>
            <w:lang w:eastAsia="zh-TW"/>
          </w:rPr>
          <w:t>‬</w:t>
        </w:r>
        <w:r>
          <w:rPr>
            <w:rtl/>
            <w:lang w:eastAsia="zh-TW"/>
          </w:rPr>
          <w:t>.</w:t>
        </w:r>
        <w:r>
          <w:t>‬</w:t>
        </w:r>
        <w:r>
          <w:t>‬</w:t>
        </w:r>
        <w:r>
          <w:t>‬</w:t>
        </w:r>
        <w:r>
          <w:t>‬</w:t>
        </w:r>
        <w:r>
          <w:t>‬</w:t>
        </w:r>
        <w:r>
          <w:t>‬</w:t>
        </w:r>
        <w:r w:rsidR="00DC1DEF">
          <w:t>‬</w:t>
        </w:r>
        <w:r w:rsidR="00BD0320">
          <w:t>‬</w:t>
        </w:r>
        <w:r w:rsidR="00E50C3B">
          <w:t>‬</w:t>
        </w:r>
        <w:r w:rsidR="00D8591B">
          <w:t>‬</w:t>
        </w:r>
      </w:dir>
    </w:p>
    <w:p w:rsidR="00A501A7" w:rsidRPr="004478D8" w:rsidRDefault="00BD0320" w:rsidP="00BD0320">
      <w:pPr>
        <w:pStyle w:val="H23GA"/>
        <w:rPr>
          <w:rtl/>
        </w:rPr>
      </w:pPr>
      <w:r>
        <w:rPr>
          <w:rtl/>
        </w:rPr>
        <w:tab/>
      </w:r>
      <w:r>
        <w:rPr>
          <w:rtl/>
        </w:rPr>
        <w:tab/>
      </w:r>
      <w:r w:rsidR="00A501A7" w:rsidRPr="00B545F8">
        <w:rPr>
          <w:rtl/>
        </w:rPr>
        <w:t>تقييم اللجنة</w:t>
      </w:r>
      <w:r w:rsidR="00A501A7" w:rsidRPr="004478D8">
        <w:rPr>
          <w:rFonts w:cs="Times New Roman" w:hint="cs"/>
          <w:rtl/>
        </w:rPr>
        <w:t>‬</w:t>
      </w:r>
      <w:r w:rsidR="00A501A7" w:rsidRPr="004478D8">
        <w:rPr>
          <w:rtl/>
        </w:rPr>
        <w:t xml:space="preserve"> </w:t>
      </w:r>
    </w:p>
    <w:p w:rsidR="00A501A7" w:rsidRPr="005F262B" w:rsidRDefault="00A501A7" w:rsidP="00A501A7">
      <w:pPr>
        <w:pStyle w:val="SingleTxtGA"/>
        <w:rPr>
          <w:rtl/>
          <w:lang w:eastAsia="zh-TW"/>
        </w:rPr>
      </w:pPr>
      <w:r w:rsidRPr="00B545F8">
        <w:rPr>
          <w:b/>
          <w:bCs/>
          <w:rtl/>
          <w:lang w:eastAsia="zh-TW"/>
        </w:rPr>
        <w:t>[جيم]</w:t>
      </w:r>
      <w:r>
        <w:rPr>
          <w:rtl/>
          <w:lang w:eastAsia="zh-TW"/>
        </w:rPr>
        <w:t>: تعرب اللجنة عن أسفها لأن الدولة الطرف لم تقدم أي معلومات عن تنفيذ توصيتها بشأن الزواج القسري وزواج الأطفال. وتكرر اللجنة تأكيد توصيتها.</w:t>
      </w:r>
    </w:p>
    <w:tbl>
      <w:tblPr>
        <w:bidiVisual/>
        <w:tblW w:w="7266" w:type="dxa"/>
        <w:tblInd w:w="1238" w:type="dxa"/>
        <w:tblBorders>
          <w:top w:val="single" w:sz="4" w:space="0" w:color="auto"/>
          <w:bottom w:val="single" w:sz="12" w:space="0" w:color="auto"/>
        </w:tblBorders>
        <w:tblLayout w:type="fixed"/>
        <w:tblLook w:val="00A0" w:firstRow="1" w:lastRow="0" w:firstColumn="1" w:lastColumn="0" w:noHBand="0" w:noVBand="0"/>
      </w:tblPr>
      <w:tblGrid>
        <w:gridCol w:w="7266"/>
      </w:tblGrid>
      <w:tr w:rsidR="00B545F8" w:rsidRPr="00B545F8" w:rsidTr="00FF281A">
        <w:trPr>
          <w:trHeight w:val="240"/>
          <w:tblHeader/>
        </w:trPr>
        <w:tc>
          <w:tcPr>
            <w:tcW w:w="7266" w:type="dxa"/>
            <w:tcBorders>
              <w:top w:val="single" w:sz="4" w:space="0" w:color="auto"/>
              <w:bottom w:val="single" w:sz="12" w:space="0" w:color="auto"/>
            </w:tcBorders>
            <w:shd w:val="clear" w:color="auto" w:fill="auto"/>
            <w:vAlign w:val="bottom"/>
          </w:tcPr>
          <w:p w:rsidR="00B545F8" w:rsidRPr="00B545F8" w:rsidRDefault="00B545F8" w:rsidP="00BD0320">
            <w:pPr>
              <w:pageBreakBefore/>
              <w:spacing w:after="120" w:line="320" w:lineRule="exact"/>
              <w:jc w:val="both"/>
              <w:textDirection w:val="tbRlV"/>
              <w:rPr>
                <w:i/>
                <w:iCs/>
                <w:sz w:val="16"/>
                <w:rtl/>
                <w:lang w:eastAsia="zh-TW"/>
              </w:rPr>
            </w:pPr>
            <w:r w:rsidRPr="00B545F8">
              <w:rPr>
                <w:i/>
                <w:iCs/>
                <w:rtl/>
                <w:lang w:eastAsia="zh-TW"/>
              </w:rPr>
              <w:lastRenderedPageBreak/>
              <w:t>ملاوي</w:t>
            </w:r>
          </w:p>
        </w:tc>
      </w:tr>
    </w:tbl>
    <w:p w:rsidR="00B545F8" w:rsidRPr="005F262B" w:rsidRDefault="00B545F8" w:rsidP="00B545F8">
      <w:pPr>
        <w:pStyle w:val="SingleTxtGA"/>
        <w:rPr>
          <w:rtl/>
          <w:lang w:eastAsia="zh-TW"/>
        </w:rPr>
      </w:pPr>
      <w:r w:rsidRPr="00B545F8">
        <w:rPr>
          <w:b/>
          <w:bCs/>
          <w:rtl/>
          <w:lang w:eastAsia="zh-TW"/>
        </w:rPr>
        <w:t>الإجراء الموصى به:</w:t>
      </w:r>
      <w:r>
        <w:rPr>
          <w:rtl/>
          <w:lang w:eastAsia="zh-TW"/>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B545F8" w:rsidRDefault="00B545F8" w:rsidP="00026EAB">
      <w:pPr>
        <w:pStyle w:val="SingleTxtGA"/>
        <w:spacing w:after="0"/>
        <w:rPr>
          <w:rtl/>
          <w:lang w:eastAsia="zh-TW"/>
        </w:rPr>
      </w:pPr>
      <w:r w:rsidRPr="00B545F8">
        <w:rPr>
          <w:b/>
          <w:bCs/>
          <w:rtl/>
          <w:lang w:eastAsia="zh-TW"/>
        </w:rPr>
        <w:t>التقرير الدوري المقبل:</w:t>
      </w:r>
      <w:r>
        <w:rPr>
          <w:rtl/>
          <w:lang w:eastAsia="zh-TW"/>
        </w:rPr>
        <w:t xml:space="preserve"> ٣١ تموز/يوليه ٢٠١٨</w:t>
      </w:r>
    </w:p>
    <w:p w:rsidR="00026EAB" w:rsidRPr="005F262B" w:rsidRDefault="00026EAB" w:rsidP="00026EAB">
      <w:pPr>
        <w:pStyle w:val="SingleTxtGA"/>
        <w:pBdr>
          <w:bottom w:val="single" w:sz="12" w:space="1" w:color="auto"/>
        </w:pBdr>
        <w:spacing w:after="360" w:line="180" w:lineRule="exact"/>
        <w:rPr>
          <w:rtl/>
          <w:lang w:eastAsia="zh-TW"/>
        </w:rPr>
      </w:pPr>
    </w:p>
    <w:p w:rsidR="00540D30" w:rsidRPr="006F1939" w:rsidRDefault="00B545F8" w:rsidP="00B545F8">
      <w:pPr>
        <w:pStyle w:val="H1GA"/>
        <w:rPr>
          <w:rtl/>
          <w:lang w:eastAsia="zh-TW" w:bidi="ar-DZ"/>
        </w:rPr>
      </w:pPr>
      <w:r>
        <w:rPr>
          <w:rtl/>
          <w:lang w:eastAsia="zh-TW"/>
        </w:rPr>
        <w:tab/>
      </w:r>
      <w:r>
        <w:rPr>
          <w:rtl/>
          <w:lang w:eastAsia="zh-TW"/>
        </w:rPr>
        <w:tab/>
      </w:r>
      <w:dir w:val="rtl">
        <w:r w:rsidR="00540D30" w:rsidRPr="004478D8">
          <w:rPr>
            <w:rtl/>
            <w:lang w:eastAsia="zh-TW"/>
          </w:rPr>
          <w:t>الدورة 114 (تموز/يوليه ٢٠١٥)</w:t>
        </w:r>
        <w:r>
          <w:t xml:space="preserve"> </w:t>
        </w:r>
        <w:r w:rsidR="00540D30">
          <w:t>‬</w:t>
        </w:r>
        <w:r w:rsidR="00540D30">
          <w:t>‬</w:t>
        </w:r>
        <w:r w:rsidR="00DC1DEF">
          <w:t>‬</w:t>
        </w:r>
        <w:r w:rsidR="00BD0320">
          <w:t>‬</w:t>
        </w:r>
        <w:r w:rsidR="00E50C3B">
          <w:t>‬</w:t>
        </w:r>
        <w:r w:rsidR="00D8591B">
          <w:t>‬</w:t>
        </w:r>
      </w:dir>
    </w:p>
    <w:tbl>
      <w:tblPr>
        <w:bidiVisual/>
        <w:tblW w:w="7257" w:type="dxa"/>
        <w:tblInd w:w="1247" w:type="dxa"/>
        <w:tblBorders>
          <w:top w:val="single" w:sz="4" w:space="0" w:color="auto"/>
          <w:bottom w:val="single" w:sz="12" w:space="0" w:color="auto"/>
        </w:tblBorders>
        <w:tblLayout w:type="fixed"/>
        <w:tblLook w:val="00A0" w:firstRow="1" w:lastRow="0" w:firstColumn="1" w:lastColumn="0" w:noHBand="0" w:noVBand="0"/>
      </w:tblPr>
      <w:tblGrid>
        <w:gridCol w:w="2377"/>
        <w:gridCol w:w="4880"/>
      </w:tblGrid>
      <w:tr w:rsidR="00540D30" w:rsidRPr="00B545F8" w:rsidTr="00FF281A">
        <w:trPr>
          <w:trHeight w:val="240"/>
          <w:tblHeader/>
        </w:trPr>
        <w:tc>
          <w:tcPr>
            <w:tcW w:w="2377" w:type="dxa"/>
            <w:tcBorders>
              <w:top w:val="single" w:sz="4" w:space="0" w:color="auto"/>
              <w:bottom w:val="single" w:sz="12" w:space="0" w:color="auto"/>
            </w:tcBorders>
            <w:shd w:val="clear" w:color="auto" w:fill="auto"/>
            <w:vAlign w:val="bottom"/>
          </w:tcPr>
          <w:p w:rsidR="00540D30" w:rsidRPr="00B545F8" w:rsidRDefault="00540D30" w:rsidP="00BD0320">
            <w:pPr>
              <w:spacing w:after="120" w:line="320" w:lineRule="exact"/>
              <w:jc w:val="both"/>
              <w:textDirection w:val="tbRlV"/>
              <w:rPr>
                <w:i/>
                <w:iCs/>
                <w:rtl/>
                <w:lang w:eastAsia="zh-TW"/>
              </w:rPr>
            </w:pPr>
            <w:r w:rsidRPr="00B545F8">
              <w:rPr>
                <w:i/>
                <w:iCs/>
                <w:rtl/>
                <w:lang w:eastAsia="zh-TW"/>
              </w:rPr>
              <w:t>فرنسا</w:t>
            </w:r>
          </w:p>
        </w:tc>
        <w:tc>
          <w:tcPr>
            <w:tcW w:w="4880" w:type="dxa"/>
            <w:tcBorders>
              <w:top w:val="single" w:sz="4" w:space="0" w:color="auto"/>
              <w:bottom w:val="single" w:sz="12" w:space="0" w:color="auto"/>
            </w:tcBorders>
            <w:shd w:val="clear" w:color="auto" w:fill="auto"/>
            <w:vAlign w:val="bottom"/>
          </w:tcPr>
          <w:p w:rsidR="00540D30" w:rsidRPr="00B545F8" w:rsidRDefault="00540D30" w:rsidP="00BD0320">
            <w:pPr>
              <w:spacing w:after="120" w:line="320" w:lineRule="exact"/>
              <w:rPr>
                <w:i/>
                <w:iCs/>
              </w:rPr>
            </w:pPr>
          </w:p>
        </w:tc>
      </w:tr>
      <w:tr w:rsidR="00540D30" w:rsidRPr="00B545F8" w:rsidTr="00FF281A">
        <w:trPr>
          <w:trHeight w:hRule="exact" w:val="113"/>
          <w:tblHeader/>
        </w:trPr>
        <w:tc>
          <w:tcPr>
            <w:tcW w:w="2377" w:type="dxa"/>
            <w:tcBorders>
              <w:top w:val="single" w:sz="12" w:space="0" w:color="auto"/>
            </w:tcBorders>
            <w:shd w:val="clear" w:color="auto" w:fill="auto"/>
          </w:tcPr>
          <w:p w:rsidR="00540D30" w:rsidRPr="00B545F8" w:rsidRDefault="00540D30" w:rsidP="00B545F8">
            <w:pPr>
              <w:spacing w:after="120" w:line="380" w:lineRule="exact"/>
              <w:jc w:val="both"/>
            </w:pPr>
          </w:p>
        </w:tc>
        <w:tc>
          <w:tcPr>
            <w:tcW w:w="4880" w:type="dxa"/>
            <w:tcBorders>
              <w:top w:val="single" w:sz="12" w:space="0" w:color="auto"/>
            </w:tcBorders>
            <w:shd w:val="clear" w:color="auto" w:fill="auto"/>
          </w:tcPr>
          <w:p w:rsidR="00540D30" w:rsidRPr="00B545F8" w:rsidRDefault="00540D30" w:rsidP="00B545F8">
            <w:pPr>
              <w:spacing w:after="120" w:line="380" w:lineRule="exact"/>
            </w:pPr>
          </w:p>
        </w:tc>
      </w:tr>
      <w:tr w:rsidR="00540D30" w:rsidRPr="00B545F8" w:rsidTr="00FF281A">
        <w:trPr>
          <w:trHeight w:val="240"/>
        </w:trPr>
        <w:tc>
          <w:tcPr>
            <w:tcW w:w="2377" w:type="dxa"/>
            <w:shd w:val="clear" w:color="auto" w:fill="auto"/>
          </w:tcPr>
          <w:p w:rsidR="00540D30" w:rsidRPr="00B545F8" w:rsidRDefault="00540D30" w:rsidP="00B545F8">
            <w:pPr>
              <w:spacing w:after="120" w:line="380" w:lineRule="exact"/>
              <w:jc w:val="both"/>
              <w:textDirection w:val="tbRlV"/>
              <w:rPr>
                <w:rtl/>
                <w:lang w:eastAsia="zh-TW"/>
              </w:rPr>
            </w:pPr>
            <w:r w:rsidRPr="00B545F8">
              <w:rPr>
                <w:rtl/>
                <w:lang w:eastAsia="zh-TW"/>
              </w:rPr>
              <w:t>الملاحظات الختامية:</w:t>
            </w:r>
          </w:p>
        </w:tc>
        <w:tc>
          <w:tcPr>
            <w:tcW w:w="4880" w:type="dxa"/>
            <w:shd w:val="clear" w:color="auto" w:fill="auto"/>
          </w:tcPr>
          <w:p w:rsidR="00540D30" w:rsidRPr="00B545F8" w:rsidRDefault="00D8591B" w:rsidP="00B545F8">
            <w:pPr>
              <w:spacing w:after="120" w:line="380" w:lineRule="exact"/>
              <w:textDirection w:val="tbRlV"/>
              <w:rPr>
                <w:rtl/>
                <w:lang w:eastAsia="zh-TW"/>
              </w:rPr>
            </w:pPr>
            <w:hyperlink r:id="rId14" w:history="1">
              <w:r w:rsidR="00540D30" w:rsidRPr="00B545F8">
                <w:t>CCPR/C/FRA/CO/5</w:t>
              </w:r>
              <w:r w:rsidR="00B545F8">
                <w:rPr>
                  <w:rFonts w:hint="cs"/>
                  <w:rtl/>
                </w:rPr>
                <w:t xml:space="preserve">، </w:t>
              </w:r>
              <w:r w:rsidR="00540D30" w:rsidRPr="00B545F8">
                <w:rPr>
                  <w:rtl/>
                </w:rPr>
                <w:t>21 تموز/يوليه 2015</w:t>
              </w:r>
            </w:hyperlink>
          </w:p>
        </w:tc>
      </w:tr>
      <w:tr w:rsidR="00540D30" w:rsidRPr="00B545F8" w:rsidTr="00FF281A">
        <w:trPr>
          <w:trHeight w:val="240"/>
        </w:trPr>
        <w:tc>
          <w:tcPr>
            <w:tcW w:w="2377" w:type="dxa"/>
            <w:shd w:val="clear" w:color="auto" w:fill="auto"/>
          </w:tcPr>
          <w:p w:rsidR="00540D30" w:rsidRPr="00B545F8" w:rsidRDefault="00540D30" w:rsidP="00B545F8">
            <w:pPr>
              <w:spacing w:after="120" w:line="380" w:lineRule="exact"/>
              <w:jc w:val="both"/>
              <w:textDirection w:val="tbRlV"/>
              <w:rPr>
                <w:rtl/>
                <w:lang w:eastAsia="zh-TW"/>
              </w:rPr>
            </w:pPr>
            <w:r w:rsidRPr="00B545F8">
              <w:rPr>
                <w:rtl/>
                <w:lang w:eastAsia="zh-TW"/>
              </w:rPr>
              <w:t>فقرات المتابعة:</w:t>
            </w:r>
          </w:p>
        </w:tc>
        <w:tc>
          <w:tcPr>
            <w:tcW w:w="4880" w:type="dxa"/>
            <w:shd w:val="clear" w:color="auto" w:fill="auto"/>
          </w:tcPr>
          <w:p w:rsidR="00540D30" w:rsidRPr="00B545F8" w:rsidRDefault="00540D30" w:rsidP="00B545F8">
            <w:pPr>
              <w:spacing w:after="120" w:line="380" w:lineRule="exact"/>
              <w:textDirection w:val="tbRlV"/>
              <w:rPr>
                <w:rtl/>
                <w:lang w:eastAsia="zh-TW"/>
              </w:rPr>
            </w:pPr>
            <w:r w:rsidRPr="00B545F8">
              <w:rPr>
                <w:rtl/>
                <w:lang w:eastAsia="zh-TW"/>
              </w:rPr>
              <w:t>11 و12 و16</w:t>
            </w:r>
          </w:p>
        </w:tc>
      </w:tr>
      <w:tr w:rsidR="00540D30" w:rsidRPr="00B545F8" w:rsidTr="00FF281A">
        <w:trPr>
          <w:trHeight w:val="240"/>
        </w:trPr>
        <w:tc>
          <w:tcPr>
            <w:tcW w:w="2377" w:type="dxa"/>
            <w:shd w:val="clear" w:color="auto" w:fill="auto"/>
          </w:tcPr>
          <w:p w:rsidR="00540D30" w:rsidRPr="00B545F8" w:rsidRDefault="00540D30" w:rsidP="00B545F8">
            <w:pPr>
              <w:spacing w:after="120" w:line="380" w:lineRule="exact"/>
              <w:jc w:val="both"/>
              <w:textDirection w:val="tbRlV"/>
              <w:rPr>
                <w:rtl/>
                <w:lang w:eastAsia="zh-TW"/>
              </w:rPr>
            </w:pPr>
            <w:r w:rsidRPr="00B545F8">
              <w:rPr>
                <w:rtl/>
                <w:lang w:eastAsia="zh-TW"/>
              </w:rPr>
              <w:t>الرد الأول:</w:t>
            </w:r>
          </w:p>
        </w:tc>
        <w:tc>
          <w:tcPr>
            <w:tcW w:w="4880" w:type="dxa"/>
            <w:shd w:val="clear" w:color="auto" w:fill="auto"/>
          </w:tcPr>
          <w:p w:rsidR="00540D30" w:rsidRPr="00B545F8" w:rsidRDefault="00D8591B" w:rsidP="00B545F8">
            <w:pPr>
              <w:spacing w:after="120" w:line="380" w:lineRule="exact"/>
              <w:textDirection w:val="tbRlV"/>
              <w:rPr>
                <w:rtl/>
                <w:lang w:eastAsia="zh-TW"/>
              </w:rPr>
            </w:pPr>
            <w:hyperlink r:id="rId15" w:history="1">
              <w:r w:rsidR="00540D30" w:rsidRPr="00B545F8">
                <w:t>CCPR/C/FRA/CO/5/Add.1</w:t>
              </w:r>
              <w:r w:rsidR="00540D30" w:rsidRPr="00B545F8">
                <w:rPr>
                  <w:rtl/>
                </w:rPr>
                <w:t>، 19 تموز/يوليه 2016</w:t>
              </w:r>
            </w:hyperlink>
            <w:r w:rsidR="00540D30" w:rsidRPr="00B545F8">
              <w:rPr>
                <w:rtl/>
              </w:rPr>
              <w:t xml:space="preserve"> </w:t>
            </w:r>
          </w:p>
        </w:tc>
      </w:tr>
      <w:tr w:rsidR="00540D30" w:rsidRPr="00B545F8" w:rsidTr="00FF281A">
        <w:trPr>
          <w:trHeight w:val="240"/>
        </w:trPr>
        <w:tc>
          <w:tcPr>
            <w:tcW w:w="2377" w:type="dxa"/>
            <w:tcBorders>
              <w:bottom w:val="nil"/>
            </w:tcBorders>
            <w:shd w:val="clear" w:color="auto" w:fill="auto"/>
          </w:tcPr>
          <w:p w:rsidR="00540D30" w:rsidRPr="00B545F8" w:rsidRDefault="00540D30" w:rsidP="00B545F8">
            <w:pPr>
              <w:spacing w:after="120" w:line="380" w:lineRule="exact"/>
              <w:textDirection w:val="tbRlV"/>
              <w:rPr>
                <w:rtl/>
                <w:lang w:eastAsia="zh-TW"/>
              </w:rPr>
            </w:pPr>
            <w:r w:rsidRPr="00B545F8">
              <w:rPr>
                <w:rtl/>
                <w:lang w:eastAsia="zh-TW"/>
              </w:rPr>
              <w:t>تقييم اللجنة:</w:t>
            </w:r>
          </w:p>
        </w:tc>
        <w:tc>
          <w:tcPr>
            <w:tcW w:w="4880" w:type="dxa"/>
            <w:tcBorders>
              <w:bottom w:val="nil"/>
            </w:tcBorders>
            <w:shd w:val="clear" w:color="auto" w:fill="auto"/>
          </w:tcPr>
          <w:p w:rsidR="00540D30" w:rsidRPr="00B545F8" w:rsidRDefault="00D8591B" w:rsidP="00B545F8">
            <w:pPr>
              <w:spacing w:after="120" w:line="380" w:lineRule="exact"/>
              <w:textDirection w:val="tbRlV"/>
              <w:rPr>
                <w:rtl/>
                <w:lang w:eastAsia="zh-TW"/>
              </w:rPr>
            </w:pPr>
            <w:dir w:val="rtl">
              <w:r w:rsidR="00540D30" w:rsidRPr="00B545F8">
                <w:rPr>
                  <w:rtl/>
                  <w:lang w:eastAsia="zh-TW"/>
                </w:rPr>
                <w:t>يلزم تقديم</w:t>
              </w:r>
              <w:r w:rsidR="00BD0320">
                <w:rPr>
                  <w:rtl/>
                  <w:lang w:eastAsia="zh-TW"/>
                </w:rPr>
                <w:t xml:space="preserve"> معلومات إضافية بشأن الفقرات 11</w:t>
              </w:r>
              <w:r w:rsidR="00540D30" w:rsidRPr="00026EAB">
                <w:rPr>
                  <w:b/>
                  <w:bCs/>
                  <w:rtl/>
                  <w:lang w:eastAsia="zh-TW"/>
                </w:rPr>
                <w:t>[باء]</w:t>
              </w:r>
              <w:r w:rsidR="00B545F8">
                <w:rPr>
                  <w:rFonts w:hint="cs"/>
                  <w:rtl/>
                  <w:lang w:eastAsia="zh-TW"/>
                </w:rPr>
                <w:t xml:space="preserve"> </w:t>
              </w:r>
              <w:r w:rsidR="00540D30" w:rsidRPr="00B545F8">
                <w:rPr>
                  <w:rtl/>
                  <w:lang w:eastAsia="zh-TW"/>
                </w:rPr>
                <w:t>و12</w:t>
              </w:r>
              <w:r w:rsidR="00540D30" w:rsidRPr="00026EAB">
                <w:rPr>
                  <w:b/>
                  <w:bCs/>
                  <w:rtl/>
                  <w:lang w:eastAsia="zh-TW"/>
                </w:rPr>
                <w:t>[باء][باء]</w:t>
              </w:r>
              <w:r w:rsidR="00BD0320" w:rsidRPr="00026EAB">
                <w:rPr>
                  <w:b/>
                  <w:bCs/>
                  <w:rtl/>
                  <w:lang w:eastAsia="zh-TW"/>
                </w:rPr>
                <w:t>[باء]</w:t>
              </w:r>
              <w:r w:rsidR="00BD0320">
                <w:rPr>
                  <w:rtl/>
                  <w:lang w:eastAsia="zh-TW"/>
                </w:rPr>
                <w:t xml:space="preserve"> و16</w:t>
              </w:r>
              <w:r w:rsidR="00540D30" w:rsidRPr="00026EAB">
                <w:rPr>
                  <w:b/>
                  <w:bCs/>
                  <w:rtl/>
                  <w:lang w:eastAsia="zh-TW"/>
                </w:rPr>
                <w:t>[باء]</w:t>
              </w:r>
              <w:r w:rsidR="00540D30" w:rsidRPr="00B545F8">
                <w:t>‬</w:t>
              </w:r>
              <w:r w:rsidR="00540D30" w:rsidRPr="00B545F8">
                <w:t>‬</w:t>
              </w:r>
              <w:r w:rsidR="00540D30" w:rsidRPr="00B545F8">
                <w:t>‬</w:t>
              </w:r>
              <w:r w:rsidR="00540D30" w:rsidRPr="00B545F8">
                <w:t>‬</w:t>
              </w:r>
              <w:r w:rsidR="00540D30" w:rsidRPr="00B545F8">
                <w:t>‬</w:t>
              </w:r>
              <w:r w:rsidR="00540D30" w:rsidRPr="00B545F8">
                <w:t>‬</w:t>
              </w:r>
              <w:r w:rsidR="00DC1DEF">
                <w:t>‬</w:t>
              </w:r>
              <w:r w:rsidR="00BD0320">
                <w:t>‬</w:t>
              </w:r>
              <w:r w:rsidR="00E50C3B">
                <w:t>‬</w:t>
              </w:r>
              <w:r>
                <w:t>‬</w:t>
              </w:r>
            </w:dir>
          </w:p>
        </w:tc>
      </w:tr>
    </w:tbl>
    <w:p w:rsidR="00B545F8" w:rsidRPr="00B545F8" w:rsidRDefault="00BD0320" w:rsidP="00BD0320">
      <w:pPr>
        <w:pStyle w:val="H23GA"/>
      </w:pPr>
      <w:r>
        <w:rPr>
          <w:rtl/>
        </w:rPr>
        <w:tab/>
      </w:r>
      <w:r>
        <w:rPr>
          <w:rtl/>
        </w:rPr>
        <w:tab/>
      </w:r>
      <w:r w:rsidR="00B545F8" w:rsidRPr="00B545F8">
        <w:rPr>
          <w:rtl/>
        </w:rPr>
        <w:t xml:space="preserve">الفقرة 11: </w:t>
      </w:r>
      <w:dir w:val="rtl">
        <w:r w:rsidR="00B545F8" w:rsidRPr="00B545F8">
          <w:rPr>
            <w:rtl/>
          </w:rPr>
          <w:t>الحبس الاحتياطي</w:t>
        </w:r>
        <w:r w:rsidR="00B545F8" w:rsidRPr="00B545F8">
          <w:rPr>
            <w:rFonts w:cs="Times New Roman" w:hint="cs"/>
            <w:rtl/>
          </w:rPr>
          <w:t>‬</w:t>
        </w:r>
        <w:r w:rsidR="00B545F8" w:rsidRPr="00B545F8">
          <w:t>‬</w:t>
        </w:r>
        <w:r w:rsidR="00B545F8" w:rsidRPr="00B545F8">
          <w:t>‬</w:t>
        </w:r>
        <w:r w:rsidR="00B545F8" w:rsidRPr="00B545F8">
          <w:rPr>
            <w:rtl/>
          </w:rPr>
          <w:t xml:space="preserve"> بعد قضاء العقوبة</w:t>
        </w:r>
        <w:r w:rsidR="00B545F8" w:rsidRPr="00B545F8">
          <w:t>‬</w:t>
        </w:r>
        <w:r w:rsidR="00B545F8" w:rsidRPr="00B545F8">
          <w:t>‬</w:t>
        </w:r>
        <w:r w:rsidR="00B545F8" w:rsidRPr="00B545F8">
          <w:t>‬</w:t>
        </w:r>
        <w:r w:rsidR="00B545F8" w:rsidRPr="00B545F8">
          <w:t>‬</w:t>
        </w:r>
        <w:r w:rsidR="00DC1DEF">
          <w:t>‬</w:t>
        </w:r>
        <w:r>
          <w:t>‬</w:t>
        </w:r>
        <w:r w:rsidR="00E50C3B">
          <w:t>‬</w:t>
        </w:r>
        <w:r w:rsidR="00D8591B">
          <w:t>‬</w:t>
        </w:r>
      </w:dir>
    </w:p>
    <w:p w:rsidR="00B545F8" w:rsidRPr="00B545F8" w:rsidRDefault="00B545F8" w:rsidP="00B545F8">
      <w:pPr>
        <w:pStyle w:val="SingleTxtGA"/>
        <w:rPr>
          <w:b/>
          <w:bCs/>
          <w:rtl/>
          <w:lang w:eastAsia="zh-TW"/>
        </w:rPr>
      </w:pPr>
      <w:r>
        <w:rPr>
          <w:b/>
          <w:bCs/>
          <w:rtl/>
          <w:lang w:eastAsia="zh-TW"/>
        </w:rPr>
        <w:tab/>
      </w:r>
      <w:r w:rsidRPr="00B545F8">
        <w:rPr>
          <w:b/>
          <w:bCs/>
          <w:rtl/>
          <w:lang w:eastAsia="zh-TW"/>
        </w:rPr>
        <w:t>ينبغي أن تعيد الدولة الطرف النظر في ممارستها القائمة على التعلل بالخطورة للإبقاء على أشخاص أُدينوا جنائياً في الحبس الاحتياطي بعد قضاء عقوبة احتجازهم، في ضوء التزاماتها بموجب المواد 9 و14 و15 من العهد.</w:t>
      </w:r>
      <w:r w:rsidRPr="00B545F8">
        <w:rPr>
          <w:rFonts w:cs="Times New Roman" w:hint="cs"/>
          <w:b/>
          <w:bCs/>
          <w:rtl/>
          <w:lang w:eastAsia="zh-TW"/>
        </w:rPr>
        <w:t>‬</w:t>
      </w:r>
      <w:r w:rsidRPr="00B545F8">
        <w:rPr>
          <w:b/>
          <w:bCs/>
          <w:rtl/>
          <w:lang w:eastAsia="zh-TW"/>
        </w:rPr>
        <w:t xml:space="preserve"> </w:t>
      </w:r>
      <w:dir w:val="rtl">
        <w:r w:rsidRPr="00B545F8">
          <w:rPr>
            <w:b/>
            <w:bCs/>
          </w:rPr>
          <w:t>‬</w:t>
        </w:r>
        <w:r w:rsidRPr="00B545F8">
          <w:rPr>
            <w:b/>
            <w:bCs/>
          </w:rPr>
          <w:t>‬</w:t>
        </w:r>
        <w:r w:rsidRPr="00B545F8">
          <w:rPr>
            <w:b/>
            <w:bCs/>
          </w:rPr>
          <w:t>‬</w:t>
        </w:r>
        <w:r w:rsidRPr="00B545F8">
          <w:rPr>
            <w:b/>
            <w:bCs/>
          </w:rPr>
          <w:t>‬</w:t>
        </w:r>
        <w:r w:rsidRPr="00B545F8">
          <w:rPr>
            <w:b/>
            <w:bCs/>
          </w:rPr>
          <w:t>‬</w:t>
        </w:r>
        <w:r w:rsidRPr="00B545F8">
          <w:rPr>
            <w:b/>
            <w:bCs/>
          </w:rPr>
          <w:t>‬</w:t>
        </w:r>
        <w:r w:rsidR="00DC1DEF">
          <w:t>‬</w:t>
        </w:r>
        <w:r w:rsidR="00BD0320">
          <w:t>‬</w:t>
        </w:r>
        <w:r w:rsidR="00E50C3B">
          <w:t>‬</w:t>
        </w:r>
        <w:r w:rsidR="00D8591B">
          <w:t>‬</w:t>
        </w:r>
      </w:dir>
    </w:p>
    <w:p w:rsidR="00B545F8" w:rsidRPr="00B545F8" w:rsidRDefault="00BD0320" w:rsidP="00BD0320">
      <w:pPr>
        <w:pStyle w:val="H23GA"/>
        <w:rPr>
          <w:rtl/>
        </w:rPr>
      </w:pPr>
      <w:r>
        <w:rPr>
          <w:rtl/>
        </w:rPr>
        <w:tab/>
      </w:r>
      <w:r>
        <w:rPr>
          <w:rtl/>
        </w:rPr>
        <w:tab/>
      </w:r>
      <w:r w:rsidR="00B545F8" w:rsidRPr="00B545F8">
        <w:rPr>
          <w:rtl/>
        </w:rPr>
        <w:t>ملخص ردّ الدولة الطرف</w:t>
      </w:r>
      <w:r w:rsidR="00B545F8">
        <w:rPr>
          <w:rFonts w:cs="Times New Roman" w:hint="cs"/>
          <w:rtl/>
        </w:rPr>
        <w:t xml:space="preserve"> </w:t>
      </w:r>
    </w:p>
    <w:p w:rsidR="00B545F8" w:rsidRPr="00B545F8" w:rsidRDefault="00B545F8" w:rsidP="00026EAB">
      <w:pPr>
        <w:pStyle w:val="SingleTxtGA"/>
        <w:spacing w:line="360" w:lineRule="exact"/>
        <w:rPr>
          <w:rtl/>
          <w:lang w:eastAsia="zh-TW"/>
        </w:rPr>
      </w:pPr>
      <w:r>
        <w:rPr>
          <w:rtl/>
          <w:lang w:eastAsia="zh-TW"/>
        </w:rPr>
        <w:tab/>
      </w:r>
      <w:r w:rsidRPr="00B545F8">
        <w:rPr>
          <w:rtl/>
          <w:lang w:eastAsia="zh-TW"/>
        </w:rPr>
        <w:t xml:space="preserve">يحدد الحبس الاحتياطي </w:t>
      </w:r>
      <w:r w:rsidRPr="00B545F8">
        <w:rPr>
          <w:rtl/>
        </w:rPr>
        <w:t>بعد قضاء العقوبة</w:t>
      </w:r>
      <w:r w:rsidRPr="00B545F8">
        <w:rPr>
          <w:rtl/>
          <w:lang w:eastAsia="zh-TW"/>
        </w:rPr>
        <w:t xml:space="preserve"> بموجب القانون رقم 2008-174 المؤرخ</w:t>
      </w:r>
      <w:r>
        <w:rPr>
          <w:rFonts w:hint="cs"/>
          <w:rtl/>
          <w:lang w:eastAsia="zh-TW"/>
        </w:rPr>
        <w:t> </w:t>
      </w:r>
      <w:r w:rsidRPr="00B545F8">
        <w:rPr>
          <w:rtl/>
          <w:lang w:eastAsia="zh-TW"/>
        </w:rPr>
        <w:t xml:space="preserve">25 شباط/فبراير ٢٠٠٨، وتصفه الدولة الطرف على أنه تدبير أمني حقيقي. وهو يتكون من إيداع الفرد الذي أكمل مدة عقوبته في مركز الأمن الاجتماعي الطبي - القضائي حيث يتلقى رعاية طبية واجتماعية ونفسية مستمرة من أجل التوصل في نهاية المطاف إلى </w:t>
      </w:r>
      <w:r w:rsidRPr="00B545F8">
        <w:rPr>
          <w:rtl/>
          <w:lang w:val="ru-RU" w:eastAsia="zh-TW" w:bidi="ar-DZ"/>
        </w:rPr>
        <w:t>إنهاء</w:t>
      </w:r>
      <w:r w:rsidRPr="00B545F8">
        <w:rPr>
          <w:rtl/>
          <w:lang w:eastAsia="zh-TW"/>
        </w:rPr>
        <w:t xml:space="preserve"> التدبير المتخذ. ويمكن للمحكمة الإقليمية المعنية بالحبس الاحتياطي بعد </w:t>
      </w:r>
      <w:r w:rsidRPr="00B545F8">
        <w:rPr>
          <w:rtl/>
          <w:lang w:val="ru-RU" w:eastAsia="zh-TW" w:bidi="ar-DZ"/>
        </w:rPr>
        <w:t>قضاء العقوبة</w:t>
      </w:r>
      <w:r w:rsidRPr="00B545F8">
        <w:rPr>
          <w:rtl/>
          <w:lang w:eastAsia="zh-TW"/>
        </w:rPr>
        <w:t xml:space="preserve">، وهي محكمة مخصصة أن تأمر باتخاذ التدبير وأن تنفذه في حالتين: </w:t>
      </w:r>
    </w:p>
    <w:p w:rsidR="00B545F8" w:rsidRPr="00BD0320" w:rsidRDefault="00B545F8" w:rsidP="00026EAB">
      <w:pPr>
        <w:pStyle w:val="SingleTxtGA"/>
        <w:spacing w:line="360" w:lineRule="exact"/>
        <w:rPr>
          <w:spacing w:val="-4"/>
          <w:rtl/>
          <w:lang w:eastAsia="zh-TW"/>
        </w:rPr>
      </w:pPr>
      <w:r w:rsidRPr="00BD0320">
        <w:rPr>
          <w:spacing w:val="-4"/>
          <w:rtl/>
          <w:lang w:eastAsia="zh-TW"/>
        </w:rPr>
        <w:tab/>
        <w:t>(أ)</w:t>
      </w:r>
      <w:r w:rsidRPr="00BD0320">
        <w:rPr>
          <w:spacing w:val="-4"/>
          <w:rtl/>
          <w:lang w:eastAsia="zh-TW"/>
        </w:rPr>
        <w:tab/>
        <w:t>فيما يخص الجرائم التي ترتكب بعد أن يدخل التدبير حيز النفاذ، إذا كانت محكمة الجنايات قد أعلنت صراحة عن هذه الإمكانية في نص حكمها الأصلي، وتكرر الدولة</w:t>
      </w:r>
      <w:r w:rsidRPr="00BD0320">
        <w:rPr>
          <w:rFonts w:hint="cs"/>
          <w:spacing w:val="-4"/>
          <w:rtl/>
          <w:lang w:eastAsia="zh-TW"/>
        </w:rPr>
        <w:t> </w:t>
      </w:r>
      <w:r w:rsidRPr="00BD0320">
        <w:rPr>
          <w:spacing w:val="-4"/>
          <w:rtl/>
          <w:lang w:eastAsia="zh-TW"/>
        </w:rPr>
        <w:t>الطرف تأكيد المعلومات المقدمة في تقريرها، (</w:t>
      </w:r>
      <w:hyperlink r:id="rId16" w:history="1">
        <w:r w:rsidR="00BD0320" w:rsidRPr="00BD0320">
          <w:rPr>
            <w:rStyle w:val="Hyperlink"/>
            <w:rFonts w:eastAsiaTheme="majorEastAsia"/>
            <w:color w:val="auto"/>
            <w:spacing w:val="-4"/>
            <w:u w:val="none"/>
          </w:rPr>
          <w:t>CCPR/C/FRA/5</w:t>
        </w:r>
      </w:hyperlink>
      <w:r w:rsidRPr="00BD0320">
        <w:rPr>
          <w:spacing w:val="-4"/>
          <w:rtl/>
          <w:lang w:eastAsia="zh-TW"/>
        </w:rPr>
        <w:t xml:space="preserve">، الفقرة 230) بشأن الشروط التراكمية للأمر بالحبس الاحتياطي بعد قضاء العقوبة المنصوص عليها في قانون الإجراءات الجنائية؛ </w:t>
      </w:r>
    </w:p>
    <w:p w:rsidR="00A501A7" w:rsidRPr="00B545F8" w:rsidRDefault="00A501A7" w:rsidP="00026EAB">
      <w:pPr>
        <w:pStyle w:val="SingleTxtGA"/>
        <w:spacing w:line="360" w:lineRule="exact"/>
        <w:rPr>
          <w:rtl/>
          <w:lang w:eastAsia="zh-TW"/>
        </w:rPr>
      </w:pPr>
      <w:r>
        <w:rPr>
          <w:rtl/>
          <w:lang w:eastAsia="zh-TW"/>
        </w:rPr>
        <w:tab/>
      </w:r>
      <w:r w:rsidRPr="00B545F8">
        <w:rPr>
          <w:rtl/>
          <w:lang w:eastAsia="zh-TW"/>
        </w:rPr>
        <w:t>(ب)</w:t>
      </w:r>
      <w:r>
        <w:rPr>
          <w:rtl/>
          <w:lang w:eastAsia="zh-TW"/>
        </w:rPr>
        <w:tab/>
      </w:r>
      <w:r w:rsidRPr="00B545F8">
        <w:rPr>
          <w:rtl/>
          <w:lang w:eastAsia="zh-TW"/>
        </w:rPr>
        <w:t>فيما يخص الجرائم المرتكبة قبل أن يدخل التدبير حيز النفاذ عندما ينتهك شخص مدان شديد الخطورة أحكام تدبير المراقبة الوقائية ويكون من المحتمل جد</w:t>
      </w:r>
      <w:r>
        <w:rPr>
          <w:rtl/>
          <w:lang w:eastAsia="zh-TW"/>
        </w:rPr>
        <w:t xml:space="preserve">اً </w:t>
      </w:r>
      <w:r w:rsidRPr="00B545F8">
        <w:rPr>
          <w:rtl/>
          <w:lang w:eastAsia="zh-TW"/>
        </w:rPr>
        <w:t>أن يرتكب إحدى الجرائم المستهدفة بهذا التدبير. وفي الحالات العاجلة، يجوز إيداع ذلك الفرد مؤقت</w:t>
      </w:r>
      <w:r>
        <w:rPr>
          <w:rtl/>
          <w:lang w:eastAsia="zh-TW"/>
        </w:rPr>
        <w:t xml:space="preserve">اً </w:t>
      </w:r>
      <w:r w:rsidRPr="00B545F8">
        <w:rPr>
          <w:rtl/>
          <w:lang w:eastAsia="zh-TW"/>
        </w:rPr>
        <w:t>في مركز أمني، ومن ثم يجب أن تؤكد المحكمة الإقليمية المعنية بالحبس الاحتياطي بعد قضاء العقوبة إيداعه بعد أن تصدر اللجنة المتعددة التخصصات للتدابير الوقائية فتوى في هذا الشأن.</w:t>
      </w:r>
    </w:p>
    <w:tbl>
      <w:tblPr>
        <w:bidiVisual/>
        <w:tblW w:w="7257" w:type="dxa"/>
        <w:tblInd w:w="1247" w:type="dxa"/>
        <w:tblBorders>
          <w:top w:val="single" w:sz="4" w:space="0" w:color="auto"/>
          <w:bottom w:val="single" w:sz="12" w:space="0" w:color="auto"/>
        </w:tblBorders>
        <w:tblLayout w:type="fixed"/>
        <w:tblLook w:val="00A0" w:firstRow="1" w:lastRow="0" w:firstColumn="1" w:lastColumn="0" w:noHBand="0" w:noVBand="0"/>
      </w:tblPr>
      <w:tblGrid>
        <w:gridCol w:w="2377"/>
        <w:gridCol w:w="4880"/>
      </w:tblGrid>
      <w:tr w:rsidR="00B545F8" w:rsidRPr="00B545F8" w:rsidTr="00FF281A">
        <w:trPr>
          <w:trHeight w:val="240"/>
          <w:tblHeader/>
        </w:trPr>
        <w:tc>
          <w:tcPr>
            <w:tcW w:w="2377" w:type="dxa"/>
            <w:tcBorders>
              <w:top w:val="single" w:sz="4" w:space="0" w:color="auto"/>
              <w:bottom w:val="single" w:sz="12" w:space="0" w:color="auto"/>
            </w:tcBorders>
            <w:shd w:val="clear" w:color="auto" w:fill="auto"/>
            <w:vAlign w:val="bottom"/>
          </w:tcPr>
          <w:p w:rsidR="00B545F8" w:rsidRPr="00B545F8" w:rsidRDefault="00B545F8" w:rsidP="00BD0320">
            <w:pPr>
              <w:pageBreakBefore/>
              <w:spacing w:after="120" w:line="320" w:lineRule="exact"/>
              <w:jc w:val="both"/>
              <w:textDirection w:val="tbRlV"/>
              <w:rPr>
                <w:i/>
                <w:iCs/>
                <w:rtl/>
                <w:lang w:eastAsia="zh-TW"/>
              </w:rPr>
            </w:pPr>
            <w:r w:rsidRPr="00B545F8">
              <w:rPr>
                <w:i/>
                <w:iCs/>
                <w:rtl/>
                <w:lang w:eastAsia="zh-TW"/>
              </w:rPr>
              <w:lastRenderedPageBreak/>
              <w:t>فرنسا</w:t>
            </w:r>
          </w:p>
        </w:tc>
        <w:tc>
          <w:tcPr>
            <w:tcW w:w="4880" w:type="dxa"/>
            <w:tcBorders>
              <w:top w:val="single" w:sz="4" w:space="0" w:color="auto"/>
              <w:bottom w:val="single" w:sz="12" w:space="0" w:color="auto"/>
            </w:tcBorders>
            <w:shd w:val="clear" w:color="auto" w:fill="auto"/>
            <w:vAlign w:val="bottom"/>
          </w:tcPr>
          <w:p w:rsidR="00B545F8" w:rsidRPr="00B545F8" w:rsidRDefault="00B545F8" w:rsidP="00BD0320">
            <w:pPr>
              <w:pageBreakBefore/>
              <w:spacing w:after="120" w:line="320" w:lineRule="exact"/>
              <w:rPr>
                <w:i/>
                <w:iCs/>
              </w:rPr>
            </w:pPr>
          </w:p>
        </w:tc>
      </w:tr>
    </w:tbl>
    <w:p w:rsidR="00B545F8" w:rsidRPr="00B545F8" w:rsidRDefault="00B545F8" w:rsidP="00B545F8">
      <w:pPr>
        <w:pStyle w:val="SingleTxtGA"/>
        <w:spacing w:line="370" w:lineRule="exact"/>
        <w:rPr>
          <w:rtl/>
          <w:lang w:eastAsia="zh-TW"/>
        </w:rPr>
      </w:pPr>
      <w:r>
        <w:rPr>
          <w:rtl/>
          <w:lang w:eastAsia="zh-TW"/>
        </w:rPr>
        <w:tab/>
      </w:r>
      <w:r w:rsidRPr="00B545F8">
        <w:rPr>
          <w:rtl/>
          <w:lang w:eastAsia="zh-TW"/>
        </w:rPr>
        <w:t>وفي كلتا الحالتين، يصدر أمر الحبس الاحتياطي بعد قضاء العقوبة لمدة سنة واحدة قابلة للتجديد إذا كان الشخص المدان لا يزال خطير</w:t>
      </w:r>
      <w:r w:rsidR="00683334">
        <w:rPr>
          <w:rtl/>
          <w:lang w:eastAsia="zh-TW"/>
        </w:rPr>
        <w:t>اً.</w:t>
      </w:r>
      <w:r w:rsidRPr="00B545F8">
        <w:rPr>
          <w:rtl/>
          <w:lang w:eastAsia="zh-TW"/>
        </w:rPr>
        <w:t xml:space="preserve"> </w:t>
      </w:r>
    </w:p>
    <w:p w:rsidR="00B545F8" w:rsidRPr="00B545F8" w:rsidRDefault="00B545F8" w:rsidP="00B545F8">
      <w:pPr>
        <w:pStyle w:val="SingleTxtGA"/>
        <w:spacing w:line="370" w:lineRule="exact"/>
        <w:rPr>
          <w:rtl/>
          <w:lang w:eastAsia="zh-TW"/>
        </w:rPr>
      </w:pPr>
      <w:r>
        <w:rPr>
          <w:rtl/>
          <w:lang w:eastAsia="zh-TW"/>
        </w:rPr>
        <w:tab/>
      </w:r>
      <w:r w:rsidRPr="00B545F8">
        <w:rPr>
          <w:rtl/>
          <w:lang w:eastAsia="zh-TW"/>
        </w:rPr>
        <w:t>ولم تصدر سوى سبعة قرارات عن محكمة الجنايات تسمح بإعادة النظر في حالة شخص مدان بعد قضاء مدة عقوبته. ولم يودع سوى خمسة أفراد بصفة مؤقتة في ال</w:t>
      </w:r>
      <w:r>
        <w:rPr>
          <w:rtl/>
          <w:lang w:eastAsia="zh-TW"/>
        </w:rPr>
        <w:t xml:space="preserve">حبس الاحتياطي بعد قضاء العقوبة </w:t>
      </w:r>
      <w:r w:rsidRPr="00B545F8">
        <w:rPr>
          <w:rtl/>
          <w:lang w:eastAsia="zh-TW"/>
        </w:rPr>
        <w:t>في أعقاب انتهاك أحكام تدابير المراقبة الوقائية. ولم تؤيد المحكمة الإقليمية المعنية بالحبس الاحتياطي بعد قضاء العقوبة إلا في حالة واحدة، على الرغم من أن الفرد المعني كان قد وضع مرة أخرى تحت المراقبة الوقائية بعد عدد من الطعون والإجراءات.</w:t>
      </w:r>
    </w:p>
    <w:p w:rsidR="00B545F8" w:rsidRPr="00B545F8" w:rsidRDefault="00B545F8" w:rsidP="00BD0320">
      <w:pPr>
        <w:pStyle w:val="SingleTxtGA"/>
        <w:spacing w:line="370" w:lineRule="exact"/>
        <w:rPr>
          <w:spacing w:val="-4"/>
          <w:rtl/>
          <w:lang w:eastAsia="zh-TW"/>
        </w:rPr>
      </w:pPr>
      <w:r w:rsidRPr="00B545F8">
        <w:rPr>
          <w:spacing w:val="-4"/>
          <w:rtl/>
          <w:lang w:eastAsia="zh-TW"/>
        </w:rPr>
        <w:tab/>
        <w:t>وكان الحبس الاحتياطي بعد قضاء العقوبة هو موضوع المناقشة الوطنية، كما يتضح مما</w:t>
      </w:r>
      <w:r w:rsidRPr="00B545F8">
        <w:rPr>
          <w:rFonts w:hint="cs"/>
          <w:spacing w:val="-4"/>
          <w:rtl/>
          <w:lang w:eastAsia="zh-TW"/>
        </w:rPr>
        <w:t> </w:t>
      </w:r>
      <w:r w:rsidRPr="00B545F8">
        <w:rPr>
          <w:spacing w:val="-4"/>
          <w:rtl/>
          <w:lang w:eastAsia="zh-TW"/>
        </w:rPr>
        <w:t>يلي: (أ) الآراء المخالفة الصادرة عن المفتش العام لأماكن سلب الحرية في 5 تشرين الثاني/</w:t>
      </w:r>
      <w:r>
        <w:rPr>
          <w:rFonts w:hint="cs"/>
          <w:spacing w:val="-4"/>
          <w:rtl/>
          <w:lang w:eastAsia="zh-TW"/>
        </w:rPr>
        <w:t xml:space="preserve"> </w:t>
      </w:r>
      <w:r w:rsidRPr="00B545F8">
        <w:rPr>
          <w:spacing w:val="-4"/>
          <w:rtl/>
          <w:lang w:eastAsia="zh-TW"/>
        </w:rPr>
        <w:t>نوفمبر</w:t>
      </w:r>
      <w:r>
        <w:rPr>
          <w:rFonts w:hint="cs"/>
          <w:spacing w:val="-4"/>
          <w:rtl/>
          <w:lang w:eastAsia="zh-TW"/>
        </w:rPr>
        <w:t> </w:t>
      </w:r>
      <w:r w:rsidRPr="00B545F8">
        <w:rPr>
          <w:spacing w:val="-4"/>
          <w:rtl/>
          <w:lang w:eastAsia="zh-TW"/>
        </w:rPr>
        <w:t>٢٠١٥ وعن اللجنة الاستشارية الوطنية لحقوق الإنسان في 27 آذار/مارس ٢٠١٤؛ (ب)</w:t>
      </w:r>
      <w:r w:rsidR="00BD0320">
        <w:rPr>
          <w:rFonts w:hint="cs"/>
          <w:spacing w:val="-4"/>
          <w:rtl/>
          <w:lang w:eastAsia="zh-TW"/>
        </w:rPr>
        <w:t> </w:t>
      </w:r>
      <w:r w:rsidRPr="00B545F8">
        <w:rPr>
          <w:spacing w:val="-4"/>
          <w:rtl/>
          <w:lang w:eastAsia="zh-TW"/>
        </w:rPr>
        <w:t xml:space="preserve">التقرير غير الإيجابي الذي قدمته اللجنة المنشأة لمراجعة قانون العقوبات الجنائية إلى وزير العدل في كانون الأول/ديسمبر ٢٠١٥. وتلاحظ اللجنة في التقرير الذي أتيح للعموم، الطبيعة غير الدقيقة للتدبير وتشكك في مدى مواءمته مع الاتفاقية الأوروبية لحقوق الإنسان، وتؤكد أن التدابير الأخرى القائمة يـمكن بمجرد إعادة تحديدها، أن تحل محل الحبس الاحتياطي بعد قضاء عقوبة الاحتجاز. </w:t>
      </w:r>
    </w:p>
    <w:p w:rsidR="00B545F8" w:rsidRPr="00B545F8" w:rsidRDefault="00B545F8" w:rsidP="00B545F8">
      <w:pPr>
        <w:pStyle w:val="SingleTxtGA"/>
        <w:spacing w:line="370" w:lineRule="exact"/>
        <w:rPr>
          <w:rtl/>
          <w:lang w:eastAsia="zh-TW"/>
        </w:rPr>
      </w:pPr>
      <w:r>
        <w:rPr>
          <w:rtl/>
          <w:lang w:eastAsia="zh-TW"/>
        </w:rPr>
        <w:tab/>
      </w:r>
      <w:r w:rsidRPr="00B545F8">
        <w:rPr>
          <w:rtl/>
          <w:lang w:eastAsia="zh-TW"/>
        </w:rPr>
        <w:t>وستدرس وزارة العدل الاستنتاجات الواردة في التقرير دراسة متأنية. وإن المقترحات الواردة في التقرير تشكل جزء</w:t>
      </w:r>
      <w:r w:rsidR="006147D2">
        <w:rPr>
          <w:rtl/>
          <w:lang w:eastAsia="zh-TW"/>
        </w:rPr>
        <w:t xml:space="preserve">اً </w:t>
      </w:r>
      <w:r w:rsidRPr="00B545F8">
        <w:rPr>
          <w:rtl/>
          <w:lang w:eastAsia="zh-TW"/>
        </w:rPr>
        <w:t>من مناقشة أوسع نطاق</w:t>
      </w:r>
      <w:r w:rsidR="006147D2">
        <w:rPr>
          <w:rtl/>
          <w:lang w:eastAsia="zh-TW"/>
        </w:rPr>
        <w:t xml:space="preserve">اً </w:t>
      </w:r>
      <w:r w:rsidRPr="00B545F8">
        <w:rPr>
          <w:rtl/>
          <w:lang w:eastAsia="zh-TW"/>
        </w:rPr>
        <w:t>بشأن تحديث تصنيف العقوبات والتدابير الوقائية، الأمر الذي يتطلب تحليل</w:t>
      </w:r>
      <w:r w:rsidR="006147D2">
        <w:rPr>
          <w:rtl/>
          <w:lang w:eastAsia="zh-TW"/>
        </w:rPr>
        <w:t xml:space="preserve">اً </w:t>
      </w:r>
      <w:r w:rsidRPr="00B545F8">
        <w:rPr>
          <w:rtl/>
          <w:lang w:eastAsia="zh-TW"/>
        </w:rPr>
        <w:t>للنظام ككل.</w:t>
      </w:r>
    </w:p>
    <w:p w:rsidR="00B545F8" w:rsidRPr="00B545F8" w:rsidRDefault="00BD0320" w:rsidP="00BD0320">
      <w:pPr>
        <w:pStyle w:val="H23GA"/>
        <w:rPr>
          <w:rtl/>
        </w:rPr>
      </w:pPr>
      <w:r>
        <w:rPr>
          <w:rtl/>
        </w:rPr>
        <w:tab/>
      </w:r>
      <w:r>
        <w:rPr>
          <w:rtl/>
        </w:rPr>
        <w:tab/>
      </w:r>
      <w:r w:rsidR="00B545F8" w:rsidRPr="00B545F8">
        <w:rPr>
          <w:rtl/>
        </w:rPr>
        <w:t>تقييم اللجنة</w:t>
      </w:r>
      <w:r w:rsidR="00B545F8">
        <w:rPr>
          <w:rFonts w:cs="Times New Roman" w:hint="cs"/>
          <w:rtl/>
        </w:rPr>
        <w:t xml:space="preserve"> </w:t>
      </w:r>
    </w:p>
    <w:p w:rsidR="00B545F8" w:rsidRPr="00B545F8" w:rsidRDefault="00B545F8" w:rsidP="00B545F8">
      <w:pPr>
        <w:pStyle w:val="SingleTxtGA"/>
        <w:spacing w:line="370" w:lineRule="exact"/>
        <w:rPr>
          <w:rtl/>
          <w:lang w:eastAsia="zh-TW"/>
        </w:rPr>
      </w:pPr>
      <w:r w:rsidRPr="00B545F8">
        <w:rPr>
          <w:b/>
          <w:bCs/>
          <w:rtl/>
          <w:lang w:eastAsia="zh-TW"/>
        </w:rPr>
        <w:t>[باء]:</w:t>
      </w:r>
      <w:r w:rsidRPr="00B545F8">
        <w:rPr>
          <w:rtl/>
          <w:lang w:eastAsia="zh-TW"/>
        </w:rPr>
        <w:t xml:space="preserve"> تلاحظ اللجنة المناقشة الوطنية التي دارت بشأن استمرار استخدام الحبس الاحتياطي بعد قضاء عقوبة الاحتجاز، ولا سيما التقرير الصادر في كانون الأول/ديسمبر ٢٠١٥ عن اللجنة المنشأة لاستعراض قانون العقوبات الجنائية. وتطلب اللجنة معلومات إضافية عن متابعة وزارة العدل آراء مختلف المؤسسات الوطنية التي توصي بإلغاء الحبس الاحتياطي بعد قضاء العقوبة، ولا سيما في الحالات التي يفرض فيها الحبس الاحتياطي بعد قضاء العقوبة ولا</w:t>
      </w:r>
      <w:r>
        <w:rPr>
          <w:rFonts w:hint="cs"/>
          <w:rtl/>
          <w:lang w:eastAsia="zh-TW"/>
        </w:rPr>
        <w:t xml:space="preserve"> </w:t>
      </w:r>
      <w:r w:rsidRPr="00B545F8">
        <w:rPr>
          <w:rtl/>
          <w:lang w:eastAsia="zh-TW"/>
        </w:rPr>
        <w:t xml:space="preserve">يكون له صلة بأي قرار أو حكم أصلي. </w:t>
      </w:r>
    </w:p>
    <w:p w:rsidR="00B545F8" w:rsidRPr="00B545F8" w:rsidRDefault="00BD0320" w:rsidP="00BD0320">
      <w:pPr>
        <w:pStyle w:val="H23GA"/>
        <w:rPr>
          <w:rtl/>
        </w:rPr>
      </w:pPr>
      <w:r>
        <w:rPr>
          <w:rtl/>
        </w:rPr>
        <w:tab/>
      </w:r>
      <w:r>
        <w:rPr>
          <w:rtl/>
        </w:rPr>
        <w:tab/>
      </w:r>
      <w:r w:rsidR="00B545F8" w:rsidRPr="00B545F8">
        <w:rPr>
          <w:rtl/>
        </w:rPr>
        <w:t>الفقرة ١٢: أنشطة المراقبة</w:t>
      </w:r>
    </w:p>
    <w:p w:rsidR="00B545F8" w:rsidRDefault="00B545F8" w:rsidP="00A501A7">
      <w:pPr>
        <w:pStyle w:val="SingleTxtGA"/>
        <w:spacing w:line="370" w:lineRule="exact"/>
        <w:rPr>
          <w:b/>
          <w:bCs/>
          <w:spacing w:val="-2"/>
          <w:rtl/>
          <w:lang w:eastAsia="zh-TW"/>
        </w:rPr>
      </w:pPr>
      <w:r w:rsidRPr="00B545F8">
        <w:rPr>
          <w:b/>
          <w:bCs/>
          <w:spacing w:val="-2"/>
          <w:rtl/>
        </w:rPr>
        <w:tab/>
      </w:r>
      <w:dir w:val="rtl">
        <w:r w:rsidRPr="00B545F8">
          <w:rPr>
            <w:rFonts w:ascii="Traditional Arabic" w:hAnsi="Traditional Arabic" w:hint="cs"/>
            <w:b/>
            <w:bCs/>
            <w:spacing w:val="-2"/>
            <w:rtl/>
            <w:lang w:eastAsia="zh-TW"/>
          </w:rPr>
          <w:t>ينبغي</w:t>
        </w:r>
        <w:r w:rsidRPr="00B545F8">
          <w:rPr>
            <w:b/>
            <w:bCs/>
            <w:spacing w:val="-2"/>
            <w:rtl/>
            <w:lang w:eastAsia="zh-TW"/>
          </w:rPr>
          <w:t xml:space="preserve"> </w:t>
        </w:r>
        <w:r w:rsidRPr="00B545F8">
          <w:rPr>
            <w:rFonts w:ascii="Traditional Arabic" w:hAnsi="Traditional Arabic" w:hint="cs"/>
            <w:b/>
            <w:bCs/>
            <w:spacing w:val="-2"/>
            <w:rtl/>
            <w:lang w:eastAsia="zh-TW"/>
          </w:rPr>
          <w:t>للدولة</w:t>
        </w:r>
        <w:r w:rsidRPr="00B545F8">
          <w:rPr>
            <w:b/>
            <w:bCs/>
            <w:spacing w:val="-2"/>
            <w:rtl/>
            <w:lang w:eastAsia="zh-TW"/>
          </w:rPr>
          <w:t xml:space="preserve"> </w:t>
        </w:r>
        <w:r w:rsidRPr="00B545F8">
          <w:rPr>
            <w:rFonts w:ascii="Traditional Arabic" w:hAnsi="Traditional Arabic" w:hint="cs"/>
            <w:b/>
            <w:bCs/>
            <w:spacing w:val="-2"/>
            <w:rtl/>
            <w:lang w:eastAsia="zh-TW"/>
          </w:rPr>
          <w:t>الطرف</w:t>
        </w:r>
        <w:r w:rsidRPr="00B545F8">
          <w:rPr>
            <w:b/>
            <w:bCs/>
            <w:spacing w:val="-2"/>
            <w:rtl/>
            <w:lang w:eastAsia="zh-TW"/>
          </w:rPr>
          <w:t xml:space="preserve"> </w:t>
        </w:r>
        <w:r w:rsidRPr="00B545F8">
          <w:rPr>
            <w:rFonts w:ascii="Traditional Arabic" w:hAnsi="Traditional Arabic" w:hint="cs"/>
            <w:b/>
            <w:bCs/>
            <w:spacing w:val="-2"/>
            <w:rtl/>
            <w:lang w:eastAsia="zh-TW"/>
          </w:rPr>
          <w:t>أن</w:t>
        </w:r>
        <w:r w:rsidRPr="00B545F8">
          <w:rPr>
            <w:b/>
            <w:bCs/>
            <w:spacing w:val="-2"/>
            <w:rtl/>
            <w:lang w:eastAsia="zh-TW"/>
          </w:rPr>
          <w:t xml:space="preserve"> </w:t>
        </w:r>
        <w:r w:rsidRPr="00B545F8">
          <w:rPr>
            <w:rFonts w:ascii="Traditional Arabic" w:hAnsi="Traditional Arabic" w:hint="cs"/>
            <w:b/>
            <w:bCs/>
            <w:spacing w:val="-2"/>
            <w:rtl/>
            <w:lang w:eastAsia="zh-TW"/>
          </w:rPr>
          <w:t>تتخذ</w:t>
        </w:r>
        <w:r w:rsidRPr="00B545F8">
          <w:rPr>
            <w:b/>
            <w:bCs/>
            <w:spacing w:val="-2"/>
            <w:rtl/>
            <w:lang w:eastAsia="zh-TW"/>
          </w:rPr>
          <w:t xml:space="preserve"> </w:t>
        </w:r>
        <w:r w:rsidRPr="00B545F8">
          <w:rPr>
            <w:rFonts w:ascii="Traditional Arabic" w:hAnsi="Traditional Arabic" w:hint="cs"/>
            <w:b/>
            <w:bCs/>
            <w:spacing w:val="-2"/>
            <w:rtl/>
            <w:lang w:eastAsia="zh-TW"/>
          </w:rPr>
          <w:t>جميع</w:t>
        </w:r>
        <w:r w:rsidRPr="00B545F8">
          <w:rPr>
            <w:b/>
            <w:bCs/>
            <w:spacing w:val="-2"/>
            <w:rtl/>
            <w:lang w:eastAsia="zh-TW"/>
          </w:rPr>
          <w:t xml:space="preserve"> </w:t>
        </w:r>
        <w:r w:rsidRPr="00B545F8">
          <w:rPr>
            <w:rFonts w:ascii="Traditional Arabic" w:hAnsi="Traditional Arabic" w:hint="cs"/>
            <w:b/>
            <w:bCs/>
            <w:spacing w:val="-2"/>
            <w:rtl/>
            <w:lang w:eastAsia="zh-TW"/>
          </w:rPr>
          <w:t>التدابير</w:t>
        </w:r>
        <w:r w:rsidRPr="00B545F8">
          <w:rPr>
            <w:b/>
            <w:bCs/>
            <w:spacing w:val="-2"/>
            <w:rtl/>
            <w:lang w:eastAsia="zh-TW"/>
          </w:rPr>
          <w:t xml:space="preserve"> </w:t>
        </w:r>
        <w:r w:rsidRPr="00B545F8">
          <w:rPr>
            <w:rFonts w:ascii="Traditional Arabic" w:hAnsi="Traditional Arabic" w:hint="cs"/>
            <w:b/>
            <w:bCs/>
            <w:spacing w:val="-2"/>
            <w:rtl/>
            <w:lang w:eastAsia="zh-TW"/>
          </w:rPr>
          <w:t>اللازمة</w:t>
        </w:r>
        <w:r w:rsidRPr="00B545F8">
          <w:rPr>
            <w:b/>
            <w:bCs/>
            <w:spacing w:val="-2"/>
            <w:rtl/>
            <w:lang w:eastAsia="zh-TW"/>
          </w:rPr>
          <w:t xml:space="preserve"> </w:t>
        </w:r>
        <w:r w:rsidRPr="00B545F8">
          <w:rPr>
            <w:rFonts w:ascii="Traditional Arabic" w:hAnsi="Traditional Arabic" w:hint="cs"/>
            <w:b/>
            <w:bCs/>
            <w:spacing w:val="-2"/>
            <w:rtl/>
            <w:lang w:eastAsia="zh-TW"/>
          </w:rPr>
          <w:t>لضمان</w:t>
        </w:r>
        <w:r w:rsidRPr="00B545F8">
          <w:rPr>
            <w:b/>
            <w:bCs/>
            <w:spacing w:val="-2"/>
            <w:rtl/>
            <w:lang w:eastAsia="zh-TW"/>
          </w:rPr>
          <w:t xml:space="preserve"> </w:t>
        </w:r>
        <w:r w:rsidRPr="00B545F8">
          <w:rPr>
            <w:rFonts w:ascii="Traditional Arabic" w:hAnsi="Traditional Arabic" w:hint="cs"/>
            <w:b/>
            <w:bCs/>
            <w:spacing w:val="-2"/>
            <w:rtl/>
            <w:lang w:eastAsia="zh-TW"/>
          </w:rPr>
          <w:t>توافق</w:t>
        </w:r>
        <w:r w:rsidRPr="00B545F8">
          <w:rPr>
            <w:b/>
            <w:bCs/>
            <w:spacing w:val="-2"/>
            <w:rtl/>
            <w:lang w:eastAsia="zh-TW"/>
          </w:rPr>
          <w:t xml:space="preserve"> </w:t>
        </w:r>
        <w:r w:rsidRPr="00B545F8">
          <w:rPr>
            <w:rFonts w:ascii="Traditional Arabic" w:hAnsi="Traditional Arabic" w:hint="cs"/>
            <w:b/>
            <w:bCs/>
            <w:spacing w:val="-2"/>
            <w:rtl/>
            <w:lang w:eastAsia="zh-TW"/>
          </w:rPr>
          <w:t>أنشطتها</w:t>
        </w:r>
        <w:r w:rsidRPr="00B545F8">
          <w:rPr>
            <w:b/>
            <w:bCs/>
            <w:spacing w:val="-2"/>
            <w:rtl/>
            <w:lang w:eastAsia="zh-TW"/>
          </w:rPr>
          <w:t xml:space="preserve"> </w:t>
        </w:r>
        <w:r w:rsidRPr="00B545F8">
          <w:rPr>
            <w:rFonts w:ascii="Traditional Arabic" w:hAnsi="Traditional Arabic" w:hint="cs"/>
            <w:b/>
            <w:bCs/>
            <w:spacing w:val="-2"/>
            <w:rtl/>
            <w:lang w:eastAsia="zh-TW"/>
          </w:rPr>
          <w:t>المتعلقة</w:t>
        </w:r>
        <w:r w:rsidRPr="00B545F8">
          <w:rPr>
            <w:b/>
            <w:bCs/>
            <w:spacing w:val="-2"/>
            <w:rtl/>
            <w:lang w:eastAsia="zh-TW"/>
          </w:rPr>
          <w:t xml:space="preserve"> </w:t>
        </w:r>
        <w:r w:rsidRPr="00B545F8">
          <w:rPr>
            <w:rFonts w:ascii="Traditional Arabic" w:hAnsi="Traditional Arabic" w:hint="cs"/>
            <w:b/>
            <w:bCs/>
            <w:spacing w:val="-2"/>
            <w:rtl/>
            <w:lang w:eastAsia="zh-TW"/>
          </w:rPr>
          <w:t>بالمراقبة،</w:t>
        </w:r>
        <w:r w:rsidRPr="00B545F8">
          <w:rPr>
            <w:b/>
            <w:bCs/>
            <w:spacing w:val="-2"/>
            <w:rtl/>
            <w:lang w:eastAsia="zh-TW"/>
          </w:rPr>
          <w:t xml:space="preserve"> </w:t>
        </w:r>
        <w:r w:rsidRPr="00B545F8">
          <w:rPr>
            <w:rFonts w:ascii="Traditional Arabic" w:hAnsi="Traditional Arabic" w:hint="cs"/>
            <w:b/>
            <w:bCs/>
            <w:spacing w:val="-2"/>
            <w:rtl/>
            <w:lang w:eastAsia="zh-TW"/>
          </w:rPr>
          <w:t>داخل</w:t>
        </w:r>
        <w:r w:rsidRPr="00B545F8">
          <w:rPr>
            <w:b/>
            <w:bCs/>
            <w:spacing w:val="-2"/>
            <w:rtl/>
            <w:lang w:eastAsia="zh-TW"/>
          </w:rPr>
          <w:t xml:space="preserve"> </w:t>
        </w:r>
        <w:r w:rsidRPr="00B545F8">
          <w:rPr>
            <w:rFonts w:ascii="Traditional Arabic" w:hAnsi="Traditional Arabic" w:hint="cs"/>
            <w:b/>
            <w:bCs/>
            <w:spacing w:val="-2"/>
            <w:rtl/>
            <w:lang w:eastAsia="zh-TW"/>
          </w:rPr>
          <w:t>إقليمها</w:t>
        </w:r>
        <w:r w:rsidRPr="00B545F8">
          <w:rPr>
            <w:b/>
            <w:bCs/>
            <w:spacing w:val="-2"/>
            <w:rtl/>
            <w:lang w:eastAsia="zh-TW"/>
          </w:rPr>
          <w:t xml:space="preserve"> </w:t>
        </w:r>
        <w:r w:rsidRPr="00B545F8">
          <w:rPr>
            <w:rFonts w:ascii="Traditional Arabic" w:hAnsi="Traditional Arabic" w:hint="cs"/>
            <w:b/>
            <w:bCs/>
            <w:spacing w:val="-2"/>
            <w:rtl/>
            <w:lang w:eastAsia="zh-TW"/>
          </w:rPr>
          <w:t>وخارجه،</w:t>
        </w:r>
        <w:r w:rsidRPr="00B545F8">
          <w:rPr>
            <w:b/>
            <w:bCs/>
            <w:spacing w:val="-2"/>
            <w:rtl/>
            <w:lang w:eastAsia="zh-TW"/>
          </w:rPr>
          <w:t xml:space="preserve"> </w:t>
        </w:r>
        <w:r w:rsidRPr="00B545F8">
          <w:rPr>
            <w:rFonts w:ascii="Traditional Arabic" w:hAnsi="Traditional Arabic" w:hint="cs"/>
            <w:b/>
            <w:bCs/>
            <w:spacing w:val="-2"/>
            <w:rtl/>
            <w:lang w:eastAsia="zh-TW"/>
          </w:rPr>
          <w:t>مع</w:t>
        </w:r>
        <w:r w:rsidRPr="00B545F8">
          <w:rPr>
            <w:b/>
            <w:bCs/>
            <w:spacing w:val="-2"/>
            <w:rtl/>
            <w:lang w:eastAsia="zh-TW"/>
          </w:rPr>
          <w:t xml:space="preserve"> </w:t>
        </w:r>
        <w:r w:rsidRPr="00B545F8">
          <w:rPr>
            <w:rFonts w:ascii="Traditional Arabic" w:hAnsi="Traditional Arabic" w:hint="cs"/>
            <w:b/>
            <w:bCs/>
            <w:spacing w:val="-2"/>
            <w:rtl/>
            <w:lang w:eastAsia="zh-TW"/>
          </w:rPr>
          <w:t>التزاماتها</w:t>
        </w:r>
        <w:r w:rsidRPr="00B545F8">
          <w:rPr>
            <w:b/>
            <w:bCs/>
            <w:spacing w:val="-2"/>
            <w:rtl/>
            <w:lang w:eastAsia="zh-TW"/>
          </w:rPr>
          <w:t xml:space="preserve"> </w:t>
        </w:r>
        <w:r w:rsidRPr="00B545F8">
          <w:rPr>
            <w:rFonts w:ascii="Traditional Arabic" w:hAnsi="Traditional Arabic" w:hint="cs"/>
            <w:b/>
            <w:bCs/>
            <w:spacing w:val="-2"/>
            <w:rtl/>
            <w:lang w:eastAsia="zh-TW"/>
          </w:rPr>
          <w:t>بموجب</w:t>
        </w:r>
        <w:r w:rsidRPr="00B545F8">
          <w:rPr>
            <w:b/>
            <w:bCs/>
            <w:spacing w:val="-2"/>
            <w:rtl/>
            <w:lang w:eastAsia="zh-TW"/>
          </w:rPr>
          <w:t xml:space="preserve"> </w:t>
        </w:r>
        <w:r w:rsidRPr="00B545F8">
          <w:rPr>
            <w:rFonts w:ascii="Traditional Arabic" w:hAnsi="Traditional Arabic" w:hint="cs"/>
            <w:b/>
            <w:bCs/>
            <w:spacing w:val="-2"/>
            <w:rtl/>
            <w:lang w:eastAsia="zh-TW"/>
          </w:rPr>
          <w:t>العهد</w:t>
        </w:r>
        <w:r w:rsidRPr="00B545F8">
          <w:rPr>
            <w:b/>
            <w:bCs/>
            <w:spacing w:val="-2"/>
            <w:rtl/>
            <w:lang w:eastAsia="zh-TW"/>
          </w:rPr>
          <w:t xml:space="preserve"> </w:t>
        </w:r>
        <w:r w:rsidRPr="00B545F8">
          <w:rPr>
            <w:rFonts w:ascii="Traditional Arabic" w:hAnsi="Traditional Arabic" w:hint="cs"/>
            <w:b/>
            <w:bCs/>
            <w:spacing w:val="-2"/>
            <w:rtl/>
            <w:lang w:eastAsia="zh-TW"/>
          </w:rPr>
          <w:t>ولا</w:t>
        </w:r>
        <w:r w:rsidRPr="00B545F8">
          <w:rPr>
            <w:b/>
            <w:bCs/>
            <w:spacing w:val="-2"/>
            <w:rtl/>
            <w:lang w:eastAsia="zh-TW"/>
          </w:rPr>
          <w:t xml:space="preserve"> </w:t>
        </w:r>
        <w:r w:rsidRPr="00B545F8">
          <w:rPr>
            <w:rFonts w:ascii="Traditional Arabic" w:hAnsi="Traditional Arabic" w:hint="cs"/>
            <w:b/>
            <w:bCs/>
            <w:spacing w:val="-2"/>
            <w:rtl/>
            <w:lang w:eastAsia="zh-TW"/>
          </w:rPr>
          <w:t>سيما</w:t>
        </w:r>
        <w:r w:rsidRPr="00B545F8">
          <w:rPr>
            <w:b/>
            <w:bCs/>
            <w:spacing w:val="-2"/>
            <w:rtl/>
            <w:lang w:eastAsia="zh-TW"/>
          </w:rPr>
          <w:t xml:space="preserve"> </w:t>
        </w:r>
        <w:r w:rsidRPr="00B545F8">
          <w:rPr>
            <w:rFonts w:ascii="Traditional Arabic" w:hAnsi="Traditional Arabic" w:hint="cs"/>
            <w:b/>
            <w:bCs/>
            <w:spacing w:val="-2"/>
            <w:rtl/>
            <w:lang w:eastAsia="zh-TW"/>
          </w:rPr>
          <w:t>المادة</w:t>
        </w:r>
        <w:r w:rsidRPr="00B545F8">
          <w:rPr>
            <w:b/>
            <w:bCs/>
            <w:spacing w:val="-2"/>
            <w:rtl/>
            <w:lang w:eastAsia="zh-TW"/>
          </w:rPr>
          <w:t xml:space="preserve"> 17.</w:t>
        </w:r>
        <w:r w:rsidRPr="00B545F8">
          <w:rPr>
            <w:rFonts w:cs="Times New Roman" w:hint="cs"/>
            <w:b/>
            <w:bCs/>
            <w:spacing w:val="-2"/>
            <w:rtl/>
            <w:lang w:eastAsia="zh-TW"/>
          </w:rPr>
          <w:t>‬</w:t>
        </w:r>
        <w:r w:rsidRPr="00B545F8">
          <w:rPr>
            <w:b/>
            <w:bCs/>
            <w:spacing w:val="-2"/>
            <w:rtl/>
            <w:lang w:eastAsia="zh-TW"/>
          </w:rPr>
          <w:t xml:space="preserve"> </w:t>
        </w:r>
        <w:dir w:val="rtl">
          <w:r w:rsidRPr="00B545F8">
            <w:rPr>
              <w:rFonts w:ascii="Traditional Arabic" w:hAnsi="Traditional Arabic" w:hint="cs"/>
              <w:b/>
              <w:bCs/>
              <w:spacing w:val="-2"/>
              <w:rtl/>
              <w:lang w:eastAsia="zh-TW"/>
            </w:rPr>
            <w:t>وعلى</w:t>
          </w:r>
          <w:r w:rsidRPr="00B545F8">
            <w:rPr>
              <w:b/>
              <w:bCs/>
              <w:spacing w:val="-2"/>
              <w:rtl/>
              <w:lang w:eastAsia="zh-TW"/>
            </w:rPr>
            <w:t xml:space="preserve"> </w:t>
          </w:r>
          <w:r w:rsidRPr="00B545F8">
            <w:rPr>
              <w:rFonts w:ascii="Traditional Arabic" w:hAnsi="Traditional Arabic" w:hint="cs"/>
              <w:b/>
              <w:bCs/>
              <w:spacing w:val="-2"/>
              <w:rtl/>
              <w:lang w:eastAsia="zh-TW"/>
            </w:rPr>
            <w:t>وجه</w:t>
          </w:r>
          <w:r w:rsidRPr="00B545F8">
            <w:rPr>
              <w:b/>
              <w:bCs/>
              <w:spacing w:val="-2"/>
              <w:rtl/>
              <w:lang w:eastAsia="zh-TW"/>
            </w:rPr>
            <w:t xml:space="preserve"> </w:t>
          </w:r>
          <w:r w:rsidRPr="00B545F8">
            <w:rPr>
              <w:rFonts w:ascii="Traditional Arabic" w:hAnsi="Traditional Arabic" w:hint="cs"/>
              <w:b/>
              <w:bCs/>
              <w:spacing w:val="-2"/>
              <w:rtl/>
              <w:lang w:eastAsia="zh-TW"/>
            </w:rPr>
            <w:t>الخصوص،</w:t>
          </w:r>
          <w:r w:rsidRPr="00B545F8">
            <w:rPr>
              <w:b/>
              <w:bCs/>
              <w:spacing w:val="-2"/>
              <w:rtl/>
              <w:lang w:eastAsia="zh-TW"/>
            </w:rPr>
            <w:t xml:space="preserve"> </w:t>
          </w:r>
          <w:r w:rsidRPr="00B545F8">
            <w:rPr>
              <w:rFonts w:ascii="Traditional Arabic" w:hAnsi="Traditional Arabic" w:hint="cs"/>
              <w:b/>
              <w:bCs/>
              <w:spacing w:val="-2"/>
              <w:rtl/>
              <w:lang w:eastAsia="zh-TW"/>
            </w:rPr>
            <w:t>ينبغي</w:t>
          </w:r>
          <w:r w:rsidRPr="00B545F8">
            <w:rPr>
              <w:b/>
              <w:bCs/>
              <w:spacing w:val="-2"/>
              <w:rtl/>
              <w:lang w:eastAsia="zh-TW"/>
            </w:rPr>
            <w:t xml:space="preserve"> </w:t>
          </w:r>
          <w:r w:rsidRPr="00B545F8">
            <w:rPr>
              <w:rFonts w:ascii="Traditional Arabic" w:hAnsi="Traditional Arabic" w:hint="cs"/>
              <w:b/>
              <w:bCs/>
              <w:spacing w:val="-2"/>
              <w:rtl/>
              <w:lang w:eastAsia="zh-TW"/>
            </w:rPr>
            <w:t>اتخاذ</w:t>
          </w:r>
          <w:r w:rsidRPr="00B545F8">
            <w:rPr>
              <w:b/>
              <w:bCs/>
              <w:spacing w:val="-2"/>
              <w:rtl/>
              <w:lang w:eastAsia="zh-TW"/>
            </w:rPr>
            <w:t xml:space="preserve"> </w:t>
          </w:r>
          <w:r w:rsidRPr="00B545F8">
            <w:rPr>
              <w:rFonts w:ascii="Traditional Arabic" w:hAnsi="Traditional Arabic" w:hint="cs"/>
              <w:b/>
              <w:bCs/>
              <w:spacing w:val="-2"/>
              <w:rtl/>
              <w:lang w:eastAsia="zh-TW"/>
            </w:rPr>
            <w:t>تدابير</w:t>
          </w:r>
          <w:r w:rsidRPr="00B545F8">
            <w:rPr>
              <w:b/>
              <w:bCs/>
              <w:spacing w:val="-2"/>
              <w:rtl/>
              <w:lang w:eastAsia="zh-TW"/>
            </w:rPr>
            <w:t xml:space="preserve"> </w:t>
          </w:r>
          <w:r w:rsidRPr="00B545F8">
            <w:rPr>
              <w:rFonts w:ascii="Traditional Arabic" w:hAnsi="Traditional Arabic" w:hint="cs"/>
              <w:b/>
              <w:bCs/>
              <w:spacing w:val="-2"/>
              <w:rtl/>
              <w:lang w:eastAsia="zh-TW"/>
            </w:rPr>
            <w:t>تكفل</w:t>
          </w:r>
          <w:r w:rsidRPr="00B545F8">
            <w:rPr>
              <w:b/>
              <w:bCs/>
              <w:spacing w:val="-2"/>
              <w:rtl/>
              <w:lang w:eastAsia="zh-TW"/>
            </w:rPr>
            <w:t xml:space="preserve"> </w:t>
          </w:r>
          <w:r w:rsidRPr="00B545F8">
            <w:rPr>
              <w:rFonts w:ascii="Traditional Arabic" w:hAnsi="Traditional Arabic" w:hint="cs"/>
              <w:b/>
              <w:bCs/>
              <w:spacing w:val="-2"/>
              <w:rtl/>
              <w:lang w:eastAsia="zh-TW"/>
            </w:rPr>
            <w:t>أن</w:t>
          </w:r>
          <w:r w:rsidRPr="00B545F8">
            <w:rPr>
              <w:b/>
              <w:bCs/>
              <w:spacing w:val="-2"/>
              <w:rtl/>
              <w:lang w:eastAsia="zh-TW"/>
            </w:rPr>
            <w:t xml:space="preserve"> </w:t>
          </w:r>
          <w:r w:rsidRPr="00B545F8">
            <w:rPr>
              <w:rFonts w:ascii="Traditional Arabic" w:hAnsi="Traditional Arabic" w:hint="cs"/>
              <w:b/>
              <w:bCs/>
              <w:spacing w:val="-2"/>
              <w:rtl/>
              <w:lang w:eastAsia="zh-TW"/>
            </w:rPr>
            <w:t>يكون</w:t>
          </w:r>
          <w:r w:rsidRPr="00B545F8">
            <w:rPr>
              <w:b/>
              <w:bCs/>
              <w:spacing w:val="-2"/>
              <w:rtl/>
              <w:lang w:eastAsia="zh-TW"/>
            </w:rPr>
            <w:t xml:space="preserve"> </w:t>
          </w:r>
          <w:r w:rsidRPr="00B545F8">
            <w:rPr>
              <w:rFonts w:ascii="Traditional Arabic" w:hAnsi="Traditional Arabic" w:hint="cs"/>
              <w:b/>
              <w:bCs/>
              <w:spacing w:val="-2"/>
              <w:rtl/>
              <w:lang w:eastAsia="zh-TW"/>
            </w:rPr>
            <w:t>أي</w:t>
          </w:r>
          <w:r w:rsidRPr="00B545F8">
            <w:rPr>
              <w:b/>
              <w:bCs/>
              <w:spacing w:val="-2"/>
              <w:rtl/>
              <w:lang w:eastAsia="zh-TW"/>
            </w:rPr>
            <w:t xml:space="preserve"> </w:t>
          </w:r>
          <w:r w:rsidRPr="00B545F8">
            <w:rPr>
              <w:rFonts w:ascii="Traditional Arabic" w:hAnsi="Traditional Arabic" w:hint="cs"/>
              <w:b/>
              <w:bCs/>
              <w:spacing w:val="-2"/>
              <w:rtl/>
              <w:lang w:eastAsia="zh-TW"/>
            </w:rPr>
            <w:t>تدخل</w:t>
          </w:r>
          <w:r w:rsidRPr="00B545F8">
            <w:rPr>
              <w:b/>
              <w:bCs/>
              <w:spacing w:val="-2"/>
              <w:rtl/>
              <w:lang w:eastAsia="zh-TW"/>
            </w:rPr>
            <w:t xml:space="preserve"> </w:t>
          </w:r>
          <w:r w:rsidRPr="00B545F8">
            <w:rPr>
              <w:rFonts w:ascii="Traditional Arabic" w:hAnsi="Traditional Arabic" w:hint="cs"/>
              <w:b/>
              <w:bCs/>
              <w:spacing w:val="-2"/>
              <w:rtl/>
              <w:lang w:eastAsia="zh-TW"/>
            </w:rPr>
            <w:t>في</w:t>
          </w:r>
          <w:r w:rsidRPr="00B545F8">
            <w:rPr>
              <w:b/>
              <w:bCs/>
              <w:spacing w:val="-2"/>
              <w:rtl/>
              <w:lang w:eastAsia="zh-TW"/>
            </w:rPr>
            <w:t xml:space="preserve"> </w:t>
          </w:r>
          <w:r w:rsidRPr="00B545F8">
            <w:rPr>
              <w:rFonts w:ascii="Traditional Arabic" w:hAnsi="Traditional Arabic" w:hint="cs"/>
              <w:b/>
              <w:bCs/>
              <w:spacing w:val="-2"/>
              <w:rtl/>
              <w:lang w:eastAsia="zh-TW"/>
            </w:rPr>
            <w:t>الحياة</w:t>
          </w:r>
          <w:r w:rsidRPr="00B545F8">
            <w:rPr>
              <w:b/>
              <w:bCs/>
              <w:spacing w:val="-2"/>
              <w:rtl/>
              <w:lang w:eastAsia="zh-TW"/>
            </w:rPr>
            <w:t xml:space="preserve"> </w:t>
          </w:r>
          <w:r w:rsidRPr="00B545F8">
            <w:rPr>
              <w:rFonts w:ascii="Traditional Arabic" w:hAnsi="Traditional Arabic" w:hint="cs"/>
              <w:b/>
              <w:bCs/>
              <w:spacing w:val="-2"/>
              <w:rtl/>
              <w:lang w:eastAsia="zh-TW"/>
            </w:rPr>
            <w:t>الخاصة</w:t>
          </w:r>
          <w:r w:rsidRPr="00B545F8">
            <w:rPr>
              <w:b/>
              <w:bCs/>
              <w:spacing w:val="-2"/>
              <w:rtl/>
              <w:lang w:eastAsia="zh-TW"/>
            </w:rPr>
            <w:t xml:space="preserve"> </w:t>
          </w:r>
          <w:r w:rsidRPr="00B545F8">
            <w:rPr>
              <w:rFonts w:ascii="Traditional Arabic" w:hAnsi="Traditional Arabic" w:hint="cs"/>
              <w:b/>
              <w:bCs/>
              <w:spacing w:val="-2"/>
              <w:rtl/>
              <w:lang w:eastAsia="zh-TW"/>
            </w:rPr>
            <w:t>مطابقاً</w:t>
          </w:r>
          <w:r w:rsidRPr="00B545F8">
            <w:rPr>
              <w:b/>
              <w:bCs/>
              <w:spacing w:val="-2"/>
              <w:rtl/>
              <w:lang w:eastAsia="zh-TW"/>
            </w:rPr>
            <w:t xml:space="preserve"> </w:t>
          </w:r>
          <w:r w:rsidRPr="00B545F8">
            <w:rPr>
              <w:rFonts w:ascii="Traditional Arabic" w:hAnsi="Traditional Arabic" w:hint="cs"/>
              <w:b/>
              <w:bCs/>
              <w:spacing w:val="-2"/>
              <w:rtl/>
              <w:lang w:eastAsia="zh-TW"/>
            </w:rPr>
            <w:t>لمبادئ</w:t>
          </w:r>
          <w:r w:rsidRPr="00B545F8">
            <w:rPr>
              <w:b/>
              <w:bCs/>
              <w:spacing w:val="-2"/>
              <w:rtl/>
              <w:lang w:eastAsia="zh-TW"/>
            </w:rPr>
            <w:t xml:space="preserve"> </w:t>
          </w:r>
          <w:r w:rsidR="00A501A7" w:rsidRPr="00B545F8">
            <w:rPr>
              <w:rFonts w:ascii="Traditional Arabic" w:hAnsi="Traditional Arabic" w:hint="cs"/>
              <w:b/>
              <w:bCs/>
              <w:spacing w:val="-2"/>
              <w:rtl/>
              <w:lang w:eastAsia="zh-TW"/>
            </w:rPr>
            <w:t>الشرعية</w:t>
          </w:r>
          <w:r w:rsidR="00A501A7" w:rsidRPr="00B545F8">
            <w:rPr>
              <w:b/>
              <w:bCs/>
              <w:spacing w:val="-2"/>
              <w:rtl/>
              <w:lang w:eastAsia="zh-TW"/>
            </w:rPr>
            <w:t xml:space="preserve"> والتناسب والضرورة.</w:t>
          </w:r>
          <w:r w:rsidR="00A501A7" w:rsidRPr="00B545F8">
            <w:rPr>
              <w:rFonts w:cs="Times New Roman" w:hint="cs"/>
              <w:b/>
              <w:bCs/>
              <w:spacing w:val="-2"/>
              <w:rtl/>
              <w:lang w:eastAsia="zh-TW"/>
            </w:rPr>
            <w:t>‬</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وينبغي</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أن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تحرص</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الدولة</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الطرف</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على</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أن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يكون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جمع</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البيانات</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المتعلقة</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بالاتصالات</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واستخدامها</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قائمين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على</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أهداف</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مشروعة</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دقيقة،</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وأن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تبين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بالتفصيل</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الظروف</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المحددة</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التي</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يمكن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أن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يُسمح</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فيها</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بهذا</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التدخل</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وفئات</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الأشخاص</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الممكن</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وضعهم</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تحت</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المراقبة</w:t>
          </w:r>
          <w:r w:rsidR="00A501A7" w:rsidRPr="00B545F8">
            <w:rPr>
              <w:b/>
              <w:bCs/>
              <w:spacing w:val="-2"/>
              <w:rtl/>
              <w:lang w:eastAsia="zh-TW"/>
            </w:rPr>
            <w:t>.</w:t>
          </w:r>
          <w:r w:rsidR="00A501A7" w:rsidRPr="00B545F8">
            <w:rPr>
              <w:rFonts w:cs="Times New Roman" w:hint="cs"/>
              <w:b/>
              <w:bCs/>
              <w:spacing w:val="-2"/>
              <w:rtl/>
              <w:lang w:eastAsia="zh-TW"/>
            </w:rPr>
            <w:t>‬</w:t>
          </w:r>
          <w:r w:rsidR="00A501A7" w:rsidRPr="00B545F8">
            <w:rPr>
              <w:b/>
              <w:bCs/>
              <w:spacing w:val="-2"/>
              <w:rtl/>
              <w:lang w:eastAsia="zh-TW"/>
            </w:rPr>
            <w:t xml:space="preserve"> </w:t>
          </w:r>
          <w:dir w:val="rtl">
            <w:r w:rsidR="00A501A7" w:rsidRPr="00B545F8">
              <w:rPr>
                <w:rFonts w:ascii="Traditional Arabic" w:hAnsi="Traditional Arabic" w:hint="cs"/>
                <w:b/>
                <w:bCs/>
                <w:spacing w:val="-2"/>
                <w:rtl/>
                <w:lang w:eastAsia="zh-TW"/>
              </w:rPr>
              <w:t>وينبغي</w:t>
            </w:r>
            <w:r w:rsidR="00A501A7" w:rsidRPr="00B545F8">
              <w:rPr>
                <w:b/>
                <w:bCs/>
                <w:spacing w:val="-2"/>
                <w:rtl/>
                <w:lang w:eastAsia="zh-TW"/>
              </w:rPr>
              <w:t xml:space="preserve"> </w:t>
            </w:r>
            <w:r w:rsidR="00A501A7" w:rsidRPr="00B545F8">
              <w:rPr>
                <w:rFonts w:ascii="Traditional Arabic" w:hAnsi="Traditional Arabic" w:hint="cs"/>
                <w:b/>
                <w:bCs/>
                <w:spacing w:val="-2"/>
                <w:rtl/>
                <w:lang w:eastAsia="zh-TW"/>
              </w:rPr>
              <w:t>أن</w:t>
            </w:r>
            <w:r w:rsidR="00A501A7" w:rsidRPr="00B545F8">
              <w:rPr>
                <w:b/>
                <w:bCs/>
                <w:spacing w:val="-2"/>
                <w:rtl/>
                <w:lang w:eastAsia="zh-TW"/>
              </w:rPr>
              <w:t xml:space="preserve"> تسهر الدولة أيضاً على ضمان فعالية واستقلال نظام التحقق من أنشطة المراقبة، وذلك بسبل منها إشراك السلطة القضائية في إصدار الإذن بتدابير المراقبة والتحقق منها.</w:t>
            </w:r>
            <w:r w:rsidR="00A501A7">
              <w:t>‬</w:t>
            </w:r>
            <w:r w:rsidR="00DC1DEF">
              <w:t>‬</w:t>
            </w:r>
            <w:r w:rsidR="00DC1DEF">
              <w:t>‬</w:t>
            </w:r>
            <w:r w:rsidR="00BD0320">
              <w:t>‬</w:t>
            </w:r>
            <w:r w:rsidR="00BD0320">
              <w:t>‬</w:t>
            </w:r>
            <w:r w:rsidR="00BD0320">
              <w:t>‬</w:t>
            </w:r>
            <w:r w:rsidR="00E50C3B">
              <w:t>‬</w:t>
            </w:r>
            <w:r w:rsidR="00E50C3B">
              <w:t>‬</w:t>
            </w:r>
            <w:r w:rsidR="00E50C3B">
              <w:t>‬</w:t>
            </w:r>
            <w:r w:rsidR="00D8591B">
              <w:t>‬</w:t>
            </w:r>
            <w:r w:rsidR="00D8591B">
              <w:t>‬</w:t>
            </w:r>
            <w:r w:rsidR="00D8591B">
              <w:t>‬</w:t>
            </w:r>
          </w:dir>
        </w:dir>
      </w:dir>
    </w:p>
    <w:tbl>
      <w:tblPr>
        <w:bidiVisual/>
        <w:tblW w:w="7271" w:type="dxa"/>
        <w:tblInd w:w="1233" w:type="dxa"/>
        <w:tblBorders>
          <w:top w:val="single" w:sz="4" w:space="0" w:color="auto"/>
          <w:bottom w:val="single" w:sz="12" w:space="0" w:color="auto"/>
        </w:tblBorders>
        <w:tblLayout w:type="fixed"/>
        <w:tblLook w:val="00A0" w:firstRow="1" w:lastRow="0" w:firstColumn="1" w:lastColumn="0" w:noHBand="0" w:noVBand="0"/>
      </w:tblPr>
      <w:tblGrid>
        <w:gridCol w:w="2391"/>
        <w:gridCol w:w="4880"/>
      </w:tblGrid>
      <w:tr w:rsidR="00B545F8" w:rsidRPr="00B545F8" w:rsidTr="00FF281A">
        <w:trPr>
          <w:trHeight w:val="240"/>
          <w:tblHeader/>
        </w:trPr>
        <w:tc>
          <w:tcPr>
            <w:tcW w:w="2391" w:type="dxa"/>
            <w:tcBorders>
              <w:top w:val="single" w:sz="4" w:space="0" w:color="auto"/>
              <w:bottom w:val="single" w:sz="12" w:space="0" w:color="auto"/>
            </w:tcBorders>
            <w:shd w:val="clear" w:color="auto" w:fill="auto"/>
            <w:vAlign w:val="bottom"/>
          </w:tcPr>
          <w:p w:rsidR="00B545F8" w:rsidRPr="00B545F8" w:rsidRDefault="00B545F8" w:rsidP="00BD0320">
            <w:pPr>
              <w:pageBreakBefore/>
              <w:spacing w:after="120" w:line="320" w:lineRule="exact"/>
              <w:jc w:val="both"/>
              <w:textDirection w:val="tbRlV"/>
              <w:rPr>
                <w:i/>
                <w:iCs/>
                <w:rtl/>
                <w:lang w:eastAsia="zh-TW"/>
              </w:rPr>
            </w:pPr>
            <w:r w:rsidRPr="00B545F8">
              <w:rPr>
                <w:i/>
                <w:iCs/>
                <w:rtl/>
                <w:lang w:eastAsia="zh-TW"/>
              </w:rPr>
              <w:lastRenderedPageBreak/>
              <w:t>فرنسا</w:t>
            </w:r>
          </w:p>
        </w:tc>
        <w:tc>
          <w:tcPr>
            <w:tcW w:w="4880" w:type="dxa"/>
            <w:tcBorders>
              <w:top w:val="single" w:sz="4" w:space="0" w:color="auto"/>
              <w:bottom w:val="single" w:sz="12" w:space="0" w:color="auto"/>
            </w:tcBorders>
            <w:shd w:val="clear" w:color="auto" w:fill="auto"/>
            <w:vAlign w:val="bottom"/>
          </w:tcPr>
          <w:p w:rsidR="00B545F8" w:rsidRPr="00B545F8" w:rsidRDefault="00B545F8" w:rsidP="00BD0320">
            <w:pPr>
              <w:pageBreakBefore/>
              <w:spacing w:after="120" w:line="320" w:lineRule="exact"/>
              <w:rPr>
                <w:i/>
                <w:iCs/>
              </w:rPr>
            </w:pPr>
          </w:p>
        </w:tc>
      </w:tr>
    </w:tbl>
    <w:p w:rsidR="00B545F8" w:rsidRPr="00B545F8" w:rsidRDefault="00BD0320" w:rsidP="00BD0320">
      <w:pPr>
        <w:pStyle w:val="H23GA"/>
        <w:rPr>
          <w:rtl/>
        </w:rPr>
      </w:pPr>
      <w:r>
        <w:rPr>
          <w:rtl/>
        </w:rPr>
        <w:tab/>
      </w:r>
      <w:r>
        <w:rPr>
          <w:rtl/>
        </w:rPr>
        <w:tab/>
      </w:r>
      <w:r w:rsidR="00B545F8" w:rsidRPr="00B545F8">
        <w:rPr>
          <w:rtl/>
        </w:rPr>
        <w:t>ملخص ردّ الدولة الطرف</w:t>
      </w:r>
    </w:p>
    <w:p w:rsidR="00B545F8" w:rsidRPr="00BD0320" w:rsidRDefault="00B545F8" w:rsidP="00BD0320">
      <w:pPr>
        <w:pStyle w:val="SingleTxtGA"/>
        <w:rPr>
          <w:rtl/>
          <w:lang w:eastAsia="zh-TW"/>
        </w:rPr>
      </w:pPr>
      <w:r w:rsidRPr="00BD0320">
        <w:rPr>
          <w:rtl/>
          <w:lang w:eastAsia="zh-TW"/>
        </w:rPr>
        <w:tab/>
        <w:t xml:space="preserve">يتوخى القانون </w:t>
      </w:r>
      <w:r w:rsidRPr="00BD0320">
        <w:rPr>
          <w:rtl/>
          <w:lang w:val="ru-RU" w:eastAsia="zh-TW" w:bidi="ar-DZ"/>
        </w:rPr>
        <w:t xml:space="preserve">المتعلق بالاستخبارات </w:t>
      </w:r>
      <w:r w:rsidRPr="00BD0320">
        <w:rPr>
          <w:rtl/>
          <w:lang w:eastAsia="zh-TW"/>
        </w:rPr>
        <w:t xml:space="preserve">الصادر في ٢٤ تموز/يوليه ٢٠١٥ والقانون المتعلق بمراقبة الاتصالات الإلكترونية الدولية الصادر في ٣٠ تشرين الثاني/نوفمبر ٢٠١٥، اللذان أيد المجلس الدستوري أحكامهما الرئيسية تحقيق هدفين أساسيين هما تحسين تنظيم أنشطة أجهزة المخابرات وحماية المواطنين الفرنسيين. </w:t>
      </w:r>
    </w:p>
    <w:p w:rsidR="00B545F8" w:rsidRPr="00BD0320" w:rsidRDefault="00B545F8" w:rsidP="00BD0320">
      <w:pPr>
        <w:pStyle w:val="SingleTxtGA"/>
        <w:rPr>
          <w:rtl/>
          <w:lang w:eastAsia="zh-TW"/>
        </w:rPr>
      </w:pPr>
      <w:r w:rsidRPr="00BD0320">
        <w:rPr>
          <w:rtl/>
          <w:lang w:eastAsia="zh-TW"/>
        </w:rPr>
        <w:tab/>
        <w:t>وتحدد الدولة الطرف الضمانات القائمة، وتصف لأغراض جمع المعلومات الاستخباراتية، التقنيات المستخدمة في جمع المعلومات الاستخباراتية وتنفيذ تلك التقنيات، وأدوار الرصد المزدوجة للجنة الوطنية لمراقبة تقنيات الاستخبارات وغيرها من الآليات التي أنشئت لمراقبة تقنيات جمع المعلومات الاستخباراتية.</w:t>
      </w:r>
    </w:p>
    <w:p w:rsidR="00B545F8" w:rsidRPr="00BD0320" w:rsidRDefault="00B545F8" w:rsidP="00BD0320">
      <w:pPr>
        <w:pStyle w:val="SingleTxtGA"/>
        <w:rPr>
          <w:rtl/>
          <w:lang w:eastAsia="zh-TW"/>
        </w:rPr>
      </w:pPr>
      <w:r w:rsidRPr="00BD0320">
        <w:rPr>
          <w:rtl/>
          <w:lang w:eastAsia="zh-TW"/>
        </w:rPr>
        <w:tab/>
      </w:r>
      <w:r w:rsidRPr="00BD0320">
        <w:rPr>
          <w:i/>
          <w:iCs/>
          <w:rtl/>
          <w:lang w:eastAsia="zh-TW"/>
        </w:rPr>
        <w:t>الضمانات:</w:t>
      </w:r>
      <w:r w:rsidRPr="00BD0320">
        <w:rPr>
          <w:rtl/>
          <w:lang w:eastAsia="zh-TW"/>
        </w:rPr>
        <w:t xml:space="preserve"> بموجب المادة لام ٨٠١-١ من قانون الأمن الداخلي، تخضع تقنيات جمع المعلومات الاستخباراتية لشروط أساسية معينة، مثل احترام الحياة الخاصة، بما في ذلك سرية المراسلات، وحماية البيانات الشخصية وحرمة المسكن. ولا يجوز تقييد هذه المبادئ إلا عند الضرورة لأسباب تتعلق بالمصلحة العامة، على النحو المحدد في القانون، ومع إيلاء الاعتبار الواجب لمبدأ التناسب. وبموجب المادة نفسها، يجب أن تقرر السلطة المختصة بمنح الإذن باستخدام تقنيات جمع المعلومات الاستخبارية وتنفيذ تلك التقنيات، وأن يكون ذلك نتيجة لإجراءات تمتثل للأحكام القانونية ذات الصلة، وأن يطابق المهمات الموكلة إلى أجهزة الاستخبارات، وأن تكون مبرراته هي التهديدات والمخاطر والتحديات المطروحة أمام المصالح الأساسية للبلد وأن يكون محدداً بالقانون ويكون متناسباً مع الأهداف المعلنة.</w:t>
      </w:r>
    </w:p>
    <w:p w:rsidR="00B545F8" w:rsidRPr="00BD0320" w:rsidRDefault="00BD0320" w:rsidP="00BD0320">
      <w:pPr>
        <w:pStyle w:val="SingleTxtGA"/>
        <w:rPr>
          <w:rtl/>
          <w:lang w:eastAsia="zh-TW"/>
        </w:rPr>
      </w:pPr>
      <w:r w:rsidRPr="00BD0320">
        <w:rPr>
          <w:i/>
          <w:iCs/>
          <w:rtl/>
          <w:lang w:eastAsia="zh-TW"/>
        </w:rPr>
        <w:tab/>
      </w:r>
      <w:r w:rsidR="00B545F8" w:rsidRPr="00BD0320">
        <w:rPr>
          <w:i/>
          <w:iCs/>
          <w:rtl/>
          <w:lang w:eastAsia="zh-TW"/>
        </w:rPr>
        <w:t>الأغراض:</w:t>
      </w:r>
      <w:r w:rsidR="00B545F8" w:rsidRPr="00BD0320">
        <w:rPr>
          <w:rtl/>
          <w:lang w:eastAsia="zh-TW"/>
        </w:rPr>
        <w:t xml:space="preserve"> الأغراض التي قد تبرر استخدام تقنيات جمع المعلومات الاستخباراتية محددة بدقة في المادة لام ٨١١-٣ من قانون الأمن الداخلي. وهي تتعلق بالدفاع وبتعزيز المصالح الأساسية للبلد. وتؤكد الدولة الطرف أن أحكام تلك المادة تستوفي شرط قابلية التنبؤ المبين في</w:t>
      </w:r>
      <w:r>
        <w:rPr>
          <w:rFonts w:hint="cs"/>
          <w:rtl/>
          <w:lang w:eastAsia="zh-TW"/>
        </w:rPr>
        <w:t> </w:t>
      </w:r>
      <w:r w:rsidR="00B545F8" w:rsidRPr="00BD0320">
        <w:rPr>
          <w:rtl/>
          <w:lang w:eastAsia="zh-TW"/>
        </w:rPr>
        <w:t>المادة ١٧ من العهد وفي تعليق اللجنة العام رقم ١٦(1988) بشأن الحق في حرمة الحياة</w:t>
      </w:r>
      <w:r>
        <w:rPr>
          <w:rFonts w:hint="cs"/>
          <w:rtl/>
          <w:lang w:eastAsia="zh-TW"/>
        </w:rPr>
        <w:t> </w:t>
      </w:r>
      <w:r w:rsidR="00B545F8" w:rsidRPr="00BD0320">
        <w:rPr>
          <w:rtl/>
          <w:lang w:eastAsia="zh-TW"/>
        </w:rPr>
        <w:t>الخاصة.</w:t>
      </w:r>
    </w:p>
    <w:p w:rsidR="00B545F8" w:rsidRPr="00BD0320" w:rsidRDefault="00BD0320" w:rsidP="00BD0320">
      <w:pPr>
        <w:pStyle w:val="SingleTxtGA"/>
        <w:rPr>
          <w:rtl/>
          <w:lang w:eastAsia="zh-TW"/>
        </w:rPr>
      </w:pPr>
      <w:r w:rsidRPr="00BD0320">
        <w:rPr>
          <w:i/>
          <w:iCs/>
          <w:rtl/>
          <w:lang w:eastAsia="zh-TW"/>
        </w:rPr>
        <w:tab/>
      </w:r>
      <w:r w:rsidR="00B545F8" w:rsidRPr="00BD0320">
        <w:rPr>
          <w:i/>
          <w:iCs/>
          <w:rtl/>
          <w:lang w:eastAsia="zh-TW"/>
        </w:rPr>
        <w:t>التعريف القانوني لتقنيات جمع المعلومات الاستخباراتية:</w:t>
      </w:r>
      <w:r w:rsidR="00B545F8" w:rsidRPr="00BD0320">
        <w:rPr>
          <w:rtl/>
          <w:lang w:eastAsia="zh-TW"/>
        </w:rPr>
        <w:t xml:space="preserve"> يسمح بتقنيات جمع المعلومات الاستخباراتية التالية وهي: تقنيات الحصول إدارياً على بيانات الاتصال</w:t>
      </w:r>
      <w:r>
        <w:rPr>
          <w:rFonts w:hint="cs"/>
          <w:rtl/>
          <w:lang w:eastAsia="zh-TW"/>
        </w:rPr>
        <w:t>؛</w:t>
      </w:r>
      <w:r w:rsidR="00B545F8" w:rsidRPr="00BD0320">
        <w:rPr>
          <w:rtl/>
          <w:lang w:eastAsia="zh-TW"/>
        </w:rPr>
        <w:t xml:space="preserve"> واعتراض المراسلات الموجهة إلكتروني</w:t>
      </w:r>
      <w:r w:rsidR="00683334" w:rsidRPr="00BD0320">
        <w:rPr>
          <w:rtl/>
          <w:lang w:eastAsia="zh-TW"/>
        </w:rPr>
        <w:t>اً</w:t>
      </w:r>
      <w:r>
        <w:rPr>
          <w:rFonts w:hint="cs"/>
          <w:rtl/>
          <w:lang w:eastAsia="zh-TW"/>
        </w:rPr>
        <w:t>؛</w:t>
      </w:r>
      <w:r w:rsidR="00B545F8" w:rsidRPr="00BD0320">
        <w:rPr>
          <w:rtl/>
          <w:lang w:eastAsia="zh-TW"/>
        </w:rPr>
        <w:t xml:space="preserve"> والأسلاك الصوتية في بعض المواقع والمركبات والتقاط الصور والبيانات الإلكترونية</w:t>
      </w:r>
      <w:r>
        <w:rPr>
          <w:rFonts w:hint="cs"/>
          <w:rtl/>
          <w:lang w:eastAsia="zh-TW"/>
        </w:rPr>
        <w:t>؛</w:t>
      </w:r>
      <w:r w:rsidR="00B545F8" w:rsidRPr="00BD0320">
        <w:rPr>
          <w:rtl/>
          <w:lang w:eastAsia="zh-TW"/>
        </w:rPr>
        <w:t xml:space="preserve"> ومراقبة الاتصالات الإلكترونية الدولية. وفي عمليات مكافحة الإرهاب، يمكن الحصول على إذن من رئيس الوزراء لإجراء تحليل لبيانات الاتصال، وهو ما يحافظ على إخفاء هوية المستخدمين ولا يتيح رصد محتوى الرسائل. وعندما تشير البيانات المجمعة إلى وجود خطر الإرهاب، يجوز لرئيس الوزراء، بعد تلقي رأي آخر من اللجنة الوطنية لمراقبة التقنيات الاستخباراتية، أن يأذن بتحديد هوية الشخص أو الأشخاص المعنيين وجمع بيانات مقابلة. </w:t>
      </w:r>
    </w:p>
    <w:tbl>
      <w:tblPr>
        <w:bidiVisual/>
        <w:tblW w:w="7271" w:type="dxa"/>
        <w:tblInd w:w="1233" w:type="dxa"/>
        <w:tblBorders>
          <w:top w:val="single" w:sz="4" w:space="0" w:color="auto"/>
          <w:bottom w:val="single" w:sz="12" w:space="0" w:color="auto"/>
        </w:tblBorders>
        <w:tblLayout w:type="fixed"/>
        <w:tblLook w:val="00A0" w:firstRow="1" w:lastRow="0" w:firstColumn="1" w:lastColumn="0" w:noHBand="0" w:noVBand="0"/>
      </w:tblPr>
      <w:tblGrid>
        <w:gridCol w:w="2391"/>
        <w:gridCol w:w="4880"/>
      </w:tblGrid>
      <w:tr w:rsidR="00E32E3B" w:rsidRPr="00B545F8" w:rsidTr="00FF281A">
        <w:trPr>
          <w:trHeight w:val="240"/>
          <w:tblHeader/>
        </w:trPr>
        <w:tc>
          <w:tcPr>
            <w:tcW w:w="2391" w:type="dxa"/>
            <w:tcBorders>
              <w:top w:val="single" w:sz="4" w:space="0" w:color="auto"/>
              <w:bottom w:val="single" w:sz="12" w:space="0" w:color="auto"/>
            </w:tcBorders>
            <w:shd w:val="clear" w:color="auto" w:fill="auto"/>
            <w:vAlign w:val="bottom"/>
          </w:tcPr>
          <w:p w:rsidR="00E32E3B" w:rsidRPr="00B545F8" w:rsidRDefault="00E32E3B" w:rsidP="00BD0320">
            <w:pPr>
              <w:pageBreakBefore/>
              <w:spacing w:after="120" w:line="320" w:lineRule="exact"/>
              <w:jc w:val="both"/>
              <w:textDirection w:val="tbRlV"/>
              <w:rPr>
                <w:i/>
                <w:iCs/>
                <w:rtl/>
                <w:lang w:eastAsia="zh-TW"/>
              </w:rPr>
            </w:pPr>
            <w:r w:rsidRPr="00B545F8">
              <w:rPr>
                <w:i/>
                <w:iCs/>
                <w:rtl/>
                <w:lang w:eastAsia="zh-TW"/>
              </w:rPr>
              <w:lastRenderedPageBreak/>
              <w:t>فرنسا</w:t>
            </w:r>
          </w:p>
        </w:tc>
        <w:tc>
          <w:tcPr>
            <w:tcW w:w="4880" w:type="dxa"/>
            <w:tcBorders>
              <w:top w:val="single" w:sz="4" w:space="0" w:color="auto"/>
              <w:bottom w:val="single" w:sz="12" w:space="0" w:color="auto"/>
            </w:tcBorders>
            <w:shd w:val="clear" w:color="auto" w:fill="auto"/>
            <w:vAlign w:val="bottom"/>
          </w:tcPr>
          <w:p w:rsidR="00E32E3B" w:rsidRPr="00B545F8" w:rsidRDefault="00E32E3B" w:rsidP="00BD0320">
            <w:pPr>
              <w:pageBreakBefore/>
              <w:spacing w:after="120" w:line="320" w:lineRule="exact"/>
              <w:rPr>
                <w:i/>
                <w:iCs/>
              </w:rPr>
            </w:pPr>
          </w:p>
        </w:tc>
      </w:tr>
    </w:tbl>
    <w:p w:rsidR="00B545F8" w:rsidRPr="00E32E3B" w:rsidRDefault="00BD0320" w:rsidP="00B545F8">
      <w:pPr>
        <w:pStyle w:val="SingleTxtGA"/>
        <w:rPr>
          <w:spacing w:val="-2"/>
          <w:rtl/>
          <w:lang w:eastAsia="zh-TW"/>
        </w:rPr>
      </w:pPr>
      <w:r>
        <w:rPr>
          <w:rtl/>
          <w:lang w:eastAsia="zh-TW"/>
        </w:rPr>
        <w:tab/>
      </w:r>
      <w:r w:rsidR="00B545F8" w:rsidRPr="00BD0320">
        <w:rPr>
          <w:i/>
          <w:iCs/>
          <w:rtl/>
          <w:lang w:eastAsia="zh-TW"/>
        </w:rPr>
        <w:t>تنفيذ تقنيات جمع المعلومات الاستخباراتية</w:t>
      </w:r>
      <w:r w:rsidR="00B545F8" w:rsidRPr="00B545F8">
        <w:rPr>
          <w:rtl/>
          <w:lang w:eastAsia="zh-TW"/>
        </w:rPr>
        <w:t xml:space="preserve">: يخضع تنفيذ تقنيات جمع المعلومات الاستخباراتية لإذن مسبق من رئيس الوزراء بعد صدور رأي من اللجنة الوطنية لمراقبة التقنيات الاستخباراتية، </w:t>
      </w:r>
      <w:r w:rsidR="00B545F8" w:rsidRPr="00E32E3B">
        <w:rPr>
          <w:spacing w:val="-2"/>
          <w:rtl/>
          <w:lang w:eastAsia="zh-TW"/>
        </w:rPr>
        <w:t>وهي هيئة إدارية مستقلة. وتتجلى استقلالية اللجنة في تشكيلتها وفي اعتبار عرقلة أعمالها جريمة جنائية وفي إنشاء آلية للمبلغين عن المخالفات. وبموجب القانون، إذا علم أي موظف، أثناء قيامه بواجباته، بوقائع يحتمل أن تشكل انتهاك</w:t>
      </w:r>
      <w:r w:rsidR="006147D2">
        <w:rPr>
          <w:spacing w:val="-2"/>
          <w:rtl/>
          <w:lang w:eastAsia="zh-TW"/>
        </w:rPr>
        <w:t xml:space="preserve">اً </w:t>
      </w:r>
      <w:r w:rsidR="00B545F8" w:rsidRPr="00E32E3B">
        <w:rPr>
          <w:spacing w:val="-2"/>
          <w:rtl/>
          <w:lang w:eastAsia="zh-TW"/>
        </w:rPr>
        <w:t>واضح</w:t>
      </w:r>
      <w:r w:rsidR="006147D2">
        <w:rPr>
          <w:spacing w:val="-2"/>
          <w:rtl/>
          <w:lang w:eastAsia="zh-TW"/>
        </w:rPr>
        <w:t xml:space="preserve">اً </w:t>
      </w:r>
      <w:r w:rsidR="00B545F8" w:rsidRPr="00E32E3B">
        <w:rPr>
          <w:spacing w:val="-2"/>
          <w:rtl/>
          <w:lang w:eastAsia="zh-TW"/>
        </w:rPr>
        <w:t>للأحكام التشريعية المتعلقة بالاستخبارات يجوز له إبلاغ اللجنة بها دون خوف من العقاب. ويمكن للجنة بعدئذ أن تحيل المسألة إلى مجلس الدولة وتبلغ رئيس الوزراء بها. وتشير الدولة الطرف إلى أن اللجنة تحظى بموارد بشرية ومالية أكثر من اللجنة التي سبقتها، وهي اللجنة الوطنية لمراقبة عمليات الاعتراض الأمنية.</w:t>
      </w:r>
    </w:p>
    <w:p w:rsidR="00B545F8" w:rsidRPr="00A501A7" w:rsidRDefault="00E32E3B" w:rsidP="00BD0320">
      <w:pPr>
        <w:pStyle w:val="SingleTxtGA"/>
        <w:rPr>
          <w:spacing w:val="-4"/>
          <w:rtl/>
          <w:lang w:eastAsia="zh-TW"/>
        </w:rPr>
      </w:pPr>
      <w:r w:rsidRPr="00A501A7">
        <w:rPr>
          <w:spacing w:val="-4"/>
          <w:rtl/>
          <w:lang w:eastAsia="zh-TW"/>
        </w:rPr>
        <w:tab/>
      </w:r>
      <w:r w:rsidR="00B545F8" w:rsidRPr="00BD0320">
        <w:rPr>
          <w:i/>
          <w:iCs/>
          <w:spacing w:val="-4"/>
          <w:rtl/>
          <w:lang w:eastAsia="zh-TW"/>
        </w:rPr>
        <w:t>أدوار الرصد المزدوجة التي تؤديها اللجنة الوطنية لمراقبة التقنيات الاستخباراتية</w:t>
      </w:r>
      <w:r w:rsidR="00B545F8" w:rsidRPr="00A501A7">
        <w:rPr>
          <w:spacing w:val="-4"/>
          <w:rtl/>
          <w:lang w:eastAsia="zh-TW"/>
        </w:rPr>
        <w:t>: يتمثل أحد الأدوار في التحقق من ضرورة التدابير المطلوبة ومن مدى تناسبها فيما يتعلق باحترام الحياة الخاصة. وفي الحالات التي تنطوي على الدخول إلى محل الإقامة أو المتع</w:t>
      </w:r>
      <w:r w:rsidR="00BD0320">
        <w:rPr>
          <w:spacing w:val="-4"/>
          <w:rtl/>
          <w:lang w:eastAsia="zh-TW"/>
        </w:rPr>
        <w:t>لقة بشخص ما يعمل في "مهنة محمية</w:t>
      </w:r>
      <w:r w:rsidR="00B545F8" w:rsidRPr="00A501A7">
        <w:rPr>
          <w:spacing w:val="-4"/>
          <w:rtl/>
          <w:lang w:eastAsia="zh-TW"/>
        </w:rPr>
        <w:t>"</w:t>
      </w:r>
      <w:r w:rsidR="00BD0320">
        <w:rPr>
          <w:rFonts w:hint="cs"/>
          <w:spacing w:val="-4"/>
          <w:rtl/>
          <w:lang w:eastAsia="zh-TW"/>
        </w:rPr>
        <w:t xml:space="preserve"> </w:t>
      </w:r>
      <w:r w:rsidR="00B545F8" w:rsidRPr="00A501A7">
        <w:rPr>
          <w:spacing w:val="-4"/>
          <w:rtl/>
          <w:lang w:eastAsia="zh-TW"/>
        </w:rPr>
        <w:t>(أي أعضاء البرلمان، والقضاة، والمحامون والصحفيون)، سواء كان حاملاً للجنسية الفرنسية أو</w:t>
      </w:r>
      <w:r w:rsidR="00BD0320">
        <w:rPr>
          <w:rFonts w:hint="cs"/>
          <w:spacing w:val="-4"/>
          <w:rtl/>
          <w:lang w:eastAsia="zh-TW"/>
        </w:rPr>
        <w:t> </w:t>
      </w:r>
      <w:r w:rsidR="00B545F8" w:rsidRPr="00A501A7">
        <w:rPr>
          <w:spacing w:val="-4"/>
          <w:rtl/>
          <w:lang w:eastAsia="zh-TW"/>
        </w:rPr>
        <w:t>لجنسية أجنبية، فإن اللجنة تجتمع في جلسة عامة قبل إصدار رأي وتكفل عدم معالجة بيانات سوى البيانات المتعلقة بالهدف المأذون به وحذف البيانات المتعلقة بمهنة الشخص وتدميرها. وعندما يؤذن بتقنية استخبارات تقتضي دخول مسكن خاص بعد ورود رأي مخالف لذلك من اللجنة، تحال المسألة فور</w:t>
      </w:r>
      <w:r w:rsidR="006147D2" w:rsidRPr="00A501A7">
        <w:rPr>
          <w:spacing w:val="-4"/>
          <w:rtl/>
          <w:lang w:eastAsia="zh-TW"/>
        </w:rPr>
        <w:t xml:space="preserve">اً </w:t>
      </w:r>
      <w:r w:rsidR="00B545F8" w:rsidRPr="00A501A7">
        <w:rPr>
          <w:spacing w:val="-4"/>
          <w:rtl/>
          <w:lang w:eastAsia="zh-TW"/>
        </w:rPr>
        <w:t>إلى مجلس الدولة. ولا يجوز إلا في قضايا مكافحة الإرهاب تنفيذ التدابير المأذون بها دون طلب رأي مجلس الدولة، الذي يعقد جلسة خاصة أو مغلقة ويحكم في المسألة في غضون 24 ساعة. وتؤكد الدولة الطرف، وفق</w:t>
      </w:r>
      <w:r w:rsidR="006147D2" w:rsidRPr="00A501A7">
        <w:rPr>
          <w:spacing w:val="-4"/>
          <w:rtl/>
          <w:lang w:eastAsia="zh-TW"/>
        </w:rPr>
        <w:t xml:space="preserve">اً </w:t>
      </w:r>
      <w:r w:rsidR="00B545F8" w:rsidRPr="00A501A7">
        <w:rPr>
          <w:spacing w:val="-4"/>
          <w:rtl/>
          <w:lang w:eastAsia="zh-TW"/>
        </w:rPr>
        <w:t>لما أعلنه المجلس الدستوري، أن هذه التدابير هي مسألة تخص الشرطة الإدارية، وبذلك، فإنها يجب أن تخضع لرقابة السلطات القضائية وتقع المسؤولية عنها على عاتق السلطة التنفيذية وحدها، التي</w:t>
      </w:r>
      <w:r w:rsidR="006147D2" w:rsidRPr="00A501A7">
        <w:rPr>
          <w:rFonts w:hint="cs"/>
          <w:spacing w:val="-4"/>
          <w:rtl/>
          <w:lang w:eastAsia="zh-TW"/>
        </w:rPr>
        <w:t> </w:t>
      </w:r>
      <w:r w:rsidR="00B545F8" w:rsidRPr="00A501A7">
        <w:rPr>
          <w:spacing w:val="-4"/>
          <w:rtl/>
          <w:lang w:eastAsia="zh-TW"/>
        </w:rPr>
        <w:t>يجب أن تحترم مبادئ الشرعية والتناسب والضرورة. وأصدرت اللجنة منذ إنشائها في الفترة ما بين ٣ تشرين الأول/أكتوبر 2015 وب</w:t>
      </w:r>
      <w:r w:rsidRPr="00A501A7">
        <w:rPr>
          <w:spacing w:val="-4"/>
          <w:rtl/>
          <w:lang w:eastAsia="zh-TW"/>
        </w:rPr>
        <w:t>داية شباط/فبراير 2016 ما</w:t>
      </w:r>
      <w:r w:rsidR="00BD0320">
        <w:rPr>
          <w:rFonts w:hint="cs"/>
          <w:spacing w:val="-4"/>
          <w:rtl/>
          <w:lang w:eastAsia="zh-TW"/>
        </w:rPr>
        <w:t> </w:t>
      </w:r>
      <w:r w:rsidRPr="00A501A7">
        <w:rPr>
          <w:spacing w:val="-4"/>
          <w:rtl/>
          <w:lang w:eastAsia="zh-TW"/>
        </w:rPr>
        <w:t xml:space="preserve">يقارب </w:t>
      </w:r>
      <w:r w:rsidR="00B545F8" w:rsidRPr="00A501A7">
        <w:rPr>
          <w:spacing w:val="-4"/>
          <w:rtl/>
          <w:lang w:eastAsia="zh-TW"/>
        </w:rPr>
        <w:t>٤٠٠ ٤ رأي. وقد احترم رئيس الوزراء جميع آراء اللجنة المخالفة.</w:t>
      </w:r>
    </w:p>
    <w:p w:rsidR="00B545F8" w:rsidRPr="00B545F8" w:rsidRDefault="00E32E3B" w:rsidP="00B545F8">
      <w:pPr>
        <w:pStyle w:val="SingleTxtGA"/>
        <w:rPr>
          <w:rtl/>
          <w:lang w:eastAsia="zh-TW"/>
        </w:rPr>
      </w:pPr>
      <w:r>
        <w:rPr>
          <w:rtl/>
          <w:lang w:eastAsia="zh-TW"/>
        </w:rPr>
        <w:tab/>
      </w:r>
      <w:r w:rsidR="00B545F8" w:rsidRPr="00B545F8">
        <w:rPr>
          <w:rtl/>
          <w:lang w:eastAsia="zh-TW"/>
        </w:rPr>
        <w:t>ويتمثل الدور الآخر للجنة في رصد تنفيذ التقنيات التي أذن بها رئيس الوزراء والبيانات المجمعة. وتحقيق</w:t>
      </w:r>
      <w:r w:rsidR="00683334">
        <w:rPr>
          <w:rtl/>
          <w:lang w:eastAsia="zh-TW"/>
        </w:rPr>
        <w:t xml:space="preserve">اً </w:t>
      </w:r>
      <w:r w:rsidR="00B545F8" w:rsidRPr="00B545F8">
        <w:rPr>
          <w:rtl/>
          <w:lang w:eastAsia="zh-TW"/>
        </w:rPr>
        <w:t>لهذه الغاية، تتاح للجنة إمكانية الوصول إلى جميع ال</w:t>
      </w:r>
      <w:r>
        <w:rPr>
          <w:rtl/>
          <w:lang w:eastAsia="zh-TW"/>
        </w:rPr>
        <w:t xml:space="preserve">عمليات بشكل مباشر ومستمر وكامل </w:t>
      </w:r>
      <w:r w:rsidR="00B545F8" w:rsidRPr="00B545F8">
        <w:rPr>
          <w:rtl/>
          <w:lang w:eastAsia="zh-TW"/>
        </w:rPr>
        <w:t xml:space="preserve">ويمكنها أن تطلب جميع المعلومات اللازمة لمهامها. ويجوز لها أن تقدم توصيات فيما يتعلق بالإجراءات التي تتخذها السلطات العامة. ويجب على رئيس الوزراء أن يستجيب لتلك التوصيات وأن يبلغ عن أي إجراء تصحيحي قد اتخذه. </w:t>
      </w:r>
    </w:p>
    <w:p w:rsidR="00E32E3B" w:rsidRPr="00E32E3B" w:rsidRDefault="00E32E3B" w:rsidP="00B545F8">
      <w:pPr>
        <w:pStyle w:val="SingleTxtGA"/>
        <w:rPr>
          <w:spacing w:val="-2"/>
          <w:rtl/>
          <w:lang w:eastAsia="zh-TW"/>
        </w:rPr>
      </w:pPr>
      <w:r>
        <w:rPr>
          <w:rtl/>
          <w:lang w:eastAsia="zh-TW"/>
        </w:rPr>
        <w:tab/>
      </w:r>
      <w:r w:rsidR="00B545F8" w:rsidRPr="00BD0320">
        <w:rPr>
          <w:i/>
          <w:iCs/>
          <w:spacing w:val="-2"/>
          <w:rtl/>
          <w:lang w:eastAsia="zh-TW"/>
        </w:rPr>
        <w:t>الآليات الأخرى القائمة للرقابة على تقنيات جمع المعلومات الاستخباراتية</w:t>
      </w:r>
      <w:r w:rsidR="00B545F8" w:rsidRPr="00E32E3B">
        <w:rPr>
          <w:spacing w:val="-2"/>
          <w:rtl/>
          <w:lang w:eastAsia="zh-TW"/>
        </w:rPr>
        <w:t xml:space="preserve">: ينص القانون على أن تجرى مراجعة قضائية في هذا الشأن يقوم بها مجلس الدولة. وإن المجلس، بصفته هيئة متخصصة مسؤولة عن هذه المسائل، يفصل في الطعون المقدمة ضد القرارات المتعلقة بالإذن بتقنيات جمع المعلومات الاستخباراتية، وتخزين المعلومات الاستخبارية المجمعة والحصول على البيانات. وعلى الرغم من أن السلطات التي يتمتع بها قد عدلت لأغراض السرية العسكرية، فإنه يقوم بمراجعة كاملة وغير مقيدة لشرعية التدابير وصلاحيتها وتناسبها، وهو يملك </w:t>
      </w:r>
      <w:r>
        <w:rPr>
          <w:rFonts w:hint="cs"/>
          <w:spacing w:val="-2"/>
          <w:rtl/>
          <w:lang w:eastAsia="zh-TW"/>
        </w:rPr>
        <w:t>السلطات نفسها</w:t>
      </w:r>
      <w:r w:rsidRPr="00E32E3B">
        <w:rPr>
          <w:spacing w:val="-2"/>
          <w:rtl/>
          <w:lang w:eastAsia="zh-TW"/>
        </w:rPr>
        <w:br/>
      </w:r>
    </w:p>
    <w:tbl>
      <w:tblPr>
        <w:bidiVisual/>
        <w:tblW w:w="7271" w:type="dxa"/>
        <w:tblInd w:w="1233" w:type="dxa"/>
        <w:tblBorders>
          <w:top w:val="single" w:sz="4" w:space="0" w:color="auto"/>
          <w:bottom w:val="single" w:sz="12" w:space="0" w:color="auto"/>
        </w:tblBorders>
        <w:tblLayout w:type="fixed"/>
        <w:tblLook w:val="00A0" w:firstRow="1" w:lastRow="0" w:firstColumn="1" w:lastColumn="0" w:noHBand="0" w:noVBand="0"/>
      </w:tblPr>
      <w:tblGrid>
        <w:gridCol w:w="2391"/>
        <w:gridCol w:w="4880"/>
      </w:tblGrid>
      <w:tr w:rsidR="00E32E3B" w:rsidRPr="00B545F8" w:rsidTr="00FF281A">
        <w:trPr>
          <w:trHeight w:val="240"/>
          <w:tblHeader/>
        </w:trPr>
        <w:tc>
          <w:tcPr>
            <w:tcW w:w="2391" w:type="dxa"/>
            <w:tcBorders>
              <w:top w:val="single" w:sz="4" w:space="0" w:color="auto"/>
              <w:bottom w:val="single" w:sz="12" w:space="0" w:color="auto"/>
            </w:tcBorders>
            <w:shd w:val="clear" w:color="auto" w:fill="auto"/>
            <w:vAlign w:val="bottom"/>
          </w:tcPr>
          <w:p w:rsidR="00E32E3B" w:rsidRPr="00B545F8" w:rsidRDefault="00E32E3B" w:rsidP="00E32E3B">
            <w:pPr>
              <w:pageBreakBefore/>
              <w:spacing w:after="120" w:line="380" w:lineRule="exact"/>
              <w:jc w:val="both"/>
              <w:textDirection w:val="tbRlV"/>
              <w:rPr>
                <w:i/>
                <w:iCs/>
                <w:rtl/>
                <w:lang w:eastAsia="zh-TW"/>
              </w:rPr>
            </w:pPr>
            <w:r w:rsidRPr="00B545F8">
              <w:rPr>
                <w:i/>
                <w:iCs/>
                <w:rtl/>
                <w:lang w:eastAsia="zh-TW"/>
              </w:rPr>
              <w:lastRenderedPageBreak/>
              <w:t>فرنسا</w:t>
            </w:r>
          </w:p>
        </w:tc>
        <w:tc>
          <w:tcPr>
            <w:tcW w:w="4880" w:type="dxa"/>
            <w:tcBorders>
              <w:top w:val="single" w:sz="4" w:space="0" w:color="auto"/>
              <w:bottom w:val="single" w:sz="12" w:space="0" w:color="auto"/>
            </w:tcBorders>
            <w:shd w:val="clear" w:color="auto" w:fill="auto"/>
            <w:vAlign w:val="bottom"/>
          </w:tcPr>
          <w:p w:rsidR="00E32E3B" w:rsidRPr="00B545F8" w:rsidRDefault="00E32E3B" w:rsidP="00E32E3B">
            <w:pPr>
              <w:pageBreakBefore/>
              <w:spacing w:after="120" w:line="380" w:lineRule="exact"/>
              <w:rPr>
                <w:i/>
                <w:iCs/>
              </w:rPr>
            </w:pPr>
          </w:p>
        </w:tc>
      </w:tr>
    </w:tbl>
    <w:p w:rsidR="00B545F8" w:rsidRPr="00B545F8" w:rsidRDefault="00B545F8" w:rsidP="00BD0320">
      <w:pPr>
        <w:pStyle w:val="SingleTxtGA"/>
        <w:spacing w:line="360" w:lineRule="exact"/>
        <w:rPr>
          <w:rtl/>
          <w:lang w:eastAsia="zh-TW"/>
        </w:rPr>
      </w:pPr>
      <w:r w:rsidRPr="00B545F8">
        <w:rPr>
          <w:rtl/>
          <w:lang w:eastAsia="zh-TW"/>
        </w:rPr>
        <w:t xml:space="preserve">شأنه شأن محكمة كاملة الاختصاص. وإن الوفد البرلماني المعني بالمعلومات الاستخبارية، المنشأ بموجب قانون التخطيط العسكري الصادر في 18 كانون الأول/ديسمبر ٢٠١٣، والذي يتمتع بسلطة عقد جلسات استماع والاطلاع على الوثائق يتولى الرقابة البرلمانية على الأنشطة الاستخباراتية الحكومية ويجري تقييماً للسياسات العامة المتصلة بها. </w:t>
      </w:r>
    </w:p>
    <w:p w:rsidR="00B545F8" w:rsidRPr="00E32E3B" w:rsidRDefault="00BD0320" w:rsidP="00BD0320">
      <w:pPr>
        <w:pStyle w:val="H23GA"/>
        <w:rPr>
          <w:rtl/>
        </w:rPr>
      </w:pPr>
      <w:r>
        <w:rPr>
          <w:rtl/>
        </w:rPr>
        <w:tab/>
      </w:r>
      <w:r>
        <w:rPr>
          <w:rtl/>
        </w:rPr>
        <w:tab/>
      </w:r>
      <w:r w:rsidR="00B545F8" w:rsidRPr="00E32E3B">
        <w:rPr>
          <w:rtl/>
        </w:rPr>
        <w:t>تقييم اللجنة</w:t>
      </w:r>
      <w:r w:rsidR="00E32E3B">
        <w:rPr>
          <w:rFonts w:cs="Times New Roman" w:hint="cs"/>
          <w:rtl/>
        </w:rPr>
        <w:t xml:space="preserve"> </w:t>
      </w:r>
    </w:p>
    <w:p w:rsidR="00B545F8" w:rsidRPr="00E32E3B" w:rsidRDefault="00E32E3B" w:rsidP="00BD0320">
      <w:pPr>
        <w:pStyle w:val="SingleTxtGA"/>
        <w:spacing w:line="360" w:lineRule="exact"/>
        <w:rPr>
          <w:spacing w:val="-2"/>
          <w:rtl/>
          <w:lang w:eastAsia="zh-TW"/>
        </w:rPr>
      </w:pPr>
      <w:r w:rsidRPr="00E32E3B">
        <w:rPr>
          <w:spacing w:val="-2"/>
          <w:rtl/>
          <w:lang w:eastAsia="zh-TW"/>
        </w:rPr>
        <w:tab/>
      </w:r>
      <w:r w:rsidR="00B545F8" w:rsidRPr="00E32E3B">
        <w:rPr>
          <w:spacing w:val="-2"/>
          <w:rtl/>
          <w:lang w:eastAsia="zh-TW"/>
        </w:rPr>
        <w:t>تعرب اللجنة عن شكرها للدولة الطرف، وتحيط علم</w:t>
      </w:r>
      <w:r w:rsidR="00683334">
        <w:rPr>
          <w:spacing w:val="-2"/>
          <w:rtl/>
          <w:lang w:eastAsia="zh-TW"/>
        </w:rPr>
        <w:t xml:space="preserve">اً </w:t>
      </w:r>
      <w:r w:rsidR="00B545F8" w:rsidRPr="00E32E3B">
        <w:rPr>
          <w:spacing w:val="-2"/>
          <w:rtl/>
          <w:lang w:eastAsia="zh-TW"/>
        </w:rPr>
        <w:t xml:space="preserve">بالمعلومات المفصلة المقدمة بشأن القانون الصادر في ٢٤ تموز/يوليه ٢٠١٥ والقانون الصادر في ٣٠ تشرين الثاني/نوفمبر ٢٠١٥. </w:t>
      </w:r>
    </w:p>
    <w:p w:rsidR="00B545F8" w:rsidRPr="00B545F8" w:rsidRDefault="00B545F8" w:rsidP="00BD0320">
      <w:pPr>
        <w:pStyle w:val="SingleTxtGA"/>
        <w:spacing w:line="360" w:lineRule="exact"/>
        <w:rPr>
          <w:rtl/>
          <w:lang w:eastAsia="zh-TW"/>
        </w:rPr>
      </w:pPr>
      <w:r w:rsidRPr="00E32E3B">
        <w:rPr>
          <w:b/>
          <w:bCs/>
          <w:rtl/>
          <w:lang w:eastAsia="zh-TW"/>
        </w:rPr>
        <w:t>[باء]:</w:t>
      </w:r>
      <w:r w:rsidRPr="00B545F8">
        <w:rPr>
          <w:rtl/>
          <w:lang w:eastAsia="zh-TW"/>
        </w:rPr>
        <w:t xml:space="preserve"> فيما يتعلق بمبادئ الشرعية والتناسب والضرورة، تطلب اللجنة المزيد من المعلومات عن التدابير المتخذة من أجل (أ) ضمان التفسير الصارم، تمشي</w:t>
      </w:r>
      <w:r w:rsidR="00683334">
        <w:rPr>
          <w:rtl/>
          <w:lang w:eastAsia="zh-TW"/>
        </w:rPr>
        <w:t xml:space="preserve">اً </w:t>
      </w:r>
      <w:r w:rsidRPr="00B545F8">
        <w:rPr>
          <w:rtl/>
          <w:lang w:eastAsia="zh-TW"/>
        </w:rPr>
        <w:t>مع مبادئ الشرعية والتناسب والضرورة، لأسباب التدخل المنصوص عليها في المادة لام ٨١١-٣ من قانون الأمن الداخلي؛ (ب) تحديد فئات الأشخاص الذين يحتمل وضعهم تحت المراقبة والظروف المحددة التي تنفذ فيها أحكام المادة لام ٨١١-٣ من قانون الأمن الداخلي، بما في ذلك المدة القصوى لتدابير المراقبة، وذلك لدرء خطر إساءة استخدام السلطة من جانب السلطة التنفيذية في استخدام تقنيات جمع المعلومات الاستخباراتية.</w:t>
      </w:r>
    </w:p>
    <w:p w:rsidR="00B545F8" w:rsidRPr="00B545F8" w:rsidRDefault="00B545F8" w:rsidP="00BD0320">
      <w:pPr>
        <w:pStyle w:val="SingleTxtGA"/>
        <w:spacing w:line="360" w:lineRule="exact"/>
        <w:rPr>
          <w:rtl/>
          <w:lang w:eastAsia="zh-TW"/>
        </w:rPr>
      </w:pPr>
      <w:r w:rsidRPr="00E32E3B">
        <w:rPr>
          <w:b/>
          <w:bCs/>
          <w:rtl/>
          <w:lang w:eastAsia="zh-TW"/>
        </w:rPr>
        <w:t>[باء]:</w:t>
      </w:r>
      <w:r w:rsidRPr="00B545F8">
        <w:rPr>
          <w:rtl/>
          <w:lang w:eastAsia="zh-TW"/>
        </w:rPr>
        <w:t xml:space="preserve"> فيما يتعلق بجمع البيانات واستخدامها، تطلب اللجنة المزيد من المعلومات بشأن: (أ)</w:t>
      </w:r>
      <w:r w:rsidR="00E32E3B">
        <w:rPr>
          <w:rFonts w:hint="cs"/>
          <w:rtl/>
          <w:lang w:eastAsia="zh-TW"/>
        </w:rPr>
        <w:t> </w:t>
      </w:r>
      <w:r w:rsidRPr="00B545F8">
        <w:rPr>
          <w:rtl/>
          <w:lang w:eastAsia="zh-TW"/>
        </w:rPr>
        <w:t>استخدام جمع البيانات عملي</w:t>
      </w:r>
      <w:r w:rsidR="00683334">
        <w:rPr>
          <w:rtl/>
          <w:lang w:eastAsia="zh-TW"/>
        </w:rPr>
        <w:t>اً،</w:t>
      </w:r>
      <w:r w:rsidRPr="00B545F8">
        <w:rPr>
          <w:rtl/>
          <w:lang w:eastAsia="zh-TW"/>
        </w:rPr>
        <w:t xml:space="preserve"> بما في ذلك العدد الدقيق للأفراد الذين كانوا هدف</w:t>
      </w:r>
      <w:r w:rsidR="00683334">
        <w:rPr>
          <w:rtl/>
          <w:lang w:eastAsia="zh-TW"/>
        </w:rPr>
        <w:t xml:space="preserve">اً </w:t>
      </w:r>
      <w:r w:rsidRPr="00B545F8">
        <w:rPr>
          <w:rtl/>
          <w:lang w:eastAsia="zh-TW"/>
        </w:rPr>
        <w:t>لتدابير المراقبة والمدة، والأساليب المستخدمة في معظم الأحيان؛ (ب) الإجراءات المتبعة لاستخدام وتخزين البيانات التي جمعت كجزء من التحليل الآلي لبيانات الاتصال في سياق عمليات مكافحة الإرهاب؛ (ج) التدابير المتخذة لضمان ألا تسمح تقنيات جمع المعلومات الاستخباراتية المأذون بها بمراقبة جماعية بحكم الأمر الواقع.</w:t>
      </w:r>
    </w:p>
    <w:p w:rsidR="00B545F8" w:rsidRPr="00B545F8" w:rsidRDefault="00B545F8" w:rsidP="00BD0320">
      <w:pPr>
        <w:pStyle w:val="SingleTxtGA"/>
        <w:spacing w:line="360" w:lineRule="exact"/>
        <w:rPr>
          <w:rtl/>
          <w:lang w:eastAsia="zh-TW"/>
        </w:rPr>
      </w:pPr>
      <w:r w:rsidRPr="00E32E3B">
        <w:rPr>
          <w:b/>
          <w:bCs/>
          <w:rtl/>
          <w:lang w:eastAsia="zh-TW"/>
        </w:rPr>
        <w:t>[باء]:</w:t>
      </w:r>
      <w:r w:rsidRPr="00B545F8">
        <w:rPr>
          <w:rtl/>
          <w:lang w:eastAsia="zh-TW"/>
        </w:rPr>
        <w:t xml:space="preserve"> فيما يتعلق برصد أنشطة المراقبة، تطلب اللجنة معلومات إضافية بشأن ما</w:t>
      </w:r>
      <w:r w:rsidR="00E32E3B">
        <w:rPr>
          <w:rFonts w:hint="cs"/>
          <w:rtl/>
          <w:lang w:eastAsia="zh-TW"/>
        </w:rPr>
        <w:t xml:space="preserve"> </w:t>
      </w:r>
      <w:r w:rsidRPr="00B545F8">
        <w:rPr>
          <w:rtl/>
          <w:lang w:eastAsia="zh-TW"/>
        </w:rPr>
        <w:t>يلي: (أ)</w:t>
      </w:r>
      <w:r w:rsidR="00E32E3B">
        <w:rPr>
          <w:rFonts w:hint="cs"/>
          <w:rtl/>
          <w:lang w:eastAsia="zh-TW"/>
        </w:rPr>
        <w:t> </w:t>
      </w:r>
      <w:r w:rsidRPr="00B545F8">
        <w:rPr>
          <w:rtl/>
          <w:lang w:eastAsia="zh-TW"/>
        </w:rPr>
        <w:t>التدابير المتخذة لضمان أن يكون الجمهور على علم بوجود اللجنة الوطنية لمراقبة التقنيات الاستخباراتية وأن يكون للجنة ما يكفي من الموارد لأداء مهامها؛ (ب) الإمكانات المتاحة لسلطات أخرى غير رئيس الوزراء أن يطلب آراء من اللجنة؛ (ج) مجموع عدد الآراء التي تلقتها اللجنة وعدد الآراء المخالفة الصادرة؛ (د) واجب إبلاغ الأفراد بأنهم وضعوا تحت المراقبة، والوصول إلى سبل انتصاف فعالة في الممارسة العملية، في حالات الإيذاء.</w:t>
      </w:r>
    </w:p>
    <w:p w:rsidR="00B545F8" w:rsidRPr="00E32E3B" w:rsidRDefault="00BD0320" w:rsidP="00BD0320">
      <w:pPr>
        <w:pStyle w:val="H23GA"/>
        <w:rPr>
          <w:rtl/>
        </w:rPr>
      </w:pPr>
      <w:r>
        <w:rPr>
          <w:rtl/>
        </w:rPr>
        <w:tab/>
      </w:r>
      <w:r>
        <w:rPr>
          <w:rtl/>
        </w:rPr>
        <w:tab/>
      </w:r>
      <w:r w:rsidR="00B545F8" w:rsidRPr="00E32E3B">
        <w:rPr>
          <w:rtl/>
        </w:rPr>
        <w:t xml:space="preserve">الفقرة 16: </w:t>
      </w:r>
      <w:dir w:val="rtl">
        <w:r w:rsidR="00B545F8" w:rsidRPr="00E32E3B">
          <w:rPr>
            <w:rtl/>
          </w:rPr>
          <w:t>الاعتداءات الجنسية في جمهورية أفريقيا الوسطى</w:t>
        </w:r>
        <w:r w:rsidR="00B545F8" w:rsidRPr="00E32E3B">
          <w:rPr>
            <w:rFonts w:cs="Times New Roman" w:hint="cs"/>
            <w:rtl/>
          </w:rPr>
          <w:t>‬</w:t>
        </w:r>
        <w:r w:rsidR="00B545F8" w:rsidRPr="00E32E3B">
          <w:t>‬</w:t>
        </w:r>
        <w:r w:rsidR="00B545F8" w:rsidRPr="00E32E3B">
          <w:t>‬</w:t>
        </w:r>
        <w:r w:rsidR="00B545F8" w:rsidRPr="00E32E3B">
          <w:t>‬</w:t>
        </w:r>
        <w:r w:rsidR="00B545F8" w:rsidRPr="00E32E3B">
          <w:t>‬</w:t>
        </w:r>
        <w:r w:rsidR="00B545F8" w:rsidRPr="00E32E3B">
          <w:t>‬</w:t>
        </w:r>
        <w:r w:rsidR="00B545F8" w:rsidRPr="00E32E3B">
          <w:t>‬</w:t>
        </w:r>
        <w:r w:rsidR="00DC1DEF">
          <w:t>‬</w:t>
        </w:r>
        <w:r>
          <w:t>‬</w:t>
        </w:r>
        <w:r w:rsidR="00E50C3B">
          <w:t>‬</w:t>
        </w:r>
        <w:r w:rsidR="00D8591B">
          <w:t>‬</w:t>
        </w:r>
      </w:dir>
    </w:p>
    <w:p w:rsidR="00B545F8" w:rsidRPr="00E32E3B" w:rsidRDefault="00E32E3B" w:rsidP="00BD0320">
      <w:pPr>
        <w:pStyle w:val="SingleTxtGA"/>
        <w:spacing w:line="360" w:lineRule="exact"/>
        <w:rPr>
          <w:b/>
          <w:bCs/>
          <w:rtl/>
          <w:lang w:eastAsia="zh-TW"/>
        </w:rPr>
      </w:pPr>
      <w:r>
        <w:rPr>
          <w:rtl/>
        </w:rPr>
        <w:tab/>
      </w:r>
      <w:dir w:val="rtl">
        <w:r w:rsidR="00B545F8" w:rsidRPr="00E32E3B">
          <w:rPr>
            <w:b/>
            <w:bCs/>
            <w:rtl/>
            <w:lang w:eastAsia="zh-TW"/>
          </w:rPr>
          <w:t>ينبغي أن تحرص الدولة الطرف على أن تكون ادعاءات ضلوع جنود فرنسيين في اعتداءات جنسية على أطفال في جمهورية أفريقيا الوسطى موضوع تحقيق فعال يفضي إلى مقاضاة الجناة في أقرب وقت وتقديم الجناة إلى العدالة.</w:t>
        </w:r>
        <w:r w:rsidR="00B545F8" w:rsidRPr="00E32E3B">
          <w:rPr>
            <w:rFonts w:cs="Times New Roman" w:hint="cs"/>
            <w:b/>
            <w:bCs/>
            <w:rtl/>
            <w:lang w:eastAsia="zh-TW"/>
          </w:rPr>
          <w:t>‬</w:t>
        </w:r>
        <w:r w:rsidR="00B545F8" w:rsidRPr="00E32E3B">
          <w:rPr>
            <w:b/>
            <w:bCs/>
            <w:rtl/>
            <w:lang w:eastAsia="zh-TW"/>
          </w:rPr>
          <w:t xml:space="preserve"> </w:t>
        </w:r>
        <w:r w:rsidR="00B545F8" w:rsidRPr="00E32E3B">
          <w:rPr>
            <w:b/>
            <w:bCs/>
          </w:rPr>
          <w:t>‬</w:t>
        </w:r>
        <w:r w:rsidR="00B545F8" w:rsidRPr="00E32E3B">
          <w:rPr>
            <w:b/>
            <w:bCs/>
          </w:rPr>
          <w:t>‬</w:t>
        </w:r>
        <w:r w:rsidR="00B545F8" w:rsidRPr="00E32E3B">
          <w:rPr>
            <w:b/>
            <w:bCs/>
          </w:rPr>
          <w:t>‬</w:t>
        </w:r>
        <w:r w:rsidR="00B545F8" w:rsidRPr="00E32E3B">
          <w:rPr>
            <w:b/>
            <w:bCs/>
          </w:rPr>
          <w:t>‬</w:t>
        </w:r>
        <w:r w:rsidR="00B545F8" w:rsidRPr="00E32E3B">
          <w:rPr>
            <w:b/>
            <w:bCs/>
          </w:rPr>
          <w:t>‬</w:t>
        </w:r>
        <w:r w:rsidR="00B545F8" w:rsidRPr="00E32E3B">
          <w:rPr>
            <w:b/>
            <w:bCs/>
          </w:rPr>
          <w:t>‬</w:t>
        </w:r>
        <w:r w:rsidR="00DC1DEF">
          <w:t>‬</w:t>
        </w:r>
        <w:r w:rsidR="00BD0320">
          <w:t>‬</w:t>
        </w:r>
        <w:r w:rsidR="00E50C3B">
          <w:t>‬</w:t>
        </w:r>
        <w:r w:rsidR="00D8591B">
          <w:t>‬</w:t>
        </w:r>
      </w:dir>
    </w:p>
    <w:p w:rsidR="00B545F8" w:rsidRPr="00E32E3B" w:rsidRDefault="00BD0320" w:rsidP="00BD0320">
      <w:pPr>
        <w:pStyle w:val="H23GA"/>
        <w:rPr>
          <w:lang w:val="fr-CH"/>
        </w:rPr>
      </w:pPr>
      <w:r>
        <w:rPr>
          <w:rtl/>
        </w:rPr>
        <w:tab/>
      </w:r>
      <w:r>
        <w:rPr>
          <w:rtl/>
        </w:rPr>
        <w:tab/>
      </w:r>
      <w:r w:rsidR="00B545F8" w:rsidRPr="00E32E3B">
        <w:rPr>
          <w:rtl/>
        </w:rPr>
        <w:t>ملخص ردّ الدولة الطرف</w:t>
      </w:r>
      <w:r w:rsidR="00E32E3B">
        <w:rPr>
          <w:rFonts w:cs="Times New Roman" w:hint="cs"/>
          <w:rtl/>
        </w:rPr>
        <w:t xml:space="preserve"> </w:t>
      </w:r>
    </w:p>
    <w:p w:rsidR="00E32E3B" w:rsidRDefault="00E32E3B" w:rsidP="00BD0320">
      <w:pPr>
        <w:pStyle w:val="SingleTxtGA"/>
        <w:spacing w:line="360" w:lineRule="exact"/>
        <w:rPr>
          <w:rtl/>
          <w:lang w:eastAsia="zh-TW"/>
        </w:rPr>
      </w:pPr>
      <w:r>
        <w:rPr>
          <w:rtl/>
          <w:lang w:eastAsia="zh-TW"/>
        </w:rPr>
        <w:tab/>
      </w:r>
      <w:r w:rsidR="00B545F8" w:rsidRPr="00B545F8">
        <w:rPr>
          <w:rtl/>
          <w:lang w:eastAsia="zh-TW"/>
        </w:rPr>
        <w:t>تؤكد الدولة الطرف استعدادها للتعاون مع الأمم المتحدة وجمهورية أفريقيا الوسطى. وأحيلت القضية إلى المحاكم في ٢٩ تموز/يوليه ٢٠١٤،</w:t>
      </w:r>
      <w:r w:rsidR="00BD0320">
        <w:rPr>
          <w:rFonts w:hint="cs"/>
          <w:rtl/>
          <w:lang w:eastAsia="zh-TW"/>
        </w:rPr>
        <w:t xml:space="preserve"> </w:t>
      </w:r>
      <w:r w:rsidR="00B545F8" w:rsidRPr="00B545F8">
        <w:rPr>
          <w:rtl/>
          <w:lang w:val="ru-RU" w:eastAsia="zh-TW" w:bidi="ar-DZ"/>
        </w:rPr>
        <w:t xml:space="preserve">بعد أن </w:t>
      </w:r>
      <w:r w:rsidR="00B545F8" w:rsidRPr="00B545F8">
        <w:rPr>
          <w:rtl/>
          <w:lang w:eastAsia="zh-TW"/>
        </w:rPr>
        <w:t xml:space="preserve">علمت السلطات الفرنسية </w:t>
      </w:r>
      <w:r>
        <w:rPr>
          <w:rtl/>
          <w:lang w:eastAsia="zh-TW"/>
        </w:rPr>
        <w:br/>
      </w:r>
    </w:p>
    <w:tbl>
      <w:tblPr>
        <w:bidiVisual/>
        <w:tblW w:w="7271" w:type="dxa"/>
        <w:tblInd w:w="1233" w:type="dxa"/>
        <w:tblBorders>
          <w:top w:val="single" w:sz="4" w:space="0" w:color="auto"/>
          <w:bottom w:val="single" w:sz="12" w:space="0" w:color="auto"/>
        </w:tblBorders>
        <w:tblLayout w:type="fixed"/>
        <w:tblLook w:val="00A0" w:firstRow="1" w:lastRow="0" w:firstColumn="1" w:lastColumn="0" w:noHBand="0" w:noVBand="0"/>
      </w:tblPr>
      <w:tblGrid>
        <w:gridCol w:w="2391"/>
        <w:gridCol w:w="4880"/>
      </w:tblGrid>
      <w:tr w:rsidR="00E32E3B" w:rsidRPr="00B545F8" w:rsidTr="00FF281A">
        <w:trPr>
          <w:trHeight w:val="240"/>
          <w:tblHeader/>
        </w:trPr>
        <w:tc>
          <w:tcPr>
            <w:tcW w:w="2391" w:type="dxa"/>
            <w:tcBorders>
              <w:top w:val="single" w:sz="4" w:space="0" w:color="auto"/>
              <w:bottom w:val="single" w:sz="12" w:space="0" w:color="auto"/>
            </w:tcBorders>
            <w:shd w:val="clear" w:color="auto" w:fill="auto"/>
            <w:vAlign w:val="bottom"/>
          </w:tcPr>
          <w:p w:rsidR="00E32E3B" w:rsidRPr="00B545F8" w:rsidRDefault="00E32E3B" w:rsidP="00BD0320">
            <w:pPr>
              <w:pageBreakBefore/>
              <w:spacing w:after="120" w:line="320" w:lineRule="exact"/>
              <w:jc w:val="both"/>
              <w:textDirection w:val="tbRlV"/>
              <w:rPr>
                <w:i/>
                <w:iCs/>
                <w:rtl/>
                <w:lang w:eastAsia="zh-TW"/>
              </w:rPr>
            </w:pPr>
            <w:r w:rsidRPr="00B545F8">
              <w:rPr>
                <w:i/>
                <w:iCs/>
                <w:rtl/>
                <w:lang w:eastAsia="zh-TW"/>
              </w:rPr>
              <w:lastRenderedPageBreak/>
              <w:t>فرنسا</w:t>
            </w:r>
          </w:p>
        </w:tc>
        <w:tc>
          <w:tcPr>
            <w:tcW w:w="4880" w:type="dxa"/>
            <w:tcBorders>
              <w:top w:val="single" w:sz="4" w:space="0" w:color="auto"/>
              <w:bottom w:val="single" w:sz="12" w:space="0" w:color="auto"/>
            </w:tcBorders>
            <w:shd w:val="clear" w:color="auto" w:fill="auto"/>
            <w:vAlign w:val="bottom"/>
          </w:tcPr>
          <w:p w:rsidR="00E32E3B" w:rsidRPr="00B545F8" w:rsidRDefault="00E32E3B" w:rsidP="00BD0320">
            <w:pPr>
              <w:pageBreakBefore/>
              <w:spacing w:after="120" w:line="320" w:lineRule="exact"/>
              <w:rPr>
                <w:i/>
                <w:iCs/>
              </w:rPr>
            </w:pPr>
          </w:p>
        </w:tc>
      </w:tr>
    </w:tbl>
    <w:p w:rsidR="00B545F8" w:rsidRPr="00B545F8" w:rsidRDefault="00B545F8" w:rsidP="00E32E3B">
      <w:pPr>
        <w:pStyle w:val="SingleTxtGA"/>
        <w:spacing w:line="370" w:lineRule="exact"/>
        <w:rPr>
          <w:rtl/>
          <w:lang w:eastAsia="zh-TW"/>
        </w:rPr>
      </w:pPr>
      <w:r w:rsidRPr="00B545F8">
        <w:rPr>
          <w:rtl/>
          <w:lang w:eastAsia="zh-TW"/>
        </w:rPr>
        <w:t>بالادعاءات، وفتح المدعي العام للدولة تحقيقات أولية ووصل المحققون إلى جمهورية أفريقيا الوسطى في ١ آب/أغسطس ٢٠١٤. واستهلت الإجراءات الجنائية في ٧ أيار/مايو ٢٠١٥ ضد شخص أو أشخاص بتهمة الاغتصاب والتواطؤ في اغتصاب القصر على يد شخص يسيء استعمال سلطة منصبه. وسافر القاضي المسؤول عن التحقيق إلى جمهورية أفريقيا الوسطى في تموز/يوليه ٢٠١٥ للاستماع إلى شهادات الضحايا. واضطلع رئيس أركان القوات المسلحة أيض</w:t>
      </w:r>
      <w:r w:rsidR="00683334">
        <w:rPr>
          <w:rtl/>
          <w:lang w:eastAsia="zh-TW"/>
        </w:rPr>
        <w:t xml:space="preserve">اً </w:t>
      </w:r>
      <w:r w:rsidRPr="00B545F8">
        <w:rPr>
          <w:rtl/>
          <w:lang w:eastAsia="zh-TW"/>
        </w:rPr>
        <w:t>بإجراء تحقيقات القيادة التي أضيفت إلى ملف التحقيق.</w:t>
      </w:r>
    </w:p>
    <w:p w:rsidR="00B545F8" w:rsidRPr="00B545F8" w:rsidRDefault="00E32E3B" w:rsidP="00B545F8">
      <w:pPr>
        <w:pStyle w:val="SingleTxtGA"/>
        <w:rPr>
          <w:rtl/>
          <w:lang w:eastAsia="zh-TW"/>
        </w:rPr>
      </w:pPr>
      <w:r>
        <w:rPr>
          <w:rtl/>
          <w:lang w:eastAsia="zh-TW"/>
        </w:rPr>
        <w:tab/>
      </w:r>
      <w:r w:rsidR="00B545F8" w:rsidRPr="00B545F8">
        <w:rPr>
          <w:rtl/>
          <w:lang w:eastAsia="zh-TW"/>
        </w:rPr>
        <w:t xml:space="preserve">وتخضع التحقيقات القضائية لسرية إجراءات التحقيق، ومع ذلك، تؤكد الدولة الطرف أن الوقائع إذا ثبتت، فإن رئيس الجمهورية ملتزم بفرض جزاءات تأديبية نموذجية، بالإضافة إلى استجابة نظام العدالة الجنائية، التي تندرج في مسؤولية السلطات القضائية وحدها. ووضع الأطفال الذين أبلغوا عن الحوادث تحت حماية منظمة الأمم المتحدة للطفولة (اليونيسيف). </w:t>
      </w:r>
    </w:p>
    <w:p w:rsidR="00B545F8" w:rsidRPr="00B545F8" w:rsidRDefault="00E32E3B" w:rsidP="00282D59">
      <w:pPr>
        <w:pStyle w:val="SingleTxtGA"/>
        <w:rPr>
          <w:rtl/>
          <w:lang w:eastAsia="zh-TW"/>
        </w:rPr>
      </w:pPr>
      <w:r>
        <w:rPr>
          <w:rtl/>
          <w:lang w:eastAsia="zh-TW"/>
        </w:rPr>
        <w:tab/>
      </w:r>
      <w:r w:rsidR="00B545F8" w:rsidRPr="00B545F8">
        <w:rPr>
          <w:rtl/>
          <w:lang w:eastAsia="zh-TW"/>
        </w:rPr>
        <w:t>وتفيد الدولة الطرف بأنه قد وجه انتباهها إلى المعلومات الجديدة التالية: (أ) في ٤ أيلول/سبتمبر ٢٠١٥، أبلغت وزارة الدفاع المدعي العام للدولة بقضية ادعاءات اعتداء جنسي على فتاة من جمهورية أفريقيا الوسطى ارتكبها جندي فرنسي يشارك في عملية سنغاريس؛ (ب)</w:t>
      </w:r>
      <w:r w:rsidR="00282D59">
        <w:rPr>
          <w:rFonts w:hint="cs"/>
          <w:rtl/>
          <w:lang w:eastAsia="zh-TW"/>
        </w:rPr>
        <w:t> </w:t>
      </w:r>
      <w:r w:rsidR="00B545F8" w:rsidRPr="00B545F8">
        <w:rPr>
          <w:rtl/>
          <w:lang w:eastAsia="zh-TW"/>
        </w:rPr>
        <w:t>في ١ نيسان/أبريل ٢٠١٦ فتح مكتب المدعي العام تحقيقاً أولياً في باريس في أعقاب التقارير التي قدمتها مفوّضية الأمم المتحدة السامية لحقوق الإنسان، وعهد به إلى قائد شرطة الفيلق</w:t>
      </w:r>
      <w:r w:rsidR="00282D59">
        <w:rPr>
          <w:rFonts w:hint="cs"/>
          <w:rtl/>
          <w:lang w:eastAsia="zh-TW"/>
        </w:rPr>
        <w:t xml:space="preserve"> </w:t>
      </w:r>
      <w:r w:rsidR="00B545F8" w:rsidRPr="00B545F8">
        <w:rPr>
          <w:rtl/>
          <w:lang w:eastAsia="zh-TW"/>
        </w:rPr>
        <w:t xml:space="preserve">(الشرطة القضائية العسكرية). </w:t>
      </w:r>
    </w:p>
    <w:p w:rsidR="00B545F8" w:rsidRPr="00B545F8" w:rsidRDefault="00E32E3B" w:rsidP="00B545F8">
      <w:pPr>
        <w:pStyle w:val="SingleTxtGA"/>
        <w:rPr>
          <w:rtl/>
          <w:lang w:eastAsia="zh-TW"/>
        </w:rPr>
      </w:pPr>
      <w:r>
        <w:rPr>
          <w:rtl/>
          <w:lang w:eastAsia="zh-TW"/>
        </w:rPr>
        <w:tab/>
      </w:r>
      <w:r w:rsidR="00B545F8" w:rsidRPr="00B545F8">
        <w:rPr>
          <w:rtl/>
          <w:lang w:eastAsia="zh-TW"/>
        </w:rPr>
        <w:t>ولا</w:t>
      </w:r>
      <w:r>
        <w:rPr>
          <w:rFonts w:hint="cs"/>
          <w:rtl/>
          <w:lang w:eastAsia="zh-TW"/>
        </w:rPr>
        <w:t xml:space="preserve"> </w:t>
      </w:r>
      <w:r w:rsidR="00B545F8" w:rsidRPr="00B545F8">
        <w:rPr>
          <w:rtl/>
          <w:lang w:eastAsia="zh-TW"/>
        </w:rPr>
        <w:t>يجوز أن يكون الجنود الفرنسيون الموفدون إلى العمليات، بما في ذلك عمليات حفظ السلام، محكومين بإدانات جنائية أو خاضعين لجزاءات تأديبية، وهم يتلقون تدريباً يتضمن نموذج</w:t>
      </w:r>
      <w:r w:rsidR="00683334">
        <w:rPr>
          <w:rtl/>
          <w:lang w:eastAsia="zh-TW"/>
        </w:rPr>
        <w:t xml:space="preserve">اً </w:t>
      </w:r>
      <w:r w:rsidR="00B545F8" w:rsidRPr="00B545F8">
        <w:rPr>
          <w:rtl/>
          <w:lang w:eastAsia="zh-TW"/>
        </w:rPr>
        <w:t>بشأن عدم التسامح إطلاق</w:t>
      </w:r>
      <w:r w:rsidR="00683334">
        <w:rPr>
          <w:rtl/>
          <w:lang w:eastAsia="zh-TW"/>
        </w:rPr>
        <w:t xml:space="preserve">اً </w:t>
      </w:r>
      <w:r w:rsidR="00B545F8" w:rsidRPr="00B545F8">
        <w:rPr>
          <w:rtl/>
          <w:lang w:eastAsia="zh-TW"/>
        </w:rPr>
        <w:t>إزاء الاستغلال والانتهاك الجنسيين. وخلال العملية، يُ</w:t>
      </w:r>
      <w:r w:rsidR="00B545F8" w:rsidRPr="00B545F8">
        <w:rPr>
          <w:rtl/>
          <w:lang w:val="ru-RU" w:eastAsia="zh-TW" w:bidi="ar-DZ"/>
        </w:rPr>
        <w:t>ذكر الجنود</w:t>
      </w:r>
      <w:r w:rsidR="00B545F8" w:rsidRPr="00B545F8">
        <w:rPr>
          <w:rtl/>
          <w:lang w:eastAsia="zh-TW"/>
        </w:rPr>
        <w:t xml:space="preserve"> بانتظام بواجباتهم. ويتلقى المستشارون القانونيون في العمليات الذين يوفدون تدريباً خاصاً في القانون الدولي لحقوق الإنسان والقانون الدولي الإنساني والقانون الجنائي الدولي، ويعتمد التدريب بعد إجراء فحص في الموضوع.</w:t>
      </w:r>
    </w:p>
    <w:p w:rsidR="00B545F8" w:rsidRPr="00E32E3B" w:rsidRDefault="00BD0320" w:rsidP="00BD0320">
      <w:pPr>
        <w:pStyle w:val="H23GA"/>
        <w:rPr>
          <w:rtl/>
        </w:rPr>
      </w:pPr>
      <w:r>
        <w:rPr>
          <w:rtl/>
        </w:rPr>
        <w:tab/>
      </w:r>
      <w:r>
        <w:rPr>
          <w:rtl/>
        </w:rPr>
        <w:tab/>
      </w:r>
      <w:r w:rsidR="00B545F8" w:rsidRPr="00E32E3B">
        <w:rPr>
          <w:rtl/>
        </w:rPr>
        <w:t>تقييم اللجنة</w:t>
      </w:r>
    </w:p>
    <w:p w:rsidR="00B545F8" w:rsidRPr="00E17221" w:rsidRDefault="00B545F8" w:rsidP="00B545F8">
      <w:pPr>
        <w:pStyle w:val="SingleTxtGA"/>
        <w:rPr>
          <w:spacing w:val="2"/>
          <w:rtl/>
          <w:lang w:eastAsia="zh-TW"/>
        </w:rPr>
      </w:pPr>
      <w:r w:rsidRPr="00E17221">
        <w:rPr>
          <w:b/>
          <w:bCs/>
          <w:spacing w:val="2"/>
          <w:rtl/>
          <w:lang w:eastAsia="zh-TW"/>
        </w:rPr>
        <w:t>[باء]:</w:t>
      </w:r>
      <w:r w:rsidRPr="00E17221">
        <w:rPr>
          <w:spacing w:val="2"/>
          <w:rtl/>
          <w:lang w:eastAsia="zh-TW"/>
        </w:rPr>
        <w:t xml:space="preserve"> تقر اللجنة مع التقدير باستعداد الدولة الطرف للتعاون مع الأمم المتحدة وجمهورية أفريقيا الوسطى، وبالمعلومات المقدمة عن التحقيقات التي أجريت. بيد أنها تطلب معلومات عما يلي: (أ) الإطار الزمني المتوقع للانتهاء من التحقيقات والتدابير المؤقتة المفروضة في تلك الأثناء على الأفراد المشتبه في تورطهم؛ (ب) حالة التحقيقات وأي أحكام وعقوبات وتدابير تأديبية مفروضة على الأشخاص الذين تثبت مسؤوليتهم؛ (ج) تدابير الجبر التي أتيحت للضحايا. </w:t>
      </w:r>
    </w:p>
    <w:p w:rsidR="00B545F8" w:rsidRPr="00B545F8" w:rsidRDefault="00B545F8" w:rsidP="00B545F8">
      <w:pPr>
        <w:pStyle w:val="SingleTxtGA"/>
        <w:rPr>
          <w:rtl/>
          <w:lang w:eastAsia="zh-TW"/>
        </w:rPr>
      </w:pPr>
      <w:r w:rsidRPr="00E32E3B">
        <w:rPr>
          <w:b/>
          <w:bCs/>
          <w:rtl/>
          <w:lang w:eastAsia="zh-TW"/>
        </w:rPr>
        <w:t>الإجراء الموصى به:</w:t>
      </w:r>
      <w:r w:rsidRPr="00B545F8">
        <w:rPr>
          <w:rtl/>
          <w:lang w:eastAsia="zh-TW"/>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B545F8" w:rsidRPr="00B545F8" w:rsidRDefault="00B545F8" w:rsidP="000679C9">
      <w:pPr>
        <w:pStyle w:val="SingleTxtGA"/>
        <w:spacing w:after="0"/>
        <w:rPr>
          <w:rtl/>
          <w:lang w:eastAsia="zh-TW"/>
        </w:rPr>
      </w:pPr>
      <w:r w:rsidRPr="00E32E3B">
        <w:rPr>
          <w:b/>
          <w:bCs/>
          <w:rtl/>
          <w:lang w:eastAsia="zh-TW"/>
        </w:rPr>
        <w:t>التقرير الدوري المقبل:</w:t>
      </w:r>
      <w:r w:rsidRPr="00B545F8">
        <w:rPr>
          <w:rtl/>
          <w:lang w:eastAsia="zh-TW"/>
        </w:rPr>
        <w:t xml:space="preserve"> ٢٤ تموز/يوليه ٢٠٢٠</w:t>
      </w:r>
    </w:p>
    <w:p w:rsidR="00540D30" w:rsidRPr="006F1939" w:rsidRDefault="00540D30" w:rsidP="000679C9">
      <w:pPr>
        <w:pStyle w:val="SingleTxtGA"/>
        <w:pBdr>
          <w:bottom w:val="single" w:sz="12" w:space="1" w:color="auto"/>
        </w:pBdr>
        <w:spacing w:line="140" w:lineRule="exact"/>
      </w:pPr>
    </w:p>
    <w:tbl>
      <w:tblPr>
        <w:bidiVisual/>
        <w:tblW w:w="7270" w:type="dxa"/>
        <w:tblInd w:w="1234" w:type="dxa"/>
        <w:tblBorders>
          <w:top w:val="single" w:sz="4" w:space="0" w:color="auto"/>
          <w:bottom w:val="single" w:sz="12" w:space="0" w:color="auto"/>
        </w:tblBorders>
        <w:tblLayout w:type="fixed"/>
        <w:tblLook w:val="00A0" w:firstRow="1" w:lastRow="0" w:firstColumn="1" w:lastColumn="0" w:noHBand="0" w:noVBand="0"/>
      </w:tblPr>
      <w:tblGrid>
        <w:gridCol w:w="2594"/>
        <w:gridCol w:w="4676"/>
      </w:tblGrid>
      <w:tr w:rsidR="00540D30" w:rsidRPr="00E32E3B" w:rsidTr="00FF281A">
        <w:trPr>
          <w:trHeight w:val="240"/>
          <w:tblHeader/>
        </w:trPr>
        <w:tc>
          <w:tcPr>
            <w:tcW w:w="7270" w:type="dxa"/>
            <w:gridSpan w:val="2"/>
            <w:tcBorders>
              <w:top w:val="single" w:sz="4" w:space="0" w:color="auto"/>
              <w:bottom w:val="single" w:sz="12" w:space="0" w:color="auto"/>
            </w:tcBorders>
            <w:shd w:val="clear" w:color="auto" w:fill="auto"/>
            <w:vAlign w:val="bottom"/>
          </w:tcPr>
          <w:p w:rsidR="00540D30" w:rsidRPr="00E32E3B" w:rsidRDefault="00540D30" w:rsidP="00FF281A">
            <w:pPr>
              <w:spacing w:after="120" w:line="320" w:lineRule="exact"/>
              <w:ind w:left="23"/>
              <w:jc w:val="both"/>
              <w:textDirection w:val="tbRlV"/>
              <w:rPr>
                <w:i/>
                <w:iCs/>
                <w:rtl/>
                <w:lang w:eastAsia="zh-TW"/>
              </w:rPr>
            </w:pPr>
            <w:r w:rsidRPr="00E32E3B">
              <w:rPr>
                <w:i/>
                <w:iCs/>
                <w:rtl/>
                <w:lang w:eastAsia="zh-TW"/>
              </w:rPr>
              <w:lastRenderedPageBreak/>
              <w:t>جمهورية مقدونيا اليوغوسلافية سابقاً</w:t>
            </w:r>
          </w:p>
        </w:tc>
      </w:tr>
      <w:tr w:rsidR="00540D30" w:rsidRPr="00E32E3B" w:rsidTr="00FF281A">
        <w:trPr>
          <w:trHeight w:hRule="exact" w:val="113"/>
          <w:tblHeader/>
        </w:trPr>
        <w:tc>
          <w:tcPr>
            <w:tcW w:w="2594" w:type="dxa"/>
            <w:tcBorders>
              <w:top w:val="single" w:sz="12" w:space="0" w:color="auto"/>
            </w:tcBorders>
            <w:shd w:val="clear" w:color="auto" w:fill="auto"/>
          </w:tcPr>
          <w:p w:rsidR="00540D30" w:rsidRPr="00E32E3B" w:rsidRDefault="00540D30" w:rsidP="00E32E3B">
            <w:pPr>
              <w:spacing w:after="120" w:line="380" w:lineRule="exact"/>
              <w:jc w:val="both"/>
            </w:pPr>
          </w:p>
        </w:tc>
        <w:tc>
          <w:tcPr>
            <w:tcW w:w="4676" w:type="dxa"/>
            <w:tcBorders>
              <w:top w:val="single" w:sz="12" w:space="0" w:color="auto"/>
            </w:tcBorders>
            <w:shd w:val="clear" w:color="auto" w:fill="auto"/>
          </w:tcPr>
          <w:p w:rsidR="00540D30" w:rsidRPr="00E32E3B" w:rsidRDefault="00540D30" w:rsidP="00E32E3B">
            <w:pPr>
              <w:spacing w:after="120" w:line="380" w:lineRule="exact"/>
              <w:jc w:val="both"/>
            </w:pPr>
          </w:p>
        </w:tc>
      </w:tr>
      <w:tr w:rsidR="00540D30" w:rsidRPr="00E32E3B" w:rsidTr="00FF281A">
        <w:trPr>
          <w:trHeight w:val="240"/>
        </w:trPr>
        <w:tc>
          <w:tcPr>
            <w:tcW w:w="2594" w:type="dxa"/>
            <w:shd w:val="clear" w:color="auto" w:fill="auto"/>
          </w:tcPr>
          <w:p w:rsidR="00540D30" w:rsidRPr="00E32E3B" w:rsidRDefault="00540D30" w:rsidP="00E32E3B">
            <w:pPr>
              <w:spacing w:after="120" w:line="380" w:lineRule="exact"/>
              <w:jc w:val="both"/>
              <w:textDirection w:val="tbRlV"/>
              <w:rPr>
                <w:rtl/>
                <w:lang w:eastAsia="zh-TW"/>
              </w:rPr>
            </w:pPr>
            <w:r w:rsidRPr="00E32E3B">
              <w:rPr>
                <w:rtl/>
                <w:lang w:eastAsia="zh-TW"/>
              </w:rPr>
              <w:t>الملاحظات الختامية:</w:t>
            </w:r>
          </w:p>
        </w:tc>
        <w:tc>
          <w:tcPr>
            <w:tcW w:w="4676" w:type="dxa"/>
            <w:shd w:val="clear" w:color="auto" w:fill="auto"/>
          </w:tcPr>
          <w:p w:rsidR="00540D30" w:rsidRPr="00E32E3B" w:rsidRDefault="00D8591B" w:rsidP="00E32E3B">
            <w:pPr>
              <w:spacing w:after="120" w:line="380" w:lineRule="exact"/>
              <w:jc w:val="both"/>
              <w:textDirection w:val="tbRlV"/>
              <w:rPr>
                <w:rtl/>
                <w:lang w:eastAsia="zh-TW"/>
              </w:rPr>
            </w:pPr>
            <w:hyperlink r:id="rId17" w:history="1">
              <w:r w:rsidR="00540D30" w:rsidRPr="00E32E3B">
                <w:t>CCPR/C/MKD/CO/3</w:t>
              </w:r>
              <w:r w:rsidR="00540D30" w:rsidRPr="00E32E3B">
                <w:rPr>
                  <w:rtl/>
                </w:rPr>
                <w:t>، 20 تموز/يوليه 2015</w:t>
              </w:r>
            </w:hyperlink>
          </w:p>
        </w:tc>
      </w:tr>
      <w:tr w:rsidR="00540D30" w:rsidRPr="00E32E3B" w:rsidTr="00FF281A">
        <w:trPr>
          <w:trHeight w:val="240"/>
        </w:trPr>
        <w:tc>
          <w:tcPr>
            <w:tcW w:w="2594" w:type="dxa"/>
            <w:tcBorders>
              <w:bottom w:val="nil"/>
            </w:tcBorders>
            <w:shd w:val="clear" w:color="auto" w:fill="auto"/>
          </w:tcPr>
          <w:p w:rsidR="00540D30" w:rsidRPr="00E32E3B" w:rsidRDefault="00540D30" w:rsidP="00E32E3B">
            <w:pPr>
              <w:spacing w:after="120" w:line="380" w:lineRule="exact"/>
              <w:jc w:val="both"/>
              <w:textDirection w:val="tbRlV"/>
              <w:rPr>
                <w:rtl/>
                <w:lang w:eastAsia="zh-TW"/>
              </w:rPr>
            </w:pPr>
            <w:r w:rsidRPr="00E32E3B">
              <w:rPr>
                <w:rtl/>
                <w:lang w:eastAsia="zh-TW"/>
              </w:rPr>
              <w:t>فقرات المتابعة:</w:t>
            </w:r>
          </w:p>
        </w:tc>
        <w:tc>
          <w:tcPr>
            <w:tcW w:w="4676" w:type="dxa"/>
            <w:tcBorders>
              <w:bottom w:val="nil"/>
            </w:tcBorders>
            <w:shd w:val="clear" w:color="auto" w:fill="auto"/>
          </w:tcPr>
          <w:p w:rsidR="00540D30" w:rsidRPr="00E32E3B" w:rsidRDefault="00D8591B" w:rsidP="00E32E3B">
            <w:pPr>
              <w:spacing w:after="120" w:line="380" w:lineRule="exact"/>
              <w:jc w:val="both"/>
              <w:textDirection w:val="tbRlV"/>
              <w:rPr>
                <w:rtl/>
                <w:lang w:eastAsia="zh-TW"/>
              </w:rPr>
            </w:pPr>
            <w:dir w:val="rtl">
              <w:r w:rsidR="00540D30" w:rsidRPr="00E32E3B">
                <w:rPr>
                  <w:rtl/>
                  <w:lang w:eastAsia="zh-TW"/>
                </w:rPr>
                <w:t>15 و16 و23</w:t>
              </w:r>
              <w:r w:rsidR="00540D30" w:rsidRPr="00E32E3B">
                <w:rPr>
                  <w:rFonts w:cs="Times New Roman" w:hint="cs"/>
                  <w:rtl/>
                  <w:lang w:eastAsia="zh-TW"/>
                </w:rPr>
                <w:t>‬</w:t>
              </w:r>
              <w:r w:rsidR="00540D30" w:rsidRPr="00E32E3B">
                <w:t>‬</w:t>
              </w:r>
              <w:r w:rsidR="00540D30" w:rsidRPr="00E32E3B">
                <w:t>‬</w:t>
              </w:r>
              <w:r w:rsidR="00540D30" w:rsidRPr="00E32E3B">
                <w:t>‬</w:t>
              </w:r>
              <w:r w:rsidR="00540D30" w:rsidRPr="00E32E3B">
                <w:t>‬</w:t>
              </w:r>
              <w:r w:rsidR="00540D30" w:rsidRPr="00E32E3B">
                <w:t>‬</w:t>
              </w:r>
              <w:r w:rsidR="00540D30" w:rsidRPr="00E32E3B">
                <w:t>‬</w:t>
              </w:r>
              <w:r w:rsidR="00DC1DEF">
                <w:t>‬</w:t>
              </w:r>
              <w:r w:rsidR="00BD0320">
                <w:t>‬</w:t>
              </w:r>
              <w:r w:rsidR="00E50C3B">
                <w:t>‬</w:t>
              </w:r>
              <w:r>
                <w:t>‬</w:t>
              </w:r>
            </w:dir>
          </w:p>
        </w:tc>
      </w:tr>
      <w:tr w:rsidR="00540D30" w:rsidRPr="00E32E3B" w:rsidTr="00FF281A">
        <w:trPr>
          <w:trHeight w:val="240"/>
        </w:trPr>
        <w:tc>
          <w:tcPr>
            <w:tcW w:w="2594" w:type="dxa"/>
            <w:tcBorders>
              <w:top w:val="nil"/>
              <w:bottom w:val="nil"/>
            </w:tcBorders>
            <w:shd w:val="clear" w:color="auto" w:fill="auto"/>
          </w:tcPr>
          <w:p w:rsidR="00540D30" w:rsidRPr="00E32E3B" w:rsidRDefault="00E32E3B" w:rsidP="00E32E3B">
            <w:pPr>
              <w:spacing w:after="120" w:line="380" w:lineRule="exact"/>
              <w:jc w:val="both"/>
              <w:textDirection w:val="tbRlV"/>
              <w:rPr>
                <w:rtl/>
                <w:lang w:eastAsia="zh-TW"/>
              </w:rPr>
            </w:pPr>
            <w:r>
              <w:rPr>
                <w:rtl/>
                <w:lang w:eastAsia="zh-TW"/>
              </w:rPr>
              <w:t>الرد الأول</w:t>
            </w:r>
            <w:r w:rsidRPr="00E32E3B">
              <w:rPr>
                <w:rFonts w:hint="cs"/>
                <w:vertAlign w:val="superscript"/>
                <w:rtl/>
                <w:lang w:eastAsia="zh-TW"/>
              </w:rPr>
              <w:t>(</w:t>
            </w:r>
            <w:r w:rsidR="00540D30" w:rsidRPr="00E32E3B">
              <w:rPr>
                <w:rStyle w:val="FootnoteReference"/>
                <w:sz w:val="20"/>
                <w:szCs w:val="30"/>
                <w:rtl/>
                <w:lang w:eastAsia="zh-TW"/>
              </w:rPr>
              <w:footnoteReference w:id="5"/>
            </w:r>
            <w:r w:rsidRPr="00E32E3B">
              <w:rPr>
                <w:rFonts w:hint="cs"/>
                <w:vertAlign w:val="superscript"/>
                <w:rtl/>
                <w:lang w:eastAsia="zh-TW"/>
              </w:rPr>
              <w:t>)</w:t>
            </w:r>
            <w:r>
              <w:rPr>
                <w:rFonts w:hint="cs"/>
                <w:rtl/>
                <w:lang w:eastAsia="zh-TW"/>
              </w:rPr>
              <w:t>:</w:t>
            </w:r>
          </w:p>
        </w:tc>
        <w:tc>
          <w:tcPr>
            <w:tcW w:w="4676" w:type="dxa"/>
            <w:tcBorders>
              <w:top w:val="nil"/>
              <w:bottom w:val="nil"/>
            </w:tcBorders>
            <w:shd w:val="clear" w:color="auto" w:fill="auto"/>
          </w:tcPr>
          <w:p w:rsidR="00540D30" w:rsidRPr="00E32E3B" w:rsidRDefault="00540D30" w:rsidP="00E32E3B">
            <w:pPr>
              <w:spacing w:after="120" w:line="380" w:lineRule="exact"/>
              <w:jc w:val="both"/>
              <w:textDirection w:val="tbRlV"/>
              <w:rPr>
                <w:rtl/>
                <w:lang w:eastAsia="zh-TW"/>
              </w:rPr>
            </w:pPr>
            <w:r w:rsidRPr="00E32E3B">
              <w:rPr>
                <w:rtl/>
                <w:lang w:eastAsia="zh-TW"/>
              </w:rPr>
              <w:t>٣٠ آب/أغسطس ٢٠١٦</w:t>
            </w:r>
          </w:p>
        </w:tc>
      </w:tr>
      <w:tr w:rsidR="00540D30" w:rsidRPr="00E32E3B" w:rsidTr="00FF281A">
        <w:trPr>
          <w:trHeight w:val="240"/>
        </w:trPr>
        <w:tc>
          <w:tcPr>
            <w:tcW w:w="2594" w:type="dxa"/>
            <w:tcBorders>
              <w:top w:val="nil"/>
              <w:bottom w:val="nil"/>
            </w:tcBorders>
            <w:shd w:val="clear" w:color="auto" w:fill="auto"/>
          </w:tcPr>
          <w:p w:rsidR="00540D30" w:rsidRPr="00E32E3B" w:rsidRDefault="00540D30" w:rsidP="00E32E3B">
            <w:pPr>
              <w:spacing w:after="120" w:line="380" w:lineRule="exact"/>
              <w:textDirection w:val="tbRlV"/>
              <w:rPr>
                <w:rtl/>
                <w:lang w:eastAsia="zh-TW"/>
              </w:rPr>
            </w:pPr>
            <w:r w:rsidRPr="00E32E3B">
              <w:rPr>
                <w:rtl/>
                <w:lang w:eastAsia="zh-TW"/>
              </w:rPr>
              <w:t>تقييم اللجنة:</w:t>
            </w:r>
          </w:p>
        </w:tc>
        <w:tc>
          <w:tcPr>
            <w:tcW w:w="4676" w:type="dxa"/>
            <w:tcBorders>
              <w:top w:val="nil"/>
              <w:bottom w:val="nil"/>
            </w:tcBorders>
            <w:shd w:val="clear" w:color="auto" w:fill="auto"/>
          </w:tcPr>
          <w:p w:rsidR="00540D30" w:rsidRPr="00E32E3B" w:rsidRDefault="00540D30" w:rsidP="00E32E3B">
            <w:pPr>
              <w:spacing w:after="120" w:line="380" w:lineRule="exact"/>
              <w:jc w:val="both"/>
              <w:textDirection w:val="tbRlV"/>
              <w:rPr>
                <w:rtl/>
                <w:lang w:eastAsia="zh-TW"/>
              </w:rPr>
            </w:pPr>
            <w:r w:rsidRPr="00E32E3B">
              <w:rPr>
                <w:rtl/>
                <w:lang w:eastAsia="zh-TW"/>
              </w:rPr>
              <w:t>يلزم تقديم معلومات إضافية عن الفقرات 15</w:t>
            </w:r>
            <w:r w:rsidRPr="00BD0320">
              <w:rPr>
                <w:b/>
                <w:bCs/>
                <w:rtl/>
                <w:lang w:eastAsia="zh-TW"/>
              </w:rPr>
              <w:t>[باء][جيم]</w:t>
            </w:r>
            <w:r w:rsidRPr="00E32E3B">
              <w:rPr>
                <w:rtl/>
                <w:lang w:eastAsia="zh-TW"/>
              </w:rPr>
              <w:t xml:space="preserve"> و16</w:t>
            </w:r>
            <w:r w:rsidRPr="00BD0320">
              <w:rPr>
                <w:b/>
                <w:bCs/>
                <w:rtl/>
                <w:lang w:eastAsia="zh-TW"/>
              </w:rPr>
              <w:t>[باء]</w:t>
            </w:r>
            <w:r w:rsidRPr="00E32E3B">
              <w:rPr>
                <w:rtl/>
                <w:lang w:eastAsia="zh-TW"/>
              </w:rPr>
              <w:t xml:space="preserve"> و23</w:t>
            </w:r>
            <w:r w:rsidRPr="00BD0320">
              <w:rPr>
                <w:b/>
                <w:bCs/>
                <w:rtl/>
                <w:lang w:eastAsia="zh-TW"/>
              </w:rPr>
              <w:t>[جيم][باء]</w:t>
            </w:r>
            <w:r w:rsidRPr="00E32E3B">
              <w:rPr>
                <w:rFonts w:cs="Times New Roman" w:hint="cs"/>
                <w:rtl/>
                <w:lang w:eastAsia="zh-TW"/>
              </w:rPr>
              <w:t>‬</w:t>
            </w:r>
          </w:p>
        </w:tc>
      </w:tr>
    </w:tbl>
    <w:p w:rsidR="00E32E3B" w:rsidRPr="00E32E3B" w:rsidRDefault="00BD0320" w:rsidP="00BD0320">
      <w:pPr>
        <w:pStyle w:val="H23GA"/>
        <w:rPr>
          <w:rtl/>
        </w:rPr>
      </w:pPr>
      <w:r>
        <w:rPr>
          <w:rtl/>
        </w:rPr>
        <w:tab/>
      </w:r>
      <w:r>
        <w:rPr>
          <w:rtl/>
        </w:rPr>
        <w:tab/>
      </w:r>
      <w:dir w:val="rtl">
        <w:r w:rsidR="00E32E3B" w:rsidRPr="00E32E3B">
          <w:rPr>
            <w:rtl/>
          </w:rPr>
          <w:t>الفقرة 15: الاتجار بالبشر</w:t>
        </w:r>
        <w:r w:rsidR="00E32E3B" w:rsidRPr="00E32E3B">
          <w:rPr>
            <w:rFonts w:cs="Times New Roman" w:hint="cs"/>
            <w:rtl/>
          </w:rPr>
          <w:t>‬</w:t>
        </w:r>
        <w:r w:rsidR="00E32E3B" w:rsidRPr="00E32E3B">
          <w:t>‬</w:t>
        </w:r>
        <w:r w:rsidR="00E32E3B" w:rsidRPr="00E32E3B">
          <w:t>‬</w:t>
        </w:r>
        <w:r w:rsidR="00E32E3B" w:rsidRPr="00E32E3B">
          <w:t>‬</w:t>
        </w:r>
        <w:r w:rsidR="00E32E3B" w:rsidRPr="00E32E3B">
          <w:t>‬</w:t>
        </w:r>
        <w:r w:rsidR="00E32E3B" w:rsidRPr="00E32E3B">
          <w:t>‬</w:t>
        </w:r>
        <w:r w:rsidR="00E32E3B" w:rsidRPr="00E32E3B">
          <w:t>‬</w:t>
        </w:r>
        <w:r w:rsidR="00DC1DEF">
          <w:t>‬</w:t>
        </w:r>
        <w:r>
          <w:t>‬</w:t>
        </w:r>
        <w:r w:rsidR="00E50C3B">
          <w:t>‬</w:t>
        </w:r>
        <w:r w:rsidR="00D8591B">
          <w:t>‬</w:t>
        </w:r>
      </w:dir>
    </w:p>
    <w:p w:rsidR="00E32E3B" w:rsidRPr="00E32E3B" w:rsidRDefault="00E32E3B" w:rsidP="00E32E3B">
      <w:pPr>
        <w:pStyle w:val="SingleTxtGA"/>
        <w:rPr>
          <w:rtl/>
          <w:lang w:eastAsia="zh-TW"/>
        </w:rPr>
      </w:pPr>
      <w:r>
        <w:rPr>
          <w:b/>
          <w:bCs/>
          <w:rtl/>
        </w:rPr>
        <w:tab/>
      </w:r>
      <w:dir w:val="rtl">
        <w:r w:rsidRPr="00E32E3B">
          <w:rPr>
            <w:b/>
            <w:bCs/>
            <w:rtl/>
            <w:lang w:eastAsia="zh-TW"/>
          </w:rPr>
          <w:t>ينبغي للدولة الطرف أن تتخذ التدابير اللازمة لمكافحة الاتجار بالبشر، وتحقق في كل حالة بصرامة، وتلاحق كل الجناة بهمّة، وتتأكد من معاقبتهم العقاب المناسب عند إدانتهم.</w:t>
        </w:r>
        <w:r w:rsidRPr="00E32E3B">
          <w:rPr>
            <w:rFonts w:cs="Times New Roman" w:hint="cs"/>
            <w:b/>
            <w:bCs/>
            <w:rtl/>
            <w:lang w:eastAsia="zh-TW"/>
          </w:rPr>
          <w:t>‬</w:t>
        </w:r>
        <w:r w:rsidRPr="00E32E3B">
          <w:rPr>
            <w:b/>
            <w:bCs/>
            <w:rtl/>
            <w:lang w:eastAsia="zh-TW"/>
          </w:rPr>
          <w:t xml:space="preserve"> </w:t>
        </w:r>
        <w:r w:rsidRPr="00E32E3B">
          <w:rPr>
            <w:rFonts w:ascii="Traditional Arabic" w:hAnsi="Traditional Arabic" w:hint="cs"/>
            <w:b/>
            <w:bCs/>
            <w:rtl/>
            <w:lang w:eastAsia="zh-TW"/>
          </w:rPr>
          <w:t>كما</w:t>
        </w:r>
        <w:r w:rsidRPr="00E32E3B">
          <w:rPr>
            <w:b/>
            <w:bCs/>
            <w:rtl/>
            <w:lang w:eastAsia="zh-TW"/>
          </w:rPr>
          <w:t xml:space="preserve"> </w:t>
        </w:r>
        <w:r w:rsidRPr="00E32E3B">
          <w:rPr>
            <w:rFonts w:ascii="Traditional Arabic" w:hAnsi="Traditional Arabic" w:hint="cs"/>
            <w:b/>
            <w:bCs/>
            <w:rtl/>
            <w:lang w:eastAsia="zh-TW"/>
          </w:rPr>
          <w:t>ينبغي</w:t>
        </w:r>
        <w:r w:rsidRPr="00E32E3B">
          <w:rPr>
            <w:b/>
            <w:bCs/>
            <w:rtl/>
            <w:lang w:eastAsia="zh-TW"/>
          </w:rPr>
          <w:t xml:space="preserve"> </w:t>
        </w:r>
        <w:r w:rsidRPr="00E32E3B">
          <w:rPr>
            <w:rFonts w:ascii="Traditional Arabic" w:hAnsi="Traditional Arabic" w:hint="cs"/>
            <w:b/>
            <w:bCs/>
            <w:rtl/>
            <w:lang w:eastAsia="zh-TW"/>
          </w:rPr>
          <w:t>أن</w:t>
        </w:r>
        <w:r w:rsidRPr="00E32E3B">
          <w:rPr>
            <w:b/>
            <w:bCs/>
            <w:rtl/>
            <w:lang w:eastAsia="zh-TW"/>
          </w:rPr>
          <w:t xml:space="preserve"> </w:t>
        </w:r>
        <w:r w:rsidRPr="00E32E3B">
          <w:rPr>
            <w:rFonts w:ascii="Traditional Arabic" w:hAnsi="Traditional Arabic" w:hint="cs"/>
            <w:b/>
            <w:bCs/>
            <w:rtl/>
            <w:lang w:eastAsia="zh-TW"/>
          </w:rPr>
          <w:t>تبذل</w:t>
        </w:r>
        <w:r w:rsidRPr="00E32E3B">
          <w:rPr>
            <w:b/>
            <w:bCs/>
            <w:rtl/>
            <w:lang w:eastAsia="zh-TW"/>
          </w:rPr>
          <w:t xml:space="preserve"> </w:t>
        </w:r>
        <w:r w:rsidRPr="00E32E3B">
          <w:rPr>
            <w:rFonts w:ascii="Traditional Arabic" w:hAnsi="Traditional Arabic" w:hint="cs"/>
            <w:b/>
            <w:bCs/>
            <w:rtl/>
            <w:lang w:eastAsia="zh-TW"/>
          </w:rPr>
          <w:t>المزيد</w:t>
        </w:r>
        <w:r w:rsidRPr="00E32E3B">
          <w:rPr>
            <w:b/>
            <w:bCs/>
            <w:rtl/>
            <w:lang w:eastAsia="zh-TW"/>
          </w:rPr>
          <w:t xml:space="preserve"> </w:t>
        </w:r>
        <w:r w:rsidRPr="00E32E3B">
          <w:rPr>
            <w:rFonts w:ascii="Traditional Arabic" w:hAnsi="Traditional Arabic" w:hint="cs"/>
            <w:b/>
            <w:bCs/>
            <w:rtl/>
            <w:lang w:eastAsia="zh-TW"/>
          </w:rPr>
          <w:t>من</w:t>
        </w:r>
        <w:r w:rsidRPr="00E32E3B">
          <w:rPr>
            <w:b/>
            <w:bCs/>
            <w:rtl/>
            <w:lang w:eastAsia="zh-TW"/>
          </w:rPr>
          <w:t xml:space="preserve"> الجهود لتوفير ما يكفي من حماية وجبر وتعويض للضحايا، بما في ذلك إعادة تأهيلهم.</w:t>
        </w:r>
        <w:r w:rsidR="00DC1DEF">
          <w:t>‬</w:t>
        </w:r>
        <w:r w:rsidR="00BD0320">
          <w:t>‬</w:t>
        </w:r>
        <w:r w:rsidR="00E50C3B">
          <w:t>‬</w:t>
        </w:r>
        <w:r w:rsidR="00D8591B">
          <w:t>‬</w:t>
        </w:r>
      </w:dir>
    </w:p>
    <w:p w:rsidR="00E32E3B" w:rsidRPr="00E32E3B" w:rsidRDefault="00BD0320" w:rsidP="00BD0320">
      <w:pPr>
        <w:pStyle w:val="H23GA"/>
        <w:rPr>
          <w:rtl/>
        </w:rPr>
      </w:pPr>
      <w:r>
        <w:rPr>
          <w:rtl/>
        </w:rPr>
        <w:tab/>
      </w:r>
      <w:r>
        <w:rPr>
          <w:rtl/>
        </w:rPr>
        <w:tab/>
      </w:r>
      <w:r w:rsidR="00E32E3B" w:rsidRPr="00E32E3B">
        <w:rPr>
          <w:rtl/>
        </w:rPr>
        <w:t xml:space="preserve">ملخص ردّ الدولة الطرف </w:t>
      </w:r>
    </w:p>
    <w:p w:rsidR="00E32E3B" w:rsidRPr="00E32E3B" w:rsidRDefault="00E32E3B" w:rsidP="00BD0320">
      <w:pPr>
        <w:pStyle w:val="SingleTxtGA"/>
        <w:spacing w:line="370" w:lineRule="exact"/>
        <w:rPr>
          <w:rtl/>
          <w:lang w:eastAsia="zh-TW"/>
        </w:rPr>
      </w:pPr>
      <w:r>
        <w:rPr>
          <w:rtl/>
          <w:lang w:eastAsia="zh-TW"/>
        </w:rPr>
        <w:tab/>
      </w:r>
      <w:r w:rsidRPr="00E32E3B">
        <w:rPr>
          <w:rtl/>
          <w:lang w:eastAsia="zh-TW"/>
        </w:rPr>
        <w:t>في عام ٢٠١٥، حددت هوية ٣ ضحايا (</w:t>
      </w:r>
      <w:r w:rsidRPr="00E32E3B">
        <w:rPr>
          <w:rtl/>
          <w:lang w:val="ru-RU" w:eastAsia="zh-TW" w:bidi="ar-DZ"/>
        </w:rPr>
        <w:t xml:space="preserve">شخص </w:t>
      </w:r>
      <w:r w:rsidRPr="00E32E3B">
        <w:rPr>
          <w:rtl/>
          <w:lang w:eastAsia="zh-TW"/>
        </w:rPr>
        <w:t>بالغ وطفلان)</w:t>
      </w:r>
      <w:r w:rsidRPr="00E32E3B">
        <w:rPr>
          <w:lang w:eastAsia="zh-TW"/>
        </w:rPr>
        <w:t xml:space="preserve"> </w:t>
      </w:r>
      <w:r w:rsidRPr="00E32E3B">
        <w:rPr>
          <w:rtl/>
          <w:lang w:eastAsia="zh-TW"/>
        </w:rPr>
        <w:t xml:space="preserve">و11 ضحية محتملة </w:t>
      </w:r>
      <w:r w:rsidRPr="00E17221">
        <w:rPr>
          <w:spacing w:val="-4"/>
          <w:rtl/>
          <w:lang w:eastAsia="zh-TW"/>
        </w:rPr>
        <w:t xml:space="preserve">للاتجار بالبشر(جميعهم </w:t>
      </w:r>
      <w:r w:rsidRPr="00E17221">
        <w:rPr>
          <w:spacing w:val="-4"/>
          <w:rtl/>
          <w:lang w:val="ru-RU" w:eastAsia="zh-TW" w:bidi="ar-DZ"/>
        </w:rPr>
        <w:t>من ال</w:t>
      </w:r>
      <w:r w:rsidRPr="00E17221">
        <w:rPr>
          <w:spacing w:val="-4"/>
          <w:rtl/>
          <w:lang w:eastAsia="zh-TW"/>
        </w:rPr>
        <w:t>إناث)، ووجهت ١٢٠ تهمة جنائية فيما يخص 142 جريمة بموجب</w:t>
      </w:r>
      <w:r w:rsidR="00E17221">
        <w:rPr>
          <w:rtl/>
          <w:lang w:eastAsia="zh-TW"/>
        </w:rPr>
        <w:t xml:space="preserve"> </w:t>
      </w:r>
      <w:r w:rsidR="00E17221" w:rsidRPr="00E17221">
        <w:rPr>
          <w:spacing w:val="-4"/>
          <w:rtl/>
          <w:lang w:eastAsia="zh-TW"/>
        </w:rPr>
        <w:t>المادة ٤١٨</w:t>
      </w:r>
      <w:r w:rsidRPr="00E17221">
        <w:rPr>
          <w:spacing w:val="-4"/>
          <w:rtl/>
          <w:lang w:eastAsia="zh-TW"/>
        </w:rPr>
        <w:t>(ب) من القانون الجنائي تنطوي على تهريب المهاجرين، وقد ارتكب هذه الجرائم 212</w:t>
      </w:r>
      <w:r w:rsidRPr="00E32E3B">
        <w:rPr>
          <w:rtl/>
          <w:lang w:eastAsia="zh-TW"/>
        </w:rPr>
        <w:t xml:space="preserve"> شخصاً وهو ما يمثل زيادة نسبتها ٣٣ في المائة بالمقارنة مع عام ٢٠١٤</w:t>
      </w:r>
      <w:r w:rsidR="00BD0320">
        <w:rPr>
          <w:rFonts w:hint="cs"/>
          <w:rtl/>
          <w:lang w:eastAsia="zh-TW"/>
        </w:rPr>
        <w:t>؛</w:t>
      </w:r>
      <w:r w:rsidRPr="00E32E3B">
        <w:rPr>
          <w:rtl/>
          <w:lang w:eastAsia="zh-TW"/>
        </w:rPr>
        <w:t xml:space="preserve"> واستهلت المحك</w:t>
      </w:r>
      <w:r w:rsidR="00E17221">
        <w:rPr>
          <w:rtl/>
          <w:lang w:eastAsia="zh-TW"/>
        </w:rPr>
        <w:t>مة الأساسية بسكوبي 1 ما يصل إلى</w:t>
      </w:r>
      <w:r w:rsidRPr="00E32E3B">
        <w:rPr>
          <w:rtl/>
          <w:lang w:eastAsia="zh-TW"/>
        </w:rPr>
        <w:t xml:space="preserve"> 161 قضية تتعلق بالاتجار بالبشر ضد</w:t>
      </w:r>
      <w:r>
        <w:rPr>
          <w:rFonts w:hint="cs"/>
          <w:rtl/>
          <w:lang w:eastAsia="zh-TW"/>
        </w:rPr>
        <w:t> </w:t>
      </w:r>
      <w:r w:rsidRPr="00E32E3B">
        <w:rPr>
          <w:rtl/>
          <w:lang w:eastAsia="zh-TW"/>
        </w:rPr>
        <w:t>٢٠١ مدعى عليه</w:t>
      </w:r>
      <w:r w:rsidR="00BD0320">
        <w:rPr>
          <w:rFonts w:hint="cs"/>
          <w:rtl/>
          <w:lang w:eastAsia="zh-TW"/>
        </w:rPr>
        <w:t>؛</w:t>
      </w:r>
      <w:r w:rsidRPr="00E32E3B">
        <w:rPr>
          <w:rtl/>
          <w:lang w:eastAsia="zh-TW"/>
        </w:rPr>
        <w:t xml:space="preserve"> وصدرت بحق ١٧٥ شخصاً مدعى عليه (بما في ذلك قضايا مرفوعة في السنوات السابقة) أحكام بالسجن (للاطلاع على الإحصاءات الكاملة، انظر الجدول الوارد في الرد الأول المؤرخ</w:t>
      </w:r>
      <w:r w:rsidR="00E17221">
        <w:rPr>
          <w:rFonts w:hint="cs"/>
          <w:rtl/>
          <w:lang w:eastAsia="zh-TW"/>
        </w:rPr>
        <w:t> </w:t>
      </w:r>
      <w:r w:rsidR="00BD0320">
        <w:rPr>
          <w:rtl/>
          <w:lang w:eastAsia="zh-TW"/>
        </w:rPr>
        <w:t>٣٠ آب/أغسطس ٢٠١٦، ص</w:t>
      </w:r>
      <w:r w:rsidR="00BD0320">
        <w:rPr>
          <w:rFonts w:hint="cs"/>
          <w:rtl/>
          <w:lang w:eastAsia="zh-TW"/>
        </w:rPr>
        <w:t xml:space="preserve"> </w:t>
      </w:r>
      <w:r w:rsidRPr="00E32E3B">
        <w:rPr>
          <w:rtl/>
          <w:lang w:eastAsia="zh-TW"/>
        </w:rPr>
        <w:t>2)</w:t>
      </w:r>
      <w:r w:rsidR="00BD0320">
        <w:rPr>
          <w:rFonts w:hint="cs"/>
          <w:rtl/>
          <w:lang w:eastAsia="zh-TW"/>
        </w:rPr>
        <w:t>؛</w:t>
      </w:r>
      <w:r w:rsidRPr="00E32E3B">
        <w:rPr>
          <w:rtl/>
          <w:lang w:eastAsia="zh-TW"/>
        </w:rPr>
        <w:t xml:space="preserve"> وحكم على موظف في وزارة الداخلية أيضاً بالسجن لمدة أربع سنوات.</w:t>
      </w:r>
    </w:p>
    <w:p w:rsidR="00E32E3B" w:rsidRPr="00E32E3B" w:rsidRDefault="00E32E3B" w:rsidP="00BD0320">
      <w:pPr>
        <w:pStyle w:val="SingleTxtGA"/>
        <w:spacing w:line="370" w:lineRule="exact"/>
        <w:rPr>
          <w:rtl/>
          <w:lang w:eastAsia="zh-TW"/>
        </w:rPr>
      </w:pPr>
      <w:r>
        <w:rPr>
          <w:rtl/>
          <w:lang w:eastAsia="zh-TW"/>
        </w:rPr>
        <w:tab/>
      </w:r>
      <w:r w:rsidRPr="00E32E3B">
        <w:rPr>
          <w:rtl/>
          <w:lang w:eastAsia="zh-TW"/>
        </w:rPr>
        <w:t>وفي عام 2016، وجهت تهمة إلى شخص واحد بالاتجار بالأطفال بموجب المادة</w:t>
      </w:r>
      <w:r>
        <w:rPr>
          <w:rFonts w:hint="cs"/>
          <w:rtl/>
          <w:lang w:eastAsia="zh-TW"/>
        </w:rPr>
        <w:t> </w:t>
      </w:r>
      <w:r w:rsidRPr="00E32E3B">
        <w:rPr>
          <w:rtl/>
          <w:lang w:eastAsia="zh-TW"/>
        </w:rPr>
        <w:t>418(د) من القانون الجنائي، وحددت السلطات هوية ثلاثة مهاجرين من القصر بوصفهم ضحايا محتملين للاتجار بالبشر.</w:t>
      </w:r>
    </w:p>
    <w:p w:rsidR="00E32E3B" w:rsidRPr="00E32E3B" w:rsidRDefault="00E32E3B" w:rsidP="00BD0320">
      <w:pPr>
        <w:pStyle w:val="SingleTxtGA"/>
        <w:spacing w:line="370" w:lineRule="exact"/>
        <w:rPr>
          <w:rtl/>
          <w:lang w:eastAsia="zh-TW"/>
        </w:rPr>
      </w:pPr>
      <w:r>
        <w:rPr>
          <w:rtl/>
          <w:lang w:eastAsia="zh-TW"/>
        </w:rPr>
        <w:tab/>
        <w:t>وفي عامي ٢٠١٥ و</w:t>
      </w:r>
      <w:r w:rsidRPr="00E32E3B">
        <w:rPr>
          <w:rtl/>
          <w:lang w:eastAsia="zh-TW"/>
        </w:rPr>
        <w:t xml:space="preserve">٢٠١٦، اعتمدت الدولة الطرف إجراءات تنفيذية موحدة لتحديد هوية الأطفال غير المصحوبين والتعامل مع الأجانب الضعفاء، ومؤشرات لتحديد هوية ضحايا الاتجار بالبشر في حركات الهجرة المختلطة. </w:t>
      </w:r>
    </w:p>
    <w:p w:rsidR="00E32E3B" w:rsidRDefault="00E32E3B" w:rsidP="00BD0320">
      <w:pPr>
        <w:pStyle w:val="SingleTxtGA"/>
        <w:spacing w:line="370" w:lineRule="exact"/>
        <w:rPr>
          <w:rtl/>
          <w:lang w:eastAsia="zh-TW"/>
        </w:rPr>
      </w:pPr>
      <w:r>
        <w:rPr>
          <w:rtl/>
          <w:lang w:eastAsia="zh-TW"/>
        </w:rPr>
        <w:tab/>
      </w:r>
      <w:r w:rsidRPr="00E32E3B">
        <w:rPr>
          <w:rtl/>
          <w:lang w:eastAsia="zh-TW"/>
        </w:rPr>
        <w:t xml:space="preserve">ويقدم التدريب باستمرار في مجال منع الاتجار بالبشر واستخدام الإجراءات التنفيذية الموحدة القائمة والجديدة. ونظم تدريب أساسي ومتخصص في عام 2015 من أجل أفراد الشرطة بشأن تحديد هوية الضحايا المحتملين للاتجار بالبشر وإحالتهم فضلاً عن التدريب المتخصص لصالح 180 فرداً من أفراد شرطة الحدود. </w:t>
      </w:r>
    </w:p>
    <w:tbl>
      <w:tblPr>
        <w:bidiVisual/>
        <w:tblW w:w="7263" w:type="dxa"/>
        <w:tblInd w:w="1241" w:type="dxa"/>
        <w:tblBorders>
          <w:top w:val="single" w:sz="4" w:space="0" w:color="auto"/>
          <w:bottom w:val="single" w:sz="12" w:space="0" w:color="auto"/>
        </w:tblBorders>
        <w:tblLayout w:type="fixed"/>
        <w:tblLook w:val="00A0" w:firstRow="1" w:lastRow="0" w:firstColumn="1" w:lastColumn="0" w:noHBand="0" w:noVBand="0"/>
      </w:tblPr>
      <w:tblGrid>
        <w:gridCol w:w="7263"/>
      </w:tblGrid>
      <w:tr w:rsidR="00E32E3B" w:rsidRPr="00E32E3B" w:rsidTr="00FF281A">
        <w:trPr>
          <w:trHeight w:val="240"/>
          <w:tblHeader/>
        </w:trPr>
        <w:tc>
          <w:tcPr>
            <w:tcW w:w="7263" w:type="dxa"/>
            <w:tcBorders>
              <w:top w:val="single" w:sz="4" w:space="0" w:color="auto"/>
              <w:bottom w:val="single" w:sz="12" w:space="0" w:color="auto"/>
            </w:tcBorders>
            <w:shd w:val="clear" w:color="auto" w:fill="auto"/>
            <w:vAlign w:val="bottom"/>
          </w:tcPr>
          <w:p w:rsidR="00E32E3B" w:rsidRPr="00E32E3B" w:rsidRDefault="00E32E3B" w:rsidP="00E32E3B">
            <w:pPr>
              <w:spacing w:after="120" w:line="380" w:lineRule="exact"/>
              <w:jc w:val="both"/>
              <w:textDirection w:val="tbRlV"/>
              <w:rPr>
                <w:i/>
                <w:iCs/>
                <w:rtl/>
                <w:lang w:eastAsia="zh-TW"/>
              </w:rPr>
            </w:pPr>
            <w:r w:rsidRPr="00E32E3B">
              <w:rPr>
                <w:i/>
                <w:iCs/>
                <w:rtl/>
                <w:lang w:eastAsia="zh-TW"/>
              </w:rPr>
              <w:lastRenderedPageBreak/>
              <w:t>جمهورية مقدونيا اليوغوسلافية سابقاً</w:t>
            </w:r>
          </w:p>
        </w:tc>
      </w:tr>
    </w:tbl>
    <w:p w:rsidR="00E32E3B" w:rsidRPr="00E32E3B" w:rsidRDefault="00E32E3B" w:rsidP="00E32E3B">
      <w:pPr>
        <w:pStyle w:val="SingleTxtGA"/>
        <w:rPr>
          <w:rtl/>
          <w:lang w:eastAsia="zh-TW"/>
        </w:rPr>
      </w:pPr>
      <w:r>
        <w:rPr>
          <w:rtl/>
          <w:lang w:eastAsia="zh-TW"/>
        </w:rPr>
        <w:tab/>
      </w:r>
      <w:r w:rsidRPr="00E32E3B">
        <w:rPr>
          <w:rtl/>
          <w:lang w:eastAsia="zh-TW"/>
        </w:rPr>
        <w:t>واعتمدت اللجنة الوطنية لمكافحة الاتجار بالبشر والهجرة غير المشروعة الخطة من أجل التدريب المشترك بين المؤسسات في مجال مكافحة الاتجار بالبشر والهجرة غير القانونية للفترة</w:t>
      </w:r>
      <w:r>
        <w:rPr>
          <w:rFonts w:hint="cs"/>
          <w:rtl/>
          <w:lang w:eastAsia="zh-TW"/>
        </w:rPr>
        <w:t> </w:t>
      </w:r>
      <w:r w:rsidRPr="00E32E3B">
        <w:rPr>
          <w:rtl/>
          <w:lang w:eastAsia="zh-TW"/>
        </w:rPr>
        <w:t>٢٠١٦</w:t>
      </w:r>
      <w:r>
        <w:rPr>
          <w:rFonts w:hint="cs"/>
          <w:rtl/>
          <w:lang w:eastAsia="zh-TW"/>
        </w:rPr>
        <w:t>-2017</w:t>
      </w:r>
      <w:r w:rsidRPr="00E32E3B">
        <w:rPr>
          <w:rtl/>
          <w:lang w:eastAsia="zh-TW"/>
        </w:rPr>
        <w:t>. وفي عام ٢٠١٦، نظم تدريب لصالح 180 فر</w:t>
      </w:r>
      <w:r w:rsidR="00BD0320">
        <w:rPr>
          <w:rtl/>
          <w:lang w:eastAsia="zh-TW"/>
        </w:rPr>
        <w:t>داً من أفراد شرطة الحدود بشأن "التعامل مع الهجرة غير القانونية</w:t>
      </w:r>
      <w:r w:rsidRPr="00E32E3B">
        <w:rPr>
          <w:rtl/>
          <w:lang w:eastAsia="zh-TW"/>
        </w:rPr>
        <w:t>"، وتناول، في جملة أمور، تحديد هوية القاصرين غير المصحوبين والأشخاص الضعفاء، بمن فيهم ضحايا الاتجار.</w:t>
      </w:r>
    </w:p>
    <w:p w:rsidR="00E32E3B" w:rsidRPr="00E32E3B" w:rsidRDefault="00E32E3B" w:rsidP="00BD0320">
      <w:pPr>
        <w:pStyle w:val="SingleTxtGA"/>
        <w:rPr>
          <w:rtl/>
          <w:lang w:eastAsia="zh-TW"/>
        </w:rPr>
      </w:pPr>
      <w:r>
        <w:rPr>
          <w:rtl/>
          <w:lang w:eastAsia="zh-TW"/>
        </w:rPr>
        <w:tab/>
      </w:r>
      <w:r w:rsidRPr="00E32E3B">
        <w:rPr>
          <w:rtl/>
          <w:lang w:eastAsia="zh-TW"/>
        </w:rPr>
        <w:t xml:space="preserve">وسيتناول مشروع الاستراتيجية الوطنية الجديد لأغراض مكافحة الاتجار بالبشر والهجرة غير القانونية، </w:t>
      </w:r>
      <w:r w:rsidRPr="00E32E3B">
        <w:rPr>
          <w:rtl/>
          <w:lang w:val="ru-RU" w:eastAsia="zh-TW" w:bidi="ar-DZ"/>
        </w:rPr>
        <w:t>بالاقتران مع</w:t>
      </w:r>
      <w:r w:rsidR="00683334">
        <w:rPr>
          <w:rtl/>
          <w:lang w:eastAsia="zh-TW"/>
        </w:rPr>
        <w:t xml:space="preserve"> خطة عمل للفترة ٢٠١٧</w:t>
      </w:r>
      <w:r w:rsidR="00BD0320">
        <w:rPr>
          <w:rFonts w:hint="cs"/>
          <w:rtl/>
          <w:lang w:eastAsia="zh-TW"/>
        </w:rPr>
        <w:t>-</w:t>
      </w:r>
      <w:r w:rsidRPr="00E32E3B">
        <w:rPr>
          <w:rtl/>
          <w:lang w:eastAsia="zh-TW"/>
        </w:rPr>
        <w:t>2020 توصيات قدمها الاتحاد الأوروبي ومنظمات دولية، وسيركز تركيزاً خاص</w:t>
      </w:r>
      <w:r w:rsidR="00683334">
        <w:rPr>
          <w:rtl/>
          <w:lang w:eastAsia="zh-TW"/>
        </w:rPr>
        <w:t xml:space="preserve">اً </w:t>
      </w:r>
      <w:r w:rsidRPr="00E32E3B">
        <w:rPr>
          <w:rtl/>
          <w:lang w:eastAsia="zh-TW"/>
        </w:rPr>
        <w:t xml:space="preserve">على زيادة الجهود الرامية إلى توفير حماية كافية للضحايا. </w:t>
      </w:r>
    </w:p>
    <w:p w:rsidR="00E32E3B" w:rsidRPr="00E32E3B" w:rsidRDefault="00BD0320" w:rsidP="00BD0320">
      <w:pPr>
        <w:pStyle w:val="H23GA"/>
        <w:rPr>
          <w:rtl/>
        </w:rPr>
      </w:pPr>
      <w:r>
        <w:rPr>
          <w:rtl/>
        </w:rPr>
        <w:tab/>
      </w:r>
      <w:r>
        <w:rPr>
          <w:rtl/>
        </w:rPr>
        <w:tab/>
      </w:r>
      <w:r w:rsidR="00E32E3B" w:rsidRPr="00E32E3B">
        <w:rPr>
          <w:rtl/>
        </w:rPr>
        <w:t>تقييم اللجنة</w:t>
      </w:r>
    </w:p>
    <w:p w:rsidR="00E32E3B" w:rsidRPr="00E32E3B" w:rsidRDefault="00E32E3B" w:rsidP="00683334">
      <w:pPr>
        <w:pStyle w:val="SingleTxtGA"/>
        <w:rPr>
          <w:spacing w:val="-2"/>
          <w:rtl/>
          <w:lang w:eastAsia="zh-TW"/>
        </w:rPr>
      </w:pPr>
      <w:r w:rsidRPr="00E32E3B">
        <w:rPr>
          <w:b/>
          <w:bCs/>
          <w:spacing w:val="-2"/>
          <w:rtl/>
          <w:lang w:eastAsia="zh-TW"/>
        </w:rPr>
        <w:t>[باء]:</w:t>
      </w:r>
      <w:r w:rsidRPr="00E32E3B">
        <w:rPr>
          <w:spacing w:val="-2"/>
          <w:rtl/>
          <w:lang w:eastAsia="zh-TW"/>
        </w:rPr>
        <w:t xml:space="preserve"> تعرب اللجنة عن تقديرها للمعلومات المقدمة، بما في ذلك الإحصاءات المتعلقة بالمقاضاة على الجرائم المتصلة بالاتجار بالبشر والتدريب المتخصص المقدم إلى الشرطة، بما في ذلك شرطة الحدود. بيد أنها تتطلب معلومات مستكملة عما يلي: (أ) وضع مشروع الاستراتيجية الوطنية</w:t>
      </w:r>
      <w:r w:rsidR="00683334">
        <w:rPr>
          <w:rFonts w:hint="cs"/>
          <w:spacing w:val="-2"/>
          <w:rtl/>
          <w:lang w:eastAsia="zh-TW"/>
        </w:rPr>
        <w:t xml:space="preserve"> </w:t>
      </w:r>
      <w:r w:rsidRPr="00E32E3B">
        <w:rPr>
          <w:spacing w:val="-2"/>
          <w:rtl/>
          <w:lang w:eastAsia="zh-TW"/>
        </w:rPr>
        <w:t>لمكافحة الاتجار بالبشر والهجرة غير القانونية، وتنفيذه عملي</w:t>
      </w:r>
      <w:r w:rsidR="00683334">
        <w:rPr>
          <w:spacing w:val="-2"/>
          <w:rtl/>
          <w:lang w:eastAsia="zh-TW"/>
        </w:rPr>
        <w:t xml:space="preserve">اً </w:t>
      </w:r>
      <w:r w:rsidRPr="00E32E3B">
        <w:rPr>
          <w:spacing w:val="-2"/>
          <w:rtl/>
          <w:lang w:eastAsia="zh-TW"/>
        </w:rPr>
        <w:t xml:space="preserve">وأي نتائج مؤقتة تحققت حتى الآن؛ (ب) التقدم المحرز في تحديد هوية ضحايا الاتجار وتقديم الجناة إلى العدالة. </w:t>
      </w:r>
    </w:p>
    <w:p w:rsidR="00E32E3B" w:rsidRPr="00E32E3B" w:rsidRDefault="00E32E3B" w:rsidP="00E32E3B">
      <w:pPr>
        <w:pStyle w:val="SingleTxtGA"/>
        <w:rPr>
          <w:rtl/>
          <w:lang w:eastAsia="zh-TW"/>
        </w:rPr>
      </w:pPr>
      <w:r w:rsidRPr="00E32E3B">
        <w:rPr>
          <w:b/>
          <w:bCs/>
          <w:rtl/>
          <w:lang w:eastAsia="zh-TW"/>
        </w:rPr>
        <w:t>[جيم]:</w:t>
      </w:r>
      <w:r w:rsidRPr="00E32E3B">
        <w:rPr>
          <w:rtl/>
          <w:lang w:eastAsia="zh-TW"/>
        </w:rPr>
        <w:t xml:space="preserve"> تأسف اللجنة لعدم تقديم معلومات تبين مدى كفاية ما</w:t>
      </w:r>
      <w:r w:rsidR="00683334">
        <w:rPr>
          <w:rFonts w:hint="cs"/>
          <w:rtl/>
          <w:lang w:eastAsia="zh-TW"/>
        </w:rPr>
        <w:t xml:space="preserve"> </w:t>
      </w:r>
      <w:r w:rsidRPr="00E32E3B">
        <w:rPr>
          <w:rtl/>
          <w:lang w:eastAsia="zh-TW"/>
        </w:rPr>
        <w:t xml:space="preserve">يكفل لضحايا الاتجار من حماية وجبر، بما في ذلك التعويض وإعادة التأهيل، وتطلب معلومات محددة في هذا الصدد. وتكرر اللجنة تأكيد توصيتها. </w:t>
      </w:r>
    </w:p>
    <w:p w:rsidR="00E32E3B" w:rsidRPr="00E32E3B" w:rsidRDefault="00BD0320" w:rsidP="00BD0320">
      <w:pPr>
        <w:pStyle w:val="H23GA"/>
        <w:rPr>
          <w:rtl/>
        </w:rPr>
      </w:pPr>
      <w:r>
        <w:rPr>
          <w:rtl/>
        </w:rPr>
        <w:tab/>
      </w:r>
      <w:r>
        <w:rPr>
          <w:rtl/>
        </w:rPr>
        <w:tab/>
      </w:r>
      <w:r w:rsidR="00E32E3B" w:rsidRPr="00E32E3B">
        <w:rPr>
          <w:rtl/>
        </w:rPr>
        <w:t>الفقرة ١٦: حرية التنقل</w:t>
      </w:r>
    </w:p>
    <w:p w:rsidR="00E32E3B" w:rsidRPr="00E32E3B" w:rsidRDefault="00E32E3B" w:rsidP="00E32E3B">
      <w:pPr>
        <w:pStyle w:val="SingleTxtGA"/>
        <w:rPr>
          <w:b/>
          <w:bCs/>
          <w:rtl/>
          <w:lang w:eastAsia="zh-TW"/>
        </w:rPr>
      </w:pPr>
      <w:r>
        <w:rPr>
          <w:rtl/>
          <w:lang w:eastAsia="zh-TW"/>
        </w:rPr>
        <w:tab/>
      </w:r>
      <w:r w:rsidRPr="00E32E3B">
        <w:rPr>
          <w:b/>
          <w:bCs/>
          <w:rtl/>
          <w:lang w:eastAsia="zh-TW"/>
        </w:rPr>
        <w:t>ينبغي للدولة الطرف أن تتخذ التدابير اللازمة للتأكد من أن الحق في حرية التنقل يُحترم فيها احتراماً كلياً عملاً بالمادة 12 من العهد.</w:t>
      </w:r>
      <w:r w:rsidRPr="00E32E3B">
        <w:rPr>
          <w:rFonts w:cs="Times New Roman" w:hint="cs"/>
          <w:b/>
          <w:bCs/>
          <w:rtl/>
          <w:lang w:eastAsia="zh-TW"/>
        </w:rPr>
        <w:t>‬</w:t>
      </w:r>
      <w:r w:rsidRPr="00E32E3B">
        <w:rPr>
          <w:b/>
          <w:bCs/>
          <w:rtl/>
          <w:lang w:eastAsia="zh-TW"/>
        </w:rPr>
        <w:t xml:space="preserve"> </w:t>
      </w:r>
    </w:p>
    <w:p w:rsidR="00E32E3B" w:rsidRPr="00E32E3B" w:rsidRDefault="00BD0320" w:rsidP="00BD0320">
      <w:pPr>
        <w:pStyle w:val="H23GA"/>
        <w:rPr>
          <w:rtl/>
        </w:rPr>
      </w:pPr>
      <w:r>
        <w:rPr>
          <w:rtl/>
        </w:rPr>
        <w:tab/>
      </w:r>
      <w:r>
        <w:rPr>
          <w:rtl/>
        </w:rPr>
        <w:tab/>
      </w:r>
      <w:r w:rsidR="00E32E3B" w:rsidRPr="00E32E3B">
        <w:rPr>
          <w:rtl/>
        </w:rPr>
        <w:t xml:space="preserve">ملخص ردّ الدولة الطرف </w:t>
      </w:r>
    </w:p>
    <w:p w:rsidR="00E32E3B" w:rsidRPr="00E32E3B" w:rsidRDefault="00E32E3B" w:rsidP="00E32E3B">
      <w:pPr>
        <w:pStyle w:val="SingleTxtGA"/>
        <w:rPr>
          <w:rtl/>
          <w:lang w:eastAsia="zh-TW"/>
        </w:rPr>
      </w:pPr>
      <w:r>
        <w:rPr>
          <w:rtl/>
          <w:lang w:eastAsia="zh-TW"/>
        </w:rPr>
        <w:tab/>
      </w:r>
      <w:r w:rsidRPr="00E32E3B">
        <w:rPr>
          <w:rtl/>
          <w:lang w:eastAsia="zh-TW"/>
        </w:rPr>
        <w:t>ينطبق القانون المتعلق بمراقبة الحدود على جميع الأشخاص الذين يع</w:t>
      </w:r>
      <w:r>
        <w:rPr>
          <w:rtl/>
          <w:lang w:eastAsia="zh-TW"/>
        </w:rPr>
        <w:t>برون حدود الدولة. وتنص المادة ٨</w:t>
      </w:r>
      <w:r w:rsidRPr="00E32E3B">
        <w:rPr>
          <w:rtl/>
          <w:lang w:eastAsia="zh-TW"/>
        </w:rPr>
        <w:t>(٣) من القانون على حظر التمييز على أساس جملة اعتبارات، منها الأصل العرقي أو الإثني، أو لون البشرة، أو الخلفية الاجتماعية أو الحالة الاقتصادية والاجتماعية.</w:t>
      </w:r>
    </w:p>
    <w:p w:rsidR="00E32E3B" w:rsidRDefault="00E32E3B" w:rsidP="00683334">
      <w:pPr>
        <w:pStyle w:val="SingleTxtGA"/>
        <w:spacing w:after="360"/>
        <w:rPr>
          <w:rtl/>
          <w:lang w:eastAsia="zh-TW"/>
        </w:rPr>
      </w:pPr>
      <w:r>
        <w:rPr>
          <w:rtl/>
          <w:lang w:eastAsia="zh-TW"/>
        </w:rPr>
        <w:tab/>
      </w:r>
      <w:r w:rsidRPr="00E32E3B">
        <w:rPr>
          <w:rtl/>
          <w:lang w:eastAsia="zh-TW"/>
        </w:rPr>
        <w:t>ويكفل الدستور الحق في المساواة وفي حرية التنقل. وعلى الأشخاص الذين يعتزمون مغادرة البلد احترام شروط الدخول وحرية التنقل داخل أراضي الدول الأعضاء في الاتحاد الأوروبي</w:t>
      </w:r>
      <w:r>
        <w:rPr>
          <w:rtl/>
          <w:lang w:eastAsia="zh-TW"/>
        </w:rPr>
        <w:t>، على النحو المعرف في المادة ١٧</w:t>
      </w:r>
      <w:r w:rsidRPr="00E32E3B">
        <w:rPr>
          <w:rtl/>
          <w:lang w:eastAsia="zh-TW"/>
        </w:rPr>
        <w:t xml:space="preserve">(١) من المعاهدة، </w:t>
      </w:r>
      <w:r w:rsidRPr="00E32E3B">
        <w:rPr>
          <w:rtl/>
          <w:lang w:val="ru-RU" w:bidi="ar-DZ"/>
        </w:rPr>
        <w:t>و</w:t>
      </w:r>
      <w:r w:rsidRPr="00E32E3B">
        <w:rPr>
          <w:rtl/>
        </w:rPr>
        <w:t>قانون الحدود للبلدان المشمولة باتفاق شنغن</w:t>
      </w:r>
      <w:r w:rsidR="0043010E">
        <w:rPr>
          <w:rtl/>
          <w:lang w:eastAsia="zh-TW"/>
        </w:rPr>
        <w:t>،</w:t>
      </w:r>
      <w:r w:rsidRPr="00E32E3B">
        <w:rPr>
          <w:rtl/>
          <w:lang w:eastAsia="zh-TW"/>
        </w:rPr>
        <w:t xml:space="preserve"> وتوجيه البرلمان الأوروبي والمجلس</w:t>
      </w:r>
      <w:r>
        <w:rPr>
          <w:rFonts w:hint="cs"/>
          <w:rtl/>
          <w:lang w:eastAsia="zh-TW"/>
        </w:rPr>
        <w:t xml:space="preserve"> </w:t>
      </w:r>
      <w:r w:rsidRPr="00E32E3B">
        <w:rPr>
          <w:lang w:eastAsia="zh-TW"/>
        </w:rPr>
        <w:t>2004/38/EC</w:t>
      </w:r>
      <w:r>
        <w:rPr>
          <w:rtl/>
          <w:lang w:eastAsia="zh-TW"/>
        </w:rPr>
        <w:t xml:space="preserve"> </w:t>
      </w:r>
      <w:r w:rsidRPr="00E32E3B">
        <w:rPr>
          <w:rtl/>
          <w:lang w:eastAsia="zh-TW"/>
        </w:rPr>
        <w:t xml:space="preserve">المؤرخ ٢٩ نيسان/أبريل ٢٠٠٤. ولا تقتضي المادة ٥ من </w:t>
      </w:r>
      <w:r w:rsidRPr="00E32E3B">
        <w:rPr>
          <w:rtl/>
        </w:rPr>
        <w:t>قانون الحدود للبلدان المشمولة باتفاق شنغن</w:t>
      </w:r>
      <w:r w:rsidRPr="00E32E3B">
        <w:rPr>
          <w:rtl/>
          <w:lang w:eastAsia="zh-TW"/>
        </w:rPr>
        <w:t xml:space="preserve"> حمل جوازات سفر بيومترية صالحة فحسب، بل أيضاً استيفاء شروط أخرى وتقديم وثائق إضافية تبرر الغرض من السفر والإقامة في الدول الأعضاء في الاتحاد الأوروبي.</w:t>
      </w:r>
    </w:p>
    <w:tbl>
      <w:tblPr>
        <w:bidiVisual/>
        <w:tblW w:w="7249" w:type="dxa"/>
        <w:tblInd w:w="1255" w:type="dxa"/>
        <w:tblBorders>
          <w:top w:val="single" w:sz="4" w:space="0" w:color="auto"/>
          <w:bottom w:val="single" w:sz="12" w:space="0" w:color="auto"/>
        </w:tblBorders>
        <w:tblLayout w:type="fixed"/>
        <w:tblLook w:val="00A0" w:firstRow="1" w:lastRow="0" w:firstColumn="1" w:lastColumn="0" w:noHBand="0" w:noVBand="0"/>
      </w:tblPr>
      <w:tblGrid>
        <w:gridCol w:w="7249"/>
      </w:tblGrid>
      <w:tr w:rsidR="00E32E3B" w:rsidRPr="00E32E3B" w:rsidTr="00FF281A">
        <w:trPr>
          <w:trHeight w:val="240"/>
          <w:tblHeader/>
        </w:trPr>
        <w:tc>
          <w:tcPr>
            <w:tcW w:w="7249" w:type="dxa"/>
            <w:tcBorders>
              <w:top w:val="single" w:sz="4" w:space="0" w:color="auto"/>
              <w:bottom w:val="single" w:sz="12" w:space="0" w:color="auto"/>
            </w:tcBorders>
            <w:shd w:val="clear" w:color="auto" w:fill="auto"/>
            <w:vAlign w:val="bottom"/>
          </w:tcPr>
          <w:p w:rsidR="00E32E3B" w:rsidRPr="00E32E3B" w:rsidRDefault="00E32E3B" w:rsidP="00BD0320">
            <w:pPr>
              <w:spacing w:after="120" w:line="320" w:lineRule="exact"/>
              <w:jc w:val="both"/>
              <w:textDirection w:val="tbRlV"/>
              <w:rPr>
                <w:i/>
                <w:iCs/>
                <w:rtl/>
                <w:lang w:eastAsia="zh-TW"/>
              </w:rPr>
            </w:pPr>
            <w:r w:rsidRPr="00E32E3B">
              <w:rPr>
                <w:i/>
                <w:iCs/>
                <w:rtl/>
                <w:lang w:eastAsia="zh-TW"/>
              </w:rPr>
              <w:lastRenderedPageBreak/>
              <w:t>جمهورية مقدونيا اليوغوسلافية سابقاً</w:t>
            </w:r>
          </w:p>
        </w:tc>
      </w:tr>
    </w:tbl>
    <w:p w:rsidR="00E32E3B" w:rsidRPr="00E32E3B" w:rsidRDefault="00E32E3B" w:rsidP="00BD0320">
      <w:pPr>
        <w:pStyle w:val="SingleTxtGA"/>
        <w:rPr>
          <w:rtl/>
          <w:lang w:eastAsia="zh-TW"/>
        </w:rPr>
      </w:pPr>
      <w:r>
        <w:rPr>
          <w:rtl/>
          <w:lang w:eastAsia="zh-TW"/>
        </w:rPr>
        <w:tab/>
      </w:r>
      <w:r w:rsidRPr="00E32E3B">
        <w:rPr>
          <w:rtl/>
          <w:lang w:eastAsia="zh-TW"/>
        </w:rPr>
        <w:t xml:space="preserve">ولا يوجد حظر على الخروج </w:t>
      </w:r>
      <w:r w:rsidRPr="00E32E3B">
        <w:rPr>
          <w:rtl/>
          <w:lang w:val="ru-RU" w:eastAsia="zh-TW" w:bidi="ar-DZ"/>
        </w:rPr>
        <w:t>في حد ذاته</w:t>
      </w:r>
      <w:r w:rsidRPr="00E32E3B">
        <w:rPr>
          <w:rtl/>
          <w:lang w:eastAsia="zh-TW" w:bidi="ar-DZ"/>
        </w:rPr>
        <w:t>،</w:t>
      </w:r>
      <w:r w:rsidRPr="00E32E3B">
        <w:rPr>
          <w:rtl/>
          <w:lang w:eastAsia="zh-TW"/>
        </w:rPr>
        <w:t xml:space="preserve"> ومع ذلك، يبلغ الرعايا الذين لا يحملون الوثائق اللازمة المشمولة بموجب اتفاق إلغاء التأشيرات وفقاً لذلك ويبلغون بأن بإمكانهم مغادرة البلد حالماً تكون بحوزتهم جميع الوثائق اللازمة. وتتصرف وزارة الداخلية بناء على الشكاوى المتعلقة بسوء سلوك الشرطة وتحقق في تلك الشكاوى دون تمييز، وتقدم الردود إلى مقدمي الشكوى في الوقت المناسب. </w:t>
      </w:r>
    </w:p>
    <w:p w:rsidR="00E32E3B" w:rsidRPr="00E32E3B" w:rsidRDefault="00E32E3B" w:rsidP="00BD0320">
      <w:pPr>
        <w:pStyle w:val="SingleTxtGA"/>
        <w:rPr>
          <w:rtl/>
          <w:lang w:eastAsia="zh-TW"/>
        </w:rPr>
      </w:pPr>
      <w:r>
        <w:rPr>
          <w:rtl/>
          <w:lang w:eastAsia="zh-TW"/>
        </w:rPr>
        <w:tab/>
      </w:r>
      <w:r w:rsidRPr="00E32E3B">
        <w:rPr>
          <w:rtl/>
          <w:lang w:eastAsia="zh-TW"/>
        </w:rPr>
        <w:t xml:space="preserve">وأجرت وزارة الداخلية أنشطة وقائية تهدف إلى أن توضح للجمهور عواقب تقديم طلبات لجوء </w:t>
      </w:r>
      <w:r w:rsidRPr="00E32E3B">
        <w:rPr>
          <w:rtl/>
          <w:lang w:val="ru-RU" w:eastAsia="zh-TW" w:bidi="ar-DZ"/>
        </w:rPr>
        <w:t>بلا أساس</w:t>
      </w:r>
      <w:r w:rsidRPr="00E32E3B">
        <w:rPr>
          <w:rtl/>
          <w:lang w:eastAsia="zh-TW"/>
        </w:rPr>
        <w:t xml:space="preserve"> في البلدان الغربية. وهي تسعى أيضاً إلى التوعية باحترام حقوق الإنسان بين أفراد الشرطة.</w:t>
      </w:r>
    </w:p>
    <w:p w:rsidR="00E32E3B" w:rsidRPr="00E32E3B" w:rsidRDefault="00BD0320" w:rsidP="00BD0320">
      <w:pPr>
        <w:pStyle w:val="H23GA"/>
        <w:rPr>
          <w:rtl/>
        </w:rPr>
      </w:pPr>
      <w:r>
        <w:rPr>
          <w:rtl/>
        </w:rPr>
        <w:tab/>
      </w:r>
      <w:r>
        <w:rPr>
          <w:rtl/>
        </w:rPr>
        <w:tab/>
      </w:r>
      <w:r w:rsidR="00E32E3B" w:rsidRPr="00E32E3B">
        <w:rPr>
          <w:rtl/>
        </w:rPr>
        <w:t>تقييم اللجنة</w:t>
      </w:r>
      <w:r w:rsidR="00E32E3B">
        <w:rPr>
          <w:rFonts w:cs="Times New Roman" w:hint="cs"/>
          <w:rtl/>
        </w:rPr>
        <w:t xml:space="preserve"> </w:t>
      </w:r>
    </w:p>
    <w:p w:rsidR="00E32E3B" w:rsidRPr="00E32E3B" w:rsidRDefault="00E32E3B" w:rsidP="00BD0320">
      <w:pPr>
        <w:pStyle w:val="SingleTxtGA"/>
        <w:rPr>
          <w:rtl/>
          <w:lang w:eastAsia="zh-TW"/>
        </w:rPr>
      </w:pPr>
      <w:r w:rsidRPr="00E32E3B">
        <w:rPr>
          <w:b/>
          <w:bCs/>
          <w:rtl/>
          <w:lang w:eastAsia="zh-TW"/>
        </w:rPr>
        <w:t>[باء]:</w:t>
      </w:r>
      <w:r w:rsidRPr="00E32E3B">
        <w:rPr>
          <w:rtl/>
          <w:lang w:eastAsia="zh-TW"/>
        </w:rPr>
        <w:t xml:space="preserve"> تحيط اللجنة علما</w:t>
      </w:r>
      <w:r>
        <w:rPr>
          <w:rFonts w:hint="cs"/>
          <w:rtl/>
          <w:lang w:eastAsia="zh-TW"/>
        </w:rPr>
        <w:t>ً</w:t>
      </w:r>
      <w:r w:rsidRPr="00E32E3B">
        <w:rPr>
          <w:rtl/>
          <w:lang w:eastAsia="zh-TW"/>
        </w:rPr>
        <w:t xml:space="preserve"> بالمعلومات المقدمة، غير أنها تأسف لأنها لا تتناول بالكامل شواغل اللجنة. وتطلب اللجنة معلومات محددة بشأن ما</w:t>
      </w:r>
      <w:r>
        <w:rPr>
          <w:rFonts w:hint="cs"/>
          <w:rtl/>
          <w:lang w:eastAsia="zh-TW"/>
        </w:rPr>
        <w:t xml:space="preserve"> </w:t>
      </w:r>
      <w:r w:rsidRPr="00E32E3B">
        <w:rPr>
          <w:rtl/>
          <w:lang w:eastAsia="zh-TW"/>
        </w:rPr>
        <w:t xml:space="preserve">يلي: (أ) ما إذا كانت سياسات وممارسات إدارة الحدود التي ترمي إلى منع </w:t>
      </w:r>
      <w:r w:rsidRPr="00E32E3B">
        <w:rPr>
          <w:rtl/>
          <w:lang w:val="ru-RU" w:eastAsia="zh-TW" w:bidi="ar-DZ"/>
        </w:rPr>
        <w:t>ملتمسي اللجوء "المحتملين"</w:t>
      </w:r>
      <w:r w:rsidRPr="00E32E3B">
        <w:rPr>
          <w:rtl/>
          <w:lang w:eastAsia="zh-TW"/>
        </w:rPr>
        <w:t xml:space="preserve"> من مغادرة البلد لا تزال سارية المفعول، ومدى تو</w:t>
      </w:r>
      <w:r>
        <w:rPr>
          <w:rtl/>
          <w:lang w:eastAsia="zh-TW"/>
        </w:rPr>
        <w:t>افقها مع أحكام المواد 2 و12 و26</w:t>
      </w:r>
      <w:r w:rsidRPr="00E32E3B">
        <w:rPr>
          <w:rtl/>
          <w:lang w:eastAsia="zh-TW"/>
        </w:rPr>
        <w:t>؛ (ب) رد الدولة الطرف على ادعاءات الاستهداف التمييزي والتنميط العرقي لشعب الروما الذي يحد من حرية تنقلهم دون مبرر.</w:t>
      </w:r>
    </w:p>
    <w:p w:rsidR="00E32E3B" w:rsidRPr="00E32E3B" w:rsidRDefault="00BD0320" w:rsidP="00BD0320">
      <w:pPr>
        <w:pStyle w:val="H23GA"/>
        <w:rPr>
          <w:rtl/>
        </w:rPr>
      </w:pPr>
      <w:r>
        <w:rPr>
          <w:rtl/>
        </w:rPr>
        <w:tab/>
      </w:r>
      <w:r>
        <w:rPr>
          <w:rtl/>
        </w:rPr>
        <w:tab/>
      </w:r>
      <w:r w:rsidR="00E32E3B" w:rsidRPr="00E32E3B">
        <w:rPr>
          <w:rtl/>
        </w:rPr>
        <w:t xml:space="preserve">الفقرة 23: </w:t>
      </w:r>
      <w:dir w:val="rtl">
        <w:r w:rsidR="00E32E3B" w:rsidRPr="00E32E3B">
          <w:rPr>
            <w:rtl/>
          </w:rPr>
          <w:t>المراقبة الواسعة للاتصالات</w:t>
        </w:r>
        <w:r w:rsidR="00E32E3B" w:rsidRPr="00E32E3B">
          <w:rPr>
            <w:rFonts w:cs="Times New Roman" w:hint="cs"/>
            <w:rtl/>
          </w:rPr>
          <w:t>‬</w:t>
        </w:r>
        <w:r w:rsidR="00E32E3B" w:rsidRPr="00E32E3B">
          <w:t>‬</w:t>
        </w:r>
        <w:r w:rsidR="00E32E3B" w:rsidRPr="00E32E3B">
          <w:t>‬</w:t>
        </w:r>
        <w:r w:rsidR="00E32E3B" w:rsidRPr="00E32E3B">
          <w:t>‬</w:t>
        </w:r>
        <w:r w:rsidR="00E32E3B" w:rsidRPr="00E32E3B">
          <w:t>‬</w:t>
        </w:r>
        <w:r w:rsidR="00E32E3B" w:rsidRPr="00E32E3B">
          <w:t>‬</w:t>
        </w:r>
        <w:r w:rsidR="00E32E3B" w:rsidRPr="00E32E3B">
          <w:t>‬</w:t>
        </w:r>
        <w:r w:rsidR="00DC1DEF">
          <w:t>‬</w:t>
        </w:r>
        <w:r>
          <w:t>‬</w:t>
        </w:r>
        <w:r w:rsidR="00E50C3B">
          <w:t>‬</w:t>
        </w:r>
        <w:r w:rsidR="00D8591B">
          <w:t>‬</w:t>
        </w:r>
      </w:dir>
    </w:p>
    <w:p w:rsidR="00E32E3B" w:rsidRPr="00BD0320" w:rsidRDefault="00E32E3B" w:rsidP="00BD0320">
      <w:pPr>
        <w:pStyle w:val="SingleTxtGA"/>
        <w:rPr>
          <w:b/>
          <w:bCs/>
          <w:rtl/>
          <w:lang w:eastAsia="zh-TW"/>
        </w:rPr>
      </w:pPr>
      <w:r w:rsidRPr="00E32E3B">
        <w:rPr>
          <w:rtl/>
        </w:rPr>
        <w:tab/>
      </w:r>
      <w:dir w:val="rtl">
        <w:r w:rsidRPr="00BD0320">
          <w:rPr>
            <w:rFonts w:hint="cs"/>
            <w:b/>
            <w:bCs/>
            <w:rtl/>
            <w:lang w:eastAsia="zh-TW"/>
          </w:rPr>
          <w:t>ينبغي</w:t>
        </w:r>
        <w:r w:rsidRPr="00BD0320">
          <w:rPr>
            <w:b/>
            <w:bCs/>
            <w:rtl/>
            <w:lang w:eastAsia="zh-TW"/>
          </w:rPr>
          <w:t xml:space="preserve"> </w:t>
        </w:r>
        <w:r w:rsidRPr="00BD0320">
          <w:rPr>
            <w:rFonts w:hint="cs"/>
            <w:b/>
            <w:bCs/>
            <w:rtl/>
            <w:lang w:eastAsia="zh-TW"/>
          </w:rPr>
          <w:t>للدولة</w:t>
        </w:r>
        <w:r w:rsidRPr="00BD0320">
          <w:rPr>
            <w:b/>
            <w:bCs/>
            <w:rtl/>
            <w:lang w:eastAsia="zh-TW"/>
          </w:rPr>
          <w:t xml:space="preserve"> </w:t>
        </w:r>
        <w:r w:rsidRPr="00BD0320">
          <w:rPr>
            <w:rFonts w:hint="cs"/>
            <w:b/>
            <w:bCs/>
            <w:rtl/>
            <w:lang w:eastAsia="zh-TW"/>
          </w:rPr>
          <w:t>الطرف</w:t>
        </w:r>
        <w:r w:rsidRPr="00BD0320">
          <w:rPr>
            <w:b/>
            <w:bCs/>
            <w:rtl/>
            <w:lang w:eastAsia="zh-TW"/>
          </w:rPr>
          <w:t xml:space="preserve"> </w:t>
        </w:r>
        <w:r w:rsidRPr="00BD0320">
          <w:rPr>
            <w:rFonts w:hint="cs"/>
            <w:b/>
            <w:bCs/>
            <w:rtl/>
            <w:lang w:eastAsia="zh-TW"/>
          </w:rPr>
          <w:t>أن</w:t>
        </w:r>
        <w:r w:rsidRPr="00BD0320">
          <w:rPr>
            <w:b/>
            <w:bCs/>
            <w:rtl/>
            <w:lang w:eastAsia="zh-TW"/>
          </w:rPr>
          <w:t xml:space="preserve"> </w:t>
        </w:r>
        <w:r w:rsidRPr="00BD0320">
          <w:rPr>
            <w:rFonts w:hint="cs"/>
            <w:b/>
            <w:bCs/>
            <w:rtl/>
            <w:lang w:eastAsia="zh-TW"/>
          </w:rPr>
          <w:t>تتخذ</w:t>
        </w:r>
        <w:r w:rsidRPr="00BD0320">
          <w:rPr>
            <w:b/>
            <w:bCs/>
            <w:rtl/>
            <w:lang w:eastAsia="zh-TW"/>
          </w:rPr>
          <w:t xml:space="preserve"> </w:t>
        </w:r>
        <w:r w:rsidRPr="00BD0320">
          <w:rPr>
            <w:rFonts w:hint="cs"/>
            <w:b/>
            <w:bCs/>
            <w:rtl/>
            <w:lang w:eastAsia="zh-TW"/>
          </w:rPr>
          <w:t>كل</w:t>
        </w:r>
        <w:r w:rsidRPr="00BD0320">
          <w:rPr>
            <w:b/>
            <w:bCs/>
            <w:rtl/>
            <w:lang w:eastAsia="zh-TW"/>
          </w:rPr>
          <w:t xml:space="preserve"> </w:t>
        </w:r>
        <w:r w:rsidRPr="00BD0320">
          <w:rPr>
            <w:rFonts w:hint="cs"/>
            <w:b/>
            <w:bCs/>
            <w:rtl/>
            <w:lang w:eastAsia="zh-TW"/>
          </w:rPr>
          <w:t>ما</w:t>
        </w:r>
        <w:r w:rsidRPr="00BD0320">
          <w:rPr>
            <w:b/>
            <w:bCs/>
            <w:rtl/>
            <w:lang w:eastAsia="zh-TW"/>
          </w:rPr>
          <w:t xml:space="preserve"> </w:t>
        </w:r>
        <w:r w:rsidRPr="00BD0320">
          <w:rPr>
            <w:rFonts w:hint="cs"/>
            <w:b/>
            <w:bCs/>
            <w:rtl/>
            <w:lang w:eastAsia="zh-TW"/>
          </w:rPr>
          <w:t>يلزم</w:t>
        </w:r>
        <w:r w:rsidRPr="00BD0320">
          <w:rPr>
            <w:b/>
            <w:bCs/>
            <w:rtl/>
            <w:lang w:eastAsia="zh-TW"/>
          </w:rPr>
          <w:t xml:space="preserve"> </w:t>
        </w:r>
        <w:r w:rsidRPr="00BD0320">
          <w:rPr>
            <w:rFonts w:hint="cs"/>
            <w:b/>
            <w:bCs/>
            <w:rtl/>
            <w:lang w:eastAsia="zh-TW"/>
          </w:rPr>
          <w:t>من</w:t>
        </w:r>
        <w:r w:rsidRPr="00BD0320">
          <w:rPr>
            <w:b/>
            <w:bCs/>
            <w:rtl/>
            <w:lang w:eastAsia="zh-TW"/>
          </w:rPr>
          <w:t xml:space="preserve"> </w:t>
        </w:r>
        <w:r w:rsidRPr="00BD0320">
          <w:rPr>
            <w:rFonts w:hint="cs"/>
            <w:b/>
            <w:bCs/>
            <w:rtl/>
            <w:lang w:eastAsia="zh-TW"/>
          </w:rPr>
          <w:t>تدابير</w:t>
        </w:r>
        <w:r w:rsidRPr="00BD0320">
          <w:rPr>
            <w:b/>
            <w:bCs/>
            <w:rtl/>
            <w:lang w:eastAsia="zh-TW"/>
          </w:rPr>
          <w:t xml:space="preserve"> </w:t>
        </w:r>
        <w:r w:rsidRPr="00BD0320">
          <w:rPr>
            <w:rFonts w:hint="cs"/>
            <w:b/>
            <w:bCs/>
            <w:rtl/>
            <w:lang w:eastAsia="zh-TW"/>
          </w:rPr>
          <w:t>تكفل</w:t>
        </w:r>
        <w:r w:rsidRPr="00BD0320">
          <w:rPr>
            <w:b/>
            <w:bCs/>
            <w:rtl/>
            <w:lang w:eastAsia="zh-TW"/>
          </w:rPr>
          <w:t xml:space="preserve"> </w:t>
        </w:r>
        <w:r w:rsidRPr="00BD0320">
          <w:rPr>
            <w:rFonts w:hint="cs"/>
            <w:b/>
            <w:bCs/>
            <w:rtl/>
            <w:lang w:eastAsia="zh-TW"/>
          </w:rPr>
          <w:t>تَوافُق</w:t>
        </w:r>
        <w:r w:rsidRPr="00BD0320">
          <w:rPr>
            <w:b/>
            <w:bCs/>
            <w:rtl/>
            <w:lang w:eastAsia="zh-TW"/>
          </w:rPr>
          <w:t xml:space="preserve"> </w:t>
        </w:r>
        <w:r w:rsidRPr="00BD0320">
          <w:rPr>
            <w:rFonts w:hint="cs"/>
            <w:b/>
            <w:bCs/>
            <w:rtl/>
            <w:lang w:eastAsia="zh-TW"/>
          </w:rPr>
          <w:t>أنشطة</w:t>
        </w:r>
        <w:r w:rsidRPr="00BD0320">
          <w:rPr>
            <w:b/>
            <w:bCs/>
            <w:rtl/>
            <w:lang w:eastAsia="zh-TW"/>
          </w:rPr>
          <w:t xml:space="preserve"> </w:t>
        </w:r>
        <w:r w:rsidRPr="00BD0320">
          <w:rPr>
            <w:rFonts w:hint="cs"/>
            <w:b/>
            <w:bCs/>
            <w:rtl/>
            <w:lang w:eastAsia="zh-TW"/>
          </w:rPr>
          <w:t>المراقبة</w:t>
        </w:r>
        <w:r w:rsidRPr="00BD0320">
          <w:rPr>
            <w:b/>
            <w:bCs/>
            <w:rtl/>
            <w:lang w:eastAsia="zh-TW"/>
          </w:rPr>
          <w:t xml:space="preserve"> </w:t>
        </w:r>
        <w:r w:rsidRPr="00BD0320">
          <w:rPr>
            <w:rFonts w:hint="cs"/>
            <w:b/>
            <w:bCs/>
            <w:rtl/>
            <w:lang w:eastAsia="zh-TW"/>
          </w:rPr>
          <w:t>التي</w:t>
        </w:r>
        <w:r w:rsidRPr="00BD0320">
          <w:rPr>
            <w:b/>
            <w:bCs/>
            <w:rtl/>
            <w:lang w:eastAsia="zh-TW"/>
          </w:rPr>
          <w:t xml:space="preserve"> </w:t>
        </w:r>
        <w:r w:rsidRPr="00BD0320">
          <w:rPr>
            <w:rFonts w:hint="cs"/>
            <w:b/>
            <w:bCs/>
            <w:rtl/>
            <w:lang w:eastAsia="zh-TW"/>
          </w:rPr>
          <w:t>تضطلع</w:t>
        </w:r>
        <w:r w:rsidRPr="00BD0320">
          <w:rPr>
            <w:b/>
            <w:bCs/>
            <w:rtl/>
            <w:lang w:eastAsia="zh-TW"/>
          </w:rPr>
          <w:t xml:space="preserve"> </w:t>
        </w:r>
        <w:r w:rsidRPr="00BD0320">
          <w:rPr>
            <w:rFonts w:hint="cs"/>
            <w:b/>
            <w:bCs/>
            <w:rtl/>
            <w:lang w:eastAsia="zh-TW"/>
          </w:rPr>
          <w:t>بها</w:t>
        </w:r>
        <w:r w:rsidRPr="00BD0320">
          <w:rPr>
            <w:b/>
            <w:bCs/>
            <w:rtl/>
            <w:lang w:eastAsia="zh-TW"/>
          </w:rPr>
          <w:t xml:space="preserve"> </w:t>
        </w:r>
        <w:r w:rsidRPr="00BD0320">
          <w:rPr>
            <w:rFonts w:hint="cs"/>
            <w:b/>
            <w:bCs/>
            <w:rtl/>
            <w:lang w:eastAsia="zh-TW"/>
          </w:rPr>
          <w:t>مع</w:t>
        </w:r>
        <w:r w:rsidRPr="00BD0320">
          <w:rPr>
            <w:b/>
            <w:bCs/>
            <w:rtl/>
            <w:lang w:eastAsia="zh-TW"/>
          </w:rPr>
          <w:t xml:space="preserve"> </w:t>
        </w:r>
        <w:r w:rsidRPr="00BD0320">
          <w:rPr>
            <w:rFonts w:hint="cs"/>
            <w:b/>
            <w:bCs/>
            <w:rtl/>
            <w:lang w:eastAsia="zh-TW"/>
          </w:rPr>
          <w:t>التزاماتها</w:t>
        </w:r>
        <w:r w:rsidRPr="00BD0320">
          <w:rPr>
            <w:b/>
            <w:bCs/>
            <w:rtl/>
            <w:lang w:eastAsia="zh-TW"/>
          </w:rPr>
          <w:t xml:space="preserve"> </w:t>
        </w:r>
        <w:r w:rsidRPr="00BD0320">
          <w:rPr>
            <w:rFonts w:hint="cs"/>
            <w:b/>
            <w:bCs/>
            <w:rtl/>
            <w:lang w:eastAsia="zh-TW"/>
          </w:rPr>
          <w:t>بمقتضى</w:t>
        </w:r>
        <w:r w:rsidRPr="00BD0320">
          <w:rPr>
            <w:b/>
            <w:bCs/>
            <w:rtl/>
            <w:lang w:eastAsia="zh-TW"/>
          </w:rPr>
          <w:t xml:space="preserve"> </w:t>
        </w:r>
        <w:r w:rsidRPr="00BD0320">
          <w:rPr>
            <w:rFonts w:hint="cs"/>
            <w:b/>
            <w:bCs/>
            <w:rtl/>
            <w:lang w:eastAsia="zh-TW"/>
          </w:rPr>
          <w:t>العهد،</w:t>
        </w:r>
        <w:r w:rsidRPr="00BD0320">
          <w:rPr>
            <w:b/>
            <w:bCs/>
            <w:rtl/>
            <w:lang w:eastAsia="zh-TW"/>
          </w:rPr>
          <w:t xml:space="preserve"> </w:t>
        </w:r>
        <w:r w:rsidRPr="00BD0320">
          <w:rPr>
            <w:rFonts w:hint="cs"/>
            <w:b/>
            <w:bCs/>
            <w:rtl/>
            <w:lang w:eastAsia="zh-TW"/>
          </w:rPr>
          <w:t>بما</w:t>
        </w:r>
        <w:r w:rsidRPr="00BD0320">
          <w:rPr>
            <w:b/>
            <w:bCs/>
            <w:rtl/>
            <w:lang w:eastAsia="zh-TW"/>
          </w:rPr>
          <w:t xml:space="preserve"> </w:t>
        </w:r>
        <w:r w:rsidRPr="00BD0320">
          <w:rPr>
            <w:rFonts w:hint="cs"/>
            <w:b/>
            <w:bCs/>
            <w:rtl/>
            <w:lang w:eastAsia="zh-TW"/>
          </w:rPr>
          <w:t>في</w:t>
        </w:r>
        <w:r w:rsidRPr="00BD0320">
          <w:rPr>
            <w:b/>
            <w:bCs/>
            <w:rtl/>
            <w:lang w:eastAsia="zh-TW"/>
          </w:rPr>
          <w:t xml:space="preserve"> </w:t>
        </w:r>
        <w:r w:rsidRPr="00BD0320">
          <w:rPr>
            <w:rFonts w:hint="cs"/>
            <w:b/>
            <w:bCs/>
            <w:rtl/>
            <w:lang w:eastAsia="zh-TW"/>
          </w:rPr>
          <w:t>ذلك</w:t>
        </w:r>
        <w:r w:rsidRPr="00BD0320">
          <w:rPr>
            <w:b/>
            <w:bCs/>
            <w:rtl/>
            <w:lang w:eastAsia="zh-TW"/>
          </w:rPr>
          <w:t xml:space="preserve"> </w:t>
        </w:r>
        <w:r w:rsidRPr="00BD0320">
          <w:rPr>
            <w:rFonts w:hint="cs"/>
            <w:b/>
            <w:bCs/>
            <w:rtl/>
            <w:lang w:eastAsia="zh-TW"/>
          </w:rPr>
          <w:t>المادة</w:t>
        </w:r>
        <w:r w:rsidRPr="00BD0320">
          <w:rPr>
            <w:b/>
            <w:bCs/>
            <w:rtl/>
            <w:lang w:eastAsia="zh-TW"/>
          </w:rPr>
          <w:t xml:space="preserve"> 17.</w:t>
        </w:r>
        <w:r w:rsidRPr="00BD0320">
          <w:rPr>
            <w:rFonts w:cs="Times New Roman" w:hint="cs"/>
            <w:b/>
            <w:bCs/>
            <w:rtl/>
            <w:lang w:eastAsia="zh-TW"/>
          </w:rPr>
          <w:t>‬</w:t>
        </w:r>
        <w:r w:rsidRPr="00BD0320">
          <w:rPr>
            <w:b/>
            <w:bCs/>
            <w:rtl/>
            <w:lang w:eastAsia="zh-TW"/>
          </w:rPr>
          <w:t xml:space="preserve"> </w:t>
        </w:r>
        <w:dir w:val="rtl">
          <w:r w:rsidRPr="00BD0320">
            <w:rPr>
              <w:rFonts w:hint="cs"/>
              <w:b/>
              <w:bCs/>
              <w:rtl/>
              <w:lang w:eastAsia="zh-TW"/>
            </w:rPr>
            <w:t>وينبغي</w:t>
          </w:r>
          <w:r w:rsidRPr="00BD0320">
            <w:rPr>
              <w:b/>
              <w:bCs/>
              <w:rtl/>
              <w:lang w:eastAsia="zh-TW"/>
            </w:rPr>
            <w:t xml:space="preserve"> </w:t>
          </w:r>
          <w:r w:rsidRPr="00BD0320">
            <w:rPr>
              <w:rFonts w:hint="cs"/>
              <w:b/>
              <w:bCs/>
              <w:rtl/>
              <w:lang w:eastAsia="zh-TW"/>
            </w:rPr>
            <w:t>على</w:t>
          </w:r>
          <w:r w:rsidRPr="00BD0320">
            <w:rPr>
              <w:b/>
              <w:bCs/>
              <w:rtl/>
              <w:lang w:eastAsia="zh-TW"/>
            </w:rPr>
            <w:t xml:space="preserve"> </w:t>
          </w:r>
          <w:r w:rsidRPr="00BD0320">
            <w:rPr>
              <w:rFonts w:hint="cs"/>
              <w:b/>
              <w:bCs/>
              <w:rtl/>
              <w:lang w:eastAsia="zh-TW"/>
            </w:rPr>
            <w:t>وجه</w:t>
          </w:r>
          <w:r w:rsidRPr="00BD0320">
            <w:rPr>
              <w:b/>
              <w:bCs/>
              <w:rtl/>
              <w:lang w:eastAsia="zh-TW"/>
            </w:rPr>
            <w:t xml:space="preserve"> </w:t>
          </w:r>
          <w:r w:rsidRPr="00BD0320">
            <w:rPr>
              <w:rFonts w:hint="cs"/>
              <w:b/>
              <w:bCs/>
              <w:rtl/>
              <w:lang w:eastAsia="zh-TW"/>
            </w:rPr>
            <w:t>الخصوص</w:t>
          </w:r>
          <w:r w:rsidRPr="00BD0320">
            <w:rPr>
              <w:b/>
              <w:bCs/>
              <w:rtl/>
              <w:lang w:eastAsia="zh-TW"/>
            </w:rPr>
            <w:t xml:space="preserve"> </w:t>
          </w:r>
          <w:r w:rsidRPr="00BD0320">
            <w:rPr>
              <w:rFonts w:hint="cs"/>
              <w:b/>
              <w:bCs/>
              <w:rtl/>
              <w:lang w:eastAsia="zh-TW"/>
            </w:rPr>
            <w:t>أن</w:t>
          </w:r>
          <w:r w:rsidRPr="00BD0320">
            <w:rPr>
              <w:b/>
              <w:bCs/>
              <w:rtl/>
              <w:lang w:eastAsia="zh-TW"/>
            </w:rPr>
            <w:t xml:space="preserve"> </w:t>
          </w:r>
          <w:r w:rsidRPr="00BD0320">
            <w:rPr>
              <w:rFonts w:hint="cs"/>
              <w:b/>
              <w:bCs/>
              <w:rtl/>
              <w:lang w:eastAsia="zh-TW"/>
            </w:rPr>
            <w:t>تتخذ</w:t>
          </w:r>
          <w:r w:rsidRPr="00BD0320">
            <w:rPr>
              <w:b/>
              <w:bCs/>
              <w:rtl/>
              <w:lang w:eastAsia="zh-TW"/>
            </w:rPr>
            <w:t xml:space="preserve"> </w:t>
          </w:r>
          <w:r w:rsidRPr="00BD0320">
            <w:rPr>
              <w:rFonts w:hint="cs"/>
              <w:b/>
              <w:bCs/>
              <w:rtl/>
              <w:lang w:eastAsia="zh-TW"/>
            </w:rPr>
            <w:t>تدابير</w:t>
          </w:r>
          <w:r w:rsidRPr="00BD0320">
            <w:rPr>
              <w:b/>
              <w:bCs/>
              <w:rtl/>
              <w:lang w:eastAsia="zh-TW"/>
            </w:rPr>
            <w:t xml:space="preserve"> </w:t>
          </w:r>
          <w:r w:rsidRPr="00BD0320">
            <w:rPr>
              <w:rFonts w:hint="cs"/>
              <w:b/>
              <w:bCs/>
              <w:rtl/>
              <w:lang w:eastAsia="zh-TW"/>
            </w:rPr>
            <w:t>تكفل</w:t>
          </w:r>
          <w:r w:rsidRPr="00BD0320">
            <w:rPr>
              <w:b/>
              <w:bCs/>
              <w:rtl/>
              <w:lang w:eastAsia="zh-TW"/>
            </w:rPr>
            <w:t xml:space="preserve"> </w:t>
          </w:r>
          <w:r w:rsidRPr="00BD0320">
            <w:rPr>
              <w:rFonts w:hint="cs"/>
              <w:b/>
              <w:bCs/>
              <w:rtl/>
              <w:lang w:eastAsia="zh-TW"/>
            </w:rPr>
            <w:t>تقيّد</w:t>
          </w:r>
          <w:r w:rsidRPr="00BD0320">
            <w:rPr>
              <w:b/>
              <w:bCs/>
              <w:rtl/>
              <w:lang w:eastAsia="zh-TW"/>
            </w:rPr>
            <w:t xml:space="preserve"> </w:t>
          </w:r>
          <w:r w:rsidRPr="00BD0320">
            <w:rPr>
              <w:rFonts w:hint="cs"/>
              <w:b/>
              <w:bCs/>
              <w:rtl/>
              <w:lang w:eastAsia="zh-TW"/>
            </w:rPr>
            <w:t>كل</w:t>
          </w:r>
          <w:r w:rsidRPr="00BD0320">
            <w:rPr>
              <w:b/>
              <w:bCs/>
              <w:rtl/>
              <w:lang w:eastAsia="zh-TW"/>
            </w:rPr>
            <w:t xml:space="preserve"> </w:t>
          </w:r>
          <w:r w:rsidRPr="00BD0320">
            <w:rPr>
              <w:rFonts w:hint="cs"/>
              <w:b/>
              <w:bCs/>
              <w:rtl/>
              <w:lang w:eastAsia="zh-TW"/>
            </w:rPr>
            <w:t>تدخل</w:t>
          </w:r>
          <w:r w:rsidRPr="00BD0320">
            <w:rPr>
              <w:b/>
              <w:bCs/>
              <w:rtl/>
              <w:lang w:eastAsia="zh-TW"/>
            </w:rPr>
            <w:t xml:space="preserve"> </w:t>
          </w:r>
          <w:r w:rsidRPr="00BD0320">
            <w:rPr>
              <w:rFonts w:hint="cs"/>
              <w:b/>
              <w:bCs/>
              <w:rtl/>
              <w:lang w:eastAsia="zh-TW"/>
            </w:rPr>
            <w:t>في</w:t>
          </w:r>
          <w:r w:rsidRPr="00BD0320">
            <w:rPr>
              <w:b/>
              <w:bCs/>
              <w:rtl/>
              <w:lang w:eastAsia="zh-TW"/>
            </w:rPr>
            <w:t xml:space="preserve"> </w:t>
          </w:r>
          <w:r w:rsidRPr="00BD0320">
            <w:rPr>
              <w:rFonts w:hint="cs"/>
              <w:b/>
              <w:bCs/>
              <w:rtl/>
              <w:lang w:eastAsia="zh-TW"/>
            </w:rPr>
            <w:t>الحق</w:t>
          </w:r>
          <w:r w:rsidRPr="00BD0320">
            <w:rPr>
              <w:b/>
              <w:bCs/>
              <w:rtl/>
              <w:lang w:eastAsia="zh-TW"/>
            </w:rPr>
            <w:t xml:space="preserve"> </w:t>
          </w:r>
          <w:r w:rsidRPr="00BD0320">
            <w:rPr>
              <w:rFonts w:hint="cs"/>
              <w:b/>
              <w:bCs/>
              <w:rtl/>
              <w:lang w:eastAsia="zh-TW"/>
            </w:rPr>
            <w:t>في</w:t>
          </w:r>
          <w:r w:rsidRPr="00BD0320">
            <w:rPr>
              <w:b/>
              <w:bCs/>
              <w:rtl/>
              <w:lang w:eastAsia="zh-TW"/>
            </w:rPr>
            <w:t xml:space="preserve"> </w:t>
          </w:r>
          <w:r w:rsidRPr="00BD0320">
            <w:rPr>
              <w:rFonts w:hint="cs"/>
              <w:b/>
              <w:bCs/>
              <w:rtl/>
              <w:lang w:eastAsia="zh-TW"/>
            </w:rPr>
            <w:t>الخصوصية</w:t>
          </w:r>
          <w:r w:rsidRPr="00BD0320">
            <w:rPr>
              <w:b/>
              <w:bCs/>
              <w:rtl/>
              <w:lang w:eastAsia="zh-TW"/>
            </w:rPr>
            <w:t xml:space="preserve"> </w:t>
          </w:r>
          <w:r w:rsidRPr="00BD0320">
            <w:rPr>
              <w:rFonts w:hint="cs"/>
              <w:b/>
              <w:bCs/>
              <w:rtl/>
              <w:lang w:eastAsia="zh-TW"/>
            </w:rPr>
            <w:t>بمبادئ</w:t>
          </w:r>
          <w:r w:rsidRPr="00BD0320">
            <w:rPr>
              <w:b/>
              <w:bCs/>
              <w:rtl/>
              <w:lang w:eastAsia="zh-TW"/>
            </w:rPr>
            <w:t xml:space="preserve"> </w:t>
          </w:r>
          <w:r w:rsidRPr="00BD0320">
            <w:rPr>
              <w:rFonts w:hint="cs"/>
              <w:b/>
              <w:bCs/>
              <w:rtl/>
              <w:lang w:eastAsia="zh-TW"/>
            </w:rPr>
            <w:t>الشرعية</w:t>
          </w:r>
          <w:r w:rsidRPr="00BD0320">
            <w:rPr>
              <w:b/>
              <w:bCs/>
              <w:rtl/>
              <w:lang w:eastAsia="zh-TW"/>
            </w:rPr>
            <w:t xml:space="preserve"> </w:t>
          </w:r>
          <w:r w:rsidRPr="00BD0320">
            <w:rPr>
              <w:rFonts w:hint="cs"/>
              <w:b/>
              <w:bCs/>
              <w:rtl/>
              <w:lang w:eastAsia="zh-TW"/>
            </w:rPr>
            <w:t>وا</w:t>
          </w:r>
          <w:r w:rsidRPr="00BD0320">
            <w:rPr>
              <w:b/>
              <w:bCs/>
              <w:rtl/>
              <w:lang w:eastAsia="zh-TW"/>
            </w:rPr>
            <w:t>لتناسب والضرورة.</w:t>
          </w:r>
          <w:r w:rsidRPr="00BD0320">
            <w:rPr>
              <w:rFonts w:cs="Times New Roman" w:hint="cs"/>
              <w:b/>
              <w:bCs/>
              <w:rtl/>
              <w:lang w:eastAsia="zh-TW"/>
            </w:rPr>
            <w:t>‬</w:t>
          </w:r>
          <w:r w:rsidRPr="00BD0320">
            <w:rPr>
              <w:b/>
              <w:bCs/>
              <w:rtl/>
              <w:lang w:eastAsia="zh-TW"/>
            </w:rPr>
            <w:t xml:space="preserve"> </w:t>
          </w:r>
          <w:dir w:val="rtl">
            <w:r w:rsidRPr="00BD0320">
              <w:rPr>
                <w:rFonts w:hint="cs"/>
                <w:b/>
                <w:bCs/>
                <w:rtl/>
                <w:lang w:eastAsia="zh-TW"/>
              </w:rPr>
              <w:t>وينبغي</w:t>
            </w:r>
            <w:r w:rsidRPr="00BD0320">
              <w:rPr>
                <w:b/>
                <w:bCs/>
                <w:rtl/>
                <w:lang w:eastAsia="zh-TW"/>
              </w:rPr>
              <w:t xml:space="preserve"> </w:t>
            </w:r>
            <w:r w:rsidRPr="00BD0320">
              <w:rPr>
                <w:rFonts w:hint="cs"/>
                <w:b/>
                <w:bCs/>
                <w:rtl/>
                <w:lang w:eastAsia="zh-TW"/>
              </w:rPr>
              <w:t>أيضاً</w:t>
            </w:r>
            <w:r w:rsidRPr="00BD0320">
              <w:rPr>
                <w:b/>
                <w:bCs/>
                <w:rtl/>
                <w:lang w:eastAsia="zh-TW"/>
              </w:rPr>
              <w:t xml:space="preserve"> </w:t>
            </w:r>
            <w:r w:rsidRPr="00BD0320">
              <w:rPr>
                <w:rFonts w:hint="cs"/>
                <w:b/>
                <w:bCs/>
                <w:rtl/>
                <w:lang w:eastAsia="zh-TW"/>
              </w:rPr>
              <w:t>أن</w:t>
            </w:r>
            <w:r w:rsidRPr="00BD0320">
              <w:rPr>
                <w:b/>
                <w:bCs/>
                <w:rtl/>
                <w:lang w:eastAsia="zh-TW"/>
              </w:rPr>
              <w:t xml:space="preserve"> </w:t>
            </w:r>
            <w:r w:rsidRPr="00BD0320">
              <w:rPr>
                <w:rFonts w:hint="cs"/>
                <w:b/>
                <w:bCs/>
                <w:rtl/>
                <w:lang w:eastAsia="zh-TW"/>
              </w:rPr>
              <w:t>تتأكد</w:t>
            </w:r>
            <w:r w:rsidRPr="00BD0320">
              <w:rPr>
                <w:b/>
                <w:bCs/>
                <w:rtl/>
                <w:lang w:eastAsia="zh-TW"/>
              </w:rPr>
              <w:t xml:space="preserve"> </w:t>
            </w:r>
            <w:r w:rsidRPr="00BD0320">
              <w:rPr>
                <w:rFonts w:hint="cs"/>
                <w:b/>
                <w:bCs/>
                <w:rtl/>
                <w:lang w:eastAsia="zh-TW"/>
              </w:rPr>
              <w:t>من</w:t>
            </w:r>
            <w:r w:rsidRPr="00BD0320">
              <w:rPr>
                <w:b/>
                <w:bCs/>
                <w:rtl/>
                <w:lang w:eastAsia="zh-TW"/>
              </w:rPr>
              <w:t xml:space="preserve"> </w:t>
            </w:r>
            <w:r w:rsidRPr="00BD0320">
              <w:rPr>
                <w:rFonts w:hint="cs"/>
                <w:b/>
                <w:bCs/>
                <w:rtl/>
                <w:lang w:eastAsia="zh-TW"/>
              </w:rPr>
              <w:t>أن</w:t>
            </w:r>
            <w:r w:rsidRPr="00BD0320">
              <w:rPr>
                <w:b/>
                <w:bCs/>
                <w:rtl/>
                <w:lang w:eastAsia="zh-TW"/>
              </w:rPr>
              <w:t xml:space="preserve"> </w:t>
            </w:r>
            <w:r w:rsidRPr="00BD0320">
              <w:rPr>
                <w:rFonts w:hint="cs"/>
                <w:b/>
                <w:bCs/>
                <w:rtl/>
                <w:lang w:eastAsia="zh-TW"/>
              </w:rPr>
              <w:t>من</w:t>
            </w:r>
            <w:r w:rsidRPr="00BD0320">
              <w:rPr>
                <w:b/>
                <w:bCs/>
                <w:rtl/>
                <w:lang w:eastAsia="zh-TW"/>
              </w:rPr>
              <w:t xml:space="preserve"> </w:t>
            </w:r>
            <w:r w:rsidRPr="00BD0320">
              <w:rPr>
                <w:rFonts w:hint="cs"/>
                <w:b/>
                <w:bCs/>
                <w:rtl/>
                <w:lang w:eastAsia="zh-TW"/>
              </w:rPr>
              <w:t>رُصدوا</w:t>
            </w:r>
            <w:r w:rsidRPr="00BD0320">
              <w:rPr>
                <w:b/>
                <w:bCs/>
                <w:rtl/>
                <w:lang w:eastAsia="zh-TW"/>
              </w:rPr>
              <w:t xml:space="preserve"> </w:t>
            </w:r>
            <w:r w:rsidRPr="00BD0320">
              <w:rPr>
                <w:rFonts w:hint="cs"/>
                <w:b/>
                <w:bCs/>
                <w:rtl/>
                <w:lang w:eastAsia="zh-TW"/>
              </w:rPr>
              <w:t>بطريقة</w:t>
            </w:r>
            <w:r w:rsidRPr="00BD0320">
              <w:rPr>
                <w:b/>
                <w:bCs/>
                <w:rtl/>
                <w:lang w:eastAsia="zh-TW"/>
              </w:rPr>
              <w:t xml:space="preserve"> </w:t>
            </w:r>
            <w:r w:rsidRPr="00BD0320">
              <w:rPr>
                <w:rFonts w:hint="cs"/>
                <w:b/>
                <w:bCs/>
                <w:rtl/>
                <w:lang w:eastAsia="zh-TW"/>
              </w:rPr>
              <w:t>غير</w:t>
            </w:r>
            <w:r w:rsidRPr="00BD0320">
              <w:rPr>
                <w:b/>
                <w:bCs/>
                <w:rtl/>
                <w:lang w:eastAsia="zh-TW"/>
              </w:rPr>
              <w:t xml:space="preserve"> </w:t>
            </w:r>
            <w:r w:rsidRPr="00BD0320">
              <w:rPr>
                <w:rFonts w:hint="cs"/>
                <w:b/>
                <w:bCs/>
                <w:rtl/>
                <w:lang w:eastAsia="zh-TW"/>
              </w:rPr>
              <w:t>مشروعة</w:t>
            </w:r>
            <w:r w:rsidRPr="00BD0320">
              <w:rPr>
                <w:b/>
                <w:bCs/>
                <w:rtl/>
                <w:lang w:eastAsia="zh-TW"/>
              </w:rPr>
              <w:t xml:space="preserve"> </w:t>
            </w:r>
            <w:r w:rsidRPr="00BD0320">
              <w:rPr>
                <w:rFonts w:hint="cs"/>
                <w:b/>
                <w:bCs/>
                <w:rtl/>
                <w:lang w:eastAsia="zh-TW"/>
              </w:rPr>
              <w:t>يبلَّغون</w:t>
            </w:r>
            <w:r w:rsidRPr="00BD0320">
              <w:rPr>
                <w:b/>
                <w:bCs/>
                <w:rtl/>
                <w:lang w:eastAsia="zh-TW"/>
              </w:rPr>
              <w:t xml:space="preserve"> </w:t>
            </w:r>
            <w:r w:rsidRPr="00BD0320">
              <w:rPr>
                <w:rFonts w:hint="cs"/>
                <w:b/>
                <w:bCs/>
                <w:rtl/>
                <w:lang w:eastAsia="zh-TW"/>
              </w:rPr>
              <w:t>دائماً</w:t>
            </w:r>
            <w:r w:rsidRPr="00BD0320">
              <w:rPr>
                <w:b/>
                <w:bCs/>
                <w:rtl/>
                <w:lang w:eastAsia="zh-TW"/>
              </w:rPr>
              <w:t xml:space="preserve"> </w:t>
            </w:r>
            <w:r w:rsidRPr="00BD0320">
              <w:rPr>
                <w:rFonts w:hint="cs"/>
                <w:b/>
                <w:bCs/>
                <w:rtl/>
                <w:lang w:eastAsia="zh-TW"/>
              </w:rPr>
              <w:t>بذلك</w:t>
            </w:r>
            <w:r w:rsidRPr="00BD0320">
              <w:rPr>
                <w:b/>
                <w:bCs/>
                <w:rtl/>
                <w:lang w:eastAsia="zh-TW"/>
              </w:rPr>
              <w:t xml:space="preserve"> </w:t>
            </w:r>
            <w:r w:rsidRPr="00BD0320">
              <w:rPr>
                <w:rFonts w:hint="cs"/>
                <w:b/>
                <w:bCs/>
                <w:rtl/>
                <w:lang w:eastAsia="zh-TW"/>
              </w:rPr>
              <w:t>ويمكنهم</w:t>
            </w:r>
            <w:r w:rsidRPr="00BD0320">
              <w:rPr>
                <w:b/>
                <w:bCs/>
                <w:rtl/>
                <w:lang w:eastAsia="zh-TW"/>
              </w:rPr>
              <w:t xml:space="preserve"> </w:t>
            </w:r>
            <w:r w:rsidRPr="00BD0320">
              <w:rPr>
                <w:rFonts w:hint="cs"/>
                <w:b/>
                <w:bCs/>
                <w:rtl/>
                <w:lang w:eastAsia="zh-TW"/>
              </w:rPr>
              <w:t>اللجوء</w:t>
            </w:r>
            <w:r w:rsidRPr="00BD0320">
              <w:rPr>
                <w:b/>
                <w:bCs/>
                <w:rtl/>
                <w:lang w:eastAsia="zh-TW"/>
              </w:rPr>
              <w:t xml:space="preserve"> </w:t>
            </w:r>
            <w:r w:rsidRPr="00BD0320">
              <w:rPr>
                <w:rFonts w:hint="cs"/>
                <w:b/>
                <w:bCs/>
                <w:rtl/>
                <w:lang w:eastAsia="zh-TW"/>
              </w:rPr>
              <w:t>إلى</w:t>
            </w:r>
            <w:r w:rsidRPr="00BD0320">
              <w:rPr>
                <w:b/>
                <w:bCs/>
                <w:rtl/>
                <w:lang w:eastAsia="zh-TW"/>
              </w:rPr>
              <w:t xml:space="preserve"> </w:t>
            </w:r>
            <w:r w:rsidRPr="00BD0320">
              <w:rPr>
                <w:rFonts w:hint="cs"/>
                <w:b/>
                <w:bCs/>
                <w:rtl/>
                <w:lang w:eastAsia="zh-TW"/>
              </w:rPr>
              <w:t>سبل</w:t>
            </w:r>
            <w:r w:rsidRPr="00BD0320">
              <w:rPr>
                <w:b/>
                <w:bCs/>
                <w:rtl/>
                <w:lang w:eastAsia="zh-TW"/>
              </w:rPr>
              <w:t xml:space="preserve"> </w:t>
            </w:r>
            <w:r w:rsidRPr="00BD0320">
              <w:rPr>
                <w:rFonts w:hint="cs"/>
                <w:b/>
                <w:bCs/>
                <w:rtl/>
                <w:lang w:eastAsia="zh-TW"/>
              </w:rPr>
              <w:t>الانتصاف</w:t>
            </w:r>
            <w:r w:rsidRPr="00BD0320">
              <w:rPr>
                <w:b/>
                <w:bCs/>
                <w:rtl/>
                <w:lang w:eastAsia="zh-TW"/>
              </w:rPr>
              <w:t xml:space="preserve"> </w:t>
            </w:r>
            <w:r w:rsidRPr="00BD0320">
              <w:rPr>
                <w:rFonts w:hint="cs"/>
                <w:b/>
                <w:bCs/>
                <w:rtl/>
                <w:lang w:eastAsia="zh-TW"/>
              </w:rPr>
              <w:t>المناسبة</w:t>
            </w:r>
            <w:r w:rsidRPr="00BD0320">
              <w:rPr>
                <w:b/>
                <w:bCs/>
                <w:rtl/>
                <w:lang w:eastAsia="zh-TW"/>
              </w:rPr>
              <w:t>.</w:t>
            </w:r>
            <w:r w:rsidR="00DC1DEF" w:rsidRPr="00BD0320">
              <w:rPr>
                <w:b/>
                <w:bCs/>
              </w:rPr>
              <w:t>‬</w:t>
            </w:r>
            <w:r w:rsidR="00DC1DEF" w:rsidRPr="00BD0320">
              <w:rPr>
                <w:b/>
                <w:bCs/>
              </w:rPr>
              <w:t>‬</w:t>
            </w:r>
            <w:r w:rsidR="00DC1DEF" w:rsidRPr="00BD0320">
              <w:rPr>
                <w:b/>
                <w:bCs/>
              </w:rPr>
              <w:t>‬</w:t>
            </w:r>
            <w:r w:rsidR="00BD0320" w:rsidRPr="00BD0320">
              <w:rPr>
                <w:b/>
                <w:bCs/>
              </w:rPr>
              <w:t>‬</w:t>
            </w:r>
            <w:r w:rsidR="00BD0320" w:rsidRPr="00BD0320">
              <w:rPr>
                <w:b/>
                <w:bCs/>
              </w:rPr>
              <w:t>‬</w:t>
            </w:r>
            <w:r w:rsidR="00BD0320" w:rsidRPr="00BD0320">
              <w:rPr>
                <w:b/>
                <w:bCs/>
              </w:rPr>
              <w:t>‬</w:t>
            </w:r>
            <w:r w:rsidR="00E50C3B">
              <w:t>‬</w:t>
            </w:r>
            <w:r w:rsidR="00E50C3B">
              <w:t>‬</w:t>
            </w:r>
            <w:r w:rsidR="00E50C3B">
              <w:t>‬</w:t>
            </w:r>
            <w:r w:rsidR="00D8591B">
              <w:t>‬</w:t>
            </w:r>
            <w:r w:rsidR="00D8591B">
              <w:t>‬</w:t>
            </w:r>
            <w:r w:rsidR="00D8591B">
              <w:t>‬</w:t>
            </w:r>
          </w:dir>
        </w:dir>
      </w:dir>
    </w:p>
    <w:p w:rsidR="00E32E3B" w:rsidRPr="00E32E3B" w:rsidRDefault="00BD0320" w:rsidP="00BD0320">
      <w:pPr>
        <w:pStyle w:val="H23GA"/>
        <w:rPr>
          <w:rtl/>
        </w:rPr>
      </w:pPr>
      <w:r>
        <w:rPr>
          <w:rtl/>
        </w:rPr>
        <w:tab/>
      </w:r>
      <w:r>
        <w:rPr>
          <w:rtl/>
        </w:rPr>
        <w:tab/>
      </w:r>
      <w:r w:rsidR="00E32E3B" w:rsidRPr="00E32E3B">
        <w:rPr>
          <w:rtl/>
        </w:rPr>
        <w:t>ملخص ردّ الدولة الطرف</w:t>
      </w:r>
      <w:r w:rsidR="00E32E3B">
        <w:rPr>
          <w:rFonts w:cs="Times New Roman" w:hint="cs"/>
          <w:rtl/>
        </w:rPr>
        <w:t xml:space="preserve"> </w:t>
      </w:r>
    </w:p>
    <w:p w:rsidR="00E32E3B" w:rsidRPr="00E32E3B" w:rsidRDefault="00E32E3B" w:rsidP="00BD0320">
      <w:pPr>
        <w:pStyle w:val="SingleTxtGA"/>
        <w:rPr>
          <w:spacing w:val="-2"/>
          <w:rtl/>
          <w:lang w:eastAsia="zh-TW"/>
        </w:rPr>
      </w:pPr>
      <w:r w:rsidRPr="00E32E3B">
        <w:rPr>
          <w:spacing w:val="-2"/>
          <w:rtl/>
          <w:lang w:eastAsia="zh-TW"/>
        </w:rPr>
        <w:tab/>
        <w:t xml:space="preserve">اعتمد القانون المتعلق بمكتب المدعي العام للمقاضاة في الجرائم ذات الصلة والناشئة عن محتوى الاعتراض غير القانوني للاتصالات في ١٥ أيلول/سبتمبر ٢٠١٥. وهو يعرف "اعتراض الاتصالات دون إذن" على أنه اعتراض غير مأذون به لجميع الاتصالات التي تمت في الفترة ما بين عامي ٢٠٠٨ و2015، بما في ذلك على سبيل المثال لا الحصر التسجيلات الصوتية والنصوص المستنسخة الحرفية المقدمة إلى مكتب المدعي العام قبل ١٥ تموز/يوليه ٢٠١٥. </w:t>
      </w:r>
    </w:p>
    <w:p w:rsidR="00E32E3B" w:rsidRPr="00BD0320" w:rsidRDefault="00BD0320" w:rsidP="00BD0320">
      <w:pPr>
        <w:pStyle w:val="SingleTxtGA"/>
        <w:rPr>
          <w:rtl/>
          <w:lang w:eastAsia="zh-TW"/>
        </w:rPr>
      </w:pPr>
      <w:r>
        <w:rPr>
          <w:rtl/>
          <w:lang w:eastAsia="zh-TW"/>
        </w:rPr>
        <w:tab/>
      </w:r>
      <w:r w:rsidR="00E32E3B" w:rsidRPr="00E32E3B">
        <w:rPr>
          <w:rtl/>
          <w:lang w:eastAsia="zh-TW"/>
        </w:rPr>
        <w:t>وانتخب المدعي العام المتخصص في ١٥ أيلول/سبتمبر ٢٠١٥، ويساعده ١٢ مدعياً عاماً. وقدم المدعي العام تقرير</w:t>
      </w:r>
      <w:r w:rsidR="00683334">
        <w:rPr>
          <w:rtl/>
          <w:lang w:eastAsia="zh-TW"/>
        </w:rPr>
        <w:t xml:space="preserve">اً </w:t>
      </w:r>
      <w:r w:rsidR="00E32E3B" w:rsidRPr="00E32E3B">
        <w:rPr>
          <w:rtl/>
          <w:lang w:eastAsia="zh-TW"/>
        </w:rPr>
        <w:t xml:space="preserve">إلى الجمعية عن الأنشطة المضطلع بها في الأشهر الستة الأولى من </w:t>
      </w:r>
      <w:r w:rsidR="00E32E3B" w:rsidRPr="00DC1DEF">
        <w:rPr>
          <w:spacing w:val="-2"/>
          <w:rtl/>
          <w:lang w:eastAsia="zh-TW"/>
        </w:rPr>
        <w:t>الولاية (من ١٥ أيلول/سبتمبر ٢٠١٥ إلى ١٥ آذار/مارس ٢٠١٦) وشرع في إجراءات التحقيق</w:t>
      </w:r>
      <w:r w:rsidR="00E32E3B" w:rsidRPr="00E32E3B">
        <w:rPr>
          <w:rtl/>
          <w:lang w:eastAsia="zh-TW"/>
        </w:rPr>
        <w:t xml:space="preserve"> والإجراءات الأولية بشأن اعتراض الاتصالات دون إذن. </w:t>
      </w:r>
      <w:r w:rsidR="00E32E3B" w:rsidRPr="00E32E3B">
        <w:rPr>
          <w:spacing w:val="-4"/>
          <w:rtl/>
          <w:lang w:eastAsia="zh-TW"/>
        </w:rPr>
        <w:t xml:space="preserve"> </w:t>
      </w:r>
    </w:p>
    <w:tbl>
      <w:tblPr>
        <w:bidiVisual/>
        <w:tblW w:w="7263" w:type="dxa"/>
        <w:tblInd w:w="1241" w:type="dxa"/>
        <w:tblBorders>
          <w:top w:val="single" w:sz="4" w:space="0" w:color="auto"/>
          <w:bottom w:val="single" w:sz="12" w:space="0" w:color="auto"/>
        </w:tblBorders>
        <w:tblLayout w:type="fixed"/>
        <w:tblLook w:val="00A0" w:firstRow="1" w:lastRow="0" w:firstColumn="1" w:lastColumn="0" w:noHBand="0" w:noVBand="0"/>
      </w:tblPr>
      <w:tblGrid>
        <w:gridCol w:w="7263"/>
      </w:tblGrid>
      <w:tr w:rsidR="00E32E3B" w:rsidRPr="00E32E3B" w:rsidTr="00FF281A">
        <w:trPr>
          <w:trHeight w:val="240"/>
          <w:tblHeader/>
        </w:trPr>
        <w:tc>
          <w:tcPr>
            <w:tcW w:w="7263" w:type="dxa"/>
            <w:tcBorders>
              <w:top w:val="single" w:sz="4" w:space="0" w:color="auto"/>
              <w:bottom w:val="single" w:sz="12" w:space="0" w:color="auto"/>
            </w:tcBorders>
            <w:shd w:val="clear" w:color="auto" w:fill="auto"/>
            <w:vAlign w:val="bottom"/>
          </w:tcPr>
          <w:p w:rsidR="00E32E3B" w:rsidRPr="00E32E3B" w:rsidRDefault="00E32E3B" w:rsidP="00BD0320">
            <w:pPr>
              <w:pageBreakBefore/>
              <w:spacing w:after="120" w:line="320" w:lineRule="exact"/>
              <w:jc w:val="both"/>
              <w:textDirection w:val="tbRlV"/>
              <w:rPr>
                <w:i/>
                <w:iCs/>
                <w:rtl/>
                <w:lang w:eastAsia="zh-TW"/>
              </w:rPr>
            </w:pPr>
            <w:r w:rsidRPr="00E32E3B">
              <w:rPr>
                <w:i/>
                <w:iCs/>
                <w:rtl/>
                <w:lang w:eastAsia="zh-TW"/>
              </w:rPr>
              <w:lastRenderedPageBreak/>
              <w:t>جمهورية مقدونيا اليوغوسلافية سابقاً</w:t>
            </w:r>
          </w:p>
        </w:tc>
      </w:tr>
    </w:tbl>
    <w:p w:rsidR="00BD0320" w:rsidRDefault="00BD0320" w:rsidP="00BD0320">
      <w:pPr>
        <w:pStyle w:val="H23GA"/>
        <w:rPr>
          <w:spacing w:val="-4"/>
          <w:rtl/>
          <w:lang w:eastAsia="zh-TW"/>
        </w:rPr>
      </w:pPr>
      <w:r>
        <w:rPr>
          <w:rtl/>
        </w:rPr>
        <w:tab/>
      </w:r>
      <w:r>
        <w:rPr>
          <w:rtl/>
        </w:rPr>
        <w:tab/>
      </w:r>
      <w:r w:rsidRPr="00E32E3B">
        <w:rPr>
          <w:rtl/>
        </w:rPr>
        <w:t>تقييم اللجنة</w:t>
      </w:r>
    </w:p>
    <w:p w:rsidR="00BD0320" w:rsidRDefault="00BD0320" w:rsidP="00BD0320">
      <w:pPr>
        <w:pStyle w:val="SingleTxtGA"/>
        <w:spacing w:line="360" w:lineRule="exact"/>
        <w:rPr>
          <w:b/>
          <w:bCs/>
          <w:rtl/>
          <w:lang w:eastAsia="zh-TW"/>
        </w:rPr>
      </w:pPr>
      <w:r w:rsidRPr="00BD0320">
        <w:rPr>
          <w:b/>
          <w:bCs/>
          <w:spacing w:val="-4"/>
          <w:rtl/>
          <w:lang w:eastAsia="zh-TW"/>
        </w:rPr>
        <w:t>[جيم]:</w:t>
      </w:r>
      <w:r w:rsidRPr="00E32E3B">
        <w:rPr>
          <w:spacing w:val="-4"/>
          <w:rtl/>
          <w:lang w:eastAsia="zh-TW"/>
        </w:rPr>
        <w:t xml:space="preserve"> لم تتلق اللجنة أي معلومات عن التدابير المتخذة لضمان توافق أي تدخل في الحق في الخصوصية مع مبادئ الشرعية والتناسب والضرورة، وإبلاغ من رُصدوا بطريقة غير مشروعة بذلك بصورة منتظمة وتمكينهم من الحصول على سبل انتصاف ملائمة.</w:t>
      </w:r>
      <w:r w:rsidRPr="00E32E3B">
        <w:rPr>
          <w:rFonts w:cs="Times New Roman" w:hint="cs"/>
          <w:spacing w:val="-4"/>
          <w:rtl/>
          <w:lang w:eastAsia="zh-TW"/>
        </w:rPr>
        <w:t>‬</w:t>
      </w:r>
      <w:r w:rsidRPr="00E32E3B">
        <w:rPr>
          <w:spacing w:val="-4"/>
          <w:rtl/>
          <w:lang w:eastAsia="zh-TW"/>
        </w:rPr>
        <w:t xml:space="preserve"> </w:t>
      </w:r>
      <w:r w:rsidRPr="00E32E3B">
        <w:rPr>
          <w:rFonts w:ascii="Traditional Arabic" w:hAnsi="Traditional Arabic" w:hint="cs"/>
          <w:spacing w:val="-4"/>
          <w:rtl/>
          <w:lang w:eastAsia="zh-TW"/>
        </w:rPr>
        <w:t>وتكرر</w:t>
      </w:r>
      <w:r w:rsidRPr="00E32E3B">
        <w:rPr>
          <w:spacing w:val="-4"/>
          <w:rtl/>
          <w:lang w:eastAsia="zh-TW"/>
        </w:rPr>
        <w:t xml:space="preserve"> </w:t>
      </w:r>
      <w:r w:rsidRPr="00E32E3B">
        <w:rPr>
          <w:rFonts w:ascii="Traditional Arabic" w:hAnsi="Traditional Arabic" w:hint="cs"/>
          <w:spacing w:val="-4"/>
          <w:rtl/>
          <w:lang w:eastAsia="zh-TW"/>
        </w:rPr>
        <w:t>اللجنة</w:t>
      </w:r>
      <w:r w:rsidRPr="00E32E3B">
        <w:rPr>
          <w:spacing w:val="-4"/>
          <w:rtl/>
          <w:lang w:eastAsia="zh-TW"/>
        </w:rPr>
        <w:t xml:space="preserve"> </w:t>
      </w:r>
      <w:r w:rsidRPr="00E32E3B">
        <w:rPr>
          <w:rFonts w:ascii="Traditional Arabic" w:hAnsi="Traditional Arabic" w:hint="cs"/>
          <w:spacing w:val="-4"/>
          <w:rtl/>
          <w:lang w:eastAsia="zh-TW"/>
        </w:rPr>
        <w:t>تأكيد</w:t>
      </w:r>
      <w:r w:rsidRPr="00E32E3B">
        <w:rPr>
          <w:spacing w:val="-4"/>
          <w:rtl/>
          <w:lang w:eastAsia="zh-TW"/>
        </w:rPr>
        <w:t xml:space="preserve"> </w:t>
      </w:r>
      <w:r w:rsidRPr="00E32E3B">
        <w:rPr>
          <w:rFonts w:ascii="Traditional Arabic" w:hAnsi="Traditional Arabic" w:hint="cs"/>
          <w:spacing w:val="-4"/>
          <w:rtl/>
          <w:lang w:eastAsia="zh-TW"/>
        </w:rPr>
        <w:t>توصيتها</w:t>
      </w:r>
      <w:r w:rsidRPr="00E32E3B">
        <w:rPr>
          <w:spacing w:val="-4"/>
          <w:rtl/>
          <w:lang w:eastAsia="zh-TW"/>
        </w:rPr>
        <w:t>.</w:t>
      </w:r>
    </w:p>
    <w:p w:rsidR="00E32E3B" w:rsidRPr="00E32E3B" w:rsidRDefault="00E32E3B" w:rsidP="00E32E3B">
      <w:pPr>
        <w:pStyle w:val="SingleTxtGA"/>
        <w:spacing w:line="360" w:lineRule="exact"/>
        <w:rPr>
          <w:rtl/>
          <w:lang w:eastAsia="zh-TW"/>
        </w:rPr>
      </w:pPr>
      <w:r w:rsidRPr="00E32E3B">
        <w:rPr>
          <w:b/>
          <w:bCs/>
          <w:rtl/>
          <w:lang w:eastAsia="zh-TW"/>
        </w:rPr>
        <w:t>[باء]:</w:t>
      </w:r>
      <w:r w:rsidRPr="00E32E3B">
        <w:rPr>
          <w:rtl/>
          <w:lang w:eastAsia="zh-TW"/>
        </w:rPr>
        <w:t xml:space="preserve"> ترحب اللجنة بإنشاء مكتب المدعي العام بموجب القانون لأغراض المقاضاة في الجرائم المتعلقة بمحتوى الاعتراض غير المشروع للاتصالات والناشئة عنه. بيد أنها تطلب المزيد من المعلومات عن أنشطة المكتب حتى الآن، بما في ذلك التقدم المحرز في التحقيق في القضايا المبلغ عنها المتعلقة بالاعتراض على الاتصالات دون إذن. </w:t>
      </w:r>
    </w:p>
    <w:p w:rsidR="00E32E3B" w:rsidRPr="00E32E3B" w:rsidRDefault="00E32E3B" w:rsidP="00E32E3B">
      <w:pPr>
        <w:pStyle w:val="SingleTxtGA"/>
        <w:spacing w:line="360" w:lineRule="exact"/>
        <w:rPr>
          <w:rtl/>
          <w:lang w:eastAsia="zh-TW"/>
        </w:rPr>
      </w:pPr>
      <w:r w:rsidRPr="00E32E3B">
        <w:rPr>
          <w:b/>
          <w:bCs/>
          <w:rtl/>
          <w:lang w:eastAsia="zh-TW"/>
        </w:rPr>
        <w:t>الإجراء الموصى به:</w:t>
      </w:r>
      <w:r w:rsidRPr="00E32E3B">
        <w:rPr>
          <w:rtl/>
          <w:lang w:eastAsia="zh-TW"/>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E32E3B" w:rsidRDefault="00E32E3B" w:rsidP="00026EAB">
      <w:pPr>
        <w:pStyle w:val="SingleTxtGA"/>
        <w:spacing w:after="0" w:line="360" w:lineRule="exact"/>
        <w:rPr>
          <w:rtl/>
          <w:lang w:eastAsia="zh-TW"/>
        </w:rPr>
      </w:pPr>
      <w:r w:rsidRPr="00E32E3B">
        <w:rPr>
          <w:b/>
          <w:bCs/>
          <w:rtl/>
          <w:lang w:eastAsia="zh-TW"/>
        </w:rPr>
        <w:t>التقرير الدوري المقبل:</w:t>
      </w:r>
      <w:r w:rsidRPr="00E32E3B">
        <w:rPr>
          <w:rtl/>
          <w:lang w:eastAsia="zh-TW"/>
        </w:rPr>
        <w:t xml:space="preserve"> ٢٤ تموز/يوليه ٢٠٢٠</w:t>
      </w:r>
    </w:p>
    <w:p w:rsidR="00026EAB" w:rsidRPr="00E32E3B" w:rsidRDefault="00026EAB" w:rsidP="000679C9">
      <w:pPr>
        <w:pStyle w:val="SingleTxtGA"/>
        <w:pBdr>
          <w:bottom w:val="single" w:sz="12" w:space="1" w:color="auto"/>
        </w:pBdr>
        <w:spacing w:after="360" w:line="140" w:lineRule="exact"/>
        <w:rPr>
          <w:rtl/>
          <w:lang w:eastAsia="zh-TW"/>
        </w:rPr>
      </w:pPr>
    </w:p>
    <w:tbl>
      <w:tblPr>
        <w:bidiVisual/>
        <w:tblW w:w="7252" w:type="dxa"/>
        <w:tblInd w:w="1252" w:type="dxa"/>
        <w:tblBorders>
          <w:top w:val="single" w:sz="4" w:space="0" w:color="auto"/>
          <w:bottom w:val="single" w:sz="12" w:space="0" w:color="auto"/>
        </w:tblBorders>
        <w:tblLayout w:type="fixed"/>
        <w:tblLook w:val="00A0" w:firstRow="1" w:lastRow="0" w:firstColumn="1" w:lastColumn="0" w:noHBand="0" w:noVBand="0"/>
      </w:tblPr>
      <w:tblGrid>
        <w:gridCol w:w="2575"/>
        <w:gridCol w:w="4677"/>
      </w:tblGrid>
      <w:tr w:rsidR="00540D30" w:rsidRPr="00E32E3B" w:rsidTr="00E32E3B">
        <w:trPr>
          <w:trHeight w:val="240"/>
          <w:tblHeader/>
        </w:trPr>
        <w:tc>
          <w:tcPr>
            <w:tcW w:w="2575" w:type="dxa"/>
            <w:tcBorders>
              <w:top w:val="single" w:sz="4" w:space="0" w:color="auto"/>
              <w:bottom w:val="single" w:sz="12" w:space="0" w:color="auto"/>
            </w:tcBorders>
            <w:shd w:val="clear" w:color="auto" w:fill="auto"/>
            <w:vAlign w:val="bottom"/>
          </w:tcPr>
          <w:p w:rsidR="00540D30" w:rsidRPr="00E32E3B" w:rsidRDefault="00540D30" w:rsidP="00BD0320">
            <w:pPr>
              <w:spacing w:after="120" w:line="320" w:lineRule="exact"/>
              <w:jc w:val="both"/>
              <w:textDirection w:val="tbRlV"/>
              <w:rPr>
                <w:i/>
                <w:iCs/>
                <w:sz w:val="16"/>
                <w:rtl/>
                <w:lang w:eastAsia="zh-TW"/>
              </w:rPr>
            </w:pPr>
            <w:r w:rsidRPr="00E32E3B">
              <w:rPr>
                <w:i/>
                <w:iCs/>
                <w:rtl/>
                <w:lang w:eastAsia="zh-TW"/>
              </w:rPr>
              <w:t>أوزبكستان</w:t>
            </w:r>
          </w:p>
        </w:tc>
        <w:tc>
          <w:tcPr>
            <w:tcW w:w="4677" w:type="dxa"/>
            <w:tcBorders>
              <w:top w:val="single" w:sz="4" w:space="0" w:color="auto"/>
              <w:bottom w:val="single" w:sz="12" w:space="0" w:color="auto"/>
            </w:tcBorders>
            <w:shd w:val="clear" w:color="auto" w:fill="auto"/>
            <w:vAlign w:val="bottom"/>
          </w:tcPr>
          <w:p w:rsidR="00540D30" w:rsidRPr="00E32E3B" w:rsidRDefault="00540D30" w:rsidP="00BD0320">
            <w:pPr>
              <w:spacing w:after="120" w:line="320" w:lineRule="exact"/>
              <w:jc w:val="both"/>
              <w:rPr>
                <w:i/>
                <w:iCs/>
                <w:sz w:val="16"/>
              </w:rPr>
            </w:pPr>
          </w:p>
        </w:tc>
      </w:tr>
      <w:tr w:rsidR="00540D30" w:rsidRPr="001B59F5" w:rsidTr="00E32E3B">
        <w:trPr>
          <w:trHeight w:hRule="exact" w:val="113"/>
          <w:tblHeader/>
        </w:trPr>
        <w:tc>
          <w:tcPr>
            <w:tcW w:w="2575" w:type="dxa"/>
            <w:tcBorders>
              <w:top w:val="single" w:sz="12" w:space="0" w:color="auto"/>
            </w:tcBorders>
            <w:shd w:val="clear" w:color="auto" w:fill="auto"/>
          </w:tcPr>
          <w:p w:rsidR="00540D30" w:rsidRPr="00E32E3B" w:rsidRDefault="00540D30" w:rsidP="00E32E3B">
            <w:pPr>
              <w:spacing w:after="120" w:line="360" w:lineRule="exact"/>
              <w:jc w:val="both"/>
            </w:pPr>
          </w:p>
        </w:tc>
        <w:tc>
          <w:tcPr>
            <w:tcW w:w="4677" w:type="dxa"/>
            <w:tcBorders>
              <w:top w:val="single" w:sz="12" w:space="0" w:color="auto"/>
            </w:tcBorders>
            <w:shd w:val="clear" w:color="auto" w:fill="auto"/>
          </w:tcPr>
          <w:p w:rsidR="00540D30" w:rsidRPr="00E32E3B" w:rsidRDefault="00540D30" w:rsidP="00E32E3B">
            <w:pPr>
              <w:spacing w:after="120" w:line="360" w:lineRule="exact"/>
              <w:jc w:val="both"/>
            </w:pPr>
          </w:p>
        </w:tc>
      </w:tr>
      <w:tr w:rsidR="00540D30" w:rsidRPr="001B59F5" w:rsidTr="00E32E3B">
        <w:trPr>
          <w:trHeight w:val="240"/>
        </w:trPr>
        <w:tc>
          <w:tcPr>
            <w:tcW w:w="2575" w:type="dxa"/>
            <w:shd w:val="clear" w:color="auto" w:fill="auto"/>
          </w:tcPr>
          <w:p w:rsidR="00540D30" w:rsidRPr="00E32E3B" w:rsidRDefault="00540D30" w:rsidP="00E32E3B">
            <w:pPr>
              <w:spacing w:after="120" w:line="360" w:lineRule="exact"/>
              <w:jc w:val="both"/>
              <w:textDirection w:val="tbRlV"/>
              <w:rPr>
                <w:rtl/>
                <w:lang w:eastAsia="zh-TW"/>
              </w:rPr>
            </w:pPr>
            <w:r w:rsidRPr="00E32E3B">
              <w:rPr>
                <w:rtl/>
                <w:lang w:eastAsia="zh-TW"/>
              </w:rPr>
              <w:t>الملاحظات الختامية:</w:t>
            </w:r>
          </w:p>
        </w:tc>
        <w:tc>
          <w:tcPr>
            <w:tcW w:w="4677" w:type="dxa"/>
            <w:shd w:val="clear" w:color="auto" w:fill="auto"/>
          </w:tcPr>
          <w:p w:rsidR="00540D30" w:rsidRPr="00E32E3B" w:rsidRDefault="00D8591B" w:rsidP="00E32E3B">
            <w:pPr>
              <w:spacing w:after="120" w:line="360" w:lineRule="exact"/>
              <w:jc w:val="both"/>
              <w:textDirection w:val="tbRlV"/>
              <w:rPr>
                <w:rtl/>
                <w:lang w:eastAsia="zh-TW"/>
              </w:rPr>
            </w:pPr>
            <w:hyperlink r:id="rId18" w:history="1">
              <w:r w:rsidR="00540D30" w:rsidRPr="00E32E3B">
                <w:t>CCPR/C/UZB/CO/4</w:t>
              </w:r>
              <w:r w:rsidR="00E32E3B">
                <w:rPr>
                  <w:rFonts w:hint="cs"/>
                  <w:rtl/>
                </w:rPr>
                <w:t xml:space="preserve">، </w:t>
              </w:r>
              <w:r w:rsidR="00540D30" w:rsidRPr="00E32E3B">
                <w:rPr>
                  <w:rtl/>
                </w:rPr>
                <w:t>٢٠</w:t>
              </w:r>
              <w:r w:rsidR="00E32E3B">
                <w:rPr>
                  <w:rFonts w:hint="cs"/>
                  <w:rtl/>
                </w:rPr>
                <w:t xml:space="preserve"> </w:t>
              </w:r>
              <w:r w:rsidR="00E32E3B">
                <w:rPr>
                  <w:rFonts w:hint="cs"/>
                  <w:rtl/>
                  <w:lang w:bidi="ar-DZ"/>
                </w:rPr>
                <w:t>ت</w:t>
              </w:r>
              <w:r w:rsidR="00540D30" w:rsidRPr="00E32E3B">
                <w:rPr>
                  <w:rtl/>
                </w:rPr>
                <w:t>موز</w:t>
              </w:r>
              <w:r w:rsidR="00540D30" w:rsidRPr="00E32E3B">
                <w:t>/</w:t>
              </w:r>
              <w:r w:rsidR="00540D30" w:rsidRPr="00E32E3B">
                <w:rPr>
                  <w:rtl/>
                </w:rPr>
                <w:t>يوليه</w:t>
              </w:r>
              <w:r w:rsidR="00E32E3B">
                <w:rPr>
                  <w:rFonts w:hint="cs"/>
                  <w:rtl/>
                </w:rPr>
                <w:t xml:space="preserve"> </w:t>
              </w:r>
              <w:r w:rsidR="00540D30" w:rsidRPr="00E32E3B">
                <w:rPr>
                  <w:rtl/>
                </w:rPr>
                <w:t>٢٠١٥</w:t>
              </w:r>
            </w:hyperlink>
          </w:p>
        </w:tc>
      </w:tr>
      <w:tr w:rsidR="00540D30" w:rsidRPr="001B59F5" w:rsidTr="00E32E3B">
        <w:trPr>
          <w:trHeight w:val="240"/>
        </w:trPr>
        <w:tc>
          <w:tcPr>
            <w:tcW w:w="2575" w:type="dxa"/>
            <w:shd w:val="clear" w:color="auto" w:fill="auto"/>
          </w:tcPr>
          <w:p w:rsidR="00540D30" w:rsidRPr="00E32E3B" w:rsidRDefault="00540D30" w:rsidP="00E32E3B">
            <w:pPr>
              <w:spacing w:after="120" w:line="360" w:lineRule="exact"/>
              <w:jc w:val="both"/>
              <w:textDirection w:val="tbRlV"/>
              <w:rPr>
                <w:rtl/>
                <w:lang w:eastAsia="zh-TW"/>
              </w:rPr>
            </w:pPr>
            <w:r w:rsidRPr="00E32E3B">
              <w:rPr>
                <w:rtl/>
                <w:lang w:eastAsia="zh-TW"/>
              </w:rPr>
              <w:t>فقرات المتابعة:</w:t>
            </w:r>
          </w:p>
        </w:tc>
        <w:tc>
          <w:tcPr>
            <w:tcW w:w="4677" w:type="dxa"/>
            <w:shd w:val="clear" w:color="auto" w:fill="auto"/>
          </w:tcPr>
          <w:p w:rsidR="00540D30" w:rsidRPr="00E32E3B" w:rsidRDefault="00D8591B" w:rsidP="00E32E3B">
            <w:pPr>
              <w:spacing w:after="120" w:line="360" w:lineRule="exact"/>
              <w:jc w:val="both"/>
              <w:textDirection w:val="tbRlV"/>
              <w:rPr>
                <w:lang w:eastAsia="zh-TW"/>
              </w:rPr>
            </w:pPr>
            <w:dir w:val="rtl">
              <w:r w:rsidR="00540D30" w:rsidRPr="00E32E3B">
                <w:rPr>
                  <w:rtl/>
                  <w:lang w:eastAsia="zh-TW"/>
                </w:rPr>
                <w:t>11 و13 و19</w:t>
              </w:r>
              <w:r w:rsidR="00540D30" w:rsidRPr="00E32E3B">
                <w:rPr>
                  <w:rFonts w:cs="Times New Roman" w:hint="cs"/>
                  <w:rtl/>
                  <w:lang w:eastAsia="zh-TW"/>
                </w:rPr>
                <w:t>‬</w:t>
              </w:r>
              <w:r w:rsidR="00540D30" w:rsidRPr="00E32E3B">
                <w:t>‬</w:t>
              </w:r>
              <w:r w:rsidR="00540D30" w:rsidRPr="00E32E3B">
                <w:t>‬</w:t>
              </w:r>
              <w:r w:rsidR="00540D30" w:rsidRPr="00E32E3B">
                <w:t>‬</w:t>
              </w:r>
              <w:r w:rsidR="00540D30" w:rsidRPr="00E32E3B">
                <w:t>‬</w:t>
              </w:r>
              <w:r w:rsidR="00540D30" w:rsidRPr="00E32E3B">
                <w:t>‬</w:t>
              </w:r>
              <w:r w:rsidR="00540D30" w:rsidRPr="00E32E3B">
                <w:t>‬</w:t>
              </w:r>
              <w:r w:rsidR="00DC1DEF">
                <w:t>‬</w:t>
              </w:r>
              <w:r w:rsidR="00BD0320">
                <w:t>‬</w:t>
              </w:r>
              <w:r w:rsidR="00E50C3B">
                <w:t>‬</w:t>
              </w:r>
              <w:r>
                <w:t>‬</w:t>
              </w:r>
            </w:dir>
          </w:p>
        </w:tc>
      </w:tr>
      <w:tr w:rsidR="00540D30" w:rsidRPr="001B59F5" w:rsidTr="00E32E3B">
        <w:trPr>
          <w:trHeight w:val="240"/>
        </w:trPr>
        <w:tc>
          <w:tcPr>
            <w:tcW w:w="2575" w:type="dxa"/>
            <w:shd w:val="clear" w:color="auto" w:fill="auto"/>
          </w:tcPr>
          <w:p w:rsidR="00540D30" w:rsidRPr="00E32E3B" w:rsidRDefault="00540D30" w:rsidP="00E32E3B">
            <w:pPr>
              <w:spacing w:after="120" w:line="360" w:lineRule="exact"/>
              <w:jc w:val="both"/>
              <w:textDirection w:val="tbRlV"/>
              <w:rPr>
                <w:rtl/>
                <w:lang w:eastAsia="zh-TW"/>
              </w:rPr>
            </w:pPr>
            <w:r w:rsidRPr="00E32E3B">
              <w:rPr>
                <w:rtl/>
                <w:lang w:eastAsia="zh-TW"/>
              </w:rPr>
              <w:t>الرد الأول:</w:t>
            </w:r>
          </w:p>
        </w:tc>
        <w:tc>
          <w:tcPr>
            <w:tcW w:w="4677" w:type="dxa"/>
            <w:shd w:val="clear" w:color="auto" w:fill="auto"/>
          </w:tcPr>
          <w:p w:rsidR="00540D30" w:rsidRPr="00E32E3B" w:rsidRDefault="00D8591B" w:rsidP="00E32E3B">
            <w:pPr>
              <w:spacing w:after="120" w:line="360" w:lineRule="exact"/>
              <w:jc w:val="both"/>
              <w:textDirection w:val="tbRlV"/>
              <w:rPr>
                <w:rtl/>
                <w:lang w:eastAsia="zh-TW"/>
              </w:rPr>
            </w:pPr>
            <w:hyperlink r:id="rId19" w:history="1">
              <w:r w:rsidR="00540D30" w:rsidRPr="00E32E3B">
                <w:t>CCPR/C/UZB/CO/4/Add.2</w:t>
              </w:r>
              <w:r w:rsidR="00540D30" w:rsidRPr="00E32E3B">
                <w:rPr>
                  <w:rtl/>
                </w:rPr>
                <w:t>، 7 أيلول/سبتمبر 2016</w:t>
              </w:r>
            </w:hyperlink>
          </w:p>
        </w:tc>
      </w:tr>
      <w:tr w:rsidR="00540D30" w:rsidRPr="001B59F5" w:rsidTr="00E32E3B">
        <w:trPr>
          <w:trHeight w:val="240"/>
        </w:trPr>
        <w:tc>
          <w:tcPr>
            <w:tcW w:w="2575" w:type="dxa"/>
            <w:tcBorders>
              <w:bottom w:val="nil"/>
            </w:tcBorders>
            <w:shd w:val="clear" w:color="auto" w:fill="auto"/>
          </w:tcPr>
          <w:p w:rsidR="00540D30" w:rsidRPr="00E32E3B" w:rsidRDefault="00540D30" w:rsidP="00E32E3B">
            <w:pPr>
              <w:spacing w:after="120" w:line="360" w:lineRule="exact"/>
              <w:jc w:val="both"/>
              <w:textDirection w:val="tbRlV"/>
              <w:rPr>
                <w:rtl/>
                <w:lang w:eastAsia="zh-TW"/>
              </w:rPr>
            </w:pPr>
            <w:r w:rsidRPr="00E32E3B">
              <w:rPr>
                <w:rtl/>
                <w:lang w:eastAsia="zh-TW"/>
              </w:rPr>
              <w:t>تقييم اللجنة:</w:t>
            </w:r>
          </w:p>
        </w:tc>
        <w:tc>
          <w:tcPr>
            <w:tcW w:w="4677" w:type="dxa"/>
            <w:tcBorders>
              <w:bottom w:val="nil"/>
            </w:tcBorders>
            <w:shd w:val="clear" w:color="auto" w:fill="auto"/>
          </w:tcPr>
          <w:p w:rsidR="00540D30" w:rsidRPr="00E32E3B" w:rsidRDefault="00540D30" w:rsidP="00837027">
            <w:pPr>
              <w:spacing w:after="120" w:line="360" w:lineRule="exact"/>
              <w:jc w:val="both"/>
              <w:textDirection w:val="tbRlV"/>
              <w:rPr>
                <w:rtl/>
                <w:lang w:eastAsia="zh-TW"/>
              </w:rPr>
            </w:pPr>
            <w:r w:rsidRPr="00E32E3B">
              <w:rPr>
                <w:rtl/>
                <w:lang w:eastAsia="zh-TW"/>
              </w:rPr>
              <w:t>يلزم تقديم معلومات إضافية عن الفقرات 11</w:t>
            </w:r>
            <w:r w:rsidRPr="00026EAB">
              <w:rPr>
                <w:b/>
                <w:bCs/>
                <w:rtl/>
                <w:lang w:eastAsia="zh-TW"/>
              </w:rPr>
              <w:t xml:space="preserve">[باء][جيم] </w:t>
            </w:r>
            <w:r w:rsidRPr="00E32E3B">
              <w:rPr>
                <w:rtl/>
                <w:lang w:eastAsia="zh-TW"/>
              </w:rPr>
              <w:t>و13</w:t>
            </w:r>
            <w:r w:rsidRPr="00026EAB">
              <w:rPr>
                <w:b/>
                <w:bCs/>
                <w:rtl/>
                <w:lang w:eastAsia="zh-TW"/>
              </w:rPr>
              <w:t>[</w:t>
            </w:r>
            <w:r w:rsidR="00837027">
              <w:rPr>
                <w:rFonts w:hint="cs"/>
                <w:b/>
                <w:bCs/>
                <w:rtl/>
                <w:lang w:eastAsia="zh-TW"/>
              </w:rPr>
              <w:t>هاء</w:t>
            </w:r>
            <w:r w:rsidRPr="00026EAB">
              <w:rPr>
                <w:b/>
                <w:bCs/>
                <w:rtl/>
                <w:lang w:eastAsia="zh-TW"/>
              </w:rPr>
              <w:t>][</w:t>
            </w:r>
            <w:r w:rsidR="00837027">
              <w:rPr>
                <w:rFonts w:hint="cs"/>
                <w:b/>
                <w:bCs/>
                <w:rtl/>
                <w:lang w:eastAsia="zh-TW"/>
              </w:rPr>
              <w:t>هاء</w:t>
            </w:r>
            <w:r w:rsidRPr="00026EAB">
              <w:rPr>
                <w:b/>
                <w:bCs/>
                <w:rtl/>
                <w:lang w:eastAsia="zh-TW"/>
              </w:rPr>
              <w:t>]</w:t>
            </w:r>
            <w:r w:rsidRPr="00E32E3B">
              <w:rPr>
                <w:rtl/>
                <w:lang w:eastAsia="zh-TW"/>
              </w:rPr>
              <w:t xml:space="preserve"> و19</w:t>
            </w:r>
            <w:r w:rsidR="00026EAB">
              <w:rPr>
                <w:b/>
                <w:bCs/>
                <w:rtl/>
                <w:lang w:eastAsia="zh-TW"/>
              </w:rPr>
              <w:t>[باء]</w:t>
            </w:r>
            <w:r w:rsidRPr="00026EAB">
              <w:rPr>
                <w:b/>
                <w:bCs/>
                <w:rtl/>
                <w:lang w:eastAsia="zh-TW"/>
              </w:rPr>
              <w:t>[جيم]</w:t>
            </w:r>
            <w:r w:rsidRPr="00026EAB">
              <w:rPr>
                <w:rFonts w:cs="Times New Roman" w:hint="cs"/>
                <w:b/>
                <w:bCs/>
                <w:rtl/>
                <w:lang w:eastAsia="zh-TW"/>
              </w:rPr>
              <w:t>‬</w:t>
            </w:r>
          </w:p>
        </w:tc>
      </w:tr>
    </w:tbl>
    <w:p w:rsidR="00E32E3B" w:rsidRPr="00E32E3B" w:rsidRDefault="00026EAB" w:rsidP="00026EAB">
      <w:pPr>
        <w:pStyle w:val="H23GA"/>
        <w:rPr>
          <w:rtl/>
        </w:rPr>
      </w:pPr>
      <w:r>
        <w:rPr>
          <w:rtl/>
        </w:rPr>
        <w:tab/>
      </w:r>
      <w:r>
        <w:rPr>
          <w:rtl/>
        </w:rPr>
        <w:tab/>
      </w:r>
      <w:r w:rsidR="00E32E3B" w:rsidRPr="00E32E3B">
        <w:rPr>
          <w:rtl/>
        </w:rPr>
        <w:t xml:space="preserve">الفقرة 11: </w:t>
      </w:r>
      <w:dir w:val="rtl">
        <w:r w:rsidR="00E32E3B" w:rsidRPr="00E32E3B">
          <w:rPr>
            <w:rtl/>
          </w:rPr>
          <w:t>حالة الطوارئ ومكافحة الإرهاب</w:t>
        </w:r>
        <w:r w:rsidR="00E32E3B" w:rsidRPr="00E32E3B">
          <w:rPr>
            <w:rFonts w:cs="Times New Roman" w:hint="cs"/>
            <w:rtl/>
          </w:rPr>
          <w:t>‬</w:t>
        </w:r>
        <w:r w:rsidR="00E32E3B" w:rsidRPr="00E32E3B">
          <w:rPr>
            <w:rtl/>
          </w:rPr>
          <w:t xml:space="preserve"> </w:t>
        </w:r>
        <w:r w:rsidR="00E32E3B" w:rsidRPr="00E32E3B">
          <w:t>‬</w:t>
        </w:r>
        <w:r w:rsidR="00E32E3B" w:rsidRPr="00E32E3B">
          <w:t>‬</w:t>
        </w:r>
        <w:r w:rsidR="00E32E3B" w:rsidRPr="00E32E3B">
          <w:t>‬</w:t>
        </w:r>
        <w:r w:rsidR="00E32E3B" w:rsidRPr="00E32E3B">
          <w:t>‬</w:t>
        </w:r>
        <w:r w:rsidR="00E32E3B" w:rsidRPr="00E32E3B">
          <w:t>‬</w:t>
        </w:r>
        <w:r w:rsidR="00E32E3B" w:rsidRPr="00E32E3B">
          <w:t>‬</w:t>
        </w:r>
        <w:r w:rsidR="00DC1DEF">
          <w:t>‬</w:t>
        </w:r>
        <w:r w:rsidR="00BD0320">
          <w:t>‬</w:t>
        </w:r>
        <w:r w:rsidR="00E50C3B">
          <w:t>‬</w:t>
        </w:r>
        <w:r w:rsidR="00D8591B">
          <w:t>‬</w:t>
        </w:r>
      </w:dir>
    </w:p>
    <w:p w:rsidR="00E32E3B" w:rsidRPr="00E32E3B" w:rsidRDefault="00E32E3B" w:rsidP="000679C9">
      <w:pPr>
        <w:pStyle w:val="SingleTxtGA"/>
        <w:rPr>
          <w:b/>
          <w:bCs/>
          <w:rtl/>
          <w:lang w:eastAsia="zh-TW"/>
        </w:rPr>
      </w:pPr>
      <w:r>
        <w:rPr>
          <w:b/>
          <w:bCs/>
          <w:rtl/>
        </w:rPr>
        <w:tab/>
      </w:r>
      <w:dir w:val="rtl">
        <w:r w:rsidRPr="00E32E3B">
          <w:rPr>
            <w:b/>
            <w:bCs/>
            <w:rtl/>
            <w:lang w:eastAsia="zh-TW"/>
          </w:rPr>
          <w:t>ينبغي للدولة الطرف أن تسرع اعتماد قانون ينظَّم حالات الطوارئ وتكفل امتثالها بالكامل لمقتضيات المادة 4 من العهد، وفقاً لتفسير اللجنة في تعليقها العام رقم 29.</w:t>
        </w:r>
        <w:r w:rsidRPr="00E32E3B">
          <w:rPr>
            <w:rFonts w:cs="Times New Roman" w:hint="cs"/>
            <w:b/>
            <w:bCs/>
            <w:rtl/>
            <w:lang w:eastAsia="zh-TW"/>
          </w:rPr>
          <w:t>‬</w:t>
        </w:r>
        <w:r w:rsidRPr="00E32E3B">
          <w:rPr>
            <w:b/>
            <w:bCs/>
            <w:rtl/>
            <w:lang w:eastAsia="zh-TW"/>
          </w:rPr>
          <w:t xml:space="preserve"> </w:t>
        </w:r>
        <w:r w:rsidRPr="00E32E3B">
          <w:rPr>
            <w:rFonts w:ascii="Traditional Arabic" w:hAnsi="Traditional Arabic" w:hint="cs"/>
            <w:b/>
            <w:bCs/>
            <w:rtl/>
            <w:lang w:eastAsia="zh-TW"/>
          </w:rPr>
          <w:t>وينبغي</w:t>
        </w:r>
        <w:r w:rsidRPr="00E32E3B">
          <w:rPr>
            <w:b/>
            <w:bCs/>
            <w:rtl/>
            <w:lang w:eastAsia="zh-TW"/>
          </w:rPr>
          <w:t xml:space="preserve"> </w:t>
        </w:r>
        <w:r w:rsidRPr="00E32E3B">
          <w:rPr>
            <w:rFonts w:ascii="Traditional Arabic" w:hAnsi="Traditional Arabic" w:hint="cs"/>
            <w:b/>
            <w:bCs/>
            <w:rtl/>
            <w:lang w:eastAsia="zh-TW"/>
          </w:rPr>
          <w:t>للدولة</w:t>
        </w:r>
        <w:r w:rsidRPr="00E32E3B">
          <w:rPr>
            <w:b/>
            <w:bCs/>
            <w:rtl/>
            <w:lang w:eastAsia="zh-TW"/>
          </w:rPr>
          <w:t xml:space="preserve"> </w:t>
        </w:r>
        <w:r w:rsidRPr="00E32E3B">
          <w:rPr>
            <w:rFonts w:ascii="Traditional Arabic" w:hAnsi="Traditional Arabic" w:hint="cs"/>
            <w:b/>
            <w:bCs/>
            <w:rtl/>
            <w:lang w:eastAsia="zh-TW"/>
          </w:rPr>
          <w:t>الطرف</w:t>
        </w:r>
        <w:r w:rsidRPr="00E32E3B">
          <w:rPr>
            <w:b/>
            <w:bCs/>
            <w:rtl/>
            <w:lang w:eastAsia="zh-TW"/>
          </w:rPr>
          <w:t xml:space="preserve"> </w:t>
        </w:r>
        <w:r w:rsidRPr="00E32E3B">
          <w:rPr>
            <w:rFonts w:ascii="Traditional Arabic" w:hAnsi="Traditional Arabic" w:hint="cs"/>
            <w:b/>
            <w:bCs/>
            <w:rtl/>
            <w:lang w:eastAsia="zh-TW"/>
          </w:rPr>
          <w:t>أن</w:t>
        </w:r>
        <w:r w:rsidRPr="00E32E3B">
          <w:rPr>
            <w:b/>
            <w:bCs/>
            <w:rtl/>
            <w:lang w:eastAsia="zh-TW"/>
          </w:rPr>
          <w:t xml:space="preserve"> </w:t>
        </w:r>
        <w:r w:rsidRPr="00E32E3B">
          <w:rPr>
            <w:rFonts w:ascii="Traditional Arabic" w:hAnsi="Traditional Arabic" w:hint="cs"/>
            <w:b/>
            <w:bCs/>
            <w:rtl/>
            <w:lang w:eastAsia="zh-TW"/>
          </w:rPr>
          <w:t>تتخذ</w:t>
        </w:r>
        <w:r w:rsidRPr="00E32E3B">
          <w:rPr>
            <w:b/>
            <w:bCs/>
            <w:rtl/>
            <w:lang w:eastAsia="zh-TW"/>
          </w:rPr>
          <w:t xml:space="preserve"> </w:t>
        </w:r>
        <w:r w:rsidRPr="00E32E3B">
          <w:rPr>
            <w:rFonts w:ascii="Traditional Arabic" w:hAnsi="Traditional Arabic" w:hint="cs"/>
            <w:b/>
            <w:bCs/>
            <w:rtl/>
            <w:lang w:eastAsia="zh-TW"/>
          </w:rPr>
          <w:t>جميع</w:t>
        </w:r>
        <w:r w:rsidRPr="00E32E3B">
          <w:rPr>
            <w:b/>
            <w:bCs/>
            <w:rtl/>
            <w:lang w:eastAsia="zh-TW"/>
          </w:rPr>
          <w:t xml:space="preserve"> </w:t>
        </w:r>
        <w:r w:rsidRPr="00E32E3B">
          <w:rPr>
            <w:rFonts w:ascii="Traditional Arabic" w:hAnsi="Traditional Arabic" w:hint="cs"/>
            <w:b/>
            <w:bCs/>
            <w:rtl/>
            <w:lang w:eastAsia="zh-TW"/>
          </w:rPr>
          <w:t>التدابير</w:t>
        </w:r>
        <w:r w:rsidRPr="00E32E3B">
          <w:rPr>
            <w:b/>
            <w:bCs/>
            <w:rtl/>
            <w:lang w:eastAsia="zh-TW"/>
          </w:rPr>
          <w:t xml:space="preserve"> </w:t>
        </w:r>
        <w:r w:rsidRPr="00E32E3B">
          <w:rPr>
            <w:rFonts w:ascii="Traditional Arabic" w:hAnsi="Traditional Arabic" w:hint="cs"/>
            <w:b/>
            <w:bCs/>
            <w:rtl/>
            <w:lang w:eastAsia="zh-TW"/>
          </w:rPr>
          <w:t>اللازمة</w:t>
        </w:r>
        <w:r w:rsidRPr="00E32E3B">
          <w:rPr>
            <w:b/>
            <w:bCs/>
            <w:rtl/>
            <w:lang w:eastAsia="zh-TW"/>
          </w:rPr>
          <w:t xml:space="preserve"> </w:t>
        </w:r>
        <w:r w:rsidRPr="00E32E3B">
          <w:rPr>
            <w:rFonts w:ascii="Traditional Arabic" w:hAnsi="Traditional Arabic" w:hint="cs"/>
            <w:b/>
            <w:bCs/>
            <w:rtl/>
            <w:lang w:eastAsia="zh-TW"/>
          </w:rPr>
          <w:t>لضمان</w:t>
        </w:r>
        <w:r w:rsidRPr="00E32E3B">
          <w:rPr>
            <w:b/>
            <w:bCs/>
            <w:rtl/>
            <w:lang w:eastAsia="zh-TW"/>
          </w:rPr>
          <w:t xml:space="preserve"> </w:t>
        </w:r>
        <w:r w:rsidRPr="00E32E3B">
          <w:rPr>
            <w:rFonts w:ascii="Traditional Arabic" w:hAnsi="Traditional Arabic" w:hint="cs"/>
            <w:b/>
            <w:bCs/>
            <w:rtl/>
            <w:lang w:eastAsia="zh-TW"/>
          </w:rPr>
          <w:t>تطابق</w:t>
        </w:r>
        <w:r w:rsidRPr="00E32E3B">
          <w:rPr>
            <w:b/>
            <w:bCs/>
            <w:rtl/>
            <w:lang w:eastAsia="zh-TW"/>
          </w:rPr>
          <w:t xml:space="preserve"> </w:t>
        </w:r>
        <w:r w:rsidRPr="00E32E3B">
          <w:rPr>
            <w:rFonts w:ascii="Traditional Arabic" w:hAnsi="Traditional Arabic" w:hint="cs"/>
            <w:b/>
            <w:bCs/>
            <w:rtl/>
            <w:lang w:eastAsia="zh-TW"/>
          </w:rPr>
          <w:t>تشريعاتها</w:t>
        </w:r>
        <w:r w:rsidRPr="00E32E3B">
          <w:rPr>
            <w:b/>
            <w:bCs/>
            <w:rtl/>
            <w:lang w:eastAsia="zh-TW"/>
          </w:rPr>
          <w:t xml:space="preserve"> </w:t>
        </w:r>
        <w:r w:rsidRPr="00E32E3B">
          <w:rPr>
            <w:rFonts w:ascii="Traditional Arabic" w:hAnsi="Traditional Arabic" w:hint="cs"/>
            <w:b/>
            <w:bCs/>
            <w:rtl/>
            <w:lang w:eastAsia="zh-TW"/>
          </w:rPr>
          <w:t>وممارساتها</w:t>
        </w:r>
        <w:r w:rsidRPr="00E32E3B">
          <w:rPr>
            <w:b/>
            <w:bCs/>
            <w:rtl/>
            <w:lang w:eastAsia="zh-TW"/>
          </w:rPr>
          <w:t xml:space="preserve"> </w:t>
        </w:r>
        <w:r w:rsidRPr="00E32E3B">
          <w:rPr>
            <w:rFonts w:ascii="Traditional Arabic" w:hAnsi="Traditional Arabic" w:hint="cs"/>
            <w:b/>
            <w:bCs/>
            <w:rtl/>
            <w:lang w:eastAsia="zh-TW"/>
          </w:rPr>
          <w:t>المتعلقة</w:t>
        </w:r>
        <w:r w:rsidRPr="00E32E3B">
          <w:rPr>
            <w:b/>
            <w:bCs/>
            <w:rtl/>
            <w:lang w:eastAsia="zh-TW"/>
          </w:rPr>
          <w:t xml:space="preserve"> </w:t>
        </w:r>
        <w:r w:rsidRPr="00E32E3B">
          <w:rPr>
            <w:rFonts w:ascii="Traditional Arabic" w:hAnsi="Traditional Arabic" w:hint="cs"/>
            <w:b/>
            <w:bCs/>
            <w:rtl/>
            <w:lang w:eastAsia="zh-TW"/>
          </w:rPr>
          <w:t>بمكافحة</w:t>
        </w:r>
        <w:r w:rsidRPr="00E32E3B">
          <w:rPr>
            <w:b/>
            <w:bCs/>
            <w:rtl/>
            <w:lang w:eastAsia="zh-TW"/>
          </w:rPr>
          <w:t xml:space="preserve"> </w:t>
        </w:r>
        <w:r w:rsidRPr="00E32E3B">
          <w:rPr>
            <w:rFonts w:ascii="Traditional Arabic" w:hAnsi="Traditional Arabic" w:hint="cs"/>
            <w:b/>
            <w:bCs/>
            <w:rtl/>
            <w:lang w:eastAsia="zh-TW"/>
          </w:rPr>
          <w:t>الإرهاب،</w:t>
        </w:r>
        <w:r w:rsidRPr="00E32E3B">
          <w:rPr>
            <w:b/>
            <w:bCs/>
            <w:rtl/>
            <w:lang w:eastAsia="zh-TW"/>
          </w:rPr>
          <w:t xml:space="preserve"> </w:t>
        </w:r>
        <w:r w:rsidRPr="00E32E3B">
          <w:rPr>
            <w:rFonts w:ascii="Traditional Arabic" w:hAnsi="Traditional Arabic" w:hint="cs"/>
            <w:b/>
            <w:bCs/>
            <w:rtl/>
            <w:lang w:eastAsia="zh-TW"/>
          </w:rPr>
          <w:t>بالكامل،</w:t>
        </w:r>
        <w:r w:rsidRPr="00E32E3B">
          <w:rPr>
            <w:b/>
            <w:bCs/>
            <w:rtl/>
            <w:lang w:eastAsia="zh-TW"/>
          </w:rPr>
          <w:t xml:space="preserve"> </w:t>
        </w:r>
        <w:r w:rsidRPr="00E32E3B">
          <w:rPr>
            <w:rFonts w:ascii="Traditional Arabic" w:hAnsi="Traditional Arabic" w:hint="cs"/>
            <w:b/>
            <w:bCs/>
            <w:rtl/>
            <w:lang w:eastAsia="zh-TW"/>
          </w:rPr>
          <w:t>مع</w:t>
        </w:r>
        <w:r w:rsidRPr="00E32E3B">
          <w:rPr>
            <w:b/>
            <w:bCs/>
            <w:rtl/>
            <w:lang w:eastAsia="zh-TW"/>
          </w:rPr>
          <w:t xml:space="preserve"> </w:t>
        </w:r>
        <w:r w:rsidRPr="00E32E3B">
          <w:rPr>
            <w:rFonts w:ascii="Traditional Arabic" w:hAnsi="Traditional Arabic" w:hint="cs"/>
            <w:b/>
            <w:bCs/>
            <w:rtl/>
            <w:lang w:eastAsia="zh-TW"/>
          </w:rPr>
          <w:t>التزاماتها</w:t>
        </w:r>
        <w:r w:rsidRPr="00E32E3B">
          <w:rPr>
            <w:b/>
            <w:bCs/>
            <w:rtl/>
            <w:lang w:eastAsia="zh-TW"/>
          </w:rPr>
          <w:t xml:space="preserve"> </w:t>
        </w:r>
        <w:r w:rsidRPr="00E32E3B">
          <w:rPr>
            <w:rFonts w:ascii="Traditional Arabic" w:hAnsi="Traditional Arabic" w:hint="cs"/>
            <w:b/>
            <w:bCs/>
            <w:rtl/>
            <w:lang w:eastAsia="zh-TW"/>
          </w:rPr>
          <w:t>بموجب</w:t>
        </w:r>
        <w:r w:rsidRPr="00E32E3B">
          <w:rPr>
            <w:b/>
            <w:bCs/>
            <w:rtl/>
            <w:lang w:eastAsia="zh-TW"/>
          </w:rPr>
          <w:t xml:space="preserve"> </w:t>
        </w:r>
        <w:r w:rsidRPr="00E32E3B">
          <w:rPr>
            <w:rFonts w:ascii="Traditional Arabic" w:hAnsi="Traditional Arabic" w:hint="cs"/>
            <w:b/>
            <w:bCs/>
            <w:rtl/>
            <w:lang w:eastAsia="zh-TW"/>
          </w:rPr>
          <w:t>العهد،</w:t>
        </w:r>
        <w:r w:rsidRPr="00E32E3B">
          <w:rPr>
            <w:b/>
            <w:bCs/>
            <w:rtl/>
            <w:lang w:eastAsia="zh-TW"/>
          </w:rPr>
          <w:t xml:space="preserve"> </w:t>
        </w:r>
        <w:r w:rsidRPr="00E32E3B">
          <w:rPr>
            <w:rFonts w:ascii="Traditional Arabic" w:hAnsi="Traditional Arabic" w:hint="cs"/>
            <w:b/>
            <w:bCs/>
            <w:rtl/>
            <w:lang w:eastAsia="zh-TW"/>
          </w:rPr>
          <w:t>بسبل</w:t>
        </w:r>
        <w:r w:rsidRPr="00E32E3B">
          <w:rPr>
            <w:b/>
            <w:bCs/>
            <w:rtl/>
            <w:lang w:eastAsia="zh-TW"/>
          </w:rPr>
          <w:t xml:space="preserve"> </w:t>
        </w:r>
        <w:r w:rsidRPr="00E32E3B">
          <w:rPr>
            <w:rFonts w:ascii="Traditional Arabic" w:hAnsi="Traditional Arabic" w:hint="cs"/>
            <w:b/>
            <w:bCs/>
            <w:rtl/>
            <w:lang w:eastAsia="zh-TW"/>
          </w:rPr>
          <w:t>منها</w:t>
        </w:r>
        <w:r w:rsidRPr="00E32E3B">
          <w:rPr>
            <w:b/>
            <w:bCs/>
            <w:rtl/>
            <w:lang w:eastAsia="zh-TW"/>
          </w:rPr>
          <w:t xml:space="preserve"> </w:t>
        </w:r>
        <w:r w:rsidRPr="00E32E3B">
          <w:rPr>
            <w:rFonts w:ascii="Traditional Arabic" w:hAnsi="Traditional Arabic" w:hint="cs"/>
            <w:b/>
            <w:bCs/>
            <w:rtl/>
            <w:lang w:eastAsia="zh-TW"/>
          </w:rPr>
          <w:t>ما</w:t>
        </w:r>
        <w:r w:rsidRPr="00E32E3B">
          <w:rPr>
            <w:b/>
            <w:bCs/>
            <w:rtl/>
            <w:lang w:eastAsia="zh-TW"/>
          </w:rPr>
          <w:t xml:space="preserve"> </w:t>
        </w:r>
        <w:r w:rsidRPr="00E32E3B">
          <w:rPr>
            <w:rFonts w:ascii="Traditional Arabic" w:hAnsi="Traditional Arabic" w:hint="cs"/>
            <w:b/>
            <w:bCs/>
            <w:rtl/>
            <w:lang w:eastAsia="zh-TW"/>
          </w:rPr>
          <w:t>يلي</w:t>
        </w:r>
        <w:r w:rsidRPr="00E32E3B">
          <w:rPr>
            <w:b/>
            <w:bCs/>
            <w:rtl/>
            <w:lang w:eastAsia="zh-TW"/>
          </w:rPr>
          <w:t>:</w:t>
        </w:r>
        <w:r w:rsidRPr="00E32E3B">
          <w:rPr>
            <w:rFonts w:cs="Times New Roman" w:hint="cs"/>
            <w:b/>
            <w:bCs/>
            <w:rtl/>
            <w:lang w:eastAsia="zh-TW"/>
          </w:rPr>
          <w:t>‬</w:t>
        </w:r>
        <w:r w:rsidRPr="00E32E3B">
          <w:rPr>
            <w:b/>
            <w:bCs/>
          </w:rPr>
          <w:t>‬</w:t>
        </w:r>
        <w:r w:rsidRPr="00E32E3B">
          <w:rPr>
            <w:b/>
            <w:bCs/>
          </w:rPr>
          <w:t>‬</w:t>
        </w:r>
        <w:r w:rsidRPr="00E32E3B">
          <w:rPr>
            <w:b/>
            <w:bCs/>
          </w:rPr>
          <w:t>‬</w:t>
        </w:r>
        <w:r w:rsidRPr="00E32E3B">
          <w:rPr>
            <w:b/>
            <w:bCs/>
          </w:rPr>
          <w:t>‬</w:t>
        </w:r>
        <w:r w:rsidRPr="00E32E3B">
          <w:rPr>
            <w:b/>
            <w:bCs/>
          </w:rPr>
          <w:t>‬</w:t>
        </w:r>
        <w:r w:rsidRPr="00E32E3B">
          <w:rPr>
            <w:b/>
            <w:bCs/>
          </w:rPr>
          <w:t>‬</w:t>
        </w:r>
        <w:r w:rsidR="00DC1DEF">
          <w:t>‬</w:t>
        </w:r>
        <w:r w:rsidR="00BD0320">
          <w:t>‬</w:t>
        </w:r>
        <w:r w:rsidR="00E50C3B">
          <w:t>‬</w:t>
        </w:r>
        <w:r w:rsidR="00D8591B">
          <w:t>‬</w:t>
        </w:r>
      </w:dir>
    </w:p>
    <w:p w:rsidR="00E32E3B" w:rsidRPr="00E32E3B" w:rsidRDefault="00E32E3B" w:rsidP="000679C9">
      <w:pPr>
        <w:pStyle w:val="SingleTxtGA"/>
        <w:rPr>
          <w:b/>
          <w:bCs/>
          <w:rtl/>
          <w:lang w:eastAsia="zh-TW"/>
        </w:rPr>
      </w:pPr>
      <w:r w:rsidRPr="00E32E3B">
        <w:rPr>
          <w:b/>
          <w:bCs/>
          <w:lang w:eastAsia="zh-TW"/>
        </w:rPr>
        <w:tab/>
      </w:r>
      <w:r w:rsidRPr="00E32E3B">
        <w:rPr>
          <w:b/>
          <w:bCs/>
          <w:rtl/>
          <w:lang w:eastAsia="zh-TW"/>
        </w:rPr>
        <w:t>(أ)</w:t>
      </w:r>
      <w:r w:rsidRPr="00E32E3B">
        <w:rPr>
          <w:b/>
          <w:bCs/>
          <w:rtl/>
          <w:lang w:eastAsia="zh-TW"/>
        </w:rPr>
        <w:tab/>
        <w:t>تعديل تعريفها للإرهاب والأنشطة والإرهابية الفضفاض للغاية؛</w:t>
      </w:r>
      <w:r w:rsidRPr="00E32E3B">
        <w:rPr>
          <w:rFonts w:cs="Times New Roman" w:hint="cs"/>
          <w:b/>
          <w:bCs/>
          <w:rtl/>
          <w:lang w:eastAsia="zh-TW"/>
        </w:rPr>
        <w:t>‬</w:t>
      </w:r>
    </w:p>
    <w:p w:rsidR="00E32E3B" w:rsidRPr="00E32E3B" w:rsidRDefault="00E32E3B" w:rsidP="000679C9">
      <w:pPr>
        <w:pStyle w:val="SingleTxtGA"/>
        <w:rPr>
          <w:b/>
          <w:bCs/>
          <w:rtl/>
          <w:lang w:eastAsia="zh-TW"/>
        </w:rPr>
      </w:pPr>
      <w:r>
        <w:rPr>
          <w:b/>
          <w:bCs/>
          <w:rtl/>
          <w:lang w:eastAsia="zh-TW"/>
        </w:rPr>
        <w:tab/>
      </w:r>
      <w:r w:rsidRPr="00E32E3B">
        <w:rPr>
          <w:b/>
          <w:bCs/>
          <w:rtl/>
          <w:lang w:eastAsia="zh-TW"/>
        </w:rPr>
        <w:t>(ب)</w:t>
      </w:r>
      <w:r>
        <w:rPr>
          <w:b/>
          <w:bCs/>
          <w:rtl/>
          <w:lang w:eastAsia="zh-TW"/>
        </w:rPr>
        <w:tab/>
      </w:r>
      <w:r w:rsidRPr="00E32E3B">
        <w:rPr>
          <w:b/>
          <w:bCs/>
          <w:rtl/>
          <w:lang w:eastAsia="zh-TW"/>
        </w:rPr>
        <w:t>ضمان توفير جميع الضمانات القانونية، من الناحية العملية، للأشخاص المشتبه في ارتكابهم أفعال إرهاب أو جرائم ذات صلة بها أو المتهمين بارتكاب هذه الأفعال، وضمان أن لا تُفرض أية قيود على حقوقهم فرضاً تعسفياً، وأن تكون هذه القيود قانونية وضرورية ومتناسبة مع أفعالهم وتخضع لإشراف قضائي فعال.</w:t>
      </w:r>
      <w:r w:rsidRPr="00E32E3B">
        <w:rPr>
          <w:rFonts w:cs="Times New Roman" w:hint="cs"/>
          <w:b/>
          <w:bCs/>
          <w:rtl/>
          <w:lang w:eastAsia="zh-TW"/>
        </w:rPr>
        <w:t>‬</w:t>
      </w:r>
      <w:r w:rsidRPr="00E32E3B">
        <w:rPr>
          <w:b/>
          <w:bCs/>
          <w:rtl/>
          <w:lang w:eastAsia="zh-TW"/>
        </w:rPr>
        <w:t xml:space="preserve"> </w:t>
      </w:r>
      <w:r w:rsidRPr="00E32E3B">
        <w:rPr>
          <w:b/>
          <w:bCs/>
        </w:rPr>
        <w:t>‬</w:t>
      </w:r>
    </w:p>
    <w:tbl>
      <w:tblPr>
        <w:bidiVisual/>
        <w:tblW w:w="7252" w:type="dxa"/>
        <w:tblInd w:w="1252" w:type="dxa"/>
        <w:tblBorders>
          <w:top w:val="single" w:sz="4" w:space="0" w:color="auto"/>
          <w:bottom w:val="single" w:sz="12" w:space="0" w:color="auto"/>
        </w:tblBorders>
        <w:tblLayout w:type="fixed"/>
        <w:tblLook w:val="00A0" w:firstRow="1" w:lastRow="0" w:firstColumn="1" w:lastColumn="0" w:noHBand="0" w:noVBand="0"/>
      </w:tblPr>
      <w:tblGrid>
        <w:gridCol w:w="2575"/>
        <w:gridCol w:w="4677"/>
      </w:tblGrid>
      <w:tr w:rsidR="00026EAB" w:rsidRPr="00E32E3B" w:rsidTr="00873C81">
        <w:trPr>
          <w:trHeight w:val="240"/>
          <w:tblHeader/>
        </w:trPr>
        <w:tc>
          <w:tcPr>
            <w:tcW w:w="2575" w:type="dxa"/>
            <w:tcBorders>
              <w:top w:val="single" w:sz="4" w:space="0" w:color="auto"/>
              <w:bottom w:val="single" w:sz="12" w:space="0" w:color="auto"/>
            </w:tcBorders>
            <w:shd w:val="clear" w:color="auto" w:fill="auto"/>
            <w:vAlign w:val="bottom"/>
          </w:tcPr>
          <w:p w:rsidR="00026EAB" w:rsidRPr="00E32E3B" w:rsidRDefault="00026EAB" w:rsidP="00026EAB">
            <w:pPr>
              <w:pageBreakBefore/>
              <w:spacing w:after="120" w:line="360" w:lineRule="exact"/>
              <w:jc w:val="both"/>
              <w:textDirection w:val="tbRlV"/>
              <w:rPr>
                <w:i/>
                <w:iCs/>
                <w:sz w:val="16"/>
                <w:rtl/>
                <w:lang w:eastAsia="zh-TW"/>
              </w:rPr>
            </w:pPr>
            <w:r w:rsidRPr="00E32E3B">
              <w:rPr>
                <w:i/>
                <w:iCs/>
                <w:rtl/>
                <w:lang w:eastAsia="zh-TW"/>
              </w:rPr>
              <w:lastRenderedPageBreak/>
              <w:t>أوزبكستان</w:t>
            </w:r>
          </w:p>
        </w:tc>
        <w:tc>
          <w:tcPr>
            <w:tcW w:w="4677" w:type="dxa"/>
            <w:tcBorders>
              <w:top w:val="single" w:sz="4" w:space="0" w:color="auto"/>
              <w:bottom w:val="single" w:sz="12" w:space="0" w:color="auto"/>
            </w:tcBorders>
            <w:shd w:val="clear" w:color="auto" w:fill="auto"/>
            <w:vAlign w:val="bottom"/>
          </w:tcPr>
          <w:p w:rsidR="00026EAB" w:rsidRPr="00E32E3B" w:rsidRDefault="00026EAB" w:rsidP="00026EAB">
            <w:pPr>
              <w:pageBreakBefore/>
              <w:spacing w:after="120" w:line="360" w:lineRule="exact"/>
              <w:jc w:val="both"/>
              <w:rPr>
                <w:i/>
                <w:iCs/>
                <w:sz w:val="16"/>
              </w:rPr>
            </w:pPr>
          </w:p>
        </w:tc>
      </w:tr>
    </w:tbl>
    <w:p w:rsidR="00E32E3B" w:rsidRPr="00E32E3B" w:rsidRDefault="00026EAB" w:rsidP="00026EAB">
      <w:pPr>
        <w:pStyle w:val="H23GA"/>
        <w:rPr>
          <w:rtl/>
        </w:rPr>
      </w:pPr>
      <w:r>
        <w:rPr>
          <w:rtl/>
        </w:rPr>
        <w:tab/>
      </w:r>
      <w:r>
        <w:rPr>
          <w:rtl/>
        </w:rPr>
        <w:tab/>
      </w:r>
      <w:r w:rsidR="00E32E3B" w:rsidRPr="00E32E3B">
        <w:rPr>
          <w:rtl/>
        </w:rPr>
        <w:t xml:space="preserve">ملخص ردّ الدولة الطرف </w:t>
      </w:r>
    </w:p>
    <w:p w:rsidR="00E32E3B" w:rsidRPr="00E32E3B" w:rsidRDefault="00E32E3B" w:rsidP="00E32E3B">
      <w:pPr>
        <w:pStyle w:val="SingleTxtGA"/>
        <w:spacing w:line="360" w:lineRule="exact"/>
        <w:rPr>
          <w:rtl/>
          <w:lang w:eastAsia="zh-TW"/>
        </w:rPr>
      </w:pPr>
      <w:r>
        <w:rPr>
          <w:rtl/>
          <w:lang w:eastAsia="zh-TW"/>
        </w:rPr>
        <w:tab/>
      </w:r>
      <w:r w:rsidRPr="00E32E3B">
        <w:rPr>
          <w:rtl/>
          <w:lang w:eastAsia="zh-TW"/>
        </w:rPr>
        <w:t xml:space="preserve">تقدم الدولة الطرف معلومات مفصلة عن التدابير المتخذة لاعتماد قانون ينظم حالات الطوارئ، وتبلغ اللجنة بأنه يجري إعداد مشروع قانون لتقديمه إلى وزارة العدل. </w:t>
      </w:r>
    </w:p>
    <w:p w:rsidR="00E32E3B" w:rsidRDefault="00E32E3B" w:rsidP="00E32E3B">
      <w:pPr>
        <w:pStyle w:val="SingleTxtGA"/>
        <w:spacing w:line="360" w:lineRule="exact"/>
        <w:rPr>
          <w:rtl/>
          <w:lang w:eastAsia="zh-TW"/>
        </w:rPr>
      </w:pPr>
      <w:r>
        <w:rPr>
          <w:rtl/>
          <w:lang w:eastAsia="zh-TW"/>
        </w:rPr>
        <w:tab/>
      </w:r>
      <w:r w:rsidRPr="00E32E3B">
        <w:rPr>
          <w:rtl/>
          <w:lang w:eastAsia="zh-TW"/>
        </w:rPr>
        <w:t>ويعمل الإطار القانوني لمكافحة الإرهاب بشكل كامل ويتطور باستمرار، بما في ذلك قانون مكافحة الإرهاب الصادر في 15 كانون الأول/ديسمبر ٢٠٠٠ والقانون الجنائي الصادر في 22 أيلول/سبتمبر ١٩٩٤</w:t>
      </w:r>
      <w:r w:rsidR="00026EAB">
        <w:rPr>
          <w:rFonts w:hint="cs"/>
          <w:rtl/>
          <w:lang w:eastAsia="zh-TW"/>
        </w:rPr>
        <w:t xml:space="preserve">، </w:t>
      </w:r>
      <w:r w:rsidRPr="00E32E3B">
        <w:rPr>
          <w:rtl/>
          <w:lang w:eastAsia="zh-TW"/>
        </w:rPr>
        <w:t xml:space="preserve">ويعرف الإرهاب بوضوح في المادة ٢ من قانون مكافحة الإرهاب وترد المسؤولية عن الجرائم المتصلة بالإرهاب في المادة ١٥٥ من القانون الجنائي. وتكرر </w:t>
      </w:r>
      <w:r w:rsidRPr="00026EAB">
        <w:rPr>
          <w:spacing w:val="-2"/>
          <w:rtl/>
          <w:lang w:eastAsia="zh-TW"/>
        </w:rPr>
        <w:t xml:space="preserve">الدولة الطرف تأكيد نص المادة 155 (انظر </w:t>
      </w:r>
      <w:r w:rsidRPr="00026EAB">
        <w:rPr>
          <w:spacing w:val="-2"/>
          <w:lang w:eastAsia="zh-TW"/>
        </w:rPr>
        <w:t>CCPR/C/UZB/4</w:t>
      </w:r>
      <w:r w:rsidRPr="00026EAB">
        <w:rPr>
          <w:spacing w:val="-2"/>
          <w:rtl/>
          <w:lang w:eastAsia="zh-TW"/>
        </w:rPr>
        <w:t>. الفقرات ٧٠٥</w:t>
      </w:r>
      <w:r w:rsidRPr="00026EAB">
        <w:rPr>
          <w:rFonts w:hint="cs"/>
          <w:spacing w:val="-2"/>
          <w:rtl/>
          <w:lang w:eastAsia="zh-TW"/>
        </w:rPr>
        <w:t>-</w:t>
      </w:r>
      <w:r w:rsidRPr="00026EAB">
        <w:rPr>
          <w:spacing w:val="-2"/>
          <w:rtl/>
          <w:lang w:eastAsia="zh-TW"/>
        </w:rPr>
        <w:t xml:space="preserve">٧٠٧) والحقوق </w:t>
      </w:r>
      <w:r w:rsidRPr="00E32E3B">
        <w:rPr>
          <w:rtl/>
          <w:lang w:eastAsia="zh-TW"/>
        </w:rPr>
        <w:t xml:space="preserve">المكفولة في العهد للأشخاص الذين ارتكبوا أفعالاً إرهابية (انظر </w:t>
      </w:r>
      <w:r w:rsidRPr="00E32E3B">
        <w:rPr>
          <w:lang w:eastAsia="zh-TW"/>
        </w:rPr>
        <w:t>CCPR/C/UZB/Q/4/Add.1</w:t>
      </w:r>
      <w:r w:rsidRPr="00E32E3B">
        <w:rPr>
          <w:rtl/>
          <w:lang w:eastAsia="zh-TW"/>
        </w:rPr>
        <w:t>، الفقرتان ٥٥</w:t>
      </w:r>
      <w:r>
        <w:rPr>
          <w:rFonts w:hint="cs"/>
          <w:rtl/>
          <w:lang w:eastAsia="zh-TW"/>
        </w:rPr>
        <w:t xml:space="preserve"> و</w:t>
      </w:r>
      <w:r w:rsidRPr="00E32E3B">
        <w:rPr>
          <w:rtl/>
          <w:lang w:eastAsia="zh-TW"/>
        </w:rPr>
        <w:t>٥٦).</w:t>
      </w:r>
    </w:p>
    <w:p w:rsidR="00E32E3B" w:rsidRPr="00C91E78" w:rsidRDefault="00026EAB" w:rsidP="00026EAB">
      <w:pPr>
        <w:pStyle w:val="H23GA"/>
        <w:rPr>
          <w:rtl/>
        </w:rPr>
      </w:pPr>
      <w:r>
        <w:rPr>
          <w:rtl/>
        </w:rPr>
        <w:tab/>
      </w:r>
      <w:r>
        <w:rPr>
          <w:rtl/>
        </w:rPr>
        <w:tab/>
      </w:r>
      <w:r w:rsidR="00E32E3B" w:rsidRPr="00C91E78">
        <w:rPr>
          <w:rtl/>
        </w:rPr>
        <w:t>تقييم اللجنة</w:t>
      </w:r>
    </w:p>
    <w:p w:rsidR="00E32E3B" w:rsidRPr="00E32E3B" w:rsidRDefault="00E32E3B" w:rsidP="00E32E3B">
      <w:pPr>
        <w:pStyle w:val="SingleTxtGA"/>
        <w:rPr>
          <w:rtl/>
          <w:lang w:eastAsia="zh-TW"/>
        </w:rPr>
      </w:pPr>
      <w:r w:rsidRPr="00C91E78">
        <w:rPr>
          <w:b/>
          <w:bCs/>
          <w:rtl/>
          <w:lang w:eastAsia="zh-TW"/>
        </w:rPr>
        <w:t>[باء]:</w:t>
      </w:r>
      <w:r w:rsidRPr="00E32E3B">
        <w:rPr>
          <w:rtl/>
          <w:lang w:eastAsia="zh-TW"/>
        </w:rPr>
        <w:t xml:space="preserve"> تلاحظ اللجنة أن مشروع القانون المتعلق بحالات الطوارئ في طور الإعداد، وتطلب معلومات عن حالة مشروع القانون ومضمونه، بما في ذلك توضيحات بشأن ما إذا كانت الاستثناءات من أحكام العهد التي لا يجوز تقييدها أثناء حالات الطوارئ محظورة صراحة، وبشأن ما إذا كانت تتوافق تمام</w:t>
      </w:r>
      <w:r w:rsidR="00683334">
        <w:rPr>
          <w:rtl/>
          <w:lang w:eastAsia="zh-TW"/>
        </w:rPr>
        <w:t xml:space="preserve">اً </w:t>
      </w:r>
      <w:r w:rsidRPr="00E32E3B">
        <w:rPr>
          <w:rtl/>
          <w:lang w:eastAsia="zh-TW"/>
        </w:rPr>
        <w:t>مع المادة ٤ من العهد.</w:t>
      </w:r>
    </w:p>
    <w:p w:rsidR="00E32E3B" w:rsidRPr="00026EAB" w:rsidRDefault="00E32E3B" w:rsidP="00E32E3B">
      <w:pPr>
        <w:pStyle w:val="SingleTxtGA"/>
        <w:rPr>
          <w:spacing w:val="-2"/>
          <w:rtl/>
          <w:lang w:eastAsia="zh-TW"/>
        </w:rPr>
      </w:pPr>
      <w:r w:rsidRPr="00026EAB">
        <w:rPr>
          <w:b/>
          <w:bCs/>
          <w:spacing w:val="-2"/>
          <w:rtl/>
          <w:lang w:eastAsia="zh-TW"/>
        </w:rPr>
        <w:t>[جيم]:</w:t>
      </w:r>
      <w:r w:rsidRPr="00026EAB">
        <w:rPr>
          <w:spacing w:val="-2"/>
          <w:rtl/>
          <w:lang w:eastAsia="zh-TW"/>
        </w:rPr>
        <w:t xml:space="preserve"> تأسف اللجنة لأن الدولة الطرف لم تتخذ على ما</w:t>
      </w:r>
      <w:r w:rsidR="00C91E78" w:rsidRPr="00026EAB">
        <w:rPr>
          <w:rFonts w:hint="cs"/>
          <w:spacing w:val="-2"/>
          <w:rtl/>
          <w:lang w:eastAsia="zh-TW"/>
        </w:rPr>
        <w:t xml:space="preserve"> </w:t>
      </w:r>
      <w:r w:rsidRPr="00026EAB">
        <w:rPr>
          <w:spacing w:val="-2"/>
          <w:rtl/>
          <w:lang w:eastAsia="zh-TW"/>
        </w:rPr>
        <w:t>يبدو منذ اعتماد ملاحظاتها الختامية، أي تدابير لجعل التشريعات والممارسات المتعلقة بمكافحة الإرهاب، بما في ذلك التعريف الفضفاض للإرهاب والأنشطة الإرهابية، متوافقة توافق</w:t>
      </w:r>
      <w:r w:rsidR="00683334" w:rsidRPr="00026EAB">
        <w:rPr>
          <w:spacing w:val="-2"/>
          <w:rtl/>
          <w:lang w:eastAsia="zh-TW"/>
        </w:rPr>
        <w:t xml:space="preserve">اً </w:t>
      </w:r>
      <w:r w:rsidRPr="00026EAB">
        <w:rPr>
          <w:spacing w:val="-2"/>
          <w:rtl/>
          <w:lang w:eastAsia="zh-TW"/>
        </w:rPr>
        <w:t>تام</w:t>
      </w:r>
      <w:r w:rsidR="00683334" w:rsidRPr="00026EAB">
        <w:rPr>
          <w:spacing w:val="-2"/>
          <w:rtl/>
          <w:lang w:eastAsia="zh-TW"/>
        </w:rPr>
        <w:t xml:space="preserve">اً </w:t>
      </w:r>
      <w:r w:rsidRPr="00026EAB">
        <w:rPr>
          <w:spacing w:val="-2"/>
          <w:rtl/>
          <w:lang w:eastAsia="zh-TW"/>
        </w:rPr>
        <w:t>مع التزاماتها بموجب العهد، والتأكد من أن الأشخاص المشتبه في ارتكابهم الإرهاب أو جريمة متصلة بالإرهاب، أو المتهمين بذلك، يحصلون في الممارسة على جميع الضمانات القانونية ولا</w:t>
      </w:r>
      <w:r w:rsidR="00C91E78" w:rsidRPr="00026EAB">
        <w:rPr>
          <w:rFonts w:hint="cs"/>
          <w:spacing w:val="-2"/>
          <w:rtl/>
          <w:lang w:eastAsia="zh-TW"/>
        </w:rPr>
        <w:t xml:space="preserve"> </w:t>
      </w:r>
      <w:r w:rsidRPr="00026EAB">
        <w:rPr>
          <w:spacing w:val="-2"/>
          <w:rtl/>
          <w:lang w:eastAsia="zh-TW"/>
        </w:rPr>
        <w:t xml:space="preserve">يتعرضون، على نحو تعسفي أو غير قانوني، لتقييد حقوقهم أو لظروف الاحتجاز اللاإنسانية والمهينة. وتكرر اللجنة تأكيد توصيتها. </w:t>
      </w:r>
    </w:p>
    <w:p w:rsidR="00E32E3B" w:rsidRPr="00C91E78" w:rsidRDefault="00026EAB" w:rsidP="00026EAB">
      <w:pPr>
        <w:pStyle w:val="H23GA"/>
        <w:rPr>
          <w:rtl/>
        </w:rPr>
      </w:pPr>
      <w:r>
        <w:rPr>
          <w:rtl/>
        </w:rPr>
        <w:tab/>
      </w:r>
      <w:r>
        <w:rPr>
          <w:rtl/>
        </w:rPr>
        <w:tab/>
      </w:r>
      <w:r w:rsidR="00E32E3B" w:rsidRPr="00C91E78">
        <w:rPr>
          <w:rtl/>
        </w:rPr>
        <w:t>الفقرة ١٣: التعذيب</w:t>
      </w:r>
    </w:p>
    <w:p w:rsidR="00E32E3B" w:rsidRDefault="00C91E78" w:rsidP="00E32E3B">
      <w:pPr>
        <w:pStyle w:val="SingleTxtGA"/>
        <w:rPr>
          <w:rtl/>
        </w:rPr>
      </w:pPr>
      <w:r>
        <w:rPr>
          <w:rtl/>
          <w:lang w:eastAsia="zh-TW"/>
        </w:rPr>
        <w:tab/>
      </w:r>
      <w:r w:rsidR="00E32E3B" w:rsidRPr="00C91E78">
        <w:rPr>
          <w:b/>
          <w:bCs/>
          <w:rtl/>
          <w:lang w:eastAsia="zh-TW"/>
        </w:rPr>
        <w:t xml:space="preserve">تكرر اللجنة توصيتها السابقة (انظر </w:t>
      </w:r>
      <w:r w:rsidR="00E32E3B" w:rsidRPr="00C91E78">
        <w:rPr>
          <w:b/>
          <w:bCs/>
          <w:lang w:eastAsia="zh-TW"/>
        </w:rPr>
        <w:t>CCPR/C/UZB/CO/3</w:t>
      </w:r>
      <w:r w:rsidR="00E32E3B" w:rsidRPr="00C91E78">
        <w:rPr>
          <w:b/>
          <w:bCs/>
          <w:rtl/>
          <w:lang w:eastAsia="zh-TW"/>
        </w:rPr>
        <w:t>، الفقرة 10) وتحث الدولة الطرف على أن تقوم، على وجه السرعة، بتعديل تشريعاتها الجنائية، بما في ذلك المادة 235 من قانونها الجنائي، بهدف ضمان امتثال تعريف التعذيب تماماً للمادة 1 من اتفاقية مناهضة التعذيب وغيره من ضروب المعاملة أو العقوبة القاسية أو اللاإنسانية أو المهينة وللمادة 7 من العهد وتطبيقه على الأفعال التي يرتكبها جميع الأشخاص الذين يتصرفون بصفتهم الرسمية أو خارج نطاق صفتهم الرسمية أو بصفتهم الشخصية عندما تكون أفعال التعذيب مُرتَكَبة بتحريض أو بموافقة صريحة أو ضمنية من موظف حكومي أو شخص آخر يتصرف بصفة رسمية.</w:t>
      </w:r>
      <w:r w:rsidR="00E32E3B" w:rsidRPr="00C91E78">
        <w:rPr>
          <w:rFonts w:cs="Times New Roman" w:hint="cs"/>
          <w:b/>
          <w:bCs/>
          <w:rtl/>
          <w:lang w:eastAsia="zh-TW"/>
        </w:rPr>
        <w:t>‬</w:t>
      </w:r>
      <w:r w:rsidR="00E32E3B" w:rsidRPr="00C91E78">
        <w:rPr>
          <w:b/>
          <w:bCs/>
          <w:rtl/>
          <w:lang w:eastAsia="zh-TW"/>
        </w:rPr>
        <w:t xml:space="preserve"> </w:t>
      </w:r>
      <w:dir w:val="rtl">
        <w:r w:rsidR="00E32E3B" w:rsidRPr="00C91E78">
          <w:rPr>
            <w:b/>
            <w:bCs/>
            <w:rtl/>
            <w:lang w:eastAsia="zh-TW"/>
          </w:rPr>
          <w:t>وينبغي للدولة الطرف أن تضع حداً كذلك لممارسة منح العفو للأشخاص المدانين بتهمة التعذيب أو سوء المعاملة، الأمر الذي يتعارض مع التزاماتها بموجب المادة 7 من العهد.</w:t>
        </w:r>
        <w:r w:rsidR="00E32E3B" w:rsidRPr="00C91E78">
          <w:rPr>
            <w:rFonts w:cs="Times New Roman" w:hint="cs"/>
            <w:b/>
            <w:bCs/>
            <w:rtl/>
            <w:lang w:eastAsia="zh-TW"/>
          </w:rPr>
          <w:t>‬</w:t>
        </w:r>
        <w:r w:rsidR="00E32E3B" w:rsidRPr="00C91E78">
          <w:rPr>
            <w:b/>
            <w:bCs/>
          </w:rPr>
          <w:t>‬</w:t>
        </w:r>
        <w:r w:rsidR="00E32E3B" w:rsidRPr="00C91E78">
          <w:rPr>
            <w:b/>
            <w:bCs/>
          </w:rPr>
          <w:t>‬</w:t>
        </w:r>
        <w:r w:rsidR="00E32E3B" w:rsidRPr="00C91E78">
          <w:rPr>
            <w:b/>
            <w:bCs/>
          </w:rPr>
          <w:t>‬</w:t>
        </w:r>
        <w:r w:rsidR="00E32E3B" w:rsidRPr="00C91E78">
          <w:rPr>
            <w:b/>
            <w:bCs/>
          </w:rPr>
          <w:t>‬</w:t>
        </w:r>
        <w:r w:rsidR="00E32E3B" w:rsidRPr="00C91E78">
          <w:rPr>
            <w:b/>
            <w:bCs/>
          </w:rPr>
          <w:t>‬</w:t>
        </w:r>
        <w:r w:rsidR="00E32E3B" w:rsidRPr="00C91E78">
          <w:rPr>
            <w:b/>
            <w:bCs/>
          </w:rPr>
          <w:t>‬</w:t>
        </w:r>
        <w:r w:rsidR="00DC1DEF">
          <w:t>‬</w:t>
        </w:r>
        <w:r w:rsidR="00BD0320">
          <w:t>‬</w:t>
        </w:r>
        <w:r w:rsidR="00E50C3B">
          <w:t>‬</w:t>
        </w:r>
        <w:r w:rsidR="00D8591B">
          <w:t>‬</w:t>
        </w:r>
      </w:dir>
    </w:p>
    <w:tbl>
      <w:tblPr>
        <w:bidiVisual/>
        <w:tblW w:w="7252" w:type="dxa"/>
        <w:tblInd w:w="1252" w:type="dxa"/>
        <w:tblBorders>
          <w:top w:val="single" w:sz="4" w:space="0" w:color="auto"/>
          <w:bottom w:val="single" w:sz="12" w:space="0" w:color="auto"/>
        </w:tblBorders>
        <w:tblLayout w:type="fixed"/>
        <w:tblLook w:val="00A0" w:firstRow="1" w:lastRow="0" w:firstColumn="1" w:lastColumn="0" w:noHBand="0" w:noVBand="0"/>
      </w:tblPr>
      <w:tblGrid>
        <w:gridCol w:w="2575"/>
        <w:gridCol w:w="4677"/>
      </w:tblGrid>
      <w:tr w:rsidR="00026EAB" w:rsidRPr="00E32E3B" w:rsidTr="00873C81">
        <w:trPr>
          <w:trHeight w:val="240"/>
          <w:tblHeader/>
        </w:trPr>
        <w:tc>
          <w:tcPr>
            <w:tcW w:w="2575" w:type="dxa"/>
            <w:tcBorders>
              <w:top w:val="single" w:sz="4" w:space="0" w:color="auto"/>
              <w:bottom w:val="single" w:sz="12" w:space="0" w:color="auto"/>
            </w:tcBorders>
            <w:shd w:val="clear" w:color="auto" w:fill="auto"/>
            <w:vAlign w:val="bottom"/>
          </w:tcPr>
          <w:p w:rsidR="00026EAB" w:rsidRPr="00E32E3B" w:rsidRDefault="00026EAB" w:rsidP="00026EAB">
            <w:pPr>
              <w:spacing w:after="120" w:line="320" w:lineRule="exact"/>
              <w:jc w:val="both"/>
              <w:textDirection w:val="tbRlV"/>
              <w:rPr>
                <w:i/>
                <w:iCs/>
                <w:sz w:val="16"/>
                <w:rtl/>
                <w:lang w:eastAsia="zh-TW"/>
              </w:rPr>
            </w:pPr>
            <w:r w:rsidRPr="00E32E3B">
              <w:rPr>
                <w:i/>
                <w:iCs/>
                <w:rtl/>
                <w:lang w:eastAsia="zh-TW"/>
              </w:rPr>
              <w:lastRenderedPageBreak/>
              <w:t>أوزبكستان</w:t>
            </w:r>
          </w:p>
        </w:tc>
        <w:tc>
          <w:tcPr>
            <w:tcW w:w="4677" w:type="dxa"/>
            <w:tcBorders>
              <w:top w:val="single" w:sz="4" w:space="0" w:color="auto"/>
              <w:bottom w:val="single" w:sz="12" w:space="0" w:color="auto"/>
            </w:tcBorders>
            <w:shd w:val="clear" w:color="auto" w:fill="auto"/>
            <w:vAlign w:val="bottom"/>
          </w:tcPr>
          <w:p w:rsidR="00026EAB" w:rsidRPr="00E32E3B" w:rsidRDefault="00026EAB" w:rsidP="00026EAB">
            <w:pPr>
              <w:spacing w:after="120" w:line="320" w:lineRule="exact"/>
              <w:jc w:val="both"/>
              <w:rPr>
                <w:i/>
                <w:iCs/>
                <w:sz w:val="16"/>
              </w:rPr>
            </w:pPr>
          </w:p>
        </w:tc>
      </w:tr>
    </w:tbl>
    <w:p w:rsidR="00E32E3B" w:rsidRPr="00C91E78" w:rsidRDefault="00026EAB" w:rsidP="00026EAB">
      <w:pPr>
        <w:pStyle w:val="H23GA"/>
        <w:rPr>
          <w:rtl/>
        </w:rPr>
      </w:pPr>
      <w:r>
        <w:rPr>
          <w:rtl/>
        </w:rPr>
        <w:tab/>
      </w:r>
      <w:r>
        <w:rPr>
          <w:rtl/>
        </w:rPr>
        <w:tab/>
      </w:r>
      <w:r w:rsidR="00E32E3B" w:rsidRPr="00C91E78">
        <w:rPr>
          <w:rtl/>
        </w:rPr>
        <w:t>ملخص ردّ الدولة الطرف</w:t>
      </w:r>
      <w:r w:rsidR="00C91E78">
        <w:rPr>
          <w:rFonts w:cs="Times New Roman" w:hint="cs"/>
          <w:rtl/>
        </w:rPr>
        <w:t xml:space="preserve"> </w:t>
      </w:r>
    </w:p>
    <w:p w:rsidR="00E32E3B" w:rsidRPr="00E32E3B" w:rsidRDefault="00C91E78" w:rsidP="00026EAB">
      <w:pPr>
        <w:pStyle w:val="SingleTxtGA"/>
        <w:spacing w:line="360" w:lineRule="exact"/>
        <w:rPr>
          <w:rtl/>
          <w:lang w:eastAsia="zh-TW"/>
        </w:rPr>
      </w:pPr>
      <w:r>
        <w:rPr>
          <w:rtl/>
          <w:lang w:eastAsia="zh-TW"/>
        </w:rPr>
        <w:tab/>
      </w:r>
      <w:r w:rsidR="00E32E3B" w:rsidRPr="00E32E3B">
        <w:rPr>
          <w:rtl/>
          <w:lang w:eastAsia="zh-TW"/>
        </w:rPr>
        <w:t>يتفق تعريف التعذيب الوارد في المادة ٢٣٥ من القانون الجنائي اتفاقاً تاماً مع متطلبات اتفاقية مناهضة التعذيب وغيره من ضروب المعاملة أو العقوبة القاسية أو اللاإنسانية أو المهينة، وليست هناك حاجة إلى تعديل التشريعات الجنائية. ولا يمكن أن ي</w:t>
      </w:r>
      <w:r w:rsidR="00E32E3B" w:rsidRPr="00E32E3B">
        <w:rPr>
          <w:rtl/>
          <w:lang w:val="ru-RU" w:eastAsia="zh-TW" w:bidi="ar-DZ"/>
        </w:rPr>
        <w:t>مارس</w:t>
      </w:r>
      <w:r w:rsidR="00E32E3B" w:rsidRPr="00E32E3B">
        <w:rPr>
          <w:rtl/>
          <w:lang w:eastAsia="zh-TW"/>
        </w:rPr>
        <w:t xml:space="preserve"> التعذيب سوى الأشخاص الذين يجرون تحقيق</w:t>
      </w:r>
      <w:r w:rsidR="00683334">
        <w:rPr>
          <w:rtl/>
          <w:lang w:eastAsia="zh-TW"/>
        </w:rPr>
        <w:t xml:space="preserve">اً </w:t>
      </w:r>
      <w:r w:rsidR="00E32E3B" w:rsidRPr="00E32E3B">
        <w:rPr>
          <w:rtl/>
          <w:lang w:eastAsia="zh-TW"/>
        </w:rPr>
        <w:t>أولي</w:t>
      </w:r>
      <w:r w:rsidR="00683334">
        <w:rPr>
          <w:rtl/>
          <w:lang w:eastAsia="zh-TW"/>
        </w:rPr>
        <w:t xml:space="preserve">اً </w:t>
      </w:r>
      <w:r w:rsidR="00E32E3B" w:rsidRPr="00E32E3B">
        <w:rPr>
          <w:rtl/>
          <w:lang w:eastAsia="zh-TW"/>
        </w:rPr>
        <w:t>أو</w:t>
      </w:r>
      <w:r>
        <w:rPr>
          <w:rFonts w:hint="cs"/>
          <w:rtl/>
          <w:lang w:eastAsia="zh-TW"/>
        </w:rPr>
        <w:t xml:space="preserve"> </w:t>
      </w:r>
      <w:r w:rsidR="00E32E3B" w:rsidRPr="00E32E3B">
        <w:rPr>
          <w:rtl/>
          <w:lang w:eastAsia="zh-TW"/>
        </w:rPr>
        <w:t xml:space="preserve">تحقيقاً سابقاً للمحاكمة أو المدعين العامين أو غيرهم من العاملين في وكالات إنفاذ القانون أو المؤسسات الإصلاحية. وعندما يمارس التعذيب شخص آخر غير الموظف المكلف بإنفاذ القانون الذي يتصرف بتحريض من الشخص الذي يجري التحقيق الأولي أو التحقيق السابق للمحاكمة أو غيره من موظفي وكالة إنفاذ القانون بموافقة صريحة أو ضمنية منه، تصنف الأعمال على أنها مساعدة على التعذيب أو غيره من ضروب المعاملة أو العقوبة القاسية أو اللاإنسانية أو المهينة وتحريض عليه. وعندما يرتكب شخص آخر غير الموظف المكلف بإنفاذ القانون جريمة من هذا القبيل (مثل أحد الأفراد العاديين)، فتصنف آنذاك وفقاً لأحكام القانون الجنائي المتعلقة بالجرائم المضرة بالصحة، مثل المادة ١٠٤ (أذى </w:t>
      </w:r>
      <w:r>
        <w:rPr>
          <w:rtl/>
          <w:lang w:eastAsia="zh-TW"/>
        </w:rPr>
        <w:t>بدني خطير متعمد)؛ والمادة ١٠٥ (</w:t>
      </w:r>
      <w:r w:rsidR="00E32E3B" w:rsidRPr="00E32E3B">
        <w:rPr>
          <w:rtl/>
          <w:lang w:eastAsia="zh-TW"/>
        </w:rPr>
        <w:t>أذى بدني معتدل متعمد)؛ وا</w:t>
      </w:r>
      <w:r>
        <w:rPr>
          <w:rtl/>
          <w:lang w:eastAsia="zh-TW"/>
        </w:rPr>
        <w:t>لمادة ١٠٩ (أذى بدني طفيف متعمد)</w:t>
      </w:r>
      <w:r w:rsidR="00E32E3B" w:rsidRPr="00E32E3B">
        <w:rPr>
          <w:rtl/>
          <w:lang w:eastAsia="zh-TW"/>
        </w:rPr>
        <w:t xml:space="preserve">؛ والمادة ١١٠ (التعذيب) (الباب الثاني، الجرائم المضرة بالصحة، فرع خاص). </w:t>
      </w:r>
    </w:p>
    <w:p w:rsidR="00E32E3B" w:rsidRPr="00E32E3B" w:rsidRDefault="00C91E78" w:rsidP="00026EAB">
      <w:pPr>
        <w:pStyle w:val="SingleTxtGA"/>
        <w:spacing w:line="360" w:lineRule="exact"/>
        <w:rPr>
          <w:rtl/>
          <w:lang w:eastAsia="zh-TW"/>
        </w:rPr>
      </w:pPr>
      <w:r>
        <w:rPr>
          <w:rtl/>
          <w:lang w:eastAsia="zh-TW"/>
        </w:rPr>
        <w:tab/>
      </w:r>
      <w:r w:rsidR="00E32E3B" w:rsidRPr="00E32E3B">
        <w:rPr>
          <w:rtl/>
          <w:lang w:eastAsia="zh-TW"/>
        </w:rPr>
        <w:t>وتتعارض توصية اللجنة المتعلقة بوضع حد لممارسة العفو عن الأشخاص المدانين بتهمة التعذيب أو سوء المعاملة، مع المبادئ العامة لعدم التمييز. وعمل</w:t>
      </w:r>
      <w:r w:rsidR="00683334">
        <w:rPr>
          <w:rtl/>
          <w:lang w:eastAsia="zh-TW"/>
        </w:rPr>
        <w:t xml:space="preserve">اً </w:t>
      </w:r>
      <w:r w:rsidR="00E32E3B" w:rsidRPr="00E32E3B">
        <w:rPr>
          <w:rtl/>
          <w:lang w:eastAsia="zh-TW"/>
        </w:rPr>
        <w:t>بمبدأ المساواة في الحقوق بين المواطنين، قد تعفو المحكمة عن فرد مارس التعذيب بالاستناد إلى الأسس المنصوص عليها في التشريعات.</w:t>
      </w:r>
    </w:p>
    <w:p w:rsidR="00E32E3B" w:rsidRPr="00C91E78" w:rsidRDefault="00026EAB" w:rsidP="00026EAB">
      <w:pPr>
        <w:pStyle w:val="H23GA"/>
        <w:rPr>
          <w:rtl/>
        </w:rPr>
      </w:pPr>
      <w:r>
        <w:rPr>
          <w:rtl/>
        </w:rPr>
        <w:tab/>
      </w:r>
      <w:r>
        <w:rPr>
          <w:rtl/>
        </w:rPr>
        <w:tab/>
      </w:r>
      <w:r w:rsidR="00E32E3B" w:rsidRPr="00C91E78">
        <w:rPr>
          <w:rtl/>
        </w:rPr>
        <w:t xml:space="preserve">تقييم اللجنة </w:t>
      </w:r>
    </w:p>
    <w:p w:rsidR="00E32E3B" w:rsidRPr="00E32E3B" w:rsidRDefault="00E32E3B" w:rsidP="00E32E3B">
      <w:pPr>
        <w:pStyle w:val="SingleTxtGA"/>
        <w:rPr>
          <w:rtl/>
          <w:lang w:eastAsia="zh-TW"/>
        </w:rPr>
      </w:pPr>
      <w:r w:rsidRPr="00C91E78">
        <w:rPr>
          <w:b/>
          <w:bCs/>
          <w:rtl/>
          <w:lang w:eastAsia="zh-TW"/>
        </w:rPr>
        <w:t>[هاء]:</w:t>
      </w:r>
      <w:r w:rsidRPr="00E32E3B">
        <w:rPr>
          <w:rtl/>
          <w:lang w:eastAsia="zh-TW"/>
        </w:rPr>
        <w:t xml:space="preserve"> تأسف اللجنة للحجة التي ساقتها الدولة الطرف لإثبات أن تعريف التعذيب الوارد في المادة 235 من قانونها الجنائي يتفق تماماً مع المادة ١ من اتفاقية مناهضة التعذيب وأنه لن يكون من الضروري إجراء أي تعديلات على تشريعاتها الجنائية. وتكرر اللجنة تأكيد توصيتها. </w:t>
      </w:r>
    </w:p>
    <w:p w:rsidR="00E32E3B" w:rsidRPr="00E32E3B" w:rsidRDefault="00E32E3B" w:rsidP="00E32E3B">
      <w:pPr>
        <w:pStyle w:val="SingleTxtGA"/>
        <w:rPr>
          <w:rtl/>
          <w:lang w:eastAsia="zh-TW"/>
        </w:rPr>
      </w:pPr>
      <w:r w:rsidRPr="00C91E78">
        <w:rPr>
          <w:b/>
          <w:bCs/>
          <w:rtl/>
          <w:lang w:eastAsia="zh-TW"/>
        </w:rPr>
        <w:t>[هاء]:</w:t>
      </w:r>
      <w:r w:rsidRPr="00E32E3B">
        <w:rPr>
          <w:rtl/>
          <w:lang w:eastAsia="zh-TW"/>
        </w:rPr>
        <w:t xml:space="preserve"> تعرب اللجنة عن أسفها إزاء خطأ الدولة الطرف في تطبيق مبدأ عدم التمييز لتبرير مقبولية العفو عن الأشخاص المدانين بتهمة التعذيب أو سوء المعاملة. وتكرر اللجنة تأكيد توصيتها. </w:t>
      </w:r>
    </w:p>
    <w:p w:rsidR="00E32E3B" w:rsidRPr="00C91E78" w:rsidRDefault="00026EAB" w:rsidP="00026EAB">
      <w:pPr>
        <w:pStyle w:val="H23GA"/>
        <w:rPr>
          <w:rtl/>
        </w:rPr>
      </w:pPr>
      <w:r>
        <w:rPr>
          <w:rtl/>
        </w:rPr>
        <w:tab/>
      </w:r>
      <w:r>
        <w:rPr>
          <w:rtl/>
        </w:rPr>
        <w:tab/>
      </w:r>
      <w:r w:rsidR="00E32E3B" w:rsidRPr="00C91E78">
        <w:rPr>
          <w:rtl/>
        </w:rPr>
        <w:t>الفقرة ١٩: العمل القسري</w:t>
      </w:r>
      <w:r w:rsidR="00E32E3B" w:rsidRPr="00C91E78">
        <w:rPr>
          <w:rFonts w:cs="Times New Roman" w:hint="cs"/>
          <w:rtl/>
        </w:rPr>
        <w:t>‬</w:t>
      </w:r>
    </w:p>
    <w:p w:rsidR="00E32E3B" w:rsidRPr="00026EAB" w:rsidRDefault="00D8591B" w:rsidP="00C91E78">
      <w:pPr>
        <w:pStyle w:val="SingleTxtGA"/>
        <w:rPr>
          <w:spacing w:val="-4"/>
          <w:rtl/>
          <w:lang w:eastAsia="zh-TW"/>
        </w:rPr>
      </w:pPr>
      <w:dir w:val="rtl">
        <w:r w:rsidR="00C91E78" w:rsidRPr="00026EAB">
          <w:rPr>
            <w:b/>
            <w:bCs/>
            <w:spacing w:val="-4"/>
            <w:rtl/>
            <w:lang w:eastAsia="zh-TW"/>
          </w:rPr>
          <w:tab/>
        </w:r>
        <w:r w:rsidR="00C91E78" w:rsidRPr="00026EAB">
          <w:rPr>
            <w:b/>
            <w:bCs/>
            <w:spacing w:val="-4"/>
            <w:rtl/>
          </w:rPr>
          <w:t>ينبغي للدولة الطرف أن تضع حداً للعمل القسري في قطاعي القطن والحرير، بسبل منها التطبيق الفعال للإطار القانوني الذي يحظر عمل الأطفال والعمل القسري، بما في ذلك من خلال محاكمة المسؤولين عن الانتهاكات محاكمة صارمة وتحسين ظروف العمل والظروف المعيشية في هذين القطاعين.</w:t>
        </w:r>
        <w:r w:rsidR="00C91E78" w:rsidRPr="00026EAB">
          <w:rPr>
            <w:rFonts w:cs="Times New Roman" w:hint="cs"/>
            <w:b/>
            <w:bCs/>
            <w:spacing w:val="-4"/>
            <w:rtl/>
          </w:rPr>
          <w:t>‬</w:t>
        </w:r>
        <w:r w:rsidR="00C91E78" w:rsidRPr="00026EAB">
          <w:rPr>
            <w:b/>
            <w:bCs/>
            <w:spacing w:val="-4"/>
            <w:rtl/>
          </w:rPr>
          <w:t xml:space="preserve"> </w:t>
        </w:r>
        <w:dir w:val="rtl">
          <w:r w:rsidR="00C91E78" w:rsidRPr="00026EAB">
            <w:rPr>
              <w:rFonts w:ascii="Traditional Arabic" w:hAnsi="Traditional Arabic" w:hint="cs"/>
              <w:b/>
              <w:bCs/>
              <w:spacing w:val="-4"/>
              <w:rtl/>
            </w:rPr>
            <w:t>وينبغي</w:t>
          </w:r>
          <w:r w:rsidR="00C91E78" w:rsidRPr="00026EAB">
            <w:rPr>
              <w:b/>
              <w:bCs/>
              <w:spacing w:val="-4"/>
              <w:rtl/>
            </w:rPr>
            <w:t xml:space="preserve"> </w:t>
          </w:r>
          <w:r w:rsidR="00C91E78" w:rsidRPr="00026EAB">
            <w:rPr>
              <w:rFonts w:ascii="Traditional Arabic" w:hAnsi="Traditional Arabic" w:hint="cs"/>
              <w:b/>
              <w:bCs/>
              <w:spacing w:val="-4"/>
              <w:rtl/>
            </w:rPr>
            <w:t>للدولة</w:t>
          </w:r>
          <w:r w:rsidR="00C91E78" w:rsidRPr="00026EAB">
            <w:rPr>
              <w:b/>
              <w:bCs/>
              <w:spacing w:val="-4"/>
              <w:rtl/>
            </w:rPr>
            <w:t xml:space="preserve"> </w:t>
          </w:r>
          <w:r w:rsidR="00C91E78" w:rsidRPr="00026EAB">
            <w:rPr>
              <w:rFonts w:ascii="Traditional Arabic" w:hAnsi="Traditional Arabic" w:hint="cs"/>
              <w:b/>
              <w:bCs/>
              <w:spacing w:val="-4"/>
              <w:rtl/>
            </w:rPr>
            <w:t>الطرف</w:t>
          </w:r>
          <w:r w:rsidR="00C91E78" w:rsidRPr="00026EAB">
            <w:rPr>
              <w:b/>
              <w:bCs/>
              <w:spacing w:val="-4"/>
              <w:rtl/>
            </w:rPr>
            <w:t xml:space="preserve"> </w:t>
          </w:r>
          <w:r w:rsidR="00C91E78" w:rsidRPr="00026EAB">
            <w:rPr>
              <w:rFonts w:ascii="Traditional Arabic" w:hAnsi="Traditional Arabic" w:hint="cs"/>
              <w:b/>
              <w:bCs/>
              <w:spacing w:val="-4"/>
              <w:rtl/>
            </w:rPr>
            <w:t>أيضاً</w:t>
          </w:r>
          <w:r w:rsidR="00C91E78" w:rsidRPr="00026EAB">
            <w:rPr>
              <w:b/>
              <w:bCs/>
              <w:spacing w:val="-4"/>
              <w:rtl/>
            </w:rPr>
            <w:t xml:space="preserve"> </w:t>
          </w:r>
          <w:r w:rsidR="00C91E78" w:rsidRPr="00026EAB">
            <w:rPr>
              <w:rFonts w:ascii="Traditional Arabic" w:hAnsi="Traditional Arabic" w:hint="cs"/>
              <w:b/>
              <w:bCs/>
              <w:spacing w:val="-4"/>
              <w:rtl/>
            </w:rPr>
            <w:t>أن</w:t>
          </w:r>
          <w:r w:rsidR="00C91E78" w:rsidRPr="00026EAB">
            <w:rPr>
              <w:b/>
              <w:bCs/>
              <w:spacing w:val="-4"/>
              <w:rtl/>
            </w:rPr>
            <w:t xml:space="preserve"> </w:t>
          </w:r>
          <w:r w:rsidR="00C91E78" w:rsidRPr="00026EAB">
            <w:rPr>
              <w:rFonts w:ascii="Traditional Arabic" w:hAnsi="Traditional Arabic" w:hint="cs"/>
              <w:b/>
              <w:bCs/>
              <w:spacing w:val="-4"/>
              <w:rtl/>
            </w:rPr>
            <w:t>تراجع</w:t>
          </w:r>
          <w:r w:rsidR="00C91E78" w:rsidRPr="00026EAB">
            <w:rPr>
              <w:b/>
              <w:bCs/>
              <w:spacing w:val="-4"/>
              <w:rtl/>
            </w:rPr>
            <w:t xml:space="preserve"> </w:t>
          </w:r>
          <w:r w:rsidR="00C91E78" w:rsidRPr="00026EAB">
            <w:rPr>
              <w:rFonts w:ascii="Traditional Arabic" w:hAnsi="Traditional Arabic" w:hint="cs"/>
              <w:b/>
              <w:bCs/>
              <w:spacing w:val="-4"/>
              <w:rtl/>
            </w:rPr>
            <w:t>قوانينها</w:t>
          </w:r>
          <w:r w:rsidR="00C91E78" w:rsidRPr="00026EAB">
            <w:rPr>
              <w:b/>
              <w:bCs/>
              <w:spacing w:val="-4"/>
              <w:rtl/>
            </w:rPr>
            <w:t xml:space="preserve"> </w:t>
          </w:r>
          <w:r w:rsidR="00C91E78" w:rsidRPr="00026EAB">
            <w:rPr>
              <w:rFonts w:ascii="Traditional Arabic" w:hAnsi="Traditional Arabic" w:hint="cs"/>
              <w:b/>
              <w:bCs/>
              <w:spacing w:val="-4"/>
              <w:rtl/>
            </w:rPr>
            <w:t>وممارساتها</w:t>
          </w:r>
          <w:r w:rsidR="00C91E78" w:rsidRPr="00026EAB">
            <w:rPr>
              <w:b/>
              <w:bCs/>
              <w:spacing w:val="-4"/>
              <w:rtl/>
            </w:rPr>
            <w:t xml:space="preserve"> </w:t>
          </w:r>
          <w:r w:rsidR="00C91E78" w:rsidRPr="00026EAB">
            <w:rPr>
              <w:rFonts w:ascii="Traditional Arabic" w:hAnsi="Traditional Arabic" w:hint="cs"/>
              <w:b/>
              <w:bCs/>
              <w:spacing w:val="-4"/>
              <w:rtl/>
            </w:rPr>
            <w:t>لضمان</w:t>
          </w:r>
          <w:r w:rsidR="00C91E78" w:rsidRPr="00026EAB">
            <w:rPr>
              <w:b/>
              <w:bCs/>
              <w:spacing w:val="-4"/>
              <w:rtl/>
            </w:rPr>
            <w:t xml:space="preserve"> </w:t>
          </w:r>
          <w:r w:rsidR="00C91E78" w:rsidRPr="00026EAB">
            <w:rPr>
              <w:rFonts w:ascii="Traditional Arabic" w:hAnsi="Traditional Arabic" w:hint="cs"/>
              <w:b/>
              <w:bCs/>
              <w:spacing w:val="-4"/>
              <w:rtl/>
            </w:rPr>
            <w:t>الشفافية</w:t>
          </w:r>
          <w:r w:rsidR="00C91E78" w:rsidRPr="00026EAB">
            <w:rPr>
              <w:b/>
              <w:bCs/>
              <w:spacing w:val="-4"/>
              <w:rtl/>
            </w:rPr>
            <w:t xml:space="preserve"> </w:t>
          </w:r>
          <w:r w:rsidR="00C91E78" w:rsidRPr="00026EAB">
            <w:rPr>
              <w:rFonts w:ascii="Traditional Arabic" w:hAnsi="Traditional Arabic" w:hint="cs"/>
              <w:b/>
              <w:bCs/>
              <w:spacing w:val="-4"/>
              <w:rtl/>
            </w:rPr>
            <w:t>المالية</w:t>
          </w:r>
          <w:r w:rsidR="00C91E78" w:rsidRPr="00026EAB">
            <w:rPr>
              <w:b/>
              <w:bCs/>
              <w:spacing w:val="-4"/>
              <w:rtl/>
            </w:rPr>
            <w:t xml:space="preserve"> </w:t>
          </w:r>
          <w:r w:rsidR="00C91E78" w:rsidRPr="00026EAB">
            <w:rPr>
              <w:rFonts w:ascii="Traditional Arabic" w:hAnsi="Traditional Arabic" w:hint="cs"/>
              <w:b/>
              <w:bCs/>
              <w:spacing w:val="-4"/>
              <w:rtl/>
            </w:rPr>
            <w:t>والتصدي</w:t>
          </w:r>
          <w:r w:rsidR="00C91E78" w:rsidRPr="00026EAB">
            <w:rPr>
              <w:b/>
              <w:bCs/>
              <w:spacing w:val="-4"/>
              <w:rtl/>
            </w:rPr>
            <w:t xml:space="preserve"> </w:t>
          </w:r>
          <w:r w:rsidR="00C91E78" w:rsidRPr="00026EAB">
            <w:rPr>
              <w:rFonts w:ascii="Traditional Arabic" w:hAnsi="Traditional Arabic" w:hint="cs"/>
              <w:b/>
              <w:bCs/>
              <w:spacing w:val="-4"/>
              <w:rtl/>
            </w:rPr>
            <w:t>للفساد</w:t>
          </w:r>
          <w:r w:rsidR="00C91E78" w:rsidRPr="00026EAB">
            <w:rPr>
              <w:b/>
              <w:bCs/>
              <w:spacing w:val="-4"/>
              <w:rtl/>
            </w:rPr>
            <w:t xml:space="preserve"> </w:t>
          </w:r>
          <w:r w:rsidR="00C91E78" w:rsidRPr="00026EAB">
            <w:rPr>
              <w:rFonts w:ascii="Traditional Arabic" w:hAnsi="Traditional Arabic" w:hint="cs"/>
              <w:b/>
              <w:bCs/>
              <w:spacing w:val="-4"/>
              <w:rtl/>
            </w:rPr>
            <w:t>في</w:t>
          </w:r>
          <w:r w:rsidR="00C91E78" w:rsidRPr="00026EAB">
            <w:rPr>
              <w:b/>
              <w:bCs/>
              <w:spacing w:val="-4"/>
              <w:rtl/>
            </w:rPr>
            <w:t xml:space="preserve"> </w:t>
          </w:r>
          <w:r w:rsidR="00C91E78" w:rsidRPr="00026EAB">
            <w:rPr>
              <w:rFonts w:ascii="Traditional Arabic" w:hAnsi="Traditional Arabic" w:hint="cs"/>
              <w:b/>
              <w:bCs/>
              <w:spacing w:val="-4"/>
              <w:rtl/>
            </w:rPr>
            <w:t>صناعة</w:t>
          </w:r>
          <w:r w:rsidR="00C91E78" w:rsidRPr="00026EAB">
            <w:rPr>
              <w:b/>
              <w:bCs/>
              <w:spacing w:val="-4"/>
              <w:rtl/>
            </w:rPr>
            <w:t xml:space="preserve"> </w:t>
          </w:r>
          <w:r w:rsidR="00C91E78" w:rsidRPr="00026EAB">
            <w:rPr>
              <w:rFonts w:ascii="Traditional Arabic" w:hAnsi="Traditional Arabic" w:hint="cs"/>
              <w:b/>
              <w:bCs/>
              <w:spacing w:val="-4"/>
              <w:rtl/>
            </w:rPr>
            <w:t>القطن</w:t>
          </w:r>
          <w:r w:rsidR="00C91E78" w:rsidRPr="00026EAB">
            <w:rPr>
              <w:b/>
              <w:bCs/>
              <w:spacing w:val="-4"/>
              <w:rtl/>
            </w:rPr>
            <w:t xml:space="preserve"> </w:t>
          </w:r>
          <w:r w:rsidR="00C91E78" w:rsidRPr="00026EAB">
            <w:rPr>
              <w:rFonts w:ascii="Traditional Arabic" w:hAnsi="Traditional Arabic" w:hint="cs"/>
              <w:b/>
              <w:bCs/>
              <w:spacing w:val="-4"/>
              <w:rtl/>
            </w:rPr>
            <w:t>وأن</w:t>
          </w:r>
          <w:r w:rsidR="00C91E78" w:rsidRPr="00026EAB">
            <w:rPr>
              <w:b/>
              <w:bCs/>
              <w:spacing w:val="-4"/>
              <w:rtl/>
            </w:rPr>
            <w:t xml:space="preserve"> </w:t>
          </w:r>
          <w:r w:rsidR="00C91E78" w:rsidRPr="00026EAB">
            <w:rPr>
              <w:rFonts w:ascii="Traditional Arabic" w:hAnsi="Traditional Arabic" w:hint="cs"/>
              <w:b/>
              <w:bCs/>
              <w:spacing w:val="-4"/>
              <w:rtl/>
            </w:rPr>
            <w:t>تتخذ</w:t>
          </w:r>
          <w:r w:rsidR="00C91E78" w:rsidRPr="00026EAB">
            <w:rPr>
              <w:b/>
              <w:bCs/>
              <w:spacing w:val="-4"/>
              <w:rtl/>
            </w:rPr>
            <w:t xml:space="preserve"> </w:t>
          </w:r>
          <w:r w:rsidR="00C91E78" w:rsidRPr="00026EAB">
            <w:rPr>
              <w:rFonts w:ascii="Traditional Arabic" w:hAnsi="Traditional Arabic" w:hint="cs"/>
              <w:b/>
              <w:bCs/>
              <w:spacing w:val="-4"/>
              <w:rtl/>
            </w:rPr>
            <w:t>جميع</w:t>
          </w:r>
          <w:r w:rsidR="00C91E78" w:rsidRPr="00026EAB">
            <w:rPr>
              <w:b/>
              <w:bCs/>
              <w:spacing w:val="-4"/>
              <w:rtl/>
            </w:rPr>
            <w:t xml:space="preserve"> </w:t>
          </w:r>
          <w:r w:rsidR="00C91E78" w:rsidRPr="00026EAB">
            <w:rPr>
              <w:rFonts w:ascii="Traditional Arabic" w:hAnsi="Traditional Arabic" w:hint="cs"/>
              <w:b/>
              <w:bCs/>
              <w:spacing w:val="-4"/>
              <w:rtl/>
            </w:rPr>
            <w:t>التدابير</w:t>
          </w:r>
          <w:r w:rsidR="00C91E78" w:rsidRPr="00026EAB">
            <w:rPr>
              <w:b/>
              <w:bCs/>
              <w:spacing w:val="-4"/>
              <w:rtl/>
            </w:rPr>
            <w:t xml:space="preserve"> </w:t>
          </w:r>
          <w:r w:rsidR="00C91E78" w:rsidRPr="00026EAB">
            <w:rPr>
              <w:rFonts w:ascii="Traditional Arabic" w:hAnsi="Traditional Arabic" w:hint="cs"/>
              <w:b/>
              <w:bCs/>
              <w:spacing w:val="-4"/>
              <w:rtl/>
            </w:rPr>
            <w:t>اللازمة</w:t>
          </w:r>
          <w:r w:rsidR="00C91E78" w:rsidRPr="00026EAB">
            <w:rPr>
              <w:b/>
              <w:bCs/>
              <w:spacing w:val="-4"/>
              <w:rtl/>
            </w:rPr>
            <w:t xml:space="preserve"> </w:t>
          </w:r>
          <w:r w:rsidR="00C91E78" w:rsidRPr="00026EAB">
            <w:rPr>
              <w:rFonts w:ascii="Traditional Arabic" w:hAnsi="Traditional Arabic" w:hint="cs"/>
              <w:b/>
              <w:bCs/>
              <w:spacing w:val="-4"/>
              <w:rtl/>
            </w:rPr>
            <w:t>لمنع</w:t>
          </w:r>
          <w:r w:rsidR="00C91E78" w:rsidRPr="00026EAB">
            <w:rPr>
              <w:b/>
              <w:bCs/>
              <w:spacing w:val="-4"/>
              <w:rtl/>
            </w:rPr>
            <w:t xml:space="preserve"> </w:t>
          </w:r>
          <w:r w:rsidR="00C91E78" w:rsidRPr="00026EAB">
            <w:rPr>
              <w:rFonts w:ascii="Traditional Arabic" w:hAnsi="Traditional Arabic" w:hint="cs"/>
              <w:b/>
              <w:bCs/>
              <w:spacing w:val="-4"/>
              <w:rtl/>
            </w:rPr>
            <w:t>حدوث</w:t>
          </w:r>
          <w:r w:rsidR="00C91E78" w:rsidRPr="00026EAB">
            <w:rPr>
              <w:b/>
              <w:bCs/>
              <w:spacing w:val="-4"/>
              <w:rtl/>
            </w:rPr>
            <w:t xml:space="preserve"> </w:t>
          </w:r>
          <w:r w:rsidR="00C91E78" w:rsidRPr="00026EAB">
            <w:rPr>
              <w:rFonts w:ascii="Traditional Arabic" w:hAnsi="Traditional Arabic" w:hint="cs"/>
              <w:b/>
              <w:bCs/>
              <w:spacing w:val="-4"/>
              <w:rtl/>
            </w:rPr>
            <w:t>وفيات</w:t>
          </w:r>
          <w:r w:rsidR="00C91E78" w:rsidRPr="00026EAB">
            <w:rPr>
              <w:b/>
              <w:bCs/>
              <w:spacing w:val="-4"/>
              <w:rtl/>
            </w:rPr>
            <w:t xml:space="preserve"> </w:t>
          </w:r>
          <w:r w:rsidR="00C91E78" w:rsidRPr="00026EAB">
            <w:rPr>
              <w:rFonts w:ascii="Traditional Arabic" w:hAnsi="Traditional Arabic" w:hint="cs"/>
              <w:b/>
              <w:bCs/>
              <w:spacing w:val="-4"/>
              <w:rtl/>
            </w:rPr>
            <w:t>تتعلق</w:t>
          </w:r>
          <w:r w:rsidR="00C91E78" w:rsidRPr="00026EAB">
            <w:rPr>
              <w:b/>
              <w:bCs/>
              <w:spacing w:val="-4"/>
              <w:rtl/>
            </w:rPr>
            <w:t xml:space="preserve"> </w:t>
          </w:r>
          <w:r w:rsidR="00C91E78" w:rsidRPr="00026EAB">
            <w:rPr>
              <w:rFonts w:ascii="Traditional Arabic" w:hAnsi="Traditional Arabic" w:hint="cs"/>
              <w:b/>
              <w:bCs/>
              <w:spacing w:val="-4"/>
              <w:rtl/>
            </w:rPr>
            <w:t>بحصاد</w:t>
          </w:r>
          <w:r w:rsidR="00C91E78" w:rsidRPr="00026EAB">
            <w:rPr>
              <w:b/>
              <w:bCs/>
              <w:spacing w:val="-4"/>
              <w:rtl/>
            </w:rPr>
            <w:t xml:space="preserve"> </w:t>
          </w:r>
          <w:r w:rsidR="00C91E78" w:rsidRPr="00026EAB">
            <w:rPr>
              <w:rFonts w:ascii="Traditional Arabic" w:hAnsi="Traditional Arabic" w:hint="cs"/>
              <w:b/>
              <w:bCs/>
              <w:spacing w:val="-4"/>
              <w:rtl/>
            </w:rPr>
            <w:t>القطن،</w:t>
          </w:r>
          <w:r w:rsidR="00C91E78" w:rsidRPr="00026EAB">
            <w:rPr>
              <w:b/>
              <w:bCs/>
              <w:spacing w:val="-4"/>
              <w:rtl/>
            </w:rPr>
            <w:t xml:space="preserve"> </w:t>
          </w:r>
          <w:r w:rsidR="00C91E78" w:rsidRPr="00026EAB">
            <w:rPr>
              <w:rFonts w:ascii="Traditional Arabic" w:hAnsi="Traditional Arabic" w:hint="cs"/>
              <w:b/>
              <w:bCs/>
              <w:spacing w:val="-4"/>
              <w:rtl/>
            </w:rPr>
            <w:t>وإجراء</w:t>
          </w:r>
          <w:r w:rsidR="00C91E78" w:rsidRPr="00026EAB">
            <w:rPr>
              <w:b/>
              <w:bCs/>
              <w:spacing w:val="-4"/>
              <w:rtl/>
            </w:rPr>
            <w:t xml:space="preserve"> </w:t>
          </w:r>
          <w:r w:rsidR="00C91E78" w:rsidRPr="00026EAB">
            <w:rPr>
              <w:rFonts w:ascii="Traditional Arabic" w:hAnsi="Traditional Arabic" w:hint="cs"/>
              <w:b/>
              <w:bCs/>
              <w:spacing w:val="-4"/>
              <w:rtl/>
            </w:rPr>
            <w:t>تحقيق</w:t>
          </w:r>
          <w:r w:rsidR="00C91E78" w:rsidRPr="00026EAB">
            <w:rPr>
              <w:b/>
              <w:bCs/>
              <w:spacing w:val="-4"/>
              <w:rtl/>
            </w:rPr>
            <w:t xml:space="preserve"> </w:t>
          </w:r>
          <w:r w:rsidR="00C91E78" w:rsidRPr="00026EAB">
            <w:rPr>
              <w:rFonts w:ascii="Traditional Arabic" w:hAnsi="Traditional Arabic" w:hint="cs"/>
              <w:b/>
              <w:bCs/>
              <w:spacing w:val="-4"/>
              <w:rtl/>
            </w:rPr>
            <w:t>شامل</w:t>
          </w:r>
          <w:r w:rsidR="00C91E78" w:rsidRPr="00026EAB">
            <w:rPr>
              <w:b/>
              <w:bCs/>
              <w:spacing w:val="-4"/>
              <w:rtl/>
            </w:rPr>
            <w:t xml:space="preserve"> </w:t>
          </w:r>
          <w:r w:rsidR="00C91E78" w:rsidRPr="00026EAB">
            <w:rPr>
              <w:rFonts w:ascii="Traditional Arabic" w:hAnsi="Traditional Arabic" w:hint="cs"/>
              <w:b/>
              <w:bCs/>
              <w:spacing w:val="-4"/>
              <w:rtl/>
            </w:rPr>
            <w:t>في</w:t>
          </w:r>
          <w:r w:rsidR="00C91E78" w:rsidRPr="00026EAB">
            <w:rPr>
              <w:b/>
              <w:bCs/>
              <w:spacing w:val="-4"/>
              <w:rtl/>
            </w:rPr>
            <w:t xml:space="preserve"> </w:t>
          </w:r>
          <w:r w:rsidR="00C91E78" w:rsidRPr="00026EAB">
            <w:rPr>
              <w:rFonts w:ascii="Traditional Arabic" w:hAnsi="Traditional Arabic" w:hint="cs"/>
              <w:b/>
              <w:bCs/>
              <w:spacing w:val="-4"/>
              <w:rtl/>
            </w:rPr>
            <w:t>ه</w:t>
          </w:r>
          <w:r w:rsidR="00C91E78" w:rsidRPr="00026EAB">
            <w:rPr>
              <w:b/>
              <w:bCs/>
              <w:spacing w:val="-4"/>
              <w:rtl/>
            </w:rPr>
            <w:t>ذه الحالات عندما تحدث وتوفير سبل انتصاف فعالة، بما في ذلك تعويض كافٍ، إلى أسر الضحايا.</w:t>
          </w:r>
          <w:r w:rsidR="00DC1DEF" w:rsidRPr="00026EAB">
            <w:rPr>
              <w:spacing w:val="-4"/>
            </w:rPr>
            <w:t>‬</w:t>
          </w:r>
          <w:r w:rsidR="00DC1DEF" w:rsidRPr="00026EAB">
            <w:rPr>
              <w:spacing w:val="-4"/>
            </w:rPr>
            <w:t>‬</w:t>
          </w:r>
          <w:r w:rsidR="00BD0320" w:rsidRPr="00026EAB">
            <w:rPr>
              <w:spacing w:val="-4"/>
            </w:rPr>
            <w:t>‬</w:t>
          </w:r>
          <w:r w:rsidR="00BD0320" w:rsidRPr="00026EAB">
            <w:rPr>
              <w:spacing w:val="-4"/>
            </w:rPr>
            <w:t>‬</w:t>
          </w:r>
          <w:r w:rsidR="00E50C3B">
            <w:t>‬</w:t>
          </w:r>
          <w:r w:rsidR="00E50C3B">
            <w:t>‬</w:t>
          </w:r>
          <w:r>
            <w:t>‬</w:t>
          </w:r>
          <w:r>
            <w:t>‬</w:t>
          </w:r>
        </w:dir>
      </w:dir>
    </w:p>
    <w:tbl>
      <w:tblPr>
        <w:bidiVisual/>
        <w:tblW w:w="7252" w:type="dxa"/>
        <w:tblInd w:w="1252" w:type="dxa"/>
        <w:tblBorders>
          <w:top w:val="single" w:sz="4" w:space="0" w:color="auto"/>
          <w:bottom w:val="single" w:sz="12" w:space="0" w:color="auto"/>
        </w:tblBorders>
        <w:tblLayout w:type="fixed"/>
        <w:tblLook w:val="00A0" w:firstRow="1" w:lastRow="0" w:firstColumn="1" w:lastColumn="0" w:noHBand="0" w:noVBand="0"/>
      </w:tblPr>
      <w:tblGrid>
        <w:gridCol w:w="2575"/>
        <w:gridCol w:w="4677"/>
      </w:tblGrid>
      <w:tr w:rsidR="00026EAB" w:rsidRPr="00E32E3B" w:rsidTr="00873C81">
        <w:trPr>
          <w:trHeight w:val="240"/>
          <w:tblHeader/>
        </w:trPr>
        <w:tc>
          <w:tcPr>
            <w:tcW w:w="2575" w:type="dxa"/>
            <w:tcBorders>
              <w:top w:val="single" w:sz="4" w:space="0" w:color="auto"/>
              <w:bottom w:val="single" w:sz="12" w:space="0" w:color="auto"/>
            </w:tcBorders>
            <w:shd w:val="clear" w:color="auto" w:fill="auto"/>
            <w:vAlign w:val="bottom"/>
          </w:tcPr>
          <w:p w:rsidR="00026EAB" w:rsidRPr="00E32E3B" w:rsidRDefault="00026EAB" w:rsidP="00026EAB">
            <w:pPr>
              <w:spacing w:after="120" w:line="320" w:lineRule="exact"/>
              <w:jc w:val="both"/>
              <w:textDirection w:val="tbRlV"/>
              <w:rPr>
                <w:i/>
                <w:iCs/>
                <w:sz w:val="16"/>
                <w:rtl/>
                <w:lang w:eastAsia="zh-TW"/>
              </w:rPr>
            </w:pPr>
            <w:r w:rsidRPr="00E32E3B">
              <w:rPr>
                <w:i/>
                <w:iCs/>
                <w:rtl/>
                <w:lang w:eastAsia="zh-TW"/>
              </w:rPr>
              <w:lastRenderedPageBreak/>
              <w:t>أوزبكستان</w:t>
            </w:r>
          </w:p>
        </w:tc>
        <w:tc>
          <w:tcPr>
            <w:tcW w:w="4677" w:type="dxa"/>
            <w:tcBorders>
              <w:top w:val="single" w:sz="4" w:space="0" w:color="auto"/>
              <w:bottom w:val="single" w:sz="12" w:space="0" w:color="auto"/>
            </w:tcBorders>
            <w:shd w:val="clear" w:color="auto" w:fill="auto"/>
            <w:vAlign w:val="bottom"/>
          </w:tcPr>
          <w:p w:rsidR="00026EAB" w:rsidRPr="00E32E3B" w:rsidRDefault="00026EAB" w:rsidP="00026EAB">
            <w:pPr>
              <w:spacing w:after="120" w:line="320" w:lineRule="exact"/>
              <w:jc w:val="both"/>
              <w:rPr>
                <w:i/>
                <w:iCs/>
                <w:sz w:val="16"/>
              </w:rPr>
            </w:pPr>
          </w:p>
        </w:tc>
      </w:tr>
    </w:tbl>
    <w:p w:rsidR="00E32E3B" w:rsidRPr="00C91E78" w:rsidRDefault="00026EAB" w:rsidP="00026EAB">
      <w:pPr>
        <w:pStyle w:val="H23GA"/>
        <w:rPr>
          <w:rtl/>
        </w:rPr>
      </w:pPr>
      <w:r>
        <w:rPr>
          <w:rtl/>
        </w:rPr>
        <w:tab/>
      </w:r>
      <w:r>
        <w:rPr>
          <w:rtl/>
        </w:rPr>
        <w:tab/>
      </w:r>
      <w:r w:rsidR="00E32E3B" w:rsidRPr="00C91E78">
        <w:rPr>
          <w:rtl/>
        </w:rPr>
        <w:t xml:space="preserve">ملخص ردّ الدولة الطرف </w:t>
      </w:r>
    </w:p>
    <w:p w:rsidR="00E32E3B" w:rsidRPr="00E32E3B" w:rsidRDefault="00C91E78" w:rsidP="00026EAB">
      <w:pPr>
        <w:pStyle w:val="SingleTxtGA"/>
        <w:spacing w:line="360" w:lineRule="exact"/>
        <w:rPr>
          <w:rtl/>
          <w:lang w:eastAsia="zh-TW"/>
        </w:rPr>
      </w:pPr>
      <w:r>
        <w:rPr>
          <w:rtl/>
          <w:lang w:eastAsia="zh-TW"/>
        </w:rPr>
        <w:tab/>
      </w:r>
      <w:r w:rsidR="00E32E3B" w:rsidRPr="00E32E3B">
        <w:rPr>
          <w:rtl/>
          <w:lang w:eastAsia="zh-TW"/>
        </w:rPr>
        <w:t>أنشئ مجلس تنسيقي معني بعمل الأطفال، يضم ممثلين عن السلطات والنقابات ومنظمات أرباب العمل وغيرهم من منظمات المجتمع المدني والمنظمات الدولية.</w:t>
      </w:r>
    </w:p>
    <w:p w:rsidR="00E32E3B" w:rsidRPr="00E32E3B" w:rsidRDefault="00C91E78" w:rsidP="00026EAB">
      <w:pPr>
        <w:pStyle w:val="SingleTxtGA"/>
        <w:spacing w:line="360" w:lineRule="exact"/>
        <w:rPr>
          <w:rtl/>
          <w:lang w:eastAsia="zh-TW"/>
        </w:rPr>
      </w:pPr>
      <w:r w:rsidRPr="00C91E78">
        <w:rPr>
          <w:spacing w:val="-4"/>
          <w:rtl/>
          <w:lang w:eastAsia="zh-TW"/>
        </w:rPr>
        <w:tab/>
      </w:r>
      <w:r w:rsidR="00E32E3B" w:rsidRPr="00C91E78">
        <w:rPr>
          <w:spacing w:val="-4"/>
          <w:rtl/>
          <w:lang w:eastAsia="zh-TW"/>
        </w:rPr>
        <w:t>وتكرر الدولة الطرف المعلومات المقدمة بشأن رصد عمل الأطفال للفترة ٢٠١٤</w:t>
      </w:r>
      <w:r w:rsidRPr="00C91E78">
        <w:rPr>
          <w:rFonts w:hint="cs"/>
          <w:spacing w:val="-4"/>
          <w:rtl/>
          <w:lang w:eastAsia="zh-TW"/>
        </w:rPr>
        <w:t>-2016</w:t>
      </w:r>
      <w:r w:rsidR="00E32E3B" w:rsidRPr="00E32E3B">
        <w:rPr>
          <w:rtl/>
          <w:lang w:eastAsia="zh-TW"/>
        </w:rPr>
        <w:t xml:space="preserve"> (انظر </w:t>
      </w:r>
      <w:r w:rsidR="00E32E3B" w:rsidRPr="00E32E3B">
        <w:rPr>
          <w:lang w:eastAsia="zh-TW"/>
        </w:rPr>
        <w:t>CCPR/C/UZB/Q/4/Add.1</w:t>
      </w:r>
      <w:r w:rsidR="00E32E3B" w:rsidRPr="00E32E3B">
        <w:rPr>
          <w:rtl/>
          <w:lang w:eastAsia="zh-TW"/>
        </w:rPr>
        <w:t xml:space="preserve">، الفقرة ١١٧). </w:t>
      </w:r>
    </w:p>
    <w:p w:rsidR="00E32E3B" w:rsidRDefault="00C91E78" w:rsidP="00026EAB">
      <w:pPr>
        <w:pStyle w:val="SingleTxtGA"/>
        <w:spacing w:line="360" w:lineRule="exact"/>
        <w:rPr>
          <w:rtl/>
          <w:lang w:eastAsia="zh-TW"/>
        </w:rPr>
      </w:pPr>
      <w:r>
        <w:rPr>
          <w:rtl/>
          <w:lang w:eastAsia="zh-TW"/>
        </w:rPr>
        <w:tab/>
      </w:r>
      <w:r w:rsidR="00E32E3B" w:rsidRPr="00E32E3B">
        <w:rPr>
          <w:rtl/>
          <w:lang w:eastAsia="zh-TW"/>
        </w:rPr>
        <w:t>وفي حزيران/يونيه ٢٠١٥، تمت الموافقة على خطة عمل بشأن توظيف العاملين في جني القطن ومنع استخدام عمل الأ</w:t>
      </w:r>
      <w:r>
        <w:rPr>
          <w:rtl/>
          <w:lang w:eastAsia="zh-TW"/>
        </w:rPr>
        <w:t>طفال والعمل القسري في جني القطن</w:t>
      </w:r>
      <w:r w:rsidR="00E32E3B" w:rsidRPr="00E32E3B">
        <w:rPr>
          <w:rtl/>
          <w:lang w:eastAsia="zh-TW"/>
        </w:rPr>
        <w:t>. وعمدت لجنة المرأة ومؤسستي مخال</w:t>
      </w:r>
      <w:r w:rsidR="00683334">
        <w:rPr>
          <w:rtl/>
          <w:lang w:eastAsia="zh-TW"/>
        </w:rPr>
        <w:t xml:space="preserve">اً </w:t>
      </w:r>
      <w:r w:rsidR="00E32E3B" w:rsidRPr="00E32E3B">
        <w:rPr>
          <w:rtl/>
          <w:lang w:eastAsia="zh-TW"/>
        </w:rPr>
        <w:t>ونوروني وحركة كامولوت الشبابية إلى تنظيم أنشطة للتوعية ورصد عملية توظيف العمال خلال موسم جني القطن.</w:t>
      </w:r>
    </w:p>
    <w:p w:rsidR="00E32E3B" w:rsidRPr="00E32E3B" w:rsidRDefault="00C91E78" w:rsidP="00026EAB">
      <w:pPr>
        <w:pStyle w:val="SingleTxtGA"/>
        <w:spacing w:line="360" w:lineRule="exact"/>
        <w:rPr>
          <w:rtl/>
          <w:lang w:eastAsia="zh-TW"/>
        </w:rPr>
      </w:pPr>
      <w:r>
        <w:rPr>
          <w:rtl/>
          <w:lang w:eastAsia="zh-TW"/>
        </w:rPr>
        <w:tab/>
      </w:r>
      <w:r w:rsidR="00E32E3B" w:rsidRPr="00E32E3B">
        <w:rPr>
          <w:rtl/>
          <w:lang w:eastAsia="zh-TW"/>
        </w:rPr>
        <w:t xml:space="preserve">وتناولت عملية الرصد في عام 2015 نحو </w:t>
      </w:r>
      <w:r w:rsidR="00026EAB">
        <w:rPr>
          <w:rFonts w:hint="cs"/>
          <w:rtl/>
          <w:lang w:eastAsia="zh-TW"/>
        </w:rPr>
        <w:t>100 1</w:t>
      </w:r>
      <w:r w:rsidR="00E32E3B" w:rsidRPr="00E32E3B">
        <w:rPr>
          <w:rtl/>
          <w:lang w:eastAsia="zh-TW"/>
        </w:rPr>
        <w:t xml:space="preserve"> كيان في جميع أنحاء المقاطعات العشر. وأجريت مقابلات بلغت نحو ٦٢٠ ٩ مقابلة. وأكدت الزيارات التي قامت بها أفرقة الرصد التي شملت المفتشية القانونية الحكومية للعمل كفاية أنشطة التوعية بشأن حظر العمل القسري وتوظيف العاملين في مجال الرعاية الصحية والمعلمين خلال موسم جني القطن.</w:t>
      </w:r>
    </w:p>
    <w:p w:rsidR="00E32E3B" w:rsidRPr="00E32E3B" w:rsidRDefault="00C91E78" w:rsidP="00026EAB">
      <w:pPr>
        <w:pStyle w:val="SingleTxtGA"/>
        <w:spacing w:line="360" w:lineRule="exact"/>
        <w:rPr>
          <w:rtl/>
          <w:lang w:eastAsia="zh-TW"/>
        </w:rPr>
      </w:pPr>
      <w:r>
        <w:rPr>
          <w:rtl/>
          <w:lang w:eastAsia="zh-TW"/>
        </w:rPr>
        <w:tab/>
      </w:r>
      <w:r w:rsidR="00E32E3B" w:rsidRPr="00E32E3B">
        <w:rPr>
          <w:rtl/>
          <w:lang w:eastAsia="zh-TW"/>
        </w:rPr>
        <w:t>وأنشأ المجلس التنسيقي المعني بعمل الأطفال آلية لتلقي التعليقات لمعالجة جملة أمور، منها الشكاوى المقدمة. وعلى الرغم من تلقي بعض الشكاوى والتحقيق فيها، لم تقدم أي أدلة تثبت وجود حالات للعمل القسري.</w:t>
      </w:r>
    </w:p>
    <w:p w:rsidR="00E32E3B" w:rsidRPr="00E32E3B" w:rsidRDefault="00C91E78" w:rsidP="00026EAB">
      <w:pPr>
        <w:pStyle w:val="SingleTxtGA"/>
        <w:spacing w:line="360" w:lineRule="exact"/>
        <w:rPr>
          <w:rtl/>
          <w:lang w:eastAsia="zh-TW"/>
        </w:rPr>
      </w:pPr>
      <w:r>
        <w:rPr>
          <w:rtl/>
          <w:lang w:eastAsia="zh-TW"/>
        </w:rPr>
        <w:tab/>
      </w:r>
      <w:r w:rsidR="00E32E3B" w:rsidRPr="00E32E3B">
        <w:rPr>
          <w:rtl/>
          <w:lang w:eastAsia="zh-TW"/>
        </w:rPr>
        <w:t>وزار مفتشون نحو ٢٥٤ حقلاً من حقول القطن، وقابلوا ٤٥٦ ١ عاملاً ف</w:t>
      </w:r>
      <w:r>
        <w:rPr>
          <w:rtl/>
          <w:lang w:eastAsia="zh-TW"/>
        </w:rPr>
        <w:t>ي مجال جني القطن و</w:t>
      </w:r>
      <w:r w:rsidR="00E32E3B" w:rsidRPr="00E32E3B">
        <w:rPr>
          <w:rtl/>
          <w:lang w:eastAsia="zh-TW"/>
        </w:rPr>
        <w:t xml:space="preserve">٢٦٣ مزارعاً و7 أطفال ولم يجدوا حالات لاستخدام الأطفال أو للعمل القسري. </w:t>
      </w:r>
    </w:p>
    <w:p w:rsidR="00E32E3B" w:rsidRPr="00E32E3B" w:rsidRDefault="00C91E78" w:rsidP="00026EAB">
      <w:pPr>
        <w:pStyle w:val="SingleTxtGA"/>
        <w:spacing w:line="360" w:lineRule="exact"/>
        <w:rPr>
          <w:rtl/>
          <w:lang w:eastAsia="zh-TW"/>
        </w:rPr>
      </w:pPr>
      <w:r>
        <w:rPr>
          <w:rtl/>
          <w:lang w:eastAsia="zh-TW"/>
        </w:rPr>
        <w:tab/>
      </w:r>
      <w:r w:rsidR="00E32E3B" w:rsidRPr="00E32E3B">
        <w:rPr>
          <w:rtl/>
          <w:lang w:eastAsia="zh-TW"/>
        </w:rPr>
        <w:t xml:space="preserve">وأشار تقرير بعثة موفدة من منظمة العمل الدولية، عن نتائج رصد آلية تلقي التعليقات وفعاليتها إلى الالتزام بحظر عمل الأطفال والعمل القسري وعدم القبول الاجتماعي لهذا العمل والتوعية العامة بعدم مقبوليته. </w:t>
      </w:r>
    </w:p>
    <w:p w:rsidR="00E32E3B" w:rsidRPr="00E32E3B" w:rsidRDefault="00C91E78" w:rsidP="00026EAB">
      <w:pPr>
        <w:pStyle w:val="SingleTxtGA"/>
        <w:spacing w:line="360" w:lineRule="exact"/>
        <w:rPr>
          <w:rtl/>
          <w:lang w:eastAsia="zh-TW"/>
        </w:rPr>
      </w:pPr>
      <w:r>
        <w:rPr>
          <w:rtl/>
          <w:lang w:eastAsia="zh-TW"/>
        </w:rPr>
        <w:tab/>
      </w:r>
      <w:r w:rsidR="00E32E3B" w:rsidRPr="00E32E3B">
        <w:rPr>
          <w:rtl/>
          <w:lang w:eastAsia="zh-TW"/>
        </w:rPr>
        <w:t xml:space="preserve">وأقرت خططتا العمل بشأن تحسين شروط العمل والتوظيف والحماية الاجتماعية للعمال الريفيين للفترة الممتدة من عام ٢٠١٦ إلى عام ٢٠١٨، وبشأن تنفيذ اتفاقيات منظمة العمل الدولية فيما يتعلق بحظر العمل القسري وعمل الأطفال، في 5 كانون الثاني/يناير و19 آذار/مارس ٢٠١٦ على التوالي. </w:t>
      </w:r>
    </w:p>
    <w:p w:rsidR="00E32E3B" w:rsidRPr="00C91E78" w:rsidRDefault="00026EAB" w:rsidP="00026EAB">
      <w:pPr>
        <w:pStyle w:val="H23GA"/>
        <w:rPr>
          <w:rtl/>
        </w:rPr>
      </w:pPr>
      <w:r>
        <w:rPr>
          <w:rtl/>
        </w:rPr>
        <w:tab/>
      </w:r>
      <w:r>
        <w:rPr>
          <w:rtl/>
        </w:rPr>
        <w:tab/>
      </w:r>
      <w:r w:rsidR="00E32E3B" w:rsidRPr="00C91E78">
        <w:rPr>
          <w:rtl/>
        </w:rPr>
        <w:t xml:space="preserve">تقييم اللجنة </w:t>
      </w:r>
    </w:p>
    <w:p w:rsidR="00E32E3B" w:rsidRDefault="00E32E3B" w:rsidP="00E32E3B">
      <w:pPr>
        <w:pStyle w:val="SingleTxtGA"/>
        <w:rPr>
          <w:rtl/>
          <w:lang w:eastAsia="zh-TW"/>
        </w:rPr>
      </w:pPr>
      <w:r w:rsidRPr="00C91E78">
        <w:rPr>
          <w:b/>
          <w:bCs/>
          <w:rtl/>
          <w:lang w:eastAsia="zh-TW"/>
        </w:rPr>
        <w:t>[باء]:</w:t>
      </w:r>
      <w:r w:rsidRPr="00E32E3B">
        <w:rPr>
          <w:rtl/>
          <w:lang w:eastAsia="zh-TW"/>
        </w:rPr>
        <w:t xml:space="preserve"> تحيط اللجنة علم</w:t>
      </w:r>
      <w:r w:rsidR="00683334">
        <w:rPr>
          <w:rtl/>
          <w:lang w:eastAsia="zh-TW"/>
        </w:rPr>
        <w:t xml:space="preserve">اً </w:t>
      </w:r>
      <w:r w:rsidRPr="00E32E3B">
        <w:rPr>
          <w:rtl/>
          <w:lang w:eastAsia="zh-TW"/>
        </w:rPr>
        <w:t>بالتدابير المتخذة للقضاء على العمل القسري في مجال صناعة القطن. بيد أنها تطلب معلومات إضافية بشأن ما</w:t>
      </w:r>
      <w:r w:rsidR="00C91E78">
        <w:rPr>
          <w:rFonts w:hint="cs"/>
          <w:rtl/>
          <w:lang w:eastAsia="zh-TW"/>
        </w:rPr>
        <w:t xml:space="preserve"> </w:t>
      </w:r>
      <w:r w:rsidRPr="00E32E3B">
        <w:rPr>
          <w:rtl/>
          <w:lang w:eastAsia="zh-TW"/>
        </w:rPr>
        <w:t>يلي: (أ) إجراء المزيد من التدابير المتخذة للحد من خطر العمل القسري على البالغين والطلاب فوق 16 سنة من العمر في مجال جني القطن؛ (ب) تأثير خطتي العمل المعتمدتين في عام 2016 بشأن تحسين شروط العمل والتوظيف والحماية الاجتماعية للعمال الريفيين للفترة الممتدة من عام ٢٠١٦ إلى عام ٢٠١٨، وبشأن تنفيذ اتفاقيات منظمة العمل الدولية في عام 2016 فيما يتعلق بحظر العمل القسري وعمل الأطفال الرامية إلى وضع حد للعمل القسري في مجال صناعة القطن.</w:t>
      </w:r>
    </w:p>
    <w:tbl>
      <w:tblPr>
        <w:bidiVisual/>
        <w:tblW w:w="7252" w:type="dxa"/>
        <w:tblInd w:w="1252" w:type="dxa"/>
        <w:tblBorders>
          <w:top w:val="single" w:sz="4" w:space="0" w:color="auto"/>
          <w:bottom w:val="single" w:sz="12" w:space="0" w:color="auto"/>
        </w:tblBorders>
        <w:tblLayout w:type="fixed"/>
        <w:tblLook w:val="00A0" w:firstRow="1" w:lastRow="0" w:firstColumn="1" w:lastColumn="0" w:noHBand="0" w:noVBand="0"/>
      </w:tblPr>
      <w:tblGrid>
        <w:gridCol w:w="2575"/>
        <w:gridCol w:w="4677"/>
      </w:tblGrid>
      <w:tr w:rsidR="00026EAB" w:rsidRPr="00E32E3B" w:rsidTr="00873C81">
        <w:trPr>
          <w:trHeight w:val="240"/>
          <w:tblHeader/>
        </w:trPr>
        <w:tc>
          <w:tcPr>
            <w:tcW w:w="2575" w:type="dxa"/>
            <w:tcBorders>
              <w:top w:val="single" w:sz="4" w:space="0" w:color="auto"/>
              <w:bottom w:val="single" w:sz="12" w:space="0" w:color="auto"/>
            </w:tcBorders>
            <w:shd w:val="clear" w:color="auto" w:fill="auto"/>
            <w:vAlign w:val="bottom"/>
          </w:tcPr>
          <w:p w:rsidR="00026EAB" w:rsidRPr="00E32E3B" w:rsidRDefault="00026EAB" w:rsidP="00873C81">
            <w:pPr>
              <w:spacing w:after="120" w:line="320" w:lineRule="exact"/>
              <w:jc w:val="both"/>
              <w:textDirection w:val="tbRlV"/>
              <w:rPr>
                <w:i/>
                <w:iCs/>
                <w:sz w:val="16"/>
                <w:rtl/>
                <w:lang w:eastAsia="zh-TW"/>
              </w:rPr>
            </w:pPr>
            <w:r w:rsidRPr="00E32E3B">
              <w:rPr>
                <w:i/>
                <w:iCs/>
                <w:rtl/>
                <w:lang w:eastAsia="zh-TW"/>
              </w:rPr>
              <w:lastRenderedPageBreak/>
              <w:t>أوزبكستان</w:t>
            </w:r>
          </w:p>
        </w:tc>
        <w:tc>
          <w:tcPr>
            <w:tcW w:w="4677" w:type="dxa"/>
            <w:tcBorders>
              <w:top w:val="single" w:sz="4" w:space="0" w:color="auto"/>
              <w:bottom w:val="single" w:sz="12" w:space="0" w:color="auto"/>
            </w:tcBorders>
            <w:shd w:val="clear" w:color="auto" w:fill="auto"/>
            <w:vAlign w:val="bottom"/>
          </w:tcPr>
          <w:p w:rsidR="00026EAB" w:rsidRPr="00E32E3B" w:rsidRDefault="00026EAB" w:rsidP="00873C81">
            <w:pPr>
              <w:spacing w:after="120" w:line="320" w:lineRule="exact"/>
              <w:jc w:val="both"/>
              <w:rPr>
                <w:i/>
                <w:iCs/>
                <w:sz w:val="16"/>
              </w:rPr>
            </w:pPr>
          </w:p>
        </w:tc>
      </w:tr>
    </w:tbl>
    <w:p w:rsidR="00E32E3B" w:rsidRPr="00E32E3B" w:rsidRDefault="00E32E3B" w:rsidP="00E32E3B">
      <w:pPr>
        <w:pStyle w:val="SingleTxtGA"/>
        <w:rPr>
          <w:rtl/>
          <w:lang w:eastAsia="zh-TW"/>
        </w:rPr>
      </w:pPr>
      <w:r w:rsidRPr="00C91E78">
        <w:rPr>
          <w:b/>
          <w:bCs/>
          <w:rtl/>
          <w:lang w:eastAsia="zh-TW"/>
        </w:rPr>
        <w:t>[جيم]:</w:t>
      </w:r>
      <w:r w:rsidRPr="00E32E3B">
        <w:rPr>
          <w:rtl/>
          <w:lang w:eastAsia="zh-TW"/>
        </w:rPr>
        <w:t xml:space="preserve"> تأسف اللجنة لعدم تقديم معلومات عن التدابير المتخذة لضمان الشفافية المالية والتصدي للفساد في صناعة القطن أو عن منع حدوث وفيات فيما يتعلق بجني القطن والتحقيق وإجراء تحقيق شامل في هذه القضايا وتوفير سبل انتصاف فعالة، بما في ذلك تعويض كافٍ، إلى أسر الضحايا.</w:t>
      </w:r>
      <w:r w:rsidRPr="00E32E3B">
        <w:rPr>
          <w:rFonts w:cs="Times New Roman" w:hint="cs"/>
          <w:rtl/>
          <w:lang w:eastAsia="zh-TW"/>
        </w:rPr>
        <w:t>‬</w:t>
      </w:r>
      <w:r w:rsidRPr="00E32E3B">
        <w:rPr>
          <w:rtl/>
          <w:lang w:eastAsia="zh-TW"/>
        </w:rPr>
        <w:t xml:space="preserve"> </w:t>
      </w:r>
      <w:r w:rsidRPr="00E32E3B">
        <w:rPr>
          <w:rFonts w:ascii="Traditional Arabic" w:hAnsi="Traditional Arabic" w:hint="cs"/>
          <w:rtl/>
          <w:lang w:eastAsia="zh-TW"/>
        </w:rPr>
        <w:t>وتكرر</w:t>
      </w:r>
      <w:r w:rsidRPr="00E32E3B">
        <w:rPr>
          <w:rtl/>
          <w:lang w:eastAsia="zh-TW"/>
        </w:rPr>
        <w:t xml:space="preserve"> </w:t>
      </w:r>
      <w:r w:rsidRPr="00E32E3B">
        <w:rPr>
          <w:rFonts w:ascii="Traditional Arabic" w:hAnsi="Traditional Arabic" w:hint="cs"/>
          <w:rtl/>
          <w:lang w:eastAsia="zh-TW"/>
        </w:rPr>
        <w:t>اللجنة</w:t>
      </w:r>
      <w:r w:rsidRPr="00E32E3B">
        <w:rPr>
          <w:rtl/>
          <w:lang w:eastAsia="zh-TW"/>
        </w:rPr>
        <w:t xml:space="preserve"> </w:t>
      </w:r>
      <w:r w:rsidRPr="00E32E3B">
        <w:rPr>
          <w:rFonts w:ascii="Traditional Arabic" w:hAnsi="Traditional Arabic" w:hint="cs"/>
          <w:rtl/>
          <w:lang w:eastAsia="zh-TW"/>
        </w:rPr>
        <w:t>تأكيد</w:t>
      </w:r>
      <w:r w:rsidRPr="00E32E3B">
        <w:rPr>
          <w:rtl/>
          <w:lang w:eastAsia="zh-TW"/>
        </w:rPr>
        <w:t xml:space="preserve"> </w:t>
      </w:r>
      <w:r w:rsidRPr="00E32E3B">
        <w:rPr>
          <w:rFonts w:ascii="Traditional Arabic" w:hAnsi="Traditional Arabic" w:hint="cs"/>
          <w:rtl/>
          <w:lang w:eastAsia="zh-TW"/>
        </w:rPr>
        <w:t>توصيتها</w:t>
      </w:r>
      <w:r w:rsidRPr="00E32E3B">
        <w:rPr>
          <w:rtl/>
          <w:lang w:eastAsia="zh-TW"/>
        </w:rPr>
        <w:t>.</w:t>
      </w:r>
      <w:r w:rsidRPr="00E32E3B">
        <w:t>‬</w:t>
      </w:r>
    </w:p>
    <w:p w:rsidR="00E32E3B" w:rsidRPr="00E32E3B" w:rsidRDefault="00E32E3B" w:rsidP="00E32E3B">
      <w:pPr>
        <w:pStyle w:val="SingleTxtGA"/>
        <w:rPr>
          <w:rtl/>
          <w:lang w:eastAsia="zh-TW"/>
        </w:rPr>
      </w:pPr>
      <w:r w:rsidRPr="00C91E78">
        <w:rPr>
          <w:b/>
          <w:bCs/>
          <w:rtl/>
          <w:lang w:eastAsia="zh-TW"/>
        </w:rPr>
        <w:t>الإجراء الموصى به:</w:t>
      </w:r>
      <w:r w:rsidRPr="00E32E3B">
        <w:rPr>
          <w:rtl/>
          <w:lang w:eastAsia="zh-TW"/>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p w:rsidR="00E32E3B" w:rsidRDefault="00E32E3B" w:rsidP="00E32E3B">
      <w:pPr>
        <w:pStyle w:val="SingleTxtGA"/>
        <w:rPr>
          <w:rtl/>
          <w:lang w:eastAsia="zh-TW"/>
        </w:rPr>
      </w:pPr>
      <w:r w:rsidRPr="00C91E78">
        <w:rPr>
          <w:b/>
          <w:bCs/>
          <w:rtl/>
          <w:lang w:eastAsia="zh-TW"/>
        </w:rPr>
        <w:t>التقرير الدوري المقبل:</w:t>
      </w:r>
      <w:r w:rsidRPr="00E32E3B">
        <w:rPr>
          <w:rtl/>
          <w:lang w:eastAsia="zh-TW"/>
        </w:rPr>
        <w:t xml:space="preserve"> ٢٤ تموز</w:t>
      </w:r>
      <w:bookmarkStart w:id="1" w:name="_GoBack"/>
      <w:bookmarkEnd w:id="1"/>
      <w:r w:rsidRPr="00E32E3B">
        <w:rPr>
          <w:rtl/>
          <w:lang w:eastAsia="zh-TW"/>
        </w:rPr>
        <w:t>/يوليه ٢٠١٨.</w:t>
      </w:r>
    </w:p>
    <w:p w:rsidR="00D8591B" w:rsidRPr="00E32E3B" w:rsidRDefault="00D8591B" w:rsidP="00D8591B">
      <w:pPr>
        <w:pStyle w:val="SingleTxtGA"/>
        <w:pBdr>
          <w:bottom w:val="single" w:sz="12" w:space="1" w:color="auto"/>
        </w:pBdr>
        <w:spacing w:line="120" w:lineRule="exact"/>
        <w:rPr>
          <w:rtl/>
          <w:lang w:eastAsia="zh-TW"/>
        </w:rPr>
      </w:pPr>
    </w:p>
    <w:p w:rsidR="00540D30" w:rsidRPr="00C91E78" w:rsidRDefault="00C91E78" w:rsidP="00C91E78">
      <w:pPr>
        <w:spacing w:before="120"/>
        <w:jc w:val="center"/>
        <w:rPr>
          <w:u w:val="single"/>
          <w:rtl/>
          <w:lang w:bidi="ar-DZ"/>
        </w:rPr>
      </w:pPr>
      <w:r>
        <w:rPr>
          <w:u w:val="single"/>
          <w:rtl/>
          <w:lang w:bidi="ar-DZ"/>
        </w:rPr>
        <w:tab/>
      </w:r>
      <w:r>
        <w:rPr>
          <w:u w:val="single"/>
          <w:rtl/>
          <w:lang w:bidi="ar-DZ"/>
        </w:rPr>
        <w:tab/>
      </w:r>
      <w:r>
        <w:rPr>
          <w:u w:val="single"/>
          <w:rtl/>
          <w:lang w:bidi="ar-DZ"/>
        </w:rPr>
        <w:tab/>
      </w:r>
    </w:p>
    <w:sectPr w:rsidR="00540D30" w:rsidRPr="00C91E78" w:rsidSect="00D34CEB">
      <w:headerReference w:type="even" r:id="rId20"/>
      <w:headerReference w:type="default" r:id="rId21"/>
      <w:footerReference w:type="even" r:id="rId22"/>
      <w:footerReference w:type="default" r:id="rId23"/>
      <w:footerReference w:type="first" r:id="rId2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20" w:rsidRPr="002901D9" w:rsidRDefault="00BD0320" w:rsidP="002901D9">
      <w:pPr>
        <w:spacing w:after="60" w:line="240" w:lineRule="auto"/>
        <w:rPr>
          <w:i/>
          <w:iCs/>
        </w:rPr>
      </w:pPr>
      <w:r>
        <w:rPr>
          <w:rFonts w:hint="cs"/>
          <w:i/>
          <w:iCs/>
          <w:rtl/>
        </w:rPr>
        <w:t>الحواشي</w:t>
      </w:r>
    </w:p>
  </w:endnote>
  <w:endnote w:type="continuationSeparator" w:id="0">
    <w:p w:rsidR="00BD0320" w:rsidRDefault="00BD032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20" w:rsidRPr="00540D30" w:rsidRDefault="00BD0320" w:rsidP="00540D30">
    <w:pPr>
      <w:pStyle w:val="Footer"/>
      <w:tabs>
        <w:tab w:val="right" w:pos="9598"/>
      </w:tabs>
      <w:rPr>
        <w:sz w:val="17"/>
      </w:rPr>
    </w:pPr>
    <w:r>
      <w:rPr>
        <w:sz w:val="17"/>
      </w:rPr>
      <w:t>GE.18-01956</w:t>
    </w:r>
    <w:r>
      <w:rPr>
        <w:sz w:val="17"/>
      </w:rPr>
      <w:tab/>
    </w:r>
    <w:r w:rsidRPr="00540D30">
      <w:rPr>
        <w:b/>
        <w:sz w:val="18"/>
      </w:rPr>
      <w:fldChar w:fldCharType="begin"/>
    </w:r>
    <w:r w:rsidRPr="00540D30">
      <w:rPr>
        <w:b/>
        <w:sz w:val="18"/>
      </w:rPr>
      <w:instrText xml:space="preserve"> PAGE  \* MERGEFORMAT </w:instrText>
    </w:r>
    <w:r w:rsidRPr="00540D30">
      <w:rPr>
        <w:b/>
        <w:sz w:val="18"/>
      </w:rPr>
      <w:fldChar w:fldCharType="separate"/>
    </w:r>
    <w:r w:rsidR="00D8591B">
      <w:rPr>
        <w:b/>
        <w:noProof/>
        <w:sz w:val="18"/>
      </w:rPr>
      <w:t>26</w:t>
    </w:r>
    <w:r w:rsidRPr="00540D3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20" w:rsidRPr="00540D30" w:rsidRDefault="00BD0320" w:rsidP="006959B0">
    <w:pPr>
      <w:pStyle w:val="Footer"/>
      <w:tabs>
        <w:tab w:val="right" w:pos="9599"/>
      </w:tabs>
      <w:jc w:val="left"/>
      <w:rPr>
        <w:b/>
        <w:sz w:val="18"/>
        <w:lang w:val="en-US"/>
      </w:rPr>
    </w:pPr>
    <w:r w:rsidRPr="00540D30">
      <w:rPr>
        <w:b/>
        <w:sz w:val="18"/>
        <w:lang w:val="en-US"/>
      </w:rPr>
      <w:fldChar w:fldCharType="begin"/>
    </w:r>
    <w:r w:rsidRPr="00540D30">
      <w:rPr>
        <w:b/>
        <w:sz w:val="18"/>
        <w:lang w:val="en-US"/>
      </w:rPr>
      <w:instrText xml:space="preserve"> PAGE  \* MERGEFORMAT </w:instrText>
    </w:r>
    <w:r w:rsidRPr="00540D30">
      <w:rPr>
        <w:b/>
        <w:sz w:val="18"/>
        <w:lang w:val="en-US"/>
      </w:rPr>
      <w:fldChar w:fldCharType="separate"/>
    </w:r>
    <w:r w:rsidR="00D8591B">
      <w:rPr>
        <w:b/>
        <w:noProof/>
        <w:sz w:val="18"/>
        <w:lang w:val="en-US"/>
      </w:rPr>
      <w:t>27</w:t>
    </w:r>
    <w:r w:rsidRPr="00540D30">
      <w:rPr>
        <w:b/>
        <w:sz w:val="18"/>
        <w:lang w:val="en-US"/>
      </w:rPr>
      <w:fldChar w:fldCharType="end"/>
    </w:r>
    <w:r>
      <w:rPr>
        <w:b/>
        <w:sz w:val="18"/>
        <w:lang w:val="en-US"/>
      </w:rPr>
      <w:tab/>
    </w:r>
    <w:r>
      <w:rPr>
        <w:sz w:val="17"/>
        <w:lang w:val="en-US"/>
      </w:rPr>
      <w:t>GE.18-01956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20" w:rsidRDefault="00BD0320" w:rsidP="00982139">
    <w:pPr>
      <w:pStyle w:val="Footer"/>
      <w:spacing w:before="360"/>
      <w:jc w:val="right"/>
      <w:rPr>
        <w:sz w:val="20"/>
        <w:szCs w:val="20"/>
      </w:rPr>
    </w:pPr>
    <w:r>
      <w:rPr>
        <w:sz w:val="20"/>
        <w:szCs w:val="20"/>
      </w:rPr>
      <w:t>GE.18-01956</w:t>
    </w:r>
    <w:r>
      <w:rPr>
        <w:noProof/>
        <w:lang w:val="en-US" w:eastAsia="zh-CN"/>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D0320" w:rsidRPr="00D34CEB" w:rsidRDefault="00BD0320" w:rsidP="00D34CE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20" w:rsidRDefault="00BD0320" w:rsidP="000437B8">
      <w:pPr>
        <w:pStyle w:val="Footer"/>
        <w:bidi/>
        <w:spacing w:after="80" w:line="200" w:lineRule="exact"/>
        <w:ind w:left="680"/>
      </w:pPr>
      <w:r>
        <w:rPr>
          <w:rtl/>
        </w:rPr>
        <w:t>__________</w:t>
      </w:r>
    </w:p>
  </w:footnote>
  <w:footnote w:type="continuationSeparator" w:id="0">
    <w:p w:rsidR="00BD0320" w:rsidRDefault="00BD0320" w:rsidP="00656392">
      <w:pPr>
        <w:spacing w:line="240" w:lineRule="auto"/>
      </w:pPr>
      <w:r>
        <w:continuationSeparator/>
      </w:r>
    </w:p>
  </w:footnote>
  <w:footnote w:id="1">
    <w:p w:rsidR="00BD0320" w:rsidRPr="00540D30" w:rsidRDefault="00BD0320" w:rsidP="00540D30">
      <w:pPr>
        <w:pStyle w:val="FootnoteText1"/>
        <w:rPr>
          <w:lang w:bidi="ar-DZ"/>
        </w:rPr>
      </w:pPr>
      <w:r>
        <w:rPr>
          <w:rtl/>
          <w:lang w:bidi="ar-DZ"/>
        </w:rPr>
        <w:t>*</w:t>
      </w:r>
      <w:r>
        <w:rPr>
          <w:rtl/>
          <w:lang w:bidi="ar-DZ"/>
        </w:rPr>
        <w:tab/>
      </w:r>
      <w:r>
        <w:rPr>
          <w:rtl/>
          <w:lang w:eastAsia="zh-TW"/>
        </w:rPr>
        <w:t>اعتمدته اللجنة في دورتها 121 (16 تشرين الأول/أكتوبر - 10 تشرين الثاني/نوفمبر 2017).</w:t>
      </w:r>
    </w:p>
  </w:footnote>
  <w:footnote w:id="2">
    <w:p w:rsidR="00BD0320" w:rsidRPr="001F2F4A" w:rsidRDefault="00BD0320" w:rsidP="00540D30">
      <w:pPr>
        <w:pStyle w:val="FootnoteText1"/>
        <w:rPr>
          <w:lang w:bidi="ar-DZ"/>
        </w:rPr>
      </w:pPr>
      <w:r w:rsidRPr="00A501A7">
        <w:rPr>
          <w:rtl/>
        </w:rPr>
        <w:t>(</w:t>
      </w:r>
      <w:r w:rsidRPr="00A501A7">
        <w:rPr>
          <w:rStyle w:val="FootnoteReference"/>
          <w:vertAlign w:val="baseline"/>
        </w:rPr>
        <w:footnoteRef/>
      </w:r>
      <w:r w:rsidRPr="00A501A7">
        <w:rPr>
          <w:sz w:val="26"/>
          <w:rtl/>
        </w:rPr>
        <w:t>)</w:t>
      </w:r>
      <w:r w:rsidRPr="00A501A7">
        <w:rPr>
          <w:sz w:val="26"/>
          <w:rtl/>
        </w:rPr>
        <w:tab/>
      </w:r>
      <w:r w:rsidRPr="00A501A7">
        <w:rPr>
          <w:rtl/>
          <w:lang w:eastAsia="zh-TW"/>
        </w:rPr>
        <w:t xml:space="preserve">تتاح معايير التقييم كاملة في الرابط التالي: </w:t>
      </w:r>
      <w:r w:rsidRPr="00A501A7">
        <w:rPr>
          <w:rtl/>
          <w:lang w:eastAsia="zh-TW"/>
        </w:rPr>
        <w:tab/>
      </w:r>
      <w:r w:rsidRPr="001F2F4A">
        <w:rPr>
          <w:rtl/>
          <w:lang w:eastAsia="zh-TW"/>
        </w:rPr>
        <w:br/>
      </w:r>
      <w:hyperlink r:id="rId1" w:history="1">
        <w:r w:rsidRPr="001F2F4A">
          <w:rPr>
            <w:rStyle w:val="Hyperlink"/>
            <w:color w:val="auto"/>
            <w:u w:val="none"/>
            <w:lang w:eastAsia="zh-TW"/>
          </w:rPr>
          <w:t>http://tbinternet.ohchr.org/Treaties/CCPR/Shared%20Documents/1_Global/INT_CCPR_FGD_8108_E.pdf</w:t>
        </w:r>
      </w:hyperlink>
      <w:r w:rsidRPr="001F2F4A">
        <w:rPr>
          <w:rtl/>
          <w:lang w:eastAsia="zh-TW"/>
        </w:rPr>
        <w:t>.</w:t>
      </w:r>
    </w:p>
  </w:footnote>
  <w:footnote w:id="3">
    <w:p w:rsidR="00BD0320" w:rsidRPr="00D85109" w:rsidRDefault="00BD0320" w:rsidP="00D85109">
      <w:pPr>
        <w:pStyle w:val="FootnoteText1"/>
        <w:textDirection w:val="tbRlV"/>
        <w:rPr>
          <w:rtl/>
          <w:lang w:eastAsia="zh-TW"/>
        </w:rPr>
      </w:pPr>
      <w:r w:rsidRPr="00540D30">
        <w:rPr>
          <w:rtl/>
        </w:rPr>
        <w:t>(</w:t>
      </w:r>
      <w:r w:rsidRPr="00540D30">
        <w:rPr>
          <w:rStyle w:val="FootnoteReference"/>
          <w:vertAlign w:val="baseline"/>
        </w:rPr>
        <w:footnoteRef/>
      </w:r>
      <w:r>
        <w:rPr>
          <w:sz w:val="26"/>
          <w:rtl/>
        </w:rPr>
        <w:t>)</w:t>
      </w:r>
      <w:r>
        <w:rPr>
          <w:sz w:val="26"/>
          <w:rtl/>
        </w:rPr>
        <w:tab/>
      </w:r>
      <w:r w:rsidRPr="00D85109">
        <w:rPr>
          <w:rtl/>
          <w:lang w:eastAsia="zh-TW"/>
        </w:rPr>
        <w:t>انظر</w:t>
      </w:r>
      <w:r w:rsidRPr="00D85109">
        <w:rPr>
          <w:rFonts w:hint="cs"/>
          <w:rtl/>
          <w:lang w:eastAsia="zh-TW"/>
        </w:rPr>
        <w:t xml:space="preserve"> </w:t>
      </w:r>
      <w:hyperlink r:id="rId2" w:history="1">
        <w:r w:rsidRPr="00D85109">
          <w:rPr>
            <w:rStyle w:val="Hyperlink"/>
            <w:color w:val="auto"/>
            <w:u w:val="none"/>
            <w:lang w:eastAsia="zh-TW"/>
          </w:rPr>
          <w:t>http://tbinternet.ohchr.org/Treaties/CCPR/Shared%20Documents/UKR/INT_CCPR_NGS_</w:t>
        </w:r>
        <w:r w:rsidRPr="00D85109">
          <w:rPr>
            <w:rStyle w:val="Hyperlink"/>
            <w:color w:val="auto"/>
            <w:u w:val="none"/>
            <w:lang w:eastAsia="zh-TW"/>
          </w:rPr>
          <w:br/>
          <w:t>UKR_24405_E.pdf</w:t>
        </w:r>
      </w:hyperlink>
      <w:r w:rsidRPr="00D85109">
        <w:rPr>
          <w:rtl/>
          <w:lang w:eastAsia="zh-TW"/>
        </w:rPr>
        <w:t>.</w:t>
      </w:r>
    </w:p>
  </w:footnote>
  <w:footnote w:id="4">
    <w:p w:rsidR="00BD0320" w:rsidRPr="00D85109" w:rsidRDefault="00BD0320" w:rsidP="00D85109">
      <w:pPr>
        <w:pStyle w:val="FootnoteText1"/>
        <w:textDirection w:val="tbRlV"/>
        <w:rPr>
          <w:rtl/>
          <w:lang w:eastAsia="zh-TW"/>
        </w:rPr>
      </w:pPr>
      <w:r w:rsidRPr="00D85109">
        <w:rPr>
          <w:rtl/>
        </w:rPr>
        <w:t>(</w:t>
      </w:r>
      <w:r w:rsidRPr="00D85109">
        <w:rPr>
          <w:rStyle w:val="FootnoteReference"/>
          <w:vertAlign w:val="baseline"/>
        </w:rPr>
        <w:footnoteRef/>
      </w:r>
      <w:r w:rsidRPr="00D85109">
        <w:rPr>
          <w:sz w:val="26"/>
          <w:rtl/>
        </w:rPr>
        <w:t>)</w:t>
      </w:r>
      <w:r w:rsidRPr="00D85109">
        <w:rPr>
          <w:sz w:val="26"/>
          <w:rtl/>
        </w:rPr>
        <w:tab/>
      </w:r>
      <w:r w:rsidRPr="00D85109">
        <w:rPr>
          <w:rtl/>
          <w:lang w:eastAsia="zh-TW"/>
        </w:rPr>
        <w:t>انظر</w:t>
      </w:r>
      <w:r w:rsidRPr="00D85109">
        <w:rPr>
          <w:rFonts w:hint="cs"/>
          <w:rtl/>
          <w:lang w:eastAsia="zh-TW"/>
        </w:rPr>
        <w:t xml:space="preserve"> </w:t>
      </w:r>
      <w:hyperlink r:id="rId3" w:history="1">
        <w:r w:rsidRPr="00D85109">
          <w:rPr>
            <w:rStyle w:val="Hyperlink"/>
            <w:rFonts w:eastAsiaTheme="majorEastAsia"/>
            <w:color w:val="auto"/>
            <w:u w:val="none"/>
          </w:rPr>
          <w:t>http://tbinternet.ohchr.org/Treaties/CCPR/Shared%20Documents/UKR/INT_CCPR_NGS_</w:t>
        </w:r>
        <w:r w:rsidRPr="00D85109">
          <w:rPr>
            <w:rStyle w:val="Hyperlink"/>
            <w:rFonts w:eastAsiaTheme="majorEastAsia"/>
            <w:color w:val="auto"/>
            <w:u w:val="none"/>
          </w:rPr>
          <w:br/>
          <w:t>UKR_24422_E.pdf</w:t>
        </w:r>
      </w:hyperlink>
      <w:r w:rsidRPr="00D85109">
        <w:rPr>
          <w:rtl/>
          <w:lang w:eastAsia="zh-TW"/>
        </w:rPr>
        <w:t>.</w:t>
      </w:r>
    </w:p>
  </w:footnote>
  <w:footnote w:id="5">
    <w:p w:rsidR="00BD0320" w:rsidRPr="00E32E3B" w:rsidRDefault="00BD0320" w:rsidP="00E32E3B">
      <w:pPr>
        <w:pStyle w:val="FootnoteText1"/>
        <w:textDirection w:val="tbRlV"/>
        <w:rPr>
          <w:rtl/>
          <w:lang w:eastAsia="zh-TW" w:bidi="ar-DZ"/>
        </w:rPr>
      </w:pPr>
      <w:r w:rsidRPr="00540D30">
        <w:rPr>
          <w:rtl/>
        </w:rPr>
        <w:t>(</w:t>
      </w:r>
      <w:r w:rsidRPr="00540D30">
        <w:rPr>
          <w:rStyle w:val="FootnoteReference"/>
          <w:vertAlign w:val="baseline"/>
        </w:rPr>
        <w:footnoteRef/>
      </w:r>
      <w:r>
        <w:rPr>
          <w:sz w:val="26"/>
          <w:rtl/>
        </w:rPr>
        <w:t>)</w:t>
      </w:r>
      <w:r>
        <w:rPr>
          <w:sz w:val="26"/>
          <w:rtl/>
        </w:rPr>
        <w:tab/>
      </w:r>
      <w:r w:rsidRPr="00E32E3B">
        <w:rPr>
          <w:rtl/>
          <w:lang w:eastAsia="zh-TW"/>
        </w:rPr>
        <w:t>انظر</w:t>
      </w:r>
      <w:r w:rsidRPr="00E32E3B">
        <w:rPr>
          <w:rFonts w:hint="cs"/>
          <w:rtl/>
          <w:lang w:eastAsia="zh-TW"/>
        </w:rPr>
        <w:t xml:space="preserve"> </w:t>
      </w:r>
      <w:hyperlink r:id="rId4" w:history="1">
        <w:r w:rsidRPr="00E32E3B">
          <w:rPr>
            <w:rStyle w:val="Hyperlink"/>
            <w:rFonts w:eastAsiaTheme="majorEastAsia"/>
            <w:color w:val="auto"/>
            <w:u w:val="none"/>
          </w:rPr>
          <w:t>http://tbinternet.ohchr.org/Treaties/CCPR/SharedDocuments/MKD/INT_CCPR_FCO_MKD_</w:t>
        </w:r>
        <w:r w:rsidRPr="00E32E3B">
          <w:rPr>
            <w:rStyle w:val="Hyperlink"/>
            <w:rFonts w:eastAsiaTheme="majorEastAsia"/>
            <w:color w:val="auto"/>
            <w:u w:val="none"/>
          </w:rPr>
          <w:br/>
          <w:t>25047_E.pdf</w:t>
        </w:r>
      </w:hyperlink>
      <w:r w:rsidRPr="00E32E3B">
        <w:rPr>
          <w:rFonts w:hint="cs"/>
          <w:rtl/>
          <w:lang w:eastAsia="zh-TW"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20" w:rsidRPr="00540D30" w:rsidRDefault="00BD0320" w:rsidP="00540D30">
    <w:pPr>
      <w:pStyle w:val="Header"/>
      <w:jc w:val="right"/>
    </w:pPr>
    <w:r w:rsidRPr="00540D30">
      <w:t>CCPR/C/121/2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20" w:rsidRPr="00540D30" w:rsidRDefault="00BD0320" w:rsidP="00540D30">
    <w:pPr>
      <w:pStyle w:val="Header"/>
      <w:jc w:val="left"/>
    </w:pPr>
    <w:r w:rsidRPr="00540D30">
      <w:t>CCPR/C/121/2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026F5"/>
    <w:rsid w:val="000026F5"/>
    <w:rsid w:val="000076D5"/>
    <w:rsid w:val="00026EAB"/>
    <w:rsid w:val="00043663"/>
    <w:rsid w:val="000437B8"/>
    <w:rsid w:val="000505CF"/>
    <w:rsid w:val="000679C9"/>
    <w:rsid w:val="000D701C"/>
    <w:rsid w:val="000E2A71"/>
    <w:rsid w:val="00152B44"/>
    <w:rsid w:val="00160263"/>
    <w:rsid w:val="00181F96"/>
    <w:rsid w:val="001A1371"/>
    <w:rsid w:val="001B3108"/>
    <w:rsid w:val="001B346A"/>
    <w:rsid w:val="001E1CAD"/>
    <w:rsid w:val="001E290D"/>
    <w:rsid w:val="001E6335"/>
    <w:rsid w:val="001F2F4A"/>
    <w:rsid w:val="002144FA"/>
    <w:rsid w:val="0023469A"/>
    <w:rsid w:val="00243C8A"/>
    <w:rsid w:val="00267A0E"/>
    <w:rsid w:val="00282D59"/>
    <w:rsid w:val="002901D9"/>
    <w:rsid w:val="002976C2"/>
    <w:rsid w:val="003260FF"/>
    <w:rsid w:val="00343D95"/>
    <w:rsid w:val="00363A18"/>
    <w:rsid w:val="00374341"/>
    <w:rsid w:val="00387BAB"/>
    <w:rsid w:val="003D1062"/>
    <w:rsid w:val="00420D7B"/>
    <w:rsid w:val="0043010E"/>
    <w:rsid w:val="00450B21"/>
    <w:rsid w:val="00453B63"/>
    <w:rsid w:val="00455780"/>
    <w:rsid w:val="004B0A1C"/>
    <w:rsid w:val="004D298E"/>
    <w:rsid w:val="005106F7"/>
    <w:rsid w:val="00517BC9"/>
    <w:rsid w:val="00540D30"/>
    <w:rsid w:val="0054472E"/>
    <w:rsid w:val="005662A9"/>
    <w:rsid w:val="005827D4"/>
    <w:rsid w:val="0059622A"/>
    <w:rsid w:val="005C5878"/>
    <w:rsid w:val="005C7CEA"/>
    <w:rsid w:val="005D3C0B"/>
    <w:rsid w:val="005E5217"/>
    <w:rsid w:val="005F0FA4"/>
    <w:rsid w:val="005F30EE"/>
    <w:rsid w:val="0060473A"/>
    <w:rsid w:val="006147D2"/>
    <w:rsid w:val="00656392"/>
    <w:rsid w:val="00683334"/>
    <w:rsid w:val="0068781D"/>
    <w:rsid w:val="006959B0"/>
    <w:rsid w:val="006B3E27"/>
    <w:rsid w:val="006B6507"/>
    <w:rsid w:val="006C104C"/>
    <w:rsid w:val="00733704"/>
    <w:rsid w:val="0078071A"/>
    <w:rsid w:val="00787E1E"/>
    <w:rsid w:val="00837027"/>
    <w:rsid w:val="00852A9A"/>
    <w:rsid w:val="008F49E1"/>
    <w:rsid w:val="0090370F"/>
    <w:rsid w:val="00916A6A"/>
    <w:rsid w:val="009269D2"/>
    <w:rsid w:val="00942135"/>
    <w:rsid w:val="009521B0"/>
    <w:rsid w:val="00982139"/>
    <w:rsid w:val="009867A8"/>
    <w:rsid w:val="009A7E9F"/>
    <w:rsid w:val="009E5018"/>
    <w:rsid w:val="00A12B37"/>
    <w:rsid w:val="00A501A7"/>
    <w:rsid w:val="00AB6758"/>
    <w:rsid w:val="00B13763"/>
    <w:rsid w:val="00B477A4"/>
    <w:rsid w:val="00B54045"/>
    <w:rsid w:val="00B545F8"/>
    <w:rsid w:val="00BD0320"/>
    <w:rsid w:val="00C438D7"/>
    <w:rsid w:val="00C63586"/>
    <w:rsid w:val="00C81B50"/>
    <w:rsid w:val="00C91E78"/>
    <w:rsid w:val="00CB6622"/>
    <w:rsid w:val="00CD1801"/>
    <w:rsid w:val="00CF65C6"/>
    <w:rsid w:val="00D10EF1"/>
    <w:rsid w:val="00D34CEB"/>
    <w:rsid w:val="00D42810"/>
    <w:rsid w:val="00D85109"/>
    <w:rsid w:val="00D8591B"/>
    <w:rsid w:val="00D914A7"/>
    <w:rsid w:val="00DC1DEF"/>
    <w:rsid w:val="00DD13C3"/>
    <w:rsid w:val="00DD596E"/>
    <w:rsid w:val="00DD621E"/>
    <w:rsid w:val="00DE50B1"/>
    <w:rsid w:val="00DF0575"/>
    <w:rsid w:val="00E17221"/>
    <w:rsid w:val="00E32E3B"/>
    <w:rsid w:val="00E50C3B"/>
    <w:rsid w:val="00E70E04"/>
    <w:rsid w:val="00E82581"/>
    <w:rsid w:val="00EC05A7"/>
    <w:rsid w:val="00EC4B6B"/>
    <w:rsid w:val="00ED7442"/>
    <w:rsid w:val="00EE72E6"/>
    <w:rsid w:val="00EF1EE5"/>
    <w:rsid w:val="00F763B4"/>
    <w:rsid w:val="00F900C3"/>
    <w:rsid w:val="00FC6EDD"/>
    <w:rsid w:val="00FF281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43E0F1"/>
  <w15:docId w15:val="{D5096F54-326D-455C-835E-DDB21A80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540D30"/>
    <w:pPr>
      <w:keepNext/>
      <w:keepLines/>
      <w:tabs>
        <w:tab w:val="right" w:pos="851"/>
      </w:tabs>
      <w:suppressAutoHyphens/>
      <w:bidi w:val="0"/>
      <w:spacing w:before="240" w:after="240" w:line="360" w:lineRule="exact"/>
      <w:ind w:left="1134" w:right="1134" w:hanging="1134"/>
      <w:jc w:val="left"/>
    </w:pPr>
    <w:rPr>
      <w:rFonts w:eastAsia="SimSun" w:hAnsi="Calibri" w:hint="cs"/>
      <w:b/>
      <w:sz w:val="34"/>
      <w:lang w:val="en-GB"/>
    </w:rPr>
  </w:style>
  <w:style w:type="paragraph" w:customStyle="1" w:styleId="HChG">
    <w:name w:val="_ H _Ch_G"/>
    <w:basedOn w:val="Normal"/>
    <w:next w:val="Normal"/>
    <w:rsid w:val="00540D30"/>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540D30"/>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540D30"/>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540D30"/>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H56G">
    <w:name w:val="_ H_5/6_G"/>
    <w:basedOn w:val="Normal"/>
    <w:next w:val="Normal"/>
    <w:rsid w:val="00540D30"/>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rsid w:val="00540D30"/>
    <w:pPr>
      <w:suppressAutoHyphens/>
      <w:bidi w:val="0"/>
      <w:spacing w:after="120"/>
      <w:ind w:left="1134" w:right="1134"/>
      <w:jc w:val="both"/>
    </w:pPr>
    <w:rPr>
      <w:rFonts w:eastAsia="SimSun" w:hAnsi="Calibri" w:hint="cs"/>
      <w:lang w:val="en-GB" w:eastAsia="zh-CN"/>
    </w:rPr>
  </w:style>
  <w:style w:type="paragraph" w:customStyle="1" w:styleId="SLG">
    <w:name w:val="__S_L_G"/>
    <w:basedOn w:val="Normal"/>
    <w:next w:val="Normal"/>
    <w:rsid w:val="00540D30"/>
    <w:pPr>
      <w:keepNext/>
      <w:keepLines/>
      <w:suppressAutoHyphens/>
      <w:bidi w:val="0"/>
      <w:spacing w:before="240" w:after="240" w:line="580" w:lineRule="exact"/>
      <w:ind w:left="1134" w:right="1134"/>
      <w:jc w:val="left"/>
    </w:pPr>
    <w:rPr>
      <w:rFonts w:eastAsia="SimSun" w:hAnsi="Calibri" w:hint="cs"/>
      <w:b/>
      <w:sz w:val="56"/>
      <w:lang w:val="en-GB"/>
    </w:rPr>
  </w:style>
  <w:style w:type="paragraph" w:customStyle="1" w:styleId="SMG">
    <w:name w:val="__S_M_G"/>
    <w:basedOn w:val="Normal"/>
    <w:next w:val="Normal"/>
    <w:rsid w:val="00540D30"/>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SSG">
    <w:name w:val="__S_S_G"/>
    <w:basedOn w:val="Normal"/>
    <w:next w:val="Normal"/>
    <w:rsid w:val="00540D30"/>
    <w:pPr>
      <w:keepNext/>
      <w:keepLines/>
      <w:suppressAutoHyphens/>
      <w:bidi w:val="0"/>
      <w:spacing w:before="240" w:after="240" w:line="300" w:lineRule="exact"/>
      <w:ind w:left="1134" w:right="1134"/>
      <w:jc w:val="left"/>
    </w:pPr>
    <w:rPr>
      <w:rFonts w:eastAsia="SimSun" w:hAnsi="Calibri" w:hint="cs"/>
      <w:b/>
      <w:sz w:val="28"/>
      <w:lang w:val="en-GB"/>
    </w:rPr>
  </w:style>
  <w:style w:type="paragraph" w:customStyle="1" w:styleId="XLargeG">
    <w:name w:val="__XLarge_G"/>
    <w:basedOn w:val="Normal"/>
    <w:next w:val="Normal"/>
    <w:rsid w:val="00540D30"/>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Bullet1G">
    <w:name w:val="_Bullet 1_G"/>
    <w:basedOn w:val="Normal"/>
    <w:rsid w:val="00540D30"/>
    <w:pPr>
      <w:numPr>
        <w:numId w:val="12"/>
      </w:numPr>
      <w:suppressAutoHyphens/>
      <w:bidi w:val="0"/>
      <w:spacing w:after="120"/>
      <w:ind w:right="1134"/>
      <w:jc w:val="both"/>
    </w:pPr>
    <w:rPr>
      <w:rFonts w:eastAsia="SimSun" w:hAnsi="Calibri" w:hint="cs"/>
      <w:lang w:val="en-GB"/>
    </w:rPr>
  </w:style>
  <w:style w:type="paragraph" w:customStyle="1" w:styleId="Bullet2G">
    <w:name w:val="_Bullet 2_G"/>
    <w:basedOn w:val="Normal"/>
    <w:rsid w:val="00540D30"/>
    <w:pPr>
      <w:numPr>
        <w:numId w:val="13"/>
      </w:numPr>
      <w:suppressAutoHyphens/>
      <w:bidi w:val="0"/>
      <w:spacing w:after="120"/>
      <w:ind w:right="1134"/>
      <w:jc w:val="both"/>
    </w:pPr>
    <w:rPr>
      <w:rFonts w:eastAsia="SimSun" w:hAnsi="Calibri" w:hint="cs"/>
      <w:lang w:val="en-GB"/>
    </w:rPr>
  </w:style>
  <w:style w:type="paragraph" w:customStyle="1" w:styleId="ParaNoG">
    <w:name w:val="_ParaNo._G"/>
    <w:basedOn w:val="SingleTxtG"/>
    <w:rsid w:val="00540D30"/>
    <w:pPr>
      <w:numPr>
        <w:numId w:val="14"/>
      </w:numPr>
    </w:pPr>
  </w:style>
  <w:style w:type="numbering" w:styleId="111111">
    <w:name w:val="Outline List 2"/>
    <w:basedOn w:val="NoList"/>
    <w:semiHidden/>
    <w:rsid w:val="00540D30"/>
    <w:pPr>
      <w:numPr>
        <w:numId w:val="16"/>
      </w:numPr>
    </w:pPr>
  </w:style>
  <w:style w:type="numbering" w:styleId="1ai">
    <w:name w:val="Outline List 1"/>
    <w:basedOn w:val="NoList"/>
    <w:semiHidden/>
    <w:rsid w:val="00540D30"/>
    <w:pPr>
      <w:numPr>
        <w:numId w:val="17"/>
      </w:numPr>
    </w:pPr>
  </w:style>
  <w:style w:type="character" w:styleId="Hyperlink">
    <w:name w:val="Hyperlink"/>
    <w:uiPriority w:val="99"/>
    <w:unhideWhenUsed/>
    <w:rsid w:val="00540D30"/>
    <w:rPr>
      <w:color w:val="0000FF"/>
      <w:u w:val="single"/>
    </w:rPr>
  </w:style>
  <w:style w:type="character" w:styleId="FollowedHyperlink">
    <w:name w:val="FollowedHyperlink"/>
    <w:uiPriority w:val="99"/>
    <w:semiHidden/>
    <w:unhideWhenUsed/>
    <w:rsid w:val="00540D30"/>
    <w:rPr>
      <w:color w:val="800080"/>
      <w:u w:val="single"/>
    </w:rPr>
  </w:style>
  <w:style w:type="paragraph" w:styleId="HTMLPreformatted">
    <w:name w:val="HTML Preformatted"/>
    <w:basedOn w:val="Normal"/>
    <w:link w:val="HTMLPreformattedChar"/>
    <w:uiPriority w:val="99"/>
    <w:semiHidden/>
    <w:unhideWhenUsed/>
    <w:rsid w:val="0054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lang w:val="fr-CH" w:eastAsia="zh-CN"/>
    </w:rPr>
  </w:style>
  <w:style w:type="character" w:customStyle="1" w:styleId="HTMLPreformattedChar">
    <w:name w:val="HTML Preformatted Char"/>
    <w:basedOn w:val="DefaultParagraphFont"/>
    <w:link w:val="HTMLPreformatted"/>
    <w:uiPriority w:val="99"/>
    <w:semiHidden/>
    <w:rsid w:val="00540D30"/>
    <w:rPr>
      <w:rFonts w:ascii="Courier New" w:hAnsi="Courier New" w:cs="Courier New"/>
      <w:sz w:val="20"/>
      <w:szCs w:val="2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docs.org/en/CCPR/C/MWI/CO/1/Add.2" TargetMode="External"/><Relationship Id="rId18" Type="http://schemas.openxmlformats.org/officeDocument/2006/relationships/hyperlink" Target="http://undocs.org/en/CCPR/C/UZB/CO/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ndocs.org/en/CCPR/C/MWI/CO/1/Add.1" TargetMode="External"/><Relationship Id="rId17" Type="http://schemas.openxmlformats.org/officeDocument/2006/relationships/hyperlink" Target="http://undocs.org/en/CCPR/C/MKD/CO/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r/CCPR/C/FRA/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ar/CCPR/C/UKR/CO/7/Add.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ndocs.org/en/CCPR/C/FRA/CO/5/Add.1" TargetMode="External"/><Relationship Id="rId23" Type="http://schemas.openxmlformats.org/officeDocument/2006/relationships/footer" Target="footer2.xml"/><Relationship Id="rId10" Type="http://schemas.openxmlformats.org/officeDocument/2006/relationships/hyperlink" Target="http://undocs.org/ar/CCPR/C/UKR/CO/7" TargetMode="External"/><Relationship Id="rId19" Type="http://schemas.openxmlformats.org/officeDocument/2006/relationships/hyperlink" Target="http://undocs.org/en/CCPR/C/UZB/CO/4/Add.2" TargetMode="External"/><Relationship Id="rId4" Type="http://schemas.openxmlformats.org/officeDocument/2006/relationships/settings" Target="settings.xml"/><Relationship Id="rId9" Type="http://schemas.openxmlformats.org/officeDocument/2006/relationships/hyperlink" Target="http://tbinternet.ohchr.org/Treaties/CCPR/Shared%20Documents/1_Global/INT_CCPR_UCS_121_26619_E.pdf" TargetMode="External"/><Relationship Id="rId14" Type="http://schemas.openxmlformats.org/officeDocument/2006/relationships/hyperlink" Target="http://undocs.org/en/CCPR/C/FRA/CO/5"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Treaties/CCPR/Shared%20Documents/UKR/INT_CCPR_NGS_UKR_24422_E.pdf" TargetMode="External"/><Relationship Id="rId2" Type="http://schemas.openxmlformats.org/officeDocument/2006/relationships/hyperlink" Target="http://tbinternet.ohchr.org/Treaties/CCPR/Shared%20Documents/UKR/INT_CCPR_NGS_" TargetMode="External"/><Relationship Id="rId1" Type="http://schemas.openxmlformats.org/officeDocument/2006/relationships/hyperlink" Target="http://tbinternet.ohchr.org/Treaties/CCPR/Shared%20Documents/1_Global/INT_CCPR_FGD_8108_E.pdf" TargetMode="External"/><Relationship Id="rId4" Type="http://schemas.openxmlformats.org/officeDocument/2006/relationships/hyperlink" Target="http://tbinternet.ohchr.org/Treaties/CCPR/SharedDocuments/MKD/INT_CCPR_FCO_MKD_25047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6E0B-D993-4880-9404-2EAF1830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27</Pages>
  <Words>8808</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CCPR/C/121/2</vt:lpstr>
    </vt:vector>
  </TitlesOfParts>
  <Company>DCM</Company>
  <LinksUpToDate>false</LinksUpToDate>
  <CharactersWithSpaces>58903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CCPR/C/121/2</dc:title>
  <dc:subject>GE. 1801956A</dc:subject>
  <dc:creator>Gamal Mahmoud-FHUJ</dc:creator>
  <cp:keywords>ODS No. 1802632</cp:keywords>
  <dc:description>Distribution: General_x000d_
Original: English_x000d_
Date: 8 February 2018</dc:description>
  <cp:lastModifiedBy>Generic Tpsara</cp:lastModifiedBy>
  <cp:revision>3</cp:revision>
  <cp:lastPrinted>2018-02-27T07:59:00Z</cp:lastPrinted>
  <dcterms:created xsi:type="dcterms:W3CDTF">2018-02-27T07:59:00Z</dcterms:created>
  <dcterms:modified xsi:type="dcterms:W3CDTF">2018-02-27T08:03:00Z</dcterms:modified>
  <cp:category>Finale</cp:category>
</cp:coreProperties>
</file>