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46F8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46F8D" w:rsidP="00A46F8D">
            <w:pPr>
              <w:jc w:val="right"/>
            </w:pPr>
            <w:r w:rsidRPr="00A46F8D">
              <w:rPr>
                <w:sz w:val="40"/>
              </w:rPr>
              <w:t>CCPR</w:t>
            </w:r>
            <w:r>
              <w:t>/C/121/2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46F8D" w:rsidP="002B7BC7">
            <w:pPr>
              <w:spacing w:before="240"/>
            </w:pPr>
            <w:r>
              <w:t>Distr. générale</w:t>
            </w:r>
          </w:p>
          <w:p w:rsidR="00A46F8D" w:rsidRDefault="00A46F8D" w:rsidP="00A46F8D">
            <w:pPr>
              <w:spacing w:line="240" w:lineRule="exact"/>
            </w:pPr>
            <w:r>
              <w:t>8 février 2018</w:t>
            </w:r>
          </w:p>
          <w:p w:rsidR="00A46F8D" w:rsidRDefault="00A46F8D" w:rsidP="00A46F8D">
            <w:pPr>
              <w:spacing w:line="240" w:lineRule="exact"/>
            </w:pPr>
            <w:r>
              <w:t>Français</w:t>
            </w:r>
          </w:p>
          <w:p w:rsidR="00A46F8D" w:rsidRPr="00DB58B5" w:rsidRDefault="00A46F8D" w:rsidP="00A46F8D">
            <w:pPr>
              <w:spacing w:line="240" w:lineRule="exact"/>
            </w:pPr>
            <w:r>
              <w:t>Original</w:t>
            </w:r>
            <w:r w:rsidR="00A40835">
              <w:t> :</w:t>
            </w:r>
            <w:r>
              <w:t xml:space="preserve"> anglais</w:t>
            </w:r>
          </w:p>
        </w:tc>
      </w:tr>
    </w:tbl>
    <w:p w:rsidR="006F71EA" w:rsidRDefault="006F71EA" w:rsidP="006F71EA">
      <w:pPr>
        <w:spacing w:before="120"/>
        <w:rPr>
          <w:b/>
          <w:sz w:val="24"/>
          <w:szCs w:val="24"/>
        </w:rPr>
      </w:pPr>
      <w:r w:rsidRPr="00DF3BF1">
        <w:rPr>
          <w:b/>
          <w:sz w:val="24"/>
          <w:szCs w:val="24"/>
        </w:rPr>
        <w:t>Comité des droits de l’homme</w:t>
      </w:r>
    </w:p>
    <w:p w:rsidR="00231AA4" w:rsidRPr="00231AA4" w:rsidRDefault="00231AA4" w:rsidP="00231AA4">
      <w:pPr>
        <w:pStyle w:val="HChG"/>
      </w:pPr>
      <w:r w:rsidRPr="00E2006A">
        <w:tab/>
      </w:r>
      <w:r w:rsidRPr="00E2006A">
        <w:tab/>
        <w:t>Rapport sur le suivi des observations finales</w:t>
      </w:r>
      <w:r w:rsidRPr="00E2006A">
        <w:br/>
        <w:t>du Comité des droits de l</w:t>
      </w:r>
      <w:r>
        <w:t>’</w:t>
      </w:r>
      <w:r w:rsidRPr="00E2006A">
        <w:t>homme</w:t>
      </w:r>
      <w:r w:rsidRPr="00231AA4">
        <w:rPr>
          <w:b w:val="0"/>
          <w:bCs/>
          <w:sz w:val="20"/>
        </w:rPr>
        <w:footnoteReference w:customMarkFollows="1" w:id="2"/>
        <w:t>*</w:t>
      </w:r>
    </w:p>
    <w:p w:rsidR="00231AA4" w:rsidRPr="00E2006A" w:rsidRDefault="00231AA4" w:rsidP="00727CF2">
      <w:pPr>
        <w:pStyle w:val="HChG"/>
      </w:pPr>
      <w:r w:rsidRPr="00E2006A">
        <w:tab/>
        <w:t>I.</w:t>
      </w:r>
      <w:r w:rsidRPr="00E2006A">
        <w:tab/>
        <w:t>Introduction</w:t>
      </w:r>
    </w:p>
    <w:p w:rsidR="00231AA4" w:rsidRPr="007433EC" w:rsidRDefault="00231AA4" w:rsidP="00727CF2">
      <w:pPr>
        <w:pStyle w:val="SingleTxtG"/>
      </w:pPr>
      <w:r w:rsidRPr="007433EC">
        <w:t>1.</w:t>
      </w:r>
      <w:r w:rsidRPr="007433EC">
        <w:tab/>
        <w:t>Conformément au paragraphe 4 de l</w:t>
      </w:r>
      <w:r>
        <w:t>’</w:t>
      </w:r>
      <w:r w:rsidRPr="007433EC">
        <w:t>article 40 du Pacte international relatif aux droits civils et politiques, le Comité des droits de l</w:t>
      </w:r>
      <w:r>
        <w:t>’</w:t>
      </w:r>
      <w:r w:rsidRPr="007433EC">
        <w:t>homme peut établir des rapports sur la suite donnée à ses observations finales concernant les différents articles et dispositions du Pacte, afin d</w:t>
      </w:r>
      <w:r>
        <w:t>’</w:t>
      </w:r>
      <w:r w:rsidRPr="007433EC">
        <w:t>aider les États parties à s</w:t>
      </w:r>
      <w:r>
        <w:t>’</w:t>
      </w:r>
      <w:r w:rsidRPr="007433EC">
        <w:t>acquitter de leurs obligations relatives à la soumission de rapports. Le présent rapport est établi en application de cet article.</w:t>
      </w:r>
    </w:p>
    <w:p w:rsidR="00231AA4" w:rsidRPr="006A2EAD" w:rsidRDefault="00231AA4" w:rsidP="006A2EAD">
      <w:pPr>
        <w:pStyle w:val="SingleTxtG"/>
        <w:rPr>
          <w:szCs w:val="24"/>
        </w:rPr>
      </w:pPr>
      <w:r w:rsidRPr="007433EC">
        <w:rPr>
          <w:szCs w:val="24"/>
        </w:rPr>
        <w:t>2.</w:t>
      </w:r>
      <w:r w:rsidRPr="007433EC">
        <w:rPr>
          <w:szCs w:val="24"/>
        </w:rPr>
        <w:tab/>
        <w:t>Le rapport présente les informations reçues par le Rapporteur spécial chargé du suivi des observations finales, ainsi que les évaluations que le Comité a réalisées et les décisions qu</w:t>
      </w:r>
      <w:r>
        <w:rPr>
          <w:szCs w:val="24"/>
        </w:rPr>
        <w:t>’</w:t>
      </w:r>
      <w:r w:rsidRPr="007433EC">
        <w:rPr>
          <w:szCs w:val="24"/>
        </w:rPr>
        <w:t>il a adoptées à sa 121</w:t>
      </w:r>
      <w:r w:rsidRPr="007433EC">
        <w:rPr>
          <w:szCs w:val="24"/>
          <w:vertAlign w:val="superscript"/>
        </w:rPr>
        <w:t>e</w:t>
      </w:r>
      <w:r w:rsidRPr="007433EC">
        <w:rPr>
          <w:szCs w:val="24"/>
        </w:rPr>
        <w:t> session. Toutes les informations disponibles au sujet de la procédure de suivi engagée par le Comité depuis sa 105</w:t>
      </w:r>
      <w:r w:rsidRPr="007433EC">
        <w:rPr>
          <w:szCs w:val="24"/>
          <w:vertAlign w:val="superscript"/>
        </w:rPr>
        <w:t>e</w:t>
      </w:r>
      <w:r w:rsidRPr="007433EC">
        <w:rPr>
          <w:szCs w:val="24"/>
        </w:rPr>
        <w:t> session (juillet 2012) sont présentées dans un tableau qui peut être consulté à l</w:t>
      </w:r>
      <w:r>
        <w:rPr>
          <w:szCs w:val="24"/>
        </w:rPr>
        <w:t>’</w:t>
      </w:r>
      <w:r w:rsidRPr="007433EC">
        <w:rPr>
          <w:szCs w:val="24"/>
        </w:rPr>
        <w:t>adresse</w:t>
      </w:r>
      <w:r w:rsidR="006A2EAD">
        <w:rPr>
          <w:szCs w:val="24"/>
        </w:rPr>
        <w:t xml:space="preserve"> </w:t>
      </w:r>
      <w:hyperlink r:id="rId8" w:history="1">
        <w:r w:rsidRPr="006A2EAD">
          <w:rPr>
            <w:rStyle w:val="Lienhypertexte"/>
            <w:szCs w:val="24"/>
          </w:rPr>
          <w:t>http</w:t>
        </w:r>
        <w:r w:rsidR="00A40835">
          <w:rPr>
            <w:rStyle w:val="Lienhypertexte"/>
            <w:szCs w:val="24"/>
          </w:rPr>
          <w:t>:</w:t>
        </w:r>
        <w:r w:rsidRPr="006A2EAD">
          <w:rPr>
            <w:rStyle w:val="Lienhypertexte"/>
            <w:szCs w:val="24"/>
          </w:rPr>
          <w:t>//tbinternet.ohchr.org/</w:t>
        </w:r>
        <w:r w:rsidR="006A2EAD" w:rsidRPr="006A2EAD">
          <w:rPr>
            <w:rStyle w:val="Lienhypertexte"/>
            <w:szCs w:val="24"/>
          </w:rPr>
          <w:t xml:space="preserve"> </w:t>
        </w:r>
        <w:r w:rsidRPr="006A2EAD">
          <w:rPr>
            <w:rStyle w:val="Lienhypertexte"/>
            <w:szCs w:val="24"/>
          </w:rPr>
          <w:t>Treaties/CCPR/Shared%20Documents/1_Global/INT_CCPR_UCS_121_26619_E.pdf</w:t>
        </w:r>
      </w:hyperlink>
      <w:r w:rsidRPr="006A2EAD">
        <w:rPr>
          <w:szCs w:val="24"/>
        </w:rPr>
        <w:t>.</w:t>
      </w:r>
    </w:p>
    <w:tbl>
      <w:tblPr>
        <w:tblW w:w="7370" w:type="dxa"/>
        <w:tblInd w:w="1134" w:type="dxa"/>
        <w:tblLayout w:type="fixed"/>
        <w:tblCellMar>
          <w:left w:w="0" w:type="dxa"/>
        </w:tblCellMar>
        <w:tblLook w:val="00A0" w:firstRow="1" w:lastRow="0" w:firstColumn="1" w:lastColumn="0" w:noHBand="0" w:noVBand="0"/>
      </w:tblPr>
      <w:tblGrid>
        <w:gridCol w:w="567"/>
        <w:gridCol w:w="6803"/>
      </w:tblGrid>
      <w:tr w:rsidR="00231AA4" w:rsidRPr="007433EC" w:rsidTr="00A40835">
        <w:trPr>
          <w:cantSplit/>
          <w:tblHeader/>
        </w:trPr>
        <w:tc>
          <w:tcPr>
            <w:tcW w:w="7371" w:type="dxa"/>
            <w:gridSpan w:val="2"/>
            <w:tcBorders>
              <w:top w:val="single" w:sz="4" w:space="0" w:color="auto"/>
              <w:bottom w:val="single" w:sz="12" w:space="0" w:color="auto"/>
            </w:tcBorders>
            <w:shd w:val="clear" w:color="auto" w:fill="auto"/>
            <w:vAlign w:val="bottom"/>
          </w:tcPr>
          <w:p w:rsidR="00231AA4" w:rsidRPr="007433EC" w:rsidRDefault="00231AA4" w:rsidP="00A40835">
            <w:pPr>
              <w:spacing w:before="80" w:after="80"/>
              <w:ind w:right="113"/>
              <w:rPr>
                <w:i/>
                <w:szCs w:val="24"/>
              </w:rPr>
            </w:pPr>
            <w:r w:rsidRPr="006A2EAD">
              <w:rPr>
                <w:i/>
                <w:szCs w:val="24"/>
              </w:rPr>
              <w:br w:type="column"/>
            </w:r>
            <w:r w:rsidRPr="006A2EAD">
              <w:rPr>
                <w:i/>
                <w:szCs w:val="24"/>
              </w:rPr>
              <w:br w:type="column"/>
            </w:r>
            <w:r w:rsidRPr="006A2EAD">
              <w:rPr>
                <w:i/>
                <w:szCs w:val="24"/>
              </w:rPr>
              <w:br w:type="page"/>
            </w:r>
            <w:r w:rsidRPr="006A2EAD">
              <w:rPr>
                <w:i/>
                <w:szCs w:val="24"/>
              </w:rPr>
              <w:br w:type="page"/>
            </w:r>
            <w:r w:rsidRPr="00FD3EF8">
              <w:rPr>
                <w:b/>
                <w:szCs w:val="24"/>
              </w:rPr>
              <w:t>Évaluation des réponses</w:t>
            </w:r>
            <w:r w:rsidRPr="007326A7">
              <w:rPr>
                <w:rStyle w:val="Appelnotedebasdep"/>
              </w:rPr>
              <w:footnoteReference w:id="3"/>
            </w:r>
          </w:p>
        </w:tc>
      </w:tr>
      <w:tr w:rsidR="00231AA4" w:rsidRPr="007433EC" w:rsidTr="00A40835">
        <w:trPr>
          <w:cantSplit/>
          <w:trHeight w:hRule="exact" w:val="113"/>
        </w:trPr>
        <w:tc>
          <w:tcPr>
            <w:tcW w:w="7371" w:type="dxa"/>
            <w:gridSpan w:val="2"/>
            <w:tcBorders>
              <w:top w:val="single" w:sz="12" w:space="0" w:color="auto"/>
            </w:tcBorders>
            <w:shd w:val="clear" w:color="auto" w:fill="auto"/>
          </w:tcPr>
          <w:p w:rsidR="00231AA4" w:rsidRPr="007433EC" w:rsidRDefault="00231AA4" w:rsidP="00A40835">
            <w:pPr>
              <w:spacing w:before="40" w:after="120"/>
              <w:ind w:right="113"/>
              <w:rPr>
                <w:szCs w:val="24"/>
              </w:rPr>
            </w:pPr>
          </w:p>
        </w:tc>
      </w:tr>
      <w:tr w:rsidR="00231AA4" w:rsidRPr="007433EC" w:rsidTr="00A40835">
        <w:tblPrEx>
          <w:tblCellMar>
            <w:right w:w="0" w:type="dxa"/>
          </w:tblCellMar>
        </w:tblPrEx>
        <w:trPr>
          <w:cantSplit/>
        </w:trPr>
        <w:tc>
          <w:tcPr>
            <w:tcW w:w="567" w:type="dxa"/>
            <w:shd w:val="clear" w:color="auto" w:fill="auto"/>
          </w:tcPr>
          <w:p w:rsidR="00231AA4" w:rsidRPr="007433EC" w:rsidRDefault="00231AA4" w:rsidP="00A40835">
            <w:pPr>
              <w:spacing w:before="40" w:after="120"/>
              <w:ind w:right="113"/>
              <w:rPr>
                <w:b/>
                <w:szCs w:val="24"/>
              </w:rPr>
            </w:pPr>
            <w:r w:rsidRPr="007433EC">
              <w:rPr>
                <w:b/>
                <w:szCs w:val="24"/>
              </w:rPr>
              <w:t>A</w:t>
            </w:r>
          </w:p>
        </w:tc>
        <w:tc>
          <w:tcPr>
            <w:tcW w:w="6804" w:type="dxa"/>
            <w:shd w:val="clear" w:color="auto" w:fill="auto"/>
          </w:tcPr>
          <w:p w:rsidR="00231AA4" w:rsidRPr="007433EC" w:rsidRDefault="00231AA4" w:rsidP="00FD3EF8">
            <w:pPr>
              <w:spacing w:before="40" w:after="120"/>
              <w:ind w:right="113"/>
              <w:jc w:val="both"/>
              <w:rPr>
                <w:szCs w:val="24"/>
              </w:rPr>
            </w:pPr>
            <w:r w:rsidRPr="007433EC">
              <w:rPr>
                <w:b/>
                <w:szCs w:val="24"/>
              </w:rPr>
              <w:t>Réponse ou mesure satisfaisante dans l</w:t>
            </w:r>
            <w:r>
              <w:rPr>
                <w:b/>
                <w:szCs w:val="24"/>
              </w:rPr>
              <w:t>’</w:t>
            </w:r>
            <w:r w:rsidRPr="007433EC">
              <w:rPr>
                <w:b/>
                <w:szCs w:val="24"/>
              </w:rPr>
              <w:t>ensemble</w:t>
            </w:r>
            <w:r w:rsidR="00A40835">
              <w:rPr>
                <w:szCs w:val="24"/>
              </w:rPr>
              <w:t> </w:t>
            </w:r>
            <w:r w:rsidR="00A40835" w:rsidRPr="00505F0C">
              <w:rPr>
                <w:b/>
                <w:szCs w:val="24"/>
              </w:rPr>
              <w:t>:</w:t>
            </w:r>
            <w:r w:rsidRPr="007433EC">
              <w:rPr>
                <w:szCs w:val="24"/>
              </w:rPr>
              <w:t xml:space="preserve"> L</w:t>
            </w:r>
            <w:r>
              <w:rPr>
                <w:szCs w:val="24"/>
              </w:rPr>
              <w:t>’</w:t>
            </w:r>
            <w:r w:rsidRPr="007433EC">
              <w:rPr>
                <w:szCs w:val="24"/>
              </w:rPr>
              <w:t>État partie a démontré qu</w:t>
            </w:r>
            <w:r>
              <w:rPr>
                <w:szCs w:val="24"/>
              </w:rPr>
              <w:t>’</w:t>
            </w:r>
            <w:r w:rsidRPr="007433EC">
              <w:rPr>
                <w:szCs w:val="24"/>
              </w:rPr>
              <w:t>il avait pris des mesures suffisantes pour mettre en œuvre la recommandation adoptée par le Comité.</w:t>
            </w:r>
          </w:p>
        </w:tc>
      </w:tr>
      <w:tr w:rsidR="00231AA4" w:rsidRPr="007433EC" w:rsidTr="00A40835">
        <w:tblPrEx>
          <w:tblCellMar>
            <w:right w:w="0" w:type="dxa"/>
          </w:tblCellMar>
        </w:tblPrEx>
        <w:trPr>
          <w:cantSplit/>
        </w:trPr>
        <w:tc>
          <w:tcPr>
            <w:tcW w:w="567" w:type="dxa"/>
            <w:shd w:val="clear" w:color="auto" w:fill="auto"/>
          </w:tcPr>
          <w:p w:rsidR="00231AA4" w:rsidRPr="007433EC" w:rsidRDefault="00231AA4" w:rsidP="00A40835">
            <w:pPr>
              <w:spacing w:before="40" w:after="120"/>
              <w:ind w:right="113"/>
              <w:rPr>
                <w:b/>
                <w:szCs w:val="24"/>
              </w:rPr>
            </w:pPr>
            <w:r w:rsidRPr="007433EC">
              <w:rPr>
                <w:b/>
                <w:szCs w:val="24"/>
              </w:rPr>
              <w:t>B</w:t>
            </w:r>
          </w:p>
        </w:tc>
        <w:tc>
          <w:tcPr>
            <w:tcW w:w="6804" w:type="dxa"/>
            <w:shd w:val="clear" w:color="auto" w:fill="auto"/>
          </w:tcPr>
          <w:p w:rsidR="00231AA4" w:rsidRPr="007433EC" w:rsidRDefault="00231AA4" w:rsidP="00FD3EF8">
            <w:pPr>
              <w:spacing w:before="40" w:after="120"/>
              <w:ind w:right="113"/>
              <w:jc w:val="both"/>
              <w:rPr>
                <w:szCs w:val="24"/>
              </w:rPr>
            </w:pPr>
            <w:r w:rsidRPr="007433EC">
              <w:rPr>
                <w:b/>
                <w:szCs w:val="24"/>
              </w:rPr>
              <w:t>Réponse ou mesure partiellement satisfaisante</w:t>
            </w:r>
            <w:r w:rsidR="00A40835">
              <w:rPr>
                <w:szCs w:val="24"/>
              </w:rPr>
              <w:t> </w:t>
            </w:r>
            <w:r w:rsidR="00A40835" w:rsidRPr="00505F0C">
              <w:rPr>
                <w:b/>
                <w:szCs w:val="24"/>
              </w:rPr>
              <w:t>:</w:t>
            </w:r>
            <w:r w:rsidRPr="007433EC">
              <w:rPr>
                <w:szCs w:val="24"/>
              </w:rPr>
              <w:t xml:space="preserve"> L</w:t>
            </w:r>
            <w:r>
              <w:rPr>
                <w:szCs w:val="24"/>
              </w:rPr>
              <w:t>’</w:t>
            </w:r>
            <w:r w:rsidRPr="007433EC">
              <w:rPr>
                <w:szCs w:val="24"/>
              </w:rPr>
              <w:t>État partie a pris des mesures pour mettre en œuvre la recommandation, mais des informations ou des mesures supplémentaires demeurent nécessaires.</w:t>
            </w:r>
          </w:p>
        </w:tc>
      </w:tr>
      <w:tr w:rsidR="00231AA4" w:rsidRPr="007433EC" w:rsidTr="00A40835">
        <w:tblPrEx>
          <w:tblCellMar>
            <w:right w:w="0" w:type="dxa"/>
          </w:tblCellMar>
        </w:tblPrEx>
        <w:trPr>
          <w:cantSplit/>
        </w:trPr>
        <w:tc>
          <w:tcPr>
            <w:tcW w:w="567" w:type="dxa"/>
            <w:shd w:val="clear" w:color="auto" w:fill="auto"/>
          </w:tcPr>
          <w:p w:rsidR="00231AA4" w:rsidRPr="007433EC" w:rsidRDefault="00231AA4" w:rsidP="00A40835">
            <w:pPr>
              <w:spacing w:before="40" w:after="120"/>
              <w:ind w:right="113"/>
              <w:rPr>
                <w:b/>
                <w:szCs w:val="24"/>
              </w:rPr>
            </w:pPr>
            <w:r w:rsidRPr="007433EC">
              <w:rPr>
                <w:b/>
                <w:szCs w:val="24"/>
              </w:rPr>
              <w:t>C</w:t>
            </w:r>
          </w:p>
        </w:tc>
        <w:tc>
          <w:tcPr>
            <w:tcW w:w="6804" w:type="dxa"/>
            <w:shd w:val="clear" w:color="auto" w:fill="auto"/>
          </w:tcPr>
          <w:p w:rsidR="00231AA4" w:rsidRPr="007433EC" w:rsidRDefault="00231AA4" w:rsidP="00FD3EF8">
            <w:pPr>
              <w:spacing w:before="40" w:after="120"/>
              <w:ind w:right="113"/>
              <w:jc w:val="both"/>
              <w:rPr>
                <w:szCs w:val="24"/>
              </w:rPr>
            </w:pPr>
            <w:r w:rsidRPr="007433EC">
              <w:rPr>
                <w:b/>
                <w:szCs w:val="24"/>
              </w:rPr>
              <w:t>Réponse ou mesure insatisfaisante</w:t>
            </w:r>
            <w:r w:rsidR="00A40835">
              <w:rPr>
                <w:szCs w:val="24"/>
              </w:rPr>
              <w:t> </w:t>
            </w:r>
            <w:r w:rsidR="00A40835" w:rsidRPr="00505F0C">
              <w:rPr>
                <w:b/>
                <w:szCs w:val="24"/>
              </w:rPr>
              <w:t>:</w:t>
            </w:r>
            <w:r w:rsidRPr="007433EC">
              <w:rPr>
                <w:szCs w:val="24"/>
              </w:rPr>
              <w:t xml:space="preserve"> Une réponse a été reçue, mais les mesures prises par l</w:t>
            </w:r>
            <w:r>
              <w:rPr>
                <w:szCs w:val="24"/>
              </w:rPr>
              <w:t>’</w:t>
            </w:r>
            <w:r w:rsidRPr="007433EC">
              <w:rPr>
                <w:szCs w:val="24"/>
              </w:rPr>
              <w:t>État partie ou les renseignements qu</w:t>
            </w:r>
            <w:r>
              <w:rPr>
                <w:szCs w:val="24"/>
              </w:rPr>
              <w:t>’</w:t>
            </w:r>
            <w:r w:rsidRPr="007433EC">
              <w:rPr>
                <w:szCs w:val="24"/>
              </w:rPr>
              <w:t xml:space="preserve">il a fournis ne sont pas pertinents ou ne permettent pas de mettre en œuvre la recommandation. </w:t>
            </w:r>
          </w:p>
        </w:tc>
      </w:tr>
      <w:tr w:rsidR="00231AA4" w:rsidRPr="007433EC" w:rsidTr="00A40835">
        <w:tblPrEx>
          <w:tblCellMar>
            <w:right w:w="0" w:type="dxa"/>
          </w:tblCellMar>
        </w:tblPrEx>
        <w:trPr>
          <w:cantSplit/>
        </w:trPr>
        <w:tc>
          <w:tcPr>
            <w:tcW w:w="567" w:type="dxa"/>
            <w:shd w:val="clear" w:color="auto" w:fill="auto"/>
          </w:tcPr>
          <w:p w:rsidR="00231AA4" w:rsidRPr="007433EC" w:rsidRDefault="00231AA4" w:rsidP="00A40835">
            <w:pPr>
              <w:spacing w:before="40" w:after="120"/>
              <w:ind w:right="113"/>
              <w:rPr>
                <w:b/>
                <w:szCs w:val="24"/>
              </w:rPr>
            </w:pPr>
            <w:r w:rsidRPr="007433EC">
              <w:rPr>
                <w:b/>
                <w:szCs w:val="24"/>
              </w:rPr>
              <w:t>D</w:t>
            </w:r>
          </w:p>
        </w:tc>
        <w:tc>
          <w:tcPr>
            <w:tcW w:w="6804" w:type="dxa"/>
            <w:shd w:val="clear" w:color="auto" w:fill="auto"/>
          </w:tcPr>
          <w:p w:rsidR="00231AA4" w:rsidRPr="007433EC" w:rsidRDefault="00231AA4" w:rsidP="00FD3EF8">
            <w:pPr>
              <w:spacing w:before="40" w:after="120"/>
              <w:ind w:right="113"/>
              <w:jc w:val="both"/>
              <w:rPr>
                <w:szCs w:val="24"/>
              </w:rPr>
            </w:pPr>
            <w:r w:rsidRPr="007433EC">
              <w:rPr>
                <w:b/>
                <w:szCs w:val="24"/>
              </w:rPr>
              <w:t>Absence de coopération avec le Comité</w:t>
            </w:r>
            <w:r w:rsidR="00A40835">
              <w:rPr>
                <w:szCs w:val="24"/>
              </w:rPr>
              <w:t> </w:t>
            </w:r>
            <w:r w:rsidR="00A40835" w:rsidRPr="00505F0C">
              <w:rPr>
                <w:b/>
                <w:szCs w:val="24"/>
              </w:rPr>
              <w:t>:</w:t>
            </w:r>
            <w:r w:rsidRPr="007433EC">
              <w:rPr>
                <w:szCs w:val="24"/>
              </w:rPr>
              <w:t xml:space="preserve"> Aucun rapport de suivi n</w:t>
            </w:r>
            <w:r>
              <w:rPr>
                <w:szCs w:val="24"/>
              </w:rPr>
              <w:t>’</w:t>
            </w:r>
            <w:r w:rsidRPr="007433EC">
              <w:rPr>
                <w:szCs w:val="24"/>
              </w:rPr>
              <w:t>a été reçu après un ou plusieurs rappels.</w:t>
            </w:r>
          </w:p>
        </w:tc>
      </w:tr>
      <w:tr w:rsidR="00231AA4" w:rsidRPr="007433EC" w:rsidTr="00A40835">
        <w:trPr>
          <w:cantSplit/>
        </w:trPr>
        <w:tc>
          <w:tcPr>
            <w:tcW w:w="567" w:type="dxa"/>
            <w:tcBorders>
              <w:bottom w:val="single" w:sz="12" w:space="0" w:color="auto"/>
            </w:tcBorders>
            <w:shd w:val="clear" w:color="auto" w:fill="auto"/>
          </w:tcPr>
          <w:p w:rsidR="00231AA4" w:rsidRPr="007433EC" w:rsidRDefault="00231AA4" w:rsidP="00A40835">
            <w:pPr>
              <w:spacing w:before="40" w:after="120"/>
              <w:ind w:right="113"/>
              <w:rPr>
                <w:b/>
                <w:szCs w:val="24"/>
              </w:rPr>
            </w:pPr>
            <w:r w:rsidRPr="007433EC">
              <w:rPr>
                <w:b/>
                <w:szCs w:val="24"/>
              </w:rPr>
              <w:t>E</w:t>
            </w:r>
          </w:p>
        </w:tc>
        <w:tc>
          <w:tcPr>
            <w:tcW w:w="6804" w:type="dxa"/>
            <w:tcBorders>
              <w:bottom w:val="single" w:sz="12" w:space="0" w:color="auto"/>
            </w:tcBorders>
            <w:shd w:val="clear" w:color="auto" w:fill="auto"/>
          </w:tcPr>
          <w:p w:rsidR="00231AA4" w:rsidRPr="007433EC" w:rsidRDefault="00231AA4" w:rsidP="00FD3EF8">
            <w:pPr>
              <w:spacing w:before="40" w:after="120"/>
              <w:ind w:right="113"/>
              <w:jc w:val="both"/>
              <w:rPr>
                <w:b/>
                <w:szCs w:val="24"/>
              </w:rPr>
            </w:pPr>
            <w:r w:rsidRPr="007433EC">
              <w:rPr>
                <w:b/>
                <w:szCs w:val="24"/>
              </w:rPr>
              <w:t xml:space="preserve">Les informations fournies ou les mesures prises sont contraires à la recommandation, </w:t>
            </w:r>
            <w:r>
              <w:rPr>
                <w:b/>
                <w:szCs w:val="24"/>
              </w:rPr>
              <w:t>ou traduisent un refus de celle</w:t>
            </w:r>
            <w:r>
              <w:rPr>
                <w:b/>
                <w:szCs w:val="24"/>
              </w:rPr>
              <w:noBreakHyphen/>
            </w:r>
            <w:r w:rsidRPr="007433EC">
              <w:rPr>
                <w:b/>
                <w:szCs w:val="24"/>
              </w:rPr>
              <w:t>ci.</w:t>
            </w:r>
          </w:p>
        </w:tc>
      </w:tr>
    </w:tbl>
    <w:p w:rsidR="00231AA4" w:rsidRPr="00E2006A" w:rsidRDefault="00231AA4" w:rsidP="00FD3EF8">
      <w:pPr>
        <w:pStyle w:val="HChG"/>
      </w:pPr>
      <w:bookmarkStart w:id="0" w:name="_Toc458504791"/>
      <w:r w:rsidRPr="00E2006A">
        <w:lastRenderedPageBreak/>
        <w:tab/>
        <w:t>II.</w:t>
      </w:r>
      <w:r w:rsidRPr="00E2006A">
        <w:tab/>
      </w:r>
      <w:bookmarkEnd w:id="0"/>
      <w:r w:rsidRPr="00E2006A">
        <w:t>Évaluation des renseignements reçus au titre du suivi</w:t>
      </w:r>
    </w:p>
    <w:p w:rsidR="00231AA4" w:rsidRPr="00F246D5" w:rsidRDefault="00231AA4" w:rsidP="003D07DB">
      <w:pPr>
        <w:pStyle w:val="H23G"/>
      </w:pPr>
      <w:r w:rsidRPr="00F246D5">
        <w:tab/>
      </w:r>
      <w:r w:rsidRPr="00F246D5">
        <w:tab/>
        <w:t xml:space="preserve">États </w:t>
      </w:r>
      <w:r>
        <w:t xml:space="preserve">parties ayant reçu la mention </w:t>
      </w:r>
      <w:r w:rsidR="00505F0C">
        <w:t>[</w:t>
      </w:r>
      <w:r>
        <w:t>D</w:t>
      </w:r>
      <w:r w:rsidR="00505F0C">
        <w:t>]</w:t>
      </w:r>
      <w:r w:rsidRPr="00F246D5">
        <w:t xml:space="preserve"> pour défaut de coopération avec le Comité dans le cadre de la procédure de suivi des observations finales</w:t>
      </w:r>
    </w:p>
    <w:tbl>
      <w:tblPr>
        <w:tblStyle w:val="SLG"/>
        <w:tblW w:w="7370" w:type="dxa"/>
        <w:tblInd w:w="1134" w:type="dxa"/>
        <w:tblLayout w:type="fixed"/>
        <w:tblCellMar>
          <w:left w:w="0" w:type="dxa"/>
          <w:right w:w="0" w:type="dxa"/>
        </w:tblCellMar>
        <w:tblLook w:val="04A0" w:firstRow="1" w:lastRow="0" w:firstColumn="1" w:lastColumn="0" w:noHBand="0" w:noVBand="1"/>
      </w:tblPr>
      <w:tblGrid>
        <w:gridCol w:w="1348"/>
        <w:gridCol w:w="1842"/>
        <w:gridCol w:w="1842"/>
        <w:gridCol w:w="2338"/>
      </w:tblGrid>
      <w:tr w:rsidR="003D07DB" w:rsidRPr="003D07DB" w:rsidTr="003D07DB">
        <w:trPr>
          <w:tblHeader/>
        </w:trPr>
        <w:tc>
          <w:tcPr>
            <w:tcW w:w="1555" w:type="dxa"/>
            <w:tcBorders>
              <w:top w:val="single" w:sz="4" w:space="0" w:color="auto"/>
              <w:bottom w:val="single" w:sz="12" w:space="0" w:color="auto"/>
            </w:tcBorders>
            <w:shd w:val="clear" w:color="auto" w:fill="auto"/>
            <w:vAlign w:val="bottom"/>
          </w:tcPr>
          <w:p w:rsidR="00231AA4" w:rsidRPr="003D07DB" w:rsidRDefault="00231AA4" w:rsidP="003D07DB">
            <w:pPr>
              <w:spacing w:before="80" w:after="80" w:line="200" w:lineRule="exact"/>
              <w:ind w:left="0" w:right="113"/>
              <w:rPr>
                <w:b w:val="0"/>
                <w:i/>
                <w:sz w:val="16"/>
              </w:rPr>
            </w:pPr>
            <w:r w:rsidRPr="003D07DB">
              <w:rPr>
                <w:b w:val="0"/>
                <w:i/>
                <w:sz w:val="16"/>
              </w:rPr>
              <w:t>État partie</w:t>
            </w:r>
          </w:p>
        </w:tc>
        <w:tc>
          <w:tcPr>
            <w:tcW w:w="2124" w:type="dxa"/>
            <w:tcBorders>
              <w:top w:val="single" w:sz="4" w:space="0" w:color="auto"/>
              <w:bottom w:val="single" w:sz="12" w:space="0" w:color="auto"/>
            </w:tcBorders>
            <w:shd w:val="clear" w:color="auto" w:fill="auto"/>
            <w:vAlign w:val="bottom"/>
          </w:tcPr>
          <w:p w:rsidR="00231AA4" w:rsidRPr="003D07DB" w:rsidRDefault="00231AA4" w:rsidP="003D07DB">
            <w:pPr>
              <w:spacing w:before="80" w:after="80" w:line="200" w:lineRule="exact"/>
              <w:ind w:left="0" w:right="113"/>
              <w:rPr>
                <w:b w:val="0"/>
                <w:i/>
                <w:sz w:val="16"/>
              </w:rPr>
            </w:pPr>
            <w:r w:rsidRPr="003D07DB">
              <w:rPr>
                <w:b w:val="0"/>
                <w:i/>
                <w:sz w:val="16"/>
              </w:rPr>
              <w:t>Observations finales</w:t>
            </w:r>
          </w:p>
        </w:tc>
        <w:tc>
          <w:tcPr>
            <w:tcW w:w="2124" w:type="dxa"/>
            <w:tcBorders>
              <w:top w:val="single" w:sz="4" w:space="0" w:color="auto"/>
              <w:bottom w:val="single" w:sz="12" w:space="0" w:color="auto"/>
            </w:tcBorders>
            <w:shd w:val="clear" w:color="auto" w:fill="auto"/>
            <w:vAlign w:val="bottom"/>
          </w:tcPr>
          <w:p w:rsidR="00231AA4" w:rsidRPr="003D07DB" w:rsidRDefault="00231AA4" w:rsidP="003D07DB">
            <w:pPr>
              <w:spacing w:before="80" w:after="80" w:line="200" w:lineRule="exact"/>
              <w:ind w:left="0" w:right="113"/>
              <w:rPr>
                <w:b w:val="0"/>
                <w:i/>
                <w:sz w:val="16"/>
              </w:rPr>
            </w:pPr>
            <w:r w:rsidRPr="003D07DB">
              <w:rPr>
                <w:b w:val="0"/>
                <w:i/>
                <w:sz w:val="16"/>
              </w:rPr>
              <w:t>Rapport de suivi attendu le (numéro)</w:t>
            </w:r>
          </w:p>
        </w:tc>
        <w:tc>
          <w:tcPr>
            <w:tcW w:w="2697" w:type="dxa"/>
            <w:tcBorders>
              <w:top w:val="single" w:sz="4" w:space="0" w:color="auto"/>
              <w:bottom w:val="single" w:sz="12" w:space="0" w:color="auto"/>
            </w:tcBorders>
            <w:shd w:val="clear" w:color="auto" w:fill="auto"/>
            <w:vAlign w:val="bottom"/>
          </w:tcPr>
          <w:p w:rsidR="00231AA4" w:rsidRPr="003D07DB" w:rsidRDefault="00231AA4" w:rsidP="003D07DB">
            <w:pPr>
              <w:spacing w:before="80" w:after="80" w:line="200" w:lineRule="exact"/>
              <w:ind w:left="0" w:right="113"/>
              <w:rPr>
                <w:b w:val="0"/>
                <w:i/>
                <w:sz w:val="16"/>
              </w:rPr>
            </w:pPr>
            <w:r w:rsidRPr="003D07DB">
              <w:rPr>
                <w:b w:val="0"/>
                <w:i/>
                <w:sz w:val="16"/>
              </w:rPr>
              <w:t>Rappels et actions connexes</w:t>
            </w:r>
          </w:p>
        </w:tc>
      </w:tr>
      <w:tr w:rsidR="003D07DB" w:rsidRPr="003D07DB" w:rsidTr="003D07DB">
        <w:trPr>
          <w:trHeight w:hRule="exact" w:val="113"/>
        </w:trPr>
        <w:tc>
          <w:tcPr>
            <w:tcW w:w="1555" w:type="dxa"/>
            <w:tcBorders>
              <w:top w:val="single" w:sz="12" w:space="0" w:color="auto"/>
            </w:tcBorders>
            <w:shd w:val="clear" w:color="auto" w:fill="auto"/>
          </w:tcPr>
          <w:p w:rsidR="003D07DB" w:rsidRPr="003D07DB" w:rsidRDefault="003D07DB" w:rsidP="003D07DB">
            <w:pPr>
              <w:spacing w:before="40" w:after="120"/>
              <w:ind w:left="0" w:right="113"/>
            </w:pPr>
          </w:p>
        </w:tc>
        <w:tc>
          <w:tcPr>
            <w:tcW w:w="2124" w:type="dxa"/>
            <w:tcBorders>
              <w:top w:val="single" w:sz="12" w:space="0" w:color="auto"/>
            </w:tcBorders>
            <w:shd w:val="clear" w:color="auto" w:fill="auto"/>
          </w:tcPr>
          <w:p w:rsidR="003D07DB" w:rsidRPr="003D07DB" w:rsidRDefault="003D07DB" w:rsidP="003D07DB">
            <w:pPr>
              <w:spacing w:before="40" w:after="120"/>
              <w:ind w:left="0" w:right="113"/>
            </w:pPr>
          </w:p>
        </w:tc>
        <w:tc>
          <w:tcPr>
            <w:tcW w:w="2124" w:type="dxa"/>
            <w:tcBorders>
              <w:top w:val="single" w:sz="12" w:space="0" w:color="auto"/>
            </w:tcBorders>
            <w:shd w:val="clear" w:color="auto" w:fill="auto"/>
          </w:tcPr>
          <w:p w:rsidR="003D07DB" w:rsidRPr="003D07DB" w:rsidRDefault="003D07DB" w:rsidP="003D07DB">
            <w:pPr>
              <w:spacing w:before="40" w:after="120"/>
              <w:ind w:left="0" w:right="113"/>
            </w:pPr>
          </w:p>
        </w:tc>
        <w:tc>
          <w:tcPr>
            <w:tcW w:w="2697" w:type="dxa"/>
            <w:tcBorders>
              <w:top w:val="single" w:sz="12" w:space="0" w:color="auto"/>
            </w:tcBorders>
            <w:shd w:val="clear" w:color="auto" w:fill="auto"/>
          </w:tcPr>
          <w:p w:rsidR="003D07DB" w:rsidRPr="003D07DB" w:rsidRDefault="003D07DB" w:rsidP="003D07DB">
            <w:pPr>
              <w:spacing w:before="40" w:after="120"/>
              <w:ind w:left="0" w:right="113"/>
            </w:pPr>
          </w:p>
        </w:tc>
      </w:tr>
      <w:tr w:rsidR="00231AA4" w:rsidRPr="003D07DB" w:rsidTr="003D07DB">
        <w:tc>
          <w:tcPr>
            <w:tcW w:w="8500" w:type="dxa"/>
            <w:gridSpan w:val="4"/>
            <w:tcBorders>
              <w:bottom w:val="single" w:sz="12" w:space="0" w:color="auto"/>
            </w:tcBorders>
            <w:shd w:val="clear" w:color="auto" w:fill="auto"/>
          </w:tcPr>
          <w:p w:rsidR="00231AA4" w:rsidRPr="003D07DB" w:rsidRDefault="00231AA4" w:rsidP="003D07DB">
            <w:pPr>
              <w:spacing w:before="40" w:after="120"/>
              <w:ind w:left="0" w:right="113"/>
              <w:rPr>
                <w:b w:val="0"/>
              </w:rPr>
            </w:pPr>
            <w:r w:rsidRPr="003D07DB">
              <w:rPr>
                <w:b w:val="0"/>
              </w:rPr>
              <w:t xml:space="preserve">Aucun État partie n’a reçu la mention </w:t>
            </w:r>
            <w:r w:rsidR="00505F0C" w:rsidRPr="00505F0C">
              <w:rPr>
                <w:b w:val="0"/>
              </w:rPr>
              <w:t xml:space="preserve">[D] </w:t>
            </w:r>
            <w:r w:rsidRPr="00505F0C">
              <w:rPr>
                <w:b w:val="0"/>
              </w:rPr>
              <w:t>lors</w:t>
            </w:r>
            <w:r w:rsidRPr="003D07DB">
              <w:rPr>
                <w:b w:val="0"/>
              </w:rPr>
              <w:t xml:space="preserve"> de l’adoption du rapport.</w:t>
            </w:r>
          </w:p>
        </w:tc>
      </w:tr>
    </w:tbl>
    <w:p w:rsidR="00231AA4" w:rsidRPr="00E2006A" w:rsidRDefault="00231AA4" w:rsidP="003D07DB">
      <w:pPr>
        <w:pStyle w:val="HChG"/>
      </w:pPr>
      <w:r>
        <w:tab/>
      </w:r>
      <w:r>
        <w:tab/>
      </w:r>
      <w:r w:rsidRPr="00E2006A">
        <w:t>108</w:t>
      </w:r>
      <w:r w:rsidRPr="00E2006A">
        <w:rPr>
          <w:vertAlign w:val="superscript"/>
        </w:rPr>
        <w:t>e</w:t>
      </w:r>
      <w:r w:rsidRPr="00E2006A">
        <w:t xml:space="preserve"> session (juillet 2013)</w:t>
      </w:r>
    </w:p>
    <w:tbl>
      <w:tblPr>
        <w:tblW w:w="7370" w:type="dxa"/>
        <w:tblInd w:w="1134" w:type="dxa"/>
        <w:tblLayout w:type="fixed"/>
        <w:tblCellMar>
          <w:left w:w="0" w:type="dxa"/>
          <w:right w:w="0" w:type="dxa"/>
        </w:tblCellMar>
        <w:tblLook w:val="00A0" w:firstRow="1" w:lastRow="0" w:firstColumn="1" w:lastColumn="0" w:noHBand="0" w:noVBand="0"/>
      </w:tblPr>
      <w:tblGrid>
        <w:gridCol w:w="2842"/>
        <w:gridCol w:w="4528"/>
      </w:tblGrid>
      <w:tr w:rsidR="005A5E07" w:rsidRPr="00E2006A" w:rsidTr="0026528A">
        <w:trPr>
          <w:tblHeader/>
        </w:trPr>
        <w:tc>
          <w:tcPr>
            <w:tcW w:w="7370" w:type="dxa"/>
            <w:gridSpan w:val="2"/>
            <w:tcBorders>
              <w:top w:val="single" w:sz="4" w:space="0" w:color="auto"/>
              <w:bottom w:val="single" w:sz="12" w:space="0" w:color="auto"/>
            </w:tcBorders>
            <w:shd w:val="clear" w:color="auto" w:fill="auto"/>
            <w:vAlign w:val="bottom"/>
          </w:tcPr>
          <w:p w:rsidR="005A5E07" w:rsidRPr="00E2006A" w:rsidRDefault="005A5E07" w:rsidP="00A40835">
            <w:pPr>
              <w:spacing w:before="80" w:after="80"/>
              <w:ind w:right="113"/>
              <w:rPr>
                <w:i/>
                <w:sz w:val="16"/>
              </w:rPr>
            </w:pPr>
            <w:r w:rsidRPr="00E2006A">
              <w:rPr>
                <w:i/>
                <w:sz w:val="16"/>
              </w:rPr>
              <w:t>Ukraine</w:t>
            </w:r>
          </w:p>
        </w:tc>
      </w:tr>
      <w:tr w:rsidR="00231AA4" w:rsidRPr="00E2006A" w:rsidTr="00A40835">
        <w:trPr>
          <w:trHeight w:hRule="exact" w:val="113"/>
          <w:tblHeader/>
        </w:trPr>
        <w:tc>
          <w:tcPr>
            <w:tcW w:w="2842" w:type="dxa"/>
            <w:tcBorders>
              <w:top w:val="single" w:sz="12" w:space="0" w:color="auto"/>
            </w:tcBorders>
            <w:shd w:val="clear" w:color="auto" w:fill="auto"/>
          </w:tcPr>
          <w:p w:rsidR="00231AA4" w:rsidRPr="00C23B50" w:rsidRDefault="00231AA4" w:rsidP="00A40835">
            <w:pPr>
              <w:spacing w:before="40" w:after="120"/>
              <w:ind w:right="113"/>
              <w:rPr>
                <w:szCs w:val="24"/>
              </w:rPr>
            </w:pPr>
          </w:p>
        </w:tc>
        <w:tc>
          <w:tcPr>
            <w:tcW w:w="4528" w:type="dxa"/>
            <w:tcBorders>
              <w:top w:val="single" w:sz="12" w:space="0" w:color="auto"/>
            </w:tcBorders>
            <w:shd w:val="clear" w:color="auto" w:fill="auto"/>
          </w:tcPr>
          <w:p w:rsidR="00231AA4" w:rsidRPr="00C23B50" w:rsidRDefault="00231AA4" w:rsidP="00A40835">
            <w:pPr>
              <w:spacing w:before="40" w:after="120"/>
              <w:ind w:right="113"/>
              <w:rPr>
                <w:szCs w:val="24"/>
              </w:rPr>
            </w:pPr>
          </w:p>
        </w:tc>
      </w:tr>
      <w:tr w:rsidR="00231AA4" w:rsidRPr="00E2006A" w:rsidTr="00A40835">
        <w:tc>
          <w:tcPr>
            <w:tcW w:w="2842" w:type="dxa"/>
            <w:shd w:val="clear" w:color="auto" w:fill="auto"/>
          </w:tcPr>
          <w:p w:rsidR="00231AA4" w:rsidRPr="00C23B50" w:rsidRDefault="00231AA4" w:rsidP="00A40835">
            <w:pPr>
              <w:spacing w:before="40" w:after="120"/>
              <w:ind w:right="113"/>
              <w:rPr>
                <w:szCs w:val="24"/>
              </w:rPr>
            </w:pPr>
            <w:r w:rsidRPr="00C23B50">
              <w:rPr>
                <w:szCs w:val="24"/>
              </w:rPr>
              <w:t>Observations finales</w:t>
            </w:r>
            <w:r w:rsidR="00A40835">
              <w:rPr>
                <w:szCs w:val="24"/>
              </w:rPr>
              <w:t> :</w:t>
            </w:r>
          </w:p>
        </w:tc>
        <w:tc>
          <w:tcPr>
            <w:tcW w:w="4528" w:type="dxa"/>
            <w:shd w:val="clear" w:color="auto" w:fill="auto"/>
          </w:tcPr>
          <w:p w:rsidR="00231AA4" w:rsidRPr="00C23B50" w:rsidRDefault="00231AA4" w:rsidP="00A40835">
            <w:pPr>
              <w:spacing w:before="40" w:after="120"/>
              <w:ind w:right="113"/>
              <w:rPr>
                <w:szCs w:val="24"/>
                <w:lang w:eastAsia="en-GB"/>
              </w:rPr>
            </w:pPr>
            <w:hyperlink r:id="rId9" w:history="1">
              <w:r w:rsidRPr="00F72624">
                <w:rPr>
                  <w:rStyle w:val="Lienhypertextesuivivisit"/>
                </w:rPr>
                <w:t>CCP</w:t>
              </w:r>
              <w:r w:rsidRPr="00F72624">
                <w:rPr>
                  <w:rStyle w:val="Lienhypertextesuivivisit"/>
                </w:rPr>
                <w:t>R</w:t>
              </w:r>
              <w:r w:rsidRPr="00F72624">
                <w:rPr>
                  <w:rStyle w:val="Lienhypertextesuivivisit"/>
                </w:rPr>
                <w:t>/C/UKR/CO/7</w:t>
              </w:r>
            </w:hyperlink>
            <w:r w:rsidRPr="00C23B50">
              <w:rPr>
                <w:szCs w:val="24"/>
                <w:lang w:eastAsia="en-GB"/>
              </w:rPr>
              <w:t>, 23 juillet 2013</w:t>
            </w:r>
          </w:p>
        </w:tc>
      </w:tr>
      <w:tr w:rsidR="00231AA4" w:rsidRPr="00E2006A" w:rsidTr="00A40835">
        <w:tc>
          <w:tcPr>
            <w:tcW w:w="2842" w:type="dxa"/>
            <w:shd w:val="clear" w:color="auto" w:fill="auto"/>
          </w:tcPr>
          <w:p w:rsidR="00231AA4" w:rsidRPr="00C23B50" w:rsidRDefault="00231AA4" w:rsidP="00A40835">
            <w:pPr>
              <w:spacing w:before="40" w:after="120"/>
              <w:ind w:right="113"/>
              <w:rPr>
                <w:szCs w:val="24"/>
              </w:rPr>
            </w:pPr>
            <w:r w:rsidRPr="00C23B50">
              <w:rPr>
                <w:szCs w:val="24"/>
              </w:rPr>
              <w:t>Paragra</w:t>
            </w:r>
            <w:r>
              <w:rPr>
                <w:szCs w:val="24"/>
              </w:rPr>
              <w:t>phes faisant l’objet</w:t>
            </w:r>
            <w:r>
              <w:rPr>
                <w:szCs w:val="24"/>
              </w:rPr>
              <w:br/>
              <w:t>d’un suivi</w:t>
            </w:r>
            <w:r w:rsidR="00A40835">
              <w:rPr>
                <w:szCs w:val="24"/>
              </w:rPr>
              <w:t> :</w:t>
            </w:r>
          </w:p>
        </w:tc>
        <w:tc>
          <w:tcPr>
            <w:tcW w:w="4528" w:type="dxa"/>
            <w:shd w:val="clear" w:color="auto" w:fill="auto"/>
          </w:tcPr>
          <w:p w:rsidR="00231AA4" w:rsidRPr="00C23B50" w:rsidRDefault="00231AA4" w:rsidP="00A40835">
            <w:pPr>
              <w:spacing w:before="40" w:after="120"/>
              <w:ind w:right="113"/>
              <w:rPr>
                <w:szCs w:val="24"/>
                <w:lang w:eastAsia="en-GB"/>
              </w:rPr>
            </w:pPr>
            <w:r w:rsidRPr="00C23B50">
              <w:rPr>
                <w:szCs w:val="24"/>
                <w:lang w:eastAsia="en-GB"/>
              </w:rPr>
              <w:t>6, 10, 15 et 17</w:t>
            </w:r>
          </w:p>
        </w:tc>
      </w:tr>
      <w:tr w:rsidR="00231AA4" w:rsidRPr="007326A7" w:rsidTr="00A40835">
        <w:tc>
          <w:tcPr>
            <w:tcW w:w="2842" w:type="dxa"/>
            <w:shd w:val="clear" w:color="auto" w:fill="auto"/>
          </w:tcPr>
          <w:p w:rsidR="00231AA4" w:rsidRPr="00C23B50" w:rsidRDefault="00231AA4" w:rsidP="00A40835">
            <w:pPr>
              <w:spacing w:before="40" w:after="120"/>
              <w:ind w:right="113"/>
              <w:rPr>
                <w:szCs w:val="24"/>
              </w:rPr>
            </w:pPr>
            <w:r w:rsidRPr="00C23B50">
              <w:rPr>
                <w:szCs w:val="24"/>
              </w:rPr>
              <w:t>Première réponse</w:t>
            </w:r>
            <w:r w:rsidR="00A40835">
              <w:rPr>
                <w:szCs w:val="24"/>
              </w:rPr>
              <w:t> :</w:t>
            </w:r>
          </w:p>
        </w:tc>
        <w:tc>
          <w:tcPr>
            <w:tcW w:w="4528" w:type="dxa"/>
            <w:shd w:val="clear" w:color="auto" w:fill="auto"/>
          </w:tcPr>
          <w:p w:rsidR="00231AA4" w:rsidRPr="00C23B50" w:rsidRDefault="00231AA4" w:rsidP="00A40835">
            <w:pPr>
              <w:spacing w:before="40" w:after="120"/>
              <w:ind w:right="113"/>
              <w:rPr>
                <w:szCs w:val="24"/>
                <w:lang w:val="en-US"/>
              </w:rPr>
            </w:pPr>
            <w:hyperlink r:id="rId10" w:history="1">
              <w:r w:rsidRPr="00505F0C">
                <w:rPr>
                  <w:rStyle w:val="Lienhypertextesuivivisit"/>
                  <w:lang w:val="en-US"/>
                </w:rPr>
                <w:t>C</w:t>
              </w:r>
              <w:r w:rsidRPr="00505F0C">
                <w:rPr>
                  <w:rStyle w:val="Lienhypertextesuivivisit"/>
                  <w:lang w:val="en-US"/>
                </w:rPr>
                <w:t>C</w:t>
              </w:r>
              <w:r w:rsidRPr="00505F0C">
                <w:rPr>
                  <w:rStyle w:val="Lienhypertextesuivivisit"/>
                  <w:lang w:val="en-US"/>
                </w:rPr>
                <w:t>PR/C/UKR/CO/7/Add.1</w:t>
              </w:r>
            </w:hyperlink>
            <w:r>
              <w:rPr>
                <w:szCs w:val="24"/>
                <w:lang w:val="en-US"/>
              </w:rPr>
              <w:t>, 19 </w:t>
            </w:r>
            <w:r w:rsidRPr="00C23B50">
              <w:rPr>
                <w:szCs w:val="24"/>
                <w:lang w:val="en-US"/>
              </w:rPr>
              <w:t>juin 2015</w:t>
            </w:r>
          </w:p>
        </w:tc>
      </w:tr>
      <w:tr w:rsidR="00231AA4" w:rsidRPr="00E2006A" w:rsidTr="00A40835">
        <w:tc>
          <w:tcPr>
            <w:tcW w:w="2842" w:type="dxa"/>
            <w:shd w:val="clear" w:color="auto" w:fill="auto"/>
          </w:tcPr>
          <w:p w:rsidR="00231AA4" w:rsidRPr="00C23B50" w:rsidRDefault="00231AA4" w:rsidP="00A40835">
            <w:pPr>
              <w:spacing w:before="40" w:after="120"/>
              <w:ind w:right="113"/>
              <w:rPr>
                <w:szCs w:val="24"/>
              </w:rPr>
            </w:pPr>
            <w:r w:rsidRPr="00C23B50">
              <w:rPr>
                <w:szCs w:val="24"/>
              </w:rPr>
              <w:t xml:space="preserve">Évaluation </w:t>
            </w:r>
            <w:r>
              <w:rPr>
                <w:szCs w:val="24"/>
              </w:rPr>
              <w:t>du Comité</w:t>
            </w:r>
            <w:r w:rsidR="00A40835">
              <w:rPr>
                <w:szCs w:val="24"/>
              </w:rPr>
              <w:t> :</w:t>
            </w:r>
          </w:p>
        </w:tc>
        <w:tc>
          <w:tcPr>
            <w:tcW w:w="4528" w:type="dxa"/>
            <w:shd w:val="clear" w:color="auto" w:fill="auto"/>
          </w:tcPr>
          <w:p w:rsidR="00231AA4" w:rsidRPr="00C23B50" w:rsidRDefault="00231AA4" w:rsidP="00D03F91">
            <w:pPr>
              <w:spacing w:before="40" w:after="120"/>
              <w:ind w:right="113"/>
              <w:rPr>
                <w:szCs w:val="24"/>
              </w:rPr>
            </w:pPr>
            <w:r w:rsidRPr="00C23B50">
              <w:rPr>
                <w:szCs w:val="24"/>
              </w:rPr>
              <w:t>Des renseignements supplémentaires sont nécessaires sur les paragraphes 6</w:t>
            </w:r>
            <w:r w:rsidRPr="00C23B50">
              <w:rPr>
                <w:b/>
                <w:szCs w:val="24"/>
              </w:rPr>
              <w:t>[C]</w:t>
            </w:r>
            <w:r w:rsidRPr="00C23B50">
              <w:rPr>
                <w:szCs w:val="24"/>
              </w:rPr>
              <w:t>, 10</w:t>
            </w:r>
            <w:r w:rsidRPr="00C23B50">
              <w:rPr>
                <w:b/>
                <w:szCs w:val="24"/>
              </w:rPr>
              <w:t>[B][B]</w:t>
            </w:r>
            <w:r w:rsidRPr="00C23B50">
              <w:rPr>
                <w:szCs w:val="24"/>
              </w:rPr>
              <w:t>, 15</w:t>
            </w:r>
            <w:r w:rsidRPr="00C23B50">
              <w:rPr>
                <w:b/>
                <w:szCs w:val="24"/>
              </w:rPr>
              <w:t>[C]</w:t>
            </w:r>
            <w:r>
              <w:rPr>
                <w:b/>
                <w:szCs w:val="24"/>
              </w:rPr>
              <w:t>[B]</w:t>
            </w:r>
            <w:r w:rsidRPr="00C23B50">
              <w:rPr>
                <w:b/>
                <w:szCs w:val="24"/>
              </w:rPr>
              <w:t>[B][C]</w:t>
            </w:r>
            <w:r w:rsidRPr="00EE0E59">
              <w:rPr>
                <w:szCs w:val="24"/>
              </w:rPr>
              <w:t xml:space="preserve"> </w:t>
            </w:r>
            <w:r w:rsidRPr="00C23B50">
              <w:rPr>
                <w:szCs w:val="24"/>
              </w:rPr>
              <w:t>et</w:t>
            </w:r>
            <w:r w:rsidR="00D03F91">
              <w:rPr>
                <w:szCs w:val="24"/>
              </w:rPr>
              <w:t> </w:t>
            </w:r>
            <w:r w:rsidRPr="00C23B50">
              <w:rPr>
                <w:szCs w:val="24"/>
              </w:rPr>
              <w:t>17</w:t>
            </w:r>
            <w:r w:rsidRPr="00C23B50">
              <w:rPr>
                <w:b/>
                <w:szCs w:val="24"/>
              </w:rPr>
              <w:t>[B][B]</w:t>
            </w:r>
          </w:p>
        </w:tc>
      </w:tr>
      <w:tr w:rsidR="00231AA4" w:rsidRPr="00D03F91" w:rsidTr="00A40835">
        <w:tc>
          <w:tcPr>
            <w:tcW w:w="2842" w:type="dxa"/>
            <w:shd w:val="clear" w:color="auto" w:fill="auto"/>
          </w:tcPr>
          <w:p w:rsidR="00231AA4" w:rsidRPr="00C23B50" w:rsidRDefault="00231AA4" w:rsidP="00A40835">
            <w:pPr>
              <w:spacing w:before="40" w:after="120"/>
              <w:ind w:right="113"/>
              <w:rPr>
                <w:szCs w:val="24"/>
              </w:rPr>
            </w:pPr>
            <w:r w:rsidRPr="00C23B50">
              <w:rPr>
                <w:szCs w:val="24"/>
              </w:rPr>
              <w:t>Org</w:t>
            </w:r>
            <w:r>
              <w:rPr>
                <w:szCs w:val="24"/>
              </w:rPr>
              <w:t>anisations non gouvernementales</w:t>
            </w:r>
            <w:r w:rsidR="00A40835">
              <w:rPr>
                <w:szCs w:val="24"/>
              </w:rPr>
              <w:t> :</w:t>
            </w:r>
          </w:p>
        </w:tc>
        <w:tc>
          <w:tcPr>
            <w:tcW w:w="4528" w:type="dxa"/>
            <w:shd w:val="clear" w:color="auto" w:fill="auto"/>
          </w:tcPr>
          <w:p w:rsidR="00231AA4" w:rsidRPr="00D03F91" w:rsidRDefault="00231AA4" w:rsidP="00D03F91">
            <w:pPr>
              <w:spacing w:before="40" w:after="120"/>
              <w:ind w:right="113"/>
              <w:rPr>
                <w:szCs w:val="24"/>
                <w:lang w:val="en-US" w:eastAsia="en-GB"/>
              </w:rPr>
            </w:pPr>
            <w:hyperlink r:id="rId11" w:history="1">
              <w:r w:rsidRPr="00D03F91">
                <w:rPr>
                  <w:szCs w:val="24"/>
                  <w:lang w:val="en-US" w:eastAsia="en-GB"/>
                </w:rPr>
                <w:t>Human Rights House Foundation</w:t>
              </w:r>
            </w:hyperlink>
            <w:r w:rsidRPr="00D03F91">
              <w:rPr>
                <w:szCs w:val="24"/>
                <w:lang w:val="en-US" w:eastAsia="en-GB"/>
              </w:rPr>
              <w:t>, 6 juin 2016</w:t>
            </w:r>
            <w:r w:rsidRPr="007326A7">
              <w:rPr>
                <w:rStyle w:val="Appelnotedebasdep"/>
              </w:rPr>
              <w:footnoteReference w:id="4"/>
            </w:r>
            <w:r w:rsidR="00D03F91" w:rsidRPr="00D03F91">
              <w:rPr>
                <w:szCs w:val="24"/>
                <w:lang w:val="en-US" w:eastAsia="en-GB"/>
              </w:rPr>
              <w:br/>
            </w:r>
            <w:hyperlink r:id="rId12" w:history="1">
              <w:r w:rsidRPr="00D03F91">
                <w:rPr>
                  <w:szCs w:val="24"/>
                  <w:lang w:val="en-US" w:eastAsia="en-GB"/>
                </w:rPr>
                <w:t>Coalition</w:t>
              </w:r>
            </w:hyperlink>
            <w:r w:rsidRPr="00D03F91">
              <w:rPr>
                <w:szCs w:val="24"/>
                <w:lang w:val="en-US" w:eastAsia="en-GB"/>
              </w:rPr>
              <w:t xml:space="preserve"> of Human Rights Organizations,</w:t>
            </w:r>
            <w:r w:rsidRPr="00D03F91">
              <w:rPr>
                <w:szCs w:val="24"/>
                <w:lang w:val="en-US" w:eastAsia="en-GB"/>
              </w:rPr>
              <w:br/>
              <w:t>4 juillet 2016</w:t>
            </w:r>
            <w:r w:rsidRPr="007326A7">
              <w:rPr>
                <w:rStyle w:val="Appelnotedebasdep"/>
              </w:rPr>
              <w:footnoteReference w:id="5"/>
            </w:r>
          </w:p>
        </w:tc>
      </w:tr>
      <w:tr w:rsidR="00231AA4" w:rsidRPr="00E2006A" w:rsidTr="00A40835">
        <w:tc>
          <w:tcPr>
            <w:tcW w:w="7370" w:type="dxa"/>
            <w:gridSpan w:val="2"/>
            <w:shd w:val="clear" w:color="auto" w:fill="auto"/>
          </w:tcPr>
          <w:p w:rsidR="00231AA4" w:rsidRPr="00C23B50" w:rsidRDefault="00231AA4" w:rsidP="00A40835">
            <w:pPr>
              <w:spacing w:before="40" w:after="120"/>
              <w:ind w:right="113"/>
              <w:rPr>
                <w:b/>
                <w:szCs w:val="24"/>
              </w:rPr>
            </w:pPr>
            <w:r w:rsidRPr="00C23B50">
              <w:rPr>
                <w:b/>
                <w:szCs w:val="24"/>
              </w:rPr>
              <w:t>Paragraphe 6</w:t>
            </w:r>
          </w:p>
        </w:tc>
      </w:tr>
      <w:tr w:rsidR="00231AA4" w:rsidRPr="00E2006A" w:rsidTr="00A40835">
        <w:tc>
          <w:tcPr>
            <w:tcW w:w="7370" w:type="dxa"/>
            <w:gridSpan w:val="2"/>
            <w:shd w:val="clear" w:color="auto" w:fill="auto"/>
          </w:tcPr>
          <w:p w:rsidR="00231AA4" w:rsidRPr="00C23B50" w:rsidRDefault="00231AA4" w:rsidP="00505F0C">
            <w:pPr>
              <w:spacing w:before="40" w:after="120"/>
              <w:ind w:right="113"/>
              <w:jc w:val="both"/>
              <w:rPr>
                <w:b/>
                <w:szCs w:val="24"/>
              </w:rPr>
            </w:pPr>
            <w:r w:rsidRPr="00C23B50">
              <w:rPr>
                <w:b/>
                <w:szCs w:val="24"/>
              </w:rPr>
              <w:t>L</w:t>
            </w:r>
            <w:r>
              <w:rPr>
                <w:b/>
                <w:szCs w:val="24"/>
              </w:rPr>
              <w:t>’</w:t>
            </w:r>
            <w:r w:rsidRPr="00C23B50">
              <w:rPr>
                <w:b/>
                <w:szCs w:val="24"/>
              </w:rPr>
              <w:t>État partie devrait revoir sa position à l</w:t>
            </w:r>
            <w:r>
              <w:rPr>
                <w:b/>
                <w:szCs w:val="24"/>
              </w:rPr>
              <w:t>’</w:t>
            </w:r>
            <w:r w:rsidRPr="00C23B50">
              <w:rPr>
                <w:b/>
                <w:szCs w:val="24"/>
              </w:rPr>
              <w:t xml:space="preserve">égard des constatations adoptées par le Comité en vertu du </w:t>
            </w:r>
            <w:r w:rsidR="00505F0C">
              <w:rPr>
                <w:b/>
                <w:szCs w:val="24"/>
              </w:rPr>
              <w:t>p</w:t>
            </w:r>
            <w:r w:rsidRPr="00C23B50">
              <w:rPr>
                <w:b/>
                <w:szCs w:val="24"/>
              </w:rPr>
              <w:t>remier Protocole facultatif. Il devrait prendre toutes les mesures voulues pour établir des mécanismes et des procédures appropriées, notamment prévoir la possibilité de rouvrir une affaire, de réduire la durée d</w:t>
            </w:r>
            <w:r>
              <w:rPr>
                <w:b/>
                <w:szCs w:val="24"/>
              </w:rPr>
              <w:t>’</w:t>
            </w:r>
            <w:r w:rsidRPr="00C23B50">
              <w:rPr>
                <w:b/>
                <w:szCs w:val="24"/>
              </w:rPr>
              <w:t>une peine d</w:t>
            </w:r>
            <w:r>
              <w:rPr>
                <w:b/>
                <w:szCs w:val="24"/>
              </w:rPr>
              <w:t>’</w:t>
            </w:r>
            <w:r w:rsidRPr="00C23B50">
              <w:rPr>
                <w:b/>
                <w:szCs w:val="24"/>
              </w:rPr>
              <w:t>emprisonnement et d</w:t>
            </w:r>
            <w:r>
              <w:rPr>
                <w:b/>
                <w:szCs w:val="24"/>
              </w:rPr>
              <w:t>’</w:t>
            </w:r>
            <w:r w:rsidRPr="00C23B50">
              <w:rPr>
                <w:b/>
                <w:szCs w:val="24"/>
              </w:rPr>
              <w:t>accorder une indemnisation discrétionnaire pour donner plein effet aux constatations du Comité de façon à garantir l</w:t>
            </w:r>
            <w:r>
              <w:rPr>
                <w:b/>
                <w:szCs w:val="24"/>
              </w:rPr>
              <w:t>’</w:t>
            </w:r>
            <w:r w:rsidRPr="00C23B50">
              <w:rPr>
                <w:b/>
                <w:szCs w:val="24"/>
              </w:rPr>
              <w:t>accès à un recours efficace en cas de violation du Pacte, conforméme</w:t>
            </w:r>
            <w:r>
              <w:rPr>
                <w:b/>
                <w:szCs w:val="24"/>
              </w:rPr>
              <w:t>nt au paragraphe</w:t>
            </w:r>
            <w:r w:rsidR="00D03F91">
              <w:rPr>
                <w:b/>
                <w:szCs w:val="24"/>
              </w:rPr>
              <w:t> </w:t>
            </w:r>
            <w:r>
              <w:rPr>
                <w:b/>
                <w:szCs w:val="24"/>
              </w:rPr>
              <w:t>3 de l’article </w:t>
            </w:r>
            <w:r w:rsidRPr="00C23B50">
              <w:rPr>
                <w:b/>
                <w:szCs w:val="24"/>
              </w:rPr>
              <w:t>2</w:t>
            </w:r>
            <w:r w:rsidR="00505F0C">
              <w:rPr>
                <w:b/>
                <w:szCs w:val="24"/>
              </w:rPr>
              <w:t xml:space="preserve"> du Pacte.</w:t>
            </w:r>
          </w:p>
        </w:tc>
      </w:tr>
      <w:tr w:rsidR="00231AA4" w:rsidRPr="00E2006A" w:rsidTr="00A40835">
        <w:tc>
          <w:tcPr>
            <w:tcW w:w="7370" w:type="dxa"/>
            <w:gridSpan w:val="2"/>
            <w:shd w:val="clear" w:color="auto" w:fill="auto"/>
          </w:tcPr>
          <w:p w:rsidR="00231AA4" w:rsidRPr="00C23B50" w:rsidRDefault="00231AA4" w:rsidP="00A40835">
            <w:pPr>
              <w:spacing w:before="40" w:after="120"/>
              <w:ind w:right="113"/>
              <w:rPr>
                <w:b/>
                <w:szCs w:val="24"/>
              </w:rPr>
            </w:pPr>
            <w:r w:rsidRPr="00C23B50">
              <w:rPr>
                <w:b/>
                <w:szCs w:val="24"/>
              </w:rPr>
              <w:t>Résumé</w:t>
            </w:r>
            <w:r>
              <w:rPr>
                <w:b/>
                <w:szCs w:val="24"/>
              </w:rPr>
              <w:t xml:space="preserve"> de la réponse de l’État partie</w:t>
            </w:r>
          </w:p>
        </w:tc>
      </w:tr>
      <w:tr w:rsidR="00231AA4" w:rsidRPr="00E2006A" w:rsidTr="00A40835">
        <w:tc>
          <w:tcPr>
            <w:tcW w:w="7370" w:type="dxa"/>
            <w:gridSpan w:val="2"/>
            <w:shd w:val="clear" w:color="auto" w:fill="auto"/>
          </w:tcPr>
          <w:p w:rsidR="00231AA4" w:rsidRPr="00C23B50" w:rsidRDefault="00231AA4" w:rsidP="00D03F91">
            <w:pPr>
              <w:spacing w:before="40" w:after="120"/>
              <w:ind w:right="113"/>
              <w:jc w:val="both"/>
              <w:rPr>
                <w:szCs w:val="24"/>
              </w:rPr>
            </w:pPr>
            <w:r w:rsidRPr="00C23B50">
              <w:rPr>
                <w:szCs w:val="24"/>
              </w:rPr>
              <w:t>L</w:t>
            </w:r>
            <w:r>
              <w:rPr>
                <w:szCs w:val="24"/>
              </w:rPr>
              <w:t>’</w:t>
            </w:r>
            <w:r w:rsidRPr="00C23B50">
              <w:rPr>
                <w:szCs w:val="24"/>
              </w:rPr>
              <w:t>État partie met en lumière différentes dispositions du Code de procédure pénale de 2012 et d</w:t>
            </w:r>
            <w:r>
              <w:rPr>
                <w:szCs w:val="24"/>
              </w:rPr>
              <w:t>’</w:t>
            </w:r>
            <w:r w:rsidRPr="00C23B50">
              <w:rPr>
                <w:szCs w:val="24"/>
              </w:rPr>
              <w:t xml:space="preserve">autres lois relatives aux garanties fondamentales, au droit à un procès équitable et au droit à réparation. </w:t>
            </w:r>
          </w:p>
        </w:tc>
      </w:tr>
      <w:tr w:rsidR="00231AA4" w:rsidRPr="000A4346" w:rsidTr="00A40835">
        <w:tc>
          <w:tcPr>
            <w:tcW w:w="7370" w:type="dxa"/>
            <w:gridSpan w:val="2"/>
            <w:shd w:val="clear" w:color="auto" w:fill="auto"/>
          </w:tcPr>
          <w:p w:rsidR="00231AA4" w:rsidRPr="00423096" w:rsidRDefault="00231AA4" w:rsidP="00A40835">
            <w:pPr>
              <w:spacing w:before="40" w:after="120"/>
              <w:ind w:right="113"/>
              <w:rPr>
                <w:b/>
                <w:szCs w:val="24"/>
              </w:rPr>
            </w:pPr>
            <w:r w:rsidRPr="00C23B50">
              <w:rPr>
                <w:b/>
                <w:szCs w:val="24"/>
              </w:rPr>
              <w:t>Informations émanant d</w:t>
            </w:r>
            <w:r>
              <w:rPr>
                <w:b/>
                <w:szCs w:val="24"/>
              </w:rPr>
              <w:t>’</w:t>
            </w:r>
            <w:r w:rsidRPr="00C23B50">
              <w:rPr>
                <w:b/>
                <w:szCs w:val="24"/>
              </w:rPr>
              <w:t>org</w:t>
            </w:r>
            <w:r>
              <w:rPr>
                <w:b/>
                <w:szCs w:val="24"/>
              </w:rPr>
              <w:t>anisations non gouvernementales</w:t>
            </w:r>
          </w:p>
        </w:tc>
      </w:tr>
      <w:tr w:rsidR="00423096" w:rsidRPr="00423096" w:rsidTr="00A40835">
        <w:tc>
          <w:tcPr>
            <w:tcW w:w="7370" w:type="dxa"/>
            <w:gridSpan w:val="2"/>
            <w:shd w:val="clear" w:color="auto" w:fill="auto"/>
          </w:tcPr>
          <w:p w:rsidR="00423096" w:rsidRPr="00423096" w:rsidRDefault="00423096" w:rsidP="00A40835">
            <w:pPr>
              <w:spacing w:before="40" w:after="120"/>
              <w:ind w:right="113"/>
              <w:rPr>
                <w:b/>
                <w:szCs w:val="24"/>
                <w:lang w:val="en-US"/>
              </w:rPr>
            </w:pPr>
            <w:r w:rsidRPr="007326A7">
              <w:rPr>
                <w:i/>
                <w:szCs w:val="24"/>
                <w:lang w:val="en-US"/>
              </w:rPr>
              <w:t xml:space="preserve">Centre of Policy and Legal Reform </w:t>
            </w:r>
            <w:r w:rsidRPr="007326A7">
              <w:rPr>
                <w:szCs w:val="24"/>
                <w:lang w:val="en-US"/>
              </w:rPr>
              <w:t>et</w:t>
            </w:r>
            <w:r w:rsidRPr="007326A7">
              <w:rPr>
                <w:i/>
                <w:szCs w:val="24"/>
                <w:lang w:val="en-US"/>
              </w:rPr>
              <w:t xml:space="preserve"> Human Rights House Foundation</w:t>
            </w:r>
          </w:p>
        </w:tc>
      </w:tr>
      <w:tr w:rsidR="00231AA4" w:rsidRPr="00E2006A" w:rsidTr="00A40835">
        <w:tc>
          <w:tcPr>
            <w:tcW w:w="7370" w:type="dxa"/>
            <w:gridSpan w:val="2"/>
            <w:shd w:val="clear" w:color="auto" w:fill="auto"/>
          </w:tcPr>
          <w:p w:rsidR="00231AA4" w:rsidRPr="00C23B50" w:rsidRDefault="00231AA4" w:rsidP="00242330">
            <w:pPr>
              <w:spacing w:before="40" w:after="120"/>
              <w:ind w:right="113"/>
              <w:jc w:val="both"/>
              <w:rPr>
                <w:szCs w:val="24"/>
              </w:rPr>
            </w:pPr>
            <w:r w:rsidRPr="00C23B50">
              <w:rPr>
                <w:szCs w:val="24"/>
              </w:rPr>
              <w:t>Le 19 mai 2015, le Parlement a été saisi d</w:t>
            </w:r>
            <w:r>
              <w:rPr>
                <w:szCs w:val="24"/>
              </w:rPr>
              <w:t>’</w:t>
            </w:r>
            <w:r w:rsidRPr="00C23B50">
              <w:rPr>
                <w:szCs w:val="24"/>
              </w:rPr>
              <w:t>un projet de loi proposant que les décisions</w:t>
            </w:r>
            <w:r>
              <w:rPr>
                <w:szCs w:val="24"/>
              </w:rPr>
              <w:t xml:space="preserve"> pertinentes</w:t>
            </w:r>
            <w:r w:rsidRPr="00C23B50">
              <w:rPr>
                <w:szCs w:val="24"/>
              </w:rPr>
              <w:t xml:space="preserve"> </w:t>
            </w:r>
            <w:r>
              <w:rPr>
                <w:szCs w:val="24"/>
              </w:rPr>
              <w:t xml:space="preserve">d’organisations internationales </w:t>
            </w:r>
            <w:r w:rsidRPr="00C23B50">
              <w:rPr>
                <w:szCs w:val="24"/>
              </w:rPr>
              <w:t>relatives à la protection des droits de l</w:t>
            </w:r>
            <w:r>
              <w:rPr>
                <w:szCs w:val="24"/>
              </w:rPr>
              <w:t>’</w:t>
            </w:r>
            <w:r w:rsidRPr="00C23B50">
              <w:rPr>
                <w:szCs w:val="24"/>
              </w:rPr>
              <w:t xml:space="preserve">homme </w:t>
            </w:r>
            <w:r>
              <w:rPr>
                <w:szCs w:val="24"/>
              </w:rPr>
              <w:t xml:space="preserve">constituent </w:t>
            </w:r>
            <w:r w:rsidRPr="00C23B50">
              <w:rPr>
                <w:szCs w:val="24"/>
              </w:rPr>
              <w:t>un motif de réexamen</w:t>
            </w:r>
            <w:r>
              <w:rPr>
                <w:szCs w:val="24"/>
              </w:rPr>
              <w:t xml:space="preserve"> par la Cour suprême</w:t>
            </w:r>
            <w:r w:rsidRPr="00C23B50">
              <w:rPr>
                <w:szCs w:val="24"/>
              </w:rPr>
              <w:t xml:space="preserve"> des décisions</w:t>
            </w:r>
            <w:r>
              <w:rPr>
                <w:szCs w:val="24"/>
              </w:rPr>
              <w:t xml:space="preserve"> judiciaires nationales</w:t>
            </w:r>
            <w:r w:rsidRPr="00C23B50">
              <w:rPr>
                <w:szCs w:val="24"/>
              </w:rPr>
              <w:t xml:space="preserve">. </w:t>
            </w:r>
          </w:p>
        </w:tc>
      </w:tr>
      <w:tr w:rsidR="00231AA4" w:rsidRPr="00E2006A" w:rsidTr="00A40835">
        <w:tc>
          <w:tcPr>
            <w:tcW w:w="7370" w:type="dxa"/>
            <w:gridSpan w:val="2"/>
            <w:shd w:val="clear" w:color="auto" w:fill="auto"/>
          </w:tcPr>
          <w:p w:rsidR="00231AA4" w:rsidRPr="00C23B50" w:rsidRDefault="00231AA4" w:rsidP="0023763F">
            <w:pPr>
              <w:keepNext/>
              <w:spacing w:before="40" w:after="120"/>
              <w:ind w:right="113"/>
              <w:jc w:val="both"/>
              <w:rPr>
                <w:szCs w:val="24"/>
              </w:rPr>
            </w:pPr>
            <w:r w:rsidRPr="00C23B50">
              <w:rPr>
                <w:szCs w:val="24"/>
              </w:rPr>
              <w:lastRenderedPageBreak/>
              <w:t>La Haute Cour spécialisée qui statue à la fois au civil et au pénal a rejeté à plusieurs reprises des demandes de réexamen d</w:t>
            </w:r>
            <w:r>
              <w:rPr>
                <w:szCs w:val="24"/>
              </w:rPr>
              <w:t>’</w:t>
            </w:r>
            <w:r w:rsidRPr="00C23B50">
              <w:rPr>
                <w:szCs w:val="24"/>
              </w:rPr>
              <w:t>affaires, faisant valoir que le Comité n</w:t>
            </w:r>
            <w:r>
              <w:rPr>
                <w:szCs w:val="24"/>
              </w:rPr>
              <w:t>’</w:t>
            </w:r>
            <w:r w:rsidRPr="00C23B50">
              <w:rPr>
                <w:szCs w:val="24"/>
              </w:rPr>
              <w:t>était pas un organe judiciaire, que ses décisions ne constituaient pas des décisions judiciaires, ni dans la forme ni au fond, et qu</w:t>
            </w:r>
            <w:r>
              <w:rPr>
                <w:szCs w:val="24"/>
              </w:rPr>
              <w:t>’</w:t>
            </w:r>
            <w:r w:rsidRPr="00C23B50">
              <w:rPr>
                <w:szCs w:val="24"/>
              </w:rPr>
              <w:t>elles n</w:t>
            </w:r>
            <w:r>
              <w:rPr>
                <w:szCs w:val="24"/>
              </w:rPr>
              <w:t>’</w:t>
            </w:r>
            <w:r w:rsidRPr="00C23B50">
              <w:rPr>
                <w:szCs w:val="24"/>
              </w:rPr>
              <w:t>étaient pas contraignantes.</w:t>
            </w:r>
          </w:p>
        </w:tc>
      </w:tr>
      <w:tr w:rsidR="00231AA4" w:rsidRPr="00E2006A" w:rsidTr="00A40835">
        <w:tc>
          <w:tcPr>
            <w:tcW w:w="7370" w:type="dxa"/>
            <w:gridSpan w:val="2"/>
            <w:shd w:val="clear" w:color="auto" w:fill="auto"/>
          </w:tcPr>
          <w:p w:rsidR="00231AA4" w:rsidRPr="000E79FF" w:rsidRDefault="00231AA4" w:rsidP="00A40835">
            <w:pPr>
              <w:keepNext/>
              <w:keepLines/>
              <w:spacing w:before="40" w:after="120"/>
              <w:ind w:right="113"/>
              <w:rPr>
                <w:b/>
                <w:szCs w:val="24"/>
              </w:rPr>
            </w:pPr>
            <w:r w:rsidRPr="000E79FF">
              <w:rPr>
                <w:b/>
                <w:szCs w:val="24"/>
              </w:rPr>
              <w:t>Évaluation du Comité</w:t>
            </w:r>
          </w:p>
        </w:tc>
      </w:tr>
      <w:tr w:rsidR="00231AA4" w:rsidRPr="00E2006A" w:rsidTr="00A40835">
        <w:tc>
          <w:tcPr>
            <w:tcW w:w="7370" w:type="dxa"/>
            <w:gridSpan w:val="2"/>
            <w:shd w:val="clear" w:color="auto" w:fill="auto"/>
          </w:tcPr>
          <w:p w:rsidR="00231AA4" w:rsidRPr="000E79FF" w:rsidRDefault="00231AA4" w:rsidP="00242330">
            <w:pPr>
              <w:spacing w:before="40" w:after="120"/>
              <w:ind w:right="113"/>
              <w:jc w:val="both"/>
              <w:rPr>
                <w:szCs w:val="24"/>
              </w:rPr>
            </w:pPr>
            <w:r w:rsidRPr="000E79FF">
              <w:rPr>
                <w:b/>
                <w:szCs w:val="24"/>
              </w:rPr>
              <w:t>[C]</w:t>
            </w:r>
            <w:r w:rsidR="00A40835">
              <w:rPr>
                <w:b/>
                <w:szCs w:val="24"/>
              </w:rPr>
              <w:t> :</w:t>
            </w:r>
            <w:r w:rsidRPr="000E79FF">
              <w:rPr>
                <w:b/>
                <w:szCs w:val="24"/>
              </w:rPr>
              <w:t xml:space="preserve"> </w:t>
            </w:r>
            <w:r w:rsidRPr="000E79FF">
              <w:rPr>
                <w:szCs w:val="24"/>
              </w:rPr>
              <w:t>Les informations fournies par l</w:t>
            </w:r>
            <w:r>
              <w:rPr>
                <w:szCs w:val="24"/>
              </w:rPr>
              <w:t>’</w:t>
            </w:r>
            <w:r w:rsidRPr="000E79FF">
              <w:rPr>
                <w:szCs w:val="24"/>
              </w:rPr>
              <w:t>État partie n</w:t>
            </w:r>
            <w:r>
              <w:rPr>
                <w:szCs w:val="24"/>
              </w:rPr>
              <w:t>’</w:t>
            </w:r>
            <w:r w:rsidRPr="000E79FF">
              <w:rPr>
                <w:szCs w:val="24"/>
              </w:rPr>
              <w:t>ont pas de rapport avec la recommandation. Le Comité relève toutefois que le Parlement a été saisi, le 19 mai 2015, d</w:t>
            </w:r>
            <w:r>
              <w:rPr>
                <w:szCs w:val="24"/>
              </w:rPr>
              <w:t>’</w:t>
            </w:r>
            <w:r w:rsidRPr="000E79FF">
              <w:rPr>
                <w:szCs w:val="24"/>
              </w:rPr>
              <w:t>un projet de loi qui ferait des décisions relatives à la protection des droits de l</w:t>
            </w:r>
            <w:r>
              <w:rPr>
                <w:szCs w:val="24"/>
              </w:rPr>
              <w:t>’</w:t>
            </w:r>
            <w:r w:rsidRPr="000E79FF">
              <w:rPr>
                <w:szCs w:val="24"/>
              </w:rPr>
              <w:t>homme adoptées par des organisations internationales un motif de réexamen des décisions judiciaires nationales</w:t>
            </w:r>
            <w:r>
              <w:rPr>
                <w:szCs w:val="24"/>
              </w:rPr>
              <w:t>. Il</w:t>
            </w:r>
            <w:r w:rsidRPr="000E79FF">
              <w:rPr>
                <w:szCs w:val="24"/>
              </w:rPr>
              <w:t xml:space="preserve"> demande à l</w:t>
            </w:r>
            <w:r>
              <w:rPr>
                <w:szCs w:val="24"/>
              </w:rPr>
              <w:t>’</w:t>
            </w:r>
            <w:r w:rsidRPr="000E79FF">
              <w:rPr>
                <w:szCs w:val="24"/>
              </w:rPr>
              <w:t>État partie de fournir des renseignements sur l</w:t>
            </w:r>
            <w:r>
              <w:rPr>
                <w:szCs w:val="24"/>
              </w:rPr>
              <w:t>’</w:t>
            </w:r>
            <w:r w:rsidRPr="000E79FF">
              <w:rPr>
                <w:szCs w:val="24"/>
              </w:rPr>
              <w:t>état d</w:t>
            </w:r>
            <w:r>
              <w:rPr>
                <w:szCs w:val="24"/>
              </w:rPr>
              <w:t>’</w:t>
            </w:r>
            <w:r w:rsidRPr="000E79FF">
              <w:rPr>
                <w:szCs w:val="24"/>
              </w:rPr>
              <w:t xml:space="preserve">avancement de ce projet de loi, </w:t>
            </w:r>
            <w:r>
              <w:rPr>
                <w:szCs w:val="24"/>
              </w:rPr>
              <w:t>d’indiquer</w:t>
            </w:r>
            <w:r w:rsidRPr="000E79FF">
              <w:rPr>
                <w:szCs w:val="24"/>
              </w:rPr>
              <w:t xml:space="preserve"> notamment si les consta</w:t>
            </w:r>
            <w:r>
              <w:rPr>
                <w:szCs w:val="24"/>
              </w:rPr>
              <w:t>ta</w:t>
            </w:r>
            <w:r w:rsidRPr="000E79FF">
              <w:rPr>
                <w:szCs w:val="24"/>
              </w:rPr>
              <w:t>tions adop</w:t>
            </w:r>
            <w:r w:rsidR="00635C35">
              <w:rPr>
                <w:szCs w:val="24"/>
              </w:rPr>
              <w:t>tées par le Comité au titre du p</w:t>
            </w:r>
            <w:r w:rsidRPr="000E79FF">
              <w:rPr>
                <w:szCs w:val="24"/>
              </w:rPr>
              <w:t xml:space="preserve">remier Protocole facultatif seraient un motif de réexamen </w:t>
            </w:r>
            <w:r>
              <w:rPr>
                <w:szCs w:val="24"/>
              </w:rPr>
              <w:t xml:space="preserve">des décisions nationales, </w:t>
            </w:r>
            <w:r w:rsidRPr="000E79FF">
              <w:rPr>
                <w:szCs w:val="24"/>
              </w:rPr>
              <w:t xml:space="preserve">et </w:t>
            </w:r>
            <w:r>
              <w:rPr>
                <w:szCs w:val="24"/>
              </w:rPr>
              <w:t>d’apporter</w:t>
            </w:r>
            <w:r w:rsidRPr="000E79FF">
              <w:rPr>
                <w:szCs w:val="24"/>
              </w:rPr>
              <w:t xml:space="preserve"> des précisions sur la nature de l</w:t>
            </w:r>
            <w:r>
              <w:rPr>
                <w:szCs w:val="24"/>
              </w:rPr>
              <w:t>’</w:t>
            </w:r>
            <w:r w:rsidRPr="000E79FF">
              <w:rPr>
                <w:szCs w:val="24"/>
              </w:rPr>
              <w:t>examen effectué par la Cour suprême et les résultats possibles, ainsi que sur toute autre mesure visant à mettre en œuvre les recommandations du Comité.</w:t>
            </w:r>
            <w:r>
              <w:rPr>
                <w:szCs w:val="24"/>
              </w:rPr>
              <w:t xml:space="preserve"> Le Comité réitère sa recommandation.</w:t>
            </w:r>
          </w:p>
        </w:tc>
      </w:tr>
      <w:tr w:rsidR="00231AA4" w:rsidRPr="00E2006A" w:rsidTr="00A40835">
        <w:tc>
          <w:tcPr>
            <w:tcW w:w="7370" w:type="dxa"/>
            <w:gridSpan w:val="2"/>
            <w:shd w:val="clear" w:color="auto" w:fill="auto"/>
          </w:tcPr>
          <w:p w:rsidR="00231AA4" w:rsidRPr="006C6228" w:rsidRDefault="00231AA4" w:rsidP="00A40835">
            <w:pPr>
              <w:spacing w:before="40" w:after="120"/>
              <w:ind w:right="113"/>
              <w:rPr>
                <w:b/>
                <w:szCs w:val="24"/>
              </w:rPr>
            </w:pPr>
            <w:r w:rsidRPr="006C6228">
              <w:rPr>
                <w:b/>
                <w:szCs w:val="24"/>
              </w:rPr>
              <w:t>Paragraphe 10</w:t>
            </w:r>
          </w:p>
        </w:tc>
      </w:tr>
      <w:tr w:rsidR="00231AA4" w:rsidRPr="00E2006A" w:rsidTr="00A40835">
        <w:tc>
          <w:tcPr>
            <w:tcW w:w="7370" w:type="dxa"/>
            <w:gridSpan w:val="2"/>
            <w:shd w:val="clear" w:color="auto" w:fill="auto"/>
          </w:tcPr>
          <w:p w:rsidR="00231AA4" w:rsidRPr="006C6228" w:rsidRDefault="00231AA4" w:rsidP="000A2B9D">
            <w:pPr>
              <w:spacing w:before="40" w:after="120"/>
              <w:ind w:right="113"/>
              <w:jc w:val="both"/>
              <w:rPr>
                <w:b/>
                <w:szCs w:val="24"/>
              </w:rPr>
            </w:pPr>
            <w:r w:rsidRPr="006C6228">
              <w:rPr>
                <w:b/>
                <w:szCs w:val="24"/>
              </w:rPr>
              <w:t>Le Comité reconnaît la diversité des cultures et des valeurs morales dans le monde, mais rappelle que tous les États parties sont toujours subordonnés aux principes de l</w:t>
            </w:r>
            <w:r>
              <w:rPr>
                <w:b/>
                <w:szCs w:val="24"/>
              </w:rPr>
              <w:t>’</w:t>
            </w:r>
            <w:r w:rsidRPr="006C6228">
              <w:rPr>
                <w:b/>
                <w:szCs w:val="24"/>
              </w:rPr>
              <w:t>universalité des droits de l</w:t>
            </w:r>
            <w:r>
              <w:rPr>
                <w:b/>
                <w:szCs w:val="24"/>
              </w:rPr>
              <w:t>’</w:t>
            </w:r>
            <w:r w:rsidRPr="006C6228">
              <w:rPr>
                <w:b/>
                <w:szCs w:val="24"/>
              </w:rPr>
              <w:t>homme et de la non-discrimination. L</w:t>
            </w:r>
            <w:r>
              <w:rPr>
                <w:b/>
                <w:szCs w:val="24"/>
              </w:rPr>
              <w:t>’</w:t>
            </w:r>
            <w:r w:rsidRPr="006C6228">
              <w:rPr>
                <w:b/>
                <w:szCs w:val="24"/>
              </w:rPr>
              <w:t>État partie devrait donc faire savoir clairement et officiellement qu</w:t>
            </w:r>
            <w:r>
              <w:rPr>
                <w:b/>
                <w:szCs w:val="24"/>
              </w:rPr>
              <w:t>’</w:t>
            </w:r>
            <w:r w:rsidRPr="006C6228">
              <w:rPr>
                <w:b/>
                <w:szCs w:val="24"/>
              </w:rPr>
              <w:t>il ne tolère aucune forme de stigmatisation sociale de l</w:t>
            </w:r>
            <w:r>
              <w:rPr>
                <w:b/>
                <w:szCs w:val="24"/>
              </w:rPr>
              <w:t>’</w:t>
            </w:r>
            <w:r w:rsidRPr="006C6228">
              <w:rPr>
                <w:b/>
                <w:szCs w:val="24"/>
              </w:rPr>
              <w:t>homosexualité, de la bisexualité ou de la transsexualité, ni aucun discours haineux ou acte de discrimination ou de violence qui viserait une personne en raison de son orientation sexuelle ou de son identité de genre. L</w:t>
            </w:r>
            <w:r>
              <w:rPr>
                <w:b/>
                <w:szCs w:val="24"/>
              </w:rPr>
              <w:t>’</w:t>
            </w:r>
            <w:r w:rsidRPr="006C6228">
              <w:rPr>
                <w:b/>
                <w:szCs w:val="24"/>
              </w:rPr>
              <w:t>État partie devrait assurer une protection efficace aux lesbiennes, gays, bisexuels et transgenres et veiller à ce que tout acte de violence motivé par l</w:t>
            </w:r>
            <w:r>
              <w:rPr>
                <w:b/>
                <w:szCs w:val="24"/>
              </w:rPr>
              <w:t>’</w:t>
            </w:r>
            <w:r w:rsidRPr="006C6228">
              <w:rPr>
                <w:b/>
                <w:szCs w:val="24"/>
              </w:rPr>
              <w:t>orientation sexuelle ou l</w:t>
            </w:r>
            <w:r>
              <w:rPr>
                <w:b/>
                <w:szCs w:val="24"/>
              </w:rPr>
              <w:t>’</w:t>
            </w:r>
            <w:r w:rsidRPr="006C6228">
              <w:rPr>
                <w:b/>
                <w:szCs w:val="24"/>
              </w:rPr>
              <w:t>identité de genre de la victime fasse l</w:t>
            </w:r>
            <w:r>
              <w:rPr>
                <w:b/>
                <w:szCs w:val="24"/>
              </w:rPr>
              <w:t>’</w:t>
            </w:r>
            <w:r w:rsidRPr="006C6228">
              <w:rPr>
                <w:b/>
                <w:szCs w:val="24"/>
              </w:rPr>
              <w:t>objet d</w:t>
            </w:r>
            <w:r>
              <w:rPr>
                <w:b/>
                <w:szCs w:val="24"/>
              </w:rPr>
              <w:t>’</w:t>
            </w:r>
            <w:r w:rsidRPr="006C6228">
              <w:rPr>
                <w:b/>
                <w:szCs w:val="24"/>
              </w:rPr>
              <w:t>une enquête et à ce que les responsables soient poursuivis et sanctionnés. Il devrait également prendre toutes les mesures nécessaires pour garantir dans la pratique l</w:t>
            </w:r>
            <w:r>
              <w:rPr>
                <w:b/>
                <w:szCs w:val="24"/>
              </w:rPr>
              <w:t>’</w:t>
            </w:r>
            <w:r w:rsidRPr="006C6228">
              <w:rPr>
                <w:b/>
                <w:szCs w:val="24"/>
              </w:rPr>
              <w:t>exercice des droits à la liberté d</w:t>
            </w:r>
            <w:r>
              <w:rPr>
                <w:b/>
                <w:szCs w:val="24"/>
              </w:rPr>
              <w:t>’</w:t>
            </w:r>
            <w:r w:rsidRPr="006C6228">
              <w:rPr>
                <w:b/>
                <w:szCs w:val="24"/>
              </w:rPr>
              <w:t xml:space="preserve">expression et de réunion des </w:t>
            </w:r>
            <w:r>
              <w:rPr>
                <w:b/>
                <w:szCs w:val="24"/>
              </w:rPr>
              <w:t>lesbiennes, gays, bisexuels et transgenres</w:t>
            </w:r>
            <w:r w:rsidRPr="006C6228">
              <w:rPr>
                <w:b/>
                <w:szCs w:val="24"/>
              </w:rPr>
              <w:t xml:space="preserve"> et des défenseurs de leurs droits. L</w:t>
            </w:r>
            <w:r>
              <w:rPr>
                <w:b/>
                <w:szCs w:val="24"/>
              </w:rPr>
              <w:t>’</w:t>
            </w:r>
            <w:r w:rsidRPr="006C6228">
              <w:rPr>
                <w:b/>
                <w:szCs w:val="24"/>
              </w:rPr>
              <w:t>État partie devrait en outre modifier l</w:t>
            </w:r>
            <w:r>
              <w:rPr>
                <w:b/>
                <w:szCs w:val="24"/>
              </w:rPr>
              <w:t>’</w:t>
            </w:r>
            <w:r w:rsidRPr="006C6228">
              <w:rPr>
                <w:b/>
                <w:szCs w:val="24"/>
              </w:rPr>
              <w:t xml:space="preserve">ordonnance </w:t>
            </w:r>
            <w:r w:rsidRPr="006C6228">
              <w:rPr>
                <w:rFonts w:eastAsia="MS Mincho"/>
                <w:b/>
                <w:szCs w:val="24"/>
              </w:rPr>
              <w:t>n</w:t>
            </w:r>
            <w:r w:rsidRPr="006C6228">
              <w:rPr>
                <w:rFonts w:eastAsia="MS Mincho"/>
                <w:b/>
                <w:szCs w:val="24"/>
                <w:vertAlign w:val="superscript"/>
              </w:rPr>
              <w:t>o</w:t>
            </w:r>
            <w:r w:rsidRPr="006C6228">
              <w:rPr>
                <w:b/>
                <w:szCs w:val="24"/>
              </w:rPr>
              <w:t> 60 et d</w:t>
            </w:r>
            <w:r>
              <w:rPr>
                <w:b/>
                <w:szCs w:val="24"/>
              </w:rPr>
              <w:t>’</w:t>
            </w:r>
            <w:r w:rsidRPr="006C6228">
              <w:rPr>
                <w:b/>
                <w:szCs w:val="24"/>
              </w:rPr>
              <w:t>autres lois et règlements en vue</w:t>
            </w:r>
            <w:r w:rsidR="00A40835">
              <w:rPr>
                <w:b/>
                <w:szCs w:val="24"/>
              </w:rPr>
              <w:t> :</w:t>
            </w:r>
            <w:r w:rsidRPr="006C6228">
              <w:rPr>
                <w:b/>
                <w:szCs w:val="24"/>
              </w:rPr>
              <w:t xml:space="preserve"> 1)</w:t>
            </w:r>
            <w:r w:rsidR="000A2B9D">
              <w:rPr>
                <w:b/>
                <w:szCs w:val="24"/>
              </w:rPr>
              <w:t> </w:t>
            </w:r>
            <w:r w:rsidRPr="006C6228">
              <w:rPr>
                <w:b/>
                <w:szCs w:val="24"/>
              </w:rPr>
              <w:t>de remplacer le placement obligatoire des personnes pour qui il faut procéder à un changement (réassignation) de sexe dans un établissement psychiatrique pour une période pouvant aller jusqu</w:t>
            </w:r>
            <w:r>
              <w:rPr>
                <w:b/>
                <w:szCs w:val="24"/>
              </w:rPr>
              <w:t>’</w:t>
            </w:r>
            <w:r w:rsidRPr="006C6228">
              <w:rPr>
                <w:b/>
                <w:szCs w:val="24"/>
              </w:rPr>
              <w:t>à quarante-cinq jours par une autre mesure moins intrusive</w:t>
            </w:r>
            <w:r w:rsidR="00A40835">
              <w:rPr>
                <w:b/>
                <w:szCs w:val="24"/>
              </w:rPr>
              <w:t> ;</w:t>
            </w:r>
            <w:r w:rsidRPr="006C6228">
              <w:rPr>
                <w:b/>
                <w:szCs w:val="24"/>
              </w:rPr>
              <w:t xml:space="preserve"> 2)</w:t>
            </w:r>
            <w:r w:rsidR="000A2B9D">
              <w:rPr>
                <w:b/>
                <w:szCs w:val="24"/>
              </w:rPr>
              <w:t> </w:t>
            </w:r>
            <w:r w:rsidRPr="006C6228">
              <w:rPr>
                <w:b/>
                <w:szCs w:val="24"/>
              </w:rPr>
              <w:t>de faire en sorte que tout traitement médical soit dispensé dans l</w:t>
            </w:r>
            <w:r>
              <w:rPr>
                <w:b/>
                <w:szCs w:val="24"/>
              </w:rPr>
              <w:t>’</w:t>
            </w:r>
            <w:r w:rsidRPr="006C6228">
              <w:rPr>
                <w:b/>
                <w:szCs w:val="24"/>
              </w:rPr>
              <w:t>intérêt de la personne concernée et avec son consentement, soit limité aux actes médicaux strictement nécessaires et soit conforme aux souhaits de cette personne et adapté à ses besoins médicaux particuliers et à sa situation</w:t>
            </w:r>
            <w:r w:rsidR="00A40835">
              <w:rPr>
                <w:b/>
                <w:szCs w:val="24"/>
              </w:rPr>
              <w:t> ;</w:t>
            </w:r>
            <w:r w:rsidRPr="006C6228">
              <w:rPr>
                <w:b/>
                <w:szCs w:val="24"/>
              </w:rPr>
              <w:t xml:space="preserve"> 3)</w:t>
            </w:r>
            <w:r w:rsidR="000A2B9D">
              <w:rPr>
                <w:b/>
                <w:szCs w:val="24"/>
              </w:rPr>
              <w:t> </w:t>
            </w:r>
            <w:r w:rsidRPr="006C6228">
              <w:rPr>
                <w:b/>
                <w:szCs w:val="24"/>
              </w:rPr>
              <w:t>de supprimer toute condition abusive ou disproportionnée liée à la reconnaissance juridique d</w:t>
            </w:r>
            <w:r>
              <w:rPr>
                <w:b/>
                <w:szCs w:val="24"/>
              </w:rPr>
              <w:t>’</w:t>
            </w:r>
            <w:r w:rsidRPr="006C6228">
              <w:rPr>
                <w:b/>
                <w:szCs w:val="24"/>
              </w:rPr>
              <w:t>un changement de sexe. Enfin, le Comité engage instamment l</w:t>
            </w:r>
            <w:r>
              <w:rPr>
                <w:b/>
                <w:szCs w:val="24"/>
              </w:rPr>
              <w:t>’</w:t>
            </w:r>
            <w:r w:rsidRPr="006C6228">
              <w:rPr>
                <w:b/>
                <w:szCs w:val="24"/>
              </w:rPr>
              <w:t xml:space="preserve">État partie à faire en sorte que les deux projets de loi relative à « la propagande homosexuelle » ne soient pas adoptés. </w:t>
            </w:r>
          </w:p>
        </w:tc>
      </w:tr>
      <w:tr w:rsidR="00231AA4" w:rsidRPr="00E2006A" w:rsidTr="00A40835">
        <w:tc>
          <w:tcPr>
            <w:tcW w:w="7370" w:type="dxa"/>
            <w:gridSpan w:val="2"/>
            <w:shd w:val="clear" w:color="auto" w:fill="auto"/>
          </w:tcPr>
          <w:p w:rsidR="00231AA4" w:rsidRPr="00ED7792" w:rsidRDefault="00231AA4" w:rsidP="00A40835">
            <w:pPr>
              <w:spacing w:before="40" w:after="120"/>
              <w:ind w:right="113"/>
              <w:rPr>
                <w:b/>
                <w:szCs w:val="24"/>
              </w:rPr>
            </w:pPr>
            <w:r w:rsidRPr="00ED7792">
              <w:rPr>
                <w:b/>
                <w:szCs w:val="24"/>
              </w:rPr>
              <w:t>Résumé de la réponse de l</w:t>
            </w:r>
            <w:r>
              <w:rPr>
                <w:b/>
                <w:szCs w:val="24"/>
              </w:rPr>
              <w:t>’</w:t>
            </w:r>
            <w:r w:rsidRPr="00ED7792">
              <w:rPr>
                <w:b/>
                <w:szCs w:val="24"/>
              </w:rPr>
              <w:t xml:space="preserve">État partie </w:t>
            </w:r>
          </w:p>
        </w:tc>
      </w:tr>
      <w:tr w:rsidR="00231AA4" w:rsidRPr="00E2006A" w:rsidTr="00A40835">
        <w:tc>
          <w:tcPr>
            <w:tcW w:w="7370" w:type="dxa"/>
            <w:gridSpan w:val="2"/>
            <w:shd w:val="clear" w:color="auto" w:fill="auto"/>
          </w:tcPr>
          <w:p w:rsidR="00231AA4" w:rsidRPr="00ED7792" w:rsidRDefault="00231AA4" w:rsidP="000A2B9D">
            <w:pPr>
              <w:spacing w:before="40" w:after="120"/>
              <w:ind w:right="113"/>
              <w:jc w:val="both"/>
              <w:rPr>
                <w:szCs w:val="24"/>
              </w:rPr>
            </w:pPr>
            <w:r w:rsidRPr="00ED7792">
              <w:rPr>
                <w:szCs w:val="24"/>
              </w:rPr>
              <w:t>L</w:t>
            </w:r>
            <w:r>
              <w:rPr>
                <w:szCs w:val="24"/>
              </w:rPr>
              <w:t>’</w:t>
            </w:r>
            <w:r w:rsidRPr="00ED7792">
              <w:rPr>
                <w:szCs w:val="24"/>
              </w:rPr>
              <w:t>État partie décrit son cadre juridique de lutte contre la discrimination, notamment l</w:t>
            </w:r>
            <w:r>
              <w:rPr>
                <w:szCs w:val="24"/>
              </w:rPr>
              <w:t>’</w:t>
            </w:r>
            <w:r w:rsidRPr="00ED7792">
              <w:rPr>
                <w:szCs w:val="24"/>
              </w:rPr>
              <w:t>article</w:t>
            </w:r>
            <w:r w:rsidR="000A2B9D">
              <w:rPr>
                <w:szCs w:val="24"/>
              </w:rPr>
              <w:t> </w:t>
            </w:r>
            <w:r w:rsidRPr="00ED7792">
              <w:rPr>
                <w:szCs w:val="24"/>
              </w:rPr>
              <w:t>24 de la Constitution, la loi portant modification de textes législatifs visant à prévenir et à combattre la discrimination (30</w:t>
            </w:r>
            <w:r>
              <w:rPr>
                <w:szCs w:val="24"/>
              </w:rPr>
              <w:t> </w:t>
            </w:r>
            <w:r w:rsidRPr="00ED7792">
              <w:rPr>
                <w:szCs w:val="24"/>
              </w:rPr>
              <w:t>mai 2014) et la loi relative aux principes de prévention et de répression de la discrimination (4</w:t>
            </w:r>
            <w:r w:rsidR="000A2B9D">
              <w:rPr>
                <w:szCs w:val="24"/>
              </w:rPr>
              <w:t> </w:t>
            </w:r>
            <w:r w:rsidRPr="00ED7792">
              <w:rPr>
                <w:szCs w:val="24"/>
              </w:rPr>
              <w:t>octobre 2014). Il met en lumière les définitions des formes interdites de discrimination, les peines encourues en cas de violation et les moyens de recours mis à la disposition des victimes, la modification de l</w:t>
            </w:r>
            <w:r>
              <w:rPr>
                <w:szCs w:val="24"/>
              </w:rPr>
              <w:t>’</w:t>
            </w:r>
            <w:r w:rsidRPr="00ED7792">
              <w:rPr>
                <w:szCs w:val="24"/>
              </w:rPr>
              <w:t>article</w:t>
            </w:r>
            <w:r w:rsidR="000A2B9D">
              <w:rPr>
                <w:szCs w:val="24"/>
              </w:rPr>
              <w:t> </w:t>
            </w:r>
            <w:r w:rsidRPr="00ED7792">
              <w:rPr>
                <w:szCs w:val="24"/>
              </w:rPr>
              <w:t>60 du Code de procédure civile concernant le principe de partage de la charge de la preuve dans les affaires de discrimination et les peines prévues à l</w:t>
            </w:r>
            <w:r>
              <w:rPr>
                <w:szCs w:val="24"/>
              </w:rPr>
              <w:t>’</w:t>
            </w:r>
            <w:r w:rsidRPr="00ED7792">
              <w:rPr>
                <w:szCs w:val="24"/>
              </w:rPr>
              <w:t>article</w:t>
            </w:r>
            <w:r w:rsidR="000A2B9D">
              <w:rPr>
                <w:szCs w:val="24"/>
              </w:rPr>
              <w:t> </w:t>
            </w:r>
            <w:r w:rsidRPr="00ED7792">
              <w:rPr>
                <w:szCs w:val="24"/>
              </w:rPr>
              <w:t>161 du Code pénal pour violation du droit à l</w:t>
            </w:r>
            <w:r>
              <w:rPr>
                <w:szCs w:val="24"/>
              </w:rPr>
              <w:t>’</w:t>
            </w:r>
            <w:r w:rsidRPr="00ED7792">
              <w:rPr>
                <w:szCs w:val="24"/>
              </w:rPr>
              <w:t>égalité de traitement au motif de la race, de l</w:t>
            </w:r>
            <w:r>
              <w:rPr>
                <w:szCs w:val="24"/>
              </w:rPr>
              <w:t>’</w:t>
            </w:r>
            <w:r w:rsidRPr="00ED7792">
              <w:rPr>
                <w:szCs w:val="24"/>
              </w:rPr>
              <w:t xml:space="preserve">appartenance ethnique ou de la religion. </w:t>
            </w:r>
          </w:p>
        </w:tc>
      </w:tr>
      <w:tr w:rsidR="00231AA4" w:rsidRPr="00E2006A" w:rsidTr="00A40835">
        <w:tc>
          <w:tcPr>
            <w:tcW w:w="7370" w:type="dxa"/>
            <w:gridSpan w:val="2"/>
            <w:shd w:val="clear" w:color="auto" w:fill="auto"/>
          </w:tcPr>
          <w:p w:rsidR="00231AA4" w:rsidRPr="00274023" w:rsidRDefault="00231AA4" w:rsidP="00242330">
            <w:pPr>
              <w:spacing w:before="40" w:after="120"/>
              <w:ind w:right="113"/>
              <w:jc w:val="both"/>
              <w:rPr>
                <w:szCs w:val="24"/>
              </w:rPr>
            </w:pPr>
            <w:r w:rsidRPr="00274023">
              <w:rPr>
                <w:szCs w:val="24"/>
              </w:rPr>
              <w:lastRenderedPageBreak/>
              <w:t>L</w:t>
            </w:r>
            <w:r>
              <w:rPr>
                <w:szCs w:val="24"/>
              </w:rPr>
              <w:t>’</w:t>
            </w:r>
            <w:r w:rsidRPr="00274023">
              <w:rPr>
                <w:szCs w:val="24"/>
              </w:rPr>
              <w:t xml:space="preserve">ordonnance </w:t>
            </w:r>
            <w:r w:rsidRPr="00274023">
              <w:rPr>
                <w:rFonts w:eastAsia="MS Mincho"/>
                <w:szCs w:val="24"/>
              </w:rPr>
              <w:t>n</w:t>
            </w:r>
            <w:r w:rsidRPr="00274023">
              <w:rPr>
                <w:rFonts w:eastAsia="MS Mincho"/>
                <w:szCs w:val="24"/>
                <w:vertAlign w:val="superscript"/>
              </w:rPr>
              <w:t>o</w:t>
            </w:r>
            <w:r w:rsidRPr="00274023">
              <w:rPr>
                <w:szCs w:val="24"/>
              </w:rPr>
              <w:t> 60 du Ministère de la santé en date du 3</w:t>
            </w:r>
            <w:r>
              <w:rPr>
                <w:szCs w:val="24"/>
              </w:rPr>
              <w:t> </w:t>
            </w:r>
            <w:r w:rsidRPr="00274023">
              <w:rPr>
                <w:szCs w:val="24"/>
              </w:rPr>
              <w:t xml:space="preserve">février 2011 relative </w:t>
            </w:r>
            <w:r>
              <w:rPr>
                <w:szCs w:val="24"/>
              </w:rPr>
              <w:t>à l’amélioration des</w:t>
            </w:r>
            <w:r w:rsidRPr="00274023">
              <w:rPr>
                <w:szCs w:val="24"/>
              </w:rPr>
              <w:t xml:space="preserve"> soins médicaux dispensés aux personnes qui demandent un changement de sexe (réassignation) sera modifiée pour tenir compte des préoccupations du Comité. </w:t>
            </w:r>
          </w:p>
        </w:tc>
      </w:tr>
      <w:tr w:rsidR="00231AA4" w:rsidRPr="00E2006A" w:rsidTr="00A40835">
        <w:tc>
          <w:tcPr>
            <w:tcW w:w="7370" w:type="dxa"/>
            <w:gridSpan w:val="2"/>
            <w:shd w:val="clear" w:color="auto" w:fill="auto"/>
          </w:tcPr>
          <w:p w:rsidR="00231AA4" w:rsidRPr="00274023" w:rsidRDefault="00231AA4" w:rsidP="00242330">
            <w:pPr>
              <w:spacing w:before="40" w:after="120"/>
              <w:ind w:right="113"/>
              <w:jc w:val="both"/>
              <w:rPr>
                <w:szCs w:val="24"/>
              </w:rPr>
            </w:pPr>
            <w:r w:rsidRPr="00274023">
              <w:rPr>
                <w:szCs w:val="24"/>
              </w:rPr>
              <w:t>Le projet de loi relatif à l</w:t>
            </w:r>
            <w:r>
              <w:rPr>
                <w:szCs w:val="24"/>
              </w:rPr>
              <w:t>’</w:t>
            </w:r>
            <w:r w:rsidRPr="00274023">
              <w:rPr>
                <w:szCs w:val="24"/>
              </w:rPr>
              <w:t>interdiction de la propagande en faveur des relations homosexuelles auprès des enfants (</w:t>
            </w:r>
            <w:r w:rsidRPr="00274023">
              <w:rPr>
                <w:rFonts w:eastAsia="MS Mincho"/>
                <w:szCs w:val="24"/>
              </w:rPr>
              <w:t>n</w:t>
            </w:r>
            <w:r w:rsidRPr="00274023">
              <w:rPr>
                <w:rFonts w:eastAsia="MS Mincho"/>
                <w:szCs w:val="24"/>
                <w:vertAlign w:val="superscript"/>
              </w:rPr>
              <w:t>o</w:t>
            </w:r>
            <w:r w:rsidRPr="00274023">
              <w:rPr>
                <w:szCs w:val="24"/>
              </w:rPr>
              <w:t> 1155) et le projet de loi introduisant des modifications à la protection des droits de l</w:t>
            </w:r>
            <w:r>
              <w:rPr>
                <w:szCs w:val="24"/>
              </w:rPr>
              <w:t>’</w:t>
            </w:r>
            <w:r w:rsidRPr="00274023">
              <w:rPr>
                <w:szCs w:val="24"/>
              </w:rPr>
              <w:t>enfant dans un environnement informatique sûr (</w:t>
            </w:r>
            <w:r w:rsidRPr="00274023">
              <w:rPr>
                <w:rFonts w:eastAsia="MS Mincho"/>
                <w:szCs w:val="24"/>
              </w:rPr>
              <w:t>n</w:t>
            </w:r>
            <w:r w:rsidRPr="00274023">
              <w:rPr>
                <w:rFonts w:eastAsia="MS Mincho"/>
                <w:szCs w:val="24"/>
                <w:vertAlign w:val="superscript"/>
              </w:rPr>
              <w:t>o</w:t>
            </w:r>
            <w:r w:rsidRPr="00274023">
              <w:rPr>
                <w:szCs w:val="24"/>
              </w:rPr>
              <w:t xml:space="preserve"> 0945) ont été retirés et ne seront plus examinés. </w:t>
            </w:r>
          </w:p>
        </w:tc>
      </w:tr>
      <w:tr w:rsidR="00231AA4" w:rsidRPr="002560B4" w:rsidTr="00A40835">
        <w:tc>
          <w:tcPr>
            <w:tcW w:w="7370" w:type="dxa"/>
            <w:gridSpan w:val="2"/>
            <w:shd w:val="clear" w:color="auto" w:fill="auto"/>
          </w:tcPr>
          <w:p w:rsidR="00231AA4" w:rsidRPr="000A2B9D" w:rsidRDefault="00231AA4" w:rsidP="00A40835">
            <w:pPr>
              <w:keepNext/>
              <w:keepLines/>
              <w:spacing w:before="40" w:after="120"/>
              <w:ind w:right="113"/>
              <w:rPr>
                <w:b/>
                <w:szCs w:val="24"/>
              </w:rPr>
            </w:pPr>
            <w:r w:rsidRPr="00274023">
              <w:rPr>
                <w:b/>
                <w:szCs w:val="24"/>
              </w:rPr>
              <w:t>Informations émanant d</w:t>
            </w:r>
            <w:r>
              <w:rPr>
                <w:b/>
                <w:szCs w:val="24"/>
              </w:rPr>
              <w:t>’</w:t>
            </w:r>
            <w:r w:rsidRPr="00274023">
              <w:rPr>
                <w:b/>
                <w:szCs w:val="24"/>
              </w:rPr>
              <w:t>organisations non gouvernementales</w:t>
            </w:r>
          </w:p>
        </w:tc>
      </w:tr>
      <w:tr w:rsidR="000A2B9D" w:rsidRPr="000A2B9D" w:rsidTr="00A40835">
        <w:tc>
          <w:tcPr>
            <w:tcW w:w="7370" w:type="dxa"/>
            <w:gridSpan w:val="2"/>
            <w:shd w:val="clear" w:color="auto" w:fill="auto"/>
          </w:tcPr>
          <w:p w:rsidR="000A2B9D" w:rsidRPr="000A2B9D" w:rsidRDefault="000A2B9D" w:rsidP="00A40835">
            <w:pPr>
              <w:keepNext/>
              <w:keepLines/>
              <w:spacing w:before="40" w:after="120"/>
              <w:ind w:right="113"/>
              <w:rPr>
                <w:b/>
                <w:szCs w:val="24"/>
                <w:lang w:val="en-US"/>
              </w:rPr>
            </w:pPr>
            <w:r w:rsidRPr="000A2B9D">
              <w:rPr>
                <w:i/>
                <w:szCs w:val="24"/>
                <w:lang w:val="en-US"/>
              </w:rPr>
              <w:t>No Borders Project</w:t>
            </w:r>
            <w:r w:rsidRPr="000A2B9D">
              <w:rPr>
                <w:szCs w:val="24"/>
                <w:lang w:val="en-US"/>
              </w:rPr>
              <w:t xml:space="preserve"> et </w:t>
            </w:r>
            <w:r w:rsidRPr="000A2B9D">
              <w:rPr>
                <w:i/>
                <w:szCs w:val="24"/>
                <w:lang w:val="en-US"/>
              </w:rPr>
              <w:t>Human Rights House Foundation</w:t>
            </w:r>
          </w:p>
        </w:tc>
      </w:tr>
      <w:tr w:rsidR="00231AA4" w:rsidRPr="00E2006A" w:rsidTr="00A40835">
        <w:tc>
          <w:tcPr>
            <w:tcW w:w="7370" w:type="dxa"/>
            <w:gridSpan w:val="2"/>
            <w:shd w:val="clear" w:color="auto" w:fill="auto"/>
          </w:tcPr>
          <w:p w:rsidR="00231AA4" w:rsidRPr="00274023" w:rsidRDefault="00231AA4" w:rsidP="00242330">
            <w:pPr>
              <w:spacing w:before="40" w:after="120"/>
              <w:ind w:right="113"/>
              <w:jc w:val="both"/>
              <w:rPr>
                <w:szCs w:val="24"/>
              </w:rPr>
            </w:pPr>
            <w:r w:rsidRPr="00274023">
              <w:rPr>
                <w:szCs w:val="24"/>
              </w:rPr>
              <w:t xml:space="preserve">La discrimination, les propos haineux et les actes de violence visant </w:t>
            </w:r>
            <w:r>
              <w:rPr>
                <w:szCs w:val="24"/>
              </w:rPr>
              <w:t xml:space="preserve">les lesbiennes, gays, bisexuels et transgenres </w:t>
            </w:r>
            <w:r w:rsidRPr="00274023">
              <w:rPr>
                <w:szCs w:val="24"/>
              </w:rPr>
              <w:t>demeurent assez répandus et sont peu combattus parce que ces faits ne sont pas correctement qualifiés</w:t>
            </w:r>
            <w:r>
              <w:rPr>
                <w:szCs w:val="24"/>
              </w:rPr>
              <w:t xml:space="preserve"> sur le plan juridique</w:t>
            </w:r>
            <w:r w:rsidRPr="00274023">
              <w:rPr>
                <w:szCs w:val="24"/>
              </w:rPr>
              <w:t>, que les forces de l</w:t>
            </w:r>
            <w:r>
              <w:rPr>
                <w:szCs w:val="24"/>
              </w:rPr>
              <w:t>’</w:t>
            </w:r>
            <w:r w:rsidRPr="00274023">
              <w:rPr>
                <w:szCs w:val="24"/>
              </w:rPr>
              <w:t>ordre ne veulent pas ou ne peuvent pas enquêter et que de tels faits sont peu signalés, les victimes n</w:t>
            </w:r>
            <w:r>
              <w:rPr>
                <w:szCs w:val="24"/>
              </w:rPr>
              <w:t>’</w:t>
            </w:r>
            <w:r w:rsidRPr="00274023">
              <w:rPr>
                <w:szCs w:val="24"/>
              </w:rPr>
              <w:t>ayant pas confiance ou craignant de faire l</w:t>
            </w:r>
            <w:r>
              <w:rPr>
                <w:szCs w:val="24"/>
              </w:rPr>
              <w:t>’</w:t>
            </w:r>
            <w:r w:rsidRPr="00274023">
              <w:rPr>
                <w:szCs w:val="24"/>
              </w:rPr>
              <w:t>objet d</w:t>
            </w:r>
            <w:r>
              <w:rPr>
                <w:szCs w:val="24"/>
              </w:rPr>
              <w:t>’</w:t>
            </w:r>
            <w:r w:rsidRPr="00274023">
              <w:rPr>
                <w:szCs w:val="24"/>
              </w:rPr>
              <w:t xml:space="preserve">une nouvelle victimisation ou de voir leur orientation sexuelle dévoilée. </w:t>
            </w:r>
          </w:p>
        </w:tc>
      </w:tr>
      <w:tr w:rsidR="00231AA4" w:rsidRPr="00E2006A" w:rsidTr="00A40835">
        <w:tc>
          <w:tcPr>
            <w:tcW w:w="7370" w:type="dxa"/>
            <w:gridSpan w:val="2"/>
            <w:shd w:val="clear" w:color="auto" w:fill="auto"/>
          </w:tcPr>
          <w:p w:rsidR="00231AA4" w:rsidRPr="00274023" w:rsidRDefault="00231AA4" w:rsidP="000A2B9D">
            <w:pPr>
              <w:spacing w:before="40" w:after="120"/>
              <w:ind w:right="113"/>
              <w:jc w:val="both"/>
              <w:rPr>
                <w:szCs w:val="24"/>
              </w:rPr>
            </w:pPr>
            <w:r w:rsidRPr="00274023">
              <w:rPr>
                <w:szCs w:val="24"/>
              </w:rPr>
              <w:t>L</w:t>
            </w:r>
            <w:r>
              <w:rPr>
                <w:szCs w:val="24"/>
              </w:rPr>
              <w:t>’</w:t>
            </w:r>
            <w:r w:rsidRPr="00274023">
              <w:rPr>
                <w:szCs w:val="24"/>
              </w:rPr>
              <w:t xml:space="preserve">ordonnance </w:t>
            </w:r>
            <w:r w:rsidRPr="00274023">
              <w:rPr>
                <w:rFonts w:eastAsia="MS Mincho"/>
                <w:szCs w:val="24"/>
              </w:rPr>
              <w:t>n</w:t>
            </w:r>
            <w:r w:rsidRPr="00274023">
              <w:rPr>
                <w:rFonts w:eastAsia="MS Mincho"/>
                <w:szCs w:val="24"/>
                <w:vertAlign w:val="superscript"/>
              </w:rPr>
              <w:t>o</w:t>
            </w:r>
            <w:r w:rsidRPr="00274023">
              <w:rPr>
                <w:szCs w:val="24"/>
              </w:rPr>
              <w:t> 60 du Min</w:t>
            </w:r>
            <w:r>
              <w:rPr>
                <w:szCs w:val="24"/>
              </w:rPr>
              <w:t>istère de la santé en date du 3 </w:t>
            </w:r>
            <w:r w:rsidRPr="00274023">
              <w:rPr>
                <w:szCs w:val="24"/>
              </w:rPr>
              <w:t>février 2011 est toujours en vigueur, mais la durée maximale du placement dans un établissement aux fins d</w:t>
            </w:r>
            <w:r>
              <w:rPr>
                <w:szCs w:val="24"/>
              </w:rPr>
              <w:t>’</w:t>
            </w:r>
            <w:r w:rsidRPr="00274023">
              <w:rPr>
                <w:szCs w:val="24"/>
              </w:rPr>
              <w:t>examen psychiat</w:t>
            </w:r>
            <w:r>
              <w:rPr>
                <w:szCs w:val="24"/>
              </w:rPr>
              <w:t>rique a été ramenée de quarante</w:t>
            </w:r>
            <w:r>
              <w:rPr>
                <w:szCs w:val="24"/>
              </w:rPr>
              <w:noBreakHyphen/>
            </w:r>
            <w:r w:rsidRPr="00274023">
              <w:rPr>
                <w:szCs w:val="24"/>
              </w:rPr>
              <w:t>cinq jours à un mois. Le Plan d</w:t>
            </w:r>
            <w:r>
              <w:rPr>
                <w:szCs w:val="24"/>
              </w:rPr>
              <w:t>’</w:t>
            </w:r>
            <w:r w:rsidRPr="00274023">
              <w:rPr>
                <w:szCs w:val="24"/>
              </w:rPr>
              <w:t>action pour la mise en œuvre de la Stratégie nationale dans le domaine des droits de l</w:t>
            </w:r>
            <w:r>
              <w:rPr>
                <w:szCs w:val="24"/>
              </w:rPr>
              <w:t>’homme à l’horizon </w:t>
            </w:r>
            <w:r w:rsidRPr="00274023">
              <w:rPr>
                <w:szCs w:val="24"/>
              </w:rPr>
              <w:t>2020 prévoit l</w:t>
            </w:r>
            <w:r>
              <w:rPr>
                <w:szCs w:val="24"/>
              </w:rPr>
              <w:t>’</w:t>
            </w:r>
            <w:r w:rsidRPr="00274023">
              <w:rPr>
                <w:szCs w:val="24"/>
              </w:rPr>
              <w:t>élaboration et l</w:t>
            </w:r>
            <w:r>
              <w:rPr>
                <w:szCs w:val="24"/>
              </w:rPr>
              <w:t>’</w:t>
            </w:r>
            <w:r w:rsidRPr="00274023">
              <w:rPr>
                <w:szCs w:val="24"/>
              </w:rPr>
              <w:t>adoption, d</w:t>
            </w:r>
            <w:r>
              <w:rPr>
                <w:szCs w:val="24"/>
              </w:rPr>
              <w:t>’</w:t>
            </w:r>
            <w:r w:rsidRPr="00274023">
              <w:rPr>
                <w:szCs w:val="24"/>
              </w:rPr>
              <w:t xml:space="preserve">ici </w:t>
            </w:r>
            <w:r>
              <w:rPr>
                <w:szCs w:val="24"/>
              </w:rPr>
              <w:t>à</w:t>
            </w:r>
            <w:r w:rsidRPr="00274023">
              <w:rPr>
                <w:szCs w:val="24"/>
              </w:rPr>
              <w:t xml:space="preserve"> 2018, d</w:t>
            </w:r>
            <w:r>
              <w:rPr>
                <w:szCs w:val="24"/>
              </w:rPr>
              <w:t>’</w:t>
            </w:r>
            <w:r w:rsidRPr="00274023">
              <w:rPr>
                <w:szCs w:val="24"/>
              </w:rPr>
              <w:t>une nouvelle procédure pour la fourniture de soins médicaux aux personnes qui demandent un changement de sexe (réassignation) qui définirait clairement les aspects juridiques et médicaux. La</w:t>
            </w:r>
            <w:r w:rsidR="000A2B9D">
              <w:rPr>
                <w:szCs w:val="24"/>
              </w:rPr>
              <w:t> </w:t>
            </w:r>
            <w:r w:rsidRPr="00274023">
              <w:rPr>
                <w:szCs w:val="24"/>
              </w:rPr>
              <w:t>création du groupe de travail chargé de suivre la situation dans le pays et d</w:t>
            </w:r>
            <w:r>
              <w:rPr>
                <w:szCs w:val="24"/>
              </w:rPr>
              <w:t>’</w:t>
            </w:r>
            <w:r w:rsidRPr="00274023">
              <w:rPr>
                <w:szCs w:val="24"/>
              </w:rPr>
              <w:t xml:space="preserve">étudier la pratique internationale dans ce domaine est en </w:t>
            </w:r>
            <w:r>
              <w:rPr>
                <w:szCs w:val="24"/>
              </w:rPr>
              <w:t>cours</w:t>
            </w:r>
            <w:r w:rsidRPr="00274023">
              <w:rPr>
                <w:szCs w:val="24"/>
              </w:rPr>
              <w:t>.</w:t>
            </w:r>
          </w:p>
        </w:tc>
      </w:tr>
      <w:tr w:rsidR="00231AA4" w:rsidRPr="00E2006A" w:rsidTr="00A40835">
        <w:tc>
          <w:tcPr>
            <w:tcW w:w="7370" w:type="dxa"/>
            <w:gridSpan w:val="2"/>
            <w:shd w:val="clear" w:color="auto" w:fill="auto"/>
          </w:tcPr>
          <w:p w:rsidR="00231AA4" w:rsidRPr="00274023" w:rsidRDefault="00231AA4" w:rsidP="00100D75">
            <w:pPr>
              <w:spacing w:before="40" w:after="120"/>
              <w:ind w:right="113"/>
              <w:jc w:val="both"/>
              <w:rPr>
                <w:szCs w:val="24"/>
              </w:rPr>
            </w:pPr>
            <w:r w:rsidRPr="00274023">
              <w:rPr>
                <w:szCs w:val="24"/>
              </w:rPr>
              <w:t xml:space="preserve">Le projet de loi </w:t>
            </w:r>
            <w:r w:rsidRPr="00274023">
              <w:rPr>
                <w:rFonts w:eastAsia="MS Mincho"/>
                <w:szCs w:val="24"/>
              </w:rPr>
              <w:t>n</w:t>
            </w:r>
            <w:r w:rsidRPr="00274023">
              <w:rPr>
                <w:rFonts w:eastAsia="MS Mincho"/>
                <w:szCs w:val="24"/>
                <w:vertAlign w:val="superscript"/>
              </w:rPr>
              <w:t>o</w:t>
            </w:r>
            <w:r w:rsidRPr="00274023">
              <w:rPr>
                <w:szCs w:val="24"/>
              </w:rPr>
              <w:t> 1155 a été retiré le 15</w:t>
            </w:r>
            <w:r w:rsidR="00100D75">
              <w:rPr>
                <w:szCs w:val="24"/>
              </w:rPr>
              <w:t> </w:t>
            </w:r>
            <w:r w:rsidRPr="00274023">
              <w:rPr>
                <w:szCs w:val="24"/>
              </w:rPr>
              <w:t xml:space="preserve">avril 2014, et il a été suggéré de retirer également le projet de loi </w:t>
            </w:r>
            <w:r w:rsidRPr="00274023">
              <w:rPr>
                <w:rFonts w:eastAsia="MS Mincho"/>
                <w:szCs w:val="24"/>
              </w:rPr>
              <w:t>n</w:t>
            </w:r>
            <w:r w:rsidRPr="00274023">
              <w:rPr>
                <w:rFonts w:eastAsia="MS Mincho"/>
                <w:szCs w:val="24"/>
                <w:vertAlign w:val="superscript"/>
              </w:rPr>
              <w:t>o</w:t>
            </w:r>
            <w:r w:rsidRPr="00274023">
              <w:rPr>
                <w:szCs w:val="24"/>
              </w:rPr>
              <w:t> 0945.</w:t>
            </w:r>
          </w:p>
        </w:tc>
      </w:tr>
      <w:tr w:rsidR="00231AA4" w:rsidRPr="00E2006A" w:rsidTr="00A40835">
        <w:tc>
          <w:tcPr>
            <w:tcW w:w="7370" w:type="dxa"/>
            <w:gridSpan w:val="2"/>
            <w:shd w:val="clear" w:color="auto" w:fill="auto"/>
          </w:tcPr>
          <w:p w:rsidR="00231AA4" w:rsidRPr="00274023" w:rsidRDefault="00231AA4" w:rsidP="00242330">
            <w:pPr>
              <w:spacing w:before="40" w:after="120"/>
              <w:ind w:right="113"/>
              <w:jc w:val="both"/>
              <w:rPr>
                <w:szCs w:val="24"/>
              </w:rPr>
            </w:pPr>
            <w:r w:rsidRPr="00274023">
              <w:rPr>
                <w:szCs w:val="24"/>
              </w:rPr>
              <w:t>Parmi les mesures encourageantes qui ont été prises, on peut citer l</w:t>
            </w:r>
            <w:r>
              <w:rPr>
                <w:szCs w:val="24"/>
              </w:rPr>
              <w:t>’</w:t>
            </w:r>
            <w:r w:rsidRPr="00274023">
              <w:rPr>
                <w:szCs w:val="24"/>
              </w:rPr>
              <w:t>adoption, le 12 novembre 2015, d</w:t>
            </w:r>
            <w:r>
              <w:rPr>
                <w:szCs w:val="24"/>
              </w:rPr>
              <w:t>’</w:t>
            </w:r>
            <w:r w:rsidRPr="00274023">
              <w:rPr>
                <w:szCs w:val="24"/>
              </w:rPr>
              <w:t>une loi interdisant la discrimination au travail, au motif notamment de l</w:t>
            </w:r>
            <w:r>
              <w:rPr>
                <w:szCs w:val="24"/>
              </w:rPr>
              <w:t>’</w:t>
            </w:r>
            <w:r w:rsidRPr="00274023">
              <w:rPr>
                <w:szCs w:val="24"/>
              </w:rPr>
              <w:t>identité de genre et de l</w:t>
            </w:r>
            <w:r>
              <w:rPr>
                <w:szCs w:val="24"/>
              </w:rPr>
              <w:t>’</w:t>
            </w:r>
            <w:r w:rsidRPr="00274023">
              <w:rPr>
                <w:szCs w:val="24"/>
              </w:rPr>
              <w:t xml:space="preserve">orientation sexuelle. </w:t>
            </w:r>
          </w:p>
        </w:tc>
      </w:tr>
      <w:tr w:rsidR="00231AA4" w:rsidRPr="00E2006A" w:rsidTr="00A40835">
        <w:tc>
          <w:tcPr>
            <w:tcW w:w="7370" w:type="dxa"/>
            <w:gridSpan w:val="2"/>
            <w:shd w:val="clear" w:color="auto" w:fill="auto"/>
          </w:tcPr>
          <w:p w:rsidR="00231AA4" w:rsidRPr="00274023" w:rsidRDefault="00231AA4" w:rsidP="00A40835">
            <w:pPr>
              <w:spacing w:before="40" w:after="120"/>
              <w:ind w:right="113"/>
              <w:rPr>
                <w:b/>
                <w:szCs w:val="24"/>
              </w:rPr>
            </w:pPr>
            <w:r w:rsidRPr="00274023">
              <w:rPr>
                <w:b/>
                <w:szCs w:val="24"/>
              </w:rPr>
              <w:t xml:space="preserve">Évaluation du Comité </w:t>
            </w:r>
          </w:p>
        </w:tc>
      </w:tr>
      <w:tr w:rsidR="00231AA4" w:rsidRPr="00E2006A" w:rsidTr="00A40835">
        <w:tc>
          <w:tcPr>
            <w:tcW w:w="7370" w:type="dxa"/>
            <w:gridSpan w:val="2"/>
            <w:shd w:val="clear" w:color="auto" w:fill="auto"/>
          </w:tcPr>
          <w:p w:rsidR="00231AA4" w:rsidRPr="00274023" w:rsidRDefault="00231AA4" w:rsidP="00F9099E">
            <w:pPr>
              <w:spacing w:before="40" w:after="120"/>
              <w:ind w:right="113"/>
              <w:jc w:val="both"/>
              <w:rPr>
                <w:b/>
                <w:szCs w:val="24"/>
              </w:rPr>
            </w:pPr>
            <w:r w:rsidRPr="00274023">
              <w:rPr>
                <w:b/>
                <w:szCs w:val="24"/>
              </w:rPr>
              <w:t>[</w:t>
            </w:r>
            <w:r>
              <w:rPr>
                <w:b/>
                <w:szCs w:val="24"/>
              </w:rPr>
              <w:t>B</w:t>
            </w:r>
            <w:r w:rsidRPr="00274023">
              <w:rPr>
                <w:b/>
                <w:szCs w:val="24"/>
              </w:rPr>
              <w:t>]</w:t>
            </w:r>
            <w:r w:rsidR="00A40835">
              <w:rPr>
                <w:b/>
                <w:szCs w:val="24"/>
              </w:rPr>
              <w:t> :</w:t>
            </w:r>
            <w:r w:rsidRPr="00274023">
              <w:rPr>
                <w:b/>
                <w:szCs w:val="24"/>
              </w:rPr>
              <w:t xml:space="preserve"> </w:t>
            </w:r>
            <w:r w:rsidRPr="00274023">
              <w:rPr>
                <w:szCs w:val="24"/>
              </w:rPr>
              <w:t xml:space="preserve">Le Comité prend note avec satisfaction des informations </w:t>
            </w:r>
            <w:r>
              <w:rPr>
                <w:szCs w:val="24"/>
              </w:rPr>
              <w:t xml:space="preserve">transmises </w:t>
            </w:r>
            <w:r w:rsidRPr="00274023">
              <w:rPr>
                <w:szCs w:val="24"/>
              </w:rPr>
              <w:t>sur le cadre juridique de lutte contre la discrimination. Il regrette toutefois que l</w:t>
            </w:r>
            <w:r>
              <w:rPr>
                <w:szCs w:val="24"/>
              </w:rPr>
              <w:t>’</w:t>
            </w:r>
            <w:r w:rsidRPr="00274023">
              <w:rPr>
                <w:szCs w:val="24"/>
              </w:rPr>
              <w:t>État partie n</w:t>
            </w:r>
            <w:r>
              <w:rPr>
                <w:szCs w:val="24"/>
              </w:rPr>
              <w:t>’</w:t>
            </w:r>
            <w:r w:rsidRPr="00274023">
              <w:rPr>
                <w:szCs w:val="24"/>
              </w:rPr>
              <w:t>ait fourni aucune information précise sur la mise en œuvre de la recommandation qu</w:t>
            </w:r>
            <w:r>
              <w:rPr>
                <w:szCs w:val="24"/>
              </w:rPr>
              <w:t>’</w:t>
            </w:r>
            <w:r w:rsidRPr="00274023">
              <w:rPr>
                <w:szCs w:val="24"/>
              </w:rPr>
              <w:t xml:space="preserve">il lui a faite de combattre les propos haineux ou les actes de discrimination ou de violence visant les </w:t>
            </w:r>
            <w:r>
              <w:rPr>
                <w:szCs w:val="24"/>
              </w:rPr>
              <w:t>lesbiennes, gays, bisexuels et transgenres</w:t>
            </w:r>
            <w:r w:rsidRPr="00274023">
              <w:rPr>
                <w:szCs w:val="24"/>
              </w:rPr>
              <w:t>. Des renseignements sont donc requis sur les mesures prises pour</w:t>
            </w:r>
            <w:r w:rsidR="00A40835">
              <w:rPr>
                <w:szCs w:val="24"/>
              </w:rPr>
              <w:t> :</w:t>
            </w:r>
            <w:r w:rsidRPr="00274023">
              <w:rPr>
                <w:szCs w:val="24"/>
              </w:rPr>
              <w:t xml:space="preserve"> a) faire savoir clairement et officiellement que l</w:t>
            </w:r>
            <w:r>
              <w:rPr>
                <w:szCs w:val="24"/>
              </w:rPr>
              <w:t>’</w:t>
            </w:r>
            <w:r w:rsidRPr="00274023">
              <w:rPr>
                <w:szCs w:val="24"/>
              </w:rPr>
              <w:t>État ne tolère aucune forme de stigmatisation sociale de l</w:t>
            </w:r>
            <w:r>
              <w:rPr>
                <w:szCs w:val="24"/>
              </w:rPr>
              <w:t>’</w:t>
            </w:r>
            <w:r w:rsidRPr="00274023">
              <w:rPr>
                <w:szCs w:val="24"/>
              </w:rPr>
              <w:t>homosexualité, de la bisexualité ou de la transsexualité, ni aucun discours haineux ou acte de discrimination ou de violence qui viserait une personne en raison de son orientation sexuelle ou de son identité de genre</w:t>
            </w:r>
            <w:r w:rsidR="00A40835">
              <w:rPr>
                <w:szCs w:val="24"/>
              </w:rPr>
              <w:t> ;</w:t>
            </w:r>
            <w:r w:rsidRPr="00274023">
              <w:rPr>
                <w:szCs w:val="24"/>
              </w:rPr>
              <w:t xml:space="preserve"> b)</w:t>
            </w:r>
            <w:r w:rsidR="00F9099E">
              <w:rPr>
                <w:szCs w:val="24"/>
              </w:rPr>
              <w:t> </w:t>
            </w:r>
            <w:r w:rsidRPr="00274023">
              <w:rPr>
                <w:szCs w:val="24"/>
              </w:rPr>
              <w:t>dispenser aux agents des forces de l</w:t>
            </w:r>
            <w:r>
              <w:rPr>
                <w:szCs w:val="24"/>
              </w:rPr>
              <w:t>’</w:t>
            </w:r>
            <w:r w:rsidRPr="00274023">
              <w:rPr>
                <w:szCs w:val="24"/>
              </w:rPr>
              <w:t>ordre, aux procureurs et aux juges une formation spécifique sur la manière dont les actes de violence motivés par l</w:t>
            </w:r>
            <w:r>
              <w:rPr>
                <w:szCs w:val="24"/>
              </w:rPr>
              <w:t>’</w:t>
            </w:r>
            <w:r w:rsidRPr="00274023">
              <w:rPr>
                <w:szCs w:val="24"/>
              </w:rPr>
              <w:t>orientation sexuelle ou l</w:t>
            </w:r>
            <w:r>
              <w:rPr>
                <w:szCs w:val="24"/>
              </w:rPr>
              <w:t>’</w:t>
            </w:r>
            <w:r w:rsidRPr="00274023">
              <w:rPr>
                <w:szCs w:val="24"/>
              </w:rPr>
              <w:t>identité de genre doivent être traités</w:t>
            </w:r>
            <w:r w:rsidR="00A40835">
              <w:rPr>
                <w:szCs w:val="24"/>
              </w:rPr>
              <w:t> ;</w:t>
            </w:r>
            <w:r w:rsidRPr="00274023">
              <w:rPr>
                <w:szCs w:val="24"/>
              </w:rPr>
              <w:t xml:space="preserve"> c) enquêter sur les </w:t>
            </w:r>
            <w:r>
              <w:rPr>
                <w:szCs w:val="24"/>
              </w:rPr>
              <w:t xml:space="preserve">éventuels </w:t>
            </w:r>
            <w:r w:rsidRPr="00274023">
              <w:rPr>
                <w:szCs w:val="24"/>
              </w:rPr>
              <w:t>cas de discrimination, de propos haineux et d</w:t>
            </w:r>
            <w:r>
              <w:rPr>
                <w:szCs w:val="24"/>
              </w:rPr>
              <w:t>’</w:t>
            </w:r>
            <w:r w:rsidRPr="00274023">
              <w:rPr>
                <w:szCs w:val="24"/>
              </w:rPr>
              <w:t>actes de violence motivés par l</w:t>
            </w:r>
            <w:r>
              <w:rPr>
                <w:szCs w:val="24"/>
              </w:rPr>
              <w:t>’</w:t>
            </w:r>
            <w:r w:rsidRPr="00274023">
              <w:rPr>
                <w:szCs w:val="24"/>
              </w:rPr>
              <w:t>orientation sexuelle ou l</w:t>
            </w:r>
            <w:r>
              <w:rPr>
                <w:szCs w:val="24"/>
              </w:rPr>
              <w:t>’</w:t>
            </w:r>
            <w:r w:rsidRPr="00274023">
              <w:rPr>
                <w:szCs w:val="24"/>
              </w:rPr>
              <w:t>identité de genre et réprimer ces actes</w:t>
            </w:r>
            <w:r>
              <w:rPr>
                <w:szCs w:val="24"/>
              </w:rPr>
              <w:t>. F</w:t>
            </w:r>
            <w:r w:rsidRPr="00274023">
              <w:rPr>
                <w:szCs w:val="24"/>
              </w:rPr>
              <w:t>ournir à ce sujet les données statistiques depuis 2014</w:t>
            </w:r>
            <w:r w:rsidR="00A40835">
              <w:rPr>
                <w:szCs w:val="24"/>
              </w:rPr>
              <w:t> ;</w:t>
            </w:r>
            <w:r w:rsidRPr="00274023">
              <w:rPr>
                <w:szCs w:val="24"/>
              </w:rPr>
              <w:t xml:space="preserve"> d)</w:t>
            </w:r>
            <w:r w:rsidR="00F9099E">
              <w:rPr>
                <w:szCs w:val="24"/>
              </w:rPr>
              <w:t> </w:t>
            </w:r>
            <w:r w:rsidRPr="00274023">
              <w:rPr>
                <w:szCs w:val="24"/>
              </w:rPr>
              <w:t>garantir, dans la pratique, la liberté d</w:t>
            </w:r>
            <w:r>
              <w:rPr>
                <w:szCs w:val="24"/>
              </w:rPr>
              <w:t>’</w:t>
            </w:r>
            <w:r w:rsidRPr="00274023">
              <w:rPr>
                <w:szCs w:val="24"/>
              </w:rPr>
              <w:t>expression et d</w:t>
            </w:r>
            <w:r>
              <w:rPr>
                <w:szCs w:val="24"/>
              </w:rPr>
              <w:t xml:space="preserve">’association </w:t>
            </w:r>
            <w:r w:rsidRPr="00274023">
              <w:rPr>
                <w:szCs w:val="24"/>
              </w:rPr>
              <w:t xml:space="preserve">des </w:t>
            </w:r>
            <w:r>
              <w:rPr>
                <w:szCs w:val="24"/>
              </w:rPr>
              <w:t xml:space="preserve">lesbiennes, gays, bisexuels et transgenres </w:t>
            </w:r>
            <w:r w:rsidRPr="00274023">
              <w:rPr>
                <w:szCs w:val="24"/>
              </w:rPr>
              <w:t xml:space="preserve">et des défenseurs de leurs droits. </w:t>
            </w:r>
          </w:p>
        </w:tc>
      </w:tr>
      <w:tr w:rsidR="00231AA4" w:rsidRPr="00E2006A" w:rsidTr="00A40835">
        <w:tc>
          <w:tcPr>
            <w:tcW w:w="7370" w:type="dxa"/>
            <w:gridSpan w:val="2"/>
            <w:shd w:val="clear" w:color="auto" w:fill="auto"/>
          </w:tcPr>
          <w:p w:rsidR="00231AA4" w:rsidRPr="00274023" w:rsidRDefault="00231AA4" w:rsidP="00F9099E">
            <w:pPr>
              <w:spacing w:before="40" w:after="120"/>
              <w:ind w:right="113"/>
              <w:jc w:val="both"/>
              <w:rPr>
                <w:szCs w:val="24"/>
              </w:rPr>
            </w:pPr>
            <w:r w:rsidRPr="00274023">
              <w:rPr>
                <w:b/>
                <w:szCs w:val="24"/>
              </w:rPr>
              <w:t>[B]</w:t>
            </w:r>
            <w:r w:rsidR="00A40835">
              <w:rPr>
                <w:b/>
                <w:szCs w:val="24"/>
              </w:rPr>
              <w:t> :</w:t>
            </w:r>
            <w:r w:rsidRPr="00274023">
              <w:rPr>
                <w:b/>
                <w:szCs w:val="24"/>
              </w:rPr>
              <w:t xml:space="preserve"> </w:t>
            </w:r>
            <w:r w:rsidRPr="00274023">
              <w:rPr>
                <w:szCs w:val="24"/>
              </w:rPr>
              <w:t>Le Comité</w:t>
            </w:r>
            <w:r>
              <w:rPr>
                <w:szCs w:val="24"/>
              </w:rPr>
              <w:t xml:space="preserve"> salue l’interdiction expresse de la discrimination fondée sur l’orientation sexuelle et l’identité de genre </w:t>
            </w:r>
            <w:r w:rsidRPr="001729AC">
              <w:rPr>
                <w:szCs w:val="24"/>
              </w:rPr>
              <w:t>sur le lieu de travail qui a été introduite par la loi du 12</w:t>
            </w:r>
            <w:r w:rsidR="00F9099E">
              <w:rPr>
                <w:szCs w:val="24"/>
              </w:rPr>
              <w:t> </w:t>
            </w:r>
            <w:r w:rsidRPr="001729AC">
              <w:rPr>
                <w:szCs w:val="24"/>
              </w:rPr>
              <w:t>novembre 2015</w:t>
            </w:r>
            <w:r>
              <w:rPr>
                <w:szCs w:val="24"/>
              </w:rPr>
              <w:t xml:space="preserve">. Il </w:t>
            </w:r>
            <w:r w:rsidRPr="00274023">
              <w:rPr>
                <w:szCs w:val="24"/>
              </w:rPr>
              <w:t>demande des informations</w:t>
            </w:r>
            <w:r w:rsidRPr="00274023">
              <w:rPr>
                <w:b/>
                <w:szCs w:val="24"/>
              </w:rPr>
              <w:t xml:space="preserve"> </w:t>
            </w:r>
            <w:r w:rsidRPr="00274023">
              <w:rPr>
                <w:szCs w:val="24"/>
              </w:rPr>
              <w:t>supplémentaires sur</w:t>
            </w:r>
            <w:r w:rsidRPr="00274023">
              <w:rPr>
                <w:b/>
                <w:szCs w:val="24"/>
              </w:rPr>
              <w:t xml:space="preserve"> </w:t>
            </w:r>
            <w:r w:rsidRPr="00274023">
              <w:rPr>
                <w:szCs w:val="24"/>
              </w:rPr>
              <w:t>les progrès accomplis dans la modification de l</w:t>
            </w:r>
            <w:r>
              <w:rPr>
                <w:szCs w:val="24"/>
              </w:rPr>
              <w:t>’</w:t>
            </w:r>
            <w:r w:rsidRPr="00274023">
              <w:rPr>
                <w:szCs w:val="24"/>
              </w:rPr>
              <w:t xml:space="preserve">ordonnance </w:t>
            </w:r>
            <w:r w:rsidRPr="00274023">
              <w:rPr>
                <w:rFonts w:eastAsia="MS Mincho"/>
                <w:szCs w:val="24"/>
              </w:rPr>
              <w:t>n</w:t>
            </w:r>
            <w:r w:rsidRPr="00274023">
              <w:rPr>
                <w:rFonts w:eastAsia="MS Mincho"/>
                <w:szCs w:val="24"/>
                <w:vertAlign w:val="superscript"/>
              </w:rPr>
              <w:t>o</w:t>
            </w:r>
            <w:r w:rsidRPr="00274023">
              <w:rPr>
                <w:szCs w:val="24"/>
              </w:rPr>
              <w:t> 60 du Min</w:t>
            </w:r>
            <w:r>
              <w:rPr>
                <w:szCs w:val="24"/>
              </w:rPr>
              <w:t xml:space="preserve">istère de la santé en date du </w:t>
            </w:r>
            <w:r>
              <w:rPr>
                <w:szCs w:val="24"/>
              </w:rPr>
              <w:lastRenderedPageBreak/>
              <w:t>3 </w:t>
            </w:r>
            <w:r w:rsidRPr="00274023">
              <w:rPr>
                <w:szCs w:val="24"/>
              </w:rPr>
              <w:t xml:space="preserve">février 2011 relative </w:t>
            </w:r>
            <w:r>
              <w:rPr>
                <w:szCs w:val="24"/>
              </w:rPr>
              <w:t xml:space="preserve">à l’amélioration des </w:t>
            </w:r>
            <w:r w:rsidRPr="00274023">
              <w:rPr>
                <w:szCs w:val="24"/>
              </w:rPr>
              <w:t xml:space="preserve">soins médicaux dispensés aux personnes qui demandent un changement de sexe (réassignation), notamment en ce qui concerne le contenu des réglementations adoptées ou proposées et leur compatibilité avec le Pacte. </w:t>
            </w:r>
          </w:p>
        </w:tc>
      </w:tr>
      <w:tr w:rsidR="00231AA4" w:rsidRPr="00E2006A" w:rsidTr="00A40835">
        <w:tc>
          <w:tcPr>
            <w:tcW w:w="7370" w:type="dxa"/>
            <w:gridSpan w:val="2"/>
            <w:shd w:val="clear" w:color="auto" w:fill="auto"/>
          </w:tcPr>
          <w:p w:rsidR="00231AA4" w:rsidRPr="00274023" w:rsidRDefault="00231AA4" w:rsidP="00242330">
            <w:pPr>
              <w:spacing w:before="40" w:after="120"/>
              <w:ind w:right="113"/>
              <w:jc w:val="both"/>
              <w:rPr>
                <w:szCs w:val="24"/>
              </w:rPr>
            </w:pPr>
            <w:r w:rsidRPr="00274023">
              <w:rPr>
                <w:szCs w:val="24"/>
              </w:rPr>
              <w:lastRenderedPageBreak/>
              <w:t xml:space="preserve">Le Comité demande confirmation que le projet de loi </w:t>
            </w:r>
            <w:r w:rsidRPr="00274023">
              <w:rPr>
                <w:rFonts w:eastAsia="MS Mincho"/>
                <w:szCs w:val="24"/>
              </w:rPr>
              <w:t>n</w:t>
            </w:r>
            <w:r w:rsidRPr="00274023">
              <w:rPr>
                <w:rFonts w:eastAsia="MS Mincho"/>
                <w:szCs w:val="24"/>
                <w:vertAlign w:val="superscript"/>
              </w:rPr>
              <w:t>o</w:t>
            </w:r>
            <w:r w:rsidRPr="00274023">
              <w:rPr>
                <w:szCs w:val="24"/>
                <w:vertAlign w:val="superscript"/>
              </w:rPr>
              <w:t> </w:t>
            </w:r>
            <w:r w:rsidRPr="00274023">
              <w:rPr>
                <w:szCs w:val="24"/>
              </w:rPr>
              <w:t xml:space="preserve">0945 </w:t>
            </w:r>
            <w:r>
              <w:rPr>
                <w:szCs w:val="24"/>
              </w:rPr>
              <w:t>a</w:t>
            </w:r>
            <w:r w:rsidRPr="00274023">
              <w:rPr>
                <w:szCs w:val="24"/>
              </w:rPr>
              <w:t xml:space="preserve"> été retiré. </w:t>
            </w:r>
          </w:p>
        </w:tc>
      </w:tr>
      <w:tr w:rsidR="00231AA4" w:rsidRPr="00E2006A" w:rsidTr="00A40835">
        <w:tc>
          <w:tcPr>
            <w:tcW w:w="7370" w:type="dxa"/>
            <w:gridSpan w:val="2"/>
            <w:shd w:val="clear" w:color="auto" w:fill="auto"/>
          </w:tcPr>
          <w:p w:rsidR="00231AA4" w:rsidRPr="00274023" w:rsidRDefault="00231AA4" w:rsidP="00A40835">
            <w:pPr>
              <w:keepNext/>
              <w:keepLines/>
              <w:spacing w:before="40" w:after="120"/>
              <w:ind w:right="113"/>
              <w:rPr>
                <w:b/>
                <w:szCs w:val="24"/>
              </w:rPr>
            </w:pPr>
            <w:r w:rsidRPr="00274023">
              <w:rPr>
                <w:b/>
                <w:szCs w:val="24"/>
              </w:rPr>
              <w:t>Paragraphe 15</w:t>
            </w:r>
          </w:p>
        </w:tc>
      </w:tr>
      <w:tr w:rsidR="00231AA4" w:rsidRPr="00E2006A" w:rsidTr="00A40835">
        <w:tc>
          <w:tcPr>
            <w:tcW w:w="7370" w:type="dxa"/>
            <w:gridSpan w:val="2"/>
            <w:shd w:val="clear" w:color="auto" w:fill="auto"/>
          </w:tcPr>
          <w:p w:rsidR="00231AA4" w:rsidRPr="00274023" w:rsidRDefault="00231AA4" w:rsidP="00242330">
            <w:pPr>
              <w:spacing w:before="40" w:after="120"/>
              <w:ind w:right="113"/>
              <w:jc w:val="both"/>
              <w:rPr>
                <w:b/>
                <w:szCs w:val="24"/>
              </w:rPr>
            </w:pPr>
            <w:r w:rsidRPr="00274023">
              <w:rPr>
                <w:b/>
                <w:szCs w:val="24"/>
              </w:rPr>
              <w:t>L</w:t>
            </w:r>
            <w:r>
              <w:rPr>
                <w:b/>
                <w:szCs w:val="24"/>
              </w:rPr>
              <w:t>’</w:t>
            </w:r>
            <w:r w:rsidRPr="00274023">
              <w:rPr>
                <w:b/>
                <w:szCs w:val="24"/>
              </w:rPr>
              <w:t>État partie devrait renforcer les mesures visant à éliminer la pratique de la torture et des mauvais traitements, garantir que de tels actes fassent rapidement l</w:t>
            </w:r>
            <w:r>
              <w:rPr>
                <w:b/>
                <w:szCs w:val="24"/>
              </w:rPr>
              <w:t>’</w:t>
            </w:r>
            <w:r w:rsidRPr="00274023">
              <w:rPr>
                <w:b/>
                <w:szCs w:val="24"/>
              </w:rPr>
              <w:t>objet d</w:t>
            </w:r>
            <w:r>
              <w:rPr>
                <w:b/>
                <w:szCs w:val="24"/>
              </w:rPr>
              <w:t>’</w:t>
            </w:r>
            <w:r w:rsidRPr="00274023">
              <w:rPr>
                <w:b/>
                <w:szCs w:val="24"/>
              </w:rPr>
              <w:t>enquêtes approfondies et indépendantes, que les auteurs d</w:t>
            </w:r>
            <w:r>
              <w:rPr>
                <w:b/>
                <w:szCs w:val="24"/>
              </w:rPr>
              <w:t>’</w:t>
            </w:r>
            <w:r w:rsidRPr="00274023">
              <w:rPr>
                <w:b/>
                <w:szCs w:val="24"/>
              </w:rPr>
              <w:t>actes de torture et de mauvais traitements soient poursuivis et condamnés à des peines à la hauteur de la gravité des actes commis, et que les victimes aient accès à des recours efficaces, notamment une indemnisation appropriée. L</w:t>
            </w:r>
            <w:r>
              <w:rPr>
                <w:b/>
                <w:szCs w:val="24"/>
              </w:rPr>
              <w:t>’</w:t>
            </w:r>
            <w:r w:rsidRPr="00274023">
              <w:rPr>
                <w:b/>
                <w:szCs w:val="24"/>
              </w:rPr>
              <w:t>État partie devrait, à titre prioritaire, créer un mécanisme de plainte réellement indépendant chargé de traiter les cas de torture ou de mauvais traitements dénoncés. Il devrait également modifier son Code de procédure pénale pour rendre obligatoire l</w:t>
            </w:r>
            <w:r>
              <w:rPr>
                <w:b/>
                <w:szCs w:val="24"/>
              </w:rPr>
              <w:t>’</w:t>
            </w:r>
            <w:r w:rsidRPr="00274023">
              <w:rPr>
                <w:b/>
                <w:szCs w:val="24"/>
              </w:rPr>
              <w:t>enregistrement vidéo des interrogatoires et poursuivre ses efforts en vue d</w:t>
            </w:r>
            <w:r>
              <w:rPr>
                <w:b/>
                <w:szCs w:val="24"/>
              </w:rPr>
              <w:t>’</w:t>
            </w:r>
            <w:r w:rsidRPr="00274023">
              <w:rPr>
                <w:b/>
                <w:szCs w:val="24"/>
              </w:rPr>
              <w:t>équiper les lieux de privation de liberté de matériel d</w:t>
            </w:r>
            <w:r>
              <w:rPr>
                <w:b/>
                <w:szCs w:val="24"/>
              </w:rPr>
              <w:t>’</w:t>
            </w:r>
            <w:r w:rsidRPr="00274023">
              <w:rPr>
                <w:b/>
                <w:szCs w:val="24"/>
              </w:rPr>
              <w:t>enregistrement vidéo afin de décourager toute utilisation de la torture et des mauvais traitements.</w:t>
            </w:r>
          </w:p>
        </w:tc>
      </w:tr>
      <w:tr w:rsidR="00231AA4" w:rsidRPr="00E2006A" w:rsidTr="00A40835">
        <w:tc>
          <w:tcPr>
            <w:tcW w:w="7370" w:type="dxa"/>
            <w:gridSpan w:val="2"/>
            <w:shd w:val="clear" w:color="auto" w:fill="auto"/>
          </w:tcPr>
          <w:p w:rsidR="00231AA4" w:rsidRPr="00595BC9" w:rsidRDefault="00231AA4" w:rsidP="00A40835">
            <w:pPr>
              <w:spacing w:before="40" w:after="120"/>
              <w:ind w:right="113"/>
              <w:rPr>
                <w:b/>
                <w:szCs w:val="24"/>
              </w:rPr>
            </w:pPr>
            <w:r w:rsidRPr="00595BC9">
              <w:rPr>
                <w:b/>
                <w:szCs w:val="24"/>
              </w:rPr>
              <w:t>Résumé de la réponse de l</w:t>
            </w:r>
            <w:r>
              <w:rPr>
                <w:b/>
                <w:szCs w:val="24"/>
              </w:rPr>
              <w:t>’</w:t>
            </w:r>
            <w:r w:rsidRPr="00595BC9">
              <w:rPr>
                <w:b/>
                <w:szCs w:val="24"/>
              </w:rPr>
              <w:t>État partie</w:t>
            </w:r>
          </w:p>
        </w:tc>
      </w:tr>
      <w:tr w:rsidR="00231AA4" w:rsidRPr="00E2006A" w:rsidTr="00A40835">
        <w:tc>
          <w:tcPr>
            <w:tcW w:w="7370" w:type="dxa"/>
            <w:gridSpan w:val="2"/>
            <w:shd w:val="clear" w:color="auto" w:fill="auto"/>
          </w:tcPr>
          <w:p w:rsidR="00231AA4" w:rsidRPr="00595BC9" w:rsidRDefault="00231AA4" w:rsidP="001D1097">
            <w:pPr>
              <w:spacing w:before="40" w:after="120"/>
              <w:ind w:right="113"/>
              <w:jc w:val="both"/>
              <w:rPr>
                <w:szCs w:val="24"/>
              </w:rPr>
            </w:pPr>
            <w:r w:rsidRPr="00595BC9">
              <w:rPr>
                <w:szCs w:val="24"/>
              </w:rPr>
              <w:t>L</w:t>
            </w:r>
            <w:r>
              <w:rPr>
                <w:szCs w:val="24"/>
              </w:rPr>
              <w:t>’</w:t>
            </w:r>
            <w:r w:rsidRPr="00595BC9">
              <w:rPr>
                <w:szCs w:val="24"/>
              </w:rPr>
              <w:t>État partie renvoie à l</w:t>
            </w:r>
            <w:r>
              <w:rPr>
                <w:szCs w:val="24"/>
              </w:rPr>
              <w:t>’</w:t>
            </w:r>
            <w:r w:rsidRPr="00595BC9">
              <w:rPr>
                <w:szCs w:val="24"/>
              </w:rPr>
              <w:t>interdiction de la</w:t>
            </w:r>
            <w:r>
              <w:rPr>
                <w:szCs w:val="24"/>
              </w:rPr>
              <w:t xml:space="preserve"> torture énoncée à l’article </w:t>
            </w:r>
            <w:r w:rsidRPr="00595BC9">
              <w:rPr>
                <w:szCs w:val="24"/>
              </w:rPr>
              <w:t xml:space="preserve">28 de </w:t>
            </w:r>
            <w:r>
              <w:rPr>
                <w:szCs w:val="24"/>
              </w:rPr>
              <w:t>s</w:t>
            </w:r>
            <w:r w:rsidRPr="00595BC9">
              <w:rPr>
                <w:szCs w:val="24"/>
              </w:rPr>
              <w:t>a Constitution et donne des précisi</w:t>
            </w:r>
            <w:r>
              <w:rPr>
                <w:szCs w:val="24"/>
              </w:rPr>
              <w:t>ons sur le contenu de l’article </w:t>
            </w:r>
            <w:r w:rsidRPr="00595BC9">
              <w:rPr>
                <w:szCs w:val="24"/>
              </w:rPr>
              <w:t>127 (partie 1) et de l</w:t>
            </w:r>
            <w:r>
              <w:rPr>
                <w:szCs w:val="24"/>
              </w:rPr>
              <w:t>’</w:t>
            </w:r>
            <w:r w:rsidRPr="00595BC9">
              <w:rPr>
                <w:szCs w:val="24"/>
              </w:rPr>
              <w:t>article 365 (partie</w:t>
            </w:r>
            <w:r w:rsidR="001D1097">
              <w:rPr>
                <w:szCs w:val="24"/>
              </w:rPr>
              <w:t> </w:t>
            </w:r>
            <w:r w:rsidRPr="00595BC9">
              <w:rPr>
                <w:szCs w:val="24"/>
              </w:rPr>
              <w:t>1) du Code pénal, qui répriment respectivement les actes de torture</w:t>
            </w:r>
            <w:r>
              <w:rPr>
                <w:szCs w:val="24"/>
              </w:rPr>
              <w:t xml:space="preserve"> et</w:t>
            </w:r>
            <w:r w:rsidRPr="00595BC9">
              <w:rPr>
                <w:szCs w:val="24"/>
              </w:rPr>
              <w:t xml:space="preserve"> les abus de pouvoir ou d</w:t>
            </w:r>
            <w:r>
              <w:rPr>
                <w:szCs w:val="24"/>
              </w:rPr>
              <w:t>’</w:t>
            </w:r>
            <w:r w:rsidRPr="00595BC9">
              <w:rPr>
                <w:szCs w:val="24"/>
              </w:rPr>
              <w:t>autorité. Il met en lumière les dispositions du Code de procédure pénale relatives aux enquêtes préliminaires, au contrôle judiciaire de la détention, aux garanties contre la détention illégale et arbitraire et à l</w:t>
            </w:r>
            <w:r>
              <w:rPr>
                <w:szCs w:val="24"/>
              </w:rPr>
              <w:t>’</w:t>
            </w:r>
            <w:r w:rsidRPr="00595BC9">
              <w:rPr>
                <w:szCs w:val="24"/>
              </w:rPr>
              <w:t>accès à un avocat, et décrit la procédure mise en place pour enquêter sur les allégations faisant état de recours à la force de la part d</w:t>
            </w:r>
            <w:r>
              <w:rPr>
                <w:szCs w:val="24"/>
              </w:rPr>
              <w:t>’</w:t>
            </w:r>
            <w:r w:rsidRPr="00595BC9">
              <w:rPr>
                <w:szCs w:val="24"/>
              </w:rPr>
              <w:t>agents de la force publique. L</w:t>
            </w:r>
            <w:r>
              <w:rPr>
                <w:szCs w:val="24"/>
              </w:rPr>
              <w:t>’</w:t>
            </w:r>
            <w:r w:rsidRPr="00595BC9">
              <w:rPr>
                <w:szCs w:val="24"/>
              </w:rPr>
              <w:t>État partie fournit des informations sur le contrôle des établissements pénitentiaires effectué par le Conseil public créé au sein du système pénitentiaire, le mécanisme national de prévention et la Commission chargée de la politique publique en matière d</w:t>
            </w:r>
            <w:r>
              <w:rPr>
                <w:szCs w:val="24"/>
              </w:rPr>
              <w:t>’</w:t>
            </w:r>
            <w:r w:rsidRPr="00595BC9">
              <w:rPr>
                <w:szCs w:val="24"/>
              </w:rPr>
              <w:t xml:space="preserve">exécution des sanctions pénales. </w:t>
            </w:r>
          </w:p>
        </w:tc>
      </w:tr>
      <w:tr w:rsidR="00231AA4" w:rsidRPr="00E2006A" w:rsidTr="00A40835">
        <w:tc>
          <w:tcPr>
            <w:tcW w:w="7370" w:type="dxa"/>
            <w:gridSpan w:val="2"/>
            <w:shd w:val="clear" w:color="auto" w:fill="auto"/>
          </w:tcPr>
          <w:p w:rsidR="00231AA4" w:rsidRPr="00D42A29" w:rsidRDefault="00231AA4" w:rsidP="00242330">
            <w:pPr>
              <w:spacing w:before="40" w:after="120"/>
              <w:ind w:right="113"/>
              <w:jc w:val="both"/>
              <w:rPr>
                <w:szCs w:val="24"/>
              </w:rPr>
            </w:pPr>
            <w:r w:rsidRPr="00D42A29">
              <w:rPr>
                <w:szCs w:val="24"/>
              </w:rPr>
              <w:t>L</w:t>
            </w:r>
            <w:r>
              <w:rPr>
                <w:szCs w:val="24"/>
              </w:rPr>
              <w:t>’</w:t>
            </w:r>
            <w:r w:rsidRPr="00D42A29">
              <w:rPr>
                <w:szCs w:val="24"/>
              </w:rPr>
              <w:t xml:space="preserve">article 107 du Code de procédure pénale </w:t>
            </w:r>
            <w:r>
              <w:rPr>
                <w:szCs w:val="24"/>
              </w:rPr>
              <w:t>prévoit</w:t>
            </w:r>
            <w:r w:rsidRPr="00D42A29">
              <w:rPr>
                <w:szCs w:val="24"/>
              </w:rPr>
              <w:t xml:space="preserve"> l</w:t>
            </w:r>
            <w:r>
              <w:rPr>
                <w:szCs w:val="24"/>
              </w:rPr>
              <w:t>’</w:t>
            </w:r>
            <w:r w:rsidRPr="00D42A29">
              <w:rPr>
                <w:szCs w:val="24"/>
              </w:rPr>
              <w:t>enregistrement vidéo des interrogatoires</w:t>
            </w:r>
            <w:r w:rsidR="00A40835">
              <w:rPr>
                <w:szCs w:val="24"/>
              </w:rPr>
              <w:t> ;</w:t>
            </w:r>
            <w:r w:rsidRPr="00D42A29">
              <w:rPr>
                <w:szCs w:val="24"/>
              </w:rPr>
              <w:t xml:space="preserve"> la décision de procéder à un tel enregistrement est laissée à la discrétion de la personne responsable de la procédure. L</w:t>
            </w:r>
            <w:r>
              <w:rPr>
                <w:szCs w:val="24"/>
              </w:rPr>
              <w:t>’</w:t>
            </w:r>
            <w:r w:rsidRPr="00D42A29">
              <w:rPr>
                <w:szCs w:val="24"/>
              </w:rPr>
              <w:t>enregistrement est obligatoire si la demande en est faite par les parties à la procédure. Sous réserve de certaines exceptions, un suspect ou un inculpé a le droit d</w:t>
            </w:r>
            <w:r>
              <w:rPr>
                <w:szCs w:val="24"/>
              </w:rPr>
              <w:t>’</w:t>
            </w:r>
            <w:r w:rsidRPr="00D42A29">
              <w:rPr>
                <w:szCs w:val="24"/>
              </w:rPr>
              <w:t xml:space="preserve">utiliser un appareil pour enregistrer toute procédure à laquelle il est partie </w:t>
            </w:r>
            <w:r>
              <w:rPr>
                <w:szCs w:val="24"/>
              </w:rPr>
              <w:t>(Code de procédure pénale, art. 42, partie </w:t>
            </w:r>
            <w:r w:rsidRPr="00D42A29">
              <w:rPr>
                <w:szCs w:val="24"/>
              </w:rPr>
              <w:t>3, al.</w:t>
            </w:r>
            <w:r>
              <w:rPr>
                <w:szCs w:val="24"/>
              </w:rPr>
              <w:t> </w:t>
            </w:r>
            <w:r w:rsidRPr="00D42A29">
              <w:rPr>
                <w:szCs w:val="24"/>
              </w:rPr>
              <w:t>11)</w:t>
            </w:r>
            <w:r w:rsidR="00A40835">
              <w:rPr>
                <w:szCs w:val="24"/>
              </w:rPr>
              <w:t> ;</w:t>
            </w:r>
            <w:r w:rsidRPr="00D42A29">
              <w:rPr>
                <w:szCs w:val="24"/>
              </w:rPr>
              <w:t xml:space="preserve"> et l</w:t>
            </w:r>
            <w:r>
              <w:rPr>
                <w:szCs w:val="24"/>
              </w:rPr>
              <w:t>’</w:t>
            </w:r>
            <w:r w:rsidRPr="00D42A29">
              <w:rPr>
                <w:szCs w:val="24"/>
              </w:rPr>
              <w:t>article 224 (partie 5) du Code autorise également la prise de photographies et l</w:t>
            </w:r>
            <w:r>
              <w:rPr>
                <w:szCs w:val="24"/>
              </w:rPr>
              <w:t>’</w:t>
            </w:r>
            <w:r w:rsidRPr="00D42A29">
              <w:rPr>
                <w:szCs w:val="24"/>
              </w:rPr>
              <w:t xml:space="preserve">enregistrement audio ou vidéo des procédures. </w:t>
            </w:r>
          </w:p>
        </w:tc>
      </w:tr>
      <w:tr w:rsidR="00231AA4" w:rsidRPr="00E2006A" w:rsidTr="00A40835">
        <w:tc>
          <w:tcPr>
            <w:tcW w:w="7370" w:type="dxa"/>
            <w:gridSpan w:val="2"/>
            <w:shd w:val="clear" w:color="auto" w:fill="auto"/>
          </w:tcPr>
          <w:p w:rsidR="00231AA4" w:rsidRPr="00D42A29" w:rsidRDefault="00231AA4" w:rsidP="00242330">
            <w:pPr>
              <w:spacing w:before="40" w:after="120"/>
              <w:ind w:right="113"/>
              <w:jc w:val="both"/>
              <w:rPr>
                <w:szCs w:val="24"/>
              </w:rPr>
            </w:pPr>
            <w:r w:rsidRPr="00D42A29">
              <w:rPr>
                <w:szCs w:val="24"/>
              </w:rPr>
              <w:t>Il n</w:t>
            </w:r>
            <w:r>
              <w:rPr>
                <w:szCs w:val="24"/>
              </w:rPr>
              <w:t>’</w:t>
            </w:r>
            <w:r w:rsidRPr="00D42A29">
              <w:rPr>
                <w:szCs w:val="24"/>
              </w:rPr>
              <w:t>est pas nécessaire d</w:t>
            </w:r>
            <w:r>
              <w:rPr>
                <w:szCs w:val="24"/>
              </w:rPr>
              <w:t>’</w:t>
            </w:r>
            <w:r w:rsidRPr="00D42A29">
              <w:rPr>
                <w:szCs w:val="24"/>
              </w:rPr>
              <w:t>apporter d</w:t>
            </w:r>
            <w:r>
              <w:rPr>
                <w:szCs w:val="24"/>
              </w:rPr>
              <w:t>’</w:t>
            </w:r>
            <w:r w:rsidRPr="00D42A29">
              <w:rPr>
                <w:szCs w:val="24"/>
              </w:rPr>
              <w:t xml:space="preserve">autres modifications au Code de procédure pénale. </w:t>
            </w:r>
          </w:p>
        </w:tc>
      </w:tr>
      <w:tr w:rsidR="00231AA4" w:rsidRPr="00F9099E" w:rsidTr="00A40835">
        <w:tc>
          <w:tcPr>
            <w:tcW w:w="7370" w:type="dxa"/>
            <w:gridSpan w:val="2"/>
            <w:shd w:val="clear" w:color="auto" w:fill="auto"/>
          </w:tcPr>
          <w:p w:rsidR="00231AA4" w:rsidRPr="00F9099E" w:rsidRDefault="00231AA4" w:rsidP="00F9099E">
            <w:pPr>
              <w:spacing w:before="40" w:after="120"/>
              <w:ind w:right="113"/>
              <w:rPr>
                <w:b/>
                <w:szCs w:val="24"/>
              </w:rPr>
            </w:pPr>
            <w:r w:rsidRPr="00280DE9">
              <w:rPr>
                <w:b/>
                <w:szCs w:val="24"/>
              </w:rPr>
              <w:t>Informations émanant d</w:t>
            </w:r>
            <w:r>
              <w:rPr>
                <w:b/>
                <w:szCs w:val="24"/>
              </w:rPr>
              <w:t>’</w:t>
            </w:r>
            <w:r w:rsidRPr="00280DE9">
              <w:rPr>
                <w:b/>
                <w:szCs w:val="24"/>
              </w:rPr>
              <w:t>organisations non gouvernementales</w:t>
            </w:r>
          </w:p>
        </w:tc>
      </w:tr>
      <w:tr w:rsidR="00F9099E" w:rsidRPr="00F9099E" w:rsidTr="00A40835">
        <w:tc>
          <w:tcPr>
            <w:tcW w:w="7370" w:type="dxa"/>
            <w:gridSpan w:val="2"/>
            <w:shd w:val="clear" w:color="auto" w:fill="auto"/>
          </w:tcPr>
          <w:p w:rsidR="00F9099E" w:rsidRPr="00F9099E" w:rsidRDefault="00F9099E" w:rsidP="00F9099E">
            <w:pPr>
              <w:spacing w:before="40" w:after="120"/>
              <w:ind w:right="113"/>
              <w:rPr>
                <w:b/>
                <w:szCs w:val="24"/>
                <w:lang w:val="en-US"/>
              </w:rPr>
            </w:pPr>
            <w:r w:rsidRPr="00F9099E">
              <w:rPr>
                <w:i/>
                <w:szCs w:val="24"/>
                <w:lang w:val="en-US"/>
              </w:rPr>
              <w:t>Ukrainian Helsinki Human Rights Union</w:t>
            </w:r>
            <w:r w:rsidRPr="00F9099E">
              <w:rPr>
                <w:szCs w:val="24"/>
                <w:lang w:val="en-US"/>
              </w:rPr>
              <w:t xml:space="preserve"> et </w:t>
            </w:r>
            <w:r w:rsidRPr="00F9099E">
              <w:rPr>
                <w:i/>
                <w:szCs w:val="24"/>
                <w:lang w:val="en-US"/>
              </w:rPr>
              <w:t>Human Rights House Foundation</w:t>
            </w:r>
          </w:p>
        </w:tc>
      </w:tr>
      <w:tr w:rsidR="00231AA4" w:rsidRPr="00E2006A" w:rsidTr="00A40835">
        <w:tc>
          <w:tcPr>
            <w:tcW w:w="7370" w:type="dxa"/>
            <w:gridSpan w:val="2"/>
            <w:shd w:val="clear" w:color="auto" w:fill="auto"/>
          </w:tcPr>
          <w:p w:rsidR="00231AA4" w:rsidRPr="002C2AA9" w:rsidRDefault="00231AA4" w:rsidP="001D1097">
            <w:pPr>
              <w:spacing w:before="40" w:after="120"/>
              <w:ind w:right="113"/>
              <w:jc w:val="both"/>
              <w:rPr>
                <w:szCs w:val="24"/>
              </w:rPr>
            </w:pPr>
            <w:r w:rsidRPr="002C2AA9">
              <w:rPr>
                <w:szCs w:val="24"/>
              </w:rPr>
              <w:t>Les actes de torture et les mauvais traitements dont sont victimes les personnes privées de liberté restent un problème systémique, même si quel</w:t>
            </w:r>
            <w:r>
              <w:rPr>
                <w:szCs w:val="24"/>
              </w:rPr>
              <w:t>ques progrès ont été faits. Les</w:t>
            </w:r>
            <w:r w:rsidR="001D1097">
              <w:rPr>
                <w:szCs w:val="24"/>
              </w:rPr>
              <w:t> </w:t>
            </w:r>
            <w:r w:rsidRPr="002C2AA9">
              <w:rPr>
                <w:szCs w:val="24"/>
              </w:rPr>
              <w:t>organisations non gouvernementales (ONG) prennent note de quelques faits nouveaux encourageants, tels que l</w:t>
            </w:r>
            <w:r>
              <w:rPr>
                <w:szCs w:val="24"/>
              </w:rPr>
              <w:t>’</w:t>
            </w:r>
            <w:r w:rsidRPr="002C2AA9">
              <w:rPr>
                <w:szCs w:val="24"/>
              </w:rPr>
              <w:t>entrée en vigueur, en 2012, du nouveau Code de procédure pénale, la réforme de la police, la mise en place d</w:t>
            </w:r>
            <w:r>
              <w:rPr>
                <w:szCs w:val="24"/>
              </w:rPr>
              <w:t>’</w:t>
            </w:r>
            <w:r w:rsidRPr="002C2AA9">
              <w:rPr>
                <w:szCs w:val="24"/>
              </w:rPr>
              <w:t>un mécanisme national de prévention plutôt efficace, la modification du Code de procédure pénale concernant le statut juridique des</w:t>
            </w:r>
            <w:r>
              <w:rPr>
                <w:szCs w:val="24"/>
              </w:rPr>
              <w:t xml:space="preserve"> condamnés et l’adoption, le 25 </w:t>
            </w:r>
            <w:r w:rsidRPr="002C2AA9">
              <w:rPr>
                <w:szCs w:val="24"/>
              </w:rPr>
              <w:t>août 2015, de la Stratégie nationale dans le domaine des droits de l</w:t>
            </w:r>
            <w:r>
              <w:rPr>
                <w:szCs w:val="24"/>
              </w:rPr>
              <w:t>’</w:t>
            </w:r>
            <w:r w:rsidRPr="002C2AA9">
              <w:rPr>
                <w:szCs w:val="24"/>
              </w:rPr>
              <w:t>homme, qui comprend un plan d</w:t>
            </w:r>
            <w:r>
              <w:rPr>
                <w:szCs w:val="24"/>
              </w:rPr>
              <w:t>’</w:t>
            </w:r>
            <w:r w:rsidRPr="002C2AA9">
              <w:rPr>
                <w:szCs w:val="24"/>
              </w:rPr>
              <w:t xml:space="preserve">action visant à lutter contre les actes de torture et les mauvais traitements. </w:t>
            </w:r>
          </w:p>
        </w:tc>
      </w:tr>
      <w:tr w:rsidR="00231AA4" w:rsidRPr="00E2006A" w:rsidTr="00A40835">
        <w:tc>
          <w:tcPr>
            <w:tcW w:w="7370" w:type="dxa"/>
            <w:gridSpan w:val="2"/>
            <w:shd w:val="clear" w:color="auto" w:fill="auto"/>
          </w:tcPr>
          <w:p w:rsidR="00231AA4" w:rsidRPr="00CB03CB" w:rsidRDefault="00231AA4" w:rsidP="0011795D">
            <w:pPr>
              <w:keepNext/>
              <w:spacing w:before="40" w:after="120"/>
              <w:ind w:right="113"/>
              <w:jc w:val="both"/>
              <w:rPr>
                <w:szCs w:val="24"/>
              </w:rPr>
            </w:pPr>
            <w:r w:rsidRPr="00CB03CB">
              <w:rPr>
                <w:szCs w:val="24"/>
              </w:rPr>
              <w:lastRenderedPageBreak/>
              <w:t>Les actes de torture sont encore traités dans la majorité des cas comme un abus de pouvoir ou de position officielle (art. 364 du Code pénal), un abus de pouvoir ou d</w:t>
            </w:r>
            <w:r>
              <w:rPr>
                <w:szCs w:val="24"/>
              </w:rPr>
              <w:t>’</w:t>
            </w:r>
            <w:r w:rsidRPr="00CB03CB">
              <w:rPr>
                <w:szCs w:val="24"/>
              </w:rPr>
              <w:t>autorité de la part d</w:t>
            </w:r>
            <w:r>
              <w:rPr>
                <w:szCs w:val="24"/>
              </w:rPr>
              <w:t>’</w:t>
            </w:r>
            <w:r w:rsidRPr="00CB03CB">
              <w:rPr>
                <w:szCs w:val="24"/>
              </w:rPr>
              <w:t>un a</w:t>
            </w:r>
            <w:r>
              <w:rPr>
                <w:szCs w:val="24"/>
              </w:rPr>
              <w:t>gent de la force publique (art. </w:t>
            </w:r>
            <w:r w:rsidRPr="00CB03CB">
              <w:rPr>
                <w:szCs w:val="24"/>
              </w:rPr>
              <w:t>365) ou une extorsion de t</w:t>
            </w:r>
            <w:r>
              <w:rPr>
                <w:szCs w:val="24"/>
              </w:rPr>
              <w:t>émoignage (art.</w:t>
            </w:r>
            <w:r w:rsidR="0011795D">
              <w:rPr>
                <w:szCs w:val="24"/>
              </w:rPr>
              <w:t> </w:t>
            </w:r>
            <w:r>
              <w:rPr>
                <w:szCs w:val="24"/>
              </w:rPr>
              <w:t>373). L’article </w:t>
            </w:r>
            <w:r w:rsidRPr="00CB03CB">
              <w:rPr>
                <w:szCs w:val="24"/>
              </w:rPr>
              <w:t>127 (torture) du Code pénal ne prévoit pas que la responsabilité des agents de l</w:t>
            </w:r>
            <w:r>
              <w:rPr>
                <w:szCs w:val="24"/>
              </w:rPr>
              <w:t>’</w:t>
            </w:r>
            <w:r w:rsidRPr="00CB03CB">
              <w:rPr>
                <w:szCs w:val="24"/>
              </w:rPr>
              <w:t>État puisse être directement engagée pour des actes de torture et, en règle générale, la qualification de torture n</w:t>
            </w:r>
            <w:r>
              <w:rPr>
                <w:szCs w:val="24"/>
              </w:rPr>
              <w:t>’</w:t>
            </w:r>
            <w:r w:rsidRPr="00CB03CB">
              <w:rPr>
                <w:szCs w:val="24"/>
              </w:rPr>
              <w:t>est pas employée. La torture reste un crime de gravité moyenne, puni par l</w:t>
            </w:r>
            <w:r>
              <w:rPr>
                <w:szCs w:val="24"/>
              </w:rPr>
              <w:t>’</w:t>
            </w:r>
            <w:r w:rsidRPr="00CB03CB">
              <w:rPr>
                <w:szCs w:val="24"/>
              </w:rPr>
              <w:t>article</w:t>
            </w:r>
            <w:r w:rsidR="0011795D">
              <w:rPr>
                <w:szCs w:val="24"/>
              </w:rPr>
              <w:t> </w:t>
            </w:r>
            <w:r w:rsidRPr="00CB03CB">
              <w:rPr>
                <w:szCs w:val="24"/>
              </w:rPr>
              <w:t>127 d</w:t>
            </w:r>
            <w:r>
              <w:rPr>
                <w:szCs w:val="24"/>
              </w:rPr>
              <w:t>’</w:t>
            </w:r>
            <w:r w:rsidRPr="00CB03CB">
              <w:rPr>
                <w:szCs w:val="24"/>
              </w:rPr>
              <w:t>une peine pouvant aller jusqu</w:t>
            </w:r>
            <w:r>
              <w:rPr>
                <w:szCs w:val="24"/>
              </w:rPr>
              <w:t>’</w:t>
            </w:r>
            <w:r w:rsidRPr="00CB03CB">
              <w:rPr>
                <w:szCs w:val="24"/>
              </w:rPr>
              <w:t>à cinq ans d</w:t>
            </w:r>
            <w:r>
              <w:rPr>
                <w:szCs w:val="24"/>
              </w:rPr>
              <w:t>’</w:t>
            </w:r>
            <w:r w:rsidRPr="00CB03CB">
              <w:rPr>
                <w:szCs w:val="24"/>
              </w:rPr>
              <w:t>emprisonnement</w:t>
            </w:r>
            <w:r w:rsidR="00A40835">
              <w:rPr>
                <w:szCs w:val="24"/>
              </w:rPr>
              <w:t> ;</w:t>
            </w:r>
            <w:r w:rsidRPr="00CB03CB">
              <w:rPr>
                <w:szCs w:val="24"/>
              </w:rPr>
              <w:t xml:space="preserve"> dans la pratique, les </w:t>
            </w:r>
            <w:r>
              <w:rPr>
                <w:szCs w:val="24"/>
              </w:rPr>
              <w:t>peines</w:t>
            </w:r>
            <w:r w:rsidR="00A40835">
              <w:rPr>
                <w:szCs w:val="24"/>
              </w:rPr>
              <w:t xml:space="preserve"> </w:t>
            </w:r>
            <w:r>
              <w:rPr>
                <w:szCs w:val="24"/>
              </w:rPr>
              <w:t>vont de</w:t>
            </w:r>
            <w:r w:rsidRPr="00CB03CB">
              <w:rPr>
                <w:szCs w:val="24"/>
              </w:rPr>
              <w:t xml:space="preserve"> deux </w:t>
            </w:r>
            <w:r>
              <w:rPr>
                <w:szCs w:val="24"/>
              </w:rPr>
              <w:t>à</w:t>
            </w:r>
            <w:r w:rsidRPr="00CB03CB">
              <w:rPr>
                <w:szCs w:val="24"/>
              </w:rPr>
              <w:t xml:space="preserve"> trois ans d</w:t>
            </w:r>
            <w:r>
              <w:rPr>
                <w:szCs w:val="24"/>
              </w:rPr>
              <w:t>’</w:t>
            </w:r>
            <w:r w:rsidRPr="00CB03CB">
              <w:rPr>
                <w:szCs w:val="24"/>
              </w:rPr>
              <w:t>emprisonnement</w:t>
            </w:r>
            <w:r>
              <w:rPr>
                <w:szCs w:val="24"/>
              </w:rPr>
              <w:t xml:space="preserve"> ou sont</w:t>
            </w:r>
            <w:r w:rsidRPr="00CB03CB">
              <w:rPr>
                <w:szCs w:val="24"/>
              </w:rPr>
              <w:t xml:space="preserve"> souvent</w:t>
            </w:r>
            <w:r>
              <w:rPr>
                <w:szCs w:val="24"/>
              </w:rPr>
              <w:t xml:space="preserve"> assorties d’un</w:t>
            </w:r>
            <w:r w:rsidR="0011795D">
              <w:rPr>
                <w:szCs w:val="24"/>
              </w:rPr>
              <w:t xml:space="preserve"> </w:t>
            </w:r>
            <w:r w:rsidRPr="00CB03CB">
              <w:rPr>
                <w:szCs w:val="24"/>
              </w:rPr>
              <w:t>sursis. L</w:t>
            </w:r>
            <w:r>
              <w:rPr>
                <w:szCs w:val="24"/>
              </w:rPr>
              <w:t>’</w:t>
            </w:r>
            <w:r w:rsidRPr="00CB03CB">
              <w:rPr>
                <w:szCs w:val="24"/>
              </w:rPr>
              <w:t xml:space="preserve">existence de plusieurs articles </w:t>
            </w:r>
            <w:r>
              <w:rPr>
                <w:szCs w:val="24"/>
              </w:rPr>
              <w:t>énonçant</w:t>
            </w:r>
            <w:r w:rsidRPr="00CB03CB">
              <w:rPr>
                <w:szCs w:val="24"/>
              </w:rPr>
              <w:t xml:space="preserve"> des éléments constitutifs du crime qui sont similaires crée une ambiguïté dans l</w:t>
            </w:r>
            <w:r>
              <w:rPr>
                <w:szCs w:val="24"/>
              </w:rPr>
              <w:t>’</w:t>
            </w:r>
            <w:r w:rsidRPr="00CB03CB">
              <w:rPr>
                <w:szCs w:val="24"/>
              </w:rPr>
              <w:t xml:space="preserve">interprétation, la classification et la répression des actes de torture et des mauvais traitements. </w:t>
            </w:r>
          </w:p>
        </w:tc>
      </w:tr>
      <w:tr w:rsidR="00231AA4" w:rsidRPr="00E2006A" w:rsidTr="00A40835">
        <w:tc>
          <w:tcPr>
            <w:tcW w:w="7370" w:type="dxa"/>
            <w:gridSpan w:val="2"/>
            <w:shd w:val="clear" w:color="auto" w:fill="auto"/>
          </w:tcPr>
          <w:p w:rsidR="00231AA4" w:rsidRPr="00D6234D" w:rsidRDefault="00231AA4" w:rsidP="0011795D">
            <w:pPr>
              <w:spacing w:before="40" w:after="120"/>
              <w:ind w:right="113"/>
              <w:jc w:val="both"/>
              <w:rPr>
                <w:szCs w:val="24"/>
              </w:rPr>
            </w:pPr>
            <w:r w:rsidRPr="00D6234D">
              <w:rPr>
                <w:szCs w:val="24"/>
              </w:rPr>
              <w:t>Les enquêtes sur les plaintes relatives à des mauvais traitements ne sont pas diligentes, indépendantes et efficaces. La loi relative au Bureau national d</w:t>
            </w:r>
            <w:r>
              <w:rPr>
                <w:szCs w:val="24"/>
              </w:rPr>
              <w:t>’</w:t>
            </w:r>
            <w:r w:rsidRPr="00D6234D">
              <w:rPr>
                <w:szCs w:val="24"/>
              </w:rPr>
              <w:t>enquête du 12</w:t>
            </w:r>
            <w:r w:rsidR="0011795D">
              <w:rPr>
                <w:szCs w:val="24"/>
              </w:rPr>
              <w:t> </w:t>
            </w:r>
            <w:r w:rsidRPr="00D6234D">
              <w:rPr>
                <w:szCs w:val="24"/>
              </w:rPr>
              <w:t>novembre 2015 p</w:t>
            </w:r>
            <w:r>
              <w:rPr>
                <w:szCs w:val="24"/>
              </w:rPr>
              <w:t>révoit la création, au plus tard le 20 </w:t>
            </w:r>
            <w:r w:rsidRPr="00D6234D">
              <w:rPr>
                <w:szCs w:val="24"/>
              </w:rPr>
              <w:t>novembre 2017, d</w:t>
            </w:r>
            <w:r>
              <w:rPr>
                <w:szCs w:val="24"/>
              </w:rPr>
              <w:t>’</w:t>
            </w:r>
            <w:r w:rsidRPr="00D6234D">
              <w:rPr>
                <w:szCs w:val="24"/>
              </w:rPr>
              <w:t>un mécanisme d</w:t>
            </w:r>
            <w:r>
              <w:rPr>
                <w:szCs w:val="24"/>
              </w:rPr>
              <w:t>’</w:t>
            </w:r>
            <w:r w:rsidRPr="00D6234D">
              <w:rPr>
                <w:szCs w:val="24"/>
              </w:rPr>
              <w:t>enquête indépendant chargé de traiter les cas de torture et de mauvais traitements, mais ce processus a été retardé et reporté à plusieurs reprises.</w:t>
            </w:r>
          </w:p>
        </w:tc>
      </w:tr>
      <w:tr w:rsidR="00231AA4" w:rsidRPr="00E2006A" w:rsidTr="00A40835">
        <w:tc>
          <w:tcPr>
            <w:tcW w:w="7370" w:type="dxa"/>
            <w:gridSpan w:val="2"/>
            <w:shd w:val="clear" w:color="auto" w:fill="auto"/>
          </w:tcPr>
          <w:p w:rsidR="00231AA4" w:rsidRPr="00D6234D" w:rsidRDefault="00231AA4" w:rsidP="003A3402">
            <w:pPr>
              <w:spacing w:before="40" w:after="120"/>
              <w:ind w:right="113"/>
              <w:jc w:val="both"/>
              <w:rPr>
                <w:szCs w:val="24"/>
              </w:rPr>
            </w:pPr>
            <w:r w:rsidRPr="00D6234D">
              <w:rPr>
                <w:szCs w:val="24"/>
              </w:rPr>
              <w:t>L</w:t>
            </w:r>
            <w:r>
              <w:rPr>
                <w:szCs w:val="24"/>
              </w:rPr>
              <w:t>’</w:t>
            </w:r>
            <w:r w:rsidRPr="00D6234D">
              <w:rPr>
                <w:szCs w:val="24"/>
              </w:rPr>
              <w:t>enregistrement vidéo des interrogatoires est possible en vertu du Code de procédure pénale, mais n</w:t>
            </w:r>
            <w:r>
              <w:rPr>
                <w:szCs w:val="24"/>
              </w:rPr>
              <w:t>’</w:t>
            </w:r>
            <w:r w:rsidRPr="00D6234D">
              <w:rPr>
                <w:szCs w:val="24"/>
              </w:rPr>
              <w:t>est pas obligatoire. La personne interrogée n</w:t>
            </w:r>
            <w:r>
              <w:rPr>
                <w:szCs w:val="24"/>
              </w:rPr>
              <w:t>’</w:t>
            </w:r>
            <w:r w:rsidRPr="00D6234D">
              <w:rPr>
                <w:szCs w:val="24"/>
              </w:rPr>
              <w:t>est pas autorisée à demander une copie de l</w:t>
            </w:r>
            <w:r>
              <w:rPr>
                <w:szCs w:val="24"/>
              </w:rPr>
              <w:t>’</w:t>
            </w:r>
            <w:r w:rsidRPr="00D6234D">
              <w:rPr>
                <w:szCs w:val="24"/>
              </w:rPr>
              <w:t>enregistrement. L</w:t>
            </w:r>
            <w:r>
              <w:rPr>
                <w:szCs w:val="24"/>
              </w:rPr>
              <w:t>’</w:t>
            </w:r>
            <w:r w:rsidRPr="00D6234D">
              <w:rPr>
                <w:szCs w:val="24"/>
              </w:rPr>
              <w:t>adoption de règlements relatifs à l</w:t>
            </w:r>
            <w:r>
              <w:rPr>
                <w:szCs w:val="24"/>
              </w:rPr>
              <w:t>’</w:t>
            </w:r>
            <w:r w:rsidRPr="00D6234D">
              <w:rPr>
                <w:szCs w:val="24"/>
              </w:rPr>
              <w:t>utilisation de moyens de surveillance et de contrôle dans les lieux de détention est prévue dans le Plan d</w:t>
            </w:r>
            <w:r>
              <w:rPr>
                <w:szCs w:val="24"/>
              </w:rPr>
              <w:t>’</w:t>
            </w:r>
            <w:r w:rsidRPr="00D6234D">
              <w:rPr>
                <w:szCs w:val="24"/>
              </w:rPr>
              <w:t>action pour la mise en œuvre de la Stratégie nationale dans le domaine de</w:t>
            </w:r>
            <w:r w:rsidR="0011795D">
              <w:rPr>
                <w:szCs w:val="24"/>
              </w:rPr>
              <w:t xml:space="preserve">s droits de l’homme à l’horizon </w:t>
            </w:r>
            <w:r w:rsidRPr="00D6234D">
              <w:rPr>
                <w:szCs w:val="24"/>
              </w:rPr>
              <w:t xml:space="preserve">2020. La plupart des prisons ou des établissements de détention ne sont pas équipés de système de surveillance vidéo. </w:t>
            </w:r>
          </w:p>
        </w:tc>
      </w:tr>
      <w:tr w:rsidR="00231AA4" w:rsidRPr="00E2006A" w:rsidTr="00A40835">
        <w:tc>
          <w:tcPr>
            <w:tcW w:w="7370" w:type="dxa"/>
            <w:gridSpan w:val="2"/>
            <w:shd w:val="clear" w:color="auto" w:fill="auto"/>
          </w:tcPr>
          <w:p w:rsidR="00231AA4" w:rsidRPr="009072A8" w:rsidRDefault="00231AA4" w:rsidP="00A40835">
            <w:pPr>
              <w:spacing w:before="40" w:after="120"/>
              <w:ind w:right="113"/>
              <w:rPr>
                <w:b/>
                <w:szCs w:val="24"/>
              </w:rPr>
            </w:pPr>
            <w:r w:rsidRPr="009072A8">
              <w:rPr>
                <w:b/>
                <w:szCs w:val="24"/>
              </w:rPr>
              <w:t xml:space="preserve">Évaluation du Comité </w:t>
            </w:r>
          </w:p>
        </w:tc>
      </w:tr>
      <w:tr w:rsidR="00231AA4" w:rsidRPr="00E2006A" w:rsidTr="00A40835">
        <w:tc>
          <w:tcPr>
            <w:tcW w:w="7370" w:type="dxa"/>
            <w:gridSpan w:val="2"/>
            <w:shd w:val="clear" w:color="auto" w:fill="auto"/>
          </w:tcPr>
          <w:p w:rsidR="00231AA4" w:rsidRPr="009072A8" w:rsidRDefault="00231AA4" w:rsidP="003A3402">
            <w:pPr>
              <w:spacing w:before="40" w:after="120"/>
              <w:ind w:right="113"/>
              <w:jc w:val="both"/>
              <w:rPr>
                <w:b/>
                <w:szCs w:val="24"/>
              </w:rPr>
            </w:pPr>
            <w:r w:rsidRPr="009072A8">
              <w:rPr>
                <w:b/>
                <w:szCs w:val="24"/>
              </w:rPr>
              <w:t>[</w:t>
            </w:r>
            <w:r>
              <w:rPr>
                <w:b/>
                <w:szCs w:val="24"/>
              </w:rPr>
              <w:t>C</w:t>
            </w:r>
            <w:r w:rsidRPr="009072A8">
              <w:rPr>
                <w:b/>
                <w:szCs w:val="24"/>
              </w:rPr>
              <w:t>]</w:t>
            </w:r>
            <w:r w:rsidR="00A40835">
              <w:rPr>
                <w:b/>
                <w:szCs w:val="24"/>
              </w:rPr>
              <w:t> :</w:t>
            </w:r>
            <w:r w:rsidRPr="009072A8">
              <w:rPr>
                <w:b/>
                <w:szCs w:val="24"/>
              </w:rPr>
              <w:t xml:space="preserve"> </w:t>
            </w:r>
            <w:r w:rsidRPr="009072A8">
              <w:rPr>
                <w:szCs w:val="24"/>
              </w:rPr>
              <w:t>Le Comité prend note des renseignements fournis par l</w:t>
            </w:r>
            <w:r>
              <w:rPr>
                <w:szCs w:val="24"/>
              </w:rPr>
              <w:t>’</w:t>
            </w:r>
            <w:r w:rsidRPr="009072A8">
              <w:rPr>
                <w:szCs w:val="24"/>
              </w:rPr>
              <w:t>État partie et les ONG, mais regrette que l</w:t>
            </w:r>
            <w:r>
              <w:rPr>
                <w:szCs w:val="24"/>
              </w:rPr>
              <w:t>’</w:t>
            </w:r>
            <w:r w:rsidRPr="009072A8">
              <w:rPr>
                <w:szCs w:val="24"/>
              </w:rPr>
              <w:t>État partie n</w:t>
            </w:r>
            <w:r>
              <w:rPr>
                <w:szCs w:val="24"/>
              </w:rPr>
              <w:t>’</w:t>
            </w:r>
            <w:r w:rsidRPr="009072A8">
              <w:rPr>
                <w:szCs w:val="24"/>
              </w:rPr>
              <w:t>ait pas fourni d</w:t>
            </w:r>
            <w:r>
              <w:rPr>
                <w:szCs w:val="24"/>
              </w:rPr>
              <w:t>’</w:t>
            </w:r>
            <w:r w:rsidRPr="009072A8">
              <w:rPr>
                <w:szCs w:val="24"/>
              </w:rPr>
              <w:t>informations précises en réponse aux préoccupations et à la recommandation du Comité concernant les mesures concrètes prises pour enquêter sur les actes de torture et les mauvais traitements, engager des poursuites contre leurs auteurs et offrir une réparation aux victimes. En conséquence, le Comité demande des informations précises sur les mesures prises pour garantir que les actes de torture et les mauvais traitements fassent rapidement l</w:t>
            </w:r>
            <w:r>
              <w:rPr>
                <w:szCs w:val="24"/>
              </w:rPr>
              <w:t>’</w:t>
            </w:r>
            <w:r w:rsidRPr="009072A8">
              <w:rPr>
                <w:szCs w:val="24"/>
              </w:rPr>
              <w:t>objet d</w:t>
            </w:r>
            <w:r>
              <w:rPr>
                <w:szCs w:val="24"/>
              </w:rPr>
              <w:t>’</w:t>
            </w:r>
            <w:r w:rsidRPr="009072A8">
              <w:rPr>
                <w:szCs w:val="24"/>
              </w:rPr>
              <w:t>enquêtes approfondies et indépendantes, que les auteurs soient poursuivis et condamnés à des peines à la hauteur de la gravité de leurs actes, et que les victimes aient accès à des recours efficaces, notamment une indemnisation appropriée.</w:t>
            </w:r>
          </w:p>
        </w:tc>
      </w:tr>
      <w:tr w:rsidR="00231AA4" w:rsidRPr="00E2006A" w:rsidTr="00A40835">
        <w:tc>
          <w:tcPr>
            <w:tcW w:w="7370" w:type="dxa"/>
            <w:gridSpan w:val="2"/>
            <w:shd w:val="clear" w:color="auto" w:fill="auto"/>
          </w:tcPr>
          <w:p w:rsidR="00231AA4" w:rsidRPr="0022554A" w:rsidRDefault="00231AA4" w:rsidP="003A3402">
            <w:pPr>
              <w:spacing w:before="40" w:after="120"/>
              <w:ind w:right="113"/>
              <w:jc w:val="both"/>
              <w:rPr>
                <w:b/>
                <w:szCs w:val="24"/>
              </w:rPr>
            </w:pPr>
            <w:r>
              <w:rPr>
                <w:b/>
                <w:szCs w:val="24"/>
              </w:rPr>
              <w:t>[B]</w:t>
            </w:r>
            <w:r w:rsidR="00A40835">
              <w:rPr>
                <w:b/>
                <w:szCs w:val="24"/>
              </w:rPr>
              <w:t> :</w:t>
            </w:r>
            <w:r>
              <w:rPr>
                <w:b/>
                <w:szCs w:val="24"/>
              </w:rPr>
              <w:t xml:space="preserve"> </w:t>
            </w:r>
            <w:r w:rsidRPr="00D97548">
              <w:rPr>
                <w:spacing w:val="-1"/>
                <w:szCs w:val="24"/>
              </w:rPr>
              <w:t>Le Comité prend note des faits nouveaux encourageants en ce qui concerne la lutte contre les actes de torture et les mauvais traitements mais demande des informations sur la mise en œuvre du Plan d’action visant à lutter contre les actes de torture et les mauvais traitements, qui fait partie de la Stratégie nationale dans le domaine des droits de l’homme du 25 août 2015, notamment en ce qui concerne l’élaboration d’un projet de loi supprimant la prescription pour les actes de torture et la mise en place d’un mécanisme chargé d’élaborer</w:t>
            </w:r>
            <w:r w:rsidR="00A40835" w:rsidRPr="00D97548">
              <w:rPr>
                <w:spacing w:val="-1"/>
                <w:szCs w:val="24"/>
              </w:rPr>
              <w:t xml:space="preserve"> </w:t>
            </w:r>
            <w:r w:rsidRPr="00D97548">
              <w:rPr>
                <w:spacing w:val="-1"/>
                <w:szCs w:val="24"/>
              </w:rPr>
              <w:t>des statistiques séparées sur les actes de torture et leur publication obligatoire.</w:t>
            </w:r>
          </w:p>
        </w:tc>
      </w:tr>
      <w:tr w:rsidR="00231AA4" w:rsidRPr="007F4C1C" w:rsidTr="00A40835">
        <w:tc>
          <w:tcPr>
            <w:tcW w:w="7370" w:type="dxa"/>
            <w:gridSpan w:val="2"/>
            <w:shd w:val="clear" w:color="auto" w:fill="auto"/>
          </w:tcPr>
          <w:p w:rsidR="00231AA4" w:rsidRPr="007F4C1C" w:rsidRDefault="00231AA4" w:rsidP="00AA726E">
            <w:pPr>
              <w:spacing w:before="40" w:after="120"/>
              <w:ind w:right="113"/>
              <w:jc w:val="both"/>
              <w:rPr>
                <w:b/>
                <w:szCs w:val="24"/>
              </w:rPr>
            </w:pPr>
            <w:r w:rsidRPr="007F4C1C">
              <w:rPr>
                <w:b/>
                <w:szCs w:val="24"/>
              </w:rPr>
              <w:t>[B]</w:t>
            </w:r>
            <w:r w:rsidR="00A40835">
              <w:rPr>
                <w:b/>
                <w:szCs w:val="24"/>
              </w:rPr>
              <w:t> :</w:t>
            </w:r>
            <w:r w:rsidRPr="007F4C1C">
              <w:rPr>
                <w:b/>
                <w:szCs w:val="24"/>
              </w:rPr>
              <w:t xml:space="preserve"> </w:t>
            </w:r>
            <w:r w:rsidRPr="007F4C1C">
              <w:rPr>
                <w:szCs w:val="24"/>
              </w:rPr>
              <w:t>Le Comité pre</w:t>
            </w:r>
            <w:r>
              <w:rPr>
                <w:szCs w:val="24"/>
              </w:rPr>
              <w:t>nd note de la date butoir du 20 </w:t>
            </w:r>
            <w:r w:rsidRPr="007F4C1C">
              <w:rPr>
                <w:szCs w:val="24"/>
              </w:rPr>
              <w:t>novembre 2017 qui a été fixée pour la création d</w:t>
            </w:r>
            <w:r>
              <w:rPr>
                <w:szCs w:val="24"/>
              </w:rPr>
              <w:t>’</w:t>
            </w:r>
            <w:r w:rsidRPr="007F4C1C">
              <w:rPr>
                <w:szCs w:val="24"/>
              </w:rPr>
              <w:t>un mécanisme d</w:t>
            </w:r>
            <w:r>
              <w:rPr>
                <w:szCs w:val="24"/>
              </w:rPr>
              <w:t>’</w:t>
            </w:r>
            <w:r w:rsidRPr="007F4C1C">
              <w:rPr>
                <w:szCs w:val="24"/>
              </w:rPr>
              <w:t>enquête indépendant chargé de traiter les cas de torture et les</w:t>
            </w:r>
            <w:r w:rsidR="00AA726E">
              <w:rPr>
                <w:szCs w:val="24"/>
              </w:rPr>
              <w:t> </w:t>
            </w:r>
            <w:r w:rsidRPr="007F4C1C">
              <w:rPr>
                <w:szCs w:val="24"/>
              </w:rPr>
              <w:t>mauvais traitements, tel qu</w:t>
            </w:r>
            <w:r>
              <w:rPr>
                <w:szCs w:val="24"/>
              </w:rPr>
              <w:t>’</w:t>
            </w:r>
            <w:r w:rsidRPr="007F4C1C">
              <w:rPr>
                <w:szCs w:val="24"/>
              </w:rPr>
              <w:t xml:space="preserve">il est prévu dans la loi relative au </w:t>
            </w:r>
            <w:r>
              <w:rPr>
                <w:szCs w:val="24"/>
              </w:rPr>
              <w:t>Bureau national d’enquête du 12</w:t>
            </w:r>
            <w:r w:rsidR="00AA726E">
              <w:rPr>
                <w:szCs w:val="24"/>
              </w:rPr>
              <w:t> </w:t>
            </w:r>
            <w:r w:rsidRPr="007F4C1C">
              <w:rPr>
                <w:szCs w:val="24"/>
              </w:rPr>
              <w:t>novembre 2015, et demande des informations sur les progrès accomplis à cet égard.</w:t>
            </w:r>
          </w:p>
        </w:tc>
      </w:tr>
      <w:tr w:rsidR="00231AA4" w:rsidRPr="00E2006A" w:rsidTr="00A40835">
        <w:tc>
          <w:tcPr>
            <w:tcW w:w="7370" w:type="dxa"/>
            <w:gridSpan w:val="2"/>
            <w:shd w:val="clear" w:color="auto" w:fill="auto"/>
          </w:tcPr>
          <w:p w:rsidR="00231AA4" w:rsidRPr="006E2A3B" w:rsidRDefault="00231AA4" w:rsidP="00D97548">
            <w:pPr>
              <w:spacing w:before="40" w:after="100"/>
              <w:ind w:right="113"/>
              <w:jc w:val="both"/>
              <w:rPr>
                <w:b/>
                <w:szCs w:val="24"/>
              </w:rPr>
            </w:pPr>
            <w:r w:rsidRPr="006E2A3B">
              <w:rPr>
                <w:b/>
                <w:szCs w:val="24"/>
              </w:rPr>
              <w:t>[C]</w:t>
            </w:r>
            <w:r w:rsidR="00A40835">
              <w:rPr>
                <w:b/>
                <w:szCs w:val="24"/>
              </w:rPr>
              <w:t> :</w:t>
            </w:r>
            <w:r w:rsidRPr="006E2A3B">
              <w:rPr>
                <w:b/>
                <w:szCs w:val="24"/>
              </w:rPr>
              <w:t xml:space="preserve"> </w:t>
            </w:r>
            <w:r w:rsidRPr="006E2A3B">
              <w:rPr>
                <w:szCs w:val="24"/>
              </w:rPr>
              <w:t>Le Comité relève que l</w:t>
            </w:r>
            <w:r>
              <w:rPr>
                <w:szCs w:val="24"/>
              </w:rPr>
              <w:t>’</w:t>
            </w:r>
            <w:r w:rsidRPr="006E2A3B">
              <w:rPr>
                <w:szCs w:val="24"/>
              </w:rPr>
              <w:t>enregistrement des interrogatoires n</w:t>
            </w:r>
            <w:r>
              <w:rPr>
                <w:szCs w:val="24"/>
              </w:rPr>
              <w:t>’</w:t>
            </w:r>
            <w:r w:rsidRPr="006E2A3B">
              <w:rPr>
                <w:szCs w:val="24"/>
              </w:rPr>
              <w:t>est toujours pas obligatoire en vertu de la loi de procédure pénale et regrette que l</w:t>
            </w:r>
            <w:r>
              <w:rPr>
                <w:szCs w:val="24"/>
              </w:rPr>
              <w:t>’</w:t>
            </w:r>
            <w:r w:rsidRPr="006E2A3B">
              <w:rPr>
                <w:szCs w:val="24"/>
              </w:rPr>
              <w:t xml:space="preserve">État partie ait </w:t>
            </w:r>
            <w:r>
              <w:rPr>
                <w:szCs w:val="24"/>
              </w:rPr>
              <w:t>fait savoir</w:t>
            </w:r>
            <w:r w:rsidRPr="006E2A3B">
              <w:rPr>
                <w:szCs w:val="24"/>
              </w:rPr>
              <w:t xml:space="preserve"> qu</w:t>
            </w:r>
            <w:r>
              <w:rPr>
                <w:szCs w:val="24"/>
              </w:rPr>
              <w:t>’</w:t>
            </w:r>
            <w:r w:rsidRPr="006E2A3B">
              <w:rPr>
                <w:szCs w:val="24"/>
              </w:rPr>
              <w:t>aucune modification de la législation n</w:t>
            </w:r>
            <w:r>
              <w:rPr>
                <w:szCs w:val="24"/>
              </w:rPr>
              <w:t>’</w:t>
            </w:r>
            <w:r w:rsidRPr="006E2A3B">
              <w:rPr>
                <w:szCs w:val="24"/>
              </w:rPr>
              <w:t>était nécessaire à cet égard. Il regrette aussi le manque d</w:t>
            </w:r>
            <w:r>
              <w:rPr>
                <w:szCs w:val="24"/>
              </w:rPr>
              <w:t>’</w:t>
            </w:r>
            <w:r w:rsidRPr="006E2A3B">
              <w:rPr>
                <w:szCs w:val="24"/>
              </w:rPr>
              <w:t>informations sur les efforts faits pour installer du matériel d</w:t>
            </w:r>
            <w:r>
              <w:rPr>
                <w:szCs w:val="24"/>
              </w:rPr>
              <w:t>’</w:t>
            </w:r>
            <w:r w:rsidRPr="006E2A3B">
              <w:rPr>
                <w:szCs w:val="24"/>
              </w:rPr>
              <w:t>enregistrement vidéo dans les lieux de privation de liberté. Le Comité demande des informations sur l</w:t>
            </w:r>
            <w:r>
              <w:rPr>
                <w:szCs w:val="24"/>
              </w:rPr>
              <w:t>’</w:t>
            </w:r>
            <w:r w:rsidRPr="006E2A3B">
              <w:rPr>
                <w:szCs w:val="24"/>
              </w:rPr>
              <w:t>adoption de réglementations relatives à l</w:t>
            </w:r>
            <w:r>
              <w:rPr>
                <w:szCs w:val="24"/>
              </w:rPr>
              <w:t>’</w:t>
            </w:r>
            <w:r w:rsidRPr="006E2A3B">
              <w:rPr>
                <w:szCs w:val="24"/>
              </w:rPr>
              <w:t xml:space="preserve">utilisation de moyens de surveillance et de </w:t>
            </w:r>
            <w:r w:rsidRPr="006E2A3B">
              <w:rPr>
                <w:szCs w:val="24"/>
              </w:rPr>
              <w:lastRenderedPageBreak/>
              <w:t>contrôle dans les lieux de détention, comme prévu dans le Plan d</w:t>
            </w:r>
            <w:r>
              <w:rPr>
                <w:szCs w:val="24"/>
              </w:rPr>
              <w:t>’</w:t>
            </w:r>
            <w:r w:rsidRPr="006E2A3B">
              <w:rPr>
                <w:szCs w:val="24"/>
              </w:rPr>
              <w:t>action pour la mise en œuvre de la Stratégie nationale dans le domaine de</w:t>
            </w:r>
            <w:r>
              <w:rPr>
                <w:szCs w:val="24"/>
              </w:rPr>
              <w:t>s droits de l’homme à l’horizon </w:t>
            </w:r>
            <w:r w:rsidRPr="006E2A3B">
              <w:rPr>
                <w:szCs w:val="24"/>
              </w:rPr>
              <w:t>2020. Le Comité renouvelle sa recommandation.</w:t>
            </w:r>
          </w:p>
        </w:tc>
      </w:tr>
      <w:tr w:rsidR="00231AA4" w:rsidRPr="00E2006A" w:rsidTr="00A40835">
        <w:tc>
          <w:tcPr>
            <w:tcW w:w="7370" w:type="dxa"/>
            <w:gridSpan w:val="2"/>
            <w:shd w:val="clear" w:color="auto" w:fill="auto"/>
          </w:tcPr>
          <w:p w:rsidR="00231AA4" w:rsidRPr="00284A3A" w:rsidRDefault="00231AA4" w:rsidP="00D97548">
            <w:pPr>
              <w:keepNext/>
              <w:spacing w:before="40" w:after="100"/>
              <w:ind w:right="113"/>
              <w:rPr>
                <w:b/>
                <w:szCs w:val="24"/>
              </w:rPr>
            </w:pPr>
            <w:r w:rsidRPr="00284A3A">
              <w:rPr>
                <w:b/>
                <w:szCs w:val="24"/>
              </w:rPr>
              <w:lastRenderedPageBreak/>
              <w:t>Paragraphe 17</w:t>
            </w:r>
          </w:p>
        </w:tc>
      </w:tr>
      <w:tr w:rsidR="00231AA4" w:rsidRPr="00E2006A" w:rsidTr="00A40835">
        <w:tc>
          <w:tcPr>
            <w:tcW w:w="7370" w:type="dxa"/>
            <w:gridSpan w:val="2"/>
            <w:shd w:val="clear" w:color="auto" w:fill="auto"/>
          </w:tcPr>
          <w:p w:rsidR="00231AA4" w:rsidRPr="00284A3A" w:rsidRDefault="00231AA4" w:rsidP="001D3BD5">
            <w:pPr>
              <w:spacing w:before="40" w:after="80"/>
              <w:ind w:right="113"/>
              <w:jc w:val="both"/>
              <w:rPr>
                <w:b/>
                <w:bCs/>
                <w:szCs w:val="24"/>
              </w:rPr>
            </w:pPr>
            <w:r w:rsidRPr="00284A3A">
              <w:rPr>
                <w:b/>
                <w:bCs/>
                <w:szCs w:val="24"/>
              </w:rPr>
              <w:t>L</w:t>
            </w:r>
            <w:r>
              <w:rPr>
                <w:b/>
                <w:bCs/>
                <w:szCs w:val="24"/>
              </w:rPr>
              <w:t>’</w:t>
            </w:r>
            <w:r w:rsidRPr="00284A3A">
              <w:rPr>
                <w:b/>
                <w:bCs/>
                <w:szCs w:val="24"/>
              </w:rPr>
              <w:t>État partie devrait faire en sorte que les juges ne soient soumis à aucune forme de pression politique dans l</w:t>
            </w:r>
            <w:r>
              <w:rPr>
                <w:b/>
                <w:bCs/>
                <w:szCs w:val="24"/>
              </w:rPr>
              <w:t>’</w:t>
            </w:r>
            <w:r w:rsidRPr="00284A3A">
              <w:rPr>
                <w:b/>
                <w:bCs/>
                <w:szCs w:val="24"/>
              </w:rPr>
              <w:t>exercice de leur pouvoir de décision, et que l</w:t>
            </w:r>
            <w:r>
              <w:rPr>
                <w:b/>
                <w:bCs/>
                <w:szCs w:val="24"/>
              </w:rPr>
              <w:t>’</w:t>
            </w:r>
            <w:r w:rsidRPr="00284A3A">
              <w:rPr>
                <w:b/>
                <w:bCs/>
                <w:szCs w:val="24"/>
              </w:rPr>
              <w:t>administration de la justice soit transparente. Il devrait adopter une loi établissant des procédures précises et des critères objectifs pour l</w:t>
            </w:r>
            <w:r>
              <w:rPr>
                <w:b/>
                <w:bCs/>
                <w:szCs w:val="24"/>
              </w:rPr>
              <w:t>’</w:t>
            </w:r>
            <w:r w:rsidRPr="00284A3A">
              <w:rPr>
                <w:b/>
                <w:bCs/>
                <w:szCs w:val="24"/>
              </w:rPr>
              <w:t>avancement, la suspension et la révocation des juges. Il devrait veiller à ce que le ministère public ne participe pas à la prise des décisions relatives aux mesures disciplinaires visant des juges</w:t>
            </w:r>
            <w:r>
              <w:rPr>
                <w:b/>
                <w:bCs/>
                <w:szCs w:val="24"/>
              </w:rPr>
              <w:t>,</w:t>
            </w:r>
            <w:r w:rsidRPr="00284A3A">
              <w:rPr>
                <w:b/>
                <w:bCs/>
                <w:szCs w:val="24"/>
              </w:rPr>
              <w:t xml:space="preserve"> et </w:t>
            </w:r>
            <w:r>
              <w:rPr>
                <w:b/>
                <w:bCs/>
                <w:szCs w:val="24"/>
              </w:rPr>
              <w:t xml:space="preserve">à ce </w:t>
            </w:r>
            <w:r w:rsidRPr="00284A3A">
              <w:rPr>
                <w:b/>
                <w:bCs/>
                <w:szCs w:val="24"/>
              </w:rPr>
              <w:t>que les organes disciplinaires judiciaires ne soient pas contrôlés par le pouvoir exécutif ni soumis à de quelconques pressions politiques. L</w:t>
            </w:r>
            <w:r>
              <w:rPr>
                <w:b/>
                <w:bCs/>
                <w:szCs w:val="24"/>
              </w:rPr>
              <w:t>’</w:t>
            </w:r>
            <w:r w:rsidRPr="00284A3A">
              <w:rPr>
                <w:b/>
                <w:bCs/>
                <w:szCs w:val="24"/>
              </w:rPr>
              <w:t>État partie devrait veiller à ce que les poursuites engagées en vertu de l</w:t>
            </w:r>
            <w:r>
              <w:rPr>
                <w:b/>
                <w:bCs/>
                <w:szCs w:val="24"/>
              </w:rPr>
              <w:t>’</w:t>
            </w:r>
            <w:r w:rsidRPr="00284A3A">
              <w:rPr>
                <w:b/>
                <w:bCs/>
                <w:szCs w:val="24"/>
              </w:rPr>
              <w:t>article 365 du Code pénal soient pleinement conformes aux prescriptions du Pacte.</w:t>
            </w:r>
          </w:p>
        </w:tc>
      </w:tr>
      <w:tr w:rsidR="00231AA4" w:rsidRPr="00E2006A" w:rsidTr="00A40835">
        <w:tc>
          <w:tcPr>
            <w:tcW w:w="7370" w:type="dxa"/>
            <w:gridSpan w:val="2"/>
            <w:shd w:val="clear" w:color="auto" w:fill="auto"/>
          </w:tcPr>
          <w:p w:rsidR="00231AA4" w:rsidRPr="00284A3A" w:rsidRDefault="00231AA4" w:rsidP="00D97548">
            <w:pPr>
              <w:spacing w:before="40" w:after="100"/>
              <w:ind w:right="113"/>
              <w:rPr>
                <w:b/>
                <w:szCs w:val="24"/>
              </w:rPr>
            </w:pPr>
            <w:r w:rsidRPr="00284A3A">
              <w:rPr>
                <w:b/>
                <w:szCs w:val="24"/>
              </w:rPr>
              <w:t>Résumé de la réponse de l</w:t>
            </w:r>
            <w:r>
              <w:rPr>
                <w:b/>
                <w:szCs w:val="24"/>
              </w:rPr>
              <w:t>’</w:t>
            </w:r>
            <w:r w:rsidRPr="00284A3A">
              <w:rPr>
                <w:b/>
                <w:szCs w:val="24"/>
              </w:rPr>
              <w:t>État partie</w:t>
            </w:r>
          </w:p>
        </w:tc>
      </w:tr>
      <w:tr w:rsidR="00231AA4" w:rsidRPr="00E2006A" w:rsidTr="00A40835">
        <w:tc>
          <w:tcPr>
            <w:tcW w:w="7370" w:type="dxa"/>
            <w:gridSpan w:val="2"/>
            <w:shd w:val="clear" w:color="auto" w:fill="auto"/>
          </w:tcPr>
          <w:p w:rsidR="00231AA4" w:rsidRPr="00AA726E" w:rsidRDefault="00231AA4" w:rsidP="00D97548">
            <w:pPr>
              <w:spacing w:before="40" w:after="80"/>
              <w:ind w:right="113"/>
              <w:jc w:val="both"/>
              <w:rPr>
                <w:bCs/>
                <w:spacing w:val="-1"/>
                <w:szCs w:val="24"/>
              </w:rPr>
            </w:pPr>
            <w:r w:rsidRPr="00AA726E">
              <w:rPr>
                <w:bCs/>
                <w:spacing w:val="-1"/>
                <w:szCs w:val="24"/>
              </w:rPr>
              <w:t xml:space="preserve">La loi sur le droit à un procès équitable a été adoptée le 12 février 2015 et vise à établir des procédures de nomination et de révocation des juges qui soient transparentes et objectives. Elle énonce des motifs précis de mise en cause de la responsabilité des juges et prévoit différentes procédures disciplinaires, modifie la composition de la Commission supérieure de qualification des juges et du Conseil supérieur de la magistrature, et garantit l’accès à la justice, notamment en prévoyant des recours directs auprès de la Cour suprême. </w:t>
            </w:r>
          </w:p>
        </w:tc>
      </w:tr>
      <w:tr w:rsidR="00231AA4" w:rsidRPr="00E2006A" w:rsidTr="00A40835">
        <w:tc>
          <w:tcPr>
            <w:tcW w:w="7370" w:type="dxa"/>
            <w:gridSpan w:val="2"/>
            <w:shd w:val="clear" w:color="auto" w:fill="auto"/>
          </w:tcPr>
          <w:p w:rsidR="00231AA4" w:rsidRPr="00D84E96" w:rsidRDefault="00231AA4" w:rsidP="001D1097">
            <w:pPr>
              <w:spacing w:before="40" w:after="80"/>
              <w:ind w:right="113"/>
              <w:jc w:val="both"/>
              <w:rPr>
                <w:bCs/>
                <w:szCs w:val="24"/>
              </w:rPr>
            </w:pPr>
            <w:r w:rsidRPr="00D84E96">
              <w:rPr>
                <w:bCs/>
                <w:szCs w:val="24"/>
              </w:rPr>
              <w:t xml:space="preserve">La loi a été soumise à la Commission de Venise pour observations. Dans leur </w:t>
            </w:r>
            <w:r w:rsidR="001D1097">
              <w:rPr>
                <w:bCs/>
                <w:szCs w:val="24"/>
              </w:rPr>
              <w:t>a</w:t>
            </w:r>
            <w:r w:rsidRPr="00D84E96">
              <w:rPr>
                <w:bCs/>
                <w:szCs w:val="24"/>
              </w:rPr>
              <w:t>vis conjoint concernant la loi sur le système judiciaire et le statut des juges et la révision de la loi sur le Conseil supérieur de la magistrature, la Commission de Venise et la Direction générale des droits de l</w:t>
            </w:r>
            <w:r>
              <w:rPr>
                <w:bCs/>
                <w:szCs w:val="24"/>
              </w:rPr>
              <w:t>’</w:t>
            </w:r>
            <w:r w:rsidRPr="00D84E96">
              <w:rPr>
                <w:bCs/>
                <w:szCs w:val="24"/>
              </w:rPr>
              <w:t>homme du Conseil de l</w:t>
            </w:r>
            <w:r>
              <w:rPr>
                <w:bCs/>
                <w:szCs w:val="24"/>
              </w:rPr>
              <w:t>’</w:t>
            </w:r>
            <w:r w:rsidRPr="00D84E96">
              <w:rPr>
                <w:bCs/>
                <w:szCs w:val="24"/>
              </w:rPr>
              <w:t>Europe estiment que les problèmes les plus importants concernant l</w:t>
            </w:r>
            <w:r>
              <w:rPr>
                <w:bCs/>
                <w:szCs w:val="24"/>
              </w:rPr>
              <w:t>’</w:t>
            </w:r>
            <w:r w:rsidRPr="00D84E96">
              <w:rPr>
                <w:bCs/>
                <w:szCs w:val="24"/>
              </w:rPr>
              <w:t>indépendance de la magistrature tiennent davantage aux dispositions constitutionnelles qu</w:t>
            </w:r>
            <w:r>
              <w:rPr>
                <w:bCs/>
                <w:szCs w:val="24"/>
              </w:rPr>
              <w:t>’</w:t>
            </w:r>
            <w:r w:rsidRPr="00D84E96">
              <w:rPr>
                <w:bCs/>
                <w:szCs w:val="24"/>
              </w:rPr>
              <w:t>aux lois en question et qu</w:t>
            </w:r>
            <w:r>
              <w:rPr>
                <w:bCs/>
                <w:szCs w:val="24"/>
              </w:rPr>
              <w:t>’</w:t>
            </w:r>
            <w:r w:rsidRPr="00D84E96">
              <w:rPr>
                <w:bCs/>
                <w:szCs w:val="24"/>
              </w:rPr>
              <w:t xml:space="preserve">il faudrait modifier la Constitution pour mettre le système judiciaire ukrainien en conformité </w:t>
            </w:r>
            <w:r>
              <w:rPr>
                <w:bCs/>
                <w:szCs w:val="24"/>
              </w:rPr>
              <w:t xml:space="preserve">avec les normes européennes. En </w:t>
            </w:r>
            <w:r w:rsidRPr="00D84E96">
              <w:rPr>
                <w:bCs/>
                <w:szCs w:val="24"/>
              </w:rPr>
              <w:t xml:space="preserve">particulier, la Verkhovna Rada ne devrait plus jouer de rôle dans la nomination de juges à des postes permanents </w:t>
            </w:r>
            <w:r>
              <w:rPr>
                <w:bCs/>
                <w:szCs w:val="24"/>
              </w:rPr>
              <w:t>ni dans leur révocation</w:t>
            </w:r>
            <w:r w:rsidR="00A40835">
              <w:rPr>
                <w:bCs/>
                <w:szCs w:val="24"/>
              </w:rPr>
              <w:t> ;</w:t>
            </w:r>
            <w:r w:rsidRPr="00D84E96">
              <w:rPr>
                <w:bCs/>
                <w:szCs w:val="24"/>
              </w:rPr>
              <w:t xml:space="preserve"> la composition du Conseil supérieur de la magistrature devrait être modifiée afin qu</w:t>
            </w:r>
            <w:r>
              <w:rPr>
                <w:bCs/>
                <w:szCs w:val="24"/>
              </w:rPr>
              <w:t>’</w:t>
            </w:r>
            <w:r w:rsidRPr="00D84E96">
              <w:rPr>
                <w:bCs/>
                <w:szCs w:val="24"/>
              </w:rPr>
              <w:t>une partie importante, sinon la majorité, de ses membres soient des juges élus par leu</w:t>
            </w:r>
            <w:r>
              <w:rPr>
                <w:bCs/>
                <w:szCs w:val="24"/>
              </w:rPr>
              <w:t>rs pairs</w:t>
            </w:r>
            <w:r w:rsidR="00A40835">
              <w:rPr>
                <w:bCs/>
                <w:szCs w:val="24"/>
              </w:rPr>
              <w:t> ;</w:t>
            </w:r>
            <w:r w:rsidRPr="00D84E96">
              <w:rPr>
                <w:bCs/>
                <w:szCs w:val="24"/>
              </w:rPr>
              <w:t xml:space="preserve"> la Verkhovna Rada ne devrait plus jouer de rôle dans l</w:t>
            </w:r>
            <w:r>
              <w:rPr>
                <w:bCs/>
                <w:szCs w:val="24"/>
              </w:rPr>
              <w:t>a levée de l’immunité des juges</w:t>
            </w:r>
            <w:r w:rsidR="00A40835">
              <w:rPr>
                <w:bCs/>
                <w:szCs w:val="24"/>
              </w:rPr>
              <w:t> ;</w:t>
            </w:r>
            <w:r w:rsidRPr="00D84E96">
              <w:rPr>
                <w:bCs/>
                <w:szCs w:val="24"/>
              </w:rPr>
              <w:t xml:space="preserve"> le Président ne devrait plus avoir le pouvoir d</w:t>
            </w:r>
            <w:r>
              <w:rPr>
                <w:bCs/>
                <w:szCs w:val="24"/>
              </w:rPr>
              <w:t>’</w:t>
            </w:r>
            <w:r w:rsidRPr="00D84E96">
              <w:rPr>
                <w:bCs/>
                <w:szCs w:val="24"/>
              </w:rPr>
              <w:t xml:space="preserve">établir et de dissoudre des tribunaux. </w:t>
            </w:r>
          </w:p>
        </w:tc>
      </w:tr>
      <w:tr w:rsidR="00231AA4" w:rsidRPr="00E2006A" w:rsidTr="00A40835">
        <w:tc>
          <w:tcPr>
            <w:tcW w:w="7370" w:type="dxa"/>
            <w:gridSpan w:val="2"/>
            <w:shd w:val="clear" w:color="auto" w:fill="auto"/>
          </w:tcPr>
          <w:p w:rsidR="00231AA4" w:rsidRPr="002E661B" w:rsidRDefault="00231AA4" w:rsidP="001D3BD5">
            <w:pPr>
              <w:spacing w:before="40" w:after="80"/>
              <w:ind w:right="113"/>
              <w:jc w:val="both"/>
              <w:rPr>
                <w:bCs/>
                <w:szCs w:val="24"/>
              </w:rPr>
            </w:pPr>
            <w:r w:rsidRPr="002E661B">
              <w:rPr>
                <w:bCs/>
                <w:szCs w:val="24"/>
              </w:rPr>
              <w:t>Le 14</w:t>
            </w:r>
            <w:r w:rsidR="00AA1A0D">
              <w:rPr>
                <w:bCs/>
                <w:szCs w:val="24"/>
              </w:rPr>
              <w:t> </w:t>
            </w:r>
            <w:r w:rsidRPr="002E661B">
              <w:rPr>
                <w:bCs/>
                <w:szCs w:val="24"/>
              </w:rPr>
              <w:t>avril 2014, la Cour suprême a prononcé un non-lieu dans le cadre de la procédure pénale engagée au</w:t>
            </w:r>
            <w:r>
              <w:rPr>
                <w:bCs/>
                <w:szCs w:val="24"/>
              </w:rPr>
              <w:t xml:space="preserve"> titre de l’article</w:t>
            </w:r>
            <w:r w:rsidR="00AA1A0D">
              <w:rPr>
                <w:bCs/>
                <w:szCs w:val="24"/>
              </w:rPr>
              <w:t> </w:t>
            </w:r>
            <w:r>
              <w:rPr>
                <w:bCs/>
                <w:szCs w:val="24"/>
              </w:rPr>
              <w:t>365 (partie </w:t>
            </w:r>
            <w:r w:rsidRPr="002E661B">
              <w:rPr>
                <w:bCs/>
                <w:szCs w:val="24"/>
              </w:rPr>
              <w:t>3) du Code pénal contre l</w:t>
            </w:r>
            <w:r>
              <w:rPr>
                <w:bCs/>
                <w:szCs w:val="24"/>
              </w:rPr>
              <w:t>’</w:t>
            </w:r>
            <w:r w:rsidRPr="002E661B">
              <w:rPr>
                <w:bCs/>
                <w:szCs w:val="24"/>
              </w:rPr>
              <w:t>ancienne Première Ministre, Ioulia Timochenko</w:t>
            </w:r>
            <w:r>
              <w:rPr>
                <w:bCs/>
                <w:szCs w:val="24"/>
              </w:rPr>
              <w:t>. L’Ukraine a modifié l’article </w:t>
            </w:r>
            <w:r w:rsidRPr="002E661B">
              <w:rPr>
                <w:bCs/>
                <w:szCs w:val="24"/>
              </w:rPr>
              <w:t>365 du Code pénal pour répondre aux préoccupations soulevées par le Comité (</w:t>
            </w:r>
            <w:r>
              <w:rPr>
                <w:bCs/>
                <w:szCs w:val="24"/>
              </w:rPr>
              <w:t xml:space="preserve">la </w:t>
            </w:r>
            <w:r w:rsidRPr="002E661B">
              <w:rPr>
                <w:bCs/>
                <w:szCs w:val="24"/>
              </w:rPr>
              <w:t xml:space="preserve">loi </w:t>
            </w:r>
            <w:r w:rsidRPr="002E661B">
              <w:rPr>
                <w:rFonts w:eastAsia="MS Mincho"/>
                <w:bCs/>
                <w:szCs w:val="24"/>
              </w:rPr>
              <w:t>n</w:t>
            </w:r>
            <w:r w:rsidRPr="002E661B">
              <w:rPr>
                <w:rFonts w:eastAsia="MS Mincho"/>
                <w:bCs/>
                <w:szCs w:val="24"/>
                <w:vertAlign w:val="superscript"/>
              </w:rPr>
              <w:t>o</w:t>
            </w:r>
            <w:r w:rsidRPr="002E661B">
              <w:rPr>
                <w:bCs/>
                <w:szCs w:val="24"/>
              </w:rPr>
              <w:t> 746-VII du 21 février 2014 met la législation en conformité avec l</w:t>
            </w:r>
            <w:r>
              <w:rPr>
                <w:bCs/>
                <w:szCs w:val="24"/>
              </w:rPr>
              <w:t>’</w:t>
            </w:r>
            <w:r w:rsidRPr="002E661B">
              <w:rPr>
                <w:bCs/>
                <w:szCs w:val="24"/>
              </w:rPr>
              <w:t>article 19 de la Convention des Nations Unies contre la corruption).</w:t>
            </w:r>
          </w:p>
        </w:tc>
      </w:tr>
      <w:tr w:rsidR="00231AA4" w:rsidRPr="004C06AB" w:rsidTr="00A40835">
        <w:tc>
          <w:tcPr>
            <w:tcW w:w="7370" w:type="dxa"/>
            <w:gridSpan w:val="2"/>
            <w:shd w:val="clear" w:color="auto" w:fill="auto"/>
          </w:tcPr>
          <w:p w:rsidR="00231AA4" w:rsidRPr="00AA1A0D" w:rsidRDefault="00231AA4" w:rsidP="001D3BD5">
            <w:pPr>
              <w:spacing w:before="40" w:after="80"/>
              <w:ind w:right="113"/>
              <w:jc w:val="both"/>
              <w:rPr>
                <w:b/>
                <w:bCs/>
                <w:szCs w:val="24"/>
              </w:rPr>
            </w:pPr>
            <w:r w:rsidRPr="004C06AB">
              <w:rPr>
                <w:b/>
                <w:bCs/>
                <w:szCs w:val="24"/>
              </w:rPr>
              <w:t>Informations émanant d</w:t>
            </w:r>
            <w:r>
              <w:rPr>
                <w:b/>
                <w:bCs/>
                <w:szCs w:val="24"/>
              </w:rPr>
              <w:t>’</w:t>
            </w:r>
            <w:r w:rsidRPr="004C06AB">
              <w:rPr>
                <w:b/>
                <w:bCs/>
                <w:szCs w:val="24"/>
              </w:rPr>
              <w:t>organisations non gouvernementales</w:t>
            </w:r>
          </w:p>
        </w:tc>
      </w:tr>
      <w:tr w:rsidR="00AA1A0D" w:rsidRPr="00AA1A0D" w:rsidTr="00A40835">
        <w:tc>
          <w:tcPr>
            <w:tcW w:w="7370" w:type="dxa"/>
            <w:gridSpan w:val="2"/>
            <w:shd w:val="clear" w:color="auto" w:fill="auto"/>
          </w:tcPr>
          <w:p w:rsidR="00AA1A0D" w:rsidRPr="00AA1A0D" w:rsidRDefault="00AA1A0D" w:rsidP="001D3BD5">
            <w:pPr>
              <w:spacing w:before="40" w:after="80"/>
              <w:ind w:right="113"/>
              <w:jc w:val="both"/>
              <w:rPr>
                <w:b/>
                <w:bCs/>
                <w:szCs w:val="24"/>
                <w:lang w:val="en-US"/>
              </w:rPr>
            </w:pPr>
            <w:r w:rsidRPr="007326A7">
              <w:rPr>
                <w:bCs/>
                <w:i/>
                <w:szCs w:val="24"/>
                <w:lang w:val="en-US"/>
              </w:rPr>
              <w:t>Centre of Policy and Legal Reform</w:t>
            </w:r>
            <w:r w:rsidRPr="007326A7">
              <w:rPr>
                <w:bCs/>
                <w:szCs w:val="24"/>
                <w:lang w:val="en-US"/>
              </w:rPr>
              <w:t xml:space="preserve"> et </w:t>
            </w:r>
            <w:r w:rsidRPr="007326A7">
              <w:rPr>
                <w:bCs/>
                <w:i/>
                <w:szCs w:val="24"/>
                <w:lang w:val="en-US"/>
              </w:rPr>
              <w:t>Human Rights House Foundation</w:t>
            </w:r>
          </w:p>
        </w:tc>
      </w:tr>
      <w:tr w:rsidR="00231AA4" w:rsidRPr="00AA1A0D" w:rsidTr="00A40835">
        <w:tc>
          <w:tcPr>
            <w:tcW w:w="7370" w:type="dxa"/>
            <w:gridSpan w:val="2"/>
            <w:shd w:val="clear" w:color="auto" w:fill="auto"/>
          </w:tcPr>
          <w:p w:rsidR="00231AA4" w:rsidRPr="002234DB" w:rsidRDefault="00231AA4" w:rsidP="00AA1A0D">
            <w:pPr>
              <w:spacing w:before="40" w:after="120"/>
              <w:ind w:right="113"/>
              <w:jc w:val="both"/>
              <w:rPr>
                <w:bCs/>
                <w:szCs w:val="24"/>
              </w:rPr>
            </w:pPr>
            <w:r w:rsidRPr="002234DB">
              <w:rPr>
                <w:bCs/>
                <w:szCs w:val="24"/>
              </w:rPr>
              <w:t>La loi du 12</w:t>
            </w:r>
            <w:r w:rsidR="00AA1A0D" w:rsidRPr="002234DB">
              <w:rPr>
                <w:bCs/>
                <w:szCs w:val="24"/>
              </w:rPr>
              <w:t> </w:t>
            </w:r>
            <w:r w:rsidRPr="002234DB">
              <w:rPr>
                <w:bCs/>
                <w:szCs w:val="24"/>
              </w:rPr>
              <w:t>février 2015 sur le droit à un procès équitable contient des dispositions qui vont dans le bon sens et prévoient notamment un concours pour la sélection des juges et des membres du Conseil supérieur de la magistrature et de la Commission supérieure de qualification des juges, des procédures de recours direct auprès de la Cour suprême contre les décisions des tribunaux supérieurs et de nouveaux motifs pour ces recours, la mise en place d’un système d’évaluation régulière des juges par différents acteurs, et l’instauration de six sanctions disciplinaires au lieu de deux. Toutefois, cette loi a pour principal défaut de ne pas mettre un terme à l’influence politique à laquelle sont soumis les juges</w:t>
            </w:r>
            <w:r w:rsidR="00A40835" w:rsidRPr="002234DB">
              <w:rPr>
                <w:bCs/>
                <w:szCs w:val="24"/>
              </w:rPr>
              <w:t> :</w:t>
            </w:r>
            <w:r w:rsidRPr="002234DB">
              <w:rPr>
                <w:bCs/>
                <w:szCs w:val="24"/>
              </w:rPr>
              <w:t xml:space="preserve"> ce sont toujours le Président et le Parlement qui prennent les décisions finales concernant la nomination, l’avancement et la révocation des juges. </w:t>
            </w:r>
          </w:p>
        </w:tc>
      </w:tr>
      <w:tr w:rsidR="00231AA4" w:rsidRPr="00E2006A" w:rsidTr="00A40835">
        <w:tc>
          <w:tcPr>
            <w:tcW w:w="7370" w:type="dxa"/>
            <w:gridSpan w:val="2"/>
            <w:shd w:val="clear" w:color="auto" w:fill="auto"/>
          </w:tcPr>
          <w:p w:rsidR="00231AA4" w:rsidRPr="00272010" w:rsidRDefault="00231AA4" w:rsidP="003A3402">
            <w:pPr>
              <w:spacing w:before="40" w:after="120"/>
              <w:ind w:right="113"/>
              <w:jc w:val="both"/>
              <w:rPr>
                <w:bCs/>
                <w:szCs w:val="24"/>
              </w:rPr>
            </w:pPr>
            <w:r w:rsidRPr="00272010">
              <w:rPr>
                <w:bCs/>
                <w:szCs w:val="24"/>
              </w:rPr>
              <w:lastRenderedPageBreak/>
              <w:t>L</w:t>
            </w:r>
            <w:r>
              <w:rPr>
                <w:bCs/>
                <w:szCs w:val="24"/>
              </w:rPr>
              <w:t>’</w:t>
            </w:r>
            <w:r w:rsidRPr="00272010">
              <w:rPr>
                <w:bCs/>
                <w:szCs w:val="24"/>
              </w:rPr>
              <w:t>indépendance des juges est compromise par l</w:t>
            </w:r>
            <w:r>
              <w:rPr>
                <w:bCs/>
                <w:szCs w:val="24"/>
              </w:rPr>
              <w:t>’</w:t>
            </w:r>
            <w:r w:rsidRPr="00272010">
              <w:rPr>
                <w:bCs/>
                <w:szCs w:val="24"/>
              </w:rPr>
              <w:t>absence de critères spécifiques d</w:t>
            </w:r>
            <w:r>
              <w:rPr>
                <w:bCs/>
                <w:szCs w:val="24"/>
              </w:rPr>
              <w:t>’</w:t>
            </w:r>
            <w:r w:rsidRPr="00272010">
              <w:rPr>
                <w:bCs/>
                <w:szCs w:val="24"/>
              </w:rPr>
              <w:t>évaluation sur lesquels fonder les décisions de promotion. Les dispositions rendant les juges dépendants des autorités locales (logements de fonction) et du Service de sûreté de l</w:t>
            </w:r>
            <w:r>
              <w:rPr>
                <w:bCs/>
                <w:szCs w:val="24"/>
              </w:rPr>
              <w:t>’</w:t>
            </w:r>
            <w:r w:rsidRPr="00272010">
              <w:rPr>
                <w:bCs/>
                <w:szCs w:val="24"/>
              </w:rPr>
              <w:t>État (prime d</w:t>
            </w:r>
            <w:r>
              <w:rPr>
                <w:bCs/>
                <w:szCs w:val="24"/>
              </w:rPr>
              <w:t>’</w:t>
            </w:r>
            <w:r w:rsidRPr="00272010">
              <w:rPr>
                <w:bCs/>
                <w:szCs w:val="24"/>
              </w:rPr>
              <w:t>accès aux secrets d</w:t>
            </w:r>
            <w:r>
              <w:rPr>
                <w:bCs/>
                <w:szCs w:val="24"/>
              </w:rPr>
              <w:t>’</w:t>
            </w:r>
            <w:r w:rsidRPr="00272010">
              <w:rPr>
                <w:bCs/>
                <w:szCs w:val="24"/>
              </w:rPr>
              <w:t xml:space="preserve">État) ont également été conservées. </w:t>
            </w:r>
          </w:p>
        </w:tc>
      </w:tr>
      <w:tr w:rsidR="00231AA4" w:rsidRPr="00E2006A" w:rsidTr="00A40835">
        <w:tc>
          <w:tcPr>
            <w:tcW w:w="7370" w:type="dxa"/>
            <w:gridSpan w:val="2"/>
            <w:shd w:val="clear" w:color="auto" w:fill="auto"/>
          </w:tcPr>
          <w:p w:rsidR="00231AA4" w:rsidRPr="00937797" w:rsidRDefault="00231AA4" w:rsidP="003A3402">
            <w:pPr>
              <w:spacing w:before="40" w:after="120"/>
              <w:ind w:right="113"/>
              <w:jc w:val="both"/>
              <w:rPr>
                <w:bCs/>
                <w:szCs w:val="24"/>
              </w:rPr>
            </w:pPr>
            <w:r w:rsidRPr="00937797">
              <w:rPr>
                <w:bCs/>
                <w:szCs w:val="24"/>
              </w:rPr>
              <w:t>Un projet de loi portant modification de la Constitution a été soumis au Parlement le 25 novembre 2015. Il reprend un certain nombre de normes européennes concernant la nomination des juges à des postes permanents et, notamment, retire au Parlement le pouvoir de nommer et de révoquer les juges, prévoit que la majorité des membres du Conseil supérieur de la magistrature doivent être des juges, et limite l</w:t>
            </w:r>
            <w:r>
              <w:rPr>
                <w:bCs/>
                <w:szCs w:val="24"/>
              </w:rPr>
              <w:t>’</w:t>
            </w:r>
            <w:r w:rsidRPr="00937797">
              <w:rPr>
                <w:bCs/>
                <w:szCs w:val="24"/>
              </w:rPr>
              <w:t>immunité judiciaire à l</w:t>
            </w:r>
            <w:r>
              <w:rPr>
                <w:bCs/>
                <w:szCs w:val="24"/>
              </w:rPr>
              <w:t>’</w:t>
            </w:r>
            <w:r w:rsidRPr="00937797">
              <w:rPr>
                <w:bCs/>
                <w:szCs w:val="24"/>
              </w:rPr>
              <w:t>immunité fonctionnelle. Certaines dispositions de ce projet de loi continuent de poser problème, comme celles qui prévoient la mise en place d</w:t>
            </w:r>
            <w:r>
              <w:rPr>
                <w:bCs/>
                <w:szCs w:val="24"/>
              </w:rPr>
              <w:t>’</w:t>
            </w:r>
            <w:r w:rsidRPr="00937797">
              <w:rPr>
                <w:bCs/>
                <w:szCs w:val="24"/>
              </w:rPr>
              <w:t>un mécanisme politique pour la nomination et la révocation du Procureur général. Le projet de loi final répond dans une large mesure aux préoccupations exprimées par la Commission de Venise. Il a été adopté à titre préliminaire par le Parlement le 2 février 2016.</w:t>
            </w:r>
          </w:p>
        </w:tc>
      </w:tr>
      <w:tr w:rsidR="00231AA4" w:rsidRPr="00E2006A" w:rsidTr="00A40835">
        <w:tc>
          <w:tcPr>
            <w:tcW w:w="7370" w:type="dxa"/>
            <w:gridSpan w:val="2"/>
            <w:shd w:val="clear" w:color="auto" w:fill="auto"/>
          </w:tcPr>
          <w:p w:rsidR="00231AA4" w:rsidRPr="00937797" w:rsidRDefault="00231AA4" w:rsidP="005A5E07">
            <w:pPr>
              <w:spacing w:before="40" w:after="120"/>
              <w:ind w:right="113"/>
              <w:jc w:val="both"/>
              <w:rPr>
                <w:bCs/>
                <w:szCs w:val="24"/>
              </w:rPr>
            </w:pPr>
            <w:r w:rsidRPr="00937797">
              <w:rPr>
                <w:bCs/>
                <w:szCs w:val="24"/>
              </w:rPr>
              <w:t>Le Code de procédure pénale adopté en 2012 réduit le ris</w:t>
            </w:r>
            <w:r>
              <w:rPr>
                <w:bCs/>
                <w:szCs w:val="24"/>
              </w:rPr>
              <w:t>que de parti pris politique. La</w:t>
            </w:r>
            <w:r w:rsidR="005A5E07">
              <w:rPr>
                <w:bCs/>
                <w:szCs w:val="24"/>
              </w:rPr>
              <w:t> </w:t>
            </w:r>
            <w:r w:rsidRPr="00937797">
              <w:rPr>
                <w:bCs/>
                <w:szCs w:val="24"/>
              </w:rPr>
              <w:t>nouvelle loi sur le</w:t>
            </w:r>
            <w:r>
              <w:rPr>
                <w:bCs/>
                <w:szCs w:val="24"/>
              </w:rPr>
              <w:t xml:space="preserve"> ministère public adoptée le 14 </w:t>
            </w:r>
            <w:r w:rsidRPr="00937797">
              <w:rPr>
                <w:bCs/>
                <w:szCs w:val="24"/>
              </w:rPr>
              <w:t>octobre 2014 n</w:t>
            </w:r>
            <w:r>
              <w:rPr>
                <w:bCs/>
                <w:szCs w:val="24"/>
              </w:rPr>
              <w:t>’</w:t>
            </w:r>
            <w:r w:rsidRPr="00937797">
              <w:rPr>
                <w:bCs/>
                <w:szCs w:val="24"/>
              </w:rPr>
              <w:t>est pas encore pleinement entrée en vigueur</w:t>
            </w:r>
            <w:r w:rsidR="00A40835">
              <w:rPr>
                <w:bCs/>
                <w:szCs w:val="24"/>
              </w:rPr>
              <w:t> ;</w:t>
            </w:r>
            <w:r w:rsidRPr="00937797">
              <w:rPr>
                <w:bCs/>
                <w:szCs w:val="24"/>
              </w:rPr>
              <w:t xml:space="preserve"> le ministère public n</w:t>
            </w:r>
            <w:r>
              <w:rPr>
                <w:bCs/>
                <w:szCs w:val="24"/>
              </w:rPr>
              <w:t>’</w:t>
            </w:r>
            <w:r w:rsidRPr="00937797">
              <w:rPr>
                <w:bCs/>
                <w:szCs w:val="24"/>
              </w:rPr>
              <w:t>a donc pas été intégralement réformé, et les juges sont toujours soumis à des influences politiques.</w:t>
            </w:r>
          </w:p>
        </w:tc>
      </w:tr>
      <w:tr w:rsidR="00231AA4" w:rsidRPr="00E2006A" w:rsidTr="00A40835">
        <w:tc>
          <w:tcPr>
            <w:tcW w:w="7370" w:type="dxa"/>
            <w:gridSpan w:val="2"/>
            <w:shd w:val="clear" w:color="auto" w:fill="auto"/>
          </w:tcPr>
          <w:p w:rsidR="00231AA4" w:rsidRPr="00937797" w:rsidRDefault="00231AA4" w:rsidP="003A3402">
            <w:pPr>
              <w:spacing w:before="40" w:after="120"/>
              <w:ind w:right="113"/>
              <w:jc w:val="both"/>
              <w:rPr>
                <w:bCs/>
                <w:szCs w:val="24"/>
              </w:rPr>
            </w:pPr>
            <w:r>
              <w:rPr>
                <w:bCs/>
                <w:szCs w:val="24"/>
              </w:rPr>
              <w:t xml:space="preserve">L’ancienne Première Ministre, </w:t>
            </w:r>
            <w:r w:rsidRPr="00937797">
              <w:rPr>
                <w:bCs/>
                <w:szCs w:val="24"/>
              </w:rPr>
              <w:t>Ioulia Timochenko</w:t>
            </w:r>
            <w:r>
              <w:rPr>
                <w:bCs/>
                <w:szCs w:val="24"/>
              </w:rPr>
              <w:t>,</w:t>
            </w:r>
            <w:r w:rsidRPr="00937797">
              <w:rPr>
                <w:bCs/>
                <w:szCs w:val="24"/>
              </w:rPr>
              <w:t xml:space="preserve"> a été libérée en application d</w:t>
            </w:r>
            <w:r>
              <w:rPr>
                <w:bCs/>
                <w:szCs w:val="24"/>
              </w:rPr>
              <w:t>’</w:t>
            </w:r>
            <w:r w:rsidRPr="00937797">
              <w:rPr>
                <w:bCs/>
                <w:szCs w:val="24"/>
              </w:rPr>
              <w:t xml:space="preserve">une décision de </w:t>
            </w:r>
            <w:r>
              <w:rPr>
                <w:bCs/>
                <w:szCs w:val="24"/>
              </w:rPr>
              <w:t>la Verkhovna Rada en date du 22 </w:t>
            </w:r>
            <w:r w:rsidRPr="00937797">
              <w:rPr>
                <w:bCs/>
                <w:szCs w:val="24"/>
              </w:rPr>
              <w:t>février 2014. Le problème des poursuites sélectives et fondées sur des motifs politiques reste d</w:t>
            </w:r>
            <w:r>
              <w:rPr>
                <w:bCs/>
                <w:szCs w:val="24"/>
              </w:rPr>
              <w:t>’</w:t>
            </w:r>
            <w:r w:rsidRPr="00937797">
              <w:rPr>
                <w:bCs/>
                <w:szCs w:val="24"/>
              </w:rPr>
              <w:t>actualité en ce qui concerne le système de justice pénale.</w:t>
            </w:r>
          </w:p>
        </w:tc>
      </w:tr>
      <w:tr w:rsidR="00231AA4" w:rsidRPr="00E2006A" w:rsidTr="00A40835">
        <w:tc>
          <w:tcPr>
            <w:tcW w:w="7370" w:type="dxa"/>
            <w:gridSpan w:val="2"/>
            <w:shd w:val="clear" w:color="auto" w:fill="auto"/>
          </w:tcPr>
          <w:p w:rsidR="00231AA4" w:rsidRPr="000A488C" w:rsidRDefault="00231AA4" w:rsidP="00A40835">
            <w:pPr>
              <w:spacing w:before="40" w:after="120"/>
              <w:ind w:right="113"/>
              <w:rPr>
                <w:b/>
                <w:szCs w:val="24"/>
              </w:rPr>
            </w:pPr>
            <w:r w:rsidRPr="000A488C">
              <w:rPr>
                <w:b/>
                <w:szCs w:val="24"/>
              </w:rPr>
              <w:t xml:space="preserve">Évaluation du Comité </w:t>
            </w:r>
          </w:p>
        </w:tc>
      </w:tr>
      <w:tr w:rsidR="00231AA4" w:rsidRPr="00E2006A" w:rsidTr="00A40835">
        <w:tc>
          <w:tcPr>
            <w:tcW w:w="7370" w:type="dxa"/>
            <w:gridSpan w:val="2"/>
            <w:shd w:val="clear" w:color="auto" w:fill="auto"/>
          </w:tcPr>
          <w:p w:rsidR="00231AA4" w:rsidRPr="000A488C" w:rsidRDefault="00231AA4" w:rsidP="001D1097">
            <w:pPr>
              <w:spacing w:before="40" w:after="120"/>
              <w:ind w:right="113"/>
              <w:jc w:val="both"/>
              <w:rPr>
                <w:bCs/>
                <w:szCs w:val="24"/>
              </w:rPr>
            </w:pPr>
            <w:r w:rsidRPr="000A488C">
              <w:rPr>
                <w:b/>
                <w:szCs w:val="24"/>
              </w:rPr>
              <w:t>[B]</w:t>
            </w:r>
            <w:r w:rsidR="00A40835">
              <w:rPr>
                <w:szCs w:val="24"/>
              </w:rPr>
              <w:t> </w:t>
            </w:r>
            <w:r w:rsidR="00A40835" w:rsidRPr="005A5E07">
              <w:rPr>
                <w:b/>
                <w:szCs w:val="24"/>
              </w:rPr>
              <w:t>:</w:t>
            </w:r>
            <w:r w:rsidRPr="000A488C">
              <w:rPr>
                <w:szCs w:val="24"/>
              </w:rPr>
              <w:t xml:space="preserve"> Le Comité salue les mesures prises pour garantir l</w:t>
            </w:r>
            <w:r>
              <w:rPr>
                <w:szCs w:val="24"/>
              </w:rPr>
              <w:t>’</w:t>
            </w:r>
            <w:r w:rsidRPr="000A488C">
              <w:rPr>
                <w:szCs w:val="24"/>
              </w:rPr>
              <w:t>indépendance des juges, notamment les efforts faits pour modifier la Constitution</w:t>
            </w:r>
            <w:r>
              <w:rPr>
                <w:szCs w:val="24"/>
              </w:rPr>
              <w:t>, ainsi que l’adoption de la loi sur le ministère public et de la loi sur le droit à un procès équitable, respectivement le 14 octobre 2014 et le 12 février 2015</w:t>
            </w:r>
            <w:r w:rsidRPr="000A488C">
              <w:rPr>
                <w:szCs w:val="24"/>
              </w:rPr>
              <w:t xml:space="preserve">. Il demande des renseignements supplémentaires sur </w:t>
            </w:r>
            <w:r>
              <w:rPr>
                <w:szCs w:val="24"/>
              </w:rPr>
              <w:t xml:space="preserve">la teneur et la mise en œuvre de ces dispositions </w:t>
            </w:r>
            <w:r w:rsidRPr="000A488C">
              <w:rPr>
                <w:szCs w:val="24"/>
              </w:rPr>
              <w:t>et</w:t>
            </w:r>
            <w:r w:rsidR="00A40835">
              <w:rPr>
                <w:szCs w:val="24"/>
              </w:rPr>
              <w:t xml:space="preserve"> </w:t>
            </w:r>
            <w:r>
              <w:rPr>
                <w:szCs w:val="24"/>
              </w:rPr>
              <w:t>souhaite savoir</w:t>
            </w:r>
            <w:r w:rsidRPr="000A488C">
              <w:rPr>
                <w:szCs w:val="24"/>
              </w:rPr>
              <w:t xml:space="preserve"> dans quelle mesure les ingérences politiques dans le système judiciaire ont été supprimées</w:t>
            </w:r>
            <w:r>
              <w:rPr>
                <w:szCs w:val="24"/>
              </w:rPr>
              <w:t>,</w:t>
            </w:r>
            <w:r w:rsidRPr="000A488C">
              <w:rPr>
                <w:szCs w:val="24"/>
              </w:rPr>
              <w:t xml:space="preserve"> et si la nomination, l</w:t>
            </w:r>
            <w:r>
              <w:rPr>
                <w:szCs w:val="24"/>
              </w:rPr>
              <w:t>’</w:t>
            </w:r>
            <w:r w:rsidRPr="000A488C">
              <w:rPr>
                <w:szCs w:val="24"/>
              </w:rPr>
              <w:t>avancement, la suspension et la révocation des juges sont régis par des critères clairs et objectifs.</w:t>
            </w:r>
          </w:p>
        </w:tc>
      </w:tr>
      <w:tr w:rsidR="00231AA4" w:rsidRPr="00E2006A" w:rsidTr="00A40835">
        <w:tc>
          <w:tcPr>
            <w:tcW w:w="7370" w:type="dxa"/>
            <w:gridSpan w:val="2"/>
            <w:shd w:val="clear" w:color="auto" w:fill="auto"/>
          </w:tcPr>
          <w:p w:rsidR="00231AA4" w:rsidRPr="000A488C" w:rsidRDefault="00231AA4" w:rsidP="003A3402">
            <w:pPr>
              <w:spacing w:before="40" w:after="120"/>
              <w:ind w:right="113"/>
              <w:jc w:val="both"/>
              <w:rPr>
                <w:b/>
                <w:szCs w:val="24"/>
              </w:rPr>
            </w:pPr>
            <w:r w:rsidRPr="000A488C">
              <w:rPr>
                <w:b/>
                <w:szCs w:val="24"/>
              </w:rPr>
              <w:t>[B]</w:t>
            </w:r>
            <w:r w:rsidR="00A40835">
              <w:rPr>
                <w:szCs w:val="24"/>
              </w:rPr>
              <w:t> </w:t>
            </w:r>
            <w:r w:rsidR="00A40835" w:rsidRPr="005A5E07">
              <w:rPr>
                <w:b/>
                <w:szCs w:val="24"/>
              </w:rPr>
              <w:t>:</w:t>
            </w:r>
            <w:r w:rsidRPr="000A488C">
              <w:rPr>
                <w:szCs w:val="24"/>
              </w:rPr>
              <w:t xml:space="preserve"> Le Comité prend note avec satisfaction de l</w:t>
            </w:r>
            <w:r>
              <w:rPr>
                <w:szCs w:val="24"/>
              </w:rPr>
              <w:t>’</w:t>
            </w:r>
            <w:r w:rsidRPr="000A488C">
              <w:rPr>
                <w:szCs w:val="24"/>
              </w:rPr>
              <w:t>abandon de la procédure pénale engagée contre l</w:t>
            </w:r>
            <w:r>
              <w:rPr>
                <w:szCs w:val="24"/>
              </w:rPr>
              <w:t>’</w:t>
            </w:r>
            <w:r w:rsidRPr="000A488C">
              <w:rPr>
                <w:szCs w:val="24"/>
              </w:rPr>
              <w:t>ancienne Première Ministre Ioulia Timochenko, mais demande des informations complémentaires sur</w:t>
            </w:r>
            <w:r>
              <w:rPr>
                <w:szCs w:val="24"/>
              </w:rPr>
              <w:t xml:space="preserve"> les modifications de l’article </w:t>
            </w:r>
            <w:r w:rsidRPr="000A488C">
              <w:rPr>
                <w:szCs w:val="24"/>
              </w:rPr>
              <w:t xml:space="preserve">365 du Code pénal prévues par la loi </w:t>
            </w:r>
            <w:r w:rsidRPr="000A488C">
              <w:rPr>
                <w:rFonts w:eastAsia="MS Mincho"/>
                <w:szCs w:val="24"/>
              </w:rPr>
              <w:t>n</w:t>
            </w:r>
            <w:r w:rsidRPr="000A488C">
              <w:rPr>
                <w:rFonts w:eastAsia="MS Mincho"/>
                <w:szCs w:val="24"/>
                <w:vertAlign w:val="superscript"/>
              </w:rPr>
              <w:t>o</w:t>
            </w:r>
            <w:r w:rsidRPr="000A488C">
              <w:rPr>
                <w:rFonts w:eastAsia="MS Mincho"/>
                <w:szCs w:val="24"/>
              </w:rPr>
              <w:t> </w:t>
            </w:r>
            <w:r>
              <w:rPr>
                <w:szCs w:val="24"/>
              </w:rPr>
              <w:t>746-VII du 21 </w:t>
            </w:r>
            <w:r w:rsidRPr="000A488C">
              <w:rPr>
                <w:szCs w:val="24"/>
              </w:rPr>
              <w:t>février 2014, ainsi que sur toute autre mesure prise pour prévenir l</w:t>
            </w:r>
            <w:r>
              <w:rPr>
                <w:szCs w:val="24"/>
              </w:rPr>
              <w:t>’</w:t>
            </w:r>
            <w:r w:rsidRPr="000A488C">
              <w:rPr>
                <w:szCs w:val="24"/>
              </w:rPr>
              <w:t>engagement de poursui</w:t>
            </w:r>
            <w:r>
              <w:rPr>
                <w:szCs w:val="24"/>
              </w:rPr>
              <w:t>tes pour des motifs politiques.</w:t>
            </w:r>
          </w:p>
        </w:tc>
      </w:tr>
      <w:tr w:rsidR="00231AA4" w:rsidRPr="00E2006A" w:rsidTr="00A40835">
        <w:tc>
          <w:tcPr>
            <w:tcW w:w="7370" w:type="dxa"/>
            <w:gridSpan w:val="2"/>
            <w:shd w:val="clear" w:color="auto" w:fill="auto"/>
          </w:tcPr>
          <w:p w:rsidR="00231AA4" w:rsidRPr="000A488C" w:rsidRDefault="00231AA4" w:rsidP="003A3402">
            <w:pPr>
              <w:spacing w:before="40" w:after="120"/>
              <w:ind w:right="113"/>
              <w:jc w:val="both"/>
              <w:rPr>
                <w:szCs w:val="24"/>
              </w:rPr>
            </w:pPr>
            <w:r w:rsidRPr="000A488C">
              <w:rPr>
                <w:b/>
                <w:bCs/>
                <w:szCs w:val="24"/>
              </w:rPr>
              <w:t>Mesures recommandées</w:t>
            </w:r>
            <w:r w:rsidR="00A40835">
              <w:rPr>
                <w:bCs/>
                <w:szCs w:val="24"/>
              </w:rPr>
              <w:t> </w:t>
            </w:r>
            <w:r w:rsidR="00A40835" w:rsidRPr="007153CB">
              <w:rPr>
                <w:b/>
                <w:bCs/>
                <w:szCs w:val="24"/>
              </w:rPr>
              <w:t>:</w:t>
            </w:r>
            <w:r w:rsidRPr="000A488C">
              <w:rPr>
                <w:bCs/>
                <w:szCs w:val="24"/>
              </w:rPr>
              <w:t xml:space="preserve"> </w:t>
            </w:r>
            <w:r w:rsidRPr="000A488C">
              <w:rPr>
                <w:szCs w:val="24"/>
              </w:rPr>
              <w:t>Une lettre devrait être adressée à l</w:t>
            </w:r>
            <w:r>
              <w:rPr>
                <w:szCs w:val="24"/>
              </w:rPr>
              <w:t>’</w:t>
            </w:r>
            <w:r w:rsidRPr="000A488C">
              <w:rPr>
                <w:szCs w:val="24"/>
              </w:rPr>
              <w:t>État partie pour l</w:t>
            </w:r>
            <w:r>
              <w:rPr>
                <w:szCs w:val="24"/>
              </w:rPr>
              <w:t>’</w:t>
            </w:r>
            <w:r w:rsidRPr="000A488C">
              <w:rPr>
                <w:szCs w:val="24"/>
              </w:rPr>
              <w:t>informer de l</w:t>
            </w:r>
            <w:r>
              <w:rPr>
                <w:szCs w:val="24"/>
              </w:rPr>
              <w:t>’</w:t>
            </w:r>
            <w:r w:rsidR="007153CB">
              <w:rPr>
                <w:szCs w:val="24"/>
              </w:rPr>
              <w:t>arrêt de la procédure de suivi</w:t>
            </w:r>
            <w:r w:rsidRPr="000A488C">
              <w:rPr>
                <w:szCs w:val="24"/>
              </w:rPr>
              <w:t>.</w:t>
            </w:r>
            <w:r>
              <w:rPr>
                <w:szCs w:val="24"/>
              </w:rPr>
              <w:t xml:space="preserve"> Les informations demandées devraient être incluses dans le prochain rapport périodique de l’État partie.</w:t>
            </w:r>
          </w:p>
        </w:tc>
      </w:tr>
      <w:tr w:rsidR="00231AA4" w:rsidRPr="00E2006A" w:rsidTr="00A40835">
        <w:tc>
          <w:tcPr>
            <w:tcW w:w="7370" w:type="dxa"/>
            <w:gridSpan w:val="2"/>
            <w:tcBorders>
              <w:bottom w:val="single" w:sz="12" w:space="0" w:color="auto"/>
            </w:tcBorders>
            <w:shd w:val="clear" w:color="auto" w:fill="auto"/>
          </w:tcPr>
          <w:p w:rsidR="00231AA4" w:rsidRPr="00817475" w:rsidRDefault="00231AA4" w:rsidP="007153CB">
            <w:pPr>
              <w:spacing w:before="40" w:after="120"/>
              <w:ind w:right="113"/>
              <w:rPr>
                <w:bCs/>
                <w:szCs w:val="24"/>
              </w:rPr>
            </w:pPr>
            <w:r w:rsidRPr="00817475">
              <w:rPr>
                <w:b/>
                <w:bCs/>
                <w:szCs w:val="24"/>
              </w:rPr>
              <w:t>Prochain rapport périodique</w:t>
            </w:r>
            <w:r w:rsidR="00A40835">
              <w:rPr>
                <w:bCs/>
                <w:szCs w:val="24"/>
              </w:rPr>
              <w:t> </w:t>
            </w:r>
            <w:r w:rsidR="00A40835" w:rsidRPr="007153CB">
              <w:rPr>
                <w:b/>
                <w:bCs/>
                <w:szCs w:val="24"/>
              </w:rPr>
              <w:t>:</w:t>
            </w:r>
            <w:r w:rsidRPr="00817475">
              <w:rPr>
                <w:bCs/>
                <w:szCs w:val="24"/>
              </w:rPr>
              <w:t xml:space="preserve"> </w:t>
            </w:r>
            <w:r w:rsidRPr="00817475">
              <w:rPr>
                <w:szCs w:val="24"/>
              </w:rPr>
              <w:t>26</w:t>
            </w:r>
            <w:r w:rsidR="007153CB">
              <w:rPr>
                <w:szCs w:val="24"/>
              </w:rPr>
              <w:t> </w:t>
            </w:r>
            <w:r w:rsidRPr="00817475">
              <w:rPr>
                <w:szCs w:val="24"/>
              </w:rPr>
              <w:t>juillet 2018</w:t>
            </w:r>
          </w:p>
        </w:tc>
      </w:tr>
    </w:tbl>
    <w:p w:rsidR="00231AA4" w:rsidRPr="00E2006A" w:rsidRDefault="00F33578" w:rsidP="00F33578">
      <w:pPr>
        <w:pStyle w:val="HChG"/>
      </w:pPr>
      <w:r>
        <w:br w:type="page"/>
      </w:r>
      <w:r w:rsidR="00231AA4" w:rsidRPr="00E2006A">
        <w:lastRenderedPageBreak/>
        <w:tab/>
      </w:r>
      <w:r w:rsidR="00231AA4" w:rsidRPr="00E2006A">
        <w:tab/>
        <w:t>111</w:t>
      </w:r>
      <w:r w:rsidR="00231AA4" w:rsidRPr="00E2006A">
        <w:rPr>
          <w:vertAlign w:val="superscript"/>
        </w:rPr>
        <w:t>e</w:t>
      </w:r>
      <w:r w:rsidR="00231AA4" w:rsidRPr="00E2006A">
        <w:t xml:space="preserve"> session (juillet 2014)</w:t>
      </w:r>
    </w:p>
    <w:tbl>
      <w:tblPr>
        <w:tblW w:w="7370" w:type="dxa"/>
        <w:tblInd w:w="1134" w:type="dxa"/>
        <w:tblLayout w:type="fixed"/>
        <w:tblCellMar>
          <w:left w:w="0" w:type="dxa"/>
          <w:right w:w="0" w:type="dxa"/>
        </w:tblCellMar>
        <w:tblLook w:val="00A0" w:firstRow="1" w:lastRow="0" w:firstColumn="1" w:lastColumn="0" w:noHBand="0" w:noVBand="0"/>
      </w:tblPr>
      <w:tblGrid>
        <w:gridCol w:w="2811"/>
        <w:gridCol w:w="4559"/>
      </w:tblGrid>
      <w:tr w:rsidR="00231AA4" w:rsidRPr="00355D83" w:rsidTr="00355D83">
        <w:trPr>
          <w:tblHeader/>
        </w:trPr>
        <w:tc>
          <w:tcPr>
            <w:tcW w:w="7370" w:type="dxa"/>
            <w:gridSpan w:val="2"/>
            <w:tcBorders>
              <w:top w:val="single" w:sz="4" w:space="0" w:color="auto"/>
              <w:bottom w:val="single" w:sz="12" w:space="0" w:color="auto"/>
            </w:tcBorders>
            <w:shd w:val="clear" w:color="auto" w:fill="auto"/>
            <w:vAlign w:val="bottom"/>
          </w:tcPr>
          <w:p w:rsidR="00231AA4" w:rsidRPr="00355D83" w:rsidRDefault="00231AA4" w:rsidP="00355D83">
            <w:pPr>
              <w:spacing w:before="80" w:after="80" w:line="200" w:lineRule="exact"/>
              <w:ind w:right="113"/>
              <w:rPr>
                <w:i/>
                <w:sz w:val="16"/>
              </w:rPr>
            </w:pPr>
            <w:r w:rsidRPr="00355D83">
              <w:rPr>
                <w:i/>
                <w:sz w:val="16"/>
              </w:rPr>
              <w:t>Malawi</w:t>
            </w:r>
          </w:p>
        </w:tc>
      </w:tr>
      <w:tr w:rsidR="00355D83" w:rsidRPr="00355D83" w:rsidTr="00355D83">
        <w:trPr>
          <w:trHeight w:hRule="exact" w:val="113"/>
          <w:tblHeader/>
        </w:trPr>
        <w:tc>
          <w:tcPr>
            <w:tcW w:w="7370" w:type="dxa"/>
            <w:gridSpan w:val="2"/>
            <w:tcBorders>
              <w:top w:val="single" w:sz="12" w:space="0" w:color="auto"/>
            </w:tcBorders>
            <w:shd w:val="clear" w:color="auto" w:fill="auto"/>
          </w:tcPr>
          <w:p w:rsidR="00355D83" w:rsidRPr="00355D83" w:rsidRDefault="00355D83" w:rsidP="00355D83">
            <w:pPr>
              <w:spacing w:before="40" w:after="120"/>
              <w:ind w:right="113"/>
            </w:pPr>
          </w:p>
        </w:tc>
      </w:tr>
      <w:tr w:rsidR="00231AA4" w:rsidRPr="00355D83" w:rsidTr="00355D83">
        <w:tc>
          <w:tcPr>
            <w:tcW w:w="2811" w:type="dxa"/>
            <w:shd w:val="clear" w:color="auto" w:fill="auto"/>
          </w:tcPr>
          <w:p w:rsidR="00231AA4" w:rsidRPr="00355D83" w:rsidRDefault="00231AA4" w:rsidP="00355D83">
            <w:pPr>
              <w:spacing w:before="40" w:after="120"/>
              <w:ind w:right="113"/>
            </w:pPr>
            <w:r w:rsidRPr="00355D83">
              <w:t>Observations finales</w:t>
            </w:r>
            <w:r w:rsidR="00A40835" w:rsidRPr="00355D83">
              <w:t> :</w:t>
            </w:r>
          </w:p>
        </w:tc>
        <w:tc>
          <w:tcPr>
            <w:tcW w:w="4559" w:type="dxa"/>
            <w:shd w:val="clear" w:color="auto" w:fill="auto"/>
          </w:tcPr>
          <w:p w:rsidR="00231AA4" w:rsidRPr="00355D83" w:rsidRDefault="00231AA4" w:rsidP="00355D83">
            <w:pPr>
              <w:spacing w:before="40" w:after="120"/>
              <w:ind w:right="113"/>
              <w:rPr>
                <w:lang w:val="en-US" w:eastAsia="es-ES"/>
              </w:rPr>
            </w:pPr>
            <w:hyperlink r:id="rId13" w:history="1">
              <w:r w:rsidRPr="00505F0C">
                <w:rPr>
                  <w:rStyle w:val="Lienhypertextesuivivisit"/>
                  <w:lang w:val="en-US"/>
                </w:rPr>
                <w:t>CCPR/C/MWI</w:t>
              </w:r>
              <w:r w:rsidRPr="00505F0C">
                <w:rPr>
                  <w:rStyle w:val="Lienhypertextesuivivisit"/>
                  <w:lang w:val="en-US"/>
                </w:rPr>
                <w:t>/</w:t>
              </w:r>
              <w:r w:rsidRPr="00505F0C">
                <w:rPr>
                  <w:rStyle w:val="Lienhypertextesuivivisit"/>
                  <w:lang w:val="en-US"/>
                </w:rPr>
                <w:t>CO/1/Add.1</w:t>
              </w:r>
            </w:hyperlink>
            <w:r w:rsidRPr="00355D83">
              <w:rPr>
                <w:lang w:val="en-US"/>
              </w:rPr>
              <w:t xml:space="preserve">, 23 juillet 2014 </w:t>
            </w:r>
          </w:p>
        </w:tc>
      </w:tr>
      <w:tr w:rsidR="00231AA4" w:rsidRPr="00355D83" w:rsidTr="00355D83">
        <w:tc>
          <w:tcPr>
            <w:tcW w:w="2811" w:type="dxa"/>
            <w:shd w:val="clear" w:color="auto" w:fill="auto"/>
          </w:tcPr>
          <w:p w:rsidR="00231AA4" w:rsidRPr="00355D83" w:rsidRDefault="00231AA4" w:rsidP="00355D83">
            <w:pPr>
              <w:spacing w:before="40" w:after="120"/>
              <w:ind w:right="113"/>
            </w:pPr>
            <w:r w:rsidRPr="00355D83">
              <w:t>Paragraphes faisant l’objet</w:t>
            </w:r>
            <w:r w:rsidRPr="00355D83">
              <w:br/>
              <w:t>d’un suivi</w:t>
            </w:r>
            <w:r w:rsidR="00A40835" w:rsidRPr="00355D83">
              <w:t> :</w:t>
            </w:r>
          </w:p>
        </w:tc>
        <w:tc>
          <w:tcPr>
            <w:tcW w:w="4559" w:type="dxa"/>
            <w:shd w:val="clear" w:color="auto" w:fill="auto"/>
          </w:tcPr>
          <w:p w:rsidR="00231AA4" w:rsidRPr="00355D83" w:rsidRDefault="00231AA4" w:rsidP="00355D83">
            <w:pPr>
              <w:spacing w:before="40" w:after="120"/>
              <w:ind w:right="113"/>
              <w:rPr>
                <w:lang w:val="es-ES" w:eastAsia="es-ES"/>
              </w:rPr>
            </w:pPr>
            <w:r w:rsidRPr="00355D83">
              <w:t>12, 13, 24 et 25</w:t>
            </w:r>
          </w:p>
        </w:tc>
      </w:tr>
      <w:tr w:rsidR="00231AA4" w:rsidRPr="00355D83" w:rsidTr="00355D83">
        <w:tc>
          <w:tcPr>
            <w:tcW w:w="2811" w:type="dxa"/>
            <w:shd w:val="clear" w:color="auto" w:fill="auto"/>
          </w:tcPr>
          <w:p w:rsidR="00231AA4" w:rsidRPr="00355D83" w:rsidRDefault="00231AA4" w:rsidP="00355D83">
            <w:pPr>
              <w:spacing w:before="40" w:after="120"/>
              <w:ind w:right="113"/>
            </w:pPr>
            <w:r w:rsidRPr="00355D83">
              <w:t>Première réponse</w:t>
            </w:r>
            <w:r w:rsidR="00A40835" w:rsidRPr="00355D83">
              <w:t> :</w:t>
            </w:r>
          </w:p>
        </w:tc>
        <w:tc>
          <w:tcPr>
            <w:tcW w:w="4559" w:type="dxa"/>
            <w:shd w:val="clear" w:color="auto" w:fill="auto"/>
          </w:tcPr>
          <w:p w:rsidR="00231AA4" w:rsidRPr="00355D83" w:rsidRDefault="00231AA4" w:rsidP="00355D83">
            <w:pPr>
              <w:spacing w:before="40" w:after="120"/>
              <w:ind w:right="113"/>
              <w:rPr>
                <w:lang w:val="en-US" w:eastAsia="es-ES"/>
              </w:rPr>
            </w:pPr>
            <w:hyperlink r:id="rId14" w:history="1">
              <w:r w:rsidRPr="00505F0C">
                <w:rPr>
                  <w:rStyle w:val="Lienhypertextesuivivisit"/>
                  <w:lang w:val="en-US"/>
                </w:rPr>
                <w:t>CCPR/C/M</w:t>
              </w:r>
              <w:r w:rsidRPr="00505F0C">
                <w:rPr>
                  <w:rStyle w:val="Lienhypertextesuivivisit"/>
                  <w:lang w:val="en-US"/>
                </w:rPr>
                <w:t>W</w:t>
              </w:r>
              <w:r w:rsidRPr="00505F0C">
                <w:rPr>
                  <w:rStyle w:val="Lienhypertextesuivivisit"/>
                  <w:lang w:val="en-US"/>
                </w:rPr>
                <w:t>I/CO/1/Add.2</w:t>
              </w:r>
            </w:hyperlink>
            <w:r w:rsidRPr="00355D83">
              <w:rPr>
                <w:lang w:val="en-US"/>
              </w:rPr>
              <w:t>, 18 novembre 2016</w:t>
            </w:r>
          </w:p>
        </w:tc>
      </w:tr>
      <w:tr w:rsidR="00231AA4" w:rsidRPr="00355D83" w:rsidTr="00355D83">
        <w:tc>
          <w:tcPr>
            <w:tcW w:w="2811" w:type="dxa"/>
            <w:shd w:val="clear" w:color="auto" w:fill="auto"/>
          </w:tcPr>
          <w:p w:rsidR="00231AA4" w:rsidRPr="00355D83" w:rsidRDefault="00231AA4" w:rsidP="00355D83">
            <w:pPr>
              <w:spacing w:before="40" w:after="120"/>
              <w:ind w:right="113"/>
            </w:pPr>
            <w:r w:rsidRPr="00355D83">
              <w:t>Évaluation du Comité</w:t>
            </w:r>
            <w:r w:rsidR="00A40835" w:rsidRPr="00355D83">
              <w:t> :</w:t>
            </w:r>
          </w:p>
        </w:tc>
        <w:tc>
          <w:tcPr>
            <w:tcW w:w="4559" w:type="dxa"/>
            <w:shd w:val="clear" w:color="auto" w:fill="auto"/>
          </w:tcPr>
          <w:p w:rsidR="00231AA4" w:rsidRPr="00355D83" w:rsidRDefault="00231AA4" w:rsidP="00355D83">
            <w:pPr>
              <w:spacing w:before="40" w:after="120"/>
              <w:ind w:right="113"/>
            </w:pPr>
            <w:r w:rsidRPr="00355D83">
              <w:t>Des renseignements supplémentaires sont nécessaires sur les paragraphes 12</w:t>
            </w:r>
            <w:r w:rsidRPr="00355D83">
              <w:rPr>
                <w:b/>
              </w:rPr>
              <w:t>[B]</w:t>
            </w:r>
            <w:r w:rsidRPr="00355D83">
              <w:t>, 13</w:t>
            </w:r>
            <w:r w:rsidRPr="00355D83">
              <w:rPr>
                <w:b/>
              </w:rPr>
              <w:t>[C][C],</w:t>
            </w:r>
            <w:r w:rsidRPr="00355D83">
              <w:t xml:space="preserve"> 24</w:t>
            </w:r>
            <w:r w:rsidRPr="00355D83">
              <w:rPr>
                <w:b/>
              </w:rPr>
              <w:t>[C][C]</w:t>
            </w:r>
            <w:r w:rsidRPr="00355D83">
              <w:t xml:space="preserve"> et 25</w:t>
            </w:r>
            <w:r w:rsidRPr="00355D83">
              <w:rPr>
                <w:b/>
              </w:rPr>
              <w:t>[C]</w:t>
            </w:r>
          </w:p>
        </w:tc>
      </w:tr>
      <w:tr w:rsidR="00231AA4" w:rsidRPr="00355D83" w:rsidTr="00355D83">
        <w:tc>
          <w:tcPr>
            <w:tcW w:w="7370" w:type="dxa"/>
            <w:gridSpan w:val="2"/>
            <w:shd w:val="clear" w:color="auto" w:fill="auto"/>
          </w:tcPr>
          <w:p w:rsidR="00231AA4" w:rsidRPr="00355D83" w:rsidRDefault="00231AA4" w:rsidP="00355D83">
            <w:pPr>
              <w:spacing w:before="40" w:after="120"/>
              <w:ind w:right="113"/>
              <w:rPr>
                <w:b/>
                <w:lang w:eastAsia="en-GB"/>
              </w:rPr>
            </w:pPr>
            <w:r w:rsidRPr="00355D83">
              <w:rPr>
                <w:b/>
                <w:lang w:eastAsia="en-GB"/>
              </w:rPr>
              <w:t>Paragraphe 12</w:t>
            </w:r>
            <w:r w:rsidR="00A40835" w:rsidRPr="00355D83">
              <w:rPr>
                <w:b/>
                <w:lang w:eastAsia="en-GB"/>
              </w:rPr>
              <w:t> :</w:t>
            </w:r>
            <w:r w:rsidRPr="00355D83">
              <w:rPr>
                <w:b/>
                <w:lang w:eastAsia="en-GB"/>
              </w:rPr>
              <w:t xml:space="preserve"> Exécutions extrajudiciaires</w:t>
            </w:r>
          </w:p>
        </w:tc>
      </w:tr>
      <w:tr w:rsidR="00231AA4" w:rsidRPr="00355D83" w:rsidTr="00355D83">
        <w:tc>
          <w:tcPr>
            <w:tcW w:w="7370" w:type="dxa"/>
            <w:gridSpan w:val="2"/>
            <w:shd w:val="clear" w:color="auto" w:fill="auto"/>
          </w:tcPr>
          <w:p w:rsidR="00231AA4" w:rsidRPr="00355D83" w:rsidRDefault="00231AA4" w:rsidP="00BD5486">
            <w:pPr>
              <w:spacing w:before="40" w:after="120"/>
              <w:ind w:right="113"/>
              <w:jc w:val="both"/>
              <w:rPr>
                <w:b/>
                <w:lang w:eastAsia="en-GB"/>
              </w:rPr>
            </w:pPr>
            <w:r w:rsidRPr="00355D83">
              <w:rPr>
                <w:b/>
                <w:lang w:eastAsia="en-GB"/>
              </w:rPr>
              <w:t xml:space="preserve">L’État partie devrait poursuivre tous les auteurs présumés d’exécutions extrajudiciaires, mener promptement à terme toute procédure déjà engagée, punir ceux qui ont été reconnus coupables et protéger, réadapter et indemniser les victimes. </w:t>
            </w:r>
          </w:p>
        </w:tc>
      </w:tr>
      <w:tr w:rsidR="00231AA4" w:rsidRPr="00355D83" w:rsidTr="00355D83">
        <w:tc>
          <w:tcPr>
            <w:tcW w:w="7370" w:type="dxa"/>
            <w:gridSpan w:val="2"/>
            <w:shd w:val="clear" w:color="auto" w:fill="auto"/>
          </w:tcPr>
          <w:p w:rsidR="00231AA4" w:rsidRPr="00355D83" w:rsidRDefault="00231AA4" w:rsidP="00355D83">
            <w:pPr>
              <w:spacing w:before="40" w:after="120"/>
              <w:ind w:right="113"/>
              <w:rPr>
                <w:b/>
              </w:rPr>
            </w:pPr>
            <w:r w:rsidRPr="00355D83">
              <w:rPr>
                <w:b/>
              </w:rPr>
              <w:t>Résumé de la réponse de l’État partie</w:t>
            </w:r>
          </w:p>
        </w:tc>
      </w:tr>
      <w:tr w:rsidR="00231AA4" w:rsidRPr="00355D83" w:rsidTr="00355D83">
        <w:tc>
          <w:tcPr>
            <w:tcW w:w="7370" w:type="dxa"/>
            <w:gridSpan w:val="2"/>
            <w:shd w:val="clear" w:color="auto" w:fill="auto"/>
          </w:tcPr>
          <w:p w:rsidR="00231AA4" w:rsidRPr="00355D83" w:rsidRDefault="00231AA4" w:rsidP="00BD5486">
            <w:pPr>
              <w:spacing w:before="40" w:after="120"/>
              <w:ind w:right="113"/>
              <w:jc w:val="both"/>
            </w:pPr>
            <w:r w:rsidRPr="00355D83">
              <w:t>La police a enquêté sur les cas d’usage excessif de la force constatés pendant les manifestations qui se sont déroulées dans tout le pays en juillet 2011. Neuf policiers ont été accusés d’homicide</w:t>
            </w:r>
            <w:r w:rsidR="00A40835" w:rsidRPr="00355D83">
              <w:t> ;</w:t>
            </w:r>
            <w:r w:rsidRPr="00355D83">
              <w:t xml:space="preserve"> quatre de ces affaires sont examinées par les tribunaux, tandis que les autres sont examinées par le Directeur des poursuites publiques aux fins de l’ouverture de poursuites.</w:t>
            </w:r>
          </w:p>
        </w:tc>
      </w:tr>
      <w:tr w:rsidR="00231AA4" w:rsidRPr="00355D83" w:rsidTr="00355D83">
        <w:tc>
          <w:tcPr>
            <w:tcW w:w="7370" w:type="dxa"/>
            <w:gridSpan w:val="2"/>
            <w:shd w:val="clear" w:color="auto" w:fill="auto"/>
          </w:tcPr>
          <w:p w:rsidR="00231AA4" w:rsidRPr="00355D83" w:rsidRDefault="00231AA4" w:rsidP="00BD5486">
            <w:pPr>
              <w:spacing w:before="40" w:after="120"/>
              <w:ind w:right="113"/>
              <w:jc w:val="both"/>
            </w:pPr>
            <w:r w:rsidRPr="00355D83">
              <w:t xml:space="preserve">Le Bureau du Procureur général crée actuellement des mécanismes qui permettront l’indemnisation des vraies victimes. </w:t>
            </w:r>
          </w:p>
        </w:tc>
      </w:tr>
      <w:tr w:rsidR="00231AA4" w:rsidRPr="00355D83" w:rsidTr="00355D83">
        <w:tc>
          <w:tcPr>
            <w:tcW w:w="7370" w:type="dxa"/>
            <w:gridSpan w:val="2"/>
            <w:shd w:val="clear" w:color="auto" w:fill="auto"/>
          </w:tcPr>
          <w:p w:rsidR="00231AA4" w:rsidRPr="00355D83" w:rsidRDefault="00231AA4" w:rsidP="00355D83">
            <w:pPr>
              <w:spacing w:before="40" w:after="120"/>
              <w:ind w:right="113"/>
              <w:rPr>
                <w:b/>
              </w:rPr>
            </w:pPr>
            <w:r w:rsidRPr="00355D83">
              <w:rPr>
                <w:b/>
              </w:rPr>
              <w:t xml:space="preserve">Évaluation du Comité </w:t>
            </w:r>
          </w:p>
        </w:tc>
      </w:tr>
      <w:tr w:rsidR="00231AA4" w:rsidRPr="00355D83" w:rsidTr="00355D83">
        <w:tc>
          <w:tcPr>
            <w:tcW w:w="7370" w:type="dxa"/>
            <w:gridSpan w:val="2"/>
            <w:shd w:val="clear" w:color="auto" w:fill="auto"/>
          </w:tcPr>
          <w:p w:rsidR="00231AA4" w:rsidRPr="00355D83" w:rsidRDefault="00231AA4" w:rsidP="00BD5486">
            <w:pPr>
              <w:spacing w:before="40" w:after="120"/>
              <w:ind w:right="113"/>
              <w:jc w:val="both"/>
            </w:pPr>
            <w:r w:rsidRPr="00355D83">
              <w:rPr>
                <w:b/>
              </w:rPr>
              <w:t>[B]</w:t>
            </w:r>
            <w:r w:rsidR="00A40835" w:rsidRPr="00355D83">
              <w:t> </w:t>
            </w:r>
            <w:r w:rsidR="00A40835" w:rsidRPr="00120CB9">
              <w:rPr>
                <w:b/>
              </w:rPr>
              <w:t>:</w:t>
            </w:r>
            <w:r w:rsidRPr="00355D83">
              <w:t xml:space="preserve"> Le Comité prend note des informations communiquées, mais demande des renseignements supplémentaires sur</w:t>
            </w:r>
            <w:r w:rsidR="00A40835" w:rsidRPr="00355D83">
              <w:t> :</w:t>
            </w:r>
            <w:r w:rsidRPr="00355D83">
              <w:t xml:space="preserve"> a) l’issue des procédures judiciaires engagées contre les quatre policiers accusés d’homicide, y compris les condamnations prononcées et les peines imposées</w:t>
            </w:r>
            <w:r w:rsidR="00A40835" w:rsidRPr="00355D83">
              <w:t> ;</w:t>
            </w:r>
            <w:r w:rsidRPr="00355D83">
              <w:t xml:space="preserve"> b) l’état d’avancement des autres affaires examinées par le Directeur des poursuites publiques</w:t>
            </w:r>
            <w:r w:rsidR="00A40835" w:rsidRPr="00355D83">
              <w:t> ;</w:t>
            </w:r>
            <w:r w:rsidRPr="00355D83">
              <w:t xml:space="preserve"> c) les mesures que le Bureau du Procureur général a prises pour que les familles des victimes soient indemnisées et bénéficient de services de réadaptation, y compris, s’il y a lieu, le montant des indemnités versées et le type de services de réadaptation offerts. Le Comité demande également des renseignements sur les enquêtes menées, les poursuites engagées et les condamnations prononcées dans les affaires d’exécutions extrajudiciaires autres que celles des manifestations de juillet 2011. </w:t>
            </w:r>
          </w:p>
        </w:tc>
      </w:tr>
      <w:tr w:rsidR="00231AA4" w:rsidRPr="00355D83" w:rsidTr="00355D83">
        <w:tc>
          <w:tcPr>
            <w:tcW w:w="7370" w:type="dxa"/>
            <w:gridSpan w:val="2"/>
            <w:shd w:val="clear" w:color="auto" w:fill="auto"/>
          </w:tcPr>
          <w:p w:rsidR="00231AA4" w:rsidRPr="00355D83" w:rsidRDefault="00231AA4" w:rsidP="00355D83">
            <w:pPr>
              <w:spacing w:before="40" w:after="120"/>
              <w:ind w:right="113"/>
              <w:rPr>
                <w:b/>
              </w:rPr>
            </w:pPr>
            <w:r w:rsidRPr="00355D83">
              <w:rPr>
                <w:b/>
              </w:rPr>
              <w:t>Paragraphe 13</w:t>
            </w:r>
            <w:r w:rsidR="00A40835" w:rsidRPr="00355D83">
              <w:rPr>
                <w:b/>
              </w:rPr>
              <w:t> :</w:t>
            </w:r>
            <w:r w:rsidRPr="00355D83">
              <w:rPr>
                <w:b/>
              </w:rPr>
              <w:t xml:space="preserve"> Interdiction de la torture </w:t>
            </w:r>
          </w:p>
        </w:tc>
      </w:tr>
      <w:tr w:rsidR="00231AA4" w:rsidRPr="00355D83" w:rsidTr="00355D83">
        <w:tc>
          <w:tcPr>
            <w:tcW w:w="7370" w:type="dxa"/>
            <w:gridSpan w:val="2"/>
            <w:shd w:val="clear" w:color="auto" w:fill="auto"/>
          </w:tcPr>
          <w:p w:rsidR="00231AA4" w:rsidRPr="00355D83" w:rsidRDefault="00231AA4" w:rsidP="00120CB9">
            <w:pPr>
              <w:keepNext/>
              <w:spacing w:before="40" w:after="120"/>
              <w:ind w:right="113"/>
              <w:rPr>
                <w:b/>
              </w:rPr>
            </w:pPr>
            <w:r w:rsidRPr="00355D83">
              <w:rPr>
                <w:b/>
              </w:rPr>
              <w:t>L’État partie devrait</w:t>
            </w:r>
            <w:r w:rsidR="00A40835" w:rsidRPr="00355D83">
              <w:rPr>
                <w:b/>
              </w:rPr>
              <w:t> :</w:t>
            </w:r>
            <w:r w:rsidRPr="00355D83">
              <w:rPr>
                <w:b/>
              </w:rPr>
              <w:t xml:space="preserve"> </w:t>
            </w:r>
          </w:p>
        </w:tc>
      </w:tr>
      <w:tr w:rsidR="00231AA4" w:rsidRPr="00355D83" w:rsidTr="00355D83">
        <w:tc>
          <w:tcPr>
            <w:tcW w:w="7370" w:type="dxa"/>
            <w:gridSpan w:val="2"/>
            <w:shd w:val="clear" w:color="auto" w:fill="auto"/>
          </w:tcPr>
          <w:p w:rsidR="00231AA4" w:rsidRPr="00355D83" w:rsidRDefault="00231AA4" w:rsidP="00120CB9">
            <w:pPr>
              <w:spacing w:before="40" w:after="120"/>
              <w:ind w:right="113" w:firstLine="567"/>
              <w:jc w:val="both"/>
              <w:rPr>
                <w:b/>
              </w:rPr>
            </w:pPr>
            <w:r w:rsidRPr="00355D83">
              <w:rPr>
                <w:b/>
              </w:rPr>
              <w:t>a)</w:t>
            </w:r>
            <w:r w:rsidRPr="00355D83">
              <w:rPr>
                <w:b/>
              </w:rPr>
              <w:tab/>
              <w:t>Mettre rapidement en place la Commission indépendante chargée d’examiner les plaintes déposées contre la police et lui allouer les ressources humaines et financières nécessaires</w:t>
            </w:r>
            <w:r w:rsidR="00A40835" w:rsidRPr="00355D83">
              <w:rPr>
                <w:b/>
              </w:rPr>
              <w:t> ;</w:t>
            </w:r>
          </w:p>
        </w:tc>
      </w:tr>
      <w:tr w:rsidR="00231AA4" w:rsidRPr="00355D83" w:rsidTr="00355D83">
        <w:tc>
          <w:tcPr>
            <w:tcW w:w="7370" w:type="dxa"/>
            <w:gridSpan w:val="2"/>
            <w:shd w:val="clear" w:color="auto" w:fill="auto"/>
          </w:tcPr>
          <w:p w:rsidR="00231AA4" w:rsidRPr="00355D83" w:rsidRDefault="00231AA4" w:rsidP="00120CB9">
            <w:pPr>
              <w:spacing w:before="40" w:after="120"/>
              <w:ind w:right="113" w:firstLine="567"/>
              <w:jc w:val="both"/>
              <w:rPr>
                <w:b/>
              </w:rPr>
            </w:pPr>
            <w:r w:rsidRPr="00355D83">
              <w:rPr>
                <w:b/>
              </w:rPr>
              <w:t>b)</w:t>
            </w:r>
            <w:r w:rsidRPr="00355D83">
              <w:rPr>
                <w:b/>
              </w:rPr>
              <w:tab/>
              <w:t>Mettre en place un système central d’enregistrement de toutes les plaintes et rendre celles-ci accessibles au public</w:t>
            </w:r>
            <w:r w:rsidR="00A40835" w:rsidRPr="00355D83">
              <w:rPr>
                <w:b/>
              </w:rPr>
              <w:t> ;</w:t>
            </w:r>
          </w:p>
        </w:tc>
      </w:tr>
      <w:tr w:rsidR="00231AA4" w:rsidRPr="00355D83" w:rsidTr="00355D83">
        <w:tc>
          <w:tcPr>
            <w:tcW w:w="7370" w:type="dxa"/>
            <w:gridSpan w:val="2"/>
            <w:shd w:val="clear" w:color="auto" w:fill="auto"/>
          </w:tcPr>
          <w:p w:rsidR="00231AA4" w:rsidRPr="00355D83" w:rsidRDefault="00231AA4" w:rsidP="00120CB9">
            <w:pPr>
              <w:spacing w:before="40" w:after="120"/>
              <w:ind w:right="113" w:firstLine="567"/>
              <w:jc w:val="both"/>
              <w:rPr>
                <w:b/>
              </w:rPr>
            </w:pPr>
            <w:r w:rsidRPr="00355D83">
              <w:rPr>
                <w:b/>
              </w:rPr>
              <w:t>c)</w:t>
            </w:r>
            <w:r w:rsidRPr="00355D83">
              <w:rPr>
                <w:b/>
              </w:rPr>
              <w:tab/>
              <w:t>Enquêter sur tous les cas de torture, poursuivre les auteurs présumés de tels actes et indemniser les victimes</w:t>
            </w:r>
            <w:r w:rsidR="00A40835" w:rsidRPr="00355D83">
              <w:rPr>
                <w:b/>
              </w:rPr>
              <w:t> ;</w:t>
            </w:r>
          </w:p>
        </w:tc>
      </w:tr>
      <w:tr w:rsidR="00231AA4" w:rsidRPr="00355D83" w:rsidTr="00355D83">
        <w:tc>
          <w:tcPr>
            <w:tcW w:w="7370" w:type="dxa"/>
            <w:gridSpan w:val="2"/>
            <w:shd w:val="clear" w:color="auto" w:fill="auto"/>
          </w:tcPr>
          <w:p w:rsidR="00231AA4" w:rsidRPr="00355D83" w:rsidRDefault="00231AA4" w:rsidP="00120CB9">
            <w:pPr>
              <w:keepNext/>
              <w:spacing w:before="40" w:after="120"/>
              <w:ind w:right="113" w:firstLine="567"/>
              <w:jc w:val="both"/>
              <w:rPr>
                <w:b/>
              </w:rPr>
            </w:pPr>
            <w:r w:rsidRPr="00355D83">
              <w:rPr>
                <w:b/>
              </w:rPr>
              <w:lastRenderedPageBreak/>
              <w:t>d)</w:t>
            </w:r>
            <w:r w:rsidRPr="00355D83">
              <w:rPr>
                <w:b/>
              </w:rPr>
              <w:tab/>
              <w:t xml:space="preserve">Veiller à ce que la loi relative à la police respecte les Principes de base sur le recours à la </w:t>
            </w:r>
            <w:r w:rsidRPr="00355D83">
              <w:rPr>
                <w:b/>
                <w:iCs/>
              </w:rPr>
              <w:t>force</w:t>
            </w:r>
            <w:r w:rsidRPr="00355D83">
              <w:rPr>
                <w:b/>
              </w:rPr>
              <w:t xml:space="preserve"> et l’utilisation des armes à feu par les responsables de l’application des lois, adoptés par le huitième Congrès des Nations Unies pour la prévention du crime et le traitement des délinquants, et renforcer l’action menée pour donner aux policiers une formation relative aux droits de l’homme.</w:t>
            </w:r>
          </w:p>
        </w:tc>
      </w:tr>
      <w:tr w:rsidR="00231AA4" w:rsidRPr="00355D83" w:rsidTr="00355D83">
        <w:tc>
          <w:tcPr>
            <w:tcW w:w="7370" w:type="dxa"/>
            <w:gridSpan w:val="2"/>
            <w:shd w:val="clear" w:color="auto" w:fill="auto"/>
          </w:tcPr>
          <w:p w:rsidR="00231AA4" w:rsidRPr="00355D83" w:rsidRDefault="00231AA4" w:rsidP="00355D83">
            <w:pPr>
              <w:spacing w:before="40" w:after="120"/>
              <w:ind w:right="113"/>
              <w:rPr>
                <w:b/>
              </w:rPr>
            </w:pPr>
            <w:r w:rsidRPr="00355D83">
              <w:rPr>
                <w:b/>
              </w:rPr>
              <w:t xml:space="preserve">Résumé de la réponse de l’État partie </w:t>
            </w:r>
          </w:p>
        </w:tc>
      </w:tr>
      <w:tr w:rsidR="00231AA4" w:rsidRPr="00355D83" w:rsidTr="00355D83">
        <w:tc>
          <w:tcPr>
            <w:tcW w:w="7370" w:type="dxa"/>
            <w:gridSpan w:val="2"/>
            <w:shd w:val="clear" w:color="auto" w:fill="auto"/>
          </w:tcPr>
          <w:p w:rsidR="00231AA4" w:rsidRPr="00355D83" w:rsidRDefault="00231AA4" w:rsidP="00663BB0">
            <w:pPr>
              <w:spacing w:before="40" w:after="100"/>
              <w:ind w:right="113" w:firstLine="567"/>
              <w:jc w:val="both"/>
            </w:pPr>
            <w:r w:rsidRPr="00355D83">
              <w:t>a)</w:t>
            </w:r>
            <w:r w:rsidR="00120CB9">
              <w:tab/>
            </w:r>
            <w:r w:rsidRPr="00355D83">
              <w:t xml:space="preserve">En septembre 2015, deux expatriés ont engagé un processus de consultation avec des acteurs clefs aux fins de la création de la </w:t>
            </w:r>
            <w:r w:rsidR="00663BB0">
              <w:t>c</w:t>
            </w:r>
            <w:r w:rsidRPr="00355D83">
              <w:t>ommission indépendante chargée d’examiner les plaintes déposées contre la police</w:t>
            </w:r>
            <w:r w:rsidR="00A40835" w:rsidRPr="00355D83">
              <w:t> ;</w:t>
            </w:r>
          </w:p>
        </w:tc>
      </w:tr>
      <w:tr w:rsidR="00231AA4" w:rsidRPr="00355D83" w:rsidTr="00355D83">
        <w:tc>
          <w:tcPr>
            <w:tcW w:w="7370" w:type="dxa"/>
            <w:gridSpan w:val="2"/>
            <w:shd w:val="clear" w:color="auto" w:fill="auto"/>
          </w:tcPr>
          <w:p w:rsidR="00231AA4" w:rsidRPr="00355D83" w:rsidRDefault="00231AA4" w:rsidP="00663BB0">
            <w:pPr>
              <w:spacing w:before="40" w:after="100"/>
              <w:ind w:right="113" w:firstLine="567"/>
              <w:jc w:val="both"/>
            </w:pPr>
            <w:r w:rsidRPr="00355D83">
              <w:t>b) et c)</w:t>
            </w:r>
            <w:r w:rsidR="00120CB9">
              <w:tab/>
              <w:t xml:space="preserve">  </w:t>
            </w:r>
            <w:r w:rsidRPr="00355D83">
              <w:t xml:space="preserve">La </w:t>
            </w:r>
            <w:r w:rsidR="00663BB0">
              <w:t>c</w:t>
            </w:r>
            <w:r w:rsidRPr="00355D83">
              <w:t xml:space="preserve">ommission sera un organe indépendant chargé de recevoir et d’examiner les plaintes déposées contre des policiers, y compris celles qui concernent les décès ou les blessures imputables aux activités de la police ou survenus pendant la garde à vue. En attendant la création de la </w:t>
            </w:r>
            <w:r w:rsidR="00663BB0">
              <w:t>c</w:t>
            </w:r>
            <w:r w:rsidRPr="00355D83">
              <w:t>ommission, les enquêtes sur les fautes graves commises par la police sont menées par le Groupe des normes professionnelles de la police. Les auteurs font l’objet de poursuites ou de mesures disciplinaires, y compris la révocation. Les rapports du Groupe des normes professionnelles peuvent être mis à la disposition du public conformément à la réglementation applicable en matière d’accès à l’information</w:t>
            </w:r>
            <w:r w:rsidR="00A40835" w:rsidRPr="00355D83">
              <w:t> ;</w:t>
            </w:r>
          </w:p>
        </w:tc>
      </w:tr>
      <w:tr w:rsidR="00231AA4" w:rsidRPr="00355D83" w:rsidTr="00355D83">
        <w:tc>
          <w:tcPr>
            <w:tcW w:w="7370" w:type="dxa"/>
            <w:gridSpan w:val="2"/>
            <w:shd w:val="clear" w:color="auto" w:fill="auto"/>
          </w:tcPr>
          <w:p w:rsidR="00231AA4" w:rsidRPr="00355D83" w:rsidRDefault="00231AA4" w:rsidP="00013375">
            <w:pPr>
              <w:spacing w:before="40" w:after="100"/>
              <w:ind w:right="113" w:firstLine="567"/>
              <w:jc w:val="both"/>
              <w:rPr>
                <w:b/>
              </w:rPr>
            </w:pPr>
            <w:r w:rsidRPr="00355D83">
              <w:t>d)</w:t>
            </w:r>
            <w:r w:rsidR="00013375">
              <w:tab/>
            </w:r>
            <w:r w:rsidRPr="00355D83">
              <w:t>L’article 44 de la loi sur la police dispose que les armes à feu peuvent être utilisées contre toute personne poursuivie ou condamnée et légalement placée en détention qui s’évaderait ou tenterait de le faire, ainsi que contre toute personne qui aiderait ou tenterait d’aider par la force une personne légalement détenue à s’évader ou qui tenterait par la force d’empêcher sa propre arrestation ou l’arrestation d’un tiers. Dans tous ces cas, une sommation est adressée à l’intéressé et l’arme à feu n’est utilisée qu’en dernier ressort, lorsque toutes les autres options ont été épuisées. Le recours aux armes à feu doit servir à neutraliser et non à tuer.</w:t>
            </w:r>
          </w:p>
        </w:tc>
      </w:tr>
      <w:tr w:rsidR="00231AA4" w:rsidRPr="00355D83" w:rsidTr="00355D83">
        <w:tc>
          <w:tcPr>
            <w:tcW w:w="7370" w:type="dxa"/>
            <w:gridSpan w:val="2"/>
            <w:shd w:val="clear" w:color="auto" w:fill="auto"/>
          </w:tcPr>
          <w:p w:rsidR="00231AA4" w:rsidRPr="00355D83" w:rsidRDefault="00231AA4" w:rsidP="00013375">
            <w:pPr>
              <w:spacing w:before="40" w:after="100"/>
              <w:ind w:right="113"/>
              <w:jc w:val="both"/>
            </w:pPr>
            <w:r w:rsidRPr="00355D83">
              <w:t>Le paragraphe</w:t>
            </w:r>
            <w:r w:rsidR="00013375">
              <w:t> </w:t>
            </w:r>
            <w:r w:rsidRPr="00355D83">
              <w:t>4 de l’article</w:t>
            </w:r>
            <w:r w:rsidR="00013375">
              <w:t> </w:t>
            </w:r>
            <w:r w:rsidRPr="00355D83">
              <w:t>105</w:t>
            </w:r>
            <w:r w:rsidR="00A40835" w:rsidRPr="00355D83">
              <w:t xml:space="preserve"> </w:t>
            </w:r>
            <w:r w:rsidRPr="00355D83">
              <w:t>de la loi sur la police autorise le recours à la force et l’utilisation d’armes à feu pendant les émeutes, les rassemblements ou les manifestations contre toute personne qui tue ou blesse gravement un tiers ou tente de le faire, montre une intention manifeste de tuer ou de blesser un tiers,</w:t>
            </w:r>
            <w:r w:rsidR="00A40835" w:rsidRPr="00355D83">
              <w:t xml:space="preserve"> </w:t>
            </w:r>
            <w:r w:rsidRPr="00355D83">
              <w:t xml:space="preserve">détruit ou endommage gravement un bien jugé précieux ou tente de le faire ou montre une intention manifeste de détruire un bien jugé précieux. Le degré de force employé est fonction des actes à empêcher. Dans ces cas, la police peut utiliser une arme à feu ou un autre type d’arme. </w:t>
            </w:r>
          </w:p>
        </w:tc>
      </w:tr>
      <w:tr w:rsidR="00231AA4" w:rsidRPr="00355D83" w:rsidTr="00355D83">
        <w:tc>
          <w:tcPr>
            <w:tcW w:w="7370" w:type="dxa"/>
            <w:gridSpan w:val="2"/>
            <w:shd w:val="clear" w:color="auto" w:fill="auto"/>
          </w:tcPr>
          <w:p w:rsidR="00231AA4" w:rsidRPr="00355D83" w:rsidRDefault="00231AA4" w:rsidP="00BD5486">
            <w:pPr>
              <w:spacing w:before="40" w:after="120"/>
              <w:ind w:right="113"/>
              <w:jc w:val="both"/>
            </w:pPr>
            <w:r w:rsidRPr="00355D83">
              <w:t xml:space="preserve">L’État partie considère que les dispositions de la loi sur la police ne sont pas contraires aux Principes de base sur le recours à la </w:t>
            </w:r>
            <w:r w:rsidRPr="00355D83">
              <w:rPr>
                <w:iCs/>
              </w:rPr>
              <w:t>force</w:t>
            </w:r>
            <w:r w:rsidRPr="00355D83">
              <w:t xml:space="preserve"> et l’utilisation des armes à feu par les responsables de l’application des lois. </w:t>
            </w:r>
          </w:p>
        </w:tc>
      </w:tr>
      <w:tr w:rsidR="00231AA4" w:rsidRPr="00355D83" w:rsidTr="00355D83">
        <w:tc>
          <w:tcPr>
            <w:tcW w:w="7370" w:type="dxa"/>
            <w:gridSpan w:val="2"/>
            <w:shd w:val="clear" w:color="auto" w:fill="auto"/>
          </w:tcPr>
          <w:p w:rsidR="00231AA4" w:rsidRPr="00355D83" w:rsidRDefault="00231AA4" w:rsidP="00BD5486">
            <w:pPr>
              <w:spacing w:before="40" w:after="120"/>
              <w:ind w:right="113"/>
              <w:jc w:val="both"/>
            </w:pPr>
            <w:r w:rsidRPr="00355D83">
              <w:t xml:space="preserve">La formation de la police est fondée sur les Principes de base sur le recours à la </w:t>
            </w:r>
            <w:r w:rsidRPr="00355D83">
              <w:rPr>
                <w:iCs/>
              </w:rPr>
              <w:t>force</w:t>
            </w:r>
            <w:r w:rsidRPr="00355D83">
              <w:t xml:space="preserve"> et l’utilisation des armes à feu par les responsables de l’application des lois. Ces principes sont inculqués pendant la formation de base des policiers, au stade du recrutement, et dans le cadre des cours dispensés aux élèves policiers. </w:t>
            </w:r>
          </w:p>
        </w:tc>
      </w:tr>
      <w:tr w:rsidR="00231AA4" w:rsidRPr="00355D83" w:rsidTr="00355D83">
        <w:tc>
          <w:tcPr>
            <w:tcW w:w="7370" w:type="dxa"/>
            <w:gridSpan w:val="2"/>
            <w:shd w:val="clear" w:color="auto" w:fill="auto"/>
          </w:tcPr>
          <w:p w:rsidR="00231AA4" w:rsidRPr="00355D83" w:rsidRDefault="00231AA4" w:rsidP="00013375">
            <w:pPr>
              <w:keepNext/>
              <w:spacing w:before="40" w:after="120"/>
              <w:ind w:right="113"/>
              <w:rPr>
                <w:b/>
              </w:rPr>
            </w:pPr>
            <w:r w:rsidRPr="00355D83">
              <w:rPr>
                <w:b/>
              </w:rPr>
              <w:t xml:space="preserve">Évaluation du Comité </w:t>
            </w:r>
          </w:p>
        </w:tc>
      </w:tr>
      <w:tr w:rsidR="00231AA4" w:rsidRPr="00355D83" w:rsidTr="00355D83">
        <w:tc>
          <w:tcPr>
            <w:tcW w:w="7370" w:type="dxa"/>
            <w:gridSpan w:val="2"/>
            <w:shd w:val="clear" w:color="auto" w:fill="auto"/>
          </w:tcPr>
          <w:p w:rsidR="00231AA4" w:rsidRPr="00355D83" w:rsidRDefault="00231AA4" w:rsidP="00663BB0">
            <w:pPr>
              <w:spacing w:before="40" w:after="120"/>
              <w:ind w:right="113"/>
              <w:jc w:val="both"/>
            </w:pPr>
            <w:r w:rsidRPr="00355D83">
              <w:rPr>
                <w:b/>
              </w:rPr>
              <w:t xml:space="preserve">[C] </w:t>
            </w:r>
            <w:r w:rsidRPr="00355D83">
              <w:t>a), b) et c)</w:t>
            </w:r>
            <w:r w:rsidR="00A40835" w:rsidRPr="00355D83">
              <w:t> :</w:t>
            </w:r>
            <w:r w:rsidRPr="00355D83">
              <w:t xml:space="preserve"> Le Comité regrette le retard considérable enregistré dans la création de la </w:t>
            </w:r>
            <w:r w:rsidR="00663BB0">
              <w:t>c</w:t>
            </w:r>
            <w:r w:rsidRPr="00355D83">
              <w:t xml:space="preserve">ommission indépendante chargée d’examiner les plaintes déposées contre la police et demande des informations supplémentaires sur les progrès faits à cet égard, sur la composition de la </w:t>
            </w:r>
            <w:r w:rsidR="00663BB0">
              <w:t>c</w:t>
            </w:r>
            <w:r w:rsidRPr="00355D83">
              <w:t xml:space="preserve">ommission et sur l’autorité dont elle relèvera, ainsi que sur les mesures que l’État partie a prises pour que cet organe soit indépendant de la police et qu’il soit doté de ressources humaines et financières suffisantes pour lui permettre d’être efficace. Dans l’attente de la création de la </w:t>
            </w:r>
            <w:r w:rsidR="00663BB0">
              <w:t>c</w:t>
            </w:r>
            <w:r w:rsidRPr="00355D83">
              <w:t xml:space="preserve">ommission, le Comité demande des précisions sur la mesure dans laquelle les enquêtes relatives aux allégations de torture et de mauvais traitements menées par le Groupe des normes professionnelles de la police satisfont aux exigences d’indépendance et d’impartialité. </w:t>
            </w:r>
          </w:p>
        </w:tc>
      </w:tr>
      <w:tr w:rsidR="00231AA4" w:rsidRPr="00355D83" w:rsidTr="00355D83">
        <w:tc>
          <w:tcPr>
            <w:tcW w:w="7370" w:type="dxa"/>
            <w:gridSpan w:val="2"/>
            <w:shd w:val="clear" w:color="auto" w:fill="auto"/>
          </w:tcPr>
          <w:p w:rsidR="00231AA4" w:rsidRPr="00355D83" w:rsidRDefault="00231AA4" w:rsidP="00693D91">
            <w:pPr>
              <w:spacing w:before="40" w:after="100"/>
              <w:ind w:right="113"/>
              <w:jc w:val="both"/>
            </w:pPr>
            <w:r w:rsidRPr="00355D83">
              <w:lastRenderedPageBreak/>
              <w:t xml:space="preserve">Le Comité regrette que l’État partie n’ait pas indiqué s’il avait mis en place un système central d’enregistrement de toutes les plaintes pour torture et mauvais traitements, et si ces informations étaient mises à la disposition du public et/ou communiquées sur demande uniquement. Le Comité renouvelle sa recommandation. </w:t>
            </w:r>
          </w:p>
        </w:tc>
      </w:tr>
      <w:tr w:rsidR="00231AA4" w:rsidRPr="00355D83" w:rsidTr="00355D83">
        <w:tc>
          <w:tcPr>
            <w:tcW w:w="7370" w:type="dxa"/>
            <w:gridSpan w:val="2"/>
            <w:shd w:val="clear" w:color="auto" w:fill="auto"/>
          </w:tcPr>
          <w:p w:rsidR="00231AA4" w:rsidRPr="00355D83" w:rsidRDefault="00231AA4" w:rsidP="00693D91">
            <w:pPr>
              <w:spacing w:before="40" w:after="100"/>
              <w:ind w:right="113"/>
              <w:jc w:val="both"/>
            </w:pPr>
            <w:r w:rsidRPr="00355D83">
              <w:rPr>
                <w:b/>
              </w:rPr>
              <w:t xml:space="preserve">[C] </w:t>
            </w:r>
            <w:r w:rsidR="00C37DB9">
              <w:t>d)</w:t>
            </w:r>
            <w:r w:rsidR="00A40835" w:rsidRPr="00355D83">
              <w:t> :</w:t>
            </w:r>
            <w:r w:rsidRPr="00355D83">
              <w:t xml:space="preserve"> Le Comité prend note avec satisfaction des renseignements relatifs aux dispositions de la loi sur la police qui régissent l’utilisation des armes à feu, mais demande si l’utilisation d’armes à feu pour empêcher l’évasion d’une personne accusée ou déclarée coupable, prévue à l’article</w:t>
            </w:r>
            <w:r w:rsidR="00C37DB9">
              <w:t> </w:t>
            </w:r>
            <w:r w:rsidRPr="00355D83">
              <w:t>44, ou pour protéger un bien jugé précieux, comme le prévoit le paragraphe</w:t>
            </w:r>
            <w:r w:rsidR="00C37DB9">
              <w:t> </w:t>
            </w:r>
            <w:r w:rsidRPr="00355D83">
              <w:t>4 de l’article</w:t>
            </w:r>
            <w:r w:rsidR="00C37DB9">
              <w:t> </w:t>
            </w:r>
            <w:r w:rsidRPr="00355D83">
              <w:t xml:space="preserve">105, dans les cas où il n’y a pas de menace mortelle, est conforme aux Principes de base sur le recours à la </w:t>
            </w:r>
            <w:r w:rsidRPr="00355D83">
              <w:rPr>
                <w:iCs/>
              </w:rPr>
              <w:t>force</w:t>
            </w:r>
            <w:r w:rsidRPr="00355D83">
              <w:t xml:space="preserve"> et l’utilisation des armes à feu par les responsables de l’application des lois, qui prévoient que les responsables de l’application des lois ne peuvent faire usage d’armes à feu qu’en cas d’extrême nécessité, pour défendre des tiers contre une menace imminente de mort ou de blessure grave, ou pour prévenir une infraction particulièrement grave mettant sérieusement en danger des vies humaines. </w:t>
            </w:r>
          </w:p>
        </w:tc>
      </w:tr>
      <w:tr w:rsidR="00231AA4" w:rsidRPr="00355D83" w:rsidTr="00355D83">
        <w:tc>
          <w:tcPr>
            <w:tcW w:w="7370" w:type="dxa"/>
            <w:gridSpan w:val="2"/>
            <w:shd w:val="clear" w:color="auto" w:fill="auto"/>
          </w:tcPr>
          <w:p w:rsidR="00231AA4" w:rsidRPr="00355D83" w:rsidRDefault="00231AA4" w:rsidP="00C37DB9">
            <w:pPr>
              <w:keepNext/>
              <w:spacing w:before="40" w:after="120"/>
              <w:ind w:right="113"/>
              <w:rPr>
                <w:b/>
              </w:rPr>
            </w:pPr>
            <w:r w:rsidRPr="00355D83">
              <w:rPr>
                <w:b/>
              </w:rPr>
              <w:t>Paragraphe 24</w:t>
            </w:r>
            <w:r w:rsidR="00A40835" w:rsidRPr="00355D83">
              <w:rPr>
                <w:b/>
              </w:rPr>
              <w:t> :</w:t>
            </w:r>
            <w:r w:rsidRPr="00355D83">
              <w:rPr>
                <w:b/>
              </w:rPr>
              <w:t xml:space="preserve"> Abus sexuels sur enfants </w:t>
            </w:r>
          </w:p>
        </w:tc>
      </w:tr>
      <w:tr w:rsidR="00231AA4" w:rsidRPr="00355D83" w:rsidTr="00355D83">
        <w:tc>
          <w:tcPr>
            <w:tcW w:w="7370" w:type="dxa"/>
            <w:gridSpan w:val="2"/>
            <w:shd w:val="clear" w:color="auto" w:fill="auto"/>
          </w:tcPr>
          <w:p w:rsidR="00231AA4" w:rsidRPr="00355D83" w:rsidRDefault="00231AA4" w:rsidP="00FA496B">
            <w:pPr>
              <w:keepNext/>
              <w:spacing w:before="40" w:after="80"/>
              <w:ind w:right="113"/>
              <w:rPr>
                <w:b/>
              </w:rPr>
            </w:pPr>
            <w:r w:rsidRPr="00355D83">
              <w:rPr>
                <w:b/>
              </w:rPr>
              <w:t>L’État partie devrait</w:t>
            </w:r>
            <w:r w:rsidR="00A40835" w:rsidRPr="00355D83">
              <w:rPr>
                <w:b/>
              </w:rPr>
              <w:t> :</w:t>
            </w:r>
          </w:p>
        </w:tc>
      </w:tr>
      <w:tr w:rsidR="00231AA4" w:rsidRPr="00355D83" w:rsidTr="00355D83">
        <w:tc>
          <w:tcPr>
            <w:tcW w:w="7370" w:type="dxa"/>
            <w:gridSpan w:val="2"/>
            <w:shd w:val="clear" w:color="auto" w:fill="auto"/>
          </w:tcPr>
          <w:p w:rsidR="00231AA4" w:rsidRPr="00355D83" w:rsidRDefault="00231AA4" w:rsidP="00FA496B">
            <w:pPr>
              <w:spacing w:before="40" w:after="80"/>
              <w:ind w:right="113" w:firstLine="567"/>
              <w:jc w:val="both"/>
              <w:rPr>
                <w:b/>
              </w:rPr>
            </w:pPr>
            <w:r w:rsidRPr="00355D83">
              <w:rPr>
                <w:b/>
              </w:rPr>
              <w:t>a)</w:t>
            </w:r>
            <w:r w:rsidRPr="00355D83">
              <w:rPr>
                <w:b/>
              </w:rPr>
              <w:tab/>
              <w:t>Modifier le Code pénal de façon à ériger en infraction toutes les formes d’abus sexuels dont sont victimes les enfants, quel que soit leur sexe</w:t>
            </w:r>
            <w:r w:rsidR="00A40835" w:rsidRPr="00355D83">
              <w:rPr>
                <w:b/>
              </w:rPr>
              <w:t> ;</w:t>
            </w:r>
          </w:p>
        </w:tc>
      </w:tr>
      <w:tr w:rsidR="00231AA4" w:rsidRPr="00355D83" w:rsidTr="00355D83">
        <w:tc>
          <w:tcPr>
            <w:tcW w:w="7370" w:type="dxa"/>
            <w:gridSpan w:val="2"/>
            <w:shd w:val="clear" w:color="auto" w:fill="auto"/>
          </w:tcPr>
          <w:p w:rsidR="00231AA4" w:rsidRPr="00355D83" w:rsidRDefault="00231AA4" w:rsidP="00FA496B">
            <w:pPr>
              <w:spacing w:before="40" w:after="80"/>
              <w:ind w:right="113" w:firstLine="567"/>
              <w:jc w:val="both"/>
              <w:rPr>
                <w:b/>
              </w:rPr>
            </w:pPr>
            <w:r w:rsidRPr="00355D83">
              <w:rPr>
                <w:b/>
              </w:rPr>
              <w:t>b)</w:t>
            </w:r>
            <w:r w:rsidRPr="00355D83">
              <w:rPr>
                <w:b/>
              </w:rPr>
              <w:tab/>
              <w:t>Faire en sorte que tous les auteurs d’abus sexuels soient traduits en justice et que les affaires ne soient pas indûment classées sans suite, et assurer la réadaptation et l’indemnisation des victimes</w:t>
            </w:r>
            <w:r w:rsidR="00A40835" w:rsidRPr="00355D83">
              <w:rPr>
                <w:b/>
              </w:rPr>
              <w:t> ;</w:t>
            </w:r>
          </w:p>
        </w:tc>
      </w:tr>
      <w:tr w:rsidR="00231AA4" w:rsidRPr="00355D83" w:rsidTr="00355D83">
        <w:tc>
          <w:tcPr>
            <w:tcW w:w="7370" w:type="dxa"/>
            <w:gridSpan w:val="2"/>
            <w:shd w:val="clear" w:color="auto" w:fill="auto"/>
          </w:tcPr>
          <w:p w:rsidR="00231AA4" w:rsidRPr="00355D83" w:rsidRDefault="00231AA4" w:rsidP="00693D91">
            <w:pPr>
              <w:spacing w:before="40" w:after="100"/>
              <w:ind w:right="113" w:firstLine="567"/>
              <w:jc w:val="both"/>
              <w:rPr>
                <w:b/>
              </w:rPr>
            </w:pPr>
            <w:r w:rsidRPr="00355D83">
              <w:rPr>
                <w:b/>
              </w:rPr>
              <w:t>c)</w:t>
            </w:r>
            <w:r w:rsidRPr="00355D83">
              <w:rPr>
                <w:b/>
              </w:rPr>
              <w:tab/>
              <w:t>Veiller à ce que, en droit et dans la pratique, la « règle de la corroboration », selon laquelle la déposition d’un témoin est nécessaire, ne soit pas appliquée par les tribunaux dans les affaires de violence sexuelle de telle manière qu’elle entraîne l’impunité.</w:t>
            </w:r>
          </w:p>
        </w:tc>
      </w:tr>
      <w:tr w:rsidR="00231AA4" w:rsidRPr="00355D83" w:rsidTr="00355D83">
        <w:tc>
          <w:tcPr>
            <w:tcW w:w="7370" w:type="dxa"/>
            <w:gridSpan w:val="2"/>
            <w:shd w:val="clear" w:color="auto" w:fill="auto"/>
          </w:tcPr>
          <w:p w:rsidR="00231AA4" w:rsidRPr="00355D83" w:rsidRDefault="00231AA4" w:rsidP="00693D91">
            <w:pPr>
              <w:keepNext/>
              <w:spacing w:before="40" w:after="100"/>
              <w:ind w:right="113"/>
              <w:rPr>
                <w:b/>
              </w:rPr>
            </w:pPr>
            <w:r w:rsidRPr="00355D83">
              <w:rPr>
                <w:b/>
              </w:rPr>
              <w:t>Résumé de la réponse de l’État partie</w:t>
            </w:r>
          </w:p>
        </w:tc>
      </w:tr>
      <w:tr w:rsidR="00231AA4" w:rsidRPr="00355D83" w:rsidTr="00355D83">
        <w:tc>
          <w:tcPr>
            <w:tcW w:w="7370" w:type="dxa"/>
            <w:gridSpan w:val="2"/>
            <w:shd w:val="clear" w:color="auto" w:fill="auto"/>
          </w:tcPr>
          <w:p w:rsidR="00231AA4" w:rsidRPr="00355D83" w:rsidRDefault="00231AA4" w:rsidP="00693D91">
            <w:pPr>
              <w:spacing w:before="40" w:after="100"/>
              <w:ind w:right="113" w:firstLine="567"/>
              <w:jc w:val="both"/>
            </w:pPr>
            <w:r w:rsidRPr="00355D83">
              <w:t>b)</w:t>
            </w:r>
            <w:r w:rsidR="00693D91">
              <w:tab/>
            </w:r>
            <w:r w:rsidRPr="00355D83">
              <w:t xml:space="preserve">L’État ne peut pas décider seul d’abandonner une procédure, à moins qu’il n’existe pas suffisamment de preuves. En général, c’est la victime qui demande l’abandon de la procédure, et la juridiction chargée de l’affaire décide d’accepter ou non cette demande. Les policiers sont formés à examiner les raisons de ces demandes d’abandon des poursuites afin d’éviter que la victime ne soit soumise à des pressions. </w:t>
            </w:r>
          </w:p>
        </w:tc>
      </w:tr>
      <w:tr w:rsidR="00231AA4" w:rsidRPr="00355D83" w:rsidTr="00355D83">
        <w:tc>
          <w:tcPr>
            <w:tcW w:w="7370" w:type="dxa"/>
            <w:gridSpan w:val="2"/>
            <w:shd w:val="clear" w:color="auto" w:fill="auto"/>
          </w:tcPr>
          <w:p w:rsidR="00231AA4" w:rsidRPr="00355D83" w:rsidRDefault="00231AA4" w:rsidP="00693D91">
            <w:pPr>
              <w:spacing w:before="40" w:after="100"/>
              <w:ind w:right="113"/>
              <w:jc w:val="both"/>
            </w:pPr>
            <w:r w:rsidRPr="00355D83">
              <w:t>L’unité d’appui aux victimes contribue dans une large mesure à la réadaptation des victimes et fournit des services d’accompagnement psychologique de base. Les services de protection sociale du Ministère de l’égalité des sexes et le Centre polyvalent de Blantyre offrent des services d’accompagnement psychologique plus poussés. Les ONG jouent également un rôle essentiel dans ce domaine.</w:t>
            </w:r>
          </w:p>
        </w:tc>
      </w:tr>
      <w:tr w:rsidR="00231AA4" w:rsidRPr="00355D83" w:rsidTr="00355D83">
        <w:tc>
          <w:tcPr>
            <w:tcW w:w="7370" w:type="dxa"/>
            <w:gridSpan w:val="2"/>
            <w:shd w:val="clear" w:color="auto" w:fill="auto"/>
          </w:tcPr>
          <w:p w:rsidR="00231AA4" w:rsidRPr="00355D83" w:rsidRDefault="00231AA4" w:rsidP="00693D91">
            <w:pPr>
              <w:keepNext/>
              <w:spacing w:before="40" w:after="100"/>
              <w:ind w:right="113"/>
              <w:rPr>
                <w:b/>
              </w:rPr>
            </w:pPr>
            <w:r w:rsidRPr="00355D83">
              <w:rPr>
                <w:b/>
              </w:rPr>
              <w:t>Évaluation du Comité</w:t>
            </w:r>
          </w:p>
        </w:tc>
      </w:tr>
      <w:tr w:rsidR="00231AA4" w:rsidRPr="00355D83" w:rsidTr="00355D83">
        <w:tc>
          <w:tcPr>
            <w:tcW w:w="7370" w:type="dxa"/>
            <w:gridSpan w:val="2"/>
            <w:shd w:val="clear" w:color="auto" w:fill="auto"/>
          </w:tcPr>
          <w:p w:rsidR="00231AA4" w:rsidRPr="00355D83" w:rsidRDefault="00231AA4" w:rsidP="00693D91">
            <w:pPr>
              <w:spacing w:before="40" w:after="100"/>
              <w:ind w:right="113"/>
              <w:jc w:val="both"/>
            </w:pPr>
            <w:r w:rsidRPr="00355D83">
              <w:rPr>
                <w:b/>
              </w:rPr>
              <w:t>[C]</w:t>
            </w:r>
            <w:r w:rsidRPr="00355D83">
              <w:t> a) et c)</w:t>
            </w:r>
            <w:r w:rsidR="00A40835" w:rsidRPr="00355D83">
              <w:t> :</w:t>
            </w:r>
            <w:r w:rsidRPr="00355D83">
              <w:t xml:space="preserve"> Le Comité regrette que l’État partie n’ait pas communiqué de renseignements concernant les mesures prises pour criminaliser toutes les formes de violence sexuelle dont sont victimes les enfants, quel que soit leur sexe, et pour que la « règle de la corroboration », selon laquelle la déposition d’un témoin est nécessaire, ne soit pas appliquée par les tribunaux dans les affaires de violence sexuelle de telle manière qu’elle entraîne l’impunité. Le Comité renouvelle ses recommandations.</w:t>
            </w:r>
          </w:p>
        </w:tc>
      </w:tr>
      <w:tr w:rsidR="00231AA4" w:rsidRPr="00355D83" w:rsidTr="00355D83">
        <w:tc>
          <w:tcPr>
            <w:tcW w:w="7370" w:type="dxa"/>
            <w:gridSpan w:val="2"/>
            <w:shd w:val="clear" w:color="auto" w:fill="auto"/>
          </w:tcPr>
          <w:p w:rsidR="00231AA4" w:rsidRPr="00355D83" w:rsidRDefault="00231AA4" w:rsidP="00693D91">
            <w:pPr>
              <w:spacing w:before="40" w:after="100"/>
              <w:ind w:right="113"/>
              <w:jc w:val="both"/>
            </w:pPr>
            <w:r w:rsidRPr="00355D83">
              <w:rPr>
                <w:b/>
              </w:rPr>
              <w:t>[C]</w:t>
            </w:r>
            <w:r w:rsidRPr="00355D83">
              <w:t> b)</w:t>
            </w:r>
            <w:r w:rsidR="00A40835" w:rsidRPr="00355D83">
              <w:t> :</w:t>
            </w:r>
            <w:r w:rsidRPr="00355D83">
              <w:t xml:space="preserve"> Le Comité prend note des renseignements communiqués, mais demande des informations plus précises sur les mesures que l’État partie a prises depuis l’adoption des observations finales pour traduire en justice tous les auteurs de violences sexuelles à l’égard d’enfants. Il demande également des informations sur l’indemnisation et les services de réadaptation offerts aux victimes dans la pratique. Le Comité renouvelle ses recommandations. </w:t>
            </w:r>
          </w:p>
        </w:tc>
      </w:tr>
      <w:tr w:rsidR="00231AA4" w:rsidRPr="00355D83" w:rsidTr="00355D83">
        <w:tc>
          <w:tcPr>
            <w:tcW w:w="7370" w:type="dxa"/>
            <w:gridSpan w:val="2"/>
            <w:shd w:val="clear" w:color="auto" w:fill="auto"/>
          </w:tcPr>
          <w:p w:rsidR="00231AA4" w:rsidRPr="00355D83" w:rsidRDefault="00231AA4" w:rsidP="00490528">
            <w:pPr>
              <w:keepNext/>
              <w:spacing w:before="40" w:after="120"/>
              <w:ind w:right="113"/>
              <w:rPr>
                <w:b/>
              </w:rPr>
            </w:pPr>
            <w:r w:rsidRPr="00355D83">
              <w:rPr>
                <w:b/>
              </w:rPr>
              <w:lastRenderedPageBreak/>
              <w:t>Paragraphe 25</w:t>
            </w:r>
            <w:r w:rsidR="00A40835" w:rsidRPr="00355D83">
              <w:rPr>
                <w:b/>
              </w:rPr>
              <w:t> :</w:t>
            </w:r>
            <w:r w:rsidRPr="00355D83">
              <w:rPr>
                <w:b/>
              </w:rPr>
              <w:t xml:space="preserve"> Mariages forcés et mariages d’enfants </w:t>
            </w:r>
          </w:p>
        </w:tc>
      </w:tr>
      <w:tr w:rsidR="00231AA4" w:rsidRPr="00355D83" w:rsidTr="00355D83">
        <w:tc>
          <w:tcPr>
            <w:tcW w:w="7370" w:type="dxa"/>
            <w:gridSpan w:val="2"/>
            <w:shd w:val="clear" w:color="auto" w:fill="auto"/>
          </w:tcPr>
          <w:p w:rsidR="00231AA4" w:rsidRPr="00355D83" w:rsidRDefault="00231AA4" w:rsidP="00490528">
            <w:pPr>
              <w:keepNext/>
              <w:spacing w:before="40" w:after="120"/>
              <w:ind w:right="113"/>
              <w:rPr>
                <w:b/>
              </w:rPr>
            </w:pPr>
            <w:r w:rsidRPr="00355D83">
              <w:rPr>
                <w:b/>
              </w:rPr>
              <w:t>L’État partie devrait</w:t>
            </w:r>
            <w:r w:rsidR="00A40835" w:rsidRPr="00355D83">
              <w:rPr>
                <w:b/>
              </w:rPr>
              <w:t> :</w:t>
            </w:r>
          </w:p>
        </w:tc>
      </w:tr>
      <w:tr w:rsidR="00231AA4" w:rsidRPr="00355D83" w:rsidTr="00355D83">
        <w:tc>
          <w:tcPr>
            <w:tcW w:w="7370" w:type="dxa"/>
            <w:gridSpan w:val="2"/>
            <w:shd w:val="clear" w:color="auto" w:fill="auto"/>
          </w:tcPr>
          <w:p w:rsidR="00231AA4" w:rsidRPr="00355D83" w:rsidRDefault="00231AA4" w:rsidP="00490528">
            <w:pPr>
              <w:spacing w:before="40" w:after="120"/>
              <w:ind w:right="113" w:firstLine="567"/>
              <w:jc w:val="both"/>
              <w:rPr>
                <w:b/>
              </w:rPr>
            </w:pPr>
            <w:r w:rsidRPr="00355D83">
              <w:rPr>
                <w:b/>
              </w:rPr>
              <w:t>a)</w:t>
            </w:r>
            <w:r w:rsidRPr="00355D83">
              <w:rPr>
                <w:b/>
              </w:rPr>
              <w:tab/>
              <w:t>Accélérer l’adoption de la loi sur le mariage, le divorce et les relations familiales et faire en sorte qu’elle érige explicitement en infraction les mariages forcés et les mariages d’enfants et fixe l’âge minimum du mariage conformément aux normes internationales</w:t>
            </w:r>
            <w:r w:rsidR="00A40835" w:rsidRPr="00355D83">
              <w:rPr>
                <w:b/>
              </w:rPr>
              <w:t> ;</w:t>
            </w:r>
            <w:r w:rsidRPr="00355D83">
              <w:rPr>
                <w:b/>
              </w:rPr>
              <w:t xml:space="preserve"> </w:t>
            </w:r>
          </w:p>
        </w:tc>
      </w:tr>
      <w:tr w:rsidR="00231AA4" w:rsidRPr="00355D83" w:rsidTr="00355D83">
        <w:tc>
          <w:tcPr>
            <w:tcW w:w="7370" w:type="dxa"/>
            <w:gridSpan w:val="2"/>
            <w:shd w:val="clear" w:color="auto" w:fill="auto"/>
          </w:tcPr>
          <w:p w:rsidR="00231AA4" w:rsidRPr="00355D83" w:rsidRDefault="00231AA4" w:rsidP="00490528">
            <w:pPr>
              <w:spacing w:before="40" w:after="120"/>
              <w:ind w:right="113" w:firstLine="567"/>
              <w:jc w:val="both"/>
              <w:rPr>
                <w:b/>
              </w:rPr>
            </w:pPr>
            <w:r w:rsidRPr="00355D83">
              <w:rPr>
                <w:b/>
              </w:rPr>
              <w:t>b)</w:t>
            </w:r>
            <w:r w:rsidRPr="00355D83">
              <w:rPr>
                <w:b/>
              </w:rPr>
              <w:tab/>
              <w:t>Fournir une formation aux parties prenantes concernées et mener des campagnes de sensibilisation en vue de prévenir les mariages forcés et les mariages d’enfants</w:t>
            </w:r>
            <w:r w:rsidR="00A40835" w:rsidRPr="00355D83">
              <w:rPr>
                <w:b/>
              </w:rPr>
              <w:t> ;</w:t>
            </w:r>
          </w:p>
        </w:tc>
      </w:tr>
      <w:tr w:rsidR="00231AA4" w:rsidRPr="00355D83" w:rsidTr="00355D83">
        <w:tc>
          <w:tcPr>
            <w:tcW w:w="7370" w:type="dxa"/>
            <w:gridSpan w:val="2"/>
            <w:shd w:val="clear" w:color="auto" w:fill="auto"/>
          </w:tcPr>
          <w:p w:rsidR="00231AA4" w:rsidRPr="00355D83" w:rsidRDefault="00231AA4" w:rsidP="00490528">
            <w:pPr>
              <w:spacing w:before="40" w:after="120"/>
              <w:ind w:right="113" w:firstLine="567"/>
              <w:jc w:val="both"/>
              <w:rPr>
                <w:b/>
              </w:rPr>
            </w:pPr>
            <w:r w:rsidRPr="00355D83">
              <w:rPr>
                <w:b/>
              </w:rPr>
              <w:t>c)</w:t>
            </w:r>
            <w:r w:rsidRPr="00355D83">
              <w:rPr>
                <w:b/>
              </w:rPr>
              <w:tab/>
              <w:t>Poursuivre les auteurs présumés, punir les coupables et indemniser les victimes.</w:t>
            </w:r>
          </w:p>
        </w:tc>
      </w:tr>
      <w:tr w:rsidR="00231AA4" w:rsidRPr="00355D83" w:rsidTr="00355D83">
        <w:tc>
          <w:tcPr>
            <w:tcW w:w="7370" w:type="dxa"/>
            <w:gridSpan w:val="2"/>
            <w:shd w:val="clear" w:color="auto" w:fill="auto"/>
          </w:tcPr>
          <w:p w:rsidR="00231AA4" w:rsidRPr="00355D83" w:rsidRDefault="00231AA4" w:rsidP="00490528">
            <w:pPr>
              <w:keepNext/>
              <w:spacing w:before="40" w:after="120"/>
              <w:ind w:right="113"/>
              <w:rPr>
                <w:b/>
              </w:rPr>
            </w:pPr>
            <w:r w:rsidRPr="00355D83">
              <w:rPr>
                <w:b/>
              </w:rPr>
              <w:t xml:space="preserve">Résumé de la réponse de l’État partie </w:t>
            </w:r>
          </w:p>
        </w:tc>
      </w:tr>
      <w:tr w:rsidR="00231AA4" w:rsidRPr="00355D83" w:rsidTr="00355D83">
        <w:tc>
          <w:tcPr>
            <w:tcW w:w="7370" w:type="dxa"/>
            <w:gridSpan w:val="2"/>
            <w:shd w:val="clear" w:color="auto" w:fill="auto"/>
          </w:tcPr>
          <w:p w:rsidR="00231AA4" w:rsidRPr="00355D83" w:rsidRDefault="00231AA4" w:rsidP="00355D83">
            <w:pPr>
              <w:spacing w:before="40" w:after="120"/>
              <w:ind w:right="113"/>
            </w:pPr>
            <w:r w:rsidRPr="00355D83">
              <w:t>Aucune information n’a été fournie.</w:t>
            </w:r>
          </w:p>
        </w:tc>
      </w:tr>
      <w:tr w:rsidR="00231AA4" w:rsidRPr="00355D83" w:rsidTr="00355D83">
        <w:tc>
          <w:tcPr>
            <w:tcW w:w="7370" w:type="dxa"/>
            <w:gridSpan w:val="2"/>
            <w:shd w:val="clear" w:color="auto" w:fill="auto"/>
          </w:tcPr>
          <w:p w:rsidR="00231AA4" w:rsidRPr="00355D83" w:rsidRDefault="00231AA4" w:rsidP="00490528">
            <w:pPr>
              <w:keepNext/>
              <w:spacing w:before="40" w:after="120"/>
              <w:ind w:right="113"/>
              <w:rPr>
                <w:b/>
              </w:rPr>
            </w:pPr>
            <w:r w:rsidRPr="00355D83">
              <w:rPr>
                <w:b/>
              </w:rPr>
              <w:t>Évaluation du Comité</w:t>
            </w:r>
          </w:p>
        </w:tc>
      </w:tr>
      <w:tr w:rsidR="00231AA4" w:rsidRPr="00355D83" w:rsidTr="00355D83">
        <w:tc>
          <w:tcPr>
            <w:tcW w:w="7370" w:type="dxa"/>
            <w:gridSpan w:val="2"/>
            <w:shd w:val="clear" w:color="auto" w:fill="auto"/>
          </w:tcPr>
          <w:p w:rsidR="00231AA4" w:rsidRPr="00355D83" w:rsidRDefault="00231AA4" w:rsidP="006E59D4">
            <w:pPr>
              <w:spacing w:before="40" w:after="120"/>
              <w:ind w:right="113"/>
              <w:jc w:val="both"/>
            </w:pPr>
            <w:r w:rsidRPr="00355D83">
              <w:rPr>
                <w:b/>
              </w:rPr>
              <w:t>[C]</w:t>
            </w:r>
            <w:r w:rsidR="00A40835" w:rsidRPr="00355D83">
              <w:t> </w:t>
            </w:r>
            <w:r w:rsidR="00A40835" w:rsidRPr="00490528">
              <w:rPr>
                <w:b/>
              </w:rPr>
              <w:t>:</w:t>
            </w:r>
            <w:r w:rsidRPr="00355D83">
              <w:t xml:space="preserve"> Le Comité regrette que l’État partie n’ait pas donné de renseignements sur la mise en œuvre de sa recommandation concernant les mariages forcés et les mariages d’enfants. Le</w:t>
            </w:r>
            <w:r w:rsidR="006E59D4">
              <w:t> </w:t>
            </w:r>
            <w:r w:rsidRPr="00355D83">
              <w:t>Comité renouvelle sa recommandation.</w:t>
            </w:r>
          </w:p>
        </w:tc>
      </w:tr>
      <w:tr w:rsidR="00231AA4" w:rsidRPr="00355D83" w:rsidTr="00355D83">
        <w:tc>
          <w:tcPr>
            <w:tcW w:w="7370" w:type="dxa"/>
            <w:gridSpan w:val="2"/>
            <w:shd w:val="clear" w:color="auto" w:fill="auto"/>
          </w:tcPr>
          <w:p w:rsidR="00231AA4" w:rsidRPr="00355D83" w:rsidRDefault="00231AA4" w:rsidP="00BD5486">
            <w:pPr>
              <w:spacing w:before="40" w:after="120"/>
              <w:ind w:right="113"/>
              <w:jc w:val="both"/>
            </w:pPr>
            <w:r w:rsidRPr="00355D83">
              <w:rPr>
                <w:b/>
              </w:rPr>
              <w:t>Mesures recommandées</w:t>
            </w:r>
            <w:r w:rsidR="00A40835" w:rsidRPr="00355D83">
              <w:t> </w:t>
            </w:r>
            <w:r w:rsidR="00A40835" w:rsidRPr="00490528">
              <w:rPr>
                <w:b/>
              </w:rPr>
              <w:t>:</w:t>
            </w:r>
            <w:r w:rsidRPr="00355D83">
              <w:t xml:space="preserve"> Une lettre devrait être adressée à l’État partie pour l’informer de l’</w:t>
            </w:r>
            <w:r w:rsidR="00490528">
              <w:t>arrêt de la procédure de suivi.</w:t>
            </w:r>
            <w:r w:rsidRPr="00355D83">
              <w:t xml:space="preserve"> Les informations demandées devraient être incluses dans le prochain rapport périodique de l’État partie.</w:t>
            </w:r>
          </w:p>
        </w:tc>
      </w:tr>
      <w:tr w:rsidR="00231AA4" w:rsidRPr="00355D83" w:rsidTr="00355D83">
        <w:tc>
          <w:tcPr>
            <w:tcW w:w="7370" w:type="dxa"/>
            <w:gridSpan w:val="2"/>
            <w:tcBorders>
              <w:bottom w:val="single" w:sz="12" w:space="0" w:color="auto"/>
            </w:tcBorders>
            <w:shd w:val="clear" w:color="auto" w:fill="auto"/>
          </w:tcPr>
          <w:p w:rsidR="00231AA4" w:rsidRPr="00355D83" w:rsidRDefault="00231AA4" w:rsidP="00355D83">
            <w:pPr>
              <w:spacing w:before="40" w:after="120"/>
              <w:ind w:right="113"/>
            </w:pPr>
            <w:r w:rsidRPr="00355D83">
              <w:rPr>
                <w:b/>
              </w:rPr>
              <w:t>Prochain rapport périodique</w:t>
            </w:r>
            <w:r w:rsidR="00A40835" w:rsidRPr="00355D83">
              <w:t> </w:t>
            </w:r>
            <w:r w:rsidR="00A40835" w:rsidRPr="00490528">
              <w:rPr>
                <w:b/>
              </w:rPr>
              <w:t>:</w:t>
            </w:r>
            <w:r w:rsidRPr="00355D83">
              <w:t xml:space="preserve"> 31 juillet 2018</w:t>
            </w:r>
          </w:p>
        </w:tc>
      </w:tr>
    </w:tbl>
    <w:p w:rsidR="00231AA4" w:rsidRPr="00FC5D50" w:rsidRDefault="00231AA4" w:rsidP="00490528">
      <w:pPr>
        <w:pStyle w:val="HChG"/>
        <w:rPr>
          <w:lang w:val="fr-FR"/>
        </w:rPr>
      </w:pPr>
      <w:r w:rsidRPr="00FC5D50">
        <w:tab/>
      </w:r>
      <w:r w:rsidRPr="00FC5D50">
        <w:tab/>
        <w:t>114</w:t>
      </w:r>
      <w:r w:rsidRPr="00FC5D50">
        <w:rPr>
          <w:vertAlign w:val="superscript"/>
        </w:rPr>
        <w:t>e</w:t>
      </w:r>
      <w:r w:rsidRPr="00FC5D50">
        <w:t xml:space="preserve"> session (juillet 2015)</w:t>
      </w:r>
    </w:p>
    <w:tbl>
      <w:tblPr>
        <w:tblW w:w="7370" w:type="dxa"/>
        <w:tblInd w:w="1134" w:type="dxa"/>
        <w:tblLayout w:type="fixed"/>
        <w:tblCellMar>
          <w:left w:w="0" w:type="dxa"/>
          <w:right w:w="0" w:type="dxa"/>
        </w:tblCellMar>
        <w:tblLook w:val="00A0" w:firstRow="1" w:lastRow="0" w:firstColumn="1" w:lastColumn="0" w:noHBand="0" w:noVBand="0"/>
      </w:tblPr>
      <w:tblGrid>
        <w:gridCol w:w="2781"/>
        <w:gridCol w:w="4589"/>
      </w:tblGrid>
      <w:tr w:rsidR="00231AA4" w:rsidRPr="00490528" w:rsidTr="00490528">
        <w:trPr>
          <w:tblHeader/>
        </w:trPr>
        <w:tc>
          <w:tcPr>
            <w:tcW w:w="7370" w:type="dxa"/>
            <w:gridSpan w:val="2"/>
            <w:tcBorders>
              <w:top w:val="single" w:sz="4" w:space="0" w:color="auto"/>
              <w:bottom w:val="single" w:sz="12" w:space="0" w:color="auto"/>
            </w:tcBorders>
            <w:shd w:val="clear" w:color="auto" w:fill="auto"/>
            <w:vAlign w:val="bottom"/>
          </w:tcPr>
          <w:p w:rsidR="00231AA4" w:rsidRPr="00490528" w:rsidRDefault="00231AA4" w:rsidP="00490528">
            <w:pPr>
              <w:spacing w:before="80" w:after="80" w:line="200" w:lineRule="exact"/>
              <w:ind w:right="113"/>
              <w:rPr>
                <w:i/>
                <w:sz w:val="16"/>
                <w:lang w:val="fr-FR"/>
              </w:rPr>
            </w:pPr>
            <w:r w:rsidRPr="00490528">
              <w:rPr>
                <w:i/>
                <w:sz w:val="16"/>
                <w:lang w:val="fr-FR"/>
              </w:rPr>
              <w:t>France</w:t>
            </w:r>
          </w:p>
        </w:tc>
      </w:tr>
      <w:tr w:rsidR="00490528" w:rsidRPr="00490528" w:rsidTr="00490528">
        <w:trPr>
          <w:trHeight w:hRule="exact" w:val="113"/>
          <w:tblHeader/>
        </w:trPr>
        <w:tc>
          <w:tcPr>
            <w:tcW w:w="7370" w:type="dxa"/>
            <w:gridSpan w:val="2"/>
            <w:tcBorders>
              <w:top w:val="single" w:sz="12" w:space="0" w:color="auto"/>
            </w:tcBorders>
            <w:shd w:val="clear" w:color="auto" w:fill="auto"/>
          </w:tcPr>
          <w:p w:rsidR="00490528" w:rsidRPr="00490528" w:rsidRDefault="00490528" w:rsidP="00490528">
            <w:pPr>
              <w:spacing w:before="40" w:after="120"/>
              <w:ind w:right="113"/>
              <w:rPr>
                <w:lang w:val="fr-FR"/>
              </w:rPr>
            </w:pPr>
          </w:p>
        </w:tc>
      </w:tr>
      <w:tr w:rsidR="00231AA4" w:rsidRPr="00490528" w:rsidTr="00490528">
        <w:tc>
          <w:tcPr>
            <w:tcW w:w="2781" w:type="dxa"/>
            <w:shd w:val="clear" w:color="auto" w:fill="auto"/>
          </w:tcPr>
          <w:p w:rsidR="00231AA4" w:rsidRPr="00490528" w:rsidRDefault="00231AA4" w:rsidP="003B2613">
            <w:pPr>
              <w:spacing w:before="40" w:after="100"/>
              <w:ind w:right="113"/>
              <w:rPr>
                <w:lang w:val="fr-FR"/>
              </w:rPr>
            </w:pPr>
            <w:r w:rsidRPr="00490528">
              <w:rPr>
                <w:lang w:val="fr-FR"/>
              </w:rPr>
              <w:t>Observations finales</w:t>
            </w:r>
            <w:r w:rsidR="00A40835" w:rsidRPr="00490528">
              <w:rPr>
                <w:lang w:val="fr-FR"/>
              </w:rPr>
              <w:t> :</w:t>
            </w:r>
          </w:p>
        </w:tc>
        <w:tc>
          <w:tcPr>
            <w:tcW w:w="4589" w:type="dxa"/>
            <w:shd w:val="clear" w:color="auto" w:fill="auto"/>
          </w:tcPr>
          <w:p w:rsidR="00231AA4" w:rsidRPr="00490528" w:rsidRDefault="00231AA4" w:rsidP="003B2613">
            <w:pPr>
              <w:spacing w:before="40" w:after="100"/>
              <w:ind w:right="113"/>
              <w:rPr>
                <w:lang w:val="fr-FR"/>
              </w:rPr>
            </w:pPr>
            <w:hyperlink r:id="rId15" w:history="1">
              <w:r w:rsidRPr="00490528">
                <w:rPr>
                  <w:rStyle w:val="Lienhypertextesuivivisit"/>
                </w:rPr>
                <w:t>CCPR/C/FRA</w:t>
              </w:r>
              <w:r w:rsidRPr="00490528">
                <w:rPr>
                  <w:rStyle w:val="Lienhypertextesuivivisit"/>
                </w:rPr>
                <w:t>/</w:t>
              </w:r>
              <w:r w:rsidRPr="00490528">
                <w:rPr>
                  <w:rStyle w:val="Lienhypertextesuivivisit"/>
                </w:rPr>
                <w:t>CO/5</w:t>
              </w:r>
            </w:hyperlink>
            <w:r w:rsidRPr="00490528">
              <w:rPr>
                <w:rFonts w:eastAsia="Times New Roman"/>
                <w:lang w:val="fr-FR"/>
              </w:rPr>
              <w:t>, 21 juillet 2015</w:t>
            </w:r>
          </w:p>
        </w:tc>
      </w:tr>
      <w:tr w:rsidR="00231AA4" w:rsidRPr="00490528" w:rsidTr="00490528">
        <w:tc>
          <w:tcPr>
            <w:tcW w:w="2781" w:type="dxa"/>
            <w:shd w:val="clear" w:color="auto" w:fill="auto"/>
          </w:tcPr>
          <w:p w:rsidR="00231AA4" w:rsidRPr="00490528" w:rsidRDefault="00231AA4" w:rsidP="003B2613">
            <w:pPr>
              <w:spacing w:before="40" w:after="100"/>
              <w:ind w:right="113"/>
              <w:rPr>
                <w:lang w:val="fr-FR"/>
              </w:rPr>
            </w:pPr>
            <w:r w:rsidRPr="00490528">
              <w:rPr>
                <w:lang w:val="fr-FR"/>
              </w:rPr>
              <w:t>Paragraphes faisant l’objet</w:t>
            </w:r>
            <w:r w:rsidRPr="00490528">
              <w:rPr>
                <w:lang w:val="fr-FR"/>
              </w:rPr>
              <w:br/>
              <w:t>d’un suivi</w:t>
            </w:r>
            <w:r w:rsidR="00A40835" w:rsidRPr="00490528">
              <w:rPr>
                <w:lang w:val="fr-FR"/>
              </w:rPr>
              <w:t> :</w:t>
            </w:r>
          </w:p>
        </w:tc>
        <w:tc>
          <w:tcPr>
            <w:tcW w:w="4589" w:type="dxa"/>
            <w:shd w:val="clear" w:color="auto" w:fill="auto"/>
          </w:tcPr>
          <w:p w:rsidR="00231AA4" w:rsidRPr="00490528" w:rsidRDefault="00231AA4" w:rsidP="003B2613">
            <w:pPr>
              <w:spacing w:before="40" w:after="100"/>
              <w:ind w:right="113"/>
              <w:rPr>
                <w:lang w:val="fr-FR"/>
              </w:rPr>
            </w:pPr>
            <w:r w:rsidRPr="00490528">
              <w:rPr>
                <w:lang w:val="fr-FR"/>
              </w:rPr>
              <w:t>11, 12 et 16</w:t>
            </w:r>
          </w:p>
        </w:tc>
      </w:tr>
      <w:tr w:rsidR="00231AA4" w:rsidRPr="00490528" w:rsidTr="00490528">
        <w:tc>
          <w:tcPr>
            <w:tcW w:w="2781" w:type="dxa"/>
            <w:shd w:val="clear" w:color="auto" w:fill="auto"/>
          </w:tcPr>
          <w:p w:rsidR="00231AA4" w:rsidRPr="00490528" w:rsidRDefault="00231AA4" w:rsidP="003B2613">
            <w:pPr>
              <w:spacing w:before="40" w:after="100"/>
              <w:ind w:right="113"/>
              <w:rPr>
                <w:lang w:val="fr-FR"/>
              </w:rPr>
            </w:pPr>
            <w:r w:rsidRPr="00490528">
              <w:rPr>
                <w:lang w:val="fr-FR"/>
              </w:rPr>
              <w:t>Première réponse</w:t>
            </w:r>
            <w:r w:rsidR="00A40835" w:rsidRPr="00490528">
              <w:rPr>
                <w:lang w:val="fr-FR"/>
              </w:rPr>
              <w:t> :</w:t>
            </w:r>
          </w:p>
        </w:tc>
        <w:tc>
          <w:tcPr>
            <w:tcW w:w="4589" w:type="dxa"/>
            <w:shd w:val="clear" w:color="auto" w:fill="auto"/>
          </w:tcPr>
          <w:p w:rsidR="00231AA4" w:rsidRPr="00490528" w:rsidRDefault="00231AA4" w:rsidP="003B2613">
            <w:pPr>
              <w:spacing w:before="40" w:after="100"/>
              <w:ind w:right="113"/>
              <w:rPr>
                <w:lang w:val="en-US"/>
              </w:rPr>
            </w:pPr>
            <w:hyperlink r:id="rId16" w:history="1">
              <w:r w:rsidRPr="00505F0C">
                <w:rPr>
                  <w:rStyle w:val="Lienhypertextesuivivisit"/>
                  <w:lang w:val="en-US"/>
                </w:rPr>
                <w:t>CCPR/C/FRA/CO/5/Add.1</w:t>
              </w:r>
            </w:hyperlink>
            <w:r w:rsidRPr="00490528">
              <w:rPr>
                <w:lang w:val="en-US"/>
              </w:rPr>
              <w:t>, 19 juillet 2016</w:t>
            </w:r>
          </w:p>
        </w:tc>
      </w:tr>
      <w:tr w:rsidR="00231AA4" w:rsidRPr="00490528" w:rsidTr="00490528">
        <w:tc>
          <w:tcPr>
            <w:tcW w:w="2781" w:type="dxa"/>
            <w:shd w:val="clear" w:color="auto" w:fill="auto"/>
          </w:tcPr>
          <w:p w:rsidR="00231AA4" w:rsidRPr="00490528" w:rsidRDefault="00231AA4" w:rsidP="003B2613">
            <w:pPr>
              <w:spacing w:before="40" w:after="100"/>
              <w:ind w:right="113"/>
              <w:rPr>
                <w:lang w:val="fr-FR"/>
              </w:rPr>
            </w:pPr>
            <w:r w:rsidRPr="00490528">
              <w:rPr>
                <w:lang w:val="fr-FR"/>
              </w:rPr>
              <w:t>Évaluation du Comité</w:t>
            </w:r>
            <w:r w:rsidR="00A40835" w:rsidRPr="00490528">
              <w:rPr>
                <w:lang w:val="fr-FR"/>
              </w:rPr>
              <w:t> :</w:t>
            </w:r>
          </w:p>
        </w:tc>
        <w:tc>
          <w:tcPr>
            <w:tcW w:w="4589" w:type="dxa"/>
            <w:shd w:val="clear" w:color="auto" w:fill="auto"/>
          </w:tcPr>
          <w:p w:rsidR="00231AA4" w:rsidRPr="00490528" w:rsidRDefault="00231AA4" w:rsidP="003B2613">
            <w:pPr>
              <w:spacing w:before="40" w:after="100"/>
              <w:ind w:right="113"/>
            </w:pPr>
            <w:r w:rsidRPr="00490528">
              <w:rPr>
                <w:lang w:val="fr-FR"/>
              </w:rPr>
              <w:t>Des renseignements supplémentaires sont nécessaires sur les paragraphes 11</w:t>
            </w:r>
            <w:r w:rsidRPr="00490528">
              <w:rPr>
                <w:b/>
                <w:lang w:val="fr-FR"/>
              </w:rPr>
              <w:t>[B]</w:t>
            </w:r>
            <w:r w:rsidRPr="00490528">
              <w:rPr>
                <w:lang w:val="fr-FR"/>
              </w:rPr>
              <w:t>, 12</w:t>
            </w:r>
            <w:r w:rsidRPr="00490528">
              <w:rPr>
                <w:b/>
                <w:lang w:val="fr-FR"/>
              </w:rPr>
              <w:t>[B][B][B]</w:t>
            </w:r>
            <w:r w:rsidRPr="00490528">
              <w:rPr>
                <w:lang w:val="fr-FR"/>
              </w:rPr>
              <w:t xml:space="preserve"> et 16</w:t>
            </w:r>
            <w:r w:rsidRPr="00490528">
              <w:rPr>
                <w:b/>
                <w:lang w:val="fr-FR"/>
              </w:rPr>
              <w:t>[B]</w:t>
            </w:r>
          </w:p>
        </w:tc>
      </w:tr>
      <w:tr w:rsidR="00231AA4" w:rsidRPr="00490528" w:rsidTr="00490528">
        <w:tc>
          <w:tcPr>
            <w:tcW w:w="7370" w:type="dxa"/>
            <w:gridSpan w:val="2"/>
            <w:shd w:val="clear" w:color="auto" w:fill="auto"/>
          </w:tcPr>
          <w:p w:rsidR="00231AA4" w:rsidRPr="00490528" w:rsidRDefault="00231AA4" w:rsidP="005D1133">
            <w:pPr>
              <w:keepNext/>
              <w:spacing w:before="40" w:after="120"/>
              <w:ind w:right="113"/>
              <w:rPr>
                <w:b/>
                <w:lang w:val="fr-FR" w:eastAsia="en-GB"/>
              </w:rPr>
            </w:pPr>
            <w:r w:rsidRPr="00490528">
              <w:rPr>
                <w:b/>
                <w:lang w:val="fr-FR"/>
              </w:rPr>
              <w:t>Paragraphe 11</w:t>
            </w:r>
            <w:r w:rsidR="00A40835" w:rsidRPr="00490528">
              <w:rPr>
                <w:b/>
                <w:lang w:val="fr-FR"/>
              </w:rPr>
              <w:t> :</w:t>
            </w:r>
            <w:r w:rsidRPr="00490528">
              <w:rPr>
                <w:b/>
                <w:lang w:val="fr-FR"/>
              </w:rPr>
              <w:t xml:space="preserve"> Rétention de sûreté</w:t>
            </w:r>
            <w:r w:rsidRPr="00490528">
              <w:rPr>
                <w:b/>
                <w:lang w:val="fr-FR" w:eastAsia="en-GB"/>
              </w:rPr>
              <w:t xml:space="preserve"> </w:t>
            </w:r>
          </w:p>
        </w:tc>
      </w:tr>
      <w:tr w:rsidR="00231AA4" w:rsidRPr="00490528" w:rsidTr="00490528">
        <w:tc>
          <w:tcPr>
            <w:tcW w:w="7370" w:type="dxa"/>
            <w:gridSpan w:val="2"/>
            <w:shd w:val="clear" w:color="auto" w:fill="auto"/>
          </w:tcPr>
          <w:p w:rsidR="00231AA4" w:rsidRPr="00490528" w:rsidRDefault="00231AA4" w:rsidP="005D1133">
            <w:pPr>
              <w:spacing w:before="40" w:after="120"/>
              <w:ind w:right="113"/>
              <w:jc w:val="both"/>
              <w:rPr>
                <w:b/>
                <w:lang w:val="fr-FR" w:eastAsia="en-GB"/>
              </w:rPr>
            </w:pPr>
            <w:r w:rsidRPr="00490528">
              <w:rPr>
                <w:b/>
                <w:lang w:val="fr-FR" w:eastAsia="en-GB"/>
              </w:rPr>
              <w:t xml:space="preserve">L’État partie devrait réexaminer, </w:t>
            </w:r>
            <w:r w:rsidRPr="00490528">
              <w:rPr>
                <w:b/>
                <w:lang w:eastAsia="en-GB"/>
              </w:rPr>
              <w:t xml:space="preserve">à la lumière des </w:t>
            </w:r>
            <w:r w:rsidRPr="00490528">
              <w:rPr>
                <w:b/>
                <w:lang w:val="fr-FR" w:eastAsia="en-GB"/>
              </w:rPr>
              <w:t>obligations découlant des articles 9, 14 et 15 du Pacte, la pratique consistant à placer en rétention de sûreté, en raison de leur « dangerosité », des personnes condamnées pénalement et qui ont purgé leur peine de réclusion.</w:t>
            </w:r>
          </w:p>
        </w:tc>
      </w:tr>
      <w:tr w:rsidR="00231AA4" w:rsidRPr="00490528" w:rsidTr="00490528">
        <w:tc>
          <w:tcPr>
            <w:tcW w:w="7370" w:type="dxa"/>
            <w:gridSpan w:val="2"/>
            <w:shd w:val="clear" w:color="auto" w:fill="auto"/>
          </w:tcPr>
          <w:p w:rsidR="00231AA4" w:rsidRPr="00490528" w:rsidRDefault="00231AA4" w:rsidP="005D1133">
            <w:pPr>
              <w:keepNext/>
              <w:spacing w:before="40" w:after="120"/>
              <w:ind w:right="113"/>
              <w:rPr>
                <w:b/>
                <w:lang w:val="fr-FR"/>
              </w:rPr>
            </w:pPr>
            <w:r w:rsidRPr="00490528">
              <w:rPr>
                <w:b/>
                <w:lang w:val="fr-FR"/>
              </w:rPr>
              <w:t xml:space="preserve">Résumé de la réponse de l’État partie </w:t>
            </w:r>
          </w:p>
        </w:tc>
      </w:tr>
      <w:tr w:rsidR="00231AA4" w:rsidRPr="00490528" w:rsidTr="00490528">
        <w:tc>
          <w:tcPr>
            <w:tcW w:w="7370" w:type="dxa"/>
            <w:gridSpan w:val="2"/>
            <w:shd w:val="clear" w:color="auto" w:fill="auto"/>
          </w:tcPr>
          <w:p w:rsidR="00231AA4" w:rsidRPr="00490528" w:rsidRDefault="00231AA4" w:rsidP="005D1133">
            <w:pPr>
              <w:spacing w:before="40" w:after="120"/>
              <w:ind w:right="113"/>
              <w:jc w:val="both"/>
              <w:rPr>
                <w:lang w:val="fr-FR"/>
              </w:rPr>
            </w:pPr>
            <w:r w:rsidRPr="00490528">
              <w:rPr>
                <w:lang w:val="fr-FR"/>
              </w:rPr>
              <w:t xml:space="preserve">La rétention de sûreté introduite par la loi </w:t>
            </w:r>
            <w:r w:rsidRPr="00490528">
              <w:rPr>
                <w:rFonts w:eastAsia="MS Mincho"/>
                <w:lang w:val="fr-FR"/>
              </w:rPr>
              <w:t>n</w:t>
            </w:r>
            <w:r w:rsidRPr="00490528">
              <w:rPr>
                <w:rFonts w:eastAsia="MS Mincho"/>
                <w:vertAlign w:val="superscript"/>
                <w:lang w:val="fr-FR"/>
              </w:rPr>
              <w:t>o</w:t>
            </w:r>
            <w:r w:rsidRPr="00490528">
              <w:rPr>
                <w:rFonts w:eastAsia="MS Mincho"/>
                <w:lang w:val="fr-FR"/>
              </w:rPr>
              <w:t> </w:t>
            </w:r>
            <w:hyperlink r:id="rId17" w:history="1">
              <w:r w:rsidRPr="00490528">
                <w:rPr>
                  <w:lang w:val="fr-FR" w:eastAsia="en-GB"/>
                </w:rPr>
                <w:t>2008-174</w:t>
              </w:r>
            </w:hyperlink>
            <w:r w:rsidRPr="00490528">
              <w:rPr>
                <w:lang w:val="fr-FR"/>
              </w:rPr>
              <w:t xml:space="preserve"> du 25 février 2008, qualifiée de véritable mesure de sûreté par l’État partie, se définit comme le placement de la personne, après l’exécution de sa peine, dans un centre socio</w:t>
            </w:r>
            <w:r w:rsidRPr="00490528">
              <w:rPr>
                <w:lang w:val="fr-FR"/>
              </w:rPr>
              <w:noBreakHyphen/>
              <w:t>médico-judiciaire de sûreté où lui est proposée, de façon permanente, une prise en charge médicale, sociale et psychologique, destinée à permettre la fin de cette mesure. La juridiction régionale de rétention de sûreté, juridiction ad hoc, peut décider et mettre en œuvre la rétention de sûreté dans deux cas</w:t>
            </w:r>
            <w:r w:rsidR="00A40835" w:rsidRPr="00490528">
              <w:rPr>
                <w:lang w:val="fr-FR"/>
              </w:rPr>
              <w:t> :</w:t>
            </w:r>
            <w:r w:rsidRPr="00490528">
              <w:rPr>
                <w:lang w:val="fr-FR"/>
              </w:rPr>
              <w:t xml:space="preserve"> </w:t>
            </w:r>
          </w:p>
        </w:tc>
      </w:tr>
      <w:tr w:rsidR="00231AA4" w:rsidRPr="00490528" w:rsidTr="00490528">
        <w:tc>
          <w:tcPr>
            <w:tcW w:w="7370" w:type="dxa"/>
            <w:gridSpan w:val="2"/>
            <w:shd w:val="clear" w:color="auto" w:fill="auto"/>
          </w:tcPr>
          <w:p w:rsidR="00231AA4" w:rsidRPr="00490528" w:rsidRDefault="00231AA4" w:rsidP="006E59D4">
            <w:pPr>
              <w:spacing w:before="40" w:after="100"/>
              <w:ind w:right="113" w:firstLine="567"/>
              <w:jc w:val="both"/>
              <w:rPr>
                <w:lang w:val="fr-FR"/>
              </w:rPr>
            </w:pPr>
            <w:r w:rsidRPr="00490528">
              <w:rPr>
                <w:lang w:val="fr-FR"/>
              </w:rPr>
              <w:lastRenderedPageBreak/>
              <w:t>a)</w:t>
            </w:r>
            <w:r w:rsidR="003B2613">
              <w:rPr>
                <w:lang w:val="fr-FR"/>
              </w:rPr>
              <w:tab/>
              <w:t>P</w:t>
            </w:r>
            <w:r w:rsidRPr="00490528">
              <w:rPr>
                <w:lang w:val="fr-FR"/>
              </w:rPr>
              <w:t xml:space="preserve">our des faits commis après l’instauration de cette mesure, lorsque la </w:t>
            </w:r>
            <w:r w:rsidR="006E59D4">
              <w:rPr>
                <w:lang w:val="fr-FR"/>
              </w:rPr>
              <w:t>C</w:t>
            </w:r>
            <w:r w:rsidRPr="00490528">
              <w:rPr>
                <w:lang w:val="fr-FR"/>
              </w:rPr>
              <w:t>our d’assises l’a expressément prévu dans son jugement de condamnation</w:t>
            </w:r>
            <w:r w:rsidR="00A40835" w:rsidRPr="00490528">
              <w:rPr>
                <w:lang w:val="fr-FR"/>
              </w:rPr>
              <w:t> ;</w:t>
            </w:r>
            <w:r w:rsidRPr="00490528">
              <w:rPr>
                <w:lang w:val="fr-FR"/>
              </w:rPr>
              <w:t xml:space="preserve"> l’État partie répète les informations fournies dans son rapport (</w:t>
            </w:r>
            <w:hyperlink r:id="rId18" w:history="1">
              <w:r w:rsidRPr="003B2613">
                <w:rPr>
                  <w:rStyle w:val="Lienhypertextesuivivisit"/>
                </w:rPr>
                <w:t>CCPR</w:t>
              </w:r>
              <w:r w:rsidRPr="003B2613">
                <w:rPr>
                  <w:rStyle w:val="Lienhypertextesuivivisit"/>
                </w:rPr>
                <w:t>/</w:t>
              </w:r>
              <w:r w:rsidRPr="003B2613">
                <w:rPr>
                  <w:rStyle w:val="Lienhypertextesuivivisit"/>
                </w:rPr>
                <w:t>C/FRA/5</w:t>
              </w:r>
            </w:hyperlink>
            <w:r w:rsidRPr="00490528">
              <w:rPr>
                <w:lang w:val="fr-FR"/>
              </w:rPr>
              <w:t>, par.</w:t>
            </w:r>
            <w:r w:rsidR="003B2613">
              <w:rPr>
                <w:lang w:val="fr-FR"/>
              </w:rPr>
              <w:t> </w:t>
            </w:r>
            <w:r w:rsidRPr="00490528">
              <w:rPr>
                <w:lang w:val="fr-FR"/>
              </w:rPr>
              <w:t xml:space="preserve">230) quant aux conditions cumulatives relatives au prononcé de la rétention de sûreté prévues par le </w:t>
            </w:r>
            <w:hyperlink r:id="rId19" w:history="1">
              <w:r w:rsidRPr="00490528">
                <w:rPr>
                  <w:lang w:val="fr-FR" w:eastAsia="en-GB"/>
                </w:rPr>
                <w:t>Code de procédure pénale</w:t>
              </w:r>
            </w:hyperlink>
            <w:r w:rsidR="00A40835" w:rsidRPr="00490528">
              <w:rPr>
                <w:lang w:val="fr-FR"/>
              </w:rPr>
              <w:t> ;</w:t>
            </w:r>
          </w:p>
        </w:tc>
      </w:tr>
      <w:tr w:rsidR="00231AA4" w:rsidRPr="00490528" w:rsidTr="00490528">
        <w:tc>
          <w:tcPr>
            <w:tcW w:w="7370" w:type="dxa"/>
            <w:gridSpan w:val="2"/>
            <w:shd w:val="clear" w:color="auto" w:fill="auto"/>
          </w:tcPr>
          <w:p w:rsidR="00231AA4" w:rsidRPr="00490528" w:rsidRDefault="00231AA4" w:rsidP="00941129">
            <w:pPr>
              <w:spacing w:before="40" w:after="100"/>
              <w:ind w:right="113" w:firstLine="567"/>
              <w:jc w:val="both"/>
              <w:rPr>
                <w:lang w:val="fr-FR"/>
              </w:rPr>
            </w:pPr>
            <w:r w:rsidRPr="00490528">
              <w:rPr>
                <w:lang w:val="fr-FR"/>
              </w:rPr>
              <w:t>b)</w:t>
            </w:r>
            <w:r w:rsidR="003B2613">
              <w:rPr>
                <w:lang w:val="fr-FR"/>
              </w:rPr>
              <w:tab/>
              <w:t>P</w:t>
            </w:r>
            <w:r w:rsidRPr="00490528">
              <w:rPr>
                <w:lang w:val="fr-FR"/>
              </w:rPr>
              <w:t>our des faits commis avant l’instauration de cette mesure, lorsqu’un condamné présentant une particulière dangerosité a violé ses obligations de surveillance de sûreté avec une probabilité très élevée de commettre l’une des infractions pour laquelle la détention est prévue. La personne peut être placée en urgence provisoirement dans un centre de sûreté, placement qui doit ensuite être confirmé par la juridiction régionale de rétention de sûreté sur avis de la commission pluridisciplinaire des mesures de sûreté.</w:t>
            </w:r>
          </w:p>
        </w:tc>
      </w:tr>
      <w:tr w:rsidR="00231AA4" w:rsidRPr="00490528" w:rsidTr="00490528">
        <w:tc>
          <w:tcPr>
            <w:tcW w:w="7370" w:type="dxa"/>
            <w:gridSpan w:val="2"/>
            <w:shd w:val="clear" w:color="auto" w:fill="auto"/>
          </w:tcPr>
          <w:p w:rsidR="00231AA4" w:rsidRPr="00490528" w:rsidRDefault="00231AA4" w:rsidP="00941129">
            <w:pPr>
              <w:spacing w:before="40" w:after="100"/>
              <w:ind w:right="113"/>
              <w:jc w:val="both"/>
              <w:rPr>
                <w:lang w:val="fr-FR"/>
              </w:rPr>
            </w:pPr>
            <w:r w:rsidRPr="00490528">
              <w:rPr>
                <w:lang w:val="fr-FR"/>
              </w:rPr>
              <w:t xml:space="preserve">Dans les deux cas, la rétention de sûreté est prononcée pour une durée d’une année, renouvelable tant que la dangerosité du condamné perdure. </w:t>
            </w:r>
          </w:p>
        </w:tc>
      </w:tr>
      <w:tr w:rsidR="00231AA4" w:rsidRPr="00490528" w:rsidTr="00490528">
        <w:tc>
          <w:tcPr>
            <w:tcW w:w="7370" w:type="dxa"/>
            <w:gridSpan w:val="2"/>
            <w:shd w:val="clear" w:color="auto" w:fill="auto"/>
          </w:tcPr>
          <w:p w:rsidR="00231AA4" w:rsidRPr="00490528" w:rsidRDefault="00231AA4" w:rsidP="00941129">
            <w:pPr>
              <w:spacing w:before="40" w:after="100"/>
              <w:ind w:right="113"/>
              <w:jc w:val="both"/>
              <w:rPr>
                <w:lang w:val="fr-FR"/>
              </w:rPr>
            </w:pPr>
            <w:r w:rsidRPr="00490528">
              <w:rPr>
                <w:lang w:val="fr-FR"/>
              </w:rPr>
              <w:t>Seuls sept arrêts de cours d’assises ont prévu le réexamen de la situation du condamné à l’issue de la peine. Seuls cinq cas de placements provisoires ont été mis en œuvre après constat de la violation des obligations d’une surveillance de sûreté, et seul un cas a été confirmé par la juridiction régionale de la rétention de sûreté et après plusieurs recours, la personne a été placée de nouveau en surveillance de sûreté.</w:t>
            </w:r>
          </w:p>
        </w:tc>
      </w:tr>
      <w:tr w:rsidR="00231AA4" w:rsidRPr="00490528" w:rsidTr="00490528">
        <w:tc>
          <w:tcPr>
            <w:tcW w:w="7370" w:type="dxa"/>
            <w:gridSpan w:val="2"/>
            <w:shd w:val="clear" w:color="auto" w:fill="auto"/>
          </w:tcPr>
          <w:p w:rsidR="00231AA4" w:rsidRPr="00941129" w:rsidRDefault="00231AA4" w:rsidP="00941129">
            <w:pPr>
              <w:spacing w:before="40" w:after="100"/>
              <w:ind w:right="113"/>
              <w:jc w:val="both"/>
              <w:rPr>
                <w:spacing w:val="-2"/>
                <w:lang w:val="fr-FR"/>
              </w:rPr>
            </w:pPr>
            <w:r w:rsidRPr="00941129">
              <w:rPr>
                <w:spacing w:val="-2"/>
                <w:lang w:val="fr-FR"/>
              </w:rPr>
              <w:t>La rétention de sûreté est au cœur des réflexions nationales comme en témoignent</w:t>
            </w:r>
            <w:r w:rsidR="00A40835" w:rsidRPr="00941129">
              <w:rPr>
                <w:spacing w:val="-2"/>
                <w:lang w:val="fr-FR"/>
              </w:rPr>
              <w:t> :</w:t>
            </w:r>
            <w:r w:rsidRPr="00941129">
              <w:rPr>
                <w:spacing w:val="-2"/>
                <w:lang w:val="fr-FR"/>
              </w:rPr>
              <w:t xml:space="preserve"> a)</w:t>
            </w:r>
            <w:r w:rsidR="003B2613" w:rsidRPr="00941129">
              <w:rPr>
                <w:spacing w:val="-2"/>
                <w:lang w:val="fr-FR"/>
              </w:rPr>
              <w:t> </w:t>
            </w:r>
            <w:r w:rsidRPr="00941129">
              <w:rPr>
                <w:spacing w:val="-2"/>
                <w:lang w:val="fr-FR"/>
              </w:rPr>
              <w:t>les avis défavorables de la contrôleuse générale des lieux de privation de liberté du 5 novembre 2015 et de la Commission nationale consultative des droits de l’homme du 27 mars 2014</w:t>
            </w:r>
            <w:r w:rsidR="00A40835" w:rsidRPr="00941129">
              <w:rPr>
                <w:spacing w:val="-2"/>
                <w:lang w:val="fr-FR"/>
              </w:rPr>
              <w:t> ;</w:t>
            </w:r>
            <w:r w:rsidRPr="00941129">
              <w:rPr>
                <w:spacing w:val="-2"/>
                <w:lang w:val="fr-FR"/>
              </w:rPr>
              <w:t xml:space="preserve"> et b)</w:t>
            </w:r>
            <w:r w:rsidR="00941129" w:rsidRPr="00941129">
              <w:rPr>
                <w:spacing w:val="-2"/>
                <w:lang w:val="fr-FR"/>
              </w:rPr>
              <w:t> </w:t>
            </w:r>
            <w:r w:rsidRPr="00941129">
              <w:rPr>
                <w:spacing w:val="-2"/>
                <w:lang w:val="fr-FR"/>
              </w:rPr>
              <w:t xml:space="preserve">le rapport défavorable de la Commission de refonte du droit de l’exécution des peines remis au Garde des Sceaux en décembre 2015. Dans ce dernier rapport, publié, la Commission fait état de l’imprécision de la nature de la mesure, questionne sa compatibilité avec la Convention européenne des droits de l’homme et souligne que d’autres mesures une fois redéfinies, pourraient se substituer à la rétention de sûreté. </w:t>
            </w:r>
          </w:p>
        </w:tc>
      </w:tr>
      <w:tr w:rsidR="00231AA4" w:rsidRPr="00490528" w:rsidTr="00490528">
        <w:tc>
          <w:tcPr>
            <w:tcW w:w="7370" w:type="dxa"/>
            <w:gridSpan w:val="2"/>
            <w:shd w:val="clear" w:color="auto" w:fill="auto"/>
          </w:tcPr>
          <w:p w:rsidR="00231AA4" w:rsidRPr="00490528" w:rsidRDefault="00231AA4" w:rsidP="00941129">
            <w:pPr>
              <w:spacing w:before="40" w:after="100"/>
              <w:ind w:right="113"/>
              <w:jc w:val="both"/>
              <w:rPr>
                <w:lang w:val="fr-FR"/>
              </w:rPr>
            </w:pPr>
            <w:r w:rsidRPr="00490528">
              <w:rPr>
                <w:lang w:val="fr-FR"/>
              </w:rPr>
              <w:t>Les conclusions dudit rapport seront attentivement analysées par le Ministère de la justice. Les propositions du rapport s’inscrivent toutefois dans un contexte de réflexion plus générale sur la nomenclature des peines et mesures de sûreté, exigeant de ce fait une analyse d’ensemble.</w:t>
            </w:r>
          </w:p>
        </w:tc>
      </w:tr>
      <w:tr w:rsidR="00231AA4" w:rsidRPr="00490528" w:rsidTr="00490528">
        <w:tc>
          <w:tcPr>
            <w:tcW w:w="7370" w:type="dxa"/>
            <w:gridSpan w:val="2"/>
            <w:shd w:val="clear" w:color="auto" w:fill="auto"/>
          </w:tcPr>
          <w:p w:rsidR="00231AA4" w:rsidRPr="00490528" w:rsidRDefault="00231AA4" w:rsidP="00941129">
            <w:pPr>
              <w:spacing w:before="40" w:after="100"/>
              <w:ind w:right="113"/>
              <w:rPr>
                <w:b/>
                <w:lang w:val="fr-FR"/>
              </w:rPr>
            </w:pPr>
            <w:r w:rsidRPr="00490528">
              <w:rPr>
                <w:b/>
                <w:lang w:val="fr-FR"/>
              </w:rPr>
              <w:t xml:space="preserve">Évaluation du Comité </w:t>
            </w:r>
          </w:p>
        </w:tc>
      </w:tr>
      <w:tr w:rsidR="00231AA4" w:rsidRPr="00490528" w:rsidTr="00490528">
        <w:tc>
          <w:tcPr>
            <w:tcW w:w="7370" w:type="dxa"/>
            <w:gridSpan w:val="2"/>
            <w:shd w:val="clear" w:color="auto" w:fill="auto"/>
          </w:tcPr>
          <w:p w:rsidR="00231AA4" w:rsidRPr="00490528" w:rsidRDefault="00231AA4" w:rsidP="00941129">
            <w:pPr>
              <w:spacing w:before="40" w:after="100"/>
              <w:ind w:right="113"/>
              <w:jc w:val="both"/>
              <w:rPr>
                <w:b/>
                <w:lang w:val="fr-FR"/>
              </w:rPr>
            </w:pPr>
            <w:r w:rsidRPr="00490528">
              <w:rPr>
                <w:b/>
                <w:lang w:val="fr-FR"/>
              </w:rPr>
              <w:t>[B]</w:t>
            </w:r>
            <w:r w:rsidR="00A40835" w:rsidRPr="00490528">
              <w:rPr>
                <w:b/>
                <w:lang w:val="fr-FR"/>
              </w:rPr>
              <w:t> :</w:t>
            </w:r>
            <w:r w:rsidRPr="00490528">
              <w:rPr>
                <w:b/>
                <w:lang w:val="fr-FR"/>
              </w:rPr>
              <w:t xml:space="preserve"> </w:t>
            </w:r>
            <w:r w:rsidRPr="00941129">
              <w:rPr>
                <w:spacing w:val="-1"/>
                <w:lang w:val="fr-FR"/>
              </w:rPr>
              <w:t>Le Comité prend note du climat de réflexions nationales sur le maintien de la rétention de sûreté, en particulier du rapport de la Commission de refonte du droit de l’exécution des peines de décembre 2015. Il demande des renseignements supplémentaires sur la suite donnée par le Ministère de la justice aux avis des différentes institutions nationales préconisant la suppression de la rétention de sûreté, en particulier lorsque la mesure de rétention de sûreté n’est pas liée à un jugement ou à une peine judiciaire initiale.</w:t>
            </w:r>
          </w:p>
        </w:tc>
      </w:tr>
      <w:tr w:rsidR="00231AA4" w:rsidRPr="00490528" w:rsidTr="00490528">
        <w:tc>
          <w:tcPr>
            <w:tcW w:w="7370" w:type="dxa"/>
            <w:gridSpan w:val="2"/>
            <w:shd w:val="clear" w:color="auto" w:fill="auto"/>
          </w:tcPr>
          <w:p w:rsidR="00231AA4" w:rsidRPr="00490528" w:rsidRDefault="00231AA4" w:rsidP="00941129">
            <w:pPr>
              <w:keepNext/>
              <w:spacing w:before="40" w:after="100"/>
              <w:ind w:right="113"/>
              <w:rPr>
                <w:b/>
                <w:lang w:val="fr-FR"/>
              </w:rPr>
            </w:pPr>
            <w:r w:rsidRPr="00490528">
              <w:rPr>
                <w:b/>
                <w:lang w:val="fr-FR"/>
              </w:rPr>
              <w:t>Paragraphe 12</w:t>
            </w:r>
            <w:r w:rsidR="00A40835" w:rsidRPr="00490528">
              <w:rPr>
                <w:b/>
                <w:lang w:val="fr-FR"/>
              </w:rPr>
              <w:t> :</w:t>
            </w:r>
            <w:r w:rsidRPr="00490528">
              <w:rPr>
                <w:b/>
                <w:lang w:val="fr-FR"/>
              </w:rPr>
              <w:t xml:space="preserve"> Activités de surveillance</w:t>
            </w:r>
          </w:p>
        </w:tc>
      </w:tr>
      <w:tr w:rsidR="00231AA4" w:rsidRPr="00490528" w:rsidTr="00490528">
        <w:tc>
          <w:tcPr>
            <w:tcW w:w="7370" w:type="dxa"/>
            <w:gridSpan w:val="2"/>
            <w:shd w:val="clear" w:color="auto" w:fill="auto"/>
          </w:tcPr>
          <w:p w:rsidR="00231AA4" w:rsidRPr="00490528" w:rsidRDefault="00231AA4" w:rsidP="00941129">
            <w:pPr>
              <w:spacing w:before="40" w:after="100"/>
              <w:ind w:right="113"/>
              <w:jc w:val="both"/>
              <w:rPr>
                <w:b/>
                <w:lang w:val="fr-FR"/>
              </w:rPr>
            </w:pPr>
            <w:r w:rsidRPr="00490528">
              <w:rPr>
                <w:b/>
                <w:lang w:val="fr-FR"/>
              </w:rPr>
              <w:t>L’État partie devrait prendre toutes les mesures nécessaires pour garantir que ses activités de surveillance, à l’intérieur et à l’extérieur de son territoire, soient conformes aux obligations découlant du Pacte, notamment de l’article</w:t>
            </w:r>
            <w:r w:rsidR="00941129">
              <w:rPr>
                <w:b/>
                <w:lang w:val="fr-FR"/>
              </w:rPr>
              <w:t> </w:t>
            </w:r>
            <w:r w:rsidRPr="00490528">
              <w:rPr>
                <w:b/>
                <w:lang w:val="fr-FR"/>
              </w:rPr>
              <w:t>17. En</w:t>
            </w:r>
            <w:r w:rsidR="00941129">
              <w:rPr>
                <w:b/>
                <w:lang w:val="fr-FR"/>
              </w:rPr>
              <w:t> </w:t>
            </w:r>
            <w:r w:rsidRPr="00490528">
              <w:rPr>
                <w:b/>
                <w:lang w:val="fr-FR"/>
              </w:rPr>
              <w:t xml:space="preserve">particulier, des mesures devraient être prises pour garantir que toute immixtion dans la vie privée soit faite conformément aux principes de légalité, de proportionnalité et de nécessité. L’État partie devrait veiller à ce que la collecte et l’utilisation de données relatives aux communications se fassent sur la base d’objectifs légitimes précis et que soient énoncées, en détail, les circonstances exactes dans lesquelles de telles immixtions peuvent être autorisées et les catégories de personnes susceptibles d’être placées sous surveillance. Il devrait veiller également à garantir l’efficacité et l’indépendance du système de contrôle des activités de surveillance, notamment en prévoyant que le pouvoir judiciaire participe à l’autorisation et au contrôle des mesures de surveillance. </w:t>
            </w:r>
          </w:p>
        </w:tc>
      </w:tr>
      <w:tr w:rsidR="00231AA4" w:rsidRPr="00490528" w:rsidTr="00490528">
        <w:tc>
          <w:tcPr>
            <w:tcW w:w="7370" w:type="dxa"/>
            <w:gridSpan w:val="2"/>
            <w:shd w:val="clear" w:color="auto" w:fill="auto"/>
          </w:tcPr>
          <w:p w:rsidR="00231AA4" w:rsidRPr="00490528" w:rsidRDefault="00231AA4" w:rsidP="00FC4E1B">
            <w:pPr>
              <w:keepNext/>
              <w:spacing w:before="40" w:after="120"/>
              <w:ind w:right="113"/>
              <w:rPr>
                <w:b/>
                <w:lang w:val="fr-FR"/>
              </w:rPr>
            </w:pPr>
            <w:r w:rsidRPr="00490528">
              <w:rPr>
                <w:b/>
                <w:lang w:val="fr-FR"/>
              </w:rPr>
              <w:lastRenderedPageBreak/>
              <w:t xml:space="preserve">Résumé de la réponse de l’État partie </w:t>
            </w:r>
          </w:p>
        </w:tc>
      </w:tr>
      <w:tr w:rsidR="00231AA4" w:rsidRPr="00490528" w:rsidTr="00490528">
        <w:tc>
          <w:tcPr>
            <w:tcW w:w="7370" w:type="dxa"/>
            <w:gridSpan w:val="2"/>
            <w:shd w:val="clear" w:color="auto" w:fill="auto"/>
          </w:tcPr>
          <w:p w:rsidR="00231AA4" w:rsidRPr="00490528" w:rsidRDefault="00231AA4" w:rsidP="004B1099">
            <w:pPr>
              <w:spacing w:before="40" w:after="120"/>
              <w:ind w:right="113"/>
              <w:jc w:val="both"/>
              <w:rPr>
                <w:lang w:val="fr-FR"/>
              </w:rPr>
            </w:pPr>
            <w:r w:rsidRPr="00490528">
              <w:rPr>
                <w:lang w:val="fr-FR"/>
              </w:rPr>
              <w:t>Les lois du 24</w:t>
            </w:r>
            <w:r w:rsidR="004B1099">
              <w:rPr>
                <w:lang w:val="fr-FR"/>
              </w:rPr>
              <w:t> </w:t>
            </w:r>
            <w:r w:rsidRPr="00490528">
              <w:rPr>
                <w:lang w:val="fr-FR"/>
              </w:rPr>
              <w:t>juillet 2015 et du 30</w:t>
            </w:r>
            <w:r w:rsidR="004B1099">
              <w:rPr>
                <w:lang w:val="fr-FR"/>
              </w:rPr>
              <w:t> </w:t>
            </w:r>
            <w:r w:rsidRPr="00490528">
              <w:rPr>
                <w:lang w:val="fr-FR"/>
              </w:rPr>
              <w:t>novembre 2015 relatives, respectivement, au renseignement et aux mesures de surveillance des communications électroniques internationales, dont les dispositions clefs ont été validées par le Conseil constitutionnel, ont deux objectifs principaux</w:t>
            </w:r>
            <w:r w:rsidR="00A40835" w:rsidRPr="00490528">
              <w:rPr>
                <w:lang w:val="fr-FR"/>
              </w:rPr>
              <w:t> :</w:t>
            </w:r>
            <w:r w:rsidRPr="00490528">
              <w:rPr>
                <w:lang w:val="fr-FR"/>
              </w:rPr>
              <w:t xml:space="preserve"> encadrer l’activité des services de renseignement et protéger les Français. </w:t>
            </w:r>
          </w:p>
        </w:tc>
      </w:tr>
      <w:tr w:rsidR="00231AA4" w:rsidRPr="00490528" w:rsidTr="00490528">
        <w:tc>
          <w:tcPr>
            <w:tcW w:w="7370" w:type="dxa"/>
            <w:gridSpan w:val="2"/>
            <w:shd w:val="clear" w:color="auto" w:fill="auto"/>
          </w:tcPr>
          <w:p w:rsidR="00231AA4" w:rsidRPr="00490528" w:rsidRDefault="00231AA4" w:rsidP="005D1133">
            <w:pPr>
              <w:spacing w:before="40" w:after="120"/>
              <w:ind w:right="113"/>
              <w:jc w:val="both"/>
              <w:rPr>
                <w:lang w:val="fr-FR"/>
              </w:rPr>
            </w:pPr>
            <w:r w:rsidRPr="00490528">
              <w:rPr>
                <w:lang w:val="fr-FR"/>
              </w:rPr>
              <w:t>L’État partie expose successivement les garanties, les finalités et la définition des techniques de recueil de renseignements, la mise en œuvre desdites techniques, le double contrôle exercé par la Commission nationale de contrôle des techniques de renseignements (CNCTR) et enfin les autres mécanismes de contrôle des techniques de recueil de renseignements.</w:t>
            </w:r>
          </w:p>
        </w:tc>
      </w:tr>
      <w:tr w:rsidR="00231AA4" w:rsidRPr="00490528" w:rsidTr="00490528">
        <w:tc>
          <w:tcPr>
            <w:tcW w:w="7370" w:type="dxa"/>
            <w:gridSpan w:val="2"/>
            <w:shd w:val="clear" w:color="auto" w:fill="auto"/>
          </w:tcPr>
          <w:p w:rsidR="00231AA4" w:rsidRPr="00490528" w:rsidRDefault="00231AA4" w:rsidP="004B1099">
            <w:pPr>
              <w:spacing w:before="40" w:after="120"/>
              <w:ind w:right="113"/>
              <w:jc w:val="both"/>
              <w:rPr>
                <w:lang w:val="fr-FR"/>
              </w:rPr>
            </w:pPr>
            <w:r w:rsidRPr="004B1099">
              <w:rPr>
                <w:i/>
                <w:lang w:val="fr-FR"/>
              </w:rPr>
              <w:t>Garanties</w:t>
            </w:r>
            <w:r w:rsidR="00A40835" w:rsidRPr="00490528">
              <w:rPr>
                <w:lang w:val="fr-FR"/>
              </w:rPr>
              <w:t> :</w:t>
            </w:r>
            <w:r w:rsidRPr="00490528">
              <w:rPr>
                <w:lang w:val="fr-FR"/>
              </w:rPr>
              <w:t xml:space="preserve"> En vertu de l’article </w:t>
            </w:r>
            <w:hyperlink r:id="rId20" w:history="1">
              <w:r w:rsidRPr="00490528">
                <w:rPr>
                  <w:lang w:val="fr-FR" w:eastAsia="en-GB"/>
                </w:rPr>
                <w:t>L.</w:t>
              </w:r>
              <w:r w:rsidR="004B1099">
                <w:rPr>
                  <w:lang w:val="fr-FR" w:eastAsia="en-GB"/>
                </w:rPr>
                <w:t> </w:t>
              </w:r>
              <w:r w:rsidRPr="00490528">
                <w:rPr>
                  <w:lang w:val="fr-FR" w:eastAsia="en-GB"/>
                </w:rPr>
                <w:t>801-1</w:t>
              </w:r>
            </w:hyperlink>
            <w:r w:rsidRPr="00490528">
              <w:rPr>
                <w:lang w:val="fr-FR"/>
              </w:rPr>
              <w:t xml:space="preserve"> du Code de la sécurité intérieure, les techniques de recueil de renseignements sont assujetties à certains prérequis fondamentaux parmi lesquels le respect de la vie privée, incluant le secret des correspondances, la protection des données personnelles et l’inviolabilité du domicile, principes qui ne peuvent être limités qu’en cas de nécessité d’intérêt public prévue par la loi et dans le respect du principe de proportionnalité. Aux termes de ce même article, l’autorisation et la mise en œuvre des techniques doivent procéder d’une autorité compétente</w:t>
            </w:r>
            <w:r w:rsidR="00A40835" w:rsidRPr="00490528">
              <w:rPr>
                <w:lang w:val="fr-FR"/>
              </w:rPr>
              <w:t> ;</w:t>
            </w:r>
            <w:r w:rsidRPr="00490528">
              <w:rPr>
                <w:lang w:val="fr-FR"/>
              </w:rPr>
              <w:t xml:space="preserve"> résulter d’une procédure conforme aux dispositions légales afférentes</w:t>
            </w:r>
            <w:r w:rsidR="00A40835" w:rsidRPr="00490528">
              <w:rPr>
                <w:lang w:val="fr-FR"/>
              </w:rPr>
              <w:t> ;</w:t>
            </w:r>
            <w:r w:rsidRPr="00490528">
              <w:rPr>
                <w:lang w:val="fr-FR"/>
              </w:rPr>
              <w:t xml:space="preserve"> respecter les missions dévolues aux services de renseignement</w:t>
            </w:r>
            <w:r w:rsidR="00A40835" w:rsidRPr="00490528">
              <w:rPr>
                <w:lang w:val="fr-FR"/>
              </w:rPr>
              <w:t> ;</w:t>
            </w:r>
            <w:r w:rsidRPr="00490528">
              <w:rPr>
                <w:lang w:val="fr-FR"/>
              </w:rPr>
              <w:t xml:space="preserve"> être justifiées par les menaces, risques et enjeux liés aux intérêts fondamentaux de la nation et précisés par la loi</w:t>
            </w:r>
            <w:r w:rsidR="00A40835" w:rsidRPr="00490528">
              <w:rPr>
                <w:lang w:val="fr-FR"/>
              </w:rPr>
              <w:t> ;</w:t>
            </w:r>
            <w:r w:rsidRPr="00490528">
              <w:rPr>
                <w:lang w:val="fr-FR"/>
              </w:rPr>
              <w:t xml:space="preserve"> être proportionnées aux motifs invoqués. </w:t>
            </w:r>
          </w:p>
        </w:tc>
      </w:tr>
      <w:tr w:rsidR="00231AA4" w:rsidRPr="00490528" w:rsidTr="00490528">
        <w:tc>
          <w:tcPr>
            <w:tcW w:w="7370" w:type="dxa"/>
            <w:gridSpan w:val="2"/>
            <w:shd w:val="clear" w:color="auto" w:fill="auto"/>
          </w:tcPr>
          <w:p w:rsidR="00231AA4" w:rsidRPr="00490528" w:rsidRDefault="00231AA4" w:rsidP="004B1099">
            <w:pPr>
              <w:spacing w:before="40" w:after="120"/>
              <w:ind w:right="113"/>
              <w:jc w:val="both"/>
              <w:rPr>
                <w:lang w:val="fr-FR"/>
              </w:rPr>
            </w:pPr>
            <w:r w:rsidRPr="004B1099">
              <w:rPr>
                <w:i/>
                <w:lang w:val="fr-FR"/>
              </w:rPr>
              <w:t>Finalités</w:t>
            </w:r>
            <w:r w:rsidR="00A40835" w:rsidRPr="00490528">
              <w:rPr>
                <w:lang w:val="fr-FR"/>
              </w:rPr>
              <w:t> :</w:t>
            </w:r>
            <w:r w:rsidRPr="00490528">
              <w:rPr>
                <w:lang w:val="fr-FR"/>
              </w:rPr>
              <w:t xml:space="preserve"> Aux termes de l’article </w:t>
            </w:r>
            <w:hyperlink r:id="rId21" w:history="1">
              <w:r w:rsidRPr="00490528">
                <w:rPr>
                  <w:lang w:val="fr-FR" w:eastAsia="en-GB"/>
                </w:rPr>
                <w:t>L.</w:t>
              </w:r>
              <w:r w:rsidR="004B1099">
                <w:rPr>
                  <w:lang w:val="fr-FR" w:eastAsia="en-GB"/>
                </w:rPr>
                <w:t> </w:t>
              </w:r>
              <w:r w:rsidRPr="00490528">
                <w:rPr>
                  <w:lang w:val="fr-FR" w:eastAsia="en-GB"/>
                </w:rPr>
                <w:t>811-3</w:t>
              </w:r>
            </w:hyperlink>
            <w:r w:rsidRPr="00490528">
              <w:rPr>
                <w:lang w:val="fr-FR"/>
              </w:rPr>
              <w:t xml:space="preserve"> du Code de la sécurité intérieure, les finalités justifiant la mise en œuvre de techniques de recueil de renseignements sont précisément définies et concernent la défense et la promotion des intérêts fondamentaux de la nation. L’État partie affirme que ledit article répond aux exigences de prévisibilité de l’article 17 du Pacte ainsi qu’à l’observation générale </w:t>
            </w:r>
            <w:r w:rsidRPr="00490528">
              <w:rPr>
                <w:rFonts w:eastAsia="MS Mincho"/>
                <w:lang w:val="fr-FR"/>
              </w:rPr>
              <w:t>n</w:t>
            </w:r>
            <w:r w:rsidRPr="00490528">
              <w:rPr>
                <w:rFonts w:eastAsia="MS Mincho"/>
                <w:vertAlign w:val="superscript"/>
                <w:lang w:val="fr-FR"/>
              </w:rPr>
              <w:t>o</w:t>
            </w:r>
            <w:r w:rsidRPr="00490528">
              <w:rPr>
                <w:rFonts w:eastAsia="MS Mincho"/>
                <w:lang w:val="fr-FR"/>
              </w:rPr>
              <w:t> </w:t>
            </w:r>
            <w:r w:rsidRPr="00490528">
              <w:rPr>
                <w:lang w:val="fr-FR"/>
              </w:rPr>
              <w:t>16 (1988) sur le droit au respect de la vie privée.</w:t>
            </w:r>
          </w:p>
        </w:tc>
      </w:tr>
      <w:tr w:rsidR="00231AA4" w:rsidRPr="00490528" w:rsidTr="00490528">
        <w:tc>
          <w:tcPr>
            <w:tcW w:w="7370" w:type="dxa"/>
            <w:gridSpan w:val="2"/>
            <w:shd w:val="clear" w:color="auto" w:fill="auto"/>
          </w:tcPr>
          <w:p w:rsidR="00231AA4" w:rsidRPr="00490528" w:rsidRDefault="00231AA4" w:rsidP="005D1133">
            <w:pPr>
              <w:spacing w:before="40" w:after="120"/>
              <w:ind w:right="113"/>
              <w:jc w:val="both"/>
              <w:rPr>
                <w:lang w:val="fr-FR"/>
              </w:rPr>
            </w:pPr>
            <w:r w:rsidRPr="004B1099">
              <w:rPr>
                <w:i/>
                <w:lang w:val="fr-FR"/>
              </w:rPr>
              <w:t>Définition légale des techniques de recueil de renseignements</w:t>
            </w:r>
            <w:r w:rsidR="00A40835" w:rsidRPr="00490528">
              <w:rPr>
                <w:lang w:val="fr-FR"/>
              </w:rPr>
              <w:t> :</w:t>
            </w:r>
            <w:r w:rsidRPr="00490528">
              <w:rPr>
                <w:lang w:val="fr-FR"/>
              </w:rPr>
              <w:t xml:space="preserve"> Il s’agit des accès administratifs aux données de connexion</w:t>
            </w:r>
            <w:r w:rsidR="00A40835" w:rsidRPr="00490528">
              <w:rPr>
                <w:lang w:val="fr-FR"/>
              </w:rPr>
              <w:t> ;</w:t>
            </w:r>
            <w:r w:rsidRPr="00490528">
              <w:rPr>
                <w:lang w:val="fr-FR"/>
              </w:rPr>
              <w:t xml:space="preserve"> des interceptions de correspondances émises par la voie des communications électroniques</w:t>
            </w:r>
            <w:r w:rsidR="00A40835" w:rsidRPr="00490528">
              <w:rPr>
                <w:lang w:val="fr-FR"/>
              </w:rPr>
              <w:t> ;</w:t>
            </w:r>
            <w:r w:rsidRPr="00490528">
              <w:rPr>
                <w:lang w:val="fr-FR"/>
              </w:rPr>
              <w:t xml:space="preserve"> de la sonorisation de certains lieux et véhicules et la captation d’images et de données informatiques</w:t>
            </w:r>
            <w:r w:rsidR="00A40835" w:rsidRPr="00490528">
              <w:rPr>
                <w:lang w:val="fr-FR"/>
              </w:rPr>
              <w:t> ;</w:t>
            </w:r>
            <w:r w:rsidRPr="00490528">
              <w:rPr>
                <w:lang w:val="fr-FR"/>
              </w:rPr>
              <w:t xml:space="preserve"> et des mesures de surveillance des communications électroniques internationales. Dans le cadre de la lutte contre le terrorisme, une analyse automatique des données de connexion, respectant l’anonymat des usagers et ne permettant pas la surveillance du contenu des messages, peut être autorisée par le Premier Ministre. Dans ce cas, si des données susceptibles de caractériser l’existence d’une menace à caractère terroriste ont été détectées, le Premier Ministre peut, après un nouvel avis de la CNCTR, autoriser l’identification de la ou des personnes concernées et le recueil de données y afférentes. </w:t>
            </w:r>
          </w:p>
        </w:tc>
      </w:tr>
      <w:tr w:rsidR="00231AA4" w:rsidRPr="00490528" w:rsidTr="00490528">
        <w:tc>
          <w:tcPr>
            <w:tcW w:w="7370" w:type="dxa"/>
            <w:gridSpan w:val="2"/>
            <w:shd w:val="clear" w:color="auto" w:fill="auto"/>
          </w:tcPr>
          <w:p w:rsidR="00231AA4" w:rsidRPr="00490528" w:rsidRDefault="00231AA4" w:rsidP="005D1133">
            <w:pPr>
              <w:spacing w:before="40" w:after="120"/>
              <w:ind w:right="113"/>
              <w:jc w:val="both"/>
              <w:rPr>
                <w:lang w:val="fr-FR"/>
              </w:rPr>
            </w:pPr>
            <w:r w:rsidRPr="004B1099">
              <w:rPr>
                <w:i/>
                <w:lang w:val="fr-FR"/>
              </w:rPr>
              <w:t>Mise en œuvre des techniques de recueil de renseignements</w:t>
            </w:r>
            <w:r w:rsidR="00A40835" w:rsidRPr="00490528">
              <w:rPr>
                <w:lang w:val="fr-FR"/>
              </w:rPr>
              <w:t> :</w:t>
            </w:r>
            <w:r w:rsidRPr="00490528">
              <w:rPr>
                <w:lang w:val="fr-FR"/>
              </w:rPr>
              <w:t xml:space="preserve"> Celle-ci est soumise à une autorisation préalable du Premier Ministre après avis de la CNCTR, autorité administrative indépendante. L’indépendance de la CNCTR est reflétée par sa composition, par l’existence des mécanismes du délit d’entrave pour quiconque s’opposerait à l’action de la CNCTR et du statut de « lanceur d’alerte ». Ainsi, de par la loi, tout agent qui a connaissance</w:t>
            </w:r>
            <w:r w:rsidR="006E59D4">
              <w:rPr>
                <w:lang w:val="fr-FR"/>
              </w:rPr>
              <w:t>,</w:t>
            </w:r>
            <w:r w:rsidRPr="00490528">
              <w:rPr>
                <w:lang w:val="fr-FR"/>
              </w:rPr>
              <w:t xml:space="preserve"> dans l’exercice de ses fonctions, de faits susceptibles de constituer une violation manifeste de la loi relative au renseignement peut, sans encourir de</w:t>
            </w:r>
            <w:r w:rsidR="004B1099">
              <w:rPr>
                <w:lang w:val="fr-FR"/>
              </w:rPr>
              <w:t xml:space="preserve"> </w:t>
            </w:r>
            <w:r w:rsidRPr="00490528">
              <w:rPr>
                <w:lang w:val="fr-FR"/>
              </w:rPr>
              <w:t>sanctions, informer la CNCTR, qui peut ensuite saisir le Conseil d’État et en informer le Premier Ministre. L’État partie signale également que la CNCTR dispose de moyens humains et financiers renforcés par rapport à la précédente Commission nationale de contrôle des interceptions de sécurité.</w:t>
            </w:r>
          </w:p>
        </w:tc>
      </w:tr>
      <w:tr w:rsidR="00231AA4" w:rsidRPr="00490528" w:rsidTr="00490528">
        <w:tc>
          <w:tcPr>
            <w:tcW w:w="7370" w:type="dxa"/>
            <w:gridSpan w:val="2"/>
            <w:shd w:val="clear" w:color="auto" w:fill="auto"/>
          </w:tcPr>
          <w:p w:rsidR="00231AA4" w:rsidRPr="00490528" w:rsidRDefault="00231AA4" w:rsidP="00D57E35">
            <w:pPr>
              <w:keepNext/>
              <w:spacing w:before="40" w:after="120"/>
              <w:ind w:right="113"/>
              <w:jc w:val="both"/>
              <w:rPr>
                <w:lang w:val="fr-FR"/>
              </w:rPr>
            </w:pPr>
            <w:r w:rsidRPr="004B1099">
              <w:rPr>
                <w:i/>
                <w:lang w:val="fr-FR"/>
              </w:rPr>
              <w:lastRenderedPageBreak/>
              <w:t>Double contrôle exercé par la CNCTR</w:t>
            </w:r>
            <w:r w:rsidR="00A40835" w:rsidRPr="00490528">
              <w:rPr>
                <w:lang w:val="fr-FR"/>
              </w:rPr>
              <w:t> :</w:t>
            </w:r>
            <w:r w:rsidRPr="00490528">
              <w:rPr>
                <w:lang w:val="fr-FR"/>
              </w:rPr>
              <w:t xml:space="preserve"> Cette dernière exerce en premier lieu un contrôle de nécessité et de proportionnalité des mesures sollicitées au regard du respect de la vie privée. Lorsque la mesure implique l’introduction dans un lieu d’habitation ou que la personne visée, française ou étrangère, exerce une profession protégée (parlementaire, magistrat, avocat ou journaliste), la CNCTR se réunit en séance plénière pour rendre son avis et veille à ce que les données exploitées soient strictement liées à la finalité autorisée, et à ce que celles liées à l’exercice de la profession soient écartées et détruites. Lorsqu’une technique de renseignement supposant l’introduction dans un lieu privé à usage d’habitation est autorisée après avis défavorable de la CNCTR, le Conseil d’État est immédiatement saisi. À l’exception des mesures de prévention du terrorisme, la mesure autorisée ne peut être exécutée sans avis du Conseil d’État qui, réuni en formation restreinte et spécialisée, statue dans un délai de vingt-quatre heures. L’État partie qualifie ces mesures, à l’instar du Conseil constitutionnel, de mesures de police administrative, et estime ainsi qu’elles n’ont pas à être soumises au contrôle de l’autorité judiciaire car elles relèvent de la seule responsabilité du pouvoir exécutif dans le respect des principes de légalité, de proportionnalité et de nécessité. Depuis sa création le 3 octobre 2015 et jusqu’au début de février 2016, la CNCTR a émis près de 4 400 avis et l’ensemble des avis défavorables ont été suivis par le Premier Ministre.</w:t>
            </w:r>
          </w:p>
        </w:tc>
      </w:tr>
      <w:tr w:rsidR="00231AA4" w:rsidRPr="00490528" w:rsidTr="00490528">
        <w:tc>
          <w:tcPr>
            <w:tcW w:w="7370" w:type="dxa"/>
            <w:gridSpan w:val="2"/>
            <w:shd w:val="clear" w:color="auto" w:fill="auto"/>
          </w:tcPr>
          <w:p w:rsidR="00231AA4" w:rsidRPr="00490528" w:rsidRDefault="00231AA4" w:rsidP="005D1133">
            <w:pPr>
              <w:spacing w:before="40" w:after="120"/>
              <w:ind w:right="113"/>
              <w:jc w:val="both"/>
              <w:rPr>
                <w:lang w:val="fr-FR"/>
              </w:rPr>
            </w:pPr>
            <w:r w:rsidRPr="00490528">
              <w:rPr>
                <w:lang w:val="fr-FR"/>
              </w:rPr>
              <w:t xml:space="preserve">En second lieu, la CNCTR exerce un contrôle en aval sur la mise en œuvre des techniques autorisées par le Premier Ministre et sur les données collectées en ce sens qu’elle a un accès direct et permanent à l’ensemble des opérations réalisées et peut solliciter toute information supplémentaire nécessaire à sa mission. Elle peut adresser ses recommandations quant aux actions entreprises par les autorités publiques, le Premier Ministre ayant alors l’obligation d’y répondre, mentionnant les actions correctrices qu’il a le cas échéant engagées. </w:t>
            </w:r>
          </w:p>
        </w:tc>
      </w:tr>
      <w:tr w:rsidR="00231AA4" w:rsidRPr="00490528" w:rsidTr="00490528">
        <w:tc>
          <w:tcPr>
            <w:tcW w:w="7370" w:type="dxa"/>
            <w:gridSpan w:val="2"/>
            <w:shd w:val="clear" w:color="auto" w:fill="auto"/>
          </w:tcPr>
          <w:p w:rsidR="00231AA4" w:rsidRPr="00560370" w:rsidRDefault="00231AA4" w:rsidP="006E59D4">
            <w:pPr>
              <w:spacing w:before="40" w:after="120"/>
              <w:ind w:right="113"/>
              <w:jc w:val="both"/>
              <w:rPr>
                <w:spacing w:val="-1"/>
                <w:lang w:val="fr-FR"/>
              </w:rPr>
            </w:pPr>
            <w:r w:rsidRPr="00560370">
              <w:rPr>
                <w:i/>
                <w:spacing w:val="-1"/>
                <w:lang w:val="fr-FR"/>
              </w:rPr>
              <w:t>Autres mécanismes de contrôle des techniques de recueil de renseignements</w:t>
            </w:r>
            <w:r w:rsidR="00A40835" w:rsidRPr="00560370">
              <w:rPr>
                <w:spacing w:val="-1"/>
                <w:lang w:val="fr-FR"/>
              </w:rPr>
              <w:t> :</w:t>
            </w:r>
            <w:r w:rsidRPr="00560370">
              <w:rPr>
                <w:spacing w:val="-1"/>
                <w:lang w:val="fr-FR"/>
              </w:rPr>
              <w:t xml:space="preserve"> La loi prévoit un contrôle juridictionnel opéré par le Conseil d’État. Le Conseil, par le biais d’une formation spécialisée en charge de ce contentieux, connaît des recours dirigés contre les décisions relatives à l’autorisation de ces techniques, la conservation des renseignements collectés ou l’accès aux données. Quoique ses pouvoirs soient aménagés pour des raisons de secret</w:t>
            </w:r>
            <w:r w:rsidRPr="00560370">
              <w:rPr>
                <w:spacing w:val="-1"/>
                <w:lang w:val="fr-FR"/>
              </w:rPr>
              <w:noBreakHyphen/>
              <w:t>défense, il exerce un contrôle plein et entier sur la légalité, le bien-fondé et la proportionnalité des mesures et dispose de tous les pouvoirs d’un juge de plein contentieux. La Délégation parlementaire au renseignement (DPR), créée par la loi de programmation militaire du 18 décembre 2013 et disposant de pouvoirs d’</w:t>
            </w:r>
            <w:r w:rsidR="006E59D4" w:rsidRPr="00560370">
              <w:rPr>
                <w:spacing w:val="-1"/>
                <w:lang w:val="fr-FR"/>
              </w:rPr>
              <w:t>audition</w:t>
            </w:r>
            <w:r w:rsidRPr="00560370">
              <w:rPr>
                <w:spacing w:val="-1"/>
                <w:lang w:val="fr-FR"/>
              </w:rPr>
              <w:t xml:space="preserve"> et de consultation des documents, exerce le contrôle parlementaire de l’action du </w:t>
            </w:r>
            <w:r w:rsidR="006E59D4" w:rsidRPr="00560370">
              <w:rPr>
                <w:spacing w:val="-1"/>
                <w:lang w:val="fr-FR"/>
              </w:rPr>
              <w:t>G</w:t>
            </w:r>
            <w:r w:rsidRPr="00560370">
              <w:rPr>
                <w:spacing w:val="-1"/>
                <w:lang w:val="fr-FR"/>
              </w:rPr>
              <w:t>ouvernement en matière de renseignement et évalue la politique publique en ce domaine.</w:t>
            </w:r>
          </w:p>
        </w:tc>
      </w:tr>
      <w:tr w:rsidR="00231AA4" w:rsidRPr="00490528" w:rsidTr="00490528">
        <w:tc>
          <w:tcPr>
            <w:tcW w:w="7370" w:type="dxa"/>
            <w:gridSpan w:val="2"/>
            <w:shd w:val="clear" w:color="auto" w:fill="auto"/>
          </w:tcPr>
          <w:p w:rsidR="00231AA4" w:rsidRPr="00490528" w:rsidRDefault="00231AA4" w:rsidP="00D57E35">
            <w:pPr>
              <w:keepNext/>
              <w:spacing w:before="40" w:after="120"/>
              <w:ind w:right="113"/>
              <w:rPr>
                <w:b/>
                <w:lang w:val="fr-FR"/>
              </w:rPr>
            </w:pPr>
            <w:r w:rsidRPr="00490528">
              <w:rPr>
                <w:b/>
                <w:lang w:val="fr-FR"/>
              </w:rPr>
              <w:t xml:space="preserve">Évaluation du Comité </w:t>
            </w:r>
          </w:p>
        </w:tc>
      </w:tr>
      <w:tr w:rsidR="00231AA4" w:rsidRPr="00490528" w:rsidTr="00490528">
        <w:tc>
          <w:tcPr>
            <w:tcW w:w="7370" w:type="dxa"/>
            <w:gridSpan w:val="2"/>
            <w:shd w:val="clear" w:color="auto" w:fill="auto"/>
          </w:tcPr>
          <w:p w:rsidR="00231AA4" w:rsidRPr="00490528" w:rsidRDefault="00231AA4" w:rsidP="005D1133">
            <w:pPr>
              <w:spacing w:before="40" w:after="120"/>
              <w:ind w:right="113"/>
              <w:jc w:val="both"/>
              <w:rPr>
                <w:lang w:val="fr-FR"/>
              </w:rPr>
            </w:pPr>
            <w:r w:rsidRPr="00490528">
              <w:rPr>
                <w:lang w:val="fr-FR"/>
              </w:rPr>
              <w:t xml:space="preserve">Le Comité remercie l’État partie et prend note des informations détaillées sur les lois du 24 juillet et 30 novembre 2015. </w:t>
            </w:r>
          </w:p>
        </w:tc>
      </w:tr>
      <w:tr w:rsidR="00231AA4" w:rsidRPr="00490528" w:rsidTr="00490528">
        <w:tc>
          <w:tcPr>
            <w:tcW w:w="7370" w:type="dxa"/>
            <w:gridSpan w:val="2"/>
            <w:shd w:val="clear" w:color="auto" w:fill="auto"/>
          </w:tcPr>
          <w:p w:rsidR="00231AA4" w:rsidRPr="00490528" w:rsidRDefault="00231AA4" w:rsidP="00C87BC9">
            <w:pPr>
              <w:spacing w:before="40" w:after="120"/>
              <w:ind w:right="113"/>
              <w:jc w:val="both"/>
              <w:rPr>
                <w:b/>
                <w:lang w:val="fr-FR"/>
              </w:rPr>
            </w:pPr>
            <w:r w:rsidRPr="00490528">
              <w:rPr>
                <w:b/>
                <w:lang w:val="fr-FR"/>
              </w:rPr>
              <w:t>[B]</w:t>
            </w:r>
            <w:r w:rsidR="00A40835" w:rsidRPr="00490528">
              <w:rPr>
                <w:b/>
                <w:lang w:val="fr-FR"/>
              </w:rPr>
              <w:t> :</w:t>
            </w:r>
            <w:r w:rsidRPr="00490528">
              <w:rPr>
                <w:b/>
                <w:lang w:val="fr-FR"/>
              </w:rPr>
              <w:t xml:space="preserve"> </w:t>
            </w:r>
            <w:r w:rsidRPr="00490528">
              <w:rPr>
                <w:lang w:val="fr-FR"/>
              </w:rPr>
              <w:t>En ce qui concerne les principes de légalité, de proportionnalité et de nécessité, le Comité demande des informations supplémentaires sur les mesures prises aux fins</w:t>
            </w:r>
            <w:r w:rsidR="00A40835" w:rsidRPr="00490528">
              <w:rPr>
                <w:lang w:val="fr-FR"/>
              </w:rPr>
              <w:t> :</w:t>
            </w:r>
            <w:r w:rsidRPr="00490528">
              <w:rPr>
                <w:lang w:val="fr-FR"/>
              </w:rPr>
              <w:t xml:space="preserve"> a)</w:t>
            </w:r>
            <w:r w:rsidR="00C87BC9">
              <w:rPr>
                <w:lang w:val="fr-FR"/>
              </w:rPr>
              <w:t> </w:t>
            </w:r>
            <w:r w:rsidRPr="00490528">
              <w:rPr>
                <w:lang w:val="fr-FR"/>
              </w:rPr>
              <w:t xml:space="preserve">de garantir la stricte interprétation, conformément aux principes de légalité, proportionnalité et nécessité, des motifs d’immixtion prévus par l’article </w:t>
            </w:r>
            <w:hyperlink r:id="rId22" w:history="1">
              <w:r w:rsidRPr="00490528">
                <w:rPr>
                  <w:lang w:val="fr-FR" w:eastAsia="en-GB"/>
                </w:rPr>
                <w:t>L.</w:t>
              </w:r>
              <w:r w:rsidR="00C87BC9">
                <w:rPr>
                  <w:lang w:val="fr-FR" w:eastAsia="en-GB"/>
                </w:rPr>
                <w:t> </w:t>
              </w:r>
              <w:r w:rsidRPr="00490528">
                <w:rPr>
                  <w:lang w:val="fr-FR" w:eastAsia="en-GB"/>
                </w:rPr>
                <w:t>811-3</w:t>
              </w:r>
            </w:hyperlink>
            <w:r w:rsidRPr="00490528">
              <w:rPr>
                <w:lang w:val="fr-FR"/>
              </w:rPr>
              <w:t xml:space="preserve"> du Code de la sécurité intérieure</w:t>
            </w:r>
            <w:r w:rsidR="00A40835" w:rsidRPr="00490528">
              <w:rPr>
                <w:lang w:val="fr-FR"/>
              </w:rPr>
              <w:t> ;</w:t>
            </w:r>
            <w:r w:rsidRPr="00490528">
              <w:rPr>
                <w:lang w:val="fr-FR"/>
              </w:rPr>
              <w:t xml:space="preserve"> et b)</w:t>
            </w:r>
            <w:r w:rsidR="00C87BC9">
              <w:rPr>
                <w:lang w:val="fr-FR"/>
              </w:rPr>
              <w:t> </w:t>
            </w:r>
            <w:r w:rsidRPr="00490528">
              <w:rPr>
                <w:lang w:val="fr-FR"/>
              </w:rPr>
              <w:t>de préciser les catégories de personnes susceptibles d’être placées sous</w:t>
            </w:r>
            <w:r w:rsidR="00C87BC9">
              <w:rPr>
                <w:lang w:val="fr-FR"/>
              </w:rPr>
              <w:t> </w:t>
            </w:r>
            <w:r w:rsidRPr="00490528">
              <w:rPr>
                <w:lang w:val="fr-FR"/>
              </w:rPr>
              <w:t xml:space="preserve">surveillance et les circonstances exactes de mise en œuvre de l’article </w:t>
            </w:r>
            <w:hyperlink r:id="rId23" w:history="1">
              <w:r w:rsidRPr="00490528">
                <w:rPr>
                  <w:lang w:val="fr-FR" w:eastAsia="en-GB"/>
                </w:rPr>
                <w:t>L. 811-3</w:t>
              </w:r>
            </w:hyperlink>
            <w:r w:rsidRPr="00490528">
              <w:rPr>
                <w:lang w:val="fr-FR"/>
              </w:rPr>
              <w:t xml:space="preserve"> du Code de la sécurité intérieure, y compris la durée maximale de la surveillance, aux fins de</w:t>
            </w:r>
            <w:r w:rsidR="00C87BC9">
              <w:rPr>
                <w:lang w:val="fr-FR"/>
              </w:rPr>
              <w:t> </w:t>
            </w:r>
            <w:r w:rsidRPr="00490528">
              <w:rPr>
                <w:lang w:val="fr-FR"/>
              </w:rPr>
              <w:t>prévenir les risques d’abus de l’exécutif dans le recours aux techniques de</w:t>
            </w:r>
            <w:r w:rsidR="00C87BC9">
              <w:rPr>
                <w:lang w:val="fr-FR"/>
              </w:rPr>
              <w:t> </w:t>
            </w:r>
            <w:r w:rsidRPr="00490528">
              <w:rPr>
                <w:lang w:val="fr-FR"/>
              </w:rPr>
              <w:t>renseignement.</w:t>
            </w:r>
          </w:p>
        </w:tc>
      </w:tr>
      <w:tr w:rsidR="00231AA4" w:rsidRPr="00490528" w:rsidTr="00490528">
        <w:tc>
          <w:tcPr>
            <w:tcW w:w="7370" w:type="dxa"/>
            <w:gridSpan w:val="2"/>
            <w:shd w:val="clear" w:color="auto" w:fill="auto"/>
          </w:tcPr>
          <w:p w:rsidR="00231AA4" w:rsidRPr="00490528" w:rsidRDefault="00231AA4" w:rsidP="00C87BC9">
            <w:pPr>
              <w:spacing w:before="40" w:after="120"/>
              <w:ind w:right="113"/>
              <w:jc w:val="both"/>
              <w:rPr>
                <w:b/>
                <w:lang w:val="fr-FR"/>
              </w:rPr>
            </w:pPr>
            <w:r w:rsidRPr="00490528">
              <w:rPr>
                <w:b/>
                <w:lang w:val="fr-FR"/>
              </w:rPr>
              <w:t>[B]</w:t>
            </w:r>
            <w:r w:rsidR="00A40835" w:rsidRPr="00490528">
              <w:rPr>
                <w:b/>
                <w:lang w:val="fr-FR"/>
              </w:rPr>
              <w:t> :</w:t>
            </w:r>
            <w:r w:rsidRPr="00490528">
              <w:rPr>
                <w:b/>
                <w:lang w:val="fr-FR"/>
              </w:rPr>
              <w:t xml:space="preserve"> </w:t>
            </w:r>
            <w:r w:rsidRPr="00490528">
              <w:rPr>
                <w:lang w:val="fr-FR"/>
              </w:rPr>
              <w:t>En ce qui concerne la collecte et l’utilisation des données, le Comité demande des informations supplémentaires sur</w:t>
            </w:r>
            <w:r w:rsidR="00A40835" w:rsidRPr="00490528">
              <w:rPr>
                <w:lang w:val="fr-FR"/>
              </w:rPr>
              <w:t> :</w:t>
            </w:r>
            <w:r w:rsidRPr="00490528">
              <w:rPr>
                <w:lang w:val="fr-FR"/>
              </w:rPr>
              <w:t xml:space="preserve"> a)</w:t>
            </w:r>
            <w:r w:rsidR="00C87BC9">
              <w:rPr>
                <w:lang w:val="fr-FR"/>
              </w:rPr>
              <w:t> </w:t>
            </w:r>
            <w:r w:rsidRPr="00490528">
              <w:rPr>
                <w:lang w:val="fr-FR"/>
              </w:rPr>
              <w:t>l’usage en pratique de la collecte des données, y</w:t>
            </w:r>
            <w:r w:rsidR="00C87BC9">
              <w:rPr>
                <w:lang w:val="fr-FR"/>
              </w:rPr>
              <w:t> </w:t>
            </w:r>
            <w:r w:rsidRPr="00490528">
              <w:rPr>
                <w:lang w:val="fr-FR"/>
              </w:rPr>
              <w:t>compris le nombre précis de personnes faisant l’objet de mesures de surveillance et pour quelle durée à ce jour, et les méthodes les plus fréquemment utilisées</w:t>
            </w:r>
            <w:r w:rsidR="00A40835" w:rsidRPr="00490528">
              <w:rPr>
                <w:lang w:val="fr-FR"/>
              </w:rPr>
              <w:t> ;</w:t>
            </w:r>
            <w:r w:rsidRPr="00490528">
              <w:rPr>
                <w:lang w:val="fr-FR"/>
              </w:rPr>
              <w:t xml:space="preserve"> b)</w:t>
            </w:r>
            <w:r w:rsidR="00C87BC9">
              <w:rPr>
                <w:lang w:val="fr-FR"/>
              </w:rPr>
              <w:t> </w:t>
            </w:r>
            <w:r w:rsidRPr="00490528">
              <w:rPr>
                <w:lang w:val="fr-FR"/>
              </w:rPr>
              <w:t xml:space="preserve">les procédures d’utilisation et de conservation des données collectées dans le cadre de l’analyse </w:t>
            </w:r>
            <w:r w:rsidRPr="00490528">
              <w:rPr>
                <w:lang w:val="fr-FR"/>
              </w:rPr>
              <w:lastRenderedPageBreak/>
              <w:t>automatique des données de connexion dans l’objectif de combattre le terrorisme</w:t>
            </w:r>
            <w:r w:rsidR="00A40835" w:rsidRPr="00490528">
              <w:rPr>
                <w:lang w:val="fr-FR"/>
              </w:rPr>
              <w:t> ;</w:t>
            </w:r>
            <w:r w:rsidRPr="00490528">
              <w:rPr>
                <w:lang w:val="fr-FR"/>
              </w:rPr>
              <w:t xml:space="preserve"> et c)</w:t>
            </w:r>
            <w:r w:rsidR="00C87BC9">
              <w:rPr>
                <w:lang w:val="fr-FR"/>
              </w:rPr>
              <w:t> </w:t>
            </w:r>
            <w:r w:rsidRPr="00490528">
              <w:rPr>
                <w:lang w:val="fr-FR"/>
              </w:rPr>
              <w:t>les mesures assurant que les techniques de recueil de renseignements autorisées ne permettent pas de facto une surveillance de masse.</w:t>
            </w:r>
          </w:p>
        </w:tc>
      </w:tr>
      <w:tr w:rsidR="00231AA4" w:rsidRPr="00490528" w:rsidTr="00490528">
        <w:tc>
          <w:tcPr>
            <w:tcW w:w="7370" w:type="dxa"/>
            <w:gridSpan w:val="2"/>
            <w:shd w:val="clear" w:color="auto" w:fill="auto"/>
          </w:tcPr>
          <w:p w:rsidR="00231AA4" w:rsidRPr="00490528" w:rsidRDefault="00231AA4" w:rsidP="00A05630">
            <w:pPr>
              <w:spacing w:before="40" w:after="100"/>
              <w:ind w:right="113"/>
              <w:jc w:val="both"/>
              <w:rPr>
                <w:b/>
                <w:lang w:val="fr-FR"/>
              </w:rPr>
            </w:pPr>
            <w:r w:rsidRPr="00490528">
              <w:rPr>
                <w:b/>
                <w:lang w:val="fr-FR"/>
              </w:rPr>
              <w:lastRenderedPageBreak/>
              <w:t>[B]</w:t>
            </w:r>
            <w:r w:rsidR="00A40835" w:rsidRPr="00490528">
              <w:rPr>
                <w:b/>
                <w:lang w:val="fr-FR"/>
              </w:rPr>
              <w:t> :</w:t>
            </w:r>
            <w:r w:rsidRPr="00490528">
              <w:rPr>
                <w:b/>
                <w:lang w:val="fr-FR"/>
              </w:rPr>
              <w:t xml:space="preserve"> </w:t>
            </w:r>
            <w:r w:rsidRPr="00490528">
              <w:rPr>
                <w:lang w:val="fr-FR"/>
              </w:rPr>
              <w:t>En ce qui concerne le contrôle des activités de surveillance, il demande des informations supplémentaires sur</w:t>
            </w:r>
            <w:r w:rsidR="00A40835" w:rsidRPr="00490528">
              <w:rPr>
                <w:lang w:val="fr-FR"/>
              </w:rPr>
              <w:t> :</w:t>
            </w:r>
            <w:r w:rsidRPr="00490528">
              <w:rPr>
                <w:lang w:val="fr-FR"/>
              </w:rPr>
              <w:t xml:space="preserve"> a)</w:t>
            </w:r>
            <w:r w:rsidR="00C87BC9">
              <w:rPr>
                <w:lang w:val="fr-FR"/>
              </w:rPr>
              <w:t> </w:t>
            </w:r>
            <w:r w:rsidRPr="00490528">
              <w:rPr>
                <w:lang w:val="fr-FR"/>
              </w:rPr>
              <w:t>les mesures prises aux fins d’assurer que la CNCTR soit connue du grand public et dispose de moyens suffisants pour efficacement exercer sa mission</w:t>
            </w:r>
            <w:r w:rsidR="00A40835" w:rsidRPr="00490528">
              <w:rPr>
                <w:lang w:val="fr-FR"/>
              </w:rPr>
              <w:t> ;</w:t>
            </w:r>
            <w:r w:rsidRPr="00490528">
              <w:rPr>
                <w:lang w:val="fr-FR"/>
              </w:rPr>
              <w:t xml:space="preserve"> b)</w:t>
            </w:r>
            <w:r w:rsidR="00F503EC">
              <w:rPr>
                <w:lang w:val="fr-FR"/>
              </w:rPr>
              <w:t> </w:t>
            </w:r>
            <w:r w:rsidRPr="00490528">
              <w:rPr>
                <w:lang w:val="fr-FR"/>
              </w:rPr>
              <w:t>la possibilité pour d’autres autorités que le Premier Ministre de demander des avis à la CNCTR</w:t>
            </w:r>
            <w:r w:rsidR="00A40835" w:rsidRPr="00490528">
              <w:rPr>
                <w:lang w:val="fr-FR"/>
              </w:rPr>
              <w:t> ;</w:t>
            </w:r>
            <w:r w:rsidRPr="00490528">
              <w:rPr>
                <w:lang w:val="fr-FR"/>
              </w:rPr>
              <w:t xml:space="preserve"> c)</w:t>
            </w:r>
            <w:r w:rsidR="00F503EC">
              <w:rPr>
                <w:lang w:val="fr-FR"/>
              </w:rPr>
              <w:t> </w:t>
            </w:r>
            <w:r w:rsidRPr="00490528">
              <w:rPr>
                <w:lang w:val="fr-FR"/>
              </w:rPr>
              <w:t>le nombre total d’avis reçus par la CNCTR et le taux d’avis défavorables y afférents</w:t>
            </w:r>
            <w:r w:rsidR="00A40835" w:rsidRPr="00490528">
              <w:rPr>
                <w:lang w:val="fr-FR"/>
              </w:rPr>
              <w:t> ;</w:t>
            </w:r>
            <w:r w:rsidRPr="00490528">
              <w:rPr>
                <w:lang w:val="fr-FR"/>
              </w:rPr>
              <w:t xml:space="preserve"> et d)</w:t>
            </w:r>
            <w:r w:rsidR="00F503EC">
              <w:rPr>
                <w:lang w:val="fr-FR"/>
              </w:rPr>
              <w:t> </w:t>
            </w:r>
            <w:r w:rsidRPr="00490528">
              <w:rPr>
                <w:lang w:val="fr-FR"/>
              </w:rPr>
              <w:t>l’obligation d’informer les personnes qui ont été surveillées et l’accès en pratique à des recours utiles en cas d’abus.</w:t>
            </w:r>
          </w:p>
        </w:tc>
      </w:tr>
      <w:tr w:rsidR="00231AA4" w:rsidRPr="00490528" w:rsidTr="00490528">
        <w:tc>
          <w:tcPr>
            <w:tcW w:w="7370" w:type="dxa"/>
            <w:gridSpan w:val="2"/>
            <w:shd w:val="clear" w:color="auto" w:fill="auto"/>
          </w:tcPr>
          <w:p w:rsidR="00231AA4" w:rsidRPr="00490528" w:rsidRDefault="00231AA4" w:rsidP="00A05630">
            <w:pPr>
              <w:keepNext/>
              <w:spacing w:before="40" w:after="100"/>
              <w:ind w:right="113"/>
              <w:rPr>
                <w:b/>
                <w:lang w:val="fr-FR"/>
              </w:rPr>
            </w:pPr>
            <w:r w:rsidRPr="00490528">
              <w:rPr>
                <w:b/>
                <w:lang w:val="fr-FR"/>
              </w:rPr>
              <w:t>Paragraphe 16</w:t>
            </w:r>
            <w:r w:rsidR="00A40835" w:rsidRPr="00490528">
              <w:rPr>
                <w:b/>
                <w:lang w:val="fr-FR"/>
              </w:rPr>
              <w:t> :</w:t>
            </w:r>
            <w:r w:rsidRPr="00490528">
              <w:rPr>
                <w:b/>
                <w:lang w:val="fr-FR"/>
              </w:rPr>
              <w:t xml:space="preserve"> Abus sexuels en Centrafrique</w:t>
            </w:r>
          </w:p>
        </w:tc>
      </w:tr>
      <w:tr w:rsidR="00231AA4" w:rsidRPr="00490528" w:rsidTr="00490528">
        <w:tc>
          <w:tcPr>
            <w:tcW w:w="7370" w:type="dxa"/>
            <w:gridSpan w:val="2"/>
            <w:shd w:val="clear" w:color="auto" w:fill="auto"/>
          </w:tcPr>
          <w:p w:rsidR="00231AA4" w:rsidRPr="00490528" w:rsidRDefault="00231AA4" w:rsidP="00A05630">
            <w:pPr>
              <w:spacing w:before="40" w:after="100"/>
              <w:ind w:right="113"/>
              <w:jc w:val="both"/>
              <w:rPr>
                <w:b/>
                <w:lang w:val="fr-FR"/>
              </w:rPr>
            </w:pPr>
            <w:r w:rsidRPr="00490528">
              <w:rPr>
                <w:b/>
                <w:lang w:val="fr-FR"/>
              </w:rPr>
              <w:t xml:space="preserve">L’État partie devrait veiller à ce que les allégations d’abus sexuels commis sur des enfants en Centrafrique par des soldats français fassent l’objet, dans les meilleurs délais, d’une enquête efficace et à ce que les auteurs soient traduits en justice. </w:t>
            </w:r>
          </w:p>
        </w:tc>
      </w:tr>
      <w:tr w:rsidR="00231AA4" w:rsidRPr="00490528" w:rsidTr="00490528">
        <w:tc>
          <w:tcPr>
            <w:tcW w:w="7370" w:type="dxa"/>
            <w:gridSpan w:val="2"/>
            <w:shd w:val="clear" w:color="auto" w:fill="auto"/>
          </w:tcPr>
          <w:p w:rsidR="00231AA4" w:rsidRPr="00490528" w:rsidRDefault="00231AA4" w:rsidP="00A05630">
            <w:pPr>
              <w:keepNext/>
              <w:spacing w:before="40" w:after="100"/>
              <w:ind w:right="113"/>
              <w:rPr>
                <w:b/>
                <w:lang w:val="fr-FR"/>
              </w:rPr>
            </w:pPr>
            <w:r w:rsidRPr="00490528">
              <w:rPr>
                <w:b/>
                <w:lang w:val="fr-FR"/>
              </w:rPr>
              <w:t xml:space="preserve">Résumé de la réponse de l’État partie </w:t>
            </w:r>
          </w:p>
        </w:tc>
      </w:tr>
      <w:tr w:rsidR="00231AA4" w:rsidRPr="00490528" w:rsidTr="00490528">
        <w:tc>
          <w:tcPr>
            <w:tcW w:w="7370" w:type="dxa"/>
            <w:gridSpan w:val="2"/>
            <w:shd w:val="clear" w:color="auto" w:fill="auto"/>
          </w:tcPr>
          <w:p w:rsidR="00231AA4" w:rsidRPr="00490528" w:rsidRDefault="00231AA4" w:rsidP="00F503EC">
            <w:pPr>
              <w:spacing w:before="40" w:after="100"/>
              <w:ind w:right="113"/>
              <w:jc w:val="both"/>
              <w:rPr>
                <w:lang w:val="fr-FR"/>
              </w:rPr>
            </w:pPr>
            <w:r w:rsidRPr="00490528">
              <w:rPr>
                <w:lang w:val="fr-FR"/>
              </w:rPr>
              <w:t>L’État partie affirme sa volonté de coopération avec les Nations Unies et la République centrafricaine. La justice a été saisie le 29</w:t>
            </w:r>
            <w:r w:rsidR="00F503EC">
              <w:rPr>
                <w:lang w:val="fr-FR"/>
              </w:rPr>
              <w:t> </w:t>
            </w:r>
            <w:r w:rsidRPr="00490528">
              <w:rPr>
                <w:lang w:val="fr-FR"/>
              </w:rPr>
              <w:t>juillet 2014, dès que les autorités françaises ont eu connaissance des allégations. Le Procureur de la République a immédiatement ouvert une enquête préliminaire et</w:t>
            </w:r>
            <w:r w:rsidR="00EF1EF8">
              <w:rPr>
                <w:lang w:val="fr-FR"/>
              </w:rPr>
              <w:t>,</w:t>
            </w:r>
            <w:r w:rsidRPr="00490528">
              <w:rPr>
                <w:lang w:val="fr-FR"/>
              </w:rPr>
              <w:t xml:space="preserve"> le 1</w:t>
            </w:r>
            <w:r w:rsidRPr="00490528">
              <w:rPr>
                <w:vertAlign w:val="superscript"/>
                <w:lang w:val="fr-FR"/>
              </w:rPr>
              <w:t>er</w:t>
            </w:r>
            <w:r w:rsidRPr="00490528">
              <w:rPr>
                <w:lang w:val="fr-FR"/>
              </w:rPr>
              <w:t> août 2014, les enquêteurs étaient en Centrafrique. Une</w:t>
            </w:r>
            <w:r w:rsidR="00F503EC">
              <w:rPr>
                <w:lang w:val="fr-FR"/>
              </w:rPr>
              <w:t> </w:t>
            </w:r>
            <w:r w:rsidRPr="00490528">
              <w:rPr>
                <w:lang w:val="fr-FR"/>
              </w:rPr>
              <w:t>information judiciaire a été ouverte le 7</w:t>
            </w:r>
            <w:r w:rsidR="00F503EC">
              <w:rPr>
                <w:lang w:val="fr-FR"/>
              </w:rPr>
              <w:t> </w:t>
            </w:r>
            <w:r w:rsidRPr="00490528">
              <w:rPr>
                <w:lang w:val="fr-FR"/>
              </w:rPr>
              <w:t>mai 2015 pour viols sur mineurs par personne abusant de l’autorité conférée par ses fonctions et complicité. En juillet 2015, le magistrat en charge de l’enquête s’est rendu en Centrafrique pour auditionner les victimes. Le chef d’état-major des armées a également diligenté une enquête de commandement dont les résultats ont été versés au dossier de l’instruction.</w:t>
            </w:r>
          </w:p>
        </w:tc>
      </w:tr>
      <w:tr w:rsidR="00231AA4" w:rsidRPr="00490528" w:rsidTr="00490528">
        <w:tc>
          <w:tcPr>
            <w:tcW w:w="7370" w:type="dxa"/>
            <w:gridSpan w:val="2"/>
            <w:shd w:val="clear" w:color="auto" w:fill="auto"/>
          </w:tcPr>
          <w:p w:rsidR="00231AA4" w:rsidRPr="00490528" w:rsidRDefault="00231AA4" w:rsidP="00F503EC">
            <w:pPr>
              <w:spacing w:before="40" w:after="100"/>
              <w:ind w:right="113"/>
              <w:jc w:val="both"/>
              <w:rPr>
                <w:lang w:val="fr-FR"/>
              </w:rPr>
            </w:pPr>
            <w:r w:rsidRPr="00490528">
              <w:rPr>
                <w:lang w:val="fr-FR"/>
              </w:rPr>
              <w:t>L’enquête judiciaire est soumise au secret de l’instruction</w:t>
            </w:r>
            <w:r w:rsidR="00A40835" w:rsidRPr="00490528">
              <w:rPr>
                <w:lang w:val="fr-FR"/>
              </w:rPr>
              <w:t> ;</w:t>
            </w:r>
            <w:r w:rsidRPr="00490528">
              <w:rPr>
                <w:lang w:val="fr-FR"/>
              </w:rPr>
              <w:t xml:space="preserve"> l’État partie souligne toutefois que le Président de la République s’est engagé à ce que, si les faits étaient établis, les sanctions disciplinaires soient exemplaires, en sus de la réponse pénale relevant des seules autorités judiciaires. Les enfants ayant dénoncé les faits ont été placés sous la protection de l’UNICEF. </w:t>
            </w:r>
          </w:p>
        </w:tc>
      </w:tr>
      <w:tr w:rsidR="00231AA4" w:rsidRPr="00490528" w:rsidTr="00490528">
        <w:tc>
          <w:tcPr>
            <w:tcW w:w="7370" w:type="dxa"/>
            <w:gridSpan w:val="2"/>
            <w:shd w:val="clear" w:color="auto" w:fill="auto"/>
          </w:tcPr>
          <w:p w:rsidR="00231AA4" w:rsidRPr="00490528" w:rsidRDefault="00231AA4" w:rsidP="00F503EC">
            <w:pPr>
              <w:spacing w:before="40" w:after="100"/>
              <w:ind w:right="113"/>
              <w:jc w:val="both"/>
              <w:rPr>
                <w:lang w:val="fr-FR"/>
              </w:rPr>
            </w:pPr>
            <w:r w:rsidRPr="00490528">
              <w:rPr>
                <w:lang w:val="fr-FR"/>
              </w:rPr>
              <w:t>L’État partie rapporte que de nouveaux faits ont été portés à sa connaissance</w:t>
            </w:r>
            <w:r w:rsidR="00A40835" w:rsidRPr="00490528">
              <w:rPr>
                <w:lang w:val="fr-FR"/>
              </w:rPr>
              <w:t> :</w:t>
            </w:r>
            <w:r w:rsidRPr="00490528">
              <w:rPr>
                <w:lang w:val="fr-FR"/>
              </w:rPr>
              <w:t xml:space="preserve"> a)</w:t>
            </w:r>
            <w:r w:rsidR="00F503EC">
              <w:rPr>
                <w:lang w:val="fr-FR"/>
              </w:rPr>
              <w:t> </w:t>
            </w:r>
            <w:r w:rsidRPr="00490528">
              <w:rPr>
                <w:lang w:val="fr-FR"/>
              </w:rPr>
              <w:t>le 4 septembre 2015, le Ministère de la défense a donc saisi le Procureur de la République au sujet d’abus sexuels commis par un soldat français de l’opération Sangaris sur une jeune fille centrafricaine</w:t>
            </w:r>
            <w:r w:rsidR="00A40835" w:rsidRPr="00490528">
              <w:rPr>
                <w:lang w:val="fr-FR"/>
              </w:rPr>
              <w:t> ;</w:t>
            </w:r>
            <w:r w:rsidRPr="00490528">
              <w:rPr>
                <w:lang w:val="fr-FR"/>
              </w:rPr>
              <w:t xml:space="preserve"> et b)</w:t>
            </w:r>
            <w:r w:rsidR="00F503EC">
              <w:rPr>
                <w:lang w:val="fr-FR"/>
              </w:rPr>
              <w:t> </w:t>
            </w:r>
            <w:r w:rsidRPr="00490528">
              <w:rPr>
                <w:lang w:val="fr-FR"/>
              </w:rPr>
              <w:t>le 1</w:t>
            </w:r>
            <w:r w:rsidRPr="00490528">
              <w:rPr>
                <w:vertAlign w:val="superscript"/>
                <w:lang w:val="fr-FR"/>
              </w:rPr>
              <w:t>er</w:t>
            </w:r>
            <w:r w:rsidRPr="00490528">
              <w:rPr>
                <w:lang w:val="fr-FR"/>
              </w:rPr>
              <w:t xml:space="preserve"> avril 2016, suite à des signalements du Haut-Commissariat aux droits de l’homme, une enquête préliminaire a été ouverte par le parquet de Paris et confiée au commandement de la gendarmerie prévôtale. </w:t>
            </w:r>
          </w:p>
        </w:tc>
      </w:tr>
      <w:tr w:rsidR="00231AA4" w:rsidRPr="00490528" w:rsidTr="00490528">
        <w:tc>
          <w:tcPr>
            <w:tcW w:w="7370" w:type="dxa"/>
            <w:gridSpan w:val="2"/>
            <w:shd w:val="clear" w:color="auto" w:fill="auto"/>
          </w:tcPr>
          <w:p w:rsidR="00231AA4" w:rsidRPr="00490528" w:rsidRDefault="00231AA4" w:rsidP="00F503EC">
            <w:pPr>
              <w:spacing w:before="40" w:after="100"/>
              <w:ind w:right="113"/>
              <w:jc w:val="both"/>
              <w:rPr>
                <w:lang w:val="fr-FR"/>
              </w:rPr>
            </w:pPr>
            <w:r w:rsidRPr="00490528">
              <w:rPr>
                <w:lang w:val="fr-FR"/>
              </w:rPr>
              <w:t>Les soldats français envoyés dans le cadre d’une opération (dont les opérations de maintien de la paix) ne peuvent avoir fait l’objet de condamnations pénales ou de sanctions disciplinaires et bénéficient de mesures de formation intégrant un module spécifique sur la tolérance zéro quant à l’exploitation et aux abus sexuels. Leurs devoirs leur sont rappelés régulièrement durant l’opération, et les conseillers juridiques opérationnels déployés reçoivent une formation particulière notamment en droit international des droits de l’homme, en droit international humanitaire et en droit pénal international, formation sanctionnée par un examen.</w:t>
            </w:r>
          </w:p>
        </w:tc>
      </w:tr>
      <w:tr w:rsidR="00231AA4" w:rsidRPr="00490528" w:rsidTr="00490528">
        <w:tc>
          <w:tcPr>
            <w:tcW w:w="7370" w:type="dxa"/>
            <w:gridSpan w:val="2"/>
            <w:shd w:val="clear" w:color="auto" w:fill="auto"/>
          </w:tcPr>
          <w:p w:rsidR="00231AA4" w:rsidRPr="00490528" w:rsidRDefault="00231AA4" w:rsidP="00490528">
            <w:pPr>
              <w:spacing w:before="40" w:after="120"/>
              <w:ind w:right="113"/>
              <w:rPr>
                <w:b/>
                <w:lang w:val="fr-FR"/>
              </w:rPr>
            </w:pPr>
            <w:r w:rsidRPr="00490528">
              <w:rPr>
                <w:b/>
                <w:lang w:val="fr-FR"/>
              </w:rPr>
              <w:t xml:space="preserve">Évaluation du Comité </w:t>
            </w:r>
          </w:p>
        </w:tc>
      </w:tr>
      <w:tr w:rsidR="00231AA4" w:rsidRPr="00490528" w:rsidTr="00490528">
        <w:tc>
          <w:tcPr>
            <w:tcW w:w="7370" w:type="dxa"/>
            <w:gridSpan w:val="2"/>
            <w:shd w:val="clear" w:color="auto" w:fill="auto"/>
          </w:tcPr>
          <w:p w:rsidR="00231AA4" w:rsidRPr="00490528" w:rsidRDefault="00231AA4" w:rsidP="00F503EC">
            <w:pPr>
              <w:spacing w:before="40" w:after="120"/>
              <w:ind w:right="113"/>
              <w:jc w:val="both"/>
              <w:rPr>
                <w:lang w:val="fr-FR"/>
              </w:rPr>
            </w:pPr>
            <w:r w:rsidRPr="00490528">
              <w:rPr>
                <w:b/>
                <w:lang w:val="fr-FR"/>
              </w:rPr>
              <w:t>[B]</w:t>
            </w:r>
            <w:r w:rsidR="00A40835" w:rsidRPr="00490528">
              <w:rPr>
                <w:b/>
                <w:lang w:val="fr-FR"/>
              </w:rPr>
              <w:t> :</w:t>
            </w:r>
            <w:r w:rsidRPr="00490528">
              <w:rPr>
                <w:lang w:val="fr-FR"/>
              </w:rPr>
              <w:t xml:space="preserve"> Le Comité accueille favorablement la volonté de coopération de l’État partie avec les Nations Unies et la République centrafricaine ainsi que les informations relatives aux enquêtes diligentées. Il demande toutefois des informations sur</w:t>
            </w:r>
            <w:r w:rsidR="00A40835" w:rsidRPr="00490528">
              <w:rPr>
                <w:lang w:val="fr-FR"/>
              </w:rPr>
              <w:t> :</w:t>
            </w:r>
            <w:r w:rsidRPr="00490528">
              <w:rPr>
                <w:lang w:val="fr-FR"/>
              </w:rPr>
              <w:t xml:space="preserve"> a)</w:t>
            </w:r>
            <w:r w:rsidR="00F503EC">
              <w:rPr>
                <w:lang w:val="fr-FR"/>
              </w:rPr>
              <w:t> </w:t>
            </w:r>
            <w:r w:rsidRPr="00490528">
              <w:rPr>
                <w:lang w:val="fr-FR"/>
              </w:rPr>
              <w:t>l’estimation des délais de conclusion desdites enquêtes et</w:t>
            </w:r>
            <w:r w:rsidR="00EF1EF8">
              <w:rPr>
                <w:lang w:val="fr-FR"/>
              </w:rPr>
              <w:t>,</w:t>
            </w:r>
            <w:r w:rsidRPr="00490528">
              <w:rPr>
                <w:lang w:val="fr-FR"/>
              </w:rPr>
              <w:t xml:space="preserve"> dans cette attente, les mesures provisoires adoptées à l’encontre des suspects</w:t>
            </w:r>
            <w:r w:rsidR="00A40835" w:rsidRPr="00490528">
              <w:rPr>
                <w:lang w:val="fr-FR"/>
              </w:rPr>
              <w:t> ;</w:t>
            </w:r>
            <w:r w:rsidRPr="00490528">
              <w:rPr>
                <w:lang w:val="fr-FR"/>
              </w:rPr>
              <w:t xml:space="preserve"> b)</w:t>
            </w:r>
            <w:r w:rsidR="00F503EC">
              <w:rPr>
                <w:lang w:val="fr-FR"/>
              </w:rPr>
              <w:t> </w:t>
            </w:r>
            <w:r w:rsidRPr="00490528">
              <w:rPr>
                <w:lang w:val="fr-FR"/>
              </w:rPr>
              <w:t>le statut desdites enquêtes et les peines et sanctions prononcées, le cas échéant, à l’encontre des responsables ainsi que les mesures disciplinaires adoptées</w:t>
            </w:r>
            <w:r w:rsidR="00A40835" w:rsidRPr="00490528">
              <w:rPr>
                <w:lang w:val="fr-FR"/>
              </w:rPr>
              <w:t> ;</w:t>
            </w:r>
            <w:r w:rsidRPr="00490528">
              <w:rPr>
                <w:lang w:val="fr-FR"/>
              </w:rPr>
              <w:t xml:space="preserve"> et c)</w:t>
            </w:r>
            <w:r w:rsidR="00F503EC">
              <w:rPr>
                <w:lang w:val="fr-FR"/>
              </w:rPr>
              <w:t> </w:t>
            </w:r>
            <w:r w:rsidRPr="00490528">
              <w:rPr>
                <w:lang w:val="fr-FR"/>
              </w:rPr>
              <w:t>les mesures de réparation offertes aux victimes.</w:t>
            </w:r>
          </w:p>
        </w:tc>
      </w:tr>
      <w:tr w:rsidR="00231AA4" w:rsidRPr="00490528" w:rsidTr="00490528">
        <w:tc>
          <w:tcPr>
            <w:tcW w:w="7370" w:type="dxa"/>
            <w:gridSpan w:val="2"/>
            <w:shd w:val="clear" w:color="auto" w:fill="auto"/>
          </w:tcPr>
          <w:p w:rsidR="00231AA4" w:rsidRPr="00490528" w:rsidRDefault="00231AA4" w:rsidP="005D1133">
            <w:pPr>
              <w:spacing w:before="40" w:after="120"/>
              <w:ind w:right="113"/>
              <w:jc w:val="both"/>
              <w:rPr>
                <w:lang w:val="fr-FR"/>
              </w:rPr>
            </w:pPr>
            <w:r w:rsidRPr="00490528">
              <w:rPr>
                <w:b/>
                <w:lang w:val="fr-FR"/>
              </w:rPr>
              <w:lastRenderedPageBreak/>
              <w:t>Mesures recommandées</w:t>
            </w:r>
            <w:r w:rsidR="00A40835" w:rsidRPr="00490528">
              <w:rPr>
                <w:b/>
                <w:lang w:val="fr-FR"/>
              </w:rPr>
              <w:t> :</w:t>
            </w:r>
            <w:r w:rsidRPr="00490528">
              <w:rPr>
                <w:b/>
                <w:lang w:val="fr-FR"/>
              </w:rPr>
              <w:t xml:space="preserve"> </w:t>
            </w:r>
            <w:r w:rsidRPr="00490528">
              <w:rPr>
                <w:lang w:val="fr-FR"/>
              </w:rPr>
              <w:t xml:space="preserve">Une lettre devrait être adressée à l’État partie pour l’informer de l’arrêt de la procédure de suivi. Les </w:t>
            </w:r>
            <w:r w:rsidRPr="00490528">
              <w:t>informations demandées devraient être incluses dans le prochain rapport périodique de l’État partie.</w:t>
            </w:r>
          </w:p>
        </w:tc>
      </w:tr>
      <w:tr w:rsidR="00231AA4" w:rsidRPr="00490528" w:rsidTr="00490528">
        <w:tc>
          <w:tcPr>
            <w:tcW w:w="7370" w:type="dxa"/>
            <w:gridSpan w:val="2"/>
            <w:tcBorders>
              <w:bottom w:val="single" w:sz="12" w:space="0" w:color="auto"/>
            </w:tcBorders>
            <w:shd w:val="clear" w:color="auto" w:fill="auto"/>
          </w:tcPr>
          <w:p w:rsidR="00231AA4" w:rsidRPr="00490528" w:rsidRDefault="00231AA4" w:rsidP="00490528">
            <w:pPr>
              <w:spacing w:before="40" w:after="120"/>
              <w:ind w:right="113"/>
              <w:rPr>
                <w:lang w:val="fr-FR"/>
              </w:rPr>
            </w:pPr>
            <w:r w:rsidRPr="00490528">
              <w:rPr>
                <w:b/>
                <w:lang w:val="fr-FR"/>
              </w:rPr>
              <w:t>Prochain rapport périodique</w:t>
            </w:r>
            <w:r w:rsidR="00A40835" w:rsidRPr="00490528">
              <w:rPr>
                <w:b/>
                <w:lang w:val="fr-FR"/>
              </w:rPr>
              <w:t> :</w:t>
            </w:r>
            <w:r w:rsidRPr="00490528">
              <w:rPr>
                <w:b/>
                <w:lang w:val="fr-FR"/>
              </w:rPr>
              <w:t xml:space="preserve"> </w:t>
            </w:r>
            <w:r w:rsidRPr="00490528">
              <w:rPr>
                <w:lang w:val="fr-FR"/>
              </w:rPr>
              <w:t>24 juillet 2020</w:t>
            </w:r>
          </w:p>
        </w:tc>
      </w:tr>
    </w:tbl>
    <w:p w:rsidR="00231AA4" w:rsidRPr="00985F5B" w:rsidRDefault="00231AA4" w:rsidP="00231AA4">
      <w:pPr>
        <w:rPr>
          <w:szCs w:val="24"/>
          <w:lang w:val="fr-FR"/>
        </w:rPr>
      </w:pPr>
    </w:p>
    <w:tbl>
      <w:tblPr>
        <w:tblW w:w="7370" w:type="dxa"/>
        <w:tblInd w:w="1134" w:type="dxa"/>
        <w:tblLayout w:type="fixed"/>
        <w:tblCellMar>
          <w:left w:w="0" w:type="dxa"/>
          <w:right w:w="0" w:type="dxa"/>
        </w:tblCellMar>
        <w:tblLook w:val="00A0" w:firstRow="1" w:lastRow="0" w:firstColumn="1" w:lastColumn="0" w:noHBand="0" w:noVBand="0"/>
      </w:tblPr>
      <w:tblGrid>
        <w:gridCol w:w="2819"/>
        <w:gridCol w:w="4551"/>
      </w:tblGrid>
      <w:tr w:rsidR="00231AA4" w:rsidRPr="00E2006A" w:rsidTr="00755D1B">
        <w:trPr>
          <w:tblHeader/>
        </w:trPr>
        <w:tc>
          <w:tcPr>
            <w:tcW w:w="7370" w:type="dxa"/>
            <w:gridSpan w:val="2"/>
            <w:tcBorders>
              <w:top w:val="single" w:sz="4" w:space="0" w:color="auto"/>
              <w:bottom w:val="single" w:sz="12" w:space="0" w:color="auto"/>
            </w:tcBorders>
            <w:shd w:val="clear" w:color="auto" w:fill="auto"/>
            <w:vAlign w:val="bottom"/>
          </w:tcPr>
          <w:p w:rsidR="00231AA4" w:rsidRPr="00DB292F" w:rsidRDefault="00EF1EF8" w:rsidP="00A40835">
            <w:pPr>
              <w:spacing w:before="80" w:after="80"/>
              <w:ind w:right="113"/>
              <w:rPr>
                <w:i/>
                <w:szCs w:val="24"/>
                <w:lang w:val="fr-FR"/>
              </w:rPr>
            </w:pPr>
            <w:r>
              <w:rPr>
                <w:i/>
                <w:szCs w:val="24"/>
                <w:lang w:val="fr-FR"/>
              </w:rPr>
              <w:t>e</w:t>
            </w:r>
            <w:r w:rsidR="00231AA4" w:rsidRPr="00DB292F">
              <w:rPr>
                <w:i/>
                <w:szCs w:val="24"/>
                <w:lang w:val="fr-FR"/>
              </w:rPr>
              <w:t>x-République yougoslave de Macédoine</w:t>
            </w:r>
          </w:p>
        </w:tc>
      </w:tr>
      <w:tr w:rsidR="00231AA4" w:rsidRPr="00E2006A" w:rsidTr="00755D1B">
        <w:trPr>
          <w:trHeight w:hRule="exact" w:val="113"/>
          <w:tblHeader/>
        </w:trPr>
        <w:tc>
          <w:tcPr>
            <w:tcW w:w="7370" w:type="dxa"/>
            <w:gridSpan w:val="2"/>
            <w:tcBorders>
              <w:top w:val="single" w:sz="12" w:space="0" w:color="auto"/>
            </w:tcBorders>
            <w:shd w:val="clear" w:color="auto" w:fill="auto"/>
          </w:tcPr>
          <w:p w:rsidR="00231AA4" w:rsidRPr="00DB292F" w:rsidRDefault="00231AA4" w:rsidP="00A40835">
            <w:pPr>
              <w:spacing w:before="40" w:after="120"/>
              <w:ind w:right="113"/>
              <w:rPr>
                <w:szCs w:val="24"/>
                <w:lang w:val="fr-FR"/>
              </w:rPr>
            </w:pPr>
          </w:p>
        </w:tc>
      </w:tr>
      <w:tr w:rsidR="00231AA4" w:rsidRPr="007326A7" w:rsidTr="00A40835">
        <w:tc>
          <w:tcPr>
            <w:tcW w:w="2819" w:type="dxa"/>
            <w:shd w:val="clear" w:color="auto" w:fill="auto"/>
          </w:tcPr>
          <w:p w:rsidR="00231AA4" w:rsidRPr="00DB292F" w:rsidRDefault="00231AA4" w:rsidP="00A40835">
            <w:pPr>
              <w:spacing w:before="40" w:after="120"/>
              <w:ind w:right="113"/>
              <w:rPr>
                <w:szCs w:val="24"/>
                <w:lang w:val="fr-FR"/>
              </w:rPr>
            </w:pPr>
            <w:r w:rsidRPr="00DB292F">
              <w:rPr>
                <w:szCs w:val="24"/>
                <w:lang w:val="fr-FR"/>
              </w:rPr>
              <w:t>Observations finales</w:t>
            </w:r>
            <w:r w:rsidR="00A40835">
              <w:rPr>
                <w:szCs w:val="24"/>
                <w:lang w:val="fr-FR"/>
              </w:rPr>
              <w:t> :</w:t>
            </w:r>
          </w:p>
        </w:tc>
        <w:tc>
          <w:tcPr>
            <w:tcW w:w="4551" w:type="dxa"/>
            <w:shd w:val="clear" w:color="auto" w:fill="auto"/>
          </w:tcPr>
          <w:p w:rsidR="00231AA4" w:rsidRPr="00DB292F" w:rsidRDefault="00231AA4" w:rsidP="00A40835">
            <w:pPr>
              <w:spacing w:before="40" w:after="120"/>
              <w:ind w:right="113"/>
              <w:rPr>
                <w:szCs w:val="24"/>
                <w:lang w:val="en-US"/>
              </w:rPr>
            </w:pPr>
            <w:hyperlink r:id="rId24" w:history="1">
              <w:r w:rsidRPr="00C12145">
                <w:rPr>
                  <w:rStyle w:val="Lienhypertextesuivivisit"/>
                  <w:lang w:val="en-US"/>
                </w:rPr>
                <w:t>CCPR/C/MK</w:t>
              </w:r>
              <w:r w:rsidRPr="00C12145">
                <w:rPr>
                  <w:rStyle w:val="Lienhypertextesuivivisit"/>
                  <w:lang w:val="en-US"/>
                </w:rPr>
                <w:t>D</w:t>
              </w:r>
              <w:r w:rsidRPr="00C12145">
                <w:rPr>
                  <w:rStyle w:val="Lienhypertextesuivivisit"/>
                  <w:lang w:val="en-US"/>
                </w:rPr>
                <w:t>/CO/3</w:t>
              </w:r>
            </w:hyperlink>
            <w:r w:rsidR="00C12145" w:rsidRPr="00C12145">
              <w:rPr>
                <w:rStyle w:val="Lienhypertextesuivivisit"/>
                <w:color w:val="auto"/>
                <w:lang w:val="en-US"/>
              </w:rPr>
              <w:t>,</w:t>
            </w:r>
            <w:r w:rsidRPr="00DB292F">
              <w:rPr>
                <w:szCs w:val="24"/>
                <w:lang w:val="en-US"/>
              </w:rPr>
              <w:t xml:space="preserve"> 20 juillet 2015</w:t>
            </w:r>
          </w:p>
        </w:tc>
      </w:tr>
      <w:tr w:rsidR="00231AA4" w:rsidRPr="00E2006A" w:rsidTr="00A40835">
        <w:tc>
          <w:tcPr>
            <w:tcW w:w="2819" w:type="dxa"/>
            <w:shd w:val="clear" w:color="auto" w:fill="auto"/>
          </w:tcPr>
          <w:p w:rsidR="00231AA4" w:rsidRPr="00DB292F" w:rsidRDefault="00231AA4" w:rsidP="00A40835">
            <w:pPr>
              <w:spacing w:before="40" w:after="120"/>
              <w:ind w:right="113"/>
              <w:rPr>
                <w:szCs w:val="24"/>
                <w:lang w:val="fr-FR"/>
              </w:rPr>
            </w:pPr>
            <w:r w:rsidRPr="00DB292F">
              <w:rPr>
                <w:szCs w:val="24"/>
                <w:lang w:val="fr-FR"/>
              </w:rPr>
              <w:t>Paragraphes faisant l</w:t>
            </w:r>
            <w:r>
              <w:rPr>
                <w:szCs w:val="24"/>
                <w:lang w:val="fr-FR"/>
              </w:rPr>
              <w:t>’</w:t>
            </w:r>
            <w:r w:rsidRPr="00DB292F">
              <w:rPr>
                <w:szCs w:val="24"/>
                <w:lang w:val="fr-FR"/>
              </w:rPr>
              <w:t>objet</w:t>
            </w:r>
            <w:r w:rsidRPr="00DB292F">
              <w:rPr>
                <w:szCs w:val="24"/>
                <w:lang w:val="fr-FR"/>
              </w:rPr>
              <w:br/>
              <w:t>d</w:t>
            </w:r>
            <w:r>
              <w:rPr>
                <w:szCs w:val="24"/>
                <w:lang w:val="fr-FR"/>
              </w:rPr>
              <w:t>’</w:t>
            </w:r>
            <w:r w:rsidRPr="00DB292F">
              <w:rPr>
                <w:szCs w:val="24"/>
                <w:lang w:val="fr-FR"/>
              </w:rPr>
              <w:t>un suivi</w:t>
            </w:r>
            <w:r w:rsidR="00A40835">
              <w:rPr>
                <w:szCs w:val="24"/>
                <w:lang w:val="fr-FR"/>
              </w:rPr>
              <w:t> :</w:t>
            </w:r>
          </w:p>
        </w:tc>
        <w:tc>
          <w:tcPr>
            <w:tcW w:w="4551" w:type="dxa"/>
            <w:shd w:val="clear" w:color="auto" w:fill="auto"/>
          </w:tcPr>
          <w:p w:rsidR="00231AA4" w:rsidRPr="00DB292F" w:rsidRDefault="00231AA4" w:rsidP="00A40835">
            <w:pPr>
              <w:spacing w:before="40" w:after="120"/>
              <w:ind w:right="113"/>
              <w:rPr>
                <w:szCs w:val="24"/>
                <w:lang w:val="fr-FR"/>
              </w:rPr>
            </w:pPr>
            <w:r w:rsidRPr="00DB292F">
              <w:rPr>
                <w:szCs w:val="24"/>
                <w:lang w:val="fr-FR"/>
              </w:rPr>
              <w:t>15, 16 et 23</w:t>
            </w:r>
          </w:p>
        </w:tc>
      </w:tr>
      <w:tr w:rsidR="00231AA4" w:rsidRPr="00E2006A" w:rsidTr="00A40835">
        <w:tc>
          <w:tcPr>
            <w:tcW w:w="2819" w:type="dxa"/>
            <w:shd w:val="clear" w:color="auto" w:fill="auto"/>
          </w:tcPr>
          <w:p w:rsidR="00231AA4" w:rsidRPr="00DB292F" w:rsidRDefault="00231AA4" w:rsidP="00A40835">
            <w:pPr>
              <w:spacing w:before="40" w:after="120"/>
              <w:ind w:right="113"/>
              <w:rPr>
                <w:szCs w:val="24"/>
                <w:lang w:val="fr-FR"/>
              </w:rPr>
            </w:pPr>
            <w:r w:rsidRPr="00DB292F">
              <w:rPr>
                <w:szCs w:val="24"/>
                <w:lang w:val="fr-FR"/>
              </w:rPr>
              <w:t>Première</w:t>
            </w:r>
            <w:r>
              <w:rPr>
                <w:szCs w:val="24"/>
                <w:lang w:val="fr-FR"/>
              </w:rPr>
              <w:t xml:space="preserve"> réponse</w:t>
            </w:r>
            <w:r w:rsidRPr="007326A7">
              <w:rPr>
                <w:rStyle w:val="Appelnotedebasdep"/>
              </w:rPr>
              <w:footnoteReference w:id="6"/>
            </w:r>
            <w:r w:rsidR="00A40835">
              <w:rPr>
                <w:szCs w:val="24"/>
                <w:lang w:val="fr-FR"/>
              </w:rPr>
              <w:t> :</w:t>
            </w:r>
          </w:p>
        </w:tc>
        <w:tc>
          <w:tcPr>
            <w:tcW w:w="4551" w:type="dxa"/>
            <w:shd w:val="clear" w:color="auto" w:fill="auto"/>
          </w:tcPr>
          <w:p w:rsidR="00231AA4" w:rsidRPr="00DB292F" w:rsidRDefault="00231AA4" w:rsidP="00A40835">
            <w:pPr>
              <w:spacing w:before="40" w:after="120"/>
              <w:ind w:right="113"/>
              <w:rPr>
                <w:szCs w:val="24"/>
                <w:lang w:val="fr-FR"/>
              </w:rPr>
            </w:pPr>
            <w:hyperlink r:id="rId25" w:history="1">
              <w:r w:rsidRPr="00DB292F">
                <w:rPr>
                  <w:szCs w:val="24"/>
                  <w:lang w:val="fr-FR"/>
                </w:rPr>
                <w:t>30 août 2016</w:t>
              </w:r>
            </w:hyperlink>
          </w:p>
        </w:tc>
      </w:tr>
      <w:tr w:rsidR="00231AA4" w:rsidRPr="00E2006A" w:rsidTr="00A40835">
        <w:tc>
          <w:tcPr>
            <w:tcW w:w="2819" w:type="dxa"/>
            <w:shd w:val="clear" w:color="auto" w:fill="auto"/>
          </w:tcPr>
          <w:p w:rsidR="00231AA4" w:rsidRPr="00DB292F" w:rsidRDefault="00231AA4" w:rsidP="00A40835">
            <w:pPr>
              <w:spacing w:before="40" w:after="120"/>
              <w:ind w:right="113"/>
              <w:rPr>
                <w:szCs w:val="24"/>
                <w:lang w:val="fr-FR"/>
              </w:rPr>
            </w:pPr>
            <w:r w:rsidRPr="00DB292F">
              <w:rPr>
                <w:szCs w:val="24"/>
                <w:lang w:val="fr-FR"/>
              </w:rPr>
              <w:t>Évaluation du Comité</w:t>
            </w:r>
            <w:r w:rsidR="00A40835">
              <w:rPr>
                <w:szCs w:val="24"/>
                <w:lang w:val="fr-FR"/>
              </w:rPr>
              <w:t> :</w:t>
            </w:r>
          </w:p>
        </w:tc>
        <w:tc>
          <w:tcPr>
            <w:tcW w:w="4551" w:type="dxa"/>
            <w:shd w:val="clear" w:color="auto" w:fill="auto"/>
          </w:tcPr>
          <w:p w:rsidR="00231AA4" w:rsidRPr="00DB292F" w:rsidRDefault="00231AA4" w:rsidP="00A40835">
            <w:pPr>
              <w:spacing w:before="40" w:after="120"/>
              <w:ind w:right="113"/>
              <w:rPr>
                <w:szCs w:val="24"/>
                <w:lang w:val="fr-FR"/>
              </w:rPr>
            </w:pPr>
            <w:r w:rsidRPr="00DB292F">
              <w:rPr>
                <w:szCs w:val="24"/>
                <w:lang w:val="fr-FR"/>
              </w:rPr>
              <w:t xml:space="preserve">Des renseignements supplémentaires sont </w:t>
            </w:r>
            <w:r>
              <w:rPr>
                <w:szCs w:val="24"/>
                <w:lang w:val="fr-FR"/>
              </w:rPr>
              <w:t xml:space="preserve">nécessaires sur les paragraphes </w:t>
            </w:r>
            <w:r w:rsidRPr="00DB292F">
              <w:rPr>
                <w:szCs w:val="24"/>
                <w:lang w:val="fr-FR"/>
              </w:rPr>
              <w:t>15</w:t>
            </w:r>
            <w:r w:rsidRPr="00DB292F">
              <w:rPr>
                <w:b/>
                <w:szCs w:val="24"/>
                <w:lang w:val="fr-FR"/>
              </w:rPr>
              <w:t>[B][C]</w:t>
            </w:r>
            <w:r w:rsidRPr="00DB292F">
              <w:rPr>
                <w:szCs w:val="24"/>
                <w:lang w:val="fr-FR"/>
              </w:rPr>
              <w:t>, 16</w:t>
            </w:r>
            <w:r w:rsidRPr="00DB292F">
              <w:rPr>
                <w:b/>
                <w:szCs w:val="24"/>
                <w:lang w:val="fr-FR"/>
              </w:rPr>
              <w:t>[B]</w:t>
            </w:r>
            <w:r w:rsidRPr="00DB292F">
              <w:rPr>
                <w:szCs w:val="24"/>
                <w:lang w:val="fr-FR"/>
              </w:rPr>
              <w:t xml:space="preserve"> et 23</w:t>
            </w:r>
            <w:r w:rsidRPr="00DB292F">
              <w:rPr>
                <w:b/>
                <w:szCs w:val="24"/>
                <w:lang w:val="fr-FR"/>
              </w:rPr>
              <w:t>[C][B]</w:t>
            </w:r>
          </w:p>
        </w:tc>
      </w:tr>
      <w:tr w:rsidR="00231AA4" w:rsidRPr="00E2006A" w:rsidTr="00A40835">
        <w:tc>
          <w:tcPr>
            <w:tcW w:w="7370" w:type="dxa"/>
            <w:gridSpan w:val="2"/>
            <w:shd w:val="clear" w:color="auto" w:fill="auto"/>
          </w:tcPr>
          <w:p w:rsidR="00231AA4" w:rsidRPr="00DB292F" w:rsidRDefault="00231AA4" w:rsidP="00C12145">
            <w:pPr>
              <w:keepNext/>
              <w:spacing w:before="40" w:after="120"/>
              <w:ind w:right="113"/>
              <w:rPr>
                <w:b/>
                <w:szCs w:val="24"/>
                <w:lang w:val="fr-FR"/>
              </w:rPr>
            </w:pPr>
            <w:r>
              <w:rPr>
                <w:b/>
                <w:szCs w:val="24"/>
                <w:lang w:val="fr-FR"/>
              </w:rPr>
              <w:t>Paragraphe 15</w:t>
            </w:r>
            <w:r w:rsidR="00A40835">
              <w:rPr>
                <w:b/>
                <w:szCs w:val="24"/>
                <w:lang w:val="fr-FR"/>
              </w:rPr>
              <w:t> :</w:t>
            </w:r>
            <w:r w:rsidRPr="00DB292F">
              <w:rPr>
                <w:b/>
                <w:szCs w:val="24"/>
                <w:lang w:val="fr-FR"/>
              </w:rPr>
              <w:t xml:space="preserve"> Traite des êtres humains</w:t>
            </w:r>
          </w:p>
        </w:tc>
      </w:tr>
      <w:tr w:rsidR="00231AA4" w:rsidRPr="00E2006A" w:rsidTr="00A40835">
        <w:tc>
          <w:tcPr>
            <w:tcW w:w="7370" w:type="dxa"/>
            <w:gridSpan w:val="2"/>
            <w:shd w:val="clear" w:color="auto" w:fill="auto"/>
          </w:tcPr>
          <w:p w:rsidR="00231AA4" w:rsidRPr="00DB292F" w:rsidRDefault="00231AA4" w:rsidP="003A3402">
            <w:pPr>
              <w:spacing w:before="40" w:after="120"/>
              <w:ind w:right="113"/>
              <w:jc w:val="both"/>
              <w:rPr>
                <w:b/>
                <w:szCs w:val="24"/>
                <w:lang w:val="fr-FR" w:eastAsia="fr-FR"/>
              </w:rPr>
            </w:pPr>
            <w:r w:rsidRPr="00DB292F">
              <w:rPr>
                <w:b/>
                <w:szCs w:val="24"/>
                <w:lang w:val="fr-FR" w:eastAsia="fr-FR"/>
              </w:rPr>
              <w:t>L</w:t>
            </w:r>
            <w:r>
              <w:rPr>
                <w:b/>
                <w:szCs w:val="24"/>
                <w:lang w:val="fr-FR" w:eastAsia="fr-FR"/>
              </w:rPr>
              <w:t>’</w:t>
            </w:r>
            <w:r w:rsidRPr="00DB292F">
              <w:rPr>
                <w:b/>
                <w:szCs w:val="24"/>
                <w:lang w:val="fr-FR" w:eastAsia="fr-FR"/>
              </w:rPr>
              <w:t>État partie devrait prendre des mesures pour lutter contre la traite des personnes, diligenter systématiquement des enquêtes approfondies, poursuivre les auteurs présumés et, si ceux-ci sont reconnus coupables, veiller à ce qu</w:t>
            </w:r>
            <w:r>
              <w:rPr>
                <w:b/>
                <w:szCs w:val="24"/>
                <w:lang w:val="fr-FR" w:eastAsia="fr-FR"/>
              </w:rPr>
              <w:t>’</w:t>
            </w:r>
            <w:r w:rsidRPr="00DB292F">
              <w:rPr>
                <w:b/>
                <w:szCs w:val="24"/>
                <w:lang w:val="fr-FR" w:eastAsia="fr-FR"/>
              </w:rPr>
              <w:t>ils soient condamnés à des peines appropriées. Il devrait redoubler d</w:t>
            </w:r>
            <w:r>
              <w:rPr>
                <w:b/>
                <w:szCs w:val="24"/>
                <w:lang w:val="fr-FR" w:eastAsia="fr-FR"/>
              </w:rPr>
              <w:t>’</w:t>
            </w:r>
            <w:r w:rsidRPr="00DB292F">
              <w:rPr>
                <w:b/>
                <w:szCs w:val="24"/>
                <w:lang w:val="fr-FR" w:eastAsia="fr-FR"/>
              </w:rPr>
              <w:t>efforts pour garantir aux victimes une protection, une réparation et une indemnisation adéquates, y compris des services de réadaptation.</w:t>
            </w:r>
          </w:p>
        </w:tc>
      </w:tr>
      <w:tr w:rsidR="00231AA4" w:rsidRPr="00E2006A" w:rsidTr="00A40835">
        <w:tc>
          <w:tcPr>
            <w:tcW w:w="7370" w:type="dxa"/>
            <w:gridSpan w:val="2"/>
            <w:shd w:val="clear" w:color="auto" w:fill="auto"/>
          </w:tcPr>
          <w:p w:rsidR="00231AA4" w:rsidRPr="00DB292F" w:rsidRDefault="00231AA4" w:rsidP="00C12145">
            <w:pPr>
              <w:keepNext/>
              <w:spacing w:before="40" w:after="120"/>
              <w:ind w:right="113"/>
              <w:rPr>
                <w:b/>
                <w:szCs w:val="24"/>
                <w:lang w:val="fr-FR"/>
              </w:rPr>
            </w:pPr>
            <w:r w:rsidRPr="00DB292F">
              <w:rPr>
                <w:b/>
                <w:szCs w:val="24"/>
                <w:lang w:val="fr-FR"/>
              </w:rPr>
              <w:t>Résumé de la réponse de l</w:t>
            </w:r>
            <w:r>
              <w:rPr>
                <w:b/>
                <w:szCs w:val="24"/>
                <w:lang w:val="fr-FR"/>
              </w:rPr>
              <w:t>’</w:t>
            </w:r>
            <w:r w:rsidRPr="00DB292F">
              <w:rPr>
                <w:b/>
                <w:szCs w:val="24"/>
                <w:lang w:val="fr-FR"/>
              </w:rPr>
              <w:t>État partie</w:t>
            </w:r>
          </w:p>
        </w:tc>
      </w:tr>
      <w:tr w:rsidR="00231AA4" w:rsidRPr="00E2006A" w:rsidTr="00A40835">
        <w:tc>
          <w:tcPr>
            <w:tcW w:w="7370" w:type="dxa"/>
            <w:gridSpan w:val="2"/>
            <w:shd w:val="clear" w:color="auto" w:fill="auto"/>
          </w:tcPr>
          <w:p w:rsidR="00231AA4" w:rsidRPr="00BB5ED0" w:rsidRDefault="00231AA4" w:rsidP="00BB5ED0">
            <w:pPr>
              <w:spacing w:before="40" w:after="120"/>
              <w:ind w:right="113"/>
              <w:jc w:val="both"/>
              <w:rPr>
                <w:spacing w:val="-1"/>
                <w:szCs w:val="24"/>
                <w:lang w:val="fr-FR"/>
              </w:rPr>
            </w:pPr>
            <w:r w:rsidRPr="00BB5ED0">
              <w:rPr>
                <w:spacing w:val="-1"/>
                <w:szCs w:val="24"/>
                <w:lang w:val="fr-FR"/>
              </w:rPr>
              <w:t>En 2015, 3</w:t>
            </w:r>
            <w:r w:rsidR="00C12145" w:rsidRPr="00BB5ED0">
              <w:rPr>
                <w:spacing w:val="-1"/>
                <w:szCs w:val="24"/>
                <w:lang w:val="fr-FR"/>
              </w:rPr>
              <w:t> </w:t>
            </w:r>
            <w:r w:rsidRPr="00BB5ED0">
              <w:rPr>
                <w:spacing w:val="-1"/>
                <w:szCs w:val="24"/>
                <w:lang w:val="fr-FR"/>
              </w:rPr>
              <w:t>victimes (un adulte et deux enfants) et 11</w:t>
            </w:r>
            <w:r w:rsidR="00C12145" w:rsidRPr="00BB5ED0">
              <w:rPr>
                <w:spacing w:val="-1"/>
                <w:szCs w:val="24"/>
                <w:lang w:val="fr-FR"/>
              </w:rPr>
              <w:t> </w:t>
            </w:r>
            <w:r w:rsidRPr="00BB5ED0">
              <w:rPr>
                <w:spacing w:val="-1"/>
                <w:szCs w:val="24"/>
                <w:lang w:val="fr-FR"/>
              </w:rPr>
              <w:t>victimes potentielles de la traite des êtres humains (toutes de sexe féminin) ont été recensées. Cent</w:t>
            </w:r>
            <w:r w:rsidRPr="00BB5ED0">
              <w:rPr>
                <w:spacing w:val="-1"/>
                <w:szCs w:val="24"/>
                <w:lang w:val="fr-FR"/>
              </w:rPr>
              <w:noBreakHyphen/>
              <w:t>vingt procédures pénales impliquant 212</w:t>
            </w:r>
            <w:r w:rsidR="00C12145" w:rsidRPr="00BB5ED0">
              <w:rPr>
                <w:spacing w:val="-1"/>
                <w:szCs w:val="24"/>
                <w:lang w:val="fr-FR"/>
              </w:rPr>
              <w:t> </w:t>
            </w:r>
            <w:r w:rsidRPr="00BB5ED0">
              <w:rPr>
                <w:spacing w:val="-1"/>
                <w:szCs w:val="24"/>
                <w:lang w:val="fr-FR"/>
              </w:rPr>
              <w:t>auteurs ont été engagées du chef de 142</w:t>
            </w:r>
            <w:r w:rsidR="00C12145" w:rsidRPr="00BB5ED0">
              <w:rPr>
                <w:spacing w:val="-1"/>
                <w:szCs w:val="24"/>
                <w:lang w:val="fr-FR"/>
              </w:rPr>
              <w:t> </w:t>
            </w:r>
            <w:r w:rsidRPr="00BB5ED0">
              <w:rPr>
                <w:spacing w:val="-1"/>
                <w:szCs w:val="24"/>
                <w:lang w:val="fr-FR"/>
              </w:rPr>
              <w:t>infractions à l’article</w:t>
            </w:r>
            <w:r w:rsidR="00C12145" w:rsidRPr="00BB5ED0">
              <w:rPr>
                <w:spacing w:val="-1"/>
                <w:szCs w:val="24"/>
                <w:lang w:val="fr-FR"/>
              </w:rPr>
              <w:t> </w:t>
            </w:r>
            <w:r w:rsidRPr="00BB5ED0">
              <w:rPr>
                <w:spacing w:val="-1"/>
                <w:szCs w:val="24"/>
                <w:lang w:val="fr-FR"/>
              </w:rPr>
              <w:t xml:space="preserve">418-b du Code pénal pour trafic de migrants </w:t>
            </w:r>
            <w:r w:rsidR="00C12145" w:rsidRPr="00BB5ED0">
              <w:rPr>
                <w:spacing w:val="-1"/>
                <w:szCs w:val="24"/>
                <w:lang w:val="fr-FR"/>
              </w:rPr>
              <w:t xml:space="preserve">− </w:t>
            </w:r>
            <w:r w:rsidRPr="00BB5ED0">
              <w:rPr>
                <w:spacing w:val="-1"/>
                <w:szCs w:val="24"/>
                <w:lang w:val="fr-FR"/>
              </w:rPr>
              <w:t>soit une hausse de 33</w:t>
            </w:r>
            <w:r w:rsidR="00C12145" w:rsidRPr="00BB5ED0">
              <w:rPr>
                <w:spacing w:val="-1"/>
                <w:szCs w:val="24"/>
                <w:lang w:val="fr-FR"/>
              </w:rPr>
              <w:t> </w:t>
            </w:r>
            <w:r w:rsidRPr="00BB5ED0">
              <w:rPr>
                <w:spacing w:val="-1"/>
                <w:szCs w:val="24"/>
                <w:lang w:val="fr-FR"/>
              </w:rPr>
              <w:t>% par rapport à 2014</w:t>
            </w:r>
            <w:r w:rsidR="00A40835" w:rsidRPr="00BB5ED0">
              <w:rPr>
                <w:spacing w:val="-1"/>
                <w:szCs w:val="24"/>
                <w:lang w:val="fr-FR"/>
              </w:rPr>
              <w:t> ;</w:t>
            </w:r>
            <w:r w:rsidRPr="00BB5ED0">
              <w:rPr>
                <w:spacing w:val="-1"/>
                <w:szCs w:val="24"/>
                <w:lang w:val="fr-FR"/>
              </w:rPr>
              <w:t xml:space="preserve"> le tribunal de première instance de Skopje</w:t>
            </w:r>
            <w:r w:rsidR="00BB5ED0" w:rsidRPr="00BB5ED0">
              <w:rPr>
                <w:spacing w:val="-1"/>
                <w:szCs w:val="24"/>
                <w:lang w:val="fr-FR"/>
              </w:rPr>
              <w:t> </w:t>
            </w:r>
            <w:r w:rsidRPr="00BB5ED0">
              <w:rPr>
                <w:spacing w:val="-1"/>
                <w:szCs w:val="24"/>
                <w:lang w:val="fr-FR"/>
              </w:rPr>
              <w:t>1 a examiné 161</w:t>
            </w:r>
            <w:r w:rsidR="00C12145" w:rsidRPr="00BB5ED0">
              <w:rPr>
                <w:spacing w:val="-1"/>
                <w:szCs w:val="24"/>
                <w:lang w:val="fr-FR"/>
              </w:rPr>
              <w:t> </w:t>
            </w:r>
            <w:r w:rsidRPr="00BB5ED0">
              <w:rPr>
                <w:spacing w:val="-1"/>
                <w:szCs w:val="24"/>
                <w:lang w:val="fr-FR"/>
              </w:rPr>
              <w:t>affaires relatives à la traite d’êtres humains concernant 201</w:t>
            </w:r>
            <w:r w:rsidR="00BB5ED0" w:rsidRPr="00BB5ED0">
              <w:rPr>
                <w:spacing w:val="-1"/>
                <w:szCs w:val="24"/>
                <w:lang w:val="fr-FR"/>
              </w:rPr>
              <w:t> </w:t>
            </w:r>
            <w:r w:rsidRPr="00BB5ED0">
              <w:rPr>
                <w:spacing w:val="-1"/>
                <w:szCs w:val="24"/>
                <w:lang w:val="fr-FR"/>
              </w:rPr>
              <w:t>accusés</w:t>
            </w:r>
            <w:r w:rsidR="00A40835" w:rsidRPr="00BB5ED0">
              <w:rPr>
                <w:spacing w:val="-1"/>
                <w:szCs w:val="24"/>
                <w:lang w:val="fr-FR"/>
              </w:rPr>
              <w:t> ;</w:t>
            </w:r>
            <w:r w:rsidRPr="00BB5ED0">
              <w:rPr>
                <w:spacing w:val="-1"/>
                <w:szCs w:val="24"/>
                <w:lang w:val="fr-FR"/>
              </w:rPr>
              <w:t xml:space="preserve"> des peines d’emprisonnement ont été prononcées contre 175</w:t>
            </w:r>
            <w:r w:rsidR="00BB5ED0" w:rsidRPr="00BB5ED0">
              <w:rPr>
                <w:spacing w:val="-1"/>
                <w:szCs w:val="24"/>
                <w:lang w:val="fr-FR"/>
              </w:rPr>
              <w:t> </w:t>
            </w:r>
            <w:r w:rsidRPr="00BB5ED0">
              <w:rPr>
                <w:spacing w:val="-1"/>
                <w:szCs w:val="24"/>
                <w:lang w:val="fr-FR"/>
              </w:rPr>
              <w:t>accusés, y compris dans le cadre d’affaires datant des années précédentes (pour des statistiques complètes, voir le tableau figurant dans la première réponse, en date du 30</w:t>
            </w:r>
            <w:r w:rsidR="00BB5ED0" w:rsidRPr="00BB5ED0">
              <w:rPr>
                <w:spacing w:val="-1"/>
                <w:szCs w:val="24"/>
                <w:lang w:val="fr-FR"/>
              </w:rPr>
              <w:t> </w:t>
            </w:r>
            <w:r w:rsidRPr="00BB5ED0">
              <w:rPr>
                <w:spacing w:val="-1"/>
                <w:szCs w:val="24"/>
                <w:lang w:val="fr-FR"/>
              </w:rPr>
              <w:t>août 2016, p.</w:t>
            </w:r>
            <w:r w:rsidR="00BB5ED0" w:rsidRPr="00BB5ED0">
              <w:rPr>
                <w:spacing w:val="-1"/>
                <w:szCs w:val="24"/>
                <w:lang w:val="fr-FR"/>
              </w:rPr>
              <w:t> </w:t>
            </w:r>
            <w:r w:rsidRPr="00BB5ED0">
              <w:rPr>
                <w:spacing w:val="-1"/>
                <w:szCs w:val="24"/>
                <w:lang w:val="fr-FR"/>
              </w:rPr>
              <w:t>2)</w:t>
            </w:r>
            <w:r w:rsidR="00A40835" w:rsidRPr="00BB5ED0">
              <w:rPr>
                <w:spacing w:val="-1"/>
                <w:szCs w:val="24"/>
                <w:lang w:val="fr-FR"/>
              </w:rPr>
              <w:t> ;</w:t>
            </w:r>
            <w:r w:rsidRPr="00BB5ED0">
              <w:rPr>
                <w:spacing w:val="-1"/>
                <w:szCs w:val="24"/>
                <w:lang w:val="fr-FR"/>
              </w:rPr>
              <w:t xml:space="preserve"> un employé du Ministère de l’intérieur a été condamné à une peine de quatre ans d’emprisonnement.</w:t>
            </w:r>
          </w:p>
        </w:tc>
      </w:tr>
      <w:tr w:rsidR="00231AA4" w:rsidRPr="00E2006A" w:rsidTr="00A40835">
        <w:tc>
          <w:tcPr>
            <w:tcW w:w="7370" w:type="dxa"/>
            <w:gridSpan w:val="2"/>
            <w:shd w:val="clear" w:color="auto" w:fill="auto"/>
          </w:tcPr>
          <w:p w:rsidR="00231AA4" w:rsidRPr="00DB292F" w:rsidRDefault="00231AA4" w:rsidP="003A3402">
            <w:pPr>
              <w:spacing w:before="40" w:after="120"/>
              <w:ind w:right="113"/>
              <w:jc w:val="both"/>
              <w:rPr>
                <w:szCs w:val="24"/>
                <w:lang w:val="fr-FR"/>
              </w:rPr>
            </w:pPr>
            <w:r w:rsidRPr="00DB292F">
              <w:rPr>
                <w:szCs w:val="24"/>
                <w:lang w:val="fr-FR"/>
              </w:rPr>
              <w:t>En 2016, une personne a été mise en accusation pour trafic d</w:t>
            </w:r>
            <w:r>
              <w:rPr>
                <w:szCs w:val="24"/>
                <w:lang w:val="fr-FR"/>
              </w:rPr>
              <w:t>’</w:t>
            </w:r>
            <w:r w:rsidRPr="00DB292F">
              <w:rPr>
                <w:szCs w:val="24"/>
                <w:lang w:val="fr-FR"/>
              </w:rPr>
              <w:t>enfants</w:t>
            </w:r>
            <w:r>
              <w:rPr>
                <w:szCs w:val="24"/>
                <w:lang w:val="fr-FR"/>
              </w:rPr>
              <w:t>,</w:t>
            </w:r>
            <w:r w:rsidRPr="00DB292F">
              <w:rPr>
                <w:szCs w:val="24"/>
                <w:lang w:val="fr-FR"/>
              </w:rPr>
              <w:t xml:space="preserve"> en application de l</w:t>
            </w:r>
            <w:r>
              <w:rPr>
                <w:szCs w:val="24"/>
                <w:lang w:val="fr-FR"/>
              </w:rPr>
              <w:t>’</w:t>
            </w:r>
            <w:r w:rsidRPr="00DB292F">
              <w:rPr>
                <w:szCs w:val="24"/>
                <w:lang w:val="fr-FR"/>
              </w:rPr>
              <w:t>article 418-d du Code pénal</w:t>
            </w:r>
            <w:r w:rsidR="00A40835">
              <w:rPr>
                <w:szCs w:val="24"/>
                <w:lang w:val="fr-FR"/>
              </w:rPr>
              <w:t> ;</w:t>
            </w:r>
            <w:r w:rsidRPr="00DB292F">
              <w:rPr>
                <w:szCs w:val="24"/>
                <w:lang w:val="fr-FR"/>
              </w:rPr>
              <w:t xml:space="preserve"> </w:t>
            </w:r>
            <w:r>
              <w:rPr>
                <w:szCs w:val="24"/>
                <w:lang w:val="fr-FR"/>
              </w:rPr>
              <w:t>t</w:t>
            </w:r>
            <w:r w:rsidRPr="00DB292F">
              <w:rPr>
                <w:szCs w:val="24"/>
                <w:lang w:val="fr-FR"/>
              </w:rPr>
              <w:t>rois migrants mineurs ont été recensés par les autorités comme victimes potentielles de la traite.</w:t>
            </w:r>
          </w:p>
        </w:tc>
      </w:tr>
      <w:tr w:rsidR="00231AA4" w:rsidRPr="00E2006A" w:rsidTr="00A40835">
        <w:tc>
          <w:tcPr>
            <w:tcW w:w="7370" w:type="dxa"/>
            <w:gridSpan w:val="2"/>
            <w:shd w:val="clear" w:color="auto" w:fill="auto"/>
          </w:tcPr>
          <w:p w:rsidR="00231AA4" w:rsidRPr="00DB292F" w:rsidRDefault="00231AA4" w:rsidP="003A3402">
            <w:pPr>
              <w:spacing w:before="40" w:after="120"/>
              <w:ind w:right="113"/>
              <w:jc w:val="both"/>
              <w:rPr>
                <w:szCs w:val="24"/>
                <w:lang w:val="fr-FR"/>
              </w:rPr>
            </w:pPr>
            <w:r w:rsidRPr="00DB292F">
              <w:rPr>
                <w:szCs w:val="24"/>
                <w:lang w:val="fr-FR"/>
              </w:rPr>
              <w:t>En 2015 et en 2016, l</w:t>
            </w:r>
            <w:r>
              <w:rPr>
                <w:szCs w:val="24"/>
                <w:lang w:val="fr-FR"/>
              </w:rPr>
              <w:t>’</w:t>
            </w:r>
            <w:r w:rsidRPr="00DB292F">
              <w:rPr>
                <w:szCs w:val="24"/>
                <w:lang w:val="fr-FR"/>
              </w:rPr>
              <w:t>État partie a adopté des directives opérationnelles types pour l</w:t>
            </w:r>
            <w:r>
              <w:rPr>
                <w:szCs w:val="24"/>
                <w:lang w:val="fr-FR"/>
              </w:rPr>
              <w:t>’</w:t>
            </w:r>
            <w:r w:rsidRPr="00DB292F">
              <w:rPr>
                <w:szCs w:val="24"/>
                <w:lang w:val="fr-FR"/>
              </w:rPr>
              <w:t>identification des mineurs non accompagnés et pour la prise en charge des étrangers vulnérables, ainsi que des indicateurs pour l</w:t>
            </w:r>
            <w:r>
              <w:rPr>
                <w:szCs w:val="24"/>
                <w:lang w:val="fr-FR"/>
              </w:rPr>
              <w:t>’</w:t>
            </w:r>
            <w:r w:rsidRPr="00DB292F">
              <w:rPr>
                <w:szCs w:val="24"/>
                <w:lang w:val="fr-FR"/>
              </w:rPr>
              <w:t xml:space="preserve">identification des victimes de la traite dans le contexte des migrations mixtes. </w:t>
            </w:r>
          </w:p>
        </w:tc>
      </w:tr>
      <w:tr w:rsidR="00231AA4" w:rsidRPr="00E2006A" w:rsidTr="00A40835">
        <w:tc>
          <w:tcPr>
            <w:tcW w:w="7370" w:type="dxa"/>
            <w:gridSpan w:val="2"/>
            <w:shd w:val="clear" w:color="auto" w:fill="auto"/>
          </w:tcPr>
          <w:p w:rsidR="00231AA4" w:rsidRPr="00DB292F" w:rsidRDefault="00231AA4" w:rsidP="003A3402">
            <w:pPr>
              <w:spacing w:before="40" w:after="120"/>
              <w:ind w:right="113"/>
              <w:jc w:val="both"/>
              <w:rPr>
                <w:szCs w:val="24"/>
                <w:lang w:val="fr-FR"/>
              </w:rPr>
            </w:pPr>
            <w:r w:rsidRPr="00DB292F">
              <w:rPr>
                <w:szCs w:val="24"/>
                <w:lang w:val="fr-FR"/>
              </w:rPr>
              <w:t>Des formations continues portent sur la prévention de la traite et sur l</w:t>
            </w:r>
            <w:r>
              <w:rPr>
                <w:szCs w:val="24"/>
                <w:lang w:val="fr-FR"/>
              </w:rPr>
              <w:t>’</w:t>
            </w:r>
            <w:r w:rsidRPr="00DB292F">
              <w:rPr>
                <w:szCs w:val="24"/>
                <w:lang w:val="fr-FR"/>
              </w:rPr>
              <w:t>utilisation des directives opérationnelles types en vigueur ou nouvellement adoptées. En 2015, des formations de base et des formations spécialisées consacrées au repérage des victimes potentielles de la traite et à leur orientation vers les services compétents ont été dispensées à des policiers. Des formations spécialisées ont</w:t>
            </w:r>
            <w:r>
              <w:rPr>
                <w:szCs w:val="24"/>
                <w:lang w:val="fr-FR"/>
              </w:rPr>
              <w:t xml:space="preserve"> également été dispensées à 180 </w:t>
            </w:r>
            <w:r w:rsidRPr="00DB292F">
              <w:rPr>
                <w:szCs w:val="24"/>
                <w:lang w:val="fr-FR"/>
              </w:rPr>
              <w:t xml:space="preserve">membres de la police des frontières. </w:t>
            </w:r>
          </w:p>
        </w:tc>
      </w:tr>
      <w:tr w:rsidR="00231AA4" w:rsidRPr="00E2006A" w:rsidTr="00A40835">
        <w:tc>
          <w:tcPr>
            <w:tcW w:w="7370" w:type="dxa"/>
            <w:gridSpan w:val="2"/>
            <w:shd w:val="clear" w:color="auto" w:fill="auto"/>
          </w:tcPr>
          <w:p w:rsidR="00231AA4" w:rsidRPr="00DB292F" w:rsidRDefault="00231AA4" w:rsidP="00B20A63">
            <w:pPr>
              <w:keepNext/>
              <w:spacing w:before="40" w:after="120"/>
              <w:ind w:right="113"/>
              <w:jc w:val="both"/>
              <w:rPr>
                <w:szCs w:val="24"/>
                <w:lang w:val="fr-FR"/>
              </w:rPr>
            </w:pPr>
            <w:r w:rsidRPr="00DB292F">
              <w:rPr>
                <w:szCs w:val="24"/>
                <w:lang w:val="fr-FR"/>
              </w:rPr>
              <w:lastRenderedPageBreak/>
              <w:t>La Commission nationale de lutte contre la traite des êtres humains et l</w:t>
            </w:r>
            <w:r>
              <w:rPr>
                <w:szCs w:val="24"/>
                <w:lang w:val="fr-FR"/>
              </w:rPr>
              <w:t>’</w:t>
            </w:r>
            <w:r w:rsidRPr="00DB292F">
              <w:rPr>
                <w:szCs w:val="24"/>
                <w:lang w:val="fr-FR"/>
              </w:rPr>
              <w:t>immigration illégale a adopté le Plan de formation interinstitutionnelle sur la lutte contre la traite des êtres humains et l</w:t>
            </w:r>
            <w:r>
              <w:rPr>
                <w:szCs w:val="24"/>
                <w:lang w:val="fr-FR"/>
              </w:rPr>
              <w:t>’</w:t>
            </w:r>
            <w:r w:rsidRPr="00DB292F">
              <w:rPr>
                <w:szCs w:val="24"/>
                <w:lang w:val="fr-FR"/>
              </w:rPr>
              <w:t>immigration illégale pour la période 2016-2017. En 2016, 180</w:t>
            </w:r>
            <w:r w:rsidR="00B20A63">
              <w:rPr>
                <w:szCs w:val="24"/>
                <w:lang w:val="fr-FR"/>
              </w:rPr>
              <w:t> </w:t>
            </w:r>
            <w:r w:rsidRPr="00DB292F">
              <w:rPr>
                <w:szCs w:val="24"/>
                <w:lang w:val="fr-FR"/>
              </w:rPr>
              <w:t>membres de la police des frontières ont reçu une formation intitulée « Faire face à l</w:t>
            </w:r>
            <w:r>
              <w:rPr>
                <w:szCs w:val="24"/>
                <w:lang w:val="fr-FR"/>
              </w:rPr>
              <w:t>’</w:t>
            </w:r>
            <w:r w:rsidRPr="00DB292F">
              <w:rPr>
                <w:szCs w:val="24"/>
                <w:lang w:val="fr-FR"/>
              </w:rPr>
              <w:t>immigration illégale » qui portait, notamment, sur le repérage des mineurs non accompagnés et des personnes vulnérables, y compris les victimes de la traite.</w:t>
            </w:r>
          </w:p>
        </w:tc>
      </w:tr>
      <w:tr w:rsidR="00231AA4" w:rsidRPr="00E2006A" w:rsidTr="00A40835">
        <w:tc>
          <w:tcPr>
            <w:tcW w:w="7370" w:type="dxa"/>
            <w:gridSpan w:val="2"/>
            <w:shd w:val="clear" w:color="auto" w:fill="auto"/>
          </w:tcPr>
          <w:p w:rsidR="00231AA4" w:rsidRPr="00DB292F" w:rsidRDefault="00231AA4" w:rsidP="005F32D4">
            <w:pPr>
              <w:spacing w:before="40" w:after="120"/>
              <w:ind w:right="113"/>
              <w:jc w:val="both"/>
              <w:rPr>
                <w:szCs w:val="24"/>
                <w:lang w:val="fr-FR"/>
              </w:rPr>
            </w:pPr>
            <w:r w:rsidRPr="00DB292F">
              <w:rPr>
                <w:szCs w:val="24"/>
                <w:lang w:val="fr-FR"/>
              </w:rPr>
              <w:t xml:space="preserve">Un nouveau projet de </w:t>
            </w:r>
            <w:r w:rsidR="005F32D4">
              <w:rPr>
                <w:szCs w:val="24"/>
                <w:lang w:val="fr-FR"/>
              </w:rPr>
              <w:t>s</w:t>
            </w:r>
            <w:r w:rsidRPr="00DB292F">
              <w:rPr>
                <w:szCs w:val="24"/>
                <w:lang w:val="fr-FR"/>
              </w:rPr>
              <w:t>tratégie nationale de lutte contre la traite des êtres humains et l</w:t>
            </w:r>
            <w:r>
              <w:rPr>
                <w:szCs w:val="24"/>
                <w:lang w:val="fr-FR"/>
              </w:rPr>
              <w:t>’</w:t>
            </w:r>
            <w:r w:rsidRPr="00DB292F">
              <w:rPr>
                <w:szCs w:val="24"/>
                <w:lang w:val="fr-FR"/>
              </w:rPr>
              <w:t xml:space="preserve">immigration illégale, conjugué à un </w:t>
            </w:r>
            <w:r w:rsidR="005F32D4">
              <w:rPr>
                <w:szCs w:val="24"/>
                <w:lang w:val="fr-FR"/>
              </w:rPr>
              <w:t>p</w:t>
            </w:r>
            <w:r w:rsidRPr="00DB292F">
              <w:rPr>
                <w:szCs w:val="24"/>
                <w:lang w:val="fr-FR"/>
              </w:rPr>
              <w:t>lan d</w:t>
            </w:r>
            <w:r>
              <w:rPr>
                <w:szCs w:val="24"/>
                <w:lang w:val="fr-FR"/>
              </w:rPr>
              <w:t>’</w:t>
            </w:r>
            <w:r w:rsidRPr="00DB292F">
              <w:rPr>
                <w:szCs w:val="24"/>
                <w:lang w:val="fr-FR"/>
              </w:rPr>
              <w:t>action pour la période 2017-2020, sera appliqué pour mettre en œuvre les recommandations formulées par l</w:t>
            </w:r>
            <w:r>
              <w:rPr>
                <w:szCs w:val="24"/>
                <w:lang w:val="fr-FR"/>
              </w:rPr>
              <w:t>’</w:t>
            </w:r>
            <w:r w:rsidRPr="00DB292F">
              <w:rPr>
                <w:szCs w:val="24"/>
                <w:lang w:val="fr-FR"/>
              </w:rPr>
              <w:t>Union européenne et par les organisations internationales et s</w:t>
            </w:r>
            <w:r>
              <w:rPr>
                <w:szCs w:val="24"/>
                <w:lang w:val="fr-FR"/>
              </w:rPr>
              <w:t>’</w:t>
            </w:r>
            <w:r w:rsidRPr="00DB292F">
              <w:rPr>
                <w:szCs w:val="24"/>
                <w:lang w:val="fr-FR"/>
              </w:rPr>
              <w:t xml:space="preserve">attachera, en particulier, à intensifier les efforts visant à fournir une protection appropriée aux victimes. </w:t>
            </w:r>
          </w:p>
        </w:tc>
      </w:tr>
      <w:tr w:rsidR="00231AA4" w:rsidRPr="00E2006A" w:rsidTr="00A40835">
        <w:tc>
          <w:tcPr>
            <w:tcW w:w="7370" w:type="dxa"/>
            <w:gridSpan w:val="2"/>
            <w:shd w:val="clear" w:color="auto" w:fill="auto"/>
          </w:tcPr>
          <w:p w:rsidR="00231AA4" w:rsidRPr="00DB292F" w:rsidRDefault="00231AA4" w:rsidP="00A40835">
            <w:pPr>
              <w:spacing w:before="40" w:after="120"/>
              <w:ind w:right="113"/>
              <w:rPr>
                <w:b/>
                <w:szCs w:val="24"/>
                <w:lang w:val="fr-FR"/>
              </w:rPr>
            </w:pPr>
            <w:r w:rsidRPr="00DB292F">
              <w:rPr>
                <w:b/>
                <w:szCs w:val="24"/>
                <w:lang w:val="fr-FR"/>
              </w:rPr>
              <w:t>Évaluation du Comité</w:t>
            </w:r>
          </w:p>
        </w:tc>
      </w:tr>
      <w:tr w:rsidR="00231AA4" w:rsidRPr="00E2006A" w:rsidTr="00A40835">
        <w:tc>
          <w:tcPr>
            <w:tcW w:w="7370" w:type="dxa"/>
            <w:gridSpan w:val="2"/>
            <w:shd w:val="clear" w:color="auto" w:fill="auto"/>
          </w:tcPr>
          <w:p w:rsidR="00231AA4" w:rsidRPr="00DB292F" w:rsidRDefault="00231AA4" w:rsidP="005F32D4">
            <w:pPr>
              <w:spacing w:before="40" w:after="120"/>
              <w:ind w:right="113"/>
              <w:jc w:val="both"/>
              <w:rPr>
                <w:szCs w:val="24"/>
                <w:lang w:val="fr-FR"/>
              </w:rPr>
            </w:pPr>
            <w:r w:rsidRPr="00DB292F">
              <w:rPr>
                <w:b/>
                <w:szCs w:val="24"/>
                <w:lang w:val="fr-FR"/>
              </w:rPr>
              <w:t>[B]</w:t>
            </w:r>
            <w:r w:rsidR="00A40835">
              <w:rPr>
                <w:b/>
                <w:szCs w:val="24"/>
                <w:lang w:val="fr-FR"/>
              </w:rPr>
              <w:t> :</w:t>
            </w:r>
            <w:r w:rsidRPr="00DB292F">
              <w:rPr>
                <w:b/>
                <w:szCs w:val="24"/>
                <w:lang w:val="fr-FR"/>
              </w:rPr>
              <w:t xml:space="preserve"> </w:t>
            </w:r>
            <w:r w:rsidRPr="00DB292F">
              <w:rPr>
                <w:szCs w:val="24"/>
                <w:lang w:val="fr-FR"/>
              </w:rPr>
              <w:t>Le Comité accueille avec satisfaction les informations reçues, notamment les statistiques portant sur la poursuite des infractions relatives à la traite des êtres humains et les renseignements concernant la formation spécialisée dispensée au personnel de la police</w:t>
            </w:r>
            <w:r>
              <w:rPr>
                <w:szCs w:val="24"/>
                <w:lang w:val="fr-FR"/>
              </w:rPr>
              <w:t xml:space="preserve">, y compris </w:t>
            </w:r>
            <w:r w:rsidRPr="00DB292F">
              <w:rPr>
                <w:szCs w:val="24"/>
                <w:lang w:val="fr-FR"/>
              </w:rPr>
              <w:t>la police des frontières. Il demand</w:t>
            </w:r>
            <w:r>
              <w:rPr>
                <w:szCs w:val="24"/>
                <w:lang w:val="fr-FR"/>
              </w:rPr>
              <w:t>e toutefois des renseignements à jour sur</w:t>
            </w:r>
            <w:r w:rsidR="00A40835">
              <w:rPr>
                <w:szCs w:val="24"/>
                <w:lang w:val="fr-FR"/>
              </w:rPr>
              <w:t> :</w:t>
            </w:r>
            <w:r w:rsidRPr="00DB292F">
              <w:rPr>
                <w:szCs w:val="24"/>
                <w:lang w:val="fr-FR"/>
              </w:rPr>
              <w:t xml:space="preserve"> a)</w:t>
            </w:r>
            <w:r w:rsidR="00B20A63">
              <w:rPr>
                <w:szCs w:val="24"/>
                <w:lang w:val="fr-FR"/>
              </w:rPr>
              <w:t> </w:t>
            </w:r>
            <w:r w:rsidRPr="00DB292F">
              <w:rPr>
                <w:szCs w:val="24"/>
                <w:lang w:val="fr-FR"/>
              </w:rPr>
              <w:t>l</w:t>
            </w:r>
            <w:r>
              <w:rPr>
                <w:szCs w:val="24"/>
                <w:lang w:val="fr-FR"/>
              </w:rPr>
              <w:t>’</w:t>
            </w:r>
            <w:r w:rsidRPr="00DB292F">
              <w:rPr>
                <w:szCs w:val="24"/>
                <w:lang w:val="fr-FR"/>
              </w:rPr>
              <w:t>état d</w:t>
            </w:r>
            <w:r>
              <w:rPr>
                <w:szCs w:val="24"/>
                <w:lang w:val="fr-FR"/>
              </w:rPr>
              <w:t>’</w:t>
            </w:r>
            <w:r w:rsidRPr="00DB292F">
              <w:rPr>
                <w:szCs w:val="24"/>
                <w:lang w:val="fr-FR"/>
              </w:rPr>
              <w:t xml:space="preserve">avancement du projet de </w:t>
            </w:r>
            <w:r w:rsidR="005F32D4">
              <w:rPr>
                <w:szCs w:val="24"/>
                <w:lang w:val="fr-FR"/>
              </w:rPr>
              <w:t>s</w:t>
            </w:r>
            <w:r w:rsidRPr="00DB292F">
              <w:rPr>
                <w:szCs w:val="24"/>
                <w:lang w:val="fr-FR"/>
              </w:rPr>
              <w:t xml:space="preserve">tratégie nationale </w:t>
            </w:r>
            <w:r>
              <w:rPr>
                <w:szCs w:val="24"/>
                <w:lang w:val="fr-FR"/>
              </w:rPr>
              <w:t>de</w:t>
            </w:r>
            <w:r w:rsidRPr="00DB292F">
              <w:rPr>
                <w:szCs w:val="24"/>
                <w:lang w:val="fr-FR"/>
              </w:rPr>
              <w:t xml:space="preserve"> lutte contre la traite des êtres humains et l</w:t>
            </w:r>
            <w:r>
              <w:rPr>
                <w:szCs w:val="24"/>
                <w:lang w:val="fr-FR"/>
              </w:rPr>
              <w:t>’</w:t>
            </w:r>
            <w:r w:rsidRPr="00DB292F">
              <w:rPr>
                <w:szCs w:val="24"/>
                <w:lang w:val="fr-FR"/>
              </w:rPr>
              <w:t>immigration illégale, sur sa mise en œuvre dans la pratique et sur les premiers résultats obtenus</w:t>
            </w:r>
            <w:r w:rsidR="00A40835">
              <w:rPr>
                <w:szCs w:val="24"/>
                <w:lang w:val="fr-FR"/>
              </w:rPr>
              <w:t> ;</w:t>
            </w:r>
            <w:r>
              <w:rPr>
                <w:szCs w:val="24"/>
                <w:lang w:val="fr-FR"/>
              </w:rPr>
              <w:t xml:space="preserve"> et</w:t>
            </w:r>
            <w:r w:rsidRPr="00DB292F">
              <w:rPr>
                <w:szCs w:val="24"/>
                <w:lang w:val="fr-FR"/>
              </w:rPr>
              <w:t xml:space="preserve"> b)</w:t>
            </w:r>
            <w:r w:rsidR="00B20A63">
              <w:rPr>
                <w:szCs w:val="24"/>
                <w:lang w:val="fr-FR"/>
              </w:rPr>
              <w:t> </w:t>
            </w:r>
            <w:r w:rsidRPr="00DB292F">
              <w:rPr>
                <w:szCs w:val="24"/>
                <w:lang w:val="fr-FR"/>
              </w:rPr>
              <w:t>les progrès accomplis dans le repérage des victimes de la traite et sur ce qui a été fait pour traduire les auteurs en justice</w:t>
            </w:r>
            <w:r>
              <w:rPr>
                <w:szCs w:val="24"/>
                <w:lang w:val="fr-FR"/>
              </w:rPr>
              <w:t>.</w:t>
            </w:r>
          </w:p>
        </w:tc>
      </w:tr>
      <w:tr w:rsidR="00231AA4" w:rsidRPr="00E2006A" w:rsidTr="00A40835">
        <w:tc>
          <w:tcPr>
            <w:tcW w:w="7370" w:type="dxa"/>
            <w:gridSpan w:val="2"/>
            <w:shd w:val="clear" w:color="auto" w:fill="auto"/>
          </w:tcPr>
          <w:p w:rsidR="00231AA4" w:rsidRPr="00DB292F" w:rsidRDefault="00231AA4" w:rsidP="00B20A63">
            <w:pPr>
              <w:spacing w:before="40" w:after="120"/>
              <w:ind w:right="113"/>
              <w:jc w:val="both"/>
              <w:rPr>
                <w:szCs w:val="24"/>
                <w:lang w:val="fr-FR"/>
              </w:rPr>
            </w:pPr>
            <w:r w:rsidRPr="00DB292F">
              <w:rPr>
                <w:b/>
                <w:szCs w:val="24"/>
                <w:lang w:val="fr-FR"/>
              </w:rPr>
              <w:t>[C]</w:t>
            </w:r>
            <w:r w:rsidR="00A40835">
              <w:rPr>
                <w:b/>
                <w:szCs w:val="24"/>
                <w:lang w:val="fr-FR"/>
              </w:rPr>
              <w:t> :</w:t>
            </w:r>
            <w:r w:rsidRPr="00DB292F">
              <w:rPr>
                <w:szCs w:val="24"/>
                <w:lang w:val="fr-FR"/>
              </w:rPr>
              <w:t xml:space="preserve"> Le Comité regrette l</w:t>
            </w:r>
            <w:r>
              <w:rPr>
                <w:szCs w:val="24"/>
                <w:lang w:val="fr-FR"/>
              </w:rPr>
              <w:t>’</w:t>
            </w:r>
            <w:r w:rsidRPr="00DB292F">
              <w:rPr>
                <w:szCs w:val="24"/>
                <w:lang w:val="fr-FR"/>
              </w:rPr>
              <w:t>absence d</w:t>
            </w:r>
            <w:r>
              <w:rPr>
                <w:szCs w:val="24"/>
                <w:lang w:val="fr-FR"/>
              </w:rPr>
              <w:t>’</w:t>
            </w:r>
            <w:r w:rsidRPr="00DB292F">
              <w:rPr>
                <w:szCs w:val="24"/>
                <w:lang w:val="fr-FR"/>
              </w:rPr>
              <w:t>informations sur la p</w:t>
            </w:r>
            <w:r>
              <w:rPr>
                <w:szCs w:val="24"/>
                <w:lang w:val="fr-FR"/>
              </w:rPr>
              <w:t>rotection et les réparations, y</w:t>
            </w:r>
            <w:r w:rsidR="00B20A63">
              <w:rPr>
                <w:szCs w:val="24"/>
                <w:lang w:val="fr-FR"/>
              </w:rPr>
              <w:t> </w:t>
            </w:r>
            <w:r w:rsidRPr="00DB292F">
              <w:rPr>
                <w:szCs w:val="24"/>
                <w:lang w:val="fr-FR"/>
              </w:rPr>
              <w:t>compris l</w:t>
            </w:r>
            <w:r>
              <w:rPr>
                <w:szCs w:val="24"/>
                <w:lang w:val="fr-FR"/>
              </w:rPr>
              <w:t>’</w:t>
            </w:r>
            <w:r w:rsidRPr="00DB292F">
              <w:rPr>
                <w:szCs w:val="24"/>
                <w:lang w:val="fr-FR"/>
              </w:rPr>
              <w:t>indemnisation et les services de réadaptation, dont bénéficient les victimes de la traite, et demande des informations précises à ce sujet. Le Co</w:t>
            </w:r>
            <w:r>
              <w:rPr>
                <w:szCs w:val="24"/>
                <w:lang w:val="fr-FR"/>
              </w:rPr>
              <w:t>mité réitère sa recommandation.</w:t>
            </w:r>
          </w:p>
        </w:tc>
      </w:tr>
      <w:tr w:rsidR="00231AA4" w:rsidRPr="00E2006A" w:rsidTr="00A40835">
        <w:tc>
          <w:tcPr>
            <w:tcW w:w="7370" w:type="dxa"/>
            <w:gridSpan w:val="2"/>
            <w:shd w:val="clear" w:color="auto" w:fill="auto"/>
          </w:tcPr>
          <w:p w:rsidR="00231AA4" w:rsidRPr="00DB292F" w:rsidRDefault="00231AA4" w:rsidP="00A40835">
            <w:pPr>
              <w:spacing w:before="40" w:after="120"/>
              <w:ind w:right="113"/>
              <w:rPr>
                <w:b/>
                <w:szCs w:val="24"/>
                <w:lang w:val="fr-FR"/>
              </w:rPr>
            </w:pPr>
            <w:r>
              <w:rPr>
                <w:b/>
                <w:szCs w:val="24"/>
                <w:lang w:val="fr-FR"/>
              </w:rPr>
              <w:t>Paragraphe 16</w:t>
            </w:r>
            <w:r w:rsidR="00A40835">
              <w:rPr>
                <w:b/>
                <w:szCs w:val="24"/>
                <w:lang w:val="fr-FR"/>
              </w:rPr>
              <w:t> :</w:t>
            </w:r>
            <w:r w:rsidRPr="00DB292F">
              <w:rPr>
                <w:b/>
                <w:szCs w:val="24"/>
                <w:lang w:val="fr-FR"/>
              </w:rPr>
              <w:t xml:space="preserve"> Liberté de circulation</w:t>
            </w:r>
          </w:p>
        </w:tc>
      </w:tr>
      <w:tr w:rsidR="00231AA4" w:rsidRPr="00E2006A" w:rsidTr="00A40835">
        <w:tc>
          <w:tcPr>
            <w:tcW w:w="7370" w:type="dxa"/>
            <w:gridSpan w:val="2"/>
            <w:shd w:val="clear" w:color="auto" w:fill="auto"/>
          </w:tcPr>
          <w:p w:rsidR="00231AA4" w:rsidRPr="00DB292F" w:rsidRDefault="00231AA4" w:rsidP="00755D1B">
            <w:pPr>
              <w:spacing w:before="40" w:after="120"/>
              <w:ind w:right="113"/>
              <w:jc w:val="both"/>
              <w:rPr>
                <w:b/>
                <w:szCs w:val="24"/>
                <w:lang w:val="fr-FR"/>
              </w:rPr>
            </w:pPr>
            <w:r w:rsidRPr="00DB292F">
              <w:rPr>
                <w:b/>
                <w:szCs w:val="24"/>
                <w:lang w:val="fr-FR"/>
              </w:rPr>
              <w:t>L</w:t>
            </w:r>
            <w:r>
              <w:rPr>
                <w:b/>
                <w:szCs w:val="24"/>
                <w:lang w:val="fr-FR"/>
              </w:rPr>
              <w:t>’</w:t>
            </w:r>
            <w:r w:rsidRPr="00DB292F">
              <w:rPr>
                <w:b/>
                <w:szCs w:val="24"/>
                <w:lang w:val="fr-FR"/>
              </w:rPr>
              <w:t xml:space="preserve">État partie devrait prendre des mesures pour </w:t>
            </w:r>
            <w:r>
              <w:rPr>
                <w:b/>
                <w:szCs w:val="24"/>
                <w:lang w:val="fr-FR"/>
              </w:rPr>
              <w:t>garantir</w:t>
            </w:r>
            <w:r w:rsidRPr="00DB292F">
              <w:rPr>
                <w:b/>
                <w:szCs w:val="24"/>
                <w:lang w:val="fr-FR"/>
              </w:rPr>
              <w:t xml:space="preserve"> que le droit à la liberté de circulation soit pleinement respecté sur son territoire, conformément à l</w:t>
            </w:r>
            <w:r>
              <w:rPr>
                <w:b/>
                <w:szCs w:val="24"/>
                <w:lang w:val="fr-FR"/>
              </w:rPr>
              <w:t>’</w:t>
            </w:r>
            <w:r w:rsidRPr="00DB292F">
              <w:rPr>
                <w:b/>
                <w:szCs w:val="24"/>
                <w:lang w:val="fr-FR"/>
              </w:rPr>
              <w:t>article</w:t>
            </w:r>
            <w:r w:rsidR="00755D1B">
              <w:rPr>
                <w:b/>
                <w:szCs w:val="24"/>
                <w:lang w:val="fr-FR"/>
              </w:rPr>
              <w:t> </w:t>
            </w:r>
            <w:r w:rsidRPr="00DB292F">
              <w:rPr>
                <w:b/>
                <w:szCs w:val="24"/>
                <w:lang w:val="fr-FR"/>
              </w:rPr>
              <w:t xml:space="preserve">12 du Pacte. </w:t>
            </w:r>
          </w:p>
        </w:tc>
      </w:tr>
      <w:tr w:rsidR="00231AA4" w:rsidRPr="00E2006A" w:rsidTr="00A40835">
        <w:tc>
          <w:tcPr>
            <w:tcW w:w="7370" w:type="dxa"/>
            <w:gridSpan w:val="2"/>
            <w:shd w:val="clear" w:color="auto" w:fill="auto"/>
          </w:tcPr>
          <w:p w:rsidR="00231AA4" w:rsidRPr="00DB292F" w:rsidRDefault="00231AA4" w:rsidP="00A40835">
            <w:pPr>
              <w:spacing w:before="40" w:after="80"/>
              <w:ind w:right="113"/>
              <w:rPr>
                <w:b/>
                <w:szCs w:val="24"/>
                <w:lang w:val="fr-FR"/>
              </w:rPr>
            </w:pPr>
            <w:r w:rsidRPr="00DB292F">
              <w:rPr>
                <w:b/>
                <w:szCs w:val="24"/>
                <w:lang w:val="fr-FR"/>
              </w:rPr>
              <w:t>Résumé de la réponse de l</w:t>
            </w:r>
            <w:r>
              <w:rPr>
                <w:b/>
                <w:szCs w:val="24"/>
                <w:lang w:val="fr-FR"/>
              </w:rPr>
              <w:t>’</w:t>
            </w:r>
            <w:r w:rsidRPr="00DB292F">
              <w:rPr>
                <w:b/>
                <w:szCs w:val="24"/>
                <w:lang w:val="fr-FR"/>
              </w:rPr>
              <w:t xml:space="preserve">État partie </w:t>
            </w:r>
          </w:p>
        </w:tc>
      </w:tr>
      <w:tr w:rsidR="00231AA4" w:rsidRPr="00E2006A" w:rsidTr="00A40835">
        <w:tc>
          <w:tcPr>
            <w:tcW w:w="7370" w:type="dxa"/>
            <w:gridSpan w:val="2"/>
            <w:shd w:val="clear" w:color="auto" w:fill="auto"/>
          </w:tcPr>
          <w:p w:rsidR="00231AA4" w:rsidRPr="00DB292F" w:rsidRDefault="00231AA4" w:rsidP="00755D1B">
            <w:pPr>
              <w:spacing w:before="40" w:after="120"/>
              <w:ind w:right="113"/>
              <w:jc w:val="both"/>
              <w:rPr>
                <w:szCs w:val="24"/>
                <w:lang w:val="fr-FR"/>
              </w:rPr>
            </w:pPr>
            <w:r w:rsidRPr="00DB292F">
              <w:rPr>
                <w:szCs w:val="24"/>
                <w:lang w:val="fr-FR"/>
              </w:rPr>
              <w:t>La loi sur le contrôle des frontières est applicable à quiconque franchit les frontières nationales. L</w:t>
            </w:r>
            <w:r>
              <w:rPr>
                <w:szCs w:val="24"/>
                <w:lang w:val="fr-FR"/>
              </w:rPr>
              <w:t>’</w:t>
            </w:r>
            <w:r w:rsidRPr="00DB292F">
              <w:rPr>
                <w:szCs w:val="24"/>
                <w:lang w:val="fr-FR"/>
              </w:rPr>
              <w:t>article</w:t>
            </w:r>
            <w:r w:rsidR="00755D1B">
              <w:rPr>
                <w:szCs w:val="24"/>
                <w:lang w:val="fr-FR"/>
              </w:rPr>
              <w:t> </w:t>
            </w:r>
            <w:r w:rsidRPr="00DB292F">
              <w:rPr>
                <w:szCs w:val="24"/>
                <w:lang w:val="fr-FR"/>
              </w:rPr>
              <w:t>8</w:t>
            </w:r>
            <w:r w:rsidR="00755D1B">
              <w:rPr>
                <w:szCs w:val="24"/>
                <w:lang w:val="fr-FR"/>
              </w:rPr>
              <w:t> </w:t>
            </w:r>
            <w:r w:rsidRPr="00DB292F">
              <w:rPr>
                <w:szCs w:val="24"/>
                <w:lang w:val="fr-FR"/>
              </w:rPr>
              <w:t>3) de la loi interdit la discrimination fondée, entre autres, sur l</w:t>
            </w:r>
            <w:r>
              <w:rPr>
                <w:szCs w:val="24"/>
                <w:lang w:val="fr-FR"/>
              </w:rPr>
              <w:t>’</w:t>
            </w:r>
            <w:r w:rsidRPr="00DB292F">
              <w:rPr>
                <w:szCs w:val="24"/>
                <w:lang w:val="fr-FR"/>
              </w:rPr>
              <w:t>origine raciale ou ethnique, la couleur de la peau, l</w:t>
            </w:r>
            <w:r>
              <w:rPr>
                <w:szCs w:val="24"/>
                <w:lang w:val="fr-FR"/>
              </w:rPr>
              <w:t>’</w:t>
            </w:r>
            <w:r w:rsidRPr="00DB292F">
              <w:rPr>
                <w:szCs w:val="24"/>
                <w:lang w:val="fr-FR"/>
              </w:rPr>
              <w:t>origine sociale et la situation économique et sociale.</w:t>
            </w:r>
          </w:p>
        </w:tc>
      </w:tr>
      <w:tr w:rsidR="00231AA4" w:rsidRPr="00E2006A" w:rsidTr="00A40835">
        <w:tc>
          <w:tcPr>
            <w:tcW w:w="7370" w:type="dxa"/>
            <w:gridSpan w:val="2"/>
            <w:shd w:val="clear" w:color="auto" w:fill="auto"/>
          </w:tcPr>
          <w:p w:rsidR="00231AA4" w:rsidRPr="00DB292F" w:rsidRDefault="00231AA4" w:rsidP="005F32D4">
            <w:pPr>
              <w:spacing w:before="40" w:after="120"/>
              <w:ind w:right="113"/>
              <w:jc w:val="both"/>
              <w:rPr>
                <w:szCs w:val="24"/>
                <w:lang w:val="fr-FR"/>
              </w:rPr>
            </w:pPr>
            <w:r w:rsidRPr="00DB292F">
              <w:rPr>
                <w:szCs w:val="24"/>
                <w:lang w:val="fr-FR"/>
              </w:rPr>
              <w:t>Le droit à l</w:t>
            </w:r>
            <w:r>
              <w:rPr>
                <w:szCs w:val="24"/>
                <w:lang w:val="fr-FR"/>
              </w:rPr>
              <w:t>’</w:t>
            </w:r>
            <w:r w:rsidRPr="00DB292F">
              <w:rPr>
                <w:szCs w:val="24"/>
                <w:lang w:val="fr-FR"/>
              </w:rPr>
              <w:t>égalité et la liberté de circulation sont ga</w:t>
            </w:r>
            <w:r>
              <w:rPr>
                <w:szCs w:val="24"/>
                <w:lang w:val="fr-FR"/>
              </w:rPr>
              <w:t>rantis par la Constitution. Les</w:t>
            </w:r>
            <w:r w:rsidR="00755D1B">
              <w:rPr>
                <w:szCs w:val="24"/>
                <w:lang w:val="fr-FR"/>
              </w:rPr>
              <w:t> </w:t>
            </w:r>
            <w:r w:rsidRPr="00DB292F">
              <w:rPr>
                <w:szCs w:val="24"/>
                <w:lang w:val="fr-FR"/>
              </w:rPr>
              <w:t>personnes qui ont l</w:t>
            </w:r>
            <w:r>
              <w:rPr>
                <w:szCs w:val="24"/>
                <w:lang w:val="fr-FR"/>
              </w:rPr>
              <w:t>’</w:t>
            </w:r>
            <w:r w:rsidRPr="00DB292F">
              <w:rPr>
                <w:szCs w:val="24"/>
                <w:lang w:val="fr-FR"/>
              </w:rPr>
              <w:t>intention de quitter le pays sont tenues de respecter les conditions applicables à l</w:t>
            </w:r>
            <w:r>
              <w:rPr>
                <w:szCs w:val="24"/>
                <w:lang w:val="fr-FR"/>
              </w:rPr>
              <w:t>’</w:t>
            </w:r>
            <w:r w:rsidRPr="00DB292F">
              <w:rPr>
                <w:szCs w:val="24"/>
                <w:lang w:val="fr-FR"/>
              </w:rPr>
              <w:t>entrée et à la liberté de circulation sur le territoire des États membres de l</w:t>
            </w:r>
            <w:r>
              <w:rPr>
                <w:szCs w:val="24"/>
                <w:lang w:val="fr-FR"/>
              </w:rPr>
              <w:t>’</w:t>
            </w:r>
            <w:r w:rsidRPr="00DB292F">
              <w:rPr>
                <w:szCs w:val="24"/>
                <w:lang w:val="fr-FR"/>
              </w:rPr>
              <w:t>Union européenne (UE) telles qu</w:t>
            </w:r>
            <w:r>
              <w:rPr>
                <w:szCs w:val="24"/>
                <w:lang w:val="fr-FR"/>
              </w:rPr>
              <w:t>’</w:t>
            </w:r>
            <w:r w:rsidRPr="00DB292F">
              <w:rPr>
                <w:szCs w:val="24"/>
                <w:lang w:val="fr-FR"/>
              </w:rPr>
              <w:t>énoncées à l</w:t>
            </w:r>
            <w:r>
              <w:rPr>
                <w:szCs w:val="24"/>
                <w:lang w:val="fr-FR"/>
              </w:rPr>
              <w:t>’</w:t>
            </w:r>
            <w:r w:rsidR="00755D1B">
              <w:rPr>
                <w:szCs w:val="24"/>
                <w:lang w:val="fr-FR"/>
              </w:rPr>
              <w:t>article </w:t>
            </w:r>
            <w:r w:rsidRPr="00DB292F">
              <w:rPr>
                <w:szCs w:val="24"/>
                <w:lang w:val="fr-FR"/>
              </w:rPr>
              <w:t>17</w:t>
            </w:r>
            <w:r w:rsidR="00755D1B">
              <w:rPr>
                <w:szCs w:val="24"/>
                <w:lang w:val="fr-FR"/>
              </w:rPr>
              <w:t> </w:t>
            </w:r>
            <w:r w:rsidRPr="00DB292F">
              <w:rPr>
                <w:szCs w:val="24"/>
                <w:lang w:val="fr-FR"/>
              </w:rPr>
              <w:t xml:space="preserve">1) du Traité, dans le Code frontières Schengen et dans la </w:t>
            </w:r>
            <w:r w:rsidR="005F32D4">
              <w:rPr>
                <w:szCs w:val="24"/>
                <w:lang w:val="fr-FR"/>
              </w:rPr>
              <w:t>D</w:t>
            </w:r>
            <w:r w:rsidRPr="00DB292F">
              <w:rPr>
                <w:szCs w:val="24"/>
                <w:lang w:val="fr-FR"/>
              </w:rPr>
              <w:t xml:space="preserve">irective 2004/38/CE du Parlement </w:t>
            </w:r>
            <w:r>
              <w:rPr>
                <w:szCs w:val="24"/>
                <w:lang w:val="fr-FR"/>
              </w:rPr>
              <w:t>européen et du Conseil du 29 </w:t>
            </w:r>
            <w:r w:rsidRPr="00DB292F">
              <w:rPr>
                <w:szCs w:val="24"/>
                <w:lang w:val="fr-FR"/>
              </w:rPr>
              <w:t xml:space="preserve">avril 2004. </w:t>
            </w:r>
            <w:r>
              <w:rPr>
                <w:szCs w:val="24"/>
                <w:lang w:val="fr-FR"/>
              </w:rPr>
              <w:t>Pour franchir les frontières conformément à l’</w:t>
            </w:r>
            <w:r w:rsidRPr="00DB292F">
              <w:rPr>
                <w:szCs w:val="24"/>
                <w:lang w:val="fr-FR"/>
              </w:rPr>
              <w:t>article</w:t>
            </w:r>
            <w:r w:rsidR="00755D1B">
              <w:rPr>
                <w:szCs w:val="24"/>
                <w:lang w:val="fr-FR"/>
              </w:rPr>
              <w:t> </w:t>
            </w:r>
            <w:r w:rsidRPr="00DB292F">
              <w:rPr>
                <w:szCs w:val="24"/>
                <w:lang w:val="fr-FR"/>
              </w:rPr>
              <w:t>5 du Code frontières Schengen</w:t>
            </w:r>
            <w:r>
              <w:rPr>
                <w:szCs w:val="24"/>
                <w:lang w:val="fr-FR"/>
              </w:rPr>
              <w:t>, il ne suffit pas</w:t>
            </w:r>
            <w:r w:rsidRPr="00DB292F">
              <w:rPr>
                <w:szCs w:val="24"/>
                <w:lang w:val="fr-FR"/>
              </w:rPr>
              <w:t xml:space="preserve"> d</w:t>
            </w:r>
            <w:r>
              <w:rPr>
                <w:szCs w:val="24"/>
                <w:lang w:val="fr-FR"/>
              </w:rPr>
              <w:t>’</w:t>
            </w:r>
            <w:r w:rsidRPr="00DB292F">
              <w:rPr>
                <w:szCs w:val="24"/>
                <w:lang w:val="fr-FR"/>
              </w:rPr>
              <w:t>être en possession d</w:t>
            </w:r>
            <w:r>
              <w:rPr>
                <w:szCs w:val="24"/>
                <w:lang w:val="fr-FR"/>
              </w:rPr>
              <w:t>’</w:t>
            </w:r>
            <w:r w:rsidRPr="00DB292F">
              <w:rPr>
                <w:szCs w:val="24"/>
                <w:lang w:val="fr-FR"/>
              </w:rPr>
              <w:t>un passeport biométrique</w:t>
            </w:r>
            <w:r>
              <w:rPr>
                <w:szCs w:val="24"/>
                <w:lang w:val="fr-FR"/>
              </w:rPr>
              <w:t xml:space="preserve"> en cours de validité</w:t>
            </w:r>
            <w:r w:rsidR="00855BF0">
              <w:rPr>
                <w:szCs w:val="24"/>
                <w:lang w:val="fr-FR"/>
              </w:rPr>
              <w:t>,</w:t>
            </w:r>
            <w:r w:rsidR="00A40835">
              <w:rPr>
                <w:szCs w:val="24"/>
                <w:lang w:val="fr-FR"/>
              </w:rPr>
              <w:t xml:space="preserve"> </w:t>
            </w:r>
            <w:r>
              <w:rPr>
                <w:szCs w:val="24"/>
                <w:lang w:val="fr-FR"/>
              </w:rPr>
              <w:t>encore faut</w:t>
            </w:r>
            <w:r>
              <w:rPr>
                <w:szCs w:val="24"/>
                <w:lang w:val="fr-FR"/>
              </w:rPr>
              <w:noBreakHyphen/>
              <w:t xml:space="preserve">il </w:t>
            </w:r>
            <w:r w:rsidRPr="00DB292F">
              <w:rPr>
                <w:szCs w:val="24"/>
                <w:lang w:val="fr-FR"/>
              </w:rPr>
              <w:t>satisfaire à d</w:t>
            </w:r>
            <w:r>
              <w:rPr>
                <w:szCs w:val="24"/>
                <w:lang w:val="fr-FR"/>
              </w:rPr>
              <w:t>’</w:t>
            </w:r>
            <w:r w:rsidRPr="00DB292F">
              <w:rPr>
                <w:szCs w:val="24"/>
                <w:lang w:val="fr-FR"/>
              </w:rPr>
              <w:t>autres conditions et être en possession d</w:t>
            </w:r>
            <w:r>
              <w:rPr>
                <w:szCs w:val="24"/>
                <w:lang w:val="fr-FR"/>
              </w:rPr>
              <w:t>’</w:t>
            </w:r>
            <w:r w:rsidRPr="00DB292F">
              <w:rPr>
                <w:szCs w:val="24"/>
                <w:lang w:val="fr-FR"/>
              </w:rPr>
              <w:t>autres documents justifiant le but du voyage et du séjour dans les États membres de l</w:t>
            </w:r>
            <w:r>
              <w:rPr>
                <w:szCs w:val="24"/>
                <w:lang w:val="fr-FR"/>
              </w:rPr>
              <w:t>’</w:t>
            </w:r>
            <w:r w:rsidRPr="00DB292F">
              <w:rPr>
                <w:szCs w:val="24"/>
                <w:lang w:val="fr-FR"/>
              </w:rPr>
              <w:t>Union européenne.</w:t>
            </w:r>
          </w:p>
        </w:tc>
      </w:tr>
      <w:tr w:rsidR="00231AA4" w:rsidRPr="00E2006A" w:rsidTr="00A40835">
        <w:tc>
          <w:tcPr>
            <w:tcW w:w="7370" w:type="dxa"/>
            <w:gridSpan w:val="2"/>
            <w:shd w:val="clear" w:color="auto" w:fill="auto"/>
          </w:tcPr>
          <w:p w:rsidR="00231AA4" w:rsidRPr="00DB292F" w:rsidRDefault="00231AA4" w:rsidP="003A3402">
            <w:pPr>
              <w:spacing w:before="40" w:after="120"/>
              <w:ind w:right="113"/>
              <w:jc w:val="both"/>
              <w:rPr>
                <w:szCs w:val="24"/>
                <w:lang w:val="fr-FR"/>
              </w:rPr>
            </w:pPr>
            <w:r w:rsidRPr="00DB292F">
              <w:rPr>
                <w:szCs w:val="24"/>
                <w:lang w:val="fr-FR"/>
              </w:rPr>
              <w:t>Il n</w:t>
            </w:r>
            <w:r>
              <w:rPr>
                <w:szCs w:val="24"/>
                <w:lang w:val="fr-FR"/>
              </w:rPr>
              <w:t>’</w:t>
            </w:r>
            <w:r w:rsidRPr="00DB292F">
              <w:rPr>
                <w:szCs w:val="24"/>
                <w:lang w:val="fr-FR"/>
              </w:rPr>
              <w:t>y a pas d</w:t>
            </w:r>
            <w:r>
              <w:rPr>
                <w:szCs w:val="24"/>
                <w:lang w:val="fr-FR"/>
              </w:rPr>
              <w:t>’</w:t>
            </w:r>
            <w:r w:rsidRPr="00DB292F">
              <w:rPr>
                <w:szCs w:val="24"/>
                <w:lang w:val="fr-FR"/>
              </w:rPr>
              <w:t>interdiction de sortie en tant que telle</w:t>
            </w:r>
            <w:r w:rsidR="00A40835">
              <w:rPr>
                <w:szCs w:val="24"/>
                <w:lang w:val="fr-FR"/>
              </w:rPr>
              <w:t> ;</w:t>
            </w:r>
            <w:r w:rsidRPr="00DB292F">
              <w:rPr>
                <w:szCs w:val="24"/>
                <w:lang w:val="fr-FR"/>
              </w:rPr>
              <w:t xml:space="preserve"> toutefois, les Macédoniens qui ne sont pas titulaires des documents requis en vertu de l</w:t>
            </w:r>
            <w:r>
              <w:rPr>
                <w:szCs w:val="24"/>
                <w:lang w:val="fr-FR"/>
              </w:rPr>
              <w:t>’</w:t>
            </w:r>
            <w:r w:rsidRPr="00DB292F">
              <w:rPr>
                <w:szCs w:val="24"/>
                <w:lang w:val="fr-FR"/>
              </w:rPr>
              <w:t>Accord sur la libéralisation du régime des visas sont informés qu</w:t>
            </w:r>
            <w:r>
              <w:rPr>
                <w:szCs w:val="24"/>
                <w:lang w:val="fr-FR"/>
              </w:rPr>
              <w:t>’</w:t>
            </w:r>
            <w:r w:rsidRPr="00DB292F">
              <w:rPr>
                <w:szCs w:val="24"/>
                <w:lang w:val="fr-FR"/>
              </w:rPr>
              <w:t>ils ne pourront quitter le pays qu</w:t>
            </w:r>
            <w:r>
              <w:rPr>
                <w:szCs w:val="24"/>
                <w:lang w:val="fr-FR"/>
              </w:rPr>
              <w:t>’</w:t>
            </w:r>
            <w:r w:rsidRPr="00DB292F">
              <w:rPr>
                <w:szCs w:val="24"/>
                <w:lang w:val="fr-FR"/>
              </w:rPr>
              <w:t>après avoir obtenu les documents en question. Le Ministre de l</w:t>
            </w:r>
            <w:r>
              <w:rPr>
                <w:szCs w:val="24"/>
                <w:lang w:val="fr-FR"/>
              </w:rPr>
              <w:t>’</w:t>
            </w:r>
            <w:r w:rsidRPr="00DB292F">
              <w:rPr>
                <w:szCs w:val="24"/>
                <w:lang w:val="fr-FR"/>
              </w:rPr>
              <w:t xml:space="preserve">intérieur donne suite aux plaintes relatives à des comportements délictueux de la police, enquête sur ces plaintes dans le respect du principe de non-discrimination et fournit des réponses rapides aux plaignants. </w:t>
            </w:r>
          </w:p>
        </w:tc>
      </w:tr>
      <w:tr w:rsidR="00231AA4" w:rsidRPr="00E2006A" w:rsidTr="00A40835">
        <w:tc>
          <w:tcPr>
            <w:tcW w:w="7370" w:type="dxa"/>
            <w:gridSpan w:val="2"/>
            <w:shd w:val="clear" w:color="auto" w:fill="auto"/>
          </w:tcPr>
          <w:p w:rsidR="00231AA4" w:rsidRPr="00DB292F" w:rsidRDefault="00231AA4" w:rsidP="00755D1B">
            <w:pPr>
              <w:keepNext/>
              <w:spacing w:before="40" w:after="120"/>
              <w:ind w:right="113"/>
              <w:jc w:val="both"/>
              <w:rPr>
                <w:szCs w:val="24"/>
                <w:lang w:val="fr-FR"/>
              </w:rPr>
            </w:pPr>
            <w:r w:rsidRPr="00DB292F">
              <w:rPr>
                <w:szCs w:val="24"/>
                <w:lang w:val="fr-FR"/>
              </w:rPr>
              <w:lastRenderedPageBreak/>
              <w:t>Le Minist</w:t>
            </w:r>
            <w:r>
              <w:rPr>
                <w:szCs w:val="24"/>
                <w:lang w:val="fr-FR"/>
              </w:rPr>
              <w:t>è</w:t>
            </w:r>
            <w:r w:rsidRPr="00DB292F">
              <w:rPr>
                <w:szCs w:val="24"/>
                <w:lang w:val="fr-FR"/>
              </w:rPr>
              <w:t>re de l</w:t>
            </w:r>
            <w:r>
              <w:rPr>
                <w:szCs w:val="24"/>
                <w:lang w:val="fr-FR"/>
              </w:rPr>
              <w:t>’</w:t>
            </w:r>
            <w:r w:rsidRPr="00DB292F">
              <w:rPr>
                <w:szCs w:val="24"/>
                <w:lang w:val="fr-FR"/>
              </w:rPr>
              <w:t>intérieur a mené des activités de prévention visant à faire connaître les conséquences de la soumission de demandes d</w:t>
            </w:r>
            <w:r>
              <w:rPr>
                <w:szCs w:val="24"/>
                <w:lang w:val="fr-FR"/>
              </w:rPr>
              <w:t>’</w:t>
            </w:r>
            <w:r w:rsidRPr="00DB292F">
              <w:rPr>
                <w:szCs w:val="24"/>
                <w:lang w:val="fr-FR"/>
              </w:rPr>
              <w:t>asile infondées dans les pays occidentaux</w:t>
            </w:r>
            <w:r>
              <w:rPr>
                <w:szCs w:val="24"/>
                <w:lang w:val="fr-FR"/>
              </w:rPr>
              <w:t xml:space="preserve">. Il </w:t>
            </w:r>
            <w:r w:rsidRPr="00DB292F">
              <w:rPr>
                <w:szCs w:val="24"/>
                <w:lang w:val="fr-FR"/>
              </w:rPr>
              <w:t>s</w:t>
            </w:r>
            <w:r>
              <w:rPr>
                <w:szCs w:val="24"/>
                <w:lang w:val="fr-FR"/>
              </w:rPr>
              <w:t>’</w:t>
            </w:r>
            <w:r w:rsidRPr="00DB292F">
              <w:rPr>
                <w:szCs w:val="24"/>
                <w:lang w:val="fr-FR"/>
              </w:rPr>
              <w:t>attache en outre à sensibiliser les policiers au respect des droits de l</w:t>
            </w:r>
            <w:r>
              <w:rPr>
                <w:szCs w:val="24"/>
                <w:lang w:val="fr-FR"/>
              </w:rPr>
              <w:t>’</w:t>
            </w:r>
            <w:r w:rsidRPr="00DB292F">
              <w:rPr>
                <w:szCs w:val="24"/>
                <w:lang w:val="fr-FR"/>
              </w:rPr>
              <w:t>homme.</w:t>
            </w:r>
          </w:p>
        </w:tc>
      </w:tr>
      <w:tr w:rsidR="00231AA4" w:rsidRPr="00E2006A" w:rsidTr="00A40835">
        <w:tc>
          <w:tcPr>
            <w:tcW w:w="7370" w:type="dxa"/>
            <w:gridSpan w:val="2"/>
            <w:shd w:val="clear" w:color="auto" w:fill="auto"/>
          </w:tcPr>
          <w:p w:rsidR="00231AA4" w:rsidRPr="00DB292F" w:rsidRDefault="00231AA4" w:rsidP="00A40835">
            <w:pPr>
              <w:keepNext/>
              <w:keepLines/>
              <w:spacing w:before="40" w:after="120"/>
              <w:ind w:right="113"/>
              <w:rPr>
                <w:b/>
                <w:szCs w:val="24"/>
                <w:lang w:val="fr-FR"/>
              </w:rPr>
            </w:pPr>
            <w:r w:rsidRPr="00DB292F">
              <w:rPr>
                <w:b/>
                <w:szCs w:val="24"/>
                <w:lang w:val="fr-FR"/>
              </w:rPr>
              <w:t xml:space="preserve">Évaluation du Comité </w:t>
            </w:r>
          </w:p>
        </w:tc>
      </w:tr>
      <w:tr w:rsidR="00231AA4" w:rsidRPr="00E2006A" w:rsidTr="00A40835">
        <w:tc>
          <w:tcPr>
            <w:tcW w:w="7370" w:type="dxa"/>
            <w:gridSpan w:val="2"/>
            <w:shd w:val="clear" w:color="auto" w:fill="auto"/>
          </w:tcPr>
          <w:p w:rsidR="00231AA4" w:rsidRPr="00DB292F" w:rsidRDefault="00231AA4" w:rsidP="003A3402">
            <w:pPr>
              <w:spacing w:before="40" w:after="120"/>
              <w:ind w:right="113"/>
              <w:jc w:val="both"/>
              <w:rPr>
                <w:b/>
                <w:szCs w:val="24"/>
                <w:lang w:val="fr-FR"/>
              </w:rPr>
            </w:pPr>
            <w:r w:rsidRPr="00DB292F">
              <w:rPr>
                <w:b/>
                <w:szCs w:val="24"/>
                <w:lang w:val="fr-FR"/>
              </w:rPr>
              <w:t>[B]</w:t>
            </w:r>
            <w:r w:rsidR="00A40835">
              <w:rPr>
                <w:b/>
                <w:szCs w:val="24"/>
                <w:lang w:val="fr-FR"/>
              </w:rPr>
              <w:t> :</w:t>
            </w:r>
            <w:r w:rsidRPr="00DB292F">
              <w:rPr>
                <w:szCs w:val="24"/>
                <w:lang w:val="fr-FR"/>
              </w:rPr>
              <w:t xml:space="preserve"> Le Comité prend note des renseignements communiqués, mais regrette qu</w:t>
            </w:r>
            <w:r>
              <w:rPr>
                <w:szCs w:val="24"/>
                <w:lang w:val="fr-FR"/>
              </w:rPr>
              <w:t>’</w:t>
            </w:r>
            <w:r w:rsidRPr="00DB292F">
              <w:rPr>
                <w:szCs w:val="24"/>
                <w:lang w:val="fr-FR"/>
              </w:rPr>
              <w:t>ils ne répondent pas pleinement à ses préoccupations. Il demand</w:t>
            </w:r>
            <w:r>
              <w:rPr>
                <w:szCs w:val="24"/>
                <w:lang w:val="fr-FR"/>
              </w:rPr>
              <w:t>e des informations précises sur</w:t>
            </w:r>
            <w:r w:rsidR="00A40835">
              <w:rPr>
                <w:szCs w:val="24"/>
                <w:lang w:val="fr-FR"/>
              </w:rPr>
              <w:t> :</w:t>
            </w:r>
            <w:r w:rsidRPr="00DB292F">
              <w:rPr>
                <w:szCs w:val="24"/>
                <w:lang w:val="fr-FR"/>
              </w:rPr>
              <w:t xml:space="preserve"> a) la question de savoir si les politiques et pratiques de gestion des frontières visant à empêcher des demandeurs d</w:t>
            </w:r>
            <w:r>
              <w:rPr>
                <w:szCs w:val="24"/>
                <w:lang w:val="fr-FR"/>
              </w:rPr>
              <w:t>’</w:t>
            </w:r>
            <w:r w:rsidRPr="00DB292F">
              <w:rPr>
                <w:szCs w:val="24"/>
                <w:lang w:val="fr-FR"/>
              </w:rPr>
              <w:t>asile « potentiels » de quitter le pays sont toujours en vigueur et si elles sont conformes au Pacte, not</w:t>
            </w:r>
            <w:r>
              <w:rPr>
                <w:szCs w:val="24"/>
                <w:lang w:val="fr-FR"/>
              </w:rPr>
              <w:t>amment ses articles 2, 12 et 26</w:t>
            </w:r>
            <w:r w:rsidR="00A40835">
              <w:rPr>
                <w:szCs w:val="24"/>
                <w:lang w:val="fr-FR"/>
              </w:rPr>
              <w:t> ;</w:t>
            </w:r>
            <w:r w:rsidRPr="00DB292F">
              <w:rPr>
                <w:szCs w:val="24"/>
                <w:lang w:val="fr-FR"/>
              </w:rPr>
              <w:t xml:space="preserve"> </w:t>
            </w:r>
            <w:r>
              <w:rPr>
                <w:szCs w:val="24"/>
                <w:lang w:val="fr-FR"/>
              </w:rPr>
              <w:t xml:space="preserve">et </w:t>
            </w:r>
            <w:r w:rsidRPr="00DB292F">
              <w:rPr>
                <w:szCs w:val="24"/>
                <w:lang w:val="fr-FR"/>
              </w:rPr>
              <w:t>b) la réponse donnée par l</w:t>
            </w:r>
            <w:r>
              <w:rPr>
                <w:szCs w:val="24"/>
                <w:lang w:val="fr-FR"/>
              </w:rPr>
              <w:t>’</w:t>
            </w:r>
            <w:r w:rsidRPr="00DB292F">
              <w:rPr>
                <w:szCs w:val="24"/>
                <w:lang w:val="fr-FR"/>
              </w:rPr>
              <w:t>État partie aux allégations selon lesquelles les Roms feraient l</w:t>
            </w:r>
            <w:r>
              <w:rPr>
                <w:szCs w:val="24"/>
                <w:lang w:val="fr-FR"/>
              </w:rPr>
              <w:t>’</w:t>
            </w:r>
            <w:r w:rsidRPr="00DB292F">
              <w:rPr>
                <w:szCs w:val="24"/>
                <w:lang w:val="fr-FR"/>
              </w:rPr>
              <w:t>objet de discriminations ciblées et d</w:t>
            </w:r>
            <w:r>
              <w:rPr>
                <w:szCs w:val="24"/>
                <w:lang w:val="fr-FR"/>
              </w:rPr>
              <w:t>’</w:t>
            </w:r>
            <w:r w:rsidRPr="00DB292F">
              <w:rPr>
                <w:szCs w:val="24"/>
                <w:lang w:val="fr-FR"/>
              </w:rPr>
              <w:t>un profilage ethnique qui auraient pour effet de limiter indûment leur liberté de circulation</w:t>
            </w:r>
            <w:r>
              <w:rPr>
                <w:szCs w:val="24"/>
                <w:lang w:val="fr-FR"/>
              </w:rPr>
              <w:t>.</w:t>
            </w:r>
            <w:r w:rsidRPr="00DB292F">
              <w:rPr>
                <w:szCs w:val="24"/>
                <w:lang w:val="fr-FR"/>
              </w:rPr>
              <w:t xml:space="preserve"> </w:t>
            </w:r>
          </w:p>
        </w:tc>
      </w:tr>
      <w:tr w:rsidR="00231AA4" w:rsidRPr="00E2006A" w:rsidTr="00A40835">
        <w:tc>
          <w:tcPr>
            <w:tcW w:w="7370" w:type="dxa"/>
            <w:gridSpan w:val="2"/>
            <w:shd w:val="clear" w:color="auto" w:fill="auto"/>
          </w:tcPr>
          <w:p w:rsidR="00231AA4" w:rsidRPr="00DB292F" w:rsidRDefault="00231AA4" w:rsidP="00A40835">
            <w:pPr>
              <w:spacing w:before="40" w:after="120"/>
              <w:ind w:right="113"/>
              <w:rPr>
                <w:b/>
                <w:szCs w:val="24"/>
                <w:lang w:val="fr-FR"/>
              </w:rPr>
            </w:pPr>
            <w:r>
              <w:rPr>
                <w:b/>
                <w:szCs w:val="24"/>
                <w:lang w:val="fr-FR"/>
              </w:rPr>
              <w:t>Paragraphe 23</w:t>
            </w:r>
            <w:r w:rsidR="00A40835">
              <w:rPr>
                <w:b/>
                <w:szCs w:val="24"/>
                <w:lang w:val="fr-FR"/>
              </w:rPr>
              <w:t> :</w:t>
            </w:r>
            <w:r w:rsidRPr="00DB292F">
              <w:rPr>
                <w:b/>
                <w:szCs w:val="24"/>
                <w:lang w:val="fr-FR"/>
              </w:rPr>
              <w:t xml:space="preserve"> Surveillance à grande échelle des communications</w:t>
            </w:r>
          </w:p>
        </w:tc>
      </w:tr>
      <w:tr w:rsidR="00231AA4" w:rsidRPr="00E2006A" w:rsidTr="00A40835">
        <w:tc>
          <w:tcPr>
            <w:tcW w:w="7370" w:type="dxa"/>
            <w:gridSpan w:val="2"/>
            <w:shd w:val="clear" w:color="auto" w:fill="auto"/>
          </w:tcPr>
          <w:p w:rsidR="00231AA4" w:rsidRPr="00DB292F" w:rsidRDefault="00231AA4" w:rsidP="003A3402">
            <w:pPr>
              <w:spacing w:before="40" w:after="120"/>
              <w:ind w:right="113"/>
              <w:jc w:val="both"/>
              <w:rPr>
                <w:szCs w:val="24"/>
                <w:lang w:val="fr-FR" w:eastAsia="fr-FR"/>
              </w:rPr>
            </w:pPr>
            <w:r w:rsidRPr="00DB292F">
              <w:rPr>
                <w:b/>
                <w:szCs w:val="24"/>
                <w:lang w:val="fr-FR" w:eastAsia="fr-FR"/>
              </w:rPr>
              <w:t>L</w:t>
            </w:r>
            <w:r>
              <w:rPr>
                <w:b/>
                <w:szCs w:val="24"/>
                <w:lang w:val="fr-FR" w:eastAsia="fr-FR"/>
              </w:rPr>
              <w:t>’</w:t>
            </w:r>
            <w:r w:rsidRPr="00DB292F">
              <w:rPr>
                <w:b/>
                <w:szCs w:val="24"/>
                <w:lang w:val="fr-FR" w:eastAsia="fr-FR"/>
              </w:rPr>
              <w:t>État partie devrait prendre toutes les mesures voulues pour que ses activités de surveillance soient conformes aux obligations découlant du Pacte, notamment de l</w:t>
            </w:r>
            <w:r>
              <w:rPr>
                <w:b/>
                <w:szCs w:val="24"/>
                <w:lang w:val="fr-FR" w:eastAsia="fr-FR"/>
              </w:rPr>
              <w:t>’</w:t>
            </w:r>
            <w:r w:rsidRPr="00DB292F">
              <w:rPr>
                <w:b/>
                <w:szCs w:val="24"/>
                <w:lang w:val="fr-FR" w:eastAsia="fr-FR"/>
              </w:rPr>
              <w:t>article 17</w:t>
            </w:r>
            <w:r w:rsidRPr="00DB292F">
              <w:rPr>
                <w:b/>
                <w:szCs w:val="24"/>
                <w:lang w:val="fr-FR"/>
              </w:rPr>
              <w:t xml:space="preserve">. </w:t>
            </w:r>
            <w:r w:rsidRPr="00DB292F">
              <w:rPr>
                <w:b/>
                <w:szCs w:val="24"/>
                <w:lang w:val="fr-FR" w:eastAsia="fr-FR"/>
              </w:rPr>
              <w:t>En particulier, des mesures devraient être prises pour garantir que toute immixtion dans la vie privée s</w:t>
            </w:r>
            <w:r>
              <w:rPr>
                <w:b/>
                <w:szCs w:val="24"/>
                <w:lang w:val="fr-FR" w:eastAsia="fr-FR"/>
              </w:rPr>
              <w:t>’</w:t>
            </w:r>
            <w:r w:rsidRPr="00DB292F">
              <w:rPr>
                <w:b/>
                <w:szCs w:val="24"/>
                <w:lang w:val="fr-FR" w:eastAsia="fr-FR"/>
              </w:rPr>
              <w:t>effectue dans le respect des principes de légalité, de proportionnalité et de nécessité. Il devrait aussi veiller à ce que les personnes qui ont été illégalement surveillées en soient systématiquement informées et aient accès à des recours appropriés</w:t>
            </w:r>
            <w:r w:rsidRPr="00DB292F">
              <w:rPr>
                <w:szCs w:val="24"/>
                <w:lang w:val="fr-FR" w:eastAsia="fr-FR"/>
              </w:rPr>
              <w:t>.</w:t>
            </w:r>
          </w:p>
        </w:tc>
      </w:tr>
      <w:tr w:rsidR="00231AA4" w:rsidRPr="00E2006A" w:rsidTr="00A40835">
        <w:tc>
          <w:tcPr>
            <w:tcW w:w="7370" w:type="dxa"/>
            <w:gridSpan w:val="2"/>
            <w:shd w:val="clear" w:color="auto" w:fill="auto"/>
          </w:tcPr>
          <w:p w:rsidR="00231AA4" w:rsidRPr="00DB292F" w:rsidRDefault="00231AA4" w:rsidP="00A40835">
            <w:pPr>
              <w:spacing w:before="40" w:after="120"/>
              <w:ind w:right="113"/>
              <w:rPr>
                <w:b/>
                <w:szCs w:val="24"/>
                <w:lang w:val="fr-FR"/>
              </w:rPr>
            </w:pPr>
            <w:r w:rsidRPr="00DB292F">
              <w:rPr>
                <w:b/>
                <w:szCs w:val="24"/>
                <w:lang w:val="fr-FR"/>
              </w:rPr>
              <w:t>Résumé des réponses de l</w:t>
            </w:r>
            <w:r>
              <w:rPr>
                <w:b/>
                <w:szCs w:val="24"/>
                <w:lang w:val="fr-FR"/>
              </w:rPr>
              <w:t>’</w:t>
            </w:r>
            <w:r w:rsidRPr="00DB292F">
              <w:rPr>
                <w:b/>
                <w:szCs w:val="24"/>
                <w:lang w:val="fr-FR"/>
              </w:rPr>
              <w:t>État partie</w:t>
            </w:r>
          </w:p>
        </w:tc>
      </w:tr>
      <w:tr w:rsidR="00231AA4" w:rsidRPr="00E2006A" w:rsidTr="00A40835">
        <w:tc>
          <w:tcPr>
            <w:tcW w:w="7370" w:type="dxa"/>
            <w:gridSpan w:val="2"/>
            <w:shd w:val="clear" w:color="auto" w:fill="auto"/>
          </w:tcPr>
          <w:p w:rsidR="00231AA4" w:rsidRPr="00DB292F" w:rsidRDefault="00231AA4" w:rsidP="00A76437">
            <w:pPr>
              <w:spacing w:before="40" w:after="120"/>
              <w:ind w:right="113"/>
              <w:jc w:val="both"/>
              <w:rPr>
                <w:szCs w:val="24"/>
                <w:lang w:val="fr-FR"/>
              </w:rPr>
            </w:pPr>
            <w:r w:rsidRPr="00DB292F">
              <w:rPr>
                <w:szCs w:val="24"/>
                <w:lang w:val="fr-FR"/>
              </w:rPr>
              <w:t>La loi sur le Bureau du Procureur chargé de poursuivre les infractions relatives à l</w:t>
            </w:r>
            <w:r>
              <w:rPr>
                <w:szCs w:val="24"/>
                <w:lang w:val="fr-FR"/>
              </w:rPr>
              <w:t>’</w:t>
            </w:r>
            <w:r w:rsidRPr="00DB292F">
              <w:rPr>
                <w:szCs w:val="24"/>
                <w:lang w:val="fr-FR"/>
              </w:rPr>
              <w:t>interception illégale de communications ou à leur contenu a été adoptée le 15</w:t>
            </w:r>
            <w:r w:rsidR="00A76437">
              <w:rPr>
                <w:szCs w:val="24"/>
                <w:lang w:val="fr-FR"/>
              </w:rPr>
              <w:t> </w:t>
            </w:r>
            <w:r w:rsidRPr="00DB292F">
              <w:rPr>
                <w:szCs w:val="24"/>
                <w:lang w:val="fr-FR"/>
              </w:rPr>
              <w:t>septembre 2015. Aux termes de cette loi, l</w:t>
            </w:r>
            <w:r>
              <w:rPr>
                <w:szCs w:val="24"/>
                <w:lang w:val="fr-FR"/>
              </w:rPr>
              <w:t>’</w:t>
            </w:r>
            <w:r w:rsidRPr="00DB292F">
              <w:rPr>
                <w:szCs w:val="24"/>
                <w:lang w:val="fr-FR"/>
              </w:rPr>
              <w:t>interception non autorisée de communications s</w:t>
            </w:r>
            <w:r>
              <w:rPr>
                <w:szCs w:val="24"/>
                <w:lang w:val="fr-FR"/>
              </w:rPr>
              <w:t>’</w:t>
            </w:r>
            <w:r w:rsidRPr="00DB292F">
              <w:rPr>
                <w:szCs w:val="24"/>
                <w:lang w:val="fr-FR"/>
              </w:rPr>
              <w:t xml:space="preserve">entend de toute interception non autorisée pratiquée entre 2008 et 2015, notamment des enregistrements audio et des transcriptions soumis au Bureau du Procureur avant le 15 juillet 2015. </w:t>
            </w:r>
          </w:p>
        </w:tc>
      </w:tr>
      <w:tr w:rsidR="00231AA4" w:rsidRPr="00E2006A" w:rsidTr="00A40835">
        <w:tc>
          <w:tcPr>
            <w:tcW w:w="7370" w:type="dxa"/>
            <w:gridSpan w:val="2"/>
            <w:shd w:val="clear" w:color="auto" w:fill="auto"/>
          </w:tcPr>
          <w:p w:rsidR="00231AA4" w:rsidRPr="00DB292F" w:rsidRDefault="00231AA4" w:rsidP="00A76437">
            <w:pPr>
              <w:spacing w:before="40" w:after="120"/>
              <w:ind w:right="113"/>
              <w:jc w:val="both"/>
              <w:rPr>
                <w:szCs w:val="24"/>
                <w:lang w:val="fr-FR"/>
              </w:rPr>
            </w:pPr>
            <w:r w:rsidRPr="00DB292F">
              <w:rPr>
                <w:szCs w:val="24"/>
                <w:lang w:val="fr-FR"/>
              </w:rPr>
              <w:t>Le Procureur spécialisé a été élu le 15</w:t>
            </w:r>
            <w:r w:rsidR="00A76437">
              <w:rPr>
                <w:szCs w:val="24"/>
                <w:lang w:val="fr-FR"/>
              </w:rPr>
              <w:t> </w:t>
            </w:r>
            <w:r w:rsidRPr="00DB292F">
              <w:rPr>
                <w:szCs w:val="24"/>
                <w:lang w:val="fr-FR"/>
              </w:rPr>
              <w:t>septembre 2015</w:t>
            </w:r>
            <w:r w:rsidR="00A40835">
              <w:rPr>
                <w:szCs w:val="24"/>
                <w:lang w:val="fr-FR"/>
              </w:rPr>
              <w:t> ;</w:t>
            </w:r>
            <w:r w:rsidRPr="00DB292F">
              <w:rPr>
                <w:szCs w:val="24"/>
                <w:lang w:val="fr-FR"/>
              </w:rPr>
              <w:t xml:space="preserve"> il est assisté d</w:t>
            </w:r>
            <w:r>
              <w:rPr>
                <w:szCs w:val="24"/>
                <w:lang w:val="fr-FR"/>
              </w:rPr>
              <w:t>’</w:t>
            </w:r>
            <w:r w:rsidRPr="00DB292F">
              <w:rPr>
                <w:szCs w:val="24"/>
                <w:lang w:val="fr-FR"/>
              </w:rPr>
              <w:t>une équipe de 12 procureurs. Il a soumis un rapport à l</w:t>
            </w:r>
            <w:r>
              <w:rPr>
                <w:szCs w:val="24"/>
                <w:lang w:val="fr-FR"/>
              </w:rPr>
              <w:t>’</w:t>
            </w:r>
            <w:r w:rsidRPr="00DB292F">
              <w:rPr>
                <w:szCs w:val="24"/>
                <w:lang w:val="fr-FR"/>
              </w:rPr>
              <w:t>Assemblée sur les activités menées au cours des six pre</w:t>
            </w:r>
            <w:r>
              <w:rPr>
                <w:szCs w:val="24"/>
                <w:lang w:val="fr-FR"/>
              </w:rPr>
              <w:t>miers mois de son mandat (c’est</w:t>
            </w:r>
            <w:r>
              <w:rPr>
                <w:szCs w:val="24"/>
                <w:lang w:val="fr-FR"/>
              </w:rPr>
              <w:noBreakHyphen/>
              <w:t>à</w:t>
            </w:r>
            <w:r>
              <w:rPr>
                <w:szCs w:val="24"/>
                <w:lang w:val="fr-FR"/>
              </w:rPr>
              <w:noBreakHyphen/>
            </w:r>
            <w:r w:rsidRPr="00DB292F">
              <w:rPr>
                <w:szCs w:val="24"/>
                <w:lang w:val="fr-FR"/>
              </w:rPr>
              <w:t>dire du 15</w:t>
            </w:r>
            <w:r w:rsidR="00A76437">
              <w:rPr>
                <w:szCs w:val="24"/>
                <w:lang w:val="fr-FR"/>
              </w:rPr>
              <w:t> </w:t>
            </w:r>
            <w:r w:rsidRPr="00DB292F">
              <w:rPr>
                <w:szCs w:val="24"/>
                <w:lang w:val="fr-FR"/>
              </w:rPr>
              <w:t>septembre 2015 au 15</w:t>
            </w:r>
            <w:r w:rsidR="00A76437">
              <w:rPr>
                <w:szCs w:val="24"/>
                <w:lang w:val="fr-FR"/>
              </w:rPr>
              <w:t> </w:t>
            </w:r>
            <w:r w:rsidRPr="00DB292F">
              <w:rPr>
                <w:szCs w:val="24"/>
                <w:lang w:val="fr-FR"/>
              </w:rPr>
              <w:t>mars 2016) et a ouvert des enquêtes et des procédures préliminaires concernant l</w:t>
            </w:r>
            <w:r>
              <w:rPr>
                <w:szCs w:val="24"/>
                <w:lang w:val="fr-FR"/>
              </w:rPr>
              <w:t>’</w:t>
            </w:r>
            <w:r w:rsidRPr="00DB292F">
              <w:rPr>
                <w:szCs w:val="24"/>
                <w:lang w:val="fr-FR"/>
              </w:rPr>
              <w:t xml:space="preserve">interception non autorisée de communications. </w:t>
            </w:r>
          </w:p>
        </w:tc>
      </w:tr>
      <w:tr w:rsidR="00231AA4" w:rsidRPr="00E2006A" w:rsidTr="00A40835">
        <w:tc>
          <w:tcPr>
            <w:tcW w:w="7370" w:type="dxa"/>
            <w:gridSpan w:val="2"/>
            <w:shd w:val="clear" w:color="auto" w:fill="auto"/>
          </w:tcPr>
          <w:p w:rsidR="00231AA4" w:rsidRPr="00DB292F" w:rsidRDefault="00231AA4" w:rsidP="00A40835">
            <w:pPr>
              <w:spacing w:before="40" w:after="120"/>
              <w:ind w:right="113"/>
              <w:rPr>
                <w:szCs w:val="24"/>
                <w:lang w:val="fr-FR"/>
              </w:rPr>
            </w:pPr>
            <w:r w:rsidRPr="00DB292F">
              <w:rPr>
                <w:b/>
                <w:szCs w:val="24"/>
                <w:lang w:val="fr-FR"/>
              </w:rPr>
              <w:t xml:space="preserve">Évaluation du Comité </w:t>
            </w:r>
          </w:p>
        </w:tc>
      </w:tr>
      <w:tr w:rsidR="00231AA4" w:rsidRPr="00E2006A" w:rsidTr="00A40835">
        <w:tc>
          <w:tcPr>
            <w:tcW w:w="7370" w:type="dxa"/>
            <w:gridSpan w:val="2"/>
            <w:shd w:val="clear" w:color="auto" w:fill="auto"/>
          </w:tcPr>
          <w:p w:rsidR="00231AA4" w:rsidRPr="00DB292F" w:rsidRDefault="00231AA4" w:rsidP="003A3402">
            <w:pPr>
              <w:spacing w:before="40" w:after="120"/>
              <w:ind w:right="113"/>
              <w:jc w:val="both"/>
              <w:rPr>
                <w:szCs w:val="24"/>
                <w:lang w:val="fr-FR"/>
              </w:rPr>
            </w:pPr>
            <w:r w:rsidRPr="00DB292F">
              <w:rPr>
                <w:b/>
                <w:szCs w:val="24"/>
                <w:lang w:val="fr-FR"/>
              </w:rPr>
              <w:t>[C]</w:t>
            </w:r>
            <w:r w:rsidR="00A40835">
              <w:rPr>
                <w:b/>
                <w:szCs w:val="24"/>
                <w:lang w:val="fr-FR"/>
              </w:rPr>
              <w:t> :</w:t>
            </w:r>
            <w:r w:rsidRPr="00DB292F">
              <w:rPr>
                <w:b/>
                <w:szCs w:val="24"/>
                <w:lang w:val="fr-FR"/>
              </w:rPr>
              <w:t xml:space="preserve"> </w:t>
            </w:r>
            <w:r w:rsidRPr="00DB292F">
              <w:rPr>
                <w:szCs w:val="24"/>
                <w:lang w:val="fr-FR"/>
              </w:rPr>
              <w:t>Aucune information n</w:t>
            </w:r>
            <w:r>
              <w:rPr>
                <w:szCs w:val="24"/>
                <w:lang w:val="fr-FR"/>
              </w:rPr>
              <w:t>’</w:t>
            </w:r>
            <w:r w:rsidRPr="00DB292F">
              <w:rPr>
                <w:szCs w:val="24"/>
                <w:lang w:val="fr-FR"/>
              </w:rPr>
              <w:t>a été reçue sur les mesures prises pour veiller à ce que toute immixtion dans la vie privée s</w:t>
            </w:r>
            <w:r>
              <w:rPr>
                <w:szCs w:val="24"/>
                <w:lang w:val="fr-FR"/>
              </w:rPr>
              <w:t>’</w:t>
            </w:r>
            <w:r w:rsidRPr="00DB292F">
              <w:rPr>
                <w:szCs w:val="24"/>
                <w:lang w:val="fr-FR"/>
              </w:rPr>
              <w:t>effectue dans le respect des principes de légalité, de proportionnalité et de nécessité, et pour que les personnes qui ont fait l</w:t>
            </w:r>
            <w:r>
              <w:rPr>
                <w:szCs w:val="24"/>
                <w:lang w:val="fr-FR"/>
              </w:rPr>
              <w:t>’</w:t>
            </w:r>
            <w:r w:rsidRPr="00DB292F">
              <w:rPr>
                <w:szCs w:val="24"/>
                <w:lang w:val="fr-FR"/>
              </w:rPr>
              <w:t>objet d</w:t>
            </w:r>
            <w:r>
              <w:rPr>
                <w:szCs w:val="24"/>
                <w:lang w:val="fr-FR"/>
              </w:rPr>
              <w:t>’</w:t>
            </w:r>
            <w:r w:rsidRPr="00DB292F">
              <w:rPr>
                <w:szCs w:val="24"/>
                <w:lang w:val="fr-FR"/>
              </w:rPr>
              <w:t>une surveillance illégale en soient systématiquement informées et aient accès à des recours appropriés. Le Comité réitère sa recommandation.</w:t>
            </w:r>
          </w:p>
        </w:tc>
      </w:tr>
      <w:tr w:rsidR="00231AA4" w:rsidRPr="00E2006A" w:rsidTr="00A40835">
        <w:tc>
          <w:tcPr>
            <w:tcW w:w="7370" w:type="dxa"/>
            <w:gridSpan w:val="2"/>
            <w:shd w:val="clear" w:color="auto" w:fill="auto"/>
          </w:tcPr>
          <w:p w:rsidR="00231AA4" w:rsidRPr="00DB292F" w:rsidRDefault="00231AA4" w:rsidP="00A76437">
            <w:pPr>
              <w:spacing w:before="40" w:after="120"/>
              <w:ind w:right="113"/>
              <w:jc w:val="both"/>
              <w:rPr>
                <w:szCs w:val="24"/>
                <w:lang w:val="fr-FR"/>
              </w:rPr>
            </w:pPr>
            <w:r w:rsidRPr="00DB292F">
              <w:rPr>
                <w:b/>
                <w:szCs w:val="24"/>
                <w:lang w:val="fr-FR"/>
              </w:rPr>
              <w:t>[B]</w:t>
            </w:r>
            <w:r w:rsidR="00A40835">
              <w:rPr>
                <w:b/>
                <w:szCs w:val="24"/>
                <w:lang w:val="fr-FR"/>
              </w:rPr>
              <w:t> :</w:t>
            </w:r>
            <w:r w:rsidRPr="00DB292F">
              <w:rPr>
                <w:b/>
                <w:szCs w:val="24"/>
                <w:lang w:val="fr-FR"/>
              </w:rPr>
              <w:t xml:space="preserve"> </w:t>
            </w:r>
            <w:r w:rsidRPr="00DB292F">
              <w:rPr>
                <w:szCs w:val="24"/>
                <w:lang w:val="fr-FR"/>
              </w:rPr>
              <w:t>Le Comité accueille avec satisfaction la création, en vertu d</w:t>
            </w:r>
            <w:r>
              <w:rPr>
                <w:szCs w:val="24"/>
                <w:lang w:val="fr-FR"/>
              </w:rPr>
              <w:t>’</w:t>
            </w:r>
            <w:r w:rsidRPr="00DB292F">
              <w:rPr>
                <w:szCs w:val="24"/>
                <w:lang w:val="fr-FR"/>
              </w:rPr>
              <w:t>une loi, d</w:t>
            </w:r>
            <w:r>
              <w:rPr>
                <w:szCs w:val="24"/>
                <w:lang w:val="fr-FR"/>
              </w:rPr>
              <w:t>’</w:t>
            </w:r>
            <w:r w:rsidRPr="00DB292F">
              <w:rPr>
                <w:szCs w:val="24"/>
                <w:lang w:val="fr-FR"/>
              </w:rPr>
              <w:t xml:space="preserve">un Bureau du Procureur chargé </w:t>
            </w:r>
            <w:r>
              <w:rPr>
                <w:szCs w:val="24"/>
                <w:lang w:val="fr-FR"/>
              </w:rPr>
              <w:t>de poursuivre l</w:t>
            </w:r>
            <w:r w:rsidRPr="00DB292F">
              <w:rPr>
                <w:szCs w:val="24"/>
                <w:lang w:val="fr-FR"/>
              </w:rPr>
              <w:t>es infractions relatives aux interceptions illégales de communications ou à leur contenu</w:t>
            </w:r>
            <w:r>
              <w:rPr>
                <w:szCs w:val="24"/>
                <w:lang w:val="fr-FR"/>
              </w:rPr>
              <w:t>. Il</w:t>
            </w:r>
            <w:r w:rsidRPr="00DB292F">
              <w:rPr>
                <w:szCs w:val="24"/>
                <w:lang w:val="fr-FR"/>
              </w:rPr>
              <w:t xml:space="preserve"> demande</w:t>
            </w:r>
            <w:r>
              <w:rPr>
                <w:szCs w:val="24"/>
                <w:lang w:val="fr-FR"/>
              </w:rPr>
              <w:t xml:space="preserve"> toutefois</w:t>
            </w:r>
            <w:r w:rsidRPr="00DB292F">
              <w:rPr>
                <w:szCs w:val="24"/>
                <w:lang w:val="fr-FR"/>
              </w:rPr>
              <w:t xml:space="preserve"> des informations complémentaires sur les activités qu</w:t>
            </w:r>
            <w:r>
              <w:rPr>
                <w:szCs w:val="24"/>
                <w:lang w:val="fr-FR"/>
              </w:rPr>
              <w:t>e le Bureau du Procureur</w:t>
            </w:r>
            <w:r w:rsidRPr="00DB292F">
              <w:rPr>
                <w:szCs w:val="24"/>
                <w:lang w:val="fr-FR"/>
              </w:rPr>
              <w:t xml:space="preserve"> a menées à ce jour, y</w:t>
            </w:r>
            <w:r w:rsidR="00A76437">
              <w:rPr>
                <w:szCs w:val="24"/>
                <w:lang w:val="fr-FR"/>
              </w:rPr>
              <w:t> </w:t>
            </w:r>
            <w:r w:rsidRPr="00DB292F">
              <w:rPr>
                <w:szCs w:val="24"/>
                <w:lang w:val="fr-FR"/>
              </w:rPr>
              <w:t>compris sur les progrès accomplis dans les enquêtes sur les cas signalés d</w:t>
            </w:r>
            <w:r>
              <w:rPr>
                <w:szCs w:val="24"/>
                <w:lang w:val="fr-FR"/>
              </w:rPr>
              <w:t>’</w:t>
            </w:r>
            <w:r w:rsidRPr="00DB292F">
              <w:rPr>
                <w:szCs w:val="24"/>
                <w:lang w:val="fr-FR"/>
              </w:rPr>
              <w:t>interceptions illégales de communications.</w:t>
            </w:r>
          </w:p>
        </w:tc>
      </w:tr>
      <w:tr w:rsidR="00231AA4" w:rsidRPr="00E2006A" w:rsidTr="00A40835">
        <w:tc>
          <w:tcPr>
            <w:tcW w:w="7370" w:type="dxa"/>
            <w:gridSpan w:val="2"/>
            <w:shd w:val="clear" w:color="auto" w:fill="auto"/>
          </w:tcPr>
          <w:p w:rsidR="00231AA4" w:rsidRPr="00DB292F" w:rsidRDefault="00231AA4" w:rsidP="003A3402">
            <w:pPr>
              <w:spacing w:before="40" w:after="120"/>
              <w:ind w:right="113"/>
              <w:jc w:val="both"/>
              <w:rPr>
                <w:szCs w:val="24"/>
                <w:lang w:val="fr-FR"/>
              </w:rPr>
            </w:pPr>
            <w:r w:rsidRPr="00DB292F">
              <w:rPr>
                <w:b/>
                <w:szCs w:val="24"/>
                <w:lang w:val="fr-FR"/>
              </w:rPr>
              <w:t>Mesures recommandées</w:t>
            </w:r>
            <w:r w:rsidR="00A40835">
              <w:rPr>
                <w:b/>
                <w:szCs w:val="24"/>
                <w:lang w:val="fr-FR"/>
              </w:rPr>
              <w:t> :</w:t>
            </w:r>
            <w:r w:rsidRPr="00DB292F">
              <w:rPr>
                <w:szCs w:val="24"/>
                <w:lang w:val="fr-FR"/>
              </w:rPr>
              <w:t xml:space="preserve"> Une lettre</w:t>
            </w:r>
            <w:r>
              <w:rPr>
                <w:szCs w:val="24"/>
                <w:lang w:val="fr-FR"/>
              </w:rPr>
              <w:t xml:space="preserve"> </w:t>
            </w:r>
            <w:r w:rsidRPr="007D7A23">
              <w:rPr>
                <w:szCs w:val="24"/>
              </w:rPr>
              <w:t>devrait être adressée à l</w:t>
            </w:r>
            <w:r>
              <w:rPr>
                <w:szCs w:val="24"/>
              </w:rPr>
              <w:t>’</w:t>
            </w:r>
            <w:r w:rsidRPr="007D7A23">
              <w:rPr>
                <w:szCs w:val="24"/>
              </w:rPr>
              <w:t>État partie pour l</w:t>
            </w:r>
            <w:r>
              <w:rPr>
                <w:szCs w:val="24"/>
              </w:rPr>
              <w:t>’</w:t>
            </w:r>
            <w:r w:rsidRPr="007D7A23">
              <w:rPr>
                <w:szCs w:val="24"/>
              </w:rPr>
              <w:t>informer de l</w:t>
            </w:r>
            <w:r>
              <w:rPr>
                <w:szCs w:val="24"/>
              </w:rPr>
              <w:t>’arrêt de la procédure de suivi</w:t>
            </w:r>
            <w:r w:rsidRPr="007D7A23">
              <w:rPr>
                <w:szCs w:val="24"/>
              </w:rPr>
              <w:t>.</w:t>
            </w:r>
            <w:r>
              <w:rPr>
                <w:szCs w:val="24"/>
              </w:rPr>
              <w:t xml:space="preserve"> Les informations demandées devraient être incluses dans le prochain rapport périodique de l’État partie</w:t>
            </w:r>
            <w:r w:rsidRPr="00DB292F">
              <w:rPr>
                <w:szCs w:val="24"/>
                <w:lang w:val="fr-FR"/>
              </w:rPr>
              <w:t>.</w:t>
            </w:r>
          </w:p>
        </w:tc>
      </w:tr>
      <w:tr w:rsidR="00231AA4" w:rsidRPr="00E2006A" w:rsidTr="00A40835">
        <w:tc>
          <w:tcPr>
            <w:tcW w:w="7370" w:type="dxa"/>
            <w:gridSpan w:val="2"/>
            <w:tcBorders>
              <w:bottom w:val="single" w:sz="12" w:space="0" w:color="auto"/>
            </w:tcBorders>
            <w:shd w:val="clear" w:color="auto" w:fill="auto"/>
          </w:tcPr>
          <w:p w:rsidR="00231AA4" w:rsidRPr="00DB292F" w:rsidRDefault="00231AA4" w:rsidP="00A40835">
            <w:pPr>
              <w:spacing w:before="40" w:after="120"/>
              <w:ind w:right="113"/>
              <w:rPr>
                <w:szCs w:val="24"/>
                <w:lang w:val="fr-FR"/>
              </w:rPr>
            </w:pPr>
            <w:r>
              <w:rPr>
                <w:b/>
                <w:szCs w:val="24"/>
                <w:lang w:val="fr-FR"/>
              </w:rPr>
              <w:t>Prochain rapport périodique</w:t>
            </w:r>
            <w:r w:rsidR="00A40835">
              <w:rPr>
                <w:b/>
                <w:szCs w:val="24"/>
                <w:lang w:val="fr-FR"/>
              </w:rPr>
              <w:t> :</w:t>
            </w:r>
            <w:r w:rsidRPr="00DB292F">
              <w:rPr>
                <w:b/>
                <w:szCs w:val="24"/>
                <w:lang w:val="fr-FR"/>
              </w:rPr>
              <w:t xml:space="preserve"> </w:t>
            </w:r>
            <w:r w:rsidRPr="00DB292F">
              <w:rPr>
                <w:szCs w:val="24"/>
                <w:lang w:val="fr-FR"/>
              </w:rPr>
              <w:t>24 juillet 2020</w:t>
            </w:r>
          </w:p>
        </w:tc>
      </w:tr>
    </w:tbl>
    <w:p w:rsidR="00231AA4" w:rsidRPr="00E2006A" w:rsidRDefault="00231AA4" w:rsidP="00231AA4">
      <w:pPr>
        <w:rPr>
          <w:u w:val="single"/>
          <w:lang w:val="fr-FR"/>
        </w:rPr>
      </w:pPr>
    </w:p>
    <w:tbl>
      <w:tblPr>
        <w:tblW w:w="7370" w:type="dxa"/>
        <w:tblInd w:w="1134" w:type="dxa"/>
        <w:tblLayout w:type="fixed"/>
        <w:tblCellMar>
          <w:left w:w="0" w:type="dxa"/>
          <w:right w:w="0" w:type="dxa"/>
        </w:tblCellMar>
        <w:tblLook w:val="00A0" w:firstRow="1" w:lastRow="0" w:firstColumn="1" w:lastColumn="0" w:noHBand="0" w:noVBand="0"/>
      </w:tblPr>
      <w:tblGrid>
        <w:gridCol w:w="2776"/>
        <w:gridCol w:w="4594"/>
      </w:tblGrid>
      <w:tr w:rsidR="00231AA4" w:rsidRPr="00E2006A" w:rsidTr="00A40835">
        <w:trPr>
          <w:tblHeader/>
        </w:trPr>
        <w:tc>
          <w:tcPr>
            <w:tcW w:w="7370" w:type="dxa"/>
            <w:gridSpan w:val="2"/>
            <w:tcBorders>
              <w:top w:val="single" w:sz="4" w:space="0" w:color="auto"/>
              <w:bottom w:val="single" w:sz="12" w:space="0" w:color="auto"/>
            </w:tcBorders>
            <w:shd w:val="clear" w:color="auto" w:fill="auto"/>
            <w:vAlign w:val="bottom"/>
          </w:tcPr>
          <w:p w:rsidR="00231AA4" w:rsidRPr="00F14E70" w:rsidRDefault="00231AA4" w:rsidP="00A40835">
            <w:pPr>
              <w:spacing w:before="80" w:after="80"/>
              <w:ind w:right="113"/>
              <w:rPr>
                <w:i/>
                <w:szCs w:val="24"/>
                <w:lang w:val="fr-FR"/>
              </w:rPr>
            </w:pPr>
            <w:r w:rsidRPr="00F14E70">
              <w:rPr>
                <w:i/>
                <w:szCs w:val="24"/>
                <w:lang w:val="fr-FR"/>
              </w:rPr>
              <w:t>Ouzbékistan</w:t>
            </w:r>
          </w:p>
        </w:tc>
      </w:tr>
      <w:tr w:rsidR="00231AA4" w:rsidRPr="00E2006A" w:rsidTr="00A40835">
        <w:trPr>
          <w:trHeight w:hRule="exact" w:val="113"/>
          <w:tblHeader/>
        </w:trPr>
        <w:tc>
          <w:tcPr>
            <w:tcW w:w="7370" w:type="dxa"/>
            <w:gridSpan w:val="2"/>
            <w:tcBorders>
              <w:top w:val="single" w:sz="12" w:space="0" w:color="auto"/>
            </w:tcBorders>
            <w:shd w:val="clear" w:color="auto" w:fill="auto"/>
          </w:tcPr>
          <w:p w:rsidR="00231AA4" w:rsidRPr="00F14E70" w:rsidRDefault="00231AA4" w:rsidP="00A40835">
            <w:pPr>
              <w:spacing w:before="40" w:after="120"/>
              <w:ind w:right="113"/>
              <w:rPr>
                <w:szCs w:val="24"/>
                <w:lang w:val="fr-FR"/>
              </w:rPr>
            </w:pPr>
          </w:p>
        </w:tc>
      </w:tr>
      <w:tr w:rsidR="00231AA4" w:rsidRPr="00E2006A" w:rsidTr="00A40835">
        <w:tc>
          <w:tcPr>
            <w:tcW w:w="2776" w:type="dxa"/>
            <w:shd w:val="clear" w:color="auto" w:fill="auto"/>
          </w:tcPr>
          <w:p w:rsidR="00231AA4" w:rsidRPr="00F14E70" w:rsidRDefault="00231AA4" w:rsidP="00A40835">
            <w:pPr>
              <w:spacing w:before="40" w:after="120"/>
              <w:ind w:right="113"/>
              <w:rPr>
                <w:szCs w:val="24"/>
                <w:lang w:val="fr-FR"/>
              </w:rPr>
            </w:pPr>
            <w:r>
              <w:rPr>
                <w:szCs w:val="24"/>
                <w:lang w:val="fr-FR"/>
              </w:rPr>
              <w:t>Observations finales</w:t>
            </w:r>
            <w:r w:rsidR="00A40835">
              <w:rPr>
                <w:szCs w:val="24"/>
                <w:lang w:val="fr-FR"/>
              </w:rPr>
              <w:t> :</w:t>
            </w:r>
          </w:p>
        </w:tc>
        <w:tc>
          <w:tcPr>
            <w:tcW w:w="4594" w:type="dxa"/>
            <w:shd w:val="clear" w:color="auto" w:fill="auto"/>
          </w:tcPr>
          <w:p w:rsidR="00231AA4" w:rsidRPr="00F14E70" w:rsidRDefault="00231AA4" w:rsidP="00A40835">
            <w:pPr>
              <w:spacing w:before="40" w:after="120"/>
              <w:ind w:right="113"/>
              <w:rPr>
                <w:szCs w:val="24"/>
                <w:lang w:val="fr-FR"/>
              </w:rPr>
            </w:pPr>
            <w:hyperlink r:id="rId26" w:history="1">
              <w:r w:rsidRPr="00224197">
                <w:rPr>
                  <w:rStyle w:val="Lienhypertextesuivivisit"/>
                </w:rPr>
                <w:t>CCPR/C/UZB/CO/4</w:t>
              </w:r>
            </w:hyperlink>
            <w:r w:rsidRPr="00F14E70">
              <w:rPr>
                <w:szCs w:val="24"/>
                <w:lang w:val="fr-FR" w:eastAsia="en-GB"/>
              </w:rPr>
              <w:t>,</w:t>
            </w:r>
            <w:r w:rsidR="00A40835">
              <w:rPr>
                <w:szCs w:val="24"/>
                <w:lang w:val="fr-FR" w:eastAsia="en-GB"/>
              </w:rPr>
              <w:t xml:space="preserve"> </w:t>
            </w:r>
            <w:r w:rsidRPr="00F14E70">
              <w:rPr>
                <w:szCs w:val="24"/>
                <w:lang w:val="fr-FR" w:eastAsia="en-GB"/>
              </w:rPr>
              <w:t>20</w:t>
            </w:r>
            <w:r>
              <w:rPr>
                <w:szCs w:val="24"/>
                <w:lang w:val="fr-FR" w:eastAsia="en-GB"/>
              </w:rPr>
              <w:t> </w:t>
            </w:r>
            <w:r w:rsidRPr="00F14E70">
              <w:rPr>
                <w:szCs w:val="24"/>
                <w:lang w:val="fr-FR" w:eastAsia="en-GB"/>
              </w:rPr>
              <w:t>juillet 2015</w:t>
            </w:r>
          </w:p>
        </w:tc>
      </w:tr>
      <w:tr w:rsidR="00231AA4" w:rsidRPr="00E2006A" w:rsidTr="00A40835">
        <w:tc>
          <w:tcPr>
            <w:tcW w:w="2776" w:type="dxa"/>
            <w:shd w:val="clear" w:color="auto" w:fill="auto"/>
          </w:tcPr>
          <w:p w:rsidR="00231AA4" w:rsidRPr="00F14E70" w:rsidRDefault="00231AA4" w:rsidP="00A40835">
            <w:pPr>
              <w:spacing w:before="40" w:after="120"/>
              <w:ind w:right="113"/>
              <w:rPr>
                <w:szCs w:val="24"/>
                <w:lang w:val="fr-FR"/>
              </w:rPr>
            </w:pPr>
            <w:r w:rsidRPr="00F14E70">
              <w:rPr>
                <w:szCs w:val="24"/>
                <w:lang w:val="fr-FR"/>
              </w:rPr>
              <w:t>Paragraphes faisant l</w:t>
            </w:r>
            <w:r>
              <w:rPr>
                <w:szCs w:val="24"/>
                <w:lang w:val="fr-FR"/>
              </w:rPr>
              <w:t>’</w:t>
            </w:r>
            <w:r w:rsidRPr="00F14E70">
              <w:rPr>
                <w:szCs w:val="24"/>
                <w:lang w:val="fr-FR"/>
              </w:rPr>
              <w:t>objet</w:t>
            </w:r>
            <w:r w:rsidRPr="00F14E70">
              <w:rPr>
                <w:szCs w:val="24"/>
                <w:lang w:val="fr-FR"/>
              </w:rPr>
              <w:br/>
              <w:t>d</w:t>
            </w:r>
            <w:r>
              <w:rPr>
                <w:szCs w:val="24"/>
                <w:lang w:val="fr-FR"/>
              </w:rPr>
              <w:t>’</w:t>
            </w:r>
            <w:r w:rsidRPr="00F14E70">
              <w:rPr>
                <w:szCs w:val="24"/>
                <w:lang w:val="fr-FR"/>
              </w:rPr>
              <w:t>un suivi</w:t>
            </w:r>
            <w:r w:rsidR="00A40835">
              <w:rPr>
                <w:szCs w:val="24"/>
                <w:lang w:val="fr-FR"/>
              </w:rPr>
              <w:t> :</w:t>
            </w:r>
          </w:p>
        </w:tc>
        <w:tc>
          <w:tcPr>
            <w:tcW w:w="4594" w:type="dxa"/>
            <w:shd w:val="clear" w:color="auto" w:fill="auto"/>
          </w:tcPr>
          <w:p w:rsidR="00231AA4" w:rsidRPr="00F14E70" w:rsidRDefault="00231AA4" w:rsidP="00A40835">
            <w:pPr>
              <w:spacing w:before="40" w:after="120"/>
              <w:ind w:right="113"/>
              <w:rPr>
                <w:szCs w:val="24"/>
                <w:lang w:val="fr-FR"/>
              </w:rPr>
            </w:pPr>
            <w:r w:rsidRPr="00F14E70">
              <w:rPr>
                <w:szCs w:val="24"/>
                <w:lang w:val="fr-FR"/>
              </w:rPr>
              <w:t>11, 13 et 19</w:t>
            </w:r>
          </w:p>
        </w:tc>
      </w:tr>
      <w:tr w:rsidR="00231AA4" w:rsidRPr="00E2006A" w:rsidTr="00A40835">
        <w:tc>
          <w:tcPr>
            <w:tcW w:w="2776" w:type="dxa"/>
            <w:shd w:val="clear" w:color="auto" w:fill="auto"/>
          </w:tcPr>
          <w:p w:rsidR="00231AA4" w:rsidRPr="00F14E70" w:rsidRDefault="00231AA4" w:rsidP="00A40835">
            <w:pPr>
              <w:spacing w:before="40" w:after="120"/>
              <w:ind w:right="113"/>
              <w:rPr>
                <w:szCs w:val="24"/>
                <w:lang w:val="fr-FR"/>
              </w:rPr>
            </w:pPr>
            <w:r w:rsidRPr="00F14E70">
              <w:rPr>
                <w:szCs w:val="24"/>
                <w:lang w:val="fr-FR"/>
              </w:rPr>
              <w:t>Première réponse</w:t>
            </w:r>
            <w:r w:rsidR="00A40835">
              <w:rPr>
                <w:szCs w:val="24"/>
                <w:lang w:val="fr-FR"/>
              </w:rPr>
              <w:t> :</w:t>
            </w:r>
          </w:p>
        </w:tc>
        <w:tc>
          <w:tcPr>
            <w:tcW w:w="4594" w:type="dxa"/>
            <w:shd w:val="clear" w:color="auto" w:fill="auto"/>
          </w:tcPr>
          <w:p w:rsidR="00231AA4" w:rsidRPr="00F14E70" w:rsidRDefault="00231AA4" w:rsidP="00A40835">
            <w:pPr>
              <w:spacing w:before="40" w:after="120"/>
              <w:ind w:right="113"/>
              <w:rPr>
                <w:szCs w:val="24"/>
                <w:lang w:val="fr-FR"/>
              </w:rPr>
            </w:pPr>
            <w:hyperlink r:id="rId27" w:history="1">
              <w:r w:rsidRPr="00224197">
                <w:rPr>
                  <w:rStyle w:val="Lienhypertextesuivivisit"/>
                </w:rPr>
                <w:t>CCPR/C/UZB/C</w:t>
              </w:r>
              <w:r w:rsidRPr="00224197">
                <w:rPr>
                  <w:rStyle w:val="Lienhypertextesuivivisit"/>
                </w:rPr>
                <w:t>O</w:t>
              </w:r>
              <w:r w:rsidRPr="00224197">
                <w:rPr>
                  <w:rStyle w:val="Lienhypertextesuivivisit"/>
                </w:rPr>
                <w:t>/4/Add.2</w:t>
              </w:r>
            </w:hyperlink>
            <w:r>
              <w:rPr>
                <w:szCs w:val="24"/>
                <w:lang w:val="fr-FR"/>
              </w:rPr>
              <w:t>, 7 </w:t>
            </w:r>
            <w:r w:rsidRPr="00F14E70">
              <w:rPr>
                <w:szCs w:val="24"/>
                <w:lang w:val="fr-FR"/>
              </w:rPr>
              <w:t>septembre 2016</w:t>
            </w:r>
          </w:p>
        </w:tc>
      </w:tr>
      <w:tr w:rsidR="00231AA4" w:rsidRPr="00E2006A" w:rsidTr="00A40835">
        <w:tc>
          <w:tcPr>
            <w:tcW w:w="2776" w:type="dxa"/>
            <w:shd w:val="clear" w:color="auto" w:fill="auto"/>
          </w:tcPr>
          <w:p w:rsidR="00231AA4" w:rsidRPr="00F14E70" w:rsidRDefault="00231AA4" w:rsidP="00A40835">
            <w:pPr>
              <w:spacing w:before="40" w:after="120"/>
              <w:ind w:right="113"/>
              <w:rPr>
                <w:szCs w:val="24"/>
                <w:lang w:val="fr-FR"/>
              </w:rPr>
            </w:pPr>
            <w:r>
              <w:rPr>
                <w:szCs w:val="24"/>
                <w:lang w:val="fr-FR"/>
              </w:rPr>
              <w:t>Évaluation du Comité</w:t>
            </w:r>
            <w:r w:rsidR="00A40835">
              <w:rPr>
                <w:szCs w:val="24"/>
                <w:lang w:val="fr-FR"/>
              </w:rPr>
              <w:t> :</w:t>
            </w:r>
          </w:p>
        </w:tc>
        <w:tc>
          <w:tcPr>
            <w:tcW w:w="4594" w:type="dxa"/>
            <w:shd w:val="clear" w:color="auto" w:fill="auto"/>
          </w:tcPr>
          <w:p w:rsidR="00231AA4" w:rsidRPr="00F14E70" w:rsidRDefault="00231AA4" w:rsidP="00A40835">
            <w:pPr>
              <w:spacing w:before="40" w:after="120"/>
              <w:ind w:right="113"/>
              <w:rPr>
                <w:b/>
                <w:szCs w:val="24"/>
                <w:lang w:val="fr-FR"/>
              </w:rPr>
            </w:pPr>
            <w:r w:rsidRPr="00F14E70">
              <w:rPr>
                <w:szCs w:val="24"/>
                <w:lang w:val="fr-FR"/>
              </w:rPr>
              <w:t>Des renseignements supplémentaires sont nécessaires sur les paragraphes 11</w:t>
            </w:r>
            <w:r w:rsidRPr="00F14E70">
              <w:rPr>
                <w:b/>
                <w:szCs w:val="24"/>
                <w:lang w:val="fr-FR"/>
              </w:rPr>
              <w:t>[B][C]</w:t>
            </w:r>
            <w:r w:rsidRPr="00F14E70">
              <w:rPr>
                <w:szCs w:val="24"/>
                <w:lang w:val="fr-FR"/>
              </w:rPr>
              <w:t>, 13</w:t>
            </w:r>
            <w:r w:rsidRPr="00F14E70">
              <w:rPr>
                <w:b/>
                <w:szCs w:val="24"/>
                <w:lang w:val="fr-FR"/>
              </w:rPr>
              <w:t>[E][E]</w:t>
            </w:r>
            <w:r w:rsidRPr="00F14E70">
              <w:rPr>
                <w:szCs w:val="24"/>
                <w:lang w:val="fr-FR"/>
              </w:rPr>
              <w:t xml:space="preserve"> et 19</w:t>
            </w:r>
            <w:r w:rsidRPr="00F14E70">
              <w:rPr>
                <w:b/>
                <w:szCs w:val="24"/>
                <w:lang w:val="fr-FR"/>
              </w:rPr>
              <w:t>[B][C]</w:t>
            </w:r>
          </w:p>
        </w:tc>
      </w:tr>
      <w:tr w:rsidR="00231AA4" w:rsidRPr="00E2006A" w:rsidTr="00A40835">
        <w:tc>
          <w:tcPr>
            <w:tcW w:w="7370" w:type="dxa"/>
            <w:gridSpan w:val="2"/>
            <w:shd w:val="clear" w:color="auto" w:fill="auto"/>
          </w:tcPr>
          <w:p w:rsidR="00231AA4" w:rsidRPr="00F14E70" w:rsidRDefault="00231AA4" w:rsidP="00280331">
            <w:pPr>
              <w:keepNext/>
              <w:spacing w:before="40" w:after="120"/>
              <w:ind w:right="113"/>
              <w:rPr>
                <w:b/>
                <w:szCs w:val="24"/>
                <w:lang w:val="fr-FR"/>
              </w:rPr>
            </w:pPr>
            <w:r>
              <w:rPr>
                <w:b/>
                <w:szCs w:val="24"/>
                <w:lang w:val="fr-FR"/>
              </w:rPr>
              <w:t>Paragraphe 11</w:t>
            </w:r>
            <w:r w:rsidR="00A40835">
              <w:rPr>
                <w:b/>
                <w:szCs w:val="24"/>
                <w:lang w:val="fr-FR"/>
              </w:rPr>
              <w:t> :</w:t>
            </w:r>
            <w:r w:rsidRPr="00F14E70">
              <w:rPr>
                <w:b/>
                <w:szCs w:val="24"/>
                <w:lang w:val="fr-FR"/>
              </w:rPr>
              <w:t xml:space="preserve"> État d</w:t>
            </w:r>
            <w:r>
              <w:rPr>
                <w:b/>
                <w:szCs w:val="24"/>
                <w:lang w:val="fr-FR"/>
              </w:rPr>
              <w:t>’</w:t>
            </w:r>
            <w:r w:rsidRPr="00F14E70">
              <w:rPr>
                <w:b/>
                <w:szCs w:val="24"/>
                <w:lang w:val="fr-FR"/>
              </w:rPr>
              <w:t xml:space="preserve">urgence et lutte contre le terrorisme </w:t>
            </w:r>
          </w:p>
        </w:tc>
      </w:tr>
      <w:tr w:rsidR="00231AA4" w:rsidRPr="00E2006A" w:rsidTr="00A40835">
        <w:tc>
          <w:tcPr>
            <w:tcW w:w="7370" w:type="dxa"/>
            <w:gridSpan w:val="2"/>
            <w:shd w:val="clear" w:color="auto" w:fill="auto"/>
          </w:tcPr>
          <w:p w:rsidR="00231AA4" w:rsidRPr="00F14E70" w:rsidRDefault="00231AA4" w:rsidP="00855BF0">
            <w:pPr>
              <w:spacing w:before="40" w:after="120"/>
              <w:ind w:right="113"/>
              <w:jc w:val="both"/>
              <w:rPr>
                <w:b/>
                <w:szCs w:val="24"/>
                <w:lang w:val="fr-FR" w:eastAsia="fr-FR"/>
              </w:rPr>
            </w:pPr>
            <w:r w:rsidRPr="00F14E70">
              <w:rPr>
                <w:b/>
                <w:szCs w:val="24"/>
                <w:lang w:val="fr-FR" w:eastAsia="fr-FR"/>
              </w:rPr>
              <w:t>L</w:t>
            </w:r>
            <w:r>
              <w:rPr>
                <w:b/>
                <w:szCs w:val="24"/>
                <w:lang w:val="fr-FR" w:eastAsia="fr-FR"/>
              </w:rPr>
              <w:t>’</w:t>
            </w:r>
            <w:r w:rsidRPr="00F14E70">
              <w:rPr>
                <w:b/>
                <w:szCs w:val="24"/>
                <w:lang w:val="fr-FR" w:eastAsia="fr-FR"/>
              </w:rPr>
              <w:t>État partie devrait accélérer le processus d</w:t>
            </w:r>
            <w:r>
              <w:rPr>
                <w:b/>
                <w:szCs w:val="24"/>
                <w:lang w:val="fr-FR" w:eastAsia="fr-FR"/>
              </w:rPr>
              <w:t>’</w:t>
            </w:r>
            <w:r w:rsidRPr="00F14E70">
              <w:rPr>
                <w:b/>
                <w:szCs w:val="24"/>
                <w:lang w:val="fr-FR" w:eastAsia="fr-FR"/>
              </w:rPr>
              <w:t>adoption d</w:t>
            </w:r>
            <w:r>
              <w:rPr>
                <w:b/>
                <w:szCs w:val="24"/>
                <w:lang w:val="fr-FR" w:eastAsia="fr-FR"/>
              </w:rPr>
              <w:t>’</w:t>
            </w:r>
            <w:r w:rsidRPr="00F14E70">
              <w:rPr>
                <w:b/>
                <w:szCs w:val="24"/>
                <w:lang w:val="fr-FR" w:eastAsia="fr-FR"/>
              </w:rPr>
              <w:t>une loi régissant l</w:t>
            </w:r>
            <w:r>
              <w:rPr>
                <w:b/>
                <w:szCs w:val="24"/>
                <w:lang w:val="fr-FR" w:eastAsia="fr-FR"/>
              </w:rPr>
              <w:t>’</w:t>
            </w:r>
            <w:r w:rsidRPr="00F14E70">
              <w:rPr>
                <w:b/>
                <w:szCs w:val="24"/>
                <w:lang w:val="fr-FR" w:eastAsia="fr-FR"/>
              </w:rPr>
              <w:t>état d</w:t>
            </w:r>
            <w:r>
              <w:rPr>
                <w:b/>
                <w:szCs w:val="24"/>
                <w:lang w:val="fr-FR" w:eastAsia="fr-FR"/>
              </w:rPr>
              <w:t>’</w:t>
            </w:r>
            <w:r w:rsidRPr="00F14E70">
              <w:rPr>
                <w:b/>
                <w:szCs w:val="24"/>
                <w:lang w:val="fr-FR" w:eastAsia="fr-FR"/>
              </w:rPr>
              <w:t>urgence et garantir la pleine conformité de cette loi avec les prescriptions de l</w:t>
            </w:r>
            <w:r>
              <w:rPr>
                <w:b/>
                <w:szCs w:val="24"/>
                <w:lang w:val="fr-FR" w:eastAsia="fr-FR"/>
              </w:rPr>
              <w:t>’</w:t>
            </w:r>
            <w:r w:rsidRPr="00F14E70">
              <w:rPr>
                <w:b/>
                <w:szCs w:val="24"/>
                <w:lang w:val="fr-FR" w:eastAsia="fr-FR"/>
              </w:rPr>
              <w:t>article</w:t>
            </w:r>
            <w:r w:rsidR="00855BF0">
              <w:rPr>
                <w:b/>
                <w:szCs w:val="24"/>
                <w:lang w:val="fr-FR" w:eastAsia="fr-FR"/>
              </w:rPr>
              <w:t> </w:t>
            </w:r>
            <w:r w:rsidRPr="00F14E70">
              <w:rPr>
                <w:b/>
                <w:szCs w:val="24"/>
                <w:lang w:val="fr-FR" w:eastAsia="fr-FR"/>
              </w:rPr>
              <w:t>4 du Pacte telles qu</w:t>
            </w:r>
            <w:r>
              <w:rPr>
                <w:b/>
                <w:szCs w:val="24"/>
                <w:lang w:val="fr-FR" w:eastAsia="fr-FR"/>
              </w:rPr>
              <w:t>’</w:t>
            </w:r>
            <w:r w:rsidRPr="00F14E70">
              <w:rPr>
                <w:b/>
                <w:szCs w:val="24"/>
                <w:lang w:val="fr-FR" w:eastAsia="fr-FR"/>
              </w:rPr>
              <w:t>elles sont interprétées dans l</w:t>
            </w:r>
            <w:r>
              <w:rPr>
                <w:b/>
                <w:szCs w:val="24"/>
                <w:lang w:val="fr-FR" w:eastAsia="fr-FR"/>
              </w:rPr>
              <w:t>’</w:t>
            </w:r>
            <w:r w:rsidRPr="00F14E70">
              <w:rPr>
                <w:b/>
                <w:szCs w:val="24"/>
                <w:lang w:val="fr-FR" w:eastAsia="fr-FR"/>
              </w:rPr>
              <w:t xml:space="preserve">observation générale </w:t>
            </w:r>
            <w:r w:rsidRPr="00F14E70">
              <w:rPr>
                <w:rFonts w:eastAsia="MS Mincho"/>
                <w:b/>
                <w:szCs w:val="24"/>
                <w:lang w:val="fr-FR" w:eastAsia="fr-FR"/>
              </w:rPr>
              <w:t>n</w:t>
            </w:r>
            <w:r w:rsidRPr="00F14E70">
              <w:rPr>
                <w:rFonts w:eastAsia="MS Mincho"/>
                <w:b/>
                <w:szCs w:val="24"/>
                <w:vertAlign w:val="superscript"/>
                <w:lang w:val="fr-FR" w:eastAsia="fr-FR"/>
              </w:rPr>
              <w:t>o</w:t>
            </w:r>
            <w:r w:rsidRPr="00F14E70">
              <w:rPr>
                <w:b/>
                <w:szCs w:val="24"/>
                <w:lang w:val="fr-FR" w:eastAsia="fr-FR"/>
              </w:rPr>
              <w:t> 29 du Comité</w:t>
            </w:r>
            <w:r w:rsidRPr="00F14E70">
              <w:rPr>
                <w:b/>
                <w:szCs w:val="24"/>
                <w:lang w:val="fr-FR"/>
              </w:rPr>
              <w:t>. L</w:t>
            </w:r>
            <w:r>
              <w:rPr>
                <w:b/>
                <w:szCs w:val="24"/>
                <w:lang w:val="fr-FR" w:eastAsia="fr-FR"/>
              </w:rPr>
              <w:t>’</w:t>
            </w:r>
            <w:r w:rsidRPr="00F14E70">
              <w:rPr>
                <w:b/>
                <w:szCs w:val="24"/>
                <w:lang w:val="fr-FR" w:eastAsia="fr-FR"/>
              </w:rPr>
              <w:t>État partie devrait prendre toutes les mesures voulues pour garantir que sa législation et ses pratiques en matière de lutte contre le terrorisme sont pleinement conformes à ses obligations d</w:t>
            </w:r>
            <w:r>
              <w:rPr>
                <w:b/>
                <w:szCs w:val="24"/>
                <w:lang w:val="fr-FR" w:eastAsia="fr-FR"/>
              </w:rPr>
              <w:t>écoulant du Pacte, notamment en</w:t>
            </w:r>
            <w:r w:rsidR="00A40835">
              <w:rPr>
                <w:b/>
                <w:szCs w:val="24"/>
                <w:lang w:val="fr-FR" w:eastAsia="fr-FR"/>
              </w:rPr>
              <w:t> :</w:t>
            </w:r>
          </w:p>
        </w:tc>
      </w:tr>
      <w:tr w:rsidR="00231AA4" w:rsidRPr="00E2006A" w:rsidTr="00A40835">
        <w:tc>
          <w:tcPr>
            <w:tcW w:w="7370" w:type="dxa"/>
            <w:gridSpan w:val="2"/>
            <w:shd w:val="clear" w:color="auto" w:fill="auto"/>
          </w:tcPr>
          <w:p w:rsidR="00231AA4" w:rsidRPr="00F14E70" w:rsidRDefault="00231AA4" w:rsidP="00280331">
            <w:pPr>
              <w:spacing w:before="40" w:after="120"/>
              <w:ind w:right="113" w:firstLine="567"/>
              <w:jc w:val="both"/>
              <w:rPr>
                <w:b/>
                <w:szCs w:val="24"/>
                <w:lang w:val="fr-FR"/>
              </w:rPr>
            </w:pPr>
            <w:r w:rsidRPr="00F14E70">
              <w:rPr>
                <w:b/>
                <w:szCs w:val="24"/>
                <w:lang w:val="fr-FR"/>
              </w:rPr>
              <w:t>a)</w:t>
            </w:r>
            <w:r w:rsidRPr="00F14E70">
              <w:rPr>
                <w:b/>
                <w:szCs w:val="24"/>
                <w:lang w:val="fr-FR"/>
              </w:rPr>
              <w:tab/>
            </w:r>
            <w:r w:rsidRPr="00F14E70">
              <w:rPr>
                <w:b/>
                <w:szCs w:val="24"/>
                <w:lang w:val="fr-FR" w:eastAsia="fr-FR"/>
              </w:rPr>
              <w:t>Modifiant sa définition trop vaste du terrorisme et des activités terroristes</w:t>
            </w:r>
            <w:r w:rsidR="00A40835">
              <w:rPr>
                <w:b/>
                <w:szCs w:val="24"/>
                <w:lang w:val="fr-FR"/>
              </w:rPr>
              <w:t> ;</w:t>
            </w:r>
          </w:p>
        </w:tc>
      </w:tr>
      <w:tr w:rsidR="00231AA4" w:rsidRPr="00E2006A" w:rsidTr="00A40835">
        <w:tc>
          <w:tcPr>
            <w:tcW w:w="7370" w:type="dxa"/>
            <w:gridSpan w:val="2"/>
            <w:shd w:val="clear" w:color="auto" w:fill="auto"/>
          </w:tcPr>
          <w:p w:rsidR="00231AA4" w:rsidRPr="00F14E70" w:rsidRDefault="00231AA4" w:rsidP="00280331">
            <w:pPr>
              <w:spacing w:before="40" w:after="120"/>
              <w:ind w:right="113" w:firstLine="567"/>
              <w:jc w:val="both"/>
              <w:rPr>
                <w:b/>
                <w:szCs w:val="24"/>
                <w:lang w:val="fr-FR"/>
              </w:rPr>
            </w:pPr>
            <w:r w:rsidRPr="00F14E70">
              <w:rPr>
                <w:b/>
                <w:szCs w:val="24"/>
                <w:lang w:val="fr-FR"/>
              </w:rPr>
              <w:t>b)</w:t>
            </w:r>
            <w:r w:rsidRPr="00F14E70">
              <w:rPr>
                <w:b/>
                <w:szCs w:val="24"/>
                <w:lang w:val="fr-FR"/>
              </w:rPr>
              <w:tab/>
            </w:r>
            <w:r w:rsidRPr="00F14E70">
              <w:rPr>
                <w:b/>
                <w:szCs w:val="24"/>
                <w:lang w:val="fr-FR" w:eastAsia="fr-FR"/>
              </w:rPr>
              <w:t>Garantissant que les personnes soupçonnées ou inculpées de terrorisme ou d</w:t>
            </w:r>
            <w:r>
              <w:rPr>
                <w:b/>
                <w:szCs w:val="24"/>
                <w:lang w:val="fr-FR" w:eastAsia="fr-FR"/>
              </w:rPr>
              <w:t>’</w:t>
            </w:r>
            <w:r w:rsidRPr="00F14E70">
              <w:rPr>
                <w:b/>
                <w:szCs w:val="24"/>
                <w:lang w:val="fr-FR" w:eastAsia="fr-FR"/>
              </w:rPr>
              <w:t>une infraction connexe bénéficient, dans la pratique, de toutes les garanties juridiques</w:t>
            </w:r>
            <w:r>
              <w:rPr>
                <w:b/>
                <w:szCs w:val="24"/>
                <w:lang w:val="fr-FR" w:eastAsia="fr-FR"/>
              </w:rPr>
              <w:t>,</w:t>
            </w:r>
            <w:r w:rsidRPr="00F14E70">
              <w:rPr>
                <w:b/>
                <w:szCs w:val="24"/>
                <w:lang w:val="fr-FR" w:eastAsia="fr-FR"/>
              </w:rPr>
              <w:t xml:space="preserve"> et que toute restriction de leurs droits n</w:t>
            </w:r>
            <w:r>
              <w:rPr>
                <w:b/>
                <w:szCs w:val="24"/>
                <w:lang w:val="fr-FR" w:eastAsia="fr-FR"/>
              </w:rPr>
              <w:t>’</w:t>
            </w:r>
            <w:r w:rsidRPr="00F14E70">
              <w:rPr>
                <w:b/>
                <w:szCs w:val="24"/>
                <w:lang w:val="fr-FR" w:eastAsia="fr-FR"/>
              </w:rPr>
              <w:t>est pas arbitraire, qu</w:t>
            </w:r>
            <w:r>
              <w:rPr>
                <w:b/>
                <w:szCs w:val="24"/>
                <w:lang w:val="fr-FR" w:eastAsia="fr-FR"/>
              </w:rPr>
              <w:t>’</w:t>
            </w:r>
            <w:r w:rsidRPr="00F14E70">
              <w:rPr>
                <w:b/>
                <w:szCs w:val="24"/>
                <w:lang w:val="fr-FR" w:eastAsia="fr-FR"/>
              </w:rPr>
              <w:t>elle est légale, nécessaire et proportionnée, et qu</w:t>
            </w:r>
            <w:r>
              <w:rPr>
                <w:b/>
                <w:szCs w:val="24"/>
                <w:lang w:val="fr-FR" w:eastAsia="fr-FR"/>
              </w:rPr>
              <w:t>’</w:t>
            </w:r>
            <w:r w:rsidRPr="00F14E70">
              <w:rPr>
                <w:b/>
                <w:szCs w:val="24"/>
                <w:lang w:val="fr-FR" w:eastAsia="fr-FR"/>
              </w:rPr>
              <w:t>elle fait l</w:t>
            </w:r>
            <w:r>
              <w:rPr>
                <w:b/>
                <w:szCs w:val="24"/>
                <w:lang w:val="fr-FR" w:eastAsia="fr-FR"/>
              </w:rPr>
              <w:t>’</w:t>
            </w:r>
            <w:r w:rsidRPr="00F14E70">
              <w:rPr>
                <w:b/>
                <w:szCs w:val="24"/>
                <w:lang w:val="fr-FR" w:eastAsia="fr-FR"/>
              </w:rPr>
              <w:t>objet d</w:t>
            </w:r>
            <w:r>
              <w:rPr>
                <w:b/>
                <w:szCs w:val="24"/>
                <w:lang w:val="fr-FR" w:eastAsia="fr-FR"/>
              </w:rPr>
              <w:t>’</w:t>
            </w:r>
            <w:r w:rsidRPr="00F14E70">
              <w:rPr>
                <w:b/>
                <w:szCs w:val="24"/>
                <w:lang w:val="fr-FR" w:eastAsia="fr-FR"/>
              </w:rPr>
              <w:t>une surveillance effective par les autorités judiciaires</w:t>
            </w:r>
            <w:r w:rsidRPr="00F14E70">
              <w:rPr>
                <w:b/>
                <w:szCs w:val="24"/>
                <w:lang w:val="fr-FR"/>
              </w:rPr>
              <w:t>.</w:t>
            </w:r>
          </w:p>
        </w:tc>
      </w:tr>
      <w:tr w:rsidR="00231AA4" w:rsidRPr="00E2006A" w:rsidTr="00A40835">
        <w:tc>
          <w:tcPr>
            <w:tcW w:w="7370" w:type="dxa"/>
            <w:gridSpan w:val="2"/>
            <w:shd w:val="clear" w:color="auto" w:fill="auto"/>
          </w:tcPr>
          <w:p w:rsidR="00231AA4" w:rsidRPr="00F14E70" w:rsidRDefault="00231AA4" w:rsidP="00280331">
            <w:pPr>
              <w:keepNext/>
              <w:spacing w:before="40" w:after="120"/>
              <w:ind w:right="113"/>
              <w:rPr>
                <w:b/>
                <w:szCs w:val="24"/>
                <w:lang w:val="fr-FR"/>
              </w:rPr>
            </w:pPr>
            <w:r w:rsidRPr="00F14E70">
              <w:rPr>
                <w:b/>
                <w:szCs w:val="24"/>
                <w:lang w:val="fr-FR"/>
              </w:rPr>
              <w:t>Résumé de la réponse de l</w:t>
            </w:r>
            <w:r>
              <w:rPr>
                <w:b/>
                <w:szCs w:val="24"/>
                <w:lang w:val="fr-FR"/>
              </w:rPr>
              <w:t>’</w:t>
            </w:r>
            <w:r w:rsidRPr="00F14E70">
              <w:rPr>
                <w:b/>
                <w:szCs w:val="24"/>
                <w:lang w:val="fr-FR"/>
              </w:rPr>
              <w:t xml:space="preserve">État partie </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szCs w:val="24"/>
                <w:lang w:val="fr-FR"/>
              </w:rPr>
            </w:pPr>
            <w:r w:rsidRPr="00F14E70">
              <w:rPr>
                <w:szCs w:val="24"/>
                <w:lang w:val="fr-FR"/>
              </w:rPr>
              <w:t>L</w:t>
            </w:r>
            <w:r>
              <w:rPr>
                <w:szCs w:val="24"/>
                <w:lang w:val="fr-FR"/>
              </w:rPr>
              <w:t>’</w:t>
            </w:r>
            <w:r w:rsidRPr="00F14E70">
              <w:rPr>
                <w:szCs w:val="24"/>
                <w:lang w:val="fr-FR"/>
              </w:rPr>
              <w:t>État partie donne des précisions sur les mesures prises pour adopter une loi régissant l</w:t>
            </w:r>
            <w:r>
              <w:rPr>
                <w:szCs w:val="24"/>
                <w:lang w:val="fr-FR"/>
              </w:rPr>
              <w:t>’</w:t>
            </w:r>
            <w:r w:rsidRPr="00F14E70">
              <w:rPr>
                <w:szCs w:val="24"/>
                <w:lang w:val="fr-FR"/>
              </w:rPr>
              <w:t>état d</w:t>
            </w:r>
            <w:r>
              <w:rPr>
                <w:szCs w:val="24"/>
                <w:lang w:val="fr-FR"/>
              </w:rPr>
              <w:t>’</w:t>
            </w:r>
            <w:r w:rsidRPr="00F14E70">
              <w:rPr>
                <w:szCs w:val="24"/>
                <w:lang w:val="fr-FR"/>
              </w:rPr>
              <w:t xml:space="preserve">urgence et </w:t>
            </w:r>
            <w:r>
              <w:rPr>
                <w:szCs w:val="24"/>
                <w:lang w:val="fr-FR"/>
              </w:rPr>
              <w:t>informe le Comité</w:t>
            </w:r>
            <w:r w:rsidRPr="00F14E70">
              <w:rPr>
                <w:szCs w:val="24"/>
                <w:lang w:val="fr-FR"/>
              </w:rPr>
              <w:t xml:space="preserve"> qu</w:t>
            </w:r>
            <w:r>
              <w:rPr>
                <w:szCs w:val="24"/>
                <w:lang w:val="fr-FR"/>
              </w:rPr>
              <w:t>’</w:t>
            </w:r>
            <w:r w:rsidRPr="00F14E70">
              <w:rPr>
                <w:szCs w:val="24"/>
                <w:lang w:val="fr-FR"/>
              </w:rPr>
              <w:t xml:space="preserve">un projet de loi est en cours de préparation </w:t>
            </w:r>
            <w:r>
              <w:rPr>
                <w:szCs w:val="24"/>
                <w:lang w:val="fr-FR"/>
              </w:rPr>
              <w:t>pour</w:t>
            </w:r>
            <w:r w:rsidRPr="00F14E70">
              <w:rPr>
                <w:szCs w:val="24"/>
                <w:lang w:val="fr-FR"/>
              </w:rPr>
              <w:t xml:space="preserve"> être soumis au Ministère de la justice.</w:t>
            </w:r>
            <w:r w:rsidRPr="00F14E70" w:rsidDel="000B1D75">
              <w:rPr>
                <w:szCs w:val="24"/>
                <w:vertAlign w:val="superscript"/>
                <w:lang w:val="fr-FR"/>
              </w:rPr>
              <w:t xml:space="preserve"> </w:t>
            </w:r>
          </w:p>
        </w:tc>
      </w:tr>
      <w:tr w:rsidR="00231AA4" w:rsidRPr="00E2006A" w:rsidTr="00A40835">
        <w:tc>
          <w:tcPr>
            <w:tcW w:w="7370" w:type="dxa"/>
            <w:gridSpan w:val="2"/>
            <w:shd w:val="clear" w:color="auto" w:fill="auto"/>
          </w:tcPr>
          <w:p w:rsidR="00231AA4" w:rsidRPr="00F14E70" w:rsidRDefault="00231AA4" w:rsidP="00855BF0">
            <w:pPr>
              <w:spacing w:before="40" w:after="120"/>
              <w:ind w:right="113"/>
              <w:jc w:val="both"/>
              <w:rPr>
                <w:szCs w:val="24"/>
                <w:lang w:val="fr-FR"/>
              </w:rPr>
            </w:pPr>
            <w:r w:rsidRPr="00F14E70">
              <w:rPr>
                <w:szCs w:val="24"/>
                <w:lang w:val="fr-FR"/>
              </w:rPr>
              <w:t>Le cadre juridique de la lutte contre le terrorisme, notamment la loi antiterroriste du 15 décem</w:t>
            </w:r>
            <w:r>
              <w:rPr>
                <w:szCs w:val="24"/>
                <w:lang w:val="fr-FR"/>
              </w:rPr>
              <w:t>bre 2000 et le Code pénal du 22 </w:t>
            </w:r>
            <w:r w:rsidRPr="00F14E70">
              <w:rPr>
                <w:szCs w:val="24"/>
                <w:lang w:val="fr-FR"/>
              </w:rPr>
              <w:t>septembre 1994, est pleinement opérationnel et en constante évolution. Le terrorisme est clairement défini à l</w:t>
            </w:r>
            <w:r>
              <w:rPr>
                <w:szCs w:val="24"/>
                <w:lang w:val="fr-FR"/>
              </w:rPr>
              <w:t>’</w:t>
            </w:r>
            <w:r w:rsidRPr="00F14E70">
              <w:rPr>
                <w:szCs w:val="24"/>
                <w:lang w:val="fr-FR"/>
              </w:rPr>
              <w:t>art</w:t>
            </w:r>
            <w:r>
              <w:rPr>
                <w:szCs w:val="24"/>
                <w:lang w:val="fr-FR"/>
              </w:rPr>
              <w:t>icle</w:t>
            </w:r>
            <w:r w:rsidR="00280331">
              <w:rPr>
                <w:szCs w:val="24"/>
                <w:lang w:val="fr-FR"/>
              </w:rPr>
              <w:t> </w:t>
            </w:r>
            <w:r>
              <w:rPr>
                <w:szCs w:val="24"/>
                <w:lang w:val="fr-FR"/>
              </w:rPr>
              <w:t xml:space="preserve">2 de la loi antiterroriste, </w:t>
            </w:r>
            <w:r w:rsidRPr="00F14E70">
              <w:rPr>
                <w:szCs w:val="24"/>
                <w:lang w:val="fr-FR"/>
              </w:rPr>
              <w:t>et les peines encourue</w:t>
            </w:r>
            <w:r>
              <w:rPr>
                <w:szCs w:val="24"/>
                <w:lang w:val="fr-FR"/>
              </w:rPr>
              <w:t>s</w:t>
            </w:r>
            <w:r w:rsidRPr="00F14E70">
              <w:rPr>
                <w:szCs w:val="24"/>
                <w:lang w:val="fr-FR"/>
              </w:rPr>
              <w:t xml:space="preserve"> pour actes terror</w:t>
            </w:r>
            <w:r>
              <w:rPr>
                <w:szCs w:val="24"/>
                <w:lang w:val="fr-FR"/>
              </w:rPr>
              <w:t>istes sont énoncées à l’article </w:t>
            </w:r>
            <w:r w:rsidRPr="00F14E70">
              <w:rPr>
                <w:szCs w:val="24"/>
                <w:lang w:val="fr-FR"/>
              </w:rPr>
              <w:t>155 du Code pénal. L</w:t>
            </w:r>
            <w:r>
              <w:rPr>
                <w:szCs w:val="24"/>
                <w:lang w:val="fr-FR"/>
              </w:rPr>
              <w:t>’</w:t>
            </w:r>
            <w:r w:rsidRPr="00F14E70">
              <w:rPr>
                <w:szCs w:val="24"/>
                <w:lang w:val="fr-FR"/>
              </w:rPr>
              <w:t>État partie renvoie de nouveau à l</w:t>
            </w:r>
            <w:r>
              <w:rPr>
                <w:szCs w:val="24"/>
                <w:lang w:val="fr-FR"/>
              </w:rPr>
              <w:t>’</w:t>
            </w:r>
            <w:r w:rsidRPr="00F14E70">
              <w:rPr>
                <w:szCs w:val="24"/>
                <w:lang w:val="fr-FR"/>
              </w:rPr>
              <w:t>article</w:t>
            </w:r>
            <w:r w:rsidR="00280331">
              <w:rPr>
                <w:szCs w:val="24"/>
                <w:lang w:val="fr-FR"/>
              </w:rPr>
              <w:t> </w:t>
            </w:r>
            <w:r w:rsidRPr="00F14E70">
              <w:rPr>
                <w:szCs w:val="24"/>
                <w:lang w:val="fr-FR"/>
              </w:rPr>
              <w:t xml:space="preserve">155 du Code pénal (voir </w:t>
            </w:r>
            <w:hyperlink r:id="rId28" w:history="1">
              <w:r w:rsidRPr="00280331">
                <w:rPr>
                  <w:rStyle w:val="Lienhypertextesuivivisit"/>
                </w:rPr>
                <w:t>CCPR</w:t>
              </w:r>
              <w:r w:rsidRPr="00280331">
                <w:rPr>
                  <w:rStyle w:val="Lienhypertextesuivivisit"/>
                </w:rPr>
                <w:t>/</w:t>
              </w:r>
              <w:r w:rsidRPr="00280331">
                <w:rPr>
                  <w:rStyle w:val="Lienhypertextesuivivisit"/>
                </w:rPr>
                <w:t>C/UZB/4</w:t>
              </w:r>
            </w:hyperlink>
            <w:r w:rsidRPr="00F14E70">
              <w:rPr>
                <w:szCs w:val="24"/>
                <w:lang w:val="fr-FR"/>
              </w:rPr>
              <w:t>, par.</w:t>
            </w:r>
            <w:r w:rsidR="00855BF0">
              <w:rPr>
                <w:szCs w:val="24"/>
                <w:lang w:val="fr-FR"/>
              </w:rPr>
              <w:t> </w:t>
            </w:r>
            <w:r w:rsidRPr="00F14E70">
              <w:rPr>
                <w:szCs w:val="24"/>
                <w:lang w:val="fr-FR"/>
              </w:rPr>
              <w:t xml:space="preserve">705 à 707) et aux droits découlant du Pacte qui sont garantis aux personnes qui ont commis des actes terroristes (voir </w:t>
            </w:r>
            <w:hyperlink r:id="rId29" w:history="1">
              <w:r w:rsidRPr="00280331">
                <w:rPr>
                  <w:rStyle w:val="Lienhypertextesuivivisit"/>
                </w:rPr>
                <w:t>CCPR/C/UZB/Q/4/Add.1</w:t>
              </w:r>
            </w:hyperlink>
            <w:r w:rsidRPr="00F14E70">
              <w:rPr>
                <w:szCs w:val="24"/>
                <w:lang w:val="fr-FR"/>
              </w:rPr>
              <w:t>, par.</w:t>
            </w:r>
            <w:r w:rsidR="00280331">
              <w:rPr>
                <w:szCs w:val="24"/>
                <w:lang w:val="fr-FR"/>
              </w:rPr>
              <w:t> </w:t>
            </w:r>
            <w:r w:rsidRPr="00F14E70">
              <w:rPr>
                <w:szCs w:val="24"/>
                <w:lang w:val="fr-FR"/>
              </w:rPr>
              <w:t>55 et 56).</w:t>
            </w:r>
          </w:p>
        </w:tc>
      </w:tr>
      <w:tr w:rsidR="00231AA4" w:rsidRPr="00E2006A" w:rsidTr="00A40835">
        <w:tc>
          <w:tcPr>
            <w:tcW w:w="7370" w:type="dxa"/>
            <w:gridSpan w:val="2"/>
            <w:shd w:val="clear" w:color="auto" w:fill="auto"/>
          </w:tcPr>
          <w:p w:rsidR="00231AA4" w:rsidRPr="00F14E70" w:rsidRDefault="00231AA4" w:rsidP="00280331">
            <w:pPr>
              <w:keepNext/>
              <w:spacing w:before="40" w:after="120"/>
              <w:ind w:right="113"/>
              <w:rPr>
                <w:b/>
                <w:szCs w:val="24"/>
                <w:lang w:val="fr-FR"/>
              </w:rPr>
            </w:pPr>
            <w:r w:rsidRPr="00F14E70">
              <w:rPr>
                <w:b/>
                <w:szCs w:val="24"/>
                <w:lang w:val="fr-FR"/>
              </w:rPr>
              <w:t>Évaluation du Comité</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szCs w:val="24"/>
                <w:lang w:val="fr-FR"/>
              </w:rPr>
            </w:pPr>
            <w:r w:rsidRPr="00F14E70">
              <w:rPr>
                <w:b/>
                <w:szCs w:val="24"/>
                <w:lang w:val="fr-FR"/>
              </w:rPr>
              <w:t>[B]</w:t>
            </w:r>
            <w:r w:rsidR="00A40835">
              <w:rPr>
                <w:b/>
                <w:szCs w:val="24"/>
                <w:lang w:val="fr-FR"/>
              </w:rPr>
              <w:t> :</w:t>
            </w:r>
            <w:r w:rsidRPr="00F14E70">
              <w:rPr>
                <w:b/>
                <w:szCs w:val="24"/>
                <w:lang w:val="fr-FR"/>
              </w:rPr>
              <w:t xml:space="preserve"> </w:t>
            </w:r>
            <w:r w:rsidRPr="00F14E70">
              <w:rPr>
                <w:szCs w:val="24"/>
                <w:lang w:val="fr-FR"/>
              </w:rPr>
              <w:t>Le Comité note qu</w:t>
            </w:r>
            <w:r>
              <w:rPr>
                <w:szCs w:val="24"/>
                <w:lang w:val="fr-FR"/>
              </w:rPr>
              <w:t>’</w:t>
            </w:r>
            <w:r w:rsidRPr="00F14E70">
              <w:rPr>
                <w:szCs w:val="24"/>
                <w:lang w:val="fr-FR"/>
              </w:rPr>
              <w:t>un projet de loi sur l</w:t>
            </w:r>
            <w:r>
              <w:rPr>
                <w:szCs w:val="24"/>
                <w:lang w:val="fr-FR"/>
              </w:rPr>
              <w:t>’</w:t>
            </w:r>
            <w:r w:rsidRPr="00F14E70">
              <w:rPr>
                <w:szCs w:val="24"/>
                <w:lang w:val="fr-FR"/>
              </w:rPr>
              <w:t>état d</w:t>
            </w:r>
            <w:r>
              <w:rPr>
                <w:szCs w:val="24"/>
                <w:lang w:val="fr-FR"/>
              </w:rPr>
              <w:t>’</w:t>
            </w:r>
            <w:r w:rsidRPr="00F14E70">
              <w:rPr>
                <w:szCs w:val="24"/>
                <w:lang w:val="fr-FR"/>
              </w:rPr>
              <w:t>urgence est en cours d</w:t>
            </w:r>
            <w:r>
              <w:rPr>
                <w:szCs w:val="24"/>
                <w:lang w:val="fr-FR"/>
              </w:rPr>
              <w:t>’</w:t>
            </w:r>
            <w:r w:rsidRPr="00F14E70">
              <w:rPr>
                <w:szCs w:val="24"/>
                <w:lang w:val="fr-FR"/>
              </w:rPr>
              <w:t>élaboration et demande des renseignements sur son état d</w:t>
            </w:r>
            <w:r>
              <w:rPr>
                <w:szCs w:val="24"/>
                <w:lang w:val="fr-FR"/>
              </w:rPr>
              <w:t>’</w:t>
            </w:r>
            <w:r w:rsidRPr="00F14E70">
              <w:rPr>
                <w:szCs w:val="24"/>
                <w:lang w:val="fr-FR"/>
              </w:rPr>
              <w:t>avancement et sur son contenu, notamment des précisions sur la question de savoir si les dérogations aux dispositions intangibles du Pacte en cas d</w:t>
            </w:r>
            <w:r>
              <w:rPr>
                <w:szCs w:val="24"/>
                <w:lang w:val="fr-FR"/>
              </w:rPr>
              <w:t>’</w:t>
            </w:r>
            <w:r w:rsidRPr="00F14E70">
              <w:rPr>
                <w:szCs w:val="24"/>
                <w:lang w:val="fr-FR"/>
              </w:rPr>
              <w:t>état d</w:t>
            </w:r>
            <w:r>
              <w:rPr>
                <w:szCs w:val="24"/>
                <w:lang w:val="fr-FR"/>
              </w:rPr>
              <w:t>’</w:t>
            </w:r>
            <w:r w:rsidRPr="00F14E70">
              <w:rPr>
                <w:szCs w:val="24"/>
                <w:lang w:val="fr-FR"/>
              </w:rPr>
              <w:t>urgence sont expressément interdites</w:t>
            </w:r>
            <w:r>
              <w:rPr>
                <w:szCs w:val="24"/>
                <w:lang w:val="fr-FR"/>
              </w:rPr>
              <w:t>,</w:t>
            </w:r>
            <w:r w:rsidRPr="00F14E70">
              <w:rPr>
                <w:szCs w:val="24"/>
                <w:lang w:val="fr-FR"/>
              </w:rPr>
              <w:t xml:space="preserve"> et si le projet de loi susmentionné est pleinement compatible avec l</w:t>
            </w:r>
            <w:r>
              <w:rPr>
                <w:szCs w:val="24"/>
                <w:lang w:val="fr-FR"/>
              </w:rPr>
              <w:t>’</w:t>
            </w:r>
            <w:r w:rsidRPr="00F14E70">
              <w:rPr>
                <w:szCs w:val="24"/>
                <w:lang w:val="fr-FR"/>
              </w:rPr>
              <w:t xml:space="preserve">article 4 du Pacte. </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b/>
                <w:szCs w:val="24"/>
                <w:lang w:val="fr-FR"/>
              </w:rPr>
            </w:pPr>
            <w:r w:rsidRPr="00F14E70">
              <w:rPr>
                <w:b/>
                <w:szCs w:val="24"/>
                <w:lang w:val="fr-FR"/>
              </w:rPr>
              <w:t>[C]</w:t>
            </w:r>
            <w:r w:rsidR="00A40835">
              <w:rPr>
                <w:b/>
                <w:szCs w:val="24"/>
                <w:lang w:val="fr-FR"/>
              </w:rPr>
              <w:t> :</w:t>
            </w:r>
            <w:r w:rsidRPr="00F14E70">
              <w:rPr>
                <w:b/>
                <w:szCs w:val="24"/>
                <w:lang w:val="fr-FR"/>
              </w:rPr>
              <w:t xml:space="preserve"> </w:t>
            </w:r>
            <w:r w:rsidRPr="00F14E70">
              <w:rPr>
                <w:szCs w:val="24"/>
                <w:lang w:val="fr-FR"/>
              </w:rPr>
              <w:t>Le Comité regrette que, depuis l</w:t>
            </w:r>
            <w:r>
              <w:rPr>
                <w:szCs w:val="24"/>
                <w:lang w:val="fr-FR"/>
              </w:rPr>
              <w:t>’</w:t>
            </w:r>
            <w:r w:rsidRPr="00F14E70">
              <w:rPr>
                <w:szCs w:val="24"/>
                <w:lang w:val="fr-FR"/>
              </w:rPr>
              <w:t xml:space="preserve">adoption des observations finales, </w:t>
            </w:r>
            <w:r>
              <w:rPr>
                <w:szCs w:val="24"/>
                <w:lang w:val="fr-FR"/>
              </w:rPr>
              <w:t>l’État partie</w:t>
            </w:r>
            <w:r w:rsidRPr="00F14E70">
              <w:rPr>
                <w:szCs w:val="24"/>
                <w:lang w:val="fr-FR"/>
              </w:rPr>
              <w:t xml:space="preserve"> n</w:t>
            </w:r>
            <w:r>
              <w:rPr>
                <w:szCs w:val="24"/>
                <w:lang w:val="fr-FR"/>
              </w:rPr>
              <w:t>’</w:t>
            </w:r>
            <w:r w:rsidRPr="00F14E70">
              <w:rPr>
                <w:szCs w:val="24"/>
                <w:lang w:val="fr-FR"/>
              </w:rPr>
              <w:t>ait apparemment pris</w:t>
            </w:r>
            <w:r>
              <w:rPr>
                <w:szCs w:val="24"/>
                <w:lang w:val="fr-FR"/>
              </w:rPr>
              <w:t xml:space="preserve"> aucune mesure</w:t>
            </w:r>
            <w:r w:rsidRPr="00F14E70">
              <w:rPr>
                <w:szCs w:val="24"/>
                <w:lang w:val="fr-FR"/>
              </w:rPr>
              <w:t xml:space="preserve"> pour mettre </w:t>
            </w:r>
            <w:r>
              <w:rPr>
                <w:szCs w:val="24"/>
                <w:lang w:val="fr-FR"/>
              </w:rPr>
              <w:t>s</w:t>
            </w:r>
            <w:r w:rsidRPr="00F14E70">
              <w:rPr>
                <w:szCs w:val="24"/>
                <w:lang w:val="fr-FR"/>
              </w:rPr>
              <w:t xml:space="preserve">a législation et </w:t>
            </w:r>
            <w:r>
              <w:rPr>
                <w:szCs w:val="24"/>
                <w:lang w:val="fr-FR"/>
              </w:rPr>
              <w:t>s</w:t>
            </w:r>
            <w:r w:rsidRPr="00F14E70">
              <w:rPr>
                <w:szCs w:val="24"/>
                <w:lang w:val="fr-FR"/>
              </w:rPr>
              <w:t>es pratiques antiterroristes, notamment la définition excessivement générale du terrorisme et des activités terroristes, en totale conformité avec les obligations découlant du Pacte et pour faire en sorte que les personnes soupçonnées de terrorisme ou poursuivies pour terrorisme ou pour des infractions analogues bénéficient dans la pratique de toutes les garanties juridiques, ne fassent pas l</w:t>
            </w:r>
            <w:r>
              <w:rPr>
                <w:szCs w:val="24"/>
                <w:lang w:val="fr-FR"/>
              </w:rPr>
              <w:t>’</w:t>
            </w:r>
            <w:r w:rsidRPr="00F14E70">
              <w:rPr>
                <w:szCs w:val="24"/>
                <w:lang w:val="fr-FR"/>
              </w:rPr>
              <w:t>objet de restrictions arbitraires ou illégales de leurs droits et ne soient pas soumises à des conditions de détention inhumaines ou dégradantes. Le Comité réitère sa recommandation.</w:t>
            </w:r>
            <w:r w:rsidRPr="00F14E70">
              <w:rPr>
                <w:b/>
                <w:szCs w:val="24"/>
                <w:lang w:val="fr-FR"/>
              </w:rPr>
              <w:t xml:space="preserve"> </w:t>
            </w:r>
          </w:p>
        </w:tc>
      </w:tr>
      <w:tr w:rsidR="00231AA4" w:rsidRPr="00E2006A" w:rsidTr="00A40835">
        <w:tc>
          <w:tcPr>
            <w:tcW w:w="7370" w:type="dxa"/>
            <w:gridSpan w:val="2"/>
            <w:shd w:val="clear" w:color="auto" w:fill="auto"/>
          </w:tcPr>
          <w:p w:rsidR="00231AA4" w:rsidRPr="00F14E70" w:rsidRDefault="00231AA4" w:rsidP="00A40835">
            <w:pPr>
              <w:spacing w:before="40" w:after="120"/>
              <w:ind w:right="113"/>
              <w:rPr>
                <w:b/>
                <w:szCs w:val="24"/>
                <w:lang w:val="fr-FR"/>
              </w:rPr>
            </w:pPr>
            <w:r>
              <w:rPr>
                <w:b/>
                <w:szCs w:val="24"/>
                <w:lang w:val="fr-FR"/>
              </w:rPr>
              <w:lastRenderedPageBreak/>
              <w:t>Paragraphe 13</w:t>
            </w:r>
            <w:r w:rsidR="00A40835">
              <w:rPr>
                <w:b/>
                <w:szCs w:val="24"/>
                <w:lang w:val="fr-FR"/>
              </w:rPr>
              <w:t> :</w:t>
            </w:r>
            <w:r w:rsidRPr="00F14E70">
              <w:rPr>
                <w:b/>
                <w:szCs w:val="24"/>
                <w:lang w:val="fr-FR"/>
              </w:rPr>
              <w:t xml:space="preserve"> Torture</w:t>
            </w:r>
          </w:p>
        </w:tc>
      </w:tr>
      <w:tr w:rsidR="00231AA4" w:rsidRPr="00E2006A" w:rsidTr="00A40835">
        <w:tc>
          <w:tcPr>
            <w:tcW w:w="7370" w:type="dxa"/>
            <w:gridSpan w:val="2"/>
            <w:shd w:val="clear" w:color="auto" w:fill="auto"/>
          </w:tcPr>
          <w:p w:rsidR="00231AA4" w:rsidRPr="00F14E70" w:rsidRDefault="00231AA4" w:rsidP="00812311">
            <w:pPr>
              <w:spacing w:before="40" w:after="120"/>
              <w:ind w:right="113"/>
              <w:jc w:val="both"/>
              <w:rPr>
                <w:b/>
                <w:szCs w:val="24"/>
                <w:lang w:val="fr-FR"/>
              </w:rPr>
            </w:pPr>
            <w:r w:rsidRPr="00F14E70">
              <w:rPr>
                <w:b/>
                <w:szCs w:val="24"/>
                <w:lang w:val="fr-FR" w:eastAsia="fr-FR"/>
              </w:rPr>
              <w:t>Le Comité réitère sa recommandation précédente (</w:t>
            </w:r>
            <w:hyperlink r:id="rId30" w:history="1">
              <w:r w:rsidRPr="00164346">
                <w:rPr>
                  <w:rStyle w:val="Lienhypertexte"/>
                  <w:b/>
                  <w:szCs w:val="24"/>
                  <w:lang w:val="fr-FR" w:eastAsia="fr-FR"/>
                </w:rPr>
                <w:t>CCPR</w:t>
              </w:r>
              <w:r w:rsidRPr="00164346">
                <w:rPr>
                  <w:rStyle w:val="Lienhypertexte"/>
                  <w:b/>
                  <w:szCs w:val="24"/>
                  <w:lang w:val="fr-FR" w:eastAsia="fr-FR"/>
                </w:rPr>
                <w:t>/</w:t>
              </w:r>
              <w:r w:rsidRPr="00164346">
                <w:rPr>
                  <w:rStyle w:val="Lienhypertexte"/>
                  <w:b/>
                  <w:szCs w:val="24"/>
                  <w:lang w:val="fr-FR" w:eastAsia="fr-FR"/>
                </w:rPr>
                <w:t>C/UZB/СО/3</w:t>
              </w:r>
            </w:hyperlink>
            <w:r w:rsidRPr="00F14E70">
              <w:rPr>
                <w:b/>
                <w:szCs w:val="24"/>
                <w:lang w:val="fr-FR" w:eastAsia="fr-FR"/>
              </w:rPr>
              <w:t>, par.</w:t>
            </w:r>
            <w:r w:rsidR="006F2B87">
              <w:rPr>
                <w:b/>
                <w:szCs w:val="24"/>
                <w:lang w:val="fr-FR" w:eastAsia="fr-FR"/>
              </w:rPr>
              <w:t> </w:t>
            </w:r>
            <w:r w:rsidRPr="00F14E70">
              <w:rPr>
                <w:b/>
                <w:szCs w:val="24"/>
                <w:lang w:val="fr-FR" w:eastAsia="fr-FR"/>
              </w:rPr>
              <w:t>10) et prie instamment l</w:t>
            </w:r>
            <w:r>
              <w:rPr>
                <w:b/>
                <w:szCs w:val="24"/>
                <w:lang w:val="fr-FR" w:eastAsia="fr-FR"/>
              </w:rPr>
              <w:t>’</w:t>
            </w:r>
            <w:r w:rsidRPr="00F14E70">
              <w:rPr>
                <w:b/>
                <w:szCs w:val="24"/>
                <w:lang w:val="fr-FR" w:eastAsia="fr-FR"/>
              </w:rPr>
              <w:t>État partie, à titre d</w:t>
            </w:r>
            <w:r>
              <w:rPr>
                <w:b/>
                <w:szCs w:val="24"/>
                <w:lang w:val="fr-FR" w:eastAsia="fr-FR"/>
              </w:rPr>
              <w:t>’</w:t>
            </w:r>
            <w:r w:rsidRPr="00F14E70">
              <w:rPr>
                <w:b/>
                <w:szCs w:val="24"/>
                <w:lang w:val="fr-FR" w:eastAsia="fr-FR"/>
              </w:rPr>
              <w:t>urgence, de modifier sa légi</w:t>
            </w:r>
            <w:r>
              <w:rPr>
                <w:b/>
                <w:szCs w:val="24"/>
                <w:lang w:val="fr-FR" w:eastAsia="fr-FR"/>
              </w:rPr>
              <w:t>slation pénale, y</w:t>
            </w:r>
            <w:r w:rsidR="006F2B87">
              <w:rPr>
                <w:b/>
                <w:szCs w:val="24"/>
                <w:lang w:val="fr-FR" w:eastAsia="fr-FR"/>
              </w:rPr>
              <w:t> </w:t>
            </w:r>
            <w:r>
              <w:rPr>
                <w:b/>
                <w:szCs w:val="24"/>
                <w:lang w:val="fr-FR" w:eastAsia="fr-FR"/>
              </w:rPr>
              <w:t>compris l’article </w:t>
            </w:r>
            <w:r w:rsidRPr="00F14E70">
              <w:rPr>
                <w:b/>
                <w:szCs w:val="24"/>
                <w:lang w:val="fr-FR" w:eastAsia="fr-FR"/>
              </w:rPr>
              <w:t>235 du Code pénal, pour que la définition qui y est donnée de la torture soit pleinement conforme à l</w:t>
            </w:r>
            <w:r>
              <w:rPr>
                <w:b/>
                <w:szCs w:val="24"/>
                <w:lang w:val="fr-FR" w:eastAsia="fr-FR"/>
              </w:rPr>
              <w:t>’</w:t>
            </w:r>
            <w:r w:rsidR="00855BF0">
              <w:rPr>
                <w:b/>
                <w:szCs w:val="24"/>
                <w:lang w:val="fr-FR" w:eastAsia="fr-FR"/>
              </w:rPr>
              <w:t>article 1</w:t>
            </w:r>
            <w:r w:rsidRPr="00F14E70">
              <w:rPr>
                <w:b/>
                <w:szCs w:val="24"/>
                <w:lang w:val="fr-FR" w:eastAsia="fr-FR"/>
              </w:rPr>
              <w:t xml:space="preserve"> de la Convention contre la torture et autres peines ou traitements cruels, inhumains ou dégradants et à l</w:t>
            </w:r>
            <w:r>
              <w:rPr>
                <w:b/>
                <w:szCs w:val="24"/>
                <w:lang w:val="fr-FR" w:eastAsia="fr-FR"/>
              </w:rPr>
              <w:t>’</w:t>
            </w:r>
            <w:r w:rsidRPr="00F14E70">
              <w:rPr>
                <w:b/>
                <w:szCs w:val="24"/>
                <w:lang w:val="fr-FR" w:eastAsia="fr-FR"/>
              </w:rPr>
              <w:t>article 7 du Pacte, et qu</w:t>
            </w:r>
            <w:r>
              <w:rPr>
                <w:b/>
                <w:szCs w:val="24"/>
                <w:lang w:val="fr-FR" w:eastAsia="fr-FR"/>
              </w:rPr>
              <w:t>’</w:t>
            </w:r>
            <w:r w:rsidRPr="00F14E70">
              <w:rPr>
                <w:b/>
                <w:szCs w:val="24"/>
                <w:lang w:val="fr-FR" w:eastAsia="fr-FR"/>
              </w:rPr>
              <w:t>elle s</w:t>
            </w:r>
            <w:r>
              <w:rPr>
                <w:b/>
                <w:szCs w:val="24"/>
                <w:lang w:val="fr-FR" w:eastAsia="fr-FR"/>
              </w:rPr>
              <w:t>’</w:t>
            </w:r>
            <w:r w:rsidRPr="00F14E70">
              <w:rPr>
                <w:b/>
                <w:szCs w:val="24"/>
                <w:lang w:val="fr-FR" w:eastAsia="fr-FR"/>
              </w:rPr>
              <w:t>applique aux actes commis par toutes les personnes agissant dans l</w:t>
            </w:r>
            <w:r>
              <w:rPr>
                <w:b/>
                <w:szCs w:val="24"/>
                <w:lang w:val="fr-FR" w:eastAsia="fr-FR"/>
              </w:rPr>
              <w:t>’</w:t>
            </w:r>
            <w:r w:rsidRPr="00F14E70">
              <w:rPr>
                <w:b/>
                <w:szCs w:val="24"/>
                <w:lang w:val="fr-FR" w:eastAsia="fr-FR"/>
              </w:rPr>
              <w:t>exercice de fonctions officielles, hors de l</w:t>
            </w:r>
            <w:r>
              <w:rPr>
                <w:b/>
                <w:szCs w:val="24"/>
                <w:lang w:val="fr-FR" w:eastAsia="fr-FR"/>
              </w:rPr>
              <w:t>’</w:t>
            </w:r>
            <w:r w:rsidRPr="00F14E70">
              <w:rPr>
                <w:b/>
                <w:szCs w:val="24"/>
                <w:lang w:val="fr-FR" w:eastAsia="fr-FR"/>
              </w:rPr>
              <w:t xml:space="preserve">exercice de fonctions officielles ou à titre privé </w:t>
            </w:r>
            <w:r>
              <w:rPr>
                <w:b/>
                <w:szCs w:val="24"/>
                <w:lang w:val="fr-FR" w:eastAsia="fr-FR"/>
              </w:rPr>
              <w:t>lorsque</w:t>
            </w:r>
            <w:r w:rsidRPr="00F14E70">
              <w:rPr>
                <w:b/>
                <w:szCs w:val="24"/>
                <w:lang w:val="fr-FR" w:eastAsia="fr-FR"/>
              </w:rPr>
              <w:t xml:space="preserve"> les actes de torture sont commis à l</w:t>
            </w:r>
            <w:r>
              <w:rPr>
                <w:b/>
                <w:szCs w:val="24"/>
                <w:lang w:val="fr-FR" w:eastAsia="fr-FR"/>
              </w:rPr>
              <w:t>’</w:t>
            </w:r>
            <w:r w:rsidRPr="00F14E70">
              <w:rPr>
                <w:b/>
                <w:szCs w:val="24"/>
                <w:lang w:val="fr-FR" w:eastAsia="fr-FR"/>
              </w:rPr>
              <w:t>instigation d</w:t>
            </w:r>
            <w:r>
              <w:rPr>
                <w:b/>
                <w:szCs w:val="24"/>
                <w:lang w:val="fr-FR" w:eastAsia="fr-FR"/>
              </w:rPr>
              <w:t>’</w:t>
            </w:r>
            <w:r w:rsidRPr="00F14E70">
              <w:rPr>
                <w:b/>
                <w:szCs w:val="24"/>
                <w:lang w:val="fr-FR" w:eastAsia="fr-FR"/>
              </w:rPr>
              <w:t>un agent de l</w:t>
            </w:r>
            <w:r>
              <w:rPr>
                <w:b/>
                <w:szCs w:val="24"/>
                <w:lang w:val="fr-FR" w:eastAsia="fr-FR"/>
              </w:rPr>
              <w:t>’</w:t>
            </w:r>
            <w:r w:rsidRPr="00F14E70">
              <w:rPr>
                <w:b/>
                <w:szCs w:val="24"/>
                <w:lang w:val="fr-FR" w:eastAsia="fr-FR"/>
              </w:rPr>
              <w:t>État ou d</w:t>
            </w:r>
            <w:r>
              <w:rPr>
                <w:b/>
                <w:szCs w:val="24"/>
                <w:lang w:val="fr-FR" w:eastAsia="fr-FR"/>
              </w:rPr>
              <w:t>’</w:t>
            </w:r>
            <w:r w:rsidRPr="00F14E70">
              <w:rPr>
                <w:b/>
                <w:szCs w:val="24"/>
                <w:lang w:val="fr-FR" w:eastAsia="fr-FR"/>
              </w:rPr>
              <w:t>une autre personne agissant à titre officiel, ou avec son consentement exprès ou tacite</w:t>
            </w:r>
            <w:r w:rsidRPr="00F14E70">
              <w:rPr>
                <w:b/>
                <w:szCs w:val="24"/>
                <w:lang w:val="fr-FR"/>
              </w:rPr>
              <w:t xml:space="preserve">. </w:t>
            </w:r>
            <w:r w:rsidRPr="00F14E70">
              <w:rPr>
                <w:b/>
                <w:szCs w:val="24"/>
                <w:lang w:val="fr-FR" w:eastAsia="fr-FR"/>
              </w:rPr>
              <w:t>L</w:t>
            </w:r>
            <w:r>
              <w:rPr>
                <w:b/>
                <w:szCs w:val="24"/>
                <w:lang w:val="fr-FR" w:eastAsia="fr-FR"/>
              </w:rPr>
              <w:t>’</w:t>
            </w:r>
            <w:r w:rsidRPr="00F14E70">
              <w:rPr>
                <w:b/>
                <w:szCs w:val="24"/>
                <w:lang w:val="fr-FR" w:eastAsia="fr-FR"/>
              </w:rPr>
              <w:t>État partie devrait également abolir la pratique consistant à amnistier les</w:t>
            </w:r>
            <w:r w:rsidR="00812311">
              <w:rPr>
                <w:b/>
                <w:szCs w:val="24"/>
                <w:lang w:val="fr-FR" w:eastAsia="fr-FR"/>
              </w:rPr>
              <w:t> </w:t>
            </w:r>
            <w:r w:rsidRPr="00F14E70">
              <w:rPr>
                <w:b/>
                <w:szCs w:val="24"/>
                <w:lang w:val="fr-FR" w:eastAsia="fr-FR"/>
              </w:rPr>
              <w:t>personnes reconnues coupables de torture ou de mauvais traitements, pratique</w:t>
            </w:r>
            <w:r w:rsidR="00812311">
              <w:rPr>
                <w:b/>
                <w:szCs w:val="24"/>
                <w:lang w:val="fr-FR" w:eastAsia="fr-FR"/>
              </w:rPr>
              <w:t> </w:t>
            </w:r>
            <w:r w:rsidRPr="00F14E70">
              <w:rPr>
                <w:b/>
                <w:szCs w:val="24"/>
                <w:lang w:val="fr-FR" w:eastAsia="fr-FR"/>
              </w:rPr>
              <w:t xml:space="preserve">incompatible avec les obligations qui lui </w:t>
            </w:r>
            <w:r>
              <w:rPr>
                <w:b/>
                <w:szCs w:val="24"/>
                <w:lang w:val="fr-FR" w:eastAsia="fr-FR"/>
              </w:rPr>
              <w:t>incombent au titre de l’article </w:t>
            </w:r>
            <w:r w:rsidRPr="00F14E70">
              <w:rPr>
                <w:b/>
                <w:szCs w:val="24"/>
                <w:lang w:val="fr-FR" w:eastAsia="fr-FR"/>
              </w:rPr>
              <w:t>7 du</w:t>
            </w:r>
            <w:r w:rsidR="00812311">
              <w:rPr>
                <w:b/>
                <w:szCs w:val="24"/>
                <w:lang w:val="fr-FR" w:eastAsia="fr-FR"/>
              </w:rPr>
              <w:t> </w:t>
            </w:r>
            <w:bookmarkStart w:id="1" w:name="_GoBack"/>
            <w:bookmarkEnd w:id="1"/>
            <w:r w:rsidRPr="00F14E70">
              <w:rPr>
                <w:b/>
                <w:szCs w:val="24"/>
                <w:lang w:val="fr-FR" w:eastAsia="fr-FR"/>
              </w:rPr>
              <w:t>Pacte</w:t>
            </w:r>
            <w:r w:rsidRPr="00F14E70">
              <w:rPr>
                <w:b/>
                <w:szCs w:val="24"/>
                <w:lang w:val="fr-FR"/>
              </w:rPr>
              <w:t>.</w:t>
            </w:r>
          </w:p>
        </w:tc>
      </w:tr>
      <w:tr w:rsidR="00231AA4" w:rsidRPr="00E2006A" w:rsidTr="00A40835">
        <w:tc>
          <w:tcPr>
            <w:tcW w:w="7370" w:type="dxa"/>
            <w:gridSpan w:val="2"/>
            <w:shd w:val="clear" w:color="auto" w:fill="auto"/>
          </w:tcPr>
          <w:p w:rsidR="00231AA4" w:rsidRPr="00F14E70" w:rsidRDefault="00231AA4" w:rsidP="00A40835">
            <w:pPr>
              <w:spacing w:before="40" w:after="120"/>
              <w:ind w:right="113"/>
              <w:rPr>
                <w:b/>
                <w:szCs w:val="24"/>
                <w:lang w:val="fr-FR"/>
              </w:rPr>
            </w:pPr>
            <w:r w:rsidRPr="00F14E70">
              <w:rPr>
                <w:b/>
                <w:szCs w:val="24"/>
                <w:lang w:val="fr-FR"/>
              </w:rPr>
              <w:t>Résumé de la réponse de l</w:t>
            </w:r>
            <w:r>
              <w:rPr>
                <w:b/>
                <w:szCs w:val="24"/>
                <w:lang w:val="fr-FR"/>
              </w:rPr>
              <w:t>’</w:t>
            </w:r>
            <w:r w:rsidRPr="00F14E70">
              <w:rPr>
                <w:b/>
                <w:szCs w:val="24"/>
                <w:lang w:val="fr-FR"/>
              </w:rPr>
              <w:t>État partie</w:t>
            </w:r>
          </w:p>
        </w:tc>
      </w:tr>
      <w:tr w:rsidR="00231AA4" w:rsidRPr="00E2006A" w:rsidTr="00A40835">
        <w:tc>
          <w:tcPr>
            <w:tcW w:w="7370" w:type="dxa"/>
            <w:gridSpan w:val="2"/>
            <w:shd w:val="clear" w:color="auto" w:fill="auto"/>
          </w:tcPr>
          <w:p w:rsidR="00231AA4" w:rsidRPr="007E3A64" w:rsidRDefault="00231AA4" w:rsidP="006F2B87">
            <w:pPr>
              <w:spacing w:before="40" w:after="120"/>
              <w:ind w:right="113"/>
              <w:jc w:val="both"/>
              <w:rPr>
                <w:spacing w:val="-1"/>
                <w:szCs w:val="24"/>
                <w:lang w:val="fr-FR"/>
              </w:rPr>
            </w:pPr>
            <w:r w:rsidRPr="007E3A64">
              <w:rPr>
                <w:spacing w:val="-1"/>
                <w:szCs w:val="24"/>
                <w:lang w:val="fr-FR"/>
              </w:rPr>
              <w:t>La définition de la torture énoncée à l’article</w:t>
            </w:r>
            <w:r w:rsidR="006F2B87" w:rsidRPr="007E3A64">
              <w:rPr>
                <w:spacing w:val="-1"/>
                <w:szCs w:val="24"/>
                <w:lang w:val="fr-FR"/>
              </w:rPr>
              <w:t> </w:t>
            </w:r>
            <w:r w:rsidRPr="007E3A64">
              <w:rPr>
                <w:spacing w:val="-1"/>
                <w:szCs w:val="24"/>
                <w:lang w:val="fr-FR"/>
              </w:rPr>
              <w:t xml:space="preserve">235 du Code pénal satisfait pleinement aux prescriptions de la Convention contre la torture et </w:t>
            </w:r>
            <w:r w:rsidRPr="007E3A64">
              <w:rPr>
                <w:spacing w:val="-1"/>
                <w:szCs w:val="24"/>
                <w:lang w:val="fr-FR" w:eastAsia="fr-FR"/>
              </w:rPr>
              <w:t>autres peines ou traitements cruels, inhumains ou dégradants</w:t>
            </w:r>
            <w:r w:rsidRPr="007E3A64">
              <w:rPr>
                <w:spacing w:val="-1"/>
                <w:szCs w:val="24"/>
                <w:lang w:val="fr-FR"/>
              </w:rPr>
              <w:t>, et la législation pénale n’a pas à être modifiée. Des actes de torture ne peuvent être commis que par des personnes chargées d’une enquête préliminaire ou d’une instruction préparatoire, des représentants du ministère public, ou d’autres membres des organes d’application des lois ou des institutions pénales.</w:t>
            </w:r>
            <w:r w:rsidR="00A40835" w:rsidRPr="007E3A64">
              <w:rPr>
                <w:spacing w:val="-1"/>
                <w:szCs w:val="24"/>
                <w:lang w:val="fr-FR"/>
              </w:rPr>
              <w:t xml:space="preserve"> </w:t>
            </w:r>
            <w:r w:rsidRPr="007E3A64">
              <w:rPr>
                <w:spacing w:val="-1"/>
                <w:szCs w:val="24"/>
                <w:lang w:val="fr-FR" w:eastAsia="fr-FR"/>
              </w:rPr>
              <w:t>Lorsque l’auteur de l’infraction est une personne extérieure aux organes chargés de faire respecter la loi qui agit à l’instigation ou avec le consentement exprès ou tacite de l’agent chargé de l’enquête préliminaire ou de l’instruction préparatoire ou d’un autre agent de la force publique, ses actes sont qualifiés de complicité d’actes de torture ou d’autres peines ou traitements cruels, inhumains ou dégradants. Si une infraction de cette nature est commise par une personne qui n’est pas un agent de la force publique</w:t>
            </w:r>
            <w:r w:rsidRPr="007E3A64">
              <w:rPr>
                <w:spacing w:val="-1"/>
                <w:szCs w:val="24"/>
                <w:lang w:val="fr-FR"/>
              </w:rPr>
              <w:t xml:space="preserve"> (par exemple un particulier), elle relève des dispositions du Code pénal concernant les atteintes à la santé, à savoir les articles 104 (dommages corporels graves infligés intentionnellement), 105 (dommages corporels modérés infligés intentionnellement), 109 (dommages corporels mineurs infligés intentionnellement) et 110 (torture) (chap.</w:t>
            </w:r>
            <w:r w:rsidR="006F2B87" w:rsidRPr="007E3A64">
              <w:rPr>
                <w:spacing w:val="-1"/>
                <w:szCs w:val="24"/>
                <w:lang w:val="fr-FR"/>
              </w:rPr>
              <w:t> </w:t>
            </w:r>
            <w:r w:rsidRPr="007E3A64">
              <w:rPr>
                <w:spacing w:val="-1"/>
                <w:szCs w:val="24"/>
                <w:lang w:val="fr-FR"/>
              </w:rPr>
              <w:t xml:space="preserve">II, Atteintes à la santé, section spéciale). </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szCs w:val="24"/>
                <w:lang w:val="fr-FR"/>
              </w:rPr>
            </w:pPr>
            <w:r w:rsidRPr="00F14E70">
              <w:rPr>
                <w:szCs w:val="24"/>
                <w:lang w:val="fr-FR"/>
              </w:rPr>
              <w:t>La recommandation du Comité tendant à mettre fin à la pratique qui consiste à amnistier des personnes reconnues coupables de torture ou de mauvais traitements va à l</w:t>
            </w:r>
            <w:r>
              <w:rPr>
                <w:szCs w:val="24"/>
                <w:lang w:val="fr-FR"/>
              </w:rPr>
              <w:t>’</w:t>
            </w:r>
            <w:r w:rsidRPr="00F14E70">
              <w:rPr>
                <w:szCs w:val="24"/>
                <w:lang w:val="fr-FR"/>
              </w:rPr>
              <w:t>encontre des principes généraux de non</w:t>
            </w:r>
            <w:r>
              <w:rPr>
                <w:szCs w:val="24"/>
                <w:lang w:val="fr-FR"/>
              </w:rPr>
              <w:noBreakHyphen/>
            </w:r>
            <w:r w:rsidRPr="00F14E70">
              <w:rPr>
                <w:szCs w:val="24"/>
                <w:lang w:val="fr-FR"/>
              </w:rPr>
              <w:t>discrimination. Conformément au principe de l</w:t>
            </w:r>
            <w:r>
              <w:rPr>
                <w:szCs w:val="24"/>
                <w:lang w:val="fr-FR"/>
              </w:rPr>
              <w:t>’</w:t>
            </w:r>
            <w:r w:rsidRPr="00F14E70">
              <w:rPr>
                <w:szCs w:val="24"/>
                <w:lang w:val="fr-FR"/>
              </w:rPr>
              <w:t>égalité en droit des citoyens, quiconque a commis un acte de torture peut être gracié par les tribunaux dans les cas prévus par la loi.</w:t>
            </w:r>
          </w:p>
        </w:tc>
      </w:tr>
      <w:tr w:rsidR="00231AA4" w:rsidRPr="00E2006A" w:rsidTr="00A40835">
        <w:tc>
          <w:tcPr>
            <w:tcW w:w="7370" w:type="dxa"/>
            <w:gridSpan w:val="2"/>
            <w:shd w:val="clear" w:color="auto" w:fill="auto"/>
          </w:tcPr>
          <w:p w:rsidR="00231AA4" w:rsidRPr="00F14E70" w:rsidRDefault="00231AA4" w:rsidP="00A40835">
            <w:pPr>
              <w:spacing w:before="40" w:after="80"/>
              <w:ind w:right="113"/>
              <w:rPr>
                <w:b/>
                <w:szCs w:val="24"/>
                <w:lang w:val="fr-FR"/>
              </w:rPr>
            </w:pPr>
            <w:r w:rsidRPr="00F14E70">
              <w:rPr>
                <w:b/>
                <w:szCs w:val="24"/>
                <w:lang w:val="fr-FR"/>
              </w:rPr>
              <w:t xml:space="preserve">Évaluation du Comité </w:t>
            </w:r>
          </w:p>
        </w:tc>
      </w:tr>
      <w:tr w:rsidR="00231AA4" w:rsidRPr="00E2006A" w:rsidTr="00A40835">
        <w:tc>
          <w:tcPr>
            <w:tcW w:w="7370" w:type="dxa"/>
            <w:gridSpan w:val="2"/>
            <w:shd w:val="clear" w:color="auto" w:fill="auto"/>
          </w:tcPr>
          <w:p w:rsidR="00231AA4" w:rsidRPr="00F14E70" w:rsidRDefault="00231AA4" w:rsidP="007E3A64">
            <w:pPr>
              <w:spacing w:before="40" w:after="120"/>
              <w:ind w:right="113"/>
              <w:jc w:val="both"/>
              <w:rPr>
                <w:szCs w:val="24"/>
                <w:lang w:val="fr-FR"/>
              </w:rPr>
            </w:pPr>
            <w:r w:rsidRPr="00F14E70">
              <w:rPr>
                <w:b/>
                <w:szCs w:val="24"/>
                <w:lang w:val="fr-FR"/>
              </w:rPr>
              <w:t>[E]</w:t>
            </w:r>
            <w:r w:rsidR="00A40835">
              <w:rPr>
                <w:szCs w:val="24"/>
                <w:lang w:val="fr-FR"/>
              </w:rPr>
              <w:t> </w:t>
            </w:r>
            <w:r w:rsidR="00A40835" w:rsidRPr="007E3A64">
              <w:rPr>
                <w:b/>
                <w:szCs w:val="24"/>
                <w:lang w:val="fr-FR"/>
              </w:rPr>
              <w:t>:</w:t>
            </w:r>
            <w:r w:rsidRPr="00F14E70">
              <w:rPr>
                <w:b/>
                <w:szCs w:val="24"/>
                <w:lang w:val="fr-FR"/>
              </w:rPr>
              <w:t xml:space="preserve"> </w:t>
            </w:r>
            <w:r w:rsidRPr="00F14E70">
              <w:rPr>
                <w:szCs w:val="24"/>
                <w:lang w:val="fr-FR"/>
              </w:rPr>
              <w:t>Le Comité trouve regrettable que l</w:t>
            </w:r>
            <w:r>
              <w:rPr>
                <w:szCs w:val="24"/>
                <w:lang w:val="fr-FR"/>
              </w:rPr>
              <w:t>’</w:t>
            </w:r>
            <w:r w:rsidRPr="00F14E70">
              <w:rPr>
                <w:szCs w:val="24"/>
                <w:lang w:val="fr-FR"/>
              </w:rPr>
              <w:t>État partie affirme que la définition de la torture énoncée à l</w:t>
            </w:r>
            <w:r>
              <w:rPr>
                <w:szCs w:val="24"/>
                <w:lang w:val="fr-FR"/>
              </w:rPr>
              <w:t>’</w:t>
            </w:r>
            <w:r w:rsidRPr="00F14E70">
              <w:rPr>
                <w:szCs w:val="24"/>
                <w:lang w:val="fr-FR"/>
              </w:rPr>
              <w:t>article</w:t>
            </w:r>
            <w:r w:rsidR="007E3A64">
              <w:rPr>
                <w:szCs w:val="24"/>
                <w:lang w:val="fr-FR"/>
              </w:rPr>
              <w:t> </w:t>
            </w:r>
            <w:r w:rsidRPr="00F14E70">
              <w:rPr>
                <w:szCs w:val="24"/>
                <w:lang w:val="fr-FR"/>
              </w:rPr>
              <w:t>235 de son Code pénal est pleinement conforme à l</w:t>
            </w:r>
            <w:r>
              <w:rPr>
                <w:szCs w:val="24"/>
                <w:lang w:val="fr-FR"/>
              </w:rPr>
              <w:t>’</w:t>
            </w:r>
            <w:r w:rsidR="007E3A64">
              <w:rPr>
                <w:szCs w:val="24"/>
                <w:lang w:val="fr-FR"/>
              </w:rPr>
              <w:t>article 1</w:t>
            </w:r>
            <w:r w:rsidRPr="00F14E70">
              <w:rPr>
                <w:szCs w:val="24"/>
                <w:lang w:val="fr-FR"/>
              </w:rPr>
              <w:t xml:space="preserve"> de la Convention contre la torture et qu</w:t>
            </w:r>
            <w:r>
              <w:rPr>
                <w:szCs w:val="24"/>
                <w:lang w:val="fr-FR"/>
              </w:rPr>
              <w:t>’</w:t>
            </w:r>
            <w:r w:rsidRPr="00F14E70">
              <w:rPr>
                <w:szCs w:val="24"/>
                <w:lang w:val="fr-FR"/>
              </w:rPr>
              <w:t>il n</w:t>
            </w:r>
            <w:r>
              <w:rPr>
                <w:szCs w:val="24"/>
                <w:lang w:val="fr-FR"/>
              </w:rPr>
              <w:t>’</w:t>
            </w:r>
            <w:r w:rsidRPr="00F14E70">
              <w:rPr>
                <w:szCs w:val="24"/>
                <w:lang w:val="fr-FR"/>
              </w:rPr>
              <w:t>est pas nécessaire de modifier la législation pénale. Le Comité réitère sa recommandation.</w:t>
            </w:r>
            <w:r w:rsidR="00A40835">
              <w:rPr>
                <w:szCs w:val="24"/>
                <w:lang w:val="fr-FR"/>
              </w:rPr>
              <w:t xml:space="preserve"> </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b/>
                <w:szCs w:val="24"/>
                <w:lang w:val="fr-FR"/>
              </w:rPr>
            </w:pPr>
            <w:r w:rsidRPr="00F14E70">
              <w:rPr>
                <w:b/>
                <w:szCs w:val="24"/>
                <w:lang w:val="fr-FR"/>
              </w:rPr>
              <w:t>[E]</w:t>
            </w:r>
            <w:r w:rsidR="00A40835">
              <w:rPr>
                <w:b/>
                <w:szCs w:val="24"/>
                <w:lang w:val="fr-FR"/>
              </w:rPr>
              <w:t> :</w:t>
            </w:r>
            <w:r w:rsidRPr="00F14E70">
              <w:rPr>
                <w:b/>
                <w:szCs w:val="24"/>
                <w:lang w:val="fr-FR"/>
              </w:rPr>
              <w:t xml:space="preserve"> </w:t>
            </w:r>
            <w:r w:rsidRPr="00F14E70">
              <w:rPr>
                <w:szCs w:val="24"/>
                <w:lang w:val="fr-FR"/>
              </w:rPr>
              <w:t>Le Comité regrette que l</w:t>
            </w:r>
            <w:r>
              <w:rPr>
                <w:szCs w:val="24"/>
                <w:lang w:val="fr-FR"/>
              </w:rPr>
              <w:t>’</w:t>
            </w:r>
            <w:r w:rsidRPr="00F14E70">
              <w:rPr>
                <w:szCs w:val="24"/>
                <w:lang w:val="fr-FR"/>
              </w:rPr>
              <w:t>État par</w:t>
            </w:r>
            <w:r>
              <w:rPr>
                <w:szCs w:val="24"/>
                <w:lang w:val="fr-FR"/>
              </w:rPr>
              <w:t>tie applique le principe de non</w:t>
            </w:r>
            <w:r>
              <w:rPr>
                <w:szCs w:val="24"/>
                <w:lang w:val="fr-FR"/>
              </w:rPr>
              <w:noBreakHyphen/>
            </w:r>
            <w:r w:rsidRPr="00F14E70">
              <w:rPr>
                <w:szCs w:val="24"/>
                <w:lang w:val="fr-FR"/>
              </w:rPr>
              <w:t>discrimination d</w:t>
            </w:r>
            <w:r>
              <w:rPr>
                <w:szCs w:val="24"/>
                <w:lang w:val="fr-FR"/>
              </w:rPr>
              <w:t>’</w:t>
            </w:r>
            <w:r w:rsidRPr="00F14E70">
              <w:rPr>
                <w:szCs w:val="24"/>
                <w:lang w:val="fr-FR"/>
              </w:rPr>
              <w:t xml:space="preserve">une manière erronée pour justifier que des personnes </w:t>
            </w:r>
            <w:r>
              <w:rPr>
                <w:szCs w:val="24"/>
                <w:lang w:val="fr-FR"/>
              </w:rPr>
              <w:t>reconnues coupables</w:t>
            </w:r>
            <w:r w:rsidRPr="00F14E70">
              <w:rPr>
                <w:szCs w:val="24"/>
                <w:lang w:val="fr-FR"/>
              </w:rPr>
              <w:t xml:space="preserve"> de torture ou de mauvais traitements puissent être amnistiées. Le Comité réitère sa recommandation.</w:t>
            </w:r>
            <w:r w:rsidRPr="00F14E70">
              <w:rPr>
                <w:b/>
                <w:szCs w:val="24"/>
                <w:lang w:val="fr-FR"/>
              </w:rPr>
              <w:t xml:space="preserve"> </w:t>
            </w:r>
          </w:p>
        </w:tc>
      </w:tr>
      <w:tr w:rsidR="00231AA4" w:rsidRPr="00E2006A" w:rsidTr="00A40835">
        <w:tc>
          <w:tcPr>
            <w:tcW w:w="7370" w:type="dxa"/>
            <w:gridSpan w:val="2"/>
            <w:shd w:val="clear" w:color="auto" w:fill="auto"/>
          </w:tcPr>
          <w:p w:rsidR="00231AA4" w:rsidRPr="00F14E70" w:rsidRDefault="00231AA4" w:rsidP="00A40835">
            <w:pPr>
              <w:spacing w:before="40" w:after="120"/>
              <w:ind w:right="113"/>
              <w:rPr>
                <w:b/>
                <w:szCs w:val="24"/>
                <w:lang w:val="fr-FR"/>
              </w:rPr>
            </w:pPr>
            <w:r>
              <w:rPr>
                <w:b/>
                <w:szCs w:val="24"/>
                <w:lang w:val="fr-FR"/>
              </w:rPr>
              <w:t>Paragraphe 19</w:t>
            </w:r>
            <w:r w:rsidR="00A40835">
              <w:rPr>
                <w:b/>
                <w:szCs w:val="24"/>
                <w:lang w:val="fr-FR"/>
              </w:rPr>
              <w:t> :</w:t>
            </w:r>
            <w:r w:rsidRPr="00F14E70">
              <w:rPr>
                <w:b/>
                <w:szCs w:val="24"/>
                <w:lang w:val="fr-FR"/>
              </w:rPr>
              <w:t xml:space="preserve"> Travail forcé</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b/>
                <w:szCs w:val="24"/>
                <w:lang w:val="fr-FR" w:eastAsia="fr-FR"/>
              </w:rPr>
            </w:pPr>
            <w:r w:rsidRPr="00F14E70">
              <w:rPr>
                <w:b/>
                <w:szCs w:val="24"/>
                <w:lang w:val="fr-FR" w:eastAsia="fr-FR"/>
              </w:rPr>
              <w:t>L</w:t>
            </w:r>
            <w:r>
              <w:rPr>
                <w:b/>
                <w:szCs w:val="24"/>
                <w:lang w:val="fr-FR" w:eastAsia="fr-FR"/>
              </w:rPr>
              <w:t>’</w:t>
            </w:r>
            <w:r w:rsidRPr="00F14E70">
              <w:rPr>
                <w:b/>
                <w:szCs w:val="24"/>
                <w:lang w:val="fr-FR" w:eastAsia="fr-FR"/>
              </w:rPr>
              <w:t>État partie devrait mettre fin au travail forcé dans les secteurs du coton et de la soie, entre autres en faisant dûment appliquer le cadre juridique qui interdit le travail des enfants et le travail forcé et en réprimant sévèrement toute violation, et en améliorant les conditions de travail et de vie dans ces secteurs</w:t>
            </w:r>
            <w:r w:rsidRPr="00F14E70">
              <w:rPr>
                <w:b/>
                <w:szCs w:val="24"/>
                <w:lang w:val="fr-FR"/>
              </w:rPr>
              <w:t xml:space="preserve">. </w:t>
            </w:r>
            <w:r w:rsidRPr="00F14E70">
              <w:rPr>
                <w:b/>
                <w:szCs w:val="24"/>
                <w:lang w:val="fr-FR" w:eastAsia="fr-FR"/>
              </w:rPr>
              <w:t>Il devrait également revoir ses lois et sa pratique pour garantir la transparence financière et lutter contre la corruption dans l</w:t>
            </w:r>
            <w:r>
              <w:rPr>
                <w:b/>
                <w:szCs w:val="24"/>
                <w:lang w:val="fr-FR" w:eastAsia="fr-FR"/>
              </w:rPr>
              <w:t>’</w:t>
            </w:r>
            <w:r w:rsidRPr="00F14E70">
              <w:rPr>
                <w:b/>
                <w:szCs w:val="24"/>
                <w:lang w:val="fr-FR" w:eastAsia="fr-FR"/>
              </w:rPr>
              <w:t xml:space="preserve">industrie cotonnière et prendre toutes les mesures nécessaires </w:t>
            </w:r>
            <w:r w:rsidRPr="00F14E70">
              <w:rPr>
                <w:b/>
                <w:szCs w:val="24"/>
                <w:lang w:val="fr-FR" w:eastAsia="fr-FR"/>
              </w:rPr>
              <w:lastRenderedPageBreak/>
              <w:t xml:space="preserve">pour prévenir </w:t>
            </w:r>
            <w:r>
              <w:rPr>
                <w:b/>
                <w:szCs w:val="24"/>
                <w:lang w:val="fr-FR" w:eastAsia="fr-FR"/>
              </w:rPr>
              <w:t>l</w:t>
            </w:r>
            <w:r w:rsidRPr="00F14E70">
              <w:rPr>
                <w:b/>
                <w:szCs w:val="24"/>
                <w:lang w:val="fr-FR" w:eastAsia="fr-FR"/>
              </w:rPr>
              <w:t>es décès liés à la récolte du coton, conduire une enquête approfondie lorsque de tels décès surviennent et accorder une réparation utile, y compris une indemnisation adéquate, aux familles des victimes</w:t>
            </w:r>
            <w:r w:rsidRPr="00F14E70">
              <w:rPr>
                <w:b/>
                <w:szCs w:val="24"/>
                <w:lang w:val="fr-FR"/>
              </w:rPr>
              <w:t xml:space="preserve">. </w:t>
            </w:r>
          </w:p>
        </w:tc>
      </w:tr>
      <w:tr w:rsidR="00231AA4" w:rsidRPr="00E2006A" w:rsidTr="00A40835">
        <w:tc>
          <w:tcPr>
            <w:tcW w:w="7370" w:type="dxa"/>
            <w:gridSpan w:val="2"/>
            <w:shd w:val="clear" w:color="auto" w:fill="auto"/>
          </w:tcPr>
          <w:p w:rsidR="00231AA4" w:rsidRPr="00F14E70" w:rsidRDefault="00231AA4" w:rsidP="00A40835">
            <w:pPr>
              <w:spacing w:before="40" w:after="120"/>
              <w:ind w:right="113"/>
              <w:rPr>
                <w:b/>
                <w:szCs w:val="24"/>
                <w:lang w:val="fr-FR"/>
              </w:rPr>
            </w:pPr>
            <w:r w:rsidRPr="00F14E70">
              <w:rPr>
                <w:b/>
                <w:szCs w:val="24"/>
                <w:lang w:val="fr-FR"/>
              </w:rPr>
              <w:lastRenderedPageBreak/>
              <w:t>Résumé de la réponse de l</w:t>
            </w:r>
            <w:r>
              <w:rPr>
                <w:b/>
                <w:szCs w:val="24"/>
                <w:lang w:val="fr-FR"/>
              </w:rPr>
              <w:t>’</w:t>
            </w:r>
            <w:r w:rsidRPr="00F14E70">
              <w:rPr>
                <w:b/>
                <w:szCs w:val="24"/>
                <w:lang w:val="fr-FR"/>
              </w:rPr>
              <w:t>État partie</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szCs w:val="24"/>
                <w:lang w:val="fr-FR"/>
              </w:rPr>
            </w:pPr>
            <w:r w:rsidRPr="00F14E70">
              <w:rPr>
                <w:szCs w:val="24"/>
                <w:lang w:val="fr-FR"/>
              </w:rPr>
              <w:t>Un Conseil de coordination du travail des enfants a été créé</w:t>
            </w:r>
            <w:r w:rsidR="00A40835">
              <w:rPr>
                <w:szCs w:val="24"/>
                <w:lang w:val="fr-FR"/>
              </w:rPr>
              <w:t> ;</w:t>
            </w:r>
            <w:r w:rsidRPr="00F14E70">
              <w:rPr>
                <w:szCs w:val="24"/>
                <w:lang w:val="fr-FR"/>
              </w:rPr>
              <w:t xml:space="preserve"> il est composé de représentants des autorités, de syndicats, d</w:t>
            </w:r>
            <w:r>
              <w:rPr>
                <w:szCs w:val="24"/>
                <w:lang w:val="fr-FR"/>
              </w:rPr>
              <w:t>’</w:t>
            </w:r>
            <w:r w:rsidRPr="00F14E70">
              <w:rPr>
                <w:szCs w:val="24"/>
                <w:lang w:val="fr-FR"/>
              </w:rPr>
              <w:t>organisations d</w:t>
            </w:r>
            <w:r>
              <w:rPr>
                <w:szCs w:val="24"/>
                <w:lang w:val="fr-FR"/>
              </w:rPr>
              <w:t>’</w:t>
            </w:r>
            <w:r w:rsidRPr="00F14E70">
              <w:rPr>
                <w:szCs w:val="24"/>
                <w:lang w:val="fr-FR"/>
              </w:rPr>
              <w:t>employeurs et autres organisations de la société civile ainsi que d</w:t>
            </w:r>
            <w:r>
              <w:rPr>
                <w:szCs w:val="24"/>
                <w:lang w:val="fr-FR"/>
              </w:rPr>
              <w:t>’</w:t>
            </w:r>
            <w:r w:rsidRPr="00F14E70">
              <w:rPr>
                <w:szCs w:val="24"/>
                <w:lang w:val="fr-FR"/>
              </w:rPr>
              <w:t>organisations internationales.</w:t>
            </w:r>
          </w:p>
        </w:tc>
      </w:tr>
      <w:tr w:rsidR="00231AA4" w:rsidRPr="00E2006A" w:rsidTr="00A40835">
        <w:tc>
          <w:tcPr>
            <w:tcW w:w="7370" w:type="dxa"/>
            <w:gridSpan w:val="2"/>
            <w:shd w:val="clear" w:color="auto" w:fill="auto"/>
          </w:tcPr>
          <w:p w:rsidR="00231AA4" w:rsidRPr="00F14E70" w:rsidRDefault="00231AA4" w:rsidP="007E3A64">
            <w:pPr>
              <w:spacing w:before="40" w:after="120"/>
              <w:ind w:right="113"/>
              <w:jc w:val="both"/>
              <w:rPr>
                <w:szCs w:val="24"/>
                <w:lang w:val="fr-FR"/>
              </w:rPr>
            </w:pPr>
            <w:r w:rsidRPr="00F14E70">
              <w:rPr>
                <w:szCs w:val="24"/>
                <w:lang w:val="fr-FR"/>
              </w:rPr>
              <w:t>L</w:t>
            </w:r>
            <w:r>
              <w:rPr>
                <w:szCs w:val="24"/>
                <w:lang w:val="fr-FR"/>
              </w:rPr>
              <w:t>’</w:t>
            </w:r>
            <w:r w:rsidRPr="00F14E70">
              <w:rPr>
                <w:szCs w:val="24"/>
                <w:lang w:val="fr-FR"/>
              </w:rPr>
              <w:t xml:space="preserve">État partie rappelle les informations déjà communiquées au sujet de la surveillance du travail des enfants pour la période 2014-2016 (voir </w:t>
            </w:r>
            <w:hyperlink r:id="rId31" w:history="1">
              <w:r w:rsidRPr="007E3A64">
                <w:rPr>
                  <w:rStyle w:val="Lienhypertextesuivivisit"/>
                </w:rPr>
                <w:t>CC</w:t>
              </w:r>
              <w:r w:rsidRPr="007E3A64">
                <w:rPr>
                  <w:rStyle w:val="Lienhypertextesuivivisit"/>
                </w:rPr>
                <w:t>P</w:t>
              </w:r>
              <w:r w:rsidRPr="007E3A64">
                <w:rPr>
                  <w:rStyle w:val="Lienhypertextesuivivisit"/>
                </w:rPr>
                <w:t>R/C/UZB/Q/4/Add.1</w:t>
              </w:r>
            </w:hyperlink>
            <w:r w:rsidRPr="00F14E70">
              <w:rPr>
                <w:szCs w:val="24"/>
                <w:lang w:val="fr-FR"/>
              </w:rPr>
              <w:t>, par.</w:t>
            </w:r>
            <w:r w:rsidR="007E3A64">
              <w:rPr>
                <w:szCs w:val="24"/>
                <w:lang w:val="fr-FR"/>
              </w:rPr>
              <w:t> </w:t>
            </w:r>
            <w:r w:rsidRPr="00F14E70">
              <w:rPr>
                <w:szCs w:val="24"/>
                <w:lang w:val="fr-FR"/>
              </w:rPr>
              <w:t xml:space="preserve">117). </w:t>
            </w:r>
          </w:p>
        </w:tc>
      </w:tr>
      <w:tr w:rsidR="00231AA4" w:rsidRPr="00E2006A" w:rsidTr="00A40835">
        <w:tc>
          <w:tcPr>
            <w:tcW w:w="7370" w:type="dxa"/>
            <w:gridSpan w:val="2"/>
            <w:shd w:val="clear" w:color="auto" w:fill="auto"/>
          </w:tcPr>
          <w:p w:rsidR="00231AA4" w:rsidRPr="00F14E70" w:rsidRDefault="00231AA4" w:rsidP="00164346">
            <w:pPr>
              <w:spacing w:before="40" w:after="120"/>
              <w:ind w:right="113"/>
              <w:jc w:val="both"/>
              <w:rPr>
                <w:szCs w:val="24"/>
                <w:lang w:val="fr-FR"/>
              </w:rPr>
            </w:pPr>
            <w:r>
              <w:rPr>
                <w:szCs w:val="24"/>
                <w:lang w:val="fr-FR"/>
              </w:rPr>
              <w:t>En juin 2015, u</w:t>
            </w:r>
            <w:r w:rsidRPr="00F14E70">
              <w:rPr>
                <w:szCs w:val="24"/>
                <w:lang w:val="fr-FR"/>
              </w:rPr>
              <w:t>n plan d</w:t>
            </w:r>
            <w:r>
              <w:rPr>
                <w:szCs w:val="24"/>
                <w:lang w:val="fr-FR"/>
              </w:rPr>
              <w:t>’</w:t>
            </w:r>
            <w:r w:rsidRPr="00F14E70">
              <w:rPr>
                <w:szCs w:val="24"/>
                <w:lang w:val="fr-FR"/>
              </w:rPr>
              <w:t>action relatif au recrutement des cueilleurs de coton et à la prévention du travail des enfants et du travail forcé dans la récolte du coton a été adopté. Des activités de sensibilisation ont été organisées</w:t>
            </w:r>
            <w:r>
              <w:rPr>
                <w:szCs w:val="24"/>
                <w:lang w:val="fr-FR"/>
              </w:rPr>
              <w:t>,</w:t>
            </w:r>
            <w:r w:rsidRPr="00F14E70">
              <w:rPr>
                <w:szCs w:val="24"/>
                <w:lang w:val="fr-FR"/>
              </w:rPr>
              <w:t xml:space="preserve"> et le Comité des femmes d</w:t>
            </w:r>
            <w:r>
              <w:rPr>
                <w:szCs w:val="24"/>
                <w:lang w:val="fr-FR"/>
              </w:rPr>
              <w:t>’</w:t>
            </w:r>
            <w:r w:rsidRPr="00F14E70">
              <w:rPr>
                <w:szCs w:val="24"/>
                <w:lang w:val="fr-FR"/>
              </w:rPr>
              <w:t>Ouzbékistan, les fondations Makhalla et Nuronii, ainsi que le mouvement de la jeunesse Kamolot, ont assuré la surveillance du recrutement des travailleurs pendant la récolte.</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szCs w:val="24"/>
                <w:lang w:val="fr-FR"/>
              </w:rPr>
            </w:pPr>
            <w:r w:rsidRPr="00F14E70">
              <w:rPr>
                <w:szCs w:val="24"/>
                <w:lang w:val="fr-FR"/>
              </w:rPr>
              <w:t>Les activités de surveillance menées</w:t>
            </w:r>
            <w:r>
              <w:rPr>
                <w:szCs w:val="24"/>
                <w:lang w:val="fr-FR"/>
              </w:rPr>
              <w:t xml:space="preserve"> en 2015 ont concerné quelque 1 100 </w:t>
            </w:r>
            <w:r w:rsidRPr="00F14E70">
              <w:rPr>
                <w:szCs w:val="24"/>
                <w:lang w:val="fr-FR"/>
              </w:rPr>
              <w:t>entités dans 10 provinces. Environ 9</w:t>
            </w:r>
            <w:r>
              <w:rPr>
                <w:szCs w:val="24"/>
                <w:lang w:val="fr-FR"/>
              </w:rPr>
              <w:t> 620 </w:t>
            </w:r>
            <w:r w:rsidRPr="00F14E70">
              <w:rPr>
                <w:szCs w:val="24"/>
                <w:lang w:val="fr-FR"/>
              </w:rPr>
              <w:t>entretiens ont été menés. Les visites effectuées par les groupes de surveillance, dont le Service d</w:t>
            </w:r>
            <w:r>
              <w:rPr>
                <w:szCs w:val="24"/>
                <w:lang w:val="fr-FR"/>
              </w:rPr>
              <w:t>’</w:t>
            </w:r>
            <w:r w:rsidRPr="00F14E70">
              <w:rPr>
                <w:szCs w:val="24"/>
                <w:lang w:val="fr-FR"/>
              </w:rPr>
              <w:t>inspection juridique du travail, ont confirmé l</w:t>
            </w:r>
            <w:r>
              <w:rPr>
                <w:szCs w:val="24"/>
                <w:lang w:val="fr-FR"/>
              </w:rPr>
              <w:t>’</w:t>
            </w:r>
            <w:r w:rsidRPr="00F14E70">
              <w:rPr>
                <w:szCs w:val="24"/>
                <w:lang w:val="fr-FR"/>
              </w:rPr>
              <w:t>efficacité des activités de sensibilisation à l</w:t>
            </w:r>
            <w:r>
              <w:rPr>
                <w:szCs w:val="24"/>
                <w:lang w:val="fr-FR"/>
              </w:rPr>
              <w:t>’</w:t>
            </w:r>
            <w:r w:rsidRPr="00F14E70">
              <w:rPr>
                <w:szCs w:val="24"/>
                <w:lang w:val="fr-FR"/>
              </w:rPr>
              <w:t>interdiction du travail forcé et du recrutement de professionnels de la santé et d</w:t>
            </w:r>
            <w:r>
              <w:rPr>
                <w:szCs w:val="24"/>
                <w:lang w:val="fr-FR"/>
              </w:rPr>
              <w:t>’</w:t>
            </w:r>
            <w:r w:rsidRPr="00F14E70">
              <w:rPr>
                <w:szCs w:val="24"/>
                <w:lang w:val="fr-FR"/>
              </w:rPr>
              <w:t>enseignants pendant la récolte du coton.</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szCs w:val="24"/>
                <w:lang w:val="fr-FR"/>
              </w:rPr>
            </w:pPr>
            <w:r w:rsidRPr="00F14E70">
              <w:rPr>
                <w:szCs w:val="24"/>
                <w:lang w:val="fr-FR"/>
              </w:rPr>
              <w:t>Le Conseil de coordination du travail des enfants a mis en place un mécanisme de retour d</w:t>
            </w:r>
            <w:r>
              <w:rPr>
                <w:szCs w:val="24"/>
                <w:lang w:val="fr-FR"/>
              </w:rPr>
              <w:t>’</w:t>
            </w:r>
            <w:r w:rsidRPr="00F14E70">
              <w:rPr>
                <w:szCs w:val="24"/>
                <w:lang w:val="fr-FR"/>
              </w:rPr>
              <w:t>information afin, notamment, de traiter les plaintes. Des plaintes ont été déposées et ont donné lieu à des enquêtes, mais aucun cas de travail forcé n</w:t>
            </w:r>
            <w:r>
              <w:rPr>
                <w:szCs w:val="24"/>
                <w:lang w:val="fr-FR"/>
              </w:rPr>
              <w:t>’</w:t>
            </w:r>
            <w:r w:rsidRPr="00F14E70">
              <w:rPr>
                <w:szCs w:val="24"/>
                <w:lang w:val="fr-FR"/>
              </w:rPr>
              <w:t>a été établi.</w:t>
            </w:r>
          </w:p>
        </w:tc>
      </w:tr>
      <w:tr w:rsidR="00231AA4" w:rsidRPr="00E2006A" w:rsidTr="00A40835">
        <w:tc>
          <w:tcPr>
            <w:tcW w:w="7370" w:type="dxa"/>
            <w:gridSpan w:val="2"/>
            <w:shd w:val="clear" w:color="auto" w:fill="auto"/>
          </w:tcPr>
          <w:p w:rsidR="00231AA4" w:rsidRPr="00F14E70" w:rsidRDefault="00231AA4" w:rsidP="00B34C13">
            <w:pPr>
              <w:spacing w:before="40" w:after="120"/>
              <w:ind w:right="113"/>
              <w:jc w:val="both"/>
              <w:rPr>
                <w:szCs w:val="24"/>
                <w:lang w:val="fr-FR"/>
              </w:rPr>
            </w:pPr>
            <w:r w:rsidRPr="00F14E70">
              <w:rPr>
                <w:szCs w:val="24"/>
                <w:lang w:val="fr-FR"/>
              </w:rPr>
              <w:t>Des inspecteurs se sont rendus dans quelque 254</w:t>
            </w:r>
            <w:r w:rsidR="00B34C13">
              <w:rPr>
                <w:szCs w:val="24"/>
                <w:lang w:val="fr-FR"/>
              </w:rPr>
              <w:t> </w:t>
            </w:r>
            <w:r w:rsidRPr="00F14E70">
              <w:rPr>
                <w:szCs w:val="24"/>
                <w:lang w:val="fr-FR"/>
              </w:rPr>
              <w:t>champs de cot</w:t>
            </w:r>
            <w:r>
              <w:rPr>
                <w:szCs w:val="24"/>
                <w:lang w:val="fr-FR"/>
              </w:rPr>
              <w:t>on et se sont entretenus avec 1 456 </w:t>
            </w:r>
            <w:r w:rsidRPr="00F14E70">
              <w:rPr>
                <w:szCs w:val="24"/>
                <w:lang w:val="fr-FR"/>
              </w:rPr>
              <w:t>cueilleurs</w:t>
            </w:r>
            <w:r>
              <w:rPr>
                <w:szCs w:val="24"/>
                <w:lang w:val="fr-FR"/>
              </w:rPr>
              <w:t xml:space="preserve"> de coton, 263 exploitants et 7 </w:t>
            </w:r>
            <w:r w:rsidRPr="00F14E70">
              <w:rPr>
                <w:szCs w:val="24"/>
                <w:lang w:val="fr-FR"/>
              </w:rPr>
              <w:t>enfants</w:t>
            </w:r>
            <w:r w:rsidR="00A40835">
              <w:rPr>
                <w:szCs w:val="24"/>
                <w:lang w:val="fr-FR"/>
              </w:rPr>
              <w:t> ;</w:t>
            </w:r>
            <w:r w:rsidRPr="00F14E70">
              <w:rPr>
                <w:szCs w:val="24"/>
                <w:lang w:val="fr-FR"/>
              </w:rPr>
              <w:t xml:space="preserve"> ils n</w:t>
            </w:r>
            <w:r>
              <w:rPr>
                <w:szCs w:val="24"/>
                <w:lang w:val="fr-FR"/>
              </w:rPr>
              <w:t>’</w:t>
            </w:r>
            <w:r w:rsidRPr="00F14E70">
              <w:rPr>
                <w:szCs w:val="24"/>
                <w:lang w:val="fr-FR"/>
              </w:rPr>
              <w:t>ont constaté aucun cas de travail des enfants ou de travail forcé.</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szCs w:val="24"/>
                <w:lang w:val="fr-FR"/>
              </w:rPr>
            </w:pPr>
            <w:r w:rsidRPr="00F14E70">
              <w:rPr>
                <w:szCs w:val="24"/>
                <w:lang w:val="fr-FR"/>
              </w:rPr>
              <w:t>Dans son rapport sur les résultats des activités de surveillance et sur l</w:t>
            </w:r>
            <w:r>
              <w:rPr>
                <w:szCs w:val="24"/>
                <w:lang w:val="fr-FR"/>
              </w:rPr>
              <w:t>’</w:t>
            </w:r>
            <w:r w:rsidRPr="00F14E70">
              <w:rPr>
                <w:szCs w:val="24"/>
                <w:lang w:val="fr-FR"/>
              </w:rPr>
              <w:t>efficacité du mécanisme de retour d</w:t>
            </w:r>
            <w:r>
              <w:rPr>
                <w:szCs w:val="24"/>
                <w:lang w:val="fr-FR"/>
              </w:rPr>
              <w:t>’</w:t>
            </w:r>
            <w:r w:rsidRPr="00F14E70">
              <w:rPr>
                <w:szCs w:val="24"/>
                <w:lang w:val="fr-FR"/>
              </w:rPr>
              <w:t>information, la mission de l</w:t>
            </w:r>
            <w:r>
              <w:rPr>
                <w:szCs w:val="24"/>
                <w:lang w:val="fr-FR"/>
              </w:rPr>
              <w:t>’</w:t>
            </w:r>
            <w:r w:rsidRPr="00F14E70">
              <w:rPr>
                <w:szCs w:val="24"/>
                <w:lang w:val="fr-FR"/>
              </w:rPr>
              <w:t>Organisation internationale du Travail (OIT) a noté que les autorités étaient déterminées à interdire le travail des enfants et le travail forcé, que ce type de travail était socialement inacceptable</w:t>
            </w:r>
            <w:r>
              <w:rPr>
                <w:szCs w:val="24"/>
                <w:lang w:val="fr-FR"/>
              </w:rPr>
              <w:t>,</w:t>
            </w:r>
            <w:r w:rsidRPr="00F14E70">
              <w:rPr>
                <w:szCs w:val="24"/>
                <w:lang w:val="fr-FR"/>
              </w:rPr>
              <w:t xml:space="preserve"> et que la population avait conscience qu</w:t>
            </w:r>
            <w:r>
              <w:rPr>
                <w:szCs w:val="24"/>
                <w:lang w:val="fr-FR"/>
              </w:rPr>
              <w:t>’</w:t>
            </w:r>
            <w:r w:rsidRPr="00F14E70">
              <w:rPr>
                <w:szCs w:val="24"/>
                <w:lang w:val="fr-FR"/>
              </w:rPr>
              <w:t xml:space="preserve">un tel travail était inadmissible. </w:t>
            </w:r>
          </w:p>
        </w:tc>
      </w:tr>
      <w:tr w:rsidR="00231AA4" w:rsidRPr="00E2006A" w:rsidTr="00A40835">
        <w:tc>
          <w:tcPr>
            <w:tcW w:w="7370" w:type="dxa"/>
            <w:gridSpan w:val="2"/>
            <w:shd w:val="clear" w:color="auto" w:fill="auto"/>
          </w:tcPr>
          <w:p w:rsidR="00231AA4" w:rsidRPr="00F14E70" w:rsidRDefault="00231AA4" w:rsidP="00164346">
            <w:pPr>
              <w:spacing w:before="40" w:after="120"/>
              <w:ind w:right="113"/>
              <w:jc w:val="both"/>
              <w:rPr>
                <w:szCs w:val="24"/>
                <w:lang w:val="fr-FR"/>
              </w:rPr>
            </w:pPr>
            <w:r w:rsidRPr="00F14E70">
              <w:rPr>
                <w:szCs w:val="24"/>
                <w:lang w:val="fr-FR"/>
              </w:rPr>
              <w:t>Des plans d</w:t>
            </w:r>
            <w:r>
              <w:rPr>
                <w:szCs w:val="24"/>
                <w:lang w:val="fr-FR"/>
              </w:rPr>
              <w:t>’</w:t>
            </w:r>
            <w:r w:rsidRPr="00F14E70">
              <w:rPr>
                <w:szCs w:val="24"/>
                <w:lang w:val="fr-FR"/>
              </w:rPr>
              <w:t>action pour l</w:t>
            </w:r>
            <w:r>
              <w:rPr>
                <w:szCs w:val="24"/>
                <w:lang w:val="fr-FR"/>
              </w:rPr>
              <w:t>’</w:t>
            </w:r>
            <w:r w:rsidRPr="00F14E70">
              <w:rPr>
                <w:szCs w:val="24"/>
                <w:lang w:val="fr-FR"/>
              </w:rPr>
              <w:t>amélioration des conditions de travail et d</w:t>
            </w:r>
            <w:r>
              <w:rPr>
                <w:szCs w:val="24"/>
                <w:lang w:val="fr-FR"/>
              </w:rPr>
              <w:t>’</w:t>
            </w:r>
            <w:r w:rsidRPr="00F14E70">
              <w:rPr>
                <w:szCs w:val="24"/>
                <w:lang w:val="fr-FR"/>
              </w:rPr>
              <w:t>emploi et de la protection sociale des travailleurs ruraux pour la période 2016</w:t>
            </w:r>
            <w:r>
              <w:rPr>
                <w:szCs w:val="24"/>
                <w:lang w:val="fr-FR"/>
              </w:rPr>
              <w:noBreakHyphen/>
            </w:r>
            <w:r w:rsidRPr="00F14E70">
              <w:rPr>
                <w:szCs w:val="24"/>
                <w:lang w:val="fr-FR"/>
              </w:rPr>
              <w:t>2018, et pour la mise en œuvre des conventions de l</w:t>
            </w:r>
            <w:r>
              <w:rPr>
                <w:szCs w:val="24"/>
                <w:lang w:val="fr-FR"/>
              </w:rPr>
              <w:t>’</w:t>
            </w:r>
            <w:r w:rsidRPr="00F14E70">
              <w:rPr>
                <w:szCs w:val="24"/>
                <w:lang w:val="fr-FR"/>
              </w:rPr>
              <w:t>OIT relatives à l</w:t>
            </w:r>
            <w:r>
              <w:rPr>
                <w:szCs w:val="24"/>
                <w:lang w:val="fr-FR"/>
              </w:rPr>
              <w:t>’</w:t>
            </w:r>
            <w:r w:rsidRPr="00F14E70">
              <w:rPr>
                <w:szCs w:val="24"/>
                <w:lang w:val="fr-FR"/>
              </w:rPr>
              <w:t>interdiction du travail forcé et du travail d</w:t>
            </w:r>
            <w:r>
              <w:rPr>
                <w:szCs w:val="24"/>
                <w:lang w:val="fr-FR"/>
              </w:rPr>
              <w:t>es enfants ont été adoptés le 5 </w:t>
            </w:r>
            <w:r w:rsidRPr="00F14E70">
              <w:rPr>
                <w:szCs w:val="24"/>
                <w:lang w:val="fr-FR"/>
              </w:rPr>
              <w:t xml:space="preserve">janvier et le 19 mars 2016, respectivement. </w:t>
            </w:r>
          </w:p>
        </w:tc>
      </w:tr>
      <w:tr w:rsidR="00231AA4" w:rsidRPr="00E2006A" w:rsidTr="00A40835">
        <w:tc>
          <w:tcPr>
            <w:tcW w:w="7370" w:type="dxa"/>
            <w:gridSpan w:val="2"/>
            <w:shd w:val="clear" w:color="auto" w:fill="auto"/>
          </w:tcPr>
          <w:p w:rsidR="00231AA4" w:rsidRPr="00F14E70" w:rsidRDefault="00231AA4" w:rsidP="00A40835">
            <w:pPr>
              <w:keepNext/>
              <w:spacing w:before="40" w:after="120"/>
              <w:ind w:right="113"/>
              <w:rPr>
                <w:b/>
                <w:szCs w:val="24"/>
                <w:lang w:val="fr-FR"/>
              </w:rPr>
            </w:pPr>
            <w:r w:rsidRPr="00F14E70">
              <w:rPr>
                <w:b/>
                <w:szCs w:val="24"/>
                <w:lang w:val="fr-FR"/>
              </w:rPr>
              <w:t>Évaluation du Comité</w:t>
            </w:r>
          </w:p>
        </w:tc>
      </w:tr>
      <w:tr w:rsidR="00231AA4" w:rsidRPr="00E2006A" w:rsidTr="00A40835">
        <w:tc>
          <w:tcPr>
            <w:tcW w:w="7370" w:type="dxa"/>
            <w:gridSpan w:val="2"/>
            <w:shd w:val="clear" w:color="auto" w:fill="auto"/>
          </w:tcPr>
          <w:p w:rsidR="00231AA4" w:rsidRPr="00F14E70" w:rsidRDefault="00231AA4" w:rsidP="00164346">
            <w:pPr>
              <w:spacing w:before="40" w:after="120"/>
              <w:ind w:right="113"/>
              <w:jc w:val="both"/>
              <w:rPr>
                <w:szCs w:val="24"/>
                <w:lang w:val="fr-FR"/>
              </w:rPr>
            </w:pPr>
            <w:r w:rsidRPr="00F14E70">
              <w:rPr>
                <w:b/>
                <w:szCs w:val="24"/>
                <w:lang w:val="fr-FR"/>
              </w:rPr>
              <w:t>[B]</w:t>
            </w:r>
            <w:r w:rsidR="00A40835">
              <w:rPr>
                <w:b/>
                <w:szCs w:val="24"/>
                <w:lang w:val="fr-FR"/>
              </w:rPr>
              <w:t> :</w:t>
            </w:r>
            <w:r w:rsidRPr="00F14E70">
              <w:rPr>
                <w:b/>
                <w:szCs w:val="24"/>
                <w:lang w:val="fr-FR"/>
              </w:rPr>
              <w:t xml:space="preserve"> </w:t>
            </w:r>
            <w:r w:rsidRPr="00F14E70">
              <w:rPr>
                <w:szCs w:val="24"/>
                <w:lang w:val="fr-FR"/>
              </w:rPr>
              <w:t>Le Comité prend note des mesures prises pour</w:t>
            </w:r>
            <w:r w:rsidR="00164346">
              <w:rPr>
                <w:szCs w:val="24"/>
                <w:lang w:val="fr-FR"/>
              </w:rPr>
              <w:t> :</w:t>
            </w:r>
            <w:r w:rsidRPr="00F14E70">
              <w:rPr>
                <w:szCs w:val="24"/>
                <w:lang w:val="fr-FR"/>
              </w:rPr>
              <w:t xml:space="preserve"> éliminer le travail forcé dans l</w:t>
            </w:r>
            <w:r>
              <w:rPr>
                <w:szCs w:val="24"/>
                <w:lang w:val="fr-FR"/>
              </w:rPr>
              <w:t>’</w:t>
            </w:r>
            <w:r w:rsidRPr="00F14E70">
              <w:rPr>
                <w:szCs w:val="24"/>
                <w:lang w:val="fr-FR"/>
              </w:rPr>
              <w:t>industrie cotonnière</w:t>
            </w:r>
            <w:r w:rsidR="00A40835">
              <w:rPr>
                <w:szCs w:val="24"/>
                <w:lang w:val="fr-FR"/>
              </w:rPr>
              <w:t xml:space="preserve"> </w:t>
            </w:r>
            <w:r>
              <w:rPr>
                <w:szCs w:val="24"/>
                <w:lang w:val="fr-FR"/>
              </w:rPr>
              <w:t>mais</w:t>
            </w:r>
            <w:r w:rsidRPr="00F14E70">
              <w:rPr>
                <w:szCs w:val="24"/>
                <w:lang w:val="fr-FR"/>
              </w:rPr>
              <w:t xml:space="preserve"> demande des renseignements complémentaires sur</w:t>
            </w:r>
            <w:r w:rsidR="00A40835">
              <w:rPr>
                <w:szCs w:val="24"/>
                <w:lang w:val="fr-FR"/>
              </w:rPr>
              <w:t> :</w:t>
            </w:r>
            <w:r w:rsidRPr="00F14E70">
              <w:rPr>
                <w:szCs w:val="24"/>
                <w:lang w:val="fr-FR"/>
              </w:rPr>
              <w:t xml:space="preserve"> a) toute autre mesure prise pour réduire le risque de travail forcé des adultes et des élèves de plus de 16 </w:t>
            </w:r>
            <w:r>
              <w:rPr>
                <w:szCs w:val="24"/>
                <w:lang w:val="fr-FR"/>
              </w:rPr>
              <w:t>ans pendant la récolte du coton</w:t>
            </w:r>
            <w:r w:rsidR="00A40835">
              <w:rPr>
                <w:szCs w:val="24"/>
                <w:lang w:val="fr-FR"/>
              </w:rPr>
              <w:t> ;</w:t>
            </w:r>
            <w:r w:rsidRPr="00F14E70">
              <w:rPr>
                <w:szCs w:val="24"/>
                <w:lang w:val="fr-FR"/>
              </w:rPr>
              <w:t xml:space="preserve"> b) les effets des deux plans d</w:t>
            </w:r>
            <w:r>
              <w:rPr>
                <w:szCs w:val="24"/>
                <w:lang w:val="fr-FR"/>
              </w:rPr>
              <w:t>’</w:t>
            </w:r>
            <w:r w:rsidRPr="00F14E70">
              <w:rPr>
                <w:szCs w:val="24"/>
                <w:lang w:val="fr-FR"/>
              </w:rPr>
              <w:t>action adoptés en 2016 pour améliorer les conditions de travail et d</w:t>
            </w:r>
            <w:r>
              <w:rPr>
                <w:szCs w:val="24"/>
                <w:lang w:val="fr-FR"/>
              </w:rPr>
              <w:t>’</w:t>
            </w:r>
            <w:r w:rsidRPr="00F14E70">
              <w:rPr>
                <w:szCs w:val="24"/>
                <w:lang w:val="fr-FR"/>
              </w:rPr>
              <w:t>emploi et la protection sociale des travailleurs ruraux pour la période 2016-2018</w:t>
            </w:r>
            <w:r w:rsidR="00164346">
              <w:rPr>
                <w:szCs w:val="24"/>
                <w:lang w:val="fr-FR"/>
              </w:rPr>
              <w:t> ; et</w:t>
            </w:r>
            <w:r w:rsidRPr="00F14E70">
              <w:rPr>
                <w:szCs w:val="24"/>
                <w:lang w:val="fr-FR"/>
              </w:rPr>
              <w:t xml:space="preserve"> appliquer</w:t>
            </w:r>
            <w:r>
              <w:rPr>
                <w:szCs w:val="24"/>
                <w:lang w:val="fr-FR"/>
              </w:rPr>
              <w:t xml:space="preserve"> en 2016</w:t>
            </w:r>
            <w:r w:rsidRPr="00F14E70">
              <w:rPr>
                <w:szCs w:val="24"/>
                <w:lang w:val="fr-FR"/>
              </w:rPr>
              <w:t xml:space="preserve"> les conventions de l</w:t>
            </w:r>
            <w:r>
              <w:rPr>
                <w:szCs w:val="24"/>
                <w:lang w:val="fr-FR"/>
              </w:rPr>
              <w:t>’</w:t>
            </w:r>
            <w:r w:rsidRPr="00F14E70">
              <w:rPr>
                <w:szCs w:val="24"/>
                <w:lang w:val="fr-FR"/>
              </w:rPr>
              <w:t>OIT relatives à l</w:t>
            </w:r>
            <w:r>
              <w:rPr>
                <w:szCs w:val="24"/>
                <w:lang w:val="fr-FR"/>
              </w:rPr>
              <w:t>’</w:t>
            </w:r>
            <w:r w:rsidRPr="00F14E70">
              <w:rPr>
                <w:szCs w:val="24"/>
                <w:lang w:val="fr-FR"/>
              </w:rPr>
              <w:t xml:space="preserve">interdiction du travail forcé et du travail des enfants et </w:t>
            </w:r>
            <w:r>
              <w:rPr>
                <w:szCs w:val="24"/>
                <w:lang w:val="fr-FR"/>
              </w:rPr>
              <w:t xml:space="preserve">visant à </w:t>
            </w:r>
            <w:r w:rsidRPr="00F14E70">
              <w:rPr>
                <w:szCs w:val="24"/>
                <w:lang w:val="fr-FR"/>
              </w:rPr>
              <w:t>mettre un terme au travail forcé dans l</w:t>
            </w:r>
            <w:r>
              <w:rPr>
                <w:szCs w:val="24"/>
                <w:lang w:val="fr-FR"/>
              </w:rPr>
              <w:t>’</w:t>
            </w:r>
            <w:r w:rsidRPr="00F14E70">
              <w:rPr>
                <w:szCs w:val="24"/>
                <w:lang w:val="fr-FR"/>
              </w:rPr>
              <w:t>industrie cotonnière.</w:t>
            </w:r>
          </w:p>
        </w:tc>
      </w:tr>
      <w:tr w:rsidR="00231AA4" w:rsidRPr="00E2006A" w:rsidTr="00A40835">
        <w:tc>
          <w:tcPr>
            <w:tcW w:w="7370" w:type="dxa"/>
            <w:gridSpan w:val="2"/>
            <w:shd w:val="clear" w:color="auto" w:fill="auto"/>
          </w:tcPr>
          <w:p w:rsidR="00231AA4" w:rsidRPr="00F14E70" w:rsidRDefault="00231AA4" w:rsidP="003A3402">
            <w:pPr>
              <w:spacing w:before="40" w:after="120"/>
              <w:ind w:right="113"/>
              <w:jc w:val="both"/>
              <w:rPr>
                <w:b/>
                <w:szCs w:val="24"/>
                <w:lang w:val="fr-FR"/>
              </w:rPr>
            </w:pPr>
            <w:r w:rsidRPr="00F14E70">
              <w:rPr>
                <w:b/>
                <w:szCs w:val="24"/>
                <w:lang w:val="fr-FR"/>
              </w:rPr>
              <w:t>[C]</w:t>
            </w:r>
            <w:r w:rsidR="00A40835">
              <w:rPr>
                <w:b/>
                <w:szCs w:val="24"/>
                <w:lang w:val="fr-FR"/>
              </w:rPr>
              <w:t> :</w:t>
            </w:r>
            <w:r w:rsidRPr="00F14E70">
              <w:rPr>
                <w:b/>
                <w:szCs w:val="24"/>
                <w:lang w:val="fr-FR"/>
              </w:rPr>
              <w:t xml:space="preserve"> </w:t>
            </w:r>
            <w:r w:rsidRPr="00F14E70">
              <w:rPr>
                <w:szCs w:val="24"/>
                <w:lang w:val="fr-FR"/>
              </w:rPr>
              <w:t>Le Comité regrette qu</w:t>
            </w:r>
            <w:r>
              <w:rPr>
                <w:szCs w:val="24"/>
                <w:lang w:val="fr-FR"/>
              </w:rPr>
              <w:t>’</w:t>
            </w:r>
            <w:r w:rsidRPr="00F14E70">
              <w:rPr>
                <w:szCs w:val="24"/>
                <w:lang w:val="fr-FR"/>
              </w:rPr>
              <w:t>aucune information n</w:t>
            </w:r>
            <w:r>
              <w:rPr>
                <w:szCs w:val="24"/>
                <w:lang w:val="fr-FR"/>
              </w:rPr>
              <w:t>’</w:t>
            </w:r>
            <w:r w:rsidRPr="00F14E70">
              <w:rPr>
                <w:szCs w:val="24"/>
                <w:lang w:val="fr-FR"/>
              </w:rPr>
              <w:t>ait été communiquée sur les mesures prises pour assurer la transparence financière dans l</w:t>
            </w:r>
            <w:r>
              <w:rPr>
                <w:szCs w:val="24"/>
                <w:lang w:val="fr-FR"/>
              </w:rPr>
              <w:t>’</w:t>
            </w:r>
            <w:r w:rsidRPr="00F14E70">
              <w:rPr>
                <w:szCs w:val="24"/>
                <w:lang w:val="fr-FR"/>
              </w:rPr>
              <w:t>industrie cotonnière et s</w:t>
            </w:r>
            <w:r>
              <w:rPr>
                <w:szCs w:val="24"/>
                <w:lang w:val="fr-FR"/>
              </w:rPr>
              <w:t>’</w:t>
            </w:r>
            <w:r w:rsidRPr="00F14E70">
              <w:rPr>
                <w:szCs w:val="24"/>
                <w:lang w:val="fr-FR"/>
              </w:rPr>
              <w:t>attaquer à la corruption, prévenir les décès liés à la récolte du coton, conduire une enquête approfondie lorsque de tels décès surviennent et accorder une réparation utile, y compris une indemnisation adéquate, aux familles des victimes. Le Comité réitère sa recommandation.</w:t>
            </w:r>
          </w:p>
        </w:tc>
      </w:tr>
      <w:tr w:rsidR="00231AA4" w:rsidRPr="00E2006A" w:rsidTr="00A40835">
        <w:tc>
          <w:tcPr>
            <w:tcW w:w="7370" w:type="dxa"/>
            <w:gridSpan w:val="2"/>
            <w:shd w:val="clear" w:color="auto" w:fill="auto"/>
          </w:tcPr>
          <w:p w:rsidR="00231AA4" w:rsidRPr="00F14E70" w:rsidRDefault="00231AA4" w:rsidP="00941A7E">
            <w:pPr>
              <w:keepNext/>
              <w:spacing w:before="40" w:after="120"/>
              <w:ind w:right="113"/>
              <w:jc w:val="both"/>
              <w:rPr>
                <w:szCs w:val="24"/>
                <w:lang w:val="fr-FR"/>
              </w:rPr>
            </w:pPr>
            <w:r w:rsidRPr="00F14E70">
              <w:rPr>
                <w:b/>
                <w:szCs w:val="24"/>
                <w:lang w:val="fr-FR"/>
              </w:rPr>
              <w:lastRenderedPageBreak/>
              <w:t>Mesures recommandées</w:t>
            </w:r>
            <w:r w:rsidR="00A40835">
              <w:rPr>
                <w:b/>
                <w:szCs w:val="24"/>
                <w:lang w:val="fr-FR"/>
              </w:rPr>
              <w:t> :</w:t>
            </w:r>
            <w:r w:rsidRPr="00F14E70">
              <w:rPr>
                <w:b/>
                <w:szCs w:val="24"/>
                <w:lang w:val="fr-FR"/>
              </w:rPr>
              <w:t xml:space="preserve"> </w:t>
            </w:r>
            <w:r w:rsidRPr="00F14E70">
              <w:rPr>
                <w:szCs w:val="24"/>
                <w:lang w:val="fr-FR"/>
              </w:rPr>
              <w:t xml:space="preserve">Une lettre devrait être </w:t>
            </w:r>
            <w:r>
              <w:rPr>
                <w:szCs w:val="24"/>
                <w:lang w:val="fr-FR"/>
              </w:rPr>
              <w:t>adressée</w:t>
            </w:r>
            <w:r w:rsidRPr="00F14E70">
              <w:rPr>
                <w:szCs w:val="24"/>
                <w:lang w:val="fr-FR"/>
              </w:rPr>
              <w:t xml:space="preserve"> à l</w:t>
            </w:r>
            <w:r>
              <w:rPr>
                <w:szCs w:val="24"/>
                <w:lang w:val="fr-FR"/>
              </w:rPr>
              <w:t>’</w:t>
            </w:r>
            <w:r w:rsidRPr="00F14E70">
              <w:rPr>
                <w:szCs w:val="24"/>
                <w:lang w:val="fr-FR"/>
              </w:rPr>
              <w:t>État partie pour l</w:t>
            </w:r>
            <w:r>
              <w:rPr>
                <w:szCs w:val="24"/>
                <w:lang w:val="fr-FR"/>
              </w:rPr>
              <w:t>’</w:t>
            </w:r>
            <w:r w:rsidRPr="00F14E70">
              <w:rPr>
                <w:szCs w:val="24"/>
                <w:lang w:val="fr-FR"/>
              </w:rPr>
              <w:t>informer de l</w:t>
            </w:r>
            <w:r>
              <w:rPr>
                <w:szCs w:val="24"/>
                <w:lang w:val="fr-FR"/>
              </w:rPr>
              <w:t>’</w:t>
            </w:r>
            <w:r w:rsidRPr="00F14E70">
              <w:rPr>
                <w:szCs w:val="24"/>
                <w:lang w:val="fr-FR"/>
              </w:rPr>
              <w:t>arrêt de la procédure de suivi. Les informations demandées devraient être incluses dans le prochain rapport périodique de l</w:t>
            </w:r>
            <w:r>
              <w:rPr>
                <w:szCs w:val="24"/>
                <w:lang w:val="fr-FR"/>
              </w:rPr>
              <w:t>’</w:t>
            </w:r>
            <w:r w:rsidRPr="00F14E70">
              <w:rPr>
                <w:szCs w:val="24"/>
                <w:lang w:val="fr-FR"/>
              </w:rPr>
              <w:t>État partie.</w:t>
            </w:r>
          </w:p>
        </w:tc>
      </w:tr>
      <w:tr w:rsidR="00231AA4" w:rsidRPr="00E2006A" w:rsidTr="00A40835">
        <w:tc>
          <w:tcPr>
            <w:tcW w:w="7370" w:type="dxa"/>
            <w:gridSpan w:val="2"/>
            <w:tcBorders>
              <w:bottom w:val="single" w:sz="12" w:space="0" w:color="auto"/>
            </w:tcBorders>
            <w:shd w:val="clear" w:color="auto" w:fill="auto"/>
          </w:tcPr>
          <w:p w:rsidR="00231AA4" w:rsidRPr="00F14E70" w:rsidRDefault="00231AA4" w:rsidP="00A40835">
            <w:pPr>
              <w:spacing w:before="40" w:after="120"/>
              <w:ind w:right="113"/>
              <w:rPr>
                <w:b/>
                <w:szCs w:val="24"/>
                <w:lang w:val="fr-FR"/>
              </w:rPr>
            </w:pPr>
            <w:r w:rsidRPr="00F14E70">
              <w:rPr>
                <w:b/>
                <w:szCs w:val="24"/>
                <w:lang w:val="fr-FR"/>
              </w:rPr>
              <w:t>Prochain rapport périodique</w:t>
            </w:r>
            <w:r w:rsidR="00A40835">
              <w:rPr>
                <w:b/>
                <w:szCs w:val="24"/>
                <w:lang w:val="fr-FR"/>
              </w:rPr>
              <w:t> :</w:t>
            </w:r>
            <w:r w:rsidRPr="00F14E70">
              <w:rPr>
                <w:b/>
                <w:szCs w:val="24"/>
                <w:lang w:val="fr-FR"/>
              </w:rPr>
              <w:t xml:space="preserve"> </w:t>
            </w:r>
            <w:r w:rsidRPr="00F14E70">
              <w:rPr>
                <w:szCs w:val="24"/>
                <w:lang w:val="fr-FR"/>
              </w:rPr>
              <w:t>24 juillet 2018</w:t>
            </w:r>
          </w:p>
        </w:tc>
      </w:tr>
    </w:tbl>
    <w:p w:rsidR="00E85C42" w:rsidRPr="00231AA4" w:rsidRDefault="00231AA4" w:rsidP="00231AA4">
      <w:pPr>
        <w:pStyle w:val="SingleTxtG"/>
        <w:spacing w:before="240" w:after="0"/>
        <w:jc w:val="center"/>
        <w:rPr>
          <w:u w:val="single"/>
        </w:rPr>
      </w:pPr>
      <w:r>
        <w:rPr>
          <w:u w:val="single"/>
        </w:rPr>
        <w:tab/>
      </w:r>
      <w:r>
        <w:rPr>
          <w:u w:val="single"/>
        </w:rPr>
        <w:tab/>
      </w:r>
      <w:r>
        <w:rPr>
          <w:u w:val="single"/>
        </w:rPr>
        <w:tab/>
      </w:r>
    </w:p>
    <w:sectPr w:rsidR="00E85C42" w:rsidRPr="00231AA4" w:rsidSect="00A46F8D">
      <w:headerReference w:type="even" r:id="rId32"/>
      <w:headerReference w:type="default" r:id="rId33"/>
      <w:footerReference w:type="even" r:id="rId34"/>
      <w:footerReference w:type="default" r:id="rId35"/>
      <w:footerReference w:type="first" r:id="rId3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35" w:rsidRDefault="00A40835" w:rsidP="00F95C08">
      <w:pPr>
        <w:spacing w:line="240" w:lineRule="auto"/>
      </w:pPr>
    </w:p>
  </w:endnote>
  <w:endnote w:type="continuationSeparator" w:id="0">
    <w:p w:rsidR="00A40835" w:rsidRPr="00AC3823" w:rsidRDefault="00A40835" w:rsidP="00AC3823">
      <w:pPr>
        <w:pStyle w:val="Pieddepage"/>
      </w:pPr>
    </w:p>
  </w:endnote>
  <w:endnote w:type="continuationNotice" w:id="1">
    <w:p w:rsidR="00A40835" w:rsidRDefault="00A408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35" w:rsidRPr="00A46F8D" w:rsidRDefault="00A40835" w:rsidP="00A46F8D">
    <w:pPr>
      <w:pStyle w:val="Pieddepage"/>
      <w:tabs>
        <w:tab w:val="right" w:pos="9638"/>
      </w:tabs>
    </w:pPr>
    <w:r w:rsidRPr="00A46F8D">
      <w:rPr>
        <w:b/>
        <w:sz w:val="18"/>
      </w:rPr>
      <w:fldChar w:fldCharType="begin"/>
    </w:r>
    <w:r w:rsidRPr="00A46F8D">
      <w:rPr>
        <w:b/>
        <w:sz w:val="18"/>
      </w:rPr>
      <w:instrText xml:space="preserve"> PAGE  \* MERGEFORMAT </w:instrText>
    </w:r>
    <w:r w:rsidRPr="00A46F8D">
      <w:rPr>
        <w:b/>
        <w:sz w:val="18"/>
      </w:rPr>
      <w:fldChar w:fldCharType="separate"/>
    </w:r>
    <w:r w:rsidR="00672365">
      <w:rPr>
        <w:b/>
        <w:noProof/>
        <w:sz w:val="18"/>
      </w:rPr>
      <w:t>22</w:t>
    </w:r>
    <w:r w:rsidRPr="00A46F8D">
      <w:rPr>
        <w:b/>
        <w:sz w:val="18"/>
      </w:rPr>
      <w:fldChar w:fldCharType="end"/>
    </w:r>
    <w:r>
      <w:rPr>
        <w:b/>
        <w:sz w:val="18"/>
      </w:rPr>
      <w:tab/>
    </w:r>
    <w:r>
      <w:t>GE.18-01956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35" w:rsidRPr="00A46F8D" w:rsidRDefault="00A40835" w:rsidP="00A46F8D">
    <w:pPr>
      <w:pStyle w:val="Pieddepage"/>
      <w:tabs>
        <w:tab w:val="right" w:pos="9638"/>
      </w:tabs>
      <w:rPr>
        <w:b/>
        <w:sz w:val="18"/>
      </w:rPr>
    </w:pPr>
    <w:r>
      <w:t>GE.18-01956</w:t>
    </w:r>
    <w:r>
      <w:tab/>
    </w:r>
    <w:r w:rsidRPr="00A46F8D">
      <w:rPr>
        <w:b/>
        <w:sz w:val="18"/>
      </w:rPr>
      <w:fldChar w:fldCharType="begin"/>
    </w:r>
    <w:r w:rsidRPr="00A46F8D">
      <w:rPr>
        <w:b/>
        <w:sz w:val="18"/>
      </w:rPr>
      <w:instrText xml:space="preserve"> PAGE  \* MERGEFORMAT </w:instrText>
    </w:r>
    <w:r w:rsidRPr="00A46F8D">
      <w:rPr>
        <w:b/>
        <w:sz w:val="18"/>
      </w:rPr>
      <w:fldChar w:fldCharType="separate"/>
    </w:r>
    <w:r w:rsidR="00672365">
      <w:rPr>
        <w:b/>
        <w:noProof/>
        <w:sz w:val="18"/>
      </w:rPr>
      <w:t>23</w:t>
    </w:r>
    <w:r w:rsidRPr="00A46F8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35" w:rsidRPr="00A46F8D" w:rsidRDefault="00A40835" w:rsidP="00A46F8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18-01956  (F)    260318    260318</w:t>
    </w:r>
    <w:r>
      <w:rPr>
        <w:sz w:val="20"/>
      </w:rPr>
      <w:br/>
    </w:r>
    <w:r w:rsidRPr="00A46F8D">
      <w:rPr>
        <w:rFonts w:ascii="C39T30Lfz" w:hAnsi="C39T30Lfz"/>
        <w:sz w:val="56"/>
      </w:rPr>
      <w:t></w:t>
    </w:r>
    <w:r w:rsidRPr="00A46F8D">
      <w:rPr>
        <w:rFonts w:ascii="C39T30Lfz" w:hAnsi="C39T30Lfz"/>
        <w:sz w:val="56"/>
      </w:rPr>
      <w:t></w:t>
    </w:r>
    <w:r w:rsidRPr="00A46F8D">
      <w:rPr>
        <w:rFonts w:ascii="C39T30Lfz" w:hAnsi="C39T30Lfz"/>
        <w:sz w:val="56"/>
      </w:rPr>
      <w:t></w:t>
    </w:r>
    <w:r w:rsidRPr="00A46F8D">
      <w:rPr>
        <w:rFonts w:ascii="C39T30Lfz" w:hAnsi="C39T30Lfz"/>
        <w:sz w:val="56"/>
      </w:rPr>
      <w:t></w:t>
    </w:r>
    <w:r w:rsidRPr="00A46F8D">
      <w:rPr>
        <w:rFonts w:ascii="C39T30Lfz" w:hAnsi="C39T30Lfz"/>
        <w:sz w:val="56"/>
      </w:rPr>
      <w:t></w:t>
    </w:r>
    <w:r w:rsidRPr="00A46F8D">
      <w:rPr>
        <w:rFonts w:ascii="C39T30Lfz" w:hAnsi="C39T30Lfz"/>
        <w:sz w:val="56"/>
      </w:rPr>
      <w:t></w:t>
    </w:r>
    <w:r w:rsidRPr="00A46F8D">
      <w:rPr>
        <w:rFonts w:ascii="C39T30Lfz" w:hAnsi="C39T30Lfz"/>
        <w:sz w:val="56"/>
      </w:rPr>
      <w:t></w:t>
    </w:r>
    <w:r w:rsidRPr="00A46F8D">
      <w:rPr>
        <w:rFonts w:ascii="C39T30Lfz" w:hAnsi="C39T30Lfz"/>
        <w:sz w:val="56"/>
      </w:rPr>
      <w:t></w:t>
    </w:r>
    <w:r w:rsidRPr="00A46F8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35" w:rsidRPr="00AC3823" w:rsidRDefault="00A40835" w:rsidP="00AC3823">
      <w:pPr>
        <w:pStyle w:val="Pieddepage"/>
        <w:tabs>
          <w:tab w:val="right" w:pos="2155"/>
        </w:tabs>
        <w:spacing w:after="80" w:line="240" w:lineRule="atLeast"/>
        <w:ind w:left="680"/>
        <w:rPr>
          <w:u w:val="single"/>
        </w:rPr>
      </w:pPr>
      <w:r>
        <w:rPr>
          <w:u w:val="single"/>
        </w:rPr>
        <w:tab/>
      </w:r>
    </w:p>
  </w:footnote>
  <w:footnote w:type="continuationSeparator" w:id="0">
    <w:p w:rsidR="00A40835" w:rsidRPr="00AC3823" w:rsidRDefault="00A40835" w:rsidP="00AC3823">
      <w:pPr>
        <w:pStyle w:val="Pieddepage"/>
        <w:tabs>
          <w:tab w:val="right" w:pos="2155"/>
        </w:tabs>
        <w:spacing w:after="80" w:line="240" w:lineRule="atLeast"/>
        <w:ind w:left="680"/>
        <w:rPr>
          <w:u w:val="single"/>
        </w:rPr>
      </w:pPr>
      <w:r>
        <w:rPr>
          <w:u w:val="single"/>
        </w:rPr>
        <w:tab/>
      </w:r>
    </w:p>
  </w:footnote>
  <w:footnote w:type="continuationNotice" w:id="1">
    <w:p w:rsidR="00A40835" w:rsidRPr="00AC3823" w:rsidRDefault="00A40835">
      <w:pPr>
        <w:spacing w:line="240" w:lineRule="auto"/>
        <w:rPr>
          <w:sz w:val="2"/>
          <w:szCs w:val="2"/>
        </w:rPr>
      </w:pPr>
    </w:p>
  </w:footnote>
  <w:footnote w:id="2">
    <w:p w:rsidR="00A40835" w:rsidRPr="00CC7BEF" w:rsidRDefault="00A40835" w:rsidP="00231AA4">
      <w:pPr>
        <w:pStyle w:val="Notedebasdepage"/>
      </w:pPr>
      <w:r w:rsidRPr="00CC7BEF">
        <w:tab/>
      </w:r>
      <w:r w:rsidRPr="00231AA4">
        <w:rPr>
          <w:sz w:val="20"/>
        </w:rPr>
        <w:t>*</w:t>
      </w:r>
      <w:r w:rsidRPr="00CC7BEF">
        <w:tab/>
        <w:t>Adopté par le Comité à sa 121</w:t>
      </w:r>
      <w:r w:rsidRPr="00CC7BEF">
        <w:rPr>
          <w:vertAlign w:val="superscript"/>
        </w:rPr>
        <w:t>e</w:t>
      </w:r>
      <w:r w:rsidRPr="00CC7BEF">
        <w:t xml:space="preserve"> session (16 octobre-10 novembre 2017).</w:t>
      </w:r>
    </w:p>
  </w:footnote>
  <w:footnote w:id="3">
    <w:p w:rsidR="00A40835" w:rsidRPr="00B33C9F" w:rsidRDefault="00A40835" w:rsidP="00231AA4">
      <w:pPr>
        <w:pStyle w:val="Notedebasdepage"/>
      </w:pPr>
      <w:r w:rsidRPr="00CC7BEF">
        <w:tab/>
      </w:r>
      <w:r w:rsidRPr="007326A7">
        <w:rPr>
          <w:rStyle w:val="Appelnotedebasdep"/>
        </w:rPr>
        <w:footnoteRef/>
      </w:r>
      <w:r>
        <w:tab/>
        <w:t xml:space="preserve">Les critères complets de l’évaluation peuvent être consultés à l’adresse : </w:t>
      </w:r>
      <w:hyperlink r:id="rId1" w:history="1">
        <w:r w:rsidRPr="007A3049">
          <w:rPr>
            <w:color w:val="0000CC"/>
          </w:rPr>
          <w:t>http</w:t>
        </w:r>
        <w:r>
          <w:rPr>
            <w:color w:val="0000CC"/>
          </w:rPr>
          <w:t>:</w:t>
        </w:r>
        <w:r w:rsidRPr="007A3049">
          <w:rPr>
            <w:color w:val="0000CC"/>
          </w:rPr>
          <w:t>//tbinternet.ohchr.org/</w:t>
        </w:r>
        <w:r>
          <w:rPr>
            <w:color w:val="0000CC"/>
          </w:rPr>
          <w:t xml:space="preserve"> </w:t>
        </w:r>
        <w:r w:rsidRPr="007A3049">
          <w:rPr>
            <w:color w:val="0000CC"/>
          </w:rPr>
          <w:t>Treaties/CCPR/Shared%20Documents/1_Global/INT_CCPR_FGD_8108_E.pdf</w:t>
        </w:r>
      </w:hyperlink>
      <w:r w:rsidRPr="00263E77">
        <w:t>.</w:t>
      </w:r>
    </w:p>
  </w:footnote>
  <w:footnote w:id="4">
    <w:p w:rsidR="00A40835" w:rsidRDefault="00A40835" w:rsidP="00231AA4">
      <w:pPr>
        <w:pStyle w:val="Notedebasdepage"/>
      </w:pPr>
      <w:r>
        <w:tab/>
      </w:r>
      <w:r w:rsidRPr="007326A7">
        <w:rPr>
          <w:rStyle w:val="Appelnotedebasdep"/>
        </w:rPr>
        <w:footnoteRef/>
      </w:r>
      <w:r>
        <w:tab/>
        <w:t xml:space="preserve">Voir </w:t>
      </w:r>
      <w:hyperlink r:id="rId2" w:history="1">
        <w:r w:rsidRPr="00423096">
          <w:rPr>
            <w:rStyle w:val="Lienhypertextesuivivisit"/>
          </w:rPr>
          <w:t>http</w:t>
        </w:r>
        <w:r>
          <w:rPr>
            <w:rStyle w:val="Lienhypertextesuivivisit"/>
          </w:rPr>
          <w:t>:</w:t>
        </w:r>
        <w:r w:rsidRPr="00423096">
          <w:rPr>
            <w:rStyle w:val="Lienhypertextesuivivisit"/>
          </w:rPr>
          <w:t>//tbinternet.ohchr.org/Treaties/CCPR/Shared%20Documents/UKR/</w:t>
        </w:r>
        <w:r>
          <w:rPr>
            <w:rStyle w:val="Lienhypertextesuivivisit"/>
          </w:rPr>
          <w:t xml:space="preserve"> </w:t>
        </w:r>
        <w:r w:rsidRPr="00423096">
          <w:rPr>
            <w:rStyle w:val="Lienhypertextesuivivisit"/>
          </w:rPr>
          <w:t>INT_CCPR_NGS_UKR_24405_E.pdf</w:t>
        </w:r>
      </w:hyperlink>
      <w:r>
        <w:t>.</w:t>
      </w:r>
    </w:p>
  </w:footnote>
  <w:footnote w:id="5">
    <w:p w:rsidR="00A40835" w:rsidRDefault="00A40835" w:rsidP="00231AA4">
      <w:pPr>
        <w:pStyle w:val="Notedebasdepage"/>
      </w:pPr>
      <w:r>
        <w:tab/>
      </w:r>
      <w:r w:rsidRPr="007326A7">
        <w:rPr>
          <w:rStyle w:val="Appelnotedebasdep"/>
        </w:rPr>
        <w:footnoteRef/>
      </w:r>
      <w:r>
        <w:tab/>
        <w:t xml:space="preserve">Voir </w:t>
      </w:r>
      <w:hyperlink r:id="rId3" w:history="1">
        <w:r w:rsidRPr="00423096">
          <w:rPr>
            <w:rStyle w:val="Lienhypertextesuivivisit"/>
          </w:rPr>
          <w:t>http</w:t>
        </w:r>
        <w:r w:rsidR="00B20A63">
          <w:rPr>
            <w:rStyle w:val="Lienhypertextesuivivisit"/>
          </w:rPr>
          <w:t>:</w:t>
        </w:r>
        <w:r w:rsidRPr="00423096">
          <w:rPr>
            <w:rStyle w:val="Lienhypertextesuivivisit"/>
          </w:rPr>
          <w:t>//tbinternet.ohchr.org/Treaties/CCPR/Shared%20Documents/UKR/</w:t>
        </w:r>
        <w:r>
          <w:rPr>
            <w:rStyle w:val="Lienhypertextesuivivisit"/>
          </w:rPr>
          <w:t xml:space="preserve"> </w:t>
        </w:r>
        <w:r w:rsidRPr="00423096">
          <w:rPr>
            <w:rStyle w:val="Lienhypertextesuivivisit"/>
          </w:rPr>
          <w:t>INT_CCPR_NGS_UKR_24422_E.pdf</w:t>
        </w:r>
      </w:hyperlink>
      <w:r>
        <w:rPr>
          <w:rStyle w:val="Lienhypertextesuivivisit"/>
        </w:rPr>
        <w:t>.</w:t>
      </w:r>
    </w:p>
  </w:footnote>
  <w:footnote w:id="6">
    <w:p w:rsidR="00A40835" w:rsidRPr="00DB292F" w:rsidRDefault="00BB5ED0" w:rsidP="00231AA4">
      <w:pPr>
        <w:pStyle w:val="Notedebasdepage"/>
      </w:pPr>
      <w:r>
        <w:tab/>
      </w:r>
      <w:r w:rsidR="00A40835" w:rsidRPr="007326A7">
        <w:rPr>
          <w:rStyle w:val="Appelnotedebasdep"/>
        </w:rPr>
        <w:footnoteRef/>
      </w:r>
      <w:r w:rsidR="00A40835" w:rsidRPr="00DB292F">
        <w:t xml:space="preserve"> </w:t>
      </w:r>
      <w:r w:rsidR="00A40835">
        <w:tab/>
        <w:t xml:space="preserve">Voir </w:t>
      </w:r>
      <w:hyperlink r:id="rId4" w:history="1">
        <w:r w:rsidR="00A40835" w:rsidRPr="00BB5ED0">
          <w:rPr>
            <w:rStyle w:val="Lienhypertexte"/>
          </w:rPr>
          <w:t>http://tbinternet.ohchr.org/Treaties/CCPR/Shared%20Documents/MKD/</w:t>
        </w:r>
        <w:r>
          <w:rPr>
            <w:rStyle w:val="Lienhypertexte"/>
          </w:rPr>
          <w:t xml:space="preserve"> </w:t>
        </w:r>
        <w:r w:rsidR="00A40835" w:rsidRPr="00BB5ED0">
          <w:rPr>
            <w:rStyle w:val="Lienhypertexte"/>
          </w:rPr>
          <w:t>INT_CCPR_FCO_MKD_25047_E.pdf</w:t>
        </w:r>
      </w:hyperlink>
      <w:r w:rsidR="005F32D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35" w:rsidRPr="00A46F8D" w:rsidRDefault="00A40835">
    <w:pPr>
      <w:pStyle w:val="En-tte"/>
    </w:pPr>
    <w:fldSimple w:instr=" TITLE  \* MERGEFORMAT ">
      <w:r w:rsidR="00672365">
        <w:t>CCPR/C/121/2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35" w:rsidRPr="00A46F8D" w:rsidRDefault="00A40835" w:rsidP="00A46F8D">
    <w:pPr>
      <w:pStyle w:val="En-tte"/>
      <w:jc w:val="right"/>
    </w:pPr>
    <w:fldSimple w:instr=" TITLE  \* MERGEFORMAT ">
      <w:r w:rsidR="00672365">
        <w:t>CCPR/C/121/2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D7DD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7B4D8D"/>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93408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5A784D"/>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E4D21"/>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1330C76"/>
    <w:multiLevelType w:val="hybridMultilevel"/>
    <w:tmpl w:val="8FBCB50C"/>
    <w:lvl w:ilvl="0" w:tplc="26921B3A">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2574"/>
        </w:tabs>
        <w:ind w:left="2574" w:hanging="360"/>
      </w:pPr>
    </w:lvl>
    <w:lvl w:ilvl="2" w:tplc="C9901CFE">
      <w:start w:val="1"/>
      <w:numFmt w:val="decimal"/>
      <w:lvlText w:val="%3."/>
      <w:lvlJc w:val="left"/>
      <w:pPr>
        <w:tabs>
          <w:tab w:val="num" w:pos="1701"/>
        </w:tabs>
        <w:ind w:left="1134" w:firstLine="0"/>
      </w:pPr>
      <w:rPr>
        <w:rFonts w:hint="default"/>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2" w15:restartNumberingAfterBreak="0">
    <w:nsid w:val="45B736FF"/>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910DDB"/>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546DB8"/>
    <w:multiLevelType w:val="hybridMultilevel"/>
    <w:tmpl w:val="BA04C8D8"/>
    <w:lvl w:ilvl="0" w:tplc="3FEA6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7785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0"/>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4"/>
  </w:num>
  <w:num w:numId="17">
    <w:abstractNumId w:val="25"/>
  </w:num>
  <w:num w:numId="18">
    <w:abstractNumId w:val="20"/>
  </w:num>
  <w:num w:numId="19">
    <w:abstractNumId w:val="14"/>
  </w:num>
  <w:num w:numId="20">
    <w:abstractNumId w:val="23"/>
  </w:num>
  <w:num w:numId="21">
    <w:abstractNumId w:val="18"/>
  </w:num>
  <w:num w:numId="22">
    <w:abstractNumId w:val="16"/>
  </w:num>
  <w:num w:numId="23">
    <w:abstractNumId w:val="29"/>
  </w:num>
  <w:num w:numId="24">
    <w:abstractNumId w:val="12"/>
  </w:num>
  <w:num w:numId="25">
    <w:abstractNumId w:val="24"/>
  </w:num>
  <w:num w:numId="26">
    <w:abstractNumId w:val="10"/>
  </w:num>
  <w:num w:numId="27">
    <w:abstractNumId w:val="11"/>
  </w:num>
  <w:num w:numId="28">
    <w:abstractNumId w:val="15"/>
  </w:num>
  <w:num w:numId="29">
    <w:abstractNumId w:val="28"/>
  </w:num>
  <w:num w:numId="30">
    <w:abstractNumId w:val="21"/>
  </w:num>
  <w:num w:numId="31">
    <w:abstractNumId w:val="13"/>
  </w:num>
  <w:num w:numId="32">
    <w:abstractNumId w:val="22"/>
  </w:num>
  <w:num w:numId="33">
    <w:abstractNumId w:val="19"/>
  </w:num>
  <w:num w:numId="34">
    <w:abstractNumId w:val="26"/>
  </w:num>
  <w:num w:numId="35">
    <w:abstractNumId w:val="2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8B"/>
    <w:rsid w:val="00013375"/>
    <w:rsid w:val="00017F94"/>
    <w:rsid w:val="00023842"/>
    <w:rsid w:val="000334F9"/>
    <w:rsid w:val="0007796D"/>
    <w:rsid w:val="000A1B0F"/>
    <w:rsid w:val="000A2B9D"/>
    <w:rsid w:val="000B7790"/>
    <w:rsid w:val="000C2225"/>
    <w:rsid w:val="000E0E83"/>
    <w:rsid w:val="00100D75"/>
    <w:rsid w:val="00111F2F"/>
    <w:rsid w:val="0011795D"/>
    <w:rsid w:val="00120CB9"/>
    <w:rsid w:val="0014365E"/>
    <w:rsid w:val="00164346"/>
    <w:rsid w:val="00176178"/>
    <w:rsid w:val="001B379B"/>
    <w:rsid w:val="001D1097"/>
    <w:rsid w:val="001D3BD5"/>
    <w:rsid w:val="001F525A"/>
    <w:rsid w:val="00223272"/>
    <w:rsid w:val="002234DB"/>
    <w:rsid w:val="00224197"/>
    <w:rsid w:val="00231AA4"/>
    <w:rsid w:val="0023763F"/>
    <w:rsid w:val="00242330"/>
    <w:rsid w:val="0024779E"/>
    <w:rsid w:val="00280331"/>
    <w:rsid w:val="002B7BC7"/>
    <w:rsid w:val="002E2D46"/>
    <w:rsid w:val="0032225A"/>
    <w:rsid w:val="003402F1"/>
    <w:rsid w:val="00351332"/>
    <w:rsid w:val="00355D83"/>
    <w:rsid w:val="00376D69"/>
    <w:rsid w:val="003A3402"/>
    <w:rsid w:val="003A6E96"/>
    <w:rsid w:val="003B2613"/>
    <w:rsid w:val="003D07DB"/>
    <w:rsid w:val="00423096"/>
    <w:rsid w:val="00446FE5"/>
    <w:rsid w:val="00452396"/>
    <w:rsid w:val="00490528"/>
    <w:rsid w:val="004B1099"/>
    <w:rsid w:val="00505F0C"/>
    <w:rsid w:val="005505B7"/>
    <w:rsid w:val="00560370"/>
    <w:rsid w:val="00573BE5"/>
    <w:rsid w:val="00586ED3"/>
    <w:rsid w:val="00596AA9"/>
    <w:rsid w:val="005A5E07"/>
    <w:rsid w:val="005D1133"/>
    <w:rsid w:val="005F32D4"/>
    <w:rsid w:val="00635C35"/>
    <w:rsid w:val="00663BB0"/>
    <w:rsid w:val="00672365"/>
    <w:rsid w:val="00693D91"/>
    <w:rsid w:val="006A2EAD"/>
    <w:rsid w:val="006E59D4"/>
    <w:rsid w:val="006F2B87"/>
    <w:rsid w:val="006F7144"/>
    <w:rsid w:val="006F71EA"/>
    <w:rsid w:val="007153CB"/>
    <w:rsid w:val="0071601D"/>
    <w:rsid w:val="00727CF2"/>
    <w:rsid w:val="00755D1B"/>
    <w:rsid w:val="00793E85"/>
    <w:rsid w:val="007A611C"/>
    <w:rsid w:val="007A62E6"/>
    <w:rsid w:val="007E2032"/>
    <w:rsid w:val="007E3A64"/>
    <w:rsid w:val="0080684C"/>
    <w:rsid w:val="00812311"/>
    <w:rsid w:val="00855BF0"/>
    <w:rsid w:val="008560DB"/>
    <w:rsid w:val="00871C75"/>
    <w:rsid w:val="008776DC"/>
    <w:rsid w:val="00941129"/>
    <w:rsid w:val="00941A7E"/>
    <w:rsid w:val="009705C8"/>
    <w:rsid w:val="009B1E6C"/>
    <w:rsid w:val="009E2C6A"/>
    <w:rsid w:val="00A05630"/>
    <w:rsid w:val="00A40835"/>
    <w:rsid w:val="00A46F8D"/>
    <w:rsid w:val="00A76437"/>
    <w:rsid w:val="00A9151D"/>
    <w:rsid w:val="00AA1A0D"/>
    <w:rsid w:val="00AA6A35"/>
    <w:rsid w:val="00AA726E"/>
    <w:rsid w:val="00AC3823"/>
    <w:rsid w:val="00AE323C"/>
    <w:rsid w:val="00B00181"/>
    <w:rsid w:val="00B20A63"/>
    <w:rsid w:val="00B34C13"/>
    <w:rsid w:val="00B765F7"/>
    <w:rsid w:val="00BA0CA9"/>
    <w:rsid w:val="00BB5ED0"/>
    <w:rsid w:val="00BD5486"/>
    <w:rsid w:val="00C0088B"/>
    <w:rsid w:val="00C01ACF"/>
    <w:rsid w:val="00C02897"/>
    <w:rsid w:val="00C12145"/>
    <w:rsid w:val="00C37DB9"/>
    <w:rsid w:val="00C87BC9"/>
    <w:rsid w:val="00CA7BC4"/>
    <w:rsid w:val="00CC14A6"/>
    <w:rsid w:val="00D03F91"/>
    <w:rsid w:val="00D05667"/>
    <w:rsid w:val="00D3439C"/>
    <w:rsid w:val="00D57E35"/>
    <w:rsid w:val="00D744E5"/>
    <w:rsid w:val="00D83177"/>
    <w:rsid w:val="00D97548"/>
    <w:rsid w:val="00DB1831"/>
    <w:rsid w:val="00DD3BFD"/>
    <w:rsid w:val="00DF6678"/>
    <w:rsid w:val="00E85C42"/>
    <w:rsid w:val="00EC30D5"/>
    <w:rsid w:val="00EE1BD4"/>
    <w:rsid w:val="00EF1EF8"/>
    <w:rsid w:val="00F12152"/>
    <w:rsid w:val="00F33578"/>
    <w:rsid w:val="00F503EC"/>
    <w:rsid w:val="00F660DF"/>
    <w:rsid w:val="00F72624"/>
    <w:rsid w:val="00F9099E"/>
    <w:rsid w:val="00F95C08"/>
    <w:rsid w:val="00FA496B"/>
    <w:rsid w:val="00FC4E1B"/>
    <w:rsid w:val="00FD3EF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449CAD"/>
  <w15:docId w15:val="{1DF8D620-1792-4BE1-A501-6D3397C1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arquedecommentaire">
    <w:name w:val="annotation reference"/>
    <w:rsid w:val="00231AA4"/>
    <w:rPr>
      <w:sz w:val="16"/>
      <w:szCs w:val="16"/>
    </w:rPr>
  </w:style>
  <w:style w:type="table" w:customStyle="1" w:styleId="Grilledutableau1">
    <w:name w:val="Grille du tableau1"/>
    <w:basedOn w:val="TableauNormal"/>
    <w:next w:val="Grilledutableau"/>
    <w:rsid w:val="00231AA4"/>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231AA4"/>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Treaties/CCPR/Shared%20Documents/1_Global/INT_CCPR_UCS_121_26619_E.pdf" TargetMode="External"/><Relationship Id="rId13" Type="http://schemas.openxmlformats.org/officeDocument/2006/relationships/hyperlink" Target="http://tbinternet.ohchr.org/_layouts/treatybodyexternal/Download.aspx?symbolno=CCPR%2fC%2fMWI%2fCO%2f1%2fAdd.1&amp;Lang=en" TargetMode="External"/><Relationship Id="rId18" Type="http://schemas.openxmlformats.org/officeDocument/2006/relationships/hyperlink" Target="http://tbinternet.ohchr.org/_layouts/treatybodyexternal/Download.aspx?symbolno=CCPR%2fC%2fFRA%2f5&amp;Lang=en" TargetMode="External"/><Relationship Id="rId26" Type="http://schemas.openxmlformats.org/officeDocument/2006/relationships/hyperlink" Target="http://tbinternet.ohchr.org/_layouts/treatybodyexternal/Download.aspx?symbolno=CCPR%2fC%2fUZB%2fCO%2f4&amp;Lang=en" TargetMode="External"/><Relationship Id="rId3" Type="http://schemas.openxmlformats.org/officeDocument/2006/relationships/settings" Target="settings.xml"/><Relationship Id="rId21" Type="http://schemas.openxmlformats.org/officeDocument/2006/relationships/hyperlink" Target="https://www.legifrance.gouv.fr/affichCode.do;jsessionid=7C658F041B2BAABF03D6E41C4B3A3563.tpdila19v_3?idSectionTA=LEGISCTA000030935034&amp;cidTexte=LEGITEXT000025503132&amp;dateTexte=20170824" TargetMode="External"/><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tbinternet.ohchr.org/Treaties/CCPR/Shared%20Documents/UKR/INT_CCPR_NGS_UKR_24422_E.pdf" TargetMode="External"/><Relationship Id="rId17" Type="http://schemas.openxmlformats.org/officeDocument/2006/relationships/hyperlink" Target="https://www.legifrance.gouv.fr/affichTexte.do?cidTexte=JORFTEXT000018162705" TargetMode="External"/><Relationship Id="rId25" Type="http://schemas.openxmlformats.org/officeDocument/2006/relationships/hyperlink" Target="http://tbinternet.ohchr.org/Treaties/CCPR/Shared%20Documents/MKD/INT_CCPR_FCO_MKD_25047_E.pdf"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binternet.ohchr.org/_layouts/treatybodyexternal/Download.aspx?symbolno=CCPR%2fC%2fFRA%2fCO%2f5%2fAdd.1&amp;Lang=en" TargetMode="External"/><Relationship Id="rId20" Type="http://schemas.openxmlformats.org/officeDocument/2006/relationships/hyperlink" Target="https://www.legifrance.gouv.fr/affichCode.do;jsessionid=7C658F041B2BAABF03D6E41C4B3A3563.tpdila19v_3?idSectionTA=LEGISCTA000030934655&amp;cidTexte=LEGITEXT000025503132&amp;dateTexte=20170824" TargetMode="External"/><Relationship Id="rId29" Type="http://schemas.openxmlformats.org/officeDocument/2006/relationships/hyperlink" Target="http://tbinternet.ohchr.org/_layouts/treatybodyexternal/Download.aspx?symbolno=CCPR%2fC%2fUZB%2fQ%2f4%2fAdd.1&amp;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binternet.ohchr.org/Treaties/CCPR/Shared%20Documents/UKR/INT_CCPR_NGS_UKR_24405_E.pdf" TargetMode="External"/><Relationship Id="rId24" Type="http://schemas.openxmlformats.org/officeDocument/2006/relationships/hyperlink" Target="http://tbinternet.ohchr.org/_layouts/treatybodyexternal/Download.aspx?symbolno=CCPR%2fC%2fMKD%2fCO%2f3&amp;Lang=en"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binternet.ohchr.org/_layouts/treatybodyexternal/Download.aspx?symbolno=CCPR%2fC%2fFRA%2fCO%2f5&amp;Lang=en" TargetMode="External"/><Relationship Id="rId23" Type="http://schemas.openxmlformats.org/officeDocument/2006/relationships/hyperlink" Target="https://www.legifrance.gouv.fr/affichCode.do;jsessionid=7C658F041B2BAABF03D6E41C4B3A3563.tpdila19v_3?idSectionTA=LEGISCTA000030935034&amp;cidTexte=LEGITEXT000025503132&amp;dateTexte=20170824" TargetMode="External"/><Relationship Id="rId28" Type="http://schemas.openxmlformats.org/officeDocument/2006/relationships/hyperlink" Target="http://tbinternet.ohchr.org/_layouts/treatybodyexternal/Download.aspx?symbolno=CCPR%2fC%2fUZB%2f4&amp;Lang=en" TargetMode="External"/><Relationship Id="rId36" Type="http://schemas.openxmlformats.org/officeDocument/2006/relationships/footer" Target="footer3.xml"/><Relationship Id="rId10" Type="http://schemas.openxmlformats.org/officeDocument/2006/relationships/hyperlink" Target="http://tbinternet.ohchr.org/_layouts/treatybodyexternal/Download.aspx?symbolno=CCPR%2fC%2fUKR%2fCO%2f7%2fAdd.1&amp;Lang=en" TargetMode="External"/><Relationship Id="rId19" Type="http://schemas.openxmlformats.org/officeDocument/2006/relationships/hyperlink" Target="https://www.legifrance.gouv.fr/affichCode.do;jsessionid=2FD28C22F708D66891B5D9D862517A5C.tpdila19v_3?idSectionTA=LEGISCTA000018170862&amp;cidTexte=LEGITEXT000006071154&amp;dateTexte=20170824" TargetMode="External"/><Relationship Id="rId31" Type="http://schemas.openxmlformats.org/officeDocument/2006/relationships/hyperlink" Target="http://tbinternet.ohchr.org/_layouts/treatybodyexternal/Download.aspx?symbolno=CCPR%2fC%2fUZB%2fQ%2f4%2fAdd.1&amp;Lang=en" TargetMode="External"/><Relationship Id="rId4" Type="http://schemas.openxmlformats.org/officeDocument/2006/relationships/webSettings" Target="webSettings.xml"/><Relationship Id="rId9" Type="http://schemas.openxmlformats.org/officeDocument/2006/relationships/hyperlink" Target="http://tbinternet.ohchr.org/_layouts/treatybodyexternal/Download.aspx?symbolno=CCPR%2fC%2fUKR%2fCO%2f7&amp;Lang=en" TargetMode="External"/><Relationship Id="rId14" Type="http://schemas.openxmlformats.org/officeDocument/2006/relationships/hyperlink" Target="http://tbinternet.ohchr.org/_layouts/treatybodyexternal/Download.aspx?symbolno=CCPR%2fC%2fMWI%2fCO%2f1%2fAdd.2&amp;Lang=en" TargetMode="External"/><Relationship Id="rId22" Type="http://schemas.openxmlformats.org/officeDocument/2006/relationships/hyperlink" Target="https://www.legifrance.gouv.fr/affichCode.do;jsessionid=7C658F041B2BAABF03D6E41C4B3A3563.tpdila19v_3?idSectionTA=LEGISCTA000030935034&amp;cidTexte=LEGITEXT000025503132&amp;dateTexte=20170824" TargetMode="External"/><Relationship Id="rId27" Type="http://schemas.openxmlformats.org/officeDocument/2006/relationships/hyperlink" Target="http://tbinternet.ohchr.org/_layouts/treatybodyexternal/Download.aspx?symbolno=CCPR%2fC%2fUZB%2fCO%2f4%2fAdd.2&amp;Lang=en" TargetMode="External"/><Relationship Id="rId30" Type="http://schemas.openxmlformats.org/officeDocument/2006/relationships/hyperlink" Target="http://undocs.org/fr/CCPR/C/UZB/CO/3"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Treaties/CCPR/Shared%20Documents/UKR/INT_CCPR_NGS_UKR_24422_E.pdf" TargetMode="External"/><Relationship Id="rId2" Type="http://schemas.openxmlformats.org/officeDocument/2006/relationships/hyperlink" Target="http://tbinternet.ohchr.org/Treaties/CCPR/Shared%20Documents/UKR/INT_CCPR_NGS_UKR_24405_E.pdf" TargetMode="External"/><Relationship Id="rId1" Type="http://schemas.openxmlformats.org/officeDocument/2006/relationships/hyperlink" Target="http://tbinternet.ohchr.org/Treaties/CCPR/Shared%20Documents/1_Global/INT_CCPR_FGD_8108_E.pdf" TargetMode="External"/><Relationship Id="rId4" Type="http://schemas.openxmlformats.org/officeDocument/2006/relationships/hyperlink" Target="http://tbinternet.ohchr.org/Treaties/CCPR/Shared%20Documents/MKD/INT_CCPR_FCO_MKD_25047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23</Pages>
  <Words>12028</Words>
  <Characters>70488</Characters>
  <Application>Microsoft Office Word</Application>
  <DocSecurity>0</DocSecurity>
  <Lines>6408</Lines>
  <Paragraphs>2750</Paragraphs>
  <ScaleCrop>false</ScaleCrop>
  <HeadingPairs>
    <vt:vector size="2" baseType="variant">
      <vt:variant>
        <vt:lpstr>Titre</vt:lpstr>
      </vt:variant>
      <vt:variant>
        <vt:i4>1</vt:i4>
      </vt:variant>
    </vt:vector>
  </HeadingPairs>
  <TitlesOfParts>
    <vt:vector size="1" baseType="lpstr">
      <vt:lpstr>CCPR/C/121/2</vt:lpstr>
    </vt:vector>
  </TitlesOfParts>
  <Company>DCM</Company>
  <LinksUpToDate>false</LinksUpToDate>
  <CharactersWithSpaces>79766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CCPR/C/121/2</dc:title>
  <dc:subject/>
  <dc:creator>Nath VITTOZ</dc:creator>
  <cp:keywords/>
  <cp:lastModifiedBy>Nathalie Vittoz</cp:lastModifiedBy>
  <cp:revision>3</cp:revision>
  <cp:lastPrinted>2018-03-26T14:24:00Z</cp:lastPrinted>
  <dcterms:created xsi:type="dcterms:W3CDTF">2018-03-26T14:24:00Z</dcterms:created>
  <dcterms:modified xsi:type="dcterms:W3CDTF">2018-03-26T14:25:00Z</dcterms:modified>
</cp:coreProperties>
</file>