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5871422D" w14:textId="77777777" w:rsidTr="005B51C4">
        <w:trPr>
          <w:trHeight w:hRule="exact" w:val="851"/>
        </w:trPr>
        <w:tc>
          <w:tcPr>
            <w:tcW w:w="1274" w:type="dxa"/>
            <w:tcBorders>
              <w:bottom w:val="single" w:sz="4" w:space="0" w:color="auto"/>
            </w:tcBorders>
            <w:shd w:val="clear" w:color="auto" w:fill="auto"/>
          </w:tcPr>
          <w:p w14:paraId="489C5689" w14:textId="77777777" w:rsidR="006B3E27" w:rsidRPr="00C175A6" w:rsidRDefault="006B3E27" w:rsidP="005A7E8C">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30B0AAB3" w14:textId="77777777" w:rsidR="006B3E27" w:rsidRPr="00C175A6" w:rsidRDefault="006B3E27" w:rsidP="00C175A6">
            <w:pPr>
              <w:spacing w:after="80" w:line="480" w:lineRule="exact"/>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04916235" w14:textId="1C9B9AD7" w:rsidR="006B3E27" w:rsidRPr="005A7E8C" w:rsidRDefault="005A7E8C" w:rsidP="005A7E8C">
            <w:pPr>
              <w:bidi w:val="0"/>
              <w:rPr>
                <w:szCs w:val="20"/>
              </w:rPr>
            </w:pPr>
            <w:r w:rsidRPr="005A7E8C">
              <w:rPr>
                <w:sz w:val="40"/>
                <w:szCs w:val="20"/>
              </w:rPr>
              <w:t>CCPR</w:t>
            </w:r>
            <w:r>
              <w:rPr>
                <w:szCs w:val="20"/>
              </w:rPr>
              <w:t>/C/</w:t>
            </w:r>
            <w:r w:rsidRPr="00A315B0">
              <w:rPr>
                <w:szCs w:val="20"/>
              </w:rPr>
              <w:t>129</w:t>
            </w:r>
            <w:r>
              <w:rPr>
                <w:szCs w:val="20"/>
              </w:rPr>
              <w:t>/D/</w:t>
            </w:r>
            <w:r w:rsidRPr="00A315B0">
              <w:rPr>
                <w:szCs w:val="20"/>
              </w:rPr>
              <w:t>2741</w:t>
            </w:r>
            <w:r>
              <w:rPr>
                <w:szCs w:val="20"/>
              </w:rPr>
              <w:t>/</w:t>
            </w:r>
            <w:r w:rsidRPr="00A315B0">
              <w:rPr>
                <w:szCs w:val="20"/>
              </w:rPr>
              <w:t>2016</w:t>
            </w:r>
          </w:p>
        </w:tc>
      </w:tr>
      <w:tr w:rsidR="006B3E27" w:rsidRPr="00C175A6" w14:paraId="52CC7557" w14:textId="77777777" w:rsidTr="005B51C4">
        <w:trPr>
          <w:trHeight w:hRule="exact" w:val="2835"/>
        </w:trPr>
        <w:tc>
          <w:tcPr>
            <w:tcW w:w="1274" w:type="dxa"/>
            <w:tcBorders>
              <w:top w:val="single" w:sz="4" w:space="0" w:color="auto"/>
              <w:bottom w:val="single" w:sz="12" w:space="0" w:color="auto"/>
            </w:tcBorders>
            <w:shd w:val="clear" w:color="auto" w:fill="auto"/>
          </w:tcPr>
          <w:p w14:paraId="0C0497A9"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ABB9F9E" wp14:editId="5AE71A35">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73AE3AC" w14:textId="77777777" w:rsidR="006B3E27" w:rsidRPr="00C175A6" w:rsidRDefault="00ED7442" w:rsidP="00C175A6">
            <w:pPr>
              <w:spacing w:before="120" w:after="40" w:line="640" w:lineRule="exact"/>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023B4B4" w14:textId="77777777" w:rsidR="007232E9" w:rsidRDefault="007232E9" w:rsidP="007232E9">
            <w:pPr>
              <w:bidi w:val="0"/>
              <w:spacing w:before="240"/>
            </w:pPr>
            <w:r>
              <w:t>Distr.: General</w:t>
            </w:r>
          </w:p>
          <w:p w14:paraId="04D84159" w14:textId="77777777" w:rsidR="007232E9" w:rsidRDefault="007232E9" w:rsidP="007232E9">
            <w:pPr>
              <w:bidi w:val="0"/>
            </w:pPr>
            <w:r w:rsidRPr="00A315B0">
              <w:t>8</w:t>
            </w:r>
            <w:r>
              <w:t xml:space="preserve"> December </w:t>
            </w:r>
            <w:r w:rsidRPr="00A315B0">
              <w:t>2020</w:t>
            </w:r>
          </w:p>
          <w:p w14:paraId="774FB2A5" w14:textId="28214CC2" w:rsidR="007232E9" w:rsidRDefault="007232E9" w:rsidP="007232E9">
            <w:pPr>
              <w:bidi w:val="0"/>
            </w:pPr>
            <w:r>
              <w:t>Arabic</w:t>
            </w:r>
          </w:p>
          <w:p w14:paraId="193CF695" w14:textId="47855070" w:rsidR="005A7E8C" w:rsidRPr="005A7E8C" w:rsidRDefault="007232E9" w:rsidP="007232E9">
            <w:pPr>
              <w:bidi w:val="0"/>
              <w:spacing w:line="240" w:lineRule="exact"/>
              <w:jc w:val="left"/>
              <w:rPr>
                <w:rFonts w:hint="cs"/>
                <w:szCs w:val="20"/>
              </w:rPr>
            </w:pPr>
            <w:r>
              <w:t>Original: English</w:t>
            </w:r>
          </w:p>
        </w:tc>
      </w:tr>
    </w:tbl>
    <w:p w14:paraId="01186401" w14:textId="77777777" w:rsidR="00211607" w:rsidRPr="00CB5BE6" w:rsidRDefault="00211607" w:rsidP="00CB5BE6">
      <w:pPr>
        <w:spacing w:before="120" w:line="360" w:lineRule="exact"/>
        <w:textDirection w:val="tbRlV"/>
        <w:rPr>
          <w:rFonts w:eastAsiaTheme="minorEastAsia"/>
          <w:b/>
          <w:bCs/>
          <w:sz w:val="30"/>
          <w:szCs w:val="30"/>
          <w:lang w:val="ar-SA" w:eastAsia="zh-TW" w:bidi="en-GB"/>
        </w:rPr>
      </w:pPr>
      <w:r w:rsidRPr="00CB5BE6">
        <w:rPr>
          <w:b/>
          <w:bCs/>
          <w:sz w:val="30"/>
          <w:szCs w:val="30"/>
          <w:rtl/>
        </w:rPr>
        <w:t>اللجنة المعنية بحقوق الإنسان</w:t>
      </w:r>
    </w:p>
    <w:p w14:paraId="1FC121B4" w14:textId="5494C6F7" w:rsidR="00211607" w:rsidRPr="00B13A52" w:rsidRDefault="00211607" w:rsidP="00CB5BE6">
      <w:pPr>
        <w:pStyle w:val="HChGA"/>
        <w:rPr>
          <w:rFonts w:eastAsiaTheme="minorEastAsia" w:hint="cs"/>
          <w:sz w:val="26"/>
          <w:szCs w:val="26"/>
        </w:rPr>
      </w:pPr>
      <w:r w:rsidRPr="007232E9">
        <w:rPr>
          <w:rtl/>
        </w:rPr>
        <w:tab/>
      </w:r>
      <w:r w:rsidRPr="00B13A52">
        <w:rPr>
          <w:rFonts w:eastAsiaTheme="minorEastAsia"/>
          <w:rtl/>
        </w:rPr>
        <w:tab/>
        <w:t>قرار اعتمدته اللجنة بموجب البروتوكول الاختياري بشأن البلاغ رقم</w:t>
      </w:r>
      <w:r w:rsidR="001100FD">
        <w:rPr>
          <w:rFonts w:eastAsiaTheme="minorEastAsia" w:hint="cs"/>
          <w:rtl/>
        </w:rPr>
        <w:t> </w:t>
      </w:r>
      <w:r w:rsidRPr="00A315B0">
        <w:rPr>
          <w:rFonts w:eastAsiaTheme="minorEastAsia"/>
          <w:rtl/>
        </w:rPr>
        <w:t>2741</w:t>
      </w:r>
      <w:r w:rsidRPr="00B13A52">
        <w:rPr>
          <w:rFonts w:eastAsiaTheme="minorEastAsia"/>
          <w:rtl/>
        </w:rPr>
        <w:t>/</w:t>
      </w:r>
      <w:r w:rsidRPr="00A315B0">
        <w:rPr>
          <w:rFonts w:eastAsiaTheme="minorEastAsia"/>
          <w:rtl/>
        </w:rPr>
        <w:t>2016</w:t>
      </w:r>
      <w:r w:rsidR="007232E9" w:rsidRPr="00B13A52">
        <w:rPr>
          <w:rStyle w:val="FootnoteReference"/>
          <w:rFonts w:eastAsiaTheme="minorEastAsia"/>
          <w:sz w:val="26"/>
          <w:szCs w:val="26"/>
          <w:vertAlign w:val="baseline"/>
          <w:rtl/>
        </w:rPr>
        <w:footnoteReference w:customMarkFollows="1" w:id="1"/>
        <w:t>*</w:t>
      </w:r>
      <w:r w:rsidR="007232E9" w:rsidRPr="00B13A52">
        <w:rPr>
          <w:rFonts w:eastAsiaTheme="minorEastAsia" w:hint="cs"/>
          <w:sz w:val="26"/>
          <w:szCs w:val="26"/>
          <w:rtl/>
        </w:rPr>
        <w:t xml:space="preserve"> </w:t>
      </w:r>
      <w:r w:rsidR="007232E9" w:rsidRPr="00B13A52">
        <w:rPr>
          <w:rStyle w:val="FootnoteReference"/>
          <w:rFonts w:eastAsiaTheme="minorEastAsia"/>
          <w:sz w:val="26"/>
          <w:szCs w:val="26"/>
          <w:vertAlign w:val="baseline"/>
          <w:rtl/>
        </w:rPr>
        <w:footnoteReference w:customMarkFollows="1" w:id="2"/>
        <w:t>**</w:t>
      </w:r>
    </w:p>
    <w:p w14:paraId="4F36B7BB" w14:textId="2B90E07F" w:rsidR="00211607" w:rsidRPr="00B13A52" w:rsidRDefault="00211607" w:rsidP="00211607">
      <w:pPr>
        <w:pStyle w:val="SingleTxtGA"/>
        <w:ind w:left="4649" w:hanging="2721"/>
        <w:rPr>
          <w:rFonts w:eastAsiaTheme="minorEastAsia"/>
          <w:szCs w:val="20"/>
          <w:lang w:val="en-US" w:eastAsia="zh-TW" w:bidi="en-GB"/>
        </w:rPr>
      </w:pPr>
      <w:r w:rsidRPr="00B13A52">
        <w:rPr>
          <w:rFonts w:eastAsiaTheme="minorEastAsia"/>
          <w:i/>
          <w:iCs/>
          <w:rtl/>
        </w:rPr>
        <w:t>بلاغ مقدم من:</w:t>
      </w:r>
      <w:r w:rsidRPr="00B13A52">
        <w:rPr>
          <w:rFonts w:eastAsiaTheme="minorEastAsia"/>
          <w:rtl/>
        </w:rPr>
        <w:tab/>
      </w:r>
      <w:r w:rsidRPr="00B13A52">
        <w:rPr>
          <w:rFonts w:eastAsiaTheme="minorEastAsia"/>
          <w:rtl/>
        </w:rPr>
        <w:tab/>
      </w:r>
      <w:r w:rsidRPr="00B13A52">
        <w:rPr>
          <w:rFonts w:eastAsiaTheme="minorEastAsia"/>
          <w:rtl/>
        </w:rPr>
        <w:tab/>
        <w:t>و. إ. أ. (يمثلها المحاميان شين ه. برادي، وبيت</w:t>
      </w:r>
      <w:r w:rsidR="00B13A52" w:rsidRPr="00B13A52">
        <w:rPr>
          <w:rFonts w:eastAsiaTheme="minorEastAsia" w:hint="cs"/>
          <w:rtl/>
        </w:rPr>
        <w:t> </w:t>
      </w:r>
      <w:proofErr w:type="spellStart"/>
      <w:r w:rsidRPr="00B13A52">
        <w:rPr>
          <w:rFonts w:eastAsiaTheme="minorEastAsia"/>
          <w:rtl/>
        </w:rPr>
        <w:t>موزني</w:t>
      </w:r>
      <w:proofErr w:type="spellEnd"/>
      <w:r w:rsidRPr="00B13A52">
        <w:rPr>
          <w:rFonts w:eastAsiaTheme="minorEastAsia"/>
          <w:rtl/>
        </w:rPr>
        <w:t>)</w:t>
      </w:r>
    </w:p>
    <w:p w14:paraId="01334EE7" w14:textId="1471F638" w:rsidR="00211607" w:rsidRPr="00B13A52" w:rsidRDefault="00211607" w:rsidP="00211607">
      <w:pPr>
        <w:pStyle w:val="SingleTxtGA"/>
        <w:ind w:left="1928"/>
        <w:rPr>
          <w:rFonts w:eastAsiaTheme="minorEastAsia"/>
          <w:szCs w:val="20"/>
          <w:lang w:val="ar-SA" w:eastAsia="zh-TW" w:bidi="en-GB"/>
        </w:rPr>
      </w:pPr>
      <w:r w:rsidRPr="00B13A52">
        <w:rPr>
          <w:rFonts w:eastAsiaTheme="minorEastAsia"/>
          <w:i/>
          <w:iCs/>
          <w:rtl/>
        </w:rPr>
        <w:t>الشخص المدعى أنه ضحية:</w:t>
      </w:r>
      <w:r w:rsidRPr="00B13A52">
        <w:rPr>
          <w:rFonts w:eastAsiaTheme="minorEastAsia"/>
          <w:rtl/>
        </w:rPr>
        <w:tab/>
      </w:r>
      <w:r w:rsidRPr="00B13A52">
        <w:rPr>
          <w:rFonts w:eastAsiaTheme="minorEastAsia"/>
          <w:rtl/>
        </w:rPr>
        <w:tab/>
        <w:t>صاحبة البلاغ</w:t>
      </w:r>
    </w:p>
    <w:p w14:paraId="28669424" w14:textId="1B11C9A8" w:rsidR="00211607" w:rsidRPr="00B13A52" w:rsidRDefault="00211607" w:rsidP="00211607">
      <w:pPr>
        <w:pStyle w:val="SingleTxtGA"/>
        <w:ind w:left="1928"/>
        <w:rPr>
          <w:rFonts w:eastAsiaTheme="minorEastAsia"/>
          <w:szCs w:val="20"/>
          <w:lang w:val="ar-SA" w:eastAsia="zh-TW" w:bidi="en-GB"/>
        </w:rPr>
      </w:pPr>
      <w:r w:rsidRPr="00B13A52">
        <w:rPr>
          <w:rFonts w:eastAsiaTheme="minorEastAsia"/>
          <w:i/>
          <w:iCs/>
          <w:rtl/>
        </w:rPr>
        <w:t>الدولة الطرف:</w:t>
      </w:r>
      <w:r w:rsidRPr="00B13A52">
        <w:rPr>
          <w:rFonts w:eastAsiaTheme="minorEastAsia"/>
          <w:rtl/>
        </w:rPr>
        <w:tab/>
      </w:r>
      <w:r w:rsidRPr="00B13A52">
        <w:rPr>
          <w:rFonts w:eastAsiaTheme="minorEastAsia"/>
          <w:rtl/>
        </w:rPr>
        <w:tab/>
      </w:r>
      <w:r w:rsidRPr="00B13A52">
        <w:rPr>
          <w:rFonts w:eastAsiaTheme="minorEastAsia"/>
          <w:rtl/>
        </w:rPr>
        <w:tab/>
        <w:t xml:space="preserve">السويد </w:t>
      </w:r>
    </w:p>
    <w:p w14:paraId="024DE09B" w14:textId="6B041DB5" w:rsidR="00211607" w:rsidRPr="00B13A52" w:rsidRDefault="00211607" w:rsidP="00211607">
      <w:pPr>
        <w:pStyle w:val="SingleTxtGA"/>
        <w:ind w:left="1928"/>
        <w:rPr>
          <w:rFonts w:eastAsiaTheme="minorEastAsia"/>
          <w:szCs w:val="20"/>
          <w:lang w:val="ar-SA" w:eastAsia="zh-TW" w:bidi="en-GB"/>
        </w:rPr>
      </w:pPr>
      <w:r w:rsidRPr="00B13A52">
        <w:rPr>
          <w:rFonts w:eastAsiaTheme="minorEastAsia"/>
          <w:i/>
          <w:iCs/>
          <w:rtl/>
        </w:rPr>
        <w:t>تاريخ تقديم البلاغ:</w:t>
      </w:r>
      <w:r w:rsidRPr="00B13A52">
        <w:rPr>
          <w:rFonts w:eastAsiaTheme="minorEastAsia"/>
          <w:rtl/>
        </w:rPr>
        <w:tab/>
      </w:r>
      <w:r w:rsidRPr="00B13A52">
        <w:rPr>
          <w:rFonts w:eastAsiaTheme="minorEastAsia"/>
          <w:rtl/>
        </w:rPr>
        <w:tab/>
      </w:r>
      <w:r w:rsidRPr="00B13A52">
        <w:rPr>
          <w:rFonts w:eastAsiaTheme="minorEastAsia"/>
          <w:rtl/>
        </w:rPr>
        <w:tab/>
      </w:r>
      <w:r w:rsidRPr="00A315B0">
        <w:rPr>
          <w:rFonts w:eastAsiaTheme="minorEastAsia"/>
          <w:szCs w:val="20"/>
          <w:rtl/>
        </w:rPr>
        <w:t>26</w:t>
      </w:r>
      <w:r w:rsidRPr="00B13A52">
        <w:rPr>
          <w:rFonts w:eastAsiaTheme="minorEastAsia"/>
          <w:rtl/>
        </w:rPr>
        <w:t xml:space="preserve"> شباط/فبراير </w:t>
      </w:r>
      <w:r w:rsidRPr="00A315B0">
        <w:rPr>
          <w:rFonts w:eastAsiaTheme="minorEastAsia"/>
          <w:szCs w:val="20"/>
          <w:rtl/>
        </w:rPr>
        <w:t>2016</w:t>
      </w:r>
      <w:r w:rsidRPr="00B13A52">
        <w:rPr>
          <w:rFonts w:eastAsiaTheme="minorEastAsia"/>
          <w:szCs w:val="20"/>
          <w:rtl/>
        </w:rPr>
        <w:t xml:space="preserve"> (</w:t>
      </w:r>
      <w:r w:rsidRPr="00B13A52">
        <w:rPr>
          <w:rFonts w:eastAsiaTheme="minorEastAsia"/>
          <w:rtl/>
        </w:rPr>
        <w:t>تاريخ تقديم</w:t>
      </w:r>
      <w:r w:rsidRPr="00B13A52">
        <w:rPr>
          <w:rFonts w:eastAsiaTheme="minorEastAsia"/>
          <w:szCs w:val="20"/>
          <w:rtl/>
        </w:rPr>
        <w:t xml:space="preserve"> </w:t>
      </w:r>
      <w:r w:rsidRPr="00B13A52">
        <w:rPr>
          <w:rFonts w:eastAsiaTheme="minorEastAsia"/>
          <w:rtl/>
        </w:rPr>
        <w:t>الرسالة الأولى</w:t>
      </w:r>
      <w:r w:rsidRPr="00B13A52">
        <w:rPr>
          <w:rFonts w:eastAsiaTheme="minorEastAsia"/>
          <w:szCs w:val="20"/>
          <w:rtl/>
        </w:rPr>
        <w:t>)</w:t>
      </w:r>
    </w:p>
    <w:p w14:paraId="00AE49C8" w14:textId="482E6BA3" w:rsidR="00211607" w:rsidRPr="00B13A52" w:rsidRDefault="00211607" w:rsidP="00211607">
      <w:pPr>
        <w:pStyle w:val="SingleTxtGA"/>
        <w:ind w:left="4649" w:hanging="2721"/>
        <w:rPr>
          <w:rFonts w:eastAsiaTheme="minorEastAsia"/>
          <w:szCs w:val="20"/>
          <w:lang w:val="ar-SA" w:eastAsia="zh-TW" w:bidi="en-GB"/>
        </w:rPr>
      </w:pPr>
      <w:r w:rsidRPr="00B13A52">
        <w:rPr>
          <w:rFonts w:eastAsiaTheme="minorEastAsia"/>
          <w:i/>
          <w:iCs/>
          <w:rtl/>
        </w:rPr>
        <w:t>الوثائق المرجعية:</w:t>
      </w:r>
      <w:r w:rsidRPr="00B13A52">
        <w:rPr>
          <w:rFonts w:eastAsiaTheme="minorEastAsia"/>
          <w:rtl/>
        </w:rPr>
        <w:tab/>
      </w:r>
      <w:r w:rsidRPr="00B13A52">
        <w:rPr>
          <w:rFonts w:eastAsiaTheme="minorEastAsia"/>
          <w:rtl/>
        </w:rPr>
        <w:tab/>
      </w:r>
      <w:r w:rsidRPr="00B13A52">
        <w:rPr>
          <w:rFonts w:eastAsiaTheme="minorEastAsia"/>
          <w:rtl/>
        </w:rPr>
        <w:tab/>
        <w:t xml:space="preserve">القرار المتخذ بموجب المادة </w:t>
      </w:r>
      <w:r w:rsidRPr="00A315B0">
        <w:rPr>
          <w:rFonts w:eastAsiaTheme="minorEastAsia"/>
          <w:szCs w:val="20"/>
          <w:rtl/>
        </w:rPr>
        <w:t>92</w:t>
      </w:r>
      <w:r w:rsidRPr="00B13A52">
        <w:rPr>
          <w:rFonts w:eastAsiaTheme="minorEastAsia"/>
          <w:rtl/>
        </w:rPr>
        <w:t xml:space="preserve"> من النظام الداخلي للجنة، والمحال إلى الدولة الطرف في </w:t>
      </w:r>
      <w:r w:rsidRPr="00A315B0">
        <w:rPr>
          <w:rFonts w:eastAsiaTheme="minorEastAsia"/>
          <w:szCs w:val="20"/>
          <w:rtl/>
        </w:rPr>
        <w:t>2</w:t>
      </w:r>
      <w:r w:rsidRPr="00B13A52">
        <w:rPr>
          <w:rFonts w:eastAsiaTheme="minorEastAsia"/>
          <w:rtl/>
        </w:rPr>
        <w:t xml:space="preserve"> آذار/مارس </w:t>
      </w:r>
      <w:r w:rsidRPr="00A315B0">
        <w:rPr>
          <w:rFonts w:eastAsiaTheme="minorEastAsia"/>
          <w:szCs w:val="20"/>
          <w:rtl/>
        </w:rPr>
        <w:t>2016</w:t>
      </w:r>
      <w:r w:rsidRPr="00B13A52">
        <w:rPr>
          <w:rFonts w:eastAsiaTheme="minorEastAsia"/>
          <w:szCs w:val="20"/>
          <w:rtl/>
        </w:rPr>
        <w:t xml:space="preserve"> (</w:t>
      </w:r>
      <w:r w:rsidRPr="00B13A52">
        <w:rPr>
          <w:rFonts w:eastAsiaTheme="minorEastAsia"/>
          <w:rtl/>
        </w:rPr>
        <w:t>لم يصدر في شكل وثيقة</w:t>
      </w:r>
      <w:r w:rsidRPr="00B13A52">
        <w:rPr>
          <w:rFonts w:eastAsiaTheme="minorEastAsia"/>
          <w:szCs w:val="20"/>
          <w:rtl/>
        </w:rPr>
        <w:t>)</w:t>
      </w:r>
    </w:p>
    <w:p w14:paraId="3951209D" w14:textId="45E84084" w:rsidR="00211607" w:rsidRPr="00B13A52" w:rsidRDefault="00211607" w:rsidP="00211607">
      <w:pPr>
        <w:pStyle w:val="SingleTxtGA"/>
        <w:ind w:left="1928"/>
        <w:rPr>
          <w:rFonts w:eastAsiaTheme="minorEastAsia"/>
          <w:szCs w:val="20"/>
          <w:lang w:val="ar-SA" w:eastAsia="zh-TW" w:bidi="en-GB"/>
        </w:rPr>
      </w:pPr>
      <w:r w:rsidRPr="00B13A52">
        <w:rPr>
          <w:rFonts w:eastAsiaTheme="minorEastAsia"/>
          <w:i/>
          <w:iCs/>
          <w:rtl/>
        </w:rPr>
        <w:t>تاريخ اعتماد القرار:</w:t>
      </w:r>
      <w:r w:rsidRPr="00B13A52">
        <w:rPr>
          <w:rFonts w:eastAsiaTheme="minorEastAsia"/>
          <w:i/>
          <w:iCs/>
          <w:rtl/>
        </w:rPr>
        <w:tab/>
      </w:r>
      <w:r w:rsidRPr="00B13A52">
        <w:rPr>
          <w:rFonts w:eastAsiaTheme="minorEastAsia"/>
          <w:i/>
          <w:iCs/>
          <w:rtl/>
        </w:rPr>
        <w:tab/>
      </w:r>
      <w:r w:rsidRPr="00B13A52">
        <w:rPr>
          <w:rFonts w:eastAsiaTheme="minorEastAsia"/>
          <w:rtl/>
        </w:rPr>
        <w:tab/>
      </w:r>
      <w:r w:rsidRPr="00A315B0">
        <w:rPr>
          <w:rFonts w:eastAsiaTheme="minorEastAsia"/>
          <w:szCs w:val="20"/>
          <w:rtl/>
        </w:rPr>
        <w:t>23</w:t>
      </w:r>
      <w:r w:rsidRPr="00B13A52">
        <w:rPr>
          <w:rFonts w:eastAsiaTheme="minorEastAsia"/>
          <w:rtl/>
        </w:rPr>
        <w:t xml:space="preserve"> تموز/يوليه </w:t>
      </w:r>
      <w:r w:rsidRPr="00A315B0">
        <w:rPr>
          <w:rFonts w:eastAsiaTheme="minorEastAsia"/>
          <w:szCs w:val="20"/>
          <w:rtl/>
        </w:rPr>
        <w:t>2020</w:t>
      </w:r>
    </w:p>
    <w:p w14:paraId="785CFA89" w14:textId="27958D0C" w:rsidR="00211607" w:rsidRPr="00B13A52" w:rsidRDefault="00211607" w:rsidP="00211607">
      <w:pPr>
        <w:pStyle w:val="SingleTxtGA"/>
        <w:ind w:left="4649" w:hanging="2721"/>
        <w:rPr>
          <w:rFonts w:eastAsiaTheme="minorEastAsia"/>
          <w:szCs w:val="20"/>
          <w:lang w:val="ar-SA" w:eastAsia="zh-TW" w:bidi="en-GB"/>
        </w:rPr>
      </w:pPr>
      <w:r w:rsidRPr="00B13A52">
        <w:rPr>
          <w:rFonts w:eastAsiaTheme="minorEastAsia"/>
          <w:i/>
          <w:iCs/>
          <w:rtl/>
        </w:rPr>
        <w:t>الموضوع:</w:t>
      </w:r>
      <w:r w:rsidRPr="00B13A52">
        <w:rPr>
          <w:rFonts w:eastAsiaTheme="minorEastAsia"/>
          <w:rtl/>
        </w:rPr>
        <w:tab/>
      </w:r>
      <w:r w:rsidRPr="00B13A52">
        <w:rPr>
          <w:rFonts w:eastAsiaTheme="minorEastAsia"/>
          <w:rtl/>
        </w:rPr>
        <w:tab/>
      </w:r>
      <w:r w:rsidRPr="00B13A52">
        <w:rPr>
          <w:rFonts w:eastAsiaTheme="minorEastAsia"/>
          <w:rtl/>
        </w:rPr>
        <w:tab/>
      </w:r>
      <w:r w:rsidRPr="00B13A52">
        <w:rPr>
          <w:rFonts w:eastAsiaTheme="minorEastAsia"/>
          <w:rtl/>
        </w:rPr>
        <w:tab/>
        <w:t>التمييز على أساس الدين؛ والمحاكمة العادلة؛ و</w:t>
      </w:r>
      <w:r w:rsidRPr="00B13A52">
        <w:rPr>
          <w:rFonts w:eastAsiaTheme="minorEastAsia"/>
          <w:rtl/>
          <w:lang w:val="fr-CH"/>
        </w:rPr>
        <w:t>ال</w:t>
      </w:r>
      <w:r w:rsidRPr="00B13A52">
        <w:rPr>
          <w:rFonts w:eastAsiaTheme="minorEastAsia"/>
          <w:rtl/>
        </w:rPr>
        <w:t>جلسات الشفوية؛ وحرية</w:t>
      </w:r>
      <w:r w:rsidRPr="00B13A52">
        <w:rPr>
          <w:rFonts w:eastAsiaTheme="minorEastAsia"/>
          <w:rtl/>
          <w:lang w:val="fr-CH"/>
        </w:rPr>
        <w:t xml:space="preserve"> الفرد في</w:t>
      </w:r>
      <w:r w:rsidRPr="00B13A52">
        <w:rPr>
          <w:rFonts w:eastAsiaTheme="minorEastAsia"/>
          <w:rtl/>
        </w:rPr>
        <w:t xml:space="preserve"> المجاهرة بدينه</w:t>
      </w:r>
    </w:p>
    <w:p w14:paraId="22044478" w14:textId="56F08DA5" w:rsidR="00211607" w:rsidRPr="00B13A52" w:rsidRDefault="00211607" w:rsidP="00211607">
      <w:pPr>
        <w:pStyle w:val="SingleTxtGA"/>
        <w:ind w:left="4649" w:hanging="2721"/>
        <w:rPr>
          <w:rFonts w:eastAsiaTheme="minorEastAsia"/>
          <w:szCs w:val="20"/>
          <w:lang w:val="ar-SA" w:eastAsia="zh-TW" w:bidi="en-GB"/>
        </w:rPr>
      </w:pPr>
      <w:r w:rsidRPr="00B13A52">
        <w:rPr>
          <w:rFonts w:eastAsiaTheme="minorEastAsia"/>
          <w:i/>
          <w:iCs/>
          <w:rtl/>
        </w:rPr>
        <w:t>المسألة الإجرائية:</w:t>
      </w:r>
      <w:r w:rsidRPr="00B13A52">
        <w:rPr>
          <w:rFonts w:eastAsiaTheme="minorEastAsia"/>
          <w:rtl/>
        </w:rPr>
        <w:tab/>
      </w:r>
      <w:r w:rsidRPr="00B13A52">
        <w:rPr>
          <w:rFonts w:eastAsiaTheme="minorEastAsia"/>
          <w:rtl/>
        </w:rPr>
        <w:tab/>
      </w:r>
      <w:r w:rsidRPr="00B13A52">
        <w:rPr>
          <w:rFonts w:eastAsiaTheme="minorEastAsia"/>
          <w:rtl/>
        </w:rPr>
        <w:tab/>
        <w:t>المسألة نفسها لم تُبحث ولا يجري بحثها في إطار إجراء آخر من إجراءات التحقيق الدولي أو التسوية الدولية؛ وعدم استنفاد سبل الانتصاف المحلية؛ ومستوى دعم الادعاءات بالأدلة</w:t>
      </w:r>
    </w:p>
    <w:p w14:paraId="18C37C40" w14:textId="57F3A6FE" w:rsidR="00211607" w:rsidRPr="00B13A52" w:rsidRDefault="00211607" w:rsidP="00211607">
      <w:pPr>
        <w:pStyle w:val="SingleTxtGA"/>
        <w:ind w:left="1928"/>
        <w:rPr>
          <w:rFonts w:eastAsiaTheme="minorEastAsia"/>
          <w:szCs w:val="20"/>
          <w:lang w:val="ar-SA" w:eastAsia="zh-TW" w:bidi="en-GB"/>
        </w:rPr>
      </w:pPr>
      <w:r w:rsidRPr="00B13A52">
        <w:rPr>
          <w:rFonts w:eastAsiaTheme="minorEastAsia"/>
          <w:i/>
          <w:iCs/>
          <w:rtl/>
        </w:rPr>
        <w:t>المسائل الموضوعية:</w:t>
      </w:r>
      <w:r w:rsidRPr="00B13A52">
        <w:rPr>
          <w:rFonts w:eastAsiaTheme="minorEastAsia"/>
          <w:rtl/>
        </w:rPr>
        <w:tab/>
      </w:r>
      <w:r w:rsidRPr="00B13A52">
        <w:rPr>
          <w:rFonts w:eastAsiaTheme="minorEastAsia"/>
          <w:rtl/>
        </w:rPr>
        <w:tab/>
        <w:t>التمييز؛ وحرية الدين؛ والحقوق في محاكمة عادلة</w:t>
      </w:r>
    </w:p>
    <w:p w14:paraId="1E824FC3" w14:textId="4C2C3B81" w:rsidR="00211607" w:rsidRPr="00B13A52" w:rsidRDefault="00211607" w:rsidP="00211607">
      <w:pPr>
        <w:pStyle w:val="SingleTxtGA"/>
        <w:ind w:left="1928"/>
        <w:rPr>
          <w:rFonts w:eastAsiaTheme="minorEastAsia"/>
          <w:szCs w:val="20"/>
          <w:lang w:val="en-US" w:eastAsia="zh-TW" w:bidi="en-GB"/>
        </w:rPr>
      </w:pPr>
      <w:r w:rsidRPr="00B13A52">
        <w:rPr>
          <w:rFonts w:eastAsiaTheme="minorEastAsia"/>
          <w:i/>
          <w:iCs/>
          <w:rtl/>
        </w:rPr>
        <w:t>مواد العهد:</w:t>
      </w:r>
      <w:r w:rsidRPr="00B13A52">
        <w:rPr>
          <w:rFonts w:eastAsiaTheme="minorEastAsia"/>
          <w:rtl/>
        </w:rPr>
        <w:tab/>
      </w:r>
      <w:r w:rsidRPr="00B13A52">
        <w:rPr>
          <w:rFonts w:eastAsiaTheme="minorEastAsia"/>
          <w:rtl/>
        </w:rPr>
        <w:tab/>
      </w:r>
      <w:r w:rsidRPr="00B13A52">
        <w:rPr>
          <w:rFonts w:eastAsiaTheme="minorEastAsia"/>
          <w:rtl/>
        </w:rPr>
        <w:tab/>
      </w:r>
      <w:r w:rsidRPr="00A315B0">
        <w:rPr>
          <w:rFonts w:eastAsiaTheme="minorEastAsia"/>
          <w:szCs w:val="20"/>
          <w:rtl/>
        </w:rPr>
        <w:t>14</w:t>
      </w:r>
      <w:r w:rsidRPr="00B13A52">
        <w:rPr>
          <w:rFonts w:eastAsiaTheme="minorEastAsia"/>
          <w:rtl/>
        </w:rPr>
        <w:t xml:space="preserve"> و</w:t>
      </w:r>
      <w:r w:rsidRPr="00A315B0">
        <w:rPr>
          <w:rFonts w:eastAsiaTheme="minorEastAsia"/>
          <w:szCs w:val="20"/>
          <w:rtl/>
        </w:rPr>
        <w:t>18</w:t>
      </w:r>
      <w:r w:rsidRPr="00B13A52">
        <w:rPr>
          <w:rFonts w:eastAsiaTheme="minorEastAsia"/>
          <w:rtl/>
        </w:rPr>
        <w:t xml:space="preserve"> و</w:t>
      </w:r>
      <w:r w:rsidRPr="00A315B0">
        <w:rPr>
          <w:rFonts w:eastAsiaTheme="minorEastAsia"/>
          <w:szCs w:val="20"/>
          <w:rtl/>
        </w:rPr>
        <w:t>26</w:t>
      </w:r>
    </w:p>
    <w:p w14:paraId="083A9B46" w14:textId="23E3947F" w:rsidR="00211607" w:rsidRPr="00B13A52" w:rsidRDefault="00211607" w:rsidP="00211607">
      <w:pPr>
        <w:pStyle w:val="SingleTxtGA"/>
        <w:ind w:left="1928"/>
        <w:rPr>
          <w:rFonts w:eastAsiaTheme="minorEastAsia"/>
          <w:szCs w:val="20"/>
          <w:lang w:val="ar-SA" w:eastAsia="zh-TW" w:bidi="en-GB"/>
        </w:rPr>
      </w:pPr>
      <w:r w:rsidRPr="00B13A52">
        <w:rPr>
          <w:rFonts w:eastAsiaTheme="minorEastAsia"/>
          <w:i/>
          <w:iCs/>
          <w:rtl/>
        </w:rPr>
        <w:t>مواد البروتوكول الاختياري:</w:t>
      </w:r>
      <w:r w:rsidRPr="00B13A52">
        <w:rPr>
          <w:rFonts w:eastAsiaTheme="minorEastAsia"/>
          <w:rtl/>
        </w:rPr>
        <w:tab/>
      </w:r>
      <w:r w:rsidRPr="00B13A52">
        <w:rPr>
          <w:rFonts w:eastAsiaTheme="minorEastAsia"/>
          <w:rtl/>
        </w:rPr>
        <w:tab/>
      </w:r>
      <w:r w:rsidRPr="00A315B0">
        <w:rPr>
          <w:rFonts w:eastAsiaTheme="minorEastAsia"/>
          <w:szCs w:val="20"/>
          <w:rtl/>
        </w:rPr>
        <w:t>2</w:t>
      </w:r>
      <w:r w:rsidRPr="00B13A52">
        <w:rPr>
          <w:rFonts w:eastAsiaTheme="minorEastAsia"/>
          <w:rtl/>
        </w:rPr>
        <w:t xml:space="preserve"> و</w:t>
      </w:r>
      <w:r w:rsidRPr="00A315B0">
        <w:rPr>
          <w:rFonts w:eastAsiaTheme="minorEastAsia"/>
          <w:szCs w:val="20"/>
          <w:rtl/>
        </w:rPr>
        <w:t>3</w:t>
      </w:r>
      <w:r w:rsidRPr="00B13A52">
        <w:rPr>
          <w:rFonts w:eastAsiaTheme="minorEastAsia"/>
          <w:rtl/>
        </w:rPr>
        <w:t xml:space="preserve"> و</w:t>
      </w:r>
      <w:r w:rsidRPr="00A315B0">
        <w:rPr>
          <w:rFonts w:eastAsiaTheme="minorEastAsia"/>
          <w:szCs w:val="20"/>
          <w:rtl/>
        </w:rPr>
        <w:t>5</w:t>
      </w:r>
      <w:r w:rsidRPr="00B13A52">
        <w:rPr>
          <w:rFonts w:eastAsiaTheme="minorEastAsia"/>
          <w:szCs w:val="20"/>
          <w:rtl/>
        </w:rPr>
        <w:t>(</w:t>
      </w:r>
      <w:r w:rsidRPr="00A315B0">
        <w:rPr>
          <w:rFonts w:eastAsiaTheme="minorEastAsia"/>
          <w:szCs w:val="20"/>
          <w:rtl/>
        </w:rPr>
        <w:t>2</w:t>
      </w:r>
      <w:r w:rsidRPr="00B13A52">
        <w:rPr>
          <w:rFonts w:eastAsiaTheme="minorEastAsia"/>
          <w:szCs w:val="20"/>
          <w:rtl/>
        </w:rPr>
        <w:t>)(</w:t>
      </w:r>
      <w:r w:rsidRPr="00B13A52">
        <w:rPr>
          <w:rFonts w:eastAsiaTheme="minorEastAsia"/>
          <w:rtl/>
        </w:rPr>
        <w:t>أ</w:t>
      </w:r>
      <w:r w:rsidRPr="00B13A52">
        <w:rPr>
          <w:rFonts w:eastAsiaTheme="minorEastAsia"/>
          <w:szCs w:val="20"/>
          <w:rtl/>
        </w:rPr>
        <w:t>)</w:t>
      </w:r>
      <w:r w:rsidRPr="00B13A52">
        <w:rPr>
          <w:rFonts w:eastAsiaTheme="minorEastAsia"/>
          <w:rtl/>
        </w:rPr>
        <w:t xml:space="preserve"> و(ب)</w:t>
      </w:r>
    </w:p>
    <w:p w14:paraId="4B637F15"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lastRenderedPageBreak/>
        <w:t>1</w:t>
      </w:r>
      <w:r w:rsidRPr="00B13A52">
        <w:rPr>
          <w:rFonts w:eastAsiaTheme="minorEastAsia"/>
          <w:szCs w:val="20"/>
          <w:rtl/>
        </w:rPr>
        <w:t>-</w:t>
      </w:r>
      <w:r w:rsidRPr="00A315B0">
        <w:rPr>
          <w:rFonts w:eastAsiaTheme="minorEastAsia"/>
          <w:szCs w:val="20"/>
          <w:rtl/>
        </w:rPr>
        <w:t>1</w:t>
      </w:r>
      <w:r w:rsidRPr="00B13A52">
        <w:rPr>
          <w:rFonts w:eastAsiaTheme="minorEastAsia"/>
          <w:rtl/>
        </w:rPr>
        <w:tab/>
        <w:t xml:space="preserve">صاحبة البلاغ هي و. إ. أ.، وهي مواطنة سويدية مولودة في عام </w:t>
      </w:r>
      <w:r w:rsidRPr="00A315B0">
        <w:rPr>
          <w:rFonts w:eastAsiaTheme="minorEastAsia"/>
          <w:szCs w:val="20"/>
          <w:rtl/>
        </w:rPr>
        <w:t>1932</w:t>
      </w:r>
      <w:r w:rsidRPr="00B13A52">
        <w:rPr>
          <w:rFonts w:eastAsiaTheme="minorEastAsia"/>
          <w:szCs w:val="20"/>
          <w:rtl/>
        </w:rPr>
        <w:t>.</w:t>
      </w:r>
      <w:r w:rsidRPr="00B13A52">
        <w:rPr>
          <w:rFonts w:eastAsiaTheme="minorEastAsia"/>
          <w:rtl/>
        </w:rPr>
        <w:t xml:space="preserve"> وهي تدعي أن الدولة الطرف انتهكت حقوقها التي تكفلها المواد </w:t>
      </w:r>
      <w:r w:rsidRPr="00A315B0">
        <w:rPr>
          <w:rFonts w:eastAsiaTheme="minorEastAsia"/>
          <w:szCs w:val="20"/>
          <w:rtl/>
        </w:rPr>
        <w:t>14</w:t>
      </w:r>
      <w:r w:rsidRPr="00B13A52">
        <w:rPr>
          <w:rFonts w:eastAsiaTheme="minorEastAsia"/>
          <w:szCs w:val="20"/>
          <w:rtl/>
        </w:rPr>
        <w:t xml:space="preserve"> </w:t>
      </w:r>
      <w:r w:rsidRPr="00B13A52">
        <w:rPr>
          <w:rFonts w:eastAsiaTheme="minorEastAsia"/>
          <w:rtl/>
        </w:rPr>
        <w:t>و</w:t>
      </w:r>
      <w:r w:rsidRPr="00A315B0">
        <w:rPr>
          <w:rFonts w:eastAsiaTheme="minorEastAsia"/>
          <w:szCs w:val="20"/>
          <w:rtl/>
        </w:rPr>
        <w:t>18</w:t>
      </w:r>
      <w:r w:rsidRPr="00B13A52">
        <w:rPr>
          <w:rFonts w:eastAsiaTheme="minorEastAsia"/>
          <w:szCs w:val="20"/>
          <w:rtl/>
        </w:rPr>
        <w:t xml:space="preserve"> </w:t>
      </w:r>
      <w:r w:rsidRPr="00B13A52">
        <w:rPr>
          <w:rFonts w:eastAsiaTheme="minorEastAsia"/>
          <w:rtl/>
        </w:rPr>
        <w:t>و</w:t>
      </w:r>
      <w:r w:rsidRPr="00A315B0">
        <w:rPr>
          <w:rFonts w:eastAsiaTheme="minorEastAsia"/>
          <w:szCs w:val="20"/>
          <w:rtl/>
        </w:rPr>
        <w:t>26</w:t>
      </w:r>
      <w:r w:rsidRPr="00B13A52">
        <w:rPr>
          <w:rFonts w:eastAsiaTheme="minorEastAsia"/>
          <w:rtl/>
        </w:rPr>
        <w:t xml:space="preserve"> من العهد. وقد دخل البروتوكول الاختياري حيز النفاذ بالنسبة للدولة الطرف في </w:t>
      </w:r>
      <w:r w:rsidRPr="00A315B0">
        <w:rPr>
          <w:rFonts w:eastAsiaTheme="minorEastAsia"/>
          <w:szCs w:val="20"/>
          <w:rtl/>
        </w:rPr>
        <w:t>6</w:t>
      </w:r>
      <w:r w:rsidRPr="00B13A52">
        <w:rPr>
          <w:rFonts w:eastAsiaTheme="minorEastAsia"/>
          <w:rtl/>
        </w:rPr>
        <w:t xml:space="preserve"> كانون الأول/ديسمبر </w:t>
      </w:r>
      <w:r w:rsidRPr="00A315B0">
        <w:rPr>
          <w:rFonts w:eastAsiaTheme="minorEastAsia"/>
          <w:szCs w:val="20"/>
          <w:rtl/>
        </w:rPr>
        <w:t>1971</w:t>
      </w:r>
      <w:r w:rsidRPr="00B13A52">
        <w:rPr>
          <w:rFonts w:eastAsiaTheme="minorEastAsia"/>
          <w:szCs w:val="20"/>
          <w:rtl/>
        </w:rPr>
        <w:t>.</w:t>
      </w:r>
      <w:r w:rsidRPr="00B13A52">
        <w:rPr>
          <w:rFonts w:eastAsiaTheme="minorEastAsia"/>
          <w:rtl/>
        </w:rPr>
        <w:t xml:space="preserve"> ويمثّل صاحبةَ البلاغ محام.</w:t>
      </w:r>
    </w:p>
    <w:p w14:paraId="430F1A60"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1</w:t>
      </w:r>
      <w:r w:rsidRPr="00B13A52">
        <w:rPr>
          <w:rFonts w:eastAsiaTheme="minorEastAsia"/>
          <w:szCs w:val="20"/>
          <w:rtl/>
        </w:rPr>
        <w:t>-</w:t>
      </w:r>
      <w:r w:rsidRPr="00A315B0">
        <w:rPr>
          <w:rFonts w:eastAsiaTheme="minorEastAsia"/>
          <w:szCs w:val="20"/>
          <w:rtl/>
        </w:rPr>
        <w:t>2</w:t>
      </w:r>
      <w:r w:rsidRPr="00B13A52">
        <w:rPr>
          <w:rFonts w:eastAsiaTheme="minorEastAsia"/>
          <w:rtl/>
        </w:rPr>
        <w:tab/>
        <w:t xml:space="preserve">وفي </w:t>
      </w:r>
      <w:r w:rsidRPr="00A315B0">
        <w:rPr>
          <w:rFonts w:eastAsiaTheme="minorEastAsia"/>
          <w:szCs w:val="20"/>
          <w:rtl/>
        </w:rPr>
        <w:t>16</w:t>
      </w:r>
      <w:r w:rsidRPr="00B13A52">
        <w:rPr>
          <w:rFonts w:eastAsiaTheme="minorEastAsia"/>
          <w:rtl/>
        </w:rPr>
        <w:t xml:space="preserve"> أيار/مايو </w:t>
      </w:r>
      <w:r w:rsidRPr="00A315B0">
        <w:rPr>
          <w:rFonts w:eastAsiaTheme="minorEastAsia"/>
          <w:szCs w:val="20"/>
          <w:rtl/>
        </w:rPr>
        <w:t>2016</w:t>
      </w:r>
      <w:r w:rsidRPr="00B13A52">
        <w:rPr>
          <w:rFonts w:eastAsiaTheme="minorEastAsia"/>
          <w:rtl/>
        </w:rPr>
        <w:t xml:space="preserve">، قدمت الدولة الطرف ملاحظاتها على مقبولية البلاغ وطلبت إلى اللجنة أن تنظر في مقبوليته بمعزل عن أسسه الموضوعية. وفي </w:t>
      </w:r>
      <w:r w:rsidRPr="00A315B0">
        <w:rPr>
          <w:rFonts w:eastAsiaTheme="minorEastAsia"/>
          <w:szCs w:val="20"/>
          <w:rtl/>
        </w:rPr>
        <w:t>19</w:t>
      </w:r>
      <w:r w:rsidRPr="00B13A52">
        <w:rPr>
          <w:rFonts w:eastAsiaTheme="minorEastAsia"/>
          <w:rtl/>
        </w:rPr>
        <w:t xml:space="preserve"> حزيران/</w:t>
      </w:r>
      <w:proofErr w:type="gramStart"/>
      <w:r w:rsidRPr="00B13A52">
        <w:rPr>
          <w:rFonts w:eastAsiaTheme="minorEastAsia"/>
          <w:rtl/>
        </w:rPr>
        <w:t>يونيه</w:t>
      </w:r>
      <w:proofErr w:type="gramEnd"/>
      <w:r w:rsidRPr="00B13A52">
        <w:rPr>
          <w:rFonts w:eastAsiaTheme="minorEastAsia"/>
          <w:rtl/>
        </w:rPr>
        <w:t xml:space="preserve"> </w:t>
      </w:r>
      <w:r w:rsidRPr="00A315B0">
        <w:rPr>
          <w:rFonts w:eastAsiaTheme="minorEastAsia"/>
          <w:szCs w:val="20"/>
          <w:rtl/>
        </w:rPr>
        <w:t>2017</w:t>
      </w:r>
      <w:r w:rsidRPr="00B13A52">
        <w:rPr>
          <w:rFonts w:eastAsiaTheme="minorEastAsia"/>
          <w:rtl/>
        </w:rPr>
        <w:t>، قررت اللجنة، عن طريق مقررها الخاص المعني بالبلاغات الجديدة والتدابير المؤقتة، رفض طلب الدولة الطرف.</w:t>
      </w:r>
    </w:p>
    <w:p w14:paraId="3573B53C" w14:textId="77777777" w:rsidR="00211607" w:rsidRPr="00B13A52" w:rsidRDefault="00211607" w:rsidP="007232E9">
      <w:pPr>
        <w:pStyle w:val="H23GA"/>
        <w:rPr>
          <w:rFonts w:eastAsiaTheme="minorEastAsia"/>
          <w:szCs w:val="20"/>
          <w:lang w:val="ar-SA" w:eastAsia="zh-TW" w:bidi="en-GB"/>
        </w:rPr>
      </w:pPr>
      <w:r w:rsidRPr="00B13A52">
        <w:rPr>
          <w:rFonts w:eastAsiaTheme="minorEastAsia"/>
          <w:rtl/>
        </w:rPr>
        <w:tab/>
      </w:r>
      <w:r w:rsidRPr="00B13A52">
        <w:rPr>
          <w:rFonts w:eastAsiaTheme="minorEastAsia"/>
          <w:rtl/>
        </w:rPr>
        <w:tab/>
        <w:t>الوقائع كما عرضتها صاحبة البلاغ</w:t>
      </w:r>
    </w:p>
    <w:p w14:paraId="32FC88E7" w14:textId="710A65DA"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2</w:t>
      </w:r>
      <w:r w:rsidRPr="00B13A52">
        <w:rPr>
          <w:rFonts w:eastAsiaTheme="minorEastAsia"/>
          <w:szCs w:val="20"/>
          <w:rtl/>
        </w:rPr>
        <w:t>-</w:t>
      </w:r>
      <w:r w:rsidRPr="00A315B0">
        <w:rPr>
          <w:rFonts w:eastAsiaTheme="minorEastAsia"/>
          <w:szCs w:val="20"/>
          <w:rtl/>
        </w:rPr>
        <w:t>1</w:t>
      </w:r>
      <w:r w:rsidRPr="00B13A52">
        <w:rPr>
          <w:rFonts w:eastAsiaTheme="minorEastAsia"/>
          <w:rtl/>
        </w:rPr>
        <w:tab/>
        <w:t xml:space="preserve">صاحبة البلاغ عضو مسن في جماعة دينية تُعرف باسم الجماعة العالمية للخدام المتفرغين الخاصين لشهود يهوه. وفي عام </w:t>
      </w:r>
      <w:r w:rsidRPr="00A315B0">
        <w:rPr>
          <w:rFonts w:eastAsiaTheme="minorEastAsia"/>
          <w:szCs w:val="20"/>
          <w:rtl/>
        </w:rPr>
        <w:t>1980</w:t>
      </w:r>
      <w:r w:rsidRPr="00B13A52">
        <w:rPr>
          <w:rFonts w:eastAsiaTheme="minorEastAsia"/>
          <w:rtl/>
        </w:rPr>
        <w:t>، بدأت هي وزوجها تقديم خدمتهما الدينية كأعضاء في الجماعة في مجتمع في السويد مماثل للدير، يعرف باسم "</w:t>
      </w:r>
      <w:proofErr w:type="spellStart"/>
      <w:r w:rsidRPr="00B13A52">
        <w:rPr>
          <w:rFonts w:eastAsiaTheme="minorEastAsia"/>
          <w:rtl/>
        </w:rPr>
        <w:t>بيثيل</w:t>
      </w:r>
      <w:proofErr w:type="spellEnd"/>
      <w:r w:rsidRPr="00B13A52">
        <w:rPr>
          <w:rFonts w:eastAsiaTheme="minorEastAsia"/>
          <w:rtl/>
        </w:rPr>
        <w:t xml:space="preserve">". وهذه الجماعة رابطة دولية خاصة لشهود يهوه تضم أفرادا وقساوسة وهبوا أنفسهم للخدمة بصفة خاصة وبتفرغ. ويؤدي أعضاء الجماعة الواجبات الدينية في مرافق </w:t>
      </w:r>
      <w:proofErr w:type="spellStart"/>
      <w:r w:rsidRPr="00B13A52">
        <w:rPr>
          <w:rFonts w:eastAsiaTheme="minorEastAsia"/>
          <w:rtl/>
        </w:rPr>
        <w:t>بيثيل</w:t>
      </w:r>
      <w:proofErr w:type="spellEnd"/>
      <w:r w:rsidRPr="00B13A52">
        <w:rPr>
          <w:rFonts w:eastAsiaTheme="minorEastAsia"/>
          <w:rtl/>
        </w:rPr>
        <w:t xml:space="preserve"> في جميع أنحاء العالم أو يخدمون في مناصب دينية أخرى. وقد تعهدوا بالامتناع عن العمل الدنيوي. وقطع أعضاء هذه الجماعة على أنفسهم عهداً دينياً بالطاعة والفقر، حيث وافقوا على عدم تلقي أي أجر عن الخدمات الدينية التي يقدمونها للجماعة</w:t>
      </w:r>
      <w:r w:rsidR="007232E9" w:rsidRPr="00B13A52">
        <w:rPr>
          <w:rStyle w:val="FootnoteReference"/>
          <w:rFonts w:eastAsiaTheme="minorEastAsia"/>
          <w:rtl/>
        </w:rPr>
        <w:t>(</w:t>
      </w:r>
      <w:r w:rsidR="007232E9" w:rsidRPr="00A315B0">
        <w:rPr>
          <w:rStyle w:val="FootnoteReference"/>
          <w:rFonts w:eastAsiaTheme="minorEastAsia"/>
          <w:rtl/>
        </w:rPr>
        <w:footnoteReference w:id="3"/>
      </w:r>
      <w:r w:rsidR="007232E9" w:rsidRPr="00B13A52">
        <w:rPr>
          <w:rStyle w:val="FootnoteReference"/>
          <w:rFonts w:eastAsiaTheme="minorEastAsia"/>
          <w:rtl/>
        </w:rPr>
        <w:t>)</w:t>
      </w:r>
      <w:r w:rsidR="006A1724" w:rsidRPr="00B13A52">
        <w:rPr>
          <w:rFonts w:eastAsiaTheme="minorEastAsia" w:hint="cs"/>
          <w:rtl/>
        </w:rPr>
        <w:t>.</w:t>
      </w:r>
      <w:r w:rsidRPr="00B13A52">
        <w:rPr>
          <w:rFonts w:eastAsiaTheme="minorEastAsia"/>
          <w:rtl/>
        </w:rPr>
        <w:t xml:space="preserve"> واعتادت صاحبة البلاغ على أداء مهام مختلفة في </w:t>
      </w:r>
      <w:proofErr w:type="spellStart"/>
      <w:r w:rsidRPr="00B13A52">
        <w:rPr>
          <w:rFonts w:eastAsiaTheme="minorEastAsia"/>
          <w:rtl/>
        </w:rPr>
        <w:t>بيثيل</w:t>
      </w:r>
      <w:proofErr w:type="spellEnd"/>
      <w:r w:rsidRPr="00B13A52">
        <w:rPr>
          <w:rFonts w:eastAsiaTheme="minorEastAsia"/>
          <w:rtl/>
        </w:rPr>
        <w:t>، تشمل التدبير المنزلي والطهي.</w:t>
      </w:r>
    </w:p>
    <w:p w14:paraId="1D1CD20C"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2</w:t>
      </w:r>
      <w:r w:rsidRPr="00B13A52">
        <w:rPr>
          <w:rFonts w:eastAsiaTheme="minorEastAsia"/>
          <w:szCs w:val="20"/>
          <w:rtl/>
        </w:rPr>
        <w:t>-</w:t>
      </w:r>
      <w:r w:rsidRPr="00A315B0">
        <w:rPr>
          <w:rFonts w:eastAsiaTheme="minorEastAsia"/>
          <w:szCs w:val="20"/>
          <w:rtl/>
        </w:rPr>
        <w:t>2</w:t>
      </w:r>
      <w:r w:rsidRPr="00B13A52">
        <w:rPr>
          <w:rFonts w:eastAsiaTheme="minorEastAsia"/>
          <w:rtl/>
        </w:rPr>
        <w:tab/>
        <w:t xml:space="preserve">وتدفع الجماعة لصاحبة البلاغ، لمساعدتها على تلبية احتياجاتها المادية، إعانة شهرية زهيدة وتوفر لها الإقامة والإعاشة. ولا ترتبط المساعدة المالية التي تقدمها الجماعة بالإنجازات. ويتلقى كل عضو في هذه الجماعة نفس القدر من الدعم لتلبية احتياجاته الأساسية حتى وإن لم يعد قادراً على أداء أي خدمات دينية. </w:t>
      </w:r>
    </w:p>
    <w:p w14:paraId="096A9145" w14:textId="77777777" w:rsidR="0035251F" w:rsidRPr="00B13A52" w:rsidRDefault="00211607" w:rsidP="0035251F">
      <w:pPr>
        <w:pStyle w:val="SingleTxtGA"/>
        <w:rPr>
          <w:rFonts w:eastAsiaTheme="minorEastAsia"/>
          <w:rtl/>
        </w:rPr>
      </w:pPr>
      <w:r w:rsidRPr="00A315B0">
        <w:rPr>
          <w:rFonts w:eastAsiaTheme="minorEastAsia"/>
          <w:szCs w:val="20"/>
          <w:rtl/>
        </w:rPr>
        <w:t>2</w:t>
      </w:r>
      <w:r w:rsidRPr="00B13A52">
        <w:rPr>
          <w:rFonts w:eastAsiaTheme="minorEastAsia"/>
          <w:szCs w:val="20"/>
          <w:rtl/>
        </w:rPr>
        <w:t>-</w:t>
      </w:r>
      <w:r w:rsidRPr="00A315B0">
        <w:rPr>
          <w:rFonts w:eastAsiaTheme="minorEastAsia"/>
          <w:szCs w:val="20"/>
          <w:rtl/>
        </w:rPr>
        <w:t>3</w:t>
      </w:r>
      <w:r w:rsidRPr="00B13A52">
        <w:rPr>
          <w:rFonts w:eastAsiaTheme="minorEastAsia"/>
          <w:rtl/>
        </w:rPr>
        <w:tab/>
        <w:t xml:space="preserve">وفي عام </w:t>
      </w:r>
      <w:r w:rsidRPr="00A315B0">
        <w:rPr>
          <w:rFonts w:eastAsiaTheme="minorEastAsia"/>
          <w:szCs w:val="20"/>
          <w:rtl/>
        </w:rPr>
        <w:t>2012</w:t>
      </w:r>
      <w:r w:rsidRPr="00B13A52">
        <w:rPr>
          <w:rFonts w:eastAsiaTheme="minorEastAsia"/>
          <w:rtl/>
        </w:rPr>
        <w:t xml:space="preserve">، طعنت صاحبة البلاغ في التقدير الضريبي الذي أجرته هيئة الضرائب لدخلها عن الفترة </w:t>
      </w:r>
      <w:r w:rsidRPr="00A315B0">
        <w:rPr>
          <w:rFonts w:eastAsiaTheme="minorEastAsia"/>
          <w:szCs w:val="20"/>
          <w:rtl/>
        </w:rPr>
        <w:t>2005</w:t>
      </w:r>
      <w:r w:rsidRPr="00B13A52">
        <w:rPr>
          <w:rFonts w:eastAsiaTheme="minorEastAsia"/>
          <w:szCs w:val="20"/>
          <w:rtl/>
        </w:rPr>
        <w:t>-</w:t>
      </w:r>
      <w:r w:rsidRPr="00A315B0">
        <w:rPr>
          <w:rFonts w:eastAsiaTheme="minorEastAsia"/>
          <w:szCs w:val="20"/>
          <w:rtl/>
        </w:rPr>
        <w:t>2011</w:t>
      </w:r>
      <w:r w:rsidRPr="00B13A52">
        <w:rPr>
          <w:rFonts w:eastAsiaTheme="minorEastAsia"/>
          <w:rtl/>
        </w:rPr>
        <w:t xml:space="preserve">، حيث طالبت صاحبة البلاغ بدفع ضريبة دخل على المساعدة المالية التي تلقتها من الجماعة خلال الفترة الزمنية المعنية. </w:t>
      </w:r>
      <w:dir w:val="rtl">
        <w:r w:rsidRPr="00B13A52">
          <w:rPr>
            <w:rFonts w:eastAsiaTheme="minorEastAsia"/>
            <w:rtl/>
          </w:rPr>
          <w:t xml:space="preserve">وفي </w:t>
        </w:r>
        <w:r w:rsidRPr="00A315B0">
          <w:rPr>
            <w:rFonts w:eastAsiaTheme="minorEastAsia"/>
            <w:szCs w:val="20"/>
            <w:rtl/>
          </w:rPr>
          <w:t>12</w:t>
        </w:r>
        <w:r w:rsidRPr="00B13A52">
          <w:rPr>
            <w:rFonts w:eastAsiaTheme="minorEastAsia"/>
            <w:rtl/>
          </w:rPr>
          <w:t xml:space="preserve"> حزيران/يونيه </w:t>
        </w:r>
        <w:r w:rsidRPr="00A315B0">
          <w:rPr>
            <w:rFonts w:eastAsiaTheme="minorEastAsia"/>
            <w:szCs w:val="20"/>
            <w:rtl/>
          </w:rPr>
          <w:t>2012</w:t>
        </w:r>
        <w:r w:rsidRPr="00B13A52">
          <w:rPr>
            <w:rFonts w:eastAsiaTheme="minorEastAsia"/>
            <w:rtl/>
          </w:rPr>
          <w:t>، رفضت المحكمة الإدارية طعن صاحبة البلاغ.</w:t>
        </w:r>
        <w:r w:rsidRPr="00B13A52">
          <w:rPr>
            <w:rFonts w:eastAsiaTheme="minorEastAsia" w:cs="Times New Roman" w:hint="cs"/>
            <w:rtl/>
          </w:rPr>
          <w:t>‬</w:t>
        </w:r>
        <w:r w:rsidRPr="00B13A52">
          <w:rPr>
            <w:rFonts w:eastAsiaTheme="minorEastAsia"/>
            <w:rtl/>
          </w:rPr>
          <w:t xml:space="preserve"> </w:t>
        </w:r>
        <w:r w:rsidRPr="00B13A52">
          <w:rPr>
            <w:rFonts w:eastAsiaTheme="minorEastAsia" w:hint="cs"/>
            <w:rtl/>
          </w:rPr>
          <w:t>و</w:t>
        </w:r>
        <w:r w:rsidRPr="00B13A52">
          <w:rPr>
            <w:rFonts w:eastAsiaTheme="minorEastAsia"/>
            <w:rtl/>
          </w:rPr>
          <w:t xml:space="preserve">خلصت المحكمة، دون إيراد الأسباب، إلى أن وقائع قضية صاحبة البلاغ مطابقة تقريباً لوقائع قضية أخرى بت فيها مجلس الأحكام الضريبية المسبقة السويدي في </w:t>
        </w:r>
        <w:r w:rsidRPr="00A315B0">
          <w:rPr>
            <w:rFonts w:eastAsiaTheme="minorEastAsia"/>
            <w:szCs w:val="20"/>
            <w:rtl/>
          </w:rPr>
          <w:t>10</w:t>
        </w:r>
        <w:r w:rsidRPr="00B13A52">
          <w:rPr>
            <w:rFonts w:eastAsiaTheme="minorEastAsia"/>
            <w:rtl/>
          </w:rPr>
          <w:t xml:space="preserve"> أيار/مايو </w:t>
        </w:r>
        <w:r w:rsidRPr="00A315B0">
          <w:rPr>
            <w:rFonts w:eastAsiaTheme="minorEastAsia"/>
            <w:szCs w:val="20"/>
            <w:rtl/>
          </w:rPr>
          <w:t>2011</w:t>
        </w:r>
        <w:r w:rsidRPr="00B13A52">
          <w:rPr>
            <w:rFonts w:eastAsiaTheme="minorEastAsia"/>
            <w:szCs w:val="20"/>
            <w:rtl/>
          </w:rPr>
          <w:t>.</w:t>
        </w:r>
        <w:r w:rsidRPr="00B13A52">
          <w:rPr>
            <w:rFonts w:eastAsiaTheme="minorEastAsia"/>
            <w:rtl/>
          </w:rPr>
          <w:t xml:space="preserve"> وفي </w:t>
        </w:r>
        <w:r w:rsidRPr="00A315B0">
          <w:rPr>
            <w:rFonts w:eastAsiaTheme="minorEastAsia"/>
            <w:rtl/>
          </w:rPr>
          <w:t>12</w:t>
        </w:r>
        <w:r w:rsidRPr="00B13A52">
          <w:rPr>
            <w:rFonts w:eastAsiaTheme="minorEastAsia"/>
            <w:rtl/>
          </w:rPr>
          <w:t xml:space="preserve"> كانون الأول/ديسمبر </w:t>
        </w:r>
        <w:r w:rsidRPr="00A315B0">
          <w:rPr>
            <w:rFonts w:eastAsiaTheme="minorEastAsia"/>
            <w:rtl/>
          </w:rPr>
          <w:t>2012</w:t>
        </w:r>
        <w:r w:rsidRPr="00B13A52">
          <w:rPr>
            <w:rFonts w:eastAsiaTheme="minorEastAsia"/>
            <w:rtl/>
          </w:rPr>
          <w:t>، رفضت محكمة الاستئناف الإدارية الطعن الذي قدمته صاحبة البلاغ. وفي</w:t>
        </w:r>
        <w:r w:rsidR="000918FC" w:rsidRPr="00B13A52">
          <w:rPr>
            <w:rFonts w:eastAsiaTheme="minorEastAsia" w:hint="cs"/>
            <w:rtl/>
          </w:rPr>
          <w:t> </w:t>
        </w:r>
        <w:r w:rsidRPr="00A315B0">
          <w:rPr>
            <w:rFonts w:eastAsiaTheme="minorEastAsia"/>
            <w:rtl/>
          </w:rPr>
          <w:t>25</w:t>
        </w:r>
        <w:r w:rsidRPr="00B13A52">
          <w:rPr>
            <w:rFonts w:eastAsiaTheme="minorEastAsia"/>
            <w:rtl/>
          </w:rPr>
          <w:t xml:space="preserve"> حزيران/</w:t>
        </w:r>
        <w:proofErr w:type="gramStart"/>
        <w:r w:rsidRPr="00B13A52">
          <w:rPr>
            <w:rFonts w:eastAsiaTheme="minorEastAsia"/>
            <w:rtl/>
          </w:rPr>
          <w:t>يونيه</w:t>
        </w:r>
        <w:proofErr w:type="gramEnd"/>
        <w:r w:rsidRPr="00B13A52">
          <w:rPr>
            <w:rFonts w:eastAsiaTheme="minorEastAsia"/>
            <w:rtl/>
          </w:rPr>
          <w:t xml:space="preserve"> </w:t>
        </w:r>
        <w:r w:rsidRPr="00A315B0">
          <w:rPr>
            <w:rFonts w:eastAsiaTheme="minorEastAsia"/>
            <w:szCs w:val="20"/>
            <w:rtl/>
          </w:rPr>
          <w:t>2013</w:t>
        </w:r>
        <w:r w:rsidRPr="00B13A52">
          <w:rPr>
            <w:rFonts w:eastAsiaTheme="minorEastAsia"/>
            <w:rtl/>
          </w:rPr>
          <w:t>، رفضت المحكمة الإدارية العليا طلب صاحبة البلاغ الإذن لها بالاستئناف</w:t>
        </w:r>
        <w:r w:rsidR="0035251F" w:rsidRPr="00B13A52">
          <w:rPr>
            <w:rFonts w:eastAsiaTheme="minorEastAsia" w:hint="cs"/>
            <w:rtl/>
          </w:rPr>
          <w:t>.</w:t>
        </w:r>
      </w:dir>
    </w:p>
    <w:p w14:paraId="6A1AC433" w14:textId="047DEA09" w:rsidR="00211607" w:rsidRPr="00B13A52" w:rsidRDefault="00211607" w:rsidP="0035251F">
      <w:pPr>
        <w:pStyle w:val="SingleTxtGA"/>
        <w:rPr>
          <w:rFonts w:eastAsiaTheme="minorEastAsia"/>
          <w:szCs w:val="20"/>
          <w:lang w:val="ar-SA" w:eastAsia="zh-TW" w:bidi="en-GB"/>
        </w:rPr>
      </w:pPr>
      <w:r w:rsidRPr="00B13A52">
        <w:rPr>
          <w:rFonts w:eastAsiaTheme="minorEastAsia"/>
        </w:rPr>
        <w:t>‬</w:t>
      </w:r>
      <w:r w:rsidRPr="00B13A52">
        <w:rPr>
          <w:rFonts w:eastAsiaTheme="minorEastAsia"/>
        </w:rPr>
        <w:t>‬</w:t>
      </w:r>
      <w:r w:rsidRPr="00A315B0">
        <w:rPr>
          <w:rFonts w:eastAsiaTheme="minorEastAsia"/>
          <w:szCs w:val="20"/>
          <w:rtl/>
        </w:rPr>
        <w:t>2</w:t>
      </w:r>
      <w:r w:rsidRPr="00B13A52">
        <w:rPr>
          <w:rFonts w:eastAsiaTheme="minorEastAsia"/>
          <w:szCs w:val="20"/>
          <w:rtl/>
        </w:rPr>
        <w:t>-</w:t>
      </w:r>
      <w:r w:rsidRPr="00A315B0">
        <w:rPr>
          <w:rFonts w:eastAsiaTheme="minorEastAsia"/>
          <w:szCs w:val="20"/>
          <w:rtl/>
        </w:rPr>
        <w:t>4</w:t>
      </w:r>
      <w:r w:rsidRPr="00B13A52">
        <w:rPr>
          <w:rFonts w:eastAsiaTheme="minorEastAsia"/>
          <w:rtl/>
        </w:rPr>
        <w:tab/>
        <w:t xml:space="preserve">وفي عام </w:t>
      </w:r>
      <w:r w:rsidRPr="00A315B0">
        <w:rPr>
          <w:rFonts w:eastAsiaTheme="minorEastAsia"/>
          <w:szCs w:val="20"/>
          <w:rtl/>
        </w:rPr>
        <w:t>2013</w:t>
      </w:r>
      <w:r w:rsidRPr="00B13A52">
        <w:rPr>
          <w:rFonts w:eastAsiaTheme="minorEastAsia"/>
          <w:rtl/>
        </w:rPr>
        <w:t xml:space="preserve">، طعنت صاحبة البلاغ، في مجموعة منفصلة من الإجراءات، في </w:t>
      </w:r>
      <w:r w:rsidRPr="00B13A52">
        <w:rPr>
          <w:rFonts w:eastAsiaTheme="minorEastAsia"/>
          <w:rtl/>
          <w:lang w:val="fr-CH"/>
        </w:rPr>
        <w:t>ال</w:t>
      </w:r>
      <w:r w:rsidRPr="00B13A52">
        <w:rPr>
          <w:rFonts w:eastAsiaTheme="minorEastAsia"/>
          <w:rtl/>
        </w:rPr>
        <w:t xml:space="preserve">تقدير الضريبي الخاص بها لعام </w:t>
      </w:r>
      <w:r w:rsidRPr="00A315B0">
        <w:rPr>
          <w:rFonts w:eastAsiaTheme="minorEastAsia"/>
          <w:szCs w:val="20"/>
          <w:rtl/>
        </w:rPr>
        <w:t>2012</w:t>
      </w:r>
      <w:r w:rsidRPr="00B13A52">
        <w:rPr>
          <w:rFonts w:eastAsiaTheme="minorEastAsia"/>
          <w:rtl/>
        </w:rPr>
        <w:t xml:space="preserve">، لأن الإعانة المالية التي تدفعها لها الجماعة، والتي تبلغ </w:t>
      </w:r>
      <w:r w:rsidRPr="00A315B0">
        <w:rPr>
          <w:rFonts w:eastAsiaTheme="minorEastAsia"/>
          <w:szCs w:val="20"/>
          <w:rtl/>
        </w:rPr>
        <w:t>287</w:t>
      </w:r>
      <w:r w:rsidRPr="00B13A52">
        <w:rPr>
          <w:rFonts w:eastAsiaTheme="minorEastAsia"/>
          <w:szCs w:val="20"/>
          <w:rtl/>
        </w:rPr>
        <w:t xml:space="preserve"> </w:t>
      </w:r>
      <w:r w:rsidRPr="00A315B0">
        <w:rPr>
          <w:rFonts w:eastAsiaTheme="minorEastAsia"/>
          <w:szCs w:val="20"/>
          <w:rtl/>
        </w:rPr>
        <w:t>94</w:t>
      </w:r>
      <w:r w:rsidRPr="00B13A52">
        <w:rPr>
          <w:rFonts w:eastAsiaTheme="minorEastAsia"/>
          <w:rtl/>
        </w:rPr>
        <w:t xml:space="preserve"> كرونة سويدية</w:t>
      </w:r>
      <w:r w:rsidR="005267A7" w:rsidRPr="00B13A52">
        <w:rPr>
          <w:rStyle w:val="FootnoteReference"/>
          <w:rFonts w:eastAsiaTheme="minorEastAsia"/>
          <w:rtl/>
        </w:rPr>
        <w:t>(</w:t>
      </w:r>
      <w:r w:rsidR="005267A7" w:rsidRPr="00A315B0">
        <w:rPr>
          <w:rStyle w:val="FootnoteReference"/>
          <w:rFonts w:eastAsiaTheme="minorEastAsia"/>
          <w:rtl/>
        </w:rPr>
        <w:footnoteReference w:id="4"/>
      </w:r>
      <w:r w:rsidR="005267A7" w:rsidRPr="00B13A52">
        <w:rPr>
          <w:rStyle w:val="FootnoteReference"/>
          <w:rFonts w:eastAsiaTheme="minorEastAsia"/>
          <w:rtl/>
        </w:rPr>
        <w:t>)</w:t>
      </w:r>
      <w:r w:rsidRPr="00B13A52">
        <w:rPr>
          <w:rFonts w:eastAsiaTheme="minorEastAsia"/>
          <w:rtl/>
        </w:rPr>
        <w:t xml:space="preserve">، اعتُبرت دخلاً وخضعت لضريبة قدرها </w:t>
      </w:r>
      <w:r w:rsidRPr="00A315B0">
        <w:rPr>
          <w:rFonts w:eastAsiaTheme="minorEastAsia"/>
          <w:szCs w:val="20"/>
          <w:rtl/>
        </w:rPr>
        <w:t>32</w:t>
      </w:r>
      <w:r w:rsidRPr="00B13A52">
        <w:rPr>
          <w:rFonts w:eastAsiaTheme="minorEastAsia"/>
          <w:szCs w:val="20"/>
          <w:rtl/>
        </w:rPr>
        <w:t>.</w:t>
      </w:r>
      <w:r w:rsidRPr="00A315B0">
        <w:rPr>
          <w:rFonts w:eastAsiaTheme="minorEastAsia"/>
          <w:szCs w:val="20"/>
          <w:rtl/>
        </w:rPr>
        <w:t>64</w:t>
      </w:r>
      <w:r w:rsidRPr="00B13A52">
        <w:rPr>
          <w:rFonts w:eastAsiaTheme="minorEastAsia"/>
          <w:rtl/>
        </w:rPr>
        <w:t xml:space="preserve"> في المائة</w:t>
      </w:r>
      <w:r w:rsidR="007232E9" w:rsidRPr="00B13A52">
        <w:rPr>
          <w:rFonts w:eastAsiaTheme="minorEastAsia" w:hint="cs"/>
          <w:rtl/>
        </w:rPr>
        <w:t>.</w:t>
      </w:r>
      <w:r w:rsidRPr="00B13A52">
        <w:rPr>
          <w:rFonts w:eastAsiaTheme="minorEastAsia"/>
          <w:rtl/>
        </w:rPr>
        <w:t xml:space="preserve"> ولم تُمنح صاحبة البلاغ فرصة عرض قضيتها شفوياً ورفضت هيئة الضرائب شكواها في </w:t>
      </w:r>
      <w:r w:rsidRPr="00A315B0">
        <w:rPr>
          <w:rFonts w:eastAsiaTheme="minorEastAsia"/>
          <w:szCs w:val="20"/>
          <w:rtl/>
        </w:rPr>
        <w:t>16</w:t>
      </w:r>
      <w:r w:rsidRPr="00B13A52">
        <w:rPr>
          <w:rFonts w:eastAsiaTheme="minorEastAsia"/>
          <w:rtl/>
        </w:rPr>
        <w:t xml:space="preserve"> أيلول/سبتمبر </w:t>
      </w:r>
      <w:r w:rsidRPr="00A315B0">
        <w:rPr>
          <w:rFonts w:eastAsiaTheme="minorEastAsia"/>
          <w:szCs w:val="20"/>
          <w:rtl/>
        </w:rPr>
        <w:t>2013</w:t>
      </w:r>
      <w:r w:rsidRPr="00B13A52">
        <w:rPr>
          <w:rFonts w:eastAsiaTheme="minorEastAsia"/>
          <w:szCs w:val="20"/>
          <w:rtl/>
        </w:rPr>
        <w:t>.</w:t>
      </w:r>
      <w:r w:rsidRPr="00B13A52">
        <w:rPr>
          <w:rFonts w:eastAsiaTheme="minorEastAsia"/>
          <w:rtl/>
        </w:rPr>
        <w:t xml:space="preserve"> وطعنت صاحبة البلاغ في هذا القرار وطلبت عقد جلسة شفوية، ورُفض في </w:t>
      </w:r>
      <w:r w:rsidRPr="00A315B0">
        <w:rPr>
          <w:rFonts w:eastAsiaTheme="minorEastAsia"/>
          <w:rtl/>
        </w:rPr>
        <w:t>31</w:t>
      </w:r>
      <w:r w:rsidRPr="00B13A52">
        <w:rPr>
          <w:rFonts w:eastAsiaTheme="minorEastAsia"/>
          <w:rtl/>
        </w:rPr>
        <w:t xml:space="preserve"> كانون الثاني/يناير </w:t>
      </w:r>
      <w:r w:rsidRPr="00A315B0">
        <w:rPr>
          <w:rFonts w:eastAsiaTheme="minorEastAsia"/>
          <w:rtl/>
        </w:rPr>
        <w:t>2014</w:t>
      </w:r>
      <w:r w:rsidRPr="00B13A52">
        <w:rPr>
          <w:rFonts w:eastAsiaTheme="minorEastAsia"/>
          <w:rtl/>
        </w:rPr>
        <w:t xml:space="preserve"> طلبها عقد جلسة شفوية</w:t>
      </w:r>
      <w:r w:rsidRPr="00B13A52">
        <w:rPr>
          <w:rFonts w:eastAsiaTheme="minorEastAsia"/>
          <w:szCs w:val="20"/>
          <w:rtl/>
        </w:rPr>
        <w:t>.</w:t>
      </w:r>
      <w:r w:rsidRPr="00B13A52">
        <w:rPr>
          <w:rFonts w:eastAsiaTheme="minorEastAsia"/>
          <w:rtl/>
        </w:rPr>
        <w:t xml:space="preserve"> وفي </w:t>
      </w:r>
      <w:r w:rsidRPr="00A315B0">
        <w:rPr>
          <w:rFonts w:eastAsiaTheme="minorEastAsia"/>
          <w:szCs w:val="20"/>
          <w:rtl/>
        </w:rPr>
        <w:t>24</w:t>
      </w:r>
      <w:r w:rsidRPr="00B13A52">
        <w:rPr>
          <w:rFonts w:eastAsiaTheme="minorEastAsia"/>
          <w:rtl/>
        </w:rPr>
        <w:t xml:space="preserve"> نيسان/أبريل </w:t>
      </w:r>
      <w:r w:rsidRPr="00A315B0">
        <w:rPr>
          <w:rFonts w:eastAsiaTheme="minorEastAsia"/>
          <w:szCs w:val="20"/>
          <w:rtl/>
        </w:rPr>
        <w:t>2014</w:t>
      </w:r>
      <w:r w:rsidRPr="00B13A52">
        <w:rPr>
          <w:rFonts w:eastAsiaTheme="minorEastAsia"/>
          <w:rtl/>
        </w:rPr>
        <w:t xml:space="preserve">، رفضت المحكمة الإدارية طعنها، وخلصت إلى أن القضية مطابقة تقريباً لشكواها السابقة التي طعنت بموجبها في التقييم الضريبي عن الفترة </w:t>
      </w:r>
      <w:r w:rsidRPr="00A315B0">
        <w:rPr>
          <w:rFonts w:eastAsiaTheme="minorEastAsia"/>
          <w:szCs w:val="20"/>
          <w:rtl/>
        </w:rPr>
        <w:t>2005</w:t>
      </w:r>
      <w:r w:rsidRPr="00B13A52">
        <w:rPr>
          <w:rFonts w:eastAsiaTheme="minorEastAsia"/>
          <w:szCs w:val="20"/>
          <w:rtl/>
        </w:rPr>
        <w:t>-</w:t>
      </w:r>
      <w:r w:rsidRPr="00A315B0">
        <w:rPr>
          <w:rFonts w:eastAsiaTheme="minorEastAsia"/>
          <w:szCs w:val="20"/>
          <w:rtl/>
        </w:rPr>
        <w:t>2011</w:t>
      </w:r>
      <w:r w:rsidRPr="00B13A52">
        <w:rPr>
          <w:rFonts w:eastAsiaTheme="minorEastAsia"/>
          <w:rtl/>
        </w:rPr>
        <w:t xml:space="preserve">، ورفضتها السلطات في نهاية المطاف. واستأنفت صاحبة البلاغ هذا القرار وطلبت مرة أخرى عقد جلسة شفوية. وفي </w:t>
      </w:r>
      <w:r w:rsidRPr="00A315B0">
        <w:rPr>
          <w:rFonts w:eastAsiaTheme="minorEastAsia"/>
          <w:szCs w:val="20"/>
          <w:rtl/>
        </w:rPr>
        <w:t>30</w:t>
      </w:r>
      <w:r w:rsidRPr="00B13A52">
        <w:rPr>
          <w:rFonts w:eastAsiaTheme="minorEastAsia"/>
          <w:rtl/>
        </w:rPr>
        <w:t xml:space="preserve"> أيلول/سبتمبر </w:t>
      </w:r>
      <w:r w:rsidRPr="00A315B0">
        <w:rPr>
          <w:rFonts w:eastAsiaTheme="minorEastAsia"/>
          <w:szCs w:val="20"/>
          <w:rtl/>
        </w:rPr>
        <w:t>2014</w:t>
      </w:r>
      <w:r w:rsidRPr="00B13A52">
        <w:rPr>
          <w:rFonts w:eastAsiaTheme="minorEastAsia"/>
          <w:rtl/>
        </w:rPr>
        <w:t>، رفضت محكمة الاستئناف الإدارية طلب صاحبة البلاغ عقد جلسة شفوية</w:t>
      </w:r>
      <w:r w:rsidR="005267A7">
        <w:rPr>
          <w:rFonts w:eastAsiaTheme="minorEastAsia" w:hint="cs"/>
          <w:rtl/>
        </w:rPr>
        <w:t> </w:t>
      </w:r>
      <w:r w:rsidRPr="005267A7">
        <w:rPr>
          <w:rFonts w:eastAsiaTheme="minorEastAsia"/>
          <w:spacing w:val="-4"/>
          <w:rtl/>
        </w:rPr>
        <w:t xml:space="preserve">ورفضت الاستئناف برمته، وذكرت أن القضية مطابقة أساساً لقضية منفصلة (قضية </w:t>
      </w:r>
      <w:r w:rsidRPr="005267A7">
        <w:rPr>
          <w:rFonts w:eastAsiaTheme="minorEastAsia"/>
          <w:i/>
          <w:iCs/>
          <w:spacing w:val="-4"/>
          <w:rtl/>
        </w:rPr>
        <w:t>"م. أ. ضد هيئة الضرائب السويدية"</w:t>
      </w:r>
      <w:r w:rsidRPr="005267A7">
        <w:rPr>
          <w:rFonts w:eastAsiaTheme="minorEastAsia"/>
          <w:spacing w:val="-4"/>
          <w:rtl/>
        </w:rPr>
        <w:t xml:space="preserve">)، التي أصدر بشأنها مجلس الأحكام الضريبية المسبقة قراراً في </w:t>
      </w:r>
      <w:r w:rsidRPr="00A315B0">
        <w:rPr>
          <w:rFonts w:eastAsiaTheme="minorEastAsia"/>
          <w:spacing w:val="-4"/>
          <w:szCs w:val="20"/>
          <w:rtl/>
        </w:rPr>
        <w:t>10</w:t>
      </w:r>
      <w:r w:rsidRPr="005267A7">
        <w:rPr>
          <w:rFonts w:eastAsiaTheme="minorEastAsia"/>
          <w:spacing w:val="-4"/>
          <w:rtl/>
        </w:rPr>
        <w:t xml:space="preserve"> أيار/مايو </w:t>
      </w:r>
      <w:r w:rsidRPr="00A315B0">
        <w:rPr>
          <w:rFonts w:eastAsiaTheme="minorEastAsia"/>
          <w:spacing w:val="-4"/>
          <w:szCs w:val="20"/>
          <w:rtl/>
        </w:rPr>
        <w:t>2011</w:t>
      </w:r>
      <w:r w:rsidR="007232E9" w:rsidRPr="005267A7">
        <w:rPr>
          <w:rStyle w:val="FootnoteReference"/>
          <w:rFonts w:eastAsiaTheme="minorEastAsia"/>
          <w:spacing w:val="-4"/>
          <w:rtl/>
        </w:rPr>
        <w:t>(</w:t>
      </w:r>
      <w:r w:rsidR="007232E9" w:rsidRPr="00A315B0">
        <w:rPr>
          <w:rStyle w:val="FootnoteReference"/>
          <w:rFonts w:eastAsiaTheme="minorEastAsia"/>
          <w:spacing w:val="-4"/>
          <w:rtl/>
        </w:rPr>
        <w:footnoteReference w:id="5"/>
      </w:r>
      <w:r w:rsidR="007232E9" w:rsidRPr="005267A7">
        <w:rPr>
          <w:rStyle w:val="FootnoteReference"/>
          <w:rFonts w:eastAsiaTheme="minorEastAsia"/>
          <w:spacing w:val="-4"/>
          <w:rtl/>
        </w:rPr>
        <w:t>)</w:t>
      </w:r>
      <w:r w:rsidR="00C414B0" w:rsidRPr="005267A7">
        <w:rPr>
          <w:rFonts w:eastAsiaTheme="minorEastAsia" w:hint="cs"/>
          <w:spacing w:val="-4"/>
          <w:rtl/>
        </w:rPr>
        <w:t>.</w:t>
      </w:r>
      <w:r w:rsidRPr="005267A7">
        <w:rPr>
          <w:rFonts w:eastAsiaTheme="minorEastAsia"/>
          <w:spacing w:val="-4"/>
          <w:rtl/>
        </w:rPr>
        <w:t xml:space="preserve"> وفي</w:t>
      </w:r>
      <w:r w:rsidR="005267A7">
        <w:rPr>
          <w:rFonts w:eastAsiaTheme="minorEastAsia" w:hint="cs"/>
          <w:spacing w:val="-4"/>
          <w:rtl/>
        </w:rPr>
        <w:t> </w:t>
      </w:r>
      <w:r w:rsidRPr="00A315B0">
        <w:rPr>
          <w:rFonts w:eastAsiaTheme="minorEastAsia"/>
          <w:spacing w:val="-4"/>
          <w:szCs w:val="20"/>
          <w:rtl/>
        </w:rPr>
        <w:t>9</w:t>
      </w:r>
      <w:r w:rsidRPr="005267A7">
        <w:rPr>
          <w:rFonts w:eastAsiaTheme="minorEastAsia"/>
          <w:spacing w:val="-4"/>
          <w:rtl/>
        </w:rPr>
        <w:t xml:space="preserve"> كانون الثاني/</w:t>
      </w:r>
      <w:r w:rsidRPr="00B13A52">
        <w:rPr>
          <w:rFonts w:eastAsiaTheme="minorEastAsia"/>
          <w:spacing w:val="-4"/>
          <w:rtl/>
        </w:rPr>
        <w:t xml:space="preserve">يناير </w:t>
      </w:r>
      <w:r w:rsidRPr="00A315B0">
        <w:rPr>
          <w:rFonts w:eastAsiaTheme="minorEastAsia"/>
          <w:spacing w:val="-4"/>
          <w:szCs w:val="20"/>
          <w:rtl/>
        </w:rPr>
        <w:t>2015</w:t>
      </w:r>
      <w:r w:rsidRPr="00B13A52">
        <w:rPr>
          <w:rFonts w:eastAsiaTheme="minorEastAsia"/>
          <w:spacing w:val="-4"/>
          <w:rtl/>
        </w:rPr>
        <w:t>، رفضت المحكمة الإدارية العليا طلب صاحبة البلاغ الإذن لها بالاستئناف</w:t>
      </w:r>
      <w:r w:rsidRPr="00B13A52">
        <w:rPr>
          <w:rFonts w:eastAsiaTheme="minorEastAsia"/>
          <w:rtl/>
        </w:rPr>
        <w:t>.</w:t>
      </w:r>
      <w:bookmarkStart w:id="0" w:name="_Hlk57991420"/>
      <w:bookmarkEnd w:id="0"/>
    </w:p>
    <w:p w14:paraId="1FE5D56F" w14:textId="77777777" w:rsidR="00211607" w:rsidRPr="00B13A52" w:rsidRDefault="00211607" w:rsidP="007232E9">
      <w:pPr>
        <w:pStyle w:val="H23GA"/>
        <w:rPr>
          <w:rFonts w:eastAsiaTheme="minorEastAsia"/>
          <w:szCs w:val="20"/>
          <w:lang w:val="ar-SA" w:eastAsia="zh-TW" w:bidi="en-GB"/>
        </w:rPr>
      </w:pPr>
      <w:r w:rsidRPr="00B13A52">
        <w:rPr>
          <w:rFonts w:eastAsiaTheme="minorEastAsia"/>
          <w:rtl/>
        </w:rPr>
        <w:tab/>
      </w:r>
      <w:r w:rsidRPr="00B13A52">
        <w:rPr>
          <w:rFonts w:eastAsiaTheme="minorEastAsia"/>
          <w:rtl/>
        </w:rPr>
        <w:tab/>
        <w:t>الشكوى</w:t>
      </w:r>
    </w:p>
    <w:p w14:paraId="4F39D54C"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3</w:t>
      </w:r>
      <w:r w:rsidRPr="00B13A52">
        <w:rPr>
          <w:rFonts w:eastAsiaTheme="minorEastAsia"/>
          <w:szCs w:val="20"/>
          <w:rtl/>
        </w:rPr>
        <w:t>-</w:t>
      </w:r>
      <w:r w:rsidRPr="00A315B0">
        <w:rPr>
          <w:rFonts w:eastAsiaTheme="minorEastAsia"/>
          <w:szCs w:val="20"/>
          <w:rtl/>
        </w:rPr>
        <w:t>1</w:t>
      </w:r>
      <w:r w:rsidRPr="00B13A52">
        <w:rPr>
          <w:rFonts w:eastAsiaTheme="minorEastAsia"/>
          <w:rtl/>
        </w:rPr>
        <w:tab/>
        <w:t xml:space="preserve">تدعي صاحبة البلاغ أن الدولة الطرف انتهكت حقوقها التي تكفلها المواد </w:t>
      </w:r>
      <w:r w:rsidRPr="00A315B0">
        <w:rPr>
          <w:rFonts w:eastAsiaTheme="minorEastAsia"/>
          <w:szCs w:val="20"/>
          <w:rtl/>
        </w:rPr>
        <w:t>14</w:t>
      </w:r>
      <w:r w:rsidRPr="00B13A52">
        <w:rPr>
          <w:rFonts w:eastAsiaTheme="minorEastAsia"/>
          <w:rtl/>
        </w:rPr>
        <w:t xml:space="preserve"> و</w:t>
      </w:r>
      <w:r w:rsidRPr="00A315B0">
        <w:rPr>
          <w:rFonts w:eastAsiaTheme="minorEastAsia"/>
          <w:szCs w:val="20"/>
          <w:rtl/>
        </w:rPr>
        <w:t>18</w:t>
      </w:r>
      <w:r w:rsidRPr="00B13A52">
        <w:rPr>
          <w:rFonts w:eastAsiaTheme="minorEastAsia"/>
          <w:rtl/>
        </w:rPr>
        <w:t xml:space="preserve"> و</w:t>
      </w:r>
      <w:r w:rsidRPr="00A315B0">
        <w:rPr>
          <w:rFonts w:eastAsiaTheme="minorEastAsia"/>
          <w:szCs w:val="20"/>
          <w:rtl/>
        </w:rPr>
        <w:t>26</w:t>
      </w:r>
      <w:r w:rsidRPr="00B13A52">
        <w:rPr>
          <w:rFonts w:eastAsiaTheme="minorEastAsia"/>
          <w:rtl/>
        </w:rPr>
        <w:t xml:space="preserve"> من العهد، وذلك بإلزامها بدفع ضريبة دخل على الإعانة الشهرية المتواضعة التي تدفعها لها الجماعة. </w:t>
      </w:r>
    </w:p>
    <w:p w14:paraId="78B89381" w14:textId="77777777" w:rsidR="00211607" w:rsidRPr="005267A7" w:rsidRDefault="00211607" w:rsidP="00211607">
      <w:pPr>
        <w:pStyle w:val="SingleTxtGA"/>
        <w:rPr>
          <w:rFonts w:eastAsiaTheme="minorEastAsia" w:hint="cs"/>
          <w:szCs w:val="20"/>
          <w:lang w:val="en-US" w:eastAsia="zh-TW" w:bidi="en-GB"/>
        </w:rPr>
      </w:pPr>
      <w:r w:rsidRPr="00A315B0">
        <w:rPr>
          <w:rFonts w:eastAsiaTheme="minorEastAsia"/>
          <w:szCs w:val="20"/>
          <w:rtl/>
        </w:rPr>
        <w:t>3</w:t>
      </w:r>
      <w:r w:rsidRPr="00B13A52">
        <w:rPr>
          <w:rFonts w:eastAsiaTheme="minorEastAsia"/>
          <w:szCs w:val="20"/>
          <w:rtl/>
        </w:rPr>
        <w:t>-</w:t>
      </w:r>
      <w:r w:rsidRPr="00A315B0">
        <w:rPr>
          <w:rFonts w:eastAsiaTheme="minorEastAsia"/>
          <w:szCs w:val="20"/>
          <w:rtl/>
        </w:rPr>
        <w:t>2</w:t>
      </w:r>
      <w:r w:rsidRPr="00B13A52">
        <w:rPr>
          <w:rFonts w:eastAsiaTheme="minorEastAsia"/>
          <w:rtl/>
        </w:rPr>
        <w:tab/>
        <w:t xml:space="preserve">وتدعي صاحبة البلاغ، فيما يتعلق بادعاءاتها بموجب المادة </w:t>
      </w:r>
      <w:r w:rsidRPr="00A315B0">
        <w:rPr>
          <w:rFonts w:eastAsiaTheme="minorEastAsia"/>
          <w:szCs w:val="20"/>
          <w:rtl/>
        </w:rPr>
        <w:t>26</w:t>
      </w:r>
      <w:r w:rsidRPr="00B13A52">
        <w:rPr>
          <w:rFonts w:eastAsiaTheme="minorEastAsia"/>
          <w:rtl/>
        </w:rPr>
        <w:t xml:space="preserve"> من العهد، أن الدولة الطرف أعفت منذ فترة طويلة أعضاء الجماعات الدينية الأخرى من ضريبة الدخل على المساعدة المالية التي يحصلون عليها من جماعاتهم المختلفة. ويستند هذا الإعفاء إلى أن أعضاء تلك الجماعات لا يعتبرون موظفين لأنهم لا يعملون لغرض تحقيق مكسب مالي. وبالنظر إلى حالة صاحبة البلاغ، لم يكن ينبغي للسلطات المحلية أن تفترض أن عضويتها في الجماعة تقوم على علاقة عمل. وتدعي صاحبة البلاغ، من جهة، أن الدولة الطرف انتهكت المادة </w:t>
      </w:r>
      <w:r w:rsidRPr="00A315B0">
        <w:rPr>
          <w:rFonts w:eastAsiaTheme="minorEastAsia"/>
          <w:szCs w:val="20"/>
          <w:rtl/>
        </w:rPr>
        <w:t>26</w:t>
      </w:r>
      <w:r w:rsidRPr="00B13A52">
        <w:rPr>
          <w:rFonts w:eastAsiaTheme="minorEastAsia"/>
          <w:rtl/>
        </w:rPr>
        <w:t xml:space="preserve"> من العهد حيث رفضت أن تطبق عليها نفس الإعفاء الذي تطبقه على الجماعات الدينية الأخرى دون تقديم أي تبرير للمعاملة التفضيلية. ومن جهة أخرى، تدعي </w:t>
      </w:r>
      <w:r w:rsidRPr="00A315B0">
        <w:rPr>
          <w:rFonts w:eastAsiaTheme="minorEastAsia"/>
          <w:rtl/>
        </w:rPr>
        <w:t xml:space="preserve">صاحبة البلاغ أن الدولة الطرف انتهكت المادة </w:t>
      </w:r>
      <w:r w:rsidRPr="00A315B0">
        <w:rPr>
          <w:rFonts w:eastAsiaTheme="minorEastAsia"/>
          <w:szCs w:val="20"/>
          <w:rtl/>
        </w:rPr>
        <w:t>26</w:t>
      </w:r>
      <w:r w:rsidRPr="00A315B0">
        <w:rPr>
          <w:rFonts w:eastAsiaTheme="minorEastAsia"/>
          <w:rtl/>
        </w:rPr>
        <w:t xml:space="preserve"> لأنها لم تعامل صاحبة البلاغ معاملة مختلفة عن الأشخاص الذين يختلف وضعهم اختلافاً جوهرياً - أي الأشخاص الذين يباشرون عملاً دنيوياً سعياً لتحقيق مكسب مالي.</w:t>
      </w:r>
    </w:p>
    <w:p w14:paraId="5BFFC654"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3</w:t>
      </w:r>
      <w:r w:rsidRPr="00B13A52">
        <w:rPr>
          <w:rFonts w:eastAsiaTheme="minorEastAsia"/>
          <w:szCs w:val="20"/>
          <w:rtl/>
        </w:rPr>
        <w:t>-</w:t>
      </w:r>
      <w:r w:rsidRPr="00A315B0">
        <w:rPr>
          <w:rFonts w:eastAsiaTheme="minorEastAsia"/>
          <w:szCs w:val="20"/>
          <w:rtl/>
        </w:rPr>
        <w:t>3</w:t>
      </w:r>
      <w:r w:rsidRPr="00B13A52">
        <w:rPr>
          <w:rFonts w:eastAsiaTheme="minorEastAsia"/>
          <w:rtl/>
        </w:rPr>
        <w:tab/>
        <w:t xml:space="preserve">وتقر صاحبة البلاغ بأن الدول الأطراف غير ملزمة بتوفير إعانات مالية معينة لمواطنيها؛ ولكن إذا دُفعت هذه الإعانات، يجب أن تُمنح بطريقة غير تمييزية. واستناداً إلى الرأي المخالف في قضية </w:t>
      </w:r>
      <w:r w:rsidRPr="00B13A52">
        <w:rPr>
          <w:rFonts w:eastAsiaTheme="minorEastAsia"/>
          <w:i/>
          <w:iCs/>
          <w:rtl/>
        </w:rPr>
        <w:t>م. أ. ضد هيئة الضرائب السويدية</w:t>
      </w:r>
      <w:r w:rsidRPr="00B13A52">
        <w:rPr>
          <w:rFonts w:eastAsiaTheme="minorEastAsia"/>
          <w:rtl/>
        </w:rPr>
        <w:t xml:space="preserve">، تدفع صاحبة البلاغ بأن الممارسة الراسخة لهيئة الضرائب، التي تتفق مع أحكام القانون المحلي ذات الصلة، تقضي بإعفاء أي دخل ينشأ في مجتمع محلي مماثل للدير من الضرائب. وقد أُشير في الرأي المخالف إلى أن أوجه التشابه واضحة بين جماعة صاحبة البلاغ والطوائف الأخرى المعفاة من الضرائب. وفي هذا الصدد، تكرر صاحبة البلاغ أن جميع مقدمي الخدمة في </w:t>
      </w:r>
      <w:proofErr w:type="spellStart"/>
      <w:r w:rsidRPr="00B13A52">
        <w:rPr>
          <w:rFonts w:eastAsiaTheme="minorEastAsia"/>
          <w:rtl/>
        </w:rPr>
        <w:t>بيثيل</w:t>
      </w:r>
      <w:proofErr w:type="spellEnd"/>
      <w:r w:rsidRPr="00B13A52">
        <w:rPr>
          <w:rFonts w:eastAsiaTheme="minorEastAsia"/>
          <w:rtl/>
        </w:rPr>
        <w:t xml:space="preserve"> يحصلون على نفس الإعانات، التي لا تعتمد على طبيعة مهام الأعضاء، وأن حصولهم على هذه الإعانات يستمر ولو لم يعد بإمكانهم أداء مهامهم اليومية. </w:t>
      </w:r>
    </w:p>
    <w:p w14:paraId="7E687820"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3</w:t>
      </w:r>
      <w:r w:rsidRPr="00B13A52">
        <w:rPr>
          <w:rFonts w:eastAsiaTheme="minorEastAsia"/>
          <w:szCs w:val="20"/>
          <w:rtl/>
        </w:rPr>
        <w:t>-</w:t>
      </w:r>
      <w:r w:rsidRPr="00A315B0">
        <w:rPr>
          <w:rFonts w:eastAsiaTheme="minorEastAsia"/>
          <w:szCs w:val="20"/>
          <w:rtl/>
        </w:rPr>
        <w:t>4</w:t>
      </w:r>
      <w:r w:rsidRPr="00B13A52">
        <w:rPr>
          <w:rFonts w:eastAsiaTheme="minorEastAsia"/>
          <w:rtl/>
        </w:rPr>
        <w:tab/>
        <w:t xml:space="preserve">وبالإضافة إلى ذلك، تدفع صاحبة البلاغ بأن الدولة الطرف أعفت أيضاً أعضاء دائرة المتطوعين الأوروبيين من التزامهم بدفع الضرائب، لأن هيئة الضرائب قررت أن تعفي من الضرائب الإعانة الشهرية </w:t>
      </w:r>
      <w:r w:rsidRPr="00B13A52">
        <w:rPr>
          <w:rFonts w:eastAsiaTheme="minorEastAsia"/>
          <w:szCs w:val="20"/>
          <w:rtl/>
        </w:rPr>
        <w:t>(</w:t>
      </w:r>
      <w:r w:rsidRPr="00A315B0">
        <w:rPr>
          <w:rFonts w:eastAsiaTheme="minorEastAsia"/>
          <w:szCs w:val="20"/>
          <w:rtl/>
        </w:rPr>
        <w:t>115</w:t>
      </w:r>
      <w:r w:rsidRPr="00B13A52">
        <w:rPr>
          <w:rFonts w:eastAsiaTheme="minorEastAsia"/>
          <w:rtl/>
        </w:rPr>
        <w:t xml:space="preserve"> يورو) والإقامة والإعاشة المقدمة لأكثر من </w:t>
      </w:r>
      <w:r w:rsidRPr="00A315B0">
        <w:rPr>
          <w:rFonts w:eastAsiaTheme="minorEastAsia"/>
          <w:szCs w:val="20"/>
          <w:rtl/>
        </w:rPr>
        <w:t>250</w:t>
      </w:r>
      <w:r w:rsidRPr="00B13A52">
        <w:rPr>
          <w:rFonts w:eastAsiaTheme="minorEastAsia"/>
          <w:rtl/>
        </w:rPr>
        <w:t xml:space="preserve"> متطوعاً من دائرة المتطوعين الأوروبيين، الذين يتفرغون للعمل لمدة عام على الأقل في منظمة غير ربحية في السويد. وتدفع صاحبة البلاغ بأنه، لأغراض هذا البلاغ، لا يوجد فرق بين وضع متطوعي دائرة المتطوعين الأوروبيين ووضعها. ومع ذلك، عوملت معاملة مختلفة.</w:t>
      </w:r>
    </w:p>
    <w:p w14:paraId="08D56E3F" w14:textId="3FFFDC31"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3</w:t>
      </w:r>
      <w:r w:rsidRPr="00B13A52">
        <w:rPr>
          <w:rFonts w:eastAsiaTheme="minorEastAsia"/>
          <w:szCs w:val="20"/>
          <w:rtl/>
        </w:rPr>
        <w:t>-</w:t>
      </w:r>
      <w:r w:rsidRPr="00A315B0">
        <w:rPr>
          <w:rFonts w:eastAsiaTheme="minorEastAsia"/>
          <w:szCs w:val="20"/>
          <w:rtl/>
        </w:rPr>
        <w:t>5</w:t>
      </w:r>
      <w:r w:rsidRPr="00B13A52">
        <w:rPr>
          <w:rFonts w:eastAsiaTheme="minorEastAsia"/>
          <w:rtl/>
        </w:rPr>
        <w:tab/>
        <w:t>و</w:t>
      </w:r>
      <w:r w:rsidRPr="00B13A52">
        <w:rPr>
          <w:rFonts w:eastAsiaTheme="minorEastAsia"/>
          <w:rtl/>
          <w:lang w:val="fr-CH"/>
        </w:rPr>
        <w:t xml:space="preserve">تدفع صاحبة البلاغ، </w:t>
      </w:r>
      <w:r w:rsidRPr="00B13A52">
        <w:rPr>
          <w:rFonts w:eastAsiaTheme="minorEastAsia"/>
          <w:rtl/>
        </w:rPr>
        <w:t xml:space="preserve">فيما يتعلق بادعاءاتها المقدمة بموجب المادة </w:t>
      </w:r>
      <w:r w:rsidRPr="00A315B0">
        <w:rPr>
          <w:rFonts w:eastAsiaTheme="minorEastAsia"/>
          <w:szCs w:val="20"/>
          <w:rtl/>
        </w:rPr>
        <w:t>18</w:t>
      </w:r>
      <w:r w:rsidRPr="00B13A52">
        <w:rPr>
          <w:rFonts w:eastAsiaTheme="minorEastAsia"/>
          <w:rtl/>
        </w:rPr>
        <w:t xml:space="preserve"> من العهد، بأن وصفها بأنها موظفة تعمل لغرض المكسب المالي أمر يسيء بشدة لمعتقداتها الدينية. فهو يشوه ما قطعته هي وزوجها من التزام بالتخلي عن الكسب المالي مدى الحياة وبالعيش في خدمة الرب، يهوه. وهذا التدخل غير منصوص عليه في القانون وليس ضرورياً في أي مجتمع ديمقراطي. وفي هذا الصدد، تحتج صاحبة البلاغ بأنه لكي يستوفي القانون معيار "النص في القانون"، يجب أن يكون، في جملة أمور أخرى، مصاغاً بدقة كافية لتمكين المواطنين من تنظيم سلوكهم ومن التنبؤ، بدرجة معقولة في الظروف القائمة، بالآثار التي قد تترتب على فعل معين</w:t>
      </w:r>
      <w:r w:rsidR="007232E9" w:rsidRPr="00B13A52">
        <w:rPr>
          <w:rStyle w:val="FootnoteReference"/>
          <w:rFonts w:eastAsiaTheme="minorEastAsia"/>
          <w:rtl/>
        </w:rPr>
        <w:t>(</w:t>
      </w:r>
      <w:r w:rsidR="007232E9" w:rsidRPr="00A315B0">
        <w:rPr>
          <w:rStyle w:val="FootnoteReference"/>
          <w:rFonts w:eastAsiaTheme="minorEastAsia"/>
          <w:rtl/>
        </w:rPr>
        <w:footnoteReference w:id="6"/>
      </w:r>
      <w:r w:rsidR="007232E9" w:rsidRPr="00B13A52">
        <w:rPr>
          <w:rStyle w:val="FootnoteReference"/>
          <w:rFonts w:eastAsiaTheme="minorEastAsia"/>
          <w:rtl/>
        </w:rPr>
        <w:t>)</w:t>
      </w:r>
      <w:r w:rsidR="00C414B0" w:rsidRPr="00B13A52">
        <w:rPr>
          <w:rFonts w:eastAsiaTheme="minorEastAsia" w:hint="cs"/>
          <w:rtl/>
        </w:rPr>
        <w:t>.</w:t>
      </w:r>
      <w:r w:rsidRPr="00B13A52">
        <w:rPr>
          <w:rFonts w:eastAsiaTheme="minorEastAsia"/>
          <w:rtl/>
        </w:rPr>
        <w:t xml:space="preserve"> غير أن المادة </w:t>
      </w:r>
      <w:r w:rsidRPr="00A315B0">
        <w:rPr>
          <w:rFonts w:eastAsiaTheme="minorEastAsia"/>
          <w:szCs w:val="20"/>
          <w:rtl/>
        </w:rPr>
        <w:t>1</w:t>
      </w:r>
      <w:r w:rsidRPr="00B13A52">
        <w:rPr>
          <w:rFonts w:eastAsiaTheme="minorEastAsia"/>
          <w:rtl/>
        </w:rPr>
        <w:t xml:space="preserve"> من الباب </w:t>
      </w:r>
      <w:r w:rsidRPr="00A315B0">
        <w:rPr>
          <w:rFonts w:eastAsiaTheme="minorEastAsia"/>
          <w:szCs w:val="20"/>
          <w:rtl/>
        </w:rPr>
        <w:t>10</w:t>
      </w:r>
      <w:r w:rsidRPr="00B13A52">
        <w:rPr>
          <w:rFonts w:eastAsiaTheme="minorEastAsia"/>
          <w:rtl/>
        </w:rPr>
        <w:t xml:space="preserve"> والمادة </w:t>
      </w:r>
      <w:r w:rsidRPr="00A315B0">
        <w:rPr>
          <w:rFonts w:eastAsiaTheme="minorEastAsia"/>
          <w:rtl/>
        </w:rPr>
        <w:t>1</w:t>
      </w:r>
      <w:r w:rsidRPr="00B13A52">
        <w:rPr>
          <w:rFonts w:eastAsiaTheme="minorEastAsia"/>
          <w:rtl/>
        </w:rPr>
        <w:t xml:space="preserve"> من الباب </w:t>
      </w:r>
      <w:r w:rsidRPr="00A315B0">
        <w:rPr>
          <w:rFonts w:eastAsiaTheme="minorEastAsia"/>
          <w:szCs w:val="20"/>
          <w:rtl/>
        </w:rPr>
        <w:t>11</w:t>
      </w:r>
      <w:r w:rsidRPr="00B13A52">
        <w:rPr>
          <w:rFonts w:eastAsiaTheme="minorEastAsia"/>
          <w:rtl/>
        </w:rPr>
        <w:t xml:space="preserve"> من قانون ضريبة الدخل لا يفيان بهذا المعيار حيث يتركان الباب مفتوحاً أمام التفسيرات المتضاربة على النحو الذي يتضح من الرأي المخالف في قضية </w:t>
      </w:r>
      <w:r w:rsidRPr="00B13A52">
        <w:rPr>
          <w:rFonts w:eastAsiaTheme="minorEastAsia"/>
          <w:i/>
          <w:iCs/>
          <w:rtl/>
        </w:rPr>
        <w:t>م. أ. ضد هيئة الضرائب السويدية</w:t>
      </w:r>
      <w:r w:rsidRPr="00B13A52">
        <w:rPr>
          <w:rFonts w:eastAsiaTheme="minorEastAsia"/>
          <w:rtl/>
        </w:rPr>
        <w:t>. وتدفع صاحبة البلاغ أيضاً بأنه يبدو أن هناك توافقاً دولياً في الآراء بشأن الطابع غير الوظيفي للعلاقة بين الأعضاء والجماعة</w:t>
      </w:r>
      <w:r w:rsidR="007232E9" w:rsidRPr="00B13A52">
        <w:rPr>
          <w:rStyle w:val="FootnoteReference"/>
          <w:rFonts w:eastAsiaTheme="minorEastAsia"/>
          <w:rtl/>
        </w:rPr>
        <w:t>(</w:t>
      </w:r>
      <w:r w:rsidR="007232E9" w:rsidRPr="00A315B0">
        <w:rPr>
          <w:rStyle w:val="FootnoteReference"/>
          <w:rFonts w:eastAsiaTheme="minorEastAsia"/>
          <w:rtl/>
        </w:rPr>
        <w:footnoteReference w:id="7"/>
      </w:r>
      <w:r w:rsidR="007232E9" w:rsidRPr="00B13A52">
        <w:rPr>
          <w:rStyle w:val="FootnoteReference"/>
          <w:rFonts w:eastAsiaTheme="minorEastAsia"/>
          <w:rtl/>
        </w:rPr>
        <w:t>)</w:t>
      </w:r>
      <w:r w:rsidR="00C414B0" w:rsidRPr="00B13A52">
        <w:rPr>
          <w:rFonts w:eastAsiaTheme="minorEastAsia" w:hint="cs"/>
          <w:rtl/>
        </w:rPr>
        <w:t>.</w:t>
      </w:r>
      <w:r w:rsidRPr="00B13A52">
        <w:rPr>
          <w:rFonts w:eastAsiaTheme="minorEastAsia"/>
          <w:rtl/>
        </w:rPr>
        <w:t xml:space="preserve"> وبالإضافة إلى ذلك، فإن العبء الضريبي المفروض غير متناسب وله أثر ضار على مجاهرة صاحبة البلاغ</w:t>
      </w:r>
      <w:r w:rsidRPr="00B13A52">
        <w:rPr>
          <w:rFonts w:eastAsiaTheme="minorEastAsia"/>
          <w:rtl/>
          <w:lang w:val="fr-CH"/>
        </w:rPr>
        <w:t xml:space="preserve"> بمعتقداتها</w:t>
      </w:r>
      <w:r w:rsidRPr="00B13A52">
        <w:rPr>
          <w:rFonts w:eastAsiaTheme="minorEastAsia"/>
          <w:rtl/>
        </w:rPr>
        <w:t xml:space="preserve"> الدينية نظراً لإعفاء أعضاء الجماعات الدينية الأخرى من دفع الضرائب على المساعدة المالية المقدمة لهم.</w:t>
      </w:r>
    </w:p>
    <w:p w14:paraId="7EF31BDC"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3</w:t>
      </w:r>
      <w:r w:rsidRPr="00B13A52">
        <w:rPr>
          <w:rFonts w:eastAsiaTheme="minorEastAsia"/>
          <w:szCs w:val="20"/>
          <w:rtl/>
        </w:rPr>
        <w:t>-</w:t>
      </w:r>
      <w:r w:rsidRPr="00A315B0">
        <w:rPr>
          <w:rFonts w:eastAsiaTheme="minorEastAsia"/>
          <w:szCs w:val="20"/>
          <w:rtl/>
        </w:rPr>
        <w:t>6</w:t>
      </w:r>
      <w:r w:rsidRPr="00B13A52">
        <w:rPr>
          <w:rFonts w:eastAsiaTheme="minorEastAsia"/>
          <w:rtl/>
        </w:rPr>
        <w:tab/>
        <w:t xml:space="preserve">واستناداً إلى المادة </w:t>
      </w:r>
      <w:r w:rsidRPr="00A315B0">
        <w:rPr>
          <w:rFonts w:eastAsiaTheme="minorEastAsia"/>
          <w:szCs w:val="20"/>
          <w:rtl/>
        </w:rPr>
        <w:t>14</w:t>
      </w:r>
      <w:r w:rsidRPr="00B13A52">
        <w:rPr>
          <w:rFonts w:eastAsiaTheme="minorEastAsia"/>
          <w:rtl/>
        </w:rPr>
        <w:t xml:space="preserve"> من العهد، تذكّر صاحبة البلاغ بأن الحق في محاكمة عادلة يشمل الحق في قرار معلل. ومع ذلك، رفضت محكمة الاستئناف الإدارية طعنها بإجراءات موجزة ولم تتناول أياً من حججها، بما في ذلك ادعاءها المتعلق بالتمييز. أما قضية </w:t>
      </w:r>
      <w:r w:rsidRPr="00B13A52">
        <w:rPr>
          <w:rFonts w:eastAsiaTheme="minorEastAsia"/>
          <w:i/>
          <w:iCs/>
          <w:rtl/>
        </w:rPr>
        <w:t>م. أ. ضد هيئة الضرائب السويدية</w:t>
      </w:r>
      <w:r w:rsidRPr="00B13A52">
        <w:rPr>
          <w:rFonts w:eastAsiaTheme="minorEastAsia"/>
          <w:rtl/>
        </w:rPr>
        <w:t xml:space="preserve">، التي يبدو أن المحكمة الإدارية تعتمد عليها، فلم يكن ينبغي أن تُطبق على قضيتها. فقد قيل إن مقدم الطلب في القضية المشار إليها شارك في نوع ما من أعمال التوعية. غير أن حالة صاحبة البلاغ تختلف اختلافاً كبيراً عن حالة مقدم الطلب بسبب تقدمها في السن. وفي </w:t>
      </w:r>
      <w:r w:rsidRPr="00A315B0">
        <w:rPr>
          <w:rFonts w:eastAsiaTheme="minorEastAsia"/>
          <w:szCs w:val="20"/>
          <w:rtl/>
        </w:rPr>
        <w:t>9</w:t>
      </w:r>
      <w:r w:rsidRPr="00B13A52">
        <w:rPr>
          <w:rFonts w:eastAsiaTheme="minorEastAsia"/>
          <w:rtl/>
        </w:rPr>
        <w:t xml:space="preserve"> كانون الثاني/يناير </w:t>
      </w:r>
      <w:r w:rsidRPr="00A315B0">
        <w:rPr>
          <w:rFonts w:eastAsiaTheme="minorEastAsia"/>
          <w:szCs w:val="20"/>
          <w:rtl/>
        </w:rPr>
        <w:t>2015</w:t>
      </w:r>
      <w:r w:rsidRPr="00B13A52">
        <w:rPr>
          <w:rFonts w:eastAsiaTheme="minorEastAsia"/>
          <w:rtl/>
        </w:rPr>
        <w:t>، رفضت المحكمة الإدارية العليا الإذن لصاحبة البلاغ بالاستئناف دون تحديد أسباب قرارها، رغم أن عدم تبرير المحاكم الابتدائية لقراراتها وعدم تناولها لادعاءات صاحبة البلاغ شكَّل دون شك "إغفالاً جسيماً أو خطأً جسيماً" كان ينبغي أن يستفيد من مراجعة من المحكمة الإدارية العليا.</w:t>
      </w:r>
    </w:p>
    <w:p w14:paraId="4F80B0DF" w14:textId="18907CB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3</w:t>
      </w:r>
      <w:r w:rsidRPr="00B13A52">
        <w:rPr>
          <w:rFonts w:eastAsiaTheme="minorEastAsia"/>
          <w:szCs w:val="20"/>
          <w:rtl/>
        </w:rPr>
        <w:t>-</w:t>
      </w:r>
      <w:r w:rsidRPr="00A315B0">
        <w:rPr>
          <w:rFonts w:eastAsiaTheme="minorEastAsia"/>
          <w:szCs w:val="20"/>
          <w:rtl/>
        </w:rPr>
        <w:t>7</w:t>
      </w:r>
      <w:r w:rsidRPr="00B13A52">
        <w:rPr>
          <w:rFonts w:eastAsiaTheme="minorEastAsia"/>
          <w:rtl/>
        </w:rPr>
        <w:tab/>
        <w:t>وأخيراً، تشير صاحبة البلاغ، استناداً إلى الاجتهادات القضائية للجنة، إلى أن مبدأ تكافؤ فرص الدفاع يلزِم المحاكم بالاستجابة للالتماسات التي تهدف إلى تقديم أدلة</w:t>
      </w:r>
      <w:r w:rsidR="007232E9" w:rsidRPr="00B13A52">
        <w:rPr>
          <w:rStyle w:val="FootnoteReference"/>
          <w:rFonts w:eastAsiaTheme="minorEastAsia"/>
          <w:rtl/>
        </w:rPr>
        <w:t>(</w:t>
      </w:r>
      <w:r w:rsidR="007232E9" w:rsidRPr="00A315B0">
        <w:rPr>
          <w:rStyle w:val="FootnoteReference"/>
          <w:rFonts w:eastAsiaTheme="minorEastAsia"/>
          <w:rtl/>
        </w:rPr>
        <w:footnoteReference w:id="8"/>
      </w:r>
      <w:r w:rsidR="007232E9" w:rsidRPr="00B13A52">
        <w:rPr>
          <w:rStyle w:val="FootnoteReference"/>
          <w:rFonts w:eastAsiaTheme="minorEastAsia"/>
          <w:rtl/>
        </w:rPr>
        <w:t>)</w:t>
      </w:r>
      <w:r w:rsidR="005267A7">
        <w:rPr>
          <w:rFonts w:eastAsiaTheme="minorEastAsia" w:hint="cs"/>
          <w:rtl/>
        </w:rPr>
        <w:t>.</w:t>
      </w:r>
      <w:r w:rsidRPr="00B13A52">
        <w:rPr>
          <w:rFonts w:eastAsiaTheme="minorEastAsia"/>
          <w:rtl/>
        </w:rPr>
        <w:t xml:space="preserve"> غير أن طلباتها المتكررة عقد جلسة شفوية رُفضت. </w:t>
      </w:r>
    </w:p>
    <w:p w14:paraId="170E2EDC" w14:textId="77777777" w:rsidR="00211607" w:rsidRPr="00B13A52" w:rsidRDefault="00211607" w:rsidP="007232E9">
      <w:pPr>
        <w:pStyle w:val="H23GA"/>
        <w:rPr>
          <w:rFonts w:eastAsiaTheme="minorEastAsia"/>
          <w:szCs w:val="20"/>
          <w:lang w:val="ar-SA" w:eastAsia="zh-TW" w:bidi="en-GB"/>
        </w:rPr>
      </w:pPr>
      <w:r w:rsidRPr="00B13A52">
        <w:rPr>
          <w:rFonts w:eastAsiaTheme="minorEastAsia"/>
          <w:rtl/>
        </w:rPr>
        <w:tab/>
      </w:r>
      <w:r w:rsidRPr="00B13A52">
        <w:rPr>
          <w:rFonts w:eastAsiaTheme="minorEastAsia"/>
          <w:rtl/>
        </w:rPr>
        <w:tab/>
        <w:t>ملاحظات الدولة الطرف بشأن المقبولية</w:t>
      </w:r>
    </w:p>
    <w:p w14:paraId="16286B37" w14:textId="3BB1C788"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4</w:t>
      </w:r>
      <w:r w:rsidRPr="00B13A52">
        <w:rPr>
          <w:rFonts w:eastAsiaTheme="minorEastAsia"/>
          <w:szCs w:val="20"/>
          <w:rtl/>
        </w:rPr>
        <w:t>-</w:t>
      </w:r>
      <w:r w:rsidRPr="00A315B0">
        <w:rPr>
          <w:rFonts w:eastAsiaTheme="minorEastAsia"/>
          <w:szCs w:val="20"/>
          <w:rtl/>
        </w:rPr>
        <w:t>1</w:t>
      </w:r>
      <w:r w:rsidRPr="00B13A52">
        <w:rPr>
          <w:rFonts w:eastAsiaTheme="minorEastAsia"/>
          <w:rtl/>
        </w:rPr>
        <w:tab/>
        <w:t xml:space="preserve">طلبت الدولة الطرف إلى اللجنة، في مذكرة شفوية مؤرخة </w:t>
      </w:r>
      <w:r w:rsidRPr="00A315B0">
        <w:rPr>
          <w:rFonts w:eastAsiaTheme="minorEastAsia"/>
          <w:szCs w:val="20"/>
          <w:rtl/>
        </w:rPr>
        <w:t>16</w:t>
      </w:r>
      <w:r w:rsidRPr="00B13A52">
        <w:rPr>
          <w:rFonts w:eastAsiaTheme="minorEastAsia"/>
          <w:rtl/>
        </w:rPr>
        <w:t xml:space="preserve"> أيار/مايو </w:t>
      </w:r>
      <w:r w:rsidRPr="00A315B0">
        <w:rPr>
          <w:rFonts w:eastAsiaTheme="minorEastAsia"/>
          <w:szCs w:val="20"/>
          <w:rtl/>
        </w:rPr>
        <w:t>2016</w:t>
      </w:r>
      <w:r w:rsidRPr="00B13A52">
        <w:rPr>
          <w:rFonts w:eastAsiaTheme="minorEastAsia"/>
          <w:rtl/>
        </w:rPr>
        <w:t xml:space="preserve">، أن تعلن عدم مقبولية البلاغ بموجب المادة </w:t>
      </w:r>
      <w:r w:rsidRPr="00A315B0">
        <w:rPr>
          <w:rFonts w:eastAsiaTheme="minorEastAsia"/>
          <w:szCs w:val="20"/>
          <w:rtl/>
        </w:rPr>
        <w:t>5</w:t>
      </w:r>
      <w:r w:rsidRPr="00B13A52">
        <w:rPr>
          <w:rFonts w:eastAsiaTheme="minorEastAsia"/>
          <w:szCs w:val="20"/>
          <w:rtl/>
        </w:rPr>
        <w:t>(</w:t>
      </w:r>
      <w:r w:rsidRPr="00A315B0">
        <w:rPr>
          <w:rFonts w:eastAsiaTheme="minorEastAsia"/>
          <w:szCs w:val="20"/>
          <w:rtl/>
        </w:rPr>
        <w:t>2</w:t>
      </w:r>
      <w:r w:rsidRPr="00B13A52">
        <w:rPr>
          <w:rFonts w:eastAsiaTheme="minorEastAsia"/>
          <w:szCs w:val="20"/>
          <w:rtl/>
        </w:rPr>
        <w:t>)(</w:t>
      </w:r>
      <w:r w:rsidRPr="00B13A52">
        <w:rPr>
          <w:rFonts w:eastAsiaTheme="minorEastAsia"/>
          <w:rtl/>
        </w:rPr>
        <w:t>أ</w:t>
      </w:r>
      <w:r w:rsidRPr="00B13A52">
        <w:rPr>
          <w:rFonts w:eastAsiaTheme="minorEastAsia"/>
          <w:szCs w:val="20"/>
          <w:rtl/>
        </w:rPr>
        <w:t>)</w:t>
      </w:r>
      <w:r w:rsidRPr="00B13A52">
        <w:rPr>
          <w:rFonts w:eastAsiaTheme="minorEastAsia"/>
          <w:rtl/>
        </w:rPr>
        <w:t xml:space="preserve"> من العهد، نظراً إلى أن المسألة نفسها قد بُحثت في إطار إجراء آخر من إجراءات التحقيق الدولي أو التسوية الدولية. وفي هذا الصدد، تؤكد الدولة الطرف أنها أصدرت إعلاناً بعد التصديق على البروتوكول الاختياري يفيد بأنه ينبغي للجنة ألا تنظر في أي بلاغ يرد من أي فرد إلا</w:t>
      </w:r>
      <w:r w:rsidR="000918FC" w:rsidRPr="00B13A52">
        <w:rPr>
          <w:rFonts w:eastAsiaTheme="minorEastAsia" w:hint="cs"/>
          <w:rtl/>
        </w:rPr>
        <w:t> </w:t>
      </w:r>
      <w:r w:rsidRPr="00B13A52">
        <w:rPr>
          <w:rFonts w:eastAsiaTheme="minorEastAsia"/>
          <w:rtl/>
        </w:rPr>
        <w:t>إذا تحققت من أن المسألة نفسها لا يجري بحثها أو لم تُبحث في إطار أي إجراء آخر من إجراءات التحقيق الدولي أو التسوية الدولية</w:t>
      </w:r>
      <w:r w:rsidRPr="00B13A52">
        <w:rPr>
          <w:rFonts w:eastAsiaTheme="minorEastAsia"/>
          <w:szCs w:val="20"/>
          <w:rtl/>
        </w:rPr>
        <w:t>.</w:t>
      </w:r>
      <w:r w:rsidRPr="00B13A52">
        <w:rPr>
          <w:rFonts w:eastAsiaTheme="minorEastAsia"/>
          <w:rtl/>
        </w:rPr>
        <w:t xml:space="preserve"> </w:t>
      </w:r>
    </w:p>
    <w:p w14:paraId="27A5E6C9" w14:textId="7A0D3B3D"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4</w:t>
      </w:r>
      <w:r w:rsidRPr="00B13A52">
        <w:rPr>
          <w:rFonts w:eastAsiaTheme="minorEastAsia"/>
          <w:szCs w:val="20"/>
          <w:rtl/>
        </w:rPr>
        <w:t>-</w:t>
      </w:r>
      <w:r w:rsidRPr="00A315B0">
        <w:rPr>
          <w:rFonts w:eastAsiaTheme="minorEastAsia"/>
          <w:szCs w:val="20"/>
          <w:rtl/>
        </w:rPr>
        <w:t>2</w:t>
      </w:r>
      <w:r w:rsidRPr="00B13A52">
        <w:rPr>
          <w:rFonts w:eastAsiaTheme="minorEastAsia"/>
          <w:rtl/>
        </w:rPr>
        <w:tab/>
        <w:t>وفيما يتعلق بوقائع القضية، تؤكد الدولة الطرف أن صاحبة البلاغ كان</w:t>
      </w:r>
      <w:r w:rsidRPr="00B13A52">
        <w:rPr>
          <w:rFonts w:eastAsiaTheme="minorEastAsia"/>
          <w:rtl/>
          <w:lang w:val="fr-CH"/>
        </w:rPr>
        <w:t>ت</w:t>
      </w:r>
      <w:r w:rsidRPr="00B13A52">
        <w:rPr>
          <w:rFonts w:eastAsiaTheme="minorEastAsia"/>
          <w:rtl/>
        </w:rPr>
        <w:t xml:space="preserve"> في </w:t>
      </w:r>
      <w:r w:rsidRPr="00A315B0">
        <w:rPr>
          <w:rFonts w:eastAsiaTheme="minorEastAsia"/>
          <w:szCs w:val="20"/>
          <w:rtl/>
        </w:rPr>
        <w:t>20</w:t>
      </w:r>
      <w:r w:rsidRPr="00B13A52">
        <w:rPr>
          <w:rFonts w:eastAsiaTheme="minorEastAsia"/>
          <w:rtl/>
        </w:rPr>
        <w:t xml:space="preserve"> كانون الأول/</w:t>
      </w:r>
      <w:r w:rsidR="005267A7">
        <w:rPr>
          <w:rFonts w:eastAsiaTheme="minorEastAsia" w:hint="cs"/>
          <w:rtl/>
        </w:rPr>
        <w:t xml:space="preserve"> </w:t>
      </w:r>
      <w:r w:rsidRPr="00B13A52">
        <w:rPr>
          <w:rFonts w:eastAsiaTheme="minorEastAsia"/>
          <w:rtl/>
        </w:rPr>
        <w:t xml:space="preserve">ديسمبر </w:t>
      </w:r>
      <w:r w:rsidRPr="00A315B0">
        <w:rPr>
          <w:rFonts w:eastAsiaTheme="minorEastAsia"/>
          <w:szCs w:val="20"/>
          <w:rtl/>
        </w:rPr>
        <w:t>2013</w:t>
      </w:r>
      <w:r w:rsidRPr="00B13A52">
        <w:rPr>
          <w:rFonts w:eastAsiaTheme="minorEastAsia"/>
          <w:rtl/>
        </w:rPr>
        <w:t xml:space="preserve"> أحد أعضاء الجماعة البالغ عددهم </w:t>
      </w:r>
      <w:r w:rsidRPr="00A315B0">
        <w:rPr>
          <w:rFonts w:eastAsiaTheme="minorEastAsia"/>
          <w:szCs w:val="20"/>
          <w:rtl/>
        </w:rPr>
        <w:t>115</w:t>
      </w:r>
      <w:r w:rsidRPr="00B13A52">
        <w:rPr>
          <w:rFonts w:eastAsiaTheme="minorEastAsia"/>
          <w:rtl/>
        </w:rPr>
        <w:t xml:space="preserve"> عضواً، الذين اشتركوا في تقديم طلب إلى المحكمة الأوروبية لحقوق الإنسان للطعن في التقديرات الضريبية لدخلهم عن الفترة </w:t>
      </w:r>
      <w:r w:rsidRPr="00A315B0">
        <w:rPr>
          <w:rFonts w:eastAsiaTheme="minorEastAsia"/>
          <w:szCs w:val="20"/>
          <w:rtl/>
        </w:rPr>
        <w:t>2004</w:t>
      </w:r>
      <w:r w:rsidRPr="00B13A52">
        <w:rPr>
          <w:rFonts w:eastAsiaTheme="minorEastAsia"/>
          <w:szCs w:val="20"/>
          <w:rtl/>
        </w:rPr>
        <w:t>-</w:t>
      </w:r>
      <w:r w:rsidRPr="00A315B0">
        <w:rPr>
          <w:rFonts w:eastAsiaTheme="minorEastAsia"/>
          <w:szCs w:val="20"/>
          <w:rtl/>
        </w:rPr>
        <w:t>2011</w:t>
      </w:r>
      <w:r w:rsidRPr="00B13A52">
        <w:rPr>
          <w:rFonts w:eastAsiaTheme="minorEastAsia"/>
          <w:szCs w:val="20"/>
          <w:rtl/>
        </w:rPr>
        <w:t>.</w:t>
      </w:r>
      <w:r w:rsidRPr="00B13A52">
        <w:rPr>
          <w:rFonts w:eastAsiaTheme="minorEastAsia"/>
          <w:rtl/>
        </w:rPr>
        <w:t xml:space="preserve"> وفي </w:t>
      </w:r>
      <w:r w:rsidRPr="00A315B0">
        <w:rPr>
          <w:rFonts w:eastAsiaTheme="minorEastAsia"/>
          <w:szCs w:val="20"/>
          <w:rtl/>
        </w:rPr>
        <w:t>16</w:t>
      </w:r>
      <w:r w:rsidRPr="00B13A52">
        <w:rPr>
          <w:rFonts w:eastAsiaTheme="minorEastAsia"/>
          <w:rtl/>
        </w:rPr>
        <w:t xml:space="preserve"> أيلول/سبتمبر </w:t>
      </w:r>
      <w:r w:rsidRPr="00A315B0">
        <w:rPr>
          <w:rFonts w:eastAsiaTheme="minorEastAsia"/>
          <w:szCs w:val="20"/>
          <w:rtl/>
        </w:rPr>
        <w:t>2014</w:t>
      </w:r>
      <w:r w:rsidRPr="00B13A52">
        <w:rPr>
          <w:rFonts w:eastAsiaTheme="minorEastAsia"/>
          <w:rtl/>
        </w:rPr>
        <w:t>، أعلنت المحكمة الأوروبية، التي انعقدت بثلاثة قضاة، عدم قبول الطلب لأنه لم يكشف عن أي مظهر من مظاهر انتهاك الحقوق والحريات المنصوص عليها في اتفاقية حماية حقوق الإنسان والحريات الأساسية (الاتفاقية الأوروبية لحقوق الإنسان) أو بروتوكولاتها.</w:t>
      </w:r>
    </w:p>
    <w:p w14:paraId="229383A4" w14:textId="58875315"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4</w:t>
      </w:r>
      <w:r w:rsidRPr="00B13A52">
        <w:rPr>
          <w:rFonts w:eastAsiaTheme="minorEastAsia"/>
          <w:szCs w:val="20"/>
          <w:rtl/>
        </w:rPr>
        <w:t>-</w:t>
      </w:r>
      <w:r w:rsidRPr="00A315B0">
        <w:rPr>
          <w:rFonts w:eastAsiaTheme="minorEastAsia"/>
          <w:szCs w:val="20"/>
          <w:rtl/>
        </w:rPr>
        <w:t>3</w:t>
      </w:r>
      <w:r w:rsidRPr="00B13A52">
        <w:rPr>
          <w:rFonts w:eastAsiaTheme="minorEastAsia"/>
          <w:rtl/>
        </w:rPr>
        <w:tab/>
        <w:t xml:space="preserve">وفي </w:t>
      </w:r>
      <w:r w:rsidRPr="00A315B0">
        <w:rPr>
          <w:rFonts w:eastAsiaTheme="minorEastAsia"/>
          <w:szCs w:val="20"/>
          <w:rtl/>
        </w:rPr>
        <w:t xml:space="preserve">6 </w:t>
      </w:r>
      <w:r w:rsidRPr="00A315B0">
        <w:rPr>
          <w:rFonts w:eastAsiaTheme="minorEastAsia"/>
          <w:rtl/>
        </w:rPr>
        <w:t xml:space="preserve">تموز/يوليه </w:t>
      </w:r>
      <w:r w:rsidRPr="00A315B0">
        <w:rPr>
          <w:rFonts w:eastAsiaTheme="minorEastAsia"/>
          <w:szCs w:val="20"/>
          <w:rtl/>
        </w:rPr>
        <w:t>201</w:t>
      </w:r>
      <w:r w:rsidR="005267A7" w:rsidRPr="00A315B0">
        <w:rPr>
          <w:rFonts w:eastAsiaTheme="minorEastAsia" w:hint="cs"/>
          <w:rtl/>
        </w:rPr>
        <w:t>5</w:t>
      </w:r>
      <w:r w:rsidRPr="00A315B0">
        <w:rPr>
          <w:rFonts w:eastAsiaTheme="minorEastAsia"/>
          <w:rtl/>
        </w:rPr>
        <w:t>، قدمت</w:t>
      </w:r>
      <w:r w:rsidRPr="00B13A52">
        <w:rPr>
          <w:rFonts w:eastAsiaTheme="minorEastAsia"/>
          <w:rtl/>
        </w:rPr>
        <w:t xml:space="preserve"> صاحبة البلاغ طلباً آخر إلى المحكمة الأوروبية. وفي </w:t>
      </w:r>
      <w:r w:rsidRPr="00A315B0">
        <w:rPr>
          <w:rFonts w:eastAsiaTheme="minorEastAsia"/>
          <w:rtl/>
        </w:rPr>
        <w:t>1</w:t>
      </w:r>
      <w:r w:rsidRPr="00B13A52">
        <w:rPr>
          <w:rFonts w:eastAsiaTheme="minorEastAsia"/>
          <w:rtl/>
        </w:rPr>
        <w:t xml:space="preserve"> تشرين الأول/أكتوبر </w:t>
      </w:r>
      <w:r w:rsidRPr="00A315B0">
        <w:rPr>
          <w:rFonts w:eastAsiaTheme="minorEastAsia"/>
          <w:rtl/>
        </w:rPr>
        <w:t>2015</w:t>
      </w:r>
      <w:r w:rsidRPr="00B13A52">
        <w:rPr>
          <w:rFonts w:eastAsiaTheme="minorEastAsia"/>
          <w:rtl/>
        </w:rPr>
        <w:t xml:space="preserve">، أُبلغت بأن المحكمة، التي انعقدت بقاضٍ واحد، قضت بأن الطلب لا يستوفي معايير المقبولية المحددة في المادتين </w:t>
      </w:r>
      <w:r w:rsidRPr="00A315B0">
        <w:rPr>
          <w:rFonts w:eastAsiaTheme="minorEastAsia"/>
          <w:szCs w:val="20"/>
          <w:rtl/>
        </w:rPr>
        <w:t>34</w:t>
      </w:r>
      <w:r w:rsidRPr="00B13A52">
        <w:rPr>
          <w:rFonts w:eastAsiaTheme="minorEastAsia"/>
          <w:rtl/>
        </w:rPr>
        <w:t xml:space="preserve"> و</w:t>
      </w:r>
      <w:r w:rsidRPr="00A315B0">
        <w:rPr>
          <w:rFonts w:eastAsiaTheme="minorEastAsia"/>
          <w:szCs w:val="20"/>
          <w:rtl/>
        </w:rPr>
        <w:t>35</w:t>
      </w:r>
      <w:r w:rsidRPr="00B13A52">
        <w:rPr>
          <w:rFonts w:eastAsiaTheme="minorEastAsia"/>
          <w:rtl/>
        </w:rPr>
        <w:t xml:space="preserve"> من الاتفاقية الأوروبية لحقوق الإنسان. </w:t>
      </w:r>
    </w:p>
    <w:p w14:paraId="102DDD28"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4</w:t>
      </w:r>
      <w:r w:rsidRPr="00B13A52">
        <w:rPr>
          <w:rFonts w:eastAsiaTheme="minorEastAsia"/>
          <w:szCs w:val="20"/>
          <w:rtl/>
        </w:rPr>
        <w:t>-</w:t>
      </w:r>
      <w:r w:rsidRPr="00A315B0">
        <w:rPr>
          <w:rFonts w:eastAsiaTheme="minorEastAsia"/>
          <w:szCs w:val="20"/>
          <w:rtl/>
        </w:rPr>
        <w:t>4</w:t>
      </w:r>
      <w:r w:rsidRPr="00B13A52">
        <w:rPr>
          <w:rFonts w:eastAsiaTheme="minorEastAsia"/>
          <w:rtl/>
        </w:rPr>
        <w:tab/>
        <w:t xml:space="preserve">وتدفع الدولة الطرف بأن صاحبة البلاغ ادعت في بلاغها إلى اللجنة انتهاك حقوقها بموجب المواد </w:t>
      </w:r>
      <w:r w:rsidRPr="00A315B0">
        <w:rPr>
          <w:rFonts w:eastAsiaTheme="minorEastAsia"/>
          <w:szCs w:val="20"/>
          <w:rtl/>
        </w:rPr>
        <w:t>14</w:t>
      </w:r>
      <w:r w:rsidRPr="00B13A52">
        <w:rPr>
          <w:rFonts w:eastAsiaTheme="minorEastAsia"/>
          <w:rtl/>
        </w:rPr>
        <w:t xml:space="preserve"> و</w:t>
      </w:r>
      <w:r w:rsidRPr="00A315B0">
        <w:rPr>
          <w:rFonts w:eastAsiaTheme="minorEastAsia"/>
          <w:szCs w:val="20"/>
          <w:rtl/>
        </w:rPr>
        <w:t>18</w:t>
      </w:r>
      <w:r w:rsidRPr="00B13A52">
        <w:rPr>
          <w:rFonts w:eastAsiaTheme="minorEastAsia"/>
          <w:rtl/>
        </w:rPr>
        <w:t xml:space="preserve"> و</w:t>
      </w:r>
      <w:r w:rsidRPr="00A315B0">
        <w:rPr>
          <w:rFonts w:eastAsiaTheme="minorEastAsia"/>
          <w:szCs w:val="20"/>
          <w:rtl/>
        </w:rPr>
        <w:t>26</w:t>
      </w:r>
      <w:r w:rsidRPr="00B13A52">
        <w:rPr>
          <w:rFonts w:eastAsiaTheme="minorEastAsia"/>
          <w:rtl/>
        </w:rPr>
        <w:t xml:space="preserve"> من العهد. واستندت صاحبة البلاغ، في طلبها المقدَّم في عام </w:t>
      </w:r>
      <w:r w:rsidRPr="00A315B0">
        <w:rPr>
          <w:rFonts w:eastAsiaTheme="minorEastAsia"/>
          <w:szCs w:val="20"/>
          <w:rtl/>
        </w:rPr>
        <w:t>2015</w:t>
      </w:r>
      <w:r w:rsidRPr="00B13A52">
        <w:rPr>
          <w:rFonts w:eastAsiaTheme="minorEastAsia"/>
          <w:rtl/>
        </w:rPr>
        <w:t xml:space="preserve"> إلى المحكمة الأوروبية لحقوق الإنسان، إلى المواد </w:t>
      </w:r>
      <w:r w:rsidRPr="00A315B0">
        <w:rPr>
          <w:rFonts w:eastAsiaTheme="minorEastAsia"/>
          <w:szCs w:val="20"/>
          <w:rtl/>
        </w:rPr>
        <w:t>6</w:t>
      </w:r>
      <w:r w:rsidRPr="00B13A52">
        <w:rPr>
          <w:rFonts w:eastAsiaTheme="minorEastAsia"/>
          <w:rtl/>
        </w:rPr>
        <w:t xml:space="preserve"> و</w:t>
      </w:r>
      <w:r w:rsidRPr="00A315B0">
        <w:rPr>
          <w:rFonts w:eastAsiaTheme="minorEastAsia"/>
          <w:szCs w:val="20"/>
          <w:rtl/>
        </w:rPr>
        <w:t>9</w:t>
      </w:r>
      <w:r w:rsidRPr="00B13A52">
        <w:rPr>
          <w:rFonts w:eastAsiaTheme="minorEastAsia"/>
          <w:rtl/>
        </w:rPr>
        <w:t xml:space="preserve"> و</w:t>
      </w:r>
      <w:r w:rsidRPr="00A315B0">
        <w:rPr>
          <w:rFonts w:eastAsiaTheme="minorEastAsia"/>
          <w:szCs w:val="20"/>
          <w:rtl/>
        </w:rPr>
        <w:t>14</w:t>
      </w:r>
      <w:r w:rsidRPr="00B13A52">
        <w:rPr>
          <w:rFonts w:eastAsiaTheme="minorEastAsia"/>
          <w:rtl/>
        </w:rPr>
        <w:t xml:space="preserve"> من الاتفاقية الأوروبية لحقوق الإنسان. وتلاحظ الدولة الطرف أن المواد التي تستند إليها صاحبة البلاغ في هذا البلاغ تتطابق مع الادعاءات التي قدمتها في وقت سابق إلى المحكمة الأوروبية بموجب المواد ذات الصلة من الاتفاقية. وعلاوة على ذلك، تلاحظ الدولة الطرف أن صاحبة البلاغ لا تعترض على أن طلبها المقدم إلى المحكمة الأوروبية في عام </w:t>
      </w:r>
      <w:r w:rsidRPr="00A315B0">
        <w:rPr>
          <w:rFonts w:eastAsiaTheme="minorEastAsia"/>
          <w:szCs w:val="20"/>
          <w:rtl/>
        </w:rPr>
        <w:t>2015</w:t>
      </w:r>
      <w:r w:rsidRPr="00B13A52">
        <w:rPr>
          <w:rFonts w:eastAsiaTheme="minorEastAsia"/>
          <w:rtl/>
        </w:rPr>
        <w:t xml:space="preserve">، وبلاغها هذا المقدم إلى اللجنة، يتعلقان بنفس الوقائع والمسائل. وبناءً عليه، ترى الدولة الطرف أن هذا البلاغ يتعلق بنفس المسألة التي يتناولها الطلب الذي قدمته صاحبة البلاغ في عام </w:t>
      </w:r>
      <w:r w:rsidRPr="00A315B0">
        <w:rPr>
          <w:rFonts w:eastAsiaTheme="minorEastAsia"/>
          <w:szCs w:val="20"/>
          <w:rtl/>
        </w:rPr>
        <w:t>2015</w:t>
      </w:r>
      <w:r w:rsidRPr="00B13A52">
        <w:rPr>
          <w:rFonts w:eastAsiaTheme="minorEastAsia"/>
          <w:rtl/>
        </w:rPr>
        <w:t xml:space="preserve"> إلى المحكمة الأوروبية، بالمعنى المقصود في المادة </w:t>
      </w:r>
      <w:r w:rsidRPr="00A315B0">
        <w:rPr>
          <w:rFonts w:eastAsiaTheme="minorEastAsia"/>
          <w:szCs w:val="20"/>
          <w:rtl/>
        </w:rPr>
        <w:t>5</w:t>
      </w:r>
      <w:r w:rsidRPr="00B13A52">
        <w:rPr>
          <w:rFonts w:eastAsiaTheme="minorEastAsia"/>
          <w:szCs w:val="20"/>
          <w:rtl/>
        </w:rPr>
        <w:t>(</w:t>
      </w:r>
      <w:r w:rsidRPr="00A315B0">
        <w:rPr>
          <w:rFonts w:eastAsiaTheme="minorEastAsia"/>
          <w:szCs w:val="20"/>
          <w:rtl/>
        </w:rPr>
        <w:t>2</w:t>
      </w:r>
      <w:r w:rsidRPr="00B13A52">
        <w:rPr>
          <w:rFonts w:eastAsiaTheme="minorEastAsia"/>
          <w:szCs w:val="20"/>
          <w:rtl/>
        </w:rPr>
        <w:t>)(</w:t>
      </w:r>
      <w:r w:rsidRPr="00B13A52">
        <w:rPr>
          <w:rFonts w:eastAsiaTheme="minorEastAsia"/>
          <w:rtl/>
        </w:rPr>
        <w:t>أ</w:t>
      </w:r>
      <w:r w:rsidRPr="00B13A52">
        <w:rPr>
          <w:rFonts w:eastAsiaTheme="minorEastAsia"/>
          <w:szCs w:val="20"/>
          <w:rtl/>
        </w:rPr>
        <w:t>)</w:t>
      </w:r>
      <w:r w:rsidRPr="00B13A52">
        <w:rPr>
          <w:rFonts w:eastAsiaTheme="minorEastAsia"/>
          <w:rtl/>
        </w:rPr>
        <w:t xml:space="preserve"> من البروتوكول الاختياري. </w:t>
      </w:r>
    </w:p>
    <w:p w14:paraId="4A8A124F" w14:textId="3A89A8D2"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4</w:t>
      </w:r>
      <w:r w:rsidRPr="00B13A52">
        <w:rPr>
          <w:rFonts w:eastAsiaTheme="minorEastAsia"/>
          <w:szCs w:val="20"/>
          <w:rtl/>
        </w:rPr>
        <w:t>-</w:t>
      </w:r>
      <w:r w:rsidRPr="00A315B0">
        <w:rPr>
          <w:rFonts w:eastAsiaTheme="minorEastAsia"/>
          <w:szCs w:val="20"/>
          <w:rtl/>
        </w:rPr>
        <w:t>5</w:t>
      </w:r>
      <w:r w:rsidRPr="00B13A52">
        <w:rPr>
          <w:rFonts w:eastAsiaTheme="minorEastAsia"/>
          <w:rtl/>
        </w:rPr>
        <w:tab/>
        <w:t xml:space="preserve">وفيما يتعلق بمسألة ما إذا كانت المحكمة الأوروبية لحقوق الإنسان نظرت في الطلب المقدم في عام </w:t>
      </w:r>
      <w:r w:rsidRPr="00A315B0">
        <w:rPr>
          <w:rFonts w:eastAsiaTheme="minorEastAsia"/>
          <w:szCs w:val="20"/>
          <w:rtl/>
        </w:rPr>
        <w:t>2015</w:t>
      </w:r>
      <w:r w:rsidRPr="00B13A52">
        <w:rPr>
          <w:rFonts w:eastAsiaTheme="minorEastAsia"/>
          <w:rtl/>
        </w:rPr>
        <w:t xml:space="preserve"> لأغراض المادة </w:t>
      </w:r>
      <w:r w:rsidRPr="00A315B0">
        <w:rPr>
          <w:rFonts w:eastAsiaTheme="minorEastAsia"/>
          <w:szCs w:val="20"/>
          <w:rtl/>
        </w:rPr>
        <w:t>5</w:t>
      </w:r>
      <w:r w:rsidRPr="00B13A52">
        <w:rPr>
          <w:rFonts w:eastAsiaTheme="minorEastAsia"/>
          <w:szCs w:val="20"/>
          <w:rtl/>
        </w:rPr>
        <w:t>(</w:t>
      </w:r>
      <w:r w:rsidRPr="00A315B0">
        <w:rPr>
          <w:rFonts w:eastAsiaTheme="minorEastAsia"/>
          <w:szCs w:val="20"/>
          <w:rtl/>
        </w:rPr>
        <w:t>2</w:t>
      </w:r>
      <w:r w:rsidRPr="00B13A52">
        <w:rPr>
          <w:rFonts w:eastAsiaTheme="minorEastAsia"/>
          <w:szCs w:val="20"/>
          <w:rtl/>
        </w:rPr>
        <w:t>)(</w:t>
      </w:r>
      <w:r w:rsidRPr="00B13A52">
        <w:rPr>
          <w:rFonts w:eastAsiaTheme="minorEastAsia"/>
          <w:rtl/>
        </w:rPr>
        <w:t>أ</w:t>
      </w:r>
      <w:r w:rsidRPr="00B13A52">
        <w:rPr>
          <w:rFonts w:eastAsiaTheme="minorEastAsia"/>
          <w:szCs w:val="20"/>
          <w:rtl/>
        </w:rPr>
        <w:t>)</w:t>
      </w:r>
      <w:r w:rsidRPr="00B13A52">
        <w:rPr>
          <w:rFonts w:eastAsiaTheme="minorEastAsia"/>
          <w:rtl/>
        </w:rPr>
        <w:t xml:space="preserve"> من البروتوكول الاختياري، تفيد الدولة الطرف بأنها تعترض على ادعاء صاحبة البلاغ أن المحكمة الأوروبية لم تنظر في طلبها المقدم في عام </w:t>
      </w:r>
      <w:r w:rsidRPr="00A315B0">
        <w:rPr>
          <w:rFonts w:eastAsiaTheme="minorEastAsia"/>
          <w:szCs w:val="20"/>
          <w:rtl/>
        </w:rPr>
        <w:t>2015</w:t>
      </w:r>
      <w:r w:rsidRPr="00B13A52">
        <w:rPr>
          <w:rFonts w:eastAsiaTheme="minorEastAsia"/>
          <w:szCs w:val="20"/>
          <w:rtl/>
        </w:rPr>
        <w:t>.</w:t>
      </w:r>
      <w:r w:rsidRPr="00B13A52">
        <w:rPr>
          <w:rFonts w:eastAsiaTheme="minorEastAsia"/>
          <w:rtl/>
        </w:rPr>
        <w:t xml:space="preserve"> وتذكّر الدولة الطرف بأن اللجنة رأت في حالات سابقة أنه، إذا لم تستند المحكمة الأوروبية في قرار بعدم المقبولية إلى الأسس الإجرائية فحسب، وإنما إلى أسباب تشمل أيضاً النظر المحدود في الأسس الموضوعية للقضية، فينبغي عندئذ اعتبار المسألة ذاتها قد بُحثت بالمعنى المقصود في التحفظات ذات الصلة على المادة</w:t>
      </w:r>
      <w:r w:rsidR="00C414B0" w:rsidRPr="00B13A52">
        <w:rPr>
          <w:rFonts w:eastAsiaTheme="minorEastAsia" w:hint="cs"/>
          <w:rtl/>
        </w:rPr>
        <w:t> </w:t>
      </w:r>
      <w:r w:rsidRPr="00A315B0">
        <w:rPr>
          <w:rFonts w:eastAsiaTheme="minorEastAsia"/>
          <w:szCs w:val="20"/>
          <w:rtl/>
        </w:rPr>
        <w:t>5</w:t>
      </w:r>
      <w:r w:rsidRPr="00B13A52">
        <w:rPr>
          <w:rFonts w:eastAsiaTheme="minorEastAsia"/>
          <w:szCs w:val="20"/>
          <w:rtl/>
        </w:rPr>
        <w:t>(</w:t>
      </w:r>
      <w:r w:rsidRPr="00A315B0">
        <w:rPr>
          <w:rFonts w:eastAsiaTheme="minorEastAsia"/>
          <w:szCs w:val="20"/>
          <w:rtl/>
        </w:rPr>
        <w:t>2</w:t>
      </w:r>
      <w:r w:rsidRPr="00B13A52">
        <w:rPr>
          <w:rFonts w:eastAsiaTheme="minorEastAsia"/>
          <w:szCs w:val="20"/>
          <w:rtl/>
        </w:rPr>
        <w:t>)(</w:t>
      </w:r>
      <w:r w:rsidRPr="00B13A52">
        <w:rPr>
          <w:rFonts w:eastAsiaTheme="minorEastAsia"/>
          <w:rtl/>
        </w:rPr>
        <w:t>أ</w:t>
      </w:r>
      <w:r w:rsidRPr="00B13A52">
        <w:rPr>
          <w:rFonts w:eastAsiaTheme="minorEastAsia"/>
          <w:szCs w:val="20"/>
          <w:rtl/>
        </w:rPr>
        <w:t>)</w:t>
      </w:r>
      <w:r w:rsidRPr="00B13A52">
        <w:rPr>
          <w:rFonts w:eastAsiaTheme="minorEastAsia"/>
          <w:rtl/>
        </w:rPr>
        <w:t xml:space="preserve"> من البروتوكول الاختياري</w:t>
      </w:r>
      <w:r w:rsidR="007232E9" w:rsidRPr="00B13A52">
        <w:rPr>
          <w:rStyle w:val="FootnoteReference"/>
          <w:rFonts w:eastAsiaTheme="minorEastAsia"/>
          <w:rtl/>
        </w:rPr>
        <w:t>(</w:t>
      </w:r>
      <w:r w:rsidR="007232E9" w:rsidRPr="00A315B0">
        <w:rPr>
          <w:rStyle w:val="FootnoteReference"/>
          <w:rFonts w:eastAsiaTheme="minorEastAsia"/>
          <w:rtl/>
        </w:rPr>
        <w:footnoteReference w:id="9"/>
      </w:r>
      <w:r w:rsidR="007232E9" w:rsidRPr="00B13A52">
        <w:rPr>
          <w:rStyle w:val="FootnoteReference"/>
          <w:rFonts w:eastAsiaTheme="minorEastAsia"/>
          <w:rtl/>
        </w:rPr>
        <w:t>)</w:t>
      </w:r>
      <w:r w:rsidR="007232E9" w:rsidRPr="00B13A52">
        <w:rPr>
          <w:rFonts w:eastAsiaTheme="minorEastAsia" w:hint="cs"/>
          <w:rtl/>
        </w:rPr>
        <w:t>.</w:t>
      </w:r>
    </w:p>
    <w:p w14:paraId="2DED452E" w14:textId="279D37C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4</w:t>
      </w:r>
      <w:r w:rsidRPr="00B13A52">
        <w:rPr>
          <w:rFonts w:eastAsiaTheme="minorEastAsia"/>
          <w:szCs w:val="20"/>
          <w:rtl/>
        </w:rPr>
        <w:t>-</w:t>
      </w:r>
      <w:r w:rsidRPr="00A315B0">
        <w:rPr>
          <w:rFonts w:eastAsiaTheme="minorEastAsia"/>
          <w:szCs w:val="20"/>
          <w:rtl/>
        </w:rPr>
        <w:t>6</w:t>
      </w:r>
      <w:r w:rsidRPr="00B13A52">
        <w:rPr>
          <w:rFonts w:eastAsiaTheme="minorEastAsia"/>
          <w:rtl/>
        </w:rPr>
        <w:tab/>
        <w:t xml:space="preserve">وتدفع الدولة الطرف بأنه، وفقاً للقاعدة </w:t>
      </w:r>
      <w:r w:rsidRPr="00A315B0">
        <w:rPr>
          <w:rFonts w:eastAsiaTheme="minorEastAsia"/>
          <w:szCs w:val="20"/>
          <w:rtl/>
        </w:rPr>
        <w:t>47</w:t>
      </w:r>
      <w:r w:rsidRPr="00B13A52">
        <w:rPr>
          <w:rFonts w:eastAsiaTheme="minorEastAsia"/>
          <w:rtl/>
        </w:rPr>
        <w:t xml:space="preserve"> من قواعد المحكمة الأوروبية لحقوق الإنسان، قد</w:t>
      </w:r>
      <w:r w:rsidR="005267A7">
        <w:rPr>
          <w:rFonts w:eastAsiaTheme="minorEastAsia" w:hint="cs"/>
          <w:rtl/>
        </w:rPr>
        <w:t> </w:t>
      </w:r>
      <w:r w:rsidRPr="00B13A52">
        <w:rPr>
          <w:rFonts w:eastAsiaTheme="minorEastAsia"/>
          <w:rtl/>
        </w:rPr>
        <w:t xml:space="preserve">يترتب على تقديم طلب غير مستوفٍ ألا تنظر المحكمة الأوروبية في هذا الطلب إلا في حالات محدودة. ومن الواضح أنه لو لم يستوف طلب صاحبة البلاغ المقدم في عام </w:t>
      </w:r>
      <w:r w:rsidRPr="00A315B0">
        <w:rPr>
          <w:rFonts w:eastAsiaTheme="minorEastAsia"/>
          <w:rtl/>
        </w:rPr>
        <w:t>2015</w:t>
      </w:r>
      <w:r w:rsidRPr="00B13A52">
        <w:rPr>
          <w:rFonts w:eastAsiaTheme="minorEastAsia"/>
          <w:rtl/>
        </w:rPr>
        <w:t xml:space="preserve"> أياً من الشروط الشكلية المنصوص عليها في القاعدة </w:t>
      </w:r>
      <w:r w:rsidRPr="00A315B0">
        <w:rPr>
          <w:rFonts w:eastAsiaTheme="minorEastAsia"/>
          <w:szCs w:val="20"/>
          <w:rtl/>
        </w:rPr>
        <w:t>47</w:t>
      </w:r>
      <w:r w:rsidRPr="00B13A52">
        <w:rPr>
          <w:rFonts w:eastAsiaTheme="minorEastAsia"/>
          <w:rtl/>
        </w:rPr>
        <w:t>، لامتنعت المحكمة الأوروبية</w:t>
      </w:r>
      <w:r w:rsidRPr="005267A7">
        <w:rPr>
          <w:rFonts w:eastAsiaTheme="minorEastAsia"/>
          <w:rtl/>
        </w:rPr>
        <w:t xml:space="preserve"> تماماً</w:t>
      </w:r>
      <w:r w:rsidRPr="00B13A52">
        <w:rPr>
          <w:rFonts w:eastAsiaTheme="minorEastAsia"/>
          <w:szCs w:val="20"/>
          <w:rtl/>
        </w:rPr>
        <w:t xml:space="preserve"> </w:t>
      </w:r>
      <w:r w:rsidRPr="00B13A52">
        <w:rPr>
          <w:rFonts w:eastAsiaTheme="minorEastAsia"/>
          <w:rtl/>
        </w:rPr>
        <w:t xml:space="preserve">عن تسجيل الطلب أو النظر فيه. ويترتب على ذلك أن طلبها لا بد وأن يكون قد امتثل للشروط الشكلية الأساسية المذكورة فيه. </w:t>
      </w:r>
    </w:p>
    <w:p w14:paraId="0283BF72" w14:textId="7A721851"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4</w:t>
      </w:r>
      <w:r w:rsidRPr="00B13A52">
        <w:rPr>
          <w:rFonts w:eastAsiaTheme="minorEastAsia"/>
          <w:szCs w:val="20"/>
          <w:rtl/>
        </w:rPr>
        <w:t>-</w:t>
      </w:r>
      <w:r w:rsidRPr="00A315B0">
        <w:rPr>
          <w:rFonts w:eastAsiaTheme="minorEastAsia"/>
          <w:szCs w:val="20"/>
          <w:rtl/>
        </w:rPr>
        <w:t>7</w:t>
      </w:r>
      <w:r w:rsidRPr="00B13A52">
        <w:rPr>
          <w:rFonts w:eastAsiaTheme="minorEastAsia"/>
          <w:rtl/>
        </w:rPr>
        <w:tab/>
        <w:t xml:space="preserve">وعلاوة على ذلك، لا يوجد في بلاغ صاحبة البلاغ إلى اللجنة ما يشير إلى أن طلبها المقدم إلى المحكمة الأوروبية في عام </w:t>
      </w:r>
      <w:r w:rsidRPr="00A315B0">
        <w:rPr>
          <w:rFonts w:eastAsiaTheme="minorEastAsia"/>
          <w:szCs w:val="20"/>
          <w:rtl/>
        </w:rPr>
        <w:t>2015</w:t>
      </w:r>
      <w:r w:rsidRPr="00B13A52">
        <w:rPr>
          <w:rFonts w:eastAsiaTheme="minorEastAsia"/>
          <w:rtl/>
        </w:rPr>
        <w:t xml:space="preserve"> لم يستوف المعايير المنصوص عليها في المادة </w:t>
      </w:r>
      <w:r w:rsidRPr="00A315B0">
        <w:rPr>
          <w:rFonts w:eastAsiaTheme="minorEastAsia"/>
          <w:szCs w:val="20"/>
          <w:rtl/>
        </w:rPr>
        <w:t>34</w:t>
      </w:r>
      <w:r w:rsidRPr="00B13A52">
        <w:rPr>
          <w:rFonts w:eastAsiaTheme="minorEastAsia"/>
          <w:rtl/>
        </w:rPr>
        <w:t xml:space="preserve"> من الاتفاقية الأوروبية لحقوق الإنسان. ولم تثبت صاحبة البلاغ أيضاً بالدليل أن أسباب عدم المقبولية المنصوص عليها في المادة </w:t>
      </w:r>
      <w:r w:rsidRPr="00A315B0">
        <w:rPr>
          <w:rFonts w:eastAsiaTheme="minorEastAsia"/>
          <w:szCs w:val="20"/>
          <w:rtl/>
        </w:rPr>
        <w:t>35</w:t>
      </w:r>
      <w:r w:rsidRPr="00B13A52">
        <w:rPr>
          <w:rFonts w:eastAsiaTheme="minorEastAsia"/>
          <w:szCs w:val="20"/>
          <w:rtl/>
        </w:rPr>
        <w:t>(</w:t>
      </w:r>
      <w:r w:rsidRPr="00A315B0">
        <w:rPr>
          <w:rFonts w:eastAsiaTheme="minorEastAsia"/>
          <w:szCs w:val="20"/>
          <w:rtl/>
        </w:rPr>
        <w:t>1</w:t>
      </w:r>
      <w:r w:rsidRPr="00B13A52">
        <w:rPr>
          <w:rFonts w:eastAsiaTheme="minorEastAsia"/>
          <w:szCs w:val="20"/>
          <w:rtl/>
        </w:rPr>
        <w:t>)</w:t>
      </w:r>
      <w:r w:rsidRPr="00B13A52">
        <w:rPr>
          <w:rFonts w:eastAsiaTheme="minorEastAsia"/>
          <w:rtl/>
        </w:rPr>
        <w:t xml:space="preserve"> من الاتفاقية هي التي طبقتها المحكمة الأوروبية في قضيتها. بل على العكس من ذلك، يبدو أن صاحبة البلاغ أثبتت على النحو الصحيح، في طلبها المقدم إلى المحكمة الأوروبية في عام</w:t>
      </w:r>
      <w:r w:rsidR="00C414B0" w:rsidRPr="00B13A52">
        <w:rPr>
          <w:rFonts w:eastAsiaTheme="minorEastAsia" w:hint="cs"/>
          <w:rtl/>
        </w:rPr>
        <w:t> </w:t>
      </w:r>
      <w:r w:rsidRPr="00A315B0">
        <w:rPr>
          <w:rFonts w:eastAsiaTheme="minorEastAsia"/>
          <w:szCs w:val="20"/>
          <w:rtl/>
        </w:rPr>
        <w:t>2015</w:t>
      </w:r>
      <w:r w:rsidRPr="00B13A52">
        <w:rPr>
          <w:rFonts w:eastAsiaTheme="minorEastAsia"/>
          <w:rtl/>
        </w:rPr>
        <w:t xml:space="preserve">، أنها استنفدت سبل الانتصاف المحلية وأنها امتثلت للمهلة الزمنية المحددة بستة أشهر. وعلاوة على ذلك، تلاحظ الدولة الطرف أن الطلب المقدم في عام </w:t>
      </w:r>
      <w:r w:rsidRPr="00A315B0">
        <w:rPr>
          <w:rFonts w:eastAsiaTheme="minorEastAsia"/>
          <w:szCs w:val="20"/>
          <w:rtl/>
        </w:rPr>
        <w:t>2015</w:t>
      </w:r>
      <w:r w:rsidRPr="00B13A52">
        <w:rPr>
          <w:rFonts w:eastAsiaTheme="minorEastAsia"/>
          <w:rtl/>
        </w:rPr>
        <w:t xml:space="preserve"> لم يكن مجهول المصدر. </w:t>
      </w:r>
    </w:p>
    <w:p w14:paraId="135421B4" w14:textId="457CD329"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4</w:t>
      </w:r>
      <w:r w:rsidRPr="00B13A52">
        <w:rPr>
          <w:rFonts w:eastAsiaTheme="minorEastAsia"/>
          <w:szCs w:val="20"/>
          <w:rtl/>
        </w:rPr>
        <w:t>-</w:t>
      </w:r>
      <w:r w:rsidRPr="00A315B0">
        <w:rPr>
          <w:rFonts w:eastAsiaTheme="minorEastAsia"/>
          <w:szCs w:val="20"/>
          <w:rtl/>
        </w:rPr>
        <w:t>8</w:t>
      </w:r>
      <w:r w:rsidRPr="00B13A52">
        <w:rPr>
          <w:rFonts w:eastAsiaTheme="minorEastAsia"/>
          <w:rtl/>
        </w:rPr>
        <w:tab/>
        <w:t xml:space="preserve">وفيما يتعلق بأساس عدم المقبولية المنصوص عليه في المادة </w:t>
      </w:r>
      <w:r w:rsidRPr="00A315B0">
        <w:rPr>
          <w:rFonts w:eastAsiaTheme="minorEastAsia"/>
          <w:szCs w:val="20"/>
          <w:rtl/>
        </w:rPr>
        <w:t>35</w:t>
      </w:r>
      <w:r w:rsidRPr="00B13A52">
        <w:rPr>
          <w:rFonts w:eastAsiaTheme="minorEastAsia"/>
          <w:szCs w:val="20"/>
          <w:rtl/>
        </w:rPr>
        <w:t>(</w:t>
      </w:r>
      <w:r w:rsidRPr="00A315B0">
        <w:rPr>
          <w:rFonts w:eastAsiaTheme="minorEastAsia"/>
          <w:szCs w:val="20"/>
          <w:rtl/>
        </w:rPr>
        <w:t>2</w:t>
      </w:r>
      <w:r w:rsidRPr="00B13A52">
        <w:rPr>
          <w:rFonts w:eastAsiaTheme="minorEastAsia"/>
          <w:szCs w:val="20"/>
          <w:rtl/>
        </w:rPr>
        <w:t>)(</w:t>
      </w:r>
      <w:r w:rsidRPr="00B13A52">
        <w:rPr>
          <w:rFonts w:eastAsiaTheme="minorEastAsia"/>
          <w:rtl/>
        </w:rPr>
        <w:t>ب</w:t>
      </w:r>
      <w:r w:rsidRPr="00B13A52">
        <w:rPr>
          <w:rFonts w:eastAsiaTheme="minorEastAsia"/>
          <w:szCs w:val="20"/>
          <w:rtl/>
        </w:rPr>
        <w:t>)</w:t>
      </w:r>
      <w:r w:rsidRPr="00B13A52">
        <w:rPr>
          <w:rFonts w:eastAsiaTheme="minorEastAsia"/>
          <w:rtl/>
        </w:rPr>
        <w:t xml:space="preserve"> من الاتفاقية الأوروبية لحقوق الإنسان، تؤكد الدولة الطرف أنه رغم أن صاحبة البلاغ قدمت في وقت سابق طلباً إلى المحكمة الأوروبية لحقوق الإنسان، فإن الطلب المقدم في عام </w:t>
      </w:r>
      <w:r w:rsidRPr="00A315B0">
        <w:rPr>
          <w:rFonts w:eastAsiaTheme="minorEastAsia"/>
          <w:szCs w:val="20"/>
          <w:rtl/>
        </w:rPr>
        <w:t>2013</w:t>
      </w:r>
      <w:r w:rsidRPr="00B13A52">
        <w:rPr>
          <w:rFonts w:eastAsiaTheme="minorEastAsia"/>
          <w:rtl/>
        </w:rPr>
        <w:t xml:space="preserve">، والطلب المقدم في عام </w:t>
      </w:r>
      <w:r w:rsidRPr="00A315B0">
        <w:rPr>
          <w:rFonts w:eastAsiaTheme="minorEastAsia"/>
          <w:szCs w:val="20"/>
          <w:rtl/>
        </w:rPr>
        <w:t>2015</w:t>
      </w:r>
      <w:r w:rsidRPr="00B13A52">
        <w:rPr>
          <w:rFonts w:eastAsiaTheme="minorEastAsia"/>
          <w:rtl/>
        </w:rPr>
        <w:t xml:space="preserve">، يتعلقان بتقييمات ضريبية محلية مختلفة وإجراءات قضائية مختلفة. ولذلك، لم يُعرض على اللجنة ما يُستنتج منه أن المحكمة الأوروبية أعلنت عدم قبول طلب صاحبة البلاغ المقدم في عام </w:t>
      </w:r>
      <w:r w:rsidRPr="00A315B0">
        <w:rPr>
          <w:rFonts w:eastAsiaTheme="minorEastAsia"/>
          <w:szCs w:val="20"/>
          <w:rtl/>
        </w:rPr>
        <w:t>2015</w:t>
      </w:r>
      <w:r w:rsidRPr="00B13A52">
        <w:rPr>
          <w:rFonts w:eastAsiaTheme="minorEastAsia"/>
          <w:rtl/>
        </w:rPr>
        <w:t xml:space="preserve"> لأن المحكمة نظرت المسألة نفسها في طلب صاحبة البلاغ المقدم في عام </w:t>
      </w:r>
      <w:r w:rsidRPr="00A315B0">
        <w:rPr>
          <w:rFonts w:eastAsiaTheme="minorEastAsia"/>
          <w:szCs w:val="20"/>
          <w:rtl/>
        </w:rPr>
        <w:t>2013</w:t>
      </w:r>
      <w:r w:rsidRPr="00B13A52">
        <w:rPr>
          <w:rFonts w:eastAsiaTheme="minorEastAsia"/>
          <w:rtl/>
        </w:rPr>
        <w:t xml:space="preserve"> لأغراض المادة </w:t>
      </w:r>
      <w:r w:rsidRPr="00A315B0">
        <w:rPr>
          <w:rFonts w:eastAsiaTheme="minorEastAsia"/>
          <w:szCs w:val="20"/>
          <w:rtl/>
        </w:rPr>
        <w:t>35</w:t>
      </w:r>
      <w:r w:rsidRPr="00B13A52">
        <w:rPr>
          <w:rFonts w:eastAsiaTheme="minorEastAsia"/>
          <w:szCs w:val="20"/>
          <w:rtl/>
        </w:rPr>
        <w:t>(</w:t>
      </w:r>
      <w:r w:rsidRPr="00A315B0">
        <w:rPr>
          <w:rFonts w:eastAsiaTheme="minorEastAsia"/>
          <w:szCs w:val="20"/>
          <w:rtl/>
        </w:rPr>
        <w:t>2</w:t>
      </w:r>
      <w:r w:rsidRPr="00B13A52">
        <w:rPr>
          <w:rFonts w:eastAsiaTheme="minorEastAsia"/>
          <w:szCs w:val="20"/>
          <w:rtl/>
        </w:rPr>
        <w:t>)(</w:t>
      </w:r>
      <w:r w:rsidRPr="00B13A52">
        <w:rPr>
          <w:rFonts w:eastAsiaTheme="minorEastAsia"/>
          <w:rtl/>
        </w:rPr>
        <w:t>ب</w:t>
      </w:r>
      <w:r w:rsidRPr="00B13A52">
        <w:rPr>
          <w:rFonts w:eastAsiaTheme="minorEastAsia"/>
          <w:szCs w:val="20"/>
          <w:rtl/>
        </w:rPr>
        <w:t>)</w:t>
      </w:r>
      <w:r w:rsidRPr="00B13A52">
        <w:rPr>
          <w:rFonts w:eastAsiaTheme="minorEastAsia"/>
          <w:rtl/>
        </w:rPr>
        <w:t xml:space="preserve"> من الاتفاقية. وفي حال توصلت اللجنة إلى استنتاج مختلف، ترى صاحبة البلاغ أنه ينبغي اعتبار أن طلبها المقدم في عام </w:t>
      </w:r>
      <w:r w:rsidRPr="00A315B0">
        <w:rPr>
          <w:rFonts w:eastAsiaTheme="minorEastAsia"/>
          <w:rtl/>
        </w:rPr>
        <w:t>2013</w:t>
      </w:r>
      <w:r w:rsidRPr="00B13A52">
        <w:rPr>
          <w:rFonts w:eastAsiaTheme="minorEastAsia"/>
          <w:rtl/>
        </w:rPr>
        <w:t xml:space="preserve"> لا يتعلق فقط بنفس المسألة التي يتناولها طلبها المقدم في عام </w:t>
      </w:r>
      <w:r w:rsidRPr="00A315B0">
        <w:rPr>
          <w:rFonts w:eastAsiaTheme="minorEastAsia"/>
          <w:szCs w:val="20"/>
          <w:rtl/>
        </w:rPr>
        <w:t>2015</w:t>
      </w:r>
      <w:r w:rsidRPr="00B13A52">
        <w:rPr>
          <w:rFonts w:eastAsiaTheme="minorEastAsia"/>
          <w:rtl/>
        </w:rPr>
        <w:t xml:space="preserve">، بل يتعلق أيضاً بالمسألة التي يتناولها طلبها الحالي إلى اللجنة. وفي هذه الحالة، ونظراً لصيغة قرار المحكمة الأوروبية بشأن الطلب المقدم في عام </w:t>
      </w:r>
      <w:r w:rsidRPr="00A315B0">
        <w:rPr>
          <w:rFonts w:eastAsiaTheme="minorEastAsia"/>
          <w:szCs w:val="20"/>
          <w:rtl/>
        </w:rPr>
        <w:t>2013</w:t>
      </w:r>
      <w:r w:rsidRPr="00B13A52">
        <w:rPr>
          <w:rFonts w:eastAsiaTheme="minorEastAsia"/>
          <w:rtl/>
        </w:rPr>
        <w:t xml:space="preserve">، الذي ينص صراحة على أن الطلب لا يكشف عن أي مظهر من مظاهر انتهاك الحقوق والحريات المنصوص عليها في الاتفاقية والبروتوكولات الملحقة بها، ينبغي أيضاً إعلان هذا البلاغ غير مقبول بموجب المادة </w:t>
      </w:r>
      <w:r w:rsidRPr="00A315B0">
        <w:rPr>
          <w:rFonts w:eastAsiaTheme="minorEastAsia"/>
          <w:szCs w:val="20"/>
          <w:rtl/>
        </w:rPr>
        <w:t>5</w:t>
      </w:r>
      <w:r w:rsidR="000918FC" w:rsidRPr="00B13A52">
        <w:rPr>
          <w:rFonts w:eastAsiaTheme="minorEastAsia"/>
          <w:szCs w:val="20"/>
          <w:rtl/>
        </w:rPr>
        <w:t>(</w:t>
      </w:r>
      <w:r w:rsidRPr="00A315B0">
        <w:rPr>
          <w:rFonts w:eastAsiaTheme="minorEastAsia"/>
          <w:szCs w:val="20"/>
          <w:rtl/>
        </w:rPr>
        <w:t>2</w:t>
      </w:r>
      <w:r w:rsidRPr="00B13A52">
        <w:rPr>
          <w:rFonts w:eastAsiaTheme="minorEastAsia"/>
          <w:szCs w:val="20"/>
          <w:rtl/>
        </w:rPr>
        <w:t>)</w:t>
      </w:r>
      <w:r w:rsidR="000918FC" w:rsidRPr="00B13A52">
        <w:rPr>
          <w:rFonts w:eastAsiaTheme="minorEastAsia"/>
          <w:szCs w:val="20"/>
          <w:rtl/>
        </w:rPr>
        <w:t>(</w:t>
      </w:r>
      <w:r w:rsidRPr="00B13A52">
        <w:rPr>
          <w:rFonts w:eastAsiaTheme="minorEastAsia"/>
          <w:rtl/>
        </w:rPr>
        <w:t>أ</w:t>
      </w:r>
      <w:r w:rsidRPr="00B13A52">
        <w:rPr>
          <w:rFonts w:eastAsiaTheme="minorEastAsia"/>
          <w:szCs w:val="20"/>
          <w:rtl/>
        </w:rPr>
        <w:t>)</w:t>
      </w:r>
      <w:r w:rsidRPr="00B13A52">
        <w:rPr>
          <w:rFonts w:eastAsiaTheme="minorEastAsia"/>
          <w:rtl/>
        </w:rPr>
        <w:t xml:space="preserve"> من البروتوكول الاختياري.</w:t>
      </w:r>
    </w:p>
    <w:p w14:paraId="1D9DAD18" w14:textId="7B7CBB1C"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4</w:t>
      </w:r>
      <w:r w:rsidRPr="00B13A52">
        <w:rPr>
          <w:rFonts w:eastAsiaTheme="minorEastAsia"/>
          <w:szCs w:val="20"/>
          <w:rtl/>
        </w:rPr>
        <w:t>-</w:t>
      </w:r>
      <w:r w:rsidRPr="00A315B0">
        <w:rPr>
          <w:rFonts w:eastAsiaTheme="minorEastAsia"/>
          <w:szCs w:val="20"/>
          <w:rtl/>
        </w:rPr>
        <w:t>9</w:t>
      </w:r>
      <w:r w:rsidRPr="00B13A52">
        <w:rPr>
          <w:rFonts w:eastAsiaTheme="minorEastAsia"/>
          <w:rtl/>
        </w:rPr>
        <w:tab/>
        <w:t xml:space="preserve">وبعد استبعاد تطبيق أغلبية أسس عدم المقبولية التي كان يمكن تطبيقها في قضية صاحبة البلاغ، تدفع الدولة الطرف كذلك بأن بقية أسباب عدم المقبولية المنصوص عليها في المادة </w:t>
      </w:r>
      <w:r w:rsidRPr="00A315B0">
        <w:rPr>
          <w:rFonts w:eastAsiaTheme="minorEastAsia"/>
          <w:szCs w:val="20"/>
          <w:rtl/>
        </w:rPr>
        <w:t>35</w:t>
      </w:r>
      <w:r w:rsidR="000918FC" w:rsidRPr="00B13A52">
        <w:rPr>
          <w:rFonts w:eastAsiaTheme="minorEastAsia"/>
          <w:szCs w:val="20"/>
          <w:rtl/>
        </w:rPr>
        <w:t>(</w:t>
      </w:r>
      <w:r w:rsidRPr="00A315B0">
        <w:rPr>
          <w:rFonts w:eastAsiaTheme="minorEastAsia"/>
          <w:szCs w:val="20"/>
          <w:rtl/>
        </w:rPr>
        <w:t>3</w:t>
      </w:r>
      <w:r w:rsidRPr="00B13A52">
        <w:rPr>
          <w:rFonts w:eastAsiaTheme="minorEastAsia"/>
          <w:szCs w:val="20"/>
          <w:rtl/>
        </w:rPr>
        <w:t>)</w:t>
      </w:r>
      <w:r w:rsidR="000918FC" w:rsidRPr="00B13A52">
        <w:rPr>
          <w:rFonts w:eastAsiaTheme="minorEastAsia"/>
          <w:szCs w:val="20"/>
          <w:rtl/>
        </w:rPr>
        <w:t>(</w:t>
      </w:r>
      <w:r w:rsidRPr="00B13A52">
        <w:rPr>
          <w:rFonts w:eastAsiaTheme="minorEastAsia"/>
          <w:rtl/>
        </w:rPr>
        <w:t>أ</w:t>
      </w:r>
      <w:r w:rsidRPr="00B13A52">
        <w:rPr>
          <w:rFonts w:eastAsiaTheme="minorEastAsia"/>
          <w:szCs w:val="20"/>
          <w:rtl/>
        </w:rPr>
        <w:t>)</w:t>
      </w:r>
      <w:r w:rsidRPr="00B13A52">
        <w:rPr>
          <w:rFonts w:eastAsiaTheme="minorEastAsia"/>
          <w:rtl/>
        </w:rPr>
        <w:t xml:space="preserve"> و(ب) من الاتفاقية الأوروبية لحقوق الإنسان يجب أن تنطوي على درجة معينة من دراسة الأسس الموضوعية للقضية. ولذلك من الواضح أن الأسس الموضوعية لقضية صاحبة البلاغ بُحثت في إطار</w:t>
      </w:r>
      <w:r w:rsidRPr="00B13A52">
        <w:rPr>
          <w:rFonts w:eastAsiaTheme="minorEastAsia"/>
          <w:szCs w:val="20"/>
          <w:rtl/>
        </w:rPr>
        <w:t xml:space="preserve"> </w:t>
      </w:r>
      <w:r w:rsidRPr="00B13A52">
        <w:rPr>
          <w:rFonts w:eastAsiaTheme="minorEastAsia"/>
          <w:rtl/>
        </w:rPr>
        <w:t xml:space="preserve">إجراء آخر من إجراءات التحقيق الدولي أو التسوية الدولية. </w:t>
      </w:r>
    </w:p>
    <w:p w14:paraId="45062CC3" w14:textId="77777777" w:rsidR="00211607" w:rsidRPr="00B13A52" w:rsidRDefault="00211607" w:rsidP="007232E9">
      <w:pPr>
        <w:pStyle w:val="H23GA"/>
        <w:rPr>
          <w:rFonts w:eastAsiaTheme="minorEastAsia"/>
          <w:szCs w:val="20"/>
          <w:lang w:val="ar-SA" w:eastAsia="zh-TW" w:bidi="en-GB"/>
        </w:rPr>
      </w:pPr>
      <w:r w:rsidRPr="00B13A52">
        <w:rPr>
          <w:rFonts w:eastAsiaTheme="minorEastAsia"/>
          <w:rtl/>
        </w:rPr>
        <w:tab/>
      </w:r>
      <w:r w:rsidRPr="00B13A52">
        <w:rPr>
          <w:rFonts w:eastAsiaTheme="minorEastAsia"/>
          <w:rtl/>
        </w:rPr>
        <w:tab/>
        <w:t>تعليقات صاحبة البلاغ على ملاحظات الدولة الطرف بشأن المقبولية</w:t>
      </w:r>
    </w:p>
    <w:p w14:paraId="18F013C7" w14:textId="065FB5A2"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5</w:t>
      </w:r>
      <w:r w:rsidRPr="00B13A52">
        <w:rPr>
          <w:rFonts w:eastAsiaTheme="minorEastAsia"/>
          <w:szCs w:val="20"/>
          <w:rtl/>
        </w:rPr>
        <w:t>-</w:t>
      </w:r>
      <w:r w:rsidRPr="00A315B0">
        <w:rPr>
          <w:rFonts w:eastAsiaTheme="minorEastAsia"/>
          <w:szCs w:val="20"/>
          <w:rtl/>
        </w:rPr>
        <w:t>1</w:t>
      </w:r>
      <w:r w:rsidRPr="00B13A52">
        <w:rPr>
          <w:rFonts w:eastAsiaTheme="minorEastAsia"/>
          <w:rtl/>
        </w:rPr>
        <w:tab/>
        <w:t xml:space="preserve">في </w:t>
      </w:r>
      <w:r w:rsidRPr="00A315B0">
        <w:rPr>
          <w:rFonts w:eastAsiaTheme="minorEastAsia"/>
          <w:szCs w:val="20"/>
          <w:rtl/>
        </w:rPr>
        <w:t>9</w:t>
      </w:r>
      <w:r w:rsidRPr="00B13A52">
        <w:rPr>
          <w:rFonts w:eastAsiaTheme="minorEastAsia"/>
          <w:rtl/>
        </w:rPr>
        <w:t xml:space="preserve"> كانون الأول/ديسمبر </w:t>
      </w:r>
      <w:r w:rsidRPr="00A315B0">
        <w:rPr>
          <w:rFonts w:eastAsiaTheme="minorEastAsia"/>
          <w:szCs w:val="20"/>
          <w:rtl/>
        </w:rPr>
        <w:t>2016</w:t>
      </w:r>
      <w:r w:rsidRPr="00B13A52">
        <w:rPr>
          <w:rFonts w:eastAsiaTheme="minorEastAsia"/>
          <w:rtl/>
        </w:rPr>
        <w:t xml:space="preserve">، قدمت صاحبة البلاغ تعليقاتها على ملاحظات الدولة الطرف بشأن المقبولية. وتوافق صاحبة البلاغ على استنتاج الدولة الطرف أن طلبها المقدم إلى المحكمة الأوروبية لحقوق الإنسان في عام </w:t>
      </w:r>
      <w:r w:rsidRPr="00A315B0">
        <w:rPr>
          <w:rFonts w:eastAsiaTheme="minorEastAsia"/>
          <w:szCs w:val="20"/>
          <w:rtl/>
        </w:rPr>
        <w:t>2013</w:t>
      </w:r>
      <w:r w:rsidRPr="00B13A52">
        <w:rPr>
          <w:rFonts w:eastAsiaTheme="minorEastAsia"/>
          <w:rtl/>
        </w:rPr>
        <w:t xml:space="preserve"> يختلف عن طلبها المقدم في عام </w:t>
      </w:r>
      <w:r w:rsidRPr="00A315B0">
        <w:rPr>
          <w:rFonts w:eastAsiaTheme="minorEastAsia"/>
          <w:szCs w:val="20"/>
          <w:rtl/>
        </w:rPr>
        <w:t>2015</w:t>
      </w:r>
      <w:r w:rsidRPr="00B13A52">
        <w:rPr>
          <w:rFonts w:eastAsiaTheme="minorEastAsia"/>
          <w:rtl/>
        </w:rPr>
        <w:t xml:space="preserve"> وعن بلاغها الحالي إلى اللجنة، من حيث وقائع القضية والادعاءات المثارة فيها. وهي توافق أيضاً على أن بلاغها هذا إلى اللجنة، وكذلك طلبها المقدم إلى المحكمة الأوروبية في عام </w:t>
      </w:r>
      <w:r w:rsidRPr="00A315B0">
        <w:rPr>
          <w:rFonts w:eastAsiaTheme="minorEastAsia"/>
          <w:szCs w:val="20"/>
          <w:rtl/>
        </w:rPr>
        <w:t>2015</w:t>
      </w:r>
      <w:r w:rsidRPr="00B13A52">
        <w:rPr>
          <w:rFonts w:eastAsiaTheme="minorEastAsia"/>
          <w:szCs w:val="20"/>
          <w:rtl/>
        </w:rPr>
        <w:t>،</w:t>
      </w:r>
      <w:r w:rsidRPr="00B13A52">
        <w:rPr>
          <w:rFonts w:eastAsiaTheme="minorEastAsia"/>
          <w:rtl/>
        </w:rPr>
        <w:t xml:space="preserve"> يطرحان نفس المسائل القانونية </w:t>
      </w:r>
      <w:proofErr w:type="spellStart"/>
      <w:r w:rsidRPr="00B13A52">
        <w:rPr>
          <w:rFonts w:eastAsiaTheme="minorEastAsia"/>
          <w:rtl/>
        </w:rPr>
        <w:t>والوقائعية</w:t>
      </w:r>
      <w:proofErr w:type="spellEnd"/>
      <w:r w:rsidRPr="00B13A52">
        <w:rPr>
          <w:rFonts w:eastAsiaTheme="minorEastAsia"/>
          <w:rtl/>
        </w:rPr>
        <w:t xml:space="preserve">، ويمكن اعتبارهما يتناولان ذات الموضوع لأغراض المادة </w:t>
      </w:r>
      <w:r w:rsidRPr="00A315B0">
        <w:rPr>
          <w:rFonts w:eastAsiaTheme="minorEastAsia"/>
          <w:szCs w:val="20"/>
          <w:rtl/>
        </w:rPr>
        <w:t>5</w:t>
      </w:r>
      <w:r w:rsidRPr="00B13A52">
        <w:rPr>
          <w:rFonts w:eastAsiaTheme="minorEastAsia"/>
          <w:szCs w:val="20"/>
          <w:rtl/>
        </w:rPr>
        <w:t>(</w:t>
      </w:r>
      <w:r w:rsidRPr="00A315B0">
        <w:rPr>
          <w:rFonts w:eastAsiaTheme="minorEastAsia"/>
          <w:szCs w:val="20"/>
          <w:rtl/>
        </w:rPr>
        <w:t>2</w:t>
      </w:r>
      <w:r w:rsidRPr="00B13A52">
        <w:rPr>
          <w:rFonts w:eastAsiaTheme="minorEastAsia"/>
          <w:szCs w:val="20"/>
          <w:rtl/>
        </w:rPr>
        <w:t>)(</w:t>
      </w:r>
      <w:r w:rsidRPr="00B13A52">
        <w:rPr>
          <w:rFonts w:eastAsiaTheme="minorEastAsia"/>
          <w:rtl/>
        </w:rPr>
        <w:t>أ</w:t>
      </w:r>
      <w:r w:rsidRPr="00B13A52">
        <w:rPr>
          <w:rFonts w:eastAsiaTheme="minorEastAsia"/>
          <w:szCs w:val="20"/>
          <w:rtl/>
        </w:rPr>
        <w:t>)</w:t>
      </w:r>
      <w:r w:rsidRPr="00B13A52">
        <w:rPr>
          <w:rFonts w:eastAsiaTheme="minorEastAsia"/>
          <w:rtl/>
        </w:rPr>
        <w:t xml:space="preserve"> من البروتوكول الاختياري. ومن جهة أخرى، تطعن صاحبة البلاغ في أن المحكمة الأوروبية نظرت في الأسس الموضوعية لطلبها المقدم في عام </w:t>
      </w:r>
      <w:r w:rsidRPr="00A315B0">
        <w:rPr>
          <w:rFonts w:eastAsiaTheme="minorEastAsia"/>
          <w:szCs w:val="20"/>
          <w:rtl/>
        </w:rPr>
        <w:t>2015</w:t>
      </w:r>
      <w:r w:rsidRPr="00B13A52">
        <w:rPr>
          <w:rFonts w:eastAsiaTheme="minorEastAsia"/>
          <w:szCs w:val="20"/>
          <w:rtl/>
        </w:rPr>
        <w:t>.</w:t>
      </w:r>
      <w:r w:rsidRPr="00B13A52">
        <w:rPr>
          <w:rFonts w:eastAsiaTheme="minorEastAsia"/>
          <w:rtl/>
        </w:rPr>
        <w:t xml:space="preserve"> وفي هذا الصدد، تدفع صاحبة البلاغ بأن اللجنة خلصت أيضاً، حتى في الحالات التي لم</w:t>
      </w:r>
      <w:r w:rsidR="000918FC" w:rsidRPr="00B13A52">
        <w:rPr>
          <w:rFonts w:eastAsiaTheme="minorEastAsia" w:hint="cs"/>
          <w:rtl/>
        </w:rPr>
        <w:t> </w:t>
      </w:r>
      <w:r w:rsidRPr="00B13A52">
        <w:rPr>
          <w:rFonts w:eastAsiaTheme="minorEastAsia"/>
          <w:rtl/>
        </w:rPr>
        <w:t>تجد فيها المحكمة الأوروبية أي مظهر لانتهاك الحقوق والحريات التي تكفلها الاتفاقية الأوروبية لحقوق الإنسان والبروتوكولات الملحقة بها، إلى أن التعليل المحدود والوجيز العبارات الوارد في رسالة المحكمة لا</w:t>
      </w:r>
      <w:r w:rsidR="000918FC" w:rsidRPr="00B13A52">
        <w:rPr>
          <w:rFonts w:eastAsiaTheme="minorEastAsia" w:hint="cs"/>
          <w:rtl/>
        </w:rPr>
        <w:t> </w:t>
      </w:r>
      <w:r w:rsidRPr="00B13A52">
        <w:rPr>
          <w:rFonts w:eastAsiaTheme="minorEastAsia"/>
          <w:rtl/>
        </w:rPr>
        <w:t>يسمح للجنة بافتراض أن النظر في القضية شمل النظر بما فيه الكفاية في الأسس الموضوعية</w:t>
      </w:r>
      <w:r w:rsidR="007232E9" w:rsidRPr="00B13A52">
        <w:rPr>
          <w:rStyle w:val="FootnoteReference"/>
          <w:rFonts w:eastAsiaTheme="minorEastAsia"/>
          <w:rtl/>
        </w:rPr>
        <w:t>(</w:t>
      </w:r>
      <w:r w:rsidR="007232E9" w:rsidRPr="00A315B0">
        <w:rPr>
          <w:rStyle w:val="FootnoteReference"/>
          <w:rFonts w:eastAsiaTheme="minorEastAsia"/>
          <w:rtl/>
        </w:rPr>
        <w:footnoteReference w:id="10"/>
      </w:r>
      <w:r w:rsidR="007232E9" w:rsidRPr="00B13A52">
        <w:rPr>
          <w:rStyle w:val="FootnoteReference"/>
          <w:rFonts w:eastAsiaTheme="minorEastAsia"/>
          <w:rtl/>
        </w:rPr>
        <w:t>)</w:t>
      </w:r>
      <w:r w:rsidR="005267A7">
        <w:rPr>
          <w:rFonts w:eastAsiaTheme="minorEastAsia" w:hint="cs"/>
          <w:rtl/>
        </w:rPr>
        <w:t>.</w:t>
      </w:r>
    </w:p>
    <w:p w14:paraId="4D337217"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5</w:t>
      </w:r>
      <w:r w:rsidRPr="00B13A52">
        <w:rPr>
          <w:rFonts w:eastAsiaTheme="minorEastAsia"/>
          <w:szCs w:val="20"/>
          <w:rtl/>
        </w:rPr>
        <w:t>-</w:t>
      </w:r>
      <w:r w:rsidRPr="00A315B0">
        <w:rPr>
          <w:rFonts w:eastAsiaTheme="minorEastAsia"/>
          <w:szCs w:val="20"/>
          <w:rtl/>
        </w:rPr>
        <w:t>2</w:t>
      </w:r>
      <w:r w:rsidRPr="00B13A52">
        <w:rPr>
          <w:rFonts w:eastAsiaTheme="minorEastAsia"/>
          <w:rtl/>
        </w:rPr>
        <w:tab/>
        <w:t xml:space="preserve">وفيما يتعلق بطلب صاحبة البلاغ المقدم في عام </w:t>
      </w:r>
      <w:r w:rsidRPr="00A315B0">
        <w:rPr>
          <w:rFonts w:eastAsiaTheme="minorEastAsia"/>
          <w:szCs w:val="20"/>
          <w:rtl/>
        </w:rPr>
        <w:t>2015</w:t>
      </w:r>
      <w:r w:rsidRPr="00B13A52">
        <w:rPr>
          <w:rFonts w:eastAsiaTheme="minorEastAsia"/>
          <w:rtl/>
        </w:rPr>
        <w:t xml:space="preserve">، تشير صاحبة البلاغ إلى أنه تم البت فيه من قِبل محكمة مشكلة من قاض واحد، وأن القرار ينص بشكل قاطع على أن المحكمة الأوروبية لحقوق الإنسان خلصت إلى أن معايير المقبولية المنصوص عليها في المادتين </w:t>
      </w:r>
      <w:r w:rsidRPr="00A315B0">
        <w:rPr>
          <w:rFonts w:eastAsiaTheme="minorEastAsia"/>
          <w:szCs w:val="20"/>
          <w:rtl/>
        </w:rPr>
        <w:t>34</w:t>
      </w:r>
      <w:r w:rsidRPr="00B13A52">
        <w:rPr>
          <w:rFonts w:eastAsiaTheme="minorEastAsia"/>
          <w:rtl/>
        </w:rPr>
        <w:t xml:space="preserve"> و</w:t>
      </w:r>
      <w:r w:rsidRPr="00A315B0">
        <w:rPr>
          <w:rFonts w:eastAsiaTheme="minorEastAsia"/>
          <w:szCs w:val="20"/>
          <w:rtl/>
        </w:rPr>
        <w:t>35</w:t>
      </w:r>
      <w:r w:rsidRPr="00B13A52">
        <w:rPr>
          <w:rFonts w:eastAsiaTheme="minorEastAsia"/>
          <w:rtl/>
        </w:rPr>
        <w:t xml:space="preserve"> من الاتفاقية الأوروبية لحقوق الإنسان لم تُستوف. ولذلك، ينبغي التمييز بين هذه القضية والقضايا الأخرى التي رأت فيها اللجنة أن قرار عدم المقبولية الصادر عن المحكمة الأوروبية منعها من دراسة الشكوى. وتشير صاحبة البلاغ إلى أن حجج الدولة الطرف مجرد تكهنات بشأن ما كان يمكن أن يشكل الأساس الدقيق لقرار المحكمة الأوروبية بعدم المقبولية. وفيما يتعلق أيضاً بالعتبة التي حددتها اللجنة في قضية </w:t>
      </w:r>
      <w:proofErr w:type="spellStart"/>
      <w:r w:rsidRPr="00B13A52">
        <w:rPr>
          <w:rFonts w:eastAsiaTheme="minorEastAsia"/>
          <w:i/>
          <w:iCs/>
          <w:rtl/>
        </w:rPr>
        <w:t>بويرتاس</w:t>
      </w:r>
      <w:proofErr w:type="spellEnd"/>
      <w:r w:rsidRPr="00B13A52">
        <w:rPr>
          <w:rFonts w:eastAsiaTheme="minorEastAsia"/>
          <w:i/>
          <w:iCs/>
          <w:rtl/>
        </w:rPr>
        <w:t xml:space="preserve"> ضد إسبانيا </w:t>
      </w:r>
      <w:r w:rsidRPr="00B13A52">
        <w:rPr>
          <w:rFonts w:eastAsiaTheme="minorEastAsia"/>
          <w:rtl/>
        </w:rPr>
        <w:t xml:space="preserve">من حيث ما يشكل دراسة وافية للقضية لأغراض المادة </w:t>
      </w:r>
      <w:r w:rsidRPr="00A315B0">
        <w:rPr>
          <w:rFonts w:eastAsiaTheme="minorEastAsia"/>
          <w:szCs w:val="20"/>
          <w:rtl/>
        </w:rPr>
        <w:t>5</w:t>
      </w:r>
      <w:r w:rsidRPr="00B13A52">
        <w:rPr>
          <w:rFonts w:eastAsiaTheme="minorEastAsia"/>
          <w:szCs w:val="20"/>
          <w:rtl/>
        </w:rPr>
        <w:t>(</w:t>
      </w:r>
      <w:r w:rsidRPr="00A315B0">
        <w:rPr>
          <w:rFonts w:eastAsiaTheme="minorEastAsia"/>
          <w:szCs w:val="20"/>
          <w:rtl/>
        </w:rPr>
        <w:t>2</w:t>
      </w:r>
      <w:r w:rsidRPr="00B13A52">
        <w:rPr>
          <w:rFonts w:eastAsiaTheme="minorEastAsia"/>
          <w:szCs w:val="20"/>
          <w:rtl/>
        </w:rPr>
        <w:t>)(</w:t>
      </w:r>
      <w:r w:rsidRPr="00B13A52">
        <w:rPr>
          <w:rFonts w:eastAsiaTheme="minorEastAsia"/>
          <w:rtl/>
        </w:rPr>
        <w:t>أ</w:t>
      </w:r>
      <w:r w:rsidRPr="00B13A52">
        <w:rPr>
          <w:rFonts w:eastAsiaTheme="minorEastAsia"/>
          <w:szCs w:val="20"/>
          <w:rtl/>
        </w:rPr>
        <w:t>)</w:t>
      </w:r>
      <w:r w:rsidRPr="00B13A52">
        <w:rPr>
          <w:rFonts w:eastAsiaTheme="minorEastAsia"/>
          <w:rtl/>
        </w:rPr>
        <w:t xml:space="preserve"> من البروتوكول الاختياري، تخلص صاحبة البلاغ إلى أنه لم يُعرض على اللجنة ما يُستخلص منه أن المحكمة الأوروبية تناولت الأسس الموضوعية لطلبها المقدم في عام </w:t>
      </w:r>
      <w:r w:rsidRPr="00A315B0">
        <w:rPr>
          <w:rFonts w:eastAsiaTheme="minorEastAsia"/>
          <w:szCs w:val="20"/>
          <w:rtl/>
        </w:rPr>
        <w:t>2015</w:t>
      </w:r>
      <w:r w:rsidRPr="00B13A52">
        <w:rPr>
          <w:rFonts w:eastAsiaTheme="minorEastAsia"/>
          <w:rtl/>
        </w:rPr>
        <w:t xml:space="preserve"> وتدعو صاحبة البلاغ اللجنة إلى إعلان مقبولية بلاغها. </w:t>
      </w:r>
    </w:p>
    <w:p w14:paraId="49ACAA0E" w14:textId="77777777" w:rsidR="00211607" w:rsidRPr="00B13A52" w:rsidRDefault="00211607" w:rsidP="007232E9">
      <w:pPr>
        <w:pStyle w:val="H23GA"/>
        <w:rPr>
          <w:rFonts w:eastAsiaTheme="minorEastAsia"/>
          <w:szCs w:val="20"/>
          <w:lang w:val="ar-SA" w:eastAsia="zh-TW" w:bidi="en-GB"/>
        </w:rPr>
      </w:pPr>
      <w:r w:rsidRPr="00B13A52">
        <w:rPr>
          <w:rFonts w:eastAsiaTheme="minorEastAsia"/>
          <w:rtl/>
        </w:rPr>
        <w:tab/>
      </w:r>
      <w:r w:rsidRPr="00B13A52">
        <w:rPr>
          <w:rFonts w:eastAsiaTheme="minorEastAsia"/>
          <w:rtl/>
        </w:rPr>
        <w:tab/>
        <w:t>ملاحظات إضافية من الدولة الطرف</w:t>
      </w:r>
    </w:p>
    <w:p w14:paraId="0004C2CA"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1</w:t>
      </w:r>
      <w:r w:rsidRPr="00B13A52">
        <w:rPr>
          <w:rFonts w:eastAsiaTheme="minorEastAsia"/>
          <w:rtl/>
        </w:rPr>
        <w:tab/>
        <w:t xml:space="preserve">في مذكرة شفوية مؤرخة </w:t>
      </w:r>
      <w:r w:rsidRPr="00A315B0">
        <w:rPr>
          <w:rFonts w:eastAsiaTheme="minorEastAsia"/>
          <w:szCs w:val="20"/>
          <w:rtl/>
        </w:rPr>
        <w:t>22</w:t>
      </w:r>
      <w:r w:rsidRPr="00B13A52">
        <w:rPr>
          <w:rFonts w:eastAsiaTheme="minorEastAsia"/>
          <w:rtl/>
        </w:rPr>
        <w:t xml:space="preserve"> شباط/فبراير </w:t>
      </w:r>
      <w:r w:rsidRPr="00A315B0">
        <w:rPr>
          <w:rFonts w:eastAsiaTheme="minorEastAsia"/>
          <w:szCs w:val="20"/>
          <w:rtl/>
        </w:rPr>
        <w:t>2018</w:t>
      </w:r>
      <w:r w:rsidRPr="00B13A52">
        <w:rPr>
          <w:rFonts w:eastAsiaTheme="minorEastAsia"/>
          <w:rtl/>
        </w:rPr>
        <w:t xml:space="preserve">، كررت الدولة الطرف جزئياً، واستكملت جزئياً، حججها المتعلقة بمقبولية الشكوى، وقدمت ملاحظاتها بشأن الأسس الموضوعية. </w:t>
      </w:r>
    </w:p>
    <w:p w14:paraId="51B181D8" w14:textId="7137B1D1"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2</w:t>
      </w:r>
      <w:r w:rsidRPr="00B13A52">
        <w:rPr>
          <w:rFonts w:eastAsiaTheme="minorEastAsia"/>
          <w:rtl/>
        </w:rPr>
        <w:tab/>
        <w:t>وتقدم الدولة الطرف وصفاً للقوانين والإجراءات المحلية ذات الصلة ومعلومات عن الفقه القضائي المعمول به من قِبل السلطات المحلية</w:t>
      </w:r>
      <w:r w:rsidR="007232E9" w:rsidRPr="00B13A52">
        <w:rPr>
          <w:rStyle w:val="FootnoteReference"/>
          <w:rFonts w:eastAsiaTheme="minorEastAsia"/>
          <w:rtl/>
        </w:rPr>
        <w:t>(</w:t>
      </w:r>
      <w:r w:rsidR="007232E9" w:rsidRPr="00A315B0">
        <w:rPr>
          <w:rStyle w:val="FootnoteReference"/>
          <w:rFonts w:eastAsiaTheme="minorEastAsia"/>
          <w:rtl/>
        </w:rPr>
        <w:footnoteReference w:id="11"/>
      </w:r>
      <w:r w:rsidR="007232E9" w:rsidRPr="00B13A52">
        <w:rPr>
          <w:rStyle w:val="FootnoteReference"/>
          <w:rFonts w:eastAsiaTheme="minorEastAsia"/>
          <w:rtl/>
        </w:rPr>
        <w:t>)</w:t>
      </w:r>
      <w:r w:rsidR="00C414B0" w:rsidRPr="00B13A52">
        <w:rPr>
          <w:rFonts w:eastAsiaTheme="minorEastAsia" w:hint="cs"/>
          <w:rtl/>
        </w:rPr>
        <w:t>.</w:t>
      </w:r>
      <w:r w:rsidRPr="00B13A52">
        <w:rPr>
          <w:rFonts w:eastAsiaTheme="minorEastAsia"/>
          <w:rtl/>
        </w:rPr>
        <w:t xml:space="preserve"> وتدفع بأنه، لأغراض الالتزام بدفع الضرائب المطعون فيها، يعني مصطلح "العمل" </w:t>
      </w:r>
      <w:r w:rsidR="000918FC" w:rsidRPr="00B13A52">
        <w:rPr>
          <w:rFonts w:eastAsiaTheme="minorEastAsia" w:cs="Times New Roman"/>
          <w:szCs w:val="20"/>
          <w:lang w:val="en-US"/>
        </w:rPr>
        <w:t>(</w:t>
      </w:r>
      <w:proofErr w:type="spellStart"/>
      <w:r w:rsidRPr="005267A7">
        <w:rPr>
          <w:rFonts w:eastAsiaTheme="minorEastAsia" w:cs="Times New Roman"/>
          <w:i/>
          <w:iCs/>
          <w:szCs w:val="20"/>
        </w:rPr>
        <w:t>tjänst</w:t>
      </w:r>
      <w:proofErr w:type="spellEnd"/>
      <w:r w:rsidRPr="00B13A52">
        <w:rPr>
          <w:rFonts w:eastAsiaTheme="minorEastAsia" w:cs="Times New Roman"/>
          <w:szCs w:val="20"/>
          <w:lang w:val="en-US"/>
        </w:rPr>
        <w:t>)</w:t>
      </w:r>
      <w:r w:rsidR="00183A66" w:rsidRPr="00B13A52">
        <w:rPr>
          <w:rStyle w:val="FootnoteReference"/>
          <w:rFonts w:eastAsiaTheme="minorEastAsia"/>
          <w:rtl/>
        </w:rPr>
        <w:t>(</w:t>
      </w:r>
      <w:r w:rsidR="00183A66" w:rsidRPr="00A315B0">
        <w:rPr>
          <w:rStyle w:val="FootnoteReference"/>
          <w:rFonts w:eastAsiaTheme="minorEastAsia"/>
          <w:rtl/>
        </w:rPr>
        <w:footnoteReference w:id="12"/>
      </w:r>
      <w:r w:rsidR="00183A66" w:rsidRPr="00B13A52">
        <w:rPr>
          <w:rStyle w:val="FootnoteReference"/>
          <w:rFonts w:eastAsiaTheme="minorEastAsia"/>
          <w:rtl/>
        </w:rPr>
        <w:t>)</w:t>
      </w:r>
      <w:r w:rsidRPr="00B13A52">
        <w:rPr>
          <w:rFonts w:eastAsiaTheme="minorEastAsia"/>
          <w:rtl/>
        </w:rPr>
        <w:t xml:space="preserve"> وظيفة أو </w:t>
      </w:r>
      <w:r w:rsidRPr="00B13A52">
        <w:rPr>
          <w:rFonts w:eastAsiaTheme="minorEastAsia"/>
          <w:rtl/>
          <w:lang w:val="fr-CH"/>
        </w:rPr>
        <w:t>مهمة عمل</w:t>
      </w:r>
      <w:r w:rsidRPr="00B13A52">
        <w:rPr>
          <w:rFonts w:eastAsiaTheme="minorEastAsia"/>
          <w:rtl/>
        </w:rPr>
        <w:t xml:space="preserve"> أو نشاطاً آخر مدراً للدخل ذا طابع دائم أو</w:t>
      </w:r>
      <w:r w:rsidR="000918FC" w:rsidRPr="00B13A52">
        <w:rPr>
          <w:rFonts w:eastAsiaTheme="minorEastAsia" w:hint="cs"/>
          <w:rtl/>
        </w:rPr>
        <w:t> </w:t>
      </w:r>
      <w:r w:rsidRPr="00B13A52">
        <w:rPr>
          <w:rFonts w:eastAsiaTheme="minorEastAsia"/>
          <w:rtl/>
        </w:rPr>
        <w:t>مؤقت</w:t>
      </w:r>
      <w:r w:rsidR="00C414B0" w:rsidRPr="00B13A52">
        <w:rPr>
          <w:rFonts w:eastAsiaTheme="minorEastAsia" w:hint="cs"/>
          <w:rtl/>
        </w:rPr>
        <w:t>.</w:t>
      </w:r>
      <w:r w:rsidRPr="00B13A52">
        <w:rPr>
          <w:rFonts w:eastAsiaTheme="minorEastAsia"/>
          <w:rtl/>
        </w:rPr>
        <w:t xml:space="preserve"> ويتعين اعتبار كلٍّ من الأجور، والرسوم، والتعويض عن النفقات، والمعاشات التقاعدية، والاستحقاقات، وجميع الإيرادات الأخرى الآتية من الوظيفة، مصدر دخل، ما لم ينص التشريع المحلي على خلاف ذلك. أما الهدايا أو المنح التعليمية أو المنح الأخرى المقدمة لأغراض أخرى غير التعليم فهي معفاة من الضرائب ما دامت لا تشكل مكافأة عن العمل ولا تُدفع بشكل دوري.</w:t>
      </w:r>
    </w:p>
    <w:p w14:paraId="21CF19BB" w14:textId="6BF59116"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3</w:t>
      </w:r>
      <w:r w:rsidRPr="00B13A52">
        <w:rPr>
          <w:rFonts w:eastAsiaTheme="minorEastAsia"/>
          <w:rtl/>
        </w:rPr>
        <w:tab/>
        <w:t>وتؤكد الدولة الطرف أنه لا يوجد في القانون السويدي نص يكفل إعفاءً ضريبياً عاماً لأعضاء بعض الطوائف الدينية. وتضيف أنه ربما تكون محاكم أقل درجة قد أصدرت في وقت سابق قرارات حكمت فيها بأن الأجر الذي يحصل عليه أعضاء بعض الطوائف الدينية لا يخضع للضرائب. ومع ذلك، لا يوجد سوى قرار واحد صدر مؤخراً بشأن هذه المسألة، أصدرته المحكمة الإدارية العليا، وهو يشكل الآن سابقة قضائية. و</w:t>
      </w:r>
      <w:r w:rsidRPr="00B13A52">
        <w:rPr>
          <w:rFonts w:eastAsiaTheme="minorEastAsia"/>
          <w:rtl/>
          <w:lang w:val="fr-CH"/>
        </w:rPr>
        <w:t xml:space="preserve">قد </w:t>
      </w:r>
      <w:r w:rsidRPr="00B13A52">
        <w:rPr>
          <w:rFonts w:eastAsiaTheme="minorEastAsia"/>
          <w:rtl/>
        </w:rPr>
        <w:t xml:space="preserve">أيَّد هذا القرار الحكم المسبق الذي أصدره مجلس الأحكام الضريبية المسبقة وألزم فيه مقدم الطلب، الذي كان عضواً في الجماعة ويعمل في مرفق </w:t>
      </w:r>
      <w:proofErr w:type="spellStart"/>
      <w:r w:rsidRPr="00B13A52">
        <w:rPr>
          <w:rFonts w:eastAsiaTheme="minorEastAsia"/>
          <w:rtl/>
        </w:rPr>
        <w:t>بيثيل</w:t>
      </w:r>
      <w:proofErr w:type="spellEnd"/>
      <w:r w:rsidRPr="00B13A52">
        <w:rPr>
          <w:rFonts w:eastAsiaTheme="minorEastAsia"/>
          <w:rtl/>
        </w:rPr>
        <w:t>، بأن يعلن عن الإعانات التي يحصل عليها (السكن المجاني والوجبات والمدفوعات) بوصفها دخلاً من العمل</w:t>
      </w:r>
      <w:r w:rsidR="007232E9" w:rsidRPr="00B13A52">
        <w:rPr>
          <w:rStyle w:val="FootnoteReference"/>
          <w:rFonts w:eastAsiaTheme="minorEastAsia"/>
          <w:rtl/>
        </w:rPr>
        <w:t>(</w:t>
      </w:r>
      <w:r w:rsidR="007232E9" w:rsidRPr="00A315B0">
        <w:rPr>
          <w:rStyle w:val="FootnoteReference"/>
          <w:rFonts w:eastAsiaTheme="minorEastAsia"/>
          <w:rtl/>
        </w:rPr>
        <w:footnoteReference w:id="13"/>
      </w:r>
      <w:r w:rsidR="007232E9" w:rsidRPr="00B13A52">
        <w:rPr>
          <w:rStyle w:val="FootnoteReference"/>
          <w:rFonts w:eastAsiaTheme="minorEastAsia"/>
          <w:rtl/>
        </w:rPr>
        <w:t>)</w:t>
      </w:r>
      <w:r w:rsidR="00C414B0" w:rsidRPr="00B13A52">
        <w:rPr>
          <w:rStyle w:val="FootnoteReference"/>
          <w:rFonts w:eastAsiaTheme="minorEastAsia" w:hint="cs"/>
          <w:vertAlign w:val="baseline"/>
          <w:rtl/>
        </w:rPr>
        <w:t>.</w:t>
      </w:r>
    </w:p>
    <w:p w14:paraId="211AEF9B" w14:textId="1A999F89"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4</w:t>
      </w:r>
      <w:r w:rsidRPr="00B13A52">
        <w:rPr>
          <w:rFonts w:eastAsiaTheme="minorEastAsia"/>
          <w:rtl/>
        </w:rPr>
        <w:tab/>
        <w:t>وفي هذا الصدد، توضح الدولة الطرف أن مجلس الأحكام الضريبية المسبقة يعمل بشكل مماثل للمحكمة. ويصدر المجلس قرارات مسبقة ملزمة بشأن المسائل الضريبية، إن كان ذلك مهما بالنسبة لحالة معينة أو لتفسير القانون أو تطبيقه بشكل موحد. والحكم المسبق ملزم لهيئة الضرائب السويدية وللمحكمة الإدارية العامة، إذا طلب الشخص الذي يطلب الحكم ذلك. غير أنه إذا أيدت المحكمة الإدارية العليا حكما مسبقاً، يكون هذا الحكم ملزِماً كأي سابقة أخرى تقررها المحكمة الإدارية العليا، ولو لم يُقدم طلب</w:t>
      </w:r>
      <w:r w:rsidR="00C414B0" w:rsidRPr="00B13A52">
        <w:rPr>
          <w:rFonts w:eastAsiaTheme="minorEastAsia" w:hint="cs"/>
          <w:rtl/>
        </w:rPr>
        <w:t> </w:t>
      </w:r>
      <w:r w:rsidRPr="00B13A52">
        <w:rPr>
          <w:rFonts w:eastAsiaTheme="minorEastAsia"/>
          <w:rtl/>
        </w:rPr>
        <w:t>بذلك.</w:t>
      </w:r>
    </w:p>
    <w:p w14:paraId="2166CA87" w14:textId="7D205CA5"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5</w:t>
      </w:r>
      <w:r w:rsidRPr="00B13A52">
        <w:rPr>
          <w:rFonts w:eastAsiaTheme="minorEastAsia"/>
          <w:rtl/>
        </w:rPr>
        <w:tab/>
        <w:t>وفيما يتعلق بالقواعد الإجرائية، تشير الدولة الطرف إلى أن الإجراءات المتخذة في المحاكم الإدارية يجب أن تكون مكتوبة. ويجوز عقد جلسة شفوية إذا اعتُبرت مفيدة للتحقيق أو كانت تساعد على سرعة البت في القضية. وعلاوة على ذلك، تُعقد جلسة شفوية في المحكمة الإدارية أو محكمة الاستئناف الإدارية إذا استُوفيت الشروط التالية: أن يطلب الشخص المقيم للدعوى ذلك؛ وأن تكون الجلسة غير ضرورية؛ وألا توجد أسباب خاصة لعدم القيام بذلك</w:t>
      </w:r>
      <w:r w:rsidR="007232E9" w:rsidRPr="00B13A52">
        <w:rPr>
          <w:rStyle w:val="FootnoteReference"/>
          <w:rFonts w:eastAsiaTheme="minorEastAsia"/>
          <w:rtl/>
        </w:rPr>
        <w:t>(</w:t>
      </w:r>
      <w:r w:rsidR="007232E9" w:rsidRPr="00A315B0">
        <w:rPr>
          <w:rStyle w:val="FootnoteReference"/>
          <w:rFonts w:eastAsiaTheme="minorEastAsia"/>
          <w:rtl/>
        </w:rPr>
        <w:footnoteReference w:id="14"/>
      </w:r>
      <w:r w:rsidR="007232E9" w:rsidRPr="00B13A52">
        <w:rPr>
          <w:rStyle w:val="FootnoteReference"/>
          <w:rFonts w:eastAsiaTheme="minorEastAsia"/>
          <w:rtl/>
        </w:rPr>
        <w:t>)</w:t>
      </w:r>
      <w:bookmarkStart w:id="1" w:name="_Hlk57992133"/>
      <w:bookmarkEnd w:id="1"/>
      <w:r w:rsidR="00C414B0" w:rsidRPr="00B13A52">
        <w:rPr>
          <w:rFonts w:eastAsiaTheme="minorEastAsia" w:hint="cs"/>
          <w:rtl/>
        </w:rPr>
        <w:t>.</w:t>
      </w:r>
    </w:p>
    <w:p w14:paraId="7F745FE0" w14:textId="69FB47FF" w:rsidR="00211607" w:rsidRPr="00B13A52" w:rsidRDefault="00211607" w:rsidP="00211607">
      <w:pPr>
        <w:pStyle w:val="SingleTxtGA"/>
        <w:rPr>
          <w:rFonts w:eastAsiaTheme="minorEastAsia"/>
          <w:szCs w:val="20"/>
          <w:lang w:val="en-US"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6</w:t>
      </w:r>
      <w:r w:rsidRPr="00B13A52">
        <w:rPr>
          <w:rFonts w:eastAsiaTheme="minorEastAsia"/>
          <w:rtl/>
        </w:rPr>
        <w:tab/>
        <w:t xml:space="preserve">وفيما يتعلق بوقائع القضية، تدفع الدولة الطرف بأن صاحبة البلاغ قدمت في عام </w:t>
      </w:r>
      <w:r w:rsidRPr="00A315B0">
        <w:rPr>
          <w:rFonts w:eastAsiaTheme="minorEastAsia"/>
          <w:szCs w:val="20"/>
          <w:rtl/>
        </w:rPr>
        <w:t>2013</w:t>
      </w:r>
      <w:r w:rsidRPr="00B13A52">
        <w:rPr>
          <w:rFonts w:eastAsiaTheme="minorEastAsia"/>
          <w:rtl/>
        </w:rPr>
        <w:t>، بالاشتراك مع أعضاء آخرين ف</w:t>
      </w:r>
      <w:r w:rsidR="00183A66">
        <w:rPr>
          <w:rFonts w:eastAsiaTheme="minorEastAsia" w:hint="cs"/>
          <w:rtl/>
        </w:rPr>
        <w:t xml:space="preserve">ي </w:t>
      </w:r>
      <w:r w:rsidRPr="00B13A52">
        <w:rPr>
          <w:rFonts w:eastAsiaTheme="minorEastAsia"/>
          <w:rtl/>
        </w:rPr>
        <w:t>الجماعة، طلباً إلى مستشار شؤون العدالة في السويد</w:t>
      </w:r>
      <w:r w:rsidR="007232E9" w:rsidRPr="00B13A52">
        <w:rPr>
          <w:rStyle w:val="FootnoteReference"/>
          <w:rFonts w:eastAsiaTheme="minorEastAsia"/>
          <w:rtl/>
        </w:rPr>
        <w:t>(</w:t>
      </w:r>
      <w:r w:rsidR="007232E9" w:rsidRPr="00A315B0">
        <w:rPr>
          <w:rStyle w:val="FootnoteReference"/>
          <w:rFonts w:eastAsiaTheme="minorEastAsia"/>
          <w:rtl/>
        </w:rPr>
        <w:footnoteReference w:id="15"/>
      </w:r>
      <w:r w:rsidR="007232E9" w:rsidRPr="00B13A52">
        <w:rPr>
          <w:rStyle w:val="FootnoteReference"/>
          <w:rFonts w:eastAsiaTheme="minorEastAsia"/>
          <w:rtl/>
        </w:rPr>
        <w:t>)</w:t>
      </w:r>
      <w:r w:rsidR="00C414B0" w:rsidRPr="00B13A52">
        <w:rPr>
          <w:rFonts w:eastAsiaTheme="minorEastAsia" w:hint="cs"/>
          <w:rtl/>
        </w:rPr>
        <w:t>.</w:t>
      </w:r>
      <w:r w:rsidRPr="00B13A52">
        <w:rPr>
          <w:rFonts w:eastAsiaTheme="minorEastAsia"/>
          <w:rtl/>
        </w:rPr>
        <w:t xml:space="preserve"> وقد ادعوا في طلبهم أن التقديرات الضريبية لدخلهم عن الفترة </w:t>
      </w:r>
      <w:r w:rsidRPr="00A315B0">
        <w:rPr>
          <w:rFonts w:eastAsiaTheme="minorEastAsia"/>
          <w:szCs w:val="20"/>
          <w:rtl/>
        </w:rPr>
        <w:t>2005</w:t>
      </w:r>
      <w:r w:rsidRPr="00B13A52">
        <w:rPr>
          <w:rFonts w:eastAsiaTheme="minorEastAsia"/>
          <w:szCs w:val="20"/>
          <w:rtl/>
        </w:rPr>
        <w:t>-</w:t>
      </w:r>
      <w:r w:rsidRPr="00A315B0">
        <w:rPr>
          <w:rFonts w:eastAsiaTheme="minorEastAsia"/>
          <w:szCs w:val="20"/>
          <w:rtl/>
        </w:rPr>
        <w:t>2011</w:t>
      </w:r>
      <w:r w:rsidRPr="00B13A52">
        <w:rPr>
          <w:rFonts w:eastAsiaTheme="minorEastAsia"/>
          <w:rtl/>
        </w:rPr>
        <w:t xml:space="preserve"> تنتهك المواد </w:t>
      </w:r>
      <w:r w:rsidRPr="00A315B0">
        <w:rPr>
          <w:rFonts w:eastAsiaTheme="minorEastAsia"/>
          <w:szCs w:val="20"/>
          <w:rtl/>
        </w:rPr>
        <w:t>6</w:t>
      </w:r>
      <w:r w:rsidRPr="00B13A52">
        <w:rPr>
          <w:rFonts w:eastAsiaTheme="minorEastAsia"/>
          <w:rtl/>
        </w:rPr>
        <w:t xml:space="preserve"> و</w:t>
      </w:r>
      <w:r w:rsidRPr="00A315B0">
        <w:rPr>
          <w:rFonts w:eastAsiaTheme="minorEastAsia"/>
          <w:szCs w:val="20"/>
          <w:rtl/>
        </w:rPr>
        <w:t>9</w:t>
      </w:r>
      <w:r w:rsidRPr="00B13A52">
        <w:rPr>
          <w:rFonts w:eastAsiaTheme="minorEastAsia"/>
          <w:rtl/>
        </w:rPr>
        <w:t xml:space="preserve"> و</w:t>
      </w:r>
      <w:r w:rsidRPr="00A315B0">
        <w:rPr>
          <w:rFonts w:eastAsiaTheme="minorEastAsia"/>
          <w:szCs w:val="20"/>
          <w:rtl/>
        </w:rPr>
        <w:t>14</w:t>
      </w:r>
      <w:r w:rsidRPr="00B13A52">
        <w:rPr>
          <w:rFonts w:eastAsiaTheme="minorEastAsia"/>
          <w:rtl/>
        </w:rPr>
        <w:t xml:space="preserve"> من الاتفاقية </w:t>
      </w:r>
      <w:r w:rsidRPr="00B13A52">
        <w:rPr>
          <w:rFonts w:eastAsiaTheme="minorEastAsia"/>
          <w:spacing w:val="-4"/>
          <w:rtl/>
        </w:rPr>
        <w:t xml:space="preserve">الأوروبية لحقوق الإنسان والمادة </w:t>
      </w:r>
      <w:r w:rsidRPr="00A315B0">
        <w:rPr>
          <w:rFonts w:eastAsiaTheme="minorEastAsia"/>
          <w:spacing w:val="-4"/>
          <w:szCs w:val="20"/>
          <w:rtl/>
        </w:rPr>
        <w:t>1</w:t>
      </w:r>
      <w:r w:rsidRPr="00B13A52">
        <w:rPr>
          <w:rFonts w:eastAsiaTheme="minorEastAsia"/>
          <w:spacing w:val="-4"/>
          <w:rtl/>
        </w:rPr>
        <w:t xml:space="preserve"> من البروتوكول رقم </w:t>
      </w:r>
      <w:r w:rsidRPr="00A315B0">
        <w:rPr>
          <w:rFonts w:eastAsiaTheme="minorEastAsia"/>
          <w:spacing w:val="-4"/>
          <w:szCs w:val="20"/>
          <w:rtl/>
        </w:rPr>
        <w:t>1</w:t>
      </w:r>
      <w:r w:rsidRPr="00B13A52">
        <w:rPr>
          <w:rFonts w:eastAsiaTheme="minorEastAsia"/>
          <w:spacing w:val="-4"/>
          <w:rtl/>
        </w:rPr>
        <w:t xml:space="preserve"> الملحق بالاتفاقية. وفي </w:t>
      </w:r>
      <w:r w:rsidRPr="00A315B0">
        <w:rPr>
          <w:rFonts w:eastAsiaTheme="minorEastAsia"/>
          <w:spacing w:val="-4"/>
          <w:szCs w:val="20"/>
          <w:rtl/>
        </w:rPr>
        <w:t>14</w:t>
      </w:r>
      <w:r w:rsidRPr="00B13A52">
        <w:rPr>
          <w:rFonts w:eastAsiaTheme="minorEastAsia"/>
          <w:spacing w:val="-4"/>
          <w:rtl/>
        </w:rPr>
        <w:t xml:space="preserve"> كانون الثاني/يناير </w:t>
      </w:r>
      <w:r w:rsidRPr="00A315B0">
        <w:rPr>
          <w:rFonts w:eastAsiaTheme="minorEastAsia"/>
          <w:spacing w:val="-4"/>
          <w:szCs w:val="20"/>
          <w:rtl/>
        </w:rPr>
        <w:t>2014</w:t>
      </w:r>
      <w:r w:rsidRPr="00B13A52">
        <w:rPr>
          <w:rFonts w:eastAsiaTheme="minorEastAsia"/>
          <w:spacing w:val="-4"/>
          <w:rtl/>
        </w:rPr>
        <w:t>،</w:t>
      </w:r>
      <w:r w:rsidRPr="00B13A52">
        <w:rPr>
          <w:rFonts w:eastAsiaTheme="minorEastAsia"/>
          <w:rtl/>
        </w:rPr>
        <w:t xml:space="preserve"> رُفض الالتماس صراحةً، ونص قرار الرفض على أن إلزام أصحاب البلاغ بدفع ال</w:t>
      </w:r>
      <w:r w:rsidRPr="00B13A52">
        <w:rPr>
          <w:rFonts w:eastAsiaTheme="minorEastAsia"/>
          <w:rtl/>
          <w:lang w:val="fr-CH"/>
        </w:rPr>
        <w:t>ضرائب</w:t>
      </w:r>
      <w:r w:rsidRPr="00B13A52">
        <w:rPr>
          <w:rFonts w:eastAsiaTheme="minorEastAsia"/>
          <w:rtl/>
        </w:rPr>
        <w:t xml:space="preserve"> لا يشكل انتهاكاً</w:t>
      </w:r>
      <w:r w:rsidR="000918FC" w:rsidRPr="00B13A52">
        <w:rPr>
          <w:rFonts w:eastAsiaTheme="minorEastAsia" w:hint="cs"/>
          <w:rtl/>
        </w:rPr>
        <w:t> </w:t>
      </w:r>
      <w:r w:rsidRPr="00B13A52">
        <w:rPr>
          <w:rFonts w:eastAsiaTheme="minorEastAsia"/>
          <w:rtl/>
        </w:rPr>
        <w:t>للاتفاقية.</w:t>
      </w:r>
    </w:p>
    <w:p w14:paraId="2E8F157A"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7</w:t>
      </w:r>
      <w:r w:rsidRPr="00B13A52">
        <w:rPr>
          <w:rFonts w:eastAsiaTheme="minorEastAsia"/>
          <w:rtl/>
        </w:rPr>
        <w:tab/>
        <w:t xml:space="preserve">وفيما يتعلق بمقبولية البلاغ، تكرر الدولة الطرف حججها المقدمة في </w:t>
      </w:r>
      <w:r w:rsidRPr="00A315B0">
        <w:rPr>
          <w:rFonts w:eastAsiaTheme="minorEastAsia"/>
          <w:szCs w:val="20"/>
          <w:rtl/>
        </w:rPr>
        <w:t>16</w:t>
      </w:r>
      <w:r w:rsidRPr="00B13A52">
        <w:rPr>
          <w:rFonts w:eastAsiaTheme="minorEastAsia"/>
          <w:rtl/>
        </w:rPr>
        <w:t xml:space="preserve"> أيار/مايو </w:t>
      </w:r>
      <w:r w:rsidRPr="00A315B0">
        <w:rPr>
          <w:rFonts w:eastAsiaTheme="minorEastAsia"/>
          <w:szCs w:val="20"/>
          <w:rtl/>
        </w:rPr>
        <w:t>2016</w:t>
      </w:r>
      <w:r w:rsidRPr="00B13A52">
        <w:rPr>
          <w:rFonts w:eastAsiaTheme="minorEastAsia"/>
          <w:szCs w:val="20"/>
          <w:rtl/>
        </w:rPr>
        <w:t>.</w:t>
      </w:r>
      <w:r w:rsidRPr="00B13A52">
        <w:rPr>
          <w:rFonts w:eastAsiaTheme="minorEastAsia"/>
          <w:rtl/>
        </w:rPr>
        <w:t xml:space="preserve"> وبالإضافة إلى ذلك، تدفع الدولة الطرف بأنه ينبغي اعتبار الشكوى غير مقبولة لعدم احتوائها على أدلة كافية تدعم الأسباب المدرجة في الطلب الذي يتناول الأسس الموضوعية للقضية.</w:t>
      </w:r>
    </w:p>
    <w:p w14:paraId="4237C1F6"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8</w:t>
      </w:r>
      <w:r w:rsidRPr="00B13A52">
        <w:rPr>
          <w:rFonts w:eastAsiaTheme="minorEastAsia"/>
          <w:rtl/>
        </w:rPr>
        <w:tab/>
        <w:t xml:space="preserve">وتحتج الدولة الطرف كذلك بأنه ما دامت الشكوى تستند إلى ادعاء صاحبة البلاغ بشأن عجزها عن العمل بسبب ضعف قدرتها البدنية، فيجب إعلان عدم قبول الشكوى لعدم استنفاد سبل الانتصاف المحلية لأن هذا الادعاء لم يُعرض على السلطات المحلية. </w:t>
      </w:r>
    </w:p>
    <w:p w14:paraId="7018CFA2"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9</w:t>
      </w:r>
      <w:r w:rsidRPr="00B13A52">
        <w:rPr>
          <w:rFonts w:eastAsiaTheme="minorEastAsia"/>
          <w:rtl/>
        </w:rPr>
        <w:tab/>
        <w:t xml:space="preserve">وفيما يتعلق بادعاءات صاحبة البلاغ بموجب المادة </w:t>
      </w:r>
      <w:r w:rsidRPr="00A315B0">
        <w:rPr>
          <w:rFonts w:eastAsiaTheme="minorEastAsia"/>
          <w:szCs w:val="20"/>
          <w:rtl/>
        </w:rPr>
        <w:t>14</w:t>
      </w:r>
      <w:r w:rsidRPr="00B13A52">
        <w:rPr>
          <w:rFonts w:eastAsiaTheme="minorEastAsia"/>
          <w:rtl/>
        </w:rPr>
        <w:t xml:space="preserve"> من العهد، تدعي الدولة الطرف أن صاحبة البلاغ لم تدفع أمام المحاكم المحلية بأنها اعتبرت المحاكمات غير عادلة أو تتعارض مع مبدأ تكافؤ وسائل الدفاع بسبب رفض طلبها عقد جلسة شفوية. وبالتالي، ينبغي أن يُعتبر هذا الجزء من البلاغ غير مقبول. </w:t>
      </w:r>
    </w:p>
    <w:p w14:paraId="02E26ED2" w14:textId="38263C98"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10</w:t>
      </w:r>
      <w:r w:rsidRPr="00B13A52">
        <w:rPr>
          <w:rFonts w:eastAsiaTheme="minorEastAsia"/>
          <w:rtl/>
        </w:rPr>
        <w:tab/>
        <w:t>وعلى أية حال، ينبغي أيضاً إعلان عدم مقبولية ادعاءات صاحبة البلاغ المقدمة بموجب المادة</w:t>
      </w:r>
      <w:r w:rsidR="00183A66">
        <w:rPr>
          <w:rFonts w:eastAsiaTheme="minorEastAsia" w:hint="cs"/>
          <w:rtl/>
        </w:rPr>
        <w:t> </w:t>
      </w:r>
      <w:r w:rsidRPr="00A315B0">
        <w:rPr>
          <w:rFonts w:eastAsiaTheme="minorEastAsia"/>
          <w:szCs w:val="20"/>
          <w:rtl/>
        </w:rPr>
        <w:t>14</w:t>
      </w:r>
      <w:r w:rsidRPr="00B13A52">
        <w:rPr>
          <w:rFonts w:eastAsiaTheme="minorEastAsia"/>
          <w:rtl/>
        </w:rPr>
        <w:t xml:space="preserve"> من العهد لكون هذه الادعاءات لا تتفق من حيث </w:t>
      </w:r>
      <w:r w:rsidRPr="00183A66">
        <w:rPr>
          <w:rFonts w:eastAsiaTheme="minorEastAsia"/>
          <w:i/>
          <w:iCs/>
          <w:rtl/>
        </w:rPr>
        <w:t>الاختصاص الموضوعي</w:t>
      </w:r>
      <w:r w:rsidRPr="00B13A52">
        <w:rPr>
          <w:rFonts w:eastAsiaTheme="minorEastAsia"/>
          <w:rtl/>
        </w:rPr>
        <w:t xml:space="preserve"> مع أحكام العهد. وفي هذا الصدد، تدفع الدولة الطرف بأنه لا يمكن اعتبار المنازعات الضريبية مرتبطة بالبت في الحقوق والالتزامات في دعوى مدنية، لا سيما في هذه القضية، لأن الإجراءات المحلية لم تتضمن عقوبة، مثل فرض ضريبة إضافية، أو لم تتعلق بالبت في تهمة جنائية. ويشمل مفهوم "الدعوى المدنية" الإجراءات </w:t>
      </w:r>
      <w:r w:rsidRPr="00183A66">
        <w:rPr>
          <w:rFonts w:eastAsiaTheme="minorEastAsia"/>
          <w:spacing w:val="-4"/>
          <w:rtl/>
        </w:rPr>
        <w:t>القضائية التي تهدف إلى البت في الحقوق والالتزامات المتعلقة بمجالات العقود والممتلكات والأضرار في مجال القانون الخاص، والمفاهيم المماثلة في مجال القانون الإداري</w:t>
      </w:r>
      <w:r w:rsidR="007232E9" w:rsidRPr="00183A66">
        <w:rPr>
          <w:rStyle w:val="FootnoteReference"/>
          <w:rFonts w:eastAsiaTheme="minorEastAsia"/>
          <w:spacing w:val="-4"/>
          <w:rtl/>
        </w:rPr>
        <w:t>(</w:t>
      </w:r>
      <w:r w:rsidR="007232E9" w:rsidRPr="00A315B0">
        <w:rPr>
          <w:rStyle w:val="FootnoteReference"/>
          <w:rFonts w:eastAsiaTheme="minorEastAsia"/>
          <w:spacing w:val="-4"/>
          <w:rtl/>
        </w:rPr>
        <w:footnoteReference w:id="16"/>
      </w:r>
      <w:r w:rsidR="007232E9" w:rsidRPr="00183A66">
        <w:rPr>
          <w:rStyle w:val="FootnoteReference"/>
          <w:rFonts w:eastAsiaTheme="minorEastAsia"/>
          <w:spacing w:val="-4"/>
          <w:rtl/>
        </w:rPr>
        <w:t>)</w:t>
      </w:r>
      <w:r w:rsidR="00C414B0" w:rsidRPr="00183A66">
        <w:rPr>
          <w:rFonts w:eastAsiaTheme="minorEastAsia" w:hint="cs"/>
          <w:spacing w:val="-4"/>
          <w:rtl/>
        </w:rPr>
        <w:t>.</w:t>
      </w:r>
      <w:r w:rsidRPr="00183A66">
        <w:rPr>
          <w:rFonts w:eastAsiaTheme="minorEastAsia"/>
          <w:spacing w:val="-4"/>
          <w:rtl/>
        </w:rPr>
        <w:t xml:space="preserve"> ورغم أن النسختين الإنكليزية للمادة </w:t>
      </w:r>
      <w:r w:rsidRPr="00A315B0">
        <w:rPr>
          <w:rFonts w:eastAsiaTheme="minorEastAsia"/>
          <w:spacing w:val="-4"/>
          <w:szCs w:val="20"/>
          <w:rtl/>
        </w:rPr>
        <w:t>14</w:t>
      </w:r>
      <w:r w:rsidRPr="00183A66">
        <w:rPr>
          <w:rFonts w:eastAsiaTheme="minorEastAsia"/>
          <w:spacing w:val="-4"/>
          <w:szCs w:val="20"/>
          <w:rtl/>
        </w:rPr>
        <w:t>(</w:t>
      </w:r>
      <w:r w:rsidRPr="00A315B0">
        <w:rPr>
          <w:rFonts w:eastAsiaTheme="minorEastAsia"/>
          <w:spacing w:val="-4"/>
          <w:szCs w:val="20"/>
          <w:rtl/>
        </w:rPr>
        <w:t>1</w:t>
      </w:r>
      <w:r w:rsidRPr="00183A66">
        <w:rPr>
          <w:rFonts w:eastAsiaTheme="minorEastAsia"/>
          <w:spacing w:val="-4"/>
          <w:szCs w:val="20"/>
          <w:rtl/>
        </w:rPr>
        <w:t>)</w:t>
      </w:r>
      <w:r w:rsidRPr="00183A66">
        <w:rPr>
          <w:rFonts w:eastAsiaTheme="minorEastAsia"/>
          <w:spacing w:val="-4"/>
          <w:rtl/>
        </w:rPr>
        <w:t xml:space="preserve"> من العهد وللمادة </w:t>
      </w:r>
      <w:r w:rsidRPr="00A315B0">
        <w:rPr>
          <w:rFonts w:eastAsiaTheme="minorEastAsia"/>
          <w:spacing w:val="-4"/>
          <w:szCs w:val="20"/>
          <w:rtl/>
        </w:rPr>
        <w:t>6</w:t>
      </w:r>
      <w:r w:rsidRPr="00183A66">
        <w:rPr>
          <w:rFonts w:eastAsiaTheme="minorEastAsia"/>
          <w:spacing w:val="-4"/>
          <w:szCs w:val="20"/>
          <w:rtl/>
        </w:rPr>
        <w:t>(</w:t>
      </w:r>
      <w:r w:rsidRPr="00A315B0">
        <w:rPr>
          <w:rFonts w:eastAsiaTheme="minorEastAsia"/>
          <w:spacing w:val="-4"/>
          <w:szCs w:val="20"/>
          <w:rtl/>
        </w:rPr>
        <w:t>1</w:t>
      </w:r>
      <w:r w:rsidRPr="00183A66">
        <w:rPr>
          <w:rFonts w:eastAsiaTheme="minorEastAsia"/>
          <w:spacing w:val="-4"/>
          <w:szCs w:val="20"/>
          <w:rtl/>
        </w:rPr>
        <w:t>)</w:t>
      </w:r>
      <w:r w:rsidRPr="00183A66">
        <w:rPr>
          <w:rFonts w:eastAsiaTheme="minorEastAsia"/>
          <w:spacing w:val="-4"/>
          <w:rtl/>
        </w:rPr>
        <w:t xml:space="preserve"> من الاتفاقية الأوروبية لحقوق الإنسان تختلفان بعض الشيء، فإن الصيغتين الفرنسيتين للمادتين تشددان بالمثل على الطابع المدني للحقوق والالتزامات المعنية. وعلاوة على ذلك، قضت اللجنة بالفعل</w:t>
      </w:r>
      <w:r w:rsidR="00183A66">
        <w:rPr>
          <w:rFonts w:eastAsiaTheme="minorEastAsia" w:hint="cs"/>
          <w:spacing w:val="-4"/>
          <w:rtl/>
        </w:rPr>
        <w:t> </w:t>
      </w:r>
      <w:r w:rsidRPr="00183A66">
        <w:rPr>
          <w:rFonts w:eastAsiaTheme="minorEastAsia"/>
          <w:spacing w:val="-2"/>
          <w:rtl/>
        </w:rPr>
        <w:t xml:space="preserve">بأن </w:t>
      </w:r>
      <w:r w:rsidRPr="00183A66">
        <w:rPr>
          <w:rFonts w:eastAsiaTheme="minorEastAsia"/>
          <w:spacing w:val="-2"/>
          <w:rtl/>
          <w:lang w:val="fr-CH"/>
        </w:rPr>
        <w:t>نص</w:t>
      </w:r>
      <w:r w:rsidRPr="00183A66">
        <w:rPr>
          <w:rFonts w:eastAsiaTheme="minorEastAsia"/>
          <w:spacing w:val="-2"/>
          <w:rtl/>
        </w:rPr>
        <w:t xml:space="preserve"> ونطاق المادة </w:t>
      </w:r>
      <w:r w:rsidRPr="00A315B0">
        <w:rPr>
          <w:rFonts w:eastAsiaTheme="minorEastAsia"/>
          <w:spacing w:val="-2"/>
          <w:szCs w:val="20"/>
          <w:rtl/>
        </w:rPr>
        <w:t>14</w:t>
      </w:r>
      <w:r w:rsidRPr="00183A66">
        <w:rPr>
          <w:rFonts w:eastAsiaTheme="minorEastAsia"/>
          <w:spacing w:val="-2"/>
          <w:szCs w:val="20"/>
          <w:rtl/>
        </w:rPr>
        <w:t>(</w:t>
      </w:r>
      <w:r w:rsidRPr="00A315B0">
        <w:rPr>
          <w:rFonts w:eastAsiaTheme="minorEastAsia"/>
          <w:spacing w:val="-2"/>
          <w:szCs w:val="20"/>
          <w:rtl/>
        </w:rPr>
        <w:t>1</w:t>
      </w:r>
      <w:r w:rsidRPr="00183A66">
        <w:rPr>
          <w:rFonts w:eastAsiaTheme="minorEastAsia"/>
          <w:spacing w:val="-2"/>
          <w:szCs w:val="20"/>
          <w:rtl/>
        </w:rPr>
        <w:t>)</w:t>
      </w:r>
      <w:r w:rsidRPr="00183A66">
        <w:rPr>
          <w:rFonts w:eastAsiaTheme="minorEastAsia"/>
          <w:spacing w:val="-2"/>
          <w:rtl/>
        </w:rPr>
        <w:t xml:space="preserve"> من العهد يتطابقان مع نص ونطاق المادة </w:t>
      </w:r>
      <w:r w:rsidRPr="00A315B0">
        <w:rPr>
          <w:rFonts w:eastAsiaTheme="minorEastAsia"/>
          <w:spacing w:val="-2"/>
          <w:szCs w:val="20"/>
          <w:rtl/>
        </w:rPr>
        <w:t>6</w:t>
      </w:r>
      <w:r w:rsidRPr="00183A66">
        <w:rPr>
          <w:rFonts w:eastAsiaTheme="minorEastAsia"/>
          <w:spacing w:val="-2"/>
          <w:szCs w:val="20"/>
          <w:rtl/>
        </w:rPr>
        <w:t>(</w:t>
      </w:r>
      <w:r w:rsidRPr="00A315B0">
        <w:rPr>
          <w:rFonts w:eastAsiaTheme="minorEastAsia"/>
          <w:spacing w:val="-2"/>
          <w:szCs w:val="20"/>
          <w:rtl/>
        </w:rPr>
        <w:t>1</w:t>
      </w:r>
      <w:r w:rsidRPr="00183A66">
        <w:rPr>
          <w:rFonts w:eastAsiaTheme="minorEastAsia"/>
          <w:spacing w:val="-2"/>
          <w:szCs w:val="20"/>
          <w:rtl/>
        </w:rPr>
        <w:t>)</w:t>
      </w:r>
      <w:r w:rsidRPr="00183A66">
        <w:rPr>
          <w:rFonts w:eastAsiaTheme="minorEastAsia"/>
          <w:spacing w:val="-2"/>
          <w:rtl/>
        </w:rPr>
        <w:t xml:space="preserve"> من الاتفاقية</w:t>
      </w:r>
      <w:r w:rsidR="007232E9" w:rsidRPr="00183A66">
        <w:rPr>
          <w:rStyle w:val="FootnoteReference"/>
          <w:rFonts w:eastAsiaTheme="minorEastAsia"/>
          <w:spacing w:val="-2"/>
          <w:rtl/>
        </w:rPr>
        <w:t>(</w:t>
      </w:r>
      <w:r w:rsidR="007232E9" w:rsidRPr="00A315B0">
        <w:rPr>
          <w:rStyle w:val="FootnoteReference"/>
          <w:rFonts w:eastAsiaTheme="minorEastAsia"/>
          <w:spacing w:val="-2"/>
          <w:rtl/>
        </w:rPr>
        <w:footnoteReference w:id="17"/>
      </w:r>
      <w:r w:rsidR="007232E9" w:rsidRPr="00183A66">
        <w:rPr>
          <w:rStyle w:val="FootnoteReference"/>
          <w:rFonts w:eastAsiaTheme="minorEastAsia"/>
          <w:spacing w:val="-2"/>
          <w:rtl/>
        </w:rPr>
        <w:t>)</w:t>
      </w:r>
      <w:r w:rsidR="00C414B0" w:rsidRPr="00183A66">
        <w:rPr>
          <w:rFonts w:eastAsiaTheme="minorEastAsia" w:hint="cs"/>
          <w:spacing w:val="-2"/>
          <w:rtl/>
        </w:rPr>
        <w:t>.</w:t>
      </w:r>
      <w:r w:rsidRPr="00183A66">
        <w:rPr>
          <w:rFonts w:eastAsiaTheme="minorEastAsia"/>
          <w:spacing w:val="-2"/>
          <w:rtl/>
        </w:rPr>
        <w:t xml:space="preserve"> ولذلك، </w:t>
      </w:r>
      <w:r w:rsidRPr="00183A66">
        <w:rPr>
          <w:rFonts w:eastAsiaTheme="minorEastAsia"/>
          <w:spacing w:val="-2"/>
          <w:rtl/>
          <w:lang w:val="fr-CH"/>
        </w:rPr>
        <w:t>م</w:t>
      </w:r>
      <w:r w:rsidRPr="00183A66">
        <w:rPr>
          <w:rFonts w:eastAsiaTheme="minorEastAsia"/>
          <w:spacing w:val="-2"/>
          <w:rtl/>
        </w:rPr>
        <w:t>ن</w:t>
      </w:r>
      <w:r w:rsidRPr="00B13A52">
        <w:rPr>
          <w:rFonts w:eastAsiaTheme="minorEastAsia"/>
          <w:rtl/>
        </w:rPr>
        <w:t xml:space="preserve"> المهم، وفقاً للسوابق القضائية للمحكمة الأوروبية لحقوق الإنسان، أن تخرج المنازعات الضريبية عن نطاق المادة </w:t>
      </w:r>
      <w:r w:rsidRPr="00A315B0">
        <w:rPr>
          <w:rFonts w:eastAsiaTheme="minorEastAsia"/>
          <w:szCs w:val="20"/>
          <w:rtl/>
        </w:rPr>
        <w:t>6</w:t>
      </w:r>
      <w:r w:rsidRPr="00B13A52">
        <w:rPr>
          <w:rFonts w:eastAsiaTheme="minorEastAsia"/>
          <w:szCs w:val="20"/>
          <w:rtl/>
        </w:rPr>
        <w:t>(</w:t>
      </w:r>
      <w:r w:rsidRPr="00A315B0">
        <w:rPr>
          <w:rFonts w:eastAsiaTheme="minorEastAsia"/>
          <w:szCs w:val="20"/>
          <w:rtl/>
        </w:rPr>
        <w:t>1</w:t>
      </w:r>
      <w:r w:rsidRPr="00B13A52">
        <w:rPr>
          <w:rFonts w:eastAsiaTheme="minorEastAsia"/>
          <w:szCs w:val="20"/>
          <w:rtl/>
        </w:rPr>
        <w:t>)</w:t>
      </w:r>
      <w:r w:rsidRPr="00B13A52">
        <w:rPr>
          <w:rFonts w:eastAsiaTheme="minorEastAsia"/>
          <w:rtl/>
        </w:rPr>
        <w:t xml:space="preserve"> من الاتفاقية</w:t>
      </w:r>
      <w:r w:rsidR="007232E9" w:rsidRPr="00B13A52">
        <w:rPr>
          <w:rStyle w:val="FootnoteReference"/>
          <w:rFonts w:eastAsiaTheme="minorEastAsia"/>
          <w:rtl/>
        </w:rPr>
        <w:t>(</w:t>
      </w:r>
      <w:r w:rsidR="007232E9" w:rsidRPr="00A315B0">
        <w:rPr>
          <w:rStyle w:val="FootnoteReference"/>
          <w:rFonts w:eastAsiaTheme="minorEastAsia"/>
          <w:rtl/>
        </w:rPr>
        <w:footnoteReference w:id="18"/>
      </w:r>
      <w:r w:rsidR="007232E9" w:rsidRPr="00B13A52">
        <w:rPr>
          <w:rStyle w:val="FootnoteReference"/>
          <w:rFonts w:eastAsiaTheme="minorEastAsia"/>
          <w:rtl/>
        </w:rPr>
        <w:t>)</w:t>
      </w:r>
      <w:r w:rsidR="00C414B0" w:rsidRPr="00B13A52">
        <w:rPr>
          <w:rFonts w:eastAsiaTheme="minorEastAsia" w:hint="cs"/>
          <w:rtl/>
        </w:rPr>
        <w:t>.</w:t>
      </w:r>
    </w:p>
    <w:p w14:paraId="43C2103B" w14:textId="7787F67D"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11</w:t>
      </w:r>
      <w:r w:rsidRPr="00B13A52">
        <w:rPr>
          <w:rFonts w:eastAsiaTheme="minorEastAsia"/>
          <w:rtl/>
        </w:rPr>
        <w:tab/>
        <w:t>وفيما يتعلق بالأسس الموضوعية للشكوى، تطعن الدولة الطرف في ادعاء صاحبة البلاغ أنها تعرضت للتمييز بسبب دينها بالمقارنة مع أعضاء الجماعات الدينية الأخرى</w:t>
      </w:r>
      <w:r w:rsidRPr="00B13A52">
        <w:rPr>
          <w:rFonts w:eastAsiaTheme="minorEastAsia"/>
          <w:szCs w:val="20"/>
          <w:rtl/>
        </w:rPr>
        <w:t xml:space="preserve"> </w:t>
      </w:r>
      <w:r w:rsidRPr="00B13A52">
        <w:rPr>
          <w:rFonts w:eastAsiaTheme="minorEastAsia"/>
          <w:rtl/>
        </w:rPr>
        <w:t xml:space="preserve">الذين هم في وضع مماثل. وتؤكد الدولة الطرف مجدداً عدم وجود أي أساس قانوني لإعفاء عضو أي جماعة دينية من الضرائب. والمسألة الحاسمة هي ما إذا كان ينبغي اعتبار المكافأة دخلاً من العمل لأغراض الأحكام ذات الصلة من قانون ضريبة الدخل. وفي هذا الصدد، لا تعترض الدولة الطرف على المعلومات التي قدمتها صاحبة البلاغ والتي تفيد بأن هيئة الضرائب السويدية ذكرت في ورقة موقف، قدمتها إلى مجلس الأحكام الضريبية المسبقة، أن الهيئة استقرت على أن السكن المجاني والوجبات المجانية ومصروف الجيب مُعفاة من الضرائب إذا قُدمت لأشخاص يعيشون فيما يمكن وصفه بأنه مجتمع محلي مماثل للدير. واستندت ورقة الموقف التي أعدتها هيئة الضرائب إلى ثلاثة أحكام أصدرتها محاكم أدنى درجة في الأعوام </w:t>
      </w:r>
      <w:r w:rsidRPr="00A315B0">
        <w:rPr>
          <w:rFonts w:eastAsiaTheme="minorEastAsia"/>
          <w:szCs w:val="20"/>
          <w:rtl/>
        </w:rPr>
        <w:t>1957</w:t>
      </w:r>
      <w:r w:rsidRPr="00B13A52">
        <w:rPr>
          <w:rFonts w:eastAsiaTheme="minorEastAsia"/>
          <w:rtl/>
        </w:rPr>
        <w:t xml:space="preserve"> و</w:t>
      </w:r>
      <w:r w:rsidRPr="00A315B0">
        <w:rPr>
          <w:rFonts w:eastAsiaTheme="minorEastAsia"/>
          <w:szCs w:val="20"/>
          <w:rtl/>
        </w:rPr>
        <w:t>1968</w:t>
      </w:r>
      <w:r w:rsidRPr="00B13A52">
        <w:rPr>
          <w:rFonts w:eastAsiaTheme="minorEastAsia"/>
          <w:rtl/>
        </w:rPr>
        <w:t xml:space="preserve"> و</w:t>
      </w:r>
      <w:r w:rsidRPr="00A315B0">
        <w:rPr>
          <w:rFonts w:eastAsiaTheme="minorEastAsia"/>
          <w:szCs w:val="20"/>
          <w:rtl/>
        </w:rPr>
        <w:t>1986</w:t>
      </w:r>
      <w:r w:rsidRPr="00B13A52">
        <w:rPr>
          <w:rFonts w:eastAsiaTheme="minorEastAsia"/>
          <w:rtl/>
        </w:rPr>
        <w:t xml:space="preserve">، وهي أحكام تشير إليها صاحبة البلاغ أيضاً. غير أن هذه الأحكام تعود إلى فترة تسبق الإصلاح الضريبي لعام </w:t>
      </w:r>
      <w:r w:rsidRPr="00A315B0">
        <w:rPr>
          <w:rFonts w:eastAsiaTheme="minorEastAsia"/>
          <w:szCs w:val="20"/>
          <w:rtl/>
        </w:rPr>
        <w:t>1990</w:t>
      </w:r>
      <w:r w:rsidRPr="00B13A52">
        <w:rPr>
          <w:rFonts w:eastAsiaTheme="minorEastAsia"/>
          <w:rtl/>
        </w:rPr>
        <w:t xml:space="preserve"> ودخول قانون ضريبة الدخل حيز النفاذ في </w:t>
      </w:r>
      <w:r w:rsidRPr="00A315B0">
        <w:rPr>
          <w:rFonts w:eastAsiaTheme="minorEastAsia"/>
          <w:szCs w:val="20"/>
          <w:rtl/>
        </w:rPr>
        <w:t>1</w:t>
      </w:r>
      <w:r w:rsidRPr="00B13A52">
        <w:rPr>
          <w:rFonts w:eastAsiaTheme="minorEastAsia"/>
          <w:rtl/>
        </w:rPr>
        <w:t xml:space="preserve"> كانون الثاني/يناير </w:t>
      </w:r>
      <w:r w:rsidRPr="00A315B0">
        <w:rPr>
          <w:rFonts w:eastAsiaTheme="minorEastAsia"/>
          <w:szCs w:val="20"/>
          <w:rtl/>
        </w:rPr>
        <w:t>2000</w:t>
      </w:r>
      <w:r w:rsidRPr="00B13A52">
        <w:rPr>
          <w:rFonts w:eastAsiaTheme="minorEastAsia"/>
          <w:szCs w:val="20"/>
          <w:rtl/>
        </w:rPr>
        <w:t>.</w:t>
      </w:r>
      <w:r w:rsidRPr="00B13A52">
        <w:rPr>
          <w:rFonts w:eastAsiaTheme="minorEastAsia"/>
          <w:rtl/>
        </w:rPr>
        <w:t xml:space="preserve"> </w:t>
      </w:r>
    </w:p>
    <w:p w14:paraId="06F58C25"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12</w:t>
      </w:r>
      <w:r w:rsidRPr="00B13A52">
        <w:rPr>
          <w:rFonts w:eastAsiaTheme="minorEastAsia"/>
          <w:rtl/>
        </w:rPr>
        <w:tab/>
        <w:t xml:space="preserve">وتشدد الدولة الطرف على أنه قبل صدور القرار المسبق لمجلس الأحكام الضريبية المسبقة، الذي أيدته المحكمة الإدارية العليا في قرار صدر في </w:t>
      </w:r>
      <w:r w:rsidRPr="00A315B0">
        <w:rPr>
          <w:rFonts w:eastAsiaTheme="minorEastAsia"/>
          <w:szCs w:val="20"/>
          <w:rtl/>
        </w:rPr>
        <w:t>30</w:t>
      </w:r>
      <w:r w:rsidRPr="00B13A52">
        <w:rPr>
          <w:rFonts w:eastAsiaTheme="minorEastAsia"/>
          <w:rtl/>
        </w:rPr>
        <w:t xml:space="preserve"> نيسان/أبريل </w:t>
      </w:r>
      <w:r w:rsidRPr="00A315B0">
        <w:rPr>
          <w:rFonts w:eastAsiaTheme="minorEastAsia"/>
          <w:szCs w:val="20"/>
          <w:rtl/>
        </w:rPr>
        <w:t>2012</w:t>
      </w:r>
      <w:r w:rsidRPr="00B13A52">
        <w:rPr>
          <w:rFonts w:eastAsiaTheme="minorEastAsia"/>
          <w:rtl/>
        </w:rPr>
        <w:t xml:space="preserve">، لم يصدر أي قرار ذي حجية يفسر القانون المنطبق على قضية صاحبة البلاغ. غير أن هذه الأحكام السابقة لا تسمح بالإعفاء من الضرائب المفروضة على الإعانات المقدمة للأشخاص الذين يعيشون في مجتمعات محلية مماثلة للأديرة. وبصرف النظر عن تلك القضايا القديمة جداً، لم تثبت صاحبة البلاغ صدور قرار أحدث عهداً بشأن المسألة نفسها من قِبل محاكم محلية غير المحكمة الإدارية العليا. ومن ثم، لم تبين صاحبة البلاغ وجود حالات مماثلة مُنح فيها الإعفاء. وفي هذا الصدد، تلاحظ الدولة الطرف أنها لا تستطيع قبول تأكيد صاحبة البلاغ أن أعضاء الجماعات الواردة أسماؤها في التذييل </w:t>
      </w:r>
      <w:r w:rsidRPr="00A315B0">
        <w:rPr>
          <w:rFonts w:eastAsiaTheme="minorEastAsia"/>
          <w:szCs w:val="20"/>
          <w:rtl/>
        </w:rPr>
        <w:t>26</w:t>
      </w:r>
      <w:r w:rsidRPr="00B13A52">
        <w:rPr>
          <w:rFonts w:eastAsiaTheme="minorEastAsia"/>
          <w:rtl/>
        </w:rPr>
        <w:t xml:space="preserve"> من البلاغ قد أُعفوا من الضرائب، دون أن تقدم صاحبة البلاغ أدلة إضافية. </w:t>
      </w:r>
    </w:p>
    <w:p w14:paraId="150E105B" w14:textId="4E1715E0" w:rsidR="00211607" w:rsidRPr="00B13A52" w:rsidRDefault="00211607" w:rsidP="00211607">
      <w:pPr>
        <w:pStyle w:val="SingleTxtGA"/>
        <w:rPr>
          <w:rFonts w:eastAsiaTheme="minorEastAsia"/>
          <w:rtl/>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13</w:t>
      </w:r>
      <w:r w:rsidRPr="00B13A52">
        <w:rPr>
          <w:rFonts w:eastAsiaTheme="minorEastAsia"/>
          <w:rtl/>
        </w:rPr>
        <w:tab/>
        <w:t>وفيما يتعلق بالمعايير التي يبدو أنها كانت مهمة في تقييم ما يوصف في القرار السابق بأنه عمل، تسلط الدولة الطرف الضوء على العناصر التالية: تعهُد مقدم الطلب تجاه</w:t>
      </w:r>
      <w:r w:rsidR="00CB5BE6" w:rsidRPr="00B13A52">
        <w:rPr>
          <w:rFonts w:eastAsiaTheme="minorEastAsia" w:hint="cs"/>
          <w:rtl/>
        </w:rPr>
        <w:t xml:space="preserve"> </w:t>
      </w:r>
      <w:r w:rsidRPr="00B13A52">
        <w:rPr>
          <w:rFonts w:eastAsiaTheme="minorEastAsia"/>
          <w:rtl/>
        </w:rPr>
        <w:t>الجماعة، ونوع العمل المنجز وكميته، والمكان الذي يُؤدى فيه العمل، والمجموعة المستهدفة. وقد ثبت في سياق إجراء هذا التقييم أن مقدم الطلب ألزم نفسه، بموجب التعهد الذي قطعه على نفسه عندما أصبح عضو</w:t>
      </w:r>
      <w:r w:rsidR="000918FC" w:rsidRPr="00B13A52">
        <w:rPr>
          <w:rFonts w:eastAsiaTheme="minorEastAsia"/>
          <w:rtl/>
        </w:rPr>
        <w:t xml:space="preserve">اً </w:t>
      </w:r>
      <w:r w:rsidRPr="00B13A52">
        <w:rPr>
          <w:rFonts w:eastAsiaTheme="minorEastAsia"/>
          <w:rtl/>
        </w:rPr>
        <w:t xml:space="preserve">في الجماعة، بأن يكون تحت تصرف الجماعة في أداء مهام مختلفة على أساس التفرغ، وأن يقبل ويتلقى مزايا من النوع الموصوف. وعلاوة على ذلك، عمل مقدم الطلب على أساس التفرغ في مرفق </w:t>
      </w:r>
      <w:proofErr w:type="spellStart"/>
      <w:r w:rsidRPr="00B13A52">
        <w:rPr>
          <w:rFonts w:eastAsiaTheme="minorEastAsia"/>
          <w:rtl/>
        </w:rPr>
        <w:t>بيثيل</w:t>
      </w:r>
      <w:proofErr w:type="spellEnd"/>
      <w:r w:rsidRPr="00B13A52">
        <w:rPr>
          <w:rFonts w:eastAsiaTheme="minorEastAsia"/>
          <w:rtl/>
        </w:rPr>
        <w:t xml:space="preserve"> لأداء مهام ذات طابع قانوني أو طابع آخر؛ وشارك بانتظام في أنشطة الجماعة في مدينة </w:t>
      </w:r>
      <w:proofErr w:type="spellStart"/>
      <w:r w:rsidRPr="00B13A52">
        <w:rPr>
          <w:rFonts w:eastAsiaTheme="minorEastAsia"/>
          <w:rtl/>
        </w:rPr>
        <w:t>أوريبرو</w:t>
      </w:r>
      <w:proofErr w:type="spellEnd"/>
      <w:r w:rsidRPr="00B13A52">
        <w:rPr>
          <w:rFonts w:eastAsiaTheme="minorEastAsia"/>
          <w:rtl/>
        </w:rPr>
        <w:t>، وهي أنشطة كُلف بها من قبل الجماعة؛ واضطلع بأعمال شملت نشر الرسالة الدينية للطائفة على الجمهور. وخلص مجلس الأحكام الضريبية المسبقة، بعد دراسة جميع هذه المعايير، إلى استنتاج معقول مفاده أن مقدم الطلب لا يمكن اعتباره متساوياً مع من يتلقون نوعاً من الدعم داخل أسرة معيشية ويُعفون بالتالي من الضرائب.</w:t>
      </w:r>
    </w:p>
    <w:p w14:paraId="3FDEEC87" w14:textId="77777777" w:rsidR="00211607" w:rsidRPr="00B13A52" w:rsidRDefault="00211607" w:rsidP="00211607">
      <w:pPr>
        <w:pStyle w:val="SingleTxtGA"/>
        <w:rPr>
          <w:rFonts w:eastAsiaTheme="minorEastAsia"/>
          <w:szCs w:val="20"/>
          <w:lang w:val="ar-SA" w:eastAsia="zh-TW" w:bidi="en-GB"/>
        </w:rPr>
      </w:pPr>
      <w:bookmarkStart w:id="2" w:name="_Hlk63360278"/>
      <w:r w:rsidRPr="00A315B0">
        <w:rPr>
          <w:rFonts w:eastAsiaTheme="minorEastAsia"/>
          <w:szCs w:val="20"/>
          <w:rtl/>
        </w:rPr>
        <w:t>6</w:t>
      </w:r>
      <w:r w:rsidRPr="00B13A52">
        <w:rPr>
          <w:rFonts w:eastAsiaTheme="minorEastAsia"/>
          <w:szCs w:val="20"/>
          <w:rtl/>
        </w:rPr>
        <w:t>-</w:t>
      </w:r>
      <w:r w:rsidRPr="00A315B0">
        <w:rPr>
          <w:rFonts w:eastAsiaTheme="minorEastAsia"/>
          <w:szCs w:val="20"/>
          <w:rtl/>
        </w:rPr>
        <w:t>14</w:t>
      </w:r>
      <w:r w:rsidRPr="00B13A52">
        <w:rPr>
          <w:rFonts w:eastAsiaTheme="minorEastAsia"/>
          <w:rtl/>
        </w:rPr>
        <w:tab/>
        <w:t>وفي قضية صاحبة البلاغ، رأت محكمة الاستئناف الإدارية أن ظروف قضيتها مطابقة إلى حد كبير لظروف القضية السابقة. غير أن صاحبة البلاغ، وفقاً للمحكمة، لم توضح الطريقة التي تختلف بها أعمالها وإنجازاتها عن تلك التي تناولها الحكم المسبق. وعلى عكس ذلك، ذكرت صاحبة البلاغ نفسها في طعونها أن المحاكم ستنظر في قضية مماثلة للقضية التي تناولها الحكم السابق الذي صدر عن مجلس الأحكام الضريبية المسبقة. وتؤكد الدولة الطرف أن صاحبة البلاغ لم تثبت في بلاغها إلى اللجنة أن هذه المعايير تمييزية بإثبات أنها لم تُطبق على غير أعضاء الجماعة.</w:t>
      </w:r>
    </w:p>
    <w:p w14:paraId="6624C617" w14:textId="77A76EC4"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15</w:t>
      </w:r>
      <w:r w:rsidRPr="00B13A52">
        <w:rPr>
          <w:rFonts w:eastAsiaTheme="minorEastAsia"/>
          <w:rtl/>
        </w:rPr>
        <w:tab/>
        <w:t>وإضافة إلى ذلك، تلاحظ الدولة الطرف ادعاء صاحبة البلاغ أنها تعرضت للتمييز مقارنة بالمتطوعين دائرة المتطوعين الأوروبية، الذين يُعفي دعمهم من الضريبة. وفي هذا الصدد، تدفع الدولة الطرف بأن وضع المتطوعين في هذه الدائرة يختلف عن وضع أعضاء الجماعة</w:t>
      </w:r>
      <w:r w:rsidR="007232E9" w:rsidRPr="00B13A52">
        <w:rPr>
          <w:rStyle w:val="FootnoteReference"/>
          <w:rFonts w:eastAsiaTheme="minorEastAsia"/>
          <w:rtl/>
        </w:rPr>
        <w:t>(</w:t>
      </w:r>
      <w:r w:rsidR="007232E9" w:rsidRPr="00A315B0">
        <w:rPr>
          <w:rStyle w:val="FootnoteReference"/>
          <w:rFonts w:eastAsiaTheme="minorEastAsia"/>
          <w:rtl/>
        </w:rPr>
        <w:footnoteReference w:id="19"/>
      </w:r>
      <w:r w:rsidR="007232E9" w:rsidRPr="00B13A52">
        <w:rPr>
          <w:rStyle w:val="FootnoteReference"/>
          <w:rFonts w:eastAsiaTheme="minorEastAsia"/>
          <w:rtl/>
        </w:rPr>
        <w:t>)</w:t>
      </w:r>
      <w:r w:rsidR="00C414B0" w:rsidRPr="00B13A52">
        <w:rPr>
          <w:rFonts w:eastAsiaTheme="minorEastAsia" w:hint="cs"/>
          <w:rtl/>
        </w:rPr>
        <w:t>.</w:t>
      </w:r>
      <w:r w:rsidRPr="00B13A52">
        <w:rPr>
          <w:rFonts w:eastAsiaTheme="minorEastAsia"/>
          <w:rtl/>
        </w:rPr>
        <w:t xml:space="preserve"> وفيما يتعلق بأوضاع هذه الفئة من الأشخاص التي تختلف اختلافاً كبيراً، تدفع الدولة الطرف بأنه لم يحدث أي تمييز ضد صاحبة البلاغ. </w:t>
      </w:r>
    </w:p>
    <w:p w14:paraId="2BD05266"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16</w:t>
      </w:r>
      <w:r w:rsidRPr="00B13A52">
        <w:rPr>
          <w:rFonts w:eastAsiaTheme="minorEastAsia"/>
          <w:rtl/>
        </w:rPr>
        <w:tab/>
        <w:t xml:space="preserve">وفيما يتعلق بادعاء صاحبة البلاغ أنها عوملت معاملة مماثلة للأشخاص الذين يعملون لغرض الكسب المالي رغم اختلاف وضعها، تؤكد الدولة الطرف أن الكسب المالي ليس بالضرورة جزءاً أساسياً من تعريف الدخل. وما دام هذا الأمر ينطبق على جميع فئات الأفراد، فلا يُعقل أن تُفسر أحكام العهد بطريقة تُلزم الدول الأطراف بإعفاء الدخل من الضريبة بسبب عدم وجود عنصر الكسب المالي. ويتعلق سؤال ماهية الدخل بتطبيق القانون المحلي، وهو قانون ليس للجنة أن تعيد النظر فيه إلا إذا كان تعسفياً بشكل واضح، أو كان يشكل خطأً واضحاً، أو إنكاراً للعدالة. ولما كان من الواضح أن الأمر غير ذلك، ترى الدولة الطرف أن المادة </w:t>
      </w:r>
      <w:r w:rsidRPr="00A315B0">
        <w:rPr>
          <w:rFonts w:eastAsiaTheme="minorEastAsia"/>
          <w:szCs w:val="20"/>
          <w:rtl/>
        </w:rPr>
        <w:t>26</w:t>
      </w:r>
      <w:r w:rsidRPr="00B13A52">
        <w:rPr>
          <w:rFonts w:eastAsiaTheme="minorEastAsia"/>
          <w:rtl/>
        </w:rPr>
        <w:t xml:space="preserve"> من العهد لم تُنتهك.</w:t>
      </w:r>
    </w:p>
    <w:p w14:paraId="71F5D810" w14:textId="3428C96D"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17</w:t>
      </w:r>
      <w:r w:rsidRPr="00B13A52">
        <w:rPr>
          <w:rFonts w:eastAsiaTheme="minorEastAsia"/>
          <w:rtl/>
        </w:rPr>
        <w:tab/>
        <w:t xml:space="preserve">وفيما يتعلق بادعاءات صاحبة البلاغ في إطار المادة </w:t>
      </w:r>
      <w:r w:rsidRPr="00A315B0">
        <w:rPr>
          <w:rFonts w:eastAsiaTheme="minorEastAsia"/>
          <w:szCs w:val="20"/>
          <w:rtl/>
        </w:rPr>
        <w:t>18</w:t>
      </w:r>
      <w:r w:rsidRPr="00B13A52">
        <w:rPr>
          <w:rFonts w:eastAsiaTheme="minorEastAsia"/>
          <w:rtl/>
        </w:rPr>
        <w:t xml:space="preserve"> من العهد، تعترض الدولة الطرف على أن من شأن العبء المالي المفروض على صاحبة البلاغ أن ينال من حقها في المجاهرة بدينها. وتذكّر الدولة الطرف بالسوابق القضائية للمحكمة الأوروبية لحقوق الإنسان التي تنص على أن المادة </w:t>
      </w:r>
      <w:r w:rsidRPr="00A315B0">
        <w:rPr>
          <w:rFonts w:eastAsiaTheme="minorEastAsia"/>
          <w:szCs w:val="20"/>
          <w:rtl/>
        </w:rPr>
        <w:t>9</w:t>
      </w:r>
      <w:r w:rsidRPr="00B13A52">
        <w:rPr>
          <w:rFonts w:eastAsiaTheme="minorEastAsia"/>
          <w:rtl/>
        </w:rPr>
        <w:t xml:space="preserve"> من الاتفاقية الأوروبية لحقوق الإنسان لا تضمن وضعاً ضريبياً مختلفاً للكنائس أو لأعضائها مقارنة بغيرهم من دافعي الضرائب. وعلاوة على ذلك، لما كان لا يوجد توافق في الآراء على المستوى الأوروبي بشأن المسائل الضريبية ذات الصلة بالكنائس أو الجماعات الدينية، ولما كانت هذه المسألة مرتبطة ارتباطاً وثيقاً بتاريخ وتقاليد الدول الأعضاء في الاتحاد الأوروبي، فإن هذه الدول ينبغي أن تستفيد من هامش تقدير واسع للغاية. والاستثناء الوحيد هو عندما يترتب على أي تدبير مالي قطع الموارد الحيوية عن رابطة دينية معينة، ومن ثم تهديد استدامتها</w:t>
      </w:r>
      <w:r w:rsidR="007232E9" w:rsidRPr="00B13A52">
        <w:rPr>
          <w:rStyle w:val="FootnoteReference"/>
          <w:rFonts w:eastAsiaTheme="minorEastAsia"/>
          <w:rtl/>
        </w:rPr>
        <w:t>(</w:t>
      </w:r>
      <w:r w:rsidR="007232E9" w:rsidRPr="00A315B0">
        <w:rPr>
          <w:rStyle w:val="FootnoteReference"/>
          <w:rFonts w:eastAsiaTheme="minorEastAsia"/>
          <w:rtl/>
        </w:rPr>
        <w:footnoteReference w:id="20"/>
      </w:r>
      <w:r w:rsidR="007232E9" w:rsidRPr="00B13A52">
        <w:rPr>
          <w:rStyle w:val="FootnoteReference"/>
          <w:rFonts w:eastAsiaTheme="minorEastAsia"/>
          <w:rtl/>
        </w:rPr>
        <w:t>)</w:t>
      </w:r>
      <w:r w:rsidR="00C414B0" w:rsidRPr="00B13A52">
        <w:rPr>
          <w:rFonts w:eastAsiaTheme="minorEastAsia" w:hint="cs"/>
          <w:rtl/>
        </w:rPr>
        <w:t>.</w:t>
      </w:r>
    </w:p>
    <w:p w14:paraId="7F6EC2D0"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18</w:t>
      </w:r>
      <w:r w:rsidRPr="00B13A52">
        <w:rPr>
          <w:rFonts w:eastAsiaTheme="minorEastAsia"/>
          <w:rtl/>
        </w:rPr>
        <w:tab/>
        <w:t>وفي هذه القضية، لم تثبت صاحبة البلاغ أن دفعها ضريبة الدخل كان له أي أثر على حقها في المجاهرة بدينها. وفي حال توصلت اللجنة إلى استنتاج مختلف، فإن الدولة الطرف تؤكد أن القانون ينص على هذا التدخل، وأن ذلك ضروري لحماية السلامة العامة، والنظام العام، والصحة، وحقوق الآخرين وحرياتهم الأساسية. وفي هذا الصدد، تكرر الدولة الطرف قولها إن القوانين ذات الصلة محايدة ويجب اعتبار أنها صيغت بدقة كافية لتمكين الفرد، امرأة كانت أو رجلاً، من تنظيم سلوكه وفقاً لذلك، لا سيما بالنظر إلى أن تعريف "التوظيف" لا يعني ضمناً أن الإعانة المعنية معفاة بالضرورة من الضريبة. وعلاوة على ذلك، وُضع النظام الضريبي القائم لمنفعة السكان أجمعين، لأنه يوفر الأموال لنظام الرعاية الصحية، ووكالات إنفاذ القانون، والنظام القضائي. ونظراً إلى حجم الضريبة المتدني نسبياً التي فرضت على صاحبة البلاغ، فإن من الواجب أيضاً اعتبار هذا التدخل إجراءً متناسباً.</w:t>
      </w:r>
    </w:p>
    <w:p w14:paraId="5734A012" w14:textId="65E03956"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19</w:t>
      </w:r>
      <w:r w:rsidRPr="00B13A52">
        <w:rPr>
          <w:rFonts w:eastAsiaTheme="minorEastAsia"/>
          <w:rtl/>
        </w:rPr>
        <w:tab/>
        <w:t xml:space="preserve">وفيما يتعلق بادعاء صاحبة البلاغ في إطار المادة </w:t>
      </w:r>
      <w:r w:rsidRPr="00A315B0">
        <w:rPr>
          <w:rFonts w:eastAsiaTheme="minorEastAsia"/>
          <w:szCs w:val="20"/>
          <w:rtl/>
        </w:rPr>
        <w:t>14</w:t>
      </w:r>
      <w:r w:rsidRPr="00B13A52">
        <w:rPr>
          <w:rFonts w:eastAsiaTheme="minorEastAsia"/>
          <w:szCs w:val="20"/>
          <w:rtl/>
        </w:rPr>
        <w:t>(</w:t>
      </w:r>
      <w:r w:rsidRPr="00A315B0">
        <w:rPr>
          <w:rFonts w:eastAsiaTheme="minorEastAsia"/>
          <w:szCs w:val="20"/>
          <w:rtl/>
        </w:rPr>
        <w:t>1</w:t>
      </w:r>
      <w:r w:rsidRPr="00B13A52">
        <w:rPr>
          <w:rFonts w:eastAsiaTheme="minorEastAsia"/>
          <w:szCs w:val="20"/>
          <w:rtl/>
        </w:rPr>
        <w:t>)</w:t>
      </w:r>
      <w:r w:rsidRPr="00B13A52">
        <w:rPr>
          <w:rFonts w:eastAsiaTheme="minorEastAsia"/>
          <w:rtl/>
        </w:rPr>
        <w:t xml:space="preserve"> من العهد، تشير الدولة الطرف إلى أن</w:t>
      </w:r>
      <w:r w:rsidR="000918FC" w:rsidRPr="00B13A52">
        <w:rPr>
          <w:rFonts w:eastAsiaTheme="minorEastAsia"/>
          <w:rtl/>
        </w:rPr>
        <w:t xml:space="preserve"> </w:t>
      </w:r>
      <w:r w:rsidRPr="00B13A52">
        <w:rPr>
          <w:rFonts w:eastAsiaTheme="minorEastAsia"/>
          <w:rtl/>
        </w:rPr>
        <w:t>المادة المذكورة ينبغي ألا تُفسَّر على أنها تقتضي من الدول الأطراف أن تتناول بالتفصيل جميع الحجج التي يسوقها أحد الأطراف، والحاجة إلى ضمان تشغيل فعال للسلطة القضائية قد تجيز للمحاكم، ولا سيما المحاكم العليا، أن تكتفي بتأييد المبررات الواردة في قرار المحكمة الأدنى درجة الذي قضى برفض الطعن من أجل البت في القضية في الوقت المناسب</w:t>
      </w:r>
      <w:r w:rsidR="007232E9" w:rsidRPr="00B13A52">
        <w:rPr>
          <w:rStyle w:val="FootnoteReference"/>
          <w:rFonts w:eastAsiaTheme="minorEastAsia"/>
          <w:rtl/>
        </w:rPr>
        <w:t>(</w:t>
      </w:r>
      <w:r w:rsidR="007232E9" w:rsidRPr="00A315B0">
        <w:rPr>
          <w:rStyle w:val="FootnoteReference"/>
          <w:rFonts w:eastAsiaTheme="minorEastAsia"/>
          <w:rtl/>
        </w:rPr>
        <w:footnoteReference w:id="21"/>
      </w:r>
      <w:r w:rsidR="007232E9" w:rsidRPr="00B13A52">
        <w:rPr>
          <w:rStyle w:val="FootnoteReference"/>
          <w:rFonts w:eastAsiaTheme="minorEastAsia"/>
          <w:rtl/>
        </w:rPr>
        <w:t>)</w:t>
      </w:r>
      <w:r w:rsidR="00C414B0" w:rsidRPr="00B13A52">
        <w:rPr>
          <w:rFonts w:eastAsiaTheme="minorEastAsia" w:hint="cs"/>
          <w:rtl/>
        </w:rPr>
        <w:t>.</w:t>
      </w:r>
    </w:p>
    <w:p w14:paraId="18EDABC8" w14:textId="77777777" w:rsidR="00211607" w:rsidRPr="00B13A52" w:rsidRDefault="00211607" w:rsidP="00211607">
      <w:pPr>
        <w:pStyle w:val="SingleTxtGA"/>
        <w:rPr>
          <w:rFonts w:eastAsiaTheme="minorEastAsia"/>
          <w:szCs w:val="20"/>
          <w:lang w:val="en-US"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20</w:t>
      </w:r>
      <w:r w:rsidRPr="00B13A52">
        <w:rPr>
          <w:rFonts w:eastAsiaTheme="minorEastAsia"/>
          <w:rtl/>
        </w:rPr>
        <w:tab/>
        <w:t xml:space="preserve">وفي هذه القضية، ترى الدولة الطرف أن القرارات المطعون فيها تحتوي على تبريرات كافية. فهي تسرد وقائع القضية، فضلاً عن ادعاءات صاحبة البلاغ ومبررات الاستنتاجات المرتبطة بها. وإشارة إلى قرار مجلس الأحكام الضريبية المسبقة الذي أيدته المحكمة الإدارية العليا، أوضحت محكمة الاستئناف الإدارية لصاحبة البلاغ سبب إخضاع إعانتها للضريبة. فقد تمَّت دراسة ادعاءات صاحبة البلاغ دراسة مستفيضة، وتمَّ توضيح جميع جوانبها في القرار الذي أشار إليه مجلس الأحكام الضريبية المسبقة، ويمكن لصاحبة البلاغ، التي يمثلها محام، أن تتطلع على ذلك القرار. غير أن صاحبة البلاغ، كما أشير في القرار، لم تصف الطريقة التي اختلفت بها قضيتها عن القضية التي نظر فيها مجلس الأحكام الضريبية المسبقة. وتناولت محكمة الاستئناف الإدارية أيضاً ادعاءات صاحبة البلاغ بشأن الانتهاكات المزعومة للاتفاقية الأوروبية لحقوق الإنسان إذ ذكرت وأيدت قرار مستشارة العدل الذي صدر في وقت سابق بشأن قضيتها، وتضمن استدلالاً موسعاً. وبالمثل، أشارت </w:t>
      </w:r>
      <w:r w:rsidRPr="00A315B0">
        <w:rPr>
          <w:rFonts w:eastAsiaTheme="minorEastAsia"/>
          <w:rtl/>
        </w:rPr>
        <w:t>المحكمة الإدارية</w:t>
      </w:r>
      <w:r w:rsidRPr="00B13A52">
        <w:rPr>
          <w:rFonts w:eastAsiaTheme="minorEastAsia"/>
          <w:rtl/>
        </w:rPr>
        <w:t xml:space="preserve"> إلى قرار </w:t>
      </w:r>
      <w:r w:rsidRPr="00A315B0">
        <w:rPr>
          <w:rFonts w:eastAsiaTheme="minorEastAsia"/>
          <w:rtl/>
        </w:rPr>
        <w:t>سابق لمحكمة الاستئناف الإدارية</w:t>
      </w:r>
      <w:r w:rsidRPr="00B13A52">
        <w:rPr>
          <w:rFonts w:eastAsiaTheme="minorEastAsia"/>
          <w:rtl/>
        </w:rPr>
        <w:t xml:space="preserve"> واستندت بذلك أيضاً إلى قرار مجلس الأحكام الضريبية المسبقة.</w:t>
      </w:r>
    </w:p>
    <w:p w14:paraId="70E3D7F1" w14:textId="26486C7A" w:rsidR="00211607" w:rsidRPr="00183A66" w:rsidRDefault="00211607" w:rsidP="00211607">
      <w:pPr>
        <w:pStyle w:val="SingleTxtGA"/>
        <w:rPr>
          <w:rFonts w:eastAsiaTheme="minorEastAsia"/>
          <w:spacing w:val="-4"/>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21</w:t>
      </w:r>
      <w:r w:rsidRPr="00B13A52">
        <w:rPr>
          <w:rFonts w:eastAsiaTheme="minorEastAsia"/>
          <w:rtl/>
        </w:rPr>
        <w:tab/>
      </w:r>
      <w:r w:rsidRPr="00183A66">
        <w:rPr>
          <w:rFonts w:eastAsiaTheme="minorEastAsia"/>
          <w:spacing w:val="-4"/>
          <w:rtl/>
        </w:rPr>
        <w:t>وفيما يتعلق بادعاء صاحبة البلاغ أنه لم يُستمع إليها في جلسة استماع شفوية، تُذكّر الدولة الطرف بأن اللجنة، من حيث المبدأ، لا تملك اختصاص تحديد ما إذا كانت المحاكم المحلية قد قيّمت على النحو الصحيح مدى ملاءمة الأدلة المطلوبة حديثاً. وعلاوة على ذلك، قدم الطرفان أدلتهما خطياً. ولم تطلب صاحبة البلاغ تقديم أدلة شفوية عند تقديم طعنها إلى المحكمة الإدارية. فقد ذكرت ذلك لأول مرة في بيان خطي إلى محكمة الاستئناف الإدارية، وشرحت في البداية أسباب هذا الطلب في دعواها أمام المحكمة الإدارية العليا. ولكن الموافقة على طلبها كان يتوقف على منح المحكمة الإدارية العليا لها إذناً بالطعن. وعلى أي حال، تؤكد الدولة الطرف أن بالإمكان أيضاً تقديم جميع المعلومات خطياً؛ وإضافة إلى ذلك، ليست المسألة المعروضة على المحاكم المحلية مسألة وقائع بل هي مسألة قانون. وأوضحت محكمة الاستئناف الإدارية في قرار رفضها طلب صاحبة البلاغ عقد جلسة استماع شفوية أنه لم يكن هناك أي خلاف بين الطرفين بشأن طبيعة وجود مؤسسة "</w:t>
      </w:r>
      <w:proofErr w:type="spellStart"/>
      <w:r w:rsidRPr="00183A66">
        <w:rPr>
          <w:rFonts w:eastAsiaTheme="minorEastAsia"/>
          <w:spacing w:val="-4"/>
          <w:rtl/>
        </w:rPr>
        <w:t>بيثيل</w:t>
      </w:r>
      <w:proofErr w:type="spellEnd"/>
      <w:r w:rsidRPr="00183A66">
        <w:rPr>
          <w:rFonts w:eastAsiaTheme="minorEastAsia"/>
          <w:spacing w:val="-4"/>
          <w:rtl/>
        </w:rPr>
        <w:t xml:space="preserve">" أو بشأن ما تنطوي عليه عضوية الجماعة، بل يتعلق بدلاً من ذلك بما إذا كان دخلها يخضع للضريبة أم لا. ولما كانت هذه المسألة ذات طابع قانوني، فقد خلصت محكمة الاستئناف الإدارية عن حق إلى أن عقد جلسة استماع شفوية لم يكن من شأنه أن يسهم في البت في القضية. وفي هذا الصدد، تؤكد الدولة الطرف أن الموقف المشترك للمحاكم المحلية لم يكن تعسفياً، ولا يشكل خطأً واضحاً أو إنكاراً للعدالة. </w:t>
      </w:r>
    </w:p>
    <w:p w14:paraId="6FE032E8"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6</w:t>
      </w:r>
      <w:r w:rsidRPr="00B13A52">
        <w:rPr>
          <w:rFonts w:eastAsiaTheme="minorEastAsia"/>
          <w:szCs w:val="20"/>
          <w:rtl/>
        </w:rPr>
        <w:t>-</w:t>
      </w:r>
      <w:r w:rsidRPr="00A315B0">
        <w:rPr>
          <w:rFonts w:eastAsiaTheme="minorEastAsia"/>
          <w:szCs w:val="20"/>
          <w:rtl/>
        </w:rPr>
        <w:t>22</w:t>
      </w:r>
      <w:r w:rsidRPr="00B13A52">
        <w:rPr>
          <w:rFonts w:eastAsiaTheme="minorEastAsia"/>
          <w:rtl/>
        </w:rPr>
        <w:tab/>
        <w:t xml:space="preserve">وفي ضوء ما تقدم، تخلص الدولة الطرف إلى أنه حتى وإن اعتُبرت ادعاءات صاحبة البلاغ مقبولة، فإنها لا تكشف عن انتهاك لحقوقها المنصوص عليها المواد </w:t>
      </w:r>
      <w:r w:rsidRPr="00A315B0">
        <w:rPr>
          <w:rFonts w:eastAsiaTheme="minorEastAsia"/>
          <w:szCs w:val="20"/>
          <w:rtl/>
        </w:rPr>
        <w:t>14</w:t>
      </w:r>
      <w:r w:rsidRPr="00B13A52">
        <w:rPr>
          <w:rFonts w:eastAsiaTheme="minorEastAsia"/>
          <w:rtl/>
        </w:rPr>
        <w:t>، و</w:t>
      </w:r>
      <w:r w:rsidRPr="00A315B0">
        <w:rPr>
          <w:rFonts w:eastAsiaTheme="minorEastAsia"/>
          <w:szCs w:val="20"/>
          <w:rtl/>
        </w:rPr>
        <w:t>18</w:t>
      </w:r>
      <w:r w:rsidRPr="00B13A52">
        <w:rPr>
          <w:rFonts w:eastAsiaTheme="minorEastAsia"/>
          <w:rtl/>
        </w:rPr>
        <w:t>، و</w:t>
      </w:r>
      <w:r w:rsidRPr="00A315B0">
        <w:rPr>
          <w:rFonts w:eastAsiaTheme="minorEastAsia"/>
          <w:szCs w:val="20"/>
          <w:rtl/>
        </w:rPr>
        <w:t>26</w:t>
      </w:r>
      <w:r w:rsidRPr="00B13A52">
        <w:rPr>
          <w:rFonts w:eastAsiaTheme="minorEastAsia"/>
          <w:rtl/>
        </w:rPr>
        <w:t xml:space="preserve"> من العهد.</w:t>
      </w:r>
    </w:p>
    <w:p w14:paraId="070DDFF4" w14:textId="77777777" w:rsidR="00211607" w:rsidRPr="00B13A52" w:rsidRDefault="00211607" w:rsidP="007232E9">
      <w:pPr>
        <w:pStyle w:val="H23GA"/>
        <w:rPr>
          <w:rFonts w:eastAsiaTheme="minorEastAsia"/>
          <w:szCs w:val="20"/>
          <w:lang w:val="ar-SA" w:eastAsia="zh-TW" w:bidi="en-GB"/>
        </w:rPr>
      </w:pPr>
      <w:r w:rsidRPr="00B13A52">
        <w:rPr>
          <w:rFonts w:eastAsiaTheme="minorEastAsia"/>
          <w:rtl/>
        </w:rPr>
        <w:tab/>
      </w:r>
      <w:r w:rsidRPr="00B13A52">
        <w:rPr>
          <w:rFonts w:eastAsiaTheme="minorEastAsia"/>
          <w:rtl/>
        </w:rPr>
        <w:tab/>
        <w:t>معلومات إضافية</w:t>
      </w:r>
    </w:p>
    <w:p w14:paraId="3A5535E2" w14:textId="77777777" w:rsidR="00211607" w:rsidRPr="00B13A52" w:rsidRDefault="00211607" w:rsidP="00C414B0">
      <w:pPr>
        <w:pStyle w:val="H4GA"/>
        <w:rPr>
          <w:rFonts w:eastAsiaTheme="minorEastAsia"/>
          <w:szCs w:val="20"/>
          <w:lang w:val="ar-SA" w:eastAsia="zh-TW" w:bidi="en-GB"/>
        </w:rPr>
      </w:pPr>
      <w:r w:rsidRPr="00B13A52">
        <w:rPr>
          <w:rFonts w:eastAsiaTheme="minorEastAsia"/>
          <w:rtl/>
        </w:rPr>
        <w:tab/>
      </w:r>
      <w:r w:rsidRPr="00B13A52">
        <w:rPr>
          <w:rFonts w:eastAsiaTheme="minorEastAsia"/>
          <w:rtl/>
        </w:rPr>
        <w:tab/>
        <w:t>من صاحبة البلاغ</w:t>
      </w:r>
    </w:p>
    <w:p w14:paraId="7200F950"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7</w:t>
      </w:r>
      <w:r w:rsidRPr="00B13A52">
        <w:rPr>
          <w:rFonts w:eastAsiaTheme="minorEastAsia"/>
          <w:szCs w:val="20"/>
          <w:rtl/>
        </w:rPr>
        <w:t>-</w:t>
      </w:r>
      <w:r w:rsidRPr="00A315B0">
        <w:rPr>
          <w:rFonts w:eastAsiaTheme="minorEastAsia"/>
          <w:szCs w:val="20"/>
          <w:rtl/>
        </w:rPr>
        <w:t>1</w:t>
      </w:r>
      <w:r w:rsidRPr="00B13A52">
        <w:rPr>
          <w:rFonts w:eastAsiaTheme="minorEastAsia"/>
          <w:rtl/>
        </w:rPr>
        <w:tab/>
        <w:t xml:space="preserve">في </w:t>
      </w:r>
      <w:r w:rsidRPr="00A315B0">
        <w:rPr>
          <w:rFonts w:eastAsiaTheme="minorEastAsia"/>
          <w:szCs w:val="20"/>
          <w:rtl/>
        </w:rPr>
        <w:t>19</w:t>
      </w:r>
      <w:r w:rsidRPr="00B13A52">
        <w:rPr>
          <w:rFonts w:eastAsiaTheme="minorEastAsia"/>
          <w:rtl/>
        </w:rPr>
        <w:t xml:space="preserve"> حزيران/</w:t>
      </w:r>
      <w:proofErr w:type="gramStart"/>
      <w:r w:rsidRPr="00B13A52">
        <w:rPr>
          <w:rFonts w:eastAsiaTheme="minorEastAsia"/>
          <w:rtl/>
        </w:rPr>
        <w:t>يونيه</w:t>
      </w:r>
      <w:proofErr w:type="gramEnd"/>
      <w:r w:rsidRPr="00B13A52">
        <w:rPr>
          <w:rFonts w:eastAsiaTheme="minorEastAsia"/>
          <w:rtl/>
        </w:rPr>
        <w:t xml:space="preserve"> </w:t>
      </w:r>
      <w:r w:rsidRPr="00A315B0">
        <w:rPr>
          <w:rFonts w:eastAsiaTheme="minorEastAsia"/>
          <w:szCs w:val="20"/>
          <w:rtl/>
        </w:rPr>
        <w:t>2018</w:t>
      </w:r>
      <w:r w:rsidRPr="00B13A52">
        <w:rPr>
          <w:rFonts w:eastAsiaTheme="minorEastAsia"/>
          <w:rtl/>
        </w:rPr>
        <w:t>، ردّت صاحبة البلاغ على ملاحظات الدولة الطرف. وتتطرق صاحبة البلاغ أولاً إلى تأكيدات الدولة الطرف بشأن القوانين المنطبقة، ثم تشدد على الحكم الذي ينص على أنه يجب أن يكون الدخل تعويضاً عن أداء عمل ما لكي يخضع للضريبة بوصفه دخلاً وظيفياً. وتشدد أيضاً على أن الدولة الطرف لا تعترض على وجود أي من مؤشرات العلاقة بين العامل ورب العمل في قضيتها - أي أنه لا يُتوقع تحقيق مكاسب مالية، ولا أي مقابل على أساس إنجاز العمل، ولا أي حق في المطالبة بأجر من أي نوع كان. ومع مراعاة ما ذكرته الدولة الطرف نفسها من أنه يمكن أن تكون هناك حالات مماثلة بما يكفي لتلك التي تبرر الإعفاء من الضريبة وفقاً للحس السليم - مثلاً الدعم المقدم داخل الأسرة المعيشية، ينبغي أن يكون من الواضح أن حالة صاحبة البلاغ هي بالضبط التي ينبغي أن تندرج ضمن هذه الفئة، بسبب كبر سنها والقيود التي تترتب على ذلك.</w:t>
      </w:r>
    </w:p>
    <w:p w14:paraId="2A696694"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7</w:t>
      </w:r>
      <w:r w:rsidRPr="00B13A52">
        <w:rPr>
          <w:rFonts w:eastAsiaTheme="minorEastAsia"/>
          <w:szCs w:val="20"/>
          <w:rtl/>
        </w:rPr>
        <w:t>-</w:t>
      </w:r>
      <w:r w:rsidRPr="00A315B0">
        <w:rPr>
          <w:rFonts w:eastAsiaTheme="minorEastAsia"/>
          <w:szCs w:val="20"/>
          <w:rtl/>
        </w:rPr>
        <w:t>2</w:t>
      </w:r>
      <w:r w:rsidRPr="00B13A52">
        <w:rPr>
          <w:rFonts w:eastAsiaTheme="minorEastAsia"/>
          <w:rtl/>
        </w:rPr>
        <w:tab/>
        <w:t xml:space="preserve">ورداً على الحجج التي أثيرت مؤخراً في ملاحظات الدولة الطرف بشأن المقبولية، تدفع صاحبة البلاغ بأن الدولة الطرف كانت على علم تام بكبر سنها، وينبغي أن يكون من الواضح أنها لم تعد قادرة على القيام بأي عمل بسبب هذه الحالة. وطلبت مراراً عقد جلسة استماع شفوية لكي تقدم تفاصيل عن ظروفها، لكنها فشلت في ذلك. وبناء على ذلك، يُعزى أي نقص مزعوم في سجل الأدلة إلى عدم ضمان الدولة الطرف حق صاحبة البلاغ في جلسة استماع شفوية. ونتيجة لذلك، تعترض صاحبة البلاغ على حجة الدولة الطرف بأنها لم تقدم إلى السلطات المحلية ادعاءاتها بشأن كبر سنها. </w:t>
      </w:r>
    </w:p>
    <w:p w14:paraId="289100A0"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7</w:t>
      </w:r>
      <w:r w:rsidRPr="00B13A52">
        <w:rPr>
          <w:rFonts w:eastAsiaTheme="minorEastAsia"/>
          <w:szCs w:val="20"/>
          <w:rtl/>
        </w:rPr>
        <w:t>-</w:t>
      </w:r>
      <w:r w:rsidRPr="00A315B0">
        <w:rPr>
          <w:rFonts w:eastAsiaTheme="minorEastAsia"/>
          <w:szCs w:val="20"/>
          <w:rtl/>
        </w:rPr>
        <w:t>3</w:t>
      </w:r>
      <w:r w:rsidRPr="00B13A52">
        <w:rPr>
          <w:rFonts w:eastAsiaTheme="minorEastAsia"/>
          <w:rtl/>
        </w:rPr>
        <w:tab/>
        <w:t>وفيما يتعلق بادعاء الدولة الطرف أن صاحبة البلاغ لم تقدم شكوى بشأن انتهاك حقوقها في محاكمة عادلة على المستوى المحلي، تصر صاحبة البلاغ على أنها قدمت عدة طلبات لعقد جلسة استماع شفوية، وأنها ما فتئت تدفع بأن الطريقة التي أُدريت بها الإجراءات حرمتها من حقها في محاكمة قضائية عادلة.</w:t>
      </w:r>
    </w:p>
    <w:p w14:paraId="5DD1D131" w14:textId="3A2D332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7</w:t>
      </w:r>
      <w:r w:rsidRPr="00B13A52">
        <w:rPr>
          <w:rFonts w:eastAsiaTheme="minorEastAsia"/>
          <w:szCs w:val="20"/>
          <w:rtl/>
        </w:rPr>
        <w:t>-</w:t>
      </w:r>
      <w:r w:rsidRPr="00A315B0">
        <w:rPr>
          <w:rFonts w:eastAsiaTheme="minorEastAsia"/>
          <w:szCs w:val="20"/>
          <w:rtl/>
        </w:rPr>
        <w:t>4</w:t>
      </w:r>
      <w:r w:rsidRPr="00B13A52">
        <w:rPr>
          <w:rFonts w:eastAsiaTheme="minorEastAsia"/>
          <w:rtl/>
        </w:rPr>
        <w:tab/>
        <w:t xml:space="preserve">وتدحض صاحبة البلاغ كذلك أن شكواها في إطار المادة </w:t>
      </w:r>
      <w:r w:rsidRPr="00A315B0">
        <w:rPr>
          <w:rFonts w:eastAsiaTheme="minorEastAsia"/>
          <w:szCs w:val="20"/>
          <w:rtl/>
        </w:rPr>
        <w:t>14</w:t>
      </w:r>
      <w:r w:rsidRPr="00B13A52">
        <w:rPr>
          <w:rFonts w:eastAsiaTheme="minorEastAsia"/>
          <w:szCs w:val="20"/>
          <w:rtl/>
        </w:rPr>
        <w:t>(</w:t>
      </w:r>
      <w:r w:rsidRPr="00A315B0">
        <w:rPr>
          <w:rFonts w:eastAsiaTheme="minorEastAsia"/>
          <w:szCs w:val="20"/>
          <w:rtl/>
        </w:rPr>
        <w:t>1</w:t>
      </w:r>
      <w:r w:rsidRPr="00B13A52">
        <w:rPr>
          <w:rFonts w:eastAsiaTheme="minorEastAsia"/>
          <w:szCs w:val="20"/>
          <w:rtl/>
        </w:rPr>
        <w:t>)</w:t>
      </w:r>
      <w:r w:rsidRPr="00B13A52">
        <w:rPr>
          <w:rFonts w:eastAsiaTheme="minorEastAsia"/>
          <w:rtl/>
        </w:rPr>
        <w:t xml:space="preserve"> لا تتفق من حيث الاختصاص الموضوعي مع أحكام العهد. ورداً على حجج الدولة الطرف، تدفع بأن المحكمة الأوروبية لحقوق الإنسان واصلت تطوير سوابقها القضائية منذ قضية </w:t>
      </w:r>
      <w:proofErr w:type="spellStart"/>
      <w:r w:rsidRPr="00B13A52">
        <w:rPr>
          <w:rFonts w:eastAsiaTheme="minorEastAsia"/>
          <w:i/>
          <w:iCs/>
          <w:rtl/>
        </w:rPr>
        <w:t>فيرَّزيني</w:t>
      </w:r>
      <w:proofErr w:type="spellEnd"/>
      <w:r w:rsidRPr="00B13A52">
        <w:rPr>
          <w:rFonts w:eastAsiaTheme="minorEastAsia"/>
          <w:i/>
          <w:iCs/>
          <w:rtl/>
        </w:rPr>
        <w:t xml:space="preserve"> ضد إيطاليا</w:t>
      </w:r>
      <w:r w:rsidRPr="00B13A52">
        <w:rPr>
          <w:rFonts w:eastAsiaTheme="minorEastAsia"/>
          <w:rtl/>
        </w:rPr>
        <w:t xml:space="preserve">، وقضت بأنه يجوز قبول أي قضية تتعلق بنزاع ضريبي بموجب الفقرة المدنية من المادة </w:t>
      </w:r>
      <w:r w:rsidRPr="00A315B0">
        <w:rPr>
          <w:rFonts w:eastAsiaTheme="minorEastAsia"/>
          <w:szCs w:val="20"/>
          <w:rtl/>
        </w:rPr>
        <w:t>6</w:t>
      </w:r>
      <w:r w:rsidRPr="00B13A52">
        <w:rPr>
          <w:rFonts w:eastAsiaTheme="minorEastAsia"/>
          <w:rtl/>
        </w:rPr>
        <w:t xml:space="preserve"> من الاتفاقية الأوروبية لحقوق الإنسان إن أمكن وصفها بأنها تتعلق بالاستحقاقات الاجتماعية</w:t>
      </w:r>
      <w:r w:rsidR="007232E9" w:rsidRPr="00B13A52">
        <w:rPr>
          <w:rStyle w:val="FootnoteReference"/>
          <w:rFonts w:eastAsiaTheme="minorEastAsia"/>
          <w:rtl/>
        </w:rPr>
        <w:t>(</w:t>
      </w:r>
      <w:r w:rsidR="007232E9" w:rsidRPr="00A315B0">
        <w:rPr>
          <w:rStyle w:val="FootnoteReference"/>
          <w:rFonts w:eastAsiaTheme="minorEastAsia"/>
          <w:rtl/>
        </w:rPr>
        <w:footnoteReference w:id="22"/>
      </w:r>
      <w:r w:rsidR="007232E9" w:rsidRPr="00B13A52">
        <w:rPr>
          <w:rStyle w:val="FootnoteReference"/>
          <w:rFonts w:eastAsiaTheme="minorEastAsia"/>
          <w:rtl/>
        </w:rPr>
        <w:t>)</w:t>
      </w:r>
      <w:r w:rsidR="00C414B0" w:rsidRPr="00B13A52">
        <w:rPr>
          <w:rFonts w:eastAsiaTheme="minorEastAsia" w:hint="cs"/>
          <w:rtl/>
        </w:rPr>
        <w:t>.</w:t>
      </w:r>
      <w:r w:rsidRPr="00B13A52">
        <w:rPr>
          <w:rFonts w:eastAsiaTheme="minorEastAsia"/>
          <w:rtl/>
        </w:rPr>
        <w:t xml:space="preserve"> والأهم هو أن صيغة المادة </w:t>
      </w:r>
      <w:r w:rsidRPr="00A315B0">
        <w:rPr>
          <w:rFonts w:eastAsiaTheme="minorEastAsia"/>
          <w:szCs w:val="20"/>
          <w:rtl/>
        </w:rPr>
        <w:t>14</w:t>
      </w:r>
      <w:r w:rsidRPr="00B13A52">
        <w:rPr>
          <w:rFonts w:eastAsiaTheme="minorEastAsia"/>
          <w:szCs w:val="20"/>
          <w:rtl/>
        </w:rPr>
        <w:t>(</w:t>
      </w:r>
      <w:r w:rsidRPr="00A315B0">
        <w:rPr>
          <w:rFonts w:eastAsiaTheme="minorEastAsia"/>
          <w:szCs w:val="20"/>
          <w:rtl/>
        </w:rPr>
        <w:t>1</w:t>
      </w:r>
      <w:r w:rsidRPr="00B13A52">
        <w:rPr>
          <w:rFonts w:eastAsiaTheme="minorEastAsia"/>
          <w:szCs w:val="20"/>
          <w:rtl/>
        </w:rPr>
        <w:t>)</w:t>
      </w:r>
      <w:r w:rsidRPr="00B13A52">
        <w:rPr>
          <w:rFonts w:eastAsiaTheme="minorEastAsia"/>
          <w:rtl/>
        </w:rPr>
        <w:t xml:space="preserve"> من العهد تختلف عن صيغة المادة </w:t>
      </w:r>
      <w:r w:rsidRPr="00A315B0">
        <w:rPr>
          <w:rFonts w:eastAsiaTheme="minorEastAsia"/>
          <w:szCs w:val="20"/>
          <w:rtl/>
        </w:rPr>
        <w:t>6</w:t>
      </w:r>
      <w:r w:rsidRPr="00B13A52">
        <w:rPr>
          <w:rFonts w:eastAsiaTheme="minorEastAsia"/>
          <w:rtl/>
        </w:rPr>
        <w:t xml:space="preserve"> من الاتفاقية. ففيما يتعلق بالجملة الأولى من الفقرة </w:t>
      </w:r>
      <w:r w:rsidRPr="00A315B0">
        <w:rPr>
          <w:rFonts w:eastAsiaTheme="minorEastAsia"/>
          <w:rtl/>
        </w:rPr>
        <w:t>1</w:t>
      </w:r>
      <w:r w:rsidRPr="00B13A52">
        <w:rPr>
          <w:rFonts w:eastAsiaTheme="minorEastAsia"/>
          <w:rtl/>
        </w:rPr>
        <w:t xml:space="preserve"> من المادة </w:t>
      </w:r>
      <w:r w:rsidRPr="00A315B0">
        <w:rPr>
          <w:rFonts w:eastAsiaTheme="minorEastAsia"/>
          <w:rtl/>
        </w:rPr>
        <w:t>14</w:t>
      </w:r>
      <w:r w:rsidRPr="00B13A52">
        <w:rPr>
          <w:rFonts w:eastAsiaTheme="minorEastAsia"/>
          <w:rtl/>
        </w:rPr>
        <w:t xml:space="preserve"> من الاتفاقية، التي تنص على أنه "</w:t>
      </w:r>
      <w:r w:rsidRPr="00A315B0">
        <w:rPr>
          <w:rFonts w:eastAsiaTheme="minorEastAsia"/>
          <w:rtl/>
        </w:rPr>
        <w:t>الناس</w:t>
      </w:r>
      <w:r w:rsidRPr="00B13A52">
        <w:rPr>
          <w:rFonts w:eastAsiaTheme="minorEastAsia"/>
          <w:rtl/>
        </w:rPr>
        <w:t xml:space="preserve"> جميعاً سواء أمام القضاء"، أوضحت اللجنة أن هذه الضمانة لا تسري على المحاكم والهيئات القضائية المقصودة في الجملة الثانية من المادة </w:t>
      </w:r>
      <w:r w:rsidRPr="00A315B0">
        <w:rPr>
          <w:rFonts w:eastAsiaTheme="minorEastAsia"/>
          <w:szCs w:val="20"/>
          <w:rtl/>
        </w:rPr>
        <w:t>14</w:t>
      </w:r>
      <w:r w:rsidRPr="00B13A52">
        <w:rPr>
          <w:rFonts w:eastAsiaTheme="minorEastAsia"/>
          <w:szCs w:val="20"/>
          <w:rtl/>
        </w:rPr>
        <w:t>(</w:t>
      </w:r>
      <w:r w:rsidRPr="00A315B0">
        <w:rPr>
          <w:rFonts w:eastAsiaTheme="minorEastAsia"/>
          <w:szCs w:val="20"/>
          <w:rtl/>
        </w:rPr>
        <w:t>1</w:t>
      </w:r>
      <w:r w:rsidRPr="00B13A52">
        <w:rPr>
          <w:rFonts w:eastAsiaTheme="minorEastAsia"/>
          <w:szCs w:val="20"/>
          <w:rtl/>
        </w:rPr>
        <w:t>)</w:t>
      </w:r>
      <w:r w:rsidRPr="00B13A52">
        <w:rPr>
          <w:rFonts w:eastAsiaTheme="minorEastAsia"/>
          <w:rtl/>
        </w:rPr>
        <w:t xml:space="preserve"> فحسب، بل يجب أن تُراعى أيضاً كلما أوكلت مهمة قضائية إلى هيئة قضائية ما بموجب قانون محلي</w:t>
      </w:r>
      <w:r w:rsidR="007232E9" w:rsidRPr="00B13A52">
        <w:rPr>
          <w:rStyle w:val="FootnoteReference"/>
          <w:rFonts w:eastAsiaTheme="minorEastAsia"/>
          <w:rtl/>
        </w:rPr>
        <w:t>(</w:t>
      </w:r>
      <w:r w:rsidR="007232E9" w:rsidRPr="00A315B0">
        <w:rPr>
          <w:rStyle w:val="FootnoteReference"/>
          <w:rFonts w:eastAsiaTheme="minorEastAsia"/>
          <w:rtl/>
        </w:rPr>
        <w:footnoteReference w:id="23"/>
      </w:r>
      <w:r w:rsidR="007232E9" w:rsidRPr="00B13A52">
        <w:rPr>
          <w:rStyle w:val="FootnoteReference"/>
          <w:rFonts w:eastAsiaTheme="minorEastAsia"/>
          <w:rtl/>
        </w:rPr>
        <w:t>)</w:t>
      </w:r>
      <w:r w:rsidR="00C414B0" w:rsidRPr="00B13A52">
        <w:rPr>
          <w:rFonts w:eastAsiaTheme="minorEastAsia" w:hint="cs"/>
          <w:rtl/>
        </w:rPr>
        <w:t>.</w:t>
      </w:r>
      <w:r w:rsidRPr="00B13A52">
        <w:rPr>
          <w:rFonts w:eastAsiaTheme="minorEastAsia"/>
          <w:rtl/>
        </w:rPr>
        <w:t xml:space="preserve"> ولما كانت الدولة الطرف قد كلفت المحاكم الإدارية بالنظر في المسائل المتعلقة بالضرائب، فإن هذه الضمانة تسري على قضية صاحبة البلاغ. وعلاوة على ذلك، فعلى الرغم من أنها تعترف بأن حق اللجوء إلى محكمة أو هيئة قضائية على النحو المنصوص عليه في الجملة الثانية من المادة </w:t>
      </w:r>
      <w:r w:rsidRPr="00A315B0">
        <w:rPr>
          <w:rFonts w:eastAsiaTheme="minorEastAsia"/>
          <w:szCs w:val="20"/>
          <w:rtl/>
        </w:rPr>
        <w:t>14</w:t>
      </w:r>
      <w:r w:rsidRPr="00B13A52">
        <w:rPr>
          <w:rFonts w:eastAsiaTheme="minorEastAsia"/>
          <w:szCs w:val="20"/>
          <w:rtl/>
        </w:rPr>
        <w:t>(</w:t>
      </w:r>
      <w:r w:rsidRPr="00A315B0">
        <w:rPr>
          <w:rFonts w:eastAsiaTheme="minorEastAsia"/>
          <w:szCs w:val="20"/>
          <w:rtl/>
        </w:rPr>
        <w:t>1</w:t>
      </w:r>
      <w:r w:rsidRPr="00B13A52">
        <w:rPr>
          <w:rFonts w:eastAsiaTheme="minorEastAsia"/>
          <w:szCs w:val="20"/>
          <w:rtl/>
        </w:rPr>
        <w:t>)</w:t>
      </w:r>
      <w:r w:rsidRPr="00B13A52">
        <w:rPr>
          <w:rFonts w:eastAsiaTheme="minorEastAsia"/>
          <w:rtl/>
        </w:rPr>
        <w:t xml:space="preserve"> لا يسري على الحالات التي لا يمنح فيها القانون المحلي أي استحقاق للشخص المعني</w:t>
      </w:r>
      <w:r w:rsidR="00B913FF" w:rsidRPr="00B13A52">
        <w:rPr>
          <w:rStyle w:val="FootnoteReference"/>
          <w:rFonts w:eastAsiaTheme="minorEastAsia"/>
          <w:rtl/>
        </w:rPr>
        <w:t>(</w:t>
      </w:r>
      <w:r w:rsidR="00B913FF" w:rsidRPr="00A315B0">
        <w:rPr>
          <w:rStyle w:val="FootnoteReference"/>
          <w:rFonts w:eastAsiaTheme="minorEastAsia"/>
          <w:rtl/>
        </w:rPr>
        <w:footnoteReference w:id="24"/>
      </w:r>
      <w:r w:rsidR="00B913FF" w:rsidRPr="00B13A52">
        <w:rPr>
          <w:rStyle w:val="FootnoteReference"/>
          <w:rFonts w:eastAsiaTheme="minorEastAsia"/>
          <w:rtl/>
        </w:rPr>
        <w:t>)</w:t>
      </w:r>
      <w:r w:rsidRPr="00B13A52">
        <w:rPr>
          <w:rFonts w:eastAsiaTheme="minorEastAsia"/>
          <w:rtl/>
        </w:rPr>
        <w:t>، فإن قضيتها تتعلق بتحديد حقها في الحصول على إعفاء ضريبي قائم تمنحه الدولة الطرف لأعضاء جماعات دينية أخرى</w:t>
      </w:r>
      <w:r w:rsidR="00C414B0" w:rsidRPr="00B13A52">
        <w:rPr>
          <w:rFonts w:eastAsiaTheme="minorEastAsia" w:hint="cs"/>
          <w:rtl/>
        </w:rPr>
        <w:t>.</w:t>
      </w:r>
      <w:r w:rsidRPr="00B13A52">
        <w:rPr>
          <w:rFonts w:eastAsiaTheme="minorEastAsia"/>
          <w:rtl/>
        </w:rPr>
        <w:t xml:space="preserve"> وبناء على ذلك، ينبغي رفض اعتراضات الدولة الطرف على المقبولية.</w:t>
      </w:r>
    </w:p>
    <w:p w14:paraId="55532130"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7</w:t>
      </w:r>
      <w:r w:rsidRPr="00B13A52">
        <w:rPr>
          <w:rFonts w:eastAsiaTheme="minorEastAsia"/>
          <w:szCs w:val="20"/>
          <w:rtl/>
        </w:rPr>
        <w:t>-</w:t>
      </w:r>
      <w:r w:rsidRPr="00A315B0">
        <w:rPr>
          <w:rFonts w:eastAsiaTheme="minorEastAsia"/>
          <w:szCs w:val="20"/>
          <w:rtl/>
        </w:rPr>
        <w:t>5</w:t>
      </w:r>
      <w:r w:rsidRPr="00B13A52">
        <w:rPr>
          <w:rFonts w:eastAsiaTheme="minorEastAsia"/>
          <w:rtl/>
        </w:rPr>
        <w:tab/>
        <w:t xml:space="preserve">وفيما يتعلق بادعاءات صاحبة البلاغ في إطار المادة </w:t>
      </w:r>
      <w:r w:rsidRPr="00A315B0">
        <w:rPr>
          <w:rFonts w:eastAsiaTheme="minorEastAsia"/>
          <w:szCs w:val="20"/>
          <w:rtl/>
        </w:rPr>
        <w:t>26</w:t>
      </w:r>
      <w:r w:rsidRPr="00B13A52">
        <w:rPr>
          <w:rFonts w:eastAsiaTheme="minorEastAsia"/>
          <w:rtl/>
        </w:rPr>
        <w:t xml:space="preserve"> من العهد، تدعي صاحبة البلاغ أنها قدّمت بالفعل قرارات قضائية تؤيد ادعاءها بأن وكالة الضرائب أعفت طوال سنوات عديدة أعضاء جماعات دينية أخرى من دفع الضرائب على الدعم المالي الذي يتلقونه من جماعاتهم. وتقول إن عبء إثبات وقوع تغيير في هذه الممارسة بعد عام </w:t>
      </w:r>
      <w:r w:rsidRPr="00A315B0">
        <w:rPr>
          <w:rFonts w:eastAsiaTheme="minorEastAsia"/>
          <w:rtl/>
        </w:rPr>
        <w:t>1990</w:t>
      </w:r>
      <w:r w:rsidRPr="00B13A52">
        <w:rPr>
          <w:rFonts w:eastAsiaTheme="minorEastAsia"/>
          <w:rtl/>
        </w:rPr>
        <w:t xml:space="preserve"> يقع على عاتق الدولة الطرف</w:t>
      </w:r>
      <w:r w:rsidRPr="00B13A52">
        <w:rPr>
          <w:rFonts w:eastAsiaTheme="minorEastAsia"/>
          <w:szCs w:val="20"/>
          <w:rtl/>
        </w:rPr>
        <w:t>.</w:t>
      </w:r>
      <w:r w:rsidRPr="00B13A52">
        <w:rPr>
          <w:rFonts w:eastAsiaTheme="minorEastAsia"/>
          <w:rtl/>
        </w:rPr>
        <w:t xml:space="preserve"> ولا شك أن الأدلة التي قدمتها صاحبة البلاغ إلى المحاكم المحلية وإلى اللجنة في التذييل </w:t>
      </w:r>
      <w:r w:rsidRPr="00A315B0">
        <w:rPr>
          <w:rFonts w:eastAsiaTheme="minorEastAsia"/>
          <w:szCs w:val="20"/>
          <w:rtl/>
        </w:rPr>
        <w:t>26</w:t>
      </w:r>
      <w:r w:rsidRPr="00B13A52">
        <w:rPr>
          <w:rFonts w:eastAsiaTheme="minorEastAsia"/>
          <w:rtl/>
        </w:rPr>
        <w:t xml:space="preserve"> والتي تستند إلى المعلومات الضريبية المتاحة للجمهور تثبت خلاف ذلك. </w:t>
      </w:r>
    </w:p>
    <w:p w14:paraId="712D06DA"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7</w:t>
      </w:r>
      <w:r w:rsidRPr="00B13A52">
        <w:rPr>
          <w:rFonts w:eastAsiaTheme="minorEastAsia"/>
          <w:szCs w:val="20"/>
          <w:rtl/>
        </w:rPr>
        <w:t>-</w:t>
      </w:r>
      <w:r w:rsidRPr="00A315B0">
        <w:rPr>
          <w:rFonts w:eastAsiaTheme="minorEastAsia"/>
          <w:szCs w:val="20"/>
          <w:rtl/>
        </w:rPr>
        <w:t>6</w:t>
      </w:r>
      <w:r w:rsidRPr="00B13A52">
        <w:rPr>
          <w:rFonts w:eastAsiaTheme="minorEastAsia"/>
          <w:rtl/>
        </w:rPr>
        <w:tab/>
        <w:t xml:space="preserve">وتكرر صاحبة البلاغ أن المحاكم المحلية لم تبرر هذه المعاملة </w:t>
      </w:r>
      <w:proofErr w:type="spellStart"/>
      <w:r w:rsidRPr="00B13A52">
        <w:rPr>
          <w:rFonts w:eastAsiaTheme="minorEastAsia"/>
          <w:rtl/>
        </w:rPr>
        <w:t>التمايزية</w:t>
      </w:r>
      <w:proofErr w:type="spellEnd"/>
      <w:r w:rsidRPr="00B13A52">
        <w:rPr>
          <w:rFonts w:eastAsiaTheme="minorEastAsia"/>
          <w:rtl/>
        </w:rPr>
        <w:t xml:space="preserve">. وكون المحاكم قد اكتفت بالإشارة إلى قضية أخرى، دون توضيح سبب عدم اعتبار القضيتين مماثلتين، لا يرقى إلى مستوى الضمانات المنصوص عليها في المادة </w:t>
      </w:r>
      <w:r w:rsidRPr="00A315B0">
        <w:rPr>
          <w:rFonts w:eastAsiaTheme="minorEastAsia"/>
          <w:szCs w:val="20"/>
          <w:rtl/>
        </w:rPr>
        <w:t>26</w:t>
      </w:r>
      <w:r w:rsidRPr="00B13A52">
        <w:rPr>
          <w:rFonts w:eastAsiaTheme="minorEastAsia"/>
          <w:rtl/>
        </w:rPr>
        <w:t xml:space="preserve"> من العهد. فهذه المقارنة تطرح إشكالاً خاصاً لأن المحاكم المحلية خلصت إلى استنتاجها، فيما يبدو، على أساس تقييمها أن المدعى عليها في القضية المشار إليها شاركت في بعض أعمال التوعية. غير أن هذا العامل الحاسم في ظاهره لم يُقدم قط ضمن حيثيات قضية صاحبة البلاغ.</w:t>
      </w:r>
    </w:p>
    <w:p w14:paraId="676CBFEC" w14:textId="29C0195A"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7</w:t>
      </w:r>
      <w:r w:rsidRPr="00B13A52">
        <w:rPr>
          <w:rFonts w:eastAsiaTheme="minorEastAsia"/>
          <w:szCs w:val="20"/>
          <w:rtl/>
        </w:rPr>
        <w:t>-</w:t>
      </w:r>
      <w:r w:rsidRPr="00A315B0">
        <w:rPr>
          <w:rFonts w:eastAsiaTheme="minorEastAsia"/>
          <w:szCs w:val="20"/>
          <w:rtl/>
        </w:rPr>
        <w:t>7</w:t>
      </w:r>
      <w:r w:rsidRPr="00B13A52">
        <w:rPr>
          <w:rFonts w:eastAsiaTheme="minorEastAsia"/>
          <w:rtl/>
        </w:rPr>
        <w:tab/>
        <w:t xml:space="preserve">وتعترض صاحبة البلاغ أيضاً على ملاحظات الدولة الطرف في إطار المادة </w:t>
      </w:r>
      <w:r w:rsidRPr="00A315B0">
        <w:rPr>
          <w:rFonts w:eastAsiaTheme="minorEastAsia"/>
          <w:szCs w:val="20"/>
          <w:rtl/>
        </w:rPr>
        <w:t>18</w:t>
      </w:r>
      <w:r w:rsidRPr="00B13A52">
        <w:rPr>
          <w:rFonts w:eastAsiaTheme="minorEastAsia"/>
          <w:rtl/>
        </w:rPr>
        <w:t xml:space="preserve"> من العهد. وتطعن في مدى أهمية قضايا المحكمة الأوروبية لحقوق الإنسان التي ذكرتها الدولة الطرف لأنها تتعلق، فيما يبدو، بالآثار السلبية المترتبة على نص صحيح فيما عدا ذلك من التشريع الضريبي. غير أن صاحبة البلاغ، في هذه القضية، تطعن في الرفض التمييزي لتطبيق امتياز ضريبي قائم مُنِح لأعضاء جماعات دينية أخرى ولمتطوعي دائرة المتطوعين الأوروبية. فقد سبق للمحكمة الأوروبية أن ارتأت أن رفض الدولة العضو منح صاحبة البلاغ امتيازاً ضريبياً ومنحه لأعضاء جماعات دينية أخرى يرتبط بحرية المجاهرة</w:t>
      </w:r>
      <w:r w:rsidR="000918FC" w:rsidRPr="00B13A52">
        <w:rPr>
          <w:rFonts w:eastAsiaTheme="minorEastAsia" w:hint="cs"/>
          <w:rtl/>
        </w:rPr>
        <w:t> </w:t>
      </w:r>
      <w:r w:rsidRPr="00B13A52">
        <w:rPr>
          <w:rFonts w:eastAsiaTheme="minorEastAsia"/>
          <w:rtl/>
        </w:rPr>
        <w:t>بالدين</w:t>
      </w:r>
      <w:r w:rsidR="007232E9" w:rsidRPr="00B13A52">
        <w:rPr>
          <w:rStyle w:val="FootnoteReference"/>
          <w:rFonts w:eastAsiaTheme="minorEastAsia"/>
          <w:rtl/>
        </w:rPr>
        <w:t>(</w:t>
      </w:r>
      <w:r w:rsidR="007232E9" w:rsidRPr="00A315B0">
        <w:rPr>
          <w:rStyle w:val="FootnoteReference"/>
          <w:rFonts w:eastAsiaTheme="minorEastAsia"/>
          <w:rtl/>
        </w:rPr>
        <w:footnoteReference w:id="25"/>
      </w:r>
      <w:r w:rsidR="007232E9" w:rsidRPr="00B13A52">
        <w:rPr>
          <w:rStyle w:val="FootnoteReference"/>
          <w:rFonts w:eastAsiaTheme="minorEastAsia"/>
          <w:rtl/>
        </w:rPr>
        <w:t>)</w:t>
      </w:r>
      <w:r w:rsidR="00C414B0" w:rsidRPr="00B13A52">
        <w:rPr>
          <w:rStyle w:val="FootnoteReference"/>
          <w:rFonts w:eastAsiaTheme="minorEastAsia" w:hint="cs"/>
          <w:vertAlign w:val="baseline"/>
          <w:rtl/>
        </w:rPr>
        <w:t>.</w:t>
      </w:r>
    </w:p>
    <w:p w14:paraId="520B9BC5"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7</w:t>
      </w:r>
      <w:r w:rsidRPr="00B13A52">
        <w:rPr>
          <w:rFonts w:eastAsiaTheme="minorEastAsia"/>
          <w:szCs w:val="20"/>
          <w:rtl/>
        </w:rPr>
        <w:t>-</w:t>
      </w:r>
      <w:r w:rsidRPr="00A315B0">
        <w:rPr>
          <w:rFonts w:eastAsiaTheme="minorEastAsia"/>
          <w:szCs w:val="20"/>
          <w:rtl/>
        </w:rPr>
        <w:t>8</w:t>
      </w:r>
      <w:r w:rsidRPr="00B13A52">
        <w:rPr>
          <w:rFonts w:eastAsiaTheme="minorEastAsia"/>
          <w:rtl/>
        </w:rPr>
        <w:tab/>
        <w:t>وتؤكد صاحبة البلاغ أن قرارات المحاكم المحلية التي رفضت دعواها بإجراءات موجزة، وعدم عقد جلسة استماع شفوية طوال الإجراءات المحلية، ينتهكان حقها في محاكمة عادلة، بما في ذلك حقها في تكافؤ الوسائل وتعليل القرار.</w:t>
      </w:r>
    </w:p>
    <w:p w14:paraId="2263C902" w14:textId="77777777" w:rsidR="00211607" w:rsidRPr="00B13A52" w:rsidRDefault="00211607" w:rsidP="00C414B0">
      <w:pPr>
        <w:pStyle w:val="H4GA"/>
        <w:rPr>
          <w:rFonts w:eastAsiaTheme="minorEastAsia"/>
          <w:szCs w:val="20"/>
          <w:lang w:val="ar-SA" w:eastAsia="zh-TW" w:bidi="en-GB"/>
        </w:rPr>
      </w:pPr>
      <w:r w:rsidRPr="00B13A52">
        <w:rPr>
          <w:rFonts w:eastAsiaTheme="minorEastAsia"/>
          <w:rtl/>
        </w:rPr>
        <w:tab/>
      </w:r>
      <w:r w:rsidRPr="00B13A52">
        <w:rPr>
          <w:rFonts w:eastAsiaTheme="minorEastAsia"/>
          <w:rtl/>
        </w:rPr>
        <w:tab/>
        <w:t>من الدولة الطرف</w:t>
      </w:r>
    </w:p>
    <w:p w14:paraId="69230F8A"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8</w:t>
      </w:r>
      <w:r w:rsidRPr="00B13A52">
        <w:rPr>
          <w:rFonts w:eastAsiaTheme="minorEastAsia"/>
          <w:szCs w:val="20"/>
          <w:rtl/>
        </w:rPr>
        <w:t>-</w:t>
      </w:r>
      <w:r w:rsidRPr="00B13A52">
        <w:rPr>
          <w:rFonts w:eastAsiaTheme="minorEastAsia"/>
          <w:rtl/>
        </w:rPr>
        <w:tab/>
        <w:t xml:space="preserve">في مذكرة شفوية مؤرخة </w:t>
      </w:r>
      <w:r w:rsidRPr="00A315B0">
        <w:rPr>
          <w:rFonts w:eastAsiaTheme="minorEastAsia"/>
          <w:szCs w:val="20"/>
          <w:rtl/>
        </w:rPr>
        <w:t>22</w:t>
      </w:r>
      <w:r w:rsidRPr="00B13A52">
        <w:rPr>
          <w:rFonts w:eastAsiaTheme="minorEastAsia"/>
          <w:rtl/>
        </w:rPr>
        <w:t xml:space="preserve"> شباط/فبراير </w:t>
      </w:r>
      <w:r w:rsidRPr="00A315B0">
        <w:rPr>
          <w:rFonts w:eastAsiaTheme="minorEastAsia"/>
          <w:szCs w:val="20"/>
          <w:rtl/>
        </w:rPr>
        <w:t>2019</w:t>
      </w:r>
      <w:r w:rsidRPr="00B13A52">
        <w:rPr>
          <w:rFonts w:eastAsiaTheme="minorEastAsia"/>
          <w:rtl/>
        </w:rPr>
        <w:t xml:space="preserve">، تذكر الدولة الطرف مجدداً أن من غير الضروري أن يكون التربح هو الغرض لكي يعتبر النشاط عملاً؛ وبناء على ذلك، يخضع الدخل المترتب على ذلك للضريبة. وتكرر الدولة الطرف كذلك حججها المتعلقة بعدم استنفاد سبل الانتصاف المحلية بسبب عدم ذكر صاحبة البلاغ سنها وعدم قدرتها على العمل طوال الإجراءات المحلية. وعلى أي حال، يبدو أن هذه الادعاءات تتعلق بتطبيق القانون المحلي، وهو أمر يدخل في ضمن اختصاص المحاكم الوطنية. وفيما يتعلق بمسألة ما إذا كانت الشكوى متوافقة من حيث </w:t>
      </w:r>
      <w:r w:rsidRPr="00B913FF">
        <w:rPr>
          <w:rFonts w:eastAsiaTheme="minorEastAsia"/>
          <w:i/>
          <w:iCs/>
          <w:rtl/>
        </w:rPr>
        <w:t>الاختصاص الموضوعي</w:t>
      </w:r>
      <w:r w:rsidRPr="00B13A52">
        <w:rPr>
          <w:rFonts w:eastAsiaTheme="minorEastAsia"/>
          <w:rtl/>
        </w:rPr>
        <w:t xml:space="preserve"> مع أحكام العهد، تدفع الدولة الطرف بأنه حتى لو سلم المرء بأن الجملة الأولى من المادة </w:t>
      </w:r>
      <w:r w:rsidRPr="00A315B0">
        <w:rPr>
          <w:rFonts w:eastAsiaTheme="minorEastAsia"/>
          <w:szCs w:val="20"/>
          <w:rtl/>
        </w:rPr>
        <w:t>14</w:t>
      </w:r>
      <w:r w:rsidRPr="00B13A52">
        <w:rPr>
          <w:rFonts w:eastAsiaTheme="minorEastAsia"/>
          <w:szCs w:val="20"/>
          <w:rtl/>
        </w:rPr>
        <w:t>(</w:t>
      </w:r>
      <w:r w:rsidRPr="00A315B0">
        <w:rPr>
          <w:rFonts w:eastAsiaTheme="minorEastAsia"/>
          <w:szCs w:val="20"/>
          <w:rtl/>
        </w:rPr>
        <w:t>1</w:t>
      </w:r>
      <w:r w:rsidRPr="00B13A52">
        <w:rPr>
          <w:rFonts w:eastAsiaTheme="minorEastAsia"/>
          <w:szCs w:val="20"/>
          <w:rtl/>
        </w:rPr>
        <w:t>)</w:t>
      </w:r>
      <w:r w:rsidRPr="00B13A52">
        <w:rPr>
          <w:rFonts w:eastAsiaTheme="minorEastAsia"/>
          <w:rtl/>
        </w:rPr>
        <w:t xml:space="preserve"> تشمل إجراءات المحاكم الإدارية، فإن الادعاءات التي أثارتها صاحبة البلاغ لا تندرج في ضمن نطاق الحماية المكرسة في</w:t>
      </w:r>
      <w:r w:rsidRPr="00A315B0">
        <w:rPr>
          <w:rFonts w:eastAsiaTheme="minorEastAsia"/>
          <w:rtl/>
        </w:rPr>
        <w:t xml:space="preserve"> هذه المادة</w:t>
      </w:r>
      <w:r w:rsidRPr="00B13A52">
        <w:rPr>
          <w:rFonts w:eastAsiaTheme="minorEastAsia"/>
          <w:rtl/>
        </w:rPr>
        <w:t xml:space="preserve">، التي تتعلق أساساً بالمساواة أمام المحاكم. وفيما يتعلق بالجملة الثانية من المادة </w:t>
      </w:r>
      <w:r w:rsidRPr="00A315B0">
        <w:rPr>
          <w:rFonts w:eastAsiaTheme="minorEastAsia"/>
          <w:szCs w:val="20"/>
          <w:rtl/>
        </w:rPr>
        <w:t>14</w:t>
      </w:r>
      <w:r w:rsidRPr="00B13A52">
        <w:rPr>
          <w:rFonts w:eastAsiaTheme="minorEastAsia"/>
          <w:szCs w:val="20"/>
          <w:rtl/>
        </w:rPr>
        <w:t>(</w:t>
      </w:r>
      <w:r w:rsidRPr="00A315B0">
        <w:rPr>
          <w:rFonts w:eastAsiaTheme="minorEastAsia"/>
          <w:szCs w:val="20"/>
          <w:rtl/>
        </w:rPr>
        <w:t>1</w:t>
      </w:r>
      <w:r w:rsidRPr="00B13A52">
        <w:rPr>
          <w:rFonts w:eastAsiaTheme="minorEastAsia"/>
          <w:szCs w:val="20"/>
          <w:rtl/>
        </w:rPr>
        <w:t>)</w:t>
      </w:r>
      <w:r w:rsidRPr="00B13A52">
        <w:rPr>
          <w:rFonts w:eastAsiaTheme="minorEastAsia"/>
          <w:rtl/>
        </w:rPr>
        <w:t xml:space="preserve">، تشدد الدولة الطرف على أن الإجراءات المحلية لم تكن تتعلق بحق صاحبة البلاغ في الحصول على إعفاء ضريبي قائم، ومن ثم فإن ادعاءاتها تتعارض من حيث </w:t>
      </w:r>
      <w:r w:rsidRPr="00B913FF">
        <w:rPr>
          <w:rFonts w:eastAsiaTheme="minorEastAsia"/>
          <w:i/>
          <w:iCs/>
          <w:rtl/>
        </w:rPr>
        <w:t>الاختصاص الموضوعي</w:t>
      </w:r>
      <w:r w:rsidRPr="00B13A52">
        <w:rPr>
          <w:rFonts w:eastAsiaTheme="minorEastAsia"/>
          <w:rtl/>
        </w:rPr>
        <w:t xml:space="preserve"> مع أحكام العهد. وفيما يتعلق بالأسس الموضوعية للقضية، تؤكد الدولة الطرف أن القانون والسوابق القضائية للمحاكم هي التي ينبغي أن تُؤخذ في الاعتبار عند تقييم طلب صاحبة البلاغ إعفاءها من الضريبة. غير أن القوانين والاجتهادات القضائية لا تشير إلى وجود إعفاء ذي طابع عام. </w:t>
      </w:r>
      <w:proofErr w:type="spellStart"/>
      <w:r w:rsidRPr="00B13A52">
        <w:rPr>
          <w:rFonts w:eastAsiaTheme="minorEastAsia"/>
          <w:rtl/>
        </w:rPr>
        <w:t>فالتذييلات</w:t>
      </w:r>
      <w:proofErr w:type="spellEnd"/>
      <w:r w:rsidRPr="00B13A52">
        <w:rPr>
          <w:rFonts w:eastAsiaTheme="minorEastAsia"/>
          <w:rtl/>
        </w:rPr>
        <w:t xml:space="preserve"> التي قدمتها صاحبة البلاغ </w:t>
      </w:r>
      <w:r w:rsidRPr="00A315B0">
        <w:rPr>
          <w:rFonts w:eastAsiaTheme="minorEastAsia"/>
          <w:rtl/>
        </w:rPr>
        <w:t xml:space="preserve">تحتوي على بيانات غير مدعومة بأدلة. وحتى إذا افترضنا أن بعض الجماعات الدينية تضم فعلاً أعضاء معفيين من الضريبة، فقد تكون هذه الحالات متفرقة وناتجة عن تقييمات فردية تستند إلى معايير موضوعية للقانون. وتدفع الدولة الطرف كذلك بأن ادعاء صاحبة البلاغ الذي أثارته مؤخراً - أي أن من شأن ما تدعي أنه معاملة </w:t>
      </w:r>
      <w:proofErr w:type="spellStart"/>
      <w:r w:rsidRPr="00A315B0">
        <w:rPr>
          <w:rFonts w:eastAsiaTheme="minorEastAsia"/>
          <w:rtl/>
        </w:rPr>
        <w:t>تمايزية</w:t>
      </w:r>
      <w:proofErr w:type="spellEnd"/>
      <w:r w:rsidRPr="00A315B0">
        <w:rPr>
          <w:rFonts w:eastAsiaTheme="minorEastAsia"/>
          <w:rtl/>
        </w:rPr>
        <w:t xml:space="preserve"> أن يسيء لصورة جماعتها، ويفضي من ثم إلى إضعاف حقها في المجاهرة بدينها - لا يثير مسألة منفصلة من منظور المادة </w:t>
      </w:r>
      <w:r w:rsidRPr="00A315B0">
        <w:rPr>
          <w:rFonts w:eastAsiaTheme="minorEastAsia"/>
          <w:szCs w:val="20"/>
          <w:rtl/>
        </w:rPr>
        <w:t>18</w:t>
      </w:r>
      <w:r w:rsidRPr="00A315B0">
        <w:rPr>
          <w:rFonts w:eastAsiaTheme="minorEastAsia"/>
          <w:rtl/>
        </w:rPr>
        <w:t xml:space="preserve"> من العهد.</w:t>
      </w:r>
      <w:r w:rsidRPr="00B13A52">
        <w:rPr>
          <w:rFonts w:eastAsiaTheme="minorEastAsia"/>
          <w:rtl/>
        </w:rPr>
        <w:t xml:space="preserve"> </w:t>
      </w:r>
    </w:p>
    <w:p w14:paraId="01181BB8" w14:textId="77777777" w:rsidR="00211607" w:rsidRPr="00B13A52" w:rsidRDefault="00211607" w:rsidP="007232E9">
      <w:pPr>
        <w:pStyle w:val="H23GA"/>
        <w:rPr>
          <w:rFonts w:eastAsiaTheme="minorEastAsia"/>
          <w:szCs w:val="20"/>
          <w:lang w:val="ar-SA" w:eastAsia="zh-TW" w:bidi="en-GB"/>
        </w:rPr>
      </w:pPr>
      <w:r w:rsidRPr="00B13A52">
        <w:rPr>
          <w:rFonts w:eastAsiaTheme="minorEastAsia"/>
          <w:rtl/>
        </w:rPr>
        <w:tab/>
      </w:r>
      <w:r w:rsidRPr="00B13A52">
        <w:rPr>
          <w:rFonts w:eastAsiaTheme="minorEastAsia"/>
          <w:rtl/>
        </w:rPr>
        <w:tab/>
        <w:t>المسائل والإجراءات المعروضة على اللجنة</w:t>
      </w:r>
    </w:p>
    <w:p w14:paraId="14EC1B9E" w14:textId="77777777" w:rsidR="00211607" w:rsidRPr="00B13A52" w:rsidRDefault="00211607" w:rsidP="00C414B0">
      <w:pPr>
        <w:pStyle w:val="H4GA"/>
        <w:rPr>
          <w:rFonts w:eastAsiaTheme="minorEastAsia"/>
          <w:szCs w:val="20"/>
          <w:lang w:val="ar-SA" w:eastAsia="zh-TW" w:bidi="en-GB"/>
        </w:rPr>
      </w:pPr>
      <w:r w:rsidRPr="00B13A52">
        <w:rPr>
          <w:rFonts w:eastAsiaTheme="minorEastAsia"/>
          <w:rtl/>
        </w:rPr>
        <w:tab/>
      </w:r>
      <w:r w:rsidRPr="00B13A52">
        <w:rPr>
          <w:rFonts w:eastAsiaTheme="minorEastAsia"/>
          <w:rtl/>
        </w:rPr>
        <w:tab/>
        <w:t>النظر في المقبولية</w:t>
      </w:r>
    </w:p>
    <w:p w14:paraId="40EC3199"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1</w:t>
      </w:r>
      <w:r w:rsidRPr="00B13A52">
        <w:rPr>
          <w:rFonts w:eastAsiaTheme="minorEastAsia"/>
          <w:rtl/>
        </w:rPr>
        <w:tab/>
        <w:t xml:space="preserve">قبل النظر في أي ادعاء يرد في بلاغ ما، يجب على اللجنة أن تقرر، عملاً بالمادة </w:t>
      </w:r>
      <w:r w:rsidRPr="00A315B0">
        <w:rPr>
          <w:rFonts w:eastAsiaTheme="minorEastAsia"/>
          <w:szCs w:val="20"/>
          <w:rtl/>
        </w:rPr>
        <w:t>97</w:t>
      </w:r>
      <w:r w:rsidRPr="00B13A52">
        <w:rPr>
          <w:rFonts w:eastAsiaTheme="minorEastAsia"/>
          <w:rtl/>
        </w:rPr>
        <w:t xml:space="preserve"> من نظامها الداخلي، ما إذا كان البلاغ مقبولاً أم لا بموجب البروتوكول الاختياري.</w:t>
      </w:r>
    </w:p>
    <w:p w14:paraId="40379E93" w14:textId="4BFE7CA9"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2</w:t>
      </w:r>
      <w:r w:rsidRPr="00B13A52">
        <w:rPr>
          <w:rFonts w:eastAsiaTheme="minorEastAsia"/>
          <w:rtl/>
        </w:rPr>
        <w:tab/>
        <w:t xml:space="preserve">وتلاحظ اللجنة أن صاحبة البلاغ سبق أن قدمت طلبين إلى المحكمة الأوروبية لحقوق الإنسان التي أعلنت عدم قبولهما في عامي </w:t>
      </w:r>
      <w:r w:rsidRPr="00A315B0">
        <w:rPr>
          <w:rFonts w:eastAsiaTheme="minorEastAsia"/>
          <w:szCs w:val="20"/>
          <w:rtl/>
        </w:rPr>
        <w:t>2013</w:t>
      </w:r>
      <w:r w:rsidRPr="00B13A52">
        <w:rPr>
          <w:rFonts w:eastAsiaTheme="minorEastAsia"/>
          <w:rtl/>
        </w:rPr>
        <w:t xml:space="preserve"> و</w:t>
      </w:r>
      <w:r w:rsidRPr="00A315B0">
        <w:rPr>
          <w:rFonts w:eastAsiaTheme="minorEastAsia"/>
          <w:szCs w:val="20"/>
          <w:rtl/>
        </w:rPr>
        <w:t>2015</w:t>
      </w:r>
      <w:r w:rsidRPr="00B13A52">
        <w:rPr>
          <w:rFonts w:eastAsiaTheme="minorEastAsia"/>
          <w:szCs w:val="20"/>
          <w:rtl/>
        </w:rPr>
        <w:t>.</w:t>
      </w:r>
      <w:r w:rsidRPr="00B13A52">
        <w:rPr>
          <w:rFonts w:eastAsiaTheme="minorEastAsia"/>
          <w:rtl/>
        </w:rPr>
        <w:t xml:space="preserve"> وتلاحظ اللجنة أن الطلب الذي قدمته صاحبة البلاغ في عام </w:t>
      </w:r>
      <w:r w:rsidRPr="00A315B0">
        <w:rPr>
          <w:rFonts w:eastAsiaTheme="minorEastAsia"/>
          <w:szCs w:val="20"/>
          <w:rtl/>
        </w:rPr>
        <w:t>2013</w:t>
      </w:r>
      <w:r w:rsidRPr="00B13A52">
        <w:rPr>
          <w:rFonts w:eastAsiaTheme="minorEastAsia"/>
          <w:rtl/>
        </w:rPr>
        <w:t xml:space="preserve"> إلى المحكمة الأوروبية كان يتعلق بتقييم الضريبة المفروضة على صاحبة البلاغ عن الفترة</w:t>
      </w:r>
      <w:r w:rsidR="00B913FF">
        <w:rPr>
          <w:rFonts w:eastAsiaTheme="minorEastAsia" w:hint="cs"/>
          <w:rtl/>
        </w:rPr>
        <w:t> </w:t>
      </w:r>
      <w:r w:rsidRPr="00A315B0">
        <w:rPr>
          <w:rFonts w:eastAsiaTheme="minorEastAsia"/>
          <w:szCs w:val="20"/>
          <w:rtl/>
        </w:rPr>
        <w:t>2004</w:t>
      </w:r>
      <w:r w:rsidRPr="00B13A52">
        <w:rPr>
          <w:rFonts w:eastAsiaTheme="minorEastAsia"/>
          <w:szCs w:val="20"/>
          <w:rtl/>
        </w:rPr>
        <w:t>-</w:t>
      </w:r>
      <w:r w:rsidRPr="00A315B0">
        <w:rPr>
          <w:rFonts w:eastAsiaTheme="minorEastAsia"/>
          <w:szCs w:val="20"/>
          <w:rtl/>
        </w:rPr>
        <w:t>2011</w:t>
      </w:r>
      <w:r w:rsidRPr="00B13A52">
        <w:rPr>
          <w:rFonts w:eastAsiaTheme="minorEastAsia"/>
          <w:rtl/>
        </w:rPr>
        <w:t xml:space="preserve"> والإجراءات المحلية ذات الصلة. غير أن هذه الشواغل لا تشكل جزءاً من الدراسة الحالية التي تجريها اللجنة بناء على الطلب الصريح الذي قدمته صاحبة البلاغ. وبناءً على ذلك، ستحصر اللجنة هذا الجزء من نظرها في القضية في</w:t>
      </w:r>
      <w:r w:rsidR="000918FC" w:rsidRPr="00B13A52">
        <w:rPr>
          <w:rFonts w:eastAsiaTheme="minorEastAsia"/>
          <w:rtl/>
        </w:rPr>
        <w:t xml:space="preserve"> </w:t>
      </w:r>
      <w:r w:rsidRPr="00B13A52">
        <w:rPr>
          <w:rFonts w:eastAsiaTheme="minorEastAsia"/>
          <w:rtl/>
        </w:rPr>
        <w:t xml:space="preserve">الطلب الذي قدمته صاحبة البلاغ إلى المحكمة الأوروبية في عام </w:t>
      </w:r>
      <w:r w:rsidRPr="00A315B0">
        <w:rPr>
          <w:rFonts w:eastAsiaTheme="minorEastAsia"/>
          <w:szCs w:val="20"/>
          <w:rtl/>
        </w:rPr>
        <w:t>2015</w:t>
      </w:r>
      <w:r w:rsidRPr="00B13A52">
        <w:rPr>
          <w:rFonts w:eastAsiaTheme="minorEastAsia"/>
          <w:szCs w:val="20"/>
          <w:rtl/>
        </w:rPr>
        <w:t>.</w:t>
      </w:r>
      <w:r w:rsidRPr="00B13A52">
        <w:rPr>
          <w:rFonts w:eastAsiaTheme="minorEastAsia"/>
          <w:rtl/>
        </w:rPr>
        <w:t xml:space="preserve"> وتذكّر اللجنة بأن الدولة الطرف أبدت تحفظاً على المادة </w:t>
      </w:r>
      <w:r w:rsidRPr="00A315B0">
        <w:rPr>
          <w:rFonts w:eastAsiaTheme="minorEastAsia"/>
          <w:szCs w:val="20"/>
          <w:rtl/>
        </w:rPr>
        <w:t>5</w:t>
      </w:r>
      <w:r w:rsidRPr="00B13A52">
        <w:rPr>
          <w:rFonts w:eastAsiaTheme="minorEastAsia"/>
          <w:szCs w:val="20"/>
          <w:rtl/>
        </w:rPr>
        <w:t>(</w:t>
      </w:r>
      <w:r w:rsidRPr="00A315B0">
        <w:rPr>
          <w:rFonts w:eastAsiaTheme="minorEastAsia"/>
          <w:szCs w:val="20"/>
          <w:rtl/>
        </w:rPr>
        <w:t>2</w:t>
      </w:r>
      <w:r w:rsidRPr="00B13A52">
        <w:rPr>
          <w:rFonts w:eastAsiaTheme="minorEastAsia"/>
          <w:szCs w:val="20"/>
          <w:rtl/>
        </w:rPr>
        <w:t>)(</w:t>
      </w:r>
      <w:r w:rsidRPr="00B13A52">
        <w:rPr>
          <w:rFonts w:eastAsiaTheme="minorEastAsia"/>
          <w:rtl/>
        </w:rPr>
        <w:t>أ</w:t>
      </w:r>
      <w:r w:rsidRPr="00B13A52">
        <w:rPr>
          <w:rFonts w:eastAsiaTheme="minorEastAsia"/>
          <w:szCs w:val="20"/>
          <w:rtl/>
        </w:rPr>
        <w:t>)</w:t>
      </w:r>
      <w:r w:rsidRPr="00B13A52">
        <w:rPr>
          <w:rFonts w:eastAsiaTheme="minorEastAsia"/>
          <w:rtl/>
        </w:rPr>
        <w:t xml:space="preserve"> من العهد لمنع اللجنة من النظر في البلاغات التي سبق أن نظرت فيها هيئة دولية أخرى. غير أن اللجنة تذكّر، من جهة أخرى، باجتهاداتها الثابتة التي تفيد</w:t>
      </w:r>
      <w:r w:rsidR="000918FC" w:rsidRPr="00B13A52">
        <w:rPr>
          <w:rFonts w:eastAsiaTheme="minorEastAsia"/>
          <w:rtl/>
        </w:rPr>
        <w:t xml:space="preserve"> </w:t>
      </w:r>
      <w:r w:rsidRPr="00B13A52">
        <w:rPr>
          <w:rFonts w:eastAsiaTheme="minorEastAsia"/>
          <w:rtl/>
        </w:rPr>
        <w:t>بأن</w:t>
      </w:r>
      <w:r w:rsidR="000918FC" w:rsidRPr="00B13A52">
        <w:rPr>
          <w:rFonts w:eastAsiaTheme="minorEastAsia"/>
          <w:rtl/>
        </w:rPr>
        <w:t xml:space="preserve"> </w:t>
      </w:r>
      <w:r w:rsidRPr="00B13A52">
        <w:rPr>
          <w:rFonts w:eastAsiaTheme="minorEastAsia"/>
          <w:rtl/>
        </w:rPr>
        <w:t>رفض هيئة دولية أخرى، مثل المحكمة الأوروبية لحقوق الإنسان، شكوى ما لأسباب إجرائية دون النظر في أسسها الموضوعية لا يسمح بالقول إنه "تمَّ النظر" في الشكوى سعياً إلى إقصاء اختصاص اللجنة</w:t>
      </w:r>
      <w:r w:rsidR="007232E9" w:rsidRPr="00B13A52">
        <w:rPr>
          <w:rStyle w:val="FootnoteReference"/>
          <w:rFonts w:eastAsiaTheme="minorEastAsia"/>
          <w:rtl/>
        </w:rPr>
        <w:t>(</w:t>
      </w:r>
      <w:r w:rsidR="007232E9" w:rsidRPr="00A315B0">
        <w:rPr>
          <w:rStyle w:val="FootnoteReference"/>
          <w:rFonts w:eastAsiaTheme="minorEastAsia"/>
          <w:rtl/>
        </w:rPr>
        <w:footnoteReference w:id="26"/>
      </w:r>
      <w:r w:rsidR="007232E9" w:rsidRPr="00B13A52">
        <w:rPr>
          <w:rStyle w:val="FootnoteReference"/>
          <w:rFonts w:eastAsiaTheme="minorEastAsia"/>
          <w:rtl/>
        </w:rPr>
        <w:t>)</w:t>
      </w:r>
      <w:r w:rsidR="00C414B0" w:rsidRPr="00B13A52">
        <w:rPr>
          <w:rFonts w:eastAsiaTheme="minorEastAsia" w:hint="cs"/>
          <w:rtl/>
        </w:rPr>
        <w:t>.</w:t>
      </w:r>
    </w:p>
    <w:p w14:paraId="30CB436C" w14:textId="5C7AD98D"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3</w:t>
      </w:r>
      <w:r w:rsidRPr="00B13A52">
        <w:rPr>
          <w:rFonts w:eastAsiaTheme="minorEastAsia"/>
          <w:rtl/>
        </w:rPr>
        <w:tab/>
        <w:t xml:space="preserve">وفي هذه القضية، رُفض الطلب الذي قدمته صاحبة البلاغ في عام </w:t>
      </w:r>
      <w:r w:rsidRPr="00A315B0">
        <w:rPr>
          <w:rFonts w:eastAsiaTheme="minorEastAsia"/>
          <w:szCs w:val="20"/>
          <w:rtl/>
        </w:rPr>
        <w:t>2015</w:t>
      </w:r>
      <w:r w:rsidRPr="00B13A52">
        <w:rPr>
          <w:rFonts w:eastAsiaTheme="minorEastAsia"/>
          <w:rtl/>
        </w:rPr>
        <w:t xml:space="preserve"> إلى المحكمة الأوروبية لحقوق الإنسان المنعقدة بهيئة قاض منفرد في </w:t>
      </w:r>
      <w:r w:rsidRPr="00A315B0">
        <w:rPr>
          <w:rFonts w:eastAsiaTheme="minorEastAsia"/>
          <w:szCs w:val="20"/>
          <w:rtl/>
        </w:rPr>
        <w:t>1</w:t>
      </w:r>
      <w:r w:rsidRPr="00B13A52">
        <w:rPr>
          <w:rFonts w:eastAsiaTheme="minorEastAsia"/>
          <w:rtl/>
        </w:rPr>
        <w:t xml:space="preserve"> تشرين الأول/أكتوبر </w:t>
      </w:r>
      <w:r w:rsidRPr="00A315B0">
        <w:rPr>
          <w:rFonts w:eastAsiaTheme="minorEastAsia"/>
          <w:szCs w:val="20"/>
          <w:rtl/>
        </w:rPr>
        <w:t>2015</w:t>
      </w:r>
      <w:r w:rsidRPr="00B13A52">
        <w:rPr>
          <w:rFonts w:eastAsiaTheme="minorEastAsia"/>
          <w:rtl/>
        </w:rPr>
        <w:t xml:space="preserve">، حيث اتضح أن معايير المقبولية المنصوص عليها في المادتين </w:t>
      </w:r>
      <w:r w:rsidRPr="00A315B0">
        <w:rPr>
          <w:rFonts w:eastAsiaTheme="minorEastAsia"/>
          <w:szCs w:val="20"/>
          <w:rtl/>
        </w:rPr>
        <w:t>34</w:t>
      </w:r>
      <w:r w:rsidRPr="00B13A52">
        <w:rPr>
          <w:rFonts w:eastAsiaTheme="minorEastAsia"/>
          <w:rtl/>
        </w:rPr>
        <w:t xml:space="preserve"> و</w:t>
      </w:r>
      <w:r w:rsidRPr="00A315B0">
        <w:rPr>
          <w:rFonts w:eastAsiaTheme="minorEastAsia"/>
          <w:szCs w:val="20"/>
          <w:rtl/>
        </w:rPr>
        <w:t>35</w:t>
      </w:r>
      <w:r w:rsidRPr="00B13A52">
        <w:rPr>
          <w:rFonts w:eastAsiaTheme="minorEastAsia"/>
          <w:rtl/>
        </w:rPr>
        <w:t xml:space="preserve"> من الاتفاقية الأوروبية لحقوق الإنسان لم تُستوف. وفي هذا الصدد، تلاحظ اللجنة حجة الدولة الطرف بأنه ليس في بلاغ صاحبة البلاغ إلى اللجنة ما يشير إلى أن طلبها المقدم إلى المحكمة الأوروبية في عام </w:t>
      </w:r>
      <w:r w:rsidRPr="00A315B0">
        <w:rPr>
          <w:rFonts w:eastAsiaTheme="minorEastAsia"/>
          <w:szCs w:val="20"/>
          <w:rtl/>
        </w:rPr>
        <w:t>2015</w:t>
      </w:r>
      <w:r w:rsidRPr="00B13A52">
        <w:rPr>
          <w:rFonts w:eastAsiaTheme="minorEastAsia"/>
          <w:rtl/>
        </w:rPr>
        <w:t xml:space="preserve"> لم يستوف المعايير الرسمية البحتة المنصوص عليها في المادتين </w:t>
      </w:r>
      <w:r w:rsidRPr="00A315B0">
        <w:rPr>
          <w:rFonts w:eastAsiaTheme="minorEastAsia"/>
          <w:szCs w:val="20"/>
          <w:rtl/>
        </w:rPr>
        <w:t>34</w:t>
      </w:r>
      <w:r w:rsidRPr="00B13A52">
        <w:rPr>
          <w:rFonts w:eastAsiaTheme="minorEastAsia"/>
          <w:rtl/>
        </w:rPr>
        <w:t xml:space="preserve"> و</w:t>
      </w:r>
      <w:r w:rsidRPr="00A315B0">
        <w:rPr>
          <w:rFonts w:eastAsiaTheme="minorEastAsia"/>
          <w:szCs w:val="20"/>
          <w:rtl/>
        </w:rPr>
        <w:t>35</w:t>
      </w:r>
      <w:r w:rsidRPr="00B13A52">
        <w:rPr>
          <w:rFonts w:eastAsiaTheme="minorEastAsia"/>
          <w:szCs w:val="20"/>
          <w:rtl/>
        </w:rPr>
        <w:t>(</w:t>
      </w:r>
      <w:r w:rsidRPr="00A315B0">
        <w:rPr>
          <w:rFonts w:eastAsiaTheme="minorEastAsia"/>
          <w:szCs w:val="20"/>
          <w:rtl/>
        </w:rPr>
        <w:t>1</w:t>
      </w:r>
      <w:r w:rsidRPr="00B13A52">
        <w:rPr>
          <w:rFonts w:eastAsiaTheme="minorEastAsia"/>
          <w:szCs w:val="20"/>
          <w:rtl/>
        </w:rPr>
        <w:t>)</w:t>
      </w:r>
      <w:r w:rsidRPr="00B13A52">
        <w:rPr>
          <w:rFonts w:eastAsiaTheme="minorEastAsia"/>
          <w:rtl/>
        </w:rPr>
        <w:t xml:space="preserve"> و</w:t>
      </w:r>
      <w:r w:rsidRPr="00B13A52">
        <w:rPr>
          <w:rFonts w:eastAsiaTheme="minorEastAsia"/>
          <w:szCs w:val="20"/>
          <w:rtl/>
        </w:rPr>
        <w:t>(</w:t>
      </w:r>
      <w:r w:rsidRPr="00A315B0">
        <w:rPr>
          <w:rFonts w:eastAsiaTheme="minorEastAsia"/>
          <w:szCs w:val="20"/>
          <w:rtl/>
        </w:rPr>
        <w:t>2</w:t>
      </w:r>
      <w:r w:rsidRPr="00B13A52">
        <w:rPr>
          <w:rFonts w:eastAsiaTheme="minorEastAsia"/>
          <w:szCs w:val="20"/>
          <w:rtl/>
        </w:rPr>
        <w:t>)</w:t>
      </w:r>
      <w:r w:rsidRPr="00B13A52">
        <w:rPr>
          <w:rFonts w:eastAsiaTheme="minorEastAsia"/>
          <w:rtl/>
        </w:rPr>
        <w:t xml:space="preserve"> من الاتفاقية. وعلاوة على ذلك، يجب أن تشمل أسباب عدم المقبولية المنصوص عليها في المادة </w:t>
      </w:r>
      <w:r w:rsidRPr="00A315B0">
        <w:rPr>
          <w:rFonts w:eastAsiaTheme="minorEastAsia"/>
          <w:szCs w:val="20"/>
          <w:rtl/>
        </w:rPr>
        <w:t>35</w:t>
      </w:r>
      <w:r w:rsidR="000918FC" w:rsidRPr="00B13A52">
        <w:rPr>
          <w:rFonts w:eastAsiaTheme="minorEastAsia"/>
          <w:szCs w:val="20"/>
          <w:rtl/>
        </w:rPr>
        <w:t>(</w:t>
      </w:r>
      <w:r w:rsidRPr="00A315B0">
        <w:rPr>
          <w:rFonts w:eastAsiaTheme="minorEastAsia"/>
          <w:szCs w:val="20"/>
          <w:rtl/>
        </w:rPr>
        <w:t>3</w:t>
      </w:r>
      <w:r w:rsidRPr="00B13A52">
        <w:rPr>
          <w:rFonts w:eastAsiaTheme="minorEastAsia"/>
          <w:szCs w:val="20"/>
          <w:rtl/>
        </w:rPr>
        <w:t>)</w:t>
      </w:r>
      <w:r w:rsidR="000918FC" w:rsidRPr="00B13A52">
        <w:rPr>
          <w:rFonts w:eastAsiaTheme="minorEastAsia"/>
          <w:szCs w:val="20"/>
          <w:rtl/>
        </w:rPr>
        <w:t>(</w:t>
      </w:r>
      <w:r w:rsidRPr="00B13A52">
        <w:rPr>
          <w:rFonts w:eastAsiaTheme="minorEastAsia"/>
          <w:rtl/>
        </w:rPr>
        <w:t>أ</w:t>
      </w:r>
      <w:r w:rsidRPr="00B13A52">
        <w:rPr>
          <w:rFonts w:eastAsiaTheme="minorEastAsia"/>
          <w:szCs w:val="20"/>
          <w:rtl/>
        </w:rPr>
        <w:t>)</w:t>
      </w:r>
      <w:r w:rsidRPr="00B13A52">
        <w:rPr>
          <w:rFonts w:eastAsiaTheme="minorEastAsia"/>
          <w:rtl/>
        </w:rPr>
        <w:t xml:space="preserve"> و(ب) من الاتفاقية، إلى حد ما، النظر في الأسس الموضوعية للقضية. ولهذا السبب، ترى الدولة الطرف أن من الواضح أن الأسس الموضوعية لقضية صاحبة البلاغ قد بُحثت في إطار هيئة أخرى من هيئات التحقيق الدولي أو التسوية الدولية. وتُذكر اللجنة بأن قرار عدم المقبولية الصادر عن المحكمة الأوروبية عندما لا يكون قائماً على أسس إجرائية فحسب، بل أيضاً على أسباب تتضمن قدراً من الاعتبار للأسس الموضوعية للقضية، فإن المسألة نفسها ينبغي أن تُعتبَر </w:t>
      </w:r>
      <w:r w:rsidRPr="00A315B0">
        <w:rPr>
          <w:rFonts w:eastAsiaTheme="minorEastAsia"/>
          <w:rtl/>
        </w:rPr>
        <w:t>"محل دراسة"</w:t>
      </w:r>
      <w:r w:rsidRPr="00B13A52">
        <w:rPr>
          <w:rFonts w:eastAsiaTheme="minorEastAsia"/>
          <w:rtl/>
        </w:rPr>
        <w:t xml:space="preserve"> بالمعنى المقصود في التحفظات على المادة </w:t>
      </w:r>
      <w:r w:rsidRPr="00A315B0">
        <w:rPr>
          <w:rFonts w:eastAsiaTheme="minorEastAsia"/>
          <w:szCs w:val="20"/>
          <w:rtl/>
        </w:rPr>
        <w:t>5</w:t>
      </w:r>
      <w:r w:rsidRPr="00B13A52">
        <w:rPr>
          <w:rFonts w:eastAsiaTheme="minorEastAsia"/>
          <w:szCs w:val="20"/>
          <w:rtl/>
        </w:rPr>
        <w:t>(</w:t>
      </w:r>
      <w:r w:rsidRPr="00A315B0">
        <w:rPr>
          <w:rFonts w:eastAsiaTheme="minorEastAsia"/>
          <w:szCs w:val="20"/>
          <w:rtl/>
        </w:rPr>
        <w:t>2</w:t>
      </w:r>
      <w:r w:rsidRPr="00B13A52">
        <w:rPr>
          <w:rFonts w:eastAsiaTheme="minorEastAsia"/>
          <w:szCs w:val="20"/>
          <w:rtl/>
        </w:rPr>
        <w:t>)(</w:t>
      </w:r>
      <w:r w:rsidRPr="00B13A52">
        <w:rPr>
          <w:rFonts w:eastAsiaTheme="minorEastAsia"/>
          <w:rtl/>
        </w:rPr>
        <w:t>أ</w:t>
      </w:r>
      <w:r w:rsidRPr="00B13A52">
        <w:rPr>
          <w:rFonts w:eastAsiaTheme="minorEastAsia"/>
          <w:szCs w:val="20"/>
          <w:rtl/>
        </w:rPr>
        <w:t>)</w:t>
      </w:r>
      <w:r w:rsidRPr="00B13A52">
        <w:rPr>
          <w:rFonts w:eastAsiaTheme="minorEastAsia"/>
          <w:rtl/>
        </w:rPr>
        <w:t xml:space="preserve"> من البروتوكول الاختياري. غير أن الاستدلال المحدود الوارد في رسالة المحكمة للجنة لا يتيح، في الملابسات الخاصة لهذه القضية، افتراض أن الدراسة شملت استعراضاً كافياً للأسس الموضوعية، وفقاً للمعلومات المقدمة إلى اللجنة من صاحبة البلاغ والدولة الطرف على السواء.</w:t>
      </w:r>
      <w:r w:rsidRPr="00B13A52">
        <w:rPr>
          <w:rFonts w:eastAsiaTheme="minorEastAsia" w:cs="Times New Roman" w:hint="cs"/>
          <w:rtl/>
        </w:rPr>
        <w:t>‬</w:t>
      </w:r>
      <w:r w:rsidRPr="00B13A52">
        <w:rPr>
          <w:rFonts w:eastAsiaTheme="minorEastAsia"/>
          <w:rtl/>
        </w:rPr>
        <w:t xml:space="preserve"> </w:t>
      </w:r>
      <w:r w:rsidRPr="00B13A52">
        <w:rPr>
          <w:rFonts w:eastAsiaTheme="minorEastAsia" w:hint="cs"/>
          <w:rtl/>
        </w:rPr>
        <w:t>وبناء</w:t>
      </w:r>
      <w:r w:rsidRPr="00B13A52">
        <w:rPr>
          <w:rFonts w:eastAsiaTheme="minorEastAsia"/>
          <w:rtl/>
        </w:rPr>
        <w:t xml:space="preserve"> على ذلك، ترى اللجنة أنه لا توجد أي عائق يحول دون النظر في هذا البلاغ بموجب المادة </w:t>
      </w:r>
      <w:r w:rsidRPr="00A315B0">
        <w:rPr>
          <w:rFonts w:eastAsiaTheme="minorEastAsia"/>
          <w:szCs w:val="20"/>
          <w:rtl/>
        </w:rPr>
        <w:t>5</w:t>
      </w:r>
      <w:r w:rsidRPr="00B13A52">
        <w:rPr>
          <w:rFonts w:eastAsiaTheme="minorEastAsia"/>
          <w:szCs w:val="20"/>
          <w:rtl/>
        </w:rPr>
        <w:t>(</w:t>
      </w:r>
      <w:r w:rsidRPr="00A315B0">
        <w:rPr>
          <w:rFonts w:eastAsiaTheme="minorEastAsia"/>
          <w:szCs w:val="20"/>
          <w:rtl/>
        </w:rPr>
        <w:t>2</w:t>
      </w:r>
      <w:r w:rsidRPr="00B13A52">
        <w:rPr>
          <w:rFonts w:eastAsiaTheme="minorEastAsia"/>
          <w:szCs w:val="20"/>
          <w:rtl/>
        </w:rPr>
        <w:t>)(</w:t>
      </w:r>
      <w:r w:rsidRPr="00B13A52">
        <w:rPr>
          <w:rFonts w:eastAsiaTheme="minorEastAsia"/>
          <w:rtl/>
        </w:rPr>
        <w:t>أ</w:t>
      </w:r>
      <w:r w:rsidRPr="00B13A52">
        <w:rPr>
          <w:rFonts w:eastAsiaTheme="minorEastAsia"/>
          <w:szCs w:val="20"/>
          <w:rtl/>
        </w:rPr>
        <w:t>)</w:t>
      </w:r>
      <w:r w:rsidRPr="00B13A52">
        <w:rPr>
          <w:rFonts w:eastAsiaTheme="minorEastAsia"/>
          <w:rtl/>
        </w:rPr>
        <w:t xml:space="preserve"> من البروتوكول الاختياري</w:t>
      </w:r>
      <w:r w:rsidR="007232E9" w:rsidRPr="00B13A52">
        <w:rPr>
          <w:rStyle w:val="FootnoteReference"/>
          <w:rFonts w:eastAsiaTheme="minorEastAsia"/>
          <w:rtl/>
        </w:rPr>
        <w:t>(</w:t>
      </w:r>
      <w:r w:rsidR="007232E9" w:rsidRPr="00A315B0">
        <w:rPr>
          <w:rStyle w:val="FootnoteReference"/>
          <w:rFonts w:eastAsiaTheme="minorEastAsia"/>
          <w:rtl/>
        </w:rPr>
        <w:footnoteReference w:id="27"/>
      </w:r>
      <w:r w:rsidR="007232E9" w:rsidRPr="00B13A52">
        <w:rPr>
          <w:rStyle w:val="FootnoteReference"/>
          <w:rFonts w:eastAsiaTheme="minorEastAsia"/>
          <w:rtl/>
        </w:rPr>
        <w:t>)</w:t>
      </w:r>
      <w:r w:rsidR="00C414B0" w:rsidRPr="00B13A52">
        <w:rPr>
          <w:rStyle w:val="FootnoteReference"/>
          <w:rFonts w:eastAsiaTheme="minorEastAsia" w:hint="cs"/>
          <w:vertAlign w:val="baseline"/>
          <w:rtl/>
        </w:rPr>
        <w:t>.</w:t>
      </w:r>
    </w:p>
    <w:p w14:paraId="00E64DCC" w14:textId="334B20FA"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4</w:t>
      </w:r>
      <w:r w:rsidRPr="00B13A52">
        <w:rPr>
          <w:rFonts w:eastAsiaTheme="minorEastAsia"/>
          <w:rtl/>
        </w:rPr>
        <w:tab/>
        <w:t>وتلاحظ اللجنة أيضاً أن سبل الانتصاف المحلية استُنفدت، على النحو المطلوب بموجب المادة</w:t>
      </w:r>
      <w:r w:rsidR="00C414B0" w:rsidRPr="00B13A52">
        <w:rPr>
          <w:rFonts w:eastAsiaTheme="minorEastAsia" w:hint="cs"/>
          <w:rtl/>
        </w:rPr>
        <w:t> </w:t>
      </w:r>
      <w:r w:rsidRPr="00A315B0">
        <w:rPr>
          <w:rFonts w:eastAsiaTheme="minorEastAsia"/>
          <w:szCs w:val="20"/>
          <w:rtl/>
        </w:rPr>
        <w:t>5</w:t>
      </w:r>
      <w:r w:rsidRPr="00B13A52">
        <w:rPr>
          <w:rFonts w:eastAsiaTheme="minorEastAsia"/>
          <w:szCs w:val="20"/>
          <w:rtl/>
        </w:rPr>
        <w:t>(</w:t>
      </w:r>
      <w:r w:rsidRPr="00A315B0">
        <w:rPr>
          <w:rFonts w:eastAsiaTheme="minorEastAsia"/>
          <w:szCs w:val="20"/>
          <w:rtl/>
        </w:rPr>
        <w:t>2</w:t>
      </w:r>
      <w:r w:rsidRPr="00B13A52">
        <w:rPr>
          <w:rFonts w:eastAsiaTheme="minorEastAsia"/>
          <w:szCs w:val="20"/>
          <w:rtl/>
        </w:rPr>
        <w:t>)(</w:t>
      </w:r>
      <w:r w:rsidRPr="00B13A52">
        <w:rPr>
          <w:rFonts w:eastAsiaTheme="minorEastAsia"/>
          <w:rtl/>
        </w:rPr>
        <w:t>ب</w:t>
      </w:r>
      <w:r w:rsidRPr="00B13A52">
        <w:rPr>
          <w:rFonts w:eastAsiaTheme="minorEastAsia"/>
          <w:szCs w:val="20"/>
          <w:rtl/>
        </w:rPr>
        <w:t>)</w:t>
      </w:r>
      <w:r w:rsidRPr="00B13A52">
        <w:rPr>
          <w:rFonts w:eastAsiaTheme="minorEastAsia"/>
          <w:rtl/>
        </w:rPr>
        <w:t xml:space="preserve"> من البروتوكول الاختياري. وفي هذا الصدد، ترفض اللجنة اعتراضات الدولة الطرف على مقبولية شكوى صاحبة البلاغ، أي أن صاحبة البلاغ لم تثر على المستوى المحلي مسألة عدم قدرتها على العمل بسبب سنها، ولم تطعن أيضاً في رفض طلبها عقد جلسة استماع شفوية باعتبار ذلك انتهاكاً لمبدأ تكافؤ الوسائل. وترى اللجنة أن ادعاءات صاحبة البلاغ في إطار المواد </w:t>
      </w:r>
      <w:r w:rsidRPr="00A315B0">
        <w:rPr>
          <w:rFonts w:eastAsiaTheme="minorEastAsia"/>
          <w:szCs w:val="20"/>
          <w:rtl/>
        </w:rPr>
        <w:t>14</w:t>
      </w:r>
      <w:r w:rsidRPr="00B13A52">
        <w:rPr>
          <w:rFonts w:eastAsiaTheme="minorEastAsia"/>
          <w:szCs w:val="20"/>
          <w:rtl/>
        </w:rPr>
        <w:t>(</w:t>
      </w:r>
      <w:r w:rsidRPr="00A315B0">
        <w:rPr>
          <w:rFonts w:eastAsiaTheme="minorEastAsia"/>
          <w:szCs w:val="20"/>
          <w:rtl/>
        </w:rPr>
        <w:t>1</w:t>
      </w:r>
      <w:r w:rsidRPr="00B13A52">
        <w:rPr>
          <w:rFonts w:eastAsiaTheme="minorEastAsia"/>
          <w:szCs w:val="20"/>
          <w:rtl/>
        </w:rPr>
        <w:t>)</w:t>
      </w:r>
      <w:r w:rsidRPr="00B13A52">
        <w:rPr>
          <w:rFonts w:eastAsiaTheme="minorEastAsia"/>
          <w:rtl/>
        </w:rPr>
        <w:t xml:space="preserve"> و</w:t>
      </w:r>
      <w:r w:rsidRPr="00A315B0">
        <w:rPr>
          <w:rFonts w:eastAsiaTheme="minorEastAsia"/>
          <w:szCs w:val="20"/>
          <w:rtl/>
        </w:rPr>
        <w:t>18</w:t>
      </w:r>
      <w:r w:rsidRPr="00B13A52">
        <w:rPr>
          <w:rFonts w:eastAsiaTheme="minorEastAsia"/>
          <w:rtl/>
        </w:rPr>
        <w:t xml:space="preserve"> و</w:t>
      </w:r>
      <w:r w:rsidRPr="00A315B0">
        <w:rPr>
          <w:rFonts w:eastAsiaTheme="minorEastAsia"/>
          <w:szCs w:val="20"/>
          <w:rtl/>
        </w:rPr>
        <w:t>26</w:t>
      </w:r>
      <w:r w:rsidRPr="00B13A52">
        <w:rPr>
          <w:rFonts w:eastAsiaTheme="minorEastAsia"/>
          <w:rtl/>
        </w:rPr>
        <w:t xml:space="preserve"> من العهد قد</w:t>
      </w:r>
      <w:r w:rsidR="00B913FF">
        <w:rPr>
          <w:rFonts w:eastAsiaTheme="minorEastAsia" w:hint="cs"/>
          <w:rtl/>
        </w:rPr>
        <w:t> </w:t>
      </w:r>
      <w:r w:rsidRPr="00B13A52">
        <w:rPr>
          <w:rFonts w:eastAsiaTheme="minorEastAsia"/>
          <w:rtl/>
        </w:rPr>
        <w:t>أثيرت من حيث المضمون على الأقل.</w:t>
      </w:r>
    </w:p>
    <w:p w14:paraId="1E432A22" w14:textId="116D8F1F"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5</w:t>
      </w:r>
      <w:r w:rsidRPr="00B13A52">
        <w:rPr>
          <w:rFonts w:eastAsiaTheme="minorEastAsia"/>
          <w:rtl/>
        </w:rPr>
        <w:tab/>
        <w:t xml:space="preserve">وعلاوة على ذلك، تحيط اللجنة علماً بادعاءات صاحبة البلاغ في إطار المادة </w:t>
      </w:r>
      <w:r w:rsidRPr="00A315B0">
        <w:rPr>
          <w:rFonts w:eastAsiaTheme="minorEastAsia"/>
          <w:szCs w:val="20"/>
          <w:rtl/>
        </w:rPr>
        <w:t>14</w:t>
      </w:r>
      <w:r w:rsidRPr="00B13A52">
        <w:rPr>
          <w:rFonts w:eastAsiaTheme="minorEastAsia"/>
          <w:szCs w:val="20"/>
          <w:rtl/>
        </w:rPr>
        <w:t>(</w:t>
      </w:r>
      <w:r w:rsidRPr="00A315B0">
        <w:rPr>
          <w:rFonts w:eastAsiaTheme="minorEastAsia"/>
          <w:szCs w:val="20"/>
          <w:rtl/>
        </w:rPr>
        <w:t>1</w:t>
      </w:r>
      <w:r w:rsidRPr="00B13A52">
        <w:rPr>
          <w:rFonts w:eastAsiaTheme="minorEastAsia"/>
          <w:szCs w:val="20"/>
          <w:rtl/>
        </w:rPr>
        <w:t>)</w:t>
      </w:r>
      <w:r w:rsidRPr="00B13A52">
        <w:rPr>
          <w:rFonts w:eastAsiaTheme="minorEastAsia"/>
          <w:rtl/>
        </w:rPr>
        <w:t xml:space="preserve"> من العهد بأن قرارات السلطات المحلية لم يُستدل عليها حسب الأصول وأنه لم يُسمح لها، رغم طلباتها المتكررة، بتقديم حججها في جلسة استماع شفوية. وتأخذ اللجنة في الاعتبار موقف الدولة الطرف الذي يفيد بأنه</w:t>
      </w:r>
      <w:r w:rsidR="00B913FF">
        <w:rPr>
          <w:rFonts w:eastAsiaTheme="minorEastAsia" w:hint="cs"/>
          <w:rtl/>
        </w:rPr>
        <w:t> </w:t>
      </w:r>
      <w:r w:rsidRPr="00B13A52">
        <w:rPr>
          <w:rFonts w:eastAsiaTheme="minorEastAsia"/>
          <w:rtl/>
        </w:rPr>
        <w:t xml:space="preserve">ينبغي إعلان عدم مقبولية هذا الجزء من شكوى صاحبة البلاغ لعدم توافقه من حيث </w:t>
      </w:r>
      <w:r w:rsidRPr="00B913FF">
        <w:rPr>
          <w:rFonts w:eastAsiaTheme="minorEastAsia"/>
          <w:i/>
          <w:iCs/>
          <w:rtl/>
        </w:rPr>
        <w:t>الاختصاص الموضوعي</w:t>
      </w:r>
      <w:r w:rsidRPr="00B13A52">
        <w:rPr>
          <w:rFonts w:eastAsiaTheme="minorEastAsia"/>
          <w:rtl/>
        </w:rPr>
        <w:t xml:space="preserve"> مع أحكام العهد.</w:t>
      </w:r>
    </w:p>
    <w:p w14:paraId="11B41579" w14:textId="6D6F7AA4"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6</w:t>
      </w:r>
      <w:r w:rsidRPr="00B13A52">
        <w:rPr>
          <w:rFonts w:eastAsiaTheme="minorEastAsia"/>
          <w:rtl/>
        </w:rPr>
        <w:tab/>
        <w:t xml:space="preserve">وتذكّر اللجنة بأن للمادة </w:t>
      </w:r>
      <w:r w:rsidRPr="00A315B0">
        <w:rPr>
          <w:rFonts w:eastAsiaTheme="minorEastAsia"/>
          <w:szCs w:val="20"/>
          <w:rtl/>
        </w:rPr>
        <w:t>14</w:t>
      </w:r>
      <w:r w:rsidRPr="00B13A52">
        <w:rPr>
          <w:rFonts w:eastAsiaTheme="minorEastAsia"/>
          <w:rtl/>
        </w:rPr>
        <w:t xml:space="preserve"> طابعاً معقداً على نحو خاص؛ فهي تجمع بين ضمانات شتى ذات مجالات تطبيق مختلفة. فالجملة الأولى من الفقرة </w:t>
      </w:r>
      <w:r w:rsidRPr="00A315B0">
        <w:rPr>
          <w:rFonts w:eastAsiaTheme="minorEastAsia"/>
          <w:szCs w:val="20"/>
          <w:rtl/>
        </w:rPr>
        <w:t>1</w:t>
      </w:r>
      <w:r w:rsidRPr="00B13A52">
        <w:rPr>
          <w:rFonts w:eastAsiaTheme="minorEastAsia"/>
          <w:rtl/>
        </w:rPr>
        <w:t xml:space="preserve"> من المادة تنص على ضمانة عامة بشأن المساواة أمام المحاكم والهيئات القضائية تنطبق بصرف النظر عن طبيعة ال</w:t>
      </w:r>
      <w:r w:rsidR="00B913FF">
        <w:rPr>
          <w:rFonts w:eastAsiaTheme="minorEastAsia" w:hint="cs"/>
          <w:rtl/>
        </w:rPr>
        <w:t>د</w:t>
      </w:r>
      <w:r w:rsidRPr="00B13A52">
        <w:rPr>
          <w:rFonts w:eastAsiaTheme="minorEastAsia"/>
          <w:rtl/>
        </w:rPr>
        <w:t xml:space="preserve">عاوى المعروضة على هذه الهيئات. وبشكل عام، يكفل الحق في المساواة أمام المحاكم والهيئات القضائية، إضافة إلى المبادئ المذكورة في الجملة الثانية من المادة </w:t>
      </w:r>
      <w:r w:rsidRPr="00A315B0">
        <w:rPr>
          <w:rFonts w:eastAsiaTheme="minorEastAsia"/>
          <w:szCs w:val="20"/>
          <w:rtl/>
        </w:rPr>
        <w:t>14</w:t>
      </w:r>
      <w:r w:rsidRPr="00B13A52">
        <w:rPr>
          <w:rFonts w:eastAsiaTheme="minorEastAsia"/>
          <w:szCs w:val="20"/>
          <w:rtl/>
        </w:rPr>
        <w:t>(</w:t>
      </w:r>
      <w:r w:rsidRPr="00A315B0">
        <w:rPr>
          <w:rFonts w:eastAsiaTheme="minorEastAsia"/>
          <w:szCs w:val="20"/>
          <w:rtl/>
        </w:rPr>
        <w:t>1</w:t>
      </w:r>
      <w:r w:rsidRPr="00B13A52">
        <w:rPr>
          <w:rFonts w:eastAsiaTheme="minorEastAsia"/>
          <w:szCs w:val="20"/>
          <w:rtl/>
        </w:rPr>
        <w:t>)</w:t>
      </w:r>
      <w:r w:rsidRPr="00B13A52">
        <w:rPr>
          <w:rFonts w:eastAsiaTheme="minorEastAsia"/>
          <w:rtl/>
        </w:rPr>
        <w:t>، مبادئ المساواة في الوصول إلى المحاكم وتكافؤ الفرص القانونية، ويضمن معاملة أطراف القضية المعنية من دون أي تمييز</w:t>
      </w:r>
      <w:r w:rsidR="007232E9" w:rsidRPr="00B13A52">
        <w:rPr>
          <w:rStyle w:val="FootnoteReference"/>
          <w:rFonts w:eastAsiaTheme="minorEastAsia"/>
          <w:rtl/>
        </w:rPr>
        <w:t>(</w:t>
      </w:r>
      <w:r w:rsidR="007232E9" w:rsidRPr="00A315B0">
        <w:rPr>
          <w:rStyle w:val="FootnoteReference"/>
          <w:rFonts w:eastAsiaTheme="minorEastAsia"/>
          <w:rtl/>
        </w:rPr>
        <w:footnoteReference w:id="28"/>
      </w:r>
      <w:r w:rsidR="007232E9" w:rsidRPr="00B13A52">
        <w:rPr>
          <w:rStyle w:val="FootnoteReference"/>
          <w:rFonts w:eastAsiaTheme="minorEastAsia"/>
          <w:rtl/>
        </w:rPr>
        <w:t>)</w:t>
      </w:r>
      <w:r w:rsidR="00C414B0" w:rsidRPr="00B13A52">
        <w:rPr>
          <w:rStyle w:val="FootnoteReference"/>
          <w:rFonts w:eastAsiaTheme="minorEastAsia" w:hint="cs"/>
          <w:vertAlign w:val="baseline"/>
          <w:rtl/>
        </w:rPr>
        <w:t>.</w:t>
      </w:r>
    </w:p>
    <w:p w14:paraId="44A88DFF" w14:textId="39D0EAC6"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7</w:t>
      </w:r>
      <w:r w:rsidRPr="00B13A52">
        <w:rPr>
          <w:rFonts w:eastAsiaTheme="minorEastAsia"/>
          <w:rtl/>
        </w:rPr>
        <w:tab/>
        <w:t xml:space="preserve">وإضافة إلى ذلك، ففيما يتعلق بادعاءات صاحبة البلاغ من حيث أنها قُدمت في إطار الجملة الثانية من المادة </w:t>
      </w:r>
      <w:r w:rsidRPr="00A315B0">
        <w:rPr>
          <w:rFonts w:eastAsiaTheme="minorEastAsia"/>
          <w:szCs w:val="20"/>
          <w:rtl/>
        </w:rPr>
        <w:t>14</w:t>
      </w:r>
      <w:r w:rsidRPr="00B13A52">
        <w:rPr>
          <w:rFonts w:eastAsiaTheme="minorEastAsia"/>
          <w:szCs w:val="20"/>
          <w:rtl/>
        </w:rPr>
        <w:t>(</w:t>
      </w:r>
      <w:r w:rsidRPr="00A315B0">
        <w:rPr>
          <w:rFonts w:eastAsiaTheme="minorEastAsia"/>
          <w:szCs w:val="20"/>
          <w:rtl/>
        </w:rPr>
        <w:t>1</w:t>
      </w:r>
      <w:r w:rsidRPr="00B13A52">
        <w:rPr>
          <w:rFonts w:eastAsiaTheme="minorEastAsia"/>
          <w:szCs w:val="20"/>
          <w:rtl/>
        </w:rPr>
        <w:t>)</w:t>
      </w:r>
      <w:r w:rsidRPr="00B13A52">
        <w:rPr>
          <w:rFonts w:eastAsiaTheme="minorEastAsia"/>
          <w:rtl/>
        </w:rPr>
        <w:t xml:space="preserve"> من العهد، تذكّر اللجنة بأن الحق في محاكمة عادلة وعلنية أمام هيئة قضائية مختصة ومستقلة ومحايدة</w:t>
      </w:r>
      <w:r w:rsidR="000918FC" w:rsidRPr="00B13A52">
        <w:rPr>
          <w:rFonts w:eastAsiaTheme="minorEastAsia"/>
          <w:rtl/>
        </w:rPr>
        <w:t xml:space="preserve"> </w:t>
      </w:r>
      <w:r w:rsidRPr="00B13A52">
        <w:rPr>
          <w:rFonts w:eastAsiaTheme="minorEastAsia"/>
          <w:rtl/>
        </w:rPr>
        <w:t xml:space="preserve">مكفول </w:t>
      </w:r>
      <w:r w:rsidRPr="00B13A52">
        <w:rPr>
          <w:rStyle w:val="tokencreated"/>
          <w:rFonts w:eastAsiaTheme="minorEastAsia"/>
          <w:rtl/>
        </w:rPr>
        <w:t>في</w:t>
      </w:r>
      <w:r w:rsidRPr="00B13A52">
        <w:rPr>
          <w:rStyle w:val="tokenscreated"/>
          <w:rFonts w:eastAsiaTheme="minorEastAsia"/>
          <w:rtl/>
        </w:rPr>
        <w:t xml:space="preserve"> </w:t>
      </w:r>
      <w:r w:rsidRPr="00B13A52">
        <w:rPr>
          <w:rStyle w:val="tokencreated"/>
          <w:rFonts w:eastAsiaTheme="minorEastAsia"/>
          <w:rtl/>
        </w:rPr>
        <w:t>القضايا</w:t>
      </w:r>
      <w:r w:rsidRPr="00B13A52">
        <w:rPr>
          <w:rStyle w:val="tokenscreated"/>
          <w:rFonts w:eastAsiaTheme="minorEastAsia"/>
          <w:rtl/>
        </w:rPr>
        <w:t xml:space="preserve"> </w:t>
      </w:r>
      <w:r w:rsidRPr="00B13A52">
        <w:rPr>
          <w:rStyle w:val="tokencreated"/>
          <w:rFonts w:eastAsiaTheme="minorEastAsia"/>
          <w:rtl/>
        </w:rPr>
        <w:t>المتعلقة</w:t>
      </w:r>
      <w:r w:rsidRPr="00B13A52">
        <w:rPr>
          <w:rStyle w:val="tokenscreated"/>
          <w:rFonts w:eastAsiaTheme="minorEastAsia"/>
          <w:rtl/>
        </w:rPr>
        <w:t xml:space="preserve"> </w:t>
      </w:r>
      <w:r w:rsidRPr="00B13A52">
        <w:rPr>
          <w:rStyle w:val="tokencreated"/>
          <w:rFonts w:eastAsiaTheme="minorEastAsia"/>
          <w:rtl/>
        </w:rPr>
        <w:t>بتحديد</w:t>
      </w:r>
      <w:r w:rsidRPr="00B13A52">
        <w:rPr>
          <w:rStyle w:val="tokenscreated"/>
          <w:rFonts w:eastAsiaTheme="minorEastAsia"/>
          <w:rtl/>
        </w:rPr>
        <w:t xml:space="preserve"> </w:t>
      </w:r>
      <w:r w:rsidRPr="00B13A52">
        <w:rPr>
          <w:rStyle w:val="tokencreated"/>
          <w:rFonts w:eastAsiaTheme="minorEastAsia"/>
          <w:rtl/>
        </w:rPr>
        <w:t>التهم</w:t>
      </w:r>
      <w:r w:rsidRPr="00B13A52">
        <w:rPr>
          <w:rStyle w:val="tokenscreated"/>
          <w:rFonts w:eastAsiaTheme="minorEastAsia"/>
          <w:rtl/>
        </w:rPr>
        <w:t xml:space="preserve"> </w:t>
      </w:r>
      <w:r w:rsidRPr="00B13A52">
        <w:rPr>
          <w:rStyle w:val="tokencreated"/>
          <w:rFonts w:eastAsiaTheme="minorEastAsia"/>
          <w:rtl/>
        </w:rPr>
        <w:t>الجنائية</w:t>
      </w:r>
      <w:r w:rsidRPr="00B13A52">
        <w:rPr>
          <w:rStyle w:val="tokenscreated"/>
          <w:rFonts w:eastAsiaTheme="minorEastAsia"/>
          <w:rtl/>
        </w:rPr>
        <w:t xml:space="preserve"> </w:t>
      </w:r>
      <w:r w:rsidRPr="00B13A52">
        <w:rPr>
          <w:rStyle w:val="tokencreated"/>
          <w:rFonts w:eastAsiaTheme="minorEastAsia"/>
          <w:rtl/>
        </w:rPr>
        <w:t>الموجهة</w:t>
      </w:r>
      <w:r w:rsidRPr="00B13A52">
        <w:rPr>
          <w:rStyle w:val="tokenscreated"/>
          <w:rFonts w:eastAsiaTheme="minorEastAsia"/>
          <w:rtl/>
        </w:rPr>
        <w:t xml:space="preserve"> </w:t>
      </w:r>
      <w:r w:rsidRPr="00B13A52">
        <w:rPr>
          <w:rStyle w:val="tokencreated"/>
          <w:rFonts w:eastAsiaTheme="minorEastAsia"/>
          <w:rtl/>
        </w:rPr>
        <w:t>إلى</w:t>
      </w:r>
      <w:r w:rsidRPr="00B13A52">
        <w:rPr>
          <w:rStyle w:val="tokenscreated"/>
          <w:rFonts w:eastAsiaTheme="minorEastAsia"/>
          <w:rtl/>
        </w:rPr>
        <w:t xml:space="preserve"> </w:t>
      </w:r>
      <w:r w:rsidRPr="00B13A52">
        <w:rPr>
          <w:rStyle w:val="tokencreated"/>
          <w:rFonts w:eastAsiaTheme="minorEastAsia"/>
          <w:rtl/>
        </w:rPr>
        <w:t>الأفراد</w:t>
      </w:r>
      <w:r w:rsidRPr="00B13A52">
        <w:rPr>
          <w:rStyle w:val="tokenscreated"/>
          <w:rFonts w:eastAsiaTheme="minorEastAsia"/>
          <w:rtl/>
        </w:rPr>
        <w:t xml:space="preserve"> </w:t>
      </w:r>
      <w:r w:rsidRPr="00B13A52">
        <w:rPr>
          <w:rStyle w:val="tokencreated"/>
          <w:rFonts w:eastAsiaTheme="minorEastAsia"/>
          <w:rtl/>
        </w:rPr>
        <w:t>أو</w:t>
      </w:r>
      <w:r w:rsidRPr="00B13A52">
        <w:rPr>
          <w:rStyle w:val="tokenscreated"/>
          <w:rFonts w:eastAsiaTheme="minorEastAsia"/>
          <w:rtl/>
        </w:rPr>
        <w:t xml:space="preserve"> </w:t>
      </w:r>
      <w:r w:rsidRPr="00B13A52">
        <w:rPr>
          <w:rStyle w:val="tokencreated"/>
          <w:rFonts w:eastAsiaTheme="minorEastAsia"/>
          <w:rtl/>
        </w:rPr>
        <w:t>حقوقهم</w:t>
      </w:r>
      <w:r w:rsidRPr="00B13A52">
        <w:rPr>
          <w:rStyle w:val="tokenscreated"/>
          <w:rFonts w:eastAsiaTheme="minorEastAsia"/>
          <w:rtl/>
        </w:rPr>
        <w:t xml:space="preserve"> </w:t>
      </w:r>
      <w:r w:rsidRPr="00B13A52">
        <w:rPr>
          <w:rStyle w:val="tokencreated"/>
          <w:rFonts w:eastAsiaTheme="minorEastAsia"/>
          <w:rtl/>
        </w:rPr>
        <w:t>أو واجباتهم</w:t>
      </w:r>
      <w:r w:rsidRPr="00B13A52">
        <w:rPr>
          <w:rStyle w:val="tokenscreated"/>
          <w:rFonts w:eastAsiaTheme="minorEastAsia"/>
          <w:rtl/>
        </w:rPr>
        <w:t xml:space="preserve"> </w:t>
      </w:r>
      <w:r w:rsidRPr="00B13A52">
        <w:rPr>
          <w:rStyle w:val="tokencreated"/>
          <w:rFonts w:eastAsiaTheme="minorEastAsia"/>
          <w:rtl/>
        </w:rPr>
        <w:t>في</w:t>
      </w:r>
      <w:r w:rsidRPr="00B13A52">
        <w:rPr>
          <w:rStyle w:val="tokenscreated"/>
          <w:rFonts w:eastAsiaTheme="minorEastAsia"/>
          <w:rtl/>
        </w:rPr>
        <w:t xml:space="preserve"> </w:t>
      </w:r>
      <w:r w:rsidRPr="00B13A52">
        <w:rPr>
          <w:rStyle w:val="tokencreated"/>
          <w:rFonts w:eastAsiaTheme="minorEastAsia"/>
          <w:rtl/>
        </w:rPr>
        <w:t>الدعاوى القضائية.</w:t>
      </w:r>
      <w:r w:rsidRPr="00B13A52">
        <w:rPr>
          <w:rFonts w:eastAsiaTheme="minorEastAsia"/>
          <w:rtl/>
        </w:rPr>
        <w:t xml:space="preserve"> وينطوي مفهوم تحديد الحقوق والالتزامات في "دعوى قضائية" على:</w:t>
      </w:r>
      <w:r w:rsidR="000918FC" w:rsidRPr="00B13A52">
        <w:rPr>
          <w:rFonts w:eastAsiaTheme="minorEastAsia" w:hint="cs"/>
          <w:rtl/>
        </w:rPr>
        <w:t> </w:t>
      </w:r>
      <w:r w:rsidRPr="00B13A52">
        <w:rPr>
          <w:rFonts w:eastAsiaTheme="minorEastAsia"/>
          <w:rtl/>
        </w:rPr>
        <w:t xml:space="preserve">(أ) </w:t>
      </w:r>
      <w:r w:rsidRPr="00B13A52">
        <w:rPr>
          <w:rFonts w:eastAsiaTheme="minorEastAsia"/>
          <w:rtl/>
          <w:lang w:bidi="ar"/>
        </w:rPr>
        <w:t>إجراءات قضائية هدفها الفصل في الحقوق والالتزامات في مجالات العقود، والملكية والضرر في مجال القانون الخاص</w:t>
      </w:r>
      <w:r w:rsidRPr="00B13A52">
        <w:rPr>
          <w:rFonts w:eastAsiaTheme="minorEastAsia"/>
          <w:rtl/>
        </w:rPr>
        <w:t xml:space="preserve">، فضلاً عن (ب) </w:t>
      </w:r>
      <w:r w:rsidRPr="00B13A52">
        <w:rPr>
          <w:rFonts w:eastAsiaTheme="minorEastAsia"/>
          <w:rtl/>
          <w:lang w:bidi="ar"/>
        </w:rPr>
        <w:t>المفاهيم المعادلة في مجال القانون الإداري مثل إنهاء خدمات موظفي الخدمة المدنية لأسباب غير تأديبية، وتحديد مزايا الضمان الاجتماعي أو الحقوق التقاعدية للجنود، أو الإجراءات المتعلقة باستخدام الأراضي العامة أو مصادرة الممتلكات الخاصة</w:t>
      </w:r>
      <w:r w:rsidRPr="00B13A52">
        <w:rPr>
          <w:rFonts w:eastAsiaTheme="minorEastAsia"/>
          <w:rtl/>
        </w:rPr>
        <w:t xml:space="preserve">. وإضافة إلى ذلك، يمكن أن (ج) يشمل </w:t>
      </w:r>
      <w:r w:rsidRPr="00B13A52">
        <w:rPr>
          <w:rFonts w:eastAsiaTheme="minorEastAsia"/>
          <w:rtl/>
          <w:lang w:bidi="ar"/>
        </w:rPr>
        <w:t>إجراءات أخرى يجب تقديرها على أساس كل حالة على حدة في ضوء طبيعة الحق المعني</w:t>
      </w:r>
      <w:r w:rsidR="007232E9" w:rsidRPr="00B13A52">
        <w:rPr>
          <w:rStyle w:val="FootnoteReference"/>
          <w:rFonts w:eastAsiaTheme="minorEastAsia"/>
          <w:rtl/>
        </w:rPr>
        <w:t>(</w:t>
      </w:r>
      <w:r w:rsidR="007232E9" w:rsidRPr="00A315B0">
        <w:rPr>
          <w:rStyle w:val="FootnoteReference"/>
          <w:rFonts w:eastAsiaTheme="minorEastAsia"/>
          <w:rtl/>
        </w:rPr>
        <w:footnoteReference w:id="29"/>
      </w:r>
      <w:r w:rsidR="007232E9" w:rsidRPr="00B13A52">
        <w:rPr>
          <w:rStyle w:val="FootnoteReference"/>
          <w:rFonts w:eastAsiaTheme="minorEastAsia"/>
          <w:rtl/>
        </w:rPr>
        <w:t>)</w:t>
      </w:r>
      <w:r w:rsidR="00C414B0" w:rsidRPr="00B13A52">
        <w:rPr>
          <w:rFonts w:eastAsiaTheme="minorEastAsia" w:hint="cs"/>
          <w:rtl/>
        </w:rPr>
        <w:t>.</w:t>
      </w:r>
    </w:p>
    <w:p w14:paraId="115C5954" w14:textId="438524BB"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8</w:t>
      </w:r>
      <w:r w:rsidRPr="00B13A52">
        <w:rPr>
          <w:rFonts w:eastAsiaTheme="minorEastAsia"/>
          <w:rtl/>
        </w:rPr>
        <w:tab/>
        <w:t>وعند تطبيق هذه المبادئ على هذه القضية، تلاحظ اللجنة حجة الدولة الطرف القائلة إنه لا</w:t>
      </w:r>
      <w:r w:rsidR="000918FC" w:rsidRPr="00B13A52">
        <w:rPr>
          <w:rFonts w:eastAsiaTheme="minorEastAsia" w:hint="cs"/>
          <w:rtl/>
        </w:rPr>
        <w:t> </w:t>
      </w:r>
      <w:r w:rsidRPr="00B13A52">
        <w:rPr>
          <w:rFonts w:eastAsiaTheme="minorEastAsia"/>
          <w:rtl/>
        </w:rPr>
        <w:t xml:space="preserve">يجوز النظر في المنازعات الضريبية على أنها تتعلق بتحديد الحقوق والالتزامات في الدعاوى القانونية. وفي هذا الصدد، لا ترى اللجنة أن من الضروري في هذه القضية تحديد ما إذا كانت المسائل المتعلقة </w:t>
      </w:r>
      <w:r w:rsidRPr="00B913FF">
        <w:rPr>
          <w:rFonts w:eastAsiaTheme="minorEastAsia"/>
          <w:spacing w:val="-4"/>
          <w:rtl/>
        </w:rPr>
        <w:t>بفرض الضريبة حقوقٌ أو التزامات في دعوى مدنية، لأن ادعاءات صاحبة البلاغ</w:t>
      </w:r>
      <w:r w:rsidR="00B913FF" w:rsidRPr="00B913FF">
        <w:rPr>
          <w:rFonts w:eastAsiaTheme="minorEastAsia" w:hint="cs"/>
          <w:spacing w:val="-4"/>
          <w:rtl/>
        </w:rPr>
        <w:t xml:space="preserve"> </w:t>
      </w:r>
      <w:r w:rsidRPr="00B913FF">
        <w:rPr>
          <w:rFonts w:eastAsiaTheme="minorEastAsia"/>
          <w:spacing w:val="-4"/>
          <w:rtl/>
        </w:rPr>
        <w:t>غير مدعومة، على أي حال،</w:t>
      </w:r>
      <w:r w:rsidRPr="00B13A52">
        <w:rPr>
          <w:rFonts w:eastAsiaTheme="minorEastAsia"/>
          <w:rtl/>
        </w:rPr>
        <w:t xml:space="preserve"> بأدلة كافية لأغراض المادة </w:t>
      </w:r>
      <w:r w:rsidRPr="00A315B0">
        <w:rPr>
          <w:rFonts w:eastAsiaTheme="minorEastAsia"/>
          <w:szCs w:val="20"/>
          <w:rtl/>
        </w:rPr>
        <w:t>2</w:t>
      </w:r>
      <w:r w:rsidRPr="00B13A52">
        <w:rPr>
          <w:rFonts w:eastAsiaTheme="minorEastAsia"/>
          <w:rtl/>
        </w:rPr>
        <w:t xml:space="preserve"> من البروتوكول الاختياري. وأما فيما يتعلق بادعاء صاحبة البلاغ بشأن عدم كفاية استدلالات القرارات المحلية، فإن اللجنة تضع في اعتبارها حجة الدولة الطرف أن القرارات المحلية تسرد وقائع القضية وادعاءات صاحبة البلاغ، وأنها تتضمن أيضاً أسس الاستنتاج الذي توصلت إليه السلطات بإشارتها إلى القرارات الأخرى ذات الصلة التي كانت في متناول صاحبة البلاغ. وفيما يتعلق بادعاء صاحبة البلاغ أنها لم تُمنح فرصة للترافع في قضيتها شفوياً، تلاحظ اللجنة موقف الدولة الطرف بأن بإمكان الطرفين تقديم أدلتهما كتابة، وأن محكمة الاستئناف الإدارية خلصت إلى أنه، بالنظر إلى الطابع القانوني للمسألة المعروضة عليها، ما كان لجلسة استماع شفوية أن تسهم في البت في القضية. وتلاحظ اللجنة كذلك أن</w:t>
      </w:r>
      <w:r w:rsidR="000918FC" w:rsidRPr="00B13A52">
        <w:rPr>
          <w:rFonts w:eastAsiaTheme="minorEastAsia"/>
          <w:rtl/>
        </w:rPr>
        <w:t xml:space="preserve"> </w:t>
      </w:r>
      <w:r w:rsidRPr="00B13A52">
        <w:rPr>
          <w:rFonts w:eastAsiaTheme="minorEastAsia"/>
          <w:rtl/>
        </w:rPr>
        <w:t>الطرفين يتفقان فيما يبدو على أن المسألة لا تتعلق بتهمة جنائية، ولا</w:t>
      </w:r>
      <w:r w:rsidR="000918FC" w:rsidRPr="00B13A52">
        <w:rPr>
          <w:rFonts w:eastAsiaTheme="minorEastAsia" w:hint="cs"/>
          <w:rtl/>
        </w:rPr>
        <w:t> </w:t>
      </w:r>
      <w:r w:rsidRPr="00B13A52">
        <w:rPr>
          <w:rFonts w:eastAsiaTheme="minorEastAsia"/>
          <w:rtl/>
        </w:rPr>
        <w:t>ترى اللجنة أي دلالة جنائية في هذه القضية، وهو ما كان من شأنه أن يتطلب ضمانات أقوى. وفي ضوء هذه الظروف، ترى اللجنة أنه لم يُعرض عليها أي شيء يسمح لها بأن تخلص إلى أن صاحبة البلاغ لم تُتح لها الحقوق الإجرائية نفسها التي يتمتع بها الطرف الخصم، أو أن قضايا مماثلة لا تعالج في ضمن إجراءات مماثلة، أو أن الإجراءات المحلية انتهكت حقها في المساواة أمام المحاكم. وبناء على ذلك، تعلن</w:t>
      </w:r>
      <w:r w:rsidR="00B913FF">
        <w:rPr>
          <w:rFonts w:eastAsiaTheme="minorEastAsia" w:hint="cs"/>
          <w:rtl/>
        </w:rPr>
        <w:t> </w:t>
      </w:r>
      <w:r w:rsidRPr="00B13A52">
        <w:rPr>
          <w:rFonts w:eastAsiaTheme="minorEastAsia"/>
          <w:rtl/>
        </w:rPr>
        <w:t xml:space="preserve">اللجنة أن ادعاءات صاحبة البلاغ في إطار المادة </w:t>
      </w:r>
      <w:r w:rsidRPr="00A315B0">
        <w:rPr>
          <w:rFonts w:eastAsiaTheme="minorEastAsia"/>
          <w:szCs w:val="20"/>
          <w:rtl/>
        </w:rPr>
        <w:t>14</w:t>
      </w:r>
      <w:r w:rsidRPr="00B13A52">
        <w:rPr>
          <w:rFonts w:eastAsiaTheme="minorEastAsia"/>
          <w:szCs w:val="20"/>
          <w:rtl/>
        </w:rPr>
        <w:t>(</w:t>
      </w:r>
      <w:r w:rsidRPr="00A315B0">
        <w:rPr>
          <w:rFonts w:eastAsiaTheme="minorEastAsia"/>
          <w:szCs w:val="20"/>
          <w:rtl/>
        </w:rPr>
        <w:t>1</w:t>
      </w:r>
      <w:r w:rsidRPr="00B13A52">
        <w:rPr>
          <w:rFonts w:eastAsiaTheme="minorEastAsia"/>
          <w:szCs w:val="20"/>
          <w:rtl/>
        </w:rPr>
        <w:t>)</w:t>
      </w:r>
      <w:r w:rsidRPr="00B13A52">
        <w:rPr>
          <w:rFonts w:eastAsiaTheme="minorEastAsia"/>
          <w:rtl/>
        </w:rPr>
        <w:t xml:space="preserve"> غير مقبولة بموجب المادة </w:t>
      </w:r>
      <w:r w:rsidRPr="00A315B0">
        <w:rPr>
          <w:rFonts w:eastAsiaTheme="minorEastAsia"/>
          <w:szCs w:val="20"/>
          <w:rtl/>
        </w:rPr>
        <w:t>2</w:t>
      </w:r>
      <w:r w:rsidRPr="00B13A52">
        <w:rPr>
          <w:rFonts w:eastAsiaTheme="minorEastAsia"/>
          <w:rtl/>
        </w:rPr>
        <w:t xml:space="preserve"> من البروتوكول الاختياري.</w:t>
      </w:r>
    </w:p>
    <w:p w14:paraId="1EDB93AE"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9</w:t>
      </w:r>
      <w:r w:rsidRPr="00B13A52">
        <w:rPr>
          <w:rFonts w:eastAsiaTheme="minorEastAsia"/>
          <w:rtl/>
        </w:rPr>
        <w:tab/>
        <w:t xml:space="preserve">وفيما يتعلق بالمادة </w:t>
      </w:r>
      <w:r w:rsidRPr="00A315B0">
        <w:rPr>
          <w:rFonts w:eastAsiaTheme="minorEastAsia"/>
          <w:szCs w:val="20"/>
          <w:rtl/>
        </w:rPr>
        <w:t>26</w:t>
      </w:r>
      <w:r w:rsidRPr="00B13A52">
        <w:rPr>
          <w:rFonts w:eastAsiaTheme="minorEastAsia"/>
          <w:rtl/>
        </w:rPr>
        <w:t xml:space="preserve"> من العهد، تلاحظ اللجنة حجة صاحبة البلاغ أنه على الرغم من أن الدولة الطرف أعفت منذ فترة طويلة أعضاء جماعات دينية أخرى من دفع ضريبة الدخل على الدعم المالي الذي يتلقونه من جماعاتهم المختلفة، فإن طلب الإعفاء الذي قدمته قد رُفِض. وتدفع صاحبة البلاغ بأن هذا الإعفاء يستند إلى أن أعضاء تلك الجماعات لا ينبغي اعتبارهم موظفين لأنهم لا يعملون لتحقيق مكاسب مالية. وعلى الرغم من واقع حالتها، ولا سيما كبر سنها، فقد افترض أن عضويتها في الجماعة قائم على علاقة عمل.</w:t>
      </w:r>
    </w:p>
    <w:p w14:paraId="68BD3B79"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10</w:t>
      </w:r>
      <w:r w:rsidRPr="00B13A52">
        <w:rPr>
          <w:rFonts w:eastAsiaTheme="minorEastAsia"/>
          <w:rtl/>
        </w:rPr>
        <w:tab/>
        <w:t xml:space="preserve">ومن جهة أخرى، تحيط اللجنة علماً بملاحظات الدولة الطرف التي تؤكد أنه لا يوجد في القانون السويدي حكم يكفل منح إعفاء ضريبي عام لأعضاء بعض الجماعات الدينية. وبصرف النظر عن بعض الحالات المتفرقة التي يعود تاريخها إلى حقبة ما قبل سن الإصلاح الضريبي في عام </w:t>
      </w:r>
      <w:r w:rsidRPr="00A315B0">
        <w:rPr>
          <w:rFonts w:eastAsiaTheme="minorEastAsia"/>
          <w:szCs w:val="20"/>
          <w:rtl/>
        </w:rPr>
        <w:t>1990</w:t>
      </w:r>
      <w:r w:rsidRPr="00B13A52">
        <w:rPr>
          <w:rFonts w:eastAsiaTheme="minorEastAsia"/>
          <w:rtl/>
        </w:rPr>
        <w:t>، لا توجد في الواقع أي اجتهادات قضائية تشير إلى أن لأعضاء الجماعات الدينية من غير جماعة صاحبة البلاغ الحق في إعفاءهم من الضرائب واعتبار ذلك قاعدة عامة. وعلى الرغم من عدم تقديم أي دليل في هذا الصدد، فإن الدولة الطرف تقر بأنه قد تكون هناك حالات قليلة منح فيها بعض الأشخاص هذا الإعفاء، لكن هذه القرارات لا بد أنها استندت إلى تقييمات فردية، وفقاً للمعايير الموضوعية للقانون.</w:t>
      </w:r>
    </w:p>
    <w:p w14:paraId="3E9F72D0" w14:textId="5CCC3F40" w:rsidR="00211607" w:rsidRPr="00B13A52" w:rsidRDefault="00211607" w:rsidP="00211607">
      <w:pPr>
        <w:pStyle w:val="SingleTxtGA"/>
        <w:rPr>
          <w:rFonts w:eastAsiaTheme="minorEastAsia"/>
          <w:szCs w:val="20"/>
          <w:lang w:val="en-US"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11</w:t>
      </w:r>
      <w:r w:rsidRPr="00B13A52">
        <w:rPr>
          <w:rFonts w:eastAsiaTheme="minorEastAsia"/>
          <w:rtl/>
        </w:rPr>
        <w:tab/>
        <w:t xml:space="preserve">وعند النظر في هذه القضية، تُذكِّر اللجنة بأن المادة </w:t>
      </w:r>
      <w:r w:rsidRPr="00A315B0">
        <w:rPr>
          <w:rFonts w:eastAsiaTheme="minorEastAsia"/>
          <w:szCs w:val="20"/>
          <w:rtl/>
        </w:rPr>
        <w:t>26</w:t>
      </w:r>
      <w:r w:rsidRPr="00B13A52">
        <w:rPr>
          <w:rFonts w:eastAsiaTheme="minorEastAsia"/>
          <w:rtl/>
        </w:rPr>
        <w:t xml:space="preserve"> تحظر التمييز في القانون أو في الواقع في أي مجال تنظمه السلطات العامة وتحميه. ولهذا السبب، تتعلق المادة </w:t>
      </w:r>
      <w:r w:rsidRPr="00A315B0">
        <w:rPr>
          <w:rFonts w:eastAsiaTheme="minorEastAsia"/>
          <w:szCs w:val="20"/>
          <w:rtl/>
        </w:rPr>
        <w:t>26</w:t>
      </w:r>
      <w:r w:rsidRPr="00B13A52">
        <w:rPr>
          <w:rFonts w:eastAsiaTheme="minorEastAsia"/>
          <w:rtl/>
        </w:rPr>
        <w:t xml:space="preserve"> بالالتزامات المفروضة على الدول الأطراف فيما يتعلق بتشريعاتها وبتطبيق هذه التشريعات. ومن ثم، فعندما تعتمد دولة طرف تشريع</w:t>
      </w:r>
      <w:r w:rsidR="000918FC" w:rsidRPr="00B13A52">
        <w:rPr>
          <w:rFonts w:eastAsiaTheme="minorEastAsia"/>
          <w:rtl/>
        </w:rPr>
        <w:t xml:space="preserve">اً </w:t>
      </w:r>
      <w:r w:rsidRPr="00B13A52">
        <w:rPr>
          <w:rFonts w:eastAsiaTheme="minorEastAsia"/>
          <w:rtl/>
        </w:rPr>
        <w:t>معين</w:t>
      </w:r>
      <w:r w:rsidR="000918FC" w:rsidRPr="00B13A52">
        <w:rPr>
          <w:rFonts w:eastAsiaTheme="minorEastAsia"/>
          <w:rtl/>
        </w:rPr>
        <w:t xml:space="preserve">اً </w:t>
      </w:r>
      <w:r w:rsidRPr="00B13A52">
        <w:rPr>
          <w:rFonts w:eastAsiaTheme="minorEastAsia"/>
          <w:rtl/>
        </w:rPr>
        <w:t xml:space="preserve">يجب أن يكون هذا التشريع متمشياً مع متطلبات المادة </w:t>
      </w:r>
      <w:r w:rsidRPr="00A315B0">
        <w:rPr>
          <w:rFonts w:eastAsiaTheme="minorEastAsia"/>
          <w:szCs w:val="20"/>
          <w:rtl/>
        </w:rPr>
        <w:t>26</w:t>
      </w:r>
      <w:r w:rsidRPr="00B13A52">
        <w:rPr>
          <w:rFonts w:eastAsiaTheme="minorEastAsia"/>
          <w:rtl/>
        </w:rPr>
        <w:t xml:space="preserve"> بمعنى ألا يكون محتواه تمييزياً</w:t>
      </w:r>
      <w:r w:rsidR="007232E9" w:rsidRPr="00B13A52">
        <w:rPr>
          <w:rStyle w:val="FootnoteReference"/>
          <w:rFonts w:eastAsiaTheme="minorEastAsia"/>
          <w:rtl/>
        </w:rPr>
        <w:t>(</w:t>
      </w:r>
      <w:r w:rsidR="007232E9" w:rsidRPr="00A315B0">
        <w:rPr>
          <w:rStyle w:val="FootnoteReference"/>
          <w:rFonts w:eastAsiaTheme="minorEastAsia"/>
          <w:rtl/>
        </w:rPr>
        <w:footnoteReference w:id="30"/>
      </w:r>
      <w:r w:rsidR="007232E9" w:rsidRPr="00B13A52">
        <w:rPr>
          <w:rStyle w:val="FootnoteReference"/>
          <w:rFonts w:eastAsiaTheme="minorEastAsia"/>
          <w:rtl/>
        </w:rPr>
        <w:t>)</w:t>
      </w:r>
      <w:r w:rsidR="00C414B0" w:rsidRPr="00B13A52">
        <w:rPr>
          <w:rFonts w:eastAsiaTheme="minorEastAsia" w:hint="cs"/>
          <w:rtl/>
        </w:rPr>
        <w:t>.</w:t>
      </w:r>
      <w:r w:rsidRPr="00B13A52">
        <w:rPr>
          <w:rFonts w:eastAsiaTheme="minorEastAsia"/>
          <w:rtl/>
        </w:rPr>
        <w:t xml:space="preserve"> ومن ناحية أخرى، ما كل تفريق في المعاملة يشكل تمييزاً</w:t>
      </w:r>
      <w:r w:rsidR="007232E9" w:rsidRPr="00B13A52">
        <w:rPr>
          <w:rStyle w:val="FootnoteReference"/>
          <w:rFonts w:eastAsiaTheme="minorEastAsia"/>
          <w:rtl/>
        </w:rPr>
        <w:t>(</w:t>
      </w:r>
      <w:r w:rsidR="007232E9" w:rsidRPr="00A315B0">
        <w:rPr>
          <w:rStyle w:val="FootnoteReference"/>
          <w:rFonts w:eastAsiaTheme="minorEastAsia"/>
          <w:rtl/>
        </w:rPr>
        <w:footnoteReference w:id="31"/>
      </w:r>
      <w:r w:rsidR="007232E9" w:rsidRPr="00B13A52">
        <w:rPr>
          <w:rStyle w:val="FootnoteReference"/>
          <w:rFonts w:eastAsiaTheme="minorEastAsia"/>
          <w:rtl/>
        </w:rPr>
        <w:t>)</w:t>
      </w:r>
      <w:r w:rsidR="00C414B0" w:rsidRPr="00B13A52">
        <w:rPr>
          <w:rFonts w:eastAsiaTheme="minorEastAsia" w:hint="cs"/>
          <w:rtl/>
        </w:rPr>
        <w:t>.</w:t>
      </w:r>
      <w:r w:rsidRPr="00B13A52">
        <w:rPr>
          <w:rFonts w:eastAsiaTheme="minorEastAsia"/>
          <w:rtl/>
        </w:rPr>
        <w:t xml:space="preserve"> </w:t>
      </w:r>
    </w:p>
    <w:p w14:paraId="060477F2" w14:textId="3745ED11"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12</w:t>
      </w:r>
      <w:r w:rsidRPr="00B13A52">
        <w:rPr>
          <w:rFonts w:eastAsiaTheme="minorEastAsia"/>
          <w:rtl/>
        </w:rPr>
        <w:tab/>
        <w:t xml:space="preserve">وتلاحظ اللجنة في هذه القضية أن القانون المطعون فيه لا ينص على إعفاء أفراد بعينهم من الضرائب على أساس دينهم. ولئن سبق أن ثبت أن انتهاك المادة </w:t>
      </w:r>
      <w:r w:rsidRPr="00A315B0">
        <w:rPr>
          <w:rFonts w:eastAsiaTheme="minorEastAsia"/>
          <w:szCs w:val="20"/>
          <w:rtl/>
        </w:rPr>
        <w:t>26</w:t>
      </w:r>
      <w:r w:rsidRPr="00B13A52">
        <w:rPr>
          <w:rFonts w:eastAsiaTheme="minorEastAsia"/>
          <w:rtl/>
        </w:rPr>
        <w:t xml:space="preserve"> قد ينشأ عن الأثر التمييزي لقاعدة أو</w:t>
      </w:r>
      <w:r w:rsidR="00B913FF">
        <w:rPr>
          <w:rFonts w:eastAsiaTheme="minorEastAsia" w:hint="cs"/>
          <w:rtl/>
        </w:rPr>
        <w:t> </w:t>
      </w:r>
      <w:r w:rsidRPr="00B13A52">
        <w:rPr>
          <w:rFonts w:eastAsiaTheme="minorEastAsia"/>
          <w:rtl/>
        </w:rPr>
        <w:t>تدبير محايد ظاهرياً أو دون قصد التمييز</w:t>
      </w:r>
      <w:r w:rsidR="007232E9" w:rsidRPr="00B13A52">
        <w:rPr>
          <w:rStyle w:val="FootnoteReference"/>
          <w:rFonts w:eastAsiaTheme="minorEastAsia"/>
          <w:rtl/>
        </w:rPr>
        <w:t>(</w:t>
      </w:r>
      <w:r w:rsidR="007232E9" w:rsidRPr="00A315B0">
        <w:rPr>
          <w:rStyle w:val="FootnoteReference"/>
          <w:rFonts w:eastAsiaTheme="minorEastAsia"/>
          <w:rtl/>
        </w:rPr>
        <w:footnoteReference w:id="32"/>
      </w:r>
      <w:r w:rsidR="007232E9" w:rsidRPr="00B13A52">
        <w:rPr>
          <w:rStyle w:val="FootnoteReference"/>
          <w:rFonts w:eastAsiaTheme="minorEastAsia"/>
          <w:rtl/>
        </w:rPr>
        <w:t>)</w:t>
      </w:r>
      <w:r w:rsidR="00C414B0" w:rsidRPr="00B13A52">
        <w:rPr>
          <w:rFonts w:eastAsiaTheme="minorEastAsia" w:hint="cs"/>
          <w:rtl/>
        </w:rPr>
        <w:t>،</w:t>
      </w:r>
      <w:r w:rsidRPr="00B13A52">
        <w:rPr>
          <w:rFonts w:eastAsiaTheme="minorEastAsia"/>
          <w:rtl/>
        </w:rPr>
        <w:t xml:space="preserve"> فإن اللجنة تلاحظ، في ظروف هذه القضية، أن القوانين ذات الصلة تؤثر في جميع الأفراد على حد سواء، بمن فيهم أعضاء الجماعات الدينية الأخرى. وفي هذا الصدد، تلاحظ اللجنة أن صاحبة البلاغ تستند في دعوى التمييز التي قدمتها إلى قضايا محاكم يعود تاريخها إلى عام </w:t>
      </w:r>
      <w:r w:rsidRPr="00A315B0">
        <w:rPr>
          <w:rFonts w:eastAsiaTheme="minorEastAsia"/>
          <w:szCs w:val="20"/>
          <w:rtl/>
        </w:rPr>
        <w:t>1957</w:t>
      </w:r>
      <w:r w:rsidRPr="00B13A52">
        <w:rPr>
          <w:rFonts w:eastAsiaTheme="minorEastAsia"/>
          <w:rtl/>
        </w:rPr>
        <w:t xml:space="preserve"> و</w:t>
      </w:r>
      <w:r w:rsidRPr="00A315B0">
        <w:rPr>
          <w:rFonts w:eastAsiaTheme="minorEastAsia"/>
          <w:szCs w:val="20"/>
          <w:rtl/>
        </w:rPr>
        <w:t>1968</w:t>
      </w:r>
      <w:r w:rsidRPr="00B13A52">
        <w:rPr>
          <w:rFonts w:eastAsiaTheme="minorEastAsia"/>
          <w:rtl/>
        </w:rPr>
        <w:t xml:space="preserve"> و</w:t>
      </w:r>
      <w:r w:rsidRPr="00A315B0">
        <w:rPr>
          <w:rFonts w:eastAsiaTheme="minorEastAsia"/>
          <w:szCs w:val="20"/>
          <w:rtl/>
        </w:rPr>
        <w:t>1986</w:t>
      </w:r>
      <w:r w:rsidRPr="00B13A52">
        <w:rPr>
          <w:rFonts w:eastAsiaTheme="minorEastAsia"/>
          <w:rtl/>
        </w:rPr>
        <w:t xml:space="preserve">، وسبقت بوقت طويل الإصلاح الضريبي لعام </w:t>
      </w:r>
      <w:r w:rsidRPr="00A315B0">
        <w:rPr>
          <w:rFonts w:eastAsiaTheme="minorEastAsia"/>
          <w:szCs w:val="20"/>
          <w:rtl/>
        </w:rPr>
        <w:t>1990</w:t>
      </w:r>
      <w:r w:rsidRPr="00B13A52">
        <w:rPr>
          <w:rFonts w:eastAsiaTheme="minorEastAsia"/>
          <w:rtl/>
        </w:rPr>
        <w:t xml:space="preserve">، ودخول قانون ضريبة الدخل حيز النفاذ في </w:t>
      </w:r>
      <w:r w:rsidRPr="00A315B0">
        <w:rPr>
          <w:rFonts w:eastAsiaTheme="minorEastAsia"/>
          <w:szCs w:val="20"/>
          <w:rtl/>
        </w:rPr>
        <w:t>1</w:t>
      </w:r>
      <w:r w:rsidRPr="00B13A52">
        <w:rPr>
          <w:rFonts w:eastAsiaTheme="minorEastAsia"/>
          <w:rtl/>
        </w:rPr>
        <w:t xml:space="preserve"> كانون الثاني/يناير </w:t>
      </w:r>
      <w:r w:rsidRPr="00A315B0">
        <w:rPr>
          <w:rFonts w:eastAsiaTheme="minorEastAsia"/>
          <w:szCs w:val="20"/>
          <w:rtl/>
        </w:rPr>
        <w:t>2000</w:t>
      </w:r>
      <w:r w:rsidRPr="00B13A52">
        <w:rPr>
          <w:rFonts w:eastAsiaTheme="minorEastAsia"/>
          <w:rtl/>
        </w:rPr>
        <w:t xml:space="preserve">، وهو الأساس الذي استندت إليه الإجراءات المحلية في قضيتها. وترى اللجنة كذلك أنه، بالنظر إلى خصوصيات برنامج دائرة المتطوعين الأوروبية، لم تُقدَّم أدلة كافية على أن متطوعي الدائرة في وضع مماثل لأعضاء الجماعة لأغراض دراستها بموجب المادة </w:t>
      </w:r>
      <w:r w:rsidRPr="00A315B0">
        <w:rPr>
          <w:rFonts w:eastAsiaTheme="minorEastAsia"/>
          <w:szCs w:val="20"/>
          <w:rtl/>
        </w:rPr>
        <w:t>26</w:t>
      </w:r>
      <w:r w:rsidRPr="00B13A52">
        <w:rPr>
          <w:rFonts w:eastAsiaTheme="minorEastAsia"/>
          <w:rtl/>
        </w:rPr>
        <w:t xml:space="preserve"> من العهد.</w:t>
      </w:r>
    </w:p>
    <w:p w14:paraId="747A4558"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13</w:t>
      </w:r>
      <w:r w:rsidRPr="00B13A52">
        <w:rPr>
          <w:rFonts w:eastAsiaTheme="minorEastAsia"/>
          <w:rtl/>
        </w:rPr>
        <w:tab/>
        <w:t>وعلاوة على ذلك، ترى اللجنة أن تحديد ما إذا كانت حالة دافعي الضرائب والمعفيين منها هي نفسها بحكم الواقع أم أنها حالة مختلفة، أمرٌ يتطلب أساساً إجراء تقييم للحقائق، لا سيما ما إذا كان ينبغي اعتبار نوع معين من الأجر دخلاً من العمل لأغراض الأحكام ذات الصلة من قانون ضريبة الدخل، وهو أمرٌ من اختصاص المحاكم المحلية</w:t>
      </w:r>
      <w:r w:rsidRPr="00B13A52">
        <w:rPr>
          <w:rFonts w:eastAsiaTheme="minorEastAsia"/>
        </w:rPr>
        <w:t>.</w:t>
      </w:r>
    </w:p>
    <w:p w14:paraId="11C33749"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14</w:t>
      </w:r>
      <w:r w:rsidRPr="00B13A52">
        <w:rPr>
          <w:rFonts w:eastAsiaTheme="minorEastAsia"/>
          <w:rtl/>
        </w:rPr>
        <w:tab/>
        <w:t xml:space="preserve">وتُذكّر اللجنة في هذه المرحلة بأن أمر استعراض وتقييم الوقائع والأدلة يقع عموماً على عاتق أجهزة الدول الأطراف في العهد، ما لم يثبت أن هذا التقييم كان تعسفياً بشكل واضح أو أنه بلغ حد إنكار العدالة. وفي ظل هذه الظروف ونظراً إلى أنه لم يُعرض على اللجنة أي شيء لاستنتاج خلاف ذلك، فإن اللجنة ترى أن صاحبة البلاغ لم تثبت أن تقييم السلطات المحلية، فيما يتعلق بأهليتها للإعفاء الضريبي بموجب القوانين ذات الصلة، كان تعسفياً بشكل واضح أو أنه بلغ حد إنكار العدالة بطريقة تشكل معاملة تمييزية تتعارض مع المادة </w:t>
      </w:r>
      <w:r w:rsidRPr="00A315B0">
        <w:rPr>
          <w:rFonts w:eastAsiaTheme="minorEastAsia"/>
          <w:szCs w:val="20"/>
          <w:rtl/>
        </w:rPr>
        <w:t>26</w:t>
      </w:r>
      <w:r w:rsidRPr="00B13A52">
        <w:rPr>
          <w:rFonts w:eastAsiaTheme="minorEastAsia"/>
          <w:rtl/>
        </w:rPr>
        <w:t xml:space="preserve"> من العهد. </w:t>
      </w:r>
    </w:p>
    <w:p w14:paraId="092C97CE" w14:textId="0E6DB360"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15</w:t>
      </w:r>
      <w:r w:rsidRPr="00B13A52">
        <w:rPr>
          <w:rFonts w:eastAsiaTheme="minorEastAsia"/>
          <w:rtl/>
        </w:rPr>
        <w:tab/>
        <w:t>وبناء على ذلك، تعلن اللجنة عدم مقبولية هذا الجزء من البلاغ لعدم كفاية الأدلة بموجب المادة</w:t>
      </w:r>
      <w:r w:rsidR="00B913FF">
        <w:rPr>
          <w:rFonts w:eastAsiaTheme="minorEastAsia" w:hint="cs"/>
          <w:rtl/>
        </w:rPr>
        <w:t> </w:t>
      </w:r>
      <w:r w:rsidRPr="00A315B0">
        <w:rPr>
          <w:rFonts w:eastAsiaTheme="minorEastAsia"/>
          <w:szCs w:val="20"/>
          <w:rtl/>
        </w:rPr>
        <w:t>2</w:t>
      </w:r>
      <w:r w:rsidRPr="00B13A52">
        <w:rPr>
          <w:rFonts w:eastAsiaTheme="minorEastAsia"/>
          <w:rtl/>
        </w:rPr>
        <w:t xml:space="preserve"> من البروتوكول الاختياري.</w:t>
      </w:r>
    </w:p>
    <w:p w14:paraId="0EC87ABA" w14:textId="77777777" w:rsidR="00211607" w:rsidRPr="00B13A52" w:rsidRDefault="00211607" w:rsidP="00211607">
      <w:pPr>
        <w:pStyle w:val="SingleTxtGA"/>
        <w:rPr>
          <w:rFonts w:eastAsiaTheme="minorEastAsia"/>
          <w:szCs w:val="20"/>
          <w:lang w:val="en-US"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16</w:t>
      </w:r>
      <w:r w:rsidRPr="00B13A52">
        <w:rPr>
          <w:rFonts w:eastAsiaTheme="minorEastAsia"/>
          <w:rtl/>
        </w:rPr>
        <w:tab/>
        <w:t xml:space="preserve">وتلاحظ اللجنة أيضاً ادعاء صاحبة البلاغ أن من شأن معاملتها </w:t>
      </w:r>
      <w:proofErr w:type="spellStart"/>
      <w:r w:rsidRPr="00B13A52">
        <w:rPr>
          <w:rFonts w:eastAsiaTheme="minorEastAsia"/>
          <w:rtl/>
        </w:rPr>
        <w:t>التمايزية</w:t>
      </w:r>
      <w:proofErr w:type="spellEnd"/>
      <w:r w:rsidRPr="00B13A52">
        <w:rPr>
          <w:rFonts w:eastAsiaTheme="minorEastAsia"/>
          <w:rtl/>
        </w:rPr>
        <w:t xml:space="preserve"> المزعومة أن تسيء لصورة جماعتها الدينية، وتفضي من ثم إلى إضعاف حقها في المجاهرة بدينها في إطار المادة </w:t>
      </w:r>
      <w:r w:rsidRPr="00A315B0">
        <w:rPr>
          <w:rFonts w:eastAsiaTheme="minorEastAsia"/>
          <w:szCs w:val="20"/>
          <w:rtl/>
        </w:rPr>
        <w:t>18</w:t>
      </w:r>
      <w:r w:rsidRPr="00B13A52">
        <w:rPr>
          <w:rFonts w:eastAsiaTheme="minorEastAsia"/>
          <w:rtl/>
        </w:rPr>
        <w:t xml:space="preserve"> من العهد. وتلاحظ اللجنة كذلك ادعاء صاحبة البلاغ أن العبء الضريبي المفروض، بصرف النظر عن طابعه التمييزي، عبءٌ غير متناسب، وأن له تأثيراً ضاراً على مجاهرتها بمعتقدها الديني. وتلاحظ اللجنة أن الدولة الطرف ترفض هذه الادعاءات في المقام الأول لأنها لا تثير مسألة منفصلة بموجب المادة </w:t>
      </w:r>
      <w:r w:rsidRPr="00A315B0">
        <w:rPr>
          <w:rFonts w:eastAsiaTheme="minorEastAsia"/>
          <w:szCs w:val="20"/>
          <w:rtl/>
        </w:rPr>
        <w:t>18</w:t>
      </w:r>
      <w:r w:rsidRPr="00B13A52">
        <w:rPr>
          <w:rFonts w:eastAsiaTheme="minorEastAsia"/>
          <w:rtl/>
        </w:rPr>
        <w:t xml:space="preserve"> من العهد، ولأن هذا الأمر، حتى وإن كان هناك تدخل، منصوص عليه في القانون، ويسعى إلى تحقيق هدف مشروع ومتناسب مع هدفه المنشود. </w:t>
      </w:r>
    </w:p>
    <w:p w14:paraId="3C18F096" w14:textId="1D0376ED"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17</w:t>
      </w:r>
      <w:r w:rsidRPr="00B13A52">
        <w:rPr>
          <w:rFonts w:eastAsiaTheme="minorEastAsia"/>
          <w:rtl/>
        </w:rPr>
        <w:tab/>
        <w:t>وفي تقييم هذه الادعاءات، تذكّر اللجنة أولاً باجتهاداتها السابقة التي تنطبق على هذه القضية، مع مراعاة ما يقتضيه اختلاف الحال، حيث نصت على أن العهد لا يلزم الدول الأطراف بتمويل المدارس المنشأة على أسس دينية. غير أنه إذا اختارت الدولة الطرف توفير التمويل العام للمدارس الدينية، فينبغي</w:t>
      </w:r>
      <w:r w:rsidR="000918FC" w:rsidRPr="00B13A52">
        <w:rPr>
          <w:rFonts w:eastAsiaTheme="minorEastAsia"/>
          <w:rtl/>
        </w:rPr>
        <w:t xml:space="preserve"> </w:t>
      </w:r>
      <w:r w:rsidRPr="00B13A52">
        <w:rPr>
          <w:rFonts w:eastAsiaTheme="minorEastAsia"/>
          <w:rtl/>
        </w:rPr>
        <w:t>لها أن توفر هذا التمويل دون تمييز</w:t>
      </w:r>
      <w:r w:rsidR="007232E9" w:rsidRPr="00B13A52">
        <w:rPr>
          <w:rStyle w:val="FootnoteReference"/>
          <w:rFonts w:eastAsiaTheme="minorEastAsia"/>
          <w:rtl/>
        </w:rPr>
        <w:t>(</w:t>
      </w:r>
      <w:r w:rsidR="007232E9" w:rsidRPr="00A315B0">
        <w:rPr>
          <w:rStyle w:val="FootnoteReference"/>
          <w:rFonts w:eastAsiaTheme="minorEastAsia"/>
          <w:rtl/>
        </w:rPr>
        <w:footnoteReference w:id="33"/>
      </w:r>
      <w:r w:rsidR="007232E9" w:rsidRPr="00B13A52">
        <w:rPr>
          <w:rStyle w:val="FootnoteReference"/>
          <w:rFonts w:eastAsiaTheme="minorEastAsia"/>
          <w:rtl/>
        </w:rPr>
        <w:t>)</w:t>
      </w:r>
      <w:r w:rsidR="00C414B0" w:rsidRPr="00B13A52">
        <w:rPr>
          <w:rFonts w:eastAsiaTheme="minorEastAsia" w:hint="cs"/>
          <w:rtl/>
        </w:rPr>
        <w:t>.</w:t>
      </w:r>
      <w:r w:rsidRPr="00B13A52">
        <w:rPr>
          <w:rFonts w:eastAsiaTheme="minorEastAsia"/>
          <w:rtl/>
        </w:rPr>
        <w:t xml:space="preserve"> وبالمثل، ترى اللجنة أن العهد لا يلزم الدول الأطراف بمنح إعفاءات ضريبية على أساس ديني. وبناء على ذلك، وفي ضوء ثبوت عدم وجود أدلة كافية على ادعاءات صاحبة البلاغ المتعلقة بالتمييز بموجب المادة </w:t>
      </w:r>
      <w:r w:rsidRPr="00A315B0">
        <w:rPr>
          <w:rFonts w:eastAsiaTheme="minorEastAsia"/>
          <w:szCs w:val="20"/>
          <w:rtl/>
        </w:rPr>
        <w:t>26</w:t>
      </w:r>
      <w:r w:rsidRPr="00B13A52">
        <w:rPr>
          <w:rFonts w:eastAsiaTheme="minorEastAsia"/>
          <w:rtl/>
        </w:rPr>
        <w:t xml:space="preserve"> من العهد، ونظراً إلى أنه لم يثبت أيضاً أن التزام صاحبة البلاغ بدفع الضريبة قد أخلَّ بحقها في المجاهرة بدينها، ترى اللجنة أن ادعاءات صاحبة البلاغ تفتقر إلى أدلة كافية بموجب المادة </w:t>
      </w:r>
      <w:r w:rsidRPr="00A315B0">
        <w:rPr>
          <w:rFonts w:eastAsiaTheme="minorEastAsia"/>
          <w:szCs w:val="20"/>
          <w:rtl/>
        </w:rPr>
        <w:t>18</w:t>
      </w:r>
      <w:r w:rsidRPr="00B13A52">
        <w:rPr>
          <w:rFonts w:eastAsiaTheme="minorEastAsia"/>
          <w:rtl/>
        </w:rPr>
        <w:t xml:space="preserve"> من العهد.</w:t>
      </w:r>
    </w:p>
    <w:p w14:paraId="23D27B1E"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9</w:t>
      </w:r>
      <w:r w:rsidRPr="00B13A52">
        <w:rPr>
          <w:rFonts w:eastAsiaTheme="minorEastAsia"/>
          <w:szCs w:val="20"/>
          <w:rtl/>
        </w:rPr>
        <w:t>-</w:t>
      </w:r>
      <w:r w:rsidRPr="00A315B0">
        <w:rPr>
          <w:rFonts w:eastAsiaTheme="minorEastAsia"/>
          <w:szCs w:val="20"/>
          <w:rtl/>
        </w:rPr>
        <w:t>18</w:t>
      </w:r>
      <w:r w:rsidRPr="00B13A52">
        <w:rPr>
          <w:rFonts w:eastAsiaTheme="minorEastAsia"/>
          <w:rtl/>
        </w:rPr>
        <w:tab/>
        <w:t xml:space="preserve"> وتضع اللجنة كذلك في اعتبارها ادعاء صاحبة البلاغ أن وصفها بأنها موظفة تعمل من أجل تحقيق مكاسب مالية أمرٌ مسيء للغاية لمعتقداتها الدينية. وتلاحظ اللجنة في هذا الصدد أن صاحبة البلاغ لم تبين كيف أن التصنيف القانوني الدنيوي لإعانتها الذي ينطبق على كل الأشخاص أثر عليها سلباً أو تسبب في حرمانها إلى حد إضعاف حقها في المجاهرة بدينها.</w:t>
      </w:r>
    </w:p>
    <w:p w14:paraId="5CC9F275" w14:textId="77777777" w:rsidR="00211607" w:rsidRPr="00B13A52" w:rsidRDefault="00211607" w:rsidP="00211607">
      <w:pPr>
        <w:pStyle w:val="SingleTxtGA"/>
        <w:rPr>
          <w:rFonts w:eastAsiaTheme="minorEastAsia"/>
          <w:szCs w:val="20"/>
          <w:lang w:val="ar-SA" w:eastAsia="zh-TW" w:bidi="en-GB"/>
        </w:rPr>
      </w:pPr>
      <w:r w:rsidRPr="00A315B0">
        <w:rPr>
          <w:rFonts w:eastAsiaTheme="minorEastAsia"/>
          <w:szCs w:val="20"/>
          <w:rtl/>
        </w:rPr>
        <w:t>10</w:t>
      </w:r>
      <w:r w:rsidRPr="00B13A52">
        <w:rPr>
          <w:rFonts w:eastAsiaTheme="minorEastAsia"/>
          <w:szCs w:val="20"/>
          <w:rtl/>
        </w:rPr>
        <w:t>-</w:t>
      </w:r>
      <w:r w:rsidRPr="00B13A52">
        <w:rPr>
          <w:rFonts w:eastAsiaTheme="minorEastAsia"/>
          <w:rtl/>
        </w:rPr>
        <w:tab/>
        <w:t>وبناءً على ذلك، تقرر اللجنة ما يلي:</w:t>
      </w:r>
    </w:p>
    <w:p w14:paraId="4A67540F" w14:textId="0250116E" w:rsidR="00211607" w:rsidRPr="00B13A52" w:rsidRDefault="00211607" w:rsidP="00211607">
      <w:pPr>
        <w:pStyle w:val="SingleTxtGA"/>
        <w:rPr>
          <w:rFonts w:eastAsiaTheme="minorEastAsia"/>
          <w:szCs w:val="20"/>
          <w:lang w:val="ar-SA" w:eastAsia="zh-TW" w:bidi="en-GB"/>
        </w:rPr>
      </w:pPr>
      <w:r w:rsidRPr="00B13A52">
        <w:rPr>
          <w:rFonts w:eastAsiaTheme="minorEastAsia"/>
          <w:rtl/>
        </w:rPr>
        <w:tab/>
        <w:t>(أ)</w:t>
      </w:r>
      <w:r w:rsidRPr="00B13A52">
        <w:rPr>
          <w:rFonts w:eastAsiaTheme="minorEastAsia"/>
          <w:rtl/>
        </w:rPr>
        <w:tab/>
        <w:t xml:space="preserve">أن البلاغ غير مقبول بموجب المواد </w:t>
      </w:r>
      <w:r w:rsidRPr="00A315B0">
        <w:rPr>
          <w:rFonts w:eastAsiaTheme="minorEastAsia"/>
          <w:szCs w:val="20"/>
          <w:rtl/>
        </w:rPr>
        <w:t>2</w:t>
      </w:r>
      <w:r w:rsidRPr="00B13A52">
        <w:rPr>
          <w:rFonts w:eastAsiaTheme="minorEastAsia"/>
          <w:rtl/>
        </w:rPr>
        <w:t xml:space="preserve"> و</w:t>
      </w:r>
      <w:r w:rsidRPr="00A315B0">
        <w:rPr>
          <w:rFonts w:eastAsiaTheme="minorEastAsia"/>
          <w:szCs w:val="20"/>
          <w:rtl/>
        </w:rPr>
        <w:t>3</w:t>
      </w:r>
      <w:r w:rsidRPr="00B13A52">
        <w:rPr>
          <w:rFonts w:eastAsiaTheme="minorEastAsia"/>
          <w:rtl/>
        </w:rPr>
        <w:t xml:space="preserve"> و</w:t>
      </w:r>
      <w:r w:rsidRPr="00A315B0">
        <w:rPr>
          <w:rFonts w:eastAsiaTheme="minorEastAsia"/>
          <w:szCs w:val="20"/>
          <w:rtl/>
        </w:rPr>
        <w:t>5</w:t>
      </w:r>
      <w:r w:rsidRPr="00B13A52">
        <w:rPr>
          <w:rFonts w:eastAsiaTheme="minorEastAsia"/>
          <w:szCs w:val="20"/>
          <w:rtl/>
        </w:rPr>
        <w:t>(</w:t>
      </w:r>
      <w:r w:rsidRPr="00A315B0">
        <w:rPr>
          <w:rFonts w:eastAsiaTheme="minorEastAsia"/>
          <w:szCs w:val="20"/>
          <w:rtl/>
        </w:rPr>
        <w:t>2</w:t>
      </w:r>
      <w:r w:rsidRPr="00B13A52">
        <w:rPr>
          <w:rFonts w:eastAsiaTheme="minorEastAsia"/>
          <w:szCs w:val="20"/>
          <w:rtl/>
        </w:rPr>
        <w:t>)(</w:t>
      </w:r>
      <w:r w:rsidRPr="00B13A52">
        <w:rPr>
          <w:rFonts w:eastAsiaTheme="minorEastAsia"/>
          <w:rtl/>
        </w:rPr>
        <w:t>ب</w:t>
      </w:r>
      <w:r w:rsidRPr="00B13A52">
        <w:rPr>
          <w:rFonts w:eastAsiaTheme="minorEastAsia"/>
          <w:szCs w:val="20"/>
          <w:rtl/>
        </w:rPr>
        <w:t>)</w:t>
      </w:r>
      <w:r w:rsidRPr="00B13A52">
        <w:rPr>
          <w:rFonts w:eastAsiaTheme="minorEastAsia"/>
          <w:rtl/>
        </w:rPr>
        <w:t xml:space="preserve"> من البروتوكول الاختياري؛</w:t>
      </w:r>
    </w:p>
    <w:p w14:paraId="7910B051" w14:textId="21871A81" w:rsidR="00211607" w:rsidRPr="00B13A52" w:rsidRDefault="00211607" w:rsidP="00211607">
      <w:pPr>
        <w:pStyle w:val="SingleTxtGA"/>
        <w:rPr>
          <w:rFonts w:eastAsiaTheme="minorEastAsia"/>
        </w:rPr>
      </w:pPr>
      <w:r w:rsidRPr="00B13A52">
        <w:rPr>
          <w:rFonts w:eastAsiaTheme="minorEastAsia"/>
          <w:rtl/>
        </w:rPr>
        <w:tab/>
        <w:t>(ب)</w:t>
      </w:r>
      <w:r w:rsidRPr="00B13A52">
        <w:rPr>
          <w:rFonts w:eastAsiaTheme="minorEastAsia"/>
          <w:rtl/>
        </w:rPr>
        <w:tab/>
        <w:t>إحالة هذا القرار إلى الدولة الطرف وإلى صاحبة البلاغ.</w:t>
      </w:r>
    </w:p>
    <w:bookmarkEnd w:id="2"/>
    <w:p w14:paraId="773DFB64" w14:textId="1FE214FB" w:rsidR="007232E9" w:rsidRPr="00B13A52" w:rsidRDefault="007232E9" w:rsidP="007232E9">
      <w:pPr>
        <w:pStyle w:val="SingleTxtGA"/>
        <w:jc w:val="center"/>
        <w:rPr>
          <w:rFonts w:eastAsiaTheme="minorEastAsia" w:hint="cs"/>
          <w:u w:val="single"/>
          <w:rtl/>
        </w:rPr>
      </w:pPr>
      <w:r w:rsidRPr="00B13A52">
        <w:rPr>
          <w:rFonts w:eastAsiaTheme="minorEastAsia"/>
          <w:u w:val="single"/>
          <w:rtl/>
        </w:rPr>
        <w:tab/>
      </w:r>
      <w:r w:rsidRPr="00B13A52">
        <w:rPr>
          <w:rFonts w:eastAsiaTheme="minorEastAsia"/>
          <w:u w:val="single"/>
          <w:rtl/>
        </w:rPr>
        <w:tab/>
      </w:r>
      <w:r w:rsidRPr="00B13A52">
        <w:rPr>
          <w:rFonts w:eastAsiaTheme="minorEastAsia"/>
          <w:u w:val="single"/>
          <w:rtl/>
        </w:rPr>
        <w:tab/>
      </w:r>
    </w:p>
    <w:sectPr w:rsidR="007232E9" w:rsidRPr="00B13A52" w:rsidSect="005A7E8C">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BD453" w14:textId="77777777" w:rsidR="00C414B0" w:rsidRPr="002901D9" w:rsidRDefault="00C414B0" w:rsidP="00DC4D4B">
      <w:pPr>
        <w:spacing w:after="60" w:line="240" w:lineRule="auto"/>
        <w:ind w:left="57"/>
        <w:rPr>
          <w:i/>
          <w:iCs/>
        </w:rPr>
      </w:pPr>
      <w:r>
        <w:rPr>
          <w:rFonts w:hint="cs"/>
          <w:i/>
          <w:iCs/>
          <w:rtl/>
        </w:rPr>
        <w:t>الحواشي</w:t>
      </w:r>
    </w:p>
  </w:endnote>
  <w:endnote w:type="continuationSeparator" w:id="0">
    <w:p w14:paraId="23642BA6" w14:textId="77777777" w:rsidR="00C414B0" w:rsidRDefault="00C414B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32FB" w14:textId="422702CE" w:rsidR="00C414B0" w:rsidRPr="005A7E8C" w:rsidRDefault="00C414B0" w:rsidP="005A7E8C">
    <w:pPr>
      <w:pStyle w:val="Footer"/>
      <w:tabs>
        <w:tab w:val="right" w:pos="9638"/>
      </w:tabs>
      <w:rPr>
        <w:b/>
        <w:sz w:val="18"/>
        <w:lang w:val="en-US"/>
      </w:rPr>
    </w:pPr>
    <w:r>
      <w:rPr>
        <w:lang w:val="en-US"/>
      </w:rPr>
      <w:t>GE.</w:t>
    </w:r>
    <w:r w:rsidRPr="00A315B0">
      <w:rPr>
        <w:lang w:val="en-US"/>
      </w:rPr>
      <w:t>20</w:t>
    </w:r>
    <w:r>
      <w:rPr>
        <w:lang w:val="en-US"/>
      </w:rPr>
      <w:t>-</w:t>
    </w:r>
    <w:r w:rsidRPr="00A315B0">
      <w:rPr>
        <w:lang w:val="en-US"/>
      </w:rPr>
      <w:t>16547</w:t>
    </w:r>
    <w:r>
      <w:rPr>
        <w:lang w:val="en-US"/>
      </w:rPr>
      <w:tab/>
    </w:r>
    <w:r w:rsidRPr="005A7E8C">
      <w:rPr>
        <w:b/>
        <w:sz w:val="18"/>
        <w:lang w:val="en-US"/>
      </w:rPr>
      <w:fldChar w:fldCharType="begin"/>
    </w:r>
    <w:r w:rsidRPr="005A7E8C">
      <w:rPr>
        <w:b/>
        <w:sz w:val="18"/>
        <w:lang w:val="en-US"/>
      </w:rPr>
      <w:instrText xml:space="preserve"> PAGE  \* MERGEFORMAT </w:instrText>
    </w:r>
    <w:r w:rsidRPr="005A7E8C">
      <w:rPr>
        <w:b/>
        <w:sz w:val="18"/>
        <w:lang w:val="en-US"/>
      </w:rPr>
      <w:fldChar w:fldCharType="separate"/>
    </w:r>
    <w:r w:rsidRPr="00A315B0">
      <w:rPr>
        <w:b/>
        <w:noProof/>
        <w:sz w:val="18"/>
        <w:lang w:val="en-US"/>
      </w:rPr>
      <w:t>2</w:t>
    </w:r>
    <w:r w:rsidRPr="005A7E8C">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B309" w14:textId="395FC63A" w:rsidR="00C414B0" w:rsidRPr="005A7E8C" w:rsidRDefault="00C414B0" w:rsidP="005A7E8C">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sidRPr="00A315B0">
      <w:rPr>
        <w:b/>
        <w:noProof/>
        <w:sz w:val="18"/>
        <w:lang w:val="en-US"/>
      </w:rPr>
      <w:t>3</w:t>
    </w:r>
    <w:r>
      <w:rPr>
        <w:b/>
        <w:sz w:val="18"/>
        <w:lang w:val="en-US"/>
      </w:rPr>
      <w:fldChar w:fldCharType="end"/>
    </w:r>
    <w:r>
      <w:rPr>
        <w:b/>
        <w:sz w:val="18"/>
        <w:lang w:val="en-US"/>
      </w:rPr>
      <w:tab/>
    </w:r>
    <w:r>
      <w:rPr>
        <w:lang w:val="en-US"/>
      </w:rPr>
      <w:t>GE.</w:t>
    </w:r>
    <w:r w:rsidRPr="00A315B0">
      <w:rPr>
        <w:lang w:val="en-US"/>
      </w:rPr>
      <w:t>20</w:t>
    </w:r>
    <w:r>
      <w:rPr>
        <w:lang w:val="en-US"/>
      </w:rPr>
      <w:t>-</w:t>
    </w:r>
    <w:r w:rsidRPr="00A315B0">
      <w:rPr>
        <w:lang w:val="en-US"/>
      </w:rPr>
      <w:t>16547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9B89" w14:textId="1B8360BF" w:rsidR="00C414B0" w:rsidRPr="005A7E8C" w:rsidRDefault="00C414B0" w:rsidP="005A7E8C">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20C4FF53" wp14:editId="0271D830">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sidRPr="00A315B0">
      <w:rPr>
        <w:sz w:val="20"/>
        <w:lang w:val="en-US"/>
      </w:rPr>
      <w:t>20</w:t>
    </w:r>
    <w:r>
      <w:rPr>
        <w:sz w:val="20"/>
        <w:lang w:val="en-US"/>
      </w:rPr>
      <w:t>-</w:t>
    </w:r>
    <w:r w:rsidRPr="00A315B0">
      <w:rPr>
        <w:sz w:val="20"/>
        <w:lang w:val="en-US"/>
      </w:rPr>
      <w:t>16547</w:t>
    </w:r>
    <w:r>
      <w:rPr>
        <w:sz w:val="20"/>
        <w:lang w:val="en-US"/>
      </w:rPr>
      <w:t xml:space="preserve"> (A)</w:t>
    </w:r>
    <w:r>
      <w:rPr>
        <w:noProof/>
        <w:sz w:val="20"/>
        <w:lang w:val="en-US"/>
      </w:rPr>
      <w:drawing>
        <wp:anchor distT="0" distB="0" distL="114300" distR="114300" simplePos="0" relativeHeight="251659264" behindDoc="0" locked="0" layoutInCell="1" allowOverlap="1" wp14:anchorId="0660CCD2" wp14:editId="1D0E3A05">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54ABA" w14:textId="77777777" w:rsidR="00C414B0" w:rsidRPr="000437B8" w:rsidRDefault="00C414B0" w:rsidP="00F10DAB">
      <w:pPr>
        <w:pStyle w:val="Footer"/>
        <w:bidi/>
        <w:spacing w:after="80" w:line="200" w:lineRule="exact"/>
        <w:ind w:left="680"/>
      </w:pPr>
      <w:r>
        <w:rPr>
          <w:rtl/>
        </w:rPr>
        <w:t>__________</w:t>
      </w:r>
    </w:p>
  </w:footnote>
  <w:footnote w:type="continuationSeparator" w:id="0">
    <w:p w14:paraId="18E384D2" w14:textId="77777777" w:rsidR="00C414B0" w:rsidRDefault="00C414B0" w:rsidP="00656392">
      <w:pPr>
        <w:spacing w:line="240" w:lineRule="auto"/>
      </w:pPr>
      <w:r>
        <w:continuationSeparator/>
      </w:r>
    </w:p>
  </w:footnote>
  <w:footnote w:id="1">
    <w:p w14:paraId="3E209FCD" w14:textId="697B3D22" w:rsidR="00C414B0" w:rsidRPr="00C414B0" w:rsidRDefault="00C414B0" w:rsidP="007232E9">
      <w:pPr>
        <w:pStyle w:val="FootnoteText1"/>
        <w:rPr>
          <w:rFonts w:eastAsiaTheme="minorEastAsia" w:hint="cs"/>
          <w:rtl/>
        </w:rPr>
      </w:pPr>
      <w:r w:rsidRPr="00B13A52">
        <w:rPr>
          <w:rFonts w:eastAsiaTheme="minorEastAsia"/>
          <w:sz w:val="22"/>
          <w:szCs w:val="22"/>
          <w:rtl/>
        </w:rPr>
        <w:t>*</w:t>
      </w:r>
      <w:r w:rsidRPr="00C414B0">
        <w:rPr>
          <w:rFonts w:eastAsiaTheme="minorEastAsia"/>
          <w:rtl/>
        </w:rPr>
        <w:tab/>
        <w:t xml:space="preserve">اعتمدته اللجنة في دورتها </w:t>
      </w:r>
      <w:r w:rsidRPr="00A315B0">
        <w:rPr>
          <w:rFonts w:eastAsiaTheme="minorEastAsia"/>
          <w:rtl/>
        </w:rPr>
        <w:t>129</w:t>
      </w:r>
      <w:r w:rsidRPr="00C414B0">
        <w:rPr>
          <w:rFonts w:eastAsiaTheme="minorEastAsia"/>
          <w:rtl/>
        </w:rPr>
        <w:t xml:space="preserve"> (</w:t>
      </w:r>
      <w:r w:rsidRPr="00A315B0">
        <w:rPr>
          <w:rFonts w:eastAsiaTheme="minorEastAsia"/>
          <w:rtl/>
        </w:rPr>
        <w:t>29</w:t>
      </w:r>
      <w:r w:rsidRPr="00C414B0">
        <w:rPr>
          <w:rFonts w:eastAsiaTheme="minorEastAsia"/>
          <w:rtl/>
        </w:rPr>
        <w:t xml:space="preserve"> حزيران/</w:t>
      </w:r>
      <w:proofErr w:type="gramStart"/>
      <w:r w:rsidRPr="00C414B0">
        <w:rPr>
          <w:rFonts w:eastAsiaTheme="minorEastAsia"/>
          <w:rtl/>
        </w:rPr>
        <w:t>يونيه</w:t>
      </w:r>
      <w:proofErr w:type="gramEnd"/>
      <w:r w:rsidRPr="00C414B0">
        <w:rPr>
          <w:rFonts w:eastAsiaTheme="minorEastAsia"/>
          <w:rtl/>
        </w:rPr>
        <w:t xml:space="preserve"> - </w:t>
      </w:r>
      <w:r w:rsidRPr="00A315B0">
        <w:rPr>
          <w:rFonts w:eastAsiaTheme="minorEastAsia"/>
          <w:rtl/>
        </w:rPr>
        <w:t>24</w:t>
      </w:r>
      <w:r w:rsidRPr="00C414B0">
        <w:rPr>
          <w:rFonts w:eastAsiaTheme="minorEastAsia"/>
          <w:rtl/>
        </w:rPr>
        <w:t xml:space="preserve"> تموز/يوليه </w:t>
      </w:r>
      <w:r w:rsidRPr="00A315B0">
        <w:rPr>
          <w:rFonts w:eastAsiaTheme="minorEastAsia"/>
          <w:rtl/>
        </w:rPr>
        <w:t>2020</w:t>
      </w:r>
      <w:r w:rsidRPr="00C414B0">
        <w:rPr>
          <w:rFonts w:eastAsiaTheme="minorEastAsia"/>
          <w:rtl/>
        </w:rPr>
        <w:t>).</w:t>
      </w:r>
    </w:p>
  </w:footnote>
  <w:footnote w:id="2">
    <w:p w14:paraId="0036E819" w14:textId="0DBEF200" w:rsidR="00C414B0" w:rsidRPr="00C414B0" w:rsidRDefault="00C414B0" w:rsidP="007232E9">
      <w:pPr>
        <w:pStyle w:val="FootnoteText1"/>
        <w:rPr>
          <w:rFonts w:eastAsiaTheme="minorEastAsia" w:hint="cs"/>
          <w:spacing w:val="-6"/>
          <w:rtl/>
        </w:rPr>
      </w:pPr>
      <w:r w:rsidRPr="00B13A52">
        <w:rPr>
          <w:rFonts w:eastAsiaTheme="minorEastAsia"/>
          <w:sz w:val="22"/>
          <w:szCs w:val="22"/>
          <w:rtl/>
        </w:rPr>
        <w:t>**</w:t>
      </w:r>
      <w:r w:rsidRPr="00C414B0">
        <w:rPr>
          <w:rFonts w:eastAsiaTheme="minorEastAsia"/>
          <w:rtl/>
        </w:rPr>
        <w:tab/>
      </w:r>
      <w:r w:rsidRPr="00C414B0">
        <w:rPr>
          <w:rFonts w:eastAsiaTheme="minorEastAsia"/>
          <w:spacing w:val="-6"/>
          <w:rtl/>
        </w:rPr>
        <w:t xml:space="preserve">شارك في دراسة هذا البلاغ أعضاء اللجنة التالية أسماؤهم: تانيا ماريا أبدو </w:t>
      </w:r>
      <w:proofErr w:type="spellStart"/>
      <w:r w:rsidRPr="00C414B0">
        <w:rPr>
          <w:rFonts w:eastAsiaTheme="minorEastAsia"/>
          <w:spacing w:val="-6"/>
          <w:rtl/>
        </w:rPr>
        <w:t>روتشول</w:t>
      </w:r>
      <w:proofErr w:type="spellEnd"/>
      <w:r w:rsidRPr="00C414B0">
        <w:rPr>
          <w:rFonts w:eastAsiaTheme="minorEastAsia"/>
          <w:spacing w:val="-6"/>
          <w:rtl/>
        </w:rPr>
        <w:t xml:space="preserve">، وعياض بن عاشور، وعارف بلقان، وأحمد أمين فتح الله، </w:t>
      </w:r>
      <w:proofErr w:type="spellStart"/>
      <w:r w:rsidRPr="00C414B0">
        <w:rPr>
          <w:rFonts w:eastAsiaTheme="minorEastAsia"/>
          <w:spacing w:val="-6"/>
          <w:rtl/>
        </w:rPr>
        <w:t>وفورويا</w:t>
      </w:r>
      <w:proofErr w:type="spellEnd"/>
      <w:r w:rsidRPr="00C414B0">
        <w:rPr>
          <w:rFonts w:eastAsiaTheme="minorEastAsia"/>
          <w:spacing w:val="-6"/>
          <w:rtl/>
        </w:rPr>
        <w:t xml:space="preserve"> </w:t>
      </w:r>
      <w:proofErr w:type="spellStart"/>
      <w:r w:rsidRPr="00C414B0">
        <w:rPr>
          <w:rFonts w:eastAsiaTheme="minorEastAsia"/>
          <w:spacing w:val="-6"/>
          <w:rtl/>
        </w:rPr>
        <w:t>سويتشي</w:t>
      </w:r>
      <w:proofErr w:type="spellEnd"/>
      <w:r w:rsidRPr="00C414B0">
        <w:rPr>
          <w:rFonts w:eastAsiaTheme="minorEastAsia"/>
          <w:spacing w:val="-6"/>
          <w:rtl/>
        </w:rPr>
        <w:t xml:space="preserve">، </w:t>
      </w:r>
      <w:proofErr w:type="spellStart"/>
      <w:r w:rsidRPr="00C414B0">
        <w:rPr>
          <w:rFonts w:eastAsiaTheme="minorEastAsia"/>
          <w:spacing w:val="-6"/>
          <w:rtl/>
        </w:rPr>
        <w:t>وبامريم</w:t>
      </w:r>
      <w:proofErr w:type="spellEnd"/>
      <w:r w:rsidRPr="00C414B0">
        <w:rPr>
          <w:rFonts w:eastAsiaTheme="minorEastAsia"/>
          <w:spacing w:val="-6"/>
          <w:rtl/>
        </w:rPr>
        <w:t xml:space="preserve"> كويتا، </w:t>
      </w:r>
      <w:proofErr w:type="spellStart"/>
      <w:r w:rsidRPr="00C414B0">
        <w:rPr>
          <w:rFonts w:eastAsiaTheme="minorEastAsia"/>
          <w:spacing w:val="-6"/>
          <w:rtl/>
        </w:rPr>
        <w:t>ومارسيا</w:t>
      </w:r>
      <w:proofErr w:type="spellEnd"/>
      <w:r w:rsidRPr="00C414B0">
        <w:rPr>
          <w:rFonts w:eastAsiaTheme="minorEastAsia"/>
          <w:spacing w:val="-6"/>
          <w:rtl/>
        </w:rPr>
        <w:t xml:space="preserve"> ف. ج. كران، </w:t>
      </w:r>
      <w:proofErr w:type="spellStart"/>
      <w:r w:rsidRPr="00C414B0">
        <w:rPr>
          <w:rFonts w:eastAsiaTheme="minorEastAsia"/>
          <w:spacing w:val="-6"/>
          <w:rtl/>
        </w:rPr>
        <w:t>ودنكان</w:t>
      </w:r>
      <w:proofErr w:type="spellEnd"/>
      <w:r w:rsidRPr="00C414B0">
        <w:rPr>
          <w:rFonts w:eastAsiaTheme="minorEastAsia"/>
          <w:spacing w:val="-6"/>
          <w:rtl/>
        </w:rPr>
        <w:t xml:space="preserve"> </w:t>
      </w:r>
      <w:proofErr w:type="spellStart"/>
      <w:r w:rsidRPr="00C414B0">
        <w:rPr>
          <w:rFonts w:eastAsiaTheme="minorEastAsia"/>
          <w:spacing w:val="-6"/>
          <w:rtl/>
        </w:rPr>
        <w:t>لاكي</w:t>
      </w:r>
      <w:proofErr w:type="spellEnd"/>
      <w:r w:rsidRPr="00C414B0">
        <w:rPr>
          <w:rFonts w:eastAsiaTheme="minorEastAsia"/>
          <w:spacing w:val="-6"/>
          <w:rtl/>
        </w:rPr>
        <w:t xml:space="preserve"> </w:t>
      </w:r>
      <w:proofErr w:type="spellStart"/>
      <w:r w:rsidRPr="00C414B0">
        <w:rPr>
          <w:rFonts w:eastAsiaTheme="minorEastAsia"/>
          <w:spacing w:val="-6"/>
          <w:rtl/>
        </w:rPr>
        <w:t>موهوموزا</w:t>
      </w:r>
      <w:proofErr w:type="spellEnd"/>
      <w:r w:rsidRPr="00C414B0">
        <w:rPr>
          <w:rFonts w:eastAsiaTheme="minorEastAsia"/>
          <w:spacing w:val="-6"/>
          <w:rtl/>
        </w:rPr>
        <w:t xml:space="preserve">، وفوتيني </w:t>
      </w:r>
      <w:proofErr w:type="spellStart"/>
      <w:r w:rsidRPr="00C414B0">
        <w:rPr>
          <w:rFonts w:eastAsiaTheme="minorEastAsia"/>
          <w:spacing w:val="-6"/>
          <w:rtl/>
        </w:rPr>
        <w:t>بازارتزيس</w:t>
      </w:r>
      <w:proofErr w:type="spellEnd"/>
      <w:r w:rsidRPr="00C414B0">
        <w:rPr>
          <w:rFonts w:eastAsiaTheme="minorEastAsia"/>
          <w:spacing w:val="-6"/>
          <w:rtl/>
        </w:rPr>
        <w:t xml:space="preserve">، </w:t>
      </w:r>
      <w:proofErr w:type="spellStart"/>
      <w:r w:rsidRPr="00C414B0">
        <w:rPr>
          <w:rFonts w:eastAsiaTheme="minorEastAsia"/>
          <w:spacing w:val="-6"/>
          <w:rtl/>
        </w:rPr>
        <w:t>وهيرنان</w:t>
      </w:r>
      <w:proofErr w:type="spellEnd"/>
      <w:r w:rsidRPr="00C414B0">
        <w:rPr>
          <w:rFonts w:eastAsiaTheme="minorEastAsia"/>
          <w:spacing w:val="-6"/>
          <w:rtl/>
        </w:rPr>
        <w:t xml:space="preserve"> </w:t>
      </w:r>
      <w:proofErr w:type="spellStart"/>
      <w:r w:rsidRPr="00C414B0">
        <w:rPr>
          <w:rFonts w:eastAsiaTheme="minorEastAsia"/>
          <w:spacing w:val="-6"/>
          <w:rtl/>
        </w:rPr>
        <w:t>كيزادا</w:t>
      </w:r>
      <w:proofErr w:type="spellEnd"/>
      <w:r w:rsidRPr="00C414B0">
        <w:rPr>
          <w:rFonts w:eastAsiaTheme="minorEastAsia"/>
          <w:spacing w:val="-6"/>
          <w:rtl/>
        </w:rPr>
        <w:t xml:space="preserve"> </w:t>
      </w:r>
      <w:proofErr w:type="spellStart"/>
      <w:r w:rsidRPr="00C414B0">
        <w:rPr>
          <w:rFonts w:eastAsiaTheme="minorEastAsia"/>
          <w:spacing w:val="-6"/>
          <w:rtl/>
        </w:rPr>
        <w:t>كابريرا</w:t>
      </w:r>
      <w:proofErr w:type="spellEnd"/>
      <w:r w:rsidRPr="00C414B0">
        <w:rPr>
          <w:rFonts w:eastAsiaTheme="minorEastAsia"/>
          <w:spacing w:val="-6"/>
          <w:rtl/>
        </w:rPr>
        <w:t xml:space="preserve">، </w:t>
      </w:r>
      <w:proofErr w:type="spellStart"/>
      <w:r w:rsidRPr="00C414B0">
        <w:rPr>
          <w:rFonts w:eastAsiaTheme="minorEastAsia"/>
          <w:spacing w:val="-6"/>
          <w:rtl/>
        </w:rPr>
        <w:t>وفاسيلكا</w:t>
      </w:r>
      <w:proofErr w:type="spellEnd"/>
      <w:r w:rsidRPr="00C414B0">
        <w:rPr>
          <w:rFonts w:eastAsiaTheme="minorEastAsia"/>
          <w:spacing w:val="-6"/>
          <w:rtl/>
        </w:rPr>
        <w:t xml:space="preserve"> </w:t>
      </w:r>
      <w:proofErr w:type="spellStart"/>
      <w:r w:rsidRPr="00C414B0">
        <w:rPr>
          <w:rFonts w:eastAsiaTheme="minorEastAsia"/>
          <w:spacing w:val="-6"/>
          <w:rtl/>
        </w:rPr>
        <w:t>سانسين</w:t>
      </w:r>
      <w:proofErr w:type="spellEnd"/>
      <w:r w:rsidRPr="00C414B0">
        <w:rPr>
          <w:rFonts w:eastAsiaTheme="minorEastAsia"/>
          <w:spacing w:val="-6"/>
          <w:rtl/>
        </w:rPr>
        <w:t xml:space="preserve">، وخوسيه مانويل سانتوس </w:t>
      </w:r>
      <w:proofErr w:type="spellStart"/>
      <w:r w:rsidRPr="00C414B0">
        <w:rPr>
          <w:rFonts w:eastAsiaTheme="minorEastAsia"/>
          <w:spacing w:val="-6"/>
          <w:rtl/>
        </w:rPr>
        <w:t>باييس</w:t>
      </w:r>
      <w:proofErr w:type="spellEnd"/>
      <w:r w:rsidRPr="00C414B0">
        <w:rPr>
          <w:rFonts w:eastAsiaTheme="minorEastAsia"/>
          <w:spacing w:val="-6"/>
          <w:rtl/>
        </w:rPr>
        <w:t xml:space="preserve">، ويوفال </w:t>
      </w:r>
      <w:proofErr w:type="spellStart"/>
      <w:r w:rsidRPr="00C414B0">
        <w:rPr>
          <w:rFonts w:eastAsiaTheme="minorEastAsia"/>
          <w:spacing w:val="-6"/>
          <w:rtl/>
        </w:rPr>
        <w:t>شاني</w:t>
      </w:r>
      <w:proofErr w:type="spellEnd"/>
      <w:r w:rsidRPr="00C414B0">
        <w:rPr>
          <w:rFonts w:eastAsiaTheme="minorEastAsia"/>
          <w:spacing w:val="-6"/>
          <w:rtl/>
        </w:rPr>
        <w:t xml:space="preserve">، وهيلين </w:t>
      </w:r>
      <w:proofErr w:type="spellStart"/>
      <w:r w:rsidRPr="00C414B0">
        <w:rPr>
          <w:rFonts w:eastAsiaTheme="minorEastAsia"/>
          <w:spacing w:val="-6"/>
          <w:rtl/>
        </w:rPr>
        <w:t>تيغرودجا</w:t>
      </w:r>
      <w:proofErr w:type="spellEnd"/>
      <w:r w:rsidRPr="00C414B0">
        <w:rPr>
          <w:rFonts w:eastAsiaTheme="minorEastAsia"/>
          <w:spacing w:val="-6"/>
          <w:rtl/>
        </w:rPr>
        <w:t xml:space="preserve">، وأندرياس </w:t>
      </w:r>
      <w:proofErr w:type="spellStart"/>
      <w:r w:rsidRPr="00C414B0">
        <w:rPr>
          <w:rFonts w:eastAsiaTheme="minorEastAsia"/>
          <w:spacing w:val="-6"/>
          <w:rtl/>
        </w:rPr>
        <w:t>زيمرمان</w:t>
      </w:r>
      <w:proofErr w:type="spellEnd"/>
      <w:r w:rsidRPr="00C414B0">
        <w:rPr>
          <w:rFonts w:eastAsiaTheme="minorEastAsia"/>
          <w:spacing w:val="-6"/>
          <w:rtl/>
        </w:rPr>
        <w:t xml:space="preserve">، </w:t>
      </w:r>
      <w:proofErr w:type="spellStart"/>
      <w:r w:rsidRPr="00C414B0">
        <w:rPr>
          <w:rFonts w:eastAsiaTheme="minorEastAsia"/>
          <w:spacing w:val="-6"/>
          <w:rtl/>
        </w:rPr>
        <w:t>وجنتيان</w:t>
      </w:r>
      <w:proofErr w:type="spellEnd"/>
      <w:r w:rsidRPr="00C414B0">
        <w:rPr>
          <w:rFonts w:eastAsiaTheme="minorEastAsia"/>
          <w:spacing w:val="-6"/>
          <w:rtl/>
        </w:rPr>
        <w:t xml:space="preserve"> </w:t>
      </w:r>
      <w:proofErr w:type="spellStart"/>
      <w:r w:rsidRPr="00C414B0">
        <w:rPr>
          <w:rFonts w:eastAsiaTheme="minorEastAsia"/>
          <w:spacing w:val="-6"/>
          <w:rtl/>
        </w:rPr>
        <w:t>زيبيري</w:t>
      </w:r>
      <w:proofErr w:type="spellEnd"/>
      <w:r w:rsidRPr="00C414B0">
        <w:rPr>
          <w:rFonts w:eastAsiaTheme="minorEastAsia"/>
          <w:spacing w:val="-6"/>
          <w:rtl/>
        </w:rPr>
        <w:t>.</w:t>
      </w:r>
    </w:p>
  </w:footnote>
  <w:footnote w:id="3">
    <w:p w14:paraId="79735D86" w14:textId="0BCF5B38"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في السويد، تُدار الجماعة العالمية للخدام المتفرغين الخاصين لشهود يهوه من قِبل المنظمة الدينية المسجلة المسماة </w:t>
      </w:r>
      <w:r w:rsidRPr="006243BF">
        <w:rPr>
          <w:rFonts w:eastAsiaTheme="minorEastAsia"/>
          <w:i/>
          <w:iCs/>
          <w:rtl/>
        </w:rPr>
        <w:t>شهود يهوه</w:t>
      </w:r>
      <w:r w:rsidRPr="00C414B0">
        <w:rPr>
          <w:rFonts w:eastAsiaTheme="minorEastAsia"/>
          <w:rtl/>
        </w:rPr>
        <w:t xml:space="preserve">. وعدد قليل من أتباع طائفة شهود يهوه هم أعضاء في الجماعة. وفي عام </w:t>
      </w:r>
      <w:r w:rsidRPr="00A315B0">
        <w:rPr>
          <w:rFonts w:eastAsiaTheme="minorEastAsia"/>
          <w:rtl/>
        </w:rPr>
        <w:t>2012</w:t>
      </w:r>
      <w:r w:rsidRPr="00C414B0">
        <w:rPr>
          <w:rFonts w:eastAsiaTheme="minorEastAsia"/>
          <w:rtl/>
        </w:rPr>
        <w:t xml:space="preserve">، كان </w:t>
      </w:r>
      <w:r w:rsidRPr="00A315B0">
        <w:rPr>
          <w:rFonts w:eastAsiaTheme="minorEastAsia"/>
          <w:rtl/>
        </w:rPr>
        <w:t>75</w:t>
      </w:r>
      <w:r w:rsidRPr="00C414B0">
        <w:rPr>
          <w:rFonts w:eastAsiaTheme="minorEastAsia"/>
          <w:rtl/>
        </w:rPr>
        <w:t xml:space="preserve"> عضواً فقط من أعضاء الجماعة، من جملة أتباع طائفة شهود يهوه البالغ عددهم </w:t>
      </w:r>
      <w:r w:rsidRPr="00A315B0">
        <w:rPr>
          <w:rFonts w:eastAsiaTheme="minorEastAsia"/>
          <w:rtl/>
        </w:rPr>
        <w:t>000</w:t>
      </w:r>
      <w:r w:rsidRPr="00C414B0">
        <w:rPr>
          <w:rFonts w:eastAsiaTheme="minorEastAsia"/>
          <w:rtl/>
        </w:rPr>
        <w:t xml:space="preserve"> </w:t>
      </w:r>
      <w:r w:rsidRPr="00A315B0">
        <w:rPr>
          <w:rFonts w:eastAsiaTheme="minorEastAsia"/>
          <w:rtl/>
        </w:rPr>
        <w:t>22</w:t>
      </w:r>
      <w:r w:rsidRPr="00C414B0">
        <w:rPr>
          <w:rFonts w:eastAsiaTheme="minorEastAsia"/>
          <w:rtl/>
        </w:rPr>
        <w:t xml:space="preserve"> شخص، يعيشون في </w:t>
      </w:r>
      <w:proofErr w:type="spellStart"/>
      <w:r w:rsidRPr="00C414B0">
        <w:rPr>
          <w:rFonts w:eastAsiaTheme="minorEastAsia"/>
          <w:rtl/>
        </w:rPr>
        <w:t>بيثيل</w:t>
      </w:r>
      <w:proofErr w:type="spellEnd"/>
      <w:r w:rsidRPr="00C414B0">
        <w:rPr>
          <w:rFonts w:eastAsiaTheme="minorEastAsia"/>
          <w:rtl/>
        </w:rPr>
        <w:t>.</w:t>
      </w:r>
    </w:p>
  </w:footnote>
  <w:footnote w:id="4">
    <w:p w14:paraId="4AF9CAA9" w14:textId="77777777" w:rsidR="005267A7" w:rsidRPr="00C414B0" w:rsidRDefault="005267A7" w:rsidP="005267A7">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يعادل حوالي </w:t>
      </w:r>
      <w:r w:rsidRPr="00A315B0">
        <w:rPr>
          <w:rFonts w:eastAsiaTheme="minorEastAsia"/>
          <w:rtl/>
        </w:rPr>
        <w:t>021</w:t>
      </w:r>
      <w:r w:rsidRPr="00C414B0">
        <w:rPr>
          <w:rFonts w:eastAsiaTheme="minorEastAsia"/>
          <w:rtl/>
        </w:rPr>
        <w:t xml:space="preserve"> </w:t>
      </w:r>
      <w:r w:rsidRPr="00A315B0">
        <w:rPr>
          <w:rFonts w:eastAsiaTheme="minorEastAsia"/>
          <w:rtl/>
        </w:rPr>
        <w:t>11</w:t>
      </w:r>
      <w:r w:rsidRPr="00C414B0">
        <w:rPr>
          <w:rFonts w:eastAsiaTheme="minorEastAsia"/>
          <w:rtl/>
        </w:rPr>
        <w:t xml:space="preserve"> دولار</w:t>
      </w:r>
      <w:r>
        <w:rPr>
          <w:rFonts w:eastAsiaTheme="minorEastAsia"/>
          <w:rtl/>
        </w:rPr>
        <w:t xml:space="preserve">اً </w:t>
      </w:r>
      <w:r w:rsidRPr="00C414B0">
        <w:rPr>
          <w:rFonts w:eastAsiaTheme="minorEastAsia"/>
          <w:rtl/>
        </w:rPr>
        <w:t xml:space="preserve">في </w:t>
      </w:r>
      <w:r w:rsidRPr="00A315B0">
        <w:rPr>
          <w:rFonts w:eastAsiaTheme="minorEastAsia"/>
          <w:rtl/>
        </w:rPr>
        <w:t>17</w:t>
      </w:r>
      <w:r w:rsidRPr="00C414B0">
        <w:rPr>
          <w:rFonts w:eastAsiaTheme="minorEastAsia"/>
          <w:rtl/>
        </w:rPr>
        <w:t xml:space="preserve"> كانون الأول/ديسمبر </w:t>
      </w:r>
      <w:r w:rsidRPr="00A315B0">
        <w:rPr>
          <w:rFonts w:eastAsiaTheme="minorEastAsia"/>
          <w:rtl/>
        </w:rPr>
        <w:t>2015</w:t>
      </w:r>
      <w:r w:rsidRPr="00C414B0">
        <w:rPr>
          <w:rFonts w:eastAsiaTheme="minorEastAsia"/>
          <w:rtl/>
        </w:rPr>
        <w:t xml:space="preserve">. وتشير الدولة الطرف في ملاحظاتها المقدمة في </w:t>
      </w:r>
      <w:r w:rsidRPr="00A315B0">
        <w:rPr>
          <w:rFonts w:eastAsiaTheme="minorEastAsia"/>
          <w:rtl/>
        </w:rPr>
        <w:t>22</w:t>
      </w:r>
      <w:r w:rsidRPr="00C414B0">
        <w:rPr>
          <w:rFonts w:eastAsiaTheme="minorEastAsia"/>
          <w:rtl/>
        </w:rPr>
        <w:t xml:space="preserve"> شباط/فبراير </w:t>
      </w:r>
      <w:r w:rsidRPr="00A315B0">
        <w:rPr>
          <w:rFonts w:eastAsiaTheme="minorEastAsia"/>
          <w:rtl/>
        </w:rPr>
        <w:t>2018</w:t>
      </w:r>
      <w:r w:rsidRPr="00C414B0">
        <w:rPr>
          <w:rFonts w:eastAsiaTheme="minorEastAsia"/>
          <w:rtl/>
        </w:rPr>
        <w:t xml:space="preserve">، </w:t>
      </w:r>
      <w:r w:rsidRPr="00C414B0">
        <w:rPr>
          <w:rFonts w:eastAsiaTheme="minorEastAsia"/>
          <w:rtl/>
          <w:lang w:val="fr-CH"/>
        </w:rPr>
        <w:t xml:space="preserve">إلى </w:t>
      </w:r>
      <w:r w:rsidRPr="00C414B0">
        <w:rPr>
          <w:rFonts w:eastAsiaTheme="minorEastAsia"/>
          <w:rtl/>
        </w:rPr>
        <w:t xml:space="preserve">أن هيئة الضرائب قدرت في الواقع قيمة الإعانة الممنوحة لصاحبة البلاغ بمبلغ </w:t>
      </w:r>
      <w:r w:rsidRPr="00A315B0">
        <w:rPr>
          <w:rFonts w:eastAsiaTheme="minorEastAsia"/>
          <w:rtl/>
        </w:rPr>
        <w:t>001</w:t>
      </w:r>
      <w:r w:rsidRPr="00C414B0">
        <w:rPr>
          <w:rFonts w:eastAsiaTheme="minorEastAsia"/>
          <w:rtl/>
        </w:rPr>
        <w:t xml:space="preserve"> </w:t>
      </w:r>
      <w:r w:rsidRPr="00A315B0">
        <w:rPr>
          <w:rFonts w:eastAsiaTheme="minorEastAsia"/>
          <w:rtl/>
        </w:rPr>
        <w:t>87</w:t>
      </w:r>
      <w:r w:rsidRPr="00C414B0">
        <w:rPr>
          <w:rFonts w:eastAsiaTheme="minorEastAsia"/>
          <w:rtl/>
        </w:rPr>
        <w:t xml:space="preserve"> كرونة سويدية (</w:t>
      </w:r>
      <w:r w:rsidRPr="00A315B0">
        <w:rPr>
          <w:rFonts w:eastAsiaTheme="minorEastAsia"/>
          <w:rtl/>
        </w:rPr>
        <w:t>170</w:t>
      </w:r>
      <w:r w:rsidRPr="00C414B0">
        <w:rPr>
          <w:rFonts w:eastAsiaTheme="minorEastAsia"/>
          <w:rtl/>
        </w:rPr>
        <w:t xml:space="preserve"> </w:t>
      </w:r>
      <w:r w:rsidRPr="00A315B0">
        <w:rPr>
          <w:rFonts w:eastAsiaTheme="minorEastAsia"/>
          <w:rtl/>
        </w:rPr>
        <w:t>10</w:t>
      </w:r>
      <w:r w:rsidRPr="00C414B0">
        <w:rPr>
          <w:rFonts w:eastAsiaTheme="minorEastAsia"/>
          <w:rtl/>
        </w:rPr>
        <w:t xml:space="preserve"> دولاراً).</w:t>
      </w:r>
    </w:p>
  </w:footnote>
  <w:footnote w:id="5">
    <w:p w14:paraId="0D11D4A2" w14:textId="39C531F9"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تشير صاحبة البلاغ إلى قضية </w:t>
      </w:r>
      <w:r w:rsidRPr="000918FC">
        <w:rPr>
          <w:rFonts w:eastAsiaTheme="minorEastAsia"/>
          <w:i/>
          <w:iCs/>
          <w:rtl/>
        </w:rPr>
        <w:t>م. أ. ضد هيئة الضرائب السويدية</w:t>
      </w:r>
      <w:r w:rsidRPr="00C414B0">
        <w:rPr>
          <w:rFonts w:eastAsiaTheme="minorEastAsia"/>
          <w:rtl/>
        </w:rPr>
        <w:t xml:space="preserve">، القرار رقم </w:t>
      </w:r>
      <w:r w:rsidRPr="00A315B0">
        <w:rPr>
          <w:rFonts w:eastAsiaTheme="minorEastAsia"/>
        </w:rPr>
        <w:t>123</w:t>
      </w:r>
      <w:r w:rsidRPr="00C414B0">
        <w:rPr>
          <w:rFonts w:eastAsiaTheme="minorEastAsia"/>
        </w:rPr>
        <w:t>-</w:t>
      </w:r>
      <w:r w:rsidRPr="00A315B0">
        <w:rPr>
          <w:rFonts w:eastAsiaTheme="minorEastAsia"/>
        </w:rPr>
        <w:t>10</w:t>
      </w:r>
      <w:r w:rsidRPr="00C414B0">
        <w:rPr>
          <w:rFonts w:eastAsiaTheme="minorEastAsia"/>
        </w:rPr>
        <w:t>/D</w:t>
      </w:r>
      <w:r w:rsidRPr="00C414B0">
        <w:rPr>
          <w:rFonts w:eastAsiaTheme="minorEastAsia"/>
          <w:rtl/>
        </w:rPr>
        <w:t xml:space="preserve"> المؤرخ </w:t>
      </w:r>
      <w:r w:rsidRPr="00A315B0">
        <w:rPr>
          <w:rFonts w:eastAsiaTheme="minorEastAsia"/>
          <w:rtl/>
        </w:rPr>
        <w:t>10</w:t>
      </w:r>
      <w:r w:rsidRPr="00C414B0">
        <w:rPr>
          <w:rFonts w:eastAsiaTheme="minorEastAsia"/>
          <w:rtl/>
        </w:rPr>
        <w:t xml:space="preserve"> أيار/مايو </w:t>
      </w:r>
      <w:r w:rsidRPr="00A315B0">
        <w:rPr>
          <w:rFonts w:eastAsiaTheme="minorEastAsia"/>
          <w:rtl/>
        </w:rPr>
        <w:t>2011</w:t>
      </w:r>
      <w:r w:rsidRPr="00C414B0">
        <w:rPr>
          <w:rFonts w:eastAsiaTheme="minorEastAsia"/>
          <w:rtl/>
        </w:rPr>
        <w:t>.</w:t>
      </w:r>
    </w:p>
  </w:footnote>
  <w:footnote w:id="6">
    <w:p w14:paraId="24DAE9F5" w14:textId="13300D5B"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تحيل صاحبة البلاغ إلى عدة قرارات أصدرتها المحكمة الأوروبية لحقوق الإنسان. انظر، مثل</w:t>
      </w:r>
      <w:r w:rsidR="00D322A0">
        <w:rPr>
          <w:rFonts w:eastAsiaTheme="minorEastAsia"/>
          <w:rtl/>
        </w:rPr>
        <w:t xml:space="preserve">اً، </w:t>
      </w:r>
      <w:r w:rsidRPr="00C414B0">
        <w:rPr>
          <w:rFonts w:eastAsiaTheme="minorEastAsia"/>
          <w:rtl/>
        </w:rPr>
        <w:t xml:space="preserve">قضية </w:t>
      </w:r>
      <w:proofErr w:type="spellStart"/>
      <w:r w:rsidRPr="006243BF">
        <w:rPr>
          <w:rFonts w:eastAsiaTheme="minorEastAsia"/>
          <w:i/>
          <w:iCs/>
        </w:rPr>
        <w:t>Association</w:t>
      </w:r>
      <w:proofErr w:type="spellEnd"/>
      <w:r w:rsidRPr="006243BF">
        <w:rPr>
          <w:rFonts w:eastAsiaTheme="minorEastAsia"/>
          <w:i/>
          <w:iCs/>
        </w:rPr>
        <w:t xml:space="preserve"> </w:t>
      </w:r>
      <w:proofErr w:type="spellStart"/>
      <w:r w:rsidRPr="006243BF">
        <w:rPr>
          <w:rFonts w:eastAsiaTheme="minorEastAsia"/>
          <w:i/>
          <w:iCs/>
        </w:rPr>
        <w:t>Les</w:t>
      </w:r>
      <w:proofErr w:type="spellEnd"/>
      <w:r w:rsidRPr="006243BF">
        <w:rPr>
          <w:rFonts w:eastAsiaTheme="minorEastAsia"/>
          <w:i/>
          <w:iCs/>
        </w:rPr>
        <w:t xml:space="preserve"> </w:t>
      </w:r>
      <w:proofErr w:type="spellStart"/>
      <w:r w:rsidRPr="006243BF">
        <w:rPr>
          <w:rFonts w:eastAsiaTheme="minorEastAsia"/>
          <w:i/>
          <w:iCs/>
        </w:rPr>
        <w:t>Témoins</w:t>
      </w:r>
      <w:proofErr w:type="spellEnd"/>
      <w:r w:rsidRPr="006243BF">
        <w:rPr>
          <w:rFonts w:eastAsiaTheme="minorEastAsia"/>
          <w:i/>
          <w:iCs/>
        </w:rPr>
        <w:t xml:space="preserve"> </w:t>
      </w:r>
      <w:proofErr w:type="spellStart"/>
      <w:r w:rsidRPr="006243BF">
        <w:rPr>
          <w:rFonts w:eastAsiaTheme="minorEastAsia"/>
          <w:i/>
          <w:iCs/>
        </w:rPr>
        <w:t>de</w:t>
      </w:r>
      <w:proofErr w:type="spellEnd"/>
      <w:r w:rsidRPr="006243BF">
        <w:rPr>
          <w:rFonts w:eastAsiaTheme="minorEastAsia"/>
          <w:i/>
          <w:iCs/>
        </w:rPr>
        <w:t xml:space="preserve"> </w:t>
      </w:r>
      <w:proofErr w:type="spellStart"/>
      <w:r w:rsidRPr="006243BF">
        <w:rPr>
          <w:rFonts w:eastAsiaTheme="minorEastAsia"/>
          <w:i/>
          <w:iCs/>
        </w:rPr>
        <w:t>Jéhovah</w:t>
      </w:r>
      <w:proofErr w:type="spellEnd"/>
      <w:r w:rsidRPr="006243BF">
        <w:rPr>
          <w:rFonts w:eastAsiaTheme="minorEastAsia"/>
          <w:i/>
          <w:iCs/>
        </w:rPr>
        <w:t xml:space="preserve"> v. </w:t>
      </w:r>
      <w:proofErr w:type="spellStart"/>
      <w:r w:rsidRPr="006243BF">
        <w:rPr>
          <w:rFonts w:eastAsiaTheme="minorEastAsia"/>
          <w:i/>
          <w:iCs/>
        </w:rPr>
        <w:t>France</w:t>
      </w:r>
      <w:proofErr w:type="spellEnd"/>
      <w:r w:rsidRPr="00C414B0">
        <w:rPr>
          <w:rFonts w:eastAsiaTheme="minorEastAsia"/>
          <w:rtl/>
        </w:rPr>
        <w:t xml:space="preserve"> (الطلب رقم </w:t>
      </w:r>
      <w:r w:rsidRPr="00A315B0">
        <w:rPr>
          <w:rFonts w:eastAsiaTheme="minorEastAsia"/>
          <w:rtl/>
        </w:rPr>
        <w:t>39748</w:t>
      </w:r>
      <w:r w:rsidRPr="00C414B0">
        <w:rPr>
          <w:rFonts w:eastAsiaTheme="minorEastAsia"/>
          <w:rtl/>
        </w:rPr>
        <w:t>/</w:t>
      </w:r>
      <w:r w:rsidRPr="00A315B0">
        <w:rPr>
          <w:rFonts w:eastAsiaTheme="minorEastAsia"/>
          <w:rtl/>
        </w:rPr>
        <w:t>98</w:t>
      </w:r>
      <w:r w:rsidRPr="00C414B0">
        <w:rPr>
          <w:rFonts w:eastAsiaTheme="minorEastAsia"/>
          <w:rtl/>
          <w:lang w:val="fr-CH"/>
        </w:rPr>
        <w:t xml:space="preserve">)، الحكم الصادر في </w:t>
      </w:r>
      <w:r w:rsidRPr="00A315B0">
        <w:rPr>
          <w:rFonts w:eastAsiaTheme="minorEastAsia"/>
          <w:rtl/>
          <w:lang w:val="fr-CH"/>
        </w:rPr>
        <w:t>30</w:t>
      </w:r>
      <w:r w:rsidRPr="00C414B0">
        <w:rPr>
          <w:rFonts w:eastAsiaTheme="minorEastAsia"/>
          <w:rtl/>
          <w:lang w:val="fr-CH"/>
        </w:rPr>
        <w:t xml:space="preserve"> حزيران/</w:t>
      </w:r>
      <w:proofErr w:type="gramStart"/>
      <w:r w:rsidRPr="00C414B0">
        <w:rPr>
          <w:rFonts w:eastAsiaTheme="minorEastAsia"/>
          <w:rtl/>
          <w:lang w:val="fr-CH"/>
        </w:rPr>
        <w:t>يونيه</w:t>
      </w:r>
      <w:proofErr w:type="gramEnd"/>
      <w:r w:rsidRPr="00C414B0">
        <w:rPr>
          <w:rFonts w:eastAsiaTheme="minorEastAsia"/>
          <w:rtl/>
          <w:lang w:val="fr-CH"/>
        </w:rPr>
        <w:t xml:space="preserve"> </w:t>
      </w:r>
      <w:r w:rsidRPr="00A315B0">
        <w:rPr>
          <w:rFonts w:eastAsiaTheme="minorEastAsia"/>
          <w:rtl/>
          <w:lang w:val="fr-CH"/>
        </w:rPr>
        <w:t>2011</w:t>
      </w:r>
      <w:r w:rsidRPr="00C414B0">
        <w:rPr>
          <w:rFonts w:eastAsiaTheme="minorEastAsia"/>
          <w:rtl/>
          <w:lang w:val="fr-CH"/>
        </w:rPr>
        <w:t xml:space="preserve">، الفقرة </w:t>
      </w:r>
      <w:r w:rsidRPr="00A315B0">
        <w:rPr>
          <w:rFonts w:eastAsiaTheme="minorEastAsia"/>
          <w:rtl/>
          <w:lang w:val="fr-CH"/>
        </w:rPr>
        <w:t>66</w:t>
      </w:r>
      <w:r w:rsidRPr="00C414B0">
        <w:rPr>
          <w:rFonts w:eastAsiaTheme="minorEastAsia"/>
          <w:rtl/>
        </w:rPr>
        <w:t xml:space="preserve"> (بالفرنسية)؛ وقضية </w:t>
      </w:r>
      <w:proofErr w:type="spellStart"/>
      <w:r w:rsidRPr="000918FC">
        <w:rPr>
          <w:rFonts w:eastAsiaTheme="minorEastAsia"/>
          <w:i/>
          <w:iCs/>
          <w:rtl/>
        </w:rPr>
        <w:t>مايستري</w:t>
      </w:r>
      <w:proofErr w:type="spellEnd"/>
      <w:r w:rsidRPr="000918FC">
        <w:rPr>
          <w:rFonts w:eastAsiaTheme="minorEastAsia"/>
          <w:i/>
          <w:iCs/>
          <w:rtl/>
        </w:rPr>
        <w:t xml:space="preserve"> ضد إيطاليا</w:t>
      </w:r>
      <w:r w:rsidRPr="00C414B0">
        <w:rPr>
          <w:rFonts w:eastAsiaTheme="minorEastAsia"/>
          <w:rtl/>
        </w:rPr>
        <w:t xml:space="preserve"> (الطلب رقم </w:t>
      </w:r>
      <w:r w:rsidRPr="00A315B0">
        <w:rPr>
          <w:rFonts w:eastAsiaTheme="minorEastAsia"/>
        </w:rPr>
        <w:t>98</w:t>
      </w:r>
      <w:r w:rsidRPr="00C414B0">
        <w:rPr>
          <w:rFonts w:eastAsiaTheme="minorEastAsia"/>
        </w:rPr>
        <w:t>/</w:t>
      </w:r>
      <w:r w:rsidRPr="00A315B0">
        <w:rPr>
          <w:rFonts w:eastAsiaTheme="minorEastAsia"/>
        </w:rPr>
        <w:t>39748</w:t>
      </w:r>
      <w:r w:rsidRPr="00C414B0">
        <w:rPr>
          <w:rFonts w:eastAsiaTheme="minorEastAsia"/>
          <w:rtl/>
        </w:rPr>
        <w:t xml:space="preserve">)، الحكم الصادر في </w:t>
      </w:r>
      <w:r w:rsidRPr="00A315B0">
        <w:rPr>
          <w:rFonts w:eastAsiaTheme="minorEastAsia"/>
          <w:rtl/>
        </w:rPr>
        <w:t>17</w:t>
      </w:r>
      <w:r w:rsidRPr="00C414B0">
        <w:rPr>
          <w:rFonts w:eastAsiaTheme="minorEastAsia"/>
          <w:rtl/>
        </w:rPr>
        <w:t xml:space="preserve"> شباط/فبراير </w:t>
      </w:r>
      <w:r w:rsidRPr="00A315B0">
        <w:rPr>
          <w:rFonts w:eastAsiaTheme="minorEastAsia"/>
          <w:rtl/>
        </w:rPr>
        <w:t>2004</w:t>
      </w:r>
      <w:r w:rsidRPr="00C414B0">
        <w:rPr>
          <w:rFonts w:eastAsiaTheme="minorEastAsia"/>
          <w:rtl/>
        </w:rPr>
        <w:t xml:space="preserve">، الفقرة </w:t>
      </w:r>
      <w:r w:rsidRPr="00A315B0">
        <w:rPr>
          <w:rFonts w:eastAsiaTheme="minorEastAsia"/>
          <w:rtl/>
        </w:rPr>
        <w:t>30</w:t>
      </w:r>
      <w:r w:rsidRPr="00C414B0">
        <w:rPr>
          <w:rFonts w:eastAsiaTheme="minorEastAsia"/>
          <w:rtl/>
        </w:rPr>
        <w:t>.</w:t>
      </w:r>
    </w:p>
  </w:footnote>
  <w:footnote w:id="7">
    <w:p w14:paraId="0C3F1E2B" w14:textId="006E72B7"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تشير صاحب البلاغ إلى أن المحكمة الأوروبية لحقوق الإنسان خلصت إلى أن أتباع طائفة شهود يهوه الذين أجروا الشعائر الدينية في مركز </w:t>
      </w:r>
      <w:proofErr w:type="spellStart"/>
      <w:r w:rsidRPr="00C414B0">
        <w:rPr>
          <w:rFonts w:eastAsiaTheme="minorEastAsia"/>
          <w:rtl/>
        </w:rPr>
        <w:t>بيثيل</w:t>
      </w:r>
      <w:proofErr w:type="spellEnd"/>
      <w:r w:rsidRPr="00C414B0">
        <w:rPr>
          <w:rFonts w:eastAsiaTheme="minorEastAsia"/>
          <w:rtl/>
        </w:rPr>
        <w:t xml:space="preserve"> المجتمعي ليسوا موظفين في المركز بل متطوعين لا يتلقون أجراً ولا يعملون بالمركز لغرض تحقيق مكاسب مادية (الطلب رقم </w:t>
      </w:r>
      <w:r w:rsidRPr="00A315B0">
        <w:rPr>
          <w:rFonts w:eastAsiaTheme="minorEastAsia"/>
          <w:rtl/>
        </w:rPr>
        <w:t>8916</w:t>
      </w:r>
      <w:r w:rsidRPr="00C414B0">
        <w:rPr>
          <w:rFonts w:eastAsiaTheme="minorEastAsia"/>
          <w:rtl/>
        </w:rPr>
        <w:t>/</w:t>
      </w:r>
      <w:r w:rsidRPr="00A315B0">
        <w:rPr>
          <w:rFonts w:eastAsiaTheme="minorEastAsia"/>
          <w:rtl/>
        </w:rPr>
        <w:t>05</w:t>
      </w:r>
      <w:r w:rsidRPr="00C414B0">
        <w:rPr>
          <w:rFonts w:eastAsiaTheme="minorEastAsia"/>
          <w:rtl/>
        </w:rPr>
        <w:t xml:space="preserve">، الحكم الصادر في </w:t>
      </w:r>
      <w:r w:rsidRPr="00A315B0">
        <w:rPr>
          <w:rFonts w:eastAsiaTheme="minorEastAsia"/>
          <w:rtl/>
        </w:rPr>
        <w:t>30</w:t>
      </w:r>
      <w:r w:rsidRPr="00C414B0">
        <w:rPr>
          <w:rFonts w:eastAsiaTheme="minorEastAsia"/>
          <w:rtl/>
        </w:rPr>
        <w:t xml:space="preserve"> حزيران/</w:t>
      </w:r>
      <w:proofErr w:type="gramStart"/>
      <w:r w:rsidRPr="00C414B0">
        <w:rPr>
          <w:rFonts w:eastAsiaTheme="minorEastAsia"/>
          <w:rtl/>
        </w:rPr>
        <w:t>يونيه</w:t>
      </w:r>
      <w:proofErr w:type="gramEnd"/>
      <w:r w:rsidRPr="00C414B0">
        <w:rPr>
          <w:rFonts w:eastAsiaTheme="minorEastAsia"/>
          <w:rtl/>
        </w:rPr>
        <w:t xml:space="preserve"> </w:t>
      </w:r>
      <w:r w:rsidRPr="00A315B0">
        <w:rPr>
          <w:rFonts w:eastAsiaTheme="minorEastAsia"/>
          <w:rtl/>
        </w:rPr>
        <w:t>2011</w:t>
      </w:r>
      <w:r w:rsidRPr="00C414B0">
        <w:rPr>
          <w:rFonts w:eastAsiaTheme="minorEastAsia"/>
          <w:rtl/>
        </w:rPr>
        <w:t xml:space="preserve">). </w:t>
      </w:r>
    </w:p>
  </w:footnote>
  <w:footnote w:id="8">
    <w:p w14:paraId="49518F68" w14:textId="28337DD2"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قضية </w:t>
      </w:r>
      <w:r w:rsidRPr="000918FC">
        <w:rPr>
          <w:rFonts w:eastAsiaTheme="minorEastAsia"/>
          <w:i/>
          <w:iCs/>
          <w:rtl/>
        </w:rPr>
        <w:t xml:space="preserve">جانسن - </w:t>
      </w:r>
      <w:proofErr w:type="spellStart"/>
      <w:r w:rsidRPr="000918FC">
        <w:rPr>
          <w:rFonts w:eastAsiaTheme="minorEastAsia"/>
          <w:i/>
          <w:iCs/>
          <w:rtl/>
        </w:rPr>
        <w:t>غيلن</w:t>
      </w:r>
      <w:proofErr w:type="spellEnd"/>
      <w:r w:rsidRPr="000918FC">
        <w:rPr>
          <w:rFonts w:eastAsiaTheme="minorEastAsia"/>
          <w:i/>
          <w:iCs/>
          <w:rtl/>
        </w:rPr>
        <w:t xml:space="preserve"> ضد هولندا</w:t>
      </w:r>
      <w:r w:rsidRPr="00C414B0">
        <w:rPr>
          <w:rFonts w:eastAsiaTheme="minorEastAsia"/>
          <w:rtl/>
        </w:rPr>
        <w:t xml:space="preserve"> (</w:t>
      </w:r>
      <w:r w:rsidRPr="00C414B0">
        <w:rPr>
          <w:rFonts w:eastAsiaTheme="minorEastAsia"/>
        </w:rPr>
        <w:t>CCPR/C/</w:t>
      </w:r>
      <w:r w:rsidRPr="00A315B0">
        <w:rPr>
          <w:rFonts w:eastAsiaTheme="minorEastAsia"/>
        </w:rPr>
        <w:t>71</w:t>
      </w:r>
      <w:r w:rsidRPr="00C414B0">
        <w:rPr>
          <w:rFonts w:eastAsiaTheme="minorEastAsia"/>
        </w:rPr>
        <w:t>/D/</w:t>
      </w:r>
      <w:r w:rsidRPr="00A315B0">
        <w:rPr>
          <w:rFonts w:eastAsiaTheme="minorEastAsia"/>
        </w:rPr>
        <w:t>846</w:t>
      </w:r>
      <w:r w:rsidRPr="00C414B0">
        <w:rPr>
          <w:rFonts w:eastAsiaTheme="minorEastAsia"/>
        </w:rPr>
        <w:t>/</w:t>
      </w:r>
      <w:r w:rsidRPr="00A315B0">
        <w:rPr>
          <w:rFonts w:eastAsiaTheme="minorEastAsia"/>
        </w:rPr>
        <w:t>1999</w:t>
      </w:r>
      <w:r w:rsidRPr="00C414B0">
        <w:rPr>
          <w:rFonts w:eastAsiaTheme="minorEastAsia"/>
          <w:rtl/>
        </w:rPr>
        <w:t xml:space="preserve">)، الفقرة </w:t>
      </w:r>
      <w:r w:rsidRPr="00A315B0">
        <w:rPr>
          <w:rFonts w:eastAsiaTheme="minorEastAsia"/>
          <w:rtl/>
        </w:rPr>
        <w:t>8</w:t>
      </w:r>
      <w:r w:rsidRPr="00C414B0">
        <w:rPr>
          <w:rFonts w:eastAsiaTheme="minorEastAsia"/>
          <w:rtl/>
        </w:rPr>
        <w:t>-</w:t>
      </w:r>
      <w:r w:rsidRPr="00A315B0">
        <w:rPr>
          <w:rFonts w:eastAsiaTheme="minorEastAsia"/>
          <w:rtl/>
        </w:rPr>
        <w:t>2</w:t>
      </w:r>
      <w:r w:rsidRPr="00C414B0">
        <w:rPr>
          <w:rFonts w:eastAsiaTheme="minorEastAsia"/>
          <w:rtl/>
        </w:rPr>
        <w:t>.</w:t>
      </w:r>
    </w:p>
  </w:footnote>
  <w:footnote w:id="9">
    <w:p w14:paraId="01F777F3" w14:textId="08978E20"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تشير صاحبة البلاغ أيضاً إلى قضيتي </w:t>
      </w:r>
      <w:proofErr w:type="spellStart"/>
      <w:r w:rsidRPr="00C414B0">
        <w:rPr>
          <w:rFonts w:eastAsiaTheme="minorEastAsia"/>
          <w:i/>
          <w:iCs/>
          <w:rtl/>
        </w:rPr>
        <w:t>بويرتاس</w:t>
      </w:r>
      <w:proofErr w:type="spellEnd"/>
      <w:r w:rsidRPr="00C414B0">
        <w:rPr>
          <w:rFonts w:eastAsiaTheme="minorEastAsia"/>
          <w:i/>
          <w:iCs/>
          <w:rtl/>
        </w:rPr>
        <w:t xml:space="preserve"> ضد إسبانيا</w:t>
      </w:r>
      <w:r w:rsidRPr="00C414B0">
        <w:rPr>
          <w:rFonts w:eastAsiaTheme="minorEastAsia"/>
          <w:rtl/>
        </w:rPr>
        <w:t xml:space="preserve"> (</w:t>
      </w:r>
      <w:r w:rsidRPr="00C414B0">
        <w:rPr>
          <w:rFonts w:eastAsiaTheme="minorEastAsia"/>
        </w:rPr>
        <w:t>CCPR/C/</w:t>
      </w:r>
      <w:r w:rsidRPr="00A315B0">
        <w:rPr>
          <w:rFonts w:eastAsiaTheme="minorEastAsia"/>
        </w:rPr>
        <w:t>107</w:t>
      </w:r>
      <w:r w:rsidRPr="00C414B0">
        <w:rPr>
          <w:rFonts w:eastAsiaTheme="minorEastAsia"/>
        </w:rPr>
        <w:t>/D/</w:t>
      </w:r>
      <w:r w:rsidRPr="00A315B0">
        <w:rPr>
          <w:rFonts w:eastAsiaTheme="minorEastAsia"/>
        </w:rPr>
        <w:t>1945</w:t>
      </w:r>
      <w:r w:rsidRPr="00C414B0">
        <w:rPr>
          <w:rFonts w:eastAsiaTheme="minorEastAsia"/>
        </w:rPr>
        <w:t>/</w:t>
      </w:r>
      <w:r w:rsidRPr="00A315B0">
        <w:rPr>
          <w:rFonts w:eastAsiaTheme="minorEastAsia"/>
        </w:rPr>
        <w:t>2010</w:t>
      </w:r>
      <w:r w:rsidRPr="00C414B0">
        <w:rPr>
          <w:rFonts w:eastAsiaTheme="minorEastAsia"/>
          <w:rtl/>
        </w:rPr>
        <w:t xml:space="preserve">)، الفقرة </w:t>
      </w:r>
      <w:r w:rsidRPr="00A315B0">
        <w:rPr>
          <w:rFonts w:eastAsiaTheme="minorEastAsia"/>
          <w:rtl/>
        </w:rPr>
        <w:t>7</w:t>
      </w:r>
      <w:r w:rsidRPr="00C414B0">
        <w:rPr>
          <w:rFonts w:eastAsiaTheme="minorEastAsia"/>
          <w:rtl/>
        </w:rPr>
        <w:t>-</w:t>
      </w:r>
      <w:r w:rsidRPr="00A315B0">
        <w:rPr>
          <w:rFonts w:eastAsiaTheme="minorEastAsia"/>
          <w:rtl/>
        </w:rPr>
        <w:t>3</w:t>
      </w:r>
      <w:r w:rsidRPr="00C414B0">
        <w:rPr>
          <w:rFonts w:eastAsiaTheme="minorEastAsia"/>
          <w:rtl/>
        </w:rPr>
        <w:t xml:space="preserve">؛ وقضية </w:t>
      </w:r>
      <w:proofErr w:type="spellStart"/>
      <w:r w:rsidRPr="00C414B0">
        <w:rPr>
          <w:rFonts w:eastAsiaTheme="minorEastAsia"/>
          <w:i/>
          <w:iCs/>
          <w:rtl/>
        </w:rPr>
        <w:t>مهابير</w:t>
      </w:r>
      <w:proofErr w:type="spellEnd"/>
      <w:r w:rsidRPr="00C414B0">
        <w:rPr>
          <w:rFonts w:eastAsiaTheme="minorEastAsia"/>
          <w:i/>
          <w:iCs/>
          <w:rtl/>
        </w:rPr>
        <w:t xml:space="preserve"> ضد النمسا</w:t>
      </w:r>
      <w:r w:rsidRPr="00C414B0">
        <w:rPr>
          <w:rFonts w:eastAsiaTheme="minorEastAsia"/>
          <w:rtl/>
        </w:rPr>
        <w:t xml:space="preserve"> (</w:t>
      </w:r>
      <w:r w:rsidRPr="00C414B0">
        <w:rPr>
          <w:rFonts w:eastAsiaTheme="minorEastAsia"/>
        </w:rPr>
        <w:t>CCPR/C/</w:t>
      </w:r>
      <w:r w:rsidRPr="00A315B0">
        <w:rPr>
          <w:rFonts w:eastAsiaTheme="minorEastAsia"/>
        </w:rPr>
        <w:t>82</w:t>
      </w:r>
      <w:r w:rsidRPr="00C414B0">
        <w:rPr>
          <w:rFonts w:eastAsiaTheme="minorEastAsia"/>
        </w:rPr>
        <w:t>/D/</w:t>
      </w:r>
      <w:r w:rsidRPr="00A315B0">
        <w:rPr>
          <w:rFonts w:eastAsiaTheme="minorEastAsia"/>
        </w:rPr>
        <w:t>944</w:t>
      </w:r>
      <w:r w:rsidRPr="00C414B0">
        <w:rPr>
          <w:rFonts w:eastAsiaTheme="minorEastAsia"/>
        </w:rPr>
        <w:t>/</w:t>
      </w:r>
      <w:r w:rsidRPr="00A315B0">
        <w:rPr>
          <w:rFonts w:eastAsiaTheme="minorEastAsia"/>
        </w:rPr>
        <w:t>2000</w:t>
      </w:r>
      <w:r w:rsidRPr="00C414B0">
        <w:rPr>
          <w:rFonts w:eastAsiaTheme="minorEastAsia"/>
          <w:rtl/>
        </w:rPr>
        <w:t xml:space="preserve">)، الفقرة </w:t>
      </w:r>
      <w:r w:rsidRPr="00A315B0">
        <w:rPr>
          <w:rFonts w:eastAsiaTheme="minorEastAsia"/>
          <w:rtl/>
        </w:rPr>
        <w:t>8</w:t>
      </w:r>
      <w:r w:rsidRPr="00C414B0">
        <w:rPr>
          <w:rFonts w:eastAsiaTheme="minorEastAsia"/>
          <w:rtl/>
        </w:rPr>
        <w:t>-</w:t>
      </w:r>
      <w:r w:rsidRPr="00A315B0">
        <w:rPr>
          <w:rFonts w:eastAsiaTheme="minorEastAsia"/>
          <w:rtl/>
        </w:rPr>
        <w:t>3</w:t>
      </w:r>
      <w:r w:rsidRPr="00C414B0">
        <w:rPr>
          <w:rFonts w:eastAsiaTheme="minorEastAsia"/>
          <w:rtl/>
        </w:rPr>
        <w:t xml:space="preserve">. </w:t>
      </w:r>
    </w:p>
  </w:footnote>
  <w:footnote w:id="10">
    <w:p w14:paraId="2AF8D13B" w14:textId="5853BC7C" w:rsidR="00C414B0" w:rsidRPr="00C414B0" w:rsidRDefault="00C414B0" w:rsidP="0035251F">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قضية </w:t>
      </w:r>
      <w:proofErr w:type="spellStart"/>
      <w:r w:rsidRPr="00C414B0">
        <w:rPr>
          <w:rFonts w:eastAsiaTheme="minorEastAsia"/>
          <w:i/>
          <w:iCs/>
          <w:rtl/>
        </w:rPr>
        <w:t>بويرتاس</w:t>
      </w:r>
      <w:proofErr w:type="spellEnd"/>
      <w:r w:rsidRPr="00C414B0">
        <w:rPr>
          <w:rFonts w:eastAsiaTheme="minorEastAsia"/>
          <w:i/>
          <w:iCs/>
          <w:rtl/>
        </w:rPr>
        <w:t xml:space="preserve"> ضد إسبانيا </w:t>
      </w:r>
      <w:r w:rsidRPr="00C414B0">
        <w:rPr>
          <w:rFonts w:eastAsiaTheme="minorEastAsia"/>
          <w:rtl/>
        </w:rPr>
        <w:t>(</w:t>
      </w:r>
      <w:r w:rsidRPr="00C414B0">
        <w:rPr>
          <w:rFonts w:eastAsiaTheme="minorEastAsia"/>
        </w:rPr>
        <w:t>CCPR/C/</w:t>
      </w:r>
      <w:r w:rsidRPr="00A315B0">
        <w:rPr>
          <w:rFonts w:eastAsiaTheme="minorEastAsia"/>
        </w:rPr>
        <w:t>107</w:t>
      </w:r>
      <w:r w:rsidRPr="00C414B0">
        <w:rPr>
          <w:rFonts w:eastAsiaTheme="minorEastAsia"/>
        </w:rPr>
        <w:t>/D/</w:t>
      </w:r>
      <w:r w:rsidRPr="00A315B0">
        <w:rPr>
          <w:rFonts w:eastAsiaTheme="minorEastAsia"/>
        </w:rPr>
        <w:t>1945</w:t>
      </w:r>
      <w:r w:rsidRPr="00C414B0">
        <w:rPr>
          <w:rFonts w:eastAsiaTheme="minorEastAsia"/>
        </w:rPr>
        <w:t>/</w:t>
      </w:r>
      <w:r w:rsidRPr="00A315B0">
        <w:rPr>
          <w:rFonts w:eastAsiaTheme="minorEastAsia"/>
        </w:rPr>
        <w:t>2010</w:t>
      </w:r>
      <w:r w:rsidRPr="00C414B0">
        <w:rPr>
          <w:rFonts w:eastAsiaTheme="minorEastAsia"/>
          <w:rtl/>
        </w:rPr>
        <w:t xml:space="preserve">)، الفقرة </w:t>
      </w:r>
      <w:r w:rsidRPr="00A315B0">
        <w:rPr>
          <w:rFonts w:eastAsiaTheme="minorEastAsia"/>
          <w:rtl/>
        </w:rPr>
        <w:t>7</w:t>
      </w:r>
      <w:r w:rsidRPr="00C414B0">
        <w:rPr>
          <w:rFonts w:eastAsiaTheme="minorEastAsia"/>
          <w:rtl/>
        </w:rPr>
        <w:t>-</w:t>
      </w:r>
      <w:r w:rsidRPr="00A315B0">
        <w:rPr>
          <w:rFonts w:eastAsiaTheme="minorEastAsia"/>
          <w:rtl/>
        </w:rPr>
        <w:t>3</w:t>
      </w:r>
      <w:r w:rsidRPr="00C414B0">
        <w:rPr>
          <w:rFonts w:eastAsiaTheme="minorEastAsia"/>
          <w:rtl/>
        </w:rPr>
        <w:t xml:space="preserve">. </w:t>
      </w:r>
    </w:p>
  </w:footnote>
  <w:footnote w:id="11">
    <w:p w14:paraId="439397FC" w14:textId="20D31B35" w:rsidR="00C414B0" w:rsidRPr="00C414B0" w:rsidRDefault="00C414B0" w:rsidP="006A1724">
      <w:pPr>
        <w:pStyle w:val="FootnoteText1"/>
        <w:textDirection w:val="tbRlV"/>
        <w:rPr>
          <w:rFonts w:eastAsiaTheme="minorEastAsia"/>
          <w:lang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الفصول </w:t>
      </w:r>
      <w:r w:rsidRPr="00A315B0">
        <w:rPr>
          <w:rFonts w:eastAsiaTheme="minorEastAsia"/>
          <w:rtl/>
        </w:rPr>
        <w:t>8</w:t>
      </w:r>
      <w:r w:rsidRPr="00C414B0">
        <w:rPr>
          <w:rFonts w:eastAsiaTheme="minorEastAsia"/>
          <w:rtl/>
        </w:rPr>
        <w:t xml:space="preserve"> و</w:t>
      </w:r>
      <w:r w:rsidRPr="00A315B0">
        <w:rPr>
          <w:rFonts w:eastAsiaTheme="minorEastAsia"/>
          <w:rtl/>
        </w:rPr>
        <w:t>10</w:t>
      </w:r>
      <w:r w:rsidRPr="00C414B0">
        <w:rPr>
          <w:rFonts w:eastAsiaTheme="minorEastAsia"/>
          <w:rtl/>
        </w:rPr>
        <w:t xml:space="preserve"> و</w:t>
      </w:r>
      <w:r w:rsidRPr="00A315B0">
        <w:rPr>
          <w:rFonts w:eastAsiaTheme="minorEastAsia"/>
          <w:rtl/>
        </w:rPr>
        <w:t>11</w:t>
      </w:r>
      <w:r w:rsidRPr="00C414B0">
        <w:rPr>
          <w:rFonts w:eastAsiaTheme="minorEastAsia"/>
          <w:rtl/>
        </w:rPr>
        <w:t xml:space="preserve"> من قانون ضريبة الدخل السويدي لعام </w:t>
      </w:r>
      <w:r w:rsidRPr="00A315B0">
        <w:rPr>
          <w:rFonts w:eastAsiaTheme="minorEastAsia"/>
          <w:rtl/>
        </w:rPr>
        <w:t>1999</w:t>
      </w:r>
      <w:r w:rsidRPr="00C414B0">
        <w:rPr>
          <w:rFonts w:eastAsiaTheme="minorEastAsia"/>
          <w:rtl/>
        </w:rPr>
        <w:t xml:space="preserve">، الذي دخل حيز النفاذ في </w:t>
      </w:r>
      <w:r w:rsidRPr="00A315B0">
        <w:rPr>
          <w:rFonts w:eastAsiaTheme="minorEastAsia"/>
          <w:rtl/>
        </w:rPr>
        <w:t>1</w:t>
      </w:r>
      <w:r w:rsidRPr="00C414B0">
        <w:rPr>
          <w:rFonts w:eastAsiaTheme="minorEastAsia"/>
          <w:rtl/>
        </w:rPr>
        <w:t xml:space="preserve"> كانون الثاني/يناير </w:t>
      </w:r>
      <w:r w:rsidRPr="00A315B0">
        <w:rPr>
          <w:rFonts w:eastAsiaTheme="minorEastAsia"/>
          <w:rtl/>
        </w:rPr>
        <w:t>2000</w:t>
      </w:r>
      <w:r w:rsidRPr="00C414B0">
        <w:rPr>
          <w:rFonts w:eastAsiaTheme="minorEastAsia"/>
          <w:rtl/>
        </w:rPr>
        <w:t>.</w:t>
      </w:r>
    </w:p>
  </w:footnote>
  <w:footnote w:id="12">
    <w:p w14:paraId="1663B93E" w14:textId="77777777" w:rsidR="00183A66" w:rsidRPr="00C414B0" w:rsidRDefault="00183A66" w:rsidP="00183A66">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يُشار إلى أن الكلمة السويدية</w:t>
      </w:r>
      <w:r>
        <w:rPr>
          <w:rFonts w:eastAsiaTheme="minorEastAsia" w:hint="cs"/>
          <w:rtl/>
        </w:rPr>
        <w:t xml:space="preserve"> "</w:t>
      </w:r>
      <w:proofErr w:type="spellStart"/>
      <w:r w:rsidRPr="00C414B0">
        <w:rPr>
          <w:rFonts w:eastAsiaTheme="minorEastAsia"/>
        </w:rPr>
        <w:t>tjänst</w:t>
      </w:r>
      <w:proofErr w:type="spellEnd"/>
      <w:r>
        <w:rPr>
          <w:rFonts w:eastAsiaTheme="minorEastAsia" w:hint="cs"/>
          <w:rtl/>
        </w:rPr>
        <w:t>"</w:t>
      </w:r>
      <w:r w:rsidRPr="00C414B0">
        <w:rPr>
          <w:rFonts w:eastAsiaTheme="minorEastAsia"/>
          <w:rtl/>
        </w:rPr>
        <w:t xml:space="preserve"> تُرجِمت إلى</w:t>
      </w:r>
      <w:r>
        <w:rPr>
          <w:rFonts w:eastAsiaTheme="minorEastAsia"/>
          <w:rtl/>
        </w:rPr>
        <w:t xml:space="preserve"> </w:t>
      </w:r>
      <w:r>
        <w:rPr>
          <w:rFonts w:eastAsiaTheme="minorEastAsia" w:hint="cs"/>
          <w:rtl/>
        </w:rPr>
        <w:t>"</w:t>
      </w:r>
      <w:r w:rsidRPr="00C414B0">
        <w:rPr>
          <w:rFonts w:eastAsiaTheme="minorEastAsia"/>
        </w:rPr>
        <w:t>employment</w:t>
      </w:r>
      <w:r>
        <w:rPr>
          <w:rFonts w:eastAsiaTheme="minorEastAsia" w:hint="cs"/>
          <w:rtl/>
        </w:rPr>
        <w:t>"</w:t>
      </w:r>
      <w:r w:rsidRPr="00C414B0">
        <w:rPr>
          <w:rFonts w:eastAsiaTheme="minorEastAsia"/>
          <w:rtl/>
        </w:rPr>
        <w:t xml:space="preserve"> باللغة الإنكليزية، ولكن لها في اللغة السويدية معنى أوسع، يشمل وفقاً للموسوعة الوطنية السويدية "العمل الذي يعود بالنفع على شخص آخر".</w:t>
      </w:r>
    </w:p>
  </w:footnote>
  <w:footnote w:id="13">
    <w:p w14:paraId="7D34458F" w14:textId="030E590E"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Style w:val="FootnoteReference"/>
          <w:rFonts w:eastAsiaTheme="minorEastAsia"/>
          <w:vertAlign w:val="baseline"/>
          <w:rtl/>
        </w:rPr>
        <w:tab/>
      </w:r>
      <w:r w:rsidRPr="00C414B0">
        <w:rPr>
          <w:rFonts w:eastAsiaTheme="minorEastAsia"/>
          <w:rtl/>
        </w:rPr>
        <w:t>يؤكد القرار أنه إذا دُفع الأجر على أساس "نشاط الوعظ" بدل</w:t>
      </w:r>
      <w:r w:rsidR="000918FC">
        <w:rPr>
          <w:rFonts w:eastAsiaTheme="minorEastAsia"/>
          <w:rtl/>
        </w:rPr>
        <w:t xml:space="preserve">اً </w:t>
      </w:r>
      <w:r w:rsidRPr="00C414B0">
        <w:rPr>
          <w:rFonts w:eastAsiaTheme="minorEastAsia"/>
          <w:rtl/>
        </w:rPr>
        <w:t>من نوع ما من العمل الذي يُؤدى داخل "الأسرة المعيشية" للمجتمع المحلي، تظل الإعانة خاضعة للضريبة، مثلما كان بموجب قواعد النظام الضريبي السويدي القديم.</w:t>
      </w:r>
    </w:p>
  </w:footnote>
  <w:footnote w:id="14">
    <w:p w14:paraId="257F5CA3" w14:textId="76B7A0EA"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المادة </w:t>
      </w:r>
      <w:r w:rsidRPr="00A315B0">
        <w:rPr>
          <w:rFonts w:eastAsiaTheme="minorEastAsia"/>
          <w:rtl/>
        </w:rPr>
        <w:t>9</w:t>
      </w:r>
      <w:r w:rsidRPr="00C414B0">
        <w:rPr>
          <w:rFonts w:eastAsiaTheme="minorEastAsia"/>
          <w:rtl/>
        </w:rPr>
        <w:t xml:space="preserve"> من قانون إجراءات المحكمة الإدارية في السويد.</w:t>
      </w:r>
    </w:p>
  </w:footnote>
  <w:footnote w:id="15">
    <w:p w14:paraId="42C32F31" w14:textId="049B7BD2"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يتمتع مستشار شؤون العدالة، بصفته الممثل القانوني العام للحكومة، بسلطة تلقي الشكاوى والدعاوى الموجهة ضد السويد للمطالبة </w:t>
      </w:r>
      <w:r w:rsidRPr="00C414B0">
        <w:rPr>
          <w:rStyle w:val="FootnoteReference"/>
          <w:vertAlign w:val="baseline"/>
          <w:rtl/>
        </w:rPr>
        <w:t>بالتعويض</w:t>
      </w:r>
      <w:r w:rsidRPr="00C414B0">
        <w:rPr>
          <w:rFonts w:eastAsiaTheme="minorEastAsia"/>
          <w:rtl/>
        </w:rPr>
        <w:t xml:space="preserve"> عن الأضرار. وقرار المستشار ملزم للدولة ولا يجوز الطعن فيه. غير أنه في حالة صدور قرار سلبي، لا</w:t>
      </w:r>
      <w:r w:rsidR="000918FC">
        <w:rPr>
          <w:rFonts w:eastAsiaTheme="minorEastAsia" w:hint="cs"/>
          <w:rtl/>
        </w:rPr>
        <w:t> </w:t>
      </w:r>
      <w:r w:rsidRPr="00C414B0">
        <w:rPr>
          <w:rFonts w:eastAsiaTheme="minorEastAsia"/>
          <w:rtl/>
        </w:rPr>
        <w:t xml:space="preserve">يُمنع المدعي من إقامة دعوى مدنية للمطالبة بتعويضات أمام المحاكم العادية. </w:t>
      </w:r>
    </w:p>
  </w:footnote>
  <w:footnote w:id="16">
    <w:p w14:paraId="7228C7D1" w14:textId="096CE87A"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اللجنة المعنية بحقوق الإنسان، التعليق العام رقم </w:t>
      </w:r>
      <w:r w:rsidRPr="00A315B0">
        <w:rPr>
          <w:rFonts w:eastAsiaTheme="minorEastAsia"/>
          <w:rtl/>
        </w:rPr>
        <w:t>32</w:t>
      </w:r>
      <w:r w:rsidRPr="00C414B0">
        <w:rPr>
          <w:rFonts w:eastAsiaTheme="minorEastAsia"/>
          <w:rtl/>
        </w:rPr>
        <w:t>(</w:t>
      </w:r>
      <w:r w:rsidRPr="00A315B0">
        <w:rPr>
          <w:rFonts w:eastAsiaTheme="minorEastAsia"/>
          <w:rtl/>
        </w:rPr>
        <w:t>2007</w:t>
      </w:r>
      <w:r w:rsidRPr="00C414B0">
        <w:rPr>
          <w:rFonts w:eastAsiaTheme="minorEastAsia"/>
          <w:rtl/>
        </w:rPr>
        <w:t xml:space="preserve">)، الفقرة </w:t>
      </w:r>
      <w:r w:rsidRPr="00A315B0">
        <w:rPr>
          <w:rFonts w:eastAsiaTheme="minorEastAsia"/>
          <w:rtl/>
        </w:rPr>
        <w:t>16</w:t>
      </w:r>
      <w:r w:rsidRPr="00C414B0">
        <w:rPr>
          <w:rFonts w:eastAsiaTheme="minorEastAsia"/>
          <w:rtl/>
        </w:rPr>
        <w:t>.</w:t>
      </w:r>
    </w:p>
  </w:footnote>
  <w:footnote w:id="17">
    <w:p w14:paraId="05B8D071" w14:textId="353CBF6C"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قضية </w:t>
      </w:r>
      <w:r w:rsidRPr="000918FC">
        <w:rPr>
          <w:rFonts w:eastAsiaTheme="minorEastAsia"/>
          <w:i/>
          <w:iCs/>
          <w:rtl/>
        </w:rPr>
        <w:t>كولر ضد النمسا</w:t>
      </w:r>
      <w:r w:rsidRPr="00C414B0">
        <w:rPr>
          <w:rFonts w:eastAsiaTheme="minorEastAsia"/>
          <w:rtl/>
        </w:rPr>
        <w:t xml:space="preserve"> (</w:t>
      </w:r>
      <w:r w:rsidRPr="00C414B0">
        <w:rPr>
          <w:rFonts w:eastAsiaTheme="minorEastAsia"/>
        </w:rPr>
        <w:t>CCPR/C/</w:t>
      </w:r>
      <w:r w:rsidRPr="00A315B0">
        <w:rPr>
          <w:rFonts w:eastAsiaTheme="minorEastAsia"/>
        </w:rPr>
        <w:t>78</w:t>
      </w:r>
      <w:r w:rsidRPr="00C414B0">
        <w:rPr>
          <w:rFonts w:eastAsiaTheme="minorEastAsia"/>
        </w:rPr>
        <w:t>/D/</w:t>
      </w:r>
      <w:r w:rsidRPr="00A315B0">
        <w:rPr>
          <w:rFonts w:eastAsiaTheme="minorEastAsia"/>
        </w:rPr>
        <w:t>986</w:t>
      </w:r>
      <w:r w:rsidRPr="00C414B0">
        <w:rPr>
          <w:rFonts w:eastAsiaTheme="minorEastAsia"/>
        </w:rPr>
        <w:t>/</w:t>
      </w:r>
      <w:r w:rsidRPr="00A315B0">
        <w:rPr>
          <w:rFonts w:eastAsiaTheme="minorEastAsia"/>
        </w:rPr>
        <w:t>2001</w:t>
      </w:r>
      <w:r w:rsidRPr="00C414B0">
        <w:rPr>
          <w:rFonts w:eastAsiaTheme="minorEastAsia"/>
          <w:rtl/>
        </w:rPr>
        <w:t xml:space="preserve">)، الفقرة </w:t>
      </w:r>
      <w:r w:rsidRPr="00A315B0">
        <w:rPr>
          <w:rFonts w:eastAsiaTheme="minorEastAsia"/>
          <w:rtl/>
        </w:rPr>
        <w:t>8</w:t>
      </w:r>
      <w:r w:rsidRPr="00C414B0">
        <w:rPr>
          <w:rFonts w:eastAsiaTheme="minorEastAsia"/>
          <w:rtl/>
        </w:rPr>
        <w:t>-</w:t>
      </w:r>
      <w:r w:rsidRPr="00A315B0">
        <w:rPr>
          <w:rFonts w:eastAsiaTheme="minorEastAsia"/>
          <w:rtl/>
        </w:rPr>
        <w:t>6</w:t>
      </w:r>
      <w:r w:rsidRPr="00C414B0">
        <w:rPr>
          <w:rFonts w:eastAsiaTheme="minorEastAsia"/>
          <w:rtl/>
        </w:rPr>
        <w:t xml:space="preserve">؛ وقضية </w:t>
      </w:r>
      <w:r w:rsidRPr="000918FC">
        <w:rPr>
          <w:rFonts w:eastAsiaTheme="minorEastAsia"/>
          <w:i/>
          <w:iCs/>
          <w:rtl/>
        </w:rPr>
        <w:t>برونينا ضد فرنسا</w:t>
      </w:r>
      <w:r w:rsidRPr="00C414B0">
        <w:rPr>
          <w:rFonts w:eastAsiaTheme="minorEastAsia"/>
          <w:rtl/>
        </w:rPr>
        <w:t xml:space="preserve"> (</w:t>
      </w:r>
      <w:r w:rsidRPr="00C414B0">
        <w:rPr>
          <w:rFonts w:eastAsiaTheme="minorEastAsia"/>
        </w:rPr>
        <w:t>CCPR/C/</w:t>
      </w:r>
      <w:r w:rsidRPr="00A315B0">
        <w:rPr>
          <w:rFonts w:eastAsiaTheme="minorEastAsia"/>
        </w:rPr>
        <w:t>111</w:t>
      </w:r>
      <w:r w:rsidRPr="00C414B0">
        <w:rPr>
          <w:rFonts w:eastAsiaTheme="minorEastAsia"/>
        </w:rPr>
        <w:t>/D/</w:t>
      </w:r>
      <w:r w:rsidRPr="00A315B0">
        <w:rPr>
          <w:rFonts w:eastAsiaTheme="minorEastAsia"/>
        </w:rPr>
        <w:t>2390</w:t>
      </w:r>
      <w:r w:rsidRPr="00C414B0">
        <w:rPr>
          <w:rFonts w:eastAsiaTheme="minorEastAsia"/>
        </w:rPr>
        <w:t>/</w:t>
      </w:r>
      <w:r w:rsidRPr="00A315B0">
        <w:rPr>
          <w:rFonts w:eastAsiaTheme="minorEastAsia"/>
        </w:rPr>
        <w:t>201</w:t>
      </w:r>
      <w:r w:rsidR="006243BF">
        <w:rPr>
          <w:rFonts w:eastAsiaTheme="minorEastAsia"/>
        </w:rPr>
        <w:t>4</w:t>
      </w:r>
      <w:r w:rsidRPr="00C414B0">
        <w:rPr>
          <w:rFonts w:eastAsiaTheme="minorEastAsia"/>
          <w:rtl/>
        </w:rPr>
        <w:t xml:space="preserve">)، الفقرة </w:t>
      </w:r>
      <w:r w:rsidRPr="00A315B0">
        <w:rPr>
          <w:rFonts w:eastAsiaTheme="minorEastAsia"/>
          <w:rtl/>
        </w:rPr>
        <w:t>4</w:t>
      </w:r>
      <w:r w:rsidRPr="00C414B0">
        <w:rPr>
          <w:rFonts w:eastAsiaTheme="minorEastAsia"/>
          <w:rtl/>
        </w:rPr>
        <w:t>-</w:t>
      </w:r>
      <w:r w:rsidRPr="00A315B0">
        <w:rPr>
          <w:rFonts w:eastAsiaTheme="minorEastAsia"/>
          <w:rtl/>
        </w:rPr>
        <w:t>4</w:t>
      </w:r>
      <w:r w:rsidRPr="00C414B0">
        <w:rPr>
          <w:rFonts w:eastAsiaTheme="minorEastAsia"/>
          <w:rtl/>
        </w:rPr>
        <w:t>.</w:t>
      </w:r>
    </w:p>
  </w:footnote>
  <w:footnote w:id="18">
    <w:p w14:paraId="64939811" w14:textId="5E9EEAA9"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المحكمة الأوروبية لحقوق الإنسان، قضية </w:t>
      </w:r>
      <w:proofErr w:type="spellStart"/>
      <w:r w:rsidRPr="00C414B0">
        <w:rPr>
          <w:rFonts w:eastAsiaTheme="minorEastAsia"/>
          <w:i/>
          <w:iCs/>
          <w:rtl/>
        </w:rPr>
        <w:t>ف</w:t>
      </w:r>
      <w:r w:rsidRPr="00C414B0">
        <w:rPr>
          <w:rFonts w:eastAsiaTheme="minorEastAsia"/>
          <w:i/>
          <w:iCs/>
          <w:rtl/>
          <w:lang w:val="fr-CH"/>
        </w:rPr>
        <w:t>يرازيني</w:t>
      </w:r>
      <w:proofErr w:type="spellEnd"/>
      <w:r w:rsidRPr="00C414B0">
        <w:rPr>
          <w:rFonts w:eastAsiaTheme="minorEastAsia"/>
          <w:i/>
          <w:iCs/>
          <w:rtl/>
          <w:lang w:val="fr-CH"/>
        </w:rPr>
        <w:t xml:space="preserve"> </w:t>
      </w:r>
      <w:r w:rsidRPr="00C414B0">
        <w:rPr>
          <w:rFonts w:eastAsiaTheme="minorEastAsia"/>
          <w:i/>
          <w:iCs/>
          <w:rtl/>
        </w:rPr>
        <w:t>ضد إيطاليا</w:t>
      </w:r>
      <w:r w:rsidRPr="00C414B0">
        <w:rPr>
          <w:rFonts w:eastAsiaTheme="minorEastAsia"/>
          <w:rtl/>
        </w:rPr>
        <w:t xml:space="preserve"> (الطلب رقم </w:t>
      </w:r>
      <w:r w:rsidRPr="00A315B0">
        <w:rPr>
          <w:rFonts w:eastAsiaTheme="minorEastAsia"/>
          <w:rtl/>
        </w:rPr>
        <w:t>98</w:t>
      </w:r>
      <w:r w:rsidRPr="00C414B0">
        <w:rPr>
          <w:rFonts w:eastAsiaTheme="minorEastAsia"/>
        </w:rPr>
        <w:t>/</w:t>
      </w:r>
      <w:r w:rsidRPr="00A315B0">
        <w:rPr>
          <w:rFonts w:eastAsiaTheme="minorEastAsia"/>
        </w:rPr>
        <w:t>447</w:t>
      </w:r>
      <w:r w:rsidRPr="00A315B0">
        <w:rPr>
          <w:rFonts w:eastAsiaTheme="minorEastAsia"/>
          <w:rtl/>
        </w:rPr>
        <w:t>59</w:t>
      </w:r>
      <w:r w:rsidRPr="00C414B0">
        <w:rPr>
          <w:rFonts w:eastAsiaTheme="minorEastAsia"/>
          <w:rtl/>
        </w:rPr>
        <w:t xml:space="preserve">)، الحكم الصادر في </w:t>
      </w:r>
      <w:r w:rsidRPr="00A315B0">
        <w:rPr>
          <w:rFonts w:eastAsiaTheme="minorEastAsia"/>
          <w:rtl/>
        </w:rPr>
        <w:t>12</w:t>
      </w:r>
      <w:r w:rsidRPr="00C414B0">
        <w:rPr>
          <w:rFonts w:eastAsiaTheme="minorEastAsia"/>
          <w:rtl/>
        </w:rPr>
        <w:t xml:space="preserve"> تموز/</w:t>
      </w:r>
      <w:r w:rsidR="00183A66">
        <w:rPr>
          <w:rFonts w:eastAsiaTheme="minorEastAsia" w:hint="cs"/>
          <w:rtl/>
        </w:rPr>
        <w:t xml:space="preserve">      </w:t>
      </w:r>
      <w:r w:rsidRPr="00C414B0">
        <w:rPr>
          <w:rFonts w:eastAsiaTheme="minorEastAsia"/>
          <w:rtl/>
        </w:rPr>
        <w:t xml:space="preserve">يوليه </w:t>
      </w:r>
      <w:r w:rsidRPr="00A315B0">
        <w:rPr>
          <w:rFonts w:eastAsiaTheme="minorEastAsia"/>
          <w:rtl/>
        </w:rPr>
        <w:t>2001</w:t>
      </w:r>
      <w:r w:rsidRPr="00C414B0">
        <w:rPr>
          <w:rFonts w:eastAsiaTheme="minorEastAsia"/>
          <w:rtl/>
        </w:rPr>
        <w:t xml:space="preserve">، الفقرة </w:t>
      </w:r>
      <w:r w:rsidRPr="00A315B0">
        <w:rPr>
          <w:rFonts w:eastAsiaTheme="minorEastAsia"/>
          <w:rtl/>
        </w:rPr>
        <w:t>29</w:t>
      </w:r>
      <w:r w:rsidRPr="00C414B0">
        <w:rPr>
          <w:rFonts w:eastAsiaTheme="minorEastAsia"/>
          <w:rtl/>
        </w:rPr>
        <w:t xml:space="preserve">. </w:t>
      </w:r>
    </w:p>
  </w:footnote>
  <w:footnote w:id="19">
    <w:p w14:paraId="0B31D510" w14:textId="604FFEE8"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يندرج برنامج دائرة المتطوعين الأوروبية في إطار برنامج عمل الشباب في الاتحاد الأوروبي. ويرمي البرنامج إلى تزويد الشباب، لفترة محدودة، بخبرات غير رسمية، وتجارب مشتركة بين الثقافات، وتجارب تعليمية تعزز اندماجهم ومشاركتهم النشطة في المجتمع بهدف تعزيز إمكانية توظيفهم ومنحهم فرصاً للتضامن مع الآخرين.</w:t>
      </w:r>
    </w:p>
  </w:footnote>
  <w:footnote w:id="20">
    <w:p w14:paraId="640D6E52" w14:textId="0FFC636C" w:rsidR="00C414B0" w:rsidRPr="00C414B0" w:rsidRDefault="00C414B0" w:rsidP="006A1724">
      <w:pPr>
        <w:pStyle w:val="FootnoteText1"/>
        <w:textDirection w:val="tbRlV"/>
        <w:rPr>
          <w:rFonts w:eastAsiaTheme="minorEastAsia"/>
          <w:color w:val="000000"/>
          <w:lang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r>
      <w:proofErr w:type="spellStart"/>
      <w:r w:rsidRPr="0035251F">
        <w:rPr>
          <w:rFonts w:eastAsiaTheme="minorEastAsia" w:cs="Times New Roman"/>
        </w:rPr>
        <w:t>European</w:t>
      </w:r>
      <w:proofErr w:type="spellEnd"/>
      <w:r w:rsidRPr="0035251F">
        <w:rPr>
          <w:rFonts w:eastAsiaTheme="minorEastAsia" w:cs="Times New Roman"/>
        </w:rPr>
        <w:t xml:space="preserve"> </w:t>
      </w:r>
      <w:proofErr w:type="spellStart"/>
      <w:r w:rsidRPr="0035251F">
        <w:rPr>
          <w:rFonts w:eastAsiaTheme="minorEastAsia" w:cs="Times New Roman"/>
        </w:rPr>
        <w:t>Court</w:t>
      </w:r>
      <w:proofErr w:type="spellEnd"/>
      <w:r w:rsidRPr="0035251F">
        <w:rPr>
          <w:rFonts w:eastAsiaTheme="minorEastAsia" w:cs="Times New Roman"/>
        </w:rPr>
        <w:t xml:space="preserve"> </w:t>
      </w:r>
      <w:proofErr w:type="spellStart"/>
      <w:r w:rsidRPr="0035251F">
        <w:rPr>
          <w:rFonts w:eastAsiaTheme="minorEastAsia" w:cs="Times New Roman"/>
        </w:rPr>
        <w:t>of</w:t>
      </w:r>
      <w:proofErr w:type="spellEnd"/>
      <w:r w:rsidRPr="0035251F">
        <w:rPr>
          <w:rFonts w:eastAsiaTheme="minorEastAsia" w:cs="Times New Roman"/>
        </w:rPr>
        <w:t xml:space="preserve"> </w:t>
      </w:r>
      <w:proofErr w:type="spellStart"/>
      <w:r w:rsidRPr="0035251F">
        <w:rPr>
          <w:rFonts w:eastAsiaTheme="minorEastAsia" w:cs="Times New Roman"/>
        </w:rPr>
        <w:t>Human</w:t>
      </w:r>
      <w:proofErr w:type="spellEnd"/>
      <w:r w:rsidRPr="0035251F">
        <w:rPr>
          <w:rFonts w:eastAsiaTheme="minorEastAsia" w:cs="Times New Roman"/>
        </w:rPr>
        <w:t xml:space="preserve"> </w:t>
      </w:r>
      <w:proofErr w:type="spellStart"/>
      <w:r w:rsidRPr="0035251F">
        <w:rPr>
          <w:rFonts w:eastAsiaTheme="minorEastAsia" w:cs="Times New Roman"/>
        </w:rPr>
        <w:t>Rights</w:t>
      </w:r>
      <w:proofErr w:type="spellEnd"/>
      <w:r w:rsidRPr="0035251F">
        <w:rPr>
          <w:rFonts w:eastAsiaTheme="minorEastAsia" w:cs="Times New Roman"/>
        </w:rPr>
        <w:t xml:space="preserve">, </w:t>
      </w:r>
      <w:proofErr w:type="spellStart"/>
      <w:r w:rsidRPr="0035251F">
        <w:rPr>
          <w:rFonts w:eastAsiaTheme="minorEastAsia" w:cs="Times New Roman"/>
          <w:i/>
          <w:iCs/>
        </w:rPr>
        <w:t>Association</w:t>
      </w:r>
      <w:proofErr w:type="spellEnd"/>
      <w:r w:rsidRPr="0035251F">
        <w:rPr>
          <w:rFonts w:eastAsiaTheme="minorEastAsia" w:cs="Times New Roman"/>
          <w:i/>
          <w:iCs/>
        </w:rPr>
        <w:t xml:space="preserve"> </w:t>
      </w:r>
      <w:proofErr w:type="spellStart"/>
      <w:r w:rsidRPr="0035251F">
        <w:rPr>
          <w:rFonts w:eastAsiaTheme="minorEastAsia" w:cs="Times New Roman"/>
          <w:i/>
          <w:iCs/>
        </w:rPr>
        <w:t>Les</w:t>
      </w:r>
      <w:proofErr w:type="spellEnd"/>
      <w:r w:rsidRPr="0035251F">
        <w:rPr>
          <w:rFonts w:eastAsiaTheme="minorEastAsia" w:cs="Times New Roman"/>
          <w:i/>
          <w:iCs/>
        </w:rPr>
        <w:t xml:space="preserve"> </w:t>
      </w:r>
      <w:proofErr w:type="spellStart"/>
      <w:r w:rsidRPr="0035251F">
        <w:rPr>
          <w:rFonts w:eastAsiaTheme="minorEastAsia" w:cs="Times New Roman"/>
          <w:i/>
          <w:iCs/>
        </w:rPr>
        <w:t>Témoins</w:t>
      </w:r>
      <w:proofErr w:type="spellEnd"/>
      <w:r w:rsidRPr="0035251F">
        <w:rPr>
          <w:rFonts w:eastAsiaTheme="minorEastAsia" w:cs="Times New Roman"/>
          <w:i/>
          <w:iCs/>
        </w:rPr>
        <w:t xml:space="preserve"> </w:t>
      </w:r>
      <w:proofErr w:type="spellStart"/>
      <w:r w:rsidRPr="0035251F">
        <w:rPr>
          <w:rFonts w:eastAsiaTheme="minorEastAsia" w:cs="Times New Roman"/>
          <w:i/>
          <w:iCs/>
        </w:rPr>
        <w:t>de</w:t>
      </w:r>
      <w:proofErr w:type="spellEnd"/>
      <w:r w:rsidRPr="0035251F">
        <w:rPr>
          <w:rFonts w:eastAsiaTheme="minorEastAsia" w:cs="Times New Roman"/>
          <w:i/>
          <w:iCs/>
        </w:rPr>
        <w:t xml:space="preserve"> </w:t>
      </w:r>
      <w:proofErr w:type="spellStart"/>
      <w:r w:rsidRPr="0035251F">
        <w:rPr>
          <w:rFonts w:eastAsiaTheme="minorEastAsia" w:cs="Times New Roman"/>
          <w:i/>
          <w:iCs/>
        </w:rPr>
        <w:t>Jéhovah</w:t>
      </w:r>
      <w:proofErr w:type="spellEnd"/>
      <w:r w:rsidRPr="0035251F">
        <w:rPr>
          <w:rFonts w:eastAsiaTheme="minorEastAsia" w:cs="Times New Roman"/>
          <w:i/>
          <w:iCs/>
        </w:rPr>
        <w:t xml:space="preserve"> v. France </w:t>
      </w:r>
      <w:r w:rsidRPr="0035251F">
        <w:rPr>
          <w:rFonts w:eastAsiaTheme="minorEastAsia" w:cs="Times New Roman"/>
        </w:rPr>
        <w:t>(application No.</w:t>
      </w:r>
      <w:r w:rsidR="0035251F">
        <w:rPr>
          <w:rFonts w:eastAsiaTheme="minorEastAsia" w:cs="Times New Roman"/>
          <w:rtl/>
        </w:rPr>
        <w:br/>
      </w:r>
      <w:r w:rsidRPr="00A315B0">
        <w:rPr>
          <w:rFonts w:eastAsiaTheme="minorEastAsia" w:cs="Times New Roman"/>
        </w:rPr>
        <w:t>8916</w:t>
      </w:r>
      <w:r w:rsidRPr="0035251F">
        <w:rPr>
          <w:rFonts w:eastAsiaTheme="minorEastAsia" w:cs="Times New Roman"/>
        </w:rPr>
        <w:t>/</w:t>
      </w:r>
      <w:r w:rsidRPr="00A315B0">
        <w:rPr>
          <w:rFonts w:eastAsiaTheme="minorEastAsia" w:cs="Times New Roman"/>
        </w:rPr>
        <w:t>05</w:t>
      </w:r>
      <w:r w:rsidRPr="0035251F">
        <w:rPr>
          <w:rFonts w:eastAsiaTheme="minorEastAsia" w:cs="Times New Roman"/>
        </w:rPr>
        <w:t>),</w:t>
      </w:r>
      <w:r w:rsidRPr="0035251F">
        <w:rPr>
          <w:rFonts w:eastAsiaTheme="minorEastAsia" w:cs="Times New Roman"/>
          <w:i/>
          <w:iCs/>
        </w:rPr>
        <w:t xml:space="preserve"> </w:t>
      </w:r>
      <w:r w:rsidRPr="0035251F">
        <w:rPr>
          <w:rFonts w:eastAsiaTheme="minorEastAsia" w:cs="Times New Roman"/>
        </w:rPr>
        <w:t xml:space="preserve">para. </w:t>
      </w:r>
      <w:r w:rsidRPr="00A315B0">
        <w:rPr>
          <w:rFonts w:eastAsiaTheme="minorEastAsia" w:cs="Times New Roman"/>
        </w:rPr>
        <w:t>53</w:t>
      </w:r>
      <w:r w:rsidRPr="0035251F">
        <w:rPr>
          <w:rFonts w:eastAsiaTheme="minorEastAsia" w:cs="Times New Roman"/>
        </w:rPr>
        <w:t xml:space="preserve"> (</w:t>
      </w:r>
      <w:proofErr w:type="spellStart"/>
      <w:r w:rsidRPr="0035251F">
        <w:rPr>
          <w:rFonts w:eastAsiaTheme="minorEastAsia" w:cs="Times New Roman"/>
        </w:rPr>
        <w:t>in</w:t>
      </w:r>
      <w:proofErr w:type="spellEnd"/>
      <w:r w:rsidRPr="0035251F">
        <w:rPr>
          <w:rFonts w:eastAsiaTheme="minorEastAsia" w:cs="Times New Roman"/>
        </w:rPr>
        <w:t xml:space="preserve"> </w:t>
      </w:r>
      <w:proofErr w:type="spellStart"/>
      <w:r w:rsidRPr="0035251F">
        <w:rPr>
          <w:rFonts w:eastAsiaTheme="minorEastAsia" w:cs="Times New Roman"/>
        </w:rPr>
        <w:t>French</w:t>
      </w:r>
      <w:proofErr w:type="spellEnd"/>
      <w:r w:rsidRPr="0035251F">
        <w:rPr>
          <w:rFonts w:eastAsiaTheme="minorEastAsia" w:cs="Times New Roman"/>
        </w:rPr>
        <w:t>)</w:t>
      </w:r>
      <w:r w:rsidRPr="00C414B0">
        <w:rPr>
          <w:rFonts w:eastAsiaTheme="minorEastAsia"/>
          <w:rtl/>
        </w:rPr>
        <w:t xml:space="preserve">. </w:t>
      </w:r>
    </w:p>
  </w:footnote>
  <w:footnote w:id="21">
    <w:p w14:paraId="1D764EC2" w14:textId="3D9F9B1D" w:rsidR="00C414B0" w:rsidRPr="00C414B0" w:rsidRDefault="00C414B0" w:rsidP="00183A66">
      <w:pPr>
        <w:pStyle w:val="FootnoteText1"/>
        <w:spacing w:line="260" w:lineRule="exact"/>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r>
      <w:proofErr w:type="spellStart"/>
      <w:r w:rsidRPr="00C414B0">
        <w:rPr>
          <w:rFonts w:eastAsiaTheme="minorEastAsia"/>
          <w:i/>
          <w:iCs/>
          <w:rtl/>
        </w:rPr>
        <w:t>فارلندن</w:t>
      </w:r>
      <w:proofErr w:type="spellEnd"/>
      <w:r w:rsidRPr="00C414B0">
        <w:rPr>
          <w:rFonts w:eastAsiaTheme="minorEastAsia"/>
          <w:i/>
          <w:iCs/>
          <w:rtl/>
        </w:rPr>
        <w:t xml:space="preserve"> ضد هولندا</w:t>
      </w:r>
      <w:r w:rsidRPr="00C414B0">
        <w:rPr>
          <w:rFonts w:eastAsiaTheme="minorEastAsia"/>
          <w:rtl/>
        </w:rPr>
        <w:t xml:space="preserve"> (</w:t>
      </w:r>
      <w:r w:rsidRPr="00C414B0">
        <w:rPr>
          <w:rFonts w:eastAsiaTheme="minorEastAsia"/>
        </w:rPr>
        <w:t>CCPR/C/</w:t>
      </w:r>
      <w:r w:rsidRPr="00A315B0">
        <w:rPr>
          <w:rFonts w:eastAsiaTheme="minorEastAsia"/>
        </w:rPr>
        <w:t>88</w:t>
      </w:r>
      <w:r w:rsidRPr="00C414B0">
        <w:rPr>
          <w:rFonts w:eastAsiaTheme="minorEastAsia"/>
        </w:rPr>
        <w:t>/D/</w:t>
      </w:r>
      <w:r w:rsidRPr="00A315B0">
        <w:rPr>
          <w:rFonts w:eastAsiaTheme="minorEastAsia"/>
        </w:rPr>
        <w:t>1187</w:t>
      </w:r>
      <w:r w:rsidRPr="00C414B0">
        <w:rPr>
          <w:rFonts w:eastAsiaTheme="minorEastAsia"/>
        </w:rPr>
        <w:t>/</w:t>
      </w:r>
      <w:r w:rsidRPr="00A315B0">
        <w:rPr>
          <w:rFonts w:eastAsiaTheme="minorEastAsia"/>
        </w:rPr>
        <w:t>2003</w:t>
      </w:r>
      <w:r w:rsidRPr="00C414B0">
        <w:rPr>
          <w:rFonts w:eastAsiaTheme="minorEastAsia"/>
          <w:rtl/>
        </w:rPr>
        <w:t xml:space="preserve">)، الفقرة </w:t>
      </w:r>
      <w:r w:rsidRPr="00A315B0">
        <w:rPr>
          <w:rFonts w:eastAsiaTheme="minorEastAsia"/>
          <w:rtl/>
        </w:rPr>
        <w:t>7</w:t>
      </w:r>
      <w:r w:rsidRPr="00C414B0">
        <w:rPr>
          <w:rFonts w:eastAsiaTheme="minorEastAsia"/>
          <w:rtl/>
        </w:rPr>
        <w:t>-</w:t>
      </w:r>
      <w:r w:rsidRPr="00A315B0">
        <w:rPr>
          <w:rFonts w:eastAsiaTheme="minorEastAsia"/>
          <w:rtl/>
        </w:rPr>
        <w:t>7</w:t>
      </w:r>
      <w:r w:rsidRPr="00C414B0">
        <w:rPr>
          <w:rFonts w:eastAsiaTheme="minorEastAsia"/>
          <w:rtl/>
        </w:rPr>
        <w:t>.</w:t>
      </w:r>
    </w:p>
  </w:footnote>
  <w:footnote w:id="22">
    <w:p w14:paraId="038436FA" w14:textId="7FA37391" w:rsidR="00C414B0" w:rsidRPr="00C414B0" w:rsidRDefault="00C414B0" w:rsidP="006A1724">
      <w:pPr>
        <w:pStyle w:val="FootnoteText1"/>
        <w:textDirection w:val="tbRlV"/>
        <w:rPr>
          <w:rFonts w:eastAsiaTheme="minorEastAsia"/>
          <w:lang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r>
      <w:proofErr w:type="spellStart"/>
      <w:r w:rsidRPr="00C414B0">
        <w:rPr>
          <w:rFonts w:eastAsiaTheme="minorEastAsia"/>
        </w:rPr>
        <w:t>European</w:t>
      </w:r>
      <w:proofErr w:type="spellEnd"/>
      <w:r w:rsidRPr="00C414B0">
        <w:rPr>
          <w:rFonts w:eastAsiaTheme="minorEastAsia"/>
        </w:rPr>
        <w:t xml:space="preserve"> </w:t>
      </w:r>
      <w:proofErr w:type="spellStart"/>
      <w:r w:rsidRPr="00C414B0">
        <w:rPr>
          <w:rFonts w:eastAsiaTheme="minorEastAsia"/>
        </w:rPr>
        <w:t>Court</w:t>
      </w:r>
      <w:proofErr w:type="spellEnd"/>
      <w:r w:rsidRPr="00C414B0">
        <w:rPr>
          <w:rFonts w:eastAsiaTheme="minorEastAsia"/>
        </w:rPr>
        <w:t xml:space="preserve"> </w:t>
      </w:r>
      <w:proofErr w:type="spellStart"/>
      <w:r w:rsidRPr="00C414B0">
        <w:rPr>
          <w:rFonts w:eastAsiaTheme="minorEastAsia"/>
        </w:rPr>
        <w:t>of</w:t>
      </w:r>
      <w:proofErr w:type="spellEnd"/>
      <w:r w:rsidRPr="00C414B0">
        <w:rPr>
          <w:rFonts w:eastAsiaTheme="minorEastAsia"/>
        </w:rPr>
        <w:t xml:space="preserve"> </w:t>
      </w:r>
      <w:proofErr w:type="spellStart"/>
      <w:r w:rsidRPr="00C414B0">
        <w:rPr>
          <w:rFonts w:eastAsiaTheme="minorEastAsia"/>
        </w:rPr>
        <w:t>Human</w:t>
      </w:r>
      <w:proofErr w:type="spellEnd"/>
      <w:r w:rsidRPr="00C414B0">
        <w:rPr>
          <w:rFonts w:eastAsiaTheme="minorEastAsia"/>
        </w:rPr>
        <w:t xml:space="preserve"> </w:t>
      </w:r>
      <w:proofErr w:type="spellStart"/>
      <w:r w:rsidRPr="00C414B0">
        <w:rPr>
          <w:rFonts w:eastAsiaTheme="minorEastAsia"/>
        </w:rPr>
        <w:t>Rights</w:t>
      </w:r>
      <w:proofErr w:type="spellEnd"/>
      <w:r w:rsidRPr="00C414B0">
        <w:rPr>
          <w:rFonts w:eastAsiaTheme="minorEastAsia"/>
        </w:rPr>
        <w:t>,</w:t>
      </w:r>
      <w:r w:rsidRPr="00C414B0">
        <w:rPr>
          <w:rFonts w:eastAsiaTheme="minorEastAsia"/>
          <w:i/>
          <w:iCs/>
        </w:rPr>
        <w:t xml:space="preserve"> </w:t>
      </w:r>
      <w:proofErr w:type="spellStart"/>
      <w:r w:rsidRPr="00C414B0">
        <w:rPr>
          <w:rFonts w:eastAsiaTheme="minorEastAsia"/>
          <w:i/>
          <w:iCs/>
        </w:rPr>
        <w:t>Niedzwiecki</w:t>
      </w:r>
      <w:proofErr w:type="spellEnd"/>
      <w:r w:rsidRPr="00C414B0">
        <w:rPr>
          <w:rFonts w:eastAsiaTheme="minorEastAsia"/>
          <w:i/>
          <w:iCs/>
        </w:rPr>
        <w:t xml:space="preserve"> v. </w:t>
      </w:r>
      <w:proofErr w:type="spellStart"/>
      <w:r w:rsidRPr="00C414B0">
        <w:rPr>
          <w:rFonts w:eastAsiaTheme="minorEastAsia"/>
          <w:i/>
          <w:iCs/>
        </w:rPr>
        <w:t>Germany</w:t>
      </w:r>
      <w:proofErr w:type="spellEnd"/>
      <w:r w:rsidRPr="00C414B0">
        <w:rPr>
          <w:rFonts w:eastAsiaTheme="minorEastAsia"/>
          <w:i/>
          <w:iCs/>
        </w:rPr>
        <w:t xml:space="preserve"> (</w:t>
      </w:r>
      <w:proofErr w:type="spellStart"/>
      <w:r w:rsidRPr="00C414B0">
        <w:rPr>
          <w:rFonts w:eastAsiaTheme="minorEastAsia"/>
          <w:i/>
          <w:iCs/>
        </w:rPr>
        <w:t>no</w:t>
      </w:r>
      <w:proofErr w:type="spellEnd"/>
      <w:r w:rsidRPr="00C414B0">
        <w:rPr>
          <w:rFonts w:eastAsiaTheme="minorEastAsia"/>
          <w:i/>
          <w:iCs/>
        </w:rPr>
        <w:t xml:space="preserve">. </w:t>
      </w:r>
      <w:r w:rsidRPr="00A315B0">
        <w:rPr>
          <w:rFonts w:eastAsiaTheme="minorEastAsia"/>
          <w:i/>
          <w:iCs/>
        </w:rPr>
        <w:t>2</w:t>
      </w:r>
      <w:r w:rsidRPr="00C414B0">
        <w:rPr>
          <w:rFonts w:eastAsiaTheme="minorEastAsia"/>
          <w:i/>
          <w:iCs/>
        </w:rPr>
        <w:t>)</w:t>
      </w:r>
      <w:r w:rsidRPr="00C414B0">
        <w:rPr>
          <w:rFonts w:eastAsiaTheme="minorEastAsia"/>
        </w:rPr>
        <w:t xml:space="preserve"> (</w:t>
      </w:r>
      <w:proofErr w:type="spellStart"/>
      <w:r w:rsidRPr="00C414B0">
        <w:rPr>
          <w:rFonts w:eastAsiaTheme="minorEastAsia"/>
        </w:rPr>
        <w:t>application</w:t>
      </w:r>
      <w:proofErr w:type="spellEnd"/>
      <w:r w:rsidRPr="00C414B0">
        <w:rPr>
          <w:rFonts w:eastAsiaTheme="minorEastAsia"/>
        </w:rPr>
        <w:t xml:space="preserve"> </w:t>
      </w:r>
      <w:proofErr w:type="spellStart"/>
      <w:r w:rsidRPr="00C414B0">
        <w:rPr>
          <w:rFonts w:eastAsiaTheme="minorEastAsia"/>
        </w:rPr>
        <w:t>No</w:t>
      </w:r>
      <w:proofErr w:type="spellEnd"/>
      <w:r w:rsidRPr="00C414B0">
        <w:rPr>
          <w:rFonts w:eastAsiaTheme="minorEastAsia"/>
        </w:rPr>
        <w:t xml:space="preserve">. </w:t>
      </w:r>
      <w:r w:rsidRPr="00A315B0">
        <w:rPr>
          <w:rFonts w:eastAsiaTheme="minorEastAsia"/>
        </w:rPr>
        <w:t>12852</w:t>
      </w:r>
      <w:r w:rsidRPr="00C414B0">
        <w:rPr>
          <w:rFonts w:eastAsiaTheme="minorEastAsia"/>
        </w:rPr>
        <w:t>/</w:t>
      </w:r>
      <w:r w:rsidRPr="00A315B0">
        <w:rPr>
          <w:rFonts w:eastAsiaTheme="minorEastAsia"/>
        </w:rPr>
        <w:t>08</w:t>
      </w:r>
      <w:r w:rsidRPr="00C414B0">
        <w:rPr>
          <w:rFonts w:eastAsiaTheme="minorEastAsia"/>
        </w:rPr>
        <w:t>),</w:t>
      </w:r>
      <w:r w:rsidR="0035251F">
        <w:rPr>
          <w:rFonts w:eastAsiaTheme="minorEastAsia"/>
        </w:rPr>
        <w:br/>
      </w:r>
      <w:r w:rsidRPr="00C414B0">
        <w:rPr>
          <w:rFonts w:eastAsiaTheme="minorEastAsia"/>
        </w:rPr>
        <w:t xml:space="preserve">judgment of </w:t>
      </w:r>
      <w:r w:rsidRPr="00A315B0">
        <w:rPr>
          <w:rFonts w:eastAsiaTheme="minorEastAsia"/>
        </w:rPr>
        <w:t>1</w:t>
      </w:r>
      <w:r w:rsidRPr="00C414B0">
        <w:rPr>
          <w:rFonts w:eastAsiaTheme="minorEastAsia"/>
        </w:rPr>
        <w:t xml:space="preserve"> April </w:t>
      </w:r>
      <w:r w:rsidRPr="00A315B0">
        <w:rPr>
          <w:rFonts w:eastAsiaTheme="minorEastAsia"/>
        </w:rPr>
        <w:t>2010</w:t>
      </w:r>
      <w:r w:rsidRPr="00C414B0">
        <w:rPr>
          <w:rFonts w:eastAsiaTheme="minorEastAsia"/>
        </w:rPr>
        <w:t xml:space="preserve">, </w:t>
      </w:r>
      <w:proofErr w:type="spellStart"/>
      <w:r w:rsidRPr="00C414B0">
        <w:rPr>
          <w:rFonts w:eastAsiaTheme="minorEastAsia"/>
        </w:rPr>
        <w:t>paras</w:t>
      </w:r>
      <w:proofErr w:type="spellEnd"/>
      <w:r w:rsidRPr="00C414B0">
        <w:rPr>
          <w:rFonts w:eastAsiaTheme="minorEastAsia"/>
        </w:rPr>
        <w:t xml:space="preserve">. </w:t>
      </w:r>
      <w:r w:rsidRPr="00A315B0">
        <w:rPr>
          <w:rFonts w:eastAsiaTheme="minorEastAsia"/>
        </w:rPr>
        <w:t>31</w:t>
      </w:r>
      <w:r w:rsidRPr="00C414B0">
        <w:rPr>
          <w:rFonts w:eastAsiaTheme="minorEastAsia"/>
        </w:rPr>
        <w:t>–</w:t>
      </w:r>
      <w:r w:rsidRPr="00A315B0">
        <w:rPr>
          <w:rFonts w:eastAsiaTheme="minorEastAsia"/>
        </w:rPr>
        <w:t>32</w:t>
      </w:r>
      <w:r w:rsidRPr="00C414B0">
        <w:rPr>
          <w:rFonts w:eastAsiaTheme="minorEastAsia"/>
          <w:rtl/>
        </w:rPr>
        <w:t>.</w:t>
      </w:r>
    </w:p>
  </w:footnote>
  <w:footnote w:id="23">
    <w:p w14:paraId="2EC70986" w14:textId="482E91E3" w:rsidR="00C414B0" w:rsidRPr="00C414B0" w:rsidRDefault="00C414B0" w:rsidP="006A1724">
      <w:pPr>
        <w:pStyle w:val="FootnoteText1"/>
        <w:textDirection w:val="tbRlV"/>
        <w:rPr>
          <w:rFonts w:eastAsiaTheme="minorEastAsia"/>
          <w:lang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اللجنة المعنية بحقوق الإنسان، التعليق العام رقم </w:t>
      </w:r>
      <w:r w:rsidRPr="00A315B0">
        <w:rPr>
          <w:rFonts w:eastAsiaTheme="minorEastAsia"/>
          <w:rtl/>
        </w:rPr>
        <w:t>32</w:t>
      </w:r>
      <w:r w:rsidRPr="00C414B0">
        <w:rPr>
          <w:rFonts w:eastAsiaTheme="minorEastAsia"/>
          <w:rtl/>
        </w:rPr>
        <w:t xml:space="preserve">، الفقرة </w:t>
      </w:r>
      <w:r w:rsidRPr="00A315B0">
        <w:rPr>
          <w:rFonts w:eastAsiaTheme="minorEastAsia"/>
          <w:rtl/>
        </w:rPr>
        <w:t>24</w:t>
      </w:r>
      <w:r w:rsidRPr="00C414B0">
        <w:rPr>
          <w:rFonts w:eastAsiaTheme="minorEastAsia"/>
          <w:rtl/>
        </w:rPr>
        <w:t>.</w:t>
      </w:r>
    </w:p>
  </w:footnote>
  <w:footnote w:id="24">
    <w:p w14:paraId="7310340F" w14:textId="77777777" w:rsidR="00B913FF" w:rsidRPr="0035251F" w:rsidRDefault="00B913FF" w:rsidP="00B913FF">
      <w:pPr>
        <w:pStyle w:val="FootnoteText1"/>
        <w:textDirection w:val="tbRlV"/>
        <w:rPr>
          <w:rFonts w:eastAsiaTheme="minorEastAsia"/>
          <w:lang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المرجع نفسه، الفقرات </w:t>
      </w:r>
      <w:r w:rsidRPr="00A315B0">
        <w:rPr>
          <w:rFonts w:eastAsiaTheme="minorEastAsia"/>
          <w:rtl/>
        </w:rPr>
        <w:t>16</w:t>
      </w:r>
      <w:r w:rsidRPr="00C414B0">
        <w:rPr>
          <w:rFonts w:eastAsiaTheme="minorEastAsia" w:hint="cs"/>
          <w:rtl/>
        </w:rPr>
        <w:t>-</w:t>
      </w:r>
      <w:r w:rsidRPr="00A315B0">
        <w:rPr>
          <w:rFonts w:eastAsiaTheme="minorEastAsia"/>
          <w:rtl/>
        </w:rPr>
        <w:t>17</w:t>
      </w:r>
      <w:r w:rsidRPr="00C414B0">
        <w:rPr>
          <w:rFonts w:eastAsiaTheme="minorEastAsia"/>
          <w:rtl/>
        </w:rPr>
        <w:t>.</w:t>
      </w:r>
    </w:p>
  </w:footnote>
  <w:footnote w:id="25">
    <w:p w14:paraId="58E75ED4" w14:textId="5F822CBE" w:rsidR="00C414B0" w:rsidRPr="00A02B73" w:rsidRDefault="00C414B0" w:rsidP="006A1724">
      <w:pPr>
        <w:pStyle w:val="FootnoteText1"/>
        <w:textDirection w:val="tbRlV"/>
        <w:rPr>
          <w:rFonts w:eastAsiaTheme="minorEastAsia"/>
          <w:lang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r>
      <w:r w:rsidR="00A02B73">
        <w:t>European Court of Human Rights,</w:t>
      </w:r>
      <w:r w:rsidR="00A02B73">
        <w:rPr>
          <w:i/>
          <w:iCs/>
          <w:lang w:eastAsia="de-DE"/>
        </w:rPr>
        <w:t xml:space="preserve"> Magyar </w:t>
      </w:r>
      <w:proofErr w:type="spellStart"/>
      <w:r w:rsidR="00A02B73">
        <w:rPr>
          <w:i/>
          <w:iCs/>
          <w:lang w:eastAsia="de-DE"/>
        </w:rPr>
        <w:t>Keresztény</w:t>
      </w:r>
      <w:proofErr w:type="spellEnd"/>
      <w:r w:rsidR="00A02B73">
        <w:rPr>
          <w:i/>
          <w:iCs/>
          <w:lang w:eastAsia="de-DE"/>
        </w:rPr>
        <w:t xml:space="preserve"> </w:t>
      </w:r>
      <w:proofErr w:type="spellStart"/>
      <w:r w:rsidR="00A02B73" w:rsidRPr="007F6B52">
        <w:rPr>
          <w:i/>
          <w:iCs/>
        </w:rPr>
        <w:t>Mennonita</w:t>
      </w:r>
      <w:proofErr w:type="spellEnd"/>
      <w:r w:rsidR="00A02B73">
        <w:rPr>
          <w:i/>
          <w:iCs/>
          <w:lang w:eastAsia="de-DE"/>
        </w:rPr>
        <w:t xml:space="preserve"> </w:t>
      </w:r>
      <w:proofErr w:type="spellStart"/>
      <w:r w:rsidR="00A02B73">
        <w:rPr>
          <w:i/>
          <w:iCs/>
          <w:lang w:eastAsia="de-DE"/>
        </w:rPr>
        <w:t>Egyház</w:t>
      </w:r>
      <w:proofErr w:type="spellEnd"/>
      <w:r w:rsidR="00A02B73">
        <w:rPr>
          <w:i/>
          <w:iCs/>
          <w:lang w:eastAsia="de-DE"/>
        </w:rPr>
        <w:t xml:space="preserve"> and Others</w:t>
      </w:r>
      <w:r w:rsidR="00A02B73">
        <w:rPr>
          <w:lang w:eastAsia="de-DE"/>
        </w:rPr>
        <w:t xml:space="preserve"> </w:t>
      </w:r>
      <w:r w:rsidR="00A02B73" w:rsidRPr="00CB68A1">
        <w:rPr>
          <w:i/>
          <w:lang w:eastAsia="de-DE"/>
        </w:rPr>
        <w:t>v. Hungary</w:t>
      </w:r>
      <w:r w:rsidR="00A02B73">
        <w:rPr>
          <w:i/>
          <w:lang w:eastAsia="de-DE"/>
        </w:rPr>
        <w:br/>
      </w:r>
      <w:r w:rsidR="00A02B73">
        <w:rPr>
          <w:lang w:eastAsia="de-DE"/>
        </w:rPr>
        <w:t xml:space="preserve">(application No. </w:t>
      </w:r>
      <w:r w:rsidR="00A02B73" w:rsidRPr="00A315B0">
        <w:rPr>
          <w:lang w:eastAsia="de-DE"/>
        </w:rPr>
        <w:t>70945</w:t>
      </w:r>
      <w:r w:rsidR="00A02B73">
        <w:rPr>
          <w:lang w:eastAsia="de-DE"/>
        </w:rPr>
        <w:t>/</w:t>
      </w:r>
      <w:r w:rsidR="00A02B73" w:rsidRPr="00A315B0">
        <w:rPr>
          <w:lang w:eastAsia="de-DE"/>
        </w:rPr>
        <w:t>11</w:t>
      </w:r>
      <w:r w:rsidR="00A02B73">
        <w:rPr>
          <w:lang w:eastAsia="de-DE"/>
        </w:rPr>
        <w:t xml:space="preserve"> et al.), judgment of </w:t>
      </w:r>
      <w:r w:rsidR="00A02B73" w:rsidRPr="00A315B0">
        <w:rPr>
          <w:lang w:eastAsia="de-DE"/>
        </w:rPr>
        <w:t>8</w:t>
      </w:r>
      <w:r w:rsidR="00A02B73">
        <w:rPr>
          <w:lang w:eastAsia="de-DE"/>
        </w:rPr>
        <w:t xml:space="preserve"> April </w:t>
      </w:r>
      <w:r w:rsidR="00A02B73" w:rsidRPr="00A315B0">
        <w:rPr>
          <w:lang w:eastAsia="de-DE"/>
        </w:rPr>
        <w:t>2014</w:t>
      </w:r>
      <w:r w:rsidR="00A02B73">
        <w:rPr>
          <w:lang w:eastAsia="de-DE"/>
        </w:rPr>
        <w:t xml:space="preserve">, paras. </w:t>
      </w:r>
      <w:r w:rsidR="00A02B73" w:rsidRPr="00A315B0">
        <w:rPr>
          <w:lang w:eastAsia="de-DE"/>
        </w:rPr>
        <w:t>92</w:t>
      </w:r>
      <w:r w:rsidR="00A02B73" w:rsidRPr="0018345E">
        <w:rPr>
          <w:lang w:eastAsia="de-DE"/>
        </w:rPr>
        <w:t xml:space="preserve"> and </w:t>
      </w:r>
      <w:r w:rsidR="00A02B73" w:rsidRPr="00A315B0">
        <w:rPr>
          <w:lang w:eastAsia="de-DE"/>
        </w:rPr>
        <w:t>94</w:t>
      </w:r>
      <w:r w:rsidRPr="00C414B0">
        <w:rPr>
          <w:rFonts w:eastAsiaTheme="minorEastAsia"/>
          <w:rtl/>
        </w:rPr>
        <w:t>.</w:t>
      </w:r>
    </w:p>
  </w:footnote>
  <w:footnote w:id="26">
    <w:p w14:paraId="7895386D" w14:textId="0BC76F84"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r>
      <w:proofErr w:type="spellStart"/>
      <w:r w:rsidRPr="00C414B0">
        <w:rPr>
          <w:rFonts w:eastAsiaTheme="minorEastAsia"/>
          <w:i/>
          <w:iCs/>
          <w:rtl/>
        </w:rPr>
        <w:t>الزير</w:t>
      </w:r>
      <w:r w:rsidR="00A02B73">
        <w:rPr>
          <w:rFonts w:eastAsiaTheme="minorEastAsia" w:hint="cs"/>
          <w:i/>
          <w:iCs/>
          <w:rtl/>
        </w:rPr>
        <w:t>ي</w:t>
      </w:r>
      <w:proofErr w:type="spellEnd"/>
      <w:r w:rsidRPr="00C414B0">
        <w:rPr>
          <w:rFonts w:eastAsiaTheme="minorEastAsia"/>
          <w:i/>
          <w:iCs/>
          <w:rtl/>
        </w:rPr>
        <w:t xml:space="preserve"> ضد السويد</w:t>
      </w:r>
      <w:r w:rsidRPr="00C414B0">
        <w:rPr>
          <w:rFonts w:eastAsiaTheme="minorEastAsia"/>
          <w:rtl/>
        </w:rPr>
        <w:t xml:space="preserve"> (</w:t>
      </w:r>
      <w:r w:rsidRPr="00C414B0">
        <w:rPr>
          <w:rFonts w:eastAsiaTheme="minorEastAsia"/>
        </w:rPr>
        <w:t>CCPR/C/</w:t>
      </w:r>
      <w:r w:rsidRPr="00A315B0">
        <w:rPr>
          <w:rFonts w:eastAsiaTheme="minorEastAsia"/>
        </w:rPr>
        <w:t>88</w:t>
      </w:r>
      <w:r w:rsidRPr="00C414B0">
        <w:rPr>
          <w:rFonts w:eastAsiaTheme="minorEastAsia"/>
        </w:rPr>
        <w:t>/D/</w:t>
      </w:r>
      <w:r w:rsidRPr="00A315B0">
        <w:rPr>
          <w:rFonts w:eastAsiaTheme="minorEastAsia"/>
        </w:rPr>
        <w:t>1416</w:t>
      </w:r>
      <w:r w:rsidRPr="00C414B0">
        <w:rPr>
          <w:rFonts w:eastAsiaTheme="minorEastAsia"/>
        </w:rPr>
        <w:t>/</w:t>
      </w:r>
      <w:r w:rsidRPr="00A315B0">
        <w:rPr>
          <w:rFonts w:eastAsiaTheme="minorEastAsia"/>
        </w:rPr>
        <w:t>2005</w:t>
      </w:r>
      <w:r w:rsidRPr="00C414B0">
        <w:rPr>
          <w:rFonts w:eastAsiaTheme="minorEastAsia"/>
          <w:rtl/>
        </w:rPr>
        <w:t xml:space="preserve">)، الفقرة </w:t>
      </w:r>
      <w:r w:rsidRPr="00A315B0">
        <w:rPr>
          <w:rFonts w:eastAsiaTheme="minorEastAsia"/>
          <w:rtl/>
        </w:rPr>
        <w:t>8</w:t>
      </w:r>
      <w:r w:rsidRPr="00C414B0">
        <w:rPr>
          <w:rFonts w:eastAsiaTheme="minorEastAsia"/>
          <w:rtl/>
        </w:rPr>
        <w:t>-</w:t>
      </w:r>
      <w:r w:rsidRPr="00A315B0">
        <w:rPr>
          <w:rFonts w:eastAsiaTheme="minorEastAsia"/>
          <w:rtl/>
        </w:rPr>
        <w:t>1</w:t>
      </w:r>
      <w:r w:rsidRPr="00C414B0">
        <w:rPr>
          <w:rFonts w:eastAsiaTheme="minorEastAsia"/>
          <w:rtl/>
        </w:rPr>
        <w:t>.</w:t>
      </w:r>
    </w:p>
  </w:footnote>
  <w:footnote w:id="27">
    <w:p w14:paraId="5729D742" w14:textId="5E11B9B0"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r>
      <w:proofErr w:type="spellStart"/>
      <w:r w:rsidRPr="00C414B0">
        <w:rPr>
          <w:rFonts w:eastAsiaTheme="minorEastAsia"/>
          <w:i/>
          <w:iCs/>
          <w:rtl/>
        </w:rPr>
        <w:t>بويرتاس</w:t>
      </w:r>
      <w:proofErr w:type="spellEnd"/>
      <w:r w:rsidRPr="00C414B0">
        <w:rPr>
          <w:rFonts w:eastAsiaTheme="minorEastAsia"/>
          <w:i/>
          <w:iCs/>
          <w:rtl/>
        </w:rPr>
        <w:t xml:space="preserve"> ضد إسبانيا </w:t>
      </w:r>
      <w:r w:rsidRPr="00C414B0">
        <w:rPr>
          <w:rFonts w:eastAsiaTheme="minorEastAsia"/>
          <w:rtl/>
        </w:rPr>
        <w:t>(</w:t>
      </w:r>
      <w:r w:rsidRPr="00C414B0">
        <w:rPr>
          <w:rFonts w:eastAsiaTheme="minorEastAsia"/>
        </w:rPr>
        <w:t>CCPR/C/</w:t>
      </w:r>
      <w:r w:rsidRPr="00A315B0">
        <w:rPr>
          <w:rFonts w:eastAsiaTheme="minorEastAsia"/>
        </w:rPr>
        <w:t>107</w:t>
      </w:r>
      <w:r w:rsidRPr="00C414B0">
        <w:rPr>
          <w:rFonts w:eastAsiaTheme="minorEastAsia"/>
        </w:rPr>
        <w:t>/D/</w:t>
      </w:r>
      <w:r w:rsidRPr="00A315B0">
        <w:rPr>
          <w:rFonts w:eastAsiaTheme="minorEastAsia"/>
        </w:rPr>
        <w:t>1945</w:t>
      </w:r>
      <w:r w:rsidRPr="00C414B0">
        <w:rPr>
          <w:rFonts w:eastAsiaTheme="minorEastAsia"/>
        </w:rPr>
        <w:t>/</w:t>
      </w:r>
      <w:r w:rsidRPr="00A315B0">
        <w:rPr>
          <w:rFonts w:eastAsiaTheme="minorEastAsia"/>
        </w:rPr>
        <w:t>2010</w:t>
      </w:r>
      <w:r w:rsidRPr="00C414B0">
        <w:rPr>
          <w:rFonts w:eastAsiaTheme="minorEastAsia"/>
          <w:rtl/>
        </w:rPr>
        <w:t xml:space="preserve">)، الفقرة </w:t>
      </w:r>
      <w:r w:rsidRPr="00A315B0">
        <w:rPr>
          <w:rFonts w:eastAsiaTheme="minorEastAsia"/>
          <w:rtl/>
        </w:rPr>
        <w:t>7</w:t>
      </w:r>
      <w:r w:rsidRPr="00C414B0">
        <w:rPr>
          <w:rFonts w:eastAsiaTheme="minorEastAsia"/>
          <w:rtl/>
        </w:rPr>
        <w:t>-</w:t>
      </w:r>
      <w:r w:rsidRPr="00A315B0">
        <w:rPr>
          <w:rFonts w:eastAsiaTheme="minorEastAsia"/>
          <w:rtl/>
        </w:rPr>
        <w:t>3</w:t>
      </w:r>
      <w:r w:rsidRPr="00C414B0">
        <w:rPr>
          <w:rFonts w:eastAsiaTheme="minorEastAsia"/>
          <w:rtl/>
        </w:rPr>
        <w:t>.</w:t>
      </w:r>
    </w:p>
  </w:footnote>
  <w:footnote w:id="28">
    <w:p w14:paraId="74B2C05D" w14:textId="6921FA76"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اللجنة المعنية بحقوق الإنسان، التعليق العام </w:t>
      </w:r>
      <w:r w:rsidRPr="00A315B0">
        <w:rPr>
          <w:rFonts w:eastAsiaTheme="minorEastAsia"/>
          <w:rtl/>
        </w:rPr>
        <w:t>32</w:t>
      </w:r>
      <w:r w:rsidRPr="00C414B0">
        <w:rPr>
          <w:rFonts w:eastAsiaTheme="minorEastAsia"/>
          <w:rtl/>
        </w:rPr>
        <w:t xml:space="preserve">، الفقرات </w:t>
      </w:r>
      <w:r w:rsidRPr="00A315B0">
        <w:rPr>
          <w:rFonts w:eastAsiaTheme="minorEastAsia"/>
          <w:rtl/>
        </w:rPr>
        <w:t>7</w:t>
      </w:r>
      <w:r w:rsidRPr="00C414B0">
        <w:rPr>
          <w:rFonts w:eastAsiaTheme="minorEastAsia"/>
          <w:rtl/>
        </w:rPr>
        <w:t>-</w:t>
      </w:r>
      <w:r w:rsidRPr="00A315B0">
        <w:rPr>
          <w:rFonts w:eastAsiaTheme="minorEastAsia"/>
          <w:rtl/>
        </w:rPr>
        <w:t>8</w:t>
      </w:r>
      <w:r w:rsidRPr="00C414B0">
        <w:rPr>
          <w:rFonts w:eastAsiaTheme="minorEastAsia"/>
          <w:rtl/>
        </w:rPr>
        <w:t xml:space="preserve"> و</w:t>
      </w:r>
      <w:r w:rsidRPr="00A315B0">
        <w:rPr>
          <w:rFonts w:eastAsiaTheme="minorEastAsia"/>
          <w:rtl/>
        </w:rPr>
        <w:t>13</w:t>
      </w:r>
      <w:r w:rsidRPr="00C414B0">
        <w:rPr>
          <w:rFonts w:eastAsiaTheme="minorEastAsia"/>
          <w:rtl/>
        </w:rPr>
        <w:t>-</w:t>
      </w:r>
      <w:r w:rsidRPr="00A315B0">
        <w:rPr>
          <w:rFonts w:eastAsiaTheme="minorEastAsia"/>
          <w:rtl/>
        </w:rPr>
        <w:t>14</w:t>
      </w:r>
      <w:r w:rsidRPr="00C414B0">
        <w:rPr>
          <w:rFonts w:eastAsiaTheme="minorEastAsia"/>
          <w:rtl/>
        </w:rPr>
        <w:t>.</w:t>
      </w:r>
    </w:p>
  </w:footnote>
  <w:footnote w:id="29">
    <w:p w14:paraId="70850A09" w14:textId="57927395"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المرجع نفسه، الفقرة </w:t>
      </w:r>
      <w:r w:rsidRPr="00A315B0">
        <w:rPr>
          <w:rFonts w:eastAsiaTheme="minorEastAsia"/>
          <w:rtl/>
        </w:rPr>
        <w:t>16</w:t>
      </w:r>
      <w:r w:rsidRPr="00C414B0">
        <w:rPr>
          <w:rFonts w:eastAsiaTheme="minorEastAsia"/>
          <w:rtl/>
        </w:rPr>
        <w:t>.</w:t>
      </w:r>
    </w:p>
  </w:footnote>
  <w:footnote w:id="30">
    <w:p w14:paraId="20977971" w14:textId="1FC0533D"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اللجنة المعنية بحقوق الإنسان، التعليق العام رقم </w:t>
      </w:r>
      <w:r w:rsidRPr="00A315B0">
        <w:rPr>
          <w:rFonts w:eastAsiaTheme="minorEastAsia"/>
          <w:rtl/>
        </w:rPr>
        <w:t>18</w:t>
      </w:r>
      <w:r w:rsidRPr="00C414B0">
        <w:rPr>
          <w:rFonts w:eastAsiaTheme="minorEastAsia"/>
          <w:rtl/>
        </w:rPr>
        <w:t>(</w:t>
      </w:r>
      <w:r w:rsidRPr="00A315B0">
        <w:rPr>
          <w:rFonts w:eastAsiaTheme="minorEastAsia"/>
          <w:rtl/>
        </w:rPr>
        <w:t>1989</w:t>
      </w:r>
      <w:r w:rsidRPr="00C414B0">
        <w:rPr>
          <w:rFonts w:eastAsiaTheme="minorEastAsia"/>
          <w:rtl/>
        </w:rPr>
        <w:t xml:space="preserve">)، الفقرة </w:t>
      </w:r>
      <w:r w:rsidRPr="00A315B0">
        <w:rPr>
          <w:rFonts w:eastAsiaTheme="minorEastAsia"/>
          <w:rtl/>
        </w:rPr>
        <w:t>12</w:t>
      </w:r>
      <w:r w:rsidRPr="00C414B0">
        <w:rPr>
          <w:rFonts w:eastAsiaTheme="minorEastAsia"/>
          <w:rtl/>
        </w:rPr>
        <w:t>.</w:t>
      </w:r>
    </w:p>
  </w:footnote>
  <w:footnote w:id="31">
    <w:p w14:paraId="73E843C1" w14:textId="5EE28B2A"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t xml:space="preserve">المرجع نفسه، الفقرة </w:t>
      </w:r>
      <w:r w:rsidRPr="00A315B0">
        <w:rPr>
          <w:rFonts w:eastAsiaTheme="minorEastAsia"/>
          <w:rtl/>
        </w:rPr>
        <w:t>13</w:t>
      </w:r>
      <w:r w:rsidRPr="00C414B0">
        <w:rPr>
          <w:rFonts w:eastAsiaTheme="minorEastAsia"/>
          <w:rtl/>
        </w:rPr>
        <w:t>.</w:t>
      </w:r>
    </w:p>
  </w:footnote>
  <w:footnote w:id="32">
    <w:p w14:paraId="2029177C" w14:textId="7D0DC55C" w:rsidR="00C414B0" w:rsidRPr="00C414B0" w:rsidRDefault="00C414B0" w:rsidP="006A1724">
      <w:pPr>
        <w:pStyle w:val="FootnoteText1"/>
        <w:textDirection w:val="tbRlV"/>
        <w:rPr>
          <w:rFonts w:eastAsiaTheme="minorEastAsia"/>
          <w:lang w:val="ar-SA"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r>
      <w:proofErr w:type="spellStart"/>
      <w:r w:rsidRPr="00C414B0">
        <w:rPr>
          <w:rFonts w:eastAsiaTheme="minorEastAsia"/>
          <w:i/>
          <w:iCs/>
          <w:rtl/>
        </w:rPr>
        <w:t>برينس</w:t>
      </w:r>
      <w:proofErr w:type="spellEnd"/>
      <w:r w:rsidRPr="00C414B0">
        <w:rPr>
          <w:rFonts w:eastAsiaTheme="minorEastAsia"/>
          <w:i/>
          <w:iCs/>
          <w:rtl/>
        </w:rPr>
        <w:t xml:space="preserve"> ضد جنوب أفريقيا</w:t>
      </w:r>
      <w:r w:rsidRPr="00C414B0">
        <w:rPr>
          <w:rFonts w:eastAsiaTheme="minorEastAsia"/>
          <w:rtl/>
        </w:rPr>
        <w:t xml:space="preserve"> (</w:t>
      </w:r>
      <w:r w:rsidRPr="00C414B0">
        <w:rPr>
          <w:rFonts w:eastAsiaTheme="minorEastAsia"/>
        </w:rPr>
        <w:t>CCPR/C/</w:t>
      </w:r>
      <w:r w:rsidRPr="00A315B0">
        <w:rPr>
          <w:rFonts w:eastAsiaTheme="minorEastAsia"/>
        </w:rPr>
        <w:t>91</w:t>
      </w:r>
      <w:r w:rsidRPr="00C414B0">
        <w:rPr>
          <w:rFonts w:eastAsiaTheme="minorEastAsia"/>
        </w:rPr>
        <w:t>/D/</w:t>
      </w:r>
      <w:r w:rsidRPr="00A315B0">
        <w:rPr>
          <w:rFonts w:eastAsiaTheme="minorEastAsia"/>
        </w:rPr>
        <w:t>1474</w:t>
      </w:r>
      <w:r w:rsidRPr="00C414B0">
        <w:rPr>
          <w:rFonts w:eastAsiaTheme="minorEastAsia"/>
        </w:rPr>
        <w:t>/</w:t>
      </w:r>
      <w:r w:rsidRPr="00A315B0">
        <w:rPr>
          <w:rFonts w:eastAsiaTheme="minorEastAsia"/>
        </w:rPr>
        <w:t>200</w:t>
      </w:r>
      <w:r w:rsidR="00A02B73">
        <w:rPr>
          <w:rFonts w:eastAsiaTheme="minorEastAsia"/>
        </w:rPr>
        <w:t>6</w:t>
      </w:r>
      <w:r w:rsidRPr="00C414B0">
        <w:rPr>
          <w:rFonts w:eastAsiaTheme="minorEastAsia"/>
          <w:rtl/>
        </w:rPr>
        <w:t xml:space="preserve">)، الفقرة </w:t>
      </w:r>
      <w:r w:rsidRPr="00A315B0">
        <w:rPr>
          <w:rFonts w:eastAsiaTheme="minorEastAsia"/>
          <w:rtl/>
        </w:rPr>
        <w:t>7</w:t>
      </w:r>
      <w:r w:rsidRPr="00C414B0">
        <w:rPr>
          <w:rFonts w:eastAsiaTheme="minorEastAsia"/>
          <w:rtl/>
        </w:rPr>
        <w:t>-</w:t>
      </w:r>
      <w:r w:rsidRPr="00A315B0">
        <w:rPr>
          <w:rFonts w:eastAsiaTheme="minorEastAsia"/>
          <w:rtl/>
        </w:rPr>
        <w:t>5</w:t>
      </w:r>
      <w:r w:rsidRPr="00C414B0">
        <w:rPr>
          <w:rFonts w:eastAsiaTheme="minorEastAsia"/>
          <w:rtl/>
        </w:rPr>
        <w:t>؛</w:t>
      </w:r>
    </w:p>
  </w:footnote>
  <w:footnote w:id="33">
    <w:p w14:paraId="36959703" w14:textId="02BEF70E" w:rsidR="00C414B0" w:rsidRPr="00C414B0" w:rsidRDefault="00C414B0" w:rsidP="006A1724">
      <w:pPr>
        <w:pStyle w:val="FootnoteText1"/>
        <w:textDirection w:val="tbRlV"/>
        <w:rPr>
          <w:rFonts w:eastAsiaTheme="minorEastAsia"/>
          <w:lang w:val="es-ES" w:eastAsia="zh-TW" w:bidi="en-GB"/>
        </w:rPr>
      </w:pPr>
      <w:r w:rsidRPr="00C414B0">
        <w:rPr>
          <w:rStyle w:val="FootnoteReference"/>
          <w:rFonts w:eastAsiaTheme="minorEastAsia"/>
          <w:vertAlign w:val="baseline"/>
          <w:rtl/>
        </w:rPr>
        <w:t>(</w:t>
      </w:r>
      <w:r w:rsidRPr="00A315B0">
        <w:rPr>
          <w:rStyle w:val="FootnoteReference"/>
          <w:rFonts w:eastAsiaTheme="minorEastAsia"/>
          <w:vertAlign w:val="baseline"/>
          <w:rtl/>
        </w:rPr>
        <w:footnoteRef/>
      </w:r>
      <w:r w:rsidRPr="00C414B0">
        <w:rPr>
          <w:rStyle w:val="FootnoteReference"/>
          <w:rFonts w:eastAsiaTheme="minorEastAsia"/>
          <w:vertAlign w:val="baseline"/>
          <w:rtl/>
        </w:rPr>
        <w:t>)</w:t>
      </w:r>
      <w:r w:rsidRPr="00C414B0">
        <w:rPr>
          <w:rFonts w:eastAsiaTheme="minorEastAsia"/>
          <w:rtl/>
        </w:rPr>
        <w:tab/>
      </w:r>
      <w:proofErr w:type="spellStart"/>
      <w:r w:rsidRPr="00C414B0">
        <w:rPr>
          <w:rFonts w:eastAsiaTheme="minorEastAsia"/>
          <w:i/>
          <w:iCs/>
        </w:rPr>
        <w:t>Waldman</w:t>
      </w:r>
      <w:proofErr w:type="spellEnd"/>
      <w:r w:rsidRPr="00C414B0">
        <w:rPr>
          <w:rFonts w:eastAsiaTheme="minorEastAsia"/>
          <w:i/>
          <w:iCs/>
        </w:rPr>
        <w:t xml:space="preserve"> v. </w:t>
      </w:r>
      <w:proofErr w:type="spellStart"/>
      <w:r w:rsidRPr="00C414B0">
        <w:rPr>
          <w:rFonts w:eastAsiaTheme="minorEastAsia"/>
          <w:i/>
          <w:iCs/>
        </w:rPr>
        <w:t>Cana</w:t>
      </w:r>
      <w:bookmarkStart w:id="3" w:name="_GoBack"/>
      <w:bookmarkEnd w:id="3"/>
      <w:r w:rsidRPr="00C414B0">
        <w:rPr>
          <w:rFonts w:eastAsiaTheme="minorEastAsia"/>
          <w:i/>
          <w:iCs/>
        </w:rPr>
        <w:t>da</w:t>
      </w:r>
      <w:proofErr w:type="spellEnd"/>
      <w:r w:rsidRPr="00C414B0">
        <w:rPr>
          <w:rFonts w:eastAsiaTheme="minorEastAsia"/>
        </w:rPr>
        <w:t xml:space="preserve"> (</w:t>
      </w:r>
      <w:r w:rsidRPr="00C414B0">
        <w:rPr>
          <w:rFonts w:eastAsiaTheme="minorEastAsia"/>
          <w:lang w:val="es-ES"/>
        </w:rPr>
        <w:t>CCPR/C/</w:t>
      </w:r>
      <w:r w:rsidRPr="00A315B0">
        <w:rPr>
          <w:rFonts w:eastAsiaTheme="minorEastAsia"/>
          <w:lang w:val="es-ES"/>
        </w:rPr>
        <w:t>67</w:t>
      </w:r>
      <w:r w:rsidRPr="00C414B0">
        <w:rPr>
          <w:rFonts w:eastAsiaTheme="minorEastAsia"/>
          <w:lang w:val="es-ES"/>
        </w:rPr>
        <w:t>/D/</w:t>
      </w:r>
      <w:r w:rsidRPr="00A315B0">
        <w:rPr>
          <w:rFonts w:eastAsiaTheme="minorEastAsia"/>
          <w:lang w:val="es-ES"/>
        </w:rPr>
        <w:t>694</w:t>
      </w:r>
      <w:r w:rsidRPr="00C414B0">
        <w:rPr>
          <w:rFonts w:eastAsiaTheme="minorEastAsia"/>
          <w:lang w:val="es-ES"/>
        </w:rPr>
        <w:t>/</w:t>
      </w:r>
      <w:proofErr w:type="gramStart"/>
      <w:r w:rsidRPr="00A315B0">
        <w:rPr>
          <w:rFonts w:eastAsiaTheme="minorEastAsia"/>
          <w:lang w:val="es-ES"/>
        </w:rPr>
        <w:t>1996</w:t>
      </w:r>
      <w:r w:rsidRPr="00C414B0">
        <w:rPr>
          <w:rFonts w:eastAsiaTheme="minorEastAsia"/>
        </w:rPr>
        <w:t>),</w:t>
      </w:r>
      <w:proofErr w:type="gramEnd"/>
      <w:r w:rsidRPr="00C414B0">
        <w:rPr>
          <w:rFonts w:eastAsiaTheme="minorEastAsia"/>
        </w:rPr>
        <w:t xml:space="preserve"> </w:t>
      </w:r>
      <w:proofErr w:type="spellStart"/>
      <w:r w:rsidRPr="00C414B0">
        <w:rPr>
          <w:rFonts w:eastAsiaTheme="minorEastAsia"/>
        </w:rPr>
        <w:t>para</w:t>
      </w:r>
      <w:proofErr w:type="spellEnd"/>
      <w:r w:rsidRPr="00C414B0">
        <w:rPr>
          <w:rFonts w:eastAsiaTheme="minorEastAsia"/>
        </w:rPr>
        <w:t xml:space="preserve">. </w:t>
      </w:r>
      <w:r w:rsidRPr="00A315B0">
        <w:rPr>
          <w:rFonts w:eastAsiaTheme="minorEastAsia"/>
        </w:rPr>
        <w:t>10</w:t>
      </w:r>
      <w:r w:rsidRPr="00C414B0">
        <w:rPr>
          <w:rFonts w:eastAsiaTheme="minorEastAsia"/>
        </w:rPr>
        <w:t>.</w:t>
      </w:r>
      <w:r w:rsidRPr="00A315B0">
        <w:rPr>
          <w:rFonts w:eastAsiaTheme="minorEastAsia"/>
        </w:rPr>
        <w:t>6</w:t>
      </w:r>
      <w:r w:rsidRPr="00C414B0">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8F78" w14:textId="12065244" w:rsidR="00C414B0" w:rsidRPr="005A7E8C" w:rsidRDefault="00C414B0" w:rsidP="005A7E8C">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w:t>
    </w:r>
    <w:r w:rsidRPr="00A315B0">
      <w:t>129</w:t>
    </w:r>
    <w:r>
      <w:t>/D/</w:t>
    </w:r>
    <w:r w:rsidRPr="00A315B0">
      <w:t>2741</w:t>
    </w:r>
    <w:r>
      <w:t>/</w:t>
    </w:r>
    <w:r w:rsidRPr="00A315B0">
      <w:t>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E022" w14:textId="121B0F94" w:rsidR="00C414B0" w:rsidRPr="005A7E8C" w:rsidRDefault="00C414B0" w:rsidP="005A7E8C">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w:t>
    </w:r>
    <w:r w:rsidRPr="00A315B0">
      <w:t>129</w:t>
    </w:r>
    <w:r>
      <w:t>/D/</w:t>
    </w:r>
    <w:r w:rsidRPr="00A315B0">
      <w:t>2741</w:t>
    </w:r>
    <w:r>
      <w:t>/</w:t>
    </w:r>
    <w:r w:rsidRPr="00A315B0">
      <w:t>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1666C4CE"/>
    <w:lvl w:ilvl="0" w:tplc="C54A57C2">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1E253887"/>
    <w:multiLevelType w:val="hybridMultilevel"/>
    <w:tmpl w:val="497EC7CC"/>
    <w:lvl w:ilvl="0" w:tplc="FAE4B376">
      <w:start w:val="1"/>
      <w:numFmt w:val="bullet"/>
      <w:pStyle w:val="ParaNoGA"/>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272F0"/>
    <w:multiLevelType w:val="hybridMultilevel"/>
    <w:tmpl w:val="2902A9E0"/>
    <w:lvl w:ilvl="0" w:tplc="7E0ACF3E">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pStyle w:val="Bullet2GA"/>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4B2370"/>
    <w:multiLevelType w:val="hybridMultilevel"/>
    <w:tmpl w:val="401860B8"/>
    <w:lvl w:ilvl="0" w:tplc="0B725708">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E32A09"/>
    <w:multiLevelType w:val="hybridMultilevel"/>
    <w:tmpl w:val="1AAA5BDA"/>
    <w:lvl w:ilvl="0" w:tplc="35CE71A0">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1"/>
  </w:num>
  <w:num w:numId="2">
    <w:abstractNumId w:val="15"/>
  </w:num>
  <w:num w:numId="3">
    <w:abstractNumId w:val="2"/>
  </w:num>
  <w:num w:numId="4">
    <w:abstractNumId w:val="14"/>
  </w:num>
  <w:num w:numId="5">
    <w:abstractNumId w:val="11"/>
  </w:num>
  <w:num w:numId="6">
    <w:abstractNumId w:val="7"/>
  </w:num>
  <w:num w:numId="7">
    <w:abstractNumId w:val="24"/>
  </w:num>
  <w:num w:numId="8">
    <w:abstractNumId w:val="2"/>
  </w:num>
  <w:num w:numId="9">
    <w:abstractNumId w:val="14"/>
  </w:num>
  <w:num w:numId="10">
    <w:abstractNumId w:val="7"/>
  </w:num>
  <w:num w:numId="11">
    <w:abstractNumId w:val="24"/>
  </w:num>
  <w:num w:numId="12">
    <w:abstractNumId w:val="2"/>
  </w:num>
  <w:num w:numId="13">
    <w:abstractNumId w:val="14"/>
  </w:num>
  <w:num w:numId="14">
    <w:abstractNumId w:val="11"/>
  </w:num>
  <w:num w:numId="15">
    <w:abstractNumId w:val="7"/>
  </w:num>
  <w:num w:numId="16">
    <w:abstractNumId w:val="24"/>
  </w:num>
  <w:num w:numId="17">
    <w:abstractNumId w:val="5"/>
  </w:num>
  <w:num w:numId="18">
    <w:abstractNumId w:val="3"/>
  </w:num>
  <w:num w:numId="19">
    <w:abstractNumId w:val="22"/>
  </w:num>
  <w:num w:numId="20">
    <w:abstractNumId w:val="16"/>
  </w:num>
  <w:num w:numId="21">
    <w:abstractNumId w:val="1"/>
  </w:num>
  <w:num w:numId="22">
    <w:abstractNumId w:val="20"/>
  </w:num>
  <w:num w:numId="23">
    <w:abstractNumId w:val="0"/>
  </w:num>
  <w:num w:numId="24">
    <w:abstractNumId w:val="12"/>
  </w:num>
  <w:num w:numId="25">
    <w:abstractNumId w:val="20"/>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9"/>
  </w:num>
  <w:num w:numId="31">
    <w:abstractNumId w:val="8"/>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8"/>
  </w:num>
  <w:num w:numId="33">
    <w:abstractNumId w:val="10"/>
  </w:num>
  <w:num w:numId="34">
    <w:abstractNumId w:val="6"/>
  </w:num>
  <w:num w:numId="35">
    <w:abstractNumId w:val="17"/>
  </w:num>
  <w:num w:numId="36">
    <w:abstractNumId w:val="18"/>
  </w:num>
  <w:num w:numId="37">
    <w:abstractNumId w:val="23"/>
  </w:num>
  <w:num w:numId="38">
    <w:abstractNumId w:val="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84"/>
    <w:rsid w:val="000076D5"/>
    <w:rsid w:val="00043663"/>
    <w:rsid w:val="000437B8"/>
    <w:rsid w:val="000505CF"/>
    <w:rsid w:val="000918FC"/>
    <w:rsid w:val="000D701C"/>
    <w:rsid w:val="000E2A71"/>
    <w:rsid w:val="001100FD"/>
    <w:rsid w:val="00145577"/>
    <w:rsid w:val="00160263"/>
    <w:rsid w:val="00181F96"/>
    <w:rsid w:val="00183A66"/>
    <w:rsid w:val="001872B1"/>
    <w:rsid w:val="001A1371"/>
    <w:rsid w:val="001B043F"/>
    <w:rsid w:val="001B346A"/>
    <w:rsid w:val="001E1CAD"/>
    <w:rsid w:val="001E290D"/>
    <w:rsid w:val="00211607"/>
    <w:rsid w:val="002144FA"/>
    <w:rsid w:val="0023469A"/>
    <w:rsid w:val="00243C8A"/>
    <w:rsid w:val="00267A0E"/>
    <w:rsid w:val="002901D9"/>
    <w:rsid w:val="002976C2"/>
    <w:rsid w:val="003068BC"/>
    <w:rsid w:val="003260FF"/>
    <w:rsid w:val="00343D95"/>
    <w:rsid w:val="0035251F"/>
    <w:rsid w:val="00363A18"/>
    <w:rsid w:val="00374341"/>
    <w:rsid w:val="003D1062"/>
    <w:rsid w:val="00402051"/>
    <w:rsid w:val="00420D7B"/>
    <w:rsid w:val="00450B21"/>
    <w:rsid w:val="00453B63"/>
    <w:rsid w:val="00455780"/>
    <w:rsid w:val="004B0A1C"/>
    <w:rsid w:val="004B27E0"/>
    <w:rsid w:val="004D298E"/>
    <w:rsid w:val="005044B3"/>
    <w:rsid w:val="00517BC9"/>
    <w:rsid w:val="005267A7"/>
    <w:rsid w:val="00541484"/>
    <w:rsid w:val="0054472E"/>
    <w:rsid w:val="005662A9"/>
    <w:rsid w:val="005827D4"/>
    <w:rsid w:val="0058508B"/>
    <w:rsid w:val="0059622A"/>
    <w:rsid w:val="005A7E8C"/>
    <w:rsid w:val="005B51C4"/>
    <w:rsid w:val="005C0061"/>
    <w:rsid w:val="005C5878"/>
    <w:rsid w:val="005C7CEA"/>
    <w:rsid w:val="005D3C0B"/>
    <w:rsid w:val="005E5217"/>
    <w:rsid w:val="005F0FA4"/>
    <w:rsid w:val="005F30EE"/>
    <w:rsid w:val="005F5271"/>
    <w:rsid w:val="0060473A"/>
    <w:rsid w:val="00617024"/>
    <w:rsid w:val="006243BF"/>
    <w:rsid w:val="00652221"/>
    <w:rsid w:val="00656392"/>
    <w:rsid w:val="006645EC"/>
    <w:rsid w:val="0068781D"/>
    <w:rsid w:val="006959B0"/>
    <w:rsid w:val="006A1724"/>
    <w:rsid w:val="006B3E27"/>
    <w:rsid w:val="006B6507"/>
    <w:rsid w:val="006C104C"/>
    <w:rsid w:val="00717FB3"/>
    <w:rsid w:val="007232E9"/>
    <w:rsid w:val="00733704"/>
    <w:rsid w:val="00776E8B"/>
    <w:rsid w:val="0078071A"/>
    <w:rsid w:val="00787022"/>
    <w:rsid w:val="00787E1E"/>
    <w:rsid w:val="00852A9A"/>
    <w:rsid w:val="008F49E1"/>
    <w:rsid w:val="0090370F"/>
    <w:rsid w:val="009269D2"/>
    <w:rsid w:val="00942135"/>
    <w:rsid w:val="009521B0"/>
    <w:rsid w:val="00957437"/>
    <w:rsid w:val="00982139"/>
    <w:rsid w:val="009828D2"/>
    <w:rsid w:val="009867A8"/>
    <w:rsid w:val="00991F44"/>
    <w:rsid w:val="009A0CFB"/>
    <w:rsid w:val="009A7E9F"/>
    <w:rsid w:val="009C1ED4"/>
    <w:rsid w:val="009E5018"/>
    <w:rsid w:val="00A02B73"/>
    <w:rsid w:val="00A03700"/>
    <w:rsid w:val="00A053F2"/>
    <w:rsid w:val="00A12B37"/>
    <w:rsid w:val="00A315B0"/>
    <w:rsid w:val="00A97E1F"/>
    <w:rsid w:val="00AB512E"/>
    <w:rsid w:val="00AB6758"/>
    <w:rsid w:val="00AB727F"/>
    <w:rsid w:val="00B13763"/>
    <w:rsid w:val="00B13A52"/>
    <w:rsid w:val="00B477A4"/>
    <w:rsid w:val="00B54045"/>
    <w:rsid w:val="00B63ADD"/>
    <w:rsid w:val="00B913FF"/>
    <w:rsid w:val="00BB09A0"/>
    <w:rsid w:val="00C175A6"/>
    <w:rsid w:val="00C414B0"/>
    <w:rsid w:val="00C41DCF"/>
    <w:rsid w:val="00C42AF7"/>
    <w:rsid w:val="00C438D7"/>
    <w:rsid w:val="00C62C20"/>
    <w:rsid w:val="00C81B50"/>
    <w:rsid w:val="00C902EF"/>
    <w:rsid w:val="00CB5BE6"/>
    <w:rsid w:val="00CB6622"/>
    <w:rsid w:val="00CD1801"/>
    <w:rsid w:val="00CF56F9"/>
    <w:rsid w:val="00CF65C6"/>
    <w:rsid w:val="00D00A89"/>
    <w:rsid w:val="00D10EF1"/>
    <w:rsid w:val="00D322A0"/>
    <w:rsid w:val="00D42810"/>
    <w:rsid w:val="00D60DD5"/>
    <w:rsid w:val="00D914A7"/>
    <w:rsid w:val="00DC4D4B"/>
    <w:rsid w:val="00DD13C3"/>
    <w:rsid w:val="00DD596E"/>
    <w:rsid w:val="00DD621E"/>
    <w:rsid w:val="00DE50B1"/>
    <w:rsid w:val="00DF0138"/>
    <w:rsid w:val="00DF0575"/>
    <w:rsid w:val="00E2228E"/>
    <w:rsid w:val="00E44885"/>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4ADD15"/>
  <w15:docId w15:val="{F64929BD-15D1-4E77-BFEF-851904BC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7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145577"/>
    <w:pPr>
      <w:bidi w:val="0"/>
      <w:outlineLvl w:val="0"/>
    </w:pPr>
  </w:style>
  <w:style w:type="paragraph" w:styleId="Heading2">
    <w:name w:val="heading 2"/>
    <w:basedOn w:val="Normal"/>
    <w:next w:val="Normal"/>
    <w:link w:val="Heading2Char"/>
    <w:unhideWhenUsed/>
    <w:rsid w:val="00145577"/>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145577"/>
    <w:pPr>
      <w:keepNext/>
      <w:keepLines/>
      <w:spacing w:before="200"/>
      <w:outlineLvl w:val="2"/>
    </w:pPr>
    <w:rPr>
      <w:b/>
      <w:bCs/>
      <w:color w:val="4F81BD"/>
    </w:rPr>
  </w:style>
  <w:style w:type="paragraph" w:styleId="Heading4">
    <w:name w:val="heading 4"/>
    <w:basedOn w:val="Normal"/>
    <w:next w:val="Normal"/>
    <w:link w:val="Heading4Char"/>
    <w:unhideWhenUsed/>
    <w:rsid w:val="00145577"/>
    <w:pPr>
      <w:keepNext/>
      <w:keepLines/>
      <w:spacing w:before="200"/>
      <w:outlineLvl w:val="3"/>
    </w:pPr>
    <w:rPr>
      <w:b/>
      <w:bCs/>
      <w:i/>
      <w:iCs/>
      <w:color w:val="4F81BD"/>
    </w:rPr>
  </w:style>
  <w:style w:type="paragraph" w:styleId="Heading5">
    <w:name w:val="heading 5"/>
    <w:basedOn w:val="Normal"/>
    <w:next w:val="Normal"/>
    <w:link w:val="Heading5Char"/>
    <w:unhideWhenUsed/>
    <w:rsid w:val="00145577"/>
    <w:pPr>
      <w:keepNext/>
      <w:keepLines/>
      <w:spacing w:before="200"/>
      <w:outlineLvl w:val="4"/>
    </w:pPr>
    <w:rPr>
      <w:color w:val="243F60"/>
    </w:rPr>
  </w:style>
  <w:style w:type="paragraph" w:styleId="Heading6">
    <w:name w:val="heading 6"/>
    <w:basedOn w:val="Normal"/>
    <w:next w:val="Normal"/>
    <w:link w:val="Heading6Char"/>
    <w:unhideWhenUsed/>
    <w:rsid w:val="00145577"/>
    <w:pPr>
      <w:keepNext/>
      <w:keepLines/>
      <w:spacing w:before="200"/>
      <w:outlineLvl w:val="5"/>
    </w:pPr>
    <w:rPr>
      <w:i/>
      <w:iCs/>
      <w:color w:val="243F60"/>
    </w:rPr>
  </w:style>
  <w:style w:type="paragraph" w:styleId="Heading7">
    <w:name w:val="heading 7"/>
    <w:basedOn w:val="Normal"/>
    <w:next w:val="Normal"/>
    <w:link w:val="Heading7Char"/>
    <w:unhideWhenUsed/>
    <w:rsid w:val="00145577"/>
    <w:pPr>
      <w:keepNext/>
      <w:keepLines/>
      <w:spacing w:before="200"/>
      <w:outlineLvl w:val="6"/>
    </w:pPr>
    <w:rPr>
      <w:i/>
      <w:iCs/>
      <w:color w:val="404040"/>
    </w:rPr>
  </w:style>
  <w:style w:type="paragraph" w:styleId="Heading8">
    <w:name w:val="heading 8"/>
    <w:basedOn w:val="Normal"/>
    <w:next w:val="Normal"/>
    <w:link w:val="Heading8Char"/>
    <w:unhideWhenUsed/>
    <w:rsid w:val="00145577"/>
    <w:pPr>
      <w:keepNext/>
      <w:keepLines/>
      <w:spacing w:before="200"/>
      <w:outlineLvl w:val="7"/>
    </w:pPr>
    <w:rPr>
      <w:color w:val="404040"/>
      <w:szCs w:val="20"/>
    </w:rPr>
  </w:style>
  <w:style w:type="paragraph" w:styleId="Heading9">
    <w:name w:val="heading 9"/>
    <w:basedOn w:val="Normal"/>
    <w:next w:val="Normal"/>
    <w:link w:val="Heading9Char"/>
    <w:unhideWhenUsed/>
    <w:rsid w:val="00145577"/>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45577"/>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145577"/>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145577"/>
    <w:rPr>
      <w:szCs w:val="18"/>
      <w:vertAlign w:val="superscript"/>
    </w:rPr>
  </w:style>
  <w:style w:type="paragraph" w:customStyle="1" w:styleId="HMGA">
    <w:name w:val="_ H __M_GA"/>
    <w:basedOn w:val="Normal"/>
    <w:next w:val="SingleTxtGA"/>
    <w:qFormat/>
    <w:rsid w:val="0014557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4557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4557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4557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4557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4557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4557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4557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4557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4557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4557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4557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45577"/>
    <w:pPr>
      <w:numPr>
        <w:numId w:val="4"/>
      </w:numPr>
      <w:suppressAutoHyphens/>
      <w:spacing w:after="120" w:line="360" w:lineRule="exact"/>
      <w:ind w:right="1247"/>
    </w:pPr>
    <w:rPr>
      <w:sz w:val="22"/>
      <w:lang w:eastAsia="zh-TW"/>
    </w:rPr>
  </w:style>
  <w:style w:type="paragraph" w:customStyle="1" w:styleId="ParaNoGA">
    <w:name w:val="_ParaNo._GA"/>
    <w:basedOn w:val="SingleTxtGA"/>
    <w:qFormat/>
    <w:rsid w:val="00145577"/>
    <w:pPr>
      <w:numPr>
        <w:numId w:val="5"/>
      </w:numPr>
      <w:bidi w:val="0"/>
    </w:pPr>
    <w:rPr>
      <w:sz w:val="20"/>
      <w:szCs w:val="28"/>
      <w:lang w:val="en-US"/>
    </w:rPr>
  </w:style>
  <w:style w:type="paragraph" w:customStyle="1" w:styleId="Roman1GA">
    <w:name w:val="_Roman 1_GA"/>
    <w:basedOn w:val="Bullet1GA"/>
    <w:qFormat/>
    <w:rsid w:val="00145577"/>
    <w:pPr>
      <w:numPr>
        <w:numId w:val="6"/>
      </w:numPr>
    </w:pPr>
  </w:style>
  <w:style w:type="paragraph" w:customStyle="1" w:styleId="Roman2GA">
    <w:name w:val="_Roman 2_GA"/>
    <w:basedOn w:val="Bullet2GA"/>
    <w:qFormat/>
    <w:rsid w:val="00145577"/>
    <w:pPr>
      <w:numPr>
        <w:numId w:val="7"/>
      </w:numPr>
    </w:pPr>
  </w:style>
  <w:style w:type="paragraph" w:styleId="EndnoteText">
    <w:name w:val="endnote text"/>
    <w:aliases w:val="2_ GA,2_G"/>
    <w:basedOn w:val="Normal"/>
    <w:link w:val="EndnoteTextChar"/>
    <w:qFormat/>
    <w:rsid w:val="0014557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14557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14557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45577"/>
    <w:pPr>
      <w:suppressAutoHyphens/>
      <w:bidi w:val="0"/>
      <w:spacing w:line="240" w:lineRule="auto"/>
    </w:pPr>
    <w:rPr>
      <w:sz w:val="16"/>
      <w:lang w:val="en-GB"/>
    </w:rPr>
  </w:style>
  <w:style w:type="character" w:customStyle="1" w:styleId="FooterChar">
    <w:name w:val="Footer Char"/>
    <w:aliases w:val="3_GA Char,3_G Char"/>
    <w:link w:val="Footer"/>
    <w:rsid w:val="0014557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145577"/>
    <w:pPr>
      <w:spacing w:after="60" w:line="280" w:lineRule="exact"/>
      <w:ind w:left="1247" w:right="1247" w:hanging="567"/>
    </w:pPr>
    <w:rPr>
      <w:sz w:val="18"/>
      <w:szCs w:val="18"/>
    </w:rPr>
  </w:style>
  <w:style w:type="paragraph" w:styleId="Header">
    <w:name w:val="header"/>
    <w:aliases w:val="6_GA,6_G"/>
    <w:basedOn w:val="Normal"/>
    <w:link w:val="HeaderChar"/>
    <w:qFormat/>
    <w:rsid w:val="00145577"/>
    <w:pPr>
      <w:pBdr>
        <w:bottom w:val="single" w:sz="4" w:space="4" w:color="auto"/>
      </w:pBdr>
      <w:suppressAutoHyphens/>
    </w:pPr>
    <w:rPr>
      <w:b/>
      <w:bCs/>
      <w:sz w:val="18"/>
      <w:szCs w:val="18"/>
    </w:rPr>
  </w:style>
  <w:style w:type="character" w:customStyle="1" w:styleId="HeaderChar">
    <w:name w:val="Header Char"/>
    <w:aliases w:val="6_GA Char,6_G Char"/>
    <w:link w:val="Header"/>
    <w:rsid w:val="0014557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145577"/>
    <w:rPr>
      <w:rFonts w:ascii="Times New Roman" w:eastAsia="PMingLiU" w:hAnsi="Times New Roman" w:cs="Simplified Arabic"/>
      <w:sz w:val="22"/>
      <w:szCs w:val="22"/>
      <w:lang w:val="en-GB" w:eastAsia="en-US"/>
    </w:rPr>
  </w:style>
  <w:style w:type="character" w:styleId="PageNumber">
    <w:name w:val="page number"/>
    <w:aliases w:val="7_GA,7_G"/>
    <w:qFormat/>
    <w:rsid w:val="00145577"/>
    <w:rPr>
      <w:rFonts w:ascii="Times New Roman Bold" w:hAnsi="Times New Roman Bold"/>
      <w:b/>
      <w:i w:val="0"/>
      <w:sz w:val="18"/>
      <w:szCs w:val="18"/>
    </w:rPr>
  </w:style>
  <w:style w:type="paragraph" w:customStyle="1" w:styleId="XXLargeGA">
    <w:name w:val="XXLarge_GA"/>
    <w:basedOn w:val="Normal"/>
    <w:next w:val="SingleTxtGA"/>
    <w:qFormat/>
    <w:rsid w:val="00145577"/>
    <w:pPr>
      <w:suppressAutoHyphens/>
      <w:spacing w:line="820" w:lineRule="exact"/>
    </w:pPr>
    <w:rPr>
      <w:spacing w:val="-8"/>
      <w:w w:val="96"/>
      <w:sz w:val="57"/>
      <w:szCs w:val="86"/>
      <w:lang w:val="en-GB"/>
    </w:rPr>
  </w:style>
  <w:style w:type="character" w:customStyle="1" w:styleId="Heading2Char">
    <w:name w:val="Heading 2 Char"/>
    <w:link w:val="Heading2"/>
    <w:rsid w:val="00145577"/>
    <w:rPr>
      <w:rFonts w:ascii="Times New Roman" w:eastAsia="PMingLiU" w:hAnsi="Times New Roman" w:cs="Simplified Arabic"/>
      <w:b/>
      <w:bCs/>
      <w:color w:val="4F81BD"/>
      <w:sz w:val="26"/>
      <w:szCs w:val="26"/>
      <w:lang w:eastAsia="en-US"/>
    </w:rPr>
  </w:style>
  <w:style w:type="character" w:styleId="BookTitle">
    <w:name w:val="Book Title"/>
    <w:uiPriority w:val="33"/>
    <w:rsid w:val="00145577"/>
    <w:rPr>
      <w:b/>
      <w:bCs/>
      <w:smallCaps/>
      <w:spacing w:val="5"/>
    </w:rPr>
  </w:style>
  <w:style w:type="character" w:customStyle="1" w:styleId="Heading3Char">
    <w:name w:val="Heading 3 Char"/>
    <w:link w:val="Heading3"/>
    <w:rsid w:val="00145577"/>
    <w:rPr>
      <w:rFonts w:ascii="Times New Roman" w:eastAsia="PMingLiU" w:hAnsi="Times New Roman" w:cs="Simplified Arabic"/>
      <w:b/>
      <w:bCs/>
      <w:color w:val="4F81BD"/>
      <w:szCs w:val="22"/>
      <w:lang w:eastAsia="en-US"/>
    </w:rPr>
  </w:style>
  <w:style w:type="character" w:customStyle="1" w:styleId="Heading4Char">
    <w:name w:val="Heading 4 Char"/>
    <w:link w:val="Heading4"/>
    <w:rsid w:val="00145577"/>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145577"/>
    <w:rPr>
      <w:rFonts w:ascii="Times New Roman" w:eastAsia="PMingLiU" w:hAnsi="Times New Roman" w:cs="Simplified Arabic"/>
      <w:color w:val="243F60"/>
      <w:szCs w:val="22"/>
      <w:lang w:eastAsia="en-US"/>
    </w:rPr>
  </w:style>
  <w:style w:type="character" w:customStyle="1" w:styleId="Heading6Char">
    <w:name w:val="Heading 6 Char"/>
    <w:link w:val="Heading6"/>
    <w:rsid w:val="00145577"/>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145577"/>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145577"/>
    <w:rPr>
      <w:rFonts w:ascii="Times New Roman" w:eastAsia="PMingLiU" w:hAnsi="Times New Roman" w:cs="Simplified Arabic"/>
      <w:color w:val="404040"/>
      <w:lang w:eastAsia="en-US"/>
    </w:rPr>
  </w:style>
  <w:style w:type="character" w:customStyle="1" w:styleId="Heading9Char">
    <w:name w:val="Heading 9 Char"/>
    <w:link w:val="Heading9"/>
    <w:rsid w:val="0014557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14557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4557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145577"/>
    <w:pPr>
      <w:numPr>
        <w:ilvl w:val="1"/>
      </w:numPr>
    </w:pPr>
    <w:rPr>
      <w:i/>
      <w:iCs/>
      <w:color w:val="4F81BD"/>
      <w:spacing w:val="15"/>
      <w:sz w:val="24"/>
      <w:szCs w:val="24"/>
    </w:rPr>
  </w:style>
  <w:style w:type="character" w:customStyle="1" w:styleId="SubtitleChar">
    <w:name w:val="Subtitle Char"/>
    <w:link w:val="Subtitle"/>
    <w:uiPriority w:val="11"/>
    <w:rsid w:val="00145577"/>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145577"/>
    <w:rPr>
      <w:i/>
      <w:iCs/>
      <w:color w:val="808080"/>
    </w:rPr>
  </w:style>
  <w:style w:type="table" w:styleId="ColorfulGrid-Accent6">
    <w:name w:val="Colorful Grid Accent 6"/>
    <w:basedOn w:val="TableNormal"/>
    <w:uiPriority w:val="73"/>
    <w:rsid w:val="00145577"/>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45577"/>
    <w:rPr>
      <w:i/>
      <w:iCs/>
    </w:rPr>
  </w:style>
  <w:style w:type="character" w:styleId="IntenseEmphasis">
    <w:name w:val="Intense Emphasis"/>
    <w:uiPriority w:val="21"/>
    <w:rsid w:val="00145577"/>
    <w:rPr>
      <w:b/>
      <w:bCs/>
      <w:i/>
      <w:iCs/>
      <w:color w:val="4F81BD"/>
    </w:rPr>
  </w:style>
  <w:style w:type="character" w:styleId="Strong">
    <w:name w:val="Strong"/>
    <w:uiPriority w:val="22"/>
    <w:rsid w:val="00145577"/>
    <w:rPr>
      <w:b/>
      <w:bCs/>
    </w:rPr>
  </w:style>
  <w:style w:type="paragraph" w:styleId="Quote">
    <w:name w:val="Quote"/>
    <w:basedOn w:val="Normal"/>
    <w:next w:val="Normal"/>
    <w:link w:val="QuoteChar"/>
    <w:uiPriority w:val="29"/>
    <w:rsid w:val="00145577"/>
    <w:rPr>
      <w:i/>
      <w:iCs/>
      <w:color w:val="000000"/>
    </w:rPr>
  </w:style>
  <w:style w:type="character" w:customStyle="1" w:styleId="QuoteChar">
    <w:name w:val="Quote Char"/>
    <w:link w:val="Quote"/>
    <w:uiPriority w:val="29"/>
    <w:rsid w:val="00145577"/>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14557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45577"/>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145577"/>
    <w:rPr>
      <w:smallCaps/>
      <w:color w:val="C0504D"/>
      <w:u w:val="single"/>
    </w:rPr>
  </w:style>
  <w:style w:type="character" w:styleId="IntenseReference">
    <w:name w:val="Intense Reference"/>
    <w:uiPriority w:val="32"/>
    <w:rsid w:val="00145577"/>
    <w:rPr>
      <w:b/>
      <w:bCs/>
      <w:smallCaps/>
      <w:color w:val="C0504D"/>
      <w:spacing w:val="5"/>
      <w:u w:val="single"/>
    </w:rPr>
  </w:style>
  <w:style w:type="paragraph" w:styleId="ListParagraph">
    <w:name w:val="List Paragraph"/>
    <w:basedOn w:val="Normal"/>
    <w:uiPriority w:val="34"/>
    <w:rsid w:val="00145577"/>
    <w:pPr>
      <w:ind w:left="720"/>
      <w:contextualSpacing/>
    </w:pPr>
  </w:style>
  <w:style w:type="table" w:styleId="MediumShading1-Accent4">
    <w:name w:val="Medium Shading 1 Accent 4"/>
    <w:basedOn w:val="TableNormal"/>
    <w:uiPriority w:val="63"/>
    <w:rsid w:val="00145577"/>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45577"/>
    <w:rPr>
      <w:rFonts w:eastAsia="MS Mincho"/>
      <w:sz w:val="18"/>
      <w:vertAlign w:val="superscript"/>
    </w:rPr>
  </w:style>
  <w:style w:type="table" w:styleId="TableGrid">
    <w:name w:val="Table Grid"/>
    <w:basedOn w:val="TableNormal"/>
    <w:rsid w:val="0014557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577"/>
    <w:pPr>
      <w:spacing w:line="240" w:lineRule="auto"/>
    </w:pPr>
    <w:rPr>
      <w:sz w:val="16"/>
      <w:szCs w:val="16"/>
    </w:rPr>
  </w:style>
  <w:style w:type="character" w:customStyle="1" w:styleId="BalloonTextChar">
    <w:name w:val="Balloon Text Char"/>
    <w:link w:val="BalloonText"/>
    <w:uiPriority w:val="99"/>
    <w:semiHidden/>
    <w:rsid w:val="00145577"/>
    <w:rPr>
      <w:rFonts w:ascii="Times New Roman" w:eastAsia="PMingLiU" w:hAnsi="Times New Roman" w:cs="Simplified Arabic"/>
      <w:sz w:val="16"/>
      <w:szCs w:val="16"/>
      <w:lang w:eastAsia="en-US"/>
    </w:rPr>
  </w:style>
  <w:style w:type="character" w:styleId="Hyperlink">
    <w:name w:val="Hyperlink"/>
    <w:uiPriority w:val="99"/>
    <w:unhideWhenUsed/>
    <w:rsid w:val="00145577"/>
    <w:rPr>
      <w:color w:val="0000FF"/>
      <w:u w:val="none"/>
    </w:rPr>
  </w:style>
  <w:style w:type="paragraph" w:styleId="TOC1">
    <w:name w:val="toc 1"/>
    <w:basedOn w:val="Normal"/>
    <w:link w:val="TOC1Char"/>
    <w:autoRedefine/>
    <w:uiPriority w:val="39"/>
    <w:unhideWhenUsed/>
    <w:rsid w:val="0014557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4557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4557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45577"/>
    <w:rPr>
      <w:rFonts w:eastAsia="DengXian"/>
      <w:color w:val="auto"/>
      <w:sz w:val="20"/>
      <w:szCs w:val="20"/>
      <w:u w:val="none"/>
      <w:lang w:eastAsia="zh-CN" w:bidi="ar-EG"/>
    </w:rPr>
  </w:style>
  <w:style w:type="paragraph" w:styleId="TOC4">
    <w:name w:val="toc 4"/>
    <w:basedOn w:val="Normal"/>
    <w:link w:val="TOC4Char"/>
    <w:autoRedefine/>
    <w:uiPriority w:val="39"/>
    <w:unhideWhenUsed/>
    <w:rsid w:val="0014557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4557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45577"/>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45577"/>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14557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45577"/>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145577"/>
    <w:rPr>
      <w:color w:val="605E5C"/>
      <w:shd w:val="clear" w:color="auto" w:fill="E1DFDD"/>
    </w:rPr>
  </w:style>
  <w:style w:type="character" w:customStyle="1" w:styleId="TOC1Char">
    <w:name w:val="TOC 1 Char"/>
    <w:basedOn w:val="DefaultParagraphFont"/>
    <w:link w:val="TOC1"/>
    <w:uiPriority w:val="39"/>
    <w:rsid w:val="0014557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14557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14557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14557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14557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145577"/>
    <w:rPr>
      <w:rFonts w:ascii="Times New Roman" w:eastAsia="PMingLiU" w:hAnsi="Times New Roman" w:cs="Simplified Arabic"/>
      <w:lang w:val="en-GB" w:eastAsia="en-US"/>
    </w:rPr>
  </w:style>
  <w:style w:type="paragraph" w:customStyle="1" w:styleId="SessionDate">
    <w:name w:val="Session_Date"/>
    <w:basedOn w:val="Normal"/>
    <w:qFormat/>
    <w:rsid w:val="00145577"/>
    <w:pPr>
      <w:spacing w:before="240" w:after="240" w:line="460" w:lineRule="exact"/>
      <w:ind w:left="1247"/>
    </w:pPr>
    <w:rPr>
      <w:b/>
      <w:bCs/>
      <w:sz w:val="32"/>
      <w:szCs w:val="44"/>
    </w:rPr>
  </w:style>
  <w:style w:type="paragraph" w:customStyle="1" w:styleId="SessionNumber">
    <w:name w:val="Session_Number"/>
    <w:basedOn w:val="Normal"/>
    <w:qFormat/>
    <w:rsid w:val="00145577"/>
    <w:pPr>
      <w:spacing w:line="480" w:lineRule="exact"/>
      <w:ind w:left="1247"/>
    </w:pPr>
    <w:rPr>
      <w:b/>
      <w:bCs/>
      <w:sz w:val="28"/>
      <w:szCs w:val="38"/>
    </w:rPr>
  </w:style>
  <w:style w:type="paragraph" w:customStyle="1" w:styleId="CityandYear">
    <w:name w:val="City and Year"/>
    <w:basedOn w:val="SingleTxtGA"/>
    <w:qFormat/>
    <w:rsid w:val="00145577"/>
    <w:pPr>
      <w:spacing w:line="480" w:lineRule="exact"/>
    </w:pPr>
    <w:rPr>
      <w:b/>
      <w:bCs/>
      <w:sz w:val="30"/>
      <w:szCs w:val="38"/>
      <w:lang w:eastAsia="ar-SA"/>
    </w:rPr>
  </w:style>
  <w:style w:type="paragraph" w:customStyle="1" w:styleId="NormalA">
    <w:name w:val="Normal_A"/>
    <w:basedOn w:val="Normal"/>
    <w:qFormat/>
    <w:rsid w:val="00145577"/>
  </w:style>
  <w:style w:type="paragraph" w:customStyle="1" w:styleId="H1G">
    <w:name w:val="_ H_1_G"/>
    <w:basedOn w:val="Normal"/>
    <w:next w:val="Normal"/>
    <w:qFormat/>
    <w:rsid w:val="00145577"/>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145577"/>
    <w:pPr>
      <w:suppressAutoHyphens/>
      <w:bidi w:val="0"/>
      <w:spacing w:after="120"/>
      <w:ind w:left="1134" w:right="1134"/>
      <w:jc w:val="both"/>
    </w:pPr>
    <w:rPr>
      <w:szCs w:val="20"/>
      <w:lang w:val="en-GB"/>
    </w:rPr>
  </w:style>
  <w:style w:type="paragraph" w:customStyle="1" w:styleId="HChG">
    <w:name w:val="_ H _Ch_G"/>
    <w:basedOn w:val="Normal"/>
    <w:next w:val="Normal"/>
    <w:qFormat/>
    <w:rsid w:val="00145577"/>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145577"/>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45577"/>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4557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45577"/>
    <w:rPr>
      <w:sz w:val="44"/>
      <w:szCs w:val="44"/>
      <w:lang w:val="en-US" w:bidi="ar-DZ"/>
    </w:rPr>
  </w:style>
  <w:style w:type="paragraph" w:customStyle="1" w:styleId="FootnoteGA0">
    <w:name w:val="Footnote_GA"/>
    <w:basedOn w:val="Normal"/>
    <w:qFormat/>
    <w:rsid w:val="00145577"/>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45577"/>
    <w:pPr>
      <w:keepNext/>
      <w:keepLines/>
      <w:spacing w:after="120" w:line="400" w:lineRule="exact"/>
      <w:outlineLvl w:val="0"/>
    </w:pPr>
    <w:rPr>
      <w:b/>
      <w:bCs/>
      <w:kern w:val="14"/>
      <w:sz w:val="24"/>
      <w:szCs w:val="32"/>
    </w:rPr>
  </w:style>
  <w:style w:type="paragraph" w:customStyle="1" w:styleId="HCh">
    <w:name w:val="_ H _Ch"/>
    <w:basedOn w:val="H1"/>
    <w:next w:val="SingleTxt"/>
    <w:qFormat/>
    <w:rsid w:val="00145577"/>
    <w:pPr>
      <w:spacing w:line="440" w:lineRule="exact"/>
    </w:pPr>
    <w:rPr>
      <w:spacing w:val="-2"/>
      <w:sz w:val="28"/>
      <w:szCs w:val="36"/>
    </w:rPr>
  </w:style>
  <w:style w:type="character" w:styleId="CommentReference">
    <w:name w:val="annotation reference"/>
    <w:uiPriority w:val="99"/>
    <w:semiHidden/>
    <w:rsid w:val="00145577"/>
    <w:rPr>
      <w:sz w:val="6"/>
      <w:szCs w:val="9"/>
    </w:rPr>
  </w:style>
  <w:style w:type="paragraph" w:customStyle="1" w:styleId="HM">
    <w:name w:val="_ H __M"/>
    <w:basedOn w:val="HCh"/>
    <w:next w:val="Normal"/>
    <w:qFormat/>
    <w:rsid w:val="00145577"/>
    <w:pPr>
      <w:suppressAutoHyphens/>
      <w:spacing w:line="520" w:lineRule="exact"/>
    </w:pPr>
    <w:rPr>
      <w:spacing w:val="-3"/>
      <w:sz w:val="34"/>
      <w:szCs w:val="48"/>
    </w:rPr>
  </w:style>
  <w:style w:type="paragraph" w:customStyle="1" w:styleId="SingleTxt">
    <w:name w:val="__Single Txt"/>
    <w:basedOn w:val="Normal"/>
    <w:qFormat/>
    <w:rsid w:val="00145577"/>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45577"/>
    <w:pPr>
      <w:suppressAutoHyphens/>
      <w:spacing w:line="360" w:lineRule="exact"/>
      <w:outlineLvl w:val="1"/>
    </w:pPr>
    <w:rPr>
      <w:spacing w:val="2"/>
      <w:sz w:val="20"/>
      <w:szCs w:val="28"/>
    </w:rPr>
  </w:style>
  <w:style w:type="paragraph" w:customStyle="1" w:styleId="H4">
    <w:name w:val="_ H_4"/>
    <w:basedOn w:val="Normal"/>
    <w:next w:val="Normal"/>
    <w:qFormat/>
    <w:rsid w:val="00145577"/>
    <w:pPr>
      <w:keepNext/>
      <w:keepLines/>
      <w:spacing w:after="120" w:line="360" w:lineRule="exact"/>
      <w:outlineLvl w:val="3"/>
    </w:pPr>
    <w:rPr>
      <w:i/>
      <w:iCs/>
      <w:kern w:val="14"/>
      <w:szCs w:val="28"/>
    </w:rPr>
  </w:style>
  <w:style w:type="paragraph" w:customStyle="1" w:styleId="H56">
    <w:name w:val="_ H_5/6"/>
    <w:basedOn w:val="Normal"/>
    <w:next w:val="Normal"/>
    <w:qFormat/>
    <w:rsid w:val="00145577"/>
    <w:pPr>
      <w:keepNext/>
      <w:keepLines/>
      <w:spacing w:after="120" w:line="360" w:lineRule="exact"/>
      <w:outlineLvl w:val="4"/>
    </w:pPr>
    <w:rPr>
      <w:kern w:val="14"/>
      <w:szCs w:val="28"/>
    </w:rPr>
  </w:style>
  <w:style w:type="paragraph" w:customStyle="1" w:styleId="DualTxt">
    <w:name w:val="__Dual Txt"/>
    <w:basedOn w:val="Normal"/>
    <w:qFormat/>
    <w:rsid w:val="00145577"/>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45577"/>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45577"/>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45577"/>
    <w:pPr>
      <w:spacing w:after="120" w:line="440" w:lineRule="exact"/>
      <w:jc w:val="center"/>
    </w:pPr>
    <w:rPr>
      <w:b/>
      <w:bCs/>
      <w:sz w:val="25"/>
      <w:szCs w:val="38"/>
    </w:rPr>
  </w:style>
  <w:style w:type="paragraph" w:customStyle="1" w:styleId="JH1">
    <w:name w:val="J_H_1"/>
    <w:basedOn w:val="JCH"/>
    <w:qFormat/>
    <w:rsid w:val="00145577"/>
    <w:pPr>
      <w:spacing w:line="420" w:lineRule="exact"/>
    </w:pPr>
    <w:rPr>
      <w:sz w:val="23"/>
      <w:szCs w:val="34"/>
    </w:rPr>
  </w:style>
  <w:style w:type="paragraph" w:customStyle="1" w:styleId="JH2">
    <w:name w:val="J_H_2"/>
    <w:basedOn w:val="JH1"/>
    <w:qFormat/>
    <w:rsid w:val="00145577"/>
    <w:pPr>
      <w:spacing w:line="400" w:lineRule="exact"/>
    </w:pPr>
    <w:rPr>
      <w:sz w:val="20"/>
      <w:szCs w:val="30"/>
    </w:rPr>
  </w:style>
  <w:style w:type="paragraph" w:customStyle="1" w:styleId="JSmall">
    <w:name w:val="J_Small"/>
    <w:basedOn w:val="JSingleTxt"/>
    <w:next w:val="JSingleTxt"/>
    <w:qFormat/>
    <w:rsid w:val="00145577"/>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45577"/>
    <w:pPr>
      <w:tabs>
        <w:tab w:val="right" w:leader="dot" w:pos="360"/>
      </w:tabs>
      <w:spacing w:line="310" w:lineRule="exact"/>
      <w:jc w:val="right"/>
    </w:pPr>
    <w:rPr>
      <w:spacing w:val="5"/>
      <w:w w:val="104"/>
      <w:kern w:val="14"/>
      <w:sz w:val="17"/>
      <w:szCs w:val="25"/>
    </w:rPr>
  </w:style>
  <w:style w:type="character" w:styleId="LineNumber">
    <w:name w:val="line number"/>
    <w:qFormat/>
    <w:rsid w:val="00145577"/>
    <w:rPr>
      <w:sz w:val="14"/>
      <w:szCs w:val="16"/>
    </w:rPr>
  </w:style>
  <w:style w:type="paragraph" w:customStyle="1" w:styleId="SmallX">
    <w:name w:val="SmallX"/>
    <w:basedOn w:val="Small"/>
    <w:next w:val="Normal"/>
    <w:qFormat/>
    <w:rsid w:val="00145577"/>
    <w:pPr>
      <w:spacing w:line="240" w:lineRule="exact"/>
    </w:pPr>
    <w:rPr>
      <w:spacing w:val="6"/>
      <w:w w:val="106"/>
      <w:sz w:val="14"/>
      <w:szCs w:val="21"/>
    </w:rPr>
  </w:style>
  <w:style w:type="paragraph" w:customStyle="1" w:styleId="XLarge">
    <w:name w:val="XLarge"/>
    <w:basedOn w:val="HM"/>
    <w:qFormat/>
    <w:rsid w:val="00145577"/>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45577"/>
    <w:pPr>
      <w:spacing w:line="820" w:lineRule="exact"/>
    </w:pPr>
    <w:rPr>
      <w:spacing w:val="-8"/>
      <w:w w:val="96"/>
      <w:sz w:val="57"/>
      <w:szCs w:val="86"/>
    </w:rPr>
  </w:style>
  <w:style w:type="paragraph" w:customStyle="1" w:styleId="Distribution">
    <w:name w:val="Distribution"/>
    <w:basedOn w:val="Normal"/>
    <w:next w:val="Normal"/>
    <w:qFormat/>
    <w:rsid w:val="00145577"/>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45577"/>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45577"/>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45577"/>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145577"/>
    <w:pPr>
      <w:tabs>
        <w:tab w:val="left" w:pos="662"/>
        <w:tab w:val="left" w:pos="1267"/>
        <w:tab w:val="left" w:pos="1987"/>
        <w:tab w:val="left" w:pos="2650"/>
      </w:tabs>
      <w:spacing w:after="0"/>
      <w:ind w:left="662" w:hanging="662"/>
    </w:pPr>
  </w:style>
  <w:style w:type="paragraph" w:customStyle="1" w:styleId="Committee">
    <w:name w:val="Committee"/>
    <w:basedOn w:val="H1"/>
    <w:qFormat/>
    <w:rsid w:val="00145577"/>
    <w:pPr>
      <w:tabs>
        <w:tab w:val="left" w:pos="662"/>
        <w:tab w:val="left" w:pos="1267"/>
        <w:tab w:val="left" w:pos="1987"/>
        <w:tab w:val="left" w:pos="2650"/>
      </w:tabs>
      <w:ind w:right="1264"/>
    </w:pPr>
  </w:style>
  <w:style w:type="paragraph" w:customStyle="1" w:styleId="AgendaItemNormal">
    <w:name w:val="Agenda_Item_Normal"/>
    <w:next w:val="Normal"/>
    <w:qFormat/>
    <w:rsid w:val="00145577"/>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145577"/>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45577"/>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45577"/>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45577"/>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45577"/>
    <w:rPr>
      <w:i w:val="0"/>
      <w:color w:val="0000FF"/>
      <w:u w:val="none"/>
    </w:rPr>
  </w:style>
  <w:style w:type="paragraph" w:customStyle="1" w:styleId="Bullet1">
    <w:name w:val="Bullet 1"/>
    <w:basedOn w:val="Normal"/>
    <w:qFormat/>
    <w:rsid w:val="00145577"/>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45577"/>
    <w:pPr>
      <w:numPr>
        <w:numId w:val="19"/>
      </w:numPr>
      <w:spacing w:after="120" w:line="360" w:lineRule="exact"/>
      <w:ind w:right="1264"/>
    </w:pPr>
    <w:rPr>
      <w:kern w:val="14"/>
      <w:szCs w:val="28"/>
    </w:rPr>
  </w:style>
  <w:style w:type="paragraph" w:customStyle="1" w:styleId="Bullet3">
    <w:name w:val="Bullet 3"/>
    <w:basedOn w:val="SingleTxt"/>
    <w:qFormat/>
    <w:rsid w:val="00145577"/>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45577"/>
    <w:pPr>
      <w:ind w:right="5760"/>
      <w:outlineLvl w:val="1"/>
    </w:pPr>
    <w:rPr>
      <w:spacing w:val="2"/>
      <w:sz w:val="20"/>
      <w:szCs w:val="28"/>
    </w:rPr>
  </w:style>
  <w:style w:type="paragraph" w:customStyle="1" w:styleId="STitleM">
    <w:name w:val="S_Title_M"/>
    <w:basedOn w:val="Normal"/>
    <w:next w:val="Normal"/>
    <w:qFormat/>
    <w:rsid w:val="00145577"/>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45577"/>
    <w:pPr>
      <w:spacing w:line="600" w:lineRule="exact"/>
      <w:ind w:left="1267" w:right="1267"/>
    </w:pPr>
    <w:rPr>
      <w:w w:val="103"/>
      <w:sz w:val="60"/>
      <w:szCs w:val="60"/>
    </w:rPr>
  </w:style>
  <w:style w:type="paragraph" w:customStyle="1" w:styleId="STitleL">
    <w:name w:val="S_Title_L"/>
    <w:basedOn w:val="XLarge"/>
    <w:next w:val="Normal"/>
    <w:qFormat/>
    <w:rsid w:val="00145577"/>
    <w:rPr>
      <w:spacing w:val="-8"/>
      <w:w w:val="96"/>
      <w:sz w:val="57"/>
    </w:rPr>
  </w:style>
  <w:style w:type="paragraph" w:styleId="CommentText">
    <w:name w:val="annotation text"/>
    <w:basedOn w:val="Normal"/>
    <w:link w:val="CommentTextChar"/>
    <w:uiPriority w:val="99"/>
    <w:semiHidden/>
    <w:unhideWhenUsed/>
    <w:rsid w:val="00145577"/>
    <w:pPr>
      <w:spacing w:line="240" w:lineRule="auto"/>
    </w:pPr>
    <w:rPr>
      <w:kern w:val="14"/>
    </w:rPr>
  </w:style>
  <w:style w:type="character" w:customStyle="1" w:styleId="CommentTextChar">
    <w:name w:val="Comment Text Char"/>
    <w:basedOn w:val="DefaultParagraphFont"/>
    <w:link w:val="CommentText"/>
    <w:uiPriority w:val="99"/>
    <w:semiHidden/>
    <w:rsid w:val="00145577"/>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145577"/>
    <w:rPr>
      <w:b/>
      <w:bCs/>
    </w:rPr>
  </w:style>
  <w:style w:type="character" w:customStyle="1" w:styleId="CommentSubjectChar">
    <w:name w:val="Comment Subject Char"/>
    <w:basedOn w:val="CommentTextChar"/>
    <w:link w:val="CommentSubject"/>
    <w:uiPriority w:val="99"/>
    <w:semiHidden/>
    <w:rsid w:val="00145577"/>
    <w:rPr>
      <w:rFonts w:ascii="Times New Roman" w:eastAsia="PMingLiU" w:hAnsi="Times New Roman" w:cs="Simplified Arabic"/>
      <w:b/>
      <w:bCs/>
      <w:kern w:val="14"/>
      <w:szCs w:val="22"/>
      <w:lang w:eastAsia="en-US"/>
    </w:rPr>
  </w:style>
  <w:style w:type="paragraph" w:customStyle="1" w:styleId="Bullet1G">
    <w:name w:val="_Bullet 1_G"/>
    <w:basedOn w:val="Normal"/>
    <w:qFormat/>
    <w:rsid w:val="00145577"/>
    <w:pPr>
      <w:numPr>
        <w:numId w:val="21"/>
      </w:numPr>
      <w:bidi w:val="0"/>
      <w:spacing w:after="120"/>
      <w:ind w:right="1134"/>
      <w:jc w:val="both"/>
    </w:pPr>
    <w:rPr>
      <w:sz w:val="22"/>
    </w:rPr>
  </w:style>
  <w:style w:type="character" w:customStyle="1" w:styleId="SingleTxtGChar">
    <w:name w:val="_ Single Txt_G Char"/>
    <w:link w:val="SingleTxtG"/>
    <w:rsid w:val="00145577"/>
    <w:rPr>
      <w:rFonts w:ascii="Times New Roman" w:eastAsia="PMingLiU" w:hAnsi="Times New Roman" w:cs="Simplified Arabic"/>
      <w:lang w:val="en-GB" w:eastAsia="en-US"/>
    </w:rPr>
  </w:style>
  <w:style w:type="paragraph" w:customStyle="1" w:styleId="Preparedby">
    <w:name w:val="Prepared by:"/>
    <w:basedOn w:val="H23GA"/>
    <w:qFormat/>
    <w:rsid w:val="00145577"/>
    <w:rPr>
      <w:sz w:val="32"/>
      <w:szCs w:val="32"/>
    </w:rPr>
  </w:style>
  <w:style w:type="paragraph" w:customStyle="1" w:styleId="ParaNoG">
    <w:name w:val="_ParaNo._G"/>
    <w:basedOn w:val="SingleTxtG"/>
    <w:rsid w:val="00145577"/>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145577"/>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45577"/>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45577"/>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45577"/>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45577"/>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45577"/>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45577"/>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45577"/>
    <w:rPr>
      <w:rFonts w:asciiTheme="minorHAnsi" w:eastAsiaTheme="minorEastAsia" w:hAnsiTheme="minorHAnsi" w:cstheme="minorBidi"/>
      <w:sz w:val="24"/>
      <w:szCs w:val="24"/>
      <w:lang w:val="fr-FR" w:eastAsia="fr-FR"/>
    </w:rPr>
  </w:style>
  <w:style w:type="paragraph" w:customStyle="1" w:styleId="Default">
    <w:name w:val="Default"/>
    <w:semiHidden/>
    <w:rsid w:val="00145577"/>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45577"/>
  </w:style>
  <w:style w:type="character" w:customStyle="1" w:styleId="preferred">
    <w:name w:val="preferred"/>
    <w:basedOn w:val="DefaultParagraphFont"/>
    <w:rsid w:val="00145577"/>
  </w:style>
  <w:style w:type="character" w:customStyle="1" w:styleId="admitted">
    <w:name w:val="admitted"/>
    <w:basedOn w:val="DefaultParagraphFont"/>
    <w:rsid w:val="00145577"/>
  </w:style>
  <w:style w:type="numbering" w:styleId="111111">
    <w:name w:val="Outline List 2"/>
    <w:basedOn w:val="NoList"/>
    <w:semiHidden/>
    <w:rsid w:val="00211607"/>
    <w:pPr>
      <w:numPr>
        <w:numId w:val="39"/>
      </w:numPr>
    </w:pPr>
  </w:style>
  <w:style w:type="numbering" w:styleId="1ai">
    <w:name w:val="Outline List 1"/>
    <w:basedOn w:val="NoList"/>
    <w:semiHidden/>
    <w:rsid w:val="00211607"/>
    <w:pPr>
      <w:numPr>
        <w:numId w:val="37"/>
      </w:numPr>
    </w:pPr>
  </w:style>
  <w:style w:type="character" w:customStyle="1" w:styleId="tokenscreated">
    <w:name w:val="tokens_created"/>
    <w:basedOn w:val="DefaultParagraphFont"/>
    <w:rsid w:val="00211607"/>
  </w:style>
  <w:style w:type="character" w:customStyle="1" w:styleId="tokencreated">
    <w:name w:val="token_created"/>
    <w:basedOn w:val="DefaultParagraphFont"/>
    <w:rsid w:val="0021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E3C2B-CADB-4A0C-A2C4-0CAE051E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8083</Words>
  <Characters>39205</Characters>
  <Application>Microsoft Office Word</Application>
  <DocSecurity>0</DocSecurity>
  <Lines>576</Lines>
  <Paragraphs>127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CCPR/C/129/D/2741/2016</vt:lpstr>
      <vt:lpstr>    قرار اعتمدته اللجنة بموجب البروتوكول الاختياري بشأن البلاغ رقم 2741/2016* **</vt:lpstr>
    </vt:vector>
  </TitlesOfParts>
  <Company>DCM</Company>
  <LinksUpToDate>false</LinksUpToDate>
  <CharactersWithSpaces>47161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CCPR/C/129/D/2741/2016</dc:title>
  <dc:subject>GE.</dc:subject>
  <dc:creator>Muntaha BUHNAM</dc:creator>
  <cp:keywords>ODS No.</cp:keywords>
  <dc:description>Distr.: General
8 December 2020
Arabic
Original: English</dc:description>
  <cp:lastModifiedBy>Muntaha BUHNAM</cp:lastModifiedBy>
  <cp:revision>2</cp:revision>
  <dcterms:created xsi:type="dcterms:W3CDTF">2021-02-08T15:10:00Z</dcterms:created>
  <dcterms:modified xsi:type="dcterms:W3CDTF">2021-02-08T15:10:00Z</dcterms:modified>
  <cp:category>Finale</cp:category>
</cp:coreProperties>
</file>