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927418"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927418" w:rsidP="00E869E1">
            <w:pPr>
              <w:bidi w:val="0"/>
              <w:spacing w:after="20"/>
              <w:jc w:val="left"/>
              <w:rPr>
                <w:szCs w:val="20"/>
              </w:rPr>
            </w:pPr>
            <w:r w:rsidRPr="00927418">
              <w:rPr>
                <w:sz w:val="40"/>
                <w:szCs w:val="20"/>
              </w:rPr>
              <w:t>CCPR</w:t>
            </w:r>
            <w:r>
              <w:rPr>
                <w:szCs w:val="20"/>
              </w:rPr>
              <w:t>/C/120/D/2511/2014</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E869E1" w:rsidP="00E869E1">
            <w:pPr>
              <w:bidi w:val="0"/>
              <w:spacing w:before="240"/>
              <w:jc w:val="left"/>
              <w:rPr>
                <w:szCs w:val="20"/>
              </w:rPr>
            </w:pPr>
            <w:r>
              <w:rPr>
                <w:szCs w:val="20"/>
              </w:rPr>
              <w:t>Distr.: General</w:t>
            </w:r>
          </w:p>
          <w:p w:rsidR="00E869E1" w:rsidRDefault="00295647" w:rsidP="00E869E1">
            <w:pPr>
              <w:bidi w:val="0"/>
              <w:jc w:val="left"/>
              <w:rPr>
                <w:szCs w:val="20"/>
              </w:rPr>
            </w:pPr>
            <w:r>
              <w:rPr>
                <w:szCs w:val="20"/>
              </w:rPr>
              <w:t xml:space="preserve">5 October </w:t>
            </w:r>
            <w:r w:rsidR="00E869E1">
              <w:rPr>
                <w:szCs w:val="20"/>
              </w:rPr>
              <w:t>2017</w:t>
            </w:r>
          </w:p>
          <w:p w:rsidR="00E869E1" w:rsidRDefault="00E869E1" w:rsidP="00E869E1">
            <w:pPr>
              <w:bidi w:val="0"/>
              <w:jc w:val="left"/>
              <w:rPr>
                <w:szCs w:val="20"/>
              </w:rPr>
            </w:pPr>
            <w:r>
              <w:rPr>
                <w:szCs w:val="20"/>
              </w:rPr>
              <w:t>Arabic</w:t>
            </w:r>
          </w:p>
          <w:p w:rsidR="00E869E1" w:rsidRPr="00CB6622" w:rsidRDefault="00E869E1" w:rsidP="00E869E1">
            <w:pPr>
              <w:bidi w:val="0"/>
              <w:jc w:val="left"/>
              <w:rPr>
                <w:szCs w:val="20"/>
              </w:rPr>
            </w:pPr>
            <w:r>
              <w:rPr>
                <w:szCs w:val="20"/>
              </w:rPr>
              <w:t>Original: English</w:t>
            </w:r>
          </w:p>
        </w:tc>
      </w:tr>
    </w:tbl>
    <w:p w:rsidR="00E869E1" w:rsidRPr="00E869E1" w:rsidRDefault="00E869E1" w:rsidP="00E869E1">
      <w:pPr>
        <w:spacing w:before="120" w:after="120" w:line="380" w:lineRule="exact"/>
        <w:textDirection w:val="tbRlV"/>
        <w:rPr>
          <w:b/>
          <w:bCs/>
          <w:sz w:val="30"/>
          <w:szCs w:val="36"/>
          <w:rtl/>
          <w:lang w:eastAsia="zh-TW"/>
        </w:rPr>
      </w:pPr>
      <w:r w:rsidRPr="00E869E1">
        <w:rPr>
          <w:b/>
          <w:bCs/>
          <w:sz w:val="26"/>
          <w:szCs w:val="36"/>
          <w:rtl/>
          <w:lang w:eastAsia="zh-TW"/>
        </w:rPr>
        <w:t>اللجنة المعنية بحقوق الإنسان</w:t>
      </w:r>
    </w:p>
    <w:p w:rsidR="00E869E1" w:rsidRPr="00360A18" w:rsidRDefault="00E869E1" w:rsidP="00E869E1">
      <w:pPr>
        <w:pStyle w:val="HChGA"/>
        <w:rPr>
          <w:rtl/>
          <w:lang w:eastAsia="zh-TW"/>
        </w:rPr>
      </w:pPr>
      <w:r>
        <w:rPr>
          <w:rtl/>
          <w:lang w:eastAsia="zh-TW"/>
        </w:rPr>
        <w:tab/>
      </w:r>
      <w:r>
        <w:rPr>
          <w:rtl/>
          <w:lang w:eastAsia="zh-TW"/>
        </w:rPr>
        <w:tab/>
        <w:t>قرار</w:t>
      </w:r>
      <w:r w:rsidRPr="00360A18">
        <w:rPr>
          <w:rtl/>
          <w:lang w:eastAsia="zh-TW"/>
        </w:rPr>
        <w:t xml:space="preserve"> اعتمدته اللجنة بموجب البرو</w:t>
      </w:r>
      <w:r>
        <w:rPr>
          <w:rtl/>
          <w:lang w:eastAsia="zh-TW"/>
        </w:rPr>
        <w:t>توكول الاختياري بشأن البلاغ رقم</w:t>
      </w:r>
      <w:r>
        <w:rPr>
          <w:rFonts w:hint="cs"/>
          <w:rtl/>
          <w:lang w:eastAsia="zh-TW"/>
        </w:rPr>
        <w:t> </w:t>
      </w:r>
      <w:r>
        <w:rPr>
          <w:rtl/>
          <w:lang w:eastAsia="zh-TW"/>
        </w:rPr>
        <w:t>2511/2014</w:t>
      </w:r>
      <w:r w:rsidRPr="008C6454">
        <w:rPr>
          <w:rStyle w:val="FootnoteReference"/>
          <w:b/>
          <w:bCs w:val="0"/>
          <w:sz w:val="20"/>
          <w:vertAlign w:val="baseline"/>
          <w:rtl/>
          <w:lang w:eastAsia="zh-TW"/>
        </w:rPr>
        <w:footnoteReference w:customMarkFollows="1" w:id="1"/>
        <w:t>*</w:t>
      </w:r>
      <w:r w:rsidRPr="008C6454">
        <w:rPr>
          <w:rFonts w:hint="cs"/>
          <w:b w:val="0"/>
          <w:bCs w:val="0"/>
          <w:sz w:val="20"/>
          <w:rtl/>
          <w:lang w:eastAsia="zh-TW"/>
        </w:rPr>
        <w:t xml:space="preserve"> </w:t>
      </w:r>
      <w:r w:rsidRPr="008C6454">
        <w:rPr>
          <w:rStyle w:val="FootnoteReference"/>
          <w:b/>
          <w:bCs w:val="0"/>
          <w:sz w:val="20"/>
          <w:vertAlign w:val="baseline"/>
          <w:rtl/>
          <w:lang w:eastAsia="zh-TW"/>
        </w:rPr>
        <w:footnoteReference w:customMarkFollows="1" w:id="2"/>
        <w:t>**</w:t>
      </w:r>
    </w:p>
    <w:p w:rsidR="00E869E1" w:rsidRPr="00C75C4C" w:rsidRDefault="00E869E1" w:rsidP="00E869E1">
      <w:pPr>
        <w:pStyle w:val="SingleTxtGA"/>
        <w:tabs>
          <w:tab w:val="clear" w:pos="2608"/>
          <w:tab w:val="clear" w:pos="3289"/>
          <w:tab w:val="clear" w:pos="3969"/>
        </w:tabs>
        <w:ind w:left="1928"/>
        <w:rPr>
          <w:rtl/>
          <w:lang w:eastAsia="zh-TW"/>
        </w:rPr>
      </w:pPr>
      <w:r w:rsidRPr="00E869E1">
        <w:rPr>
          <w:i/>
          <w:iCs/>
          <w:rtl/>
          <w:lang w:eastAsia="zh-TW"/>
        </w:rPr>
        <w:t>بلاغ مقدّم من:</w:t>
      </w:r>
      <w:r>
        <w:rPr>
          <w:rtl/>
          <w:lang w:eastAsia="zh-TW"/>
        </w:rPr>
        <w:tab/>
        <w:t>س. ر.</w:t>
      </w:r>
    </w:p>
    <w:p w:rsidR="00E869E1" w:rsidRPr="00C75C4C" w:rsidRDefault="00EF5000" w:rsidP="00E869E1">
      <w:pPr>
        <w:pStyle w:val="SingleTxtGA"/>
        <w:tabs>
          <w:tab w:val="clear" w:pos="2608"/>
          <w:tab w:val="clear" w:pos="3289"/>
          <w:tab w:val="clear" w:pos="3969"/>
        </w:tabs>
        <w:ind w:left="1928"/>
        <w:rPr>
          <w:rtl/>
          <w:lang w:eastAsia="zh-TW"/>
        </w:rPr>
      </w:pPr>
      <w:dir w:val="rtl">
        <w:r w:rsidR="00E869E1" w:rsidRPr="00E869E1">
          <w:rPr>
            <w:i/>
            <w:iCs/>
            <w:rtl/>
            <w:lang w:eastAsia="zh-TW"/>
          </w:rPr>
          <w:t>الشخص المدعي أنه ضحية:</w:t>
        </w:r>
        <w:r w:rsidR="00E869E1">
          <w:rPr>
            <w:rtl/>
            <w:lang w:eastAsia="zh-TW"/>
          </w:rPr>
          <w:tab/>
          <w:t>صاحب البلاغ</w:t>
        </w:r>
        <w:r w:rsidR="00E869E1">
          <w:t>‬</w:t>
        </w:r>
        <w:r w:rsidR="00E869E1">
          <w:t>‬</w:t>
        </w:r>
        <w:r w:rsidR="00E869E1">
          <w:t>‬</w:t>
        </w:r>
        <w:r w:rsidR="00E869E1">
          <w:t>‬</w:t>
        </w:r>
        <w:r w:rsidR="00E869E1">
          <w:t>‬</w:t>
        </w:r>
        <w:r>
          <w:t>‬</w:t>
        </w:r>
      </w:dir>
    </w:p>
    <w:p w:rsidR="00E869E1" w:rsidRPr="00C75C4C" w:rsidRDefault="00E869E1" w:rsidP="00E869E1">
      <w:pPr>
        <w:pStyle w:val="SingleTxtGA"/>
        <w:tabs>
          <w:tab w:val="clear" w:pos="2608"/>
          <w:tab w:val="clear" w:pos="3289"/>
          <w:tab w:val="clear" w:pos="3969"/>
        </w:tabs>
        <w:ind w:left="1928"/>
        <w:rPr>
          <w:rtl/>
          <w:lang w:eastAsia="zh-TW" w:bidi="ar-DZ"/>
        </w:rPr>
      </w:pPr>
      <w:r w:rsidRPr="00E869E1">
        <w:rPr>
          <w:i/>
          <w:iCs/>
          <w:rtl/>
          <w:lang w:eastAsia="zh-TW"/>
        </w:rPr>
        <w:t>الدولة الطرف:</w:t>
      </w:r>
      <w:r>
        <w:rPr>
          <w:rtl/>
          <w:lang w:eastAsia="zh-TW"/>
        </w:rPr>
        <w:tab/>
      </w:r>
      <w:bookmarkStart w:id="0" w:name="_GoBack"/>
      <w:bookmarkEnd w:id="0"/>
      <w:r>
        <w:rPr>
          <w:rtl/>
          <w:lang w:eastAsia="zh-TW"/>
        </w:rPr>
        <w:t>كندا</w:t>
      </w:r>
    </w:p>
    <w:p w:rsidR="00E869E1" w:rsidRPr="00C75C4C" w:rsidRDefault="00E869E1" w:rsidP="00E869E1">
      <w:pPr>
        <w:pStyle w:val="SingleTxtGA"/>
        <w:tabs>
          <w:tab w:val="clear" w:pos="2608"/>
          <w:tab w:val="clear" w:pos="3289"/>
          <w:tab w:val="clear" w:pos="3969"/>
        </w:tabs>
        <w:ind w:left="1928"/>
        <w:rPr>
          <w:rtl/>
          <w:lang w:eastAsia="zh-TW"/>
        </w:rPr>
      </w:pPr>
      <w:r w:rsidRPr="00E869E1">
        <w:rPr>
          <w:i/>
          <w:iCs/>
          <w:rtl/>
          <w:lang w:eastAsia="zh-TW"/>
        </w:rPr>
        <w:t>تاريخ تقديم البلاغ:</w:t>
      </w:r>
      <w:r>
        <w:rPr>
          <w:rtl/>
          <w:lang w:eastAsia="zh-TW"/>
        </w:rPr>
        <w:tab/>
        <w:t>16 كانون الأول/ديسمبر 2014</w:t>
      </w:r>
    </w:p>
    <w:p w:rsidR="00E869E1" w:rsidRDefault="00E869E1" w:rsidP="00E869E1">
      <w:pPr>
        <w:pStyle w:val="SingleTxtGA"/>
        <w:tabs>
          <w:tab w:val="clear" w:pos="2608"/>
          <w:tab w:val="clear" w:pos="3289"/>
          <w:tab w:val="clear" w:pos="3969"/>
        </w:tabs>
        <w:ind w:left="1928"/>
        <w:rPr>
          <w:rtl/>
          <w:lang w:eastAsia="zh-TW" w:bidi="ar-DZ"/>
        </w:rPr>
      </w:pPr>
      <w:r w:rsidRPr="00E869E1">
        <w:rPr>
          <w:i/>
          <w:iCs/>
          <w:rtl/>
          <w:lang w:eastAsia="zh-TW"/>
        </w:rPr>
        <w:t>المسألة الموضوعية:</w:t>
      </w:r>
      <w:r>
        <w:rPr>
          <w:rtl/>
          <w:lang w:eastAsia="zh-TW"/>
        </w:rPr>
        <w:tab/>
        <w:t>الإبعاد إلى سري لانكا</w:t>
      </w:r>
    </w:p>
    <w:p w:rsidR="00E869E1" w:rsidRPr="00C75C4C" w:rsidRDefault="00E869E1" w:rsidP="00E869E1">
      <w:pPr>
        <w:pStyle w:val="SingleTxtGA"/>
        <w:rPr>
          <w:rtl/>
          <w:lang w:eastAsia="zh-TW"/>
        </w:rPr>
      </w:pPr>
      <w:r>
        <w:rPr>
          <w:rtl/>
          <w:lang w:eastAsia="zh-TW" w:bidi="ar-DZ"/>
        </w:rPr>
        <w:tab/>
        <w:t>قرّرت اللجنة في اجتماعها المعقود في 28 تموز</w:t>
      </w:r>
      <w:r>
        <w:rPr>
          <w:rtl/>
          <w:lang w:eastAsia="zh-TW"/>
        </w:rPr>
        <w:t xml:space="preserve">/يوليه 2017 وقف </w:t>
      </w:r>
      <w:r w:rsidR="008C6454">
        <w:rPr>
          <w:rtl/>
          <w:lang w:eastAsia="zh-TW"/>
        </w:rPr>
        <w:t>النظر في البلاغ رقم</w:t>
      </w:r>
      <w:r w:rsidR="008C6454">
        <w:rPr>
          <w:rFonts w:hint="cs"/>
          <w:rtl/>
          <w:lang w:eastAsia="zh-TW"/>
        </w:rPr>
        <w:t> </w:t>
      </w:r>
      <w:r>
        <w:rPr>
          <w:rtl/>
          <w:lang w:eastAsia="zh-TW"/>
        </w:rPr>
        <w:t>2511/2014 بعدما</w:t>
      </w:r>
      <w:r>
        <w:rPr>
          <w:rtl/>
          <w:lang w:eastAsia="zh-TW" w:bidi="ar-DZ"/>
        </w:rPr>
        <w:t xml:space="preserve"> أُبلغت بأن صاحب البلاغ والدولة الطرف توصلا إلى اتفاق بشأن المسألة الموضوعية التي يثيرها البلاغ وبأن صاحب البلاغ لم يعد يواجه خطر الإبعاد</w:t>
      </w:r>
      <w:r>
        <w:rPr>
          <w:rtl/>
          <w:lang w:eastAsia="zh-TW"/>
        </w:rPr>
        <w:t xml:space="preserve">. </w:t>
      </w:r>
    </w:p>
    <w:p w:rsidR="00B54045" w:rsidRPr="00E869E1" w:rsidRDefault="00E869E1" w:rsidP="00E869E1">
      <w:pPr>
        <w:spacing w:before="120"/>
        <w:jc w:val="center"/>
        <w:rPr>
          <w:u w:val="single"/>
          <w:rtl/>
        </w:rPr>
      </w:pPr>
      <w:r>
        <w:rPr>
          <w:u w:val="single"/>
          <w:rtl/>
        </w:rPr>
        <w:tab/>
      </w:r>
      <w:r>
        <w:rPr>
          <w:u w:val="single"/>
          <w:rtl/>
        </w:rPr>
        <w:tab/>
      </w:r>
      <w:r>
        <w:rPr>
          <w:u w:val="single"/>
          <w:rtl/>
        </w:rPr>
        <w:tab/>
      </w:r>
    </w:p>
    <w:sectPr w:rsidR="00B54045" w:rsidRPr="00E869E1" w:rsidSect="0092741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9B0" w:rsidRPr="002901D9" w:rsidRDefault="00DD49B0" w:rsidP="002901D9">
      <w:pPr>
        <w:spacing w:after="60" w:line="240" w:lineRule="auto"/>
        <w:rPr>
          <w:i/>
          <w:iCs/>
        </w:rPr>
      </w:pPr>
      <w:r>
        <w:rPr>
          <w:rFonts w:hint="cs"/>
          <w:i/>
          <w:iCs/>
          <w:rtl/>
        </w:rPr>
        <w:t>الحواشي</w:t>
      </w:r>
    </w:p>
  </w:endnote>
  <w:endnote w:type="continuationSeparator" w:id="0">
    <w:p w:rsidR="00DD49B0" w:rsidRDefault="00DD49B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418" w:rsidRPr="00E869E1" w:rsidRDefault="00E869E1" w:rsidP="00E869E1">
    <w:pPr>
      <w:pStyle w:val="Footer"/>
      <w:tabs>
        <w:tab w:val="right" w:pos="9598"/>
      </w:tabs>
      <w:rPr>
        <w:sz w:val="17"/>
      </w:rPr>
    </w:pPr>
    <w:r>
      <w:rPr>
        <w:sz w:val="17"/>
      </w:rPr>
      <w:t>GE.17-17497</w:t>
    </w:r>
    <w:r>
      <w:rPr>
        <w:sz w:val="17"/>
      </w:rPr>
      <w:tab/>
    </w:r>
    <w:r w:rsidRPr="00E869E1">
      <w:rPr>
        <w:b/>
        <w:sz w:val="18"/>
      </w:rPr>
      <w:fldChar w:fldCharType="begin"/>
    </w:r>
    <w:r w:rsidRPr="00E869E1">
      <w:rPr>
        <w:b/>
        <w:sz w:val="18"/>
      </w:rPr>
      <w:instrText xml:space="preserve"> PAGE  \* MERGEFORMAT </w:instrText>
    </w:r>
    <w:r w:rsidRPr="00E869E1">
      <w:rPr>
        <w:b/>
        <w:sz w:val="18"/>
      </w:rPr>
      <w:fldChar w:fldCharType="separate"/>
    </w:r>
    <w:r>
      <w:rPr>
        <w:b/>
        <w:noProof/>
        <w:sz w:val="18"/>
      </w:rPr>
      <w:t>2</w:t>
    </w:r>
    <w:r w:rsidRPr="00E869E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E869E1" w:rsidRDefault="00E869E1" w:rsidP="006959B0">
    <w:pPr>
      <w:pStyle w:val="Footer"/>
      <w:tabs>
        <w:tab w:val="right" w:pos="9599"/>
      </w:tabs>
      <w:jc w:val="left"/>
      <w:rPr>
        <w:b/>
        <w:sz w:val="18"/>
        <w:lang w:val="en-US"/>
      </w:rPr>
    </w:pPr>
    <w:r w:rsidRPr="00E869E1">
      <w:rPr>
        <w:b/>
        <w:sz w:val="18"/>
        <w:lang w:val="en-US"/>
      </w:rPr>
      <w:fldChar w:fldCharType="begin"/>
    </w:r>
    <w:r w:rsidRPr="00E869E1">
      <w:rPr>
        <w:b/>
        <w:sz w:val="18"/>
        <w:lang w:val="en-US"/>
      </w:rPr>
      <w:instrText xml:space="preserve"> PAGE  \* MERGEFORMAT </w:instrText>
    </w:r>
    <w:r w:rsidRPr="00E869E1">
      <w:rPr>
        <w:b/>
        <w:sz w:val="18"/>
        <w:lang w:val="en-US"/>
      </w:rPr>
      <w:fldChar w:fldCharType="separate"/>
    </w:r>
    <w:r>
      <w:rPr>
        <w:b/>
        <w:noProof/>
        <w:sz w:val="18"/>
        <w:lang w:val="en-US"/>
      </w:rPr>
      <w:t>3</w:t>
    </w:r>
    <w:r w:rsidRPr="00E869E1">
      <w:rPr>
        <w:b/>
        <w:sz w:val="18"/>
        <w:lang w:val="en-US"/>
      </w:rPr>
      <w:fldChar w:fldCharType="end"/>
    </w:r>
    <w:r>
      <w:rPr>
        <w:b/>
        <w:sz w:val="18"/>
        <w:lang w:val="en-US"/>
      </w:rPr>
      <w:tab/>
    </w:r>
    <w:r>
      <w:rPr>
        <w:sz w:val="17"/>
        <w:lang w:val="en-US"/>
      </w:rPr>
      <w:t>GE.17-17497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927418" w:rsidP="00982139">
    <w:pPr>
      <w:pStyle w:val="Footer"/>
      <w:spacing w:before="360"/>
      <w:jc w:val="right"/>
      <w:rPr>
        <w:sz w:val="20"/>
        <w:szCs w:val="20"/>
      </w:rPr>
    </w:pPr>
    <w:r>
      <w:rPr>
        <w:sz w:val="20"/>
        <w:szCs w:val="20"/>
      </w:rPr>
      <w:t>GE.17-17497</w:t>
    </w:r>
    <w:r w:rsidR="00DE50B1">
      <w:rPr>
        <w:noProof/>
        <w:lang w:val="en-US" w:eastAsia="zh-CN"/>
      </w:rPr>
      <w:drawing>
        <wp:anchor distT="0" distB="0" distL="114300" distR="114300" simplePos="0" relativeHeight="251664384"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927418" w:rsidRPr="00927418" w:rsidRDefault="00927418" w:rsidP="0092741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9B0" w:rsidRDefault="00DD49B0" w:rsidP="000437B8">
      <w:pPr>
        <w:pStyle w:val="Footer"/>
        <w:bidi/>
        <w:spacing w:after="80" w:line="200" w:lineRule="exact"/>
        <w:ind w:left="680"/>
      </w:pPr>
      <w:r>
        <w:rPr>
          <w:rtl/>
        </w:rPr>
        <w:t>__________</w:t>
      </w:r>
    </w:p>
  </w:footnote>
  <w:footnote w:type="continuationSeparator" w:id="0">
    <w:p w:rsidR="00DD49B0" w:rsidRDefault="00DD49B0" w:rsidP="00656392">
      <w:pPr>
        <w:spacing w:line="240" w:lineRule="auto"/>
      </w:pPr>
      <w:r>
        <w:continuationSeparator/>
      </w:r>
    </w:p>
  </w:footnote>
  <w:footnote w:id="1">
    <w:p w:rsidR="00E869E1" w:rsidRPr="00E869E1" w:rsidRDefault="00E869E1" w:rsidP="00E869E1">
      <w:pPr>
        <w:pStyle w:val="FootnoteText1"/>
        <w:rPr>
          <w:rtl/>
          <w:lang w:bidi="ar-DZ"/>
        </w:rPr>
      </w:pPr>
      <w:r>
        <w:rPr>
          <w:rtl/>
          <w:lang w:bidi="ar-DZ"/>
        </w:rPr>
        <w:t>*</w:t>
      </w:r>
      <w:r>
        <w:rPr>
          <w:rtl/>
          <w:lang w:bidi="ar-DZ"/>
        </w:rPr>
        <w:tab/>
      </w:r>
      <w:r w:rsidRPr="00E869E1">
        <w:rPr>
          <w:rtl/>
          <w:lang w:bidi="ar-DZ"/>
        </w:rPr>
        <w:t>اعتمدته اللجنة في دورتها العشرين بعد المائة (28-3 تموز/يوليه ٢٠١٧)</w:t>
      </w:r>
      <w:r>
        <w:rPr>
          <w:rFonts w:hint="cs"/>
          <w:rtl/>
          <w:lang w:bidi="ar-DZ"/>
        </w:rPr>
        <w:t xml:space="preserve">. </w:t>
      </w:r>
    </w:p>
  </w:footnote>
  <w:footnote w:id="2">
    <w:p w:rsidR="00E869E1" w:rsidRPr="00E869E1" w:rsidRDefault="00E869E1" w:rsidP="00E869E1">
      <w:pPr>
        <w:pStyle w:val="FootnoteText1"/>
        <w:rPr>
          <w:lang w:bidi="ar-DZ"/>
        </w:rPr>
      </w:pPr>
      <w:r>
        <w:rPr>
          <w:rtl/>
          <w:lang w:bidi="ar-DZ"/>
        </w:rPr>
        <w:t>**</w:t>
      </w:r>
      <w:r>
        <w:rPr>
          <w:rtl/>
          <w:lang w:bidi="ar-DZ"/>
        </w:rPr>
        <w:tab/>
      </w:r>
      <w:r w:rsidRPr="00E869E1">
        <w:rPr>
          <w:rtl/>
          <w:lang w:bidi="ar-DZ"/>
        </w:rPr>
        <w:t xml:space="preserve">شارك أعضاء اللجنة التالية أسماؤهم في دراسة هذا البلاغ: السيدة تانيا ماريا عبدو </w:t>
      </w:r>
      <w:proofErr w:type="spellStart"/>
      <w:r w:rsidRPr="00E869E1">
        <w:rPr>
          <w:rtl/>
          <w:lang w:bidi="ar-DZ"/>
        </w:rPr>
        <w:t>روشول</w:t>
      </w:r>
      <w:proofErr w:type="spellEnd"/>
      <w:r w:rsidRPr="00E869E1">
        <w:rPr>
          <w:rtl/>
          <w:lang w:bidi="ar-DZ"/>
        </w:rPr>
        <w:t xml:space="preserve">، والسيد عياض بن عاشور، والسيدة </w:t>
      </w:r>
      <w:proofErr w:type="spellStart"/>
      <w:r w:rsidRPr="00E869E1">
        <w:rPr>
          <w:rtl/>
          <w:lang w:bidi="ar-DZ"/>
        </w:rPr>
        <w:t>إلزي</w:t>
      </w:r>
      <w:proofErr w:type="spellEnd"/>
      <w:r w:rsidRPr="00E869E1">
        <w:rPr>
          <w:rtl/>
          <w:lang w:bidi="ar-DZ"/>
        </w:rPr>
        <w:t xml:space="preserve"> </w:t>
      </w:r>
      <w:proofErr w:type="spellStart"/>
      <w:r w:rsidRPr="00E869E1">
        <w:rPr>
          <w:rtl/>
          <w:lang w:bidi="ar-DZ"/>
        </w:rPr>
        <w:t>براندس</w:t>
      </w:r>
      <w:proofErr w:type="spellEnd"/>
      <w:r w:rsidRPr="00E869E1">
        <w:rPr>
          <w:rtl/>
          <w:lang w:bidi="ar-DZ"/>
        </w:rPr>
        <w:t xml:space="preserve"> </w:t>
      </w:r>
      <w:proofErr w:type="spellStart"/>
      <w:r w:rsidRPr="00E869E1">
        <w:rPr>
          <w:rtl/>
          <w:lang w:bidi="ar-DZ"/>
        </w:rPr>
        <w:t>كيهريس</w:t>
      </w:r>
      <w:proofErr w:type="spellEnd"/>
      <w:r w:rsidRPr="00E869E1">
        <w:rPr>
          <w:rtl/>
          <w:lang w:bidi="ar-DZ"/>
        </w:rPr>
        <w:t xml:space="preserve">، والسيدة سارة كليفلاند، والسيد أحمد أمين فتح الله، والسيد </w:t>
      </w:r>
      <w:proofErr w:type="spellStart"/>
      <w:r w:rsidRPr="00E869E1">
        <w:rPr>
          <w:rtl/>
          <w:lang w:bidi="ar-DZ"/>
        </w:rPr>
        <w:t>أوليفييه</w:t>
      </w:r>
      <w:proofErr w:type="spellEnd"/>
      <w:r w:rsidRPr="00E869E1">
        <w:rPr>
          <w:rtl/>
          <w:lang w:bidi="ar-DZ"/>
        </w:rPr>
        <w:t xml:space="preserve"> دي </w:t>
      </w:r>
      <w:proofErr w:type="spellStart"/>
      <w:r w:rsidRPr="00E869E1">
        <w:rPr>
          <w:rtl/>
          <w:lang w:bidi="ar-DZ"/>
        </w:rPr>
        <w:t>فروفيل</w:t>
      </w:r>
      <w:proofErr w:type="spellEnd"/>
      <w:r w:rsidRPr="00E869E1">
        <w:rPr>
          <w:rtl/>
          <w:lang w:bidi="ar-DZ"/>
        </w:rPr>
        <w:t>، والس</w:t>
      </w:r>
      <w:r w:rsidR="000D5157">
        <w:rPr>
          <w:rtl/>
          <w:lang w:bidi="ar-DZ"/>
        </w:rPr>
        <w:t xml:space="preserve">يد كريستوف </w:t>
      </w:r>
      <w:proofErr w:type="spellStart"/>
      <w:r w:rsidR="000D5157">
        <w:rPr>
          <w:rtl/>
          <w:lang w:bidi="ar-DZ"/>
        </w:rPr>
        <w:t>هاينس</w:t>
      </w:r>
      <w:proofErr w:type="spellEnd"/>
      <w:r w:rsidR="000D5157">
        <w:rPr>
          <w:rtl/>
          <w:lang w:bidi="ar-DZ"/>
        </w:rPr>
        <w:t xml:space="preserve">، والسيد يوجي </w:t>
      </w:r>
      <w:proofErr w:type="spellStart"/>
      <w:r w:rsidR="000D5157">
        <w:rPr>
          <w:rtl/>
          <w:lang w:bidi="ar-DZ"/>
        </w:rPr>
        <w:t>إ</w:t>
      </w:r>
      <w:r w:rsidRPr="00E869E1">
        <w:rPr>
          <w:rtl/>
          <w:lang w:bidi="ar-DZ"/>
        </w:rPr>
        <w:t>واساوا</w:t>
      </w:r>
      <w:proofErr w:type="spellEnd"/>
      <w:r w:rsidRPr="00E869E1">
        <w:rPr>
          <w:rtl/>
          <w:lang w:bidi="ar-DZ"/>
        </w:rPr>
        <w:t xml:space="preserve">، والسيد </w:t>
      </w:r>
      <w:proofErr w:type="spellStart"/>
      <w:r w:rsidRPr="00E869E1">
        <w:rPr>
          <w:rtl/>
          <w:lang w:bidi="ar-DZ"/>
        </w:rPr>
        <w:t>بامريم</w:t>
      </w:r>
      <w:proofErr w:type="spellEnd"/>
      <w:r w:rsidRPr="00E869E1">
        <w:rPr>
          <w:rtl/>
          <w:lang w:bidi="ar-DZ"/>
        </w:rPr>
        <w:t xml:space="preserve"> كويتا، والسيدة </w:t>
      </w:r>
      <w:proofErr w:type="spellStart"/>
      <w:r w:rsidRPr="00E869E1">
        <w:rPr>
          <w:rtl/>
          <w:lang w:bidi="ar-DZ"/>
        </w:rPr>
        <w:t>مارسيا</w:t>
      </w:r>
      <w:proofErr w:type="spellEnd"/>
      <w:r w:rsidRPr="00E869E1">
        <w:rPr>
          <w:rtl/>
          <w:lang w:bidi="ar-DZ"/>
        </w:rPr>
        <w:t xml:space="preserve"> ف. ج. كران، والسيد </w:t>
      </w:r>
      <w:proofErr w:type="spellStart"/>
      <w:r w:rsidRPr="00E869E1">
        <w:rPr>
          <w:rtl/>
          <w:lang w:bidi="ar-DZ"/>
        </w:rPr>
        <w:t>دنكان</w:t>
      </w:r>
      <w:proofErr w:type="spellEnd"/>
      <w:r w:rsidRPr="00E869E1">
        <w:rPr>
          <w:rtl/>
          <w:lang w:bidi="ar-DZ"/>
        </w:rPr>
        <w:t xml:space="preserve"> </w:t>
      </w:r>
      <w:proofErr w:type="spellStart"/>
      <w:r w:rsidRPr="00E869E1">
        <w:rPr>
          <w:rtl/>
          <w:lang w:bidi="ar-DZ"/>
        </w:rPr>
        <w:t>لاكي</w:t>
      </w:r>
      <w:proofErr w:type="spellEnd"/>
      <w:r w:rsidRPr="00E869E1">
        <w:rPr>
          <w:rtl/>
          <w:lang w:bidi="ar-DZ"/>
        </w:rPr>
        <w:t xml:space="preserve"> </w:t>
      </w:r>
      <w:proofErr w:type="spellStart"/>
      <w:r w:rsidRPr="00E869E1">
        <w:rPr>
          <w:rtl/>
          <w:lang w:bidi="ar-DZ"/>
        </w:rPr>
        <w:t>موهوموزا</w:t>
      </w:r>
      <w:proofErr w:type="spellEnd"/>
      <w:r w:rsidRPr="00E869E1">
        <w:rPr>
          <w:rtl/>
          <w:lang w:bidi="ar-DZ"/>
        </w:rPr>
        <w:t xml:space="preserve">، والسيدة فوتيني </w:t>
      </w:r>
      <w:proofErr w:type="spellStart"/>
      <w:r w:rsidRPr="00E869E1">
        <w:rPr>
          <w:rtl/>
          <w:lang w:bidi="ar-DZ"/>
        </w:rPr>
        <w:t>بازارتزيس</w:t>
      </w:r>
      <w:proofErr w:type="spellEnd"/>
      <w:r w:rsidRPr="00E869E1">
        <w:rPr>
          <w:rtl/>
          <w:lang w:bidi="ar-DZ"/>
        </w:rPr>
        <w:t xml:space="preserve">، والسيد </w:t>
      </w:r>
      <w:proofErr w:type="spellStart"/>
      <w:r w:rsidRPr="00E869E1">
        <w:rPr>
          <w:rtl/>
          <w:lang w:bidi="ar-DZ"/>
        </w:rPr>
        <w:t>ماورو</w:t>
      </w:r>
      <w:proofErr w:type="spellEnd"/>
      <w:r w:rsidRPr="00E869E1">
        <w:rPr>
          <w:rtl/>
          <w:lang w:bidi="ar-DZ"/>
        </w:rPr>
        <w:t xml:space="preserve"> بوليتي، والسيد خوسيه مانويل سانتوس </w:t>
      </w:r>
      <w:proofErr w:type="spellStart"/>
      <w:r w:rsidRPr="00E869E1">
        <w:rPr>
          <w:rtl/>
          <w:lang w:bidi="ar-DZ"/>
        </w:rPr>
        <w:t>باييس</w:t>
      </w:r>
      <w:proofErr w:type="spellEnd"/>
      <w:r w:rsidRPr="00E869E1">
        <w:rPr>
          <w:rtl/>
          <w:lang w:bidi="ar-DZ"/>
        </w:rPr>
        <w:t xml:space="preserve">، والسيدة أنيا </w:t>
      </w:r>
      <w:proofErr w:type="spellStart"/>
      <w:r w:rsidRPr="00E869E1">
        <w:rPr>
          <w:rtl/>
          <w:lang w:bidi="ar-DZ"/>
        </w:rPr>
        <w:t>زايبرت</w:t>
      </w:r>
      <w:proofErr w:type="spellEnd"/>
      <w:r w:rsidR="00295647">
        <w:rPr>
          <w:rFonts w:hint="cs"/>
          <w:rtl/>
          <w:lang w:bidi="ar-DZ"/>
        </w:rPr>
        <w:t xml:space="preserve"> </w:t>
      </w:r>
      <w:r w:rsidRPr="00E869E1">
        <w:rPr>
          <w:rtl/>
          <w:lang w:bidi="ar-DZ"/>
        </w:rPr>
        <w:t>-</w:t>
      </w:r>
      <w:r w:rsidR="00295647">
        <w:rPr>
          <w:rFonts w:hint="cs"/>
          <w:rtl/>
          <w:lang w:bidi="ar-DZ"/>
        </w:rPr>
        <w:t xml:space="preserve"> </w:t>
      </w:r>
      <w:r w:rsidRPr="00E869E1">
        <w:rPr>
          <w:rtl/>
          <w:lang w:bidi="ar-DZ"/>
        </w:rPr>
        <w:t xml:space="preserve">فور، والسيد يوفال </w:t>
      </w:r>
      <w:proofErr w:type="spellStart"/>
      <w:r w:rsidRPr="00E869E1">
        <w:rPr>
          <w:rtl/>
          <w:lang w:bidi="ar-DZ"/>
        </w:rPr>
        <w:t>شاني</w:t>
      </w:r>
      <w:proofErr w:type="spellEnd"/>
      <w:r w:rsidRPr="00E869E1">
        <w:rPr>
          <w:rtl/>
          <w:lang w:bidi="ar-DZ"/>
        </w:rPr>
        <w:t xml:space="preserve">، والسيدة مارغو </w:t>
      </w:r>
      <w:proofErr w:type="spellStart"/>
      <w:r w:rsidRPr="00E869E1">
        <w:rPr>
          <w:rtl/>
          <w:lang w:bidi="ar-DZ"/>
        </w:rPr>
        <w:t>واترفال</w:t>
      </w:r>
      <w:proofErr w:type="spellEnd"/>
      <w:r w:rsidRPr="00E869E1">
        <w:rPr>
          <w:rtl/>
          <w:lang w:bidi="ar-DZ"/>
        </w:rPr>
        <w:t>.</w:t>
      </w:r>
      <w:r>
        <w:rPr>
          <w:rFonts w:hint="cs"/>
          <w:rtl/>
          <w:lang w:bidi="ar-D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418" w:rsidRPr="00E869E1" w:rsidRDefault="00E869E1" w:rsidP="00E869E1">
    <w:pPr>
      <w:pStyle w:val="Header"/>
      <w:jc w:val="right"/>
    </w:pPr>
    <w:r w:rsidRPr="00E869E1">
      <w:t>CCPR/C/120/D/2511/2014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418" w:rsidRPr="00E869E1" w:rsidRDefault="00E869E1" w:rsidP="00E869E1">
    <w:pPr>
      <w:pStyle w:val="Header"/>
      <w:jc w:val="left"/>
    </w:pPr>
    <w:r w:rsidRPr="00E869E1">
      <w:t>CCPR/C/120/D/2511/2014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DD49B0"/>
    <w:rsid w:val="000076D5"/>
    <w:rsid w:val="00043663"/>
    <w:rsid w:val="000437B8"/>
    <w:rsid w:val="000505CF"/>
    <w:rsid w:val="000D5157"/>
    <w:rsid w:val="000D701C"/>
    <w:rsid w:val="000E2A71"/>
    <w:rsid w:val="00160263"/>
    <w:rsid w:val="00181F96"/>
    <w:rsid w:val="001A1371"/>
    <w:rsid w:val="001B346A"/>
    <w:rsid w:val="001E1CAD"/>
    <w:rsid w:val="001E290D"/>
    <w:rsid w:val="002144FA"/>
    <w:rsid w:val="0023469A"/>
    <w:rsid w:val="00243C8A"/>
    <w:rsid w:val="00267A0E"/>
    <w:rsid w:val="002901D9"/>
    <w:rsid w:val="00295647"/>
    <w:rsid w:val="002976C2"/>
    <w:rsid w:val="00297AE5"/>
    <w:rsid w:val="003260FF"/>
    <w:rsid w:val="00343D95"/>
    <w:rsid w:val="00363A18"/>
    <w:rsid w:val="00374341"/>
    <w:rsid w:val="003D1062"/>
    <w:rsid w:val="00420D7B"/>
    <w:rsid w:val="00450B21"/>
    <w:rsid w:val="00453B63"/>
    <w:rsid w:val="00455780"/>
    <w:rsid w:val="004B0A1C"/>
    <w:rsid w:val="004D298E"/>
    <w:rsid w:val="00517BC9"/>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87E1E"/>
    <w:rsid w:val="00852A9A"/>
    <w:rsid w:val="008C6454"/>
    <w:rsid w:val="008F49E1"/>
    <w:rsid w:val="0090370F"/>
    <w:rsid w:val="009269D2"/>
    <w:rsid w:val="00927418"/>
    <w:rsid w:val="00942135"/>
    <w:rsid w:val="009521B0"/>
    <w:rsid w:val="00982139"/>
    <w:rsid w:val="009867A8"/>
    <w:rsid w:val="009A7E9F"/>
    <w:rsid w:val="009E5018"/>
    <w:rsid w:val="00A12B37"/>
    <w:rsid w:val="00AB6758"/>
    <w:rsid w:val="00B13763"/>
    <w:rsid w:val="00B477A4"/>
    <w:rsid w:val="00B54045"/>
    <w:rsid w:val="00C438D7"/>
    <w:rsid w:val="00C81B50"/>
    <w:rsid w:val="00CB6622"/>
    <w:rsid w:val="00CD1801"/>
    <w:rsid w:val="00CF65C6"/>
    <w:rsid w:val="00D10EF1"/>
    <w:rsid w:val="00D42810"/>
    <w:rsid w:val="00D914A7"/>
    <w:rsid w:val="00DD13C3"/>
    <w:rsid w:val="00DD49B0"/>
    <w:rsid w:val="00DD596E"/>
    <w:rsid w:val="00DD621E"/>
    <w:rsid w:val="00DE50B1"/>
    <w:rsid w:val="00DF0575"/>
    <w:rsid w:val="00E70E04"/>
    <w:rsid w:val="00E869E1"/>
    <w:rsid w:val="00EC05A7"/>
    <w:rsid w:val="00EC4B6B"/>
    <w:rsid w:val="00ED7442"/>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9C80175-A50C-4D98-BA2E-71F0153F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1A1371"/>
    <w:rPr>
      <w:sz w:val="20"/>
      <w:szCs w:val="20"/>
    </w:rPr>
  </w:style>
  <w:style w:type="character" w:styleId="FootnoteReference">
    <w:name w:val="footnote reference"/>
    <w:aliases w:val="4_GA,4_G,Footnote number,ftref,Footnotes refss,Style 10,Appel note de bas de p.,referencia nota al pie,BVI fnr,Footnote text,4_Footnote text,callout,Fago Fußnotenzeichen,16 Point,Superscript 6 Point,Footnote,Footnote symbol,f"/>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E869E1"/>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SingleTxtG">
    <w:name w:val="_ Single Txt_G"/>
    <w:basedOn w:val="Normal"/>
    <w:rsid w:val="00E869E1"/>
    <w:pPr>
      <w:suppressAutoHyphens/>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4D510-15AF-40E3-8A2C-DFAE9065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CCPR/</vt:lpstr>
    </vt:vector>
  </TitlesOfParts>
  <Company>DCM</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CCPR/C/120/D/2511/2014</dc:title>
  <dc:subject>GE.1717497A</dc:subject>
  <dc:creator>IHRZ</dc:creator>
  <cp:keywords>ODS No.1729155</cp:keywords>
  <dc:description>Distribution:_x000d_
Original: English_x000d_
Date:</dc:description>
  <cp:lastModifiedBy>Admin</cp:lastModifiedBy>
  <cp:revision>2</cp:revision>
  <dcterms:created xsi:type="dcterms:W3CDTF">2017-11-07T15:59:00Z</dcterms:created>
  <dcterms:modified xsi:type="dcterms:W3CDTF">2017-11-07T15:59:00Z</dcterms:modified>
  <cp:category>Finale</cp:category>
</cp:coreProperties>
</file>