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519D9B2" w14:textId="77777777" w:rsidTr="002B7BC7">
        <w:trPr>
          <w:trHeight w:hRule="exact" w:val="851"/>
        </w:trPr>
        <w:tc>
          <w:tcPr>
            <w:tcW w:w="1276" w:type="dxa"/>
            <w:tcBorders>
              <w:bottom w:val="single" w:sz="4" w:space="0" w:color="auto"/>
            </w:tcBorders>
          </w:tcPr>
          <w:p w14:paraId="539A975C" w14:textId="77777777" w:rsidR="006F71EA" w:rsidRPr="00DB58B5" w:rsidRDefault="006F71EA" w:rsidP="005C2947"/>
        </w:tc>
        <w:tc>
          <w:tcPr>
            <w:tcW w:w="2268" w:type="dxa"/>
            <w:tcBorders>
              <w:bottom w:val="single" w:sz="4" w:space="0" w:color="auto"/>
            </w:tcBorders>
            <w:vAlign w:val="bottom"/>
          </w:tcPr>
          <w:p w14:paraId="6CAD7950"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13EA8C" w14:textId="77777777" w:rsidR="006F71EA" w:rsidRPr="00DB58B5" w:rsidRDefault="005C2947" w:rsidP="005C2947">
            <w:pPr>
              <w:jc w:val="right"/>
            </w:pPr>
            <w:r w:rsidRPr="005C2947">
              <w:rPr>
                <w:sz w:val="40"/>
              </w:rPr>
              <w:t>CCPR</w:t>
            </w:r>
            <w:r>
              <w:t>/C/128/D/2367/2014</w:t>
            </w:r>
          </w:p>
        </w:tc>
      </w:tr>
      <w:tr w:rsidR="006F71EA" w:rsidRPr="00DB58B5" w14:paraId="0D43177B" w14:textId="77777777" w:rsidTr="002B7BC7">
        <w:trPr>
          <w:trHeight w:hRule="exact" w:val="2835"/>
        </w:trPr>
        <w:tc>
          <w:tcPr>
            <w:tcW w:w="1276" w:type="dxa"/>
            <w:tcBorders>
              <w:top w:val="single" w:sz="4" w:space="0" w:color="auto"/>
              <w:bottom w:val="single" w:sz="12" w:space="0" w:color="auto"/>
            </w:tcBorders>
          </w:tcPr>
          <w:p w14:paraId="5BC15D86" w14:textId="77777777" w:rsidR="006F71EA" w:rsidRPr="00DB58B5" w:rsidRDefault="006F71EA" w:rsidP="002B7BC7">
            <w:pPr>
              <w:spacing w:before="120"/>
              <w:jc w:val="center"/>
            </w:pPr>
            <w:r>
              <w:rPr>
                <w:noProof/>
                <w:lang w:eastAsia="fr-CH"/>
              </w:rPr>
              <w:drawing>
                <wp:inline distT="0" distB="0" distL="0" distR="0" wp14:anchorId="5442FCC3" wp14:editId="28E79F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2DD20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CDFCD36" w14:textId="77777777" w:rsidR="006F71EA" w:rsidRDefault="005C2947" w:rsidP="002B7BC7">
            <w:pPr>
              <w:spacing w:before="240"/>
            </w:pPr>
            <w:proofErr w:type="spellStart"/>
            <w:r>
              <w:t>Distr</w:t>
            </w:r>
            <w:proofErr w:type="spellEnd"/>
            <w:r w:rsidR="00630811" w:rsidRPr="00630811">
              <w:t>.</w:t>
            </w:r>
            <w:r>
              <w:t xml:space="preserve"> générale</w:t>
            </w:r>
          </w:p>
          <w:p w14:paraId="00D04299" w14:textId="77777777" w:rsidR="005C2947" w:rsidRDefault="005C2947" w:rsidP="005C2947">
            <w:pPr>
              <w:spacing w:line="240" w:lineRule="exact"/>
            </w:pPr>
            <w:r>
              <w:t>14 juillet 2020</w:t>
            </w:r>
          </w:p>
          <w:p w14:paraId="5097A0FA" w14:textId="77777777" w:rsidR="005C2947" w:rsidRDefault="005C2947" w:rsidP="005C2947">
            <w:pPr>
              <w:spacing w:line="240" w:lineRule="exact"/>
            </w:pPr>
            <w:r>
              <w:t>Français</w:t>
            </w:r>
          </w:p>
          <w:p w14:paraId="640775E7" w14:textId="77777777" w:rsidR="005C2947" w:rsidRPr="00DB58B5" w:rsidRDefault="005C2947" w:rsidP="005C2947">
            <w:pPr>
              <w:spacing w:line="240" w:lineRule="exact"/>
            </w:pPr>
            <w:r>
              <w:t>Original : anglais</w:t>
            </w:r>
          </w:p>
        </w:tc>
      </w:tr>
    </w:tbl>
    <w:p w14:paraId="61E88720" w14:textId="77777777" w:rsidR="006F71EA" w:rsidRDefault="006F71EA" w:rsidP="006F71EA">
      <w:pPr>
        <w:spacing w:before="120"/>
        <w:rPr>
          <w:b/>
          <w:sz w:val="24"/>
          <w:szCs w:val="24"/>
        </w:rPr>
      </w:pPr>
      <w:r w:rsidRPr="00DF3BF1">
        <w:rPr>
          <w:b/>
          <w:sz w:val="24"/>
          <w:szCs w:val="24"/>
        </w:rPr>
        <w:t>Comité des droits de l’homme</w:t>
      </w:r>
    </w:p>
    <w:p w14:paraId="3094AE5E" w14:textId="77777777" w:rsidR="005C2947" w:rsidRPr="005C2947" w:rsidRDefault="005C2947" w:rsidP="005C2947">
      <w:pPr>
        <w:pStyle w:val="HChG"/>
        <w:rPr>
          <w:sz w:val="24"/>
          <w:szCs w:val="24"/>
        </w:rPr>
      </w:pPr>
      <w:r>
        <w:tab/>
      </w:r>
      <w:r>
        <w:tab/>
      </w:r>
      <w:r w:rsidRPr="009740C9">
        <w:t>C</w:t>
      </w:r>
      <w:r>
        <w:t>onstatations adoptées par le Comité au titre de l’article 5 (par</w:t>
      </w:r>
      <w:r w:rsidR="00630811" w:rsidRPr="00630811">
        <w:t>.</w:t>
      </w:r>
      <w:r>
        <w:t xml:space="preserve"> 4) du Protocole facultatif, concernant la c</w:t>
      </w:r>
      <w:r w:rsidRPr="009740C9">
        <w:t>ommunication n</w:t>
      </w:r>
      <w:r w:rsidRPr="009740C9">
        <w:rPr>
          <w:vertAlign w:val="superscript"/>
        </w:rPr>
        <w:t>o</w:t>
      </w:r>
      <w:r>
        <w:t> </w:t>
      </w:r>
      <w:r w:rsidRPr="009740C9">
        <w:t>2367/2014</w:t>
      </w:r>
      <w:r w:rsidRPr="005C2947">
        <w:rPr>
          <w:rStyle w:val="Appelnotedebasdep"/>
          <w:b w:val="0"/>
          <w:bCs/>
          <w:sz w:val="20"/>
          <w:vertAlign w:val="baseline"/>
        </w:rPr>
        <w:footnoteReference w:customMarkFollows="1" w:id="2"/>
        <w:t>*</w:t>
      </w:r>
      <w:r w:rsidRPr="005C2947">
        <w:rPr>
          <w:b w:val="0"/>
          <w:bCs/>
          <w:sz w:val="20"/>
          <w:vertAlign w:val="superscript"/>
        </w:rPr>
        <w:t xml:space="preserve">, </w:t>
      </w:r>
      <w:r w:rsidRPr="005C2947">
        <w:rPr>
          <w:rStyle w:val="Appelnotedebasdep"/>
          <w:b w:val="0"/>
          <w:bCs/>
          <w:sz w:val="20"/>
          <w:vertAlign w:val="baseline"/>
        </w:rPr>
        <w:footnoteReference w:customMarkFollows="1" w:id="3"/>
        <w:t>**</w:t>
      </w:r>
      <w:r w:rsidRPr="005C2947">
        <w:rPr>
          <w:b w:val="0"/>
          <w:bCs/>
          <w:sz w:val="20"/>
          <w:vertAlign w:val="superscript"/>
        </w:rPr>
        <w:t xml:space="preserve">, </w:t>
      </w:r>
      <w:r w:rsidRPr="005C2947">
        <w:rPr>
          <w:rStyle w:val="Appelnotedebasdep"/>
          <w:b w:val="0"/>
          <w:bCs/>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3083"/>
        <w:gridCol w:w="3721"/>
      </w:tblGrid>
      <w:tr w:rsidR="005C2947" w:rsidRPr="009740C9" w14:paraId="1CADE040" w14:textId="77777777" w:rsidTr="007A7681">
        <w:tc>
          <w:tcPr>
            <w:tcW w:w="3083" w:type="dxa"/>
          </w:tcPr>
          <w:p w14:paraId="52F21A86" w14:textId="77777777" w:rsidR="005C2947" w:rsidRPr="009740C9" w:rsidRDefault="005C2947" w:rsidP="00FC552B">
            <w:pPr>
              <w:pStyle w:val="SingleTxtG"/>
              <w:ind w:left="0" w:right="0"/>
              <w:jc w:val="left"/>
              <w:rPr>
                <w:i/>
              </w:rPr>
            </w:pPr>
            <w:r w:rsidRPr="009740C9">
              <w:rPr>
                <w:i/>
              </w:rPr>
              <w:t>Communication présentée par</w:t>
            </w:r>
            <w:r w:rsidRPr="009740C9">
              <w:t> :</w:t>
            </w:r>
          </w:p>
        </w:tc>
        <w:tc>
          <w:tcPr>
            <w:tcW w:w="3721" w:type="dxa"/>
          </w:tcPr>
          <w:p w14:paraId="2CF0605F" w14:textId="77777777" w:rsidR="005C2947" w:rsidRPr="009740C9" w:rsidRDefault="005C2947" w:rsidP="007A7681">
            <w:pPr>
              <w:pStyle w:val="SingleTxtG"/>
              <w:ind w:left="0" w:right="0"/>
              <w:jc w:val="left"/>
            </w:pPr>
            <w:proofErr w:type="spellStart"/>
            <w:r w:rsidRPr="009740C9">
              <w:t>Evgeny</w:t>
            </w:r>
            <w:proofErr w:type="spellEnd"/>
            <w:r w:rsidRPr="009740C9">
              <w:t xml:space="preserve"> </w:t>
            </w:r>
            <w:proofErr w:type="spellStart"/>
            <w:r w:rsidRPr="009740C9">
              <w:t>Bryukhanov</w:t>
            </w:r>
            <w:proofErr w:type="spellEnd"/>
            <w:r w:rsidRPr="009740C9">
              <w:t xml:space="preserve"> (représenté par </w:t>
            </w:r>
            <w:r w:rsidRPr="009740C9">
              <w:br/>
              <w:t xml:space="preserve">Svetlana </w:t>
            </w:r>
            <w:proofErr w:type="spellStart"/>
            <w:r w:rsidRPr="009740C9">
              <w:t>Br</w:t>
            </w:r>
            <w:r>
              <w:t>y</w:t>
            </w:r>
            <w:r w:rsidRPr="009740C9">
              <w:t>ukhanova</w:t>
            </w:r>
            <w:proofErr w:type="spellEnd"/>
            <w:r w:rsidRPr="009740C9">
              <w:t>)</w:t>
            </w:r>
          </w:p>
        </w:tc>
      </w:tr>
      <w:tr w:rsidR="005C2947" w:rsidRPr="009740C9" w14:paraId="4546EF8B" w14:textId="77777777" w:rsidTr="007A7681">
        <w:tc>
          <w:tcPr>
            <w:tcW w:w="3083" w:type="dxa"/>
          </w:tcPr>
          <w:p w14:paraId="5580B284" w14:textId="77777777" w:rsidR="005C2947" w:rsidRPr="009740C9" w:rsidRDefault="005C2947" w:rsidP="00FC552B">
            <w:pPr>
              <w:pStyle w:val="SingleTxtG"/>
              <w:ind w:left="0" w:right="0"/>
              <w:jc w:val="left"/>
              <w:rPr>
                <w:i/>
              </w:rPr>
            </w:pPr>
            <w:r>
              <w:rPr>
                <w:i/>
              </w:rPr>
              <w:t>Victime(s) présumée(s)</w:t>
            </w:r>
            <w:r w:rsidRPr="009740C9">
              <w:t> :</w:t>
            </w:r>
          </w:p>
        </w:tc>
        <w:tc>
          <w:tcPr>
            <w:tcW w:w="3721" w:type="dxa"/>
          </w:tcPr>
          <w:p w14:paraId="454D65CB" w14:textId="77777777" w:rsidR="005C2947" w:rsidRPr="009740C9" w:rsidRDefault="005C2947" w:rsidP="007A7681">
            <w:pPr>
              <w:pStyle w:val="SingleTxtG"/>
              <w:ind w:left="0" w:right="0"/>
              <w:jc w:val="left"/>
            </w:pPr>
            <w:r>
              <w:t>L’auteur</w:t>
            </w:r>
          </w:p>
        </w:tc>
      </w:tr>
      <w:tr w:rsidR="005C2947" w:rsidRPr="009740C9" w14:paraId="30D1C979" w14:textId="77777777" w:rsidTr="007A7681">
        <w:tc>
          <w:tcPr>
            <w:tcW w:w="3083" w:type="dxa"/>
          </w:tcPr>
          <w:p w14:paraId="4D607652" w14:textId="77777777" w:rsidR="005C2947" w:rsidRPr="009740C9" w:rsidRDefault="005C2947" w:rsidP="00FC552B">
            <w:pPr>
              <w:pStyle w:val="SingleTxtG"/>
              <w:ind w:left="0" w:right="0"/>
              <w:jc w:val="left"/>
              <w:rPr>
                <w:i/>
              </w:rPr>
            </w:pPr>
            <w:r w:rsidRPr="009740C9">
              <w:rPr>
                <w:i/>
              </w:rPr>
              <w:t>État partie</w:t>
            </w:r>
            <w:r w:rsidRPr="009740C9">
              <w:t> :</w:t>
            </w:r>
          </w:p>
        </w:tc>
        <w:tc>
          <w:tcPr>
            <w:tcW w:w="3721" w:type="dxa"/>
          </w:tcPr>
          <w:p w14:paraId="08A804EE" w14:textId="77777777" w:rsidR="005C2947" w:rsidRPr="009740C9" w:rsidRDefault="005C2947" w:rsidP="007A7681">
            <w:pPr>
              <w:pStyle w:val="SingleTxtG"/>
              <w:ind w:left="0" w:right="0"/>
              <w:jc w:val="left"/>
            </w:pPr>
            <w:r w:rsidRPr="009740C9">
              <w:t>Fédération de Russie</w:t>
            </w:r>
          </w:p>
        </w:tc>
      </w:tr>
      <w:tr w:rsidR="005C2947" w:rsidRPr="009740C9" w14:paraId="0A6A6E61" w14:textId="77777777" w:rsidTr="007A7681">
        <w:tc>
          <w:tcPr>
            <w:tcW w:w="3083" w:type="dxa"/>
          </w:tcPr>
          <w:p w14:paraId="7B2AE478" w14:textId="77777777" w:rsidR="005C2947" w:rsidRPr="009740C9" w:rsidRDefault="005C2947" w:rsidP="00FC552B">
            <w:pPr>
              <w:pStyle w:val="SingleTxtG"/>
              <w:ind w:left="0" w:right="0"/>
              <w:jc w:val="left"/>
              <w:rPr>
                <w:i/>
              </w:rPr>
            </w:pPr>
            <w:r w:rsidRPr="009740C9">
              <w:rPr>
                <w:i/>
              </w:rPr>
              <w:t>Date de la communication</w:t>
            </w:r>
            <w:r w:rsidRPr="009740C9">
              <w:t> :</w:t>
            </w:r>
          </w:p>
        </w:tc>
        <w:tc>
          <w:tcPr>
            <w:tcW w:w="3721" w:type="dxa"/>
          </w:tcPr>
          <w:p w14:paraId="378BD4AB" w14:textId="77777777" w:rsidR="005C2947" w:rsidRPr="009740C9" w:rsidRDefault="005C2947" w:rsidP="007A7681">
            <w:pPr>
              <w:spacing w:after="120"/>
            </w:pPr>
            <w:r w:rsidRPr="009740C9">
              <w:t>28 novembre 2013 (</w:t>
            </w:r>
            <w:r>
              <w:t xml:space="preserve">date de la </w:t>
            </w:r>
            <w:r w:rsidRPr="009740C9">
              <w:t>lettre initiale)</w:t>
            </w:r>
          </w:p>
        </w:tc>
      </w:tr>
      <w:tr w:rsidR="005C2947" w:rsidRPr="009740C9" w14:paraId="686AB73A" w14:textId="77777777" w:rsidTr="007A7681">
        <w:tc>
          <w:tcPr>
            <w:tcW w:w="3083" w:type="dxa"/>
          </w:tcPr>
          <w:p w14:paraId="301932F1" w14:textId="77777777" w:rsidR="005C2947" w:rsidRPr="009740C9" w:rsidRDefault="005C2947" w:rsidP="00FC552B">
            <w:pPr>
              <w:pStyle w:val="SingleTxtG"/>
              <w:ind w:left="0" w:right="0"/>
              <w:jc w:val="left"/>
              <w:rPr>
                <w:i/>
              </w:rPr>
            </w:pPr>
            <w:r w:rsidRPr="009740C9">
              <w:rPr>
                <w:i/>
              </w:rPr>
              <w:t>Références</w:t>
            </w:r>
            <w:r w:rsidRPr="009740C9">
              <w:t> :</w:t>
            </w:r>
          </w:p>
        </w:tc>
        <w:tc>
          <w:tcPr>
            <w:tcW w:w="3721" w:type="dxa"/>
          </w:tcPr>
          <w:p w14:paraId="51C407C3" w14:textId="77777777" w:rsidR="005C2947" w:rsidRPr="009740C9" w:rsidRDefault="005C2947" w:rsidP="007A7681">
            <w:pPr>
              <w:pStyle w:val="SingleTxtG"/>
              <w:ind w:left="0" w:right="0"/>
              <w:jc w:val="left"/>
            </w:pPr>
            <w:r w:rsidRPr="009740C9">
              <w:t>Décision prise en application de l</w:t>
            </w:r>
            <w:r>
              <w:t>’</w:t>
            </w:r>
            <w:r w:rsidRPr="009740C9">
              <w:t xml:space="preserve">article 97 du </w:t>
            </w:r>
            <w:r>
              <w:t>r</w:t>
            </w:r>
            <w:r w:rsidRPr="009740C9">
              <w:t>èglement intérieur du Comité, communiquée à l</w:t>
            </w:r>
            <w:r>
              <w:t>’</w:t>
            </w:r>
            <w:r w:rsidRPr="009740C9">
              <w:t>État partie le 25</w:t>
            </w:r>
            <w:r>
              <w:t> </w:t>
            </w:r>
            <w:r w:rsidRPr="009740C9">
              <w:t>mars 2014 (non publiée sous forme de document)</w:t>
            </w:r>
          </w:p>
        </w:tc>
      </w:tr>
      <w:tr w:rsidR="005C2947" w:rsidRPr="009740C9" w14:paraId="2E831525" w14:textId="77777777" w:rsidTr="007A7681">
        <w:tc>
          <w:tcPr>
            <w:tcW w:w="3083" w:type="dxa"/>
          </w:tcPr>
          <w:p w14:paraId="610421C8" w14:textId="77777777" w:rsidR="005C2947" w:rsidRPr="009740C9" w:rsidRDefault="005C2947" w:rsidP="00FC552B">
            <w:pPr>
              <w:pStyle w:val="SingleTxtG"/>
              <w:ind w:left="0" w:right="0"/>
              <w:jc w:val="left"/>
              <w:rPr>
                <w:i/>
              </w:rPr>
            </w:pPr>
            <w:r w:rsidRPr="009740C9">
              <w:rPr>
                <w:i/>
              </w:rPr>
              <w:t>Date des constatations</w:t>
            </w:r>
            <w:r w:rsidRPr="009740C9">
              <w:t> :</w:t>
            </w:r>
          </w:p>
        </w:tc>
        <w:tc>
          <w:tcPr>
            <w:tcW w:w="3721" w:type="dxa"/>
            <w:vAlign w:val="bottom"/>
          </w:tcPr>
          <w:p w14:paraId="7690DD34" w14:textId="77777777" w:rsidR="005C2947" w:rsidRPr="009740C9" w:rsidRDefault="005C2947" w:rsidP="007A7681">
            <w:pPr>
              <w:pStyle w:val="SingleTxtG"/>
              <w:ind w:left="0" w:right="0"/>
              <w:jc w:val="left"/>
              <w:rPr>
                <w:highlight w:val="yellow"/>
              </w:rPr>
            </w:pPr>
            <w:r>
              <w:t xml:space="preserve">12 </w:t>
            </w:r>
            <w:r w:rsidRPr="009740C9">
              <w:t xml:space="preserve"> mars 2020</w:t>
            </w:r>
          </w:p>
        </w:tc>
      </w:tr>
      <w:tr w:rsidR="005C2947" w:rsidRPr="009740C9" w14:paraId="72AA2CCC" w14:textId="77777777" w:rsidTr="007A7681">
        <w:tc>
          <w:tcPr>
            <w:tcW w:w="3083" w:type="dxa"/>
          </w:tcPr>
          <w:p w14:paraId="75CEECA7" w14:textId="77777777" w:rsidR="005C2947" w:rsidRPr="009740C9" w:rsidRDefault="005C2947" w:rsidP="00FC552B">
            <w:pPr>
              <w:pStyle w:val="SingleTxtG"/>
              <w:ind w:left="0" w:right="0"/>
              <w:jc w:val="left"/>
              <w:rPr>
                <w:i/>
              </w:rPr>
            </w:pPr>
            <w:r w:rsidRPr="009740C9">
              <w:rPr>
                <w:i/>
                <w:iCs/>
              </w:rPr>
              <w:t>Objet</w:t>
            </w:r>
            <w:r w:rsidRPr="009740C9">
              <w:rPr>
                <w:iCs/>
              </w:rPr>
              <w:t> :</w:t>
            </w:r>
          </w:p>
        </w:tc>
        <w:tc>
          <w:tcPr>
            <w:tcW w:w="3721" w:type="dxa"/>
          </w:tcPr>
          <w:p w14:paraId="1E59B60F" w14:textId="77777777" w:rsidR="005C2947" w:rsidRPr="009740C9" w:rsidRDefault="005C2947" w:rsidP="007A7681">
            <w:pPr>
              <w:spacing w:after="120"/>
            </w:pPr>
            <w:r w:rsidRPr="009740C9">
              <w:t>Détention et mauvais traitements</w:t>
            </w:r>
          </w:p>
        </w:tc>
      </w:tr>
      <w:tr w:rsidR="005C2947" w:rsidRPr="009740C9" w14:paraId="4AFA0366" w14:textId="77777777" w:rsidTr="007A7681">
        <w:tc>
          <w:tcPr>
            <w:tcW w:w="3083" w:type="dxa"/>
          </w:tcPr>
          <w:p w14:paraId="058575AA" w14:textId="77777777" w:rsidR="005C2947" w:rsidRPr="009740C9" w:rsidRDefault="005C2947" w:rsidP="00FC552B">
            <w:pPr>
              <w:pStyle w:val="SingleTxtG"/>
              <w:ind w:left="0" w:right="0"/>
              <w:jc w:val="left"/>
              <w:rPr>
                <w:i/>
                <w:iCs/>
              </w:rPr>
            </w:pPr>
            <w:r w:rsidRPr="009740C9">
              <w:rPr>
                <w:i/>
                <w:iCs/>
              </w:rPr>
              <w:t>Question(s) de procédure</w:t>
            </w:r>
            <w:r w:rsidRPr="009740C9">
              <w:t> :</w:t>
            </w:r>
          </w:p>
        </w:tc>
        <w:tc>
          <w:tcPr>
            <w:tcW w:w="3721" w:type="dxa"/>
          </w:tcPr>
          <w:p w14:paraId="6BFFAF6E" w14:textId="77777777" w:rsidR="005C2947" w:rsidRPr="009740C9" w:rsidRDefault="005C2947" w:rsidP="007A7681">
            <w:pPr>
              <w:pStyle w:val="SingleTxtG"/>
              <w:ind w:left="0" w:right="0"/>
              <w:jc w:val="left"/>
            </w:pPr>
            <w:r w:rsidRPr="009740C9">
              <w:rPr>
                <w:iCs/>
              </w:rPr>
              <w:t>Abus du droit de présenter des communications</w:t>
            </w:r>
          </w:p>
        </w:tc>
      </w:tr>
      <w:tr w:rsidR="005C2947" w:rsidRPr="009740C9" w14:paraId="7745FB84" w14:textId="77777777" w:rsidTr="007A7681">
        <w:tc>
          <w:tcPr>
            <w:tcW w:w="3083" w:type="dxa"/>
          </w:tcPr>
          <w:p w14:paraId="74614461" w14:textId="77777777" w:rsidR="005C2947" w:rsidRPr="009740C9" w:rsidRDefault="005C2947" w:rsidP="00FC552B">
            <w:pPr>
              <w:pStyle w:val="SingleTxtG"/>
              <w:keepNext/>
              <w:ind w:left="0" w:right="0"/>
              <w:jc w:val="left"/>
              <w:rPr>
                <w:i/>
                <w:iCs/>
              </w:rPr>
            </w:pPr>
            <w:r w:rsidRPr="009740C9">
              <w:rPr>
                <w:i/>
                <w:iCs/>
              </w:rPr>
              <w:t>Question(s) de fond</w:t>
            </w:r>
            <w:r w:rsidRPr="009740C9">
              <w:rPr>
                <w:iCs/>
              </w:rPr>
              <w:t> :</w:t>
            </w:r>
          </w:p>
        </w:tc>
        <w:tc>
          <w:tcPr>
            <w:tcW w:w="3721" w:type="dxa"/>
          </w:tcPr>
          <w:p w14:paraId="528945C2" w14:textId="77777777" w:rsidR="005C2947" w:rsidRPr="009740C9" w:rsidRDefault="005C2947" w:rsidP="007A7681">
            <w:pPr>
              <w:keepNext/>
              <w:spacing w:after="120"/>
            </w:pPr>
            <w:r w:rsidRPr="009740C9">
              <w:rPr>
                <w:color w:val="000000"/>
                <w:lang w:eastAsia="en-GB"/>
              </w:rPr>
              <w:t>Torture</w:t>
            </w:r>
            <w:r>
              <w:rPr>
                <w:color w:val="000000"/>
                <w:lang w:eastAsia="en-GB"/>
              </w:rPr>
              <w:t> ;</w:t>
            </w:r>
            <w:r w:rsidRPr="009740C9">
              <w:rPr>
                <w:color w:val="000000"/>
                <w:lang w:eastAsia="en-GB"/>
              </w:rPr>
              <w:t xml:space="preserve"> arrestation et détention arbitraires</w:t>
            </w:r>
            <w:r>
              <w:rPr>
                <w:color w:val="000000"/>
                <w:lang w:eastAsia="en-GB"/>
              </w:rPr>
              <w:t> ;</w:t>
            </w:r>
            <w:r w:rsidRPr="009740C9">
              <w:rPr>
                <w:color w:val="000000"/>
                <w:lang w:eastAsia="en-GB"/>
              </w:rPr>
              <w:t xml:space="preserve"> conditions de détention</w:t>
            </w:r>
            <w:r>
              <w:rPr>
                <w:color w:val="000000"/>
                <w:lang w:eastAsia="en-GB"/>
              </w:rPr>
              <w:t> ;</w:t>
            </w:r>
            <w:r w:rsidRPr="009740C9">
              <w:rPr>
                <w:color w:val="000000"/>
                <w:lang w:eastAsia="en-GB"/>
              </w:rPr>
              <w:t xml:space="preserve"> droit à un procès équitable </w:t>
            </w:r>
            <w:r>
              <w:rPr>
                <w:color w:val="000000"/>
                <w:lang w:eastAsia="en-GB"/>
              </w:rPr>
              <w:t>− </w:t>
            </w:r>
            <w:r w:rsidRPr="009740C9">
              <w:rPr>
                <w:color w:val="000000"/>
                <w:lang w:eastAsia="en-GB"/>
              </w:rPr>
              <w:t>droit d</w:t>
            </w:r>
            <w:r>
              <w:rPr>
                <w:color w:val="000000"/>
                <w:lang w:eastAsia="en-GB"/>
              </w:rPr>
              <w:t>’</w:t>
            </w:r>
            <w:r w:rsidRPr="009740C9">
              <w:rPr>
                <w:color w:val="000000"/>
                <w:lang w:eastAsia="en-GB"/>
              </w:rPr>
              <w:t>interroger les témoins, droit à l</w:t>
            </w:r>
            <w:r>
              <w:rPr>
                <w:color w:val="000000"/>
                <w:lang w:eastAsia="en-GB"/>
              </w:rPr>
              <w:t>’</w:t>
            </w:r>
            <w:r w:rsidRPr="009740C9">
              <w:rPr>
                <w:color w:val="000000"/>
                <w:lang w:eastAsia="en-GB"/>
              </w:rPr>
              <w:t>assistance d</w:t>
            </w:r>
            <w:r>
              <w:rPr>
                <w:color w:val="000000"/>
                <w:lang w:eastAsia="en-GB"/>
              </w:rPr>
              <w:t>’</w:t>
            </w:r>
            <w:r w:rsidRPr="009740C9">
              <w:rPr>
                <w:color w:val="000000"/>
                <w:lang w:eastAsia="en-GB"/>
              </w:rPr>
              <w:t>un avocat</w:t>
            </w:r>
          </w:p>
        </w:tc>
      </w:tr>
      <w:tr w:rsidR="005C2947" w:rsidRPr="009740C9" w14:paraId="1F13B10F" w14:textId="77777777" w:rsidTr="007A7681">
        <w:tc>
          <w:tcPr>
            <w:tcW w:w="3083" w:type="dxa"/>
          </w:tcPr>
          <w:p w14:paraId="52CEE133" w14:textId="77777777" w:rsidR="005C2947" w:rsidRPr="009740C9" w:rsidRDefault="005C2947" w:rsidP="00FC552B">
            <w:pPr>
              <w:pStyle w:val="SingleTxtG"/>
              <w:ind w:left="0" w:right="0"/>
              <w:jc w:val="left"/>
              <w:rPr>
                <w:i/>
                <w:iCs/>
              </w:rPr>
            </w:pPr>
            <w:r w:rsidRPr="009740C9">
              <w:rPr>
                <w:i/>
                <w:iCs/>
              </w:rPr>
              <w:t>Article(s) du Pacte</w:t>
            </w:r>
            <w:r w:rsidRPr="009740C9">
              <w:t> :</w:t>
            </w:r>
          </w:p>
        </w:tc>
        <w:tc>
          <w:tcPr>
            <w:tcW w:w="3721" w:type="dxa"/>
          </w:tcPr>
          <w:p w14:paraId="65A2513E" w14:textId="77777777" w:rsidR="005C2947" w:rsidRPr="009740C9" w:rsidRDefault="005C2947" w:rsidP="007A7681">
            <w:pPr>
              <w:pStyle w:val="SingleTxtG"/>
              <w:ind w:left="0" w:right="0"/>
              <w:jc w:val="left"/>
            </w:pPr>
            <w:r w:rsidRPr="009740C9">
              <w:t>7, 9, 10, 14 (par</w:t>
            </w:r>
            <w:r w:rsidR="00630811" w:rsidRPr="00630811">
              <w:t>.</w:t>
            </w:r>
            <w:r w:rsidRPr="009740C9">
              <w:t> 1</w:t>
            </w:r>
            <w:r>
              <w:t>,</w:t>
            </w:r>
            <w:r w:rsidRPr="009740C9">
              <w:t> 2</w:t>
            </w:r>
            <w:r>
              <w:t xml:space="preserve"> et </w:t>
            </w:r>
            <w:r w:rsidRPr="009740C9">
              <w:t>3 b), e) et g)) et 15 (par</w:t>
            </w:r>
            <w:r w:rsidR="00630811" w:rsidRPr="00630811">
              <w:t>.</w:t>
            </w:r>
            <w:r w:rsidRPr="009740C9">
              <w:t> 1)</w:t>
            </w:r>
          </w:p>
        </w:tc>
      </w:tr>
      <w:tr w:rsidR="005C2947" w:rsidRPr="009740C9" w14:paraId="59DF402F" w14:textId="77777777" w:rsidTr="007A7681">
        <w:tc>
          <w:tcPr>
            <w:tcW w:w="3083" w:type="dxa"/>
          </w:tcPr>
          <w:p w14:paraId="517C57C0" w14:textId="77777777" w:rsidR="005C2947" w:rsidRPr="009740C9" w:rsidRDefault="005C2947" w:rsidP="00FC552B">
            <w:pPr>
              <w:pStyle w:val="SingleTxtG"/>
              <w:ind w:left="0" w:right="0"/>
              <w:jc w:val="left"/>
              <w:rPr>
                <w:i/>
                <w:iCs/>
              </w:rPr>
            </w:pPr>
            <w:r w:rsidRPr="009740C9">
              <w:rPr>
                <w:i/>
                <w:iCs/>
              </w:rPr>
              <w:t>Article(s) du Protocole facultatif</w:t>
            </w:r>
            <w:r w:rsidRPr="009740C9">
              <w:rPr>
                <w:iCs/>
              </w:rPr>
              <w:t> :</w:t>
            </w:r>
          </w:p>
        </w:tc>
        <w:tc>
          <w:tcPr>
            <w:tcW w:w="3721" w:type="dxa"/>
          </w:tcPr>
          <w:p w14:paraId="2A3F4FA5" w14:textId="77777777" w:rsidR="005C2947" w:rsidRPr="009740C9" w:rsidRDefault="005C2947" w:rsidP="007A7681">
            <w:pPr>
              <w:pStyle w:val="SingleTxtG"/>
              <w:ind w:left="0" w:right="0"/>
              <w:jc w:val="left"/>
            </w:pPr>
            <w:r w:rsidRPr="009740C9">
              <w:rPr>
                <w:iCs/>
              </w:rPr>
              <w:t>2</w:t>
            </w:r>
            <w:r>
              <w:rPr>
                <w:iCs/>
              </w:rPr>
              <w:t xml:space="preserve"> et</w:t>
            </w:r>
            <w:r w:rsidRPr="009740C9">
              <w:rPr>
                <w:iCs/>
              </w:rPr>
              <w:t xml:space="preserve"> 3</w:t>
            </w:r>
          </w:p>
        </w:tc>
      </w:tr>
    </w:tbl>
    <w:p w14:paraId="64AE43B5" w14:textId="77777777" w:rsidR="005C2947" w:rsidRPr="009740C9" w:rsidRDefault="005C2947" w:rsidP="005C2947">
      <w:pPr>
        <w:pStyle w:val="SingleTxtG"/>
        <w:keepNext/>
        <w:keepLines/>
      </w:pPr>
      <w:r w:rsidRPr="009740C9">
        <w:lastRenderedPageBreak/>
        <w:t>1</w:t>
      </w:r>
      <w:r w:rsidR="00630811" w:rsidRPr="00630811">
        <w:t>.</w:t>
      </w:r>
      <w:r w:rsidRPr="009740C9">
        <w:tab/>
        <w:t>L</w:t>
      </w:r>
      <w:r>
        <w:t>’</w:t>
      </w:r>
      <w:r w:rsidRPr="009740C9">
        <w:t xml:space="preserve">auteur de la communication est </w:t>
      </w:r>
      <w:proofErr w:type="spellStart"/>
      <w:r w:rsidRPr="009740C9">
        <w:t>Evgeny</w:t>
      </w:r>
      <w:proofErr w:type="spellEnd"/>
      <w:r w:rsidRPr="009740C9">
        <w:t xml:space="preserve"> </w:t>
      </w:r>
      <w:proofErr w:type="spellStart"/>
      <w:r w:rsidRPr="009740C9">
        <w:t>Br</w:t>
      </w:r>
      <w:r>
        <w:t>y</w:t>
      </w:r>
      <w:r w:rsidRPr="009740C9">
        <w:t>ukhanov</w:t>
      </w:r>
      <w:proofErr w:type="spellEnd"/>
      <w:r w:rsidRPr="009740C9">
        <w:t>, de nationalité russe, né en 1980</w:t>
      </w:r>
      <w:r w:rsidR="00630811" w:rsidRPr="00630811">
        <w:t>.</w:t>
      </w:r>
      <w:r w:rsidRPr="009740C9">
        <w:t xml:space="preserve"> Il affirme que l</w:t>
      </w:r>
      <w:r>
        <w:t>’</w:t>
      </w:r>
      <w:r w:rsidRPr="009740C9">
        <w:t>État partie a violé les droits qu</w:t>
      </w:r>
      <w:r>
        <w:t>’</w:t>
      </w:r>
      <w:r w:rsidRPr="009740C9">
        <w:t>il tient des articles</w:t>
      </w:r>
      <w:r>
        <w:t> </w:t>
      </w:r>
      <w:r w:rsidRPr="009740C9">
        <w:t>7, 9 et 10, 14</w:t>
      </w:r>
      <w:r>
        <w:t xml:space="preserve"> (par</w:t>
      </w:r>
      <w:r w:rsidR="00630811" w:rsidRPr="00630811">
        <w:t>.</w:t>
      </w:r>
      <w:r>
        <w:t> </w:t>
      </w:r>
      <w:r w:rsidRPr="009740C9">
        <w:t>1, 2 et 3 b), e) et g)</w:t>
      </w:r>
      <w:r>
        <w:t>) et</w:t>
      </w:r>
      <w:r w:rsidRPr="009740C9">
        <w:t xml:space="preserve"> 15</w:t>
      </w:r>
      <w:r>
        <w:t xml:space="preserve"> (par</w:t>
      </w:r>
      <w:r w:rsidR="00630811" w:rsidRPr="00630811">
        <w:t>.</w:t>
      </w:r>
      <w:r>
        <w:t> 1)</w:t>
      </w:r>
      <w:r w:rsidRPr="009740C9">
        <w:t xml:space="preserve"> du Pacte</w:t>
      </w:r>
      <w:r w:rsidR="00630811" w:rsidRPr="00630811">
        <w:t>.</w:t>
      </w:r>
      <w:r w:rsidRPr="009740C9">
        <w:t xml:space="preserve"> Le Protocole facultatif est entré en vigueur pour la Fédération de Russie le 1</w:t>
      </w:r>
      <w:r w:rsidRPr="009740C9">
        <w:rPr>
          <w:vertAlign w:val="superscript"/>
        </w:rPr>
        <w:t>er</w:t>
      </w:r>
      <w:r w:rsidRPr="009740C9">
        <w:t> janvier 1992</w:t>
      </w:r>
      <w:r w:rsidR="00630811" w:rsidRPr="00630811">
        <w:t>.</w:t>
      </w:r>
      <w:r w:rsidRPr="009740C9">
        <w:t xml:space="preserve"> L</w:t>
      </w:r>
      <w:r>
        <w:t>’</w:t>
      </w:r>
      <w:r w:rsidRPr="009740C9">
        <w:t>auteur est représenté</w:t>
      </w:r>
      <w:r w:rsidR="00630811" w:rsidRPr="00630811">
        <w:t>.</w:t>
      </w:r>
    </w:p>
    <w:p w14:paraId="0C686188" w14:textId="77777777" w:rsidR="005C2947" w:rsidRPr="009740C9" w:rsidRDefault="005C2947" w:rsidP="005C2947">
      <w:pPr>
        <w:pStyle w:val="H23G"/>
      </w:pPr>
      <w:r w:rsidRPr="009740C9">
        <w:tab/>
      </w:r>
      <w:r w:rsidRPr="009740C9">
        <w:tab/>
        <w:t>Rappel des faits présentés par l</w:t>
      </w:r>
      <w:r>
        <w:t>’</w:t>
      </w:r>
      <w:r w:rsidRPr="009740C9">
        <w:t>auteur</w:t>
      </w:r>
    </w:p>
    <w:p w14:paraId="1B724BAA" w14:textId="77777777" w:rsidR="005C2947" w:rsidRPr="009740C9" w:rsidRDefault="005C2947" w:rsidP="005C2947">
      <w:pPr>
        <w:pStyle w:val="SingleTxtG"/>
      </w:pPr>
      <w:r w:rsidRPr="009740C9">
        <w:t>2</w:t>
      </w:r>
      <w:r w:rsidR="00630811" w:rsidRPr="00630811">
        <w:t>.</w:t>
      </w:r>
      <w:r w:rsidRPr="009740C9">
        <w:t>1</w:t>
      </w:r>
      <w:r w:rsidRPr="009740C9">
        <w:tab/>
        <w:t>Le 21 août 2010, l</w:t>
      </w:r>
      <w:r>
        <w:t>’</w:t>
      </w:r>
      <w:r w:rsidRPr="009740C9">
        <w:t>auteur a été arrêté pour agression sexuelle sur sa belle-fille mineure</w:t>
      </w:r>
      <w:r w:rsidR="00630811" w:rsidRPr="00630811">
        <w:t>.</w:t>
      </w:r>
      <w:r w:rsidRPr="009740C9">
        <w:t xml:space="preserve"> Après son arrestation, des accusations concernant huit autres agressions sexuelles ont été portées contre lui</w:t>
      </w:r>
      <w:r w:rsidR="00630811" w:rsidRPr="00630811">
        <w:t>.</w:t>
      </w:r>
      <w:r w:rsidRPr="009740C9">
        <w:t xml:space="preserve"> L</w:t>
      </w:r>
      <w:r>
        <w:t>’</w:t>
      </w:r>
      <w:r w:rsidRPr="009740C9">
        <w:t>auteur affirme avoir été battu et privé de nourriture et de sommeil pendant sa garde à vue</w:t>
      </w:r>
      <w:r w:rsidR="00630811" w:rsidRPr="00630811">
        <w:t>.</w:t>
      </w:r>
      <w:r w:rsidRPr="009740C9">
        <w:t xml:space="preserve"> Au cours de l</w:t>
      </w:r>
      <w:r>
        <w:t>’</w:t>
      </w:r>
      <w:r w:rsidRPr="009740C9">
        <w:t>enquête préliminaire, qui s</w:t>
      </w:r>
      <w:r>
        <w:t>’</w:t>
      </w:r>
      <w:r w:rsidRPr="009740C9">
        <w:t>est étendue du 21 août au 20 octobre 2010, l</w:t>
      </w:r>
      <w:r>
        <w:t>’</w:t>
      </w:r>
      <w:r w:rsidRPr="009740C9">
        <w:t>auteur n</w:t>
      </w:r>
      <w:r>
        <w:t>’</w:t>
      </w:r>
      <w:r w:rsidRPr="009740C9">
        <w:t>a pu s</w:t>
      </w:r>
      <w:r>
        <w:t>’</w:t>
      </w:r>
      <w:r w:rsidRPr="009740C9">
        <w:t>entretenir avec un conseil qu</w:t>
      </w:r>
      <w:r>
        <w:t>’</w:t>
      </w:r>
      <w:r w:rsidRPr="009740C9">
        <w:t>une seule fois, le 1</w:t>
      </w:r>
      <w:r w:rsidRPr="009740C9">
        <w:rPr>
          <w:vertAlign w:val="superscript"/>
        </w:rPr>
        <w:t>er</w:t>
      </w:r>
      <w:r w:rsidRPr="009740C9">
        <w:t> octobre 2010</w:t>
      </w:r>
      <w:r w:rsidR="00630811" w:rsidRPr="00630811">
        <w:t>.</w:t>
      </w:r>
      <w:r w:rsidRPr="009740C9">
        <w:t xml:space="preserve"> Une avocate </w:t>
      </w:r>
      <w:r>
        <w:t>− </w:t>
      </w:r>
      <w:r w:rsidRPr="009740C9">
        <w:t>K</w:t>
      </w:r>
      <w:r w:rsidR="00630811" w:rsidRPr="00630811">
        <w:t>.</w:t>
      </w:r>
      <w:r w:rsidRPr="009740C9">
        <w:t> B</w:t>
      </w:r>
      <w:r w:rsidR="00630811" w:rsidRPr="00630811">
        <w:t>.</w:t>
      </w:r>
      <w:r w:rsidRPr="009740C9">
        <w:t> K</w:t>
      </w:r>
      <w:r w:rsidR="00630811" w:rsidRPr="00630811">
        <w:t>.</w:t>
      </w:r>
      <w:r>
        <w:t> −</w:t>
      </w:r>
      <w:r w:rsidRPr="009740C9">
        <w:t xml:space="preserve"> avait certes été désignée au titre de l</w:t>
      </w:r>
      <w:r>
        <w:t>’</w:t>
      </w:r>
      <w:r w:rsidRPr="009740C9">
        <w:t>aide juridictionnelle, mais, selon l</w:t>
      </w:r>
      <w:r>
        <w:t>’</w:t>
      </w:r>
      <w:r w:rsidRPr="009740C9">
        <w:t>auteur, elle n</w:t>
      </w:r>
      <w:r>
        <w:t>’</w:t>
      </w:r>
      <w:r w:rsidRPr="009740C9">
        <w:t>a assisté à aucun des interrogatoires</w:t>
      </w:r>
      <w:r w:rsidR="00630811" w:rsidRPr="00630811">
        <w:t>.</w:t>
      </w:r>
      <w:r>
        <w:t xml:space="preserve"> S</w:t>
      </w:r>
      <w:r w:rsidRPr="009740C9">
        <w:t xml:space="preserve">a signature a </w:t>
      </w:r>
      <w:r>
        <w:t xml:space="preserve">cependant </w:t>
      </w:r>
      <w:r w:rsidRPr="009740C9">
        <w:t>été ajoutée a posteriori sur les procès-verbaux</w:t>
      </w:r>
      <w:r w:rsidR="00630811" w:rsidRPr="00630811">
        <w:t>.</w:t>
      </w:r>
      <w:r w:rsidRPr="009740C9">
        <w:t xml:space="preserve"> Le 20 octobre 2010, l</w:t>
      </w:r>
      <w:r>
        <w:t>’</w:t>
      </w:r>
      <w:r w:rsidRPr="009740C9">
        <w:t xml:space="preserve">auteur a pu prendre connaissance du dossier de la procédure pénale engagée contre lui, </w:t>
      </w:r>
      <w:r>
        <w:t>en l’absence de</w:t>
      </w:r>
      <w:r w:rsidRPr="009740C9">
        <w:t xml:space="preserve"> son avocate</w:t>
      </w:r>
      <w:r w:rsidR="00630811" w:rsidRPr="00630811">
        <w:t>.</w:t>
      </w:r>
      <w:r w:rsidRPr="009740C9">
        <w:t xml:space="preserve"> </w:t>
      </w:r>
      <w:r>
        <w:t>L’</w:t>
      </w:r>
      <w:r w:rsidRPr="009740C9">
        <w:t>auteur a</w:t>
      </w:r>
      <w:r>
        <w:t xml:space="preserve"> donc</w:t>
      </w:r>
      <w:r w:rsidRPr="009740C9">
        <w:t xml:space="preserve"> été dans l</w:t>
      </w:r>
      <w:r>
        <w:t>’</w:t>
      </w:r>
      <w:r w:rsidRPr="009740C9">
        <w:t>incapacité de porter plainte concernant les multiples violations des règles de procédure commises contre lui</w:t>
      </w:r>
      <w:r w:rsidR="00630811" w:rsidRPr="00630811">
        <w:t>.</w:t>
      </w:r>
    </w:p>
    <w:p w14:paraId="0ACD8783" w14:textId="77777777" w:rsidR="005C2947" w:rsidRPr="009740C9" w:rsidRDefault="005C2947" w:rsidP="005C2947">
      <w:pPr>
        <w:pStyle w:val="SingleTxtG"/>
      </w:pPr>
      <w:r w:rsidRPr="009740C9">
        <w:t>2</w:t>
      </w:r>
      <w:r w:rsidR="00630811" w:rsidRPr="00630811">
        <w:t>.</w:t>
      </w:r>
      <w:r w:rsidRPr="009740C9">
        <w:t>2</w:t>
      </w:r>
      <w:r w:rsidRPr="009740C9">
        <w:tab/>
        <w:t>L</w:t>
      </w:r>
      <w:r>
        <w:t>’</w:t>
      </w:r>
      <w:r w:rsidRPr="009740C9">
        <w:t>auteur affirme que</w:t>
      </w:r>
      <w:r>
        <w:t>, même s’il a signé une lettre d’aveux,</w:t>
      </w:r>
      <w:r w:rsidRPr="009740C9">
        <w:t xml:space="preserve"> le tribunal n</w:t>
      </w:r>
      <w:r>
        <w:t>’</w:t>
      </w:r>
      <w:r w:rsidRPr="009740C9">
        <w:t xml:space="preserve">aurait pas dû </w:t>
      </w:r>
      <w:r>
        <w:t>retenir ses</w:t>
      </w:r>
      <w:r w:rsidRPr="009740C9">
        <w:t xml:space="preserve"> aveux </w:t>
      </w:r>
      <w:r>
        <w:t>comme éléments de preuve</w:t>
      </w:r>
      <w:r w:rsidR="00630811" w:rsidRPr="00630811">
        <w:t>.</w:t>
      </w:r>
      <w:r w:rsidRPr="009740C9">
        <w:t xml:space="preserve"> </w:t>
      </w:r>
      <w:r>
        <w:t>Il soutient</w:t>
      </w:r>
      <w:r w:rsidRPr="009740C9">
        <w:t xml:space="preserve"> qu</w:t>
      </w:r>
      <w:r>
        <w:t>’</w:t>
      </w:r>
      <w:r w:rsidRPr="009740C9">
        <w:t>il a été conduit au commissariat par des policiers, et qu</w:t>
      </w:r>
      <w:r>
        <w:t>’aucun</w:t>
      </w:r>
      <w:r w:rsidRPr="009740C9">
        <w:t xml:space="preserve"> avocat n</w:t>
      </w:r>
      <w:r>
        <w:t>’</w:t>
      </w:r>
      <w:r w:rsidRPr="009740C9">
        <w:t>était présent</w:t>
      </w:r>
      <w:r w:rsidR="00630811" w:rsidRPr="00630811">
        <w:t>.</w:t>
      </w:r>
      <w:r w:rsidRPr="009740C9">
        <w:t xml:space="preserve"> En outre, en vertu de la législation nationale, les tribunaux ne doivent pas considérer comme des éléments de preuve recevables des aveux extorqués à un suspect par la violence</w:t>
      </w:r>
      <w:r w:rsidR="00630811" w:rsidRPr="00630811">
        <w:t>.</w:t>
      </w:r>
      <w:r w:rsidRPr="009740C9">
        <w:t xml:space="preserve"> L</w:t>
      </w:r>
      <w:r>
        <w:t>’</w:t>
      </w:r>
      <w:r w:rsidRPr="009740C9">
        <w:t>auteur affirme que l</w:t>
      </w:r>
      <w:r>
        <w:t>’</w:t>
      </w:r>
      <w:r w:rsidRPr="009740C9">
        <w:t>enquêteur, S</w:t>
      </w:r>
      <w:r w:rsidR="00630811" w:rsidRPr="00630811">
        <w:t>.</w:t>
      </w:r>
      <w:r w:rsidRPr="009740C9">
        <w:t> M</w:t>
      </w:r>
      <w:r w:rsidR="00630811" w:rsidRPr="00630811">
        <w:t>.</w:t>
      </w:r>
      <w:r w:rsidRPr="009740C9">
        <w:t> B</w:t>
      </w:r>
      <w:r w:rsidR="00630811" w:rsidRPr="00630811">
        <w:t>.</w:t>
      </w:r>
      <w:r w:rsidRPr="009740C9">
        <w:t>, l</w:t>
      </w:r>
      <w:r>
        <w:t>’</w:t>
      </w:r>
      <w:r w:rsidRPr="009740C9">
        <w:t xml:space="preserve">a « littéralement roué de coups » pour </w:t>
      </w:r>
      <w:r>
        <w:t>qu’il signe</w:t>
      </w:r>
      <w:r w:rsidRPr="009740C9">
        <w:t xml:space="preserve"> des aveux</w:t>
      </w:r>
      <w:r w:rsidR="00630811" w:rsidRPr="00630811">
        <w:t>.</w:t>
      </w:r>
    </w:p>
    <w:p w14:paraId="09D45C66" w14:textId="77777777" w:rsidR="005C2947" w:rsidRPr="009740C9" w:rsidRDefault="005C2947" w:rsidP="005C2947">
      <w:pPr>
        <w:pStyle w:val="SingleTxtG"/>
      </w:pPr>
      <w:r w:rsidRPr="009740C9">
        <w:t>2</w:t>
      </w:r>
      <w:r w:rsidR="00630811" w:rsidRPr="00630811">
        <w:t>.</w:t>
      </w:r>
      <w:r w:rsidRPr="009740C9">
        <w:t>3</w:t>
      </w:r>
      <w:r w:rsidRPr="009740C9">
        <w:tab/>
        <w:t xml:space="preserve">Le 31 mars 2011, le tribunal du district </w:t>
      </w:r>
      <w:proofErr w:type="spellStart"/>
      <w:r w:rsidRPr="009740C9">
        <w:t>Pravoberejny</w:t>
      </w:r>
      <w:proofErr w:type="spellEnd"/>
      <w:r w:rsidRPr="009740C9">
        <w:t xml:space="preserve"> de Magnitogorsk a reconnu l</w:t>
      </w:r>
      <w:r>
        <w:t>’</w:t>
      </w:r>
      <w:r w:rsidRPr="009740C9">
        <w:t>auteur coupable et l</w:t>
      </w:r>
      <w:r>
        <w:t>’</w:t>
      </w:r>
      <w:r w:rsidRPr="009740C9">
        <w:t>a condamné à une peine de treize ans d</w:t>
      </w:r>
      <w:r>
        <w:t>’</w:t>
      </w:r>
      <w:r w:rsidRPr="009740C9">
        <w:t>emprisonnement</w:t>
      </w:r>
      <w:r w:rsidRPr="005C2947">
        <w:rPr>
          <w:rStyle w:val="Appelnotedebasdep"/>
        </w:rPr>
        <w:footnoteReference w:id="5"/>
      </w:r>
      <w:r w:rsidR="00630811" w:rsidRPr="00630811">
        <w:t>.</w:t>
      </w:r>
      <w:r w:rsidRPr="009740C9">
        <w:t xml:space="preserve"> Le 26 avril 2011, l</w:t>
      </w:r>
      <w:r>
        <w:t>’</w:t>
      </w:r>
      <w:r w:rsidRPr="009740C9">
        <w:t>auteur a formé un recours en cassation auprès du tribunal régional de Tcheliabinsk pour violation de la loi pénale et de la loi relative à la procédure pénale</w:t>
      </w:r>
      <w:r w:rsidR="00630811" w:rsidRPr="00630811">
        <w:t>.</w:t>
      </w:r>
      <w:r w:rsidRPr="009740C9">
        <w:t xml:space="preserve"> Il a également fait valoir qu</w:t>
      </w:r>
      <w:r>
        <w:t>’</w:t>
      </w:r>
      <w:r w:rsidRPr="009740C9">
        <w:t>on l</w:t>
      </w:r>
      <w:r>
        <w:t>’</w:t>
      </w:r>
      <w:r w:rsidRPr="009740C9">
        <w:t>avait roué de coups lors de son arrestation dans le but de lui extorquer des aveux</w:t>
      </w:r>
      <w:r>
        <w:t xml:space="preserve"> de culpabilité</w:t>
      </w:r>
      <w:r w:rsidR="00630811" w:rsidRPr="00630811">
        <w:t>.</w:t>
      </w:r>
      <w:r w:rsidRPr="009740C9">
        <w:t xml:space="preserve"> Le 10 octobre 2010, la juridiction de cassation a rejeté le recours de l</w:t>
      </w:r>
      <w:r>
        <w:t>’</w:t>
      </w:r>
      <w:r w:rsidRPr="009740C9">
        <w:t>auteur</w:t>
      </w:r>
      <w:r w:rsidR="00630811" w:rsidRPr="00630811">
        <w:t>.</w:t>
      </w:r>
      <w:r w:rsidRPr="009740C9">
        <w:t xml:space="preserve"> Elle a rejeté les allégations de violences formulées par l</w:t>
      </w:r>
      <w:r>
        <w:t>’</w:t>
      </w:r>
      <w:r w:rsidRPr="009740C9">
        <w:t>auteur au motif que celui-ci n</w:t>
      </w:r>
      <w:r>
        <w:t>’</w:t>
      </w:r>
      <w:r w:rsidRPr="009740C9">
        <w:t>en avait pas parlé auparavant, par exemple lors de son interrogatoire en présence de son avocat, et a conclu que les aveux de l</w:t>
      </w:r>
      <w:r>
        <w:t>’</w:t>
      </w:r>
      <w:r w:rsidRPr="009740C9">
        <w:t>auteur étaient spontanés</w:t>
      </w:r>
      <w:r w:rsidR="00630811" w:rsidRPr="00630811">
        <w:t>.</w:t>
      </w:r>
    </w:p>
    <w:p w14:paraId="32E96430" w14:textId="77777777" w:rsidR="005C2947" w:rsidRPr="009740C9" w:rsidRDefault="005C2947" w:rsidP="005C2947">
      <w:pPr>
        <w:pStyle w:val="SingleTxtG"/>
      </w:pPr>
      <w:r w:rsidRPr="009740C9">
        <w:t>2</w:t>
      </w:r>
      <w:r w:rsidR="00630811" w:rsidRPr="00630811">
        <w:t>.</w:t>
      </w:r>
      <w:r w:rsidRPr="009740C9">
        <w:t>4</w:t>
      </w:r>
      <w:r w:rsidRPr="009740C9">
        <w:tab/>
        <w:t>Le 18 octobre 2011, l</w:t>
      </w:r>
      <w:r>
        <w:t>’</w:t>
      </w:r>
      <w:r w:rsidRPr="009740C9">
        <w:t xml:space="preserve">auteur a </w:t>
      </w:r>
      <w:r>
        <w:t xml:space="preserve">demandé au </w:t>
      </w:r>
      <w:r w:rsidRPr="009740C9">
        <w:t>tribunal régional de Tcheliabinsk de réexam</w:t>
      </w:r>
      <w:r>
        <w:t>iner</w:t>
      </w:r>
      <w:r w:rsidRPr="009740C9">
        <w:t xml:space="preserve"> au titre de la procédure de contrôle les jugements rendus par le tribunal de district et par le tribunal régional, demande qui a été rejetée le 20 mars 2012</w:t>
      </w:r>
      <w:r w:rsidR="00630811" w:rsidRPr="00630811">
        <w:t>.</w:t>
      </w:r>
      <w:r w:rsidRPr="009740C9">
        <w:t xml:space="preserve"> À une date non précisée, l</w:t>
      </w:r>
      <w:r>
        <w:t>’</w:t>
      </w:r>
      <w:r w:rsidRPr="009740C9">
        <w:t>auteur a contesté cette décision auprès du Président du tribunal régional, qui l</w:t>
      </w:r>
      <w:r>
        <w:t>’</w:t>
      </w:r>
      <w:r w:rsidRPr="009740C9">
        <w:t>a débouté le 21 juin 2012, confirmant la décision contestée</w:t>
      </w:r>
      <w:r w:rsidR="00630811" w:rsidRPr="00630811">
        <w:t>.</w:t>
      </w:r>
      <w:r w:rsidRPr="009740C9">
        <w:t xml:space="preserve"> À des dates non précisées, l</w:t>
      </w:r>
      <w:r>
        <w:t>’</w:t>
      </w:r>
      <w:r w:rsidRPr="009740C9">
        <w:t>auteur a saisi la Cour suprême et son Président de demandes de réexamen au titre de la procédure de contrôle</w:t>
      </w:r>
      <w:r>
        <w:t xml:space="preserve"> ; ces demandes </w:t>
      </w:r>
      <w:r w:rsidRPr="009740C9">
        <w:t>ont été rejetées le 15 août 2012 et le 25 mars 2013 respectivement</w:t>
      </w:r>
      <w:r w:rsidR="00630811" w:rsidRPr="00630811">
        <w:t>.</w:t>
      </w:r>
    </w:p>
    <w:p w14:paraId="3EB54294" w14:textId="77777777" w:rsidR="005C2947" w:rsidRPr="009740C9" w:rsidRDefault="005C2947" w:rsidP="005C2947">
      <w:pPr>
        <w:pStyle w:val="SingleTxtG"/>
      </w:pPr>
      <w:r w:rsidRPr="009740C9">
        <w:t>2</w:t>
      </w:r>
      <w:r w:rsidR="00630811" w:rsidRPr="00630811">
        <w:t>.</w:t>
      </w:r>
      <w:r w:rsidRPr="009740C9">
        <w:t>5</w:t>
      </w:r>
      <w:r w:rsidRPr="009740C9">
        <w:tab/>
        <w:t>Entre le 21 août et le 1</w:t>
      </w:r>
      <w:r w:rsidRPr="009740C9">
        <w:rPr>
          <w:vertAlign w:val="superscript"/>
        </w:rPr>
        <w:t>er</w:t>
      </w:r>
      <w:r w:rsidRPr="009740C9">
        <w:t xml:space="preserve"> novembre 2010, </w:t>
      </w:r>
      <w:r>
        <w:t>des</w:t>
      </w:r>
      <w:r w:rsidRPr="009740C9">
        <w:t xml:space="preserve"> </w:t>
      </w:r>
      <w:proofErr w:type="spellStart"/>
      <w:r w:rsidRPr="009740C9">
        <w:t>médias</w:t>
      </w:r>
      <w:proofErr w:type="spellEnd"/>
      <w:r w:rsidRPr="009740C9">
        <w:t xml:space="preserve"> ont relaté l</w:t>
      </w:r>
      <w:r>
        <w:t>’</w:t>
      </w:r>
      <w:r w:rsidRPr="009740C9">
        <w:t>affaire, sans divulguer l</w:t>
      </w:r>
      <w:r>
        <w:t>’</w:t>
      </w:r>
      <w:r w:rsidRPr="009740C9">
        <w:t>identité de l</w:t>
      </w:r>
      <w:r>
        <w:t>’</w:t>
      </w:r>
      <w:r w:rsidRPr="009740C9">
        <w:t>auteur</w:t>
      </w:r>
      <w:r>
        <w:t xml:space="preserve"> mais en le </w:t>
      </w:r>
      <w:r w:rsidRPr="009740C9">
        <w:t>présent</w:t>
      </w:r>
      <w:r>
        <w:t>ant</w:t>
      </w:r>
      <w:r w:rsidRPr="009740C9">
        <w:t xml:space="preserve"> comme un pédophile qui avait abusé de sa belle-fille</w:t>
      </w:r>
      <w:r w:rsidR="00630811" w:rsidRPr="00630811">
        <w:t>.</w:t>
      </w:r>
      <w:r w:rsidRPr="009740C9">
        <w:t xml:space="preserve"> Le 17 novembre 2010, la chaîne </w:t>
      </w:r>
      <w:r w:rsidRPr="00AA28C5">
        <w:rPr>
          <w:iCs/>
        </w:rPr>
        <w:t>TVC-U</w:t>
      </w:r>
      <w:r w:rsidRPr="009740C9">
        <w:t xml:space="preserve"> a diffusé un documentaire produit par la société</w:t>
      </w:r>
      <w:r>
        <w:t xml:space="preserve"> </w:t>
      </w:r>
      <w:proofErr w:type="spellStart"/>
      <w:r>
        <w:t>audiovisuelle</w:t>
      </w:r>
      <w:proofErr w:type="spellEnd"/>
      <w:r w:rsidRPr="009740C9">
        <w:t xml:space="preserve"> TV-IN qui s</w:t>
      </w:r>
      <w:r>
        <w:t>’</w:t>
      </w:r>
      <w:r w:rsidRPr="009740C9">
        <w:t>intitulait « L</w:t>
      </w:r>
      <w:r>
        <w:t>e beau-père violeur</w:t>
      </w:r>
      <w:r w:rsidRPr="009740C9">
        <w:t> », dans lequel les enquêteurs affirmaient que l</w:t>
      </w:r>
      <w:r>
        <w:t>’</w:t>
      </w:r>
      <w:r w:rsidRPr="009740C9">
        <w:t>auteur avait abusé de sa belle-fille</w:t>
      </w:r>
      <w:r w:rsidR="00630811" w:rsidRPr="00630811">
        <w:t>.</w:t>
      </w:r>
      <w:r w:rsidRPr="009740C9">
        <w:t xml:space="preserve"> Cette information a été diffusée avant même le début du procès</w:t>
      </w:r>
      <w:r w:rsidR="00630811" w:rsidRPr="00630811">
        <w:t>.</w:t>
      </w:r>
      <w:r w:rsidRPr="009740C9">
        <w:t xml:space="preserve"> À une date non précisée, l</w:t>
      </w:r>
      <w:r>
        <w:t>’</w:t>
      </w:r>
      <w:r w:rsidRPr="009740C9">
        <w:t xml:space="preserve">auteur a déposé une plainte auprès du </w:t>
      </w:r>
      <w:r>
        <w:t xml:space="preserve">procureur du tribunal du </w:t>
      </w:r>
      <w:r w:rsidRPr="009740C9">
        <w:t xml:space="preserve">district </w:t>
      </w:r>
      <w:proofErr w:type="spellStart"/>
      <w:r w:rsidRPr="009740C9">
        <w:t>Pravoberejny</w:t>
      </w:r>
      <w:proofErr w:type="spellEnd"/>
      <w:r>
        <w:t xml:space="preserve"> de </w:t>
      </w:r>
      <w:r w:rsidRPr="009740C9">
        <w:t xml:space="preserve">Magnitogorsk, </w:t>
      </w:r>
      <w:r>
        <w:t>demandant</w:t>
      </w:r>
      <w:r w:rsidRPr="009740C9">
        <w:t xml:space="preserve"> l</w:t>
      </w:r>
      <w:r>
        <w:t>’</w:t>
      </w:r>
      <w:r w:rsidRPr="009740C9">
        <w:t>ouverture d</w:t>
      </w:r>
      <w:r>
        <w:t>’</w:t>
      </w:r>
      <w:r w:rsidRPr="009740C9">
        <w:t>une enquête pénale contre les collaborateurs de TV-IN pour diffamation et divulgation d</w:t>
      </w:r>
      <w:r>
        <w:t>’</w:t>
      </w:r>
      <w:r w:rsidRPr="009740C9">
        <w:t>informations confidentielles</w:t>
      </w:r>
      <w:r w:rsidR="00630811" w:rsidRPr="00630811">
        <w:t>.</w:t>
      </w:r>
      <w:r w:rsidRPr="009740C9">
        <w:t xml:space="preserve"> Le 4 février 2011, le chef de la police du Ministère de l</w:t>
      </w:r>
      <w:r>
        <w:t>’</w:t>
      </w:r>
      <w:r w:rsidRPr="009740C9">
        <w:t>intérieur a décidé de ne pas ouvrir d</w:t>
      </w:r>
      <w:r>
        <w:t>’</w:t>
      </w:r>
      <w:r w:rsidRPr="009740C9">
        <w:t>enquête et déclaré à ce sujet que le documentaire ne divulguait aucune information confidentielle et que les collaborateurs de TV-IN avaient agi dans le respect de la loi</w:t>
      </w:r>
      <w:r w:rsidR="00630811" w:rsidRPr="00630811">
        <w:t>.</w:t>
      </w:r>
    </w:p>
    <w:p w14:paraId="4AC809FF" w14:textId="77777777" w:rsidR="005C2947" w:rsidRPr="009740C9" w:rsidRDefault="005C2947" w:rsidP="005C2947">
      <w:pPr>
        <w:pStyle w:val="SingleTxtG"/>
      </w:pPr>
      <w:r w:rsidRPr="009740C9">
        <w:lastRenderedPageBreak/>
        <w:t>2</w:t>
      </w:r>
      <w:r w:rsidR="00630811" w:rsidRPr="00630811">
        <w:t>.</w:t>
      </w:r>
      <w:r w:rsidRPr="009740C9">
        <w:t>6</w:t>
      </w:r>
      <w:r w:rsidRPr="009740C9">
        <w:tab/>
        <w:t>L</w:t>
      </w:r>
      <w:r>
        <w:t>’</w:t>
      </w:r>
      <w:r w:rsidRPr="009740C9">
        <w:t xml:space="preserve">auteur affirme avoir épuisé tous les recours internes utiles disponibles, et </w:t>
      </w:r>
      <w:r>
        <w:t xml:space="preserve">observe </w:t>
      </w:r>
      <w:r w:rsidRPr="009740C9">
        <w:t>que la question sur laquelle porte la communication n</w:t>
      </w:r>
      <w:r>
        <w:t>’</w:t>
      </w:r>
      <w:r w:rsidRPr="009740C9">
        <w:t>est pas déjà en cours d</w:t>
      </w:r>
      <w:r>
        <w:t>’</w:t>
      </w:r>
      <w:r w:rsidRPr="009740C9">
        <w:t>examen devant une autre instance internationale d</w:t>
      </w:r>
      <w:r>
        <w:t>’</w:t>
      </w:r>
      <w:r w:rsidRPr="009740C9">
        <w:t>enquête ou de règlement</w:t>
      </w:r>
      <w:r w:rsidR="00630811" w:rsidRPr="00630811">
        <w:t>.</w:t>
      </w:r>
    </w:p>
    <w:p w14:paraId="77345A7E" w14:textId="77777777" w:rsidR="005C2947" w:rsidRPr="009740C9" w:rsidRDefault="005C2947" w:rsidP="005C2947">
      <w:pPr>
        <w:pStyle w:val="H23G"/>
      </w:pPr>
      <w:r w:rsidRPr="009740C9">
        <w:tab/>
      </w:r>
      <w:r w:rsidRPr="009740C9">
        <w:tab/>
        <w:t>Teneur de la plainte</w:t>
      </w:r>
    </w:p>
    <w:p w14:paraId="2E809254" w14:textId="77777777" w:rsidR="005C2947" w:rsidRPr="009740C9" w:rsidRDefault="005C2947" w:rsidP="005C2947">
      <w:pPr>
        <w:pStyle w:val="SingleTxtG"/>
      </w:pPr>
      <w:r w:rsidRPr="009740C9">
        <w:t>3</w:t>
      </w:r>
      <w:r w:rsidR="00630811" w:rsidRPr="00630811">
        <w:t>.</w:t>
      </w:r>
      <w:r w:rsidRPr="009740C9">
        <w:t>1</w:t>
      </w:r>
      <w:r w:rsidRPr="009740C9">
        <w:tab/>
        <w:t>L</w:t>
      </w:r>
      <w:r>
        <w:t>’</w:t>
      </w:r>
      <w:r w:rsidRPr="009740C9">
        <w:t>auteur affirme que les coups et les mauvais traitements qui lui ont été infligés pendant sa détention constituent une violation des droits qu</w:t>
      </w:r>
      <w:r>
        <w:t>’</w:t>
      </w:r>
      <w:r w:rsidRPr="009740C9">
        <w:t>il tient de l</w:t>
      </w:r>
      <w:r>
        <w:t>’</w:t>
      </w:r>
      <w:r w:rsidRPr="009740C9">
        <w:t>article</w:t>
      </w:r>
      <w:r>
        <w:t> </w:t>
      </w:r>
      <w:r w:rsidRPr="009740C9">
        <w:t>7 du Pacte</w:t>
      </w:r>
      <w:r w:rsidR="00630811" w:rsidRPr="00630811">
        <w:t>.</w:t>
      </w:r>
    </w:p>
    <w:p w14:paraId="157A726A" w14:textId="77777777" w:rsidR="005C2947" w:rsidRPr="009740C9" w:rsidRDefault="005C2947" w:rsidP="005C2947">
      <w:pPr>
        <w:pStyle w:val="SingleTxtG"/>
      </w:pPr>
      <w:r w:rsidRPr="009740C9">
        <w:t>3</w:t>
      </w:r>
      <w:r w:rsidR="00630811" w:rsidRPr="00630811">
        <w:t>.</w:t>
      </w:r>
      <w:r w:rsidRPr="009740C9">
        <w:t>2</w:t>
      </w:r>
      <w:r w:rsidRPr="009740C9">
        <w:tab/>
        <w:t>L</w:t>
      </w:r>
      <w:r>
        <w:t>’</w:t>
      </w:r>
      <w:r w:rsidRPr="009740C9">
        <w:t xml:space="preserve">auteur affirme </w:t>
      </w:r>
      <w:r>
        <w:t xml:space="preserve">aussi </w:t>
      </w:r>
      <w:r w:rsidRPr="009740C9">
        <w:t xml:space="preserve">que </w:t>
      </w:r>
      <w:r>
        <w:t>ses aveux</w:t>
      </w:r>
      <w:r w:rsidRPr="009740C9">
        <w:t xml:space="preserve"> ont été obtenus en violation de la loi relative à la procédure pénale en ce que la représentante légale de la </w:t>
      </w:r>
      <w:r>
        <w:t xml:space="preserve">victime, c’est-à-dire de sa belle-fille, </w:t>
      </w:r>
      <w:r w:rsidRPr="009740C9">
        <w:t>a également été entendue en tant que témoin pendant le procès</w:t>
      </w:r>
      <w:r w:rsidR="00630811" w:rsidRPr="00630811">
        <w:t>.</w:t>
      </w:r>
      <w:r w:rsidRPr="009740C9">
        <w:t xml:space="preserve"> Il fait également valoir que l</w:t>
      </w:r>
      <w:r>
        <w:t>’</w:t>
      </w:r>
      <w:r w:rsidRPr="009740C9">
        <w:t>enquête a révélé plusieurs autres irrégularités</w:t>
      </w:r>
      <w:r>
        <w:t>,</w:t>
      </w:r>
      <w:r w:rsidRPr="009740C9">
        <w:t xml:space="preserve"> </w:t>
      </w:r>
      <w:r>
        <w:t xml:space="preserve">toutes constituant des violations du </w:t>
      </w:r>
      <w:r w:rsidRPr="009740C9">
        <w:t>droit à un procès équitable qu</w:t>
      </w:r>
      <w:r>
        <w:t>’</w:t>
      </w:r>
      <w:r w:rsidRPr="009740C9">
        <w:t>il tient de l</w:t>
      </w:r>
      <w:r>
        <w:t>’</w:t>
      </w:r>
      <w:r w:rsidRPr="009740C9">
        <w:t>article</w:t>
      </w:r>
      <w:r>
        <w:t> </w:t>
      </w:r>
      <w:r w:rsidRPr="009740C9">
        <w:t xml:space="preserve">14 </w:t>
      </w:r>
      <w:r>
        <w:t>(par</w:t>
      </w:r>
      <w:r w:rsidR="00630811" w:rsidRPr="00630811">
        <w:t>.</w:t>
      </w:r>
      <w:r>
        <w:t xml:space="preserve"> 1) </w:t>
      </w:r>
      <w:r w:rsidRPr="009740C9">
        <w:t>du Pacte</w:t>
      </w:r>
      <w:r w:rsidR="00630811" w:rsidRPr="00630811">
        <w:t>.</w:t>
      </w:r>
      <w:r w:rsidRPr="009740C9">
        <w:t xml:space="preserve"> En outre, le Président du tribunal aurait dû se récuser étant donné qu</w:t>
      </w:r>
      <w:r>
        <w:t>’</w:t>
      </w:r>
      <w:r w:rsidRPr="009740C9">
        <w:t>il avait eu connaissance des articles que les journaux avaient publiés sur l</w:t>
      </w:r>
      <w:r>
        <w:t>’</w:t>
      </w:r>
      <w:r w:rsidRPr="009740C9">
        <w:t>auteur</w:t>
      </w:r>
      <w:r>
        <w:t xml:space="preserve"> ou les avait lus</w:t>
      </w:r>
      <w:r w:rsidRPr="009740C9">
        <w:t>, et qu</w:t>
      </w:r>
      <w:r>
        <w:t>’</w:t>
      </w:r>
      <w:r w:rsidRPr="009740C9">
        <w:t>il ne pouvait donc pas être considéré comme impartial</w:t>
      </w:r>
      <w:r w:rsidR="00630811" w:rsidRPr="00630811">
        <w:t>.</w:t>
      </w:r>
    </w:p>
    <w:p w14:paraId="15841471" w14:textId="77777777" w:rsidR="005C2947" w:rsidRPr="009740C9" w:rsidRDefault="005C2947" w:rsidP="005C2947">
      <w:pPr>
        <w:pStyle w:val="SingleTxtG"/>
      </w:pPr>
      <w:r w:rsidRPr="009740C9">
        <w:t>3</w:t>
      </w:r>
      <w:r w:rsidR="00630811" w:rsidRPr="00630811">
        <w:t>.</w:t>
      </w:r>
      <w:r w:rsidRPr="009740C9">
        <w:t>3</w:t>
      </w:r>
      <w:r w:rsidRPr="009740C9">
        <w:tab/>
        <w:t xml:space="preserve">Renvoyant </w:t>
      </w:r>
      <w:r>
        <w:t>à l’affaire</w:t>
      </w:r>
      <w:r w:rsidRPr="009740C9">
        <w:t xml:space="preserve"> </w:t>
      </w:r>
      <w:proofErr w:type="spellStart"/>
      <w:r w:rsidRPr="009740C9">
        <w:rPr>
          <w:i/>
        </w:rPr>
        <w:t>Gridin</w:t>
      </w:r>
      <w:proofErr w:type="spellEnd"/>
      <w:r w:rsidRPr="009740C9">
        <w:rPr>
          <w:i/>
        </w:rPr>
        <w:t xml:space="preserve"> c</w:t>
      </w:r>
      <w:r w:rsidR="00630811" w:rsidRPr="00630811">
        <w:rPr>
          <w:i/>
        </w:rPr>
        <w:t>.</w:t>
      </w:r>
      <w:r>
        <w:rPr>
          <w:i/>
        </w:rPr>
        <w:t> </w:t>
      </w:r>
      <w:r w:rsidRPr="009740C9">
        <w:rPr>
          <w:i/>
        </w:rPr>
        <w:t>Fédération de Russie</w:t>
      </w:r>
      <w:r w:rsidRPr="005C2947">
        <w:rPr>
          <w:rStyle w:val="Appelnotedebasdep"/>
        </w:rPr>
        <w:footnoteReference w:id="6"/>
      </w:r>
      <w:r w:rsidRPr="009740C9">
        <w:t>, l</w:t>
      </w:r>
      <w:r>
        <w:t>’</w:t>
      </w:r>
      <w:r w:rsidRPr="009740C9">
        <w:t xml:space="preserve">auteur affirme que la manière dont il a été dépeint par les </w:t>
      </w:r>
      <w:proofErr w:type="spellStart"/>
      <w:r w:rsidRPr="009740C9">
        <w:t>médias</w:t>
      </w:r>
      <w:proofErr w:type="spellEnd"/>
      <w:r w:rsidRPr="009740C9">
        <w:t xml:space="preserve"> et les déclarations des enquêteurs ont porté atteinte à son droit à la présomption d</w:t>
      </w:r>
      <w:r>
        <w:t>’</w:t>
      </w:r>
      <w:r w:rsidRPr="009740C9">
        <w:t>innocence, en violation de l</w:t>
      </w:r>
      <w:r>
        <w:t>’</w:t>
      </w:r>
      <w:r w:rsidRPr="009740C9">
        <w:t xml:space="preserve">article 14 </w:t>
      </w:r>
      <w:r>
        <w:t>(par</w:t>
      </w:r>
      <w:r w:rsidR="00630811" w:rsidRPr="00630811">
        <w:t>.</w:t>
      </w:r>
      <w:r>
        <w:t xml:space="preserve"> 2) </w:t>
      </w:r>
      <w:r w:rsidRPr="009740C9">
        <w:t>du Pacte</w:t>
      </w:r>
      <w:r w:rsidR="00630811" w:rsidRPr="00630811">
        <w:t>.</w:t>
      </w:r>
    </w:p>
    <w:p w14:paraId="0710F4EB" w14:textId="77777777" w:rsidR="005C2947" w:rsidRPr="009740C9" w:rsidRDefault="005C2947" w:rsidP="005C2947">
      <w:pPr>
        <w:pStyle w:val="SingleTxtG"/>
      </w:pPr>
      <w:r w:rsidRPr="009740C9">
        <w:t>3</w:t>
      </w:r>
      <w:r w:rsidR="00630811" w:rsidRPr="00630811">
        <w:t>.</w:t>
      </w:r>
      <w:r w:rsidRPr="009740C9">
        <w:t>4</w:t>
      </w:r>
      <w:r w:rsidRPr="009740C9">
        <w:tab/>
        <w:t>L</w:t>
      </w:r>
      <w:r>
        <w:t>’</w:t>
      </w:r>
      <w:r w:rsidRPr="009740C9">
        <w:t>auteur affirme que le fait qu</w:t>
      </w:r>
      <w:r>
        <w:t>’</w:t>
      </w:r>
      <w:r w:rsidRPr="009740C9">
        <w:t>il n</w:t>
      </w:r>
      <w:r>
        <w:t>’</w:t>
      </w:r>
      <w:r w:rsidRPr="009740C9">
        <w:t>ait pas pu communiquer avec un avocat entre le 21 août 2010, date de son arrestation, et le 20 octobre 2010 constitue une violation de l</w:t>
      </w:r>
      <w:r>
        <w:t>’</w:t>
      </w:r>
      <w:r w:rsidRPr="009740C9">
        <w:t xml:space="preserve">article 14 </w:t>
      </w:r>
      <w:r>
        <w:t>(par</w:t>
      </w:r>
      <w:r w:rsidR="00630811" w:rsidRPr="00630811">
        <w:t>.</w:t>
      </w:r>
      <w:r>
        <w:t xml:space="preserve"> 3 b)) </w:t>
      </w:r>
      <w:r w:rsidRPr="009740C9">
        <w:t>du Pacte</w:t>
      </w:r>
      <w:r w:rsidR="00630811" w:rsidRPr="00630811">
        <w:t>.</w:t>
      </w:r>
    </w:p>
    <w:p w14:paraId="309081E3" w14:textId="77777777" w:rsidR="005C2947" w:rsidRPr="009740C9" w:rsidRDefault="005C2947" w:rsidP="005C2947">
      <w:pPr>
        <w:pStyle w:val="SingleTxtG"/>
      </w:pPr>
      <w:r w:rsidRPr="009740C9">
        <w:t>3</w:t>
      </w:r>
      <w:r w:rsidR="00630811" w:rsidRPr="00630811">
        <w:t>.</w:t>
      </w:r>
      <w:r w:rsidRPr="009740C9">
        <w:t>5</w:t>
      </w:r>
      <w:r w:rsidRPr="009740C9">
        <w:tab/>
        <w:t>L</w:t>
      </w:r>
      <w:r>
        <w:t>’</w:t>
      </w:r>
      <w:r w:rsidRPr="009740C9">
        <w:t>auteur signale que la victime n</w:t>
      </w:r>
      <w:r>
        <w:t>’</w:t>
      </w:r>
      <w:r w:rsidRPr="009740C9">
        <w:t>a pas été interrogée au procès et que l</w:t>
      </w:r>
      <w:r>
        <w:t>’</w:t>
      </w:r>
      <w:r w:rsidRPr="009740C9">
        <w:t>un des principaux témoins à charge, L</w:t>
      </w:r>
      <w:r w:rsidR="00630811" w:rsidRPr="00630811">
        <w:t>.</w:t>
      </w:r>
      <w:r w:rsidRPr="009740C9">
        <w:t> M</w:t>
      </w:r>
      <w:r w:rsidR="00630811" w:rsidRPr="00630811">
        <w:t>.</w:t>
      </w:r>
      <w:r w:rsidRPr="009740C9">
        <w:t> A</w:t>
      </w:r>
      <w:r w:rsidR="00630811" w:rsidRPr="00630811">
        <w:t>.</w:t>
      </w:r>
      <w:r w:rsidRPr="009740C9">
        <w:t>, a été interrogé pendant l</w:t>
      </w:r>
      <w:r>
        <w:t>’</w:t>
      </w:r>
      <w:r w:rsidRPr="009740C9">
        <w:t>enquête mais n</w:t>
      </w:r>
      <w:r>
        <w:t>’</w:t>
      </w:r>
      <w:r w:rsidRPr="009740C9">
        <w:t>a pas comparu au procès</w:t>
      </w:r>
      <w:r w:rsidR="00630811" w:rsidRPr="00630811">
        <w:t>.</w:t>
      </w:r>
      <w:r w:rsidRPr="009740C9">
        <w:t xml:space="preserve"> En outre, plusieurs experts ont été interrogés et ont remis leurs conclusions pendant l</w:t>
      </w:r>
      <w:r>
        <w:t>’</w:t>
      </w:r>
      <w:r w:rsidRPr="009740C9">
        <w:t>enquête mais n</w:t>
      </w:r>
      <w:r>
        <w:t>’</w:t>
      </w:r>
      <w:r w:rsidRPr="009740C9">
        <w:t>ont pas été entendus lors du procès, leurs conclusions ayant simplement été lues afin de figurer dans les minutes</w:t>
      </w:r>
      <w:r w:rsidR="00630811" w:rsidRPr="00630811">
        <w:t>.</w:t>
      </w:r>
      <w:r w:rsidRPr="009740C9">
        <w:t xml:space="preserve"> L</w:t>
      </w:r>
      <w:r>
        <w:t>’</w:t>
      </w:r>
      <w:r w:rsidRPr="009740C9">
        <w:t>auteur affirme par conséquent que les autorités de l</w:t>
      </w:r>
      <w:r>
        <w:t>’</w:t>
      </w:r>
      <w:r w:rsidRPr="009740C9">
        <w:t>État partie ont violé les droits qu</w:t>
      </w:r>
      <w:r>
        <w:t>’</w:t>
      </w:r>
      <w:r w:rsidRPr="009740C9">
        <w:t>il tient de l</w:t>
      </w:r>
      <w:r>
        <w:t>’</w:t>
      </w:r>
      <w:r w:rsidRPr="009740C9">
        <w:t>article</w:t>
      </w:r>
      <w:r>
        <w:t> </w:t>
      </w:r>
      <w:r w:rsidRPr="009740C9">
        <w:t xml:space="preserve">14 </w:t>
      </w:r>
      <w:r>
        <w:t>(par</w:t>
      </w:r>
      <w:r w:rsidR="00630811" w:rsidRPr="00630811">
        <w:t>.</w:t>
      </w:r>
      <w:r>
        <w:t xml:space="preserve"> 3 e)) </w:t>
      </w:r>
      <w:r w:rsidRPr="009740C9">
        <w:t>du Pacte</w:t>
      </w:r>
      <w:r w:rsidR="00630811" w:rsidRPr="00630811">
        <w:t>.</w:t>
      </w:r>
    </w:p>
    <w:p w14:paraId="32D3A2E1" w14:textId="77777777" w:rsidR="005C2947" w:rsidRPr="009740C9" w:rsidRDefault="005C2947" w:rsidP="005C2947">
      <w:pPr>
        <w:pStyle w:val="SingleTxtG"/>
      </w:pPr>
      <w:r w:rsidRPr="009740C9">
        <w:t>3</w:t>
      </w:r>
      <w:r w:rsidR="00630811" w:rsidRPr="00630811">
        <w:t>.</w:t>
      </w:r>
      <w:r w:rsidRPr="009740C9">
        <w:t>6</w:t>
      </w:r>
      <w:r w:rsidRPr="009740C9">
        <w:tab/>
        <w:t>L</w:t>
      </w:r>
      <w:r>
        <w:t>’</w:t>
      </w:r>
      <w:r w:rsidRPr="009740C9">
        <w:t xml:space="preserve">auteur affirme </w:t>
      </w:r>
      <w:r>
        <w:t xml:space="preserve">également </w:t>
      </w:r>
      <w:r w:rsidRPr="009740C9">
        <w:t>que les faits susmentionnés soulèvent des questions au regard des articles 9</w:t>
      </w:r>
      <w:r>
        <w:t>,</w:t>
      </w:r>
      <w:r w:rsidRPr="009740C9">
        <w:t xml:space="preserve"> 10 et 15 </w:t>
      </w:r>
      <w:r>
        <w:t>(par</w:t>
      </w:r>
      <w:r w:rsidR="00630811" w:rsidRPr="00630811">
        <w:t>.</w:t>
      </w:r>
      <w:r>
        <w:t xml:space="preserve"> 1) </w:t>
      </w:r>
      <w:r w:rsidRPr="009740C9">
        <w:t>du Pacte, sans toutefois étayer ses propos</w:t>
      </w:r>
      <w:r w:rsidR="00630811" w:rsidRPr="00630811">
        <w:t>.</w:t>
      </w:r>
    </w:p>
    <w:p w14:paraId="7C1C5B2A" w14:textId="77777777" w:rsidR="005C2947" w:rsidRPr="009740C9" w:rsidRDefault="005C2947" w:rsidP="005C2947">
      <w:pPr>
        <w:pStyle w:val="SingleTxtG"/>
      </w:pPr>
      <w:r w:rsidRPr="009740C9">
        <w:t>3</w:t>
      </w:r>
      <w:r w:rsidR="00630811" w:rsidRPr="00630811">
        <w:t>.</w:t>
      </w:r>
      <w:r w:rsidRPr="009740C9">
        <w:t>7</w:t>
      </w:r>
      <w:r w:rsidRPr="009740C9">
        <w:tab/>
      </w:r>
      <w:r>
        <w:t>Enfin, l’</w:t>
      </w:r>
      <w:r w:rsidRPr="009740C9">
        <w:t>auteur demande au Comité de lui assurer une indemnisation équitable qui, compte tenu de la gravité des accusations portées contre lui, devrait s</w:t>
      </w:r>
      <w:r>
        <w:t>’</w:t>
      </w:r>
      <w:r w:rsidRPr="009740C9">
        <w:t xml:space="preserve">élever à </w:t>
      </w:r>
      <w:r>
        <w:t>1 </w:t>
      </w:r>
      <w:r w:rsidRPr="009740C9">
        <w:t>million d</w:t>
      </w:r>
      <w:r>
        <w:t>’</w:t>
      </w:r>
      <w:r w:rsidRPr="009740C9">
        <w:t>euros</w:t>
      </w:r>
      <w:r w:rsidR="00630811" w:rsidRPr="00630811">
        <w:t>.</w:t>
      </w:r>
    </w:p>
    <w:p w14:paraId="66E25AC2" w14:textId="77777777" w:rsidR="005C2947" w:rsidRPr="009740C9" w:rsidRDefault="005C2947" w:rsidP="005C2947">
      <w:pPr>
        <w:pStyle w:val="H23G"/>
      </w:pPr>
      <w:r w:rsidRPr="009740C9">
        <w:tab/>
      </w:r>
      <w:r w:rsidRPr="009740C9">
        <w:tab/>
        <w:t>Observations de l</w:t>
      </w:r>
      <w:r>
        <w:t>’</w:t>
      </w:r>
      <w:r w:rsidRPr="009740C9">
        <w:t>État partie sur la recevabilité et sur le fond</w:t>
      </w:r>
    </w:p>
    <w:p w14:paraId="14C0B21A" w14:textId="77777777" w:rsidR="005C2947" w:rsidRPr="009740C9" w:rsidRDefault="005C2947" w:rsidP="005C2947">
      <w:pPr>
        <w:pStyle w:val="SingleTxtG"/>
      </w:pPr>
      <w:r w:rsidRPr="009740C9">
        <w:t>4</w:t>
      </w:r>
      <w:r w:rsidR="00630811" w:rsidRPr="00630811">
        <w:t>.</w:t>
      </w:r>
      <w:r w:rsidRPr="009740C9">
        <w:t>1</w:t>
      </w:r>
      <w:r w:rsidRPr="009740C9">
        <w:tab/>
        <w:t>Dans une note verbale du 16 juillet 2014, l</w:t>
      </w:r>
      <w:r>
        <w:t>’</w:t>
      </w:r>
      <w:r w:rsidRPr="009740C9">
        <w:t>État partie affirme que l</w:t>
      </w:r>
      <w:r>
        <w:t>’</w:t>
      </w:r>
      <w:r w:rsidRPr="009740C9">
        <w:t xml:space="preserve">auteur a été condamné à une longue peine </w:t>
      </w:r>
      <w:r>
        <w:t>de prison</w:t>
      </w:r>
      <w:r w:rsidRPr="009740C9">
        <w:t xml:space="preserve"> pour </w:t>
      </w:r>
      <w:r>
        <w:t>d</w:t>
      </w:r>
      <w:r w:rsidRPr="009740C9">
        <w:t xml:space="preserve">es </w:t>
      </w:r>
      <w:r>
        <w:t xml:space="preserve">actes de </w:t>
      </w:r>
      <w:r w:rsidRPr="009740C9">
        <w:t xml:space="preserve">violence sexuelle répétés </w:t>
      </w:r>
      <w:r>
        <w:t xml:space="preserve">contre </w:t>
      </w:r>
      <w:r w:rsidRPr="009740C9">
        <w:t>sa belle-fille</w:t>
      </w:r>
      <w:r>
        <w:t>,</w:t>
      </w:r>
      <w:r w:rsidRPr="009740C9">
        <w:t xml:space="preserve"> mineure </w:t>
      </w:r>
      <w:r>
        <w:t xml:space="preserve">de </w:t>
      </w:r>
      <w:r w:rsidRPr="009740C9">
        <w:t>moins de 14 ans</w:t>
      </w:r>
      <w:r w:rsidR="00630811" w:rsidRPr="00630811">
        <w:t>.</w:t>
      </w:r>
      <w:r w:rsidRPr="009740C9">
        <w:t xml:space="preserve"> L</w:t>
      </w:r>
      <w:r>
        <w:t>’</w:t>
      </w:r>
      <w:r w:rsidRPr="009740C9">
        <w:t>auteur a</w:t>
      </w:r>
      <w:r>
        <w:t>vait</w:t>
      </w:r>
      <w:r w:rsidRPr="009740C9">
        <w:t xml:space="preserve"> déjà </w:t>
      </w:r>
      <w:r>
        <w:t>fait l’objet d’une condamnation</w:t>
      </w:r>
      <w:r w:rsidRPr="009740C9">
        <w:t xml:space="preserve"> pour viol</w:t>
      </w:r>
      <w:r w:rsidR="00630811" w:rsidRPr="00630811">
        <w:t>.</w:t>
      </w:r>
    </w:p>
    <w:p w14:paraId="3F7D38F5" w14:textId="77777777" w:rsidR="005C2947" w:rsidRPr="009740C9" w:rsidRDefault="005C2947" w:rsidP="005C2947">
      <w:pPr>
        <w:pStyle w:val="SingleTxtG"/>
      </w:pPr>
      <w:r w:rsidRPr="009740C9">
        <w:t>4</w:t>
      </w:r>
      <w:r w:rsidR="00630811" w:rsidRPr="00630811">
        <w:t>.</w:t>
      </w:r>
      <w:r w:rsidRPr="009740C9">
        <w:t>2</w:t>
      </w:r>
      <w:r w:rsidRPr="009740C9">
        <w:tab/>
        <w:t xml:space="preserve">Le </w:t>
      </w:r>
      <w:r>
        <w:t>jugement portant</w:t>
      </w:r>
      <w:r w:rsidRPr="009740C9">
        <w:t xml:space="preserve"> condamnation</w:t>
      </w:r>
      <w:r>
        <w:t xml:space="preserve"> a été prononcé</w:t>
      </w:r>
      <w:r w:rsidRPr="009740C9">
        <w:t xml:space="preserve"> le 31 mars 2011</w:t>
      </w:r>
      <w:r>
        <w:t xml:space="preserve"> et</w:t>
      </w:r>
      <w:r w:rsidRPr="009740C9">
        <w:t xml:space="preserve"> a été confirmé par le tribunal régional de Tcheliabinsk le 10 octobre 2011</w:t>
      </w:r>
      <w:r w:rsidR="00630811" w:rsidRPr="00630811">
        <w:t>.</w:t>
      </w:r>
      <w:r w:rsidR="00DB6AB3">
        <w:t xml:space="preserve"> </w:t>
      </w:r>
      <w:r w:rsidRPr="009740C9">
        <w:t>L</w:t>
      </w:r>
      <w:r>
        <w:t>’</w:t>
      </w:r>
      <w:r w:rsidRPr="009740C9">
        <w:t>État partie affirme qu</w:t>
      </w:r>
      <w:r>
        <w:t>’</w:t>
      </w:r>
      <w:r w:rsidRPr="009740C9">
        <w:t>aucune des violations alléguées par l</w:t>
      </w:r>
      <w:r>
        <w:t>’</w:t>
      </w:r>
      <w:r w:rsidRPr="009740C9">
        <w:t>auteur n</w:t>
      </w:r>
      <w:r>
        <w:t>’</w:t>
      </w:r>
      <w:r w:rsidRPr="009740C9">
        <w:t>a été commise</w:t>
      </w:r>
      <w:r w:rsidR="00630811" w:rsidRPr="00630811">
        <w:t>.</w:t>
      </w:r>
      <w:r w:rsidRPr="009740C9">
        <w:t xml:space="preserve"> Le droit de celui-ci d</w:t>
      </w:r>
      <w:r>
        <w:t>’</w:t>
      </w:r>
      <w:r w:rsidRPr="009740C9">
        <w:t>être défendu a été assuré à toutes les étapes de la procédure, y compris en deuxième instance</w:t>
      </w:r>
      <w:r w:rsidR="00630811" w:rsidRPr="00630811">
        <w:t>.</w:t>
      </w:r>
    </w:p>
    <w:p w14:paraId="41FEDA9B" w14:textId="77777777" w:rsidR="005C2947" w:rsidRPr="009740C9" w:rsidRDefault="005C2947" w:rsidP="005C2947">
      <w:pPr>
        <w:pStyle w:val="SingleTxtG"/>
      </w:pPr>
      <w:r w:rsidRPr="009740C9">
        <w:t>4</w:t>
      </w:r>
      <w:r w:rsidR="00630811" w:rsidRPr="00630811">
        <w:t>.</w:t>
      </w:r>
      <w:r w:rsidRPr="009740C9">
        <w:t>3</w:t>
      </w:r>
      <w:r w:rsidRPr="009740C9">
        <w:tab/>
        <w:t>L</w:t>
      </w:r>
      <w:r>
        <w:t>’</w:t>
      </w:r>
      <w:r w:rsidRPr="009740C9">
        <w:t>auteur a été arrêté le 21 août 2010 à 10 heures du matin, en présence de son avocat</w:t>
      </w:r>
      <w:r>
        <w:t>e</w:t>
      </w:r>
      <w:r w:rsidRPr="009740C9">
        <w:t>, K</w:t>
      </w:r>
      <w:r w:rsidR="00630811" w:rsidRPr="00630811">
        <w:t>.</w:t>
      </w:r>
      <w:r w:rsidRPr="009740C9">
        <w:t> B</w:t>
      </w:r>
      <w:r w:rsidR="00630811" w:rsidRPr="00630811">
        <w:t>.</w:t>
      </w:r>
      <w:r w:rsidRPr="009740C9">
        <w:t> K</w:t>
      </w:r>
      <w:r w:rsidR="00630811" w:rsidRPr="00630811">
        <w:t>.</w:t>
      </w:r>
      <w:r w:rsidRPr="009740C9">
        <w:t xml:space="preserve"> Il a été informé de ses droits, et sa mère a été prévenue de sa détention</w:t>
      </w:r>
      <w:r w:rsidR="00630811" w:rsidRPr="00630811">
        <w:t>.</w:t>
      </w:r>
      <w:r w:rsidRPr="009740C9">
        <w:t xml:space="preserve"> Le même jour, l</w:t>
      </w:r>
      <w:r>
        <w:t>’</w:t>
      </w:r>
      <w:r w:rsidRPr="009740C9">
        <w:t>auteur a été interrogé en tant que suspect, en présence de son avocat</w:t>
      </w:r>
      <w:r>
        <w:t>e</w:t>
      </w:r>
      <w:r w:rsidR="00630811" w:rsidRPr="00630811">
        <w:t>.</w:t>
      </w:r>
      <w:r w:rsidRPr="009740C9">
        <w:t xml:space="preserve"> Toutes les autres mesures d</w:t>
      </w:r>
      <w:r>
        <w:t>’</w:t>
      </w:r>
      <w:r w:rsidRPr="009740C9">
        <w:t>enquête, tel</w:t>
      </w:r>
      <w:r w:rsidR="00DB6AB3">
        <w:t>le</w:t>
      </w:r>
      <w:r w:rsidRPr="009740C9">
        <w:t>s que les interrogatoires, se sont déroulées conformément aux dispositions du Code de procédure pénale</w:t>
      </w:r>
      <w:r w:rsidR="00630811" w:rsidRPr="00630811">
        <w:t>.</w:t>
      </w:r>
    </w:p>
    <w:p w14:paraId="691550B6" w14:textId="77777777" w:rsidR="005C2947" w:rsidRPr="009740C9" w:rsidRDefault="005C2947" w:rsidP="007A7681">
      <w:pPr>
        <w:pStyle w:val="SingleTxtG"/>
        <w:keepNext/>
        <w:keepLines/>
      </w:pPr>
      <w:r w:rsidRPr="009740C9">
        <w:lastRenderedPageBreak/>
        <w:t>4</w:t>
      </w:r>
      <w:r w:rsidR="00630811" w:rsidRPr="00630811">
        <w:t>.</w:t>
      </w:r>
      <w:r w:rsidRPr="009740C9">
        <w:t>4</w:t>
      </w:r>
      <w:r w:rsidRPr="009740C9">
        <w:tab/>
        <w:t>Le 22 août 2010, un tribunal a décidé de placer l</w:t>
      </w:r>
      <w:r>
        <w:t>’</w:t>
      </w:r>
      <w:r w:rsidRPr="009740C9">
        <w:t>auteur en détention provisoire</w:t>
      </w:r>
      <w:r w:rsidR="00630811" w:rsidRPr="00630811">
        <w:t>.</w:t>
      </w:r>
      <w:r w:rsidRPr="009740C9">
        <w:t xml:space="preserve"> </w:t>
      </w:r>
      <w:r>
        <w:t xml:space="preserve">Cette </w:t>
      </w:r>
      <w:r w:rsidRPr="009740C9">
        <w:t>détention a été prolongée à plusieurs reprises</w:t>
      </w:r>
      <w:r w:rsidR="00630811" w:rsidRPr="00630811">
        <w:t>.</w:t>
      </w:r>
      <w:r w:rsidR="007A7681">
        <w:t xml:space="preserve"> </w:t>
      </w:r>
      <w:r>
        <w:t>T</w:t>
      </w:r>
      <w:r w:rsidRPr="009740C9">
        <w:t>outes les audiences concernant la détention provisoire de l</w:t>
      </w:r>
      <w:r>
        <w:t>’</w:t>
      </w:r>
      <w:r w:rsidRPr="009740C9">
        <w:t>auteur se sont déroulées en présence de son avocat</w:t>
      </w:r>
      <w:r w:rsidR="00630811" w:rsidRPr="00630811">
        <w:t>.</w:t>
      </w:r>
      <w:r w:rsidRPr="009740C9">
        <w:t xml:space="preserve"> Les allégations de l</w:t>
      </w:r>
      <w:r>
        <w:t>’</w:t>
      </w:r>
      <w:r w:rsidRPr="009740C9">
        <w:t>auteur selon lesquelles il aurait été privé de nourriture, de sommeil et d</w:t>
      </w:r>
      <w:r>
        <w:t>’</w:t>
      </w:r>
      <w:r w:rsidRPr="009740C9">
        <w:t xml:space="preserve">accès aux installations sanitaires pendant sa détention </w:t>
      </w:r>
      <w:r>
        <w:t>provisoire</w:t>
      </w:r>
      <w:r w:rsidRPr="009740C9">
        <w:t xml:space="preserve"> n</w:t>
      </w:r>
      <w:r>
        <w:t>’</w:t>
      </w:r>
      <w:r w:rsidRPr="009740C9">
        <w:t>ont pas été confirmées</w:t>
      </w:r>
      <w:r w:rsidR="00630811" w:rsidRPr="00630811">
        <w:t>.</w:t>
      </w:r>
      <w:r w:rsidRPr="009740C9">
        <w:t xml:space="preserve"> Le 27 août 2010, l</w:t>
      </w:r>
      <w:r>
        <w:t>’</w:t>
      </w:r>
      <w:r w:rsidRPr="009740C9">
        <w:t xml:space="preserve">auteur a été transféré </w:t>
      </w:r>
      <w:r>
        <w:t xml:space="preserve">dans un </w:t>
      </w:r>
      <w:r w:rsidRPr="009740C9">
        <w:t>centre de détention provisoire, où les cellules sont équipées de toilettes individuels, d</w:t>
      </w:r>
      <w:r>
        <w:t>’</w:t>
      </w:r>
      <w:r w:rsidRPr="009740C9">
        <w:t>un accès à l</w:t>
      </w:r>
      <w:r>
        <w:t>’</w:t>
      </w:r>
      <w:r w:rsidRPr="009740C9">
        <w:t>eau potable et d</w:t>
      </w:r>
      <w:r>
        <w:t>’</w:t>
      </w:r>
      <w:r w:rsidRPr="009740C9">
        <w:t>ouvertures permettant une bonne aération, et où les détenus reçoivent trois repas par jour</w:t>
      </w:r>
      <w:r w:rsidR="00630811" w:rsidRPr="00630811">
        <w:t>.</w:t>
      </w:r>
      <w:r w:rsidRPr="009740C9">
        <w:t xml:space="preserve"> L</w:t>
      </w:r>
      <w:r>
        <w:t>’</w:t>
      </w:r>
      <w:r w:rsidRPr="009740C9">
        <w:t>auteur ne s</w:t>
      </w:r>
      <w:r>
        <w:t>’</w:t>
      </w:r>
      <w:r w:rsidRPr="009740C9">
        <w:t>est pas plaint de ses conditions de détention, ni d</w:t>
      </w:r>
      <w:r>
        <w:t>’</w:t>
      </w:r>
      <w:r w:rsidRPr="009740C9">
        <w:t>aucune autre forme de traitement dégradant</w:t>
      </w:r>
      <w:r w:rsidR="00630811" w:rsidRPr="00630811">
        <w:t>.</w:t>
      </w:r>
    </w:p>
    <w:p w14:paraId="71C63F3D" w14:textId="77777777" w:rsidR="005C2947" w:rsidRPr="009740C9" w:rsidRDefault="005C2947" w:rsidP="005C2947">
      <w:pPr>
        <w:pStyle w:val="SingleTxtG"/>
      </w:pPr>
      <w:r w:rsidRPr="009740C9">
        <w:t>4</w:t>
      </w:r>
      <w:r w:rsidR="00630811" w:rsidRPr="00630811">
        <w:t>.</w:t>
      </w:r>
      <w:r w:rsidRPr="009740C9">
        <w:t>5</w:t>
      </w:r>
      <w:r w:rsidRPr="009740C9">
        <w:tab/>
        <w:t>L</w:t>
      </w:r>
      <w:r>
        <w:t>’</w:t>
      </w:r>
      <w:r w:rsidRPr="009740C9">
        <w:t>État partie reconnaît que l</w:t>
      </w:r>
      <w:r>
        <w:t>’</w:t>
      </w:r>
      <w:r w:rsidRPr="009740C9">
        <w:t>auteur n</w:t>
      </w:r>
      <w:r>
        <w:t>’</w:t>
      </w:r>
      <w:r w:rsidRPr="009740C9">
        <w:t xml:space="preserve">a pas toujours été informé en temps utile des décisions </w:t>
      </w:r>
      <w:r>
        <w:t>de faire procéder à des</w:t>
      </w:r>
      <w:r w:rsidRPr="009740C9">
        <w:t xml:space="preserve"> examens médico-légaux</w:t>
      </w:r>
      <w:r w:rsidR="00630811" w:rsidRPr="00630811">
        <w:t>.</w:t>
      </w:r>
      <w:r w:rsidRPr="009740C9">
        <w:t xml:space="preserve"> Ce seul fait ne constitue toutefois pas un motif suffisant pour considérer que les résultats </w:t>
      </w:r>
      <w:r>
        <w:t>des</w:t>
      </w:r>
      <w:r w:rsidRPr="009740C9">
        <w:t xml:space="preserve"> examens sont nuls et irrecevables devant le tribunal</w:t>
      </w:r>
      <w:r w:rsidR="00630811" w:rsidRPr="00630811">
        <w:t>.</w:t>
      </w:r>
      <w:r w:rsidRPr="009740C9">
        <w:t xml:space="preserve"> En outre, l</w:t>
      </w:r>
      <w:r>
        <w:t>’</w:t>
      </w:r>
      <w:r w:rsidRPr="009740C9">
        <w:t>auteur n</w:t>
      </w:r>
      <w:r>
        <w:t>’</w:t>
      </w:r>
      <w:r w:rsidRPr="009740C9">
        <w:t xml:space="preserve">a pas demandé </w:t>
      </w:r>
      <w:r>
        <w:t>que</w:t>
      </w:r>
      <w:r w:rsidRPr="009740C9">
        <w:t xml:space="preserve"> d</w:t>
      </w:r>
      <w:r>
        <w:t>’</w:t>
      </w:r>
      <w:r w:rsidRPr="009740C9">
        <w:t>autres examens</w:t>
      </w:r>
      <w:r>
        <w:t xml:space="preserve"> soient réalisés</w:t>
      </w:r>
      <w:r w:rsidR="00630811" w:rsidRPr="00630811">
        <w:t>.</w:t>
      </w:r>
      <w:r w:rsidRPr="009740C9">
        <w:t xml:space="preserve"> Une fois l</w:t>
      </w:r>
      <w:r>
        <w:t>’</w:t>
      </w:r>
      <w:r w:rsidRPr="009740C9">
        <w:t xml:space="preserve">enquête terminée, </w:t>
      </w:r>
      <w:r>
        <w:t>lui</w:t>
      </w:r>
      <w:r w:rsidRPr="009740C9">
        <w:t xml:space="preserve"> et son avocat ont eu accès au dossier de l</w:t>
      </w:r>
      <w:r>
        <w:t>’</w:t>
      </w:r>
      <w:r w:rsidRPr="009740C9">
        <w:t>instruction, dont ils ont pu examiner les pièces de 9 heures à 13 h 30 le 20 octobre 2010</w:t>
      </w:r>
      <w:r w:rsidR="00630811" w:rsidRPr="00630811">
        <w:t>.</w:t>
      </w:r>
      <w:r w:rsidRPr="009740C9">
        <w:t xml:space="preserve"> Le procureur a </w:t>
      </w:r>
      <w:r>
        <w:t>mis</w:t>
      </w:r>
      <w:r w:rsidRPr="009740C9">
        <w:t xml:space="preserve"> l</w:t>
      </w:r>
      <w:r>
        <w:t>’</w:t>
      </w:r>
      <w:r w:rsidRPr="009740C9">
        <w:t>auteur</w:t>
      </w:r>
      <w:r>
        <w:t xml:space="preserve"> en accusation</w:t>
      </w:r>
      <w:r w:rsidRPr="009740C9">
        <w:t xml:space="preserve"> le 29 octobre 2010, et l</w:t>
      </w:r>
      <w:r>
        <w:t>’</w:t>
      </w:r>
      <w:r w:rsidRPr="009740C9">
        <w:t>affaire a été déférée au tribunal le jour même</w:t>
      </w:r>
      <w:r w:rsidR="00630811" w:rsidRPr="00630811">
        <w:t>.</w:t>
      </w:r>
      <w:r w:rsidRPr="009740C9">
        <w:t xml:space="preserve"> Une copie de </w:t>
      </w:r>
      <w:r>
        <w:t>l’acte d’accusation, portant la signature de l’auteur, lui a été remise</w:t>
      </w:r>
      <w:r w:rsidR="00630811" w:rsidRPr="00630811">
        <w:t>.</w:t>
      </w:r>
    </w:p>
    <w:p w14:paraId="5D75014B" w14:textId="77777777" w:rsidR="005C2947" w:rsidRPr="009740C9" w:rsidRDefault="005C2947" w:rsidP="005C2947">
      <w:pPr>
        <w:pStyle w:val="SingleTxtG"/>
      </w:pPr>
      <w:r w:rsidRPr="009740C9">
        <w:t>4</w:t>
      </w:r>
      <w:r w:rsidR="00630811" w:rsidRPr="00630811">
        <w:t>.</w:t>
      </w:r>
      <w:r w:rsidRPr="009740C9">
        <w:t>6</w:t>
      </w:r>
      <w:r w:rsidRPr="009740C9">
        <w:tab/>
        <w:t>L</w:t>
      </w:r>
      <w:r>
        <w:t>’</w:t>
      </w:r>
      <w:r w:rsidRPr="009740C9">
        <w:t>auteur étant accusé d</w:t>
      </w:r>
      <w:r>
        <w:t>’</w:t>
      </w:r>
      <w:r w:rsidRPr="009740C9">
        <w:t>infractions à caractère sexuel sur une personne mineure, les audiences se sont tenues à huis clos</w:t>
      </w:r>
      <w:r w:rsidR="00630811" w:rsidRPr="00630811">
        <w:t>.</w:t>
      </w:r>
      <w:r w:rsidRPr="009740C9">
        <w:t xml:space="preserve"> L</w:t>
      </w:r>
      <w:r>
        <w:t>’</w:t>
      </w:r>
      <w:r w:rsidRPr="009740C9">
        <w:t xml:space="preserve">auteur et son avocat y ont activement participé, </w:t>
      </w:r>
      <w:r>
        <w:t xml:space="preserve">cependant, </w:t>
      </w:r>
      <w:r w:rsidRPr="009740C9">
        <w:t>et ont notamment pu produire des éléments de preuve et contester les conclusions du procureur</w:t>
      </w:r>
      <w:r w:rsidR="00630811" w:rsidRPr="00630811">
        <w:t>.</w:t>
      </w:r>
      <w:r w:rsidRPr="009740C9">
        <w:t xml:space="preserve"> Les griefs formulés par l</w:t>
      </w:r>
      <w:r>
        <w:t>’</w:t>
      </w:r>
      <w:r w:rsidRPr="009740C9">
        <w:t xml:space="preserve">auteur ont été rejetés par la juridiction de cassation, </w:t>
      </w:r>
      <w:r>
        <w:t>et une</w:t>
      </w:r>
      <w:r w:rsidRPr="009740C9">
        <w:t xml:space="preserve"> décision </w:t>
      </w:r>
      <w:r>
        <w:t xml:space="preserve">a été rendue </w:t>
      </w:r>
      <w:r w:rsidRPr="009740C9">
        <w:t>le 10 octobre 2011</w:t>
      </w:r>
      <w:r w:rsidR="00630811" w:rsidRPr="00630811">
        <w:t>.</w:t>
      </w:r>
    </w:p>
    <w:p w14:paraId="6CBF7714" w14:textId="77777777" w:rsidR="005C2947" w:rsidRPr="009740C9" w:rsidRDefault="005C2947" w:rsidP="005C2947">
      <w:pPr>
        <w:pStyle w:val="SingleTxtG"/>
      </w:pPr>
      <w:r w:rsidRPr="009740C9">
        <w:t>4</w:t>
      </w:r>
      <w:r w:rsidR="00630811" w:rsidRPr="00630811">
        <w:t>.</w:t>
      </w:r>
      <w:r w:rsidRPr="009740C9">
        <w:t>7</w:t>
      </w:r>
      <w:r w:rsidRPr="009740C9">
        <w:tab/>
      </w:r>
      <w:r>
        <w:t>L’</w:t>
      </w:r>
      <w:r w:rsidRPr="009740C9">
        <w:t>auteur ayant affirmé qu</w:t>
      </w:r>
      <w:r>
        <w:t>’</w:t>
      </w:r>
      <w:r w:rsidRPr="009740C9">
        <w:t>il avait subi des violences et que des preuves avaient été falsifiées, les autorités de l</w:t>
      </w:r>
      <w:r>
        <w:t>’</w:t>
      </w:r>
      <w:r w:rsidRPr="009740C9">
        <w:t xml:space="preserve">État partie ont procédé à un contrôle, </w:t>
      </w:r>
      <w:r>
        <w:t>à la suite de quoi elles</w:t>
      </w:r>
      <w:r w:rsidRPr="009740C9">
        <w:t xml:space="preserve"> ont décidé, le 9 août 2012, qu</w:t>
      </w:r>
      <w:r>
        <w:t>’</w:t>
      </w:r>
      <w:r w:rsidRPr="009740C9">
        <w:t>il n</w:t>
      </w:r>
      <w:r>
        <w:t>’</w:t>
      </w:r>
      <w:r w:rsidRPr="009740C9">
        <w:t>y avait pas lieu d</w:t>
      </w:r>
      <w:r>
        <w:t>’</w:t>
      </w:r>
      <w:r w:rsidRPr="009740C9">
        <w:t>ouvrir une enquête pénale</w:t>
      </w:r>
      <w:r w:rsidR="00630811" w:rsidRPr="00630811">
        <w:t>.</w:t>
      </w:r>
      <w:r w:rsidRPr="009740C9">
        <w:t xml:space="preserve"> L</w:t>
      </w:r>
      <w:r>
        <w:t>’</w:t>
      </w:r>
      <w:r w:rsidRPr="009740C9">
        <w:t xml:space="preserve">auteur a formé un recours contre cette décision auprès du tribunal du district </w:t>
      </w:r>
      <w:proofErr w:type="spellStart"/>
      <w:r w:rsidRPr="009740C9">
        <w:t>Pravoberejny</w:t>
      </w:r>
      <w:proofErr w:type="spellEnd"/>
      <w:r w:rsidRPr="009740C9">
        <w:t xml:space="preserve"> de Magnitogorsk, qui l</w:t>
      </w:r>
      <w:r>
        <w:t>’</w:t>
      </w:r>
      <w:r w:rsidRPr="009740C9">
        <w:t>a rejeté le 14 septembre 2012</w:t>
      </w:r>
      <w:r w:rsidR="00630811" w:rsidRPr="00630811">
        <w:t>.</w:t>
      </w:r>
      <w:r w:rsidRPr="009740C9">
        <w:t xml:space="preserve"> Il a formé un autre recours, qui a été rejeté par le tribunal régional de Tcheliabinsk le 13 novembre 2012</w:t>
      </w:r>
      <w:r w:rsidR="00630811" w:rsidRPr="00630811">
        <w:t>.</w:t>
      </w:r>
    </w:p>
    <w:p w14:paraId="08483C7F" w14:textId="77777777" w:rsidR="005C2947" w:rsidRPr="009740C9" w:rsidRDefault="005C2947" w:rsidP="005C2947">
      <w:pPr>
        <w:pStyle w:val="SingleTxtG"/>
      </w:pPr>
      <w:r w:rsidRPr="009740C9">
        <w:t>4</w:t>
      </w:r>
      <w:r w:rsidR="00630811" w:rsidRPr="00630811">
        <w:t>.</w:t>
      </w:r>
      <w:r w:rsidRPr="009740C9">
        <w:t>8</w:t>
      </w:r>
      <w:r w:rsidRPr="009740C9">
        <w:tab/>
        <w:t>La culpabilité de l</w:t>
      </w:r>
      <w:r>
        <w:t>’</w:t>
      </w:r>
      <w:r w:rsidRPr="009740C9">
        <w:t>auteur a été établie uniquement sur la base de preuves produites pendant le procès</w:t>
      </w:r>
      <w:r w:rsidR="00630811" w:rsidRPr="00630811">
        <w:t>.</w:t>
      </w:r>
      <w:r w:rsidRPr="009740C9">
        <w:t xml:space="preserve"> La victime a assisté à cinq audiences</w:t>
      </w:r>
      <w:r w:rsidR="00630811" w:rsidRPr="00630811">
        <w:t>.</w:t>
      </w:r>
      <w:r w:rsidRPr="009740C9">
        <w:t xml:space="preserve"> Le fait qu</w:t>
      </w:r>
      <w:r>
        <w:t>’</w:t>
      </w:r>
      <w:r w:rsidRPr="009740C9">
        <w:t>elle n</w:t>
      </w:r>
      <w:r>
        <w:t>’</w:t>
      </w:r>
      <w:r w:rsidRPr="009740C9">
        <w:t>ait pas été présente aux quatre autres n</w:t>
      </w:r>
      <w:r>
        <w:t>’</w:t>
      </w:r>
      <w:r w:rsidRPr="009740C9">
        <w:t>a pas porté préjudice à l</w:t>
      </w:r>
      <w:r>
        <w:t>’</w:t>
      </w:r>
      <w:r w:rsidRPr="009740C9">
        <w:t xml:space="preserve">auteur, et la défense </w:t>
      </w:r>
      <w:r>
        <w:t>n’</w:t>
      </w:r>
      <w:r w:rsidRPr="009740C9">
        <w:t>a d</w:t>
      </w:r>
      <w:r>
        <w:t>’</w:t>
      </w:r>
      <w:r w:rsidRPr="009740C9">
        <w:t xml:space="preserve">ailleurs </w:t>
      </w:r>
      <w:r>
        <w:t xml:space="preserve">pas </w:t>
      </w:r>
      <w:r w:rsidRPr="009740C9">
        <w:t>demandé des reports d</w:t>
      </w:r>
      <w:r>
        <w:t>’</w:t>
      </w:r>
      <w:r w:rsidRPr="009740C9">
        <w:t>audience</w:t>
      </w:r>
      <w:r w:rsidR="00630811" w:rsidRPr="00630811">
        <w:t>.</w:t>
      </w:r>
      <w:r w:rsidRPr="009740C9">
        <w:t xml:space="preserve"> La victime ayant refusé de témoigner, le procureur a donné lecture de la déposition qu</w:t>
      </w:r>
      <w:r>
        <w:t>’</w:t>
      </w:r>
      <w:r w:rsidRPr="009740C9">
        <w:t>elle avait faite au cours de l</w:t>
      </w:r>
      <w:r>
        <w:t>’</w:t>
      </w:r>
      <w:r w:rsidRPr="009740C9">
        <w:t>enquête</w:t>
      </w:r>
      <w:r w:rsidR="00630811" w:rsidRPr="00630811">
        <w:t>.</w:t>
      </w:r>
      <w:r w:rsidRPr="009740C9">
        <w:t xml:space="preserve"> La victime a confirmé sans réserve sa déposition, mais a refusé de répondre aux questions de l</w:t>
      </w:r>
      <w:r>
        <w:t>’</w:t>
      </w:r>
      <w:r w:rsidRPr="009740C9">
        <w:t>avocat de la défense ou du procureur</w:t>
      </w:r>
      <w:r w:rsidR="00630811" w:rsidRPr="00630811">
        <w:t>.</w:t>
      </w:r>
    </w:p>
    <w:p w14:paraId="56457BEC" w14:textId="77777777" w:rsidR="005C2947" w:rsidRPr="009740C9" w:rsidRDefault="005C2947" w:rsidP="005C2947">
      <w:pPr>
        <w:pStyle w:val="SingleTxtG"/>
      </w:pPr>
      <w:r w:rsidRPr="009740C9">
        <w:t>4</w:t>
      </w:r>
      <w:r w:rsidR="00630811" w:rsidRPr="00630811">
        <w:t>.</w:t>
      </w:r>
      <w:r w:rsidRPr="009740C9">
        <w:t>9</w:t>
      </w:r>
      <w:r w:rsidRPr="009740C9">
        <w:tab/>
        <w:t>Les allégation de l</w:t>
      </w:r>
      <w:r>
        <w:t>’</w:t>
      </w:r>
      <w:r w:rsidRPr="009740C9">
        <w:t xml:space="preserve">auteur selon lesquelles les </w:t>
      </w:r>
      <w:proofErr w:type="spellStart"/>
      <w:r w:rsidRPr="009740C9">
        <w:t>médias</w:t>
      </w:r>
      <w:proofErr w:type="spellEnd"/>
      <w:r w:rsidRPr="009740C9">
        <w:t xml:space="preserve"> ont influencé le Président du tribunal, P</w:t>
      </w:r>
      <w:r w:rsidR="00630811" w:rsidRPr="00630811">
        <w:t>.</w:t>
      </w:r>
      <w:r w:rsidRPr="009740C9">
        <w:t> I</w:t>
      </w:r>
      <w:r w:rsidR="00630811" w:rsidRPr="00630811">
        <w:t>.</w:t>
      </w:r>
      <w:r w:rsidRPr="009740C9">
        <w:t> P</w:t>
      </w:r>
      <w:r w:rsidR="00630811" w:rsidRPr="00630811">
        <w:t>.</w:t>
      </w:r>
      <w:r w:rsidRPr="009740C9">
        <w:t>, sont pure conjecture et ne reposent pas sur des faits</w:t>
      </w:r>
      <w:r w:rsidR="00630811" w:rsidRPr="00630811">
        <w:t>.</w:t>
      </w:r>
      <w:r w:rsidRPr="009740C9">
        <w:t xml:space="preserve"> L</w:t>
      </w:r>
      <w:r>
        <w:t>’</w:t>
      </w:r>
      <w:r w:rsidRPr="009740C9">
        <w:t>avocat de la défense n</w:t>
      </w:r>
      <w:r>
        <w:t>’</w:t>
      </w:r>
      <w:r w:rsidRPr="009740C9">
        <w:t>a pas demandé au juge de se récuser</w:t>
      </w:r>
      <w:r w:rsidR="00630811" w:rsidRPr="00630811">
        <w:t>.</w:t>
      </w:r>
      <w:r w:rsidRPr="009740C9">
        <w:t xml:space="preserve"> Le juge P</w:t>
      </w:r>
      <w:r w:rsidR="00630811" w:rsidRPr="00630811">
        <w:t>.</w:t>
      </w:r>
      <w:r w:rsidRPr="009740C9">
        <w:t> I</w:t>
      </w:r>
      <w:r w:rsidR="00630811" w:rsidRPr="00630811">
        <w:t>.</w:t>
      </w:r>
      <w:r w:rsidRPr="009740C9">
        <w:t> P</w:t>
      </w:r>
      <w:r w:rsidR="00630811" w:rsidRPr="00630811">
        <w:t>.</w:t>
      </w:r>
      <w:r w:rsidRPr="009740C9">
        <w:t xml:space="preserve"> ayant quitté ses fonctions, l</w:t>
      </w:r>
      <w:r>
        <w:t>’</w:t>
      </w:r>
      <w:r w:rsidRPr="009740C9">
        <w:t>affaire a été déférée à la juridiction de cassation, et le Président du tribunal de district, E</w:t>
      </w:r>
      <w:r w:rsidR="00630811" w:rsidRPr="00630811">
        <w:t>.</w:t>
      </w:r>
      <w:r w:rsidRPr="009740C9">
        <w:t> A</w:t>
      </w:r>
      <w:r w:rsidR="00630811" w:rsidRPr="00630811">
        <w:t>.</w:t>
      </w:r>
      <w:r w:rsidRPr="009740C9">
        <w:t> K, qui a examiné les griefs de l</w:t>
      </w:r>
      <w:r>
        <w:t>’</w:t>
      </w:r>
      <w:r w:rsidRPr="009740C9">
        <w:t xml:space="preserve">auteur au sujet des </w:t>
      </w:r>
      <w:r>
        <w:t>comptes rendus</w:t>
      </w:r>
      <w:r w:rsidRPr="009740C9">
        <w:t xml:space="preserve"> d</w:t>
      </w:r>
      <w:r>
        <w:t>’</w:t>
      </w:r>
      <w:r w:rsidRPr="009740C9">
        <w:t>audience, a déposé contre lui une plainte pour outrage, qui n</w:t>
      </w:r>
      <w:r>
        <w:t>’</w:t>
      </w:r>
      <w:r w:rsidRPr="009740C9">
        <w:t>a pas eu de suite</w:t>
      </w:r>
      <w:r w:rsidR="00630811" w:rsidRPr="00630811">
        <w:t>.</w:t>
      </w:r>
    </w:p>
    <w:p w14:paraId="42AFF7E2" w14:textId="77777777" w:rsidR="005C2947" w:rsidRPr="009740C9" w:rsidRDefault="005C2947" w:rsidP="005C2947">
      <w:pPr>
        <w:pStyle w:val="SingleTxtG"/>
      </w:pPr>
      <w:r w:rsidRPr="009740C9">
        <w:t>4</w:t>
      </w:r>
      <w:r w:rsidR="00630811" w:rsidRPr="00630811">
        <w:t>.</w:t>
      </w:r>
      <w:r w:rsidRPr="009740C9">
        <w:t>10</w:t>
      </w:r>
      <w:r w:rsidRPr="009740C9">
        <w:tab/>
        <w:t>L</w:t>
      </w:r>
      <w:r>
        <w:t>’</w:t>
      </w:r>
      <w:r w:rsidRPr="009740C9">
        <w:t>auteur affirme qu</w:t>
      </w:r>
      <w:r>
        <w:t>’</w:t>
      </w:r>
      <w:r w:rsidRPr="009740C9">
        <w:t>il n</w:t>
      </w:r>
      <w:r>
        <w:t>’</w:t>
      </w:r>
      <w:r w:rsidRPr="009740C9">
        <w:t>a pas été dûment informé de la date à laquelle l</w:t>
      </w:r>
      <w:r>
        <w:t>’</w:t>
      </w:r>
      <w:r w:rsidRPr="009740C9">
        <w:t>audience de cassation aurait lieu</w:t>
      </w:r>
      <w:r>
        <w:t xml:space="preserve"> et que cela </w:t>
      </w:r>
      <w:r w:rsidRPr="009740C9">
        <w:t>l</w:t>
      </w:r>
      <w:r>
        <w:t>’</w:t>
      </w:r>
      <w:r w:rsidRPr="009740C9">
        <w:t>a empêché de préparer sa défense</w:t>
      </w:r>
      <w:r w:rsidR="00630811" w:rsidRPr="00630811">
        <w:t>.</w:t>
      </w:r>
      <w:r w:rsidRPr="009740C9">
        <w:t xml:space="preserve"> Le 13 mai 2011, il a écrit une lettre, </w:t>
      </w:r>
      <w:r>
        <w:t>mais il n’y</w:t>
      </w:r>
      <w:r w:rsidRPr="009740C9">
        <w:t xml:space="preserve"> demande pas à être présent à l</w:t>
      </w:r>
      <w:r>
        <w:t>’</w:t>
      </w:r>
      <w:r w:rsidRPr="009740C9">
        <w:t>audience, mais à y être représenté par un avocat désigné à cet effet</w:t>
      </w:r>
      <w:r w:rsidR="00630811" w:rsidRPr="00630811">
        <w:t>.</w:t>
      </w:r>
      <w:r w:rsidRPr="009740C9">
        <w:t xml:space="preserve"> Un avocat, L</w:t>
      </w:r>
      <w:r w:rsidR="00630811" w:rsidRPr="00630811">
        <w:t>.</w:t>
      </w:r>
      <w:r w:rsidRPr="009740C9">
        <w:t> Y</w:t>
      </w:r>
      <w:r w:rsidR="00630811" w:rsidRPr="00630811">
        <w:t>.</w:t>
      </w:r>
      <w:r w:rsidRPr="009740C9">
        <w:t> U</w:t>
      </w:r>
      <w:r w:rsidR="00630811" w:rsidRPr="00630811">
        <w:t>.</w:t>
      </w:r>
      <w:r w:rsidRPr="009740C9">
        <w:t>, a été désigné et a participé à l</w:t>
      </w:r>
      <w:r>
        <w:t>’</w:t>
      </w:r>
      <w:r w:rsidRPr="009740C9">
        <w:t>audience de cassation, le 10 octobre 2011</w:t>
      </w:r>
      <w:r w:rsidR="00630811" w:rsidRPr="00630811">
        <w:t>.</w:t>
      </w:r>
      <w:r w:rsidRPr="009740C9">
        <w:t xml:space="preserve"> </w:t>
      </w:r>
      <w:r>
        <w:t>L’</w:t>
      </w:r>
      <w:r w:rsidRPr="009740C9">
        <w:t>audience a été reportée à plusieurs reprises, mais chaque report a été notifié à l</w:t>
      </w:r>
      <w:r>
        <w:t>’</w:t>
      </w:r>
      <w:r w:rsidRPr="009740C9">
        <w:t>auteur</w:t>
      </w:r>
      <w:r w:rsidR="00630811" w:rsidRPr="00630811">
        <w:t>.</w:t>
      </w:r>
    </w:p>
    <w:p w14:paraId="73C56932" w14:textId="77777777" w:rsidR="005C2947" w:rsidRPr="009740C9" w:rsidRDefault="005C2947" w:rsidP="005C2947">
      <w:pPr>
        <w:pStyle w:val="SingleTxtG"/>
      </w:pPr>
      <w:r w:rsidRPr="009740C9">
        <w:t>4</w:t>
      </w:r>
      <w:r w:rsidR="00630811" w:rsidRPr="00630811">
        <w:t>.</w:t>
      </w:r>
      <w:r w:rsidRPr="009740C9">
        <w:t>11</w:t>
      </w:r>
      <w:r w:rsidRPr="009740C9">
        <w:tab/>
        <w:t>La communication présentée par l</w:t>
      </w:r>
      <w:r>
        <w:t>’</w:t>
      </w:r>
      <w:r w:rsidRPr="009740C9">
        <w:t>auteur est sans fondement, et les informations qu</w:t>
      </w:r>
      <w:r>
        <w:t>’</w:t>
      </w:r>
      <w:r w:rsidRPr="009740C9">
        <w:t>elle contient ne font apparaître aucune violation du Pacte</w:t>
      </w:r>
      <w:r w:rsidR="00630811" w:rsidRPr="00630811">
        <w:t>.</w:t>
      </w:r>
      <w:r w:rsidRPr="009740C9">
        <w:t xml:space="preserve"> L</w:t>
      </w:r>
      <w:r>
        <w:t>e fait que l’</w:t>
      </w:r>
      <w:r w:rsidRPr="009740C9">
        <w:t xml:space="preserve">auteur </w:t>
      </w:r>
      <w:r>
        <w:t>ne soit</w:t>
      </w:r>
      <w:r w:rsidRPr="009740C9">
        <w:t xml:space="preserve"> pas satisfait de l</w:t>
      </w:r>
      <w:r>
        <w:t>’</w:t>
      </w:r>
      <w:r w:rsidRPr="009740C9">
        <w:t>issue de son procès ne signifie en aucun cas que des violations ont été commises</w:t>
      </w:r>
      <w:r w:rsidR="00630811" w:rsidRPr="00630811">
        <w:t>.</w:t>
      </w:r>
    </w:p>
    <w:p w14:paraId="7761AA08" w14:textId="77777777" w:rsidR="005C2947" w:rsidRPr="009740C9" w:rsidRDefault="005C2947" w:rsidP="005C2947">
      <w:pPr>
        <w:pStyle w:val="SingleTxtG"/>
      </w:pPr>
      <w:r w:rsidRPr="009740C9">
        <w:t>4</w:t>
      </w:r>
      <w:r w:rsidR="00630811" w:rsidRPr="00630811">
        <w:t>.</w:t>
      </w:r>
      <w:r w:rsidRPr="009740C9">
        <w:t>12</w:t>
      </w:r>
      <w:r w:rsidRPr="009740C9">
        <w:tab/>
        <w:t>En l</w:t>
      </w:r>
      <w:r>
        <w:t>’</w:t>
      </w:r>
      <w:r w:rsidRPr="009740C9">
        <w:t>espèce, l</w:t>
      </w:r>
      <w:r>
        <w:t>’</w:t>
      </w:r>
      <w:r w:rsidRPr="009740C9">
        <w:t>État partie estime que la communication présentée par l</w:t>
      </w:r>
      <w:r>
        <w:t>’</w:t>
      </w:r>
      <w:r w:rsidRPr="009740C9">
        <w:t>auteur constitue un abus du droit de présenter des communications et une violation de l</w:t>
      </w:r>
      <w:r>
        <w:t>’</w:t>
      </w:r>
      <w:r w:rsidRPr="009740C9">
        <w:t>article 3 du Protocole facultatif</w:t>
      </w:r>
      <w:r w:rsidR="00630811" w:rsidRPr="00630811">
        <w:t>.</w:t>
      </w:r>
    </w:p>
    <w:p w14:paraId="78C4F34F" w14:textId="77777777" w:rsidR="005C2947" w:rsidRPr="009740C9" w:rsidRDefault="005C2947" w:rsidP="005C2947">
      <w:pPr>
        <w:pStyle w:val="H23G"/>
      </w:pPr>
      <w:r w:rsidRPr="009740C9">
        <w:lastRenderedPageBreak/>
        <w:tab/>
      </w:r>
      <w:r w:rsidRPr="009740C9">
        <w:tab/>
        <w:t>Commentaires de l</w:t>
      </w:r>
      <w:r>
        <w:t>’</w:t>
      </w:r>
      <w:r w:rsidRPr="009740C9">
        <w:t>auteur sur les observations de l</w:t>
      </w:r>
      <w:r>
        <w:t>’</w:t>
      </w:r>
      <w:r w:rsidRPr="009740C9">
        <w:t>État partie concernant la recevabilité et le fond</w:t>
      </w:r>
    </w:p>
    <w:p w14:paraId="36B70806" w14:textId="77777777" w:rsidR="005C2947" w:rsidRPr="009740C9" w:rsidRDefault="005C2947" w:rsidP="005C2947">
      <w:pPr>
        <w:pStyle w:val="SingleTxtG"/>
      </w:pPr>
      <w:r w:rsidRPr="009740C9">
        <w:t>5</w:t>
      </w:r>
      <w:r w:rsidR="00630811" w:rsidRPr="00630811">
        <w:t>.</w:t>
      </w:r>
      <w:r w:rsidRPr="009740C9">
        <w:t>1</w:t>
      </w:r>
      <w:r w:rsidRPr="009740C9">
        <w:tab/>
        <w:t>Dans une lettre du 16 juillet 2014, l</w:t>
      </w:r>
      <w:r>
        <w:t>’</w:t>
      </w:r>
      <w:r w:rsidRPr="009740C9">
        <w:t xml:space="preserve">auteur conteste les </w:t>
      </w:r>
      <w:r>
        <w:t>observations</w:t>
      </w:r>
      <w:r w:rsidRPr="009740C9">
        <w:t xml:space="preserve"> </w:t>
      </w:r>
      <w:r>
        <w:t xml:space="preserve">de </w:t>
      </w:r>
      <w:r w:rsidRPr="009740C9">
        <w:t>l</w:t>
      </w:r>
      <w:r>
        <w:t>’</w:t>
      </w:r>
      <w:r w:rsidRPr="009740C9">
        <w:t>État partie</w:t>
      </w:r>
      <w:r w:rsidR="00630811" w:rsidRPr="00630811">
        <w:t>.</w:t>
      </w:r>
      <w:r w:rsidRPr="009740C9">
        <w:t xml:space="preserve"> En ce qui concerne sa précédente condamnation pour viol, </w:t>
      </w:r>
      <w:r>
        <w:t>il</w:t>
      </w:r>
      <w:r w:rsidRPr="009740C9">
        <w:t xml:space="preserve"> affirme qu</w:t>
      </w:r>
      <w:r>
        <w:t>’</w:t>
      </w:r>
      <w:r w:rsidRPr="009740C9">
        <w:t>il a toujours clamé son innocence et qu</w:t>
      </w:r>
      <w:r>
        <w:t>’</w:t>
      </w:r>
      <w:r w:rsidRPr="009740C9">
        <w:t>il a été libéré pour bonne conduite après avoir exécuté la moitié de sa peine</w:t>
      </w:r>
      <w:r w:rsidR="00630811" w:rsidRPr="00630811">
        <w:t>.</w:t>
      </w:r>
    </w:p>
    <w:p w14:paraId="26BB9E6E" w14:textId="77777777" w:rsidR="005C2947" w:rsidRPr="009740C9" w:rsidRDefault="005C2947" w:rsidP="005C2947">
      <w:pPr>
        <w:pStyle w:val="SingleTxtG"/>
      </w:pPr>
      <w:r w:rsidRPr="009740C9">
        <w:t>5</w:t>
      </w:r>
      <w:r w:rsidR="00630811" w:rsidRPr="00630811">
        <w:t>.</w:t>
      </w:r>
      <w:r w:rsidRPr="009740C9">
        <w:t>2</w:t>
      </w:r>
      <w:r w:rsidRPr="009740C9">
        <w:tab/>
        <w:t>L</w:t>
      </w:r>
      <w:r>
        <w:t>’</w:t>
      </w:r>
      <w:r w:rsidRPr="009740C9">
        <w:t>auteur conteste l</w:t>
      </w:r>
      <w:r>
        <w:t>’</w:t>
      </w:r>
      <w:r w:rsidRPr="009740C9">
        <w:t>affirmation de l</w:t>
      </w:r>
      <w:r>
        <w:t>’</w:t>
      </w:r>
      <w:r w:rsidRPr="009740C9">
        <w:t>État partie selon laquelle il a été assisté par un avocat à toutes les étapes de la procédure</w:t>
      </w:r>
      <w:r w:rsidR="00630811" w:rsidRPr="00630811">
        <w:t>.</w:t>
      </w:r>
      <w:r w:rsidRPr="009740C9">
        <w:t xml:space="preserve"> À </w:t>
      </w:r>
      <w:r>
        <w:t>sa</w:t>
      </w:r>
      <w:r w:rsidRPr="009740C9">
        <w:t xml:space="preserve"> demande, K</w:t>
      </w:r>
      <w:r w:rsidR="00630811" w:rsidRPr="00630811">
        <w:t>.</w:t>
      </w:r>
      <w:r w:rsidRPr="009740C9">
        <w:t> B</w:t>
      </w:r>
      <w:r w:rsidR="00630811" w:rsidRPr="00630811">
        <w:t>.</w:t>
      </w:r>
      <w:r w:rsidRPr="009740C9">
        <w:t> K</w:t>
      </w:r>
      <w:r w:rsidR="00630811" w:rsidRPr="00630811">
        <w:t>.</w:t>
      </w:r>
      <w:r w:rsidRPr="009740C9">
        <w:t>, l</w:t>
      </w:r>
      <w:r>
        <w:t>’</w:t>
      </w:r>
      <w:r w:rsidRPr="009740C9">
        <w:t>avocate que l</w:t>
      </w:r>
      <w:r>
        <w:t>’</w:t>
      </w:r>
      <w:r w:rsidRPr="009740C9">
        <w:t xml:space="preserve">État partie mentionne dans ses observations, a </w:t>
      </w:r>
      <w:r>
        <w:t>confirmé qu’il ne l’avait jamais engagée pour le représenter</w:t>
      </w:r>
      <w:r w:rsidR="00630811" w:rsidRPr="00630811">
        <w:t>.</w:t>
      </w:r>
      <w:r w:rsidRPr="009740C9">
        <w:t xml:space="preserve"> En outre, l</w:t>
      </w:r>
      <w:r>
        <w:t>’</w:t>
      </w:r>
      <w:r w:rsidRPr="009740C9">
        <w:t xml:space="preserve">auteur a soumis une lettre émanant du </w:t>
      </w:r>
      <w:r>
        <w:t>commissaire de police</w:t>
      </w:r>
      <w:r w:rsidRPr="009740C9">
        <w:t xml:space="preserve">, dans laquelle </w:t>
      </w:r>
      <w:r>
        <w:t>il est indiqué</w:t>
      </w:r>
      <w:r w:rsidRPr="009740C9">
        <w:t xml:space="preserve"> que l</w:t>
      </w:r>
      <w:r>
        <w:t>’</w:t>
      </w:r>
      <w:r w:rsidRPr="009740C9">
        <w:t xml:space="preserve">auteur a été conduit au commissariat </w:t>
      </w:r>
      <w:r>
        <w:t>à</w:t>
      </w:r>
      <w:r w:rsidRPr="009740C9">
        <w:t xml:space="preserve"> 1 heure du matin</w:t>
      </w:r>
      <w:r w:rsidR="007A7681">
        <w:t xml:space="preserve"> </w:t>
      </w:r>
      <w:r>
        <w:t xml:space="preserve">et non à </w:t>
      </w:r>
      <w:r w:rsidRPr="009740C9">
        <w:t>10 heures du matin</w:t>
      </w:r>
      <w:r>
        <w:t>,</w:t>
      </w:r>
      <w:r w:rsidRPr="009740C9">
        <w:t xml:space="preserve"> comme l</w:t>
      </w:r>
      <w:r>
        <w:t>’</w:t>
      </w:r>
      <w:r w:rsidRPr="009740C9">
        <w:t>a affirmé l</w:t>
      </w:r>
      <w:r>
        <w:t>’</w:t>
      </w:r>
      <w:r w:rsidRPr="009740C9">
        <w:t xml:space="preserve">État partie, </w:t>
      </w:r>
      <w:r>
        <w:t>le 21 août 2010</w:t>
      </w:r>
      <w:r w:rsidR="00630811" w:rsidRPr="00630811">
        <w:t>.</w:t>
      </w:r>
      <w:r>
        <w:t xml:space="preserve"> L’auteur affirme également qu’à ce moment-là </w:t>
      </w:r>
      <w:r w:rsidRPr="009740C9">
        <w:t>il n</w:t>
      </w:r>
      <w:r>
        <w:t>’</w:t>
      </w:r>
      <w:r w:rsidRPr="009740C9">
        <w:t>était pas accompagné d</w:t>
      </w:r>
      <w:r>
        <w:t>’</w:t>
      </w:r>
      <w:r w:rsidRPr="009740C9">
        <w:t>un défenseur</w:t>
      </w:r>
      <w:r w:rsidR="00630811" w:rsidRPr="00630811">
        <w:t>.</w:t>
      </w:r>
    </w:p>
    <w:p w14:paraId="06B9AA0C" w14:textId="77777777" w:rsidR="005C2947" w:rsidRPr="009740C9" w:rsidRDefault="005C2947" w:rsidP="005C2947">
      <w:pPr>
        <w:pStyle w:val="SingleTxtG"/>
      </w:pPr>
      <w:r w:rsidRPr="009740C9">
        <w:t>5</w:t>
      </w:r>
      <w:r w:rsidR="00630811" w:rsidRPr="00630811">
        <w:t>.</w:t>
      </w:r>
      <w:r w:rsidRPr="009740C9">
        <w:t>3</w:t>
      </w:r>
      <w:r w:rsidRPr="009740C9">
        <w:tab/>
        <w:t>L</w:t>
      </w:r>
      <w:r>
        <w:t>’</w:t>
      </w:r>
      <w:r w:rsidRPr="009740C9">
        <w:t>auteur affirme</w:t>
      </w:r>
      <w:r>
        <w:t xml:space="preserve"> aussi</w:t>
      </w:r>
      <w:r w:rsidRPr="009740C9">
        <w:t xml:space="preserve"> que</w:t>
      </w:r>
      <w:r>
        <w:t>,</w:t>
      </w:r>
      <w:r w:rsidRPr="009740C9">
        <w:t xml:space="preserve"> lorsqu</w:t>
      </w:r>
      <w:r>
        <w:t>’</w:t>
      </w:r>
      <w:r w:rsidRPr="009740C9">
        <w:t>il a été transféré du centre de détention provisoire à un quartier d</w:t>
      </w:r>
      <w:r>
        <w:t>’</w:t>
      </w:r>
      <w:r w:rsidRPr="009740C9">
        <w:t xml:space="preserve">isolement temporaire, </w:t>
      </w:r>
      <w:r>
        <w:t>son avocat n’était pas à ses côtés ;</w:t>
      </w:r>
      <w:r w:rsidRPr="009740C9">
        <w:t xml:space="preserve"> seul l</w:t>
      </w:r>
      <w:r>
        <w:t>’</w:t>
      </w:r>
      <w:r w:rsidRPr="009740C9">
        <w:t>enquêteur S</w:t>
      </w:r>
      <w:r w:rsidR="00630811" w:rsidRPr="00630811">
        <w:t>.</w:t>
      </w:r>
      <w:r w:rsidRPr="009740C9">
        <w:t> M</w:t>
      </w:r>
      <w:r w:rsidR="00630811" w:rsidRPr="00630811">
        <w:t>.</w:t>
      </w:r>
      <w:r w:rsidRPr="009740C9">
        <w:t> B</w:t>
      </w:r>
      <w:r w:rsidR="00630811" w:rsidRPr="00630811">
        <w:t>.</w:t>
      </w:r>
      <w:r w:rsidRPr="009740C9">
        <w:t xml:space="preserve"> était présent</w:t>
      </w:r>
      <w:r w:rsidR="00630811" w:rsidRPr="00630811">
        <w:t>.</w:t>
      </w:r>
      <w:r w:rsidRPr="009740C9">
        <w:t xml:space="preserve"> </w:t>
      </w:r>
      <w:r>
        <w:t>Il fait la même affirmation au sujet d</w:t>
      </w:r>
      <w:r w:rsidRPr="009740C9">
        <w:t>es 19 et 20 octobre 2010, dates auxquelles l</w:t>
      </w:r>
      <w:r>
        <w:t>’</w:t>
      </w:r>
      <w:r w:rsidRPr="009740C9">
        <w:t>auteur aurait soi-disant préparé sa défense avec son avocat, excepté que celui</w:t>
      </w:r>
      <w:r w:rsidR="008D5FCE">
        <w:noBreakHyphen/>
      </w:r>
      <w:r w:rsidRPr="009740C9">
        <w:t>ci n</w:t>
      </w:r>
      <w:r>
        <w:t>’</w:t>
      </w:r>
      <w:r w:rsidRPr="009740C9">
        <w:t xml:space="preserve">était pas </w:t>
      </w:r>
      <w:r>
        <w:t>présent</w:t>
      </w:r>
      <w:r w:rsidR="00630811" w:rsidRPr="00630811">
        <w:t>.</w:t>
      </w:r>
      <w:r w:rsidRPr="009740C9">
        <w:t xml:space="preserve"> </w:t>
      </w:r>
      <w:r>
        <w:t xml:space="preserve">La présence de </w:t>
      </w:r>
      <w:r w:rsidRPr="009740C9">
        <w:t>la signature de l</w:t>
      </w:r>
      <w:r>
        <w:t>’</w:t>
      </w:r>
      <w:r w:rsidRPr="009740C9">
        <w:t xml:space="preserve">avocat ne prouve </w:t>
      </w:r>
      <w:r>
        <w:t>pas que celui</w:t>
      </w:r>
      <w:r w:rsidR="008D5FCE">
        <w:noBreakHyphen/>
      </w:r>
      <w:r>
        <w:t>ci ait été là</w:t>
      </w:r>
      <w:r w:rsidRPr="009740C9">
        <w:t xml:space="preserve">, car </w:t>
      </w:r>
      <w:r>
        <w:t xml:space="preserve">la signature aurait pu être ajoutée </w:t>
      </w:r>
      <w:r w:rsidRPr="009740C9">
        <w:t>a posteriori</w:t>
      </w:r>
      <w:r w:rsidR="00630811" w:rsidRPr="00630811">
        <w:t>.</w:t>
      </w:r>
      <w:r w:rsidRPr="009740C9">
        <w:t xml:space="preserve"> En outre, le 6 octobre 2010, l</w:t>
      </w:r>
      <w:r>
        <w:t>’</w:t>
      </w:r>
      <w:r w:rsidRPr="009740C9">
        <w:t>auteur a conclu avec K</w:t>
      </w:r>
      <w:r w:rsidR="00630811" w:rsidRPr="00630811">
        <w:t>.</w:t>
      </w:r>
      <w:r w:rsidRPr="009740C9">
        <w:t> O</w:t>
      </w:r>
      <w:r w:rsidR="00630811" w:rsidRPr="00630811">
        <w:t>.</w:t>
      </w:r>
      <w:r w:rsidRPr="009740C9">
        <w:t> N</w:t>
      </w:r>
      <w:r w:rsidR="00630811" w:rsidRPr="00630811">
        <w:t>.</w:t>
      </w:r>
      <w:r w:rsidRPr="009740C9">
        <w:t>, un avocat indépendant, un accord autorisant ce dernier à le représenter, mais il n</w:t>
      </w:r>
      <w:r>
        <w:t>’</w:t>
      </w:r>
      <w:r w:rsidRPr="009740C9">
        <w:t>a été autorisé à le rencontrer que douze jours plus tard, soit le 18 octobre 2010</w:t>
      </w:r>
      <w:r w:rsidR="00630811" w:rsidRPr="00630811">
        <w:t>.</w:t>
      </w:r>
    </w:p>
    <w:p w14:paraId="1BBD37CC" w14:textId="77777777" w:rsidR="005C2947" w:rsidRPr="009740C9" w:rsidRDefault="005C2947" w:rsidP="005C2947">
      <w:pPr>
        <w:pStyle w:val="SingleTxtG"/>
      </w:pPr>
      <w:r w:rsidRPr="009740C9">
        <w:t>5</w:t>
      </w:r>
      <w:r w:rsidR="00630811" w:rsidRPr="00630811">
        <w:t>.</w:t>
      </w:r>
      <w:r w:rsidRPr="009740C9">
        <w:t>4</w:t>
      </w:r>
      <w:r w:rsidRPr="009740C9">
        <w:tab/>
        <w:t>L</w:t>
      </w:r>
      <w:r>
        <w:t>’</w:t>
      </w:r>
      <w:r w:rsidRPr="009740C9">
        <w:t xml:space="preserve">auteur affirme en outre que sa </w:t>
      </w:r>
      <w:r>
        <w:t>garde à vue</w:t>
      </w:r>
      <w:r w:rsidRPr="009740C9">
        <w:t xml:space="preserve"> de </w:t>
      </w:r>
      <w:r>
        <w:t xml:space="preserve">vingt-trois </w:t>
      </w:r>
      <w:r w:rsidRPr="009740C9">
        <w:t>heures au commissariat n</w:t>
      </w:r>
      <w:r w:rsidRPr="009740C9">
        <w:rPr>
          <w:vertAlign w:val="superscript"/>
        </w:rPr>
        <w:t>o</w:t>
      </w:r>
      <w:r w:rsidRPr="009740C9">
        <w:t xml:space="preserve"> 9 de Magnitogorsk </w:t>
      </w:r>
      <w:r>
        <w:t xml:space="preserve">a </w:t>
      </w:r>
      <w:r w:rsidRPr="009740C9">
        <w:t>constitu</w:t>
      </w:r>
      <w:r>
        <w:t>é</w:t>
      </w:r>
      <w:r w:rsidRPr="009740C9">
        <w:t xml:space="preserve"> une violation de ses droits</w:t>
      </w:r>
      <w:r w:rsidR="00630811" w:rsidRPr="00630811">
        <w:t>.</w:t>
      </w:r>
      <w:r w:rsidRPr="009740C9">
        <w:t xml:space="preserve"> </w:t>
      </w:r>
      <w:r>
        <w:t>Placé dans une cellule s</w:t>
      </w:r>
      <w:r w:rsidRPr="009740C9">
        <w:t xml:space="preserve">ans </w:t>
      </w:r>
      <w:r w:rsidRPr="00967CA1">
        <w:t>nulle part où</w:t>
      </w:r>
      <w:r>
        <w:t xml:space="preserve"> </w:t>
      </w:r>
      <w:r w:rsidRPr="009740C9">
        <w:t>s</w:t>
      </w:r>
      <w:r>
        <w:t>’</w:t>
      </w:r>
      <w:r w:rsidRPr="009740C9">
        <w:t>asseoir ou s</w:t>
      </w:r>
      <w:r>
        <w:t>’allonger excepté</w:t>
      </w:r>
      <w:r w:rsidRPr="009740C9">
        <w:t xml:space="preserve"> le sol en béton, il a été privé de nourriture, de sommeil et d</w:t>
      </w:r>
      <w:r>
        <w:t>’</w:t>
      </w:r>
      <w:r w:rsidRPr="009740C9">
        <w:t>accès aux installations sanitaires, et son interrogatoire a duré de très longues heures</w:t>
      </w:r>
      <w:r w:rsidR="00630811" w:rsidRPr="00630811">
        <w:t>.</w:t>
      </w:r>
      <w:r w:rsidRPr="009740C9">
        <w:t xml:space="preserve"> </w:t>
      </w:r>
      <w:r>
        <w:t>En outre, o</w:t>
      </w:r>
      <w:r w:rsidRPr="009740C9">
        <w:t>n l</w:t>
      </w:r>
      <w:r>
        <w:t>’</w:t>
      </w:r>
      <w:r w:rsidRPr="009740C9">
        <w:t>a forcé à signer des aveux et d</w:t>
      </w:r>
      <w:r>
        <w:t>’</w:t>
      </w:r>
      <w:r w:rsidRPr="009740C9">
        <w:t>autres documents de procédure, contre la promesse qu</w:t>
      </w:r>
      <w:r>
        <w:t>’</w:t>
      </w:r>
      <w:r w:rsidRPr="009740C9">
        <w:t>il serait mieux traité, par exemple qu</w:t>
      </w:r>
      <w:r>
        <w:t>’</w:t>
      </w:r>
      <w:r w:rsidRPr="009740C9">
        <w:t>il pourrait dormir sur un matelas</w:t>
      </w:r>
      <w:r w:rsidR="00630811" w:rsidRPr="00630811">
        <w:t>.</w:t>
      </w:r>
    </w:p>
    <w:p w14:paraId="451251BE" w14:textId="77777777" w:rsidR="005C2947" w:rsidRPr="009740C9" w:rsidRDefault="005C2947" w:rsidP="005C2947">
      <w:pPr>
        <w:pStyle w:val="SingleTxtG"/>
      </w:pPr>
      <w:r w:rsidRPr="009740C9">
        <w:t>5</w:t>
      </w:r>
      <w:r w:rsidR="00630811" w:rsidRPr="00630811">
        <w:t>.</w:t>
      </w:r>
      <w:r w:rsidRPr="009740C9">
        <w:t>5</w:t>
      </w:r>
      <w:r w:rsidRPr="009740C9">
        <w:tab/>
        <w:t xml:space="preserve">En ce qui concerne les </w:t>
      </w:r>
      <w:r>
        <w:t>allégations</w:t>
      </w:r>
      <w:r w:rsidRPr="009740C9">
        <w:t xml:space="preserve"> de la victime, l</w:t>
      </w:r>
      <w:r>
        <w:t>’</w:t>
      </w:r>
      <w:r w:rsidRPr="009740C9">
        <w:t>auteur affirme qu</w:t>
      </w:r>
      <w:r>
        <w:t xml:space="preserve">e, s’il lui a été permis de contester les témoignages à charge, </w:t>
      </w:r>
      <w:r w:rsidRPr="009740C9">
        <w:t>il n</w:t>
      </w:r>
      <w:r>
        <w:t>’</w:t>
      </w:r>
      <w:r w:rsidRPr="009740C9">
        <w:t>a pas pu procéder au contre-interrogatoire du principal témoin à charge</w:t>
      </w:r>
      <w:r>
        <w:t xml:space="preserve"> </w:t>
      </w:r>
      <w:r w:rsidR="007A7681">
        <w:t>− </w:t>
      </w:r>
      <w:r>
        <w:t>la victime elle-même</w:t>
      </w:r>
      <w:r w:rsidR="007A7681">
        <w:t> −</w:t>
      </w:r>
      <w:r w:rsidRPr="009740C9">
        <w:t xml:space="preserve"> car</w:t>
      </w:r>
      <w:r>
        <w:t>, à l’audience,</w:t>
      </w:r>
      <w:r w:rsidRPr="009740C9">
        <w:t xml:space="preserve"> </w:t>
      </w:r>
      <w:r>
        <w:t>il a seulement été donné lecture de ses déclarations</w:t>
      </w:r>
      <w:r w:rsidR="00630811" w:rsidRPr="00630811">
        <w:t>.</w:t>
      </w:r>
      <w:r w:rsidRPr="009740C9">
        <w:t xml:space="preserve"> Un autre témoin important, L</w:t>
      </w:r>
      <w:r w:rsidR="00630811" w:rsidRPr="00630811">
        <w:t>.</w:t>
      </w:r>
      <w:r w:rsidRPr="009740C9">
        <w:t> M</w:t>
      </w:r>
      <w:r w:rsidR="00630811" w:rsidRPr="00630811">
        <w:t>.</w:t>
      </w:r>
      <w:r w:rsidRPr="009740C9">
        <w:t> A</w:t>
      </w:r>
      <w:r w:rsidR="00630811" w:rsidRPr="00630811">
        <w:t>.</w:t>
      </w:r>
      <w:r w:rsidRPr="009740C9">
        <w:t>, a été entendu par le tribunal, mais le juge n</w:t>
      </w:r>
      <w:r>
        <w:t>’</w:t>
      </w:r>
      <w:r w:rsidRPr="009740C9">
        <w:t>a pas permis qu</w:t>
      </w:r>
      <w:r>
        <w:t>’</w:t>
      </w:r>
      <w:r w:rsidRPr="009740C9">
        <w:t>on l</w:t>
      </w:r>
      <w:r>
        <w:t>’</w:t>
      </w:r>
      <w:r w:rsidRPr="009740C9">
        <w:t>interroge</w:t>
      </w:r>
      <w:r w:rsidR="00630811" w:rsidRPr="00630811">
        <w:t>.</w:t>
      </w:r>
    </w:p>
    <w:p w14:paraId="6AD6CE8C" w14:textId="77777777" w:rsidR="005C2947" w:rsidRPr="009740C9" w:rsidRDefault="005C2947" w:rsidP="005C2947">
      <w:pPr>
        <w:pStyle w:val="SingleTxtG"/>
      </w:pPr>
      <w:r w:rsidRPr="009740C9">
        <w:t>5</w:t>
      </w:r>
      <w:r w:rsidR="00630811" w:rsidRPr="00630811">
        <w:t>.</w:t>
      </w:r>
      <w:r w:rsidRPr="009740C9">
        <w:t>6</w:t>
      </w:r>
      <w:r w:rsidRPr="009740C9">
        <w:tab/>
        <w:t>L</w:t>
      </w:r>
      <w:r>
        <w:t>’</w:t>
      </w:r>
      <w:r w:rsidRPr="009740C9">
        <w:t xml:space="preserve">auteur affirme en outre que son droit </w:t>
      </w:r>
      <w:r>
        <w:t>d’être présumé innocent jusqu’à ce que sa culpabilité ait été établie</w:t>
      </w:r>
      <w:r w:rsidRPr="009740C9">
        <w:t xml:space="preserve"> a été violé lorsqu</w:t>
      </w:r>
      <w:r>
        <w:t>’</w:t>
      </w:r>
      <w:r w:rsidRPr="009740C9">
        <w:t xml:space="preserve">il a été présenté à la télévision comme </w:t>
      </w:r>
      <w:r>
        <w:t>un « beau-père violeur »</w:t>
      </w:r>
      <w:r w:rsidR="00630811" w:rsidRPr="00630811">
        <w:t>.</w:t>
      </w:r>
      <w:r w:rsidRPr="009740C9">
        <w:t xml:space="preserve"> L</w:t>
      </w:r>
      <w:r>
        <w:t>’</w:t>
      </w:r>
      <w:r w:rsidRPr="009740C9">
        <w:t>auteur a demandé au Président du tribunal de se récuser, mais celui-ci a refusé</w:t>
      </w:r>
      <w:r w:rsidR="00630811" w:rsidRPr="00630811">
        <w:t>.</w:t>
      </w:r>
    </w:p>
    <w:p w14:paraId="4DBEB99C" w14:textId="77777777" w:rsidR="005C2947" w:rsidRPr="009740C9" w:rsidRDefault="005C2947" w:rsidP="005C2947">
      <w:pPr>
        <w:pStyle w:val="SingleTxtG"/>
      </w:pPr>
      <w:r w:rsidRPr="009740C9">
        <w:t>5</w:t>
      </w:r>
      <w:r w:rsidR="00630811" w:rsidRPr="00630811">
        <w:t>.</w:t>
      </w:r>
      <w:r w:rsidRPr="009740C9">
        <w:t>7</w:t>
      </w:r>
      <w:r w:rsidRPr="009740C9">
        <w:tab/>
        <w:t>L</w:t>
      </w:r>
      <w:r>
        <w:t>’</w:t>
      </w:r>
      <w:r w:rsidRPr="009740C9">
        <w:t xml:space="preserve">auteur a également demandé à être jugé par un jury, mais </w:t>
      </w:r>
      <w:r>
        <w:t>cette</w:t>
      </w:r>
      <w:r w:rsidRPr="009740C9">
        <w:t xml:space="preserve"> demande a </w:t>
      </w:r>
      <w:r>
        <w:t xml:space="preserve">également </w:t>
      </w:r>
      <w:r w:rsidRPr="009740C9">
        <w:t>été rejetée</w:t>
      </w:r>
      <w:r w:rsidR="00630811" w:rsidRPr="00630811">
        <w:t>.</w:t>
      </w:r>
      <w:r w:rsidRPr="009740C9">
        <w:t xml:space="preserve"> L</w:t>
      </w:r>
      <w:r>
        <w:t>’</w:t>
      </w:r>
      <w:r w:rsidRPr="009740C9">
        <w:t>auteur souhaitait être jugé par ses pairs, gage selon lui d</w:t>
      </w:r>
      <w:r>
        <w:t>’</w:t>
      </w:r>
      <w:r w:rsidRPr="009740C9">
        <w:t>un procès plus transparent et plus équitable, mais le tribunal a estimé qu</w:t>
      </w:r>
      <w:r>
        <w:t>’</w:t>
      </w:r>
      <w:r w:rsidRPr="009740C9">
        <w:t>il n</w:t>
      </w:r>
      <w:r>
        <w:t>’</w:t>
      </w:r>
      <w:r w:rsidRPr="009740C9">
        <w:t>y avait aucune raison d</w:t>
      </w:r>
      <w:r>
        <w:t>’</w:t>
      </w:r>
      <w:r w:rsidRPr="009740C9">
        <w:t>accéder à sa demande, violant de ce fait son droit à un procès équitable</w:t>
      </w:r>
      <w:r w:rsidR="00630811" w:rsidRPr="00630811">
        <w:t>.</w:t>
      </w:r>
    </w:p>
    <w:p w14:paraId="28E36D1D" w14:textId="77777777" w:rsidR="005C2947" w:rsidRPr="009740C9" w:rsidRDefault="005C2947" w:rsidP="00FC552B">
      <w:pPr>
        <w:pStyle w:val="H23G"/>
      </w:pPr>
      <w:r w:rsidRPr="009740C9">
        <w:tab/>
      </w:r>
      <w:r w:rsidRPr="009740C9">
        <w:tab/>
        <w:t>Observations complémentaires</w:t>
      </w:r>
    </w:p>
    <w:p w14:paraId="37DDCA67" w14:textId="77777777" w:rsidR="005C2947" w:rsidRPr="009740C9" w:rsidRDefault="005C2947" w:rsidP="00FC552B">
      <w:pPr>
        <w:pStyle w:val="H4G"/>
      </w:pPr>
      <w:r w:rsidRPr="009740C9">
        <w:tab/>
      </w:r>
      <w:r w:rsidRPr="009740C9">
        <w:tab/>
        <w:t>De l</w:t>
      </w:r>
      <w:r>
        <w:t>’</w:t>
      </w:r>
      <w:r w:rsidRPr="009740C9">
        <w:t>État partie</w:t>
      </w:r>
    </w:p>
    <w:p w14:paraId="52AA953A" w14:textId="77777777" w:rsidR="005C2947" w:rsidRPr="009740C9" w:rsidRDefault="005C2947" w:rsidP="005C2947">
      <w:pPr>
        <w:pStyle w:val="SingleTxtG"/>
      </w:pPr>
      <w:r w:rsidRPr="009740C9">
        <w:t>6</w:t>
      </w:r>
      <w:r w:rsidR="00630811" w:rsidRPr="00630811">
        <w:t>.</w:t>
      </w:r>
      <w:r w:rsidRPr="009740C9">
        <w:t>1</w:t>
      </w:r>
      <w:r w:rsidRPr="009740C9">
        <w:tab/>
        <w:t xml:space="preserve">Dans des notes verbales </w:t>
      </w:r>
      <w:r>
        <w:t xml:space="preserve">datées </w:t>
      </w:r>
      <w:r w:rsidRPr="009740C9">
        <w:t>d</w:t>
      </w:r>
      <w:r>
        <w:t>es</w:t>
      </w:r>
      <w:r w:rsidRPr="009740C9">
        <w:t xml:space="preserve"> 13 février </w:t>
      </w:r>
      <w:r>
        <w:t xml:space="preserve">2015, </w:t>
      </w:r>
      <w:r w:rsidRPr="009740C9">
        <w:t>30 juillet 2015 et 22 janvier 2016, l</w:t>
      </w:r>
      <w:r>
        <w:t>’</w:t>
      </w:r>
      <w:r w:rsidRPr="009740C9">
        <w:t>État partie a réaffirmé sa position selon laquelle l</w:t>
      </w:r>
      <w:r>
        <w:t>’</w:t>
      </w:r>
      <w:r w:rsidRPr="009740C9">
        <w:t>auteur a bénéficié de l</w:t>
      </w:r>
      <w:r>
        <w:t>’</w:t>
      </w:r>
      <w:r w:rsidRPr="009740C9">
        <w:t>assistance d</w:t>
      </w:r>
      <w:r>
        <w:t>’</w:t>
      </w:r>
      <w:r w:rsidRPr="009740C9">
        <w:t>un avocat dès son arrestation</w:t>
      </w:r>
      <w:r w:rsidR="00630811" w:rsidRPr="00630811">
        <w:t>.</w:t>
      </w:r>
      <w:r w:rsidRPr="009740C9">
        <w:t xml:space="preserve"> Lorsqu</w:t>
      </w:r>
      <w:r>
        <w:t>’</w:t>
      </w:r>
      <w:r w:rsidRPr="009740C9">
        <w:t>un défendeur n</w:t>
      </w:r>
      <w:r>
        <w:t>’</w:t>
      </w:r>
      <w:r w:rsidRPr="009740C9">
        <w:t>a pas les moyens de s</w:t>
      </w:r>
      <w:r>
        <w:t>’</w:t>
      </w:r>
      <w:r w:rsidRPr="009740C9">
        <w:t>assurer les services d</w:t>
      </w:r>
      <w:r>
        <w:t>’</w:t>
      </w:r>
      <w:r w:rsidRPr="009740C9">
        <w:t>un avocat, un conseil est commis d</w:t>
      </w:r>
      <w:r>
        <w:t>’</w:t>
      </w:r>
      <w:r w:rsidRPr="009740C9">
        <w:t>office pour le défendre, sans qu</w:t>
      </w:r>
      <w:r>
        <w:t>’</w:t>
      </w:r>
      <w:r w:rsidRPr="009740C9">
        <w:t>un quelconque contrat ou accord doive être signé</w:t>
      </w:r>
      <w:r w:rsidR="00630811" w:rsidRPr="00630811">
        <w:t>.</w:t>
      </w:r>
      <w:r w:rsidRPr="009740C9">
        <w:t xml:space="preserve"> L</w:t>
      </w:r>
      <w:r>
        <w:t>’</w:t>
      </w:r>
      <w:r w:rsidRPr="009740C9">
        <w:t>auteur a communiqué une lettre de son conseil, K</w:t>
      </w:r>
      <w:r w:rsidR="00630811" w:rsidRPr="00630811">
        <w:t>.</w:t>
      </w:r>
      <w:r w:rsidRPr="009740C9">
        <w:t> B</w:t>
      </w:r>
      <w:r w:rsidR="00630811" w:rsidRPr="00630811">
        <w:t>.</w:t>
      </w:r>
      <w:r w:rsidRPr="009740C9">
        <w:t> K</w:t>
      </w:r>
      <w:r w:rsidR="00630811" w:rsidRPr="00630811">
        <w:t>.</w:t>
      </w:r>
      <w:r w:rsidRPr="009740C9">
        <w:t xml:space="preserve">, dans laquelle celle-ci déclare simplement </w:t>
      </w:r>
      <w:r>
        <w:t>qu’</w:t>
      </w:r>
      <w:r w:rsidRPr="009740C9">
        <w:t xml:space="preserve">aucun contrat </w:t>
      </w:r>
      <w:r>
        <w:t>n’a été signé</w:t>
      </w:r>
      <w:r w:rsidR="00630811" w:rsidRPr="00630811">
        <w:t>.</w:t>
      </w:r>
      <w:r w:rsidRPr="009740C9">
        <w:t xml:space="preserve"> Au moment de son arrestation, l</w:t>
      </w:r>
      <w:r>
        <w:t>’</w:t>
      </w:r>
      <w:r w:rsidRPr="009740C9">
        <w:t>auteur n</w:t>
      </w:r>
      <w:r>
        <w:t>’</w:t>
      </w:r>
      <w:r w:rsidRPr="009740C9">
        <w:t>a</w:t>
      </w:r>
      <w:r>
        <w:t xml:space="preserve">vait </w:t>
      </w:r>
      <w:r w:rsidRPr="009740C9">
        <w:t>pas d</w:t>
      </w:r>
      <w:r>
        <w:t>’</w:t>
      </w:r>
      <w:r w:rsidRPr="009740C9">
        <w:t>avocat</w:t>
      </w:r>
      <w:r>
        <w:t> ; c’est pourquoi il en a été commis un d’office</w:t>
      </w:r>
      <w:r w:rsidR="00630811" w:rsidRPr="00630811">
        <w:t>.</w:t>
      </w:r>
      <w:r w:rsidRPr="009740C9">
        <w:t xml:space="preserve"> Le 21 août 2010, l</w:t>
      </w:r>
      <w:r>
        <w:t>’</w:t>
      </w:r>
      <w:r w:rsidRPr="009740C9">
        <w:t>enquêteur chargé de l</w:t>
      </w:r>
      <w:r>
        <w:t>’</w:t>
      </w:r>
      <w:r w:rsidRPr="009740C9">
        <w:t>affaire a donc désigné un</w:t>
      </w:r>
      <w:r>
        <w:t>e avocate</w:t>
      </w:r>
      <w:r w:rsidRPr="009740C9">
        <w:t>, K</w:t>
      </w:r>
      <w:r w:rsidR="00630811" w:rsidRPr="00630811">
        <w:t>.</w:t>
      </w:r>
      <w:r w:rsidRPr="009740C9">
        <w:t> B</w:t>
      </w:r>
      <w:r w:rsidR="00630811" w:rsidRPr="00630811">
        <w:t>.</w:t>
      </w:r>
      <w:r w:rsidRPr="009740C9">
        <w:t> K</w:t>
      </w:r>
      <w:r w:rsidR="00630811" w:rsidRPr="00630811">
        <w:t>.</w:t>
      </w:r>
      <w:r w:rsidRPr="009740C9">
        <w:t xml:space="preserve">, pour le représenter, par ordonnance </w:t>
      </w:r>
      <w:r>
        <w:t>(</w:t>
      </w:r>
      <w:r w:rsidRPr="009740C9">
        <w:rPr>
          <w:rFonts w:eastAsia="MS Mincho"/>
        </w:rPr>
        <w:t>n</w:t>
      </w:r>
      <w:r w:rsidRPr="009740C9">
        <w:rPr>
          <w:rFonts w:eastAsia="MS Mincho"/>
          <w:vertAlign w:val="superscript"/>
        </w:rPr>
        <w:t>o</w:t>
      </w:r>
      <w:r w:rsidRPr="009740C9">
        <w:t> 1088</w:t>
      </w:r>
      <w:r>
        <w:t>)</w:t>
      </w:r>
      <w:r w:rsidR="00630811" w:rsidRPr="00630811">
        <w:t>.</w:t>
      </w:r>
      <w:r w:rsidRPr="009740C9">
        <w:t xml:space="preserve"> Le même jour, l</w:t>
      </w:r>
      <w:r>
        <w:t>’</w:t>
      </w:r>
      <w:r w:rsidRPr="009740C9">
        <w:t>auteur a fait l</w:t>
      </w:r>
      <w:r>
        <w:t>’</w:t>
      </w:r>
      <w:r w:rsidRPr="009740C9">
        <w:t>objet de deux interrogatoires, en présence de son avocate</w:t>
      </w:r>
      <w:r w:rsidR="00630811" w:rsidRPr="00630811">
        <w:t>.</w:t>
      </w:r>
    </w:p>
    <w:p w14:paraId="752BBAAB" w14:textId="77777777" w:rsidR="005C2947" w:rsidRPr="009740C9" w:rsidRDefault="005C2947" w:rsidP="005C2947">
      <w:pPr>
        <w:pStyle w:val="SingleTxtG"/>
      </w:pPr>
      <w:r w:rsidRPr="009740C9">
        <w:lastRenderedPageBreak/>
        <w:t>6</w:t>
      </w:r>
      <w:r w:rsidR="00630811" w:rsidRPr="00630811">
        <w:t>.</w:t>
      </w:r>
      <w:r w:rsidRPr="009740C9">
        <w:t>2</w:t>
      </w:r>
      <w:r w:rsidRPr="009740C9">
        <w:tab/>
        <w:t xml:space="preserve">Le 21 août 2010, comme </w:t>
      </w:r>
      <w:r>
        <w:t>en atteste</w:t>
      </w:r>
      <w:r w:rsidRPr="009740C9">
        <w:t xml:space="preserve"> le procès-verbal, un policier du commissariat n</w:t>
      </w:r>
      <w:r w:rsidRPr="009740C9">
        <w:rPr>
          <w:vertAlign w:val="superscript"/>
        </w:rPr>
        <w:t>o</w:t>
      </w:r>
      <w:r w:rsidRPr="009740C9">
        <w:t> 9 a pris la déposition de l</w:t>
      </w:r>
      <w:r>
        <w:t>’</w:t>
      </w:r>
      <w:r w:rsidRPr="009740C9">
        <w:t>auteur, venu de son plein gré avouer à la police que, le 20 août 2010, il était venu chercher sa belle-fille en voiture au domicile de sa belle-mère, qu</w:t>
      </w:r>
      <w:r>
        <w:t>’</w:t>
      </w:r>
      <w:r w:rsidRPr="009740C9">
        <w:t>il l</w:t>
      </w:r>
      <w:r>
        <w:t>’</w:t>
      </w:r>
      <w:r w:rsidRPr="009740C9">
        <w:t>avait emmenée dans une forêt, et qu</w:t>
      </w:r>
      <w:r>
        <w:t>’</w:t>
      </w:r>
      <w:r w:rsidRPr="009740C9">
        <w:t>il l</w:t>
      </w:r>
      <w:r>
        <w:t>’</w:t>
      </w:r>
      <w:r w:rsidRPr="009740C9">
        <w:t>avait violée</w:t>
      </w:r>
      <w:r w:rsidR="00630811" w:rsidRPr="00630811">
        <w:t>.</w:t>
      </w:r>
      <w:r w:rsidRPr="009740C9">
        <w:t xml:space="preserve"> Une fois sa déposition faite, l</w:t>
      </w:r>
      <w:r>
        <w:t>’</w:t>
      </w:r>
      <w:r w:rsidRPr="009740C9">
        <w:t xml:space="preserve">auteur a été immédiatement arrêté en tant que suspect et transféré à un centre de détention temporaire, en application de </w:t>
      </w:r>
      <w:r>
        <w:t xml:space="preserve">la loi relative à la </w:t>
      </w:r>
      <w:r w:rsidRPr="009740C9">
        <w:t>procédure pénale</w:t>
      </w:r>
      <w:r w:rsidR="00630811" w:rsidRPr="00630811">
        <w:t>.</w:t>
      </w:r>
      <w:r w:rsidRPr="009740C9">
        <w:t xml:space="preserve"> Lorsque l</w:t>
      </w:r>
      <w:r>
        <w:t>’</w:t>
      </w:r>
      <w:r w:rsidRPr="009740C9">
        <w:t xml:space="preserve">auteur a été conduit </w:t>
      </w:r>
      <w:r>
        <w:t>au centre de détention</w:t>
      </w:r>
      <w:r w:rsidRPr="009740C9">
        <w:t>, son corps ne présentait aucune lésion corroborant ses allégations selon lesquelles il avait été battu par les policiers</w:t>
      </w:r>
      <w:r w:rsidR="00630811" w:rsidRPr="00630811">
        <w:t>.</w:t>
      </w:r>
      <w:r w:rsidRPr="009740C9">
        <w:t xml:space="preserve"> L</w:t>
      </w:r>
      <w:r>
        <w:t>’</w:t>
      </w:r>
      <w:r w:rsidRPr="009740C9">
        <w:t>auteur a seulement informé le personnel médical qu</w:t>
      </w:r>
      <w:r>
        <w:t>’</w:t>
      </w:r>
      <w:r w:rsidRPr="009740C9">
        <w:t>il était séropositif et qu</w:t>
      </w:r>
      <w:r>
        <w:t>’</w:t>
      </w:r>
      <w:r w:rsidRPr="009740C9">
        <w:t>il avait des douleurs dans la poitrine</w:t>
      </w:r>
      <w:r w:rsidR="00630811" w:rsidRPr="00630811">
        <w:t>.</w:t>
      </w:r>
      <w:r w:rsidRPr="009740C9">
        <w:t xml:space="preserve"> L</w:t>
      </w:r>
      <w:r>
        <w:t>’</w:t>
      </w:r>
      <w:r w:rsidRPr="009740C9">
        <w:t>auteur ne s</w:t>
      </w:r>
      <w:r>
        <w:t>’</w:t>
      </w:r>
      <w:r w:rsidRPr="009740C9">
        <w:t>est pas plaint d</w:t>
      </w:r>
      <w:r>
        <w:t>’</w:t>
      </w:r>
      <w:r w:rsidRPr="009740C9">
        <w:t>avoir été torturé à ses compagnons de cellule ni à son avocate</w:t>
      </w:r>
      <w:r w:rsidR="00630811" w:rsidRPr="00630811">
        <w:t>.</w:t>
      </w:r>
    </w:p>
    <w:p w14:paraId="29A521D7" w14:textId="77777777" w:rsidR="005C2947" w:rsidRPr="009740C9" w:rsidRDefault="005C2947" w:rsidP="005C2947">
      <w:pPr>
        <w:pStyle w:val="SingleTxtG"/>
      </w:pPr>
      <w:r w:rsidRPr="009740C9">
        <w:t>6</w:t>
      </w:r>
      <w:r w:rsidR="00630811" w:rsidRPr="00630811">
        <w:t>.</w:t>
      </w:r>
      <w:r w:rsidRPr="009740C9">
        <w:t>3</w:t>
      </w:r>
      <w:r w:rsidRPr="009740C9">
        <w:tab/>
        <w:t xml:space="preserve">Le 22 août 2010, le tribunal du district </w:t>
      </w:r>
      <w:proofErr w:type="spellStart"/>
      <w:r w:rsidRPr="009740C9">
        <w:t>Pravoberejny</w:t>
      </w:r>
      <w:proofErr w:type="spellEnd"/>
      <w:r w:rsidRPr="009740C9">
        <w:t xml:space="preserve"> de Magnitogorsk a décidé de maintenir l</w:t>
      </w:r>
      <w:r>
        <w:t>’</w:t>
      </w:r>
      <w:r w:rsidRPr="009740C9">
        <w:t>auteur en détention en attendant qu</w:t>
      </w:r>
      <w:r>
        <w:t>’</w:t>
      </w:r>
      <w:r w:rsidRPr="009740C9">
        <w:t>il soit jugé</w:t>
      </w:r>
      <w:r w:rsidR="00630811" w:rsidRPr="00630811">
        <w:t>.</w:t>
      </w:r>
    </w:p>
    <w:p w14:paraId="3F10085A" w14:textId="77777777" w:rsidR="005C2947" w:rsidRPr="009740C9" w:rsidRDefault="005C2947" w:rsidP="005C2947">
      <w:pPr>
        <w:pStyle w:val="SingleTxtG"/>
      </w:pPr>
      <w:r w:rsidRPr="009740C9">
        <w:t>6</w:t>
      </w:r>
      <w:r w:rsidR="00630811" w:rsidRPr="00630811">
        <w:t>.</w:t>
      </w:r>
      <w:r w:rsidRPr="009740C9">
        <w:t>4</w:t>
      </w:r>
      <w:r w:rsidRPr="009740C9">
        <w:tab/>
        <w:t>En ce qui concerne son droit d</w:t>
      </w:r>
      <w:r>
        <w:t>’</w:t>
      </w:r>
      <w:r w:rsidRPr="009740C9">
        <w:t>être assisté par un avocat, l</w:t>
      </w:r>
      <w:r>
        <w:t>’</w:t>
      </w:r>
      <w:r w:rsidRPr="009740C9">
        <w:t>auteur a communiqué une lettre qui, selon lui, prouve qu</w:t>
      </w:r>
      <w:r>
        <w:t>’</w:t>
      </w:r>
      <w:r w:rsidRPr="009740C9">
        <w:t>il n</w:t>
      </w:r>
      <w:r>
        <w:t>’</w:t>
      </w:r>
      <w:r w:rsidRPr="009740C9">
        <w:t>a reçu la visite d</w:t>
      </w:r>
      <w:r>
        <w:t>’</w:t>
      </w:r>
      <w:r w:rsidRPr="009740C9">
        <w:t>aucun conseil pendant sa détention temporaire, soit entre le 22 août 2010 et le 30 mars 2011</w:t>
      </w:r>
      <w:r w:rsidR="00630811" w:rsidRPr="00630811">
        <w:t>.</w:t>
      </w:r>
      <w:r w:rsidRPr="009740C9">
        <w:t xml:space="preserve"> Pourtant, lorsque K</w:t>
      </w:r>
      <w:r w:rsidR="00630811" w:rsidRPr="00630811">
        <w:t>.</w:t>
      </w:r>
      <w:r w:rsidRPr="009740C9">
        <w:t> B</w:t>
      </w:r>
      <w:r w:rsidR="00630811" w:rsidRPr="00630811">
        <w:t>.</w:t>
      </w:r>
      <w:r w:rsidRPr="009740C9">
        <w:t> K</w:t>
      </w:r>
      <w:r w:rsidR="00630811" w:rsidRPr="00630811">
        <w:t>.</w:t>
      </w:r>
      <w:r w:rsidRPr="009740C9">
        <w:t xml:space="preserve">, son avocate, a été interrogée le 24 juillet 2012, elle a confirmé </w:t>
      </w:r>
      <w:r>
        <w:t>avoir</w:t>
      </w:r>
      <w:r w:rsidRPr="009740C9">
        <w:t xml:space="preserve"> assisté aux interrogatoires</w:t>
      </w:r>
      <w:r w:rsidR="00630811" w:rsidRPr="00630811">
        <w:t>.</w:t>
      </w:r>
      <w:r w:rsidRPr="009740C9">
        <w:t xml:space="preserve"> À l</w:t>
      </w:r>
      <w:r>
        <w:t>’</w:t>
      </w:r>
      <w:r w:rsidRPr="009740C9">
        <w:t>époque, ni elle ni l</w:t>
      </w:r>
      <w:r>
        <w:t>’</w:t>
      </w:r>
      <w:r w:rsidRPr="009740C9">
        <w:t>auteur n</w:t>
      </w:r>
      <w:r>
        <w:t>’</w:t>
      </w:r>
      <w:r w:rsidRPr="009740C9">
        <w:t>ont déposé aucune plainte contre les policiers</w:t>
      </w:r>
      <w:r w:rsidR="00630811" w:rsidRPr="00630811">
        <w:t>.</w:t>
      </w:r>
    </w:p>
    <w:p w14:paraId="651D36F7" w14:textId="77777777" w:rsidR="005C2947" w:rsidRPr="009740C9" w:rsidRDefault="005C2947" w:rsidP="005C2947">
      <w:pPr>
        <w:pStyle w:val="SingleTxtG"/>
      </w:pPr>
      <w:r w:rsidRPr="009740C9">
        <w:t>6</w:t>
      </w:r>
      <w:r w:rsidR="00630811" w:rsidRPr="00630811">
        <w:t>.</w:t>
      </w:r>
      <w:r w:rsidRPr="009740C9">
        <w:t>5</w:t>
      </w:r>
      <w:r w:rsidRPr="009740C9">
        <w:tab/>
        <w:t>Cherchant à tromper le Comité, l</w:t>
      </w:r>
      <w:r>
        <w:t>’</w:t>
      </w:r>
      <w:r w:rsidRPr="009740C9">
        <w:t xml:space="preserve">auteur affirme </w:t>
      </w:r>
      <w:r>
        <w:t>que les autorités l’ont empêché de</w:t>
      </w:r>
      <w:r w:rsidRPr="009740C9">
        <w:t xml:space="preserve"> voir K</w:t>
      </w:r>
      <w:r w:rsidR="00630811" w:rsidRPr="00630811">
        <w:t>.</w:t>
      </w:r>
      <w:r w:rsidRPr="009740C9">
        <w:t> O</w:t>
      </w:r>
      <w:r w:rsidR="00630811" w:rsidRPr="00630811">
        <w:t>.</w:t>
      </w:r>
      <w:r w:rsidRPr="009740C9">
        <w:t> N</w:t>
      </w:r>
      <w:r w:rsidR="00630811" w:rsidRPr="00630811">
        <w:t>.</w:t>
      </w:r>
      <w:r w:rsidRPr="009740C9">
        <w:t>, l</w:t>
      </w:r>
      <w:r>
        <w:t>’</w:t>
      </w:r>
      <w:r w:rsidRPr="009740C9">
        <w:t>avocat qu</w:t>
      </w:r>
      <w:r>
        <w:t>’</w:t>
      </w:r>
      <w:r w:rsidRPr="009740C9">
        <w:t>il avait engagé par contrat en date du 6 octobre 2010, avant le 18 octobre 2010</w:t>
      </w:r>
      <w:r w:rsidR="00630811" w:rsidRPr="00630811">
        <w:t>.</w:t>
      </w:r>
      <w:r w:rsidRPr="009740C9">
        <w:t xml:space="preserve"> En réalité, le registre des visites</w:t>
      </w:r>
      <w:r>
        <w:t>, que l’auteur a lui-même fourni,</w:t>
      </w:r>
      <w:r w:rsidRPr="009740C9">
        <w:t xml:space="preserve"> montre que l</w:t>
      </w:r>
      <w:r>
        <w:t>’</w:t>
      </w:r>
      <w:r w:rsidRPr="009740C9">
        <w:t xml:space="preserve">avocat a rencontré son client le 7 octobre 2010, dans les locaux </w:t>
      </w:r>
      <w:r>
        <w:t xml:space="preserve">du centre </w:t>
      </w:r>
      <w:r w:rsidRPr="009740C9">
        <w:t>de détention temporaire</w:t>
      </w:r>
      <w:r w:rsidR="00630811" w:rsidRPr="00630811">
        <w:t>.</w:t>
      </w:r>
      <w:r w:rsidRPr="009740C9">
        <w:t xml:space="preserve"> En outre, à l</w:t>
      </w:r>
      <w:r>
        <w:t>’</w:t>
      </w:r>
      <w:r w:rsidRPr="009740C9">
        <w:t>audience du 14 octobre 2010 concernant la détention provisoire de l</w:t>
      </w:r>
      <w:r>
        <w:t>’</w:t>
      </w:r>
      <w:r w:rsidRPr="009740C9">
        <w:t>auteur, celui-ci était représenté par K</w:t>
      </w:r>
      <w:r w:rsidR="00630811" w:rsidRPr="00630811">
        <w:t>.</w:t>
      </w:r>
      <w:r w:rsidRPr="009740C9">
        <w:t> O</w:t>
      </w:r>
      <w:r w:rsidR="00630811" w:rsidRPr="00630811">
        <w:t>.</w:t>
      </w:r>
      <w:r w:rsidRPr="009740C9">
        <w:t> N</w:t>
      </w:r>
      <w:r w:rsidR="00630811" w:rsidRPr="00630811">
        <w:t>.</w:t>
      </w:r>
      <w:r w:rsidRPr="009740C9">
        <w:t xml:space="preserve"> D</w:t>
      </w:r>
      <w:r>
        <w:t>’</w:t>
      </w:r>
      <w:r w:rsidRPr="009740C9">
        <w:t>après les informations que l</w:t>
      </w:r>
      <w:r>
        <w:t>’</w:t>
      </w:r>
      <w:r w:rsidRPr="009740C9">
        <w:t>État partie a obtenues, K</w:t>
      </w:r>
      <w:r w:rsidR="00630811" w:rsidRPr="00630811">
        <w:t>.</w:t>
      </w:r>
      <w:r w:rsidRPr="009740C9">
        <w:t> O</w:t>
      </w:r>
      <w:r w:rsidR="00630811" w:rsidRPr="00630811">
        <w:t>.</w:t>
      </w:r>
      <w:r w:rsidRPr="009740C9">
        <w:t> N</w:t>
      </w:r>
      <w:r w:rsidR="00630811" w:rsidRPr="00630811">
        <w:t>.</w:t>
      </w:r>
      <w:r w:rsidRPr="009740C9">
        <w:t xml:space="preserve"> et deux autres défenseurs ont rendu visite à l</w:t>
      </w:r>
      <w:r>
        <w:t>’</w:t>
      </w:r>
      <w:r w:rsidRPr="009740C9">
        <w:t>auteur à neuf autres reprises</w:t>
      </w:r>
      <w:r w:rsidR="00630811" w:rsidRPr="00630811">
        <w:t>.</w:t>
      </w:r>
      <w:r w:rsidRPr="009740C9">
        <w:t xml:space="preserve"> La durée des entretiens de l</w:t>
      </w:r>
      <w:r>
        <w:t>’</w:t>
      </w:r>
      <w:r w:rsidRPr="009740C9">
        <w:t>auteur avec ses défenseurs n</w:t>
      </w:r>
      <w:r>
        <w:t>’</w:t>
      </w:r>
      <w:r w:rsidRPr="009740C9">
        <w:t>était pas limitée</w:t>
      </w:r>
      <w:r w:rsidR="00630811" w:rsidRPr="00630811">
        <w:t>.</w:t>
      </w:r>
      <w:r w:rsidRPr="009740C9">
        <w:t xml:space="preserve"> Le fait que K</w:t>
      </w:r>
      <w:r w:rsidR="00630811" w:rsidRPr="00630811">
        <w:t>.</w:t>
      </w:r>
      <w:r w:rsidRPr="009740C9">
        <w:t> O</w:t>
      </w:r>
      <w:r w:rsidR="00630811" w:rsidRPr="00630811">
        <w:t>.</w:t>
      </w:r>
      <w:r w:rsidRPr="009740C9">
        <w:t> N</w:t>
      </w:r>
      <w:r w:rsidR="00630811" w:rsidRPr="00630811">
        <w:t>.</w:t>
      </w:r>
      <w:r w:rsidRPr="009740C9">
        <w:t xml:space="preserve"> ait décidé de ne pas voir son client plus souvent prouve que l</w:t>
      </w:r>
      <w:r>
        <w:t>’</w:t>
      </w:r>
      <w:r w:rsidRPr="009740C9">
        <w:t>auteur a bénéficié de l</w:t>
      </w:r>
      <w:r>
        <w:t>’</w:t>
      </w:r>
      <w:r w:rsidRPr="009740C9">
        <w:t>assistance voulue</w:t>
      </w:r>
      <w:r w:rsidR="00630811" w:rsidRPr="00630811">
        <w:t>.</w:t>
      </w:r>
    </w:p>
    <w:p w14:paraId="2CD28C81" w14:textId="77777777" w:rsidR="005C2947" w:rsidRPr="009740C9" w:rsidRDefault="005C2947" w:rsidP="005C2947">
      <w:pPr>
        <w:pStyle w:val="SingleTxtG"/>
      </w:pPr>
      <w:r w:rsidRPr="009740C9">
        <w:t>6</w:t>
      </w:r>
      <w:r w:rsidR="00630811" w:rsidRPr="00630811">
        <w:t>.</w:t>
      </w:r>
      <w:r w:rsidRPr="009740C9">
        <w:t>6</w:t>
      </w:r>
      <w:r w:rsidRPr="009740C9">
        <w:tab/>
        <w:t>En outre, l</w:t>
      </w:r>
      <w:r>
        <w:t>’</w:t>
      </w:r>
      <w:r w:rsidRPr="009740C9">
        <w:t xml:space="preserve">auteur affirme que le traitement auquel il a été soumis pendant les </w:t>
      </w:r>
      <w:r>
        <w:t>vingt</w:t>
      </w:r>
      <w:r>
        <w:noBreakHyphen/>
        <w:t xml:space="preserve">trois </w:t>
      </w:r>
      <w:r w:rsidRPr="009740C9">
        <w:t>heures qu</w:t>
      </w:r>
      <w:r>
        <w:t>’</w:t>
      </w:r>
      <w:r w:rsidRPr="009740C9">
        <w:t xml:space="preserve">il a passées en </w:t>
      </w:r>
      <w:r>
        <w:t>garde à vue</w:t>
      </w:r>
      <w:r w:rsidRPr="009740C9">
        <w:t xml:space="preserve"> au commissariat n</w:t>
      </w:r>
      <w:r w:rsidRPr="009740C9">
        <w:rPr>
          <w:vertAlign w:val="superscript"/>
        </w:rPr>
        <w:t>o</w:t>
      </w:r>
      <w:r w:rsidRPr="009740C9">
        <w:t xml:space="preserve"> 9 </w:t>
      </w:r>
      <w:r w:rsidR="00FC552B">
        <w:t>− </w:t>
      </w:r>
      <w:r>
        <w:t>placé dans une cellule s</w:t>
      </w:r>
      <w:r w:rsidRPr="009740C9">
        <w:t xml:space="preserve">ans </w:t>
      </w:r>
      <w:r>
        <w:t xml:space="preserve">nulle part où </w:t>
      </w:r>
      <w:r w:rsidRPr="009740C9">
        <w:t>s</w:t>
      </w:r>
      <w:r>
        <w:t>’</w:t>
      </w:r>
      <w:r w:rsidRPr="009740C9">
        <w:t>asseoir ou s</w:t>
      </w:r>
      <w:r>
        <w:t>’allonger excepté</w:t>
      </w:r>
      <w:r w:rsidRPr="009740C9">
        <w:t xml:space="preserve"> le sol en béton,</w:t>
      </w:r>
      <w:r>
        <w:t xml:space="preserve"> et</w:t>
      </w:r>
      <w:r w:rsidRPr="009740C9">
        <w:t xml:space="preserve"> privé de nourriture</w:t>
      </w:r>
      <w:r w:rsidR="00FC552B">
        <w:t> </w:t>
      </w:r>
      <w:r w:rsidRPr="009740C9">
        <w:t>− était inhumain</w:t>
      </w:r>
      <w:r w:rsidR="00630811" w:rsidRPr="00630811">
        <w:t>.</w:t>
      </w:r>
      <w:r>
        <w:t xml:space="preserve"> L</w:t>
      </w:r>
      <w:r w:rsidRPr="009740C9">
        <w:t xml:space="preserve">a lettre signée par le </w:t>
      </w:r>
      <w:r>
        <w:t>commissaire</w:t>
      </w:r>
      <w:r w:rsidRPr="009740C9">
        <w:t xml:space="preserve"> </w:t>
      </w:r>
      <w:r>
        <w:t xml:space="preserve">qu’il </w:t>
      </w:r>
      <w:r w:rsidRPr="009740C9">
        <w:t xml:space="preserve">a présentée confirme </w:t>
      </w:r>
      <w:r>
        <w:t xml:space="preserve">toutefois </w:t>
      </w:r>
      <w:r w:rsidRPr="009740C9">
        <w:t>qu</w:t>
      </w:r>
      <w:r>
        <w:t>’</w:t>
      </w:r>
      <w:r w:rsidRPr="009740C9">
        <w:t>il n</w:t>
      </w:r>
      <w:r>
        <w:t>’</w:t>
      </w:r>
      <w:r w:rsidRPr="009740C9">
        <w:t xml:space="preserve">a </w:t>
      </w:r>
      <w:r>
        <w:t>passé</w:t>
      </w:r>
      <w:r w:rsidRPr="009740C9">
        <w:t xml:space="preserve"> que deux heures</w:t>
      </w:r>
      <w:r>
        <w:t xml:space="preserve"> au commissariat</w:t>
      </w:r>
      <w:r w:rsidRPr="009740C9">
        <w:t xml:space="preserve">, </w:t>
      </w:r>
      <w:r>
        <w:t>entre</w:t>
      </w:r>
      <w:r w:rsidRPr="009740C9">
        <w:t xml:space="preserve"> 1 heure </w:t>
      </w:r>
      <w:r>
        <w:t>et</w:t>
      </w:r>
      <w:r w:rsidRPr="009740C9">
        <w:t xml:space="preserve"> 3 heures du matin, le 21 août 2010, et que, dans cet intervalle, il n</w:t>
      </w:r>
      <w:r>
        <w:t>’</w:t>
      </w:r>
      <w:r w:rsidRPr="009740C9">
        <w:t xml:space="preserve">a déposé aucune plainte concernant ses conditions de </w:t>
      </w:r>
      <w:r>
        <w:t>garde à vue</w:t>
      </w:r>
      <w:r w:rsidR="00630811" w:rsidRPr="00630811">
        <w:t>.</w:t>
      </w:r>
    </w:p>
    <w:p w14:paraId="2465047C" w14:textId="77777777" w:rsidR="005C2947" w:rsidRPr="009740C9" w:rsidRDefault="005C2947" w:rsidP="005C2947">
      <w:pPr>
        <w:pStyle w:val="SingleTxtG"/>
      </w:pPr>
      <w:r w:rsidRPr="009740C9">
        <w:t>6</w:t>
      </w:r>
      <w:r w:rsidR="00630811" w:rsidRPr="00630811">
        <w:t>.</w:t>
      </w:r>
      <w:r w:rsidRPr="009740C9">
        <w:t>7</w:t>
      </w:r>
      <w:r w:rsidRPr="009740C9">
        <w:tab/>
        <w:t>Comme indiqué précédemment, les autorités de l</w:t>
      </w:r>
      <w:r>
        <w:t>’</w:t>
      </w:r>
      <w:r w:rsidRPr="009740C9">
        <w:t xml:space="preserve">État partie ont ouvert une procédure de contrôle au titre des articles 144 et 145 </w:t>
      </w:r>
      <w:r>
        <w:t>de la loi relative à la</w:t>
      </w:r>
      <w:r w:rsidRPr="009740C9">
        <w:t xml:space="preserve"> procédure pénale, en réponse aux allégations de l</w:t>
      </w:r>
      <w:r>
        <w:t>’</w:t>
      </w:r>
      <w:r w:rsidRPr="009740C9">
        <w:t>auteur selon lesquelles il avait subi des violences et avait été soumis à d</w:t>
      </w:r>
      <w:r>
        <w:t>’</w:t>
      </w:r>
      <w:r w:rsidRPr="009740C9">
        <w:t xml:space="preserve">autres </w:t>
      </w:r>
      <w:r>
        <w:t>formes de traitement illégales pendant l’enquête</w:t>
      </w:r>
      <w:r w:rsidR="00630811" w:rsidRPr="00630811">
        <w:t>.</w:t>
      </w:r>
      <w:r w:rsidRPr="009740C9">
        <w:t xml:space="preserve"> À l</w:t>
      </w:r>
      <w:r>
        <w:t>’</w:t>
      </w:r>
      <w:r w:rsidRPr="009740C9">
        <w:t>issue de cette procédure, la décision a été prise, en date du 9 août 2012, de ne pas engager d</w:t>
      </w:r>
      <w:r>
        <w:t>’</w:t>
      </w:r>
      <w:r w:rsidRPr="009740C9">
        <w:t>action pénale</w:t>
      </w:r>
      <w:r w:rsidR="00630811" w:rsidRPr="00630811">
        <w:t>.</w:t>
      </w:r>
      <w:r w:rsidRPr="009740C9">
        <w:t xml:space="preserve"> Le 14 septembre 2012, le tribunal du district </w:t>
      </w:r>
      <w:proofErr w:type="spellStart"/>
      <w:r w:rsidRPr="009740C9">
        <w:t>Pravoberejny</w:t>
      </w:r>
      <w:proofErr w:type="spellEnd"/>
      <w:r w:rsidRPr="009740C9">
        <w:t xml:space="preserve"> de Magnitogorsk a confirmé la légalité de cette décision</w:t>
      </w:r>
      <w:r w:rsidR="00630811" w:rsidRPr="00630811">
        <w:t>.</w:t>
      </w:r>
      <w:r w:rsidRPr="009740C9">
        <w:t xml:space="preserve"> La véracité des allégations de l</w:t>
      </w:r>
      <w:r>
        <w:t>’</w:t>
      </w:r>
      <w:r w:rsidRPr="009740C9">
        <w:t xml:space="preserve">auteur est également contestée </w:t>
      </w:r>
      <w:r>
        <w:t>parce</w:t>
      </w:r>
      <w:r w:rsidRPr="009740C9">
        <w:t xml:space="preserve"> qu</w:t>
      </w:r>
      <w:r>
        <w:t>’</w:t>
      </w:r>
      <w:r w:rsidRPr="009740C9">
        <w:t>à aucun moment −</w:t>
      </w:r>
      <w:r w:rsidR="008D5FCE">
        <w:t> </w:t>
      </w:r>
      <w:r w:rsidRPr="009740C9">
        <w:t xml:space="preserve">ni pendant sa </w:t>
      </w:r>
      <w:r>
        <w:t>garde à vue</w:t>
      </w:r>
      <w:r w:rsidRPr="009740C9">
        <w:t xml:space="preserve"> au commissariat, ni pendant l</w:t>
      </w:r>
      <w:r>
        <w:t>’</w:t>
      </w:r>
      <w:r w:rsidRPr="009740C9">
        <w:t>enquête, ni devant le tribunal</w:t>
      </w:r>
      <w:r w:rsidR="008D5FCE">
        <w:t> </w:t>
      </w:r>
      <w:r w:rsidRPr="009740C9">
        <w:t>− il ne s</w:t>
      </w:r>
      <w:r>
        <w:t>’</w:t>
      </w:r>
      <w:r w:rsidRPr="009740C9">
        <w:t xml:space="preserve">est plaint </w:t>
      </w:r>
      <w:r>
        <w:t xml:space="preserve">de n’avoir pu s’asseoir ou s’allonger ailleurs que sur le sol en béton de sa cellule et d’avoir été </w:t>
      </w:r>
      <w:r w:rsidRPr="009740C9">
        <w:t xml:space="preserve">privé de nourriture et </w:t>
      </w:r>
      <w:r>
        <w:t>empêché d’aller</w:t>
      </w:r>
      <w:r w:rsidRPr="009740C9">
        <w:t xml:space="preserve"> aux toilettes</w:t>
      </w:r>
      <w:r w:rsidR="00630811" w:rsidRPr="00630811">
        <w:t>.</w:t>
      </w:r>
      <w:r w:rsidRPr="009740C9">
        <w:t xml:space="preserve"> En outre, lorsqu</w:t>
      </w:r>
      <w:r>
        <w:t>’</w:t>
      </w:r>
      <w:r w:rsidRPr="009740C9">
        <w:t>il a été interrogé le 14 mai 2012, l</w:t>
      </w:r>
      <w:r>
        <w:t>’</w:t>
      </w:r>
      <w:r w:rsidRPr="009740C9">
        <w:t>auteur a déclaré qu</w:t>
      </w:r>
      <w:r>
        <w:t>’</w:t>
      </w:r>
      <w:r w:rsidRPr="009740C9">
        <w:t>après son arrestation, il avait été conduit au commissariat n</w:t>
      </w:r>
      <w:r w:rsidRPr="009740C9">
        <w:rPr>
          <w:vertAlign w:val="superscript"/>
        </w:rPr>
        <w:t>o</w:t>
      </w:r>
      <w:r w:rsidRPr="009740C9">
        <w:t> 9, alors que, d</w:t>
      </w:r>
      <w:r>
        <w:t>’</w:t>
      </w:r>
      <w:r w:rsidRPr="009740C9">
        <w:t>après le registre de</w:t>
      </w:r>
      <w:r>
        <w:t>s gardes à vue</w:t>
      </w:r>
      <w:r w:rsidRPr="009740C9">
        <w:t xml:space="preserve">, il a été </w:t>
      </w:r>
      <w:r>
        <w:t>gardé à vue</w:t>
      </w:r>
      <w:r w:rsidRPr="009740C9">
        <w:t xml:space="preserve"> dans un bureau (le bureau n</w:t>
      </w:r>
      <w:r w:rsidRPr="009740C9">
        <w:rPr>
          <w:vertAlign w:val="superscript"/>
        </w:rPr>
        <w:t>o</w:t>
      </w:r>
      <w:r w:rsidRPr="009740C9">
        <w:t> 39), non dans une cellule</w:t>
      </w:r>
      <w:r w:rsidR="00630811" w:rsidRPr="00630811">
        <w:t>.</w:t>
      </w:r>
    </w:p>
    <w:p w14:paraId="5269D7CC" w14:textId="77777777" w:rsidR="005C2947" w:rsidRPr="009740C9" w:rsidRDefault="005C2947" w:rsidP="005C2947">
      <w:pPr>
        <w:pStyle w:val="SingleTxtG"/>
      </w:pPr>
      <w:r w:rsidRPr="009740C9">
        <w:t>6</w:t>
      </w:r>
      <w:r w:rsidR="00630811" w:rsidRPr="00630811">
        <w:t>.</w:t>
      </w:r>
      <w:r w:rsidRPr="009740C9">
        <w:t>8</w:t>
      </w:r>
      <w:r w:rsidRPr="009740C9">
        <w:tab/>
        <w:t>Eu égard à l</w:t>
      </w:r>
      <w:r>
        <w:t>’</w:t>
      </w:r>
      <w:r w:rsidRPr="009740C9">
        <w:t xml:space="preserve">article 31 </w:t>
      </w:r>
      <w:r>
        <w:t xml:space="preserve">de la loi relative à la </w:t>
      </w:r>
      <w:r w:rsidRPr="009740C9">
        <w:t>procédure pénale en vigueur à l</w:t>
      </w:r>
      <w:r>
        <w:t>’</w:t>
      </w:r>
      <w:r w:rsidRPr="009740C9">
        <w:t>époque, l</w:t>
      </w:r>
      <w:r>
        <w:t>’</w:t>
      </w:r>
      <w:r w:rsidRPr="009740C9">
        <w:t>affaire n</w:t>
      </w:r>
      <w:r>
        <w:t>’</w:t>
      </w:r>
      <w:r w:rsidRPr="009740C9">
        <w:t>aurait pas pu, contrairement à ce que l</w:t>
      </w:r>
      <w:r>
        <w:t>’</w:t>
      </w:r>
      <w:r w:rsidRPr="009740C9">
        <w:t>auteur prétend, être jugée par un jury</w:t>
      </w:r>
      <w:r w:rsidR="00630811" w:rsidRPr="00630811">
        <w:t>.</w:t>
      </w:r>
    </w:p>
    <w:p w14:paraId="41888347" w14:textId="77777777" w:rsidR="005C2947" w:rsidRPr="009740C9" w:rsidRDefault="005C2947" w:rsidP="005C2947">
      <w:pPr>
        <w:pStyle w:val="SingleTxtG"/>
      </w:pPr>
      <w:r w:rsidRPr="009740C9">
        <w:t>6</w:t>
      </w:r>
      <w:r w:rsidR="00630811" w:rsidRPr="00630811">
        <w:t>.</w:t>
      </w:r>
      <w:r w:rsidRPr="009740C9">
        <w:t>9</w:t>
      </w:r>
      <w:r w:rsidRPr="009740C9">
        <w:tab/>
        <w:t>L</w:t>
      </w:r>
      <w:r>
        <w:t>’</w:t>
      </w:r>
      <w:r w:rsidRPr="009740C9">
        <w:t>auteur a</w:t>
      </w:r>
      <w:r>
        <w:t>vait</w:t>
      </w:r>
      <w:r w:rsidRPr="009740C9">
        <w:t xml:space="preserve"> voulu intenter une action pénale contre les employés de la chaîne de télévision « TV-IN », mais sa plainte a</w:t>
      </w:r>
      <w:r>
        <w:t>vait</w:t>
      </w:r>
      <w:r w:rsidRPr="009740C9">
        <w:t xml:space="preserve"> été rejetée le 4 février 2011</w:t>
      </w:r>
      <w:r w:rsidR="00630811" w:rsidRPr="00630811">
        <w:t>.</w:t>
      </w:r>
      <w:r w:rsidRPr="009740C9">
        <w:t xml:space="preserve"> Le 22 décembre 2014, le procureur adjoint du </w:t>
      </w:r>
      <w:r>
        <w:t xml:space="preserve">tribunal du </w:t>
      </w:r>
      <w:r w:rsidRPr="009740C9">
        <w:t xml:space="preserve">district </w:t>
      </w:r>
      <w:proofErr w:type="spellStart"/>
      <w:r w:rsidRPr="009740C9">
        <w:t>Pravoberejny</w:t>
      </w:r>
      <w:proofErr w:type="spellEnd"/>
      <w:r w:rsidRPr="009740C9">
        <w:t xml:space="preserve"> a annulé cette décision et demandé que les faits soient réexaminés</w:t>
      </w:r>
      <w:r w:rsidR="00630811" w:rsidRPr="00630811">
        <w:t>.</w:t>
      </w:r>
      <w:r w:rsidRPr="009740C9">
        <w:t xml:space="preserve"> </w:t>
      </w:r>
      <w:r>
        <w:t>Les résultats d’un tel réexamen ne devraient pas, cependant, avoir d’incidence</w:t>
      </w:r>
      <w:r w:rsidRPr="009740C9">
        <w:t xml:space="preserve"> sur la régularité de son procès</w:t>
      </w:r>
      <w:r w:rsidR="00630811" w:rsidRPr="00630811">
        <w:t>.</w:t>
      </w:r>
      <w:r w:rsidRPr="009740C9">
        <w:t xml:space="preserve"> L</w:t>
      </w:r>
      <w:r>
        <w:t>’</w:t>
      </w:r>
      <w:r w:rsidRPr="009740C9">
        <w:t>auteur n</w:t>
      </w:r>
      <w:r>
        <w:t>’</w:t>
      </w:r>
      <w:r w:rsidRPr="009740C9">
        <w:t xml:space="preserve">a pas demandé au </w:t>
      </w:r>
      <w:r w:rsidRPr="009740C9">
        <w:lastRenderedPageBreak/>
        <w:t>juge de se récuser</w:t>
      </w:r>
      <w:r w:rsidR="00630811" w:rsidRPr="00630811">
        <w:t>.</w:t>
      </w:r>
      <w:r w:rsidRPr="009740C9">
        <w:t xml:space="preserve"> En outre, L</w:t>
      </w:r>
      <w:r w:rsidR="00630811" w:rsidRPr="00630811">
        <w:t>.</w:t>
      </w:r>
      <w:r w:rsidRPr="009740C9">
        <w:t> M</w:t>
      </w:r>
      <w:r w:rsidR="00630811" w:rsidRPr="00630811">
        <w:t>.</w:t>
      </w:r>
      <w:r w:rsidRPr="009740C9">
        <w:t> A</w:t>
      </w:r>
      <w:r w:rsidR="00630811" w:rsidRPr="00630811">
        <w:t>.</w:t>
      </w:r>
      <w:r w:rsidRPr="009740C9">
        <w:t xml:space="preserve"> n</w:t>
      </w:r>
      <w:r>
        <w:t>’</w:t>
      </w:r>
      <w:r w:rsidRPr="009740C9">
        <w:t>a pas été citée en tant que témoin</w:t>
      </w:r>
      <w:r w:rsidRPr="005C2947">
        <w:rPr>
          <w:rStyle w:val="Appelnotedebasdep"/>
        </w:rPr>
        <w:footnoteReference w:id="7"/>
      </w:r>
      <w:r w:rsidRPr="009740C9">
        <w:t>, mais en tant que professeur</w:t>
      </w:r>
      <w:r w:rsidR="00630811" w:rsidRPr="00630811">
        <w:t>.</w:t>
      </w:r>
    </w:p>
    <w:p w14:paraId="2D21104A" w14:textId="77777777" w:rsidR="005C2947" w:rsidRPr="009740C9" w:rsidRDefault="005C2947" w:rsidP="005C2947">
      <w:pPr>
        <w:pStyle w:val="SingleTxtG"/>
      </w:pPr>
      <w:r w:rsidRPr="009740C9">
        <w:t>6</w:t>
      </w:r>
      <w:r w:rsidR="00630811" w:rsidRPr="00630811">
        <w:t>.</w:t>
      </w:r>
      <w:r w:rsidRPr="009740C9">
        <w:t>10</w:t>
      </w:r>
      <w:r w:rsidRPr="009740C9">
        <w:tab/>
        <w:t>La communication de l</w:t>
      </w:r>
      <w:r>
        <w:t>’</w:t>
      </w:r>
      <w:r w:rsidRPr="009740C9">
        <w:t xml:space="preserve">auteur ne contient donc aucune information de nature à confirmer </w:t>
      </w:r>
      <w:r>
        <w:t xml:space="preserve">une quelconque </w:t>
      </w:r>
      <w:r w:rsidRPr="009740C9">
        <w:t>violation du Pacte, ce qui peut être considéré comme un abus du droit de présenter des communications</w:t>
      </w:r>
      <w:r w:rsidR="00630811" w:rsidRPr="00630811">
        <w:t>.</w:t>
      </w:r>
      <w:r>
        <w:t xml:space="preserve"> Elle </w:t>
      </w:r>
      <w:r w:rsidRPr="009740C9">
        <w:t>devrait donc être déclarée irrecevable</w:t>
      </w:r>
      <w:r w:rsidR="00630811" w:rsidRPr="00630811">
        <w:t>.</w:t>
      </w:r>
    </w:p>
    <w:p w14:paraId="687AA406" w14:textId="77777777" w:rsidR="005C2947" w:rsidRPr="009740C9" w:rsidRDefault="005C2947" w:rsidP="005C2947">
      <w:pPr>
        <w:pStyle w:val="SingleTxtG"/>
      </w:pPr>
      <w:r w:rsidRPr="009740C9">
        <w:t>6</w:t>
      </w:r>
      <w:r w:rsidR="00630811" w:rsidRPr="00630811">
        <w:t>.</w:t>
      </w:r>
      <w:r w:rsidRPr="009740C9">
        <w:t>11</w:t>
      </w:r>
      <w:r w:rsidRPr="009740C9">
        <w:tab/>
        <w:t>Contrairement à ce qu</w:t>
      </w:r>
      <w:r>
        <w:t>’</w:t>
      </w:r>
      <w:r w:rsidRPr="009740C9">
        <w:t>il prétend, l</w:t>
      </w:r>
      <w:r>
        <w:t>’</w:t>
      </w:r>
      <w:r w:rsidRPr="009740C9">
        <w:t>auteur n</w:t>
      </w:r>
      <w:r>
        <w:t>’</w:t>
      </w:r>
      <w:r w:rsidRPr="009740C9">
        <w:t>a pas été reconnu coupable de plusieurs infractions, mais d</w:t>
      </w:r>
      <w:r>
        <w:t>’</w:t>
      </w:r>
      <w:r w:rsidRPr="009740C9">
        <w:t xml:space="preserve">une seule et même infraction, </w:t>
      </w:r>
      <w:r>
        <w:t>sur le fondement de</w:t>
      </w:r>
      <w:r w:rsidRPr="009740C9">
        <w:t xml:space="preserve"> l</w:t>
      </w:r>
      <w:r>
        <w:t>’</w:t>
      </w:r>
      <w:r w:rsidRPr="009740C9">
        <w:t xml:space="preserve">article 132 </w:t>
      </w:r>
      <w:r>
        <w:t>de la loi</w:t>
      </w:r>
      <w:r w:rsidRPr="009740C9">
        <w:t xml:space="preserve"> pénal</w:t>
      </w:r>
      <w:r>
        <w:t>e</w:t>
      </w:r>
      <w:r w:rsidRPr="009740C9">
        <w:t xml:space="preserve"> en vigueur au moment des faits</w:t>
      </w:r>
      <w:r w:rsidR="00630811" w:rsidRPr="00630811">
        <w:t>.</w:t>
      </w:r>
    </w:p>
    <w:p w14:paraId="43F35C69" w14:textId="77777777" w:rsidR="005C2947" w:rsidRPr="009740C9" w:rsidRDefault="005C2947" w:rsidP="005C2947">
      <w:pPr>
        <w:pStyle w:val="H4G"/>
      </w:pPr>
      <w:r w:rsidRPr="009740C9">
        <w:tab/>
      </w:r>
      <w:r w:rsidRPr="009740C9">
        <w:tab/>
        <w:t>De l</w:t>
      </w:r>
      <w:r>
        <w:t>’</w:t>
      </w:r>
      <w:r w:rsidRPr="009740C9">
        <w:t>auteur</w:t>
      </w:r>
      <w:r w:rsidRPr="005C2947">
        <w:rPr>
          <w:rStyle w:val="Appelnotedebasdep"/>
          <w:i w:val="0"/>
          <w:iCs/>
        </w:rPr>
        <w:footnoteReference w:id="8"/>
      </w:r>
    </w:p>
    <w:p w14:paraId="6A2D0700" w14:textId="77777777" w:rsidR="005C2947" w:rsidRPr="009740C9" w:rsidRDefault="005C2947" w:rsidP="005C2947">
      <w:pPr>
        <w:pStyle w:val="SingleTxtG"/>
      </w:pPr>
      <w:r w:rsidRPr="009740C9">
        <w:t>7</w:t>
      </w:r>
      <w:r w:rsidR="00630811" w:rsidRPr="00630811">
        <w:t>.</w:t>
      </w:r>
      <w:r w:rsidRPr="009740C9">
        <w:t>1</w:t>
      </w:r>
      <w:r w:rsidRPr="009740C9">
        <w:tab/>
        <w:t>Le 13 février 2015, l</w:t>
      </w:r>
      <w:r>
        <w:t>’</w:t>
      </w:r>
      <w:r w:rsidRPr="009740C9">
        <w:t>auteur a communiqué des observations complémentaires dans lesquelles il affirme que l</w:t>
      </w:r>
      <w:r>
        <w:t>’</w:t>
      </w:r>
      <w:r w:rsidRPr="009740C9">
        <w:t>État partie a dénaturé ses propos</w:t>
      </w:r>
      <w:r w:rsidR="00630811" w:rsidRPr="00630811">
        <w:t>.</w:t>
      </w:r>
      <w:r w:rsidRPr="009740C9">
        <w:t xml:space="preserve"> Par exemple, les autorités de l</w:t>
      </w:r>
      <w:r>
        <w:t>’</w:t>
      </w:r>
      <w:r w:rsidRPr="009740C9">
        <w:t>État partie affirment que les informations consignées dans le registre d</w:t>
      </w:r>
      <w:r>
        <w:t>’écrou du centre d</w:t>
      </w:r>
      <w:r w:rsidRPr="009740C9">
        <w:t>e détention temporaire ne sont pas correctes et que la liste des personnes ayant rendu visite à l</w:t>
      </w:r>
      <w:r>
        <w:t>’</w:t>
      </w:r>
      <w:r w:rsidRPr="009740C9">
        <w:t>auteur qui y figure est incomplète</w:t>
      </w:r>
      <w:r w:rsidR="00630811" w:rsidRPr="00630811">
        <w:t>.</w:t>
      </w:r>
      <w:r w:rsidRPr="009740C9">
        <w:t xml:space="preserve"> L</w:t>
      </w:r>
      <w:r>
        <w:t>’</w:t>
      </w:r>
      <w:r w:rsidRPr="009740C9">
        <w:t>auteur affirme au contraire qu</w:t>
      </w:r>
      <w:r>
        <w:t>’</w:t>
      </w:r>
      <w:r w:rsidRPr="009740C9">
        <w:t>aucune visite n</w:t>
      </w:r>
      <w:r>
        <w:t>’</w:t>
      </w:r>
      <w:r w:rsidRPr="009740C9">
        <w:t>a été omise dans le registre, qui indique par exemple qu</w:t>
      </w:r>
      <w:r>
        <w:t>’</w:t>
      </w:r>
      <w:r w:rsidRPr="009740C9">
        <w:t>il a été transféré du centre de détention provisoire au centre de détention temporaire le 23 septembre 2010 à la demande d</w:t>
      </w:r>
      <w:r>
        <w:t>’</w:t>
      </w:r>
      <w:r w:rsidRPr="009740C9">
        <w:t>un enquêteur, S</w:t>
      </w:r>
      <w:r w:rsidR="00630811" w:rsidRPr="00630811">
        <w:t>.</w:t>
      </w:r>
      <w:r w:rsidRPr="009740C9">
        <w:t> M</w:t>
      </w:r>
      <w:r w:rsidR="00630811" w:rsidRPr="00630811">
        <w:t>.</w:t>
      </w:r>
      <w:r w:rsidRPr="009740C9">
        <w:t> B</w:t>
      </w:r>
      <w:r w:rsidR="00630811" w:rsidRPr="00630811">
        <w:t>.</w:t>
      </w:r>
      <w:r w:rsidRPr="009740C9">
        <w:t>, aux fins d</w:t>
      </w:r>
      <w:r>
        <w:t>’</w:t>
      </w:r>
      <w:r w:rsidRPr="009740C9">
        <w:t>enquête</w:t>
      </w:r>
      <w:r w:rsidR="00630811" w:rsidRPr="00630811">
        <w:t>.</w:t>
      </w:r>
      <w:r w:rsidRPr="009740C9">
        <w:t xml:space="preserve"> L</w:t>
      </w:r>
      <w:r>
        <w:t>’</w:t>
      </w:r>
      <w:r w:rsidRPr="009740C9">
        <w:t>auteur a</w:t>
      </w:r>
      <w:r>
        <w:t xml:space="preserve"> bien</w:t>
      </w:r>
      <w:r w:rsidRPr="009740C9">
        <w:t xml:space="preserve"> été conduit </w:t>
      </w:r>
      <w:r>
        <w:t>à un centre de détention temporaire</w:t>
      </w:r>
      <w:r w:rsidRPr="009740C9">
        <w:t>, mais ni l</w:t>
      </w:r>
      <w:r>
        <w:t>’</w:t>
      </w:r>
      <w:r w:rsidRPr="009740C9">
        <w:t>enquêteur, ni son avocat, ne sont venus</w:t>
      </w:r>
      <w:r w:rsidR="00630811" w:rsidRPr="00630811">
        <w:t>.</w:t>
      </w:r>
      <w:r w:rsidRPr="009740C9">
        <w:t xml:space="preserve"> L</w:t>
      </w:r>
      <w:r>
        <w:t>’</w:t>
      </w:r>
      <w:r w:rsidRPr="009740C9">
        <w:t>auteur affirme que cette situation s</w:t>
      </w:r>
      <w:r>
        <w:t>’</w:t>
      </w:r>
      <w:r w:rsidRPr="009740C9">
        <w:t>est produite à plusieurs reprises, ce qui prouve qu</w:t>
      </w:r>
      <w:r>
        <w:t>’</w:t>
      </w:r>
      <w:r w:rsidRPr="009740C9">
        <w:t>il y a eu violation de son droit d</w:t>
      </w:r>
      <w:r>
        <w:t>’</w:t>
      </w:r>
      <w:r w:rsidRPr="009740C9">
        <w:t>être assisté par un avocat</w:t>
      </w:r>
      <w:r w:rsidR="00630811" w:rsidRPr="00630811">
        <w:t>.</w:t>
      </w:r>
      <w:r w:rsidRPr="009740C9">
        <w:t xml:space="preserve"> La signature </w:t>
      </w:r>
      <w:r>
        <w:t>de l’avocat</w:t>
      </w:r>
      <w:r w:rsidRPr="009740C9">
        <w:t xml:space="preserve"> de l</w:t>
      </w:r>
      <w:r>
        <w:t>’</w:t>
      </w:r>
      <w:r w:rsidRPr="009740C9">
        <w:t>auteur a été ajoutée sur plusieurs documents a posteriori</w:t>
      </w:r>
      <w:r w:rsidR="00630811" w:rsidRPr="00630811">
        <w:t>.</w:t>
      </w:r>
      <w:r w:rsidRPr="009740C9">
        <w:t xml:space="preserve"> Les autorités de l</w:t>
      </w:r>
      <w:r>
        <w:t>’</w:t>
      </w:r>
      <w:r w:rsidRPr="009740C9">
        <w:t>État partie n</w:t>
      </w:r>
      <w:r>
        <w:t>’</w:t>
      </w:r>
      <w:r w:rsidRPr="009740C9">
        <w:t>ont apporté aucun élément prouvant qu</w:t>
      </w:r>
      <w:r>
        <w:t>’</w:t>
      </w:r>
      <w:r w:rsidRPr="009740C9">
        <w:t xml:space="preserve">un avocat </w:t>
      </w:r>
      <w:r w:rsidR="008D5FCE">
        <w:t>− </w:t>
      </w:r>
      <w:r w:rsidRPr="009740C9">
        <w:t>K</w:t>
      </w:r>
      <w:r w:rsidR="00630811" w:rsidRPr="00630811">
        <w:t>.</w:t>
      </w:r>
      <w:r w:rsidRPr="009740C9">
        <w:t> B</w:t>
      </w:r>
      <w:r w:rsidR="00630811" w:rsidRPr="00630811">
        <w:t>.</w:t>
      </w:r>
      <w:r w:rsidRPr="009740C9">
        <w:t> K</w:t>
      </w:r>
      <w:r w:rsidR="00630811" w:rsidRPr="00630811">
        <w:t>.</w:t>
      </w:r>
      <w:r w:rsidR="008D5FCE">
        <w:t> </w:t>
      </w:r>
      <w:r w:rsidRPr="009740C9">
        <w:t>− avait été désigné pour représenter l</w:t>
      </w:r>
      <w:r>
        <w:t>’</w:t>
      </w:r>
      <w:r w:rsidRPr="009740C9">
        <w:t>auteur</w:t>
      </w:r>
      <w:r w:rsidR="00630811" w:rsidRPr="00630811">
        <w:t>.</w:t>
      </w:r>
    </w:p>
    <w:p w14:paraId="5C72898D" w14:textId="77777777" w:rsidR="005C2947" w:rsidRPr="009740C9" w:rsidRDefault="005C2947" w:rsidP="005C2947">
      <w:pPr>
        <w:pStyle w:val="SingleTxtG"/>
      </w:pPr>
      <w:r w:rsidRPr="009740C9">
        <w:t>7</w:t>
      </w:r>
      <w:r w:rsidR="00630811" w:rsidRPr="00630811">
        <w:t>.</w:t>
      </w:r>
      <w:r w:rsidRPr="009740C9">
        <w:t>2</w:t>
      </w:r>
      <w:r w:rsidRPr="009740C9">
        <w:tab/>
        <w:t>Pour ce qui est des événements du 21 août 2010, l</w:t>
      </w:r>
      <w:r>
        <w:t>’</w:t>
      </w:r>
      <w:r w:rsidRPr="009740C9">
        <w:t>auteur affirme qu</w:t>
      </w:r>
      <w:r>
        <w:t>’</w:t>
      </w:r>
      <w:r w:rsidRPr="009740C9">
        <w:t xml:space="preserve">il a été conduit au commissariat de police à 1 heure du matin, </w:t>
      </w:r>
      <w:r>
        <w:t xml:space="preserve">où il </w:t>
      </w:r>
      <w:r w:rsidRPr="009740C9">
        <w:t xml:space="preserve">est resté </w:t>
      </w:r>
      <w:r>
        <w:t>dans une cellule où il ne pouvait s’allonger ou s’asseoir qu’</w:t>
      </w:r>
      <w:r w:rsidRPr="009740C9">
        <w:t>à même le sol pendant deux heures</w:t>
      </w:r>
      <w:r w:rsidR="00630811" w:rsidRPr="00630811">
        <w:t>.</w:t>
      </w:r>
      <w:r w:rsidRPr="009740C9">
        <w:t xml:space="preserve"> À 3 heures du matin, il a été conduit au bureau n</w:t>
      </w:r>
      <w:r w:rsidRPr="009740C9">
        <w:rPr>
          <w:vertAlign w:val="superscript"/>
        </w:rPr>
        <w:t>o</w:t>
      </w:r>
      <w:r w:rsidRPr="009740C9">
        <w:t xml:space="preserve"> 39, où il a été interrogé pendant vingt heures et quarante-cinq minutes sans pouvoir </w:t>
      </w:r>
      <w:r>
        <w:t>manger</w:t>
      </w:r>
      <w:r w:rsidRPr="009740C9">
        <w:t xml:space="preserve"> ni se reposer</w:t>
      </w:r>
      <w:r w:rsidR="00630811" w:rsidRPr="00630811">
        <w:t>.</w:t>
      </w:r>
      <w:r>
        <w:t xml:space="preserve"> La police l’a gardé</w:t>
      </w:r>
      <w:r w:rsidRPr="009740C9">
        <w:t xml:space="preserve"> menotté à une chaise pendant toute la durée de l</w:t>
      </w:r>
      <w:r>
        <w:t>’</w:t>
      </w:r>
      <w:r w:rsidRPr="009740C9">
        <w:t xml:space="preserve">interrogatoire, </w:t>
      </w:r>
      <w:r>
        <w:t xml:space="preserve">dans </w:t>
      </w:r>
      <w:r w:rsidRPr="009740C9">
        <w:t>le but de le contraindre à signer un document</w:t>
      </w:r>
      <w:r>
        <w:t>,</w:t>
      </w:r>
      <w:r w:rsidRPr="009740C9">
        <w:t xml:space="preserve"> en l</w:t>
      </w:r>
      <w:r>
        <w:t>’</w:t>
      </w:r>
      <w:r w:rsidRPr="009740C9">
        <w:t>absence de son avocat</w:t>
      </w:r>
      <w:r w:rsidR="00630811" w:rsidRPr="00630811">
        <w:t>.</w:t>
      </w:r>
      <w:r w:rsidRPr="009740C9">
        <w:t xml:space="preserve"> La durée</w:t>
      </w:r>
      <w:r>
        <w:t xml:space="preserve"> de l’interrogatoire</w:t>
      </w:r>
      <w:r w:rsidRPr="009740C9">
        <w:t xml:space="preserve"> </w:t>
      </w:r>
      <w:r w:rsidR="00630811">
        <w:t>− </w:t>
      </w:r>
      <w:r>
        <w:t xml:space="preserve">plus de </w:t>
      </w:r>
      <w:r w:rsidRPr="009740C9">
        <w:t>vingt heures</w:t>
      </w:r>
      <w:r w:rsidR="00630811">
        <w:t> −</w:t>
      </w:r>
      <w:r w:rsidRPr="009740C9">
        <w:t xml:space="preserve"> constitue à elle seule un traitement inhumain</w:t>
      </w:r>
      <w:r w:rsidR="00630811" w:rsidRPr="00630811">
        <w:t>.</w:t>
      </w:r>
      <w:r w:rsidRPr="009740C9">
        <w:t xml:space="preserve"> </w:t>
      </w:r>
      <w:r>
        <w:t>Il convient également de noter que</w:t>
      </w:r>
      <w:r w:rsidRPr="009740C9">
        <w:t xml:space="preserve"> la législation russe interdit la tenue d</w:t>
      </w:r>
      <w:r>
        <w:t>’</w:t>
      </w:r>
      <w:r w:rsidRPr="009740C9">
        <w:t>interrogatoires la nuit, ainsi que l</w:t>
      </w:r>
      <w:r>
        <w:t>’</w:t>
      </w:r>
      <w:r w:rsidRPr="009740C9">
        <w:t>emploi de la violence à l</w:t>
      </w:r>
      <w:r>
        <w:t>’</w:t>
      </w:r>
      <w:r w:rsidRPr="009740C9">
        <w:t>égard des</w:t>
      </w:r>
      <w:r w:rsidR="00630811">
        <w:t xml:space="preserve"> </w:t>
      </w:r>
      <w:r w:rsidRPr="009740C9">
        <w:t>détenus</w:t>
      </w:r>
      <w:r w:rsidR="00630811" w:rsidRPr="00630811">
        <w:t>.</w:t>
      </w:r>
    </w:p>
    <w:p w14:paraId="3113DE69" w14:textId="77777777" w:rsidR="005C2947" w:rsidRPr="009740C9" w:rsidRDefault="005C2947" w:rsidP="005C2947">
      <w:pPr>
        <w:pStyle w:val="SingleTxtG"/>
      </w:pPr>
      <w:r w:rsidRPr="009740C9">
        <w:t>7</w:t>
      </w:r>
      <w:r w:rsidR="00630811" w:rsidRPr="00630811">
        <w:t>.</w:t>
      </w:r>
      <w:r w:rsidRPr="009740C9">
        <w:t>3</w:t>
      </w:r>
      <w:r w:rsidRPr="009740C9">
        <w:tab/>
        <w:t>L</w:t>
      </w:r>
      <w:r w:rsidR="00630811" w:rsidRPr="00630811">
        <w:t>.</w:t>
      </w:r>
      <w:r w:rsidRPr="009740C9">
        <w:t> M</w:t>
      </w:r>
      <w:r w:rsidR="00630811" w:rsidRPr="00630811">
        <w:t>.</w:t>
      </w:r>
      <w:r w:rsidRPr="009740C9">
        <w:t> A</w:t>
      </w:r>
      <w:r w:rsidR="00630811" w:rsidRPr="00630811">
        <w:t>.</w:t>
      </w:r>
      <w:r w:rsidRPr="009740C9">
        <w:t>, « professeur » ainsi que la désigne l</w:t>
      </w:r>
      <w:r>
        <w:t>’</w:t>
      </w:r>
      <w:r w:rsidRPr="009740C9">
        <w:t>État partie, a témoigné à deux reprises au cours de l</w:t>
      </w:r>
      <w:r>
        <w:t>’</w:t>
      </w:r>
      <w:r w:rsidRPr="009740C9">
        <w:t>enquête − les 7 et 15 septembre 2010</w:t>
      </w:r>
      <w:r w:rsidR="00630811" w:rsidRPr="00630811">
        <w:t>.</w:t>
      </w:r>
      <w:r w:rsidRPr="009740C9">
        <w:t xml:space="preserve"> </w:t>
      </w:r>
      <w:r>
        <w:t>L</w:t>
      </w:r>
      <w:r w:rsidRPr="009740C9">
        <w:t>a défense n</w:t>
      </w:r>
      <w:r>
        <w:t>’</w:t>
      </w:r>
      <w:r w:rsidRPr="009740C9">
        <w:t xml:space="preserve">a </w:t>
      </w:r>
      <w:r>
        <w:t xml:space="preserve">jamais </w:t>
      </w:r>
      <w:r w:rsidRPr="009740C9">
        <w:t>pu l</w:t>
      </w:r>
      <w:r>
        <w:t>’</w:t>
      </w:r>
      <w:r w:rsidRPr="009740C9">
        <w:t>interroger, alors qu</w:t>
      </w:r>
      <w:r>
        <w:t>’</w:t>
      </w:r>
      <w:r w:rsidRPr="009740C9">
        <w:t>elle était inscrite sur la liste des témoins de l</w:t>
      </w:r>
      <w:r>
        <w:t>’</w:t>
      </w:r>
      <w:r w:rsidRPr="009740C9">
        <w:t>accusation et que, pour l</w:t>
      </w:r>
      <w:r>
        <w:t>’</w:t>
      </w:r>
      <w:r w:rsidRPr="009740C9">
        <w:t>auteur, sa présence à l</w:t>
      </w:r>
      <w:r>
        <w:t>’</w:t>
      </w:r>
      <w:r w:rsidRPr="009740C9">
        <w:t>audience était par conséquent acquise sans qu</w:t>
      </w:r>
      <w:r>
        <w:t>’</w:t>
      </w:r>
      <w:r w:rsidRPr="009740C9">
        <w:t>il soit besoin que la défense ne la requière expressément</w:t>
      </w:r>
      <w:r w:rsidR="00630811" w:rsidRPr="00630811">
        <w:t>.</w:t>
      </w:r>
    </w:p>
    <w:p w14:paraId="6248231B" w14:textId="77777777" w:rsidR="005C2947" w:rsidRPr="009740C9" w:rsidRDefault="005C2947" w:rsidP="005C2947">
      <w:pPr>
        <w:pStyle w:val="SingleTxtG"/>
      </w:pPr>
      <w:r w:rsidRPr="009740C9">
        <w:t>7</w:t>
      </w:r>
      <w:r w:rsidR="00630811" w:rsidRPr="00630811">
        <w:t>.</w:t>
      </w:r>
      <w:r w:rsidRPr="009740C9">
        <w:t>4</w:t>
      </w:r>
      <w:r w:rsidRPr="009740C9">
        <w:tab/>
        <w:t>Les autorités de l</w:t>
      </w:r>
      <w:r>
        <w:t>’</w:t>
      </w:r>
      <w:r w:rsidRPr="009740C9">
        <w:t xml:space="preserve">État partie ne nient pas que les </w:t>
      </w:r>
      <w:proofErr w:type="spellStart"/>
      <w:r w:rsidRPr="009740C9">
        <w:t>médias</w:t>
      </w:r>
      <w:proofErr w:type="spellEnd"/>
      <w:r w:rsidRPr="009740C9">
        <w:t xml:space="preserve"> ont traité l</w:t>
      </w:r>
      <w:r>
        <w:t>’</w:t>
      </w:r>
      <w:r w:rsidRPr="009740C9">
        <w:t>auteur de « pédophile » sans attendre le verdict ni le prononcé de la peine</w:t>
      </w:r>
      <w:r w:rsidR="00630811" w:rsidRPr="00630811">
        <w:t>.</w:t>
      </w:r>
      <w:r w:rsidRPr="009740C9">
        <w:t xml:space="preserve"> Elles ont</w:t>
      </w:r>
      <w:r>
        <w:t xml:space="preserve"> </w:t>
      </w:r>
      <w:r w:rsidRPr="009740C9">
        <w:t>elles-mêmes déclaré publiquement que l</w:t>
      </w:r>
      <w:r>
        <w:t>’</w:t>
      </w:r>
      <w:r w:rsidRPr="009740C9">
        <w:t>auteur était coupable, en violation des droits que celui-ci tient de la Constitution de la Fédération de Russie et du Pacte</w:t>
      </w:r>
      <w:r w:rsidR="00630811" w:rsidRPr="00630811">
        <w:t>.</w:t>
      </w:r>
      <w:r w:rsidRPr="009740C9">
        <w:t xml:space="preserve"> L</w:t>
      </w:r>
      <w:r>
        <w:t>’</w:t>
      </w:r>
      <w:r w:rsidRPr="009740C9">
        <w:t>auteur reconnaît que la loi relative aux procès avec jury a été adoptée après son procès, mais il maintient que le tribunal n</w:t>
      </w:r>
      <w:r>
        <w:t>’</w:t>
      </w:r>
      <w:r w:rsidRPr="009740C9">
        <w:t>a pas agi dans le respect de la loi et qu</w:t>
      </w:r>
      <w:r>
        <w:t>’</w:t>
      </w:r>
      <w:r w:rsidRPr="009740C9">
        <w:t>il aurait dû expliquer les raisons pour lesquelles un procès avec jury ne pouvait avoir lieu en l</w:t>
      </w:r>
      <w:r>
        <w:t>’</w:t>
      </w:r>
      <w:r w:rsidRPr="009740C9">
        <w:t>espèce</w:t>
      </w:r>
      <w:r w:rsidR="00630811" w:rsidRPr="00630811">
        <w:t>.</w:t>
      </w:r>
    </w:p>
    <w:p w14:paraId="0477AF29" w14:textId="77777777" w:rsidR="005C2947" w:rsidRPr="009740C9" w:rsidRDefault="005C2947" w:rsidP="005C2947">
      <w:pPr>
        <w:pStyle w:val="SingleTxtG"/>
      </w:pPr>
      <w:r w:rsidRPr="009740C9">
        <w:t>7</w:t>
      </w:r>
      <w:r w:rsidR="00630811" w:rsidRPr="00630811">
        <w:t>.</w:t>
      </w:r>
      <w:r w:rsidRPr="009740C9">
        <w:t>5</w:t>
      </w:r>
      <w:r w:rsidRPr="009740C9">
        <w:tab/>
        <w:t>L</w:t>
      </w:r>
      <w:r>
        <w:t>’</w:t>
      </w:r>
      <w:r w:rsidRPr="009740C9">
        <w:t>auteur réaffirme qu</w:t>
      </w:r>
      <w:r>
        <w:t>’</w:t>
      </w:r>
      <w:r w:rsidRPr="009740C9">
        <w:t>il n</w:t>
      </w:r>
      <w:r>
        <w:t>’</w:t>
      </w:r>
      <w:r w:rsidRPr="009740C9">
        <w:t>a pas eu les moyens de préparer sa défense convenablement</w:t>
      </w:r>
      <w:r w:rsidR="00630811" w:rsidRPr="00630811">
        <w:t>.</w:t>
      </w:r>
      <w:r w:rsidRPr="009740C9">
        <w:t xml:space="preserve"> Le 7 octobre 2010, il a été autorisé à s</w:t>
      </w:r>
      <w:r>
        <w:t>’</w:t>
      </w:r>
      <w:r w:rsidRPr="009740C9">
        <w:t>entretenir avec l</w:t>
      </w:r>
      <w:r>
        <w:t>’</w:t>
      </w:r>
      <w:r w:rsidRPr="009740C9">
        <w:t>avocat qu</w:t>
      </w:r>
      <w:r>
        <w:t>’</w:t>
      </w:r>
      <w:r w:rsidRPr="009740C9">
        <w:t>il avait engagé, K</w:t>
      </w:r>
      <w:r w:rsidR="00630811" w:rsidRPr="00630811">
        <w:t>.</w:t>
      </w:r>
      <w:r w:rsidRPr="009740C9">
        <w:t> O</w:t>
      </w:r>
      <w:r w:rsidR="00630811" w:rsidRPr="00630811">
        <w:t>.</w:t>
      </w:r>
      <w:r w:rsidRPr="009740C9">
        <w:t> N</w:t>
      </w:r>
      <w:r w:rsidR="00630811" w:rsidRPr="00630811">
        <w:t>.</w:t>
      </w:r>
      <w:r w:rsidRPr="009740C9">
        <w:t>, pendant seulement quarante minutes, ce qui ne leur a guère laissé le temps d</w:t>
      </w:r>
      <w:r>
        <w:t>’</w:t>
      </w:r>
      <w:r w:rsidRPr="009740C9">
        <w:t>avoir une discussion de fond</w:t>
      </w:r>
      <w:r w:rsidR="00630811" w:rsidRPr="00630811">
        <w:t>.</w:t>
      </w:r>
      <w:r w:rsidRPr="009740C9">
        <w:t xml:space="preserve"> L</w:t>
      </w:r>
      <w:r>
        <w:t>’</w:t>
      </w:r>
      <w:r w:rsidRPr="009740C9">
        <w:t>auteur a revu son avocat le 14</w:t>
      </w:r>
      <w:r>
        <w:t> </w:t>
      </w:r>
      <w:r w:rsidRPr="009740C9">
        <w:t>octobre 2010, lorsque le tribunal a décidé de prolonger sa détention provisoire</w:t>
      </w:r>
      <w:r w:rsidR="00630811" w:rsidRPr="00630811">
        <w:t>.</w:t>
      </w:r>
    </w:p>
    <w:p w14:paraId="7E875E08" w14:textId="77777777" w:rsidR="005C2947" w:rsidRPr="009740C9" w:rsidRDefault="005C2947" w:rsidP="005C2947">
      <w:pPr>
        <w:pStyle w:val="SingleTxtG"/>
      </w:pPr>
      <w:r w:rsidRPr="009740C9">
        <w:lastRenderedPageBreak/>
        <w:t>7</w:t>
      </w:r>
      <w:r w:rsidR="00630811" w:rsidRPr="00630811">
        <w:t>.</w:t>
      </w:r>
      <w:r w:rsidRPr="009740C9">
        <w:t>6</w:t>
      </w:r>
      <w:r w:rsidRPr="009740C9">
        <w:tab/>
        <w:t>Les autorités de l</w:t>
      </w:r>
      <w:r>
        <w:t>’</w:t>
      </w:r>
      <w:r w:rsidRPr="009740C9">
        <w:t>État partie affirment en outre que l</w:t>
      </w:r>
      <w:r>
        <w:t>’</w:t>
      </w:r>
      <w:r w:rsidRPr="009740C9">
        <w:t>auteur ne s</w:t>
      </w:r>
      <w:r>
        <w:t>’</w:t>
      </w:r>
      <w:r w:rsidRPr="009740C9">
        <w:t>est à aucun moment plaint d</w:t>
      </w:r>
      <w:r>
        <w:t>’avoir été l’objet d</w:t>
      </w:r>
      <w:r w:rsidRPr="009740C9">
        <w:t>e violences ou de traitements inhumains</w:t>
      </w:r>
      <w:r w:rsidR="00630811" w:rsidRPr="00630811">
        <w:t>.</w:t>
      </w:r>
      <w:r w:rsidRPr="009740C9">
        <w:t xml:space="preserve"> Si l</w:t>
      </w:r>
      <w:r>
        <w:t>’</w:t>
      </w:r>
      <w:r w:rsidRPr="009740C9">
        <w:t>auteur n</w:t>
      </w:r>
      <w:r>
        <w:t>’</w:t>
      </w:r>
      <w:r w:rsidRPr="009740C9">
        <w:t>a rien dit à ce sujet, c</w:t>
      </w:r>
      <w:r>
        <w:t>’</w:t>
      </w:r>
      <w:r w:rsidRPr="009740C9">
        <w:t>est qu</w:t>
      </w:r>
      <w:r>
        <w:t>’</w:t>
      </w:r>
      <w:r w:rsidRPr="009740C9">
        <w:t>il pensait que l</w:t>
      </w:r>
      <w:r>
        <w:t>’</w:t>
      </w:r>
      <w:r w:rsidRPr="009740C9">
        <w:t>enquêteur ne ferait rien</w:t>
      </w:r>
      <w:r w:rsidR="00630811" w:rsidRPr="00630811">
        <w:t>.</w:t>
      </w:r>
      <w:r w:rsidRPr="009740C9">
        <w:t xml:space="preserve"> L</w:t>
      </w:r>
      <w:r>
        <w:t>’</w:t>
      </w:r>
      <w:r w:rsidRPr="009740C9">
        <w:t>examen préliminaire qui a abouti au refus, par les autorités, d</w:t>
      </w:r>
      <w:r>
        <w:t>’</w:t>
      </w:r>
      <w:r w:rsidRPr="009740C9">
        <w:t>ouvrir une véritable enquête pénale, s</w:t>
      </w:r>
      <w:r>
        <w:t>’</w:t>
      </w:r>
      <w:r w:rsidRPr="009740C9">
        <w:t>est fondé sur les témoignages de l</w:t>
      </w:r>
      <w:r>
        <w:t>’</w:t>
      </w:r>
      <w:r w:rsidRPr="009740C9">
        <w:t>enquêteur, S</w:t>
      </w:r>
      <w:r w:rsidR="00630811" w:rsidRPr="00630811">
        <w:t>.</w:t>
      </w:r>
      <w:r w:rsidRPr="009740C9">
        <w:t> M</w:t>
      </w:r>
      <w:r w:rsidR="00630811" w:rsidRPr="00630811">
        <w:t>.</w:t>
      </w:r>
      <w:r w:rsidRPr="009740C9">
        <w:t> B</w:t>
      </w:r>
      <w:r w:rsidR="00630811" w:rsidRPr="00630811">
        <w:t>.</w:t>
      </w:r>
      <w:r w:rsidRPr="009740C9">
        <w:t>, et d</w:t>
      </w:r>
      <w:r>
        <w:t>’</w:t>
      </w:r>
      <w:r w:rsidRPr="009740C9">
        <w:t>un autre agent de police, P</w:t>
      </w:r>
      <w:r w:rsidR="00630811" w:rsidRPr="00630811">
        <w:t>.</w:t>
      </w:r>
      <w:r w:rsidRPr="009740C9">
        <w:t> A</w:t>
      </w:r>
      <w:r w:rsidR="00630811" w:rsidRPr="00630811">
        <w:t>.</w:t>
      </w:r>
      <w:r w:rsidRPr="009740C9">
        <w:t> V</w:t>
      </w:r>
      <w:r w:rsidR="00630811" w:rsidRPr="00630811">
        <w:t>.</w:t>
      </w:r>
      <w:r w:rsidRPr="009740C9">
        <w:t>, autrement dit les personnes que l</w:t>
      </w:r>
      <w:r>
        <w:t>’</w:t>
      </w:r>
      <w:r w:rsidRPr="009740C9">
        <w:t>auteur accusait de l</w:t>
      </w:r>
      <w:r>
        <w:t>’</w:t>
      </w:r>
      <w:r w:rsidRPr="009740C9">
        <w:t>avoir maltraité</w:t>
      </w:r>
      <w:r w:rsidR="00630811" w:rsidRPr="00630811">
        <w:t>.</w:t>
      </w:r>
      <w:r w:rsidRPr="009740C9">
        <w:t xml:space="preserve"> Cela n</w:t>
      </w:r>
      <w:r>
        <w:t>’</w:t>
      </w:r>
      <w:r w:rsidRPr="009740C9">
        <w:t>aurait jamais dû être le cas</w:t>
      </w:r>
      <w:r w:rsidR="00630811" w:rsidRPr="00630811">
        <w:t>.</w:t>
      </w:r>
    </w:p>
    <w:p w14:paraId="2A2F4435" w14:textId="77777777" w:rsidR="005C2947" w:rsidRPr="009740C9" w:rsidRDefault="005C2947" w:rsidP="005C2947">
      <w:pPr>
        <w:pStyle w:val="H23G"/>
      </w:pPr>
      <w:r w:rsidRPr="009740C9">
        <w:tab/>
      </w:r>
      <w:r w:rsidRPr="009740C9">
        <w:tab/>
        <w:t>Délibérations du Comité</w:t>
      </w:r>
    </w:p>
    <w:p w14:paraId="72585CEC" w14:textId="77777777" w:rsidR="005C2947" w:rsidRPr="009740C9" w:rsidRDefault="005C2947" w:rsidP="005C2947">
      <w:pPr>
        <w:pStyle w:val="H4G"/>
      </w:pPr>
      <w:r w:rsidRPr="009740C9">
        <w:tab/>
      </w:r>
      <w:r w:rsidRPr="009740C9">
        <w:tab/>
        <w:t>Examen de la recevabilité</w:t>
      </w:r>
    </w:p>
    <w:p w14:paraId="42F1C85D" w14:textId="77777777" w:rsidR="005C2947" w:rsidRPr="009740C9" w:rsidRDefault="005C2947" w:rsidP="005C2947">
      <w:pPr>
        <w:pStyle w:val="SingleTxtG"/>
      </w:pPr>
      <w:r w:rsidRPr="009740C9">
        <w:t>8</w:t>
      </w:r>
      <w:r w:rsidR="00630811" w:rsidRPr="00630811">
        <w:t>.</w:t>
      </w:r>
      <w:r w:rsidRPr="009740C9">
        <w:t>1</w:t>
      </w:r>
      <w:r w:rsidRPr="009740C9">
        <w:tab/>
        <w:t>Avant d</w:t>
      </w:r>
      <w:r>
        <w:t>’</w:t>
      </w:r>
      <w:r w:rsidRPr="009740C9">
        <w:t>examiner tout grief formulé dans une communication, le Comité des droits de l</w:t>
      </w:r>
      <w:r>
        <w:t>’</w:t>
      </w:r>
      <w:r w:rsidRPr="009740C9">
        <w:t>homme doit, conformément à l</w:t>
      </w:r>
      <w:r>
        <w:t>’</w:t>
      </w:r>
      <w:r w:rsidRPr="009740C9">
        <w:t>article 97 de son règlement intérieur, déterminer si la communication est recevable au regard du Protocole facultatif se rapportant au Pacte</w:t>
      </w:r>
      <w:r w:rsidR="00630811" w:rsidRPr="00630811">
        <w:t>.</w:t>
      </w:r>
    </w:p>
    <w:p w14:paraId="50A070B9" w14:textId="77777777" w:rsidR="005C2947" w:rsidRPr="009740C9" w:rsidRDefault="005C2947" w:rsidP="005C2947">
      <w:pPr>
        <w:pStyle w:val="SingleTxtG"/>
      </w:pPr>
      <w:r w:rsidRPr="009740C9">
        <w:t>8</w:t>
      </w:r>
      <w:r w:rsidR="00630811" w:rsidRPr="00630811">
        <w:t>.</w:t>
      </w:r>
      <w:r w:rsidRPr="009740C9">
        <w:t>2</w:t>
      </w:r>
      <w:r w:rsidRPr="009740C9">
        <w:tab/>
        <w:t>Le Comité s</w:t>
      </w:r>
      <w:r>
        <w:t>’</w:t>
      </w:r>
      <w:r w:rsidRPr="009740C9">
        <w:t xml:space="preserve">est assuré, comme il est tenu de le faire conformément </w:t>
      </w:r>
      <w:r>
        <w:t>à</w:t>
      </w:r>
      <w:r w:rsidRPr="009740C9">
        <w:t xml:space="preserve"> l</w:t>
      </w:r>
      <w:r>
        <w:t>’</w:t>
      </w:r>
      <w:r w:rsidRPr="009740C9">
        <w:t>article</w:t>
      </w:r>
      <w:r>
        <w:t> </w:t>
      </w:r>
      <w:r w:rsidRPr="009740C9">
        <w:t xml:space="preserve">5 </w:t>
      </w:r>
      <w:r>
        <w:t>(par</w:t>
      </w:r>
      <w:r w:rsidR="00630811" w:rsidRPr="00630811">
        <w:t>.</w:t>
      </w:r>
      <w:r w:rsidR="000369AC">
        <w:t> </w:t>
      </w:r>
      <w:r>
        <w:t>2</w:t>
      </w:r>
      <w:r w:rsidR="000369AC">
        <w:t> </w:t>
      </w:r>
      <w:r>
        <w:t xml:space="preserve">a)) </w:t>
      </w:r>
      <w:r w:rsidRPr="009740C9">
        <w:t>du Protocole facultatif, que la même question n</w:t>
      </w:r>
      <w:r>
        <w:t>’</w:t>
      </w:r>
      <w:r w:rsidRPr="009740C9">
        <w:t>était pas déjà en cours d</w:t>
      </w:r>
      <w:r>
        <w:t>’</w:t>
      </w:r>
      <w:r w:rsidRPr="009740C9">
        <w:t>examen devant une autre instance internationale d</w:t>
      </w:r>
      <w:r>
        <w:t>’</w:t>
      </w:r>
      <w:r w:rsidRPr="009740C9">
        <w:t>enquête ou de règlement</w:t>
      </w:r>
      <w:r w:rsidR="00630811" w:rsidRPr="00630811">
        <w:t>.</w:t>
      </w:r>
    </w:p>
    <w:p w14:paraId="36115A5A" w14:textId="77777777" w:rsidR="005C2947" w:rsidRPr="009740C9" w:rsidRDefault="005C2947" w:rsidP="005C2947">
      <w:pPr>
        <w:pStyle w:val="SingleTxtG"/>
      </w:pPr>
      <w:r w:rsidRPr="009740C9">
        <w:t>8</w:t>
      </w:r>
      <w:r w:rsidR="00630811" w:rsidRPr="00630811">
        <w:t>.</w:t>
      </w:r>
      <w:r w:rsidRPr="009740C9">
        <w:t>3</w:t>
      </w:r>
      <w:r w:rsidRPr="009740C9">
        <w:tab/>
        <w:t>Le Comité prend note de l</w:t>
      </w:r>
      <w:r>
        <w:t>’</w:t>
      </w:r>
      <w:r w:rsidRPr="009740C9">
        <w:t>observation de l</w:t>
      </w:r>
      <w:r>
        <w:t>’</w:t>
      </w:r>
      <w:r w:rsidRPr="009740C9">
        <w:t>État partie selon laquelle la communication constitue un abus du droit de présenter des communications au regard de l</w:t>
      </w:r>
      <w:r>
        <w:t>’</w:t>
      </w:r>
      <w:r w:rsidRPr="009740C9">
        <w:t>article</w:t>
      </w:r>
      <w:r>
        <w:t> </w:t>
      </w:r>
      <w:r w:rsidRPr="009740C9">
        <w:t>3 du Protocole facultatif, puisque l</w:t>
      </w:r>
      <w:r>
        <w:t>’</w:t>
      </w:r>
      <w:r w:rsidRPr="009740C9">
        <w:t>auteur n</w:t>
      </w:r>
      <w:r>
        <w:t>’</w:t>
      </w:r>
      <w:r w:rsidRPr="009740C9">
        <w:t>a pas dûment étayé ses allégations</w:t>
      </w:r>
      <w:r w:rsidR="00630811" w:rsidRPr="00630811">
        <w:t>.</w:t>
      </w:r>
      <w:r w:rsidRPr="009740C9">
        <w:t xml:space="preserve"> Le Comité estime que</w:t>
      </w:r>
      <w:r>
        <w:t xml:space="preserve"> rien dans les pièces qui lui ont été soumises n’indique que la</w:t>
      </w:r>
      <w:r w:rsidRPr="009740C9">
        <w:t xml:space="preserve"> communication </w:t>
      </w:r>
      <w:r>
        <w:t xml:space="preserve">ait été présentée </w:t>
      </w:r>
      <w:r w:rsidRPr="009740C9">
        <w:t xml:space="preserve">de </w:t>
      </w:r>
      <w:r>
        <w:t>mauvaise</w:t>
      </w:r>
      <w:r w:rsidRPr="009740C9">
        <w:t xml:space="preserve"> foi, et qu</w:t>
      </w:r>
      <w:r>
        <w:t xml:space="preserve">e l’auteur </w:t>
      </w:r>
      <w:r w:rsidRPr="009740C9">
        <w:t>a soumis l</w:t>
      </w:r>
      <w:r>
        <w:t>’</w:t>
      </w:r>
      <w:r w:rsidRPr="009740C9">
        <w:t>ensemble des documents et des renseignements dont il disposait</w:t>
      </w:r>
      <w:r w:rsidR="00630811" w:rsidRPr="00630811">
        <w:t>.</w:t>
      </w:r>
      <w:r w:rsidRPr="009740C9">
        <w:t xml:space="preserve"> Par conséquent, en l</w:t>
      </w:r>
      <w:r>
        <w:t>’</w:t>
      </w:r>
      <w:r w:rsidRPr="009740C9">
        <w:t>espèce, le Comité ne considère pas que la communication constitue un abus du droit de présenter des communications au regard de l</w:t>
      </w:r>
      <w:r>
        <w:t>’</w:t>
      </w:r>
      <w:r w:rsidRPr="009740C9">
        <w:t>article</w:t>
      </w:r>
      <w:r>
        <w:t> </w:t>
      </w:r>
      <w:r w:rsidRPr="009740C9">
        <w:t>3 du Protocole facultatif</w:t>
      </w:r>
      <w:r w:rsidR="00630811" w:rsidRPr="00630811">
        <w:t>.</w:t>
      </w:r>
    </w:p>
    <w:p w14:paraId="52C3ECCF" w14:textId="77777777" w:rsidR="005C2947" w:rsidRPr="009740C9" w:rsidRDefault="005C2947" w:rsidP="005C2947">
      <w:pPr>
        <w:pStyle w:val="SingleTxtG"/>
      </w:pPr>
      <w:r w:rsidRPr="009740C9">
        <w:t>8</w:t>
      </w:r>
      <w:r w:rsidR="00630811" w:rsidRPr="00630811">
        <w:t>.</w:t>
      </w:r>
      <w:r w:rsidRPr="009740C9">
        <w:t>4</w:t>
      </w:r>
      <w:r w:rsidRPr="009740C9">
        <w:tab/>
        <w:t>Le Comité prend note de l</w:t>
      </w:r>
      <w:r>
        <w:t>’</w:t>
      </w:r>
      <w:r w:rsidRPr="009740C9">
        <w:t>affirmation de l</w:t>
      </w:r>
      <w:r>
        <w:t>’</w:t>
      </w:r>
      <w:r w:rsidRPr="009740C9">
        <w:t>auteur selon laquelle il a épuisé tous les recours internes utiles disponibles</w:t>
      </w:r>
      <w:r w:rsidR="00630811" w:rsidRPr="00630811">
        <w:t>.</w:t>
      </w:r>
      <w:r w:rsidRPr="009740C9">
        <w:t xml:space="preserve"> L</w:t>
      </w:r>
      <w:r>
        <w:t>’</w:t>
      </w:r>
      <w:r w:rsidRPr="009740C9">
        <w:t>État partie n</w:t>
      </w:r>
      <w:r>
        <w:t>’</w:t>
      </w:r>
      <w:r w:rsidRPr="009740C9">
        <w:t>ayant pas formulé d</w:t>
      </w:r>
      <w:r>
        <w:t>’</w:t>
      </w:r>
      <w:r w:rsidRPr="009740C9">
        <w:t xml:space="preserve">objection à cet égard, le Comité considère que les conditions énoncées </w:t>
      </w:r>
      <w:r>
        <w:t xml:space="preserve">à </w:t>
      </w:r>
      <w:r w:rsidRPr="009740C9">
        <w:t>l</w:t>
      </w:r>
      <w:r>
        <w:t>’</w:t>
      </w:r>
      <w:r w:rsidRPr="009740C9">
        <w:t xml:space="preserve">article 5 </w:t>
      </w:r>
      <w:r>
        <w:t>(par</w:t>
      </w:r>
      <w:r w:rsidR="00630811" w:rsidRPr="00630811">
        <w:t>.</w:t>
      </w:r>
      <w:r>
        <w:t xml:space="preserve"> 2 b)) </w:t>
      </w:r>
      <w:r w:rsidRPr="009740C9">
        <w:t>du Protocole facultatif sont remplies</w:t>
      </w:r>
      <w:r w:rsidR="00630811" w:rsidRPr="00630811">
        <w:t>.</w:t>
      </w:r>
    </w:p>
    <w:p w14:paraId="4160B14B" w14:textId="77777777" w:rsidR="005C2947" w:rsidRDefault="005C2947" w:rsidP="005C2947">
      <w:pPr>
        <w:pStyle w:val="SingleTxtG"/>
      </w:pPr>
      <w:r w:rsidRPr="009740C9">
        <w:t>8</w:t>
      </w:r>
      <w:r w:rsidR="00630811" w:rsidRPr="00630811">
        <w:t>.</w:t>
      </w:r>
      <w:r w:rsidRPr="009740C9">
        <w:t>5</w:t>
      </w:r>
      <w:r w:rsidRPr="009740C9">
        <w:tab/>
        <w:t>Le Comité a pris note des griefs que l</w:t>
      </w:r>
      <w:r>
        <w:t>’</w:t>
      </w:r>
      <w:r w:rsidRPr="009740C9">
        <w:t>auteur tire de</w:t>
      </w:r>
      <w:r>
        <w:t xml:space="preserve">s </w:t>
      </w:r>
      <w:r w:rsidRPr="009740C9">
        <w:t>article</w:t>
      </w:r>
      <w:r>
        <w:t>s </w:t>
      </w:r>
      <w:r w:rsidRPr="009740C9">
        <w:t>9,</w:t>
      </w:r>
      <w:r>
        <w:t xml:space="preserve"> 14 (par</w:t>
      </w:r>
      <w:r w:rsidR="00630811" w:rsidRPr="00630811">
        <w:t>.</w:t>
      </w:r>
      <w:r>
        <w:t> 1, concernant le</w:t>
      </w:r>
      <w:r w:rsidRPr="009740C9">
        <w:t xml:space="preserve"> droit d</w:t>
      </w:r>
      <w:r>
        <w:t>’</w:t>
      </w:r>
      <w:r w:rsidRPr="009740C9">
        <w:t>être jugé par un jury) et 3 b)</w:t>
      </w:r>
      <w:r>
        <w:t>)</w:t>
      </w:r>
      <w:r w:rsidRPr="009740C9">
        <w:t xml:space="preserve"> </w:t>
      </w:r>
      <w:r>
        <w:t>et</w:t>
      </w:r>
      <w:r w:rsidRPr="009740C9">
        <w:t xml:space="preserve"> 15</w:t>
      </w:r>
      <w:r>
        <w:t xml:space="preserve"> (par</w:t>
      </w:r>
      <w:r w:rsidR="00630811" w:rsidRPr="00630811">
        <w:t>.</w:t>
      </w:r>
      <w:r>
        <w:t> 1)</w:t>
      </w:r>
      <w:r w:rsidRPr="009740C9">
        <w:t xml:space="preserve"> du Pacte</w:t>
      </w:r>
      <w:r w:rsidR="00630811" w:rsidRPr="00630811">
        <w:t>.</w:t>
      </w:r>
      <w:r>
        <w:t xml:space="preserve"> E</w:t>
      </w:r>
      <w:r w:rsidRPr="009740C9">
        <w:t>n l</w:t>
      </w:r>
      <w:r>
        <w:t>’</w:t>
      </w:r>
      <w:r w:rsidRPr="009740C9">
        <w:t xml:space="preserve">absence de toute autre information </w:t>
      </w:r>
      <w:r>
        <w:t xml:space="preserve">ou explication </w:t>
      </w:r>
      <w:r w:rsidRPr="009740C9">
        <w:t>pertinente dans le dossier, le Comité estime que l</w:t>
      </w:r>
      <w:r>
        <w:t>’</w:t>
      </w:r>
      <w:r w:rsidRPr="009740C9">
        <w:t>auteur n</w:t>
      </w:r>
      <w:r>
        <w:t>’</w:t>
      </w:r>
      <w:r w:rsidRPr="009740C9">
        <w:t>a pas suffisamment étayé ces allégations aux fins de la recevabilité</w:t>
      </w:r>
      <w:r w:rsidR="00630811" w:rsidRPr="00630811">
        <w:t>.</w:t>
      </w:r>
      <w:r w:rsidRPr="009740C9">
        <w:t xml:space="preserve"> En conséquence, il déclare cette partie de la communication irrecevable au regard de l</w:t>
      </w:r>
      <w:r>
        <w:t>’</w:t>
      </w:r>
      <w:r w:rsidRPr="009740C9">
        <w:t>article</w:t>
      </w:r>
      <w:r>
        <w:t> </w:t>
      </w:r>
      <w:r w:rsidRPr="009740C9">
        <w:t>2 du Protocole facultatif</w:t>
      </w:r>
      <w:r w:rsidR="00630811" w:rsidRPr="00630811">
        <w:t>.</w:t>
      </w:r>
    </w:p>
    <w:p w14:paraId="357E59E5" w14:textId="77777777" w:rsidR="005C2947" w:rsidRPr="009740C9" w:rsidRDefault="005C2947" w:rsidP="005C2947">
      <w:pPr>
        <w:pStyle w:val="SingleTxtG"/>
      </w:pPr>
      <w:r>
        <w:t>8</w:t>
      </w:r>
      <w:r w:rsidR="00630811" w:rsidRPr="00630811">
        <w:t>.</w:t>
      </w:r>
      <w:r>
        <w:t>6</w:t>
      </w:r>
      <w:r w:rsidRPr="009740C9">
        <w:tab/>
        <w:t xml:space="preserve">Le Comité </w:t>
      </w:r>
      <w:r>
        <w:t>note que</w:t>
      </w:r>
      <w:r w:rsidRPr="009740C9">
        <w:t xml:space="preserve"> l</w:t>
      </w:r>
      <w:r>
        <w:t>’</w:t>
      </w:r>
      <w:r w:rsidRPr="009740C9">
        <w:t>auteur</w:t>
      </w:r>
      <w:r>
        <w:t xml:space="preserve"> soutient que, </w:t>
      </w:r>
      <w:r w:rsidRPr="009740C9">
        <w:t>le 21 août 2010, après avoir été conduit au commissariat de police n</w:t>
      </w:r>
      <w:r w:rsidRPr="009740C9">
        <w:rPr>
          <w:vertAlign w:val="superscript"/>
        </w:rPr>
        <w:t>o</w:t>
      </w:r>
      <w:r w:rsidRPr="009740C9">
        <w:t> 9, il a été battu,</w:t>
      </w:r>
      <w:r>
        <w:t xml:space="preserve"> placé dans une cellule où il ne pouvait s’allonger ou s’asseoir qu’</w:t>
      </w:r>
      <w:r w:rsidRPr="009740C9">
        <w:t xml:space="preserve">à même le sol </w:t>
      </w:r>
      <w:r>
        <w:t xml:space="preserve">en béton </w:t>
      </w:r>
      <w:r w:rsidRPr="009740C9">
        <w:t>et privé de nourriture</w:t>
      </w:r>
      <w:r>
        <w:t xml:space="preserve"> </w:t>
      </w:r>
      <w:r w:rsidRPr="009740C9">
        <w:t xml:space="preserve">et </w:t>
      </w:r>
      <w:r>
        <w:t>n’a pu ni dormir, ni aller aux toilettes</w:t>
      </w:r>
      <w:r w:rsidR="00630811" w:rsidRPr="00630811">
        <w:t>.</w:t>
      </w:r>
      <w:r w:rsidRPr="009740C9">
        <w:t xml:space="preserve"> </w:t>
      </w:r>
      <w:r>
        <w:t xml:space="preserve">Toutefois, le Comité note également que </w:t>
      </w:r>
      <w:r w:rsidRPr="009740C9">
        <w:t>l</w:t>
      </w:r>
      <w:r>
        <w:t>’</w:t>
      </w:r>
      <w:r w:rsidRPr="009740C9">
        <w:t>État partie</w:t>
      </w:r>
      <w:r>
        <w:t xml:space="preserve"> avance que, selon ses</w:t>
      </w:r>
      <w:r w:rsidRPr="009740C9">
        <w:t xml:space="preserve"> informations</w:t>
      </w:r>
      <w:r>
        <w:t>,</w:t>
      </w:r>
      <w:r w:rsidRPr="009740C9">
        <w:t xml:space="preserve"> l</w:t>
      </w:r>
      <w:r>
        <w:t>’</w:t>
      </w:r>
      <w:r w:rsidRPr="009740C9">
        <w:t>auteur n</w:t>
      </w:r>
      <w:r>
        <w:t>’</w:t>
      </w:r>
      <w:r w:rsidRPr="009740C9">
        <w:t xml:space="preserve">a pas </w:t>
      </w:r>
      <w:r>
        <w:t>langui dans une</w:t>
      </w:r>
      <w:r w:rsidRPr="009740C9">
        <w:t xml:space="preserve"> cellule mais a été conduit </w:t>
      </w:r>
      <w:r>
        <w:t>dans un bureau (le</w:t>
      </w:r>
      <w:r w:rsidRPr="009740C9">
        <w:t xml:space="preserve"> bureau n</w:t>
      </w:r>
      <w:r w:rsidRPr="009740C9">
        <w:rPr>
          <w:vertAlign w:val="superscript"/>
        </w:rPr>
        <w:t>o</w:t>
      </w:r>
      <w:r w:rsidRPr="009740C9">
        <w:t> 39</w:t>
      </w:r>
      <w:r>
        <w:t>), où il a passé deux heures avant d’être transféré dans un centre de détention temporaire</w:t>
      </w:r>
      <w:r w:rsidR="00630811" w:rsidRPr="00630811">
        <w:t>.</w:t>
      </w:r>
      <w:r w:rsidRPr="009740C9">
        <w:t xml:space="preserve"> Le Comité </w:t>
      </w:r>
      <w:r>
        <w:t>constate</w:t>
      </w:r>
      <w:r w:rsidRPr="009740C9">
        <w:t xml:space="preserve"> que </w:t>
      </w:r>
      <w:r>
        <w:t>les</w:t>
      </w:r>
      <w:r w:rsidRPr="009740C9">
        <w:t xml:space="preserve"> allégations </w:t>
      </w:r>
      <w:r>
        <w:t xml:space="preserve">de l’auteur </w:t>
      </w:r>
      <w:r w:rsidRPr="009740C9">
        <w:t xml:space="preserve">ont été examinées par des tribunaux, qui les ont jugées peu crédibles, </w:t>
      </w:r>
      <w:r>
        <w:t>et</w:t>
      </w:r>
      <w:r w:rsidRPr="009740C9">
        <w:t xml:space="preserve"> que, dans sa communication, l</w:t>
      </w:r>
      <w:r>
        <w:t>’intéressé</w:t>
      </w:r>
      <w:r w:rsidRPr="009740C9">
        <w:t xml:space="preserve"> n</w:t>
      </w:r>
      <w:r>
        <w:t>’</w:t>
      </w:r>
      <w:r w:rsidRPr="009740C9">
        <w:t xml:space="preserve">a </w:t>
      </w:r>
      <w:r>
        <w:t>pas</w:t>
      </w:r>
      <w:r w:rsidRPr="009740C9">
        <w:t xml:space="preserve"> </w:t>
      </w:r>
      <w:r>
        <w:t xml:space="preserve">démontré, ni même soutenu, que les décisions des tribunaux en question étaient </w:t>
      </w:r>
      <w:r w:rsidRPr="009740C9">
        <w:t>arbitraires</w:t>
      </w:r>
      <w:r>
        <w:t xml:space="preserve"> ou déraisonnables</w:t>
      </w:r>
      <w:r w:rsidR="00630811" w:rsidRPr="00630811">
        <w:t>.</w:t>
      </w:r>
      <w:r w:rsidRPr="009740C9">
        <w:t xml:space="preserve"> </w:t>
      </w:r>
      <w:r>
        <w:t>Le Comité constate de surcroît</w:t>
      </w:r>
      <w:r w:rsidRPr="009740C9">
        <w:t xml:space="preserve"> que l</w:t>
      </w:r>
      <w:r>
        <w:t>’</w:t>
      </w:r>
      <w:r w:rsidRPr="009740C9">
        <w:t>auteur n</w:t>
      </w:r>
      <w:r>
        <w:t>’</w:t>
      </w:r>
      <w:r w:rsidRPr="009740C9">
        <w:t>a pas donné de détails concernant les violences qu</w:t>
      </w:r>
      <w:r>
        <w:t>’</w:t>
      </w:r>
      <w:r w:rsidRPr="009740C9">
        <w:t>il aurait subies ; il n</w:t>
      </w:r>
      <w:r>
        <w:t>’</w:t>
      </w:r>
      <w:r w:rsidRPr="009740C9">
        <w:t xml:space="preserve">a par exemple pas précisé </w:t>
      </w:r>
      <w:r>
        <w:t xml:space="preserve">de quelle manière il avait été battu, sur </w:t>
      </w:r>
      <w:r w:rsidRPr="009740C9">
        <w:t xml:space="preserve">quelles parties </w:t>
      </w:r>
      <w:r>
        <w:t>du</w:t>
      </w:r>
      <w:r w:rsidRPr="009740C9">
        <w:t xml:space="preserve"> corps </w:t>
      </w:r>
      <w:r>
        <w:t>exactement il aurait été frappé</w:t>
      </w:r>
      <w:r w:rsidRPr="009740C9">
        <w:t xml:space="preserve">, </w:t>
      </w:r>
      <w:r>
        <w:t>par quels policiers et combien, non plus qu’il a fait état de lésions dues aux coups reçus</w:t>
      </w:r>
      <w:r w:rsidR="00630811" w:rsidRPr="00630811">
        <w:t>.</w:t>
      </w:r>
    </w:p>
    <w:p w14:paraId="4B4B8341" w14:textId="77777777" w:rsidR="005C2947" w:rsidRPr="009740C9" w:rsidRDefault="005C2947" w:rsidP="005C2947">
      <w:pPr>
        <w:pStyle w:val="SingleTxtG"/>
      </w:pPr>
      <w:r>
        <w:t>8</w:t>
      </w:r>
      <w:r w:rsidR="00630811" w:rsidRPr="00630811">
        <w:t>.</w:t>
      </w:r>
      <w:r>
        <w:t>7</w:t>
      </w:r>
      <w:r w:rsidRPr="009740C9">
        <w:tab/>
        <w:t>Compte tenu des objections formulées par l</w:t>
      </w:r>
      <w:r>
        <w:t>’</w:t>
      </w:r>
      <w:r w:rsidRPr="009740C9">
        <w:t xml:space="preserve">État partie </w:t>
      </w:r>
      <w:r>
        <w:t>à l’égard des</w:t>
      </w:r>
      <w:r w:rsidRPr="009740C9">
        <w:t xml:space="preserve"> allégations de l</w:t>
      </w:r>
      <w:r>
        <w:t>’</w:t>
      </w:r>
      <w:r w:rsidRPr="009740C9">
        <w:t>auteur et des décisions rendues par les tribunaux</w:t>
      </w:r>
      <w:r>
        <w:t>,</w:t>
      </w:r>
      <w:r w:rsidRPr="009740C9">
        <w:t xml:space="preserve"> et étant donné que l</w:t>
      </w:r>
      <w:r>
        <w:t>’</w:t>
      </w:r>
      <w:r w:rsidRPr="009740C9">
        <w:t>auteur n</w:t>
      </w:r>
      <w:r>
        <w:t>’</w:t>
      </w:r>
      <w:r w:rsidRPr="009740C9">
        <w:t xml:space="preserve">a soumis </w:t>
      </w:r>
      <w:r>
        <w:t>aucun document venant étayer</w:t>
      </w:r>
      <w:r w:rsidRPr="009740C9">
        <w:t xml:space="preserve"> ses allégations</w:t>
      </w:r>
      <w:r>
        <w:t xml:space="preserve"> ni démontré, ou même soutenu, que</w:t>
      </w:r>
      <w:r w:rsidRPr="009740C9">
        <w:t xml:space="preserve"> les décisions des tribunaux étaient arbitraires ou déraisonnables, le Comité conclut que ni les conditions dans lesquelles l</w:t>
      </w:r>
      <w:r>
        <w:t>’</w:t>
      </w:r>
      <w:r w:rsidRPr="009740C9">
        <w:t xml:space="preserve">auteur a été détenu, ni </w:t>
      </w:r>
      <w:r>
        <w:t>le comportement</w:t>
      </w:r>
      <w:r w:rsidRPr="009740C9">
        <w:t xml:space="preserve"> de l</w:t>
      </w:r>
      <w:r>
        <w:t>’</w:t>
      </w:r>
      <w:r w:rsidRPr="009740C9">
        <w:t>État partie à l</w:t>
      </w:r>
      <w:r>
        <w:t>’</w:t>
      </w:r>
      <w:r w:rsidRPr="009740C9">
        <w:t>égard de l</w:t>
      </w:r>
      <w:r>
        <w:t xml:space="preserve">’intéressé </w:t>
      </w:r>
      <w:r w:rsidRPr="009740C9">
        <w:t>ne sont constituti</w:t>
      </w:r>
      <w:r>
        <w:t>f</w:t>
      </w:r>
      <w:r w:rsidRPr="009740C9">
        <w:t>s d</w:t>
      </w:r>
      <w:r>
        <w:t>’</w:t>
      </w:r>
      <w:r w:rsidRPr="009740C9">
        <w:t xml:space="preserve">une violation des droits que </w:t>
      </w:r>
      <w:r>
        <w:t>l’intéressé</w:t>
      </w:r>
      <w:r w:rsidRPr="009740C9">
        <w:t xml:space="preserve"> tient de</w:t>
      </w:r>
      <w:r>
        <w:t>s a</w:t>
      </w:r>
      <w:r w:rsidRPr="009740C9">
        <w:t>rticle</w:t>
      </w:r>
      <w:r>
        <w:t>s </w:t>
      </w:r>
      <w:r w:rsidRPr="009740C9">
        <w:t>7,</w:t>
      </w:r>
      <w:r>
        <w:t xml:space="preserve"> 10 (</w:t>
      </w:r>
      <w:r w:rsidRPr="009740C9">
        <w:t>par</w:t>
      </w:r>
      <w:r w:rsidR="00630811" w:rsidRPr="00630811">
        <w:t>.</w:t>
      </w:r>
      <w:r>
        <w:t> </w:t>
      </w:r>
      <w:r w:rsidRPr="009740C9">
        <w:t>1</w:t>
      </w:r>
      <w:r>
        <w:t>) et 14 (par</w:t>
      </w:r>
      <w:r w:rsidR="00630811" w:rsidRPr="00630811">
        <w:t>.</w:t>
      </w:r>
      <w:r>
        <w:t> </w:t>
      </w:r>
      <w:r w:rsidRPr="009740C9">
        <w:t>3 g)</w:t>
      </w:r>
      <w:r>
        <w:t xml:space="preserve">) </w:t>
      </w:r>
      <w:r w:rsidRPr="009740C9">
        <w:t>du Pacte</w:t>
      </w:r>
      <w:r w:rsidR="00630811" w:rsidRPr="00630811">
        <w:t>.</w:t>
      </w:r>
      <w:r>
        <w:t xml:space="preserve"> Faute d’autres informations dans le dossier, il estime que les allégations de l’auteur ne sont pas suffisamment étayées aux fins de la </w:t>
      </w:r>
      <w:r>
        <w:lastRenderedPageBreak/>
        <w:t>recevabilité</w:t>
      </w:r>
      <w:r w:rsidR="00630811" w:rsidRPr="00630811">
        <w:t>.</w:t>
      </w:r>
      <w:r>
        <w:t xml:space="preserve"> En conséquence, il déclare cette partie de la communication irrecevable au regard de l’article 2 du Protocole facultatif</w:t>
      </w:r>
      <w:r w:rsidR="00630811" w:rsidRPr="00630811">
        <w:t>.</w:t>
      </w:r>
    </w:p>
    <w:p w14:paraId="2AF71F05" w14:textId="77777777" w:rsidR="005C2947" w:rsidRPr="009740C9" w:rsidRDefault="005C2947" w:rsidP="005C2947">
      <w:pPr>
        <w:pStyle w:val="SingleTxtG"/>
      </w:pPr>
      <w:r>
        <w:t>8</w:t>
      </w:r>
      <w:r w:rsidR="00630811" w:rsidRPr="00630811">
        <w:t>.</w:t>
      </w:r>
      <w:r>
        <w:t>8</w:t>
      </w:r>
      <w:r w:rsidRPr="009740C9">
        <w:tab/>
        <w:t xml:space="preserve">Le Comité </w:t>
      </w:r>
      <w:r>
        <w:t>note que</w:t>
      </w:r>
      <w:r w:rsidRPr="009740C9">
        <w:t xml:space="preserve"> l</w:t>
      </w:r>
      <w:r>
        <w:t>’</w:t>
      </w:r>
      <w:r w:rsidRPr="009740C9">
        <w:t xml:space="preserve">auteur </w:t>
      </w:r>
      <w:r>
        <w:t>argue que</w:t>
      </w:r>
      <w:r w:rsidRPr="009740C9">
        <w:t xml:space="preserve"> son droit d</w:t>
      </w:r>
      <w:r>
        <w:t>’</w:t>
      </w:r>
      <w:r w:rsidRPr="009740C9">
        <w:t>être présumé innocent a été violé du fait de la publication, par plusieurs organes de presse, d</w:t>
      </w:r>
      <w:r>
        <w:t>’</w:t>
      </w:r>
      <w:r w:rsidRPr="009740C9">
        <w:t>articles concernant les poursuites engagées contre lui</w:t>
      </w:r>
      <w:r w:rsidR="00630811" w:rsidRPr="00630811">
        <w:t>.</w:t>
      </w:r>
      <w:r w:rsidRPr="009740C9">
        <w:t xml:space="preserve"> </w:t>
      </w:r>
      <w:r>
        <w:t>Il note également que</w:t>
      </w:r>
      <w:r w:rsidRPr="009740C9">
        <w:t xml:space="preserve"> l</w:t>
      </w:r>
      <w:r>
        <w:t>’</w:t>
      </w:r>
      <w:r w:rsidRPr="009740C9">
        <w:t>État partie</w:t>
      </w:r>
      <w:r>
        <w:t xml:space="preserve"> soutient</w:t>
      </w:r>
      <w:r w:rsidRPr="009740C9">
        <w:t xml:space="preserve"> qu</w:t>
      </w:r>
      <w:r>
        <w:t>’</w:t>
      </w:r>
      <w:r w:rsidRPr="009740C9">
        <w:t>aucune information confidentielle n</w:t>
      </w:r>
      <w:r>
        <w:t>’</w:t>
      </w:r>
      <w:r w:rsidRPr="009740C9">
        <w:t xml:space="preserve">a été divulguée par les </w:t>
      </w:r>
      <w:proofErr w:type="spellStart"/>
      <w:r w:rsidRPr="009740C9">
        <w:t>médias</w:t>
      </w:r>
      <w:proofErr w:type="spellEnd"/>
      <w:r w:rsidR="00630811" w:rsidRPr="00630811">
        <w:t>.</w:t>
      </w:r>
      <w:r w:rsidRPr="009740C9">
        <w:t xml:space="preserve"> </w:t>
      </w:r>
      <w:r>
        <w:t>Le Comité</w:t>
      </w:r>
      <w:r w:rsidRPr="009740C9">
        <w:t xml:space="preserve"> </w:t>
      </w:r>
      <w:r>
        <w:t xml:space="preserve">a </w:t>
      </w:r>
      <w:r w:rsidRPr="009740C9">
        <w:t xml:space="preserve">passé en revue les articles en question et a </w:t>
      </w:r>
      <w:r>
        <w:t>pu constater</w:t>
      </w:r>
      <w:r w:rsidRPr="009740C9">
        <w:t xml:space="preserve"> que ni le nom de l</w:t>
      </w:r>
      <w:r>
        <w:t>’</w:t>
      </w:r>
      <w:r w:rsidRPr="009740C9">
        <w:t>auteur, ni aucune autre donnée personnelle ou de nature à révéler son identité n</w:t>
      </w:r>
      <w:r>
        <w:t>’</w:t>
      </w:r>
      <w:r w:rsidRPr="009740C9">
        <w:t>y figurait</w:t>
      </w:r>
      <w:r w:rsidR="00630811" w:rsidRPr="00630811">
        <w:t>.</w:t>
      </w:r>
      <w:r w:rsidRPr="009740C9">
        <w:t xml:space="preserve"> Eu égard à la situation décrite par les parties et </w:t>
      </w:r>
      <w:r>
        <w:t>étant donné que</w:t>
      </w:r>
      <w:r w:rsidRPr="009740C9">
        <w:t xml:space="preserve"> les articles parus dans les </w:t>
      </w:r>
      <w:proofErr w:type="spellStart"/>
      <w:r w:rsidRPr="009740C9">
        <w:t>médias</w:t>
      </w:r>
      <w:proofErr w:type="spellEnd"/>
      <w:r w:rsidRPr="009740C9">
        <w:t xml:space="preserve"> ne mentionnent pas le nom de l</w:t>
      </w:r>
      <w:r>
        <w:t>’</w:t>
      </w:r>
      <w:r w:rsidRPr="009740C9">
        <w:t xml:space="preserve">auteur, </w:t>
      </w:r>
      <w:r>
        <w:t>il</w:t>
      </w:r>
      <w:r w:rsidRPr="009740C9">
        <w:t xml:space="preserve"> ne </w:t>
      </w:r>
      <w:r>
        <w:t>saurait donc</w:t>
      </w:r>
      <w:r w:rsidRPr="009740C9">
        <w:t xml:space="preserve"> conclure que lesdits articles sont constitutifs d</w:t>
      </w:r>
      <w:r>
        <w:t>’</w:t>
      </w:r>
      <w:r w:rsidRPr="009740C9">
        <w:t>une violation du droit que l</w:t>
      </w:r>
      <w:r>
        <w:t>’</w:t>
      </w:r>
      <w:r w:rsidRPr="009740C9">
        <w:t>auteur tient de l</w:t>
      </w:r>
      <w:r>
        <w:t>’</w:t>
      </w:r>
      <w:r w:rsidRPr="009740C9">
        <w:t xml:space="preserve">article 14 </w:t>
      </w:r>
      <w:r>
        <w:t>(par</w:t>
      </w:r>
      <w:r w:rsidR="00630811" w:rsidRPr="00630811">
        <w:t>.</w:t>
      </w:r>
      <w:r>
        <w:t xml:space="preserve"> 2) </w:t>
      </w:r>
      <w:r w:rsidRPr="009740C9">
        <w:t>du Pacte</w:t>
      </w:r>
      <w:r w:rsidR="00630811" w:rsidRPr="00630811">
        <w:t>.</w:t>
      </w:r>
      <w:r>
        <w:t xml:space="preserve"> En conséquence, le Comité estime que ces griefs ne sont pas suffisamment étayés aux fins de la recevabilité</w:t>
      </w:r>
      <w:r w:rsidR="00630811" w:rsidRPr="00630811">
        <w:t>.</w:t>
      </w:r>
      <w:r>
        <w:t xml:space="preserve"> Il déclare donc cette partie de la communication irrecevable au regard de l’article 2 du Protocole facultatif</w:t>
      </w:r>
      <w:r w:rsidR="00630811" w:rsidRPr="00630811">
        <w:t>.</w:t>
      </w:r>
    </w:p>
    <w:p w14:paraId="656DC474" w14:textId="77777777" w:rsidR="005C2947" w:rsidRPr="009740C9" w:rsidRDefault="005C2947" w:rsidP="005C2947">
      <w:pPr>
        <w:pStyle w:val="SingleTxtG"/>
      </w:pPr>
      <w:r w:rsidRPr="009740C9">
        <w:t>8</w:t>
      </w:r>
      <w:r w:rsidR="00630811" w:rsidRPr="00630811">
        <w:t>.</w:t>
      </w:r>
      <w:r>
        <w:t>9</w:t>
      </w:r>
      <w:r w:rsidRPr="009740C9">
        <w:tab/>
        <w:t>Le Comité estime que l</w:t>
      </w:r>
      <w:r>
        <w:t>’</w:t>
      </w:r>
      <w:r w:rsidRPr="009740C9">
        <w:t>auteur a suffisamment étayé, aux fins de la recevabilité, les griefs qu</w:t>
      </w:r>
      <w:r>
        <w:t>’</w:t>
      </w:r>
      <w:r w:rsidRPr="009740C9">
        <w:t>il tire de l</w:t>
      </w:r>
      <w:r>
        <w:t>’</w:t>
      </w:r>
      <w:r w:rsidRPr="009740C9">
        <w:t xml:space="preserve">article 14 </w:t>
      </w:r>
      <w:r>
        <w:t>(</w:t>
      </w:r>
      <w:r w:rsidRPr="009740C9">
        <w:t>par</w:t>
      </w:r>
      <w:r w:rsidR="00630811" w:rsidRPr="00630811">
        <w:t>.</w:t>
      </w:r>
      <w:r>
        <w:t> </w:t>
      </w:r>
      <w:r w:rsidRPr="009740C9">
        <w:t xml:space="preserve"> 3 e)</w:t>
      </w:r>
      <w:r>
        <w:t xml:space="preserve">) </w:t>
      </w:r>
      <w:r w:rsidRPr="009740C9">
        <w:t>du Pacte</w:t>
      </w:r>
      <w:r w:rsidR="00630811" w:rsidRPr="00630811">
        <w:t>.</w:t>
      </w:r>
      <w:r w:rsidRPr="009740C9">
        <w:t xml:space="preserve"> Il déclare donc ces griefs recevables et procède à leur examen quant au fond</w:t>
      </w:r>
      <w:r w:rsidR="00630811" w:rsidRPr="00630811">
        <w:t>.</w:t>
      </w:r>
    </w:p>
    <w:p w14:paraId="3F16747A" w14:textId="77777777" w:rsidR="005C2947" w:rsidRPr="00711A2E" w:rsidRDefault="005C2947" w:rsidP="005C2947">
      <w:pPr>
        <w:pStyle w:val="H4G"/>
      </w:pPr>
      <w:r w:rsidRPr="009740C9">
        <w:tab/>
      </w:r>
      <w:r w:rsidRPr="009740C9">
        <w:tab/>
        <w:t>Examen au fond</w:t>
      </w:r>
    </w:p>
    <w:p w14:paraId="5B7F3A18" w14:textId="77777777" w:rsidR="005C2947" w:rsidRPr="009740C9" w:rsidRDefault="005C2947" w:rsidP="005C2947">
      <w:pPr>
        <w:pStyle w:val="SingleTxtG"/>
      </w:pPr>
      <w:r w:rsidRPr="009740C9">
        <w:t>9</w:t>
      </w:r>
      <w:r w:rsidR="00630811" w:rsidRPr="00630811">
        <w:t>.</w:t>
      </w:r>
      <w:r w:rsidRPr="009740C9">
        <w:t>1</w:t>
      </w:r>
      <w:r w:rsidRPr="009740C9">
        <w:tab/>
        <w:t>Conformément au paragraphe</w:t>
      </w:r>
      <w:r>
        <w:t> </w:t>
      </w:r>
      <w:r w:rsidRPr="009740C9">
        <w:t>1 de l</w:t>
      </w:r>
      <w:r>
        <w:t>’</w:t>
      </w:r>
      <w:r w:rsidRPr="009740C9">
        <w:t>article</w:t>
      </w:r>
      <w:r>
        <w:t> </w:t>
      </w:r>
      <w:r w:rsidRPr="009740C9">
        <w:t>5 du Protocole facultatif, le Comité a examiné la présente communication en tenant compte de toutes les informations que lui ont communiquées les parties</w:t>
      </w:r>
      <w:r w:rsidR="00630811" w:rsidRPr="00630811">
        <w:t>.</w:t>
      </w:r>
    </w:p>
    <w:p w14:paraId="3AE49963" w14:textId="77777777" w:rsidR="005C2947" w:rsidRPr="009740C9" w:rsidRDefault="005C2947" w:rsidP="005C2947">
      <w:pPr>
        <w:pStyle w:val="SingleTxtG"/>
      </w:pPr>
      <w:r w:rsidRPr="009740C9">
        <w:t>9</w:t>
      </w:r>
      <w:r w:rsidR="00630811" w:rsidRPr="00630811">
        <w:t>.</w:t>
      </w:r>
      <w:r>
        <w:t>2</w:t>
      </w:r>
      <w:r w:rsidRPr="009740C9">
        <w:tab/>
        <w:t xml:space="preserve">Le Comité </w:t>
      </w:r>
      <w:r>
        <w:t>prend note du</w:t>
      </w:r>
      <w:r w:rsidRPr="009740C9">
        <w:t xml:space="preserve"> grief de l</w:t>
      </w:r>
      <w:r>
        <w:t>’</w:t>
      </w:r>
      <w:r w:rsidRPr="009740C9">
        <w:t xml:space="preserve">auteur selon lequel son droit </w:t>
      </w:r>
      <w:r>
        <w:t>d’appeler les</w:t>
      </w:r>
      <w:r w:rsidRPr="009740C9">
        <w:t xml:space="preserve"> témoins</w:t>
      </w:r>
      <w:r>
        <w:t xml:space="preserve"> à la barre</w:t>
      </w:r>
      <w:r w:rsidRPr="009740C9">
        <w:t>, d</w:t>
      </w:r>
      <w:r>
        <w:t>’</w:t>
      </w:r>
      <w:r w:rsidRPr="009740C9">
        <w:t>obtenir leur comparution et de les interroger a été violé en ce qu</w:t>
      </w:r>
      <w:r>
        <w:t>’</w:t>
      </w:r>
      <w:r w:rsidRPr="009740C9">
        <w:t>il n</w:t>
      </w:r>
      <w:r>
        <w:t>’</w:t>
      </w:r>
      <w:r w:rsidRPr="009740C9">
        <w:t>a pas pu interroger les principaux témoins de l</w:t>
      </w:r>
      <w:r>
        <w:t>’</w:t>
      </w:r>
      <w:r w:rsidRPr="009740C9">
        <w:t>accusation</w:t>
      </w:r>
      <w:r>
        <w:t>, à savoir</w:t>
      </w:r>
      <w:r w:rsidRPr="009740C9">
        <w:t xml:space="preserve"> la victime, </w:t>
      </w:r>
      <w:r>
        <w:t xml:space="preserve">le professeur de la victime, </w:t>
      </w:r>
      <w:r w:rsidRPr="009740C9">
        <w:t>L</w:t>
      </w:r>
      <w:r w:rsidR="00630811" w:rsidRPr="00630811">
        <w:t>.</w:t>
      </w:r>
      <w:r w:rsidRPr="009740C9">
        <w:t> M</w:t>
      </w:r>
      <w:r w:rsidR="00630811" w:rsidRPr="00630811">
        <w:t>.</w:t>
      </w:r>
      <w:r w:rsidRPr="009740C9">
        <w:t> A</w:t>
      </w:r>
      <w:r w:rsidR="00630811" w:rsidRPr="00630811">
        <w:t>.</w:t>
      </w:r>
      <w:r>
        <w:t xml:space="preserve">, </w:t>
      </w:r>
      <w:r w:rsidRPr="009740C9">
        <w:t>et les experts</w:t>
      </w:r>
      <w:r>
        <w:t>,</w:t>
      </w:r>
      <w:r w:rsidRPr="009740C9">
        <w:t xml:space="preserve"> qui ont tous témoigné contre lui au cours de l</w:t>
      </w:r>
      <w:r>
        <w:t>’</w:t>
      </w:r>
      <w:r w:rsidRPr="009740C9">
        <w:t>enquête mais dont aucun n</w:t>
      </w:r>
      <w:r>
        <w:t>’</w:t>
      </w:r>
      <w:r w:rsidRPr="009740C9">
        <w:t xml:space="preserve">a été appelé à la barre ni tenu à la disposition de la défense pour </w:t>
      </w:r>
      <w:r>
        <w:t xml:space="preserve">qu’elle </w:t>
      </w:r>
      <w:r w:rsidRPr="009740C9">
        <w:t xml:space="preserve">puisse </w:t>
      </w:r>
      <w:r>
        <w:t>les interroger</w:t>
      </w:r>
      <w:r w:rsidR="00630811" w:rsidRPr="00630811">
        <w:t>.</w:t>
      </w:r>
      <w:r w:rsidRPr="009740C9">
        <w:t xml:space="preserve"> Pour ce qui est du droit d</w:t>
      </w:r>
      <w:r>
        <w:t>’</w:t>
      </w:r>
      <w:r w:rsidRPr="009740C9">
        <w:t>obtenir la comparution des témoins, de les interroger ou de les soumettre à un contre-interrogatoire, le Comité rappelle son observation générale n</w:t>
      </w:r>
      <w:r w:rsidRPr="009740C9">
        <w:rPr>
          <w:vertAlign w:val="superscript"/>
        </w:rPr>
        <w:t>o</w:t>
      </w:r>
      <w:r w:rsidRPr="009740C9">
        <w:t> 32</w:t>
      </w:r>
      <w:r>
        <w:t xml:space="preserve"> (2007) sur le droit à l’égalité devant les tribunaux et les cours de justice et à un procès équitable</w:t>
      </w:r>
      <w:r w:rsidRPr="009740C9">
        <w:t xml:space="preserve">, </w:t>
      </w:r>
      <w:r>
        <w:t xml:space="preserve">dans laquelle il a souligné </w:t>
      </w:r>
      <w:r w:rsidRPr="009740C9">
        <w:t>que cette garantie est importante car elle permet à l</w:t>
      </w:r>
      <w:r>
        <w:t>’</w:t>
      </w:r>
      <w:r w:rsidRPr="009740C9">
        <w:t>accusé et à son conseil de conduire effectivement la défense</w:t>
      </w:r>
      <w:r w:rsidR="00630811" w:rsidRPr="00630811">
        <w:t>.</w:t>
      </w:r>
      <w:r w:rsidRPr="009740C9">
        <w:t xml:space="preserve"> </w:t>
      </w:r>
      <w:r>
        <w:t>Il note t</w:t>
      </w:r>
      <w:r w:rsidRPr="009740C9">
        <w:t>outefois</w:t>
      </w:r>
      <w:r>
        <w:t xml:space="preserve"> aussi que</w:t>
      </w:r>
      <w:r w:rsidRPr="009740C9">
        <w:t xml:space="preserve"> le droit de l</w:t>
      </w:r>
      <w:r>
        <w:t>’</w:t>
      </w:r>
      <w:r w:rsidRPr="009740C9">
        <w:t>accusé de faire interroger les témoins n</w:t>
      </w:r>
      <w:r>
        <w:t>’</w:t>
      </w:r>
      <w:r w:rsidRPr="009740C9">
        <w:t>est pas absolu</w:t>
      </w:r>
      <w:r w:rsidR="00630811" w:rsidRPr="00630811">
        <w:t>.</w:t>
      </w:r>
      <w:r w:rsidRPr="009740C9">
        <w:t xml:space="preserve"> Il </w:t>
      </w:r>
      <w:r>
        <w:t>se limite au</w:t>
      </w:r>
      <w:r w:rsidRPr="009740C9">
        <w:t xml:space="preserve"> droit </w:t>
      </w:r>
      <w:r>
        <w:t xml:space="preserve">d’appeler à la barre </w:t>
      </w:r>
      <w:r w:rsidRPr="009740C9">
        <w:t xml:space="preserve">les témoins utiles pour la défense et </w:t>
      </w:r>
      <w:r>
        <w:t>d’interroger ou de contre-</w:t>
      </w:r>
      <w:r w:rsidRPr="009740C9">
        <w:t>interroger les témoins à charge à un stade ou un autre de la procédure</w:t>
      </w:r>
      <w:r w:rsidRPr="005C2947">
        <w:rPr>
          <w:rStyle w:val="Appelnotedebasdep"/>
        </w:rPr>
        <w:footnoteReference w:id="9"/>
      </w:r>
      <w:r w:rsidR="00630811" w:rsidRPr="00630811">
        <w:t>.</w:t>
      </w:r>
      <w:r>
        <w:t xml:space="preserve"> Le Comité rappelle sa jurisprudence, dont il ressort que le droit de l’auteur d’appeler les témoins à la barre peut être soumis à certaines restrictions lorsque cela est « justifié par la nécessité de protéger les droits de la victime »</w:t>
      </w:r>
      <w:r w:rsidRPr="005C2947">
        <w:rPr>
          <w:rStyle w:val="Appelnotedebasdep"/>
        </w:rPr>
        <w:footnoteReference w:id="10"/>
      </w:r>
      <w:r>
        <w:t>, ce qui, en l’espèce,</w:t>
      </w:r>
      <w:r w:rsidRPr="00D15366">
        <w:t xml:space="preserve"> </w:t>
      </w:r>
      <w:r>
        <w:t>est particulièrement pertinent compte tenu du fait que la victime est mineure</w:t>
      </w:r>
      <w:r w:rsidR="00630811" w:rsidRPr="00630811">
        <w:t>.</w:t>
      </w:r>
      <w:r>
        <w:t xml:space="preserve"> Il prend note à cet égard de l’approche suivie par la Cour européenne des droits de l’homme, qui prend en considération les droits de la victime présumée et la nécessité d’éviter une </w:t>
      </w:r>
      <w:proofErr w:type="spellStart"/>
      <w:r>
        <w:t>revictimisation</w:t>
      </w:r>
      <w:proofErr w:type="spellEnd"/>
      <w:r>
        <w:t xml:space="preserve"> pour déterminer si l’accusé a ou non bénéficié d’un </w:t>
      </w:r>
      <w:r w:rsidRPr="00630811">
        <w:t>procès équitable</w:t>
      </w:r>
      <w:r w:rsidRPr="00630811">
        <w:rPr>
          <w:rStyle w:val="Appelnotedebasdep"/>
        </w:rPr>
        <w:footnoteReference w:id="11"/>
      </w:r>
      <w:r w:rsidR="00630811" w:rsidRPr="00630811">
        <w:t>.</w:t>
      </w:r>
    </w:p>
    <w:p w14:paraId="6EDD4FAA" w14:textId="77777777" w:rsidR="005C2947" w:rsidRPr="009740C9" w:rsidRDefault="005C2947" w:rsidP="005C2947">
      <w:pPr>
        <w:pStyle w:val="SingleTxtG"/>
      </w:pPr>
      <w:r w:rsidRPr="009740C9">
        <w:t>9</w:t>
      </w:r>
      <w:r w:rsidR="00630811" w:rsidRPr="00630811">
        <w:t>.</w:t>
      </w:r>
      <w:r>
        <w:t>3</w:t>
      </w:r>
      <w:r w:rsidRPr="009740C9">
        <w:tab/>
        <w:t>En l</w:t>
      </w:r>
      <w:r>
        <w:t>’</w:t>
      </w:r>
      <w:r w:rsidRPr="009740C9">
        <w:t xml:space="preserve">espèce, le Comité note </w:t>
      </w:r>
      <w:r>
        <w:t xml:space="preserve">toutefois </w:t>
      </w:r>
      <w:r w:rsidRPr="009740C9">
        <w:t xml:space="preserve">que </w:t>
      </w:r>
      <w:r>
        <w:t xml:space="preserve">si </w:t>
      </w:r>
      <w:r w:rsidRPr="009740C9">
        <w:t>la victime</w:t>
      </w:r>
      <w:r w:rsidRPr="005C2947">
        <w:rPr>
          <w:rStyle w:val="Appelnotedebasdep"/>
        </w:rPr>
        <w:footnoteReference w:id="12"/>
      </w:r>
      <w:r w:rsidRPr="009740C9">
        <w:t xml:space="preserve">, </w:t>
      </w:r>
      <w:r>
        <w:t xml:space="preserve">son professeur </w:t>
      </w:r>
      <w:r w:rsidRPr="009740C9">
        <w:t>L</w:t>
      </w:r>
      <w:r w:rsidR="00630811" w:rsidRPr="00630811">
        <w:t>.</w:t>
      </w:r>
      <w:r w:rsidRPr="009740C9">
        <w:t> M</w:t>
      </w:r>
      <w:r w:rsidR="00630811" w:rsidRPr="00630811">
        <w:t>.</w:t>
      </w:r>
      <w:r w:rsidRPr="009740C9">
        <w:t> A</w:t>
      </w:r>
      <w:r w:rsidR="00630811" w:rsidRPr="00630811">
        <w:t>.</w:t>
      </w:r>
      <w:r w:rsidRPr="009740C9">
        <w:t xml:space="preserve"> et </w:t>
      </w:r>
      <w:r>
        <w:t>des</w:t>
      </w:r>
      <w:r w:rsidRPr="009740C9">
        <w:t xml:space="preserve"> experts</w:t>
      </w:r>
      <w:r w:rsidRPr="005C2947">
        <w:rPr>
          <w:rStyle w:val="Appelnotedebasdep"/>
        </w:rPr>
        <w:footnoteReference w:id="13"/>
      </w:r>
      <w:r>
        <w:t xml:space="preserve"> ont tous fait des déclarations à charge au cours de l’enquête préliminaire et il a été donné lecture de ces déclarations au procès afin qu’elles figurent dans le compte rendu d’audience, </w:t>
      </w:r>
      <w:r w:rsidRPr="009740C9">
        <w:t xml:space="preserve">la défense </w:t>
      </w:r>
      <w:r>
        <w:t xml:space="preserve">n’a pas </w:t>
      </w:r>
      <w:r w:rsidRPr="009740C9">
        <w:t xml:space="preserve">eu la possibilité </w:t>
      </w:r>
      <w:r>
        <w:t>d’interroger ou de contre-interroger les témoins</w:t>
      </w:r>
      <w:r w:rsidR="00630811" w:rsidRPr="00630811">
        <w:t>.</w:t>
      </w:r>
      <w:r w:rsidRPr="009740C9">
        <w:t xml:space="preserve"> Le Comité </w:t>
      </w:r>
      <w:r>
        <w:t>constate que l’État partie n’a fourni aucune explication de nature à justifier que les témoins − y compris les experts, qui ont fourni des preuves scientifiques importantes − n’aient pas été mis à la disposition de la défense pendant le procès</w:t>
      </w:r>
      <w:r w:rsidR="00630811" w:rsidRPr="00630811">
        <w:t>.</w:t>
      </w:r>
      <w:r>
        <w:t xml:space="preserve"> Il conclut </w:t>
      </w:r>
      <w:r>
        <w:lastRenderedPageBreak/>
        <w:t>donc, en l’absence d’explications de l’État partie à cet égard, par exemple concernant d’autres solutions que poser directement des questions à la victime en audience publique</w:t>
      </w:r>
      <w:r w:rsidRPr="009740C9">
        <w:t xml:space="preserve">, </w:t>
      </w:r>
      <w:r>
        <w:t>qu’en l’espèce, l’État partie a violé les</w:t>
      </w:r>
      <w:r w:rsidRPr="009740C9">
        <w:t xml:space="preserve"> droits que l</w:t>
      </w:r>
      <w:r>
        <w:t>’</w:t>
      </w:r>
      <w:r w:rsidRPr="009740C9">
        <w:t>auteur tient de l</w:t>
      </w:r>
      <w:r>
        <w:t>’</w:t>
      </w:r>
      <w:r w:rsidRPr="009740C9">
        <w:t>article</w:t>
      </w:r>
      <w:r>
        <w:t> </w:t>
      </w:r>
      <w:r w:rsidRPr="009740C9">
        <w:t>14</w:t>
      </w:r>
      <w:r>
        <w:t xml:space="preserve"> (par</w:t>
      </w:r>
      <w:r w:rsidR="00630811" w:rsidRPr="00630811">
        <w:t>.</w:t>
      </w:r>
      <w:r>
        <w:t> </w:t>
      </w:r>
      <w:r w:rsidRPr="009740C9">
        <w:t>3 e)</w:t>
      </w:r>
      <w:r>
        <w:t>)</w:t>
      </w:r>
      <w:r w:rsidRPr="009740C9">
        <w:t xml:space="preserve"> </w:t>
      </w:r>
      <w:r>
        <w:t>du Pacte</w:t>
      </w:r>
      <w:r w:rsidRPr="005C2947">
        <w:rPr>
          <w:rStyle w:val="Appelnotedebasdep"/>
        </w:rPr>
        <w:footnoteReference w:id="14"/>
      </w:r>
      <w:r w:rsidR="00630811" w:rsidRPr="00630811">
        <w:t>.</w:t>
      </w:r>
    </w:p>
    <w:p w14:paraId="3B4631C2" w14:textId="77777777" w:rsidR="005C2947" w:rsidRPr="009740C9" w:rsidRDefault="005C2947" w:rsidP="005C2947">
      <w:pPr>
        <w:pStyle w:val="SingleTxtG"/>
      </w:pPr>
      <w:r w:rsidRPr="009740C9">
        <w:t>10</w:t>
      </w:r>
      <w:r w:rsidR="00630811" w:rsidRPr="00630811">
        <w:t>.</w:t>
      </w:r>
      <w:r w:rsidRPr="009740C9">
        <w:tab/>
        <w:t>Le Comité, agissant en vertu du paragraphe</w:t>
      </w:r>
      <w:r>
        <w:t> </w:t>
      </w:r>
      <w:r w:rsidRPr="009740C9">
        <w:t>4 de l</w:t>
      </w:r>
      <w:r>
        <w:t>’</w:t>
      </w:r>
      <w:r w:rsidRPr="009740C9">
        <w:t>article 5 du Protocole facultatif, constate que les faits dont il est saisi font apparaître une violation des droits que l</w:t>
      </w:r>
      <w:r>
        <w:t>’</w:t>
      </w:r>
      <w:r w:rsidRPr="009740C9">
        <w:t>auteur tient de l</w:t>
      </w:r>
      <w:r>
        <w:t>’</w:t>
      </w:r>
      <w:r w:rsidRPr="009740C9">
        <w:t xml:space="preserve">article 14 </w:t>
      </w:r>
      <w:r>
        <w:t>(par</w:t>
      </w:r>
      <w:r w:rsidR="00630811" w:rsidRPr="00630811">
        <w:t>.</w:t>
      </w:r>
      <w:r>
        <w:t> </w:t>
      </w:r>
      <w:r w:rsidRPr="009740C9">
        <w:t>3 e)</w:t>
      </w:r>
      <w:r>
        <w:t>)</w:t>
      </w:r>
      <w:r w:rsidRPr="009740C9">
        <w:t xml:space="preserve"> du Pacte</w:t>
      </w:r>
      <w:r w:rsidR="00630811" w:rsidRPr="00630811">
        <w:t>.</w:t>
      </w:r>
    </w:p>
    <w:p w14:paraId="0EEFA2D7" w14:textId="77777777" w:rsidR="005C2947" w:rsidRPr="009740C9" w:rsidRDefault="005C2947" w:rsidP="005C2947">
      <w:pPr>
        <w:pStyle w:val="SingleTxtG"/>
        <w:rPr>
          <w:lang w:eastAsia="de-DE"/>
        </w:rPr>
      </w:pPr>
      <w:r w:rsidRPr="009740C9">
        <w:rPr>
          <w:lang w:eastAsia="de-DE"/>
        </w:rPr>
        <w:t>11</w:t>
      </w:r>
      <w:r w:rsidR="00630811" w:rsidRPr="00630811">
        <w:rPr>
          <w:lang w:eastAsia="de-DE"/>
        </w:rPr>
        <w:t>.</w:t>
      </w:r>
      <w:r w:rsidRPr="009740C9">
        <w:rPr>
          <w:lang w:eastAsia="de-DE"/>
        </w:rPr>
        <w:tab/>
        <w:t>Conformément au</w:t>
      </w:r>
      <w:r>
        <w:rPr>
          <w:lang w:eastAsia="de-DE"/>
        </w:rPr>
        <w:t xml:space="preserve">x dispositions </w:t>
      </w:r>
      <w:r w:rsidRPr="009740C9">
        <w:rPr>
          <w:lang w:eastAsia="de-DE"/>
        </w:rPr>
        <w:t>de l</w:t>
      </w:r>
      <w:r>
        <w:rPr>
          <w:lang w:eastAsia="de-DE"/>
        </w:rPr>
        <w:t>’</w:t>
      </w:r>
      <w:r w:rsidRPr="009740C9">
        <w:rPr>
          <w:lang w:eastAsia="de-DE"/>
        </w:rPr>
        <w:t xml:space="preserve">article 2 </w:t>
      </w:r>
      <w:r>
        <w:rPr>
          <w:lang w:eastAsia="de-DE"/>
        </w:rPr>
        <w:t>(par</w:t>
      </w:r>
      <w:r w:rsidR="00630811" w:rsidRPr="00630811">
        <w:rPr>
          <w:lang w:eastAsia="de-DE"/>
        </w:rPr>
        <w:t>.</w:t>
      </w:r>
      <w:r>
        <w:rPr>
          <w:lang w:eastAsia="de-DE"/>
        </w:rPr>
        <w:t xml:space="preserve"> 3 a)) </w:t>
      </w:r>
      <w:r w:rsidRPr="009740C9">
        <w:rPr>
          <w:lang w:eastAsia="de-DE"/>
        </w:rPr>
        <w:t>du Pacte, l</w:t>
      </w:r>
      <w:r>
        <w:rPr>
          <w:lang w:eastAsia="de-DE"/>
        </w:rPr>
        <w:t>’</w:t>
      </w:r>
      <w:r w:rsidRPr="009740C9">
        <w:rPr>
          <w:lang w:eastAsia="de-DE"/>
        </w:rPr>
        <w:t>État partie est tenu d</w:t>
      </w:r>
      <w:r>
        <w:rPr>
          <w:lang w:eastAsia="de-DE"/>
        </w:rPr>
        <w:t>’</w:t>
      </w:r>
      <w:r w:rsidRPr="009740C9">
        <w:rPr>
          <w:lang w:eastAsia="de-DE"/>
        </w:rPr>
        <w:t>assurer à l</w:t>
      </w:r>
      <w:r>
        <w:rPr>
          <w:lang w:eastAsia="de-DE"/>
        </w:rPr>
        <w:t>’</w:t>
      </w:r>
      <w:r w:rsidRPr="009740C9">
        <w:rPr>
          <w:lang w:eastAsia="de-DE"/>
        </w:rPr>
        <w:t>auteur une réparation effective</w:t>
      </w:r>
      <w:r w:rsidR="00630811" w:rsidRPr="00630811">
        <w:rPr>
          <w:lang w:eastAsia="de-DE"/>
        </w:rPr>
        <w:t>.</w:t>
      </w:r>
      <w:r w:rsidRPr="009740C9">
        <w:rPr>
          <w:lang w:eastAsia="de-DE"/>
        </w:rPr>
        <w:t xml:space="preserve"> Il doit à ce titre assurer une réparation intégrale à toutes les personnes dont les droits au titre du Pacte ont été violés</w:t>
      </w:r>
      <w:r w:rsidR="00630811" w:rsidRPr="00630811">
        <w:rPr>
          <w:lang w:eastAsia="de-DE"/>
        </w:rPr>
        <w:t>.</w:t>
      </w:r>
      <w:r w:rsidRPr="009740C9">
        <w:rPr>
          <w:lang w:eastAsia="de-DE"/>
        </w:rPr>
        <w:t xml:space="preserve"> L</w:t>
      </w:r>
      <w:r>
        <w:rPr>
          <w:lang w:eastAsia="de-DE"/>
        </w:rPr>
        <w:t>’</w:t>
      </w:r>
      <w:r w:rsidRPr="009740C9">
        <w:rPr>
          <w:lang w:eastAsia="de-DE"/>
        </w:rPr>
        <w:t>État partie est notamment tenu d</w:t>
      </w:r>
      <w:r>
        <w:rPr>
          <w:lang w:eastAsia="de-DE"/>
        </w:rPr>
        <w:t>’</w:t>
      </w:r>
      <w:r w:rsidRPr="009740C9">
        <w:rPr>
          <w:lang w:eastAsia="de-DE"/>
        </w:rPr>
        <w:t>assurer à l</w:t>
      </w:r>
      <w:r>
        <w:rPr>
          <w:lang w:eastAsia="de-DE"/>
        </w:rPr>
        <w:t>’</w:t>
      </w:r>
      <w:r w:rsidRPr="009740C9">
        <w:rPr>
          <w:lang w:eastAsia="de-DE"/>
        </w:rPr>
        <w:t>auteur une indemnisation équitable et d</w:t>
      </w:r>
      <w:r>
        <w:rPr>
          <w:lang w:eastAsia="de-DE"/>
        </w:rPr>
        <w:t>’</w:t>
      </w:r>
      <w:r w:rsidRPr="009740C9">
        <w:rPr>
          <w:lang w:eastAsia="de-DE"/>
        </w:rPr>
        <w:t>autres mesures de satisfaction pour les violations commises</w:t>
      </w:r>
      <w:r w:rsidR="00630811" w:rsidRPr="00630811">
        <w:rPr>
          <w:lang w:eastAsia="de-DE"/>
        </w:rPr>
        <w:t>.</w:t>
      </w:r>
      <w:r w:rsidRPr="009740C9">
        <w:rPr>
          <w:lang w:eastAsia="de-DE"/>
        </w:rPr>
        <w:t xml:space="preserve"> Il est également tenu de prendre toutes les mesures nécessaires pour empêcher que des violations analogues se reproduisent</w:t>
      </w:r>
      <w:r w:rsidR="00630811" w:rsidRPr="00630811">
        <w:rPr>
          <w:lang w:eastAsia="de-DE"/>
        </w:rPr>
        <w:t>.</w:t>
      </w:r>
    </w:p>
    <w:p w14:paraId="1A46D0E6" w14:textId="77777777" w:rsidR="005C2947" w:rsidRDefault="005C2947" w:rsidP="005C2947">
      <w:pPr>
        <w:pStyle w:val="SingleTxtG"/>
        <w:rPr>
          <w:lang w:eastAsia="de-DE"/>
        </w:rPr>
      </w:pPr>
      <w:r w:rsidRPr="009740C9">
        <w:rPr>
          <w:lang w:eastAsia="de-DE"/>
        </w:rPr>
        <w:t>12</w:t>
      </w:r>
      <w:r w:rsidR="00630811" w:rsidRPr="00630811">
        <w:rPr>
          <w:lang w:eastAsia="de-DE"/>
        </w:rPr>
        <w:t>.</w:t>
      </w:r>
      <w:r w:rsidRPr="009740C9">
        <w:rPr>
          <w:lang w:eastAsia="de-DE"/>
        </w:rPr>
        <w:tab/>
      </w:r>
      <w:r w:rsidRPr="009740C9">
        <w:t>Étant donné qu</w:t>
      </w:r>
      <w:r>
        <w:t>’</w:t>
      </w:r>
      <w:r w:rsidRPr="009740C9">
        <w:t>en adhérant au Protocole facultatif, l</w:t>
      </w:r>
      <w:r>
        <w:t>’</w:t>
      </w:r>
      <w:r w:rsidRPr="009740C9">
        <w:t>État partie a reconnu que le Comité a compétence pour déterminer s</w:t>
      </w:r>
      <w:r>
        <w:t>’</w:t>
      </w:r>
      <w:r w:rsidRPr="009740C9">
        <w:t>il y a ou non violation du Pacte et que, conformément à l</w:t>
      </w:r>
      <w:r>
        <w:t>’</w:t>
      </w:r>
      <w:r w:rsidRPr="009740C9">
        <w:t>article 2 du Pacte, il s</w:t>
      </w:r>
      <w:r>
        <w:t>’</w:t>
      </w:r>
      <w:r w:rsidRPr="009740C9">
        <w:t>est engagé à garantir à tous les individus se trouvant sur son territoire et relevant de sa juridiction les droits reconnus dans le Pacte et à assurer une réparation effective lorsqu</w:t>
      </w:r>
      <w:r>
        <w:t>’</w:t>
      </w:r>
      <w:r w:rsidRPr="009740C9">
        <w:t>une violation a été établie, le Comité souhaite recevoir de l</w:t>
      </w:r>
      <w:r>
        <w:t>’</w:t>
      </w:r>
      <w:r w:rsidRPr="009740C9">
        <w:t>État partie, dans un délai de cent</w:t>
      </w:r>
      <w:r>
        <w:t xml:space="preserve"> </w:t>
      </w:r>
      <w:r w:rsidRPr="009740C9">
        <w:t>quatre-vingts jours, des renseignements sur les mesures prises pour donner effet aux présentes constatations</w:t>
      </w:r>
      <w:r w:rsidR="00630811" w:rsidRPr="00630811">
        <w:t>.</w:t>
      </w:r>
      <w:r w:rsidRPr="009740C9">
        <w:t xml:space="preserve"> L</w:t>
      </w:r>
      <w:r>
        <w:t>’</w:t>
      </w:r>
      <w:r w:rsidRPr="009740C9">
        <w:t xml:space="preserve">État partie est invité en outre à rendre celles-ci publiques et à les diffuser largement dans </w:t>
      </w:r>
      <w:r>
        <w:t>s</w:t>
      </w:r>
      <w:r w:rsidRPr="009740C9">
        <w:t>a langue officielle</w:t>
      </w:r>
      <w:r w:rsidR="00630811" w:rsidRPr="00630811">
        <w:rPr>
          <w:lang w:eastAsia="de-DE"/>
        </w:rPr>
        <w:t>.</w:t>
      </w:r>
      <w:r>
        <w:rPr>
          <w:lang w:eastAsia="de-DE"/>
        </w:rPr>
        <w:t xml:space="preserve"> </w:t>
      </w:r>
    </w:p>
    <w:p w14:paraId="29C8C346" w14:textId="77777777" w:rsidR="005C2947" w:rsidRDefault="005C2947" w:rsidP="005C2947">
      <w:pPr>
        <w:pStyle w:val="SingleTxtG"/>
        <w:rPr>
          <w:lang w:eastAsia="de-DE"/>
        </w:rPr>
      </w:pPr>
    </w:p>
    <w:p w14:paraId="15F8255B" w14:textId="77777777" w:rsidR="005C2947" w:rsidRDefault="005C2947" w:rsidP="005C2947">
      <w:pPr>
        <w:pStyle w:val="SingleTxtG"/>
        <w:rPr>
          <w:lang w:eastAsia="de-DE"/>
        </w:rPr>
        <w:sectPr w:rsidR="005C2947" w:rsidSect="005C294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6BBDCE20" w14:textId="77777777" w:rsidR="005C2947" w:rsidRPr="00491B5E" w:rsidRDefault="005C2947" w:rsidP="005C2947">
      <w:pPr>
        <w:pStyle w:val="HChG"/>
      </w:pPr>
      <w:r w:rsidRPr="00350C12">
        <w:lastRenderedPageBreak/>
        <w:tab/>
      </w:r>
      <w:r w:rsidRPr="00491B5E">
        <w:t>Annex</w:t>
      </w:r>
      <w:r>
        <w:t>e</w:t>
      </w:r>
    </w:p>
    <w:p w14:paraId="6B99990F" w14:textId="77777777" w:rsidR="005C2947" w:rsidRPr="00350C12" w:rsidRDefault="005C2947" w:rsidP="005C2947">
      <w:pPr>
        <w:pStyle w:val="HChG"/>
      </w:pPr>
      <w:r w:rsidRPr="00350C12">
        <w:tab/>
      </w:r>
      <w:r w:rsidRPr="00350C12">
        <w:tab/>
      </w:r>
      <w:r>
        <w:t>Opinion conjointe (dissidente) de</w:t>
      </w:r>
      <w:r w:rsidRPr="00350C12">
        <w:t xml:space="preserve"> </w:t>
      </w:r>
      <w:proofErr w:type="spellStart"/>
      <w:r w:rsidRPr="00350C12">
        <w:t>Vasilka</w:t>
      </w:r>
      <w:proofErr w:type="spellEnd"/>
      <w:r w:rsidRPr="00350C12">
        <w:t xml:space="preserve"> </w:t>
      </w:r>
      <w:proofErr w:type="spellStart"/>
      <w:r w:rsidRPr="00350C12">
        <w:t>Sancin</w:t>
      </w:r>
      <w:proofErr w:type="spellEnd"/>
      <w:r w:rsidRPr="00350C12">
        <w:t xml:space="preserve">, José Manuel </w:t>
      </w:r>
      <w:r w:rsidRPr="00491B5E">
        <w:t>Santos</w:t>
      </w:r>
      <w:r w:rsidRPr="00350C12">
        <w:t xml:space="preserve"> Pais </w:t>
      </w:r>
      <w:r>
        <w:t xml:space="preserve">et </w:t>
      </w:r>
      <w:proofErr w:type="spellStart"/>
      <w:r w:rsidRPr="00350C12">
        <w:t>Gentian</w:t>
      </w:r>
      <w:proofErr w:type="spellEnd"/>
      <w:r w:rsidRPr="00350C12">
        <w:t xml:space="preserve"> </w:t>
      </w:r>
      <w:proofErr w:type="spellStart"/>
      <w:r w:rsidRPr="00350C12">
        <w:t>Zyberi</w:t>
      </w:r>
      <w:proofErr w:type="spellEnd"/>
      <w:r w:rsidRPr="00350C12">
        <w:t xml:space="preserve"> </w:t>
      </w:r>
    </w:p>
    <w:p w14:paraId="7E91C2F7" w14:textId="77777777" w:rsidR="005C2947" w:rsidRPr="00350C12" w:rsidRDefault="005C2947" w:rsidP="005C2947">
      <w:pPr>
        <w:pStyle w:val="SingleTxtG"/>
      </w:pPr>
      <w:r w:rsidRPr="00350C12">
        <w:t>1</w:t>
      </w:r>
      <w:r w:rsidR="00630811" w:rsidRPr="00630811">
        <w:t>.</w:t>
      </w:r>
      <w:r w:rsidRPr="00350C12">
        <w:tab/>
      </w:r>
      <w:r>
        <w:t>Nous regrettons</w:t>
      </w:r>
      <w:r w:rsidRPr="00350C12">
        <w:t xml:space="preserve"> </w:t>
      </w:r>
      <w:r>
        <w:t>de ne pas pouvoir nous joindre à la majorité des membres du Comité, qui, en l’espèce, a constaté une</w:t>
      </w:r>
      <w:r w:rsidRPr="00350C12">
        <w:t xml:space="preserve"> violation </w:t>
      </w:r>
      <w:r>
        <w:t xml:space="preserve">des droits reconnus à </w:t>
      </w:r>
      <w:proofErr w:type="spellStart"/>
      <w:r w:rsidRPr="00350C12">
        <w:t>Evgeny</w:t>
      </w:r>
      <w:proofErr w:type="spellEnd"/>
      <w:r w:rsidRPr="00350C12">
        <w:t xml:space="preserve"> </w:t>
      </w:r>
      <w:proofErr w:type="spellStart"/>
      <w:r w:rsidRPr="00350C12">
        <w:t>Bryukhanov</w:t>
      </w:r>
      <w:proofErr w:type="spellEnd"/>
      <w:r>
        <w:t xml:space="preserve"> par l’</w:t>
      </w:r>
      <w:r w:rsidRPr="00350C12">
        <w:t>article 14 (</w:t>
      </w:r>
      <w:r>
        <w:t>par</w:t>
      </w:r>
      <w:r w:rsidR="00630811" w:rsidRPr="00630811">
        <w:t>.</w:t>
      </w:r>
      <w:r>
        <w:t xml:space="preserve"> </w:t>
      </w:r>
      <w:r w:rsidRPr="00350C12">
        <w:t>3</w:t>
      </w:r>
      <w:r>
        <w:t xml:space="preserve"> </w:t>
      </w:r>
      <w:r w:rsidRPr="00350C12">
        <w:t>e)</w:t>
      </w:r>
      <w:r>
        <w:t>)</w:t>
      </w:r>
      <w:r w:rsidRPr="00350C12">
        <w:t xml:space="preserve"> </w:t>
      </w:r>
      <w:r>
        <w:t>du Pacte</w:t>
      </w:r>
      <w:r w:rsidR="00630811" w:rsidRPr="00630811">
        <w:t>.</w:t>
      </w:r>
    </w:p>
    <w:p w14:paraId="38F17AF0" w14:textId="77777777" w:rsidR="005C2947" w:rsidRPr="00350C12" w:rsidRDefault="005C2947" w:rsidP="005C2947">
      <w:pPr>
        <w:pStyle w:val="SingleTxtG"/>
        <w:spacing w:line="240" w:lineRule="auto"/>
      </w:pPr>
      <w:r w:rsidRPr="00350C12">
        <w:t>2</w:t>
      </w:r>
      <w:r w:rsidR="00630811" w:rsidRPr="00630811">
        <w:t>.</w:t>
      </w:r>
      <w:r w:rsidRPr="00350C12">
        <w:tab/>
      </w:r>
      <w:r>
        <w:t xml:space="preserve">Les faits de l’espèce font apparaître que </w:t>
      </w:r>
      <w:r w:rsidRPr="00350C12">
        <w:t>M</w:t>
      </w:r>
      <w:r w:rsidR="00630811" w:rsidRPr="00630811">
        <w:t>.</w:t>
      </w:r>
      <w:r w:rsidRPr="00350C12">
        <w:t xml:space="preserve"> </w:t>
      </w:r>
      <w:proofErr w:type="spellStart"/>
      <w:r w:rsidRPr="00350C12">
        <w:t>Bryukhanov</w:t>
      </w:r>
      <w:proofErr w:type="spellEnd"/>
      <w:r w:rsidRPr="00350C12">
        <w:t xml:space="preserve"> </w:t>
      </w:r>
      <w:r>
        <w:t xml:space="preserve">a été arrêté en août </w:t>
      </w:r>
      <w:r w:rsidRPr="00350C12">
        <w:t xml:space="preserve">2010 </w:t>
      </w:r>
      <w:r>
        <w:t>pour agression sexuelle sur sa belle-fille mineure</w:t>
      </w:r>
      <w:r w:rsidR="00630811" w:rsidRPr="00630811">
        <w:t>.</w:t>
      </w:r>
      <w:r w:rsidRPr="00350C12">
        <w:t xml:space="preserve"> </w:t>
      </w:r>
      <w:r>
        <w:t>Après son arrestation, des accusations concernant huit autres agressions sexuelles ont été portées contre lui</w:t>
      </w:r>
      <w:r w:rsidRPr="00350C12">
        <w:t xml:space="preserve"> (par</w:t>
      </w:r>
      <w:r w:rsidR="00630811" w:rsidRPr="00630811">
        <w:t>.</w:t>
      </w:r>
      <w:r w:rsidRPr="00350C12">
        <w:t xml:space="preserve"> 2</w:t>
      </w:r>
      <w:r w:rsidR="00630811" w:rsidRPr="00630811">
        <w:t>.</w:t>
      </w:r>
      <w:r w:rsidRPr="00350C12">
        <w:t>1)</w:t>
      </w:r>
      <w:r w:rsidR="00630811" w:rsidRPr="00630811">
        <w:t>.</w:t>
      </w:r>
      <w:r w:rsidRPr="00350C12">
        <w:t xml:space="preserve"> </w:t>
      </w:r>
      <w:r>
        <w:t>L’auteur avait déjà été condamné pour un autre viol</w:t>
      </w:r>
      <w:r w:rsidRPr="00350C12">
        <w:t xml:space="preserve"> (par</w:t>
      </w:r>
      <w:r w:rsidR="00630811" w:rsidRPr="00630811">
        <w:t>.</w:t>
      </w:r>
      <w:r w:rsidRPr="00350C12">
        <w:t xml:space="preserve"> 4</w:t>
      </w:r>
      <w:r w:rsidR="00630811" w:rsidRPr="00630811">
        <w:t>.</w:t>
      </w:r>
      <w:r w:rsidRPr="00350C12">
        <w:t xml:space="preserve">1 </w:t>
      </w:r>
      <w:r>
        <w:t xml:space="preserve">et </w:t>
      </w:r>
      <w:r w:rsidRPr="00350C12">
        <w:t>5</w:t>
      </w:r>
      <w:r w:rsidR="00630811" w:rsidRPr="00630811">
        <w:t>.</w:t>
      </w:r>
      <w:r w:rsidRPr="00350C12">
        <w:t>1)</w:t>
      </w:r>
      <w:r w:rsidR="00630811" w:rsidRPr="00630811">
        <w:t>.</w:t>
      </w:r>
      <w:r w:rsidRPr="00350C12">
        <w:t xml:space="preserve"> </w:t>
      </w:r>
      <w:r>
        <w:t>La belle-fille de l’auteur avait moins de 14 ans le jour de l’agression sexuelle</w:t>
      </w:r>
      <w:r w:rsidR="00630811" w:rsidRPr="00630811">
        <w:t>.</w:t>
      </w:r>
      <w:r w:rsidRPr="00350C12">
        <w:t xml:space="preserve"> </w:t>
      </w:r>
      <w:r>
        <w:t xml:space="preserve">L’auteur a été déclaré coupable d’actes de violence sexuelle répétés contre la victime, qui était une enfant, et a été condamné à </w:t>
      </w:r>
      <w:r w:rsidRPr="00350C12">
        <w:t xml:space="preserve">13 </w:t>
      </w:r>
      <w:r>
        <w:t>ans d’emprisonnement</w:t>
      </w:r>
      <w:r w:rsidRPr="00350C12">
        <w:t xml:space="preserve"> (par</w:t>
      </w:r>
      <w:r w:rsidR="00630811" w:rsidRPr="00630811">
        <w:t>.</w:t>
      </w:r>
      <w:r w:rsidRPr="00350C12">
        <w:t xml:space="preserve"> 2</w:t>
      </w:r>
      <w:r w:rsidR="00630811" w:rsidRPr="00630811">
        <w:t>.</w:t>
      </w:r>
      <w:r w:rsidRPr="00350C12">
        <w:t xml:space="preserve">3 </w:t>
      </w:r>
      <w:r>
        <w:t xml:space="preserve">et </w:t>
      </w:r>
      <w:r w:rsidRPr="00350C12">
        <w:t>4</w:t>
      </w:r>
      <w:r w:rsidR="00630811" w:rsidRPr="00630811">
        <w:t>.</w:t>
      </w:r>
      <w:r w:rsidRPr="00350C12">
        <w:t>1)</w:t>
      </w:r>
      <w:r w:rsidR="00630811" w:rsidRPr="00630811">
        <w:t>.</w:t>
      </w:r>
      <w:r w:rsidRPr="00350C12">
        <w:t xml:space="preserve"> </w:t>
      </w:r>
    </w:p>
    <w:p w14:paraId="230610BF" w14:textId="77777777" w:rsidR="005C2947" w:rsidRPr="00350C12" w:rsidRDefault="005C2947" w:rsidP="005C2947">
      <w:pPr>
        <w:pStyle w:val="SingleTxtG"/>
        <w:spacing w:line="240" w:lineRule="auto"/>
      </w:pPr>
      <w:r w:rsidRPr="00350C12">
        <w:t>3</w:t>
      </w:r>
      <w:r w:rsidR="00630811" w:rsidRPr="00630811">
        <w:t>.</w:t>
      </w:r>
      <w:r w:rsidRPr="00350C12">
        <w:tab/>
      </w:r>
      <w:r>
        <w:t xml:space="preserve">L’auteur reconnaît qu’il </w:t>
      </w:r>
      <w:bookmarkStart w:id="0" w:name="_GoBack"/>
      <w:bookmarkEnd w:id="0"/>
      <w:r>
        <w:t>s’est avoué coupable mais fait valoir que</w:t>
      </w:r>
      <w:r w:rsidRPr="009740C9">
        <w:t xml:space="preserve"> le tribunal n</w:t>
      </w:r>
      <w:r>
        <w:t>’</w:t>
      </w:r>
      <w:r w:rsidRPr="009740C9">
        <w:t xml:space="preserve">aurait pas dû </w:t>
      </w:r>
      <w:r>
        <w:t>admettre ses</w:t>
      </w:r>
      <w:r w:rsidRPr="009740C9">
        <w:t xml:space="preserve"> aveux </w:t>
      </w:r>
      <w:r>
        <w:t xml:space="preserve">comme éléments de preuve </w:t>
      </w:r>
      <w:r w:rsidRPr="00350C12">
        <w:t>(par</w:t>
      </w:r>
      <w:r w:rsidR="00630811" w:rsidRPr="00630811">
        <w:t>.</w:t>
      </w:r>
      <w:r w:rsidRPr="00350C12">
        <w:t xml:space="preserve"> 2</w:t>
      </w:r>
      <w:r w:rsidR="00630811" w:rsidRPr="00630811">
        <w:t>.</w:t>
      </w:r>
      <w:r w:rsidRPr="00350C12">
        <w:t>2)</w:t>
      </w:r>
      <w:r w:rsidR="00630811" w:rsidRPr="00630811">
        <w:t>.</w:t>
      </w:r>
      <w:r w:rsidRPr="00350C12">
        <w:t xml:space="preserve"> </w:t>
      </w:r>
      <w:r>
        <w:t>Malgré cela</w:t>
      </w:r>
      <w:r w:rsidRPr="00350C12">
        <w:t xml:space="preserve">, </w:t>
      </w:r>
      <w:r>
        <w:t>il n’a jamais donné de précisions sur les coups qui lui auraient été infligés dans le but de le forcer à avouer</w:t>
      </w:r>
      <w:r w:rsidR="00630811" w:rsidRPr="00630811">
        <w:t>.</w:t>
      </w:r>
      <w:r w:rsidRPr="00350C12">
        <w:t xml:space="preserve"> </w:t>
      </w:r>
      <w:r>
        <w:t>De plus</w:t>
      </w:r>
      <w:r w:rsidRPr="00350C12">
        <w:t xml:space="preserve">, </w:t>
      </w:r>
      <w:r w:rsidRPr="009740C9">
        <w:t>la juridiction de cassation</w:t>
      </w:r>
      <w:r w:rsidRPr="00350C12">
        <w:t xml:space="preserve"> </w:t>
      </w:r>
      <w:r>
        <w:t>a maintenu que les aveux de l’auteur étaient spontanés</w:t>
      </w:r>
      <w:r w:rsidRPr="00350C12">
        <w:t xml:space="preserve"> (par</w:t>
      </w:r>
      <w:r w:rsidR="00630811" w:rsidRPr="00630811">
        <w:t>.</w:t>
      </w:r>
      <w:r w:rsidRPr="00350C12">
        <w:t xml:space="preserve"> 2</w:t>
      </w:r>
      <w:r w:rsidR="00630811" w:rsidRPr="00630811">
        <w:t>.</w:t>
      </w:r>
      <w:r w:rsidRPr="00350C12">
        <w:t>3)</w:t>
      </w:r>
      <w:r w:rsidR="00630811" w:rsidRPr="00630811">
        <w:t>.</w:t>
      </w:r>
      <w:r w:rsidRPr="00350C12">
        <w:t xml:space="preserve"> </w:t>
      </w:r>
      <w:r>
        <w:t xml:space="preserve">L’auteur n’a pas non plus contesté l’argument de l’État partie selon lequel, le 21 août 2010, </w:t>
      </w:r>
      <w:r w:rsidRPr="009740C9">
        <w:t xml:space="preserve">comme </w:t>
      </w:r>
      <w:r>
        <w:t>en atteste</w:t>
      </w:r>
      <w:r w:rsidRPr="009740C9">
        <w:t xml:space="preserve"> le procès-verbal, un policier du commissariat n</w:t>
      </w:r>
      <w:r w:rsidRPr="009740C9">
        <w:rPr>
          <w:vertAlign w:val="superscript"/>
        </w:rPr>
        <w:t>o</w:t>
      </w:r>
      <w:r w:rsidRPr="009740C9">
        <w:t> 9 a pris la déposition de l</w:t>
      </w:r>
      <w:r>
        <w:t>’</w:t>
      </w:r>
      <w:r w:rsidRPr="009740C9">
        <w:t>auteur, venu de son plein gré avouer à la police que, le 20 août 2010, il était venu chercher sa belle-fille au domicile de sa belle-mère, l</w:t>
      </w:r>
      <w:r>
        <w:t>’</w:t>
      </w:r>
      <w:r w:rsidRPr="009740C9">
        <w:t xml:space="preserve">avait emmenée dans une forêt, et </w:t>
      </w:r>
      <w:r>
        <w:t>l’</w:t>
      </w:r>
      <w:r w:rsidRPr="009740C9">
        <w:t>avait violée</w:t>
      </w:r>
      <w:r w:rsidRPr="00350C12">
        <w:t xml:space="preserve"> (par</w:t>
      </w:r>
      <w:r w:rsidR="00630811" w:rsidRPr="00630811">
        <w:t>.</w:t>
      </w:r>
      <w:r w:rsidRPr="00350C12">
        <w:t xml:space="preserve"> 6</w:t>
      </w:r>
      <w:r w:rsidR="00630811" w:rsidRPr="00630811">
        <w:t>.</w:t>
      </w:r>
      <w:r w:rsidRPr="00350C12">
        <w:t>2)</w:t>
      </w:r>
      <w:r w:rsidR="00630811" w:rsidRPr="00630811">
        <w:t>.</w:t>
      </w:r>
      <w:r w:rsidRPr="00350C12">
        <w:t xml:space="preserve"> </w:t>
      </w:r>
    </w:p>
    <w:p w14:paraId="3ABD34C5" w14:textId="77777777" w:rsidR="005C2947" w:rsidRPr="00350C12" w:rsidRDefault="005C2947" w:rsidP="005C2947">
      <w:pPr>
        <w:pStyle w:val="SingleTxtG"/>
        <w:spacing w:line="240" w:lineRule="auto"/>
      </w:pPr>
      <w:r w:rsidRPr="00350C12">
        <w:t>4</w:t>
      </w:r>
      <w:r w:rsidR="00630811" w:rsidRPr="00630811">
        <w:t>.</w:t>
      </w:r>
      <w:r w:rsidRPr="00350C12">
        <w:tab/>
      </w:r>
      <w:r>
        <w:t>L’auteur et la victime étaient seuls au moment de l’agression sexuelle</w:t>
      </w:r>
      <w:r w:rsidR="00630811" w:rsidRPr="00630811">
        <w:t>.</w:t>
      </w:r>
      <w:r w:rsidRPr="00350C12">
        <w:t xml:space="preserve"> </w:t>
      </w:r>
      <w:r>
        <w:t>Il n’y a pas eu d’autres témoins</w:t>
      </w:r>
      <w:r w:rsidR="00630811" w:rsidRPr="00630811">
        <w:t>.</w:t>
      </w:r>
    </w:p>
    <w:p w14:paraId="079E4B0D" w14:textId="77777777" w:rsidR="005C2947" w:rsidRPr="00350C12" w:rsidRDefault="005C2947" w:rsidP="005C2947">
      <w:pPr>
        <w:pStyle w:val="SingleTxtG"/>
        <w:spacing w:line="240" w:lineRule="auto"/>
      </w:pPr>
      <w:r w:rsidRPr="00350C12">
        <w:t>5</w:t>
      </w:r>
      <w:r w:rsidR="00630811" w:rsidRPr="00630811">
        <w:t>.</w:t>
      </w:r>
      <w:r w:rsidRPr="00350C12">
        <w:tab/>
      </w:r>
      <w:r>
        <w:t xml:space="preserve">L’auteur fait valoir que la victime </w:t>
      </w:r>
      <w:r w:rsidRPr="009740C9">
        <w:t>n</w:t>
      </w:r>
      <w:r>
        <w:t>’</w:t>
      </w:r>
      <w:r w:rsidRPr="009740C9">
        <w:t>a pas été interrogée au procès et que l</w:t>
      </w:r>
      <w:r>
        <w:t>’</w:t>
      </w:r>
      <w:r w:rsidRPr="009740C9">
        <w:t xml:space="preserve">un des </w:t>
      </w:r>
      <w:r>
        <w:t xml:space="preserve">principaux </w:t>
      </w:r>
      <w:r w:rsidRPr="009740C9">
        <w:t>témoins à charge, L</w:t>
      </w:r>
      <w:r w:rsidR="00630811" w:rsidRPr="00630811">
        <w:t>.</w:t>
      </w:r>
      <w:r w:rsidRPr="009740C9">
        <w:t> M</w:t>
      </w:r>
      <w:r w:rsidR="00630811" w:rsidRPr="00630811">
        <w:t>.</w:t>
      </w:r>
      <w:r w:rsidRPr="009740C9">
        <w:t> A</w:t>
      </w:r>
      <w:r w:rsidR="00630811" w:rsidRPr="00630811">
        <w:t>.</w:t>
      </w:r>
      <w:r w:rsidRPr="009740C9">
        <w:t>, a été interrogé pendant l</w:t>
      </w:r>
      <w:r>
        <w:t>’</w:t>
      </w:r>
      <w:r w:rsidRPr="009740C9">
        <w:t>enquête mais n</w:t>
      </w:r>
      <w:r>
        <w:t>’</w:t>
      </w:r>
      <w:r w:rsidRPr="009740C9">
        <w:t>a pas comparu au procès</w:t>
      </w:r>
      <w:r w:rsidR="00630811" w:rsidRPr="00630811">
        <w:t>.</w:t>
      </w:r>
      <w:r w:rsidRPr="009740C9">
        <w:t xml:space="preserve"> En outre, plusieurs experts ont été interrogés et ont remis leurs conclusions pendant l</w:t>
      </w:r>
      <w:r>
        <w:t>’</w:t>
      </w:r>
      <w:r w:rsidRPr="009740C9">
        <w:t>enquête mais n</w:t>
      </w:r>
      <w:r>
        <w:t>’</w:t>
      </w:r>
      <w:r w:rsidRPr="009740C9">
        <w:t>ont pas été entendus lors du procès, leurs conclusions ayant simplement été lues afin de figurer dans les minutes</w:t>
      </w:r>
      <w:r w:rsidRPr="00350C12">
        <w:t xml:space="preserve"> (par</w:t>
      </w:r>
      <w:r w:rsidR="00630811" w:rsidRPr="00630811">
        <w:t>.</w:t>
      </w:r>
      <w:r w:rsidRPr="00350C12">
        <w:t xml:space="preserve"> 3</w:t>
      </w:r>
      <w:r w:rsidR="00630811" w:rsidRPr="00630811">
        <w:t>.</w:t>
      </w:r>
      <w:r w:rsidRPr="00350C12">
        <w:t>5)</w:t>
      </w:r>
      <w:r w:rsidR="00630811" w:rsidRPr="00630811">
        <w:t>.</w:t>
      </w:r>
      <w:r w:rsidRPr="00350C12">
        <w:t xml:space="preserve"> </w:t>
      </w:r>
    </w:p>
    <w:p w14:paraId="5EB1F143" w14:textId="77777777" w:rsidR="005C2947" w:rsidRPr="00350C12" w:rsidRDefault="005C2947" w:rsidP="005C2947">
      <w:pPr>
        <w:pStyle w:val="SingleTxtG"/>
        <w:spacing w:line="240" w:lineRule="auto"/>
      </w:pPr>
      <w:r w:rsidRPr="00350C12">
        <w:t>6</w:t>
      </w:r>
      <w:r w:rsidR="00630811" w:rsidRPr="00630811">
        <w:t>.</w:t>
      </w:r>
      <w:r w:rsidRPr="00350C12">
        <w:tab/>
      </w:r>
      <w:r>
        <w:t xml:space="preserve">Le Comité a pris en considération les griefs de l’auteur </w:t>
      </w:r>
      <w:r w:rsidRPr="009740C9">
        <w:t xml:space="preserve">selon lequel son droit </w:t>
      </w:r>
      <w:r>
        <w:t>d’appeler les</w:t>
      </w:r>
      <w:r w:rsidRPr="009740C9">
        <w:t xml:space="preserve"> témoins</w:t>
      </w:r>
      <w:r>
        <w:t xml:space="preserve"> à la barre</w:t>
      </w:r>
      <w:r w:rsidRPr="009740C9">
        <w:t>, d</w:t>
      </w:r>
      <w:r>
        <w:t>’</w:t>
      </w:r>
      <w:r w:rsidRPr="009740C9">
        <w:t>obtenir leur comparution et de les interroger a été violé en ce qu</w:t>
      </w:r>
      <w:r>
        <w:t>’</w:t>
      </w:r>
      <w:r w:rsidRPr="009740C9">
        <w:t>il n</w:t>
      </w:r>
      <w:r>
        <w:t>’</w:t>
      </w:r>
      <w:r w:rsidRPr="009740C9">
        <w:t>a pas pu interroger les principaux témoins de l</w:t>
      </w:r>
      <w:r>
        <w:t>’</w:t>
      </w:r>
      <w:r w:rsidRPr="009740C9">
        <w:t>accusation</w:t>
      </w:r>
      <w:r>
        <w:t>, à savoir</w:t>
      </w:r>
      <w:r w:rsidRPr="009740C9">
        <w:t xml:space="preserve"> la victime, L</w:t>
      </w:r>
      <w:r w:rsidR="00630811" w:rsidRPr="00630811">
        <w:t>.</w:t>
      </w:r>
      <w:r w:rsidRPr="009740C9">
        <w:t> M</w:t>
      </w:r>
      <w:r w:rsidR="00630811" w:rsidRPr="00630811">
        <w:t>.</w:t>
      </w:r>
      <w:r w:rsidRPr="009740C9">
        <w:t> A</w:t>
      </w:r>
      <w:r w:rsidR="00630811" w:rsidRPr="00630811">
        <w:t>.</w:t>
      </w:r>
      <w:r>
        <w:t>, le professeur de la victime</w:t>
      </w:r>
      <w:r w:rsidRPr="009740C9">
        <w:t xml:space="preserve"> et les experts</w:t>
      </w:r>
      <w:r>
        <w:t>,</w:t>
      </w:r>
      <w:r w:rsidRPr="009740C9">
        <w:t xml:space="preserve"> qui ont tous témoigné contre lui au cours de l</w:t>
      </w:r>
      <w:r>
        <w:t>’</w:t>
      </w:r>
      <w:r w:rsidRPr="009740C9">
        <w:t>enquête mais dont aucun n</w:t>
      </w:r>
      <w:r>
        <w:t>’</w:t>
      </w:r>
      <w:r w:rsidRPr="009740C9">
        <w:t xml:space="preserve">a été appelé à la barre ni tenu à la disposition de la défense pour </w:t>
      </w:r>
      <w:r>
        <w:t xml:space="preserve">qu’elle </w:t>
      </w:r>
      <w:r w:rsidRPr="009740C9">
        <w:t xml:space="preserve">puisse </w:t>
      </w:r>
      <w:r>
        <w:t>les interroger</w:t>
      </w:r>
      <w:r w:rsidRPr="00350C12">
        <w:t xml:space="preserve"> (par</w:t>
      </w:r>
      <w:r w:rsidR="00630811" w:rsidRPr="00630811">
        <w:t>.</w:t>
      </w:r>
      <w:r w:rsidRPr="00350C12">
        <w:t xml:space="preserve"> 3</w:t>
      </w:r>
      <w:r w:rsidR="00630811" w:rsidRPr="00630811">
        <w:t>.</w:t>
      </w:r>
      <w:r w:rsidRPr="00350C12">
        <w:t xml:space="preserve">5 </w:t>
      </w:r>
      <w:r>
        <w:t xml:space="preserve">et </w:t>
      </w:r>
      <w:r w:rsidRPr="00350C12">
        <w:t>9</w:t>
      </w:r>
      <w:r w:rsidR="00630811" w:rsidRPr="00630811">
        <w:t>.</w:t>
      </w:r>
      <w:r w:rsidRPr="00350C12">
        <w:t>2)</w:t>
      </w:r>
      <w:r w:rsidR="00630811" w:rsidRPr="00630811">
        <w:t>.</w:t>
      </w:r>
      <w:r w:rsidRPr="00350C12">
        <w:t xml:space="preserve"> </w:t>
      </w:r>
      <w:r>
        <w:t xml:space="preserve">Le Comité a aussi souligné à juste titre, cependant, que le droit de l’accusé </w:t>
      </w:r>
      <w:r w:rsidRPr="009740C9">
        <w:t>de faire interroger les témoins n</w:t>
      </w:r>
      <w:r>
        <w:t>’</w:t>
      </w:r>
      <w:r w:rsidRPr="009740C9">
        <w:t>est pas absolu</w:t>
      </w:r>
      <w:r w:rsidR="00630811" w:rsidRPr="00630811">
        <w:t>.</w:t>
      </w:r>
      <w:r w:rsidRPr="009740C9">
        <w:t xml:space="preserve"> Il </w:t>
      </w:r>
      <w:r>
        <w:t>se limite au</w:t>
      </w:r>
      <w:r w:rsidRPr="009740C9">
        <w:t xml:space="preserve"> droit </w:t>
      </w:r>
      <w:r>
        <w:t xml:space="preserve">d’appeler à la barre </w:t>
      </w:r>
      <w:r w:rsidRPr="009740C9">
        <w:t xml:space="preserve">les témoins utiles pour la défense et </w:t>
      </w:r>
      <w:r>
        <w:t>d’interroger ou de contre-</w:t>
      </w:r>
      <w:r w:rsidRPr="009740C9">
        <w:t>interroger les témoins à charge à un stade ou un autre de la procédure</w:t>
      </w:r>
      <w:r w:rsidRPr="005C2947">
        <w:rPr>
          <w:rStyle w:val="Appelnotedebasdep"/>
        </w:rPr>
        <w:footnoteReference w:id="15"/>
      </w:r>
      <w:r w:rsidR="00630811" w:rsidRPr="00630811">
        <w:t>.</w:t>
      </w:r>
      <w:r w:rsidRPr="00350C12">
        <w:t xml:space="preserve"> </w:t>
      </w:r>
      <w:r>
        <w:t>Le droit de l’auteur d’appeler les témoins à la barre peut être soumis à certaines restrictions lorsque cela est justifié par la nécessité de protéger les droits de la victime</w:t>
      </w:r>
      <w:r w:rsidRPr="005C2947">
        <w:rPr>
          <w:rStyle w:val="Appelnotedebasdep"/>
        </w:rPr>
        <w:footnoteReference w:id="16"/>
      </w:r>
      <w:r>
        <w:t>,</w:t>
      </w:r>
      <w:r w:rsidRPr="00350C12">
        <w:t xml:space="preserve"> </w:t>
      </w:r>
      <w:r>
        <w:t>ce qui, en l’espèce,</w:t>
      </w:r>
      <w:r w:rsidRPr="00D15366">
        <w:t xml:space="preserve"> </w:t>
      </w:r>
      <w:r>
        <w:t>est particulièrement pertinent compte tenu du fait que la victime, une enfant de moins de 14 ans, belle-fille de l’auteur, était mineure</w:t>
      </w:r>
      <w:r w:rsidR="00630811" w:rsidRPr="00630811">
        <w:t>.</w:t>
      </w:r>
    </w:p>
    <w:p w14:paraId="6B817260" w14:textId="77777777" w:rsidR="005C2947" w:rsidRPr="00350C12" w:rsidRDefault="005C2947" w:rsidP="005C2947">
      <w:pPr>
        <w:pStyle w:val="SingleTxtG"/>
        <w:spacing w:line="240" w:lineRule="auto"/>
      </w:pPr>
      <w:r w:rsidRPr="00350C12">
        <w:t>7</w:t>
      </w:r>
      <w:r w:rsidR="00630811" w:rsidRPr="00630811">
        <w:t>.</w:t>
      </w:r>
      <w:r w:rsidRPr="00350C12">
        <w:tab/>
      </w:r>
      <w:r w:rsidRPr="009740C9">
        <w:t>L</w:t>
      </w:r>
      <w:r>
        <w:t>’</w:t>
      </w:r>
      <w:r w:rsidRPr="009740C9">
        <w:t>auteur étant accusé d</w:t>
      </w:r>
      <w:r>
        <w:t>’</w:t>
      </w:r>
      <w:r w:rsidRPr="009740C9">
        <w:t xml:space="preserve">infractions à caractère sexuel sur une personne mineure, les audiences </w:t>
      </w:r>
      <w:r>
        <w:t>n’étaient pas publiques, mais l’</w:t>
      </w:r>
      <w:r w:rsidRPr="009740C9">
        <w:t>auteur et son avocat y ont activement participé, et ont notamment pu produire des éléments de preuve et contester les conclusions du procureur</w:t>
      </w:r>
      <w:r w:rsidRPr="00350C12">
        <w:t xml:space="preserve"> (par</w:t>
      </w:r>
      <w:r w:rsidR="00630811" w:rsidRPr="00630811">
        <w:t>.</w:t>
      </w:r>
      <w:r w:rsidR="00493C28">
        <w:t> </w:t>
      </w:r>
      <w:r w:rsidRPr="00350C12">
        <w:t>4</w:t>
      </w:r>
      <w:r w:rsidR="00630811" w:rsidRPr="00630811">
        <w:t>.</w:t>
      </w:r>
      <w:r w:rsidRPr="00350C12">
        <w:t>6)</w:t>
      </w:r>
      <w:r>
        <w:t> ; ils n’ont donc pas été empêchés de présenter des arguments à décharge</w:t>
      </w:r>
      <w:r w:rsidR="00630811" w:rsidRPr="00630811">
        <w:t>.</w:t>
      </w:r>
      <w:r w:rsidRPr="00350C12">
        <w:t xml:space="preserve"> </w:t>
      </w:r>
    </w:p>
    <w:p w14:paraId="600DC150" w14:textId="77777777" w:rsidR="005C2947" w:rsidRPr="00350C12" w:rsidRDefault="005C2947" w:rsidP="005C2947">
      <w:pPr>
        <w:pStyle w:val="SingleTxtG"/>
        <w:spacing w:line="240" w:lineRule="auto"/>
      </w:pPr>
      <w:r w:rsidRPr="00350C12">
        <w:t>8</w:t>
      </w:r>
      <w:r w:rsidR="00630811" w:rsidRPr="00630811">
        <w:t>.</w:t>
      </w:r>
      <w:r w:rsidRPr="00350C12">
        <w:tab/>
      </w:r>
      <w:r w:rsidRPr="009740C9">
        <w:t>La victime a assisté à cinq audiences</w:t>
      </w:r>
      <w:r>
        <w:t xml:space="preserve"> et</w:t>
      </w:r>
      <w:r w:rsidRPr="009740C9">
        <w:t xml:space="preserve"> </w:t>
      </w:r>
      <w:r>
        <w:t>l</w:t>
      </w:r>
      <w:r w:rsidRPr="009740C9">
        <w:t>e fait qu</w:t>
      </w:r>
      <w:r>
        <w:t>’</w:t>
      </w:r>
      <w:r w:rsidRPr="009740C9">
        <w:t>elle n</w:t>
      </w:r>
      <w:r>
        <w:t>’</w:t>
      </w:r>
      <w:r w:rsidRPr="009740C9">
        <w:t>ait pas été présente aux quatre autres n</w:t>
      </w:r>
      <w:r>
        <w:t>’</w:t>
      </w:r>
      <w:r w:rsidRPr="009740C9">
        <w:t>a pas porté préjudice à l</w:t>
      </w:r>
      <w:r>
        <w:t>’</w:t>
      </w:r>
      <w:r w:rsidRPr="009740C9">
        <w:t xml:space="preserve">auteur, et la défense </w:t>
      </w:r>
      <w:r>
        <w:t>n’</w:t>
      </w:r>
      <w:r w:rsidRPr="009740C9">
        <w:t>a d</w:t>
      </w:r>
      <w:r>
        <w:t>’</w:t>
      </w:r>
      <w:r w:rsidRPr="009740C9">
        <w:t xml:space="preserve">ailleurs </w:t>
      </w:r>
      <w:r>
        <w:t xml:space="preserve">pas </w:t>
      </w:r>
      <w:r w:rsidRPr="009740C9">
        <w:t>demandé de reports d</w:t>
      </w:r>
      <w:r>
        <w:t>’</w:t>
      </w:r>
      <w:r w:rsidRPr="009740C9">
        <w:t>audience</w:t>
      </w:r>
      <w:r>
        <w:t xml:space="preserve"> et ne s’est pas plainte de l’absence de la victime</w:t>
      </w:r>
      <w:r w:rsidR="00630811" w:rsidRPr="00630811">
        <w:t>.</w:t>
      </w:r>
      <w:r w:rsidRPr="009740C9">
        <w:t xml:space="preserve"> La victime ayant refusé </w:t>
      </w:r>
      <w:r w:rsidRPr="009740C9">
        <w:lastRenderedPageBreak/>
        <w:t>de témoigner, le procureur a donné lecture de la déposition qu</w:t>
      </w:r>
      <w:r>
        <w:t>’</w:t>
      </w:r>
      <w:r w:rsidRPr="009740C9">
        <w:t>elle avait faite au cours de l</w:t>
      </w:r>
      <w:r>
        <w:t>’</w:t>
      </w:r>
      <w:r w:rsidRPr="009740C9">
        <w:t>enquête</w:t>
      </w:r>
      <w:r w:rsidR="00630811" w:rsidRPr="00630811">
        <w:t>.</w:t>
      </w:r>
      <w:r w:rsidRPr="009740C9">
        <w:t xml:space="preserve"> La victime a confirmé sans réserve sa déposition, mais a refusé de répondre aux questions de l</w:t>
      </w:r>
      <w:r>
        <w:t>’</w:t>
      </w:r>
      <w:r w:rsidRPr="009740C9">
        <w:t>avocat de la défense ou du procureur</w:t>
      </w:r>
      <w:r>
        <w:t xml:space="preserve"> </w:t>
      </w:r>
      <w:r w:rsidRPr="00350C12">
        <w:t>(par</w:t>
      </w:r>
      <w:r w:rsidR="00630811" w:rsidRPr="00630811">
        <w:t>.</w:t>
      </w:r>
      <w:r w:rsidRPr="00350C12">
        <w:t xml:space="preserve"> 4</w:t>
      </w:r>
      <w:r w:rsidR="00630811" w:rsidRPr="00630811">
        <w:t>.</w:t>
      </w:r>
      <w:r w:rsidRPr="00350C12">
        <w:t>8)</w:t>
      </w:r>
      <w:r w:rsidR="00630811" w:rsidRPr="00630811">
        <w:t>.</w:t>
      </w:r>
      <w:r w:rsidRPr="00350C12">
        <w:t xml:space="preserve"> </w:t>
      </w:r>
      <w:r>
        <w:t>Il n’y a donc pas eu de violation du principe de l’égalité des armes, et le refus de la victime de témoigner est tout</w:t>
      </w:r>
      <w:r w:rsidR="00493C28">
        <w:t xml:space="preserve"> </w:t>
      </w:r>
      <w:r>
        <w:t>à</w:t>
      </w:r>
      <w:r w:rsidR="00493C28">
        <w:t xml:space="preserve"> </w:t>
      </w:r>
      <w:r>
        <w:t>fait compréhensible compte tenu des circonstances particulières de l’espèce</w:t>
      </w:r>
      <w:r w:rsidRPr="00350C12">
        <w:t xml:space="preserve"> </w:t>
      </w:r>
      <w:r>
        <w:t xml:space="preserve">et de la nécessité d’éviter une </w:t>
      </w:r>
      <w:proofErr w:type="spellStart"/>
      <w:r>
        <w:t>revictimisation</w:t>
      </w:r>
      <w:proofErr w:type="spellEnd"/>
      <w:r w:rsidR="00630811" w:rsidRPr="00630811">
        <w:t>.</w:t>
      </w:r>
      <w:r w:rsidRPr="00350C12">
        <w:t xml:space="preserve"> </w:t>
      </w:r>
      <w:r>
        <w:t>Dans les affaires de viol sur mineur</w:t>
      </w:r>
      <w:r w:rsidRPr="00350C12">
        <w:t xml:space="preserve">, </w:t>
      </w:r>
      <w:r>
        <w:t>l’</w:t>
      </w:r>
      <w:r w:rsidRPr="00350C12">
        <w:t>article 14 (</w:t>
      </w:r>
      <w:r>
        <w:t>par</w:t>
      </w:r>
      <w:r w:rsidR="00630811" w:rsidRPr="00630811">
        <w:t>.</w:t>
      </w:r>
      <w:r w:rsidR="000369AC">
        <w:t> </w:t>
      </w:r>
      <w:r w:rsidRPr="00350C12">
        <w:t>3e)</w:t>
      </w:r>
      <w:r>
        <w:t>) ne saurait être interprété comme exigeant dans tous les cas que des questions soient posées directement à la victime par l’accusé ou par son conseil, dans le cadre d’un contre-interrogatoire ou par d’autres moyens</w:t>
      </w:r>
      <w:r w:rsidRPr="005C2947">
        <w:rPr>
          <w:rStyle w:val="Appelnotedebasdep"/>
        </w:rPr>
        <w:footnoteReference w:id="17"/>
      </w:r>
      <w:r w:rsidR="00630811" w:rsidRPr="00630811">
        <w:t>.</w:t>
      </w:r>
      <w:r w:rsidRPr="00350C12">
        <w:t xml:space="preserve"> </w:t>
      </w:r>
    </w:p>
    <w:p w14:paraId="0ABDFE65" w14:textId="77777777" w:rsidR="005C2947" w:rsidRPr="00350C12" w:rsidRDefault="005C2947" w:rsidP="005C2947">
      <w:pPr>
        <w:pStyle w:val="SingleTxtG"/>
        <w:spacing w:line="240" w:lineRule="auto"/>
      </w:pPr>
      <w:r w:rsidRPr="00350C12">
        <w:t>9</w:t>
      </w:r>
      <w:r w:rsidR="00630811" w:rsidRPr="00630811">
        <w:t>.</w:t>
      </w:r>
      <w:r w:rsidRPr="00350C12">
        <w:tab/>
      </w:r>
      <w:r>
        <w:t xml:space="preserve">L’auteur se plaint aussi qu’un </w:t>
      </w:r>
      <w:r w:rsidRPr="009740C9">
        <w:t>autre témoin important, L</w:t>
      </w:r>
      <w:r w:rsidR="00630811" w:rsidRPr="00630811">
        <w:t>.</w:t>
      </w:r>
      <w:r w:rsidRPr="009740C9">
        <w:t> M</w:t>
      </w:r>
      <w:r w:rsidR="00630811" w:rsidRPr="00630811">
        <w:t>.</w:t>
      </w:r>
      <w:r w:rsidRPr="009740C9">
        <w:t> A</w:t>
      </w:r>
      <w:r w:rsidR="00630811" w:rsidRPr="00630811">
        <w:t>.</w:t>
      </w:r>
      <w:r w:rsidRPr="009740C9">
        <w:t>, a été entendu par le tribunal, mais</w:t>
      </w:r>
      <w:r>
        <w:t xml:space="preserve"> que</w:t>
      </w:r>
      <w:r w:rsidRPr="009740C9">
        <w:t xml:space="preserve"> le juge n</w:t>
      </w:r>
      <w:r>
        <w:t>’</w:t>
      </w:r>
      <w:r w:rsidRPr="009740C9">
        <w:t>a pas permis qu</w:t>
      </w:r>
      <w:r>
        <w:t>’</w:t>
      </w:r>
      <w:r w:rsidRPr="009740C9">
        <w:t>on l</w:t>
      </w:r>
      <w:r>
        <w:t>’</w:t>
      </w:r>
      <w:r w:rsidRPr="009740C9">
        <w:t>interroge</w:t>
      </w:r>
      <w:r w:rsidRPr="00350C12">
        <w:t xml:space="preserve"> (par</w:t>
      </w:r>
      <w:r w:rsidR="00630811" w:rsidRPr="00630811">
        <w:t>.</w:t>
      </w:r>
      <w:r w:rsidRPr="00350C12">
        <w:t xml:space="preserve"> 5</w:t>
      </w:r>
      <w:r w:rsidR="00630811" w:rsidRPr="00630811">
        <w:t>.</w:t>
      </w:r>
      <w:r w:rsidRPr="00350C12">
        <w:t>5)</w:t>
      </w:r>
      <w:r w:rsidR="00630811" w:rsidRPr="00630811">
        <w:t>.</w:t>
      </w:r>
      <w:r w:rsidRPr="00350C12">
        <w:t xml:space="preserve"> </w:t>
      </w:r>
      <w:r>
        <w:t xml:space="preserve">L’auteur lui-même indique, ce qui est contradictoire, que </w:t>
      </w:r>
      <w:r w:rsidR="000369AC" w:rsidRPr="009740C9">
        <w:t>L</w:t>
      </w:r>
      <w:r w:rsidR="00630811" w:rsidRPr="00630811">
        <w:t>.</w:t>
      </w:r>
      <w:r w:rsidR="000369AC" w:rsidRPr="009740C9">
        <w:t> M</w:t>
      </w:r>
      <w:r w:rsidR="00630811" w:rsidRPr="00630811">
        <w:t>.</w:t>
      </w:r>
      <w:r w:rsidR="000369AC" w:rsidRPr="009740C9">
        <w:t> A</w:t>
      </w:r>
      <w:r w:rsidR="00630811" w:rsidRPr="00630811">
        <w:t>.</w:t>
      </w:r>
      <w:r>
        <w:t xml:space="preserve"> </w:t>
      </w:r>
      <w:r w:rsidRPr="009740C9">
        <w:t>a été interrogé</w:t>
      </w:r>
      <w:r>
        <w:t>e</w:t>
      </w:r>
      <w:r w:rsidRPr="009740C9">
        <w:t xml:space="preserve"> pendant l</w:t>
      </w:r>
      <w:r>
        <w:t>’</w:t>
      </w:r>
      <w:r w:rsidRPr="009740C9">
        <w:t>enquête mais n</w:t>
      </w:r>
      <w:r>
        <w:t>’</w:t>
      </w:r>
      <w:r w:rsidRPr="009740C9">
        <w:t>a pas comparu au procès</w:t>
      </w:r>
      <w:r w:rsidRPr="00350C12">
        <w:t xml:space="preserve"> (par</w:t>
      </w:r>
      <w:r w:rsidR="00630811" w:rsidRPr="00630811">
        <w:t>.</w:t>
      </w:r>
      <w:r w:rsidRPr="00350C12">
        <w:t xml:space="preserve"> 3</w:t>
      </w:r>
      <w:r w:rsidR="00630811" w:rsidRPr="00630811">
        <w:t>.</w:t>
      </w:r>
      <w:r w:rsidRPr="00350C12">
        <w:t>5)</w:t>
      </w:r>
      <w:r>
        <w:t> ; on voit donc mal comment le juge pourrait avoir empêché que des questions lui soient posées</w:t>
      </w:r>
      <w:r w:rsidR="00630811" w:rsidRPr="00630811">
        <w:t>.</w:t>
      </w:r>
      <w:r w:rsidRPr="00350C12">
        <w:t xml:space="preserve"> </w:t>
      </w:r>
      <w:r>
        <w:t xml:space="preserve">De plus, </w:t>
      </w:r>
      <w:r w:rsidR="000369AC" w:rsidRPr="009740C9">
        <w:t>L</w:t>
      </w:r>
      <w:r w:rsidR="00630811" w:rsidRPr="00630811">
        <w:t>.</w:t>
      </w:r>
      <w:r w:rsidR="000369AC" w:rsidRPr="009740C9">
        <w:t> M</w:t>
      </w:r>
      <w:r w:rsidR="00630811" w:rsidRPr="00630811">
        <w:t>.</w:t>
      </w:r>
      <w:r w:rsidR="000369AC" w:rsidRPr="009740C9">
        <w:t> A</w:t>
      </w:r>
      <w:r w:rsidR="00630811" w:rsidRPr="00630811">
        <w:t>.</w:t>
      </w:r>
      <w:r w:rsidRPr="00350C12">
        <w:t xml:space="preserve"> </w:t>
      </w:r>
      <w:r w:rsidRPr="009740C9">
        <w:t>n</w:t>
      </w:r>
      <w:r>
        <w:t>’</w:t>
      </w:r>
      <w:r w:rsidRPr="009740C9">
        <w:t>a pas été citée en tant que témoin, mais en tant que professeur</w:t>
      </w:r>
      <w:r w:rsidRPr="00350C12">
        <w:t xml:space="preserve"> (par</w:t>
      </w:r>
      <w:r w:rsidR="00630811" w:rsidRPr="00630811">
        <w:t>.</w:t>
      </w:r>
      <w:r w:rsidRPr="00350C12">
        <w:t xml:space="preserve"> 6</w:t>
      </w:r>
      <w:r w:rsidR="00630811" w:rsidRPr="00630811">
        <w:t>.</w:t>
      </w:r>
      <w:r w:rsidRPr="00350C12">
        <w:t xml:space="preserve">9) </w:t>
      </w:r>
      <w:r>
        <w:t>et, en définitive, l’auteur n’a pas requis sa présence</w:t>
      </w:r>
      <w:r w:rsidRPr="00350C12">
        <w:t xml:space="preserve"> (par</w:t>
      </w:r>
      <w:r w:rsidR="00630811" w:rsidRPr="00630811">
        <w:t>.</w:t>
      </w:r>
      <w:r w:rsidRPr="00350C12">
        <w:t xml:space="preserve"> 7</w:t>
      </w:r>
      <w:r w:rsidR="00630811" w:rsidRPr="00630811">
        <w:t>.</w:t>
      </w:r>
      <w:r w:rsidRPr="00350C12">
        <w:t xml:space="preserve">3), </w:t>
      </w:r>
      <w:r>
        <w:t>bien qu’il ait eu la possibilité de demander des reports d’audiences à cet effet</w:t>
      </w:r>
      <w:r w:rsidR="00630811" w:rsidRPr="00630811">
        <w:t>.</w:t>
      </w:r>
      <w:r w:rsidRPr="00350C12">
        <w:t xml:space="preserve"> </w:t>
      </w:r>
      <w:r>
        <w:t>À cet égard</w:t>
      </w:r>
      <w:r w:rsidRPr="00350C12">
        <w:t xml:space="preserve">, </w:t>
      </w:r>
      <w:r>
        <w:t>le jugement</w:t>
      </w:r>
      <w:r w:rsidRPr="00350C12">
        <w:t xml:space="preserve"> </w:t>
      </w:r>
      <w:r>
        <w:t>du tribunal montre que l’auteur n’a pas tenté d’appeler à la barre les témoins manquants ni de demander des reports d’audiences lorsque les témoins étaient absents ou n’ont pas témoigné</w:t>
      </w:r>
      <w:r w:rsidR="00630811" w:rsidRPr="00630811">
        <w:t>.</w:t>
      </w:r>
      <w:r w:rsidRPr="00350C12">
        <w:t xml:space="preserve"> </w:t>
      </w:r>
      <w:r>
        <w:t>Il en va de même en ce qui concerne plusieurs experts qui</w:t>
      </w:r>
      <w:r w:rsidRPr="009740C9">
        <w:t xml:space="preserve"> ont remis leurs conclusions pendant l</w:t>
      </w:r>
      <w:r>
        <w:t>’</w:t>
      </w:r>
      <w:r w:rsidRPr="009740C9">
        <w:t>enquête mais n</w:t>
      </w:r>
      <w:r>
        <w:t>’</w:t>
      </w:r>
      <w:r w:rsidRPr="009740C9">
        <w:t>ont pas été entendus lors du procès</w:t>
      </w:r>
      <w:r>
        <w:t>,</w:t>
      </w:r>
      <w:r w:rsidRPr="00AB6DA2">
        <w:t xml:space="preserve"> </w:t>
      </w:r>
      <w:r w:rsidRPr="009740C9">
        <w:t>leurs conclusions ayant simplement été lues afin de figurer dans les minutes</w:t>
      </w:r>
      <w:r w:rsidRPr="00350C12">
        <w:t xml:space="preserve"> (par</w:t>
      </w:r>
      <w:r w:rsidR="00630811" w:rsidRPr="00630811">
        <w:t>.</w:t>
      </w:r>
      <w:r w:rsidR="000369AC">
        <w:t> </w:t>
      </w:r>
      <w:r w:rsidRPr="00350C12">
        <w:t>3</w:t>
      </w:r>
      <w:r w:rsidR="00630811" w:rsidRPr="00630811">
        <w:t>.</w:t>
      </w:r>
      <w:r w:rsidRPr="00350C12">
        <w:t>5)</w:t>
      </w:r>
      <w:r w:rsidR="00630811" w:rsidRPr="00630811">
        <w:t>.</w:t>
      </w:r>
    </w:p>
    <w:p w14:paraId="35D5247C" w14:textId="77777777" w:rsidR="005C2947" w:rsidRPr="00350C12" w:rsidRDefault="005C2947" w:rsidP="005C2947">
      <w:pPr>
        <w:pStyle w:val="SingleTxtG"/>
        <w:spacing w:line="240" w:lineRule="auto"/>
      </w:pPr>
      <w:r w:rsidRPr="00350C12">
        <w:t>10</w:t>
      </w:r>
      <w:r w:rsidR="00630811" w:rsidRPr="00630811">
        <w:t>.</w:t>
      </w:r>
      <w:r w:rsidRPr="00350C12">
        <w:tab/>
      </w:r>
      <w:r>
        <w:t xml:space="preserve">L’auteur a donc eu la possibilité d’interroger la victime, les témoins et les </w:t>
      </w:r>
      <w:r w:rsidRPr="00350C12">
        <w:t xml:space="preserve">experts </w:t>
      </w:r>
      <w:r>
        <w:t xml:space="preserve">pendant l’enquête </w:t>
      </w:r>
      <w:r w:rsidRPr="00350C12">
        <w:t>(</w:t>
      </w:r>
      <w:r>
        <w:t xml:space="preserve">comme indiqué au </w:t>
      </w:r>
      <w:r w:rsidRPr="00350C12">
        <w:t>paragraph</w:t>
      </w:r>
      <w:r>
        <w:t>e</w:t>
      </w:r>
      <w:r w:rsidRPr="00350C12">
        <w:t xml:space="preserve"> 9</w:t>
      </w:r>
      <w:r w:rsidR="00630811" w:rsidRPr="00630811">
        <w:t>.</w:t>
      </w:r>
      <w:r w:rsidRPr="00350C12">
        <w:t xml:space="preserve">2, </w:t>
      </w:r>
      <w:r>
        <w:t>le droit de l’accusé d’interroger ou de contre-</w:t>
      </w:r>
      <w:r w:rsidRPr="009740C9">
        <w:t>interroger les témoins à charge à un stade ou un autre de la procédure</w:t>
      </w:r>
      <w:r w:rsidRPr="00350C12">
        <w:t xml:space="preserve">) </w:t>
      </w:r>
      <w:r>
        <w:t xml:space="preserve">et a pu librement contester la déposition de la victime et celle de </w:t>
      </w:r>
      <w:r w:rsidR="000369AC" w:rsidRPr="009740C9">
        <w:t>L</w:t>
      </w:r>
      <w:r w:rsidR="00630811" w:rsidRPr="00630811">
        <w:t>.</w:t>
      </w:r>
      <w:r w:rsidR="000369AC" w:rsidRPr="009740C9">
        <w:t> M</w:t>
      </w:r>
      <w:r w:rsidR="00630811" w:rsidRPr="00630811">
        <w:t>.</w:t>
      </w:r>
      <w:r w:rsidR="000369AC" w:rsidRPr="009740C9">
        <w:t> A</w:t>
      </w:r>
      <w:r w:rsidR="00630811" w:rsidRPr="00630811">
        <w:t>.</w:t>
      </w:r>
      <w:r w:rsidRPr="00350C12">
        <w:t xml:space="preserve">, </w:t>
      </w:r>
      <w:r>
        <w:t>ainsi que les conclusions des experts, pendant le procès, puisqu’il en a été donné lecture afin qu’elles figurent dans les minutes</w:t>
      </w:r>
      <w:r w:rsidR="00630811" w:rsidRPr="00630811">
        <w:t>.</w:t>
      </w:r>
      <w:r w:rsidRPr="00350C12">
        <w:t xml:space="preserve"> </w:t>
      </w:r>
      <w:r>
        <w:t>Par conséquent, il n’y a pas eu de restriction injustifiée des droits de l’auteur à la défense, étant donné, en particulier, que celui-ci n’a pas réagi à ces allégations de violation, alors qu’il aurait pu le faire</w:t>
      </w:r>
      <w:r w:rsidR="00630811" w:rsidRPr="00630811">
        <w:t>.</w:t>
      </w:r>
      <w:r w:rsidRPr="00350C12">
        <w:t xml:space="preserve"> </w:t>
      </w:r>
    </w:p>
    <w:p w14:paraId="4CE580F0" w14:textId="77777777" w:rsidR="005C2947" w:rsidRPr="00350C12" w:rsidRDefault="005C2947" w:rsidP="005C2947">
      <w:pPr>
        <w:pStyle w:val="SingleTxtG"/>
        <w:spacing w:line="240" w:lineRule="auto"/>
      </w:pPr>
      <w:r w:rsidRPr="00350C12">
        <w:t>11</w:t>
      </w:r>
      <w:r w:rsidR="00630811" w:rsidRPr="00630811">
        <w:t>.</w:t>
      </w:r>
      <w:r w:rsidRPr="00350C12">
        <w:tab/>
        <w:t>I</w:t>
      </w:r>
      <w:r>
        <w:t>l ne suffit pas à un accusé de se plaindre de ne pas avoir pu interroger certains témoins</w:t>
      </w:r>
      <w:r w:rsidR="00630811" w:rsidRPr="00630811">
        <w:t>.</w:t>
      </w:r>
      <w:r w:rsidRPr="00350C12">
        <w:t xml:space="preserve"> </w:t>
      </w:r>
      <w:r>
        <w:t>Encore faut-il qu’il étaye sa demande d’audition de témoins en en précisant l’importance et que cette audition soit nécessaire à la manifestation de la vérité et aux droits de la défense</w:t>
      </w:r>
      <w:r w:rsidRPr="005C2947">
        <w:rPr>
          <w:rStyle w:val="Appelnotedebasdep"/>
        </w:rPr>
        <w:footnoteReference w:id="18"/>
      </w:r>
      <w:r w:rsidR="00630811" w:rsidRPr="00630811">
        <w:t>.</w:t>
      </w:r>
      <w:r w:rsidRPr="00350C12">
        <w:t xml:space="preserve"> </w:t>
      </w:r>
      <w:r>
        <w:t>L’auteur n’a pas convenablement expliqué pourquoi il importait que ces témoins, y compris la victime, soient interrogés ; en quoi le fait qu’il ne l’ait pas été avait une incidence négative pour lui</w:t>
      </w:r>
      <w:r w:rsidR="00493C28">
        <w:t> </w:t>
      </w:r>
      <w:r w:rsidRPr="00350C12">
        <w:t xml:space="preserve">; </w:t>
      </w:r>
      <w:r>
        <w:t>ou pourquoi il n’avait pas réagi à ces allégations de violations au cours de la procédure</w:t>
      </w:r>
      <w:r w:rsidR="00630811" w:rsidRPr="00630811">
        <w:t>.</w:t>
      </w:r>
      <w:r w:rsidRPr="00350C12">
        <w:t xml:space="preserve"> </w:t>
      </w:r>
      <w:r>
        <w:t>En règle générale, il revient aux juridictions nationales de décider de la nécessité ou de l’opportunité d’interroger un témoin, en particulier lorsque celui-ci est aussi vulnérable qu’en l’espèce, et c’est principalement à la législation nationale qu’il incombe de déterminer la recevabilité des éléments de preuve</w:t>
      </w:r>
      <w:r w:rsidR="00630811" w:rsidRPr="00630811">
        <w:t>.</w:t>
      </w:r>
    </w:p>
    <w:p w14:paraId="1B905380" w14:textId="77777777" w:rsidR="005C2947" w:rsidRDefault="005C2947" w:rsidP="005C2947">
      <w:pPr>
        <w:pStyle w:val="SingleTxtG"/>
      </w:pPr>
      <w:r w:rsidRPr="00350C12">
        <w:t>12</w:t>
      </w:r>
      <w:r w:rsidR="00630811" w:rsidRPr="00630811">
        <w:t>.</w:t>
      </w:r>
      <w:r w:rsidRPr="00350C12">
        <w:tab/>
      </w:r>
      <w:r>
        <w:t>En conséquence, nous aurions conclu qu’en l’espèce, il n’y a pas eu de violation des droits que l’auteur tient de l’</w:t>
      </w:r>
      <w:r w:rsidRPr="00350C12">
        <w:t>article 14 (</w:t>
      </w:r>
      <w:r>
        <w:t>par</w:t>
      </w:r>
      <w:r w:rsidR="00630811" w:rsidRPr="00630811">
        <w:t>.</w:t>
      </w:r>
      <w:r>
        <w:t xml:space="preserve"> </w:t>
      </w:r>
      <w:r w:rsidRPr="00350C12">
        <w:t>3</w:t>
      </w:r>
      <w:r>
        <w:t xml:space="preserve"> </w:t>
      </w:r>
      <w:r w:rsidRPr="00350C12">
        <w:t>e)</w:t>
      </w:r>
      <w:r>
        <w:t>) du Pacte</w:t>
      </w:r>
      <w:r w:rsidR="00630811" w:rsidRPr="00630811">
        <w:t>.</w:t>
      </w:r>
    </w:p>
    <w:p w14:paraId="0AE026F3" w14:textId="77777777" w:rsidR="005C2947" w:rsidRPr="005C2947" w:rsidRDefault="005C2947" w:rsidP="005C2947">
      <w:pPr>
        <w:pStyle w:val="SingleTxtG"/>
        <w:spacing w:before="240" w:after="0"/>
        <w:jc w:val="center"/>
        <w:rPr>
          <w:u w:val="single"/>
        </w:rPr>
      </w:pPr>
      <w:r>
        <w:rPr>
          <w:u w:val="single"/>
        </w:rPr>
        <w:tab/>
      </w:r>
      <w:r>
        <w:rPr>
          <w:u w:val="single"/>
        </w:rPr>
        <w:tab/>
      </w:r>
      <w:r>
        <w:rPr>
          <w:u w:val="single"/>
        </w:rPr>
        <w:tab/>
      </w:r>
    </w:p>
    <w:sectPr w:rsidR="005C2947" w:rsidRPr="005C2947" w:rsidSect="005C2947">
      <w:headerReference w:type="even" r:id="rId13"/>
      <w:footerReference w:type="even"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0DC5" w14:textId="77777777" w:rsidR="00630811" w:rsidRDefault="00630811" w:rsidP="00F95C08">
      <w:pPr>
        <w:spacing w:line="240" w:lineRule="auto"/>
      </w:pPr>
    </w:p>
  </w:endnote>
  <w:endnote w:type="continuationSeparator" w:id="0">
    <w:p w14:paraId="4A4895A0" w14:textId="77777777" w:rsidR="00630811" w:rsidRPr="00AC3823" w:rsidRDefault="00630811" w:rsidP="00AC3823">
      <w:pPr>
        <w:pStyle w:val="Pieddepage"/>
      </w:pPr>
    </w:p>
  </w:endnote>
  <w:endnote w:type="continuationNotice" w:id="1">
    <w:p w14:paraId="01DFC50C" w14:textId="77777777" w:rsidR="00630811" w:rsidRDefault="006308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9FB2" w14:textId="77777777" w:rsidR="00630811" w:rsidRPr="005C2947" w:rsidRDefault="00630811" w:rsidP="005C2947">
    <w:pPr>
      <w:pStyle w:val="Pieddepage"/>
      <w:tabs>
        <w:tab w:val="right" w:pos="9638"/>
      </w:tabs>
    </w:pPr>
    <w:r w:rsidRPr="005C2947">
      <w:rPr>
        <w:b/>
        <w:sz w:val="18"/>
      </w:rPr>
      <w:fldChar w:fldCharType="begin"/>
    </w:r>
    <w:r w:rsidRPr="005C2947">
      <w:rPr>
        <w:b/>
        <w:sz w:val="18"/>
      </w:rPr>
      <w:instrText xml:space="preserve"> PAGE  \* MERGEFORMAT </w:instrText>
    </w:r>
    <w:r w:rsidRPr="005C2947">
      <w:rPr>
        <w:b/>
        <w:sz w:val="18"/>
      </w:rPr>
      <w:fldChar w:fldCharType="separate"/>
    </w:r>
    <w:r w:rsidRPr="005C2947">
      <w:rPr>
        <w:b/>
        <w:noProof/>
        <w:sz w:val="18"/>
      </w:rPr>
      <w:t>2</w:t>
    </w:r>
    <w:r w:rsidRPr="005C2947">
      <w:rPr>
        <w:b/>
        <w:sz w:val="18"/>
      </w:rPr>
      <w:fldChar w:fldCharType="end"/>
    </w:r>
    <w:r>
      <w:rPr>
        <w:b/>
        <w:sz w:val="18"/>
      </w:rPr>
      <w:tab/>
    </w:r>
    <w:r>
      <w:t>GE</w:t>
    </w:r>
    <w:r w:rsidRPr="00630811">
      <w:t>.</w:t>
    </w:r>
    <w:r>
      <w:t>20-09445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AEC1" w14:textId="77777777" w:rsidR="00630811" w:rsidRPr="005C2947" w:rsidRDefault="00630811" w:rsidP="005C2947">
    <w:pPr>
      <w:pStyle w:val="Pieddepage"/>
      <w:tabs>
        <w:tab w:val="right" w:pos="9638"/>
      </w:tabs>
      <w:rPr>
        <w:b/>
        <w:sz w:val="18"/>
      </w:rPr>
    </w:pPr>
    <w:r>
      <w:t>GE</w:t>
    </w:r>
    <w:r w:rsidRPr="00630811">
      <w:t>.</w:t>
    </w:r>
    <w:r>
      <w:t>20-09445</w:t>
    </w:r>
    <w:r>
      <w:tab/>
    </w:r>
    <w:r w:rsidRPr="005C2947">
      <w:rPr>
        <w:b/>
        <w:sz w:val="18"/>
      </w:rPr>
      <w:fldChar w:fldCharType="begin"/>
    </w:r>
    <w:r w:rsidRPr="005C2947">
      <w:rPr>
        <w:b/>
        <w:sz w:val="18"/>
      </w:rPr>
      <w:instrText xml:space="preserve"> PAGE  \* MERGEFORMAT </w:instrText>
    </w:r>
    <w:r w:rsidRPr="005C2947">
      <w:rPr>
        <w:b/>
        <w:sz w:val="18"/>
      </w:rPr>
      <w:fldChar w:fldCharType="separate"/>
    </w:r>
    <w:r w:rsidRPr="005C2947">
      <w:rPr>
        <w:b/>
        <w:noProof/>
        <w:sz w:val="18"/>
      </w:rPr>
      <w:t>3</w:t>
    </w:r>
    <w:r w:rsidRPr="005C29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B26C" w14:textId="77777777" w:rsidR="00630811" w:rsidRPr="005C2947" w:rsidRDefault="00630811" w:rsidP="005C2947">
    <w:pPr>
      <w:pStyle w:val="Pieddepage"/>
      <w:spacing w:before="120"/>
      <w:rPr>
        <w:sz w:val="20"/>
      </w:rPr>
    </w:pPr>
    <w:r>
      <w:rPr>
        <w:sz w:val="20"/>
      </w:rPr>
      <w:t>GE</w:t>
    </w:r>
    <w:r w:rsidRPr="00630811">
      <w:rPr>
        <w:sz w:val="20"/>
      </w:rPr>
      <w:t>.</w:t>
    </w:r>
    <w:r>
      <w:rPr>
        <w:noProof/>
        <w:lang w:eastAsia="fr-CH"/>
      </w:rPr>
      <w:drawing>
        <wp:anchor distT="0" distB="0" distL="114300" distR="114300" simplePos="0" relativeHeight="251658240" behindDoc="0" locked="0" layoutInCell="1" allowOverlap="0" wp14:anchorId="0DF3426B" wp14:editId="4847A9C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20-09445  (F)    131120    131120</w:t>
    </w:r>
    <w:r>
      <w:rPr>
        <w:sz w:val="20"/>
      </w:rPr>
      <w:br/>
    </w:r>
    <w:r w:rsidRPr="005C2947">
      <w:rPr>
        <w:rFonts w:ascii="C39T30Lfz" w:hAnsi="C39T30Lfz"/>
        <w:sz w:val="56"/>
      </w:rPr>
      <w:t>*2009445*</w:t>
    </w:r>
    <w:r>
      <w:rPr>
        <w:noProof/>
        <w:sz w:val="20"/>
      </w:rPr>
      <w:drawing>
        <wp:anchor distT="0" distB="0" distL="114300" distR="114300" simplePos="0" relativeHeight="251661312" behindDoc="0" locked="0" layoutInCell="1" allowOverlap="1" wp14:anchorId="00485BBC" wp14:editId="72F3F01E">
          <wp:simplePos x="0" y="0"/>
          <wp:positionH relativeFrom="margin">
            <wp:posOffset>5489575</wp:posOffset>
          </wp:positionH>
          <wp:positionV relativeFrom="margin">
            <wp:posOffset>8891905</wp:posOffset>
          </wp:positionV>
          <wp:extent cx="628650" cy="6286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1E54" w14:textId="77777777" w:rsidR="00630811" w:rsidRPr="005C2947" w:rsidRDefault="00630811" w:rsidP="005C2947">
    <w:pPr>
      <w:pStyle w:val="Pieddepage"/>
      <w:tabs>
        <w:tab w:val="right" w:pos="9638"/>
      </w:tabs>
    </w:pPr>
    <w:r w:rsidRPr="005C2947">
      <w:rPr>
        <w:b/>
        <w:sz w:val="18"/>
      </w:rPr>
      <w:fldChar w:fldCharType="begin"/>
    </w:r>
    <w:r w:rsidRPr="005C2947">
      <w:rPr>
        <w:b/>
        <w:sz w:val="18"/>
      </w:rPr>
      <w:instrText xml:space="preserve"> PAGE  \* MERGEFORMAT </w:instrText>
    </w:r>
    <w:r w:rsidRPr="005C2947">
      <w:rPr>
        <w:b/>
        <w:sz w:val="18"/>
      </w:rPr>
      <w:fldChar w:fldCharType="separate"/>
    </w:r>
    <w:r w:rsidRPr="005C2947">
      <w:rPr>
        <w:b/>
        <w:noProof/>
        <w:sz w:val="18"/>
      </w:rPr>
      <w:t>2</w:t>
    </w:r>
    <w:r w:rsidRPr="005C2947">
      <w:rPr>
        <w:b/>
        <w:sz w:val="18"/>
      </w:rPr>
      <w:fldChar w:fldCharType="end"/>
    </w:r>
    <w:r>
      <w:rPr>
        <w:b/>
        <w:sz w:val="18"/>
      </w:rPr>
      <w:tab/>
    </w:r>
    <w:r>
      <w:t>GE</w:t>
    </w:r>
    <w:r w:rsidRPr="00630811">
      <w:t>.</w:t>
    </w:r>
    <w:r>
      <w:t>20-09445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4288" w14:textId="77777777" w:rsidR="00630811" w:rsidRPr="005C2947" w:rsidRDefault="00630811" w:rsidP="005C2947">
    <w:pPr>
      <w:pStyle w:val="Pieddepage"/>
      <w:tabs>
        <w:tab w:val="right" w:pos="9638"/>
      </w:tabs>
      <w:rPr>
        <w:b/>
        <w:sz w:val="18"/>
      </w:rPr>
    </w:pPr>
    <w:r>
      <w:t>GE</w:t>
    </w:r>
    <w:r w:rsidRPr="00630811">
      <w:t>.</w:t>
    </w:r>
    <w:r>
      <w:t>20-09445</w:t>
    </w:r>
    <w:r>
      <w:tab/>
    </w:r>
    <w:r w:rsidRPr="005C2947">
      <w:rPr>
        <w:b/>
        <w:sz w:val="18"/>
      </w:rPr>
      <w:fldChar w:fldCharType="begin"/>
    </w:r>
    <w:r w:rsidRPr="005C2947">
      <w:rPr>
        <w:b/>
        <w:sz w:val="18"/>
      </w:rPr>
      <w:instrText xml:space="preserve"> PAGE  \* MERGEFORMAT </w:instrText>
    </w:r>
    <w:r w:rsidRPr="005C2947">
      <w:rPr>
        <w:b/>
        <w:sz w:val="18"/>
      </w:rPr>
      <w:fldChar w:fldCharType="separate"/>
    </w:r>
    <w:r>
      <w:rPr>
        <w:b/>
        <w:sz w:val="18"/>
      </w:rPr>
      <w:t>9</w:t>
    </w:r>
    <w:r w:rsidRPr="005C294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88B4" w14:textId="77777777" w:rsidR="00630811" w:rsidRPr="00AC3823" w:rsidRDefault="00630811" w:rsidP="00AC3823">
      <w:pPr>
        <w:pStyle w:val="Pieddepage"/>
        <w:tabs>
          <w:tab w:val="right" w:pos="2155"/>
        </w:tabs>
        <w:spacing w:after="80" w:line="240" w:lineRule="atLeast"/>
        <w:ind w:left="680"/>
        <w:rPr>
          <w:u w:val="single"/>
        </w:rPr>
      </w:pPr>
      <w:r>
        <w:rPr>
          <w:u w:val="single"/>
        </w:rPr>
        <w:tab/>
      </w:r>
    </w:p>
  </w:footnote>
  <w:footnote w:type="continuationSeparator" w:id="0">
    <w:p w14:paraId="0E3E7556" w14:textId="77777777" w:rsidR="00630811" w:rsidRPr="00AC3823" w:rsidRDefault="00630811" w:rsidP="00AC3823">
      <w:pPr>
        <w:pStyle w:val="Pieddepage"/>
        <w:tabs>
          <w:tab w:val="right" w:pos="2155"/>
        </w:tabs>
        <w:spacing w:after="80" w:line="240" w:lineRule="atLeast"/>
        <w:ind w:left="680"/>
        <w:rPr>
          <w:u w:val="single"/>
        </w:rPr>
      </w:pPr>
      <w:r>
        <w:rPr>
          <w:u w:val="single"/>
        </w:rPr>
        <w:tab/>
      </w:r>
    </w:p>
  </w:footnote>
  <w:footnote w:type="continuationNotice" w:id="1">
    <w:p w14:paraId="57A9ADED" w14:textId="77777777" w:rsidR="00630811" w:rsidRPr="00AC3823" w:rsidRDefault="00630811">
      <w:pPr>
        <w:spacing w:line="240" w:lineRule="auto"/>
        <w:rPr>
          <w:sz w:val="2"/>
          <w:szCs w:val="2"/>
        </w:rPr>
      </w:pPr>
    </w:p>
  </w:footnote>
  <w:footnote w:id="2">
    <w:p w14:paraId="188AC42B" w14:textId="77777777" w:rsidR="00630811" w:rsidRPr="005C2947" w:rsidRDefault="00630811">
      <w:pPr>
        <w:pStyle w:val="Notedebasdepage"/>
      </w:pPr>
      <w:r>
        <w:rPr>
          <w:rStyle w:val="Appelnotedebasdep"/>
        </w:rPr>
        <w:tab/>
      </w:r>
      <w:r w:rsidRPr="005C2947">
        <w:rPr>
          <w:rStyle w:val="Appelnotedebasdep"/>
          <w:sz w:val="20"/>
          <w:vertAlign w:val="baseline"/>
        </w:rPr>
        <w:t>*</w:t>
      </w:r>
      <w:r>
        <w:rPr>
          <w:rStyle w:val="Appelnotedebasdep"/>
          <w:sz w:val="20"/>
          <w:vertAlign w:val="baseline"/>
        </w:rPr>
        <w:tab/>
      </w:r>
      <w:r w:rsidRPr="005A45C1">
        <w:t>Adopt</w:t>
      </w:r>
      <w:r>
        <w:t xml:space="preserve">ées par le Comité à sa </w:t>
      </w:r>
      <w:r w:rsidRPr="005A45C1">
        <w:t>128</w:t>
      </w:r>
      <w:r w:rsidRPr="003B544E">
        <w:rPr>
          <w:vertAlign w:val="superscript"/>
        </w:rPr>
        <w:t>e</w:t>
      </w:r>
      <w:r>
        <w:t xml:space="preserve"> </w:t>
      </w:r>
      <w:r w:rsidRPr="005A45C1">
        <w:t>session (2</w:t>
      </w:r>
      <w:r>
        <w:t>-</w:t>
      </w:r>
      <w:r w:rsidRPr="005A45C1">
        <w:t xml:space="preserve">27 </w:t>
      </w:r>
      <w:r>
        <w:t>mars </w:t>
      </w:r>
      <w:r w:rsidRPr="005A45C1">
        <w:t>2020)</w:t>
      </w:r>
      <w:r w:rsidRPr="00630811">
        <w:t>.</w:t>
      </w:r>
    </w:p>
  </w:footnote>
  <w:footnote w:id="3">
    <w:p w14:paraId="1E946A1C" w14:textId="77777777" w:rsidR="00630811" w:rsidRPr="005C2947" w:rsidRDefault="00630811">
      <w:pPr>
        <w:pStyle w:val="Notedebasdepage"/>
      </w:pPr>
      <w:r>
        <w:rPr>
          <w:rStyle w:val="Appelnotedebasdep"/>
        </w:rPr>
        <w:tab/>
      </w:r>
      <w:r w:rsidRPr="005C2947">
        <w:rPr>
          <w:rStyle w:val="Appelnotedebasdep"/>
          <w:sz w:val="20"/>
          <w:vertAlign w:val="baseline"/>
        </w:rPr>
        <w:t>**</w:t>
      </w:r>
      <w:r>
        <w:rPr>
          <w:rStyle w:val="Appelnotedebasdep"/>
          <w:sz w:val="20"/>
          <w:vertAlign w:val="baseline"/>
        </w:rPr>
        <w:tab/>
      </w:r>
      <w:r>
        <w:rPr>
          <w:spacing w:val="-1"/>
          <w:szCs w:val="18"/>
        </w:rPr>
        <w:t>Les membres du Comité dont le nom suit ont participé à l’examen de la</w:t>
      </w:r>
      <w:r w:rsidRPr="008D6E01">
        <w:rPr>
          <w:spacing w:val="-1"/>
          <w:szCs w:val="18"/>
        </w:rPr>
        <w:t xml:space="preserve"> communication</w:t>
      </w:r>
      <w:r>
        <w:rPr>
          <w:spacing w:val="-1"/>
          <w:szCs w:val="18"/>
        </w:rPr>
        <w:t> </w:t>
      </w:r>
      <w:r w:rsidRPr="008D6E01">
        <w:rPr>
          <w:spacing w:val="-1"/>
          <w:szCs w:val="18"/>
        </w:rPr>
        <w:t xml:space="preserve">: </w:t>
      </w:r>
      <w:proofErr w:type="spellStart"/>
      <w:r>
        <w:rPr>
          <w:spacing w:val="-1"/>
          <w:szCs w:val="18"/>
        </w:rPr>
        <w:t>Yadh</w:t>
      </w:r>
      <w:proofErr w:type="spellEnd"/>
      <w:r>
        <w:rPr>
          <w:spacing w:val="-1"/>
          <w:szCs w:val="18"/>
        </w:rPr>
        <w:t xml:space="preserve"> Ben Achour, </w:t>
      </w:r>
      <w:r w:rsidRPr="00CA1FA1">
        <w:rPr>
          <w:spacing w:val="-1"/>
          <w:szCs w:val="18"/>
        </w:rPr>
        <w:t xml:space="preserve">Arif </w:t>
      </w:r>
      <w:proofErr w:type="spellStart"/>
      <w:r w:rsidRPr="00CA1FA1">
        <w:rPr>
          <w:spacing w:val="-1"/>
          <w:szCs w:val="18"/>
        </w:rPr>
        <w:t>Bulkan</w:t>
      </w:r>
      <w:proofErr w:type="spellEnd"/>
      <w:r w:rsidRPr="00CA1FA1">
        <w:rPr>
          <w:spacing w:val="-1"/>
          <w:szCs w:val="18"/>
        </w:rPr>
        <w:t xml:space="preserve">, Ahmed Amin </w:t>
      </w:r>
      <w:proofErr w:type="spellStart"/>
      <w:r w:rsidRPr="00CA1FA1">
        <w:rPr>
          <w:spacing w:val="-1"/>
          <w:szCs w:val="18"/>
        </w:rPr>
        <w:t>Fathalla</w:t>
      </w:r>
      <w:proofErr w:type="spellEnd"/>
      <w:r w:rsidRPr="00CA1FA1">
        <w:rPr>
          <w:spacing w:val="-1"/>
          <w:szCs w:val="18"/>
        </w:rPr>
        <w:t xml:space="preserve">, </w:t>
      </w:r>
      <w:proofErr w:type="spellStart"/>
      <w:r>
        <w:rPr>
          <w:spacing w:val="-1"/>
          <w:szCs w:val="18"/>
        </w:rPr>
        <w:t>Christof</w:t>
      </w:r>
      <w:proofErr w:type="spellEnd"/>
      <w:r>
        <w:rPr>
          <w:spacing w:val="-1"/>
          <w:szCs w:val="18"/>
        </w:rPr>
        <w:t xml:space="preserve"> </w:t>
      </w:r>
      <w:proofErr w:type="spellStart"/>
      <w:r>
        <w:rPr>
          <w:spacing w:val="-1"/>
          <w:szCs w:val="18"/>
        </w:rPr>
        <w:t>Heyns</w:t>
      </w:r>
      <w:proofErr w:type="spellEnd"/>
      <w:r>
        <w:rPr>
          <w:spacing w:val="-1"/>
          <w:szCs w:val="18"/>
        </w:rPr>
        <w:t xml:space="preserve">, </w:t>
      </w:r>
      <w:proofErr w:type="spellStart"/>
      <w:r w:rsidRPr="00CA1FA1">
        <w:rPr>
          <w:spacing w:val="-1"/>
          <w:szCs w:val="18"/>
        </w:rPr>
        <w:t>Bamariam</w:t>
      </w:r>
      <w:proofErr w:type="spellEnd"/>
      <w:r w:rsidRPr="00CA1FA1">
        <w:rPr>
          <w:spacing w:val="-1"/>
          <w:szCs w:val="18"/>
        </w:rPr>
        <w:t xml:space="preserve"> </w:t>
      </w:r>
      <w:proofErr w:type="spellStart"/>
      <w:r w:rsidRPr="00CA1FA1">
        <w:rPr>
          <w:spacing w:val="-1"/>
          <w:szCs w:val="18"/>
        </w:rPr>
        <w:t>Koita</w:t>
      </w:r>
      <w:proofErr w:type="spellEnd"/>
      <w:r w:rsidRPr="00CA1FA1">
        <w:rPr>
          <w:spacing w:val="-1"/>
          <w:szCs w:val="18"/>
        </w:rPr>
        <w:t xml:space="preserve">, </w:t>
      </w:r>
      <w:r>
        <w:rPr>
          <w:spacing w:val="-1"/>
          <w:szCs w:val="18"/>
        </w:rPr>
        <w:t>Marcia V</w:t>
      </w:r>
      <w:r w:rsidRPr="00630811">
        <w:rPr>
          <w:spacing w:val="-1"/>
          <w:szCs w:val="18"/>
        </w:rPr>
        <w:t>.</w:t>
      </w:r>
      <w:r>
        <w:rPr>
          <w:spacing w:val="-1"/>
          <w:szCs w:val="18"/>
        </w:rPr>
        <w:t> J</w:t>
      </w:r>
      <w:r w:rsidRPr="00630811">
        <w:rPr>
          <w:spacing w:val="-1"/>
          <w:szCs w:val="18"/>
        </w:rPr>
        <w:t>.</w:t>
      </w:r>
      <w:r>
        <w:rPr>
          <w:spacing w:val="-1"/>
          <w:szCs w:val="18"/>
        </w:rPr>
        <w:t xml:space="preserve"> </w:t>
      </w:r>
      <w:proofErr w:type="spellStart"/>
      <w:r>
        <w:rPr>
          <w:spacing w:val="-1"/>
          <w:szCs w:val="18"/>
        </w:rPr>
        <w:t>Kran</w:t>
      </w:r>
      <w:proofErr w:type="spellEnd"/>
      <w:r>
        <w:rPr>
          <w:spacing w:val="-1"/>
          <w:szCs w:val="18"/>
        </w:rPr>
        <w:t xml:space="preserve">, </w:t>
      </w:r>
      <w:r w:rsidRPr="00CA1FA1">
        <w:rPr>
          <w:spacing w:val="-1"/>
          <w:szCs w:val="18"/>
        </w:rPr>
        <w:t xml:space="preserve">Duncan </w:t>
      </w:r>
      <w:r>
        <w:rPr>
          <w:spacing w:val="-1"/>
          <w:szCs w:val="18"/>
        </w:rPr>
        <w:t xml:space="preserve">Laki </w:t>
      </w:r>
      <w:proofErr w:type="spellStart"/>
      <w:r w:rsidRPr="00CA1FA1">
        <w:rPr>
          <w:spacing w:val="-1"/>
          <w:szCs w:val="18"/>
        </w:rPr>
        <w:t>Muhumuza</w:t>
      </w:r>
      <w:proofErr w:type="spellEnd"/>
      <w:r w:rsidRPr="00CA1FA1">
        <w:rPr>
          <w:spacing w:val="-1"/>
          <w:szCs w:val="18"/>
        </w:rPr>
        <w:t xml:space="preserve">, </w:t>
      </w:r>
      <w:proofErr w:type="spellStart"/>
      <w:r w:rsidRPr="00CA1FA1">
        <w:rPr>
          <w:spacing w:val="-1"/>
          <w:szCs w:val="18"/>
        </w:rPr>
        <w:t>Photini</w:t>
      </w:r>
      <w:proofErr w:type="spellEnd"/>
      <w:r w:rsidRPr="00CA1FA1">
        <w:rPr>
          <w:spacing w:val="-1"/>
          <w:szCs w:val="18"/>
        </w:rPr>
        <w:t xml:space="preserve"> </w:t>
      </w:r>
      <w:proofErr w:type="spellStart"/>
      <w:r w:rsidRPr="00CA1FA1">
        <w:rPr>
          <w:spacing w:val="-1"/>
          <w:szCs w:val="18"/>
        </w:rPr>
        <w:t>Pazartzis</w:t>
      </w:r>
      <w:proofErr w:type="spellEnd"/>
      <w:r w:rsidRPr="00CA1FA1">
        <w:rPr>
          <w:spacing w:val="-1"/>
          <w:szCs w:val="18"/>
        </w:rPr>
        <w:t xml:space="preserve">, </w:t>
      </w:r>
      <w:r w:rsidRPr="00CA1FA1">
        <w:t>Hernán</w:t>
      </w:r>
      <w:r w:rsidRPr="00CA1FA1">
        <w:rPr>
          <w:spacing w:val="-1"/>
          <w:szCs w:val="18"/>
        </w:rPr>
        <w:t xml:space="preserve"> </w:t>
      </w:r>
      <w:proofErr w:type="spellStart"/>
      <w:r w:rsidRPr="00CA1FA1">
        <w:rPr>
          <w:spacing w:val="-1"/>
          <w:szCs w:val="18"/>
        </w:rPr>
        <w:t>Quezada</w:t>
      </w:r>
      <w:proofErr w:type="spellEnd"/>
      <w:r w:rsidRPr="00CA1FA1">
        <w:rPr>
          <w:spacing w:val="-1"/>
          <w:szCs w:val="18"/>
        </w:rPr>
        <w:t xml:space="preserve"> Cabrera, </w:t>
      </w:r>
      <w:proofErr w:type="spellStart"/>
      <w:r w:rsidRPr="00CA1FA1">
        <w:rPr>
          <w:spacing w:val="-1"/>
          <w:szCs w:val="18"/>
        </w:rPr>
        <w:t>Vasilka</w:t>
      </w:r>
      <w:proofErr w:type="spellEnd"/>
      <w:r w:rsidRPr="00CA1FA1">
        <w:rPr>
          <w:spacing w:val="-1"/>
          <w:szCs w:val="18"/>
        </w:rPr>
        <w:t xml:space="preserve"> </w:t>
      </w:r>
      <w:proofErr w:type="spellStart"/>
      <w:r w:rsidRPr="00CA1FA1">
        <w:rPr>
          <w:spacing w:val="-1"/>
          <w:szCs w:val="18"/>
        </w:rPr>
        <w:t>Sancin</w:t>
      </w:r>
      <w:proofErr w:type="spellEnd"/>
      <w:r w:rsidRPr="00CA1FA1">
        <w:rPr>
          <w:spacing w:val="-1"/>
          <w:szCs w:val="18"/>
        </w:rPr>
        <w:t xml:space="preserve">, </w:t>
      </w:r>
      <w:r w:rsidRPr="00CA1FA1">
        <w:rPr>
          <w:spacing w:val="-1"/>
        </w:rPr>
        <w:t xml:space="preserve">José Manuel Santos Pais, </w:t>
      </w:r>
      <w:r w:rsidRPr="00CA1FA1">
        <w:t xml:space="preserve">Yuval </w:t>
      </w:r>
      <w:proofErr w:type="spellStart"/>
      <w:r w:rsidRPr="00CA1FA1">
        <w:t>Shany</w:t>
      </w:r>
      <w:proofErr w:type="spellEnd"/>
      <w:r w:rsidRPr="00CA1FA1">
        <w:t xml:space="preserve">, Hélène </w:t>
      </w:r>
      <w:proofErr w:type="spellStart"/>
      <w:r w:rsidRPr="00CA1FA1">
        <w:t>Tigroudja</w:t>
      </w:r>
      <w:proofErr w:type="spellEnd"/>
      <w:r w:rsidRPr="00CA1FA1">
        <w:t xml:space="preserve"> </w:t>
      </w:r>
      <w:r>
        <w:rPr>
          <w:spacing w:val="-1"/>
          <w:szCs w:val="18"/>
        </w:rPr>
        <w:t>et</w:t>
      </w:r>
      <w:r w:rsidRPr="00CA1FA1">
        <w:rPr>
          <w:spacing w:val="-1"/>
          <w:szCs w:val="18"/>
        </w:rPr>
        <w:t xml:space="preserve"> </w:t>
      </w:r>
      <w:proofErr w:type="spellStart"/>
      <w:r w:rsidRPr="00CA1FA1">
        <w:rPr>
          <w:spacing w:val="-1"/>
          <w:szCs w:val="18"/>
        </w:rPr>
        <w:t>Gentian</w:t>
      </w:r>
      <w:proofErr w:type="spellEnd"/>
      <w:r w:rsidRPr="00CA1FA1">
        <w:rPr>
          <w:spacing w:val="-1"/>
          <w:szCs w:val="18"/>
        </w:rPr>
        <w:t xml:space="preserve"> </w:t>
      </w:r>
      <w:proofErr w:type="spellStart"/>
      <w:r w:rsidRPr="00CA1FA1">
        <w:rPr>
          <w:spacing w:val="-1"/>
          <w:szCs w:val="18"/>
        </w:rPr>
        <w:t>Zyberi</w:t>
      </w:r>
      <w:proofErr w:type="spellEnd"/>
      <w:r w:rsidRPr="00630811">
        <w:t>.</w:t>
      </w:r>
    </w:p>
  </w:footnote>
  <w:footnote w:id="4">
    <w:p w14:paraId="3EB76866" w14:textId="77777777" w:rsidR="00630811" w:rsidRPr="005C2947" w:rsidRDefault="00630811">
      <w:pPr>
        <w:pStyle w:val="Notedebasdepage"/>
      </w:pPr>
      <w:r>
        <w:rPr>
          <w:rStyle w:val="Appelnotedebasdep"/>
        </w:rPr>
        <w:tab/>
      </w:r>
      <w:r w:rsidRPr="005C2947">
        <w:rPr>
          <w:rStyle w:val="Appelnotedebasdep"/>
          <w:sz w:val="20"/>
          <w:vertAlign w:val="baseline"/>
        </w:rPr>
        <w:t>***</w:t>
      </w:r>
      <w:r>
        <w:rPr>
          <w:rStyle w:val="Appelnotedebasdep"/>
          <w:sz w:val="20"/>
          <w:vertAlign w:val="baseline"/>
        </w:rPr>
        <w:tab/>
      </w:r>
      <w:r>
        <w:t xml:space="preserve">Le texte d’une opinion conjointe (dissidente) de </w:t>
      </w:r>
      <w:proofErr w:type="spellStart"/>
      <w:r>
        <w:t>Vasilka</w:t>
      </w:r>
      <w:proofErr w:type="spellEnd"/>
      <w:r>
        <w:t xml:space="preserve"> </w:t>
      </w:r>
      <w:proofErr w:type="spellStart"/>
      <w:r>
        <w:t>Sancin</w:t>
      </w:r>
      <w:proofErr w:type="spellEnd"/>
      <w:r>
        <w:t xml:space="preserve">, </w:t>
      </w:r>
      <w:r w:rsidRPr="00EC1B8A">
        <w:t xml:space="preserve">José </w:t>
      </w:r>
      <w:r>
        <w:t xml:space="preserve">Manuel </w:t>
      </w:r>
      <w:r w:rsidRPr="00EC1B8A">
        <w:t>Santos Pais</w:t>
      </w:r>
      <w:r>
        <w:t xml:space="preserve"> et </w:t>
      </w:r>
      <w:proofErr w:type="spellStart"/>
      <w:r w:rsidRPr="00EC1B8A">
        <w:t>Gentian</w:t>
      </w:r>
      <w:proofErr w:type="spellEnd"/>
      <w:r w:rsidRPr="00EC1B8A">
        <w:t xml:space="preserve"> </w:t>
      </w:r>
      <w:proofErr w:type="spellStart"/>
      <w:r w:rsidRPr="00EC1B8A">
        <w:t>Zyberi</w:t>
      </w:r>
      <w:proofErr w:type="spellEnd"/>
      <w:r w:rsidRPr="00EC1B8A">
        <w:t xml:space="preserve"> </w:t>
      </w:r>
      <w:r>
        <w:t>est joint aux présentes constatations</w:t>
      </w:r>
      <w:r w:rsidRPr="00630811">
        <w:t>.</w:t>
      </w:r>
    </w:p>
  </w:footnote>
  <w:footnote w:id="5">
    <w:p w14:paraId="1D2CDBB0" w14:textId="77777777" w:rsidR="00630811" w:rsidRPr="00BF3E58" w:rsidRDefault="00630811" w:rsidP="005C2947">
      <w:pPr>
        <w:pStyle w:val="Notedebasdepage"/>
      </w:pPr>
      <w:r>
        <w:tab/>
      </w:r>
      <w:r w:rsidRPr="005C2947">
        <w:rPr>
          <w:rStyle w:val="Appelnotedebasdep"/>
        </w:rPr>
        <w:footnoteRef/>
      </w:r>
      <w:r>
        <w:tab/>
        <w:t>L’auteur exécute actuellement sa peine à la prison fédérale de la région de Tcheliabinsk</w:t>
      </w:r>
      <w:r w:rsidRPr="00630811">
        <w:t>.</w:t>
      </w:r>
    </w:p>
  </w:footnote>
  <w:footnote w:id="6">
    <w:p w14:paraId="5CF49F1D" w14:textId="77777777" w:rsidR="00630811" w:rsidRPr="00C23DA1" w:rsidRDefault="00630811" w:rsidP="005C2947">
      <w:pPr>
        <w:pStyle w:val="Notedebasdepage"/>
        <w:rPr>
          <w:szCs w:val="18"/>
        </w:rPr>
      </w:pPr>
      <w:r>
        <w:rPr>
          <w:szCs w:val="18"/>
        </w:rPr>
        <w:tab/>
      </w:r>
      <w:r w:rsidRPr="005C2947">
        <w:rPr>
          <w:rStyle w:val="Appelnotedebasdep"/>
        </w:rPr>
        <w:footnoteRef/>
      </w:r>
      <w:r>
        <w:rPr>
          <w:szCs w:val="18"/>
        </w:rPr>
        <w:tab/>
      </w:r>
      <w:r w:rsidRPr="00DB6AB3">
        <w:rPr>
          <w:szCs w:val="18"/>
        </w:rPr>
        <w:t>CCPR/C/69/D/770/1997.</w:t>
      </w:r>
    </w:p>
  </w:footnote>
  <w:footnote w:id="7">
    <w:p w14:paraId="2F8913DF" w14:textId="77777777" w:rsidR="00630811" w:rsidRPr="006E0A8E" w:rsidRDefault="00630811" w:rsidP="005C2947">
      <w:pPr>
        <w:pStyle w:val="Notedebasdepage"/>
      </w:pPr>
      <w:r>
        <w:tab/>
      </w:r>
      <w:r w:rsidRPr="005C2947">
        <w:rPr>
          <w:rStyle w:val="Appelnotedebasdep"/>
        </w:rPr>
        <w:footnoteRef/>
      </w:r>
      <w:r>
        <w:tab/>
        <w:t>Il semble que ce témoin, L</w:t>
      </w:r>
      <w:r w:rsidRPr="00630811">
        <w:t>.</w:t>
      </w:r>
      <w:r>
        <w:t> M</w:t>
      </w:r>
      <w:r w:rsidRPr="00630811">
        <w:t>.</w:t>
      </w:r>
      <w:r>
        <w:t> A</w:t>
      </w:r>
      <w:r w:rsidRPr="00630811">
        <w:t>.</w:t>
      </w:r>
      <w:r>
        <w:t xml:space="preserve">, ait été interrogée au cours de l’enquête mais </w:t>
      </w:r>
      <w:r w:rsidRPr="00EE60A8">
        <w:t>qu</w:t>
      </w:r>
      <w:r>
        <w:t>’</w:t>
      </w:r>
      <w:r w:rsidRPr="00EE60A8">
        <w:t>elle</w:t>
      </w:r>
      <w:r>
        <w:t xml:space="preserve"> n’ait pas témoigné devant le tribunal</w:t>
      </w:r>
      <w:r w:rsidRPr="00630811">
        <w:t>.</w:t>
      </w:r>
    </w:p>
  </w:footnote>
  <w:footnote w:id="8">
    <w:p w14:paraId="38CC20E9" w14:textId="77777777" w:rsidR="00630811" w:rsidRPr="00243E67" w:rsidRDefault="00630811" w:rsidP="005C2947">
      <w:pPr>
        <w:pStyle w:val="Notedebasdepage"/>
      </w:pPr>
      <w:r>
        <w:tab/>
      </w:r>
      <w:r w:rsidRPr="005C2947">
        <w:rPr>
          <w:rStyle w:val="Appelnotedebasdep"/>
        </w:rPr>
        <w:footnoteRef/>
      </w:r>
      <w:r>
        <w:tab/>
        <w:t xml:space="preserve">Observations reçues le </w:t>
      </w:r>
      <w:r w:rsidRPr="00243E67">
        <w:t>23</w:t>
      </w:r>
      <w:r>
        <w:t xml:space="preserve"> octobre </w:t>
      </w:r>
      <w:r w:rsidRPr="00243E67">
        <w:t>2015</w:t>
      </w:r>
      <w:r>
        <w:t xml:space="preserve"> et courriel daté du </w:t>
      </w:r>
      <w:r w:rsidRPr="00243E67">
        <w:t>26</w:t>
      </w:r>
      <w:r>
        <w:t xml:space="preserve"> janvier </w:t>
      </w:r>
      <w:r w:rsidRPr="00243E67">
        <w:t>2018</w:t>
      </w:r>
      <w:r w:rsidRPr="00630811">
        <w:t>.</w:t>
      </w:r>
    </w:p>
  </w:footnote>
  <w:footnote w:id="9">
    <w:p w14:paraId="0A176EC1" w14:textId="77777777" w:rsidR="00630811" w:rsidRPr="00587821" w:rsidRDefault="00630811" w:rsidP="005C2947">
      <w:pPr>
        <w:pStyle w:val="Notedebasdepage"/>
      </w:pPr>
      <w:r>
        <w:tab/>
      </w:r>
      <w:r w:rsidRPr="005C2947">
        <w:rPr>
          <w:rStyle w:val="Appelnotedebasdep"/>
        </w:rPr>
        <w:footnoteRef/>
      </w:r>
      <w:r>
        <w:tab/>
        <w:t xml:space="preserve">Voir </w:t>
      </w:r>
      <w:proofErr w:type="spellStart"/>
      <w:r w:rsidRPr="006D2C89">
        <w:rPr>
          <w:i/>
        </w:rPr>
        <w:t>Allaberdiev</w:t>
      </w:r>
      <w:proofErr w:type="spellEnd"/>
      <w:r>
        <w:rPr>
          <w:i/>
        </w:rPr>
        <w:t xml:space="preserve"> c</w:t>
      </w:r>
      <w:r w:rsidRPr="00630811">
        <w:rPr>
          <w:i/>
        </w:rPr>
        <w:t>.</w:t>
      </w:r>
      <w:r>
        <w:t xml:space="preserve"> </w:t>
      </w:r>
      <w:r w:rsidRPr="006D2C89">
        <w:rPr>
          <w:i/>
        </w:rPr>
        <w:t>Ouzbékistan</w:t>
      </w:r>
      <w:r>
        <w:t xml:space="preserve"> (CCPR/C/119/D/</w:t>
      </w:r>
      <w:r w:rsidRPr="00587821">
        <w:t>2555/2015</w:t>
      </w:r>
      <w:r>
        <w:t>)</w:t>
      </w:r>
      <w:r w:rsidRPr="00587821">
        <w:t>,</w:t>
      </w:r>
      <w:r>
        <w:t xml:space="preserve"> </w:t>
      </w:r>
      <w:r w:rsidRPr="00587821">
        <w:t>par</w:t>
      </w:r>
      <w:r w:rsidRPr="00630811">
        <w:t>.</w:t>
      </w:r>
      <w:r>
        <w:t> </w:t>
      </w:r>
      <w:r w:rsidRPr="00587821">
        <w:t>8</w:t>
      </w:r>
      <w:r w:rsidRPr="00630811">
        <w:t>.</w:t>
      </w:r>
      <w:r w:rsidRPr="00587821">
        <w:t>8</w:t>
      </w:r>
      <w:r w:rsidRPr="00630811">
        <w:t>.</w:t>
      </w:r>
    </w:p>
  </w:footnote>
  <w:footnote w:id="10">
    <w:p w14:paraId="40008900" w14:textId="77777777" w:rsidR="00630811" w:rsidRPr="00AA28C5" w:rsidRDefault="00630811" w:rsidP="005C2947">
      <w:pPr>
        <w:pStyle w:val="Notedebasdepage"/>
        <w:rPr>
          <w:lang w:val="fr-CA"/>
        </w:rPr>
      </w:pPr>
      <w:r>
        <w:tab/>
      </w:r>
      <w:r w:rsidRPr="005C2947">
        <w:rPr>
          <w:rStyle w:val="Appelnotedebasdep"/>
        </w:rPr>
        <w:footnoteRef/>
      </w:r>
      <w:r>
        <w:tab/>
        <w:t xml:space="preserve">Voir </w:t>
      </w:r>
      <w:proofErr w:type="spellStart"/>
      <w:r w:rsidRPr="00AA28C5">
        <w:rPr>
          <w:i/>
        </w:rPr>
        <w:t>Stasaitis</w:t>
      </w:r>
      <w:proofErr w:type="spellEnd"/>
      <w:r w:rsidRPr="00AA28C5">
        <w:rPr>
          <w:i/>
        </w:rPr>
        <w:t xml:space="preserve"> </w:t>
      </w:r>
      <w:r>
        <w:rPr>
          <w:i/>
        </w:rPr>
        <w:t>c</w:t>
      </w:r>
      <w:r w:rsidRPr="00630811">
        <w:rPr>
          <w:i/>
        </w:rPr>
        <w:t>.</w:t>
      </w:r>
      <w:r w:rsidRPr="00AA28C5">
        <w:rPr>
          <w:i/>
        </w:rPr>
        <w:t xml:space="preserve"> Lituani</w:t>
      </w:r>
      <w:r>
        <w:rPr>
          <w:i/>
        </w:rPr>
        <w:t>e</w:t>
      </w:r>
      <w:r>
        <w:t xml:space="preserve"> (</w:t>
      </w:r>
      <w:r w:rsidRPr="00630811">
        <w:t>CCPR/C/127/D/2719/2016</w:t>
      </w:r>
      <w:r>
        <w:t>), par</w:t>
      </w:r>
      <w:r w:rsidRPr="00630811">
        <w:t>.</w:t>
      </w:r>
      <w:r>
        <w:t> 8</w:t>
      </w:r>
      <w:r w:rsidRPr="00630811">
        <w:t>.</w:t>
      </w:r>
      <w:r>
        <w:t>6</w:t>
      </w:r>
    </w:p>
  </w:footnote>
  <w:footnote w:id="11">
    <w:p w14:paraId="6F94A940" w14:textId="77777777" w:rsidR="00630811" w:rsidRPr="00AA28C5" w:rsidRDefault="00630811" w:rsidP="005C2947">
      <w:pPr>
        <w:pStyle w:val="Notedebasdepage"/>
        <w:rPr>
          <w:lang w:val="fr-CA"/>
        </w:rPr>
      </w:pPr>
      <w:r>
        <w:tab/>
      </w:r>
      <w:r w:rsidRPr="005C2947">
        <w:rPr>
          <w:rStyle w:val="Appelnotedebasdep"/>
        </w:rPr>
        <w:footnoteRef/>
      </w:r>
      <w:r>
        <w:tab/>
        <w:t xml:space="preserve">Voir, notamment, </w:t>
      </w:r>
      <w:r w:rsidRPr="00AA28C5">
        <w:rPr>
          <w:i/>
        </w:rPr>
        <w:t>S</w:t>
      </w:r>
      <w:r w:rsidRPr="00630811">
        <w:rPr>
          <w:i/>
        </w:rPr>
        <w:t>.</w:t>
      </w:r>
      <w:r w:rsidRPr="00AA28C5">
        <w:rPr>
          <w:i/>
        </w:rPr>
        <w:t xml:space="preserve"> N</w:t>
      </w:r>
      <w:r w:rsidRPr="00630811">
        <w:rPr>
          <w:i/>
        </w:rPr>
        <w:t>.</w:t>
      </w:r>
      <w:r w:rsidRPr="00AA28C5">
        <w:rPr>
          <w:i/>
        </w:rPr>
        <w:t xml:space="preserve"> c</w:t>
      </w:r>
      <w:r w:rsidRPr="00630811">
        <w:rPr>
          <w:i/>
        </w:rPr>
        <w:t>.</w:t>
      </w:r>
      <w:r w:rsidRPr="00AA28C5">
        <w:rPr>
          <w:i/>
        </w:rPr>
        <w:t xml:space="preserve"> Suède</w:t>
      </w:r>
      <w:r>
        <w:t xml:space="preserve">, </w:t>
      </w:r>
      <w:r>
        <w:rPr>
          <w:szCs w:val="18"/>
        </w:rPr>
        <w:t xml:space="preserve">arrêt du 2 juillet 2002 (requête </w:t>
      </w:r>
      <w:r w:rsidRPr="00D71BD7">
        <w:rPr>
          <w:rFonts w:eastAsia="MS Mincho"/>
          <w:szCs w:val="18"/>
        </w:rPr>
        <w:t>n</w:t>
      </w:r>
      <w:r w:rsidRPr="00D71BD7">
        <w:rPr>
          <w:rFonts w:eastAsia="MS Mincho"/>
          <w:szCs w:val="18"/>
          <w:vertAlign w:val="superscript"/>
        </w:rPr>
        <w:t>o</w:t>
      </w:r>
      <w:r>
        <w:rPr>
          <w:szCs w:val="18"/>
        </w:rPr>
        <w:t> 34209/96), par</w:t>
      </w:r>
      <w:r w:rsidRPr="00630811">
        <w:rPr>
          <w:szCs w:val="18"/>
        </w:rPr>
        <w:t>.</w:t>
      </w:r>
      <w:r>
        <w:rPr>
          <w:szCs w:val="18"/>
        </w:rPr>
        <w:t xml:space="preserve"> 47 ; </w:t>
      </w:r>
      <w:proofErr w:type="spellStart"/>
      <w:r w:rsidRPr="00AA28C5">
        <w:rPr>
          <w:i/>
          <w:szCs w:val="18"/>
        </w:rPr>
        <w:t>Oyston</w:t>
      </w:r>
      <w:proofErr w:type="spellEnd"/>
      <w:r w:rsidRPr="00AA28C5">
        <w:rPr>
          <w:i/>
          <w:szCs w:val="18"/>
        </w:rPr>
        <w:t xml:space="preserve"> c</w:t>
      </w:r>
      <w:r w:rsidRPr="00630811">
        <w:rPr>
          <w:i/>
          <w:szCs w:val="18"/>
        </w:rPr>
        <w:t>.</w:t>
      </w:r>
      <w:r>
        <w:rPr>
          <w:i/>
          <w:szCs w:val="18"/>
        </w:rPr>
        <w:t> </w:t>
      </w:r>
      <w:r w:rsidRPr="00AA28C5">
        <w:rPr>
          <w:i/>
          <w:szCs w:val="18"/>
        </w:rPr>
        <w:t>Royaume-Uni</w:t>
      </w:r>
      <w:r>
        <w:rPr>
          <w:szCs w:val="18"/>
        </w:rPr>
        <w:t xml:space="preserve">, arrêt du </w:t>
      </w:r>
      <w:r w:rsidRPr="00302B17">
        <w:rPr>
          <w:szCs w:val="18"/>
        </w:rPr>
        <w:t>22</w:t>
      </w:r>
      <w:r>
        <w:rPr>
          <w:szCs w:val="18"/>
        </w:rPr>
        <w:t> janvier</w:t>
      </w:r>
      <w:r w:rsidRPr="00302B17">
        <w:rPr>
          <w:szCs w:val="18"/>
        </w:rPr>
        <w:t xml:space="preserve"> 2002 </w:t>
      </w:r>
      <w:r>
        <w:rPr>
          <w:szCs w:val="18"/>
        </w:rPr>
        <w:t xml:space="preserve">(requête </w:t>
      </w:r>
      <w:r w:rsidRPr="001B7152">
        <w:rPr>
          <w:rFonts w:eastAsia="MS Mincho"/>
          <w:szCs w:val="18"/>
        </w:rPr>
        <w:t>n</w:t>
      </w:r>
      <w:r w:rsidRPr="001B7152">
        <w:rPr>
          <w:rFonts w:eastAsia="MS Mincho"/>
          <w:szCs w:val="18"/>
          <w:vertAlign w:val="superscript"/>
        </w:rPr>
        <w:t>o</w:t>
      </w:r>
      <w:r>
        <w:rPr>
          <w:szCs w:val="18"/>
        </w:rPr>
        <w:t> </w:t>
      </w:r>
      <w:r w:rsidRPr="00302B17">
        <w:rPr>
          <w:szCs w:val="18"/>
        </w:rPr>
        <w:t>42011/98</w:t>
      </w:r>
      <w:r>
        <w:rPr>
          <w:szCs w:val="18"/>
        </w:rPr>
        <w:t xml:space="preserve">) ; et </w:t>
      </w:r>
      <w:r w:rsidRPr="00AA28C5">
        <w:rPr>
          <w:i/>
          <w:szCs w:val="18"/>
        </w:rPr>
        <w:t>Y</w:t>
      </w:r>
      <w:r w:rsidRPr="00630811">
        <w:rPr>
          <w:i/>
          <w:szCs w:val="18"/>
        </w:rPr>
        <w:t>.</w:t>
      </w:r>
      <w:r w:rsidRPr="00AA28C5">
        <w:rPr>
          <w:i/>
          <w:szCs w:val="18"/>
        </w:rPr>
        <w:t xml:space="preserve"> c</w:t>
      </w:r>
      <w:r w:rsidRPr="00630811">
        <w:rPr>
          <w:i/>
          <w:szCs w:val="18"/>
        </w:rPr>
        <w:t>.</w:t>
      </w:r>
      <w:r w:rsidRPr="00AA28C5">
        <w:rPr>
          <w:i/>
          <w:szCs w:val="18"/>
        </w:rPr>
        <w:t xml:space="preserve"> Slovénie</w:t>
      </w:r>
      <w:r>
        <w:rPr>
          <w:szCs w:val="18"/>
        </w:rPr>
        <w:t>, arrêt du 28 mai</w:t>
      </w:r>
      <w:r w:rsidRPr="006C39F0">
        <w:rPr>
          <w:szCs w:val="18"/>
        </w:rPr>
        <w:t xml:space="preserve"> 2015 (</w:t>
      </w:r>
      <w:r>
        <w:rPr>
          <w:szCs w:val="18"/>
        </w:rPr>
        <w:t xml:space="preserve">requête </w:t>
      </w:r>
      <w:r w:rsidRPr="001B7152">
        <w:rPr>
          <w:rFonts w:eastAsia="MS Mincho"/>
          <w:szCs w:val="18"/>
        </w:rPr>
        <w:t>n</w:t>
      </w:r>
      <w:r w:rsidRPr="001B7152">
        <w:rPr>
          <w:rFonts w:eastAsia="MS Mincho"/>
          <w:szCs w:val="18"/>
          <w:vertAlign w:val="superscript"/>
        </w:rPr>
        <w:t>o</w:t>
      </w:r>
      <w:r>
        <w:rPr>
          <w:szCs w:val="18"/>
        </w:rPr>
        <w:t> </w:t>
      </w:r>
      <w:r w:rsidRPr="006C39F0">
        <w:rPr>
          <w:szCs w:val="18"/>
        </w:rPr>
        <w:t xml:space="preserve">41107/10) </w:t>
      </w:r>
      <w:r>
        <w:rPr>
          <w:szCs w:val="18"/>
        </w:rPr>
        <w:t>par</w:t>
      </w:r>
      <w:r w:rsidRPr="00630811">
        <w:rPr>
          <w:szCs w:val="18"/>
        </w:rPr>
        <w:t>.</w:t>
      </w:r>
      <w:r>
        <w:rPr>
          <w:szCs w:val="18"/>
        </w:rPr>
        <w:t> 69 à 72 et 106</w:t>
      </w:r>
      <w:r w:rsidRPr="00630811">
        <w:rPr>
          <w:szCs w:val="18"/>
        </w:rPr>
        <w:t>.</w:t>
      </w:r>
    </w:p>
  </w:footnote>
  <w:footnote w:id="12">
    <w:p w14:paraId="352DFDCD" w14:textId="77777777" w:rsidR="00630811" w:rsidRPr="00587821" w:rsidRDefault="00630811" w:rsidP="005C2947">
      <w:pPr>
        <w:pStyle w:val="Notedebasdepage"/>
      </w:pPr>
      <w:r>
        <w:tab/>
      </w:r>
      <w:r w:rsidRPr="005C2947">
        <w:rPr>
          <w:rStyle w:val="Appelnotedebasdep"/>
        </w:rPr>
        <w:footnoteRef/>
      </w:r>
      <w:r>
        <w:tab/>
        <w:t>Copie du jugement, p</w:t>
      </w:r>
      <w:r w:rsidRPr="00630811">
        <w:t>.</w:t>
      </w:r>
      <w:r>
        <w:t xml:space="preserve"> 3</w:t>
      </w:r>
      <w:r w:rsidRPr="00630811">
        <w:t>.</w:t>
      </w:r>
    </w:p>
  </w:footnote>
  <w:footnote w:id="13">
    <w:p w14:paraId="406E7D8F" w14:textId="77777777" w:rsidR="00630811" w:rsidRPr="00587821" w:rsidRDefault="00630811" w:rsidP="005C2947">
      <w:pPr>
        <w:pStyle w:val="Notedebasdepage"/>
      </w:pPr>
      <w:r>
        <w:tab/>
      </w:r>
      <w:r w:rsidRPr="005C2947">
        <w:rPr>
          <w:rStyle w:val="Appelnotedebasdep"/>
        </w:rPr>
        <w:footnoteRef/>
      </w:r>
      <w:r>
        <w:tab/>
      </w:r>
      <w:r w:rsidRPr="00587821">
        <w:t>Ibid</w:t>
      </w:r>
      <w:r w:rsidRPr="00630811">
        <w:t>.</w:t>
      </w:r>
      <w:r w:rsidRPr="00587821">
        <w:t>,</w:t>
      </w:r>
      <w:r>
        <w:t xml:space="preserve"> </w:t>
      </w:r>
      <w:r w:rsidRPr="00587821">
        <w:t>p</w:t>
      </w:r>
      <w:r w:rsidRPr="00630811">
        <w:t>.</w:t>
      </w:r>
      <w:r>
        <w:t> </w:t>
      </w:r>
      <w:r w:rsidRPr="00587821">
        <w:t>4</w:t>
      </w:r>
      <w:r w:rsidRPr="00630811">
        <w:t>.</w:t>
      </w:r>
    </w:p>
  </w:footnote>
  <w:footnote w:id="14">
    <w:p w14:paraId="69D3B9DA" w14:textId="77777777" w:rsidR="00630811" w:rsidRPr="00587821" w:rsidRDefault="00630811" w:rsidP="005C2947">
      <w:pPr>
        <w:pStyle w:val="Notedebasdepage"/>
      </w:pPr>
      <w:r>
        <w:tab/>
      </w:r>
      <w:r w:rsidRPr="005C2947">
        <w:rPr>
          <w:rStyle w:val="Appelnotedebasdep"/>
        </w:rPr>
        <w:footnoteRef/>
      </w:r>
      <w:r>
        <w:tab/>
        <w:t xml:space="preserve">Voir </w:t>
      </w:r>
      <w:proofErr w:type="spellStart"/>
      <w:r w:rsidRPr="00424BE5">
        <w:rPr>
          <w:i/>
        </w:rPr>
        <w:t>Dugin</w:t>
      </w:r>
      <w:proofErr w:type="spellEnd"/>
      <w:r>
        <w:rPr>
          <w:i/>
        </w:rPr>
        <w:t xml:space="preserve"> </w:t>
      </w:r>
      <w:r w:rsidRPr="00424BE5">
        <w:rPr>
          <w:i/>
        </w:rPr>
        <w:t>c</w:t>
      </w:r>
      <w:r w:rsidRPr="00630811">
        <w:rPr>
          <w:i/>
        </w:rPr>
        <w:t>.</w:t>
      </w:r>
      <w:r>
        <w:rPr>
          <w:i/>
        </w:rPr>
        <w:t xml:space="preserve"> </w:t>
      </w:r>
      <w:r w:rsidRPr="00424BE5">
        <w:rPr>
          <w:i/>
        </w:rPr>
        <w:t>Fédération</w:t>
      </w:r>
      <w:r>
        <w:rPr>
          <w:i/>
        </w:rPr>
        <w:t xml:space="preserve"> </w:t>
      </w:r>
      <w:r w:rsidRPr="00424BE5">
        <w:rPr>
          <w:i/>
        </w:rPr>
        <w:t>de</w:t>
      </w:r>
      <w:r>
        <w:rPr>
          <w:i/>
        </w:rPr>
        <w:t xml:space="preserve"> </w:t>
      </w:r>
      <w:r w:rsidRPr="00424BE5">
        <w:rPr>
          <w:i/>
        </w:rPr>
        <w:t>Russie</w:t>
      </w:r>
      <w:r>
        <w:t xml:space="preserve"> (CCPR/C/81/D/815/1998)</w:t>
      </w:r>
      <w:r w:rsidRPr="00587821">
        <w:t>,</w:t>
      </w:r>
      <w:r>
        <w:t xml:space="preserve"> </w:t>
      </w:r>
      <w:r w:rsidRPr="00587821">
        <w:t>par</w:t>
      </w:r>
      <w:r w:rsidRPr="00630811">
        <w:t>.</w:t>
      </w:r>
      <w:r>
        <w:t> </w:t>
      </w:r>
      <w:r w:rsidRPr="00587821">
        <w:t>9</w:t>
      </w:r>
      <w:r w:rsidRPr="00630811">
        <w:t>.</w:t>
      </w:r>
      <w:r w:rsidRPr="00587821">
        <w:t>3</w:t>
      </w:r>
      <w:r>
        <w:t xml:space="preserve"> ; et </w:t>
      </w:r>
      <w:proofErr w:type="spellStart"/>
      <w:r w:rsidRPr="00424BE5">
        <w:rPr>
          <w:i/>
        </w:rPr>
        <w:t>Rouse</w:t>
      </w:r>
      <w:proofErr w:type="spellEnd"/>
      <w:r>
        <w:rPr>
          <w:i/>
        </w:rPr>
        <w:t xml:space="preserve"> </w:t>
      </w:r>
      <w:r w:rsidRPr="00424BE5">
        <w:rPr>
          <w:i/>
        </w:rPr>
        <w:t>c</w:t>
      </w:r>
      <w:r w:rsidRPr="00630811">
        <w:rPr>
          <w:i/>
        </w:rPr>
        <w:t>.</w:t>
      </w:r>
      <w:r>
        <w:rPr>
          <w:i/>
        </w:rPr>
        <w:t xml:space="preserve"> </w:t>
      </w:r>
      <w:r w:rsidRPr="00424BE5">
        <w:rPr>
          <w:i/>
        </w:rPr>
        <w:t>Philippines</w:t>
      </w:r>
      <w:r>
        <w:t xml:space="preserve"> (CCPR/C/84/D/1089/2002), par</w:t>
      </w:r>
      <w:r w:rsidRPr="00630811">
        <w:t>.</w:t>
      </w:r>
      <w:r>
        <w:t> 7</w:t>
      </w:r>
      <w:r w:rsidRPr="00630811">
        <w:t>.</w:t>
      </w:r>
      <w:r>
        <w:t>5</w:t>
      </w:r>
      <w:r w:rsidRPr="00630811">
        <w:t>.</w:t>
      </w:r>
    </w:p>
  </w:footnote>
  <w:footnote w:id="15">
    <w:p w14:paraId="7A8DD767" w14:textId="77777777" w:rsidR="00630811" w:rsidRPr="002A77E7" w:rsidRDefault="00630811" w:rsidP="005C2947">
      <w:pPr>
        <w:pStyle w:val="Notedebasdepage"/>
        <w:rPr>
          <w:rStyle w:val="Titre3Car"/>
        </w:rPr>
      </w:pPr>
      <w:r w:rsidRPr="002A77E7">
        <w:tab/>
      </w:r>
      <w:r w:rsidRPr="005C2947">
        <w:rPr>
          <w:rStyle w:val="Appelnotedebasdep"/>
        </w:rPr>
        <w:footnoteRef/>
      </w:r>
      <w:r w:rsidRPr="002A77E7">
        <w:tab/>
      </w:r>
      <w:r>
        <w:t>Voir</w:t>
      </w:r>
      <w:r w:rsidRPr="00747B42">
        <w:t xml:space="preserve"> </w:t>
      </w:r>
      <w:proofErr w:type="spellStart"/>
      <w:r w:rsidRPr="00747B42">
        <w:rPr>
          <w:i/>
          <w:iCs/>
        </w:rPr>
        <w:t>Allaberdiev</w:t>
      </w:r>
      <w:proofErr w:type="spellEnd"/>
      <w:r w:rsidRPr="00747B42">
        <w:rPr>
          <w:i/>
          <w:iCs/>
        </w:rPr>
        <w:t xml:space="preserve"> </w:t>
      </w:r>
      <w:r>
        <w:rPr>
          <w:i/>
          <w:iCs/>
        </w:rPr>
        <w:t>c</w:t>
      </w:r>
      <w:r w:rsidRPr="00630811">
        <w:rPr>
          <w:i/>
          <w:iCs/>
        </w:rPr>
        <w:t>.</w:t>
      </w:r>
      <w:r w:rsidRPr="00747B42">
        <w:rPr>
          <w:i/>
          <w:iCs/>
        </w:rPr>
        <w:t xml:space="preserve"> </w:t>
      </w:r>
      <w:r>
        <w:rPr>
          <w:i/>
          <w:iCs/>
        </w:rPr>
        <w:t>Ouzbé</w:t>
      </w:r>
      <w:r w:rsidRPr="00747B42">
        <w:rPr>
          <w:i/>
          <w:iCs/>
        </w:rPr>
        <w:t>kistan</w:t>
      </w:r>
      <w:r w:rsidRPr="00747B42">
        <w:t xml:space="preserve"> (CCPR/C/119/D/2555/2015), par</w:t>
      </w:r>
      <w:r w:rsidRPr="00630811">
        <w:t>.</w:t>
      </w:r>
      <w:r w:rsidRPr="00747B42">
        <w:t xml:space="preserve"> 8</w:t>
      </w:r>
      <w:r w:rsidRPr="00630811">
        <w:t>.</w:t>
      </w:r>
      <w:r w:rsidRPr="00747B42">
        <w:t>8</w:t>
      </w:r>
      <w:r w:rsidRPr="00630811">
        <w:t>.</w:t>
      </w:r>
    </w:p>
  </w:footnote>
  <w:footnote w:id="16">
    <w:p w14:paraId="2E8D8A3F" w14:textId="77777777" w:rsidR="00630811" w:rsidRPr="002A77E7" w:rsidRDefault="00630811" w:rsidP="005C2947">
      <w:pPr>
        <w:pStyle w:val="Notedebasdepage"/>
        <w:rPr>
          <w:rStyle w:val="Titre3Car"/>
        </w:rPr>
      </w:pPr>
      <w:r w:rsidRPr="002A77E7">
        <w:rPr>
          <w:rStyle w:val="Titre3Car"/>
        </w:rPr>
        <w:tab/>
      </w:r>
      <w:r w:rsidRPr="005C2947">
        <w:rPr>
          <w:rStyle w:val="Appelnotedebasdep"/>
        </w:rPr>
        <w:footnoteRef/>
      </w:r>
      <w:r w:rsidRPr="002A77E7">
        <w:rPr>
          <w:rStyle w:val="Titre3Car"/>
        </w:rPr>
        <w:tab/>
      </w:r>
      <w:r>
        <w:t>Voir</w:t>
      </w:r>
      <w:r w:rsidRPr="00747B42">
        <w:t xml:space="preserve"> </w:t>
      </w:r>
      <w:proofErr w:type="spellStart"/>
      <w:r w:rsidRPr="00747B42">
        <w:rPr>
          <w:i/>
          <w:iCs/>
        </w:rPr>
        <w:t>Stasaitis</w:t>
      </w:r>
      <w:proofErr w:type="spellEnd"/>
      <w:r w:rsidRPr="00747B42">
        <w:rPr>
          <w:i/>
          <w:iCs/>
        </w:rPr>
        <w:t xml:space="preserve"> </w:t>
      </w:r>
      <w:r>
        <w:rPr>
          <w:i/>
          <w:iCs/>
        </w:rPr>
        <w:t>c</w:t>
      </w:r>
      <w:r w:rsidRPr="00630811">
        <w:rPr>
          <w:i/>
          <w:iCs/>
        </w:rPr>
        <w:t>.</w:t>
      </w:r>
      <w:r w:rsidRPr="00747B42">
        <w:rPr>
          <w:i/>
          <w:iCs/>
        </w:rPr>
        <w:t xml:space="preserve"> </w:t>
      </w:r>
      <w:r>
        <w:rPr>
          <w:i/>
          <w:iCs/>
        </w:rPr>
        <w:t xml:space="preserve">Lituanie </w:t>
      </w:r>
      <w:r w:rsidRPr="00747B42">
        <w:t>(</w:t>
      </w:r>
      <w:r w:rsidRPr="00493C28">
        <w:t>CCPR/C/127/D/2719/2016</w:t>
      </w:r>
      <w:r w:rsidRPr="00747B42">
        <w:t>), par</w:t>
      </w:r>
      <w:r w:rsidRPr="00630811">
        <w:t>.</w:t>
      </w:r>
      <w:r w:rsidRPr="00747B42">
        <w:t xml:space="preserve"> 8</w:t>
      </w:r>
      <w:r w:rsidRPr="00630811">
        <w:t>.</w:t>
      </w:r>
      <w:r w:rsidRPr="00747B42">
        <w:t>6</w:t>
      </w:r>
      <w:r w:rsidRPr="00630811">
        <w:t>.</w:t>
      </w:r>
    </w:p>
  </w:footnote>
  <w:footnote w:id="17">
    <w:p w14:paraId="06FD683C" w14:textId="77777777" w:rsidR="00630811" w:rsidRPr="003176AE" w:rsidRDefault="00630811" w:rsidP="005C2947">
      <w:pPr>
        <w:pStyle w:val="Notedebasdepage"/>
      </w:pPr>
      <w:r w:rsidRPr="002A77E7">
        <w:tab/>
      </w:r>
      <w:r w:rsidRPr="005C2947">
        <w:rPr>
          <w:rStyle w:val="Appelnotedebasdep"/>
        </w:rPr>
        <w:footnoteRef/>
      </w:r>
      <w:r>
        <w:tab/>
        <w:t xml:space="preserve">Voir Cour européenne des droits de l’homme, </w:t>
      </w:r>
      <w:r w:rsidRPr="003318FC">
        <w:rPr>
          <w:i/>
          <w:iCs/>
        </w:rPr>
        <w:t>S</w:t>
      </w:r>
      <w:r w:rsidRPr="00630811">
        <w:rPr>
          <w:i/>
          <w:iCs/>
        </w:rPr>
        <w:t>.</w:t>
      </w:r>
      <w:r>
        <w:rPr>
          <w:i/>
          <w:iCs/>
        </w:rPr>
        <w:t> </w:t>
      </w:r>
      <w:r w:rsidRPr="003318FC">
        <w:rPr>
          <w:i/>
          <w:iCs/>
        </w:rPr>
        <w:t>N</w:t>
      </w:r>
      <w:r w:rsidRPr="00630811">
        <w:rPr>
          <w:i/>
          <w:iCs/>
        </w:rPr>
        <w:t>.</w:t>
      </w:r>
      <w:r w:rsidRPr="003318FC">
        <w:rPr>
          <w:i/>
          <w:iCs/>
        </w:rPr>
        <w:t xml:space="preserve"> </w:t>
      </w:r>
      <w:r>
        <w:rPr>
          <w:i/>
          <w:iCs/>
        </w:rPr>
        <w:t>c</w:t>
      </w:r>
      <w:r w:rsidRPr="00630811">
        <w:rPr>
          <w:i/>
          <w:iCs/>
        </w:rPr>
        <w:t>.</w:t>
      </w:r>
      <w:r w:rsidRPr="003318FC">
        <w:rPr>
          <w:i/>
          <w:iCs/>
        </w:rPr>
        <w:t xml:space="preserve"> </w:t>
      </w:r>
      <w:r>
        <w:rPr>
          <w:i/>
          <w:iCs/>
        </w:rPr>
        <w:t>Suède</w:t>
      </w:r>
      <w:r>
        <w:t xml:space="preserve">, </w:t>
      </w:r>
      <w:r>
        <w:rPr>
          <w:szCs w:val="18"/>
        </w:rPr>
        <w:t xml:space="preserve">arrêt du 2 juillet 2002 </w:t>
      </w:r>
      <w:r w:rsidRPr="003176AE">
        <w:t>(</w:t>
      </w:r>
      <w:r>
        <w:t xml:space="preserve">requête </w:t>
      </w:r>
      <w:r>
        <w:rPr>
          <w:rFonts w:eastAsia="MS Mincho"/>
        </w:rPr>
        <w:t>n</w:t>
      </w:r>
      <w:r>
        <w:rPr>
          <w:rFonts w:eastAsia="MS Mincho"/>
          <w:vertAlign w:val="superscript"/>
        </w:rPr>
        <w:t>o</w:t>
      </w:r>
      <w:r>
        <w:t> </w:t>
      </w:r>
      <w:r w:rsidRPr="003176AE">
        <w:t>34209/96), par</w:t>
      </w:r>
      <w:r w:rsidRPr="00630811">
        <w:t>.</w:t>
      </w:r>
      <w:r w:rsidRPr="003176AE">
        <w:t xml:space="preserve"> 52</w:t>
      </w:r>
      <w:r>
        <w:t> </w:t>
      </w:r>
      <w:r w:rsidRPr="003176AE">
        <w:t xml:space="preserve">; </w:t>
      </w:r>
      <w:r>
        <w:t xml:space="preserve">et </w:t>
      </w:r>
      <w:r w:rsidRPr="003318FC">
        <w:rPr>
          <w:i/>
          <w:iCs/>
        </w:rPr>
        <w:t>W</w:t>
      </w:r>
      <w:r w:rsidRPr="00630811">
        <w:rPr>
          <w:i/>
          <w:iCs/>
        </w:rPr>
        <w:t>.</w:t>
      </w:r>
      <w:r>
        <w:rPr>
          <w:i/>
          <w:iCs/>
        </w:rPr>
        <w:t> </w:t>
      </w:r>
      <w:r w:rsidRPr="003318FC">
        <w:rPr>
          <w:i/>
          <w:iCs/>
        </w:rPr>
        <w:t>S</w:t>
      </w:r>
      <w:r w:rsidRPr="00630811">
        <w:rPr>
          <w:i/>
          <w:iCs/>
        </w:rPr>
        <w:t>.</w:t>
      </w:r>
      <w:r w:rsidRPr="003318FC">
        <w:rPr>
          <w:i/>
          <w:iCs/>
        </w:rPr>
        <w:t xml:space="preserve"> </w:t>
      </w:r>
      <w:r>
        <w:rPr>
          <w:i/>
          <w:iCs/>
        </w:rPr>
        <w:t>c</w:t>
      </w:r>
      <w:r w:rsidRPr="00630811">
        <w:rPr>
          <w:i/>
          <w:iCs/>
        </w:rPr>
        <w:t>.</w:t>
      </w:r>
      <w:r w:rsidRPr="003318FC">
        <w:rPr>
          <w:i/>
          <w:iCs/>
        </w:rPr>
        <w:t xml:space="preserve"> </w:t>
      </w:r>
      <w:r>
        <w:rPr>
          <w:i/>
          <w:iCs/>
        </w:rPr>
        <w:t>Pologne</w:t>
      </w:r>
      <w:r>
        <w:t>, arrêt du 19 juin 2007</w:t>
      </w:r>
      <w:r w:rsidRPr="003176AE">
        <w:t xml:space="preserve"> (</w:t>
      </w:r>
      <w:r>
        <w:t xml:space="preserve">requête </w:t>
      </w:r>
      <w:r>
        <w:rPr>
          <w:rFonts w:eastAsia="MS Mincho"/>
        </w:rPr>
        <w:t>n</w:t>
      </w:r>
      <w:r>
        <w:rPr>
          <w:rFonts w:eastAsia="MS Mincho"/>
          <w:vertAlign w:val="superscript"/>
        </w:rPr>
        <w:t>o</w:t>
      </w:r>
      <w:r>
        <w:t> </w:t>
      </w:r>
      <w:r w:rsidRPr="003176AE">
        <w:t>21508/02), par</w:t>
      </w:r>
      <w:r w:rsidRPr="00630811">
        <w:t>.</w:t>
      </w:r>
      <w:r w:rsidRPr="003176AE">
        <w:t xml:space="preserve"> 55</w:t>
      </w:r>
      <w:r w:rsidRPr="00630811">
        <w:t>.</w:t>
      </w:r>
    </w:p>
  </w:footnote>
  <w:footnote w:id="18">
    <w:p w14:paraId="42947500" w14:textId="77777777" w:rsidR="00630811" w:rsidRPr="003176AE" w:rsidRDefault="00630811" w:rsidP="005C2947">
      <w:pPr>
        <w:pStyle w:val="Notedebasdepage"/>
      </w:pPr>
      <w:r w:rsidRPr="003176AE">
        <w:tab/>
      </w:r>
      <w:r w:rsidRPr="005C2947">
        <w:rPr>
          <w:rStyle w:val="Appelnotedebasdep"/>
        </w:rPr>
        <w:footnoteRef/>
      </w:r>
      <w:r>
        <w:tab/>
        <w:t>Voir,</w:t>
      </w:r>
      <w:r w:rsidRPr="003176AE">
        <w:t xml:space="preserve"> </w:t>
      </w:r>
      <w:r>
        <w:t>notamment,</w:t>
      </w:r>
      <w:r w:rsidRPr="003176AE">
        <w:t xml:space="preserve"> </w:t>
      </w:r>
      <w:r>
        <w:t>Cour européenne des droits de l’homme</w:t>
      </w:r>
      <w:r w:rsidRPr="003176AE">
        <w:t xml:space="preserve">, </w:t>
      </w:r>
      <w:proofErr w:type="spellStart"/>
      <w:r w:rsidRPr="003318FC">
        <w:rPr>
          <w:i/>
          <w:iCs/>
        </w:rPr>
        <w:t>Perna</w:t>
      </w:r>
      <w:proofErr w:type="spellEnd"/>
      <w:r w:rsidRPr="003318FC">
        <w:rPr>
          <w:i/>
          <w:iCs/>
        </w:rPr>
        <w:t xml:space="preserve"> </w:t>
      </w:r>
      <w:r>
        <w:rPr>
          <w:i/>
          <w:iCs/>
        </w:rPr>
        <w:t>c</w:t>
      </w:r>
      <w:r w:rsidRPr="00630811">
        <w:rPr>
          <w:i/>
          <w:iCs/>
        </w:rPr>
        <w:t>.</w:t>
      </w:r>
      <w:r w:rsidRPr="003318FC">
        <w:rPr>
          <w:i/>
          <w:iCs/>
        </w:rPr>
        <w:t xml:space="preserve"> </w:t>
      </w:r>
      <w:r>
        <w:rPr>
          <w:i/>
          <w:iCs/>
        </w:rPr>
        <w:t>Italie</w:t>
      </w:r>
      <w:r w:rsidRPr="008C5127">
        <w:t>,</w:t>
      </w:r>
      <w:r>
        <w:rPr>
          <w:i/>
          <w:iCs/>
        </w:rPr>
        <w:t xml:space="preserve"> </w:t>
      </w:r>
      <w:r>
        <w:t>arrêt du 6 mai 2003</w:t>
      </w:r>
      <w:r w:rsidRPr="003176AE">
        <w:t xml:space="preserve"> (</w:t>
      </w:r>
      <w:r>
        <w:t xml:space="preserve">requête </w:t>
      </w:r>
      <w:r>
        <w:rPr>
          <w:rFonts w:eastAsia="MS Mincho"/>
        </w:rPr>
        <w:t>n</w:t>
      </w:r>
      <w:r>
        <w:rPr>
          <w:rFonts w:eastAsia="MS Mincho"/>
          <w:vertAlign w:val="superscript"/>
        </w:rPr>
        <w:t>o</w:t>
      </w:r>
      <w:r>
        <w:t> </w:t>
      </w:r>
      <w:r w:rsidRPr="003176AE">
        <w:t>48898/99), par</w:t>
      </w:r>
      <w:r w:rsidRPr="00630811">
        <w:t>.</w:t>
      </w:r>
      <w:r w:rsidRPr="003176AE">
        <w:t xml:space="preserve"> 29</w:t>
      </w:r>
      <w:r w:rsidRPr="0063081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CA2E" w14:textId="06AC2456" w:rsidR="00630811" w:rsidRPr="005C2947" w:rsidRDefault="00630811">
    <w:pPr>
      <w:pStyle w:val="En-tte"/>
    </w:pPr>
    <w:fldSimple w:instr=" TITLE  \* MERGEFORMAT ">
      <w:r w:rsidR="00906CA1">
        <w:t>CCPR/C/128/D/2367/2014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DAEC" w14:textId="7131B278" w:rsidR="00630811" w:rsidRPr="005C2947" w:rsidRDefault="00630811" w:rsidP="005C2947">
    <w:pPr>
      <w:pStyle w:val="En-tte"/>
      <w:jc w:val="right"/>
    </w:pPr>
    <w:fldSimple w:instr=" TITLE  \* MERGEFORMAT ">
      <w:r w:rsidR="00906CA1">
        <w:t>CCPR/C/128/D/2367/2014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5332" w14:textId="694EE09F" w:rsidR="00630811" w:rsidRPr="005C2947" w:rsidRDefault="00630811">
    <w:pPr>
      <w:pStyle w:val="En-tte"/>
    </w:pPr>
    <w:fldSimple w:instr=" TITLE  \* MERGEFORMAT ">
      <w:r w:rsidR="00906CA1">
        <w:t>CCPR/C/128/D/2367/2014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07AF" w14:textId="75C5A3D8" w:rsidR="00630811" w:rsidRDefault="00630811" w:rsidP="005C2947">
    <w:pPr>
      <w:pStyle w:val="En-tte"/>
      <w:jc w:val="right"/>
    </w:pPr>
    <w:fldSimple w:instr=" TITLE  \* MERGEFORMAT ">
      <w:r w:rsidR="00906CA1">
        <w:t>CCPR/C/128/D/2367/2014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19F4"/>
    <w:rsid w:val="00017F94"/>
    <w:rsid w:val="00023842"/>
    <w:rsid w:val="000334F9"/>
    <w:rsid w:val="000369AC"/>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493C28"/>
    <w:rsid w:val="005505B7"/>
    <w:rsid w:val="00573BE5"/>
    <w:rsid w:val="00586ED3"/>
    <w:rsid w:val="00596AA9"/>
    <w:rsid w:val="005C2947"/>
    <w:rsid w:val="005F4E46"/>
    <w:rsid w:val="00630811"/>
    <w:rsid w:val="006F7144"/>
    <w:rsid w:val="006F71EA"/>
    <w:rsid w:val="0071601D"/>
    <w:rsid w:val="00793E85"/>
    <w:rsid w:val="007A611C"/>
    <w:rsid w:val="007A62E6"/>
    <w:rsid w:val="007A7681"/>
    <w:rsid w:val="007E2032"/>
    <w:rsid w:val="0080684C"/>
    <w:rsid w:val="008560DB"/>
    <w:rsid w:val="00871C75"/>
    <w:rsid w:val="008776DC"/>
    <w:rsid w:val="008C5127"/>
    <w:rsid w:val="008D5FCE"/>
    <w:rsid w:val="00906CA1"/>
    <w:rsid w:val="00967CA1"/>
    <w:rsid w:val="009705C8"/>
    <w:rsid w:val="009B1E6C"/>
    <w:rsid w:val="009E19F4"/>
    <w:rsid w:val="009E2C6A"/>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B1831"/>
    <w:rsid w:val="00DB6AB3"/>
    <w:rsid w:val="00DD3BFD"/>
    <w:rsid w:val="00DF6678"/>
    <w:rsid w:val="00E85C42"/>
    <w:rsid w:val="00EC30D5"/>
    <w:rsid w:val="00EE1BD4"/>
    <w:rsid w:val="00F12152"/>
    <w:rsid w:val="00F660DF"/>
    <w:rsid w:val="00F95C08"/>
    <w:rsid w:val="00FC552B"/>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F42738"/>
  <w15:docId w15:val="{A4BDCB73-E3E9-436A-9220-572B0E56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BVI fnr,16 Point,Superscript 6 Point,Footnote,Footnote symbol,Footnote Refernece,Texto de nota al pie,Fußnotenzeichen_Raxen,referencia nota al pi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5C2947"/>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5C2947"/>
    <w:rPr>
      <w:sz w:val="16"/>
      <w:szCs w:val="16"/>
    </w:rPr>
  </w:style>
  <w:style w:type="paragraph" w:styleId="Commentaire">
    <w:name w:val="annotation text"/>
    <w:basedOn w:val="Normal"/>
    <w:link w:val="CommentaireCar"/>
    <w:uiPriority w:val="99"/>
    <w:semiHidden/>
    <w:unhideWhenUsed/>
    <w:rsid w:val="005C2947"/>
    <w:pPr>
      <w:spacing w:line="240" w:lineRule="auto"/>
    </w:pPr>
  </w:style>
  <w:style w:type="character" w:customStyle="1" w:styleId="CommentaireCar">
    <w:name w:val="Commentaire Car"/>
    <w:basedOn w:val="Policepardfaut"/>
    <w:link w:val="Commentaire"/>
    <w:uiPriority w:val="99"/>
    <w:semiHidden/>
    <w:rsid w:val="005C2947"/>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5C2947"/>
    <w:rPr>
      <w:b/>
      <w:bCs/>
    </w:rPr>
  </w:style>
  <w:style w:type="character" w:customStyle="1" w:styleId="ObjetducommentaireCar">
    <w:name w:val="Objet du commentaire Car"/>
    <w:basedOn w:val="CommentaireCar"/>
    <w:link w:val="Objetducommentaire"/>
    <w:uiPriority w:val="99"/>
    <w:semiHidden/>
    <w:rsid w:val="005C2947"/>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6512</Words>
  <Characters>38165</Characters>
  <Application>Microsoft Office Word</Application>
  <DocSecurity>0</DocSecurity>
  <Lines>3469</Lines>
  <Paragraphs>1489</Paragraphs>
  <ScaleCrop>false</ScaleCrop>
  <HeadingPairs>
    <vt:vector size="2" baseType="variant">
      <vt:variant>
        <vt:lpstr>Titre</vt:lpstr>
      </vt:variant>
      <vt:variant>
        <vt:i4>1</vt:i4>
      </vt:variant>
    </vt:vector>
  </HeadingPairs>
  <TitlesOfParts>
    <vt:vector size="1" baseType="lpstr">
      <vt:lpstr>CCPR/C/128/D/2367/2014</vt:lpstr>
    </vt:vector>
  </TitlesOfParts>
  <Company>DCM</Company>
  <LinksUpToDate>false</LinksUpToDate>
  <CharactersWithSpaces>43188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CCPR/C/128/D/2367/2014</dc:title>
  <dc:subject/>
  <dc:creator>Maud DARICHE</dc:creator>
  <cp:keywords/>
  <cp:lastModifiedBy>Maud Dariche</cp:lastModifiedBy>
  <cp:revision>3</cp:revision>
  <cp:lastPrinted>2020-11-13T10:20:00Z</cp:lastPrinted>
  <dcterms:created xsi:type="dcterms:W3CDTF">2020-11-13T10:20:00Z</dcterms:created>
  <dcterms:modified xsi:type="dcterms:W3CDTF">2020-11-13T10:21:00Z</dcterms:modified>
</cp:coreProperties>
</file>