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4B72D962" w14:textId="77777777" w:rsidTr="00F603F4">
        <w:trPr>
          <w:cantSplit/>
          <w:trHeight w:hRule="exact" w:val="851"/>
        </w:trPr>
        <w:tc>
          <w:tcPr>
            <w:tcW w:w="1276" w:type="dxa"/>
            <w:tcBorders>
              <w:bottom w:val="single" w:sz="4" w:space="0" w:color="auto"/>
            </w:tcBorders>
            <w:vAlign w:val="bottom"/>
          </w:tcPr>
          <w:p w14:paraId="2C9FDA1D" w14:textId="77777777" w:rsidR="00165C15" w:rsidRPr="0036554A" w:rsidRDefault="00165C15" w:rsidP="00F603F4">
            <w:pPr>
              <w:spacing w:after="80"/>
              <w:rPr>
                <w:lang w:val="es-ES"/>
              </w:rPr>
            </w:pPr>
            <w:bookmarkStart w:id="0" w:name="_GoBack"/>
            <w:bookmarkEnd w:id="0"/>
          </w:p>
        </w:tc>
        <w:tc>
          <w:tcPr>
            <w:tcW w:w="2268" w:type="dxa"/>
            <w:tcBorders>
              <w:bottom w:val="single" w:sz="4" w:space="0" w:color="auto"/>
            </w:tcBorders>
            <w:vAlign w:val="bottom"/>
          </w:tcPr>
          <w:p w14:paraId="0B7F5744" w14:textId="77777777"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2F437F2E" w14:textId="12A6249C" w:rsidR="00165C15" w:rsidRPr="00F96E49" w:rsidRDefault="00F96E49" w:rsidP="00F96E49">
            <w:pPr>
              <w:suppressAutoHyphens w:val="0"/>
              <w:jc w:val="right"/>
              <w:rPr>
                <w:lang w:val="es-ES"/>
              </w:rPr>
            </w:pPr>
            <w:r w:rsidRPr="00F96E49">
              <w:rPr>
                <w:sz w:val="40"/>
                <w:lang w:val="es-ES"/>
              </w:rPr>
              <w:t>CCPR</w:t>
            </w:r>
            <w:r>
              <w:rPr>
                <w:lang w:val="es-ES"/>
              </w:rPr>
              <w:t>/C/129/D/2890/2016</w:t>
            </w:r>
          </w:p>
        </w:tc>
      </w:tr>
      <w:tr w:rsidR="0036554A" w:rsidRPr="0041359B" w14:paraId="6716E08E" w14:textId="77777777" w:rsidTr="004A72F6">
        <w:trPr>
          <w:cantSplit/>
          <w:trHeight w:hRule="exact" w:val="2835"/>
        </w:trPr>
        <w:tc>
          <w:tcPr>
            <w:tcW w:w="1276" w:type="dxa"/>
            <w:tcBorders>
              <w:top w:val="single" w:sz="4" w:space="0" w:color="auto"/>
              <w:bottom w:val="single" w:sz="12" w:space="0" w:color="auto"/>
            </w:tcBorders>
          </w:tcPr>
          <w:p w14:paraId="100A5DFF" w14:textId="77777777" w:rsidR="00165C15" w:rsidRPr="0036554A" w:rsidRDefault="00165C15" w:rsidP="00F603F4">
            <w:pPr>
              <w:spacing w:before="120"/>
              <w:rPr>
                <w:lang w:val="es-ES"/>
              </w:rPr>
            </w:pPr>
            <w:r w:rsidRPr="0036554A">
              <w:rPr>
                <w:noProof/>
                <w:lang w:eastAsia="en-GB"/>
              </w:rPr>
              <w:drawing>
                <wp:inline distT="0" distB="0" distL="0" distR="0" wp14:anchorId="4D0301F8" wp14:editId="076F77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C4A77F" w14:textId="77777777" w:rsidR="00165C15" w:rsidRPr="007B1BCB" w:rsidRDefault="003A3F12" w:rsidP="00F603F4">
            <w:pPr>
              <w:spacing w:before="120" w:line="380" w:lineRule="exact"/>
              <w:rPr>
                <w:sz w:val="34"/>
                <w:lang w:val="es-ES"/>
              </w:rPr>
            </w:pPr>
            <w:r w:rsidRPr="00280BCD">
              <w:rPr>
                <w:b/>
                <w:sz w:val="34"/>
                <w:szCs w:val="34"/>
                <w:lang w:val="es-ES"/>
              </w:rPr>
              <w:t>Pacto Internacional de Derechos</w:t>
            </w:r>
            <w:r w:rsidRPr="00280BCD">
              <w:rPr>
                <w:b/>
                <w:sz w:val="34"/>
                <w:szCs w:val="34"/>
                <w:lang w:val="es-ES"/>
              </w:rPr>
              <w:br/>
              <w:t>Civiles y Políticos</w:t>
            </w:r>
          </w:p>
        </w:tc>
        <w:tc>
          <w:tcPr>
            <w:tcW w:w="2835" w:type="dxa"/>
            <w:tcBorders>
              <w:top w:val="single" w:sz="4" w:space="0" w:color="auto"/>
              <w:bottom w:val="single" w:sz="12" w:space="0" w:color="auto"/>
            </w:tcBorders>
          </w:tcPr>
          <w:p w14:paraId="2B5AA541" w14:textId="1F0E5598" w:rsidR="00165C15" w:rsidRPr="0036554A" w:rsidRDefault="006A31AE" w:rsidP="00662526">
            <w:pPr>
              <w:suppressAutoHyphens w:val="0"/>
              <w:spacing w:before="240" w:line="240" w:lineRule="exact"/>
              <w:rPr>
                <w:lang w:val="es-ES"/>
              </w:rPr>
            </w:pPr>
            <w:proofErr w:type="spellStart"/>
            <w:r w:rsidRPr="0036554A">
              <w:rPr>
                <w:lang w:val="es-ES"/>
              </w:rPr>
              <w:t>Distr</w:t>
            </w:r>
            <w:proofErr w:type="spellEnd"/>
            <w:r w:rsidRPr="0036554A">
              <w:rPr>
                <w:lang w:val="es-ES"/>
              </w:rPr>
              <w:t xml:space="preserve">. </w:t>
            </w:r>
            <w:r w:rsidR="00662526">
              <w:rPr>
                <w:lang w:val="es-ES"/>
              </w:rPr>
              <w:t>general</w:t>
            </w:r>
            <w:r w:rsidR="00662526" w:rsidDel="00662526">
              <w:rPr>
                <w:lang w:val="es-ES"/>
              </w:rPr>
              <w:t xml:space="preserve"> </w:t>
            </w:r>
          </w:p>
          <w:p w14:paraId="4F827AAA" w14:textId="5D2E3F89" w:rsidR="006A31AE" w:rsidRPr="0036554A" w:rsidRDefault="000852DD" w:rsidP="00E11AFB">
            <w:pPr>
              <w:suppressAutoHyphens w:val="0"/>
              <w:rPr>
                <w:lang w:val="es-ES"/>
              </w:rPr>
            </w:pPr>
            <w:r>
              <w:rPr>
                <w:lang w:val="es-ES"/>
              </w:rPr>
              <w:t>1</w:t>
            </w:r>
            <w:r w:rsidR="00154633">
              <w:rPr>
                <w:lang w:val="es-ES"/>
              </w:rPr>
              <w:t>8</w:t>
            </w:r>
            <w:r w:rsidR="00735FD2">
              <w:rPr>
                <w:lang w:val="es-ES"/>
              </w:rPr>
              <w:t xml:space="preserve"> de </w:t>
            </w:r>
            <w:r w:rsidR="00662526">
              <w:rPr>
                <w:lang w:val="es-ES"/>
              </w:rPr>
              <w:t>diciembre</w:t>
            </w:r>
            <w:r w:rsidR="00B92C6C">
              <w:rPr>
                <w:lang w:val="es-ES"/>
              </w:rPr>
              <w:t xml:space="preserve"> de 2020</w:t>
            </w:r>
          </w:p>
          <w:p w14:paraId="5BA8B39B" w14:textId="77777777" w:rsidR="006A31AE" w:rsidRPr="00280BCD" w:rsidRDefault="006A31AE" w:rsidP="00F603F4">
            <w:pPr>
              <w:suppressAutoHyphens w:val="0"/>
              <w:rPr>
                <w:lang w:val="es-ES"/>
              </w:rPr>
            </w:pPr>
          </w:p>
          <w:p w14:paraId="71FF3811" w14:textId="2D18CABE" w:rsidR="00A03082" w:rsidRPr="0036554A" w:rsidRDefault="006A31AE" w:rsidP="00481A07">
            <w:pPr>
              <w:suppressAutoHyphens w:val="0"/>
              <w:rPr>
                <w:lang w:val="es-ES"/>
              </w:rPr>
            </w:pPr>
            <w:r w:rsidRPr="0036554A">
              <w:rPr>
                <w:lang w:val="es-ES"/>
              </w:rPr>
              <w:t xml:space="preserve">Original: </w:t>
            </w:r>
            <w:r w:rsidR="003A3F12" w:rsidRPr="0036554A">
              <w:rPr>
                <w:lang w:val="es-ES"/>
              </w:rPr>
              <w:t>español</w:t>
            </w:r>
          </w:p>
        </w:tc>
      </w:tr>
    </w:tbl>
    <w:p w14:paraId="73B19581"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79394B37" w14:textId="735018B7" w:rsidR="006A31AE" w:rsidRPr="0036554A" w:rsidRDefault="006A31AE">
      <w:pPr>
        <w:pStyle w:val="HChG"/>
        <w:rPr>
          <w:lang w:val="es-ES"/>
        </w:rPr>
      </w:pPr>
      <w:r w:rsidRPr="0036554A">
        <w:rPr>
          <w:lang w:val="es-ES"/>
        </w:rPr>
        <w:tab/>
      </w:r>
      <w:r w:rsidRPr="0036554A">
        <w:rPr>
          <w:lang w:val="es-ES"/>
        </w:rPr>
        <w:tab/>
      </w:r>
      <w:r w:rsidR="00925346">
        <w:rPr>
          <w:lang w:val="es-ES"/>
        </w:rPr>
        <w:t>Decisión</w:t>
      </w:r>
      <w:r w:rsidR="00662526" w:rsidRPr="007F06ED">
        <w:rPr>
          <w:lang w:val="es-ES"/>
        </w:rPr>
        <w:t xml:space="preserve"> aprobad</w:t>
      </w:r>
      <w:r w:rsidR="00925346">
        <w:rPr>
          <w:lang w:val="es-ES"/>
        </w:rPr>
        <w:t>a</w:t>
      </w:r>
      <w:r w:rsidR="00662526" w:rsidRPr="007F06ED">
        <w:rPr>
          <w:lang w:val="es-ES"/>
        </w:rPr>
        <w:t xml:space="preserve"> por el Comité a tenor del artículo 5, párrafo 4, del Protocolo Facultativo, respecto de la </w:t>
      </w:r>
      <w:r w:rsidR="00662526">
        <w:rPr>
          <w:lang w:val="es-ES"/>
        </w:rPr>
        <w:t>c</w:t>
      </w:r>
      <w:r w:rsidR="00662526" w:rsidRPr="0036554A">
        <w:rPr>
          <w:lang w:val="es-ES"/>
        </w:rPr>
        <w:t xml:space="preserve">omunicación </w:t>
      </w:r>
      <w:r w:rsidR="00532A49">
        <w:rPr>
          <w:lang w:val="es-ES"/>
        </w:rPr>
        <w:t>n</w:t>
      </w:r>
      <w:r w:rsidR="0036554A">
        <w:rPr>
          <w:lang w:val="es-ES"/>
        </w:rPr>
        <w:t>úm</w:t>
      </w:r>
      <w:r w:rsidRPr="0036554A">
        <w:rPr>
          <w:lang w:val="es-ES"/>
        </w:rPr>
        <w:t xml:space="preserve">. </w:t>
      </w:r>
      <w:r w:rsidR="007360B3">
        <w:rPr>
          <w:lang w:val="es-ES"/>
        </w:rPr>
        <w:t>2890</w:t>
      </w:r>
      <w:r w:rsidRPr="0036554A">
        <w:rPr>
          <w:lang w:val="es-ES"/>
        </w:rPr>
        <w:t>/</w:t>
      </w:r>
      <w:r w:rsidR="007360B3">
        <w:rPr>
          <w:lang w:val="es-ES"/>
        </w:rPr>
        <w:t>2016</w:t>
      </w:r>
      <w:r w:rsidR="00662526" w:rsidRPr="0041359B">
        <w:rPr>
          <w:rStyle w:val="Refdenotaalpie"/>
          <w:b w:val="0"/>
          <w:sz w:val="20"/>
          <w:vertAlign w:val="baseline"/>
          <w:lang w:val="es-ES"/>
        </w:rPr>
        <w:footnoteReference w:customMarkFollows="1" w:id="1"/>
        <w:t>*</w:t>
      </w:r>
      <w:r w:rsidR="00C15E1C">
        <w:rPr>
          <w:b w:val="0"/>
          <w:sz w:val="20"/>
          <w:lang w:val="es-ES"/>
        </w:rPr>
        <w:t xml:space="preserve"> </w:t>
      </w:r>
      <w:r w:rsidR="00662526" w:rsidRPr="0041359B">
        <w:rPr>
          <w:rStyle w:val="Refdenotaalpie"/>
          <w:b w:val="0"/>
          <w:sz w:val="20"/>
          <w:vertAlign w:val="baseline"/>
          <w:lang w:val="es-ES"/>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36554A" w:rsidRPr="00F96E49" w14:paraId="1162150D" w14:textId="77777777" w:rsidTr="00581E59">
        <w:tc>
          <w:tcPr>
            <w:tcW w:w="3544" w:type="dxa"/>
          </w:tcPr>
          <w:p w14:paraId="06E496A3" w14:textId="77777777" w:rsidR="006A31AE" w:rsidRPr="0036554A" w:rsidRDefault="0013341D" w:rsidP="0013341D">
            <w:pPr>
              <w:pStyle w:val="SingleTxtG"/>
              <w:ind w:left="0" w:right="0"/>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3260" w:type="dxa"/>
          </w:tcPr>
          <w:p w14:paraId="0A73A3DD" w14:textId="10BE55B3" w:rsidR="006A31AE" w:rsidRPr="00D83369" w:rsidRDefault="007360B3">
            <w:pPr>
              <w:pStyle w:val="SingleTxtG"/>
              <w:ind w:left="0" w:right="0"/>
              <w:jc w:val="left"/>
              <w:rPr>
                <w:lang w:val="pt-PT"/>
              </w:rPr>
            </w:pPr>
            <w:r w:rsidRPr="00D83369">
              <w:rPr>
                <w:lang w:val="pt-PT"/>
              </w:rPr>
              <w:t>M</w:t>
            </w:r>
            <w:r w:rsidR="0087589B">
              <w:rPr>
                <w:lang w:val="pt-PT"/>
              </w:rPr>
              <w:t>.</w:t>
            </w:r>
            <w:r w:rsidRPr="00D83369">
              <w:rPr>
                <w:lang w:val="pt-PT"/>
              </w:rPr>
              <w:t xml:space="preserve"> R</w:t>
            </w:r>
            <w:r w:rsidR="0087589B">
              <w:rPr>
                <w:lang w:val="pt-PT"/>
              </w:rPr>
              <w:t>.</w:t>
            </w:r>
            <w:r w:rsidRPr="00D83369">
              <w:rPr>
                <w:lang w:val="pt-PT"/>
              </w:rPr>
              <w:t xml:space="preserve"> S</w:t>
            </w:r>
            <w:r w:rsidR="0087589B">
              <w:rPr>
                <w:lang w:val="pt-PT"/>
              </w:rPr>
              <w:t>.</w:t>
            </w:r>
            <w:r w:rsidRPr="00D83369">
              <w:rPr>
                <w:lang w:val="pt-PT"/>
              </w:rPr>
              <w:t xml:space="preserve"> </w:t>
            </w:r>
            <w:r w:rsidR="00D14549" w:rsidRPr="00D83369">
              <w:rPr>
                <w:lang w:val="pt-PT"/>
              </w:rPr>
              <w:t>(</w:t>
            </w:r>
            <w:r w:rsidRPr="00D83369">
              <w:rPr>
                <w:spacing w:val="-2"/>
                <w:lang w:val="pt-PT"/>
              </w:rPr>
              <w:t>representado</w:t>
            </w:r>
            <w:r w:rsidR="00B1630B" w:rsidRPr="00D83369">
              <w:rPr>
                <w:spacing w:val="-2"/>
                <w:lang w:val="pt-PT"/>
              </w:rPr>
              <w:t xml:space="preserve"> por </w:t>
            </w:r>
            <w:r w:rsidRPr="00D83369">
              <w:rPr>
                <w:spacing w:val="-2"/>
                <w:lang w:val="pt-PT"/>
              </w:rPr>
              <w:t>abogado</w:t>
            </w:r>
            <w:r w:rsidR="00D14549" w:rsidRPr="00D83369">
              <w:rPr>
                <w:lang w:val="pt-PT"/>
              </w:rPr>
              <w:t>)</w:t>
            </w:r>
          </w:p>
        </w:tc>
      </w:tr>
      <w:tr w:rsidR="0036554A" w:rsidRPr="0036554A" w14:paraId="3D8C20BD" w14:textId="77777777" w:rsidTr="00581E59">
        <w:tc>
          <w:tcPr>
            <w:tcW w:w="3544" w:type="dxa"/>
          </w:tcPr>
          <w:p w14:paraId="7ACE5D4D" w14:textId="77777777" w:rsidR="006A31AE" w:rsidRPr="0036554A" w:rsidRDefault="0013341D" w:rsidP="005553FD">
            <w:pPr>
              <w:pStyle w:val="SingleTxtG"/>
              <w:ind w:left="0" w:right="0"/>
              <w:jc w:val="left"/>
              <w:rPr>
                <w:i/>
                <w:lang w:val="es-ES"/>
              </w:rPr>
            </w:pPr>
            <w:r w:rsidRPr="0036554A">
              <w:rPr>
                <w:i/>
                <w:iCs/>
                <w:lang w:val="es-ES_tradnl"/>
              </w:rPr>
              <w:t>Presunta víctima</w:t>
            </w:r>
            <w:r w:rsidR="006A31AE" w:rsidRPr="0036554A">
              <w:rPr>
                <w:i/>
                <w:lang w:val="es-ES"/>
              </w:rPr>
              <w:t>:</w:t>
            </w:r>
          </w:p>
        </w:tc>
        <w:tc>
          <w:tcPr>
            <w:tcW w:w="3260" w:type="dxa"/>
          </w:tcPr>
          <w:p w14:paraId="59DE3B0C" w14:textId="109D3C78" w:rsidR="006A31AE" w:rsidRPr="0036554A" w:rsidRDefault="007360B3" w:rsidP="005553FD">
            <w:pPr>
              <w:pStyle w:val="SingleTxtG"/>
              <w:ind w:left="0" w:right="0"/>
              <w:jc w:val="left"/>
              <w:rPr>
                <w:lang w:val="es-ES"/>
              </w:rPr>
            </w:pPr>
            <w:r>
              <w:rPr>
                <w:lang w:val="es-ES"/>
              </w:rPr>
              <w:t>El autor</w:t>
            </w:r>
          </w:p>
        </w:tc>
      </w:tr>
      <w:tr w:rsidR="0036554A" w:rsidRPr="0036554A" w14:paraId="536ABCD2" w14:textId="77777777" w:rsidTr="00581E59">
        <w:tc>
          <w:tcPr>
            <w:tcW w:w="3544" w:type="dxa"/>
          </w:tcPr>
          <w:p w14:paraId="43D0C348" w14:textId="77777777"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3260" w:type="dxa"/>
          </w:tcPr>
          <w:p w14:paraId="3AE08C14" w14:textId="77777777" w:rsidR="006A31AE" w:rsidRPr="0036554A" w:rsidRDefault="00B1630B" w:rsidP="005553FD">
            <w:pPr>
              <w:pStyle w:val="SingleTxtG"/>
              <w:ind w:left="0" w:right="0"/>
              <w:jc w:val="left"/>
              <w:rPr>
                <w:lang w:val="es-ES"/>
              </w:rPr>
            </w:pPr>
            <w:r w:rsidRPr="0036554A">
              <w:rPr>
                <w:lang w:val="es-ES_tradnl"/>
              </w:rPr>
              <w:t>España</w:t>
            </w:r>
          </w:p>
        </w:tc>
      </w:tr>
      <w:tr w:rsidR="0036554A" w:rsidRPr="0036554A" w14:paraId="31B52203" w14:textId="77777777" w:rsidTr="00581E59">
        <w:tc>
          <w:tcPr>
            <w:tcW w:w="3544" w:type="dxa"/>
          </w:tcPr>
          <w:p w14:paraId="40DAB129" w14:textId="77777777"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3260" w:type="dxa"/>
          </w:tcPr>
          <w:p w14:paraId="20CB48D0" w14:textId="616F6BE1" w:rsidR="006A31AE" w:rsidRPr="0036554A" w:rsidRDefault="00BF0FC0" w:rsidP="005553FD">
            <w:pPr>
              <w:spacing w:after="120"/>
              <w:rPr>
                <w:lang w:val="es-ES"/>
              </w:rPr>
            </w:pPr>
            <w:r>
              <w:rPr>
                <w:lang w:val="es-ES"/>
              </w:rPr>
              <w:t>26 de abril de 2016</w:t>
            </w:r>
          </w:p>
        </w:tc>
      </w:tr>
      <w:tr w:rsidR="0036554A" w:rsidRPr="00F96E49" w14:paraId="24C4F7CB" w14:textId="77777777" w:rsidTr="00581E59">
        <w:tc>
          <w:tcPr>
            <w:tcW w:w="3544" w:type="dxa"/>
          </w:tcPr>
          <w:p w14:paraId="0CE6ADC0" w14:textId="77777777" w:rsidR="006A31AE" w:rsidRPr="0036554A" w:rsidRDefault="00756097" w:rsidP="005553FD">
            <w:pPr>
              <w:pStyle w:val="SingleTxtG"/>
              <w:ind w:left="0" w:right="0"/>
              <w:jc w:val="left"/>
              <w:rPr>
                <w:i/>
                <w:lang w:val="es-ES"/>
              </w:rPr>
            </w:pPr>
            <w:r w:rsidRPr="0036554A">
              <w:rPr>
                <w:i/>
                <w:lang w:val="es-ES"/>
              </w:rPr>
              <w:t>Referencias</w:t>
            </w:r>
            <w:r w:rsidR="006A31AE" w:rsidRPr="0036554A">
              <w:rPr>
                <w:i/>
                <w:lang w:val="es-ES"/>
              </w:rPr>
              <w:t>:</w:t>
            </w:r>
          </w:p>
        </w:tc>
        <w:tc>
          <w:tcPr>
            <w:tcW w:w="3260" w:type="dxa"/>
          </w:tcPr>
          <w:p w14:paraId="08A45E5E" w14:textId="2B49F563" w:rsidR="006A31AE" w:rsidRPr="0036554A" w:rsidRDefault="00EC5141" w:rsidP="00BF0FC0">
            <w:pPr>
              <w:pStyle w:val="SingleTxtG"/>
              <w:ind w:left="0" w:right="0"/>
              <w:rPr>
                <w:lang w:val="es-ES"/>
              </w:rPr>
            </w:pPr>
            <w:r w:rsidRPr="0036554A">
              <w:rPr>
                <w:lang w:val="es-ES"/>
              </w:rPr>
              <w:t xml:space="preserve">Decisión </w:t>
            </w:r>
            <w:r w:rsidRPr="00695280">
              <w:rPr>
                <w:lang w:val="es-ES"/>
              </w:rPr>
              <w:t xml:space="preserve">del Relator Especial </w:t>
            </w:r>
            <w:r w:rsidRPr="0036554A">
              <w:rPr>
                <w:lang w:val="es-ES"/>
              </w:rPr>
              <w:t xml:space="preserve">con arreglo al artículo </w:t>
            </w:r>
            <w:r w:rsidR="00A70FFB" w:rsidRPr="0036554A">
              <w:rPr>
                <w:lang w:val="es-ES"/>
              </w:rPr>
              <w:t>9</w:t>
            </w:r>
            <w:r w:rsidR="00A70FFB">
              <w:rPr>
                <w:lang w:val="es-ES"/>
              </w:rPr>
              <w:t>2</w:t>
            </w:r>
            <w:r w:rsidR="00A70FFB" w:rsidRPr="0036554A">
              <w:rPr>
                <w:lang w:val="es-ES"/>
              </w:rPr>
              <w:t xml:space="preserve"> </w:t>
            </w:r>
            <w:r w:rsidRPr="0036554A">
              <w:rPr>
                <w:lang w:val="es-ES"/>
              </w:rPr>
              <w:t>del reglamento, transmitida al Estado parte el</w:t>
            </w:r>
            <w:r w:rsidR="0036554A">
              <w:rPr>
                <w:lang w:val="es-ES"/>
              </w:rPr>
              <w:t xml:space="preserve"> </w:t>
            </w:r>
            <w:r w:rsidR="00BF0FC0">
              <w:rPr>
                <w:lang w:val="es-ES"/>
              </w:rPr>
              <w:t>7 de diciembre de 2016</w:t>
            </w:r>
            <w:r w:rsidR="00E03BB2" w:rsidRPr="0036554A">
              <w:rPr>
                <w:lang w:val="es-ES"/>
              </w:rPr>
              <w:t xml:space="preserve"> </w:t>
            </w:r>
            <w:r w:rsidRPr="0036554A">
              <w:rPr>
                <w:lang w:val="es-ES"/>
              </w:rPr>
              <w:t>(no se publicó como documento)</w:t>
            </w:r>
          </w:p>
        </w:tc>
      </w:tr>
      <w:tr w:rsidR="0036554A" w:rsidRPr="0036554A" w14:paraId="51990FD3" w14:textId="77777777" w:rsidTr="00581E59">
        <w:tc>
          <w:tcPr>
            <w:tcW w:w="3544" w:type="dxa"/>
          </w:tcPr>
          <w:p w14:paraId="3362F0B4" w14:textId="77777777" w:rsidR="006A31AE" w:rsidRPr="00901DE1" w:rsidRDefault="00512402" w:rsidP="005553FD">
            <w:pPr>
              <w:pStyle w:val="SingleTxtG"/>
              <w:ind w:left="0" w:right="0"/>
              <w:jc w:val="left"/>
              <w:rPr>
                <w:i/>
                <w:lang w:val="es-ES"/>
              </w:rPr>
            </w:pPr>
            <w:r w:rsidRPr="00280BCD">
              <w:rPr>
                <w:i/>
                <w:iCs/>
                <w:lang w:val="es-ES_tradnl"/>
              </w:rPr>
              <w:t>Fecha de adopción</w:t>
            </w:r>
            <w:r w:rsidRPr="007B1BCB">
              <w:rPr>
                <w:i/>
                <w:iCs/>
                <w:lang w:val="es-ES_tradnl"/>
              </w:rPr>
              <w:t xml:space="preserve"> </w:t>
            </w:r>
            <w:r w:rsidRPr="00901DE1">
              <w:rPr>
                <w:i/>
                <w:iCs/>
                <w:lang w:val="es-ES_tradnl"/>
              </w:rPr>
              <w:t>de la decisión</w:t>
            </w:r>
            <w:r w:rsidR="006A31AE" w:rsidRPr="00901DE1">
              <w:rPr>
                <w:i/>
                <w:lang w:val="es-ES"/>
              </w:rPr>
              <w:t>:</w:t>
            </w:r>
          </w:p>
        </w:tc>
        <w:tc>
          <w:tcPr>
            <w:tcW w:w="3260" w:type="dxa"/>
            <w:vAlign w:val="bottom"/>
          </w:tcPr>
          <w:p w14:paraId="75B8E794" w14:textId="70EA7C55" w:rsidR="006A31AE" w:rsidRPr="00944E7A" w:rsidRDefault="00662526" w:rsidP="00140769">
            <w:pPr>
              <w:pStyle w:val="SingleTxtG"/>
              <w:ind w:left="0" w:right="0"/>
              <w:jc w:val="left"/>
              <w:rPr>
                <w:lang w:val="es-ES"/>
              </w:rPr>
            </w:pPr>
            <w:r>
              <w:rPr>
                <w:lang w:val="es-ES"/>
              </w:rPr>
              <w:t xml:space="preserve">23 </w:t>
            </w:r>
            <w:r w:rsidR="00944E7A">
              <w:rPr>
                <w:lang w:val="es-ES"/>
              </w:rPr>
              <w:t xml:space="preserve">de </w:t>
            </w:r>
            <w:r w:rsidR="00DB26F4">
              <w:rPr>
                <w:lang w:val="es-ES"/>
              </w:rPr>
              <w:t>julio</w:t>
            </w:r>
            <w:r w:rsidR="00944E7A">
              <w:rPr>
                <w:lang w:val="es-ES"/>
              </w:rPr>
              <w:t xml:space="preserve"> de </w:t>
            </w:r>
            <w:r w:rsidR="00140769">
              <w:rPr>
                <w:lang w:val="es-ES"/>
              </w:rPr>
              <w:t>2020</w:t>
            </w:r>
          </w:p>
        </w:tc>
      </w:tr>
      <w:tr w:rsidR="0036554A" w:rsidRPr="00F96E49" w14:paraId="19FCA99A" w14:textId="77777777" w:rsidTr="00581E59">
        <w:tc>
          <w:tcPr>
            <w:tcW w:w="3544" w:type="dxa"/>
          </w:tcPr>
          <w:p w14:paraId="7801039D" w14:textId="77777777" w:rsidR="006A31AE" w:rsidRPr="0036554A" w:rsidRDefault="00512402" w:rsidP="005553FD">
            <w:pPr>
              <w:pStyle w:val="SingleTxtG"/>
              <w:ind w:left="0" w:right="0"/>
              <w:jc w:val="left"/>
              <w:rPr>
                <w:i/>
                <w:lang w:val="es-ES"/>
              </w:rPr>
            </w:pPr>
            <w:r w:rsidRPr="0036554A">
              <w:rPr>
                <w:i/>
                <w:iCs/>
                <w:lang w:val="es-ES"/>
              </w:rPr>
              <w:t>Asunto</w:t>
            </w:r>
            <w:r w:rsidR="006A31AE" w:rsidRPr="0036554A">
              <w:rPr>
                <w:i/>
                <w:iCs/>
                <w:lang w:val="es-ES"/>
              </w:rPr>
              <w:t>:</w:t>
            </w:r>
          </w:p>
        </w:tc>
        <w:tc>
          <w:tcPr>
            <w:tcW w:w="3260" w:type="dxa"/>
          </w:tcPr>
          <w:p w14:paraId="59F4A8CD" w14:textId="77777777" w:rsidR="006A31AE" w:rsidRPr="0036554A" w:rsidRDefault="00DB26F4" w:rsidP="00DB26F4">
            <w:pPr>
              <w:spacing w:after="120"/>
              <w:jc w:val="both"/>
              <w:rPr>
                <w:lang w:val="es-ES"/>
              </w:rPr>
            </w:pPr>
            <w:r>
              <w:rPr>
                <w:lang w:val="es-ES"/>
              </w:rPr>
              <w:t>Derecho a la presunción de inocencia, al debido proceso y a una segunda instancia</w:t>
            </w:r>
          </w:p>
        </w:tc>
      </w:tr>
      <w:tr w:rsidR="0036554A" w:rsidRPr="00F96E49" w14:paraId="416AA887" w14:textId="77777777" w:rsidTr="00581E59">
        <w:tc>
          <w:tcPr>
            <w:tcW w:w="3544" w:type="dxa"/>
          </w:tcPr>
          <w:p w14:paraId="0D03265B" w14:textId="77777777"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36554A">
              <w:rPr>
                <w:i/>
                <w:lang w:val="es-ES"/>
              </w:rPr>
              <w:t>:</w:t>
            </w:r>
          </w:p>
        </w:tc>
        <w:tc>
          <w:tcPr>
            <w:tcW w:w="3260" w:type="dxa"/>
          </w:tcPr>
          <w:p w14:paraId="4CE32762" w14:textId="0B000BC4" w:rsidR="006A31AE" w:rsidRPr="00944E7A" w:rsidRDefault="00981689" w:rsidP="00140769">
            <w:pPr>
              <w:pStyle w:val="SingleTxtG"/>
              <w:ind w:left="0" w:right="0"/>
              <w:rPr>
                <w:lang w:val="es-ES_tradnl"/>
              </w:rPr>
            </w:pPr>
            <w:r w:rsidRPr="0036554A">
              <w:rPr>
                <w:lang w:val="es-ES_tradnl"/>
              </w:rPr>
              <w:t>A</w:t>
            </w:r>
            <w:r w:rsidR="00DB26F4">
              <w:rPr>
                <w:lang w:val="es-ES_tradnl"/>
              </w:rPr>
              <w:t>gotami</w:t>
            </w:r>
            <w:r w:rsidR="00140769">
              <w:rPr>
                <w:lang w:val="es-ES_tradnl"/>
              </w:rPr>
              <w:t>ento de los recursos internos, falta de sustanciación de las alegaciones</w:t>
            </w:r>
            <w:r w:rsidRPr="00944E7A">
              <w:rPr>
                <w:lang w:val="es-ES_tradnl"/>
              </w:rPr>
              <w:t xml:space="preserve"> </w:t>
            </w:r>
          </w:p>
        </w:tc>
      </w:tr>
      <w:tr w:rsidR="0036554A" w:rsidRPr="00F96E49" w14:paraId="72F83991" w14:textId="77777777" w:rsidTr="00581E59">
        <w:tc>
          <w:tcPr>
            <w:tcW w:w="3544" w:type="dxa"/>
          </w:tcPr>
          <w:p w14:paraId="33D01949" w14:textId="77777777" w:rsidR="006A31AE" w:rsidRPr="0036554A" w:rsidRDefault="00512402" w:rsidP="005553FD">
            <w:pPr>
              <w:pStyle w:val="SingleTxtG"/>
              <w:keepNext/>
              <w:ind w:left="0" w:right="0"/>
              <w:jc w:val="left"/>
              <w:rPr>
                <w:i/>
                <w:iCs/>
                <w:lang w:val="es-ES"/>
              </w:rPr>
            </w:pPr>
            <w:r w:rsidRPr="0036554A">
              <w:rPr>
                <w:i/>
                <w:iCs/>
                <w:lang w:val="es-ES"/>
              </w:rPr>
              <w:t>Cuestiones de fondo</w:t>
            </w:r>
            <w:r w:rsidR="006A31AE" w:rsidRPr="0036554A">
              <w:rPr>
                <w:i/>
                <w:iCs/>
                <w:lang w:val="es-ES"/>
              </w:rPr>
              <w:t>:</w:t>
            </w:r>
          </w:p>
        </w:tc>
        <w:tc>
          <w:tcPr>
            <w:tcW w:w="3260" w:type="dxa"/>
          </w:tcPr>
          <w:p w14:paraId="5166E1FB" w14:textId="08E13C56" w:rsidR="00531538" w:rsidRPr="00320EA2" w:rsidRDefault="00DB26F4" w:rsidP="00531538">
            <w:pPr>
              <w:keepNext/>
              <w:spacing w:after="120"/>
              <w:jc w:val="both"/>
              <w:rPr>
                <w:lang w:val="es-ES_tradnl"/>
              </w:rPr>
            </w:pPr>
            <w:r w:rsidRPr="00320EA2">
              <w:rPr>
                <w:lang w:val="es-ES_tradnl"/>
              </w:rPr>
              <w:t xml:space="preserve">Derecho </w:t>
            </w:r>
            <w:r w:rsidR="00E01351" w:rsidRPr="00320EA2">
              <w:rPr>
                <w:lang w:val="es-ES_tradnl"/>
              </w:rPr>
              <w:t xml:space="preserve">de </w:t>
            </w:r>
            <w:r w:rsidR="00241D18" w:rsidRPr="00320EA2">
              <w:rPr>
                <w:lang w:val="es-ES_tradnl"/>
              </w:rPr>
              <w:t>revisión</w:t>
            </w:r>
            <w:r w:rsidRPr="00320EA2">
              <w:rPr>
                <w:lang w:val="es-ES_tradnl"/>
              </w:rPr>
              <w:t>, derecho</w:t>
            </w:r>
            <w:r w:rsidR="001317C8" w:rsidRPr="00320EA2">
              <w:rPr>
                <w:lang w:val="es-ES_tradnl"/>
              </w:rPr>
              <w:t xml:space="preserve"> a</w:t>
            </w:r>
            <w:r w:rsidRPr="00320EA2">
              <w:rPr>
                <w:lang w:val="es-ES_tradnl"/>
              </w:rPr>
              <w:t xml:space="preserve"> la presunción de inocencia, </w:t>
            </w:r>
            <w:r w:rsidR="00241D18" w:rsidRPr="00320EA2">
              <w:rPr>
                <w:lang w:val="es-ES_tradnl"/>
              </w:rPr>
              <w:t>debido proceso</w:t>
            </w:r>
            <w:r w:rsidRPr="00320EA2">
              <w:rPr>
                <w:lang w:val="es-ES_tradnl"/>
              </w:rPr>
              <w:t xml:space="preserve">, derecho </w:t>
            </w:r>
            <w:r w:rsidR="00E01351" w:rsidRPr="00320EA2">
              <w:rPr>
                <w:lang w:val="es-ES_tradnl"/>
              </w:rPr>
              <w:t>a un tribunal competente, independiente e imparcial</w:t>
            </w:r>
          </w:p>
        </w:tc>
      </w:tr>
      <w:tr w:rsidR="0036554A" w:rsidRPr="0036554A" w14:paraId="1AAC1EBA" w14:textId="77777777" w:rsidTr="00581E59">
        <w:tc>
          <w:tcPr>
            <w:tcW w:w="3544" w:type="dxa"/>
          </w:tcPr>
          <w:p w14:paraId="37C55248" w14:textId="1BD02191" w:rsidR="006A31AE" w:rsidRPr="0036554A" w:rsidRDefault="00512402" w:rsidP="005553FD">
            <w:pPr>
              <w:pStyle w:val="SingleTxtG"/>
              <w:ind w:left="0" w:right="0"/>
              <w:jc w:val="left"/>
              <w:rPr>
                <w:i/>
                <w:iCs/>
                <w:lang w:val="es-ES"/>
              </w:rPr>
            </w:pPr>
            <w:r w:rsidRPr="0036554A">
              <w:rPr>
                <w:i/>
                <w:iCs/>
                <w:lang w:val="es-ES_tradnl"/>
              </w:rPr>
              <w:t>Artículo del Pacto</w:t>
            </w:r>
            <w:r w:rsidR="006A31AE" w:rsidRPr="0036554A">
              <w:rPr>
                <w:i/>
                <w:lang w:val="es-ES"/>
              </w:rPr>
              <w:t>:</w:t>
            </w:r>
          </w:p>
        </w:tc>
        <w:tc>
          <w:tcPr>
            <w:tcW w:w="3260" w:type="dxa"/>
          </w:tcPr>
          <w:p w14:paraId="27F26F7F" w14:textId="35718661" w:rsidR="006A31AE" w:rsidRPr="00320EA2" w:rsidRDefault="00320EA2" w:rsidP="00320EA2">
            <w:pPr>
              <w:pStyle w:val="SingleTxtG"/>
              <w:ind w:left="0" w:right="0"/>
              <w:jc w:val="left"/>
              <w:rPr>
                <w:lang w:val="es-ES"/>
              </w:rPr>
            </w:pPr>
            <w:r w:rsidRPr="00320EA2">
              <w:rPr>
                <w:lang w:val="es-ES"/>
              </w:rPr>
              <w:t>14</w:t>
            </w:r>
            <w:r w:rsidR="00AC18FF">
              <w:rPr>
                <w:lang w:val="es-ES"/>
              </w:rPr>
              <w:t xml:space="preserve">, </w:t>
            </w:r>
            <w:proofErr w:type="spellStart"/>
            <w:r w:rsidR="00AC18FF">
              <w:rPr>
                <w:lang w:val="es-ES"/>
              </w:rPr>
              <w:t>párrs</w:t>
            </w:r>
            <w:proofErr w:type="spellEnd"/>
            <w:r w:rsidR="00AC18FF">
              <w:rPr>
                <w:lang w:val="es-ES"/>
              </w:rPr>
              <w:t>.</w:t>
            </w:r>
            <w:r w:rsidRPr="00320EA2">
              <w:rPr>
                <w:lang w:val="es-ES"/>
              </w:rPr>
              <w:t xml:space="preserve"> 1</w:t>
            </w:r>
            <w:r w:rsidR="00D44371">
              <w:rPr>
                <w:lang w:val="es-ES"/>
              </w:rPr>
              <w:t>, 3</w:t>
            </w:r>
            <w:r w:rsidR="00AC18FF">
              <w:rPr>
                <w:lang w:val="es-ES"/>
              </w:rPr>
              <w:t>, apdo</w:t>
            </w:r>
            <w:r w:rsidR="00735D7C">
              <w:rPr>
                <w:lang w:val="es-ES"/>
              </w:rPr>
              <w:t>.</w:t>
            </w:r>
            <w:r w:rsidR="00D44371">
              <w:rPr>
                <w:lang w:val="es-ES"/>
              </w:rPr>
              <w:t xml:space="preserve"> b)</w:t>
            </w:r>
            <w:r w:rsidR="00AC18FF">
              <w:rPr>
                <w:lang w:val="es-ES"/>
              </w:rPr>
              <w:t>,</w:t>
            </w:r>
            <w:r>
              <w:rPr>
                <w:lang w:val="es-ES"/>
              </w:rPr>
              <w:t xml:space="preserve"> y 5</w:t>
            </w:r>
          </w:p>
        </w:tc>
      </w:tr>
      <w:tr w:rsidR="0036554A" w:rsidRPr="009C7ACE" w14:paraId="73728842" w14:textId="77777777" w:rsidTr="00581E59">
        <w:tc>
          <w:tcPr>
            <w:tcW w:w="3544" w:type="dxa"/>
          </w:tcPr>
          <w:p w14:paraId="582372E7" w14:textId="77777777" w:rsidR="006A31AE" w:rsidRPr="0036554A" w:rsidRDefault="00F907E8" w:rsidP="005553FD">
            <w:pPr>
              <w:pStyle w:val="SingleTxtG"/>
              <w:ind w:left="0" w:right="0"/>
              <w:jc w:val="left"/>
              <w:rPr>
                <w:i/>
                <w:iCs/>
                <w:lang w:val="es-ES"/>
              </w:rPr>
            </w:pPr>
            <w:r w:rsidRPr="0036554A">
              <w:rPr>
                <w:i/>
                <w:iCs/>
                <w:lang w:val="es-ES_tradnl"/>
              </w:rPr>
              <w:t>Artículos del Protocolo Facultativo</w:t>
            </w:r>
            <w:r w:rsidR="006A31AE" w:rsidRPr="0036554A">
              <w:rPr>
                <w:i/>
                <w:iCs/>
                <w:lang w:val="es-ES"/>
              </w:rPr>
              <w:t>:</w:t>
            </w:r>
          </w:p>
        </w:tc>
        <w:tc>
          <w:tcPr>
            <w:tcW w:w="3260" w:type="dxa"/>
          </w:tcPr>
          <w:p w14:paraId="62FBDDA2" w14:textId="421E730D" w:rsidR="006A31AE" w:rsidRPr="00320EA2" w:rsidRDefault="00320EA2" w:rsidP="00320EA2">
            <w:pPr>
              <w:pStyle w:val="SingleTxtG"/>
              <w:ind w:left="0" w:right="0"/>
              <w:jc w:val="left"/>
              <w:rPr>
                <w:lang w:val="es-ES"/>
              </w:rPr>
            </w:pPr>
            <w:r w:rsidRPr="00320EA2">
              <w:rPr>
                <w:lang w:val="es-ES"/>
              </w:rPr>
              <w:t>2 y 3</w:t>
            </w:r>
          </w:p>
        </w:tc>
      </w:tr>
    </w:tbl>
    <w:p w14:paraId="02F8F964" w14:textId="065F084E" w:rsidR="00601A2C" w:rsidRPr="00F45532" w:rsidRDefault="003175D8">
      <w:pPr>
        <w:pStyle w:val="SingleTxtG"/>
        <w:spacing w:before="240" w:after="100" w:line="240" w:lineRule="auto"/>
        <w:contextualSpacing/>
        <w:rPr>
          <w:lang w:val="es-ES_tradnl"/>
        </w:rPr>
      </w:pPr>
      <w:r>
        <w:rPr>
          <w:lang w:val="es-ES_tradnl"/>
        </w:rPr>
        <w:t>1.</w:t>
      </w:r>
      <w:r w:rsidR="000D4140" w:rsidRPr="00F45532">
        <w:rPr>
          <w:lang w:val="es-ES_tradnl"/>
        </w:rPr>
        <w:tab/>
      </w:r>
      <w:r w:rsidR="000A77EB" w:rsidRPr="000A77EB">
        <w:rPr>
          <w:lang w:val="es-ES_tradnl"/>
        </w:rPr>
        <w:t>El autor de la comunicación es M</w:t>
      </w:r>
      <w:r w:rsidR="00C80E85">
        <w:rPr>
          <w:lang w:val="es-ES_tradnl"/>
        </w:rPr>
        <w:t>.</w:t>
      </w:r>
      <w:r w:rsidR="000A77EB" w:rsidRPr="000A77EB">
        <w:rPr>
          <w:lang w:val="es-ES_tradnl"/>
        </w:rPr>
        <w:t xml:space="preserve"> R</w:t>
      </w:r>
      <w:r w:rsidR="00C80E85">
        <w:rPr>
          <w:lang w:val="es-ES_tradnl"/>
        </w:rPr>
        <w:t>.</w:t>
      </w:r>
      <w:r w:rsidR="000A77EB" w:rsidRPr="000A77EB">
        <w:rPr>
          <w:lang w:val="es-ES_tradnl"/>
        </w:rPr>
        <w:t xml:space="preserve"> S</w:t>
      </w:r>
      <w:r w:rsidR="00C80E85">
        <w:rPr>
          <w:lang w:val="es-ES_tradnl"/>
        </w:rPr>
        <w:t>.</w:t>
      </w:r>
      <w:r w:rsidR="000A77EB" w:rsidRPr="000A77EB">
        <w:rPr>
          <w:lang w:val="es-ES_tradnl"/>
        </w:rPr>
        <w:t>, nacional marroquí, nacido el 10 de agosto de 1983. El autor afirma ser víctima de violaciones de sus derechos contenidos en el art</w:t>
      </w:r>
      <w:r w:rsidR="00B34FFA">
        <w:rPr>
          <w:lang w:val="es-ES_tradnl"/>
        </w:rPr>
        <w:t>ículo</w:t>
      </w:r>
      <w:r w:rsidR="000A77EB" w:rsidRPr="000A77EB">
        <w:rPr>
          <w:lang w:val="es-ES_tradnl"/>
        </w:rPr>
        <w:t xml:space="preserve"> 14 del Pacto Internacional de derechos Civiles y Políticos. El autor está representado por abogado.</w:t>
      </w:r>
      <w:r w:rsidR="006C1080" w:rsidRPr="00F45532">
        <w:rPr>
          <w:lang w:val="es-ES_tradnl"/>
        </w:rPr>
        <w:t xml:space="preserve"> El Protocolo Facultativo entró en vigor para el Estado parte el 25 de </w:t>
      </w:r>
      <w:r w:rsidR="00004D5C" w:rsidRPr="00F45532">
        <w:rPr>
          <w:lang w:val="es-ES_tradnl"/>
        </w:rPr>
        <w:t xml:space="preserve">abril </w:t>
      </w:r>
      <w:r w:rsidR="006C1080" w:rsidRPr="00F45532">
        <w:rPr>
          <w:lang w:val="es-ES_tradnl"/>
        </w:rPr>
        <w:t>de 1985.</w:t>
      </w:r>
    </w:p>
    <w:p w14:paraId="7CC6E188" w14:textId="0E530F73" w:rsidR="002218BD" w:rsidRPr="00960AAC" w:rsidRDefault="00A03082" w:rsidP="00236D2B">
      <w:pPr>
        <w:pStyle w:val="H23G"/>
        <w:rPr>
          <w:rFonts w:eastAsia="Calibri"/>
          <w:lang w:val="es-ES"/>
        </w:rPr>
      </w:pPr>
      <w:r>
        <w:rPr>
          <w:lang w:val="es-ES"/>
        </w:rPr>
        <w:lastRenderedPageBreak/>
        <w:tab/>
      </w:r>
      <w:r>
        <w:rPr>
          <w:lang w:val="es-ES"/>
        </w:rPr>
        <w:tab/>
      </w:r>
      <w:r w:rsidR="00665E03" w:rsidRPr="00F45532">
        <w:rPr>
          <w:lang w:val="es-ES"/>
        </w:rPr>
        <w:t xml:space="preserve">Los hechos expuestos por </w:t>
      </w:r>
      <w:r w:rsidR="000A77EB">
        <w:rPr>
          <w:lang w:val="es-ES"/>
        </w:rPr>
        <w:t>el autor</w:t>
      </w:r>
    </w:p>
    <w:p w14:paraId="4A94829C" w14:textId="1C1F5CE6" w:rsidR="00CA28C1" w:rsidRPr="00CA28C1" w:rsidRDefault="008A77CD" w:rsidP="00061ED6">
      <w:pPr>
        <w:pStyle w:val="SingleTxtG"/>
        <w:rPr>
          <w:lang w:val="es-ES"/>
        </w:rPr>
      </w:pPr>
      <w:r>
        <w:rPr>
          <w:lang w:val="es-ES"/>
        </w:rPr>
        <w:t>2.1</w:t>
      </w:r>
      <w:r>
        <w:rPr>
          <w:lang w:val="es-ES"/>
        </w:rPr>
        <w:tab/>
      </w:r>
      <w:r w:rsidR="00CA28C1" w:rsidRPr="00CA28C1">
        <w:rPr>
          <w:lang w:val="es-ES"/>
        </w:rPr>
        <w:t>El 8 de enero de 2014</w:t>
      </w:r>
      <w:r w:rsidR="00FD69D3">
        <w:rPr>
          <w:lang w:val="es-ES"/>
        </w:rPr>
        <w:t>, el autor</w:t>
      </w:r>
      <w:r w:rsidR="00CA28C1" w:rsidRPr="00CA28C1">
        <w:rPr>
          <w:lang w:val="es-ES"/>
        </w:rPr>
        <w:t xml:space="preserve"> fue detenido por la </w:t>
      </w:r>
      <w:r w:rsidR="00D425B6">
        <w:rPr>
          <w:lang w:val="es-ES"/>
        </w:rPr>
        <w:t>p</w:t>
      </w:r>
      <w:r w:rsidR="00CA28C1" w:rsidRPr="00CA28C1">
        <w:rPr>
          <w:lang w:val="es-ES"/>
        </w:rPr>
        <w:t>olicía de forma viole</w:t>
      </w:r>
      <w:r w:rsidR="00061ED6">
        <w:rPr>
          <w:lang w:val="es-ES"/>
        </w:rPr>
        <w:t xml:space="preserve">nta y puesto a disposición del </w:t>
      </w:r>
      <w:r w:rsidR="00CA28C1" w:rsidRPr="00CA28C1">
        <w:rPr>
          <w:lang w:val="es-ES"/>
        </w:rPr>
        <w:t xml:space="preserve">Juzgado de Instrucción </w:t>
      </w:r>
      <w:r w:rsidR="00D425B6">
        <w:rPr>
          <w:lang w:val="es-ES"/>
        </w:rPr>
        <w:t>n</w:t>
      </w:r>
      <w:r w:rsidR="00847CDC">
        <w:rPr>
          <w:lang w:val="es-ES"/>
        </w:rPr>
        <w:t>úm</w:t>
      </w:r>
      <w:r w:rsidR="00CA28C1" w:rsidRPr="00CA28C1">
        <w:rPr>
          <w:lang w:val="es-ES"/>
        </w:rPr>
        <w:t>. 1 de Jaén por haber cometido siete delitos de robo</w:t>
      </w:r>
      <w:r w:rsidR="008937EB">
        <w:rPr>
          <w:lang w:val="es-ES"/>
        </w:rPr>
        <w:t xml:space="preserve"> con violencia e intimidación</w:t>
      </w:r>
      <w:r w:rsidR="00CA28C1" w:rsidRPr="00CA28C1">
        <w:rPr>
          <w:lang w:val="es-ES"/>
        </w:rPr>
        <w:t xml:space="preserve"> entre diciembre de 2013 y enero de 2014 (robos </w:t>
      </w:r>
      <w:r w:rsidR="00C860D9" w:rsidRPr="00CA28C1">
        <w:rPr>
          <w:lang w:val="es-ES"/>
        </w:rPr>
        <w:t xml:space="preserve">con violencia </w:t>
      </w:r>
      <w:r w:rsidR="00CA28C1" w:rsidRPr="00CA28C1">
        <w:rPr>
          <w:lang w:val="es-ES"/>
        </w:rPr>
        <w:t>de pequeñas sumas de di</w:t>
      </w:r>
      <w:r w:rsidR="00C860D9">
        <w:rPr>
          <w:lang w:val="es-ES"/>
        </w:rPr>
        <w:t xml:space="preserve">nero </w:t>
      </w:r>
      <w:r w:rsidR="00D425B6">
        <w:rPr>
          <w:lang w:val="es-ES"/>
        </w:rPr>
        <w:t xml:space="preserve">de entre </w:t>
      </w:r>
      <w:r w:rsidR="00C860D9">
        <w:rPr>
          <w:lang w:val="es-ES"/>
        </w:rPr>
        <w:t>22</w:t>
      </w:r>
      <w:r w:rsidR="00D425B6">
        <w:rPr>
          <w:lang w:val="es-ES"/>
        </w:rPr>
        <w:t xml:space="preserve"> </w:t>
      </w:r>
      <w:r w:rsidR="006E0817">
        <w:rPr>
          <w:lang w:val="es-ES"/>
        </w:rPr>
        <w:t>y</w:t>
      </w:r>
      <w:r w:rsidR="00D425B6">
        <w:rPr>
          <w:lang w:val="es-ES"/>
        </w:rPr>
        <w:t xml:space="preserve"> </w:t>
      </w:r>
      <w:r w:rsidR="00C860D9">
        <w:rPr>
          <w:lang w:val="es-ES"/>
        </w:rPr>
        <w:t>40</w:t>
      </w:r>
      <w:r w:rsidR="00D425B6">
        <w:rPr>
          <w:lang w:val="es-ES"/>
        </w:rPr>
        <w:t xml:space="preserve"> euros</w:t>
      </w:r>
      <w:r w:rsidR="00C860D9">
        <w:rPr>
          <w:lang w:val="es-ES"/>
        </w:rPr>
        <w:t xml:space="preserve"> y teléfonos móviles, e</w:t>
      </w:r>
      <w:r w:rsidR="00CA28C1" w:rsidRPr="00CA28C1">
        <w:rPr>
          <w:lang w:val="es-ES"/>
        </w:rPr>
        <w:t xml:space="preserve">n uno de los casos hiriendo a la víctima con </w:t>
      </w:r>
      <w:r w:rsidR="00506378" w:rsidRPr="00CA28C1">
        <w:rPr>
          <w:lang w:val="es-ES"/>
        </w:rPr>
        <w:t>un arma blanca</w:t>
      </w:r>
      <w:r w:rsidR="00CA28C1" w:rsidRPr="00CA28C1">
        <w:rPr>
          <w:lang w:val="es-ES"/>
        </w:rPr>
        <w:t>).</w:t>
      </w:r>
    </w:p>
    <w:p w14:paraId="3E6383A6" w14:textId="7B1EE338" w:rsidR="00CA28C1" w:rsidRPr="00CA28C1" w:rsidRDefault="00CA28C1" w:rsidP="00CA28C1">
      <w:pPr>
        <w:pStyle w:val="SingleTxtG"/>
        <w:rPr>
          <w:lang w:val="es-ES"/>
        </w:rPr>
      </w:pPr>
      <w:r w:rsidRPr="00CA28C1">
        <w:rPr>
          <w:lang w:val="es-ES"/>
        </w:rPr>
        <w:t>2.2</w:t>
      </w:r>
      <w:r w:rsidRPr="00CA28C1">
        <w:rPr>
          <w:lang w:val="es-ES"/>
        </w:rPr>
        <w:tab/>
        <w:t xml:space="preserve">El 11 de </w:t>
      </w:r>
      <w:r w:rsidR="00061ED6" w:rsidRPr="00CA28C1">
        <w:rPr>
          <w:lang w:val="es-ES"/>
        </w:rPr>
        <w:t>enero</w:t>
      </w:r>
      <w:r w:rsidRPr="00CA28C1">
        <w:rPr>
          <w:lang w:val="es-ES"/>
        </w:rPr>
        <w:t xml:space="preserve"> de 2014, un periódico local publicó una portada que daba cuenta de los hechos y que mostraba una foto del autor maniatado, siendo escoltado por un policía.</w:t>
      </w:r>
    </w:p>
    <w:p w14:paraId="3F3C4CA5" w14:textId="4DB9D7B8" w:rsidR="00CA28C1" w:rsidRDefault="00CA28C1" w:rsidP="00CA28C1">
      <w:pPr>
        <w:pStyle w:val="SingleTxtG"/>
        <w:rPr>
          <w:lang w:val="es-ES"/>
        </w:rPr>
      </w:pPr>
      <w:r w:rsidRPr="00CA28C1">
        <w:rPr>
          <w:lang w:val="es-ES"/>
        </w:rPr>
        <w:t>2.3</w:t>
      </w:r>
      <w:r w:rsidRPr="00CA28C1">
        <w:rPr>
          <w:lang w:val="es-ES"/>
        </w:rPr>
        <w:tab/>
        <w:t>El 15 de enero de 2014, el autor solicitó al Juz</w:t>
      </w:r>
      <w:r w:rsidR="00AA1BE2">
        <w:rPr>
          <w:lang w:val="es-ES"/>
        </w:rPr>
        <w:t xml:space="preserve">gado </w:t>
      </w:r>
      <w:r w:rsidR="00D425B6">
        <w:rPr>
          <w:lang w:val="es-ES"/>
        </w:rPr>
        <w:t>n</w:t>
      </w:r>
      <w:r w:rsidR="00847CDC">
        <w:rPr>
          <w:lang w:val="es-ES"/>
        </w:rPr>
        <w:t>úm</w:t>
      </w:r>
      <w:r w:rsidR="00AA1BE2">
        <w:rPr>
          <w:lang w:val="es-ES"/>
        </w:rPr>
        <w:t xml:space="preserve">. 1 </w:t>
      </w:r>
      <w:r w:rsidR="00FD69D3">
        <w:rPr>
          <w:lang w:val="es-ES"/>
        </w:rPr>
        <w:t>que ordenara</w:t>
      </w:r>
      <w:r w:rsidR="00AA1BE2">
        <w:rPr>
          <w:lang w:val="es-ES"/>
        </w:rPr>
        <w:t xml:space="preserve"> </w:t>
      </w:r>
      <w:r w:rsidR="000C052E">
        <w:rPr>
          <w:lang w:val="es-ES"/>
        </w:rPr>
        <w:t>cinco</w:t>
      </w:r>
      <w:r w:rsidR="00AA1BE2">
        <w:rPr>
          <w:lang w:val="es-ES"/>
        </w:rPr>
        <w:t xml:space="preserve"> diligencias</w:t>
      </w:r>
      <w:r w:rsidR="002D72F2">
        <w:rPr>
          <w:lang w:val="es-ES"/>
        </w:rPr>
        <w:t xml:space="preserve"> en el marco de </w:t>
      </w:r>
      <w:r w:rsidR="000C052E">
        <w:rPr>
          <w:lang w:val="es-ES"/>
        </w:rPr>
        <w:t>las diligencias previas</w:t>
      </w:r>
      <w:r w:rsidR="002D72F2">
        <w:rPr>
          <w:lang w:val="es-ES"/>
        </w:rPr>
        <w:t xml:space="preserve"> en su contra por </w:t>
      </w:r>
      <w:r w:rsidR="00512BA0">
        <w:rPr>
          <w:lang w:val="es-ES"/>
        </w:rPr>
        <w:t>las denuncias de las víctimas de los robos</w:t>
      </w:r>
      <w:r w:rsidR="00AA1BE2">
        <w:rPr>
          <w:lang w:val="es-ES"/>
        </w:rPr>
        <w:t>: investigación de las huellas dactilares en los bolsos de tres víctimas,</w:t>
      </w:r>
      <w:r w:rsidRPr="00CA28C1">
        <w:rPr>
          <w:lang w:val="es-ES"/>
        </w:rPr>
        <w:t xml:space="preserve"> </w:t>
      </w:r>
      <w:r w:rsidR="00FD69D3">
        <w:rPr>
          <w:lang w:val="es-ES"/>
        </w:rPr>
        <w:t>solicitud de</w:t>
      </w:r>
      <w:r w:rsidRPr="00CA28C1">
        <w:rPr>
          <w:lang w:val="es-ES"/>
        </w:rPr>
        <w:t xml:space="preserve"> un video de un cajero de una entidad bancaria, </w:t>
      </w:r>
      <w:r w:rsidR="00FD69D3" w:rsidRPr="00CA28C1">
        <w:rPr>
          <w:lang w:val="es-ES"/>
        </w:rPr>
        <w:t>rued</w:t>
      </w:r>
      <w:r w:rsidR="00FD69D3">
        <w:rPr>
          <w:lang w:val="es-ES"/>
        </w:rPr>
        <w:t>a</w:t>
      </w:r>
      <w:r w:rsidR="00FD69D3" w:rsidRPr="00CA28C1">
        <w:rPr>
          <w:lang w:val="es-ES"/>
        </w:rPr>
        <w:t xml:space="preserve"> de reconocimiento </w:t>
      </w:r>
      <w:r w:rsidR="00FD69D3">
        <w:rPr>
          <w:lang w:val="es-ES"/>
        </w:rPr>
        <w:t>visual</w:t>
      </w:r>
      <w:r w:rsidR="000C052E">
        <w:rPr>
          <w:lang w:val="es-ES"/>
        </w:rPr>
        <w:t>, rueda de reconocimiento</w:t>
      </w:r>
      <w:r w:rsidR="00FD69D3">
        <w:rPr>
          <w:lang w:val="es-ES"/>
        </w:rPr>
        <w:t xml:space="preserve"> de voz </w:t>
      </w:r>
      <w:r w:rsidR="00FD69D3" w:rsidRPr="00CA28C1">
        <w:rPr>
          <w:lang w:val="es-ES"/>
        </w:rPr>
        <w:t>por las presuntas víctimas</w:t>
      </w:r>
      <w:r w:rsidR="00FD69D3">
        <w:rPr>
          <w:lang w:val="es-ES"/>
        </w:rPr>
        <w:t>, y localización</w:t>
      </w:r>
      <w:r w:rsidRPr="00CA28C1">
        <w:rPr>
          <w:lang w:val="es-ES"/>
        </w:rPr>
        <w:t xml:space="preserve"> </w:t>
      </w:r>
      <w:r w:rsidR="00FD69D3">
        <w:rPr>
          <w:lang w:val="es-ES"/>
        </w:rPr>
        <w:t>d</w:t>
      </w:r>
      <w:r w:rsidRPr="00CA28C1">
        <w:rPr>
          <w:lang w:val="es-ES"/>
        </w:rPr>
        <w:t>e</w:t>
      </w:r>
      <w:r w:rsidR="00050233">
        <w:rPr>
          <w:lang w:val="es-ES"/>
        </w:rPr>
        <w:t xml:space="preserve"> </w:t>
      </w:r>
      <w:r w:rsidRPr="00CA28C1">
        <w:rPr>
          <w:lang w:val="es-ES"/>
        </w:rPr>
        <w:t>J.M.</w:t>
      </w:r>
      <w:r w:rsidR="00512FA9">
        <w:rPr>
          <w:rStyle w:val="Refdenotaalpie"/>
          <w:lang w:val="es-ES"/>
        </w:rPr>
        <w:footnoteReference w:id="3"/>
      </w:r>
      <w:r w:rsidRPr="00CA28C1">
        <w:rPr>
          <w:lang w:val="es-ES"/>
        </w:rPr>
        <w:t xml:space="preserve">, quien, según el autor guarda un gran parecido físico con él y </w:t>
      </w:r>
      <w:r w:rsidR="00893389">
        <w:rPr>
          <w:lang w:val="es-ES"/>
        </w:rPr>
        <w:t xml:space="preserve">quien </w:t>
      </w:r>
      <w:r w:rsidRPr="00CA28C1">
        <w:rPr>
          <w:lang w:val="es-ES"/>
        </w:rPr>
        <w:t xml:space="preserve">sería efectivamente el autor de los delitos. </w:t>
      </w:r>
      <w:r w:rsidR="00FD69D3">
        <w:rPr>
          <w:lang w:val="es-ES"/>
        </w:rPr>
        <w:t>E</w:t>
      </w:r>
      <w:r w:rsidR="00AC3BF9" w:rsidRPr="00CA28C1">
        <w:rPr>
          <w:lang w:val="es-ES"/>
        </w:rPr>
        <w:t>l Juzgado</w:t>
      </w:r>
      <w:r w:rsidRPr="00CA28C1">
        <w:rPr>
          <w:lang w:val="es-ES"/>
        </w:rPr>
        <w:t xml:space="preserve"> denegó </w:t>
      </w:r>
      <w:r w:rsidR="000C052E">
        <w:rPr>
          <w:lang w:val="es-ES"/>
        </w:rPr>
        <w:t>cuatro</w:t>
      </w:r>
      <w:r w:rsidR="002D72F2">
        <w:rPr>
          <w:lang w:val="es-ES"/>
        </w:rPr>
        <w:t xml:space="preserve"> de</w:t>
      </w:r>
      <w:r w:rsidR="002D72F2" w:rsidRPr="00CA28C1">
        <w:rPr>
          <w:lang w:val="es-ES"/>
        </w:rPr>
        <w:t xml:space="preserve"> </w:t>
      </w:r>
      <w:r w:rsidRPr="00CA28C1">
        <w:rPr>
          <w:lang w:val="es-ES"/>
        </w:rPr>
        <w:t>las diligencias</w:t>
      </w:r>
      <w:r w:rsidR="002D72F2">
        <w:rPr>
          <w:lang w:val="es-ES"/>
        </w:rPr>
        <w:t xml:space="preserve"> solicitadas y aceptó la diligencia consistente en</w:t>
      </w:r>
      <w:r w:rsidR="000A5A9C">
        <w:rPr>
          <w:lang w:val="es-ES"/>
        </w:rPr>
        <w:t xml:space="preserve"> la rueda de reconocimiento</w:t>
      </w:r>
      <w:r w:rsidR="00FD69D3">
        <w:rPr>
          <w:lang w:val="es-ES"/>
        </w:rPr>
        <w:t xml:space="preserve"> visual</w:t>
      </w:r>
      <w:r w:rsidR="000A5A9C">
        <w:rPr>
          <w:lang w:val="es-ES"/>
        </w:rPr>
        <w:t xml:space="preserve">. La investigación de las huellas dactilares y el reconocimiento de voz fueron denegados </w:t>
      </w:r>
      <w:r w:rsidR="00BB403F">
        <w:rPr>
          <w:lang w:val="es-ES"/>
        </w:rPr>
        <w:t>en razón de</w:t>
      </w:r>
      <w:r w:rsidR="000A5A9C" w:rsidRPr="00CA28C1">
        <w:rPr>
          <w:lang w:val="es-ES"/>
        </w:rPr>
        <w:t>l tiempo tra</w:t>
      </w:r>
      <w:r w:rsidR="00050233">
        <w:rPr>
          <w:lang w:val="es-ES"/>
        </w:rPr>
        <w:t>n</w:t>
      </w:r>
      <w:r w:rsidR="000A5A9C" w:rsidRPr="00CA28C1">
        <w:rPr>
          <w:lang w:val="es-ES"/>
        </w:rPr>
        <w:t>scurrido</w:t>
      </w:r>
      <w:r w:rsidR="000A5A9C">
        <w:rPr>
          <w:lang w:val="es-ES"/>
        </w:rPr>
        <w:t xml:space="preserve">; la solicitud de grabaciones del cajero se denegó pues </w:t>
      </w:r>
      <w:r w:rsidR="00FD69D3">
        <w:rPr>
          <w:lang w:val="es-ES"/>
        </w:rPr>
        <w:t>se relacionaba con hechos perseguidos en otra</w:t>
      </w:r>
      <w:r w:rsidR="000A5A9C">
        <w:rPr>
          <w:lang w:val="es-ES"/>
        </w:rPr>
        <w:t xml:space="preserve"> causa</w:t>
      </w:r>
      <w:r w:rsidR="00BB403F">
        <w:rPr>
          <w:lang w:val="es-ES"/>
        </w:rPr>
        <w:t xml:space="preserve">; y la localización </w:t>
      </w:r>
      <w:r w:rsidR="002D72F2">
        <w:rPr>
          <w:lang w:val="es-ES"/>
        </w:rPr>
        <w:t>d</w:t>
      </w:r>
      <w:r w:rsidR="00BB403F">
        <w:rPr>
          <w:lang w:val="es-ES"/>
        </w:rPr>
        <w:t>e</w:t>
      </w:r>
      <w:r w:rsidR="00050233">
        <w:rPr>
          <w:lang w:val="es-ES"/>
        </w:rPr>
        <w:t xml:space="preserve"> </w:t>
      </w:r>
      <w:r w:rsidR="00BB403F">
        <w:rPr>
          <w:lang w:val="es-ES"/>
        </w:rPr>
        <w:t xml:space="preserve">J.M. fue denegada para evitar vulneraciones de los derechos de defensa pues no existían indicios </w:t>
      </w:r>
      <w:r w:rsidR="00FD69D3">
        <w:rPr>
          <w:lang w:val="es-ES"/>
        </w:rPr>
        <w:t>para la</w:t>
      </w:r>
      <w:r w:rsidR="00BB403F">
        <w:rPr>
          <w:lang w:val="es-ES"/>
        </w:rPr>
        <w:t xml:space="preserve"> imputación de la persona indicada</w:t>
      </w:r>
      <w:r w:rsidR="000A5A9C">
        <w:rPr>
          <w:lang w:val="es-ES"/>
        </w:rPr>
        <w:t xml:space="preserve">. </w:t>
      </w:r>
      <w:r w:rsidR="00C11AA8">
        <w:rPr>
          <w:lang w:val="es-ES"/>
        </w:rPr>
        <w:t>S</w:t>
      </w:r>
      <w:r w:rsidRPr="00CA28C1">
        <w:rPr>
          <w:lang w:val="es-ES"/>
        </w:rPr>
        <w:t>egún el autor,</w:t>
      </w:r>
      <w:r w:rsidR="00C11AA8">
        <w:rPr>
          <w:lang w:val="es-ES"/>
        </w:rPr>
        <w:t xml:space="preserve"> J.M.</w:t>
      </w:r>
      <w:r w:rsidRPr="00CA28C1">
        <w:rPr>
          <w:lang w:val="es-ES"/>
        </w:rPr>
        <w:t xml:space="preserve"> se habría </w:t>
      </w:r>
      <w:r w:rsidR="002D72F2" w:rsidRPr="00F7036B">
        <w:rPr>
          <w:lang w:val="es-ES"/>
        </w:rPr>
        <w:t>“</w:t>
      </w:r>
      <w:r w:rsidRPr="00CA28C1">
        <w:rPr>
          <w:lang w:val="es-ES"/>
        </w:rPr>
        <w:t>fugado a Bélgica después de haber perpetrado los delitos</w:t>
      </w:r>
      <w:r w:rsidR="002D72F2" w:rsidRPr="00F7036B">
        <w:rPr>
          <w:lang w:val="es-ES"/>
        </w:rPr>
        <w:t>”</w:t>
      </w:r>
      <w:r w:rsidRPr="00CA28C1">
        <w:rPr>
          <w:lang w:val="es-ES"/>
        </w:rPr>
        <w:t>.</w:t>
      </w:r>
    </w:p>
    <w:p w14:paraId="3085B2D5" w14:textId="51E97358" w:rsidR="00BB403F" w:rsidRPr="00CA28C1" w:rsidRDefault="00AC0CAA" w:rsidP="00CA28C1">
      <w:pPr>
        <w:pStyle w:val="SingleTxtG"/>
        <w:rPr>
          <w:lang w:val="es-ES"/>
        </w:rPr>
      </w:pPr>
      <w:r>
        <w:rPr>
          <w:lang w:val="es-ES"/>
        </w:rPr>
        <w:t>2.4</w:t>
      </w:r>
      <w:r w:rsidR="00BB403F">
        <w:rPr>
          <w:lang w:val="es-ES"/>
        </w:rPr>
        <w:tab/>
      </w:r>
      <w:r w:rsidR="00952DDE">
        <w:rPr>
          <w:lang w:val="es-ES"/>
        </w:rPr>
        <w:t>Los días 19 y</w:t>
      </w:r>
      <w:r w:rsidR="00BB403F">
        <w:rPr>
          <w:lang w:val="es-ES"/>
        </w:rPr>
        <w:t xml:space="preserve"> 22 de enero de 2014, Y. R. compareció en la comisaría del Cuerpo Nacional de Policía manifestando haber adquirido a finales de 2013 y principios de 2014 tres teléfonos móviles de</w:t>
      </w:r>
      <w:r w:rsidR="00050233">
        <w:rPr>
          <w:lang w:val="es-ES"/>
        </w:rPr>
        <w:t xml:space="preserve"> </w:t>
      </w:r>
      <w:r w:rsidR="00BB403F">
        <w:rPr>
          <w:lang w:val="es-ES"/>
        </w:rPr>
        <w:t>J. M. a sabiendas de que eran robados</w:t>
      </w:r>
      <w:r w:rsidR="00B92C6C">
        <w:rPr>
          <w:rStyle w:val="Refdenotaalpie"/>
          <w:lang w:val="es-ES"/>
        </w:rPr>
        <w:footnoteReference w:id="4"/>
      </w:r>
      <w:r w:rsidR="00154633">
        <w:rPr>
          <w:lang w:val="es-ES"/>
        </w:rPr>
        <w:t>.</w:t>
      </w:r>
    </w:p>
    <w:p w14:paraId="6831132F" w14:textId="7B5356C0" w:rsidR="00CA28C1" w:rsidRPr="00CA28C1" w:rsidRDefault="00AC0CAA" w:rsidP="00E11AFB">
      <w:pPr>
        <w:pStyle w:val="SingleTxtG"/>
        <w:rPr>
          <w:lang w:val="es-ES"/>
        </w:rPr>
      </w:pPr>
      <w:r>
        <w:rPr>
          <w:lang w:val="es-ES"/>
        </w:rPr>
        <w:t>2.5</w:t>
      </w:r>
      <w:r>
        <w:rPr>
          <w:lang w:val="es-ES"/>
        </w:rPr>
        <w:tab/>
      </w:r>
      <w:r w:rsidR="00CA28C1" w:rsidRPr="00CA28C1">
        <w:rPr>
          <w:lang w:val="es-ES"/>
        </w:rPr>
        <w:t>El 6 de febrero de</w:t>
      </w:r>
      <w:r w:rsidR="00BB403F">
        <w:rPr>
          <w:lang w:val="es-ES"/>
        </w:rPr>
        <w:t xml:space="preserve"> </w:t>
      </w:r>
      <w:r w:rsidR="00CA28C1" w:rsidRPr="00CA28C1">
        <w:rPr>
          <w:lang w:val="es-ES"/>
        </w:rPr>
        <w:t xml:space="preserve">2014, </w:t>
      </w:r>
      <w:bookmarkStart w:id="1" w:name="_Hlk39162568"/>
      <w:r w:rsidR="00CA28C1" w:rsidRPr="00CA28C1">
        <w:rPr>
          <w:lang w:val="es-ES"/>
        </w:rPr>
        <w:t xml:space="preserve">el Juzgado </w:t>
      </w:r>
      <w:r w:rsidR="00050233">
        <w:rPr>
          <w:lang w:val="es-ES"/>
        </w:rPr>
        <w:t>n</w:t>
      </w:r>
      <w:r w:rsidR="00847CDC">
        <w:rPr>
          <w:lang w:val="es-ES"/>
        </w:rPr>
        <w:t>úm</w:t>
      </w:r>
      <w:r w:rsidR="00CA28C1" w:rsidRPr="00CA28C1">
        <w:rPr>
          <w:lang w:val="es-ES"/>
        </w:rPr>
        <w:t>. 1 ordenó la apertura de procedimiento abreviado contra el autor</w:t>
      </w:r>
      <w:r w:rsidR="00512BA0">
        <w:rPr>
          <w:lang w:val="es-ES"/>
        </w:rPr>
        <w:t xml:space="preserve"> por</w:t>
      </w:r>
      <w:r w:rsidR="006C361A">
        <w:rPr>
          <w:lang w:val="es-ES"/>
        </w:rPr>
        <w:t xml:space="preserve"> su participación en siete delito</w:t>
      </w:r>
      <w:bookmarkEnd w:id="1"/>
      <w:r w:rsidR="006C361A">
        <w:rPr>
          <w:lang w:val="es-ES"/>
        </w:rPr>
        <w:t xml:space="preserve">s de robo con violencia e intimidación, uno de ellos en grado de tentativa, un delito de lesiones, </w:t>
      </w:r>
      <w:r w:rsidR="00893389">
        <w:rPr>
          <w:lang w:val="es-ES"/>
        </w:rPr>
        <w:t xml:space="preserve">y </w:t>
      </w:r>
      <w:r w:rsidR="00FD1EDD">
        <w:rPr>
          <w:lang w:val="es-ES"/>
        </w:rPr>
        <w:t>cuatro</w:t>
      </w:r>
      <w:r w:rsidR="006C361A">
        <w:rPr>
          <w:lang w:val="es-ES"/>
        </w:rPr>
        <w:t xml:space="preserve"> faltas de lesiones</w:t>
      </w:r>
      <w:r w:rsidR="00CA28C1" w:rsidRPr="00CA28C1">
        <w:rPr>
          <w:lang w:val="es-ES"/>
        </w:rPr>
        <w:t xml:space="preserve">. El autor interpuso recurso de reforma y en subsidio apelación contra esta decisión ante el propio Juzgado </w:t>
      </w:r>
      <w:r w:rsidR="00FD1EDD">
        <w:rPr>
          <w:lang w:val="es-ES"/>
        </w:rPr>
        <w:t>n</w:t>
      </w:r>
      <w:r w:rsidR="00847CDC">
        <w:rPr>
          <w:lang w:val="es-ES"/>
        </w:rPr>
        <w:t>úm</w:t>
      </w:r>
      <w:r w:rsidR="00CA28C1" w:rsidRPr="00CA28C1">
        <w:rPr>
          <w:lang w:val="es-ES"/>
        </w:rPr>
        <w:t>. 1. El autor alegó que se había violado su derecho a la defensa toda vez que la instrucción sumarial s</w:t>
      </w:r>
      <w:r w:rsidR="00FD1EDD">
        <w:rPr>
          <w:lang w:val="es-ES"/>
        </w:rPr>
        <w:t>o</w:t>
      </w:r>
      <w:r w:rsidR="00CA28C1" w:rsidRPr="00CA28C1">
        <w:rPr>
          <w:lang w:val="es-ES"/>
        </w:rPr>
        <w:t>lo duró 16 días, sin que pudiera prepa</w:t>
      </w:r>
      <w:r w:rsidR="00F5177C">
        <w:rPr>
          <w:lang w:val="es-ES"/>
        </w:rPr>
        <w:t>rar adecuadamente su defensa, y</w:t>
      </w:r>
      <w:r w:rsidR="00CA28C1" w:rsidRPr="00CA28C1">
        <w:rPr>
          <w:lang w:val="es-ES"/>
        </w:rPr>
        <w:t>a que se había dene</w:t>
      </w:r>
      <w:r w:rsidR="00F5177C">
        <w:rPr>
          <w:lang w:val="es-ES"/>
        </w:rPr>
        <w:t>gado su solicitud de diligencias en la fase de instrucción</w:t>
      </w:r>
      <w:r w:rsidR="00CA28C1" w:rsidRPr="00CA28C1">
        <w:rPr>
          <w:lang w:val="es-ES"/>
        </w:rPr>
        <w:t>. Adicionalmente, el autor solicitó la actuación de</w:t>
      </w:r>
      <w:r w:rsidR="00952DDE">
        <w:rPr>
          <w:lang w:val="es-ES"/>
        </w:rPr>
        <w:t xml:space="preserve"> las</w:t>
      </w:r>
      <w:r w:rsidR="00CA28C1" w:rsidRPr="00CA28C1">
        <w:rPr>
          <w:lang w:val="es-ES"/>
        </w:rPr>
        <w:t xml:space="preserve"> </w:t>
      </w:r>
      <w:r w:rsidR="00CA28C1" w:rsidRPr="00FB09DE">
        <w:rPr>
          <w:lang w:val="es-ES"/>
        </w:rPr>
        <w:t>diligencias</w:t>
      </w:r>
      <w:r w:rsidR="00952DDE">
        <w:rPr>
          <w:lang w:val="es-ES"/>
        </w:rPr>
        <w:t xml:space="preserve"> denegadas</w:t>
      </w:r>
      <w:r w:rsidR="00CA28C1" w:rsidRPr="00CA28C1">
        <w:rPr>
          <w:lang w:val="es-ES"/>
        </w:rPr>
        <w:t xml:space="preserve">. El </w:t>
      </w:r>
      <w:r w:rsidR="00154633" w:rsidRPr="00CA28C1">
        <w:rPr>
          <w:lang w:val="es-ES"/>
        </w:rPr>
        <w:t>24</w:t>
      </w:r>
      <w:r w:rsidR="00154633">
        <w:rPr>
          <w:lang w:val="es-ES"/>
        </w:rPr>
        <w:t> </w:t>
      </w:r>
      <w:r w:rsidR="00CA28C1" w:rsidRPr="00CA28C1">
        <w:rPr>
          <w:lang w:val="es-ES"/>
        </w:rPr>
        <w:t xml:space="preserve">de febrero de 2014, el Juzgado </w:t>
      </w:r>
      <w:r w:rsidR="00FD1EDD">
        <w:rPr>
          <w:lang w:val="es-ES"/>
        </w:rPr>
        <w:t>n</w:t>
      </w:r>
      <w:r w:rsidR="00847CDC">
        <w:rPr>
          <w:lang w:val="es-ES"/>
        </w:rPr>
        <w:t>úm</w:t>
      </w:r>
      <w:r w:rsidR="00CA28C1" w:rsidRPr="00CA28C1">
        <w:rPr>
          <w:lang w:val="es-ES"/>
        </w:rPr>
        <w:t>. 1 desestimó el recurso de reforma del autor</w:t>
      </w:r>
      <w:r w:rsidR="00F5177C">
        <w:rPr>
          <w:lang w:val="es-ES"/>
        </w:rPr>
        <w:t xml:space="preserve"> considerando que no se había causado indefensión al cerrar la fase de instrucción, pues esta fase tiene como objeto determinar la existencia o ausencia de indicios de criminalidad, no determinar inocencia o culpabilidad</w:t>
      </w:r>
      <w:r w:rsidR="00FD69D3">
        <w:rPr>
          <w:lang w:val="es-ES"/>
        </w:rPr>
        <w:t>,</w:t>
      </w:r>
      <w:r w:rsidR="00F5177C">
        <w:rPr>
          <w:lang w:val="es-ES"/>
        </w:rPr>
        <w:t xml:space="preserve"> y que las diligencias solicitadas y denegadas en la fase de instrucción podrían ser propuestas de nuevo para el acto del juicio. Mediante el mismo auto</w:t>
      </w:r>
      <w:r w:rsidR="00893389">
        <w:rPr>
          <w:lang w:val="es-ES"/>
        </w:rPr>
        <w:t>,</w:t>
      </w:r>
      <w:r w:rsidR="00F5177C">
        <w:rPr>
          <w:lang w:val="es-ES"/>
        </w:rPr>
        <w:t xml:space="preserve"> el Juzgado</w:t>
      </w:r>
      <w:r w:rsidR="00CA28C1" w:rsidRPr="00CA28C1">
        <w:rPr>
          <w:lang w:val="es-ES"/>
        </w:rPr>
        <w:t xml:space="preserve"> admitió </w:t>
      </w:r>
      <w:r w:rsidR="00F5177C">
        <w:rPr>
          <w:lang w:val="es-ES"/>
        </w:rPr>
        <w:t>el</w:t>
      </w:r>
      <w:r w:rsidR="00CA28C1" w:rsidRPr="00CA28C1">
        <w:rPr>
          <w:lang w:val="es-ES"/>
        </w:rPr>
        <w:t xml:space="preserve"> recurso de apelación ante la Audiencia Provincial de Jaén.</w:t>
      </w:r>
      <w:r w:rsidR="00B9187D" w:rsidRPr="00B9187D">
        <w:rPr>
          <w:lang w:val="es-ES"/>
        </w:rPr>
        <w:t xml:space="preserve"> </w:t>
      </w:r>
      <w:r w:rsidR="00B9187D" w:rsidRPr="00CA28C1">
        <w:rPr>
          <w:lang w:val="es-ES"/>
        </w:rPr>
        <w:t xml:space="preserve">El </w:t>
      </w:r>
      <w:r w:rsidR="00154633" w:rsidRPr="00CA28C1">
        <w:rPr>
          <w:lang w:val="es-ES"/>
        </w:rPr>
        <w:t>19</w:t>
      </w:r>
      <w:r w:rsidR="00154633">
        <w:rPr>
          <w:lang w:val="es-ES"/>
        </w:rPr>
        <w:t> </w:t>
      </w:r>
      <w:r w:rsidR="00B9187D" w:rsidRPr="00CA28C1">
        <w:rPr>
          <w:lang w:val="es-ES"/>
        </w:rPr>
        <w:t xml:space="preserve">de marzo de 2014, la Audiencia Provincial desestimó el recurso de apelación del autor contra las decisiones del Juzgado </w:t>
      </w:r>
      <w:r w:rsidR="00FD1EDD">
        <w:rPr>
          <w:lang w:val="es-ES"/>
        </w:rPr>
        <w:t>n</w:t>
      </w:r>
      <w:r w:rsidR="00847CDC">
        <w:rPr>
          <w:lang w:val="es-ES"/>
        </w:rPr>
        <w:t>úm.</w:t>
      </w:r>
      <w:r w:rsidR="00B9187D" w:rsidRPr="00CA28C1">
        <w:rPr>
          <w:lang w:val="es-ES"/>
        </w:rPr>
        <w:t xml:space="preserve"> 1 de 6 y 24 de febrero de 2014.</w:t>
      </w:r>
    </w:p>
    <w:p w14:paraId="0C2C58AD" w14:textId="13CB58EB" w:rsidR="00CA28C1" w:rsidRPr="00CA28C1" w:rsidRDefault="00FB09DE" w:rsidP="00CA28C1">
      <w:pPr>
        <w:pStyle w:val="SingleTxtG"/>
        <w:rPr>
          <w:lang w:val="es-ES"/>
        </w:rPr>
      </w:pPr>
      <w:r>
        <w:rPr>
          <w:lang w:val="es-ES"/>
        </w:rPr>
        <w:t>2.6</w:t>
      </w:r>
      <w:r w:rsidR="00CA28C1" w:rsidRPr="00CA28C1">
        <w:rPr>
          <w:lang w:val="es-ES"/>
        </w:rPr>
        <w:tab/>
      </w:r>
      <w:r w:rsidR="0055553C">
        <w:rPr>
          <w:lang w:val="es-ES"/>
        </w:rPr>
        <w:t>El 5 de marzo de 2014, el autor presentó escrito de defensa solicitando la presentación de</w:t>
      </w:r>
      <w:r w:rsidR="00786788">
        <w:rPr>
          <w:lang w:val="es-ES"/>
        </w:rPr>
        <w:t xml:space="preserve">l testimonio de su cónyuge, que aseguraba </w:t>
      </w:r>
      <w:r w:rsidR="00847CDC">
        <w:rPr>
          <w:lang w:val="es-ES"/>
        </w:rPr>
        <w:t>que el autor se</w:t>
      </w:r>
      <w:r w:rsidR="00786788">
        <w:rPr>
          <w:lang w:val="es-ES"/>
        </w:rPr>
        <w:t xml:space="preserve"> encontraba en su hogar en los momentos de los hechos. Mediante el mismo escrito, el autor solicitaba también la </w:t>
      </w:r>
      <w:r w:rsidR="0055553C">
        <w:rPr>
          <w:lang w:val="es-ES"/>
        </w:rPr>
        <w:t xml:space="preserve">realización de </w:t>
      </w:r>
      <w:r w:rsidR="00786788">
        <w:rPr>
          <w:lang w:val="es-ES"/>
        </w:rPr>
        <w:t xml:space="preserve">las siguientes </w:t>
      </w:r>
      <w:r w:rsidR="0055553C">
        <w:rPr>
          <w:lang w:val="es-ES"/>
        </w:rPr>
        <w:t xml:space="preserve">diligencias: la investigación de la filtración de la ficha policial del autor a las redes sociales, la </w:t>
      </w:r>
      <w:r w:rsidR="00786788">
        <w:rPr>
          <w:lang w:val="es-ES"/>
        </w:rPr>
        <w:t>solicitud del</w:t>
      </w:r>
      <w:r w:rsidR="0055553C">
        <w:rPr>
          <w:lang w:val="es-ES"/>
        </w:rPr>
        <w:t xml:space="preserve"> video del cajero de una entidad bancaria y de videos de </w:t>
      </w:r>
      <w:r w:rsidR="0055553C">
        <w:rPr>
          <w:lang w:val="es-ES"/>
        </w:rPr>
        <w:lastRenderedPageBreak/>
        <w:t>seguridad de varias entidades bancarias</w:t>
      </w:r>
      <w:r w:rsidR="00786788">
        <w:rPr>
          <w:lang w:val="es-ES"/>
        </w:rPr>
        <w:t>,</w:t>
      </w:r>
      <w:r w:rsidR="007B2D46">
        <w:rPr>
          <w:lang w:val="es-ES"/>
        </w:rPr>
        <w:t xml:space="preserve"> y</w:t>
      </w:r>
      <w:r w:rsidR="00786788">
        <w:rPr>
          <w:lang w:val="es-ES"/>
        </w:rPr>
        <w:t xml:space="preserve"> que se unieran las diligencias de otro caso a </w:t>
      </w:r>
      <w:r w:rsidR="007B2D46">
        <w:rPr>
          <w:lang w:val="es-ES"/>
        </w:rPr>
        <w:t>esa</w:t>
      </w:r>
      <w:r w:rsidR="00786788">
        <w:rPr>
          <w:lang w:val="es-ES"/>
        </w:rPr>
        <w:t xml:space="preserve"> causa</w:t>
      </w:r>
      <w:r w:rsidR="00544FA0">
        <w:rPr>
          <w:rStyle w:val="Refdenotaalpie"/>
          <w:lang w:val="es-ES"/>
        </w:rPr>
        <w:footnoteReference w:id="5"/>
      </w:r>
      <w:r w:rsidR="0055553C">
        <w:rPr>
          <w:lang w:val="es-ES"/>
        </w:rPr>
        <w:t xml:space="preserve">. </w:t>
      </w:r>
      <w:r w:rsidR="00786788">
        <w:rPr>
          <w:lang w:val="es-ES"/>
        </w:rPr>
        <w:t>El</w:t>
      </w:r>
      <w:r w:rsidR="006D6142">
        <w:rPr>
          <w:lang w:val="es-ES"/>
        </w:rPr>
        <w:t xml:space="preserve"> 19 de junio de 2014 tuvo lugar la vista oral y el</w:t>
      </w:r>
      <w:r w:rsidR="00CA28C1" w:rsidRPr="00CA28C1">
        <w:rPr>
          <w:lang w:val="es-ES"/>
        </w:rPr>
        <w:t xml:space="preserve"> 20 de junio de 2014, el Juzgado </w:t>
      </w:r>
      <w:r w:rsidR="009172A1">
        <w:rPr>
          <w:lang w:val="es-ES"/>
        </w:rPr>
        <w:t>n</w:t>
      </w:r>
      <w:r w:rsidR="00847CDC">
        <w:rPr>
          <w:lang w:val="es-ES"/>
        </w:rPr>
        <w:t>úm</w:t>
      </w:r>
      <w:r w:rsidR="00CA28C1" w:rsidRPr="00CA28C1">
        <w:rPr>
          <w:lang w:val="es-ES"/>
        </w:rPr>
        <w:t xml:space="preserve">. 1 determinó que el autor era responsable de un </w:t>
      </w:r>
      <w:r w:rsidR="00847CDC">
        <w:rPr>
          <w:lang w:val="es-ES"/>
        </w:rPr>
        <w:t xml:space="preserve">delito de </w:t>
      </w:r>
      <w:r w:rsidR="00732C64">
        <w:rPr>
          <w:lang w:val="es-ES"/>
        </w:rPr>
        <w:t>r</w:t>
      </w:r>
      <w:r w:rsidR="00CA28C1" w:rsidRPr="00CA28C1">
        <w:rPr>
          <w:lang w:val="es-ES"/>
        </w:rPr>
        <w:t xml:space="preserve">obo con </w:t>
      </w:r>
      <w:r w:rsidR="00732C64">
        <w:rPr>
          <w:lang w:val="es-ES"/>
        </w:rPr>
        <w:t>v</w:t>
      </w:r>
      <w:r w:rsidR="00CA28C1" w:rsidRPr="00CA28C1">
        <w:rPr>
          <w:lang w:val="es-ES"/>
        </w:rPr>
        <w:t xml:space="preserve">iolencia e </w:t>
      </w:r>
      <w:r w:rsidR="00732C64">
        <w:rPr>
          <w:lang w:val="es-ES"/>
        </w:rPr>
        <w:t>i</w:t>
      </w:r>
      <w:r w:rsidR="00CA28C1" w:rsidRPr="00CA28C1">
        <w:rPr>
          <w:lang w:val="es-ES"/>
        </w:rPr>
        <w:t xml:space="preserve">ntimidación, cinco delitos de </w:t>
      </w:r>
      <w:r w:rsidR="00732C64">
        <w:rPr>
          <w:lang w:val="es-ES"/>
        </w:rPr>
        <w:t>robo con v</w:t>
      </w:r>
      <w:r w:rsidR="00CA28C1" w:rsidRPr="00CA28C1">
        <w:rPr>
          <w:lang w:val="es-ES"/>
        </w:rPr>
        <w:t>iolencia con uso de armas</w:t>
      </w:r>
      <w:r w:rsidR="006C361A">
        <w:rPr>
          <w:lang w:val="es-ES"/>
        </w:rPr>
        <w:t>, un delito de robo con violencia e intimidación en grado de</w:t>
      </w:r>
      <w:r w:rsidR="00CA28C1" w:rsidRPr="00CA28C1">
        <w:rPr>
          <w:lang w:val="es-ES"/>
        </w:rPr>
        <w:t xml:space="preserve"> ten</w:t>
      </w:r>
      <w:r w:rsidR="00732C64">
        <w:rPr>
          <w:lang w:val="es-ES"/>
        </w:rPr>
        <w:t>tativa, un delito de lesiones y cuatro faltas de l</w:t>
      </w:r>
      <w:r w:rsidR="00CA28C1" w:rsidRPr="00CA28C1">
        <w:rPr>
          <w:lang w:val="es-ES"/>
        </w:rPr>
        <w:t>esiones, y le impuso diferentes penas</w:t>
      </w:r>
      <w:r w:rsidR="00866D39">
        <w:rPr>
          <w:lang w:val="es-ES"/>
        </w:rPr>
        <w:t xml:space="preserve"> sumando 25 años de prisión</w:t>
      </w:r>
      <w:r w:rsidR="00CA28C1" w:rsidRPr="00CA28C1">
        <w:rPr>
          <w:lang w:val="es-ES"/>
        </w:rPr>
        <w:t xml:space="preserve">, con el límite de máximo cumplimento de 12 años de prisión. El autor apeló la sentencia </w:t>
      </w:r>
      <w:r w:rsidR="00357295">
        <w:rPr>
          <w:lang w:val="es-ES"/>
        </w:rPr>
        <w:t>ante la Audiencia Provincial de</w:t>
      </w:r>
      <w:r w:rsidR="00CA28C1" w:rsidRPr="00CA28C1">
        <w:rPr>
          <w:lang w:val="es-ES"/>
        </w:rPr>
        <w:t xml:space="preserve"> Jaén.</w:t>
      </w:r>
    </w:p>
    <w:p w14:paraId="1C52A8CF" w14:textId="03634E9C" w:rsidR="00CA28C1" w:rsidRPr="00CA28C1" w:rsidRDefault="00FB09DE" w:rsidP="00CA28C1">
      <w:pPr>
        <w:pStyle w:val="SingleTxtG"/>
        <w:rPr>
          <w:lang w:val="es-ES"/>
        </w:rPr>
      </w:pPr>
      <w:r>
        <w:rPr>
          <w:lang w:val="es-ES"/>
        </w:rPr>
        <w:t>2.7</w:t>
      </w:r>
      <w:r w:rsidR="00CA28C1" w:rsidRPr="00CA28C1">
        <w:rPr>
          <w:lang w:val="es-ES"/>
        </w:rPr>
        <w:tab/>
        <w:t>El 8 de septiembre de 2014, la Audiencia Provincial desestimó el recurso del autor.</w:t>
      </w:r>
    </w:p>
    <w:p w14:paraId="16936CFE" w14:textId="3A440201" w:rsidR="00CA28C1" w:rsidRPr="00CA28C1" w:rsidRDefault="00FB09DE" w:rsidP="00CA28C1">
      <w:pPr>
        <w:pStyle w:val="SingleTxtG"/>
        <w:rPr>
          <w:lang w:val="es-ES"/>
        </w:rPr>
      </w:pPr>
      <w:r>
        <w:rPr>
          <w:lang w:val="es-ES"/>
        </w:rPr>
        <w:t>2.8</w:t>
      </w:r>
      <w:r w:rsidR="00CA28C1" w:rsidRPr="00CA28C1">
        <w:rPr>
          <w:lang w:val="es-ES"/>
        </w:rPr>
        <w:tab/>
        <w:t xml:space="preserve">El 21 de octubre de 2014, el autor presentó un recurso de amparo ante el Tribunal Constitucional y alegó la </w:t>
      </w:r>
      <w:r w:rsidR="00427BD9" w:rsidRPr="00CA28C1">
        <w:rPr>
          <w:lang w:val="es-ES"/>
        </w:rPr>
        <w:t>violación al</w:t>
      </w:r>
      <w:r w:rsidR="00CA28C1" w:rsidRPr="00CA28C1">
        <w:rPr>
          <w:lang w:val="es-ES"/>
        </w:rPr>
        <w:t xml:space="preserve"> derecho a</w:t>
      </w:r>
      <w:r w:rsidR="00866D39">
        <w:rPr>
          <w:lang w:val="es-ES"/>
        </w:rPr>
        <w:t xml:space="preserve"> una tutela judicial efectiva; a</w:t>
      </w:r>
      <w:r w:rsidR="00CA28C1" w:rsidRPr="00CA28C1">
        <w:rPr>
          <w:lang w:val="es-ES"/>
        </w:rPr>
        <w:t>l derecho a utilizar los medios pertinentes para su defensa y a la presunción de inocencia, reconocidos en el artículo 24 de la Constitución. El 11 de marzo de 2015, el Tribunal</w:t>
      </w:r>
      <w:r w:rsidR="00847CDC">
        <w:rPr>
          <w:lang w:val="es-ES"/>
        </w:rPr>
        <w:t xml:space="preserve"> Constitucional</w:t>
      </w:r>
      <w:r w:rsidR="00CA28C1" w:rsidRPr="00CA28C1">
        <w:rPr>
          <w:lang w:val="es-ES"/>
        </w:rPr>
        <w:t xml:space="preserve"> acordó no admitir el recurso del autor por no haber justificado la especial trascendencia constitucional del recurso, con arreglo al artículo 49.1 de la Ley Orgánica del Tribunal Constitucional.</w:t>
      </w:r>
    </w:p>
    <w:p w14:paraId="0CB4DC5B" w14:textId="0AFC12A1" w:rsidR="002A24C4" w:rsidRPr="00F45532" w:rsidRDefault="00FB09DE" w:rsidP="00CA28C1">
      <w:pPr>
        <w:pStyle w:val="SingleTxtG"/>
        <w:rPr>
          <w:lang w:val="es-ES_tradnl"/>
        </w:rPr>
      </w:pPr>
      <w:r>
        <w:rPr>
          <w:lang w:val="es-ES"/>
        </w:rPr>
        <w:t>2.9</w:t>
      </w:r>
      <w:r w:rsidR="00CA28C1" w:rsidRPr="00CA28C1">
        <w:rPr>
          <w:lang w:val="es-ES"/>
        </w:rPr>
        <w:tab/>
        <w:t xml:space="preserve">El 20 de agosto de 2015, el autor presentó una demanda ante el Tribunal Europeo de Derechos Humanos. El 7 de septiembre de 2015, la Secretaría del </w:t>
      </w:r>
      <w:r w:rsidR="009172A1">
        <w:rPr>
          <w:lang w:val="es-ES"/>
        </w:rPr>
        <w:t xml:space="preserve">Tribunal </w:t>
      </w:r>
      <w:r w:rsidR="00CA28C1" w:rsidRPr="00CA28C1">
        <w:rPr>
          <w:lang w:val="es-ES"/>
        </w:rPr>
        <w:t xml:space="preserve">devolvió la demanda al autor y le informó que el </w:t>
      </w:r>
      <w:r w:rsidR="009172A1" w:rsidRPr="00CA28C1">
        <w:rPr>
          <w:lang w:val="es-ES"/>
        </w:rPr>
        <w:t xml:space="preserve">Tribunal </w:t>
      </w:r>
      <w:r w:rsidR="00CA28C1" w:rsidRPr="00CA28C1">
        <w:rPr>
          <w:lang w:val="es-ES"/>
        </w:rPr>
        <w:t xml:space="preserve">no podía examinar sus quejas debido a que el resumen de los hechos contenidos en su demanda excedía el límite de páginas establecido por el </w:t>
      </w:r>
      <w:r w:rsidR="00CA28C1" w:rsidRPr="00C548D7">
        <w:rPr>
          <w:lang w:val="es-ES"/>
        </w:rPr>
        <w:t xml:space="preserve">artículo </w:t>
      </w:r>
      <w:r w:rsidR="00893389" w:rsidRPr="00C548D7">
        <w:rPr>
          <w:lang w:val="es-ES"/>
        </w:rPr>
        <w:t>47</w:t>
      </w:r>
      <w:r w:rsidR="00C548D7" w:rsidRPr="0041359B">
        <w:rPr>
          <w:lang w:val="es-ES"/>
        </w:rPr>
        <w:t xml:space="preserve">, párrafo </w:t>
      </w:r>
      <w:r w:rsidR="00893389" w:rsidRPr="00C548D7">
        <w:rPr>
          <w:lang w:val="es-ES"/>
        </w:rPr>
        <w:t>2</w:t>
      </w:r>
      <w:r w:rsidR="00C548D7" w:rsidRPr="0041359B">
        <w:rPr>
          <w:lang w:val="es-ES"/>
        </w:rPr>
        <w:t>, apartado</w:t>
      </w:r>
      <w:r w:rsidR="00893389" w:rsidRPr="00C548D7">
        <w:rPr>
          <w:lang w:val="es-ES"/>
        </w:rPr>
        <w:t xml:space="preserve"> b)</w:t>
      </w:r>
      <w:r w:rsidR="00C548D7" w:rsidRPr="00C548D7">
        <w:rPr>
          <w:lang w:val="es-ES"/>
        </w:rPr>
        <w:t>,</w:t>
      </w:r>
      <w:r w:rsidR="00893389" w:rsidRPr="00CA28C1">
        <w:rPr>
          <w:lang w:val="es-ES"/>
        </w:rPr>
        <w:t xml:space="preserve"> del Reglamento </w:t>
      </w:r>
      <w:r w:rsidR="008474AE">
        <w:rPr>
          <w:lang w:val="es-ES"/>
        </w:rPr>
        <w:t xml:space="preserve">de Procedimiento </w:t>
      </w:r>
      <w:r w:rsidR="00893389" w:rsidRPr="00CA28C1">
        <w:rPr>
          <w:lang w:val="es-ES"/>
        </w:rPr>
        <w:t xml:space="preserve">del Tribunal Europeo </w:t>
      </w:r>
      <w:r w:rsidR="009172A1" w:rsidRPr="00CA28C1">
        <w:rPr>
          <w:lang w:val="es-ES"/>
        </w:rPr>
        <w:t xml:space="preserve">de Derechos Humanos </w:t>
      </w:r>
      <w:r w:rsidR="00CA28C1" w:rsidRPr="00CA28C1">
        <w:rPr>
          <w:lang w:val="es-ES"/>
        </w:rPr>
        <w:t>(3 pág</w:t>
      </w:r>
      <w:r w:rsidR="009172A1">
        <w:rPr>
          <w:lang w:val="es-ES"/>
        </w:rPr>
        <w:t>s.</w:t>
      </w:r>
      <w:r w:rsidR="00CA28C1" w:rsidRPr="00CA28C1">
        <w:rPr>
          <w:lang w:val="es-ES"/>
        </w:rPr>
        <w:t>).</w:t>
      </w:r>
    </w:p>
    <w:p w14:paraId="000BBD25" w14:textId="12381B76" w:rsidR="002A24C4" w:rsidRPr="00F45532" w:rsidRDefault="00A03082" w:rsidP="00236D2B">
      <w:pPr>
        <w:pStyle w:val="H23G"/>
        <w:rPr>
          <w:lang w:val="es-ES"/>
        </w:rPr>
      </w:pPr>
      <w:r>
        <w:rPr>
          <w:lang w:val="es-ES"/>
        </w:rPr>
        <w:tab/>
      </w:r>
      <w:r>
        <w:rPr>
          <w:lang w:val="es-ES"/>
        </w:rPr>
        <w:tab/>
      </w:r>
      <w:r w:rsidR="00854761" w:rsidRPr="00F45532">
        <w:rPr>
          <w:lang w:val="es-ES"/>
        </w:rPr>
        <w:t>La denuncia</w:t>
      </w:r>
    </w:p>
    <w:p w14:paraId="4D2B3152" w14:textId="07E583C0" w:rsidR="00442621" w:rsidRPr="00442621" w:rsidRDefault="00442621" w:rsidP="00442621">
      <w:pPr>
        <w:pStyle w:val="SingleTxtG"/>
        <w:rPr>
          <w:lang w:val="es-ES"/>
        </w:rPr>
      </w:pPr>
      <w:r w:rsidRPr="00442621">
        <w:rPr>
          <w:lang w:val="es-ES"/>
        </w:rPr>
        <w:t>3.1</w:t>
      </w:r>
      <w:r w:rsidRPr="00442621">
        <w:rPr>
          <w:lang w:val="es-ES"/>
        </w:rPr>
        <w:tab/>
      </w:r>
      <w:bookmarkStart w:id="2" w:name="_Hlk39162125"/>
      <w:r w:rsidRPr="00442621">
        <w:rPr>
          <w:lang w:val="es-ES"/>
        </w:rPr>
        <w:t xml:space="preserve">El autor afirma ser víctima de una violación del artículo 14 </w:t>
      </w:r>
      <w:r w:rsidR="00427BD9">
        <w:rPr>
          <w:lang w:val="es-ES"/>
        </w:rPr>
        <w:t>del Pacto por el Estado parte pues l</w:t>
      </w:r>
      <w:r w:rsidRPr="00442621">
        <w:rPr>
          <w:lang w:val="es-ES"/>
        </w:rPr>
        <w:t>a celeridad de la instrucción</w:t>
      </w:r>
      <w:r w:rsidR="00847CDC">
        <w:rPr>
          <w:lang w:val="es-ES"/>
        </w:rPr>
        <w:t>, que duró s</w:t>
      </w:r>
      <w:r w:rsidR="00061AE4">
        <w:rPr>
          <w:lang w:val="es-ES"/>
        </w:rPr>
        <w:t>o</w:t>
      </w:r>
      <w:r w:rsidR="00847CDC">
        <w:rPr>
          <w:lang w:val="es-ES"/>
        </w:rPr>
        <w:t>lo 16 días,</w:t>
      </w:r>
      <w:r w:rsidRPr="00442621">
        <w:rPr>
          <w:lang w:val="es-ES"/>
        </w:rPr>
        <w:t xml:space="preserve"> afect</w:t>
      </w:r>
      <w:r w:rsidR="00847CDC">
        <w:rPr>
          <w:lang w:val="es-ES"/>
        </w:rPr>
        <w:t>ó</w:t>
      </w:r>
      <w:r w:rsidRPr="00442621">
        <w:rPr>
          <w:lang w:val="es-ES"/>
        </w:rPr>
        <w:t xml:space="preserve"> su derecho a preparar adecuadamente su defensa</w:t>
      </w:r>
      <w:bookmarkEnd w:id="2"/>
      <w:r w:rsidRPr="00442621">
        <w:rPr>
          <w:lang w:val="es-ES"/>
        </w:rPr>
        <w:t>.</w:t>
      </w:r>
    </w:p>
    <w:p w14:paraId="0D1007EF" w14:textId="36CD9C2A" w:rsidR="00442621" w:rsidRPr="00442621" w:rsidRDefault="00442621" w:rsidP="00442621">
      <w:pPr>
        <w:pStyle w:val="SingleTxtG"/>
        <w:rPr>
          <w:lang w:val="es-ES"/>
        </w:rPr>
      </w:pPr>
      <w:r w:rsidRPr="00442621">
        <w:rPr>
          <w:lang w:val="es-ES"/>
        </w:rPr>
        <w:t>3.2</w:t>
      </w:r>
      <w:r w:rsidRPr="00442621">
        <w:rPr>
          <w:lang w:val="es-ES"/>
        </w:rPr>
        <w:tab/>
        <w:t>E</w:t>
      </w:r>
      <w:r w:rsidR="00427BD9">
        <w:rPr>
          <w:lang w:val="es-ES"/>
        </w:rPr>
        <w:t xml:space="preserve">l autor </w:t>
      </w:r>
      <w:r w:rsidR="00866D39">
        <w:rPr>
          <w:lang w:val="es-ES"/>
        </w:rPr>
        <w:t xml:space="preserve">también </w:t>
      </w:r>
      <w:r w:rsidR="00427BD9">
        <w:rPr>
          <w:lang w:val="es-ES"/>
        </w:rPr>
        <w:t>afirma que e</w:t>
      </w:r>
      <w:r w:rsidRPr="00442621">
        <w:rPr>
          <w:lang w:val="es-ES"/>
        </w:rPr>
        <w:t xml:space="preserve">l proceso penal en su contra fue arbitrario. Su condena se basó fundamentalmente en diligencias de reconocimiento fotográfico llevadas a cabo por la policía de forma irregular. El autor indica que fue detenido y acusado por delitos cometidos </w:t>
      </w:r>
      <w:r w:rsidR="00D004C2">
        <w:rPr>
          <w:lang w:val="es-ES"/>
        </w:rPr>
        <w:t xml:space="preserve">en realidad </w:t>
      </w:r>
      <w:r w:rsidRPr="00442621">
        <w:rPr>
          <w:lang w:val="es-ES"/>
        </w:rPr>
        <w:t>por</w:t>
      </w:r>
      <w:r w:rsidR="00D004C2" w:rsidRPr="00D004C2">
        <w:rPr>
          <w:lang w:val="es-ES"/>
        </w:rPr>
        <w:t xml:space="preserve"> </w:t>
      </w:r>
      <w:r w:rsidR="00D004C2" w:rsidRPr="00442621">
        <w:rPr>
          <w:lang w:val="es-ES"/>
        </w:rPr>
        <w:t>J.M</w:t>
      </w:r>
      <w:r w:rsidR="009172A1">
        <w:rPr>
          <w:lang w:val="es-ES"/>
        </w:rPr>
        <w:t>.</w:t>
      </w:r>
      <w:r w:rsidR="00D004C2">
        <w:rPr>
          <w:lang w:val="es-ES"/>
        </w:rPr>
        <w:t xml:space="preserve"> por</w:t>
      </w:r>
      <w:r w:rsidRPr="00442621">
        <w:rPr>
          <w:lang w:val="es-ES"/>
        </w:rPr>
        <w:t xml:space="preserve"> error, puesto que</w:t>
      </w:r>
      <w:r w:rsidR="00D004C2">
        <w:rPr>
          <w:lang w:val="es-ES"/>
        </w:rPr>
        <w:t xml:space="preserve"> esta persona</w:t>
      </w:r>
      <w:r w:rsidRPr="00442621">
        <w:rPr>
          <w:lang w:val="es-ES"/>
        </w:rPr>
        <w:t xml:space="preserve"> guarda un gran parecido físico con él. Este error se debería a que las presuntas víctimas lo reconocieron como autor de los delitos, </w:t>
      </w:r>
      <w:r w:rsidR="00783A4E">
        <w:rPr>
          <w:lang w:val="es-ES"/>
        </w:rPr>
        <w:t xml:space="preserve">observando </w:t>
      </w:r>
      <w:r w:rsidRPr="00442621">
        <w:rPr>
          <w:lang w:val="es-ES"/>
        </w:rPr>
        <w:t>una foto</w:t>
      </w:r>
      <w:r w:rsidR="00783A4E">
        <w:rPr>
          <w:lang w:val="es-ES"/>
        </w:rPr>
        <w:t>grafía</w:t>
      </w:r>
      <w:r w:rsidRPr="00442621">
        <w:rPr>
          <w:lang w:val="es-ES"/>
        </w:rPr>
        <w:t xml:space="preserve"> policial tomada en 2007</w:t>
      </w:r>
      <w:r w:rsidR="00783A4E">
        <w:rPr>
          <w:lang w:val="es-ES"/>
        </w:rPr>
        <w:t xml:space="preserve"> y no una fotografía reciente</w:t>
      </w:r>
      <w:r w:rsidR="00427BD9">
        <w:rPr>
          <w:lang w:val="es-ES"/>
        </w:rPr>
        <w:t xml:space="preserve">. El autor también afirma que la </w:t>
      </w:r>
      <w:r w:rsidR="009172A1">
        <w:rPr>
          <w:lang w:val="es-ES"/>
        </w:rPr>
        <w:t>p</w:t>
      </w:r>
      <w:r w:rsidR="00427BD9">
        <w:rPr>
          <w:lang w:val="es-ES"/>
        </w:rPr>
        <w:t>olicía habría filtrado tal foto</w:t>
      </w:r>
      <w:r w:rsidR="00783A4E">
        <w:rPr>
          <w:lang w:val="es-ES"/>
        </w:rPr>
        <w:t>grafía</w:t>
      </w:r>
      <w:r w:rsidRPr="00442621">
        <w:rPr>
          <w:lang w:val="es-ES"/>
        </w:rPr>
        <w:t xml:space="preserve"> a las redes sociales, conjuntamente con la ficha policial</w:t>
      </w:r>
      <w:r w:rsidR="00427BD9">
        <w:rPr>
          <w:lang w:val="es-ES"/>
        </w:rPr>
        <w:t xml:space="preserve"> con el objetivo de que las víctimas lo reconocieran a él como autor de los delitos</w:t>
      </w:r>
      <w:r w:rsidRPr="00442621">
        <w:rPr>
          <w:lang w:val="es-ES"/>
        </w:rPr>
        <w:t>.</w:t>
      </w:r>
      <w:r w:rsidR="00491A66">
        <w:rPr>
          <w:lang w:val="es-ES"/>
        </w:rPr>
        <w:t xml:space="preserve"> Además, </w:t>
      </w:r>
      <w:r w:rsidR="00DE5C75">
        <w:rPr>
          <w:lang w:val="es-ES"/>
        </w:rPr>
        <w:t xml:space="preserve">las </w:t>
      </w:r>
      <w:r w:rsidR="009E2AB4">
        <w:rPr>
          <w:lang w:val="es-ES"/>
        </w:rPr>
        <w:t>víctimas</w:t>
      </w:r>
      <w:r w:rsidRPr="00442621">
        <w:rPr>
          <w:lang w:val="es-ES"/>
        </w:rPr>
        <w:t xml:space="preserve"> confirmaron</w:t>
      </w:r>
      <w:r w:rsidR="00C860D9">
        <w:rPr>
          <w:lang w:val="es-ES"/>
        </w:rPr>
        <w:t xml:space="preserve"> que</w:t>
      </w:r>
      <w:r w:rsidR="00C860D9" w:rsidRPr="00C860D9">
        <w:rPr>
          <w:lang w:val="es-ES"/>
        </w:rPr>
        <w:t xml:space="preserve"> </w:t>
      </w:r>
      <w:r w:rsidR="00C860D9" w:rsidRPr="00442621">
        <w:rPr>
          <w:lang w:val="es-ES"/>
        </w:rPr>
        <w:t>la foto</w:t>
      </w:r>
      <w:r w:rsidR="00491A66">
        <w:rPr>
          <w:lang w:val="es-ES"/>
        </w:rPr>
        <w:t>grafía</w:t>
      </w:r>
      <w:r w:rsidR="00C860D9" w:rsidRPr="00442621">
        <w:rPr>
          <w:lang w:val="es-ES"/>
        </w:rPr>
        <w:t xml:space="preserve"> policial de 2007 y la foto</w:t>
      </w:r>
      <w:r w:rsidR="00491A66">
        <w:rPr>
          <w:lang w:val="es-ES"/>
        </w:rPr>
        <w:t>grafía</w:t>
      </w:r>
      <w:r w:rsidR="00C860D9" w:rsidRPr="00442621">
        <w:rPr>
          <w:lang w:val="es-ES"/>
        </w:rPr>
        <w:t xml:space="preserve"> tomada dos días después de </w:t>
      </w:r>
      <w:r w:rsidR="00783A4E">
        <w:rPr>
          <w:lang w:val="es-ES"/>
        </w:rPr>
        <w:t>su</w:t>
      </w:r>
      <w:r w:rsidR="00C860D9" w:rsidRPr="00442621">
        <w:rPr>
          <w:lang w:val="es-ES"/>
        </w:rPr>
        <w:t xml:space="preserve"> detención en</w:t>
      </w:r>
      <w:r w:rsidR="00783A4E">
        <w:rPr>
          <w:lang w:val="es-ES"/>
        </w:rPr>
        <w:t xml:space="preserve"> enero de</w:t>
      </w:r>
      <w:r w:rsidR="00C860D9" w:rsidRPr="00442621">
        <w:rPr>
          <w:lang w:val="es-ES"/>
        </w:rPr>
        <w:t xml:space="preserve"> 2014</w:t>
      </w:r>
      <w:r w:rsidR="00C860D9">
        <w:rPr>
          <w:lang w:val="es-ES"/>
        </w:rPr>
        <w:t xml:space="preserve"> pertenecían a la misma persona “sin ningún género de dudas”</w:t>
      </w:r>
      <w:r w:rsidR="00783A4E">
        <w:rPr>
          <w:lang w:val="es-ES"/>
        </w:rPr>
        <w:t>. El autor sostiene que su apariencia física es notablemente diferente en esas dos fotografías y que l</w:t>
      </w:r>
      <w:r w:rsidR="00491A66">
        <w:rPr>
          <w:lang w:val="es-ES"/>
        </w:rPr>
        <w:t xml:space="preserve">a determinación de </w:t>
      </w:r>
      <w:r w:rsidR="00DE5C75">
        <w:rPr>
          <w:lang w:val="es-ES"/>
        </w:rPr>
        <w:t xml:space="preserve">las </w:t>
      </w:r>
      <w:r w:rsidR="009E2AB4">
        <w:rPr>
          <w:lang w:val="es-ES"/>
        </w:rPr>
        <w:t>víctimas</w:t>
      </w:r>
      <w:r w:rsidR="00783A4E">
        <w:rPr>
          <w:lang w:val="es-ES"/>
        </w:rPr>
        <w:t xml:space="preserve"> en reconocer que pertenecen a la misma persona</w:t>
      </w:r>
      <w:r w:rsidR="00491A66">
        <w:rPr>
          <w:lang w:val="es-ES"/>
        </w:rPr>
        <w:t xml:space="preserve"> pese a </w:t>
      </w:r>
      <w:r w:rsidR="00783A4E">
        <w:rPr>
          <w:lang w:val="es-ES"/>
        </w:rPr>
        <w:t>su gran</w:t>
      </w:r>
      <w:r w:rsidR="00491A66">
        <w:rPr>
          <w:lang w:val="es-ES"/>
        </w:rPr>
        <w:t xml:space="preserve"> diferencia indicaría</w:t>
      </w:r>
      <w:r w:rsidR="00C860D9">
        <w:rPr>
          <w:lang w:val="es-ES"/>
        </w:rPr>
        <w:t xml:space="preserve"> que existió una ascendencia o inducción de la policía sobre los </w:t>
      </w:r>
      <w:r w:rsidR="00DE5C75">
        <w:rPr>
          <w:lang w:val="es-ES"/>
        </w:rPr>
        <w:t xml:space="preserve">testimonios de las </w:t>
      </w:r>
      <w:r w:rsidR="009E2AB4">
        <w:rPr>
          <w:lang w:val="es-ES"/>
        </w:rPr>
        <w:t>víctimas</w:t>
      </w:r>
      <w:r w:rsidR="00E436AD">
        <w:rPr>
          <w:rStyle w:val="Refdenotaalpie"/>
          <w:lang w:val="es-ES"/>
        </w:rPr>
        <w:footnoteReference w:id="6"/>
      </w:r>
      <w:r w:rsidR="00C860D9">
        <w:rPr>
          <w:lang w:val="es-ES"/>
        </w:rPr>
        <w:t xml:space="preserve">. </w:t>
      </w:r>
      <w:r w:rsidRPr="00442621">
        <w:rPr>
          <w:lang w:val="es-ES"/>
        </w:rPr>
        <w:t>Por otro lado, durante el juicio</w:t>
      </w:r>
      <w:r w:rsidR="00A32D95">
        <w:rPr>
          <w:lang w:val="es-ES"/>
        </w:rPr>
        <w:t xml:space="preserve"> el autor</w:t>
      </w:r>
      <w:r w:rsidRPr="00442621">
        <w:rPr>
          <w:lang w:val="es-ES"/>
        </w:rPr>
        <w:t xml:space="preserve"> permaneció oculto a </w:t>
      </w:r>
      <w:r w:rsidR="00DE5C75">
        <w:rPr>
          <w:lang w:val="es-ES"/>
        </w:rPr>
        <w:t xml:space="preserve">las </w:t>
      </w:r>
      <w:r w:rsidR="009E2AB4">
        <w:rPr>
          <w:lang w:val="es-ES"/>
        </w:rPr>
        <w:t>víctimas</w:t>
      </w:r>
      <w:r w:rsidRPr="00442621">
        <w:rPr>
          <w:lang w:val="es-ES"/>
        </w:rPr>
        <w:t xml:space="preserve"> tras un biombo cuya instalación no </w:t>
      </w:r>
      <w:r w:rsidR="00A32D95">
        <w:rPr>
          <w:lang w:val="es-ES"/>
        </w:rPr>
        <w:t xml:space="preserve">estaba justificada pues no existían en </w:t>
      </w:r>
      <w:r w:rsidR="00935506">
        <w:rPr>
          <w:lang w:val="es-ES"/>
        </w:rPr>
        <w:t>el proceso</w:t>
      </w:r>
      <w:r w:rsidR="00A32D95">
        <w:rPr>
          <w:lang w:val="es-ES"/>
        </w:rPr>
        <w:t xml:space="preserve"> testigos protegidos</w:t>
      </w:r>
      <w:r w:rsidR="00355352">
        <w:rPr>
          <w:lang w:val="es-ES"/>
        </w:rPr>
        <w:t>.</w:t>
      </w:r>
      <w:r w:rsidR="00451DB6" w:rsidRPr="00451DB6">
        <w:rPr>
          <w:lang w:val="es-ES"/>
        </w:rPr>
        <w:t xml:space="preserve"> </w:t>
      </w:r>
      <w:r w:rsidR="00451DB6">
        <w:rPr>
          <w:lang w:val="es-ES"/>
        </w:rPr>
        <w:t>Además, d</w:t>
      </w:r>
      <w:r w:rsidR="00451DB6" w:rsidRPr="00442621">
        <w:rPr>
          <w:lang w:val="es-ES"/>
        </w:rPr>
        <w:t>os de los robos imputados al autor, fueron cometidos en lugares difer</w:t>
      </w:r>
      <w:r w:rsidR="00451DB6">
        <w:rPr>
          <w:lang w:val="es-ES"/>
        </w:rPr>
        <w:t>entes y con una diferencia de 15</w:t>
      </w:r>
      <w:r w:rsidR="00451DB6" w:rsidRPr="00442621">
        <w:rPr>
          <w:lang w:val="es-ES"/>
        </w:rPr>
        <w:t xml:space="preserve"> minutos. A este respecto, el autor alegó que no era posible </w:t>
      </w:r>
      <w:r w:rsidR="00451DB6">
        <w:rPr>
          <w:lang w:val="es-ES"/>
        </w:rPr>
        <w:t xml:space="preserve">llegar a pie al otro lugar en 15 minutos. Según la sentencia del Juzgado de Primera instancia, tal alegación no podía prosperar pues, de acuerdo con </w:t>
      </w:r>
      <w:r w:rsidR="00451DB6" w:rsidRPr="004A6C84">
        <w:rPr>
          <w:lang w:val="es-ES"/>
        </w:rPr>
        <w:t xml:space="preserve">“Google </w:t>
      </w:r>
      <w:proofErr w:type="spellStart"/>
      <w:r w:rsidR="004A6C84" w:rsidRPr="0041359B">
        <w:rPr>
          <w:lang w:val="es-ES"/>
        </w:rPr>
        <w:t>M</w:t>
      </w:r>
      <w:r w:rsidR="00451DB6" w:rsidRPr="004A6C84">
        <w:rPr>
          <w:lang w:val="es-ES"/>
        </w:rPr>
        <w:t>aps</w:t>
      </w:r>
      <w:proofErr w:type="spellEnd"/>
      <w:r w:rsidR="00451DB6">
        <w:rPr>
          <w:lang w:val="es-ES"/>
        </w:rPr>
        <w:t>” sí era posible recorrer esa distancia a pie en 15 minutos.</w:t>
      </w:r>
    </w:p>
    <w:p w14:paraId="00A8FC49" w14:textId="2EB21291" w:rsidR="00442621" w:rsidRPr="00442621" w:rsidRDefault="00442621" w:rsidP="00442621">
      <w:pPr>
        <w:pStyle w:val="SingleTxtG"/>
        <w:rPr>
          <w:lang w:val="es-ES"/>
        </w:rPr>
      </w:pPr>
      <w:r w:rsidRPr="00442621">
        <w:rPr>
          <w:lang w:val="es-ES"/>
        </w:rPr>
        <w:t>3.3</w:t>
      </w:r>
      <w:r w:rsidRPr="00442621">
        <w:rPr>
          <w:lang w:val="es-ES"/>
        </w:rPr>
        <w:tab/>
        <w:t>Las autoridades judiciales denegaron arbitrariamente su solicitud de diligencias que habrían sido pruebas decisivas de descargo. Por otra parte, no investigaron debidamente a</w:t>
      </w:r>
      <w:r w:rsidR="00D96B59">
        <w:rPr>
          <w:lang w:val="es-ES"/>
        </w:rPr>
        <w:t xml:space="preserve"> </w:t>
      </w:r>
      <w:r w:rsidRPr="00442621">
        <w:rPr>
          <w:lang w:val="es-ES"/>
        </w:rPr>
        <w:lastRenderedPageBreak/>
        <w:t>J.</w:t>
      </w:r>
      <w:r w:rsidR="00154633">
        <w:rPr>
          <w:lang w:val="es-ES"/>
        </w:rPr>
        <w:t> </w:t>
      </w:r>
      <w:r w:rsidRPr="00442621">
        <w:rPr>
          <w:lang w:val="es-ES"/>
        </w:rPr>
        <w:t>M., autor de estos delitos.</w:t>
      </w:r>
      <w:r w:rsidR="00355352">
        <w:rPr>
          <w:lang w:val="es-ES"/>
        </w:rPr>
        <w:t xml:space="preserve"> Según el autor, la policía rehusó investigar cualquier hipótesis que no fuera encaminada a demostrar su autoría de los delitos.</w:t>
      </w:r>
      <w:r w:rsidR="001962F3" w:rsidRPr="00442621">
        <w:rPr>
          <w:lang w:val="es-ES"/>
        </w:rPr>
        <w:t xml:space="preserve"> </w:t>
      </w:r>
      <w:r w:rsidR="009C7ACE">
        <w:rPr>
          <w:lang w:val="es-ES"/>
        </w:rPr>
        <w:t>El autor afirma que otros robos que tuvieron lugar en el mismo per</w:t>
      </w:r>
      <w:r w:rsidR="00D96B59">
        <w:rPr>
          <w:lang w:val="es-ES"/>
        </w:rPr>
        <w:t>í</w:t>
      </w:r>
      <w:r w:rsidR="009C7ACE">
        <w:rPr>
          <w:lang w:val="es-ES"/>
        </w:rPr>
        <w:t xml:space="preserve">odo no fueron unidos a la causa porque él no fue reconocido por </w:t>
      </w:r>
      <w:r w:rsidR="00DE5C75">
        <w:rPr>
          <w:lang w:val="es-ES"/>
        </w:rPr>
        <w:t xml:space="preserve">las </w:t>
      </w:r>
      <w:r w:rsidR="009E2AB4">
        <w:rPr>
          <w:lang w:val="es-ES"/>
        </w:rPr>
        <w:t>víctimas</w:t>
      </w:r>
      <w:r w:rsidR="009C7ACE">
        <w:rPr>
          <w:lang w:val="es-ES"/>
        </w:rPr>
        <w:t>, pese a que, según el autor,</w:t>
      </w:r>
      <w:r w:rsidR="00783A4E">
        <w:rPr>
          <w:lang w:val="es-ES"/>
        </w:rPr>
        <w:t xml:space="preserve"> todos ellos</w:t>
      </w:r>
      <w:r w:rsidR="009C7ACE">
        <w:rPr>
          <w:lang w:val="es-ES"/>
        </w:rPr>
        <w:t xml:space="preserve"> habrían sido perpetrados por la misma persona</w:t>
      </w:r>
      <w:r w:rsidR="00FB09DE">
        <w:rPr>
          <w:lang w:val="es-ES"/>
        </w:rPr>
        <w:t>, J. M</w:t>
      </w:r>
      <w:r w:rsidR="009C7ACE">
        <w:rPr>
          <w:lang w:val="es-ES"/>
        </w:rPr>
        <w:t xml:space="preserve">. </w:t>
      </w:r>
      <w:r w:rsidR="009D3645">
        <w:rPr>
          <w:lang w:val="es-ES"/>
        </w:rPr>
        <w:t>El autor afirma que, si hubiera contado con más tiempo para preparar su defensa, habría podido convocar a estas víctimas como testigos de descargo.</w:t>
      </w:r>
      <w:r w:rsidR="00783A4E" w:rsidRPr="00783A4E">
        <w:rPr>
          <w:lang w:val="es-ES"/>
        </w:rPr>
        <w:t xml:space="preserve"> </w:t>
      </w:r>
      <w:r w:rsidR="00783A4E">
        <w:rPr>
          <w:lang w:val="es-ES"/>
        </w:rPr>
        <w:t>Para el autor, esta arbitrariedad tiene su origen en que está siendo discriminado por ser de origen árabe.</w:t>
      </w:r>
    </w:p>
    <w:p w14:paraId="3D797417" w14:textId="474C29E6" w:rsidR="00442621" w:rsidRPr="00442621" w:rsidRDefault="00442621" w:rsidP="00451DB6">
      <w:pPr>
        <w:pStyle w:val="SingleTxtG"/>
        <w:rPr>
          <w:lang w:val="es-ES"/>
        </w:rPr>
      </w:pPr>
      <w:r w:rsidRPr="00442621">
        <w:rPr>
          <w:lang w:val="es-ES"/>
        </w:rPr>
        <w:t>3.4</w:t>
      </w:r>
      <w:r w:rsidRPr="00442621">
        <w:rPr>
          <w:lang w:val="es-ES"/>
        </w:rPr>
        <w:tab/>
        <w:t xml:space="preserve">El autor alega </w:t>
      </w:r>
      <w:r w:rsidR="008F2F70">
        <w:rPr>
          <w:lang w:val="es-ES"/>
        </w:rPr>
        <w:t xml:space="preserve">que </w:t>
      </w:r>
      <w:r w:rsidR="00DE5C75">
        <w:rPr>
          <w:lang w:val="es-ES"/>
        </w:rPr>
        <w:t xml:space="preserve">las </w:t>
      </w:r>
      <w:r w:rsidR="009E2AB4">
        <w:rPr>
          <w:lang w:val="es-ES"/>
        </w:rPr>
        <w:t>víctimas</w:t>
      </w:r>
      <w:r w:rsidR="008F2F70">
        <w:rPr>
          <w:lang w:val="es-ES"/>
        </w:rPr>
        <w:t xml:space="preserve"> fueron influid</w:t>
      </w:r>
      <w:r w:rsidR="00DB41A4">
        <w:rPr>
          <w:lang w:val="es-ES"/>
        </w:rPr>
        <w:t>a</w:t>
      </w:r>
      <w:r w:rsidR="008F2F70">
        <w:rPr>
          <w:lang w:val="es-ES"/>
        </w:rPr>
        <w:t>s por la publicación</w:t>
      </w:r>
      <w:r w:rsidR="0079386C">
        <w:rPr>
          <w:lang w:val="es-ES"/>
        </w:rPr>
        <w:t xml:space="preserve"> de 11 de enero de 2014 en el diario local, pues esto</w:t>
      </w:r>
      <w:r w:rsidR="00451DB6">
        <w:rPr>
          <w:lang w:val="es-ES"/>
        </w:rPr>
        <w:t xml:space="preserve"> facilitó que aquellos</w:t>
      </w:r>
      <w:r w:rsidR="0001526B">
        <w:rPr>
          <w:lang w:val="es-ES"/>
        </w:rPr>
        <w:t xml:space="preserve"> que lo habían reconocido se reafirmaran en su convicción</w:t>
      </w:r>
      <w:r w:rsidR="008F2F70">
        <w:rPr>
          <w:rStyle w:val="Refdenotaalpie"/>
          <w:lang w:val="es-ES"/>
        </w:rPr>
        <w:footnoteReference w:id="7"/>
      </w:r>
      <w:r w:rsidR="0001526B">
        <w:rPr>
          <w:lang w:val="es-ES"/>
        </w:rPr>
        <w:t>.</w:t>
      </w:r>
    </w:p>
    <w:p w14:paraId="53D55C07" w14:textId="280A67E5" w:rsidR="00442621" w:rsidRPr="00442621" w:rsidRDefault="00442621" w:rsidP="00442621">
      <w:pPr>
        <w:pStyle w:val="SingleTxtG"/>
        <w:rPr>
          <w:lang w:val="es-ES"/>
        </w:rPr>
      </w:pPr>
      <w:r w:rsidRPr="00442621">
        <w:rPr>
          <w:lang w:val="es-ES"/>
        </w:rPr>
        <w:t>3.</w:t>
      </w:r>
      <w:r w:rsidR="00C37F03">
        <w:rPr>
          <w:lang w:val="es-ES"/>
        </w:rPr>
        <w:t>5</w:t>
      </w:r>
      <w:r w:rsidRPr="00442621">
        <w:rPr>
          <w:lang w:val="es-ES"/>
        </w:rPr>
        <w:tab/>
        <w:t xml:space="preserve">El autor </w:t>
      </w:r>
      <w:r w:rsidR="00451DB6">
        <w:rPr>
          <w:lang w:val="es-ES"/>
        </w:rPr>
        <w:t xml:space="preserve">alega que </w:t>
      </w:r>
      <w:r w:rsidRPr="00442621">
        <w:rPr>
          <w:lang w:val="es-ES"/>
        </w:rPr>
        <w:t>no contó con la posibilidad efectiva de que un tribunal superior revis</w:t>
      </w:r>
      <w:r w:rsidR="00C37F03">
        <w:rPr>
          <w:lang w:val="es-ES"/>
        </w:rPr>
        <w:t>ara</w:t>
      </w:r>
      <w:r w:rsidRPr="00442621">
        <w:rPr>
          <w:lang w:val="es-ES"/>
        </w:rPr>
        <w:t xml:space="preserve"> el fallo </w:t>
      </w:r>
      <w:r w:rsidR="004179B3">
        <w:rPr>
          <w:lang w:val="es-ES"/>
        </w:rPr>
        <w:t>condenatorio y la pena impuesta</w:t>
      </w:r>
      <w:r w:rsidRPr="00442621">
        <w:rPr>
          <w:lang w:val="es-ES"/>
        </w:rPr>
        <w:t xml:space="preserve"> por el Juzgado </w:t>
      </w:r>
      <w:r w:rsidR="00D96B59">
        <w:rPr>
          <w:lang w:val="es-ES"/>
        </w:rPr>
        <w:t>núm</w:t>
      </w:r>
      <w:r w:rsidRPr="00442621">
        <w:rPr>
          <w:lang w:val="es-ES"/>
        </w:rPr>
        <w:t>. 1. El propio fiscal</w:t>
      </w:r>
      <w:r w:rsidR="00F73BB5">
        <w:rPr>
          <w:lang w:val="es-ES"/>
        </w:rPr>
        <w:t>,</w:t>
      </w:r>
      <w:r w:rsidRPr="00442621">
        <w:rPr>
          <w:lang w:val="es-ES"/>
        </w:rPr>
        <w:t xml:space="preserve"> que se opuso a su recurso de apelación ante la Audiencia Provincial</w:t>
      </w:r>
      <w:r w:rsidR="00F73BB5">
        <w:rPr>
          <w:lang w:val="es-ES"/>
        </w:rPr>
        <w:t>,</w:t>
      </w:r>
      <w:r w:rsidRPr="00442621">
        <w:rPr>
          <w:lang w:val="es-ES"/>
        </w:rPr>
        <w:t xml:space="preserve"> </w:t>
      </w:r>
      <w:r w:rsidR="00F73BB5">
        <w:rPr>
          <w:lang w:val="es-ES"/>
        </w:rPr>
        <w:t>afirmó</w:t>
      </w:r>
      <w:r w:rsidRPr="00442621">
        <w:rPr>
          <w:lang w:val="es-ES"/>
        </w:rPr>
        <w:t xml:space="preserve"> que en apelación no </w:t>
      </w:r>
      <w:r w:rsidR="00F73BB5">
        <w:rPr>
          <w:lang w:val="es-ES"/>
        </w:rPr>
        <w:t xml:space="preserve">es posible </w:t>
      </w:r>
      <w:r w:rsidRPr="00442621">
        <w:rPr>
          <w:lang w:val="es-ES"/>
        </w:rPr>
        <w:t>solicitar la revisión de la credibilidad de los testigos, salvo en caso</w:t>
      </w:r>
      <w:r w:rsidR="00F73BB5">
        <w:rPr>
          <w:lang w:val="es-ES"/>
        </w:rPr>
        <w:t>s</w:t>
      </w:r>
      <w:r w:rsidRPr="00442621">
        <w:rPr>
          <w:lang w:val="es-ES"/>
        </w:rPr>
        <w:t xml:space="preserve"> claramente arbitrarios.</w:t>
      </w:r>
      <w:r w:rsidR="00F73BB5">
        <w:rPr>
          <w:lang w:val="es-ES"/>
        </w:rPr>
        <w:t xml:space="preserve"> Esto, según el autor, pone de manifiesto que la segunda instancia no puede ser considerada como una revisión del fallo y la pena.</w:t>
      </w:r>
    </w:p>
    <w:p w14:paraId="2A9C2317" w14:textId="324089EF" w:rsidR="00DC7D16" w:rsidRPr="00F45532" w:rsidRDefault="00442621" w:rsidP="00442621">
      <w:pPr>
        <w:pStyle w:val="SingleTxtG"/>
        <w:rPr>
          <w:lang w:val="es-ES"/>
        </w:rPr>
      </w:pPr>
      <w:r w:rsidRPr="00442621">
        <w:rPr>
          <w:lang w:val="es-ES"/>
        </w:rPr>
        <w:t>3.</w:t>
      </w:r>
      <w:r w:rsidR="00C37F03">
        <w:rPr>
          <w:lang w:val="es-ES"/>
        </w:rPr>
        <w:t>6</w:t>
      </w:r>
      <w:r w:rsidRPr="00442621">
        <w:rPr>
          <w:lang w:val="es-ES"/>
        </w:rPr>
        <w:tab/>
        <w:t>El autor alega que las penas</w:t>
      </w:r>
      <w:r w:rsidR="004179B3">
        <w:rPr>
          <w:lang w:val="es-ES"/>
        </w:rPr>
        <w:t xml:space="preserve"> impuestas (25 años de prisión</w:t>
      </w:r>
      <w:r w:rsidR="00315355">
        <w:rPr>
          <w:lang w:val="es-ES"/>
        </w:rPr>
        <w:t>,</w:t>
      </w:r>
      <w:r w:rsidR="004179B3">
        <w:rPr>
          <w:lang w:val="es-ES"/>
        </w:rPr>
        <w:t xml:space="preserve"> de los cuales</w:t>
      </w:r>
      <w:r w:rsidRPr="00442621">
        <w:rPr>
          <w:lang w:val="es-ES"/>
        </w:rPr>
        <w:t xml:space="preserve"> 12 efectivos) son desproporcionadas, inhumanas y</w:t>
      </w:r>
      <w:r w:rsidR="00451DB6">
        <w:rPr>
          <w:lang w:val="es-ES"/>
        </w:rPr>
        <w:t xml:space="preserve"> discriminatorias, en relación con</w:t>
      </w:r>
      <w:r w:rsidRPr="00442621">
        <w:rPr>
          <w:lang w:val="es-ES"/>
        </w:rPr>
        <w:t xml:space="preserve"> los delitos cometidos</w:t>
      </w:r>
      <w:r w:rsidR="003127CB">
        <w:rPr>
          <w:lang w:val="es-ES"/>
        </w:rPr>
        <w:t xml:space="preserve"> pues existen delitos de homicidio con atenuantes que pueden conllevar s</w:t>
      </w:r>
      <w:r w:rsidR="00D96B59">
        <w:rPr>
          <w:lang w:val="es-ES"/>
        </w:rPr>
        <w:t>o</w:t>
      </w:r>
      <w:r w:rsidR="003127CB">
        <w:rPr>
          <w:lang w:val="es-ES"/>
        </w:rPr>
        <w:t>lo 6 años de prisión</w:t>
      </w:r>
      <w:r w:rsidR="00960AAC" w:rsidRPr="00960AAC">
        <w:rPr>
          <w:lang w:val="es-ES"/>
        </w:rPr>
        <w:t>.</w:t>
      </w:r>
    </w:p>
    <w:p w14:paraId="32436C03" w14:textId="694A1799" w:rsidR="00C50139" w:rsidRDefault="00A03082" w:rsidP="00236D2B">
      <w:pPr>
        <w:pStyle w:val="H23G"/>
        <w:rPr>
          <w:lang w:val="es-ES"/>
        </w:rPr>
      </w:pPr>
      <w:r>
        <w:rPr>
          <w:lang w:val="es-ES"/>
        </w:rPr>
        <w:tab/>
      </w:r>
      <w:r>
        <w:rPr>
          <w:lang w:val="es-ES"/>
        </w:rPr>
        <w:tab/>
      </w:r>
      <w:r w:rsidR="00665E03" w:rsidRPr="00F45532">
        <w:rPr>
          <w:lang w:val="es-ES"/>
        </w:rPr>
        <w:t>Observaciones del Est</w:t>
      </w:r>
      <w:r w:rsidR="00960AAC">
        <w:rPr>
          <w:lang w:val="es-ES"/>
        </w:rPr>
        <w:t>ado parte sobre la admisibilidad</w:t>
      </w:r>
      <w:r w:rsidR="00573D5E">
        <w:rPr>
          <w:lang w:val="es-ES"/>
        </w:rPr>
        <w:t xml:space="preserve"> y el fondo</w:t>
      </w:r>
    </w:p>
    <w:p w14:paraId="35DCD378" w14:textId="70F852F7" w:rsidR="00960AAC" w:rsidRPr="00960AAC" w:rsidRDefault="00776B94">
      <w:pPr>
        <w:pStyle w:val="SingleTxtG"/>
        <w:rPr>
          <w:lang w:val="es-ES"/>
        </w:rPr>
      </w:pPr>
      <w:r>
        <w:rPr>
          <w:lang w:val="es-ES_tradnl"/>
        </w:rPr>
        <w:t>4.1</w:t>
      </w:r>
      <w:r w:rsidR="00960AAC" w:rsidRPr="00960AAC">
        <w:rPr>
          <w:lang w:val="es-ES_tradnl"/>
        </w:rPr>
        <w:tab/>
        <w:t xml:space="preserve">Mediante </w:t>
      </w:r>
      <w:r w:rsidR="00B21501">
        <w:rPr>
          <w:lang w:val="es-ES_tradnl"/>
        </w:rPr>
        <w:t>nota verbal de 7 de junio de 2017, e</w:t>
      </w:r>
      <w:r w:rsidR="00960AAC" w:rsidRPr="00960AAC">
        <w:rPr>
          <w:lang w:val="es-ES"/>
        </w:rPr>
        <w:t xml:space="preserve">l Estado </w:t>
      </w:r>
      <w:r w:rsidR="00061AE4">
        <w:rPr>
          <w:lang w:val="es-ES"/>
        </w:rPr>
        <w:t>p</w:t>
      </w:r>
      <w:r w:rsidR="00960AAC" w:rsidRPr="00960AAC">
        <w:rPr>
          <w:lang w:val="es-ES"/>
        </w:rPr>
        <w:t xml:space="preserve">arte </w:t>
      </w:r>
      <w:r w:rsidR="00C91A5D">
        <w:rPr>
          <w:lang w:val="es-ES"/>
        </w:rPr>
        <w:t>presentó</w:t>
      </w:r>
      <w:r w:rsidR="00960AAC" w:rsidRPr="00960AAC">
        <w:rPr>
          <w:lang w:val="es-ES"/>
        </w:rPr>
        <w:t xml:space="preserve"> sus observaciones relativas a la admisibilidad de la comunicación. Sostiene que la comunicación es inadmisible conforme</w:t>
      </w:r>
      <w:r w:rsidR="00FE6B86">
        <w:rPr>
          <w:lang w:val="es-ES"/>
        </w:rPr>
        <w:t xml:space="preserve"> al artículo </w:t>
      </w:r>
      <w:r w:rsidR="00960AAC" w:rsidRPr="00960AAC">
        <w:rPr>
          <w:lang w:val="es-ES"/>
        </w:rPr>
        <w:t>3 del Protocolo Facultativo por falta de fundamentación</w:t>
      </w:r>
      <w:r w:rsidR="00FE6B86">
        <w:rPr>
          <w:lang w:val="es-ES"/>
        </w:rPr>
        <w:t xml:space="preserve"> de las alegaciones</w:t>
      </w:r>
      <w:r w:rsidR="00BC4DB1">
        <w:rPr>
          <w:lang w:val="es-ES"/>
        </w:rPr>
        <w:t>, que se refieren de forma abstracta al artículo 14, sin especificar</w:t>
      </w:r>
      <w:r w:rsidR="007A3DE8">
        <w:rPr>
          <w:lang w:val="es-ES"/>
        </w:rPr>
        <w:t xml:space="preserve"> en qué modo </w:t>
      </w:r>
      <w:r w:rsidR="00BC4DB1">
        <w:rPr>
          <w:lang w:val="es-ES"/>
        </w:rPr>
        <w:t>sus provisiones han sido violadas</w:t>
      </w:r>
      <w:r w:rsidR="00960AAC" w:rsidRPr="00960AAC">
        <w:rPr>
          <w:lang w:val="es-ES"/>
        </w:rPr>
        <w:t>.</w:t>
      </w:r>
    </w:p>
    <w:p w14:paraId="73A961C1" w14:textId="210996A9" w:rsidR="00960AAC" w:rsidRPr="00960AAC" w:rsidRDefault="00776B94">
      <w:pPr>
        <w:pStyle w:val="SingleTxtG"/>
        <w:rPr>
          <w:lang w:val="es-ES"/>
        </w:rPr>
      </w:pPr>
      <w:r>
        <w:rPr>
          <w:lang w:val="es-ES"/>
        </w:rPr>
        <w:t>4.2</w:t>
      </w:r>
      <w:r>
        <w:rPr>
          <w:lang w:val="es-ES"/>
        </w:rPr>
        <w:tab/>
      </w:r>
      <w:r w:rsidR="00960AAC" w:rsidRPr="00960AAC">
        <w:rPr>
          <w:lang w:val="es-ES"/>
        </w:rPr>
        <w:t>El Estado parte</w:t>
      </w:r>
      <w:r w:rsidR="00B21501">
        <w:rPr>
          <w:lang w:val="es-ES"/>
        </w:rPr>
        <w:t xml:space="preserve"> hace notar que el autor se limita a señalar que la instrucción penal fue breve, sin desarrollar esta alegaci</w:t>
      </w:r>
      <w:r w:rsidR="00FE6B86">
        <w:rPr>
          <w:lang w:val="es-ES"/>
        </w:rPr>
        <w:t xml:space="preserve">ón y </w:t>
      </w:r>
      <w:r w:rsidR="00B21501">
        <w:rPr>
          <w:lang w:val="es-ES"/>
        </w:rPr>
        <w:t>afirma que esta celeridad cumplió con su obligación contenida en el artículo 14, párrafo 3</w:t>
      </w:r>
      <w:r w:rsidR="00D96B59">
        <w:rPr>
          <w:lang w:val="es-ES"/>
        </w:rPr>
        <w:t>, apartado</w:t>
      </w:r>
      <w:r w:rsidR="00B21501">
        <w:rPr>
          <w:lang w:val="es-ES"/>
        </w:rPr>
        <w:t xml:space="preserve"> c)</w:t>
      </w:r>
      <w:r w:rsidR="00960AAC" w:rsidRPr="00960AAC">
        <w:rPr>
          <w:lang w:val="es-ES"/>
        </w:rPr>
        <w:t>.</w:t>
      </w:r>
    </w:p>
    <w:p w14:paraId="468E632E" w14:textId="19D24F4E" w:rsidR="00D70B26" w:rsidRDefault="00776B94">
      <w:pPr>
        <w:pStyle w:val="SingleTxtG"/>
        <w:rPr>
          <w:lang w:val="es-ES"/>
        </w:rPr>
      </w:pPr>
      <w:r>
        <w:rPr>
          <w:lang w:val="es-ES"/>
        </w:rPr>
        <w:t>4.3</w:t>
      </w:r>
      <w:r>
        <w:rPr>
          <w:lang w:val="es-ES"/>
        </w:rPr>
        <w:tab/>
      </w:r>
      <w:r w:rsidR="00960AAC" w:rsidRPr="00960AAC">
        <w:rPr>
          <w:lang w:val="es-ES"/>
        </w:rPr>
        <w:t>E</w:t>
      </w:r>
      <w:r w:rsidR="00D70B26">
        <w:rPr>
          <w:lang w:val="es-ES"/>
        </w:rPr>
        <w:t>n relación con las alegaciones sobre la falta de validez de los reconocimientos fotográficos, el Estado parte se remite a las sentencias de primera instancia y de apelación en que se realizan sendos estudios de validez de los reconocimientos fotográficos y mediante rueda</w:t>
      </w:r>
      <w:r w:rsidR="007A3DE8">
        <w:rPr>
          <w:lang w:val="es-ES"/>
        </w:rPr>
        <w:t>s</w:t>
      </w:r>
      <w:r w:rsidR="00D70B26">
        <w:rPr>
          <w:lang w:val="es-ES"/>
        </w:rPr>
        <w:t xml:space="preserve"> de reconocimiento. Además, la sentencia de primera instancia acredita que s</w:t>
      </w:r>
      <w:r w:rsidR="00D96B59">
        <w:rPr>
          <w:lang w:val="es-ES"/>
        </w:rPr>
        <w:t>o</w:t>
      </w:r>
      <w:r w:rsidR="00D70B26">
        <w:rPr>
          <w:lang w:val="es-ES"/>
        </w:rPr>
        <w:t>lo un</w:t>
      </w:r>
      <w:r w:rsidR="00DE5C75">
        <w:rPr>
          <w:lang w:val="es-ES"/>
        </w:rPr>
        <w:t>a</w:t>
      </w:r>
      <w:r w:rsidR="00D70B26">
        <w:rPr>
          <w:lang w:val="es-ES"/>
        </w:rPr>
        <w:t xml:space="preserve"> de</w:t>
      </w:r>
      <w:r w:rsidR="00DE5C75">
        <w:rPr>
          <w:lang w:val="es-ES"/>
        </w:rPr>
        <w:t xml:space="preserve"> las</w:t>
      </w:r>
      <w:r w:rsidR="00D70B26">
        <w:rPr>
          <w:lang w:val="es-ES"/>
        </w:rPr>
        <w:t xml:space="preserve"> </w:t>
      </w:r>
      <w:r w:rsidR="009E2AB4">
        <w:rPr>
          <w:lang w:val="es-ES"/>
        </w:rPr>
        <w:t>víctimas</w:t>
      </w:r>
      <w:r w:rsidR="00D70B26">
        <w:rPr>
          <w:lang w:val="es-ES"/>
        </w:rPr>
        <w:t xml:space="preserve"> vio la foto filtrada a la prensa y a las redes sociales de la ficha policial del autor.</w:t>
      </w:r>
    </w:p>
    <w:p w14:paraId="3BC1190D" w14:textId="09F898C6" w:rsidR="00132184" w:rsidRDefault="00D70B26">
      <w:pPr>
        <w:pStyle w:val="SingleTxtG"/>
        <w:rPr>
          <w:lang w:val="es-ES"/>
        </w:rPr>
      </w:pPr>
      <w:r>
        <w:rPr>
          <w:lang w:val="es-ES"/>
        </w:rPr>
        <w:t>4.4</w:t>
      </w:r>
      <w:r>
        <w:rPr>
          <w:lang w:val="es-ES"/>
        </w:rPr>
        <w:tab/>
      </w:r>
      <w:r w:rsidR="00132184">
        <w:rPr>
          <w:lang w:val="es-ES"/>
        </w:rPr>
        <w:t xml:space="preserve">El </w:t>
      </w:r>
      <w:r w:rsidR="00D96B59">
        <w:rPr>
          <w:lang w:val="es-ES"/>
        </w:rPr>
        <w:t>E</w:t>
      </w:r>
      <w:r w:rsidR="00132184">
        <w:rPr>
          <w:lang w:val="es-ES"/>
        </w:rPr>
        <w:t>stado parte aclara que la solicitud de diligencia para que se recabara la grabación de la cámara de un cajero fue rechazada porque estaba relacionada con un delito que se investigaba en otro enjuiciamiento diferente al objeto de esta comunicación. Además, en el acto del juicio oral y en las cuestiones previas, el autor s</w:t>
      </w:r>
      <w:r w:rsidR="00D96B59">
        <w:rPr>
          <w:lang w:val="es-ES"/>
        </w:rPr>
        <w:t>o</w:t>
      </w:r>
      <w:r w:rsidR="00132184">
        <w:rPr>
          <w:lang w:val="es-ES"/>
        </w:rPr>
        <w:t xml:space="preserve">lo reiteró la petición del testimonio de su cónyuge, la cual fue accedida por el </w:t>
      </w:r>
      <w:r w:rsidR="00D96B59">
        <w:rPr>
          <w:lang w:val="es-ES"/>
        </w:rPr>
        <w:t>J</w:t>
      </w:r>
      <w:r w:rsidR="00132184">
        <w:rPr>
          <w:lang w:val="es-ES"/>
        </w:rPr>
        <w:t>uzgado, pero no de las otras pruebas.</w:t>
      </w:r>
    </w:p>
    <w:p w14:paraId="6EAAF219" w14:textId="3DD75C31" w:rsidR="00DE31AE" w:rsidRDefault="00132184">
      <w:pPr>
        <w:pStyle w:val="SingleTxtG"/>
        <w:rPr>
          <w:lang w:val="es-ES"/>
        </w:rPr>
      </w:pPr>
      <w:r>
        <w:rPr>
          <w:lang w:val="es-ES"/>
        </w:rPr>
        <w:t>4.5</w:t>
      </w:r>
      <w:r w:rsidR="00960AAC" w:rsidRPr="00960AAC">
        <w:rPr>
          <w:lang w:val="es-ES"/>
        </w:rPr>
        <w:tab/>
      </w:r>
      <w:r>
        <w:rPr>
          <w:lang w:val="es-ES"/>
        </w:rPr>
        <w:t xml:space="preserve">En relación con la utilización de </w:t>
      </w:r>
      <w:r w:rsidR="00D96B59">
        <w:rPr>
          <w:lang w:val="es-ES"/>
        </w:rPr>
        <w:t>“G</w:t>
      </w:r>
      <w:r>
        <w:rPr>
          <w:lang w:val="es-ES"/>
        </w:rPr>
        <w:t xml:space="preserve">oogle </w:t>
      </w:r>
      <w:proofErr w:type="spellStart"/>
      <w:r w:rsidR="007E3748">
        <w:rPr>
          <w:lang w:val="es-ES"/>
        </w:rPr>
        <w:t>M</w:t>
      </w:r>
      <w:r>
        <w:rPr>
          <w:lang w:val="es-ES"/>
        </w:rPr>
        <w:t>aps</w:t>
      </w:r>
      <w:proofErr w:type="spellEnd"/>
      <w:r w:rsidR="00D96B59">
        <w:rPr>
          <w:lang w:val="es-ES"/>
        </w:rPr>
        <w:t>”</w:t>
      </w:r>
      <w:r>
        <w:rPr>
          <w:lang w:val="es-ES"/>
        </w:rPr>
        <w:t xml:space="preserve"> para calcular el tiempo de r</w:t>
      </w:r>
      <w:r w:rsidR="007A3DE8">
        <w:rPr>
          <w:lang w:val="es-ES"/>
        </w:rPr>
        <w:t>ec</w:t>
      </w:r>
      <w:r w:rsidR="004A6C84">
        <w:rPr>
          <w:lang w:val="es-ES"/>
        </w:rPr>
        <w:t>o</w:t>
      </w:r>
      <w:r w:rsidR="007A3DE8">
        <w:rPr>
          <w:lang w:val="es-ES"/>
        </w:rPr>
        <w:t>rrido entre dos lugares en que se acusaba al autor de haber cometido robo una</w:t>
      </w:r>
      <w:r>
        <w:rPr>
          <w:lang w:val="es-ES"/>
        </w:rPr>
        <w:t xml:space="preserve"> misma noche, el Estado parte asegura que </w:t>
      </w:r>
      <w:r w:rsidR="004A6C84">
        <w:rPr>
          <w:lang w:val="es-ES"/>
        </w:rPr>
        <w:t>de</w:t>
      </w:r>
      <w:r>
        <w:rPr>
          <w:lang w:val="es-ES"/>
        </w:rPr>
        <w:t xml:space="preserve"> la lectura de la sentencia puede comprobarse que esta referencia es meramente complementaria, dado que existen siete </w:t>
      </w:r>
      <w:r w:rsidR="009E2AB4">
        <w:rPr>
          <w:lang w:val="es-ES"/>
        </w:rPr>
        <w:t>víctimas</w:t>
      </w:r>
      <w:r>
        <w:rPr>
          <w:lang w:val="es-ES"/>
        </w:rPr>
        <w:t xml:space="preserve"> que identifican al autor sin género de dudas.</w:t>
      </w:r>
    </w:p>
    <w:p w14:paraId="3AEA2F23" w14:textId="68A5DB35" w:rsidR="00512FA9" w:rsidRDefault="00512FA9" w:rsidP="00512FA9">
      <w:pPr>
        <w:pStyle w:val="SingleTxtG"/>
        <w:rPr>
          <w:lang w:val="es-ES"/>
        </w:rPr>
      </w:pPr>
      <w:r>
        <w:rPr>
          <w:lang w:val="es-ES"/>
        </w:rPr>
        <w:t>4.6</w:t>
      </w:r>
      <w:r>
        <w:rPr>
          <w:lang w:val="es-ES"/>
        </w:rPr>
        <w:tab/>
        <w:t>El Estado parte afirma que</w:t>
      </w:r>
      <w:r w:rsidR="007A3DE8">
        <w:rPr>
          <w:lang w:val="es-ES"/>
        </w:rPr>
        <w:t>,</w:t>
      </w:r>
      <w:r>
        <w:rPr>
          <w:lang w:val="es-ES"/>
        </w:rPr>
        <w:t xml:space="preserve"> si el sujeto identificado como J. M. no fue investigado, es porque no existían indicios que lo relacionaran con los delitos, en particular, los móviles que </w:t>
      </w:r>
      <w:r>
        <w:rPr>
          <w:lang w:val="es-ES"/>
        </w:rPr>
        <w:lastRenderedPageBreak/>
        <w:t>habrían sido vendidos por J. M. no fueron identificados por las víctimas de los robos como suyos, y por tanto no guardaban relación con los delitos investigados</w:t>
      </w:r>
      <w:r w:rsidR="007A3DE8">
        <w:rPr>
          <w:rStyle w:val="Refdenotaalpie"/>
          <w:lang w:val="es-ES"/>
        </w:rPr>
        <w:footnoteReference w:id="8"/>
      </w:r>
      <w:r>
        <w:rPr>
          <w:lang w:val="es-ES"/>
        </w:rPr>
        <w:t>.</w:t>
      </w:r>
    </w:p>
    <w:p w14:paraId="6469B930" w14:textId="58AC64DA" w:rsidR="00256547" w:rsidRDefault="00256547" w:rsidP="00512FA9">
      <w:pPr>
        <w:pStyle w:val="SingleTxtG"/>
        <w:rPr>
          <w:lang w:val="es-ES"/>
        </w:rPr>
      </w:pPr>
      <w:r>
        <w:rPr>
          <w:lang w:val="es-ES"/>
        </w:rPr>
        <w:t>4.7</w:t>
      </w:r>
      <w:r>
        <w:rPr>
          <w:lang w:val="es-ES"/>
        </w:rPr>
        <w:tab/>
        <w:t>El Estado parte informa de que, de acuerdo con el artículo 707 de la Ley de Enjuiciamiento Criminal, las víctimas tienen derecho a que se adopten medidas que e</w:t>
      </w:r>
      <w:r w:rsidR="00BF5C97">
        <w:rPr>
          <w:lang w:val="es-ES"/>
        </w:rPr>
        <w:t xml:space="preserve">viten el contacto visual </w:t>
      </w:r>
      <w:r w:rsidR="00C37F03">
        <w:rPr>
          <w:lang w:val="es-ES"/>
        </w:rPr>
        <w:t>con el</w:t>
      </w:r>
      <w:r>
        <w:rPr>
          <w:lang w:val="es-ES"/>
        </w:rPr>
        <w:t xml:space="preserve"> supuesto autor de los hechos. En el caso presente se hizo uso de una mampara solicitada por las propias víctimas. Además, la defensa no solicitó el reconocimiento del procesado por las víctimas durante el juicio oral, ni plantearon queja por el uso de la mampara.</w:t>
      </w:r>
    </w:p>
    <w:p w14:paraId="1EC48FD9" w14:textId="4FF081B2" w:rsidR="00256547" w:rsidRDefault="00256547" w:rsidP="00512FA9">
      <w:pPr>
        <w:pStyle w:val="SingleTxtG"/>
        <w:rPr>
          <w:lang w:val="es-ES"/>
        </w:rPr>
      </w:pPr>
      <w:r>
        <w:rPr>
          <w:lang w:val="es-ES"/>
        </w:rPr>
        <w:t>4.8</w:t>
      </w:r>
      <w:r>
        <w:rPr>
          <w:lang w:val="es-ES"/>
        </w:rPr>
        <w:tab/>
        <w:t>El Estado parte afirma que el derecho a la presunción de inocencia fue en todo momento respetado, que el autor fue encontrado culpable en una sentencia debidamente motivada</w:t>
      </w:r>
      <w:r w:rsidR="00C37F03">
        <w:rPr>
          <w:lang w:val="es-ES"/>
        </w:rPr>
        <w:t>,</w:t>
      </w:r>
      <w:r w:rsidR="00361AFE" w:rsidRPr="00361AFE">
        <w:rPr>
          <w:lang w:val="es-ES"/>
        </w:rPr>
        <w:t xml:space="preserve"> </w:t>
      </w:r>
      <w:r w:rsidR="00361AFE">
        <w:rPr>
          <w:lang w:val="es-ES"/>
        </w:rPr>
        <w:t>que fue revisada por un</w:t>
      </w:r>
      <w:r w:rsidR="00C37F03">
        <w:rPr>
          <w:lang w:val="es-ES"/>
        </w:rPr>
        <w:t>a</w:t>
      </w:r>
      <w:r w:rsidR="00361AFE">
        <w:rPr>
          <w:lang w:val="es-ES"/>
        </w:rPr>
        <w:t xml:space="preserve"> instancia superior</w:t>
      </w:r>
      <w:r>
        <w:rPr>
          <w:lang w:val="es-ES"/>
        </w:rPr>
        <w:t xml:space="preserve"> </w:t>
      </w:r>
      <w:r w:rsidR="00361AFE">
        <w:rPr>
          <w:lang w:val="es-ES"/>
        </w:rPr>
        <w:t xml:space="preserve">y </w:t>
      </w:r>
      <w:r>
        <w:rPr>
          <w:lang w:val="es-ES"/>
        </w:rPr>
        <w:t xml:space="preserve">en </w:t>
      </w:r>
      <w:r w:rsidR="00C37F03">
        <w:rPr>
          <w:lang w:val="es-ES"/>
        </w:rPr>
        <w:t xml:space="preserve">la </w:t>
      </w:r>
      <w:r>
        <w:rPr>
          <w:lang w:val="es-ES"/>
        </w:rPr>
        <w:t xml:space="preserve">que consta </w:t>
      </w:r>
      <w:r w:rsidR="00361AFE">
        <w:rPr>
          <w:lang w:val="es-ES"/>
        </w:rPr>
        <w:t>su</w:t>
      </w:r>
      <w:r>
        <w:rPr>
          <w:lang w:val="es-ES"/>
        </w:rPr>
        <w:t xml:space="preserve"> identificación</w:t>
      </w:r>
      <w:r w:rsidR="00361AFE">
        <w:rPr>
          <w:lang w:val="es-ES"/>
        </w:rPr>
        <w:t xml:space="preserve"> por siete </w:t>
      </w:r>
      <w:r w:rsidR="009E2AB4">
        <w:rPr>
          <w:lang w:val="es-ES"/>
        </w:rPr>
        <w:t>víctimas</w:t>
      </w:r>
      <w:r>
        <w:rPr>
          <w:lang w:val="es-ES"/>
        </w:rPr>
        <w:t xml:space="preserve">. En relación con la condena a 25 años de prisión </w:t>
      </w:r>
      <w:r w:rsidR="00361AFE">
        <w:rPr>
          <w:lang w:val="es-ES"/>
        </w:rPr>
        <w:t>c</w:t>
      </w:r>
      <w:r>
        <w:rPr>
          <w:lang w:val="es-ES"/>
        </w:rPr>
        <w:t xml:space="preserve">on un máximo cumplimiento de 12 años, el Estado parte considera que el autor no ha especificado por qué considera </w:t>
      </w:r>
      <w:r w:rsidR="00361AFE">
        <w:rPr>
          <w:lang w:val="es-ES"/>
        </w:rPr>
        <w:t>esta</w:t>
      </w:r>
      <w:r>
        <w:rPr>
          <w:lang w:val="es-ES"/>
        </w:rPr>
        <w:t xml:space="preserve"> pena desproporcionada a los delitos de dos robos con violencia e intimidación, uno de ellos con armas, cinco delitos de robo con intimidación, un delito de lesiones, y cuatro faltas de lesiones.</w:t>
      </w:r>
    </w:p>
    <w:p w14:paraId="75A1D170" w14:textId="132B9F8C" w:rsidR="00256547" w:rsidRPr="00512FA9" w:rsidRDefault="00256547" w:rsidP="00512FA9">
      <w:pPr>
        <w:pStyle w:val="SingleTxtG"/>
        <w:rPr>
          <w:lang w:val="es-ES"/>
        </w:rPr>
      </w:pPr>
      <w:r>
        <w:rPr>
          <w:lang w:val="es-ES"/>
        </w:rPr>
        <w:t>4.9</w:t>
      </w:r>
      <w:r>
        <w:rPr>
          <w:lang w:val="es-ES"/>
        </w:rPr>
        <w:tab/>
        <w:t>El Estado parte conside</w:t>
      </w:r>
      <w:r w:rsidR="00DF0F17">
        <w:rPr>
          <w:lang w:val="es-ES"/>
        </w:rPr>
        <w:t>ra que el autor no ha fundamentado ninguna de sus alegaciones, que son meros reproches que ni siquiera están confirmados por la documentaci</w:t>
      </w:r>
      <w:r w:rsidR="00361AFE">
        <w:rPr>
          <w:lang w:val="es-ES"/>
        </w:rPr>
        <w:t xml:space="preserve">ón que se aporta como evidencia y </w:t>
      </w:r>
      <w:r w:rsidR="007A3DE8">
        <w:rPr>
          <w:lang w:val="es-ES"/>
        </w:rPr>
        <w:t>que,</w:t>
      </w:r>
      <w:r w:rsidR="00361AFE">
        <w:rPr>
          <w:lang w:val="es-ES"/>
        </w:rPr>
        <w:t xml:space="preserve"> p</w:t>
      </w:r>
      <w:r w:rsidR="00DF0F17">
        <w:rPr>
          <w:lang w:val="es-ES"/>
        </w:rPr>
        <w:t>or tanto, procede la inadmisibilidad de acuerdo con el artículo 3 del Protocolo Facultativo. Subsidiariamente, el Estado parte considera que la comunicación no revela ninguna violación del artículo 14 del Pacto, por las razones expuestas.</w:t>
      </w:r>
    </w:p>
    <w:p w14:paraId="1104E2E4" w14:textId="4B554110" w:rsidR="00FB4C8C" w:rsidRPr="00F45532" w:rsidRDefault="00A03082" w:rsidP="00236D2B">
      <w:pPr>
        <w:pStyle w:val="H23G"/>
        <w:rPr>
          <w:lang w:val="es-ES"/>
        </w:rPr>
      </w:pPr>
      <w:r>
        <w:rPr>
          <w:lang w:val="es-ES"/>
        </w:rPr>
        <w:tab/>
      </w:r>
      <w:r>
        <w:rPr>
          <w:lang w:val="es-ES"/>
        </w:rPr>
        <w:tab/>
      </w:r>
      <w:r w:rsidR="00FB4C8C" w:rsidRPr="00F45532">
        <w:rPr>
          <w:lang w:val="es-ES"/>
        </w:rPr>
        <w:t xml:space="preserve">Comentarios </w:t>
      </w:r>
      <w:r w:rsidR="00633BBA">
        <w:rPr>
          <w:lang w:val="es-ES"/>
        </w:rPr>
        <w:t>del autor</w:t>
      </w:r>
      <w:r w:rsidR="00FB4C8C" w:rsidRPr="00F45532">
        <w:rPr>
          <w:lang w:val="es-ES"/>
        </w:rPr>
        <w:t xml:space="preserve"> </w:t>
      </w:r>
      <w:r w:rsidR="00960AAC">
        <w:rPr>
          <w:lang w:val="es-ES"/>
        </w:rPr>
        <w:t>a</w:t>
      </w:r>
      <w:r w:rsidR="00FB4C8C" w:rsidRPr="00F45532">
        <w:rPr>
          <w:lang w:val="es-ES"/>
        </w:rPr>
        <w:t xml:space="preserve"> las observaciones del Estado</w:t>
      </w:r>
      <w:r w:rsidR="004749B7" w:rsidRPr="00F45532">
        <w:rPr>
          <w:lang w:val="es-ES"/>
        </w:rPr>
        <w:t xml:space="preserve"> parte</w:t>
      </w:r>
    </w:p>
    <w:p w14:paraId="19B6AEF1" w14:textId="20113A26" w:rsidR="001833D4" w:rsidRDefault="00776B94">
      <w:pPr>
        <w:pStyle w:val="SingleTxtG"/>
        <w:rPr>
          <w:lang w:val="es-ES_tradnl"/>
        </w:rPr>
      </w:pPr>
      <w:r>
        <w:rPr>
          <w:lang w:val="es-ES_tradnl"/>
        </w:rPr>
        <w:t>5.1</w:t>
      </w:r>
      <w:r w:rsidR="00960AAC" w:rsidRPr="00960AAC">
        <w:rPr>
          <w:lang w:val="es-ES_tradnl"/>
        </w:rPr>
        <w:tab/>
      </w:r>
      <w:r w:rsidR="001833D4">
        <w:rPr>
          <w:lang w:val="es-ES_tradnl"/>
        </w:rPr>
        <w:t>El 5 de septiembre de 2017</w:t>
      </w:r>
      <w:r w:rsidR="007511EF">
        <w:rPr>
          <w:lang w:val="es-ES_tradnl"/>
        </w:rPr>
        <w:t>,</w:t>
      </w:r>
      <w:r w:rsidR="001833D4">
        <w:rPr>
          <w:lang w:val="es-ES_tradnl"/>
        </w:rPr>
        <w:t xml:space="preserve"> se recibieron los comentarios del autor</w:t>
      </w:r>
      <w:r w:rsidR="007511EF">
        <w:rPr>
          <w:lang w:val="es-ES_tradnl"/>
        </w:rPr>
        <w:t xml:space="preserve"> </w:t>
      </w:r>
      <w:r w:rsidR="001833D4">
        <w:rPr>
          <w:lang w:val="es-ES_tradnl"/>
        </w:rPr>
        <w:t xml:space="preserve">sobre la </w:t>
      </w:r>
      <w:r w:rsidR="00C30099">
        <w:rPr>
          <w:lang w:val="es-ES_tradnl"/>
        </w:rPr>
        <w:t>admisibilidad</w:t>
      </w:r>
      <w:r w:rsidR="001833D4">
        <w:rPr>
          <w:lang w:val="es-ES_tradnl"/>
        </w:rPr>
        <w:t xml:space="preserve"> y el fondo de la comunicaci</w:t>
      </w:r>
      <w:r w:rsidR="007511EF">
        <w:rPr>
          <w:lang w:val="es-ES_tradnl"/>
        </w:rPr>
        <w:t>ón</w:t>
      </w:r>
      <w:r w:rsidR="001833D4">
        <w:rPr>
          <w:lang w:val="es-ES_tradnl"/>
        </w:rPr>
        <w:t xml:space="preserve"> en que el autor considera que su caso es un ejemplo paradigmático del total disfuncionamiento del sistema judicial </w:t>
      </w:r>
      <w:r w:rsidR="00E65119">
        <w:rPr>
          <w:lang w:val="es-ES_tradnl"/>
        </w:rPr>
        <w:t xml:space="preserve">en </w:t>
      </w:r>
      <w:r w:rsidR="001833D4">
        <w:rPr>
          <w:lang w:val="es-ES_tradnl"/>
        </w:rPr>
        <w:t>el Estado parte.</w:t>
      </w:r>
    </w:p>
    <w:p w14:paraId="5856511B" w14:textId="0B948053" w:rsidR="00960AAC" w:rsidRPr="00960AAC" w:rsidRDefault="00960AAC">
      <w:pPr>
        <w:pStyle w:val="SingleTxtG"/>
        <w:rPr>
          <w:lang w:val="es-ES"/>
        </w:rPr>
      </w:pPr>
      <w:r w:rsidRPr="00960AAC">
        <w:rPr>
          <w:lang w:val="es-ES_tradnl"/>
        </w:rPr>
        <w:t>5.2</w:t>
      </w:r>
      <w:r w:rsidRPr="00960AAC">
        <w:rPr>
          <w:lang w:val="es-ES_tradnl"/>
        </w:rPr>
        <w:tab/>
      </w:r>
      <w:r w:rsidR="00E65119">
        <w:rPr>
          <w:lang w:val="es-ES"/>
        </w:rPr>
        <w:t xml:space="preserve">El autor reitera las alegaciones ya expuestas en la comunicación inicial y </w:t>
      </w:r>
      <w:r w:rsidR="00F73BB5">
        <w:rPr>
          <w:lang w:val="es-ES_tradnl"/>
        </w:rPr>
        <w:t xml:space="preserve">afirma que sí ha desarrollado su motivación de cada una de sus alegaciones. </w:t>
      </w:r>
      <w:r w:rsidR="00C04C7F">
        <w:rPr>
          <w:lang w:val="es-ES_tradnl"/>
        </w:rPr>
        <w:t xml:space="preserve">El autor reitera sus quejas consistentes en afirmar que los reconocimientos fotográficos policiales fueron manipulados pues aquellas víctimas que no reconocieron al autor fueron </w:t>
      </w:r>
      <w:r w:rsidR="00DF798D">
        <w:rPr>
          <w:lang w:val="es-ES_tradnl"/>
        </w:rPr>
        <w:t>apartadas del proceso y llevada</w:t>
      </w:r>
      <w:r w:rsidR="00C04C7F">
        <w:rPr>
          <w:lang w:val="es-ES_tradnl"/>
        </w:rPr>
        <w:t>s a otras diligencias</w:t>
      </w:r>
      <w:r w:rsidRPr="00960AAC">
        <w:rPr>
          <w:lang w:val="es-ES"/>
        </w:rPr>
        <w:t>.</w:t>
      </w:r>
      <w:r w:rsidR="00C04C7F">
        <w:rPr>
          <w:lang w:val="es-ES"/>
        </w:rPr>
        <w:t xml:space="preserve"> El autor adjunta un </w:t>
      </w:r>
      <w:r w:rsidR="00B22C15">
        <w:rPr>
          <w:lang w:val="es-ES"/>
        </w:rPr>
        <w:t xml:space="preserve">dictamen pericial emitido el 3 de noviembre de 2015 que concluye que entre las fotografías del autor de 2007 y 2014 existen ostensibles diferencias fisionómicas </w:t>
      </w:r>
      <w:r w:rsidR="007A3DE8">
        <w:rPr>
          <w:lang w:val="es-ES"/>
        </w:rPr>
        <w:t>y</w:t>
      </w:r>
      <w:r w:rsidR="00B22C15">
        <w:rPr>
          <w:lang w:val="es-ES"/>
        </w:rPr>
        <w:t xml:space="preserve"> que entre las fotografías del autor y de</w:t>
      </w:r>
      <w:r w:rsidR="002E2170">
        <w:rPr>
          <w:lang w:val="es-ES"/>
        </w:rPr>
        <w:t xml:space="preserve"> </w:t>
      </w:r>
      <w:r w:rsidR="00B22C15">
        <w:rPr>
          <w:lang w:val="es-ES"/>
        </w:rPr>
        <w:t>J. M. existen bastantes coincidencias fisionómicas.</w:t>
      </w:r>
    </w:p>
    <w:p w14:paraId="02724D42" w14:textId="49C948C2" w:rsidR="008E6907" w:rsidRDefault="00960AAC">
      <w:pPr>
        <w:pStyle w:val="SingleTxtG"/>
        <w:rPr>
          <w:lang w:val="es-ES"/>
        </w:rPr>
      </w:pPr>
      <w:r w:rsidRPr="00960AAC">
        <w:rPr>
          <w:lang w:val="es-ES"/>
        </w:rPr>
        <w:t>5.3</w:t>
      </w:r>
      <w:r w:rsidRPr="00960AAC">
        <w:rPr>
          <w:lang w:val="es-ES"/>
        </w:rPr>
        <w:tab/>
      </w:r>
      <w:r w:rsidR="00DF798D">
        <w:rPr>
          <w:lang w:val="es-ES"/>
        </w:rPr>
        <w:t>El autor reitera que la rapidez con que se concluyó la fase de instrucción le proporcionó indefensión y pone de manifiesto que el autor había sido prejuzgado como culpable, precipitándose el cierre de la investigación para que no se descubrieran pruebas inculpatorias</w:t>
      </w:r>
      <w:r w:rsidRPr="00960AAC">
        <w:rPr>
          <w:lang w:val="es-ES"/>
        </w:rPr>
        <w:t>.</w:t>
      </w:r>
      <w:r w:rsidR="00DF798D">
        <w:rPr>
          <w:lang w:val="es-ES"/>
        </w:rPr>
        <w:t xml:space="preserve"> Según el autor, la presunción de inocencia no es respetada por la gran mayoría de los ma</w:t>
      </w:r>
      <w:r w:rsidR="00E65119">
        <w:rPr>
          <w:lang w:val="es-ES"/>
        </w:rPr>
        <w:t xml:space="preserve">gistrados en </w:t>
      </w:r>
      <w:r w:rsidR="00DF798D">
        <w:rPr>
          <w:lang w:val="es-ES"/>
        </w:rPr>
        <w:t xml:space="preserve">el Estado parte, </w:t>
      </w:r>
      <w:r w:rsidR="00E65119">
        <w:rPr>
          <w:lang w:val="es-ES"/>
        </w:rPr>
        <w:t>quienes</w:t>
      </w:r>
      <w:r w:rsidR="00DF798D">
        <w:rPr>
          <w:lang w:val="es-ES"/>
        </w:rPr>
        <w:t xml:space="preserve"> ejercen sus funciones de forma arbitraria.</w:t>
      </w:r>
    </w:p>
    <w:p w14:paraId="3FB6375E" w14:textId="1382E829" w:rsidR="00F73BB5" w:rsidRDefault="00DF798D" w:rsidP="00E65119">
      <w:pPr>
        <w:pStyle w:val="SingleTxtG"/>
        <w:rPr>
          <w:lang w:val="es-ES"/>
        </w:rPr>
      </w:pPr>
      <w:r>
        <w:rPr>
          <w:lang w:val="es-ES"/>
        </w:rPr>
        <w:t>5.4</w:t>
      </w:r>
      <w:r>
        <w:rPr>
          <w:lang w:val="es-ES"/>
        </w:rPr>
        <w:tab/>
        <w:t>El autor alega que la filtración de su ficha policial no s</w:t>
      </w:r>
      <w:r w:rsidR="00965EC8">
        <w:rPr>
          <w:lang w:val="es-ES"/>
        </w:rPr>
        <w:t>o</w:t>
      </w:r>
      <w:r>
        <w:rPr>
          <w:lang w:val="es-ES"/>
        </w:rPr>
        <w:t xml:space="preserve">lo supone una violación de su derecho a la presunción de inocencia, sino </w:t>
      </w:r>
      <w:r w:rsidR="007A3DE8">
        <w:rPr>
          <w:lang w:val="es-ES"/>
        </w:rPr>
        <w:t xml:space="preserve">que </w:t>
      </w:r>
      <w:r>
        <w:rPr>
          <w:lang w:val="es-ES"/>
        </w:rPr>
        <w:t>además constituye una violación de los derechos que lo amparan en virtud del artículo 17, párrafo 1, del Pacto.</w:t>
      </w:r>
    </w:p>
    <w:p w14:paraId="465978DB" w14:textId="44BFF766" w:rsidR="00721C11" w:rsidRDefault="00721C11" w:rsidP="00721C11">
      <w:pPr>
        <w:pStyle w:val="SingleTxtG"/>
        <w:rPr>
          <w:lang w:val="es-ES"/>
        </w:rPr>
      </w:pPr>
      <w:r>
        <w:rPr>
          <w:lang w:val="es-ES"/>
        </w:rPr>
        <w:t>5.</w:t>
      </w:r>
      <w:r w:rsidR="00E65119">
        <w:rPr>
          <w:lang w:val="es-ES"/>
        </w:rPr>
        <w:t>5</w:t>
      </w:r>
      <w:r>
        <w:rPr>
          <w:lang w:val="es-ES"/>
        </w:rPr>
        <w:tab/>
        <w:t>En relación con la denegación de la diligencia de solicitud del v</w:t>
      </w:r>
      <w:r w:rsidR="00965EC8">
        <w:rPr>
          <w:lang w:val="es-ES"/>
        </w:rPr>
        <w:t>i</w:t>
      </w:r>
      <w:r>
        <w:rPr>
          <w:lang w:val="es-ES"/>
        </w:rPr>
        <w:t xml:space="preserve">deo de un cajero automático, el autor afirma que estos hechos </w:t>
      </w:r>
      <w:r w:rsidR="00E65119">
        <w:rPr>
          <w:lang w:val="es-ES"/>
        </w:rPr>
        <w:t>han permanecido en</w:t>
      </w:r>
      <w:r>
        <w:rPr>
          <w:lang w:val="es-ES"/>
        </w:rPr>
        <w:t xml:space="preserve"> otra causa precisamente porque en aquel caso se habría podido reconocer a</w:t>
      </w:r>
      <w:r w:rsidR="00965EC8">
        <w:rPr>
          <w:lang w:val="es-ES"/>
        </w:rPr>
        <w:t xml:space="preserve"> </w:t>
      </w:r>
      <w:r w:rsidR="0045152B">
        <w:rPr>
          <w:lang w:val="es-ES"/>
        </w:rPr>
        <w:t xml:space="preserve">J. M. como autor de ese delito y consecuentemente </w:t>
      </w:r>
      <w:r w:rsidR="007A3DE8">
        <w:rPr>
          <w:lang w:val="es-ES"/>
        </w:rPr>
        <w:t xml:space="preserve">de </w:t>
      </w:r>
      <w:r w:rsidR="0045152B">
        <w:rPr>
          <w:lang w:val="es-ES"/>
        </w:rPr>
        <w:t>todos los demás. Además, el autor aclara que no volvió a solicitar esta diligencia de cara a la vista oral porque no se puede pedir en este contexto aquello que ya se ha denegado previamente por la instancia superior, la Audiencia Provincial</w:t>
      </w:r>
      <w:r w:rsidR="0045152B">
        <w:rPr>
          <w:rStyle w:val="Refdenotaalpie"/>
          <w:lang w:val="es-ES"/>
        </w:rPr>
        <w:footnoteReference w:id="9"/>
      </w:r>
      <w:r w:rsidR="0045152B">
        <w:rPr>
          <w:lang w:val="es-ES"/>
        </w:rPr>
        <w:t>.</w:t>
      </w:r>
    </w:p>
    <w:p w14:paraId="5D2AA42D" w14:textId="7B4C1888" w:rsidR="00F73BB5" w:rsidRDefault="00957135">
      <w:pPr>
        <w:pStyle w:val="SingleTxtG"/>
        <w:rPr>
          <w:lang w:val="es-ES"/>
        </w:rPr>
      </w:pPr>
      <w:r>
        <w:rPr>
          <w:lang w:val="es-ES"/>
        </w:rPr>
        <w:lastRenderedPageBreak/>
        <w:t>5.6</w:t>
      </w:r>
      <w:r w:rsidR="00953FA6">
        <w:rPr>
          <w:lang w:val="es-ES"/>
        </w:rPr>
        <w:tab/>
        <w:t xml:space="preserve">El autor </w:t>
      </w:r>
      <w:r w:rsidR="00074372">
        <w:rPr>
          <w:lang w:val="es-ES"/>
        </w:rPr>
        <w:t xml:space="preserve">afirma que, en contradicción con lo que afirma el Estado parte, </w:t>
      </w:r>
      <w:r w:rsidR="00953FA6">
        <w:rPr>
          <w:lang w:val="es-ES"/>
        </w:rPr>
        <w:t xml:space="preserve">las víctimas </w:t>
      </w:r>
      <w:r w:rsidR="00074372">
        <w:rPr>
          <w:lang w:val="es-ES"/>
        </w:rPr>
        <w:t>sí</w:t>
      </w:r>
      <w:r w:rsidR="00953FA6">
        <w:rPr>
          <w:lang w:val="es-ES"/>
        </w:rPr>
        <w:t xml:space="preserve"> reconocieran los teléfonos móviles vendidos por J. M.</w:t>
      </w:r>
      <w:r w:rsidR="00074372">
        <w:rPr>
          <w:lang w:val="es-ES"/>
        </w:rPr>
        <w:t xml:space="preserve"> como suyos, pero que a pesar de esto no se investigó a</w:t>
      </w:r>
      <w:r w:rsidR="00965EC8">
        <w:rPr>
          <w:lang w:val="es-ES"/>
        </w:rPr>
        <w:t xml:space="preserve"> </w:t>
      </w:r>
      <w:r w:rsidR="00074372">
        <w:rPr>
          <w:lang w:val="es-ES"/>
        </w:rPr>
        <w:t xml:space="preserve">J. M. como </w:t>
      </w:r>
      <w:r w:rsidR="00953FA6">
        <w:rPr>
          <w:lang w:val="es-ES"/>
        </w:rPr>
        <w:t>autor de los hechos.</w:t>
      </w:r>
    </w:p>
    <w:p w14:paraId="520567A9" w14:textId="2AEC4280" w:rsidR="00FF4024" w:rsidRDefault="00FF4024">
      <w:pPr>
        <w:pStyle w:val="SingleTxtG"/>
        <w:rPr>
          <w:lang w:val="es-ES"/>
        </w:rPr>
      </w:pPr>
      <w:r>
        <w:rPr>
          <w:lang w:val="es-ES"/>
        </w:rPr>
        <w:t>5.7</w:t>
      </w:r>
      <w:r>
        <w:rPr>
          <w:lang w:val="es-ES"/>
        </w:rPr>
        <w:tab/>
        <w:t>El 26 de abril de 2019, el autor hizo llegar un dictamen de la Comisión de Ética Judicial</w:t>
      </w:r>
      <w:r>
        <w:rPr>
          <w:rStyle w:val="Refdenotaalpie"/>
          <w:lang w:val="es-ES"/>
        </w:rPr>
        <w:footnoteReference w:id="10"/>
      </w:r>
      <w:r>
        <w:rPr>
          <w:lang w:val="es-ES"/>
        </w:rPr>
        <w:t xml:space="preserve"> que versa sobre el uso de conocimientos extrajudiciales. El dictamen indica, entre otros, que los jueces no deben buscar información en </w:t>
      </w:r>
      <w:r w:rsidR="00965EC8">
        <w:rPr>
          <w:lang w:val="es-ES"/>
        </w:rPr>
        <w:t>I</w:t>
      </w:r>
      <w:r>
        <w:rPr>
          <w:lang w:val="es-ES"/>
        </w:rPr>
        <w:t>nternet sobre las partes, sus abogados o la cuestión objeto de controversia.</w:t>
      </w:r>
    </w:p>
    <w:p w14:paraId="7097D93B" w14:textId="620C8961" w:rsidR="00C81443" w:rsidRPr="00F45532" w:rsidRDefault="00A03082" w:rsidP="00236D2B">
      <w:pPr>
        <w:pStyle w:val="H23G"/>
        <w:rPr>
          <w:lang w:val="es-ES"/>
        </w:rPr>
      </w:pPr>
      <w:r>
        <w:rPr>
          <w:lang w:val="es-ES_tradnl"/>
        </w:rPr>
        <w:tab/>
      </w:r>
      <w:r>
        <w:rPr>
          <w:lang w:val="es-ES_tradnl"/>
        </w:rPr>
        <w:tab/>
      </w:r>
      <w:r w:rsidR="00114ED4" w:rsidRPr="00F45532">
        <w:rPr>
          <w:lang w:val="es-ES"/>
        </w:rPr>
        <w:t>Deliberaciones del Comité</w:t>
      </w:r>
    </w:p>
    <w:p w14:paraId="14CF500B" w14:textId="33942736" w:rsidR="00F3740C" w:rsidRPr="00F80326" w:rsidRDefault="00776B94" w:rsidP="00776B94">
      <w:pPr>
        <w:pStyle w:val="H4G"/>
        <w:rPr>
          <w:lang w:val="es-ES"/>
        </w:rPr>
      </w:pPr>
      <w:r>
        <w:rPr>
          <w:lang w:val="es-ES"/>
        </w:rPr>
        <w:tab/>
      </w:r>
      <w:r>
        <w:rPr>
          <w:lang w:val="es-ES"/>
        </w:rPr>
        <w:tab/>
      </w:r>
      <w:r w:rsidR="00F3740C" w:rsidRPr="00F45532">
        <w:rPr>
          <w:lang w:val="es-ES"/>
        </w:rPr>
        <w:t>Examen de la admisibilidad</w:t>
      </w:r>
    </w:p>
    <w:p w14:paraId="703E6ECA" w14:textId="4F802313" w:rsidR="00F9796B" w:rsidRPr="00F80326" w:rsidRDefault="00FB09DE">
      <w:pPr>
        <w:pStyle w:val="SingleTxtG"/>
        <w:rPr>
          <w:lang w:val="es-ES_tradnl"/>
        </w:rPr>
      </w:pPr>
      <w:r>
        <w:rPr>
          <w:lang w:val="es-ES"/>
        </w:rPr>
        <w:t>6</w:t>
      </w:r>
      <w:r w:rsidR="00C376D4" w:rsidRPr="00F45532">
        <w:rPr>
          <w:lang w:val="es-ES_tradnl"/>
        </w:rPr>
        <w:t>.1</w:t>
      </w:r>
      <w:r w:rsidR="00C376D4" w:rsidRPr="00F45532">
        <w:rPr>
          <w:lang w:val="es-ES_tradnl"/>
        </w:rPr>
        <w:tab/>
      </w:r>
      <w:r w:rsidR="00F9796B" w:rsidRPr="00F45532">
        <w:rPr>
          <w:lang w:val="es-ES_tradnl"/>
        </w:rPr>
        <w:t>Antes de examinar toda reclamación formulada en una comunicación, el Comité debe decidir, d</w:t>
      </w:r>
      <w:r w:rsidR="003E5477">
        <w:rPr>
          <w:lang w:val="es-ES_tradnl"/>
        </w:rPr>
        <w:t xml:space="preserve">e </w:t>
      </w:r>
      <w:r w:rsidR="003E5477" w:rsidRPr="003175D8">
        <w:rPr>
          <w:lang w:val="es-ES"/>
        </w:rPr>
        <w:t>conformidad</w:t>
      </w:r>
      <w:r w:rsidR="003E5477">
        <w:rPr>
          <w:lang w:val="es-ES_tradnl"/>
        </w:rPr>
        <w:t xml:space="preserve"> con el artículo 97</w:t>
      </w:r>
      <w:r w:rsidR="00F9796B" w:rsidRPr="00F45532">
        <w:rPr>
          <w:lang w:val="es-ES_tradnl"/>
        </w:rPr>
        <w:t xml:space="preserve"> de su reglamento, si dicha comunicación es o no admisible en virtud del Protocolo Facultativo del Pacto.</w:t>
      </w:r>
    </w:p>
    <w:p w14:paraId="262D2F73" w14:textId="15564D9D" w:rsidR="00AB2B18" w:rsidRPr="00F45532" w:rsidRDefault="00FB09DE" w:rsidP="00F80326">
      <w:pPr>
        <w:pStyle w:val="SingleTxtG"/>
        <w:rPr>
          <w:lang w:val="es-ES"/>
        </w:rPr>
      </w:pPr>
      <w:r>
        <w:rPr>
          <w:lang w:val="es-ES_tradnl"/>
        </w:rPr>
        <w:t>6</w:t>
      </w:r>
      <w:r w:rsidR="00AB2B18" w:rsidRPr="00F45532">
        <w:rPr>
          <w:lang w:val="es-ES_tradnl"/>
        </w:rPr>
        <w:t>.2</w:t>
      </w:r>
      <w:r w:rsidR="00AB2B18" w:rsidRPr="00F45532">
        <w:rPr>
          <w:lang w:val="es-ES_tradnl"/>
        </w:rPr>
        <w:tab/>
        <w:t>E</w:t>
      </w:r>
      <w:r w:rsidR="006F76A2" w:rsidRPr="00F45532">
        <w:rPr>
          <w:lang w:val="es-ES"/>
        </w:rPr>
        <w:t xml:space="preserve">l Comité </w:t>
      </w:r>
      <w:r w:rsidR="00D35B54" w:rsidRPr="00F45532">
        <w:rPr>
          <w:lang w:val="es-ES"/>
        </w:rPr>
        <w:t>observa</w:t>
      </w:r>
      <w:r w:rsidR="006F76A2" w:rsidRPr="00F45532">
        <w:rPr>
          <w:lang w:val="es-ES"/>
        </w:rPr>
        <w:t xml:space="preserve"> que </w:t>
      </w:r>
      <w:r w:rsidR="00957135">
        <w:rPr>
          <w:lang w:val="es-ES"/>
        </w:rPr>
        <w:t>el autor</w:t>
      </w:r>
      <w:r w:rsidR="00AB2B18" w:rsidRPr="00F45532">
        <w:rPr>
          <w:lang w:val="es-ES"/>
        </w:rPr>
        <w:t xml:space="preserve"> presentó una demanda por los mismos hechos ante el Tribunal Europeo de Derechos Humanos, y recuerda que, al ratificar el Protocolo Facultativo, España introdujo una reserva por la que excluía la competencia del Comité en relación con los asuntos que hubieran sido o estuvieran siendo sometidos a otro procedimiento de examen o arreglo internacionales.</w:t>
      </w:r>
    </w:p>
    <w:p w14:paraId="4EB3F13B" w14:textId="6947F256" w:rsidR="004B3163" w:rsidRDefault="00FB09DE">
      <w:pPr>
        <w:pStyle w:val="SingleTxtG"/>
        <w:rPr>
          <w:lang w:val="es-ES"/>
        </w:rPr>
      </w:pPr>
      <w:r>
        <w:rPr>
          <w:lang w:val="es-ES"/>
        </w:rPr>
        <w:t>6</w:t>
      </w:r>
      <w:r w:rsidR="00AB2B18" w:rsidRPr="00F45532">
        <w:rPr>
          <w:lang w:val="es-ES"/>
        </w:rPr>
        <w:t>.3</w:t>
      </w:r>
      <w:r w:rsidR="00AB2B18" w:rsidRPr="00F45532">
        <w:rPr>
          <w:lang w:val="es-ES"/>
        </w:rPr>
        <w:tab/>
      </w:r>
      <w:r w:rsidR="00365101">
        <w:rPr>
          <w:lang w:val="es-ES"/>
        </w:rPr>
        <w:t xml:space="preserve">El Comité </w:t>
      </w:r>
      <w:r w:rsidR="00C1704B">
        <w:rPr>
          <w:lang w:val="es-ES"/>
        </w:rPr>
        <w:t>toma nota de que, m</w:t>
      </w:r>
      <w:r w:rsidR="00D4053A" w:rsidRPr="00F45532">
        <w:rPr>
          <w:lang w:val="es-ES"/>
        </w:rPr>
        <w:t>ediante</w:t>
      </w:r>
      <w:r w:rsidR="009D67FB" w:rsidRPr="00F45532">
        <w:rPr>
          <w:lang w:val="es-ES"/>
        </w:rPr>
        <w:t xml:space="preserve"> carta de</w:t>
      </w:r>
      <w:r w:rsidR="00D30DDF">
        <w:rPr>
          <w:lang w:val="es-ES"/>
        </w:rPr>
        <w:t xml:space="preserve"> 7 de septiembre de 2015</w:t>
      </w:r>
      <w:r w:rsidR="007316B1">
        <w:rPr>
          <w:lang w:val="es-ES"/>
        </w:rPr>
        <w:t>,</w:t>
      </w:r>
      <w:r w:rsidR="00D30DDF">
        <w:rPr>
          <w:lang w:val="es-ES"/>
        </w:rPr>
        <w:t xml:space="preserve"> el autor fue informado de que su queja no podía ser examinada pues el formulario de demanda no cumplía con los requisitos de forma establecidos. </w:t>
      </w:r>
      <w:r w:rsidR="00AB2B18" w:rsidRPr="00F45532">
        <w:rPr>
          <w:lang w:val="es-ES_tradnl"/>
        </w:rPr>
        <w:t>El Comité recuerda su jurisprudenci</w:t>
      </w:r>
      <w:r w:rsidR="00E74131">
        <w:rPr>
          <w:lang w:val="es-ES_tradnl"/>
        </w:rPr>
        <w:t>a</w:t>
      </w:r>
      <w:r w:rsidR="003E5477" w:rsidRPr="00F45532">
        <w:rPr>
          <w:rStyle w:val="Refdenotaalpie"/>
          <w:sz w:val="20"/>
        </w:rPr>
        <w:footnoteReference w:id="11"/>
      </w:r>
      <w:r w:rsidR="000C48E4">
        <w:rPr>
          <w:lang w:val="es-ES_tradnl"/>
        </w:rPr>
        <w:t xml:space="preserve"> </w:t>
      </w:r>
      <w:r w:rsidR="00E74131">
        <w:rPr>
          <w:lang w:val="es-ES_tradnl"/>
        </w:rPr>
        <w:t>en relación con el artículo 5</w:t>
      </w:r>
      <w:r w:rsidR="007316B1">
        <w:rPr>
          <w:lang w:val="es-ES_tradnl"/>
        </w:rPr>
        <w:t xml:space="preserve">, párrafo </w:t>
      </w:r>
      <w:r w:rsidR="00AB2B18" w:rsidRPr="00F45532">
        <w:rPr>
          <w:lang w:val="es-ES_tradnl"/>
        </w:rPr>
        <w:t>2</w:t>
      </w:r>
      <w:r w:rsidR="007316B1">
        <w:rPr>
          <w:lang w:val="es-ES_tradnl"/>
        </w:rPr>
        <w:t xml:space="preserve">, apartado </w:t>
      </w:r>
      <w:r w:rsidR="00AB2B18" w:rsidRPr="00F45532">
        <w:rPr>
          <w:lang w:val="es-ES_tradnl"/>
        </w:rPr>
        <w:t>a)</w:t>
      </w:r>
      <w:r w:rsidR="007316B1">
        <w:rPr>
          <w:lang w:val="es-ES_tradnl"/>
        </w:rPr>
        <w:t>,</w:t>
      </w:r>
      <w:r w:rsidR="00AB2B18" w:rsidRPr="00F45532">
        <w:rPr>
          <w:lang w:val="es-ES_tradnl"/>
        </w:rPr>
        <w:t xml:space="preserve"> del Protocolo Facultativo</w:t>
      </w:r>
      <w:r w:rsidR="00F01B1F">
        <w:rPr>
          <w:lang w:val="es-ES_tradnl"/>
        </w:rPr>
        <w:t>, en virtud</w:t>
      </w:r>
      <w:r w:rsidR="00AB2B18" w:rsidRPr="00F45532">
        <w:rPr>
          <w:lang w:val="es-ES_tradnl"/>
        </w:rPr>
        <w:t xml:space="preserve"> de </w:t>
      </w:r>
      <w:r w:rsidR="00F01B1F">
        <w:rPr>
          <w:lang w:val="es-ES_tradnl"/>
        </w:rPr>
        <w:t>la cual</w:t>
      </w:r>
      <w:r w:rsidR="007864D1">
        <w:rPr>
          <w:lang w:val="es-ES_tradnl"/>
        </w:rPr>
        <w:t>,</w:t>
      </w:r>
      <w:r w:rsidR="00AB2B18" w:rsidRPr="00F45532">
        <w:rPr>
          <w:lang w:val="es-ES_tradnl"/>
        </w:rPr>
        <w:t xml:space="preserve"> </w:t>
      </w:r>
      <w:r w:rsidR="007864D1">
        <w:rPr>
          <w:lang w:val="es-ES_tradnl"/>
        </w:rPr>
        <w:t xml:space="preserve">si </w:t>
      </w:r>
      <w:r w:rsidR="00EC11BD" w:rsidRPr="00F45532">
        <w:rPr>
          <w:lang w:val="es-ES_tradnl"/>
        </w:rPr>
        <w:t xml:space="preserve">una declaración de inadmisibilidad </w:t>
      </w:r>
      <w:r w:rsidR="00EC11BD">
        <w:rPr>
          <w:lang w:val="es-ES_tradnl"/>
        </w:rPr>
        <w:t>por</w:t>
      </w:r>
      <w:r w:rsidR="00AB2B18" w:rsidRPr="00F45532">
        <w:rPr>
          <w:lang w:val="es-ES_tradnl"/>
        </w:rPr>
        <w:t xml:space="preserve"> el Tribunal Europeo de Derechos Humanos</w:t>
      </w:r>
      <w:r w:rsidR="009D4E82" w:rsidRPr="00F45532">
        <w:rPr>
          <w:lang w:val="es-ES_tradnl"/>
        </w:rPr>
        <w:t xml:space="preserve"> </w:t>
      </w:r>
      <w:r w:rsidR="00EC11BD">
        <w:rPr>
          <w:lang w:val="es-ES_tradnl"/>
        </w:rPr>
        <w:t xml:space="preserve">se </w:t>
      </w:r>
      <w:r w:rsidR="009D4E82" w:rsidRPr="00F45532">
        <w:rPr>
          <w:lang w:val="es-ES_tradnl"/>
        </w:rPr>
        <w:t>basa no solame</w:t>
      </w:r>
      <w:r w:rsidR="007864D1">
        <w:rPr>
          <w:lang w:val="es-ES_tradnl"/>
        </w:rPr>
        <w:t>nte en razones de procedimiento</w:t>
      </w:r>
      <w:r w:rsidR="009D4E82" w:rsidRPr="00F45532">
        <w:rPr>
          <w:lang w:val="es-ES_tradnl"/>
        </w:rPr>
        <w:t xml:space="preserve"> sin</w:t>
      </w:r>
      <w:r w:rsidR="00EC11BD">
        <w:rPr>
          <w:lang w:val="es-ES_tradnl"/>
        </w:rPr>
        <w:t>o también en razones que incluya</w:t>
      </w:r>
      <w:r w:rsidR="009D4E82" w:rsidRPr="00F45532">
        <w:rPr>
          <w:lang w:val="es-ES_tradnl"/>
        </w:rPr>
        <w:t xml:space="preserve">n en cierta medida un examen del fondo del caso, se debe considerar que el asunto ha sido examinado en el sentido de las respectivas reservas </w:t>
      </w:r>
      <w:r w:rsidR="007864D1">
        <w:rPr>
          <w:lang w:val="es-ES_tradnl"/>
        </w:rPr>
        <w:t>del</w:t>
      </w:r>
      <w:r w:rsidR="009D4E82" w:rsidRPr="00F45532">
        <w:rPr>
          <w:lang w:val="es-ES_tradnl"/>
        </w:rPr>
        <w:t xml:space="preserve"> artículo </w:t>
      </w:r>
      <w:r w:rsidR="007864D1">
        <w:rPr>
          <w:lang w:val="es-ES_tradnl"/>
        </w:rPr>
        <w:t>mencionado</w:t>
      </w:r>
      <w:r w:rsidR="009172AF">
        <w:rPr>
          <w:rStyle w:val="Refdenotaalpie"/>
          <w:lang w:val="es-ES_tradnl"/>
        </w:rPr>
        <w:footnoteReference w:id="12"/>
      </w:r>
      <w:r w:rsidR="009D4E82" w:rsidRPr="00F45532">
        <w:rPr>
          <w:lang w:val="es-ES_tradnl"/>
        </w:rPr>
        <w:t xml:space="preserve">. </w:t>
      </w:r>
      <w:r w:rsidR="009D4E82" w:rsidRPr="00F45532">
        <w:rPr>
          <w:lang w:val="es-ES"/>
        </w:rPr>
        <w:t>E</w:t>
      </w:r>
      <w:r w:rsidR="0022728F" w:rsidRPr="00F45532">
        <w:rPr>
          <w:lang w:val="es-ES"/>
        </w:rPr>
        <w:t>n el presente caso, e</w:t>
      </w:r>
      <w:r w:rsidR="009D4E82" w:rsidRPr="00F45532">
        <w:rPr>
          <w:lang w:val="es-ES"/>
        </w:rPr>
        <w:t xml:space="preserve">l Comité observa que la decisión del Tribunal </w:t>
      </w:r>
      <w:r w:rsidR="0004242B">
        <w:rPr>
          <w:lang w:val="es-ES"/>
        </w:rPr>
        <w:t xml:space="preserve">Europeo </w:t>
      </w:r>
      <w:r w:rsidR="003531AA">
        <w:rPr>
          <w:lang w:val="es-ES"/>
        </w:rPr>
        <w:t xml:space="preserve">simplemente </w:t>
      </w:r>
      <w:r w:rsidR="00A016CF">
        <w:rPr>
          <w:lang w:val="es-ES"/>
        </w:rPr>
        <w:t xml:space="preserve">indica que la </w:t>
      </w:r>
      <w:r w:rsidR="00A016CF" w:rsidRPr="00A016CF">
        <w:rPr>
          <w:lang w:val="es-ES"/>
        </w:rPr>
        <w:t>demanda no cumple con los requisitos de</w:t>
      </w:r>
      <w:r w:rsidR="008B01AB">
        <w:rPr>
          <w:lang w:val="es-ES"/>
        </w:rPr>
        <w:t xml:space="preserve"> forma</w:t>
      </w:r>
      <w:r w:rsidR="009D4E82" w:rsidRPr="00F45532">
        <w:rPr>
          <w:color w:val="808080" w:themeColor="background1" w:themeShade="80"/>
          <w:lang w:val="es-ES"/>
        </w:rPr>
        <w:t xml:space="preserve">. </w:t>
      </w:r>
      <w:r w:rsidR="009D4E82" w:rsidRPr="00F45532">
        <w:rPr>
          <w:lang w:val="es-ES"/>
        </w:rPr>
        <w:t xml:space="preserve">En consecuencia, </w:t>
      </w:r>
      <w:r w:rsidR="00BD60C2" w:rsidRPr="00BD60C2">
        <w:rPr>
          <w:lang w:val="es-EC"/>
        </w:rPr>
        <w:t xml:space="preserve">el Comité considera que el caso presentado por el autor </w:t>
      </w:r>
      <w:r w:rsidR="00BD1D6B">
        <w:rPr>
          <w:lang w:val="es-EC"/>
        </w:rPr>
        <w:t xml:space="preserve">no ha </w:t>
      </w:r>
      <w:r w:rsidR="00BD60C2" w:rsidRPr="00BD60C2">
        <w:rPr>
          <w:lang w:val="es-EC"/>
        </w:rPr>
        <w:t>sido objeto de examen, aunque limitado, en cuanto al fondo</w:t>
      </w:r>
      <w:r w:rsidR="00BD60C2" w:rsidRPr="00BD60C2">
        <w:rPr>
          <w:bCs/>
          <w:vertAlign w:val="superscript"/>
        </w:rPr>
        <w:footnoteReference w:id="13"/>
      </w:r>
      <w:r w:rsidR="00BD60C2">
        <w:rPr>
          <w:lang w:val="es-EC"/>
        </w:rPr>
        <w:t xml:space="preserve"> y concluye </w:t>
      </w:r>
      <w:r w:rsidR="00BD60C2" w:rsidRPr="00BD60C2">
        <w:rPr>
          <w:lang w:val="es-EC"/>
        </w:rPr>
        <w:t xml:space="preserve">que </w:t>
      </w:r>
      <w:r w:rsidR="00BD60C2">
        <w:rPr>
          <w:lang w:val="es-EC"/>
        </w:rPr>
        <w:t xml:space="preserve">el </w:t>
      </w:r>
      <w:r w:rsidR="00BD60C2" w:rsidRPr="00BD60C2">
        <w:rPr>
          <w:lang w:val="es-ES"/>
        </w:rPr>
        <w:t>artículo 5, párrafo 2</w:t>
      </w:r>
      <w:r w:rsidR="0004242B">
        <w:rPr>
          <w:lang w:val="es-ES"/>
        </w:rPr>
        <w:t>, apartado</w:t>
      </w:r>
      <w:r w:rsidR="00BD60C2" w:rsidRPr="00BD60C2">
        <w:rPr>
          <w:lang w:val="es-ES"/>
        </w:rPr>
        <w:t xml:space="preserve"> a)</w:t>
      </w:r>
      <w:r w:rsidR="0004242B">
        <w:rPr>
          <w:lang w:val="es-ES"/>
        </w:rPr>
        <w:t>,</w:t>
      </w:r>
      <w:r w:rsidR="00BD60C2" w:rsidRPr="00BD60C2">
        <w:rPr>
          <w:lang w:val="es-ES"/>
        </w:rPr>
        <w:t xml:space="preserve"> del Protocolo Facultativo</w:t>
      </w:r>
      <w:r w:rsidR="00BD60C2" w:rsidRPr="00BD60C2">
        <w:rPr>
          <w:lang w:val="es-EC"/>
        </w:rPr>
        <w:t xml:space="preserve"> no constituye un obstáculo a la admisibilidad de la presente comunicación.</w:t>
      </w:r>
    </w:p>
    <w:p w14:paraId="0158B410" w14:textId="0201ACFE" w:rsidR="008B01AB" w:rsidRDefault="00FB09DE" w:rsidP="00257E9E">
      <w:pPr>
        <w:pStyle w:val="SingleTxtG"/>
        <w:rPr>
          <w:lang w:val="es-ES"/>
        </w:rPr>
      </w:pPr>
      <w:r>
        <w:rPr>
          <w:lang w:val="es-ES"/>
        </w:rPr>
        <w:t>6</w:t>
      </w:r>
      <w:r w:rsidR="00957135">
        <w:rPr>
          <w:lang w:val="es-ES"/>
        </w:rPr>
        <w:t>.4</w:t>
      </w:r>
      <w:r w:rsidR="0076213A" w:rsidRPr="00F45532">
        <w:rPr>
          <w:lang w:val="es-ES"/>
        </w:rPr>
        <w:tab/>
      </w:r>
      <w:r w:rsidR="007D5750" w:rsidRPr="007D5750">
        <w:rPr>
          <w:lang w:val="es-ES"/>
        </w:rPr>
        <w:t>E</w:t>
      </w:r>
      <w:r w:rsidR="00AB4A20">
        <w:rPr>
          <w:lang w:val="es-ES"/>
        </w:rPr>
        <w:t>l Comité toma nota de que e</w:t>
      </w:r>
      <w:r w:rsidR="001C3343">
        <w:rPr>
          <w:lang w:val="es-ES"/>
        </w:rPr>
        <w:t>l</w:t>
      </w:r>
      <w:r w:rsidR="007D5750" w:rsidRPr="007D5750">
        <w:rPr>
          <w:lang w:val="es-ES"/>
        </w:rPr>
        <w:t xml:space="preserve"> autor afirma ser víctima de una violación del </w:t>
      </w:r>
      <w:r w:rsidR="00154633" w:rsidRPr="007D5750">
        <w:rPr>
          <w:lang w:val="es-ES"/>
        </w:rPr>
        <w:t>artículo</w:t>
      </w:r>
      <w:r w:rsidR="00154633">
        <w:rPr>
          <w:lang w:val="es-ES"/>
        </w:rPr>
        <w:t> </w:t>
      </w:r>
      <w:r w:rsidR="007D5750" w:rsidRPr="007D5750">
        <w:rPr>
          <w:lang w:val="es-ES"/>
        </w:rPr>
        <w:t xml:space="preserve">14 del Pacto por el Estado parte </w:t>
      </w:r>
      <w:r w:rsidR="00257E9E">
        <w:rPr>
          <w:lang w:val="es-ES"/>
        </w:rPr>
        <w:t>en el sentido que</w:t>
      </w:r>
      <w:r w:rsidR="007D5750" w:rsidRPr="007D5750">
        <w:rPr>
          <w:lang w:val="es-ES"/>
        </w:rPr>
        <w:t xml:space="preserve"> la celeridad de la instrucción, que duró s</w:t>
      </w:r>
      <w:r w:rsidR="00067AE9">
        <w:rPr>
          <w:lang w:val="es-ES"/>
        </w:rPr>
        <w:t>o</w:t>
      </w:r>
      <w:r w:rsidR="007D5750" w:rsidRPr="007D5750">
        <w:rPr>
          <w:lang w:val="es-ES"/>
        </w:rPr>
        <w:t>lo 16 días, afectó su derecho a preparar adecuadamente su defensa</w:t>
      </w:r>
      <w:r w:rsidR="007D5750">
        <w:rPr>
          <w:lang w:val="es-ES"/>
        </w:rPr>
        <w:t xml:space="preserve"> y que el proceso penal en su contra fue arbitrario. </w:t>
      </w:r>
      <w:r w:rsidR="008B01AB">
        <w:rPr>
          <w:lang w:val="es-ES"/>
        </w:rPr>
        <w:t xml:space="preserve">El Comité toma nota </w:t>
      </w:r>
      <w:r w:rsidR="00AB4A20">
        <w:rPr>
          <w:lang w:val="es-ES"/>
        </w:rPr>
        <w:t xml:space="preserve">asimismo </w:t>
      </w:r>
      <w:r w:rsidR="00257E9E">
        <w:rPr>
          <w:lang w:val="es-ES"/>
        </w:rPr>
        <w:t>del argumento</w:t>
      </w:r>
      <w:r w:rsidR="008B01AB">
        <w:rPr>
          <w:lang w:val="es-ES"/>
        </w:rPr>
        <w:t xml:space="preserve"> del Estado parte de que el autor no ha sustanciado suficientemente sus alegaciones co</w:t>
      </w:r>
      <w:r w:rsidR="00C218AC">
        <w:rPr>
          <w:lang w:val="es-ES"/>
        </w:rPr>
        <w:t>m</w:t>
      </w:r>
      <w:r w:rsidR="008B01AB">
        <w:rPr>
          <w:lang w:val="es-ES"/>
        </w:rPr>
        <w:t xml:space="preserve">o requiere el artículo 3 del Protocolo Facultativo. </w:t>
      </w:r>
      <w:r w:rsidR="00291F8C">
        <w:rPr>
          <w:lang w:val="es-ES"/>
        </w:rPr>
        <w:t>El Comité toma nota de que el autor afirma que la rapidez con que se cerró la fase de instrucción le provocó indefensión pues no pudo preparar debidamente su defensa. A este respecto, el Estado parte hace notar que la rapidez de la instrucción protege los derechos que amparan al autor en virtud del artículo 14</w:t>
      </w:r>
      <w:r w:rsidR="00067AE9">
        <w:rPr>
          <w:lang w:val="es-ES"/>
        </w:rPr>
        <w:t>, párrafo 3, apartado c)</w:t>
      </w:r>
      <w:r w:rsidR="00291F8C">
        <w:rPr>
          <w:lang w:val="es-ES"/>
        </w:rPr>
        <w:t xml:space="preserve">. El Comité también toma nota de que, según la sentencia de la Audiencia Provincial de Jaén, la fase de instrucción tiene como objeto determinar la existencia o ausencia de indicios de criminalidad, no determinar </w:t>
      </w:r>
      <w:r w:rsidR="000C5921">
        <w:rPr>
          <w:lang w:val="es-ES"/>
        </w:rPr>
        <w:t xml:space="preserve">la </w:t>
      </w:r>
      <w:r w:rsidR="00291F8C">
        <w:rPr>
          <w:lang w:val="es-ES"/>
        </w:rPr>
        <w:t xml:space="preserve">inocencia o culpabilidad y que el autor podía presentar elementos probatorios de descargo para la celebración de la vista oral, que tuvo lugar el 19 de junio de 2014. </w:t>
      </w:r>
      <w:r w:rsidR="00FA7A6F" w:rsidRPr="00FA7A6F">
        <w:rPr>
          <w:lang w:val="es-ES"/>
        </w:rPr>
        <w:t xml:space="preserve">El Comité nota que el autor fue detenido el 8 de enero de 2014, el 6 de febrero el Juzgado </w:t>
      </w:r>
      <w:r w:rsidR="00173BCF">
        <w:rPr>
          <w:lang w:val="es-ES"/>
        </w:rPr>
        <w:t>n</w:t>
      </w:r>
      <w:r w:rsidR="00FA7A6F" w:rsidRPr="00FA7A6F">
        <w:rPr>
          <w:lang w:val="es-ES"/>
        </w:rPr>
        <w:t xml:space="preserve">úm. 1 ordenó la apertura de procedimiento abreviado contra el autor por su </w:t>
      </w:r>
      <w:r w:rsidR="00FA7A6F" w:rsidRPr="00FA7A6F">
        <w:rPr>
          <w:lang w:val="es-ES"/>
        </w:rPr>
        <w:lastRenderedPageBreak/>
        <w:t xml:space="preserve">participación en diversos delitos, el 19 de marzo la Audiencia Provincial desestimó el recurso de apelación del autor contra las decisiones del Juzgado </w:t>
      </w:r>
      <w:r w:rsidR="00173BCF">
        <w:rPr>
          <w:lang w:val="es-ES"/>
        </w:rPr>
        <w:t>n</w:t>
      </w:r>
      <w:r w:rsidR="00FA7A6F" w:rsidRPr="00FA7A6F">
        <w:rPr>
          <w:lang w:val="es-ES"/>
        </w:rPr>
        <w:t xml:space="preserve">úm. 1, el 5 de marzo, el autor presentó escrito de defensa, el 19 de junio tuvo lugar la vista oral y el 20 de junio la responsabilidad penal del autor fue determinada por el tribunal. El autor tuvo así </w:t>
      </w:r>
      <w:r w:rsidR="00173BCF">
        <w:rPr>
          <w:lang w:val="es-ES"/>
        </w:rPr>
        <w:t>seis</w:t>
      </w:r>
      <w:r w:rsidR="00FA7A6F" w:rsidRPr="00FA7A6F">
        <w:rPr>
          <w:lang w:val="es-ES"/>
        </w:rPr>
        <w:t xml:space="preserve"> meses para preparar su defensa.</w:t>
      </w:r>
      <w:r w:rsidR="00257E9E">
        <w:rPr>
          <w:lang w:val="es-ES"/>
        </w:rPr>
        <w:t xml:space="preserve"> </w:t>
      </w:r>
      <w:r w:rsidR="00A62A67">
        <w:rPr>
          <w:lang w:val="es-ES"/>
        </w:rPr>
        <w:t xml:space="preserve">Con base </w:t>
      </w:r>
      <w:r w:rsidR="009C4FE5">
        <w:rPr>
          <w:lang w:val="es-ES"/>
        </w:rPr>
        <w:t>en</w:t>
      </w:r>
      <w:r w:rsidR="00A62A67">
        <w:rPr>
          <w:lang w:val="es-ES"/>
        </w:rPr>
        <w:t xml:space="preserve"> la información que tiene ante sí</w:t>
      </w:r>
      <w:r w:rsidR="00291F8C">
        <w:rPr>
          <w:lang w:val="es-ES"/>
        </w:rPr>
        <w:t>, el Comité considera que el autor no ha sustanciado suficientemente, a efectos de su admisibilidad, su alegación de que la duración</w:t>
      </w:r>
      <w:r w:rsidR="00A62A67">
        <w:rPr>
          <w:lang w:val="es-ES"/>
        </w:rPr>
        <w:t xml:space="preserve"> de 16 días</w:t>
      </w:r>
      <w:r w:rsidR="00291F8C">
        <w:rPr>
          <w:lang w:val="es-ES"/>
        </w:rPr>
        <w:t xml:space="preserve"> de la fase de instrucción le habría provocado indefensión y la declara inadmisible de acuerdo con el artículo 3 del Protocolo Facultativo.</w:t>
      </w:r>
    </w:p>
    <w:p w14:paraId="7A9C3A9E" w14:textId="2B2693D2" w:rsidR="000A07C6" w:rsidRDefault="00FB09DE">
      <w:pPr>
        <w:pStyle w:val="SingleTxtG"/>
        <w:rPr>
          <w:lang w:val="es-ES"/>
        </w:rPr>
      </w:pPr>
      <w:r>
        <w:rPr>
          <w:lang w:val="es-ES"/>
        </w:rPr>
        <w:t>6</w:t>
      </w:r>
      <w:r w:rsidR="00096000">
        <w:rPr>
          <w:lang w:val="es-ES"/>
        </w:rPr>
        <w:t>.5</w:t>
      </w:r>
      <w:r w:rsidR="00291F8C">
        <w:rPr>
          <w:lang w:val="es-ES"/>
        </w:rPr>
        <w:tab/>
      </w:r>
      <w:r w:rsidR="006F3333">
        <w:rPr>
          <w:lang w:val="es-ES"/>
        </w:rPr>
        <w:t>El Comité toma nota de que el autor alega que agentes de la policía habrían filtrado su expediente a la prensa y a las redes sociales para inculparlo de los delitos imputados, y que todo ello habría sido motivado por una discriminación hacia él debido a su origen étnico. El Comité toma nota de que</w:t>
      </w:r>
      <w:r w:rsidR="00D966A5">
        <w:rPr>
          <w:lang w:val="es-ES"/>
        </w:rPr>
        <w:t>, aunque</w:t>
      </w:r>
      <w:r w:rsidR="006F3333">
        <w:rPr>
          <w:lang w:val="es-ES"/>
        </w:rPr>
        <w:t xml:space="preserve"> </w:t>
      </w:r>
      <w:r w:rsidR="00545401" w:rsidRPr="00545401">
        <w:rPr>
          <w:lang w:val="es-ES"/>
        </w:rPr>
        <w:t>el Estado parte tiene la obligación de asegurar que se respete la presunción de inocencia del autor</w:t>
      </w:r>
      <w:r w:rsidR="00545401">
        <w:rPr>
          <w:lang w:val="es-ES"/>
        </w:rPr>
        <w:t>,</w:t>
      </w:r>
      <w:r w:rsidR="00545401" w:rsidRPr="00545401">
        <w:rPr>
          <w:lang w:val="es-ES"/>
        </w:rPr>
        <w:t xml:space="preserve"> </w:t>
      </w:r>
      <w:r w:rsidR="006F3333">
        <w:rPr>
          <w:lang w:val="es-ES"/>
        </w:rPr>
        <w:t>el autor no apunta a ningún hecho específico que lleve a pensar que la policía del Estado parte llevó a cabo acciones destinadas a inculpar</w:t>
      </w:r>
      <w:r w:rsidR="00DB41A4">
        <w:rPr>
          <w:lang w:val="es-ES"/>
        </w:rPr>
        <w:t>lo</w:t>
      </w:r>
      <w:r w:rsidR="006F3333">
        <w:rPr>
          <w:lang w:val="es-ES"/>
        </w:rPr>
        <w:t xml:space="preserve"> </w:t>
      </w:r>
      <w:r w:rsidR="001D52E7">
        <w:rPr>
          <w:lang w:val="es-ES"/>
        </w:rPr>
        <w:t>o que casos similares hayan sido tratados de forma diferente por la m</w:t>
      </w:r>
      <w:r w:rsidR="00DB41A4">
        <w:rPr>
          <w:lang w:val="es-ES"/>
        </w:rPr>
        <w:t>i</w:t>
      </w:r>
      <w:r w:rsidR="001D52E7">
        <w:rPr>
          <w:lang w:val="es-ES"/>
        </w:rPr>
        <w:t>sma policía</w:t>
      </w:r>
      <w:r w:rsidR="00D966A5">
        <w:rPr>
          <w:lang w:val="es-ES"/>
        </w:rPr>
        <w:t xml:space="preserve">. </w:t>
      </w:r>
      <w:r w:rsidR="00523554">
        <w:rPr>
          <w:lang w:val="es-ES"/>
        </w:rPr>
        <w:t>Por otra parte</w:t>
      </w:r>
      <w:r w:rsidR="00545401">
        <w:rPr>
          <w:lang w:val="es-ES"/>
        </w:rPr>
        <w:t xml:space="preserve">, </w:t>
      </w:r>
      <w:r w:rsidR="00D966A5">
        <w:rPr>
          <w:lang w:val="es-ES"/>
        </w:rPr>
        <w:t xml:space="preserve">el Comité toma nota de </w:t>
      </w:r>
      <w:r w:rsidR="00B0035E">
        <w:rPr>
          <w:lang w:val="es-ES"/>
        </w:rPr>
        <w:t xml:space="preserve">que el autor no ha </w:t>
      </w:r>
      <w:r w:rsidR="00C030D5">
        <w:rPr>
          <w:lang w:val="es-ES"/>
        </w:rPr>
        <w:t>presentado denuncia alguna por</w:t>
      </w:r>
      <w:r w:rsidR="00B0035E">
        <w:rPr>
          <w:lang w:val="es-ES"/>
        </w:rPr>
        <w:t xml:space="preserve"> tales alegaciones</w:t>
      </w:r>
      <w:r w:rsidR="00FA7A6F">
        <w:rPr>
          <w:lang w:val="es-ES"/>
        </w:rPr>
        <w:t xml:space="preserve"> </w:t>
      </w:r>
      <w:r w:rsidR="00D966A5">
        <w:rPr>
          <w:lang w:val="es-ES"/>
        </w:rPr>
        <w:t>ante</w:t>
      </w:r>
      <w:r w:rsidR="00FA7A6F">
        <w:rPr>
          <w:lang w:val="es-ES"/>
        </w:rPr>
        <w:t xml:space="preserve"> las autoridades nacionales</w:t>
      </w:r>
      <w:r w:rsidR="00B0035E">
        <w:rPr>
          <w:lang w:val="es-ES"/>
        </w:rPr>
        <w:t xml:space="preserve">. Por tanto, el Comité declara estas alegaciones inadmisibles por falta de agotamiento de los recursos internos de acuerdo con </w:t>
      </w:r>
      <w:r w:rsidR="00D966A5">
        <w:rPr>
          <w:lang w:val="es-ES"/>
        </w:rPr>
        <w:t xml:space="preserve">el artículo </w:t>
      </w:r>
      <w:r w:rsidR="00B0035E">
        <w:rPr>
          <w:lang w:val="es-ES"/>
        </w:rPr>
        <w:t>2 del Protocolo Facultativo.</w:t>
      </w:r>
    </w:p>
    <w:p w14:paraId="083C4C6D" w14:textId="041A4235" w:rsidR="00B0035E" w:rsidRDefault="00FB09DE">
      <w:pPr>
        <w:pStyle w:val="SingleTxtG"/>
        <w:rPr>
          <w:lang w:val="es-CL"/>
        </w:rPr>
      </w:pPr>
      <w:r>
        <w:rPr>
          <w:lang w:val="es-ES"/>
        </w:rPr>
        <w:t>6</w:t>
      </w:r>
      <w:r w:rsidR="0056799F">
        <w:rPr>
          <w:lang w:val="es-ES"/>
        </w:rPr>
        <w:t>.</w:t>
      </w:r>
      <w:r w:rsidR="00413B85">
        <w:rPr>
          <w:lang w:val="es-ES"/>
        </w:rPr>
        <w:t>6</w:t>
      </w:r>
      <w:r w:rsidR="00B0035E">
        <w:rPr>
          <w:lang w:val="es-ES"/>
        </w:rPr>
        <w:tab/>
        <w:t>El Comité toma nota de que el autor presenta numerosas alegaciones según las cuales las autoridades judiciales habrían actuado de forma arbitraria en su caso,</w:t>
      </w:r>
      <w:r w:rsidR="00866D39">
        <w:rPr>
          <w:lang w:val="es-ES"/>
        </w:rPr>
        <w:t xml:space="preserve"> basando su condena</w:t>
      </w:r>
      <w:r w:rsidR="00866D39" w:rsidRPr="00442621">
        <w:rPr>
          <w:lang w:val="es-ES"/>
        </w:rPr>
        <w:t xml:space="preserve"> en diligencias de reconocimiento fotográfico llevadas a cabo de forma irregular</w:t>
      </w:r>
      <w:r w:rsidR="00866D39">
        <w:rPr>
          <w:lang w:val="es-ES"/>
        </w:rPr>
        <w:t>,</w:t>
      </w:r>
      <w:r w:rsidR="00496FB3">
        <w:rPr>
          <w:lang w:val="es-ES"/>
        </w:rPr>
        <w:t xml:space="preserve"> apartando de la causa algunos hechos exculpatorios, </w:t>
      </w:r>
      <w:r w:rsidR="00B0035E">
        <w:rPr>
          <w:lang w:val="es-ES"/>
        </w:rPr>
        <w:t xml:space="preserve">aceptando testimonios que habrían sido manipulados o serían sesgados, denegando pruebas de descargo, haciendo uso de útiles en línea que no habrían sido contrastados, imponiéndole una pena desproporcionada y utilizando, durante la vista oral del juicio, una mampara para separar al autor de </w:t>
      </w:r>
      <w:r w:rsidR="00545401">
        <w:rPr>
          <w:lang w:val="es-ES"/>
        </w:rPr>
        <w:t xml:space="preserve">las </w:t>
      </w:r>
      <w:r w:rsidR="009E2AB4">
        <w:rPr>
          <w:lang w:val="es-ES"/>
        </w:rPr>
        <w:t>víctimas</w:t>
      </w:r>
      <w:r w:rsidR="00B0035E">
        <w:rPr>
          <w:lang w:val="es-ES"/>
        </w:rPr>
        <w:t>, todo ello</w:t>
      </w:r>
      <w:r w:rsidR="00DB41A4">
        <w:rPr>
          <w:lang w:val="es-ES"/>
        </w:rPr>
        <w:t>, alega</w:t>
      </w:r>
      <w:r w:rsidR="00F1603F">
        <w:rPr>
          <w:lang w:val="es-ES"/>
        </w:rPr>
        <w:t xml:space="preserve"> el autor</w:t>
      </w:r>
      <w:r w:rsidR="00DB41A4">
        <w:rPr>
          <w:lang w:val="es-ES"/>
        </w:rPr>
        <w:t xml:space="preserve">, </w:t>
      </w:r>
      <w:r w:rsidR="00B0035E">
        <w:rPr>
          <w:lang w:val="es-ES"/>
        </w:rPr>
        <w:t xml:space="preserve">de forma arbitraria. </w:t>
      </w:r>
      <w:r w:rsidR="00B0035E" w:rsidRPr="008C028D">
        <w:rPr>
          <w:lang w:val="es-CL"/>
        </w:rPr>
        <w:t>El Comité recuerda que, según su reiterada jurisprudencia, la valoración de hechos y pruebas</w:t>
      </w:r>
      <w:r w:rsidR="002144DA">
        <w:rPr>
          <w:lang w:val="es-CL"/>
        </w:rPr>
        <w:t xml:space="preserve"> y la</w:t>
      </w:r>
      <w:r w:rsidR="00FB078D">
        <w:rPr>
          <w:lang w:val="es-CL"/>
        </w:rPr>
        <w:t xml:space="preserve"> aplicación </w:t>
      </w:r>
      <w:r w:rsidR="002144DA">
        <w:rPr>
          <w:lang w:val="es-CL"/>
        </w:rPr>
        <w:t>de la legislación nacional</w:t>
      </w:r>
      <w:r w:rsidR="00B0035E" w:rsidRPr="008C028D">
        <w:rPr>
          <w:lang w:val="es-CL"/>
        </w:rPr>
        <w:t xml:space="preserve"> es una cuestión que corresponde, en principio, a los </w:t>
      </w:r>
      <w:r w:rsidR="002144DA">
        <w:rPr>
          <w:lang w:val="es-CL"/>
        </w:rPr>
        <w:t>órganos</w:t>
      </w:r>
      <w:r w:rsidR="00B0035E" w:rsidRPr="008C028D">
        <w:rPr>
          <w:lang w:val="es-CL"/>
        </w:rPr>
        <w:t xml:space="preserve"> nacionales, a menos que </w:t>
      </w:r>
      <w:r w:rsidR="002144DA">
        <w:rPr>
          <w:lang w:val="es-CL"/>
        </w:rPr>
        <w:t xml:space="preserve">dicha valoración </w:t>
      </w:r>
      <w:r w:rsidR="00FB078D">
        <w:rPr>
          <w:lang w:val="es-CL"/>
        </w:rPr>
        <w:t xml:space="preserve">o aplicación </w:t>
      </w:r>
      <w:r w:rsidR="00B0035E" w:rsidRPr="008C028D">
        <w:rPr>
          <w:lang w:val="es-CL"/>
        </w:rPr>
        <w:t>fuera manifiestamente arbitraria o constituyera una denegación de justicia</w:t>
      </w:r>
      <w:r w:rsidR="00B0035E">
        <w:rPr>
          <w:rStyle w:val="Refdenotaalpie"/>
          <w:lang w:val="es-CL"/>
        </w:rPr>
        <w:footnoteReference w:id="14"/>
      </w:r>
      <w:r w:rsidR="00B0035E" w:rsidRPr="008C028D">
        <w:rPr>
          <w:lang w:val="es-CL"/>
        </w:rPr>
        <w:t xml:space="preserve">. </w:t>
      </w:r>
      <w:r w:rsidR="00D57617" w:rsidRPr="00D57617">
        <w:rPr>
          <w:lang w:val="es-ES"/>
        </w:rPr>
        <w:t xml:space="preserve">El Comité ha examinado los materiales presentados por el autor, incluidas </w:t>
      </w:r>
      <w:r w:rsidR="00D57617">
        <w:rPr>
          <w:lang w:val="es-ES"/>
        </w:rPr>
        <w:t>la decisión de</w:t>
      </w:r>
      <w:r w:rsidR="00B0035E" w:rsidRPr="008C028D">
        <w:rPr>
          <w:lang w:val="es-CL"/>
        </w:rPr>
        <w:t xml:space="preserve"> la Audiencia Provincial </w:t>
      </w:r>
      <w:r w:rsidR="00B0035E">
        <w:rPr>
          <w:lang w:val="es-CL"/>
        </w:rPr>
        <w:t>de Jaén</w:t>
      </w:r>
      <w:r w:rsidR="00D57617">
        <w:rPr>
          <w:lang w:val="es-CL"/>
        </w:rPr>
        <w:t xml:space="preserve"> que</w:t>
      </w:r>
      <w:r w:rsidR="00B0035E">
        <w:rPr>
          <w:lang w:val="es-CL"/>
        </w:rPr>
        <w:t xml:space="preserve"> examinó </w:t>
      </w:r>
      <w:r w:rsidR="0056799F">
        <w:rPr>
          <w:lang w:val="es-CL"/>
        </w:rPr>
        <w:t>sus</w:t>
      </w:r>
      <w:r w:rsidR="00B0035E">
        <w:rPr>
          <w:lang w:val="es-CL"/>
        </w:rPr>
        <w:t xml:space="preserve"> alegaciones a este respecto, </w:t>
      </w:r>
      <w:r w:rsidR="00496FB3">
        <w:rPr>
          <w:lang w:val="es-CL"/>
        </w:rPr>
        <w:t>con la salvedad del uso de la mampara que no fue impugnado, y</w:t>
      </w:r>
      <w:r w:rsidR="00866D39">
        <w:rPr>
          <w:lang w:val="es-CL"/>
        </w:rPr>
        <w:t xml:space="preserve"> examinó de forma detallada la validez de las pruebas de cargo. En particular, la Audiencia </w:t>
      </w:r>
      <w:r w:rsidR="00143975">
        <w:rPr>
          <w:lang w:val="es-CL"/>
        </w:rPr>
        <w:t xml:space="preserve">Provincial </w:t>
      </w:r>
      <w:r w:rsidR="00866D39">
        <w:rPr>
          <w:lang w:val="es-CL"/>
        </w:rPr>
        <w:t xml:space="preserve">explicó que los reconocimientos fotográficos habían sido posteriormente </w:t>
      </w:r>
      <w:r w:rsidR="0056799F">
        <w:rPr>
          <w:lang w:val="es-CL"/>
        </w:rPr>
        <w:t>confirmados</w:t>
      </w:r>
      <w:r w:rsidR="00866D39">
        <w:rPr>
          <w:lang w:val="es-CL"/>
        </w:rPr>
        <w:t xml:space="preserve"> por ruedas de conocimiento</w:t>
      </w:r>
      <w:r w:rsidR="00496FB3">
        <w:rPr>
          <w:lang w:val="es-CL"/>
        </w:rPr>
        <w:t xml:space="preserve"> </w:t>
      </w:r>
      <w:r w:rsidR="0056799F">
        <w:rPr>
          <w:lang w:val="es-CL"/>
        </w:rPr>
        <w:t xml:space="preserve">en que todas las garantías habían sido respetadas </w:t>
      </w:r>
      <w:r w:rsidR="00866D39">
        <w:rPr>
          <w:lang w:val="es-CL"/>
        </w:rPr>
        <w:t xml:space="preserve">y </w:t>
      </w:r>
      <w:r w:rsidR="00496FB3">
        <w:rPr>
          <w:lang w:val="es-CL"/>
        </w:rPr>
        <w:t>motivó de forma detallada la decisión por la que los testimonios fueron aceptados</w:t>
      </w:r>
      <w:r w:rsidR="004B4303">
        <w:rPr>
          <w:lang w:val="es-CL"/>
        </w:rPr>
        <w:t>, pues tod</w:t>
      </w:r>
      <w:r w:rsidR="001D52E7">
        <w:rPr>
          <w:lang w:val="es-CL"/>
        </w:rPr>
        <w:t>a</w:t>
      </w:r>
      <w:r w:rsidR="004B4303">
        <w:rPr>
          <w:lang w:val="es-CL"/>
        </w:rPr>
        <w:t>s l</w:t>
      </w:r>
      <w:r w:rsidR="001D52E7">
        <w:rPr>
          <w:lang w:val="es-CL"/>
        </w:rPr>
        <w:t>a</w:t>
      </w:r>
      <w:r w:rsidR="004B4303">
        <w:rPr>
          <w:lang w:val="es-CL"/>
        </w:rPr>
        <w:t xml:space="preserve">s </w:t>
      </w:r>
      <w:r w:rsidR="009E2AB4">
        <w:rPr>
          <w:lang w:val="es-CL"/>
        </w:rPr>
        <w:t>víctimas</w:t>
      </w:r>
      <w:r w:rsidR="00866D39">
        <w:rPr>
          <w:lang w:val="es-CL"/>
        </w:rPr>
        <w:t>,</w:t>
      </w:r>
      <w:r w:rsidR="004B4303">
        <w:rPr>
          <w:lang w:val="es-CL"/>
        </w:rPr>
        <w:t xml:space="preserve"> menos un</w:t>
      </w:r>
      <w:r w:rsidR="001D52E7">
        <w:rPr>
          <w:lang w:val="es-CL"/>
        </w:rPr>
        <w:t>a</w:t>
      </w:r>
      <w:r w:rsidR="00866D39">
        <w:rPr>
          <w:lang w:val="es-CL"/>
        </w:rPr>
        <w:t>,</w:t>
      </w:r>
      <w:r w:rsidR="004B4303">
        <w:rPr>
          <w:lang w:val="es-CL"/>
        </w:rPr>
        <w:t xml:space="preserve"> </w:t>
      </w:r>
      <w:r w:rsidR="00866D39">
        <w:rPr>
          <w:lang w:val="es-CL"/>
        </w:rPr>
        <w:t>afirmaron</w:t>
      </w:r>
      <w:r w:rsidR="004B4303">
        <w:rPr>
          <w:lang w:val="es-CL"/>
        </w:rPr>
        <w:t xml:space="preserve"> no haber tenido conocimiento de l</w:t>
      </w:r>
      <w:r w:rsidR="0056799F">
        <w:rPr>
          <w:lang w:val="es-CL"/>
        </w:rPr>
        <w:t>as noticias de</w:t>
      </w:r>
      <w:r w:rsidR="004B4303">
        <w:rPr>
          <w:lang w:val="es-CL"/>
        </w:rPr>
        <w:t xml:space="preserve"> prensa o de las redes sociales. La Audiencia Provincial concluyó que existía prueba de cargo suficiente y practicada con las garantías legales para desvirtuar el principio de presunción de inocencia y para</w:t>
      </w:r>
      <w:r w:rsidR="00496FB3">
        <w:rPr>
          <w:lang w:val="es-CL"/>
        </w:rPr>
        <w:t xml:space="preserve"> encontrar al autor culpable de los delitos, as</w:t>
      </w:r>
      <w:r w:rsidR="0056799F">
        <w:rPr>
          <w:lang w:val="es-CL"/>
        </w:rPr>
        <w:t>í como</w:t>
      </w:r>
      <w:r w:rsidR="00496FB3">
        <w:rPr>
          <w:lang w:val="es-CL"/>
        </w:rPr>
        <w:t xml:space="preserve"> condenarlo a la pena de 25 años de prisión,</w:t>
      </w:r>
      <w:r w:rsidR="00496FB3" w:rsidRPr="00496FB3">
        <w:rPr>
          <w:lang w:val="es-ES"/>
        </w:rPr>
        <w:t xml:space="preserve"> </w:t>
      </w:r>
      <w:r w:rsidR="00496FB3">
        <w:rPr>
          <w:lang w:val="es-ES"/>
        </w:rPr>
        <w:t>con un máximo cumplimiento de 12 años</w:t>
      </w:r>
      <w:r w:rsidR="00496FB3">
        <w:rPr>
          <w:lang w:val="es-CL"/>
        </w:rPr>
        <w:t>.</w:t>
      </w:r>
      <w:r w:rsidR="00B0035E">
        <w:rPr>
          <w:lang w:val="es-CL"/>
        </w:rPr>
        <w:t xml:space="preserve"> El</w:t>
      </w:r>
      <w:r w:rsidR="00B0035E" w:rsidRPr="008C028D">
        <w:rPr>
          <w:lang w:val="es-CL"/>
        </w:rPr>
        <w:t xml:space="preserve"> Comité considera que</w:t>
      </w:r>
      <w:r w:rsidR="00B0035E">
        <w:rPr>
          <w:lang w:val="es-CL"/>
        </w:rPr>
        <w:t xml:space="preserve"> la información proporcionada por las partes a lo largo del proceso no permite</w:t>
      </w:r>
      <w:r w:rsidR="00B0035E" w:rsidRPr="008C028D">
        <w:rPr>
          <w:lang w:val="es-CL"/>
        </w:rPr>
        <w:t xml:space="preserve"> concluir que los tribunales nacionales </w:t>
      </w:r>
      <w:r w:rsidR="00B0035E">
        <w:rPr>
          <w:lang w:val="es-CL"/>
        </w:rPr>
        <w:t>hayan actuado</w:t>
      </w:r>
      <w:r w:rsidR="00B0035E" w:rsidRPr="008C028D">
        <w:rPr>
          <w:lang w:val="es-CL"/>
        </w:rPr>
        <w:t xml:space="preserve"> arbitrariamente </w:t>
      </w:r>
      <w:r w:rsidR="00B0035E">
        <w:rPr>
          <w:lang w:val="es-CL"/>
        </w:rPr>
        <w:t xml:space="preserve">en la valoración de las pruebas o en la interpretación de la legislación nacional y por tanto </w:t>
      </w:r>
      <w:r w:rsidR="00B0035E" w:rsidRPr="008C028D">
        <w:rPr>
          <w:lang w:val="es-CL"/>
        </w:rPr>
        <w:t xml:space="preserve">no le corresponde </w:t>
      </w:r>
      <w:r w:rsidR="00B0035E">
        <w:rPr>
          <w:lang w:val="es-CL"/>
        </w:rPr>
        <w:t>intervenir a este respecto</w:t>
      </w:r>
      <w:r w:rsidR="00B0035E" w:rsidRPr="008C028D">
        <w:rPr>
          <w:lang w:val="es-CL"/>
        </w:rPr>
        <w:t>, una vez comprobada la detallada motivación de los mismos y la coherencia e</w:t>
      </w:r>
      <w:r w:rsidR="00D57617">
        <w:rPr>
          <w:lang w:val="es-CL"/>
        </w:rPr>
        <w:t>n la línea argumental utilizada</w:t>
      </w:r>
      <w:r w:rsidR="00B0035E">
        <w:rPr>
          <w:rStyle w:val="Refdenotaalpie"/>
          <w:lang w:val="es-CL"/>
        </w:rPr>
        <w:footnoteReference w:id="15"/>
      </w:r>
      <w:r w:rsidR="00143975">
        <w:rPr>
          <w:lang w:val="es-CL"/>
        </w:rPr>
        <w:t>.</w:t>
      </w:r>
      <w:r w:rsidR="00B0035E">
        <w:rPr>
          <w:lang w:val="es-CL"/>
        </w:rPr>
        <w:t xml:space="preserve"> </w:t>
      </w:r>
      <w:r w:rsidR="00866F1D" w:rsidRPr="00866F1D">
        <w:rPr>
          <w:lang w:val="es-ES"/>
        </w:rPr>
        <w:t xml:space="preserve">Por lo tanto, el Comité considera que el autor no ha fundamentado suficientemente sus alegaciones y concluye que </w:t>
      </w:r>
      <w:r w:rsidR="00D57617">
        <w:rPr>
          <w:lang w:val="es-ES"/>
        </w:rPr>
        <w:t>las alegaciones según las cuales las autoridades judiciales habrían actuado de forma arbitraria son</w:t>
      </w:r>
      <w:r w:rsidR="00866F1D" w:rsidRPr="00866F1D">
        <w:rPr>
          <w:lang w:val="es-ES"/>
        </w:rPr>
        <w:t xml:space="preserve"> inadm</w:t>
      </w:r>
      <w:r w:rsidR="009B285E">
        <w:rPr>
          <w:lang w:val="es-ES"/>
        </w:rPr>
        <w:t>isible</w:t>
      </w:r>
      <w:r w:rsidR="00D57617">
        <w:rPr>
          <w:lang w:val="es-ES"/>
        </w:rPr>
        <w:t>s</w:t>
      </w:r>
      <w:r w:rsidR="009B285E">
        <w:rPr>
          <w:lang w:val="es-ES"/>
        </w:rPr>
        <w:t xml:space="preserve"> con arreglo al artículo 3</w:t>
      </w:r>
      <w:r w:rsidR="00866F1D" w:rsidRPr="00866F1D">
        <w:rPr>
          <w:lang w:val="es-ES"/>
        </w:rPr>
        <w:t xml:space="preserve"> del Protocolo Facultativo.</w:t>
      </w:r>
      <w:r w:rsidR="009B285E">
        <w:rPr>
          <w:lang w:val="es-CL"/>
        </w:rPr>
        <w:t xml:space="preserve"> Además, el Comité toma nota de que el autor no impugnó el uso de la mampara durante la vista oral y considera que el autor no ha agotado </w:t>
      </w:r>
      <w:r w:rsidR="00D57617">
        <w:rPr>
          <w:lang w:val="es-CL"/>
        </w:rPr>
        <w:t xml:space="preserve">los </w:t>
      </w:r>
      <w:r w:rsidR="009B285E">
        <w:rPr>
          <w:lang w:val="es-CL"/>
        </w:rPr>
        <w:t>recursos</w:t>
      </w:r>
      <w:r w:rsidR="00D57617">
        <w:rPr>
          <w:lang w:val="es-CL"/>
        </w:rPr>
        <w:t xml:space="preserve"> internos</w:t>
      </w:r>
      <w:r w:rsidR="009B285E">
        <w:rPr>
          <w:lang w:val="es-CL"/>
        </w:rPr>
        <w:t xml:space="preserve"> respecto a esa alegación y que esa parte de la queja es inadmisible con arreglo al artículo 2 del Protocolo Facultativo.</w:t>
      </w:r>
    </w:p>
    <w:p w14:paraId="2DF3909F" w14:textId="45BFF709" w:rsidR="00413B85" w:rsidRDefault="00FB09DE" w:rsidP="00A0160F">
      <w:pPr>
        <w:pStyle w:val="SingleTxtG"/>
        <w:rPr>
          <w:lang w:val="es-ES"/>
        </w:rPr>
      </w:pPr>
      <w:r>
        <w:rPr>
          <w:lang w:val="es-CL"/>
        </w:rPr>
        <w:lastRenderedPageBreak/>
        <w:t>6</w:t>
      </w:r>
      <w:r w:rsidR="00413B85">
        <w:rPr>
          <w:lang w:val="es-ES"/>
        </w:rPr>
        <w:t>.7</w:t>
      </w:r>
      <w:r w:rsidR="00413B85">
        <w:rPr>
          <w:lang w:val="es-ES"/>
        </w:rPr>
        <w:tab/>
        <w:t xml:space="preserve">El Comité toma nota de la alegación del autor de que no pudo acceder a la revisión del fallo condenatorio y de la pena que le fueron impuestos por una instancia superior pues la propia </w:t>
      </w:r>
      <w:r w:rsidR="001D441F">
        <w:rPr>
          <w:lang w:val="es-ES"/>
        </w:rPr>
        <w:t>F</w:t>
      </w:r>
      <w:r w:rsidR="00413B85">
        <w:rPr>
          <w:lang w:val="es-ES"/>
        </w:rPr>
        <w:t xml:space="preserve">iscalía afirmó que no podía reexaminarse la validez de los testimonios. El Comité toma nota </w:t>
      </w:r>
      <w:r w:rsidR="00FC7B37">
        <w:rPr>
          <w:lang w:val="es-ES"/>
        </w:rPr>
        <w:t xml:space="preserve">también </w:t>
      </w:r>
      <w:r w:rsidR="00413B85">
        <w:rPr>
          <w:lang w:val="es-ES"/>
        </w:rPr>
        <w:t xml:space="preserve">de que el autor recurrió la sentencia del Juzgado de lo Penal </w:t>
      </w:r>
      <w:r w:rsidR="001D441F">
        <w:rPr>
          <w:lang w:val="es-ES"/>
        </w:rPr>
        <w:t>n</w:t>
      </w:r>
      <w:r w:rsidR="00413B85">
        <w:rPr>
          <w:lang w:val="es-ES"/>
        </w:rPr>
        <w:t>úm. 1 de Jaén ante la Audiencia Provincial de Jaén que examinó el valor probatorio de los reconocimientos de l</w:t>
      </w:r>
      <w:r w:rsidR="001D52E7">
        <w:rPr>
          <w:lang w:val="es-ES"/>
        </w:rPr>
        <w:t>a</w:t>
      </w:r>
      <w:r w:rsidR="00413B85">
        <w:rPr>
          <w:lang w:val="es-ES"/>
        </w:rPr>
        <w:t xml:space="preserve">s </w:t>
      </w:r>
      <w:r w:rsidR="009E2AB4">
        <w:rPr>
          <w:lang w:val="es-ES"/>
        </w:rPr>
        <w:t>víctimas</w:t>
      </w:r>
      <w:r w:rsidR="00413B85">
        <w:rPr>
          <w:lang w:val="es-ES"/>
        </w:rPr>
        <w:t>, así como todas las alegaciones presentadas por el autor en su apelación. Por tanto, el Comité considera que el autor no ha sustanciado suficientemente, a efectos de su admisibilidad, su alegación de que no habría tenido acceso a la revisión del fallo condenatorio y de la pena que le fueron impuestos y la declara inadmisible de acuerdo con el artículo 3 del Protocolo Facultativo.</w:t>
      </w:r>
    </w:p>
    <w:p w14:paraId="408D5569" w14:textId="2C534DE4" w:rsidR="00A0160F" w:rsidRPr="00A0160F" w:rsidRDefault="00FB09DE" w:rsidP="00A0160F">
      <w:pPr>
        <w:pStyle w:val="SingleTxtG"/>
        <w:rPr>
          <w:lang w:val="es-ES"/>
        </w:rPr>
      </w:pPr>
      <w:r>
        <w:rPr>
          <w:lang w:val="es-ES"/>
        </w:rPr>
        <w:t>7.</w:t>
      </w:r>
      <w:r>
        <w:rPr>
          <w:lang w:val="es-ES"/>
        </w:rPr>
        <w:tab/>
      </w:r>
      <w:r w:rsidR="00A0160F" w:rsidRPr="00A0160F">
        <w:rPr>
          <w:lang w:val="es-ES"/>
        </w:rPr>
        <w:t>Por lo tanto, el Comité de Derechos Humanos decide:</w:t>
      </w:r>
    </w:p>
    <w:p w14:paraId="24547441" w14:textId="54BD0225" w:rsidR="00A0160F" w:rsidRPr="00A0160F" w:rsidRDefault="00FB09DE" w:rsidP="00FB09DE">
      <w:pPr>
        <w:pStyle w:val="SingleTxtG"/>
        <w:ind w:firstLine="567"/>
        <w:rPr>
          <w:lang w:val="es-ES"/>
        </w:rPr>
      </w:pPr>
      <w:r>
        <w:rPr>
          <w:lang w:val="es-ES"/>
        </w:rPr>
        <w:t>a)</w:t>
      </w:r>
      <w:r>
        <w:rPr>
          <w:lang w:val="es-ES"/>
        </w:rPr>
        <w:tab/>
      </w:r>
      <w:r w:rsidR="00A0160F" w:rsidRPr="00A0160F">
        <w:rPr>
          <w:lang w:val="es-ES"/>
        </w:rPr>
        <w:t xml:space="preserve">Que la </w:t>
      </w:r>
      <w:r w:rsidR="00A0160F" w:rsidRPr="00FB09DE">
        <w:rPr>
          <w:lang w:val="es-ES"/>
        </w:rPr>
        <w:t>comunicación</w:t>
      </w:r>
      <w:r w:rsidR="00A0160F" w:rsidRPr="00A0160F">
        <w:rPr>
          <w:lang w:val="es-ES"/>
        </w:rPr>
        <w:t xml:space="preserve"> es inadmisible en virtud de</w:t>
      </w:r>
      <w:r w:rsidR="00866F1D">
        <w:rPr>
          <w:lang w:val="es-ES"/>
        </w:rPr>
        <w:t xml:space="preserve"> </w:t>
      </w:r>
      <w:r w:rsidR="00A0160F" w:rsidRPr="00A0160F">
        <w:rPr>
          <w:lang w:val="es-ES"/>
        </w:rPr>
        <w:t>l</w:t>
      </w:r>
      <w:r w:rsidR="00866F1D">
        <w:rPr>
          <w:lang w:val="es-ES"/>
        </w:rPr>
        <w:t>os</w:t>
      </w:r>
      <w:r w:rsidR="00A0160F" w:rsidRPr="00A0160F">
        <w:rPr>
          <w:lang w:val="es-ES"/>
        </w:rPr>
        <w:t xml:space="preserve"> artículo</w:t>
      </w:r>
      <w:r w:rsidR="00866F1D">
        <w:rPr>
          <w:lang w:val="es-ES"/>
        </w:rPr>
        <w:t>s</w:t>
      </w:r>
      <w:r w:rsidR="00A0160F" w:rsidRPr="00A0160F">
        <w:rPr>
          <w:lang w:val="es-ES"/>
        </w:rPr>
        <w:t xml:space="preserve"> 2</w:t>
      </w:r>
      <w:r w:rsidR="00866F1D">
        <w:rPr>
          <w:lang w:val="es-ES"/>
        </w:rPr>
        <w:t xml:space="preserve"> y 3</w:t>
      </w:r>
      <w:r w:rsidR="00A0160F" w:rsidRPr="00A0160F">
        <w:rPr>
          <w:lang w:val="es-ES"/>
        </w:rPr>
        <w:t xml:space="preserve"> del Protocolo</w:t>
      </w:r>
      <w:r>
        <w:rPr>
          <w:lang w:val="es-ES"/>
        </w:rPr>
        <w:t xml:space="preserve"> </w:t>
      </w:r>
      <w:r w:rsidR="00A0160F" w:rsidRPr="00A0160F">
        <w:rPr>
          <w:lang w:val="es-ES"/>
        </w:rPr>
        <w:t>Facultativo</w:t>
      </w:r>
      <w:r w:rsidR="00D10FA0">
        <w:rPr>
          <w:lang w:val="es-ES"/>
        </w:rPr>
        <w:t>;</w:t>
      </w:r>
    </w:p>
    <w:p w14:paraId="56FCB59B" w14:textId="5FB3AB86" w:rsidR="00A0160F" w:rsidRPr="00A0160F" w:rsidRDefault="00FB09DE" w:rsidP="00E11AFB">
      <w:pPr>
        <w:pStyle w:val="SingleTxtG"/>
        <w:ind w:firstLine="567"/>
        <w:rPr>
          <w:lang w:val="es-ES"/>
        </w:rPr>
      </w:pPr>
      <w:r>
        <w:rPr>
          <w:lang w:val="es-ES"/>
        </w:rPr>
        <w:t>b)</w:t>
      </w:r>
      <w:r>
        <w:rPr>
          <w:lang w:val="es-ES"/>
        </w:rPr>
        <w:tab/>
      </w:r>
      <w:r w:rsidR="00A0160F" w:rsidRPr="00A0160F">
        <w:rPr>
          <w:lang w:val="es-ES"/>
        </w:rPr>
        <w:t>Que la presente decisión se ponga en conocimiento del Estado parte y del</w:t>
      </w:r>
    </w:p>
    <w:p w14:paraId="76441114" w14:textId="1D593D02" w:rsidR="00A076E9" w:rsidRPr="00A0160F" w:rsidRDefault="00A0160F" w:rsidP="00A0160F">
      <w:pPr>
        <w:pStyle w:val="SingleTxtG"/>
        <w:rPr>
          <w:lang w:val="es-ES"/>
        </w:rPr>
      </w:pPr>
      <w:r w:rsidRPr="00A0160F">
        <w:rPr>
          <w:lang w:val="es-ES"/>
        </w:rPr>
        <w:t>autor</w:t>
      </w:r>
      <w:r>
        <w:rPr>
          <w:lang w:val="es-ES"/>
        </w:rPr>
        <w:t>.</w:t>
      </w:r>
    </w:p>
    <w:p w14:paraId="3D8FB441" w14:textId="39E1696B" w:rsidR="001D6481" w:rsidRPr="00FB09DE" w:rsidRDefault="00FB09DE" w:rsidP="00FB09DE">
      <w:pPr>
        <w:spacing w:before="240"/>
        <w:ind w:left="1134" w:right="1134"/>
        <w:jc w:val="center"/>
        <w:rPr>
          <w:u w:val="single"/>
        </w:rPr>
      </w:pPr>
      <w:r>
        <w:rPr>
          <w:u w:val="single"/>
        </w:rPr>
        <w:tab/>
      </w:r>
      <w:r>
        <w:rPr>
          <w:u w:val="single"/>
        </w:rPr>
        <w:tab/>
      </w:r>
      <w:r w:rsidR="00D10FA0">
        <w:rPr>
          <w:u w:val="single"/>
        </w:rPr>
        <w:tab/>
      </w:r>
      <w:r w:rsidR="006A4579">
        <w:rPr>
          <w:u w:val="single"/>
        </w:rPr>
        <w:tab/>
      </w:r>
    </w:p>
    <w:sectPr w:rsidR="001D6481" w:rsidRPr="00FB09DE" w:rsidSect="00CD7F6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8B8EA" w14:textId="77777777" w:rsidR="006E253F" w:rsidRPr="00B903E5" w:rsidRDefault="006E253F" w:rsidP="00B903E5">
      <w:pPr>
        <w:pStyle w:val="Piedepgina"/>
      </w:pPr>
    </w:p>
  </w:endnote>
  <w:endnote w:type="continuationSeparator" w:id="0">
    <w:p w14:paraId="3B809148" w14:textId="77777777" w:rsidR="006E253F" w:rsidRPr="00B903E5" w:rsidRDefault="006E253F" w:rsidP="00B903E5">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4947" w14:textId="047EFF51" w:rsidR="003127CB" w:rsidRPr="006A31AE" w:rsidRDefault="003127CB" w:rsidP="006A31AE">
    <w:pPr>
      <w:pStyle w:val="Piedepgina"/>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260A67">
      <w:rPr>
        <w:b/>
        <w:noProof/>
        <w:sz w:val="18"/>
      </w:rPr>
      <w:t>8</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C83E" w14:textId="3AC4B565" w:rsidR="003127CB" w:rsidRPr="006A31AE" w:rsidRDefault="003127CB" w:rsidP="006A31AE">
    <w:pPr>
      <w:pStyle w:val="Piedepgina"/>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260A67">
      <w:rPr>
        <w:b/>
        <w:noProof/>
        <w:sz w:val="18"/>
      </w:rPr>
      <w:t>7</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6948" w14:textId="76E6934E" w:rsidR="00531538" w:rsidRPr="00F96E49" w:rsidRDefault="00F96E49" w:rsidP="00F96E49">
    <w:pPr>
      <w:pStyle w:val="Piedepgina"/>
      <w:tabs>
        <w:tab w:val="left" w:pos="6520"/>
        <w:tab w:val="right" w:pos="9638"/>
      </w:tabs>
      <w:spacing w:before="120"/>
      <w:rPr>
        <w:sz w:val="20"/>
      </w:rPr>
    </w:pPr>
    <w:r>
      <w:rPr>
        <w:sz w:val="20"/>
      </w:rPr>
      <w:t>GE.20-</w:t>
    </w:r>
    <w:proofErr w:type="gramStart"/>
    <w:r>
      <w:rPr>
        <w:sz w:val="20"/>
      </w:rPr>
      <w:t>17382  (</w:t>
    </w:r>
    <w:proofErr w:type="gramEnd"/>
    <w:r>
      <w:rPr>
        <w:sz w:val="20"/>
      </w:rPr>
      <w:t>S)</w:t>
    </w:r>
    <w:r>
      <w:rPr>
        <w:sz w:val="20"/>
      </w:rPr>
      <w:tab/>
    </w:r>
    <w:r w:rsidRPr="00F96E49">
      <w:rPr>
        <w:noProof/>
        <w:sz w:val="20"/>
        <w:lang w:val="fr-CH"/>
      </w:rPr>
      <w:drawing>
        <wp:inline distT="0" distB="0" distL="0" distR="0" wp14:anchorId="117AD821" wp14:editId="30C21D64">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AC576B9" wp14:editId="4064A43F">
          <wp:extent cx="641350" cy="6413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646A" w14:textId="77777777" w:rsidR="006E253F" w:rsidRPr="00B903E5" w:rsidRDefault="006E253F" w:rsidP="00B903E5">
      <w:pPr>
        <w:tabs>
          <w:tab w:val="right" w:pos="2155"/>
        </w:tabs>
        <w:spacing w:after="80" w:line="240" w:lineRule="auto"/>
        <w:ind w:left="680"/>
      </w:pPr>
      <w:r>
        <w:rPr>
          <w:u w:val="single"/>
        </w:rPr>
        <w:tab/>
      </w:r>
    </w:p>
  </w:footnote>
  <w:footnote w:type="continuationSeparator" w:id="0">
    <w:p w14:paraId="4BC75E8B" w14:textId="77777777" w:rsidR="006E253F" w:rsidRPr="00B903E5" w:rsidRDefault="006E253F" w:rsidP="00B903E5">
      <w:pPr>
        <w:tabs>
          <w:tab w:val="right" w:pos="2155"/>
        </w:tabs>
        <w:spacing w:after="80" w:line="240" w:lineRule="auto"/>
        <w:ind w:left="680"/>
      </w:pPr>
      <w:r>
        <w:rPr>
          <w:u w:val="single"/>
        </w:rPr>
        <w:tab/>
      </w:r>
    </w:p>
  </w:footnote>
  <w:footnote w:id="1">
    <w:p w14:paraId="2B716EB9" w14:textId="5B4494B6" w:rsidR="00662526" w:rsidRPr="0041359B" w:rsidRDefault="00662526">
      <w:pPr>
        <w:pStyle w:val="Textonotapie"/>
        <w:rPr>
          <w:lang w:val="es-ES"/>
        </w:rPr>
      </w:pPr>
      <w:r w:rsidRPr="0041359B">
        <w:rPr>
          <w:rStyle w:val="Refdenotaalpie"/>
          <w:lang w:val="es-ES"/>
        </w:rPr>
        <w:tab/>
      </w:r>
      <w:r w:rsidRPr="0041359B">
        <w:rPr>
          <w:rStyle w:val="Refdenotaalpie"/>
          <w:sz w:val="20"/>
          <w:vertAlign w:val="baseline"/>
          <w:lang w:val="es-ES"/>
        </w:rPr>
        <w:t>*</w:t>
      </w:r>
      <w:r>
        <w:rPr>
          <w:lang w:val="es-ES"/>
        </w:rPr>
        <w:tab/>
      </w:r>
      <w:r w:rsidR="005159DC">
        <w:rPr>
          <w:lang w:val="es-ES"/>
        </w:rPr>
        <w:t>Adoptado por el Comité en su 129</w:t>
      </w:r>
      <w:r w:rsidRPr="00566010">
        <w:rPr>
          <w:lang w:val="es-ES"/>
        </w:rPr>
        <w:t>° período de s</w:t>
      </w:r>
      <w:r w:rsidR="005159DC">
        <w:rPr>
          <w:lang w:val="es-ES"/>
        </w:rPr>
        <w:t>esiones (</w:t>
      </w:r>
      <w:r w:rsidR="005159DC">
        <w:rPr>
          <w:lang w:val="es-MX"/>
        </w:rPr>
        <w:t>29</w:t>
      </w:r>
      <w:r w:rsidR="00EF31E3">
        <w:rPr>
          <w:lang w:val="es-MX"/>
        </w:rPr>
        <w:t xml:space="preserve"> de</w:t>
      </w:r>
      <w:r w:rsidR="005159DC">
        <w:rPr>
          <w:lang w:val="es-MX"/>
        </w:rPr>
        <w:t xml:space="preserve"> junio a 24 de julio de 2020</w:t>
      </w:r>
      <w:r w:rsidRPr="00566010">
        <w:rPr>
          <w:lang w:val="es-ES"/>
        </w:rPr>
        <w:t>)</w:t>
      </w:r>
      <w:r w:rsidRPr="00175184">
        <w:rPr>
          <w:lang w:val="es-ES"/>
        </w:rPr>
        <w:t>.</w:t>
      </w:r>
    </w:p>
  </w:footnote>
  <w:footnote w:id="2">
    <w:p w14:paraId="7A96BCF4" w14:textId="2EB798FE" w:rsidR="00662526" w:rsidRPr="0041359B" w:rsidRDefault="00662526">
      <w:pPr>
        <w:pStyle w:val="Textonotapie"/>
        <w:rPr>
          <w:lang w:val="es-ES"/>
        </w:rPr>
      </w:pPr>
      <w:r w:rsidRPr="0041359B">
        <w:rPr>
          <w:rStyle w:val="Refdenotaalpie"/>
          <w:lang w:val="es-ES"/>
        </w:rPr>
        <w:tab/>
      </w:r>
      <w:r w:rsidRPr="0041359B">
        <w:rPr>
          <w:rStyle w:val="Refdenotaalpie"/>
          <w:sz w:val="20"/>
          <w:vertAlign w:val="baseline"/>
          <w:lang w:val="es-ES"/>
        </w:rPr>
        <w:t>**</w:t>
      </w:r>
      <w:r w:rsidRPr="0041359B">
        <w:rPr>
          <w:rStyle w:val="Refdenotaalpie"/>
          <w:sz w:val="20"/>
          <w:vertAlign w:val="baseline"/>
          <w:lang w:val="es-ES"/>
        </w:rPr>
        <w:tab/>
      </w:r>
      <w:r w:rsidRPr="00A56D68">
        <w:rPr>
          <w:rStyle w:val="Refdenotaalpie"/>
          <w:szCs w:val="18"/>
          <w:vertAlign w:val="baseline"/>
          <w:lang w:val="es-ES"/>
        </w:rPr>
        <w:t xml:space="preserve">Los siguientes miembros del Comité participaron en el examen de la presente comunicación: </w:t>
      </w:r>
      <w:r w:rsidR="009245D0" w:rsidRPr="0041359B">
        <w:rPr>
          <w:lang w:val="es-ES"/>
        </w:rPr>
        <w:t xml:space="preserve">Tania </w:t>
      </w:r>
      <w:proofErr w:type="spellStart"/>
      <w:r w:rsidR="009245D0" w:rsidRPr="0041359B">
        <w:rPr>
          <w:lang w:val="es-ES"/>
        </w:rPr>
        <w:t>Abdo</w:t>
      </w:r>
      <w:proofErr w:type="spellEnd"/>
      <w:r w:rsidR="009245D0" w:rsidRPr="0041359B">
        <w:rPr>
          <w:lang w:val="es-ES"/>
        </w:rPr>
        <w:t xml:space="preserve"> </w:t>
      </w:r>
      <w:proofErr w:type="spellStart"/>
      <w:r w:rsidR="009245D0" w:rsidRPr="0041359B">
        <w:rPr>
          <w:lang w:val="es-ES"/>
        </w:rPr>
        <w:t>Rocholl</w:t>
      </w:r>
      <w:proofErr w:type="spellEnd"/>
      <w:r w:rsidR="009245D0" w:rsidRPr="0041359B">
        <w:rPr>
          <w:lang w:val="es-ES"/>
        </w:rPr>
        <w:t xml:space="preserve">, </w:t>
      </w:r>
      <w:proofErr w:type="spellStart"/>
      <w:r w:rsidR="009245D0" w:rsidRPr="0041359B">
        <w:rPr>
          <w:lang w:val="es-ES"/>
        </w:rPr>
        <w:t>Yadh</w:t>
      </w:r>
      <w:proofErr w:type="spellEnd"/>
      <w:r w:rsidR="009245D0" w:rsidRPr="0041359B">
        <w:rPr>
          <w:lang w:val="es-ES"/>
        </w:rPr>
        <w:t xml:space="preserve"> Ben </w:t>
      </w:r>
      <w:proofErr w:type="spellStart"/>
      <w:r w:rsidR="009245D0" w:rsidRPr="0041359B">
        <w:rPr>
          <w:lang w:val="es-ES"/>
        </w:rPr>
        <w:t>Achour</w:t>
      </w:r>
      <w:proofErr w:type="spellEnd"/>
      <w:r w:rsidR="009245D0" w:rsidRPr="0041359B">
        <w:rPr>
          <w:lang w:val="es-ES"/>
        </w:rPr>
        <w:t xml:space="preserve">, </w:t>
      </w:r>
      <w:proofErr w:type="spellStart"/>
      <w:r w:rsidR="009245D0" w:rsidRPr="0041359B">
        <w:rPr>
          <w:lang w:val="es-ES"/>
        </w:rPr>
        <w:t>Arif</w:t>
      </w:r>
      <w:proofErr w:type="spellEnd"/>
      <w:r w:rsidR="009245D0" w:rsidRPr="0041359B">
        <w:rPr>
          <w:lang w:val="es-ES"/>
        </w:rPr>
        <w:t xml:space="preserve"> </w:t>
      </w:r>
      <w:proofErr w:type="spellStart"/>
      <w:r w:rsidR="009245D0" w:rsidRPr="0041359B">
        <w:rPr>
          <w:lang w:val="es-ES"/>
        </w:rPr>
        <w:t>Bulkan</w:t>
      </w:r>
      <w:proofErr w:type="spellEnd"/>
      <w:r w:rsidR="009245D0" w:rsidRPr="0041359B">
        <w:rPr>
          <w:lang w:val="es-ES"/>
        </w:rPr>
        <w:t xml:space="preserve">, </w:t>
      </w:r>
      <w:proofErr w:type="spellStart"/>
      <w:r w:rsidR="009245D0" w:rsidRPr="0041359B">
        <w:rPr>
          <w:lang w:val="es-ES"/>
        </w:rPr>
        <w:t>Furuya</w:t>
      </w:r>
      <w:proofErr w:type="spellEnd"/>
      <w:r w:rsidR="009245D0" w:rsidRPr="0041359B">
        <w:rPr>
          <w:lang w:val="es-ES"/>
        </w:rPr>
        <w:t xml:space="preserve"> </w:t>
      </w:r>
      <w:proofErr w:type="spellStart"/>
      <w:r w:rsidR="009245D0" w:rsidRPr="0041359B">
        <w:rPr>
          <w:lang w:val="es-ES"/>
        </w:rPr>
        <w:t>Shuichi</w:t>
      </w:r>
      <w:proofErr w:type="spellEnd"/>
      <w:r w:rsidR="009245D0" w:rsidRPr="0041359B">
        <w:rPr>
          <w:lang w:val="es-ES"/>
        </w:rPr>
        <w:t xml:space="preserve">, </w:t>
      </w:r>
      <w:proofErr w:type="spellStart"/>
      <w:r w:rsidR="009245D0" w:rsidRPr="0041359B">
        <w:rPr>
          <w:lang w:val="es-ES"/>
        </w:rPr>
        <w:t>Bamariam</w:t>
      </w:r>
      <w:proofErr w:type="spellEnd"/>
      <w:r w:rsidR="009245D0" w:rsidRPr="0041359B">
        <w:rPr>
          <w:lang w:val="es-ES"/>
        </w:rPr>
        <w:t xml:space="preserve"> </w:t>
      </w:r>
      <w:proofErr w:type="spellStart"/>
      <w:r w:rsidR="009245D0" w:rsidRPr="0041359B">
        <w:rPr>
          <w:lang w:val="es-ES"/>
        </w:rPr>
        <w:t>Koita</w:t>
      </w:r>
      <w:proofErr w:type="spellEnd"/>
      <w:r w:rsidR="009245D0" w:rsidRPr="0041359B">
        <w:rPr>
          <w:lang w:val="es-ES"/>
        </w:rPr>
        <w:t>, Marcia V.</w:t>
      </w:r>
      <w:r w:rsidR="00154633">
        <w:rPr>
          <w:lang w:val="es-ES"/>
        </w:rPr>
        <w:t xml:space="preserve"> </w:t>
      </w:r>
      <w:r w:rsidR="009245D0" w:rsidRPr="0041359B">
        <w:rPr>
          <w:lang w:val="es-ES"/>
        </w:rPr>
        <w:t xml:space="preserve">J. </w:t>
      </w:r>
      <w:proofErr w:type="spellStart"/>
      <w:r w:rsidR="009245D0" w:rsidRPr="0041359B">
        <w:rPr>
          <w:lang w:val="es-ES"/>
        </w:rPr>
        <w:t>Kran</w:t>
      </w:r>
      <w:proofErr w:type="spellEnd"/>
      <w:r w:rsidR="009245D0" w:rsidRPr="0041359B">
        <w:rPr>
          <w:lang w:val="es-ES"/>
        </w:rPr>
        <w:t xml:space="preserve">, </w:t>
      </w:r>
      <w:proofErr w:type="spellStart"/>
      <w:r w:rsidR="009245D0" w:rsidRPr="0041359B">
        <w:rPr>
          <w:lang w:val="es-ES"/>
        </w:rPr>
        <w:t>Ducan</w:t>
      </w:r>
      <w:proofErr w:type="spellEnd"/>
      <w:r w:rsidR="009245D0" w:rsidRPr="0041359B">
        <w:rPr>
          <w:lang w:val="es-ES"/>
        </w:rPr>
        <w:t xml:space="preserve"> </w:t>
      </w:r>
      <w:proofErr w:type="spellStart"/>
      <w:r w:rsidR="009245D0" w:rsidRPr="0041359B">
        <w:rPr>
          <w:lang w:val="es-ES"/>
        </w:rPr>
        <w:t>Laki</w:t>
      </w:r>
      <w:proofErr w:type="spellEnd"/>
      <w:r w:rsidR="009245D0" w:rsidRPr="0041359B">
        <w:rPr>
          <w:lang w:val="es-ES"/>
        </w:rPr>
        <w:t xml:space="preserve"> </w:t>
      </w:r>
      <w:proofErr w:type="spellStart"/>
      <w:r w:rsidR="009245D0" w:rsidRPr="0041359B">
        <w:rPr>
          <w:lang w:val="es-ES"/>
        </w:rPr>
        <w:t>Muhumuza</w:t>
      </w:r>
      <w:proofErr w:type="spellEnd"/>
      <w:r w:rsidR="009245D0" w:rsidRPr="0041359B">
        <w:rPr>
          <w:lang w:val="es-ES"/>
        </w:rPr>
        <w:t xml:space="preserve">, </w:t>
      </w:r>
      <w:proofErr w:type="spellStart"/>
      <w:r w:rsidR="009245D0" w:rsidRPr="0041359B">
        <w:rPr>
          <w:lang w:val="es-ES"/>
        </w:rPr>
        <w:t>Photini</w:t>
      </w:r>
      <w:proofErr w:type="spellEnd"/>
      <w:r w:rsidR="009245D0" w:rsidRPr="0041359B">
        <w:rPr>
          <w:lang w:val="es-ES"/>
        </w:rPr>
        <w:t xml:space="preserve"> </w:t>
      </w:r>
      <w:proofErr w:type="spellStart"/>
      <w:r w:rsidR="009245D0" w:rsidRPr="0041359B">
        <w:rPr>
          <w:lang w:val="es-ES"/>
        </w:rPr>
        <w:t>Pazartzis</w:t>
      </w:r>
      <w:proofErr w:type="spellEnd"/>
      <w:r w:rsidR="009245D0" w:rsidRPr="0041359B">
        <w:rPr>
          <w:lang w:val="es-ES"/>
        </w:rPr>
        <w:t xml:space="preserve">, Hernán Quezada Cabrera, </w:t>
      </w:r>
      <w:proofErr w:type="spellStart"/>
      <w:r w:rsidR="009245D0" w:rsidRPr="0041359B">
        <w:rPr>
          <w:lang w:val="es-ES"/>
        </w:rPr>
        <w:t>Vasilka</w:t>
      </w:r>
      <w:proofErr w:type="spellEnd"/>
      <w:r w:rsidR="009245D0" w:rsidRPr="0041359B">
        <w:rPr>
          <w:lang w:val="es-ES"/>
        </w:rPr>
        <w:t xml:space="preserve"> </w:t>
      </w:r>
      <w:proofErr w:type="spellStart"/>
      <w:r w:rsidR="009245D0" w:rsidRPr="0041359B">
        <w:rPr>
          <w:lang w:val="es-ES"/>
        </w:rPr>
        <w:t>Sancin</w:t>
      </w:r>
      <w:proofErr w:type="spellEnd"/>
      <w:r w:rsidR="009245D0" w:rsidRPr="0041359B">
        <w:rPr>
          <w:lang w:val="es-ES"/>
        </w:rPr>
        <w:t xml:space="preserve">, José Manuel Santos </w:t>
      </w:r>
      <w:proofErr w:type="spellStart"/>
      <w:r w:rsidR="009245D0" w:rsidRPr="0041359B">
        <w:rPr>
          <w:lang w:val="es-ES"/>
        </w:rPr>
        <w:t>Pais</w:t>
      </w:r>
      <w:proofErr w:type="spellEnd"/>
      <w:r w:rsidR="009245D0" w:rsidRPr="0041359B">
        <w:rPr>
          <w:lang w:val="es-ES"/>
        </w:rPr>
        <w:t xml:space="preserve">, </w:t>
      </w:r>
      <w:proofErr w:type="spellStart"/>
      <w:r w:rsidR="009245D0" w:rsidRPr="0041359B">
        <w:rPr>
          <w:lang w:val="es-ES"/>
        </w:rPr>
        <w:t>Yuval</w:t>
      </w:r>
      <w:proofErr w:type="spellEnd"/>
      <w:r w:rsidR="009245D0" w:rsidRPr="0041359B">
        <w:rPr>
          <w:lang w:val="es-ES"/>
        </w:rPr>
        <w:t xml:space="preserve"> </w:t>
      </w:r>
      <w:proofErr w:type="spellStart"/>
      <w:r w:rsidR="009245D0" w:rsidRPr="0041359B">
        <w:rPr>
          <w:lang w:val="es-ES"/>
        </w:rPr>
        <w:t>Shany</w:t>
      </w:r>
      <w:proofErr w:type="spellEnd"/>
      <w:r w:rsidR="009245D0" w:rsidRPr="0041359B">
        <w:rPr>
          <w:lang w:val="es-ES"/>
        </w:rPr>
        <w:t xml:space="preserve">, Hélène </w:t>
      </w:r>
      <w:proofErr w:type="spellStart"/>
      <w:r w:rsidR="009245D0" w:rsidRPr="0041359B">
        <w:rPr>
          <w:lang w:val="es-ES"/>
        </w:rPr>
        <w:t>Tigroudja</w:t>
      </w:r>
      <w:proofErr w:type="spellEnd"/>
      <w:r w:rsidR="009245D0" w:rsidRPr="0041359B">
        <w:rPr>
          <w:lang w:val="es-ES"/>
        </w:rPr>
        <w:t xml:space="preserve">, Andreas Zimmermann y </w:t>
      </w:r>
      <w:proofErr w:type="spellStart"/>
      <w:r w:rsidR="009245D0" w:rsidRPr="0041359B">
        <w:rPr>
          <w:lang w:val="es-ES"/>
        </w:rPr>
        <w:t>Gentian</w:t>
      </w:r>
      <w:proofErr w:type="spellEnd"/>
      <w:r w:rsidR="009245D0" w:rsidRPr="0041359B">
        <w:rPr>
          <w:lang w:val="es-ES"/>
        </w:rPr>
        <w:t xml:space="preserve"> </w:t>
      </w:r>
      <w:proofErr w:type="spellStart"/>
      <w:r w:rsidR="009245D0" w:rsidRPr="0041359B">
        <w:rPr>
          <w:lang w:val="es-ES"/>
        </w:rPr>
        <w:t>Zyberi</w:t>
      </w:r>
      <w:proofErr w:type="spellEnd"/>
      <w:r w:rsidR="009245D0" w:rsidRPr="0041359B">
        <w:rPr>
          <w:lang w:val="es-ES"/>
        </w:rPr>
        <w:t>.</w:t>
      </w:r>
    </w:p>
  </w:footnote>
  <w:footnote w:id="3">
    <w:p w14:paraId="5CB9C0A3" w14:textId="27D39BF3" w:rsidR="003127CB" w:rsidRPr="00512FA9" w:rsidRDefault="00847CDC" w:rsidP="00E11AFB">
      <w:pPr>
        <w:pStyle w:val="Textonotapie"/>
        <w:rPr>
          <w:lang w:val="es-ES"/>
        </w:rPr>
      </w:pPr>
      <w:r>
        <w:rPr>
          <w:lang w:val="es-ES"/>
        </w:rPr>
        <w:tab/>
      </w:r>
      <w:r w:rsidR="003127CB">
        <w:rPr>
          <w:rStyle w:val="Refdenotaalpie"/>
        </w:rPr>
        <w:footnoteRef/>
      </w:r>
      <w:r w:rsidR="00E11AFB">
        <w:rPr>
          <w:lang w:val="es-ES"/>
        </w:rPr>
        <w:tab/>
      </w:r>
      <w:r w:rsidR="003127CB">
        <w:rPr>
          <w:lang w:val="es-ES"/>
        </w:rPr>
        <w:t xml:space="preserve">Según la solicitud de diligencia adjunta, el autor afirma que una tercera persona habría sido condenada por adquirir dos </w:t>
      </w:r>
      <w:r w:rsidR="003127CB" w:rsidRPr="00FB09DE">
        <w:rPr>
          <w:lang w:val="es-ES"/>
        </w:rPr>
        <w:t>teléfonos</w:t>
      </w:r>
      <w:r w:rsidR="003127CB">
        <w:rPr>
          <w:lang w:val="es-ES"/>
        </w:rPr>
        <w:t xml:space="preserve"> móviles de J. M. a sabiendas de que eran robados y que esos teléfonos habrían sido robados en los robos investigados </w:t>
      </w:r>
      <w:r w:rsidR="00E82E3F">
        <w:rPr>
          <w:lang w:val="es-ES"/>
        </w:rPr>
        <w:t>(</w:t>
      </w:r>
      <w:r w:rsidR="00050233">
        <w:rPr>
          <w:lang w:val="es-ES"/>
        </w:rPr>
        <w:t xml:space="preserve">párr. </w:t>
      </w:r>
      <w:r w:rsidR="00E82E3F">
        <w:rPr>
          <w:lang w:val="es-ES"/>
        </w:rPr>
        <w:t>2.4)</w:t>
      </w:r>
      <w:r w:rsidR="00FB09DE">
        <w:rPr>
          <w:lang w:val="es-ES"/>
        </w:rPr>
        <w:t>.</w:t>
      </w:r>
    </w:p>
  </w:footnote>
  <w:footnote w:id="4">
    <w:p w14:paraId="0F1BAC6F" w14:textId="3B68111F" w:rsidR="00B92C6C" w:rsidRPr="00C53175" w:rsidRDefault="00D10FA0">
      <w:pPr>
        <w:pStyle w:val="Textonotapie"/>
        <w:rPr>
          <w:lang w:val="es-ES"/>
        </w:rPr>
      </w:pPr>
      <w:r>
        <w:rPr>
          <w:lang w:val="es-ES"/>
        </w:rPr>
        <w:tab/>
      </w:r>
      <w:r w:rsidR="00B92C6C">
        <w:rPr>
          <w:rStyle w:val="Refdenotaalpie"/>
        </w:rPr>
        <w:footnoteRef/>
      </w:r>
      <w:r>
        <w:rPr>
          <w:lang w:val="es-ES"/>
        </w:rPr>
        <w:tab/>
      </w:r>
      <w:r w:rsidR="00B92C6C">
        <w:rPr>
          <w:lang w:val="es-ES"/>
        </w:rPr>
        <w:t>Según el informe de policía de 23 de enero de 2014, el 19 de enero de 2014, Y. R. acudió a la comisaría de policía y afirmó ser un amigo de infancia del autor, y que sab</w:t>
      </w:r>
      <w:r w:rsidR="00DF5329">
        <w:rPr>
          <w:lang w:val="es-ES"/>
        </w:rPr>
        <w:t>ía que otra persona, J. M.,</w:t>
      </w:r>
      <w:r w:rsidR="00B92C6C">
        <w:rPr>
          <w:lang w:val="es-ES"/>
        </w:rPr>
        <w:t xml:space="preserve"> era el culpable de los delitos por los que se había detenido al autor. </w:t>
      </w:r>
      <w:r w:rsidR="00DF5329">
        <w:rPr>
          <w:lang w:val="es-ES"/>
        </w:rPr>
        <w:t xml:space="preserve">El 20 de enero de 2014, la policía interroga de nuevo a los testigos/víctimas que no reconocen a J.M pero reiteran su reconocimiento del autor. </w:t>
      </w:r>
      <w:r w:rsidR="00B92C6C">
        <w:rPr>
          <w:lang w:val="es-ES"/>
        </w:rPr>
        <w:t>El 23 de enero de 2014, Y. R. acudió de nuevo a la comisaría y afirmó haber comprado tres teléfonos móviles robados de J. M. Las víctimas identificaron estos teléfonos móviles como suyos, p</w:t>
      </w:r>
      <w:r w:rsidR="00DF5329">
        <w:rPr>
          <w:lang w:val="es-ES"/>
        </w:rPr>
        <w:t>e</w:t>
      </w:r>
      <w:r w:rsidR="00B92C6C">
        <w:rPr>
          <w:lang w:val="es-ES"/>
        </w:rPr>
        <w:t xml:space="preserve">ro no identificaron a J. M. como su agresor. El 20 de noviembre de 2014, Y. R. fue condenado a una multa de </w:t>
      </w:r>
      <w:r w:rsidR="00050233">
        <w:rPr>
          <w:lang w:val="es-ES"/>
        </w:rPr>
        <w:t xml:space="preserve">3 </w:t>
      </w:r>
      <w:r w:rsidR="00B92C6C">
        <w:rPr>
          <w:lang w:val="es-ES"/>
        </w:rPr>
        <w:t>euros diarios por un per</w:t>
      </w:r>
      <w:r w:rsidR="00050233">
        <w:rPr>
          <w:lang w:val="es-ES"/>
        </w:rPr>
        <w:t>í</w:t>
      </w:r>
      <w:r w:rsidR="00B92C6C">
        <w:rPr>
          <w:lang w:val="es-ES"/>
        </w:rPr>
        <w:t>odo de seis meses.</w:t>
      </w:r>
    </w:p>
  </w:footnote>
  <w:footnote w:id="5">
    <w:p w14:paraId="4EED41CD" w14:textId="0AD470B9" w:rsidR="003127CB" w:rsidRPr="00FB09DE" w:rsidRDefault="00C37F03" w:rsidP="00E11AFB">
      <w:pPr>
        <w:pStyle w:val="Textonotapie"/>
        <w:rPr>
          <w:lang w:val="es-ES"/>
        </w:rPr>
      </w:pPr>
      <w:r w:rsidRPr="00272AA7">
        <w:rPr>
          <w:lang w:val="es-ES"/>
        </w:rPr>
        <w:tab/>
      </w:r>
      <w:r w:rsidR="003127CB" w:rsidRPr="00FB09DE">
        <w:rPr>
          <w:rStyle w:val="Refdenotaalpie"/>
        </w:rPr>
        <w:footnoteRef/>
      </w:r>
      <w:r w:rsidR="00E11AFB" w:rsidRPr="00FB09DE">
        <w:rPr>
          <w:lang w:val="es-ES"/>
        </w:rPr>
        <w:tab/>
      </w:r>
      <w:r w:rsidR="003127CB" w:rsidRPr="00FB09DE">
        <w:rPr>
          <w:lang w:val="es-ES"/>
        </w:rPr>
        <w:t xml:space="preserve">El autor no informa </w:t>
      </w:r>
      <w:r w:rsidR="00E529B8">
        <w:rPr>
          <w:lang w:val="es-ES"/>
        </w:rPr>
        <w:t xml:space="preserve">acerca </w:t>
      </w:r>
      <w:r w:rsidR="003127CB" w:rsidRPr="00FB09DE">
        <w:rPr>
          <w:lang w:val="es-ES"/>
        </w:rPr>
        <w:t>de cuáles de estas solicitudes fueron aceptadas o denegadas en esta fase del procedimiento.</w:t>
      </w:r>
    </w:p>
  </w:footnote>
  <w:footnote w:id="6">
    <w:p w14:paraId="3A1A3EB6" w14:textId="32C18506" w:rsidR="003127CB" w:rsidRPr="00FB09DE" w:rsidRDefault="00C37F03" w:rsidP="00E11AFB">
      <w:pPr>
        <w:pStyle w:val="Textonotapie"/>
        <w:rPr>
          <w:lang w:val="es-ES"/>
        </w:rPr>
      </w:pPr>
      <w:r w:rsidRPr="00FB09DE">
        <w:rPr>
          <w:lang w:val="es-ES"/>
        </w:rPr>
        <w:tab/>
      </w:r>
      <w:r w:rsidR="003127CB" w:rsidRPr="00FB09DE">
        <w:rPr>
          <w:rStyle w:val="Refdenotaalpie"/>
        </w:rPr>
        <w:footnoteRef/>
      </w:r>
      <w:r w:rsidR="00FB09DE">
        <w:rPr>
          <w:lang w:val="es-ES"/>
        </w:rPr>
        <w:tab/>
      </w:r>
      <w:r w:rsidR="003127CB" w:rsidRPr="00FB09DE">
        <w:rPr>
          <w:lang w:val="es-ES"/>
        </w:rPr>
        <w:t xml:space="preserve">Según la sentencia del Juzgado de lo </w:t>
      </w:r>
      <w:r w:rsidR="00D96B59">
        <w:rPr>
          <w:lang w:val="es-ES"/>
        </w:rPr>
        <w:t>P</w:t>
      </w:r>
      <w:r w:rsidR="003127CB" w:rsidRPr="00FB09DE">
        <w:rPr>
          <w:lang w:val="es-ES"/>
        </w:rPr>
        <w:t xml:space="preserve">enal </w:t>
      </w:r>
      <w:r w:rsidR="00D96B59">
        <w:rPr>
          <w:lang w:val="es-ES"/>
        </w:rPr>
        <w:t>núm</w:t>
      </w:r>
      <w:r w:rsidR="003127CB" w:rsidRPr="00FB09DE">
        <w:rPr>
          <w:lang w:val="es-ES"/>
        </w:rPr>
        <w:t>. 1 de Jaén, un testigo no identificó al autor cuando se le mostró la fotografía de 2007, y solo lo hizo al poder consultar la foto de 2014 y durante la rueda de reconocimiento.</w:t>
      </w:r>
      <w:r w:rsidR="003C5B1B" w:rsidRPr="00FB09DE">
        <w:rPr>
          <w:lang w:val="es-ES"/>
        </w:rPr>
        <w:t xml:space="preserve"> </w:t>
      </w:r>
    </w:p>
  </w:footnote>
  <w:footnote w:id="7">
    <w:p w14:paraId="701C91C5" w14:textId="704FF924" w:rsidR="003127CB" w:rsidRPr="00FB09DE" w:rsidRDefault="00C37F03" w:rsidP="00E11AFB">
      <w:pPr>
        <w:pStyle w:val="Textonotapie"/>
        <w:rPr>
          <w:lang w:val="es-ES"/>
        </w:rPr>
      </w:pPr>
      <w:r>
        <w:rPr>
          <w:lang w:val="es-ES"/>
        </w:rPr>
        <w:tab/>
      </w:r>
      <w:r w:rsidR="003127CB" w:rsidRPr="00FB09DE">
        <w:rPr>
          <w:rStyle w:val="Refdenotaalpie"/>
        </w:rPr>
        <w:footnoteRef/>
      </w:r>
      <w:r w:rsidR="00E11AFB" w:rsidRPr="00FB09DE">
        <w:rPr>
          <w:lang w:val="es-ES"/>
        </w:rPr>
        <w:tab/>
      </w:r>
      <w:r w:rsidR="003127CB" w:rsidRPr="00FB09DE">
        <w:rPr>
          <w:lang w:val="es-ES"/>
        </w:rPr>
        <w:t>De acuerdo con la sentencia de 8 de septiembre de 2014 de la Audiencia Provincial de Jaén, tod</w:t>
      </w:r>
      <w:r w:rsidR="00337EDC">
        <w:rPr>
          <w:lang w:val="es-ES"/>
        </w:rPr>
        <w:t>a</w:t>
      </w:r>
      <w:r w:rsidR="003127CB" w:rsidRPr="00FB09DE">
        <w:rPr>
          <w:lang w:val="es-ES"/>
        </w:rPr>
        <w:t>s l</w:t>
      </w:r>
      <w:r w:rsidR="00337EDC">
        <w:rPr>
          <w:lang w:val="es-ES"/>
        </w:rPr>
        <w:t>a</w:t>
      </w:r>
      <w:r w:rsidR="003127CB" w:rsidRPr="00FB09DE">
        <w:rPr>
          <w:lang w:val="es-ES"/>
        </w:rPr>
        <w:t xml:space="preserve">s </w:t>
      </w:r>
      <w:r w:rsidR="009E2AB4">
        <w:rPr>
          <w:lang w:val="es-ES"/>
        </w:rPr>
        <w:t>víctimas</w:t>
      </w:r>
      <w:r w:rsidR="003127CB" w:rsidRPr="00FB09DE">
        <w:rPr>
          <w:lang w:val="es-ES"/>
        </w:rPr>
        <w:t>, salvo uno, declararon no haber visto la foto del autor ni en prensa ni en las redes sociales antes de los reconocimientos</w:t>
      </w:r>
      <w:r w:rsidR="003C5B1B" w:rsidRPr="00FB09DE">
        <w:rPr>
          <w:lang w:val="es-ES"/>
        </w:rPr>
        <w:t xml:space="preserve"> (</w:t>
      </w:r>
      <w:r w:rsidR="00D96B59">
        <w:rPr>
          <w:lang w:val="es-ES"/>
        </w:rPr>
        <w:t>párr.</w:t>
      </w:r>
      <w:r w:rsidR="003C5B1B" w:rsidRPr="00FB09DE">
        <w:rPr>
          <w:lang w:val="es-ES"/>
        </w:rPr>
        <w:t xml:space="preserve"> 4.3)</w:t>
      </w:r>
      <w:r w:rsidR="00FB09DE" w:rsidRPr="00FB09DE">
        <w:rPr>
          <w:lang w:val="es-ES"/>
        </w:rPr>
        <w:t>.</w:t>
      </w:r>
    </w:p>
  </w:footnote>
  <w:footnote w:id="8">
    <w:p w14:paraId="2321F584" w14:textId="2CEDC7B2" w:rsidR="007A3DE8" w:rsidRPr="00FB09DE" w:rsidRDefault="00C37F03" w:rsidP="00E11AFB">
      <w:pPr>
        <w:pStyle w:val="Textonotapie"/>
        <w:rPr>
          <w:lang w:val="es-ES"/>
        </w:rPr>
      </w:pPr>
      <w:r w:rsidRPr="00FB09DE">
        <w:rPr>
          <w:lang w:val="es-ES"/>
        </w:rPr>
        <w:tab/>
      </w:r>
      <w:r w:rsidR="007A3DE8" w:rsidRPr="00FB09DE">
        <w:rPr>
          <w:rStyle w:val="Refdenotaalpie"/>
        </w:rPr>
        <w:footnoteRef/>
      </w:r>
      <w:r w:rsidR="00FB09DE">
        <w:rPr>
          <w:lang w:val="es-ES"/>
        </w:rPr>
        <w:tab/>
      </w:r>
      <w:r w:rsidR="007A3DE8" w:rsidRPr="00FB09DE">
        <w:rPr>
          <w:lang w:val="es-ES"/>
        </w:rPr>
        <w:t xml:space="preserve">Según </w:t>
      </w:r>
      <w:r w:rsidR="007A3DE8" w:rsidRPr="009C4FE5">
        <w:rPr>
          <w:lang w:val="es-ES"/>
        </w:rPr>
        <w:t>el atestado</w:t>
      </w:r>
      <w:r w:rsidR="007A3DE8" w:rsidRPr="00FB09DE">
        <w:rPr>
          <w:lang w:val="es-ES"/>
        </w:rPr>
        <w:t xml:space="preserve"> de la </w:t>
      </w:r>
      <w:r w:rsidR="002E2170">
        <w:rPr>
          <w:lang w:val="es-ES"/>
        </w:rPr>
        <w:t>p</w:t>
      </w:r>
      <w:r w:rsidR="007A3DE8" w:rsidRPr="00FB09DE">
        <w:rPr>
          <w:lang w:val="es-ES"/>
        </w:rPr>
        <w:t>olicía de 23 de enero de 2014, las víctimas reconocieron sus teléfonos móviles, pero no reconocieron a</w:t>
      </w:r>
      <w:r w:rsidR="002E2170">
        <w:rPr>
          <w:lang w:val="es-ES"/>
        </w:rPr>
        <w:t xml:space="preserve"> </w:t>
      </w:r>
      <w:r w:rsidR="007A3DE8" w:rsidRPr="00FB09DE">
        <w:rPr>
          <w:lang w:val="es-ES"/>
        </w:rPr>
        <w:t>J. M. como su agresor.</w:t>
      </w:r>
    </w:p>
  </w:footnote>
  <w:footnote w:id="9">
    <w:p w14:paraId="67354986" w14:textId="221032A2" w:rsidR="003127CB" w:rsidRPr="00FB09DE" w:rsidRDefault="00E11AFB" w:rsidP="00E11AFB">
      <w:pPr>
        <w:pStyle w:val="Textonotapie"/>
        <w:rPr>
          <w:lang w:val="es-ES"/>
        </w:rPr>
      </w:pPr>
      <w:r>
        <w:rPr>
          <w:lang w:val="es-ES"/>
        </w:rPr>
        <w:tab/>
      </w:r>
      <w:r w:rsidR="003127CB" w:rsidRPr="00FB09DE">
        <w:rPr>
          <w:rStyle w:val="Refdenotaalpie"/>
        </w:rPr>
        <w:footnoteRef/>
      </w:r>
      <w:r w:rsidRPr="00FB09DE">
        <w:rPr>
          <w:lang w:val="es-ES"/>
        </w:rPr>
        <w:tab/>
      </w:r>
      <w:r w:rsidR="003127CB" w:rsidRPr="00FB09DE">
        <w:rPr>
          <w:lang w:val="es-ES"/>
        </w:rPr>
        <w:t xml:space="preserve">Mediante auto de 19 de marzo de 2014, la Audiencia Provincial de Jaén había confirmado la denegación de esta y otras diligencias en la fase de instrucción por estar esta fase destinada a determinar la naturaleza y circunstancias del hecho, las personas que han participado y el órgano competente para su enjuiciamiento. </w:t>
      </w:r>
      <w:r w:rsidR="00AB1661" w:rsidRPr="00FB09DE">
        <w:rPr>
          <w:lang w:val="es-ES"/>
        </w:rPr>
        <w:t>De acuerdo con la documentación adjunta, en su escrito de defensa de 5 de marzo de 2014, el autor solicita la grabación del cajero bancario.</w:t>
      </w:r>
    </w:p>
  </w:footnote>
  <w:footnote w:id="10">
    <w:p w14:paraId="22CF54B1" w14:textId="62732D64" w:rsidR="00FF4024" w:rsidRPr="00FF4024" w:rsidRDefault="00E11AFB" w:rsidP="00E11AFB">
      <w:pPr>
        <w:pStyle w:val="Textonotapie"/>
        <w:rPr>
          <w:lang w:val="es-ES"/>
        </w:rPr>
      </w:pPr>
      <w:r>
        <w:rPr>
          <w:lang w:val="es-ES"/>
        </w:rPr>
        <w:tab/>
      </w:r>
      <w:r w:rsidR="00FF4024">
        <w:rPr>
          <w:rStyle w:val="Refdenotaalpie"/>
        </w:rPr>
        <w:footnoteRef/>
      </w:r>
      <w:r>
        <w:rPr>
          <w:lang w:val="es-ES"/>
        </w:rPr>
        <w:tab/>
      </w:r>
      <w:r w:rsidR="00FF4024">
        <w:rPr>
          <w:lang w:val="es-ES"/>
        </w:rPr>
        <w:t>Dictamen (</w:t>
      </w:r>
      <w:r w:rsidR="00965EC8">
        <w:rPr>
          <w:lang w:val="es-ES"/>
        </w:rPr>
        <w:t>c</w:t>
      </w:r>
      <w:r w:rsidR="00FF4024">
        <w:rPr>
          <w:lang w:val="es-ES"/>
        </w:rPr>
        <w:t>onsulta 1/19) de 8 de abril de 2019</w:t>
      </w:r>
      <w:r w:rsidR="00FB09DE">
        <w:rPr>
          <w:lang w:val="es-ES"/>
        </w:rPr>
        <w:t>.</w:t>
      </w:r>
    </w:p>
  </w:footnote>
  <w:footnote w:id="11">
    <w:p w14:paraId="37CB70DB" w14:textId="0A7E4EAC" w:rsidR="003127CB" w:rsidRPr="00776B94" w:rsidRDefault="003127CB" w:rsidP="00E11AFB">
      <w:pPr>
        <w:pStyle w:val="Textonotapie"/>
        <w:rPr>
          <w:lang w:val="es-ES"/>
        </w:rPr>
      </w:pPr>
      <w:r w:rsidRPr="003175D8">
        <w:rPr>
          <w:lang w:val="es-ES"/>
        </w:rPr>
        <w:tab/>
      </w:r>
      <w:r w:rsidRPr="00236D2B">
        <w:rPr>
          <w:rStyle w:val="Refdenotaalpie"/>
        </w:rPr>
        <w:footnoteRef/>
      </w:r>
      <w:r w:rsidRPr="003175D8">
        <w:rPr>
          <w:lang w:val="es-ES"/>
        </w:rPr>
        <w:tab/>
        <w:t xml:space="preserve">Véase, entre otros, </w:t>
      </w:r>
      <w:r w:rsidRPr="0041359B">
        <w:rPr>
          <w:i/>
          <w:iCs/>
          <w:lang w:val="es-ES"/>
        </w:rPr>
        <w:t>Achabal Puertas c. España</w:t>
      </w:r>
      <w:r w:rsidRPr="003175D8">
        <w:rPr>
          <w:lang w:val="es-ES"/>
        </w:rPr>
        <w:t xml:space="preserve"> (CCPR/C/107/D/1945/2010), párr</w:t>
      </w:r>
      <w:r w:rsidR="00965EC8">
        <w:rPr>
          <w:lang w:val="es-ES"/>
        </w:rPr>
        <w:t xml:space="preserve">. </w:t>
      </w:r>
      <w:r w:rsidRPr="003175D8">
        <w:rPr>
          <w:lang w:val="es-ES"/>
        </w:rPr>
        <w:t>7</w:t>
      </w:r>
      <w:r w:rsidR="00965EC8">
        <w:rPr>
          <w:lang w:val="es-ES"/>
        </w:rPr>
        <w:t>.</w:t>
      </w:r>
      <w:r w:rsidRPr="003175D8">
        <w:rPr>
          <w:lang w:val="es-ES"/>
        </w:rPr>
        <w:t xml:space="preserve">3; y </w:t>
      </w:r>
      <w:r w:rsidRPr="0041359B">
        <w:rPr>
          <w:i/>
          <w:iCs/>
          <w:lang w:val="es-ES"/>
        </w:rPr>
        <w:t>A. G. S. c. España</w:t>
      </w:r>
      <w:r w:rsidRPr="003175D8">
        <w:rPr>
          <w:lang w:val="es-ES"/>
        </w:rPr>
        <w:t xml:space="preserve"> (CCPR/C/115/D/2626/2015), párr. </w:t>
      </w:r>
      <w:r w:rsidRPr="00776B94">
        <w:rPr>
          <w:lang w:val="es-ES"/>
        </w:rPr>
        <w:t xml:space="preserve">4.2. </w:t>
      </w:r>
    </w:p>
  </w:footnote>
  <w:footnote w:id="12">
    <w:p w14:paraId="30EEA1E2" w14:textId="2A9CD13C" w:rsidR="003127CB" w:rsidRPr="003175D8" w:rsidRDefault="003127CB" w:rsidP="00E11AFB">
      <w:pPr>
        <w:pStyle w:val="Textonotapie"/>
        <w:rPr>
          <w:lang w:val="es-ES"/>
        </w:rPr>
      </w:pPr>
      <w:r w:rsidRPr="00776B94">
        <w:rPr>
          <w:lang w:val="es-ES"/>
        </w:rPr>
        <w:tab/>
      </w:r>
      <w:r w:rsidRPr="00A03082">
        <w:rPr>
          <w:rStyle w:val="Refdenotaalpie"/>
        </w:rPr>
        <w:footnoteRef/>
      </w:r>
      <w:r w:rsidRPr="0041359B">
        <w:rPr>
          <w:rStyle w:val="Refdenotaalpie"/>
          <w:vertAlign w:val="baseline"/>
          <w:lang w:val="es-ES"/>
        </w:rPr>
        <w:tab/>
      </w:r>
      <w:r w:rsidRPr="003175D8">
        <w:rPr>
          <w:lang w:val="es-ES"/>
        </w:rPr>
        <w:t xml:space="preserve">Véase, en este sentido, </w:t>
      </w:r>
      <w:proofErr w:type="spellStart"/>
      <w:r w:rsidRPr="0041359B">
        <w:rPr>
          <w:i/>
          <w:iCs/>
          <w:lang w:val="es-ES"/>
        </w:rPr>
        <w:t>Mahabir</w:t>
      </w:r>
      <w:proofErr w:type="spellEnd"/>
      <w:r w:rsidRPr="0041359B">
        <w:rPr>
          <w:i/>
          <w:iCs/>
          <w:lang w:val="es-ES"/>
        </w:rPr>
        <w:t xml:space="preserve"> c. Austria</w:t>
      </w:r>
      <w:r w:rsidRPr="003175D8">
        <w:rPr>
          <w:lang w:val="es-ES"/>
        </w:rPr>
        <w:t xml:space="preserve"> (CCPR/C/82/D/944/2000), párr. 8.3; </w:t>
      </w:r>
      <w:proofErr w:type="spellStart"/>
      <w:r w:rsidRPr="0041359B">
        <w:rPr>
          <w:i/>
          <w:iCs/>
          <w:lang w:val="es-ES"/>
        </w:rPr>
        <w:t>Linderholm</w:t>
      </w:r>
      <w:proofErr w:type="spellEnd"/>
      <w:r w:rsidRPr="0041359B">
        <w:rPr>
          <w:i/>
          <w:iCs/>
          <w:lang w:val="es-ES"/>
        </w:rPr>
        <w:t xml:space="preserve"> c. Croacia</w:t>
      </w:r>
      <w:r w:rsidRPr="003175D8">
        <w:rPr>
          <w:lang w:val="es-ES"/>
        </w:rPr>
        <w:t xml:space="preserve"> (CCPR/C/66/D/744/1997), párr. 4.2; y </w:t>
      </w:r>
      <w:r w:rsidRPr="0041359B">
        <w:rPr>
          <w:i/>
          <w:iCs/>
          <w:lang w:val="es-ES"/>
        </w:rPr>
        <w:t>A.M. c. Dinamarca</w:t>
      </w:r>
      <w:r w:rsidRPr="003175D8">
        <w:rPr>
          <w:lang w:val="es-ES"/>
        </w:rPr>
        <w:t xml:space="preserve"> (CCPR/C/16/D/121/1982), párr. 6.</w:t>
      </w:r>
    </w:p>
  </w:footnote>
  <w:footnote w:id="13">
    <w:p w14:paraId="3D22C577" w14:textId="77777777" w:rsidR="003127CB" w:rsidRPr="000A77EB" w:rsidRDefault="003127CB" w:rsidP="00E11AFB">
      <w:pPr>
        <w:pStyle w:val="Textonotapie"/>
        <w:rPr>
          <w:lang w:val="es-ES"/>
        </w:rPr>
      </w:pPr>
      <w:r w:rsidRPr="003175D8">
        <w:rPr>
          <w:lang w:val="es-ES"/>
        </w:rPr>
        <w:tab/>
      </w:r>
      <w:r w:rsidRPr="00A03082">
        <w:rPr>
          <w:rStyle w:val="Refdenotaalpie"/>
        </w:rPr>
        <w:footnoteRef/>
      </w:r>
      <w:r w:rsidRPr="003175D8">
        <w:rPr>
          <w:lang w:val="es-ES"/>
        </w:rPr>
        <w:tab/>
      </w:r>
      <w:proofErr w:type="spellStart"/>
      <w:r w:rsidRPr="0041359B">
        <w:rPr>
          <w:i/>
          <w:iCs/>
          <w:lang w:val="es-ES"/>
        </w:rPr>
        <w:t>Mahabir</w:t>
      </w:r>
      <w:proofErr w:type="spellEnd"/>
      <w:r w:rsidRPr="0041359B">
        <w:rPr>
          <w:i/>
          <w:iCs/>
          <w:lang w:val="es-ES"/>
        </w:rPr>
        <w:t xml:space="preserve"> c. Austria</w:t>
      </w:r>
      <w:r w:rsidRPr="003175D8">
        <w:rPr>
          <w:lang w:val="es-ES"/>
        </w:rPr>
        <w:t xml:space="preserve">, párr. </w:t>
      </w:r>
      <w:r w:rsidRPr="000A77EB">
        <w:rPr>
          <w:lang w:val="es-ES"/>
        </w:rPr>
        <w:t>8.3.</w:t>
      </w:r>
    </w:p>
  </w:footnote>
  <w:footnote w:id="14">
    <w:p w14:paraId="173DD240" w14:textId="5D13BFD7" w:rsidR="00B0035E" w:rsidRPr="0064312A" w:rsidRDefault="00B0035E" w:rsidP="00E11AFB">
      <w:pPr>
        <w:pStyle w:val="Textonotapie"/>
        <w:rPr>
          <w:lang w:val="es-ES"/>
        </w:rPr>
      </w:pPr>
      <w:r>
        <w:rPr>
          <w:lang w:val="es-ES"/>
        </w:rPr>
        <w:tab/>
      </w:r>
      <w:r>
        <w:rPr>
          <w:rStyle w:val="Refdenotaalpie"/>
        </w:rPr>
        <w:footnoteRef/>
      </w:r>
      <w:r>
        <w:rPr>
          <w:lang w:val="es-ES"/>
        </w:rPr>
        <w:tab/>
        <w:t xml:space="preserve">Véase </w:t>
      </w:r>
      <w:r w:rsidRPr="0041359B">
        <w:rPr>
          <w:i/>
          <w:iCs/>
          <w:lang w:val="es-ES"/>
        </w:rPr>
        <w:t>Cañada Mora c. España</w:t>
      </w:r>
      <w:r>
        <w:rPr>
          <w:lang w:val="es-ES"/>
        </w:rPr>
        <w:t xml:space="preserve"> (</w:t>
      </w:r>
      <w:r w:rsidRPr="008C028D">
        <w:rPr>
          <w:lang w:val="es-ES"/>
        </w:rPr>
        <w:t>CCPR/C/112/D/2070/2011</w:t>
      </w:r>
      <w:r>
        <w:rPr>
          <w:lang w:val="es-ES"/>
        </w:rPr>
        <w:t>), párr.</w:t>
      </w:r>
      <w:r w:rsidR="00032FDB">
        <w:rPr>
          <w:lang w:val="es-ES"/>
        </w:rPr>
        <w:t xml:space="preserve"> </w:t>
      </w:r>
      <w:r>
        <w:rPr>
          <w:lang w:val="es-ES"/>
        </w:rPr>
        <w:t xml:space="preserve">4.3; </w:t>
      </w:r>
      <w:r w:rsidRPr="0041359B">
        <w:rPr>
          <w:i/>
          <w:iCs/>
          <w:lang w:val="es-ES"/>
        </w:rPr>
        <w:t>Manzano y otros c. Colombia</w:t>
      </w:r>
      <w:r>
        <w:rPr>
          <w:lang w:val="es-ES"/>
        </w:rPr>
        <w:t xml:space="preserve"> (</w:t>
      </w:r>
      <w:r w:rsidRPr="0064312A">
        <w:rPr>
          <w:lang w:val="es-ES"/>
        </w:rPr>
        <w:t>CCPR/C/98/D/1616/2007</w:t>
      </w:r>
      <w:r>
        <w:rPr>
          <w:lang w:val="es-ES"/>
        </w:rPr>
        <w:t>), párr. 6.4;</w:t>
      </w:r>
      <w:r w:rsidRPr="008C028D">
        <w:rPr>
          <w:lang w:val="es-ES"/>
        </w:rPr>
        <w:t xml:space="preserve"> </w:t>
      </w:r>
      <w:r w:rsidRPr="0041359B">
        <w:rPr>
          <w:i/>
          <w:iCs/>
          <w:lang w:val="es-ES"/>
        </w:rPr>
        <w:t>L. D. L. P c. España</w:t>
      </w:r>
      <w:r>
        <w:rPr>
          <w:lang w:val="es-ES"/>
        </w:rPr>
        <w:t xml:space="preserve"> (CCPR/C/102/D/1622/2007)</w:t>
      </w:r>
      <w:r w:rsidRPr="008C028D">
        <w:rPr>
          <w:lang w:val="es-ES"/>
        </w:rPr>
        <w:t xml:space="preserve">, párr. </w:t>
      </w:r>
      <w:r w:rsidRPr="00DD635C">
        <w:rPr>
          <w:lang w:val="es-ES"/>
        </w:rPr>
        <w:t>6.3.</w:t>
      </w:r>
    </w:p>
  </w:footnote>
  <w:footnote w:id="15">
    <w:p w14:paraId="39B78FC8" w14:textId="3C4B6C7F" w:rsidR="00B0035E" w:rsidRPr="00DD635C" w:rsidRDefault="00B0035E" w:rsidP="00E11AFB">
      <w:pPr>
        <w:pStyle w:val="Textonotapie"/>
        <w:rPr>
          <w:lang w:val="es-ES"/>
        </w:rPr>
      </w:pPr>
      <w:r>
        <w:rPr>
          <w:lang w:val="es-ES"/>
        </w:rPr>
        <w:tab/>
      </w:r>
      <w:r>
        <w:rPr>
          <w:rStyle w:val="Refdenotaalpie"/>
        </w:rPr>
        <w:footnoteRef/>
      </w:r>
      <w:r>
        <w:rPr>
          <w:lang w:val="es-ES"/>
        </w:rPr>
        <w:tab/>
        <w:t xml:space="preserve">Véase </w:t>
      </w:r>
      <w:r w:rsidRPr="0041359B">
        <w:rPr>
          <w:i/>
          <w:iCs/>
          <w:lang w:val="es-ES"/>
        </w:rPr>
        <w:t>Y</w:t>
      </w:r>
      <w:r w:rsidR="001D441F" w:rsidRPr="0041359B">
        <w:rPr>
          <w:i/>
          <w:iCs/>
          <w:lang w:val="es-ES"/>
        </w:rPr>
        <w:t>.</w:t>
      </w:r>
      <w:r w:rsidRPr="0041359B">
        <w:rPr>
          <w:i/>
          <w:iCs/>
          <w:lang w:val="es-ES"/>
        </w:rPr>
        <w:t xml:space="preserve"> c. España</w:t>
      </w:r>
      <w:r>
        <w:rPr>
          <w:lang w:val="es-ES"/>
        </w:rPr>
        <w:t xml:space="preserve"> (</w:t>
      </w:r>
      <w:r w:rsidRPr="00DD635C">
        <w:rPr>
          <w:lang w:val="es-ES"/>
        </w:rPr>
        <w:t>CCPR/C/</w:t>
      </w:r>
      <w:r w:rsidRPr="00C53175">
        <w:rPr>
          <w:lang w:val="es-ES"/>
        </w:rPr>
        <w:t>93</w:t>
      </w:r>
      <w:r w:rsidRPr="00DD635C">
        <w:rPr>
          <w:lang w:val="es-ES"/>
        </w:rPr>
        <w:t>/D/1456/2006</w:t>
      </w:r>
      <w:r>
        <w:rPr>
          <w:lang w:val="es-ES"/>
        </w:rPr>
        <w:t>), párr.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B7DE" w14:textId="7074E8F0" w:rsidR="003127CB" w:rsidRPr="00C61FA0" w:rsidRDefault="00357295" w:rsidP="00662526">
    <w:pPr>
      <w:pStyle w:val="Encabezado"/>
    </w:pPr>
    <w:r>
      <w:t>CCPR/C/129</w:t>
    </w:r>
    <w:r w:rsidR="003127CB" w:rsidRPr="00C61FA0">
      <w:t>/D/</w:t>
    </w:r>
    <w:r w:rsidR="00CE18FF">
      <w:t>2890/2016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B555" w14:textId="501922C4" w:rsidR="003127CB" w:rsidRPr="006A31AE" w:rsidRDefault="003127CB">
    <w:pPr>
      <w:pStyle w:val="Encabezado"/>
      <w:jc w:val="right"/>
    </w:pPr>
    <w:r w:rsidRPr="006A31AE">
      <w:t>CCPR</w:t>
    </w:r>
    <w:r>
      <w:t>/C/12</w:t>
    </w:r>
    <w:r w:rsidR="002D72F2">
      <w:t>9</w:t>
    </w:r>
    <w:r>
      <w:t>/D/</w:t>
    </w:r>
    <w:r w:rsidR="00CE18FF">
      <w:rPr>
        <w:lang w:val="es-ES"/>
      </w:rPr>
      <w:t>2890/2016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0"/>
  </w:num>
  <w:num w:numId="5">
    <w:abstractNumId w:val="11"/>
  </w:num>
  <w:num w:numId="6">
    <w:abstractNumId w:val="15"/>
  </w:num>
  <w:num w:numId="7">
    <w:abstractNumId w:val="3"/>
  </w:num>
  <w:num w:numId="8">
    <w:abstractNumId w:val="12"/>
  </w:num>
  <w:num w:numId="9">
    <w:abstractNumId w:val="2"/>
  </w:num>
  <w:num w:numId="10">
    <w:abstractNumId w:val="9"/>
  </w:num>
  <w:num w:numId="11">
    <w:abstractNumId w:val="13"/>
  </w:num>
  <w:num w:numId="12">
    <w:abstractNumId w:val="14"/>
  </w:num>
  <w:num w:numId="13">
    <w:abstractNumId w:val="5"/>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s-CL" w:vendorID="64" w:dllVersion="6" w:nlCheck="1" w:checkStyle="0"/>
  <w:activeWritingStyle w:appName="MSWord" w:lang="es-EC" w:vendorID="64" w:dllVersion="6"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2271"/>
    <w:rsid w:val="0000254F"/>
    <w:rsid w:val="000036BF"/>
    <w:rsid w:val="00004D5C"/>
    <w:rsid w:val="00004ECE"/>
    <w:rsid w:val="00005FCE"/>
    <w:rsid w:val="00006C3A"/>
    <w:rsid w:val="000103E6"/>
    <w:rsid w:val="000135E6"/>
    <w:rsid w:val="0001526B"/>
    <w:rsid w:val="00015544"/>
    <w:rsid w:val="00015773"/>
    <w:rsid w:val="000158F1"/>
    <w:rsid w:val="00015D00"/>
    <w:rsid w:val="000161AE"/>
    <w:rsid w:val="000170F4"/>
    <w:rsid w:val="000203E2"/>
    <w:rsid w:val="00022206"/>
    <w:rsid w:val="00022411"/>
    <w:rsid w:val="00023A6D"/>
    <w:rsid w:val="00024E11"/>
    <w:rsid w:val="00024F11"/>
    <w:rsid w:val="0002643B"/>
    <w:rsid w:val="00026686"/>
    <w:rsid w:val="00027074"/>
    <w:rsid w:val="00030035"/>
    <w:rsid w:val="00030866"/>
    <w:rsid w:val="000310F6"/>
    <w:rsid w:val="00031369"/>
    <w:rsid w:val="000323EB"/>
    <w:rsid w:val="00032FDB"/>
    <w:rsid w:val="000340A1"/>
    <w:rsid w:val="000343BA"/>
    <w:rsid w:val="00034661"/>
    <w:rsid w:val="0003618D"/>
    <w:rsid w:val="00036BBD"/>
    <w:rsid w:val="00037728"/>
    <w:rsid w:val="00037C77"/>
    <w:rsid w:val="0004036D"/>
    <w:rsid w:val="0004068E"/>
    <w:rsid w:val="0004242B"/>
    <w:rsid w:val="0004254F"/>
    <w:rsid w:val="00043A06"/>
    <w:rsid w:val="0004520D"/>
    <w:rsid w:val="00045ECB"/>
    <w:rsid w:val="0004688B"/>
    <w:rsid w:val="00046E92"/>
    <w:rsid w:val="00046FA7"/>
    <w:rsid w:val="000479ED"/>
    <w:rsid w:val="00047F56"/>
    <w:rsid w:val="00050233"/>
    <w:rsid w:val="000507DE"/>
    <w:rsid w:val="00050D82"/>
    <w:rsid w:val="00050EE3"/>
    <w:rsid w:val="00052193"/>
    <w:rsid w:val="00052467"/>
    <w:rsid w:val="00052A2D"/>
    <w:rsid w:val="00054434"/>
    <w:rsid w:val="00054A02"/>
    <w:rsid w:val="000551FF"/>
    <w:rsid w:val="00056763"/>
    <w:rsid w:val="00056920"/>
    <w:rsid w:val="00060735"/>
    <w:rsid w:val="00061604"/>
    <w:rsid w:val="000618DC"/>
    <w:rsid w:val="00061AE4"/>
    <w:rsid w:val="00061ED6"/>
    <w:rsid w:val="00062C81"/>
    <w:rsid w:val="00062ED9"/>
    <w:rsid w:val="000635F3"/>
    <w:rsid w:val="0006523D"/>
    <w:rsid w:val="000654C0"/>
    <w:rsid w:val="00067583"/>
    <w:rsid w:val="000677A3"/>
    <w:rsid w:val="00067AE9"/>
    <w:rsid w:val="00071360"/>
    <w:rsid w:val="00072D08"/>
    <w:rsid w:val="00073A1F"/>
    <w:rsid w:val="00074372"/>
    <w:rsid w:val="00075836"/>
    <w:rsid w:val="00076B5B"/>
    <w:rsid w:val="00077180"/>
    <w:rsid w:val="00077FA6"/>
    <w:rsid w:val="00082434"/>
    <w:rsid w:val="00082ED8"/>
    <w:rsid w:val="00083082"/>
    <w:rsid w:val="00083121"/>
    <w:rsid w:val="000833F3"/>
    <w:rsid w:val="00083E34"/>
    <w:rsid w:val="000843D2"/>
    <w:rsid w:val="00084411"/>
    <w:rsid w:val="000852DD"/>
    <w:rsid w:val="00085402"/>
    <w:rsid w:val="0008639E"/>
    <w:rsid w:val="00086501"/>
    <w:rsid w:val="00086F42"/>
    <w:rsid w:val="0008731B"/>
    <w:rsid w:val="000874E4"/>
    <w:rsid w:val="00090AC2"/>
    <w:rsid w:val="00091BD9"/>
    <w:rsid w:val="000936D7"/>
    <w:rsid w:val="00094067"/>
    <w:rsid w:val="00094134"/>
    <w:rsid w:val="00095492"/>
    <w:rsid w:val="00095626"/>
    <w:rsid w:val="00096000"/>
    <w:rsid w:val="0009611E"/>
    <w:rsid w:val="00096CD8"/>
    <w:rsid w:val="000A07C6"/>
    <w:rsid w:val="000A0E37"/>
    <w:rsid w:val="000A14EE"/>
    <w:rsid w:val="000A1FF3"/>
    <w:rsid w:val="000A30EE"/>
    <w:rsid w:val="000A3B6E"/>
    <w:rsid w:val="000A3BC9"/>
    <w:rsid w:val="000A4862"/>
    <w:rsid w:val="000A50B4"/>
    <w:rsid w:val="000A52BE"/>
    <w:rsid w:val="000A5A9C"/>
    <w:rsid w:val="000A682B"/>
    <w:rsid w:val="000A71C0"/>
    <w:rsid w:val="000A77EB"/>
    <w:rsid w:val="000B1174"/>
    <w:rsid w:val="000B1614"/>
    <w:rsid w:val="000B16D2"/>
    <w:rsid w:val="000B2C1F"/>
    <w:rsid w:val="000B323F"/>
    <w:rsid w:val="000B38F4"/>
    <w:rsid w:val="000B474D"/>
    <w:rsid w:val="000B4BF6"/>
    <w:rsid w:val="000B5F9D"/>
    <w:rsid w:val="000B647D"/>
    <w:rsid w:val="000B778C"/>
    <w:rsid w:val="000B7964"/>
    <w:rsid w:val="000C052E"/>
    <w:rsid w:val="000C13C1"/>
    <w:rsid w:val="000C1866"/>
    <w:rsid w:val="000C1D18"/>
    <w:rsid w:val="000C3719"/>
    <w:rsid w:val="000C394E"/>
    <w:rsid w:val="000C3BA7"/>
    <w:rsid w:val="000C48E4"/>
    <w:rsid w:val="000C5133"/>
    <w:rsid w:val="000C5921"/>
    <w:rsid w:val="000C5B18"/>
    <w:rsid w:val="000C7201"/>
    <w:rsid w:val="000C7386"/>
    <w:rsid w:val="000C7E18"/>
    <w:rsid w:val="000D000F"/>
    <w:rsid w:val="000D0579"/>
    <w:rsid w:val="000D083B"/>
    <w:rsid w:val="000D0B21"/>
    <w:rsid w:val="000D1D2D"/>
    <w:rsid w:val="000D2821"/>
    <w:rsid w:val="000D4140"/>
    <w:rsid w:val="000D49F2"/>
    <w:rsid w:val="000D61F9"/>
    <w:rsid w:val="000D6317"/>
    <w:rsid w:val="000D762C"/>
    <w:rsid w:val="000D7D92"/>
    <w:rsid w:val="000E02A6"/>
    <w:rsid w:val="000E0B78"/>
    <w:rsid w:val="000E299F"/>
    <w:rsid w:val="000E4359"/>
    <w:rsid w:val="000E48C0"/>
    <w:rsid w:val="000E6FF4"/>
    <w:rsid w:val="000F00DE"/>
    <w:rsid w:val="000F0805"/>
    <w:rsid w:val="000F197F"/>
    <w:rsid w:val="000F2EE3"/>
    <w:rsid w:val="000F494A"/>
    <w:rsid w:val="000F6642"/>
    <w:rsid w:val="0010350F"/>
    <w:rsid w:val="00103F7B"/>
    <w:rsid w:val="00104ECA"/>
    <w:rsid w:val="00105030"/>
    <w:rsid w:val="00105D56"/>
    <w:rsid w:val="00106B51"/>
    <w:rsid w:val="0011177A"/>
    <w:rsid w:val="00111C57"/>
    <w:rsid w:val="00111E9E"/>
    <w:rsid w:val="00112EB1"/>
    <w:rsid w:val="00113D11"/>
    <w:rsid w:val="00114E1C"/>
    <w:rsid w:val="00114ED4"/>
    <w:rsid w:val="00115217"/>
    <w:rsid w:val="001156B8"/>
    <w:rsid w:val="00116441"/>
    <w:rsid w:val="00120D47"/>
    <w:rsid w:val="00121264"/>
    <w:rsid w:val="00122732"/>
    <w:rsid w:val="00122A15"/>
    <w:rsid w:val="00125BBA"/>
    <w:rsid w:val="00131161"/>
    <w:rsid w:val="0013150C"/>
    <w:rsid w:val="001317C8"/>
    <w:rsid w:val="00131D7A"/>
    <w:rsid w:val="00132184"/>
    <w:rsid w:val="0013321E"/>
    <w:rsid w:val="0013341D"/>
    <w:rsid w:val="0013481A"/>
    <w:rsid w:val="00134E28"/>
    <w:rsid w:val="00134E3D"/>
    <w:rsid w:val="0013514C"/>
    <w:rsid w:val="00135170"/>
    <w:rsid w:val="0013691F"/>
    <w:rsid w:val="00136C70"/>
    <w:rsid w:val="00140769"/>
    <w:rsid w:val="00143089"/>
    <w:rsid w:val="0014371C"/>
    <w:rsid w:val="0014373B"/>
    <w:rsid w:val="00143975"/>
    <w:rsid w:val="00143F50"/>
    <w:rsid w:val="001455E9"/>
    <w:rsid w:val="00145C89"/>
    <w:rsid w:val="00146AA2"/>
    <w:rsid w:val="001479EC"/>
    <w:rsid w:val="00151328"/>
    <w:rsid w:val="00151691"/>
    <w:rsid w:val="00152860"/>
    <w:rsid w:val="00152CDA"/>
    <w:rsid w:val="0015340D"/>
    <w:rsid w:val="00154633"/>
    <w:rsid w:val="00154DFB"/>
    <w:rsid w:val="001552BB"/>
    <w:rsid w:val="00155625"/>
    <w:rsid w:val="00155A2C"/>
    <w:rsid w:val="001571C0"/>
    <w:rsid w:val="00157981"/>
    <w:rsid w:val="001600EF"/>
    <w:rsid w:val="00160545"/>
    <w:rsid w:val="00160BF2"/>
    <w:rsid w:val="00161E2F"/>
    <w:rsid w:val="001635DE"/>
    <w:rsid w:val="001643AE"/>
    <w:rsid w:val="00164A89"/>
    <w:rsid w:val="00164A8E"/>
    <w:rsid w:val="00165158"/>
    <w:rsid w:val="00165C15"/>
    <w:rsid w:val="00166F81"/>
    <w:rsid w:val="00167744"/>
    <w:rsid w:val="00173893"/>
    <w:rsid w:val="001738EB"/>
    <w:rsid w:val="00173BCF"/>
    <w:rsid w:val="001744DF"/>
    <w:rsid w:val="001756EE"/>
    <w:rsid w:val="00180E8B"/>
    <w:rsid w:val="00181540"/>
    <w:rsid w:val="001821CE"/>
    <w:rsid w:val="001833D4"/>
    <w:rsid w:val="0018340C"/>
    <w:rsid w:val="00183525"/>
    <w:rsid w:val="00183B06"/>
    <w:rsid w:val="00184B3C"/>
    <w:rsid w:val="00185881"/>
    <w:rsid w:val="001863C0"/>
    <w:rsid w:val="001864B7"/>
    <w:rsid w:val="00186750"/>
    <w:rsid w:val="00191B6F"/>
    <w:rsid w:val="00195BDB"/>
    <w:rsid w:val="001962F3"/>
    <w:rsid w:val="001966FD"/>
    <w:rsid w:val="001975AA"/>
    <w:rsid w:val="001979B2"/>
    <w:rsid w:val="00197E27"/>
    <w:rsid w:val="001A08B5"/>
    <w:rsid w:val="001A243A"/>
    <w:rsid w:val="001A418A"/>
    <w:rsid w:val="001A7E92"/>
    <w:rsid w:val="001B2A52"/>
    <w:rsid w:val="001B311D"/>
    <w:rsid w:val="001B32C0"/>
    <w:rsid w:val="001B33C0"/>
    <w:rsid w:val="001B3923"/>
    <w:rsid w:val="001B4E60"/>
    <w:rsid w:val="001B534F"/>
    <w:rsid w:val="001B559B"/>
    <w:rsid w:val="001C0193"/>
    <w:rsid w:val="001C02A9"/>
    <w:rsid w:val="001C21B7"/>
    <w:rsid w:val="001C27E6"/>
    <w:rsid w:val="001C30BE"/>
    <w:rsid w:val="001C3343"/>
    <w:rsid w:val="001C41EA"/>
    <w:rsid w:val="001C51D0"/>
    <w:rsid w:val="001C57DA"/>
    <w:rsid w:val="001C6E04"/>
    <w:rsid w:val="001C7517"/>
    <w:rsid w:val="001C7C93"/>
    <w:rsid w:val="001D1A1C"/>
    <w:rsid w:val="001D2E12"/>
    <w:rsid w:val="001D3697"/>
    <w:rsid w:val="001D441F"/>
    <w:rsid w:val="001D52E7"/>
    <w:rsid w:val="001D6481"/>
    <w:rsid w:val="001D78F7"/>
    <w:rsid w:val="001D7EB5"/>
    <w:rsid w:val="001E08F3"/>
    <w:rsid w:val="001E11A3"/>
    <w:rsid w:val="001E1548"/>
    <w:rsid w:val="001E1CB7"/>
    <w:rsid w:val="001E247B"/>
    <w:rsid w:val="001E2F6D"/>
    <w:rsid w:val="001E33A0"/>
    <w:rsid w:val="001E3C98"/>
    <w:rsid w:val="001E3DB9"/>
    <w:rsid w:val="001E431E"/>
    <w:rsid w:val="001E454D"/>
    <w:rsid w:val="001E64AE"/>
    <w:rsid w:val="001E6F79"/>
    <w:rsid w:val="001E791F"/>
    <w:rsid w:val="001F02D8"/>
    <w:rsid w:val="001F0654"/>
    <w:rsid w:val="001F2ACE"/>
    <w:rsid w:val="001F4916"/>
    <w:rsid w:val="001F545C"/>
    <w:rsid w:val="001F5AEF"/>
    <w:rsid w:val="001F67D3"/>
    <w:rsid w:val="0020024E"/>
    <w:rsid w:val="0020211A"/>
    <w:rsid w:val="00204AC2"/>
    <w:rsid w:val="00204AD3"/>
    <w:rsid w:val="00205759"/>
    <w:rsid w:val="00207CDF"/>
    <w:rsid w:val="00212046"/>
    <w:rsid w:val="00212BBF"/>
    <w:rsid w:val="00213E4C"/>
    <w:rsid w:val="002144DA"/>
    <w:rsid w:val="00214749"/>
    <w:rsid w:val="00215B68"/>
    <w:rsid w:val="002175CD"/>
    <w:rsid w:val="00217F27"/>
    <w:rsid w:val="00220097"/>
    <w:rsid w:val="00220A9F"/>
    <w:rsid w:val="002218BD"/>
    <w:rsid w:val="00221E6D"/>
    <w:rsid w:val="0022201C"/>
    <w:rsid w:val="00222022"/>
    <w:rsid w:val="00222940"/>
    <w:rsid w:val="00223101"/>
    <w:rsid w:val="00223288"/>
    <w:rsid w:val="00224302"/>
    <w:rsid w:val="002254B7"/>
    <w:rsid w:val="0022582E"/>
    <w:rsid w:val="0022728F"/>
    <w:rsid w:val="00227400"/>
    <w:rsid w:val="00230FAB"/>
    <w:rsid w:val="002328E7"/>
    <w:rsid w:val="00232D7A"/>
    <w:rsid w:val="00232F71"/>
    <w:rsid w:val="0023402C"/>
    <w:rsid w:val="0023440A"/>
    <w:rsid w:val="00234D15"/>
    <w:rsid w:val="00235D72"/>
    <w:rsid w:val="002365D2"/>
    <w:rsid w:val="00236D2B"/>
    <w:rsid w:val="00236D6A"/>
    <w:rsid w:val="00237227"/>
    <w:rsid w:val="0023759C"/>
    <w:rsid w:val="00237698"/>
    <w:rsid w:val="002400D7"/>
    <w:rsid w:val="002407AA"/>
    <w:rsid w:val="002409E3"/>
    <w:rsid w:val="00240AA6"/>
    <w:rsid w:val="00241D18"/>
    <w:rsid w:val="002427FB"/>
    <w:rsid w:val="00243863"/>
    <w:rsid w:val="00243CCD"/>
    <w:rsid w:val="00244617"/>
    <w:rsid w:val="00244BE5"/>
    <w:rsid w:val="00246B78"/>
    <w:rsid w:val="00247D3F"/>
    <w:rsid w:val="00247E2C"/>
    <w:rsid w:val="002522E7"/>
    <w:rsid w:val="00253219"/>
    <w:rsid w:val="00255DB6"/>
    <w:rsid w:val="00255F5F"/>
    <w:rsid w:val="00256547"/>
    <w:rsid w:val="0025715B"/>
    <w:rsid w:val="00257839"/>
    <w:rsid w:val="00257E9E"/>
    <w:rsid w:val="00260A67"/>
    <w:rsid w:val="00261E8A"/>
    <w:rsid w:val="0026270D"/>
    <w:rsid w:val="00264B4E"/>
    <w:rsid w:val="00266D4F"/>
    <w:rsid w:val="00267CEC"/>
    <w:rsid w:val="002706D2"/>
    <w:rsid w:val="002727F2"/>
    <w:rsid w:val="00272AA7"/>
    <w:rsid w:val="002738B9"/>
    <w:rsid w:val="00274B98"/>
    <w:rsid w:val="00274CEB"/>
    <w:rsid w:val="00275744"/>
    <w:rsid w:val="0027669E"/>
    <w:rsid w:val="0027707C"/>
    <w:rsid w:val="00277892"/>
    <w:rsid w:val="00280BCD"/>
    <w:rsid w:val="00281935"/>
    <w:rsid w:val="00281DAD"/>
    <w:rsid w:val="00282A84"/>
    <w:rsid w:val="00283A73"/>
    <w:rsid w:val="00284A30"/>
    <w:rsid w:val="0028528B"/>
    <w:rsid w:val="002867E1"/>
    <w:rsid w:val="00286CF7"/>
    <w:rsid w:val="00287032"/>
    <w:rsid w:val="00287D7E"/>
    <w:rsid w:val="00291F41"/>
    <w:rsid w:val="00291F8C"/>
    <w:rsid w:val="0029300F"/>
    <w:rsid w:val="002930EA"/>
    <w:rsid w:val="00293142"/>
    <w:rsid w:val="00293ABB"/>
    <w:rsid w:val="00294CBE"/>
    <w:rsid w:val="00296E9B"/>
    <w:rsid w:val="002A0722"/>
    <w:rsid w:val="002A1545"/>
    <w:rsid w:val="002A1771"/>
    <w:rsid w:val="002A18E3"/>
    <w:rsid w:val="002A202E"/>
    <w:rsid w:val="002A24C4"/>
    <w:rsid w:val="002A29E6"/>
    <w:rsid w:val="002A33EE"/>
    <w:rsid w:val="002A3BC3"/>
    <w:rsid w:val="002A3F7D"/>
    <w:rsid w:val="002A5D70"/>
    <w:rsid w:val="002A6BE5"/>
    <w:rsid w:val="002A7DB2"/>
    <w:rsid w:val="002B1FCE"/>
    <w:rsid w:val="002B221F"/>
    <w:rsid w:val="002B22F5"/>
    <w:rsid w:val="002B29EB"/>
    <w:rsid w:val="002B2AE4"/>
    <w:rsid w:val="002B4A18"/>
    <w:rsid w:val="002B4C49"/>
    <w:rsid w:val="002B5512"/>
    <w:rsid w:val="002B5B42"/>
    <w:rsid w:val="002B64B8"/>
    <w:rsid w:val="002B6DAC"/>
    <w:rsid w:val="002B7404"/>
    <w:rsid w:val="002C07EA"/>
    <w:rsid w:val="002C0C02"/>
    <w:rsid w:val="002C0CF1"/>
    <w:rsid w:val="002C1268"/>
    <w:rsid w:val="002C2878"/>
    <w:rsid w:val="002C2B0F"/>
    <w:rsid w:val="002C34EB"/>
    <w:rsid w:val="002C3E7D"/>
    <w:rsid w:val="002C4E16"/>
    <w:rsid w:val="002C7660"/>
    <w:rsid w:val="002D008E"/>
    <w:rsid w:val="002D0981"/>
    <w:rsid w:val="002D1C16"/>
    <w:rsid w:val="002D214A"/>
    <w:rsid w:val="002D2963"/>
    <w:rsid w:val="002D39FB"/>
    <w:rsid w:val="002D448A"/>
    <w:rsid w:val="002D491F"/>
    <w:rsid w:val="002D67BA"/>
    <w:rsid w:val="002D6C53"/>
    <w:rsid w:val="002D6D54"/>
    <w:rsid w:val="002D72F2"/>
    <w:rsid w:val="002D7B0B"/>
    <w:rsid w:val="002E2170"/>
    <w:rsid w:val="002E2239"/>
    <w:rsid w:val="002E3B5C"/>
    <w:rsid w:val="002E4871"/>
    <w:rsid w:val="002E49F5"/>
    <w:rsid w:val="002E4A7D"/>
    <w:rsid w:val="002E52FD"/>
    <w:rsid w:val="002E5F86"/>
    <w:rsid w:val="002E6222"/>
    <w:rsid w:val="002E7B24"/>
    <w:rsid w:val="002F2DBD"/>
    <w:rsid w:val="002F36F8"/>
    <w:rsid w:val="002F5595"/>
    <w:rsid w:val="002F6258"/>
    <w:rsid w:val="002F7177"/>
    <w:rsid w:val="002F7A5C"/>
    <w:rsid w:val="00300F26"/>
    <w:rsid w:val="00301D01"/>
    <w:rsid w:val="003025C3"/>
    <w:rsid w:val="00305318"/>
    <w:rsid w:val="00305CD5"/>
    <w:rsid w:val="00310F1F"/>
    <w:rsid w:val="00311334"/>
    <w:rsid w:val="00311B38"/>
    <w:rsid w:val="003127CB"/>
    <w:rsid w:val="00314064"/>
    <w:rsid w:val="00314281"/>
    <w:rsid w:val="0031532E"/>
    <w:rsid w:val="00315355"/>
    <w:rsid w:val="003175D8"/>
    <w:rsid w:val="00320E04"/>
    <w:rsid w:val="00320EA2"/>
    <w:rsid w:val="003215D9"/>
    <w:rsid w:val="003223E4"/>
    <w:rsid w:val="00322776"/>
    <w:rsid w:val="0032304E"/>
    <w:rsid w:val="003234BD"/>
    <w:rsid w:val="00323538"/>
    <w:rsid w:val="00323997"/>
    <w:rsid w:val="0032423D"/>
    <w:rsid w:val="00326010"/>
    <w:rsid w:val="0032663F"/>
    <w:rsid w:val="00333621"/>
    <w:rsid w:val="00333887"/>
    <w:rsid w:val="00334F6A"/>
    <w:rsid w:val="0033536E"/>
    <w:rsid w:val="003365A2"/>
    <w:rsid w:val="00337EDC"/>
    <w:rsid w:val="00337FDA"/>
    <w:rsid w:val="003411C7"/>
    <w:rsid w:val="00341A3B"/>
    <w:rsid w:val="00342AC8"/>
    <w:rsid w:val="003437ED"/>
    <w:rsid w:val="00343B01"/>
    <w:rsid w:val="00345613"/>
    <w:rsid w:val="00345EAF"/>
    <w:rsid w:val="00345EB1"/>
    <w:rsid w:val="0034706D"/>
    <w:rsid w:val="00351412"/>
    <w:rsid w:val="00351B2C"/>
    <w:rsid w:val="00351C84"/>
    <w:rsid w:val="00352470"/>
    <w:rsid w:val="0035264A"/>
    <w:rsid w:val="003531AA"/>
    <w:rsid w:val="003542CB"/>
    <w:rsid w:val="00354D3E"/>
    <w:rsid w:val="00355352"/>
    <w:rsid w:val="00355CD3"/>
    <w:rsid w:val="00356640"/>
    <w:rsid w:val="0035697E"/>
    <w:rsid w:val="00356C38"/>
    <w:rsid w:val="00357295"/>
    <w:rsid w:val="00357F2E"/>
    <w:rsid w:val="003600FB"/>
    <w:rsid w:val="00361AFE"/>
    <w:rsid w:val="00361C28"/>
    <w:rsid w:val="00365101"/>
    <w:rsid w:val="0036554A"/>
    <w:rsid w:val="00370E47"/>
    <w:rsid w:val="0037244C"/>
    <w:rsid w:val="003724BB"/>
    <w:rsid w:val="0037262F"/>
    <w:rsid w:val="00373142"/>
    <w:rsid w:val="0037316D"/>
    <w:rsid w:val="00373440"/>
    <w:rsid w:val="0037588E"/>
    <w:rsid w:val="00375BE8"/>
    <w:rsid w:val="00380A48"/>
    <w:rsid w:val="00381E58"/>
    <w:rsid w:val="0038266B"/>
    <w:rsid w:val="00382C55"/>
    <w:rsid w:val="00384102"/>
    <w:rsid w:val="003844CA"/>
    <w:rsid w:val="0038537E"/>
    <w:rsid w:val="00387E40"/>
    <w:rsid w:val="00390A76"/>
    <w:rsid w:val="00392835"/>
    <w:rsid w:val="0039651E"/>
    <w:rsid w:val="003978FB"/>
    <w:rsid w:val="00397939"/>
    <w:rsid w:val="00397DA6"/>
    <w:rsid w:val="003A0766"/>
    <w:rsid w:val="003A2765"/>
    <w:rsid w:val="003A2954"/>
    <w:rsid w:val="003A2CFF"/>
    <w:rsid w:val="003A3F12"/>
    <w:rsid w:val="003A46B9"/>
    <w:rsid w:val="003A61E2"/>
    <w:rsid w:val="003A64D0"/>
    <w:rsid w:val="003A6789"/>
    <w:rsid w:val="003B11E2"/>
    <w:rsid w:val="003B2341"/>
    <w:rsid w:val="003B277A"/>
    <w:rsid w:val="003B4550"/>
    <w:rsid w:val="003B53D9"/>
    <w:rsid w:val="003B5482"/>
    <w:rsid w:val="003B5FB1"/>
    <w:rsid w:val="003B6110"/>
    <w:rsid w:val="003B67E2"/>
    <w:rsid w:val="003B6DFD"/>
    <w:rsid w:val="003C0347"/>
    <w:rsid w:val="003C28F3"/>
    <w:rsid w:val="003C33AF"/>
    <w:rsid w:val="003C3565"/>
    <w:rsid w:val="003C36AB"/>
    <w:rsid w:val="003C44DF"/>
    <w:rsid w:val="003C5B1B"/>
    <w:rsid w:val="003D2E5D"/>
    <w:rsid w:val="003D3045"/>
    <w:rsid w:val="003D3CA4"/>
    <w:rsid w:val="003D56D0"/>
    <w:rsid w:val="003D5F55"/>
    <w:rsid w:val="003D63E7"/>
    <w:rsid w:val="003D6F7F"/>
    <w:rsid w:val="003D7B23"/>
    <w:rsid w:val="003D7B34"/>
    <w:rsid w:val="003E1E5A"/>
    <w:rsid w:val="003E23E5"/>
    <w:rsid w:val="003E2627"/>
    <w:rsid w:val="003E3403"/>
    <w:rsid w:val="003E3F3E"/>
    <w:rsid w:val="003E5477"/>
    <w:rsid w:val="003E558C"/>
    <w:rsid w:val="003E606A"/>
    <w:rsid w:val="003F0D72"/>
    <w:rsid w:val="003F15FE"/>
    <w:rsid w:val="003F25B5"/>
    <w:rsid w:val="003F3A4F"/>
    <w:rsid w:val="003F454E"/>
    <w:rsid w:val="003F46E5"/>
    <w:rsid w:val="003F5B99"/>
    <w:rsid w:val="004006BF"/>
    <w:rsid w:val="00401F19"/>
    <w:rsid w:val="00406838"/>
    <w:rsid w:val="00406C7E"/>
    <w:rsid w:val="0041183E"/>
    <w:rsid w:val="00411F78"/>
    <w:rsid w:val="0041359B"/>
    <w:rsid w:val="00413B85"/>
    <w:rsid w:val="00416346"/>
    <w:rsid w:val="00416642"/>
    <w:rsid w:val="00417532"/>
    <w:rsid w:val="004179B3"/>
    <w:rsid w:val="00420F17"/>
    <w:rsid w:val="00422114"/>
    <w:rsid w:val="00423EFD"/>
    <w:rsid w:val="004266B3"/>
    <w:rsid w:val="004268ED"/>
    <w:rsid w:val="00427462"/>
    <w:rsid w:val="00427BD9"/>
    <w:rsid w:val="004301BC"/>
    <w:rsid w:val="00431785"/>
    <w:rsid w:val="00433591"/>
    <w:rsid w:val="0043420A"/>
    <w:rsid w:val="004354F0"/>
    <w:rsid w:val="00435B83"/>
    <w:rsid w:val="00437D7F"/>
    <w:rsid w:val="00440731"/>
    <w:rsid w:val="00442621"/>
    <w:rsid w:val="00442BF6"/>
    <w:rsid w:val="00442F95"/>
    <w:rsid w:val="004446B8"/>
    <w:rsid w:val="00445126"/>
    <w:rsid w:val="004454A7"/>
    <w:rsid w:val="0044657A"/>
    <w:rsid w:val="00447255"/>
    <w:rsid w:val="00447272"/>
    <w:rsid w:val="00447964"/>
    <w:rsid w:val="00451272"/>
    <w:rsid w:val="0045152B"/>
    <w:rsid w:val="004519C2"/>
    <w:rsid w:val="00451D2E"/>
    <w:rsid w:val="00451DB6"/>
    <w:rsid w:val="0045374A"/>
    <w:rsid w:val="00453D9E"/>
    <w:rsid w:val="00454BC8"/>
    <w:rsid w:val="0045548E"/>
    <w:rsid w:val="00456116"/>
    <w:rsid w:val="00456B7F"/>
    <w:rsid w:val="00456C81"/>
    <w:rsid w:val="00456D88"/>
    <w:rsid w:val="00456EE4"/>
    <w:rsid w:val="0045753C"/>
    <w:rsid w:val="0045767C"/>
    <w:rsid w:val="00461253"/>
    <w:rsid w:val="0046154A"/>
    <w:rsid w:val="004633C0"/>
    <w:rsid w:val="0046353A"/>
    <w:rsid w:val="00464CFB"/>
    <w:rsid w:val="00464EEE"/>
    <w:rsid w:val="00465B54"/>
    <w:rsid w:val="00466F5A"/>
    <w:rsid w:val="00466F8D"/>
    <w:rsid w:val="00471DF1"/>
    <w:rsid w:val="00472FDA"/>
    <w:rsid w:val="00473857"/>
    <w:rsid w:val="00473D1B"/>
    <w:rsid w:val="004749B7"/>
    <w:rsid w:val="00474E77"/>
    <w:rsid w:val="004751FA"/>
    <w:rsid w:val="00475554"/>
    <w:rsid w:val="00476694"/>
    <w:rsid w:val="00477079"/>
    <w:rsid w:val="0047779E"/>
    <w:rsid w:val="00477B73"/>
    <w:rsid w:val="00480930"/>
    <w:rsid w:val="00481246"/>
    <w:rsid w:val="004818BD"/>
    <w:rsid w:val="00481A07"/>
    <w:rsid w:val="00482220"/>
    <w:rsid w:val="00482F86"/>
    <w:rsid w:val="00483765"/>
    <w:rsid w:val="00485A8B"/>
    <w:rsid w:val="0048621D"/>
    <w:rsid w:val="004905FA"/>
    <w:rsid w:val="00491A66"/>
    <w:rsid w:val="00491FA9"/>
    <w:rsid w:val="004928D0"/>
    <w:rsid w:val="00493EB8"/>
    <w:rsid w:val="00494A57"/>
    <w:rsid w:val="00494BD6"/>
    <w:rsid w:val="00495777"/>
    <w:rsid w:val="00495AF0"/>
    <w:rsid w:val="00495C41"/>
    <w:rsid w:val="00496FB3"/>
    <w:rsid w:val="004A464C"/>
    <w:rsid w:val="004A4694"/>
    <w:rsid w:val="004A5F1A"/>
    <w:rsid w:val="004A6C84"/>
    <w:rsid w:val="004A72F6"/>
    <w:rsid w:val="004B0670"/>
    <w:rsid w:val="004B068F"/>
    <w:rsid w:val="004B2419"/>
    <w:rsid w:val="004B2DB6"/>
    <w:rsid w:val="004B3163"/>
    <w:rsid w:val="004B4303"/>
    <w:rsid w:val="004B48F9"/>
    <w:rsid w:val="004B5348"/>
    <w:rsid w:val="004B762B"/>
    <w:rsid w:val="004B7F9B"/>
    <w:rsid w:val="004C0FEE"/>
    <w:rsid w:val="004C19E4"/>
    <w:rsid w:val="004C1CEE"/>
    <w:rsid w:val="004C245F"/>
    <w:rsid w:val="004C44A8"/>
    <w:rsid w:val="004C6011"/>
    <w:rsid w:val="004C683C"/>
    <w:rsid w:val="004D2527"/>
    <w:rsid w:val="004D2AAA"/>
    <w:rsid w:val="004D4459"/>
    <w:rsid w:val="004D4491"/>
    <w:rsid w:val="004D5616"/>
    <w:rsid w:val="004D574F"/>
    <w:rsid w:val="004D6638"/>
    <w:rsid w:val="004D6973"/>
    <w:rsid w:val="004E0EF7"/>
    <w:rsid w:val="004E3997"/>
    <w:rsid w:val="004E4E74"/>
    <w:rsid w:val="004E5D2C"/>
    <w:rsid w:val="004E6260"/>
    <w:rsid w:val="004E7359"/>
    <w:rsid w:val="004E7E8E"/>
    <w:rsid w:val="004E7EC0"/>
    <w:rsid w:val="004F3ABE"/>
    <w:rsid w:val="004F3BB1"/>
    <w:rsid w:val="004F6222"/>
    <w:rsid w:val="004F6BE2"/>
    <w:rsid w:val="004F6D9C"/>
    <w:rsid w:val="004F7223"/>
    <w:rsid w:val="004F7553"/>
    <w:rsid w:val="0050064D"/>
    <w:rsid w:val="005024B7"/>
    <w:rsid w:val="005042C2"/>
    <w:rsid w:val="00505878"/>
    <w:rsid w:val="00506378"/>
    <w:rsid w:val="00506A79"/>
    <w:rsid w:val="00512184"/>
    <w:rsid w:val="00512402"/>
    <w:rsid w:val="00512BA0"/>
    <w:rsid w:val="00512FA9"/>
    <w:rsid w:val="0051364F"/>
    <w:rsid w:val="00513967"/>
    <w:rsid w:val="0051548F"/>
    <w:rsid w:val="005159DC"/>
    <w:rsid w:val="005167BD"/>
    <w:rsid w:val="00516E3F"/>
    <w:rsid w:val="00516ECB"/>
    <w:rsid w:val="00523554"/>
    <w:rsid w:val="00524109"/>
    <w:rsid w:val="00524EB0"/>
    <w:rsid w:val="00524F44"/>
    <w:rsid w:val="0052533A"/>
    <w:rsid w:val="00525346"/>
    <w:rsid w:val="00530111"/>
    <w:rsid w:val="0053047A"/>
    <w:rsid w:val="00531538"/>
    <w:rsid w:val="00531E3C"/>
    <w:rsid w:val="00532490"/>
    <w:rsid w:val="0053263C"/>
    <w:rsid w:val="00532A49"/>
    <w:rsid w:val="00534DBE"/>
    <w:rsid w:val="00534DDB"/>
    <w:rsid w:val="005352B0"/>
    <w:rsid w:val="0053583A"/>
    <w:rsid w:val="005362B0"/>
    <w:rsid w:val="00537B5F"/>
    <w:rsid w:val="00544E51"/>
    <w:rsid w:val="00544FA0"/>
    <w:rsid w:val="00545401"/>
    <w:rsid w:val="00545921"/>
    <w:rsid w:val="00546706"/>
    <w:rsid w:val="00550041"/>
    <w:rsid w:val="00551B74"/>
    <w:rsid w:val="00551BF2"/>
    <w:rsid w:val="00551DDC"/>
    <w:rsid w:val="00552046"/>
    <w:rsid w:val="005533E4"/>
    <w:rsid w:val="00554A13"/>
    <w:rsid w:val="005553FD"/>
    <w:rsid w:val="0055553C"/>
    <w:rsid w:val="005558D8"/>
    <w:rsid w:val="00557D3A"/>
    <w:rsid w:val="00557E55"/>
    <w:rsid w:val="005610D0"/>
    <w:rsid w:val="005641AE"/>
    <w:rsid w:val="005645E1"/>
    <w:rsid w:val="0056578B"/>
    <w:rsid w:val="00566AAF"/>
    <w:rsid w:val="00566AD8"/>
    <w:rsid w:val="0056799F"/>
    <w:rsid w:val="00570CC0"/>
    <w:rsid w:val="00570D81"/>
    <w:rsid w:val="00571006"/>
    <w:rsid w:val="005711DA"/>
    <w:rsid w:val="00571FB5"/>
    <w:rsid w:val="00573D5E"/>
    <w:rsid w:val="00576B0C"/>
    <w:rsid w:val="00576F95"/>
    <w:rsid w:val="0057723A"/>
    <w:rsid w:val="00577F86"/>
    <w:rsid w:val="00577FA2"/>
    <w:rsid w:val="00581E59"/>
    <w:rsid w:val="00581F47"/>
    <w:rsid w:val="00583644"/>
    <w:rsid w:val="0058536E"/>
    <w:rsid w:val="0058640A"/>
    <w:rsid w:val="005872A1"/>
    <w:rsid w:val="00590CE4"/>
    <w:rsid w:val="005913B7"/>
    <w:rsid w:val="00591466"/>
    <w:rsid w:val="00592DA8"/>
    <w:rsid w:val="00592DB5"/>
    <w:rsid w:val="00592E04"/>
    <w:rsid w:val="00593543"/>
    <w:rsid w:val="00594065"/>
    <w:rsid w:val="00597A50"/>
    <w:rsid w:val="005A0BD7"/>
    <w:rsid w:val="005A1190"/>
    <w:rsid w:val="005A1E5F"/>
    <w:rsid w:val="005A41A9"/>
    <w:rsid w:val="005A4C36"/>
    <w:rsid w:val="005A5FFA"/>
    <w:rsid w:val="005A6D6F"/>
    <w:rsid w:val="005A7D8A"/>
    <w:rsid w:val="005B02AC"/>
    <w:rsid w:val="005B09EF"/>
    <w:rsid w:val="005B3527"/>
    <w:rsid w:val="005B3D70"/>
    <w:rsid w:val="005B43C1"/>
    <w:rsid w:val="005B499B"/>
    <w:rsid w:val="005B55EA"/>
    <w:rsid w:val="005B5AD0"/>
    <w:rsid w:val="005B6330"/>
    <w:rsid w:val="005B68B6"/>
    <w:rsid w:val="005C0D1E"/>
    <w:rsid w:val="005C1C90"/>
    <w:rsid w:val="005C2EE5"/>
    <w:rsid w:val="005C3BD3"/>
    <w:rsid w:val="005C41B2"/>
    <w:rsid w:val="005C427B"/>
    <w:rsid w:val="005C60CE"/>
    <w:rsid w:val="005C6535"/>
    <w:rsid w:val="005C67EE"/>
    <w:rsid w:val="005C6C4F"/>
    <w:rsid w:val="005C7536"/>
    <w:rsid w:val="005C7965"/>
    <w:rsid w:val="005C7AD0"/>
    <w:rsid w:val="005D1A47"/>
    <w:rsid w:val="005D1BED"/>
    <w:rsid w:val="005D1CAD"/>
    <w:rsid w:val="005D3296"/>
    <w:rsid w:val="005D4154"/>
    <w:rsid w:val="005D7538"/>
    <w:rsid w:val="005E00E7"/>
    <w:rsid w:val="005E07F1"/>
    <w:rsid w:val="005E0DB7"/>
    <w:rsid w:val="005E15C0"/>
    <w:rsid w:val="005E2556"/>
    <w:rsid w:val="005E4662"/>
    <w:rsid w:val="005E4EEE"/>
    <w:rsid w:val="005F0476"/>
    <w:rsid w:val="005F1607"/>
    <w:rsid w:val="005F3850"/>
    <w:rsid w:val="005F4AAD"/>
    <w:rsid w:val="005F4D28"/>
    <w:rsid w:val="005F645E"/>
    <w:rsid w:val="005F68F5"/>
    <w:rsid w:val="005F697D"/>
    <w:rsid w:val="00600A22"/>
    <w:rsid w:val="006011B7"/>
    <w:rsid w:val="00601A2C"/>
    <w:rsid w:val="00601BB4"/>
    <w:rsid w:val="00602E2E"/>
    <w:rsid w:val="00604C1C"/>
    <w:rsid w:val="00604E90"/>
    <w:rsid w:val="006052AE"/>
    <w:rsid w:val="0060566A"/>
    <w:rsid w:val="006066C0"/>
    <w:rsid w:val="00607020"/>
    <w:rsid w:val="0060703C"/>
    <w:rsid w:val="00607F71"/>
    <w:rsid w:val="00613374"/>
    <w:rsid w:val="006148B0"/>
    <w:rsid w:val="00614C8E"/>
    <w:rsid w:val="00614EE4"/>
    <w:rsid w:val="00616237"/>
    <w:rsid w:val="00617AAB"/>
    <w:rsid w:val="00620C33"/>
    <w:rsid w:val="00621D6B"/>
    <w:rsid w:val="00625340"/>
    <w:rsid w:val="00625753"/>
    <w:rsid w:val="0062626A"/>
    <w:rsid w:val="00627043"/>
    <w:rsid w:val="006303D4"/>
    <w:rsid w:val="00631BA0"/>
    <w:rsid w:val="0063204E"/>
    <w:rsid w:val="00633BBA"/>
    <w:rsid w:val="00634741"/>
    <w:rsid w:val="00634EF8"/>
    <w:rsid w:val="00637959"/>
    <w:rsid w:val="006415ED"/>
    <w:rsid w:val="00641B0C"/>
    <w:rsid w:val="00642928"/>
    <w:rsid w:val="0064312A"/>
    <w:rsid w:val="00643D30"/>
    <w:rsid w:val="00646662"/>
    <w:rsid w:val="00650B22"/>
    <w:rsid w:val="0065153C"/>
    <w:rsid w:val="006536C7"/>
    <w:rsid w:val="00654F5E"/>
    <w:rsid w:val="00655501"/>
    <w:rsid w:val="0065566B"/>
    <w:rsid w:val="00656220"/>
    <w:rsid w:val="0066068F"/>
    <w:rsid w:val="0066100F"/>
    <w:rsid w:val="0066235A"/>
    <w:rsid w:val="00662526"/>
    <w:rsid w:val="00662DDD"/>
    <w:rsid w:val="0066396D"/>
    <w:rsid w:val="00665E03"/>
    <w:rsid w:val="006667BC"/>
    <w:rsid w:val="00666965"/>
    <w:rsid w:val="00670E23"/>
    <w:rsid w:val="006711CA"/>
    <w:rsid w:val="00671529"/>
    <w:rsid w:val="00673A47"/>
    <w:rsid w:val="006749B7"/>
    <w:rsid w:val="0067516A"/>
    <w:rsid w:val="00675F31"/>
    <w:rsid w:val="0067654C"/>
    <w:rsid w:val="00676836"/>
    <w:rsid w:val="00677EFE"/>
    <w:rsid w:val="00680CAD"/>
    <w:rsid w:val="00681CF1"/>
    <w:rsid w:val="00682496"/>
    <w:rsid w:val="00682DE9"/>
    <w:rsid w:val="00683700"/>
    <w:rsid w:val="00684121"/>
    <w:rsid w:val="00684D41"/>
    <w:rsid w:val="00685096"/>
    <w:rsid w:val="00685F32"/>
    <w:rsid w:val="006865BD"/>
    <w:rsid w:val="0068682C"/>
    <w:rsid w:val="00686998"/>
    <w:rsid w:val="00686E53"/>
    <w:rsid w:val="0068702A"/>
    <w:rsid w:val="00687400"/>
    <w:rsid w:val="006923F6"/>
    <w:rsid w:val="00695280"/>
    <w:rsid w:val="00695EE5"/>
    <w:rsid w:val="00697DFD"/>
    <w:rsid w:val="006A1723"/>
    <w:rsid w:val="006A2473"/>
    <w:rsid w:val="006A2B9C"/>
    <w:rsid w:val="006A2BCF"/>
    <w:rsid w:val="006A31AE"/>
    <w:rsid w:val="006A4579"/>
    <w:rsid w:val="006A5EED"/>
    <w:rsid w:val="006A6ACD"/>
    <w:rsid w:val="006A7522"/>
    <w:rsid w:val="006A788D"/>
    <w:rsid w:val="006A79F9"/>
    <w:rsid w:val="006B0862"/>
    <w:rsid w:val="006B163A"/>
    <w:rsid w:val="006B512E"/>
    <w:rsid w:val="006C09A3"/>
    <w:rsid w:val="006C0DAC"/>
    <w:rsid w:val="006C1080"/>
    <w:rsid w:val="006C1F59"/>
    <w:rsid w:val="006C361A"/>
    <w:rsid w:val="006C3C0C"/>
    <w:rsid w:val="006C5A3A"/>
    <w:rsid w:val="006C5BC4"/>
    <w:rsid w:val="006C6152"/>
    <w:rsid w:val="006C647F"/>
    <w:rsid w:val="006C68C1"/>
    <w:rsid w:val="006C7C00"/>
    <w:rsid w:val="006D2397"/>
    <w:rsid w:val="006D2A43"/>
    <w:rsid w:val="006D30BE"/>
    <w:rsid w:val="006D3BAD"/>
    <w:rsid w:val="006D4D1E"/>
    <w:rsid w:val="006D6142"/>
    <w:rsid w:val="006D640B"/>
    <w:rsid w:val="006D6C0B"/>
    <w:rsid w:val="006D6E95"/>
    <w:rsid w:val="006D7314"/>
    <w:rsid w:val="006D7551"/>
    <w:rsid w:val="006E0817"/>
    <w:rsid w:val="006E12E7"/>
    <w:rsid w:val="006E214A"/>
    <w:rsid w:val="006E253F"/>
    <w:rsid w:val="006E335B"/>
    <w:rsid w:val="006E5F6A"/>
    <w:rsid w:val="006E647A"/>
    <w:rsid w:val="006E75EE"/>
    <w:rsid w:val="006E7D09"/>
    <w:rsid w:val="006E7F0F"/>
    <w:rsid w:val="006F0B47"/>
    <w:rsid w:val="006F1051"/>
    <w:rsid w:val="006F1DE8"/>
    <w:rsid w:val="006F1F5A"/>
    <w:rsid w:val="006F3333"/>
    <w:rsid w:val="006F3689"/>
    <w:rsid w:val="006F4488"/>
    <w:rsid w:val="006F4B76"/>
    <w:rsid w:val="006F5BD0"/>
    <w:rsid w:val="006F76A2"/>
    <w:rsid w:val="007006FC"/>
    <w:rsid w:val="007019F1"/>
    <w:rsid w:val="00701C9D"/>
    <w:rsid w:val="0070398C"/>
    <w:rsid w:val="00706609"/>
    <w:rsid w:val="0070759B"/>
    <w:rsid w:val="00707778"/>
    <w:rsid w:val="00707A90"/>
    <w:rsid w:val="0071020C"/>
    <w:rsid w:val="007106E3"/>
    <w:rsid w:val="007114B8"/>
    <w:rsid w:val="007125CE"/>
    <w:rsid w:val="00712EFE"/>
    <w:rsid w:val="007155F9"/>
    <w:rsid w:val="00716314"/>
    <w:rsid w:val="00720E07"/>
    <w:rsid w:val="00720FEA"/>
    <w:rsid w:val="00721C11"/>
    <w:rsid w:val="00721EDA"/>
    <w:rsid w:val="00722C91"/>
    <w:rsid w:val="00722E67"/>
    <w:rsid w:val="0072399C"/>
    <w:rsid w:val="0072440B"/>
    <w:rsid w:val="007265F5"/>
    <w:rsid w:val="007268F9"/>
    <w:rsid w:val="00727C73"/>
    <w:rsid w:val="007301AF"/>
    <w:rsid w:val="007305DC"/>
    <w:rsid w:val="007316B1"/>
    <w:rsid w:val="0073173F"/>
    <w:rsid w:val="00732524"/>
    <w:rsid w:val="007326B7"/>
    <w:rsid w:val="00732C64"/>
    <w:rsid w:val="00732D1E"/>
    <w:rsid w:val="00735D7C"/>
    <w:rsid w:val="00735FD2"/>
    <w:rsid w:val="007360B3"/>
    <w:rsid w:val="00736306"/>
    <w:rsid w:val="007364A6"/>
    <w:rsid w:val="007370A8"/>
    <w:rsid w:val="00737C73"/>
    <w:rsid w:val="00737DDB"/>
    <w:rsid w:val="007403A0"/>
    <w:rsid w:val="00740FC4"/>
    <w:rsid w:val="00741D73"/>
    <w:rsid w:val="0074493D"/>
    <w:rsid w:val="00745B13"/>
    <w:rsid w:val="00746A82"/>
    <w:rsid w:val="007507C4"/>
    <w:rsid w:val="007511EF"/>
    <w:rsid w:val="00751432"/>
    <w:rsid w:val="00751749"/>
    <w:rsid w:val="007519BF"/>
    <w:rsid w:val="00752648"/>
    <w:rsid w:val="00752D59"/>
    <w:rsid w:val="00752F6A"/>
    <w:rsid w:val="00754A4E"/>
    <w:rsid w:val="007550A2"/>
    <w:rsid w:val="00755BCD"/>
    <w:rsid w:val="00756097"/>
    <w:rsid w:val="00757508"/>
    <w:rsid w:val="0075790B"/>
    <w:rsid w:val="007605A4"/>
    <w:rsid w:val="00760C54"/>
    <w:rsid w:val="00761E0D"/>
    <w:rsid w:val="0076213A"/>
    <w:rsid w:val="00762289"/>
    <w:rsid w:val="00763398"/>
    <w:rsid w:val="007642E9"/>
    <w:rsid w:val="007644F8"/>
    <w:rsid w:val="00764FB3"/>
    <w:rsid w:val="00765BDD"/>
    <w:rsid w:val="00770077"/>
    <w:rsid w:val="00771351"/>
    <w:rsid w:val="00773423"/>
    <w:rsid w:val="00773707"/>
    <w:rsid w:val="00774688"/>
    <w:rsid w:val="0077536D"/>
    <w:rsid w:val="00776B94"/>
    <w:rsid w:val="00776D62"/>
    <w:rsid w:val="00782CAD"/>
    <w:rsid w:val="00782FBD"/>
    <w:rsid w:val="0078333A"/>
    <w:rsid w:val="00783A4E"/>
    <w:rsid w:val="00784A3E"/>
    <w:rsid w:val="00784FF9"/>
    <w:rsid w:val="00785A64"/>
    <w:rsid w:val="007864D1"/>
    <w:rsid w:val="00786788"/>
    <w:rsid w:val="00786ED6"/>
    <w:rsid w:val="007870B0"/>
    <w:rsid w:val="00787338"/>
    <w:rsid w:val="007873D9"/>
    <w:rsid w:val="0079114C"/>
    <w:rsid w:val="0079386C"/>
    <w:rsid w:val="00794580"/>
    <w:rsid w:val="00794EFC"/>
    <w:rsid w:val="0079511C"/>
    <w:rsid w:val="007956CA"/>
    <w:rsid w:val="007965AE"/>
    <w:rsid w:val="007976F6"/>
    <w:rsid w:val="007A07ED"/>
    <w:rsid w:val="007A10A9"/>
    <w:rsid w:val="007A1337"/>
    <w:rsid w:val="007A160A"/>
    <w:rsid w:val="007A2F9F"/>
    <w:rsid w:val="007A33D3"/>
    <w:rsid w:val="007A3DE8"/>
    <w:rsid w:val="007A5230"/>
    <w:rsid w:val="007A6016"/>
    <w:rsid w:val="007A65B4"/>
    <w:rsid w:val="007A7CF8"/>
    <w:rsid w:val="007B0416"/>
    <w:rsid w:val="007B0887"/>
    <w:rsid w:val="007B0C9D"/>
    <w:rsid w:val="007B1BCB"/>
    <w:rsid w:val="007B242F"/>
    <w:rsid w:val="007B2434"/>
    <w:rsid w:val="007B2CA9"/>
    <w:rsid w:val="007B2D46"/>
    <w:rsid w:val="007B4449"/>
    <w:rsid w:val="007B514D"/>
    <w:rsid w:val="007C2E7D"/>
    <w:rsid w:val="007C34F0"/>
    <w:rsid w:val="007C3E70"/>
    <w:rsid w:val="007C4E49"/>
    <w:rsid w:val="007C52B0"/>
    <w:rsid w:val="007C70E4"/>
    <w:rsid w:val="007C7981"/>
    <w:rsid w:val="007D0DDF"/>
    <w:rsid w:val="007D129C"/>
    <w:rsid w:val="007D1D40"/>
    <w:rsid w:val="007D2B5B"/>
    <w:rsid w:val="007D3F43"/>
    <w:rsid w:val="007D46C8"/>
    <w:rsid w:val="007D5750"/>
    <w:rsid w:val="007D63EE"/>
    <w:rsid w:val="007D742A"/>
    <w:rsid w:val="007E1229"/>
    <w:rsid w:val="007E125F"/>
    <w:rsid w:val="007E1441"/>
    <w:rsid w:val="007E1BF5"/>
    <w:rsid w:val="007E26D6"/>
    <w:rsid w:val="007E298F"/>
    <w:rsid w:val="007E2E53"/>
    <w:rsid w:val="007E306F"/>
    <w:rsid w:val="007E3748"/>
    <w:rsid w:val="007E3976"/>
    <w:rsid w:val="007E4C8F"/>
    <w:rsid w:val="007E4C95"/>
    <w:rsid w:val="007E53DF"/>
    <w:rsid w:val="007E5758"/>
    <w:rsid w:val="007E6950"/>
    <w:rsid w:val="007F0FEB"/>
    <w:rsid w:val="007F16A9"/>
    <w:rsid w:val="007F4462"/>
    <w:rsid w:val="00801427"/>
    <w:rsid w:val="008014CB"/>
    <w:rsid w:val="00801BFA"/>
    <w:rsid w:val="00802857"/>
    <w:rsid w:val="00802C15"/>
    <w:rsid w:val="0080396E"/>
    <w:rsid w:val="00804B90"/>
    <w:rsid w:val="008056FD"/>
    <w:rsid w:val="008059C2"/>
    <w:rsid w:val="00806BA5"/>
    <w:rsid w:val="00807BF8"/>
    <w:rsid w:val="00807E93"/>
    <w:rsid w:val="00812280"/>
    <w:rsid w:val="00812B51"/>
    <w:rsid w:val="0081362B"/>
    <w:rsid w:val="0081422D"/>
    <w:rsid w:val="00815510"/>
    <w:rsid w:val="008157AF"/>
    <w:rsid w:val="008158F3"/>
    <w:rsid w:val="0081660C"/>
    <w:rsid w:val="00817E57"/>
    <w:rsid w:val="00820E31"/>
    <w:rsid w:val="008217EA"/>
    <w:rsid w:val="00823109"/>
    <w:rsid w:val="00823237"/>
    <w:rsid w:val="00824A2E"/>
    <w:rsid w:val="008258E6"/>
    <w:rsid w:val="008259E5"/>
    <w:rsid w:val="00826C81"/>
    <w:rsid w:val="00831334"/>
    <w:rsid w:val="00831CB5"/>
    <w:rsid w:val="00835E44"/>
    <w:rsid w:val="00844990"/>
    <w:rsid w:val="00844CB2"/>
    <w:rsid w:val="00844FAF"/>
    <w:rsid w:val="008461F1"/>
    <w:rsid w:val="00846421"/>
    <w:rsid w:val="0084669A"/>
    <w:rsid w:val="008474AE"/>
    <w:rsid w:val="00847CCA"/>
    <w:rsid w:val="00847CDC"/>
    <w:rsid w:val="00847E81"/>
    <w:rsid w:val="00847FFA"/>
    <w:rsid w:val="008502ED"/>
    <w:rsid w:val="00850690"/>
    <w:rsid w:val="00851100"/>
    <w:rsid w:val="0085123A"/>
    <w:rsid w:val="008522F1"/>
    <w:rsid w:val="008543BD"/>
    <w:rsid w:val="0085472F"/>
    <w:rsid w:val="00854761"/>
    <w:rsid w:val="00854C66"/>
    <w:rsid w:val="0085571C"/>
    <w:rsid w:val="00855F7E"/>
    <w:rsid w:val="0085753E"/>
    <w:rsid w:val="008579F8"/>
    <w:rsid w:val="00857D89"/>
    <w:rsid w:val="00860E17"/>
    <w:rsid w:val="00861600"/>
    <w:rsid w:val="00861914"/>
    <w:rsid w:val="008625A8"/>
    <w:rsid w:val="00864AFB"/>
    <w:rsid w:val="00864FAC"/>
    <w:rsid w:val="00866D39"/>
    <w:rsid w:val="00866F1D"/>
    <w:rsid w:val="0086744D"/>
    <w:rsid w:val="00867C6E"/>
    <w:rsid w:val="00870919"/>
    <w:rsid w:val="00870E37"/>
    <w:rsid w:val="0087256B"/>
    <w:rsid w:val="00872B16"/>
    <w:rsid w:val="00872E9D"/>
    <w:rsid w:val="008741F5"/>
    <w:rsid w:val="0087423A"/>
    <w:rsid w:val="0087589B"/>
    <w:rsid w:val="00875A83"/>
    <w:rsid w:val="008761BC"/>
    <w:rsid w:val="008764C6"/>
    <w:rsid w:val="00877018"/>
    <w:rsid w:val="00880E79"/>
    <w:rsid w:val="0088380B"/>
    <w:rsid w:val="0088381A"/>
    <w:rsid w:val="00884231"/>
    <w:rsid w:val="00890C7C"/>
    <w:rsid w:val="008914B0"/>
    <w:rsid w:val="00891F91"/>
    <w:rsid w:val="00892D66"/>
    <w:rsid w:val="00893389"/>
    <w:rsid w:val="008937EB"/>
    <w:rsid w:val="00893872"/>
    <w:rsid w:val="0089388F"/>
    <w:rsid w:val="00893DDC"/>
    <w:rsid w:val="00894E76"/>
    <w:rsid w:val="008960E0"/>
    <w:rsid w:val="00896922"/>
    <w:rsid w:val="00896C9E"/>
    <w:rsid w:val="00896CDE"/>
    <w:rsid w:val="008A0D34"/>
    <w:rsid w:val="008A6980"/>
    <w:rsid w:val="008A7087"/>
    <w:rsid w:val="008A77CD"/>
    <w:rsid w:val="008B01AB"/>
    <w:rsid w:val="008B1AD0"/>
    <w:rsid w:val="008B2EFC"/>
    <w:rsid w:val="008B6364"/>
    <w:rsid w:val="008B6AC3"/>
    <w:rsid w:val="008B6CC8"/>
    <w:rsid w:val="008B720E"/>
    <w:rsid w:val="008B7386"/>
    <w:rsid w:val="008B7D7D"/>
    <w:rsid w:val="008C028D"/>
    <w:rsid w:val="008C0ACC"/>
    <w:rsid w:val="008C0E47"/>
    <w:rsid w:val="008C3A4F"/>
    <w:rsid w:val="008C4B9D"/>
    <w:rsid w:val="008C594B"/>
    <w:rsid w:val="008C68CC"/>
    <w:rsid w:val="008D131D"/>
    <w:rsid w:val="008D1713"/>
    <w:rsid w:val="008D1793"/>
    <w:rsid w:val="008D2163"/>
    <w:rsid w:val="008D3450"/>
    <w:rsid w:val="008D3730"/>
    <w:rsid w:val="008D3F24"/>
    <w:rsid w:val="008D4BD7"/>
    <w:rsid w:val="008D4C69"/>
    <w:rsid w:val="008D4EAF"/>
    <w:rsid w:val="008D5108"/>
    <w:rsid w:val="008E040E"/>
    <w:rsid w:val="008E09C0"/>
    <w:rsid w:val="008E10F8"/>
    <w:rsid w:val="008E13E2"/>
    <w:rsid w:val="008E3CB6"/>
    <w:rsid w:val="008E4325"/>
    <w:rsid w:val="008E6907"/>
    <w:rsid w:val="008E6971"/>
    <w:rsid w:val="008E6B8C"/>
    <w:rsid w:val="008E6C68"/>
    <w:rsid w:val="008E7801"/>
    <w:rsid w:val="008F108B"/>
    <w:rsid w:val="008F134D"/>
    <w:rsid w:val="008F2B29"/>
    <w:rsid w:val="008F2F70"/>
    <w:rsid w:val="008F3131"/>
    <w:rsid w:val="008F3149"/>
    <w:rsid w:val="008F51D3"/>
    <w:rsid w:val="008F6AFA"/>
    <w:rsid w:val="009004E6"/>
    <w:rsid w:val="00900EAE"/>
    <w:rsid w:val="00901C72"/>
    <w:rsid w:val="00901DE1"/>
    <w:rsid w:val="0090276E"/>
    <w:rsid w:val="00902E9D"/>
    <w:rsid w:val="00903080"/>
    <w:rsid w:val="00905990"/>
    <w:rsid w:val="00906066"/>
    <w:rsid w:val="0090684C"/>
    <w:rsid w:val="009070DE"/>
    <w:rsid w:val="00907A72"/>
    <w:rsid w:val="0091205E"/>
    <w:rsid w:val="009122A4"/>
    <w:rsid w:val="00912828"/>
    <w:rsid w:val="009134B7"/>
    <w:rsid w:val="00913A72"/>
    <w:rsid w:val="00913EF8"/>
    <w:rsid w:val="009172A1"/>
    <w:rsid w:val="009172AF"/>
    <w:rsid w:val="0091779E"/>
    <w:rsid w:val="00917986"/>
    <w:rsid w:val="00920245"/>
    <w:rsid w:val="00921AA4"/>
    <w:rsid w:val="00922124"/>
    <w:rsid w:val="00922E70"/>
    <w:rsid w:val="00923A12"/>
    <w:rsid w:val="009245D0"/>
    <w:rsid w:val="009246D0"/>
    <w:rsid w:val="00924D01"/>
    <w:rsid w:val="009250AB"/>
    <w:rsid w:val="00925130"/>
    <w:rsid w:val="00925346"/>
    <w:rsid w:val="0092600C"/>
    <w:rsid w:val="00926B6D"/>
    <w:rsid w:val="0092771A"/>
    <w:rsid w:val="0093217D"/>
    <w:rsid w:val="00932259"/>
    <w:rsid w:val="00935506"/>
    <w:rsid w:val="00935804"/>
    <w:rsid w:val="00936FA6"/>
    <w:rsid w:val="00937FA9"/>
    <w:rsid w:val="00940A32"/>
    <w:rsid w:val="00940F46"/>
    <w:rsid w:val="009411B4"/>
    <w:rsid w:val="009415E8"/>
    <w:rsid w:val="009425C0"/>
    <w:rsid w:val="00942E63"/>
    <w:rsid w:val="00944E7A"/>
    <w:rsid w:val="00945460"/>
    <w:rsid w:val="00945F8D"/>
    <w:rsid w:val="0094657F"/>
    <w:rsid w:val="00946F1D"/>
    <w:rsid w:val="00947456"/>
    <w:rsid w:val="00947AFA"/>
    <w:rsid w:val="0095011D"/>
    <w:rsid w:val="00950A25"/>
    <w:rsid w:val="00950A8F"/>
    <w:rsid w:val="00951440"/>
    <w:rsid w:val="00952364"/>
    <w:rsid w:val="009527B6"/>
    <w:rsid w:val="00952DDE"/>
    <w:rsid w:val="0095303D"/>
    <w:rsid w:val="00953270"/>
    <w:rsid w:val="009537B5"/>
    <w:rsid w:val="0095383E"/>
    <w:rsid w:val="00953E70"/>
    <w:rsid w:val="00953FA6"/>
    <w:rsid w:val="00955972"/>
    <w:rsid w:val="00956D4D"/>
    <w:rsid w:val="00957135"/>
    <w:rsid w:val="0095729E"/>
    <w:rsid w:val="009572FB"/>
    <w:rsid w:val="00960372"/>
    <w:rsid w:val="00960AAC"/>
    <w:rsid w:val="009619E2"/>
    <w:rsid w:val="00963907"/>
    <w:rsid w:val="0096395C"/>
    <w:rsid w:val="00963A94"/>
    <w:rsid w:val="00964D24"/>
    <w:rsid w:val="009659F2"/>
    <w:rsid w:val="00965EC8"/>
    <w:rsid w:val="00966520"/>
    <w:rsid w:val="00966B84"/>
    <w:rsid w:val="0096764D"/>
    <w:rsid w:val="00967A83"/>
    <w:rsid w:val="0097018C"/>
    <w:rsid w:val="00972482"/>
    <w:rsid w:val="00972502"/>
    <w:rsid w:val="00973899"/>
    <w:rsid w:val="009741E2"/>
    <w:rsid w:val="009751A6"/>
    <w:rsid w:val="0097551E"/>
    <w:rsid w:val="009758CC"/>
    <w:rsid w:val="009763F1"/>
    <w:rsid w:val="0098076F"/>
    <w:rsid w:val="00981408"/>
    <w:rsid w:val="00981689"/>
    <w:rsid w:val="009828FA"/>
    <w:rsid w:val="009829B1"/>
    <w:rsid w:val="009845D5"/>
    <w:rsid w:val="00987D2E"/>
    <w:rsid w:val="00990196"/>
    <w:rsid w:val="00990746"/>
    <w:rsid w:val="009908C3"/>
    <w:rsid w:val="00990EC2"/>
    <w:rsid w:val="00991485"/>
    <w:rsid w:val="009916E1"/>
    <w:rsid w:val="009923AA"/>
    <w:rsid w:val="00993394"/>
    <w:rsid w:val="009936A5"/>
    <w:rsid w:val="0099495E"/>
    <w:rsid w:val="00997D8D"/>
    <w:rsid w:val="009A060C"/>
    <w:rsid w:val="009A0900"/>
    <w:rsid w:val="009A372B"/>
    <w:rsid w:val="009A38E3"/>
    <w:rsid w:val="009A4879"/>
    <w:rsid w:val="009A5261"/>
    <w:rsid w:val="009A5319"/>
    <w:rsid w:val="009A617F"/>
    <w:rsid w:val="009A627E"/>
    <w:rsid w:val="009A7227"/>
    <w:rsid w:val="009A78FB"/>
    <w:rsid w:val="009B08E5"/>
    <w:rsid w:val="009B0CA9"/>
    <w:rsid w:val="009B1370"/>
    <w:rsid w:val="009B1860"/>
    <w:rsid w:val="009B285E"/>
    <w:rsid w:val="009B2B62"/>
    <w:rsid w:val="009B39F0"/>
    <w:rsid w:val="009B4BB3"/>
    <w:rsid w:val="009B5230"/>
    <w:rsid w:val="009B566D"/>
    <w:rsid w:val="009B57DE"/>
    <w:rsid w:val="009B581B"/>
    <w:rsid w:val="009B7864"/>
    <w:rsid w:val="009C0B12"/>
    <w:rsid w:val="009C0D25"/>
    <w:rsid w:val="009C29CF"/>
    <w:rsid w:val="009C3AEC"/>
    <w:rsid w:val="009C3C57"/>
    <w:rsid w:val="009C3E56"/>
    <w:rsid w:val="009C418A"/>
    <w:rsid w:val="009C4456"/>
    <w:rsid w:val="009C4FE5"/>
    <w:rsid w:val="009C5C4C"/>
    <w:rsid w:val="009C62C9"/>
    <w:rsid w:val="009C7ACE"/>
    <w:rsid w:val="009D0139"/>
    <w:rsid w:val="009D1B43"/>
    <w:rsid w:val="009D1C34"/>
    <w:rsid w:val="009D29EA"/>
    <w:rsid w:val="009D2DEE"/>
    <w:rsid w:val="009D3645"/>
    <w:rsid w:val="009D3A83"/>
    <w:rsid w:val="009D4E82"/>
    <w:rsid w:val="009D67FB"/>
    <w:rsid w:val="009D68F7"/>
    <w:rsid w:val="009D6CDB"/>
    <w:rsid w:val="009D7FAA"/>
    <w:rsid w:val="009E2055"/>
    <w:rsid w:val="009E2AB4"/>
    <w:rsid w:val="009E3628"/>
    <w:rsid w:val="009E42CD"/>
    <w:rsid w:val="009E442A"/>
    <w:rsid w:val="009E4C65"/>
    <w:rsid w:val="009E4F66"/>
    <w:rsid w:val="009E7200"/>
    <w:rsid w:val="009F129E"/>
    <w:rsid w:val="009F1FF2"/>
    <w:rsid w:val="009F2377"/>
    <w:rsid w:val="009F4554"/>
    <w:rsid w:val="009F4D6F"/>
    <w:rsid w:val="009F5CDC"/>
    <w:rsid w:val="009F639A"/>
    <w:rsid w:val="009F678B"/>
    <w:rsid w:val="009F750D"/>
    <w:rsid w:val="00A0160F"/>
    <w:rsid w:val="00A016CF"/>
    <w:rsid w:val="00A01F3E"/>
    <w:rsid w:val="00A026D0"/>
    <w:rsid w:val="00A028CF"/>
    <w:rsid w:val="00A03082"/>
    <w:rsid w:val="00A03F2E"/>
    <w:rsid w:val="00A04431"/>
    <w:rsid w:val="00A04933"/>
    <w:rsid w:val="00A04E75"/>
    <w:rsid w:val="00A05B13"/>
    <w:rsid w:val="00A071AB"/>
    <w:rsid w:val="00A076E9"/>
    <w:rsid w:val="00A07D3D"/>
    <w:rsid w:val="00A11A9E"/>
    <w:rsid w:val="00A11E52"/>
    <w:rsid w:val="00A130D1"/>
    <w:rsid w:val="00A13E84"/>
    <w:rsid w:val="00A14ABA"/>
    <w:rsid w:val="00A16991"/>
    <w:rsid w:val="00A17292"/>
    <w:rsid w:val="00A20479"/>
    <w:rsid w:val="00A212B5"/>
    <w:rsid w:val="00A23459"/>
    <w:rsid w:val="00A250DE"/>
    <w:rsid w:val="00A252F6"/>
    <w:rsid w:val="00A25601"/>
    <w:rsid w:val="00A2635D"/>
    <w:rsid w:val="00A2670E"/>
    <w:rsid w:val="00A316B0"/>
    <w:rsid w:val="00A32D95"/>
    <w:rsid w:val="00A33A3C"/>
    <w:rsid w:val="00A34618"/>
    <w:rsid w:val="00A34FDC"/>
    <w:rsid w:val="00A3526A"/>
    <w:rsid w:val="00A40131"/>
    <w:rsid w:val="00A4034F"/>
    <w:rsid w:val="00A4230D"/>
    <w:rsid w:val="00A42364"/>
    <w:rsid w:val="00A445BA"/>
    <w:rsid w:val="00A454B2"/>
    <w:rsid w:val="00A45E7C"/>
    <w:rsid w:val="00A46BF6"/>
    <w:rsid w:val="00A50D41"/>
    <w:rsid w:val="00A515B2"/>
    <w:rsid w:val="00A519A7"/>
    <w:rsid w:val="00A525E0"/>
    <w:rsid w:val="00A5265A"/>
    <w:rsid w:val="00A531AB"/>
    <w:rsid w:val="00A537EB"/>
    <w:rsid w:val="00A547A6"/>
    <w:rsid w:val="00A54A9C"/>
    <w:rsid w:val="00A563D5"/>
    <w:rsid w:val="00A57393"/>
    <w:rsid w:val="00A57E91"/>
    <w:rsid w:val="00A57EEC"/>
    <w:rsid w:val="00A605C8"/>
    <w:rsid w:val="00A61B23"/>
    <w:rsid w:val="00A620F6"/>
    <w:rsid w:val="00A62A67"/>
    <w:rsid w:val="00A634CE"/>
    <w:rsid w:val="00A64389"/>
    <w:rsid w:val="00A64BDA"/>
    <w:rsid w:val="00A657D9"/>
    <w:rsid w:val="00A67097"/>
    <w:rsid w:val="00A701E4"/>
    <w:rsid w:val="00A70FFB"/>
    <w:rsid w:val="00A71CBD"/>
    <w:rsid w:val="00A72333"/>
    <w:rsid w:val="00A73098"/>
    <w:rsid w:val="00A73DEA"/>
    <w:rsid w:val="00A750E2"/>
    <w:rsid w:val="00A775CF"/>
    <w:rsid w:val="00A804F3"/>
    <w:rsid w:val="00A80DE8"/>
    <w:rsid w:val="00A82C7F"/>
    <w:rsid w:val="00A84386"/>
    <w:rsid w:val="00A86446"/>
    <w:rsid w:val="00A8727A"/>
    <w:rsid w:val="00A90F82"/>
    <w:rsid w:val="00A914F2"/>
    <w:rsid w:val="00A9246C"/>
    <w:rsid w:val="00A92B2C"/>
    <w:rsid w:val="00A95483"/>
    <w:rsid w:val="00A9563E"/>
    <w:rsid w:val="00AA05C7"/>
    <w:rsid w:val="00AA08BA"/>
    <w:rsid w:val="00AA183E"/>
    <w:rsid w:val="00AA1B38"/>
    <w:rsid w:val="00AA1BE2"/>
    <w:rsid w:val="00AA2060"/>
    <w:rsid w:val="00AA26AC"/>
    <w:rsid w:val="00AA2929"/>
    <w:rsid w:val="00AA2F68"/>
    <w:rsid w:val="00AA506C"/>
    <w:rsid w:val="00AA5CA5"/>
    <w:rsid w:val="00AA625E"/>
    <w:rsid w:val="00AB1661"/>
    <w:rsid w:val="00AB2B18"/>
    <w:rsid w:val="00AB2CB7"/>
    <w:rsid w:val="00AB405A"/>
    <w:rsid w:val="00AB48B7"/>
    <w:rsid w:val="00AB4A20"/>
    <w:rsid w:val="00AB4FF5"/>
    <w:rsid w:val="00AB6388"/>
    <w:rsid w:val="00AB6633"/>
    <w:rsid w:val="00AB67D6"/>
    <w:rsid w:val="00AC0424"/>
    <w:rsid w:val="00AC0CAA"/>
    <w:rsid w:val="00AC18FF"/>
    <w:rsid w:val="00AC26AB"/>
    <w:rsid w:val="00AC2E54"/>
    <w:rsid w:val="00AC30B5"/>
    <w:rsid w:val="00AC3BF9"/>
    <w:rsid w:val="00AC559E"/>
    <w:rsid w:val="00AC60B5"/>
    <w:rsid w:val="00AD0579"/>
    <w:rsid w:val="00AD16C5"/>
    <w:rsid w:val="00AD2FD3"/>
    <w:rsid w:val="00AD48F3"/>
    <w:rsid w:val="00AD4AC1"/>
    <w:rsid w:val="00AD5073"/>
    <w:rsid w:val="00AD54BD"/>
    <w:rsid w:val="00AD5C4F"/>
    <w:rsid w:val="00AD5D43"/>
    <w:rsid w:val="00AE06F8"/>
    <w:rsid w:val="00AE1080"/>
    <w:rsid w:val="00AE14C3"/>
    <w:rsid w:val="00AE2A34"/>
    <w:rsid w:val="00AE3A01"/>
    <w:rsid w:val="00AE3DD7"/>
    <w:rsid w:val="00AE3F6A"/>
    <w:rsid w:val="00AE593D"/>
    <w:rsid w:val="00AE65AF"/>
    <w:rsid w:val="00AF09FE"/>
    <w:rsid w:val="00AF35BD"/>
    <w:rsid w:val="00AF5CED"/>
    <w:rsid w:val="00AF6A23"/>
    <w:rsid w:val="00B0035E"/>
    <w:rsid w:val="00B02D1C"/>
    <w:rsid w:val="00B036B4"/>
    <w:rsid w:val="00B039E0"/>
    <w:rsid w:val="00B04706"/>
    <w:rsid w:val="00B0473F"/>
    <w:rsid w:val="00B05FBE"/>
    <w:rsid w:val="00B06045"/>
    <w:rsid w:val="00B12138"/>
    <w:rsid w:val="00B1225F"/>
    <w:rsid w:val="00B126D0"/>
    <w:rsid w:val="00B14D6D"/>
    <w:rsid w:val="00B15804"/>
    <w:rsid w:val="00B162E6"/>
    <w:rsid w:val="00B1630B"/>
    <w:rsid w:val="00B20AA9"/>
    <w:rsid w:val="00B21501"/>
    <w:rsid w:val="00B215AC"/>
    <w:rsid w:val="00B22C15"/>
    <w:rsid w:val="00B25993"/>
    <w:rsid w:val="00B25DB5"/>
    <w:rsid w:val="00B27038"/>
    <w:rsid w:val="00B30511"/>
    <w:rsid w:val="00B31514"/>
    <w:rsid w:val="00B31763"/>
    <w:rsid w:val="00B31E50"/>
    <w:rsid w:val="00B33503"/>
    <w:rsid w:val="00B346AD"/>
    <w:rsid w:val="00B34FFA"/>
    <w:rsid w:val="00B35DB8"/>
    <w:rsid w:val="00B35E49"/>
    <w:rsid w:val="00B3604A"/>
    <w:rsid w:val="00B36336"/>
    <w:rsid w:val="00B37712"/>
    <w:rsid w:val="00B429EA"/>
    <w:rsid w:val="00B43212"/>
    <w:rsid w:val="00B433F9"/>
    <w:rsid w:val="00B43512"/>
    <w:rsid w:val="00B443D5"/>
    <w:rsid w:val="00B45250"/>
    <w:rsid w:val="00B45A1D"/>
    <w:rsid w:val="00B51248"/>
    <w:rsid w:val="00B51BA2"/>
    <w:rsid w:val="00B52116"/>
    <w:rsid w:val="00B53D1D"/>
    <w:rsid w:val="00B55691"/>
    <w:rsid w:val="00B55EC0"/>
    <w:rsid w:val="00B56856"/>
    <w:rsid w:val="00B573BB"/>
    <w:rsid w:val="00B57C36"/>
    <w:rsid w:val="00B57EEA"/>
    <w:rsid w:val="00B60595"/>
    <w:rsid w:val="00B607B9"/>
    <w:rsid w:val="00B60E4B"/>
    <w:rsid w:val="00B6108F"/>
    <w:rsid w:val="00B617A1"/>
    <w:rsid w:val="00B628F5"/>
    <w:rsid w:val="00B64028"/>
    <w:rsid w:val="00B64943"/>
    <w:rsid w:val="00B670D3"/>
    <w:rsid w:val="00B6716D"/>
    <w:rsid w:val="00B70066"/>
    <w:rsid w:val="00B700B1"/>
    <w:rsid w:val="00B70C35"/>
    <w:rsid w:val="00B70EFC"/>
    <w:rsid w:val="00B72298"/>
    <w:rsid w:val="00B7242C"/>
    <w:rsid w:val="00B72679"/>
    <w:rsid w:val="00B7299A"/>
    <w:rsid w:val="00B72A1B"/>
    <w:rsid w:val="00B73DF0"/>
    <w:rsid w:val="00B74E70"/>
    <w:rsid w:val="00B75069"/>
    <w:rsid w:val="00B754A1"/>
    <w:rsid w:val="00B76040"/>
    <w:rsid w:val="00B76845"/>
    <w:rsid w:val="00B76CD1"/>
    <w:rsid w:val="00B7743A"/>
    <w:rsid w:val="00B7787D"/>
    <w:rsid w:val="00B80DE1"/>
    <w:rsid w:val="00B82FB4"/>
    <w:rsid w:val="00B83398"/>
    <w:rsid w:val="00B83CC4"/>
    <w:rsid w:val="00B849FE"/>
    <w:rsid w:val="00B85F97"/>
    <w:rsid w:val="00B903E5"/>
    <w:rsid w:val="00B9187D"/>
    <w:rsid w:val="00B91D85"/>
    <w:rsid w:val="00B91ED5"/>
    <w:rsid w:val="00B92C6C"/>
    <w:rsid w:val="00B93082"/>
    <w:rsid w:val="00B9519F"/>
    <w:rsid w:val="00B972AE"/>
    <w:rsid w:val="00BA1843"/>
    <w:rsid w:val="00BA2934"/>
    <w:rsid w:val="00BA35EB"/>
    <w:rsid w:val="00BA6E42"/>
    <w:rsid w:val="00BA740C"/>
    <w:rsid w:val="00BA78BC"/>
    <w:rsid w:val="00BA7D4B"/>
    <w:rsid w:val="00BB0070"/>
    <w:rsid w:val="00BB08F9"/>
    <w:rsid w:val="00BB0AFD"/>
    <w:rsid w:val="00BB0D37"/>
    <w:rsid w:val="00BB2BB7"/>
    <w:rsid w:val="00BB39B7"/>
    <w:rsid w:val="00BB3AF1"/>
    <w:rsid w:val="00BB403F"/>
    <w:rsid w:val="00BB438D"/>
    <w:rsid w:val="00BB4ECE"/>
    <w:rsid w:val="00BB55A9"/>
    <w:rsid w:val="00BB569C"/>
    <w:rsid w:val="00BB57E0"/>
    <w:rsid w:val="00BB5E65"/>
    <w:rsid w:val="00BB6241"/>
    <w:rsid w:val="00BC08B5"/>
    <w:rsid w:val="00BC21AB"/>
    <w:rsid w:val="00BC23F2"/>
    <w:rsid w:val="00BC4827"/>
    <w:rsid w:val="00BC4DB1"/>
    <w:rsid w:val="00BC5E8B"/>
    <w:rsid w:val="00BC6144"/>
    <w:rsid w:val="00BC73AF"/>
    <w:rsid w:val="00BD1D6B"/>
    <w:rsid w:val="00BD29D2"/>
    <w:rsid w:val="00BD2DAB"/>
    <w:rsid w:val="00BD3641"/>
    <w:rsid w:val="00BD4F4E"/>
    <w:rsid w:val="00BD5357"/>
    <w:rsid w:val="00BD60C2"/>
    <w:rsid w:val="00BD636E"/>
    <w:rsid w:val="00BD7398"/>
    <w:rsid w:val="00BD7CD2"/>
    <w:rsid w:val="00BE03F2"/>
    <w:rsid w:val="00BE1506"/>
    <w:rsid w:val="00BE2091"/>
    <w:rsid w:val="00BE2E31"/>
    <w:rsid w:val="00BE2E4C"/>
    <w:rsid w:val="00BE588D"/>
    <w:rsid w:val="00BE5DF7"/>
    <w:rsid w:val="00BE5F46"/>
    <w:rsid w:val="00BE71A6"/>
    <w:rsid w:val="00BE7454"/>
    <w:rsid w:val="00BE7C6C"/>
    <w:rsid w:val="00BF0A82"/>
    <w:rsid w:val="00BF0FC0"/>
    <w:rsid w:val="00BF431A"/>
    <w:rsid w:val="00BF5244"/>
    <w:rsid w:val="00BF5C97"/>
    <w:rsid w:val="00BF68DA"/>
    <w:rsid w:val="00C01192"/>
    <w:rsid w:val="00C030D5"/>
    <w:rsid w:val="00C0310F"/>
    <w:rsid w:val="00C03214"/>
    <w:rsid w:val="00C033B1"/>
    <w:rsid w:val="00C0444D"/>
    <w:rsid w:val="00C04C7F"/>
    <w:rsid w:val="00C05423"/>
    <w:rsid w:val="00C05893"/>
    <w:rsid w:val="00C07B9B"/>
    <w:rsid w:val="00C1004C"/>
    <w:rsid w:val="00C10743"/>
    <w:rsid w:val="00C109B5"/>
    <w:rsid w:val="00C10C3F"/>
    <w:rsid w:val="00C11AA8"/>
    <w:rsid w:val="00C12CDA"/>
    <w:rsid w:val="00C130B1"/>
    <w:rsid w:val="00C152D1"/>
    <w:rsid w:val="00C15BA6"/>
    <w:rsid w:val="00C15CED"/>
    <w:rsid w:val="00C15E1C"/>
    <w:rsid w:val="00C16CD0"/>
    <w:rsid w:val="00C1704B"/>
    <w:rsid w:val="00C17666"/>
    <w:rsid w:val="00C17C0F"/>
    <w:rsid w:val="00C206D6"/>
    <w:rsid w:val="00C218AC"/>
    <w:rsid w:val="00C22A21"/>
    <w:rsid w:val="00C23798"/>
    <w:rsid w:val="00C25A60"/>
    <w:rsid w:val="00C27119"/>
    <w:rsid w:val="00C2762D"/>
    <w:rsid w:val="00C27673"/>
    <w:rsid w:val="00C30099"/>
    <w:rsid w:val="00C30277"/>
    <w:rsid w:val="00C304EA"/>
    <w:rsid w:val="00C32042"/>
    <w:rsid w:val="00C32E97"/>
    <w:rsid w:val="00C35383"/>
    <w:rsid w:val="00C35A27"/>
    <w:rsid w:val="00C35DDA"/>
    <w:rsid w:val="00C36AA9"/>
    <w:rsid w:val="00C376D4"/>
    <w:rsid w:val="00C37F03"/>
    <w:rsid w:val="00C40B75"/>
    <w:rsid w:val="00C4553E"/>
    <w:rsid w:val="00C4749B"/>
    <w:rsid w:val="00C50139"/>
    <w:rsid w:val="00C50BD5"/>
    <w:rsid w:val="00C50E82"/>
    <w:rsid w:val="00C51D18"/>
    <w:rsid w:val="00C52D25"/>
    <w:rsid w:val="00C53175"/>
    <w:rsid w:val="00C532F3"/>
    <w:rsid w:val="00C53461"/>
    <w:rsid w:val="00C538E4"/>
    <w:rsid w:val="00C53919"/>
    <w:rsid w:val="00C53B41"/>
    <w:rsid w:val="00C548D7"/>
    <w:rsid w:val="00C54D1C"/>
    <w:rsid w:val="00C55ED1"/>
    <w:rsid w:val="00C563A8"/>
    <w:rsid w:val="00C57869"/>
    <w:rsid w:val="00C610B6"/>
    <w:rsid w:val="00C611B3"/>
    <w:rsid w:val="00C61FA0"/>
    <w:rsid w:val="00C624C0"/>
    <w:rsid w:val="00C631A4"/>
    <w:rsid w:val="00C65C4E"/>
    <w:rsid w:val="00C70887"/>
    <w:rsid w:val="00C71B43"/>
    <w:rsid w:val="00C7695C"/>
    <w:rsid w:val="00C771DF"/>
    <w:rsid w:val="00C804C7"/>
    <w:rsid w:val="00C80E85"/>
    <w:rsid w:val="00C81443"/>
    <w:rsid w:val="00C815DD"/>
    <w:rsid w:val="00C81CDB"/>
    <w:rsid w:val="00C82052"/>
    <w:rsid w:val="00C824B5"/>
    <w:rsid w:val="00C8331A"/>
    <w:rsid w:val="00C84EFA"/>
    <w:rsid w:val="00C856FA"/>
    <w:rsid w:val="00C85B8D"/>
    <w:rsid w:val="00C860D9"/>
    <w:rsid w:val="00C878BC"/>
    <w:rsid w:val="00C90313"/>
    <w:rsid w:val="00C908D8"/>
    <w:rsid w:val="00C91A5D"/>
    <w:rsid w:val="00C93305"/>
    <w:rsid w:val="00C93CB7"/>
    <w:rsid w:val="00C94F22"/>
    <w:rsid w:val="00C95165"/>
    <w:rsid w:val="00C966BA"/>
    <w:rsid w:val="00C97B24"/>
    <w:rsid w:val="00CA048B"/>
    <w:rsid w:val="00CA048C"/>
    <w:rsid w:val="00CA13DB"/>
    <w:rsid w:val="00CA28C1"/>
    <w:rsid w:val="00CA575A"/>
    <w:rsid w:val="00CA5830"/>
    <w:rsid w:val="00CA67E3"/>
    <w:rsid w:val="00CA6E30"/>
    <w:rsid w:val="00CA6F8E"/>
    <w:rsid w:val="00CA7357"/>
    <w:rsid w:val="00CA74BD"/>
    <w:rsid w:val="00CA7FED"/>
    <w:rsid w:val="00CB22F3"/>
    <w:rsid w:val="00CB2E47"/>
    <w:rsid w:val="00CB39E7"/>
    <w:rsid w:val="00CB45F3"/>
    <w:rsid w:val="00CB6FBB"/>
    <w:rsid w:val="00CB753A"/>
    <w:rsid w:val="00CC15D4"/>
    <w:rsid w:val="00CC1D54"/>
    <w:rsid w:val="00CC2125"/>
    <w:rsid w:val="00CC2875"/>
    <w:rsid w:val="00CC63AE"/>
    <w:rsid w:val="00CD0F70"/>
    <w:rsid w:val="00CD18EC"/>
    <w:rsid w:val="00CD2269"/>
    <w:rsid w:val="00CD226F"/>
    <w:rsid w:val="00CD2A8E"/>
    <w:rsid w:val="00CD362E"/>
    <w:rsid w:val="00CD484B"/>
    <w:rsid w:val="00CD631C"/>
    <w:rsid w:val="00CD7F63"/>
    <w:rsid w:val="00CE050C"/>
    <w:rsid w:val="00CE06A9"/>
    <w:rsid w:val="00CE119E"/>
    <w:rsid w:val="00CE12C0"/>
    <w:rsid w:val="00CE1353"/>
    <w:rsid w:val="00CE18FF"/>
    <w:rsid w:val="00CE23BF"/>
    <w:rsid w:val="00CE4A2C"/>
    <w:rsid w:val="00CE4E84"/>
    <w:rsid w:val="00CE650F"/>
    <w:rsid w:val="00CE65A6"/>
    <w:rsid w:val="00CE7DC7"/>
    <w:rsid w:val="00CF160C"/>
    <w:rsid w:val="00CF190E"/>
    <w:rsid w:val="00CF22C2"/>
    <w:rsid w:val="00CF23BA"/>
    <w:rsid w:val="00CF330A"/>
    <w:rsid w:val="00CF36CC"/>
    <w:rsid w:val="00CF3A3E"/>
    <w:rsid w:val="00CF653C"/>
    <w:rsid w:val="00CF67A4"/>
    <w:rsid w:val="00CF76A1"/>
    <w:rsid w:val="00CF7C88"/>
    <w:rsid w:val="00D004C2"/>
    <w:rsid w:val="00D016DE"/>
    <w:rsid w:val="00D02002"/>
    <w:rsid w:val="00D0221D"/>
    <w:rsid w:val="00D02E7B"/>
    <w:rsid w:val="00D032D0"/>
    <w:rsid w:val="00D05FB9"/>
    <w:rsid w:val="00D10FA0"/>
    <w:rsid w:val="00D11CA8"/>
    <w:rsid w:val="00D12926"/>
    <w:rsid w:val="00D1427E"/>
    <w:rsid w:val="00D14549"/>
    <w:rsid w:val="00D155E4"/>
    <w:rsid w:val="00D156C9"/>
    <w:rsid w:val="00D1724E"/>
    <w:rsid w:val="00D1751A"/>
    <w:rsid w:val="00D17556"/>
    <w:rsid w:val="00D177A6"/>
    <w:rsid w:val="00D178B4"/>
    <w:rsid w:val="00D213DD"/>
    <w:rsid w:val="00D21662"/>
    <w:rsid w:val="00D222CE"/>
    <w:rsid w:val="00D222FC"/>
    <w:rsid w:val="00D22438"/>
    <w:rsid w:val="00D247BF"/>
    <w:rsid w:val="00D2519F"/>
    <w:rsid w:val="00D25B6D"/>
    <w:rsid w:val="00D30DDF"/>
    <w:rsid w:val="00D3117F"/>
    <w:rsid w:val="00D31C9A"/>
    <w:rsid w:val="00D3225B"/>
    <w:rsid w:val="00D331B3"/>
    <w:rsid w:val="00D33FDB"/>
    <w:rsid w:val="00D34C0F"/>
    <w:rsid w:val="00D355A5"/>
    <w:rsid w:val="00D359EC"/>
    <w:rsid w:val="00D35B54"/>
    <w:rsid w:val="00D361D3"/>
    <w:rsid w:val="00D36358"/>
    <w:rsid w:val="00D4053A"/>
    <w:rsid w:val="00D414D7"/>
    <w:rsid w:val="00D41996"/>
    <w:rsid w:val="00D425B6"/>
    <w:rsid w:val="00D4340C"/>
    <w:rsid w:val="00D437A4"/>
    <w:rsid w:val="00D44371"/>
    <w:rsid w:val="00D44EA2"/>
    <w:rsid w:val="00D45C66"/>
    <w:rsid w:val="00D4600D"/>
    <w:rsid w:val="00D469AA"/>
    <w:rsid w:val="00D50BBC"/>
    <w:rsid w:val="00D5148C"/>
    <w:rsid w:val="00D516A3"/>
    <w:rsid w:val="00D52068"/>
    <w:rsid w:val="00D52237"/>
    <w:rsid w:val="00D53EAA"/>
    <w:rsid w:val="00D53F5F"/>
    <w:rsid w:val="00D54159"/>
    <w:rsid w:val="00D57617"/>
    <w:rsid w:val="00D57B66"/>
    <w:rsid w:val="00D57C6A"/>
    <w:rsid w:val="00D610D0"/>
    <w:rsid w:val="00D61AAD"/>
    <w:rsid w:val="00D62B28"/>
    <w:rsid w:val="00D64FA1"/>
    <w:rsid w:val="00D65A85"/>
    <w:rsid w:val="00D705F5"/>
    <w:rsid w:val="00D7097A"/>
    <w:rsid w:val="00D70B26"/>
    <w:rsid w:val="00D71B49"/>
    <w:rsid w:val="00D72DA3"/>
    <w:rsid w:val="00D731CE"/>
    <w:rsid w:val="00D73805"/>
    <w:rsid w:val="00D73A30"/>
    <w:rsid w:val="00D74229"/>
    <w:rsid w:val="00D74E0C"/>
    <w:rsid w:val="00D76C54"/>
    <w:rsid w:val="00D77A37"/>
    <w:rsid w:val="00D800A9"/>
    <w:rsid w:val="00D804AD"/>
    <w:rsid w:val="00D81196"/>
    <w:rsid w:val="00D83369"/>
    <w:rsid w:val="00D833BB"/>
    <w:rsid w:val="00D83C9D"/>
    <w:rsid w:val="00D83FB2"/>
    <w:rsid w:val="00D84098"/>
    <w:rsid w:val="00D847DD"/>
    <w:rsid w:val="00D849D4"/>
    <w:rsid w:val="00D84B7B"/>
    <w:rsid w:val="00D854B8"/>
    <w:rsid w:val="00D857A8"/>
    <w:rsid w:val="00D85B42"/>
    <w:rsid w:val="00D85BF7"/>
    <w:rsid w:val="00D870F2"/>
    <w:rsid w:val="00D906EA"/>
    <w:rsid w:val="00D91037"/>
    <w:rsid w:val="00D910DC"/>
    <w:rsid w:val="00D91E75"/>
    <w:rsid w:val="00D92A11"/>
    <w:rsid w:val="00D93F8E"/>
    <w:rsid w:val="00D9426D"/>
    <w:rsid w:val="00D9542D"/>
    <w:rsid w:val="00D966A5"/>
    <w:rsid w:val="00D96B59"/>
    <w:rsid w:val="00DA0957"/>
    <w:rsid w:val="00DA17F3"/>
    <w:rsid w:val="00DA26B9"/>
    <w:rsid w:val="00DA411C"/>
    <w:rsid w:val="00DA4735"/>
    <w:rsid w:val="00DA54E9"/>
    <w:rsid w:val="00DA67B7"/>
    <w:rsid w:val="00DA6E42"/>
    <w:rsid w:val="00DB1F55"/>
    <w:rsid w:val="00DB1FA4"/>
    <w:rsid w:val="00DB26F4"/>
    <w:rsid w:val="00DB3F1B"/>
    <w:rsid w:val="00DB41A4"/>
    <w:rsid w:val="00DB4287"/>
    <w:rsid w:val="00DB4573"/>
    <w:rsid w:val="00DB4C95"/>
    <w:rsid w:val="00DB5ED4"/>
    <w:rsid w:val="00DB7D0E"/>
    <w:rsid w:val="00DC07E5"/>
    <w:rsid w:val="00DC1712"/>
    <w:rsid w:val="00DC19D5"/>
    <w:rsid w:val="00DC3753"/>
    <w:rsid w:val="00DC49C5"/>
    <w:rsid w:val="00DC4E73"/>
    <w:rsid w:val="00DC4EAC"/>
    <w:rsid w:val="00DC598D"/>
    <w:rsid w:val="00DC5EC2"/>
    <w:rsid w:val="00DC7D16"/>
    <w:rsid w:val="00DC7D93"/>
    <w:rsid w:val="00DC7E9D"/>
    <w:rsid w:val="00DD0AC3"/>
    <w:rsid w:val="00DD12C4"/>
    <w:rsid w:val="00DD2004"/>
    <w:rsid w:val="00DD21FE"/>
    <w:rsid w:val="00DD3B4A"/>
    <w:rsid w:val="00DD51E3"/>
    <w:rsid w:val="00DD5FD0"/>
    <w:rsid w:val="00DD635C"/>
    <w:rsid w:val="00DD70DA"/>
    <w:rsid w:val="00DD77D8"/>
    <w:rsid w:val="00DD7D1F"/>
    <w:rsid w:val="00DE1D85"/>
    <w:rsid w:val="00DE242F"/>
    <w:rsid w:val="00DE31AE"/>
    <w:rsid w:val="00DE3C4D"/>
    <w:rsid w:val="00DE521E"/>
    <w:rsid w:val="00DE5C75"/>
    <w:rsid w:val="00DE704C"/>
    <w:rsid w:val="00DE730B"/>
    <w:rsid w:val="00DE7395"/>
    <w:rsid w:val="00DE78FE"/>
    <w:rsid w:val="00DE7AD0"/>
    <w:rsid w:val="00DE7CA6"/>
    <w:rsid w:val="00DF0AC9"/>
    <w:rsid w:val="00DF0F17"/>
    <w:rsid w:val="00DF13C4"/>
    <w:rsid w:val="00DF1D77"/>
    <w:rsid w:val="00DF2FE6"/>
    <w:rsid w:val="00DF365A"/>
    <w:rsid w:val="00DF48E5"/>
    <w:rsid w:val="00DF4CD2"/>
    <w:rsid w:val="00DF5329"/>
    <w:rsid w:val="00DF5C41"/>
    <w:rsid w:val="00DF70E1"/>
    <w:rsid w:val="00DF7944"/>
    <w:rsid w:val="00DF798D"/>
    <w:rsid w:val="00E01351"/>
    <w:rsid w:val="00E0254F"/>
    <w:rsid w:val="00E02635"/>
    <w:rsid w:val="00E02C2B"/>
    <w:rsid w:val="00E03285"/>
    <w:rsid w:val="00E03BB2"/>
    <w:rsid w:val="00E042D2"/>
    <w:rsid w:val="00E04E84"/>
    <w:rsid w:val="00E064AB"/>
    <w:rsid w:val="00E064CB"/>
    <w:rsid w:val="00E0685B"/>
    <w:rsid w:val="00E06FAB"/>
    <w:rsid w:val="00E07803"/>
    <w:rsid w:val="00E118C4"/>
    <w:rsid w:val="00E11AFB"/>
    <w:rsid w:val="00E11E9B"/>
    <w:rsid w:val="00E12012"/>
    <w:rsid w:val="00E128BA"/>
    <w:rsid w:val="00E13CE4"/>
    <w:rsid w:val="00E14BDE"/>
    <w:rsid w:val="00E14EA9"/>
    <w:rsid w:val="00E15651"/>
    <w:rsid w:val="00E1600E"/>
    <w:rsid w:val="00E20EC5"/>
    <w:rsid w:val="00E21231"/>
    <w:rsid w:val="00E2415B"/>
    <w:rsid w:val="00E25201"/>
    <w:rsid w:val="00E3150F"/>
    <w:rsid w:val="00E32D21"/>
    <w:rsid w:val="00E331AF"/>
    <w:rsid w:val="00E35A5D"/>
    <w:rsid w:val="00E35C26"/>
    <w:rsid w:val="00E360EC"/>
    <w:rsid w:val="00E36197"/>
    <w:rsid w:val="00E37B40"/>
    <w:rsid w:val="00E406AC"/>
    <w:rsid w:val="00E4295D"/>
    <w:rsid w:val="00E436AD"/>
    <w:rsid w:val="00E43A06"/>
    <w:rsid w:val="00E4534C"/>
    <w:rsid w:val="00E4580F"/>
    <w:rsid w:val="00E45C68"/>
    <w:rsid w:val="00E45CA2"/>
    <w:rsid w:val="00E47BF8"/>
    <w:rsid w:val="00E518EA"/>
    <w:rsid w:val="00E51C00"/>
    <w:rsid w:val="00E529B8"/>
    <w:rsid w:val="00E5606F"/>
    <w:rsid w:val="00E579FB"/>
    <w:rsid w:val="00E600FB"/>
    <w:rsid w:val="00E60DCC"/>
    <w:rsid w:val="00E617E4"/>
    <w:rsid w:val="00E61810"/>
    <w:rsid w:val="00E6213A"/>
    <w:rsid w:val="00E62BB6"/>
    <w:rsid w:val="00E62FAA"/>
    <w:rsid w:val="00E63F5C"/>
    <w:rsid w:val="00E640D1"/>
    <w:rsid w:val="00E64F23"/>
    <w:rsid w:val="00E65119"/>
    <w:rsid w:val="00E65DD6"/>
    <w:rsid w:val="00E66428"/>
    <w:rsid w:val="00E66B05"/>
    <w:rsid w:val="00E71C24"/>
    <w:rsid w:val="00E72291"/>
    <w:rsid w:val="00E737D7"/>
    <w:rsid w:val="00E74131"/>
    <w:rsid w:val="00E74801"/>
    <w:rsid w:val="00E74E0C"/>
    <w:rsid w:val="00E771F5"/>
    <w:rsid w:val="00E7773D"/>
    <w:rsid w:val="00E80D93"/>
    <w:rsid w:val="00E826CF"/>
    <w:rsid w:val="00E82E3F"/>
    <w:rsid w:val="00E83D2C"/>
    <w:rsid w:val="00E84B07"/>
    <w:rsid w:val="00E85396"/>
    <w:rsid w:val="00E857F1"/>
    <w:rsid w:val="00E865F9"/>
    <w:rsid w:val="00E86FB5"/>
    <w:rsid w:val="00E87690"/>
    <w:rsid w:val="00E919E1"/>
    <w:rsid w:val="00E92592"/>
    <w:rsid w:val="00E92E8D"/>
    <w:rsid w:val="00E96157"/>
    <w:rsid w:val="00E977DE"/>
    <w:rsid w:val="00E97E53"/>
    <w:rsid w:val="00E97E98"/>
    <w:rsid w:val="00EA0CDD"/>
    <w:rsid w:val="00EA0CE4"/>
    <w:rsid w:val="00EA3D6E"/>
    <w:rsid w:val="00EA5004"/>
    <w:rsid w:val="00EA553D"/>
    <w:rsid w:val="00EA5808"/>
    <w:rsid w:val="00EA69DB"/>
    <w:rsid w:val="00EA6D4B"/>
    <w:rsid w:val="00EA7319"/>
    <w:rsid w:val="00EA73BC"/>
    <w:rsid w:val="00EA796F"/>
    <w:rsid w:val="00EB1CB7"/>
    <w:rsid w:val="00EB1F2D"/>
    <w:rsid w:val="00EB5CDF"/>
    <w:rsid w:val="00EB6315"/>
    <w:rsid w:val="00EB65F5"/>
    <w:rsid w:val="00EB7B5F"/>
    <w:rsid w:val="00EC008A"/>
    <w:rsid w:val="00EC11BD"/>
    <w:rsid w:val="00EC3CFE"/>
    <w:rsid w:val="00EC5141"/>
    <w:rsid w:val="00EC6286"/>
    <w:rsid w:val="00EC794F"/>
    <w:rsid w:val="00EC7F03"/>
    <w:rsid w:val="00ED0124"/>
    <w:rsid w:val="00ED34AD"/>
    <w:rsid w:val="00ED4328"/>
    <w:rsid w:val="00ED44B7"/>
    <w:rsid w:val="00ED4D46"/>
    <w:rsid w:val="00ED4D7A"/>
    <w:rsid w:val="00ED591E"/>
    <w:rsid w:val="00ED6BE8"/>
    <w:rsid w:val="00ED6C48"/>
    <w:rsid w:val="00ED781B"/>
    <w:rsid w:val="00EE1906"/>
    <w:rsid w:val="00EE24D8"/>
    <w:rsid w:val="00EE3094"/>
    <w:rsid w:val="00EE331A"/>
    <w:rsid w:val="00EE39D7"/>
    <w:rsid w:val="00EE4E3A"/>
    <w:rsid w:val="00EE5288"/>
    <w:rsid w:val="00EE52DB"/>
    <w:rsid w:val="00EE5ADC"/>
    <w:rsid w:val="00EF07A3"/>
    <w:rsid w:val="00EF0C07"/>
    <w:rsid w:val="00EF1410"/>
    <w:rsid w:val="00EF2434"/>
    <w:rsid w:val="00EF31E3"/>
    <w:rsid w:val="00EF4282"/>
    <w:rsid w:val="00EF4D49"/>
    <w:rsid w:val="00EF5344"/>
    <w:rsid w:val="00EF74F5"/>
    <w:rsid w:val="00EF7AAA"/>
    <w:rsid w:val="00EF7ACA"/>
    <w:rsid w:val="00F01581"/>
    <w:rsid w:val="00F01B1F"/>
    <w:rsid w:val="00F04A59"/>
    <w:rsid w:val="00F0761C"/>
    <w:rsid w:val="00F07978"/>
    <w:rsid w:val="00F10DFB"/>
    <w:rsid w:val="00F10FEC"/>
    <w:rsid w:val="00F111E3"/>
    <w:rsid w:val="00F11492"/>
    <w:rsid w:val="00F11DAF"/>
    <w:rsid w:val="00F12609"/>
    <w:rsid w:val="00F1266A"/>
    <w:rsid w:val="00F1272D"/>
    <w:rsid w:val="00F12883"/>
    <w:rsid w:val="00F13A35"/>
    <w:rsid w:val="00F156B1"/>
    <w:rsid w:val="00F1603F"/>
    <w:rsid w:val="00F165FD"/>
    <w:rsid w:val="00F20000"/>
    <w:rsid w:val="00F2026F"/>
    <w:rsid w:val="00F20AC1"/>
    <w:rsid w:val="00F20B2A"/>
    <w:rsid w:val="00F22D99"/>
    <w:rsid w:val="00F23E95"/>
    <w:rsid w:val="00F24040"/>
    <w:rsid w:val="00F24EBD"/>
    <w:rsid w:val="00F25D44"/>
    <w:rsid w:val="00F25DF6"/>
    <w:rsid w:val="00F26577"/>
    <w:rsid w:val="00F2691D"/>
    <w:rsid w:val="00F26B8C"/>
    <w:rsid w:val="00F26C42"/>
    <w:rsid w:val="00F26E30"/>
    <w:rsid w:val="00F302A3"/>
    <w:rsid w:val="00F31B0E"/>
    <w:rsid w:val="00F327A5"/>
    <w:rsid w:val="00F344D1"/>
    <w:rsid w:val="00F354A6"/>
    <w:rsid w:val="00F35737"/>
    <w:rsid w:val="00F3740C"/>
    <w:rsid w:val="00F40CA5"/>
    <w:rsid w:val="00F40EC7"/>
    <w:rsid w:val="00F41100"/>
    <w:rsid w:val="00F41F0F"/>
    <w:rsid w:val="00F42335"/>
    <w:rsid w:val="00F42B66"/>
    <w:rsid w:val="00F44BC7"/>
    <w:rsid w:val="00F454B9"/>
    <w:rsid w:val="00F45532"/>
    <w:rsid w:val="00F45571"/>
    <w:rsid w:val="00F45F3F"/>
    <w:rsid w:val="00F47E17"/>
    <w:rsid w:val="00F50914"/>
    <w:rsid w:val="00F5177C"/>
    <w:rsid w:val="00F51D53"/>
    <w:rsid w:val="00F532FD"/>
    <w:rsid w:val="00F54062"/>
    <w:rsid w:val="00F549A5"/>
    <w:rsid w:val="00F5632A"/>
    <w:rsid w:val="00F576AF"/>
    <w:rsid w:val="00F603F4"/>
    <w:rsid w:val="00F6335E"/>
    <w:rsid w:val="00F63630"/>
    <w:rsid w:val="00F63C31"/>
    <w:rsid w:val="00F649A7"/>
    <w:rsid w:val="00F65F5D"/>
    <w:rsid w:val="00F6753D"/>
    <w:rsid w:val="00F7036B"/>
    <w:rsid w:val="00F71F16"/>
    <w:rsid w:val="00F7218D"/>
    <w:rsid w:val="00F73BB5"/>
    <w:rsid w:val="00F74E0B"/>
    <w:rsid w:val="00F76C6A"/>
    <w:rsid w:val="00F80326"/>
    <w:rsid w:val="00F806A4"/>
    <w:rsid w:val="00F82020"/>
    <w:rsid w:val="00F82349"/>
    <w:rsid w:val="00F82A6A"/>
    <w:rsid w:val="00F82C95"/>
    <w:rsid w:val="00F83BEB"/>
    <w:rsid w:val="00F83C7C"/>
    <w:rsid w:val="00F84AF1"/>
    <w:rsid w:val="00F86A3A"/>
    <w:rsid w:val="00F86A4A"/>
    <w:rsid w:val="00F877F0"/>
    <w:rsid w:val="00F87ECC"/>
    <w:rsid w:val="00F900B1"/>
    <w:rsid w:val="00F907E8"/>
    <w:rsid w:val="00F91C5E"/>
    <w:rsid w:val="00F9231B"/>
    <w:rsid w:val="00F938EC"/>
    <w:rsid w:val="00F939B5"/>
    <w:rsid w:val="00F94511"/>
    <w:rsid w:val="00F94C48"/>
    <w:rsid w:val="00F969AA"/>
    <w:rsid w:val="00F96E49"/>
    <w:rsid w:val="00F970CB"/>
    <w:rsid w:val="00F970EA"/>
    <w:rsid w:val="00F9796B"/>
    <w:rsid w:val="00FA0E3E"/>
    <w:rsid w:val="00FA14D2"/>
    <w:rsid w:val="00FA1842"/>
    <w:rsid w:val="00FA44F7"/>
    <w:rsid w:val="00FA4D53"/>
    <w:rsid w:val="00FA5DFC"/>
    <w:rsid w:val="00FA6869"/>
    <w:rsid w:val="00FA7140"/>
    <w:rsid w:val="00FA7A6F"/>
    <w:rsid w:val="00FB078D"/>
    <w:rsid w:val="00FB09DE"/>
    <w:rsid w:val="00FB148F"/>
    <w:rsid w:val="00FB2613"/>
    <w:rsid w:val="00FB4C8C"/>
    <w:rsid w:val="00FB4EEC"/>
    <w:rsid w:val="00FB513F"/>
    <w:rsid w:val="00FB5FE5"/>
    <w:rsid w:val="00FB64AB"/>
    <w:rsid w:val="00FB74E2"/>
    <w:rsid w:val="00FB7C0A"/>
    <w:rsid w:val="00FC0341"/>
    <w:rsid w:val="00FC14C0"/>
    <w:rsid w:val="00FC3123"/>
    <w:rsid w:val="00FC638A"/>
    <w:rsid w:val="00FC67B0"/>
    <w:rsid w:val="00FC7525"/>
    <w:rsid w:val="00FC7B37"/>
    <w:rsid w:val="00FC7C52"/>
    <w:rsid w:val="00FD006E"/>
    <w:rsid w:val="00FD19B4"/>
    <w:rsid w:val="00FD1E9D"/>
    <w:rsid w:val="00FD1EDD"/>
    <w:rsid w:val="00FD25EC"/>
    <w:rsid w:val="00FD28CE"/>
    <w:rsid w:val="00FD353D"/>
    <w:rsid w:val="00FD3E2C"/>
    <w:rsid w:val="00FD5047"/>
    <w:rsid w:val="00FD5449"/>
    <w:rsid w:val="00FD667E"/>
    <w:rsid w:val="00FD68AE"/>
    <w:rsid w:val="00FD69D3"/>
    <w:rsid w:val="00FE01B3"/>
    <w:rsid w:val="00FE0AE9"/>
    <w:rsid w:val="00FE18D0"/>
    <w:rsid w:val="00FE3260"/>
    <w:rsid w:val="00FE38D4"/>
    <w:rsid w:val="00FE55F7"/>
    <w:rsid w:val="00FE579A"/>
    <w:rsid w:val="00FE6B86"/>
    <w:rsid w:val="00FE6F84"/>
    <w:rsid w:val="00FE71AC"/>
    <w:rsid w:val="00FE75BF"/>
    <w:rsid w:val="00FF027B"/>
    <w:rsid w:val="00FF0AAC"/>
    <w:rsid w:val="00FF357E"/>
    <w:rsid w:val="00FF3A75"/>
    <w:rsid w:val="00FF3E3F"/>
    <w:rsid w:val="00FF4024"/>
    <w:rsid w:val="00FF4C80"/>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A3BB72"/>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Ttulo1">
    <w:name w:val="heading 1"/>
    <w:aliases w:val="Table_G"/>
    <w:basedOn w:val="SingleTxtG"/>
    <w:next w:val="SingleTxtG"/>
    <w:link w:val="Ttulo1Car"/>
    <w:semiHidden/>
    <w:rsid w:val="007268F9"/>
    <w:pPr>
      <w:spacing w:after="0" w:line="240" w:lineRule="auto"/>
      <w:ind w:right="0"/>
      <w:jc w:val="left"/>
      <w:outlineLvl w:val="0"/>
    </w:pPr>
  </w:style>
  <w:style w:type="paragraph" w:styleId="Ttulo2">
    <w:name w:val="heading 2"/>
    <w:basedOn w:val="Normal"/>
    <w:next w:val="Normal"/>
    <w:link w:val="Ttulo2Car"/>
    <w:semiHidden/>
    <w:rsid w:val="007268F9"/>
    <w:pPr>
      <w:spacing w:line="240" w:lineRule="auto"/>
      <w:outlineLvl w:val="1"/>
    </w:pPr>
    <w:rPr>
      <w:rFonts w:eastAsia="SimSun"/>
      <w:lang w:eastAsia="zh-CN"/>
    </w:rPr>
  </w:style>
  <w:style w:type="paragraph" w:styleId="Ttulo3">
    <w:name w:val="heading 3"/>
    <w:basedOn w:val="Normal"/>
    <w:next w:val="Normal"/>
    <w:link w:val="Ttulo3Car"/>
    <w:semiHidden/>
    <w:rsid w:val="007268F9"/>
    <w:pPr>
      <w:spacing w:line="240" w:lineRule="auto"/>
      <w:outlineLvl w:val="2"/>
    </w:pPr>
    <w:rPr>
      <w:rFonts w:eastAsia="SimSun"/>
      <w:lang w:eastAsia="zh-CN"/>
    </w:rPr>
  </w:style>
  <w:style w:type="paragraph" w:styleId="Ttulo4">
    <w:name w:val="heading 4"/>
    <w:basedOn w:val="Normal"/>
    <w:next w:val="Normal"/>
    <w:link w:val="Ttulo4Car"/>
    <w:semiHidden/>
    <w:rsid w:val="007268F9"/>
    <w:pPr>
      <w:spacing w:line="240" w:lineRule="auto"/>
      <w:outlineLvl w:val="3"/>
    </w:pPr>
    <w:rPr>
      <w:rFonts w:eastAsia="SimSun"/>
      <w:lang w:eastAsia="zh-CN"/>
    </w:rPr>
  </w:style>
  <w:style w:type="paragraph" w:styleId="Ttulo5">
    <w:name w:val="heading 5"/>
    <w:basedOn w:val="Normal"/>
    <w:next w:val="Normal"/>
    <w:link w:val="Ttulo5Car"/>
    <w:semiHidden/>
    <w:rsid w:val="007268F9"/>
    <w:pPr>
      <w:spacing w:line="240" w:lineRule="auto"/>
      <w:outlineLvl w:val="4"/>
    </w:pPr>
    <w:rPr>
      <w:rFonts w:eastAsia="SimSun"/>
      <w:lang w:eastAsia="zh-CN"/>
    </w:rPr>
  </w:style>
  <w:style w:type="paragraph" w:styleId="Ttulo6">
    <w:name w:val="heading 6"/>
    <w:basedOn w:val="Normal"/>
    <w:next w:val="Normal"/>
    <w:link w:val="Ttulo6Car"/>
    <w:semiHidden/>
    <w:rsid w:val="007268F9"/>
    <w:pPr>
      <w:spacing w:line="240" w:lineRule="auto"/>
      <w:outlineLvl w:val="5"/>
    </w:pPr>
    <w:rPr>
      <w:rFonts w:eastAsia="SimSun"/>
      <w:lang w:eastAsia="zh-CN"/>
    </w:rPr>
  </w:style>
  <w:style w:type="paragraph" w:styleId="Ttulo7">
    <w:name w:val="heading 7"/>
    <w:basedOn w:val="Normal"/>
    <w:next w:val="Normal"/>
    <w:link w:val="Ttulo7Car"/>
    <w:semiHidden/>
    <w:rsid w:val="007268F9"/>
    <w:pPr>
      <w:spacing w:line="240" w:lineRule="auto"/>
      <w:outlineLvl w:val="6"/>
    </w:pPr>
    <w:rPr>
      <w:rFonts w:eastAsia="SimSun"/>
      <w:lang w:eastAsia="zh-CN"/>
    </w:rPr>
  </w:style>
  <w:style w:type="paragraph" w:styleId="Ttulo8">
    <w:name w:val="heading 8"/>
    <w:basedOn w:val="Normal"/>
    <w:next w:val="Normal"/>
    <w:link w:val="Ttulo8Car"/>
    <w:semiHidden/>
    <w:rsid w:val="007268F9"/>
    <w:pPr>
      <w:spacing w:line="240" w:lineRule="auto"/>
      <w:outlineLvl w:val="7"/>
    </w:pPr>
    <w:rPr>
      <w:rFonts w:eastAsia="SimSun"/>
      <w:lang w:eastAsia="zh-CN"/>
    </w:rPr>
  </w:style>
  <w:style w:type="paragraph" w:styleId="Ttulo9">
    <w:name w:val="heading 9"/>
    <w:basedOn w:val="Normal"/>
    <w:next w:val="Normal"/>
    <w:link w:val="Ttulo9Car"/>
    <w:semiHidden/>
    <w:rsid w:val="007268F9"/>
    <w:pPr>
      <w:spacing w:line="240" w:lineRule="auto"/>
      <w:outlineLvl w:val="8"/>
    </w:pPr>
    <w:rPr>
      <w:rFonts w:eastAsia="SimSu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rsid w:val="007268F9"/>
    <w:pPr>
      <w:pBdr>
        <w:bottom w:val="single" w:sz="4" w:space="4" w:color="auto"/>
      </w:pBdr>
      <w:spacing w:line="240" w:lineRule="auto"/>
    </w:pPr>
    <w:rPr>
      <w:rFonts w:eastAsia="SimSun"/>
      <w:b/>
      <w:sz w:val="18"/>
      <w:lang w:eastAsia="zh-CN"/>
    </w:rPr>
  </w:style>
  <w:style w:type="character" w:customStyle="1" w:styleId="EncabezadoCar">
    <w:name w:val="Encabezado Car"/>
    <w:aliases w:val="6_G Car"/>
    <w:basedOn w:val="Fuentedeprrafopredeter"/>
    <w:link w:val="Encabezado"/>
    <w:semiHidden/>
    <w:rsid w:val="003B4550"/>
    <w:rPr>
      <w:rFonts w:ascii="Times New Roman" w:hAnsi="Times New Roman" w:cs="Times New Roman"/>
      <w:b/>
      <w:sz w:val="18"/>
      <w:szCs w:val="20"/>
    </w:rPr>
  </w:style>
  <w:style w:type="paragraph" w:styleId="Piedepgina">
    <w:name w:val="footer"/>
    <w:aliases w:val="3_G"/>
    <w:basedOn w:val="Normal"/>
    <w:link w:val="PiedepginaCar"/>
    <w:rsid w:val="007268F9"/>
    <w:pPr>
      <w:spacing w:line="240" w:lineRule="auto"/>
    </w:pPr>
    <w:rPr>
      <w:rFonts w:eastAsia="SimSun"/>
      <w:sz w:val="16"/>
      <w:lang w:eastAsia="zh-CN"/>
    </w:rPr>
  </w:style>
  <w:style w:type="character" w:customStyle="1" w:styleId="PiedepginaCar">
    <w:name w:val="Pie de página Car"/>
    <w:aliases w:val="3_G Car"/>
    <w:basedOn w:val="Fuentedeprrafopredeter"/>
    <w:link w:val="Piedepgina"/>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rsid w:val="007268F9"/>
    <w:rPr>
      <w:rFonts w:ascii="Times New Roman" w:hAnsi="Times New Roman"/>
      <w:sz w:val="18"/>
      <w:vertAlign w:val="superscript"/>
    </w:rPr>
  </w:style>
  <w:style w:type="paragraph" w:styleId="Textonotapie">
    <w:name w:val="footnote text"/>
    <w:aliases w:val="5_G,Footnote Text Char Char Char Char Char,Footnote Text Char Char Char Char,Footnote reference,FA Fu,Footnote Text Char Char Char,Footnote Text Char1 Char,Footnote Text Char1 Char Char Char,fn"/>
    <w:basedOn w:val="Normal"/>
    <w:link w:val="TextonotapieCar"/>
    <w:qFormat/>
    <w:rsid w:val="007268F9"/>
    <w:pPr>
      <w:tabs>
        <w:tab w:val="right" w:pos="1021"/>
      </w:tabs>
      <w:spacing w:line="220" w:lineRule="exact"/>
      <w:ind w:left="1134" w:right="1134" w:hanging="1134"/>
    </w:pPr>
    <w:rPr>
      <w:rFonts w:eastAsia="SimSun"/>
      <w:sz w:val="18"/>
      <w:lang w:eastAsia="zh-CN"/>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 Car,Footnote Text Char1 Char Char Char Car,fn Car"/>
    <w:basedOn w:val="Fuentedeprrafopredeter"/>
    <w:link w:val="Textonotapie"/>
    <w:rsid w:val="007268F9"/>
    <w:rPr>
      <w:rFonts w:ascii="Times New Roman" w:eastAsia="SimSun" w:hAnsi="Times New Roman" w:cs="Times New Roman"/>
      <w:sz w:val="18"/>
      <w:szCs w:val="20"/>
    </w:rPr>
  </w:style>
  <w:style w:type="paragraph" w:styleId="Textonotaalfinal">
    <w:name w:val="endnote text"/>
    <w:aliases w:val="2_G"/>
    <w:basedOn w:val="Textonotapie"/>
    <w:link w:val="TextonotaalfinalCar"/>
    <w:rsid w:val="007268F9"/>
  </w:style>
  <w:style w:type="character" w:customStyle="1" w:styleId="TextonotaalfinalCar">
    <w:name w:val="Texto nota al final Car"/>
    <w:aliases w:val="2_G Car"/>
    <w:basedOn w:val="Fuentedeprrafopredeter"/>
    <w:link w:val="Textonotaalfinal"/>
    <w:rsid w:val="007268F9"/>
    <w:rPr>
      <w:rFonts w:ascii="Times New Roman" w:eastAsia="SimSun" w:hAnsi="Times New Roman" w:cs="Times New Roman"/>
      <w:sz w:val="18"/>
      <w:szCs w:val="20"/>
    </w:rPr>
  </w:style>
  <w:style w:type="character" w:styleId="Refdenotaalpie">
    <w:name w:val="footnote reference"/>
    <w:aliases w:val="4_G,Footnote number,ftref,Footnotes refss,Style 10,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Ttulo1Car">
    <w:name w:val="Título 1 Car"/>
    <w:aliases w:val="Table_G Car"/>
    <w:basedOn w:val="Fuentedeprrafopredeter"/>
    <w:link w:val="Ttulo1"/>
    <w:semiHidden/>
    <w:rsid w:val="003B4550"/>
    <w:rPr>
      <w:rFonts w:ascii="Times New Roman" w:hAnsi="Times New Roman" w:cs="Times New Roman"/>
      <w:sz w:val="20"/>
      <w:szCs w:val="20"/>
    </w:rPr>
  </w:style>
  <w:style w:type="character" w:customStyle="1" w:styleId="Ttulo2Car">
    <w:name w:val="Título 2 Car"/>
    <w:basedOn w:val="Fuentedeprrafopredeter"/>
    <w:link w:val="Ttulo2"/>
    <w:semiHidden/>
    <w:rsid w:val="003B4550"/>
    <w:rPr>
      <w:rFonts w:ascii="Times New Roman" w:hAnsi="Times New Roman" w:cs="Times New Roman"/>
      <w:sz w:val="20"/>
      <w:szCs w:val="20"/>
    </w:rPr>
  </w:style>
  <w:style w:type="character" w:customStyle="1" w:styleId="Ttulo3Car">
    <w:name w:val="Título 3 Car"/>
    <w:basedOn w:val="Fuentedeprrafopredeter"/>
    <w:link w:val="Ttulo3"/>
    <w:semiHidden/>
    <w:rsid w:val="003B4550"/>
    <w:rPr>
      <w:rFonts w:ascii="Times New Roman" w:hAnsi="Times New Roman" w:cs="Times New Roman"/>
      <w:sz w:val="20"/>
      <w:szCs w:val="20"/>
    </w:rPr>
  </w:style>
  <w:style w:type="character" w:customStyle="1" w:styleId="Ttulo4Car">
    <w:name w:val="Título 4 Car"/>
    <w:basedOn w:val="Fuentedeprrafopredeter"/>
    <w:link w:val="Ttulo4"/>
    <w:semiHidden/>
    <w:rsid w:val="003B4550"/>
    <w:rPr>
      <w:rFonts w:ascii="Times New Roman" w:hAnsi="Times New Roman" w:cs="Times New Roman"/>
      <w:sz w:val="20"/>
      <w:szCs w:val="20"/>
    </w:rPr>
  </w:style>
  <w:style w:type="character" w:customStyle="1" w:styleId="Ttulo5Car">
    <w:name w:val="Título 5 Car"/>
    <w:basedOn w:val="Fuentedeprrafopredeter"/>
    <w:link w:val="Ttulo5"/>
    <w:semiHidden/>
    <w:rsid w:val="003B4550"/>
    <w:rPr>
      <w:rFonts w:ascii="Times New Roman" w:hAnsi="Times New Roman" w:cs="Times New Roman"/>
      <w:sz w:val="20"/>
      <w:szCs w:val="20"/>
    </w:rPr>
  </w:style>
  <w:style w:type="character" w:customStyle="1" w:styleId="Ttulo6Car">
    <w:name w:val="Título 6 Car"/>
    <w:basedOn w:val="Fuentedeprrafopredeter"/>
    <w:link w:val="Ttulo6"/>
    <w:semiHidden/>
    <w:rsid w:val="003B4550"/>
    <w:rPr>
      <w:rFonts w:ascii="Times New Roman" w:hAnsi="Times New Roman" w:cs="Times New Roman"/>
      <w:sz w:val="20"/>
      <w:szCs w:val="20"/>
    </w:rPr>
  </w:style>
  <w:style w:type="character" w:customStyle="1" w:styleId="Ttulo7Car">
    <w:name w:val="Título 7 Car"/>
    <w:basedOn w:val="Fuentedeprrafopredeter"/>
    <w:link w:val="Ttulo7"/>
    <w:semiHidden/>
    <w:rsid w:val="003B4550"/>
    <w:rPr>
      <w:rFonts w:ascii="Times New Roman" w:hAnsi="Times New Roman" w:cs="Times New Roman"/>
      <w:sz w:val="20"/>
      <w:szCs w:val="20"/>
    </w:rPr>
  </w:style>
  <w:style w:type="character" w:customStyle="1" w:styleId="Ttulo8Car">
    <w:name w:val="Título 8 Car"/>
    <w:basedOn w:val="Fuentedeprrafopredeter"/>
    <w:link w:val="Ttulo8"/>
    <w:semiHidden/>
    <w:rsid w:val="003B4550"/>
    <w:rPr>
      <w:rFonts w:ascii="Times New Roman" w:hAnsi="Times New Roman" w:cs="Times New Roman"/>
      <w:sz w:val="20"/>
      <w:szCs w:val="20"/>
    </w:rPr>
  </w:style>
  <w:style w:type="character" w:customStyle="1" w:styleId="Ttulo9Car">
    <w:name w:val="Título 9 Car"/>
    <w:basedOn w:val="Fuentedeprrafopredeter"/>
    <w:link w:val="Ttulo9"/>
    <w:semiHidden/>
    <w:rsid w:val="003B4550"/>
    <w:rPr>
      <w:rFonts w:ascii="Times New Roman" w:hAnsi="Times New Roman" w:cs="Times New Roman"/>
      <w:sz w:val="20"/>
      <w:szCs w:val="20"/>
    </w:rPr>
  </w:style>
  <w:style w:type="character" w:styleId="Nmerodepgina">
    <w:name w:val="page number"/>
    <w:aliases w:val="7_G"/>
    <w:semiHidden/>
    <w:rsid w:val="007268F9"/>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table" w:styleId="Tablaconcuadrcula">
    <w:name w:val="Table Grid"/>
    <w:basedOn w:val="Tabla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5C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C15"/>
    <w:rPr>
      <w:rFonts w:ascii="Tahoma" w:eastAsia="Times New Roman" w:hAnsi="Tahoma" w:cs="Tahoma"/>
      <w:sz w:val="16"/>
      <w:szCs w:val="16"/>
      <w:lang w:eastAsia="en-US"/>
    </w:rPr>
  </w:style>
  <w:style w:type="paragraph" w:styleId="Prrafodelista">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Refdecomentario">
    <w:name w:val="annotation reference"/>
    <w:basedOn w:val="Fuentedeprrafopredeter"/>
    <w:semiHidden/>
    <w:unhideWhenUsed/>
    <w:rsid w:val="0092600C"/>
    <w:rPr>
      <w:sz w:val="16"/>
      <w:szCs w:val="16"/>
    </w:rPr>
  </w:style>
  <w:style w:type="paragraph" w:styleId="Textocomentario">
    <w:name w:val="annotation text"/>
    <w:basedOn w:val="Normal"/>
    <w:link w:val="TextocomentarioCar"/>
    <w:uiPriority w:val="99"/>
    <w:semiHidden/>
    <w:unhideWhenUsed/>
    <w:rsid w:val="0092600C"/>
    <w:pPr>
      <w:spacing w:line="240" w:lineRule="auto"/>
    </w:pPr>
  </w:style>
  <w:style w:type="character" w:customStyle="1" w:styleId="TextocomentarioCar">
    <w:name w:val="Texto comentario Car"/>
    <w:basedOn w:val="Fuentedeprrafopredeter"/>
    <w:link w:val="Textocomentario"/>
    <w:uiPriority w:val="99"/>
    <w:semiHidden/>
    <w:rsid w:val="0092600C"/>
    <w:rPr>
      <w:rFonts w:ascii="Times New Roman" w:eastAsia="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2600C"/>
    <w:rPr>
      <w:b/>
      <w:bCs/>
    </w:rPr>
  </w:style>
  <w:style w:type="character" w:customStyle="1" w:styleId="AsuntodelcomentarioCar">
    <w:name w:val="Asunto del comentario Car"/>
    <w:basedOn w:val="TextocomentarioCar"/>
    <w:link w:val="Asuntodelcomentario"/>
    <w:uiPriority w:val="99"/>
    <w:semiHidden/>
    <w:rsid w:val="0092600C"/>
    <w:rPr>
      <w:rFonts w:ascii="Times New Roman" w:eastAsia="Times New Roman" w:hAnsi="Times New Roman" w:cs="Times New Roman"/>
      <w:b/>
      <w:bCs/>
      <w:sz w:val="20"/>
      <w:szCs w:val="20"/>
      <w:lang w:eastAsia="en-US"/>
    </w:rPr>
  </w:style>
  <w:style w:type="paragraph" w:styleId="Revisi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418529737">
      <w:bodyDiv w:val="1"/>
      <w:marLeft w:val="0"/>
      <w:marRight w:val="0"/>
      <w:marTop w:val="0"/>
      <w:marBottom w:val="0"/>
      <w:divBdr>
        <w:top w:val="none" w:sz="0" w:space="0" w:color="auto"/>
        <w:left w:val="none" w:sz="0" w:space="0" w:color="auto"/>
        <w:bottom w:val="none" w:sz="0" w:space="0" w:color="auto"/>
        <w:right w:val="none" w:sz="0" w:space="0" w:color="auto"/>
      </w:divBdr>
    </w:div>
    <w:div w:id="550195044">
      <w:bodyDiv w:val="1"/>
      <w:marLeft w:val="0"/>
      <w:marRight w:val="0"/>
      <w:marTop w:val="0"/>
      <w:marBottom w:val="0"/>
      <w:divBdr>
        <w:top w:val="none" w:sz="0" w:space="0" w:color="auto"/>
        <w:left w:val="none" w:sz="0" w:space="0" w:color="auto"/>
        <w:bottom w:val="none" w:sz="0" w:space="0" w:color="auto"/>
        <w:right w:val="none" w:sz="0" w:space="0" w:color="auto"/>
      </w:divBdr>
    </w:div>
    <w:div w:id="58334095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10632567">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098913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45685765">
      <w:bodyDiv w:val="1"/>
      <w:marLeft w:val="0"/>
      <w:marRight w:val="0"/>
      <w:marTop w:val="0"/>
      <w:marBottom w:val="0"/>
      <w:divBdr>
        <w:top w:val="none" w:sz="0" w:space="0" w:color="auto"/>
        <w:left w:val="none" w:sz="0" w:space="0" w:color="auto"/>
        <w:bottom w:val="none" w:sz="0" w:space="0" w:color="auto"/>
        <w:right w:val="none" w:sz="0" w:space="0" w:color="auto"/>
      </w:divBdr>
    </w:div>
    <w:div w:id="1488282696">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7F21B67B017A4D85674DA1FA922B30" ma:contentTypeVersion="2" ma:contentTypeDescription="Create a new document." ma:contentTypeScope="" ma:versionID="c23e5b148f05f0544865cd7e46b1c0bf">
  <xsd:schema xmlns:xsd="http://www.w3.org/2001/XMLSchema" xmlns:xs="http://www.w3.org/2001/XMLSchema" xmlns:p="http://schemas.microsoft.com/office/2006/metadata/properties" xmlns:ns2="843519ee-602c-4a77-9f98-e0b2d1df032d" targetNamespace="http://schemas.microsoft.com/office/2006/metadata/properties" ma:root="true" ma:fieldsID="2d1aae76709d730d7c9f82f440b0a23b" ns2:_="">
    <xsd:import namespace="843519ee-602c-4a77-9f98-e0b2d1df032d"/>
    <xsd:element name="properties">
      <xsd:complexType>
        <xsd:sequence>
          <xsd:element name="documentManagement">
            <xsd:complexType>
              <xsd:all>
                <xsd:element ref="ns2:Folder" minOccurs="0"/>
                <xsd:element ref="ns2:Cover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2.xml><?xml version="1.0" encoding="utf-8"?>
<ds:datastoreItem xmlns:ds="http://schemas.openxmlformats.org/officeDocument/2006/customXml" ds:itemID="{BDF6B080-11B2-4E54-B854-9CEB8A4EFD8B}">
  <ds:schemaRefs>
    <ds:schemaRef ds:uri="http://purl.org/dc/elements/1.1/"/>
    <ds:schemaRef ds:uri="http://schemas.microsoft.com/office/2006/metadata/properties"/>
    <ds:schemaRef ds:uri="http://purl.org/dc/terms/"/>
    <ds:schemaRef ds:uri="http://schemas.openxmlformats.org/package/2006/metadata/core-properties"/>
    <ds:schemaRef ds:uri="843519ee-602c-4a77-9f98-e0b2d1df032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63153C-6ACE-40AD-A150-BA5C0130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AB44D-72F9-4EFB-B67B-3DB3AEDC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3979</Words>
  <Characters>22681</Characters>
  <Application>Microsoft Office Word</Application>
  <DocSecurity>0</DocSecurity>
  <Lines>189</Lines>
  <Paragraphs>53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CCPR/C/129/DR/2890/2016</vt:lpstr>
      <vt:lpstr>CCPR/C/WG/129/DR/2890/2016</vt:lpstr>
      <vt:lpstr>1606987</vt:lpstr>
    </vt:vector>
  </TitlesOfParts>
  <Company>DCM</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CCPR/C/129/D/2890/2016</dc:title>
  <dc:subject/>
  <dc:creator>Maria Luisa Zeballos Moreno</dc:creator>
  <cp:keywords/>
  <dc:description/>
  <cp:lastModifiedBy>Carlos Ariel BRAGUNDE LOPEZ</cp:lastModifiedBy>
  <cp:revision>2</cp:revision>
  <cp:lastPrinted>2020-06-24T15:06:00Z</cp:lastPrinted>
  <dcterms:created xsi:type="dcterms:W3CDTF">2020-12-21T08:42:00Z</dcterms:created>
  <dcterms:modified xsi:type="dcterms:W3CDTF">2020-12-21T08:42:00Z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0x0101001D7F21B67B017A4D85674DA1FA922B30</vt:lpwstr>
  </property>
</Properties>
</file>