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5B51C4">
        <w:trPr>
          <w:trHeight w:hRule="exact" w:val="851"/>
        </w:trPr>
        <w:tc>
          <w:tcPr>
            <w:tcW w:w="1274" w:type="dxa"/>
            <w:tcBorders>
              <w:bottom w:val="single" w:sz="4" w:space="0" w:color="auto"/>
            </w:tcBorders>
            <w:shd w:val="clear" w:color="auto" w:fill="auto"/>
          </w:tcPr>
          <w:p w:rsidR="006B3E27" w:rsidRPr="00705C9D" w:rsidRDefault="006B3E27" w:rsidP="005B51C4">
            <w:pPr>
              <w:jc w:val="center"/>
              <w:rPr>
                <w:sz w:val="56"/>
                <w:szCs w:val="56"/>
              </w:rPr>
            </w:pPr>
            <w:bookmarkStart w:id="0" w:name="_GoBack"/>
            <w:bookmarkEnd w:id="0"/>
          </w:p>
        </w:tc>
        <w:tc>
          <w:tcPr>
            <w:tcW w:w="4537" w:type="dxa"/>
            <w:tcBorders>
              <w:bottom w:val="single" w:sz="4" w:space="0" w:color="auto"/>
            </w:tcBorders>
            <w:shd w:val="clear" w:color="auto" w:fill="auto"/>
            <w:vAlign w:val="bottom"/>
          </w:tcPr>
          <w:p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rsidR="006B3E27" w:rsidRPr="005B51C4" w:rsidRDefault="00705C9D" w:rsidP="00A62E4E">
            <w:pPr>
              <w:bidi w:val="0"/>
              <w:spacing w:after="20"/>
              <w:jc w:val="left"/>
              <w:rPr>
                <w:szCs w:val="20"/>
              </w:rPr>
            </w:pPr>
            <w:r w:rsidRPr="00705C9D">
              <w:rPr>
                <w:sz w:val="40"/>
                <w:szCs w:val="20"/>
              </w:rPr>
              <w:t>CCPR</w:t>
            </w:r>
            <w:r>
              <w:rPr>
                <w:szCs w:val="20"/>
              </w:rPr>
              <w:t>/C/</w:t>
            </w:r>
            <w:r w:rsidRPr="00A62E4E">
              <w:rPr>
                <w:szCs w:val="20"/>
              </w:rPr>
              <w:t>127</w:t>
            </w:r>
            <w:r>
              <w:rPr>
                <w:szCs w:val="20"/>
              </w:rPr>
              <w:t>/</w:t>
            </w:r>
            <w:r w:rsidRPr="00A62E4E">
              <w:rPr>
                <w:szCs w:val="20"/>
              </w:rPr>
              <w:t>2</w:t>
            </w:r>
            <w:r>
              <w:rPr>
                <w:szCs w:val="20"/>
              </w:rPr>
              <w:t>/Add.</w:t>
            </w:r>
            <w:r w:rsidRPr="00A62E4E">
              <w:rPr>
                <w:szCs w:val="20"/>
              </w:rPr>
              <w:t>2</w:t>
            </w:r>
          </w:p>
        </w:tc>
      </w:tr>
      <w:tr w:rsidR="006B3E27" w:rsidRPr="00ED7442" w:rsidTr="005B51C4">
        <w:trPr>
          <w:trHeight w:hRule="exact" w:val="2835"/>
        </w:trPr>
        <w:tc>
          <w:tcPr>
            <w:tcW w:w="1274" w:type="dxa"/>
            <w:tcBorders>
              <w:top w:val="single" w:sz="4" w:space="0" w:color="auto"/>
              <w:bottom w:val="single" w:sz="12" w:space="0" w:color="auto"/>
            </w:tcBorders>
            <w:shd w:val="clear" w:color="auto" w:fill="auto"/>
          </w:tcPr>
          <w:p w:rsidR="006B3E27" w:rsidRPr="005B51C4" w:rsidRDefault="00DF3A99" w:rsidP="005B51C4">
            <w:pPr>
              <w:jc w:val="center"/>
              <w:rPr>
                <w:sz w:val="56"/>
                <w:szCs w:val="56"/>
                <w:rtl/>
              </w:rPr>
            </w:pPr>
            <w:r>
              <w:rPr>
                <w:noProof/>
                <w:sz w:val="56"/>
                <w:szCs w:val="56"/>
              </w:rPr>
              <w:drawing>
                <wp:inline distT="0" distB="0" distL="0" distR="0">
                  <wp:extent cx="629285" cy="6108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087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rsidR="006B3E27" w:rsidRDefault="00A62E4E" w:rsidP="00A62E4E">
            <w:pPr>
              <w:bidi w:val="0"/>
              <w:spacing w:before="240"/>
              <w:jc w:val="left"/>
              <w:rPr>
                <w:szCs w:val="20"/>
              </w:rPr>
            </w:pPr>
            <w:r>
              <w:rPr>
                <w:szCs w:val="20"/>
              </w:rPr>
              <w:t>Distr.: General</w:t>
            </w:r>
          </w:p>
          <w:p w:rsidR="00A62E4E" w:rsidRDefault="00A62E4E" w:rsidP="00A62E4E">
            <w:pPr>
              <w:bidi w:val="0"/>
              <w:jc w:val="left"/>
              <w:rPr>
                <w:szCs w:val="20"/>
              </w:rPr>
            </w:pPr>
            <w:r w:rsidRPr="00A62E4E">
              <w:rPr>
                <w:szCs w:val="20"/>
              </w:rPr>
              <w:t>29</w:t>
            </w:r>
            <w:r>
              <w:rPr>
                <w:szCs w:val="20"/>
              </w:rPr>
              <w:t xml:space="preserve"> January </w:t>
            </w:r>
            <w:r w:rsidRPr="00A62E4E">
              <w:rPr>
                <w:szCs w:val="20"/>
              </w:rPr>
              <w:t>2020</w:t>
            </w:r>
          </w:p>
          <w:p w:rsidR="00A62E4E" w:rsidRDefault="00A62E4E" w:rsidP="00A62E4E">
            <w:pPr>
              <w:bidi w:val="0"/>
              <w:jc w:val="left"/>
              <w:rPr>
                <w:szCs w:val="20"/>
              </w:rPr>
            </w:pPr>
            <w:r>
              <w:rPr>
                <w:szCs w:val="20"/>
              </w:rPr>
              <w:t>Arabic</w:t>
            </w:r>
          </w:p>
          <w:p w:rsidR="00A62E4E" w:rsidRPr="005B51C4" w:rsidRDefault="00A62E4E" w:rsidP="00A62E4E">
            <w:pPr>
              <w:bidi w:val="0"/>
              <w:jc w:val="left"/>
              <w:rPr>
                <w:szCs w:val="20"/>
              </w:rPr>
            </w:pPr>
            <w:r>
              <w:rPr>
                <w:szCs w:val="20"/>
              </w:rPr>
              <w:t>Original: English</w:t>
            </w:r>
          </w:p>
        </w:tc>
      </w:tr>
    </w:tbl>
    <w:p w:rsidR="00A62E4E" w:rsidRPr="00A62E4E" w:rsidRDefault="00A62E4E" w:rsidP="00A62E4E">
      <w:pPr>
        <w:spacing w:before="120" w:line="360" w:lineRule="exact"/>
        <w:rPr>
          <w:b/>
          <w:bCs/>
          <w:sz w:val="26"/>
          <w:szCs w:val="36"/>
          <w:rtl/>
        </w:rPr>
      </w:pPr>
      <w:r w:rsidRPr="00A62E4E">
        <w:rPr>
          <w:b/>
          <w:bCs/>
          <w:sz w:val="26"/>
          <w:szCs w:val="36"/>
          <w:rtl/>
        </w:rPr>
        <w:t>اللجنة المعنية بحقوق الإنسان</w:t>
      </w:r>
    </w:p>
    <w:p w:rsidR="00A62E4E" w:rsidRPr="00B21F27" w:rsidRDefault="00A62E4E" w:rsidP="00A62E4E">
      <w:pPr>
        <w:pStyle w:val="HChGA"/>
        <w:rPr>
          <w:rtl/>
        </w:rPr>
      </w:pPr>
      <w:r>
        <w:rPr>
          <w:rtl/>
        </w:rPr>
        <w:tab/>
      </w:r>
      <w:r>
        <w:rPr>
          <w:rtl/>
        </w:rPr>
        <w:tab/>
      </w:r>
      <w:r w:rsidRPr="00B21F27">
        <w:rPr>
          <w:rtl/>
        </w:rPr>
        <w:t>تقرير عن متابعة الملاحظات الختامية للجنة المعنية بحقوق الإنسان</w:t>
      </w:r>
      <w:bookmarkStart w:id="1" w:name="_Toc506807534"/>
      <w:bookmarkEnd w:id="1"/>
      <w:r w:rsidRPr="00A62E4E">
        <w:rPr>
          <w:rStyle w:val="FootnoteReference"/>
          <w:sz w:val="20"/>
          <w:vertAlign w:val="baseline"/>
          <w:rtl/>
        </w:rPr>
        <w:footnoteReference w:customMarkFollows="1" w:id="1"/>
        <w:t>*</w:t>
      </w:r>
    </w:p>
    <w:p w:rsidR="00A62E4E" w:rsidRPr="00B21F27" w:rsidRDefault="00A62E4E" w:rsidP="00A62E4E">
      <w:pPr>
        <w:pStyle w:val="H23GA"/>
        <w:rPr>
          <w:rtl/>
        </w:rPr>
      </w:pPr>
      <w:r w:rsidRPr="00B21F27">
        <w:rPr>
          <w:rtl/>
        </w:rPr>
        <w:tab/>
      </w:r>
      <w:r w:rsidRPr="00B21F27">
        <w:rPr>
          <w:rtl/>
        </w:rPr>
        <w:tab/>
        <w:t>إضافة</w:t>
      </w:r>
    </w:p>
    <w:p w:rsidR="00A62E4E" w:rsidRPr="00B21F27" w:rsidRDefault="00A62E4E" w:rsidP="00A62E4E">
      <w:pPr>
        <w:pStyle w:val="H1GA"/>
        <w:rPr>
          <w:lang w:val="en-GB"/>
        </w:rPr>
      </w:pPr>
      <w:r w:rsidRPr="00B21F27">
        <w:rPr>
          <w:rtl/>
        </w:rPr>
        <w:tab/>
      </w:r>
      <w:r w:rsidRPr="00B21F27">
        <w:rPr>
          <w:rtl/>
        </w:rPr>
        <w:tab/>
        <w:t>تقييم المعلومات المتعلقة بمتابعة الملاحظات الختامية بشأن باكستان</w:t>
      </w:r>
    </w:p>
    <w:tbl>
      <w:tblPr>
        <w:bidiVisual/>
        <w:tblW w:w="7320" w:type="dxa"/>
        <w:tblInd w:w="1267" w:type="dxa"/>
        <w:tblLayout w:type="fixed"/>
        <w:tblCellMar>
          <w:left w:w="0" w:type="dxa"/>
          <w:right w:w="0" w:type="dxa"/>
        </w:tblCellMar>
        <w:tblLook w:val="0000" w:firstRow="0" w:lastRow="0" w:firstColumn="0" w:lastColumn="0" w:noHBand="0" w:noVBand="0"/>
      </w:tblPr>
      <w:tblGrid>
        <w:gridCol w:w="2820"/>
        <w:gridCol w:w="4500"/>
      </w:tblGrid>
      <w:tr w:rsidR="00A62E4E" w:rsidRPr="00A62E4E" w:rsidTr="003D12A1">
        <w:trPr>
          <w:cantSplit/>
        </w:trPr>
        <w:tc>
          <w:tcPr>
            <w:tcW w:w="2820" w:type="dxa"/>
            <w:shd w:val="clear" w:color="auto" w:fill="auto"/>
          </w:tcPr>
          <w:p w:rsidR="00A62E4E" w:rsidRPr="00A62E4E" w:rsidRDefault="00A62E4E" w:rsidP="003D12A1">
            <w:pPr>
              <w:tabs>
                <w:tab w:val="left" w:pos="288"/>
                <w:tab w:val="left" w:pos="576"/>
                <w:tab w:val="left" w:pos="864"/>
                <w:tab w:val="left" w:pos="1152"/>
              </w:tabs>
              <w:spacing w:after="120"/>
              <w:ind w:left="43" w:right="173"/>
              <w:rPr>
                <w:i/>
                <w:iCs/>
                <w:szCs w:val="28"/>
                <w:rtl/>
              </w:rPr>
            </w:pPr>
            <w:r w:rsidRPr="00A62E4E">
              <w:rPr>
                <w:i/>
                <w:iCs/>
                <w:szCs w:val="28"/>
                <w:rtl/>
              </w:rPr>
              <w:t>الملاحظات الختامية</w:t>
            </w:r>
            <w:r w:rsidRPr="00A62E4E">
              <w:rPr>
                <w:rFonts w:hint="cs"/>
                <w:i/>
                <w:iCs/>
                <w:szCs w:val="28"/>
                <w:rtl/>
              </w:rPr>
              <w:t xml:space="preserve"> </w:t>
            </w:r>
            <w:r w:rsidRPr="00A62E4E">
              <w:rPr>
                <w:i/>
                <w:iCs/>
                <w:szCs w:val="28"/>
                <w:rtl/>
              </w:rPr>
              <w:t>(الدور</w:t>
            </w:r>
            <w:r w:rsidRPr="00A62E4E">
              <w:rPr>
                <w:rFonts w:hint="cs"/>
                <w:i/>
                <w:iCs/>
                <w:szCs w:val="28"/>
                <w:rtl/>
              </w:rPr>
              <w:t xml:space="preserve">ة </w:t>
            </w:r>
            <w:r w:rsidRPr="00A62E4E">
              <w:rPr>
                <w:i/>
                <w:iCs/>
                <w:szCs w:val="20"/>
              </w:rPr>
              <w:t>120</w:t>
            </w:r>
            <w:r w:rsidRPr="00A62E4E">
              <w:rPr>
                <w:i/>
                <w:iCs/>
                <w:szCs w:val="28"/>
                <w:rtl/>
              </w:rPr>
              <w:t>)</w:t>
            </w:r>
            <w:r w:rsidRPr="00A62E4E">
              <w:rPr>
                <w:rFonts w:hint="cs"/>
                <w:i/>
                <w:iCs/>
                <w:szCs w:val="28"/>
                <w:rtl/>
              </w:rPr>
              <w:t>:</w:t>
            </w:r>
          </w:p>
        </w:tc>
        <w:tc>
          <w:tcPr>
            <w:tcW w:w="4500" w:type="dxa"/>
            <w:shd w:val="clear" w:color="auto" w:fill="auto"/>
          </w:tcPr>
          <w:p w:rsidR="00A62E4E" w:rsidRPr="00A62E4E" w:rsidRDefault="00DF3A99" w:rsidP="003D12A1">
            <w:pPr>
              <w:tabs>
                <w:tab w:val="left" w:pos="288"/>
                <w:tab w:val="left" w:pos="576"/>
                <w:tab w:val="left" w:pos="864"/>
                <w:tab w:val="left" w:pos="1152"/>
              </w:tabs>
              <w:spacing w:after="120"/>
              <w:ind w:left="43" w:right="173"/>
              <w:rPr>
                <w:szCs w:val="28"/>
                <w:rtl/>
              </w:rPr>
            </w:pPr>
            <w:hyperlink r:id="rId9" w:history="1">
              <w:r w:rsidR="00A62E4E" w:rsidRPr="00A62E4E">
                <w:rPr>
                  <w:rStyle w:val="Hyperlink"/>
                  <w:rFonts w:eastAsia="SimSun"/>
                  <w:szCs w:val="28"/>
                </w:rPr>
                <w:t>CCPR/C/PAK/CO/</w:t>
              </w:r>
              <w:r w:rsidR="00A62E4E" w:rsidRPr="00A62E4E">
                <w:rPr>
                  <w:rStyle w:val="Hyperlink"/>
                  <w:rFonts w:eastAsia="SimSun"/>
                  <w:szCs w:val="20"/>
                </w:rPr>
                <w:t>1</w:t>
              </w:r>
            </w:hyperlink>
            <w:r w:rsidR="00A62E4E" w:rsidRPr="00A62E4E">
              <w:rPr>
                <w:szCs w:val="28"/>
                <w:rtl/>
              </w:rPr>
              <w:t xml:space="preserve">، </w:t>
            </w:r>
            <w:r w:rsidR="00A62E4E" w:rsidRPr="00A62E4E">
              <w:rPr>
                <w:szCs w:val="20"/>
                <w:rtl/>
              </w:rPr>
              <w:t>25</w:t>
            </w:r>
            <w:r w:rsidR="00A62E4E" w:rsidRPr="00A62E4E">
              <w:rPr>
                <w:szCs w:val="28"/>
                <w:rtl/>
              </w:rPr>
              <w:t xml:space="preserve"> و</w:t>
            </w:r>
            <w:r w:rsidR="00A62E4E" w:rsidRPr="00A62E4E">
              <w:rPr>
                <w:szCs w:val="20"/>
                <w:rtl/>
              </w:rPr>
              <w:t>26</w:t>
            </w:r>
            <w:r w:rsidR="00A62E4E" w:rsidRPr="00A62E4E">
              <w:rPr>
                <w:szCs w:val="28"/>
                <w:rtl/>
              </w:rPr>
              <w:t xml:space="preserve"> تموز/يوليه </w:t>
            </w:r>
            <w:r w:rsidR="00A62E4E" w:rsidRPr="00A62E4E">
              <w:rPr>
                <w:rFonts w:hint="cs"/>
                <w:szCs w:val="20"/>
                <w:rtl/>
              </w:rPr>
              <w:t>2017</w:t>
            </w:r>
          </w:p>
        </w:tc>
      </w:tr>
      <w:tr w:rsidR="00A62E4E" w:rsidRPr="00A62E4E" w:rsidTr="003D12A1">
        <w:trPr>
          <w:cantSplit/>
        </w:trPr>
        <w:tc>
          <w:tcPr>
            <w:tcW w:w="2820" w:type="dxa"/>
            <w:shd w:val="clear" w:color="auto" w:fill="auto"/>
          </w:tcPr>
          <w:p w:rsidR="00A62E4E" w:rsidRPr="00A62E4E" w:rsidRDefault="00A62E4E" w:rsidP="003D12A1">
            <w:pPr>
              <w:tabs>
                <w:tab w:val="left" w:pos="288"/>
                <w:tab w:val="left" w:pos="576"/>
                <w:tab w:val="left" w:pos="864"/>
                <w:tab w:val="left" w:pos="1152"/>
              </w:tabs>
              <w:spacing w:after="120"/>
              <w:ind w:left="43" w:right="173"/>
              <w:rPr>
                <w:i/>
                <w:iCs/>
                <w:szCs w:val="28"/>
                <w:rtl/>
              </w:rPr>
            </w:pPr>
            <w:r w:rsidRPr="00A62E4E">
              <w:rPr>
                <w:i/>
                <w:iCs/>
                <w:szCs w:val="28"/>
                <w:rtl/>
              </w:rPr>
              <w:t>الفقرات المشمولة بالمتابعة:</w:t>
            </w:r>
          </w:p>
        </w:tc>
        <w:tc>
          <w:tcPr>
            <w:tcW w:w="4500" w:type="dxa"/>
            <w:shd w:val="clear" w:color="auto" w:fill="auto"/>
          </w:tcPr>
          <w:p w:rsidR="00A62E4E" w:rsidRPr="00A62E4E" w:rsidRDefault="00A62E4E" w:rsidP="003D12A1">
            <w:pPr>
              <w:tabs>
                <w:tab w:val="left" w:pos="288"/>
                <w:tab w:val="left" w:pos="576"/>
                <w:tab w:val="left" w:pos="864"/>
                <w:tab w:val="left" w:pos="1152"/>
              </w:tabs>
              <w:spacing w:after="120"/>
              <w:ind w:left="43" w:right="173"/>
              <w:rPr>
                <w:szCs w:val="28"/>
                <w:rtl/>
              </w:rPr>
            </w:pPr>
            <w:r w:rsidRPr="00A62E4E">
              <w:rPr>
                <w:szCs w:val="20"/>
                <w:rtl/>
              </w:rPr>
              <w:t>18</w:t>
            </w:r>
            <w:r w:rsidRPr="00A62E4E">
              <w:rPr>
                <w:szCs w:val="28"/>
                <w:rtl/>
              </w:rPr>
              <w:t xml:space="preserve"> و</w:t>
            </w:r>
            <w:r w:rsidRPr="00A62E4E">
              <w:rPr>
                <w:szCs w:val="20"/>
                <w:rtl/>
              </w:rPr>
              <w:t>20</w:t>
            </w:r>
            <w:r w:rsidRPr="00A62E4E">
              <w:rPr>
                <w:szCs w:val="28"/>
                <w:rtl/>
              </w:rPr>
              <w:t xml:space="preserve"> و</w:t>
            </w:r>
            <w:r w:rsidRPr="00A62E4E">
              <w:rPr>
                <w:szCs w:val="20"/>
                <w:rtl/>
              </w:rPr>
              <w:t>34</w:t>
            </w:r>
          </w:p>
        </w:tc>
      </w:tr>
      <w:tr w:rsidR="00A62E4E" w:rsidRPr="00A62E4E" w:rsidTr="003D12A1">
        <w:trPr>
          <w:cantSplit/>
        </w:trPr>
        <w:tc>
          <w:tcPr>
            <w:tcW w:w="2820" w:type="dxa"/>
            <w:shd w:val="clear" w:color="auto" w:fill="auto"/>
          </w:tcPr>
          <w:p w:rsidR="00A62E4E" w:rsidRPr="00A62E4E" w:rsidRDefault="00A62E4E" w:rsidP="003D12A1">
            <w:pPr>
              <w:tabs>
                <w:tab w:val="left" w:pos="288"/>
                <w:tab w:val="left" w:pos="576"/>
                <w:tab w:val="left" w:pos="864"/>
                <w:tab w:val="left" w:pos="1152"/>
              </w:tabs>
              <w:spacing w:after="120"/>
              <w:ind w:left="43" w:right="173"/>
              <w:rPr>
                <w:i/>
                <w:iCs/>
                <w:szCs w:val="28"/>
                <w:rtl/>
              </w:rPr>
            </w:pPr>
            <w:r w:rsidRPr="00A62E4E">
              <w:rPr>
                <w:i/>
                <w:iCs/>
                <w:szCs w:val="28"/>
                <w:rtl/>
              </w:rPr>
              <w:t>الرد الوارد في إطار المتابعة:</w:t>
            </w:r>
          </w:p>
        </w:tc>
        <w:tc>
          <w:tcPr>
            <w:tcW w:w="4500" w:type="dxa"/>
            <w:shd w:val="clear" w:color="auto" w:fill="auto"/>
          </w:tcPr>
          <w:p w:rsidR="00A62E4E" w:rsidRPr="00A62E4E" w:rsidRDefault="00DF3A99" w:rsidP="003D12A1">
            <w:pPr>
              <w:tabs>
                <w:tab w:val="left" w:pos="288"/>
                <w:tab w:val="left" w:pos="576"/>
                <w:tab w:val="left" w:pos="864"/>
                <w:tab w:val="left" w:pos="1152"/>
              </w:tabs>
              <w:spacing w:after="120"/>
              <w:ind w:left="43" w:right="173"/>
              <w:rPr>
                <w:szCs w:val="28"/>
                <w:rtl/>
              </w:rPr>
            </w:pPr>
            <w:hyperlink r:id="rId10" w:history="1">
              <w:r w:rsidR="00A62E4E" w:rsidRPr="00CB18D2">
                <w:rPr>
                  <w:rStyle w:val="Hyperlink"/>
                  <w:rFonts w:eastAsia="SimSun"/>
                </w:rPr>
                <w:t>CCPR/C/PAK/CO/1/Add.1</w:t>
              </w:r>
            </w:hyperlink>
            <w:r w:rsidR="00A62E4E" w:rsidRPr="00A62E4E">
              <w:rPr>
                <w:szCs w:val="28"/>
                <w:rtl/>
              </w:rPr>
              <w:t xml:space="preserve">، </w:t>
            </w:r>
            <w:r w:rsidR="00A62E4E" w:rsidRPr="00A62E4E">
              <w:rPr>
                <w:szCs w:val="20"/>
                <w:rtl/>
              </w:rPr>
              <w:t>16</w:t>
            </w:r>
            <w:r w:rsidR="00A62E4E" w:rsidRPr="00A62E4E">
              <w:rPr>
                <w:szCs w:val="28"/>
                <w:rtl/>
              </w:rPr>
              <w:t xml:space="preserve"> أيار/مايو </w:t>
            </w:r>
            <w:r w:rsidR="00A62E4E" w:rsidRPr="00A62E4E">
              <w:rPr>
                <w:szCs w:val="20"/>
                <w:rtl/>
              </w:rPr>
              <w:t>2019</w:t>
            </w:r>
          </w:p>
        </w:tc>
      </w:tr>
      <w:tr w:rsidR="00A62E4E" w:rsidRPr="00A62E4E" w:rsidTr="003D12A1">
        <w:trPr>
          <w:cantSplit/>
        </w:trPr>
        <w:tc>
          <w:tcPr>
            <w:tcW w:w="2820" w:type="dxa"/>
            <w:shd w:val="clear" w:color="auto" w:fill="auto"/>
          </w:tcPr>
          <w:p w:rsidR="00A62E4E" w:rsidRPr="00A62E4E" w:rsidRDefault="00A62E4E" w:rsidP="003D12A1">
            <w:pPr>
              <w:tabs>
                <w:tab w:val="left" w:pos="288"/>
                <w:tab w:val="left" w:pos="576"/>
                <w:tab w:val="left" w:pos="864"/>
                <w:tab w:val="left" w:pos="1152"/>
              </w:tabs>
              <w:spacing w:after="120"/>
              <w:ind w:left="43" w:right="173"/>
              <w:rPr>
                <w:i/>
                <w:iCs/>
                <w:szCs w:val="28"/>
                <w:rtl/>
              </w:rPr>
            </w:pPr>
            <w:r w:rsidRPr="00A62E4E">
              <w:rPr>
                <w:i/>
                <w:iCs/>
                <w:szCs w:val="28"/>
                <w:rtl/>
              </w:rPr>
              <w:t>تقييم اللجنة:</w:t>
            </w:r>
          </w:p>
        </w:tc>
        <w:tc>
          <w:tcPr>
            <w:tcW w:w="4500" w:type="dxa"/>
            <w:shd w:val="clear" w:color="auto" w:fill="auto"/>
          </w:tcPr>
          <w:p w:rsidR="00A62E4E" w:rsidRPr="00A62E4E" w:rsidRDefault="00A62E4E" w:rsidP="003D12A1">
            <w:pPr>
              <w:tabs>
                <w:tab w:val="left" w:pos="288"/>
                <w:tab w:val="left" w:pos="576"/>
                <w:tab w:val="left" w:pos="864"/>
                <w:tab w:val="left" w:pos="1152"/>
              </w:tabs>
              <w:spacing w:after="120"/>
              <w:ind w:left="43" w:right="173"/>
              <w:rPr>
                <w:szCs w:val="28"/>
                <w:rtl/>
              </w:rPr>
            </w:pPr>
            <w:r w:rsidRPr="00A62E4E">
              <w:rPr>
                <w:szCs w:val="28"/>
                <w:rtl/>
              </w:rPr>
              <w:t xml:space="preserve">يلزم تقديم معلومات إضافية بشأن الفقرات </w:t>
            </w:r>
            <w:r w:rsidRPr="00A62E4E">
              <w:rPr>
                <w:szCs w:val="20"/>
                <w:rtl/>
              </w:rPr>
              <w:t>1</w:t>
            </w:r>
            <w:r w:rsidRPr="00A62E4E">
              <w:rPr>
                <w:rFonts w:hint="cs"/>
                <w:szCs w:val="20"/>
                <w:rtl/>
              </w:rPr>
              <w:t>8</w:t>
            </w:r>
            <w:r w:rsidRPr="00A62E4E">
              <w:rPr>
                <w:b/>
                <w:bCs/>
                <w:szCs w:val="28"/>
                <w:rtl/>
              </w:rPr>
              <w:t>[باء] [جيم]</w:t>
            </w:r>
            <w:r>
              <w:rPr>
                <w:rFonts w:hint="cs"/>
                <w:szCs w:val="28"/>
                <w:rtl/>
              </w:rPr>
              <w:t xml:space="preserve"> </w:t>
            </w:r>
            <w:r w:rsidRPr="00A62E4E">
              <w:rPr>
                <w:szCs w:val="28"/>
                <w:rtl/>
              </w:rPr>
              <w:t>و</w:t>
            </w:r>
            <w:r w:rsidRPr="00A62E4E">
              <w:rPr>
                <w:szCs w:val="20"/>
                <w:rtl/>
              </w:rPr>
              <w:t>20</w:t>
            </w:r>
            <w:r w:rsidRPr="00A62E4E">
              <w:rPr>
                <w:b/>
                <w:bCs/>
                <w:szCs w:val="28"/>
                <w:rtl/>
              </w:rPr>
              <w:t>[جيم]</w:t>
            </w:r>
            <w:r w:rsidRPr="00A62E4E">
              <w:rPr>
                <w:szCs w:val="28"/>
                <w:rtl/>
              </w:rPr>
              <w:t xml:space="preserve"> و</w:t>
            </w:r>
            <w:r w:rsidRPr="00A62E4E">
              <w:rPr>
                <w:szCs w:val="20"/>
                <w:rtl/>
              </w:rPr>
              <w:t>34</w:t>
            </w:r>
            <w:r w:rsidRPr="00A62E4E">
              <w:rPr>
                <w:b/>
                <w:bCs/>
                <w:szCs w:val="28"/>
                <w:rtl/>
              </w:rPr>
              <w:t>[جيم][باء]</w:t>
            </w:r>
            <w:r w:rsidRPr="00A62E4E">
              <w:rPr>
                <w:rFonts w:cs="Times New Roman" w:hint="cs"/>
                <w:szCs w:val="28"/>
                <w:rtl/>
              </w:rPr>
              <w:t>‬</w:t>
            </w:r>
          </w:p>
        </w:tc>
      </w:tr>
      <w:tr w:rsidR="00A62E4E" w:rsidRPr="00A62E4E" w:rsidTr="003D12A1">
        <w:trPr>
          <w:cantSplit/>
        </w:trPr>
        <w:tc>
          <w:tcPr>
            <w:tcW w:w="2820" w:type="dxa"/>
            <w:shd w:val="clear" w:color="auto" w:fill="auto"/>
          </w:tcPr>
          <w:p w:rsidR="00A62E4E" w:rsidRPr="00A62E4E" w:rsidRDefault="00A62E4E" w:rsidP="00B7464C">
            <w:pPr>
              <w:tabs>
                <w:tab w:val="left" w:pos="288"/>
                <w:tab w:val="left" w:pos="576"/>
                <w:tab w:val="left" w:pos="864"/>
                <w:tab w:val="left" w:pos="1152"/>
              </w:tabs>
              <w:spacing w:after="120"/>
              <w:ind w:left="43" w:right="173"/>
              <w:jc w:val="left"/>
              <w:rPr>
                <w:i/>
                <w:iCs/>
                <w:szCs w:val="28"/>
                <w:rtl/>
              </w:rPr>
            </w:pPr>
            <w:r w:rsidRPr="00A62E4E">
              <w:rPr>
                <w:i/>
                <w:iCs/>
                <w:szCs w:val="28"/>
                <w:rtl/>
              </w:rPr>
              <w:t>المعلومات الواردة من منظمات غير</w:t>
            </w:r>
            <w:r w:rsidRPr="00A62E4E">
              <w:rPr>
                <w:rFonts w:hint="cs"/>
                <w:i/>
                <w:iCs/>
                <w:szCs w:val="28"/>
                <w:rtl/>
              </w:rPr>
              <w:t> </w:t>
            </w:r>
            <w:r w:rsidRPr="00A62E4E">
              <w:rPr>
                <w:i/>
                <w:iCs/>
                <w:szCs w:val="28"/>
                <w:rtl/>
              </w:rPr>
              <w:t>حكومية:</w:t>
            </w:r>
          </w:p>
        </w:tc>
        <w:tc>
          <w:tcPr>
            <w:tcW w:w="4500" w:type="dxa"/>
            <w:shd w:val="clear" w:color="auto" w:fill="auto"/>
          </w:tcPr>
          <w:p w:rsidR="00A62E4E" w:rsidRPr="00A62E4E" w:rsidRDefault="00A62E4E" w:rsidP="003D12A1">
            <w:pPr>
              <w:tabs>
                <w:tab w:val="left" w:pos="288"/>
                <w:tab w:val="left" w:pos="576"/>
                <w:tab w:val="left" w:pos="864"/>
                <w:tab w:val="left" w:pos="1152"/>
              </w:tabs>
              <w:spacing w:after="120"/>
              <w:ind w:left="43" w:right="173"/>
              <w:rPr>
                <w:szCs w:val="28"/>
                <w:rtl/>
              </w:rPr>
            </w:pPr>
            <w:r w:rsidRPr="00A62E4E">
              <w:rPr>
                <w:szCs w:val="28"/>
                <w:rtl/>
              </w:rPr>
              <w:t>مركز العدالة الاجتماعية</w:t>
            </w:r>
            <w:r w:rsidRPr="00A62E4E">
              <w:rPr>
                <w:szCs w:val="28"/>
                <w:vertAlign w:val="superscript"/>
                <w:rtl/>
              </w:rPr>
              <w:t>(</w:t>
            </w:r>
            <w:r w:rsidRPr="00A62E4E">
              <w:rPr>
                <w:rStyle w:val="FootnoteReference"/>
                <w:rFonts w:cs="Times New Roman"/>
                <w:b w:val="0"/>
                <w:position w:val="4"/>
                <w:sz w:val="20"/>
              </w:rPr>
              <w:footnoteReference w:id="2"/>
            </w:r>
            <w:r w:rsidRPr="00A62E4E">
              <w:rPr>
                <w:szCs w:val="28"/>
                <w:vertAlign w:val="superscript"/>
                <w:rtl/>
              </w:rPr>
              <w:t>)</w:t>
            </w:r>
            <w:r w:rsidRPr="00A62E4E">
              <w:rPr>
                <w:szCs w:val="28"/>
                <w:rtl/>
              </w:rPr>
              <w:t>، ومشروع العدالة في باكستان</w:t>
            </w:r>
            <w:r w:rsidRPr="00A62E4E">
              <w:rPr>
                <w:szCs w:val="28"/>
                <w:vertAlign w:val="superscript"/>
                <w:rtl/>
              </w:rPr>
              <w:t>(</w:t>
            </w:r>
            <w:r w:rsidRPr="00A62E4E">
              <w:rPr>
                <w:rStyle w:val="FootnoteReference"/>
                <w:rFonts w:cs="Times New Roman"/>
                <w:b w:val="0"/>
                <w:position w:val="4"/>
                <w:sz w:val="20"/>
              </w:rPr>
              <w:footnoteReference w:id="3"/>
            </w:r>
            <w:r w:rsidRPr="00A62E4E">
              <w:rPr>
                <w:szCs w:val="28"/>
                <w:vertAlign w:val="superscript"/>
                <w:rtl/>
              </w:rPr>
              <w:t>)</w:t>
            </w:r>
            <w:r w:rsidRPr="00A62E4E">
              <w:rPr>
                <w:szCs w:val="28"/>
                <w:rtl/>
              </w:rPr>
              <w:t>،</w:t>
            </w:r>
            <w:r w:rsidRPr="00A62E4E">
              <w:rPr>
                <w:rFonts w:hint="cs"/>
                <w:szCs w:val="28"/>
                <w:rtl/>
              </w:rPr>
              <w:t xml:space="preserve"> </w:t>
            </w:r>
            <w:r w:rsidRPr="00A62E4E">
              <w:rPr>
                <w:szCs w:val="28"/>
                <w:rtl/>
              </w:rPr>
              <w:t>ولجنة الحقوقيين الدولية</w:t>
            </w:r>
            <w:r w:rsidRPr="00A62E4E">
              <w:rPr>
                <w:szCs w:val="28"/>
                <w:vertAlign w:val="superscript"/>
                <w:rtl/>
              </w:rPr>
              <w:t>(</w:t>
            </w:r>
            <w:r w:rsidRPr="00A62E4E">
              <w:rPr>
                <w:rStyle w:val="FootnoteReference"/>
                <w:rFonts w:cs="Times New Roman"/>
                <w:b w:val="0"/>
                <w:position w:val="4"/>
                <w:sz w:val="20"/>
              </w:rPr>
              <w:footnoteReference w:id="4"/>
            </w:r>
            <w:r w:rsidRPr="00A62E4E">
              <w:rPr>
                <w:szCs w:val="28"/>
                <w:vertAlign w:val="superscript"/>
                <w:rtl/>
              </w:rPr>
              <w:t>)</w:t>
            </w:r>
          </w:p>
        </w:tc>
      </w:tr>
    </w:tbl>
    <w:p w:rsidR="00A62E4E" w:rsidRPr="00B21F27" w:rsidRDefault="00A62E4E" w:rsidP="00A62E4E">
      <w:pPr>
        <w:pStyle w:val="H23GA"/>
        <w:rPr>
          <w:rFonts w:hint="cs"/>
          <w:rtl/>
        </w:rPr>
      </w:pPr>
      <w:r w:rsidRPr="00B21F27">
        <w:rPr>
          <w:rtl/>
        </w:rPr>
        <w:tab/>
      </w:r>
      <w:r w:rsidRPr="00B21F27">
        <w:rPr>
          <w:rtl/>
        </w:rPr>
        <w:tab/>
        <w:t xml:space="preserve">الفقرة </w:t>
      </w:r>
      <w:r w:rsidRPr="00A62E4E">
        <w:rPr>
          <w:szCs w:val="20"/>
          <w:rtl/>
        </w:rPr>
        <w:t>18</w:t>
      </w:r>
      <w:r w:rsidRPr="00B21F27">
        <w:rPr>
          <w:lang w:val="en-GB"/>
        </w:rPr>
        <w:t>:</w:t>
      </w:r>
      <w:r w:rsidRPr="00B21F27">
        <w:rPr>
          <w:rtl/>
        </w:rPr>
        <w:t xml:space="preserve"> عقوبة الإعدام</w:t>
      </w:r>
    </w:p>
    <w:p w:rsidR="00A62E4E" w:rsidRPr="00A62E4E" w:rsidRDefault="00A62E4E" w:rsidP="00A62E4E">
      <w:pPr>
        <w:pStyle w:val="SingleTxtGA"/>
        <w:rPr>
          <w:b/>
          <w:bCs/>
          <w:rtl/>
        </w:rPr>
      </w:pPr>
      <w:r w:rsidRPr="00B21F27">
        <w:rPr>
          <w:rtl/>
        </w:rPr>
        <w:tab/>
      </w:r>
      <w:r w:rsidRPr="00A62E4E">
        <w:rPr>
          <w:b/>
          <w:bCs/>
          <w:rtl/>
        </w:rPr>
        <w:t>ينبغي للدولة الطرف أن تعيد العمل بالوقف الاختياري لعقوبة الإعدام وتنظر في إلغائها والانضمام إلى البروتوكول الاختياري الثاني الملحق بالعهد. فإن هي أبقت على عقوبة الإعدام، لزم عليها اتخاذ التدابير الضرورية على سبيل الأولوية لضمان ما يلي:</w:t>
      </w:r>
    </w:p>
    <w:p w:rsidR="00A62E4E" w:rsidRPr="00A62E4E" w:rsidRDefault="00A62E4E" w:rsidP="00A62E4E">
      <w:pPr>
        <w:pStyle w:val="SingleTxtGA"/>
        <w:rPr>
          <w:b/>
          <w:bCs/>
          <w:rtl/>
        </w:rPr>
      </w:pPr>
      <w:r w:rsidRPr="00B21F27">
        <w:rPr>
          <w:rtl/>
        </w:rPr>
        <w:lastRenderedPageBreak/>
        <w:tab/>
        <w:t>(أ)</w:t>
      </w:r>
      <w:r w:rsidRPr="00B21F27">
        <w:rPr>
          <w:rtl/>
        </w:rPr>
        <w:tab/>
      </w:r>
      <w:r w:rsidRPr="00A62E4E">
        <w:rPr>
          <w:b/>
          <w:bCs/>
          <w:rtl/>
        </w:rPr>
        <w:t xml:space="preserve">ألا يُنص على عقوبة الإعدام إلا على </w:t>
      </w:r>
      <w:r w:rsidR="00D371D5">
        <w:rPr>
          <w:rFonts w:ascii="Traditional Arabic" w:hAnsi="Traditional Arabic" w:hint="cs"/>
          <w:b/>
          <w:bCs/>
          <w:rtl/>
        </w:rPr>
        <w:t>"</w:t>
      </w:r>
      <w:r w:rsidRPr="00A62E4E">
        <w:rPr>
          <w:b/>
          <w:bCs/>
          <w:rtl/>
        </w:rPr>
        <w:t>أشد الجرائم خطورة</w:t>
      </w:r>
      <w:r w:rsidR="00D371D5">
        <w:rPr>
          <w:rFonts w:hint="cs"/>
          <w:b/>
          <w:bCs/>
          <w:rtl/>
        </w:rPr>
        <w:t>"</w:t>
      </w:r>
      <w:r w:rsidRPr="00A62E4E">
        <w:rPr>
          <w:b/>
          <w:bCs/>
          <w:rtl/>
        </w:rPr>
        <w:t xml:space="preserve"> التي تنطوي على القتل العمد؛ وألا تكون أبداً إلزامية؛ وإتاحة العفو، أو تخفيف الأحكام، في جميع الحالات بصرف النظر عن الجريمة المرتكبة؛ وعدم فرضها أبداً في حالات تخلّ بالعهد، بما في ذلك عند الافتقار لإجراءات المحاكمة العادلة، وعدم فرضها من قبل المحاكم العسكرية، خاصة في حق المدنيين؛</w:t>
      </w:r>
    </w:p>
    <w:p w:rsidR="00A62E4E" w:rsidRPr="00A62E4E" w:rsidRDefault="00A62E4E" w:rsidP="00A62E4E">
      <w:pPr>
        <w:pStyle w:val="SingleTxtGA"/>
        <w:rPr>
          <w:b/>
          <w:bCs/>
          <w:rtl/>
        </w:rPr>
      </w:pPr>
      <w:r w:rsidRPr="00B21F27">
        <w:rPr>
          <w:rtl/>
        </w:rPr>
        <w:tab/>
        <w:t>(ب)</w:t>
      </w:r>
      <w:r w:rsidRPr="00B21F27">
        <w:rPr>
          <w:rtl/>
        </w:rPr>
        <w:tab/>
      </w:r>
      <w:r w:rsidRPr="00A62E4E">
        <w:rPr>
          <w:b/>
          <w:bCs/>
          <w:rtl/>
        </w:rPr>
        <w:t xml:space="preserve">عدم الحكم بالإعدام على أي شخص يقل عمره عن </w:t>
      </w:r>
      <w:r w:rsidRPr="00A62E4E">
        <w:rPr>
          <w:b/>
          <w:bCs/>
          <w:szCs w:val="20"/>
          <w:rtl/>
        </w:rPr>
        <w:t>18</w:t>
      </w:r>
      <w:r w:rsidRPr="00A62E4E">
        <w:rPr>
          <w:b/>
          <w:bCs/>
          <w:rtl/>
        </w:rPr>
        <w:t xml:space="preserve"> سنة وقت ارتكاب الجريمة، وإتاحة وسيلة فعالة ومستقلة لتحديد العمر للمتهمين بجرائم يعاقَب عليها بالإعدام، ومعاملتهم معاملة الأطفال إن كانت الشكوك لا تزال قائمة بشأن أعمارهم وقت الجريمة؛</w:t>
      </w:r>
    </w:p>
    <w:p w:rsidR="00A62E4E" w:rsidRPr="00A62E4E" w:rsidRDefault="00A62E4E" w:rsidP="00A62E4E">
      <w:pPr>
        <w:pStyle w:val="SingleTxtGA"/>
        <w:rPr>
          <w:b/>
          <w:bCs/>
          <w:rtl/>
        </w:rPr>
      </w:pPr>
      <w:r w:rsidRPr="00B21F27">
        <w:rPr>
          <w:rtl/>
        </w:rPr>
        <w:tab/>
        <w:t>(ج)</w:t>
      </w:r>
      <w:r w:rsidRPr="00B21F27">
        <w:rPr>
          <w:rtl/>
        </w:rPr>
        <w:tab/>
      </w:r>
      <w:r w:rsidRPr="00A62E4E">
        <w:rPr>
          <w:b/>
          <w:bCs/>
          <w:rtl/>
        </w:rPr>
        <w:t>عدم إعدام أي شخص مصاب بإعاقات نفسية</w:t>
      </w:r>
      <w:r w:rsidRPr="00A62E4E">
        <w:rPr>
          <w:rFonts w:hint="cs"/>
          <w:b/>
          <w:bCs/>
          <w:rtl/>
        </w:rPr>
        <w:t xml:space="preserve"> </w:t>
      </w:r>
      <w:r w:rsidRPr="00A62E4E">
        <w:rPr>
          <w:b/>
          <w:bCs/>
          <w:rtl/>
        </w:rPr>
        <w:t>-</w:t>
      </w:r>
      <w:r w:rsidRPr="00A62E4E">
        <w:rPr>
          <w:rFonts w:hint="cs"/>
          <w:b/>
          <w:bCs/>
          <w:rtl/>
        </w:rPr>
        <w:t xml:space="preserve"> </w:t>
      </w:r>
      <w:r w:rsidRPr="00A62E4E">
        <w:rPr>
          <w:b/>
          <w:bCs/>
          <w:rtl/>
        </w:rPr>
        <w:t xml:space="preserve">اجتماعية أو ذهنية خطيرة أو الحكم عليه بالإعدام، بما في ذلك عن طريق إنشاء آلية مستقلة لإعادة النظر في جميع القضايا التي توجد أدلة مقنعة على أن السجناء المعرضين لعقوبة الإعدام مصابون بتلك الإعاقات، وفحص </w:t>
      </w:r>
      <w:r w:rsidRPr="00A62E4E">
        <w:rPr>
          <w:rFonts w:hint="cs"/>
          <w:b/>
          <w:bCs/>
          <w:rtl/>
        </w:rPr>
        <w:t>ال</w:t>
      </w:r>
      <w:r w:rsidRPr="00A62E4E">
        <w:rPr>
          <w:b/>
          <w:bCs/>
          <w:rtl/>
        </w:rPr>
        <w:t xml:space="preserve">صحة العقلية </w:t>
      </w:r>
      <w:r w:rsidRPr="00A62E4E">
        <w:rPr>
          <w:rFonts w:hint="cs"/>
          <w:b/>
          <w:bCs/>
          <w:rtl/>
        </w:rPr>
        <w:t>ل</w:t>
      </w:r>
      <w:r w:rsidRPr="00A62E4E">
        <w:rPr>
          <w:b/>
          <w:bCs/>
          <w:rtl/>
        </w:rPr>
        <w:t>لسجناء المحكوم عليهم بالإعدام؛</w:t>
      </w:r>
    </w:p>
    <w:p w:rsidR="00A62E4E" w:rsidRPr="00A62E4E" w:rsidRDefault="00A62E4E" w:rsidP="00A62E4E">
      <w:pPr>
        <w:pStyle w:val="SingleTxtGA"/>
        <w:rPr>
          <w:b/>
          <w:bCs/>
          <w:rtl/>
        </w:rPr>
      </w:pPr>
      <w:r w:rsidRPr="00B21F27">
        <w:rPr>
          <w:rtl/>
        </w:rPr>
        <w:tab/>
        <w:t>(د)</w:t>
      </w:r>
      <w:r w:rsidRPr="00B21F27">
        <w:rPr>
          <w:rtl/>
        </w:rPr>
        <w:tab/>
      </w:r>
      <w:r w:rsidRPr="00A62E4E">
        <w:rPr>
          <w:b/>
          <w:bCs/>
          <w:rtl/>
        </w:rPr>
        <w:t>توافُق بروتوكول الإعدام مع المعايير الدولية لحقوق الإنسان، وتنفيذ الإعدامات وفقاً للبروتوكول؛</w:t>
      </w:r>
    </w:p>
    <w:p w:rsidR="00A62E4E" w:rsidRPr="00A62E4E" w:rsidRDefault="00A62E4E" w:rsidP="00A62E4E">
      <w:pPr>
        <w:pStyle w:val="SingleTxtGA"/>
        <w:rPr>
          <w:b/>
          <w:bCs/>
          <w:rtl/>
        </w:rPr>
      </w:pPr>
      <w:r w:rsidRPr="00B21F27">
        <w:rPr>
          <w:rtl/>
        </w:rPr>
        <w:tab/>
        <w:t>(ه)</w:t>
      </w:r>
      <w:r w:rsidRPr="00B21F27">
        <w:rPr>
          <w:rtl/>
        </w:rPr>
        <w:tab/>
      </w:r>
      <w:r w:rsidRPr="00A62E4E">
        <w:rPr>
          <w:b/>
          <w:bCs/>
          <w:rtl/>
        </w:rPr>
        <w:t>توفير خدمات قانونية وقنصلية كافية للعمال المهاجرين الباكستانيين المحكوم عليهم بالإعدام في الخارج في كل مراحل الإجراءات القانونية.</w:t>
      </w:r>
    </w:p>
    <w:p w:rsidR="00A62E4E" w:rsidRPr="004F3C37" w:rsidRDefault="00A62E4E" w:rsidP="00D371D5">
      <w:pPr>
        <w:pStyle w:val="H23GA"/>
        <w:rPr>
          <w:rtl/>
        </w:rPr>
      </w:pPr>
      <w:r w:rsidRPr="00B21F27">
        <w:rPr>
          <w:rtl/>
        </w:rPr>
        <w:tab/>
      </w:r>
      <w:r w:rsidRPr="00B21F27">
        <w:rPr>
          <w:rtl/>
        </w:rPr>
        <w:tab/>
      </w:r>
      <w:dir w:val="rtl">
        <w:r w:rsidRPr="00B21F27">
          <w:rPr>
            <w:rtl/>
          </w:rPr>
          <w:t>ملخص رد الدولة الطرف</w:t>
        </w:r>
        <w:r w:rsidRPr="00B21F27">
          <w:rPr>
            <w:rFonts w:ascii="Arial" w:hAnsi="Arial" w:cs="Arial" w:hint="cs"/>
            <w:rtl/>
          </w:rPr>
          <w:t>‬</w:t>
        </w:r>
        <w:r>
          <w:t>‬</w:t>
        </w:r>
        <w:r>
          <w:t>‬</w:t>
        </w:r>
        <w:r>
          <w:t>‬</w:t>
        </w:r>
        <w:r w:rsidR="00DF3A99">
          <w:t>‬</w:t>
        </w:r>
      </w:dir>
    </w:p>
    <w:p w:rsidR="00A62E4E" w:rsidRPr="00D371D5" w:rsidRDefault="00A62E4E" w:rsidP="00A62E4E">
      <w:pPr>
        <w:pStyle w:val="SingleTxtGA"/>
        <w:rPr>
          <w:spacing w:val="-2"/>
          <w:rtl/>
        </w:rPr>
      </w:pPr>
      <w:r w:rsidRPr="00D371D5">
        <w:rPr>
          <w:spacing w:val="-2"/>
          <w:rtl/>
        </w:rPr>
        <w:tab/>
        <w:t>(أ)</w:t>
      </w:r>
      <w:r w:rsidRPr="00D371D5">
        <w:rPr>
          <w:spacing w:val="-2"/>
          <w:rtl/>
        </w:rPr>
        <w:tab/>
        <w:t>كررت الدولة الطرف ما أوردته من معلومات في ردودها على قائمة المسائل (</w:t>
      </w:r>
      <w:r w:rsidRPr="00D371D5">
        <w:rPr>
          <w:spacing w:val="-2"/>
          <w:lang w:val="en-GB"/>
        </w:rPr>
        <w:t>CCPR/C/PAK/Q/</w:t>
      </w:r>
      <w:r w:rsidRPr="00D371D5">
        <w:rPr>
          <w:spacing w:val="-2"/>
          <w:szCs w:val="20"/>
          <w:lang w:val="en-GB"/>
        </w:rPr>
        <w:t>1</w:t>
      </w:r>
      <w:r w:rsidRPr="00D371D5">
        <w:rPr>
          <w:spacing w:val="-2"/>
          <w:lang w:val="en-GB"/>
        </w:rPr>
        <w:t>/Add.</w:t>
      </w:r>
      <w:r w:rsidRPr="00D371D5">
        <w:rPr>
          <w:spacing w:val="-2"/>
          <w:szCs w:val="20"/>
          <w:lang w:val="en-GB"/>
        </w:rPr>
        <w:t>1</w:t>
      </w:r>
      <w:r w:rsidRPr="00D371D5">
        <w:rPr>
          <w:spacing w:val="-2"/>
          <w:rtl/>
        </w:rPr>
        <w:t xml:space="preserve">، الفقرات </w:t>
      </w:r>
      <w:r w:rsidRPr="00D371D5">
        <w:rPr>
          <w:spacing w:val="-2"/>
          <w:szCs w:val="20"/>
          <w:rtl/>
        </w:rPr>
        <w:t>21</w:t>
      </w:r>
      <w:r w:rsidRPr="00D371D5">
        <w:rPr>
          <w:spacing w:val="-2"/>
          <w:rtl/>
        </w:rPr>
        <w:t xml:space="preserve"> إلى </w:t>
      </w:r>
      <w:r w:rsidRPr="00D371D5">
        <w:rPr>
          <w:spacing w:val="-2"/>
          <w:szCs w:val="20"/>
          <w:rtl/>
        </w:rPr>
        <w:t>23</w:t>
      </w:r>
      <w:r w:rsidRPr="00D371D5">
        <w:rPr>
          <w:spacing w:val="-2"/>
          <w:rtl/>
        </w:rPr>
        <w:t xml:space="preserve">) من أن سياستها بشأن عقوبة الإعدام تتماشى مع دستورها وقوانينها الوطنية ومع القواعد الدولية؛ وأن وقف عقوبة الإعدام قد رُفع بعد أن نشأ توافق وطني في الآراء في أعقاب هجوم مروع لقي فيه أكثر من </w:t>
      </w:r>
      <w:r w:rsidRPr="00D371D5">
        <w:rPr>
          <w:spacing w:val="-2"/>
          <w:szCs w:val="20"/>
          <w:rtl/>
        </w:rPr>
        <w:t>150</w:t>
      </w:r>
      <w:r w:rsidRPr="00D371D5">
        <w:rPr>
          <w:spacing w:val="-2"/>
          <w:rtl/>
        </w:rPr>
        <w:t xml:space="preserve"> طالباً ومعلماً حتفهم على أيدي إرهابيين؛ وأنه لا</w:t>
      </w:r>
      <w:r w:rsidRPr="00D371D5">
        <w:rPr>
          <w:rFonts w:hint="cs"/>
          <w:spacing w:val="-2"/>
          <w:rtl/>
        </w:rPr>
        <w:t> </w:t>
      </w:r>
      <w:r w:rsidRPr="00D371D5">
        <w:rPr>
          <w:spacing w:val="-2"/>
          <w:rtl/>
        </w:rPr>
        <w:t xml:space="preserve">يجوز فرض عقوبة الإعدام على الأشخاص الذين تقل أعمارهم عن </w:t>
      </w:r>
      <w:r w:rsidRPr="00D371D5">
        <w:rPr>
          <w:spacing w:val="-2"/>
          <w:szCs w:val="20"/>
          <w:rtl/>
        </w:rPr>
        <w:t>18</w:t>
      </w:r>
      <w:r w:rsidRPr="00D371D5">
        <w:rPr>
          <w:spacing w:val="-2"/>
          <w:rtl/>
        </w:rPr>
        <w:t xml:space="preserve"> سنة. والدولة الطرف بصدد دراسة الأحكام الحالية في القانون الجنائي وقانون الإجراءات الجنائية لتحديد ما إذا كان من الممكن تضييق نطاق تطبيق عقوبة الإعدام. وكان من المقرر أن ينتهي عمل المحاكم العسكرية في كانون الثاني/</w:t>
      </w:r>
      <w:r w:rsidRPr="00D371D5">
        <w:rPr>
          <w:rFonts w:hint="cs"/>
          <w:spacing w:val="-2"/>
          <w:rtl/>
        </w:rPr>
        <w:t xml:space="preserve"> </w:t>
      </w:r>
      <w:r w:rsidRPr="00D371D5">
        <w:rPr>
          <w:spacing w:val="-2"/>
          <w:rtl/>
        </w:rPr>
        <w:t>يناير</w:t>
      </w:r>
      <w:r w:rsidRPr="00D371D5">
        <w:rPr>
          <w:rFonts w:hint="cs"/>
          <w:spacing w:val="-2"/>
          <w:rtl/>
        </w:rPr>
        <w:t> </w:t>
      </w:r>
      <w:r w:rsidRPr="00D371D5">
        <w:rPr>
          <w:spacing w:val="-2"/>
          <w:szCs w:val="20"/>
          <w:rtl/>
        </w:rPr>
        <w:t>2017</w:t>
      </w:r>
      <w:r w:rsidRPr="00D371D5">
        <w:rPr>
          <w:spacing w:val="-2"/>
          <w:rtl/>
        </w:rPr>
        <w:t xml:space="preserve">، لكنه مدد لمدة عامين بتعديل دستوري ثم انتهى في آذار/مارس </w:t>
      </w:r>
      <w:r w:rsidRPr="00D371D5">
        <w:rPr>
          <w:spacing w:val="-2"/>
          <w:szCs w:val="20"/>
          <w:rtl/>
        </w:rPr>
        <w:t>2019</w:t>
      </w:r>
      <w:r w:rsidRPr="00D371D5">
        <w:rPr>
          <w:spacing w:val="-2"/>
          <w:rtl/>
        </w:rPr>
        <w:t xml:space="preserve">. وفي </w:t>
      </w:r>
      <w:r w:rsidRPr="00D371D5">
        <w:rPr>
          <w:spacing w:val="-2"/>
          <w:szCs w:val="20"/>
          <w:rtl/>
        </w:rPr>
        <w:t>869</w:t>
      </w:r>
      <w:r w:rsidRPr="00D371D5">
        <w:rPr>
          <w:spacing w:val="-2"/>
          <w:rtl/>
        </w:rPr>
        <w:t xml:space="preserve"> حالة وردت من المقاطعات، أُعدم </w:t>
      </w:r>
      <w:r w:rsidRPr="00D371D5">
        <w:rPr>
          <w:spacing w:val="-2"/>
          <w:szCs w:val="20"/>
          <w:rtl/>
        </w:rPr>
        <w:t>59</w:t>
      </w:r>
      <w:r w:rsidRPr="00D371D5">
        <w:rPr>
          <w:spacing w:val="-2"/>
          <w:rtl/>
        </w:rPr>
        <w:t xml:space="preserve"> سجيناً بعد مراعاة الإجراءات القانونية الواجبة. وأشارت الدولة الطرف إلى</w:t>
      </w:r>
      <w:r w:rsidRPr="00D371D5">
        <w:rPr>
          <w:rFonts w:hint="cs"/>
          <w:spacing w:val="-2"/>
          <w:rtl/>
        </w:rPr>
        <w:t> </w:t>
      </w:r>
      <w:r w:rsidRPr="00D371D5">
        <w:rPr>
          <w:spacing w:val="-2"/>
          <w:rtl/>
        </w:rPr>
        <w:t>الصلاحية المخولة للرئيس للعفو عن السجناء المحكوم عليهم بالإعدام؛</w:t>
      </w:r>
    </w:p>
    <w:p w:rsidR="00A62E4E" w:rsidRPr="00B21F27" w:rsidRDefault="00A62E4E" w:rsidP="00A62E4E">
      <w:pPr>
        <w:pStyle w:val="SingleTxtGA"/>
        <w:rPr>
          <w:rtl/>
        </w:rPr>
      </w:pPr>
      <w:r w:rsidRPr="00B21F27">
        <w:rPr>
          <w:rtl/>
        </w:rPr>
        <w:tab/>
        <w:t>(ب)</w:t>
      </w:r>
      <w:r w:rsidRPr="00B21F27">
        <w:rPr>
          <w:rtl/>
        </w:rPr>
        <w:tab/>
        <w:t xml:space="preserve">ولم تطبق عقوبة الإعدام على أي شخص يقل عمره عن </w:t>
      </w:r>
      <w:r w:rsidRPr="00A62E4E">
        <w:rPr>
          <w:szCs w:val="20"/>
          <w:rtl/>
        </w:rPr>
        <w:t>18</w:t>
      </w:r>
      <w:r w:rsidRPr="00B21F27">
        <w:rPr>
          <w:rtl/>
        </w:rPr>
        <w:t xml:space="preserve"> سنة. وتم إصدار قانون نظام قضاء الأحداث لعام </w:t>
      </w:r>
      <w:r w:rsidRPr="00A62E4E">
        <w:rPr>
          <w:szCs w:val="20"/>
          <w:rtl/>
        </w:rPr>
        <w:t>2018</w:t>
      </w:r>
      <w:r w:rsidRPr="00B21F27">
        <w:rPr>
          <w:rtl/>
        </w:rPr>
        <w:t xml:space="preserve">. ويتيح أحد أحكامه للأشخاص أن يحددوا </w:t>
      </w:r>
      <w:r w:rsidR="00BA3391">
        <w:rPr>
          <w:rFonts w:hint="cs"/>
          <w:rtl/>
        </w:rPr>
        <w:t>ب</w:t>
      </w:r>
      <w:r w:rsidRPr="00B21F27">
        <w:rPr>
          <w:rtl/>
        </w:rPr>
        <w:t>أنفسهم سنهم، وهو ما</w:t>
      </w:r>
      <w:r>
        <w:rPr>
          <w:rFonts w:hint="cs"/>
          <w:rtl/>
        </w:rPr>
        <w:t> </w:t>
      </w:r>
      <w:r w:rsidRPr="00B21F27">
        <w:rPr>
          <w:rtl/>
        </w:rPr>
        <w:t>يحول عبء إثبات خلاف ذلك إلى الادعاء؛</w:t>
      </w:r>
    </w:p>
    <w:p w:rsidR="00A62E4E" w:rsidRPr="00B21F27" w:rsidRDefault="00A62E4E" w:rsidP="00A62E4E">
      <w:pPr>
        <w:pStyle w:val="SingleTxtGA"/>
        <w:rPr>
          <w:rtl/>
        </w:rPr>
      </w:pPr>
      <w:r w:rsidRPr="00B21F27">
        <w:rPr>
          <w:rtl/>
        </w:rPr>
        <w:tab/>
        <w:t>(ج)</w:t>
      </w:r>
      <w:r w:rsidRPr="00B21F27">
        <w:rPr>
          <w:rtl/>
        </w:rPr>
        <w:tab/>
        <w:t>لم تقدم معلومات؛</w:t>
      </w:r>
    </w:p>
    <w:p w:rsidR="00A62E4E" w:rsidRPr="00B21F27" w:rsidRDefault="00A62E4E" w:rsidP="00A62E4E">
      <w:pPr>
        <w:pStyle w:val="SingleTxtGA"/>
        <w:rPr>
          <w:rtl/>
        </w:rPr>
      </w:pPr>
      <w:r w:rsidRPr="00B21F27">
        <w:rPr>
          <w:rtl/>
        </w:rPr>
        <w:tab/>
        <w:t>(د)</w:t>
      </w:r>
      <w:r w:rsidRPr="00B21F27">
        <w:rPr>
          <w:rtl/>
        </w:rPr>
        <w:tab/>
        <w:t>لم تقدم معلومات؛</w:t>
      </w:r>
    </w:p>
    <w:p w:rsidR="00A62E4E" w:rsidRDefault="00A62E4E" w:rsidP="00A62E4E">
      <w:pPr>
        <w:pStyle w:val="SingleTxtGA"/>
        <w:rPr>
          <w:rtl/>
        </w:rPr>
      </w:pPr>
      <w:r w:rsidRPr="00B21F27">
        <w:rPr>
          <w:rtl/>
        </w:rPr>
        <w:tab/>
        <w:t>(ه)</w:t>
      </w:r>
      <w:r w:rsidRPr="00B21F27">
        <w:rPr>
          <w:rtl/>
        </w:rPr>
        <w:tab/>
        <w:t>لم تقدم معلومات؛</w:t>
      </w:r>
    </w:p>
    <w:p w:rsidR="00A62E4E" w:rsidRPr="00B21F27" w:rsidRDefault="00A62E4E" w:rsidP="00D371D5">
      <w:pPr>
        <w:pStyle w:val="H23GA"/>
        <w:pageBreakBefore/>
        <w:spacing w:before="0"/>
        <w:rPr>
          <w:rtl/>
        </w:rPr>
      </w:pPr>
      <w:r w:rsidRPr="00B21F27">
        <w:rPr>
          <w:rtl/>
        </w:rPr>
        <w:tab/>
      </w:r>
      <w:r w:rsidRPr="00B21F27">
        <w:rPr>
          <w:rtl/>
        </w:rPr>
        <w:tab/>
        <w:t>معلومات مقدمة من منظمة غير حكومية</w:t>
      </w:r>
    </w:p>
    <w:p w:rsidR="00A62E4E" w:rsidRPr="004F3C37" w:rsidRDefault="00A62E4E" w:rsidP="00D371D5">
      <w:pPr>
        <w:pStyle w:val="H4GA"/>
        <w:rPr>
          <w:rtl/>
        </w:rPr>
      </w:pPr>
      <w:r w:rsidRPr="004F3C37">
        <w:rPr>
          <w:rtl/>
        </w:rPr>
        <w:tab/>
      </w:r>
      <w:r w:rsidRPr="004F3C37">
        <w:rPr>
          <w:rtl/>
        </w:rPr>
        <w:tab/>
        <w:t>مشروع العدالة في باكستان</w:t>
      </w:r>
    </w:p>
    <w:p w:rsidR="00A62E4E" w:rsidRPr="00B21F27" w:rsidRDefault="00A62E4E" w:rsidP="00A62E4E">
      <w:pPr>
        <w:pStyle w:val="SingleTxtGA"/>
        <w:rPr>
          <w:rtl/>
        </w:rPr>
      </w:pPr>
      <w:r w:rsidRPr="00B21F27">
        <w:rPr>
          <w:rtl/>
        </w:rPr>
        <w:tab/>
        <w:t>(أ)</w:t>
      </w:r>
      <w:r w:rsidRPr="00B21F27">
        <w:rPr>
          <w:rtl/>
        </w:rPr>
        <w:tab/>
        <w:t>تعد وزارة الداخلية ووزارة حقوق الإنسان حاليا</w:t>
      </w:r>
      <w:r w:rsidR="00BA3391">
        <w:rPr>
          <w:rFonts w:hint="cs"/>
          <w:rtl/>
        </w:rPr>
        <w:t>ً</w:t>
      </w:r>
      <w:r w:rsidRPr="00B21F27">
        <w:rPr>
          <w:rtl/>
        </w:rPr>
        <w:t xml:space="preserve"> قواعد وأنظمة لإصلاح إجراءات التماس العفو؛</w:t>
      </w:r>
    </w:p>
    <w:p w:rsidR="00A62E4E" w:rsidRPr="00B21F27" w:rsidRDefault="00A62E4E" w:rsidP="00A62E4E">
      <w:pPr>
        <w:pStyle w:val="SingleTxtGA"/>
        <w:rPr>
          <w:rtl/>
        </w:rPr>
      </w:pPr>
      <w:r w:rsidRPr="00B21F27">
        <w:rPr>
          <w:rtl/>
        </w:rPr>
        <w:tab/>
        <w:t>(ب)</w:t>
      </w:r>
      <w:r w:rsidRPr="00B21F27">
        <w:rPr>
          <w:rtl/>
        </w:rPr>
        <w:tab/>
        <w:t xml:space="preserve">ولا ينص قانون نظام قضاء الأحداث لعام </w:t>
      </w:r>
      <w:r w:rsidRPr="00A62E4E">
        <w:rPr>
          <w:szCs w:val="20"/>
          <w:rtl/>
        </w:rPr>
        <w:t>2018</w:t>
      </w:r>
      <w:r w:rsidRPr="00B21F27">
        <w:rPr>
          <w:rtl/>
        </w:rPr>
        <w:t xml:space="preserve"> على تفسير الشك لصالح الطفل في</w:t>
      </w:r>
      <w:r>
        <w:rPr>
          <w:rFonts w:hint="cs"/>
          <w:rtl/>
        </w:rPr>
        <w:t> </w:t>
      </w:r>
      <w:r w:rsidRPr="00B21F27">
        <w:rPr>
          <w:rtl/>
        </w:rPr>
        <w:t>حالة وجود أدلة متضاربة أو غير قاطعة. فلا يزال مجرمون قصر، مثل محمد إقبال، ينتظرون تنفيذ حكم الإعدام فيهم على الرغم من صدور إخطار رئاسي بالصفح عنه وعن آخرين؛</w:t>
      </w:r>
    </w:p>
    <w:p w:rsidR="00A62E4E" w:rsidRPr="00B21F27" w:rsidRDefault="00A62E4E" w:rsidP="00A62E4E">
      <w:pPr>
        <w:pStyle w:val="SingleTxtGA"/>
        <w:rPr>
          <w:rtl/>
        </w:rPr>
      </w:pPr>
      <w:r w:rsidRPr="00B21F27">
        <w:rPr>
          <w:rtl/>
        </w:rPr>
        <w:tab/>
        <w:t>(ج)</w:t>
      </w:r>
      <w:r w:rsidRPr="00B21F27">
        <w:rPr>
          <w:rtl/>
        </w:rPr>
        <w:tab/>
        <w:t>ويجري مشروع العدالة في باكستان ووزارة القانون والعدل دراسة عن تنقيح قواعد السجون المتعلقة بمعاملة السجناء المصابين بأمراض عقلية؛</w:t>
      </w:r>
    </w:p>
    <w:p w:rsidR="00A62E4E" w:rsidRPr="00B21F27" w:rsidRDefault="00A62E4E" w:rsidP="00A62E4E">
      <w:pPr>
        <w:pStyle w:val="SingleTxtGA"/>
        <w:rPr>
          <w:rtl/>
        </w:rPr>
      </w:pPr>
      <w:r w:rsidRPr="00B21F27">
        <w:rPr>
          <w:rtl/>
        </w:rPr>
        <w:tab/>
        <w:t>(د)</w:t>
      </w:r>
      <w:r w:rsidRPr="00B21F27">
        <w:rPr>
          <w:rtl/>
        </w:rPr>
        <w:tab/>
        <w:t>وشكلت وزارة القانون والعدل فريقا</w:t>
      </w:r>
      <w:r w:rsidR="00D371D5">
        <w:rPr>
          <w:rFonts w:hint="cs"/>
          <w:rtl/>
        </w:rPr>
        <w:t>ً</w:t>
      </w:r>
      <w:r w:rsidRPr="00B21F27">
        <w:rPr>
          <w:rtl/>
        </w:rPr>
        <w:t xml:space="preserve"> عاملا</w:t>
      </w:r>
      <w:r w:rsidR="00D371D5">
        <w:rPr>
          <w:rFonts w:hint="cs"/>
          <w:rtl/>
        </w:rPr>
        <w:t>ً</w:t>
      </w:r>
      <w:r w:rsidRPr="00B21F27">
        <w:rPr>
          <w:rtl/>
        </w:rPr>
        <w:t xml:space="preserve"> يضم ممثلين عن المجتمع المدني لاستعراض قواعد السجون في باكستان؛</w:t>
      </w:r>
    </w:p>
    <w:p w:rsidR="00A62E4E" w:rsidRDefault="00A62E4E" w:rsidP="00A62E4E">
      <w:pPr>
        <w:pStyle w:val="SingleTxtGA"/>
        <w:rPr>
          <w:rtl/>
        </w:rPr>
      </w:pPr>
      <w:r w:rsidRPr="00B21F27">
        <w:rPr>
          <w:rtl/>
        </w:rPr>
        <w:tab/>
        <w:t>(ه)</w:t>
      </w:r>
      <w:r w:rsidRPr="00B21F27">
        <w:rPr>
          <w:rtl/>
        </w:rPr>
        <w:tab/>
        <w:t xml:space="preserve">وفي آذار/مارس </w:t>
      </w:r>
      <w:r w:rsidRPr="00A62E4E">
        <w:rPr>
          <w:szCs w:val="20"/>
          <w:rtl/>
        </w:rPr>
        <w:t>2018</w:t>
      </w:r>
      <w:r w:rsidRPr="00B21F27">
        <w:rPr>
          <w:rtl/>
        </w:rPr>
        <w:t>، وافقت الحكومة على اتفاق لنقل السجناء مع الصين ومع المملكة العربية السعودية. غير أن هذا الاتفاق لم يوافق عليه بعد مجلس الوزراء الاتحادي.</w:t>
      </w:r>
    </w:p>
    <w:p w:rsidR="00A62E4E" w:rsidRPr="00B21F27" w:rsidRDefault="00A62E4E" w:rsidP="00D371D5">
      <w:pPr>
        <w:pStyle w:val="H23GA"/>
        <w:rPr>
          <w:rtl/>
        </w:rPr>
      </w:pPr>
      <w:r w:rsidRPr="00B21F27">
        <w:rPr>
          <w:rtl/>
        </w:rPr>
        <w:tab/>
      </w:r>
      <w:r w:rsidRPr="00B21F27">
        <w:rPr>
          <w:rtl/>
        </w:rPr>
        <w:tab/>
        <w:t>تقييم اللجنة</w:t>
      </w:r>
    </w:p>
    <w:p w:rsidR="00A62E4E" w:rsidRPr="00D371D5" w:rsidRDefault="00A62E4E" w:rsidP="00D371D5">
      <w:pPr>
        <w:pStyle w:val="SingleTxtGA"/>
        <w:rPr>
          <w:bCs/>
          <w:spacing w:val="-2"/>
          <w:rtl/>
        </w:rPr>
      </w:pPr>
      <w:r w:rsidRPr="00D371D5">
        <w:rPr>
          <w:bCs/>
          <w:spacing w:val="-2"/>
          <w:rtl/>
        </w:rPr>
        <w:t>[باء]</w:t>
      </w:r>
      <w:r w:rsidRPr="00D371D5">
        <w:rPr>
          <w:spacing w:val="-2"/>
          <w:rtl/>
        </w:rPr>
        <w:t xml:space="preserve"> (أ): تحيط اللجنة علماً بالمعلومات المتعلقة باستعراض الأحكام القانونية الحالية لتحديد ما إذا كان يمكن تضييق نطاق تطبيق عقوبة الإعدام، ولكنها تطلب مزيداً من المعلومات في هذا الصدد، بما في ذلك معلومات عن التدابير الملموسة المتخذة أو المزمع اتخاذها لضمان ألا تطبق عقوبة الإعدام إلا على أشد الجرائم خطورة التي تنطوي على القتل العمد. وتحيط علماً أيضاً بالمعلومات المقدمة بشأن الصلاحية المخولة للرئيس لمنح العفو للسجناء المحكوم عليهم بالإعدام، ولكنها تطلب معلومات عما يلي: (أ) عدد أحكام الإعدام الصادرة في السنتين الأخيرتين؛ (ب) عدد الحالات التي منح فيها الرئيس العفو وعدد الحالات التي تم فيها تخفيف أحكام الإعدام في السنتين الأخيرتين؛ (ج) تبيان ما إذا كان يمكن أن يستفيد المحكوم عليه بالإعدام من العفو وما إذا كان يمكن تخفيف عقوبته بصرف النظر عن الجريمة المرتكبة. ولئن لاحظت اللجنة أن المحاكم العسكرية انتهى عملها في آذار/مارس </w:t>
      </w:r>
      <w:r w:rsidRPr="00D371D5">
        <w:rPr>
          <w:spacing w:val="-2"/>
          <w:szCs w:val="20"/>
          <w:rtl/>
        </w:rPr>
        <w:t>2019</w:t>
      </w:r>
      <w:r w:rsidRPr="00D371D5">
        <w:rPr>
          <w:spacing w:val="-2"/>
          <w:rtl/>
        </w:rPr>
        <w:t xml:space="preserve">، فإنها تأسف لإعدام </w:t>
      </w:r>
      <w:r w:rsidRPr="00D371D5">
        <w:rPr>
          <w:spacing w:val="-2"/>
          <w:szCs w:val="20"/>
          <w:rtl/>
        </w:rPr>
        <w:t>59</w:t>
      </w:r>
      <w:r w:rsidRPr="00D371D5">
        <w:rPr>
          <w:spacing w:val="-2"/>
          <w:rtl/>
        </w:rPr>
        <w:t xml:space="preserve"> سجيناً استنادا</w:t>
      </w:r>
      <w:r w:rsidR="00BA3391">
        <w:rPr>
          <w:rFonts w:hint="cs"/>
          <w:spacing w:val="-2"/>
          <w:rtl/>
        </w:rPr>
        <w:t>ً</w:t>
      </w:r>
      <w:r w:rsidRPr="00D371D5">
        <w:rPr>
          <w:spacing w:val="-2"/>
          <w:rtl/>
        </w:rPr>
        <w:t xml:space="preserve"> إلى أحكام صادرة عن محاكم عسكرية، وتطلب معلومات عما إذا كانت المحاكم العسكرية فرضت أحكاماً بالإعدام على مدنيين.</w:t>
      </w:r>
    </w:p>
    <w:p w:rsidR="00A62E4E" w:rsidRPr="00B21F27" w:rsidRDefault="00A62E4E" w:rsidP="00D371D5">
      <w:pPr>
        <w:pStyle w:val="SingleTxtGA"/>
        <w:rPr>
          <w:rtl/>
        </w:rPr>
      </w:pPr>
      <w:r w:rsidRPr="00B21F27">
        <w:rPr>
          <w:bCs/>
          <w:rtl/>
        </w:rPr>
        <w:t>[جيم]</w:t>
      </w:r>
      <w:r w:rsidRPr="00B21F27">
        <w:rPr>
          <w:rtl/>
        </w:rPr>
        <w:t xml:space="preserve"> (ب) و(ج) و(د) و(ه): تحيط اللجنة علماً بالمعلومات التي قدمتها الدولة الطرف بشأن حظر فرض عقوبة الإعدام على الأشخاص الذين تقل أعمارهم عن </w:t>
      </w:r>
      <w:r w:rsidRPr="00A62E4E">
        <w:rPr>
          <w:szCs w:val="20"/>
          <w:rtl/>
        </w:rPr>
        <w:t>18</w:t>
      </w:r>
      <w:r w:rsidRPr="00B21F27">
        <w:rPr>
          <w:rtl/>
        </w:rPr>
        <w:t xml:space="preserve"> سنة وبشأن إصدار قانون نظام قضاء الأحداث في عام </w:t>
      </w:r>
      <w:r w:rsidRPr="00A62E4E">
        <w:rPr>
          <w:szCs w:val="20"/>
          <w:rtl/>
        </w:rPr>
        <w:t>2018</w:t>
      </w:r>
      <w:r w:rsidRPr="00B21F27">
        <w:rPr>
          <w:rtl/>
        </w:rPr>
        <w:t xml:space="preserve">، وهو قانون ينص على إجراء لتحديد السن. وتطلب معلومات عن عدد الأشخاص الذين ينتظرون تنفيذ حكم الإعدام فيهم حالياً بسبب جرائم ارتكبوها قبل سن الثامنة عشرة، وعن عدد أحكام وقف التنفيذ التي صدرت لأشخاص تقل أعمارهم عن </w:t>
      </w:r>
      <w:r w:rsidRPr="00A62E4E">
        <w:rPr>
          <w:szCs w:val="20"/>
          <w:rtl/>
        </w:rPr>
        <w:t>18</w:t>
      </w:r>
      <w:r w:rsidRPr="00B21F27">
        <w:rPr>
          <w:rtl/>
        </w:rPr>
        <w:t xml:space="preserve"> سنة وحُكم عليهم بالإعدام، وتود أن تعرف ما إذا كان القانون قد طبق بالكامل، أي ما إذا كان أشخاص تقل أعمارهم عن </w:t>
      </w:r>
      <w:r w:rsidRPr="00A62E4E">
        <w:rPr>
          <w:szCs w:val="20"/>
          <w:rtl/>
        </w:rPr>
        <w:t>18</w:t>
      </w:r>
      <w:r w:rsidRPr="00B21F27">
        <w:rPr>
          <w:rtl/>
        </w:rPr>
        <w:t xml:space="preserve"> سنة حُكم عليهم بالإعدام منذ إقرار القانون، وأن تبين لها التدابير المتخذة لتنفيذ إجراء تحديد السن المنصوص عليه في قانون نظام قضاء الأحداث الجديد.</w:t>
      </w:r>
    </w:p>
    <w:p w:rsidR="00A62E4E" w:rsidRDefault="00A62E4E" w:rsidP="00D371D5">
      <w:pPr>
        <w:pStyle w:val="SingleTxtGA"/>
        <w:rPr>
          <w:rtl/>
        </w:rPr>
      </w:pPr>
      <w:r w:rsidRPr="00B21F27">
        <w:rPr>
          <w:rtl/>
        </w:rPr>
        <w:tab/>
        <w:t>وتأسف اللجنة لعدم تقديم أي معلومات عن التدابير المتخذة لمنع عمليات الإعدام أو فرض عقوبة الإعدام على الأشخاص ذوي الإعاقات الذهنية أو النفسية الاجتماعية الخطيرة؛ وعن بروتوكول التنفيذ وعما إذا كان يتماشى مع المعايير الدولية؛ وعن العمال المهاجرين الباكستانيين المحكوم عليهم بالإعدام في الخارج. وتطلب اللجنة مجددا</w:t>
      </w:r>
      <w:r w:rsidR="00B3789C">
        <w:rPr>
          <w:rFonts w:hint="cs"/>
          <w:rtl/>
        </w:rPr>
        <w:t>ً</w:t>
      </w:r>
      <w:r w:rsidRPr="00B21F27">
        <w:rPr>
          <w:rtl/>
        </w:rPr>
        <w:t xml:space="preserve"> تزويدها بالمعلومات وتكرر تأكيد توصيتها.</w:t>
      </w:r>
    </w:p>
    <w:p w:rsidR="00A62E4E" w:rsidRPr="00B21F27" w:rsidRDefault="00A62E4E" w:rsidP="00D371D5">
      <w:pPr>
        <w:pStyle w:val="H23GA"/>
        <w:rPr>
          <w:rtl/>
        </w:rPr>
      </w:pPr>
      <w:r w:rsidRPr="00B21F27">
        <w:rPr>
          <w:rtl/>
        </w:rPr>
        <w:tab/>
      </w:r>
      <w:r w:rsidRPr="00B21F27">
        <w:rPr>
          <w:rtl/>
        </w:rPr>
        <w:tab/>
        <w:t xml:space="preserve">الفقرة </w:t>
      </w:r>
      <w:r w:rsidRPr="004F3C37">
        <w:rPr>
          <w:szCs w:val="20"/>
          <w:rtl/>
        </w:rPr>
        <w:t>20</w:t>
      </w:r>
      <w:r w:rsidRPr="00B21F27">
        <w:rPr>
          <w:lang w:val="en-GB"/>
        </w:rPr>
        <w:t>:</w:t>
      </w:r>
      <w:r w:rsidRPr="00B21F27">
        <w:rPr>
          <w:rtl/>
        </w:rPr>
        <w:t xml:space="preserve"> الاختفاء القسري والإعدام بغير محاكمة</w:t>
      </w:r>
    </w:p>
    <w:p w:rsidR="00A62E4E" w:rsidRPr="00A62E4E" w:rsidRDefault="00A62E4E" w:rsidP="00A62E4E">
      <w:pPr>
        <w:pStyle w:val="SingleTxtGA"/>
        <w:rPr>
          <w:b/>
          <w:bCs/>
          <w:rtl/>
        </w:rPr>
      </w:pPr>
      <w:r w:rsidRPr="00A62E4E">
        <w:rPr>
          <w:b/>
          <w:bCs/>
          <w:rtl/>
        </w:rPr>
        <w:tab/>
        <w:t>ينبغي للدولة الطرف أن تجرم الاختفاء القسري وتضع حداً لممارسة الاختفاء القسري والاحتجاز السري، وأن تعيد النظر في لائحة إجراءات (معاونة السلطة المدنية) لعام </w:t>
      </w:r>
      <w:r w:rsidRPr="00A62E4E">
        <w:rPr>
          <w:b/>
          <w:bCs/>
          <w:szCs w:val="20"/>
          <w:rtl/>
        </w:rPr>
        <w:t>2011</w:t>
      </w:r>
      <w:r w:rsidRPr="00A62E4E">
        <w:rPr>
          <w:b/>
          <w:bCs/>
          <w:rtl/>
        </w:rPr>
        <w:t xml:space="preserve"> قصد إلغائها أو جعلها تتوافق مع المعايير الدولية. وينبغي أيضاً أن تكفل التحقيق السريع والشامل في</w:t>
      </w:r>
      <w:r w:rsidRPr="00A62E4E">
        <w:rPr>
          <w:rFonts w:hint="cs"/>
          <w:b/>
          <w:bCs/>
          <w:rtl/>
        </w:rPr>
        <w:t> </w:t>
      </w:r>
      <w:r w:rsidRPr="00A62E4E">
        <w:rPr>
          <w:b/>
          <w:bCs/>
          <w:rtl/>
        </w:rPr>
        <w:t>جميع ادعاءات الاختفاء القسري والإعدام بغير محاكمة؛ ومقاضاة جميع الجناة ومعاقبتهم بعقوبات تتناسب وخطورةَ الجرائم؛ وحماية أسر المختفين ومحاميهم والشهود؛ وإنشاء آلية لتعويض الضحايا وأسرهم الكامل والفوري. وينبغي كذلك أن تعزز سلطة لجنة التحقيق المعنية بالاختفاء القسري وقدراتها (المالية والبشرية) كي تتمكن من أداء عملها بفاعلية.</w:t>
      </w:r>
    </w:p>
    <w:p w:rsidR="00A62E4E" w:rsidRPr="00245171" w:rsidRDefault="00A62E4E" w:rsidP="00D371D5">
      <w:pPr>
        <w:pStyle w:val="H23GA"/>
        <w:rPr>
          <w:rtl/>
        </w:rPr>
      </w:pPr>
      <w:r w:rsidRPr="00B21F27">
        <w:rPr>
          <w:rtl/>
        </w:rPr>
        <w:tab/>
      </w:r>
      <w:r w:rsidRPr="00B21F27">
        <w:rPr>
          <w:rtl/>
        </w:rPr>
        <w:tab/>
      </w:r>
      <w:dir w:val="rtl">
        <w:r w:rsidRPr="00B21F27">
          <w:rPr>
            <w:rtl/>
          </w:rPr>
          <w:t>ملخص رد الدولة الطرف</w:t>
        </w:r>
        <w:r w:rsidRPr="00B21F27">
          <w:rPr>
            <w:rFonts w:ascii="Arial" w:hAnsi="Arial" w:cs="Arial" w:hint="cs"/>
            <w:rtl/>
          </w:rPr>
          <w:t>‬</w:t>
        </w:r>
        <w:r>
          <w:t>‬</w:t>
        </w:r>
        <w:r>
          <w:t>‬</w:t>
        </w:r>
        <w:r>
          <w:t>‬</w:t>
        </w:r>
        <w:r w:rsidR="00DF3A99">
          <w:t>‬</w:t>
        </w:r>
      </w:dir>
    </w:p>
    <w:p w:rsidR="00A62E4E" w:rsidRDefault="00A62E4E" w:rsidP="00A62E4E">
      <w:pPr>
        <w:pStyle w:val="SingleTxtGA"/>
        <w:rPr>
          <w:rtl/>
        </w:rPr>
      </w:pPr>
      <w:r w:rsidRPr="00D371D5">
        <w:rPr>
          <w:spacing w:val="-4"/>
          <w:rtl/>
        </w:rPr>
        <w:tab/>
        <w:t>كررت الدولة الطرف المعلومات التي قدمتها في ردودها على قائمة المسائل فيما يتعلق بإنشاء لجنة التحقيق المعنية بالاختفاء القسري (</w:t>
      </w:r>
      <w:r w:rsidRPr="00D371D5">
        <w:rPr>
          <w:spacing w:val="-4"/>
          <w:lang w:val="en-GB"/>
        </w:rPr>
        <w:t>CCPR/C/PAK/Q/</w:t>
      </w:r>
      <w:r w:rsidRPr="00D371D5">
        <w:rPr>
          <w:spacing w:val="-4"/>
          <w:szCs w:val="20"/>
          <w:lang w:val="en-GB"/>
        </w:rPr>
        <w:t>1</w:t>
      </w:r>
      <w:r w:rsidRPr="00D371D5">
        <w:rPr>
          <w:spacing w:val="-4"/>
          <w:lang w:val="en-GB"/>
        </w:rPr>
        <w:t>/Add.</w:t>
      </w:r>
      <w:r w:rsidRPr="00D371D5">
        <w:rPr>
          <w:spacing w:val="-4"/>
          <w:szCs w:val="20"/>
          <w:lang w:val="en-GB"/>
        </w:rPr>
        <w:t>1</w:t>
      </w:r>
      <w:r w:rsidRPr="00D371D5">
        <w:rPr>
          <w:spacing w:val="-4"/>
          <w:rtl/>
        </w:rPr>
        <w:t xml:space="preserve">، الفقرات </w:t>
      </w:r>
      <w:r w:rsidRPr="00D371D5">
        <w:rPr>
          <w:spacing w:val="-4"/>
          <w:szCs w:val="20"/>
          <w:rtl/>
        </w:rPr>
        <w:t>27</w:t>
      </w:r>
      <w:r w:rsidRPr="00D371D5">
        <w:rPr>
          <w:spacing w:val="-4"/>
          <w:rtl/>
        </w:rPr>
        <w:t xml:space="preserve"> إلى </w:t>
      </w:r>
      <w:r w:rsidRPr="00D371D5">
        <w:rPr>
          <w:spacing w:val="-4"/>
          <w:szCs w:val="20"/>
          <w:rtl/>
        </w:rPr>
        <w:t>33</w:t>
      </w:r>
      <w:r w:rsidRPr="00D371D5">
        <w:rPr>
          <w:spacing w:val="-4"/>
          <w:rtl/>
        </w:rPr>
        <w:t xml:space="preserve">). وأشارت إلى أنه سجل، في </w:t>
      </w:r>
      <w:r w:rsidRPr="00D371D5">
        <w:rPr>
          <w:spacing w:val="-4"/>
          <w:szCs w:val="20"/>
          <w:rtl/>
        </w:rPr>
        <w:t>31</w:t>
      </w:r>
      <w:r w:rsidRPr="00D371D5">
        <w:rPr>
          <w:spacing w:val="-4"/>
          <w:rtl/>
        </w:rPr>
        <w:t xml:space="preserve"> آذار/مارس </w:t>
      </w:r>
      <w:r w:rsidRPr="00D371D5">
        <w:rPr>
          <w:spacing w:val="-4"/>
          <w:szCs w:val="20"/>
          <w:rtl/>
        </w:rPr>
        <w:t>2018</w:t>
      </w:r>
      <w:r w:rsidRPr="00D371D5">
        <w:rPr>
          <w:spacing w:val="-4"/>
          <w:rtl/>
        </w:rPr>
        <w:t xml:space="preserve">، وجود ما مجموعه </w:t>
      </w:r>
      <w:r w:rsidRPr="00D371D5">
        <w:rPr>
          <w:spacing w:val="-4"/>
          <w:szCs w:val="20"/>
          <w:rtl/>
        </w:rPr>
        <w:t>929</w:t>
      </w:r>
      <w:r w:rsidRPr="00D371D5">
        <w:rPr>
          <w:spacing w:val="-4"/>
          <w:rtl/>
        </w:rPr>
        <w:t xml:space="preserve"> </w:t>
      </w:r>
      <w:r w:rsidRPr="00D371D5">
        <w:rPr>
          <w:spacing w:val="-4"/>
          <w:szCs w:val="20"/>
          <w:rtl/>
        </w:rPr>
        <w:t>4</w:t>
      </w:r>
      <w:r w:rsidRPr="00D371D5">
        <w:rPr>
          <w:spacing w:val="-4"/>
          <w:rtl/>
        </w:rPr>
        <w:t xml:space="preserve"> حالة اختفاء قسري. وتم تسوية </w:t>
      </w:r>
      <w:r w:rsidRPr="00D371D5">
        <w:rPr>
          <w:spacing w:val="-4"/>
          <w:szCs w:val="20"/>
          <w:rtl/>
        </w:rPr>
        <w:t>219</w:t>
      </w:r>
      <w:r w:rsidRPr="00D371D5">
        <w:rPr>
          <w:rFonts w:hint="cs"/>
          <w:spacing w:val="-4"/>
          <w:rtl/>
        </w:rPr>
        <w:t> </w:t>
      </w:r>
      <w:r w:rsidRPr="00D371D5">
        <w:rPr>
          <w:spacing w:val="-4"/>
          <w:szCs w:val="20"/>
          <w:rtl/>
        </w:rPr>
        <w:t>3</w:t>
      </w:r>
      <w:r w:rsidRPr="00D371D5">
        <w:rPr>
          <w:spacing w:val="-4"/>
          <w:rtl/>
        </w:rPr>
        <w:t xml:space="preserve"> حالة</w:t>
      </w:r>
      <w:r w:rsidRPr="00B21F27">
        <w:rPr>
          <w:rtl/>
        </w:rPr>
        <w:t xml:space="preserve"> بين عامي </w:t>
      </w:r>
      <w:r w:rsidRPr="00A62E4E">
        <w:rPr>
          <w:szCs w:val="20"/>
          <w:rtl/>
        </w:rPr>
        <w:t>2011</w:t>
      </w:r>
      <w:r w:rsidRPr="00B21F27">
        <w:rPr>
          <w:rtl/>
        </w:rPr>
        <w:t xml:space="preserve"> و</w:t>
      </w:r>
      <w:r w:rsidRPr="00A62E4E">
        <w:rPr>
          <w:szCs w:val="20"/>
          <w:rtl/>
        </w:rPr>
        <w:t>2018</w:t>
      </w:r>
      <w:r w:rsidRPr="00B21F27">
        <w:rPr>
          <w:rtl/>
        </w:rPr>
        <w:t xml:space="preserve">، ويجري التحقيق في </w:t>
      </w:r>
      <w:r w:rsidRPr="00A62E4E">
        <w:rPr>
          <w:szCs w:val="20"/>
          <w:rtl/>
        </w:rPr>
        <w:t>710</w:t>
      </w:r>
      <w:r w:rsidRPr="00B21F27">
        <w:rPr>
          <w:rtl/>
        </w:rPr>
        <w:t xml:space="preserve"> </w:t>
      </w:r>
      <w:r w:rsidRPr="00A62E4E">
        <w:rPr>
          <w:szCs w:val="20"/>
          <w:rtl/>
        </w:rPr>
        <w:t>1</w:t>
      </w:r>
      <w:r w:rsidRPr="00B21F27">
        <w:rPr>
          <w:rtl/>
        </w:rPr>
        <w:t xml:space="preserve"> حالات في شباط/فبراير </w:t>
      </w:r>
      <w:r w:rsidRPr="00A62E4E">
        <w:rPr>
          <w:szCs w:val="20"/>
          <w:rtl/>
        </w:rPr>
        <w:t>2018</w:t>
      </w:r>
      <w:r w:rsidRPr="00B21F27">
        <w:rPr>
          <w:rtl/>
        </w:rPr>
        <w:t>. وذكرت أن لائحة إجراءات (معاونة السلطة المدنية) لعام </w:t>
      </w:r>
      <w:r w:rsidRPr="00A62E4E">
        <w:rPr>
          <w:szCs w:val="20"/>
          <w:rtl/>
        </w:rPr>
        <w:t>2011</w:t>
      </w:r>
      <w:r w:rsidRPr="00B21F27">
        <w:rPr>
          <w:rtl/>
        </w:rPr>
        <w:t xml:space="preserve"> جعلت إساءة استعمال القوة أو الشطط في استعمالها أثناء القيام بعمليات أعمالا</w:t>
      </w:r>
      <w:r w:rsidR="00B3789C">
        <w:rPr>
          <w:rFonts w:hint="cs"/>
          <w:rtl/>
        </w:rPr>
        <w:t>ً</w:t>
      </w:r>
      <w:r w:rsidRPr="00B21F27">
        <w:rPr>
          <w:rtl/>
        </w:rPr>
        <w:t xml:space="preserve"> يُعاقب عليها. ويبقى المحتجزون الذين يُلقى القبض عليهم أثناء العمليات في مراكز احتجاز يعلن عنها ويبلغ عنها. وتستعرض مجالس الرقابة بانتظام حالاتهم. ويتضمن القانون أحكاما</w:t>
      </w:r>
      <w:r w:rsidR="00B3789C">
        <w:rPr>
          <w:rFonts w:hint="cs"/>
          <w:rtl/>
        </w:rPr>
        <w:t>ً</w:t>
      </w:r>
      <w:r w:rsidRPr="00B21F27">
        <w:rPr>
          <w:rtl/>
        </w:rPr>
        <w:t xml:space="preserve"> شاملة بشأن مسائل منها ظروف الاحتجاز، واستئصال نزعة التطرف، والإفراج عن المحتجزين، وتسوية حالاتهم.</w:t>
      </w:r>
    </w:p>
    <w:p w:rsidR="00A62E4E" w:rsidRPr="00B21F27" w:rsidRDefault="00A62E4E" w:rsidP="00D371D5">
      <w:pPr>
        <w:pStyle w:val="H23GA"/>
        <w:rPr>
          <w:rtl/>
        </w:rPr>
      </w:pPr>
      <w:r>
        <w:rPr>
          <w:rtl/>
        </w:rPr>
        <w:tab/>
      </w:r>
      <w:r>
        <w:rPr>
          <w:rtl/>
        </w:rPr>
        <w:tab/>
      </w:r>
      <w:r w:rsidRPr="00B21F27">
        <w:rPr>
          <w:rtl/>
        </w:rPr>
        <w:t>معلومات مقدمة من منظمة غير حكومية</w:t>
      </w:r>
    </w:p>
    <w:p w:rsidR="00A62E4E" w:rsidRPr="004F3C37" w:rsidRDefault="00A62E4E" w:rsidP="00A62E4E">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4F3C37">
        <w:rPr>
          <w:rtl/>
        </w:rPr>
        <w:tab/>
      </w:r>
      <w:r w:rsidRPr="004F3C37">
        <w:rPr>
          <w:rtl/>
        </w:rPr>
        <w:tab/>
        <w:t>لجنة الحقوقيين الدولية</w:t>
      </w:r>
    </w:p>
    <w:p w:rsidR="00A62E4E" w:rsidRDefault="00A62E4E" w:rsidP="00A62E4E">
      <w:pPr>
        <w:pStyle w:val="SingleTxtGA"/>
        <w:rPr>
          <w:rtl/>
        </w:rPr>
      </w:pPr>
      <w:r w:rsidRPr="00B21F27">
        <w:rPr>
          <w:rtl/>
        </w:rPr>
        <w:tab/>
        <w:t>لم يُعترف بعد بالاختفاء القسري كجريمة قائمة بذاتها في الدولة الطرف التي تسجل حالات الاختفاء القسري على أنها عمليات اختطاف أو خطف أو حبس سري غير مشروع. وفي آب/</w:t>
      </w:r>
      <w:r>
        <w:rPr>
          <w:rFonts w:hint="cs"/>
          <w:rtl/>
        </w:rPr>
        <w:t xml:space="preserve"> </w:t>
      </w:r>
      <w:r w:rsidRPr="00B21F27">
        <w:rPr>
          <w:rtl/>
        </w:rPr>
        <w:t>أغسطس</w:t>
      </w:r>
      <w:r>
        <w:rPr>
          <w:rFonts w:hint="cs"/>
          <w:rtl/>
        </w:rPr>
        <w:t> </w:t>
      </w:r>
      <w:r w:rsidRPr="00A62E4E">
        <w:rPr>
          <w:szCs w:val="20"/>
          <w:rtl/>
        </w:rPr>
        <w:t>2019</w:t>
      </w:r>
      <w:r w:rsidRPr="00B21F27">
        <w:rPr>
          <w:rtl/>
        </w:rPr>
        <w:t xml:space="preserve">، منح قانون إجراءات (معاونة السلطة المدنية) في خيبر باختونخوا صلاحيات واسعة لأفراد القوات المسلحة في مقاطعة خيبر باختونخوا بأكملها. وحتى أيلول/سبتمبر </w:t>
      </w:r>
      <w:r w:rsidRPr="00A62E4E">
        <w:rPr>
          <w:szCs w:val="20"/>
          <w:rtl/>
        </w:rPr>
        <w:t>2019</w:t>
      </w:r>
      <w:r w:rsidRPr="00B21F27">
        <w:rPr>
          <w:rtl/>
        </w:rPr>
        <w:t xml:space="preserve">، لم يُقدَّم إلى العدالة أي من مرتكبي الاختفاء القسري. وتم تمديد فترة ولاية لجنة التحقيق المعنية بالاختفاء القسري حتى أيلول/سبتمبر </w:t>
      </w:r>
      <w:r w:rsidRPr="00A62E4E">
        <w:rPr>
          <w:szCs w:val="20"/>
          <w:rtl/>
        </w:rPr>
        <w:t>2020</w:t>
      </w:r>
      <w:r w:rsidRPr="00B21F27">
        <w:rPr>
          <w:rtl/>
        </w:rPr>
        <w:t>، ولكن اللجنة لم تعد لها صلاحية تسجيل تقارير المعلومات الأولى عند العثور على الضحية. ولا</w:t>
      </w:r>
      <w:r>
        <w:rPr>
          <w:rFonts w:hint="cs"/>
          <w:rtl/>
        </w:rPr>
        <w:t> </w:t>
      </w:r>
      <w:r w:rsidRPr="00B21F27">
        <w:rPr>
          <w:rtl/>
        </w:rPr>
        <w:t>يعترف تعريف اللجنة للاختفاء القسري بالاحتجاز السري أو الاحتجاز غير المعلن، ما</w:t>
      </w:r>
      <w:r>
        <w:rPr>
          <w:rFonts w:hint="cs"/>
          <w:rtl/>
        </w:rPr>
        <w:t> </w:t>
      </w:r>
      <w:r w:rsidRPr="00B21F27">
        <w:rPr>
          <w:rtl/>
        </w:rPr>
        <w:t>يستبعد حالات الاختفاء القسري التي تأذن بها الدولة.</w:t>
      </w:r>
    </w:p>
    <w:p w:rsidR="00A62E4E" w:rsidRPr="00B21F27" w:rsidRDefault="00A62E4E" w:rsidP="00D371D5">
      <w:pPr>
        <w:pStyle w:val="H23GA"/>
        <w:rPr>
          <w:rtl/>
        </w:rPr>
      </w:pPr>
      <w:r w:rsidRPr="00B21F27">
        <w:rPr>
          <w:rtl/>
        </w:rPr>
        <w:tab/>
      </w:r>
      <w:r w:rsidRPr="00B21F27">
        <w:rPr>
          <w:rtl/>
        </w:rPr>
        <w:tab/>
        <w:t>تقييم اللجنة</w:t>
      </w:r>
    </w:p>
    <w:p w:rsidR="00A62E4E" w:rsidRPr="00D371D5" w:rsidRDefault="00A62E4E" w:rsidP="00A62E4E">
      <w:pPr>
        <w:pStyle w:val="SingleTxtGA"/>
        <w:rPr>
          <w:spacing w:val="-2"/>
          <w:rtl/>
        </w:rPr>
      </w:pPr>
      <w:r w:rsidRPr="00D371D5">
        <w:rPr>
          <w:b/>
          <w:bCs/>
          <w:spacing w:val="-2"/>
          <w:rtl/>
        </w:rPr>
        <w:t>[جيم]</w:t>
      </w:r>
      <w:r w:rsidRPr="00D371D5">
        <w:rPr>
          <w:spacing w:val="-2"/>
          <w:rtl/>
        </w:rPr>
        <w:t>: تحيط اللجنة علماً بالمعلومات التي قدمتها الدولة الطرف، لكنها تأسف لأن التدابير المبينة اتخذت قبل اعتماد الملاحظات الختامية. وتحيط اللجنة علماً بالإحصاءات التي قدمتها الدولة الطرف، لكنها تأسف لعدم تقديم معلومات عن التدابير الملموسة المتخذة منذ اعتماد الملاحظات الختامية لكفالة التحقيق السريع والشامل في جميع ادعاءات الاختفاء القسري والإعدام بغير محاكمة وتقديم التعويضات المناسبة للضحايا. وتطلب اللجنة أيضا</w:t>
      </w:r>
      <w:r w:rsidR="00B3789C">
        <w:rPr>
          <w:rFonts w:hint="cs"/>
          <w:spacing w:val="-2"/>
          <w:rtl/>
        </w:rPr>
        <w:t>ً</w:t>
      </w:r>
      <w:r w:rsidRPr="00D371D5">
        <w:rPr>
          <w:spacing w:val="-2"/>
          <w:rtl/>
        </w:rPr>
        <w:t xml:space="preserve"> موافاتها بمعلومات عما يلي: (أ) التدابير المتخذة لتجريم الاختفاء القسري ووضع حد لممارسات الاختفاء القسري والاحتجاز السري؛ (ب) تبيان ما إذا كانت الدولة الطرف تعتزم إلغاء لائحة اجراءات (معاونة السلطة المدنية) لعام </w:t>
      </w:r>
      <w:r w:rsidRPr="00D371D5">
        <w:rPr>
          <w:spacing w:val="-2"/>
          <w:szCs w:val="20"/>
          <w:rtl/>
        </w:rPr>
        <w:t>2011</w:t>
      </w:r>
      <w:r w:rsidRPr="00D371D5">
        <w:rPr>
          <w:spacing w:val="-2"/>
          <w:rtl/>
        </w:rPr>
        <w:t xml:space="preserve"> أو مواءمتها مع المعايير الدولية؛ (ج) التدابير المتخذة لكفالة مقاضاة جميع الجناة ومعاقبتهم بعقوبات تتناسب وخطورةَ الجرائم؛ (د)</w:t>
      </w:r>
      <w:r w:rsidR="00D371D5">
        <w:rPr>
          <w:rFonts w:hint="cs"/>
          <w:spacing w:val="-2"/>
          <w:rtl/>
        </w:rPr>
        <w:t> </w:t>
      </w:r>
      <w:r w:rsidRPr="00D371D5">
        <w:rPr>
          <w:spacing w:val="-2"/>
          <w:rtl/>
        </w:rPr>
        <w:t>التدابير المتخذة لكفالة حماية أسر المختفين ومحاميهم والشهود؛ (ه) التدابير المتخذة لإنشاء آلية لتعويض الضحايا وأسرهم الكامل والفوري؛ (و) التدابير المتخذة منذ اعتماد الملاحظات الختامية لزيادة تعزيز سلطة لجنة التحقيق المعنية بالاختفاء القسري وقدراتها (المالية والبشرية)؛ (ز) القضايا التي نظرت فيها لجنة التحقيق المعنية بالاختفاء القسري.</w:t>
      </w:r>
    </w:p>
    <w:p w:rsidR="00A62E4E" w:rsidRPr="00B21F27" w:rsidRDefault="00A62E4E" w:rsidP="00D371D5">
      <w:pPr>
        <w:pStyle w:val="H23GA"/>
        <w:rPr>
          <w:rtl/>
        </w:rPr>
      </w:pPr>
      <w:r w:rsidRPr="00B21F27">
        <w:rPr>
          <w:rtl/>
        </w:rPr>
        <w:tab/>
      </w:r>
      <w:r w:rsidRPr="00B21F27">
        <w:rPr>
          <w:rtl/>
        </w:rPr>
        <w:tab/>
      </w:r>
      <w:r w:rsidRPr="00515BA6">
        <w:rPr>
          <w:rtl/>
        </w:rPr>
        <w:t xml:space="preserve">الفقرة </w:t>
      </w:r>
      <w:r w:rsidRPr="00515BA6">
        <w:rPr>
          <w:szCs w:val="20"/>
          <w:rtl/>
        </w:rPr>
        <w:t>34</w:t>
      </w:r>
      <w:r w:rsidRPr="00515BA6">
        <w:rPr>
          <w:rtl/>
        </w:rPr>
        <w:t>- حرية الدين والضمير والمعتقد</w:t>
      </w:r>
    </w:p>
    <w:p w:rsidR="00A62E4E" w:rsidRPr="00A62E4E" w:rsidRDefault="00A62E4E" w:rsidP="00A62E4E">
      <w:pPr>
        <w:pStyle w:val="SingleTxtGA"/>
        <w:rPr>
          <w:b/>
          <w:bCs/>
          <w:rtl/>
        </w:rPr>
      </w:pPr>
      <w:r w:rsidRPr="00B21F27">
        <w:rPr>
          <w:rtl/>
        </w:rPr>
        <w:tab/>
      </w:r>
      <w:r w:rsidRPr="00A62E4E">
        <w:rPr>
          <w:b/>
          <w:bCs/>
          <w:rtl/>
        </w:rPr>
        <w:t>ينبغي أن تقوم الدولة الطرف بما يلي:</w:t>
      </w:r>
    </w:p>
    <w:p w:rsidR="00A62E4E" w:rsidRPr="00A62E4E" w:rsidRDefault="00A62E4E" w:rsidP="00A62E4E">
      <w:pPr>
        <w:pStyle w:val="SingleTxtGA"/>
        <w:rPr>
          <w:b/>
          <w:bCs/>
          <w:rtl/>
        </w:rPr>
      </w:pPr>
      <w:r>
        <w:rPr>
          <w:rtl/>
        </w:rPr>
        <w:tab/>
      </w:r>
      <w:r w:rsidRPr="00B21F27">
        <w:rPr>
          <w:rtl/>
        </w:rPr>
        <w:t>(أ)</w:t>
      </w:r>
      <w:r w:rsidRPr="00B21F27">
        <w:rPr>
          <w:rtl/>
        </w:rPr>
        <w:tab/>
      </w:r>
      <w:r w:rsidRPr="00A62E4E">
        <w:rPr>
          <w:b/>
          <w:bCs/>
          <w:rtl/>
        </w:rPr>
        <w:t>إلغاء جميع قوانين التجديف أو تعديلها تعديلاً يتوافق مع الشروط الصارمة المنصوص عليها في العهد، بما في ذلك على النحو المبين في تعليق اللجنة العام رقم</w:t>
      </w:r>
      <w:r w:rsidRPr="00A62E4E">
        <w:rPr>
          <w:rFonts w:hint="cs"/>
          <w:b/>
          <w:bCs/>
          <w:rtl/>
        </w:rPr>
        <w:t xml:space="preserve"> </w:t>
      </w:r>
      <w:r w:rsidRPr="00A62E4E">
        <w:rPr>
          <w:rFonts w:hint="cs"/>
          <w:b/>
          <w:bCs/>
          <w:szCs w:val="20"/>
          <w:rtl/>
        </w:rPr>
        <w:t>34</w:t>
      </w:r>
      <w:r w:rsidRPr="00A62E4E">
        <w:rPr>
          <w:b/>
          <w:bCs/>
          <w:rtl/>
        </w:rPr>
        <w:t>(</w:t>
      </w:r>
      <w:r w:rsidRPr="00A62E4E">
        <w:rPr>
          <w:b/>
          <w:bCs/>
          <w:szCs w:val="20"/>
          <w:rtl/>
        </w:rPr>
        <w:t>2011</w:t>
      </w:r>
      <w:r w:rsidRPr="00A62E4E">
        <w:rPr>
          <w:b/>
          <w:bCs/>
          <w:rtl/>
        </w:rPr>
        <w:t xml:space="preserve">) بشأن حرية الرأي وحرية التعبير، الفقرة </w:t>
      </w:r>
      <w:r w:rsidRPr="00A62E4E">
        <w:rPr>
          <w:b/>
          <w:bCs/>
          <w:szCs w:val="20"/>
          <w:rtl/>
        </w:rPr>
        <w:t>48</w:t>
      </w:r>
      <w:r w:rsidRPr="00A62E4E">
        <w:rPr>
          <w:b/>
          <w:bCs/>
          <w:rtl/>
        </w:rPr>
        <w:t>؛</w:t>
      </w:r>
    </w:p>
    <w:p w:rsidR="00A62E4E" w:rsidRPr="00A62E4E" w:rsidRDefault="00A62E4E" w:rsidP="00A62E4E">
      <w:pPr>
        <w:pStyle w:val="SingleTxtGA"/>
        <w:rPr>
          <w:b/>
          <w:bCs/>
          <w:rtl/>
        </w:rPr>
      </w:pPr>
      <w:r w:rsidRPr="00B21F27">
        <w:rPr>
          <w:rtl/>
        </w:rPr>
        <w:tab/>
        <w:t>(ب)</w:t>
      </w:r>
      <w:r w:rsidRPr="00B21F27">
        <w:rPr>
          <w:rtl/>
        </w:rPr>
        <w:tab/>
      </w:r>
      <w:r w:rsidRPr="00A62E4E">
        <w:rPr>
          <w:rFonts w:hint="cs"/>
          <w:b/>
          <w:bCs/>
          <w:rtl/>
        </w:rPr>
        <w:t xml:space="preserve">كفالة </w:t>
      </w:r>
      <w:r w:rsidRPr="00A62E4E">
        <w:rPr>
          <w:b/>
          <w:bCs/>
          <w:rtl/>
        </w:rPr>
        <w:t>تقديم جميع من يحرضون على ممارسة العنف على الغير أو يمارسونه عليهم بناء على ادعاءات التجديف، وكذلك من يتهمون الغير بالتجديف زوراً، إلى العدالة ومعاقبتهم كما يجب؛</w:t>
      </w:r>
    </w:p>
    <w:p w:rsidR="00A62E4E" w:rsidRPr="00A62E4E" w:rsidRDefault="00A62E4E" w:rsidP="00A62E4E">
      <w:pPr>
        <w:pStyle w:val="SingleTxtGA"/>
        <w:rPr>
          <w:b/>
          <w:bCs/>
          <w:rtl/>
        </w:rPr>
      </w:pPr>
      <w:r w:rsidRPr="00B21F27">
        <w:rPr>
          <w:rtl/>
        </w:rPr>
        <w:tab/>
        <w:t>(ج)</w:t>
      </w:r>
      <w:r w:rsidRPr="00B21F27">
        <w:rPr>
          <w:rtl/>
        </w:rPr>
        <w:tab/>
      </w:r>
      <w:r w:rsidRPr="00A62E4E">
        <w:rPr>
          <w:b/>
          <w:bCs/>
          <w:rtl/>
        </w:rPr>
        <w:t>اتخاذ جميع التدابير اللازمة لتوفير الحماية الكافية لجميع القضاة والمدعين العامين والمحامين والشهود الم</w:t>
      </w:r>
      <w:r w:rsidRPr="00A62E4E">
        <w:rPr>
          <w:rFonts w:hint="cs"/>
          <w:b/>
          <w:bCs/>
          <w:rtl/>
        </w:rPr>
        <w:t>عنيين ب</w:t>
      </w:r>
      <w:r w:rsidRPr="00A62E4E">
        <w:rPr>
          <w:b/>
          <w:bCs/>
          <w:rtl/>
        </w:rPr>
        <w:t>قضايا التجديف؛</w:t>
      </w:r>
    </w:p>
    <w:p w:rsidR="00A62E4E" w:rsidRPr="00A62E4E" w:rsidRDefault="00A62E4E" w:rsidP="00A62E4E">
      <w:pPr>
        <w:pStyle w:val="SingleTxtGA"/>
        <w:rPr>
          <w:b/>
          <w:bCs/>
          <w:rtl/>
        </w:rPr>
      </w:pPr>
      <w:r w:rsidRPr="00B21F27">
        <w:rPr>
          <w:rtl/>
        </w:rPr>
        <w:tab/>
        <w:t>(د)</w:t>
      </w:r>
      <w:r w:rsidRPr="00B21F27">
        <w:rPr>
          <w:rtl/>
        </w:rPr>
        <w:tab/>
      </w:r>
      <w:r w:rsidRPr="00A62E4E">
        <w:rPr>
          <w:b/>
          <w:bCs/>
          <w:rtl/>
        </w:rPr>
        <w:t>التحقيق الشامل والسريع في جميع قضايا خطاب الكراهية وجرائم الكراهية، ومقاضاة الجناة، ومعاقبتهم في حال إدانتهم؛</w:t>
      </w:r>
    </w:p>
    <w:p w:rsidR="00A62E4E" w:rsidRPr="00A62E4E" w:rsidRDefault="00A62E4E" w:rsidP="00A62E4E">
      <w:pPr>
        <w:pStyle w:val="SingleTxtGA"/>
        <w:rPr>
          <w:b/>
          <w:bCs/>
          <w:rtl/>
        </w:rPr>
      </w:pPr>
      <w:r w:rsidRPr="00B21F27">
        <w:rPr>
          <w:rtl/>
        </w:rPr>
        <w:tab/>
        <w:t>(ه)</w:t>
      </w:r>
      <w:r w:rsidRPr="00B21F27">
        <w:rPr>
          <w:rtl/>
        </w:rPr>
        <w:tab/>
      </w:r>
      <w:r w:rsidRPr="00A62E4E">
        <w:rPr>
          <w:b/>
          <w:bCs/>
          <w:rtl/>
        </w:rPr>
        <w:t>مراجعة الكتب المدرسية والمناهج التعليمية من أجل إزالة جميع المضامين المتحيزة دينياً، وإدراج التثقيف بحقوق الإنسان فيها والاستمرار في تنظيم المدارس الدينية؛</w:t>
      </w:r>
    </w:p>
    <w:p w:rsidR="00A62E4E" w:rsidRPr="00A62E4E" w:rsidRDefault="00A62E4E" w:rsidP="00A62E4E">
      <w:pPr>
        <w:pStyle w:val="SingleTxtGA"/>
        <w:rPr>
          <w:b/>
          <w:bCs/>
          <w:rtl/>
        </w:rPr>
      </w:pPr>
      <w:r w:rsidRPr="00B21F27">
        <w:rPr>
          <w:rtl/>
        </w:rPr>
        <w:tab/>
        <w:t>(و)</w:t>
      </w:r>
      <w:r w:rsidRPr="00B21F27">
        <w:rPr>
          <w:rtl/>
        </w:rPr>
        <w:tab/>
      </w:r>
      <w:r w:rsidRPr="00A62E4E">
        <w:rPr>
          <w:b/>
          <w:bCs/>
          <w:rtl/>
        </w:rPr>
        <w:t xml:space="preserve">التنفيذ الكامل للحكم الصادر عن المحكمة العليا في </w:t>
      </w:r>
      <w:r w:rsidRPr="00A62E4E">
        <w:rPr>
          <w:b/>
          <w:bCs/>
          <w:szCs w:val="20"/>
          <w:rtl/>
        </w:rPr>
        <w:t>19</w:t>
      </w:r>
      <w:r w:rsidRPr="00A62E4E">
        <w:rPr>
          <w:b/>
          <w:bCs/>
          <w:rtl/>
        </w:rPr>
        <w:t xml:space="preserve"> حزيران/يونيه</w:t>
      </w:r>
      <w:r w:rsidRPr="00A62E4E">
        <w:rPr>
          <w:rFonts w:hint="cs"/>
          <w:b/>
          <w:bCs/>
          <w:rtl/>
        </w:rPr>
        <w:t> </w:t>
      </w:r>
      <w:r w:rsidRPr="00A62E4E">
        <w:rPr>
          <w:b/>
          <w:bCs/>
          <w:szCs w:val="20"/>
          <w:rtl/>
        </w:rPr>
        <w:t>2014</w:t>
      </w:r>
      <w:r w:rsidRPr="00A62E4E">
        <w:rPr>
          <w:b/>
          <w:bCs/>
          <w:rtl/>
        </w:rPr>
        <w:t>.</w:t>
      </w:r>
    </w:p>
    <w:p w:rsidR="00A62E4E" w:rsidRPr="00245171" w:rsidRDefault="00A62E4E" w:rsidP="00D371D5">
      <w:pPr>
        <w:pStyle w:val="H23GA"/>
        <w:rPr>
          <w:rtl/>
        </w:rPr>
      </w:pPr>
      <w:r w:rsidRPr="00B21F27">
        <w:rPr>
          <w:rtl/>
        </w:rPr>
        <w:tab/>
      </w:r>
      <w:r w:rsidRPr="00B21F27">
        <w:rPr>
          <w:rtl/>
        </w:rPr>
        <w:tab/>
      </w:r>
      <w:dir w:val="rtl">
        <w:r w:rsidRPr="00B21F27">
          <w:rPr>
            <w:rtl/>
          </w:rPr>
          <w:t>ملخص رد الدولة الطرف</w:t>
        </w:r>
        <w:r w:rsidRPr="00B21F27">
          <w:rPr>
            <w:rFonts w:ascii="Arial" w:hAnsi="Arial" w:cs="Arial" w:hint="cs"/>
            <w:rtl/>
          </w:rPr>
          <w:t>‬</w:t>
        </w:r>
        <w:r>
          <w:t>‬</w:t>
        </w:r>
        <w:r>
          <w:t>‬</w:t>
        </w:r>
        <w:r>
          <w:t>‬</w:t>
        </w:r>
        <w:r w:rsidR="00DF3A99">
          <w:t>‬</w:t>
        </w:r>
      </w:dir>
    </w:p>
    <w:p w:rsidR="00A62E4E" w:rsidRPr="00B21F27" w:rsidRDefault="00A62E4E" w:rsidP="00A62E4E">
      <w:pPr>
        <w:pStyle w:val="SingleTxtGA"/>
        <w:rPr>
          <w:rtl/>
        </w:rPr>
      </w:pPr>
      <w:r w:rsidRPr="00B21F27">
        <w:rPr>
          <w:rtl/>
        </w:rPr>
        <w:tab/>
        <w:t>(أ)</w:t>
      </w:r>
      <w:r w:rsidRPr="00B21F27">
        <w:rPr>
          <w:rtl/>
        </w:rPr>
        <w:tab/>
        <w:t>كررت الدولة الطرف المعلومات التي قدمتها في ردودها على قائمة المسائل (</w:t>
      </w:r>
      <w:r w:rsidRPr="00B21F27">
        <w:rPr>
          <w:lang w:val="en-GB"/>
        </w:rPr>
        <w:t>CCPR/C/PAK/Q/</w:t>
      </w:r>
      <w:r w:rsidRPr="00A62E4E">
        <w:rPr>
          <w:szCs w:val="20"/>
          <w:lang w:val="en-GB"/>
        </w:rPr>
        <w:t>1</w:t>
      </w:r>
      <w:r w:rsidRPr="00B21F27">
        <w:rPr>
          <w:lang w:val="en-GB"/>
        </w:rPr>
        <w:t>/Add.</w:t>
      </w:r>
      <w:r w:rsidRPr="00A62E4E">
        <w:rPr>
          <w:szCs w:val="20"/>
          <w:lang w:val="en-GB"/>
        </w:rPr>
        <w:t>1</w:t>
      </w:r>
      <w:r w:rsidRPr="00B21F27">
        <w:rPr>
          <w:rtl/>
        </w:rPr>
        <w:t xml:space="preserve">، الفقرة </w:t>
      </w:r>
      <w:r w:rsidRPr="00A62E4E">
        <w:rPr>
          <w:szCs w:val="20"/>
          <w:rtl/>
        </w:rPr>
        <w:t>68</w:t>
      </w:r>
      <w:r w:rsidRPr="00B21F27">
        <w:rPr>
          <w:rtl/>
        </w:rPr>
        <w:t>).</w:t>
      </w:r>
      <w:r w:rsidRPr="00B21F27">
        <w:rPr>
          <w:rFonts w:ascii="Arial" w:hAnsi="Arial" w:cs="Arial" w:hint="cs"/>
          <w:rtl/>
        </w:rPr>
        <w:t>‬</w:t>
      </w:r>
      <w:r w:rsidRPr="00B21F27">
        <w:rPr>
          <w:rtl/>
        </w:rPr>
        <w:t xml:space="preserve"> فقد اعتمدت تدابير شتى في إطار عملية تشاور للتحقق من عدم إساءة استخدام قانون التجديف. وكانت الاستراتيجية العامة تتمثل في بلورة توافق في الآراء بين جميع أصحاب المصلحة من أجل تحديد العيوب في القانون ومعالجتها، سعيا</w:t>
      </w:r>
      <w:r w:rsidR="00B3789C">
        <w:rPr>
          <w:rFonts w:hint="cs"/>
          <w:rtl/>
        </w:rPr>
        <w:t>ً</w:t>
      </w:r>
      <w:r w:rsidRPr="00B21F27">
        <w:rPr>
          <w:rtl/>
        </w:rPr>
        <w:t xml:space="preserve"> إلى ردع حدوث حالات إساءة الاستخدام. وأدخلت وزارة الداخلية، بموافقة مجلس الوزراء الاتحادي، تعديلات على نظام وكالة التحقيق الاتحادية لكي يكون ضمن اختصاص الوكالة النظر في أي شكوى بموجب المواد </w:t>
      </w:r>
      <w:r w:rsidRPr="00A62E4E">
        <w:rPr>
          <w:szCs w:val="20"/>
          <w:rtl/>
        </w:rPr>
        <w:t>295</w:t>
      </w:r>
      <w:r w:rsidRPr="00B21F27">
        <w:rPr>
          <w:rtl/>
        </w:rPr>
        <w:t xml:space="preserve"> - ألف و</w:t>
      </w:r>
      <w:r w:rsidRPr="00A62E4E">
        <w:rPr>
          <w:szCs w:val="20"/>
          <w:rtl/>
        </w:rPr>
        <w:t>295</w:t>
      </w:r>
      <w:r w:rsidRPr="00B21F27">
        <w:rPr>
          <w:rtl/>
        </w:rPr>
        <w:t xml:space="preserve"> - جيم و</w:t>
      </w:r>
      <w:r w:rsidRPr="00A62E4E">
        <w:rPr>
          <w:szCs w:val="20"/>
          <w:rtl/>
        </w:rPr>
        <w:t>298</w:t>
      </w:r>
      <w:r w:rsidRPr="00B21F27">
        <w:rPr>
          <w:rtl/>
        </w:rPr>
        <w:t xml:space="preserve"> و</w:t>
      </w:r>
      <w:r w:rsidRPr="00A62E4E">
        <w:rPr>
          <w:szCs w:val="20"/>
          <w:rtl/>
        </w:rPr>
        <w:t>298</w:t>
      </w:r>
      <w:r w:rsidRPr="00B21F27">
        <w:rPr>
          <w:rtl/>
        </w:rPr>
        <w:t xml:space="preserve"> - ألف من القانون الجنائي والتحقق من عدم إساءة استخدام قانون التجديف، بالتوازي مع إدارات الشرطة الإقليمية. وقدمت الدولة الطرف تفاصيل عن الضمانات الإضافية التي وُضعت للتحقق من عدم إساءة استخدام ذلك القانون؛</w:t>
      </w:r>
      <w:r w:rsidRPr="00B21F27">
        <w:rPr>
          <w:lang w:val="en-GB"/>
        </w:rPr>
        <w:t>‬</w:t>
      </w:r>
    </w:p>
    <w:p w:rsidR="00A62E4E" w:rsidRPr="00B21F27" w:rsidRDefault="00A62E4E" w:rsidP="00A62E4E">
      <w:pPr>
        <w:pStyle w:val="SingleTxtGA"/>
        <w:rPr>
          <w:rtl/>
        </w:rPr>
      </w:pPr>
      <w:r w:rsidRPr="00B21F27">
        <w:rPr>
          <w:rtl/>
        </w:rPr>
        <w:tab/>
        <w:t>(ب)</w:t>
      </w:r>
      <w:r w:rsidRPr="00B21F27">
        <w:rPr>
          <w:rtl/>
        </w:rPr>
        <w:tab/>
        <w:t>كررت الدولة الطرف المعلومات التي قدمتها في ردودها على قائمة المسائل (</w:t>
      </w:r>
      <w:r w:rsidRPr="00B21F27">
        <w:rPr>
          <w:lang w:val="en-GB"/>
        </w:rPr>
        <w:t>CCPR/C/PAK/Q/</w:t>
      </w:r>
      <w:r w:rsidRPr="00A62E4E">
        <w:rPr>
          <w:szCs w:val="20"/>
          <w:lang w:val="en-GB"/>
        </w:rPr>
        <w:t>1</w:t>
      </w:r>
      <w:r w:rsidRPr="00B21F27">
        <w:rPr>
          <w:lang w:val="en-GB"/>
        </w:rPr>
        <w:t>/Add.</w:t>
      </w:r>
      <w:r w:rsidRPr="00A62E4E">
        <w:rPr>
          <w:szCs w:val="20"/>
          <w:lang w:val="en-GB"/>
        </w:rPr>
        <w:t>1</w:t>
      </w:r>
      <w:r w:rsidRPr="00B21F27">
        <w:rPr>
          <w:rtl/>
        </w:rPr>
        <w:t xml:space="preserve">، الفقرة </w:t>
      </w:r>
      <w:r w:rsidRPr="00A62E4E">
        <w:rPr>
          <w:szCs w:val="20"/>
          <w:rtl/>
        </w:rPr>
        <w:t>72</w:t>
      </w:r>
      <w:r w:rsidRPr="00B21F27">
        <w:rPr>
          <w:rtl/>
        </w:rPr>
        <w:t>) فيما يتعلق بانتهاكات قانون التجديف.</w:t>
      </w:r>
      <w:r w:rsidRPr="00B21F27">
        <w:rPr>
          <w:rFonts w:ascii="Arial" w:hAnsi="Arial" w:cs="Arial" w:hint="cs"/>
          <w:rtl/>
        </w:rPr>
        <w:t>‬</w:t>
      </w:r>
      <w:r w:rsidRPr="00B21F27">
        <w:rPr>
          <w:rtl/>
        </w:rPr>
        <w:t xml:space="preserve"> </w:t>
      </w:r>
      <w:r w:rsidRPr="00B21F27">
        <w:rPr>
          <w:rFonts w:ascii="Traditional Arabic" w:hAnsi="Traditional Arabic" w:hint="cs"/>
          <w:rtl/>
        </w:rPr>
        <w:t>وأشارت</w:t>
      </w:r>
      <w:r w:rsidRPr="00B21F27">
        <w:rPr>
          <w:rtl/>
        </w:rPr>
        <w:t xml:space="preserve"> </w:t>
      </w:r>
      <w:r w:rsidRPr="00B21F27">
        <w:rPr>
          <w:rFonts w:ascii="Traditional Arabic" w:hAnsi="Traditional Arabic" w:hint="cs"/>
          <w:rtl/>
        </w:rPr>
        <w:t>أيضاً</w:t>
      </w:r>
      <w:r w:rsidRPr="00B21F27">
        <w:rPr>
          <w:rtl/>
        </w:rPr>
        <w:t xml:space="preserve"> </w:t>
      </w:r>
      <w:r w:rsidRPr="00B21F27">
        <w:rPr>
          <w:rFonts w:ascii="Traditional Arabic" w:hAnsi="Traditional Arabic" w:hint="cs"/>
          <w:rtl/>
        </w:rPr>
        <w:t>إلى</w:t>
      </w:r>
      <w:r>
        <w:rPr>
          <w:rFonts w:hint="cs"/>
          <w:rtl/>
        </w:rPr>
        <w:t> </w:t>
      </w:r>
      <w:r w:rsidRPr="00B21F27">
        <w:rPr>
          <w:rFonts w:ascii="Traditional Arabic" w:hAnsi="Traditional Arabic" w:hint="cs"/>
          <w:rtl/>
        </w:rPr>
        <w:t>قضية</w:t>
      </w:r>
      <w:r w:rsidRPr="00B21F27">
        <w:rPr>
          <w:rtl/>
        </w:rPr>
        <w:t xml:space="preserve"> عرضت على المحكمة العليا عام </w:t>
      </w:r>
      <w:r w:rsidRPr="00A62E4E">
        <w:rPr>
          <w:szCs w:val="20"/>
          <w:rtl/>
        </w:rPr>
        <w:t>2002</w:t>
      </w:r>
      <w:r w:rsidRPr="00B21F27">
        <w:rPr>
          <w:rtl/>
        </w:rPr>
        <w:t xml:space="preserve"> </w:t>
      </w:r>
      <w:r w:rsidRPr="00B21F27">
        <w:rPr>
          <w:lang w:val="en-GB"/>
        </w:rPr>
        <w:t xml:space="preserve">(PLD </w:t>
      </w:r>
      <w:r w:rsidRPr="00A62E4E">
        <w:rPr>
          <w:szCs w:val="20"/>
          <w:lang w:val="en-GB"/>
        </w:rPr>
        <w:t>2002</w:t>
      </w:r>
      <w:r w:rsidRPr="00B21F27">
        <w:rPr>
          <w:lang w:val="en-GB"/>
        </w:rPr>
        <w:t xml:space="preserve"> SC </w:t>
      </w:r>
      <w:r w:rsidRPr="00A62E4E">
        <w:rPr>
          <w:szCs w:val="20"/>
          <w:lang w:val="en-GB"/>
        </w:rPr>
        <w:t>1048</w:t>
      </w:r>
      <w:r w:rsidRPr="00B21F27">
        <w:rPr>
          <w:lang w:val="en-GB"/>
        </w:rPr>
        <w:t>)</w:t>
      </w:r>
      <w:r w:rsidRPr="00B21F27">
        <w:rPr>
          <w:rtl/>
        </w:rPr>
        <w:t xml:space="preserve"> تم فيها الاعتداد بمبدأ </w:t>
      </w:r>
      <w:r w:rsidRPr="00B21F27">
        <w:rPr>
          <w:rtl/>
          <w:lang w:bidi="ar"/>
        </w:rPr>
        <w:t xml:space="preserve">تفسير الشك لصالح الشخص المعني، </w:t>
      </w:r>
      <w:r w:rsidRPr="00B21F27">
        <w:rPr>
          <w:rtl/>
        </w:rPr>
        <w:t xml:space="preserve">واعتبر هذا المبدأ قاعدة ذهبية وقاعدة تمليها ضرورة توخي الحكمة. وقُدمت إحصاءات عن حالات التجديف المسجلة في مقاطعات البنجاب والسند وخيبر باختونخوا خلال الفترة </w:t>
      </w:r>
      <w:r w:rsidRPr="00A62E4E">
        <w:rPr>
          <w:szCs w:val="20"/>
          <w:rtl/>
        </w:rPr>
        <w:t>2011</w:t>
      </w:r>
      <w:r>
        <w:rPr>
          <w:rFonts w:hint="cs"/>
          <w:rtl/>
        </w:rPr>
        <w:t>-</w:t>
      </w:r>
      <w:r w:rsidRPr="00A62E4E">
        <w:rPr>
          <w:szCs w:val="20"/>
          <w:rtl/>
        </w:rPr>
        <w:t>2015</w:t>
      </w:r>
      <w:r w:rsidRPr="00B21F27">
        <w:rPr>
          <w:rtl/>
        </w:rPr>
        <w:t xml:space="preserve">. ولوحظ أنه لم يُعدم أي شخص حتى الآن نتيجة ادعاءات بالتجديف. ويوفر الحكم الذي أصدرته المحكمة العليا عام </w:t>
      </w:r>
      <w:r w:rsidRPr="00A62E4E">
        <w:rPr>
          <w:szCs w:val="20"/>
          <w:rtl/>
        </w:rPr>
        <w:t>2018</w:t>
      </w:r>
      <w:r w:rsidRPr="00B21F27">
        <w:rPr>
          <w:rtl/>
        </w:rPr>
        <w:t xml:space="preserve"> في قضية آسيا بيبي أفكارا</w:t>
      </w:r>
      <w:r w:rsidR="00B3789C">
        <w:rPr>
          <w:rFonts w:hint="cs"/>
          <w:rtl/>
        </w:rPr>
        <w:t>ً</w:t>
      </w:r>
      <w:r w:rsidRPr="00B21F27">
        <w:rPr>
          <w:rtl/>
        </w:rPr>
        <w:t xml:space="preserve"> مفيدة لزيادة تحسين التدابير القانونية والإدارية المتعلقة بتطبيق قانون التجديف؛</w:t>
      </w:r>
      <w:r w:rsidRPr="00B21F27">
        <w:rPr>
          <w:lang w:val="en-GB"/>
        </w:rPr>
        <w:t>‬</w:t>
      </w:r>
    </w:p>
    <w:p w:rsidR="00A62E4E" w:rsidRPr="00B21F27" w:rsidRDefault="00A62E4E" w:rsidP="00A62E4E">
      <w:pPr>
        <w:pStyle w:val="SingleTxtGA"/>
        <w:rPr>
          <w:rtl/>
        </w:rPr>
      </w:pPr>
      <w:r w:rsidRPr="00B21F27">
        <w:rPr>
          <w:rtl/>
        </w:rPr>
        <w:tab/>
        <w:t>(ج)</w:t>
      </w:r>
      <w:r w:rsidRPr="00B21F27">
        <w:rPr>
          <w:rtl/>
        </w:rPr>
        <w:tab/>
        <w:t>لم تقدم معلومات؛</w:t>
      </w:r>
    </w:p>
    <w:p w:rsidR="00A62E4E" w:rsidRPr="00D371D5" w:rsidRDefault="00A62E4E" w:rsidP="00D371D5">
      <w:pPr>
        <w:pStyle w:val="SingleTxtGA"/>
        <w:rPr>
          <w:spacing w:val="-2"/>
          <w:rtl/>
        </w:rPr>
      </w:pPr>
      <w:r w:rsidRPr="00D371D5">
        <w:rPr>
          <w:spacing w:val="-2"/>
          <w:rtl/>
        </w:rPr>
        <w:tab/>
        <w:t>(د)</w:t>
      </w:r>
      <w:r w:rsidRPr="00D371D5">
        <w:rPr>
          <w:spacing w:val="-2"/>
          <w:rtl/>
        </w:rPr>
        <w:tab/>
        <w:t>تحظى حقوق ومصالح الأقليات بالحماية في باكستان. والتمييز على أساس الأصل الإثني ليس ظاهرة سائدة في المجتمع الباكستاني. وأشارت الدولة الطرف إلى الضمانات المنصوص عليها في الدستور لحماية حقوق الأقليات وإلى التدابير التشريعية والسياسات التي تجسد المبادئ الدستورية في</w:t>
      </w:r>
      <w:r w:rsidRPr="00D371D5">
        <w:rPr>
          <w:rFonts w:hint="cs"/>
          <w:spacing w:val="-2"/>
          <w:rtl/>
        </w:rPr>
        <w:t> </w:t>
      </w:r>
      <w:r w:rsidRPr="00D371D5">
        <w:rPr>
          <w:spacing w:val="-2"/>
          <w:rtl/>
        </w:rPr>
        <w:t xml:space="preserve">إجراءات على صعيد الدولة. وأشارت أيضاً إلى أحكام القانون الجنائي المتعلقة بانتهاكات حقوق الإنسان المرتكبة ضد الأقليات؛ ونظام الشرطة لعام </w:t>
      </w:r>
      <w:r w:rsidRPr="00D371D5">
        <w:rPr>
          <w:spacing w:val="-2"/>
          <w:szCs w:val="20"/>
          <w:rtl/>
        </w:rPr>
        <w:t>2002</w:t>
      </w:r>
      <w:r w:rsidRPr="00D371D5">
        <w:rPr>
          <w:spacing w:val="-2"/>
          <w:rtl/>
        </w:rPr>
        <w:t>، الذي يتضمن الفصل الثاني منه أحكاماً ترمي إلى كفالة حماية حقوق الفئات الضعيفة في المجتمع؛ والأحكام المتعلقة بوسائط الإعلام الإلكترونية؛</w:t>
      </w:r>
    </w:p>
    <w:p w:rsidR="00A62E4E" w:rsidRPr="00B21F27" w:rsidRDefault="00A62E4E" w:rsidP="00A62E4E">
      <w:pPr>
        <w:pStyle w:val="SingleTxtGA"/>
        <w:rPr>
          <w:rtl/>
        </w:rPr>
      </w:pPr>
      <w:r w:rsidRPr="00B21F27">
        <w:rPr>
          <w:rtl/>
        </w:rPr>
        <w:tab/>
        <w:t>(ه)</w:t>
      </w:r>
      <w:r w:rsidRPr="00B21F27">
        <w:rPr>
          <w:rtl/>
        </w:rPr>
        <w:tab/>
        <w:t xml:space="preserve">في أيار/مايو </w:t>
      </w:r>
      <w:r w:rsidRPr="00A62E4E">
        <w:rPr>
          <w:szCs w:val="20"/>
          <w:rtl/>
        </w:rPr>
        <w:t>2019</w:t>
      </w:r>
      <w:r w:rsidRPr="00B21F27">
        <w:rPr>
          <w:rtl/>
        </w:rPr>
        <w:t xml:space="preserve">، وافق مجلس الوزراء الاتحادي على منهج دراسي موحد لجميع المؤسسات التعليمية في البلد، بما في ذلك </w:t>
      </w:r>
      <w:r w:rsidRPr="00A62E4E">
        <w:rPr>
          <w:szCs w:val="20"/>
          <w:rtl/>
        </w:rPr>
        <w:t>000</w:t>
      </w:r>
      <w:r w:rsidRPr="00B21F27">
        <w:rPr>
          <w:rtl/>
        </w:rPr>
        <w:t xml:space="preserve"> </w:t>
      </w:r>
      <w:r w:rsidRPr="00A62E4E">
        <w:rPr>
          <w:szCs w:val="20"/>
          <w:rtl/>
        </w:rPr>
        <w:t>30</w:t>
      </w:r>
      <w:r w:rsidRPr="00B21F27">
        <w:rPr>
          <w:rtl/>
        </w:rPr>
        <w:t xml:space="preserve"> مدرسة دينية. وفي شباط/فبراير </w:t>
      </w:r>
      <w:r w:rsidRPr="00A62E4E">
        <w:rPr>
          <w:szCs w:val="20"/>
          <w:rtl/>
        </w:rPr>
        <w:t>2018</w:t>
      </w:r>
      <w:r w:rsidRPr="00B21F27">
        <w:rPr>
          <w:rtl/>
        </w:rPr>
        <w:t>، أقر موضوع حقوق الإنسان والتسامح ليكون موضوعا</w:t>
      </w:r>
      <w:r w:rsidR="00B3789C">
        <w:rPr>
          <w:rFonts w:hint="cs"/>
          <w:rtl/>
        </w:rPr>
        <w:t>ً</w:t>
      </w:r>
      <w:r w:rsidRPr="00B21F27">
        <w:rPr>
          <w:rtl/>
        </w:rPr>
        <w:t xml:space="preserve"> قائما</w:t>
      </w:r>
      <w:r w:rsidR="00B3789C">
        <w:rPr>
          <w:rFonts w:hint="cs"/>
          <w:rtl/>
        </w:rPr>
        <w:t>ً</w:t>
      </w:r>
      <w:r w:rsidRPr="00B21F27">
        <w:rPr>
          <w:rtl/>
        </w:rPr>
        <w:t xml:space="preserve"> بذاته في دورة الدراسات الباكستانية/الدراسات الإسلامية الإلزامية على مستويي بكالوريوس الآداب وبكالوريوس العلوم اعتباراً من السنة الجامعية التي تبدأ في عام</w:t>
      </w:r>
      <w:r>
        <w:rPr>
          <w:rFonts w:hint="cs"/>
          <w:rtl/>
        </w:rPr>
        <w:t> </w:t>
      </w:r>
      <w:r w:rsidRPr="00A62E4E">
        <w:rPr>
          <w:szCs w:val="20"/>
          <w:rtl/>
        </w:rPr>
        <w:t>2018</w:t>
      </w:r>
      <w:r w:rsidRPr="00B21F27">
        <w:rPr>
          <w:rtl/>
        </w:rPr>
        <w:t xml:space="preserve">. وبدأت حملة توعية عامة بشأن التثقيف والتوعية بحقوق الإنسان في إطار خطة العمل لحقوق الإنسان لعام </w:t>
      </w:r>
      <w:r w:rsidRPr="00A62E4E">
        <w:rPr>
          <w:szCs w:val="20"/>
          <w:rtl/>
        </w:rPr>
        <w:t>2016</w:t>
      </w:r>
      <w:r w:rsidRPr="00B21F27">
        <w:rPr>
          <w:rtl/>
        </w:rPr>
        <w:t xml:space="preserve"> بحلقات دراسية وإعلانات في وسائط الإعلام المطبوعة والإلكترونية. وتستهدف هذه الحملة عامة الجمهور والمجتمع المدني والباحثين والأكاديميين والطلاب والمسؤولين الحكوميين ومختلف قطاعات المجتمع. وتنص خطة العمل على خطوات للتصدي لخطاب الكراهية والمواد التي تنم عن التطرف، وتدابير فعالة لمكافحة الاضطهاد الديني، وتسجيل المدارس الدينية وتنظيمها، وحظر تمجيد الإرهاب والمنظمات الإرهابية في وسائط الإعلام المطبوعة والإلكترونية. وفي هذا الصدد، سُجلت </w:t>
      </w:r>
      <w:r w:rsidRPr="00A62E4E">
        <w:rPr>
          <w:szCs w:val="20"/>
          <w:rtl/>
        </w:rPr>
        <w:t>373</w:t>
      </w:r>
      <w:r>
        <w:rPr>
          <w:rFonts w:hint="cs"/>
          <w:rtl/>
        </w:rPr>
        <w:t> </w:t>
      </w:r>
      <w:r w:rsidRPr="00A62E4E">
        <w:rPr>
          <w:szCs w:val="20"/>
          <w:rtl/>
        </w:rPr>
        <w:t>1</w:t>
      </w:r>
      <w:r>
        <w:rPr>
          <w:rFonts w:hint="cs"/>
          <w:rtl/>
        </w:rPr>
        <w:t> </w:t>
      </w:r>
      <w:r w:rsidRPr="00B21F27">
        <w:rPr>
          <w:rtl/>
        </w:rPr>
        <w:t>حالة تتعلق بخطاب الكراهية أو نشر مواد الكراهية؛</w:t>
      </w:r>
    </w:p>
    <w:p w:rsidR="00A62E4E" w:rsidRDefault="00A62E4E" w:rsidP="00A62E4E">
      <w:pPr>
        <w:pStyle w:val="SingleTxtGA"/>
        <w:rPr>
          <w:rtl/>
        </w:rPr>
      </w:pPr>
      <w:r w:rsidRPr="00B21F27">
        <w:rPr>
          <w:rtl/>
        </w:rPr>
        <w:tab/>
        <w:t>(و)</w:t>
      </w:r>
      <w:r w:rsidRPr="00B21F27">
        <w:rPr>
          <w:rtl/>
        </w:rPr>
        <w:tab/>
        <w:t xml:space="preserve">أوضحت المحكمة العليا في باكستان، في حكمها التاريخي الصادر في </w:t>
      </w:r>
      <w:r w:rsidRPr="00A62E4E">
        <w:rPr>
          <w:szCs w:val="20"/>
          <w:rtl/>
        </w:rPr>
        <w:t>19</w:t>
      </w:r>
      <w:r w:rsidRPr="00B21F27">
        <w:rPr>
          <w:rtl/>
        </w:rPr>
        <w:t xml:space="preserve"> حزيران/</w:t>
      </w:r>
      <w:r>
        <w:rPr>
          <w:rFonts w:hint="cs"/>
          <w:rtl/>
        </w:rPr>
        <w:t xml:space="preserve"> </w:t>
      </w:r>
      <w:r w:rsidRPr="00B21F27">
        <w:rPr>
          <w:rtl/>
        </w:rPr>
        <w:t>يونيه</w:t>
      </w:r>
      <w:r>
        <w:rPr>
          <w:rFonts w:hint="cs"/>
          <w:rtl/>
        </w:rPr>
        <w:t> </w:t>
      </w:r>
      <w:r w:rsidRPr="00A62E4E">
        <w:rPr>
          <w:szCs w:val="20"/>
          <w:rtl/>
        </w:rPr>
        <w:t>2014</w:t>
      </w:r>
      <w:r w:rsidRPr="00B21F27">
        <w:rPr>
          <w:rtl/>
        </w:rPr>
        <w:t xml:space="preserve"> في إطار الإجراءات التي باشرتها بنفسها بموجب المادة </w:t>
      </w:r>
      <w:r w:rsidRPr="00A62E4E">
        <w:rPr>
          <w:szCs w:val="20"/>
          <w:rtl/>
        </w:rPr>
        <w:t>184</w:t>
      </w:r>
      <w:r w:rsidRPr="00B21F27">
        <w:rPr>
          <w:rtl/>
        </w:rPr>
        <w:t>(</w:t>
      </w:r>
      <w:r w:rsidRPr="00A62E4E">
        <w:rPr>
          <w:szCs w:val="20"/>
          <w:rtl/>
        </w:rPr>
        <w:t>3</w:t>
      </w:r>
      <w:r w:rsidRPr="00B21F27">
        <w:rPr>
          <w:rtl/>
        </w:rPr>
        <w:t>) من الدستور بناء على رسالة وردت من منظمة غير حكومية بشأن شن هجوم على كنيسة في بيشاور، أوضحت أن تدنيس أماكن عبادة الأقليات هو أيضا</w:t>
      </w:r>
      <w:r w:rsidR="00542D2A">
        <w:rPr>
          <w:rFonts w:hint="cs"/>
          <w:rtl/>
        </w:rPr>
        <w:t>ً</w:t>
      </w:r>
      <w:r w:rsidRPr="00B21F27">
        <w:rPr>
          <w:rtl/>
        </w:rPr>
        <w:t xml:space="preserve"> جريمة بموجب تلك المادة.</w:t>
      </w:r>
    </w:p>
    <w:p w:rsidR="00A62E4E" w:rsidRPr="00B21F27" w:rsidRDefault="00A62E4E" w:rsidP="00D371D5">
      <w:pPr>
        <w:pStyle w:val="H23GA"/>
        <w:rPr>
          <w:rtl/>
        </w:rPr>
      </w:pPr>
      <w:r w:rsidRPr="00B21F27">
        <w:rPr>
          <w:rtl/>
        </w:rPr>
        <w:tab/>
      </w:r>
      <w:r w:rsidRPr="00B21F27">
        <w:rPr>
          <w:rtl/>
        </w:rPr>
        <w:tab/>
        <w:t>معلومات مقدمة من منظمة غير حكومية</w:t>
      </w:r>
    </w:p>
    <w:p w:rsidR="00A62E4E" w:rsidRPr="004F3C37" w:rsidRDefault="00A62E4E" w:rsidP="00D371D5">
      <w:pPr>
        <w:pStyle w:val="H4GA"/>
        <w:rPr>
          <w:rtl/>
        </w:rPr>
      </w:pPr>
      <w:r w:rsidRPr="004F3C37">
        <w:rPr>
          <w:rtl/>
        </w:rPr>
        <w:tab/>
      </w:r>
      <w:r w:rsidRPr="004F3C37">
        <w:rPr>
          <w:rtl/>
        </w:rPr>
        <w:tab/>
        <w:t>مركز العدالة الاجتماعية</w:t>
      </w:r>
    </w:p>
    <w:p w:rsidR="00A62E4E" w:rsidRPr="00B21F27" w:rsidRDefault="00A62E4E" w:rsidP="00A62E4E">
      <w:pPr>
        <w:pStyle w:val="SingleTxtGA"/>
        <w:rPr>
          <w:rtl/>
        </w:rPr>
      </w:pPr>
      <w:r w:rsidRPr="00B21F27">
        <w:rPr>
          <w:rtl/>
        </w:rPr>
        <w:tab/>
        <w:t>(أ)</w:t>
      </w:r>
      <w:r w:rsidRPr="00B21F27">
        <w:rPr>
          <w:rtl/>
        </w:rPr>
        <w:tab/>
        <w:t>يجري النظر في تدابير لمنع إساءة استخدام قانون التجديف أو التعسف في استخدامه. بيد أنه لم تُتخذ أي تدابير ملموسة، ولم تُقيَّم فعالية التدابير قيد النظر تقييما</w:t>
      </w:r>
      <w:r w:rsidR="00B3789C">
        <w:rPr>
          <w:rFonts w:hint="cs"/>
          <w:rtl/>
        </w:rPr>
        <w:t>ً</w:t>
      </w:r>
      <w:r w:rsidRPr="00B21F27">
        <w:rPr>
          <w:rtl/>
        </w:rPr>
        <w:t xml:space="preserve"> عمليا</w:t>
      </w:r>
      <w:r w:rsidR="00B3789C">
        <w:rPr>
          <w:rFonts w:hint="cs"/>
          <w:rtl/>
        </w:rPr>
        <w:t>ً</w:t>
      </w:r>
      <w:r w:rsidRPr="00B21F27">
        <w:rPr>
          <w:rtl/>
        </w:rPr>
        <w:t>. والضمانات التي</w:t>
      </w:r>
      <w:r>
        <w:rPr>
          <w:rFonts w:hint="cs"/>
          <w:rtl/>
        </w:rPr>
        <w:t> </w:t>
      </w:r>
      <w:r w:rsidRPr="00B21F27">
        <w:rPr>
          <w:rtl/>
        </w:rPr>
        <w:t>أُدخلت لمنع التعسف في استخدام قانون التجديف غير كافية. وفي الممارسة العملية، نادراً ما يباشر مفوض الشرطة أي تحقيقات؛</w:t>
      </w:r>
    </w:p>
    <w:p w:rsidR="00A62E4E" w:rsidRPr="00B21F27" w:rsidRDefault="00A62E4E" w:rsidP="00A62E4E">
      <w:pPr>
        <w:pStyle w:val="SingleTxtGA"/>
        <w:rPr>
          <w:rtl/>
        </w:rPr>
      </w:pPr>
      <w:r w:rsidRPr="00B21F27">
        <w:rPr>
          <w:rtl/>
        </w:rPr>
        <w:tab/>
        <w:t>(ب)</w:t>
      </w:r>
      <w:r w:rsidRPr="00B21F27">
        <w:rPr>
          <w:rtl/>
        </w:rPr>
        <w:tab/>
        <w:t xml:space="preserve">في شباط/فبراير </w:t>
      </w:r>
      <w:r w:rsidRPr="00A62E4E">
        <w:rPr>
          <w:szCs w:val="20"/>
          <w:rtl/>
        </w:rPr>
        <w:t>2017</w:t>
      </w:r>
      <w:r w:rsidRPr="00B21F27">
        <w:rPr>
          <w:rtl/>
        </w:rPr>
        <w:t>، أقر البرلمان تعديلاً زاد العقوبة على توجيه اتهامات كاذبة من عقوبة مدتها ستة أشهر إلى عقوبة تتراوح مدتها بين خمس وسبع سنوات. وثبت أن التعديل ليس ناجعا</w:t>
      </w:r>
      <w:r w:rsidR="00B3789C">
        <w:rPr>
          <w:rFonts w:hint="cs"/>
          <w:rtl/>
        </w:rPr>
        <w:t>ً</w:t>
      </w:r>
      <w:r w:rsidRPr="00B21F27">
        <w:rPr>
          <w:rtl/>
        </w:rPr>
        <w:t xml:space="preserve"> إذ</w:t>
      </w:r>
      <w:r>
        <w:rPr>
          <w:rFonts w:hint="cs"/>
          <w:rtl/>
        </w:rPr>
        <w:t> </w:t>
      </w:r>
      <w:r w:rsidRPr="00B21F27">
        <w:rPr>
          <w:rtl/>
        </w:rPr>
        <w:t>لم يعالج التعسف في استخدام قانون التجديف، كما تبين من حالات عديدة سجلت منذ دخوله حيز</w:t>
      </w:r>
      <w:r>
        <w:rPr>
          <w:rFonts w:hint="cs"/>
          <w:rtl/>
        </w:rPr>
        <w:t> </w:t>
      </w:r>
      <w:r w:rsidRPr="00B21F27">
        <w:rPr>
          <w:rtl/>
        </w:rPr>
        <w:t>النفاذ؛</w:t>
      </w:r>
    </w:p>
    <w:p w:rsidR="00A62E4E" w:rsidRPr="00B21F27" w:rsidRDefault="00A62E4E" w:rsidP="00A62E4E">
      <w:pPr>
        <w:pStyle w:val="SingleTxtGA"/>
        <w:rPr>
          <w:rtl/>
        </w:rPr>
      </w:pPr>
      <w:r w:rsidRPr="00B21F27">
        <w:rPr>
          <w:rtl/>
        </w:rPr>
        <w:tab/>
        <w:t>(ج)</w:t>
      </w:r>
      <w:r w:rsidRPr="00B21F27">
        <w:rPr>
          <w:rtl/>
        </w:rPr>
        <w:tab/>
        <w:t xml:space="preserve">قُتل، حتى عام </w:t>
      </w:r>
      <w:r w:rsidRPr="00A62E4E">
        <w:rPr>
          <w:szCs w:val="20"/>
          <w:rtl/>
        </w:rPr>
        <w:t>2017</w:t>
      </w:r>
      <w:r w:rsidRPr="00B21F27">
        <w:rPr>
          <w:rtl/>
        </w:rPr>
        <w:t xml:space="preserve">، ما لا يقل عن </w:t>
      </w:r>
      <w:r w:rsidRPr="00A62E4E">
        <w:rPr>
          <w:szCs w:val="20"/>
          <w:rtl/>
        </w:rPr>
        <w:t>75</w:t>
      </w:r>
      <w:r w:rsidRPr="00B21F27">
        <w:rPr>
          <w:rtl/>
        </w:rPr>
        <w:t xml:space="preserve"> شخصاً دون محاكمة بسبب التجديف المزعوم، مع إفلات المسؤولين من العقاب. واحتُجز آخرون وزج بهم في أحيان كثيرة في الحبس الانفرادي؛</w:t>
      </w:r>
    </w:p>
    <w:p w:rsidR="00A62E4E" w:rsidRPr="00B21F27" w:rsidRDefault="00A62E4E" w:rsidP="00A62E4E">
      <w:pPr>
        <w:pStyle w:val="SingleTxtGA"/>
        <w:rPr>
          <w:rtl/>
        </w:rPr>
      </w:pPr>
      <w:r w:rsidRPr="00B21F27">
        <w:rPr>
          <w:rtl/>
        </w:rPr>
        <w:tab/>
        <w:t>(د)</w:t>
      </w:r>
      <w:r w:rsidRPr="00B21F27">
        <w:rPr>
          <w:rtl/>
        </w:rPr>
        <w:tab/>
        <w:t>كان تنفيذ الإجراءات التي تسعى تحديدا</w:t>
      </w:r>
      <w:r w:rsidR="00B3789C">
        <w:rPr>
          <w:rFonts w:hint="cs"/>
          <w:rtl/>
        </w:rPr>
        <w:t>ً</w:t>
      </w:r>
      <w:r w:rsidRPr="00B21F27">
        <w:rPr>
          <w:rtl/>
        </w:rPr>
        <w:t xml:space="preserve"> إلى مكافحة الكراهية والاضطهاد الديني سيئا نسبياً ويتطلب تحسيناً. وفقد الزخم في الإجراءات التي اتخذتها الحكومة في عام </w:t>
      </w:r>
      <w:r w:rsidRPr="00A62E4E">
        <w:rPr>
          <w:szCs w:val="20"/>
          <w:rtl/>
        </w:rPr>
        <w:t>2015</w:t>
      </w:r>
      <w:r w:rsidRPr="00B21F27">
        <w:rPr>
          <w:rtl/>
        </w:rPr>
        <w:t xml:space="preserve"> لتطبيق قانون (تنظيم) </w:t>
      </w:r>
      <w:r w:rsidRPr="00B21F27">
        <w:rPr>
          <w:rtl/>
          <w:lang w:bidi="ar"/>
        </w:rPr>
        <w:t>النظم الصوتية</w:t>
      </w:r>
      <w:r w:rsidRPr="00B21F27">
        <w:rPr>
          <w:rtl/>
        </w:rPr>
        <w:t xml:space="preserve"> في المقاطعات والأقاليم الاتحادية؛</w:t>
      </w:r>
    </w:p>
    <w:p w:rsidR="00A62E4E" w:rsidRPr="00B21F27" w:rsidRDefault="00A62E4E" w:rsidP="00A62E4E">
      <w:pPr>
        <w:pStyle w:val="SingleTxtGA"/>
        <w:rPr>
          <w:rtl/>
        </w:rPr>
      </w:pPr>
      <w:r w:rsidRPr="00B21F27">
        <w:rPr>
          <w:rtl/>
        </w:rPr>
        <w:tab/>
        <w:t>(ه)</w:t>
      </w:r>
      <w:r w:rsidRPr="00B21F27">
        <w:rPr>
          <w:rtl/>
        </w:rPr>
        <w:tab/>
        <w:t xml:space="preserve">أقرت الحكومة الاتحادية وحكومة البنجاب قوانين جعلت تدريس القرآن إلزامياً على طلاب المدارس العامة الابتدائية والثانوية في الصفوف من الأول إلى الثاني عشر. غير أن الطلاب المنتمين إلى الأقليات الدينية مُنحوا إمكانية دراسة دينهم. وتعهدت الدولة الطرف بتنظيم </w:t>
      </w:r>
      <w:r w:rsidRPr="00B21F27">
        <w:rPr>
          <w:rtl/>
          <w:lang w:bidi="ar"/>
        </w:rPr>
        <w:t>مدارس التعليم الديني، بيد أن التقدم المحرز كان ضعيفا</w:t>
      </w:r>
      <w:r w:rsidR="00B3789C">
        <w:rPr>
          <w:rFonts w:hint="cs"/>
          <w:rtl/>
          <w:lang w:bidi="ar"/>
        </w:rPr>
        <w:t>ً</w:t>
      </w:r>
      <w:r w:rsidRPr="00B21F27">
        <w:rPr>
          <w:rtl/>
          <w:lang w:bidi="ar"/>
        </w:rPr>
        <w:t xml:space="preserve">، </w:t>
      </w:r>
      <w:r w:rsidRPr="00B21F27">
        <w:rPr>
          <w:rtl/>
        </w:rPr>
        <w:t>لا سيما في تنفيذ خطة العمل الوطنية؛</w:t>
      </w:r>
    </w:p>
    <w:p w:rsidR="00A62E4E" w:rsidRDefault="00A62E4E" w:rsidP="00A62E4E">
      <w:pPr>
        <w:pStyle w:val="SingleTxtGA"/>
        <w:rPr>
          <w:rtl/>
        </w:rPr>
      </w:pPr>
      <w:r w:rsidRPr="00B21F27">
        <w:rPr>
          <w:rtl/>
        </w:rPr>
        <w:tab/>
        <w:t>(و)</w:t>
      </w:r>
      <w:r w:rsidRPr="00B21F27">
        <w:rPr>
          <w:rtl/>
        </w:rPr>
        <w:tab/>
        <w:t>أحرز تقدم ضئيل جدا</w:t>
      </w:r>
      <w:r w:rsidR="00B3789C">
        <w:rPr>
          <w:rFonts w:hint="cs"/>
          <w:rtl/>
        </w:rPr>
        <w:t>ً</w:t>
      </w:r>
      <w:r w:rsidRPr="00B21F27">
        <w:rPr>
          <w:rtl/>
        </w:rPr>
        <w:t xml:space="preserve"> في تنفيذ حكم المحكمة العليا الصادر في </w:t>
      </w:r>
      <w:r w:rsidRPr="00A62E4E">
        <w:rPr>
          <w:szCs w:val="20"/>
          <w:rtl/>
        </w:rPr>
        <w:t>19</w:t>
      </w:r>
      <w:r w:rsidRPr="00B21F27">
        <w:rPr>
          <w:rtl/>
        </w:rPr>
        <w:t xml:space="preserve"> حزيران/</w:t>
      </w:r>
      <w:r>
        <w:rPr>
          <w:rFonts w:hint="cs"/>
          <w:rtl/>
        </w:rPr>
        <w:t xml:space="preserve"> </w:t>
      </w:r>
      <w:r w:rsidRPr="00B21F27">
        <w:rPr>
          <w:rtl/>
        </w:rPr>
        <w:t>يونيه</w:t>
      </w:r>
      <w:r>
        <w:rPr>
          <w:rFonts w:hint="cs"/>
          <w:rtl/>
        </w:rPr>
        <w:t> </w:t>
      </w:r>
      <w:r w:rsidRPr="00A62E4E">
        <w:rPr>
          <w:szCs w:val="20"/>
          <w:rtl/>
        </w:rPr>
        <w:t>2014</w:t>
      </w:r>
      <w:r w:rsidRPr="00B21F27">
        <w:rPr>
          <w:rtl/>
        </w:rPr>
        <w:t>. ولم تنفذ الحكومة الاتحادية وحكومات المقاطعات أهم التدابير التي قضت بها المحكمة، ويتعلق الأمر بإنشاء مجلس وطني للأقليات.</w:t>
      </w:r>
      <w:r w:rsidR="000A24B7">
        <w:rPr>
          <w:rFonts w:hint="cs"/>
          <w:rtl/>
        </w:rPr>
        <w:t xml:space="preserve"> </w:t>
      </w:r>
    </w:p>
    <w:p w:rsidR="00A62E4E" w:rsidRPr="00B21F27" w:rsidRDefault="00A62E4E" w:rsidP="00D371D5">
      <w:pPr>
        <w:pStyle w:val="H23GA"/>
        <w:rPr>
          <w:rtl/>
        </w:rPr>
      </w:pPr>
      <w:r w:rsidRPr="00B21F27">
        <w:rPr>
          <w:rtl/>
        </w:rPr>
        <w:tab/>
      </w:r>
      <w:r w:rsidRPr="00B21F27">
        <w:rPr>
          <w:rtl/>
        </w:rPr>
        <w:tab/>
        <w:t>تقييم اللجنة</w:t>
      </w:r>
    </w:p>
    <w:p w:rsidR="00A62E4E" w:rsidRPr="00B21F27" w:rsidRDefault="00A62E4E" w:rsidP="00A62E4E">
      <w:pPr>
        <w:pStyle w:val="SingleTxtGA"/>
        <w:rPr>
          <w:rtl/>
        </w:rPr>
      </w:pPr>
      <w:r w:rsidRPr="00B21F27">
        <w:rPr>
          <w:b/>
          <w:bCs/>
          <w:rtl/>
        </w:rPr>
        <w:t>[جيم]</w:t>
      </w:r>
      <w:r w:rsidRPr="00B21F27">
        <w:rPr>
          <w:rtl/>
        </w:rPr>
        <w:t xml:space="preserve"> (أ) و(ب) و(ج) و(د) و(و): تحيط اللجنة علماً بالتدابير المتخذة لتحديد العيوب وحالات إساءة استخدام قانون التجديف، لكنها تود موافاتها بمعلومات تبين متى وإلى أي مدى تم التشاور مع أصحاب المصلحة، والاستنتاجات التي تم التوصل إليها من خلال عملية التشاور. وتطلب اللجنة أيضا</w:t>
      </w:r>
      <w:r w:rsidR="00B3789C">
        <w:rPr>
          <w:rFonts w:hint="cs"/>
          <w:rtl/>
        </w:rPr>
        <w:t>ً</w:t>
      </w:r>
      <w:r w:rsidRPr="00B21F27">
        <w:rPr>
          <w:rtl/>
        </w:rPr>
        <w:t xml:space="preserve"> موافاتها بمعلومات عن التدابير الملموسة المتخذة لإلغاء جميع الأحكام المتعلقة بالتجديف أو تعديلها لكي تتوافق مع المقتضيات الصارمة في العهد، منذ اعتماد الملاحظات الختامية للجنة.</w:t>
      </w:r>
    </w:p>
    <w:p w:rsidR="00A62E4E" w:rsidRPr="00D371D5" w:rsidRDefault="00A62E4E" w:rsidP="00A62E4E">
      <w:pPr>
        <w:pStyle w:val="SingleTxtGA"/>
        <w:rPr>
          <w:spacing w:val="-2"/>
          <w:rtl/>
        </w:rPr>
      </w:pPr>
      <w:r w:rsidRPr="00D371D5">
        <w:rPr>
          <w:spacing w:val="-2"/>
          <w:rtl/>
        </w:rPr>
        <w:tab/>
        <w:t xml:space="preserve">وتحيط اللجنة علماً بالمعلومات التي قدمتها الدولة الطرف، لكنها تأسف لعدم إيراد معلومات بشأن التدابير المتخذة منذ اعتماد الملاحظات الختامية للجنة. وفي هذا الصدد، تطلب اللجنة معلومات عن تطبيق التعديل التشريعي لعام </w:t>
      </w:r>
      <w:r w:rsidRPr="00D371D5">
        <w:rPr>
          <w:spacing w:val="-2"/>
          <w:szCs w:val="20"/>
          <w:rtl/>
        </w:rPr>
        <w:t>2017</w:t>
      </w:r>
      <w:r w:rsidRPr="00D371D5">
        <w:rPr>
          <w:spacing w:val="-2"/>
          <w:rtl/>
        </w:rPr>
        <w:t xml:space="preserve"> الذي زاد العقوبة على توجيه اتهامات كاذبة من عقوبة لمدة ستة أشهر إلى عقوبة تتراوح مدتها بين خمس وسبع سنوات. وتطلب اللجنة أيضا</w:t>
      </w:r>
      <w:r w:rsidR="00D371D5">
        <w:rPr>
          <w:rFonts w:hint="cs"/>
          <w:spacing w:val="-2"/>
          <w:rtl/>
        </w:rPr>
        <w:t>ً</w:t>
      </w:r>
      <w:r w:rsidRPr="00D371D5">
        <w:rPr>
          <w:spacing w:val="-2"/>
          <w:rtl/>
        </w:rPr>
        <w:t xml:space="preserve"> معلومات عن التدابير المتخذة لكفالة تقديم جميع من يحرضون على ممارسة العنف على الغير أو يمارسونه عليهم بناء على ادعاءات التجديف، وكذلك من يتهمون الغير بالتجديف زوراً، إلى العدالة ومعاقبتهم كما يجب.</w:t>
      </w:r>
    </w:p>
    <w:p w:rsidR="00A62E4E" w:rsidRPr="00B21F27" w:rsidRDefault="00A62E4E" w:rsidP="00A62E4E">
      <w:pPr>
        <w:pStyle w:val="SingleTxtGA"/>
        <w:rPr>
          <w:rtl/>
        </w:rPr>
      </w:pPr>
      <w:r w:rsidRPr="00B21F27">
        <w:rPr>
          <w:rtl/>
        </w:rPr>
        <w:tab/>
        <w:t xml:space="preserve">وتلاحظ اللجنة بقلق أن هناك تقارير تشير إلى أن </w:t>
      </w:r>
      <w:r w:rsidRPr="00A62E4E">
        <w:rPr>
          <w:szCs w:val="20"/>
          <w:rtl/>
        </w:rPr>
        <w:t>75</w:t>
      </w:r>
      <w:r w:rsidRPr="00B21F27">
        <w:rPr>
          <w:rtl/>
        </w:rPr>
        <w:t xml:space="preserve"> شخصاً قُتلوا بسبب ادعاءات بالتجديف دون عقاب المسؤولين عن ذلك، وتطلب موافاتها بمعلومات في هذا الصدد. وتأسف اللجنة لعدم تقديم أي معلومات عن التدابير المتخذة لتوفير الحماية الكافية للقضاة والمدعين العامين والمحامين والشهود المعنيين بقضايا تجديف. وتطلب اللجنة مجددا</w:t>
      </w:r>
      <w:r w:rsidR="00B3789C">
        <w:rPr>
          <w:rFonts w:hint="cs"/>
          <w:rtl/>
        </w:rPr>
        <w:t>ً</w:t>
      </w:r>
      <w:r w:rsidRPr="00B21F27">
        <w:rPr>
          <w:rtl/>
        </w:rPr>
        <w:t xml:space="preserve"> تزويدها بالمعلومات وتكرر تأكيد توصيتها.</w:t>
      </w:r>
    </w:p>
    <w:p w:rsidR="00A62E4E" w:rsidRPr="00B21F27" w:rsidRDefault="00A62E4E" w:rsidP="00A62E4E">
      <w:pPr>
        <w:pStyle w:val="SingleTxtGA"/>
        <w:rPr>
          <w:lang w:val="en-GB"/>
        </w:rPr>
      </w:pPr>
      <w:r w:rsidRPr="00B21F27">
        <w:rPr>
          <w:bCs/>
          <w:rtl/>
        </w:rPr>
        <w:tab/>
      </w:r>
      <w:r w:rsidRPr="00B21F27">
        <w:rPr>
          <w:rtl/>
        </w:rPr>
        <w:t>وتحيط اللجنة علماً بالمعلومات التي قدمتها الدولة الطرف، لكنها تأسف لعدم إيراد معلومات بشأن التدابير المتخذة منذ اعتماد الملاحظات الختامية. وتطلب اللجنة معلومات عن التدابير المتخذة لكفالة التحقيق الشامل والسريع في قضايا خطاب الكراهية وجرائم الكراهية، ومقاضاة الجناة، ومعاقبتهم في حال إدانتهم. وتطلب اللجنة معلومات عن عدد التحقيقات والملاحقات القضائية والإدانات وعن العقوبات المفروضة على الجناة على مدى السنوات الثلاث الأخيرة.</w:t>
      </w:r>
    </w:p>
    <w:p w:rsidR="00A62E4E" w:rsidRPr="00B21F27" w:rsidRDefault="00A62E4E" w:rsidP="00A62E4E">
      <w:pPr>
        <w:pStyle w:val="SingleTxtGA"/>
        <w:rPr>
          <w:lang w:val="en-GB"/>
        </w:rPr>
      </w:pPr>
      <w:r w:rsidRPr="00B21F27">
        <w:rPr>
          <w:rtl/>
        </w:rPr>
        <w:tab/>
        <w:t xml:space="preserve">وتأسف اللجنة لعدم إيراد معلومات محددة عن تنفيذ حكم المحكمة العليا الصادر في </w:t>
      </w:r>
      <w:r w:rsidRPr="00A62E4E">
        <w:rPr>
          <w:szCs w:val="20"/>
          <w:rtl/>
        </w:rPr>
        <w:t>19</w:t>
      </w:r>
      <w:r w:rsidR="00D371D5">
        <w:rPr>
          <w:rFonts w:hint="cs"/>
          <w:rtl/>
        </w:rPr>
        <w:t xml:space="preserve"> </w:t>
      </w:r>
      <w:r w:rsidRPr="00B21F27">
        <w:rPr>
          <w:rtl/>
        </w:rPr>
        <w:t xml:space="preserve">حزيران/يونيه </w:t>
      </w:r>
      <w:r w:rsidRPr="00A62E4E">
        <w:rPr>
          <w:szCs w:val="20"/>
          <w:rtl/>
        </w:rPr>
        <w:t>2014</w:t>
      </w:r>
      <w:r w:rsidRPr="00B21F27">
        <w:rPr>
          <w:rtl/>
        </w:rPr>
        <w:t>. وتطلب اللجنة مجددا</w:t>
      </w:r>
      <w:r w:rsidR="00B3789C">
        <w:rPr>
          <w:rFonts w:hint="cs"/>
          <w:rtl/>
        </w:rPr>
        <w:t>ً</w:t>
      </w:r>
      <w:r w:rsidRPr="00B21F27">
        <w:rPr>
          <w:rtl/>
        </w:rPr>
        <w:t xml:space="preserve"> تزويدها بالمعلومات وتكرر تأكيد توصيتها.</w:t>
      </w:r>
    </w:p>
    <w:p w:rsidR="00A62E4E" w:rsidRPr="00B21F27" w:rsidRDefault="00A62E4E" w:rsidP="00A62E4E">
      <w:pPr>
        <w:pStyle w:val="SingleTxtGA"/>
        <w:rPr>
          <w:rtl/>
        </w:rPr>
      </w:pPr>
      <w:r w:rsidRPr="00D371D5">
        <w:rPr>
          <w:b/>
          <w:bCs/>
          <w:spacing w:val="-2"/>
          <w:rtl/>
        </w:rPr>
        <w:t>[باء]</w:t>
      </w:r>
      <w:r w:rsidRPr="00D371D5">
        <w:rPr>
          <w:spacing w:val="-2"/>
          <w:rtl/>
        </w:rPr>
        <w:t xml:space="preserve"> (ه): ترحب اللجنة باعتماد منهج دراسي موحد لجميع المؤسسات التعليمية، بما في ذلك </w:t>
      </w:r>
      <w:r w:rsidRPr="00D371D5">
        <w:rPr>
          <w:spacing w:val="-2"/>
          <w:szCs w:val="20"/>
          <w:rtl/>
        </w:rPr>
        <w:t>000</w:t>
      </w:r>
      <w:r w:rsidRPr="00D371D5">
        <w:rPr>
          <w:spacing w:val="-2"/>
          <w:rtl/>
        </w:rPr>
        <w:t xml:space="preserve"> </w:t>
      </w:r>
      <w:r w:rsidRPr="00D371D5">
        <w:rPr>
          <w:spacing w:val="-2"/>
          <w:szCs w:val="20"/>
          <w:rtl/>
        </w:rPr>
        <w:t>30</w:t>
      </w:r>
      <w:r w:rsidRPr="00B21F27">
        <w:rPr>
          <w:rtl/>
        </w:rPr>
        <w:t xml:space="preserve"> مدرسة دينية، وإدراج موضوع حقوق الإنسان والتسامح باعتباره موضوعا</w:t>
      </w:r>
      <w:r w:rsidR="00B3789C">
        <w:rPr>
          <w:rFonts w:hint="cs"/>
          <w:rtl/>
        </w:rPr>
        <w:t>ً</w:t>
      </w:r>
      <w:r w:rsidRPr="00B21F27">
        <w:rPr>
          <w:rtl/>
        </w:rPr>
        <w:t xml:space="preserve"> قائما</w:t>
      </w:r>
      <w:r w:rsidR="00B3789C">
        <w:rPr>
          <w:rFonts w:hint="cs"/>
          <w:rtl/>
        </w:rPr>
        <w:t>ً</w:t>
      </w:r>
      <w:r w:rsidRPr="00B21F27">
        <w:rPr>
          <w:rtl/>
        </w:rPr>
        <w:t xml:space="preserve"> بذاته في دورة الدراسات الباكستانية/الدراسات الإسلامية الإلزامية اعتباراً من السنة الجامعية التي تبدأ في عام </w:t>
      </w:r>
      <w:r w:rsidRPr="00A62E4E">
        <w:rPr>
          <w:szCs w:val="20"/>
          <w:rtl/>
        </w:rPr>
        <w:t>2018</w:t>
      </w:r>
      <w:r w:rsidRPr="00B21F27">
        <w:rPr>
          <w:rtl/>
        </w:rPr>
        <w:t>. وتطلب اللجنة معلومات عن التدابير المتخذة لاستعراض الكتب المدرسية بغية إزالة جميع المضامين المتحيزة دينياً، وتبيان ما إذا كان المنهج الدراسي الموحد الحالي يطبق في جميع المدارس الدينية.</w:t>
      </w:r>
    </w:p>
    <w:p w:rsidR="00A62E4E" w:rsidRDefault="00A62E4E" w:rsidP="00A62E4E">
      <w:pPr>
        <w:pStyle w:val="SingleTxtGA"/>
        <w:rPr>
          <w:rtl/>
        </w:rPr>
      </w:pPr>
      <w:r w:rsidRPr="00B21F27">
        <w:rPr>
          <w:b/>
          <w:bCs/>
          <w:rtl/>
        </w:rPr>
        <w:t>الإجراء الموصى به</w:t>
      </w:r>
      <w:r w:rsidRPr="00B21F27">
        <w:rPr>
          <w:rtl/>
        </w:rPr>
        <w:t>: ينبغي توجيه رسالة إلى الدولة الطرف لإبلاغها بوقف إجراء المتابعة. وينبغي إدراج المعلومات المطلوبة في التقرير الدوري المقبل للدولة الطرف.</w:t>
      </w:r>
    </w:p>
    <w:p w:rsidR="00A62E4E" w:rsidRPr="00A62E4E" w:rsidRDefault="00A62E4E" w:rsidP="00A62E4E">
      <w:pPr>
        <w:spacing w:before="120"/>
        <w:jc w:val="center"/>
        <w:rPr>
          <w:u w:val="single"/>
          <w:rtl/>
        </w:rPr>
      </w:pPr>
      <w:r>
        <w:rPr>
          <w:u w:val="single"/>
          <w:rtl/>
        </w:rPr>
        <w:tab/>
      </w:r>
      <w:r>
        <w:rPr>
          <w:u w:val="single"/>
          <w:rtl/>
        </w:rPr>
        <w:tab/>
      </w:r>
      <w:r>
        <w:rPr>
          <w:u w:val="single"/>
          <w:rtl/>
        </w:rPr>
        <w:tab/>
      </w:r>
    </w:p>
    <w:sectPr w:rsidR="00A62E4E" w:rsidRPr="00A62E4E" w:rsidSect="00705C9D">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99C" w:rsidRPr="002901D9" w:rsidRDefault="0002299C" w:rsidP="002901D9">
      <w:pPr>
        <w:spacing w:after="60" w:line="240" w:lineRule="auto"/>
        <w:rPr>
          <w:i/>
          <w:iCs/>
        </w:rPr>
      </w:pPr>
      <w:r>
        <w:rPr>
          <w:rFonts w:hint="cs"/>
          <w:i/>
          <w:iCs/>
          <w:rtl/>
        </w:rPr>
        <w:t>الحواشي</w:t>
      </w:r>
    </w:p>
  </w:endnote>
  <w:endnote w:type="continuationSeparator" w:id="0">
    <w:p w:rsidR="0002299C" w:rsidRDefault="0002299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9D" w:rsidRPr="00A62E4E" w:rsidRDefault="00A62E4E" w:rsidP="00A62E4E">
    <w:pPr>
      <w:pStyle w:val="Footer"/>
      <w:tabs>
        <w:tab w:val="right" w:pos="9598"/>
      </w:tabs>
      <w:rPr>
        <w:sz w:val="17"/>
      </w:rPr>
    </w:pPr>
    <w:r>
      <w:rPr>
        <w:sz w:val="17"/>
      </w:rPr>
      <w:t>GE.20-01301</w:t>
    </w:r>
    <w:r>
      <w:rPr>
        <w:sz w:val="17"/>
      </w:rPr>
      <w:tab/>
    </w:r>
    <w:r w:rsidRPr="00A62E4E">
      <w:rPr>
        <w:b/>
        <w:sz w:val="18"/>
      </w:rPr>
      <w:fldChar w:fldCharType="begin"/>
    </w:r>
    <w:r w:rsidRPr="00A62E4E">
      <w:rPr>
        <w:b/>
        <w:sz w:val="18"/>
      </w:rPr>
      <w:instrText xml:space="preserve"> PAGE  \* MERGEFORMAT </w:instrText>
    </w:r>
    <w:r w:rsidRPr="00A62E4E">
      <w:rPr>
        <w:b/>
        <w:sz w:val="18"/>
      </w:rPr>
      <w:fldChar w:fldCharType="separate"/>
    </w:r>
    <w:r>
      <w:rPr>
        <w:b/>
        <w:sz w:val="18"/>
      </w:rPr>
      <w:t>2</w:t>
    </w:r>
    <w:r w:rsidRPr="00A62E4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A62E4E" w:rsidRDefault="00A62E4E" w:rsidP="006959B0">
    <w:pPr>
      <w:pStyle w:val="Footer"/>
      <w:tabs>
        <w:tab w:val="right" w:pos="9599"/>
      </w:tabs>
      <w:jc w:val="left"/>
      <w:rPr>
        <w:b/>
        <w:sz w:val="18"/>
        <w:lang w:val="en-US"/>
      </w:rPr>
    </w:pPr>
    <w:r w:rsidRPr="00A62E4E">
      <w:rPr>
        <w:b/>
        <w:sz w:val="18"/>
        <w:lang w:val="en-US"/>
      </w:rPr>
      <w:fldChar w:fldCharType="begin"/>
    </w:r>
    <w:r w:rsidRPr="00A62E4E">
      <w:rPr>
        <w:b/>
        <w:sz w:val="18"/>
        <w:lang w:val="en-US"/>
      </w:rPr>
      <w:instrText xml:space="preserve"> PAGE  \* MERGEFORMAT </w:instrText>
    </w:r>
    <w:r w:rsidRPr="00A62E4E">
      <w:rPr>
        <w:b/>
        <w:sz w:val="18"/>
        <w:lang w:val="en-US"/>
      </w:rPr>
      <w:fldChar w:fldCharType="separate"/>
    </w:r>
    <w:r w:rsidRPr="00A62E4E">
      <w:rPr>
        <w:b/>
        <w:noProof/>
        <w:sz w:val="18"/>
        <w:lang w:val="en-US"/>
      </w:rPr>
      <w:t>3</w:t>
    </w:r>
    <w:r w:rsidRPr="00A62E4E">
      <w:rPr>
        <w:b/>
        <w:sz w:val="18"/>
        <w:lang w:val="en-US"/>
      </w:rPr>
      <w:fldChar w:fldCharType="end"/>
    </w:r>
    <w:r>
      <w:rPr>
        <w:b/>
        <w:sz w:val="18"/>
        <w:lang w:val="en-US"/>
      </w:rPr>
      <w:tab/>
    </w:r>
    <w:r>
      <w:rPr>
        <w:sz w:val="17"/>
        <w:lang w:val="en-US"/>
      </w:rPr>
      <w:t>GE.20-01301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705C9D" w:rsidP="00982139">
    <w:pPr>
      <w:pStyle w:val="Footer"/>
      <w:spacing w:before="360"/>
      <w:jc w:val="right"/>
      <w:rPr>
        <w:sz w:val="20"/>
        <w:szCs w:val="20"/>
      </w:rPr>
    </w:pPr>
    <w:r>
      <w:rPr>
        <w:sz w:val="20"/>
        <w:szCs w:val="20"/>
      </w:rPr>
      <w:t>GE.20-01301</w:t>
    </w:r>
    <w:r w:rsidR="00DF3A99">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705C9D" w:rsidRPr="00705C9D" w:rsidRDefault="00705C9D" w:rsidP="00705C9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DF3A99">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0705" cy="560705"/>
          <wp:effectExtent l="0" t="0" r="0" b="0"/>
          <wp:wrapNone/>
          <wp:docPr id="2" name="Picture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99C" w:rsidRDefault="0002299C" w:rsidP="000437B8">
      <w:pPr>
        <w:pStyle w:val="Footer"/>
        <w:bidi/>
        <w:spacing w:after="80" w:line="200" w:lineRule="exact"/>
        <w:ind w:left="680"/>
      </w:pPr>
      <w:r>
        <w:rPr>
          <w:rtl/>
        </w:rPr>
        <w:t>__________</w:t>
      </w:r>
    </w:p>
  </w:footnote>
  <w:footnote w:type="continuationSeparator" w:id="0">
    <w:p w:rsidR="0002299C" w:rsidRDefault="0002299C" w:rsidP="00656392">
      <w:pPr>
        <w:spacing w:line="240" w:lineRule="auto"/>
      </w:pPr>
      <w:r>
        <w:continuationSeparator/>
      </w:r>
    </w:p>
  </w:footnote>
  <w:footnote w:id="1">
    <w:p w:rsidR="00A62E4E" w:rsidRPr="00A62E4E" w:rsidRDefault="00A62E4E" w:rsidP="00A62E4E">
      <w:pPr>
        <w:pStyle w:val="FootnoteText1"/>
      </w:pPr>
      <w:r>
        <w:rPr>
          <w:rtl/>
        </w:rPr>
        <w:t>*</w:t>
      </w:r>
      <w:r>
        <w:rPr>
          <w:rtl/>
        </w:rPr>
        <w:tab/>
      </w:r>
      <w:r w:rsidRPr="00E53600">
        <w:rPr>
          <w:rtl/>
        </w:rPr>
        <w:t xml:space="preserve">اعتمدتها اللجنة في دورتها </w:t>
      </w:r>
      <w:r w:rsidRPr="00A62E4E">
        <w:rPr>
          <w:szCs w:val="18"/>
          <w:rtl/>
        </w:rPr>
        <w:t>127</w:t>
      </w:r>
      <w:r w:rsidRPr="00E53600">
        <w:rPr>
          <w:rtl/>
        </w:rPr>
        <w:t xml:space="preserve"> (</w:t>
      </w:r>
      <w:r w:rsidRPr="00A62E4E">
        <w:rPr>
          <w:szCs w:val="18"/>
          <w:rtl/>
        </w:rPr>
        <w:t>14</w:t>
      </w:r>
      <w:r w:rsidRPr="00E53600">
        <w:rPr>
          <w:rtl/>
        </w:rPr>
        <w:t xml:space="preserve"> تشرين الأول/أكتوبر - </w:t>
      </w:r>
      <w:r w:rsidRPr="00A62E4E">
        <w:rPr>
          <w:szCs w:val="18"/>
          <w:rtl/>
        </w:rPr>
        <w:t>8</w:t>
      </w:r>
      <w:r w:rsidRPr="00E53600">
        <w:rPr>
          <w:rtl/>
        </w:rPr>
        <w:t xml:space="preserve"> تشرين الثاني/نوفمبر </w:t>
      </w:r>
      <w:r w:rsidRPr="00A62E4E">
        <w:rPr>
          <w:szCs w:val="18"/>
          <w:rtl/>
        </w:rPr>
        <w:t>2019</w:t>
      </w:r>
      <w:r w:rsidRPr="00E53600">
        <w:rPr>
          <w:rtl/>
        </w:rPr>
        <w:t>).</w:t>
      </w:r>
    </w:p>
  </w:footnote>
  <w:footnote w:id="2">
    <w:p w:rsidR="00A62E4E" w:rsidRPr="00074683" w:rsidRDefault="00A62E4E" w:rsidP="00A62E4E">
      <w:pPr>
        <w:pStyle w:val="FootnoteText1"/>
        <w:rPr>
          <w:rtl/>
        </w:rPr>
      </w:pPr>
      <w:r w:rsidRPr="00074683">
        <w:rPr>
          <w:rtl/>
        </w:rPr>
        <w:t>(</w:t>
      </w:r>
      <w:r w:rsidRPr="00A62E4E">
        <w:rPr>
          <w:rStyle w:val="FootnoteReference"/>
          <w:rFonts w:cs="Times New Roman"/>
          <w:b w:val="0"/>
          <w:szCs w:val="17"/>
          <w:vertAlign w:val="baseline"/>
        </w:rPr>
        <w:footnoteRef/>
      </w:r>
      <w:r w:rsidRPr="00074683">
        <w:rPr>
          <w:rtl/>
        </w:rPr>
        <w:t>)</w:t>
      </w:r>
      <w:r w:rsidRPr="00074683">
        <w:rPr>
          <w:rtl/>
        </w:rPr>
        <w:tab/>
      </w:r>
      <w:r>
        <w:rPr>
          <w:rtl/>
        </w:rPr>
        <w:t xml:space="preserve">انظر </w:t>
      </w:r>
      <w:hyperlink r:id="rId1" w:history="1">
        <w:r w:rsidR="00A74400" w:rsidRPr="00B278B8">
          <w:rPr>
            <w:rStyle w:val="Hyperlink"/>
          </w:rPr>
          <w:t>https://tbinternet.ohchr.org/_layouts/</w:t>
        </w:r>
        <w:r w:rsidR="00A74400" w:rsidRPr="00B278B8">
          <w:rPr>
            <w:rStyle w:val="Hyperlink"/>
            <w:szCs w:val="18"/>
          </w:rPr>
          <w:t>15</w:t>
        </w:r>
        <w:r w:rsidR="00A74400" w:rsidRPr="00B278B8">
          <w:rPr>
            <w:rStyle w:val="Hyperlink"/>
          </w:rPr>
          <w:t>/treatybodyexternal/Download.aspx?symbolno</w:t>
        </w:r>
        <w:r w:rsidR="00A74400" w:rsidRPr="00B278B8">
          <w:rPr>
            <w:rStyle w:val="Hyperlink"/>
            <w:lang w:val="fr-FR"/>
          </w:rPr>
          <w:t>=INT%</w:t>
        </w:r>
        <w:r w:rsidR="00A74400" w:rsidRPr="00B278B8">
          <w:rPr>
            <w:rStyle w:val="Hyperlink"/>
            <w:szCs w:val="18"/>
            <w:lang w:val="fr-FR"/>
          </w:rPr>
          <w:br/>
          <w:t>2</w:t>
        </w:r>
        <w:r w:rsidR="00A74400" w:rsidRPr="00B278B8">
          <w:rPr>
            <w:rStyle w:val="Hyperlink"/>
            <w:lang w:val="fr-FR"/>
          </w:rPr>
          <w:t>fCCPR%</w:t>
        </w:r>
        <w:r w:rsidR="00A74400" w:rsidRPr="00B278B8">
          <w:rPr>
            <w:rStyle w:val="Hyperlink"/>
            <w:szCs w:val="18"/>
            <w:lang w:val="fr-FR"/>
          </w:rPr>
          <w:t>2</w:t>
        </w:r>
        <w:r w:rsidR="00A74400" w:rsidRPr="00B278B8">
          <w:rPr>
            <w:rStyle w:val="Hyperlink"/>
            <w:lang w:val="fr-FR"/>
          </w:rPr>
          <w:t>fNGS%</w:t>
        </w:r>
        <w:r w:rsidR="00A74400" w:rsidRPr="00B278B8">
          <w:rPr>
            <w:rStyle w:val="Hyperlink"/>
            <w:szCs w:val="18"/>
            <w:lang w:val="fr-FR"/>
          </w:rPr>
          <w:t>2</w:t>
        </w:r>
        <w:r w:rsidR="00A74400" w:rsidRPr="00B278B8">
          <w:rPr>
            <w:rStyle w:val="Hyperlink"/>
            <w:lang w:val="fr-FR"/>
          </w:rPr>
          <w:t>fPAK%</w:t>
        </w:r>
        <w:r w:rsidR="00A74400" w:rsidRPr="00B278B8">
          <w:rPr>
            <w:rStyle w:val="Hyperlink"/>
            <w:szCs w:val="18"/>
            <w:lang w:val="fr-FR"/>
          </w:rPr>
          <w:t>2</w:t>
        </w:r>
        <w:r w:rsidR="00A74400" w:rsidRPr="00B278B8">
          <w:rPr>
            <w:rStyle w:val="Hyperlink"/>
            <w:lang w:val="fr-FR"/>
          </w:rPr>
          <w:t>f</w:t>
        </w:r>
        <w:r w:rsidR="00A74400" w:rsidRPr="00B278B8">
          <w:rPr>
            <w:rStyle w:val="Hyperlink"/>
            <w:szCs w:val="18"/>
            <w:lang w:val="fr-FR"/>
          </w:rPr>
          <w:t>35871</w:t>
        </w:r>
        <w:r w:rsidR="00A74400" w:rsidRPr="00B278B8">
          <w:rPr>
            <w:rStyle w:val="Hyperlink"/>
            <w:lang w:val="fr-FR"/>
          </w:rPr>
          <w:t>&amp;Lang=en</w:t>
        </w:r>
      </w:hyperlink>
      <w:r>
        <w:rPr>
          <w:rtl/>
        </w:rPr>
        <w:t>.</w:t>
      </w:r>
    </w:p>
  </w:footnote>
  <w:footnote w:id="3">
    <w:p w:rsidR="00A62E4E" w:rsidRPr="00E53600" w:rsidRDefault="00A62E4E" w:rsidP="00A62E4E">
      <w:pPr>
        <w:pStyle w:val="FootnoteText1"/>
        <w:rPr>
          <w:rtl/>
        </w:rPr>
      </w:pPr>
      <w:r w:rsidRPr="00074683">
        <w:rPr>
          <w:rtl/>
        </w:rPr>
        <w:t>(</w:t>
      </w:r>
      <w:r w:rsidRPr="00A62E4E">
        <w:rPr>
          <w:rStyle w:val="FootnoteReference"/>
          <w:rFonts w:cs="Times New Roman"/>
          <w:b w:val="0"/>
          <w:szCs w:val="17"/>
          <w:vertAlign w:val="baseline"/>
        </w:rPr>
        <w:footnoteRef/>
      </w:r>
      <w:r w:rsidRPr="00074683">
        <w:rPr>
          <w:rtl/>
        </w:rPr>
        <w:t>)</w:t>
      </w:r>
      <w:r w:rsidRPr="00074683">
        <w:rPr>
          <w:rtl/>
        </w:rPr>
        <w:tab/>
      </w:r>
      <w:r>
        <w:rPr>
          <w:rtl/>
        </w:rPr>
        <w:t xml:space="preserve">انظر </w:t>
      </w:r>
      <w:hyperlink r:id="rId2" w:history="1">
        <w:r w:rsidR="00A74400" w:rsidRPr="00B278B8">
          <w:rPr>
            <w:rStyle w:val="Hyperlink"/>
          </w:rPr>
          <w:t>https://tbinternet.ohchr.org/_layouts/</w:t>
        </w:r>
        <w:r w:rsidR="00A74400" w:rsidRPr="00B278B8">
          <w:rPr>
            <w:rStyle w:val="Hyperlink"/>
            <w:szCs w:val="18"/>
          </w:rPr>
          <w:t>15</w:t>
        </w:r>
        <w:r w:rsidR="00A74400" w:rsidRPr="00B278B8">
          <w:rPr>
            <w:rStyle w:val="Hyperlink"/>
          </w:rPr>
          <w:t>/treatybodyexternal/Download.aspx?symbolno=INT%</w:t>
        </w:r>
        <w:r w:rsidR="00A74400" w:rsidRPr="00B278B8">
          <w:rPr>
            <w:rStyle w:val="Hyperlink"/>
            <w:szCs w:val="18"/>
          </w:rPr>
          <w:br/>
          <w:t>2</w:t>
        </w:r>
        <w:r w:rsidR="00A74400" w:rsidRPr="00B278B8">
          <w:rPr>
            <w:rStyle w:val="Hyperlink"/>
          </w:rPr>
          <w:t>fCCPR%</w:t>
        </w:r>
        <w:r w:rsidR="00A74400" w:rsidRPr="00B278B8">
          <w:rPr>
            <w:rStyle w:val="Hyperlink"/>
            <w:szCs w:val="18"/>
          </w:rPr>
          <w:t>2</w:t>
        </w:r>
        <w:r w:rsidR="00A74400" w:rsidRPr="00B278B8">
          <w:rPr>
            <w:rStyle w:val="Hyperlink"/>
          </w:rPr>
          <w:t>fNGS%</w:t>
        </w:r>
        <w:r w:rsidR="00A74400" w:rsidRPr="00B278B8">
          <w:rPr>
            <w:rStyle w:val="Hyperlink"/>
            <w:szCs w:val="18"/>
          </w:rPr>
          <w:t>2</w:t>
        </w:r>
        <w:r w:rsidR="00A74400" w:rsidRPr="00B278B8">
          <w:rPr>
            <w:rStyle w:val="Hyperlink"/>
          </w:rPr>
          <w:t>fPAK%</w:t>
        </w:r>
        <w:r w:rsidR="00A74400" w:rsidRPr="00B278B8">
          <w:rPr>
            <w:rStyle w:val="Hyperlink"/>
            <w:szCs w:val="18"/>
          </w:rPr>
          <w:t>2</w:t>
        </w:r>
        <w:r w:rsidR="00A74400" w:rsidRPr="00B278B8">
          <w:rPr>
            <w:rStyle w:val="Hyperlink"/>
          </w:rPr>
          <w:t>f</w:t>
        </w:r>
        <w:r w:rsidR="00A74400" w:rsidRPr="00B278B8">
          <w:rPr>
            <w:rStyle w:val="Hyperlink"/>
            <w:szCs w:val="18"/>
          </w:rPr>
          <w:t>37168</w:t>
        </w:r>
        <w:r w:rsidR="00A74400" w:rsidRPr="00B278B8">
          <w:rPr>
            <w:rStyle w:val="Hyperlink"/>
          </w:rPr>
          <w:t>&amp;Lang=en</w:t>
        </w:r>
      </w:hyperlink>
      <w:r>
        <w:rPr>
          <w:rtl/>
        </w:rPr>
        <w:t>.</w:t>
      </w:r>
    </w:p>
  </w:footnote>
  <w:footnote w:id="4">
    <w:p w:rsidR="00A62E4E" w:rsidRPr="00D371D5" w:rsidRDefault="00A62E4E" w:rsidP="00A62E4E">
      <w:pPr>
        <w:pStyle w:val="FootnoteText1"/>
        <w:rPr>
          <w:spacing w:val="-4"/>
          <w:lang w:val="fr-FR"/>
        </w:rPr>
      </w:pPr>
      <w:r w:rsidRPr="00D371D5">
        <w:rPr>
          <w:spacing w:val="-4"/>
          <w:rtl/>
        </w:rPr>
        <w:t>(</w:t>
      </w:r>
      <w:r w:rsidRPr="00D371D5">
        <w:rPr>
          <w:rStyle w:val="FootnoteReference"/>
          <w:rFonts w:cs="Times New Roman"/>
          <w:b w:val="0"/>
          <w:spacing w:val="-4"/>
          <w:szCs w:val="17"/>
          <w:vertAlign w:val="baseline"/>
        </w:rPr>
        <w:footnoteRef/>
      </w:r>
      <w:r w:rsidRPr="00D371D5">
        <w:rPr>
          <w:spacing w:val="-4"/>
          <w:rtl/>
        </w:rPr>
        <w:t>)</w:t>
      </w:r>
      <w:r w:rsidRPr="00D371D5">
        <w:rPr>
          <w:spacing w:val="-4"/>
          <w:rtl/>
        </w:rPr>
        <w:tab/>
      </w:r>
      <w:hyperlink r:id="rId3" w:history="1">
        <w:r w:rsidR="00D371D5" w:rsidRPr="00B278B8">
          <w:rPr>
            <w:rStyle w:val="Hyperlink"/>
            <w:spacing w:val="-4"/>
            <w:lang w:val="fr-FR"/>
          </w:rPr>
          <w:t>https://tbinternet.ohchr.org/_layouts/</w:t>
        </w:r>
        <w:r w:rsidR="00D371D5" w:rsidRPr="00B278B8">
          <w:rPr>
            <w:rStyle w:val="Hyperlink"/>
            <w:spacing w:val="-4"/>
            <w:szCs w:val="18"/>
            <w:lang w:val="fr-FR"/>
          </w:rPr>
          <w:t>15</w:t>
        </w:r>
        <w:r w:rsidR="00D371D5" w:rsidRPr="00B278B8">
          <w:rPr>
            <w:rStyle w:val="Hyperlink"/>
            <w:spacing w:val="-4"/>
            <w:lang w:val="fr-FR"/>
          </w:rPr>
          <w:t>/treatybodyexternal/Download.aspx?symbolno=INT%</w:t>
        </w:r>
        <w:r w:rsidR="00D371D5" w:rsidRPr="00B278B8">
          <w:rPr>
            <w:rStyle w:val="Hyperlink"/>
            <w:spacing w:val="-4"/>
            <w:szCs w:val="18"/>
            <w:lang w:val="fr-FR"/>
          </w:rPr>
          <w:t>2</w:t>
        </w:r>
        <w:r w:rsidR="00D371D5" w:rsidRPr="00B278B8">
          <w:rPr>
            <w:rStyle w:val="Hyperlink"/>
            <w:spacing w:val="-4"/>
            <w:lang w:val="fr-FR"/>
          </w:rPr>
          <w:t>fCCPR%</w:t>
        </w:r>
        <w:r w:rsidR="00D371D5" w:rsidRPr="00B278B8">
          <w:rPr>
            <w:rStyle w:val="Hyperlink"/>
            <w:spacing w:val="-4"/>
            <w:lang w:val="fr-FR"/>
          </w:rPr>
          <w:br/>
        </w:r>
        <w:r w:rsidR="00D371D5" w:rsidRPr="00B278B8">
          <w:rPr>
            <w:rStyle w:val="Hyperlink"/>
            <w:spacing w:val="-4"/>
            <w:szCs w:val="18"/>
            <w:lang w:val="fr-FR"/>
          </w:rPr>
          <w:t>2</w:t>
        </w:r>
        <w:r w:rsidR="00D371D5" w:rsidRPr="00B278B8">
          <w:rPr>
            <w:rStyle w:val="Hyperlink"/>
            <w:spacing w:val="-4"/>
            <w:lang w:val="fr-FR"/>
          </w:rPr>
          <w:t>fNGS%</w:t>
        </w:r>
        <w:r w:rsidR="00D371D5" w:rsidRPr="00B278B8">
          <w:rPr>
            <w:rStyle w:val="Hyperlink"/>
            <w:spacing w:val="-4"/>
            <w:szCs w:val="18"/>
            <w:lang w:val="fr-FR"/>
          </w:rPr>
          <w:t>2</w:t>
        </w:r>
        <w:r w:rsidR="00D371D5" w:rsidRPr="00B278B8">
          <w:rPr>
            <w:rStyle w:val="Hyperlink"/>
            <w:spacing w:val="-4"/>
            <w:lang w:val="fr-FR"/>
          </w:rPr>
          <w:t>fPAK%</w:t>
        </w:r>
        <w:r w:rsidR="00D371D5" w:rsidRPr="00B278B8">
          <w:rPr>
            <w:rStyle w:val="Hyperlink"/>
            <w:spacing w:val="-4"/>
            <w:szCs w:val="18"/>
            <w:lang w:val="fr-FR"/>
          </w:rPr>
          <w:t>2</w:t>
        </w:r>
        <w:r w:rsidR="00D371D5" w:rsidRPr="00B278B8">
          <w:rPr>
            <w:rStyle w:val="Hyperlink"/>
            <w:spacing w:val="-4"/>
            <w:lang w:val="fr-FR"/>
          </w:rPr>
          <w:t>f</w:t>
        </w:r>
        <w:r w:rsidR="00D371D5" w:rsidRPr="00B278B8">
          <w:rPr>
            <w:rStyle w:val="Hyperlink"/>
            <w:spacing w:val="-4"/>
            <w:szCs w:val="18"/>
            <w:lang w:val="fr-FR"/>
          </w:rPr>
          <w:t>37401</w:t>
        </w:r>
        <w:r w:rsidR="00D371D5" w:rsidRPr="00B278B8">
          <w:rPr>
            <w:rStyle w:val="Hyperlink"/>
            <w:spacing w:val="-4"/>
            <w:lang w:val="fr-FR"/>
          </w:rPr>
          <w:t>&amp;Lang=en</w:t>
        </w:r>
      </w:hyperlink>
      <w:r w:rsidRPr="00D371D5">
        <w:rPr>
          <w:spacing w:val="-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9D" w:rsidRPr="00A62E4E" w:rsidRDefault="00A62E4E" w:rsidP="00A62E4E">
    <w:pPr>
      <w:pStyle w:val="Header"/>
      <w:jc w:val="right"/>
    </w:pPr>
    <w:r w:rsidRPr="00A62E4E">
      <w:t>CCPR/C/127/2/Add.2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9D" w:rsidRPr="00A62E4E" w:rsidRDefault="00A62E4E" w:rsidP="00A62E4E">
    <w:pPr>
      <w:pStyle w:val="Header"/>
      <w:jc w:val="left"/>
    </w:pPr>
    <w:r w:rsidRPr="00A62E4E">
      <w:t>CCPR/C/127/2/Add.2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02299C"/>
    <w:rsid w:val="000076D5"/>
    <w:rsid w:val="0002299C"/>
    <w:rsid w:val="00043663"/>
    <w:rsid w:val="000437B8"/>
    <w:rsid w:val="000505CF"/>
    <w:rsid w:val="000A24B7"/>
    <w:rsid w:val="000D701C"/>
    <w:rsid w:val="000E2A71"/>
    <w:rsid w:val="00160263"/>
    <w:rsid w:val="00181F96"/>
    <w:rsid w:val="001A1371"/>
    <w:rsid w:val="001B346A"/>
    <w:rsid w:val="001E1CAD"/>
    <w:rsid w:val="001E290D"/>
    <w:rsid w:val="002144FA"/>
    <w:rsid w:val="0023469A"/>
    <w:rsid w:val="00243C8A"/>
    <w:rsid w:val="002548C4"/>
    <w:rsid w:val="00267A0E"/>
    <w:rsid w:val="002901D9"/>
    <w:rsid w:val="002976C2"/>
    <w:rsid w:val="003260FF"/>
    <w:rsid w:val="00343D95"/>
    <w:rsid w:val="00363A18"/>
    <w:rsid w:val="00374341"/>
    <w:rsid w:val="003D1062"/>
    <w:rsid w:val="00420D7B"/>
    <w:rsid w:val="00450B21"/>
    <w:rsid w:val="00453B63"/>
    <w:rsid w:val="00455780"/>
    <w:rsid w:val="0046178A"/>
    <w:rsid w:val="004B0A1C"/>
    <w:rsid w:val="004D298E"/>
    <w:rsid w:val="00517BC9"/>
    <w:rsid w:val="00542D2A"/>
    <w:rsid w:val="0054472E"/>
    <w:rsid w:val="005662A9"/>
    <w:rsid w:val="005827D4"/>
    <w:rsid w:val="0059622A"/>
    <w:rsid w:val="005B51C4"/>
    <w:rsid w:val="005C5878"/>
    <w:rsid w:val="005C7CEA"/>
    <w:rsid w:val="005D3C0B"/>
    <w:rsid w:val="005E5217"/>
    <w:rsid w:val="005F0FA4"/>
    <w:rsid w:val="005F30EE"/>
    <w:rsid w:val="0060473A"/>
    <w:rsid w:val="00656392"/>
    <w:rsid w:val="0068781D"/>
    <w:rsid w:val="006959B0"/>
    <w:rsid w:val="006B3E27"/>
    <w:rsid w:val="006B6507"/>
    <w:rsid w:val="006C104C"/>
    <w:rsid w:val="00705C9D"/>
    <w:rsid w:val="00733704"/>
    <w:rsid w:val="0078071A"/>
    <w:rsid w:val="00787E1E"/>
    <w:rsid w:val="00852A9A"/>
    <w:rsid w:val="008F49E1"/>
    <w:rsid w:val="0090370F"/>
    <w:rsid w:val="009269D2"/>
    <w:rsid w:val="00942135"/>
    <w:rsid w:val="009521B0"/>
    <w:rsid w:val="00982139"/>
    <w:rsid w:val="009867A8"/>
    <w:rsid w:val="009A7E9F"/>
    <w:rsid w:val="009E5018"/>
    <w:rsid w:val="00A03700"/>
    <w:rsid w:val="00A12B37"/>
    <w:rsid w:val="00A62E4E"/>
    <w:rsid w:val="00A74400"/>
    <w:rsid w:val="00AB6758"/>
    <w:rsid w:val="00B13763"/>
    <w:rsid w:val="00B3789C"/>
    <w:rsid w:val="00B477A4"/>
    <w:rsid w:val="00B54045"/>
    <w:rsid w:val="00B7464C"/>
    <w:rsid w:val="00BA3391"/>
    <w:rsid w:val="00C438D7"/>
    <w:rsid w:val="00C81B50"/>
    <w:rsid w:val="00CB6622"/>
    <w:rsid w:val="00CD1801"/>
    <w:rsid w:val="00CF65C6"/>
    <w:rsid w:val="00D10EF1"/>
    <w:rsid w:val="00D371D5"/>
    <w:rsid w:val="00D42810"/>
    <w:rsid w:val="00D914A7"/>
    <w:rsid w:val="00DD13C3"/>
    <w:rsid w:val="00DD596E"/>
    <w:rsid w:val="00DD621E"/>
    <w:rsid w:val="00DE50B1"/>
    <w:rsid w:val="00DF0575"/>
    <w:rsid w:val="00DF3A99"/>
    <w:rsid w:val="00E70E04"/>
    <w:rsid w:val="00EC05A7"/>
    <w:rsid w:val="00EC4B6B"/>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A095C6"/>
  <w15:docId w15:val="{9A502D3B-C58C-42ED-BA68-E84AE17A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1371"/>
    <w:pPr>
      <w:spacing w:line="240" w:lineRule="auto"/>
    </w:pPr>
    <w:rPr>
      <w:szCs w:val="20"/>
    </w:rPr>
  </w:style>
  <w:style w:type="character" w:customStyle="1" w:styleId="FootnoteTextChar">
    <w:name w:val="Footnote Text Char"/>
    <w:link w:val="FootnoteText"/>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A62E4E"/>
    <w:pPr>
      <w:keepNext/>
      <w:keepLines/>
      <w:spacing w:after="120" w:line="400" w:lineRule="exact"/>
      <w:outlineLvl w:val="0"/>
    </w:pPr>
    <w:rPr>
      <w:rFonts w:eastAsia="Calibri"/>
      <w:b/>
      <w:bCs/>
      <w:kern w:val="14"/>
      <w:sz w:val="24"/>
      <w:szCs w:val="32"/>
    </w:rPr>
  </w:style>
  <w:style w:type="paragraph" w:customStyle="1" w:styleId="SingleTxt">
    <w:name w:val="__Single Txt"/>
    <w:basedOn w:val="Normal"/>
    <w:qFormat/>
    <w:rsid w:val="00A62E4E"/>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rFonts w:eastAsia="Calibri"/>
      <w:kern w:val="14"/>
      <w:szCs w:val="28"/>
    </w:rPr>
  </w:style>
  <w:style w:type="paragraph" w:customStyle="1" w:styleId="H23">
    <w:name w:val="_ H_2/3"/>
    <w:basedOn w:val="H1"/>
    <w:next w:val="SingleTxt"/>
    <w:qFormat/>
    <w:rsid w:val="00A62E4E"/>
    <w:pPr>
      <w:suppressAutoHyphens/>
      <w:spacing w:line="360" w:lineRule="exact"/>
      <w:jc w:val="mediumKashida"/>
      <w:outlineLvl w:val="1"/>
    </w:pPr>
    <w:rPr>
      <w:spacing w:val="2"/>
      <w:sz w:val="20"/>
      <w:szCs w:val="28"/>
    </w:rPr>
  </w:style>
  <w:style w:type="paragraph" w:customStyle="1" w:styleId="H4">
    <w:name w:val="_ H_4"/>
    <w:basedOn w:val="Normal"/>
    <w:next w:val="SingleTxt"/>
    <w:qFormat/>
    <w:rsid w:val="00A62E4E"/>
    <w:pPr>
      <w:keepNext/>
      <w:keepLines/>
      <w:suppressAutoHyphens/>
      <w:spacing w:after="120" w:line="360" w:lineRule="exact"/>
      <w:outlineLvl w:val="3"/>
    </w:pPr>
    <w:rPr>
      <w:rFonts w:eastAsia="Calibri"/>
      <w:i/>
      <w:iCs/>
      <w:kern w:val="14"/>
      <w:szCs w:val="28"/>
    </w:rPr>
  </w:style>
  <w:style w:type="paragraph" w:customStyle="1" w:styleId="TitleHCH">
    <w:name w:val="Title_H_CH"/>
    <w:basedOn w:val="H1"/>
    <w:next w:val="SingleTxt"/>
    <w:qFormat/>
    <w:rsid w:val="00A62E4E"/>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SingleTxt"/>
    <w:qFormat/>
    <w:rsid w:val="00A62E4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rFonts w:eastAsia="Calibri"/>
      <w:b/>
      <w:bCs/>
      <w:kern w:val="14"/>
      <w:sz w:val="24"/>
      <w:szCs w:val="32"/>
    </w:rPr>
  </w:style>
  <w:style w:type="paragraph" w:customStyle="1" w:styleId="TitleH2">
    <w:name w:val="Title_H2"/>
    <w:basedOn w:val="H1"/>
    <w:next w:val="SingleTxt"/>
    <w:qFormat/>
    <w:rsid w:val="00A62E4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Cs w:val="28"/>
    </w:rPr>
  </w:style>
  <w:style w:type="character" w:styleId="Hyperlink">
    <w:name w:val="Hyperlink"/>
    <w:uiPriority w:val="99"/>
    <w:rsid w:val="00A62E4E"/>
    <w:rPr>
      <w:color w:val="0000FF"/>
      <w:u w:val="none"/>
    </w:rPr>
  </w:style>
  <w:style w:type="character" w:styleId="UnresolvedMention">
    <w:name w:val="Unresolved Mention"/>
    <w:basedOn w:val="DefaultParagraphFont"/>
    <w:uiPriority w:val="99"/>
    <w:semiHidden/>
    <w:unhideWhenUsed/>
    <w:rsid w:val="00A74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ndocs.org/ar/CCPR/C/PAK/CO/1/Add.1" TargetMode="External"/><Relationship Id="rId4" Type="http://schemas.openxmlformats.org/officeDocument/2006/relationships/settings" Target="settings.xml"/><Relationship Id="rId9" Type="http://schemas.openxmlformats.org/officeDocument/2006/relationships/hyperlink" Target="https://undocs.org/ar/CCPR/C/PAK/CO/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INT%2fCCPR%2fNGS%2fPAK%2f37401&amp;Lang=en" TargetMode="External"/><Relationship Id="rId2" Type="http://schemas.openxmlformats.org/officeDocument/2006/relationships/hyperlink" Target="https://tbinternet.ohchr.org/_layouts/15/treatybodyexternal/Download.aspx?symbolno=INT%2fCCPR%2fNGS%2fPAK%2f37168&amp;Lang=en" TargetMode="External"/><Relationship Id="rId1" Type="http://schemas.openxmlformats.org/officeDocument/2006/relationships/hyperlink" Target="https://tbinternet.ohchr.org/_layouts/15/treatybodyexternal/Download.aspx?symbolno=INT%2fCCPR%2fNGS%2fPAK%2f35871&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B5F4-C5C4-485A-89C2-D6C24EE9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2816</Words>
  <Characters>14930</Characters>
  <Application>Microsoft Office Word</Application>
  <DocSecurity>0</DocSecurity>
  <Lines>253</Lines>
  <Paragraphs>101</Paragraphs>
  <ScaleCrop>false</ScaleCrop>
  <HeadingPairs>
    <vt:vector size="2" baseType="variant">
      <vt:variant>
        <vt:lpstr>Title</vt:lpstr>
      </vt:variant>
      <vt:variant>
        <vt:i4>1</vt:i4>
      </vt:variant>
    </vt:vector>
  </HeadingPairs>
  <TitlesOfParts>
    <vt:vector size="1" baseType="lpstr">
      <vt:lpstr>CCPR/C/127/2/Add.2</vt:lpstr>
    </vt:vector>
  </TitlesOfParts>
  <Company>DCM</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CCPR/C/127/2/Add.2</dc:title>
  <dc:subject>GE. 2001301A</dc:subject>
  <dc:creator>IBAL</dc:creator>
  <cp:keywords>ODS No.</cp:keywords>
  <dc:description>Distribution:_x000d_
Original: English_x000d_
Date:</dc:description>
  <cp:lastModifiedBy>Ibrahim Balan</cp:lastModifiedBy>
  <cp:revision>2</cp:revision>
  <dcterms:created xsi:type="dcterms:W3CDTF">2020-03-16T09:57:00Z</dcterms:created>
  <dcterms:modified xsi:type="dcterms:W3CDTF">2020-03-16T09:57:00Z</dcterms:modified>
  <cp:category>Finale</cp:category>
</cp:coreProperties>
</file>