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A03EF" w:rsidP="008A03EF">
            <w:pPr>
              <w:suppressAutoHyphens w:val="0"/>
              <w:spacing w:after="20"/>
              <w:jc w:val="right"/>
            </w:pPr>
            <w:r w:rsidRPr="008A03EF">
              <w:rPr>
                <w:sz w:val="40"/>
              </w:rPr>
              <w:t>CCPR</w:t>
            </w:r>
            <w:r>
              <w:t>/C/127/2/Add.2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A03EF" w:rsidP="008A03EF">
            <w:pPr>
              <w:suppressAutoHyphens w:val="0"/>
              <w:spacing w:before="240"/>
            </w:pPr>
            <w:r>
              <w:t>Distr.: General</w:t>
            </w:r>
          </w:p>
          <w:p w:rsidR="008A03EF" w:rsidRDefault="008A03EF" w:rsidP="008A03EF">
            <w:pPr>
              <w:suppressAutoHyphens w:val="0"/>
            </w:pPr>
            <w:r>
              <w:t>29 January 2020</w:t>
            </w:r>
          </w:p>
          <w:p w:rsidR="008A03EF" w:rsidRDefault="008A03EF" w:rsidP="008A03EF">
            <w:pPr>
              <w:suppressAutoHyphens w:val="0"/>
            </w:pPr>
          </w:p>
          <w:p w:rsidR="008A03EF" w:rsidRDefault="008A03EF" w:rsidP="008A03EF">
            <w:pPr>
              <w:suppressAutoHyphens w:val="0"/>
            </w:pPr>
            <w:r>
              <w:t>Original: English</w:t>
            </w:r>
          </w:p>
        </w:tc>
      </w:tr>
    </w:tbl>
    <w:p w:rsidR="008A03EF" w:rsidRDefault="008A03EF" w:rsidP="008A03EF">
      <w:pPr>
        <w:spacing w:before="120"/>
        <w:rPr>
          <w:b/>
          <w:bCs/>
          <w:sz w:val="24"/>
          <w:szCs w:val="24"/>
        </w:rPr>
      </w:pPr>
      <w:r w:rsidRPr="0007777B">
        <w:rPr>
          <w:b/>
          <w:bCs/>
          <w:sz w:val="24"/>
          <w:szCs w:val="24"/>
        </w:rPr>
        <w:t>Human Rights Committee</w:t>
      </w:r>
    </w:p>
    <w:p w:rsidR="008A03EF" w:rsidRPr="00E72FCE" w:rsidRDefault="008A03EF" w:rsidP="003B2714">
      <w:pPr>
        <w:pStyle w:val="HChG"/>
      </w:pPr>
      <w:r w:rsidRPr="004B7D24">
        <w:tab/>
      </w:r>
      <w:r w:rsidRPr="004B7D24">
        <w:tab/>
      </w:r>
      <w:bookmarkStart w:id="0" w:name="_Toc506807534"/>
      <w:r w:rsidRPr="004B7D24">
        <w:t xml:space="preserve">Report on follow-up to the concluding observations </w:t>
      </w:r>
      <w:r>
        <w:br/>
      </w:r>
      <w:r w:rsidRPr="004B7D24">
        <w:t xml:space="preserve">of the Human Rights </w:t>
      </w:r>
      <w:r w:rsidRPr="003B2714">
        <w:t>Committee</w:t>
      </w:r>
      <w:bookmarkEnd w:id="0"/>
      <w:r w:rsidRPr="0073474E">
        <w:rPr>
          <w:rStyle w:val="FootnoteReference"/>
          <w:b w:val="0"/>
          <w:bCs/>
          <w:sz w:val="20"/>
          <w:vertAlign w:val="baseline"/>
        </w:rPr>
        <w:footnoteReference w:customMarkFollows="1" w:id="1"/>
        <w:t>*</w:t>
      </w:r>
    </w:p>
    <w:p w:rsidR="008A03EF" w:rsidRPr="008D4B46" w:rsidRDefault="008A03EF" w:rsidP="003B2714">
      <w:pPr>
        <w:pStyle w:val="H23G"/>
        <w:rPr>
          <w:rFonts w:eastAsia="SimSun"/>
          <w:lang w:eastAsia="zh-CN"/>
        </w:rPr>
      </w:pPr>
      <w:r w:rsidRPr="004B7D24">
        <w:tab/>
      </w:r>
      <w:r>
        <w:tab/>
      </w:r>
      <w:r w:rsidRPr="008D4B46">
        <w:rPr>
          <w:rFonts w:eastAsia="SimSun"/>
          <w:lang w:eastAsia="zh-CN"/>
        </w:rPr>
        <w:t>Addendum</w:t>
      </w:r>
    </w:p>
    <w:p w:rsidR="008A03EF" w:rsidRPr="0056282C" w:rsidRDefault="008A03EF" w:rsidP="003B2714">
      <w:pPr>
        <w:pStyle w:val="HChG"/>
      </w:pPr>
      <w:r w:rsidRPr="008D4B46">
        <w:rPr>
          <w:rFonts w:eastAsia="SimSun"/>
          <w:lang w:eastAsia="zh-CN"/>
        </w:rPr>
        <w:tab/>
      </w:r>
      <w:r w:rsidRPr="008D4B46">
        <w:rPr>
          <w:rFonts w:eastAsia="SimSun"/>
          <w:lang w:eastAsia="zh-CN"/>
        </w:rPr>
        <w:tab/>
      </w:r>
      <w:r w:rsidRPr="0056282C">
        <w:t xml:space="preserve">Evaluation of the information on follow-up to the concluding observations on </w:t>
      </w:r>
      <w:r>
        <w:t>Pakistan</w:t>
      </w:r>
    </w:p>
    <w:p w:rsidR="00646988" w:rsidRPr="00A47385" w:rsidRDefault="00646988" w:rsidP="000A514B">
      <w:pPr>
        <w:tabs>
          <w:tab w:val="left" w:pos="4536"/>
        </w:tabs>
        <w:suppressAutoHyphens w:val="0"/>
        <w:spacing w:before="40" w:after="120" w:line="220" w:lineRule="exact"/>
        <w:ind w:left="1134" w:right="113"/>
        <w:rPr>
          <w:rFonts w:eastAsiaTheme="minorEastAsia"/>
          <w:lang w:eastAsia="zh-CN"/>
        </w:rPr>
      </w:pPr>
      <w:r w:rsidRPr="00A47385">
        <w:rPr>
          <w:rFonts w:eastAsiaTheme="minorEastAsia"/>
          <w:i/>
          <w:iCs/>
          <w:lang w:eastAsia="zh-CN"/>
        </w:rPr>
        <w:t>Concluding observations</w:t>
      </w:r>
      <w:r w:rsidRPr="00A47385">
        <w:rPr>
          <w:rFonts w:eastAsiaTheme="minorEastAsia"/>
          <w:i/>
          <w:lang w:eastAsia="zh-CN"/>
        </w:rPr>
        <w:tab/>
      </w:r>
      <w:hyperlink r:id="rId9" w:history="1">
        <w:r w:rsidRPr="00A47385">
          <w:rPr>
            <w:rStyle w:val="Hyperlink"/>
          </w:rPr>
          <w:t>CCPR/C/PAK/CO/1</w:t>
        </w:r>
      </w:hyperlink>
      <w:r w:rsidRPr="00A47385">
        <w:t xml:space="preserve">, </w:t>
      </w:r>
      <w:r w:rsidRPr="00A47385">
        <w:rPr>
          <w:rFonts w:eastAsiaTheme="minorEastAsia"/>
          <w:lang w:eastAsia="zh-CN"/>
        </w:rPr>
        <w:t>2</w:t>
      </w:r>
      <w:r>
        <w:rPr>
          <w:rFonts w:eastAsiaTheme="minorEastAsia"/>
          <w:lang w:eastAsia="zh-CN"/>
        </w:rPr>
        <w:t>5 and 26 July</w:t>
      </w:r>
      <w:r w:rsidRPr="00A47385">
        <w:rPr>
          <w:rFonts w:eastAsiaTheme="minorEastAsia"/>
          <w:lang w:eastAsia="zh-CN"/>
        </w:rPr>
        <w:t xml:space="preserve"> 2017 </w:t>
      </w:r>
      <w:r w:rsidR="00BB2CC3">
        <w:rPr>
          <w:rFonts w:eastAsiaTheme="minorEastAsia"/>
          <w:lang w:eastAsia="zh-CN"/>
        </w:rPr>
        <w:br/>
      </w:r>
      <w:r w:rsidR="00BB2CC3" w:rsidRPr="00A47385">
        <w:rPr>
          <w:rFonts w:eastAsiaTheme="minorEastAsia"/>
          <w:i/>
          <w:iCs/>
          <w:lang w:eastAsia="zh-CN"/>
        </w:rPr>
        <w:t>(120th session):</w:t>
      </w:r>
    </w:p>
    <w:p w:rsidR="00646988" w:rsidRPr="009A4618" w:rsidRDefault="00646988" w:rsidP="000A514B">
      <w:pPr>
        <w:tabs>
          <w:tab w:val="left" w:pos="4536"/>
        </w:tabs>
        <w:suppressAutoHyphens w:val="0"/>
        <w:spacing w:before="40" w:after="120" w:line="220" w:lineRule="exact"/>
        <w:ind w:left="1134" w:right="113"/>
        <w:rPr>
          <w:rFonts w:eastAsiaTheme="minorEastAsia"/>
          <w:lang w:eastAsia="zh-CN"/>
        </w:rPr>
      </w:pPr>
      <w:r w:rsidRPr="009A4618">
        <w:rPr>
          <w:rFonts w:eastAsiaTheme="minorEastAsia"/>
          <w:i/>
          <w:iCs/>
          <w:lang w:eastAsia="zh-CN"/>
        </w:rPr>
        <w:t>Follow-up paragraphs:</w:t>
      </w:r>
      <w:r w:rsidRPr="009A4618">
        <w:rPr>
          <w:rFonts w:eastAsiaTheme="minorEastAsia"/>
          <w:i/>
          <w:iCs/>
          <w:lang w:eastAsia="zh-CN"/>
        </w:rPr>
        <w:tab/>
      </w:r>
      <w:r w:rsidRPr="009A4618">
        <w:rPr>
          <w:rFonts w:eastAsia="SimSun"/>
          <w:lang w:eastAsia="zh-CN"/>
        </w:rPr>
        <w:t>18, 20 and 34</w:t>
      </w:r>
    </w:p>
    <w:p w:rsidR="00646988" w:rsidRPr="00CB18D2" w:rsidRDefault="00646988" w:rsidP="000A514B">
      <w:pPr>
        <w:tabs>
          <w:tab w:val="left" w:pos="4536"/>
        </w:tabs>
        <w:suppressAutoHyphens w:val="0"/>
        <w:spacing w:before="40" w:after="120" w:line="220" w:lineRule="exact"/>
        <w:ind w:left="1134" w:right="113"/>
        <w:rPr>
          <w:rFonts w:eastAsiaTheme="minorEastAsia"/>
          <w:lang w:eastAsia="zh-CN"/>
        </w:rPr>
      </w:pPr>
      <w:r w:rsidRPr="009A4618">
        <w:rPr>
          <w:rFonts w:eastAsiaTheme="minorEastAsia"/>
          <w:i/>
          <w:iCs/>
          <w:lang w:eastAsia="zh-CN"/>
        </w:rPr>
        <w:t>Follow-up reply:</w:t>
      </w:r>
      <w:r w:rsidRPr="009A4618">
        <w:rPr>
          <w:rFonts w:eastAsiaTheme="minorEastAsia"/>
          <w:i/>
          <w:iCs/>
          <w:lang w:eastAsia="zh-CN"/>
        </w:rPr>
        <w:tab/>
      </w:r>
      <w:hyperlink r:id="rId10" w:history="1">
        <w:r w:rsidRPr="00CB18D2">
          <w:rPr>
            <w:rStyle w:val="Hyperlink"/>
          </w:rPr>
          <w:t>CCPR/C/PAK/CO/1/Add.1</w:t>
        </w:r>
      </w:hyperlink>
      <w:r w:rsidRPr="00CB18D2">
        <w:t xml:space="preserve">, </w:t>
      </w:r>
      <w:r w:rsidRPr="002462C7">
        <w:rPr>
          <w:rFonts w:eastAsia="SimSun"/>
          <w:lang w:eastAsia="zh-CN"/>
        </w:rPr>
        <w:t>16 May 201</w:t>
      </w:r>
      <w:r>
        <w:rPr>
          <w:rFonts w:eastAsia="SimSun"/>
          <w:lang w:eastAsia="zh-CN"/>
        </w:rPr>
        <w:t>9</w:t>
      </w:r>
    </w:p>
    <w:p w:rsidR="00646988" w:rsidRPr="009E08E7" w:rsidRDefault="00646988" w:rsidP="0001739F">
      <w:pPr>
        <w:tabs>
          <w:tab w:val="left" w:pos="4536"/>
        </w:tabs>
        <w:suppressAutoHyphens w:val="0"/>
        <w:spacing w:before="40" w:after="120" w:line="220" w:lineRule="exact"/>
        <w:ind w:left="4536" w:right="113" w:hanging="3402"/>
        <w:rPr>
          <w:rFonts w:eastAsiaTheme="minorEastAsia"/>
          <w:lang w:eastAsia="zh-CN"/>
        </w:rPr>
      </w:pPr>
      <w:r w:rsidRPr="009E08E7">
        <w:rPr>
          <w:rFonts w:eastAsiaTheme="minorEastAsia"/>
          <w:i/>
          <w:iCs/>
          <w:lang w:eastAsia="zh-CN"/>
        </w:rPr>
        <w:t xml:space="preserve">Committee’s evaluation: </w:t>
      </w:r>
      <w:r w:rsidRPr="009E08E7">
        <w:rPr>
          <w:rFonts w:eastAsiaTheme="minorEastAsia"/>
          <w:i/>
          <w:iCs/>
          <w:lang w:eastAsia="zh-CN"/>
        </w:rPr>
        <w:tab/>
      </w:r>
      <w:r w:rsidRPr="009E08E7">
        <w:t>Additional information required on paragraphs 18</w:t>
      </w:r>
      <w:r w:rsidRPr="009E08E7">
        <w:rPr>
          <w:b/>
        </w:rPr>
        <w:t>[</w:t>
      </w:r>
      <w:r>
        <w:rPr>
          <w:b/>
        </w:rPr>
        <w:t>B</w:t>
      </w:r>
      <w:proofErr w:type="gramStart"/>
      <w:r w:rsidRPr="009E08E7">
        <w:rPr>
          <w:b/>
        </w:rPr>
        <w:t>]</w:t>
      </w:r>
      <w:r>
        <w:rPr>
          <w:b/>
        </w:rPr>
        <w:t>[</w:t>
      </w:r>
      <w:proofErr w:type="gramEnd"/>
      <w:r>
        <w:rPr>
          <w:b/>
        </w:rPr>
        <w:t>C]</w:t>
      </w:r>
      <w:r w:rsidRPr="009E08E7">
        <w:t>, 20</w:t>
      </w:r>
      <w:r w:rsidRPr="009E08E7">
        <w:rPr>
          <w:b/>
        </w:rPr>
        <w:t>[</w:t>
      </w:r>
      <w:r>
        <w:rPr>
          <w:b/>
        </w:rPr>
        <w:t>C</w:t>
      </w:r>
      <w:r w:rsidRPr="009E08E7">
        <w:rPr>
          <w:b/>
        </w:rPr>
        <w:t>]</w:t>
      </w:r>
      <w:r w:rsidRPr="009E08E7">
        <w:t xml:space="preserve"> and 34</w:t>
      </w:r>
      <w:r w:rsidRPr="009E08E7">
        <w:rPr>
          <w:b/>
        </w:rPr>
        <w:t>[</w:t>
      </w:r>
      <w:r>
        <w:rPr>
          <w:b/>
        </w:rPr>
        <w:t>C</w:t>
      </w:r>
      <w:r w:rsidRPr="009E08E7">
        <w:rPr>
          <w:b/>
        </w:rPr>
        <w:t>]</w:t>
      </w:r>
      <w:r>
        <w:rPr>
          <w:b/>
        </w:rPr>
        <w:t>[B]</w:t>
      </w:r>
    </w:p>
    <w:p w:rsidR="00646988" w:rsidRPr="009E08E7" w:rsidRDefault="00646988" w:rsidP="000A514B">
      <w:pPr>
        <w:tabs>
          <w:tab w:val="left" w:pos="4536"/>
        </w:tabs>
        <w:suppressAutoHyphens w:val="0"/>
        <w:spacing w:before="40" w:after="120" w:line="220" w:lineRule="exact"/>
        <w:ind w:left="1134" w:right="113"/>
      </w:pPr>
      <w:r w:rsidRPr="009E08E7">
        <w:rPr>
          <w:rFonts w:eastAsia="SimSun"/>
          <w:i/>
          <w:lang w:eastAsia="zh-CN"/>
        </w:rPr>
        <w:t>Information from non-governmental</w:t>
      </w:r>
      <w:r w:rsidRPr="009E08E7">
        <w:rPr>
          <w:rFonts w:eastAsia="SimSun"/>
          <w:i/>
          <w:lang w:eastAsia="zh-CN"/>
        </w:rPr>
        <w:tab/>
      </w:r>
      <w:r w:rsidRPr="009E08E7">
        <w:rPr>
          <w:rFonts w:eastAsia="SimSun"/>
          <w:iCs/>
          <w:lang w:eastAsia="zh-CN"/>
        </w:rPr>
        <w:t>Centre for Social Justice</w:t>
      </w:r>
      <w:r w:rsidR="0001739F">
        <w:rPr>
          <w:rFonts w:eastAsia="SimSun"/>
          <w:iCs/>
          <w:lang w:eastAsia="zh-CN"/>
        </w:rPr>
        <w:t>,</w:t>
      </w:r>
      <w:r>
        <w:rPr>
          <w:rStyle w:val="FootnoteReference"/>
          <w:rFonts w:eastAsia="SimSun"/>
          <w:iCs/>
          <w:lang w:eastAsia="zh-CN"/>
        </w:rPr>
        <w:footnoteReference w:id="2"/>
      </w:r>
      <w:r>
        <w:rPr>
          <w:rFonts w:eastAsia="SimSun"/>
          <w:iCs/>
          <w:lang w:eastAsia="zh-CN"/>
        </w:rPr>
        <w:t xml:space="preserve"> Justice Project Pakistan</w:t>
      </w:r>
      <w:r>
        <w:rPr>
          <w:rStyle w:val="FootnoteReference"/>
          <w:rFonts w:eastAsia="SimSun"/>
          <w:iCs/>
          <w:lang w:eastAsia="zh-CN"/>
        </w:rPr>
        <w:footnoteReference w:id="3"/>
      </w:r>
      <w:r>
        <w:rPr>
          <w:rFonts w:eastAsia="SimSun"/>
          <w:iCs/>
          <w:lang w:eastAsia="zh-CN"/>
        </w:rPr>
        <w:t xml:space="preserve"> and </w:t>
      </w:r>
      <w:bookmarkStart w:id="1" w:name="_Hlk29972071"/>
      <w:r w:rsidR="0001739F">
        <w:rPr>
          <w:rFonts w:eastAsia="SimSun"/>
          <w:iCs/>
          <w:lang w:eastAsia="zh-CN"/>
        </w:rPr>
        <w:br/>
      </w:r>
      <w:r w:rsidR="0001739F" w:rsidRPr="009E08E7">
        <w:rPr>
          <w:rFonts w:eastAsia="SimSun"/>
          <w:i/>
          <w:lang w:eastAsia="zh-CN"/>
        </w:rPr>
        <w:t>organizations:</w:t>
      </w:r>
      <w:r w:rsidR="0001739F">
        <w:rPr>
          <w:rFonts w:eastAsia="SimSun"/>
          <w:i/>
          <w:lang w:eastAsia="zh-CN"/>
        </w:rPr>
        <w:tab/>
      </w:r>
      <w:r>
        <w:rPr>
          <w:rFonts w:eastAsia="SimSun"/>
          <w:iCs/>
          <w:lang w:eastAsia="zh-CN"/>
        </w:rPr>
        <w:t>International Commission of Jurists</w:t>
      </w:r>
      <w:bookmarkEnd w:id="1"/>
      <w:r>
        <w:rPr>
          <w:rStyle w:val="FootnoteReference"/>
          <w:rFonts w:eastAsia="SimSun"/>
          <w:iCs/>
          <w:lang w:eastAsia="zh-CN"/>
        </w:rPr>
        <w:footnoteReference w:id="4"/>
      </w:r>
    </w:p>
    <w:p w:rsidR="008A03EF" w:rsidRDefault="008A03EF" w:rsidP="003B2714">
      <w:pPr>
        <w:pStyle w:val="H23G"/>
      </w:pPr>
      <w:r w:rsidRPr="009E08E7">
        <w:tab/>
      </w:r>
      <w:r w:rsidRPr="009E08E7">
        <w:rPr>
          <w:rFonts w:eastAsia="SimSun"/>
          <w:lang w:eastAsia="zh-CN"/>
        </w:rPr>
        <w:tab/>
      </w:r>
      <w:r w:rsidRPr="009E08E7">
        <w:rPr>
          <w:rFonts w:eastAsia="SimSun"/>
        </w:rPr>
        <w:t xml:space="preserve">Paragraph 18: </w:t>
      </w:r>
      <w:r w:rsidRPr="009E08E7">
        <w:t xml:space="preserve">Death </w:t>
      </w:r>
      <w:r w:rsidRPr="003B2714">
        <w:t>penalty</w:t>
      </w:r>
    </w:p>
    <w:p w:rsidR="008A03EF" w:rsidRPr="00324CCE" w:rsidRDefault="008A03EF" w:rsidP="008A03EF">
      <w:pPr>
        <w:pStyle w:val="SingleTxtG"/>
        <w:ind w:firstLine="567"/>
        <w:rPr>
          <w:b/>
        </w:rPr>
      </w:pPr>
      <w:r w:rsidRPr="00324CCE">
        <w:rPr>
          <w:b/>
        </w:rPr>
        <w:t>The State party should reinstate the moratorium and consider abolishing the death penalty and acceding to the second Optional Protocol to the Covenant. If the death penalty is maintained, the State party should, as a matter of priority, take all measures necessary to ensure that:</w:t>
      </w:r>
    </w:p>
    <w:p w:rsidR="008A03EF" w:rsidRPr="00324CCE" w:rsidRDefault="008A03EF" w:rsidP="008A03EF">
      <w:pPr>
        <w:pStyle w:val="SingleTxtG"/>
        <w:rPr>
          <w:b/>
        </w:rPr>
      </w:pPr>
      <w:r w:rsidRPr="00FF6E99">
        <w:tab/>
        <w:t>(a)</w:t>
      </w:r>
      <w:r w:rsidRPr="00FF6E99">
        <w:tab/>
      </w:r>
      <w:r w:rsidRPr="00324CCE">
        <w:rPr>
          <w:b/>
        </w:rPr>
        <w:t>The death penalty is provided only for the “most serious crimes” involving intentional killing; it is never mandatory; pardon or commutation of the sentence is available in all cases, regardless of the crime committed; and it is never imposed in violation of the Covenant, including in the absence of fair trial procedures, and is not imposed by military courts, in particular against civilians;</w:t>
      </w:r>
    </w:p>
    <w:p w:rsidR="008A03EF" w:rsidRPr="00324CCE" w:rsidRDefault="008A03EF" w:rsidP="008A03EF">
      <w:pPr>
        <w:pStyle w:val="SingleTxtG"/>
        <w:rPr>
          <w:b/>
        </w:rPr>
      </w:pPr>
      <w:r w:rsidRPr="00FF6E99">
        <w:tab/>
        <w:t>(b)</w:t>
      </w:r>
      <w:r w:rsidRPr="00FF6E99">
        <w:tab/>
      </w:r>
      <w:r w:rsidRPr="00324CCE">
        <w:rPr>
          <w:b/>
        </w:rPr>
        <w:t>No person who was below 18 years of age at the time of the commission of an offence is subjected to the death penalty and those charged with a capital offence have access to an effective and independent age determination process, and are treated as children if doubts remain about their age at the time of the crime;</w:t>
      </w:r>
    </w:p>
    <w:p w:rsidR="008A03EF" w:rsidRPr="00324CCE" w:rsidRDefault="008A03EF" w:rsidP="008A03EF">
      <w:pPr>
        <w:pStyle w:val="SingleTxtG"/>
        <w:rPr>
          <w:b/>
        </w:rPr>
      </w:pPr>
      <w:r w:rsidRPr="00FF6E99">
        <w:lastRenderedPageBreak/>
        <w:tab/>
        <w:t>(c)</w:t>
      </w:r>
      <w:r w:rsidRPr="00FF6E99">
        <w:tab/>
      </w:r>
      <w:r w:rsidRPr="00324CCE">
        <w:rPr>
          <w:b/>
        </w:rPr>
        <w:t>No one with serious psychosocial or intellectual disabilities is executed or sentenced to death, including by establishing an independent mechanism to review all cases where there is credible evidence that prisoners who are facing the death penalty have such disabilities and reviewing the mental health of death row inmates;</w:t>
      </w:r>
    </w:p>
    <w:p w:rsidR="008A03EF" w:rsidRPr="00324CCE" w:rsidRDefault="008A03EF" w:rsidP="008A03EF">
      <w:pPr>
        <w:pStyle w:val="SingleTxtG"/>
        <w:rPr>
          <w:b/>
        </w:rPr>
      </w:pPr>
      <w:r w:rsidRPr="00FF6E99">
        <w:tab/>
        <w:t>(d)</w:t>
      </w:r>
      <w:r w:rsidRPr="00FF6E99">
        <w:tab/>
      </w:r>
      <w:r w:rsidRPr="00324CCE">
        <w:rPr>
          <w:b/>
        </w:rPr>
        <w:t>The execution protocol is in line with international human rights standards and executions are carried out in accordance with the established protocol;</w:t>
      </w:r>
    </w:p>
    <w:p w:rsidR="008A03EF" w:rsidRPr="00324CCE" w:rsidRDefault="008A03EF" w:rsidP="008A03EF">
      <w:pPr>
        <w:pStyle w:val="SingleTxtG"/>
        <w:rPr>
          <w:b/>
        </w:rPr>
      </w:pPr>
      <w:r w:rsidRPr="00FF6E99">
        <w:tab/>
        <w:t>(e)</w:t>
      </w:r>
      <w:r w:rsidRPr="00FF6E99">
        <w:tab/>
      </w:r>
      <w:r w:rsidRPr="00324CCE">
        <w:rPr>
          <w:b/>
        </w:rPr>
        <w:t>Pakistani migrant workers sentenced to death overseas are provided with sufficient legal and consular services throughout their legal proceedings.</w:t>
      </w:r>
    </w:p>
    <w:p w:rsidR="008A03EF" w:rsidRPr="00946AC7" w:rsidRDefault="008A03EF" w:rsidP="003B2714">
      <w:pPr>
        <w:pStyle w:val="H23G"/>
        <w:rPr>
          <w:rFonts w:eastAsia="SimSun"/>
          <w:lang w:eastAsia="zh-CN"/>
        </w:rPr>
      </w:pPr>
      <w:r w:rsidRPr="00946AC7">
        <w:rPr>
          <w:rFonts w:eastAsia="SimSun"/>
          <w:lang w:eastAsia="zh-CN"/>
        </w:rPr>
        <w:tab/>
      </w:r>
      <w:r w:rsidRPr="00946AC7">
        <w:rPr>
          <w:rFonts w:eastAsia="SimSun"/>
          <w:lang w:eastAsia="zh-CN"/>
        </w:rPr>
        <w:tab/>
        <w:t xml:space="preserve">Summary of </w:t>
      </w:r>
      <w:r>
        <w:rPr>
          <w:rFonts w:eastAsia="SimSun"/>
          <w:lang w:eastAsia="zh-CN"/>
        </w:rPr>
        <w:t xml:space="preserve">the </w:t>
      </w:r>
      <w:r w:rsidRPr="00946AC7">
        <w:rPr>
          <w:rFonts w:eastAsia="SimSun"/>
          <w:lang w:eastAsia="zh-CN"/>
        </w:rPr>
        <w:t xml:space="preserve">State party’s reply </w:t>
      </w:r>
    </w:p>
    <w:p w:rsidR="008A03EF" w:rsidRDefault="00840556" w:rsidP="008A03EF">
      <w:pPr>
        <w:pStyle w:val="SingleTxtG"/>
      </w:pPr>
      <w:r>
        <w:tab/>
      </w:r>
      <w:r w:rsidR="008A03EF" w:rsidRPr="00575187">
        <w:t>(a)</w:t>
      </w:r>
      <w:r w:rsidR="008A03EF" w:rsidRPr="00575187">
        <w:tab/>
        <w:t>The State party repeated the information</w:t>
      </w:r>
      <w:r w:rsidR="008A03EF" w:rsidRPr="00462755">
        <w:t xml:space="preserve"> provided in its </w:t>
      </w:r>
      <w:r w:rsidR="008A03EF">
        <w:t>r</w:t>
      </w:r>
      <w:r w:rsidR="008A03EF" w:rsidRPr="00462755">
        <w:t xml:space="preserve">eplies to the </w:t>
      </w:r>
      <w:r w:rsidR="008A03EF">
        <w:t>l</w:t>
      </w:r>
      <w:r w:rsidR="008A03EF" w:rsidRPr="00462755">
        <w:t xml:space="preserve">ist of </w:t>
      </w:r>
      <w:r w:rsidR="008A03EF">
        <w:t>i</w:t>
      </w:r>
      <w:r w:rsidR="008A03EF" w:rsidRPr="00462755">
        <w:t>ssues (</w:t>
      </w:r>
      <w:r w:rsidR="008A03EF" w:rsidRPr="00946AC7">
        <w:t>CCPR/C/PAK/Q/1/Add.1</w:t>
      </w:r>
      <w:r w:rsidR="008A03EF">
        <w:t>, paras. 21–23</w:t>
      </w:r>
      <w:r w:rsidR="008A03EF" w:rsidRPr="00946AC7">
        <w:t>)</w:t>
      </w:r>
      <w:r w:rsidR="008A03EF">
        <w:t xml:space="preserve"> that</w:t>
      </w:r>
      <w:r w:rsidR="008A03EF" w:rsidRPr="00462755">
        <w:t xml:space="preserve"> </w:t>
      </w:r>
      <w:r w:rsidR="008A03EF" w:rsidRPr="00946AC7">
        <w:t xml:space="preserve">its policy on </w:t>
      </w:r>
      <w:r w:rsidR="008A03EF">
        <w:t xml:space="preserve">the </w:t>
      </w:r>
      <w:r w:rsidR="008A03EF" w:rsidRPr="00946AC7">
        <w:t xml:space="preserve">death penalty </w:t>
      </w:r>
      <w:r w:rsidR="008A03EF">
        <w:t xml:space="preserve">was </w:t>
      </w:r>
      <w:r w:rsidR="008A03EF" w:rsidRPr="00946AC7">
        <w:t>in line with its Constitution and national laws and international norms</w:t>
      </w:r>
      <w:r w:rsidR="008A03EF">
        <w:t xml:space="preserve">; that </w:t>
      </w:r>
      <w:r w:rsidR="008A03EF" w:rsidRPr="00942F28">
        <w:t xml:space="preserve">the moratorium on </w:t>
      </w:r>
      <w:r w:rsidR="008A03EF">
        <w:t>the d</w:t>
      </w:r>
      <w:r w:rsidR="008A03EF" w:rsidRPr="00942F28">
        <w:t>eath</w:t>
      </w:r>
      <w:r w:rsidR="008A03EF">
        <w:t xml:space="preserve"> p</w:t>
      </w:r>
      <w:r w:rsidR="008A03EF" w:rsidRPr="00942F28">
        <w:t xml:space="preserve">enalty </w:t>
      </w:r>
      <w:r w:rsidR="008A03EF">
        <w:t>had been</w:t>
      </w:r>
      <w:r w:rsidR="008A03EF" w:rsidRPr="00942F28">
        <w:t xml:space="preserve"> lifted after a national consensus </w:t>
      </w:r>
      <w:r w:rsidR="008A03EF">
        <w:t xml:space="preserve">had </w:t>
      </w:r>
      <w:r w:rsidR="008A03EF" w:rsidRPr="00942F28">
        <w:t xml:space="preserve">developed in the wake of </w:t>
      </w:r>
      <w:r w:rsidR="008A03EF">
        <w:t xml:space="preserve">a </w:t>
      </w:r>
      <w:r w:rsidR="008A03EF" w:rsidRPr="00942F28">
        <w:t xml:space="preserve">dreadful attack in which more than 150 students and teachers </w:t>
      </w:r>
      <w:r w:rsidR="008A03EF">
        <w:t xml:space="preserve">had </w:t>
      </w:r>
      <w:r w:rsidR="008A03EF" w:rsidRPr="00942F28">
        <w:t>lost their lives at the hands of terrorists</w:t>
      </w:r>
      <w:r w:rsidR="008A03EF">
        <w:t xml:space="preserve">; and that the death penalty could not be imposed on individuals below the age of 18. </w:t>
      </w:r>
      <w:r w:rsidR="008A03EF" w:rsidRPr="00513F5B">
        <w:t xml:space="preserve">The State party is examining the existing provisions of its Penal Code </w:t>
      </w:r>
      <w:r w:rsidR="008A03EF">
        <w:t xml:space="preserve">and </w:t>
      </w:r>
      <w:r w:rsidR="008A03EF" w:rsidRPr="00513F5B">
        <w:t xml:space="preserve">Code </w:t>
      </w:r>
      <w:r w:rsidR="008A03EF">
        <w:t xml:space="preserve">of </w:t>
      </w:r>
      <w:r w:rsidR="008A03EF" w:rsidRPr="00513F5B">
        <w:t xml:space="preserve">Criminal Procedure to determine </w:t>
      </w:r>
      <w:r w:rsidR="008A03EF">
        <w:t>whether</w:t>
      </w:r>
      <w:r w:rsidR="008A03EF" w:rsidRPr="00513F5B">
        <w:t xml:space="preserve"> the scope of </w:t>
      </w:r>
      <w:r w:rsidR="008A03EF">
        <w:t xml:space="preserve">the </w:t>
      </w:r>
      <w:r w:rsidR="008A03EF" w:rsidRPr="00513F5B">
        <w:t xml:space="preserve">death penalty can be narrowed. </w:t>
      </w:r>
      <w:r w:rsidR="008A03EF">
        <w:t xml:space="preserve">The military courts expired in January 2017, but their operation was extended for two years through constitutional amendment and then expired in March 2019. In 869 cases received from the provinces, 59 prisoners had been executed after due process of law had been observed. The State party referred to the power of the President to pardon prisoners on death row; </w:t>
      </w:r>
    </w:p>
    <w:p w:rsidR="008A03EF" w:rsidRDefault="00840556" w:rsidP="00840556">
      <w:pPr>
        <w:pStyle w:val="SingleTxtG"/>
      </w:pPr>
      <w:r>
        <w:tab/>
      </w:r>
      <w:r w:rsidR="008A03EF">
        <w:t>(b)</w:t>
      </w:r>
      <w:r w:rsidR="008A03EF">
        <w:tab/>
        <w:t>The</w:t>
      </w:r>
      <w:r w:rsidR="008A03EF" w:rsidRPr="00125E12">
        <w:t xml:space="preserve"> death penalty has </w:t>
      </w:r>
      <w:r w:rsidR="008A03EF">
        <w:t xml:space="preserve">not </w:t>
      </w:r>
      <w:r w:rsidR="008A03EF" w:rsidRPr="00125E12">
        <w:t>been a</w:t>
      </w:r>
      <w:r w:rsidR="008A03EF">
        <w:t xml:space="preserve">pplied </w:t>
      </w:r>
      <w:r w:rsidR="008A03EF" w:rsidRPr="00125E12">
        <w:t>to any individual below the age of 18. The Juvenile Justice System Act</w:t>
      </w:r>
      <w:r w:rsidR="008A03EF">
        <w:t xml:space="preserve"> of</w:t>
      </w:r>
      <w:r w:rsidR="008A03EF" w:rsidRPr="00125E12">
        <w:t xml:space="preserve"> 2018 has also been promulgated. </w:t>
      </w:r>
      <w:r w:rsidR="008A03EF">
        <w:t>A p</w:t>
      </w:r>
      <w:r w:rsidR="008A03EF" w:rsidRPr="00125E12">
        <w:t>rovision in the law allows for self-determination of age, shifting the onus to pro</w:t>
      </w:r>
      <w:r w:rsidR="008A03EF">
        <w:t>ve otherwise onto the prosecution;</w:t>
      </w:r>
    </w:p>
    <w:p w:rsidR="008A03EF" w:rsidRDefault="00840556" w:rsidP="00840556">
      <w:pPr>
        <w:pStyle w:val="SingleTxtG"/>
      </w:pPr>
      <w:r>
        <w:tab/>
      </w:r>
      <w:r w:rsidR="008A03EF">
        <w:t>(c)</w:t>
      </w:r>
      <w:r w:rsidR="008A03EF">
        <w:tab/>
        <w:t>No information provided;</w:t>
      </w:r>
    </w:p>
    <w:p w:rsidR="008A03EF" w:rsidRDefault="00840556" w:rsidP="00840556">
      <w:pPr>
        <w:pStyle w:val="SingleTxtG"/>
      </w:pPr>
      <w:r>
        <w:tab/>
      </w:r>
      <w:r w:rsidR="008A03EF">
        <w:t>(d)</w:t>
      </w:r>
      <w:r w:rsidR="008A03EF">
        <w:tab/>
        <w:t>No information provided;</w:t>
      </w:r>
    </w:p>
    <w:p w:rsidR="008A03EF" w:rsidRDefault="00840556" w:rsidP="00840556">
      <w:pPr>
        <w:pStyle w:val="SingleTxtG"/>
      </w:pPr>
      <w:r>
        <w:tab/>
      </w:r>
      <w:r w:rsidR="008A03EF">
        <w:t>(e)</w:t>
      </w:r>
      <w:r w:rsidR="008A03EF">
        <w:tab/>
        <w:t>No information provided.</w:t>
      </w:r>
    </w:p>
    <w:p w:rsidR="008A03EF" w:rsidRPr="00606C50" w:rsidRDefault="008A03EF" w:rsidP="003B2714">
      <w:pPr>
        <w:pStyle w:val="H23G"/>
      </w:pPr>
      <w:r>
        <w:tab/>
      </w:r>
      <w:r>
        <w:tab/>
      </w:r>
      <w:r w:rsidRPr="00606C50">
        <w:t>Information from non-governmental organization</w:t>
      </w:r>
    </w:p>
    <w:p w:rsidR="008A03EF" w:rsidRDefault="008A03EF" w:rsidP="008A03EF">
      <w:pPr>
        <w:pStyle w:val="H4G"/>
      </w:pPr>
      <w:r>
        <w:tab/>
      </w:r>
      <w:r>
        <w:tab/>
      </w:r>
      <w:r w:rsidRPr="00606C50">
        <w:t>Justice Project Pakistan</w:t>
      </w:r>
    </w:p>
    <w:p w:rsidR="008A03EF" w:rsidRDefault="000C6A6F" w:rsidP="000C6A6F">
      <w:pPr>
        <w:pStyle w:val="SingleTxtG"/>
      </w:pPr>
      <w:r>
        <w:tab/>
        <w:t>(a)</w:t>
      </w:r>
      <w:r>
        <w:tab/>
      </w:r>
      <w:r w:rsidR="008A03EF">
        <w:t>The Ministry of the Interior and the Ministry of Human Rights are drafting rules and regulations to reform the mercy petitions procedure;</w:t>
      </w:r>
    </w:p>
    <w:p w:rsidR="008A03EF" w:rsidRDefault="000C6A6F" w:rsidP="000C6A6F">
      <w:pPr>
        <w:pStyle w:val="SingleTxtG"/>
      </w:pPr>
      <w:r>
        <w:tab/>
        <w:t>(b)</w:t>
      </w:r>
      <w:r>
        <w:tab/>
      </w:r>
      <w:r w:rsidR="008A03EF">
        <w:t>The Juvenile Justice System Act of 2018 does not accord the benefit of the doubt to the child in case of conflicting or inconclusive evidence. Minor offenders, such as Muhammad Iqbal, remain on death row despite a presidential notification granting him and others remission;</w:t>
      </w:r>
    </w:p>
    <w:p w:rsidR="008A03EF" w:rsidRDefault="000C6A6F" w:rsidP="000C6A6F">
      <w:pPr>
        <w:pStyle w:val="SingleTxtG"/>
      </w:pPr>
      <w:r>
        <w:tab/>
        <w:t>(c)</w:t>
      </w:r>
      <w:r>
        <w:tab/>
      </w:r>
      <w:r w:rsidR="008A03EF">
        <w:t>Justice Project Pakistan and the Ministry of Law and Justice are conducting a study on the revision of the prison rules regarding the treatment of prisoners</w:t>
      </w:r>
      <w:r w:rsidR="008A03EF" w:rsidRPr="00B12192">
        <w:t xml:space="preserve"> </w:t>
      </w:r>
      <w:r w:rsidR="008A03EF">
        <w:t>with mental illnesses;</w:t>
      </w:r>
    </w:p>
    <w:p w:rsidR="008A03EF" w:rsidRDefault="000C6A6F" w:rsidP="000C6A6F">
      <w:pPr>
        <w:pStyle w:val="SingleTxtG"/>
      </w:pPr>
      <w:r>
        <w:tab/>
        <w:t>(d)</w:t>
      </w:r>
      <w:r>
        <w:tab/>
      </w:r>
      <w:r w:rsidR="008A03EF">
        <w:t xml:space="preserve">The Ministry of Law and Justice formed a working group, which includes representatives </w:t>
      </w:r>
      <w:proofErr w:type="gramStart"/>
      <w:r w:rsidR="008A03EF">
        <w:t>of  civil</w:t>
      </w:r>
      <w:proofErr w:type="gramEnd"/>
      <w:r w:rsidR="008A03EF">
        <w:t xml:space="preserve"> society, to review the Pakistan Prison Rules;</w:t>
      </w:r>
    </w:p>
    <w:p w:rsidR="008A03EF" w:rsidRPr="00606C50" w:rsidRDefault="000C6A6F" w:rsidP="000C6A6F">
      <w:pPr>
        <w:pStyle w:val="SingleTxtG"/>
      </w:pPr>
      <w:r>
        <w:tab/>
      </w:r>
      <w:r w:rsidRPr="00606C50">
        <w:t>(e)</w:t>
      </w:r>
      <w:r w:rsidRPr="00606C50">
        <w:tab/>
      </w:r>
      <w:r w:rsidR="008A03EF">
        <w:t>In March 2018, the Government approved prisoner transfer agreements with China and Saudi Arabia. However, this agreement has yet to be approved by the federal Cabinet.</w:t>
      </w:r>
    </w:p>
    <w:p w:rsidR="008A03EF" w:rsidRPr="00FF189A" w:rsidRDefault="008A03EF" w:rsidP="003B2714">
      <w:pPr>
        <w:pStyle w:val="H23G"/>
        <w:rPr>
          <w:rFonts w:eastAsia="SimSun"/>
          <w:lang w:eastAsia="zh-CN"/>
        </w:rPr>
      </w:pPr>
      <w:r w:rsidRPr="000F513F">
        <w:tab/>
      </w:r>
      <w:r w:rsidRPr="000F513F">
        <w:tab/>
      </w:r>
      <w:r w:rsidRPr="000F513F">
        <w:rPr>
          <w:rFonts w:eastAsia="SimSun"/>
          <w:lang w:eastAsia="zh-CN"/>
        </w:rPr>
        <w:t>Committee’s evaluation</w:t>
      </w:r>
    </w:p>
    <w:p w:rsidR="008A03EF" w:rsidRDefault="008A03EF" w:rsidP="008A03EF">
      <w:pPr>
        <w:pStyle w:val="SingleTxtG"/>
        <w:rPr>
          <w:b/>
        </w:rPr>
      </w:pPr>
      <w:r>
        <w:rPr>
          <w:b/>
        </w:rPr>
        <w:t xml:space="preserve">[B] </w:t>
      </w:r>
      <w:r w:rsidRPr="00D207AE">
        <w:rPr>
          <w:bCs/>
        </w:rPr>
        <w:t>(</w:t>
      </w:r>
      <w:proofErr w:type="gramStart"/>
      <w:r w:rsidRPr="00D207AE">
        <w:rPr>
          <w:bCs/>
        </w:rPr>
        <w:t>a</w:t>
      </w:r>
      <w:proofErr w:type="gramEnd"/>
      <w:r w:rsidRPr="00D207AE">
        <w:rPr>
          <w:bCs/>
        </w:rPr>
        <w:t>):</w:t>
      </w:r>
      <w:r>
        <w:rPr>
          <w:b/>
        </w:rPr>
        <w:t xml:space="preserve"> </w:t>
      </w:r>
      <w:r w:rsidRPr="000F513F">
        <w:t>The Committee</w:t>
      </w:r>
      <w:r w:rsidRPr="001B7958">
        <w:t xml:space="preserve"> notes the information </w:t>
      </w:r>
      <w:r>
        <w:t xml:space="preserve">on reviewing </w:t>
      </w:r>
      <w:r w:rsidRPr="00513F5B">
        <w:t xml:space="preserve">existing </w:t>
      </w:r>
      <w:r>
        <w:t xml:space="preserve">legal </w:t>
      </w:r>
      <w:r w:rsidRPr="00513F5B">
        <w:t xml:space="preserve">provisions to determine </w:t>
      </w:r>
      <w:r>
        <w:t xml:space="preserve">whether </w:t>
      </w:r>
      <w:r w:rsidRPr="00513F5B">
        <w:t xml:space="preserve">the scope of </w:t>
      </w:r>
      <w:r>
        <w:t xml:space="preserve">the </w:t>
      </w:r>
      <w:r w:rsidRPr="00513F5B">
        <w:t>death penalty can be narrowed</w:t>
      </w:r>
      <w:r>
        <w:t xml:space="preserve">, but requests further information in this respect, including on concrete measures taken or planned to ensure that </w:t>
      </w:r>
      <w:r>
        <w:lastRenderedPageBreak/>
        <w:t>the death penalty is applied only for the most serious crimes involving intentional killing. It also notes the information provided on the power of the President to grant pardons to prisoners on death row, but requests information on: (a) the number of death sentences passed in the last two years; (b) the number of pardons granted by the President and commutations of death sentences in the last two years; and (c) whether death sentences can be pardoned and commuted irrespective of the crime committed. Although it notes that the military courts expired in March 2019, the Committee regrets that 59 prisoners were executed on the basis of sentences passed by military courts and requests information on whether military courts have imposed death penalty sentences on civilians.</w:t>
      </w:r>
    </w:p>
    <w:p w:rsidR="008A03EF" w:rsidRDefault="008A03EF" w:rsidP="008A03EF">
      <w:pPr>
        <w:pStyle w:val="SingleTxtG"/>
        <w:rPr>
          <w:rFonts w:eastAsia="Malgun Gothic"/>
        </w:rPr>
      </w:pPr>
      <w:r w:rsidRPr="000F513F">
        <w:rPr>
          <w:b/>
        </w:rPr>
        <w:t>[C]</w:t>
      </w:r>
      <w:r>
        <w:rPr>
          <w:b/>
        </w:rPr>
        <w:t xml:space="preserve"> </w:t>
      </w:r>
      <w:r w:rsidRPr="000F513F">
        <w:t>(</w:t>
      </w:r>
      <w:r>
        <w:t>b</w:t>
      </w:r>
      <w:r w:rsidRPr="000F513F">
        <w:t xml:space="preserve">), (c), (d) and (e): </w:t>
      </w:r>
      <w:r w:rsidRPr="00C1307E">
        <w:t>The Committee notes the information</w:t>
      </w:r>
      <w:r>
        <w:t xml:space="preserve"> provided by the State party on the prohibition on imposing the death penalty on persons below the age of 18 and </w:t>
      </w:r>
      <w:r w:rsidRPr="00C1307E">
        <w:t xml:space="preserve">on the promulgation of </w:t>
      </w:r>
      <w:r>
        <w:t xml:space="preserve">the Juvenile Justice System Act </w:t>
      </w:r>
      <w:r w:rsidRPr="00C1307E">
        <w:t>in 2018</w:t>
      </w:r>
      <w:r>
        <w:t>,</w:t>
      </w:r>
      <w:r w:rsidRPr="00C1307E">
        <w:t xml:space="preserve"> </w:t>
      </w:r>
      <w:r>
        <w:t xml:space="preserve">which provides for an age determination process. It requires information on the number of </w:t>
      </w:r>
      <w:r>
        <w:rPr>
          <w:rFonts w:eastAsia="Malgun Gothic"/>
        </w:rPr>
        <w:t>persons</w:t>
      </w:r>
      <w:r w:rsidRPr="00996034">
        <w:rPr>
          <w:rFonts w:eastAsia="Malgun Gothic"/>
        </w:rPr>
        <w:t xml:space="preserve"> currently on death row for crimes committed while </w:t>
      </w:r>
      <w:r>
        <w:rPr>
          <w:rFonts w:eastAsia="Malgun Gothic"/>
        </w:rPr>
        <w:t xml:space="preserve">they were </w:t>
      </w:r>
      <w:r w:rsidRPr="00996034">
        <w:rPr>
          <w:rFonts w:eastAsia="Malgun Gothic"/>
        </w:rPr>
        <w:t>under the age of 18</w:t>
      </w:r>
      <w:r>
        <w:rPr>
          <w:rFonts w:eastAsia="Malgun Gothic"/>
        </w:rPr>
        <w:t> </w:t>
      </w:r>
      <w:r w:rsidRPr="00996034">
        <w:rPr>
          <w:rFonts w:eastAsia="Malgun Gothic"/>
        </w:rPr>
        <w:t>years</w:t>
      </w:r>
      <w:r>
        <w:rPr>
          <w:rFonts w:eastAsia="Malgun Gothic"/>
        </w:rPr>
        <w:t xml:space="preserve">, the number of stays of execution that have been issued for those under 18 years of age who were sentenced to death, whether the Act has been fully applied, that is, whether persons under the age of 18 have been sentenced to death since the passage of the Act, and the measures taken to implement the age determination process in the new </w:t>
      </w:r>
      <w:r>
        <w:t>Juvenile Justice System Ac</w:t>
      </w:r>
      <w:r>
        <w:rPr>
          <w:rFonts w:eastAsia="Malgun Gothic"/>
        </w:rPr>
        <w:t>t.</w:t>
      </w:r>
    </w:p>
    <w:p w:rsidR="008A03EF" w:rsidRDefault="007430A2" w:rsidP="007430A2">
      <w:pPr>
        <w:pStyle w:val="SingleTxtG"/>
      </w:pPr>
      <w:r>
        <w:tab/>
      </w:r>
      <w:r w:rsidR="008A03EF" w:rsidRPr="002523D0">
        <w:t xml:space="preserve">The Committee regrets that no information was provided on measures taken to prevent executions or the </w:t>
      </w:r>
      <w:r w:rsidR="008A03EF">
        <w:t>imposition of</w:t>
      </w:r>
      <w:r w:rsidR="008A03EF" w:rsidRPr="002523D0">
        <w:t xml:space="preserve"> </w:t>
      </w:r>
      <w:r w:rsidR="008A03EF">
        <w:t xml:space="preserve">the </w:t>
      </w:r>
      <w:r w:rsidR="008A03EF" w:rsidRPr="002523D0">
        <w:t>death sentence</w:t>
      </w:r>
      <w:r w:rsidR="008A03EF">
        <w:t xml:space="preserve"> on persons with serious intellectual or psychosocial disabilities; on the execution protocol and whether it was in line with international standards; and on Pakistani migrant workers sentenced to death overseas. </w:t>
      </w:r>
      <w:r w:rsidR="008A03EF" w:rsidRPr="002523D0">
        <w:t xml:space="preserve">The Committee reiterates its requests for information and </w:t>
      </w:r>
      <w:r w:rsidR="008A03EF">
        <w:t xml:space="preserve">reiterates its recommendation. </w:t>
      </w:r>
    </w:p>
    <w:p w:rsidR="008A03EF" w:rsidRPr="009E08E7" w:rsidRDefault="008A03EF" w:rsidP="003B2714">
      <w:pPr>
        <w:pStyle w:val="H23G"/>
        <w:rPr>
          <w:rFonts w:eastAsia="SimSun"/>
          <w:lang w:eastAsia="zh-CN"/>
        </w:rPr>
      </w:pPr>
      <w:r w:rsidRPr="009E08E7">
        <w:rPr>
          <w:rFonts w:eastAsia="SimSun"/>
          <w:lang w:eastAsia="zh-CN"/>
        </w:rPr>
        <w:tab/>
      </w:r>
      <w:r w:rsidRPr="009E08E7">
        <w:rPr>
          <w:rFonts w:eastAsia="SimSun"/>
          <w:lang w:eastAsia="zh-CN"/>
        </w:rPr>
        <w:tab/>
        <w:t xml:space="preserve">Paragraph 20: </w:t>
      </w:r>
      <w:r w:rsidRPr="009E08E7">
        <w:t>Enforced disappearance and extrajudicial killings</w:t>
      </w:r>
    </w:p>
    <w:p w:rsidR="008A03EF" w:rsidRPr="00895703" w:rsidRDefault="007430A2" w:rsidP="007430A2">
      <w:pPr>
        <w:pStyle w:val="SingleTxtG"/>
        <w:rPr>
          <w:b/>
        </w:rPr>
      </w:pPr>
      <w:r>
        <w:rPr>
          <w:b/>
        </w:rPr>
        <w:tab/>
      </w:r>
      <w:r w:rsidR="008A03EF" w:rsidRPr="00895703">
        <w:rPr>
          <w:b/>
        </w:rPr>
        <w:t xml:space="preserve">The State party should criminalize enforced disappearance and put an end to the practice of enforced disappearance and secret detention. It should also review the Actions (in aid of Civil Power) Regulation, 2011 with a view to repealing it or bringing it into conformity with international standards. It should also ensure that all allegations of enforced disappearance and extrajudicial killings are promptly and thoroughly investigated; all perpetrators are prosecuted and punished, with penalties commensurate with the gravity of the crimes; families of disappeared persons and their lawyers and witnesses are protected; and a mechanism is put in place for full and prompt reparation for victims and their families. It should further strengthen the authority and the capacity (financial and personnel) of the Commission of Inquiry on Enforced Disappearances so that the latter can function effectively. </w:t>
      </w:r>
    </w:p>
    <w:p w:rsidR="008A03EF" w:rsidRPr="00AD2796" w:rsidRDefault="008A03EF" w:rsidP="003B2714">
      <w:pPr>
        <w:pStyle w:val="H23G"/>
        <w:rPr>
          <w:rFonts w:eastAsia="SimSun"/>
          <w:lang w:eastAsia="zh-CN"/>
        </w:rPr>
      </w:pPr>
      <w:r w:rsidRPr="00AD2796">
        <w:rPr>
          <w:rFonts w:eastAsia="SimSun"/>
          <w:lang w:eastAsia="zh-CN"/>
        </w:rPr>
        <w:tab/>
      </w:r>
      <w:r w:rsidRPr="00AD2796">
        <w:rPr>
          <w:rFonts w:eastAsia="SimSun"/>
          <w:lang w:eastAsia="zh-CN"/>
        </w:rPr>
        <w:tab/>
        <w:t xml:space="preserve">Summary of </w:t>
      </w:r>
      <w:r>
        <w:rPr>
          <w:rFonts w:eastAsia="SimSun"/>
          <w:lang w:eastAsia="zh-CN"/>
        </w:rPr>
        <w:t xml:space="preserve">the </w:t>
      </w:r>
      <w:r w:rsidRPr="00AD2796">
        <w:rPr>
          <w:rFonts w:eastAsia="SimSun"/>
          <w:lang w:eastAsia="zh-CN"/>
        </w:rPr>
        <w:t>State party’s reply</w:t>
      </w:r>
    </w:p>
    <w:p w:rsidR="008A03EF" w:rsidRPr="00D207AE" w:rsidRDefault="008A03EF" w:rsidP="007430A2">
      <w:pPr>
        <w:pStyle w:val="SingleTxtG"/>
        <w:rPr>
          <w:bCs/>
        </w:rPr>
      </w:pPr>
      <w:r>
        <w:tab/>
      </w:r>
      <w:r w:rsidRPr="00AD2796">
        <w:t xml:space="preserve">The State party repeated the information provided in its </w:t>
      </w:r>
      <w:r>
        <w:t>r</w:t>
      </w:r>
      <w:r w:rsidRPr="00AD2796">
        <w:t xml:space="preserve">eplies to the </w:t>
      </w:r>
      <w:r>
        <w:t>l</w:t>
      </w:r>
      <w:r w:rsidRPr="00AD2796">
        <w:t xml:space="preserve">ist of </w:t>
      </w:r>
      <w:r>
        <w:t>i</w:t>
      </w:r>
      <w:r w:rsidRPr="00AD2796">
        <w:t>ssues with respect to the</w:t>
      </w:r>
      <w:r>
        <w:t xml:space="preserve"> setting up of the </w:t>
      </w:r>
      <w:r w:rsidRPr="00AD2796">
        <w:t>Commission of Inquiry on Enforced Disappearance</w:t>
      </w:r>
      <w:r>
        <w:t>s</w:t>
      </w:r>
      <w:r w:rsidRPr="00AD2796">
        <w:t xml:space="preserve"> (CCPR/C/PAK/Q/1/Add.1</w:t>
      </w:r>
      <w:r>
        <w:t>, paras. 27–33</w:t>
      </w:r>
      <w:r w:rsidRPr="00AD2796">
        <w:t>)</w:t>
      </w:r>
      <w:r>
        <w:t>. It indicated</w:t>
      </w:r>
      <w:r w:rsidRPr="00AD2796">
        <w:t xml:space="preserve"> </w:t>
      </w:r>
      <w:r>
        <w:t xml:space="preserve">that </w:t>
      </w:r>
      <w:r w:rsidRPr="00AD2796">
        <w:t>up to 31 March 2018</w:t>
      </w:r>
      <w:r>
        <w:t xml:space="preserve">, there had been a total of 4,929 cases of enforced disappearance. 3,219 cases had been disposed from 2011 to 2018, and 1,710 cases were under investigation as at February 2018. </w:t>
      </w:r>
      <w:r>
        <w:rPr>
          <w:bCs/>
        </w:rPr>
        <w:t>It s</w:t>
      </w:r>
      <w:r w:rsidRPr="00D207AE">
        <w:rPr>
          <w:bCs/>
        </w:rPr>
        <w:t>tate</w:t>
      </w:r>
      <w:r>
        <w:rPr>
          <w:bCs/>
        </w:rPr>
        <w:t>d</w:t>
      </w:r>
      <w:r w:rsidRPr="00D207AE">
        <w:rPr>
          <w:bCs/>
        </w:rPr>
        <w:t xml:space="preserve"> th</w:t>
      </w:r>
      <w:r>
        <w:rPr>
          <w:bCs/>
        </w:rPr>
        <w:t>at</w:t>
      </w:r>
      <w:r w:rsidRPr="00D207AE">
        <w:rPr>
          <w:bCs/>
        </w:rPr>
        <w:t xml:space="preserve"> </w:t>
      </w:r>
      <w:r>
        <w:rPr>
          <w:bCs/>
        </w:rPr>
        <w:t>t</w:t>
      </w:r>
      <w:r w:rsidRPr="00D207AE">
        <w:rPr>
          <w:bCs/>
        </w:rPr>
        <w:t xml:space="preserve">he abuse or misuse of force during operations had been made punishable under </w:t>
      </w:r>
      <w:r>
        <w:rPr>
          <w:bCs/>
        </w:rPr>
        <w:t xml:space="preserve">the </w:t>
      </w:r>
      <w:r w:rsidRPr="002D212A">
        <w:rPr>
          <w:bCs/>
        </w:rPr>
        <w:t>Actions (in Aid of Civil Power) Regulation, 2011</w:t>
      </w:r>
      <w:r w:rsidRPr="00D207AE">
        <w:rPr>
          <w:bCs/>
        </w:rPr>
        <w:t xml:space="preserve">. Detainees apprehended during operations were kept in declared and notified internment centres. Internees’ cases were reviewed regularly </w:t>
      </w:r>
      <w:proofErr w:type="gramStart"/>
      <w:r w:rsidRPr="00D207AE">
        <w:rPr>
          <w:bCs/>
        </w:rPr>
        <w:t>by</w:t>
      </w:r>
      <w:proofErr w:type="gramEnd"/>
      <w:r w:rsidRPr="00D207AE">
        <w:rPr>
          <w:bCs/>
        </w:rPr>
        <w:t xml:space="preserve"> oversight boards. Comprehensive provisions, including on the welfare of detainees, </w:t>
      </w:r>
      <w:proofErr w:type="spellStart"/>
      <w:r w:rsidRPr="00D207AE">
        <w:rPr>
          <w:bCs/>
        </w:rPr>
        <w:t>deradicalization</w:t>
      </w:r>
      <w:proofErr w:type="spellEnd"/>
      <w:r w:rsidRPr="00D207AE">
        <w:rPr>
          <w:bCs/>
        </w:rPr>
        <w:t xml:space="preserve">, release and disposal of cases, were contained in the law. </w:t>
      </w:r>
    </w:p>
    <w:p w:rsidR="008A03EF" w:rsidRPr="00606C50" w:rsidRDefault="008A03EF" w:rsidP="008A03EF">
      <w:pPr>
        <w:pStyle w:val="SingleTxtG"/>
        <w:keepNext/>
        <w:rPr>
          <w:b/>
          <w:bCs/>
        </w:rPr>
      </w:pPr>
      <w:r w:rsidRPr="00606C50">
        <w:rPr>
          <w:b/>
          <w:bCs/>
        </w:rPr>
        <w:t>Information from non-governmental organization</w:t>
      </w:r>
    </w:p>
    <w:p w:rsidR="008A03EF" w:rsidRDefault="008A03EF" w:rsidP="008A03EF">
      <w:pPr>
        <w:pStyle w:val="H4G"/>
      </w:pPr>
      <w:r>
        <w:tab/>
      </w:r>
      <w:r>
        <w:tab/>
        <w:t>International Commission of Jurists</w:t>
      </w:r>
    </w:p>
    <w:p w:rsidR="008A03EF" w:rsidRPr="00C94EC7" w:rsidRDefault="007430A2" w:rsidP="007430A2">
      <w:pPr>
        <w:pStyle w:val="SingleTxtG"/>
      </w:pPr>
      <w:r>
        <w:tab/>
      </w:r>
      <w:r w:rsidR="008A03EF">
        <w:t xml:space="preserve">Enforced disappearance has not yet been recognized as a separate crime in the State party. It registers enforced disappearances as abductions, kidnappings or wrongful confinement in secret. In August 2019, the Khyber Pakhtunkhwa Actions (in Aid of Civil Power) Ordinance granted sweeping powers to members of the armed forces in the whole of Khyber Pakhtunkhwa province. As at September 2019, not a single perpetrator of </w:t>
      </w:r>
      <w:r w:rsidR="008A03EF">
        <w:lastRenderedPageBreak/>
        <w:t>enforced disappearance has been brought to justice. The tenure of the Commission of Inquiry on Enforced Disappearances was extended until September 2020, but the Commission is no longer competent to register first information reports once the victim is found. The Commission’s definition of enforced disappearance does not recognize secret detention or undisclosed detention, which excludes cases in which the enforced disappearance is authorized by the State.</w:t>
      </w:r>
    </w:p>
    <w:p w:rsidR="008A03EF" w:rsidRPr="00B26093" w:rsidRDefault="008A03EF" w:rsidP="003B2714">
      <w:pPr>
        <w:pStyle w:val="H23G"/>
        <w:rPr>
          <w:rFonts w:eastAsia="SimSun"/>
          <w:lang w:eastAsia="zh-CN"/>
        </w:rPr>
      </w:pPr>
      <w:r>
        <w:rPr>
          <w:rFonts w:eastAsia="SimSun"/>
          <w:lang w:eastAsia="zh-CN"/>
        </w:rPr>
        <w:tab/>
      </w:r>
      <w:r>
        <w:rPr>
          <w:rFonts w:eastAsia="SimSun"/>
          <w:lang w:eastAsia="zh-CN"/>
        </w:rPr>
        <w:tab/>
      </w:r>
      <w:r w:rsidRPr="00B26093">
        <w:rPr>
          <w:rFonts w:eastAsia="SimSun"/>
          <w:lang w:eastAsia="zh-CN"/>
        </w:rPr>
        <w:t>Committee’s evaluation</w:t>
      </w:r>
    </w:p>
    <w:p w:rsidR="008A03EF" w:rsidRPr="00A84E3B" w:rsidRDefault="008A03EF" w:rsidP="008A03EF">
      <w:pPr>
        <w:pStyle w:val="SingleTxtG"/>
      </w:pPr>
      <w:r w:rsidRPr="00B26093">
        <w:rPr>
          <w:b/>
        </w:rPr>
        <w:t>[C]</w:t>
      </w:r>
      <w:r>
        <w:rPr>
          <w:b/>
        </w:rPr>
        <w:t>:</w:t>
      </w:r>
      <w:r w:rsidRPr="00B26093">
        <w:t xml:space="preserve"> The Committee notes the information provided by the State party</w:t>
      </w:r>
      <w:r>
        <w:t>,</w:t>
      </w:r>
      <w:r w:rsidRPr="00B26093">
        <w:t xml:space="preserve"> but </w:t>
      </w:r>
      <w:r>
        <w:t>regrets that the measures described were taken before the adoption of the concluding observations. The Committee takes note of the statistics provided by the State party, but regrets the lack of information on concrete measures taken since the adoption of the concluding observations to ensure that all a</w:t>
      </w:r>
      <w:r w:rsidRPr="00DC57A9">
        <w:t>llegations of enforced disappearance and extrajudicial killing</w:t>
      </w:r>
      <w:r>
        <w:t xml:space="preserve"> are</w:t>
      </w:r>
      <w:r w:rsidRPr="00DC57A9">
        <w:t xml:space="preserve"> promptly and thoroughly investigated</w:t>
      </w:r>
      <w:r>
        <w:t xml:space="preserve"> and victims are adequately compensated</w:t>
      </w:r>
      <w:r w:rsidRPr="00DC57A9">
        <w:t xml:space="preserve">. The Committee </w:t>
      </w:r>
      <w:r>
        <w:t xml:space="preserve">also </w:t>
      </w:r>
      <w:r w:rsidRPr="00DC57A9">
        <w:t>requires information on: (</w:t>
      </w:r>
      <w:r>
        <w:t>a</w:t>
      </w:r>
      <w:r w:rsidRPr="00DC57A9">
        <w:t xml:space="preserve">) measures taken to criminalize enforced disappearance and to put an end to the </w:t>
      </w:r>
      <w:r>
        <w:t>practices</w:t>
      </w:r>
      <w:r w:rsidRPr="00DC57A9">
        <w:t xml:space="preserve"> of enforced disappearance and secret detention; (</w:t>
      </w:r>
      <w:r>
        <w:t>b</w:t>
      </w:r>
      <w:r w:rsidRPr="00DC57A9">
        <w:t xml:space="preserve">) whether the State party intends to repeal the Actions (in </w:t>
      </w:r>
      <w:r>
        <w:t>A</w:t>
      </w:r>
      <w:r w:rsidRPr="00DC57A9">
        <w:t>id of Civil Power) Regulation</w:t>
      </w:r>
      <w:r>
        <w:t xml:space="preserve"> of</w:t>
      </w:r>
      <w:r w:rsidRPr="00DC57A9">
        <w:t xml:space="preserve"> 2011 or to bring it into conformity with international standards; (</w:t>
      </w:r>
      <w:r>
        <w:t>c</w:t>
      </w:r>
      <w:r w:rsidRPr="00DC57A9">
        <w:t xml:space="preserve">) measures taken to ensure that all perpetrators are prosecuted and </w:t>
      </w:r>
      <w:r>
        <w:t>punished with</w:t>
      </w:r>
      <w:r w:rsidRPr="00DC57A9">
        <w:t xml:space="preserve"> penalties commensurate with the gravity of the crimes; (</w:t>
      </w:r>
      <w:r>
        <w:t>d) </w:t>
      </w:r>
      <w:r w:rsidRPr="00DC57A9">
        <w:t>measures taken to ensure that families of disappeared persons and their lawyers and witnesses are protected; (</w:t>
      </w:r>
      <w:r>
        <w:t>e</w:t>
      </w:r>
      <w:r w:rsidRPr="00DC57A9">
        <w:t>) measures taken to put in place a mechanism for full and prompt reparation for victims and their families</w:t>
      </w:r>
      <w:r>
        <w:t xml:space="preserve">; (f) </w:t>
      </w:r>
      <w:r w:rsidRPr="00DC57A9">
        <w:t xml:space="preserve">measures taken </w:t>
      </w:r>
      <w:r>
        <w:t xml:space="preserve">since the adoption of the concluding observations </w:t>
      </w:r>
      <w:r w:rsidRPr="00DC57A9">
        <w:t>to further strengthen the authority and the capacity (financial and personnel)</w:t>
      </w:r>
      <w:r>
        <w:t xml:space="preserve"> of the </w:t>
      </w:r>
      <w:r w:rsidRPr="00DC57A9">
        <w:t>Commission of Inquiry on Enforced Disappearance</w:t>
      </w:r>
      <w:r>
        <w:t xml:space="preserve">s; and (g) cases dealt with by the Commission of Inquiry on Enforced Disappearances. </w:t>
      </w:r>
    </w:p>
    <w:p w:rsidR="008A03EF" w:rsidRPr="009E08E7" w:rsidRDefault="008A03EF" w:rsidP="003B2714">
      <w:pPr>
        <w:pStyle w:val="H23G"/>
        <w:rPr>
          <w:rFonts w:eastAsia="SimSun"/>
        </w:rPr>
      </w:pPr>
      <w:r w:rsidRPr="009E08E7">
        <w:rPr>
          <w:rFonts w:eastAsia="SimSun"/>
        </w:rPr>
        <w:tab/>
      </w:r>
      <w:r w:rsidRPr="009E08E7">
        <w:rPr>
          <w:rFonts w:eastAsia="SimSun"/>
        </w:rPr>
        <w:tab/>
        <w:t xml:space="preserve">Paragraph 34: </w:t>
      </w:r>
      <w:r w:rsidRPr="009E08E7">
        <w:t>Freedom of religion, conscience and belief</w:t>
      </w:r>
    </w:p>
    <w:p w:rsidR="008A03EF" w:rsidRPr="00324CCE" w:rsidRDefault="007430A2" w:rsidP="007430A2">
      <w:pPr>
        <w:pStyle w:val="SingleTxtG"/>
        <w:rPr>
          <w:b/>
        </w:rPr>
      </w:pPr>
      <w:r>
        <w:rPr>
          <w:b/>
        </w:rPr>
        <w:tab/>
      </w:r>
      <w:r w:rsidR="008A03EF" w:rsidRPr="00324CCE">
        <w:rPr>
          <w:b/>
        </w:rPr>
        <w:t>The State party should:</w:t>
      </w:r>
    </w:p>
    <w:p w:rsidR="008A03EF" w:rsidRPr="00324CCE" w:rsidRDefault="008A03EF" w:rsidP="007430A2">
      <w:pPr>
        <w:pStyle w:val="SingleTxtG"/>
        <w:rPr>
          <w:b/>
        </w:rPr>
      </w:pPr>
      <w:r w:rsidRPr="00FF6E99">
        <w:tab/>
        <w:t>(a)</w:t>
      </w:r>
      <w:r w:rsidRPr="00FF6E99">
        <w:tab/>
      </w:r>
      <w:r w:rsidRPr="00324CCE">
        <w:rPr>
          <w:b/>
        </w:rPr>
        <w:t>Repeal all blasphemy laws or amend them in compliance with the strict requirements of the Covenant, including as set forth in the Committee’s general comment No. 34 (2011) on the freedoms of opinion and expression</w:t>
      </w:r>
      <w:r w:rsidRPr="001A6E72">
        <w:rPr>
          <w:b/>
        </w:rPr>
        <w:t>, para. 48</w:t>
      </w:r>
      <w:r w:rsidRPr="00324CCE">
        <w:rPr>
          <w:b/>
        </w:rPr>
        <w:t xml:space="preserve">; </w:t>
      </w:r>
    </w:p>
    <w:p w:rsidR="008A03EF" w:rsidRPr="00324CCE" w:rsidRDefault="008A03EF" w:rsidP="008A03EF">
      <w:pPr>
        <w:pStyle w:val="SingleTxtG"/>
        <w:rPr>
          <w:b/>
        </w:rPr>
      </w:pPr>
      <w:r w:rsidRPr="00FF6E99">
        <w:tab/>
        <w:t>(b)</w:t>
      </w:r>
      <w:r w:rsidRPr="00FF6E99">
        <w:tab/>
      </w:r>
      <w:r w:rsidRPr="00324CCE">
        <w:rPr>
          <w:b/>
        </w:rPr>
        <w:t xml:space="preserve">Ensure that all those who incite or engage in violence against others based on allegations of blasphemy, as well as those who falsely accuse others of blasphemy, are brought to justice and duly punished; </w:t>
      </w:r>
    </w:p>
    <w:p w:rsidR="008A03EF" w:rsidRPr="00324CCE" w:rsidRDefault="008A03EF" w:rsidP="008A03EF">
      <w:pPr>
        <w:pStyle w:val="SingleTxtG"/>
        <w:rPr>
          <w:b/>
        </w:rPr>
      </w:pPr>
      <w:r w:rsidRPr="00FF6E99">
        <w:tab/>
        <w:t>(c)</w:t>
      </w:r>
      <w:r w:rsidRPr="00FF6E99">
        <w:tab/>
      </w:r>
      <w:r w:rsidRPr="00324CCE">
        <w:rPr>
          <w:b/>
        </w:rPr>
        <w:t xml:space="preserve">Take all measures necessary to ensure adequate protection of all judges, prosecutors, lawyers and witnesses involved in blasphemy cases; </w:t>
      </w:r>
    </w:p>
    <w:p w:rsidR="008A03EF" w:rsidRPr="00324CCE" w:rsidRDefault="008A03EF" w:rsidP="008A03EF">
      <w:pPr>
        <w:pStyle w:val="SingleTxtG"/>
        <w:rPr>
          <w:b/>
        </w:rPr>
      </w:pPr>
      <w:r w:rsidRPr="00FF6E99">
        <w:tab/>
        <w:t>(d)</w:t>
      </w:r>
      <w:r w:rsidRPr="00FF6E99">
        <w:tab/>
      </w:r>
      <w:r w:rsidRPr="00324CCE">
        <w:rPr>
          <w:b/>
        </w:rPr>
        <w:t xml:space="preserve">Ensure that all cases of hate speech and hate crimes are thoroughly and promptly investigated and that perpetrators are prosecuted and, if convicted, punished; </w:t>
      </w:r>
    </w:p>
    <w:p w:rsidR="008A03EF" w:rsidRPr="00324CCE" w:rsidRDefault="008A03EF" w:rsidP="008A03EF">
      <w:pPr>
        <w:pStyle w:val="SingleTxtG"/>
        <w:rPr>
          <w:b/>
        </w:rPr>
      </w:pPr>
      <w:r w:rsidRPr="00FF6E99">
        <w:tab/>
        <w:t>(e)</w:t>
      </w:r>
      <w:r w:rsidRPr="00FF6E99">
        <w:tab/>
      </w:r>
      <w:r w:rsidRPr="00324CCE">
        <w:rPr>
          <w:b/>
        </w:rPr>
        <w:t>Review school textbooks and curricula with a view to removing all religiously biased content, incorporate human rights education therein and continue to regulate madrasas;</w:t>
      </w:r>
    </w:p>
    <w:p w:rsidR="008A03EF" w:rsidRPr="00324CCE" w:rsidRDefault="008A03EF" w:rsidP="008A03EF">
      <w:pPr>
        <w:pStyle w:val="SingleTxtG"/>
        <w:rPr>
          <w:b/>
        </w:rPr>
      </w:pPr>
      <w:r w:rsidRPr="00FF6E99">
        <w:tab/>
        <w:t>(f)</w:t>
      </w:r>
      <w:r w:rsidRPr="00FF6E99">
        <w:tab/>
      </w:r>
      <w:r w:rsidRPr="00324CCE">
        <w:rPr>
          <w:b/>
        </w:rPr>
        <w:t>Fully implement the judgment of the Supreme Court of 19 June 2014.</w:t>
      </w:r>
    </w:p>
    <w:p w:rsidR="008A03EF" w:rsidRPr="00090327" w:rsidRDefault="008A03EF" w:rsidP="003B2714">
      <w:pPr>
        <w:pStyle w:val="H23G"/>
      </w:pPr>
      <w:r>
        <w:tab/>
      </w:r>
      <w:r>
        <w:tab/>
      </w:r>
      <w:r w:rsidRPr="00090327">
        <w:t xml:space="preserve">Summary of </w:t>
      </w:r>
      <w:r>
        <w:t xml:space="preserve">the </w:t>
      </w:r>
      <w:r w:rsidRPr="00090327">
        <w:t>State party’s reply</w:t>
      </w:r>
    </w:p>
    <w:p w:rsidR="008A03EF" w:rsidRPr="00324CCE" w:rsidRDefault="00D11269" w:rsidP="008A03EF">
      <w:pPr>
        <w:pStyle w:val="SingleTxtG"/>
      </w:pPr>
      <w:r>
        <w:tab/>
      </w:r>
      <w:r w:rsidR="008A03EF">
        <w:t>(a)</w:t>
      </w:r>
      <w:r w:rsidR="008A03EF">
        <w:tab/>
      </w:r>
      <w:r w:rsidR="008A03EF" w:rsidRPr="00324CCE">
        <w:t>The State party repeated the information provided in its repl</w:t>
      </w:r>
      <w:r w:rsidR="008A03EF">
        <w:t>ies</w:t>
      </w:r>
      <w:r w:rsidR="008A03EF" w:rsidRPr="00324CCE">
        <w:t xml:space="preserve"> to </w:t>
      </w:r>
      <w:r w:rsidR="008A03EF">
        <w:t xml:space="preserve">the </w:t>
      </w:r>
      <w:r w:rsidR="008A03EF" w:rsidRPr="00324CCE">
        <w:t>list of issues (C</w:t>
      </w:r>
      <w:r w:rsidR="008A03EF">
        <w:t xml:space="preserve">CPR/C/PAK/Q/1/Add.1, para. 68). </w:t>
      </w:r>
      <w:r w:rsidR="008A03EF" w:rsidRPr="00324CCE">
        <w:t xml:space="preserve">Various measures have been adopted through a consultative process to check </w:t>
      </w:r>
      <w:r w:rsidR="008A03EF">
        <w:t>for</w:t>
      </w:r>
      <w:r w:rsidR="008A03EF" w:rsidRPr="00324CCE">
        <w:t xml:space="preserve"> misuse of </w:t>
      </w:r>
      <w:r w:rsidR="008A03EF">
        <w:t xml:space="preserve">the </w:t>
      </w:r>
      <w:r w:rsidR="008A03EF" w:rsidRPr="00324CCE">
        <w:t xml:space="preserve">Blasphemy Law. The overall strategy has been to </w:t>
      </w:r>
      <w:r w:rsidR="008A03EF">
        <w:t xml:space="preserve">develop </w:t>
      </w:r>
      <w:r w:rsidR="008A03EF" w:rsidRPr="00324CCE">
        <w:t xml:space="preserve">consensus </w:t>
      </w:r>
      <w:r w:rsidR="008A03EF">
        <w:t>from</w:t>
      </w:r>
      <w:r w:rsidR="008A03EF" w:rsidRPr="00324CCE">
        <w:t xml:space="preserve"> all stakeholders so that flaws in the process are identified and then stymied</w:t>
      </w:r>
      <w:r w:rsidR="008A03EF">
        <w:t>,</w:t>
      </w:r>
      <w:r w:rsidR="008A03EF" w:rsidRPr="00324CCE">
        <w:t xml:space="preserve"> so as to deter such cases from occurring.</w:t>
      </w:r>
      <w:r w:rsidR="008A03EF">
        <w:t xml:space="preserve"> </w:t>
      </w:r>
      <w:r w:rsidR="008A03EF" w:rsidRPr="00324CCE">
        <w:t xml:space="preserve">The Ministry of </w:t>
      </w:r>
      <w:r w:rsidR="008A03EF">
        <w:t xml:space="preserve">the </w:t>
      </w:r>
      <w:r w:rsidR="008A03EF" w:rsidRPr="00324CCE">
        <w:t xml:space="preserve">Interior has, with the approval of the </w:t>
      </w:r>
      <w:r w:rsidR="008A03EF">
        <w:t>f</w:t>
      </w:r>
      <w:r w:rsidR="008A03EF" w:rsidRPr="00324CCE">
        <w:t xml:space="preserve">ederal Cabinet, made amendments </w:t>
      </w:r>
      <w:r w:rsidR="008A03EF">
        <w:t>to</w:t>
      </w:r>
      <w:r w:rsidR="008A03EF" w:rsidRPr="00324CCE">
        <w:t xml:space="preserve"> the Federal </w:t>
      </w:r>
      <w:r w:rsidR="008A03EF">
        <w:t>I</w:t>
      </w:r>
      <w:r w:rsidR="008A03EF" w:rsidRPr="00324CCE">
        <w:t>nvestigation Agency schedule where</w:t>
      </w:r>
      <w:r w:rsidR="008A03EF">
        <w:t>by</w:t>
      </w:r>
      <w:r w:rsidR="008A03EF" w:rsidRPr="00324CCE">
        <w:t xml:space="preserve"> any complaint under section</w:t>
      </w:r>
      <w:r w:rsidR="008A03EF">
        <w:t>s</w:t>
      </w:r>
      <w:r w:rsidR="008A03EF" w:rsidRPr="00324CCE">
        <w:t xml:space="preserve"> 295-A, 295-C, 298 and 298-A of </w:t>
      </w:r>
      <w:r w:rsidR="008A03EF">
        <w:t xml:space="preserve">the </w:t>
      </w:r>
      <w:r w:rsidR="008A03EF" w:rsidRPr="00324CCE">
        <w:t xml:space="preserve">Penal Code will fall </w:t>
      </w:r>
      <w:r w:rsidR="008A03EF">
        <w:t>with</w:t>
      </w:r>
      <w:r w:rsidR="008A03EF" w:rsidRPr="00324CCE">
        <w:t xml:space="preserve">in </w:t>
      </w:r>
      <w:r w:rsidR="008A03EF">
        <w:t xml:space="preserve">the </w:t>
      </w:r>
      <w:r w:rsidR="008A03EF" w:rsidRPr="00324CCE">
        <w:t>purview of the Agency</w:t>
      </w:r>
      <w:r w:rsidR="008A03EF">
        <w:t>,</w:t>
      </w:r>
      <w:r w:rsidR="008A03EF" w:rsidRPr="00324CCE">
        <w:t xml:space="preserve"> which will have the power to check </w:t>
      </w:r>
      <w:r w:rsidR="008A03EF">
        <w:t xml:space="preserve">for </w:t>
      </w:r>
      <w:r w:rsidR="008A03EF" w:rsidRPr="00324CCE">
        <w:t xml:space="preserve">misuse of </w:t>
      </w:r>
      <w:r w:rsidR="008A03EF">
        <w:t xml:space="preserve">the </w:t>
      </w:r>
      <w:r w:rsidR="008A03EF" w:rsidRPr="00324CCE">
        <w:t xml:space="preserve">blasphemy </w:t>
      </w:r>
      <w:r w:rsidR="008A03EF">
        <w:t>laws, in</w:t>
      </w:r>
      <w:r w:rsidR="008A03EF" w:rsidRPr="00324CCE">
        <w:t xml:space="preserve"> parallel </w:t>
      </w:r>
      <w:r w:rsidR="008A03EF">
        <w:t>with</w:t>
      </w:r>
      <w:r w:rsidR="008A03EF" w:rsidRPr="00324CCE">
        <w:t xml:space="preserve"> the provincial police departments. </w:t>
      </w:r>
      <w:r w:rsidR="008A03EF" w:rsidRPr="00324CCE">
        <w:lastRenderedPageBreak/>
        <w:t xml:space="preserve">The State party detailed additional safeguards </w:t>
      </w:r>
      <w:r w:rsidR="008A03EF">
        <w:t>that</w:t>
      </w:r>
      <w:r w:rsidR="008A03EF" w:rsidRPr="00324CCE">
        <w:t xml:space="preserve"> have been put in place to check </w:t>
      </w:r>
      <w:r w:rsidR="008A03EF">
        <w:t xml:space="preserve">for </w:t>
      </w:r>
      <w:r w:rsidR="008A03EF" w:rsidRPr="00324CCE">
        <w:t xml:space="preserve">misuse of </w:t>
      </w:r>
      <w:r w:rsidR="008A03EF">
        <w:t>those l</w:t>
      </w:r>
      <w:r w:rsidR="008A03EF" w:rsidRPr="00324CCE">
        <w:t>aw</w:t>
      </w:r>
      <w:r w:rsidR="008A03EF">
        <w:t>s;</w:t>
      </w:r>
    </w:p>
    <w:p w:rsidR="008A03EF" w:rsidRPr="00324CCE" w:rsidRDefault="00D11269" w:rsidP="00D11269">
      <w:pPr>
        <w:pStyle w:val="SingleTxtG"/>
      </w:pPr>
      <w:r>
        <w:tab/>
      </w:r>
      <w:r w:rsidR="008A03EF">
        <w:t>(b)</w:t>
      </w:r>
      <w:r w:rsidR="008A03EF">
        <w:tab/>
      </w:r>
      <w:r w:rsidR="008A03EF" w:rsidRPr="00324CCE">
        <w:t xml:space="preserve">The State party repeated the information </w:t>
      </w:r>
      <w:r w:rsidR="008A03EF">
        <w:t>that it had provided</w:t>
      </w:r>
      <w:r w:rsidR="008A03EF" w:rsidRPr="00324CCE">
        <w:t xml:space="preserve"> in its replies to the list of issues (CCPR/C/PAK/Q/1/Add.1, para. 72) on violation of </w:t>
      </w:r>
      <w:r w:rsidR="008A03EF">
        <w:t xml:space="preserve">the </w:t>
      </w:r>
      <w:r w:rsidR="008A03EF" w:rsidRPr="00324CCE">
        <w:t>Blasphemy Law. It also referred to a Supreme Court case of 2002 (PLD 2002 SC 1048)</w:t>
      </w:r>
      <w:r w:rsidR="008A03EF">
        <w:t>,</w:t>
      </w:r>
      <w:r w:rsidR="008A03EF" w:rsidRPr="00324CCE">
        <w:t xml:space="preserve"> in which the </w:t>
      </w:r>
      <w:r w:rsidR="008A03EF">
        <w:t>principle</w:t>
      </w:r>
      <w:r w:rsidR="008A03EF" w:rsidRPr="00324CCE">
        <w:t xml:space="preserve"> of </w:t>
      </w:r>
      <w:r w:rsidR="008A03EF">
        <w:t xml:space="preserve">the </w:t>
      </w:r>
      <w:r w:rsidR="008A03EF" w:rsidRPr="00324CCE">
        <w:t xml:space="preserve">benefit of </w:t>
      </w:r>
      <w:r w:rsidR="008A03EF">
        <w:t xml:space="preserve">the </w:t>
      </w:r>
      <w:r w:rsidR="008A03EF" w:rsidRPr="00324CCE">
        <w:t xml:space="preserve">doubt </w:t>
      </w:r>
      <w:r w:rsidR="008A03EF">
        <w:t>was invoked and was</w:t>
      </w:r>
      <w:r w:rsidR="008A03EF" w:rsidRPr="00324CCE">
        <w:t xml:space="preserve"> described as the golden rule and a rule of pru</w:t>
      </w:r>
      <w:r w:rsidR="008A03EF">
        <w:t xml:space="preserve">dence. </w:t>
      </w:r>
      <w:r w:rsidR="008A03EF" w:rsidRPr="00324CCE">
        <w:t>Statistics o</w:t>
      </w:r>
      <w:r w:rsidR="008A03EF">
        <w:t>n</w:t>
      </w:r>
      <w:r w:rsidR="008A03EF" w:rsidRPr="00324CCE">
        <w:t xml:space="preserve"> </w:t>
      </w:r>
      <w:r w:rsidR="008A03EF">
        <w:t>b</w:t>
      </w:r>
      <w:r w:rsidR="008A03EF" w:rsidRPr="00324CCE">
        <w:t xml:space="preserve">lasphemy cases registered in Punjab, Sindh and Khyber Pakhtunkhwa </w:t>
      </w:r>
      <w:r w:rsidR="008A03EF">
        <w:t xml:space="preserve">Provinces </w:t>
      </w:r>
      <w:r w:rsidR="008A03EF" w:rsidRPr="00324CCE">
        <w:t xml:space="preserve">during </w:t>
      </w:r>
      <w:r w:rsidR="008A03EF">
        <w:t xml:space="preserve">the period </w:t>
      </w:r>
      <w:r w:rsidR="008A03EF" w:rsidRPr="00324CCE">
        <w:t>2011</w:t>
      </w:r>
      <w:r w:rsidR="008A03EF">
        <w:t>–</w:t>
      </w:r>
      <w:r w:rsidR="008A03EF" w:rsidRPr="00324CCE">
        <w:t>2015 were submitted. It was noted that not a single person ha</w:t>
      </w:r>
      <w:r w:rsidR="008A03EF">
        <w:t>d</w:t>
      </w:r>
      <w:r w:rsidR="008A03EF" w:rsidRPr="00324CCE">
        <w:t xml:space="preserve"> been executed </w:t>
      </w:r>
      <w:r w:rsidR="008A03EF">
        <w:t>t</w:t>
      </w:r>
      <w:r w:rsidR="008A03EF" w:rsidRPr="00324CCE">
        <w:t xml:space="preserve">o </w:t>
      </w:r>
      <w:r w:rsidR="008A03EF">
        <w:t xml:space="preserve">date as a consequence of </w:t>
      </w:r>
      <w:r w:rsidR="008A03EF" w:rsidRPr="00324CCE">
        <w:t xml:space="preserve">allegations of blasphemy. The Supreme Court judgment </w:t>
      </w:r>
      <w:r w:rsidR="008A03EF">
        <w:t xml:space="preserve">of 2018 </w:t>
      </w:r>
      <w:r w:rsidR="008A03EF" w:rsidRPr="00324CCE">
        <w:t xml:space="preserve">in the Asia </w:t>
      </w:r>
      <w:r w:rsidR="008A03EF">
        <w:t>B</w:t>
      </w:r>
      <w:r w:rsidR="008A03EF" w:rsidRPr="00324CCE">
        <w:t>ibi case gives useful insights to further improve the legal and administrative measures</w:t>
      </w:r>
      <w:r w:rsidR="008A03EF">
        <w:t xml:space="preserve"> relating to</w:t>
      </w:r>
      <w:r w:rsidR="008A03EF" w:rsidRPr="00324CCE">
        <w:t xml:space="preserve"> </w:t>
      </w:r>
      <w:r w:rsidR="008A03EF">
        <w:t xml:space="preserve">the </w:t>
      </w:r>
      <w:r w:rsidR="008A03EF" w:rsidRPr="00324CCE">
        <w:t xml:space="preserve">application of </w:t>
      </w:r>
      <w:r w:rsidR="008A03EF">
        <w:t>the b</w:t>
      </w:r>
      <w:r w:rsidR="008A03EF" w:rsidRPr="00324CCE">
        <w:t xml:space="preserve">lasphemy </w:t>
      </w:r>
      <w:r w:rsidR="008A03EF">
        <w:t>l</w:t>
      </w:r>
      <w:r w:rsidR="008A03EF" w:rsidRPr="00324CCE">
        <w:t>aw</w:t>
      </w:r>
      <w:r w:rsidR="008A03EF">
        <w:t>s;</w:t>
      </w:r>
    </w:p>
    <w:p w:rsidR="008A03EF" w:rsidRPr="00324CCE" w:rsidRDefault="00D11269" w:rsidP="00D11269">
      <w:pPr>
        <w:pStyle w:val="SingleTxtG"/>
      </w:pPr>
      <w:r>
        <w:tab/>
      </w:r>
      <w:r w:rsidR="008A03EF">
        <w:t>(c)</w:t>
      </w:r>
      <w:r w:rsidR="008A03EF">
        <w:tab/>
        <w:t>No information provided;</w:t>
      </w:r>
    </w:p>
    <w:p w:rsidR="008A03EF" w:rsidRPr="00324CCE" w:rsidRDefault="00D11269" w:rsidP="00D11269">
      <w:pPr>
        <w:pStyle w:val="SingleTxtG"/>
      </w:pPr>
      <w:r>
        <w:tab/>
      </w:r>
      <w:r w:rsidR="008A03EF">
        <w:t>(d)</w:t>
      </w:r>
      <w:r w:rsidR="008A03EF">
        <w:tab/>
        <w:t>The r</w:t>
      </w:r>
      <w:r w:rsidR="008A03EF" w:rsidRPr="00324CCE">
        <w:t xml:space="preserve">ights and interests of minorities are protected in Pakistan. Discrimination on the basis of ethnic </w:t>
      </w:r>
      <w:r w:rsidR="008A03EF">
        <w:t>diversity</w:t>
      </w:r>
      <w:r w:rsidR="008A03EF" w:rsidRPr="00324CCE">
        <w:t xml:space="preserve"> is not a prevalent phenomenon in Pakistani society. The State party referred to constitutional guarantees to protect the rights of minorities and legislative measures and policies that translate the constitutional principles into </w:t>
      </w:r>
      <w:r w:rsidR="008A03EF">
        <w:t>S</w:t>
      </w:r>
      <w:r w:rsidR="008A03EF" w:rsidRPr="00324CCE">
        <w:t xml:space="preserve">tate action. </w:t>
      </w:r>
      <w:r w:rsidR="008A03EF" w:rsidRPr="002B1FD8">
        <w:t>It also referred to provisions of the Penal Code on human rights violations against minorities; the Police</w:t>
      </w:r>
      <w:r w:rsidR="008A03EF" w:rsidRPr="00324CCE">
        <w:t xml:space="preserve"> Order 2002</w:t>
      </w:r>
      <w:r w:rsidR="008A03EF">
        <w:t>,</w:t>
      </w:r>
      <w:r w:rsidR="008A03EF" w:rsidRPr="00324CCE">
        <w:t xml:space="preserve"> </w:t>
      </w:r>
      <w:r w:rsidR="008A03EF">
        <w:t>c</w:t>
      </w:r>
      <w:r w:rsidR="008A03EF" w:rsidRPr="00324CCE">
        <w:t>hapter II</w:t>
      </w:r>
      <w:r w:rsidR="008A03EF">
        <w:t>,</w:t>
      </w:r>
      <w:r w:rsidR="008A03EF" w:rsidRPr="00324CCE">
        <w:t xml:space="preserve"> which contain</w:t>
      </w:r>
      <w:r w:rsidR="008A03EF">
        <w:t>s</w:t>
      </w:r>
      <w:r w:rsidR="008A03EF" w:rsidRPr="00324CCE">
        <w:t xml:space="preserve"> provisions to ensure protection of the rights of vulnerable secto</w:t>
      </w:r>
      <w:r w:rsidR="008A03EF">
        <w:t>r</w:t>
      </w:r>
      <w:r w:rsidR="008A03EF" w:rsidRPr="00324CCE">
        <w:t>s of society; and provisions</w:t>
      </w:r>
      <w:r w:rsidR="008A03EF">
        <w:t xml:space="preserve"> on electronic media;</w:t>
      </w:r>
    </w:p>
    <w:p w:rsidR="008A03EF" w:rsidRPr="00324CCE" w:rsidRDefault="00D11269" w:rsidP="00D11269">
      <w:pPr>
        <w:pStyle w:val="SingleTxtG"/>
      </w:pPr>
      <w:r>
        <w:tab/>
      </w:r>
      <w:r w:rsidR="008A03EF">
        <w:t>(e)</w:t>
      </w:r>
      <w:r w:rsidR="008A03EF">
        <w:tab/>
      </w:r>
      <w:r w:rsidR="008A03EF" w:rsidRPr="00324CCE">
        <w:t xml:space="preserve">In May 2019, the </w:t>
      </w:r>
      <w:r w:rsidR="008A03EF">
        <w:t>f</w:t>
      </w:r>
      <w:r w:rsidR="008A03EF" w:rsidRPr="00324CCE">
        <w:t>ederal Cabinet approved a uniform curriculum for all education</w:t>
      </w:r>
      <w:r w:rsidR="008A03EF">
        <w:t>al</w:t>
      </w:r>
      <w:r w:rsidR="008A03EF" w:rsidRPr="00324CCE">
        <w:t xml:space="preserve"> institutions in the country, which </w:t>
      </w:r>
      <w:r w:rsidR="008A03EF">
        <w:t>include</w:t>
      </w:r>
      <w:r w:rsidR="008A03EF" w:rsidRPr="00324CCE">
        <w:t xml:space="preserve"> 30,000 madrasas. In February 2018</w:t>
      </w:r>
      <w:r w:rsidR="008A03EF">
        <w:t>,</w:t>
      </w:r>
      <w:r w:rsidR="008A03EF" w:rsidRPr="00324CCE">
        <w:t xml:space="preserve"> human rights and tolerance was approved as a separate subject </w:t>
      </w:r>
      <w:r w:rsidR="008A03EF">
        <w:t>with</w:t>
      </w:r>
      <w:r w:rsidR="008A03EF" w:rsidRPr="00324CCE">
        <w:t xml:space="preserve">in </w:t>
      </w:r>
      <w:r w:rsidR="008A03EF">
        <w:t xml:space="preserve">the </w:t>
      </w:r>
      <w:r w:rsidR="008A03EF" w:rsidRPr="00324CCE">
        <w:t>B</w:t>
      </w:r>
      <w:r w:rsidR="008A03EF">
        <w:t xml:space="preserve">achelor of </w:t>
      </w:r>
      <w:r w:rsidR="008A03EF" w:rsidRPr="00324CCE">
        <w:t>A</w:t>
      </w:r>
      <w:r w:rsidR="008A03EF">
        <w:t>rts</w:t>
      </w:r>
      <w:r w:rsidR="008A03EF" w:rsidRPr="00324CCE">
        <w:t>/B</w:t>
      </w:r>
      <w:r w:rsidR="008A03EF">
        <w:t xml:space="preserve">achelor of </w:t>
      </w:r>
      <w:r w:rsidR="008A03EF" w:rsidRPr="00324CCE">
        <w:t>Sc</w:t>
      </w:r>
      <w:r w:rsidR="008A03EF">
        <w:t>ience</w:t>
      </w:r>
      <w:r w:rsidR="008A03EF" w:rsidRPr="00324CCE">
        <w:t xml:space="preserve"> compulsory course o</w:t>
      </w:r>
      <w:r w:rsidR="008A03EF">
        <w:t>n</w:t>
      </w:r>
      <w:r w:rsidR="008A03EF" w:rsidRPr="00324CCE">
        <w:t xml:space="preserve"> Pakistan </w:t>
      </w:r>
      <w:r w:rsidR="008A03EF">
        <w:t xml:space="preserve">Studies/Islamic </w:t>
      </w:r>
      <w:r w:rsidR="008A03EF" w:rsidRPr="00324CCE">
        <w:t>Studies</w:t>
      </w:r>
      <w:r w:rsidR="008A03EF">
        <w:t xml:space="preserve"> with effect from the academic year beginning in 2018. A</w:t>
      </w:r>
      <w:r w:rsidR="008A03EF" w:rsidRPr="00324CCE">
        <w:t xml:space="preserve"> </w:t>
      </w:r>
      <w:r w:rsidR="008A03EF">
        <w:t>p</w:t>
      </w:r>
      <w:r w:rsidR="008A03EF" w:rsidRPr="00324CCE">
        <w:t xml:space="preserve">ublic </w:t>
      </w:r>
      <w:r w:rsidR="008A03EF">
        <w:t>a</w:t>
      </w:r>
      <w:r w:rsidR="008A03EF" w:rsidRPr="00324CCE">
        <w:t xml:space="preserve">wareness </w:t>
      </w:r>
      <w:r w:rsidR="008A03EF">
        <w:t>c</w:t>
      </w:r>
      <w:r w:rsidR="008A03EF" w:rsidRPr="00324CCE">
        <w:t xml:space="preserve">ampaign on </w:t>
      </w:r>
      <w:r w:rsidR="008A03EF">
        <w:t>h</w:t>
      </w:r>
      <w:r w:rsidR="008A03EF" w:rsidRPr="00324CCE">
        <w:t xml:space="preserve">uman </w:t>
      </w:r>
      <w:r w:rsidR="008A03EF">
        <w:t>r</w:t>
      </w:r>
      <w:r w:rsidR="008A03EF" w:rsidRPr="00324CCE">
        <w:t xml:space="preserve">ights </w:t>
      </w:r>
      <w:r w:rsidR="008A03EF">
        <w:t>e</w:t>
      </w:r>
      <w:r w:rsidR="008A03EF" w:rsidRPr="00324CCE">
        <w:t xml:space="preserve">ducation and </w:t>
      </w:r>
      <w:r w:rsidR="008A03EF">
        <w:t>s</w:t>
      </w:r>
      <w:r w:rsidR="008A03EF" w:rsidRPr="00324CCE">
        <w:t>ensitization was initiated under the Action Plan for Human Rights</w:t>
      </w:r>
      <w:r w:rsidR="008A03EF">
        <w:t xml:space="preserve"> of</w:t>
      </w:r>
      <w:r w:rsidR="008A03EF" w:rsidRPr="00324CCE">
        <w:t xml:space="preserve"> 2016</w:t>
      </w:r>
      <w:r w:rsidR="008A03EF">
        <w:t>,</w:t>
      </w:r>
      <w:r w:rsidR="008A03EF" w:rsidRPr="00324CCE">
        <w:t xml:space="preserve"> </w:t>
      </w:r>
      <w:r w:rsidR="008A03EF">
        <w:t>with</w:t>
      </w:r>
      <w:r w:rsidR="008A03EF" w:rsidRPr="00324CCE">
        <w:t xml:space="preserve"> seminars a</w:t>
      </w:r>
      <w:r w:rsidR="008A03EF">
        <w:t>nd</w:t>
      </w:r>
      <w:r w:rsidR="008A03EF" w:rsidRPr="00324CCE">
        <w:t xml:space="preserve"> advertisements in </w:t>
      </w:r>
      <w:r w:rsidR="008A03EF">
        <w:t xml:space="preserve">the </w:t>
      </w:r>
      <w:r w:rsidR="008A03EF" w:rsidRPr="00324CCE">
        <w:t>print and electronic media. The campaign</w:t>
      </w:r>
      <w:r w:rsidR="008A03EF">
        <w:t xml:space="preserve"> is targeted at</w:t>
      </w:r>
      <w:r w:rsidR="008A03EF" w:rsidRPr="00324CCE">
        <w:t xml:space="preserve"> the general public, civil society, </w:t>
      </w:r>
      <w:r w:rsidR="008A03EF" w:rsidRPr="000A12B3">
        <w:t>researchers, academi</w:t>
      </w:r>
      <w:r w:rsidR="008A03EF">
        <w:t>cs</w:t>
      </w:r>
      <w:r w:rsidR="008A03EF" w:rsidRPr="000A12B3">
        <w:t>, students, government officials and different se</w:t>
      </w:r>
      <w:r w:rsidR="008A03EF">
        <w:t>ctor</w:t>
      </w:r>
      <w:r w:rsidR="008A03EF" w:rsidRPr="000A12B3">
        <w:t>s of society. The Action Plan provided</w:t>
      </w:r>
      <w:r w:rsidR="008A03EF" w:rsidRPr="00324CCE">
        <w:t xml:space="preserve"> for steps </w:t>
      </w:r>
      <w:r w:rsidR="008A03EF">
        <w:t>to counter</w:t>
      </w:r>
      <w:r w:rsidR="008A03EF" w:rsidRPr="00324CCE">
        <w:t xml:space="preserve"> hate speech and extremist material, effective measures against religious persecution, </w:t>
      </w:r>
      <w:r w:rsidR="008A03EF">
        <w:t xml:space="preserve">the </w:t>
      </w:r>
      <w:r w:rsidR="008A03EF" w:rsidRPr="00324CCE">
        <w:t xml:space="preserve">registration and regulation of madrasas, </w:t>
      </w:r>
      <w:r w:rsidR="008A03EF">
        <w:t xml:space="preserve">and banning the </w:t>
      </w:r>
      <w:r w:rsidR="008A03EF" w:rsidRPr="00324CCE">
        <w:t xml:space="preserve">glorification of terrorism and terrorist organizations through </w:t>
      </w:r>
      <w:r w:rsidR="008A03EF">
        <w:t xml:space="preserve">the </w:t>
      </w:r>
      <w:r w:rsidR="008A03EF" w:rsidRPr="00324CCE">
        <w:t>print and electronic media. In this regard, 1</w:t>
      </w:r>
      <w:r w:rsidR="008A03EF">
        <w:t>,</w:t>
      </w:r>
      <w:r w:rsidR="008A03EF" w:rsidRPr="00324CCE">
        <w:t xml:space="preserve">373 cases regarding hate speech or </w:t>
      </w:r>
      <w:r w:rsidR="008A03EF">
        <w:t xml:space="preserve">the </w:t>
      </w:r>
      <w:r w:rsidR="008A03EF" w:rsidRPr="00324CCE">
        <w:t xml:space="preserve">publishing </w:t>
      </w:r>
      <w:r w:rsidR="008A03EF">
        <w:t xml:space="preserve">of </w:t>
      </w:r>
      <w:r w:rsidR="008A03EF" w:rsidRPr="00324CCE">
        <w:t>hate material have been registered</w:t>
      </w:r>
      <w:r w:rsidR="008A03EF">
        <w:t>;</w:t>
      </w:r>
      <w:r w:rsidR="008A03EF" w:rsidRPr="00324CCE">
        <w:t xml:space="preserve"> </w:t>
      </w:r>
    </w:p>
    <w:p w:rsidR="008A03EF" w:rsidRPr="00324CCE" w:rsidRDefault="00D11269" w:rsidP="00D11269">
      <w:pPr>
        <w:pStyle w:val="SingleTxtG"/>
      </w:pPr>
      <w:r>
        <w:tab/>
      </w:r>
      <w:r w:rsidR="008A03EF" w:rsidRPr="00324CCE">
        <w:t>(f)</w:t>
      </w:r>
      <w:r w:rsidR="008A03EF">
        <w:tab/>
      </w:r>
      <w:r w:rsidR="008A03EF" w:rsidRPr="00324CCE">
        <w:t>The Supreme Court of Pakistan</w:t>
      </w:r>
      <w:r w:rsidR="008A03EF">
        <w:t>,</w:t>
      </w:r>
      <w:r w:rsidR="008A03EF" w:rsidRPr="00324CCE">
        <w:t xml:space="preserve"> in its landmark judgment of 19 June 2014</w:t>
      </w:r>
      <w:r w:rsidR="008A03EF">
        <w:t xml:space="preserve"> resulting from</w:t>
      </w:r>
      <w:r w:rsidR="008A03EF" w:rsidRPr="00324CCE">
        <w:t xml:space="preserve"> </w:t>
      </w:r>
      <w:proofErr w:type="spellStart"/>
      <w:r w:rsidR="008A03EF" w:rsidRPr="00D33A5B">
        <w:rPr>
          <w:i/>
          <w:iCs/>
        </w:rPr>
        <w:t>suo</w:t>
      </w:r>
      <w:proofErr w:type="spellEnd"/>
      <w:r w:rsidR="008A03EF" w:rsidRPr="00D33A5B">
        <w:rPr>
          <w:i/>
          <w:iCs/>
        </w:rPr>
        <w:t xml:space="preserve"> </w:t>
      </w:r>
      <w:proofErr w:type="spellStart"/>
      <w:r w:rsidR="008A03EF" w:rsidRPr="00D33A5B">
        <w:rPr>
          <w:i/>
          <w:iCs/>
        </w:rPr>
        <w:t>motu</w:t>
      </w:r>
      <w:proofErr w:type="spellEnd"/>
      <w:r w:rsidR="008A03EF" w:rsidRPr="00324CCE">
        <w:t xml:space="preserve"> proceedings under </w:t>
      </w:r>
      <w:r w:rsidR="008A03EF">
        <w:t>a</w:t>
      </w:r>
      <w:r w:rsidR="008A03EF" w:rsidRPr="00324CCE">
        <w:t>rticle 184</w:t>
      </w:r>
      <w:r w:rsidR="008A03EF">
        <w:t xml:space="preserve"> </w:t>
      </w:r>
      <w:r w:rsidR="008A03EF" w:rsidRPr="00324CCE">
        <w:t xml:space="preserve">(3) of the Constitution initiated </w:t>
      </w:r>
      <w:r w:rsidR="008A03EF">
        <w:t>on the basis of</w:t>
      </w:r>
      <w:r w:rsidR="008A03EF" w:rsidRPr="00324CCE">
        <w:t xml:space="preserve"> a letter received from </w:t>
      </w:r>
      <w:r w:rsidR="008A03EF">
        <w:t>a non-governmental organization</w:t>
      </w:r>
      <w:r w:rsidR="008A03EF" w:rsidRPr="00324CCE">
        <w:t xml:space="preserve"> regarding an attack on a </w:t>
      </w:r>
      <w:r w:rsidR="008A03EF">
        <w:t>c</w:t>
      </w:r>
      <w:r w:rsidR="008A03EF" w:rsidRPr="00324CCE">
        <w:t>hurch in Peshawar, clarified that desecration of places of worship of minorities is also an offence under th</w:t>
      </w:r>
      <w:r w:rsidR="008A03EF">
        <w:t>at</w:t>
      </w:r>
      <w:r w:rsidR="008A03EF" w:rsidRPr="00324CCE">
        <w:t xml:space="preserve"> section. </w:t>
      </w:r>
    </w:p>
    <w:p w:rsidR="008A03EF" w:rsidRPr="00921B53" w:rsidRDefault="008A03EF" w:rsidP="003B2714">
      <w:pPr>
        <w:pStyle w:val="H23G"/>
      </w:pPr>
      <w:r>
        <w:tab/>
      </w:r>
      <w:r>
        <w:tab/>
      </w:r>
      <w:r w:rsidRPr="00921B53">
        <w:t>Information from non-governmental organization</w:t>
      </w:r>
    </w:p>
    <w:p w:rsidR="008A03EF" w:rsidRPr="00225EC9" w:rsidRDefault="008A03EF" w:rsidP="008A03EF">
      <w:pPr>
        <w:pStyle w:val="H4G"/>
      </w:pPr>
      <w:r>
        <w:tab/>
      </w:r>
      <w:r>
        <w:tab/>
      </w:r>
      <w:r w:rsidRPr="00225EC9">
        <w:t>Centre for Social Justice</w:t>
      </w:r>
    </w:p>
    <w:p w:rsidR="008A03EF" w:rsidRDefault="00062CBE" w:rsidP="00062CBE">
      <w:pPr>
        <w:pStyle w:val="SingleTxtG"/>
      </w:pPr>
      <w:r>
        <w:tab/>
      </w:r>
      <w:r w:rsidR="008A03EF">
        <w:t>(a)</w:t>
      </w:r>
      <w:r w:rsidR="008A03EF">
        <w:tab/>
        <w:t>Measures to prevent the misuse and abuse of the blasphemy laws are being considered. However no concrete measures have been introduced, nor has the effectiveness of the measures under consideration been assessed in concrete terms. The safeguards introduced to prevent abusive use of the blasphemy laws are insufficient. The Superintendent of Police seldom carries out investigations in practice;</w:t>
      </w:r>
    </w:p>
    <w:p w:rsidR="008A03EF" w:rsidRDefault="00062CBE" w:rsidP="00062CBE">
      <w:pPr>
        <w:pStyle w:val="SingleTxtG"/>
      </w:pPr>
      <w:r>
        <w:tab/>
      </w:r>
      <w:r w:rsidR="008A03EF">
        <w:t>(b)</w:t>
      </w:r>
      <w:r w:rsidR="008A03EF">
        <w:tab/>
        <w:t>In February 2017, Parliament passed an amendment that increased the punishment for levelling false charges from six months to five to seven years. The amendment proved ineffective and failed to address the abusive use of the blasphemy laws, as has been seen in several cases since the new law came into force;</w:t>
      </w:r>
    </w:p>
    <w:p w:rsidR="008A03EF" w:rsidRDefault="00062CBE" w:rsidP="00062CBE">
      <w:pPr>
        <w:pStyle w:val="SingleTxtG"/>
      </w:pPr>
      <w:r>
        <w:tab/>
      </w:r>
      <w:r w:rsidR="008A03EF">
        <w:t>(c)</w:t>
      </w:r>
      <w:r w:rsidR="008A03EF">
        <w:tab/>
        <w:t xml:space="preserve">At least 75 persons have been </w:t>
      </w:r>
      <w:proofErr w:type="spellStart"/>
      <w:r w:rsidR="008A03EF">
        <w:t>extrajudicially</w:t>
      </w:r>
      <w:proofErr w:type="spellEnd"/>
      <w:r w:rsidR="008A03EF">
        <w:t xml:space="preserve"> killed in connection with alleged blasphemy, up until 2017, with impunity. Others have been detained and often held in solitary confinement;</w:t>
      </w:r>
    </w:p>
    <w:p w:rsidR="008A03EF" w:rsidRDefault="00062CBE" w:rsidP="00062CBE">
      <w:pPr>
        <w:pStyle w:val="SingleTxtG"/>
      </w:pPr>
      <w:r>
        <w:lastRenderedPageBreak/>
        <w:tab/>
      </w:r>
      <w:r w:rsidR="008A03EF">
        <w:t>(d)</w:t>
      </w:r>
      <w:r w:rsidR="008A03EF">
        <w:tab/>
        <w:t>The implementation process of actions specifically dealing with hatred and religious persecution has been relatively poor and requires improvement. Government action under the Sound System (Regulation) Act enforced in provinces and federal territories in 2015 has lost impetus;</w:t>
      </w:r>
    </w:p>
    <w:p w:rsidR="008A03EF" w:rsidRDefault="00062CBE" w:rsidP="00062CBE">
      <w:pPr>
        <w:pStyle w:val="SingleTxtG"/>
      </w:pPr>
      <w:r>
        <w:tab/>
      </w:r>
      <w:r w:rsidR="008A03EF">
        <w:t>(e)</w:t>
      </w:r>
      <w:r w:rsidR="008A03EF">
        <w:tab/>
        <w:t xml:space="preserve">The federal Government and the government of Punjab passed laws that made teaching of the Qur’an compulsory for students from class 1 to class 12 in public schools, at the primary and secondary levels. However, students from religious minorities have been given the possibility of studying their religion instead. The State party has pledged to regulate religious </w:t>
      </w:r>
      <w:r w:rsidR="008A03EF" w:rsidRPr="000A12B3">
        <w:t>seminaries. However, there has been weak progress, particularly in the implementation of the National Action Plan</w:t>
      </w:r>
      <w:r w:rsidR="008A03EF">
        <w:t>;</w:t>
      </w:r>
    </w:p>
    <w:p w:rsidR="008A03EF" w:rsidRPr="00FD79A1" w:rsidRDefault="00062CBE" w:rsidP="00062CBE">
      <w:pPr>
        <w:pStyle w:val="SingleTxtG"/>
      </w:pPr>
      <w:r>
        <w:tab/>
      </w:r>
      <w:r w:rsidR="008A03EF">
        <w:t>(f)</w:t>
      </w:r>
      <w:r w:rsidR="008A03EF">
        <w:tab/>
        <w:t xml:space="preserve">There has been very </w:t>
      </w:r>
      <w:r w:rsidR="008A03EF" w:rsidRPr="00FD79A1">
        <w:t xml:space="preserve">little progress in the implementation of the Supreme Court </w:t>
      </w:r>
      <w:r w:rsidR="008A03EF">
        <w:t xml:space="preserve">judgment </w:t>
      </w:r>
      <w:r w:rsidR="008A03EF" w:rsidRPr="00FD79A1">
        <w:t xml:space="preserve">of 19 June 2014. </w:t>
      </w:r>
      <w:r w:rsidR="008A03EF" w:rsidRPr="00FD79A1">
        <w:rPr>
          <w:rFonts w:cstheme="minorHAnsi"/>
        </w:rPr>
        <w:t xml:space="preserve">The most important measures ordered by the </w:t>
      </w:r>
      <w:r w:rsidR="008A03EF">
        <w:rPr>
          <w:rFonts w:cstheme="minorHAnsi"/>
        </w:rPr>
        <w:t>C</w:t>
      </w:r>
      <w:r w:rsidR="008A03EF" w:rsidRPr="00FD79A1">
        <w:rPr>
          <w:rFonts w:cstheme="minorHAnsi"/>
        </w:rPr>
        <w:t xml:space="preserve">ourt have </w:t>
      </w:r>
      <w:r w:rsidR="008A03EF" w:rsidRPr="00791523">
        <w:t>not</w:t>
      </w:r>
      <w:r w:rsidR="008A03EF" w:rsidRPr="00FD79A1">
        <w:rPr>
          <w:rFonts w:cstheme="minorHAnsi"/>
        </w:rPr>
        <w:t xml:space="preserve"> been implemented by </w:t>
      </w:r>
      <w:r w:rsidR="008A03EF">
        <w:rPr>
          <w:rFonts w:cstheme="minorHAnsi"/>
        </w:rPr>
        <w:t xml:space="preserve">the </w:t>
      </w:r>
      <w:r w:rsidR="008A03EF" w:rsidRPr="00FD79A1">
        <w:rPr>
          <w:rFonts w:cstheme="minorHAnsi"/>
        </w:rPr>
        <w:t xml:space="preserve">federal </w:t>
      </w:r>
      <w:r w:rsidR="008A03EF">
        <w:rPr>
          <w:rFonts w:cstheme="minorHAnsi"/>
        </w:rPr>
        <w:t xml:space="preserve">Government </w:t>
      </w:r>
      <w:r w:rsidR="008A03EF" w:rsidRPr="00FD79A1">
        <w:rPr>
          <w:rFonts w:cstheme="minorHAnsi"/>
        </w:rPr>
        <w:t xml:space="preserve">and </w:t>
      </w:r>
      <w:r w:rsidR="008A03EF">
        <w:rPr>
          <w:rFonts w:cstheme="minorHAnsi"/>
        </w:rPr>
        <w:t xml:space="preserve">the </w:t>
      </w:r>
      <w:r w:rsidR="008A03EF" w:rsidRPr="00FD79A1">
        <w:rPr>
          <w:rFonts w:cstheme="minorHAnsi"/>
        </w:rPr>
        <w:t>provincial governments</w:t>
      </w:r>
      <w:r w:rsidR="008A03EF">
        <w:rPr>
          <w:rFonts w:cstheme="minorHAnsi"/>
        </w:rPr>
        <w:t>, namely the</w:t>
      </w:r>
      <w:r w:rsidR="008A03EF" w:rsidRPr="00FD79A1">
        <w:rPr>
          <w:rFonts w:cstheme="minorHAnsi"/>
        </w:rPr>
        <w:t xml:space="preserve"> </w:t>
      </w:r>
      <w:r w:rsidR="008A03EF">
        <w:rPr>
          <w:rFonts w:cstheme="minorHAnsi"/>
        </w:rPr>
        <w:t>establishment</w:t>
      </w:r>
      <w:r w:rsidR="008A03EF" w:rsidRPr="00FD79A1">
        <w:rPr>
          <w:rFonts w:cstheme="minorHAnsi"/>
        </w:rPr>
        <w:t xml:space="preserve"> of </w:t>
      </w:r>
      <w:r w:rsidR="008A03EF">
        <w:rPr>
          <w:rFonts w:cstheme="minorHAnsi"/>
        </w:rPr>
        <w:t xml:space="preserve">a </w:t>
      </w:r>
      <w:r w:rsidR="008A03EF" w:rsidRPr="00FD79A1">
        <w:rPr>
          <w:rFonts w:cstheme="minorHAnsi"/>
        </w:rPr>
        <w:t xml:space="preserve">national </w:t>
      </w:r>
      <w:r w:rsidR="008A03EF">
        <w:rPr>
          <w:rFonts w:cstheme="minorHAnsi"/>
        </w:rPr>
        <w:t>council</w:t>
      </w:r>
      <w:r w:rsidR="008A03EF" w:rsidRPr="00FD79A1">
        <w:rPr>
          <w:rFonts w:cstheme="minorHAnsi"/>
        </w:rPr>
        <w:t xml:space="preserve"> for minorities</w:t>
      </w:r>
      <w:r w:rsidR="008A03EF">
        <w:rPr>
          <w:rFonts w:cstheme="minorHAnsi"/>
        </w:rPr>
        <w:t>.</w:t>
      </w:r>
      <w:r w:rsidR="008A03EF" w:rsidRPr="00FD79A1">
        <w:rPr>
          <w:rFonts w:cstheme="minorHAnsi"/>
        </w:rPr>
        <w:t xml:space="preserve"> </w:t>
      </w:r>
    </w:p>
    <w:p w:rsidR="008A03EF" w:rsidRPr="00225EC9" w:rsidRDefault="008A03EF" w:rsidP="003B2714">
      <w:pPr>
        <w:pStyle w:val="H23G"/>
        <w:rPr>
          <w:rFonts w:eastAsia="SimSun"/>
          <w:lang w:eastAsia="zh-CN"/>
        </w:rPr>
      </w:pPr>
      <w:r w:rsidRPr="00225EC9">
        <w:rPr>
          <w:rFonts w:eastAsia="SimSun"/>
          <w:lang w:eastAsia="zh-CN"/>
        </w:rPr>
        <w:tab/>
      </w:r>
      <w:r w:rsidRPr="00225EC9">
        <w:rPr>
          <w:rFonts w:eastAsia="SimSun"/>
          <w:lang w:eastAsia="zh-CN"/>
        </w:rPr>
        <w:tab/>
        <w:t>Committee’s evaluation</w:t>
      </w:r>
    </w:p>
    <w:p w:rsidR="008A03EF" w:rsidRDefault="008A03EF" w:rsidP="008A03EF">
      <w:pPr>
        <w:pStyle w:val="SingleTxtG"/>
      </w:pPr>
      <w:r w:rsidRPr="00225EC9">
        <w:rPr>
          <w:b/>
        </w:rPr>
        <w:t>[C]</w:t>
      </w:r>
      <w:r>
        <w:rPr>
          <w:b/>
        </w:rPr>
        <w:t xml:space="preserve"> </w:t>
      </w:r>
      <w:r w:rsidRPr="00225EC9">
        <w:t>(a)</w:t>
      </w:r>
      <w:r>
        <w:t>, (b), (c), (d) and (f)</w:t>
      </w:r>
      <w:r w:rsidRPr="00225EC9">
        <w:t xml:space="preserve">: The Committee notes the </w:t>
      </w:r>
      <w:r>
        <w:t>measures taken</w:t>
      </w:r>
      <w:r w:rsidRPr="00225EC9">
        <w:t xml:space="preserve"> </w:t>
      </w:r>
      <w:r>
        <w:t xml:space="preserve">to identify the flaws and misuse of the blasphemy laws, but requires </w:t>
      </w:r>
      <w:r w:rsidRPr="00324CCE">
        <w:t>information</w:t>
      </w:r>
      <w:r>
        <w:t xml:space="preserve"> on when and to what degree stakeholders were consulted, and on the conclusions reached through the consultation process. The Committee also requires information on concrete measures taken to repeal all blasphemy laws or to amend them in compliance with the strict requirements of the Covenant since the adoption of the Committee’s concluding observations. </w:t>
      </w:r>
    </w:p>
    <w:p w:rsidR="008A03EF" w:rsidRDefault="00062CBE" w:rsidP="00062CBE">
      <w:pPr>
        <w:pStyle w:val="SingleTxtG"/>
      </w:pPr>
      <w:r>
        <w:rPr>
          <w:bCs/>
        </w:rPr>
        <w:tab/>
      </w:r>
      <w:r w:rsidR="008A03EF">
        <w:rPr>
          <w:bCs/>
        </w:rPr>
        <w:t xml:space="preserve">The Committee notes the information provided by the State party, but regrets the lack of information on measures taken since the adoption of the Committee’s concluding observations. In this respect, the Committee requires information on the implementation of the </w:t>
      </w:r>
      <w:r w:rsidR="008A03EF" w:rsidRPr="00136ECA">
        <w:rPr>
          <w:bCs/>
        </w:rPr>
        <w:t xml:space="preserve">legislative </w:t>
      </w:r>
      <w:r w:rsidR="008A03EF" w:rsidRPr="00136ECA">
        <w:t xml:space="preserve">amendment of 2017 that increased </w:t>
      </w:r>
      <w:r w:rsidR="008A03EF">
        <w:t xml:space="preserve">the </w:t>
      </w:r>
      <w:r w:rsidR="008A03EF" w:rsidRPr="00136ECA">
        <w:t xml:space="preserve">punishment from six months to </w:t>
      </w:r>
      <w:r w:rsidR="008A03EF">
        <w:t>five to seven</w:t>
      </w:r>
      <w:r w:rsidR="008A03EF" w:rsidRPr="00136ECA">
        <w:t xml:space="preserve"> years for levelling false charges. It also requires information on measures taken to ensure that all those who incite or engage in violence against others </w:t>
      </w:r>
      <w:r w:rsidR="008A03EF">
        <w:t>on the basis of</w:t>
      </w:r>
      <w:r w:rsidR="008A03EF" w:rsidRPr="00136ECA">
        <w:t xml:space="preserve"> allegations of blasphemy, as well as those who falsely accuse others of blasphemy, are brought to justice and duly punished. </w:t>
      </w:r>
    </w:p>
    <w:p w:rsidR="008A03EF" w:rsidRDefault="00062CBE" w:rsidP="00062CBE">
      <w:pPr>
        <w:pStyle w:val="SingleTxtG"/>
      </w:pPr>
      <w:r>
        <w:tab/>
      </w:r>
      <w:r w:rsidR="008A03EF" w:rsidRPr="00136ECA">
        <w:t xml:space="preserve">The Committee notes with concern that 75 persons have </w:t>
      </w:r>
      <w:r w:rsidR="008A03EF">
        <w:t xml:space="preserve">reportedly </w:t>
      </w:r>
      <w:r w:rsidR="008A03EF" w:rsidRPr="00136ECA">
        <w:t xml:space="preserve">been killed with impunity </w:t>
      </w:r>
      <w:r w:rsidR="008A03EF">
        <w:t>following allegations of blasphemy,</w:t>
      </w:r>
      <w:r w:rsidR="008A03EF" w:rsidRPr="00136ECA">
        <w:t xml:space="preserve"> and requires information in this respect.</w:t>
      </w:r>
      <w:r w:rsidR="008A03EF">
        <w:t xml:space="preserve"> The Committee regrets that no information was provided on measures taken to ensure adequate protection of judges, prosecutors, lawyers and witnesses involved in blasphemy ca</w:t>
      </w:r>
      <w:r w:rsidR="008A03EF" w:rsidRPr="002C6BE8">
        <w:t xml:space="preserve">ses. The Committee reiterates its requests for information and </w:t>
      </w:r>
      <w:r w:rsidR="008A03EF">
        <w:t xml:space="preserve">reiterates its recommendation. </w:t>
      </w:r>
    </w:p>
    <w:p w:rsidR="008A03EF" w:rsidRDefault="00062CBE" w:rsidP="00062CBE">
      <w:pPr>
        <w:pStyle w:val="SingleTxtG"/>
        <w:rPr>
          <w:b/>
        </w:rPr>
      </w:pPr>
      <w:r>
        <w:tab/>
      </w:r>
      <w:r w:rsidR="008A03EF">
        <w:t xml:space="preserve">The Committee notes the information provided by the State party, but regrets the lack of information on measures taken since the adoption of the concluding observations. The Committee requires information on measures taken to ensure </w:t>
      </w:r>
      <w:r w:rsidR="008A03EF" w:rsidRPr="007C10CD">
        <w:t xml:space="preserve">that cases of hate speech and hate crimes are thoroughly and promptly investigated and that perpetrators are prosecuted and, if convicted, punished. </w:t>
      </w:r>
      <w:r w:rsidR="008A03EF">
        <w:t>T</w:t>
      </w:r>
      <w:r w:rsidR="008A03EF" w:rsidRPr="007C10CD">
        <w:t xml:space="preserve">he Committee requires </w:t>
      </w:r>
      <w:r w:rsidR="008A03EF">
        <w:t>information</w:t>
      </w:r>
      <w:r w:rsidR="008A03EF" w:rsidRPr="007C10CD">
        <w:t xml:space="preserve"> on the number of investigations</w:t>
      </w:r>
      <w:r w:rsidR="008A03EF">
        <w:t xml:space="preserve">, prosecutions and </w:t>
      </w:r>
      <w:r w:rsidR="008A03EF" w:rsidRPr="007C10CD">
        <w:t>convictions</w:t>
      </w:r>
      <w:r w:rsidR="008A03EF">
        <w:t xml:space="preserve"> and on the sentences imposed on perpetrators, over the last three years</w:t>
      </w:r>
      <w:r w:rsidR="008A03EF" w:rsidRPr="007C10CD">
        <w:t>.</w:t>
      </w:r>
      <w:r w:rsidR="008A03EF">
        <w:rPr>
          <w:b/>
        </w:rPr>
        <w:t xml:space="preserve"> </w:t>
      </w:r>
    </w:p>
    <w:p w:rsidR="008A03EF" w:rsidRPr="0049494A" w:rsidRDefault="00062CBE" w:rsidP="00062CBE">
      <w:pPr>
        <w:pStyle w:val="SingleTxtG"/>
        <w:rPr>
          <w:b/>
        </w:rPr>
      </w:pPr>
      <w:r>
        <w:tab/>
      </w:r>
      <w:r w:rsidR="008A03EF" w:rsidRPr="00D17E55">
        <w:t>The Committee regrets th</w:t>
      </w:r>
      <w:r w:rsidR="008A03EF">
        <w:t>e</w:t>
      </w:r>
      <w:r w:rsidR="008A03EF" w:rsidRPr="00D17E55">
        <w:t xml:space="preserve"> lack of specific information on the implementation of the Supreme Court </w:t>
      </w:r>
      <w:r w:rsidR="008A03EF">
        <w:t xml:space="preserve">judgment </w:t>
      </w:r>
      <w:r w:rsidR="008A03EF" w:rsidRPr="00D17E55">
        <w:t>of 19 June 2014.</w:t>
      </w:r>
      <w:r w:rsidR="008A03EF" w:rsidRPr="00D17E55">
        <w:rPr>
          <w:rStyle w:val="FootnoteReference"/>
          <w:rFonts w:cstheme="minorHAnsi"/>
        </w:rPr>
        <w:t xml:space="preserve"> </w:t>
      </w:r>
      <w:r w:rsidR="008A03EF" w:rsidRPr="002C6BE8">
        <w:t>The Committee reiterates its request for information and reiterates its recommendation.</w:t>
      </w:r>
    </w:p>
    <w:p w:rsidR="008A03EF" w:rsidRDefault="008A03EF" w:rsidP="008A03EF">
      <w:pPr>
        <w:pStyle w:val="SingleTxtG"/>
      </w:pPr>
      <w:r w:rsidRPr="00C900A2">
        <w:rPr>
          <w:b/>
        </w:rPr>
        <w:t>[B]</w:t>
      </w:r>
      <w:r>
        <w:rPr>
          <w:b/>
        </w:rPr>
        <w:t xml:space="preserve"> </w:t>
      </w:r>
      <w:r w:rsidRPr="00C900A2">
        <w:t>(</w:t>
      </w:r>
      <w:proofErr w:type="gramStart"/>
      <w:r w:rsidRPr="00C900A2">
        <w:t>e</w:t>
      </w:r>
      <w:proofErr w:type="gramEnd"/>
      <w:r w:rsidRPr="00C900A2">
        <w:t>)</w:t>
      </w:r>
      <w:r w:rsidRPr="00D33A5B">
        <w:rPr>
          <w:bCs/>
        </w:rPr>
        <w:t>:</w:t>
      </w:r>
      <w:r w:rsidRPr="00C900A2">
        <w:rPr>
          <w:b/>
        </w:rPr>
        <w:t xml:space="preserve"> </w:t>
      </w:r>
      <w:r w:rsidRPr="00C900A2">
        <w:t>The Committee welcomes the adoption of a uniform curriculum for all educational institutions, including 30,000 madrasas, and the inclusion of human rights and tolerance as a separate subject in the compulsory course o</w:t>
      </w:r>
      <w:r>
        <w:t>n</w:t>
      </w:r>
      <w:r w:rsidRPr="00C900A2">
        <w:t xml:space="preserve"> Pakistan Studies/Islami</w:t>
      </w:r>
      <w:r>
        <w:t>c Studies</w:t>
      </w:r>
      <w:r w:rsidRPr="00C900A2">
        <w:t xml:space="preserve"> with effect from the academic year beginning in 2018. The Committee requires information on measures taken to review school textbooks with a view to removing all religiously</w:t>
      </w:r>
      <w:r>
        <w:t xml:space="preserve"> biased content, and on whether the current uniform curriculum is applied in all madrasas. </w:t>
      </w:r>
    </w:p>
    <w:p w:rsidR="008A03EF" w:rsidRPr="009E08E7" w:rsidRDefault="008A03EF" w:rsidP="000B72FD">
      <w:pPr>
        <w:pStyle w:val="SingleTxtG"/>
        <w:spacing w:after="0"/>
      </w:pPr>
      <w:r w:rsidRPr="009E08E7">
        <w:rPr>
          <w:b/>
          <w:bCs/>
        </w:rPr>
        <w:t>Recommended action:</w:t>
      </w:r>
      <w:r w:rsidRPr="009E08E7">
        <w:t xml:space="preserve"> A letter should be sent informing the State party of the discontinuation of the follow-up procedure. The information requested should be </w:t>
      </w:r>
      <w:r>
        <w:t>included</w:t>
      </w:r>
      <w:r w:rsidRPr="009E08E7">
        <w:t xml:space="preserve"> in the State party’s next periodic report.</w:t>
      </w:r>
      <w:bookmarkStart w:id="2" w:name="_Toc506807563"/>
      <w:bookmarkStart w:id="3" w:name="_GoBack"/>
      <w:bookmarkEnd w:id="3"/>
    </w:p>
    <w:bookmarkEnd w:id="2"/>
    <w:p w:rsidR="008A03EF" w:rsidRDefault="009A13BD" w:rsidP="009A13BD">
      <w:pPr>
        <w:pStyle w:val="SingleTxtG"/>
        <w:jc w:val="center"/>
        <w:rPr>
          <w:rFonts w:eastAsiaTheme="minorEastAsia"/>
        </w:rPr>
      </w:pPr>
      <w:r w:rsidRPr="009A13BD">
        <w:rPr>
          <w:u w:val="single"/>
        </w:rPr>
        <w:tab/>
      </w:r>
      <w:r w:rsidRPr="009A13BD">
        <w:rPr>
          <w:u w:val="single"/>
        </w:rPr>
        <w:tab/>
      </w:r>
      <w:r w:rsidRPr="009A13BD">
        <w:rPr>
          <w:u w:val="single"/>
        </w:rPr>
        <w:tab/>
      </w:r>
    </w:p>
    <w:sectPr w:rsidR="008A03EF"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65" w:rsidRPr="00B903E5" w:rsidRDefault="00480565" w:rsidP="00B903E5">
      <w:pPr>
        <w:pStyle w:val="Footer"/>
      </w:pPr>
    </w:p>
  </w:endnote>
  <w:endnote w:type="continuationSeparator" w:id="0">
    <w:p w:rsidR="00480565" w:rsidRPr="00B903E5" w:rsidRDefault="0048056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EF" w:rsidRDefault="008A03EF" w:rsidP="008A03EF">
    <w:pPr>
      <w:pStyle w:val="Footer"/>
      <w:tabs>
        <w:tab w:val="right" w:pos="9638"/>
      </w:tabs>
    </w:pPr>
    <w:r w:rsidRPr="008A03EF">
      <w:rPr>
        <w:b/>
        <w:bCs/>
        <w:sz w:val="18"/>
      </w:rPr>
      <w:fldChar w:fldCharType="begin"/>
    </w:r>
    <w:r w:rsidRPr="008A03EF">
      <w:rPr>
        <w:b/>
        <w:bCs/>
        <w:sz w:val="18"/>
      </w:rPr>
      <w:instrText xml:space="preserve"> PAGE  \* MERGEFORMAT </w:instrText>
    </w:r>
    <w:r w:rsidRPr="008A03EF">
      <w:rPr>
        <w:b/>
        <w:bCs/>
        <w:sz w:val="18"/>
      </w:rPr>
      <w:fldChar w:fldCharType="separate"/>
    </w:r>
    <w:r w:rsidR="000B72FD">
      <w:rPr>
        <w:b/>
        <w:bCs/>
        <w:noProof/>
        <w:sz w:val="18"/>
      </w:rPr>
      <w:t>6</w:t>
    </w:r>
    <w:r w:rsidRPr="008A03E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EF" w:rsidRDefault="008A03EF" w:rsidP="008A03EF">
    <w:pPr>
      <w:pStyle w:val="Footer"/>
      <w:tabs>
        <w:tab w:val="right" w:pos="9638"/>
      </w:tabs>
    </w:pPr>
    <w:r>
      <w:tab/>
    </w:r>
    <w:r w:rsidRPr="008A03EF">
      <w:rPr>
        <w:b/>
        <w:bCs/>
        <w:sz w:val="18"/>
      </w:rPr>
      <w:fldChar w:fldCharType="begin"/>
    </w:r>
    <w:r w:rsidRPr="008A03EF">
      <w:rPr>
        <w:b/>
        <w:bCs/>
        <w:sz w:val="18"/>
      </w:rPr>
      <w:instrText xml:space="preserve"> PAGE  \* MERGEFORMAT </w:instrText>
    </w:r>
    <w:r w:rsidRPr="008A03EF">
      <w:rPr>
        <w:b/>
        <w:bCs/>
        <w:sz w:val="18"/>
      </w:rPr>
      <w:fldChar w:fldCharType="separate"/>
    </w:r>
    <w:r w:rsidR="000B72FD">
      <w:rPr>
        <w:b/>
        <w:bCs/>
        <w:noProof/>
        <w:sz w:val="18"/>
      </w:rPr>
      <w:t>5</w:t>
    </w:r>
    <w:r w:rsidRPr="008A03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FD" w:rsidRDefault="000B72FD" w:rsidP="000B72F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72FD" w:rsidRDefault="000B72FD" w:rsidP="000B72FD">
    <w:pPr>
      <w:pStyle w:val="Footer"/>
      <w:ind w:right="1134"/>
      <w:rPr>
        <w:sz w:val="20"/>
      </w:rPr>
    </w:pPr>
    <w:r>
      <w:rPr>
        <w:sz w:val="20"/>
      </w:rPr>
      <w:t>GE.20-01301(E)</w:t>
    </w:r>
  </w:p>
  <w:p w:rsidR="000B72FD" w:rsidRPr="000B72FD" w:rsidRDefault="000B72FD" w:rsidP="000B72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2/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65" w:rsidRPr="00B903E5" w:rsidRDefault="00480565" w:rsidP="00B903E5">
      <w:pPr>
        <w:tabs>
          <w:tab w:val="right" w:pos="2155"/>
        </w:tabs>
        <w:spacing w:after="80" w:line="240" w:lineRule="auto"/>
        <w:ind w:left="680"/>
      </w:pPr>
      <w:r>
        <w:rPr>
          <w:u w:val="single"/>
        </w:rPr>
        <w:tab/>
      </w:r>
    </w:p>
  </w:footnote>
  <w:footnote w:type="continuationSeparator" w:id="0">
    <w:p w:rsidR="00480565" w:rsidRPr="00B903E5" w:rsidRDefault="00480565" w:rsidP="00B903E5">
      <w:pPr>
        <w:tabs>
          <w:tab w:val="right" w:pos="2155"/>
        </w:tabs>
        <w:spacing w:after="80" w:line="240" w:lineRule="auto"/>
        <w:ind w:left="680"/>
      </w:pPr>
      <w:r>
        <w:rPr>
          <w:u w:val="single"/>
        </w:rPr>
        <w:tab/>
      </w:r>
    </w:p>
  </w:footnote>
  <w:footnote w:id="1">
    <w:p w:rsidR="008A03EF" w:rsidRDefault="008A03EF" w:rsidP="008A03EF">
      <w:pPr>
        <w:pStyle w:val="FootnoteText"/>
      </w:pPr>
      <w:r>
        <w:tab/>
      </w:r>
      <w:r w:rsidRPr="00D207AE">
        <w:rPr>
          <w:rStyle w:val="FootnoteReference"/>
          <w:sz w:val="20"/>
          <w:vertAlign w:val="baseline"/>
        </w:rPr>
        <w:t>*</w:t>
      </w:r>
      <w:r>
        <w:tab/>
        <w:t>Adopted by the Committee at its 127</w:t>
      </w:r>
      <w:r w:rsidRPr="00D207AE">
        <w:t>th</w:t>
      </w:r>
      <w:r>
        <w:t xml:space="preserve"> session (14 October–8 November 2019).</w:t>
      </w:r>
    </w:p>
  </w:footnote>
  <w:footnote w:id="2">
    <w:p w:rsidR="00646988" w:rsidRDefault="00646988" w:rsidP="008A03EF">
      <w:pPr>
        <w:pStyle w:val="FootnoteText"/>
      </w:pPr>
      <w:r>
        <w:tab/>
      </w:r>
      <w:r>
        <w:rPr>
          <w:rStyle w:val="FootnoteReference"/>
        </w:rPr>
        <w:footnoteRef/>
      </w:r>
      <w:r>
        <w:tab/>
      </w:r>
      <w:r w:rsidRPr="00CB18D2">
        <w:t>See https://tbinternet.ohchr.org</w:t>
      </w:r>
      <w:r w:rsidRPr="009A4618">
        <w:t>/_layouts/15/treatybodyexternal/Download.aspx?symbolno=</w:t>
      </w:r>
      <w:r>
        <w:br/>
      </w:r>
      <w:r w:rsidRPr="009A4618">
        <w:t>INT%2fCCPR%2fNGS%2fPAK%2f35871&amp;Lang=</w:t>
      </w:r>
      <w:proofErr w:type="spellStart"/>
      <w:r w:rsidRPr="009A4618">
        <w:t>en</w:t>
      </w:r>
      <w:proofErr w:type="spellEnd"/>
      <w:r>
        <w:t>.</w:t>
      </w:r>
    </w:p>
  </w:footnote>
  <w:footnote w:id="3">
    <w:p w:rsidR="00646988" w:rsidRPr="00AC1200" w:rsidRDefault="00646988" w:rsidP="008A03EF">
      <w:pPr>
        <w:pStyle w:val="FootnoteText"/>
      </w:pPr>
      <w:r>
        <w:tab/>
      </w:r>
      <w:r>
        <w:rPr>
          <w:rStyle w:val="FootnoteReference"/>
        </w:rPr>
        <w:footnoteRef/>
      </w:r>
      <w:r>
        <w:tab/>
      </w:r>
      <w:r w:rsidRPr="00AC1200">
        <w:t>See</w:t>
      </w:r>
      <w:r>
        <w:t xml:space="preserve"> </w:t>
      </w:r>
      <w:r w:rsidRPr="00AC1200">
        <w:t>https://tbinternet.ohchr.org/_layouts/15/treatybodyexternal/Download.aspx?</w:t>
      </w:r>
      <w:r>
        <w:br/>
      </w:r>
      <w:proofErr w:type="spellStart"/>
      <w:proofErr w:type="gramStart"/>
      <w:r w:rsidRPr="00AC1200">
        <w:t>symbolno</w:t>
      </w:r>
      <w:proofErr w:type="spellEnd"/>
      <w:r w:rsidRPr="00AC1200">
        <w:t>=</w:t>
      </w:r>
      <w:proofErr w:type="gramEnd"/>
      <w:r w:rsidRPr="00AC1200">
        <w:t>INT%2fCCPR%2fNGS%2fPAK%2f37168&amp;Lang=</w:t>
      </w:r>
      <w:proofErr w:type="spellStart"/>
      <w:r w:rsidRPr="00AC1200">
        <w:t>en</w:t>
      </w:r>
      <w:proofErr w:type="spellEnd"/>
      <w:r>
        <w:t>.</w:t>
      </w:r>
    </w:p>
  </w:footnote>
  <w:footnote w:id="4">
    <w:p w:rsidR="00646988" w:rsidRPr="00D207AE" w:rsidRDefault="00646988" w:rsidP="008A03EF">
      <w:pPr>
        <w:pStyle w:val="FootnoteText"/>
      </w:pPr>
      <w:r>
        <w:tab/>
      </w:r>
      <w:r>
        <w:rPr>
          <w:rStyle w:val="FootnoteReference"/>
        </w:rPr>
        <w:footnoteRef/>
      </w:r>
      <w:r>
        <w:tab/>
      </w:r>
      <w:hyperlink r:id="rId1" w:history="1">
        <w:r w:rsidR="00A41736" w:rsidRPr="00051C57">
          <w:rPr>
            <w:rStyle w:val="Hyperlink"/>
            <w:lang w:eastAsia="en-US"/>
          </w:rPr>
          <w:t>https://tbinternet.ohchr.org/_layouts/15/treatybodyexternal/Download.aspx?symbolno= INT%2fCCPR%2fNGS%2fPAK%2f37401&amp;Lang=</w:t>
        </w:r>
        <w:proofErr w:type="spellStart"/>
        <w:r w:rsidR="00A41736" w:rsidRPr="00051C57">
          <w:rPr>
            <w:rStyle w:val="Hyperlink"/>
            <w:lang w:eastAsia="en-US"/>
          </w:rPr>
          <w:t>en</w:t>
        </w:r>
        <w:proofErr w:type="spellEnd"/>
      </w:hyperlink>
      <w:r w:rsidRPr="00D207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EF" w:rsidRDefault="008A03EF" w:rsidP="008A03EF">
    <w:pPr>
      <w:pStyle w:val="Header"/>
    </w:pPr>
    <w:r>
      <w:t>CCPR/C/127/2/Add.2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EF" w:rsidRDefault="008A03EF" w:rsidP="008A03EF">
    <w:pPr>
      <w:pStyle w:val="Header"/>
      <w:jc w:val="right"/>
    </w:pPr>
    <w:r>
      <w:t>CCPR/C/127/2/Add.2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14222"/>
    <w:multiLevelType w:val="hybridMultilevel"/>
    <w:tmpl w:val="B9D469F4"/>
    <w:lvl w:ilvl="0" w:tplc="53AC4C8C">
      <w:start w:val="1"/>
      <w:numFmt w:val="lowerLetter"/>
      <w:lvlText w:val="(%1)"/>
      <w:lvlJc w:val="left"/>
      <w:pPr>
        <w:ind w:left="1854" w:hanging="360"/>
      </w:pPr>
      <w:rPr>
        <w:rFonts w:eastAsia="SimSun"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65"/>
    <w:rsid w:val="0001739F"/>
    <w:rsid w:val="00046E92"/>
    <w:rsid w:val="00062CBE"/>
    <w:rsid w:val="0006523D"/>
    <w:rsid w:val="000B72FD"/>
    <w:rsid w:val="000C6A6F"/>
    <w:rsid w:val="00131D7A"/>
    <w:rsid w:val="00165C15"/>
    <w:rsid w:val="0022734C"/>
    <w:rsid w:val="00247E2C"/>
    <w:rsid w:val="00271C06"/>
    <w:rsid w:val="002D6C53"/>
    <w:rsid w:val="002F5595"/>
    <w:rsid w:val="00334F6A"/>
    <w:rsid w:val="00342AC8"/>
    <w:rsid w:val="003B2714"/>
    <w:rsid w:val="003B4550"/>
    <w:rsid w:val="00461253"/>
    <w:rsid w:val="00472FED"/>
    <w:rsid w:val="00473877"/>
    <w:rsid w:val="00480565"/>
    <w:rsid w:val="005042C2"/>
    <w:rsid w:val="005D65FD"/>
    <w:rsid w:val="00612093"/>
    <w:rsid w:val="00646988"/>
    <w:rsid w:val="00671529"/>
    <w:rsid w:val="007268F9"/>
    <w:rsid w:val="007327A0"/>
    <w:rsid w:val="0073474E"/>
    <w:rsid w:val="007430A2"/>
    <w:rsid w:val="007C52B0"/>
    <w:rsid w:val="00817E57"/>
    <w:rsid w:val="00840556"/>
    <w:rsid w:val="008A03EF"/>
    <w:rsid w:val="008D3450"/>
    <w:rsid w:val="009411B4"/>
    <w:rsid w:val="009A13BD"/>
    <w:rsid w:val="009D0139"/>
    <w:rsid w:val="009F5CDC"/>
    <w:rsid w:val="00A04CD1"/>
    <w:rsid w:val="00A23459"/>
    <w:rsid w:val="00A41736"/>
    <w:rsid w:val="00A775CF"/>
    <w:rsid w:val="00AF4C15"/>
    <w:rsid w:val="00B06045"/>
    <w:rsid w:val="00B53AA5"/>
    <w:rsid w:val="00B903E5"/>
    <w:rsid w:val="00BB2CC3"/>
    <w:rsid w:val="00C35A27"/>
    <w:rsid w:val="00C741F8"/>
    <w:rsid w:val="00CA1AEA"/>
    <w:rsid w:val="00D11269"/>
    <w:rsid w:val="00E02C2B"/>
    <w:rsid w:val="00ED6C48"/>
    <w:rsid w:val="00F36ADD"/>
    <w:rsid w:val="00F41F0F"/>
    <w:rsid w:val="00F51129"/>
    <w:rsid w:val="00F65F5D"/>
    <w:rsid w:val="00F86A3A"/>
    <w:rsid w:val="00FF6E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22700D8-2A7C-4EE9-92A7-12CBA458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C741F8"/>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C741F8"/>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B27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27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8A03EF"/>
    <w:rPr>
      <w:color w:val="0000FF" w:themeColor="hyperlink"/>
      <w:u w:val="none"/>
    </w:rPr>
  </w:style>
  <w:style w:type="character" w:customStyle="1" w:styleId="SingleTxtGChar">
    <w:name w:val="_ Single Txt_G Char"/>
    <w:link w:val="SingleTxtG"/>
    <w:rsid w:val="008A03EF"/>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A4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binternet.ohchr.org/_layouts/15/treatybodyexternal/Download.aspx?symbolno=INT%2fCCPR%2fCOF%2fPAK%2f34957&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PAK%2fCO%2f1&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20INT%2fCCPR%2fNGS%2fPAK%2f3740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AC42-F6F2-4B53-B736-4A2A6F8C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3341</Words>
  <Characters>18362</Characters>
  <Application>Microsoft Office Word</Application>
  <DocSecurity>0</DocSecurity>
  <Lines>298</Lines>
  <Paragraphs>79</Paragraphs>
  <ScaleCrop>false</ScaleCrop>
  <HeadingPairs>
    <vt:vector size="2" baseType="variant">
      <vt:variant>
        <vt:lpstr>Title</vt:lpstr>
      </vt:variant>
      <vt:variant>
        <vt:i4>1</vt:i4>
      </vt:variant>
    </vt:vector>
  </HeadingPairs>
  <TitlesOfParts>
    <vt:vector size="1" baseType="lpstr">
      <vt:lpstr>CCPR/C/127/2/Add.2</vt:lpstr>
    </vt:vector>
  </TitlesOfParts>
  <Company>DCM</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CCPR/C/127/2/Add.2</dc:title>
  <dc:subject>2001301</dc:subject>
  <dc:creator>cg</dc:creator>
  <cp:keywords/>
  <dc:description/>
  <cp:lastModifiedBy>Generic Desk Anglais</cp:lastModifiedBy>
  <cp:revision>2</cp:revision>
  <cp:lastPrinted>2020-01-29T07:37:00Z</cp:lastPrinted>
  <dcterms:created xsi:type="dcterms:W3CDTF">2020-01-29T14:02:00Z</dcterms:created>
  <dcterms:modified xsi:type="dcterms:W3CDTF">2020-01-29T14:02:00Z</dcterms:modified>
</cp:coreProperties>
</file>