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281242">
        <w:trPr>
          <w:trHeight w:hRule="exact" w:val="851"/>
        </w:trPr>
        <w:tc>
          <w:tcPr>
            <w:tcW w:w="1274" w:type="dxa"/>
            <w:tcBorders>
              <w:bottom w:val="single" w:sz="4" w:space="0" w:color="auto"/>
            </w:tcBorders>
            <w:shd w:val="clear" w:color="auto" w:fill="auto"/>
          </w:tcPr>
          <w:p w:rsidR="006B3E27" w:rsidRPr="003E159A" w:rsidRDefault="006B3E27" w:rsidP="00281242">
            <w:pPr>
              <w:pStyle w:val="Roman1GA"/>
            </w:pPr>
          </w:p>
        </w:tc>
        <w:tc>
          <w:tcPr>
            <w:tcW w:w="4963" w:type="dxa"/>
            <w:tcBorders>
              <w:bottom w:val="single" w:sz="4" w:space="0" w:color="auto"/>
            </w:tcBorders>
            <w:shd w:val="clear" w:color="auto" w:fill="auto"/>
            <w:vAlign w:val="bottom"/>
          </w:tcPr>
          <w:p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rsidR="006B3E27" w:rsidRPr="00281242" w:rsidRDefault="00A55708" w:rsidP="009E4BE6">
            <w:pPr>
              <w:bidi w:val="0"/>
              <w:spacing w:after="20"/>
              <w:jc w:val="left"/>
              <w:rPr>
                <w:szCs w:val="20"/>
              </w:rPr>
            </w:pPr>
            <w:r w:rsidRPr="00A55708">
              <w:rPr>
                <w:sz w:val="40"/>
                <w:szCs w:val="20"/>
              </w:rPr>
              <w:t>C</w:t>
            </w:r>
            <w:r w:rsidRPr="009E4BE6">
              <w:rPr>
                <w:sz w:val="40"/>
                <w:szCs w:val="20"/>
              </w:rPr>
              <w:t>CPR</w:t>
            </w:r>
            <w:r>
              <w:rPr>
                <w:szCs w:val="20"/>
              </w:rPr>
              <w:t>/C/</w:t>
            </w:r>
            <w:r w:rsidRPr="00664D7F">
              <w:rPr>
                <w:szCs w:val="20"/>
              </w:rPr>
              <w:t>127</w:t>
            </w:r>
            <w:r>
              <w:rPr>
                <w:szCs w:val="20"/>
              </w:rPr>
              <w:t>/</w:t>
            </w:r>
            <w:r w:rsidRPr="00664D7F">
              <w:rPr>
                <w:szCs w:val="20"/>
              </w:rPr>
              <w:t>2</w:t>
            </w:r>
            <w:r>
              <w:rPr>
                <w:szCs w:val="20"/>
              </w:rPr>
              <w:t>/Add.</w:t>
            </w:r>
            <w:r w:rsidRPr="00664D7F">
              <w:rPr>
                <w:szCs w:val="20"/>
              </w:rPr>
              <w:t>4</w:t>
            </w:r>
          </w:p>
        </w:tc>
      </w:tr>
      <w:tr w:rsidR="006B3E27" w:rsidRPr="00ED7442" w:rsidTr="00281242">
        <w:trPr>
          <w:trHeight w:hRule="exact" w:val="2835"/>
        </w:trPr>
        <w:tc>
          <w:tcPr>
            <w:tcW w:w="1274" w:type="dxa"/>
            <w:tcBorders>
              <w:top w:val="single" w:sz="4" w:space="0" w:color="auto"/>
              <w:bottom w:val="single" w:sz="12" w:space="0" w:color="auto"/>
            </w:tcBorders>
            <w:shd w:val="clear" w:color="auto" w:fill="auto"/>
          </w:tcPr>
          <w:p w:rsidR="006B3E27" w:rsidRPr="00281242" w:rsidRDefault="00AD0AC4" w:rsidP="00281242">
            <w:pPr>
              <w:jc w:val="center"/>
              <w:rPr>
                <w:sz w:val="56"/>
                <w:szCs w:val="56"/>
                <w:rtl/>
              </w:rPr>
            </w:pPr>
            <w:r>
              <w:rPr>
                <w:noProof/>
                <w:sz w:val="56"/>
                <w:szCs w:val="56"/>
              </w:rPr>
              <w:drawing>
                <wp:inline distT="0" distB="0" distL="0" distR="0">
                  <wp:extent cx="628650" cy="6146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650" cy="61468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rsidR="006B3E27" w:rsidRPr="00281242" w:rsidRDefault="00C151D8" w:rsidP="00281242">
            <w:pPr>
              <w:spacing w:before="120" w:after="40" w:line="640" w:lineRule="exact"/>
              <w:jc w:val="left"/>
              <w:rPr>
                <w:b/>
                <w:bCs/>
                <w:sz w:val="56"/>
                <w:szCs w:val="56"/>
              </w:rPr>
            </w:pPr>
            <w:r w:rsidRPr="00C151D8">
              <w:rPr>
                <w:b/>
                <w:bCs/>
                <w:sz w:val="56"/>
                <w:szCs w:val="56"/>
                <w:rtl/>
              </w:rPr>
              <w:t>العهد الدولي الخاص بالحقوق المدنية والسياسية</w:t>
            </w:r>
          </w:p>
        </w:tc>
        <w:tc>
          <w:tcPr>
            <w:tcW w:w="3402" w:type="dxa"/>
            <w:tcBorders>
              <w:top w:val="single" w:sz="4" w:space="0" w:color="auto"/>
              <w:bottom w:val="single" w:sz="12" w:space="0" w:color="auto"/>
            </w:tcBorders>
            <w:shd w:val="clear" w:color="auto" w:fill="auto"/>
          </w:tcPr>
          <w:p w:rsidR="009E4BE6" w:rsidRPr="009E4BE6" w:rsidRDefault="009E4BE6" w:rsidP="009E4BE6">
            <w:pPr>
              <w:bidi w:val="0"/>
              <w:spacing w:before="240"/>
              <w:jc w:val="left"/>
              <w:rPr>
                <w:rFonts w:cs="Times New Roman"/>
                <w:szCs w:val="20"/>
                <w:lang w:val="en-GB"/>
              </w:rPr>
            </w:pPr>
            <w:r w:rsidRPr="009E4BE6">
              <w:rPr>
                <w:rFonts w:cs="Times New Roman"/>
                <w:szCs w:val="20"/>
                <w:lang w:val="en-GB"/>
              </w:rPr>
              <w:t>Distr.: General</w:t>
            </w:r>
          </w:p>
          <w:p w:rsidR="009E4BE6" w:rsidRPr="009E4BE6" w:rsidRDefault="009E4BE6" w:rsidP="009E4BE6">
            <w:pPr>
              <w:bidi w:val="0"/>
              <w:jc w:val="left"/>
              <w:rPr>
                <w:rFonts w:cs="Times New Roman"/>
                <w:szCs w:val="20"/>
                <w:lang w:val="en-GB"/>
              </w:rPr>
            </w:pPr>
            <w:r w:rsidRPr="009E4BE6">
              <w:rPr>
                <w:rFonts w:cs="Times New Roman"/>
                <w:szCs w:val="20"/>
                <w:lang w:val="en-GB"/>
              </w:rPr>
              <w:t>29 January 2020</w:t>
            </w:r>
          </w:p>
          <w:p w:rsidR="009E4BE6" w:rsidRPr="009E4BE6" w:rsidRDefault="009E4BE6" w:rsidP="009E4BE6">
            <w:pPr>
              <w:bidi w:val="0"/>
              <w:jc w:val="left"/>
              <w:rPr>
                <w:rFonts w:cs="Times New Roman"/>
                <w:szCs w:val="20"/>
                <w:lang w:val="en-GB"/>
              </w:rPr>
            </w:pPr>
            <w:r>
              <w:rPr>
                <w:rFonts w:cs="Times New Roman"/>
                <w:szCs w:val="20"/>
                <w:lang w:val="en-GB"/>
              </w:rPr>
              <w:t>Arabic</w:t>
            </w:r>
          </w:p>
          <w:p w:rsidR="009E4BE6" w:rsidRPr="009E4BE6" w:rsidRDefault="009E4BE6" w:rsidP="009E4BE6">
            <w:pPr>
              <w:bidi w:val="0"/>
              <w:jc w:val="left"/>
              <w:rPr>
                <w:szCs w:val="20"/>
                <w:lang w:val="en-GB"/>
              </w:rPr>
            </w:pPr>
            <w:r w:rsidRPr="009E4BE6">
              <w:rPr>
                <w:rFonts w:cs="Times New Roman"/>
                <w:szCs w:val="20"/>
                <w:lang w:val="en-GB"/>
              </w:rPr>
              <w:t>Original: English</w:t>
            </w:r>
          </w:p>
        </w:tc>
      </w:tr>
    </w:tbl>
    <w:p w:rsidR="009E4BE6" w:rsidRPr="009E4BE6" w:rsidRDefault="009E4BE6" w:rsidP="009E4BE6">
      <w:pPr>
        <w:pStyle w:val="SingleTxtGA"/>
        <w:spacing w:before="120"/>
        <w:ind w:left="0"/>
        <w:rPr>
          <w:b/>
          <w:bCs/>
          <w:sz w:val="36"/>
          <w:szCs w:val="36"/>
          <w:rtl/>
        </w:rPr>
      </w:pPr>
      <w:r w:rsidRPr="009E4BE6">
        <w:rPr>
          <w:b/>
          <w:bCs/>
          <w:sz w:val="36"/>
          <w:szCs w:val="36"/>
          <w:rtl/>
        </w:rPr>
        <w:t>اللجنة المعنية بحقوق الإنسان</w:t>
      </w:r>
    </w:p>
    <w:p w:rsidR="009E4BE6" w:rsidRDefault="009E4BE6" w:rsidP="009E4BE6">
      <w:pPr>
        <w:pStyle w:val="HChGA"/>
        <w:rPr>
          <w:rtl/>
        </w:rPr>
      </w:pPr>
      <w:r>
        <w:rPr>
          <w:rtl/>
        </w:rPr>
        <w:tab/>
      </w:r>
      <w:r>
        <w:rPr>
          <w:rtl/>
        </w:rPr>
        <w:tab/>
      </w:r>
      <w:r>
        <w:rPr>
          <w:rtl/>
        </w:rPr>
        <w:t>تقرير متابعة الملاحظات الختامية للجنة المعنية بحقوق الإنسان</w:t>
      </w:r>
      <w:r w:rsidR="00664D7F" w:rsidRPr="00BC6A56">
        <w:rPr>
          <w:rStyle w:val="FootnoteReference"/>
          <w:position w:val="6"/>
          <w:sz w:val="20"/>
          <w:vertAlign w:val="baseline"/>
          <w:rtl/>
        </w:rPr>
        <w:footnoteReference w:customMarkFollows="1" w:id="1"/>
        <w:t>*</w:t>
      </w:r>
    </w:p>
    <w:p w:rsidR="009E4BE6" w:rsidRDefault="009E4BE6" w:rsidP="009E4BE6">
      <w:pPr>
        <w:pStyle w:val="H23GA"/>
        <w:rPr>
          <w:rtl/>
        </w:rPr>
      </w:pPr>
      <w:r>
        <w:rPr>
          <w:rtl/>
        </w:rPr>
        <w:tab/>
      </w:r>
      <w:r>
        <w:rPr>
          <w:rtl/>
        </w:rPr>
        <w:tab/>
      </w:r>
      <w:r>
        <w:rPr>
          <w:rtl/>
        </w:rPr>
        <w:t>إضافة</w:t>
      </w:r>
    </w:p>
    <w:p w:rsidR="009E4BE6" w:rsidRDefault="009E4BE6" w:rsidP="009E4BE6">
      <w:pPr>
        <w:pStyle w:val="HChGA"/>
        <w:rPr>
          <w:rtl/>
        </w:rPr>
      </w:pPr>
      <w:r>
        <w:rPr>
          <w:rtl/>
        </w:rPr>
        <w:tab/>
      </w:r>
      <w:r>
        <w:rPr>
          <w:rtl/>
        </w:rPr>
        <w:tab/>
      </w:r>
      <w:r>
        <w:rPr>
          <w:rtl/>
        </w:rPr>
        <w:t>تقييم المعلومات المتعلقة بمتابعة الملاحظات الختامية بشأن المغرب</w:t>
      </w:r>
    </w:p>
    <w:p w:rsidR="009E4BE6" w:rsidRDefault="009E4BE6" w:rsidP="00E9574F">
      <w:pPr>
        <w:pStyle w:val="SingleTxtGA"/>
        <w:tabs>
          <w:tab w:val="clear" w:pos="2608"/>
          <w:tab w:val="clear" w:pos="3289"/>
          <w:tab w:val="clear" w:pos="3969"/>
          <w:tab w:val="clear" w:pos="4649"/>
          <w:tab w:val="left" w:pos="3983"/>
        </w:tabs>
        <w:jc w:val="left"/>
        <w:rPr>
          <w:rtl/>
        </w:rPr>
      </w:pPr>
      <w:r w:rsidRPr="009E4BE6">
        <w:rPr>
          <w:i/>
          <w:iCs/>
          <w:rtl/>
        </w:rPr>
        <w:t>الملاحظات الختامية</w:t>
      </w:r>
      <w:r>
        <w:rPr>
          <w:rtl/>
        </w:rPr>
        <w:tab/>
      </w:r>
      <w:hyperlink r:id="rId9" w:history="1">
        <w:r>
          <w:rPr>
            <w:rStyle w:val="Hyperlink"/>
            <w:rFonts w:eastAsia="SimSun"/>
            <w:lang w:eastAsia="zh-CN"/>
          </w:rPr>
          <w:t>CCPR/C/MAR/CO/</w:t>
        </w:r>
        <w:r w:rsidRPr="00664D7F">
          <w:rPr>
            <w:rStyle w:val="Hyperlink"/>
            <w:rFonts w:eastAsia="SimSun"/>
            <w:szCs w:val="20"/>
            <w:lang w:eastAsia="zh-CN"/>
          </w:rPr>
          <w:t>6</w:t>
        </w:r>
      </w:hyperlink>
      <w:r>
        <w:rPr>
          <w:rtl/>
        </w:rPr>
        <w:t xml:space="preserve">، </w:t>
      </w:r>
      <w:r w:rsidRPr="00664D7F">
        <w:rPr>
          <w:szCs w:val="20"/>
          <w:rtl/>
        </w:rPr>
        <w:t>2</w:t>
      </w:r>
      <w:r>
        <w:rPr>
          <w:rtl/>
        </w:rPr>
        <w:t xml:space="preserve"> تشرين الثاني/نوفمبر </w:t>
      </w:r>
      <w:r w:rsidRPr="00664D7F">
        <w:rPr>
          <w:szCs w:val="20"/>
          <w:rtl/>
        </w:rPr>
        <w:t>2016</w:t>
      </w:r>
      <w:r>
        <w:rPr>
          <w:rtl/>
        </w:rPr>
        <w:br/>
      </w:r>
      <w:r w:rsidRPr="009E4BE6">
        <w:rPr>
          <w:i/>
          <w:iCs/>
          <w:rtl/>
        </w:rPr>
        <w:t xml:space="preserve">(الدورة </w:t>
      </w:r>
      <w:r w:rsidRPr="00664D7F">
        <w:rPr>
          <w:i/>
          <w:iCs/>
          <w:szCs w:val="20"/>
          <w:rtl/>
        </w:rPr>
        <w:t>118</w:t>
      </w:r>
      <w:r w:rsidRPr="009E4BE6">
        <w:rPr>
          <w:i/>
          <w:iCs/>
          <w:rtl/>
        </w:rPr>
        <w:t>):</w:t>
      </w:r>
    </w:p>
    <w:p w:rsidR="009E4BE6" w:rsidRDefault="009E4BE6" w:rsidP="009E4BE6">
      <w:pPr>
        <w:pStyle w:val="SingleTxtGA"/>
        <w:tabs>
          <w:tab w:val="clear" w:pos="2608"/>
          <w:tab w:val="clear" w:pos="3289"/>
          <w:tab w:val="clear" w:pos="3969"/>
          <w:tab w:val="clear" w:pos="4649"/>
          <w:tab w:val="left" w:pos="3983"/>
        </w:tabs>
        <w:rPr>
          <w:rFonts w:hint="cs"/>
          <w:rtl/>
        </w:rPr>
      </w:pPr>
      <w:r w:rsidRPr="009E4BE6">
        <w:rPr>
          <w:i/>
          <w:iCs/>
          <w:rtl/>
        </w:rPr>
        <w:t>الفقرات المشمولة بالمتابعة:</w:t>
      </w:r>
      <w:r>
        <w:rPr>
          <w:rtl/>
        </w:rPr>
        <w:tab/>
      </w:r>
      <w:r w:rsidRPr="00664D7F">
        <w:rPr>
          <w:szCs w:val="20"/>
          <w:rtl/>
        </w:rPr>
        <w:t>18</w:t>
      </w:r>
      <w:r>
        <w:rPr>
          <w:rtl/>
        </w:rPr>
        <w:t xml:space="preserve"> و</w:t>
      </w:r>
      <w:r w:rsidRPr="00664D7F">
        <w:rPr>
          <w:szCs w:val="20"/>
          <w:rtl/>
        </w:rPr>
        <w:t>24</w:t>
      </w:r>
      <w:r>
        <w:rPr>
          <w:rtl/>
        </w:rPr>
        <w:t xml:space="preserve"> و</w:t>
      </w:r>
      <w:r w:rsidRPr="00664D7F">
        <w:rPr>
          <w:szCs w:val="20"/>
          <w:rtl/>
        </w:rPr>
        <w:t>42</w:t>
      </w:r>
    </w:p>
    <w:p w:rsidR="009E4BE6" w:rsidRPr="00F16770" w:rsidRDefault="009E4BE6" w:rsidP="009E4BE6">
      <w:pPr>
        <w:pStyle w:val="SingleTxtGA"/>
        <w:tabs>
          <w:tab w:val="clear" w:pos="2608"/>
          <w:tab w:val="clear" w:pos="3289"/>
          <w:tab w:val="clear" w:pos="3969"/>
          <w:tab w:val="clear" w:pos="4649"/>
          <w:tab w:val="left" w:pos="3983"/>
        </w:tabs>
        <w:rPr>
          <w:spacing w:val="-4"/>
          <w:rtl/>
        </w:rPr>
      </w:pPr>
      <w:r w:rsidRPr="00F16770">
        <w:rPr>
          <w:i/>
          <w:iCs/>
          <w:spacing w:val="-4"/>
          <w:rtl/>
        </w:rPr>
        <w:t>الرد الوارد في إطار المتابعة:</w:t>
      </w:r>
      <w:r w:rsidRPr="00F16770">
        <w:rPr>
          <w:spacing w:val="-4"/>
          <w:rtl/>
        </w:rPr>
        <w:tab/>
      </w:r>
      <w:hyperlink r:id="rId10" w:history="1">
        <w:r w:rsidR="00F16770" w:rsidRPr="00F16770">
          <w:rPr>
            <w:rStyle w:val="Hyperlink"/>
            <w:rFonts w:eastAsia="SimSun"/>
            <w:spacing w:val="-4"/>
            <w:lang w:eastAsia="zh-CN"/>
          </w:rPr>
          <w:t>CCPR/C/MAR/CO/6</w:t>
        </w:r>
      </w:hyperlink>
      <w:r w:rsidRPr="00F16770">
        <w:rPr>
          <w:spacing w:val="-4"/>
        </w:rPr>
        <w:t>/Add.</w:t>
      </w:r>
      <w:r w:rsidRPr="00F16770">
        <w:rPr>
          <w:spacing w:val="-4"/>
          <w:szCs w:val="20"/>
        </w:rPr>
        <w:t>1</w:t>
      </w:r>
      <w:r w:rsidRPr="00F16770">
        <w:rPr>
          <w:spacing w:val="-4"/>
          <w:rtl/>
        </w:rPr>
        <w:t xml:space="preserve">، </w:t>
      </w:r>
      <w:r w:rsidRPr="00F16770">
        <w:rPr>
          <w:spacing w:val="-4"/>
          <w:szCs w:val="20"/>
          <w:rtl/>
        </w:rPr>
        <w:t>27</w:t>
      </w:r>
      <w:r w:rsidRPr="00F16770">
        <w:rPr>
          <w:spacing w:val="-4"/>
          <w:rtl/>
        </w:rPr>
        <w:t xml:space="preserve"> كانون الأول/ديسمبر </w:t>
      </w:r>
      <w:r w:rsidRPr="00F16770">
        <w:rPr>
          <w:spacing w:val="-4"/>
          <w:szCs w:val="20"/>
          <w:rtl/>
        </w:rPr>
        <w:t>2018</w:t>
      </w:r>
    </w:p>
    <w:p w:rsidR="009E4BE6" w:rsidRDefault="009E4BE6" w:rsidP="00E03CA6">
      <w:pPr>
        <w:pStyle w:val="SingleTxtGA"/>
        <w:tabs>
          <w:tab w:val="clear" w:pos="2608"/>
          <w:tab w:val="clear" w:pos="3289"/>
          <w:tab w:val="clear" w:pos="3969"/>
          <w:tab w:val="clear" w:pos="4649"/>
          <w:tab w:val="left" w:pos="4110"/>
        </w:tabs>
        <w:ind w:left="4025" w:hanging="2757"/>
        <w:jc w:val="left"/>
        <w:rPr>
          <w:rtl/>
        </w:rPr>
      </w:pPr>
      <w:r w:rsidRPr="009E4BE6">
        <w:rPr>
          <w:i/>
          <w:iCs/>
          <w:rtl/>
        </w:rPr>
        <w:t>تقييم اللجنة:</w:t>
      </w:r>
      <w:r>
        <w:rPr>
          <w:rtl/>
        </w:rPr>
        <w:tab/>
        <w:t>يلزم تقديم معلومات إضافية بشأن الفقرات</w:t>
      </w:r>
      <w:r>
        <w:rPr>
          <w:rtl/>
        </w:rPr>
        <w:br/>
      </w:r>
      <w:r w:rsidRPr="00664D7F">
        <w:rPr>
          <w:szCs w:val="20"/>
          <w:rtl/>
        </w:rPr>
        <w:t>18</w:t>
      </w:r>
      <w:r>
        <w:rPr>
          <w:rtl/>
        </w:rPr>
        <w:t xml:space="preserve"> [</w:t>
      </w:r>
      <w:r w:rsidRPr="009E4BE6">
        <w:rPr>
          <w:b/>
          <w:bCs/>
          <w:rtl/>
        </w:rPr>
        <w:t>جيم</w:t>
      </w:r>
      <w:r>
        <w:rPr>
          <w:rtl/>
        </w:rPr>
        <w:t>] و</w:t>
      </w:r>
      <w:r w:rsidRPr="00664D7F">
        <w:rPr>
          <w:szCs w:val="20"/>
          <w:rtl/>
        </w:rPr>
        <w:t>24</w:t>
      </w:r>
      <w:r>
        <w:rPr>
          <w:rtl/>
        </w:rPr>
        <w:t>[</w:t>
      </w:r>
      <w:r w:rsidRPr="009E4BE6">
        <w:rPr>
          <w:b/>
          <w:bCs/>
          <w:rtl/>
        </w:rPr>
        <w:t>جيم</w:t>
      </w:r>
      <w:r>
        <w:rPr>
          <w:rtl/>
        </w:rPr>
        <w:t>][</w:t>
      </w:r>
      <w:r w:rsidRPr="009E4BE6">
        <w:rPr>
          <w:b/>
          <w:bCs/>
          <w:rtl/>
        </w:rPr>
        <w:t>ألف</w:t>
      </w:r>
      <w:r>
        <w:rPr>
          <w:rtl/>
        </w:rPr>
        <w:t>] و</w:t>
      </w:r>
      <w:r w:rsidRPr="00664D7F">
        <w:rPr>
          <w:szCs w:val="20"/>
          <w:rtl/>
        </w:rPr>
        <w:t>42</w:t>
      </w:r>
      <w:r>
        <w:rPr>
          <w:rtl/>
        </w:rPr>
        <w:t>[</w:t>
      </w:r>
      <w:r w:rsidRPr="009E4BE6">
        <w:rPr>
          <w:b/>
          <w:bCs/>
          <w:rtl/>
        </w:rPr>
        <w:t>جيم</w:t>
      </w:r>
      <w:r>
        <w:rPr>
          <w:rtl/>
        </w:rPr>
        <w:t>]</w:t>
      </w:r>
    </w:p>
    <w:p w:rsidR="009E4BE6" w:rsidRPr="009E4BE6" w:rsidRDefault="009E4BE6" w:rsidP="009E4BE6">
      <w:pPr>
        <w:pStyle w:val="SingleTxtGA"/>
        <w:tabs>
          <w:tab w:val="clear" w:pos="2608"/>
          <w:tab w:val="clear" w:pos="3289"/>
          <w:tab w:val="clear" w:pos="3969"/>
          <w:tab w:val="clear" w:pos="4649"/>
          <w:tab w:val="left" w:pos="3983"/>
        </w:tabs>
        <w:rPr>
          <w:i/>
          <w:iCs/>
          <w:rtl/>
        </w:rPr>
      </w:pPr>
      <w:r w:rsidRPr="009E4BE6">
        <w:rPr>
          <w:i/>
          <w:iCs/>
          <w:rtl/>
        </w:rPr>
        <w:t>المعلومات الواردة من</w:t>
      </w:r>
      <w:r w:rsidRPr="009E4BE6">
        <w:rPr>
          <w:rFonts w:hint="cs"/>
          <w:i/>
          <w:iCs/>
          <w:rtl/>
        </w:rPr>
        <w:t xml:space="preserve"> </w:t>
      </w:r>
      <w:r w:rsidRPr="009E4BE6">
        <w:rPr>
          <w:i/>
          <w:iCs/>
          <w:rtl/>
        </w:rPr>
        <w:t>المنظمات</w:t>
      </w:r>
      <w:r>
        <w:rPr>
          <w:rtl/>
        </w:rPr>
        <w:tab/>
      </w:r>
      <w:r>
        <w:rPr>
          <w:rtl/>
        </w:rPr>
        <w:t>لا يوجد</w:t>
      </w:r>
      <w:r>
        <w:rPr>
          <w:rtl/>
        </w:rPr>
        <w:tab/>
      </w:r>
      <w:r>
        <w:rPr>
          <w:rtl/>
        </w:rPr>
        <w:br/>
      </w:r>
      <w:r w:rsidRPr="009E4BE6">
        <w:rPr>
          <w:i/>
          <w:iCs/>
          <w:rtl/>
        </w:rPr>
        <w:t>غير الحكومية</w:t>
      </w:r>
      <w:r>
        <w:rPr>
          <w:rFonts w:hint="cs"/>
          <w:i/>
          <w:iCs/>
          <w:rtl/>
        </w:rPr>
        <w:t>:</w:t>
      </w:r>
    </w:p>
    <w:p w:rsidR="009E4BE6" w:rsidRDefault="009E4BE6" w:rsidP="00803237">
      <w:pPr>
        <w:pStyle w:val="H23GA"/>
        <w:rPr>
          <w:rtl/>
        </w:rPr>
      </w:pPr>
      <w:r>
        <w:rPr>
          <w:rtl/>
        </w:rPr>
        <w:tab/>
      </w:r>
      <w:r>
        <w:rPr>
          <w:rtl/>
        </w:rPr>
        <w:tab/>
      </w:r>
      <w:r>
        <w:rPr>
          <w:rtl/>
        </w:rPr>
        <w:t xml:space="preserve">الفقرة </w:t>
      </w:r>
      <w:r w:rsidRPr="00664D7F">
        <w:rPr>
          <w:szCs w:val="20"/>
          <w:rtl/>
        </w:rPr>
        <w:t>18</w:t>
      </w:r>
      <w:r>
        <w:rPr>
          <w:rtl/>
        </w:rPr>
        <w:t>: مكافحة الإرهاب</w:t>
      </w:r>
    </w:p>
    <w:p w:rsidR="009E4BE6" w:rsidRPr="00BC6A56" w:rsidRDefault="009E4BE6" w:rsidP="00803237">
      <w:pPr>
        <w:pStyle w:val="SingleTxtGA"/>
        <w:rPr>
          <w:b/>
          <w:bCs/>
          <w:rtl/>
        </w:rPr>
      </w:pPr>
      <w:r>
        <w:rPr>
          <w:rtl/>
        </w:rPr>
        <w:tab/>
      </w:r>
      <w:r w:rsidRPr="00BC6A56">
        <w:rPr>
          <w:b/>
          <w:bCs/>
          <w:rtl/>
        </w:rPr>
        <w:t xml:space="preserve">ينبغي للدولة الطرف تنقيح أحكام قانونها الجنائي المتعلقة بالإرهاب، وتعريف الجرائم المتصلة بالإرهاب على أساس هدفها، ولكن ينبغي لها أيضاً تحديد طبيعة هذه الأعمال بدقة والتأكد من أن هذا التشريع لا يفرض قيوداً لا مبرر لها على ممارسة الحقوق الواردة في العهد. كما يتعين أن تقلص الحد الأقصى للمدة الأولية المسموح بها للاحتجاز لدى الشرطة إلى </w:t>
      </w:r>
      <w:r w:rsidRPr="00BC6A56">
        <w:rPr>
          <w:b/>
          <w:bCs/>
          <w:szCs w:val="20"/>
          <w:rtl/>
        </w:rPr>
        <w:t>48</w:t>
      </w:r>
      <w:r w:rsidRPr="00BC6A56">
        <w:rPr>
          <w:b/>
          <w:bCs/>
          <w:rtl/>
        </w:rPr>
        <w:t xml:space="preserve"> ساعة بالنسبة للقضايا المتصلة </w:t>
      </w:r>
      <w:r w:rsidRPr="00BC6A56">
        <w:rPr>
          <w:b/>
          <w:bCs/>
          <w:spacing w:val="-4"/>
          <w:rtl/>
        </w:rPr>
        <w:t>بالإرهاب وكذلك لغيرها من الجرائم، وإتاحة إمكانية الاستعانة بمحام بمجرد وضع الشخص قيد الاحتجاز.</w:t>
      </w:r>
    </w:p>
    <w:p w:rsidR="009E4BE6" w:rsidRDefault="009E4BE6" w:rsidP="00661E65">
      <w:pPr>
        <w:pStyle w:val="H23GA"/>
        <w:spacing w:line="360" w:lineRule="exact"/>
        <w:rPr>
          <w:rtl/>
        </w:rPr>
      </w:pPr>
      <w:r>
        <w:rPr>
          <w:rtl/>
        </w:rPr>
        <w:lastRenderedPageBreak/>
        <w:tab/>
      </w:r>
      <w:r>
        <w:rPr>
          <w:rtl/>
        </w:rPr>
        <w:tab/>
      </w:r>
      <w:r>
        <w:rPr>
          <w:rtl/>
        </w:rPr>
        <w:t>ملخص رد الدولة الطرف</w:t>
      </w:r>
    </w:p>
    <w:p w:rsidR="009E4BE6" w:rsidRPr="00661E65" w:rsidRDefault="009E4BE6" w:rsidP="00661E65">
      <w:pPr>
        <w:pStyle w:val="SingleTxtGA"/>
        <w:rPr>
          <w:spacing w:val="2"/>
          <w:rtl/>
        </w:rPr>
      </w:pPr>
      <w:r w:rsidRPr="00BC6A56">
        <w:rPr>
          <w:rtl/>
        </w:rPr>
        <w:tab/>
      </w:r>
      <w:r w:rsidRPr="00BC6A56">
        <w:rPr>
          <w:rtl/>
        </w:rPr>
        <w:t xml:space="preserve">تكرر الدولة الطرف المعلومات المقدمة في ردودها على قائمة المسائل </w:t>
      </w:r>
      <w:r w:rsidRPr="00BC6A56">
        <w:rPr>
          <w:spacing w:val="-4"/>
          <w:rtl/>
        </w:rPr>
        <w:t>(</w:t>
      </w:r>
      <w:r w:rsidRPr="00BC6A56">
        <w:rPr>
          <w:spacing w:val="-4"/>
        </w:rPr>
        <w:t>CCPR/C/MAR/Q/</w:t>
      </w:r>
      <w:r w:rsidRPr="00BC6A56">
        <w:rPr>
          <w:spacing w:val="-4"/>
          <w:szCs w:val="20"/>
        </w:rPr>
        <w:t>6</w:t>
      </w:r>
      <w:r w:rsidRPr="00BC6A56">
        <w:rPr>
          <w:spacing w:val="-4"/>
        </w:rPr>
        <w:t>/Add.</w:t>
      </w:r>
      <w:r w:rsidRPr="00BC6A56">
        <w:rPr>
          <w:spacing w:val="-4"/>
          <w:szCs w:val="20"/>
        </w:rPr>
        <w:t>1</w:t>
      </w:r>
      <w:r w:rsidRPr="00BC6A56">
        <w:rPr>
          <w:spacing w:val="-4"/>
          <w:rtl/>
        </w:rPr>
        <w:t xml:space="preserve">، الفقرة </w:t>
      </w:r>
      <w:r w:rsidRPr="00BC6A56">
        <w:rPr>
          <w:spacing w:val="-4"/>
          <w:szCs w:val="20"/>
          <w:rtl/>
        </w:rPr>
        <w:t>37</w:t>
      </w:r>
      <w:r w:rsidRPr="00BC6A56">
        <w:rPr>
          <w:spacing w:val="-4"/>
          <w:rtl/>
        </w:rPr>
        <w:t>) بشأن عدم وجود تعريف للإرهاب في تشريعها. وقد</w:t>
      </w:r>
      <w:r w:rsidR="00B91231" w:rsidRPr="00BC6A56">
        <w:rPr>
          <w:rFonts w:hint="cs"/>
          <w:spacing w:val="-4"/>
          <w:rtl/>
        </w:rPr>
        <w:t> </w:t>
      </w:r>
      <w:r w:rsidRPr="00BC6A56">
        <w:rPr>
          <w:spacing w:val="-4"/>
          <w:rtl/>
        </w:rPr>
        <w:t>وضعت</w:t>
      </w:r>
      <w:r w:rsidRPr="00BC6A56">
        <w:rPr>
          <w:spacing w:val="2"/>
          <w:rtl/>
        </w:rPr>
        <w:t xml:space="preserve"> الدولة الطرف مشروع قانون لإصلاح القانون الجنائي وقانون الإجراءات الجنائية. ويجرم فصل جديد </w:t>
      </w:r>
      <w:r w:rsidRPr="00803237">
        <w:rPr>
          <w:spacing w:val="-4"/>
          <w:rtl/>
        </w:rPr>
        <w:t>من القانون الجنائي عدة أفعال متصلة بمعسكرات التدريب وأعمال الدعاية والتحريض على الإرهاب.</w:t>
      </w:r>
      <w:r w:rsidRPr="00BC6A56">
        <w:rPr>
          <w:spacing w:val="2"/>
          <w:rtl/>
        </w:rPr>
        <w:t xml:space="preserve"> </w:t>
      </w:r>
      <w:r w:rsidRPr="00803237">
        <w:rPr>
          <w:spacing w:val="-2"/>
          <w:rtl/>
        </w:rPr>
        <w:t>وتكرر الدولة الطرف المعلومات المقدمة في تقريرها الدوري السادس (</w:t>
      </w:r>
      <w:r w:rsidRPr="00803237">
        <w:rPr>
          <w:spacing w:val="-2"/>
        </w:rPr>
        <w:t>CCPR/C/MAR/</w:t>
      </w:r>
      <w:r w:rsidRPr="00803237">
        <w:rPr>
          <w:spacing w:val="-2"/>
          <w:szCs w:val="20"/>
        </w:rPr>
        <w:t>6</w:t>
      </w:r>
      <w:r w:rsidRPr="00803237">
        <w:rPr>
          <w:spacing w:val="-2"/>
          <w:rtl/>
        </w:rPr>
        <w:t xml:space="preserve">، الفقرة </w:t>
      </w:r>
      <w:r w:rsidRPr="00803237">
        <w:rPr>
          <w:spacing w:val="-2"/>
          <w:szCs w:val="20"/>
          <w:rtl/>
        </w:rPr>
        <w:t>148</w:t>
      </w:r>
      <w:r w:rsidRPr="00803237">
        <w:rPr>
          <w:spacing w:val="-2"/>
          <w:rtl/>
        </w:rPr>
        <w:t>)</w:t>
      </w:r>
      <w:r w:rsidRPr="00BC6A56">
        <w:rPr>
          <w:spacing w:val="2"/>
          <w:rtl/>
        </w:rPr>
        <w:t xml:space="preserve"> عن مدة الاحتجاز لدى الشرطة. وتكرر أيضاً المعلومات المقدمة في ردودها على قائمة المسائل </w:t>
      </w:r>
      <w:r w:rsidRPr="00661E65">
        <w:rPr>
          <w:spacing w:val="2"/>
          <w:rtl/>
        </w:rPr>
        <w:t>(</w:t>
      </w:r>
      <w:r w:rsidRPr="00661E65">
        <w:rPr>
          <w:spacing w:val="2"/>
        </w:rPr>
        <w:t>CCPR/C/MAR/Q/</w:t>
      </w:r>
      <w:r w:rsidRPr="00661E65">
        <w:rPr>
          <w:spacing w:val="2"/>
          <w:szCs w:val="20"/>
        </w:rPr>
        <w:t>6</w:t>
      </w:r>
      <w:r w:rsidRPr="00661E65">
        <w:rPr>
          <w:spacing w:val="2"/>
        </w:rPr>
        <w:t>/Add.</w:t>
      </w:r>
      <w:r w:rsidRPr="00661E65">
        <w:rPr>
          <w:spacing w:val="2"/>
          <w:szCs w:val="20"/>
        </w:rPr>
        <w:t>1</w:t>
      </w:r>
      <w:r w:rsidRPr="00661E65">
        <w:rPr>
          <w:spacing w:val="2"/>
          <w:rtl/>
        </w:rPr>
        <w:t xml:space="preserve">، الفقرة </w:t>
      </w:r>
      <w:r w:rsidRPr="00661E65">
        <w:rPr>
          <w:spacing w:val="2"/>
          <w:szCs w:val="20"/>
          <w:rtl/>
        </w:rPr>
        <w:t>51</w:t>
      </w:r>
      <w:r w:rsidRPr="00661E65">
        <w:rPr>
          <w:spacing w:val="2"/>
          <w:rtl/>
        </w:rPr>
        <w:t>) بشأن استحداث سجل وطني وإقليمي محوسب للاحتجاز لدى الشرطة، في مشروع قانون الإجراءات الجنائية المنقح وفيما يتعلق بإمكانية الاستعانة</w:t>
      </w:r>
      <w:r w:rsidR="00BC6A56" w:rsidRPr="00661E65">
        <w:rPr>
          <w:rFonts w:hint="cs"/>
          <w:spacing w:val="2"/>
          <w:rtl/>
        </w:rPr>
        <w:t> </w:t>
      </w:r>
      <w:r w:rsidRPr="00661E65">
        <w:rPr>
          <w:spacing w:val="2"/>
          <w:rtl/>
        </w:rPr>
        <w:t xml:space="preserve">بمحام. </w:t>
      </w:r>
    </w:p>
    <w:p w:rsidR="009E4BE6" w:rsidRDefault="009E4BE6" w:rsidP="00661E65">
      <w:pPr>
        <w:pStyle w:val="H23GA"/>
        <w:spacing w:line="360" w:lineRule="exact"/>
        <w:rPr>
          <w:rtl/>
        </w:rPr>
      </w:pPr>
      <w:r>
        <w:rPr>
          <w:rtl/>
        </w:rPr>
        <w:tab/>
      </w:r>
      <w:r>
        <w:rPr>
          <w:rtl/>
        </w:rPr>
        <w:tab/>
      </w:r>
      <w:r>
        <w:rPr>
          <w:rtl/>
        </w:rPr>
        <w:t>تقييم اللجنة</w:t>
      </w:r>
    </w:p>
    <w:p w:rsidR="009E4BE6" w:rsidRDefault="009E4BE6" w:rsidP="00661E65">
      <w:pPr>
        <w:pStyle w:val="SingleTxtGA"/>
        <w:rPr>
          <w:rtl/>
        </w:rPr>
      </w:pPr>
      <w:r w:rsidRPr="009E4BE6">
        <w:rPr>
          <w:b/>
          <w:bCs/>
          <w:rtl/>
        </w:rPr>
        <w:t>[جيم]</w:t>
      </w:r>
      <w:r w:rsidRPr="009E4BE6">
        <w:rPr>
          <w:rFonts w:hint="cs"/>
          <w:b/>
          <w:bCs/>
          <w:rtl/>
        </w:rPr>
        <w:t>:</w:t>
      </w:r>
      <w:r>
        <w:rPr>
          <w:rtl/>
        </w:rPr>
        <w:t xml:space="preserve"> </w:t>
      </w:r>
      <w:r w:rsidRPr="00803237">
        <w:rPr>
          <w:spacing w:val="-4"/>
          <w:rtl/>
        </w:rPr>
        <w:t>تحيط اللجنة علماً بالمعلومات المقدمة عن تجريم أفعال معينة، ولكنها تأسف لعدم تقديم معلومات</w:t>
      </w:r>
      <w:r w:rsidRPr="00E9574F">
        <w:rPr>
          <w:spacing w:val="-4"/>
          <w:rtl/>
        </w:rPr>
        <w:t xml:space="preserve"> </w:t>
      </w:r>
      <w:r w:rsidRPr="00803237">
        <w:rPr>
          <w:spacing w:val="-4"/>
          <w:rtl/>
        </w:rPr>
        <w:t>عن تنقيح الأحكام القائمة لمكافحة الإرهاب وعن التدابير المتخذة لمنع فرض قيود غير متناسبة على الحقوق</w:t>
      </w:r>
      <w:r>
        <w:rPr>
          <w:rtl/>
        </w:rPr>
        <w:t xml:space="preserve"> المكرسة في العهد. وتكرر اللجنة توصياتها. </w:t>
      </w:r>
    </w:p>
    <w:p w:rsidR="009E4BE6" w:rsidRDefault="009E4BE6" w:rsidP="00661E65">
      <w:pPr>
        <w:pStyle w:val="SingleTxtGA"/>
        <w:rPr>
          <w:rtl/>
        </w:rPr>
      </w:pPr>
      <w:r w:rsidRPr="00E9574F">
        <w:rPr>
          <w:spacing w:val="-4"/>
          <w:rtl/>
        </w:rPr>
        <w:tab/>
      </w:r>
      <w:r w:rsidRPr="00E9574F">
        <w:rPr>
          <w:spacing w:val="-4"/>
          <w:rtl/>
        </w:rPr>
        <w:t>وتأسف اللجنة لتكرار الدولة الطرف المعلومات المقدمة في تقريرها الدوري السادس بشأن مدة</w:t>
      </w:r>
      <w:r>
        <w:rPr>
          <w:rtl/>
        </w:rPr>
        <w:t xml:space="preserve"> الاحتجاز لدى الشرطة. وتكرر اللجنة توصياتها.</w:t>
      </w:r>
    </w:p>
    <w:p w:rsidR="009E4BE6" w:rsidRDefault="009E4BE6" w:rsidP="00661E65">
      <w:pPr>
        <w:pStyle w:val="SingleTxtGA"/>
        <w:rPr>
          <w:rtl/>
        </w:rPr>
      </w:pPr>
      <w:r w:rsidRPr="00E9574F">
        <w:rPr>
          <w:spacing w:val="-4"/>
          <w:rtl/>
        </w:rPr>
        <w:tab/>
      </w:r>
      <w:r w:rsidRPr="00E9574F">
        <w:rPr>
          <w:spacing w:val="-4"/>
          <w:rtl/>
        </w:rPr>
        <w:t>وتأسف اللجنة لتكرار الدولة الطرف المعلومات المقدمة في ردودها على قائمة المسائل فيما يتعلق</w:t>
      </w:r>
      <w:r>
        <w:rPr>
          <w:rtl/>
        </w:rPr>
        <w:t xml:space="preserve"> بإمكانية الاستعانة بمحام. وتكرر اللجنة توصياتها. </w:t>
      </w:r>
    </w:p>
    <w:p w:rsidR="009E4BE6" w:rsidRDefault="009E4BE6" w:rsidP="00661E65">
      <w:pPr>
        <w:pStyle w:val="H23GA"/>
        <w:spacing w:line="360" w:lineRule="exact"/>
        <w:rPr>
          <w:rtl/>
        </w:rPr>
      </w:pPr>
      <w:r>
        <w:rPr>
          <w:rtl/>
        </w:rPr>
        <w:tab/>
      </w:r>
      <w:r>
        <w:rPr>
          <w:rtl/>
        </w:rPr>
        <w:tab/>
      </w:r>
      <w:r>
        <w:rPr>
          <w:rtl/>
        </w:rPr>
        <w:t xml:space="preserve">الفقرة </w:t>
      </w:r>
      <w:r w:rsidRPr="00664D7F">
        <w:rPr>
          <w:szCs w:val="20"/>
          <w:rtl/>
        </w:rPr>
        <w:t>24</w:t>
      </w:r>
      <w:r>
        <w:rPr>
          <w:rtl/>
        </w:rPr>
        <w:t>: حظر التعذيب وسوء المعاملة</w:t>
      </w:r>
    </w:p>
    <w:p w:rsidR="009E4BE6" w:rsidRPr="00661E65" w:rsidRDefault="009E4BE6" w:rsidP="00661E65">
      <w:pPr>
        <w:pStyle w:val="SingleTxtGA"/>
        <w:rPr>
          <w:b/>
          <w:bCs/>
          <w:rtl/>
        </w:rPr>
      </w:pPr>
      <w:r w:rsidRPr="00661E65">
        <w:rPr>
          <w:b/>
          <w:bCs/>
          <w:rtl/>
        </w:rPr>
        <w:tab/>
      </w:r>
      <w:r w:rsidRPr="00661E65">
        <w:rPr>
          <w:b/>
          <w:bCs/>
          <w:rtl/>
        </w:rPr>
        <w:t xml:space="preserve">ينبغي للدولة الطرف أن تقوم بما يلي: (أ) اتخاذ تدابير صارمة لاستئصال التعذيب والمعاملة </w:t>
      </w:r>
      <w:r w:rsidRPr="00661E65">
        <w:rPr>
          <w:b/>
          <w:bCs/>
          <w:spacing w:val="-4"/>
          <w:rtl/>
        </w:rPr>
        <w:t>القاسية أو اللاإنسانية أو المهينة، وللتحقيق في هذه الأعمال وملاحقة مرتكبيها ومعاقبتهم؛ (ب)</w:t>
      </w:r>
      <w:r w:rsidR="00E9574F" w:rsidRPr="00661E65">
        <w:rPr>
          <w:rFonts w:hint="cs"/>
          <w:b/>
          <w:bCs/>
          <w:spacing w:val="-4"/>
          <w:rtl/>
        </w:rPr>
        <w:t> </w:t>
      </w:r>
      <w:r w:rsidRPr="00661E65">
        <w:rPr>
          <w:b/>
          <w:bCs/>
          <w:spacing w:val="-4"/>
          <w:rtl/>
        </w:rPr>
        <w:t>ضمان</w:t>
      </w:r>
      <w:r w:rsidRPr="00661E65">
        <w:rPr>
          <w:b/>
          <w:bCs/>
          <w:rtl/>
        </w:rPr>
        <w:t xml:space="preserve"> إجراء فحوص طبية دون تأخير متى وردت أي ادعاءات بالتعذيب أو سوء المعاملة؛ (ج)</w:t>
      </w:r>
      <w:r w:rsidR="00E9574F" w:rsidRPr="00661E65">
        <w:rPr>
          <w:rFonts w:hint="cs"/>
          <w:b/>
          <w:bCs/>
          <w:rtl/>
        </w:rPr>
        <w:t> </w:t>
      </w:r>
      <w:r w:rsidRPr="00661E65">
        <w:rPr>
          <w:b/>
          <w:bCs/>
          <w:rtl/>
        </w:rPr>
        <w:t xml:space="preserve">ضمان التقيد في الممارسة العملية بحظر انتزاع الاعترافات بالإكراه، وضمان عدم قبول الأدلة المنتزعة تحت التعذيب </w:t>
      </w:r>
      <w:r w:rsidRPr="00661E65">
        <w:rPr>
          <w:b/>
          <w:bCs/>
          <w:spacing w:val="-4"/>
          <w:rtl/>
        </w:rPr>
        <w:t>في المحكمة؛ (د) تقديم سبل انتصاف فعالة للضحايا وضمان حصولهم على الجبر؛ (ه) تسريع عملية اعتماد</w:t>
      </w:r>
      <w:r w:rsidRPr="00661E65">
        <w:rPr>
          <w:b/>
          <w:bCs/>
          <w:rtl/>
        </w:rPr>
        <w:t xml:space="preserve"> قانون يُنشئ آلية وقائية وطنية.</w:t>
      </w:r>
    </w:p>
    <w:p w:rsidR="009E4BE6" w:rsidRDefault="009E4BE6" w:rsidP="00661E65">
      <w:pPr>
        <w:pStyle w:val="H23GA"/>
        <w:spacing w:line="360" w:lineRule="exact"/>
        <w:rPr>
          <w:rtl/>
        </w:rPr>
      </w:pPr>
      <w:r>
        <w:rPr>
          <w:rtl/>
        </w:rPr>
        <w:tab/>
      </w:r>
      <w:r>
        <w:rPr>
          <w:rtl/>
        </w:rPr>
        <w:tab/>
      </w:r>
      <w:r>
        <w:rPr>
          <w:rtl/>
        </w:rPr>
        <w:t>ملخص رد الدولة الطرف</w:t>
      </w:r>
    </w:p>
    <w:p w:rsidR="009E4BE6" w:rsidRDefault="009E4BE6" w:rsidP="00661E65">
      <w:pPr>
        <w:pStyle w:val="SingleTxtGA"/>
        <w:rPr>
          <w:rtl/>
        </w:rPr>
      </w:pPr>
      <w:r>
        <w:rPr>
          <w:rtl/>
        </w:rPr>
        <w:tab/>
      </w:r>
      <w:r>
        <w:rPr>
          <w:rtl/>
        </w:rPr>
        <w:t>(أ)</w:t>
      </w:r>
      <w:r>
        <w:rPr>
          <w:rtl/>
        </w:rPr>
        <w:tab/>
      </w:r>
      <w:r w:rsidRPr="00E9574F">
        <w:rPr>
          <w:spacing w:val="-6"/>
          <w:rtl/>
        </w:rPr>
        <w:t>تكرر الدولة الطرف المعلومات المقدمة في تقريرها الدوري السادس (</w:t>
      </w:r>
      <w:r w:rsidRPr="00E9574F">
        <w:rPr>
          <w:spacing w:val="-6"/>
        </w:rPr>
        <w:t>CCPR/C/MAR/</w:t>
      </w:r>
      <w:r w:rsidRPr="00E9574F">
        <w:rPr>
          <w:spacing w:val="-6"/>
          <w:szCs w:val="20"/>
        </w:rPr>
        <w:t>6</w:t>
      </w:r>
      <w:r w:rsidRPr="00E9574F">
        <w:rPr>
          <w:spacing w:val="-6"/>
          <w:rtl/>
        </w:rPr>
        <w:t>،</w:t>
      </w:r>
      <w:r>
        <w:rPr>
          <w:rtl/>
        </w:rPr>
        <w:t xml:space="preserve"> الفقرة </w:t>
      </w:r>
      <w:r w:rsidRPr="00664D7F">
        <w:rPr>
          <w:szCs w:val="20"/>
          <w:rtl/>
        </w:rPr>
        <w:t>120</w:t>
      </w:r>
      <w:r>
        <w:rPr>
          <w:rtl/>
        </w:rPr>
        <w:t>) بشأن تدريب جميع موظفي المديرية العامة للأمن الوطني في مجال حقوق الإنسان، وتلك المقدمة في ردودها على قائمة المسائل (</w:t>
      </w:r>
      <w:r>
        <w:t>CCPR/C/MAR/Q/</w:t>
      </w:r>
      <w:r w:rsidRPr="00664D7F">
        <w:rPr>
          <w:szCs w:val="20"/>
        </w:rPr>
        <w:t>6</w:t>
      </w:r>
      <w:r>
        <w:t>/Add.</w:t>
      </w:r>
      <w:r w:rsidRPr="00664D7F">
        <w:rPr>
          <w:szCs w:val="20"/>
        </w:rPr>
        <w:t>1</w:t>
      </w:r>
      <w:r>
        <w:rPr>
          <w:rtl/>
        </w:rPr>
        <w:t xml:space="preserve">، الفقرة </w:t>
      </w:r>
      <w:r w:rsidRPr="00664D7F">
        <w:rPr>
          <w:szCs w:val="20"/>
          <w:rtl/>
        </w:rPr>
        <w:t>50</w:t>
      </w:r>
      <w:r>
        <w:rPr>
          <w:rtl/>
        </w:rPr>
        <w:t xml:space="preserve">) بشأن توعية هؤلاء الموظفين عن طريق التعميمات. وقد اتخذ الدرك الملكي عدة تدابير لتعزيز حقوق الإنسان. فجميع </w:t>
      </w:r>
      <w:r w:rsidRPr="00E9574F">
        <w:rPr>
          <w:spacing w:val="-6"/>
          <w:rtl/>
        </w:rPr>
        <w:t>تدخلات وأعمال الدرك الملكي تسجل بكاميرات محمولة. وكل غرف الاحتجاز في مبانيه مجهزة بكاميرات،</w:t>
      </w:r>
      <w:r>
        <w:rPr>
          <w:rtl/>
        </w:rPr>
        <w:t xml:space="preserve"> وكذلك غرف التحقيق. وقدمت الدولة الطرف معلومات عن تعريف التعذيب الوارد في مشروع القانون </w:t>
      </w:r>
      <w:r w:rsidRPr="00E9574F">
        <w:rPr>
          <w:spacing w:val="-6"/>
          <w:rtl/>
        </w:rPr>
        <w:t>الجنائي المنقح، وتكرر المعلومات المقدمة في تقريرها السادس (</w:t>
      </w:r>
      <w:r w:rsidRPr="00E9574F">
        <w:rPr>
          <w:spacing w:val="-6"/>
        </w:rPr>
        <w:t>CCPR/C/MAR/</w:t>
      </w:r>
      <w:r w:rsidRPr="00E9574F">
        <w:rPr>
          <w:spacing w:val="-6"/>
          <w:szCs w:val="20"/>
        </w:rPr>
        <w:t>6</w:t>
      </w:r>
      <w:r w:rsidRPr="00E9574F">
        <w:rPr>
          <w:spacing w:val="-6"/>
          <w:rtl/>
        </w:rPr>
        <w:t xml:space="preserve">، الفقرتان </w:t>
      </w:r>
      <w:r w:rsidRPr="00E9574F">
        <w:rPr>
          <w:spacing w:val="-6"/>
          <w:szCs w:val="20"/>
          <w:rtl/>
        </w:rPr>
        <w:t>115</w:t>
      </w:r>
      <w:r w:rsidRPr="00E9574F">
        <w:rPr>
          <w:spacing w:val="-6"/>
          <w:rtl/>
        </w:rPr>
        <w:t xml:space="preserve"> و</w:t>
      </w:r>
      <w:r w:rsidRPr="00E9574F">
        <w:rPr>
          <w:spacing w:val="-6"/>
          <w:szCs w:val="20"/>
          <w:rtl/>
        </w:rPr>
        <w:t>124</w:t>
      </w:r>
      <w:r w:rsidRPr="00E9574F">
        <w:rPr>
          <w:spacing w:val="-6"/>
          <w:rtl/>
        </w:rPr>
        <w:t>)</w:t>
      </w:r>
      <w:r>
        <w:rPr>
          <w:rtl/>
        </w:rPr>
        <w:t xml:space="preserve"> بشأن غياب الظروف المخففة؛</w:t>
      </w:r>
    </w:p>
    <w:p w:rsidR="009E4BE6" w:rsidRDefault="009E4BE6" w:rsidP="00661E65">
      <w:pPr>
        <w:pStyle w:val="SingleTxtGA"/>
        <w:rPr>
          <w:rtl/>
        </w:rPr>
      </w:pPr>
      <w:r w:rsidRPr="00E9574F">
        <w:rPr>
          <w:spacing w:val="-6"/>
          <w:rtl/>
        </w:rPr>
        <w:lastRenderedPageBreak/>
        <w:tab/>
      </w:r>
      <w:r w:rsidRPr="00E9574F">
        <w:rPr>
          <w:spacing w:val="-6"/>
          <w:rtl/>
        </w:rPr>
        <w:t>(ب)</w:t>
      </w:r>
      <w:r w:rsidRPr="00E9574F">
        <w:rPr>
          <w:spacing w:val="-6"/>
          <w:rtl/>
        </w:rPr>
        <w:tab/>
      </w:r>
      <w:r w:rsidRPr="00E9574F">
        <w:rPr>
          <w:spacing w:val="-6"/>
          <w:rtl/>
        </w:rPr>
        <w:t>ويقع على عاتق وكيل النيابة التزام بأن يأمر بالاستعانة بالخبرات الطبية عند التحقيق في عمل من أعمال العنف. ويقع على قاضي التحقيق نفس الالتزام إزاء أي شخص تظهر عليه آثار التعذيب.</w:t>
      </w:r>
      <w:r>
        <w:rPr>
          <w:rtl/>
        </w:rPr>
        <w:t xml:space="preserve"> وتكرر الدولة الطرف المعلومات المقدمة في ردودها على قائمة المسائل (</w:t>
      </w:r>
      <w:r>
        <w:t>CCPR/C/MAR/Q/</w:t>
      </w:r>
      <w:r w:rsidRPr="00664D7F">
        <w:rPr>
          <w:szCs w:val="20"/>
        </w:rPr>
        <w:t>6</w:t>
      </w:r>
      <w:r>
        <w:t>/Add.</w:t>
      </w:r>
      <w:r w:rsidRPr="00664D7F">
        <w:rPr>
          <w:szCs w:val="20"/>
        </w:rPr>
        <w:t>1</w:t>
      </w:r>
      <w:r>
        <w:rPr>
          <w:rtl/>
        </w:rPr>
        <w:t xml:space="preserve">، الفقرة </w:t>
      </w:r>
      <w:r w:rsidRPr="00664D7F">
        <w:rPr>
          <w:szCs w:val="20"/>
          <w:rtl/>
        </w:rPr>
        <w:t>51</w:t>
      </w:r>
      <w:r>
        <w:rPr>
          <w:rtl/>
        </w:rPr>
        <w:t xml:space="preserve">) بشأن مشروع قانون الإجراءات الجنائية المنقح. وقد اعتمد مجلس الحكومة مشروع قانون عن تنظيم الطب الشرعي في </w:t>
      </w:r>
      <w:r w:rsidRPr="00664D7F">
        <w:rPr>
          <w:szCs w:val="20"/>
          <w:rtl/>
        </w:rPr>
        <w:t>20</w:t>
      </w:r>
      <w:r>
        <w:rPr>
          <w:rtl/>
        </w:rPr>
        <w:t xml:space="preserve"> أيلول/سبتمبر </w:t>
      </w:r>
      <w:r w:rsidRPr="00664D7F">
        <w:rPr>
          <w:szCs w:val="20"/>
          <w:rtl/>
        </w:rPr>
        <w:t>2018</w:t>
      </w:r>
      <w:r>
        <w:rPr>
          <w:rtl/>
        </w:rPr>
        <w:t xml:space="preserve">؛ </w:t>
      </w:r>
    </w:p>
    <w:p w:rsidR="009E4BE6" w:rsidRDefault="009E4BE6" w:rsidP="00661E65">
      <w:pPr>
        <w:pStyle w:val="SingleTxtGA"/>
        <w:rPr>
          <w:rtl/>
        </w:rPr>
      </w:pPr>
      <w:r>
        <w:rPr>
          <w:rtl/>
        </w:rPr>
        <w:tab/>
      </w:r>
      <w:r>
        <w:rPr>
          <w:rtl/>
        </w:rPr>
        <w:t>(ج)</w:t>
      </w:r>
      <w:r>
        <w:rPr>
          <w:rtl/>
        </w:rPr>
        <w:tab/>
      </w:r>
      <w:r>
        <w:rPr>
          <w:rtl/>
        </w:rPr>
        <w:t>وتكرر الدولة الطرف المعلومات المقدمة في ردودها على قائمة المسائل (</w:t>
      </w:r>
      <w:r>
        <w:t>CCPR/C/MAR/Q/</w:t>
      </w:r>
      <w:r w:rsidRPr="00664D7F">
        <w:rPr>
          <w:szCs w:val="20"/>
        </w:rPr>
        <w:t>6</w:t>
      </w:r>
      <w:r>
        <w:t>/Add.</w:t>
      </w:r>
      <w:r w:rsidRPr="00664D7F">
        <w:rPr>
          <w:szCs w:val="20"/>
        </w:rPr>
        <w:t>1</w:t>
      </w:r>
      <w:r>
        <w:rPr>
          <w:rtl/>
        </w:rPr>
        <w:t xml:space="preserve">، الفقرة </w:t>
      </w:r>
      <w:r w:rsidRPr="00664D7F">
        <w:rPr>
          <w:szCs w:val="20"/>
          <w:rtl/>
        </w:rPr>
        <w:t>47</w:t>
      </w:r>
      <w:r>
        <w:rPr>
          <w:rtl/>
        </w:rPr>
        <w:t>(أ)) بشأن القوة الإثباتية لمحاضر الجلسات. فالاعترافات المكتوبة في محاضر جلسة ما لها نفس القيمة القانونية للأقوال البسيطة. وتكرر الدولة الطرف المعلومات المقدمة في تقريرها الدوري السادس (</w:t>
      </w:r>
      <w:r>
        <w:t>CCPR/C/MAR/</w:t>
      </w:r>
      <w:r w:rsidRPr="00664D7F">
        <w:rPr>
          <w:szCs w:val="20"/>
        </w:rPr>
        <w:t>6</w:t>
      </w:r>
      <w:r>
        <w:rPr>
          <w:rtl/>
        </w:rPr>
        <w:t xml:space="preserve">، الفقرات </w:t>
      </w:r>
      <w:r w:rsidRPr="00664D7F">
        <w:rPr>
          <w:szCs w:val="20"/>
          <w:rtl/>
        </w:rPr>
        <w:t>121</w:t>
      </w:r>
      <w:r>
        <w:rPr>
          <w:rtl/>
        </w:rPr>
        <w:t>-</w:t>
      </w:r>
      <w:r w:rsidRPr="00664D7F">
        <w:rPr>
          <w:szCs w:val="20"/>
          <w:rtl/>
        </w:rPr>
        <w:t>123</w:t>
      </w:r>
      <w:r>
        <w:rPr>
          <w:rtl/>
        </w:rPr>
        <w:t>) بشأن ممارسة الضباط القائمين بالتحقيقات الجنائية وبشأن الارتقاء بخدمات الطب الشرعي في الشرطة. وتكرر الدولة الطرف أيضاً المعلومات المقدمة في ردودها على قائمة المسائل (</w:t>
      </w:r>
      <w:r>
        <w:t>CCPR/C/MAR/Q/</w:t>
      </w:r>
      <w:r w:rsidRPr="00664D7F">
        <w:rPr>
          <w:szCs w:val="20"/>
        </w:rPr>
        <w:t>6</w:t>
      </w:r>
      <w:r>
        <w:t>/Add.</w:t>
      </w:r>
      <w:r w:rsidRPr="00664D7F">
        <w:rPr>
          <w:szCs w:val="20"/>
        </w:rPr>
        <w:t>1</w:t>
      </w:r>
      <w:r>
        <w:rPr>
          <w:rtl/>
        </w:rPr>
        <w:t xml:space="preserve">، الفقرة </w:t>
      </w:r>
      <w:r w:rsidRPr="00664D7F">
        <w:rPr>
          <w:szCs w:val="20"/>
          <w:rtl/>
        </w:rPr>
        <w:t>51</w:t>
      </w:r>
      <w:r>
        <w:rPr>
          <w:rtl/>
        </w:rPr>
        <w:t>) بشأن التسجيلات السمعية</w:t>
      </w:r>
      <w:r>
        <w:rPr>
          <w:rFonts w:hint="cs"/>
          <w:rtl/>
        </w:rPr>
        <w:t xml:space="preserve"> </w:t>
      </w:r>
      <w:r>
        <w:rPr>
          <w:rtl/>
        </w:rPr>
        <w:t>-</w:t>
      </w:r>
      <w:r>
        <w:rPr>
          <w:rFonts w:hint="cs"/>
          <w:rtl/>
        </w:rPr>
        <w:t xml:space="preserve"> </w:t>
      </w:r>
      <w:r>
        <w:rPr>
          <w:rtl/>
        </w:rPr>
        <w:t>البصرية المطلوبة وفقاً لمشروع قانون الإجراءات الجنائية المنقح؛</w:t>
      </w:r>
    </w:p>
    <w:p w:rsidR="009E4BE6" w:rsidRDefault="009E4BE6" w:rsidP="00661E65">
      <w:pPr>
        <w:pStyle w:val="SingleTxtGA"/>
        <w:rPr>
          <w:rtl/>
        </w:rPr>
      </w:pPr>
      <w:r>
        <w:rPr>
          <w:rtl/>
        </w:rPr>
        <w:tab/>
      </w:r>
      <w:r>
        <w:rPr>
          <w:rtl/>
        </w:rPr>
        <w:t>(د)</w:t>
      </w:r>
      <w:r>
        <w:rPr>
          <w:rtl/>
        </w:rPr>
        <w:tab/>
      </w:r>
      <w:r>
        <w:rPr>
          <w:rtl/>
        </w:rPr>
        <w:t>لم تقدَّم أي معلومات؛</w:t>
      </w:r>
    </w:p>
    <w:p w:rsidR="009E4BE6" w:rsidRDefault="009E4BE6" w:rsidP="00661E65">
      <w:pPr>
        <w:pStyle w:val="SingleTxtGA"/>
        <w:rPr>
          <w:rtl/>
        </w:rPr>
      </w:pPr>
      <w:r>
        <w:rPr>
          <w:rtl/>
        </w:rPr>
        <w:tab/>
      </w:r>
      <w:r>
        <w:rPr>
          <w:rtl/>
        </w:rPr>
        <w:t>(ه)</w:t>
      </w:r>
      <w:r>
        <w:rPr>
          <w:rtl/>
        </w:rPr>
        <w:tab/>
      </w:r>
      <w:r>
        <w:rPr>
          <w:rtl/>
        </w:rPr>
        <w:t xml:space="preserve">ويسمي مشروع القانون المعني بإعادة تنظيم المجلس الوطني لحقوق الإنسان، المعتمد </w:t>
      </w:r>
      <w:r w:rsidRPr="009E4BE6">
        <w:rPr>
          <w:spacing w:val="-2"/>
          <w:rtl/>
        </w:rPr>
        <w:t xml:space="preserve">في </w:t>
      </w:r>
      <w:r w:rsidRPr="00664D7F">
        <w:rPr>
          <w:spacing w:val="-2"/>
          <w:szCs w:val="20"/>
          <w:rtl/>
        </w:rPr>
        <w:t>1</w:t>
      </w:r>
      <w:r w:rsidRPr="009E4BE6">
        <w:rPr>
          <w:spacing w:val="-2"/>
          <w:rtl/>
        </w:rPr>
        <w:t xml:space="preserve"> آذار/مارس </w:t>
      </w:r>
      <w:r w:rsidRPr="00664D7F">
        <w:rPr>
          <w:spacing w:val="-2"/>
          <w:szCs w:val="20"/>
          <w:rtl/>
        </w:rPr>
        <w:t>2018</w:t>
      </w:r>
      <w:r w:rsidRPr="009E4BE6">
        <w:rPr>
          <w:spacing w:val="-2"/>
          <w:rtl/>
        </w:rPr>
        <w:t>، هذا المجلس باعتباره الآلية الوقائية الوطنية المطلوبة بموجب البروتوكول الاختياري</w:t>
      </w:r>
      <w:r>
        <w:rPr>
          <w:rtl/>
        </w:rPr>
        <w:t xml:space="preserve"> لاتفاقية مناهضة التعذيب وغيره من ضروب المعاملة أو العقوبة القاسية أو اللاإنسانية أو المهينة. وقد</w:t>
      </w:r>
      <w:r w:rsidR="00803237">
        <w:rPr>
          <w:rFonts w:hint="cs"/>
          <w:rtl/>
        </w:rPr>
        <w:t> </w:t>
      </w:r>
      <w:r>
        <w:rPr>
          <w:rtl/>
        </w:rPr>
        <w:t xml:space="preserve">عُين الرئيس الجديد للمجلس الوطني لحقوق الإنسان في </w:t>
      </w:r>
      <w:r w:rsidRPr="00664D7F">
        <w:rPr>
          <w:szCs w:val="20"/>
          <w:rtl/>
        </w:rPr>
        <w:t>6</w:t>
      </w:r>
      <w:r>
        <w:rPr>
          <w:rtl/>
        </w:rPr>
        <w:t xml:space="preserve"> كانون الأول/ديسمبر </w:t>
      </w:r>
      <w:r w:rsidRPr="00664D7F">
        <w:rPr>
          <w:szCs w:val="20"/>
          <w:rtl/>
        </w:rPr>
        <w:t>2018</w:t>
      </w:r>
      <w:r>
        <w:rPr>
          <w:rtl/>
        </w:rPr>
        <w:t>. وبعد اعتماد مشروع القانون، نظم المجلس دورات لتوعية الأشخاص المسؤولين عن إنفاذ القانون بشأن ولاية</w:t>
      </w:r>
      <w:r w:rsidR="00803237">
        <w:rPr>
          <w:rFonts w:hint="cs"/>
          <w:rtl/>
        </w:rPr>
        <w:t> </w:t>
      </w:r>
      <w:r>
        <w:rPr>
          <w:rtl/>
        </w:rPr>
        <w:t xml:space="preserve">الآلية الوطنية لمنع التعذيب. </w:t>
      </w:r>
    </w:p>
    <w:p w:rsidR="009E4BE6" w:rsidRDefault="009E4BE6" w:rsidP="00661E65">
      <w:pPr>
        <w:pStyle w:val="H23GA"/>
        <w:spacing w:line="360" w:lineRule="exact"/>
        <w:rPr>
          <w:rtl/>
        </w:rPr>
      </w:pPr>
      <w:r>
        <w:rPr>
          <w:rtl/>
        </w:rPr>
        <w:tab/>
      </w:r>
      <w:r>
        <w:rPr>
          <w:rtl/>
        </w:rPr>
        <w:tab/>
      </w:r>
      <w:r>
        <w:rPr>
          <w:rtl/>
        </w:rPr>
        <w:t>تقييم اللجنة</w:t>
      </w:r>
    </w:p>
    <w:p w:rsidR="009E4BE6" w:rsidRDefault="009E4BE6" w:rsidP="00661E65">
      <w:pPr>
        <w:pStyle w:val="SingleTxtGA"/>
        <w:rPr>
          <w:rtl/>
        </w:rPr>
      </w:pPr>
      <w:r w:rsidRPr="009E4BE6">
        <w:rPr>
          <w:b/>
          <w:bCs/>
          <w:spacing w:val="-4"/>
          <w:rtl/>
        </w:rPr>
        <w:t>[جيم]</w:t>
      </w:r>
      <w:r w:rsidRPr="009E4BE6">
        <w:rPr>
          <w:spacing w:val="-4"/>
          <w:rtl/>
        </w:rPr>
        <w:t xml:space="preserve"> (أ) و(ب) و(ج) و(د): تأسف اللجنة لتكرار الدولة الطرف المعلومات المقدمة في تقريرها الدوري</w:t>
      </w:r>
      <w:r>
        <w:rPr>
          <w:rtl/>
        </w:rPr>
        <w:t xml:space="preserve"> السادس وفي ردودها على قائمة المسائل فيما يتعلق بأعمال التدريب والتوعية التي قامت بها المديرية العامة للأمن الوطني. وتحيط اللجنة علماً بالمعلومات المتعلقة بالتدابير التي اتخذها الدرك الوطني ولكنها تطلب معلومات عن تاريخ اتخاذ تلك الإجراءات. وتأسف اللجنة لعدم تقديم معلومات عن التدابير المتخذة لضمان التحقيق في أعمال التعذيب ومقاضاة مرتكبيها. وتطلب اللجنة معلومات عن الجدول الزمني لاعتماد مشروع القانون الجنائي المنقح، الذي يتضمن تعريفاً للتعذيب. وتكرر اللجنة توصياتها. </w:t>
      </w:r>
    </w:p>
    <w:p w:rsidR="009E4BE6" w:rsidRDefault="009E4BE6" w:rsidP="00661E65">
      <w:pPr>
        <w:pStyle w:val="SingleTxtGA"/>
        <w:rPr>
          <w:rtl/>
        </w:rPr>
      </w:pPr>
      <w:r>
        <w:rPr>
          <w:rtl/>
        </w:rPr>
        <w:tab/>
      </w:r>
      <w:r>
        <w:rPr>
          <w:rtl/>
        </w:rPr>
        <w:t xml:space="preserve">وتأسف اللجنة لتكرار الدولة الطرف المعلومات المقدمة في ردودها على قائمة المسائل بشأن مشروع قانون الإجراءات الجنائية المنقح، وتطلب مجدداً معلومات عن الجدول الزمني لاعتماده. وتحيط </w:t>
      </w:r>
      <w:r w:rsidRPr="00E9574F">
        <w:rPr>
          <w:spacing w:val="-4"/>
          <w:rtl/>
        </w:rPr>
        <w:t>اللجنة علماً باعتماد مشروع قانون تنظيم الطب الشرعي، و</w:t>
      </w:r>
      <w:bookmarkStart w:id="0" w:name="_GoBack"/>
      <w:bookmarkEnd w:id="0"/>
      <w:r w:rsidRPr="00E9574F">
        <w:rPr>
          <w:spacing w:val="-4"/>
          <w:rtl/>
        </w:rPr>
        <w:t>لكنها تأسف لنقص المعلومات بشأن محتوى</w:t>
      </w:r>
      <w:r>
        <w:rPr>
          <w:rtl/>
        </w:rPr>
        <w:t xml:space="preserve"> القانون. وتكرر اللجنة توصياتها. </w:t>
      </w:r>
    </w:p>
    <w:p w:rsidR="009E4BE6" w:rsidRDefault="009E4BE6" w:rsidP="00661E65">
      <w:pPr>
        <w:pStyle w:val="SingleTxtGA"/>
        <w:rPr>
          <w:rtl/>
        </w:rPr>
      </w:pPr>
      <w:r>
        <w:rPr>
          <w:rtl/>
        </w:rPr>
        <w:tab/>
      </w:r>
      <w:r w:rsidRPr="00E9574F">
        <w:rPr>
          <w:spacing w:val="-4"/>
          <w:rtl/>
        </w:rPr>
        <w:t xml:space="preserve">وتأسف اللجنة لتكرار الدولة الطرف المعلومات المقدمة في تقريرها الدوري السادس وفي ردودها </w:t>
      </w:r>
      <w:r>
        <w:rPr>
          <w:rtl/>
        </w:rPr>
        <w:t xml:space="preserve">على قائمة المسائل بشأن حظر انتزاع الاعترافات بالإكراه وعدم مقبولية هذه الأدلة في المحكمة. وتكرر اللجنة توصياتها. </w:t>
      </w:r>
    </w:p>
    <w:p w:rsidR="009E4BE6" w:rsidRDefault="009E4BE6" w:rsidP="00661E65">
      <w:pPr>
        <w:pStyle w:val="SingleTxtGA"/>
        <w:rPr>
          <w:rtl/>
        </w:rPr>
      </w:pPr>
      <w:r>
        <w:rPr>
          <w:rtl/>
        </w:rPr>
        <w:tab/>
      </w:r>
      <w:r>
        <w:rPr>
          <w:rtl/>
        </w:rPr>
        <w:t>وتأسف اللجنة لعدم تقديم معلومات عن سبل الانتصاف والجبر فيما يتعلق بأعمال التعذيب وسوء المعاملة. وتكرر اللجنة توصياتها.</w:t>
      </w:r>
    </w:p>
    <w:p w:rsidR="009E4BE6" w:rsidRDefault="009E4BE6" w:rsidP="00661E65">
      <w:pPr>
        <w:pStyle w:val="SingleTxtGA"/>
        <w:rPr>
          <w:rtl/>
        </w:rPr>
      </w:pPr>
      <w:r w:rsidRPr="009E4BE6">
        <w:rPr>
          <w:b/>
          <w:bCs/>
          <w:rtl/>
        </w:rPr>
        <w:t>[ألف]</w:t>
      </w:r>
      <w:r>
        <w:rPr>
          <w:rtl/>
        </w:rPr>
        <w:t xml:space="preserve"> (هـ): ترحب اللجنة باعتماد قانون الآلية الوطنية لمنع التعذيب. </w:t>
      </w:r>
    </w:p>
    <w:p w:rsidR="009E4BE6" w:rsidRDefault="009E4BE6" w:rsidP="00E9574F">
      <w:pPr>
        <w:pStyle w:val="H23GA"/>
        <w:spacing w:line="346" w:lineRule="exact"/>
        <w:rPr>
          <w:rtl/>
        </w:rPr>
      </w:pPr>
      <w:r>
        <w:rPr>
          <w:rtl/>
        </w:rPr>
        <w:lastRenderedPageBreak/>
        <w:tab/>
      </w:r>
      <w:r>
        <w:rPr>
          <w:rtl/>
        </w:rPr>
        <w:tab/>
      </w:r>
      <w:r>
        <w:rPr>
          <w:rtl/>
        </w:rPr>
        <w:t xml:space="preserve">الفقرة </w:t>
      </w:r>
      <w:r w:rsidRPr="00664D7F">
        <w:rPr>
          <w:szCs w:val="20"/>
          <w:rtl/>
        </w:rPr>
        <w:t>42</w:t>
      </w:r>
      <w:r>
        <w:rPr>
          <w:rtl/>
        </w:rPr>
        <w:t>: حرية تكوين الجمعيات وأنشطة المدافعين عن حقوق الإنسان</w:t>
      </w:r>
    </w:p>
    <w:p w:rsidR="009E4BE6" w:rsidRPr="009E4BE6" w:rsidRDefault="009E4BE6" w:rsidP="00E9574F">
      <w:pPr>
        <w:pStyle w:val="SingleTxtGA"/>
        <w:spacing w:line="346" w:lineRule="exact"/>
        <w:rPr>
          <w:b/>
          <w:bCs/>
          <w:rtl/>
        </w:rPr>
      </w:pPr>
      <w:r w:rsidRPr="009E4BE6">
        <w:rPr>
          <w:b/>
          <w:bCs/>
          <w:rtl/>
        </w:rPr>
        <w:tab/>
      </w:r>
      <w:r w:rsidRPr="009E4BE6">
        <w:rPr>
          <w:b/>
          <w:bCs/>
          <w:rtl/>
        </w:rPr>
        <w:t xml:space="preserve">ينبغي للدولة الطرف أن تقوم، على وجه الاستعجال، باتخاذ جميع التدابير اللازمة لوضع </w:t>
      </w:r>
      <w:r w:rsidRPr="009E4BE6">
        <w:rPr>
          <w:rFonts w:ascii="Times New Roman Bold" w:hAnsi="Times New Roman Bold"/>
          <w:b/>
          <w:bCs/>
          <w:spacing w:val="-4"/>
          <w:rtl/>
        </w:rPr>
        <w:t>حد لانتهاكات الحق في حرية تكوين الجمعيات ولأي ممارسات تفرض قيوداً على هذا الحق بما يتجاوز</w:t>
      </w:r>
      <w:r w:rsidRPr="009E4BE6">
        <w:rPr>
          <w:b/>
          <w:bCs/>
          <w:rtl/>
        </w:rPr>
        <w:t xml:space="preserve"> الحدود المعرّفة بدقة المنصوص عليها في المادة </w:t>
      </w:r>
      <w:r w:rsidRPr="00664D7F">
        <w:rPr>
          <w:b/>
          <w:bCs/>
          <w:szCs w:val="20"/>
          <w:rtl/>
        </w:rPr>
        <w:t>22</w:t>
      </w:r>
      <w:r w:rsidRPr="009E4BE6">
        <w:rPr>
          <w:b/>
          <w:bCs/>
          <w:rtl/>
        </w:rPr>
        <w:t>(</w:t>
      </w:r>
      <w:r w:rsidRPr="00664D7F">
        <w:rPr>
          <w:b/>
          <w:bCs/>
          <w:szCs w:val="20"/>
          <w:rtl/>
        </w:rPr>
        <w:t>2</w:t>
      </w:r>
      <w:r w:rsidRPr="009E4BE6">
        <w:rPr>
          <w:b/>
          <w:bCs/>
          <w:rtl/>
        </w:rPr>
        <w:t>) من العهد. وينبغي أن تضمن عدم ممارستها لأي تأثير غير مبرر على المدافعين عن حقوق الإنسان وأن تكفل حريتهم في العمل دون خوف من الانتقام أو فرض قيود لا مبرر لها على أنشطتهم.</w:t>
      </w:r>
    </w:p>
    <w:p w:rsidR="009E4BE6" w:rsidRDefault="009E4BE6" w:rsidP="009E4BE6">
      <w:pPr>
        <w:pStyle w:val="H23GA"/>
        <w:rPr>
          <w:rtl/>
        </w:rPr>
      </w:pPr>
      <w:r>
        <w:rPr>
          <w:rtl/>
        </w:rPr>
        <w:tab/>
      </w:r>
      <w:r>
        <w:rPr>
          <w:rtl/>
        </w:rPr>
        <w:tab/>
      </w:r>
      <w:r>
        <w:rPr>
          <w:rtl/>
        </w:rPr>
        <w:t>ملخص رد الدولة الطرف</w:t>
      </w:r>
    </w:p>
    <w:p w:rsidR="009E4BE6" w:rsidRDefault="009E4BE6" w:rsidP="009E4BE6">
      <w:pPr>
        <w:pStyle w:val="SingleTxtGA"/>
        <w:rPr>
          <w:rtl/>
        </w:rPr>
      </w:pPr>
      <w:r>
        <w:rPr>
          <w:rtl/>
        </w:rPr>
        <w:tab/>
      </w:r>
      <w:r w:rsidRPr="00E9574F">
        <w:rPr>
          <w:rtl/>
        </w:rPr>
        <w:t>تكرر الدولة الطرف المعلومات المقدمة في تقريرها الدوري السادس (</w:t>
      </w:r>
      <w:r w:rsidRPr="00E9574F">
        <w:t>CCPR/C/MAR/</w:t>
      </w:r>
      <w:r w:rsidRPr="00E9574F">
        <w:rPr>
          <w:szCs w:val="20"/>
        </w:rPr>
        <w:t>6</w:t>
      </w:r>
      <w:r w:rsidRPr="00E9574F">
        <w:rPr>
          <w:rtl/>
        </w:rPr>
        <w:t xml:space="preserve">، الفقرة </w:t>
      </w:r>
      <w:r w:rsidRPr="00E9574F">
        <w:rPr>
          <w:szCs w:val="20"/>
          <w:rtl/>
        </w:rPr>
        <w:t>239</w:t>
      </w:r>
      <w:r w:rsidRPr="00E9574F">
        <w:rPr>
          <w:rtl/>
        </w:rPr>
        <w:t>)</w:t>
      </w:r>
      <w:r>
        <w:rPr>
          <w:rtl/>
        </w:rPr>
        <w:t xml:space="preserve"> بشأن حل الجمعيات. وتكرر أيضاً المعلومات المقدمة في تقريرها الدوري السادس (</w:t>
      </w:r>
      <w:r>
        <w:t>CCPR/C/MAR/</w:t>
      </w:r>
      <w:r w:rsidRPr="00664D7F">
        <w:rPr>
          <w:szCs w:val="20"/>
        </w:rPr>
        <w:t>6</w:t>
      </w:r>
      <w:r>
        <w:rPr>
          <w:rtl/>
        </w:rPr>
        <w:t xml:space="preserve">، الفقرة </w:t>
      </w:r>
      <w:r w:rsidRPr="00664D7F">
        <w:rPr>
          <w:szCs w:val="20"/>
          <w:rtl/>
        </w:rPr>
        <w:t>241</w:t>
      </w:r>
      <w:r>
        <w:rPr>
          <w:rtl/>
        </w:rPr>
        <w:t>) وفي ردودها على قائمة المسائل (</w:t>
      </w:r>
      <w:r>
        <w:t>CCPR/C/MAR/Q/</w:t>
      </w:r>
      <w:r w:rsidRPr="00664D7F">
        <w:rPr>
          <w:szCs w:val="20"/>
        </w:rPr>
        <w:t>6</w:t>
      </w:r>
      <w:r>
        <w:t>/Add.</w:t>
      </w:r>
      <w:r w:rsidRPr="00664D7F">
        <w:rPr>
          <w:szCs w:val="20"/>
        </w:rPr>
        <w:t>1</w:t>
      </w:r>
      <w:r>
        <w:rPr>
          <w:rtl/>
        </w:rPr>
        <w:t xml:space="preserve">، الفقرة </w:t>
      </w:r>
      <w:r w:rsidRPr="00664D7F">
        <w:rPr>
          <w:szCs w:val="20"/>
          <w:rtl/>
        </w:rPr>
        <w:t>91</w:t>
      </w:r>
      <w:r>
        <w:rPr>
          <w:rtl/>
        </w:rPr>
        <w:t xml:space="preserve">) بشأن نظام إعلان الجمعيات. وتعمل الحكومة على صياغة قانون بشأن الجمعيات. وهناك </w:t>
      </w:r>
      <w:r w:rsidRPr="009E4BE6">
        <w:rPr>
          <w:spacing w:val="-4"/>
          <w:rtl/>
        </w:rPr>
        <w:t xml:space="preserve">ما يزيد على </w:t>
      </w:r>
      <w:r w:rsidRPr="00664D7F">
        <w:rPr>
          <w:spacing w:val="-4"/>
          <w:szCs w:val="20"/>
          <w:rtl/>
        </w:rPr>
        <w:t>000</w:t>
      </w:r>
      <w:r w:rsidRPr="009E4BE6">
        <w:rPr>
          <w:spacing w:val="-4"/>
          <w:rtl/>
        </w:rPr>
        <w:t xml:space="preserve"> </w:t>
      </w:r>
      <w:r w:rsidRPr="00664D7F">
        <w:rPr>
          <w:spacing w:val="-4"/>
          <w:szCs w:val="20"/>
          <w:rtl/>
        </w:rPr>
        <w:t>148</w:t>
      </w:r>
      <w:r w:rsidRPr="009E4BE6">
        <w:rPr>
          <w:spacing w:val="-4"/>
          <w:rtl/>
        </w:rPr>
        <w:t xml:space="preserve"> جمعية في المغرب. ويضمن دستور المغرب حرية الفكر والرأي والتعبير (المادة </w:t>
      </w:r>
      <w:r w:rsidRPr="00664D7F">
        <w:rPr>
          <w:spacing w:val="-4"/>
          <w:szCs w:val="20"/>
          <w:rtl/>
        </w:rPr>
        <w:t>25</w:t>
      </w:r>
      <w:r w:rsidRPr="009E4BE6">
        <w:rPr>
          <w:spacing w:val="-4"/>
          <w:rtl/>
        </w:rPr>
        <w:t>)،</w:t>
      </w:r>
      <w:r>
        <w:rPr>
          <w:rtl/>
        </w:rPr>
        <w:t xml:space="preserve"> </w:t>
      </w:r>
      <w:r w:rsidRPr="009E4BE6">
        <w:rPr>
          <w:spacing w:val="-4"/>
          <w:rtl/>
        </w:rPr>
        <w:t xml:space="preserve">وحرية التجمع وتكوين الجمعيات والانتماء السياسي وعضوية النقابات (المادة </w:t>
      </w:r>
      <w:r w:rsidRPr="00664D7F">
        <w:rPr>
          <w:spacing w:val="-4"/>
          <w:szCs w:val="20"/>
          <w:rtl/>
        </w:rPr>
        <w:t>29</w:t>
      </w:r>
      <w:r w:rsidRPr="009E4BE6">
        <w:rPr>
          <w:spacing w:val="-4"/>
          <w:rtl/>
        </w:rPr>
        <w:t>). وتكرر الدولة الطرف</w:t>
      </w:r>
      <w:r>
        <w:rPr>
          <w:rtl/>
        </w:rPr>
        <w:t xml:space="preserve"> المعلومات المقدمة في تقريرها الدوري السادس (</w:t>
      </w:r>
      <w:r>
        <w:t>CCPR/C/MAR/</w:t>
      </w:r>
      <w:r w:rsidRPr="00664D7F">
        <w:rPr>
          <w:szCs w:val="20"/>
        </w:rPr>
        <w:t>6</w:t>
      </w:r>
      <w:r>
        <w:rPr>
          <w:rtl/>
        </w:rPr>
        <w:t xml:space="preserve">، الفقرات </w:t>
      </w:r>
      <w:r w:rsidRPr="00664D7F">
        <w:rPr>
          <w:szCs w:val="20"/>
          <w:rtl/>
        </w:rPr>
        <w:t>227</w:t>
      </w:r>
      <w:r>
        <w:rPr>
          <w:rtl/>
        </w:rPr>
        <w:t>-</w:t>
      </w:r>
      <w:r w:rsidRPr="00664D7F">
        <w:rPr>
          <w:szCs w:val="20"/>
          <w:rtl/>
        </w:rPr>
        <w:t>229</w:t>
      </w:r>
      <w:r>
        <w:rPr>
          <w:rtl/>
        </w:rPr>
        <w:t xml:space="preserve">) وفي ردودها </w:t>
      </w:r>
      <w:r w:rsidRPr="009E4BE6">
        <w:rPr>
          <w:spacing w:val="-4"/>
          <w:rtl/>
        </w:rPr>
        <w:t>على قائمة المسائل (</w:t>
      </w:r>
      <w:r w:rsidRPr="009E4BE6">
        <w:rPr>
          <w:spacing w:val="-4"/>
        </w:rPr>
        <w:t>CCPR/C/MAR/Q/</w:t>
      </w:r>
      <w:r w:rsidRPr="00664D7F">
        <w:rPr>
          <w:spacing w:val="-4"/>
          <w:szCs w:val="20"/>
        </w:rPr>
        <w:t>6</w:t>
      </w:r>
      <w:r w:rsidRPr="009E4BE6">
        <w:rPr>
          <w:spacing w:val="-4"/>
        </w:rPr>
        <w:t>/Add.</w:t>
      </w:r>
      <w:r w:rsidRPr="00664D7F">
        <w:rPr>
          <w:spacing w:val="-4"/>
          <w:szCs w:val="20"/>
        </w:rPr>
        <w:t>1</w:t>
      </w:r>
      <w:r w:rsidRPr="009E4BE6">
        <w:rPr>
          <w:spacing w:val="-4"/>
          <w:rtl/>
        </w:rPr>
        <w:t xml:space="preserve">، الفقرة </w:t>
      </w:r>
      <w:r w:rsidRPr="00664D7F">
        <w:rPr>
          <w:spacing w:val="-4"/>
          <w:szCs w:val="20"/>
          <w:rtl/>
        </w:rPr>
        <w:t>94</w:t>
      </w:r>
      <w:r w:rsidRPr="009E4BE6">
        <w:rPr>
          <w:spacing w:val="-4"/>
          <w:rtl/>
        </w:rPr>
        <w:t>) بشأن التشريع الجديد الخاص بالصحافة</w:t>
      </w:r>
      <w:r>
        <w:rPr>
          <w:rtl/>
        </w:rPr>
        <w:t xml:space="preserve">. </w:t>
      </w:r>
      <w:r w:rsidRPr="009E4BE6">
        <w:rPr>
          <w:spacing w:val="-4"/>
          <w:rtl/>
        </w:rPr>
        <w:t>وتكرر الدولة الطرف المعلومات المقدمة في تقريرها الدوري السادس بشأن نظام الإخطار الخاص بالتجمعات</w:t>
      </w:r>
      <w:r>
        <w:rPr>
          <w:rtl/>
        </w:rPr>
        <w:t xml:space="preserve"> العامة وبشأن حرية العضوية في النقابات (</w:t>
      </w:r>
      <w:r>
        <w:t>CCPR/C/MAR/</w:t>
      </w:r>
      <w:r w:rsidRPr="00664D7F">
        <w:rPr>
          <w:szCs w:val="20"/>
        </w:rPr>
        <w:t>6</w:t>
      </w:r>
      <w:r>
        <w:rPr>
          <w:rtl/>
        </w:rPr>
        <w:t xml:space="preserve">، الفقرات </w:t>
      </w:r>
      <w:r w:rsidRPr="00664D7F">
        <w:rPr>
          <w:szCs w:val="20"/>
          <w:rtl/>
        </w:rPr>
        <w:t>233</w:t>
      </w:r>
      <w:r>
        <w:rPr>
          <w:rtl/>
        </w:rPr>
        <w:t>-</w:t>
      </w:r>
      <w:r w:rsidRPr="00664D7F">
        <w:rPr>
          <w:szCs w:val="20"/>
          <w:rtl/>
        </w:rPr>
        <w:t>236</w:t>
      </w:r>
      <w:r>
        <w:rPr>
          <w:rtl/>
        </w:rPr>
        <w:t xml:space="preserve"> و</w:t>
      </w:r>
      <w:r w:rsidRPr="00664D7F">
        <w:rPr>
          <w:szCs w:val="20"/>
          <w:rtl/>
        </w:rPr>
        <w:t>245</w:t>
      </w:r>
      <w:r>
        <w:rPr>
          <w:rtl/>
        </w:rPr>
        <w:t>-</w:t>
      </w:r>
      <w:r w:rsidRPr="00664D7F">
        <w:rPr>
          <w:szCs w:val="20"/>
          <w:rtl/>
        </w:rPr>
        <w:t>246</w:t>
      </w:r>
      <w:r>
        <w:rPr>
          <w:rtl/>
        </w:rPr>
        <w:t>). وقد نظم المجلس الوطني لحقوق الإنسان مؤتمراً بشأن المدافعين عن حقوق الإنسان في تشرين الأول/</w:t>
      </w:r>
      <w:r>
        <w:rPr>
          <w:rFonts w:hint="cs"/>
          <w:rtl/>
        </w:rPr>
        <w:t xml:space="preserve"> </w:t>
      </w:r>
      <w:r>
        <w:rPr>
          <w:rtl/>
        </w:rPr>
        <w:t xml:space="preserve">أكتوبر </w:t>
      </w:r>
      <w:r w:rsidRPr="00664D7F">
        <w:rPr>
          <w:szCs w:val="20"/>
          <w:rtl/>
        </w:rPr>
        <w:t>2018</w:t>
      </w:r>
      <w:r>
        <w:rPr>
          <w:rtl/>
        </w:rPr>
        <w:t xml:space="preserve">. </w:t>
      </w:r>
    </w:p>
    <w:p w:rsidR="009E4BE6" w:rsidRDefault="009E4BE6" w:rsidP="009E4BE6">
      <w:pPr>
        <w:pStyle w:val="H23GA"/>
        <w:rPr>
          <w:rtl/>
        </w:rPr>
      </w:pPr>
      <w:r>
        <w:rPr>
          <w:rtl/>
        </w:rPr>
        <w:tab/>
      </w:r>
      <w:r>
        <w:rPr>
          <w:rtl/>
        </w:rPr>
        <w:tab/>
      </w:r>
      <w:r>
        <w:rPr>
          <w:rtl/>
        </w:rPr>
        <w:t>تقييم اللجنة</w:t>
      </w:r>
    </w:p>
    <w:p w:rsidR="009E4BE6" w:rsidRDefault="009E4BE6" w:rsidP="009E4BE6">
      <w:pPr>
        <w:pStyle w:val="SingleTxtGA"/>
        <w:rPr>
          <w:rtl/>
        </w:rPr>
      </w:pPr>
      <w:r w:rsidRPr="009E4BE6">
        <w:rPr>
          <w:b/>
          <w:bCs/>
          <w:rtl/>
        </w:rPr>
        <w:t>[جيم]</w:t>
      </w:r>
      <w:r>
        <w:rPr>
          <w:rtl/>
        </w:rPr>
        <w:t xml:space="preserve">: تأسف اللجنة لتكرار الدولة الطرف المعلومات المقدمة في تقريرها الدوري السادس بشأن حل الجمعيات ونظام إعلانها. وتحيط اللجنة علماً بالمعلومات المتعلقة بصياغة قانون بشأن الجمعيات، وتطلب معلومات عن محتواه والجدول الزمني لاعتماده. وتكرر توصياتها. </w:t>
      </w:r>
    </w:p>
    <w:p w:rsidR="009E4BE6" w:rsidRDefault="009E4BE6" w:rsidP="009E4BE6">
      <w:pPr>
        <w:pStyle w:val="SingleTxtGA"/>
        <w:rPr>
          <w:rtl/>
        </w:rPr>
      </w:pPr>
      <w:r>
        <w:rPr>
          <w:rtl/>
        </w:rPr>
        <w:tab/>
      </w:r>
      <w:r>
        <w:rPr>
          <w:rtl/>
        </w:rPr>
        <w:t xml:space="preserve">وتحيط اللجنة علماً بالمعلومات المقدمة من الدولة الطرف، ولكنها تأسف لنقص المعلومات </w:t>
      </w:r>
      <w:r w:rsidRPr="009E4BE6">
        <w:rPr>
          <w:spacing w:val="-2"/>
          <w:rtl/>
        </w:rPr>
        <w:t>المقدمة عن التدابير المتخذة منذ اعتماد الملاحظات الختامية لضمان عدم ممارسة الدولة الطرف لأي تأثير</w:t>
      </w:r>
      <w:r>
        <w:rPr>
          <w:rtl/>
        </w:rPr>
        <w:t xml:space="preserve"> على المدافعين عن حقوق الإنسان وضمان حريتهم في العمل دون خوف من الانتقام أو فرض قيود لا</w:t>
      </w:r>
      <w:r>
        <w:rPr>
          <w:rFonts w:hint="cs"/>
          <w:rtl/>
        </w:rPr>
        <w:t> </w:t>
      </w:r>
      <w:r>
        <w:rPr>
          <w:rtl/>
        </w:rPr>
        <w:t>مبرر لها على أنشطتهم. وتكرر اللجنة توصياتها.</w:t>
      </w:r>
    </w:p>
    <w:p w:rsidR="009E4BE6" w:rsidRDefault="009E4BE6" w:rsidP="009E4BE6">
      <w:pPr>
        <w:pStyle w:val="SingleTxtGA"/>
        <w:rPr>
          <w:rtl/>
        </w:rPr>
      </w:pPr>
      <w:r w:rsidRPr="009E4BE6">
        <w:rPr>
          <w:b/>
          <w:bCs/>
          <w:rtl/>
        </w:rPr>
        <w:t>الإجراء الموصى به:</w:t>
      </w:r>
      <w:r>
        <w:rPr>
          <w:rtl/>
        </w:rPr>
        <w:t xml:space="preserve"> ينبغي توجيه رسالة إلى الدولة الطرف لإبلاغها بوقف إجراء المتابعة. وينبغي إدراج المعلومات المطلوبة في التقرير الدوري المقبل للدولة الطرف.</w:t>
      </w:r>
    </w:p>
    <w:p w:rsidR="009E4BE6" w:rsidRPr="009E4BE6" w:rsidRDefault="009E4BE6" w:rsidP="009E4BE6">
      <w:pPr>
        <w:spacing w:before="120"/>
        <w:jc w:val="center"/>
        <w:rPr>
          <w:rFonts w:hint="cs"/>
          <w:u w:val="single"/>
          <w:rtl/>
        </w:rPr>
      </w:pPr>
      <w:r>
        <w:rPr>
          <w:u w:val="single"/>
          <w:rtl/>
        </w:rPr>
        <w:tab/>
      </w:r>
      <w:r>
        <w:rPr>
          <w:u w:val="single"/>
          <w:rtl/>
        </w:rPr>
        <w:tab/>
      </w:r>
      <w:r>
        <w:rPr>
          <w:u w:val="single"/>
          <w:rtl/>
        </w:rPr>
        <w:tab/>
      </w:r>
    </w:p>
    <w:sectPr w:rsidR="009E4BE6" w:rsidRPr="009E4BE6" w:rsidSect="00A55708">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872" w:rsidRPr="002901D9" w:rsidRDefault="00056872" w:rsidP="002901D9">
      <w:pPr>
        <w:spacing w:after="60" w:line="240" w:lineRule="auto"/>
        <w:rPr>
          <w:i/>
          <w:iCs/>
        </w:rPr>
      </w:pPr>
      <w:r>
        <w:rPr>
          <w:rFonts w:hint="cs"/>
          <w:i/>
          <w:iCs/>
          <w:rtl/>
        </w:rPr>
        <w:t>الحواشي</w:t>
      </w:r>
    </w:p>
  </w:endnote>
  <w:endnote w:type="continuationSeparator" w:id="0">
    <w:p w:rsidR="00056872" w:rsidRDefault="0005687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708" w:rsidRPr="009E4BE6" w:rsidRDefault="009E4BE6" w:rsidP="009E4BE6">
    <w:pPr>
      <w:pStyle w:val="Footer"/>
      <w:tabs>
        <w:tab w:val="right" w:pos="9598"/>
      </w:tabs>
      <w:rPr>
        <w:sz w:val="17"/>
      </w:rPr>
    </w:pPr>
    <w:r>
      <w:rPr>
        <w:sz w:val="17"/>
      </w:rPr>
      <w:t>GE.20-01307</w:t>
    </w:r>
    <w:r>
      <w:rPr>
        <w:sz w:val="17"/>
      </w:rPr>
      <w:tab/>
    </w:r>
    <w:r w:rsidRPr="009E4BE6">
      <w:rPr>
        <w:b/>
        <w:sz w:val="18"/>
      </w:rPr>
      <w:fldChar w:fldCharType="begin"/>
    </w:r>
    <w:r w:rsidRPr="009E4BE6">
      <w:rPr>
        <w:b/>
        <w:sz w:val="18"/>
      </w:rPr>
      <w:instrText xml:space="preserve"> PAGE  \* MERGEFORMAT </w:instrText>
    </w:r>
    <w:r w:rsidRPr="009E4BE6">
      <w:rPr>
        <w:b/>
        <w:sz w:val="18"/>
      </w:rPr>
      <w:fldChar w:fldCharType="separate"/>
    </w:r>
    <w:r>
      <w:rPr>
        <w:b/>
        <w:sz w:val="18"/>
      </w:rPr>
      <w:t>2</w:t>
    </w:r>
    <w:r w:rsidRPr="009E4BE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9E4BE6" w:rsidRDefault="009E4BE6" w:rsidP="006959B0">
    <w:pPr>
      <w:pStyle w:val="Footer"/>
      <w:tabs>
        <w:tab w:val="right" w:pos="9599"/>
      </w:tabs>
      <w:jc w:val="left"/>
      <w:rPr>
        <w:b/>
        <w:sz w:val="18"/>
        <w:lang w:val="en-US"/>
      </w:rPr>
    </w:pPr>
    <w:r w:rsidRPr="009E4BE6">
      <w:rPr>
        <w:b/>
        <w:sz w:val="18"/>
        <w:lang w:val="en-US"/>
      </w:rPr>
      <w:fldChar w:fldCharType="begin"/>
    </w:r>
    <w:r w:rsidRPr="009E4BE6">
      <w:rPr>
        <w:b/>
        <w:sz w:val="18"/>
        <w:lang w:val="en-US"/>
      </w:rPr>
      <w:instrText xml:space="preserve"> PAGE  \* MERGEFORMAT </w:instrText>
    </w:r>
    <w:r w:rsidRPr="009E4BE6">
      <w:rPr>
        <w:b/>
        <w:sz w:val="18"/>
        <w:lang w:val="en-US"/>
      </w:rPr>
      <w:fldChar w:fldCharType="separate"/>
    </w:r>
    <w:r w:rsidRPr="009E4BE6">
      <w:rPr>
        <w:b/>
        <w:noProof/>
        <w:sz w:val="18"/>
        <w:lang w:val="en-US"/>
      </w:rPr>
      <w:t>3</w:t>
    </w:r>
    <w:r w:rsidRPr="009E4BE6">
      <w:rPr>
        <w:b/>
        <w:sz w:val="18"/>
        <w:lang w:val="en-US"/>
      </w:rPr>
      <w:fldChar w:fldCharType="end"/>
    </w:r>
    <w:r>
      <w:rPr>
        <w:b/>
        <w:sz w:val="18"/>
        <w:lang w:val="en-US"/>
      </w:rPr>
      <w:tab/>
    </w:r>
    <w:r>
      <w:rPr>
        <w:sz w:val="17"/>
        <w:lang w:val="en-US"/>
      </w:rPr>
      <w:t>GE.20-01307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A55708" w:rsidP="00F6741C">
    <w:pPr>
      <w:pStyle w:val="Footer"/>
      <w:spacing w:before="360"/>
      <w:jc w:val="right"/>
      <w:rPr>
        <w:sz w:val="20"/>
        <w:szCs w:val="20"/>
      </w:rPr>
    </w:pPr>
    <w:r>
      <w:rPr>
        <w:sz w:val="20"/>
        <w:szCs w:val="20"/>
      </w:rPr>
      <w:t>GE.20-01307</w:t>
    </w:r>
    <w:r w:rsidR="00AD0AC4">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A55708" w:rsidRPr="00A55708" w:rsidRDefault="00A55708" w:rsidP="00A5570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AD0AC4">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1975" cy="561975"/>
          <wp:effectExtent l="0" t="0" r="0" b="0"/>
          <wp:wrapNone/>
          <wp:docPr id="2" name="Picture 2" descr="http://undocs.org/m2/QRCode.ashx?DS=CCPR/C/127/2/Add.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27/2/Add.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872" w:rsidRPr="0054762C" w:rsidRDefault="00056872" w:rsidP="000E524A">
      <w:pPr>
        <w:pStyle w:val="Footer"/>
        <w:bidi/>
        <w:spacing w:after="80" w:line="200" w:lineRule="exact"/>
        <w:ind w:left="680"/>
      </w:pPr>
      <w:r>
        <w:rPr>
          <w:rtl/>
        </w:rPr>
        <w:t>__________</w:t>
      </w:r>
    </w:p>
  </w:footnote>
  <w:footnote w:type="continuationSeparator" w:id="0">
    <w:p w:rsidR="00056872" w:rsidRDefault="00056872" w:rsidP="00656392">
      <w:pPr>
        <w:spacing w:line="240" w:lineRule="auto"/>
      </w:pPr>
      <w:r>
        <w:continuationSeparator/>
      </w:r>
    </w:p>
  </w:footnote>
  <w:footnote w:id="1">
    <w:p w:rsidR="00664D7F" w:rsidRPr="00664D7F" w:rsidRDefault="00664D7F" w:rsidP="00664D7F">
      <w:pPr>
        <w:pStyle w:val="FootnoteText1"/>
        <w:rPr>
          <w:rFonts w:hint="cs"/>
        </w:rPr>
      </w:pPr>
      <w:r>
        <w:rPr>
          <w:rtl/>
        </w:rPr>
        <w:t>*</w:t>
      </w:r>
      <w:r>
        <w:rPr>
          <w:rtl/>
        </w:rPr>
        <w:tab/>
      </w:r>
      <w:r w:rsidRPr="00664D7F">
        <w:rPr>
          <w:rtl/>
        </w:rPr>
        <w:t xml:space="preserve">اعتمدتها اللجنة في دورتها </w:t>
      </w:r>
      <w:r w:rsidRPr="00664D7F">
        <w:rPr>
          <w:szCs w:val="18"/>
          <w:rtl/>
        </w:rPr>
        <w:t>127</w:t>
      </w:r>
      <w:r w:rsidRPr="00664D7F">
        <w:rPr>
          <w:rtl/>
        </w:rPr>
        <w:t xml:space="preserve"> (</w:t>
      </w:r>
      <w:r w:rsidRPr="00664D7F">
        <w:rPr>
          <w:szCs w:val="18"/>
          <w:rtl/>
        </w:rPr>
        <w:t>14</w:t>
      </w:r>
      <w:r w:rsidRPr="00664D7F">
        <w:rPr>
          <w:rtl/>
        </w:rPr>
        <w:t xml:space="preserve"> تشرين الأول/أكتوبر </w:t>
      </w:r>
      <w:r>
        <w:rPr>
          <w:rFonts w:hint="cs"/>
          <w:rtl/>
        </w:rPr>
        <w:t>-</w:t>
      </w:r>
      <w:r w:rsidRPr="00664D7F">
        <w:rPr>
          <w:rtl/>
        </w:rPr>
        <w:t xml:space="preserve"> </w:t>
      </w:r>
      <w:r w:rsidRPr="00664D7F">
        <w:rPr>
          <w:szCs w:val="18"/>
          <w:rtl/>
        </w:rPr>
        <w:t>8</w:t>
      </w:r>
      <w:r w:rsidRPr="00664D7F">
        <w:rPr>
          <w:rtl/>
        </w:rPr>
        <w:t xml:space="preserve"> تشرين الثاني/نوفمبر </w:t>
      </w:r>
      <w:r w:rsidRPr="00664D7F">
        <w:rPr>
          <w:szCs w:val="18"/>
          <w:rtl/>
        </w:rPr>
        <w:t>2019</w:t>
      </w:r>
      <w:r w:rsidRPr="00664D7F">
        <w:rPr>
          <w:rtl/>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708" w:rsidRPr="009E4BE6" w:rsidRDefault="009E4BE6" w:rsidP="009E4BE6">
    <w:pPr>
      <w:pStyle w:val="Header"/>
      <w:jc w:val="right"/>
    </w:pPr>
    <w:r w:rsidRPr="009E4BE6">
      <w:t>CCPR/C/127/2/Add.4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708" w:rsidRPr="009E4BE6" w:rsidRDefault="009E4BE6" w:rsidP="009E4BE6">
    <w:pPr>
      <w:pStyle w:val="Header"/>
      <w:jc w:val="left"/>
    </w:pPr>
    <w:r w:rsidRPr="009E4BE6">
      <w:t>CCPR/C/127/2/Add.4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567"/>
  <w:evenAndOddHeaders/>
  <w:characterSpacingControl w:val="doNotCompress"/>
  <w:savePreviewPicture/>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056872"/>
    <w:rsid w:val="000076D5"/>
    <w:rsid w:val="00043663"/>
    <w:rsid w:val="000505CF"/>
    <w:rsid w:val="00056872"/>
    <w:rsid w:val="000D701C"/>
    <w:rsid w:val="000E2A71"/>
    <w:rsid w:val="000E524A"/>
    <w:rsid w:val="000F4D63"/>
    <w:rsid w:val="001148BD"/>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61E65"/>
    <w:rsid w:val="00664D7F"/>
    <w:rsid w:val="00673245"/>
    <w:rsid w:val="0068781D"/>
    <w:rsid w:val="006959B0"/>
    <w:rsid w:val="006B3E27"/>
    <w:rsid w:val="006B6507"/>
    <w:rsid w:val="006C104C"/>
    <w:rsid w:val="00733704"/>
    <w:rsid w:val="00740188"/>
    <w:rsid w:val="00764796"/>
    <w:rsid w:val="0078071A"/>
    <w:rsid w:val="007A70BB"/>
    <w:rsid w:val="007F70AB"/>
    <w:rsid w:val="00803237"/>
    <w:rsid w:val="00852A9A"/>
    <w:rsid w:val="00871544"/>
    <w:rsid w:val="008930DB"/>
    <w:rsid w:val="00895D16"/>
    <w:rsid w:val="008F49E1"/>
    <w:rsid w:val="0090370F"/>
    <w:rsid w:val="009269D2"/>
    <w:rsid w:val="00942135"/>
    <w:rsid w:val="009521B0"/>
    <w:rsid w:val="00976473"/>
    <w:rsid w:val="009A7E9F"/>
    <w:rsid w:val="009E4BE6"/>
    <w:rsid w:val="009E5018"/>
    <w:rsid w:val="00A12B37"/>
    <w:rsid w:val="00A50EC0"/>
    <w:rsid w:val="00A55708"/>
    <w:rsid w:val="00A74331"/>
    <w:rsid w:val="00AB3BCA"/>
    <w:rsid w:val="00AB6758"/>
    <w:rsid w:val="00AD0AC4"/>
    <w:rsid w:val="00AF203E"/>
    <w:rsid w:val="00B13763"/>
    <w:rsid w:val="00B477A4"/>
    <w:rsid w:val="00B54045"/>
    <w:rsid w:val="00B91231"/>
    <w:rsid w:val="00BA5E8B"/>
    <w:rsid w:val="00BC6A56"/>
    <w:rsid w:val="00C022F5"/>
    <w:rsid w:val="00C06421"/>
    <w:rsid w:val="00C151D8"/>
    <w:rsid w:val="00C438D7"/>
    <w:rsid w:val="00C53FE8"/>
    <w:rsid w:val="00C81B50"/>
    <w:rsid w:val="00CA655B"/>
    <w:rsid w:val="00CB3C3C"/>
    <w:rsid w:val="00CD1801"/>
    <w:rsid w:val="00D10EF1"/>
    <w:rsid w:val="00D42810"/>
    <w:rsid w:val="00D914A7"/>
    <w:rsid w:val="00DD13C3"/>
    <w:rsid w:val="00DD596E"/>
    <w:rsid w:val="00DD621E"/>
    <w:rsid w:val="00DF0575"/>
    <w:rsid w:val="00E03CA6"/>
    <w:rsid w:val="00E118A9"/>
    <w:rsid w:val="00E70E04"/>
    <w:rsid w:val="00E75996"/>
    <w:rsid w:val="00E9574F"/>
    <w:rsid w:val="00EC05A7"/>
    <w:rsid w:val="00EC4B6B"/>
    <w:rsid w:val="00ED7442"/>
    <w:rsid w:val="00EE0B18"/>
    <w:rsid w:val="00EF1EE5"/>
    <w:rsid w:val="00F140C4"/>
    <w:rsid w:val="00F16770"/>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C2D0511"/>
  <w15:docId w15:val="{9001FEC4-D539-4BA7-88A7-A05341C1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character" w:styleId="Hyperlink">
    <w:name w:val="Hyperlink"/>
    <w:uiPriority w:val="99"/>
    <w:unhideWhenUsed/>
    <w:rsid w:val="009E4BE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binternet.ohchr.org/_layouts/15/treatybodyexternal/Download.aspx?symbolno=CCPR%2fC%2fMAR%2fCO%2f6&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2fC%2fMAR%2fCO%2f6&amp;Lang=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263F-3BC0-45ED-BBB3-69475EDB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CCPR/C/127/2/Add.4</vt:lpstr>
    </vt:vector>
  </TitlesOfParts>
  <Company>DCM</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CCPR/C/127/2/Add.4</dc:title>
  <dc:subject>GE.2001307</dc:subject>
  <dc:creator>Gamal MAHMOUD-MEM</dc:creator>
  <cp:keywords>ODS No.2002240</cp:keywords>
  <dc:description>Distr.: General_x000d_
29 January 2020_x000d_
Original: English</dc:description>
  <cp:lastModifiedBy>Gamal Mohamed Abdelhamid Mahmoud</cp:lastModifiedBy>
  <cp:revision>2</cp:revision>
  <cp:lastPrinted>2020-03-05T15:43:00Z</cp:lastPrinted>
  <dcterms:created xsi:type="dcterms:W3CDTF">2020-03-05T15:48:00Z</dcterms:created>
  <dcterms:modified xsi:type="dcterms:W3CDTF">2020-03-05T15:48:00Z</dcterms:modified>
  <cp:category>Final</cp:category>
</cp:coreProperties>
</file>