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73512AC" w14:textId="77777777" w:rsidTr="002B7BC7">
        <w:trPr>
          <w:trHeight w:hRule="exact" w:val="851"/>
        </w:trPr>
        <w:tc>
          <w:tcPr>
            <w:tcW w:w="1276" w:type="dxa"/>
            <w:tcBorders>
              <w:bottom w:val="single" w:sz="4" w:space="0" w:color="auto"/>
            </w:tcBorders>
          </w:tcPr>
          <w:p w14:paraId="7686E5E7" w14:textId="77777777" w:rsidR="006F71EA" w:rsidRPr="00DB58B5" w:rsidRDefault="006F71EA" w:rsidP="00BE62B1"/>
        </w:tc>
        <w:tc>
          <w:tcPr>
            <w:tcW w:w="2268" w:type="dxa"/>
            <w:tcBorders>
              <w:bottom w:val="single" w:sz="4" w:space="0" w:color="auto"/>
            </w:tcBorders>
            <w:vAlign w:val="bottom"/>
          </w:tcPr>
          <w:p w14:paraId="302ED91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4AF8BD" w14:textId="1858AC53" w:rsidR="006F71EA" w:rsidRPr="00DB58B5" w:rsidRDefault="00BE62B1" w:rsidP="00BE62B1">
            <w:pPr>
              <w:jc w:val="right"/>
            </w:pPr>
            <w:r w:rsidRPr="00BE62B1">
              <w:rPr>
                <w:sz w:val="40"/>
              </w:rPr>
              <w:t>CCPR</w:t>
            </w:r>
            <w:r>
              <w:t>/C/126/D/3580/2019</w:t>
            </w:r>
          </w:p>
        </w:tc>
      </w:tr>
      <w:tr w:rsidR="006F71EA" w:rsidRPr="00DB58B5" w14:paraId="299146D1" w14:textId="77777777" w:rsidTr="002B7BC7">
        <w:trPr>
          <w:trHeight w:hRule="exact" w:val="2835"/>
        </w:trPr>
        <w:tc>
          <w:tcPr>
            <w:tcW w:w="1276" w:type="dxa"/>
            <w:tcBorders>
              <w:top w:val="single" w:sz="4" w:space="0" w:color="auto"/>
              <w:bottom w:val="single" w:sz="12" w:space="0" w:color="auto"/>
            </w:tcBorders>
          </w:tcPr>
          <w:p w14:paraId="3A1A2A2D" w14:textId="77777777" w:rsidR="006F71EA" w:rsidRPr="00DB58B5" w:rsidRDefault="006F71EA" w:rsidP="002B7BC7">
            <w:pPr>
              <w:spacing w:before="120"/>
              <w:jc w:val="center"/>
            </w:pPr>
            <w:r>
              <w:rPr>
                <w:noProof/>
                <w:lang w:eastAsia="fr-CH"/>
              </w:rPr>
              <w:drawing>
                <wp:inline distT="0" distB="0" distL="0" distR="0" wp14:anchorId="45BA1A0B" wp14:editId="0F85E9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D0C41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FDF7A4" w14:textId="77777777" w:rsidR="006F71EA" w:rsidRDefault="00BE62B1" w:rsidP="002B7BC7">
            <w:pPr>
              <w:spacing w:before="240"/>
            </w:pPr>
            <w:r>
              <w:t>Distr. générale</w:t>
            </w:r>
          </w:p>
          <w:p w14:paraId="55FA7FA6" w14:textId="77777777" w:rsidR="00BE62B1" w:rsidRDefault="00BE62B1" w:rsidP="00BE62B1">
            <w:pPr>
              <w:spacing w:line="240" w:lineRule="exact"/>
            </w:pPr>
            <w:r>
              <w:t>7 juin 2022</w:t>
            </w:r>
          </w:p>
          <w:p w14:paraId="589421A2" w14:textId="77777777" w:rsidR="00BE62B1" w:rsidRDefault="00BE62B1" w:rsidP="00BE62B1">
            <w:pPr>
              <w:spacing w:line="240" w:lineRule="exact"/>
            </w:pPr>
            <w:r>
              <w:t>Français</w:t>
            </w:r>
          </w:p>
          <w:p w14:paraId="1BFF3B43" w14:textId="02EF16E4" w:rsidR="00BE62B1" w:rsidRPr="00DB58B5" w:rsidRDefault="00BE62B1" w:rsidP="00BE62B1">
            <w:pPr>
              <w:spacing w:line="240" w:lineRule="exact"/>
            </w:pPr>
            <w:r>
              <w:t>Original : anglais</w:t>
            </w:r>
          </w:p>
        </w:tc>
      </w:tr>
    </w:tbl>
    <w:p w14:paraId="455692B9" w14:textId="105584E0" w:rsidR="006F71EA" w:rsidRDefault="006F71EA" w:rsidP="006F71EA">
      <w:pPr>
        <w:spacing w:before="120"/>
        <w:rPr>
          <w:b/>
          <w:sz w:val="24"/>
          <w:szCs w:val="24"/>
        </w:rPr>
      </w:pPr>
      <w:r w:rsidRPr="00DF3BF1">
        <w:rPr>
          <w:b/>
          <w:sz w:val="24"/>
          <w:szCs w:val="24"/>
        </w:rPr>
        <w:t>Comité des droits de l</w:t>
      </w:r>
      <w:r w:rsidR="00F02B73">
        <w:rPr>
          <w:b/>
          <w:sz w:val="24"/>
          <w:szCs w:val="24"/>
        </w:rPr>
        <w:t>’</w:t>
      </w:r>
      <w:r w:rsidRPr="00DF3BF1">
        <w:rPr>
          <w:b/>
          <w:sz w:val="24"/>
          <w:szCs w:val="24"/>
        </w:rPr>
        <w:t>homme</w:t>
      </w:r>
    </w:p>
    <w:p w14:paraId="44043B5D" w14:textId="4B2927BD" w:rsidR="00E85C42" w:rsidRDefault="00B9772D" w:rsidP="00B9772D">
      <w:pPr>
        <w:pStyle w:val="HChG"/>
      </w:pPr>
      <w:r>
        <w:tab/>
      </w:r>
      <w:r>
        <w:tab/>
      </w:r>
      <w:r w:rsidR="00BE62B1">
        <w:t>Décision adoptée par le Comité en vertu du Protocole facultatif, concernant la c</w:t>
      </w:r>
      <w:r w:rsidR="00BE62B1" w:rsidRPr="009B2027">
        <w:t xml:space="preserve">ommunication </w:t>
      </w:r>
      <w:r w:rsidR="00BE62B1" w:rsidRPr="009B2027">
        <w:rPr>
          <w:rFonts w:eastAsia="MS Mincho"/>
        </w:rPr>
        <w:t>n</w:t>
      </w:r>
      <w:r w:rsidR="00BE62B1" w:rsidRPr="009B2027">
        <w:rPr>
          <w:rFonts w:eastAsia="MS Mincho"/>
          <w:vertAlign w:val="superscript"/>
        </w:rPr>
        <w:t>o</w:t>
      </w:r>
      <w:r w:rsidR="00BE62B1" w:rsidRPr="009B2027">
        <w:t> 3580/2019</w:t>
      </w:r>
      <w:r w:rsidRPr="00113B28">
        <w:rPr>
          <w:rStyle w:val="Appelnotedebasdep"/>
          <w:b w:val="0"/>
          <w:bCs/>
          <w:sz w:val="20"/>
          <w:vertAlign w:val="baseline"/>
        </w:rPr>
        <w:footnoteReference w:customMarkFollows="1" w:id="2"/>
        <w:t>*</w:t>
      </w:r>
      <w:r w:rsidR="00113B28" w:rsidRPr="00113B28">
        <w:rPr>
          <w:b w:val="0"/>
          <w:bCs/>
          <w:sz w:val="20"/>
          <w:vertAlign w:val="superscript"/>
        </w:rPr>
        <w:t>,</w:t>
      </w:r>
      <w:r w:rsidR="00113B28" w:rsidRPr="00113B28">
        <w:rPr>
          <w:b w:val="0"/>
          <w:bCs/>
          <w:sz w:val="20"/>
        </w:rPr>
        <w:t xml:space="preserve"> </w:t>
      </w:r>
      <w:r w:rsidR="00113B28" w:rsidRPr="00113B28">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BE62B1" w14:paraId="58F9CFBF" w14:textId="77777777" w:rsidTr="00BE62B1">
        <w:tc>
          <w:tcPr>
            <w:tcW w:w="2835" w:type="dxa"/>
          </w:tcPr>
          <w:p w14:paraId="38CB0419" w14:textId="77777777" w:rsidR="00BE62B1" w:rsidRDefault="00BE62B1">
            <w:pPr>
              <w:pStyle w:val="SingleTxtG"/>
              <w:ind w:left="0" w:right="0"/>
              <w:jc w:val="left"/>
              <w:rPr>
                <w:i/>
              </w:rPr>
            </w:pPr>
            <w:r>
              <w:rPr>
                <w:i/>
              </w:rPr>
              <w:t>Communication présentée par</w:t>
            </w:r>
            <w:r>
              <w:t> :</w:t>
            </w:r>
          </w:p>
        </w:tc>
        <w:tc>
          <w:tcPr>
            <w:tcW w:w="3970" w:type="dxa"/>
          </w:tcPr>
          <w:p w14:paraId="5F68F7DD" w14:textId="24864075" w:rsidR="00BE62B1" w:rsidRDefault="00BE62B1">
            <w:pPr>
              <w:pStyle w:val="SingleTxtG"/>
              <w:ind w:left="0" w:right="0"/>
              <w:jc w:val="left"/>
            </w:pPr>
            <w:r w:rsidRPr="009B2027">
              <w:t>X</w:t>
            </w:r>
          </w:p>
        </w:tc>
      </w:tr>
      <w:tr w:rsidR="00BE62B1" w14:paraId="363E68AF" w14:textId="77777777" w:rsidTr="00BE62B1">
        <w:tc>
          <w:tcPr>
            <w:tcW w:w="2835" w:type="dxa"/>
          </w:tcPr>
          <w:p w14:paraId="02A3B2E6" w14:textId="7A54EADF" w:rsidR="00BE62B1" w:rsidRDefault="00BE62B1">
            <w:pPr>
              <w:pStyle w:val="SingleTxtG"/>
              <w:ind w:left="0" w:right="0"/>
              <w:jc w:val="left"/>
              <w:rPr>
                <w:i/>
              </w:rPr>
            </w:pPr>
            <w:r w:rsidRPr="009C03E0">
              <w:rPr>
                <w:i/>
              </w:rPr>
              <w:t>Victime(s) présumée(s)</w:t>
            </w:r>
            <w:r>
              <w:rPr>
                <w:i/>
              </w:rPr>
              <w:t> </w:t>
            </w:r>
            <w:r>
              <w:t>:</w:t>
            </w:r>
          </w:p>
        </w:tc>
        <w:tc>
          <w:tcPr>
            <w:tcW w:w="3970" w:type="dxa"/>
          </w:tcPr>
          <w:p w14:paraId="5D12D33B" w14:textId="499041AC" w:rsidR="00BE62B1" w:rsidRDefault="00BE62B1">
            <w:pPr>
              <w:pStyle w:val="SingleTxtG"/>
              <w:ind w:left="0" w:right="0"/>
              <w:jc w:val="left"/>
            </w:pPr>
            <w:r w:rsidRPr="009B2027">
              <w:t>L</w:t>
            </w:r>
            <w:r w:rsidR="00F02B73">
              <w:t>’</w:t>
            </w:r>
            <w:r w:rsidRPr="009B2027">
              <w:t>auteur</w:t>
            </w:r>
          </w:p>
        </w:tc>
      </w:tr>
      <w:tr w:rsidR="00BE62B1" w14:paraId="34C73DCF" w14:textId="77777777" w:rsidTr="00BE62B1">
        <w:tc>
          <w:tcPr>
            <w:tcW w:w="2835" w:type="dxa"/>
          </w:tcPr>
          <w:p w14:paraId="1342E1C9" w14:textId="77777777" w:rsidR="00BE62B1" w:rsidRDefault="00BE62B1">
            <w:pPr>
              <w:pStyle w:val="SingleTxtG"/>
              <w:ind w:left="0" w:right="0"/>
              <w:jc w:val="left"/>
              <w:rPr>
                <w:i/>
              </w:rPr>
            </w:pPr>
            <w:r>
              <w:rPr>
                <w:i/>
              </w:rPr>
              <w:t>État partie</w:t>
            </w:r>
            <w:r>
              <w:t> :</w:t>
            </w:r>
          </w:p>
        </w:tc>
        <w:tc>
          <w:tcPr>
            <w:tcW w:w="3970" w:type="dxa"/>
          </w:tcPr>
          <w:p w14:paraId="07DC9831" w14:textId="6B80CF27" w:rsidR="00BE62B1" w:rsidRDefault="00BE62B1">
            <w:pPr>
              <w:pStyle w:val="SingleTxtG"/>
              <w:ind w:left="0" w:right="0"/>
              <w:jc w:val="left"/>
            </w:pPr>
            <w:r w:rsidRPr="009B2027">
              <w:t>Australie</w:t>
            </w:r>
          </w:p>
        </w:tc>
      </w:tr>
      <w:tr w:rsidR="00BE62B1" w14:paraId="6163252F" w14:textId="77777777" w:rsidTr="00BE62B1">
        <w:tc>
          <w:tcPr>
            <w:tcW w:w="2835" w:type="dxa"/>
          </w:tcPr>
          <w:p w14:paraId="5A9AF5E8" w14:textId="060181EE" w:rsidR="00BE62B1" w:rsidRDefault="00BE62B1">
            <w:pPr>
              <w:pStyle w:val="SingleTxtG"/>
              <w:ind w:left="0" w:right="0"/>
              <w:jc w:val="left"/>
              <w:rPr>
                <w:i/>
              </w:rPr>
            </w:pPr>
            <w:r>
              <w:rPr>
                <w:i/>
              </w:rPr>
              <w:t xml:space="preserve">Date de la </w:t>
            </w:r>
            <w:r w:rsidRPr="009B2027">
              <w:rPr>
                <w:i/>
              </w:rPr>
              <w:t>communication</w:t>
            </w:r>
            <w:r>
              <w:t> :</w:t>
            </w:r>
          </w:p>
        </w:tc>
        <w:tc>
          <w:tcPr>
            <w:tcW w:w="3970" w:type="dxa"/>
          </w:tcPr>
          <w:p w14:paraId="05D8989B" w14:textId="0A7B56B0" w:rsidR="00BE62B1" w:rsidRDefault="00BE62B1">
            <w:pPr>
              <w:pStyle w:val="SingleTxtG"/>
              <w:ind w:left="0" w:right="0"/>
              <w:jc w:val="left"/>
            </w:pPr>
            <w:r w:rsidRPr="009B2027">
              <w:t xml:space="preserve">25 mai 2018 (date de la lettre initiale) </w:t>
            </w:r>
            <w:r w:rsidR="008154BC">
              <w:br/>
            </w:r>
            <w:r w:rsidRPr="009B2027">
              <w:t>et 11 février 2019</w:t>
            </w:r>
          </w:p>
        </w:tc>
      </w:tr>
      <w:tr w:rsidR="00BE62B1" w14:paraId="28EA7EE8" w14:textId="77777777" w:rsidTr="00BE62B1">
        <w:tc>
          <w:tcPr>
            <w:tcW w:w="2835" w:type="dxa"/>
          </w:tcPr>
          <w:p w14:paraId="339662BA" w14:textId="53E1D101" w:rsidR="00BE62B1" w:rsidRDefault="00BE62B1">
            <w:pPr>
              <w:pStyle w:val="SingleTxtG"/>
              <w:ind w:left="0" w:right="0"/>
              <w:jc w:val="left"/>
              <w:rPr>
                <w:i/>
              </w:rPr>
            </w:pPr>
            <w:r>
              <w:rPr>
                <w:i/>
              </w:rPr>
              <w:t>Date de la décision</w:t>
            </w:r>
            <w:r>
              <w:t> :</w:t>
            </w:r>
          </w:p>
        </w:tc>
        <w:tc>
          <w:tcPr>
            <w:tcW w:w="3970" w:type="dxa"/>
            <w:vAlign w:val="bottom"/>
          </w:tcPr>
          <w:p w14:paraId="2B564D91" w14:textId="596A2135" w:rsidR="00BE62B1" w:rsidRDefault="00BE62B1">
            <w:pPr>
              <w:pStyle w:val="SingleTxtG"/>
              <w:ind w:left="0" w:right="0"/>
              <w:jc w:val="left"/>
            </w:pPr>
            <w:r>
              <w:t>26</w:t>
            </w:r>
            <w:r w:rsidRPr="009B2027">
              <w:t xml:space="preserve"> juillet 2019</w:t>
            </w:r>
          </w:p>
        </w:tc>
      </w:tr>
      <w:tr w:rsidR="00BE62B1" w14:paraId="2CBDE683" w14:textId="77777777" w:rsidTr="00BE62B1">
        <w:tc>
          <w:tcPr>
            <w:tcW w:w="2835" w:type="dxa"/>
          </w:tcPr>
          <w:p w14:paraId="4A5174D6" w14:textId="77777777" w:rsidR="00BE62B1" w:rsidRDefault="00BE62B1">
            <w:pPr>
              <w:pStyle w:val="SingleTxtG"/>
              <w:ind w:left="0" w:right="0"/>
              <w:jc w:val="left"/>
            </w:pPr>
            <w:r>
              <w:rPr>
                <w:i/>
              </w:rPr>
              <w:t>Objet</w:t>
            </w:r>
            <w:r>
              <w:t> :</w:t>
            </w:r>
          </w:p>
        </w:tc>
        <w:tc>
          <w:tcPr>
            <w:tcW w:w="3970" w:type="dxa"/>
            <w:vAlign w:val="bottom"/>
          </w:tcPr>
          <w:p w14:paraId="31FC07A4" w14:textId="39EA5062" w:rsidR="00BE62B1" w:rsidRDefault="00BE62B1">
            <w:pPr>
              <w:pStyle w:val="SingleTxtG"/>
              <w:ind w:left="0" w:right="0"/>
              <w:jc w:val="left"/>
            </w:pPr>
            <w:r w:rsidRPr="009B2027">
              <w:t>Mesures disciplinaires contre un avocat pour faute professionnelle</w:t>
            </w:r>
          </w:p>
        </w:tc>
      </w:tr>
      <w:tr w:rsidR="00BE62B1" w14:paraId="4FE8CD3A" w14:textId="77777777" w:rsidTr="00BE62B1">
        <w:tc>
          <w:tcPr>
            <w:tcW w:w="2835" w:type="dxa"/>
          </w:tcPr>
          <w:p w14:paraId="0C40F175" w14:textId="2F2E8441" w:rsidR="00BE62B1" w:rsidRDefault="00BE62B1">
            <w:pPr>
              <w:pStyle w:val="SingleTxtG"/>
              <w:ind w:left="0" w:right="0"/>
              <w:jc w:val="left"/>
            </w:pPr>
            <w:r>
              <w:rPr>
                <w:i/>
              </w:rPr>
              <w:t>Question(s) de procédure</w:t>
            </w:r>
            <w:r>
              <w:t> :</w:t>
            </w:r>
          </w:p>
        </w:tc>
        <w:tc>
          <w:tcPr>
            <w:tcW w:w="3970" w:type="dxa"/>
            <w:vAlign w:val="bottom"/>
          </w:tcPr>
          <w:p w14:paraId="327BBC05" w14:textId="735AA9EE" w:rsidR="00BE62B1" w:rsidRDefault="00BE62B1">
            <w:pPr>
              <w:pStyle w:val="SingleTxtG"/>
              <w:ind w:left="0" w:right="0"/>
              <w:jc w:val="left"/>
            </w:pPr>
            <w:r w:rsidRPr="009B2027">
              <w:rPr>
                <w:iCs/>
              </w:rPr>
              <w:t>Recevabilité</w:t>
            </w:r>
            <w:r w:rsidRPr="009B2027">
              <w:t xml:space="preserve"> − défaut manifeste de fondement</w:t>
            </w:r>
            <w:r>
              <w:t> ;</w:t>
            </w:r>
            <w:r w:rsidRPr="009B2027">
              <w:t xml:space="preserve"> recevabilité − </w:t>
            </w:r>
            <w:r w:rsidRPr="009B2027">
              <w:rPr>
                <w:i/>
              </w:rPr>
              <w:t>ratione materiae</w:t>
            </w:r>
          </w:p>
        </w:tc>
      </w:tr>
      <w:tr w:rsidR="00BE62B1" w14:paraId="4F6ED5C7" w14:textId="77777777" w:rsidTr="00BE62B1">
        <w:tc>
          <w:tcPr>
            <w:tcW w:w="2835" w:type="dxa"/>
          </w:tcPr>
          <w:p w14:paraId="311619DD" w14:textId="29C28951" w:rsidR="00BE62B1" w:rsidRDefault="00BE62B1">
            <w:pPr>
              <w:pStyle w:val="SingleTxtG"/>
              <w:ind w:left="0" w:right="0"/>
              <w:jc w:val="left"/>
            </w:pPr>
            <w:r>
              <w:rPr>
                <w:i/>
              </w:rPr>
              <w:t>Question(s) de fond</w:t>
            </w:r>
            <w:r>
              <w:t> :</w:t>
            </w:r>
          </w:p>
        </w:tc>
        <w:tc>
          <w:tcPr>
            <w:tcW w:w="3970" w:type="dxa"/>
            <w:vAlign w:val="bottom"/>
          </w:tcPr>
          <w:p w14:paraId="37EB0D6D" w14:textId="72F6A3C8" w:rsidR="00BE62B1" w:rsidRDefault="00BE62B1">
            <w:pPr>
              <w:pStyle w:val="SingleTxtG"/>
              <w:ind w:left="0" w:right="0"/>
              <w:jc w:val="left"/>
            </w:pPr>
            <w:r w:rsidRPr="009B2027">
              <w:t>Discrimination</w:t>
            </w:r>
            <w:r>
              <w:t> ;</w:t>
            </w:r>
            <w:r w:rsidRPr="009B2027">
              <w:t xml:space="preserve"> recours utile</w:t>
            </w:r>
            <w:r>
              <w:t> ;</w:t>
            </w:r>
            <w:r w:rsidRPr="009B2027">
              <w:t xml:space="preserve"> procès équitable</w:t>
            </w:r>
            <w:r>
              <w:t> ;</w:t>
            </w:r>
            <w:r w:rsidRPr="009B2027">
              <w:t xml:space="preserve"> liberté d</w:t>
            </w:r>
            <w:r w:rsidR="00F02B73">
              <w:t>’</w:t>
            </w:r>
            <w:r w:rsidRPr="009B2027">
              <w:t>expression</w:t>
            </w:r>
          </w:p>
        </w:tc>
      </w:tr>
      <w:tr w:rsidR="00BE62B1" w14:paraId="2805434D" w14:textId="77777777" w:rsidTr="00BE62B1">
        <w:tc>
          <w:tcPr>
            <w:tcW w:w="2835" w:type="dxa"/>
          </w:tcPr>
          <w:p w14:paraId="6A0C228F" w14:textId="63758449" w:rsidR="00BE62B1" w:rsidRDefault="00BE62B1">
            <w:pPr>
              <w:pStyle w:val="SingleTxtG"/>
              <w:ind w:left="0" w:right="0"/>
              <w:jc w:val="left"/>
            </w:pPr>
            <w:r w:rsidRPr="009B2027">
              <w:rPr>
                <w:i/>
              </w:rPr>
              <w:t>Article(s) du Pacte</w:t>
            </w:r>
            <w:r>
              <w:t> :</w:t>
            </w:r>
          </w:p>
        </w:tc>
        <w:tc>
          <w:tcPr>
            <w:tcW w:w="3970" w:type="dxa"/>
            <w:vAlign w:val="bottom"/>
          </w:tcPr>
          <w:p w14:paraId="6E96BE09" w14:textId="335876AC" w:rsidR="00BE62B1" w:rsidRDefault="00BE62B1">
            <w:pPr>
              <w:pStyle w:val="SingleTxtG"/>
              <w:ind w:left="0" w:right="0"/>
              <w:jc w:val="left"/>
            </w:pPr>
            <w:r w:rsidRPr="009B2027">
              <w:t>2 (par. 1, 2 et 3), 5 (par. 2), 14 (par. 1), 19 et 26</w:t>
            </w:r>
          </w:p>
        </w:tc>
      </w:tr>
      <w:tr w:rsidR="00BE62B1" w14:paraId="4D3F6F9C" w14:textId="77777777" w:rsidTr="00BE62B1">
        <w:tc>
          <w:tcPr>
            <w:tcW w:w="2835" w:type="dxa"/>
          </w:tcPr>
          <w:p w14:paraId="6869B127" w14:textId="4EF80256" w:rsidR="00BE62B1" w:rsidRPr="009B2027" w:rsidRDefault="00BE62B1">
            <w:pPr>
              <w:pStyle w:val="SingleTxtG"/>
              <w:ind w:left="0" w:right="0"/>
              <w:jc w:val="left"/>
              <w:rPr>
                <w:i/>
              </w:rPr>
            </w:pPr>
            <w:r w:rsidRPr="009B2027">
              <w:rPr>
                <w:i/>
              </w:rPr>
              <w:t>Article(s) du Protocole facultatif</w:t>
            </w:r>
            <w:r>
              <w:rPr>
                <w:i/>
              </w:rPr>
              <w:t> </w:t>
            </w:r>
            <w:r w:rsidRPr="00BE62B1">
              <w:rPr>
                <w:iCs/>
              </w:rPr>
              <w:t>:</w:t>
            </w:r>
          </w:p>
        </w:tc>
        <w:tc>
          <w:tcPr>
            <w:tcW w:w="3970" w:type="dxa"/>
            <w:vAlign w:val="bottom"/>
          </w:tcPr>
          <w:p w14:paraId="39BE1BDB" w14:textId="7F3F34AF" w:rsidR="00BE62B1" w:rsidRPr="009B2027" w:rsidRDefault="00BE62B1">
            <w:pPr>
              <w:pStyle w:val="SingleTxtG"/>
              <w:ind w:left="0" w:right="0"/>
              <w:jc w:val="left"/>
            </w:pPr>
            <w:r w:rsidRPr="009B2027">
              <w:t>2 et 3</w:t>
            </w:r>
          </w:p>
        </w:tc>
      </w:tr>
    </w:tbl>
    <w:p w14:paraId="68DA47FB" w14:textId="55C3B268" w:rsidR="00BE62B1" w:rsidRPr="009B2027" w:rsidRDefault="00BE62B1" w:rsidP="00113B28">
      <w:pPr>
        <w:pStyle w:val="SingleTxtG"/>
        <w:spacing w:before="120"/>
      </w:pPr>
      <w:r w:rsidRPr="009B2027">
        <w:t>1.1</w:t>
      </w:r>
      <w:r w:rsidRPr="009B2027">
        <w:tab/>
        <w:t>L</w:t>
      </w:r>
      <w:r w:rsidR="00F02B73">
        <w:t>’</w:t>
      </w:r>
      <w:r w:rsidRPr="009B2027">
        <w:t>auteur de la communication est X, de nationalité australienne, né en 1957. Il affirme que l</w:t>
      </w:r>
      <w:r w:rsidR="00F02B73">
        <w:t>’</w:t>
      </w:r>
      <w:r w:rsidRPr="009B2027">
        <w:t>Australie a violé les droits qu</w:t>
      </w:r>
      <w:r w:rsidR="00F02B73">
        <w:t>’</w:t>
      </w:r>
      <w:r w:rsidRPr="009B2027">
        <w:t>il tient des articles 2 (par. 1, 2 et 3), 5 (par. 2), 14 (par. 1), 19 et 26 du Pacte. Le Protocole facultatif est entré en vigueur pour l</w:t>
      </w:r>
      <w:r w:rsidR="00F02B73">
        <w:t>’</w:t>
      </w:r>
      <w:r w:rsidRPr="009B2027">
        <w:t>État partie le 25</w:t>
      </w:r>
      <w:r w:rsidR="00F02B73">
        <w:t> </w:t>
      </w:r>
      <w:r w:rsidRPr="009B2027">
        <w:t>décembre 1991. L</w:t>
      </w:r>
      <w:r w:rsidR="00F02B73">
        <w:t>’</w:t>
      </w:r>
      <w:r w:rsidRPr="009B2027">
        <w:t>auteur est avocat et n</w:t>
      </w:r>
      <w:r w:rsidR="00F02B73">
        <w:t>’</w:t>
      </w:r>
      <w:r w:rsidRPr="009B2027">
        <w:t>est pas représenté</w:t>
      </w:r>
      <w:r>
        <w:t xml:space="preserve"> par un conseil</w:t>
      </w:r>
      <w:r w:rsidRPr="009B2027">
        <w:t>.</w:t>
      </w:r>
    </w:p>
    <w:p w14:paraId="19084878" w14:textId="1716938F" w:rsidR="00BE62B1" w:rsidRPr="009B2027" w:rsidRDefault="00BE62B1" w:rsidP="00BE62B1">
      <w:pPr>
        <w:pStyle w:val="SingleTxtG"/>
      </w:pPr>
      <w:r w:rsidRPr="009B2027">
        <w:t>1.2</w:t>
      </w:r>
      <w:r w:rsidRPr="009B2027">
        <w:tab/>
        <w:t>Le 20 février 2019, le Comité, agissant par l</w:t>
      </w:r>
      <w:r w:rsidR="00F02B73">
        <w:t>’</w:t>
      </w:r>
      <w:r w:rsidRPr="009B2027">
        <w:t>intermédiaire de son Rapporteur spécial chargé des nouvelles communications et des mesures provisoires, a établi qu</w:t>
      </w:r>
      <w:r w:rsidR="00F02B73">
        <w:t>’</w:t>
      </w:r>
      <w:r w:rsidRPr="009B2027">
        <w:t>il n</w:t>
      </w:r>
      <w:r w:rsidR="00F02B73">
        <w:t>’</w:t>
      </w:r>
      <w:r w:rsidRPr="009B2027">
        <w:t>avait pas besoin des observations de l</w:t>
      </w:r>
      <w:r w:rsidR="00F02B73">
        <w:t>’</w:t>
      </w:r>
      <w:r w:rsidRPr="009B2027">
        <w:t>État partie pour apprécier la recevabilité de la présente communication.</w:t>
      </w:r>
    </w:p>
    <w:p w14:paraId="6DD0E6BA" w14:textId="03A8E13C" w:rsidR="00BE62B1" w:rsidRPr="009B2027" w:rsidRDefault="00BE62B1" w:rsidP="00BE62B1">
      <w:pPr>
        <w:pStyle w:val="H23G"/>
      </w:pPr>
      <w:r w:rsidRPr="009B2027">
        <w:tab/>
      </w:r>
      <w:r w:rsidRPr="009B2027">
        <w:tab/>
        <w:t>Rappel des faits présentés par l</w:t>
      </w:r>
      <w:r w:rsidR="00F02B73">
        <w:t>’</w:t>
      </w:r>
      <w:r w:rsidRPr="009B2027">
        <w:t>auteur</w:t>
      </w:r>
    </w:p>
    <w:p w14:paraId="02306430" w14:textId="7CF3B67F" w:rsidR="00BE62B1" w:rsidRPr="009B2027" w:rsidRDefault="00BE62B1" w:rsidP="00BE62B1">
      <w:pPr>
        <w:pStyle w:val="SingleTxtG"/>
      </w:pPr>
      <w:r w:rsidRPr="009B2027">
        <w:t>2.1</w:t>
      </w:r>
      <w:r w:rsidRPr="009B2027">
        <w:tab/>
        <w:t>En 2011, l</w:t>
      </w:r>
      <w:r w:rsidR="00F02B73">
        <w:t>’</w:t>
      </w:r>
      <w:r w:rsidRPr="009B2027">
        <w:t>auteur a été autorisé à pratiquer le droit dans l</w:t>
      </w:r>
      <w:r w:rsidR="00F02B73">
        <w:t>’</w:t>
      </w:r>
      <w:r w:rsidRPr="009B2027">
        <w:t>État de la Nouvelle-Galles du Sud. Il était employé par un cabinet comme avocat débutant</w:t>
      </w:r>
      <w:r>
        <w:t xml:space="preserve"> </w:t>
      </w:r>
      <w:r w:rsidRPr="009B2027">
        <w:t>et était soumis dans l</w:t>
      </w:r>
      <w:r w:rsidR="00F02B73">
        <w:t>’</w:t>
      </w:r>
      <w:r w:rsidRPr="009B2027">
        <w:t>exercice de sa pratique professionnelle aux conditions d</w:t>
      </w:r>
      <w:r w:rsidR="00F02B73">
        <w:t>’</w:t>
      </w:r>
      <w:r w:rsidRPr="009B2027">
        <w:t>encadrement énoncées dans la loi uniforme</w:t>
      </w:r>
      <w:r>
        <w:t xml:space="preserve"> </w:t>
      </w:r>
      <w:r w:rsidRPr="009B2027">
        <w:t>sur la profession juridique de la Nouvelle-Galles du Sud.</w:t>
      </w:r>
    </w:p>
    <w:p w14:paraId="1580273C" w14:textId="0CE93727" w:rsidR="00BE62B1" w:rsidRPr="009B2027" w:rsidRDefault="00BE62B1" w:rsidP="00BE62B1">
      <w:pPr>
        <w:pStyle w:val="SingleTxtG"/>
      </w:pPr>
      <w:r w:rsidRPr="009B2027">
        <w:lastRenderedPageBreak/>
        <w:t>2.2</w:t>
      </w:r>
      <w:r w:rsidRPr="009B2027">
        <w:tab/>
        <w:t>Sous la supervision du directeur du cabinet d</w:t>
      </w:r>
      <w:r w:rsidR="00F02B73">
        <w:t>’</w:t>
      </w:r>
      <w:r w:rsidRPr="009B2027">
        <w:t>avocat</w:t>
      </w:r>
      <w:r>
        <w:t>s</w:t>
      </w:r>
      <w:r w:rsidRPr="009B2027">
        <w:t>, l</w:t>
      </w:r>
      <w:r w:rsidR="00F02B73">
        <w:t>’</w:t>
      </w:r>
      <w:r w:rsidRPr="009B2027">
        <w:t>auteur a été chargé du dossier d</w:t>
      </w:r>
      <w:r w:rsidR="00F02B73">
        <w:t>’</w:t>
      </w:r>
      <w:r w:rsidRPr="009B2027">
        <w:t>un client. Le 24 mai 2014, il a représenté ce client devant la Cour fédérale d</w:t>
      </w:r>
      <w:r w:rsidR="00F02B73">
        <w:t>’</w:t>
      </w:r>
      <w:r w:rsidRPr="009B2027">
        <w:t>Australie dans le cadre d</w:t>
      </w:r>
      <w:r w:rsidR="00F02B73">
        <w:t>’</w:t>
      </w:r>
      <w:r w:rsidRPr="009B2027">
        <w:t>une requête en révision d</w:t>
      </w:r>
      <w:r w:rsidR="00F02B73">
        <w:t>’</w:t>
      </w:r>
      <w:r w:rsidRPr="009B2027">
        <w:t>une décision concernant l</w:t>
      </w:r>
      <w:r w:rsidR="00F02B73">
        <w:t>’</w:t>
      </w:r>
      <w:r w:rsidRPr="009B2027">
        <w:t>évaluation d</w:t>
      </w:r>
      <w:r w:rsidR="00F02B73">
        <w:t>’</w:t>
      </w:r>
      <w:r w:rsidRPr="009B2027">
        <w:t xml:space="preserve">un impôt à payer </w:t>
      </w:r>
      <w:r>
        <w:t xml:space="preserve">qui avait été </w:t>
      </w:r>
      <w:r w:rsidRPr="009B2027">
        <w:t>rendue contre le client en faveur du Service fiscal australien. À cette occasion, l</w:t>
      </w:r>
      <w:r w:rsidR="00F02B73">
        <w:t>’</w:t>
      </w:r>
      <w:r w:rsidRPr="009B2027">
        <w:t>auteur s</w:t>
      </w:r>
      <w:r w:rsidR="00F02B73">
        <w:t>’</w:t>
      </w:r>
      <w:r w:rsidRPr="009B2027">
        <w:t>est adressé par inadvertance au juge en l</w:t>
      </w:r>
      <w:r w:rsidR="00F02B73">
        <w:t>’</w:t>
      </w:r>
      <w:r w:rsidRPr="009B2027">
        <w:t>appelant « greffier </w:t>
      </w:r>
      <w:r w:rsidRPr="00D52055">
        <w:t xml:space="preserve">». </w:t>
      </w:r>
      <w:r w:rsidRPr="00AB5979">
        <w:t>Le juge a rétorqué</w:t>
      </w:r>
      <w:r>
        <w:t> :</w:t>
      </w:r>
      <w:r w:rsidRPr="009E306A">
        <w:t>« </w:t>
      </w:r>
      <w:r>
        <w:t>Là, vous venez de reculer de 20</w:t>
      </w:r>
      <w:r w:rsidR="00F02B73">
        <w:t> </w:t>
      </w:r>
      <w:r>
        <w:t>mètres de la ligne de départ </w:t>
      </w:r>
      <w:r w:rsidRPr="00AB5979">
        <w:t>»</w:t>
      </w:r>
      <w:r>
        <w:t xml:space="preserve"> (</w:t>
      </w:r>
      <w:r w:rsidRPr="00AB5979">
        <w:t>« </w:t>
      </w:r>
      <w:r w:rsidRPr="00370044">
        <w:rPr>
          <w:i/>
          <w:iCs/>
        </w:rPr>
        <w:t>That just put you 20</w:t>
      </w:r>
      <w:r w:rsidR="00F02B73">
        <w:rPr>
          <w:i/>
          <w:iCs/>
        </w:rPr>
        <w:t> </w:t>
      </w:r>
      <w:r w:rsidRPr="00370044">
        <w:rPr>
          <w:i/>
          <w:iCs/>
        </w:rPr>
        <w:t>metres behind the mark </w:t>
      </w:r>
      <w:r w:rsidRPr="009E306A">
        <w:t>»</w:t>
      </w:r>
      <w:r w:rsidRPr="00AB5979">
        <w:t>)</w:t>
      </w:r>
      <w:r w:rsidRPr="00D52055">
        <w:t>.</w:t>
      </w:r>
    </w:p>
    <w:p w14:paraId="706DD933" w14:textId="40F1B934" w:rsidR="00BE62B1" w:rsidRPr="009B2027" w:rsidRDefault="00BE62B1" w:rsidP="00BE62B1">
      <w:pPr>
        <w:pStyle w:val="SingleTxtG"/>
      </w:pPr>
      <w:r w:rsidRPr="009B2027">
        <w:t>2.3</w:t>
      </w:r>
      <w:r w:rsidRPr="009B2027">
        <w:tab/>
      </w:r>
      <w:r>
        <w:t>À cause de cette remarque, l</w:t>
      </w:r>
      <w:r w:rsidR="00F02B73">
        <w:t>’</w:t>
      </w:r>
      <w:r w:rsidRPr="009B2027">
        <w:t xml:space="preserve">auteur a porté plainte contre le juge </w:t>
      </w:r>
      <w:r>
        <w:t>devant le</w:t>
      </w:r>
      <w:r w:rsidRPr="009B2027">
        <w:t xml:space="preserve"> Président de la Cour fédérale</w:t>
      </w:r>
      <w:r>
        <w:t xml:space="preserve">. Celui-ci </w:t>
      </w:r>
      <w:r w:rsidRPr="009B2027">
        <w:t xml:space="preserve">a rejeté </w:t>
      </w:r>
      <w:r>
        <w:t>la</w:t>
      </w:r>
      <w:r w:rsidRPr="009B2027">
        <w:t xml:space="preserve"> plainte comme « futile » au motif que le juge « ne faisait que plaisanter ».</w:t>
      </w:r>
    </w:p>
    <w:p w14:paraId="41327768" w14:textId="0EB93165" w:rsidR="00BE62B1" w:rsidRPr="009B2027" w:rsidRDefault="00BE62B1" w:rsidP="00BE62B1">
      <w:pPr>
        <w:pStyle w:val="SingleTxtG"/>
      </w:pPr>
      <w:r w:rsidRPr="009B2027">
        <w:t>2.4</w:t>
      </w:r>
      <w:r w:rsidRPr="009B2027">
        <w:tab/>
        <w:t>En ce qui concerne la requête en révision de son client, le Service fiscal australien n</w:t>
      </w:r>
      <w:r w:rsidR="00F02B73">
        <w:t>’</w:t>
      </w:r>
      <w:r w:rsidRPr="009B2027">
        <w:t>a</w:t>
      </w:r>
      <w:r>
        <w:t>vait</w:t>
      </w:r>
      <w:r w:rsidRPr="009B2027">
        <w:t xml:space="preserve"> pas soulevé d</w:t>
      </w:r>
      <w:r w:rsidR="00F02B73">
        <w:t>’</w:t>
      </w:r>
      <w:r w:rsidRPr="009B2027">
        <w:t>objection de compétence</w:t>
      </w:r>
      <w:r>
        <w:t xml:space="preserve"> </w:t>
      </w:r>
      <w:r w:rsidRPr="009B2027">
        <w:t>dans le délai fixé par la règle</w:t>
      </w:r>
      <w:r w:rsidR="00F02B73">
        <w:t> </w:t>
      </w:r>
      <w:r w:rsidRPr="009B2027">
        <w:t>31.24 de la Cour fédérale</w:t>
      </w:r>
      <w:r>
        <w:t>. Cependant</w:t>
      </w:r>
      <w:r w:rsidRPr="009B2027">
        <w:t xml:space="preserve">, sept jours après </w:t>
      </w:r>
      <w:r>
        <w:t>l</w:t>
      </w:r>
      <w:r w:rsidR="00F02B73">
        <w:t>’</w:t>
      </w:r>
      <w:r w:rsidRPr="009B2027">
        <w:t>expiration de ce délai, le juge visé par la plainte de l</w:t>
      </w:r>
      <w:r w:rsidR="00F02B73">
        <w:t>’</w:t>
      </w:r>
      <w:r w:rsidRPr="009B2027">
        <w:t xml:space="preserve">auteur a ordonné au Service fiscal de soumettre et de signifier une objection de compétence dans les </w:t>
      </w:r>
      <w:r>
        <w:t xml:space="preserve">quatorze </w:t>
      </w:r>
      <w:r w:rsidRPr="009B2027">
        <w:t>jours. L</w:t>
      </w:r>
      <w:r w:rsidR="00F02B73">
        <w:t>’</w:t>
      </w:r>
      <w:r w:rsidRPr="009B2027">
        <w:t>auteur affirme que cet ordre témoignait d</w:t>
      </w:r>
      <w:r w:rsidR="00F02B73">
        <w:t>’</w:t>
      </w:r>
      <w:r w:rsidRPr="009B2027">
        <w:t>un parti-pris en faveur d</w:t>
      </w:r>
      <w:r w:rsidR="00F02B73">
        <w:t>’</w:t>
      </w:r>
      <w:r w:rsidRPr="009B2027">
        <w:t>un organe public.</w:t>
      </w:r>
      <w:r w:rsidRPr="009B2027">
        <w:rPr>
          <w:vertAlign w:val="superscript"/>
        </w:rPr>
        <w:t xml:space="preserve"> </w:t>
      </w:r>
      <w:r w:rsidRPr="009B2027">
        <w:t>Le 30 juillet 2014, le même juge a rejeté la requête en révision du client de l</w:t>
      </w:r>
      <w:r w:rsidR="00F02B73">
        <w:t>’</w:t>
      </w:r>
      <w:r w:rsidRPr="009B2027">
        <w:t>auteur et adjugé les dépens contre le client au profit du Service fiscal.</w:t>
      </w:r>
    </w:p>
    <w:p w14:paraId="481BB09D" w14:textId="70DE33E1" w:rsidR="00BE62B1" w:rsidRPr="009B2027" w:rsidRDefault="00BE62B1" w:rsidP="00BE62B1">
      <w:pPr>
        <w:pStyle w:val="SingleTxtG"/>
      </w:pPr>
      <w:r w:rsidRPr="009B2027">
        <w:t>2.5</w:t>
      </w:r>
      <w:r w:rsidRPr="009B2027">
        <w:tab/>
        <w:t>Le 31</w:t>
      </w:r>
      <w:r w:rsidR="00F02B73">
        <w:t> </w:t>
      </w:r>
      <w:r w:rsidRPr="009B2027">
        <w:t>juillet 2014, l</w:t>
      </w:r>
      <w:r w:rsidR="00F02B73">
        <w:t>’</w:t>
      </w:r>
      <w:r w:rsidRPr="009B2027">
        <w:t>auteur a adressé au juge un courriel demandant le réexamen de l</w:t>
      </w:r>
      <w:r w:rsidR="00F02B73">
        <w:t>’</w:t>
      </w:r>
      <w:r w:rsidRPr="009B2027">
        <w:t>affaire. Il écrivait notamment dans son courriel</w:t>
      </w:r>
      <w:r>
        <w:t> :</w:t>
      </w:r>
      <w:r w:rsidRPr="009B2027">
        <w:t xml:space="preserve"> « les valeurs publiques et démocratiques australiennes exigent et </w:t>
      </w:r>
      <w:r w:rsidRPr="002C2DAE">
        <w:t xml:space="preserve">méritent </w:t>
      </w:r>
      <w:r w:rsidRPr="00370044">
        <w:t>des</w:t>
      </w:r>
      <w:r w:rsidRPr="002C2DAE">
        <w:t xml:space="preserve"> décision</w:t>
      </w:r>
      <w:r w:rsidRPr="00BA2184">
        <w:t>s</w:t>
      </w:r>
      <w:r w:rsidRPr="002C2DAE">
        <w:t xml:space="preserve"> </w:t>
      </w:r>
      <w:r w:rsidRPr="00370044">
        <w:t>d</w:t>
      </w:r>
      <w:r w:rsidR="00F02B73">
        <w:t>’</w:t>
      </w:r>
      <w:r w:rsidRPr="00370044">
        <w:t xml:space="preserve">un niveau </w:t>
      </w:r>
      <w:r w:rsidRPr="002C2DAE">
        <w:t>plus élevé</w:t>
      </w:r>
      <w:r w:rsidRPr="009B2027">
        <w:t xml:space="preserve"> […] que celui dont témoignent vos arguments ». Le 1</w:t>
      </w:r>
      <w:r w:rsidRPr="009B2027">
        <w:rPr>
          <w:vertAlign w:val="superscript"/>
        </w:rPr>
        <w:t>er</w:t>
      </w:r>
      <w:r w:rsidRPr="009B2027">
        <w:t> </w:t>
      </w:r>
      <w:r>
        <w:t>s</w:t>
      </w:r>
      <w:r w:rsidRPr="009B2027">
        <w:t>eptembre 2014, la Cour fédérale a rejeté l</w:t>
      </w:r>
      <w:r w:rsidR="00F02B73">
        <w:t>’</w:t>
      </w:r>
      <w:r w:rsidRPr="009B2027">
        <w:t>appel formé par l</w:t>
      </w:r>
      <w:r w:rsidR="00F02B73">
        <w:t>’</w:t>
      </w:r>
      <w:r w:rsidRPr="009B2027">
        <w:t>auteur au nom de son client.</w:t>
      </w:r>
    </w:p>
    <w:p w14:paraId="69535D16" w14:textId="76FB1CD4" w:rsidR="00BE62B1" w:rsidRPr="009B2027" w:rsidRDefault="00BE62B1" w:rsidP="00BE62B1">
      <w:pPr>
        <w:pStyle w:val="SingleTxtG"/>
      </w:pPr>
      <w:r w:rsidRPr="009B2027">
        <w:t>2.6</w:t>
      </w:r>
      <w:r w:rsidRPr="009B2027">
        <w:tab/>
        <w:t>Le juge a porté plainte contre l</w:t>
      </w:r>
      <w:r w:rsidR="00F02B73">
        <w:t>’</w:t>
      </w:r>
      <w:r w:rsidRPr="009B2027">
        <w:t xml:space="preserve">auteur </w:t>
      </w:r>
      <w:r>
        <w:t>devant</w:t>
      </w:r>
      <w:r w:rsidRPr="009B2027">
        <w:t xml:space="preserve"> la Commission des normes professionnelles du Barreau de la Nouvelle-Galles du Sud. Le 4</w:t>
      </w:r>
      <w:r w:rsidR="00884CDD">
        <w:t> </w:t>
      </w:r>
      <w:r w:rsidRPr="009B2027">
        <w:t>mars 2015, l</w:t>
      </w:r>
      <w:r w:rsidR="00F02B73">
        <w:t>’</w:t>
      </w:r>
      <w:r w:rsidRPr="009B2027">
        <w:t xml:space="preserve">organe disciplinaire de la </w:t>
      </w:r>
      <w:r>
        <w:t>C</w:t>
      </w:r>
      <w:r w:rsidRPr="009B2027">
        <w:t xml:space="preserve">ommission a </w:t>
      </w:r>
      <w:r>
        <w:t>engagé</w:t>
      </w:r>
      <w:r w:rsidRPr="009B2027">
        <w:t xml:space="preserve"> une procédure disciplinaire devant le Tribunal civil et administratif de la Nouvelle-Galles du Sud, affirmant que l</w:t>
      </w:r>
      <w:r w:rsidR="00F02B73">
        <w:t>’</w:t>
      </w:r>
      <w:r w:rsidRPr="009B2027">
        <w:t>auteur avait commis une faute professionnelle en tenant dans son courriel des propos « </w:t>
      </w:r>
      <w:r>
        <w:t>offens</w:t>
      </w:r>
      <w:r w:rsidRPr="009B2027">
        <w:t>ants</w:t>
      </w:r>
      <w:r w:rsidR="00884CDD">
        <w:t> </w:t>
      </w:r>
      <w:r w:rsidRPr="009B2027">
        <w:t>» et « excessivement désobligeants » à l</w:t>
      </w:r>
      <w:r w:rsidR="00F02B73">
        <w:t>’</w:t>
      </w:r>
      <w:r w:rsidRPr="009B2027">
        <w:t xml:space="preserve">égard du juge. La </w:t>
      </w:r>
      <w:r>
        <w:t>C</w:t>
      </w:r>
      <w:r w:rsidRPr="009B2027">
        <w:t>ommission n</w:t>
      </w:r>
      <w:r w:rsidR="00F02B73">
        <w:t>’</w:t>
      </w:r>
      <w:r w:rsidRPr="009B2027">
        <w:t>a pas explicité les termes entre guillemets.</w:t>
      </w:r>
    </w:p>
    <w:p w14:paraId="3E26FDF8" w14:textId="5528F1F4" w:rsidR="00BE62B1" w:rsidRPr="009B2027" w:rsidRDefault="00BE62B1" w:rsidP="00BE62B1">
      <w:pPr>
        <w:pStyle w:val="SingleTxtG"/>
      </w:pPr>
      <w:r w:rsidRPr="009B2027">
        <w:t>2.7</w:t>
      </w:r>
      <w:r w:rsidRPr="009B2027">
        <w:tab/>
        <w:t>Aucune accusation pour faute professionnelle n</w:t>
      </w:r>
      <w:r w:rsidR="00F02B73">
        <w:t>’</w:t>
      </w:r>
      <w:r w:rsidRPr="009B2027">
        <w:t>a été portée contre le directeur du cabinet d</w:t>
      </w:r>
      <w:r w:rsidR="00F02B73">
        <w:t>’</w:t>
      </w:r>
      <w:r w:rsidRPr="009B2027">
        <w:t>avocat</w:t>
      </w:r>
      <w:r>
        <w:t>s</w:t>
      </w:r>
      <w:r w:rsidRPr="009B2027">
        <w:t xml:space="preserve"> qui emploie l</w:t>
      </w:r>
      <w:r w:rsidR="00F02B73">
        <w:t>’</w:t>
      </w:r>
      <w:r w:rsidRPr="009B2027">
        <w:t>auteur alors que, selon la loi, un directeur est responsable de la conduite des avocats subalternes qu</w:t>
      </w:r>
      <w:r w:rsidR="00F02B73">
        <w:t>’</w:t>
      </w:r>
      <w:r w:rsidRPr="009B2027">
        <w:t>il encadre</w:t>
      </w:r>
      <w:r w:rsidRPr="00370044">
        <w:rPr>
          <w:rStyle w:val="Appelnotedebasdep"/>
        </w:rPr>
        <w:footnoteReference w:id="4"/>
      </w:r>
      <w:r w:rsidRPr="009B2027">
        <w:t>.</w:t>
      </w:r>
    </w:p>
    <w:p w14:paraId="78E9D8EC" w14:textId="74659D78" w:rsidR="00BE62B1" w:rsidRPr="009B2027" w:rsidRDefault="00BE62B1" w:rsidP="00BE62B1">
      <w:pPr>
        <w:pStyle w:val="SingleTxtG"/>
        <w:rPr>
          <w:i/>
        </w:rPr>
      </w:pPr>
      <w:r w:rsidRPr="009B2027">
        <w:t>2.8</w:t>
      </w:r>
      <w:r w:rsidRPr="009B2027">
        <w:tab/>
        <w:t>Le 8</w:t>
      </w:r>
      <w:r w:rsidR="00884CDD">
        <w:t> </w:t>
      </w:r>
      <w:r w:rsidRPr="009B2027">
        <w:t>avril 2016, le Tribunal civil et administratif de la Nouvelle-Galles du Sud a confirmé l</w:t>
      </w:r>
      <w:r w:rsidR="00F02B73">
        <w:t>’</w:t>
      </w:r>
      <w:r w:rsidRPr="009B2027">
        <w:t>accusation de faute professionnelle à l</w:t>
      </w:r>
      <w:r w:rsidR="00F02B73">
        <w:t>’</w:t>
      </w:r>
      <w:r w:rsidRPr="009B2027">
        <w:t>égard de l</w:t>
      </w:r>
      <w:r w:rsidR="00F02B73">
        <w:t>’</w:t>
      </w:r>
      <w:r w:rsidRPr="009B2027">
        <w:t xml:space="preserve">auteur et adjugé les dépens contre lui. Dans sa décision, le tribunal </w:t>
      </w:r>
      <w:r>
        <w:t>n</w:t>
      </w:r>
      <w:r w:rsidR="00F02B73">
        <w:t>’</w:t>
      </w:r>
      <w:r>
        <w:t>a pas fait référence</w:t>
      </w:r>
      <w:r w:rsidRPr="009B2027">
        <w:t xml:space="preserve"> aux dispositions de l</w:t>
      </w:r>
      <w:r w:rsidR="00F02B73">
        <w:t>’</w:t>
      </w:r>
      <w:r w:rsidRPr="009B2027">
        <w:t>article</w:t>
      </w:r>
      <w:r w:rsidR="00884CDD">
        <w:t> </w:t>
      </w:r>
      <w:r w:rsidRPr="009B2027">
        <w:t xml:space="preserve">19 </w:t>
      </w:r>
      <w:r>
        <w:t xml:space="preserve">(par. 3) </w:t>
      </w:r>
      <w:r w:rsidRPr="009B2027">
        <w:t>du Pacte protégeant la liberté d</w:t>
      </w:r>
      <w:r w:rsidR="00F02B73">
        <w:t>’</w:t>
      </w:r>
      <w:r w:rsidRPr="009B2027">
        <w:t xml:space="preserve">expression, </w:t>
      </w:r>
      <w:r>
        <w:t>alors que l</w:t>
      </w:r>
      <w:r w:rsidR="00F02B73">
        <w:t>’</w:t>
      </w:r>
      <w:r>
        <w:t xml:space="preserve">auteur les avait </w:t>
      </w:r>
      <w:r w:rsidRPr="009B2027">
        <w:t>invoquées.</w:t>
      </w:r>
    </w:p>
    <w:p w14:paraId="3E33E107" w14:textId="5FFB1A5A" w:rsidR="00BE62B1" w:rsidRPr="009B2027" w:rsidRDefault="00BE62B1" w:rsidP="00BE62B1">
      <w:pPr>
        <w:pStyle w:val="SingleTxtG"/>
      </w:pPr>
      <w:r w:rsidRPr="009B2027">
        <w:t>2.9</w:t>
      </w:r>
      <w:r w:rsidRPr="009B2027">
        <w:tab/>
        <w:t>Le 6</w:t>
      </w:r>
      <w:r w:rsidR="00884CDD">
        <w:t> </w:t>
      </w:r>
      <w:r w:rsidRPr="009B2027">
        <w:t>mai 2016, l</w:t>
      </w:r>
      <w:r w:rsidR="00F02B73">
        <w:t>’</w:t>
      </w:r>
      <w:r w:rsidRPr="009B2027">
        <w:t xml:space="preserve">auteur a fait appel de la décision du Tribunal civil et administratif </w:t>
      </w:r>
      <w:r>
        <w:t>devant</w:t>
      </w:r>
      <w:r w:rsidRPr="009B2027">
        <w:t xml:space="preserve"> la Cour suprême (Cour d</w:t>
      </w:r>
      <w:r w:rsidR="00F02B73">
        <w:t>’</w:t>
      </w:r>
      <w:r w:rsidRPr="009B2027">
        <w:t>appel) de la Nouvelle-Galles du Sud (siégeant en plénière). Le</w:t>
      </w:r>
      <w:r w:rsidR="00884CDD">
        <w:t> </w:t>
      </w:r>
      <w:r w:rsidRPr="009B2027">
        <w:t>16</w:t>
      </w:r>
      <w:r w:rsidR="00884CDD">
        <w:t> </w:t>
      </w:r>
      <w:r w:rsidRPr="009B2027">
        <w:t>décembre 2016, cet appel a été rejeté. Le 30 mars 2017, la requête formée par l</w:t>
      </w:r>
      <w:r w:rsidR="00F02B73">
        <w:t>’</w:t>
      </w:r>
      <w:r w:rsidRPr="009B2027">
        <w:t>auteur de</w:t>
      </w:r>
      <w:r>
        <w:t>vant</w:t>
      </w:r>
      <w:r w:rsidRPr="009B2027">
        <w:t xml:space="preserve"> la Haute Cour pour demander l</w:t>
      </w:r>
      <w:r w:rsidR="00F02B73">
        <w:t>’</w:t>
      </w:r>
      <w:r w:rsidRPr="009B2027">
        <w:t>autorisation de se pourvoir contre la décision de la Cour suprême a été rejetée. L</w:t>
      </w:r>
      <w:r w:rsidR="00F02B73">
        <w:t>’</w:t>
      </w:r>
      <w:r w:rsidRPr="009B2027">
        <w:t>auteur affirme que la décision de la Haute Cour est définitive et qu</w:t>
      </w:r>
      <w:r w:rsidR="00F02B73">
        <w:t>’</w:t>
      </w:r>
      <w:r w:rsidRPr="009B2027">
        <w:t xml:space="preserve">il a épuisé tous les recours internes. </w:t>
      </w:r>
      <w:r>
        <w:t>Il</w:t>
      </w:r>
      <w:r w:rsidRPr="009B2027">
        <w:t xml:space="preserve"> dit qu</w:t>
      </w:r>
      <w:r w:rsidR="00F02B73">
        <w:t>’</w:t>
      </w:r>
      <w:r w:rsidRPr="009B2027">
        <w:t>il n</w:t>
      </w:r>
      <w:r w:rsidR="00F02B73">
        <w:t>’</w:t>
      </w:r>
      <w:r w:rsidRPr="009B2027">
        <w:t xml:space="preserve">a saisi </w:t>
      </w:r>
      <w:r>
        <w:t xml:space="preserve">aucune </w:t>
      </w:r>
      <w:r w:rsidRPr="009B2027">
        <w:t>autre instance internationale.</w:t>
      </w:r>
    </w:p>
    <w:p w14:paraId="674C96CB" w14:textId="77777777" w:rsidR="00BE62B1" w:rsidRPr="009B2027" w:rsidRDefault="00BE62B1" w:rsidP="00BE62B1">
      <w:pPr>
        <w:pStyle w:val="H23G"/>
      </w:pPr>
      <w:r w:rsidRPr="009B2027">
        <w:tab/>
      </w:r>
      <w:r w:rsidRPr="009B2027">
        <w:tab/>
        <w:t>Teneur de la plainte</w:t>
      </w:r>
    </w:p>
    <w:p w14:paraId="0041CE01" w14:textId="2318FCA1" w:rsidR="00BE62B1" w:rsidRPr="009B2027" w:rsidRDefault="00BE62B1" w:rsidP="00BE62B1">
      <w:pPr>
        <w:pStyle w:val="SingleTxtG"/>
      </w:pPr>
      <w:r w:rsidRPr="009B2027">
        <w:t>3.1</w:t>
      </w:r>
      <w:r w:rsidRPr="009B2027">
        <w:tab/>
        <w:t>L</w:t>
      </w:r>
      <w:r w:rsidR="00F02B73">
        <w:t>’</w:t>
      </w:r>
      <w:r w:rsidRPr="009B2027">
        <w:t>auteur affirme que l</w:t>
      </w:r>
      <w:r w:rsidR="00F02B73">
        <w:t>’</w:t>
      </w:r>
      <w:r w:rsidRPr="009B2027">
        <w:t>État partie a violé les droits qu</w:t>
      </w:r>
      <w:r w:rsidR="00F02B73">
        <w:t>’</w:t>
      </w:r>
      <w:r w:rsidRPr="009B2027">
        <w:t xml:space="preserve">il tient des articles 2, 5 (par. 2), 14 (par. 1), 19 et 26 du Pacte, en engageant contre lui une procédure disciplinaire civile pour </w:t>
      </w:r>
      <w:r>
        <w:t>une</w:t>
      </w:r>
      <w:r w:rsidRPr="009B2027">
        <w:t xml:space="preserve"> faute professionnelle</w:t>
      </w:r>
      <w:r>
        <w:t xml:space="preserve"> alléguée</w:t>
      </w:r>
      <w:r w:rsidRPr="009B2027">
        <w:t xml:space="preserve"> et en considérant qu</w:t>
      </w:r>
      <w:r w:rsidR="00F02B73">
        <w:t>’</w:t>
      </w:r>
      <w:r w:rsidRPr="009B2027">
        <w:t>il avait commis une telle faute parce qu</w:t>
      </w:r>
      <w:r w:rsidR="00F02B73">
        <w:t>’</w:t>
      </w:r>
      <w:r w:rsidRPr="009B2027">
        <w:t xml:space="preserve">il avait tenu dans son courriel des propos </w:t>
      </w:r>
      <w:r>
        <w:t>offens</w:t>
      </w:r>
      <w:r w:rsidRPr="009B2027">
        <w:t>ants et excessivement désobligeants à l</w:t>
      </w:r>
      <w:r w:rsidR="00F02B73">
        <w:t>’</w:t>
      </w:r>
      <w:r w:rsidRPr="009B2027">
        <w:t>égard du juge.</w:t>
      </w:r>
    </w:p>
    <w:p w14:paraId="7788B12F" w14:textId="4F6E7A31" w:rsidR="00BE62B1" w:rsidRPr="009B2027" w:rsidRDefault="00BE62B1" w:rsidP="00BE62B1">
      <w:pPr>
        <w:pStyle w:val="SingleTxtG"/>
      </w:pPr>
      <w:r w:rsidRPr="009B2027">
        <w:lastRenderedPageBreak/>
        <w:t>3.2</w:t>
      </w:r>
      <w:r w:rsidRPr="009B2027">
        <w:tab/>
        <w:t>Le courriel que l</w:t>
      </w:r>
      <w:r w:rsidR="00F02B73">
        <w:t>’</w:t>
      </w:r>
      <w:r w:rsidRPr="009B2027">
        <w:t>auteur a adressé au juge contenait des propos politiques qui sont protégés par l</w:t>
      </w:r>
      <w:r w:rsidR="00F02B73">
        <w:t>’</w:t>
      </w:r>
      <w:r w:rsidRPr="009B2027">
        <w:t>article 19 du Pacte. Les restrictions à la liberté d</w:t>
      </w:r>
      <w:r w:rsidR="00F02B73">
        <w:t>’</w:t>
      </w:r>
      <w:r w:rsidRPr="009B2027">
        <w:t xml:space="preserve">expression </w:t>
      </w:r>
      <w:r>
        <w:t>qu</w:t>
      </w:r>
      <w:r w:rsidR="00F02B73">
        <w:t>’</w:t>
      </w:r>
      <w:r w:rsidRPr="009B2027">
        <w:t>autoris</w:t>
      </w:r>
      <w:r>
        <w:t>e</w:t>
      </w:r>
      <w:r w:rsidRPr="009B2027">
        <w:t xml:space="preserve"> l</w:t>
      </w:r>
      <w:r w:rsidR="00F02B73">
        <w:t>’</w:t>
      </w:r>
      <w:r w:rsidRPr="009B2027">
        <w:t>article</w:t>
      </w:r>
      <w:r w:rsidR="000E1543">
        <w:t> </w:t>
      </w:r>
      <w:r w:rsidRPr="009B2027">
        <w:t>19</w:t>
      </w:r>
      <w:r>
        <w:t xml:space="preserve"> (par. 3)</w:t>
      </w:r>
      <w:r w:rsidRPr="009B2027">
        <w:t xml:space="preserve"> du Pacte ne s</w:t>
      </w:r>
      <w:r w:rsidR="00F02B73">
        <w:t>’</w:t>
      </w:r>
      <w:r w:rsidRPr="009B2027">
        <w:t>appliquent pas à ces propos.</w:t>
      </w:r>
      <w:r w:rsidRPr="009B2027">
        <w:rPr>
          <w:vertAlign w:val="superscript"/>
        </w:rPr>
        <w:t xml:space="preserve"> </w:t>
      </w:r>
      <w:r>
        <w:t>Plus précisé</w:t>
      </w:r>
      <w:r w:rsidRPr="009B2027">
        <w:t>ment, les propos de l</w:t>
      </w:r>
      <w:r w:rsidR="00F02B73">
        <w:t>’</w:t>
      </w:r>
      <w:r w:rsidRPr="009B2027">
        <w:t>auteur ont été adressés au juge en audience privée et n</w:t>
      </w:r>
      <w:r w:rsidR="00F02B73">
        <w:t>’</w:t>
      </w:r>
      <w:r w:rsidRPr="009B2027">
        <w:t>ont pas porté atteinte à sa réputation ni présenté le moindre risque de trouble à l</w:t>
      </w:r>
      <w:r w:rsidR="00F02B73">
        <w:t>’</w:t>
      </w:r>
      <w:r w:rsidRPr="009B2027">
        <w:t xml:space="preserve">ordre public ou la moindre menace pour la sécurité nationale ou la santé ou la moralité publiques. Le tribunal a </w:t>
      </w:r>
      <w:r>
        <w:t>établi</w:t>
      </w:r>
      <w:r w:rsidRPr="009B2027">
        <w:t xml:space="preserve">, sans expliquer pourquoi, que les propos contestés </w:t>
      </w:r>
      <w:r>
        <w:t>par lesquels</w:t>
      </w:r>
      <w:r w:rsidRPr="009B2027">
        <w:t xml:space="preserve"> l</w:t>
      </w:r>
      <w:r w:rsidR="00F02B73">
        <w:t>’</w:t>
      </w:r>
      <w:r w:rsidRPr="009B2027">
        <w:t>auteur exprima</w:t>
      </w:r>
      <w:r>
        <w:t>i</w:t>
      </w:r>
      <w:r w:rsidRPr="009B2027">
        <w:t xml:space="preserve">t une opinion politique étaient </w:t>
      </w:r>
      <w:r>
        <w:t>offens</w:t>
      </w:r>
      <w:r w:rsidRPr="009B2027">
        <w:t>ants. L</w:t>
      </w:r>
      <w:r w:rsidR="00F02B73">
        <w:t>’</w:t>
      </w:r>
      <w:r w:rsidRPr="009B2027">
        <w:t xml:space="preserve">appareil judiciaire a protégé de manière inadmissible ses propres décisions contre les critiques de citoyens. Dans ses constatations concernant la communication </w:t>
      </w:r>
      <w:r w:rsidRPr="009B2027">
        <w:rPr>
          <w:rFonts w:eastAsia="MS Mincho"/>
        </w:rPr>
        <w:t>n</w:t>
      </w:r>
      <w:r w:rsidRPr="009B2027">
        <w:rPr>
          <w:rFonts w:eastAsia="MS Mincho"/>
          <w:vertAlign w:val="superscript"/>
        </w:rPr>
        <w:t>o</w:t>
      </w:r>
      <w:r w:rsidRPr="009B2027">
        <w:t xml:space="preserve"> 1157/2003, </w:t>
      </w:r>
      <w:r w:rsidRPr="009B2027">
        <w:rPr>
          <w:i/>
        </w:rPr>
        <w:t>Coleman c.</w:t>
      </w:r>
      <w:r w:rsidR="000E1543">
        <w:rPr>
          <w:i/>
        </w:rPr>
        <w:t> </w:t>
      </w:r>
      <w:r w:rsidRPr="009B2027">
        <w:rPr>
          <w:i/>
        </w:rPr>
        <w:t>Australie</w:t>
      </w:r>
      <w:r w:rsidRPr="009B2027">
        <w:t>, le Comité a considéré, dans des circonstances similaires, que les propos exprimant une opinion politique tenus par l</w:t>
      </w:r>
      <w:r w:rsidR="00F02B73">
        <w:t>’</w:t>
      </w:r>
      <w:r w:rsidRPr="009B2027">
        <w:t>auteur étaient protégés par l</w:t>
      </w:r>
      <w:r w:rsidR="00F02B73">
        <w:t>’</w:t>
      </w:r>
      <w:r w:rsidRPr="009B2027">
        <w:t>article</w:t>
      </w:r>
      <w:r w:rsidR="000E1543">
        <w:t> </w:t>
      </w:r>
      <w:r w:rsidRPr="009B2027">
        <w:t>19 du Pacte</w:t>
      </w:r>
      <w:r w:rsidRPr="00370044">
        <w:rPr>
          <w:rStyle w:val="Appelnotedebasdep"/>
        </w:rPr>
        <w:footnoteReference w:id="5"/>
      </w:r>
      <w:r w:rsidRPr="009B2027">
        <w:t>.</w:t>
      </w:r>
    </w:p>
    <w:p w14:paraId="52025A73" w14:textId="6323ECAC" w:rsidR="00BE62B1" w:rsidRPr="009B2027" w:rsidRDefault="00BE62B1" w:rsidP="00BE62B1">
      <w:pPr>
        <w:pStyle w:val="SingleTxtG"/>
      </w:pPr>
      <w:r w:rsidRPr="009B2027">
        <w:t>3.3</w:t>
      </w:r>
      <w:r w:rsidRPr="009B2027">
        <w:tab/>
        <w:t>En violation de l</w:t>
      </w:r>
      <w:r w:rsidR="00F02B73">
        <w:t>’</w:t>
      </w:r>
      <w:r w:rsidRPr="009B2027">
        <w:t>article</w:t>
      </w:r>
      <w:r w:rsidR="000E1543">
        <w:t> </w:t>
      </w:r>
      <w:r w:rsidRPr="009B2027">
        <w:t>2</w:t>
      </w:r>
      <w:r>
        <w:t xml:space="preserve"> (par. 1)</w:t>
      </w:r>
      <w:r w:rsidRPr="009B2027">
        <w:t xml:space="preserve"> du Pacte, l</w:t>
      </w:r>
      <w:r w:rsidR="00F02B73">
        <w:t>’</w:t>
      </w:r>
      <w:r w:rsidRPr="009B2027">
        <w:t>État partie a sélectivement et exclusivement visé l</w:t>
      </w:r>
      <w:r w:rsidR="00F02B73">
        <w:t>’</w:t>
      </w:r>
      <w:r w:rsidRPr="009B2027">
        <w:t>auteur du fait de son statut d</w:t>
      </w:r>
      <w:r w:rsidR="00F02B73">
        <w:t>’</w:t>
      </w:r>
      <w:r w:rsidRPr="009B2027">
        <w:t>avocat débutant sous encadrement et de l</w:t>
      </w:r>
      <w:r w:rsidR="00F02B73">
        <w:t>’</w:t>
      </w:r>
      <w:r w:rsidRPr="009B2027">
        <w:t>opinion politique exprimée dans sa lettre au juge.</w:t>
      </w:r>
    </w:p>
    <w:p w14:paraId="3F54D81A" w14:textId="3FDA1CD4" w:rsidR="00BE62B1" w:rsidRPr="009B2027" w:rsidRDefault="00BE62B1" w:rsidP="00BE62B1">
      <w:pPr>
        <w:pStyle w:val="SingleTxtG"/>
      </w:pPr>
      <w:r w:rsidRPr="009B2027">
        <w:t>3.4</w:t>
      </w:r>
      <w:r w:rsidRPr="009B2027">
        <w:tab/>
        <w:t>En violation de l</w:t>
      </w:r>
      <w:r w:rsidR="00F02B73">
        <w:t>’</w:t>
      </w:r>
      <w:r w:rsidRPr="009B2027">
        <w:t>article</w:t>
      </w:r>
      <w:r w:rsidR="000E1543">
        <w:t> </w:t>
      </w:r>
      <w:r w:rsidRPr="009B2027">
        <w:t>2</w:t>
      </w:r>
      <w:r>
        <w:t xml:space="preserve"> (par. 2)</w:t>
      </w:r>
      <w:r w:rsidRPr="009B2027">
        <w:t xml:space="preserve"> du Pacte, l</w:t>
      </w:r>
      <w:r w:rsidR="00F02B73">
        <w:t>’</w:t>
      </w:r>
      <w:r w:rsidRPr="009B2027">
        <w:t>État partie n</w:t>
      </w:r>
      <w:r w:rsidR="00F02B73">
        <w:t>’</w:t>
      </w:r>
      <w:r w:rsidRPr="009B2027">
        <w:t>a pas adopté de mesures d</w:t>
      </w:r>
      <w:r w:rsidR="00F02B73">
        <w:t>’</w:t>
      </w:r>
      <w:r w:rsidRPr="009B2027">
        <w:t>ordre législatif ou autre propres à donner effet aux droits reconnus dans le Pacte, en</w:t>
      </w:r>
      <w:r w:rsidR="000E1543">
        <w:t> </w:t>
      </w:r>
      <w:r w:rsidRPr="009B2027">
        <w:t>particulier aux droits protégés par l</w:t>
      </w:r>
      <w:r w:rsidR="00F02B73">
        <w:t>’</w:t>
      </w:r>
      <w:r w:rsidRPr="009B2027">
        <w:t>article</w:t>
      </w:r>
      <w:r w:rsidR="000E1543">
        <w:t> </w:t>
      </w:r>
      <w:r w:rsidRPr="009B2027">
        <w:t>19.</w:t>
      </w:r>
    </w:p>
    <w:p w14:paraId="34F32D9F" w14:textId="114A0A0B" w:rsidR="00BE62B1" w:rsidRPr="009B2027" w:rsidRDefault="00BE62B1" w:rsidP="00BE62B1">
      <w:pPr>
        <w:pStyle w:val="SingleTxtG"/>
      </w:pPr>
      <w:r w:rsidRPr="009B2027">
        <w:t>3.5</w:t>
      </w:r>
      <w:r w:rsidRPr="009B2027">
        <w:tab/>
        <w:t>En violation de l</w:t>
      </w:r>
      <w:r w:rsidR="00F02B73">
        <w:t>’</w:t>
      </w:r>
      <w:r w:rsidRPr="009B2027">
        <w:t>article</w:t>
      </w:r>
      <w:r w:rsidR="000E1543">
        <w:t> </w:t>
      </w:r>
      <w:r w:rsidRPr="009B2027">
        <w:t>2</w:t>
      </w:r>
      <w:r>
        <w:t xml:space="preserve"> (par. 3)</w:t>
      </w:r>
      <w:r w:rsidRPr="009B2027">
        <w:t xml:space="preserve"> du Pacte, l</w:t>
      </w:r>
      <w:r w:rsidR="00F02B73">
        <w:t>’</w:t>
      </w:r>
      <w:r w:rsidRPr="009B2027">
        <w:t>État partie n</w:t>
      </w:r>
      <w:r w:rsidR="00F02B73">
        <w:t>’</w:t>
      </w:r>
      <w:r w:rsidRPr="009B2027">
        <w:t>a pas garanti l</w:t>
      </w:r>
      <w:r w:rsidR="00F02B73">
        <w:t>’</w:t>
      </w:r>
      <w:r w:rsidRPr="009B2027">
        <w:t>existence de recours utiles et d</w:t>
      </w:r>
      <w:r w:rsidR="00F02B73">
        <w:t>’</w:t>
      </w:r>
      <w:r w:rsidRPr="009B2027">
        <w:t>une instance compétente pour remédier à la violation des droits</w:t>
      </w:r>
      <w:r>
        <w:t xml:space="preserve"> que</w:t>
      </w:r>
      <w:r w:rsidRPr="009B2027">
        <w:t xml:space="preserve"> l</w:t>
      </w:r>
      <w:r w:rsidR="00F02B73">
        <w:t>’</w:t>
      </w:r>
      <w:r w:rsidRPr="009B2027">
        <w:t>auteur tire de l</w:t>
      </w:r>
      <w:r w:rsidR="00F02B73">
        <w:t>’</w:t>
      </w:r>
      <w:r w:rsidRPr="009B2027">
        <w:t>article</w:t>
      </w:r>
      <w:r w:rsidR="000E1543">
        <w:t> </w:t>
      </w:r>
      <w:r w:rsidRPr="009B2027">
        <w:t xml:space="preserve">19, </w:t>
      </w:r>
      <w:r>
        <w:t>en ce qu</w:t>
      </w:r>
      <w:r w:rsidR="00F02B73">
        <w:t>’</w:t>
      </w:r>
      <w:r>
        <w:t xml:space="preserve">il a </w:t>
      </w:r>
      <w:r w:rsidRPr="009B2027">
        <w:t>préfér</w:t>
      </w:r>
      <w:r>
        <w:t>é</w:t>
      </w:r>
      <w:r w:rsidRPr="009B2027">
        <w:t xml:space="preserve"> protéger les intérêts des </w:t>
      </w:r>
      <w:r>
        <w:t>fonctionnaires de l</w:t>
      </w:r>
      <w:r w:rsidR="00F02B73">
        <w:t>’</w:t>
      </w:r>
      <w:r>
        <w:t>État</w:t>
      </w:r>
      <w:r w:rsidRPr="009B2027">
        <w:t xml:space="preserve"> plutôt que de donner effet aux droits garantis à l</w:t>
      </w:r>
      <w:r w:rsidR="00F02B73">
        <w:t>’</w:t>
      </w:r>
      <w:r w:rsidRPr="009B2027">
        <w:t>auteur par l</w:t>
      </w:r>
      <w:r w:rsidR="00F02B73">
        <w:t>’</w:t>
      </w:r>
      <w:r w:rsidRPr="009B2027">
        <w:t>article</w:t>
      </w:r>
      <w:r w:rsidR="000E1543">
        <w:t> </w:t>
      </w:r>
      <w:r w:rsidRPr="009B2027">
        <w:t xml:space="preserve">19 et </w:t>
      </w:r>
      <w:r>
        <w:t>en ce qu</w:t>
      </w:r>
      <w:r w:rsidR="00F02B73">
        <w:t>’</w:t>
      </w:r>
      <w:r>
        <w:t xml:space="preserve">il </w:t>
      </w:r>
      <w:r w:rsidRPr="009B2027">
        <w:t>n</w:t>
      </w:r>
      <w:r w:rsidR="00F02B73">
        <w:t>’</w:t>
      </w:r>
      <w:r>
        <w:t xml:space="preserve">a pas </w:t>
      </w:r>
      <w:r w:rsidRPr="009B2027">
        <w:t>adopt</w:t>
      </w:r>
      <w:r>
        <w:t>é</w:t>
      </w:r>
      <w:r w:rsidRPr="009B2027">
        <w:t xml:space="preserve"> de dispositions législatives </w:t>
      </w:r>
      <w:r>
        <w:t>compatibles avec</w:t>
      </w:r>
      <w:r w:rsidRPr="009B2027">
        <w:t xml:space="preserve"> cet article.</w:t>
      </w:r>
    </w:p>
    <w:p w14:paraId="7029EDDF" w14:textId="1E7EA1A6" w:rsidR="00BE62B1" w:rsidRPr="009B2027" w:rsidRDefault="00BE62B1" w:rsidP="00BE62B1">
      <w:pPr>
        <w:pStyle w:val="SingleTxtG"/>
      </w:pPr>
      <w:r w:rsidRPr="009B2027">
        <w:t>3.6</w:t>
      </w:r>
      <w:r w:rsidRPr="009B2027">
        <w:tab/>
        <w:t>En violation de l</w:t>
      </w:r>
      <w:r w:rsidR="00F02B73">
        <w:t>’</w:t>
      </w:r>
      <w:r w:rsidRPr="009B2027">
        <w:t>article</w:t>
      </w:r>
      <w:r w:rsidR="000E1543">
        <w:t> </w:t>
      </w:r>
      <w:r w:rsidRPr="009B2027">
        <w:t>5</w:t>
      </w:r>
      <w:r>
        <w:t xml:space="preserve"> (par. 2)</w:t>
      </w:r>
      <w:r w:rsidRPr="009B2027">
        <w:t xml:space="preserve"> du Pacte, l</w:t>
      </w:r>
      <w:r w:rsidR="00F02B73">
        <w:t>’</w:t>
      </w:r>
      <w:r w:rsidRPr="009B2027">
        <w:t>État partie a permis et perpétué l</w:t>
      </w:r>
      <w:r w:rsidR="00F02B73">
        <w:t>’</w:t>
      </w:r>
      <w:r w:rsidRPr="009B2027">
        <w:t xml:space="preserve">existence de lois et réglementations </w:t>
      </w:r>
      <w:r>
        <w:t>qui enfreignent, restreignent et détruisent les</w:t>
      </w:r>
      <w:r w:rsidRPr="009B2027">
        <w:t xml:space="preserve"> droits que l</w:t>
      </w:r>
      <w:r w:rsidR="00F02B73">
        <w:t>’</w:t>
      </w:r>
      <w:r w:rsidRPr="009B2027">
        <w:t>auteur tient de l</w:t>
      </w:r>
      <w:r w:rsidR="00F02B73">
        <w:t>’</w:t>
      </w:r>
      <w:r w:rsidRPr="009B2027">
        <w:t>article</w:t>
      </w:r>
      <w:r w:rsidR="000E1543">
        <w:t> </w:t>
      </w:r>
      <w:r w:rsidRPr="009B2027">
        <w:t xml:space="preserve">19, en soumettant la détermination des fautes professionnelles à des critères réglementaires et de </w:t>
      </w:r>
      <w:r w:rsidRPr="009B2027">
        <w:rPr>
          <w:i/>
        </w:rPr>
        <w:t>common law</w:t>
      </w:r>
      <w:r>
        <w:t>, et, ce faisant en limitant</w:t>
      </w:r>
      <w:r w:rsidRPr="009B2027">
        <w:t xml:space="preserve"> inutilement l</w:t>
      </w:r>
      <w:r w:rsidR="00F02B73">
        <w:t>’</w:t>
      </w:r>
      <w:r w:rsidRPr="009B2027">
        <w:t>application et la portée de l</w:t>
      </w:r>
      <w:r w:rsidR="00F02B73">
        <w:t>’</w:t>
      </w:r>
      <w:r w:rsidRPr="009B2027">
        <w:t>article</w:t>
      </w:r>
      <w:r w:rsidR="000E1543">
        <w:t> </w:t>
      </w:r>
      <w:r w:rsidRPr="009B2027">
        <w:t>19 et des droits qui y sont énoncés, à des fins non reconnues par l</w:t>
      </w:r>
      <w:r w:rsidR="00F02B73">
        <w:t>’</w:t>
      </w:r>
      <w:r w:rsidRPr="009B2027">
        <w:t>article</w:t>
      </w:r>
      <w:r w:rsidR="000E1543">
        <w:t> </w:t>
      </w:r>
      <w:r w:rsidRPr="009B2027">
        <w:t>19</w:t>
      </w:r>
      <w:r>
        <w:t xml:space="preserve"> (par. 3)</w:t>
      </w:r>
      <w:r w:rsidRPr="009B2027">
        <w:t>.</w:t>
      </w:r>
    </w:p>
    <w:p w14:paraId="13977E4C" w14:textId="33AD5633" w:rsidR="00BE62B1" w:rsidRPr="009B2027" w:rsidRDefault="00BE62B1" w:rsidP="00BE62B1">
      <w:pPr>
        <w:pStyle w:val="SingleTxtG"/>
      </w:pPr>
      <w:r w:rsidRPr="009B2027">
        <w:t>3.7</w:t>
      </w:r>
      <w:r w:rsidRPr="009B2027">
        <w:tab/>
        <w:t>En violation de l</w:t>
      </w:r>
      <w:r w:rsidR="00F02B73">
        <w:t>’</w:t>
      </w:r>
      <w:r w:rsidRPr="009B2027">
        <w:t>article</w:t>
      </w:r>
      <w:r w:rsidR="000E1543">
        <w:t> </w:t>
      </w:r>
      <w:r w:rsidRPr="009B2027">
        <w:t>14</w:t>
      </w:r>
      <w:r>
        <w:t xml:space="preserve"> (par. 1)</w:t>
      </w:r>
      <w:r w:rsidRPr="009B2027">
        <w:t xml:space="preserve"> du Pacte, l</w:t>
      </w:r>
      <w:r w:rsidR="00F02B73">
        <w:t>’</w:t>
      </w:r>
      <w:r w:rsidRPr="009B2027">
        <w:t>auteur a été privé du droit à ce que sa cause soit entendue par un tribunal indépendant et impartial décidant des contestations sur ses droits et obligations de caractère civil.</w:t>
      </w:r>
    </w:p>
    <w:p w14:paraId="35D4EDDF" w14:textId="34E01AD2" w:rsidR="00BE62B1" w:rsidRPr="009B2027" w:rsidRDefault="00BE62B1" w:rsidP="00BE62B1">
      <w:pPr>
        <w:pStyle w:val="SingleTxtG"/>
      </w:pPr>
      <w:r w:rsidRPr="009B2027">
        <w:t>3.8</w:t>
      </w:r>
      <w:r w:rsidRPr="009B2027">
        <w:tab/>
        <w:t>En violation de l</w:t>
      </w:r>
      <w:r w:rsidR="00F02B73">
        <w:t>’</w:t>
      </w:r>
      <w:r w:rsidRPr="009B2027">
        <w:t>article 26 du Pacte, l</w:t>
      </w:r>
      <w:r w:rsidR="00F02B73">
        <w:t>’</w:t>
      </w:r>
      <w:r w:rsidRPr="009B2027">
        <w:t>État partie n</w:t>
      </w:r>
      <w:r w:rsidR="00F02B73">
        <w:t>’</w:t>
      </w:r>
      <w:r w:rsidRPr="009B2027">
        <w:t>a pas réservé à l</w:t>
      </w:r>
      <w:r w:rsidR="00F02B73">
        <w:t>’</w:t>
      </w:r>
      <w:r w:rsidRPr="009B2027">
        <w:t>auteur un traitement égal devant la loi. Il a agi sélectivement et exclusivement contre lui en raison de son genre, de son appartenance ethnique et de son statut professionnel d</w:t>
      </w:r>
      <w:r w:rsidR="00F02B73">
        <w:t>’</w:t>
      </w:r>
      <w:r w:rsidRPr="009B2027">
        <w:t>avocat débutant, sans poursuivre le directeur du cabinet d</w:t>
      </w:r>
      <w:r w:rsidR="00F02B73">
        <w:t>’</w:t>
      </w:r>
      <w:r w:rsidRPr="009B2027">
        <w:t>avocat</w:t>
      </w:r>
      <w:r>
        <w:t>s</w:t>
      </w:r>
      <w:r w:rsidRPr="009B2027">
        <w:t xml:space="preserve"> pour manquement </w:t>
      </w:r>
      <w:r>
        <w:t>aux</w:t>
      </w:r>
      <w:r w:rsidRPr="009B2027">
        <w:t xml:space="preserve"> obligations d</w:t>
      </w:r>
      <w:r w:rsidR="00F02B73">
        <w:t>’</w:t>
      </w:r>
      <w:r w:rsidRPr="009B2027">
        <w:t xml:space="preserve">encadrement </w:t>
      </w:r>
      <w:r>
        <w:t>qui étaient les siennes vis-à-vis de</w:t>
      </w:r>
      <w:r w:rsidRPr="009B2027">
        <w:t xml:space="preserve"> l</w:t>
      </w:r>
      <w:r w:rsidR="00F02B73">
        <w:t>’</w:t>
      </w:r>
      <w:r w:rsidRPr="009B2027">
        <w:t>auteur.</w:t>
      </w:r>
    </w:p>
    <w:p w14:paraId="44B649B2" w14:textId="77777777" w:rsidR="00BE62B1" w:rsidRPr="009B2027" w:rsidRDefault="00BE62B1" w:rsidP="00BE62B1">
      <w:pPr>
        <w:pStyle w:val="H23G"/>
      </w:pPr>
      <w:r w:rsidRPr="009B2027">
        <w:rPr>
          <w:rFonts w:eastAsia="Arial Unicode MS"/>
        </w:rPr>
        <w:tab/>
      </w:r>
      <w:r w:rsidRPr="009B2027">
        <w:rPr>
          <w:rFonts w:eastAsia="Arial Unicode MS"/>
        </w:rPr>
        <w:tab/>
        <w:t xml:space="preserve">Délibérations du </w:t>
      </w:r>
      <w:r w:rsidRPr="00BE62B1">
        <w:t>Comité</w:t>
      </w:r>
    </w:p>
    <w:p w14:paraId="203608A8" w14:textId="77777777" w:rsidR="00BE62B1" w:rsidRPr="009B2027" w:rsidRDefault="00BE62B1" w:rsidP="00BE62B1">
      <w:pPr>
        <w:pStyle w:val="H4G"/>
      </w:pPr>
      <w:r w:rsidRPr="009B2027">
        <w:tab/>
      </w:r>
      <w:r w:rsidRPr="009B2027">
        <w:tab/>
        <w:t>Examen de la recevabilité</w:t>
      </w:r>
    </w:p>
    <w:p w14:paraId="53F6EA73" w14:textId="2F2272FD" w:rsidR="00BE62B1" w:rsidRPr="009B2027" w:rsidRDefault="00BE62B1" w:rsidP="00BE62B1">
      <w:pPr>
        <w:pStyle w:val="SingleTxtG"/>
      </w:pPr>
      <w:r w:rsidRPr="009B2027">
        <w:t>4.1</w:t>
      </w:r>
      <w:r w:rsidRPr="009B2027">
        <w:tab/>
        <w:t>Avant d</w:t>
      </w:r>
      <w:r w:rsidR="00F02B73">
        <w:t>’</w:t>
      </w:r>
      <w:r w:rsidRPr="009B2027">
        <w:t>examiner tout grief formulé dans une communication, le Comité doit, conformément à l</w:t>
      </w:r>
      <w:r w:rsidR="00F02B73">
        <w:t>’</w:t>
      </w:r>
      <w:r w:rsidRPr="009B2027">
        <w:t>article</w:t>
      </w:r>
      <w:r w:rsidR="000E1543">
        <w:t> </w:t>
      </w:r>
      <w:r w:rsidRPr="009B2027">
        <w:t>9</w:t>
      </w:r>
      <w:r>
        <w:t>7</w:t>
      </w:r>
      <w:r w:rsidRPr="009B2027">
        <w:t xml:space="preserve"> de son règlement intérieur, déterminer si la communication est recevable au regard du Protocole facultatif</w:t>
      </w:r>
      <w:r>
        <w:t>.</w:t>
      </w:r>
    </w:p>
    <w:p w14:paraId="428D1A50" w14:textId="030CD893" w:rsidR="00BE62B1" w:rsidRPr="009B2027" w:rsidRDefault="00BE62B1" w:rsidP="00BE62B1">
      <w:pPr>
        <w:pStyle w:val="SingleTxtG"/>
      </w:pPr>
      <w:r w:rsidRPr="009B2027">
        <w:t>4.2</w:t>
      </w:r>
      <w:r w:rsidRPr="009B2027">
        <w:tab/>
      </w:r>
      <w:r w:rsidRPr="007F7CA2">
        <w:rPr>
          <w:spacing w:val="-2"/>
        </w:rPr>
        <w:t>Le Comité s</w:t>
      </w:r>
      <w:r w:rsidR="00F02B73">
        <w:rPr>
          <w:spacing w:val="-2"/>
        </w:rPr>
        <w:t>’</w:t>
      </w:r>
      <w:r w:rsidRPr="007F7CA2">
        <w:rPr>
          <w:spacing w:val="-2"/>
        </w:rPr>
        <w:t xml:space="preserve">est assuré, comme il est tenu de le faire conformément </w:t>
      </w:r>
      <w:r>
        <w:rPr>
          <w:spacing w:val="-2"/>
        </w:rPr>
        <w:t>à</w:t>
      </w:r>
      <w:r w:rsidRPr="009B2027">
        <w:t xml:space="preserve"> l</w:t>
      </w:r>
      <w:r w:rsidR="00F02B73">
        <w:t>’</w:t>
      </w:r>
      <w:r w:rsidRPr="009B2027">
        <w:t>article</w:t>
      </w:r>
      <w:r w:rsidR="000E1543">
        <w:t> </w:t>
      </w:r>
      <w:r w:rsidRPr="009B2027">
        <w:t>5</w:t>
      </w:r>
      <w:r>
        <w:t xml:space="preserve"> (par. 2 a))</w:t>
      </w:r>
      <w:r w:rsidRPr="009B2027">
        <w:t xml:space="preserve"> du Protocole facultatif, que la même question n</w:t>
      </w:r>
      <w:r w:rsidR="00F02B73">
        <w:t>’</w:t>
      </w:r>
      <w:r w:rsidRPr="009B2027">
        <w:t>était pas déjà en cours d</w:t>
      </w:r>
      <w:r w:rsidR="00F02B73">
        <w:t>’</w:t>
      </w:r>
      <w:r w:rsidRPr="009B2027">
        <w:t>examen devant une autre instance internationale d</w:t>
      </w:r>
      <w:r w:rsidR="00F02B73">
        <w:t>’</w:t>
      </w:r>
      <w:r w:rsidRPr="009B2027">
        <w:t>enquête ou de règlement.</w:t>
      </w:r>
    </w:p>
    <w:p w14:paraId="3A37556A" w14:textId="4900279E" w:rsidR="00BE62B1" w:rsidRPr="009B2027" w:rsidRDefault="00BE62B1" w:rsidP="00BE62B1">
      <w:pPr>
        <w:pStyle w:val="SingleTxtG"/>
      </w:pPr>
      <w:r w:rsidRPr="009B2027">
        <w:t>4.3</w:t>
      </w:r>
      <w:r w:rsidRPr="009B2027">
        <w:tab/>
        <w:t>En ce qui concerne les griefs que l</w:t>
      </w:r>
      <w:r w:rsidR="00F02B73">
        <w:t>’</w:t>
      </w:r>
      <w:r w:rsidRPr="009B2027">
        <w:t>auteur tire des articles</w:t>
      </w:r>
      <w:r w:rsidR="00B455F4">
        <w:t> </w:t>
      </w:r>
      <w:r w:rsidRPr="009B2027">
        <w:t>2 et 5 (par.</w:t>
      </w:r>
      <w:r w:rsidR="00B455F4">
        <w:t> </w:t>
      </w:r>
      <w:r w:rsidRPr="009B2027">
        <w:t>2) du Pacte, le Comité rappelle que les articles</w:t>
      </w:r>
      <w:r w:rsidR="00B455F4">
        <w:t> </w:t>
      </w:r>
      <w:r w:rsidRPr="009B2027">
        <w:t xml:space="preserve">2 et 5 du Pacte énoncent </w:t>
      </w:r>
      <w:r>
        <w:t>d</w:t>
      </w:r>
      <w:r w:rsidRPr="009B2027">
        <w:t>es obligations générales des États parties et ne peuvent</w:t>
      </w:r>
      <w:r>
        <w:t>, lorsqu</w:t>
      </w:r>
      <w:r w:rsidR="00F02B73">
        <w:t>’</w:t>
      </w:r>
      <w:r>
        <w:t>ils sont</w:t>
      </w:r>
      <w:r w:rsidRPr="009B2027">
        <w:t xml:space="preserve"> invoqués</w:t>
      </w:r>
      <w:r>
        <w:t xml:space="preserve"> séparément,</w:t>
      </w:r>
      <w:r w:rsidRPr="009B2027">
        <w:t xml:space="preserve"> fonder </w:t>
      </w:r>
      <w:r>
        <w:t>un grief dans</w:t>
      </w:r>
      <w:r w:rsidRPr="009B2027">
        <w:t xml:space="preserve"> une </w:t>
      </w:r>
      <w:r w:rsidRPr="009B2027">
        <w:lastRenderedPageBreak/>
        <w:t xml:space="preserve">communication </w:t>
      </w:r>
      <w:r>
        <w:t>présentée en vertu</w:t>
      </w:r>
      <w:r w:rsidRPr="009B2027">
        <w:t xml:space="preserve"> du Protocole facultatif</w:t>
      </w:r>
      <w:r w:rsidRPr="00370044">
        <w:rPr>
          <w:rStyle w:val="Appelnotedebasdep"/>
        </w:rPr>
        <w:footnoteReference w:id="6"/>
      </w:r>
      <w:r w:rsidRPr="009B2027">
        <w:t>.</w:t>
      </w:r>
      <w:r w:rsidRPr="009B2027">
        <w:rPr>
          <w:rStyle w:val="Appelnotedebasdep"/>
          <w:szCs w:val="18"/>
        </w:rPr>
        <w:t xml:space="preserve"> </w:t>
      </w:r>
      <w:r w:rsidRPr="009B2027">
        <w:t xml:space="preserve">Ces griefs sont par conséquent irrecevables </w:t>
      </w:r>
      <w:r w:rsidRPr="009B2027">
        <w:rPr>
          <w:i/>
        </w:rPr>
        <w:t>ratione materiae</w:t>
      </w:r>
      <w:r w:rsidRPr="009B2027">
        <w:t xml:space="preserve"> </w:t>
      </w:r>
      <w:r>
        <w:t xml:space="preserve">, en vertu </w:t>
      </w:r>
      <w:r w:rsidRPr="009B2027">
        <w:t>de l</w:t>
      </w:r>
      <w:r w:rsidR="00F02B73">
        <w:t>’</w:t>
      </w:r>
      <w:r w:rsidRPr="009B2027">
        <w:t>article</w:t>
      </w:r>
      <w:r w:rsidR="00B455F4">
        <w:t> </w:t>
      </w:r>
      <w:r w:rsidRPr="009B2027">
        <w:t>3 du Protocole facultatif.</w:t>
      </w:r>
    </w:p>
    <w:p w14:paraId="77D4A1FD" w14:textId="77F635EB" w:rsidR="00BE62B1" w:rsidRPr="009B2027" w:rsidRDefault="00BE62B1" w:rsidP="00BE62B1">
      <w:pPr>
        <w:pStyle w:val="SingleTxtG"/>
      </w:pPr>
      <w:r w:rsidRPr="009B2027">
        <w:t>4.4</w:t>
      </w:r>
      <w:r w:rsidRPr="009B2027">
        <w:tab/>
        <w:t>Le Comité prend note des griefs de l</w:t>
      </w:r>
      <w:r w:rsidR="00F02B73">
        <w:t>’</w:t>
      </w:r>
      <w:r w:rsidRPr="009B2027">
        <w:t xml:space="preserve">auteur </w:t>
      </w:r>
      <w:r>
        <w:t>selon lesquels</w:t>
      </w:r>
      <w:r w:rsidRPr="009B2027">
        <w:t xml:space="preserve"> l</w:t>
      </w:r>
      <w:r w:rsidR="00F02B73">
        <w:t>’</w:t>
      </w:r>
      <w:r w:rsidRPr="009B2027">
        <w:t>État partie a violé les droits qu</w:t>
      </w:r>
      <w:r w:rsidR="00F02B73">
        <w:t>’</w:t>
      </w:r>
      <w:r w:rsidRPr="009B2027">
        <w:t>il tient des articles</w:t>
      </w:r>
      <w:r w:rsidR="00B455F4">
        <w:t> </w:t>
      </w:r>
      <w:r w:rsidRPr="009B2027">
        <w:t>14 (par. 1) et 26 du Pacte</w:t>
      </w:r>
      <w:r>
        <w:t>,</w:t>
      </w:r>
      <w:r w:rsidRPr="009B2027">
        <w:t xml:space="preserve"> en ce qu</w:t>
      </w:r>
      <w:r w:rsidR="00F02B73">
        <w:t>’</w:t>
      </w:r>
      <w:r w:rsidRPr="009B2027">
        <w:t>il l</w:t>
      </w:r>
      <w:r w:rsidR="00F02B73">
        <w:t>’</w:t>
      </w:r>
      <w:r w:rsidRPr="009B2027">
        <w:t>a privé du droit d</w:t>
      </w:r>
      <w:r w:rsidR="00F02B73">
        <w:t>’</w:t>
      </w:r>
      <w:r w:rsidRPr="009B2027">
        <w:t>être entendu par un tribunal indépendant et impartial décidant des contestations sur ses droits et obligations de caractère civil et l</w:t>
      </w:r>
      <w:r w:rsidR="00F02B73">
        <w:t>’</w:t>
      </w:r>
      <w:r w:rsidRPr="009B2027">
        <w:t xml:space="preserve">a traité de manière discriminatoire en raison de son genre, de son statut professionnel et de son appartenance ethnique. </w:t>
      </w:r>
      <w:r>
        <w:t>Toutefois, l</w:t>
      </w:r>
      <w:r w:rsidRPr="009B2027">
        <w:t>e Comité considère que l</w:t>
      </w:r>
      <w:r w:rsidR="00F02B73">
        <w:t>’</w:t>
      </w:r>
      <w:r w:rsidRPr="009B2027">
        <w:t>auteur n</w:t>
      </w:r>
      <w:r w:rsidR="00F02B73">
        <w:t>’</w:t>
      </w:r>
      <w:r w:rsidRPr="009B2027">
        <w:t>a pas suffisamment étayé ces griefs aux fins de la recevabilité et que ceux-ci sont par conséquent irrecevables au regard de l</w:t>
      </w:r>
      <w:r w:rsidR="00F02B73">
        <w:t>’</w:t>
      </w:r>
      <w:r w:rsidRPr="009B2027">
        <w:t>article</w:t>
      </w:r>
      <w:r w:rsidR="00B455F4">
        <w:t> </w:t>
      </w:r>
      <w:r w:rsidRPr="009B2027">
        <w:t>2 du Protocole facultatif.</w:t>
      </w:r>
    </w:p>
    <w:p w14:paraId="335768FD" w14:textId="14AED177" w:rsidR="00BE62B1" w:rsidRPr="009B2027" w:rsidRDefault="00BE62B1" w:rsidP="00BE62B1">
      <w:pPr>
        <w:pStyle w:val="SingleTxtG"/>
      </w:pPr>
      <w:r w:rsidRPr="009B2027">
        <w:t>4.5</w:t>
      </w:r>
      <w:r w:rsidRPr="009B2027">
        <w:tab/>
        <w:t>Le Comité prend note également du grief de l</w:t>
      </w:r>
      <w:r w:rsidR="00F02B73">
        <w:t>’</w:t>
      </w:r>
      <w:r w:rsidRPr="009B2027">
        <w:t>auteur selon lequel l</w:t>
      </w:r>
      <w:r w:rsidR="00F02B73">
        <w:t>’</w:t>
      </w:r>
      <w:r w:rsidRPr="009B2027">
        <w:t>État partie a violé les droits qu</w:t>
      </w:r>
      <w:r w:rsidR="00F02B73">
        <w:t>’</w:t>
      </w:r>
      <w:r w:rsidRPr="009B2027">
        <w:t>il tient de l</w:t>
      </w:r>
      <w:r w:rsidR="00F02B73">
        <w:t>’</w:t>
      </w:r>
      <w:r w:rsidRPr="009B2027">
        <w:t>article</w:t>
      </w:r>
      <w:r w:rsidR="00B455F4">
        <w:t> </w:t>
      </w:r>
      <w:r w:rsidRPr="009B2027">
        <w:t>19 du Pacte</w:t>
      </w:r>
      <w:r>
        <w:t>,</w:t>
      </w:r>
      <w:r w:rsidRPr="009B2027">
        <w:t xml:space="preserve"> en ce qu</w:t>
      </w:r>
      <w:r w:rsidR="00F02B73">
        <w:t>’</w:t>
      </w:r>
      <w:r w:rsidRPr="009B2027">
        <w:t>il a considéré qu</w:t>
      </w:r>
      <w:r w:rsidR="00F02B73">
        <w:t>’</w:t>
      </w:r>
      <w:r w:rsidRPr="009B2027">
        <w:t>il avait commis une faute professionnelle en exprimant des opinions politiques dans un courriel adressé à un juge</w:t>
      </w:r>
      <w:r>
        <w:t xml:space="preserve">, </w:t>
      </w:r>
      <w:r w:rsidRPr="009B2027">
        <w:t xml:space="preserve">et </w:t>
      </w:r>
      <w:r>
        <w:t>en ce qu</w:t>
      </w:r>
      <w:r w:rsidR="00F02B73">
        <w:t>’</w:t>
      </w:r>
      <w:r>
        <w:t xml:space="preserve">il </w:t>
      </w:r>
      <w:r w:rsidRPr="009B2027">
        <w:t>n</w:t>
      </w:r>
      <w:r w:rsidR="00F02B73">
        <w:t>’</w:t>
      </w:r>
      <w:r w:rsidRPr="009B2027">
        <w:t>a pas adopté ni fait appliquer des dispositions de droit interne pour protéger les droits garantis à l</w:t>
      </w:r>
      <w:r w:rsidR="00F02B73">
        <w:t>’</w:t>
      </w:r>
      <w:r w:rsidRPr="009B2027">
        <w:t>article</w:t>
      </w:r>
      <w:r w:rsidR="00B455F4">
        <w:t> </w:t>
      </w:r>
      <w:r w:rsidRPr="009B2027">
        <w:t>19. Cependant, le Comité rappelle qu</w:t>
      </w:r>
      <w:r w:rsidR="00F02B73">
        <w:t>’</w:t>
      </w:r>
      <w:r w:rsidRPr="009B2027">
        <w:t>il appartient généralement aux juridictions des États parties au Pacte d</w:t>
      </w:r>
      <w:r w:rsidR="00F02B73">
        <w:t>’</w:t>
      </w:r>
      <w:r w:rsidRPr="009B2027">
        <w:t>examiner les faits et les éléments de preuve ou l</w:t>
      </w:r>
      <w:r w:rsidR="00F02B73">
        <w:t>’</w:t>
      </w:r>
      <w:r w:rsidRPr="009B2027">
        <w:t>application de la législation nationale dans un cas d</w:t>
      </w:r>
      <w:r w:rsidR="00F02B73">
        <w:t>’</w:t>
      </w:r>
      <w:r w:rsidRPr="009B2027">
        <w:t>espèce, sauf s</w:t>
      </w:r>
      <w:r w:rsidR="00F02B73">
        <w:t>’</w:t>
      </w:r>
      <w:r w:rsidRPr="009B2027">
        <w:t>il peut être établi que l</w:t>
      </w:r>
      <w:r w:rsidR="00F02B73">
        <w:t>’</w:t>
      </w:r>
      <w:r w:rsidRPr="009B2027">
        <w:t>appréciation des éléments de preuve ou l</w:t>
      </w:r>
      <w:r w:rsidR="00F02B73">
        <w:t>’</w:t>
      </w:r>
      <w:r w:rsidRPr="009B2027">
        <w:t>application de la législation ont été de toute évidence arbitraires, manifestement entachées d</w:t>
      </w:r>
      <w:r w:rsidR="00F02B73">
        <w:t>’</w:t>
      </w:r>
      <w:r w:rsidRPr="009B2027">
        <w:t>erreur ou ont représenté un déni de justice, ou que le tribunal a par ailleurs violé son obligation d</w:t>
      </w:r>
      <w:r w:rsidR="00F02B73">
        <w:t>’</w:t>
      </w:r>
      <w:r w:rsidRPr="009B2027">
        <w:t>indépendance et d</w:t>
      </w:r>
      <w:r w:rsidR="00F02B73">
        <w:t>’</w:t>
      </w:r>
      <w:r w:rsidRPr="009B2027">
        <w:t>impartialité</w:t>
      </w:r>
      <w:r w:rsidRPr="00370044">
        <w:rPr>
          <w:rStyle w:val="Appelnotedebasdep"/>
        </w:rPr>
        <w:footnoteReference w:id="7"/>
      </w:r>
      <w:r w:rsidRPr="009B2027">
        <w:t>. Le</w:t>
      </w:r>
      <w:r w:rsidR="006513B8">
        <w:t> </w:t>
      </w:r>
      <w:r w:rsidRPr="009B2027">
        <w:t>Comité considère que les informations dont il est saisi ne montrent pas que la conduite des procédures judiciaires en l</w:t>
      </w:r>
      <w:r w:rsidR="00F02B73">
        <w:t>’</w:t>
      </w:r>
      <w:r w:rsidRPr="009B2027">
        <w:t xml:space="preserve">espèce ait été marquée par </w:t>
      </w:r>
      <w:r>
        <w:t>l</w:t>
      </w:r>
      <w:r w:rsidR="00F02B73">
        <w:t>’</w:t>
      </w:r>
      <w:r>
        <w:t>un de ces</w:t>
      </w:r>
      <w:r w:rsidRPr="009B2027">
        <w:t xml:space="preserve"> défauts. </w:t>
      </w:r>
      <w:r>
        <w:t>Ces</w:t>
      </w:r>
      <w:r w:rsidR="00B455F4">
        <w:t> </w:t>
      </w:r>
      <w:r>
        <w:t>informations</w:t>
      </w:r>
      <w:r w:rsidRPr="009B2027">
        <w:t xml:space="preserve"> </w:t>
      </w:r>
      <w:r>
        <w:t>montrent</w:t>
      </w:r>
      <w:r w:rsidRPr="009B2027">
        <w:t xml:space="preserve"> au contraire que les mesures adoptées par l</w:t>
      </w:r>
      <w:r w:rsidR="00F02B73">
        <w:t>’</w:t>
      </w:r>
      <w:r w:rsidRPr="009B2027">
        <w:t>État partie étaient fondées en droit et visaient à protéger l</w:t>
      </w:r>
      <w:r w:rsidR="00F02B73">
        <w:t>’</w:t>
      </w:r>
      <w:r w:rsidRPr="009B2027">
        <w:t>intégrité de la magistrature en tant qu</w:t>
      </w:r>
      <w:r w:rsidR="00F02B73">
        <w:t>’</w:t>
      </w:r>
      <w:r w:rsidRPr="009B2027">
        <w:t>élément de l</w:t>
      </w:r>
      <w:r w:rsidR="00F02B73">
        <w:t>’</w:t>
      </w:r>
      <w:r w:rsidRPr="009B2027">
        <w:t>ordre public, et que la sanction imposée à l</w:t>
      </w:r>
      <w:r w:rsidR="00F02B73">
        <w:t>’</w:t>
      </w:r>
      <w:r w:rsidRPr="009B2027">
        <w:t>auteur était proportionnée à la faute professionnelle dont il a</w:t>
      </w:r>
      <w:r>
        <w:t>vait</w:t>
      </w:r>
      <w:r w:rsidRPr="009B2027">
        <w:t xml:space="preserve"> été reconnu coupable. Par conséquent, le Comité déclare que les griefs soulevés par l</w:t>
      </w:r>
      <w:r w:rsidR="00F02B73">
        <w:t>’</w:t>
      </w:r>
      <w:r w:rsidRPr="009B2027">
        <w:t>auteur au titre de l</w:t>
      </w:r>
      <w:r w:rsidR="00F02B73">
        <w:t>’</w:t>
      </w:r>
      <w:r w:rsidRPr="009B2027">
        <w:t>article</w:t>
      </w:r>
      <w:r w:rsidR="00B455F4">
        <w:t> </w:t>
      </w:r>
      <w:r w:rsidRPr="009B2027">
        <w:t xml:space="preserve">19 </w:t>
      </w:r>
      <w:r>
        <w:t xml:space="preserve">du Pacte </w:t>
      </w:r>
      <w:r w:rsidRPr="009B2027">
        <w:t>et de l</w:t>
      </w:r>
      <w:r w:rsidR="00F02B73">
        <w:t>’</w:t>
      </w:r>
      <w:r w:rsidRPr="009B2027">
        <w:t>article</w:t>
      </w:r>
      <w:r w:rsidR="00B455F4">
        <w:t> </w:t>
      </w:r>
      <w:r w:rsidRPr="009B2027">
        <w:t>2, lu</w:t>
      </w:r>
      <w:r w:rsidR="00B455F4">
        <w:t>s</w:t>
      </w:r>
      <w:r w:rsidRPr="009B2027">
        <w:t xml:space="preserve"> conjointement avec l</w:t>
      </w:r>
      <w:r w:rsidR="00F02B73">
        <w:t>’</w:t>
      </w:r>
      <w:r w:rsidRPr="009B2027">
        <w:t>article 19, sont irrecevables au regard de l</w:t>
      </w:r>
      <w:r w:rsidR="00F02B73">
        <w:t>’</w:t>
      </w:r>
      <w:r w:rsidRPr="009B2027">
        <w:t>article</w:t>
      </w:r>
      <w:r w:rsidR="00B455F4">
        <w:t> </w:t>
      </w:r>
      <w:r w:rsidRPr="009B2027">
        <w:t>2 du Protocole facultatif</w:t>
      </w:r>
      <w:r w:rsidRPr="00370044">
        <w:rPr>
          <w:rStyle w:val="Appelnotedebasdep"/>
        </w:rPr>
        <w:footnoteReference w:id="8"/>
      </w:r>
      <w:r w:rsidRPr="009B2027">
        <w:t>.</w:t>
      </w:r>
    </w:p>
    <w:p w14:paraId="3B6371F9" w14:textId="77777777" w:rsidR="00BE62B1" w:rsidRPr="009B2027" w:rsidRDefault="00BE62B1" w:rsidP="00BE62B1">
      <w:pPr>
        <w:pStyle w:val="SingleTxtG"/>
      </w:pPr>
      <w:r w:rsidRPr="009B2027">
        <w:t>5.</w:t>
      </w:r>
      <w:r w:rsidRPr="009B2027">
        <w:tab/>
        <w:t>En conséquence, le Comité décide</w:t>
      </w:r>
      <w:r>
        <w:t> :</w:t>
      </w:r>
      <w:r w:rsidRPr="009B2027">
        <w:t xml:space="preserve"> </w:t>
      </w:r>
    </w:p>
    <w:p w14:paraId="711842E8" w14:textId="77777777" w:rsidR="00BE62B1" w:rsidRPr="009B2027" w:rsidRDefault="00BE62B1" w:rsidP="00BE62B1">
      <w:pPr>
        <w:pStyle w:val="SingleTxtG"/>
        <w:ind w:firstLine="567"/>
      </w:pPr>
      <w:r w:rsidRPr="009B2027">
        <w:t>a)</w:t>
      </w:r>
      <w:r w:rsidRPr="009B2027">
        <w:tab/>
        <w:t>Que la communication est irrecevable au regard des articles 2 et 3 du Protocole facultatif</w:t>
      </w:r>
      <w:r>
        <w:t> ;</w:t>
      </w:r>
    </w:p>
    <w:p w14:paraId="6E91622E" w14:textId="4A413D64" w:rsidR="00BE62B1" w:rsidRDefault="00BE62B1" w:rsidP="00BE62B1">
      <w:pPr>
        <w:pStyle w:val="SingleTxtG"/>
        <w:ind w:firstLine="567"/>
      </w:pPr>
      <w:r w:rsidRPr="009B2027">
        <w:t>b)</w:t>
      </w:r>
      <w:r w:rsidRPr="009B2027">
        <w:tab/>
        <w:t>Que la présente décision sera communiquée à l</w:t>
      </w:r>
      <w:r w:rsidR="00F02B73">
        <w:t>’</w:t>
      </w:r>
      <w:r w:rsidRPr="009B2027">
        <w:t>État partie et à l</w:t>
      </w:r>
      <w:r w:rsidR="00F02B73">
        <w:t>’</w:t>
      </w:r>
      <w:r w:rsidRPr="009B2027">
        <w:t>auteur.</w:t>
      </w:r>
    </w:p>
    <w:p w14:paraId="7ACCB03F" w14:textId="7B4D6157" w:rsidR="00BE62B1" w:rsidRPr="00BE62B1" w:rsidRDefault="00BE62B1" w:rsidP="00BE62B1">
      <w:pPr>
        <w:pStyle w:val="SingleTxtG"/>
        <w:spacing w:before="240" w:after="0"/>
        <w:jc w:val="center"/>
        <w:rPr>
          <w:u w:val="single"/>
        </w:rPr>
      </w:pPr>
      <w:r>
        <w:rPr>
          <w:u w:val="single"/>
        </w:rPr>
        <w:tab/>
      </w:r>
      <w:r>
        <w:rPr>
          <w:u w:val="single"/>
        </w:rPr>
        <w:tab/>
      </w:r>
      <w:r>
        <w:rPr>
          <w:u w:val="single"/>
        </w:rPr>
        <w:tab/>
      </w:r>
    </w:p>
    <w:sectPr w:rsidR="00BE62B1" w:rsidRPr="00BE62B1" w:rsidSect="00BE62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9986" w14:textId="77777777" w:rsidR="008531C3" w:rsidRDefault="008531C3" w:rsidP="00F95C08">
      <w:pPr>
        <w:spacing w:line="240" w:lineRule="auto"/>
      </w:pPr>
    </w:p>
  </w:endnote>
  <w:endnote w:type="continuationSeparator" w:id="0">
    <w:p w14:paraId="641588A6" w14:textId="77777777" w:rsidR="008531C3" w:rsidRPr="00AC3823" w:rsidRDefault="008531C3" w:rsidP="00AC3823">
      <w:pPr>
        <w:pStyle w:val="Pieddepage"/>
      </w:pPr>
    </w:p>
  </w:endnote>
  <w:endnote w:type="continuationNotice" w:id="1">
    <w:p w14:paraId="05116757" w14:textId="77777777" w:rsidR="008531C3" w:rsidRDefault="00853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747" w14:textId="1415CC6A" w:rsidR="00BE62B1" w:rsidRPr="00BE62B1" w:rsidRDefault="00BE62B1" w:rsidP="00BE62B1">
    <w:pPr>
      <w:pStyle w:val="Pieddepage"/>
      <w:tabs>
        <w:tab w:val="right" w:pos="9638"/>
      </w:tabs>
    </w:pPr>
    <w:r w:rsidRPr="00BE62B1">
      <w:rPr>
        <w:b/>
        <w:sz w:val="18"/>
      </w:rPr>
      <w:fldChar w:fldCharType="begin"/>
    </w:r>
    <w:r w:rsidRPr="00BE62B1">
      <w:rPr>
        <w:b/>
        <w:sz w:val="18"/>
      </w:rPr>
      <w:instrText xml:space="preserve"> PAGE  \* MERGEFORMAT </w:instrText>
    </w:r>
    <w:r w:rsidRPr="00BE62B1">
      <w:rPr>
        <w:b/>
        <w:sz w:val="18"/>
      </w:rPr>
      <w:fldChar w:fldCharType="separate"/>
    </w:r>
    <w:r w:rsidRPr="00BE62B1">
      <w:rPr>
        <w:b/>
        <w:noProof/>
        <w:sz w:val="18"/>
      </w:rPr>
      <w:t>2</w:t>
    </w:r>
    <w:r w:rsidRPr="00BE62B1">
      <w:rPr>
        <w:b/>
        <w:sz w:val="18"/>
      </w:rPr>
      <w:fldChar w:fldCharType="end"/>
    </w:r>
    <w:r>
      <w:rPr>
        <w:b/>
        <w:sz w:val="18"/>
      </w:rPr>
      <w:tab/>
    </w:r>
    <w:r>
      <w:t>GE.22-08604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634E" w14:textId="769C342A" w:rsidR="00BE62B1" w:rsidRPr="00BE62B1" w:rsidRDefault="00BE62B1" w:rsidP="00BE62B1">
    <w:pPr>
      <w:pStyle w:val="Pieddepage"/>
      <w:tabs>
        <w:tab w:val="right" w:pos="9638"/>
      </w:tabs>
      <w:rPr>
        <w:b/>
        <w:sz w:val="18"/>
      </w:rPr>
    </w:pPr>
    <w:r>
      <w:t>GE.22-08604</w:t>
    </w:r>
    <w:r>
      <w:tab/>
    </w:r>
    <w:r w:rsidRPr="00BE62B1">
      <w:rPr>
        <w:b/>
        <w:sz w:val="18"/>
      </w:rPr>
      <w:fldChar w:fldCharType="begin"/>
    </w:r>
    <w:r w:rsidRPr="00BE62B1">
      <w:rPr>
        <w:b/>
        <w:sz w:val="18"/>
      </w:rPr>
      <w:instrText xml:space="preserve"> PAGE  \* MERGEFORMAT </w:instrText>
    </w:r>
    <w:r w:rsidRPr="00BE62B1">
      <w:rPr>
        <w:b/>
        <w:sz w:val="18"/>
      </w:rPr>
      <w:fldChar w:fldCharType="separate"/>
    </w:r>
    <w:r w:rsidRPr="00BE62B1">
      <w:rPr>
        <w:b/>
        <w:noProof/>
        <w:sz w:val="18"/>
      </w:rPr>
      <w:t>3</w:t>
    </w:r>
    <w:r w:rsidRPr="00BE62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070F" w14:textId="2FFF0DD3" w:rsidR="001B379B" w:rsidRPr="00BE62B1" w:rsidRDefault="00BE62B1" w:rsidP="00BE62B1">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D9BE093" wp14:editId="4C81280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22-08604  (F)</w:t>
    </w:r>
    <w:r>
      <w:rPr>
        <w:noProof/>
        <w:sz w:val="20"/>
      </w:rPr>
      <w:drawing>
        <wp:anchor distT="0" distB="0" distL="114300" distR="114300" simplePos="0" relativeHeight="251660288" behindDoc="0" locked="0" layoutInCell="1" allowOverlap="1" wp14:anchorId="3F0E57CA" wp14:editId="31E50BB0">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3B8">
      <w:rPr>
        <w:sz w:val="20"/>
      </w:rPr>
      <w:t xml:space="preserve">    270922    280922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9F08" w14:textId="77777777" w:rsidR="008531C3" w:rsidRPr="00AC3823" w:rsidRDefault="008531C3" w:rsidP="00AC3823">
      <w:pPr>
        <w:pStyle w:val="Pieddepage"/>
        <w:tabs>
          <w:tab w:val="right" w:pos="2155"/>
        </w:tabs>
        <w:spacing w:after="80" w:line="240" w:lineRule="atLeast"/>
        <w:ind w:left="680"/>
        <w:rPr>
          <w:u w:val="single"/>
        </w:rPr>
      </w:pPr>
      <w:r>
        <w:rPr>
          <w:u w:val="single"/>
        </w:rPr>
        <w:tab/>
      </w:r>
    </w:p>
  </w:footnote>
  <w:footnote w:type="continuationSeparator" w:id="0">
    <w:p w14:paraId="2F6CBDDE" w14:textId="77777777" w:rsidR="008531C3" w:rsidRPr="00AC3823" w:rsidRDefault="008531C3" w:rsidP="00AC3823">
      <w:pPr>
        <w:pStyle w:val="Pieddepage"/>
        <w:tabs>
          <w:tab w:val="right" w:pos="2155"/>
        </w:tabs>
        <w:spacing w:after="80" w:line="240" w:lineRule="atLeast"/>
        <w:ind w:left="680"/>
        <w:rPr>
          <w:u w:val="single"/>
        </w:rPr>
      </w:pPr>
      <w:r>
        <w:rPr>
          <w:u w:val="single"/>
        </w:rPr>
        <w:tab/>
      </w:r>
    </w:p>
  </w:footnote>
  <w:footnote w:type="continuationNotice" w:id="1">
    <w:p w14:paraId="5A4677B1" w14:textId="77777777" w:rsidR="008531C3" w:rsidRPr="00AC3823" w:rsidRDefault="008531C3">
      <w:pPr>
        <w:spacing w:line="240" w:lineRule="auto"/>
        <w:rPr>
          <w:sz w:val="2"/>
          <w:szCs w:val="2"/>
        </w:rPr>
      </w:pPr>
    </w:p>
  </w:footnote>
  <w:footnote w:id="2">
    <w:p w14:paraId="6482A00C" w14:textId="479CDCB9" w:rsidR="00B9772D" w:rsidRPr="00B9772D" w:rsidRDefault="00B9772D">
      <w:pPr>
        <w:pStyle w:val="Notedebasdepage"/>
      </w:pPr>
      <w:r>
        <w:rPr>
          <w:rStyle w:val="Appelnotedebasdep"/>
        </w:rPr>
        <w:tab/>
      </w:r>
      <w:r w:rsidRPr="00B9772D">
        <w:rPr>
          <w:rStyle w:val="Appelnotedebasdep"/>
          <w:sz w:val="20"/>
          <w:vertAlign w:val="baseline"/>
        </w:rPr>
        <w:t>*</w:t>
      </w:r>
      <w:r>
        <w:rPr>
          <w:rStyle w:val="Appelnotedebasdep"/>
          <w:sz w:val="20"/>
          <w:vertAlign w:val="baseline"/>
        </w:rPr>
        <w:tab/>
      </w:r>
      <w:r w:rsidRPr="002374E0">
        <w:t>Adoptée par le Comité à sa 12</w:t>
      </w:r>
      <w:r>
        <w:t>6</w:t>
      </w:r>
      <w:r w:rsidRPr="00370044">
        <w:rPr>
          <w:vertAlign w:val="superscript"/>
        </w:rPr>
        <w:t>e</w:t>
      </w:r>
      <w:r>
        <w:t> </w:t>
      </w:r>
      <w:r w:rsidRPr="002374E0">
        <w:t>session (</w:t>
      </w:r>
      <w:r w:rsidRPr="009B2027">
        <w:rPr>
          <w:bCs/>
        </w:rPr>
        <w:t>1</w:t>
      </w:r>
      <w:r w:rsidRPr="009B2027">
        <w:rPr>
          <w:bCs/>
          <w:vertAlign w:val="superscript"/>
        </w:rPr>
        <w:t>er</w:t>
      </w:r>
      <w:r w:rsidRPr="009B2027">
        <w:rPr>
          <w:bCs/>
        </w:rPr>
        <w:t>-26 juillet 2019</w:t>
      </w:r>
      <w:r w:rsidRPr="002374E0">
        <w:t>).</w:t>
      </w:r>
    </w:p>
  </w:footnote>
  <w:footnote w:id="3">
    <w:p w14:paraId="77D256B1" w14:textId="0E82CE18" w:rsidR="00113B28" w:rsidRPr="00113B28" w:rsidRDefault="00113B28">
      <w:pPr>
        <w:pStyle w:val="Notedebasdepage"/>
      </w:pPr>
      <w:r>
        <w:rPr>
          <w:rStyle w:val="Appelnotedebasdep"/>
        </w:rPr>
        <w:tab/>
      </w:r>
      <w:r w:rsidRPr="00113B28">
        <w:rPr>
          <w:rStyle w:val="Appelnotedebasdep"/>
          <w:sz w:val="20"/>
          <w:vertAlign w:val="baseline"/>
        </w:rPr>
        <w:t>**</w:t>
      </w:r>
      <w:r>
        <w:rPr>
          <w:rStyle w:val="Appelnotedebasdep"/>
          <w:sz w:val="20"/>
          <w:vertAlign w:val="baseline"/>
        </w:rPr>
        <w:tab/>
      </w:r>
      <w:r w:rsidRPr="009B2027">
        <w:t>L</w:t>
      </w:r>
      <w:r>
        <w:t xml:space="preserve">es </w:t>
      </w:r>
      <w:r w:rsidRPr="00800583">
        <w:t>membres du Comité dont le nom suit ont participé à l’examen de la communication</w:t>
      </w:r>
      <w:r>
        <w:t> </w:t>
      </w:r>
      <w:r w:rsidRPr="00D72039">
        <w:rPr>
          <w:szCs w:val="18"/>
        </w:rPr>
        <w:t xml:space="preserve">: </w:t>
      </w:r>
      <w:r w:rsidRPr="00370044">
        <w:rPr>
          <w:rFonts w:eastAsia="Times New Roman"/>
          <w:szCs w:val="18"/>
        </w:rPr>
        <w:t>Tania María Abdo Rocholl, Yadh Ben Achour, Ilze Brands Kehris, Arif Bulkan, Ahmed Amin Fathalla, Furuya Shuichi, Christof Heyns, Bamariam Koita, Duncan Laki Muhumuza, Photini Pazartzis, Hernán Quezada Cabrera, Vasilka Sancin, José Manuel Santos Pais, Yuval Shany, Hélène Tigroudja, Andreas Zimmermann et Gentian Zyberi</w:t>
      </w:r>
      <w:r w:rsidRPr="00370044">
        <w:rPr>
          <w:szCs w:val="18"/>
        </w:rPr>
        <w:t>.</w:t>
      </w:r>
    </w:p>
  </w:footnote>
  <w:footnote w:id="4">
    <w:p w14:paraId="050130AD" w14:textId="77777777" w:rsidR="00BE62B1" w:rsidRPr="009B2027" w:rsidRDefault="00BE62B1" w:rsidP="00BE62B1">
      <w:pPr>
        <w:pStyle w:val="Notedebasdepage"/>
      </w:pPr>
      <w:r w:rsidRPr="009B2027">
        <w:tab/>
      </w:r>
      <w:r w:rsidRPr="00370044">
        <w:rPr>
          <w:rStyle w:val="Appelnotedebasdep"/>
        </w:rPr>
        <w:footnoteRef/>
      </w:r>
      <w:r w:rsidRPr="009B2027">
        <w:tab/>
      </w:r>
      <w:r w:rsidRPr="009B2027">
        <w:rPr>
          <w:szCs w:val="18"/>
        </w:rPr>
        <w:t xml:space="preserve">L’auteur cite la loi sur la profession juridique de 2004 (art. 141), </w:t>
      </w:r>
      <w:r>
        <w:rPr>
          <w:szCs w:val="18"/>
        </w:rPr>
        <w:t>et</w:t>
      </w:r>
      <w:r w:rsidRPr="009B2027">
        <w:rPr>
          <w:szCs w:val="18"/>
        </w:rPr>
        <w:t xml:space="preserve"> la loi uniforme sur la profession juridique (art. 35).</w:t>
      </w:r>
    </w:p>
  </w:footnote>
  <w:footnote w:id="5">
    <w:p w14:paraId="19B51F63" w14:textId="41DC6F66" w:rsidR="00BE62B1" w:rsidRPr="009B2027" w:rsidRDefault="00BE62B1" w:rsidP="00BE62B1">
      <w:pPr>
        <w:pStyle w:val="Notedebasdepage"/>
      </w:pPr>
      <w:r w:rsidRPr="009B2027">
        <w:tab/>
      </w:r>
      <w:r w:rsidRPr="00370044">
        <w:rPr>
          <w:rStyle w:val="Appelnotedebasdep"/>
        </w:rPr>
        <w:footnoteRef/>
      </w:r>
      <w:r w:rsidRPr="009B2027">
        <w:tab/>
      </w:r>
      <w:hyperlink r:id="rId1" w:history="1">
        <w:r w:rsidRPr="00B455F4">
          <w:rPr>
            <w:rStyle w:val="Lienhypertexte"/>
          </w:rPr>
          <w:t>CCPR/C/87/D/115</w:t>
        </w:r>
        <w:r w:rsidRPr="00B455F4">
          <w:rPr>
            <w:rStyle w:val="Lienhypertexte"/>
          </w:rPr>
          <w:t>7</w:t>
        </w:r>
        <w:r w:rsidRPr="00B455F4">
          <w:rPr>
            <w:rStyle w:val="Lienhypertexte"/>
          </w:rPr>
          <w:t>/2003</w:t>
        </w:r>
      </w:hyperlink>
      <w:r w:rsidRPr="009B2027">
        <w:t>.</w:t>
      </w:r>
    </w:p>
  </w:footnote>
  <w:footnote w:id="6">
    <w:p w14:paraId="5481D7D4" w14:textId="5BE5B4F0" w:rsidR="00BE62B1" w:rsidRPr="009B2027" w:rsidRDefault="00BE62B1" w:rsidP="00BE62B1">
      <w:pPr>
        <w:pStyle w:val="Notedebasdepage"/>
      </w:pPr>
      <w:r w:rsidRPr="009B2027">
        <w:tab/>
      </w:r>
      <w:r w:rsidRPr="00370044">
        <w:rPr>
          <w:rStyle w:val="Appelnotedebasdep"/>
        </w:rPr>
        <w:footnoteRef/>
      </w:r>
      <w:r w:rsidRPr="009B2027">
        <w:tab/>
        <w:t xml:space="preserve">Voir, entre autres, </w:t>
      </w:r>
      <w:r w:rsidRPr="009B2027">
        <w:rPr>
          <w:i/>
        </w:rPr>
        <w:t xml:space="preserve">Wackenheim c. </w:t>
      </w:r>
      <w:r>
        <w:rPr>
          <w:i/>
        </w:rPr>
        <w:t xml:space="preserve">France </w:t>
      </w:r>
      <w:r>
        <w:t>(</w:t>
      </w:r>
      <w:hyperlink r:id="rId2" w:history="1">
        <w:r w:rsidRPr="00C84E82">
          <w:rPr>
            <w:rStyle w:val="Lienhypertexte"/>
          </w:rPr>
          <w:t>CCPR/C/75/D/854/1999</w:t>
        </w:r>
      </w:hyperlink>
      <w:r>
        <w:t>)</w:t>
      </w:r>
      <w:r w:rsidRPr="009B2027">
        <w:t>, par. 6.5</w:t>
      </w:r>
      <w:r>
        <w:t>,</w:t>
      </w:r>
      <w:r w:rsidRPr="009B2027">
        <w:t xml:space="preserve"> et </w:t>
      </w:r>
      <w:r w:rsidRPr="009B2027">
        <w:rPr>
          <w:i/>
        </w:rPr>
        <w:t>Kh .B. c.</w:t>
      </w:r>
      <w:r w:rsidR="006513B8">
        <w:rPr>
          <w:i/>
        </w:rPr>
        <w:t> </w:t>
      </w:r>
      <w:r w:rsidRPr="009B2027">
        <w:rPr>
          <w:i/>
        </w:rPr>
        <w:t>Kirghizistan</w:t>
      </w:r>
      <w:r>
        <w:rPr>
          <w:i/>
        </w:rPr>
        <w:t xml:space="preserve"> </w:t>
      </w:r>
      <w:r>
        <w:t>(</w:t>
      </w:r>
      <w:hyperlink r:id="rId3" w:history="1">
        <w:r w:rsidRPr="00C84E82">
          <w:rPr>
            <w:rStyle w:val="Lienhypertexte"/>
          </w:rPr>
          <w:t>CCPR/C/120/D/2163/2012</w:t>
        </w:r>
      </w:hyperlink>
      <w:r>
        <w:t>)</w:t>
      </w:r>
      <w:r w:rsidRPr="009B2027">
        <w:t>, par. 10.4.</w:t>
      </w:r>
    </w:p>
  </w:footnote>
  <w:footnote w:id="7">
    <w:p w14:paraId="1441C911" w14:textId="50781BAD" w:rsidR="00BE62B1" w:rsidRPr="009B2027" w:rsidRDefault="00BE62B1" w:rsidP="00BE62B1">
      <w:pPr>
        <w:pStyle w:val="Notedebasdepage"/>
      </w:pPr>
      <w:r w:rsidRPr="009B2027">
        <w:tab/>
      </w:r>
      <w:r w:rsidRPr="00370044">
        <w:rPr>
          <w:rStyle w:val="Appelnotedebasdep"/>
        </w:rPr>
        <w:footnoteRef/>
      </w:r>
      <w:r w:rsidRPr="009B2027">
        <w:tab/>
      </w:r>
      <w:r>
        <w:t xml:space="preserve">Voir </w:t>
      </w:r>
      <w:r w:rsidRPr="009B2027">
        <w:t xml:space="preserve">Comité des droits de l’homme, observation générale </w:t>
      </w:r>
      <w:r w:rsidRPr="009B2027">
        <w:rPr>
          <w:rFonts w:eastAsia="MS Mincho"/>
        </w:rPr>
        <w:t>n</w:t>
      </w:r>
      <w:r w:rsidRPr="009B2027">
        <w:rPr>
          <w:rFonts w:eastAsia="MS Mincho"/>
          <w:vertAlign w:val="superscript"/>
        </w:rPr>
        <w:t>o</w:t>
      </w:r>
      <w:r w:rsidRPr="009B2027">
        <w:t> 32 (2007)</w:t>
      </w:r>
      <w:r>
        <w:t xml:space="preserve">. Voir </w:t>
      </w:r>
      <w:r w:rsidRPr="00C84E82">
        <w:t xml:space="preserve">aussi </w:t>
      </w:r>
      <w:r w:rsidRPr="009B2027">
        <w:rPr>
          <w:i/>
        </w:rPr>
        <w:t xml:space="preserve">Tyvanchuk et </w:t>
      </w:r>
      <w:r>
        <w:rPr>
          <w:i/>
        </w:rPr>
        <w:t>consorts</w:t>
      </w:r>
      <w:r w:rsidRPr="009B2027">
        <w:rPr>
          <w:i/>
        </w:rPr>
        <w:t xml:space="preserve"> c. Bélarus</w:t>
      </w:r>
      <w:r>
        <w:rPr>
          <w:i/>
        </w:rPr>
        <w:t xml:space="preserve"> </w:t>
      </w:r>
      <w:r>
        <w:rPr>
          <w:iCs/>
        </w:rPr>
        <w:t>(</w:t>
      </w:r>
      <w:hyperlink r:id="rId4" w:history="1">
        <w:r w:rsidRPr="00C84E82">
          <w:rPr>
            <w:rStyle w:val="Lienhypertexte"/>
            <w:iCs/>
          </w:rPr>
          <w:t>CCPR/C/122/D/2201/2012</w:t>
        </w:r>
      </w:hyperlink>
      <w:r>
        <w:rPr>
          <w:iCs/>
        </w:rPr>
        <w:t>)</w:t>
      </w:r>
      <w:r w:rsidRPr="009B2027">
        <w:t>, par. 6.6.</w:t>
      </w:r>
    </w:p>
  </w:footnote>
  <w:footnote w:id="8">
    <w:p w14:paraId="3ACB5DFA" w14:textId="3B8C53B3" w:rsidR="00BE62B1" w:rsidRPr="009B2027" w:rsidRDefault="00BE62B1" w:rsidP="00BE62B1">
      <w:pPr>
        <w:pStyle w:val="Notedebasdepage"/>
      </w:pPr>
      <w:r w:rsidRPr="009B2027">
        <w:tab/>
      </w:r>
      <w:r w:rsidRPr="00370044">
        <w:rPr>
          <w:rStyle w:val="Appelnotedebasdep"/>
        </w:rPr>
        <w:footnoteRef/>
      </w:r>
      <w:r w:rsidRPr="009B2027">
        <w:tab/>
        <w:t xml:space="preserve">Ayant ainsi conclu, le Comité ne juge pas nécessaire d’examiner la question de savoir si l’auteur a épuisé les recours internes conformément </w:t>
      </w:r>
      <w:r>
        <w:t>à</w:t>
      </w:r>
      <w:r w:rsidRPr="009B2027">
        <w:t xml:space="preserve"> l’article</w:t>
      </w:r>
      <w:r w:rsidR="00C84E82">
        <w:t> </w:t>
      </w:r>
      <w:r w:rsidRPr="009B2027">
        <w:t xml:space="preserve">5 </w:t>
      </w:r>
      <w:r>
        <w:t xml:space="preserve">(par. 2 b)) </w:t>
      </w:r>
      <w:r w:rsidRPr="009B2027">
        <w:t>du Protocole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C417" w14:textId="5D50D40B" w:rsidR="00BE62B1" w:rsidRPr="00BE62B1" w:rsidRDefault="00BE62B1">
    <w:pPr>
      <w:pStyle w:val="En-tte"/>
    </w:pPr>
    <w:fldSimple w:instr=" TITLE  \* MERGEFORMAT ">
      <w:r>
        <w:t>CCPR/C/126/D/3580/2019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3044" w14:textId="7DA747BD" w:rsidR="00BE62B1" w:rsidRPr="00BE62B1" w:rsidRDefault="00BE62B1" w:rsidP="00BE62B1">
    <w:pPr>
      <w:pStyle w:val="En-tte"/>
      <w:jc w:val="right"/>
    </w:pPr>
    <w:fldSimple w:instr=" TITLE  \* MERGEFORMAT ">
      <w:r>
        <w:t>CCPR/C/126/D/3580/2019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04151314">
    <w:abstractNumId w:val="12"/>
  </w:num>
  <w:num w:numId="2" w16cid:durableId="856122291">
    <w:abstractNumId w:val="11"/>
  </w:num>
  <w:num w:numId="3" w16cid:durableId="716397130">
    <w:abstractNumId w:val="10"/>
  </w:num>
  <w:num w:numId="4" w16cid:durableId="1531263015">
    <w:abstractNumId w:val="8"/>
  </w:num>
  <w:num w:numId="5" w16cid:durableId="1033921396">
    <w:abstractNumId w:val="3"/>
  </w:num>
  <w:num w:numId="6" w16cid:durableId="269317191">
    <w:abstractNumId w:val="2"/>
  </w:num>
  <w:num w:numId="7" w16cid:durableId="947472182">
    <w:abstractNumId w:val="1"/>
  </w:num>
  <w:num w:numId="8" w16cid:durableId="1456172829">
    <w:abstractNumId w:val="0"/>
  </w:num>
  <w:num w:numId="9" w16cid:durableId="2093619356">
    <w:abstractNumId w:val="9"/>
  </w:num>
  <w:num w:numId="10" w16cid:durableId="1627587906">
    <w:abstractNumId w:val="7"/>
  </w:num>
  <w:num w:numId="11" w16cid:durableId="910382093">
    <w:abstractNumId w:val="6"/>
  </w:num>
  <w:num w:numId="12" w16cid:durableId="1748721388">
    <w:abstractNumId w:val="5"/>
  </w:num>
  <w:num w:numId="13" w16cid:durableId="1169754323">
    <w:abstractNumId w:val="4"/>
  </w:num>
  <w:num w:numId="14" w16cid:durableId="125901192">
    <w:abstractNumId w:val="12"/>
  </w:num>
  <w:num w:numId="15" w16cid:durableId="1504516437">
    <w:abstractNumId w:val="11"/>
  </w:num>
  <w:num w:numId="16" w16cid:durableId="1272320400">
    <w:abstractNumId w:val="10"/>
  </w:num>
  <w:num w:numId="17" w16cid:durableId="269238264">
    <w:abstractNumId w:val="12"/>
  </w:num>
  <w:num w:numId="18" w16cid:durableId="797188959">
    <w:abstractNumId w:val="11"/>
  </w:num>
  <w:num w:numId="19" w16cid:durableId="151721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C3"/>
    <w:rsid w:val="00017F94"/>
    <w:rsid w:val="00023842"/>
    <w:rsid w:val="000334F9"/>
    <w:rsid w:val="0007796D"/>
    <w:rsid w:val="000919AD"/>
    <w:rsid w:val="00097C61"/>
    <w:rsid w:val="000B7790"/>
    <w:rsid w:val="000C2225"/>
    <w:rsid w:val="000E1543"/>
    <w:rsid w:val="00111F2F"/>
    <w:rsid w:val="00113B28"/>
    <w:rsid w:val="0014365E"/>
    <w:rsid w:val="00176178"/>
    <w:rsid w:val="001A45ED"/>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513B8"/>
    <w:rsid w:val="006D1448"/>
    <w:rsid w:val="006F7144"/>
    <w:rsid w:val="006F71EA"/>
    <w:rsid w:val="0071601D"/>
    <w:rsid w:val="00793E85"/>
    <w:rsid w:val="007A611C"/>
    <w:rsid w:val="007A62E6"/>
    <w:rsid w:val="007E2032"/>
    <w:rsid w:val="0080684C"/>
    <w:rsid w:val="008154BC"/>
    <w:rsid w:val="008531C3"/>
    <w:rsid w:val="008560DB"/>
    <w:rsid w:val="00871C75"/>
    <w:rsid w:val="008776DC"/>
    <w:rsid w:val="00884CDD"/>
    <w:rsid w:val="009705C8"/>
    <w:rsid w:val="009B1E6C"/>
    <w:rsid w:val="009E2C6A"/>
    <w:rsid w:val="00A57411"/>
    <w:rsid w:val="00A9151D"/>
    <w:rsid w:val="00A92823"/>
    <w:rsid w:val="00A938AD"/>
    <w:rsid w:val="00AA6A35"/>
    <w:rsid w:val="00AC3823"/>
    <w:rsid w:val="00AE323C"/>
    <w:rsid w:val="00B00181"/>
    <w:rsid w:val="00B455F4"/>
    <w:rsid w:val="00B765F7"/>
    <w:rsid w:val="00B9772D"/>
    <w:rsid w:val="00BA0CA9"/>
    <w:rsid w:val="00BE62B1"/>
    <w:rsid w:val="00C01ACF"/>
    <w:rsid w:val="00C02897"/>
    <w:rsid w:val="00C84E82"/>
    <w:rsid w:val="00CA7BC4"/>
    <w:rsid w:val="00D05667"/>
    <w:rsid w:val="00D22C9C"/>
    <w:rsid w:val="00D3439C"/>
    <w:rsid w:val="00D744E5"/>
    <w:rsid w:val="00D83177"/>
    <w:rsid w:val="00DB1831"/>
    <w:rsid w:val="00DD3BFD"/>
    <w:rsid w:val="00DF6678"/>
    <w:rsid w:val="00E85C42"/>
    <w:rsid w:val="00EC30D5"/>
    <w:rsid w:val="00EE1BD4"/>
    <w:rsid w:val="00F02B73"/>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421D"/>
  <w15:docId w15:val="{4026BD45-F164-4816-B31A-DB890284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E62B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4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120/D/2163/2012" TargetMode="External"/><Relationship Id="rId2" Type="http://schemas.openxmlformats.org/officeDocument/2006/relationships/hyperlink" Target="https://undocs.org/fr/CCPR/C/75/D/854/1999" TargetMode="External"/><Relationship Id="rId1" Type="http://schemas.openxmlformats.org/officeDocument/2006/relationships/hyperlink" Target="https://undocs.org/fr/CCPR/C/87/D/1157/2003" TargetMode="External"/><Relationship Id="rId4" Type="http://schemas.openxmlformats.org/officeDocument/2006/relationships/hyperlink" Target="https://undocs.org/fr/CCPR/C/122/D/220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1815</Words>
  <Characters>10638</Characters>
  <Application>Microsoft Office Word</Application>
  <DocSecurity>0</DocSecurity>
  <Lines>967</Lines>
  <Paragraphs>415</Paragraphs>
  <ScaleCrop>false</ScaleCrop>
  <HeadingPairs>
    <vt:vector size="2" baseType="variant">
      <vt:variant>
        <vt:lpstr>Titre</vt:lpstr>
      </vt:variant>
      <vt:variant>
        <vt:i4>1</vt:i4>
      </vt:variant>
    </vt:vector>
  </HeadingPairs>
  <TitlesOfParts>
    <vt:vector size="1" baseType="lpstr">
      <vt:lpstr>CCPR/C/126/D/3580/2019</vt:lpstr>
    </vt:vector>
  </TitlesOfParts>
  <Company>DCM</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CCPR/C/126/D/3580/2019</dc:title>
  <dc:subject/>
  <dc:creator>Julien OKRZESIK</dc:creator>
  <cp:keywords/>
  <cp:lastModifiedBy>Julien Okrzesik</cp:lastModifiedBy>
  <cp:revision>2</cp:revision>
  <cp:lastPrinted>2014-05-14T10:59:00Z</cp:lastPrinted>
  <dcterms:created xsi:type="dcterms:W3CDTF">2022-09-28T10:04:00Z</dcterms:created>
  <dcterms:modified xsi:type="dcterms:W3CDTF">2022-09-28T10:04:00Z</dcterms:modified>
</cp:coreProperties>
</file>