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FA2846"/>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FA2846" w:rsidP="00FA2846">
            <w:pPr>
              <w:jc w:val="right"/>
            </w:pPr>
            <w:r w:rsidRPr="00FA2846">
              <w:rPr>
                <w:sz w:val="40"/>
              </w:rPr>
              <w:t>CCPR</w:t>
            </w:r>
            <w:r>
              <w:t>/C/129/2/Add.2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FA2846" w:rsidP="002B7BC7">
            <w:pPr>
              <w:spacing w:before="240"/>
            </w:pPr>
            <w:proofErr w:type="spellStart"/>
            <w:r>
              <w:t>Distr</w:t>
            </w:r>
            <w:proofErr w:type="spellEnd"/>
            <w:r>
              <w:t>. générale</w:t>
            </w:r>
          </w:p>
          <w:p w:rsidR="00FA2846" w:rsidRDefault="00FA2846" w:rsidP="00FA2846">
            <w:pPr>
              <w:spacing w:line="240" w:lineRule="exact"/>
            </w:pPr>
            <w:r>
              <w:t>8 septembre 2020</w:t>
            </w:r>
          </w:p>
          <w:p w:rsidR="00FA2846" w:rsidRDefault="00FA2846" w:rsidP="00FA2846">
            <w:pPr>
              <w:spacing w:line="240" w:lineRule="exact"/>
            </w:pPr>
            <w:r>
              <w:t>Français</w:t>
            </w:r>
          </w:p>
          <w:p w:rsidR="00FA2846" w:rsidRPr="00DB58B5" w:rsidRDefault="00FA2846" w:rsidP="00FA2846">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C8688F" w:rsidRPr="0016528A" w:rsidRDefault="00C8688F" w:rsidP="00E05147">
      <w:pPr>
        <w:pStyle w:val="HChG"/>
        <w:spacing w:before="320"/>
        <w:rPr>
          <w:lang w:val="fr-FR"/>
        </w:rPr>
      </w:pPr>
      <w:r w:rsidRPr="0016528A">
        <w:rPr>
          <w:lang w:val="fr-FR"/>
        </w:rPr>
        <w:tab/>
      </w:r>
      <w:r w:rsidRPr="0016528A">
        <w:rPr>
          <w:lang w:val="fr-FR"/>
        </w:rPr>
        <w:tab/>
      </w:r>
      <w:bookmarkStart w:id="0" w:name="_Toc506807534"/>
      <w:r w:rsidRPr="0016528A">
        <w:rPr>
          <w:lang w:val="fr-FR"/>
        </w:rPr>
        <w:t xml:space="preserve">Rapport sur le suivi des observations finales </w:t>
      </w:r>
      <w:r w:rsidRPr="0016528A">
        <w:rPr>
          <w:lang w:val="fr-FR"/>
        </w:rPr>
        <w:br/>
        <w:t>du Comité des droits de l</w:t>
      </w:r>
      <w:r>
        <w:rPr>
          <w:lang w:val="fr-FR"/>
        </w:rPr>
        <w:t>’</w:t>
      </w:r>
      <w:r w:rsidRPr="0016528A">
        <w:rPr>
          <w:lang w:val="fr-FR"/>
        </w:rPr>
        <w:t>homme</w:t>
      </w:r>
      <w:r w:rsidRPr="00290BD9">
        <w:rPr>
          <w:rStyle w:val="Appelnotedebasdep"/>
          <w:b w:val="0"/>
          <w:sz w:val="20"/>
        </w:rPr>
        <w:footnoteReference w:customMarkFollows="1" w:id="2"/>
        <w:t>*</w:t>
      </w:r>
      <w:r w:rsidRPr="0016528A">
        <w:rPr>
          <w:lang w:val="fr-FR"/>
        </w:rPr>
        <w:t xml:space="preserve"> </w:t>
      </w:r>
      <w:bookmarkEnd w:id="0"/>
    </w:p>
    <w:p w:rsidR="00C8688F" w:rsidRPr="0016528A" w:rsidRDefault="00C8688F" w:rsidP="00F97612">
      <w:pPr>
        <w:pStyle w:val="H23G"/>
        <w:rPr>
          <w:lang w:val="fr-FR"/>
        </w:rPr>
      </w:pPr>
      <w:r w:rsidRPr="0016528A">
        <w:rPr>
          <w:lang w:val="fr-FR"/>
        </w:rPr>
        <w:tab/>
      </w:r>
      <w:r w:rsidRPr="0016528A">
        <w:rPr>
          <w:lang w:val="fr-FR"/>
        </w:rPr>
        <w:tab/>
        <w:t>Additif</w:t>
      </w:r>
    </w:p>
    <w:p w:rsidR="00C8688F" w:rsidRDefault="00C8688F" w:rsidP="00E05147">
      <w:pPr>
        <w:pStyle w:val="HChG"/>
        <w:spacing w:before="320"/>
        <w:rPr>
          <w:lang w:val="fr-FR"/>
        </w:rPr>
      </w:pPr>
      <w:r w:rsidRPr="0016528A">
        <w:rPr>
          <w:lang w:val="fr-FR"/>
        </w:rPr>
        <w:tab/>
      </w:r>
      <w:r w:rsidRPr="0016528A">
        <w:rPr>
          <w:lang w:val="fr-FR"/>
        </w:rPr>
        <w:tab/>
        <w:t xml:space="preserve">Évaluation des renseignements sur la suite donnée </w:t>
      </w:r>
      <w:r>
        <w:rPr>
          <w:lang w:val="fr-FR"/>
        </w:rPr>
        <w:br/>
      </w:r>
      <w:r w:rsidRPr="0016528A">
        <w:rPr>
          <w:lang w:val="fr-FR"/>
        </w:rPr>
        <w:t>aux observations finales concernant la Thaïlande</w:t>
      </w:r>
    </w:p>
    <w:tbl>
      <w:tblPr>
        <w:tblStyle w:val="Grilledutableau"/>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826"/>
      </w:tblGrid>
      <w:tr w:rsidR="00F97612" w:rsidRPr="004414CE" w:rsidTr="004414CE">
        <w:tc>
          <w:tcPr>
            <w:tcW w:w="3545" w:type="dxa"/>
          </w:tcPr>
          <w:p w:rsidR="00F97612" w:rsidRDefault="004414CE" w:rsidP="004414CE">
            <w:pPr>
              <w:spacing w:after="120"/>
              <w:rPr>
                <w:lang w:val="fr-FR"/>
              </w:rPr>
            </w:pPr>
            <w:r w:rsidRPr="004414CE">
              <w:rPr>
                <w:i/>
                <w:iCs/>
                <w:lang w:val="fr-FR"/>
              </w:rPr>
              <w:t>Observations finales (119</w:t>
            </w:r>
            <w:r w:rsidRPr="004414CE">
              <w:rPr>
                <w:i/>
                <w:iCs/>
                <w:vertAlign w:val="superscript"/>
                <w:lang w:val="fr-FR"/>
              </w:rPr>
              <w:t>e</w:t>
            </w:r>
            <w:r w:rsidRPr="004414CE">
              <w:rPr>
                <w:i/>
                <w:iCs/>
                <w:lang w:val="fr-FR"/>
              </w:rPr>
              <w:t> session)</w:t>
            </w:r>
            <w:r w:rsidRPr="004414CE">
              <w:rPr>
                <w:lang w:val="fr-FR"/>
              </w:rPr>
              <w:t xml:space="preserve"> :</w:t>
            </w:r>
          </w:p>
        </w:tc>
        <w:tc>
          <w:tcPr>
            <w:tcW w:w="3826" w:type="dxa"/>
          </w:tcPr>
          <w:p w:rsidR="00F97612" w:rsidRPr="004414CE" w:rsidRDefault="004414CE" w:rsidP="004414CE">
            <w:pPr>
              <w:spacing w:after="120"/>
              <w:rPr>
                <w:lang w:val="en-US"/>
              </w:rPr>
            </w:pPr>
            <w:r w:rsidRPr="004414CE">
              <w:rPr>
                <w:lang w:val="en-US"/>
              </w:rPr>
              <w:t>CCPR/C/THA/CO/2, 23 mars 2017</w:t>
            </w:r>
          </w:p>
        </w:tc>
      </w:tr>
      <w:tr w:rsidR="00F97612" w:rsidRPr="004414CE" w:rsidTr="004414CE">
        <w:tc>
          <w:tcPr>
            <w:tcW w:w="3545" w:type="dxa"/>
          </w:tcPr>
          <w:p w:rsidR="00F97612" w:rsidRPr="004414CE" w:rsidRDefault="004414CE" w:rsidP="004414CE">
            <w:pPr>
              <w:spacing w:after="120"/>
            </w:pPr>
            <w:r w:rsidRPr="004414CE">
              <w:rPr>
                <w:i/>
                <w:iCs/>
                <w:lang w:val="fr-FR"/>
              </w:rPr>
              <w:t>Paragraphes faisant l’objet d’un suivi</w:t>
            </w:r>
            <w:r w:rsidRPr="004414CE">
              <w:rPr>
                <w:lang w:val="fr-FR"/>
              </w:rPr>
              <w:t xml:space="preserve"> :</w:t>
            </w:r>
          </w:p>
        </w:tc>
        <w:tc>
          <w:tcPr>
            <w:tcW w:w="3826" w:type="dxa"/>
          </w:tcPr>
          <w:p w:rsidR="00F97612" w:rsidRPr="004414CE" w:rsidRDefault="004414CE" w:rsidP="004414CE">
            <w:pPr>
              <w:spacing w:after="120"/>
            </w:pPr>
            <w:r w:rsidRPr="004414CE">
              <w:rPr>
                <w:lang w:val="fr-FR"/>
              </w:rPr>
              <w:t>8, 22 et 34</w:t>
            </w:r>
          </w:p>
        </w:tc>
      </w:tr>
      <w:tr w:rsidR="00F97612" w:rsidRPr="004414CE" w:rsidTr="004414CE">
        <w:tc>
          <w:tcPr>
            <w:tcW w:w="3545" w:type="dxa"/>
          </w:tcPr>
          <w:p w:rsidR="00F97612" w:rsidRPr="004414CE" w:rsidRDefault="004414CE" w:rsidP="004414CE">
            <w:pPr>
              <w:spacing w:after="120"/>
              <w:rPr>
                <w:lang w:val="fr-FR"/>
              </w:rPr>
            </w:pPr>
            <w:r w:rsidRPr="004414CE">
              <w:rPr>
                <w:i/>
                <w:iCs/>
                <w:lang w:val="fr-FR"/>
              </w:rPr>
              <w:t xml:space="preserve">Réponse sur la suite donnée </w:t>
            </w:r>
            <w:r>
              <w:rPr>
                <w:i/>
                <w:iCs/>
                <w:lang w:val="fr-FR"/>
              </w:rPr>
              <w:br/>
            </w:r>
            <w:r w:rsidRPr="004414CE">
              <w:rPr>
                <w:i/>
                <w:iCs/>
                <w:lang w:val="fr-FR"/>
              </w:rPr>
              <w:t>aux observations</w:t>
            </w:r>
            <w:r>
              <w:rPr>
                <w:i/>
                <w:iCs/>
                <w:lang w:val="fr-FR"/>
              </w:rPr>
              <w:t> </w:t>
            </w:r>
            <w:r w:rsidRPr="004414CE">
              <w:rPr>
                <w:lang w:val="fr-FR"/>
              </w:rPr>
              <w:t>:</w:t>
            </w:r>
          </w:p>
        </w:tc>
        <w:tc>
          <w:tcPr>
            <w:tcW w:w="3826" w:type="dxa"/>
          </w:tcPr>
          <w:p w:rsidR="00F97612" w:rsidRPr="004414CE" w:rsidRDefault="004414CE" w:rsidP="004414CE">
            <w:pPr>
              <w:spacing w:after="120"/>
              <w:rPr>
                <w:lang w:val="en-US"/>
              </w:rPr>
            </w:pPr>
            <w:r w:rsidRPr="004414CE">
              <w:rPr>
                <w:lang w:val="en-US"/>
              </w:rPr>
              <w:t>CCPR/C/THA/CO/2/Add.1, 18 </w:t>
            </w:r>
            <w:r w:rsidRPr="004414CE">
              <w:t>juillet</w:t>
            </w:r>
            <w:r w:rsidRPr="004414CE">
              <w:rPr>
                <w:lang w:val="en-US"/>
              </w:rPr>
              <w:t xml:space="preserve"> 2018</w:t>
            </w:r>
          </w:p>
        </w:tc>
      </w:tr>
      <w:tr w:rsidR="00F97612" w:rsidRPr="004414CE" w:rsidTr="004414CE">
        <w:tc>
          <w:tcPr>
            <w:tcW w:w="3545" w:type="dxa"/>
          </w:tcPr>
          <w:p w:rsidR="00F97612" w:rsidRPr="004414CE" w:rsidRDefault="004414CE" w:rsidP="004414CE">
            <w:pPr>
              <w:spacing w:after="120"/>
              <w:rPr>
                <w:lang w:val="en-US"/>
              </w:rPr>
            </w:pPr>
            <w:r w:rsidRPr="004414CE">
              <w:rPr>
                <w:i/>
                <w:iCs/>
                <w:lang w:val="fr-FR"/>
              </w:rPr>
              <w:t>Évaluation du Comité</w:t>
            </w:r>
            <w:r w:rsidRPr="004414CE">
              <w:rPr>
                <w:lang w:val="fr-FR"/>
              </w:rPr>
              <w:t> :</w:t>
            </w:r>
          </w:p>
        </w:tc>
        <w:tc>
          <w:tcPr>
            <w:tcW w:w="3826" w:type="dxa"/>
          </w:tcPr>
          <w:p w:rsidR="00F97612" w:rsidRPr="004414CE" w:rsidRDefault="004414CE" w:rsidP="004414CE">
            <w:pPr>
              <w:spacing w:after="120"/>
            </w:pPr>
            <w:r w:rsidRPr="004414CE">
              <w:rPr>
                <w:lang w:val="fr-FR"/>
              </w:rPr>
              <w:t>Des informations complémentaires sont nécessaires au sujet des paragraphes 8[</w:t>
            </w:r>
            <w:r w:rsidRPr="004414CE">
              <w:rPr>
                <w:b/>
                <w:bCs/>
                <w:lang w:val="fr-FR"/>
              </w:rPr>
              <w:t>C</w:t>
            </w:r>
            <w:r w:rsidRPr="004414CE">
              <w:rPr>
                <w:lang w:val="fr-FR"/>
              </w:rPr>
              <w:t>], 22[</w:t>
            </w:r>
            <w:r w:rsidRPr="004414CE">
              <w:rPr>
                <w:b/>
                <w:bCs/>
                <w:lang w:val="fr-FR"/>
              </w:rPr>
              <w:t>B</w:t>
            </w:r>
            <w:r w:rsidRPr="004414CE">
              <w:rPr>
                <w:lang w:val="fr-FR"/>
              </w:rPr>
              <w:t>][</w:t>
            </w:r>
            <w:r w:rsidRPr="004414CE">
              <w:rPr>
                <w:b/>
                <w:bCs/>
                <w:lang w:val="fr-FR"/>
              </w:rPr>
              <w:t>C</w:t>
            </w:r>
            <w:r w:rsidRPr="004414CE">
              <w:rPr>
                <w:lang w:val="fr-FR"/>
              </w:rPr>
              <w:t>] et 34[</w:t>
            </w:r>
            <w:r w:rsidRPr="004414CE">
              <w:rPr>
                <w:b/>
                <w:bCs/>
                <w:lang w:val="fr-FR"/>
              </w:rPr>
              <w:t>B</w:t>
            </w:r>
            <w:r w:rsidRPr="004414CE">
              <w:rPr>
                <w:lang w:val="fr-FR"/>
              </w:rPr>
              <w:t>]</w:t>
            </w:r>
          </w:p>
        </w:tc>
      </w:tr>
      <w:tr w:rsidR="00F97612" w:rsidRPr="004414CE" w:rsidTr="004414CE">
        <w:tc>
          <w:tcPr>
            <w:tcW w:w="3545" w:type="dxa"/>
          </w:tcPr>
          <w:p w:rsidR="00F97612" w:rsidRPr="004414CE" w:rsidRDefault="004414CE" w:rsidP="004414CE">
            <w:pPr>
              <w:spacing w:after="120"/>
            </w:pPr>
            <w:r w:rsidRPr="004414CE">
              <w:rPr>
                <w:i/>
                <w:iCs/>
                <w:lang w:val="fr-FR"/>
              </w:rPr>
              <w:t xml:space="preserve">Informations émanant d’organisations </w:t>
            </w:r>
            <w:r w:rsidRPr="004414CE">
              <w:rPr>
                <w:i/>
                <w:iCs/>
                <w:lang w:val="fr-FR"/>
              </w:rPr>
              <w:br/>
            </w:r>
            <w:r w:rsidRPr="004414CE">
              <w:rPr>
                <w:i/>
                <w:iCs/>
                <w:lang w:val="fr-FR"/>
              </w:rPr>
              <w:t>non gouvernementales</w:t>
            </w:r>
            <w:r>
              <w:rPr>
                <w:i/>
                <w:iCs/>
                <w:lang w:val="fr-FR"/>
              </w:rPr>
              <w:t> </w:t>
            </w:r>
            <w:r w:rsidRPr="004414CE">
              <w:rPr>
                <w:lang w:val="fr-FR"/>
              </w:rPr>
              <w:t>:</w:t>
            </w:r>
          </w:p>
        </w:tc>
        <w:tc>
          <w:tcPr>
            <w:tcW w:w="3826" w:type="dxa"/>
          </w:tcPr>
          <w:p w:rsidR="00F97612" w:rsidRPr="004414CE" w:rsidRDefault="004414CE" w:rsidP="004414CE">
            <w:pPr>
              <w:spacing w:after="120"/>
            </w:pPr>
            <w:r w:rsidRPr="004414CE">
              <w:rPr>
                <w:lang w:val="fr-FR"/>
              </w:rPr>
              <w:t>Centre pour les droits civils et politiques et d’autres organisations</w:t>
            </w:r>
            <w:r w:rsidRPr="004414CE">
              <w:rPr>
                <w:rStyle w:val="Appelnotedebasdep"/>
                <w:lang w:val="fr-FR"/>
              </w:rPr>
              <w:footnoteReference w:id="3"/>
            </w:r>
            <w:r w:rsidRPr="004414CE">
              <w:rPr>
                <w:lang w:val="fr-FR"/>
              </w:rPr>
              <w:t xml:space="preserve"> ; </w:t>
            </w:r>
            <w:bookmarkStart w:id="1" w:name="_Hlk42170500"/>
            <w:r w:rsidRPr="004414CE">
              <w:rPr>
                <w:lang w:val="fr-FR"/>
              </w:rPr>
              <w:t xml:space="preserve">Commission internationale de juristes, Thai </w:t>
            </w:r>
            <w:proofErr w:type="spellStart"/>
            <w:r w:rsidRPr="004414CE">
              <w:rPr>
                <w:lang w:val="fr-FR"/>
              </w:rPr>
              <w:t>Lawyers</w:t>
            </w:r>
            <w:proofErr w:type="spellEnd"/>
            <w:r w:rsidRPr="004414CE">
              <w:rPr>
                <w:lang w:val="fr-FR"/>
              </w:rPr>
              <w:t xml:space="preserve"> for Human </w:t>
            </w:r>
            <w:proofErr w:type="spellStart"/>
            <w:r w:rsidRPr="004414CE">
              <w:rPr>
                <w:lang w:val="fr-FR"/>
              </w:rPr>
              <w:t>Rights</w:t>
            </w:r>
            <w:proofErr w:type="spellEnd"/>
            <w:r w:rsidRPr="004414CE">
              <w:rPr>
                <w:lang w:val="fr-FR"/>
              </w:rPr>
              <w:t xml:space="preserve"> et Cross-Cultural </w:t>
            </w:r>
            <w:proofErr w:type="spellStart"/>
            <w:r w:rsidRPr="004414CE">
              <w:rPr>
                <w:lang w:val="fr-FR"/>
              </w:rPr>
              <w:t>Foundation</w:t>
            </w:r>
            <w:bookmarkEnd w:id="1"/>
            <w:proofErr w:type="spellEnd"/>
            <w:r w:rsidRPr="004414CE">
              <w:rPr>
                <w:rStyle w:val="Appelnotedebasdep"/>
                <w:lang w:val="fr-FR"/>
              </w:rPr>
              <w:footnoteReference w:id="4"/>
            </w:r>
            <w:r>
              <w:rPr>
                <w:lang w:val="fr-FR"/>
              </w:rPr>
              <w:t> </w:t>
            </w:r>
            <w:r w:rsidRPr="005475FC">
              <w:rPr>
                <w:lang w:val="fr-FR"/>
              </w:rPr>
              <w:t xml:space="preserve">; </w:t>
            </w:r>
            <w:proofErr w:type="spellStart"/>
            <w:r w:rsidRPr="004414CE">
              <w:rPr>
                <w:lang w:val="fr-FR"/>
              </w:rPr>
              <w:t>Fortify</w:t>
            </w:r>
            <w:proofErr w:type="spellEnd"/>
            <w:r w:rsidRPr="004414CE">
              <w:rPr>
                <w:lang w:val="fr-FR"/>
              </w:rPr>
              <w:t xml:space="preserve"> </w:t>
            </w:r>
            <w:proofErr w:type="spellStart"/>
            <w:r w:rsidRPr="004414CE">
              <w:rPr>
                <w:lang w:val="fr-FR"/>
              </w:rPr>
              <w:t>Rights</w:t>
            </w:r>
            <w:proofErr w:type="spellEnd"/>
            <w:r w:rsidRPr="004414CE">
              <w:rPr>
                <w:rStyle w:val="Appelnotedebasdep"/>
                <w:lang w:val="fr-FR"/>
              </w:rPr>
              <w:footnoteReference w:id="5"/>
            </w:r>
            <w:r>
              <w:rPr>
                <w:lang w:val="fr-FR"/>
              </w:rPr>
              <w:t> </w:t>
            </w:r>
            <w:r w:rsidRPr="005475FC">
              <w:rPr>
                <w:lang w:val="fr-FR"/>
              </w:rPr>
              <w:t xml:space="preserve">; </w:t>
            </w:r>
            <w:bookmarkStart w:id="2" w:name="_Hlk42170589"/>
            <w:r w:rsidRPr="004414CE">
              <w:rPr>
                <w:lang w:val="fr-FR"/>
              </w:rPr>
              <w:t>Fédération internationale des ligues des droits de l’homme, Union for Civil Liberty et Internet Law Reform Dialogue (</w:t>
            </w:r>
            <w:proofErr w:type="spellStart"/>
            <w:r w:rsidRPr="004414CE">
              <w:rPr>
                <w:lang w:val="fr-FR"/>
              </w:rPr>
              <w:t>iLaw</w:t>
            </w:r>
            <w:proofErr w:type="spellEnd"/>
            <w:r w:rsidRPr="004414CE">
              <w:rPr>
                <w:lang w:val="fr-FR"/>
              </w:rPr>
              <w:t>)</w:t>
            </w:r>
            <w:bookmarkEnd w:id="2"/>
            <w:r w:rsidRPr="004414CE">
              <w:rPr>
                <w:rStyle w:val="Appelnotedebasdep"/>
                <w:lang w:val="fr-FR"/>
              </w:rPr>
              <w:footnoteReference w:id="6"/>
            </w:r>
            <w:r w:rsidRPr="004414CE">
              <w:rPr>
                <w:lang w:val="fr-FR"/>
              </w:rPr>
              <w:t xml:space="preserve"> </w:t>
            </w:r>
            <w:r w:rsidRPr="005475FC">
              <w:rPr>
                <w:lang w:val="fr-FR"/>
              </w:rPr>
              <w:t xml:space="preserve">; </w:t>
            </w:r>
            <w:r w:rsidRPr="004414CE">
              <w:rPr>
                <w:lang w:val="fr-FR"/>
              </w:rPr>
              <w:t xml:space="preserve">Cross-Cultural </w:t>
            </w:r>
            <w:proofErr w:type="spellStart"/>
            <w:r w:rsidRPr="004414CE">
              <w:rPr>
                <w:lang w:val="fr-FR"/>
              </w:rPr>
              <w:t>Foundation</w:t>
            </w:r>
            <w:proofErr w:type="spellEnd"/>
            <w:r w:rsidRPr="004414CE">
              <w:rPr>
                <w:rStyle w:val="Appelnotedebasdep"/>
                <w:lang w:val="fr-FR"/>
              </w:rPr>
              <w:footnoteReference w:id="7"/>
            </w:r>
            <w:r>
              <w:rPr>
                <w:lang w:val="fr-FR"/>
              </w:rPr>
              <w:t> </w:t>
            </w:r>
            <w:r w:rsidRPr="005475FC">
              <w:rPr>
                <w:lang w:val="fr-FR"/>
              </w:rPr>
              <w:t xml:space="preserve">; </w:t>
            </w:r>
            <w:proofErr w:type="spellStart"/>
            <w:r w:rsidRPr="004414CE">
              <w:rPr>
                <w:lang w:val="fr-FR"/>
              </w:rPr>
              <w:t>People’s</w:t>
            </w:r>
            <w:proofErr w:type="spellEnd"/>
            <w:r w:rsidRPr="004414CE">
              <w:rPr>
                <w:lang w:val="fr-FR"/>
              </w:rPr>
              <w:t xml:space="preserve"> </w:t>
            </w:r>
            <w:proofErr w:type="spellStart"/>
            <w:r w:rsidRPr="004414CE">
              <w:rPr>
                <w:lang w:val="fr-FR"/>
              </w:rPr>
              <w:t>Empowerment</w:t>
            </w:r>
            <w:proofErr w:type="spellEnd"/>
            <w:r w:rsidRPr="004414CE">
              <w:rPr>
                <w:lang w:val="fr-FR"/>
              </w:rPr>
              <w:t xml:space="preserve"> </w:t>
            </w:r>
            <w:proofErr w:type="spellStart"/>
            <w:r w:rsidRPr="004414CE">
              <w:rPr>
                <w:lang w:val="fr-FR"/>
              </w:rPr>
              <w:t>Foundation</w:t>
            </w:r>
            <w:proofErr w:type="spellEnd"/>
            <w:r w:rsidRPr="004414CE">
              <w:rPr>
                <w:rStyle w:val="Appelnotedebasdep"/>
                <w:lang w:val="fr-FR"/>
              </w:rPr>
              <w:footnoteReference w:id="8"/>
            </w:r>
            <w:r>
              <w:rPr>
                <w:lang w:val="fr-FR"/>
              </w:rPr>
              <w:t> </w:t>
            </w:r>
            <w:r w:rsidRPr="004414CE">
              <w:rPr>
                <w:lang w:val="fr-FR"/>
              </w:rPr>
              <w:t>; Service international pour les droits de l’homme</w:t>
            </w:r>
            <w:r w:rsidRPr="004414CE">
              <w:rPr>
                <w:rStyle w:val="Appelnotedebasdep"/>
                <w:lang w:val="fr-FR"/>
              </w:rPr>
              <w:footnoteReference w:id="9"/>
            </w:r>
          </w:p>
        </w:tc>
      </w:tr>
    </w:tbl>
    <w:p w:rsidR="00C8688F" w:rsidRPr="0016528A" w:rsidRDefault="00666FE2" w:rsidP="00666FE2">
      <w:pPr>
        <w:pStyle w:val="H23G"/>
        <w:rPr>
          <w:lang w:val="fr-FR"/>
        </w:rPr>
      </w:pPr>
      <w:r>
        <w:rPr>
          <w:lang w:val="fr-FR"/>
        </w:rPr>
        <w:lastRenderedPageBreak/>
        <w:tab/>
      </w:r>
      <w:r>
        <w:rPr>
          <w:lang w:val="fr-FR"/>
        </w:rPr>
        <w:tab/>
      </w:r>
      <w:r w:rsidR="00C8688F" w:rsidRPr="006B507E">
        <w:rPr>
          <w:lang w:val="fr-FR"/>
        </w:rPr>
        <w:t>Paragraphe 8</w:t>
      </w:r>
      <w:r>
        <w:rPr>
          <w:lang w:val="fr-FR"/>
        </w:rPr>
        <w:t> </w:t>
      </w:r>
      <w:r w:rsidR="00C8688F" w:rsidRPr="006B507E">
        <w:rPr>
          <w:lang w:val="fr-FR"/>
        </w:rPr>
        <w:t>: Cadre</w:t>
      </w:r>
      <w:r w:rsidR="00C8688F" w:rsidRPr="0016528A">
        <w:rPr>
          <w:lang w:val="fr-FR"/>
        </w:rPr>
        <w:t xml:space="preserve"> constitutionnel et juridique</w:t>
      </w:r>
    </w:p>
    <w:p w:rsidR="00C8688F" w:rsidRPr="0016528A" w:rsidRDefault="00C8688F" w:rsidP="00C8688F">
      <w:pPr>
        <w:pStyle w:val="SingleTxtG"/>
        <w:ind w:firstLine="567"/>
        <w:rPr>
          <w:b/>
          <w:lang w:val="fr-FR"/>
        </w:rPr>
      </w:pPr>
      <w:r w:rsidRPr="0016528A">
        <w:rPr>
          <w:b/>
          <w:lang w:val="fr-FR"/>
        </w:rPr>
        <w:t>L</w:t>
      </w:r>
      <w:r>
        <w:rPr>
          <w:b/>
          <w:lang w:val="fr-FR"/>
        </w:rPr>
        <w:t>’</w:t>
      </w:r>
      <w:r w:rsidRPr="0016528A">
        <w:rPr>
          <w:b/>
          <w:lang w:val="fr-FR"/>
        </w:rPr>
        <w:t xml:space="preserve">État partie devrait réexaminer toutes les mesures adoptées en vertu de la Constitution provisoire de 2014, en particulier des articles 44, 47 et 48, à la lumière de ses obligations au titre du Pacte et veiller à ce que toutes les mesures adoptées en vertu du nouveau projet de </w:t>
      </w:r>
      <w:r>
        <w:rPr>
          <w:b/>
          <w:lang w:val="fr-FR"/>
        </w:rPr>
        <w:t>c</w:t>
      </w:r>
      <w:r w:rsidRPr="0016528A">
        <w:rPr>
          <w:b/>
          <w:lang w:val="fr-FR"/>
        </w:rPr>
        <w:t xml:space="preserve">onstitution, en particulier </w:t>
      </w:r>
      <w:r>
        <w:rPr>
          <w:b/>
          <w:lang w:val="fr-FR"/>
        </w:rPr>
        <w:t xml:space="preserve">de </w:t>
      </w:r>
      <w:r w:rsidRPr="0016528A">
        <w:rPr>
          <w:b/>
          <w:lang w:val="fr-FR"/>
        </w:rPr>
        <w:t>l</w:t>
      </w:r>
      <w:r>
        <w:rPr>
          <w:b/>
          <w:lang w:val="fr-FR"/>
        </w:rPr>
        <w:t>’</w:t>
      </w:r>
      <w:r w:rsidRPr="0016528A">
        <w:rPr>
          <w:b/>
          <w:lang w:val="fr-FR"/>
        </w:rPr>
        <w:t xml:space="preserve">article 279, soient conformes aux obligations découlant du Pacte, notamment </w:t>
      </w:r>
      <w:r>
        <w:rPr>
          <w:b/>
          <w:lang w:val="fr-FR"/>
        </w:rPr>
        <w:t xml:space="preserve">à </w:t>
      </w:r>
      <w:r w:rsidRPr="0016528A">
        <w:rPr>
          <w:b/>
          <w:lang w:val="fr-FR"/>
        </w:rPr>
        <w:t>l</w:t>
      </w:r>
      <w:r>
        <w:rPr>
          <w:b/>
          <w:lang w:val="fr-FR"/>
        </w:rPr>
        <w:t>’</w:t>
      </w:r>
      <w:r w:rsidRPr="0016528A">
        <w:rPr>
          <w:b/>
          <w:lang w:val="fr-FR"/>
        </w:rPr>
        <w:t>obligation d</w:t>
      </w:r>
      <w:r>
        <w:rPr>
          <w:b/>
          <w:lang w:val="fr-FR"/>
        </w:rPr>
        <w:t>’assure</w:t>
      </w:r>
      <w:r w:rsidRPr="0016528A">
        <w:rPr>
          <w:b/>
          <w:lang w:val="fr-FR"/>
        </w:rPr>
        <w:t>r un recours utile aux victimes de violations des droits de l</w:t>
      </w:r>
      <w:r>
        <w:rPr>
          <w:b/>
          <w:lang w:val="fr-FR"/>
        </w:rPr>
        <w:t>’</w:t>
      </w:r>
      <w:r w:rsidRPr="0016528A">
        <w:rPr>
          <w:b/>
          <w:lang w:val="fr-FR"/>
        </w:rPr>
        <w:t>homme.</w:t>
      </w:r>
    </w:p>
    <w:p w:rsidR="00C8688F" w:rsidRPr="0016528A" w:rsidRDefault="00C8688F" w:rsidP="00666FE2">
      <w:pPr>
        <w:pStyle w:val="H23G"/>
        <w:rPr>
          <w:lang w:val="fr-FR"/>
        </w:rPr>
      </w:pPr>
      <w:r w:rsidRPr="0016528A">
        <w:rPr>
          <w:lang w:val="fr-FR"/>
        </w:rPr>
        <w:tab/>
      </w:r>
      <w:r w:rsidRPr="0016528A">
        <w:rPr>
          <w:lang w:val="fr-FR"/>
        </w:rPr>
        <w:tab/>
        <w:t>Résumé de la réponse de l</w:t>
      </w:r>
      <w:r>
        <w:rPr>
          <w:lang w:val="fr-FR"/>
        </w:rPr>
        <w:t>’</w:t>
      </w:r>
      <w:r w:rsidRPr="0016528A">
        <w:rPr>
          <w:lang w:val="fr-FR"/>
        </w:rPr>
        <w:t>État partie</w:t>
      </w:r>
    </w:p>
    <w:p w:rsidR="00C8688F" w:rsidRPr="0016528A" w:rsidRDefault="00C8688F" w:rsidP="00C8688F">
      <w:pPr>
        <w:pStyle w:val="SingleTxtG"/>
        <w:ind w:firstLine="567"/>
        <w:rPr>
          <w:lang w:val="fr-FR"/>
        </w:rPr>
      </w:pPr>
      <w:r w:rsidRPr="0016528A">
        <w:rPr>
          <w:lang w:val="fr-FR"/>
        </w:rPr>
        <w:t>La Constitution thaïlandaise a été promulguée le 6</w:t>
      </w:r>
      <w:r>
        <w:rPr>
          <w:lang w:val="fr-FR"/>
        </w:rPr>
        <w:t> </w:t>
      </w:r>
      <w:r w:rsidRPr="0016528A">
        <w:rPr>
          <w:lang w:val="fr-FR"/>
        </w:rPr>
        <w:t xml:space="preserve">avril 2017 ; elle remplace la Constitution provisoire de 2014. </w:t>
      </w:r>
      <w:r>
        <w:rPr>
          <w:lang w:val="fr-FR"/>
        </w:rPr>
        <w:t>L</w:t>
      </w:r>
      <w:r w:rsidRPr="0016528A">
        <w:rPr>
          <w:lang w:val="fr-FR"/>
        </w:rPr>
        <w:t xml:space="preserve">a participation du public a été encouragée </w:t>
      </w:r>
      <w:r>
        <w:rPr>
          <w:lang w:val="fr-FR"/>
        </w:rPr>
        <w:t>d</w:t>
      </w:r>
      <w:r w:rsidRPr="0016528A">
        <w:rPr>
          <w:lang w:val="fr-FR"/>
        </w:rPr>
        <w:t xml:space="preserve">ans </w:t>
      </w:r>
      <w:r>
        <w:rPr>
          <w:lang w:val="fr-FR"/>
        </w:rPr>
        <w:t>le cadre</w:t>
      </w:r>
      <w:r w:rsidRPr="0016528A">
        <w:rPr>
          <w:lang w:val="fr-FR"/>
        </w:rPr>
        <w:t xml:space="preserve"> de </w:t>
      </w:r>
      <w:r>
        <w:rPr>
          <w:lang w:val="fr-FR"/>
        </w:rPr>
        <w:t>l’élaboration</w:t>
      </w:r>
      <w:r w:rsidRPr="0016528A">
        <w:rPr>
          <w:lang w:val="fr-FR"/>
        </w:rPr>
        <w:t xml:space="preserve"> de cette nouvelle constitution.</w:t>
      </w:r>
    </w:p>
    <w:p w:rsidR="00C8688F" w:rsidRPr="0016528A" w:rsidRDefault="00C8688F" w:rsidP="00C8688F">
      <w:pPr>
        <w:pStyle w:val="SingleTxtG"/>
        <w:ind w:firstLine="567"/>
        <w:rPr>
          <w:lang w:val="fr-FR"/>
        </w:rPr>
      </w:pPr>
      <w:r w:rsidRPr="0016528A">
        <w:rPr>
          <w:lang w:val="fr-FR"/>
        </w:rPr>
        <w:t>À l</w:t>
      </w:r>
      <w:r>
        <w:rPr>
          <w:lang w:val="fr-FR"/>
        </w:rPr>
        <w:t>’</w:t>
      </w:r>
      <w:r w:rsidRPr="0016528A">
        <w:rPr>
          <w:lang w:val="fr-FR"/>
        </w:rPr>
        <w:t xml:space="preserve">instar des </w:t>
      </w:r>
      <w:r w:rsidR="00666FE2">
        <w:rPr>
          <w:lang w:val="fr-FR"/>
        </w:rPr>
        <w:t>C</w:t>
      </w:r>
      <w:r w:rsidRPr="0016528A">
        <w:rPr>
          <w:lang w:val="fr-FR"/>
        </w:rPr>
        <w:t xml:space="preserve">onstitutions précédentes, la </w:t>
      </w:r>
      <w:r>
        <w:rPr>
          <w:lang w:val="fr-FR"/>
        </w:rPr>
        <w:t>C</w:t>
      </w:r>
      <w:r w:rsidRPr="0016528A">
        <w:rPr>
          <w:lang w:val="fr-FR"/>
        </w:rPr>
        <w:t>onstitution actuelle protège les droits et libertés de la population, met l</w:t>
      </w:r>
      <w:r>
        <w:rPr>
          <w:lang w:val="fr-FR"/>
        </w:rPr>
        <w:t>’</w:t>
      </w:r>
      <w:r w:rsidRPr="0016528A">
        <w:rPr>
          <w:lang w:val="fr-FR"/>
        </w:rPr>
        <w:t>accent sur l</w:t>
      </w:r>
      <w:r>
        <w:rPr>
          <w:lang w:val="fr-FR"/>
        </w:rPr>
        <w:t>’</w:t>
      </w:r>
      <w:r w:rsidRPr="0016528A">
        <w:rPr>
          <w:lang w:val="fr-FR"/>
        </w:rPr>
        <w:t>égalité des personnes devant la loi et interdit la discrimination pour quelque motif que ce soit, conformément au Pacte.</w:t>
      </w:r>
    </w:p>
    <w:p w:rsidR="00C8688F" w:rsidRPr="0016528A" w:rsidRDefault="00C8688F" w:rsidP="00C8688F">
      <w:pPr>
        <w:pStyle w:val="SingleTxtG"/>
        <w:ind w:firstLine="567"/>
        <w:rPr>
          <w:lang w:val="fr-FR"/>
        </w:rPr>
      </w:pPr>
      <w:r w:rsidRPr="0016528A">
        <w:rPr>
          <w:lang w:val="fr-FR"/>
        </w:rPr>
        <w:t>En application des articles</w:t>
      </w:r>
      <w:r w:rsidR="00666FE2">
        <w:rPr>
          <w:lang w:val="fr-FR"/>
        </w:rPr>
        <w:t> </w:t>
      </w:r>
      <w:r w:rsidRPr="0016528A">
        <w:rPr>
          <w:lang w:val="fr-FR"/>
        </w:rPr>
        <w:t>265 et 279 de la Constitution</w:t>
      </w:r>
      <w:r w:rsidR="00A906BF">
        <w:rPr>
          <w:lang w:val="fr-FR"/>
        </w:rPr>
        <w:t xml:space="preserve"> actuelle</w:t>
      </w:r>
      <w:r w:rsidRPr="0016528A">
        <w:rPr>
          <w:lang w:val="fr-FR"/>
        </w:rPr>
        <w:t xml:space="preserve">, les responsabilités et les pouvoirs du Chef </w:t>
      </w:r>
      <w:r>
        <w:rPr>
          <w:lang w:val="fr-FR"/>
        </w:rPr>
        <w:t xml:space="preserve">du </w:t>
      </w:r>
      <w:r w:rsidRPr="0016528A">
        <w:rPr>
          <w:lang w:val="fr-FR"/>
        </w:rPr>
        <w:t>Conseil national pour la paix et le maintien de l</w:t>
      </w:r>
      <w:r>
        <w:rPr>
          <w:lang w:val="fr-FR"/>
        </w:rPr>
        <w:t>’</w:t>
      </w:r>
      <w:r w:rsidRPr="0016528A">
        <w:rPr>
          <w:lang w:val="fr-FR"/>
        </w:rPr>
        <w:t>ordre et ceux du Conseil national</w:t>
      </w:r>
      <w:r>
        <w:rPr>
          <w:lang w:val="fr-FR"/>
        </w:rPr>
        <w:t xml:space="preserve"> lui-même</w:t>
      </w:r>
      <w:r w:rsidRPr="0016528A">
        <w:rPr>
          <w:lang w:val="fr-FR"/>
        </w:rPr>
        <w:t xml:space="preserve"> restent inchangés, et les ordonnances</w:t>
      </w:r>
      <w:r>
        <w:rPr>
          <w:lang w:val="fr-FR"/>
        </w:rPr>
        <w:t xml:space="preserve"> et avis</w:t>
      </w:r>
      <w:r w:rsidRPr="0016528A">
        <w:rPr>
          <w:lang w:val="fr-FR"/>
        </w:rPr>
        <w:t xml:space="preserve">, notamment </w:t>
      </w:r>
      <w:r>
        <w:rPr>
          <w:lang w:val="fr-FR"/>
        </w:rPr>
        <w:t>ceux</w:t>
      </w:r>
      <w:r w:rsidRPr="0016528A">
        <w:rPr>
          <w:lang w:val="fr-FR"/>
        </w:rPr>
        <w:t xml:space="preserve"> adoptés au titre des articles</w:t>
      </w:r>
      <w:r w:rsidR="00666FE2">
        <w:rPr>
          <w:lang w:val="fr-FR"/>
        </w:rPr>
        <w:t> </w:t>
      </w:r>
      <w:r w:rsidRPr="0016528A">
        <w:rPr>
          <w:lang w:val="fr-FR"/>
        </w:rPr>
        <w:t xml:space="preserve">44, 47 et 48 de la Constitution provisoire, conservent leur </w:t>
      </w:r>
      <w:r w:rsidRPr="00EF7184">
        <w:rPr>
          <w:lang w:val="fr-FR"/>
        </w:rPr>
        <w:t>force juridique</w:t>
      </w:r>
      <w:r w:rsidRPr="0016528A">
        <w:rPr>
          <w:lang w:val="fr-FR"/>
        </w:rPr>
        <w:t>.</w:t>
      </w:r>
    </w:p>
    <w:p w:rsidR="00C8688F" w:rsidRPr="0016528A" w:rsidRDefault="00C8688F" w:rsidP="00C8688F">
      <w:pPr>
        <w:pStyle w:val="SingleTxtG"/>
        <w:ind w:firstLine="567"/>
        <w:rPr>
          <w:lang w:val="fr-FR"/>
        </w:rPr>
      </w:pPr>
      <w:r w:rsidRPr="0016528A">
        <w:rPr>
          <w:lang w:val="fr-FR"/>
        </w:rPr>
        <w:t>L</w:t>
      </w:r>
      <w:r>
        <w:rPr>
          <w:lang w:val="fr-FR"/>
        </w:rPr>
        <w:t>’</w:t>
      </w:r>
      <w:r w:rsidRPr="0016528A">
        <w:rPr>
          <w:lang w:val="fr-FR"/>
        </w:rPr>
        <w:t xml:space="preserve">État partie </w:t>
      </w:r>
      <w:r>
        <w:rPr>
          <w:lang w:val="fr-FR"/>
        </w:rPr>
        <w:t xml:space="preserve">mentionne </w:t>
      </w:r>
      <w:r w:rsidRPr="0016528A">
        <w:rPr>
          <w:lang w:val="fr-FR"/>
        </w:rPr>
        <w:t>l</w:t>
      </w:r>
      <w:r>
        <w:rPr>
          <w:lang w:val="fr-FR"/>
        </w:rPr>
        <w:t>’</w:t>
      </w:r>
      <w:r w:rsidRPr="0016528A">
        <w:rPr>
          <w:lang w:val="fr-FR"/>
        </w:rPr>
        <w:t>objet de l</w:t>
      </w:r>
      <w:r>
        <w:rPr>
          <w:lang w:val="fr-FR"/>
        </w:rPr>
        <w:t>’</w:t>
      </w:r>
      <w:r w:rsidRPr="0016528A">
        <w:rPr>
          <w:lang w:val="fr-FR"/>
        </w:rPr>
        <w:t>article</w:t>
      </w:r>
      <w:r w:rsidR="00666FE2">
        <w:rPr>
          <w:lang w:val="fr-FR"/>
        </w:rPr>
        <w:t> </w:t>
      </w:r>
      <w:r w:rsidRPr="0016528A">
        <w:rPr>
          <w:lang w:val="fr-FR"/>
        </w:rPr>
        <w:t>44. Les lois et règlements adoptés au titre de cet article peuvent être abrogés lorsqu</w:t>
      </w:r>
      <w:r>
        <w:rPr>
          <w:lang w:val="fr-FR"/>
        </w:rPr>
        <w:t>’</w:t>
      </w:r>
      <w:r w:rsidRPr="0016528A">
        <w:rPr>
          <w:lang w:val="fr-FR"/>
        </w:rPr>
        <w:t>ils sont jugés superflus. En outre, quiconque considère qu</w:t>
      </w:r>
      <w:r>
        <w:rPr>
          <w:lang w:val="fr-FR"/>
        </w:rPr>
        <w:t>’</w:t>
      </w:r>
      <w:r w:rsidRPr="0016528A">
        <w:rPr>
          <w:lang w:val="fr-FR"/>
        </w:rPr>
        <w:t xml:space="preserve">une loi ou un règlement </w:t>
      </w:r>
      <w:r w:rsidRPr="00EF7184">
        <w:rPr>
          <w:lang w:val="fr-FR"/>
        </w:rPr>
        <w:t>adoptés</w:t>
      </w:r>
      <w:r w:rsidRPr="00494BCD">
        <w:rPr>
          <w:lang w:val="fr-FR"/>
        </w:rPr>
        <w:t xml:space="preserve"> au titre de l</w:t>
      </w:r>
      <w:r>
        <w:rPr>
          <w:lang w:val="fr-FR"/>
        </w:rPr>
        <w:t>’</w:t>
      </w:r>
      <w:r w:rsidRPr="00494BCD">
        <w:rPr>
          <w:lang w:val="fr-FR"/>
        </w:rPr>
        <w:t>article</w:t>
      </w:r>
      <w:r w:rsidR="00666FE2">
        <w:rPr>
          <w:lang w:val="fr-FR"/>
        </w:rPr>
        <w:t> </w:t>
      </w:r>
      <w:r w:rsidRPr="00494BCD">
        <w:rPr>
          <w:lang w:val="fr-FR"/>
        </w:rPr>
        <w:t>44 ne sont pas conformes aux exigences légales et procédurales peu</w:t>
      </w:r>
      <w:r w:rsidRPr="0016528A">
        <w:rPr>
          <w:lang w:val="fr-FR"/>
        </w:rPr>
        <w:t xml:space="preserve">t </w:t>
      </w:r>
      <w:r>
        <w:rPr>
          <w:lang w:val="fr-FR"/>
        </w:rPr>
        <w:t>former</w:t>
      </w:r>
      <w:r w:rsidRPr="0016528A">
        <w:rPr>
          <w:lang w:val="fr-FR"/>
        </w:rPr>
        <w:t xml:space="preserve"> un recours auprès de la Cour constitutionnelle. L</w:t>
      </w:r>
      <w:r>
        <w:rPr>
          <w:lang w:val="fr-FR"/>
        </w:rPr>
        <w:t>’</w:t>
      </w:r>
      <w:r w:rsidRPr="0016528A">
        <w:rPr>
          <w:lang w:val="fr-FR"/>
        </w:rPr>
        <w:t>article</w:t>
      </w:r>
      <w:r w:rsidR="00666FE2">
        <w:rPr>
          <w:lang w:val="fr-FR"/>
        </w:rPr>
        <w:t> </w:t>
      </w:r>
      <w:r w:rsidRPr="0016528A">
        <w:rPr>
          <w:lang w:val="fr-FR"/>
        </w:rPr>
        <w:t>279 de la Constitution</w:t>
      </w:r>
      <w:r w:rsidR="00A906BF">
        <w:rPr>
          <w:lang w:val="fr-FR"/>
        </w:rPr>
        <w:t xml:space="preserve"> actuelle</w:t>
      </w:r>
      <w:r w:rsidRPr="0016528A">
        <w:rPr>
          <w:lang w:val="fr-FR"/>
        </w:rPr>
        <w:t xml:space="preserve"> n</w:t>
      </w:r>
      <w:r>
        <w:rPr>
          <w:lang w:val="fr-FR"/>
        </w:rPr>
        <w:t>’</w:t>
      </w:r>
      <w:r w:rsidRPr="0016528A">
        <w:rPr>
          <w:lang w:val="fr-FR"/>
        </w:rPr>
        <w:t>a pas pour but de restreindre les droits et libertés de la population.</w:t>
      </w:r>
    </w:p>
    <w:p w:rsidR="00C8688F" w:rsidRPr="0016528A" w:rsidRDefault="00C8688F" w:rsidP="00C8688F">
      <w:pPr>
        <w:pStyle w:val="SingleTxtG"/>
        <w:ind w:firstLine="567"/>
        <w:rPr>
          <w:lang w:val="fr-FR"/>
        </w:rPr>
      </w:pPr>
      <w:r>
        <w:rPr>
          <w:lang w:val="fr-FR"/>
        </w:rPr>
        <w:t>À l’heure où</w:t>
      </w:r>
      <w:r w:rsidRPr="0016528A">
        <w:rPr>
          <w:lang w:val="fr-FR"/>
        </w:rPr>
        <w:t xml:space="preserve"> le pays va bientôt entrer dans la troisième et dernière phase de sa feuille de route, le Conseil national pour la paix et le maintien de l</w:t>
      </w:r>
      <w:r>
        <w:rPr>
          <w:lang w:val="fr-FR"/>
        </w:rPr>
        <w:t>’</w:t>
      </w:r>
      <w:r w:rsidRPr="0016528A">
        <w:rPr>
          <w:lang w:val="fr-FR"/>
        </w:rPr>
        <w:t xml:space="preserve">ordre prévoit de revoir toutes les lois, réglementations et mesures adoptées </w:t>
      </w:r>
      <w:r>
        <w:rPr>
          <w:lang w:val="fr-FR"/>
        </w:rPr>
        <w:t>en vertu</w:t>
      </w:r>
      <w:r w:rsidRPr="0016528A">
        <w:rPr>
          <w:lang w:val="fr-FR"/>
        </w:rPr>
        <w:t xml:space="preserve"> de la Constitution provisoire.</w:t>
      </w:r>
    </w:p>
    <w:p w:rsidR="00C8688F" w:rsidRPr="0016528A" w:rsidRDefault="00C8688F" w:rsidP="00666FE2">
      <w:pPr>
        <w:pStyle w:val="H23G"/>
        <w:rPr>
          <w:lang w:val="fr-FR"/>
        </w:rPr>
      </w:pPr>
      <w:r w:rsidRPr="0016528A">
        <w:rPr>
          <w:lang w:val="fr-FR"/>
        </w:rPr>
        <w:tab/>
      </w:r>
      <w:r w:rsidRPr="0016528A">
        <w:rPr>
          <w:lang w:val="fr-FR"/>
        </w:rPr>
        <w:tab/>
        <w:t>Informations émanant d</w:t>
      </w:r>
      <w:r>
        <w:rPr>
          <w:lang w:val="fr-FR"/>
        </w:rPr>
        <w:t>’</w:t>
      </w:r>
      <w:r w:rsidRPr="0016528A">
        <w:rPr>
          <w:lang w:val="fr-FR"/>
        </w:rPr>
        <w:t>organisations non gouvernementales</w:t>
      </w:r>
    </w:p>
    <w:p w:rsidR="00C8688F" w:rsidRPr="0016528A" w:rsidRDefault="00C8688F" w:rsidP="00666FE2">
      <w:pPr>
        <w:pStyle w:val="H4G"/>
        <w:rPr>
          <w:lang w:val="fr-FR"/>
        </w:rPr>
      </w:pPr>
      <w:r w:rsidRPr="0016528A">
        <w:rPr>
          <w:lang w:val="fr-FR"/>
        </w:rPr>
        <w:tab/>
      </w:r>
      <w:r w:rsidRPr="0016528A">
        <w:rPr>
          <w:lang w:val="fr-FR"/>
        </w:rPr>
        <w:tab/>
        <w:t>Communication conjointe</w:t>
      </w:r>
      <w:r>
        <w:rPr>
          <w:lang w:val="fr-FR"/>
        </w:rPr>
        <w:t xml:space="preserve"> : </w:t>
      </w:r>
      <w:r w:rsidRPr="0016528A">
        <w:rPr>
          <w:lang w:val="fr-FR"/>
        </w:rPr>
        <w:t>Fédération internationale des ligues des droits de l</w:t>
      </w:r>
      <w:r>
        <w:rPr>
          <w:lang w:val="fr-FR"/>
        </w:rPr>
        <w:t>’</w:t>
      </w:r>
      <w:r w:rsidRPr="0016528A">
        <w:rPr>
          <w:lang w:val="fr-FR"/>
        </w:rPr>
        <w:t xml:space="preserve">homme, Union for Civil Liberty et </w:t>
      </w:r>
      <w:proofErr w:type="spellStart"/>
      <w:r>
        <w:rPr>
          <w:lang w:val="fr-FR"/>
        </w:rPr>
        <w:t>i</w:t>
      </w:r>
      <w:r w:rsidRPr="0016528A">
        <w:rPr>
          <w:lang w:val="fr-FR"/>
        </w:rPr>
        <w:t>Law</w:t>
      </w:r>
      <w:proofErr w:type="spellEnd"/>
    </w:p>
    <w:p w:rsidR="00C8688F" w:rsidRPr="0016528A" w:rsidRDefault="00C8688F" w:rsidP="00C8688F">
      <w:pPr>
        <w:pStyle w:val="SingleTxtG"/>
        <w:ind w:firstLine="567"/>
        <w:rPr>
          <w:lang w:val="fr-FR"/>
        </w:rPr>
      </w:pPr>
      <w:r w:rsidRPr="0016528A">
        <w:rPr>
          <w:lang w:val="fr-FR"/>
        </w:rPr>
        <w:t>En dépit de la recommandation du Comité, aucun des grands décrets du Conseil national pour la paix et le maintien de l</w:t>
      </w:r>
      <w:r>
        <w:rPr>
          <w:lang w:val="fr-FR"/>
        </w:rPr>
        <w:t>’</w:t>
      </w:r>
      <w:r w:rsidRPr="0016528A">
        <w:rPr>
          <w:lang w:val="fr-FR"/>
        </w:rPr>
        <w:t>ordre qui sont incompatibles avec les obligations que le Pacte impose à l</w:t>
      </w:r>
      <w:r>
        <w:rPr>
          <w:lang w:val="fr-FR"/>
        </w:rPr>
        <w:t>’</w:t>
      </w:r>
      <w:r w:rsidRPr="0016528A">
        <w:rPr>
          <w:lang w:val="fr-FR"/>
        </w:rPr>
        <w:t>État</w:t>
      </w:r>
      <w:r>
        <w:rPr>
          <w:lang w:val="fr-FR"/>
        </w:rPr>
        <w:t xml:space="preserve"> partie</w:t>
      </w:r>
      <w:r w:rsidRPr="0016528A">
        <w:rPr>
          <w:lang w:val="fr-FR"/>
        </w:rPr>
        <w:t xml:space="preserve"> n</w:t>
      </w:r>
      <w:r>
        <w:rPr>
          <w:lang w:val="fr-FR"/>
        </w:rPr>
        <w:t>’</w:t>
      </w:r>
      <w:r w:rsidRPr="0016528A">
        <w:rPr>
          <w:lang w:val="fr-FR"/>
        </w:rPr>
        <w:t>a été abrogé ou mis en conformité avec le Pacte.</w:t>
      </w:r>
    </w:p>
    <w:p w:rsidR="00C8688F" w:rsidRPr="0016528A" w:rsidRDefault="00C8688F" w:rsidP="00C8688F">
      <w:pPr>
        <w:pStyle w:val="SingleTxtG"/>
        <w:ind w:firstLine="567"/>
        <w:rPr>
          <w:lang w:val="fr-FR"/>
        </w:rPr>
      </w:pPr>
      <w:bookmarkStart w:id="3" w:name="_Hlk43103940"/>
      <w:r w:rsidRPr="0016528A">
        <w:rPr>
          <w:lang w:val="fr-FR"/>
        </w:rPr>
        <w:t>L</w:t>
      </w:r>
      <w:r>
        <w:rPr>
          <w:lang w:val="fr-FR"/>
        </w:rPr>
        <w:t>’</w:t>
      </w:r>
      <w:r w:rsidRPr="0016528A">
        <w:rPr>
          <w:lang w:val="fr-FR"/>
        </w:rPr>
        <w:t>article</w:t>
      </w:r>
      <w:r w:rsidR="00666FE2">
        <w:rPr>
          <w:lang w:val="fr-FR"/>
        </w:rPr>
        <w:t> </w:t>
      </w:r>
      <w:r w:rsidRPr="0016528A">
        <w:rPr>
          <w:lang w:val="fr-FR"/>
        </w:rPr>
        <w:t xml:space="preserve">265 de la Constitution </w:t>
      </w:r>
      <w:r w:rsidR="00A906BF">
        <w:rPr>
          <w:lang w:val="fr-FR"/>
        </w:rPr>
        <w:t xml:space="preserve">actuelle </w:t>
      </w:r>
      <w:r w:rsidRPr="0016528A">
        <w:rPr>
          <w:lang w:val="fr-FR"/>
        </w:rPr>
        <w:t>autorise le Chef du Conseil national pour la paix et le maintien de l</w:t>
      </w:r>
      <w:r>
        <w:rPr>
          <w:lang w:val="fr-FR"/>
        </w:rPr>
        <w:t>’</w:t>
      </w:r>
      <w:r w:rsidRPr="0016528A">
        <w:rPr>
          <w:lang w:val="fr-FR"/>
        </w:rPr>
        <w:t>ordre à conserver les pleins pouvoirs, que lui avait conférés l</w:t>
      </w:r>
      <w:r>
        <w:rPr>
          <w:lang w:val="fr-FR"/>
        </w:rPr>
        <w:t>’</w:t>
      </w:r>
      <w:r w:rsidRPr="0016528A">
        <w:rPr>
          <w:lang w:val="fr-FR"/>
        </w:rPr>
        <w:t>article</w:t>
      </w:r>
      <w:r w:rsidR="00666FE2">
        <w:rPr>
          <w:lang w:val="fr-FR"/>
        </w:rPr>
        <w:t> </w:t>
      </w:r>
      <w:r w:rsidRPr="0016528A">
        <w:rPr>
          <w:lang w:val="fr-FR"/>
        </w:rPr>
        <w:t xml:space="preserve">44 de </w:t>
      </w:r>
      <w:r w:rsidRPr="004E383D">
        <w:rPr>
          <w:lang w:val="fr-FR"/>
        </w:rPr>
        <w:t>la Constitution provisoire de 2014, jusqu</w:t>
      </w:r>
      <w:r>
        <w:rPr>
          <w:lang w:val="fr-FR"/>
        </w:rPr>
        <w:t>’</w:t>
      </w:r>
      <w:r w:rsidRPr="004E383D">
        <w:rPr>
          <w:lang w:val="fr-FR"/>
        </w:rPr>
        <w:t>à ce qu</w:t>
      </w:r>
      <w:r>
        <w:rPr>
          <w:lang w:val="fr-FR"/>
        </w:rPr>
        <w:t>’</w:t>
      </w:r>
      <w:r w:rsidRPr="004E383D">
        <w:rPr>
          <w:lang w:val="fr-FR"/>
        </w:rPr>
        <w:t>un nouveau gouvernement entre en fonction</w:t>
      </w:r>
      <w:r>
        <w:rPr>
          <w:lang w:val="fr-FR"/>
        </w:rPr>
        <w:t>s</w:t>
      </w:r>
      <w:r w:rsidRPr="0016528A">
        <w:rPr>
          <w:lang w:val="fr-FR"/>
        </w:rPr>
        <w:t xml:space="preserve"> après les prochaines élections générales</w:t>
      </w:r>
      <w:bookmarkEnd w:id="3"/>
      <w:r w:rsidRPr="0016528A">
        <w:rPr>
          <w:lang w:val="fr-FR"/>
        </w:rPr>
        <w:t>. Même si les autorités affirment que le Conseil national n</w:t>
      </w:r>
      <w:r>
        <w:rPr>
          <w:lang w:val="fr-FR"/>
        </w:rPr>
        <w:t>’</w:t>
      </w:r>
      <w:r w:rsidRPr="0016528A">
        <w:rPr>
          <w:lang w:val="fr-FR"/>
        </w:rPr>
        <w:t>a eu recours à l</w:t>
      </w:r>
      <w:r>
        <w:rPr>
          <w:lang w:val="fr-FR"/>
        </w:rPr>
        <w:t>’</w:t>
      </w:r>
      <w:r w:rsidRPr="0016528A">
        <w:rPr>
          <w:lang w:val="fr-FR"/>
        </w:rPr>
        <w:t>article</w:t>
      </w:r>
      <w:r w:rsidR="00666FE2">
        <w:rPr>
          <w:lang w:val="fr-FR"/>
        </w:rPr>
        <w:t> </w:t>
      </w:r>
      <w:r w:rsidRPr="0016528A">
        <w:rPr>
          <w:lang w:val="fr-FR"/>
        </w:rPr>
        <w:t xml:space="preserve">44 que lorsque cela était absolument nécessaire, le Chef du Conseil national, le général </w:t>
      </w:r>
      <w:proofErr w:type="spellStart"/>
      <w:r w:rsidRPr="0016528A">
        <w:rPr>
          <w:lang w:val="fr-FR"/>
        </w:rPr>
        <w:t>Prayuth</w:t>
      </w:r>
      <w:proofErr w:type="spellEnd"/>
      <w:r w:rsidRPr="0016528A">
        <w:rPr>
          <w:lang w:val="fr-FR"/>
        </w:rPr>
        <w:t xml:space="preserve"> Chan-</w:t>
      </w:r>
      <w:proofErr w:type="spellStart"/>
      <w:r w:rsidRPr="0016528A">
        <w:rPr>
          <w:lang w:val="fr-FR"/>
        </w:rPr>
        <w:t>ocha</w:t>
      </w:r>
      <w:proofErr w:type="spellEnd"/>
      <w:r w:rsidRPr="0016528A">
        <w:rPr>
          <w:lang w:val="fr-FR"/>
        </w:rPr>
        <w:t xml:space="preserve">, a </w:t>
      </w:r>
      <w:r>
        <w:rPr>
          <w:lang w:val="fr-FR"/>
        </w:rPr>
        <w:t xml:space="preserve">manifestement </w:t>
      </w:r>
      <w:r w:rsidRPr="0016528A">
        <w:rPr>
          <w:lang w:val="fr-FR"/>
        </w:rPr>
        <w:t>continué d</w:t>
      </w:r>
      <w:r>
        <w:rPr>
          <w:lang w:val="fr-FR"/>
        </w:rPr>
        <w:t>’</w:t>
      </w:r>
      <w:r w:rsidRPr="0016528A">
        <w:rPr>
          <w:lang w:val="fr-FR"/>
        </w:rPr>
        <w:t xml:space="preserve">invoquer cet article pour rendre des ordonnances </w:t>
      </w:r>
      <w:r>
        <w:rPr>
          <w:lang w:val="fr-FR"/>
        </w:rPr>
        <w:t>portant sur</w:t>
      </w:r>
      <w:r w:rsidRPr="0016528A">
        <w:rPr>
          <w:lang w:val="fr-FR"/>
        </w:rPr>
        <w:t xml:space="preserve"> un large éventail de questions.</w:t>
      </w:r>
    </w:p>
    <w:p w:rsidR="00C8688F" w:rsidRPr="0016528A" w:rsidRDefault="00C8688F" w:rsidP="00C8688F">
      <w:pPr>
        <w:pStyle w:val="SingleTxtG"/>
        <w:ind w:firstLine="567"/>
        <w:rPr>
          <w:lang w:val="fr-FR"/>
        </w:rPr>
      </w:pPr>
      <w:r w:rsidRPr="0016528A">
        <w:rPr>
          <w:lang w:val="fr-FR"/>
        </w:rPr>
        <w:t>L</w:t>
      </w:r>
      <w:r>
        <w:rPr>
          <w:lang w:val="fr-FR"/>
        </w:rPr>
        <w:t>’</w:t>
      </w:r>
      <w:r w:rsidRPr="0016528A">
        <w:rPr>
          <w:lang w:val="fr-FR"/>
        </w:rPr>
        <w:t>État partie a certes affirmé qu</w:t>
      </w:r>
      <w:r>
        <w:rPr>
          <w:lang w:val="fr-FR"/>
        </w:rPr>
        <w:t>’</w:t>
      </w:r>
      <w:r w:rsidRPr="0016528A">
        <w:rPr>
          <w:lang w:val="fr-FR"/>
        </w:rPr>
        <w:t>il était possible de déposer un recours auprès de la Cour constitutionnelle, mais aucune des actions engagées contre des ordonnances rendues au titre de l</w:t>
      </w:r>
      <w:r>
        <w:rPr>
          <w:lang w:val="fr-FR"/>
        </w:rPr>
        <w:t>’</w:t>
      </w:r>
      <w:r w:rsidRPr="0016528A">
        <w:rPr>
          <w:lang w:val="fr-FR"/>
        </w:rPr>
        <w:t>article</w:t>
      </w:r>
      <w:r w:rsidR="00666FE2">
        <w:rPr>
          <w:lang w:val="fr-FR"/>
        </w:rPr>
        <w:t> </w:t>
      </w:r>
      <w:r w:rsidRPr="0016528A">
        <w:rPr>
          <w:lang w:val="fr-FR"/>
        </w:rPr>
        <w:t>44 n</w:t>
      </w:r>
      <w:r>
        <w:rPr>
          <w:lang w:val="fr-FR"/>
        </w:rPr>
        <w:t>’</w:t>
      </w:r>
      <w:r w:rsidRPr="0016528A">
        <w:rPr>
          <w:lang w:val="fr-FR"/>
        </w:rPr>
        <w:t xml:space="preserve">a </w:t>
      </w:r>
      <w:r>
        <w:rPr>
          <w:lang w:val="fr-FR"/>
        </w:rPr>
        <w:t xml:space="preserve">jamais </w:t>
      </w:r>
      <w:r w:rsidRPr="0016528A">
        <w:rPr>
          <w:lang w:val="fr-FR"/>
        </w:rPr>
        <w:t>abouti.</w:t>
      </w:r>
    </w:p>
    <w:p w:rsidR="00C8688F" w:rsidRPr="0016528A" w:rsidRDefault="00C8688F" w:rsidP="00666FE2">
      <w:pPr>
        <w:pStyle w:val="H4G"/>
        <w:rPr>
          <w:lang w:val="fr-FR"/>
        </w:rPr>
      </w:pPr>
      <w:r w:rsidRPr="0016528A">
        <w:rPr>
          <w:lang w:val="fr-FR"/>
        </w:rPr>
        <w:tab/>
      </w:r>
      <w:r w:rsidRPr="0016528A">
        <w:rPr>
          <w:lang w:val="fr-FR"/>
        </w:rPr>
        <w:tab/>
      </w:r>
      <w:proofErr w:type="spellStart"/>
      <w:r w:rsidRPr="0016528A">
        <w:rPr>
          <w:lang w:val="fr-FR"/>
        </w:rPr>
        <w:t>Fortify</w:t>
      </w:r>
      <w:proofErr w:type="spellEnd"/>
      <w:r w:rsidRPr="0016528A">
        <w:rPr>
          <w:lang w:val="fr-FR"/>
        </w:rPr>
        <w:t xml:space="preserve"> </w:t>
      </w:r>
      <w:proofErr w:type="spellStart"/>
      <w:r w:rsidRPr="0016528A">
        <w:rPr>
          <w:lang w:val="fr-FR"/>
        </w:rPr>
        <w:t>Rights</w:t>
      </w:r>
      <w:proofErr w:type="spellEnd"/>
    </w:p>
    <w:p w:rsidR="00C8688F" w:rsidRPr="0016528A" w:rsidRDefault="00C8688F" w:rsidP="00C8688F">
      <w:pPr>
        <w:pStyle w:val="SingleTxtG"/>
        <w:ind w:firstLine="567"/>
        <w:rPr>
          <w:lang w:val="fr-FR"/>
        </w:rPr>
      </w:pPr>
      <w:r w:rsidRPr="0016528A">
        <w:rPr>
          <w:lang w:val="fr-FR"/>
        </w:rPr>
        <w:t>Toutes les mesures et ordonnances adoptées au titre de la Constitution provisoire, en particulier des articles</w:t>
      </w:r>
      <w:r w:rsidR="00666FE2">
        <w:rPr>
          <w:lang w:val="fr-FR"/>
        </w:rPr>
        <w:t> </w:t>
      </w:r>
      <w:r w:rsidRPr="0016528A">
        <w:rPr>
          <w:lang w:val="fr-FR"/>
        </w:rPr>
        <w:t>44, 47 et 48, restent en vigueur, comme le garantissent les articles</w:t>
      </w:r>
      <w:r>
        <w:rPr>
          <w:lang w:val="fr-FR"/>
        </w:rPr>
        <w:t> </w:t>
      </w:r>
      <w:r w:rsidRPr="0016528A">
        <w:rPr>
          <w:lang w:val="fr-FR"/>
        </w:rPr>
        <w:t>265 et 279 de la Constitution actuelle.</w:t>
      </w:r>
    </w:p>
    <w:p w:rsidR="00C8688F" w:rsidRPr="0016528A" w:rsidRDefault="00C8688F" w:rsidP="00C8688F">
      <w:pPr>
        <w:pStyle w:val="SingleTxtG"/>
        <w:ind w:firstLine="567"/>
        <w:rPr>
          <w:lang w:val="fr-FR"/>
        </w:rPr>
      </w:pPr>
      <w:r w:rsidRPr="0016528A">
        <w:rPr>
          <w:lang w:val="fr-FR"/>
        </w:rPr>
        <w:lastRenderedPageBreak/>
        <w:t>Parmi ces ordonnances, on peut citer l</w:t>
      </w:r>
      <w:r>
        <w:rPr>
          <w:lang w:val="fr-FR"/>
        </w:rPr>
        <w:t>’</w:t>
      </w:r>
      <w:r w:rsidRPr="0016528A">
        <w:rPr>
          <w:lang w:val="fr-FR"/>
        </w:rPr>
        <w:t>ordonnance n</w:t>
      </w:r>
      <w:r w:rsidRPr="0016528A">
        <w:rPr>
          <w:vertAlign w:val="superscript"/>
          <w:lang w:val="fr-FR"/>
        </w:rPr>
        <w:t>o</w:t>
      </w:r>
      <w:r w:rsidRPr="0016528A">
        <w:rPr>
          <w:lang w:val="fr-FR"/>
        </w:rPr>
        <w:t xml:space="preserve"> 3/2558 </w:t>
      </w:r>
      <w:r>
        <w:rPr>
          <w:lang w:val="fr-FR"/>
        </w:rPr>
        <w:t xml:space="preserve">(2015) </w:t>
      </w:r>
      <w:r w:rsidRPr="0016528A">
        <w:rPr>
          <w:lang w:val="fr-FR"/>
        </w:rPr>
        <w:t>du Conseil national pour la paix et le maintien de l</w:t>
      </w:r>
      <w:r>
        <w:rPr>
          <w:lang w:val="fr-FR"/>
        </w:rPr>
        <w:t>’</w:t>
      </w:r>
      <w:r w:rsidRPr="0016528A">
        <w:rPr>
          <w:lang w:val="fr-FR"/>
        </w:rPr>
        <w:t xml:space="preserve">ordre, </w:t>
      </w:r>
      <w:r>
        <w:rPr>
          <w:lang w:val="fr-FR"/>
        </w:rPr>
        <w:t xml:space="preserve">également dénommée ordonnance </w:t>
      </w:r>
      <w:r w:rsidR="00666FE2" w:rsidRPr="00666FE2">
        <w:rPr>
          <w:rFonts w:eastAsia="MS Mincho"/>
          <w:lang w:val="fr-FR"/>
        </w:rPr>
        <w:t>n</w:t>
      </w:r>
      <w:r w:rsidR="00666FE2" w:rsidRPr="00666FE2">
        <w:rPr>
          <w:rFonts w:eastAsia="MS Mincho"/>
          <w:vertAlign w:val="superscript"/>
          <w:lang w:val="fr-FR"/>
        </w:rPr>
        <w:t>o</w:t>
      </w:r>
      <w:r w:rsidR="00666FE2">
        <w:rPr>
          <w:lang w:val="fr-FR"/>
        </w:rPr>
        <w:t> </w:t>
      </w:r>
      <w:r>
        <w:rPr>
          <w:lang w:val="fr-FR"/>
        </w:rPr>
        <w:t xml:space="preserve">3/2015, </w:t>
      </w:r>
      <w:r w:rsidRPr="0016528A">
        <w:rPr>
          <w:lang w:val="fr-FR"/>
        </w:rPr>
        <w:t>qui interdit tout rassemblement politique de plus de cinq personnes et restreint sévèrement les droits à la liberté d</w:t>
      </w:r>
      <w:r>
        <w:rPr>
          <w:lang w:val="fr-FR"/>
        </w:rPr>
        <w:t>’</w:t>
      </w:r>
      <w:r w:rsidRPr="0016528A">
        <w:rPr>
          <w:lang w:val="fr-FR"/>
        </w:rPr>
        <w:t>expression et à la liberté de réunion pacifique et d</w:t>
      </w:r>
      <w:r>
        <w:rPr>
          <w:lang w:val="fr-FR"/>
        </w:rPr>
        <w:t>’</w:t>
      </w:r>
      <w:r w:rsidRPr="0016528A">
        <w:rPr>
          <w:lang w:val="fr-FR"/>
        </w:rPr>
        <w:t>association. Le</w:t>
      </w:r>
      <w:r w:rsidR="00666FE2">
        <w:rPr>
          <w:lang w:val="fr-FR"/>
        </w:rPr>
        <w:t> </w:t>
      </w:r>
      <w:r w:rsidRPr="0016528A">
        <w:rPr>
          <w:lang w:val="fr-FR"/>
        </w:rPr>
        <w:t>Conseil national continue d</w:t>
      </w:r>
      <w:r>
        <w:rPr>
          <w:lang w:val="fr-FR"/>
        </w:rPr>
        <w:t>’</w:t>
      </w:r>
      <w:r w:rsidRPr="0016528A">
        <w:rPr>
          <w:lang w:val="fr-FR"/>
        </w:rPr>
        <w:t>invoquer cette ordonnance pour restreindre les droits fondamentaux. Depuis le dialogue constructif tenu en mars 2017, les autorités n</w:t>
      </w:r>
      <w:r>
        <w:rPr>
          <w:lang w:val="fr-FR"/>
        </w:rPr>
        <w:t>’</w:t>
      </w:r>
      <w:r w:rsidRPr="0016528A">
        <w:rPr>
          <w:lang w:val="fr-FR"/>
        </w:rPr>
        <w:t>ont allégé ni ces restrictions ni les poursuites engagées contre les dissidents.</w:t>
      </w:r>
    </w:p>
    <w:p w:rsidR="00C8688F" w:rsidRPr="0016528A" w:rsidRDefault="00C8688F" w:rsidP="00C8688F">
      <w:pPr>
        <w:pStyle w:val="SingleTxtG"/>
        <w:ind w:firstLine="567"/>
        <w:rPr>
          <w:lang w:val="fr-FR"/>
        </w:rPr>
      </w:pPr>
      <w:proofErr w:type="spellStart"/>
      <w:r w:rsidRPr="0016528A">
        <w:rPr>
          <w:lang w:val="fr-FR"/>
        </w:rPr>
        <w:t>Fortify</w:t>
      </w:r>
      <w:proofErr w:type="spellEnd"/>
      <w:r w:rsidRPr="0016528A">
        <w:rPr>
          <w:lang w:val="fr-FR"/>
        </w:rPr>
        <w:t xml:space="preserve"> </w:t>
      </w:r>
      <w:proofErr w:type="spellStart"/>
      <w:r w:rsidRPr="0016528A">
        <w:rPr>
          <w:lang w:val="fr-FR"/>
        </w:rPr>
        <w:t>Rights</w:t>
      </w:r>
      <w:proofErr w:type="spellEnd"/>
      <w:r w:rsidRPr="0016528A">
        <w:rPr>
          <w:lang w:val="fr-FR"/>
        </w:rPr>
        <w:t xml:space="preserve"> renvoie </w:t>
      </w:r>
      <w:r>
        <w:rPr>
          <w:lang w:val="fr-FR"/>
        </w:rPr>
        <w:t xml:space="preserve">également </w:t>
      </w:r>
      <w:r w:rsidRPr="0016528A">
        <w:rPr>
          <w:lang w:val="fr-FR"/>
        </w:rPr>
        <w:t>aux ordonnances n</w:t>
      </w:r>
      <w:r w:rsidRPr="0016528A">
        <w:rPr>
          <w:vertAlign w:val="superscript"/>
          <w:lang w:val="fr-FR"/>
        </w:rPr>
        <w:t>os</w:t>
      </w:r>
      <w:r w:rsidR="00666FE2">
        <w:rPr>
          <w:lang w:val="fr-FR"/>
        </w:rPr>
        <w:t> </w:t>
      </w:r>
      <w:r w:rsidRPr="0016528A">
        <w:rPr>
          <w:lang w:val="fr-FR"/>
        </w:rPr>
        <w:t>13/2559, 39/2557, 97/2557 et 103/2557 du Conseil national, qui sont toujours en vigueur et utilisées pour restreindre les droits fondamentaux. L</w:t>
      </w:r>
      <w:r>
        <w:rPr>
          <w:lang w:val="fr-FR"/>
        </w:rPr>
        <w:t>’</w:t>
      </w:r>
      <w:r w:rsidRPr="0016528A">
        <w:rPr>
          <w:lang w:val="fr-FR"/>
        </w:rPr>
        <w:t xml:space="preserve">organisation </w:t>
      </w:r>
      <w:r>
        <w:rPr>
          <w:lang w:val="fr-FR"/>
        </w:rPr>
        <w:t>relève</w:t>
      </w:r>
      <w:r w:rsidRPr="0016528A">
        <w:rPr>
          <w:lang w:val="fr-FR"/>
        </w:rPr>
        <w:t xml:space="preserve"> avec préoccupation qu</w:t>
      </w:r>
      <w:r>
        <w:rPr>
          <w:lang w:val="fr-FR"/>
        </w:rPr>
        <w:t xml:space="preserve">’au regard </w:t>
      </w:r>
      <w:r w:rsidRPr="0016528A">
        <w:rPr>
          <w:lang w:val="fr-FR"/>
        </w:rPr>
        <w:t>de l</w:t>
      </w:r>
      <w:r>
        <w:rPr>
          <w:lang w:val="fr-FR"/>
        </w:rPr>
        <w:t>’</w:t>
      </w:r>
      <w:r w:rsidRPr="0016528A">
        <w:rPr>
          <w:lang w:val="fr-FR"/>
        </w:rPr>
        <w:t xml:space="preserve">article 279 de la Constitution actuelle, toutes les décisions et mesures prises par le Conseil national, </w:t>
      </w:r>
      <w:r>
        <w:rPr>
          <w:lang w:val="fr-FR"/>
        </w:rPr>
        <w:t>notamment s</w:t>
      </w:r>
      <w:r w:rsidRPr="0016528A">
        <w:rPr>
          <w:lang w:val="fr-FR"/>
        </w:rPr>
        <w:t xml:space="preserve">es ordonnances et </w:t>
      </w:r>
      <w:r>
        <w:rPr>
          <w:lang w:val="fr-FR"/>
        </w:rPr>
        <w:t>avis</w:t>
      </w:r>
      <w:r w:rsidRPr="0016528A">
        <w:rPr>
          <w:lang w:val="fr-FR"/>
        </w:rPr>
        <w:t xml:space="preserve">, sont effectivement considérées comme constitutionnelles et légales. </w:t>
      </w:r>
      <w:r>
        <w:rPr>
          <w:lang w:val="fr-FR"/>
        </w:rPr>
        <w:t>Les</w:t>
      </w:r>
      <w:r w:rsidRPr="0016528A">
        <w:rPr>
          <w:lang w:val="fr-FR"/>
        </w:rPr>
        <w:t xml:space="preserve"> agents publics qui appliquent ces décisions et mesures sont </w:t>
      </w:r>
      <w:r>
        <w:rPr>
          <w:lang w:val="fr-FR"/>
        </w:rPr>
        <w:t xml:space="preserve">donc </w:t>
      </w:r>
      <w:r w:rsidRPr="0016528A">
        <w:rPr>
          <w:lang w:val="fr-FR"/>
        </w:rPr>
        <w:t>exonérés de toute responsabilité et de toute obligation de rendre des comptes, ainsi que le prévoyait l</w:t>
      </w:r>
      <w:r>
        <w:rPr>
          <w:lang w:val="fr-FR"/>
        </w:rPr>
        <w:t>’</w:t>
      </w:r>
      <w:r w:rsidRPr="0016528A">
        <w:rPr>
          <w:lang w:val="fr-FR"/>
        </w:rPr>
        <w:t>article</w:t>
      </w:r>
      <w:r w:rsidR="00666FE2">
        <w:rPr>
          <w:lang w:val="fr-FR"/>
        </w:rPr>
        <w:t> </w:t>
      </w:r>
      <w:r w:rsidRPr="0016528A">
        <w:rPr>
          <w:lang w:val="fr-FR"/>
        </w:rPr>
        <w:t>48 de la Constitution provisoire.</w:t>
      </w:r>
    </w:p>
    <w:p w:rsidR="00C8688F" w:rsidRPr="0016528A" w:rsidRDefault="00C8688F" w:rsidP="00FC1AA3">
      <w:pPr>
        <w:pStyle w:val="H4G"/>
        <w:rPr>
          <w:lang w:val="fr-FR"/>
        </w:rPr>
      </w:pPr>
      <w:r w:rsidRPr="0016528A">
        <w:rPr>
          <w:lang w:val="fr-FR"/>
        </w:rPr>
        <w:tab/>
      </w:r>
      <w:r w:rsidRPr="0016528A">
        <w:rPr>
          <w:lang w:val="fr-FR"/>
        </w:rPr>
        <w:tab/>
        <w:t>Communication conjointe</w:t>
      </w:r>
      <w:r>
        <w:rPr>
          <w:lang w:val="fr-FR"/>
        </w:rPr>
        <w:t> :</w:t>
      </w:r>
      <w:r w:rsidRPr="0016528A" w:rsidDel="000440F4">
        <w:rPr>
          <w:lang w:val="fr-FR"/>
        </w:rPr>
        <w:t xml:space="preserve"> </w:t>
      </w:r>
      <w:r w:rsidRPr="0016528A">
        <w:rPr>
          <w:lang w:val="fr-FR"/>
        </w:rPr>
        <w:t xml:space="preserve">Commission internationale de juristes, Thai </w:t>
      </w:r>
      <w:proofErr w:type="spellStart"/>
      <w:r w:rsidRPr="0016528A">
        <w:rPr>
          <w:lang w:val="fr-FR"/>
        </w:rPr>
        <w:t>Lawyers</w:t>
      </w:r>
      <w:proofErr w:type="spellEnd"/>
      <w:r w:rsidRPr="0016528A">
        <w:rPr>
          <w:lang w:val="fr-FR"/>
        </w:rPr>
        <w:t xml:space="preserve"> </w:t>
      </w:r>
      <w:r w:rsidR="00FC1AA3">
        <w:rPr>
          <w:lang w:val="fr-FR"/>
        </w:rPr>
        <w:br/>
      </w:r>
      <w:r w:rsidRPr="0016528A">
        <w:rPr>
          <w:lang w:val="fr-FR"/>
        </w:rPr>
        <w:t xml:space="preserve">for Human </w:t>
      </w:r>
      <w:proofErr w:type="spellStart"/>
      <w:r w:rsidRPr="0016528A">
        <w:rPr>
          <w:lang w:val="fr-FR"/>
        </w:rPr>
        <w:t>Rights</w:t>
      </w:r>
      <w:proofErr w:type="spellEnd"/>
      <w:r w:rsidRPr="0016528A">
        <w:rPr>
          <w:lang w:val="fr-FR"/>
        </w:rPr>
        <w:t xml:space="preserve"> et Cross-Cultural </w:t>
      </w:r>
      <w:proofErr w:type="spellStart"/>
      <w:r w:rsidRPr="0016528A">
        <w:rPr>
          <w:lang w:val="fr-FR"/>
        </w:rPr>
        <w:t>Foundation</w:t>
      </w:r>
      <w:proofErr w:type="spellEnd"/>
    </w:p>
    <w:p w:rsidR="00C8688F" w:rsidRPr="0016528A" w:rsidRDefault="00C8688F" w:rsidP="00C8688F">
      <w:pPr>
        <w:pStyle w:val="SingleTxtG"/>
        <w:ind w:firstLine="567"/>
        <w:rPr>
          <w:lang w:val="fr-FR"/>
        </w:rPr>
      </w:pPr>
      <w:r w:rsidRPr="0016528A">
        <w:rPr>
          <w:lang w:val="fr-FR"/>
        </w:rPr>
        <w:t>La Thaïlande n</w:t>
      </w:r>
      <w:r>
        <w:rPr>
          <w:lang w:val="fr-FR"/>
        </w:rPr>
        <w:t>’</w:t>
      </w:r>
      <w:r w:rsidRPr="0016528A">
        <w:rPr>
          <w:lang w:val="fr-FR"/>
        </w:rPr>
        <w:t xml:space="preserve">a entrepris aucune démarche pour réexaminer les mesures </w:t>
      </w:r>
      <w:r>
        <w:rPr>
          <w:lang w:val="fr-FR"/>
        </w:rPr>
        <w:t>adoptées</w:t>
      </w:r>
      <w:r w:rsidRPr="0016528A">
        <w:rPr>
          <w:lang w:val="fr-FR"/>
        </w:rPr>
        <w:t xml:space="preserve"> </w:t>
      </w:r>
      <w:r>
        <w:rPr>
          <w:lang w:val="fr-FR"/>
        </w:rPr>
        <w:t>en vertu</w:t>
      </w:r>
      <w:r w:rsidRPr="0016528A">
        <w:rPr>
          <w:lang w:val="fr-FR"/>
        </w:rPr>
        <w:t xml:space="preserve"> de la Constitution provisoire. Au contraire, les tribunaux </w:t>
      </w:r>
      <w:r>
        <w:rPr>
          <w:lang w:val="fr-FR"/>
        </w:rPr>
        <w:t>de l’État partie</w:t>
      </w:r>
      <w:r w:rsidRPr="0016528A">
        <w:rPr>
          <w:lang w:val="fr-FR"/>
        </w:rPr>
        <w:t xml:space="preserve"> ont confirmé </w:t>
      </w:r>
      <w:r>
        <w:rPr>
          <w:lang w:val="fr-FR"/>
        </w:rPr>
        <w:t>la</w:t>
      </w:r>
      <w:r w:rsidRPr="0016528A">
        <w:rPr>
          <w:lang w:val="fr-FR"/>
        </w:rPr>
        <w:t xml:space="preserve"> validité</w:t>
      </w:r>
      <w:r>
        <w:rPr>
          <w:lang w:val="fr-FR"/>
        </w:rPr>
        <w:t xml:space="preserve"> de ces mesures</w:t>
      </w:r>
      <w:r w:rsidRPr="0016528A">
        <w:rPr>
          <w:lang w:val="fr-FR"/>
        </w:rPr>
        <w:t xml:space="preserve"> à de nombreuses reprises.</w:t>
      </w:r>
    </w:p>
    <w:p w:rsidR="00C8688F" w:rsidRPr="0016528A" w:rsidRDefault="00C8688F" w:rsidP="00C8688F">
      <w:pPr>
        <w:pStyle w:val="SingleTxtG"/>
        <w:ind w:firstLine="567"/>
        <w:rPr>
          <w:lang w:val="fr-FR"/>
        </w:rPr>
      </w:pPr>
      <w:r w:rsidRPr="0016528A">
        <w:rPr>
          <w:lang w:val="fr-FR"/>
        </w:rPr>
        <w:t>L</w:t>
      </w:r>
      <w:r>
        <w:rPr>
          <w:lang w:val="fr-FR"/>
        </w:rPr>
        <w:t>’</w:t>
      </w:r>
      <w:r w:rsidRPr="0016528A">
        <w:rPr>
          <w:lang w:val="fr-FR"/>
        </w:rPr>
        <w:t>article</w:t>
      </w:r>
      <w:r w:rsidR="00A906BF">
        <w:rPr>
          <w:lang w:val="fr-FR"/>
        </w:rPr>
        <w:t> </w:t>
      </w:r>
      <w:r w:rsidRPr="0016528A">
        <w:rPr>
          <w:lang w:val="fr-FR"/>
        </w:rPr>
        <w:t xml:space="preserve">279 de la Constitution </w:t>
      </w:r>
      <w:r>
        <w:rPr>
          <w:lang w:val="fr-FR"/>
        </w:rPr>
        <w:t xml:space="preserve">actuelle </w:t>
      </w:r>
      <w:r w:rsidRPr="0016528A">
        <w:rPr>
          <w:lang w:val="fr-FR"/>
        </w:rPr>
        <w:t>réaffirme le caractère constitutionnel et légal de toutes les ordonnances, passées et à venir, du Chef du Conseil national pour la paix et le maintien de l</w:t>
      </w:r>
      <w:r>
        <w:rPr>
          <w:lang w:val="fr-FR"/>
        </w:rPr>
        <w:t>’</w:t>
      </w:r>
      <w:r w:rsidRPr="0016528A">
        <w:rPr>
          <w:lang w:val="fr-FR"/>
        </w:rPr>
        <w:t xml:space="preserve">ordre, ainsi que des ordonnances, </w:t>
      </w:r>
      <w:r>
        <w:rPr>
          <w:lang w:val="fr-FR"/>
        </w:rPr>
        <w:t>avis</w:t>
      </w:r>
      <w:r w:rsidRPr="0016528A">
        <w:rPr>
          <w:lang w:val="fr-FR"/>
        </w:rPr>
        <w:t xml:space="preserve"> et décisions </w:t>
      </w:r>
      <w:r>
        <w:rPr>
          <w:lang w:val="fr-FR"/>
        </w:rPr>
        <w:t>du</w:t>
      </w:r>
      <w:r w:rsidRPr="0016528A">
        <w:rPr>
          <w:lang w:val="fr-FR"/>
        </w:rPr>
        <w:t xml:space="preserve"> Conseil national, et dispose que seule une loi peut abroger ou modifier ces actes.</w:t>
      </w:r>
    </w:p>
    <w:p w:rsidR="00C8688F" w:rsidRPr="0016528A" w:rsidRDefault="00C8688F" w:rsidP="00C8688F">
      <w:pPr>
        <w:pStyle w:val="SingleTxtG"/>
        <w:ind w:firstLine="567"/>
        <w:rPr>
          <w:lang w:val="fr-FR"/>
        </w:rPr>
      </w:pPr>
      <w:r w:rsidRPr="0016528A">
        <w:rPr>
          <w:lang w:val="fr-FR"/>
        </w:rPr>
        <w:t>Les victimes de violations des droits de l</w:t>
      </w:r>
      <w:r>
        <w:rPr>
          <w:lang w:val="fr-FR"/>
        </w:rPr>
        <w:t>’</w:t>
      </w:r>
      <w:r w:rsidRPr="0016528A">
        <w:rPr>
          <w:lang w:val="fr-FR"/>
        </w:rPr>
        <w:t>homme n</w:t>
      </w:r>
      <w:r>
        <w:rPr>
          <w:lang w:val="fr-FR"/>
        </w:rPr>
        <w:t>’</w:t>
      </w:r>
      <w:r w:rsidRPr="0016528A">
        <w:rPr>
          <w:lang w:val="fr-FR"/>
        </w:rPr>
        <w:t xml:space="preserve">ont pas accès à des recours </w:t>
      </w:r>
      <w:r>
        <w:rPr>
          <w:lang w:val="fr-FR"/>
        </w:rPr>
        <w:t>utiles</w:t>
      </w:r>
      <w:r w:rsidRPr="0016528A">
        <w:rPr>
          <w:lang w:val="fr-FR"/>
        </w:rPr>
        <w:t>, et ce</w:t>
      </w:r>
      <w:r w:rsidR="00A906BF">
        <w:rPr>
          <w:lang w:val="fr-FR"/>
        </w:rPr>
        <w:t>,</w:t>
      </w:r>
      <w:r w:rsidRPr="0016528A">
        <w:rPr>
          <w:lang w:val="fr-FR"/>
        </w:rPr>
        <w:t xml:space="preserve"> en dépit du fait que l</w:t>
      </w:r>
      <w:r>
        <w:rPr>
          <w:lang w:val="fr-FR"/>
        </w:rPr>
        <w:t>’</w:t>
      </w:r>
      <w:r w:rsidRPr="0016528A">
        <w:rPr>
          <w:lang w:val="fr-FR"/>
        </w:rPr>
        <w:t>article</w:t>
      </w:r>
      <w:r w:rsidR="00A906BF">
        <w:rPr>
          <w:lang w:val="fr-FR"/>
        </w:rPr>
        <w:t> </w:t>
      </w:r>
      <w:r w:rsidRPr="0016528A">
        <w:rPr>
          <w:lang w:val="fr-FR"/>
        </w:rPr>
        <w:t>25 de la Constitution actuelle reconnaît à toute personne lésée par la violation de ses droits ou libertés le droit à un recours.</w:t>
      </w:r>
    </w:p>
    <w:p w:rsidR="00C8688F" w:rsidRPr="0016528A" w:rsidRDefault="00C8688F" w:rsidP="00C8688F">
      <w:pPr>
        <w:pStyle w:val="SingleTxtG"/>
        <w:ind w:firstLine="567"/>
        <w:rPr>
          <w:lang w:val="fr-FR"/>
        </w:rPr>
      </w:pPr>
      <w:r w:rsidRPr="00F465F4">
        <w:rPr>
          <w:lang w:val="fr-FR"/>
        </w:rPr>
        <w:t>Certaines ordonnances</w:t>
      </w:r>
      <w:r>
        <w:rPr>
          <w:lang w:val="fr-FR"/>
        </w:rPr>
        <w:t xml:space="preserve"> </w:t>
      </w:r>
      <w:r w:rsidRPr="00F465F4">
        <w:rPr>
          <w:lang w:val="fr-FR"/>
        </w:rPr>
        <w:t>qui imposent des restrictions strictes aux droits garantis par le Pacte</w:t>
      </w:r>
      <w:r>
        <w:rPr>
          <w:lang w:val="fr-FR"/>
        </w:rPr>
        <w:t>,</w:t>
      </w:r>
      <w:r w:rsidRPr="00F465F4">
        <w:rPr>
          <w:lang w:val="fr-FR"/>
        </w:rPr>
        <w:t xml:space="preserve"> </w:t>
      </w:r>
      <w:r>
        <w:rPr>
          <w:lang w:val="fr-FR"/>
        </w:rPr>
        <w:t xml:space="preserve">notamment les </w:t>
      </w:r>
      <w:r w:rsidRPr="00F465F4">
        <w:rPr>
          <w:lang w:val="fr-FR"/>
        </w:rPr>
        <w:t>ordonnances</w:t>
      </w:r>
      <w:r w:rsidRPr="0016528A">
        <w:rPr>
          <w:lang w:val="fr-FR"/>
        </w:rPr>
        <w:t xml:space="preserve"> n</w:t>
      </w:r>
      <w:r w:rsidRPr="0016528A">
        <w:rPr>
          <w:vertAlign w:val="superscript"/>
          <w:lang w:val="fr-FR"/>
        </w:rPr>
        <w:t>os</w:t>
      </w:r>
      <w:r w:rsidRPr="0016528A">
        <w:rPr>
          <w:lang w:val="fr-FR"/>
        </w:rPr>
        <w:t> 3/2558, 5/2558, 13/2559 et 17/2558</w:t>
      </w:r>
      <w:r>
        <w:rPr>
          <w:lang w:val="fr-FR"/>
        </w:rPr>
        <w:t xml:space="preserve"> du Conseil national, </w:t>
      </w:r>
      <w:r w:rsidRPr="00F465F4">
        <w:rPr>
          <w:lang w:val="fr-FR"/>
        </w:rPr>
        <w:t>sont toujours en vigueur depuis l</w:t>
      </w:r>
      <w:r>
        <w:rPr>
          <w:lang w:val="fr-FR"/>
        </w:rPr>
        <w:t>’</w:t>
      </w:r>
      <w:r w:rsidRPr="00F465F4">
        <w:rPr>
          <w:lang w:val="fr-FR"/>
        </w:rPr>
        <w:t>examen du rapport de la Thaïlande</w:t>
      </w:r>
      <w:r w:rsidRPr="0016528A">
        <w:rPr>
          <w:lang w:val="fr-FR"/>
        </w:rPr>
        <w:t>.</w:t>
      </w:r>
    </w:p>
    <w:p w:rsidR="00C8688F" w:rsidRPr="0016528A" w:rsidRDefault="00C8688F" w:rsidP="00A906BF">
      <w:pPr>
        <w:pStyle w:val="H4G"/>
        <w:rPr>
          <w:lang w:val="fr-FR"/>
        </w:rPr>
      </w:pPr>
      <w:r w:rsidRPr="0016528A">
        <w:rPr>
          <w:lang w:val="fr-FR"/>
        </w:rPr>
        <w:tab/>
      </w:r>
      <w:r w:rsidRPr="0016528A">
        <w:rPr>
          <w:lang w:val="fr-FR"/>
        </w:rPr>
        <w:tab/>
        <w:t>Communication conjointe</w:t>
      </w:r>
      <w:r>
        <w:rPr>
          <w:lang w:val="fr-FR"/>
        </w:rPr>
        <w:t xml:space="preserve"> : Centre </w:t>
      </w:r>
      <w:r w:rsidRPr="000440F4">
        <w:rPr>
          <w:lang w:val="fr-FR"/>
        </w:rPr>
        <w:t xml:space="preserve">pour les droits civils et politiques </w:t>
      </w:r>
      <w:r w:rsidR="00A906BF">
        <w:rPr>
          <w:lang w:val="fr-FR"/>
        </w:rPr>
        <w:br/>
      </w:r>
      <w:r w:rsidRPr="0016528A">
        <w:rPr>
          <w:lang w:val="fr-FR"/>
        </w:rPr>
        <w:t>et d</w:t>
      </w:r>
      <w:r>
        <w:rPr>
          <w:lang w:val="fr-FR"/>
        </w:rPr>
        <w:t>’</w:t>
      </w:r>
      <w:r w:rsidRPr="0016528A">
        <w:rPr>
          <w:lang w:val="fr-FR"/>
        </w:rPr>
        <w:t>autres organisations</w:t>
      </w:r>
    </w:p>
    <w:p w:rsidR="00C8688F" w:rsidRPr="0016528A" w:rsidRDefault="00C8688F" w:rsidP="00C8688F">
      <w:pPr>
        <w:pStyle w:val="SingleTxtG"/>
        <w:ind w:firstLine="567"/>
        <w:rPr>
          <w:lang w:val="fr-FR"/>
        </w:rPr>
      </w:pPr>
      <w:r w:rsidRPr="0016528A">
        <w:rPr>
          <w:lang w:val="fr-FR"/>
        </w:rPr>
        <w:t>L</w:t>
      </w:r>
      <w:r>
        <w:rPr>
          <w:lang w:val="fr-FR"/>
        </w:rPr>
        <w:t xml:space="preserve">e maintien en vigueur </w:t>
      </w:r>
      <w:r w:rsidRPr="0016528A">
        <w:rPr>
          <w:lang w:val="fr-FR"/>
        </w:rPr>
        <w:t>des ordonnances rendues par le Conseil national pour la paix et le maintien de l</w:t>
      </w:r>
      <w:r>
        <w:rPr>
          <w:lang w:val="fr-FR"/>
        </w:rPr>
        <w:t>’</w:t>
      </w:r>
      <w:r w:rsidRPr="0016528A">
        <w:rPr>
          <w:lang w:val="fr-FR"/>
        </w:rPr>
        <w:t>ordre depuis le coup d</w:t>
      </w:r>
      <w:r>
        <w:rPr>
          <w:lang w:val="fr-FR"/>
        </w:rPr>
        <w:t>’</w:t>
      </w:r>
      <w:r w:rsidRPr="0016528A">
        <w:rPr>
          <w:lang w:val="fr-FR"/>
        </w:rPr>
        <w:t>État de 2014 et l</w:t>
      </w:r>
      <w:r>
        <w:rPr>
          <w:lang w:val="fr-FR"/>
        </w:rPr>
        <w:t>’</w:t>
      </w:r>
      <w:r w:rsidRPr="0016528A">
        <w:rPr>
          <w:lang w:val="fr-FR"/>
        </w:rPr>
        <w:t>adoption fréquente de nouvelles ordonnances en vertu de l</w:t>
      </w:r>
      <w:r>
        <w:rPr>
          <w:lang w:val="fr-FR"/>
        </w:rPr>
        <w:t>’</w:t>
      </w:r>
      <w:r w:rsidRPr="0016528A">
        <w:rPr>
          <w:lang w:val="fr-FR"/>
        </w:rPr>
        <w:t>article</w:t>
      </w:r>
      <w:r w:rsidR="00A906BF">
        <w:rPr>
          <w:lang w:val="fr-FR"/>
        </w:rPr>
        <w:t> </w:t>
      </w:r>
      <w:r w:rsidRPr="0016528A">
        <w:rPr>
          <w:lang w:val="fr-FR"/>
        </w:rPr>
        <w:t>44 prouvent que le Conseil national n</w:t>
      </w:r>
      <w:r>
        <w:rPr>
          <w:lang w:val="fr-FR"/>
        </w:rPr>
        <w:t>’</w:t>
      </w:r>
      <w:r w:rsidRPr="0016528A">
        <w:rPr>
          <w:lang w:val="fr-FR"/>
        </w:rPr>
        <w:t>a aucunement l</w:t>
      </w:r>
      <w:r>
        <w:rPr>
          <w:lang w:val="fr-FR"/>
        </w:rPr>
        <w:t>’</w:t>
      </w:r>
      <w:r w:rsidRPr="0016528A">
        <w:rPr>
          <w:lang w:val="fr-FR"/>
        </w:rPr>
        <w:t>intention d</w:t>
      </w:r>
      <w:r>
        <w:rPr>
          <w:lang w:val="fr-FR"/>
        </w:rPr>
        <w:t>’</w:t>
      </w:r>
      <w:r w:rsidRPr="0016528A">
        <w:rPr>
          <w:lang w:val="fr-FR"/>
        </w:rPr>
        <w:t>abroger ou de modifier cette disposition.</w:t>
      </w:r>
    </w:p>
    <w:p w:rsidR="00C8688F" w:rsidRPr="0016528A" w:rsidRDefault="00C8688F" w:rsidP="00C8688F">
      <w:pPr>
        <w:pStyle w:val="SingleTxtG"/>
        <w:ind w:firstLine="567"/>
        <w:rPr>
          <w:lang w:val="fr-FR"/>
        </w:rPr>
      </w:pPr>
      <w:r w:rsidRPr="0016528A">
        <w:rPr>
          <w:lang w:val="fr-FR"/>
        </w:rPr>
        <w:t>Certains droits fondamentaux tels que l</w:t>
      </w:r>
      <w:r>
        <w:rPr>
          <w:lang w:val="fr-FR"/>
        </w:rPr>
        <w:t>e droit à l</w:t>
      </w:r>
      <w:r w:rsidRPr="0016528A">
        <w:rPr>
          <w:lang w:val="fr-FR"/>
        </w:rPr>
        <w:t>a liberté d</w:t>
      </w:r>
      <w:r>
        <w:rPr>
          <w:lang w:val="fr-FR"/>
        </w:rPr>
        <w:t>’</w:t>
      </w:r>
      <w:r w:rsidRPr="0016528A">
        <w:rPr>
          <w:lang w:val="fr-FR"/>
        </w:rPr>
        <w:t xml:space="preserve">expression, </w:t>
      </w:r>
      <w:r>
        <w:rPr>
          <w:lang w:val="fr-FR"/>
        </w:rPr>
        <w:t>notamment à</w:t>
      </w:r>
      <w:r w:rsidRPr="0016528A">
        <w:rPr>
          <w:lang w:val="fr-FR"/>
        </w:rPr>
        <w:t xml:space="preserve"> la liberté de la presse</w:t>
      </w:r>
      <w:r>
        <w:rPr>
          <w:lang w:val="fr-FR"/>
        </w:rPr>
        <w:t>,</w:t>
      </w:r>
      <w:r w:rsidRPr="0016528A">
        <w:rPr>
          <w:lang w:val="fr-FR"/>
        </w:rPr>
        <w:t xml:space="preserve"> </w:t>
      </w:r>
      <w:r>
        <w:rPr>
          <w:lang w:val="fr-FR"/>
        </w:rPr>
        <w:t>et le droit à</w:t>
      </w:r>
      <w:r w:rsidRPr="0016528A">
        <w:rPr>
          <w:lang w:val="fr-FR"/>
        </w:rPr>
        <w:t xml:space="preserve"> la liberté de réunion pacifique et d</w:t>
      </w:r>
      <w:r>
        <w:rPr>
          <w:lang w:val="fr-FR"/>
        </w:rPr>
        <w:t>’</w:t>
      </w:r>
      <w:r w:rsidRPr="0016528A">
        <w:rPr>
          <w:lang w:val="fr-FR"/>
        </w:rPr>
        <w:t>association, sont fortement restreints, ce qui empêche les défenseurs des droits de l</w:t>
      </w:r>
      <w:r>
        <w:rPr>
          <w:lang w:val="fr-FR"/>
        </w:rPr>
        <w:t>’</w:t>
      </w:r>
      <w:r w:rsidRPr="0016528A">
        <w:rPr>
          <w:lang w:val="fr-FR"/>
        </w:rPr>
        <w:t>homme, les universitaires, les avocats et les organisations de la société civile d</w:t>
      </w:r>
      <w:r>
        <w:rPr>
          <w:lang w:val="fr-FR"/>
        </w:rPr>
        <w:t>’</w:t>
      </w:r>
      <w:r w:rsidRPr="0016528A">
        <w:rPr>
          <w:lang w:val="fr-FR"/>
        </w:rPr>
        <w:t xml:space="preserve">analyser et de </w:t>
      </w:r>
      <w:r>
        <w:rPr>
          <w:lang w:val="fr-FR"/>
        </w:rPr>
        <w:t>dénoncer</w:t>
      </w:r>
      <w:r w:rsidRPr="0016528A">
        <w:rPr>
          <w:lang w:val="fr-FR"/>
        </w:rPr>
        <w:t xml:space="preserve"> les violations des droits de l</w:t>
      </w:r>
      <w:r>
        <w:rPr>
          <w:lang w:val="fr-FR"/>
        </w:rPr>
        <w:t>’</w:t>
      </w:r>
      <w:r w:rsidRPr="0016528A">
        <w:rPr>
          <w:lang w:val="fr-FR"/>
        </w:rPr>
        <w:t>homme.</w:t>
      </w:r>
    </w:p>
    <w:p w:rsidR="00C8688F" w:rsidRPr="0016528A" w:rsidRDefault="00C8688F" w:rsidP="00A906BF">
      <w:pPr>
        <w:pStyle w:val="H4G"/>
        <w:rPr>
          <w:lang w:val="fr-FR"/>
        </w:rPr>
      </w:pPr>
      <w:r w:rsidRPr="0016528A">
        <w:rPr>
          <w:lang w:val="fr-FR"/>
        </w:rPr>
        <w:tab/>
      </w:r>
      <w:r w:rsidRPr="0016528A">
        <w:rPr>
          <w:lang w:val="fr-FR"/>
        </w:rPr>
        <w:tab/>
        <w:t xml:space="preserve">Cross-Cultural </w:t>
      </w:r>
      <w:proofErr w:type="spellStart"/>
      <w:r w:rsidRPr="0016528A">
        <w:rPr>
          <w:lang w:val="fr-FR"/>
        </w:rPr>
        <w:t>Foundation</w:t>
      </w:r>
      <w:proofErr w:type="spellEnd"/>
    </w:p>
    <w:p w:rsidR="00C8688F" w:rsidRPr="0016528A" w:rsidRDefault="00C8688F" w:rsidP="00C8688F">
      <w:pPr>
        <w:pStyle w:val="SingleTxtG"/>
        <w:ind w:firstLine="567"/>
        <w:rPr>
          <w:lang w:val="fr-FR"/>
        </w:rPr>
      </w:pPr>
      <w:r w:rsidRPr="0016528A">
        <w:rPr>
          <w:lang w:val="fr-FR"/>
        </w:rPr>
        <w:t xml:space="preserve">La Cross-Cultural </w:t>
      </w:r>
      <w:proofErr w:type="spellStart"/>
      <w:r w:rsidRPr="0016528A">
        <w:rPr>
          <w:lang w:val="fr-FR"/>
        </w:rPr>
        <w:t>Foundation</w:t>
      </w:r>
      <w:proofErr w:type="spellEnd"/>
      <w:r w:rsidRPr="0016528A" w:rsidDel="008E46F3">
        <w:rPr>
          <w:lang w:val="fr-FR"/>
        </w:rPr>
        <w:t xml:space="preserve"> </w:t>
      </w:r>
      <w:r>
        <w:rPr>
          <w:lang w:val="fr-FR"/>
        </w:rPr>
        <w:t>se</w:t>
      </w:r>
      <w:r w:rsidRPr="0016528A">
        <w:rPr>
          <w:lang w:val="fr-FR"/>
        </w:rPr>
        <w:t xml:space="preserve"> dit préoccupée par l</w:t>
      </w:r>
      <w:r>
        <w:rPr>
          <w:lang w:val="fr-FR"/>
        </w:rPr>
        <w:t>’</w:t>
      </w:r>
      <w:r w:rsidRPr="0016528A">
        <w:rPr>
          <w:lang w:val="fr-FR"/>
        </w:rPr>
        <w:t xml:space="preserve">étendue du pouvoir exécutif et par le </w:t>
      </w:r>
      <w:r>
        <w:rPr>
          <w:lang w:val="fr-FR"/>
        </w:rPr>
        <w:t>peu</w:t>
      </w:r>
      <w:r w:rsidRPr="0016528A">
        <w:rPr>
          <w:lang w:val="fr-FR"/>
        </w:rPr>
        <w:t xml:space="preserve"> de contrôle parlementaire et judiciaire </w:t>
      </w:r>
      <w:r>
        <w:rPr>
          <w:lang w:val="fr-FR"/>
        </w:rPr>
        <w:t xml:space="preserve">exercé </w:t>
      </w:r>
      <w:r w:rsidRPr="0016528A">
        <w:rPr>
          <w:lang w:val="fr-FR"/>
        </w:rPr>
        <w:t>sur les lois relatives à la sécurité de l</w:t>
      </w:r>
      <w:r>
        <w:rPr>
          <w:lang w:val="fr-FR"/>
        </w:rPr>
        <w:t>’</w:t>
      </w:r>
      <w:r w:rsidRPr="0016528A">
        <w:rPr>
          <w:lang w:val="fr-FR"/>
        </w:rPr>
        <w:t xml:space="preserve">État, en particulier la loi martiale de 1914 et le décret </w:t>
      </w:r>
      <w:r>
        <w:rPr>
          <w:lang w:val="fr-FR"/>
        </w:rPr>
        <w:t xml:space="preserve">d’urgence </w:t>
      </w:r>
      <w:r w:rsidRPr="0016528A">
        <w:rPr>
          <w:lang w:val="fr-FR"/>
        </w:rPr>
        <w:t>de 2005 sur l</w:t>
      </w:r>
      <w:r>
        <w:rPr>
          <w:lang w:val="fr-FR"/>
        </w:rPr>
        <w:t>’</w:t>
      </w:r>
      <w:r w:rsidRPr="0016528A">
        <w:rPr>
          <w:lang w:val="fr-FR"/>
        </w:rPr>
        <w:t>administration publique en situation d</w:t>
      </w:r>
      <w:r>
        <w:rPr>
          <w:lang w:val="fr-FR"/>
        </w:rPr>
        <w:t>’</w:t>
      </w:r>
      <w:r w:rsidRPr="0016528A">
        <w:rPr>
          <w:lang w:val="fr-FR"/>
        </w:rPr>
        <w:t>état d</w:t>
      </w:r>
      <w:r>
        <w:rPr>
          <w:lang w:val="fr-FR"/>
        </w:rPr>
        <w:t>’</w:t>
      </w:r>
      <w:r w:rsidRPr="0016528A">
        <w:rPr>
          <w:lang w:val="fr-FR"/>
        </w:rPr>
        <w:t>urgence.</w:t>
      </w:r>
    </w:p>
    <w:p w:rsidR="00C8688F" w:rsidRPr="0016528A" w:rsidRDefault="00C8688F" w:rsidP="00C8688F">
      <w:pPr>
        <w:pStyle w:val="SingleTxtG"/>
        <w:ind w:firstLine="567"/>
        <w:rPr>
          <w:lang w:val="fr-FR"/>
        </w:rPr>
      </w:pPr>
      <w:r w:rsidRPr="000C32F8">
        <w:rPr>
          <w:lang w:val="fr-FR"/>
        </w:rPr>
        <w:t>Les lois relatives à la sécurité sont devenues monnaie courante dans de nombreuses régions</w:t>
      </w:r>
      <w:r>
        <w:rPr>
          <w:lang w:val="fr-FR"/>
        </w:rPr>
        <w:t xml:space="preserve"> de</w:t>
      </w:r>
      <w:r w:rsidRPr="000C32F8">
        <w:rPr>
          <w:lang w:val="fr-FR"/>
        </w:rPr>
        <w:t xml:space="preserve"> </w:t>
      </w:r>
      <w:r>
        <w:rPr>
          <w:lang w:val="fr-FR"/>
        </w:rPr>
        <w:t>T</w:t>
      </w:r>
      <w:r w:rsidRPr="000C32F8">
        <w:rPr>
          <w:lang w:val="fr-FR"/>
        </w:rPr>
        <w:t>haïland</w:t>
      </w:r>
      <w:r>
        <w:rPr>
          <w:lang w:val="fr-FR"/>
        </w:rPr>
        <w:t>e</w:t>
      </w:r>
      <w:r w:rsidRPr="000C32F8">
        <w:rPr>
          <w:lang w:val="fr-FR"/>
        </w:rPr>
        <w:t>. Dans les provinces frontalières du sud, l</w:t>
      </w:r>
      <w:r>
        <w:rPr>
          <w:lang w:val="fr-FR"/>
        </w:rPr>
        <w:t>’</w:t>
      </w:r>
      <w:r w:rsidRPr="000C32F8">
        <w:rPr>
          <w:lang w:val="fr-FR"/>
        </w:rPr>
        <w:t>état d</w:t>
      </w:r>
      <w:r>
        <w:rPr>
          <w:lang w:val="fr-FR"/>
        </w:rPr>
        <w:t>’</w:t>
      </w:r>
      <w:r w:rsidRPr="000C32F8">
        <w:rPr>
          <w:lang w:val="fr-FR"/>
        </w:rPr>
        <w:t>urgence est en vigueur depuis le 20</w:t>
      </w:r>
      <w:r w:rsidR="00A906BF">
        <w:rPr>
          <w:lang w:val="fr-FR"/>
        </w:rPr>
        <w:t> </w:t>
      </w:r>
      <w:r w:rsidRPr="000C32F8">
        <w:rPr>
          <w:lang w:val="fr-FR"/>
        </w:rPr>
        <w:t>juillet 2005, en application du décret susmentionné.</w:t>
      </w:r>
    </w:p>
    <w:p w:rsidR="00C8688F" w:rsidRPr="0016528A" w:rsidRDefault="00C8688F" w:rsidP="00A906BF">
      <w:pPr>
        <w:pStyle w:val="H23G"/>
        <w:rPr>
          <w:lang w:val="fr-FR"/>
        </w:rPr>
      </w:pPr>
      <w:r w:rsidRPr="0016528A">
        <w:rPr>
          <w:lang w:val="fr-FR"/>
        </w:rPr>
        <w:lastRenderedPageBreak/>
        <w:tab/>
      </w:r>
      <w:r w:rsidRPr="0016528A">
        <w:rPr>
          <w:lang w:val="fr-FR"/>
        </w:rPr>
        <w:tab/>
        <w:t>Évaluation du Comité</w:t>
      </w:r>
    </w:p>
    <w:p w:rsidR="00C8688F" w:rsidRPr="006B507E" w:rsidRDefault="00C8688F" w:rsidP="00C8688F">
      <w:pPr>
        <w:pStyle w:val="SingleTxtG"/>
        <w:rPr>
          <w:lang w:val="fr-FR"/>
        </w:rPr>
      </w:pPr>
      <w:r w:rsidRPr="00A906BF">
        <w:rPr>
          <w:bCs/>
          <w:lang w:val="fr-FR"/>
        </w:rPr>
        <w:t>[</w:t>
      </w:r>
      <w:r w:rsidRPr="0016528A">
        <w:rPr>
          <w:b/>
          <w:lang w:val="fr-FR"/>
        </w:rPr>
        <w:t>C</w:t>
      </w:r>
      <w:r w:rsidRPr="00A906BF">
        <w:rPr>
          <w:bCs/>
          <w:lang w:val="fr-FR"/>
        </w:rPr>
        <w:t>] :</w:t>
      </w:r>
      <w:r w:rsidRPr="0016528A">
        <w:rPr>
          <w:lang w:val="fr-FR"/>
        </w:rPr>
        <w:t xml:space="preserve"> Le Comité regrette que l</w:t>
      </w:r>
      <w:r>
        <w:rPr>
          <w:lang w:val="fr-FR"/>
        </w:rPr>
        <w:t>’</w:t>
      </w:r>
      <w:r w:rsidRPr="0016528A">
        <w:rPr>
          <w:lang w:val="fr-FR"/>
        </w:rPr>
        <w:t>État partie n</w:t>
      </w:r>
      <w:r>
        <w:rPr>
          <w:lang w:val="fr-FR"/>
        </w:rPr>
        <w:t>’</w:t>
      </w:r>
      <w:r w:rsidRPr="0016528A">
        <w:rPr>
          <w:lang w:val="fr-FR"/>
        </w:rPr>
        <w:t xml:space="preserve">ait pris aucune mesure </w:t>
      </w:r>
      <w:r>
        <w:rPr>
          <w:lang w:val="fr-FR"/>
        </w:rPr>
        <w:t>particulière</w:t>
      </w:r>
      <w:r w:rsidRPr="0016528A">
        <w:rPr>
          <w:lang w:val="fr-FR"/>
        </w:rPr>
        <w:t xml:space="preserve"> pour appliquer sa recommandation. </w:t>
      </w:r>
      <w:r>
        <w:rPr>
          <w:lang w:val="fr-FR"/>
        </w:rPr>
        <w:t>I</w:t>
      </w:r>
      <w:r w:rsidRPr="0016528A">
        <w:rPr>
          <w:lang w:val="fr-FR"/>
        </w:rPr>
        <w:t>l demande des informations sur les recours déposés auprès de la Cour constitutionnelle contre les dispositions qu</w:t>
      </w:r>
      <w:r>
        <w:rPr>
          <w:lang w:val="fr-FR"/>
        </w:rPr>
        <w:t>’</w:t>
      </w:r>
      <w:r w:rsidRPr="0016528A">
        <w:rPr>
          <w:lang w:val="fr-FR"/>
        </w:rPr>
        <w:t>il vise dans sa recommandation et sur l</w:t>
      </w:r>
      <w:r>
        <w:rPr>
          <w:lang w:val="fr-FR"/>
        </w:rPr>
        <w:t xml:space="preserve">’issue </w:t>
      </w:r>
      <w:r w:rsidRPr="0016528A">
        <w:rPr>
          <w:lang w:val="fr-FR"/>
        </w:rPr>
        <w:t xml:space="preserve">de ces recours. </w:t>
      </w:r>
      <w:r w:rsidRPr="00C45B3A">
        <w:rPr>
          <w:lang w:val="fr-FR"/>
        </w:rPr>
        <w:t>Il demande également des informations sur le calendrier de la r</w:t>
      </w:r>
      <w:r>
        <w:rPr>
          <w:lang w:val="fr-FR"/>
        </w:rPr>
        <w:t>é</w:t>
      </w:r>
      <w:r w:rsidRPr="00C45B3A">
        <w:rPr>
          <w:lang w:val="fr-FR"/>
        </w:rPr>
        <w:t>vision des textes lé</w:t>
      </w:r>
      <w:r>
        <w:rPr>
          <w:lang w:val="fr-FR"/>
        </w:rPr>
        <w:t xml:space="preserve">gislatifs et réglementaires et des mesures adoptés au titre de la Constitution promulguée le </w:t>
      </w:r>
      <w:r w:rsidRPr="00C45B3A">
        <w:rPr>
          <w:lang w:val="fr-FR"/>
        </w:rPr>
        <w:t>6</w:t>
      </w:r>
      <w:r w:rsidR="00A906BF">
        <w:rPr>
          <w:lang w:val="fr-FR"/>
        </w:rPr>
        <w:t> </w:t>
      </w:r>
      <w:r>
        <w:rPr>
          <w:lang w:val="fr-FR"/>
        </w:rPr>
        <w:t>av</w:t>
      </w:r>
      <w:r w:rsidRPr="00C45B3A">
        <w:rPr>
          <w:lang w:val="fr-FR"/>
        </w:rPr>
        <w:t xml:space="preserve">ril 2017. </w:t>
      </w:r>
      <w:r w:rsidRPr="006B507E">
        <w:rPr>
          <w:lang w:val="fr-FR"/>
        </w:rPr>
        <w:t>Il renouvelle sa recommandation.</w:t>
      </w:r>
    </w:p>
    <w:p w:rsidR="00C8688F" w:rsidRPr="0016528A" w:rsidRDefault="00C8688F" w:rsidP="00A906BF">
      <w:pPr>
        <w:pStyle w:val="H23G"/>
        <w:rPr>
          <w:lang w:val="fr-FR"/>
        </w:rPr>
      </w:pPr>
      <w:r w:rsidRPr="006B507E">
        <w:rPr>
          <w:lang w:val="fr-FR"/>
        </w:rPr>
        <w:tab/>
      </w:r>
      <w:r w:rsidRPr="006B507E">
        <w:rPr>
          <w:lang w:val="fr-FR"/>
        </w:rPr>
        <w:tab/>
      </w:r>
      <w:r w:rsidRPr="0016528A">
        <w:rPr>
          <w:lang w:val="fr-FR"/>
        </w:rPr>
        <w:t>Paragraphe 22</w:t>
      </w:r>
      <w:r w:rsidR="00A906BF">
        <w:rPr>
          <w:lang w:val="fr-FR"/>
        </w:rPr>
        <w:t> </w:t>
      </w:r>
      <w:r w:rsidRPr="0016528A">
        <w:rPr>
          <w:lang w:val="fr-FR"/>
        </w:rPr>
        <w:t>: Exécutions extrajudiciaires, disparitions forcées et torture</w:t>
      </w:r>
    </w:p>
    <w:p w:rsidR="00C8688F" w:rsidRPr="0016528A" w:rsidRDefault="00C8688F" w:rsidP="00A906BF">
      <w:pPr>
        <w:pStyle w:val="SingleTxtG"/>
        <w:keepNext/>
        <w:ind w:firstLine="567"/>
        <w:rPr>
          <w:b/>
          <w:lang w:val="fr-FR"/>
        </w:rPr>
      </w:pPr>
      <w:r w:rsidRPr="0016528A">
        <w:rPr>
          <w:b/>
          <w:lang w:val="fr-FR"/>
        </w:rPr>
        <w:t>L</w:t>
      </w:r>
      <w:r>
        <w:rPr>
          <w:b/>
          <w:lang w:val="fr-FR"/>
        </w:rPr>
        <w:t>’</w:t>
      </w:r>
      <w:r w:rsidRPr="0016528A">
        <w:rPr>
          <w:b/>
          <w:lang w:val="fr-FR"/>
        </w:rPr>
        <w:t>État partie devrait</w:t>
      </w:r>
      <w:r w:rsidR="00A906BF">
        <w:rPr>
          <w:b/>
          <w:lang w:val="fr-FR"/>
        </w:rPr>
        <w:t> </w:t>
      </w:r>
      <w:r w:rsidRPr="0016528A">
        <w:rPr>
          <w:b/>
          <w:lang w:val="fr-FR"/>
        </w:rPr>
        <w:t>:</w:t>
      </w:r>
    </w:p>
    <w:p w:rsidR="00C8688F" w:rsidRPr="0016528A" w:rsidRDefault="00C8688F" w:rsidP="00C8688F">
      <w:pPr>
        <w:pStyle w:val="SingleTxtG"/>
        <w:ind w:firstLine="567"/>
        <w:rPr>
          <w:b/>
          <w:lang w:val="fr-FR"/>
        </w:rPr>
      </w:pPr>
      <w:r w:rsidRPr="0016528A">
        <w:rPr>
          <w:b/>
          <w:lang w:val="fr-FR"/>
        </w:rPr>
        <w:t>a)</w:t>
      </w:r>
      <w:r w:rsidRPr="0016528A">
        <w:rPr>
          <w:b/>
          <w:lang w:val="fr-FR"/>
        </w:rPr>
        <w:tab/>
        <w:t xml:space="preserve">Veiller à ce que les </w:t>
      </w:r>
      <w:r>
        <w:rPr>
          <w:b/>
          <w:lang w:val="fr-FR"/>
        </w:rPr>
        <w:t>faits</w:t>
      </w:r>
      <w:r w:rsidRPr="0016528A">
        <w:rPr>
          <w:b/>
          <w:lang w:val="fr-FR"/>
        </w:rPr>
        <w:t xml:space="preserve"> soient signalés et </w:t>
      </w:r>
      <w:r>
        <w:rPr>
          <w:b/>
          <w:lang w:val="fr-FR"/>
        </w:rPr>
        <w:t xml:space="preserve">à ce </w:t>
      </w:r>
      <w:r w:rsidRPr="0016528A">
        <w:rPr>
          <w:b/>
          <w:lang w:val="fr-FR"/>
        </w:rPr>
        <w:t>que des enquêtes impartiales et approfondies soient menées</w:t>
      </w:r>
      <w:r>
        <w:rPr>
          <w:b/>
          <w:lang w:val="fr-FR"/>
        </w:rPr>
        <w:t xml:space="preserve"> sans délai</w:t>
      </w:r>
      <w:r w:rsidRPr="0016528A">
        <w:rPr>
          <w:b/>
          <w:lang w:val="fr-FR"/>
        </w:rPr>
        <w:t xml:space="preserve"> sur toutes les allégations et plaintes concernant l</w:t>
      </w:r>
      <w:r>
        <w:rPr>
          <w:b/>
          <w:lang w:val="fr-FR"/>
        </w:rPr>
        <w:t>’</w:t>
      </w:r>
      <w:r w:rsidRPr="0016528A">
        <w:rPr>
          <w:b/>
          <w:lang w:val="fr-FR"/>
        </w:rPr>
        <w:t>usage excessif et illégal de la force par des membres des forces de l</w:t>
      </w:r>
      <w:r>
        <w:rPr>
          <w:b/>
          <w:lang w:val="fr-FR"/>
        </w:rPr>
        <w:t>’</w:t>
      </w:r>
      <w:r w:rsidRPr="0016528A">
        <w:rPr>
          <w:b/>
          <w:lang w:val="fr-FR"/>
        </w:rPr>
        <w:t>ordre et des militaires, notamment des actes de torture, des disparitions forcées et des exécutions extrajudiciaires, en particulier dans les provinces frontalières du sud. Il</w:t>
      </w:r>
      <w:r w:rsidR="00A906BF">
        <w:rPr>
          <w:b/>
          <w:lang w:val="fr-FR"/>
        </w:rPr>
        <w:t> </w:t>
      </w:r>
      <w:r w:rsidRPr="0016528A">
        <w:rPr>
          <w:b/>
          <w:lang w:val="fr-FR"/>
        </w:rPr>
        <w:t>devrait aussi s</w:t>
      </w:r>
      <w:r>
        <w:rPr>
          <w:b/>
          <w:lang w:val="fr-FR"/>
        </w:rPr>
        <w:t>’</w:t>
      </w:r>
      <w:r w:rsidRPr="0016528A">
        <w:rPr>
          <w:b/>
          <w:lang w:val="fr-FR"/>
        </w:rPr>
        <w:t>assurer que les auteurs présumés des faits soient poursuivis et, s</w:t>
      </w:r>
      <w:r>
        <w:rPr>
          <w:b/>
          <w:lang w:val="fr-FR"/>
        </w:rPr>
        <w:t>’</w:t>
      </w:r>
      <w:r w:rsidRPr="0016528A">
        <w:rPr>
          <w:b/>
          <w:lang w:val="fr-FR"/>
        </w:rPr>
        <w:t xml:space="preserve">ils sont reconnus coupables, </w:t>
      </w:r>
      <w:r>
        <w:rPr>
          <w:b/>
          <w:lang w:val="fr-FR"/>
        </w:rPr>
        <w:t xml:space="preserve">dûment </w:t>
      </w:r>
      <w:r w:rsidRPr="0016528A">
        <w:rPr>
          <w:b/>
          <w:lang w:val="fr-FR"/>
        </w:rPr>
        <w:t>condamnés</w:t>
      </w:r>
      <w:r w:rsidR="00A906BF">
        <w:rPr>
          <w:b/>
          <w:lang w:val="fr-FR"/>
        </w:rPr>
        <w:t> </w:t>
      </w:r>
      <w:r w:rsidRPr="0016528A">
        <w:rPr>
          <w:b/>
          <w:lang w:val="fr-FR"/>
        </w:rPr>
        <w:t>;</w:t>
      </w:r>
    </w:p>
    <w:p w:rsidR="00C8688F" w:rsidRPr="0016528A" w:rsidRDefault="00C8688F" w:rsidP="00C8688F">
      <w:pPr>
        <w:pStyle w:val="SingleTxtG"/>
        <w:ind w:firstLine="567"/>
        <w:rPr>
          <w:b/>
          <w:lang w:val="fr-FR"/>
        </w:rPr>
      </w:pPr>
      <w:r w:rsidRPr="0016528A">
        <w:rPr>
          <w:b/>
          <w:lang w:val="fr-FR"/>
        </w:rPr>
        <w:t>b)</w:t>
      </w:r>
      <w:r w:rsidRPr="0016528A">
        <w:rPr>
          <w:b/>
          <w:lang w:val="fr-FR"/>
        </w:rPr>
        <w:tab/>
        <w:t xml:space="preserve">Faire la lumière sur les circonstances dans lesquelles ces crimes ont été commis et, dans les cas de disparition forcée, sur le sort qui a été </w:t>
      </w:r>
      <w:r>
        <w:rPr>
          <w:b/>
          <w:lang w:val="fr-FR"/>
        </w:rPr>
        <w:t>réservé</w:t>
      </w:r>
      <w:r w:rsidRPr="0016528A">
        <w:rPr>
          <w:b/>
          <w:lang w:val="fr-FR"/>
        </w:rPr>
        <w:t xml:space="preserve"> aux victimes et le lieu où elles se trouvent, en veillant à ce que leurs proches soient informés des progrès et des résultats des enquêtes ;</w:t>
      </w:r>
    </w:p>
    <w:p w:rsidR="00C8688F" w:rsidRPr="0016528A" w:rsidRDefault="00C8688F" w:rsidP="00C8688F">
      <w:pPr>
        <w:pStyle w:val="SingleTxtG"/>
        <w:ind w:firstLine="567"/>
        <w:rPr>
          <w:b/>
          <w:lang w:val="fr-FR"/>
        </w:rPr>
      </w:pPr>
      <w:r w:rsidRPr="0016528A">
        <w:rPr>
          <w:b/>
          <w:lang w:val="fr-FR"/>
        </w:rPr>
        <w:t>c)</w:t>
      </w:r>
      <w:r w:rsidRPr="0016528A">
        <w:rPr>
          <w:b/>
          <w:lang w:val="fr-FR"/>
        </w:rPr>
        <w:tab/>
        <w:t xml:space="preserve">Veiller à ce que les victimes se voient accorder une réparation intégrale, </w:t>
      </w:r>
      <w:r>
        <w:rPr>
          <w:b/>
          <w:lang w:val="fr-FR"/>
        </w:rPr>
        <w:t>notamment</w:t>
      </w:r>
      <w:r w:rsidRPr="0016528A">
        <w:rPr>
          <w:b/>
          <w:lang w:val="fr-FR"/>
        </w:rPr>
        <w:t xml:space="preserve"> sous</w:t>
      </w:r>
      <w:r>
        <w:rPr>
          <w:b/>
          <w:lang w:val="fr-FR"/>
        </w:rPr>
        <w:t xml:space="preserve"> la</w:t>
      </w:r>
      <w:r w:rsidRPr="0016528A">
        <w:rPr>
          <w:b/>
          <w:lang w:val="fr-FR"/>
        </w:rPr>
        <w:t xml:space="preserve"> forme de mesures </w:t>
      </w:r>
      <w:r>
        <w:rPr>
          <w:b/>
          <w:lang w:val="fr-FR"/>
        </w:rPr>
        <w:t>susceptibles de les satisfaire</w:t>
      </w:r>
      <w:r w:rsidRPr="0016528A">
        <w:rPr>
          <w:b/>
          <w:lang w:val="fr-FR"/>
        </w:rPr>
        <w:t xml:space="preserve"> et de garanties de non</w:t>
      </w:r>
      <w:r w:rsidR="00A906BF">
        <w:rPr>
          <w:b/>
          <w:lang w:val="fr-FR"/>
        </w:rPr>
        <w:noBreakHyphen/>
      </w:r>
      <w:r w:rsidRPr="0016528A">
        <w:rPr>
          <w:b/>
          <w:lang w:val="fr-FR"/>
        </w:rPr>
        <w:t>répétition ;</w:t>
      </w:r>
    </w:p>
    <w:p w:rsidR="00C8688F" w:rsidRPr="0016528A" w:rsidRDefault="00C8688F" w:rsidP="00C8688F">
      <w:pPr>
        <w:pStyle w:val="SingleTxtG"/>
        <w:ind w:firstLine="567"/>
        <w:rPr>
          <w:b/>
          <w:lang w:val="fr-FR"/>
        </w:rPr>
      </w:pPr>
      <w:r w:rsidRPr="0016528A">
        <w:rPr>
          <w:b/>
          <w:lang w:val="fr-FR"/>
        </w:rPr>
        <w:t>d)</w:t>
      </w:r>
      <w:r w:rsidRPr="0016528A">
        <w:rPr>
          <w:b/>
          <w:lang w:val="fr-FR"/>
        </w:rPr>
        <w:tab/>
        <w:t>Modifier la loi martiale, le décret sur l</w:t>
      </w:r>
      <w:r>
        <w:rPr>
          <w:b/>
          <w:lang w:val="fr-FR"/>
        </w:rPr>
        <w:t>’</w:t>
      </w:r>
      <w:r w:rsidRPr="0016528A">
        <w:rPr>
          <w:b/>
          <w:lang w:val="fr-FR"/>
        </w:rPr>
        <w:t>état d</w:t>
      </w:r>
      <w:r>
        <w:rPr>
          <w:b/>
          <w:lang w:val="fr-FR"/>
        </w:rPr>
        <w:t>’</w:t>
      </w:r>
      <w:r w:rsidRPr="0016528A">
        <w:rPr>
          <w:b/>
          <w:lang w:val="fr-FR"/>
        </w:rPr>
        <w:t>urgence et l</w:t>
      </w:r>
      <w:r>
        <w:rPr>
          <w:b/>
          <w:lang w:val="fr-FR"/>
        </w:rPr>
        <w:t>’</w:t>
      </w:r>
      <w:r w:rsidRPr="0016528A">
        <w:rPr>
          <w:b/>
          <w:lang w:val="fr-FR"/>
        </w:rPr>
        <w:t>ordonnance n</w:t>
      </w:r>
      <w:r w:rsidRPr="0016528A">
        <w:rPr>
          <w:b/>
          <w:vertAlign w:val="superscript"/>
          <w:lang w:val="fr-FR"/>
        </w:rPr>
        <w:t>o</w:t>
      </w:r>
      <w:r w:rsidRPr="0016528A">
        <w:rPr>
          <w:b/>
          <w:lang w:val="fr-FR"/>
        </w:rPr>
        <w:t> 3/2015 afin qu</w:t>
      </w:r>
      <w:r>
        <w:rPr>
          <w:b/>
          <w:lang w:val="fr-FR"/>
        </w:rPr>
        <w:t>’</w:t>
      </w:r>
      <w:r w:rsidRPr="0016528A">
        <w:rPr>
          <w:b/>
          <w:lang w:val="fr-FR"/>
        </w:rPr>
        <w:t>ils respectent toutes les dispositions du Pacte, notamment les garanties contre la détention au secret énumérées dans l</w:t>
      </w:r>
      <w:r>
        <w:rPr>
          <w:b/>
          <w:lang w:val="fr-FR"/>
        </w:rPr>
        <w:t>’</w:t>
      </w:r>
      <w:r w:rsidRPr="0016528A">
        <w:rPr>
          <w:b/>
          <w:lang w:val="fr-FR"/>
        </w:rPr>
        <w:t>observation générale n</w:t>
      </w:r>
      <w:r w:rsidRPr="0016528A">
        <w:rPr>
          <w:b/>
          <w:vertAlign w:val="superscript"/>
          <w:lang w:val="fr-FR"/>
        </w:rPr>
        <w:t>o</w:t>
      </w:r>
      <w:r w:rsidRPr="0016528A">
        <w:rPr>
          <w:b/>
          <w:lang w:val="fr-FR"/>
        </w:rPr>
        <w:t> 35</w:t>
      </w:r>
      <w:r>
        <w:rPr>
          <w:b/>
          <w:lang w:val="fr-FR"/>
        </w:rPr>
        <w:t> </w:t>
      </w:r>
      <w:r w:rsidRPr="0016528A">
        <w:rPr>
          <w:b/>
          <w:lang w:val="fr-FR"/>
        </w:rPr>
        <w:t>(2014) du Comité relative à la liberté et à la sécurité de la personne. L</w:t>
      </w:r>
      <w:r>
        <w:rPr>
          <w:b/>
          <w:lang w:val="fr-FR"/>
        </w:rPr>
        <w:t>’</w:t>
      </w:r>
      <w:r w:rsidRPr="0016528A">
        <w:rPr>
          <w:b/>
          <w:lang w:val="fr-FR"/>
        </w:rPr>
        <w:t>État partie devrait aussi modifier les critères permettant de lever dans les meilleurs délais la loi martiale et le décret sur l</w:t>
      </w:r>
      <w:r>
        <w:rPr>
          <w:b/>
          <w:lang w:val="fr-FR"/>
        </w:rPr>
        <w:t>’</w:t>
      </w:r>
      <w:r w:rsidRPr="0016528A">
        <w:rPr>
          <w:b/>
          <w:lang w:val="fr-FR"/>
        </w:rPr>
        <w:t>état d</w:t>
      </w:r>
      <w:r>
        <w:rPr>
          <w:b/>
          <w:lang w:val="fr-FR"/>
        </w:rPr>
        <w:t>’</w:t>
      </w:r>
      <w:r w:rsidRPr="0016528A">
        <w:rPr>
          <w:b/>
          <w:lang w:val="fr-FR"/>
        </w:rPr>
        <w:t>urgence dans les provinces concernées ;</w:t>
      </w:r>
    </w:p>
    <w:p w:rsidR="00C8688F" w:rsidRPr="0016528A" w:rsidRDefault="00C8688F" w:rsidP="00C8688F">
      <w:pPr>
        <w:pStyle w:val="SingleTxtG"/>
        <w:ind w:firstLine="567"/>
        <w:rPr>
          <w:b/>
          <w:lang w:val="fr-FR"/>
        </w:rPr>
      </w:pPr>
      <w:r w:rsidRPr="0016528A">
        <w:rPr>
          <w:b/>
          <w:lang w:val="fr-FR"/>
        </w:rPr>
        <w:t>e)</w:t>
      </w:r>
      <w:r w:rsidRPr="0016528A">
        <w:rPr>
          <w:b/>
          <w:lang w:val="fr-FR"/>
        </w:rPr>
        <w:tab/>
        <w:t>Mettre en place rapidement un mécanisme indépendant pour la prévention et la répression de la torture et des disparitions forcées ;</w:t>
      </w:r>
    </w:p>
    <w:p w:rsidR="00C8688F" w:rsidRPr="0016528A" w:rsidRDefault="00C8688F" w:rsidP="00C8688F">
      <w:pPr>
        <w:pStyle w:val="SingleTxtG"/>
        <w:ind w:firstLine="567"/>
        <w:rPr>
          <w:b/>
          <w:lang w:val="fr-FR"/>
        </w:rPr>
      </w:pPr>
      <w:r w:rsidRPr="0016528A">
        <w:rPr>
          <w:b/>
          <w:lang w:val="fr-FR"/>
        </w:rPr>
        <w:t>f)</w:t>
      </w:r>
      <w:r w:rsidRPr="0016528A">
        <w:rPr>
          <w:b/>
          <w:lang w:val="fr-FR"/>
        </w:rPr>
        <w:tab/>
        <w:t>Renforcer la formation des membres des forces de l</w:t>
      </w:r>
      <w:r>
        <w:rPr>
          <w:b/>
          <w:lang w:val="fr-FR"/>
        </w:rPr>
        <w:t>’</w:t>
      </w:r>
      <w:r w:rsidRPr="0016528A">
        <w:rPr>
          <w:b/>
          <w:lang w:val="fr-FR"/>
        </w:rPr>
        <w:t>ordre et des militaires sur le plein respect des droits de l</w:t>
      </w:r>
      <w:r>
        <w:rPr>
          <w:b/>
          <w:lang w:val="fr-FR"/>
        </w:rPr>
        <w:t>’</w:t>
      </w:r>
      <w:r w:rsidRPr="0016528A">
        <w:rPr>
          <w:b/>
          <w:lang w:val="fr-FR"/>
        </w:rPr>
        <w:t xml:space="preserve">homme, </w:t>
      </w:r>
      <w:r>
        <w:rPr>
          <w:b/>
          <w:lang w:val="fr-FR"/>
        </w:rPr>
        <w:t>y compris</w:t>
      </w:r>
      <w:r w:rsidRPr="0016528A">
        <w:rPr>
          <w:b/>
          <w:lang w:val="fr-FR"/>
        </w:rPr>
        <w:t xml:space="preserve"> sur l</w:t>
      </w:r>
      <w:r>
        <w:rPr>
          <w:b/>
          <w:lang w:val="fr-FR"/>
        </w:rPr>
        <w:t>’</w:t>
      </w:r>
      <w:r w:rsidRPr="0016528A">
        <w:rPr>
          <w:b/>
          <w:lang w:val="fr-FR"/>
        </w:rPr>
        <w:t xml:space="preserve">usage approprié de la force et sur </w:t>
      </w:r>
      <w:r>
        <w:rPr>
          <w:b/>
          <w:lang w:val="fr-FR"/>
        </w:rPr>
        <w:t>l’élimination</w:t>
      </w:r>
      <w:r w:rsidRPr="0016528A">
        <w:rPr>
          <w:b/>
          <w:lang w:val="fr-FR"/>
        </w:rPr>
        <w:t xml:space="preserve"> de la torture et des mauvais traitements en veillant à ce que tous les supports de formation soient conformes aux dispositions du Pacte et aux Principes de base des Nations Unies sur le recours à la force et l</w:t>
      </w:r>
      <w:r>
        <w:rPr>
          <w:b/>
          <w:lang w:val="fr-FR"/>
        </w:rPr>
        <w:t>’</w:t>
      </w:r>
      <w:r w:rsidRPr="0016528A">
        <w:rPr>
          <w:b/>
          <w:lang w:val="fr-FR"/>
        </w:rPr>
        <w:t>utilisation des armes à feu par les responsables de l</w:t>
      </w:r>
      <w:r>
        <w:rPr>
          <w:b/>
          <w:lang w:val="fr-FR"/>
        </w:rPr>
        <w:t>’</w:t>
      </w:r>
      <w:r w:rsidRPr="0016528A">
        <w:rPr>
          <w:b/>
          <w:lang w:val="fr-FR"/>
        </w:rPr>
        <w:t>application des lois.</w:t>
      </w:r>
    </w:p>
    <w:p w:rsidR="00C8688F" w:rsidRPr="0016528A" w:rsidRDefault="00C8688F" w:rsidP="00A906BF">
      <w:pPr>
        <w:pStyle w:val="H23G"/>
        <w:rPr>
          <w:lang w:val="fr-FR"/>
        </w:rPr>
      </w:pPr>
      <w:r w:rsidRPr="0016528A">
        <w:rPr>
          <w:lang w:val="fr-FR"/>
        </w:rPr>
        <w:tab/>
      </w:r>
      <w:r w:rsidRPr="0016528A">
        <w:rPr>
          <w:lang w:val="fr-FR"/>
        </w:rPr>
        <w:tab/>
        <w:t>Résumé de la réponse de l</w:t>
      </w:r>
      <w:r>
        <w:rPr>
          <w:lang w:val="fr-FR"/>
        </w:rPr>
        <w:t>’</w:t>
      </w:r>
      <w:r w:rsidRPr="0016528A">
        <w:rPr>
          <w:lang w:val="fr-FR"/>
        </w:rPr>
        <w:t>État partie</w:t>
      </w:r>
    </w:p>
    <w:p w:rsidR="00C8688F" w:rsidRPr="0016528A" w:rsidRDefault="00C8688F" w:rsidP="00C8688F">
      <w:pPr>
        <w:pStyle w:val="SingleTxtG"/>
        <w:tabs>
          <w:tab w:val="left" w:pos="2552"/>
        </w:tabs>
        <w:ind w:firstLine="567"/>
        <w:rPr>
          <w:bCs/>
          <w:lang w:val="fr-FR"/>
        </w:rPr>
      </w:pPr>
      <w:r w:rsidRPr="0016528A">
        <w:rPr>
          <w:bCs/>
          <w:lang w:val="fr-FR"/>
        </w:rPr>
        <w:t>a) et b)</w:t>
      </w:r>
      <w:r>
        <w:rPr>
          <w:bCs/>
          <w:lang w:val="fr-FR"/>
        </w:rPr>
        <w:tab/>
      </w:r>
      <w:r w:rsidRPr="00EF7184">
        <w:rPr>
          <w:bCs/>
          <w:lang w:val="fr-FR"/>
        </w:rPr>
        <w:t>L</w:t>
      </w:r>
      <w:r>
        <w:rPr>
          <w:bCs/>
          <w:lang w:val="fr-FR"/>
        </w:rPr>
        <w:t>’</w:t>
      </w:r>
      <w:r w:rsidRPr="006053F7">
        <w:rPr>
          <w:bCs/>
          <w:lang w:val="fr-FR"/>
        </w:rPr>
        <w:t>État partie</w:t>
      </w:r>
      <w:r w:rsidRPr="0016528A">
        <w:rPr>
          <w:bCs/>
          <w:lang w:val="fr-FR"/>
        </w:rPr>
        <w:t xml:space="preserve"> </w:t>
      </w:r>
      <w:r>
        <w:rPr>
          <w:bCs/>
          <w:lang w:val="fr-FR"/>
        </w:rPr>
        <w:t>répète</w:t>
      </w:r>
      <w:r w:rsidRPr="0016528A">
        <w:rPr>
          <w:bCs/>
          <w:lang w:val="fr-FR"/>
        </w:rPr>
        <w:t xml:space="preserve"> les informations qu</w:t>
      </w:r>
      <w:r>
        <w:rPr>
          <w:bCs/>
          <w:lang w:val="fr-FR"/>
        </w:rPr>
        <w:t>’</w:t>
      </w:r>
      <w:r w:rsidRPr="0016528A">
        <w:rPr>
          <w:bCs/>
          <w:lang w:val="fr-FR"/>
        </w:rPr>
        <w:t>il a</w:t>
      </w:r>
      <w:r>
        <w:rPr>
          <w:bCs/>
          <w:lang w:val="fr-FR"/>
        </w:rPr>
        <w:t xml:space="preserve"> communiquées</w:t>
      </w:r>
      <w:r w:rsidRPr="0016528A">
        <w:rPr>
          <w:bCs/>
          <w:lang w:val="fr-FR"/>
        </w:rPr>
        <w:t xml:space="preserve"> dans ses réponses à la liste de points (</w:t>
      </w:r>
      <w:r w:rsidRPr="0016528A">
        <w:rPr>
          <w:lang w:val="fr-FR"/>
        </w:rPr>
        <w:t>CCPR/C/THA/Q/2/Add.1, par.</w:t>
      </w:r>
      <w:r w:rsidR="008D4179">
        <w:rPr>
          <w:lang w:val="fr-FR"/>
        </w:rPr>
        <w:t> </w:t>
      </w:r>
      <w:r w:rsidRPr="0016528A">
        <w:rPr>
          <w:lang w:val="fr-FR"/>
        </w:rPr>
        <w:t xml:space="preserve">51 et 52) au sujet du projet de loi sur la prévention et la répression de la torture et des disparitions forcées, et </w:t>
      </w:r>
      <w:r>
        <w:rPr>
          <w:lang w:val="fr-FR"/>
        </w:rPr>
        <w:t xml:space="preserve">fait savoir </w:t>
      </w:r>
      <w:r w:rsidRPr="0016528A">
        <w:rPr>
          <w:lang w:val="fr-FR"/>
        </w:rPr>
        <w:t>que ce projet de loi fait l</w:t>
      </w:r>
      <w:r>
        <w:rPr>
          <w:lang w:val="fr-FR"/>
        </w:rPr>
        <w:t>’</w:t>
      </w:r>
      <w:r w:rsidRPr="0016528A">
        <w:rPr>
          <w:lang w:val="fr-FR"/>
        </w:rPr>
        <w:t>objet de consultations publiques afin que les intérêts de toutes les parties prenantes soient pris en compte et que les procédures constitutionnelles soient respectées. Il s</w:t>
      </w:r>
      <w:r>
        <w:rPr>
          <w:lang w:val="fr-FR"/>
        </w:rPr>
        <w:t>’</w:t>
      </w:r>
      <w:r w:rsidRPr="0016528A">
        <w:rPr>
          <w:lang w:val="fr-FR"/>
        </w:rPr>
        <w:t>emplo</w:t>
      </w:r>
      <w:r>
        <w:rPr>
          <w:lang w:val="fr-FR"/>
        </w:rPr>
        <w:t>ie</w:t>
      </w:r>
      <w:r w:rsidRPr="0016528A">
        <w:rPr>
          <w:lang w:val="fr-FR"/>
        </w:rPr>
        <w:t xml:space="preserve"> à achever rapidement la version révisée du projet de loi afin de la soumettre au </w:t>
      </w:r>
      <w:r>
        <w:rPr>
          <w:lang w:val="fr-FR"/>
        </w:rPr>
        <w:t>Conseil des ministres</w:t>
      </w:r>
      <w:r w:rsidRPr="0016528A">
        <w:rPr>
          <w:lang w:val="fr-FR"/>
        </w:rPr>
        <w:t xml:space="preserve"> avant septembre 2018.</w:t>
      </w:r>
    </w:p>
    <w:p w:rsidR="00C8688F" w:rsidRPr="0016528A" w:rsidRDefault="00C8688F" w:rsidP="00C8688F">
      <w:pPr>
        <w:pStyle w:val="SingleTxtG"/>
        <w:ind w:firstLine="567"/>
        <w:rPr>
          <w:lang w:val="fr-FR"/>
        </w:rPr>
      </w:pPr>
      <w:r w:rsidRPr="0016528A">
        <w:rPr>
          <w:lang w:val="fr-FR"/>
        </w:rPr>
        <w:t>Le Comité national pour la gestion des affaires de torture et de disparition forcée</w:t>
      </w:r>
      <w:r>
        <w:rPr>
          <w:lang w:val="fr-FR"/>
        </w:rPr>
        <w:t>,</w:t>
      </w:r>
      <w:r w:rsidRPr="0016528A">
        <w:rPr>
          <w:lang w:val="fr-FR"/>
        </w:rPr>
        <w:t xml:space="preserve"> établi par l</w:t>
      </w:r>
      <w:r>
        <w:rPr>
          <w:lang w:val="fr-FR"/>
        </w:rPr>
        <w:t>’</w:t>
      </w:r>
      <w:r w:rsidRPr="0016528A">
        <w:rPr>
          <w:lang w:val="fr-FR"/>
        </w:rPr>
        <w:t>ordonnance n</w:t>
      </w:r>
      <w:r w:rsidRPr="0016528A">
        <w:rPr>
          <w:vertAlign w:val="superscript"/>
          <w:lang w:val="fr-FR"/>
        </w:rPr>
        <w:t>o</w:t>
      </w:r>
      <w:r w:rsidRPr="0016528A">
        <w:rPr>
          <w:lang w:val="fr-FR"/>
        </w:rPr>
        <w:t> 131/2560 du 23</w:t>
      </w:r>
      <w:r>
        <w:rPr>
          <w:lang w:val="fr-FR"/>
        </w:rPr>
        <w:t> </w:t>
      </w:r>
      <w:r w:rsidRPr="0016528A">
        <w:rPr>
          <w:lang w:val="fr-FR"/>
        </w:rPr>
        <w:t>mai 2017</w:t>
      </w:r>
      <w:r>
        <w:rPr>
          <w:lang w:val="fr-FR"/>
        </w:rPr>
        <w:t>,</w:t>
      </w:r>
      <w:r w:rsidRPr="0016528A">
        <w:rPr>
          <w:lang w:val="fr-FR"/>
        </w:rPr>
        <w:t xml:space="preserve"> est chargé de traiter les cas présumés de torture et de disparition forcée et d</w:t>
      </w:r>
      <w:r>
        <w:rPr>
          <w:lang w:val="fr-FR"/>
        </w:rPr>
        <w:t>’</w:t>
      </w:r>
      <w:r w:rsidRPr="0016528A">
        <w:rPr>
          <w:lang w:val="fr-FR"/>
        </w:rPr>
        <w:t>empêcher que de tels actes se reproduisent. Il</w:t>
      </w:r>
      <w:r w:rsidR="008D4179">
        <w:rPr>
          <w:lang w:val="fr-FR"/>
        </w:rPr>
        <w:t> </w:t>
      </w:r>
      <w:r w:rsidRPr="0016528A">
        <w:rPr>
          <w:lang w:val="fr-FR"/>
        </w:rPr>
        <w:t xml:space="preserve">examine toutes les allégations de torture et de disparition forcée et détermine si les faits </w:t>
      </w:r>
      <w:r>
        <w:rPr>
          <w:lang w:val="fr-FR"/>
        </w:rPr>
        <w:t>en cause</w:t>
      </w:r>
      <w:r w:rsidRPr="0016528A">
        <w:rPr>
          <w:lang w:val="fr-FR"/>
        </w:rPr>
        <w:t xml:space="preserve"> constituent des actes de torture ou de disparition forcée au sens des </w:t>
      </w:r>
      <w:r>
        <w:rPr>
          <w:lang w:val="fr-FR"/>
        </w:rPr>
        <w:t>instruments</w:t>
      </w:r>
      <w:r w:rsidRPr="0016528A">
        <w:rPr>
          <w:lang w:val="fr-FR"/>
        </w:rPr>
        <w:t xml:space="preserve"> correspondants. Tout agent public ayant commis de tels actes </w:t>
      </w:r>
      <w:r>
        <w:rPr>
          <w:lang w:val="fr-FR"/>
        </w:rPr>
        <w:t>est</w:t>
      </w:r>
      <w:r w:rsidRPr="0016528A">
        <w:rPr>
          <w:lang w:val="fr-FR"/>
        </w:rPr>
        <w:t xml:space="preserve"> poursuivi conformément à la loi. Aucune immunité </w:t>
      </w:r>
      <w:r>
        <w:rPr>
          <w:lang w:val="fr-FR"/>
        </w:rPr>
        <w:t xml:space="preserve">n’est accordée et aucune </w:t>
      </w:r>
      <w:r w:rsidRPr="0016528A">
        <w:rPr>
          <w:lang w:val="fr-FR"/>
        </w:rPr>
        <w:t>exception n</w:t>
      </w:r>
      <w:r>
        <w:rPr>
          <w:lang w:val="fr-FR"/>
        </w:rPr>
        <w:t>’est fait</w:t>
      </w:r>
      <w:r w:rsidRPr="0016528A">
        <w:rPr>
          <w:lang w:val="fr-FR"/>
        </w:rPr>
        <w:t>e.</w:t>
      </w:r>
    </w:p>
    <w:p w:rsidR="00C8688F" w:rsidRPr="0016528A" w:rsidRDefault="00C8688F" w:rsidP="00C8688F">
      <w:pPr>
        <w:pStyle w:val="SingleTxtG"/>
        <w:ind w:firstLine="567"/>
        <w:rPr>
          <w:lang w:val="fr-FR"/>
        </w:rPr>
      </w:pPr>
      <w:bookmarkStart w:id="4" w:name="_Hlk43103837"/>
      <w:r w:rsidRPr="004E383D">
        <w:rPr>
          <w:lang w:val="fr-FR"/>
        </w:rPr>
        <w:lastRenderedPageBreak/>
        <w:t>Le 11 juillet 2018, il a été annoncé au Journal officiel du Royaume qu</w:t>
      </w:r>
      <w:r>
        <w:rPr>
          <w:lang w:val="fr-FR"/>
        </w:rPr>
        <w:t xml:space="preserve">e </w:t>
      </w:r>
      <w:r w:rsidRPr="004E383D">
        <w:rPr>
          <w:lang w:val="fr-FR"/>
        </w:rPr>
        <w:t xml:space="preserve">la disparition de </w:t>
      </w:r>
      <w:proofErr w:type="spellStart"/>
      <w:r w:rsidRPr="004E383D">
        <w:rPr>
          <w:lang w:val="fr-FR"/>
        </w:rPr>
        <w:t>Porlajee</w:t>
      </w:r>
      <w:proofErr w:type="spellEnd"/>
      <w:r w:rsidRPr="004E383D">
        <w:rPr>
          <w:lang w:val="fr-FR"/>
        </w:rPr>
        <w:t xml:space="preserve"> « Billy » </w:t>
      </w:r>
      <w:proofErr w:type="spellStart"/>
      <w:r w:rsidRPr="004E383D">
        <w:rPr>
          <w:lang w:val="fr-FR"/>
        </w:rPr>
        <w:t>Rakchongcharoen</w:t>
      </w:r>
      <w:proofErr w:type="spellEnd"/>
      <w:r w:rsidRPr="004E383D">
        <w:rPr>
          <w:lang w:val="fr-FR"/>
        </w:rPr>
        <w:t xml:space="preserve"> </w:t>
      </w:r>
      <w:r>
        <w:rPr>
          <w:lang w:val="fr-FR"/>
        </w:rPr>
        <w:t>était une affaire exceptionnelle qui faisait l’objet d’une enquête confiée au</w:t>
      </w:r>
      <w:r w:rsidRPr="007765EA">
        <w:rPr>
          <w:lang w:val="fr-FR"/>
        </w:rPr>
        <w:t xml:space="preserve"> </w:t>
      </w:r>
      <w:r w:rsidRPr="004E383D">
        <w:rPr>
          <w:lang w:val="fr-FR"/>
        </w:rPr>
        <w:t>Département des enquêtes spéciales du Ministère de la justice</w:t>
      </w:r>
      <w:r w:rsidR="008D4179">
        <w:rPr>
          <w:lang w:val="fr-FR"/>
        </w:rPr>
        <w:t> </w:t>
      </w:r>
      <w:r>
        <w:rPr>
          <w:lang w:val="fr-FR"/>
        </w:rPr>
        <w:t>;</w:t>
      </w:r>
    </w:p>
    <w:bookmarkEnd w:id="4"/>
    <w:p w:rsidR="00C8688F" w:rsidRPr="0016528A" w:rsidRDefault="00C8688F" w:rsidP="00C8688F">
      <w:pPr>
        <w:pStyle w:val="SingleTxtG"/>
        <w:ind w:firstLine="567"/>
        <w:rPr>
          <w:lang w:val="fr-FR"/>
        </w:rPr>
      </w:pPr>
      <w:r w:rsidRPr="0016528A">
        <w:rPr>
          <w:lang w:val="fr-FR"/>
        </w:rPr>
        <w:t>c)</w:t>
      </w:r>
      <w:r w:rsidRPr="0016528A">
        <w:rPr>
          <w:lang w:val="fr-FR"/>
        </w:rPr>
        <w:tab/>
        <w:t>L</w:t>
      </w:r>
      <w:r>
        <w:rPr>
          <w:lang w:val="fr-FR"/>
        </w:rPr>
        <w:t>’</w:t>
      </w:r>
      <w:r w:rsidRPr="0016528A">
        <w:rPr>
          <w:lang w:val="fr-FR"/>
        </w:rPr>
        <w:t xml:space="preserve">État partie </w:t>
      </w:r>
      <w:r>
        <w:rPr>
          <w:lang w:val="fr-FR"/>
        </w:rPr>
        <w:t>renvoie à</w:t>
      </w:r>
      <w:r w:rsidRPr="0016528A">
        <w:rPr>
          <w:lang w:val="fr-FR"/>
        </w:rPr>
        <w:t xml:space="preserve"> la </w:t>
      </w:r>
      <w:r>
        <w:rPr>
          <w:lang w:val="fr-FR"/>
        </w:rPr>
        <w:t>législation</w:t>
      </w:r>
      <w:r w:rsidRPr="0016528A">
        <w:rPr>
          <w:lang w:val="fr-FR"/>
        </w:rPr>
        <w:t xml:space="preserve"> relative aux réparations pour les victimes de violations des droits de l</w:t>
      </w:r>
      <w:r>
        <w:rPr>
          <w:lang w:val="fr-FR"/>
        </w:rPr>
        <w:t>’</w:t>
      </w:r>
      <w:r w:rsidRPr="0016528A">
        <w:rPr>
          <w:lang w:val="fr-FR"/>
        </w:rPr>
        <w:t xml:space="preserve">homme. Les dispositions de cette </w:t>
      </w:r>
      <w:r>
        <w:rPr>
          <w:lang w:val="fr-FR"/>
        </w:rPr>
        <w:t xml:space="preserve">législation </w:t>
      </w:r>
      <w:r w:rsidRPr="0016528A">
        <w:rPr>
          <w:lang w:val="fr-FR"/>
        </w:rPr>
        <w:t>ont un caractère complémentaire ; elles prévoient une aide financière, notamment le paiement des frais médicaux et des frais de réadaptation physique et psychologique, une indemnisation pour perte de revenus et une indemnisation en cas de décès.</w:t>
      </w:r>
    </w:p>
    <w:p w:rsidR="00C8688F" w:rsidRPr="0016528A" w:rsidRDefault="00C8688F" w:rsidP="00C8688F">
      <w:pPr>
        <w:pStyle w:val="SingleTxtG"/>
        <w:ind w:firstLine="567"/>
        <w:rPr>
          <w:lang w:val="fr-FR"/>
        </w:rPr>
      </w:pPr>
      <w:r w:rsidRPr="0016528A">
        <w:rPr>
          <w:lang w:val="fr-FR"/>
        </w:rPr>
        <w:t>Lancé le 6</w:t>
      </w:r>
      <w:r>
        <w:rPr>
          <w:lang w:val="fr-FR"/>
        </w:rPr>
        <w:t> </w:t>
      </w:r>
      <w:r w:rsidRPr="0016528A">
        <w:rPr>
          <w:lang w:val="fr-FR"/>
        </w:rPr>
        <w:t xml:space="preserve">avril 2018, le </w:t>
      </w:r>
      <w:r w:rsidR="008D4179">
        <w:rPr>
          <w:lang w:val="fr-FR"/>
        </w:rPr>
        <w:t>P</w:t>
      </w:r>
      <w:r w:rsidRPr="0016528A">
        <w:rPr>
          <w:lang w:val="fr-FR"/>
        </w:rPr>
        <w:t>lan national de réforme du système judiciaire constitue un cadre stratégique pour la création d</w:t>
      </w:r>
      <w:r>
        <w:rPr>
          <w:lang w:val="fr-FR"/>
        </w:rPr>
        <w:t>’</w:t>
      </w:r>
      <w:r w:rsidRPr="0016528A">
        <w:rPr>
          <w:lang w:val="fr-FR"/>
        </w:rPr>
        <w:t xml:space="preserve">un mécanisme destiné à faciliter et </w:t>
      </w:r>
      <w:r>
        <w:rPr>
          <w:lang w:val="fr-FR"/>
        </w:rPr>
        <w:t xml:space="preserve">à </w:t>
      </w:r>
      <w:r w:rsidRPr="0016528A">
        <w:rPr>
          <w:lang w:val="fr-FR"/>
        </w:rPr>
        <w:t>renforcer</w:t>
      </w:r>
      <w:r>
        <w:rPr>
          <w:lang w:val="fr-FR"/>
        </w:rPr>
        <w:t xml:space="preserve"> encore</w:t>
      </w:r>
      <w:r w:rsidRPr="0016528A">
        <w:rPr>
          <w:lang w:val="fr-FR"/>
        </w:rPr>
        <w:t xml:space="preserve"> l</w:t>
      </w:r>
      <w:r>
        <w:rPr>
          <w:lang w:val="fr-FR"/>
        </w:rPr>
        <w:t>’</w:t>
      </w:r>
      <w:r w:rsidRPr="0016528A">
        <w:rPr>
          <w:lang w:val="fr-FR"/>
        </w:rPr>
        <w:t>accès à la justice en Thaïlande pour la période 2018</w:t>
      </w:r>
      <w:r w:rsidR="008D4179">
        <w:rPr>
          <w:lang w:val="fr-FR"/>
        </w:rPr>
        <w:noBreakHyphen/>
      </w:r>
      <w:r w:rsidRPr="0016528A">
        <w:rPr>
          <w:lang w:val="fr-FR"/>
        </w:rPr>
        <w:t>2021. Il met l</w:t>
      </w:r>
      <w:r>
        <w:rPr>
          <w:lang w:val="fr-FR"/>
        </w:rPr>
        <w:t>’</w:t>
      </w:r>
      <w:r w:rsidRPr="0016528A">
        <w:rPr>
          <w:lang w:val="fr-FR"/>
        </w:rPr>
        <w:t>accent sur la nécessité d</w:t>
      </w:r>
      <w:r>
        <w:rPr>
          <w:lang w:val="fr-FR"/>
        </w:rPr>
        <w:t>’</w:t>
      </w:r>
      <w:r w:rsidRPr="0016528A">
        <w:rPr>
          <w:lang w:val="fr-FR"/>
        </w:rPr>
        <w:t>assurer une protection suffisante en temps voulu</w:t>
      </w:r>
      <w:r>
        <w:rPr>
          <w:lang w:val="fr-FR"/>
        </w:rPr>
        <w:t xml:space="preserve"> tant aux</w:t>
      </w:r>
      <w:r w:rsidRPr="0016528A">
        <w:rPr>
          <w:lang w:val="fr-FR"/>
        </w:rPr>
        <w:t xml:space="preserve"> victimes </w:t>
      </w:r>
      <w:r>
        <w:rPr>
          <w:lang w:val="fr-FR"/>
        </w:rPr>
        <w:t>qu’aux</w:t>
      </w:r>
      <w:r w:rsidRPr="0016528A">
        <w:rPr>
          <w:lang w:val="fr-FR"/>
        </w:rPr>
        <w:t xml:space="preserve"> témoins </w:t>
      </w:r>
      <w:r>
        <w:rPr>
          <w:lang w:val="fr-FR"/>
        </w:rPr>
        <w:t xml:space="preserve">qui interviennent </w:t>
      </w:r>
      <w:r w:rsidRPr="0016528A">
        <w:rPr>
          <w:lang w:val="fr-FR"/>
        </w:rPr>
        <w:t xml:space="preserve">dans </w:t>
      </w:r>
      <w:r>
        <w:rPr>
          <w:lang w:val="fr-FR"/>
        </w:rPr>
        <w:t>d</w:t>
      </w:r>
      <w:r w:rsidRPr="0016528A">
        <w:rPr>
          <w:lang w:val="fr-FR"/>
        </w:rPr>
        <w:t>es affaires pénales, d</w:t>
      </w:r>
      <w:r>
        <w:rPr>
          <w:lang w:val="fr-FR"/>
        </w:rPr>
        <w:t>’</w:t>
      </w:r>
      <w:r w:rsidRPr="0016528A">
        <w:rPr>
          <w:lang w:val="fr-FR"/>
        </w:rPr>
        <w:t>améliorer le</w:t>
      </w:r>
      <w:r>
        <w:rPr>
          <w:lang w:val="fr-FR"/>
        </w:rPr>
        <w:t>ur</w:t>
      </w:r>
      <w:r w:rsidRPr="0016528A">
        <w:rPr>
          <w:lang w:val="fr-FR"/>
        </w:rPr>
        <w:t xml:space="preserve"> rétablissement physique et psychologique et de </w:t>
      </w:r>
      <w:r>
        <w:rPr>
          <w:lang w:val="fr-FR"/>
        </w:rPr>
        <w:t xml:space="preserve">leur </w:t>
      </w:r>
      <w:r w:rsidRPr="0016528A">
        <w:rPr>
          <w:lang w:val="fr-FR"/>
        </w:rPr>
        <w:t>faciliter</w:t>
      </w:r>
      <w:r>
        <w:rPr>
          <w:lang w:val="fr-FR"/>
        </w:rPr>
        <w:t xml:space="preserve">, de manière générale, </w:t>
      </w:r>
      <w:r w:rsidRPr="0016528A">
        <w:rPr>
          <w:lang w:val="fr-FR"/>
        </w:rPr>
        <w:t>l</w:t>
      </w:r>
      <w:r>
        <w:rPr>
          <w:lang w:val="fr-FR"/>
        </w:rPr>
        <w:t>’</w:t>
      </w:r>
      <w:r w:rsidRPr="0016528A">
        <w:rPr>
          <w:lang w:val="fr-FR"/>
        </w:rPr>
        <w:t xml:space="preserve">accès </w:t>
      </w:r>
      <w:r>
        <w:rPr>
          <w:lang w:val="fr-FR"/>
        </w:rPr>
        <w:t>à des</w:t>
      </w:r>
      <w:r w:rsidRPr="0016528A">
        <w:rPr>
          <w:lang w:val="fr-FR"/>
        </w:rPr>
        <w:t xml:space="preserve"> recours.</w:t>
      </w:r>
    </w:p>
    <w:p w:rsidR="00C8688F" w:rsidRPr="0016528A" w:rsidRDefault="00C8688F" w:rsidP="00C8688F">
      <w:pPr>
        <w:pStyle w:val="SingleTxtG"/>
        <w:ind w:firstLine="567"/>
        <w:rPr>
          <w:lang w:val="fr-FR"/>
        </w:rPr>
      </w:pPr>
      <w:r w:rsidRPr="0016528A">
        <w:rPr>
          <w:lang w:val="fr-FR"/>
        </w:rPr>
        <w:t>En mars 2018, 46</w:t>
      </w:r>
      <w:r w:rsidR="008D4179">
        <w:rPr>
          <w:lang w:val="fr-FR"/>
        </w:rPr>
        <w:t> </w:t>
      </w:r>
      <w:r w:rsidRPr="0016528A">
        <w:rPr>
          <w:lang w:val="fr-FR"/>
        </w:rPr>
        <w:t xml:space="preserve">personnes avaient été indemnisées. </w:t>
      </w:r>
      <w:r>
        <w:rPr>
          <w:lang w:val="fr-FR"/>
        </w:rPr>
        <w:t>L</w:t>
      </w:r>
      <w:r w:rsidRPr="0016528A">
        <w:rPr>
          <w:lang w:val="fr-FR"/>
        </w:rPr>
        <w:t>e Centre administratif des provinces frontalières du sud a aussi lancé un projet visant à améliorer la qualité de vie des famille</w:t>
      </w:r>
      <w:r>
        <w:rPr>
          <w:lang w:val="fr-FR"/>
        </w:rPr>
        <w:t>s</w:t>
      </w:r>
      <w:r w:rsidRPr="0016528A">
        <w:rPr>
          <w:lang w:val="fr-FR"/>
        </w:rPr>
        <w:t xml:space="preserve"> de</w:t>
      </w:r>
      <w:r>
        <w:rPr>
          <w:lang w:val="fr-FR"/>
        </w:rPr>
        <w:t xml:space="preserve"> personnes ayant été </w:t>
      </w:r>
      <w:r w:rsidRPr="0016528A">
        <w:rPr>
          <w:lang w:val="fr-FR"/>
        </w:rPr>
        <w:t>victime</w:t>
      </w:r>
      <w:r>
        <w:rPr>
          <w:lang w:val="fr-FR"/>
        </w:rPr>
        <w:t xml:space="preserve">s d’atteinte à leur intégrité physique </w:t>
      </w:r>
      <w:r w:rsidRPr="0016528A">
        <w:rPr>
          <w:lang w:val="fr-FR"/>
        </w:rPr>
        <w:t>et à fournir</w:t>
      </w:r>
      <w:r>
        <w:rPr>
          <w:lang w:val="fr-FR"/>
        </w:rPr>
        <w:t xml:space="preserve"> à ces familles</w:t>
      </w:r>
      <w:r w:rsidRPr="0016528A">
        <w:rPr>
          <w:lang w:val="fr-FR"/>
        </w:rPr>
        <w:t xml:space="preserve"> une aide humanitaire. En mars 2018, 26 </w:t>
      </w:r>
      <w:r>
        <w:rPr>
          <w:lang w:val="fr-FR"/>
        </w:rPr>
        <w:t>d’entre elles</w:t>
      </w:r>
      <w:r w:rsidRPr="0016528A">
        <w:rPr>
          <w:lang w:val="fr-FR"/>
        </w:rPr>
        <w:t xml:space="preserve"> avaient reçu une assistance. Dans le même ordre d</w:t>
      </w:r>
      <w:r>
        <w:rPr>
          <w:lang w:val="fr-FR"/>
        </w:rPr>
        <w:t>’</w:t>
      </w:r>
      <w:r w:rsidRPr="0016528A">
        <w:rPr>
          <w:lang w:val="fr-FR"/>
        </w:rPr>
        <w:t>idées, la Direction des opérations de sécurité intérieure verse une allocation mensuelle de soutien aux familles des personnes décédées et aux victimes qui présentent un handicap</w:t>
      </w:r>
      <w:r>
        <w:rPr>
          <w:lang w:val="fr-FR"/>
        </w:rPr>
        <w:t> ;</w:t>
      </w:r>
    </w:p>
    <w:p w:rsidR="00C8688F" w:rsidRPr="0016528A" w:rsidRDefault="00C8688F" w:rsidP="00C8688F">
      <w:pPr>
        <w:pStyle w:val="SingleTxtG"/>
        <w:ind w:firstLine="567"/>
        <w:rPr>
          <w:lang w:val="fr-FR"/>
        </w:rPr>
      </w:pPr>
      <w:r w:rsidRPr="0016528A">
        <w:rPr>
          <w:lang w:val="fr-FR"/>
        </w:rPr>
        <w:t>d)</w:t>
      </w:r>
      <w:r w:rsidRPr="0016528A">
        <w:rPr>
          <w:lang w:val="fr-FR"/>
        </w:rPr>
        <w:tab/>
        <w:t>Aucune information n</w:t>
      </w:r>
      <w:r>
        <w:rPr>
          <w:lang w:val="fr-FR"/>
        </w:rPr>
        <w:t>’</w:t>
      </w:r>
      <w:r w:rsidRPr="0016528A">
        <w:rPr>
          <w:lang w:val="fr-FR"/>
        </w:rPr>
        <w:t xml:space="preserve">a été </w:t>
      </w:r>
      <w:r>
        <w:rPr>
          <w:lang w:val="fr-FR"/>
        </w:rPr>
        <w:t>communiquée ;</w:t>
      </w:r>
    </w:p>
    <w:p w:rsidR="00C8688F" w:rsidRPr="0016528A" w:rsidRDefault="00C8688F" w:rsidP="00C8688F">
      <w:pPr>
        <w:pStyle w:val="SingleTxtG"/>
        <w:ind w:firstLine="567"/>
        <w:rPr>
          <w:lang w:val="fr-FR"/>
        </w:rPr>
      </w:pPr>
      <w:r w:rsidRPr="0016528A">
        <w:rPr>
          <w:lang w:val="fr-FR"/>
        </w:rPr>
        <w:t>e)</w:t>
      </w:r>
      <w:r w:rsidRPr="0016528A">
        <w:rPr>
          <w:lang w:val="fr-FR"/>
        </w:rPr>
        <w:tab/>
        <w:t>Aucune information n</w:t>
      </w:r>
      <w:r>
        <w:rPr>
          <w:lang w:val="fr-FR"/>
        </w:rPr>
        <w:t>’</w:t>
      </w:r>
      <w:r w:rsidRPr="0016528A">
        <w:rPr>
          <w:lang w:val="fr-FR"/>
        </w:rPr>
        <w:t xml:space="preserve">a été </w:t>
      </w:r>
      <w:r>
        <w:rPr>
          <w:lang w:val="fr-FR"/>
        </w:rPr>
        <w:t>communiquée ;</w:t>
      </w:r>
    </w:p>
    <w:p w:rsidR="00C8688F" w:rsidRPr="0016528A" w:rsidRDefault="00C8688F" w:rsidP="00C8688F">
      <w:pPr>
        <w:pStyle w:val="SingleTxtG"/>
        <w:ind w:firstLine="567"/>
        <w:rPr>
          <w:lang w:val="fr-FR"/>
        </w:rPr>
      </w:pPr>
      <w:r w:rsidRPr="0016528A">
        <w:rPr>
          <w:lang w:val="fr-FR"/>
        </w:rPr>
        <w:t>f)</w:t>
      </w:r>
      <w:r w:rsidRPr="0016528A">
        <w:rPr>
          <w:lang w:val="fr-FR"/>
        </w:rPr>
        <w:tab/>
        <w:t>Depuis 2017, le Ministère de la justice organise des formation</w:t>
      </w:r>
      <w:r>
        <w:rPr>
          <w:lang w:val="fr-FR"/>
        </w:rPr>
        <w:t>s</w:t>
      </w:r>
      <w:r w:rsidRPr="0016528A">
        <w:rPr>
          <w:lang w:val="fr-FR"/>
        </w:rPr>
        <w:t xml:space="preserve"> à l</w:t>
      </w:r>
      <w:r>
        <w:rPr>
          <w:lang w:val="fr-FR"/>
        </w:rPr>
        <w:t>’</w:t>
      </w:r>
      <w:r w:rsidRPr="0016528A">
        <w:rPr>
          <w:lang w:val="fr-FR"/>
        </w:rPr>
        <w:t>intention des soldats, policiers, agents administratifs, volontaires et fonctionnaires des ministères. En</w:t>
      </w:r>
      <w:r w:rsidR="008D4179">
        <w:rPr>
          <w:lang w:val="fr-FR"/>
        </w:rPr>
        <w:t> </w:t>
      </w:r>
      <w:r w:rsidRPr="0016528A">
        <w:rPr>
          <w:lang w:val="fr-FR"/>
        </w:rPr>
        <w:t>2017, 1</w:t>
      </w:r>
      <w:r w:rsidR="008D4179">
        <w:rPr>
          <w:lang w:val="fr-FR"/>
        </w:rPr>
        <w:t> </w:t>
      </w:r>
      <w:r w:rsidRPr="0016528A">
        <w:rPr>
          <w:lang w:val="fr-FR"/>
        </w:rPr>
        <w:t>920</w:t>
      </w:r>
      <w:r w:rsidR="008D4179">
        <w:rPr>
          <w:lang w:val="fr-FR"/>
        </w:rPr>
        <w:t> </w:t>
      </w:r>
      <w:r w:rsidRPr="0016528A">
        <w:rPr>
          <w:lang w:val="fr-FR"/>
        </w:rPr>
        <w:t xml:space="preserve">personnes </w:t>
      </w:r>
      <w:r>
        <w:rPr>
          <w:lang w:val="fr-FR"/>
        </w:rPr>
        <w:t>ont</w:t>
      </w:r>
      <w:r w:rsidRPr="0016528A">
        <w:rPr>
          <w:lang w:val="fr-FR"/>
        </w:rPr>
        <w:t xml:space="preserve"> suivi une formation, et quelque 1</w:t>
      </w:r>
      <w:r w:rsidR="008D4179">
        <w:rPr>
          <w:lang w:val="fr-FR"/>
        </w:rPr>
        <w:t> </w:t>
      </w:r>
      <w:r w:rsidRPr="0016528A">
        <w:rPr>
          <w:lang w:val="fr-FR"/>
        </w:rPr>
        <w:t>440</w:t>
      </w:r>
      <w:r w:rsidR="008D4179">
        <w:rPr>
          <w:lang w:val="fr-FR"/>
        </w:rPr>
        <w:t> </w:t>
      </w:r>
      <w:r w:rsidRPr="0016528A">
        <w:rPr>
          <w:lang w:val="fr-FR"/>
        </w:rPr>
        <w:t>autres devaient faire de même en 2018.</w:t>
      </w:r>
    </w:p>
    <w:p w:rsidR="00C8688F" w:rsidRPr="0016528A" w:rsidRDefault="00C8688F" w:rsidP="00C8688F">
      <w:pPr>
        <w:pStyle w:val="SingleTxtG"/>
        <w:ind w:firstLine="567"/>
        <w:rPr>
          <w:lang w:val="fr-FR"/>
        </w:rPr>
      </w:pPr>
      <w:r w:rsidRPr="0016528A">
        <w:rPr>
          <w:lang w:val="fr-FR"/>
        </w:rPr>
        <w:t>L</w:t>
      </w:r>
      <w:r>
        <w:rPr>
          <w:lang w:val="fr-FR"/>
        </w:rPr>
        <w:t>’</w:t>
      </w:r>
      <w:r w:rsidRPr="0016528A">
        <w:rPr>
          <w:lang w:val="fr-FR"/>
        </w:rPr>
        <w:t xml:space="preserve">État partie </w:t>
      </w:r>
      <w:r>
        <w:rPr>
          <w:lang w:val="fr-FR"/>
        </w:rPr>
        <w:t xml:space="preserve">évoque </w:t>
      </w:r>
      <w:r w:rsidRPr="0016528A">
        <w:rPr>
          <w:lang w:val="fr-FR"/>
        </w:rPr>
        <w:t>les formations dispensées par</w:t>
      </w:r>
      <w:r>
        <w:rPr>
          <w:lang w:val="fr-FR"/>
        </w:rPr>
        <w:t xml:space="preserve"> : </w:t>
      </w:r>
      <w:r w:rsidRPr="0016528A">
        <w:rPr>
          <w:lang w:val="fr-FR"/>
        </w:rPr>
        <w:t>la Direction des opérations de sécurité intérieure</w:t>
      </w:r>
      <w:r>
        <w:rPr>
          <w:lang w:val="fr-FR"/>
        </w:rPr>
        <w:t> ;</w:t>
      </w:r>
      <w:r w:rsidRPr="0016528A">
        <w:rPr>
          <w:lang w:val="fr-FR"/>
        </w:rPr>
        <w:t xml:space="preserve"> le Ministère de la défense, en collaboration avec la Commission nationale des droits de l</w:t>
      </w:r>
      <w:r>
        <w:rPr>
          <w:lang w:val="fr-FR"/>
        </w:rPr>
        <w:t>’</w:t>
      </w:r>
      <w:r w:rsidRPr="0016528A">
        <w:rPr>
          <w:lang w:val="fr-FR"/>
        </w:rPr>
        <w:t xml:space="preserve">homme, la </w:t>
      </w:r>
      <w:r w:rsidR="008147A6">
        <w:rPr>
          <w:lang w:val="fr-FR"/>
        </w:rPr>
        <w:t>P</w:t>
      </w:r>
      <w:r w:rsidRPr="0016528A">
        <w:rPr>
          <w:lang w:val="fr-FR"/>
        </w:rPr>
        <w:t>olice royale thaïlandaise, le Ministère de la justice et</w:t>
      </w:r>
      <w:r>
        <w:rPr>
          <w:lang w:val="fr-FR"/>
        </w:rPr>
        <w:t xml:space="preserve"> </w:t>
      </w:r>
      <w:r w:rsidRPr="0016528A">
        <w:rPr>
          <w:lang w:val="fr-FR"/>
        </w:rPr>
        <w:t>la Direction des opérations de sécurité intérieure</w:t>
      </w:r>
      <w:r>
        <w:rPr>
          <w:lang w:val="fr-FR"/>
        </w:rPr>
        <w:t> ;</w:t>
      </w:r>
      <w:r w:rsidRPr="0016528A">
        <w:rPr>
          <w:lang w:val="fr-FR"/>
        </w:rPr>
        <w:t xml:space="preserve"> le Ministère des affaires étrangères.</w:t>
      </w:r>
    </w:p>
    <w:p w:rsidR="00C8688F" w:rsidRPr="0016528A" w:rsidRDefault="00C8688F" w:rsidP="008147A6">
      <w:pPr>
        <w:pStyle w:val="H23G"/>
        <w:rPr>
          <w:lang w:val="fr-FR"/>
        </w:rPr>
      </w:pPr>
      <w:r w:rsidRPr="0016528A">
        <w:rPr>
          <w:lang w:val="fr-FR"/>
        </w:rPr>
        <w:tab/>
      </w:r>
      <w:r w:rsidRPr="0016528A">
        <w:rPr>
          <w:lang w:val="fr-FR"/>
        </w:rPr>
        <w:tab/>
        <w:t>Informations émanant d</w:t>
      </w:r>
      <w:r>
        <w:rPr>
          <w:lang w:val="fr-FR"/>
        </w:rPr>
        <w:t>’</w:t>
      </w:r>
      <w:r w:rsidRPr="0016528A">
        <w:rPr>
          <w:lang w:val="fr-FR"/>
        </w:rPr>
        <w:t>organisations non gouvernementales</w:t>
      </w:r>
    </w:p>
    <w:p w:rsidR="00C8688F" w:rsidRPr="0016528A" w:rsidRDefault="00C8688F" w:rsidP="008147A6">
      <w:pPr>
        <w:pStyle w:val="H4G"/>
        <w:rPr>
          <w:lang w:val="fr-FR"/>
        </w:rPr>
      </w:pPr>
      <w:r w:rsidRPr="0016528A">
        <w:rPr>
          <w:lang w:val="fr-FR"/>
        </w:rPr>
        <w:tab/>
      </w:r>
      <w:r w:rsidRPr="0016528A">
        <w:rPr>
          <w:lang w:val="fr-FR"/>
        </w:rPr>
        <w:tab/>
        <w:t>Communication conjointe</w:t>
      </w:r>
      <w:r>
        <w:rPr>
          <w:lang w:val="fr-FR"/>
        </w:rPr>
        <w:t xml:space="preserve"> : </w:t>
      </w:r>
      <w:r w:rsidRPr="0016528A">
        <w:rPr>
          <w:lang w:val="fr-FR"/>
        </w:rPr>
        <w:t>Fédération internationale des ligues des droits de l</w:t>
      </w:r>
      <w:r>
        <w:rPr>
          <w:lang w:val="fr-FR"/>
        </w:rPr>
        <w:t>’</w:t>
      </w:r>
      <w:r w:rsidRPr="0016528A">
        <w:rPr>
          <w:lang w:val="fr-FR"/>
        </w:rPr>
        <w:t xml:space="preserve">homme, Union for Civil Liberty et </w:t>
      </w:r>
      <w:proofErr w:type="spellStart"/>
      <w:r>
        <w:rPr>
          <w:lang w:val="fr-FR"/>
        </w:rPr>
        <w:t>i</w:t>
      </w:r>
      <w:r w:rsidRPr="0016528A">
        <w:rPr>
          <w:lang w:val="fr-FR"/>
        </w:rPr>
        <w:t>Law</w:t>
      </w:r>
      <w:proofErr w:type="spellEnd"/>
    </w:p>
    <w:p w:rsidR="00C8688F" w:rsidRPr="0016528A" w:rsidRDefault="00C8688F" w:rsidP="00C8688F">
      <w:pPr>
        <w:pStyle w:val="SingleTxtG"/>
        <w:ind w:firstLine="567"/>
        <w:rPr>
          <w:lang w:val="fr-FR"/>
        </w:rPr>
      </w:pPr>
      <w:r w:rsidRPr="0016528A">
        <w:rPr>
          <w:lang w:val="fr-FR"/>
        </w:rPr>
        <w:t>a)</w:t>
      </w:r>
      <w:r w:rsidRPr="0016528A">
        <w:rPr>
          <w:lang w:val="fr-FR"/>
        </w:rPr>
        <w:tab/>
        <w:t>Les autorités n</w:t>
      </w:r>
      <w:r>
        <w:rPr>
          <w:lang w:val="fr-FR"/>
        </w:rPr>
        <w:t>’</w:t>
      </w:r>
      <w:r w:rsidRPr="0016528A">
        <w:rPr>
          <w:lang w:val="fr-FR"/>
        </w:rPr>
        <w:t xml:space="preserve">ont pas adopté de mesures propres à garantir que des enquêtes approfondies, fiables et impartiales soient menées </w:t>
      </w:r>
      <w:r>
        <w:rPr>
          <w:lang w:val="fr-FR"/>
        </w:rPr>
        <w:t xml:space="preserve">sans délai </w:t>
      </w:r>
      <w:r w:rsidRPr="0016528A">
        <w:rPr>
          <w:lang w:val="fr-FR"/>
        </w:rPr>
        <w:t>sur toutes les allégations</w:t>
      </w:r>
      <w:r>
        <w:rPr>
          <w:lang w:val="fr-FR"/>
        </w:rPr>
        <w:t xml:space="preserve"> de torture, de disparition forcée et d’exécution </w:t>
      </w:r>
      <w:proofErr w:type="spellStart"/>
      <w:r>
        <w:rPr>
          <w:lang w:val="fr-FR"/>
        </w:rPr>
        <w:t>extrajudiciaire</w:t>
      </w:r>
      <w:proofErr w:type="spellEnd"/>
      <w:r w:rsidRPr="0016528A">
        <w:rPr>
          <w:lang w:val="fr-FR"/>
        </w:rPr>
        <w:t>, ce qui renforce le climat d</w:t>
      </w:r>
      <w:r>
        <w:rPr>
          <w:lang w:val="fr-FR"/>
        </w:rPr>
        <w:t>’</w:t>
      </w:r>
      <w:r w:rsidRPr="0016528A">
        <w:rPr>
          <w:lang w:val="fr-FR"/>
        </w:rPr>
        <w:t>impunité entourant ces infractions.</w:t>
      </w:r>
    </w:p>
    <w:p w:rsidR="00C8688F" w:rsidRPr="0016528A" w:rsidRDefault="00C8688F" w:rsidP="00C8688F">
      <w:pPr>
        <w:pStyle w:val="SingleTxtG"/>
        <w:ind w:firstLine="567"/>
        <w:rPr>
          <w:lang w:val="fr-FR"/>
        </w:rPr>
      </w:pPr>
      <w:r>
        <w:rPr>
          <w:lang w:val="fr-FR"/>
        </w:rPr>
        <w:t>On continue en outre de recenser d</w:t>
      </w:r>
      <w:r w:rsidRPr="0016528A">
        <w:rPr>
          <w:lang w:val="fr-FR"/>
        </w:rPr>
        <w:t xml:space="preserve">es </w:t>
      </w:r>
      <w:r>
        <w:rPr>
          <w:lang w:val="fr-FR"/>
        </w:rPr>
        <w:t>cas dans lesquels</w:t>
      </w:r>
      <w:r w:rsidRPr="0016528A">
        <w:rPr>
          <w:lang w:val="fr-FR"/>
        </w:rPr>
        <w:t xml:space="preserve"> </w:t>
      </w:r>
      <w:r>
        <w:rPr>
          <w:lang w:val="fr-FR"/>
        </w:rPr>
        <w:t>des personnes</w:t>
      </w:r>
      <w:r w:rsidRPr="0016528A">
        <w:rPr>
          <w:lang w:val="fr-FR"/>
        </w:rPr>
        <w:t xml:space="preserve"> gard</w:t>
      </w:r>
      <w:r>
        <w:rPr>
          <w:lang w:val="fr-FR"/>
        </w:rPr>
        <w:t>ées</w:t>
      </w:r>
      <w:r w:rsidRPr="0016528A">
        <w:rPr>
          <w:lang w:val="fr-FR"/>
        </w:rPr>
        <w:t xml:space="preserve"> à vue ou déten</w:t>
      </w:r>
      <w:r>
        <w:rPr>
          <w:lang w:val="fr-FR"/>
        </w:rPr>
        <w:t>ues</w:t>
      </w:r>
      <w:r w:rsidRPr="0016528A">
        <w:rPr>
          <w:lang w:val="fr-FR"/>
        </w:rPr>
        <w:t xml:space="preserve"> par </w:t>
      </w:r>
      <w:r>
        <w:rPr>
          <w:lang w:val="fr-FR"/>
        </w:rPr>
        <w:t>des militaires</w:t>
      </w:r>
      <w:r w:rsidRPr="0016528A">
        <w:rPr>
          <w:lang w:val="fr-FR"/>
        </w:rPr>
        <w:t xml:space="preserve"> </w:t>
      </w:r>
      <w:r>
        <w:rPr>
          <w:lang w:val="fr-FR"/>
        </w:rPr>
        <w:t>sont torturées à mort</w:t>
      </w:r>
      <w:r w:rsidRPr="0016528A">
        <w:rPr>
          <w:lang w:val="fr-FR"/>
        </w:rPr>
        <w:t xml:space="preserve">. Les organisations </w:t>
      </w:r>
      <w:r>
        <w:rPr>
          <w:lang w:val="fr-FR"/>
        </w:rPr>
        <w:t>citent</w:t>
      </w:r>
      <w:r w:rsidRPr="0016528A">
        <w:rPr>
          <w:lang w:val="fr-FR"/>
        </w:rPr>
        <w:t xml:space="preserve"> le cas de </w:t>
      </w:r>
      <w:proofErr w:type="spellStart"/>
      <w:r w:rsidRPr="0016528A">
        <w:rPr>
          <w:lang w:val="fr-FR"/>
        </w:rPr>
        <w:t>Suriya</w:t>
      </w:r>
      <w:proofErr w:type="spellEnd"/>
      <w:r w:rsidRPr="0016528A">
        <w:rPr>
          <w:lang w:val="fr-FR"/>
        </w:rPr>
        <w:t xml:space="preserve"> </w:t>
      </w:r>
      <w:proofErr w:type="spellStart"/>
      <w:r w:rsidRPr="0016528A">
        <w:rPr>
          <w:lang w:val="fr-FR"/>
        </w:rPr>
        <w:t>Supharak</w:t>
      </w:r>
      <w:proofErr w:type="spellEnd"/>
      <w:r w:rsidRPr="0016528A">
        <w:rPr>
          <w:lang w:val="fr-FR"/>
        </w:rPr>
        <w:t>, déclaré coupable d</w:t>
      </w:r>
      <w:r>
        <w:rPr>
          <w:lang w:val="fr-FR"/>
        </w:rPr>
        <w:t>’</w:t>
      </w:r>
      <w:r w:rsidRPr="0016528A">
        <w:rPr>
          <w:lang w:val="fr-FR"/>
        </w:rPr>
        <w:t xml:space="preserve">infractions </w:t>
      </w:r>
      <w:r>
        <w:rPr>
          <w:lang w:val="fr-FR"/>
        </w:rPr>
        <w:t>à la législation sur les</w:t>
      </w:r>
      <w:r w:rsidRPr="0016528A">
        <w:rPr>
          <w:lang w:val="fr-FR"/>
        </w:rPr>
        <w:t xml:space="preserve"> stupéfiants et décédé en avril 2017 alors qu</w:t>
      </w:r>
      <w:r>
        <w:rPr>
          <w:lang w:val="fr-FR"/>
        </w:rPr>
        <w:t>’</w:t>
      </w:r>
      <w:r w:rsidRPr="0016528A">
        <w:rPr>
          <w:lang w:val="fr-FR"/>
        </w:rPr>
        <w:t xml:space="preserve">il était détenu à la prison du district de </w:t>
      </w:r>
      <w:proofErr w:type="spellStart"/>
      <w:r w:rsidRPr="0016528A">
        <w:rPr>
          <w:lang w:val="fr-FR"/>
        </w:rPr>
        <w:t>Takua</w:t>
      </w:r>
      <w:proofErr w:type="spellEnd"/>
      <w:r w:rsidRPr="0016528A">
        <w:rPr>
          <w:lang w:val="fr-FR"/>
        </w:rPr>
        <w:t xml:space="preserve"> Pa (province de </w:t>
      </w:r>
      <w:proofErr w:type="spellStart"/>
      <w:r w:rsidRPr="0016528A">
        <w:rPr>
          <w:lang w:val="fr-FR"/>
        </w:rPr>
        <w:t>Phang</w:t>
      </w:r>
      <w:proofErr w:type="spellEnd"/>
      <w:r w:rsidRPr="0016528A">
        <w:rPr>
          <w:lang w:val="fr-FR"/>
        </w:rPr>
        <w:t xml:space="preserve"> </w:t>
      </w:r>
      <w:proofErr w:type="spellStart"/>
      <w:r w:rsidRPr="0016528A">
        <w:rPr>
          <w:lang w:val="fr-FR"/>
        </w:rPr>
        <w:t>Nga</w:t>
      </w:r>
      <w:proofErr w:type="spellEnd"/>
      <w:r w:rsidRPr="0016528A">
        <w:rPr>
          <w:lang w:val="fr-FR"/>
        </w:rPr>
        <w:t>). Elles évoquent aussi le cas d</w:t>
      </w:r>
      <w:r>
        <w:rPr>
          <w:lang w:val="fr-FR"/>
        </w:rPr>
        <w:t>’</w:t>
      </w:r>
      <w:r w:rsidRPr="0016528A">
        <w:rPr>
          <w:lang w:val="fr-FR"/>
        </w:rPr>
        <w:t xml:space="preserve">élèves officiers et de conscrits qui auraient été torturés à mort. </w:t>
      </w:r>
      <w:r>
        <w:rPr>
          <w:lang w:val="fr-FR"/>
        </w:rPr>
        <w:t>D</w:t>
      </w:r>
      <w:r w:rsidRPr="0016528A">
        <w:rPr>
          <w:lang w:val="fr-FR"/>
        </w:rPr>
        <w:t>es</w:t>
      </w:r>
      <w:r>
        <w:rPr>
          <w:lang w:val="fr-FR"/>
        </w:rPr>
        <w:t xml:space="preserve"> civils continuent d’être détenus arbitrairement dans des</w:t>
      </w:r>
      <w:r w:rsidRPr="0016528A">
        <w:rPr>
          <w:lang w:val="fr-FR"/>
        </w:rPr>
        <w:t xml:space="preserve"> bases militaires et aucune garantie efficace n</w:t>
      </w:r>
      <w:r>
        <w:rPr>
          <w:lang w:val="fr-FR"/>
        </w:rPr>
        <w:t>’</w:t>
      </w:r>
      <w:r w:rsidRPr="0016528A">
        <w:rPr>
          <w:lang w:val="fr-FR"/>
        </w:rPr>
        <w:t xml:space="preserve">a été </w:t>
      </w:r>
      <w:r>
        <w:rPr>
          <w:lang w:val="fr-FR"/>
        </w:rPr>
        <w:t>instaurée, en pareil cas de figure,</w:t>
      </w:r>
      <w:r w:rsidRPr="0016528A">
        <w:rPr>
          <w:lang w:val="fr-FR"/>
        </w:rPr>
        <w:t xml:space="preserve"> pour prévenir les violations des droits de l</w:t>
      </w:r>
      <w:r>
        <w:rPr>
          <w:lang w:val="fr-FR"/>
        </w:rPr>
        <w:t>’</w:t>
      </w:r>
      <w:r w:rsidRPr="0016528A">
        <w:rPr>
          <w:lang w:val="fr-FR"/>
        </w:rPr>
        <w:t>homme</w:t>
      </w:r>
      <w:r w:rsidR="008147A6">
        <w:rPr>
          <w:lang w:val="fr-FR"/>
        </w:rPr>
        <w:t> ;</w:t>
      </w:r>
    </w:p>
    <w:p w:rsidR="00C8688F" w:rsidRPr="0016528A" w:rsidRDefault="00C8688F" w:rsidP="00C8688F">
      <w:pPr>
        <w:pStyle w:val="SingleTxtG"/>
        <w:ind w:firstLine="567"/>
        <w:rPr>
          <w:lang w:val="fr-FR"/>
        </w:rPr>
      </w:pPr>
      <w:r w:rsidRPr="0016528A">
        <w:rPr>
          <w:lang w:val="fr-FR"/>
        </w:rPr>
        <w:t>b)</w:t>
      </w:r>
      <w:r w:rsidRPr="0016528A">
        <w:rPr>
          <w:lang w:val="fr-FR"/>
        </w:rPr>
        <w:tab/>
        <w:t>La disparition forcée, telle que définie dans les normes internationales, n</w:t>
      </w:r>
      <w:r>
        <w:rPr>
          <w:lang w:val="fr-FR"/>
        </w:rPr>
        <w:t>’</w:t>
      </w:r>
      <w:r w:rsidRPr="0016528A">
        <w:rPr>
          <w:lang w:val="fr-FR"/>
        </w:rPr>
        <w:t>est toujours pas une infraction pénale en droit national. Le projet de loi sur la prévention et la répression de la torture et des disparitions forcées a été achevé après des années de travaux que les autorités nationales ont mené</w:t>
      </w:r>
      <w:r>
        <w:rPr>
          <w:lang w:val="fr-FR"/>
        </w:rPr>
        <w:t>s</w:t>
      </w:r>
      <w:r w:rsidRPr="0016528A">
        <w:rPr>
          <w:lang w:val="fr-FR"/>
        </w:rPr>
        <w:t xml:space="preserve"> en consultation avec les organisations non gouvernementales et la société civile. Son adoption est suspendue depuis février 2017.</w:t>
      </w:r>
    </w:p>
    <w:p w:rsidR="00C8688F" w:rsidRPr="0016528A" w:rsidRDefault="00C8688F" w:rsidP="00C8688F">
      <w:pPr>
        <w:pStyle w:val="SingleTxtG"/>
        <w:ind w:firstLine="567"/>
        <w:rPr>
          <w:lang w:val="fr-FR"/>
        </w:rPr>
      </w:pPr>
      <w:r w:rsidRPr="000D2671">
        <w:rPr>
          <w:lang w:val="fr-FR"/>
        </w:rPr>
        <w:lastRenderedPageBreak/>
        <w:t xml:space="preserve">À ce jour, le Comité </w:t>
      </w:r>
      <w:r>
        <w:rPr>
          <w:lang w:val="fr-FR"/>
        </w:rPr>
        <w:t xml:space="preserve">national </w:t>
      </w:r>
      <w:r w:rsidRPr="0016528A">
        <w:rPr>
          <w:lang w:val="fr-FR"/>
        </w:rPr>
        <w:t>pour la gestion des affaires de torture et de disparition forcée</w:t>
      </w:r>
      <w:r w:rsidRPr="000D2671" w:rsidDel="00A07AE2">
        <w:rPr>
          <w:lang w:val="fr-FR"/>
        </w:rPr>
        <w:t xml:space="preserve"> </w:t>
      </w:r>
      <w:r w:rsidRPr="000D2671">
        <w:rPr>
          <w:lang w:val="fr-FR"/>
        </w:rPr>
        <w:t>n</w:t>
      </w:r>
      <w:r>
        <w:rPr>
          <w:lang w:val="fr-FR"/>
        </w:rPr>
        <w:t>’</w:t>
      </w:r>
      <w:r w:rsidRPr="000D2671">
        <w:rPr>
          <w:lang w:val="fr-FR"/>
        </w:rPr>
        <w:t>a pris aucune mesure concrète pour s</w:t>
      </w:r>
      <w:r>
        <w:rPr>
          <w:lang w:val="fr-FR"/>
        </w:rPr>
        <w:t>’</w:t>
      </w:r>
      <w:r w:rsidRPr="000D2671">
        <w:rPr>
          <w:lang w:val="fr-FR"/>
        </w:rPr>
        <w:t xml:space="preserve">acquitter de son mandat. Les organisations </w:t>
      </w:r>
      <w:r>
        <w:rPr>
          <w:lang w:val="fr-FR"/>
        </w:rPr>
        <w:t>mentionnent les enquêtes menées sur</w:t>
      </w:r>
      <w:r w:rsidRPr="000D2671">
        <w:rPr>
          <w:lang w:val="fr-FR"/>
        </w:rPr>
        <w:t xml:space="preserve"> les cas de deux personnes appartenant à des minorités ethniques − Abe </w:t>
      </w:r>
      <w:proofErr w:type="spellStart"/>
      <w:r w:rsidRPr="000D2671">
        <w:rPr>
          <w:lang w:val="fr-FR"/>
        </w:rPr>
        <w:t>Sae</w:t>
      </w:r>
      <w:proofErr w:type="spellEnd"/>
      <w:r w:rsidRPr="0016528A">
        <w:rPr>
          <w:lang w:val="fr-FR"/>
        </w:rPr>
        <w:t xml:space="preserve"> </w:t>
      </w:r>
      <w:proofErr w:type="spellStart"/>
      <w:r w:rsidRPr="0016528A">
        <w:rPr>
          <w:lang w:val="fr-FR"/>
        </w:rPr>
        <w:t>Moo</w:t>
      </w:r>
      <w:proofErr w:type="spellEnd"/>
      <w:r w:rsidRPr="0016528A">
        <w:rPr>
          <w:lang w:val="fr-FR"/>
        </w:rPr>
        <w:t>, 32</w:t>
      </w:r>
      <w:r>
        <w:rPr>
          <w:lang w:val="fr-FR"/>
        </w:rPr>
        <w:t> </w:t>
      </w:r>
      <w:r w:rsidRPr="0016528A">
        <w:rPr>
          <w:lang w:val="fr-FR"/>
        </w:rPr>
        <w:t>ans, de l</w:t>
      </w:r>
      <w:r>
        <w:rPr>
          <w:lang w:val="fr-FR"/>
        </w:rPr>
        <w:t>’</w:t>
      </w:r>
      <w:r w:rsidRPr="0016528A">
        <w:rPr>
          <w:lang w:val="fr-FR"/>
        </w:rPr>
        <w:t>ethnie Lisu</w:t>
      </w:r>
      <w:r>
        <w:rPr>
          <w:lang w:val="fr-FR"/>
        </w:rPr>
        <w:t>,</w:t>
      </w:r>
      <w:r w:rsidRPr="0016528A">
        <w:rPr>
          <w:lang w:val="fr-FR"/>
        </w:rPr>
        <w:t xml:space="preserve"> et </w:t>
      </w:r>
      <w:proofErr w:type="spellStart"/>
      <w:r w:rsidRPr="0016528A">
        <w:rPr>
          <w:lang w:val="fr-FR"/>
        </w:rPr>
        <w:t>Chaiyaphum</w:t>
      </w:r>
      <w:proofErr w:type="spellEnd"/>
      <w:r w:rsidRPr="0016528A">
        <w:rPr>
          <w:lang w:val="fr-FR"/>
        </w:rPr>
        <w:t xml:space="preserve"> </w:t>
      </w:r>
      <w:proofErr w:type="spellStart"/>
      <w:r w:rsidRPr="0016528A">
        <w:rPr>
          <w:lang w:val="fr-FR"/>
        </w:rPr>
        <w:t>Pasae</w:t>
      </w:r>
      <w:proofErr w:type="spellEnd"/>
      <w:r w:rsidRPr="0016528A">
        <w:rPr>
          <w:lang w:val="fr-FR"/>
        </w:rPr>
        <w:t>, militant de 17</w:t>
      </w:r>
      <w:r>
        <w:rPr>
          <w:lang w:val="fr-FR"/>
        </w:rPr>
        <w:t> </w:t>
      </w:r>
      <w:r w:rsidRPr="0016528A">
        <w:rPr>
          <w:lang w:val="fr-FR"/>
        </w:rPr>
        <w:t>ans, de l</w:t>
      </w:r>
      <w:r>
        <w:rPr>
          <w:lang w:val="fr-FR"/>
        </w:rPr>
        <w:t>’</w:t>
      </w:r>
      <w:r w:rsidRPr="0016528A">
        <w:rPr>
          <w:lang w:val="fr-FR"/>
        </w:rPr>
        <w:t xml:space="preserve">ethnie </w:t>
      </w:r>
      <w:proofErr w:type="spellStart"/>
      <w:r w:rsidRPr="0016528A">
        <w:rPr>
          <w:lang w:val="fr-FR"/>
        </w:rPr>
        <w:t>Lahu</w:t>
      </w:r>
      <w:proofErr w:type="spellEnd"/>
      <w:r>
        <w:rPr>
          <w:lang w:val="fr-FR"/>
        </w:rPr>
        <w:t> −</w:t>
      </w:r>
      <w:r w:rsidRPr="0016528A">
        <w:rPr>
          <w:lang w:val="fr-FR"/>
        </w:rPr>
        <w:t>, tuées par des soldats de l</w:t>
      </w:r>
      <w:r>
        <w:rPr>
          <w:lang w:val="fr-FR"/>
        </w:rPr>
        <w:t>’</w:t>
      </w:r>
      <w:r w:rsidR="008147A6">
        <w:rPr>
          <w:lang w:val="fr-FR"/>
        </w:rPr>
        <w:t>A</w:t>
      </w:r>
      <w:r w:rsidRPr="0016528A">
        <w:rPr>
          <w:lang w:val="fr-FR"/>
        </w:rPr>
        <w:t xml:space="preserve">rmée </w:t>
      </w:r>
      <w:r>
        <w:rPr>
          <w:lang w:val="fr-FR"/>
        </w:rPr>
        <w:t xml:space="preserve">royale </w:t>
      </w:r>
      <w:r w:rsidRPr="0016528A">
        <w:rPr>
          <w:lang w:val="fr-FR"/>
        </w:rPr>
        <w:t xml:space="preserve">thaïlandaise </w:t>
      </w:r>
      <w:r>
        <w:rPr>
          <w:lang w:val="fr-FR"/>
        </w:rPr>
        <w:t xml:space="preserve">dans le </w:t>
      </w:r>
      <w:r w:rsidRPr="0016528A">
        <w:rPr>
          <w:lang w:val="fr-FR"/>
        </w:rPr>
        <w:t>sous-district de Chiang Dao</w:t>
      </w:r>
      <w:r>
        <w:rPr>
          <w:lang w:val="fr-FR"/>
        </w:rPr>
        <w:t xml:space="preserve"> (</w:t>
      </w:r>
      <w:r w:rsidRPr="0016528A">
        <w:rPr>
          <w:lang w:val="fr-FR"/>
        </w:rPr>
        <w:t>province de Chiang Mai)</w:t>
      </w:r>
      <w:r>
        <w:rPr>
          <w:lang w:val="fr-FR"/>
        </w:rPr>
        <w:t>, enquêtes qui</w:t>
      </w:r>
      <w:r w:rsidRPr="0016528A">
        <w:rPr>
          <w:lang w:val="fr-FR"/>
        </w:rPr>
        <w:t xml:space="preserve"> n</w:t>
      </w:r>
      <w:r>
        <w:rPr>
          <w:lang w:val="fr-FR"/>
        </w:rPr>
        <w:t>’</w:t>
      </w:r>
      <w:r w:rsidRPr="0016528A">
        <w:rPr>
          <w:lang w:val="fr-FR"/>
        </w:rPr>
        <w:t>ont donné aucun résultat significatif. Dans aucun</w:t>
      </w:r>
      <w:r>
        <w:rPr>
          <w:lang w:val="fr-FR"/>
        </w:rPr>
        <w:t>e</w:t>
      </w:r>
      <w:r w:rsidRPr="0016528A">
        <w:rPr>
          <w:lang w:val="fr-FR"/>
        </w:rPr>
        <w:t xml:space="preserve"> de ces deux </w:t>
      </w:r>
      <w:r>
        <w:rPr>
          <w:lang w:val="fr-FR"/>
        </w:rPr>
        <w:t>affaires</w:t>
      </w:r>
      <w:r w:rsidRPr="0016528A">
        <w:rPr>
          <w:lang w:val="fr-FR"/>
        </w:rPr>
        <w:t xml:space="preserve"> les auteurs n</w:t>
      </w:r>
      <w:r>
        <w:rPr>
          <w:lang w:val="fr-FR"/>
        </w:rPr>
        <w:t>’</w:t>
      </w:r>
      <w:r w:rsidRPr="0016528A">
        <w:rPr>
          <w:lang w:val="fr-FR"/>
        </w:rPr>
        <w:t xml:space="preserve">ont eu à répondre de leurs actes, alors même que les faits </w:t>
      </w:r>
      <w:r>
        <w:rPr>
          <w:lang w:val="fr-FR"/>
        </w:rPr>
        <w:t>remontent à</w:t>
      </w:r>
      <w:r w:rsidRPr="0016528A">
        <w:rPr>
          <w:lang w:val="fr-FR"/>
        </w:rPr>
        <w:t xml:space="preserve"> plus d</w:t>
      </w:r>
      <w:r>
        <w:rPr>
          <w:lang w:val="fr-FR"/>
        </w:rPr>
        <w:t>’</w:t>
      </w:r>
      <w:r w:rsidRPr="0016528A">
        <w:rPr>
          <w:lang w:val="fr-FR"/>
        </w:rPr>
        <w:t>un an.</w:t>
      </w:r>
    </w:p>
    <w:p w:rsidR="00C8688F" w:rsidRPr="0016528A" w:rsidRDefault="00C8688F" w:rsidP="00C8688F">
      <w:pPr>
        <w:pStyle w:val="SingleTxtG"/>
        <w:ind w:firstLine="567"/>
        <w:rPr>
          <w:lang w:val="fr-FR"/>
        </w:rPr>
      </w:pPr>
      <w:r>
        <w:rPr>
          <w:lang w:val="fr-FR"/>
        </w:rPr>
        <w:t>L</w:t>
      </w:r>
      <w:r w:rsidRPr="0016528A">
        <w:rPr>
          <w:lang w:val="fr-FR"/>
        </w:rPr>
        <w:t xml:space="preserve">es responsables militaires </w:t>
      </w:r>
      <w:r>
        <w:rPr>
          <w:lang w:val="fr-FR"/>
        </w:rPr>
        <w:t>continuent</w:t>
      </w:r>
      <w:r w:rsidRPr="0016528A">
        <w:rPr>
          <w:lang w:val="fr-FR"/>
        </w:rPr>
        <w:t xml:space="preserve"> en outre de po</w:t>
      </w:r>
      <w:r>
        <w:rPr>
          <w:lang w:val="fr-FR"/>
        </w:rPr>
        <w:t>rt</w:t>
      </w:r>
      <w:r w:rsidRPr="0016528A">
        <w:rPr>
          <w:lang w:val="fr-FR"/>
        </w:rPr>
        <w:t>er plainte pour diffamation contre les personnes dénonçant des actes de torture. Les organisations évoqu</w:t>
      </w:r>
      <w:r>
        <w:rPr>
          <w:lang w:val="fr-FR"/>
        </w:rPr>
        <w:t>ent</w:t>
      </w:r>
      <w:r w:rsidRPr="0016528A">
        <w:rPr>
          <w:lang w:val="fr-FR"/>
        </w:rPr>
        <w:t xml:space="preserve"> les plaintes pour diffamation déposées en février 2018 devant des juridictions pénales et civiles contre </w:t>
      </w:r>
      <w:proofErr w:type="spellStart"/>
      <w:r w:rsidRPr="0016528A">
        <w:rPr>
          <w:lang w:val="fr-FR"/>
        </w:rPr>
        <w:t>Ismae</w:t>
      </w:r>
      <w:proofErr w:type="spellEnd"/>
      <w:r w:rsidRPr="0016528A">
        <w:rPr>
          <w:lang w:val="fr-FR"/>
        </w:rPr>
        <w:t xml:space="preserve"> Teh, fondateur de la </w:t>
      </w:r>
      <w:proofErr w:type="spellStart"/>
      <w:r w:rsidRPr="0016528A">
        <w:rPr>
          <w:iCs/>
          <w:lang w:val="fr-FR"/>
        </w:rPr>
        <w:t>Patani</w:t>
      </w:r>
      <w:proofErr w:type="spellEnd"/>
      <w:r w:rsidRPr="0016528A">
        <w:rPr>
          <w:iCs/>
          <w:lang w:val="fr-FR"/>
        </w:rPr>
        <w:t xml:space="preserve"> Human </w:t>
      </w:r>
      <w:proofErr w:type="spellStart"/>
      <w:r w:rsidRPr="0016528A">
        <w:rPr>
          <w:iCs/>
          <w:lang w:val="fr-FR"/>
        </w:rPr>
        <w:t>Rights</w:t>
      </w:r>
      <w:proofErr w:type="spellEnd"/>
      <w:r w:rsidRPr="0016528A">
        <w:rPr>
          <w:iCs/>
          <w:lang w:val="fr-FR"/>
        </w:rPr>
        <w:t xml:space="preserve"> </w:t>
      </w:r>
      <w:proofErr w:type="spellStart"/>
      <w:r w:rsidRPr="0016528A">
        <w:rPr>
          <w:iCs/>
          <w:lang w:val="fr-FR"/>
        </w:rPr>
        <w:t>Organization</w:t>
      </w:r>
      <w:proofErr w:type="spellEnd"/>
      <w:r w:rsidRPr="0016528A">
        <w:rPr>
          <w:iCs/>
          <w:lang w:val="fr-FR"/>
        </w:rPr>
        <w:t>.</w:t>
      </w:r>
    </w:p>
    <w:p w:rsidR="00C8688F" w:rsidRPr="0016528A" w:rsidRDefault="00C8688F" w:rsidP="008147A6">
      <w:pPr>
        <w:pStyle w:val="H4G"/>
        <w:rPr>
          <w:lang w:val="fr-FR"/>
        </w:rPr>
      </w:pPr>
      <w:r w:rsidRPr="0016528A">
        <w:rPr>
          <w:lang w:val="fr-FR"/>
        </w:rPr>
        <w:tab/>
      </w:r>
      <w:r w:rsidRPr="0016528A">
        <w:rPr>
          <w:lang w:val="fr-FR"/>
        </w:rPr>
        <w:tab/>
      </w:r>
      <w:proofErr w:type="spellStart"/>
      <w:r w:rsidRPr="0016528A">
        <w:rPr>
          <w:lang w:val="fr-FR"/>
        </w:rPr>
        <w:t>Fortify</w:t>
      </w:r>
      <w:proofErr w:type="spellEnd"/>
      <w:r w:rsidRPr="0016528A">
        <w:rPr>
          <w:lang w:val="fr-FR"/>
        </w:rPr>
        <w:t xml:space="preserve"> </w:t>
      </w:r>
      <w:proofErr w:type="spellStart"/>
      <w:r w:rsidRPr="0016528A">
        <w:rPr>
          <w:lang w:val="fr-FR"/>
        </w:rPr>
        <w:t>Rights</w:t>
      </w:r>
      <w:proofErr w:type="spellEnd"/>
    </w:p>
    <w:p w:rsidR="00C8688F" w:rsidRPr="0016528A" w:rsidRDefault="00C8688F" w:rsidP="00C8688F">
      <w:pPr>
        <w:pStyle w:val="SingleTxtG"/>
        <w:ind w:firstLine="567"/>
        <w:rPr>
          <w:lang w:val="fr-FR"/>
        </w:rPr>
      </w:pPr>
      <w:r w:rsidRPr="0016528A">
        <w:rPr>
          <w:lang w:val="fr-FR"/>
        </w:rPr>
        <w:t>a)</w:t>
      </w:r>
      <w:r w:rsidRPr="0016528A">
        <w:rPr>
          <w:lang w:val="fr-FR"/>
        </w:rPr>
        <w:tab/>
        <w:t>Aucun progrès ou presque n</w:t>
      </w:r>
      <w:r>
        <w:rPr>
          <w:lang w:val="fr-FR"/>
        </w:rPr>
        <w:t>’</w:t>
      </w:r>
      <w:r w:rsidRPr="0016528A">
        <w:rPr>
          <w:lang w:val="fr-FR"/>
        </w:rPr>
        <w:t>a été réalisé pour ce qui est de l</w:t>
      </w:r>
      <w:r>
        <w:rPr>
          <w:lang w:val="fr-FR"/>
        </w:rPr>
        <w:t>’</w:t>
      </w:r>
      <w:r w:rsidRPr="0016528A">
        <w:rPr>
          <w:lang w:val="fr-FR"/>
        </w:rPr>
        <w:t>établissement des responsabilités lorsque des défenseurs des droits de l</w:t>
      </w:r>
      <w:r>
        <w:rPr>
          <w:lang w:val="fr-FR"/>
        </w:rPr>
        <w:t>’</w:t>
      </w:r>
      <w:r w:rsidRPr="0016528A">
        <w:rPr>
          <w:lang w:val="fr-FR"/>
        </w:rPr>
        <w:t>homme ou des responsables locaux militant pour la responsabilité des entreprises sont victimes d</w:t>
      </w:r>
      <w:r>
        <w:rPr>
          <w:lang w:val="fr-FR"/>
        </w:rPr>
        <w:t>’</w:t>
      </w:r>
      <w:r w:rsidRPr="0016528A">
        <w:rPr>
          <w:lang w:val="fr-FR"/>
        </w:rPr>
        <w:t>agressions ou de harcèlement. Le fait que les auteurs de tels actes ne sont pas poursuivis, en dépit de la gravité des infractions, a créé une culture persistante de l</w:t>
      </w:r>
      <w:r>
        <w:rPr>
          <w:lang w:val="fr-FR"/>
        </w:rPr>
        <w:t>’</w:t>
      </w:r>
      <w:r w:rsidRPr="0016528A">
        <w:rPr>
          <w:lang w:val="fr-FR"/>
        </w:rPr>
        <w:t>impunité qui a touché toutes les communautés du pays.</w:t>
      </w:r>
    </w:p>
    <w:p w:rsidR="00C8688F" w:rsidRPr="0016528A" w:rsidRDefault="00C8688F" w:rsidP="008147A6">
      <w:pPr>
        <w:pStyle w:val="H4G"/>
        <w:rPr>
          <w:lang w:val="fr-FR"/>
        </w:rPr>
      </w:pPr>
      <w:r w:rsidRPr="0016528A">
        <w:rPr>
          <w:lang w:val="fr-FR"/>
        </w:rPr>
        <w:tab/>
      </w:r>
      <w:r w:rsidRPr="0016528A">
        <w:rPr>
          <w:lang w:val="fr-FR"/>
        </w:rPr>
        <w:tab/>
        <w:t>Communication conjointe</w:t>
      </w:r>
      <w:r>
        <w:rPr>
          <w:lang w:val="fr-FR"/>
        </w:rPr>
        <w:t xml:space="preserve"> : </w:t>
      </w:r>
      <w:r w:rsidRPr="0016528A">
        <w:rPr>
          <w:lang w:val="fr-FR"/>
        </w:rPr>
        <w:t xml:space="preserve">Commission internationale de juristes, Thai </w:t>
      </w:r>
      <w:proofErr w:type="spellStart"/>
      <w:r w:rsidRPr="0016528A">
        <w:rPr>
          <w:lang w:val="fr-FR"/>
        </w:rPr>
        <w:t>Lawyers</w:t>
      </w:r>
      <w:proofErr w:type="spellEnd"/>
      <w:r w:rsidRPr="0016528A">
        <w:rPr>
          <w:lang w:val="fr-FR"/>
        </w:rPr>
        <w:t xml:space="preserve"> </w:t>
      </w:r>
      <w:r w:rsidR="008147A6">
        <w:rPr>
          <w:lang w:val="fr-FR"/>
        </w:rPr>
        <w:br/>
      </w:r>
      <w:r w:rsidRPr="0016528A">
        <w:rPr>
          <w:lang w:val="fr-FR"/>
        </w:rPr>
        <w:t xml:space="preserve">for Human </w:t>
      </w:r>
      <w:proofErr w:type="spellStart"/>
      <w:r w:rsidRPr="0016528A">
        <w:rPr>
          <w:lang w:val="fr-FR"/>
        </w:rPr>
        <w:t>Rights</w:t>
      </w:r>
      <w:proofErr w:type="spellEnd"/>
      <w:r w:rsidRPr="0016528A">
        <w:rPr>
          <w:lang w:val="fr-FR"/>
        </w:rPr>
        <w:t xml:space="preserve"> et Cross-Cultural </w:t>
      </w:r>
      <w:proofErr w:type="spellStart"/>
      <w:r w:rsidRPr="0016528A">
        <w:rPr>
          <w:lang w:val="fr-FR"/>
        </w:rPr>
        <w:t>Foundation</w:t>
      </w:r>
      <w:proofErr w:type="spellEnd"/>
    </w:p>
    <w:p w:rsidR="00C8688F" w:rsidRPr="0016528A" w:rsidRDefault="00C8688F" w:rsidP="00C8688F">
      <w:pPr>
        <w:pStyle w:val="SingleTxtG"/>
        <w:tabs>
          <w:tab w:val="left" w:pos="2552"/>
        </w:tabs>
        <w:ind w:firstLine="567"/>
        <w:rPr>
          <w:lang w:val="fr-FR"/>
        </w:rPr>
      </w:pPr>
      <w:r w:rsidRPr="0016528A">
        <w:rPr>
          <w:lang w:val="fr-FR"/>
        </w:rPr>
        <w:t>a) et b)</w:t>
      </w:r>
      <w:r>
        <w:rPr>
          <w:lang w:val="fr-FR"/>
        </w:rPr>
        <w:tab/>
      </w:r>
      <w:r w:rsidRPr="0016528A">
        <w:rPr>
          <w:lang w:val="fr-FR"/>
        </w:rPr>
        <w:t xml:space="preserve">La </w:t>
      </w:r>
      <w:r>
        <w:rPr>
          <w:lang w:val="fr-FR"/>
        </w:rPr>
        <w:t xml:space="preserve">Thaïlande n’a encore rien fait pour que </w:t>
      </w:r>
      <w:r w:rsidRPr="0016528A">
        <w:rPr>
          <w:lang w:val="fr-FR"/>
        </w:rPr>
        <w:t>les actes de torture</w:t>
      </w:r>
      <w:r>
        <w:rPr>
          <w:lang w:val="fr-FR"/>
        </w:rPr>
        <w:t xml:space="preserve"> et </w:t>
      </w:r>
      <w:r w:rsidRPr="0016528A">
        <w:rPr>
          <w:lang w:val="fr-FR"/>
        </w:rPr>
        <w:t>autres mauvais traitements</w:t>
      </w:r>
      <w:r>
        <w:rPr>
          <w:lang w:val="fr-FR"/>
        </w:rPr>
        <w:t>, ainsi que</w:t>
      </w:r>
      <w:r w:rsidRPr="0016528A">
        <w:rPr>
          <w:lang w:val="fr-FR"/>
        </w:rPr>
        <w:t xml:space="preserve"> les disparitions forcées</w:t>
      </w:r>
      <w:r>
        <w:rPr>
          <w:lang w:val="fr-FR"/>
        </w:rPr>
        <w:t xml:space="preserve"> soient pleinement réprimés par le droit interne</w:t>
      </w:r>
      <w:r w:rsidRPr="0016528A">
        <w:rPr>
          <w:lang w:val="fr-FR"/>
        </w:rPr>
        <w:t xml:space="preserve">. À ce </w:t>
      </w:r>
      <w:r>
        <w:rPr>
          <w:lang w:val="fr-FR"/>
        </w:rPr>
        <w:t>propos</w:t>
      </w:r>
      <w:r w:rsidRPr="0016528A">
        <w:rPr>
          <w:lang w:val="fr-FR"/>
        </w:rPr>
        <w:t xml:space="preserve">, les organisations se </w:t>
      </w:r>
      <w:r>
        <w:rPr>
          <w:lang w:val="fr-FR"/>
        </w:rPr>
        <w:t>disent</w:t>
      </w:r>
      <w:r w:rsidRPr="0016528A">
        <w:rPr>
          <w:lang w:val="fr-FR"/>
        </w:rPr>
        <w:t xml:space="preserve"> profondément préoccupées par les récents amendements apportés au projet de loi sur la prévention et la répression de la torture et des disparitions forcées</w:t>
      </w:r>
      <w:r>
        <w:rPr>
          <w:lang w:val="fr-FR"/>
        </w:rPr>
        <w:t>.</w:t>
      </w:r>
      <w:r w:rsidRPr="0016528A">
        <w:rPr>
          <w:lang w:val="fr-FR"/>
        </w:rPr>
        <w:t xml:space="preserve"> </w:t>
      </w:r>
      <w:r>
        <w:rPr>
          <w:lang w:val="fr-FR"/>
        </w:rPr>
        <w:t>S’</w:t>
      </w:r>
      <w:r w:rsidRPr="0016528A">
        <w:rPr>
          <w:lang w:val="fr-FR"/>
        </w:rPr>
        <w:t xml:space="preserve">ils </w:t>
      </w:r>
      <w:r>
        <w:rPr>
          <w:lang w:val="fr-FR"/>
        </w:rPr>
        <w:t>sont</w:t>
      </w:r>
      <w:r w:rsidRPr="0016528A">
        <w:rPr>
          <w:lang w:val="fr-FR"/>
        </w:rPr>
        <w:t xml:space="preserve"> adoptés dans leur formulation actuelle, </w:t>
      </w:r>
      <w:r>
        <w:rPr>
          <w:lang w:val="fr-FR"/>
        </w:rPr>
        <w:t xml:space="preserve">ces amendements </w:t>
      </w:r>
      <w:r w:rsidRPr="0016528A">
        <w:rPr>
          <w:lang w:val="fr-FR"/>
        </w:rPr>
        <w:t>entériner</w:t>
      </w:r>
      <w:r>
        <w:rPr>
          <w:lang w:val="fr-FR"/>
        </w:rPr>
        <w:t>o</w:t>
      </w:r>
      <w:r w:rsidRPr="0016528A">
        <w:rPr>
          <w:lang w:val="fr-FR"/>
        </w:rPr>
        <w:t>nt le non</w:t>
      </w:r>
      <w:r>
        <w:rPr>
          <w:lang w:val="fr-FR"/>
        </w:rPr>
        <w:noBreakHyphen/>
      </w:r>
      <w:r w:rsidRPr="0016528A">
        <w:rPr>
          <w:lang w:val="fr-FR"/>
        </w:rPr>
        <w:t>respect par l</w:t>
      </w:r>
      <w:r>
        <w:rPr>
          <w:lang w:val="fr-FR"/>
        </w:rPr>
        <w:t>’</w:t>
      </w:r>
      <w:r w:rsidRPr="0016528A">
        <w:rPr>
          <w:lang w:val="fr-FR"/>
        </w:rPr>
        <w:t xml:space="preserve">État </w:t>
      </w:r>
      <w:r>
        <w:rPr>
          <w:lang w:val="fr-FR"/>
        </w:rPr>
        <w:t xml:space="preserve">partie </w:t>
      </w:r>
      <w:r w:rsidRPr="0016528A">
        <w:rPr>
          <w:lang w:val="fr-FR"/>
        </w:rPr>
        <w:t>des obligations mises à sa charge par le Pacte et par d</w:t>
      </w:r>
      <w:r>
        <w:rPr>
          <w:lang w:val="fr-FR"/>
        </w:rPr>
        <w:t>’</w:t>
      </w:r>
      <w:r w:rsidRPr="0016528A">
        <w:rPr>
          <w:lang w:val="fr-FR"/>
        </w:rPr>
        <w:t>autres instruments internationaux relatifs aux droits de l</w:t>
      </w:r>
      <w:r>
        <w:rPr>
          <w:lang w:val="fr-FR"/>
        </w:rPr>
        <w:t>’</w:t>
      </w:r>
      <w:r w:rsidRPr="0016528A">
        <w:rPr>
          <w:lang w:val="fr-FR"/>
        </w:rPr>
        <w:t>homme.</w:t>
      </w:r>
    </w:p>
    <w:p w:rsidR="00C8688F" w:rsidRPr="0016528A" w:rsidRDefault="00C8688F" w:rsidP="00C8688F">
      <w:pPr>
        <w:pStyle w:val="SingleTxtG"/>
        <w:ind w:firstLine="567"/>
        <w:rPr>
          <w:lang w:val="fr-FR"/>
        </w:rPr>
      </w:pPr>
      <w:r w:rsidRPr="0016528A">
        <w:rPr>
          <w:lang w:val="fr-FR"/>
        </w:rPr>
        <w:t xml:space="preserve">Les autorités ne veillent pas non plus à ce que des enquêtes efficaces, indépendantes et impartiales soient menées </w:t>
      </w:r>
      <w:r>
        <w:rPr>
          <w:lang w:val="fr-FR"/>
        </w:rPr>
        <w:t xml:space="preserve">sans délai </w:t>
      </w:r>
      <w:r w:rsidRPr="0016528A">
        <w:rPr>
          <w:lang w:val="fr-FR"/>
        </w:rPr>
        <w:t>sur les allégations de torture, de disparition forcée et d</w:t>
      </w:r>
      <w:r>
        <w:rPr>
          <w:lang w:val="fr-FR"/>
        </w:rPr>
        <w:t>’</w:t>
      </w:r>
      <w:r w:rsidRPr="0016528A">
        <w:rPr>
          <w:lang w:val="fr-FR"/>
        </w:rPr>
        <w:t xml:space="preserve">exécution </w:t>
      </w:r>
      <w:proofErr w:type="spellStart"/>
      <w:r w:rsidRPr="0016528A">
        <w:rPr>
          <w:lang w:val="fr-FR"/>
        </w:rPr>
        <w:t>extrajudiciaire</w:t>
      </w:r>
      <w:proofErr w:type="spellEnd"/>
      <w:r w:rsidRPr="0016528A">
        <w:rPr>
          <w:lang w:val="fr-FR"/>
        </w:rPr>
        <w:t>.</w:t>
      </w:r>
    </w:p>
    <w:p w:rsidR="00C8688F" w:rsidRPr="0016528A" w:rsidRDefault="00C8688F" w:rsidP="00C8688F">
      <w:pPr>
        <w:pStyle w:val="SingleTxtG"/>
        <w:ind w:firstLine="567"/>
        <w:rPr>
          <w:lang w:val="fr-FR"/>
        </w:rPr>
      </w:pPr>
      <w:r w:rsidRPr="0016528A">
        <w:rPr>
          <w:lang w:val="fr-FR"/>
        </w:rPr>
        <w:t>Des cas de torture, de mauvais traitements et d</w:t>
      </w:r>
      <w:r>
        <w:rPr>
          <w:lang w:val="fr-FR"/>
        </w:rPr>
        <w:t>’</w:t>
      </w:r>
      <w:r w:rsidRPr="0016528A">
        <w:rPr>
          <w:lang w:val="fr-FR"/>
        </w:rPr>
        <w:t xml:space="preserve">exécution </w:t>
      </w:r>
      <w:proofErr w:type="spellStart"/>
      <w:r w:rsidRPr="0016528A">
        <w:rPr>
          <w:lang w:val="fr-FR"/>
        </w:rPr>
        <w:t>extrajudiciaire</w:t>
      </w:r>
      <w:proofErr w:type="spellEnd"/>
      <w:r w:rsidRPr="0016528A">
        <w:rPr>
          <w:lang w:val="fr-FR"/>
        </w:rPr>
        <w:t xml:space="preserve"> </w:t>
      </w:r>
      <w:r>
        <w:rPr>
          <w:lang w:val="fr-FR"/>
        </w:rPr>
        <w:t>ne</w:t>
      </w:r>
      <w:r w:rsidRPr="0016528A">
        <w:rPr>
          <w:lang w:val="fr-FR"/>
        </w:rPr>
        <w:t xml:space="preserve"> cess</w:t>
      </w:r>
      <w:r>
        <w:rPr>
          <w:lang w:val="fr-FR"/>
        </w:rPr>
        <w:t>ent</w:t>
      </w:r>
      <w:r w:rsidRPr="0016528A">
        <w:rPr>
          <w:lang w:val="fr-FR"/>
        </w:rPr>
        <w:t xml:space="preserve"> d</w:t>
      </w:r>
      <w:r>
        <w:rPr>
          <w:lang w:val="fr-FR"/>
        </w:rPr>
        <w:t>’</w:t>
      </w:r>
      <w:r w:rsidRPr="0016528A">
        <w:rPr>
          <w:lang w:val="fr-FR"/>
        </w:rPr>
        <w:t xml:space="preserve">être signalés dans les provinces frontalières du sud, mais les enquêtes </w:t>
      </w:r>
      <w:r>
        <w:rPr>
          <w:lang w:val="fr-FR"/>
        </w:rPr>
        <w:t>sur ces faits</w:t>
      </w:r>
      <w:r w:rsidRPr="0016528A">
        <w:rPr>
          <w:lang w:val="fr-FR"/>
        </w:rPr>
        <w:t xml:space="preserve"> et l</w:t>
      </w:r>
      <w:r>
        <w:rPr>
          <w:lang w:val="fr-FR"/>
        </w:rPr>
        <w:t>’</w:t>
      </w:r>
      <w:r w:rsidRPr="0016528A">
        <w:rPr>
          <w:lang w:val="fr-FR"/>
        </w:rPr>
        <w:t>octroi de réparations se font attendre.</w:t>
      </w:r>
    </w:p>
    <w:p w:rsidR="00C8688F" w:rsidRPr="0016528A" w:rsidRDefault="00C8688F" w:rsidP="00C8688F">
      <w:pPr>
        <w:pStyle w:val="SingleTxtG"/>
        <w:ind w:firstLine="567"/>
        <w:rPr>
          <w:lang w:val="fr-FR"/>
        </w:rPr>
      </w:pPr>
      <w:r w:rsidRPr="0016528A">
        <w:rPr>
          <w:lang w:val="fr-FR"/>
        </w:rPr>
        <w:t>Les défenseurs des droits de l</w:t>
      </w:r>
      <w:r>
        <w:rPr>
          <w:lang w:val="fr-FR"/>
        </w:rPr>
        <w:t>’</w:t>
      </w:r>
      <w:r w:rsidRPr="0016528A">
        <w:rPr>
          <w:lang w:val="fr-FR"/>
        </w:rPr>
        <w:t>homme, les victimes et les membres de leur famille qui s</w:t>
      </w:r>
      <w:r>
        <w:rPr>
          <w:lang w:val="fr-FR"/>
        </w:rPr>
        <w:t>’</w:t>
      </w:r>
      <w:r w:rsidRPr="0016528A">
        <w:rPr>
          <w:lang w:val="fr-FR"/>
        </w:rPr>
        <w:t>emploient à mettre en lumière des cas présumés de torture</w:t>
      </w:r>
      <w:r>
        <w:rPr>
          <w:lang w:val="fr-FR"/>
        </w:rPr>
        <w:t xml:space="preserve"> ou </w:t>
      </w:r>
      <w:r w:rsidRPr="0016528A">
        <w:rPr>
          <w:lang w:val="fr-FR"/>
        </w:rPr>
        <w:t>autres mauvais traitements et de disparition forcée font l</w:t>
      </w:r>
      <w:r>
        <w:rPr>
          <w:lang w:val="fr-FR"/>
        </w:rPr>
        <w:t>’</w:t>
      </w:r>
      <w:r w:rsidRPr="0016528A">
        <w:rPr>
          <w:lang w:val="fr-FR"/>
        </w:rPr>
        <w:t>objet de harcèlement judiciaire, de représailles et de menaces.</w:t>
      </w:r>
    </w:p>
    <w:p w:rsidR="00C8688F" w:rsidRPr="0016528A" w:rsidRDefault="00C8688F" w:rsidP="00C8688F">
      <w:pPr>
        <w:pStyle w:val="SingleTxtG"/>
        <w:ind w:firstLine="567"/>
        <w:rPr>
          <w:lang w:val="fr-FR"/>
        </w:rPr>
      </w:pPr>
      <w:r>
        <w:rPr>
          <w:lang w:val="fr-FR"/>
        </w:rPr>
        <w:t>Si l</w:t>
      </w:r>
      <w:r w:rsidRPr="0016528A">
        <w:rPr>
          <w:lang w:val="fr-FR"/>
        </w:rPr>
        <w:t xml:space="preserve">es organisations </w:t>
      </w:r>
      <w:r>
        <w:rPr>
          <w:lang w:val="fr-FR"/>
        </w:rPr>
        <w:t>saluent</w:t>
      </w:r>
      <w:r w:rsidRPr="0016528A">
        <w:rPr>
          <w:lang w:val="fr-FR"/>
        </w:rPr>
        <w:t xml:space="preserve"> les efforts </w:t>
      </w:r>
      <w:r>
        <w:rPr>
          <w:lang w:val="fr-FR"/>
        </w:rPr>
        <w:t>que</w:t>
      </w:r>
      <w:r w:rsidRPr="0016528A">
        <w:rPr>
          <w:lang w:val="fr-FR"/>
        </w:rPr>
        <w:t xml:space="preserve"> les autorités</w:t>
      </w:r>
      <w:r>
        <w:rPr>
          <w:lang w:val="fr-FR"/>
        </w:rPr>
        <w:t xml:space="preserve"> ont faits</w:t>
      </w:r>
      <w:r w:rsidRPr="0016528A">
        <w:rPr>
          <w:lang w:val="fr-FR"/>
        </w:rPr>
        <w:t xml:space="preserve"> pour combattre la torture et les disparitions forcées, </w:t>
      </w:r>
      <w:r>
        <w:rPr>
          <w:lang w:val="fr-FR"/>
        </w:rPr>
        <w:t>il reste à savoir si</w:t>
      </w:r>
      <w:r w:rsidRPr="0016528A">
        <w:rPr>
          <w:lang w:val="fr-FR"/>
        </w:rPr>
        <w:t xml:space="preserve"> l</w:t>
      </w:r>
      <w:r>
        <w:rPr>
          <w:lang w:val="fr-FR"/>
        </w:rPr>
        <w:t>’</w:t>
      </w:r>
      <w:r w:rsidRPr="0016528A">
        <w:rPr>
          <w:lang w:val="fr-FR"/>
        </w:rPr>
        <w:t>ordonnance n</w:t>
      </w:r>
      <w:r w:rsidRPr="0016528A">
        <w:rPr>
          <w:vertAlign w:val="superscript"/>
          <w:lang w:val="fr-FR"/>
        </w:rPr>
        <w:t>o</w:t>
      </w:r>
      <w:r w:rsidRPr="0016528A">
        <w:rPr>
          <w:lang w:val="fr-FR"/>
        </w:rPr>
        <w:t xml:space="preserve"> 131/2560 </w:t>
      </w:r>
      <w:r>
        <w:rPr>
          <w:lang w:val="fr-FR"/>
        </w:rPr>
        <w:t xml:space="preserve">permettra de faire en sorte que </w:t>
      </w:r>
      <w:r w:rsidRPr="0016528A">
        <w:rPr>
          <w:lang w:val="fr-FR"/>
        </w:rPr>
        <w:t>l</w:t>
      </w:r>
      <w:r>
        <w:rPr>
          <w:lang w:val="fr-FR"/>
        </w:rPr>
        <w:t>’</w:t>
      </w:r>
      <w:r w:rsidRPr="0016528A">
        <w:rPr>
          <w:lang w:val="fr-FR"/>
        </w:rPr>
        <w:t xml:space="preserve">État </w:t>
      </w:r>
      <w:r>
        <w:rPr>
          <w:lang w:val="fr-FR"/>
        </w:rPr>
        <w:t xml:space="preserve">partie respecte </w:t>
      </w:r>
      <w:r w:rsidRPr="0016528A">
        <w:rPr>
          <w:lang w:val="fr-FR"/>
        </w:rPr>
        <w:t xml:space="preserve">ses </w:t>
      </w:r>
      <w:r>
        <w:rPr>
          <w:lang w:val="fr-FR"/>
        </w:rPr>
        <w:t>obligations</w:t>
      </w:r>
      <w:r w:rsidRPr="0016528A">
        <w:rPr>
          <w:lang w:val="fr-FR"/>
        </w:rPr>
        <w:t xml:space="preserve"> internationa</w:t>
      </w:r>
      <w:r>
        <w:rPr>
          <w:lang w:val="fr-FR"/>
        </w:rPr>
        <w:t>les</w:t>
      </w:r>
      <w:r w:rsidRPr="0016528A">
        <w:rPr>
          <w:lang w:val="fr-FR"/>
        </w:rPr>
        <w:t xml:space="preserve"> en matière de droits de l</w:t>
      </w:r>
      <w:r>
        <w:rPr>
          <w:lang w:val="fr-FR"/>
        </w:rPr>
        <w:t>’</w:t>
      </w:r>
      <w:r w:rsidRPr="0016528A">
        <w:rPr>
          <w:lang w:val="fr-FR"/>
        </w:rPr>
        <w:t>homme. On ne sait pas exactement quel cadre juridique (national ou international) s</w:t>
      </w:r>
      <w:r>
        <w:rPr>
          <w:lang w:val="fr-FR"/>
        </w:rPr>
        <w:t>’</w:t>
      </w:r>
      <w:r w:rsidRPr="0016528A">
        <w:rPr>
          <w:lang w:val="fr-FR"/>
        </w:rPr>
        <w:t>appliquera</w:t>
      </w:r>
      <w:r w:rsidR="008147A6">
        <w:rPr>
          <w:lang w:val="fr-FR"/>
        </w:rPr>
        <w:t>,</w:t>
      </w:r>
      <w:r w:rsidRPr="0016528A">
        <w:rPr>
          <w:lang w:val="fr-FR"/>
        </w:rPr>
        <w:t xml:space="preserve"> faute de loi qui réprime la torture</w:t>
      </w:r>
      <w:r>
        <w:rPr>
          <w:lang w:val="fr-FR"/>
        </w:rPr>
        <w:t xml:space="preserve"> et </w:t>
      </w:r>
      <w:r w:rsidRPr="0016528A">
        <w:rPr>
          <w:lang w:val="fr-FR"/>
        </w:rPr>
        <w:t>autres mauvais traitements et les disparitions forcées. De surcroît, la protection des plaignants et des témoins contre les représailles</w:t>
      </w:r>
      <w:r w:rsidRPr="0016528A" w:rsidDel="00AF7C8D">
        <w:rPr>
          <w:lang w:val="fr-FR"/>
        </w:rPr>
        <w:t xml:space="preserve"> </w:t>
      </w:r>
      <w:r>
        <w:rPr>
          <w:lang w:val="fr-FR"/>
        </w:rPr>
        <w:t>ne semble pas s’inscrire dans le champ d’application de l’ordonnance</w:t>
      </w:r>
      <w:r w:rsidRPr="0016528A">
        <w:rPr>
          <w:lang w:val="fr-FR"/>
        </w:rPr>
        <w:t>. En outre, la plupart de</w:t>
      </w:r>
      <w:r>
        <w:rPr>
          <w:lang w:val="fr-FR"/>
        </w:rPr>
        <w:t xml:space="preserve">s </w:t>
      </w:r>
      <w:r w:rsidRPr="0016528A">
        <w:rPr>
          <w:lang w:val="fr-FR"/>
        </w:rPr>
        <w:t xml:space="preserve">membres </w:t>
      </w:r>
      <w:r>
        <w:rPr>
          <w:lang w:val="fr-FR"/>
        </w:rPr>
        <w:t xml:space="preserve">du </w:t>
      </w:r>
      <w:r w:rsidRPr="000D2671">
        <w:rPr>
          <w:lang w:val="fr-FR"/>
        </w:rPr>
        <w:t xml:space="preserve">Comité </w:t>
      </w:r>
      <w:r>
        <w:rPr>
          <w:lang w:val="fr-FR"/>
        </w:rPr>
        <w:t xml:space="preserve">national </w:t>
      </w:r>
      <w:r w:rsidRPr="0016528A">
        <w:rPr>
          <w:lang w:val="fr-FR"/>
        </w:rPr>
        <w:t>pour la gestion des affaires de torture et de disparition forcée ne travaillent pas pour des organismes civils indépendants</w:t>
      </w:r>
      <w:r>
        <w:rPr>
          <w:lang w:val="fr-FR"/>
        </w:rPr>
        <w:t> ;</w:t>
      </w:r>
    </w:p>
    <w:p w:rsidR="00C8688F" w:rsidRPr="0016528A" w:rsidRDefault="00C8688F" w:rsidP="00C8688F">
      <w:pPr>
        <w:pStyle w:val="SingleTxtG"/>
        <w:ind w:firstLine="567"/>
        <w:rPr>
          <w:lang w:val="fr-FR"/>
        </w:rPr>
      </w:pPr>
      <w:r w:rsidRPr="0016528A">
        <w:rPr>
          <w:lang w:val="fr-FR"/>
        </w:rPr>
        <w:t>c)</w:t>
      </w:r>
      <w:r w:rsidRPr="0016528A">
        <w:rPr>
          <w:lang w:val="fr-FR"/>
        </w:rPr>
        <w:tab/>
        <w:t>Le 12</w:t>
      </w:r>
      <w:r>
        <w:rPr>
          <w:lang w:val="fr-FR"/>
        </w:rPr>
        <w:t> </w:t>
      </w:r>
      <w:r w:rsidRPr="0016528A">
        <w:rPr>
          <w:lang w:val="fr-FR"/>
        </w:rPr>
        <w:t>octobre 2017, le Comité stratégique pour le développement des provinces frontalières du sud a adopté une résolution qui prévoit le versement d</w:t>
      </w:r>
      <w:r>
        <w:rPr>
          <w:lang w:val="fr-FR"/>
        </w:rPr>
        <w:t>’</w:t>
      </w:r>
      <w:r w:rsidRPr="0016528A">
        <w:rPr>
          <w:lang w:val="fr-FR"/>
        </w:rPr>
        <w:t>une indemnisation d</w:t>
      </w:r>
      <w:r>
        <w:rPr>
          <w:lang w:val="fr-FR"/>
        </w:rPr>
        <w:t>’</w:t>
      </w:r>
      <w:r w:rsidRPr="0016528A">
        <w:rPr>
          <w:lang w:val="fr-FR"/>
        </w:rPr>
        <w:t>environ un million de baht (31</w:t>
      </w:r>
      <w:r w:rsidR="00A12DB5">
        <w:rPr>
          <w:lang w:val="fr-FR"/>
        </w:rPr>
        <w:t> </w:t>
      </w:r>
      <w:r w:rsidRPr="0016528A">
        <w:rPr>
          <w:lang w:val="fr-FR"/>
        </w:rPr>
        <w:t>900</w:t>
      </w:r>
      <w:r w:rsidR="00A12DB5">
        <w:rPr>
          <w:lang w:val="fr-FR"/>
        </w:rPr>
        <w:t> </w:t>
      </w:r>
      <w:r w:rsidRPr="0016528A">
        <w:rPr>
          <w:lang w:val="fr-FR"/>
        </w:rPr>
        <w:t>dollars) aux familles de chacune des 17</w:t>
      </w:r>
      <w:r>
        <w:rPr>
          <w:lang w:val="fr-FR"/>
        </w:rPr>
        <w:t> </w:t>
      </w:r>
      <w:r w:rsidRPr="0016528A">
        <w:rPr>
          <w:lang w:val="fr-FR"/>
        </w:rPr>
        <w:t>personnes tuées dans le cadre d</w:t>
      </w:r>
      <w:r>
        <w:rPr>
          <w:lang w:val="fr-FR"/>
        </w:rPr>
        <w:t>’</w:t>
      </w:r>
      <w:r w:rsidRPr="0016528A">
        <w:rPr>
          <w:lang w:val="fr-FR"/>
        </w:rPr>
        <w:t xml:space="preserve">opérations de sécurité menées entre 2005 et 2014, </w:t>
      </w:r>
      <w:r>
        <w:rPr>
          <w:lang w:val="fr-FR"/>
        </w:rPr>
        <w:t>parmi lesquelles</w:t>
      </w:r>
      <w:r w:rsidRPr="0016528A">
        <w:rPr>
          <w:lang w:val="fr-FR"/>
        </w:rPr>
        <w:t xml:space="preserve"> </w:t>
      </w:r>
      <w:proofErr w:type="spellStart"/>
      <w:r w:rsidRPr="0016528A">
        <w:rPr>
          <w:lang w:val="fr-FR"/>
        </w:rPr>
        <w:t>Mahkohsaeng</w:t>
      </w:r>
      <w:proofErr w:type="spellEnd"/>
      <w:r w:rsidRPr="0016528A">
        <w:rPr>
          <w:lang w:val="fr-FR"/>
        </w:rPr>
        <w:t xml:space="preserve"> </w:t>
      </w:r>
      <w:proofErr w:type="spellStart"/>
      <w:r w:rsidRPr="0016528A">
        <w:rPr>
          <w:lang w:val="fr-FR"/>
        </w:rPr>
        <w:t>Lasae</w:t>
      </w:r>
      <w:proofErr w:type="spellEnd"/>
      <w:r>
        <w:rPr>
          <w:lang w:val="fr-FR"/>
        </w:rPr>
        <w:t>,</w:t>
      </w:r>
      <w:r w:rsidRPr="0016528A">
        <w:rPr>
          <w:lang w:val="fr-FR"/>
        </w:rPr>
        <w:t xml:space="preserve"> abattu</w:t>
      </w:r>
      <w:r>
        <w:rPr>
          <w:lang w:val="fr-FR"/>
        </w:rPr>
        <w:t xml:space="preserve"> en 2012</w:t>
      </w:r>
      <w:r w:rsidRPr="0016528A">
        <w:rPr>
          <w:lang w:val="fr-FR"/>
        </w:rPr>
        <w:t xml:space="preserve"> par un </w:t>
      </w:r>
      <w:r>
        <w:rPr>
          <w:lang w:val="fr-FR"/>
        </w:rPr>
        <w:t>membre des forces paramilitaires</w:t>
      </w:r>
      <w:r w:rsidR="00A12DB5">
        <w:rPr>
          <w:lang w:val="fr-FR"/>
        </w:rPr>
        <w:t> </w:t>
      </w:r>
      <w:r>
        <w:rPr>
          <w:lang w:val="fr-FR"/>
        </w:rPr>
        <w:t>;</w:t>
      </w:r>
    </w:p>
    <w:p w:rsidR="00C8688F" w:rsidRPr="0016528A" w:rsidRDefault="00C8688F" w:rsidP="00C8688F">
      <w:pPr>
        <w:pStyle w:val="SingleTxtG"/>
        <w:ind w:firstLine="567"/>
        <w:rPr>
          <w:lang w:val="fr-FR"/>
        </w:rPr>
      </w:pPr>
      <w:r w:rsidRPr="0016528A">
        <w:rPr>
          <w:lang w:val="fr-FR"/>
        </w:rPr>
        <w:lastRenderedPageBreak/>
        <w:t>d)</w:t>
      </w:r>
      <w:r w:rsidRPr="0016528A">
        <w:rPr>
          <w:lang w:val="fr-FR"/>
        </w:rPr>
        <w:tab/>
        <w:t>Aucune modification n</w:t>
      </w:r>
      <w:r>
        <w:rPr>
          <w:lang w:val="fr-FR"/>
        </w:rPr>
        <w:t>’</w:t>
      </w:r>
      <w:r w:rsidRPr="0016528A">
        <w:rPr>
          <w:lang w:val="fr-FR"/>
        </w:rPr>
        <w:t>a été apportée à la loi martiale, au décret sur l</w:t>
      </w:r>
      <w:r>
        <w:rPr>
          <w:lang w:val="fr-FR"/>
        </w:rPr>
        <w:t>’</w:t>
      </w:r>
      <w:r w:rsidRPr="0016528A">
        <w:rPr>
          <w:lang w:val="fr-FR"/>
        </w:rPr>
        <w:t>état d</w:t>
      </w:r>
      <w:r>
        <w:rPr>
          <w:lang w:val="fr-FR"/>
        </w:rPr>
        <w:t>’</w:t>
      </w:r>
      <w:r w:rsidRPr="0016528A">
        <w:rPr>
          <w:lang w:val="fr-FR"/>
        </w:rPr>
        <w:t xml:space="preserve">urgence </w:t>
      </w:r>
      <w:r>
        <w:rPr>
          <w:lang w:val="fr-FR"/>
        </w:rPr>
        <w:t>ni</w:t>
      </w:r>
      <w:r w:rsidRPr="0016528A">
        <w:rPr>
          <w:lang w:val="fr-FR"/>
        </w:rPr>
        <w:t xml:space="preserve"> à l</w:t>
      </w:r>
      <w:r>
        <w:rPr>
          <w:lang w:val="fr-FR"/>
        </w:rPr>
        <w:t>’</w:t>
      </w:r>
      <w:r w:rsidRPr="0016528A">
        <w:rPr>
          <w:lang w:val="fr-FR"/>
        </w:rPr>
        <w:t>ordonnance n</w:t>
      </w:r>
      <w:r w:rsidRPr="0016528A">
        <w:rPr>
          <w:vertAlign w:val="superscript"/>
          <w:lang w:val="fr-FR"/>
        </w:rPr>
        <w:t>o</w:t>
      </w:r>
      <w:r w:rsidRPr="0016528A">
        <w:rPr>
          <w:lang w:val="fr-FR"/>
        </w:rPr>
        <w:t> 3</w:t>
      </w:r>
      <w:r>
        <w:rPr>
          <w:lang w:val="fr-FR"/>
        </w:rPr>
        <w:t>/2558</w:t>
      </w:r>
      <w:r w:rsidRPr="0016528A">
        <w:rPr>
          <w:lang w:val="fr-FR"/>
        </w:rPr>
        <w:t>. Par conséquent, des personnes sont encore détenues au secret en vertu de ces dispositions.</w:t>
      </w:r>
    </w:p>
    <w:p w:rsidR="00C8688F" w:rsidRPr="0016528A" w:rsidRDefault="00C8688F" w:rsidP="00F46F41">
      <w:pPr>
        <w:pStyle w:val="H4G"/>
        <w:rPr>
          <w:lang w:val="fr-FR"/>
        </w:rPr>
      </w:pPr>
      <w:r w:rsidRPr="0016528A">
        <w:rPr>
          <w:lang w:val="fr-FR"/>
        </w:rPr>
        <w:tab/>
      </w:r>
      <w:r w:rsidRPr="0016528A">
        <w:rPr>
          <w:lang w:val="fr-FR"/>
        </w:rPr>
        <w:tab/>
        <w:t>Communication conjointe</w:t>
      </w:r>
      <w:r>
        <w:rPr>
          <w:lang w:val="fr-FR"/>
        </w:rPr>
        <w:t xml:space="preserve"> : </w:t>
      </w:r>
      <w:r w:rsidRPr="007A5475">
        <w:rPr>
          <w:lang w:val="fr-FR"/>
        </w:rPr>
        <w:t xml:space="preserve">Centre pour les droits civils et politiques </w:t>
      </w:r>
      <w:r w:rsidR="00F46F41">
        <w:rPr>
          <w:lang w:val="fr-FR"/>
        </w:rPr>
        <w:br/>
      </w:r>
      <w:r w:rsidRPr="0016528A">
        <w:rPr>
          <w:lang w:val="fr-FR"/>
        </w:rPr>
        <w:t>et d</w:t>
      </w:r>
      <w:r>
        <w:rPr>
          <w:lang w:val="fr-FR"/>
        </w:rPr>
        <w:t>’</w:t>
      </w:r>
      <w:r w:rsidRPr="0016528A">
        <w:rPr>
          <w:lang w:val="fr-FR"/>
        </w:rPr>
        <w:t>autres organisations</w:t>
      </w:r>
    </w:p>
    <w:p w:rsidR="00C8688F" w:rsidRPr="0016528A" w:rsidRDefault="00C8688F" w:rsidP="00C8688F">
      <w:pPr>
        <w:pStyle w:val="SingleTxtG"/>
        <w:ind w:firstLine="567"/>
        <w:rPr>
          <w:lang w:val="fr-FR"/>
        </w:rPr>
      </w:pPr>
      <w:r w:rsidRPr="0016528A">
        <w:rPr>
          <w:lang w:val="fr-FR"/>
        </w:rPr>
        <w:t>a)</w:t>
      </w:r>
      <w:r w:rsidRPr="0016528A">
        <w:rPr>
          <w:lang w:val="fr-FR"/>
        </w:rPr>
        <w:tab/>
        <w:t>Depuis l</w:t>
      </w:r>
      <w:r>
        <w:rPr>
          <w:lang w:val="fr-FR"/>
        </w:rPr>
        <w:t>’</w:t>
      </w:r>
      <w:r w:rsidRPr="0016528A">
        <w:rPr>
          <w:lang w:val="fr-FR"/>
        </w:rPr>
        <w:t>examen du dernier rapport de l</w:t>
      </w:r>
      <w:r>
        <w:rPr>
          <w:lang w:val="fr-FR"/>
        </w:rPr>
        <w:t>’</w:t>
      </w:r>
      <w:r w:rsidRPr="0016528A">
        <w:rPr>
          <w:lang w:val="fr-FR"/>
        </w:rPr>
        <w:t xml:space="preserve">État </w:t>
      </w:r>
      <w:r>
        <w:rPr>
          <w:lang w:val="fr-FR"/>
        </w:rPr>
        <w:t xml:space="preserve">partie </w:t>
      </w:r>
      <w:r w:rsidRPr="0016528A">
        <w:rPr>
          <w:lang w:val="fr-FR"/>
        </w:rPr>
        <w:t>en mars 2017, six cas d</w:t>
      </w:r>
      <w:r>
        <w:rPr>
          <w:lang w:val="fr-FR"/>
        </w:rPr>
        <w:t>’</w:t>
      </w:r>
      <w:r w:rsidRPr="0016528A">
        <w:rPr>
          <w:lang w:val="fr-FR"/>
        </w:rPr>
        <w:t xml:space="preserve">exécutions extrajudiciaires ont été </w:t>
      </w:r>
      <w:r>
        <w:rPr>
          <w:lang w:val="fr-FR"/>
        </w:rPr>
        <w:t>recensés</w:t>
      </w:r>
      <w:r w:rsidRPr="0016528A">
        <w:rPr>
          <w:lang w:val="fr-FR"/>
        </w:rPr>
        <w:t xml:space="preserve"> dans les provinces frontalières du sud. Porter ces affaires devant les tribunaux </w:t>
      </w:r>
      <w:r>
        <w:rPr>
          <w:lang w:val="fr-FR"/>
        </w:rPr>
        <w:t>s’avère</w:t>
      </w:r>
      <w:r w:rsidRPr="0016528A">
        <w:rPr>
          <w:lang w:val="fr-FR"/>
        </w:rPr>
        <w:t xml:space="preserve"> difficile</w:t>
      </w:r>
      <w:r>
        <w:rPr>
          <w:lang w:val="fr-FR"/>
        </w:rPr>
        <w:t> :</w:t>
      </w:r>
      <w:r w:rsidRPr="0016528A">
        <w:rPr>
          <w:lang w:val="fr-FR"/>
        </w:rPr>
        <w:t xml:space="preserve"> </w:t>
      </w:r>
      <w:r>
        <w:rPr>
          <w:lang w:val="fr-FR"/>
        </w:rPr>
        <w:t>i</w:t>
      </w:r>
      <w:r w:rsidRPr="0016528A">
        <w:rPr>
          <w:lang w:val="fr-FR"/>
        </w:rPr>
        <w:t>l n</w:t>
      </w:r>
      <w:r>
        <w:rPr>
          <w:lang w:val="fr-FR"/>
        </w:rPr>
        <w:t>’est</w:t>
      </w:r>
      <w:r w:rsidRPr="0016528A">
        <w:rPr>
          <w:lang w:val="fr-FR"/>
        </w:rPr>
        <w:t xml:space="preserve"> pas aisé de prouver que les exécutions </w:t>
      </w:r>
      <w:r>
        <w:rPr>
          <w:lang w:val="fr-FR"/>
        </w:rPr>
        <w:t>ont</w:t>
      </w:r>
      <w:r w:rsidRPr="0016528A">
        <w:rPr>
          <w:lang w:val="fr-FR"/>
        </w:rPr>
        <w:t xml:space="preserve"> été commises et les familles des victimes </w:t>
      </w:r>
      <w:r>
        <w:rPr>
          <w:lang w:val="fr-FR"/>
        </w:rPr>
        <w:t>sont</w:t>
      </w:r>
      <w:r w:rsidRPr="0016528A">
        <w:rPr>
          <w:lang w:val="fr-FR"/>
        </w:rPr>
        <w:t xml:space="preserve"> réticent</w:t>
      </w:r>
      <w:r>
        <w:rPr>
          <w:lang w:val="fr-FR"/>
        </w:rPr>
        <w:t>e</w:t>
      </w:r>
      <w:r w:rsidRPr="0016528A">
        <w:rPr>
          <w:lang w:val="fr-FR"/>
        </w:rPr>
        <w:t>s à s</w:t>
      </w:r>
      <w:r>
        <w:rPr>
          <w:lang w:val="fr-FR"/>
        </w:rPr>
        <w:t>’</w:t>
      </w:r>
      <w:r w:rsidRPr="0016528A">
        <w:rPr>
          <w:lang w:val="fr-FR"/>
        </w:rPr>
        <w:t xml:space="preserve">en remettre au système judiciaire ou à </w:t>
      </w:r>
      <w:r>
        <w:rPr>
          <w:lang w:val="fr-FR"/>
        </w:rPr>
        <w:t>communiquer</w:t>
      </w:r>
      <w:r w:rsidRPr="0016528A">
        <w:rPr>
          <w:lang w:val="fr-FR"/>
        </w:rPr>
        <w:t xml:space="preserve"> des informations </w:t>
      </w:r>
      <w:r>
        <w:rPr>
          <w:lang w:val="fr-FR"/>
        </w:rPr>
        <w:t>pour</w:t>
      </w:r>
      <w:r w:rsidRPr="0016528A">
        <w:rPr>
          <w:lang w:val="fr-FR"/>
        </w:rPr>
        <w:t xml:space="preserve"> faire avancer les poursuites.</w:t>
      </w:r>
    </w:p>
    <w:p w:rsidR="00C8688F" w:rsidRPr="0016528A" w:rsidRDefault="00C8688F" w:rsidP="00C8688F">
      <w:pPr>
        <w:pStyle w:val="SingleTxtG"/>
        <w:ind w:firstLine="567"/>
        <w:rPr>
          <w:lang w:val="fr-FR"/>
        </w:rPr>
      </w:pPr>
      <w:r w:rsidRPr="0016528A">
        <w:rPr>
          <w:lang w:val="fr-FR"/>
        </w:rPr>
        <w:t>Les enquêtes indépendantes sur les cas de torture, d</w:t>
      </w:r>
      <w:r>
        <w:rPr>
          <w:lang w:val="fr-FR"/>
        </w:rPr>
        <w:t>’</w:t>
      </w:r>
      <w:r w:rsidRPr="0016528A">
        <w:rPr>
          <w:lang w:val="fr-FR"/>
        </w:rPr>
        <w:t xml:space="preserve">exécution </w:t>
      </w:r>
      <w:proofErr w:type="spellStart"/>
      <w:r w:rsidRPr="0016528A">
        <w:rPr>
          <w:lang w:val="fr-FR"/>
        </w:rPr>
        <w:t>extrajudiciaire</w:t>
      </w:r>
      <w:proofErr w:type="spellEnd"/>
      <w:r w:rsidRPr="0016528A">
        <w:rPr>
          <w:lang w:val="fr-FR"/>
        </w:rPr>
        <w:t xml:space="preserve"> et de disparition forcée font cruellement défaut</w:t>
      </w:r>
      <w:r>
        <w:rPr>
          <w:lang w:val="fr-FR"/>
        </w:rPr>
        <w:t> ;</w:t>
      </w:r>
    </w:p>
    <w:p w:rsidR="00C8688F" w:rsidRPr="0016528A" w:rsidRDefault="00C8688F" w:rsidP="00C8688F">
      <w:pPr>
        <w:pStyle w:val="SingleTxtG"/>
        <w:ind w:firstLine="567"/>
        <w:rPr>
          <w:lang w:val="fr-FR"/>
        </w:rPr>
      </w:pPr>
      <w:r w:rsidRPr="0016528A">
        <w:rPr>
          <w:lang w:val="fr-FR"/>
        </w:rPr>
        <w:t>b)</w:t>
      </w:r>
      <w:r w:rsidRPr="0016528A">
        <w:rPr>
          <w:lang w:val="fr-FR"/>
        </w:rPr>
        <w:tab/>
      </w:r>
      <w:r>
        <w:rPr>
          <w:lang w:val="fr-FR"/>
        </w:rPr>
        <w:t>Aucun</w:t>
      </w:r>
      <w:r w:rsidRPr="0016528A">
        <w:rPr>
          <w:lang w:val="fr-FR"/>
        </w:rPr>
        <w:t xml:space="preserve"> cas d</w:t>
      </w:r>
      <w:r>
        <w:rPr>
          <w:lang w:val="fr-FR"/>
        </w:rPr>
        <w:t>’</w:t>
      </w:r>
      <w:r w:rsidRPr="0016528A">
        <w:rPr>
          <w:lang w:val="fr-FR"/>
        </w:rPr>
        <w:t xml:space="preserve">exécution </w:t>
      </w:r>
      <w:proofErr w:type="spellStart"/>
      <w:r w:rsidRPr="0016528A">
        <w:rPr>
          <w:lang w:val="fr-FR"/>
        </w:rPr>
        <w:t>extrajudiciaire</w:t>
      </w:r>
      <w:proofErr w:type="spellEnd"/>
      <w:r w:rsidRPr="0016528A">
        <w:rPr>
          <w:lang w:val="fr-FR"/>
        </w:rPr>
        <w:t xml:space="preserve"> signalé dans les provinces frontalières du sud </w:t>
      </w:r>
      <w:r>
        <w:rPr>
          <w:lang w:val="fr-FR"/>
        </w:rPr>
        <w:t xml:space="preserve">n’a donné lieu à une autopsie </w:t>
      </w:r>
      <w:r w:rsidRPr="0016528A">
        <w:rPr>
          <w:lang w:val="fr-FR"/>
        </w:rPr>
        <w:t xml:space="preserve">en raison du </w:t>
      </w:r>
      <w:r>
        <w:rPr>
          <w:lang w:val="fr-FR"/>
        </w:rPr>
        <w:t>peu</w:t>
      </w:r>
      <w:r w:rsidRPr="0016528A">
        <w:rPr>
          <w:lang w:val="fr-FR"/>
        </w:rPr>
        <w:t xml:space="preserve"> de médecins légistes indépendants </w:t>
      </w:r>
      <w:r>
        <w:rPr>
          <w:lang w:val="fr-FR"/>
        </w:rPr>
        <w:t xml:space="preserve">exerçant </w:t>
      </w:r>
      <w:r w:rsidRPr="0016528A">
        <w:rPr>
          <w:lang w:val="fr-FR"/>
        </w:rPr>
        <w:t xml:space="preserve">en Thaïlande. La </w:t>
      </w:r>
      <w:r>
        <w:rPr>
          <w:lang w:val="fr-FR"/>
        </w:rPr>
        <w:t>règle</w:t>
      </w:r>
      <w:r w:rsidRPr="0016528A">
        <w:rPr>
          <w:lang w:val="fr-FR"/>
        </w:rPr>
        <w:t xml:space="preserve"> musulmane selon laquelle le corps doit être enterré dans les vingt</w:t>
      </w:r>
      <w:r w:rsidR="00F46F41">
        <w:rPr>
          <w:lang w:val="fr-FR"/>
        </w:rPr>
        <w:noBreakHyphen/>
      </w:r>
      <w:r w:rsidRPr="0016528A">
        <w:rPr>
          <w:lang w:val="fr-FR"/>
        </w:rPr>
        <w:t xml:space="preserve">quatre heures suivant le décès constitue </w:t>
      </w:r>
      <w:r>
        <w:rPr>
          <w:lang w:val="fr-FR"/>
        </w:rPr>
        <w:t xml:space="preserve">aussi </w:t>
      </w:r>
      <w:r w:rsidRPr="0016528A">
        <w:rPr>
          <w:lang w:val="fr-FR"/>
        </w:rPr>
        <w:t>un obstacle majeur aux autopsies</w:t>
      </w:r>
      <w:r>
        <w:rPr>
          <w:lang w:val="fr-FR"/>
        </w:rPr>
        <w:t> ;</w:t>
      </w:r>
    </w:p>
    <w:p w:rsidR="00C8688F" w:rsidRPr="0016528A" w:rsidRDefault="00C8688F" w:rsidP="00C8688F">
      <w:pPr>
        <w:pStyle w:val="SingleTxtG"/>
        <w:ind w:firstLine="567"/>
        <w:rPr>
          <w:lang w:val="fr-FR"/>
        </w:rPr>
      </w:pPr>
      <w:r w:rsidRPr="0016528A">
        <w:rPr>
          <w:lang w:val="fr-FR"/>
        </w:rPr>
        <w:t>c)</w:t>
      </w:r>
      <w:r w:rsidRPr="0016528A">
        <w:rPr>
          <w:lang w:val="fr-FR"/>
        </w:rPr>
        <w:tab/>
        <w:t>L</w:t>
      </w:r>
      <w:r>
        <w:rPr>
          <w:lang w:val="fr-FR"/>
        </w:rPr>
        <w:t>a santé mentale des victimes n’est pas une priorité dans l</w:t>
      </w:r>
      <w:r w:rsidRPr="0016528A">
        <w:rPr>
          <w:lang w:val="fr-FR"/>
        </w:rPr>
        <w:t>es établissements de santé</w:t>
      </w:r>
      <w:r>
        <w:rPr>
          <w:lang w:val="fr-FR"/>
        </w:rPr>
        <w:t>, publics ou autres</w:t>
      </w:r>
      <w:r w:rsidRPr="0016528A">
        <w:rPr>
          <w:lang w:val="fr-FR"/>
        </w:rPr>
        <w:t xml:space="preserve">. Il est difficile de recenser les affaires qui ont donné lieu à des </w:t>
      </w:r>
      <w:r>
        <w:rPr>
          <w:lang w:val="fr-FR"/>
        </w:rPr>
        <w:t xml:space="preserve">mesures de </w:t>
      </w:r>
      <w:r w:rsidRPr="0016528A">
        <w:rPr>
          <w:lang w:val="fr-FR"/>
        </w:rPr>
        <w:t>réparation, sans parler des demandes déposées auprès des institutions concernées telles que la Commission thaïlandaise des droits de l</w:t>
      </w:r>
      <w:r>
        <w:rPr>
          <w:lang w:val="fr-FR"/>
        </w:rPr>
        <w:t>’</w:t>
      </w:r>
      <w:r w:rsidRPr="0016528A">
        <w:rPr>
          <w:lang w:val="fr-FR"/>
        </w:rPr>
        <w:t>homme</w:t>
      </w:r>
      <w:r>
        <w:rPr>
          <w:lang w:val="fr-FR"/>
        </w:rPr>
        <w:t> ;</w:t>
      </w:r>
    </w:p>
    <w:p w:rsidR="00C8688F" w:rsidRPr="0016528A" w:rsidRDefault="00C8688F" w:rsidP="00C8688F">
      <w:pPr>
        <w:pStyle w:val="SingleTxtG"/>
        <w:ind w:firstLine="567"/>
        <w:rPr>
          <w:lang w:val="fr-FR"/>
        </w:rPr>
      </w:pPr>
      <w:r w:rsidRPr="0016528A">
        <w:rPr>
          <w:lang w:val="fr-FR"/>
        </w:rPr>
        <w:t>d)</w:t>
      </w:r>
      <w:r w:rsidRPr="0016528A">
        <w:rPr>
          <w:lang w:val="fr-FR"/>
        </w:rPr>
        <w:tab/>
        <w:t>Le recours excessif à la loi martiale et au décret sur l</w:t>
      </w:r>
      <w:r>
        <w:rPr>
          <w:lang w:val="fr-FR"/>
        </w:rPr>
        <w:t>’</w:t>
      </w:r>
      <w:r w:rsidRPr="0016528A">
        <w:rPr>
          <w:lang w:val="fr-FR"/>
        </w:rPr>
        <w:t>état d</w:t>
      </w:r>
      <w:r>
        <w:rPr>
          <w:lang w:val="fr-FR"/>
        </w:rPr>
        <w:t>’</w:t>
      </w:r>
      <w:r w:rsidRPr="0016528A">
        <w:rPr>
          <w:lang w:val="fr-FR"/>
        </w:rPr>
        <w:t xml:space="preserve">urgence se poursuit, sans aucun contrôle de la part de tiers indépendants. </w:t>
      </w:r>
      <w:r>
        <w:rPr>
          <w:lang w:val="fr-FR"/>
        </w:rPr>
        <w:t>À l’heure actuelle, l’</w:t>
      </w:r>
      <w:r w:rsidRPr="0016528A">
        <w:rPr>
          <w:lang w:val="fr-FR"/>
        </w:rPr>
        <w:t>application arbitraire de la loi martiale, du décret sur l</w:t>
      </w:r>
      <w:r>
        <w:rPr>
          <w:lang w:val="fr-FR"/>
        </w:rPr>
        <w:t>’</w:t>
      </w:r>
      <w:r w:rsidRPr="0016528A">
        <w:rPr>
          <w:lang w:val="fr-FR"/>
        </w:rPr>
        <w:t>état d</w:t>
      </w:r>
      <w:r>
        <w:rPr>
          <w:lang w:val="fr-FR"/>
        </w:rPr>
        <w:t>’</w:t>
      </w:r>
      <w:r w:rsidRPr="0016528A">
        <w:rPr>
          <w:lang w:val="fr-FR"/>
        </w:rPr>
        <w:t>urgence et d</w:t>
      </w:r>
      <w:r>
        <w:rPr>
          <w:lang w:val="fr-FR"/>
        </w:rPr>
        <w:t>’</w:t>
      </w:r>
      <w:r w:rsidRPr="0016528A">
        <w:rPr>
          <w:lang w:val="fr-FR"/>
        </w:rPr>
        <w:t xml:space="preserve">autres lois spéciales dans les provinces frontalières du sud </w:t>
      </w:r>
      <w:r>
        <w:rPr>
          <w:lang w:val="fr-FR"/>
        </w:rPr>
        <w:t>ne peut être</w:t>
      </w:r>
      <w:r w:rsidRPr="0016528A">
        <w:rPr>
          <w:lang w:val="fr-FR"/>
        </w:rPr>
        <w:t xml:space="preserve"> soumis</w:t>
      </w:r>
      <w:r>
        <w:rPr>
          <w:lang w:val="fr-FR"/>
        </w:rPr>
        <w:t>e</w:t>
      </w:r>
      <w:r w:rsidRPr="0016528A">
        <w:rPr>
          <w:lang w:val="fr-FR"/>
        </w:rPr>
        <w:t xml:space="preserve"> à </w:t>
      </w:r>
      <w:r>
        <w:rPr>
          <w:lang w:val="fr-FR"/>
        </w:rPr>
        <w:t>un examen</w:t>
      </w:r>
      <w:r w:rsidRPr="0016528A">
        <w:rPr>
          <w:lang w:val="fr-FR"/>
        </w:rPr>
        <w:t xml:space="preserve"> public</w:t>
      </w:r>
      <w:r>
        <w:rPr>
          <w:lang w:val="fr-FR"/>
        </w:rPr>
        <w:t> ;</w:t>
      </w:r>
    </w:p>
    <w:p w:rsidR="00C8688F" w:rsidRPr="0016528A" w:rsidRDefault="00C8688F" w:rsidP="00C8688F">
      <w:pPr>
        <w:pStyle w:val="SingleTxtG"/>
        <w:ind w:firstLine="567"/>
        <w:rPr>
          <w:lang w:val="fr-FR"/>
        </w:rPr>
      </w:pPr>
      <w:r w:rsidRPr="0016528A">
        <w:rPr>
          <w:lang w:val="fr-FR"/>
        </w:rPr>
        <w:t>e)</w:t>
      </w:r>
      <w:r w:rsidRPr="0016528A">
        <w:rPr>
          <w:lang w:val="fr-FR"/>
        </w:rPr>
        <w:tab/>
        <w:t>La volonté politique nécessaire à la mise en place de mécanismes indépendants et efficaces de prévention de la torture et des disparitions forcées continue de faire défaut. Les autorités thaïlandaises devraient mettre un terme à toutes les procédures pénales engagées contre des groupes de la société civile ou autres qui signalent des actes de torture présumés.</w:t>
      </w:r>
    </w:p>
    <w:p w:rsidR="00C8688F" w:rsidRPr="0016528A" w:rsidRDefault="00C8688F" w:rsidP="00F46F41">
      <w:pPr>
        <w:pStyle w:val="H4G"/>
        <w:rPr>
          <w:lang w:val="fr-FR"/>
        </w:rPr>
      </w:pPr>
      <w:r w:rsidRPr="0016528A">
        <w:rPr>
          <w:lang w:val="fr-FR"/>
        </w:rPr>
        <w:tab/>
      </w:r>
      <w:r w:rsidRPr="0016528A">
        <w:rPr>
          <w:lang w:val="fr-FR"/>
        </w:rPr>
        <w:tab/>
        <w:t xml:space="preserve">Cross-Cultural </w:t>
      </w:r>
      <w:proofErr w:type="spellStart"/>
      <w:r w:rsidRPr="0016528A">
        <w:rPr>
          <w:lang w:val="fr-FR"/>
        </w:rPr>
        <w:t>Foundation</w:t>
      </w:r>
      <w:proofErr w:type="spellEnd"/>
    </w:p>
    <w:p w:rsidR="00C8688F" w:rsidRPr="0016528A" w:rsidRDefault="00C8688F" w:rsidP="00C8688F">
      <w:pPr>
        <w:pStyle w:val="SingleTxtG"/>
        <w:ind w:firstLine="567"/>
        <w:rPr>
          <w:lang w:val="fr-FR"/>
        </w:rPr>
      </w:pPr>
      <w:r w:rsidRPr="0016528A">
        <w:rPr>
          <w:lang w:val="fr-FR"/>
        </w:rPr>
        <w:t>a)</w:t>
      </w:r>
      <w:r w:rsidRPr="0016528A">
        <w:rPr>
          <w:lang w:val="fr-FR"/>
        </w:rPr>
        <w:tab/>
        <w:t>L</w:t>
      </w:r>
      <w:r>
        <w:rPr>
          <w:lang w:val="fr-FR"/>
        </w:rPr>
        <w:t>’</w:t>
      </w:r>
      <w:r w:rsidRPr="0016528A">
        <w:rPr>
          <w:lang w:val="fr-FR"/>
        </w:rPr>
        <w:t>organisation s</w:t>
      </w:r>
      <w:r>
        <w:rPr>
          <w:lang w:val="fr-FR"/>
        </w:rPr>
        <w:t>e</w:t>
      </w:r>
      <w:r w:rsidRPr="0016528A">
        <w:rPr>
          <w:lang w:val="fr-FR"/>
        </w:rPr>
        <w:t xml:space="preserve"> dit préoccupée par le peu de progrès accomplis par l</w:t>
      </w:r>
      <w:r>
        <w:rPr>
          <w:lang w:val="fr-FR"/>
        </w:rPr>
        <w:t>’</w:t>
      </w:r>
      <w:r w:rsidRPr="0016528A">
        <w:rPr>
          <w:lang w:val="fr-FR"/>
        </w:rPr>
        <w:t xml:space="preserve">État </w:t>
      </w:r>
      <w:r>
        <w:rPr>
          <w:lang w:val="fr-FR"/>
        </w:rPr>
        <w:t>partie en vue de</w:t>
      </w:r>
      <w:r w:rsidRPr="0016528A">
        <w:rPr>
          <w:lang w:val="fr-FR"/>
        </w:rPr>
        <w:t xml:space="preserve"> l</w:t>
      </w:r>
      <w:r>
        <w:rPr>
          <w:lang w:val="fr-FR"/>
        </w:rPr>
        <w:t>’</w:t>
      </w:r>
      <w:r w:rsidRPr="0016528A">
        <w:rPr>
          <w:lang w:val="fr-FR"/>
        </w:rPr>
        <w:t xml:space="preserve">adoption </w:t>
      </w:r>
      <w:r>
        <w:rPr>
          <w:lang w:val="fr-FR"/>
        </w:rPr>
        <w:t>d’une loi</w:t>
      </w:r>
      <w:r w:rsidRPr="0016528A">
        <w:rPr>
          <w:lang w:val="fr-FR"/>
        </w:rPr>
        <w:t xml:space="preserve"> </w:t>
      </w:r>
      <w:r>
        <w:rPr>
          <w:lang w:val="fr-FR"/>
        </w:rPr>
        <w:t>visant à prévenir et à réprimer</w:t>
      </w:r>
      <w:r w:rsidRPr="0016528A">
        <w:rPr>
          <w:lang w:val="fr-FR"/>
        </w:rPr>
        <w:t xml:space="preserve"> la torture et </w:t>
      </w:r>
      <w:r>
        <w:rPr>
          <w:lang w:val="fr-FR"/>
        </w:rPr>
        <w:t>l</w:t>
      </w:r>
      <w:r w:rsidRPr="0016528A">
        <w:rPr>
          <w:lang w:val="fr-FR"/>
        </w:rPr>
        <w:t xml:space="preserve">es disparitions forcées. Le projet de loi </w:t>
      </w:r>
      <w:r>
        <w:rPr>
          <w:lang w:val="fr-FR"/>
        </w:rPr>
        <w:t>sur la prévention et la répression de la torture et des disparitions forcées n’est</w:t>
      </w:r>
      <w:r w:rsidRPr="0016528A">
        <w:rPr>
          <w:lang w:val="fr-FR"/>
        </w:rPr>
        <w:t xml:space="preserve"> peut-être pas encore pleinement conforme aux obligations internationales de l</w:t>
      </w:r>
      <w:r>
        <w:rPr>
          <w:lang w:val="fr-FR"/>
        </w:rPr>
        <w:t>’</w:t>
      </w:r>
      <w:r w:rsidRPr="0016528A">
        <w:rPr>
          <w:lang w:val="fr-FR"/>
        </w:rPr>
        <w:t xml:space="preserve">État </w:t>
      </w:r>
      <w:r>
        <w:rPr>
          <w:lang w:val="fr-FR"/>
        </w:rPr>
        <w:t xml:space="preserve">partie </w:t>
      </w:r>
      <w:r w:rsidRPr="0016528A">
        <w:rPr>
          <w:lang w:val="fr-FR"/>
        </w:rPr>
        <w:t>en matière de droits de l</w:t>
      </w:r>
      <w:r>
        <w:rPr>
          <w:lang w:val="fr-FR"/>
        </w:rPr>
        <w:t>’</w:t>
      </w:r>
      <w:r w:rsidRPr="0016528A">
        <w:rPr>
          <w:lang w:val="fr-FR"/>
        </w:rPr>
        <w:t>homme.</w:t>
      </w:r>
    </w:p>
    <w:p w:rsidR="00C8688F" w:rsidRPr="0016528A" w:rsidRDefault="00C8688F" w:rsidP="00C8688F">
      <w:pPr>
        <w:pStyle w:val="H4G"/>
        <w:rPr>
          <w:lang w:val="fr-FR"/>
        </w:rPr>
      </w:pPr>
      <w:r w:rsidRPr="0016528A">
        <w:rPr>
          <w:lang w:val="fr-FR"/>
        </w:rPr>
        <w:tab/>
      </w:r>
      <w:r w:rsidRPr="0016528A">
        <w:rPr>
          <w:lang w:val="fr-FR"/>
        </w:rPr>
        <w:tab/>
        <w:t>Service international pour les droits de l</w:t>
      </w:r>
      <w:r>
        <w:rPr>
          <w:lang w:val="fr-FR"/>
        </w:rPr>
        <w:t>’</w:t>
      </w:r>
      <w:r w:rsidRPr="0016528A">
        <w:rPr>
          <w:lang w:val="fr-FR"/>
        </w:rPr>
        <w:t>homme</w:t>
      </w:r>
    </w:p>
    <w:p w:rsidR="00C8688F" w:rsidRPr="0016528A" w:rsidRDefault="00C8688F" w:rsidP="00C8688F">
      <w:pPr>
        <w:pStyle w:val="SingleTxtG"/>
        <w:tabs>
          <w:tab w:val="left" w:pos="2552"/>
        </w:tabs>
        <w:ind w:firstLine="567"/>
        <w:rPr>
          <w:lang w:val="fr-FR"/>
        </w:rPr>
      </w:pPr>
      <w:r w:rsidRPr="0016528A">
        <w:rPr>
          <w:lang w:val="fr-FR"/>
        </w:rPr>
        <w:t>a) et b)</w:t>
      </w:r>
      <w:r>
        <w:rPr>
          <w:lang w:val="fr-FR"/>
        </w:rPr>
        <w:tab/>
      </w:r>
      <w:r w:rsidRPr="0016528A">
        <w:rPr>
          <w:lang w:val="fr-FR"/>
        </w:rPr>
        <w:t>Les disparitions forcées sont particulièrement fréquentes dans les provinces du sud et contribuent à restreindre l</w:t>
      </w:r>
      <w:r>
        <w:rPr>
          <w:lang w:val="fr-FR"/>
        </w:rPr>
        <w:t>’</w:t>
      </w:r>
      <w:r w:rsidRPr="0016528A">
        <w:rPr>
          <w:lang w:val="fr-FR"/>
        </w:rPr>
        <w:t>environnement dans lequel les défenseurs des droits de l</w:t>
      </w:r>
      <w:r>
        <w:rPr>
          <w:lang w:val="fr-FR"/>
        </w:rPr>
        <w:t>’</w:t>
      </w:r>
      <w:r w:rsidRPr="0016528A">
        <w:rPr>
          <w:lang w:val="fr-FR"/>
        </w:rPr>
        <w:t>homme</w:t>
      </w:r>
      <w:r>
        <w:rPr>
          <w:lang w:val="fr-FR"/>
        </w:rPr>
        <w:t xml:space="preserve"> peuvent mener leurs activités</w:t>
      </w:r>
      <w:r w:rsidRPr="0016528A">
        <w:rPr>
          <w:lang w:val="fr-FR"/>
        </w:rPr>
        <w:t>. Les progrès des autorités dans la lutte contre les disparitions forcées sont lents et insuffisants.</w:t>
      </w:r>
    </w:p>
    <w:p w:rsidR="00C8688F" w:rsidRPr="0016528A" w:rsidRDefault="00C8688F" w:rsidP="00C8688F">
      <w:pPr>
        <w:pStyle w:val="SingleTxtG"/>
        <w:ind w:firstLine="567"/>
        <w:rPr>
          <w:lang w:val="fr-FR"/>
        </w:rPr>
      </w:pPr>
      <w:r>
        <w:rPr>
          <w:lang w:val="fr-FR"/>
        </w:rPr>
        <w:t xml:space="preserve">Le </w:t>
      </w:r>
      <w:r w:rsidRPr="0016528A">
        <w:rPr>
          <w:lang w:val="fr-FR"/>
        </w:rPr>
        <w:t>projet de loi sur la prévention et la répression de la torture et des disparitions forcées</w:t>
      </w:r>
      <w:r>
        <w:rPr>
          <w:lang w:val="fr-FR"/>
        </w:rPr>
        <w:t xml:space="preserve"> est actuellement soumis à l’examen de l’Assemblée législative nationale ; celle-ci l’avait renvoyé au Conseil des ministres</w:t>
      </w:r>
      <w:r w:rsidRPr="0016528A">
        <w:rPr>
          <w:lang w:val="fr-FR"/>
        </w:rPr>
        <w:t xml:space="preserve"> pour consultations supplémentaires</w:t>
      </w:r>
      <w:r>
        <w:rPr>
          <w:lang w:val="fr-FR"/>
        </w:rPr>
        <w:t xml:space="preserve"> e</w:t>
      </w:r>
      <w:r w:rsidRPr="0016528A">
        <w:rPr>
          <w:lang w:val="fr-FR"/>
        </w:rPr>
        <w:t>n mars</w:t>
      </w:r>
      <w:r>
        <w:rPr>
          <w:lang w:val="fr-FR"/>
        </w:rPr>
        <w:t xml:space="preserve"> </w:t>
      </w:r>
      <w:r w:rsidRPr="0016528A">
        <w:rPr>
          <w:lang w:val="fr-FR"/>
        </w:rPr>
        <w:t xml:space="preserve">2017. Un </w:t>
      </w:r>
      <w:r>
        <w:rPr>
          <w:lang w:val="fr-FR"/>
        </w:rPr>
        <w:t>c</w:t>
      </w:r>
      <w:r w:rsidRPr="0016528A">
        <w:rPr>
          <w:lang w:val="fr-FR"/>
        </w:rPr>
        <w:t>omité spécial chargé de traiter les plaintes pour torture et disparition forcée a été créé en 2017 par le Premier Ministre mais ses progrès sont lents, et les familles n</w:t>
      </w:r>
      <w:r>
        <w:rPr>
          <w:lang w:val="fr-FR"/>
        </w:rPr>
        <w:t>’</w:t>
      </w:r>
      <w:r w:rsidRPr="0016528A">
        <w:rPr>
          <w:lang w:val="fr-FR"/>
        </w:rPr>
        <w:t>ont été ni contactées ni informées de l</w:t>
      </w:r>
      <w:r>
        <w:rPr>
          <w:lang w:val="fr-FR"/>
        </w:rPr>
        <w:t>’</w:t>
      </w:r>
      <w:r w:rsidRPr="0016528A">
        <w:rPr>
          <w:lang w:val="fr-FR"/>
        </w:rPr>
        <w:t>évolution des affaires relevant de son mandat. Rien, en droit, ne permet actuellement de reconnaître officiellement la disparition forcée d</w:t>
      </w:r>
      <w:r>
        <w:rPr>
          <w:lang w:val="fr-FR"/>
        </w:rPr>
        <w:t>’</w:t>
      </w:r>
      <w:r w:rsidRPr="0016528A">
        <w:rPr>
          <w:lang w:val="fr-FR"/>
        </w:rPr>
        <w:t xml:space="preserve">une personne </w:t>
      </w:r>
      <w:r>
        <w:rPr>
          <w:lang w:val="fr-FR"/>
        </w:rPr>
        <w:t>et</w:t>
      </w:r>
      <w:r w:rsidRPr="0016528A">
        <w:rPr>
          <w:lang w:val="fr-FR"/>
        </w:rPr>
        <w:t xml:space="preserve"> les disparitions forcées</w:t>
      </w:r>
      <w:r>
        <w:rPr>
          <w:lang w:val="fr-FR"/>
        </w:rPr>
        <w:t xml:space="preserve"> ne constituent pas une infraction pénale au regard de la législation</w:t>
      </w:r>
      <w:r w:rsidRPr="0016528A">
        <w:rPr>
          <w:lang w:val="fr-FR"/>
        </w:rPr>
        <w:t>. Sans cette reconnaissance officielle, les familles des disparus n</w:t>
      </w:r>
      <w:r>
        <w:rPr>
          <w:lang w:val="fr-FR"/>
        </w:rPr>
        <w:t>’</w:t>
      </w:r>
      <w:r w:rsidRPr="0016528A">
        <w:rPr>
          <w:lang w:val="fr-FR"/>
        </w:rPr>
        <w:t>ont accès ni aux procédures judiciaires, ni à l</w:t>
      </w:r>
      <w:r>
        <w:rPr>
          <w:lang w:val="fr-FR"/>
        </w:rPr>
        <w:t>’</w:t>
      </w:r>
      <w:r w:rsidRPr="0016528A">
        <w:rPr>
          <w:lang w:val="fr-FR"/>
        </w:rPr>
        <w:t>indemnisation, ni aux voies de recours propres aux cas de disparition forcée.</w:t>
      </w:r>
    </w:p>
    <w:p w:rsidR="00C8688F" w:rsidRPr="0016528A" w:rsidRDefault="00C8688F" w:rsidP="00C8688F">
      <w:pPr>
        <w:pStyle w:val="SingleTxtG"/>
        <w:ind w:firstLine="567"/>
        <w:rPr>
          <w:lang w:val="fr-FR"/>
        </w:rPr>
      </w:pPr>
      <w:r w:rsidRPr="00D975AA">
        <w:rPr>
          <w:lang w:val="fr-FR"/>
        </w:rPr>
        <w:lastRenderedPageBreak/>
        <w:t xml:space="preserve">L’organisation cite l’affaire </w:t>
      </w:r>
      <w:proofErr w:type="spellStart"/>
      <w:r w:rsidRPr="000F2DE4">
        <w:rPr>
          <w:i/>
          <w:iCs/>
          <w:lang w:val="fr-FR"/>
        </w:rPr>
        <w:t>Somchai</w:t>
      </w:r>
      <w:proofErr w:type="spellEnd"/>
      <w:r w:rsidRPr="000F2DE4">
        <w:rPr>
          <w:i/>
          <w:iCs/>
          <w:lang w:val="fr-FR"/>
        </w:rPr>
        <w:t xml:space="preserve"> </w:t>
      </w:r>
      <w:proofErr w:type="spellStart"/>
      <w:r w:rsidRPr="000F2DE4">
        <w:rPr>
          <w:i/>
          <w:iCs/>
          <w:lang w:val="fr-FR"/>
        </w:rPr>
        <w:t>Neelapaijit</w:t>
      </w:r>
      <w:proofErr w:type="spellEnd"/>
      <w:r w:rsidRPr="00D975AA">
        <w:rPr>
          <w:lang w:val="fr-FR"/>
        </w:rPr>
        <w:t xml:space="preserve">. Plus de quinze ans se sont écoulés depuis la disparition de </w:t>
      </w:r>
      <w:proofErr w:type="spellStart"/>
      <w:r w:rsidRPr="00D975AA">
        <w:rPr>
          <w:lang w:val="fr-FR"/>
        </w:rPr>
        <w:t>Somchai</w:t>
      </w:r>
      <w:proofErr w:type="spellEnd"/>
      <w:r w:rsidRPr="00D975AA">
        <w:rPr>
          <w:lang w:val="fr-FR"/>
        </w:rPr>
        <w:t xml:space="preserve"> </w:t>
      </w:r>
      <w:proofErr w:type="spellStart"/>
      <w:r w:rsidRPr="00D975AA">
        <w:rPr>
          <w:lang w:val="fr-FR"/>
        </w:rPr>
        <w:t>Neelapaijit</w:t>
      </w:r>
      <w:proofErr w:type="spellEnd"/>
      <w:r w:rsidRPr="00D975AA">
        <w:rPr>
          <w:lang w:val="fr-FR"/>
        </w:rPr>
        <w:t xml:space="preserve"> et on ignore toujours ce qu’il est advenu de lui et où il se trouve. Selon l’organisation, l’épouse de M. </w:t>
      </w:r>
      <w:proofErr w:type="spellStart"/>
      <w:r w:rsidRPr="00D975AA">
        <w:rPr>
          <w:lang w:val="fr-FR"/>
        </w:rPr>
        <w:t>Neelapaijit</w:t>
      </w:r>
      <w:proofErr w:type="spellEnd"/>
      <w:r w:rsidRPr="00D975AA">
        <w:rPr>
          <w:lang w:val="fr-FR"/>
        </w:rPr>
        <w:t xml:space="preserve"> a certes reçu des indemnités mais elle n’a pas bénéficié de mesures de réparation suffisantes pour la violation flagrante des droits de l’homme commise, à savoir la disparition forcée de son mari.</w:t>
      </w:r>
    </w:p>
    <w:p w:rsidR="00C8688F" w:rsidRPr="0016528A" w:rsidRDefault="00C8688F" w:rsidP="000F2DE4">
      <w:pPr>
        <w:pStyle w:val="H23G"/>
        <w:rPr>
          <w:lang w:val="fr-FR"/>
        </w:rPr>
      </w:pPr>
      <w:r w:rsidRPr="0016528A">
        <w:rPr>
          <w:lang w:val="fr-FR"/>
        </w:rPr>
        <w:tab/>
      </w:r>
      <w:r w:rsidRPr="0016528A">
        <w:rPr>
          <w:lang w:val="fr-FR"/>
        </w:rPr>
        <w:tab/>
        <w:t>Évaluation du Comité</w:t>
      </w:r>
    </w:p>
    <w:p w:rsidR="00C8688F" w:rsidRPr="0016528A" w:rsidRDefault="00C8688F" w:rsidP="00C8688F">
      <w:pPr>
        <w:pStyle w:val="SingleTxtG"/>
        <w:rPr>
          <w:lang w:val="fr-FR"/>
        </w:rPr>
      </w:pPr>
      <w:r w:rsidRPr="000F2DE4">
        <w:rPr>
          <w:bCs/>
          <w:lang w:val="fr-FR"/>
        </w:rPr>
        <w:t>[</w:t>
      </w:r>
      <w:r w:rsidRPr="0016528A">
        <w:rPr>
          <w:b/>
          <w:lang w:val="fr-FR"/>
        </w:rPr>
        <w:t>B</w:t>
      </w:r>
      <w:r w:rsidRPr="000F2DE4">
        <w:rPr>
          <w:bCs/>
          <w:lang w:val="fr-FR"/>
        </w:rPr>
        <w:t>] :</w:t>
      </w:r>
      <w:r w:rsidRPr="0016528A">
        <w:rPr>
          <w:lang w:val="fr-FR"/>
        </w:rPr>
        <w:t xml:space="preserve"> a), b), c) et f)</w:t>
      </w:r>
      <w:r>
        <w:rPr>
          <w:lang w:val="fr-FR"/>
        </w:rPr>
        <w:t> </w:t>
      </w:r>
      <w:r w:rsidRPr="0016528A">
        <w:rPr>
          <w:lang w:val="fr-FR"/>
        </w:rPr>
        <w:t>: Le Comité prend note avec intérêt de l</w:t>
      </w:r>
      <w:r>
        <w:rPr>
          <w:lang w:val="fr-FR"/>
        </w:rPr>
        <w:t>’</w:t>
      </w:r>
      <w:r w:rsidRPr="0016528A">
        <w:rPr>
          <w:lang w:val="fr-FR"/>
        </w:rPr>
        <w:t>ordonnance n</w:t>
      </w:r>
      <w:r w:rsidRPr="0016528A">
        <w:rPr>
          <w:vertAlign w:val="superscript"/>
          <w:lang w:val="fr-FR"/>
        </w:rPr>
        <w:t>o</w:t>
      </w:r>
      <w:r w:rsidRPr="0016528A">
        <w:rPr>
          <w:lang w:val="fr-FR"/>
        </w:rPr>
        <w:t> 131/2560 du 23</w:t>
      </w:r>
      <w:r>
        <w:rPr>
          <w:lang w:val="fr-FR"/>
        </w:rPr>
        <w:t> </w:t>
      </w:r>
      <w:r w:rsidRPr="0016528A">
        <w:rPr>
          <w:lang w:val="fr-FR"/>
        </w:rPr>
        <w:t xml:space="preserve">mai 2017 mais demande des informations sur les mesures prises par le Comité national pour la gestion des affaires de torture et de disparition forcée, </w:t>
      </w:r>
      <w:r>
        <w:rPr>
          <w:lang w:val="fr-FR"/>
        </w:rPr>
        <w:t>notamment</w:t>
      </w:r>
      <w:r w:rsidRPr="0016528A">
        <w:rPr>
          <w:lang w:val="fr-FR"/>
        </w:rPr>
        <w:t xml:space="preserve"> sur les enquêtes menées et sur l</w:t>
      </w:r>
      <w:r>
        <w:rPr>
          <w:lang w:val="fr-FR"/>
        </w:rPr>
        <w:t>’</w:t>
      </w:r>
      <w:r w:rsidRPr="0016528A">
        <w:rPr>
          <w:lang w:val="fr-FR"/>
        </w:rPr>
        <w:t xml:space="preserve">issue de ces affaires. Il demande aussi des renseignements sur : </w:t>
      </w:r>
      <w:r>
        <w:rPr>
          <w:lang w:val="fr-FR"/>
        </w:rPr>
        <w:t>i</w:t>
      </w:r>
      <w:r w:rsidRPr="0016528A">
        <w:rPr>
          <w:lang w:val="fr-FR"/>
        </w:rPr>
        <w:t>)</w:t>
      </w:r>
      <w:r>
        <w:rPr>
          <w:lang w:val="fr-FR"/>
        </w:rPr>
        <w:t> </w:t>
      </w:r>
      <w:r w:rsidRPr="0016528A">
        <w:rPr>
          <w:lang w:val="fr-FR"/>
        </w:rPr>
        <w:t>les</w:t>
      </w:r>
      <w:r w:rsidR="000F2DE4">
        <w:rPr>
          <w:lang w:val="fr-FR"/>
        </w:rPr>
        <w:t xml:space="preserve"> </w:t>
      </w:r>
      <w:r w:rsidRPr="0016528A">
        <w:rPr>
          <w:lang w:val="fr-FR"/>
        </w:rPr>
        <w:t xml:space="preserve">progrès réalisés </w:t>
      </w:r>
      <w:r>
        <w:rPr>
          <w:lang w:val="fr-FR"/>
        </w:rPr>
        <w:t>en vue de</w:t>
      </w:r>
      <w:r w:rsidRPr="0016528A">
        <w:rPr>
          <w:lang w:val="fr-FR"/>
        </w:rPr>
        <w:t xml:space="preserve"> l</w:t>
      </w:r>
      <w:r>
        <w:rPr>
          <w:lang w:val="fr-FR"/>
        </w:rPr>
        <w:t>’</w:t>
      </w:r>
      <w:r w:rsidRPr="0016528A">
        <w:rPr>
          <w:lang w:val="fr-FR"/>
        </w:rPr>
        <w:t>adoption du projet de loi sur la prévention et la répression de la torture et des disparitions forcées, et la question de savoir si le projet actuel est pleinement conforme au Pacte ;</w:t>
      </w:r>
      <w:r>
        <w:rPr>
          <w:lang w:val="fr-FR"/>
        </w:rPr>
        <w:t xml:space="preserve"> ii</w:t>
      </w:r>
      <w:r w:rsidRPr="0016528A">
        <w:rPr>
          <w:lang w:val="fr-FR"/>
        </w:rPr>
        <w:t>) l</w:t>
      </w:r>
      <w:r>
        <w:rPr>
          <w:lang w:val="fr-FR"/>
        </w:rPr>
        <w:t>’</w:t>
      </w:r>
      <w:r w:rsidRPr="0016528A">
        <w:rPr>
          <w:lang w:val="fr-FR"/>
        </w:rPr>
        <w:t xml:space="preserve">affaire </w:t>
      </w:r>
      <w:proofErr w:type="spellStart"/>
      <w:r w:rsidRPr="000F2DE4">
        <w:rPr>
          <w:i/>
          <w:lang w:val="fr-FR"/>
        </w:rPr>
        <w:t>Porlajee</w:t>
      </w:r>
      <w:proofErr w:type="spellEnd"/>
      <w:r w:rsidRPr="000F2DE4">
        <w:rPr>
          <w:i/>
          <w:lang w:val="fr-FR"/>
        </w:rPr>
        <w:t xml:space="preserve"> « Billy » </w:t>
      </w:r>
      <w:proofErr w:type="spellStart"/>
      <w:r w:rsidRPr="000F2DE4">
        <w:rPr>
          <w:i/>
          <w:lang w:val="fr-FR"/>
        </w:rPr>
        <w:t>Rakchongcharoen</w:t>
      </w:r>
      <w:proofErr w:type="spellEnd"/>
      <w:r w:rsidRPr="0016528A">
        <w:rPr>
          <w:lang w:val="fr-FR"/>
        </w:rPr>
        <w:t xml:space="preserve">, </w:t>
      </w:r>
      <w:r>
        <w:rPr>
          <w:lang w:val="fr-FR"/>
        </w:rPr>
        <w:t xml:space="preserve">affaire exceptionnelle qui fait l’objet d’une enquête confiée au </w:t>
      </w:r>
      <w:r w:rsidRPr="0016528A">
        <w:rPr>
          <w:lang w:val="fr-FR"/>
        </w:rPr>
        <w:t>Département des enquêtes spéciales, ainsi qu</w:t>
      </w:r>
      <w:r>
        <w:rPr>
          <w:lang w:val="fr-FR"/>
        </w:rPr>
        <w:t>’</w:t>
      </w:r>
      <w:r w:rsidRPr="0016528A">
        <w:rPr>
          <w:lang w:val="fr-FR"/>
        </w:rPr>
        <w:t xml:space="preserve">annoncé dans le Journal officiel du 11 juillet 2018 ; </w:t>
      </w:r>
      <w:r>
        <w:rPr>
          <w:lang w:val="fr-FR"/>
        </w:rPr>
        <w:t>iii</w:t>
      </w:r>
      <w:r w:rsidRPr="0016528A">
        <w:rPr>
          <w:lang w:val="fr-FR"/>
        </w:rPr>
        <w:t>) l</w:t>
      </w:r>
      <w:r>
        <w:rPr>
          <w:lang w:val="fr-FR"/>
        </w:rPr>
        <w:t>’</w:t>
      </w:r>
      <w:r w:rsidRPr="0016528A">
        <w:rPr>
          <w:lang w:val="fr-FR"/>
        </w:rPr>
        <w:t xml:space="preserve">affaire </w:t>
      </w:r>
      <w:proofErr w:type="spellStart"/>
      <w:r w:rsidRPr="000F2DE4">
        <w:rPr>
          <w:i/>
          <w:iCs/>
          <w:lang w:val="fr-FR"/>
        </w:rPr>
        <w:t>Somchai</w:t>
      </w:r>
      <w:proofErr w:type="spellEnd"/>
      <w:r w:rsidRPr="000F2DE4">
        <w:rPr>
          <w:i/>
          <w:iCs/>
          <w:lang w:val="fr-FR"/>
        </w:rPr>
        <w:t xml:space="preserve"> </w:t>
      </w:r>
      <w:proofErr w:type="spellStart"/>
      <w:r w:rsidRPr="000F2DE4">
        <w:rPr>
          <w:i/>
          <w:iCs/>
          <w:lang w:val="fr-FR"/>
        </w:rPr>
        <w:t>Neelapaijit</w:t>
      </w:r>
      <w:proofErr w:type="spellEnd"/>
      <w:r w:rsidRPr="0016528A">
        <w:rPr>
          <w:lang w:val="fr-FR"/>
        </w:rPr>
        <w:t xml:space="preserve"> ; </w:t>
      </w:r>
      <w:r>
        <w:rPr>
          <w:lang w:val="fr-FR"/>
        </w:rPr>
        <w:t>iv</w:t>
      </w:r>
      <w:r w:rsidRPr="0016528A">
        <w:rPr>
          <w:lang w:val="fr-FR"/>
        </w:rPr>
        <w:t>) les plaintes pour diffamation qui auraient été déposées</w:t>
      </w:r>
      <w:r>
        <w:rPr>
          <w:lang w:val="fr-FR"/>
        </w:rPr>
        <w:t xml:space="preserve"> par des militaires</w:t>
      </w:r>
      <w:r w:rsidRPr="0016528A">
        <w:rPr>
          <w:lang w:val="fr-FR"/>
        </w:rPr>
        <w:t xml:space="preserve"> contre des personnes ayant signalé des actes de torture. Le Comité renouvelle sa recommandation.</w:t>
      </w:r>
    </w:p>
    <w:p w:rsidR="00C8688F" w:rsidRPr="0016528A" w:rsidRDefault="00C8688F" w:rsidP="00C8688F">
      <w:pPr>
        <w:pStyle w:val="SingleTxtG"/>
        <w:ind w:firstLine="567"/>
        <w:rPr>
          <w:lang w:val="fr-FR"/>
        </w:rPr>
      </w:pPr>
      <w:r w:rsidRPr="0016528A">
        <w:rPr>
          <w:lang w:val="fr-FR"/>
        </w:rPr>
        <w:t xml:space="preserve">Le Comité prend note du </w:t>
      </w:r>
      <w:r w:rsidR="000F2DE4">
        <w:rPr>
          <w:lang w:val="fr-FR"/>
        </w:rPr>
        <w:t>P</w:t>
      </w:r>
      <w:r w:rsidRPr="0016528A">
        <w:rPr>
          <w:lang w:val="fr-FR"/>
        </w:rPr>
        <w:t>lan national de réforme du système judiciaire lancé en avril 2018 et des mesures prises pour indemnis</w:t>
      </w:r>
      <w:r>
        <w:rPr>
          <w:lang w:val="fr-FR"/>
        </w:rPr>
        <w:t>er les</w:t>
      </w:r>
      <w:r w:rsidRPr="0016528A">
        <w:rPr>
          <w:lang w:val="fr-FR"/>
        </w:rPr>
        <w:t xml:space="preserve"> victimes. Il demande toutefois des informations sur les mesures prises pour garantir que toutes les victimes bénéficient systématiquement </w:t>
      </w:r>
      <w:r>
        <w:rPr>
          <w:lang w:val="fr-FR"/>
        </w:rPr>
        <w:t>de mesures de</w:t>
      </w:r>
      <w:r w:rsidRPr="0016528A">
        <w:rPr>
          <w:lang w:val="fr-FR"/>
        </w:rPr>
        <w:t xml:space="preserve"> réparation</w:t>
      </w:r>
      <w:r>
        <w:rPr>
          <w:lang w:val="fr-FR"/>
        </w:rPr>
        <w:t xml:space="preserve"> complètes</w:t>
      </w:r>
      <w:r w:rsidRPr="0016528A">
        <w:rPr>
          <w:lang w:val="fr-FR"/>
        </w:rPr>
        <w:t xml:space="preserve">, </w:t>
      </w:r>
      <w:r>
        <w:rPr>
          <w:lang w:val="fr-FR"/>
        </w:rPr>
        <w:t xml:space="preserve">comprenant notamment </w:t>
      </w:r>
      <w:r w:rsidRPr="0016528A">
        <w:rPr>
          <w:lang w:val="fr-FR"/>
        </w:rPr>
        <w:t>un</w:t>
      </w:r>
      <w:r>
        <w:rPr>
          <w:lang w:val="fr-FR"/>
        </w:rPr>
        <w:t xml:space="preserve"> accompagnement </w:t>
      </w:r>
      <w:r w:rsidRPr="0016528A">
        <w:rPr>
          <w:lang w:val="fr-FR"/>
        </w:rPr>
        <w:t>psychologique.</w:t>
      </w:r>
    </w:p>
    <w:p w:rsidR="00C8688F" w:rsidRPr="0016528A" w:rsidRDefault="00C8688F" w:rsidP="00C8688F">
      <w:pPr>
        <w:pStyle w:val="SingleTxtG"/>
        <w:ind w:firstLine="567"/>
        <w:rPr>
          <w:lang w:val="fr-FR"/>
        </w:rPr>
      </w:pPr>
      <w:r w:rsidRPr="0016528A">
        <w:rPr>
          <w:lang w:val="fr-FR"/>
        </w:rPr>
        <w:t>Le Comité prend note des renseignements sur les séances de formation organisées à l</w:t>
      </w:r>
      <w:r>
        <w:rPr>
          <w:lang w:val="fr-FR"/>
        </w:rPr>
        <w:t>’</w:t>
      </w:r>
      <w:r w:rsidRPr="0016528A">
        <w:rPr>
          <w:lang w:val="fr-FR"/>
        </w:rPr>
        <w:t>intention des agents des forces de l</w:t>
      </w:r>
      <w:r>
        <w:rPr>
          <w:lang w:val="fr-FR"/>
        </w:rPr>
        <w:t>’</w:t>
      </w:r>
      <w:r w:rsidRPr="0016528A">
        <w:rPr>
          <w:lang w:val="fr-FR"/>
        </w:rPr>
        <w:t>ordre et du personnel militaire</w:t>
      </w:r>
      <w:r>
        <w:rPr>
          <w:lang w:val="fr-FR"/>
        </w:rPr>
        <w:t xml:space="preserve"> ; il </w:t>
      </w:r>
      <w:r w:rsidRPr="0016528A">
        <w:rPr>
          <w:lang w:val="fr-FR"/>
        </w:rPr>
        <w:t>demande des informations actualisées sur la fréquence et le contenu de ces formations</w:t>
      </w:r>
      <w:r w:rsidRPr="00FC775D">
        <w:t xml:space="preserve"> </w:t>
      </w:r>
      <w:r>
        <w:t>et souhaite savoir si des juges et des procureurs participent à ces séances</w:t>
      </w:r>
      <w:r w:rsidRPr="0016528A">
        <w:rPr>
          <w:lang w:val="fr-FR"/>
        </w:rPr>
        <w:t>.</w:t>
      </w:r>
    </w:p>
    <w:p w:rsidR="00C8688F" w:rsidRPr="0016528A" w:rsidRDefault="00C8688F" w:rsidP="00C8688F">
      <w:pPr>
        <w:pStyle w:val="SingleTxtG"/>
        <w:rPr>
          <w:lang w:val="fr-FR"/>
        </w:rPr>
      </w:pPr>
      <w:r w:rsidRPr="000F2DE4">
        <w:rPr>
          <w:bCs/>
          <w:lang w:val="fr-FR"/>
        </w:rPr>
        <w:t>[</w:t>
      </w:r>
      <w:r w:rsidRPr="0016528A">
        <w:rPr>
          <w:b/>
          <w:lang w:val="fr-FR"/>
        </w:rPr>
        <w:t>C</w:t>
      </w:r>
      <w:r w:rsidRPr="000F2DE4">
        <w:rPr>
          <w:bCs/>
          <w:lang w:val="fr-FR"/>
        </w:rPr>
        <w:t>] :</w:t>
      </w:r>
      <w:r w:rsidRPr="0016528A">
        <w:rPr>
          <w:lang w:val="fr-FR"/>
        </w:rPr>
        <w:t xml:space="preserve"> d) et e)</w:t>
      </w:r>
      <w:r>
        <w:rPr>
          <w:lang w:val="fr-FR"/>
        </w:rPr>
        <w:t> </w:t>
      </w:r>
      <w:r w:rsidRPr="0016528A">
        <w:rPr>
          <w:lang w:val="fr-FR"/>
        </w:rPr>
        <w:t>: Le Comité regrette l</w:t>
      </w:r>
      <w:r>
        <w:rPr>
          <w:lang w:val="fr-FR"/>
        </w:rPr>
        <w:t>’</w:t>
      </w:r>
      <w:r w:rsidRPr="0016528A">
        <w:rPr>
          <w:lang w:val="fr-FR"/>
        </w:rPr>
        <w:t>absence d</w:t>
      </w:r>
      <w:r>
        <w:rPr>
          <w:lang w:val="fr-FR"/>
        </w:rPr>
        <w:t>’</w:t>
      </w:r>
      <w:r w:rsidRPr="0016528A">
        <w:rPr>
          <w:lang w:val="fr-FR"/>
        </w:rPr>
        <w:t>informations sur les mesures prises pour modifier la loi martiale, le décret sur l</w:t>
      </w:r>
      <w:r>
        <w:rPr>
          <w:lang w:val="fr-FR"/>
        </w:rPr>
        <w:t>’</w:t>
      </w:r>
      <w:r w:rsidRPr="0016528A">
        <w:rPr>
          <w:lang w:val="fr-FR"/>
        </w:rPr>
        <w:t>état d</w:t>
      </w:r>
      <w:r>
        <w:rPr>
          <w:lang w:val="fr-FR"/>
        </w:rPr>
        <w:t>’</w:t>
      </w:r>
      <w:r w:rsidRPr="0016528A">
        <w:rPr>
          <w:lang w:val="fr-FR"/>
        </w:rPr>
        <w:t>urgence et l</w:t>
      </w:r>
      <w:r>
        <w:rPr>
          <w:lang w:val="fr-FR"/>
        </w:rPr>
        <w:t>’</w:t>
      </w:r>
      <w:r w:rsidRPr="0016528A">
        <w:rPr>
          <w:lang w:val="fr-FR"/>
        </w:rPr>
        <w:t>ordonnance n</w:t>
      </w:r>
      <w:r w:rsidRPr="0016528A">
        <w:rPr>
          <w:vertAlign w:val="superscript"/>
          <w:lang w:val="fr-FR"/>
        </w:rPr>
        <w:t>o</w:t>
      </w:r>
      <w:r w:rsidRPr="0016528A">
        <w:rPr>
          <w:lang w:val="fr-FR"/>
        </w:rPr>
        <w:t xml:space="preserve"> 3/2015 </w:t>
      </w:r>
      <w:r>
        <w:rPr>
          <w:lang w:val="fr-FR"/>
        </w:rPr>
        <w:t>(</w:t>
      </w:r>
      <w:r w:rsidRPr="0016528A">
        <w:rPr>
          <w:lang w:val="fr-FR"/>
        </w:rPr>
        <w:t>n</w:t>
      </w:r>
      <w:r w:rsidRPr="0016528A">
        <w:rPr>
          <w:vertAlign w:val="superscript"/>
          <w:lang w:val="fr-FR"/>
        </w:rPr>
        <w:t>o</w:t>
      </w:r>
      <w:r w:rsidRPr="0016528A">
        <w:rPr>
          <w:lang w:val="fr-FR"/>
        </w:rPr>
        <w:t> 3/2</w:t>
      </w:r>
      <w:r>
        <w:rPr>
          <w:lang w:val="fr-FR"/>
        </w:rPr>
        <w:t>558)</w:t>
      </w:r>
      <w:r w:rsidRPr="0016528A">
        <w:rPr>
          <w:lang w:val="fr-FR"/>
        </w:rPr>
        <w:t xml:space="preserve"> afin que ces trois textes respectent toutes les dispositions du Pacte. Il regrette aussi que ces textes soient apparemment trop souvent invoqués, en violation du Pacte. Il renouvelle sa recommandation.</w:t>
      </w:r>
    </w:p>
    <w:p w:rsidR="00C8688F" w:rsidRPr="0016528A" w:rsidRDefault="00C8688F" w:rsidP="00C8688F">
      <w:pPr>
        <w:pStyle w:val="SingleTxtG"/>
        <w:ind w:firstLine="567"/>
        <w:rPr>
          <w:lang w:val="fr-FR"/>
        </w:rPr>
      </w:pPr>
      <w:r w:rsidRPr="0016528A">
        <w:rPr>
          <w:lang w:val="fr-FR"/>
        </w:rPr>
        <w:t>Le Comité regrette l</w:t>
      </w:r>
      <w:r>
        <w:rPr>
          <w:lang w:val="fr-FR"/>
        </w:rPr>
        <w:t>’</w:t>
      </w:r>
      <w:r w:rsidRPr="0016528A">
        <w:rPr>
          <w:lang w:val="fr-FR"/>
        </w:rPr>
        <w:t>absence de renseignements sur les mesures prises pour mettre en place un mécanisme indépendant de prévention et de répression de la torture et des disparitions forcées. Il renouvelle sa recommandation.</w:t>
      </w:r>
    </w:p>
    <w:p w:rsidR="00C8688F" w:rsidRPr="0016528A" w:rsidRDefault="00C8688F" w:rsidP="000F2DE4">
      <w:pPr>
        <w:pStyle w:val="H23G"/>
        <w:rPr>
          <w:lang w:val="fr-FR"/>
        </w:rPr>
      </w:pPr>
      <w:r w:rsidRPr="0016528A">
        <w:rPr>
          <w:lang w:val="fr-FR"/>
        </w:rPr>
        <w:tab/>
      </w:r>
      <w:r w:rsidRPr="0016528A">
        <w:rPr>
          <w:lang w:val="fr-FR"/>
        </w:rPr>
        <w:tab/>
        <w:t>Paragraphe 34</w:t>
      </w:r>
      <w:r>
        <w:rPr>
          <w:lang w:val="fr-FR"/>
        </w:rPr>
        <w:t> </w:t>
      </w:r>
      <w:r w:rsidRPr="0016528A">
        <w:rPr>
          <w:lang w:val="fr-FR"/>
        </w:rPr>
        <w:t>: Conditions de détention</w:t>
      </w:r>
    </w:p>
    <w:p w:rsidR="00C8688F" w:rsidRPr="0016528A" w:rsidRDefault="00C8688F" w:rsidP="00C8688F">
      <w:pPr>
        <w:pStyle w:val="SingleTxtG"/>
        <w:ind w:firstLine="567"/>
        <w:rPr>
          <w:b/>
          <w:lang w:val="fr-FR"/>
        </w:rPr>
      </w:pPr>
      <w:r w:rsidRPr="0016528A">
        <w:rPr>
          <w:b/>
          <w:lang w:val="fr-FR"/>
        </w:rPr>
        <w:t>L</w:t>
      </w:r>
      <w:r>
        <w:rPr>
          <w:b/>
          <w:lang w:val="fr-FR"/>
        </w:rPr>
        <w:t>’</w:t>
      </w:r>
      <w:r w:rsidRPr="0016528A">
        <w:rPr>
          <w:b/>
          <w:lang w:val="fr-FR"/>
        </w:rPr>
        <w:t xml:space="preserve">État partie devrait poursuivre ses efforts pour améliorer les conditions de détention en prenant des mesures pratiques pour réduire la surpopulation, en particulier en </w:t>
      </w:r>
      <w:r>
        <w:rPr>
          <w:b/>
          <w:lang w:val="fr-FR"/>
        </w:rPr>
        <w:t>encourageant le recours</w:t>
      </w:r>
      <w:r w:rsidRPr="0016528A">
        <w:rPr>
          <w:b/>
          <w:lang w:val="fr-FR"/>
        </w:rPr>
        <w:t xml:space="preserve"> </w:t>
      </w:r>
      <w:r>
        <w:rPr>
          <w:b/>
          <w:lang w:val="fr-FR"/>
        </w:rPr>
        <w:t>à des</w:t>
      </w:r>
      <w:r w:rsidRPr="0016528A">
        <w:rPr>
          <w:b/>
          <w:lang w:val="fr-FR"/>
        </w:rPr>
        <w:t xml:space="preserve"> </w:t>
      </w:r>
      <w:r>
        <w:rPr>
          <w:b/>
          <w:lang w:val="fr-FR"/>
        </w:rPr>
        <w:t>mesures</w:t>
      </w:r>
      <w:r w:rsidRPr="0016528A">
        <w:rPr>
          <w:b/>
          <w:lang w:val="fr-FR"/>
        </w:rPr>
        <w:t xml:space="preserve"> de substitution à la détention. Il</w:t>
      </w:r>
      <w:r w:rsidR="000F2DE4">
        <w:rPr>
          <w:b/>
          <w:lang w:val="fr-FR"/>
        </w:rPr>
        <w:t> </w:t>
      </w:r>
      <w:r w:rsidRPr="0016528A">
        <w:rPr>
          <w:b/>
          <w:lang w:val="fr-FR"/>
        </w:rPr>
        <w:t>devrait aussi redoubler d</w:t>
      </w:r>
      <w:r>
        <w:rPr>
          <w:b/>
          <w:lang w:val="fr-FR"/>
        </w:rPr>
        <w:t>’</w:t>
      </w:r>
      <w:r w:rsidRPr="0016528A">
        <w:rPr>
          <w:b/>
          <w:lang w:val="fr-FR"/>
        </w:rPr>
        <w:t>efforts pour garantir le droit des détenus d</w:t>
      </w:r>
      <w:r>
        <w:rPr>
          <w:b/>
          <w:lang w:val="fr-FR"/>
        </w:rPr>
        <w:t>’</w:t>
      </w:r>
      <w:r w:rsidRPr="0016528A">
        <w:rPr>
          <w:b/>
          <w:lang w:val="fr-FR"/>
        </w:rPr>
        <w:t>être traités avec humanité et dignité et s</w:t>
      </w:r>
      <w:r>
        <w:rPr>
          <w:b/>
          <w:lang w:val="fr-FR"/>
        </w:rPr>
        <w:t>’</w:t>
      </w:r>
      <w:r w:rsidRPr="0016528A">
        <w:rPr>
          <w:b/>
          <w:lang w:val="fr-FR"/>
        </w:rPr>
        <w:t>assurer que les conditions de détention dans toutes les prisons du pays soient conformes à l</w:t>
      </w:r>
      <w:r>
        <w:rPr>
          <w:b/>
          <w:lang w:val="fr-FR"/>
        </w:rPr>
        <w:t>’</w:t>
      </w:r>
      <w:r w:rsidRPr="0016528A">
        <w:rPr>
          <w:b/>
          <w:lang w:val="fr-FR"/>
        </w:rPr>
        <w:t>Ensemble de règles minima des Nations Unies pour le traitement des détenus (Règles Nelson Mandela).</w:t>
      </w:r>
    </w:p>
    <w:p w:rsidR="00C8688F" w:rsidRPr="0016528A" w:rsidRDefault="00C8688F" w:rsidP="000F2DE4">
      <w:pPr>
        <w:pStyle w:val="H23G"/>
        <w:rPr>
          <w:lang w:val="fr-FR"/>
        </w:rPr>
      </w:pPr>
      <w:r w:rsidRPr="0016528A">
        <w:rPr>
          <w:lang w:val="fr-FR"/>
        </w:rPr>
        <w:tab/>
      </w:r>
      <w:r w:rsidRPr="0016528A">
        <w:rPr>
          <w:lang w:val="fr-FR"/>
        </w:rPr>
        <w:tab/>
        <w:t>Résumé de la réponse de l</w:t>
      </w:r>
      <w:r>
        <w:rPr>
          <w:lang w:val="fr-FR"/>
        </w:rPr>
        <w:t>’</w:t>
      </w:r>
      <w:r w:rsidRPr="0016528A">
        <w:rPr>
          <w:lang w:val="fr-FR"/>
        </w:rPr>
        <w:t>État partie</w:t>
      </w:r>
    </w:p>
    <w:p w:rsidR="00C8688F" w:rsidRPr="0016528A" w:rsidRDefault="00C8688F" w:rsidP="00C8688F">
      <w:pPr>
        <w:pStyle w:val="SingleTxtG"/>
        <w:ind w:firstLine="567"/>
        <w:rPr>
          <w:lang w:val="fr-FR"/>
        </w:rPr>
      </w:pPr>
      <w:r w:rsidRPr="0016528A">
        <w:rPr>
          <w:lang w:val="fr-FR"/>
        </w:rPr>
        <w:t>La Thaïlande est déterminée à redoubler d</w:t>
      </w:r>
      <w:r>
        <w:rPr>
          <w:lang w:val="fr-FR"/>
        </w:rPr>
        <w:t>’</w:t>
      </w:r>
      <w:r w:rsidRPr="0016528A">
        <w:rPr>
          <w:lang w:val="fr-FR"/>
        </w:rPr>
        <w:t>efforts pour améliorer les conditions de détention. En juillet 2017, le Département de l</w:t>
      </w:r>
      <w:r>
        <w:rPr>
          <w:lang w:val="fr-FR"/>
        </w:rPr>
        <w:t>’</w:t>
      </w:r>
      <w:r w:rsidRPr="0016528A">
        <w:rPr>
          <w:lang w:val="fr-FR"/>
        </w:rPr>
        <w:t>administration pénitentiaire du Ministère de la justice et l</w:t>
      </w:r>
      <w:r>
        <w:rPr>
          <w:lang w:val="fr-FR"/>
        </w:rPr>
        <w:t>’</w:t>
      </w:r>
      <w:r w:rsidRPr="0016528A">
        <w:rPr>
          <w:lang w:val="fr-FR"/>
        </w:rPr>
        <w:t>Institut thaïlandais de la justice ont annoncé qu</w:t>
      </w:r>
      <w:r>
        <w:rPr>
          <w:lang w:val="fr-FR"/>
        </w:rPr>
        <w:t>’</w:t>
      </w:r>
      <w:r w:rsidRPr="0016528A">
        <w:rPr>
          <w:lang w:val="fr-FR"/>
        </w:rPr>
        <w:t>ils s</w:t>
      </w:r>
      <w:r>
        <w:rPr>
          <w:lang w:val="fr-FR"/>
        </w:rPr>
        <w:t>’</w:t>
      </w:r>
      <w:r w:rsidRPr="0016528A">
        <w:rPr>
          <w:lang w:val="fr-FR"/>
        </w:rPr>
        <w:t xml:space="preserve">engageaient conjointement à </w:t>
      </w:r>
      <w:r>
        <w:rPr>
          <w:lang w:val="fr-FR"/>
        </w:rPr>
        <w:t>s’efforcer de faire appliquer</w:t>
      </w:r>
      <w:r w:rsidRPr="0016528A">
        <w:rPr>
          <w:lang w:val="fr-FR"/>
        </w:rPr>
        <w:t xml:space="preserve"> intégrale</w:t>
      </w:r>
      <w:r>
        <w:rPr>
          <w:lang w:val="fr-FR"/>
        </w:rPr>
        <w:t>ment</w:t>
      </w:r>
      <w:r w:rsidRPr="0016528A">
        <w:rPr>
          <w:lang w:val="fr-FR"/>
        </w:rPr>
        <w:t xml:space="preserve"> et </w:t>
      </w:r>
      <w:r>
        <w:rPr>
          <w:lang w:val="fr-FR"/>
        </w:rPr>
        <w:t xml:space="preserve">de façon </w:t>
      </w:r>
      <w:r w:rsidRPr="0016528A">
        <w:rPr>
          <w:lang w:val="fr-FR"/>
        </w:rPr>
        <w:t xml:space="preserve">effective </w:t>
      </w:r>
      <w:r>
        <w:rPr>
          <w:lang w:val="fr-FR"/>
        </w:rPr>
        <w:t xml:space="preserve">les </w:t>
      </w:r>
      <w:r w:rsidRPr="0016528A">
        <w:rPr>
          <w:lang w:val="fr-FR"/>
        </w:rPr>
        <w:t>Règles Nelson Mandela dans le pays. Le Département de l</w:t>
      </w:r>
      <w:r>
        <w:rPr>
          <w:lang w:val="fr-FR"/>
        </w:rPr>
        <w:t>’</w:t>
      </w:r>
      <w:r w:rsidRPr="0016528A">
        <w:rPr>
          <w:lang w:val="fr-FR"/>
        </w:rPr>
        <w:t>administration pénitentiaire a fait de la maison d</w:t>
      </w:r>
      <w:r>
        <w:rPr>
          <w:lang w:val="fr-FR"/>
        </w:rPr>
        <w:t>’</w:t>
      </w:r>
      <w:r w:rsidRPr="0016528A">
        <w:rPr>
          <w:lang w:val="fr-FR"/>
        </w:rPr>
        <w:t xml:space="preserve">arrêt de Thonburi un établissement pénitentiaire pilote pour ce projet et </w:t>
      </w:r>
      <w:r>
        <w:rPr>
          <w:lang w:val="fr-FR"/>
        </w:rPr>
        <w:t>a l’intention de</w:t>
      </w:r>
      <w:r w:rsidRPr="0016528A">
        <w:rPr>
          <w:lang w:val="fr-FR"/>
        </w:rPr>
        <w:t xml:space="preserve"> faire appliquer pleinement les Règles Nelson Mandela en 2018.</w:t>
      </w:r>
    </w:p>
    <w:p w:rsidR="00C8688F" w:rsidRPr="0016528A" w:rsidRDefault="00C8688F" w:rsidP="00C8688F">
      <w:pPr>
        <w:pStyle w:val="SingleTxtG"/>
        <w:ind w:firstLine="567"/>
        <w:rPr>
          <w:lang w:val="fr-FR"/>
        </w:rPr>
      </w:pPr>
      <w:r w:rsidRPr="0016528A">
        <w:rPr>
          <w:lang w:val="fr-FR"/>
        </w:rPr>
        <w:lastRenderedPageBreak/>
        <w:t>La Division des services médicaux du Département de l</w:t>
      </w:r>
      <w:r>
        <w:rPr>
          <w:lang w:val="fr-FR"/>
        </w:rPr>
        <w:t>’</w:t>
      </w:r>
      <w:r w:rsidRPr="0016528A">
        <w:rPr>
          <w:lang w:val="fr-FR"/>
        </w:rPr>
        <w:t xml:space="preserve">administration pénitentiaire consacre ses efforts et ses ressources à garantir aux détenus des services médicaux appropriés, notamment des visites régulières dans des hôpitaux </w:t>
      </w:r>
      <w:r>
        <w:rPr>
          <w:lang w:val="fr-FR"/>
        </w:rPr>
        <w:t>externes</w:t>
      </w:r>
      <w:r w:rsidRPr="0016528A">
        <w:rPr>
          <w:lang w:val="fr-FR"/>
        </w:rPr>
        <w:t>.</w:t>
      </w:r>
    </w:p>
    <w:p w:rsidR="00C8688F" w:rsidRPr="0016528A" w:rsidRDefault="00C8688F" w:rsidP="00C8688F">
      <w:pPr>
        <w:pStyle w:val="SingleTxtG"/>
        <w:ind w:firstLine="567"/>
        <w:rPr>
          <w:lang w:val="fr-FR"/>
        </w:rPr>
      </w:pPr>
      <w:r w:rsidRPr="0016528A">
        <w:rPr>
          <w:lang w:val="fr-FR"/>
        </w:rPr>
        <w:t>Les activités du Département de l</w:t>
      </w:r>
      <w:r>
        <w:rPr>
          <w:lang w:val="fr-FR"/>
        </w:rPr>
        <w:t>’</w:t>
      </w:r>
      <w:r w:rsidRPr="0016528A">
        <w:rPr>
          <w:lang w:val="fr-FR"/>
        </w:rPr>
        <w:t>administration pénitentiaire sont maintenant régies par l</w:t>
      </w:r>
      <w:r>
        <w:rPr>
          <w:lang w:val="fr-FR"/>
        </w:rPr>
        <w:t>’</w:t>
      </w:r>
      <w:r w:rsidRPr="0016528A">
        <w:rPr>
          <w:lang w:val="fr-FR"/>
        </w:rPr>
        <w:t>article</w:t>
      </w:r>
      <w:r w:rsidR="000F2DE4">
        <w:rPr>
          <w:lang w:val="fr-FR"/>
        </w:rPr>
        <w:t> </w:t>
      </w:r>
      <w:r w:rsidRPr="0016528A">
        <w:rPr>
          <w:lang w:val="fr-FR"/>
        </w:rPr>
        <w:t>21 de la loi sur les établissements pénitentiaires</w:t>
      </w:r>
      <w:r>
        <w:rPr>
          <w:lang w:val="fr-FR"/>
        </w:rPr>
        <w:t xml:space="preserve"> (</w:t>
      </w:r>
      <w:r w:rsidRPr="0016528A">
        <w:rPr>
          <w:lang w:val="fr-FR"/>
        </w:rPr>
        <w:t>2017</w:t>
      </w:r>
      <w:r>
        <w:rPr>
          <w:lang w:val="fr-FR"/>
        </w:rPr>
        <w:t>)</w:t>
      </w:r>
      <w:r w:rsidRPr="0016528A">
        <w:rPr>
          <w:lang w:val="fr-FR"/>
        </w:rPr>
        <w:t xml:space="preserve">, qui </w:t>
      </w:r>
      <w:r>
        <w:rPr>
          <w:lang w:val="fr-FR"/>
        </w:rPr>
        <w:t>établit</w:t>
      </w:r>
      <w:r w:rsidRPr="0016528A">
        <w:rPr>
          <w:lang w:val="fr-FR"/>
        </w:rPr>
        <w:t xml:space="preserve"> des normes plus </w:t>
      </w:r>
      <w:r>
        <w:rPr>
          <w:lang w:val="fr-FR"/>
        </w:rPr>
        <w:t>rigoureuses</w:t>
      </w:r>
      <w:r w:rsidRPr="0016528A">
        <w:rPr>
          <w:lang w:val="fr-FR"/>
        </w:rPr>
        <w:t xml:space="preserve"> que les Règles Nelson Mandela. </w:t>
      </w:r>
      <w:r>
        <w:rPr>
          <w:lang w:val="fr-FR"/>
        </w:rPr>
        <w:t>Le recours à des</w:t>
      </w:r>
      <w:r w:rsidRPr="0016528A">
        <w:rPr>
          <w:lang w:val="fr-FR"/>
        </w:rPr>
        <w:t xml:space="preserve"> dispositif</w:t>
      </w:r>
      <w:r>
        <w:rPr>
          <w:lang w:val="fr-FR"/>
        </w:rPr>
        <w:t>s</w:t>
      </w:r>
      <w:r w:rsidRPr="0016528A">
        <w:rPr>
          <w:lang w:val="fr-FR"/>
        </w:rPr>
        <w:t xml:space="preserve"> de contrainte </w:t>
      </w:r>
      <w:r>
        <w:rPr>
          <w:lang w:val="fr-FR"/>
        </w:rPr>
        <w:t xml:space="preserve">à l’égard des détenus </w:t>
      </w:r>
      <w:r w:rsidRPr="0016528A">
        <w:rPr>
          <w:lang w:val="fr-FR"/>
        </w:rPr>
        <w:t>n</w:t>
      </w:r>
      <w:r>
        <w:rPr>
          <w:lang w:val="fr-FR"/>
        </w:rPr>
        <w:t>’est autorisé qu’</w:t>
      </w:r>
      <w:r w:rsidRPr="0016528A">
        <w:rPr>
          <w:lang w:val="fr-FR"/>
        </w:rPr>
        <w:t>en cas d</w:t>
      </w:r>
      <w:r>
        <w:rPr>
          <w:lang w:val="fr-FR"/>
        </w:rPr>
        <w:t>’</w:t>
      </w:r>
      <w:r w:rsidRPr="0016528A">
        <w:rPr>
          <w:lang w:val="fr-FR"/>
        </w:rPr>
        <w:t>absolue nécessité. Toute décision d</w:t>
      </w:r>
      <w:r>
        <w:rPr>
          <w:lang w:val="fr-FR"/>
        </w:rPr>
        <w:t>’</w:t>
      </w:r>
      <w:r w:rsidRPr="0016528A">
        <w:rPr>
          <w:lang w:val="fr-FR"/>
        </w:rPr>
        <w:t>utiliser un tel dispositif est réexaminée tous les quinze jours.</w:t>
      </w:r>
    </w:p>
    <w:p w:rsidR="00C8688F" w:rsidRPr="0016528A" w:rsidRDefault="00C8688F" w:rsidP="00C8688F">
      <w:pPr>
        <w:pStyle w:val="SingleTxtG"/>
        <w:ind w:firstLine="567"/>
        <w:rPr>
          <w:lang w:val="fr-FR"/>
        </w:rPr>
      </w:pPr>
      <w:r w:rsidRPr="0016528A">
        <w:rPr>
          <w:lang w:val="fr-FR"/>
        </w:rPr>
        <w:t xml:space="preserve">La Thaïlande est consciente du problème de la surpopulation </w:t>
      </w:r>
      <w:r>
        <w:rPr>
          <w:lang w:val="fr-FR"/>
        </w:rPr>
        <w:t>dans les lieux de détention placés sous la direction du Département de l’administration pénitentiaire</w:t>
      </w:r>
      <w:r w:rsidRPr="0016528A">
        <w:rPr>
          <w:lang w:val="fr-FR"/>
        </w:rPr>
        <w:t>. Les</w:t>
      </w:r>
      <w:r w:rsidR="000F2DE4">
        <w:rPr>
          <w:lang w:val="fr-FR"/>
        </w:rPr>
        <w:t> </w:t>
      </w:r>
      <w:r w:rsidRPr="0016528A">
        <w:rPr>
          <w:lang w:val="fr-FR"/>
        </w:rPr>
        <w:t xml:space="preserve">centres de détention </w:t>
      </w:r>
      <w:r>
        <w:rPr>
          <w:lang w:val="fr-FR"/>
        </w:rPr>
        <w:t>relevant</w:t>
      </w:r>
      <w:r w:rsidRPr="0016528A">
        <w:rPr>
          <w:lang w:val="fr-FR"/>
        </w:rPr>
        <w:t xml:space="preserve"> du Département des enquêtes spéciales, les centres de détention pour migrants </w:t>
      </w:r>
      <w:r>
        <w:rPr>
          <w:lang w:val="fr-FR"/>
        </w:rPr>
        <w:t>administrés</w:t>
      </w:r>
      <w:r w:rsidRPr="0016528A">
        <w:rPr>
          <w:lang w:val="fr-FR"/>
        </w:rPr>
        <w:t xml:space="preserve"> par le Bureau de l</w:t>
      </w:r>
      <w:r>
        <w:rPr>
          <w:lang w:val="fr-FR"/>
        </w:rPr>
        <w:t>’</w:t>
      </w:r>
      <w:r w:rsidRPr="0016528A">
        <w:rPr>
          <w:lang w:val="fr-FR"/>
        </w:rPr>
        <w:t xml:space="preserve">immigration et les prisons militaires </w:t>
      </w:r>
      <w:r>
        <w:rPr>
          <w:lang w:val="fr-FR"/>
        </w:rPr>
        <w:t>fonctionnent</w:t>
      </w:r>
      <w:r w:rsidRPr="0016528A">
        <w:rPr>
          <w:lang w:val="fr-FR"/>
        </w:rPr>
        <w:t xml:space="preserve"> </w:t>
      </w:r>
      <w:r>
        <w:rPr>
          <w:lang w:val="fr-FR"/>
        </w:rPr>
        <w:t xml:space="preserve">en revanche </w:t>
      </w:r>
      <w:r w:rsidRPr="0016528A">
        <w:rPr>
          <w:lang w:val="fr-FR"/>
        </w:rPr>
        <w:t>dans la limite de leurs capacités respectives et ne sont pas surpeuplés.</w:t>
      </w:r>
    </w:p>
    <w:p w:rsidR="00C8688F" w:rsidRPr="0016528A" w:rsidRDefault="00C8688F" w:rsidP="00C8688F">
      <w:pPr>
        <w:pStyle w:val="SingleTxtG"/>
        <w:ind w:firstLine="567"/>
        <w:rPr>
          <w:lang w:val="fr-FR"/>
        </w:rPr>
      </w:pPr>
      <w:r w:rsidRPr="0016528A">
        <w:rPr>
          <w:lang w:val="fr-FR"/>
        </w:rPr>
        <w:t xml:space="preserve">Le </w:t>
      </w:r>
      <w:r w:rsidR="000F2DE4">
        <w:rPr>
          <w:lang w:val="fr-FR"/>
        </w:rPr>
        <w:t>Plan national</w:t>
      </w:r>
      <w:r w:rsidRPr="0016528A">
        <w:rPr>
          <w:lang w:val="fr-FR"/>
        </w:rPr>
        <w:t xml:space="preserve"> de réforme du système judiciaire vise à améliorer divers aspects du système judiciaire, </w:t>
      </w:r>
      <w:r>
        <w:rPr>
          <w:lang w:val="fr-FR"/>
        </w:rPr>
        <w:t>y compris</w:t>
      </w:r>
      <w:r w:rsidRPr="0016528A">
        <w:rPr>
          <w:lang w:val="fr-FR"/>
        </w:rPr>
        <w:t xml:space="preserve"> les conditions de vie dans les prisons et centres de détention du pays.</w:t>
      </w:r>
    </w:p>
    <w:p w:rsidR="00C8688F" w:rsidRPr="0016528A" w:rsidRDefault="00C8688F" w:rsidP="00C8688F">
      <w:pPr>
        <w:pStyle w:val="SingleTxtG"/>
        <w:ind w:firstLine="567"/>
        <w:rPr>
          <w:lang w:val="fr-FR"/>
        </w:rPr>
      </w:pPr>
      <w:r w:rsidRPr="0016528A">
        <w:rPr>
          <w:lang w:val="fr-FR"/>
        </w:rPr>
        <w:t>La loi sur les établissements pénitentiaires donn</w:t>
      </w:r>
      <w:r>
        <w:rPr>
          <w:lang w:val="fr-FR"/>
        </w:rPr>
        <w:t>e</w:t>
      </w:r>
      <w:r w:rsidRPr="0016528A">
        <w:rPr>
          <w:lang w:val="fr-FR"/>
        </w:rPr>
        <w:t xml:space="preserve"> au Département de l</w:t>
      </w:r>
      <w:r>
        <w:rPr>
          <w:lang w:val="fr-FR"/>
        </w:rPr>
        <w:t>’</w:t>
      </w:r>
      <w:r w:rsidRPr="0016528A">
        <w:rPr>
          <w:lang w:val="fr-FR"/>
        </w:rPr>
        <w:t xml:space="preserve">administration pénitentiaire les moyens </w:t>
      </w:r>
      <w:r>
        <w:rPr>
          <w:lang w:val="fr-FR"/>
        </w:rPr>
        <w:t>nécessaires pour</w:t>
      </w:r>
      <w:r w:rsidRPr="0016528A">
        <w:rPr>
          <w:lang w:val="fr-FR"/>
        </w:rPr>
        <w:t xml:space="preserve"> régler efficacement et concrètement le problème de la surpopulation. À ce</w:t>
      </w:r>
      <w:r>
        <w:rPr>
          <w:lang w:val="fr-FR"/>
        </w:rPr>
        <w:t xml:space="preserve"> propos</w:t>
      </w:r>
      <w:r w:rsidRPr="0016528A">
        <w:rPr>
          <w:lang w:val="fr-FR"/>
        </w:rPr>
        <w:t>, le Ministère de la justice élabore un règlement ministériel qui prévoit six sanctions pénales susceptibles de remplacer l</w:t>
      </w:r>
      <w:r>
        <w:rPr>
          <w:lang w:val="fr-FR"/>
        </w:rPr>
        <w:t>’</w:t>
      </w:r>
      <w:r w:rsidRPr="0016528A">
        <w:rPr>
          <w:lang w:val="fr-FR"/>
        </w:rPr>
        <w:t>emprisonnement. En mars 2018, la Cour de justice et le Département des services de probation ont instauré un système de surveillance électronique, qui remplace le versement d</w:t>
      </w:r>
      <w:r>
        <w:rPr>
          <w:lang w:val="fr-FR"/>
        </w:rPr>
        <w:t>’</w:t>
      </w:r>
      <w:r w:rsidRPr="0016528A">
        <w:rPr>
          <w:lang w:val="fr-FR"/>
        </w:rPr>
        <w:t>une caution en tant que mesure de substitution à la détention pour les détenus qui ont obtenu une mise en liberté provisoire.</w:t>
      </w:r>
    </w:p>
    <w:p w:rsidR="00C8688F" w:rsidRPr="0016528A" w:rsidRDefault="00C8688F" w:rsidP="00C8688F">
      <w:pPr>
        <w:pStyle w:val="SingleTxtG"/>
        <w:ind w:firstLine="567"/>
        <w:rPr>
          <w:lang w:val="fr-FR"/>
        </w:rPr>
      </w:pPr>
      <w:r w:rsidRPr="0016528A">
        <w:rPr>
          <w:lang w:val="fr-FR"/>
        </w:rPr>
        <w:t>L</w:t>
      </w:r>
      <w:r>
        <w:rPr>
          <w:lang w:val="fr-FR"/>
        </w:rPr>
        <w:t>’</w:t>
      </w:r>
      <w:r w:rsidRPr="0016528A">
        <w:rPr>
          <w:lang w:val="fr-FR"/>
        </w:rPr>
        <w:t>État partie évoque aussi : la création, en février 2018, du Centre d</w:t>
      </w:r>
      <w:r>
        <w:rPr>
          <w:lang w:val="fr-FR"/>
        </w:rPr>
        <w:t>’</w:t>
      </w:r>
      <w:r w:rsidRPr="0016528A">
        <w:rPr>
          <w:lang w:val="fr-FR"/>
        </w:rPr>
        <w:t>aide à la réinsertion et à l</w:t>
      </w:r>
      <w:r>
        <w:rPr>
          <w:lang w:val="fr-FR"/>
        </w:rPr>
        <w:t>’</w:t>
      </w:r>
      <w:r w:rsidRPr="0016528A">
        <w:rPr>
          <w:lang w:val="fr-FR"/>
        </w:rPr>
        <w:t>emploi, qui vise à promouvoir l</w:t>
      </w:r>
      <w:r>
        <w:rPr>
          <w:lang w:val="fr-FR"/>
        </w:rPr>
        <w:t>’</w:t>
      </w:r>
      <w:r w:rsidRPr="0016528A">
        <w:rPr>
          <w:lang w:val="fr-FR"/>
        </w:rPr>
        <w:t>emploi des détenus après leur libération ; la loi de 2018 (an 2561 de l</w:t>
      </w:r>
      <w:r>
        <w:rPr>
          <w:lang w:val="fr-FR"/>
        </w:rPr>
        <w:t>’</w:t>
      </w:r>
      <w:r w:rsidRPr="0016528A">
        <w:rPr>
          <w:lang w:val="fr-FR"/>
        </w:rPr>
        <w:t xml:space="preserve">ère bouddhique) sur la gestion de la réadaptation des </w:t>
      </w:r>
      <w:r>
        <w:rPr>
          <w:lang w:val="fr-FR"/>
        </w:rPr>
        <w:t xml:space="preserve">jeunes </w:t>
      </w:r>
      <w:r w:rsidRPr="0016528A">
        <w:rPr>
          <w:lang w:val="fr-FR"/>
        </w:rPr>
        <w:t>délinquants, qui exige des autorités qu</w:t>
      </w:r>
      <w:r>
        <w:rPr>
          <w:lang w:val="fr-FR"/>
        </w:rPr>
        <w:t>’</w:t>
      </w:r>
      <w:r w:rsidRPr="0016528A">
        <w:rPr>
          <w:lang w:val="fr-FR"/>
        </w:rPr>
        <w:t>elles préparent les jeunes délinquants à leur libération ; les mesures prises concernant les détenu</w:t>
      </w:r>
      <w:r>
        <w:rPr>
          <w:lang w:val="fr-FR"/>
        </w:rPr>
        <w:t>e</w:t>
      </w:r>
      <w:r w:rsidRPr="0016528A">
        <w:rPr>
          <w:lang w:val="fr-FR"/>
        </w:rPr>
        <w:t xml:space="preserve">s </w:t>
      </w:r>
      <w:r>
        <w:rPr>
          <w:lang w:val="fr-FR"/>
        </w:rPr>
        <w:t xml:space="preserve">lesbiennes et les détenus gays, bisexuels, transgenres et </w:t>
      </w:r>
      <w:proofErr w:type="spellStart"/>
      <w:r>
        <w:rPr>
          <w:lang w:val="fr-FR"/>
        </w:rPr>
        <w:t>intersexes</w:t>
      </w:r>
      <w:proofErr w:type="spellEnd"/>
      <w:r w:rsidRPr="0016528A">
        <w:rPr>
          <w:lang w:val="fr-FR"/>
        </w:rPr>
        <w:t>.</w:t>
      </w:r>
    </w:p>
    <w:p w:rsidR="00C8688F" w:rsidRPr="0016528A" w:rsidRDefault="00C8688F" w:rsidP="000F2DE4">
      <w:pPr>
        <w:pStyle w:val="H23G"/>
        <w:rPr>
          <w:lang w:val="fr-FR"/>
        </w:rPr>
      </w:pPr>
      <w:r w:rsidRPr="0016528A">
        <w:rPr>
          <w:lang w:val="fr-FR"/>
        </w:rPr>
        <w:tab/>
      </w:r>
      <w:r w:rsidRPr="0016528A">
        <w:rPr>
          <w:lang w:val="fr-FR"/>
        </w:rPr>
        <w:tab/>
        <w:t>Informations émanant d</w:t>
      </w:r>
      <w:r>
        <w:rPr>
          <w:lang w:val="fr-FR"/>
        </w:rPr>
        <w:t>’</w:t>
      </w:r>
      <w:r w:rsidRPr="0016528A">
        <w:rPr>
          <w:lang w:val="fr-FR"/>
        </w:rPr>
        <w:t>organisations non gouvernementales</w:t>
      </w:r>
    </w:p>
    <w:p w:rsidR="00C8688F" w:rsidRPr="0016528A" w:rsidRDefault="00C8688F" w:rsidP="000F2DE4">
      <w:pPr>
        <w:pStyle w:val="H4G"/>
        <w:rPr>
          <w:lang w:val="fr-FR"/>
        </w:rPr>
      </w:pPr>
      <w:r w:rsidRPr="0016528A">
        <w:rPr>
          <w:lang w:val="fr-FR"/>
        </w:rPr>
        <w:tab/>
      </w:r>
      <w:r w:rsidRPr="0016528A">
        <w:rPr>
          <w:lang w:val="fr-FR"/>
        </w:rPr>
        <w:tab/>
        <w:t>Communication conjointe</w:t>
      </w:r>
      <w:r>
        <w:rPr>
          <w:lang w:val="fr-FR"/>
        </w:rPr>
        <w:t xml:space="preserve"> : </w:t>
      </w:r>
      <w:r w:rsidRPr="0016528A">
        <w:rPr>
          <w:lang w:val="fr-FR"/>
        </w:rPr>
        <w:t>Fédération internationale des ligues des droits de l</w:t>
      </w:r>
      <w:r>
        <w:rPr>
          <w:lang w:val="fr-FR"/>
        </w:rPr>
        <w:t>’</w:t>
      </w:r>
      <w:r w:rsidRPr="0016528A">
        <w:rPr>
          <w:lang w:val="fr-FR"/>
        </w:rPr>
        <w:t xml:space="preserve">homme, Union for Civil Liberty et </w:t>
      </w:r>
      <w:proofErr w:type="spellStart"/>
      <w:r>
        <w:rPr>
          <w:lang w:val="fr-FR"/>
        </w:rPr>
        <w:t>i</w:t>
      </w:r>
      <w:r w:rsidRPr="0016528A">
        <w:rPr>
          <w:lang w:val="fr-FR"/>
        </w:rPr>
        <w:t>Law</w:t>
      </w:r>
      <w:proofErr w:type="spellEnd"/>
    </w:p>
    <w:p w:rsidR="000F2DE4" w:rsidRDefault="00C8688F" w:rsidP="000F2DE4">
      <w:pPr>
        <w:pStyle w:val="SingleTxtG"/>
        <w:ind w:firstLine="567"/>
        <w:rPr>
          <w:lang w:val="fr-FR"/>
        </w:rPr>
      </w:pPr>
      <w:r w:rsidRPr="0016528A">
        <w:rPr>
          <w:lang w:val="fr-FR"/>
        </w:rPr>
        <w:t>La forte surpopulation est un problème persistant dans les prisons thaïlandaises. Entre mars 2017 et août 2018, la population carcérale a augmenté de 25 %. La Thaïlande se classe actuellement au sixième rang mondial pour ce qui est du nombre total de détenus et au cinquième rang s</w:t>
      </w:r>
      <w:r>
        <w:rPr>
          <w:lang w:val="fr-FR"/>
        </w:rPr>
        <w:t>’</w:t>
      </w:r>
      <w:r w:rsidRPr="0016528A">
        <w:rPr>
          <w:lang w:val="fr-FR"/>
        </w:rPr>
        <w:t>agissant du taux d</w:t>
      </w:r>
      <w:r>
        <w:rPr>
          <w:lang w:val="fr-FR"/>
        </w:rPr>
        <w:t>’</w:t>
      </w:r>
      <w:r w:rsidRPr="0016528A">
        <w:rPr>
          <w:lang w:val="fr-FR"/>
        </w:rPr>
        <w:t>incarcération.</w:t>
      </w:r>
    </w:p>
    <w:p w:rsidR="00C8688F" w:rsidRPr="0016528A" w:rsidRDefault="00C8688F" w:rsidP="000F2DE4">
      <w:pPr>
        <w:pStyle w:val="SingleTxtG"/>
        <w:ind w:firstLine="567"/>
        <w:rPr>
          <w:lang w:val="fr-FR"/>
        </w:rPr>
      </w:pPr>
      <w:r w:rsidRPr="0016528A">
        <w:rPr>
          <w:lang w:val="fr-FR"/>
        </w:rPr>
        <w:t>Hormis l</w:t>
      </w:r>
      <w:r>
        <w:rPr>
          <w:lang w:val="fr-FR"/>
        </w:rPr>
        <w:t>’</w:t>
      </w:r>
      <w:r w:rsidRPr="0016528A">
        <w:rPr>
          <w:lang w:val="fr-FR"/>
        </w:rPr>
        <w:t>octroi d</w:t>
      </w:r>
      <w:r>
        <w:rPr>
          <w:lang w:val="fr-FR"/>
        </w:rPr>
        <w:t>’</w:t>
      </w:r>
      <w:r w:rsidRPr="0016528A">
        <w:rPr>
          <w:lang w:val="fr-FR"/>
        </w:rPr>
        <w:t>amnisties royales au cours des dernières années, aucune mesure concrète n</w:t>
      </w:r>
      <w:r>
        <w:rPr>
          <w:lang w:val="fr-FR"/>
        </w:rPr>
        <w:t>’</w:t>
      </w:r>
      <w:r w:rsidRPr="0016528A">
        <w:rPr>
          <w:lang w:val="fr-FR"/>
        </w:rPr>
        <w:t>a été prise pour réduire la population carcérale.</w:t>
      </w:r>
    </w:p>
    <w:p w:rsidR="00C8688F" w:rsidRPr="0016528A" w:rsidRDefault="00C8688F" w:rsidP="00C8688F">
      <w:pPr>
        <w:pStyle w:val="SingleTxtG"/>
        <w:ind w:firstLine="567"/>
        <w:rPr>
          <w:lang w:val="fr-FR"/>
        </w:rPr>
      </w:pPr>
      <w:r w:rsidRPr="0016528A">
        <w:rPr>
          <w:lang w:val="fr-FR"/>
        </w:rPr>
        <w:t xml:space="preserve">Afin de réduire la surpopulation, le Bureau des services judiciaires et le Département des services de probation du Ministère de la justice ont lancé, </w:t>
      </w:r>
      <w:r>
        <w:rPr>
          <w:lang w:val="fr-FR"/>
        </w:rPr>
        <w:t>en</w:t>
      </w:r>
      <w:r w:rsidR="000F2DE4">
        <w:rPr>
          <w:lang w:val="fr-FR"/>
        </w:rPr>
        <w:t xml:space="preserve"> </w:t>
      </w:r>
      <w:r w:rsidRPr="0016528A">
        <w:rPr>
          <w:lang w:val="fr-FR"/>
        </w:rPr>
        <w:t>mars 2018, un projet pilote dans le cadre duquel les 23</w:t>
      </w:r>
      <w:r w:rsidR="000F2DE4">
        <w:rPr>
          <w:lang w:val="fr-FR"/>
        </w:rPr>
        <w:t> </w:t>
      </w:r>
      <w:r w:rsidRPr="0016528A">
        <w:rPr>
          <w:lang w:val="fr-FR"/>
        </w:rPr>
        <w:t>tribunaux participants peuvent ordonner le placement sous bracelet électronique des suspects incapables de payer leur caution et non soupçonnés d</w:t>
      </w:r>
      <w:r>
        <w:rPr>
          <w:lang w:val="fr-FR"/>
        </w:rPr>
        <w:t>’</w:t>
      </w:r>
      <w:r w:rsidRPr="0016528A">
        <w:rPr>
          <w:lang w:val="fr-FR"/>
        </w:rPr>
        <w:t>avoir commis une infraction grave.</w:t>
      </w:r>
    </w:p>
    <w:p w:rsidR="00C8688F" w:rsidRPr="0016528A" w:rsidRDefault="00C8688F" w:rsidP="00C8688F">
      <w:pPr>
        <w:pStyle w:val="SingleTxtG"/>
        <w:ind w:firstLine="567"/>
        <w:rPr>
          <w:lang w:val="fr-FR"/>
        </w:rPr>
      </w:pPr>
      <w:r w:rsidRPr="0016528A">
        <w:rPr>
          <w:lang w:val="fr-FR"/>
        </w:rPr>
        <w:t>En dépit d</w:t>
      </w:r>
      <w:r>
        <w:rPr>
          <w:lang w:val="fr-FR"/>
        </w:rPr>
        <w:t>’</w:t>
      </w:r>
      <w:r w:rsidRPr="0016528A">
        <w:rPr>
          <w:lang w:val="fr-FR"/>
        </w:rPr>
        <w:t>une initiative lancée par le Département de l</w:t>
      </w:r>
      <w:r>
        <w:rPr>
          <w:lang w:val="fr-FR"/>
        </w:rPr>
        <w:t>’</w:t>
      </w:r>
      <w:r w:rsidRPr="0016528A">
        <w:rPr>
          <w:lang w:val="fr-FR"/>
        </w:rPr>
        <w:t>administration pénitentiaire et l</w:t>
      </w:r>
      <w:r>
        <w:rPr>
          <w:lang w:val="fr-FR"/>
        </w:rPr>
        <w:t>’</w:t>
      </w:r>
      <w:r w:rsidRPr="0016528A">
        <w:rPr>
          <w:lang w:val="fr-FR"/>
        </w:rPr>
        <w:t>Institut thaïlandais de la justice pour rendre les conditions de détention conformes aux normes internationales, la forte surpopulation carcérale reste un problème persistant. Les</w:t>
      </w:r>
      <w:r w:rsidR="000F2DE4">
        <w:rPr>
          <w:lang w:val="fr-FR"/>
        </w:rPr>
        <w:t> </w:t>
      </w:r>
      <w:r>
        <w:rPr>
          <w:lang w:val="fr-FR"/>
        </w:rPr>
        <w:t>10 </w:t>
      </w:r>
      <w:r w:rsidRPr="0016528A">
        <w:rPr>
          <w:lang w:val="fr-FR"/>
        </w:rPr>
        <w:t>« prisons modèles » qui auraient appliqué avec succès les Règles des Nations Unies concernant le traitement des détenues et l</w:t>
      </w:r>
      <w:r>
        <w:rPr>
          <w:lang w:val="fr-FR"/>
        </w:rPr>
        <w:t>’</w:t>
      </w:r>
      <w:r w:rsidRPr="0016528A">
        <w:rPr>
          <w:lang w:val="fr-FR"/>
        </w:rPr>
        <w:t>imposition de mesures non privatives de liberté aux délinquantes (Règles de Bangkok) restent très surpeuplées.</w:t>
      </w:r>
    </w:p>
    <w:p w:rsidR="00C8688F" w:rsidRPr="0016528A" w:rsidRDefault="00C8688F" w:rsidP="00C8688F">
      <w:pPr>
        <w:pStyle w:val="SingleTxtG"/>
        <w:ind w:firstLine="567"/>
        <w:rPr>
          <w:lang w:val="fr-FR"/>
        </w:rPr>
      </w:pPr>
      <w:r w:rsidRPr="0016528A">
        <w:rPr>
          <w:lang w:val="fr-FR"/>
        </w:rPr>
        <w:lastRenderedPageBreak/>
        <w:t>Les autorités thaïlandaises ne se sont guère employées à améliorer les conditions de détention, qui restent bien en</w:t>
      </w:r>
      <w:r w:rsidR="000F2DE4">
        <w:rPr>
          <w:lang w:val="fr-FR"/>
        </w:rPr>
        <w:t xml:space="preserve"> </w:t>
      </w:r>
      <w:r w:rsidRPr="0016528A">
        <w:rPr>
          <w:lang w:val="fr-FR"/>
        </w:rPr>
        <w:t>deçà des normes internationales.</w:t>
      </w:r>
    </w:p>
    <w:p w:rsidR="00C8688F" w:rsidRPr="0016528A" w:rsidRDefault="00C8688F" w:rsidP="000F2DE4">
      <w:pPr>
        <w:pStyle w:val="H4G"/>
        <w:rPr>
          <w:lang w:val="fr-FR"/>
        </w:rPr>
      </w:pPr>
      <w:r w:rsidRPr="0016528A">
        <w:rPr>
          <w:lang w:val="fr-FR"/>
        </w:rPr>
        <w:tab/>
      </w:r>
      <w:r w:rsidRPr="0016528A">
        <w:rPr>
          <w:lang w:val="fr-FR"/>
        </w:rPr>
        <w:tab/>
      </w:r>
      <w:proofErr w:type="spellStart"/>
      <w:r w:rsidRPr="0016528A">
        <w:rPr>
          <w:lang w:val="fr-FR"/>
        </w:rPr>
        <w:t>Fortify</w:t>
      </w:r>
      <w:proofErr w:type="spellEnd"/>
      <w:r w:rsidRPr="0016528A">
        <w:rPr>
          <w:lang w:val="fr-FR"/>
        </w:rPr>
        <w:t xml:space="preserve"> </w:t>
      </w:r>
      <w:proofErr w:type="spellStart"/>
      <w:r w:rsidRPr="0016528A">
        <w:rPr>
          <w:lang w:val="fr-FR"/>
        </w:rPr>
        <w:t>Rights</w:t>
      </w:r>
      <w:proofErr w:type="spellEnd"/>
    </w:p>
    <w:p w:rsidR="00C8688F" w:rsidRPr="0016528A" w:rsidRDefault="00C8688F" w:rsidP="00C8688F">
      <w:pPr>
        <w:pStyle w:val="SingleTxtG"/>
        <w:ind w:firstLine="567"/>
        <w:rPr>
          <w:lang w:val="fr-FR"/>
        </w:rPr>
      </w:pPr>
      <w:r w:rsidRPr="0016528A">
        <w:rPr>
          <w:lang w:val="fr-FR"/>
        </w:rPr>
        <w:t>Le Bureau de l</w:t>
      </w:r>
      <w:r>
        <w:rPr>
          <w:lang w:val="fr-FR"/>
        </w:rPr>
        <w:t>’</w:t>
      </w:r>
      <w:r w:rsidRPr="0016528A">
        <w:rPr>
          <w:lang w:val="fr-FR"/>
        </w:rPr>
        <w:t xml:space="preserve">immigration a </w:t>
      </w:r>
      <w:r>
        <w:rPr>
          <w:lang w:val="fr-FR"/>
        </w:rPr>
        <w:t xml:space="preserve">pour politique de placer les </w:t>
      </w:r>
      <w:r w:rsidRPr="0016528A">
        <w:rPr>
          <w:lang w:val="fr-FR"/>
        </w:rPr>
        <w:t>réfugiés en détention</w:t>
      </w:r>
      <w:r>
        <w:rPr>
          <w:lang w:val="fr-FR"/>
        </w:rPr>
        <w:t>, ce qu’il continue de faire</w:t>
      </w:r>
      <w:r w:rsidRPr="0016528A">
        <w:rPr>
          <w:lang w:val="fr-FR"/>
        </w:rPr>
        <w:t>. Depuis mars 2017, au moins deux migrants sont morts alors qu</w:t>
      </w:r>
      <w:r>
        <w:rPr>
          <w:lang w:val="fr-FR"/>
        </w:rPr>
        <w:t>’</w:t>
      </w:r>
      <w:r w:rsidRPr="0016528A">
        <w:rPr>
          <w:lang w:val="fr-FR"/>
        </w:rPr>
        <w:t>ils étaient détenus par les services thaïlandais de l</w:t>
      </w:r>
      <w:r>
        <w:rPr>
          <w:lang w:val="fr-FR"/>
        </w:rPr>
        <w:t>’</w:t>
      </w:r>
      <w:r w:rsidRPr="0016528A">
        <w:rPr>
          <w:lang w:val="fr-FR"/>
        </w:rPr>
        <w:t>immigration.</w:t>
      </w:r>
    </w:p>
    <w:p w:rsidR="00C8688F" w:rsidRPr="0016528A" w:rsidRDefault="00C8688F" w:rsidP="00C8688F">
      <w:pPr>
        <w:pStyle w:val="SingleTxtG"/>
        <w:ind w:firstLine="567"/>
        <w:rPr>
          <w:lang w:val="fr-FR"/>
        </w:rPr>
      </w:pPr>
      <w:r w:rsidRPr="0016528A">
        <w:rPr>
          <w:lang w:val="fr-FR"/>
        </w:rPr>
        <w:t>Dans le cadre d</w:t>
      </w:r>
      <w:r>
        <w:rPr>
          <w:lang w:val="fr-FR"/>
        </w:rPr>
        <w:t>’</w:t>
      </w:r>
      <w:r w:rsidRPr="0016528A">
        <w:rPr>
          <w:lang w:val="fr-FR"/>
        </w:rPr>
        <w:t>un programme pilote lancé en juillet 2017, le Bureau de l</w:t>
      </w:r>
      <w:r>
        <w:rPr>
          <w:lang w:val="fr-FR"/>
        </w:rPr>
        <w:t>’</w:t>
      </w:r>
      <w:r w:rsidRPr="0016528A">
        <w:rPr>
          <w:lang w:val="fr-FR"/>
        </w:rPr>
        <w:t>immigration a transféré 11 enfants d</w:t>
      </w:r>
      <w:r>
        <w:rPr>
          <w:lang w:val="fr-FR"/>
        </w:rPr>
        <w:t>’</w:t>
      </w:r>
      <w:r w:rsidRPr="0016528A">
        <w:rPr>
          <w:lang w:val="fr-FR"/>
        </w:rPr>
        <w:t>un centre de détention pour migrants de Bangkok, où ils étaient détenus avec l</w:t>
      </w:r>
      <w:r>
        <w:rPr>
          <w:lang w:val="fr-FR"/>
        </w:rPr>
        <w:t>’</w:t>
      </w:r>
      <w:r w:rsidRPr="0016528A">
        <w:rPr>
          <w:lang w:val="fr-FR"/>
        </w:rPr>
        <w:t xml:space="preserve">un de leurs parents ou les deux, vers un </w:t>
      </w:r>
      <w:r>
        <w:rPr>
          <w:lang w:val="fr-FR"/>
        </w:rPr>
        <w:t>centre</w:t>
      </w:r>
      <w:r w:rsidRPr="0016528A">
        <w:rPr>
          <w:lang w:val="fr-FR"/>
        </w:rPr>
        <w:t xml:space="preserve"> d</w:t>
      </w:r>
      <w:r>
        <w:rPr>
          <w:lang w:val="fr-FR"/>
        </w:rPr>
        <w:t>’</w:t>
      </w:r>
      <w:r w:rsidRPr="0016528A">
        <w:rPr>
          <w:lang w:val="fr-FR"/>
        </w:rPr>
        <w:t>accueil privé. Au moment de la rédaction de cette communication, les parents étaient toujours en détention et séparés de leurs enfants. En octobre 2017, le Haut-Commissariat des Nations Unies pour les réfugiés et l</w:t>
      </w:r>
      <w:r>
        <w:rPr>
          <w:lang w:val="fr-FR"/>
        </w:rPr>
        <w:t>’</w:t>
      </w:r>
      <w:r w:rsidRPr="0016528A">
        <w:rPr>
          <w:lang w:val="fr-FR"/>
        </w:rPr>
        <w:t xml:space="preserve">Organisation internationale pour les migrations, en collaboration avec trois organisations de la société civile travaillant avec des enfants réfugiés, ont établi un ensemble de modes opératoires normalisés interorganisations </w:t>
      </w:r>
      <w:r>
        <w:rPr>
          <w:lang w:val="fr-FR"/>
        </w:rPr>
        <w:t>à respecter aux fins de l’application</w:t>
      </w:r>
      <w:r w:rsidRPr="0016528A">
        <w:rPr>
          <w:lang w:val="fr-FR"/>
        </w:rPr>
        <w:t xml:space="preserve"> de mesures de substitution à la détention des enfants</w:t>
      </w:r>
      <w:r>
        <w:rPr>
          <w:lang w:val="fr-FR"/>
        </w:rPr>
        <w:t xml:space="preserve"> ; ces modes opératoires comprennent des </w:t>
      </w:r>
      <w:r w:rsidRPr="0016528A">
        <w:rPr>
          <w:lang w:val="fr-FR"/>
        </w:rPr>
        <w:t>directives sur la détermination de l</w:t>
      </w:r>
      <w:r>
        <w:rPr>
          <w:lang w:val="fr-FR"/>
        </w:rPr>
        <w:t>’</w:t>
      </w:r>
      <w:r w:rsidRPr="0016528A">
        <w:rPr>
          <w:lang w:val="fr-FR"/>
        </w:rPr>
        <w:t>intérêt supérieur de l</w:t>
      </w:r>
      <w:r>
        <w:rPr>
          <w:lang w:val="fr-FR"/>
        </w:rPr>
        <w:t>’</w:t>
      </w:r>
      <w:r w:rsidRPr="0016528A">
        <w:rPr>
          <w:lang w:val="fr-FR"/>
        </w:rPr>
        <w:t>enfant et sur la gestion par cas</w:t>
      </w:r>
      <w:r>
        <w:rPr>
          <w:lang w:val="fr-FR"/>
        </w:rPr>
        <w:t xml:space="preserve">, </w:t>
      </w:r>
      <w:r w:rsidRPr="0016528A">
        <w:rPr>
          <w:lang w:val="fr-FR"/>
        </w:rPr>
        <w:t>l</w:t>
      </w:r>
      <w:r>
        <w:rPr>
          <w:lang w:val="fr-FR"/>
        </w:rPr>
        <w:t>’</w:t>
      </w:r>
      <w:r w:rsidRPr="0016528A">
        <w:rPr>
          <w:lang w:val="fr-FR"/>
        </w:rPr>
        <w:t>objectif étant de faciliter le transfert d</w:t>
      </w:r>
      <w:r>
        <w:rPr>
          <w:lang w:val="fr-FR"/>
        </w:rPr>
        <w:t>’</w:t>
      </w:r>
      <w:r w:rsidRPr="0016528A">
        <w:rPr>
          <w:lang w:val="fr-FR"/>
        </w:rPr>
        <w:t xml:space="preserve">enfants des </w:t>
      </w:r>
      <w:r>
        <w:rPr>
          <w:lang w:val="fr-FR"/>
        </w:rPr>
        <w:t>centres</w:t>
      </w:r>
      <w:r w:rsidRPr="0016528A">
        <w:rPr>
          <w:lang w:val="fr-FR"/>
        </w:rPr>
        <w:t xml:space="preserve"> de détention vers des </w:t>
      </w:r>
      <w:r>
        <w:rPr>
          <w:lang w:val="fr-FR"/>
        </w:rPr>
        <w:t>structures d’accueil</w:t>
      </w:r>
      <w:r w:rsidRPr="0016528A">
        <w:rPr>
          <w:lang w:val="fr-FR"/>
        </w:rPr>
        <w:t xml:space="preserve"> privé</w:t>
      </w:r>
      <w:r>
        <w:rPr>
          <w:lang w:val="fr-FR"/>
        </w:rPr>
        <w:t>e</w:t>
      </w:r>
      <w:r w:rsidRPr="0016528A">
        <w:rPr>
          <w:lang w:val="fr-FR"/>
        </w:rPr>
        <w:t>s. Les autorités sont en train d</w:t>
      </w:r>
      <w:r>
        <w:rPr>
          <w:lang w:val="fr-FR"/>
        </w:rPr>
        <w:t>’</w:t>
      </w:r>
      <w:r w:rsidRPr="0016528A">
        <w:rPr>
          <w:lang w:val="fr-FR"/>
        </w:rPr>
        <w:t>établir des protocoles d</w:t>
      </w:r>
      <w:r>
        <w:rPr>
          <w:lang w:val="fr-FR"/>
        </w:rPr>
        <w:t>’</w:t>
      </w:r>
      <w:r w:rsidRPr="0016528A">
        <w:rPr>
          <w:lang w:val="fr-FR"/>
        </w:rPr>
        <w:t xml:space="preserve">accord avec des </w:t>
      </w:r>
      <w:r>
        <w:rPr>
          <w:lang w:val="fr-FR"/>
        </w:rPr>
        <w:t>centres d’accueil</w:t>
      </w:r>
      <w:r w:rsidRPr="0016528A">
        <w:rPr>
          <w:lang w:val="fr-FR"/>
        </w:rPr>
        <w:t xml:space="preserve"> privés du pays afin que ceux-ci accueillent des enfants réfugiés jusque-là placés dans des centres de détention.</w:t>
      </w:r>
    </w:p>
    <w:p w:rsidR="00C8688F" w:rsidRPr="0016528A" w:rsidRDefault="00C8688F" w:rsidP="00A2710F">
      <w:pPr>
        <w:pStyle w:val="H4G"/>
        <w:rPr>
          <w:lang w:val="fr-FR"/>
        </w:rPr>
      </w:pPr>
      <w:r w:rsidRPr="0016528A">
        <w:rPr>
          <w:lang w:val="fr-FR"/>
        </w:rPr>
        <w:tab/>
      </w:r>
      <w:r w:rsidRPr="0016528A">
        <w:rPr>
          <w:lang w:val="fr-FR"/>
        </w:rPr>
        <w:tab/>
        <w:t>Communication conjointe</w:t>
      </w:r>
      <w:r>
        <w:rPr>
          <w:lang w:val="fr-FR"/>
        </w:rPr>
        <w:t xml:space="preserve"> : Centre </w:t>
      </w:r>
      <w:r w:rsidRPr="000440F4">
        <w:rPr>
          <w:lang w:val="fr-FR"/>
        </w:rPr>
        <w:t xml:space="preserve">pour les droits civils et politiques </w:t>
      </w:r>
      <w:r w:rsidR="00A2710F">
        <w:rPr>
          <w:lang w:val="fr-FR"/>
        </w:rPr>
        <w:br/>
      </w:r>
      <w:r w:rsidRPr="0016528A">
        <w:rPr>
          <w:lang w:val="fr-FR"/>
        </w:rPr>
        <w:t>et d</w:t>
      </w:r>
      <w:r>
        <w:rPr>
          <w:lang w:val="fr-FR"/>
        </w:rPr>
        <w:t>’</w:t>
      </w:r>
      <w:r w:rsidRPr="0016528A">
        <w:rPr>
          <w:lang w:val="fr-FR"/>
        </w:rPr>
        <w:t>autres organisations</w:t>
      </w:r>
    </w:p>
    <w:p w:rsidR="00C8688F" w:rsidRPr="0016528A" w:rsidRDefault="00C8688F" w:rsidP="00C8688F">
      <w:pPr>
        <w:pStyle w:val="SingleTxtG"/>
        <w:ind w:firstLine="567"/>
        <w:rPr>
          <w:lang w:val="fr-FR"/>
        </w:rPr>
      </w:pPr>
      <w:r>
        <w:rPr>
          <w:lang w:val="fr-FR"/>
        </w:rPr>
        <w:t>Selon</w:t>
      </w:r>
      <w:r w:rsidRPr="0016528A">
        <w:rPr>
          <w:lang w:val="fr-FR"/>
        </w:rPr>
        <w:t xml:space="preserve"> certaines informations</w:t>
      </w:r>
      <w:r>
        <w:rPr>
          <w:lang w:val="fr-FR"/>
        </w:rPr>
        <w:t xml:space="preserve">, </w:t>
      </w:r>
      <w:r w:rsidRPr="0016528A">
        <w:rPr>
          <w:lang w:val="fr-FR"/>
        </w:rPr>
        <w:t>les personnes en détention provisoire ou dans l</w:t>
      </w:r>
      <w:r>
        <w:rPr>
          <w:lang w:val="fr-FR"/>
        </w:rPr>
        <w:t>’</w:t>
      </w:r>
      <w:r w:rsidRPr="0016528A">
        <w:rPr>
          <w:lang w:val="fr-FR"/>
        </w:rPr>
        <w:t xml:space="preserve">attente de leur jugement ne </w:t>
      </w:r>
      <w:r>
        <w:rPr>
          <w:lang w:val="fr-FR"/>
        </w:rPr>
        <w:t>seraient</w:t>
      </w:r>
      <w:r w:rsidRPr="0016528A">
        <w:rPr>
          <w:lang w:val="fr-FR"/>
        </w:rPr>
        <w:t xml:space="preserve"> toujours pas séparées des condamnés. Le problème non résolu de la surpopulation a des </w:t>
      </w:r>
      <w:r>
        <w:rPr>
          <w:lang w:val="fr-FR"/>
        </w:rPr>
        <w:t>répercussions</w:t>
      </w:r>
      <w:r w:rsidRPr="0016528A">
        <w:rPr>
          <w:lang w:val="fr-FR"/>
        </w:rPr>
        <w:t xml:space="preserve"> sur la qualité de vie globale des détenus, </w:t>
      </w:r>
      <w:r>
        <w:rPr>
          <w:lang w:val="fr-FR"/>
        </w:rPr>
        <w:t>y compris</w:t>
      </w:r>
      <w:r w:rsidRPr="0016528A">
        <w:rPr>
          <w:lang w:val="fr-FR"/>
        </w:rPr>
        <w:t xml:space="preserve"> sur leur santé physique et mentale.</w:t>
      </w:r>
    </w:p>
    <w:p w:rsidR="00C8688F" w:rsidRPr="0016528A" w:rsidRDefault="00C8688F" w:rsidP="00C8688F">
      <w:pPr>
        <w:pStyle w:val="SingleTxtG"/>
        <w:ind w:firstLine="567"/>
        <w:rPr>
          <w:lang w:val="fr-FR"/>
        </w:rPr>
      </w:pPr>
      <w:r w:rsidRPr="0016528A">
        <w:rPr>
          <w:lang w:val="fr-FR"/>
        </w:rPr>
        <w:t>Les organisations mentionnent les restrictions relatives aux visites en prison, tant sur le plan de la fréquence (cinq visites par mois) que de la durée (une minute par visite), les conditions de détention difficiles pour les femmes enceintes, et les procédures de fouille à nu, appliquées en violation des normes relatives aux droits de l</w:t>
      </w:r>
      <w:r>
        <w:rPr>
          <w:lang w:val="fr-FR"/>
        </w:rPr>
        <w:t>’</w:t>
      </w:r>
      <w:r w:rsidRPr="0016528A">
        <w:rPr>
          <w:lang w:val="fr-FR"/>
        </w:rPr>
        <w:t>homme.</w:t>
      </w:r>
    </w:p>
    <w:p w:rsidR="00C8688F" w:rsidRPr="0016528A" w:rsidRDefault="00C8688F" w:rsidP="00A2710F">
      <w:pPr>
        <w:pStyle w:val="H4G"/>
        <w:rPr>
          <w:lang w:val="fr-FR"/>
        </w:rPr>
      </w:pPr>
      <w:r w:rsidRPr="0016528A">
        <w:rPr>
          <w:lang w:val="fr-FR"/>
        </w:rPr>
        <w:tab/>
      </w:r>
      <w:r w:rsidRPr="0016528A">
        <w:rPr>
          <w:lang w:val="fr-FR"/>
        </w:rPr>
        <w:tab/>
      </w:r>
      <w:proofErr w:type="spellStart"/>
      <w:r w:rsidRPr="0016528A">
        <w:rPr>
          <w:lang w:val="fr-FR"/>
        </w:rPr>
        <w:t>People</w:t>
      </w:r>
      <w:r>
        <w:rPr>
          <w:lang w:val="fr-FR"/>
        </w:rPr>
        <w:t>’</w:t>
      </w:r>
      <w:r w:rsidRPr="0016528A">
        <w:rPr>
          <w:lang w:val="fr-FR"/>
        </w:rPr>
        <w:t>s</w:t>
      </w:r>
      <w:proofErr w:type="spellEnd"/>
      <w:r w:rsidRPr="0016528A">
        <w:rPr>
          <w:lang w:val="fr-FR"/>
        </w:rPr>
        <w:t xml:space="preserve"> </w:t>
      </w:r>
      <w:proofErr w:type="spellStart"/>
      <w:r w:rsidRPr="0016528A">
        <w:rPr>
          <w:lang w:val="fr-FR"/>
        </w:rPr>
        <w:t>Empowerment</w:t>
      </w:r>
      <w:proofErr w:type="spellEnd"/>
      <w:r w:rsidRPr="0016528A">
        <w:rPr>
          <w:lang w:val="fr-FR"/>
        </w:rPr>
        <w:t xml:space="preserve"> </w:t>
      </w:r>
      <w:proofErr w:type="spellStart"/>
      <w:r w:rsidRPr="0016528A">
        <w:rPr>
          <w:lang w:val="fr-FR"/>
        </w:rPr>
        <w:t>Foundation</w:t>
      </w:r>
      <w:proofErr w:type="spellEnd"/>
    </w:p>
    <w:p w:rsidR="00C8688F" w:rsidRPr="0016528A" w:rsidRDefault="00C8688F" w:rsidP="00C8688F">
      <w:pPr>
        <w:pStyle w:val="SingleTxtG"/>
        <w:ind w:firstLine="567"/>
        <w:rPr>
          <w:lang w:val="fr-FR"/>
        </w:rPr>
      </w:pPr>
      <w:r>
        <w:rPr>
          <w:lang w:val="fr-FR"/>
        </w:rPr>
        <w:t>L</w:t>
      </w:r>
      <w:r w:rsidRPr="0016528A">
        <w:rPr>
          <w:lang w:val="fr-FR"/>
        </w:rPr>
        <w:t>a prison de Lad Yao</w:t>
      </w:r>
      <w:r>
        <w:rPr>
          <w:lang w:val="fr-FR"/>
        </w:rPr>
        <w:t xml:space="preserve">, qui a </w:t>
      </w:r>
      <w:r w:rsidRPr="0016528A">
        <w:rPr>
          <w:lang w:val="fr-FR"/>
        </w:rPr>
        <w:t xml:space="preserve">une capacité </w:t>
      </w:r>
      <w:r>
        <w:rPr>
          <w:lang w:val="fr-FR"/>
        </w:rPr>
        <w:t xml:space="preserve">d’accueil </w:t>
      </w:r>
      <w:r w:rsidRPr="0016528A">
        <w:rPr>
          <w:lang w:val="fr-FR"/>
        </w:rPr>
        <w:t>de 5</w:t>
      </w:r>
      <w:r w:rsidR="00A2710F">
        <w:rPr>
          <w:lang w:val="fr-FR"/>
        </w:rPr>
        <w:t> </w:t>
      </w:r>
      <w:r w:rsidRPr="0016528A">
        <w:rPr>
          <w:lang w:val="fr-FR"/>
        </w:rPr>
        <w:t>000</w:t>
      </w:r>
      <w:r w:rsidR="00A2710F">
        <w:rPr>
          <w:lang w:val="fr-FR"/>
        </w:rPr>
        <w:t> </w:t>
      </w:r>
      <w:r w:rsidRPr="0016528A">
        <w:rPr>
          <w:lang w:val="fr-FR"/>
        </w:rPr>
        <w:t xml:space="preserve">personnes, accueille actuellement </w:t>
      </w:r>
      <w:r>
        <w:rPr>
          <w:lang w:val="fr-FR"/>
        </w:rPr>
        <w:t xml:space="preserve">pas moins de </w:t>
      </w:r>
      <w:r w:rsidRPr="0016528A">
        <w:rPr>
          <w:lang w:val="fr-FR"/>
        </w:rPr>
        <w:t>10</w:t>
      </w:r>
      <w:r w:rsidR="00A2710F">
        <w:rPr>
          <w:lang w:val="fr-FR"/>
        </w:rPr>
        <w:t> </w:t>
      </w:r>
      <w:r w:rsidRPr="0016528A">
        <w:rPr>
          <w:lang w:val="fr-FR"/>
        </w:rPr>
        <w:t>000</w:t>
      </w:r>
      <w:r w:rsidR="00A2710F">
        <w:rPr>
          <w:lang w:val="fr-FR"/>
        </w:rPr>
        <w:t> </w:t>
      </w:r>
      <w:r w:rsidRPr="0016528A">
        <w:rPr>
          <w:lang w:val="fr-FR"/>
        </w:rPr>
        <w:t>détenus, dont 95 % purgent leur septième ou leur huitième peine d</w:t>
      </w:r>
      <w:r>
        <w:rPr>
          <w:lang w:val="fr-FR"/>
        </w:rPr>
        <w:t>’</w:t>
      </w:r>
      <w:r w:rsidRPr="0016528A">
        <w:rPr>
          <w:lang w:val="fr-FR"/>
        </w:rPr>
        <w:t xml:space="preserve">emprisonnement pour des infractions </w:t>
      </w:r>
      <w:r>
        <w:rPr>
          <w:lang w:val="fr-FR"/>
        </w:rPr>
        <w:t>à la législation sur les</w:t>
      </w:r>
      <w:r w:rsidRPr="0016528A">
        <w:rPr>
          <w:lang w:val="fr-FR"/>
        </w:rPr>
        <w:t xml:space="preserve"> stupéfiants. Afin de résoudre le problème de</w:t>
      </w:r>
      <w:r>
        <w:rPr>
          <w:lang w:val="fr-FR"/>
        </w:rPr>
        <w:t xml:space="preserve"> la</w:t>
      </w:r>
      <w:r w:rsidRPr="0016528A">
        <w:rPr>
          <w:lang w:val="fr-FR"/>
        </w:rPr>
        <w:t xml:space="preserve"> surpopulation, les autorités ont fait installer des lits superposés</w:t>
      </w:r>
      <w:r>
        <w:rPr>
          <w:lang w:val="fr-FR"/>
        </w:rPr>
        <w:t xml:space="preserve">, </w:t>
      </w:r>
      <w:r w:rsidRPr="0016528A">
        <w:rPr>
          <w:lang w:val="fr-FR"/>
        </w:rPr>
        <w:t>mesure</w:t>
      </w:r>
      <w:r>
        <w:rPr>
          <w:lang w:val="fr-FR"/>
        </w:rPr>
        <w:t xml:space="preserve"> qui</w:t>
      </w:r>
      <w:r w:rsidRPr="0016528A">
        <w:rPr>
          <w:lang w:val="fr-FR"/>
        </w:rPr>
        <w:t xml:space="preserve"> dev</w:t>
      </w:r>
      <w:r>
        <w:rPr>
          <w:lang w:val="fr-FR"/>
        </w:rPr>
        <w:t>r</w:t>
      </w:r>
      <w:r w:rsidRPr="0016528A">
        <w:rPr>
          <w:lang w:val="fr-FR"/>
        </w:rPr>
        <w:t>ait permettre de créer environ 50</w:t>
      </w:r>
      <w:r w:rsidR="00A2710F">
        <w:rPr>
          <w:lang w:val="fr-FR"/>
        </w:rPr>
        <w:t> </w:t>
      </w:r>
      <w:r w:rsidRPr="0016528A">
        <w:rPr>
          <w:lang w:val="fr-FR"/>
        </w:rPr>
        <w:t>000</w:t>
      </w:r>
      <w:r w:rsidR="00A2710F">
        <w:rPr>
          <w:lang w:val="fr-FR"/>
        </w:rPr>
        <w:t> </w:t>
      </w:r>
      <w:r w:rsidRPr="0016528A">
        <w:rPr>
          <w:lang w:val="fr-FR"/>
        </w:rPr>
        <w:t>places supplémentaires.</w:t>
      </w:r>
    </w:p>
    <w:p w:rsidR="00C8688F" w:rsidRPr="0016528A" w:rsidRDefault="00C8688F" w:rsidP="00C8688F">
      <w:pPr>
        <w:pStyle w:val="SingleTxtG"/>
        <w:ind w:firstLine="567"/>
        <w:rPr>
          <w:lang w:val="fr-FR"/>
        </w:rPr>
      </w:pPr>
      <w:r>
        <w:rPr>
          <w:lang w:val="fr-FR"/>
        </w:rPr>
        <w:t>Environ</w:t>
      </w:r>
      <w:r w:rsidRPr="0016528A">
        <w:rPr>
          <w:lang w:val="fr-FR"/>
        </w:rPr>
        <w:t xml:space="preserve"> 30</w:t>
      </w:r>
      <w:r w:rsidR="00A2710F">
        <w:rPr>
          <w:lang w:val="fr-FR"/>
        </w:rPr>
        <w:t> </w:t>
      </w:r>
      <w:r w:rsidRPr="0016528A">
        <w:rPr>
          <w:lang w:val="fr-FR"/>
        </w:rPr>
        <w:t>000</w:t>
      </w:r>
      <w:r w:rsidR="00A2710F">
        <w:rPr>
          <w:lang w:val="fr-FR"/>
        </w:rPr>
        <w:t> </w:t>
      </w:r>
      <w:r w:rsidRPr="0016528A">
        <w:rPr>
          <w:lang w:val="fr-FR"/>
        </w:rPr>
        <w:t>dispositifs de surveillance électronique ont été mis en circulation</w:t>
      </w:r>
      <w:r>
        <w:rPr>
          <w:lang w:val="fr-FR"/>
        </w:rPr>
        <w:t xml:space="preserve">, </w:t>
      </w:r>
      <w:r w:rsidRPr="0016528A">
        <w:rPr>
          <w:lang w:val="fr-FR"/>
        </w:rPr>
        <w:t>l</w:t>
      </w:r>
      <w:r>
        <w:rPr>
          <w:lang w:val="fr-FR"/>
        </w:rPr>
        <w:t>’</w:t>
      </w:r>
      <w:r w:rsidRPr="0016528A">
        <w:rPr>
          <w:lang w:val="fr-FR"/>
        </w:rPr>
        <w:t xml:space="preserve">objectif </w:t>
      </w:r>
      <w:r>
        <w:rPr>
          <w:lang w:val="fr-FR"/>
        </w:rPr>
        <w:t>étan</w:t>
      </w:r>
      <w:r w:rsidRPr="0016528A">
        <w:rPr>
          <w:lang w:val="fr-FR"/>
        </w:rPr>
        <w:t>t d</w:t>
      </w:r>
      <w:r>
        <w:rPr>
          <w:lang w:val="fr-FR"/>
        </w:rPr>
        <w:t>’</w:t>
      </w:r>
      <w:r w:rsidRPr="0016528A">
        <w:rPr>
          <w:lang w:val="fr-FR"/>
        </w:rPr>
        <w:t>en utiliser 100 000 afin de réduire le nombre de détenus. Pour éviter toute évasion lors des transferts au tribunal, les détenus sont encore enchaînés.</w:t>
      </w:r>
    </w:p>
    <w:p w:rsidR="00C8688F" w:rsidRPr="0016528A" w:rsidRDefault="00C8688F" w:rsidP="00A2710F">
      <w:pPr>
        <w:pStyle w:val="H23G"/>
        <w:rPr>
          <w:lang w:val="fr-FR"/>
        </w:rPr>
      </w:pPr>
      <w:r w:rsidRPr="0016528A">
        <w:rPr>
          <w:lang w:val="fr-FR"/>
        </w:rPr>
        <w:tab/>
      </w:r>
      <w:r w:rsidRPr="0016528A">
        <w:rPr>
          <w:lang w:val="fr-FR"/>
        </w:rPr>
        <w:tab/>
        <w:t>Évaluation du Comité</w:t>
      </w:r>
    </w:p>
    <w:p w:rsidR="00C8688F" w:rsidRPr="0016528A" w:rsidRDefault="00C8688F" w:rsidP="00C8688F">
      <w:pPr>
        <w:pStyle w:val="SingleTxtG"/>
        <w:rPr>
          <w:lang w:val="fr-FR"/>
        </w:rPr>
      </w:pPr>
      <w:r w:rsidRPr="00A2710F">
        <w:rPr>
          <w:bCs/>
          <w:lang w:val="fr-FR"/>
        </w:rPr>
        <w:t>[</w:t>
      </w:r>
      <w:r w:rsidRPr="0016528A">
        <w:rPr>
          <w:b/>
          <w:lang w:val="fr-FR"/>
        </w:rPr>
        <w:t>B</w:t>
      </w:r>
      <w:r w:rsidRPr="00A2710F">
        <w:rPr>
          <w:bCs/>
          <w:lang w:val="fr-FR"/>
        </w:rPr>
        <w:t>] :</w:t>
      </w:r>
      <w:r w:rsidRPr="0016528A">
        <w:rPr>
          <w:lang w:val="fr-FR"/>
        </w:rPr>
        <w:t xml:space="preserve"> Le Comité prend note des efforts </w:t>
      </w:r>
      <w:r>
        <w:rPr>
          <w:lang w:val="fr-FR"/>
        </w:rPr>
        <w:t>faits</w:t>
      </w:r>
      <w:r w:rsidRPr="0016528A">
        <w:rPr>
          <w:lang w:val="fr-FR"/>
        </w:rPr>
        <w:t xml:space="preserve"> par l</w:t>
      </w:r>
      <w:r>
        <w:rPr>
          <w:lang w:val="fr-FR"/>
        </w:rPr>
        <w:t>’</w:t>
      </w:r>
      <w:r w:rsidRPr="0016528A">
        <w:rPr>
          <w:lang w:val="fr-FR"/>
        </w:rPr>
        <w:t>État partie, en particulier par le Département de l</w:t>
      </w:r>
      <w:r>
        <w:rPr>
          <w:lang w:val="fr-FR"/>
        </w:rPr>
        <w:t>’</w:t>
      </w:r>
      <w:r w:rsidRPr="0016528A">
        <w:rPr>
          <w:lang w:val="fr-FR"/>
        </w:rPr>
        <w:t>administration pénitentiaire du Ministère de la justice et l</w:t>
      </w:r>
      <w:r>
        <w:rPr>
          <w:lang w:val="fr-FR"/>
        </w:rPr>
        <w:t>’</w:t>
      </w:r>
      <w:r w:rsidRPr="0016528A">
        <w:rPr>
          <w:lang w:val="fr-FR"/>
        </w:rPr>
        <w:t>Institut thaïlandais de la justice, pour améliorer les conditions de détention. Il prend note</w:t>
      </w:r>
      <w:r>
        <w:rPr>
          <w:lang w:val="fr-FR"/>
        </w:rPr>
        <w:t>, également,</w:t>
      </w:r>
      <w:r w:rsidRPr="0016528A">
        <w:rPr>
          <w:lang w:val="fr-FR"/>
        </w:rPr>
        <w:t xml:space="preserve"> </w:t>
      </w:r>
      <w:r>
        <w:rPr>
          <w:lang w:val="fr-FR"/>
        </w:rPr>
        <w:t>de la mise en place d’un système</w:t>
      </w:r>
      <w:r w:rsidRPr="0016528A">
        <w:rPr>
          <w:lang w:val="fr-FR"/>
        </w:rPr>
        <w:t xml:space="preserve"> de surveillance électronique </w:t>
      </w:r>
      <w:r>
        <w:rPr>
          <w:lang w:val="fr-FR"/>
        </w:rPr>
        <w:t>à titre de mesure de substitution à</w:t>
      </w:r>
      <w:r w:rsidRPr="0016528A">
        <w:rPr>
          <w:lang w:val="fr-FR"/>
        </w:rPr>
        <w:t xml:space="preserve"> la détention. Il est toutefois préoccupé par les informations </w:t>
      </w:r>
      <w:r>
        <w:rPr>
          <w:lang w:val="fr-FR"/>
        </w:rPr>
        <w:t>qui continuent de lui parvenir</w:t>
      </w:r>
      <w:r w:rsidRPr="0016528A">
        <w:rPr>
          <w:lang w:val="fr-FR"/>
        </w:rPr>
        <w:t xml:space="preserve"> selon lesquelles les prisons sont surpeuplées et les conditions de détention</w:t>
      </w:r>
      <w:r>
        <w:rPr>
          <w:lang w:val="fr-FR"/>
        </w:rPr>
        <w:t xml:space="preserve">, </w:t>
      </w:r>
      <w:r w:rsidRPr="0016528A">
        <w:rPr>
          <w:lang w:val="fr-FR"/>
        </w:rPr>
        <w:t xml:space="preserve">mauvaises. Il demande des renseignements </w:t>
      </w:r>
      <w:r>
        <w:rPr>
          <w:lang w:val="fr-FR"/>
        </w:rPr>
        <w:t>com</w:t>
      </w:r>
      <w:r w:rsidRPr="0016528A">
        <w:rPr>
          <w:lang w:val="fr-FR"/>
        </w:rPr>
        <w:t>plémentaires sur l</w:t>
      </w:r>
      <w:r>
        <w:rPr>
          <w:lang w:val="fr-FR"/>
        </w:rPr>
        <w:t>’</w:t>
      </w:r>
      <w:r w:rsidRPr="0016528A">
        <w:rPr>
          <w:lang w:val="fr-FR"/>
        </w:rPr>
        <w:t>incidence des mesures prises par l</w:t>
      </w:r>
      <w:r>
        <w:rPr>
          <w:lang w:val="fr-FR"/>
        </w:rPr>
        <w:t>’</w:t>
      </w:r>
      <w:r w:rsidRPr="0016528A">
        <w:rPr>
          <w:lang w:val="fr-FR"/>
        </w:rPr>
        <w:t xml:space="preserve">État </w:t>
      </w:r>
      <w:r>
        <w:rPr>
          <w:lang w:val="fr-FR"/>
        </w:rPr>
        <w:t xml:space="preserve">partie </w:t>
      </w:r>
      <w:r w:rsidRPr="0016528A">
        <w:rPr>
          <w:lang w:val="fr-FR"/>
        </w:rPr>
        <w:t>pour réduire la surpopulation et améliorer les conditions de détention. Il renouvelle sa recommandation.</w:t>
      </w:r>
    </w:p>
    <w:p w:rsidR="00C8688F" w:rsidRPr="0016528A" w:rsidRDefault="00C8688F" w:rsidP="00C8688F">
      <w:pPr>
        <w:pStyle w:val="SingleTxtG"/>
        <w:rPr>
          <w:lang w:val="fr-FR"/>
        </w:rPr>
      </w:pPr>
      <w:r w:rsidRPr="0016528A">
        <w:rPr>
          <w:b/>
          <w:bCs/>
          <w:lang w:val="fr-FR"/>
        </w:rPr>
        <w:lastRenderedPageBreak/>
        <w:t>Mesures recommandées</w:t>
      </w:r>
      <w:r>
        <w:rPr>
          <w:b/>
          <w:bCs/>
          <w:lang w:val="fr-FR"/>
        </w:rPr>
        <w:t> </w:t>
      </w:r>
      <w:r w:rsidRPr="00C8688F">
        <w:rPr>
          <w:lang w:val="fr-FR"/>
        </w:rPr>
        <w:t>:</w:t>
      </w:r>
      <w:r w:rsidRPr="0016528A">
        <w:rPr>
          <w:lang w:val="fr-FR"/>
        </w:rPr>
        <w:t xml:space="preserve"> Une lettre devrait être adressée à l</w:t>
      </w:r>
      <w:r>
        <w:rPr>
          <w:lang w:val="fr-FR"/>
        </w:rPr>
        <w:t>’</w:t>
      </w:r>
      <w:r w:rsidRPr="0016528A">
        <w:rPr>
          <w:lang w:val="fr-FR"/>
        </w:rPr>
        <w:t>État partie pour l</w:t>
      </w:r>
      <w:r>
        <w:rPr>
          <w:lang w:val="fr-FR"/>
        </w:rPr>
        <w:t>’</w:t>
      </w:r>
      <w:r w:rsidRPr="0016528A">
        <w:rPr>
          <w:lang w:val="fr-FR"/>
        </w:rPr>
        <w:t>informer de l</w:t>
      </w:r>
      <w:r>
        <w:rPr>
          <w:lang w:val="fr-FR"/>
        </w:rPr>
        <w:t>’</w:t>
      </w:r>
      <w:r w:rsidRPr="0016528A">
        <w:rPr>
          <w:lang w:val="fr-FR"/>
        </w:rPr>
        <w:t>arrêt de la procédure de suivi. Les renseignements demandés devraient être communiqués par l</w:t>
      </w:r>
      <w:r>
        <w:rPr>
          <w:lang w:val="fr-FR"/>
        </w:rPr>
        <w:t>’</w:t>
      </w:r>
      <w:r w:rsidRPr="0016528A">
        <w:rPr>
          <w:lang w:val="fr-FR"/>
        </w:rPr>
        <w:t>État partie dans son prochain rapport périodique.</w:t>
      </w:r>
      <w:bookmarkStart w:id="5" w:name="_Toc506807563"/>
      <w:bookmarkStart w:id="6" w:name="_GoBack"/>
      <w:bookmarkEnd w:id="6"/>
    </w:p>
    <w:p w:rsidR="00E85C42" w:rsidRDefault="00C8688F" w:rsidP="00C8688F">
      <w:pPr>
        <w:pStyle w:val="SingleTxtG"/>
        <w:rPr>
          <w:lang w:val="fr-FR"/>
        </w:rPr>
      </w:pPr>
      <w:r w:rsidRPr="00C8688F">
        <w:rPr>
          <w:b/>
          <w:bCs/>
          <w:lang w:val="fr-FR"/>
        </w:rPr>
        <w:t>Prochain rapport périodique attendu le</w:t>
      </w:r>
      <w:r>
        <w:rPr>
          <w:lang w:val="fr-FR"/>
        </w:rPr>
        <w:t> </w:t>
      </w:r>
      <w:r w:rsidRPr="0016528A">
        <w:rPr>
          <w:lang w:val="fr-FR"/>
        </w:rPr>
        <w:t xml:space="preserve">: </w:t>
      </w:r>
      <w:bookmarkEnd w:id="5"/>
      <w:r w:rsidRPr="0016528A">
        <w:rPr>
          <w:lang w:val="fr-FR"/>
        </w:rPr>
        <w:t>29 mars 2021.</w:t>
      </w:r>
    </w:p>
    <w:p w:rsidR="00C8688F" w:rsidRPr="00C8688F" w:rsidRDefault="00C8688F" w:rsidP="00C8688F">
      <w:pPr>
        <w:pStyle w:val="SingleTxtG"/>
        <w:spacing w:before="240" w:after="0"/>
        <w:jc w:val="center"/>
        <w:rPr>
          <w:u w:val="single"/>
        </w:rPr>
      </w:pPr>
      <w:r>
        <w:rPr>
          <w:u w:val="single"/>
        </w:rPr>
        <w:tab/>
      </w:r>
      <w:r>
        <w:rPr>
          <w:u w:val="single"/>
        </w:rPr>
        <w:tab/>
      </w:r>
      <w:r>
        <w:rPr>
          <w:u w:val="single"/>
        </w:rPr>
        <w:tab/>
      </w:r>
    </w:p>
    <w:sectPr w:rsidR="00C8688F" w:rsidRPr="00C8688F" w:rsidSect="00FA284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612" w:rsidRDefault="00F97612" w:rsidP="00F95C08">
      <w:pPr>
        <w:spacing w:line="240" w:lineRule="auto"/>
      </w:pPr>
    </w:p>
  </w:endnote>
  <w:endnote w:type="continuationSeparator" w:id="0">
    <w:p w:rsidR="00F97612" w:rsidRPr="00AC3823" w:rsidRDefault="00F97612" w:rsidP="00AC3823">
      <w:pPr>
        <w:pStyle w:val="Pieddepage"/>
      </w:pPr>
    </w:p>
  </w:endnote>
  <w:endnote w:type="continuationNotice" w:id="1">
    <w:p w:rsidR="00F97612" w:rsidRDefault="00F976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612" w:rsidRPr="00FA2846" w:rsidRDefault="00F97612" w:rsidP="00FA2846">
    <w:pPr>
      <w:pStyle w:val="Pieddepage"/>
      <w:tabs>
        <w:tab w:val="right" w:pos="9638"/>
      </w:tabs>
    </w:pPr>
    <w:r w:rsidRPr="00FA2846">
      <w:rPr>
        <w:b/>
        <w:sz w:val="18"/>
      </w:rPr>
      <w:fldChar w:fldCharType="begin"/>
    </w:r>
    <w:r w:rsidRPr="00FA2846">
      <w:rPr>
        <w:b/>
        <w:sz w:val="18"/>
      </w:rPr>
      <w:instrText xml:space="preserve"> PAGE  \* MERGEFORMAT </w:instrText>
    </w:r>
    <w:r w:rsidRPr="00FA2846">
      <w:rPr>
        <w:b/>
        <w:sz w:val="18"/>
      </w:rPr>
      <w:fldChar w:fldCharType="separate"/>
    </w:r>
    <w:r w:rsidRPr="00FA2846">
      <w:rPr>
        <w:b/>
        <w:noProof/>
        <w:sz w:val="18"/>
      </w:rPr>
      <w:t>2</w:t>
    </w:r>
    <w:r w:rsidRPr="00FA2846">
      <w:rPr>
        <w:b/>
        <w:sz w:val="18"/>
      </w:rPr>
      <w:fldChar w:fldCharType="end"/>
    </w:r>
    <w:r>
      <w:rPr>
        <w:b/>
        <w:sz w:val="18"/>
      </w:rPr>
      <w:tab/>
    </w:r>
    <w:r>
      <w:t>GE.20-11630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612" w:rsidRPr="00FA2846" w:rsidRDefault="00F97612" w:rsidP="00FA2846">
    <w:pPr>
      <w:pStyle w:val="Pieddepage"/>
      <w:tabs>
        <w:tab w:val="right" w:pos="9638"/>
      </w:tabs>
      <w:rPr>
        <w:b/>
        <w:sz w:val="18"/>
      </w:rPr>
    </w:pPr>
    <w:r>
      <w:t>GE.20-11630</w:t>
    </w:r>
    <w:r>
      <w:tab/>
    </w:r>
    <w:r w:rsidRPr="00FA2846">
      <w:rPr>
        <w:b/>
        <w:sz w:val="18"/>
      </w:rPr>
      <w:fldChar w:fldCharType="begin"/>
    </w:r>
    <w:r w:rsidRPr="00FA2846">
      <w:rPr>
        <w:b/>
        <w:sz w:val="18"/>
      </w:rPr>
      <w:instrText xml:space="preserve"> PAGE  \* MERGEFORMAT </w:instrText>
    </w:r>
    <w:r w:rsidRPr="00FA2846">
      <w:rPr>
        <w:b/>
        <w:sz w:val="18"/>
      </w:rPr>
      <w:fldChar w:fldCharType="separate"/>
    </w:r>
    <w:r w:rsidRPr="00FA2846">
      <w:rPr>
        <w:b/>
        <w:noProof/>
        <w:sz w:val="18"/>
      </w:rPr>
      <w:t>3</w:t>
    </w:r>
    <w:r w:rsidRPr="00FA28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612" w:rsidRPr="00FA2846" w:rsidRDefault="00F97612" w:rsidP="00FA2846">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20-11630  (F)    261020    261020</w:t>
    </w:r>
    <w:r>
      <w:rPr>
        <w:sz w:val="20"/>
      </w:rPr>
      <w:br/>
    </w:r>
    <w:r w:rsidRPr="00FA2846">
      <w:rPr>
        <w:rFonts w:ascii="C39T30Lfz" w:hAnsi="C39T30Lfz"/>
        <w:sz w:val="56"/>
      </w:rPr>
      <w:t>*2011630*</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612" w:rsidRPr="00AC3823" w:rsidRDefault="00F97612" w:rsidP="00AC3823">
      <w:pPr>
        <w:pStyle w:val="Pieddepage"/>
        <w:tabs>
          <w:tab w:val="right" w:pos="2155"/>
        </w:tabs>
        <w:spacing w:after="80" w:line="240" w:lineRule="atLeast"/>
        <w:ind w:left="680"/>
        <w:rPr>
          <w:u w:val="single"/>
        </w:rPr>
      </w:pPr>
      <w:r>
        <w:rPr>
          <w:u w:val="single"/>
        </w:rPr>
        <w:tab/>
      </w:r>
    </w:p>
  </w:footnote>
  <w:footnote w:type="continuationSeparator" w:id="0">
    <w:p w:rsidR="00F97612" w:rsidRPr="00AC3823" w:rsidRDefault="00F97612" w:rsidP="00AC3823">
      <w:pPr>
        <w:pStyle w:val="Pieddepage"/>
        <w:tabs>
          <w:tab w:val="right" w:pos="2155"/>
        </w:tabs>
        <w:spacing w:after="80" w:line="240" w:lineRule="atLeast"/>
        <w:ind w:left="680"/>
        <w:rPr>
          <w:u w:val="single"/>
        </w:rPr>
      </w:pPr>
      <w:r>
        <w:rPr>
          <w:u w:val="single"/>
        </w:rPr>
        <w:tab/>
      </w:r>
    </w:p>
  </w:footnote>
  <w:footnote w:type="continuationNotice" w:id="1">
    <w:p w:rsidR="00F97612" w:rsidRPr="00AC3823" w:rsidRDefault="00F97612">
      <w:pPr>
        <w:spacing w:line="240" w:lineRule="auto"/>
        <w:rPr>
          <w:sz w:val="2"/>
          <w:szCs w:val="2"/>
        </w:rPr>
      </w:pPr>
    </w:p>
  </w:footnote>
  <w:footnote w:id="2">
    <w:p w:rsidR="00F97612" w:rsidRPr="00666FE2" w:rsidRDefault="00F97612" w:rsidP="00C8688F">
      <w:pPr>
        <w:pStyle w:val="Notedebasdepage"/>
        <w:rPr>
          <w:lang w:val="fr-FR"/>
        </w:rPr>
      </w:pPr>
      <w:r w:rsidRPr="00666FE2">
        <w:rPr>
          <w:rStyle w:val="Appelnotedebasdep"/>
          <w:lang w:val="fr-FR"/>
        </w:rPr>
        <w:tab/>
      </w:r>
      <w:r w:rsidRPr="00666FE2">
        <w:rPr>
          <w:rStyle w:val="Appelnotedebasdep"/>
          <w:sz w:val="20"/>
          <w:lang w:val="fr-FR"/>
        </w:rPr>
        <w:t>*</w:t>
      </w:r>
      <w:r w:rsidRPr="00666FE2">
        <w:rPr>
          <w:rStyle w:val="Appelnotedebasdep"/>
          <w:sz w:val="20"/>
          <w:lang w:val="fr-FR"/>
        </w:rPr>
        <w:tab/>
      </w:r>
      <w:r w:rsidRPr="00666FE2">
        <w:rPr>
          <w:lang w:val="fr-FR"/>
        </w:rPr>
        <w:t>Adopté par le Comité à sa 129</w:t>
      </w:r>
      <w:r w:rsidRPr="00666FE2">
        <w:rPr>
          <w:vertAlign w:val="superscript"/>
          <w:lang w:val="fr-FR"/>
        </w:rPr>
        <w:t>e</w:t>
      </w:r>
      <w:r w:rsidRPr="00666FE2">
        <w:rPr>
          <w:lang w:val="fr-FR"/>
        </w:rPr>
        <w:t xml:space="preserve"> session (29 juin-24 juillet 2020).</w:t>
      </w:r>
    </w:p>
  </w:footnote>
  <w:footnote w:id="3">
    <w:p w:rsidR="004414CE" w:rsidRPr="00666FE2" w:rsidRDefault="004414CE" w:rsidP="004414CE">
      <w:pPr>
        <w:pStyle w:val="Notedebasdepage"/>
        <w:rPr>
          <w:lang w:val="fr-FR"/>
        </w:rPr>
      </w:pPr>
      <w:r w:rsidRPr="00666FE2">
        <w:tab/>
      </w:r>
      <w:r w:rsidRPr="00666FE2">
        <w:rPr>
          <w:rStyle w:val="Appelnotedebasdep"/>
        </w:rPr>
        <w:footnoteRef/>
      </w:r>
      <w:r w:rsidRPr="00666FE2">
        <w:rPr>
          <w:lang w:val="fr-FR"/>
        </w:rPr>
        <w:tab/>
        <w:t xml:space="preserve">Voir </w:t>
      </w:r>
      <w:hyperlink r:id="rId1" w:history="1">
        <w:r w:rsidRPr="00666FE2">
          <w:rPr>
            <w:rStyle w:val="Lienhypertexte"/>
            <w:color w:val="auto"/>
            <w:lang w:val="fr-FR"/>
          </w:rPr>
          <w:t>https://tbinternet.ohchr.org/Treati</w:t>
        </w:r>
        <w:r w:rsidRPr="00666FE2">
          <w:rPr>
            <w:rStyle w:val="Lienhypertexte"/>
            <w:color w:val="auto"/>
            <w:lang w:val="fr-FR"/>
          </w:rPr>
          <w:t>e</w:t>
        </w:r>
        <w:r w:rsidRPr="00666FE2">
          <w:rPr>
            <w:rStyle w:val="Lienhypertexte"/>
            <w:color w:val="auto"/>
            <w:lang w:val="fr-FR"/>
          </w:rPr>
          <w:t>s/CCPR/Shared%20Documents/THA/INT_CCPR_</w:t>
        </w:r>
        <w:r w:rsidRPr="00666FE2">
          <w:rPr>
            <w:rStyle w:val="Lienhypertexte"/>
            <w:color w:val="auto"/>
            <w:lang w:val="fr-FR"/>
          </w:rPr>
          <w:t xml:space="preserve"> </w:t>
        </w:r>
        <w:r w:rsidRPr="00666FE2">
          <w:rPr>
            <w:rStyle w:val="Lienhypertexte"/>
            <w:color w:val="auto"/>
            <w:lang w:val="fr-FR"/>
          </w:rPr>
          <w:t>NGS_THA_30567_E.pdf</w:t>
        </w:r>
      </w:hyperlink>
      <w:r w:rsidRPr="00666FE2">
        <w:rPr>
          <w:lang w:val="fr-FR"/>
        </w:rPr>
        <w:t>.</w:t>
      </w:r>
    </w:p>
  </w:footnote>
  <w:footnote w:id="4">
    <w:p w:rsidR="004414CE" w:rsidRPr="00666FE2" w:rsidRDefault="004414CE" w:rsidP="004414CE">
      <w:pPr>
        <w:pStyle w:val="Notedebasdepage"/>
        <w:rPr>
          <w:lang w:val="fr-FR"/>
        </w:rPr>
      </w:pPr>
      <w:r w:rsidRPr="00666FE2">
        <w:tab/>
      </w:r>
      <w:r w:rsidRPr="00666FE2">
        <w:rPr>
          <w:rStyle w:val="Appelnotedebasdep"/>
        </w:rPr>
        <w:footnoteRef/>
      </w:r>
      <w:r w:rsidRPr="00666FE2">
        <w:rPr>
          <w:lang w:val="fr-FR"/>
        </w:rPr>
        <w:tab/>
        <w:t xml:space="preserve">Voir </w:t>
      </w:r>
      <w:hyperlink r:id="rId2" w:history="1">
        <w:r w:rsidRPr="00666FE2">
          <w:rPr>
            <w:rStyle w:val="Lienhypertexte"/>
            <w:color w:val="auto"/>
            <w:lang w:val="fr-FR"/>
          </w:rPr>
          <w:t>https://tbinternet.ohchr.org/Treatie</w:t>
        </w:r>
        <w:r w:rsidRPr="00666FE2">
          <w:rPr>
            <w:rStyle w:val="Lienhypertexte"/>
            <w:color w:val="auto"/>
            <w:lang w:val="fr-FR"/>
          </w:rPr>
          <w:t>s</w:t>
        </w:r>
        <w:r w:rsidRPr="00666FE2">
          <w:rPr>
            <w:rStyle w:val="Lienhypertexte"/>
            <w:color w:val="auto"/>
            <w:lang w:val="fr-FR"/>
          </w:rPr>
          <w:t>/CCPR/Shared%20Documents/THA/INT_CCPR_</w:t>
        </w:r>
        <w:r w:rsidRPr="00666FE2">
          <w:rPr>
            <w:rStyle w:val="Lienhypertexte"/>
            <w:color w:val="auto"/>
            <w:lang w:val="fr-FR"/>
          </w:rPr>
          <w:t xml:space="preserve"> </w:t>
        </w:r>
        <w:r w:rsidRPr="00666FE2">
          <w:rPr>
            <w:rStyle w:val="Lienhypertexte"/>
            <w:color w:val="auto"/>
            <w:lang w:val="fr-FR"/>
          </w:rPr>
          <w:t>NGS_THA_30782_E.pdf</w:t>
        </w:r>
      </w:hyperlink>
      <w:r w:rsidRPr="00666FE2">
        <w:rPr>
          <w:lang w:val="fr-FR"/>
        </w:rPr>
        <w:t>.</w:t>
      </w:r>
    </w:p>
  </w:footnote>
  <w:footnote w:id="5">
    <w:p w:rsidR="004414CE" w:rsidRPr="00666FE2" w:rsidRDefault="004414CE" w:rsidP="004414CE">
      <w:pPr>
        <w:pStyle w:val="Notedebasdepage"/>
        <w:rPr>
          <w:lang w:val="fr-FR"/>
        </w:rPr>
      </w:pPr>
      <w:r w:rsidRPr="00666FE2">
        <w:tab/>
      </w:r>
      <w:r w:rsidRPr="00666FE2">
        <w:rPr>
          <w:rStyle w:val="Appelnotedebasdep"/>
        </w:rPr>
        <w:footnoteRef/>
      </w:r>
      <w:r w:rsidRPr="00666FE2">
        <w:rPr>
          <w:lang w:val="fr-FR"/>
        </w:rPr>
        <w:tab/>
        <w:t xml:space="preserve">Voir </w:t>
      </w:r>
      <w:hyperlink r:id="rId3" w:history="1">
        <w:r w:rsidRPr="00666FE2">
          <w:rPr>
            <w:rStyle w:val="Lienhypertexte"/>
            <w:color w:val="auto"/>
            <w:lang w:val="fr-FR"/>
          </w:rPr>
          <w:t>https://tbinternet.ohchr.org/Treaties/CCPR/Shared%20Doc</w:t>
        </w:r>
        <w:r w:rsidRPr="00666FE2">
          <w:rPr>
            <w:rStyle w:val="Lienhypertexte"/>
            <w:color w:val="auto"/>
            <w:lang w:val="fr-FR"/>
          </w:rPr>
          <w:t>u</w:t>
        </w:r>
        <w:r w:rsidRPr="00666FE2">
          <w:rPr>
            <w:rStyle w:val="Lienhypertexte"/>
            <w:color w:val="auto"/>
            <w:lang w:val="fr-FR"/>
          </w:rPr>
          <w:t>ments/THA/INT_CCPR_</w:t>
        </w:r>
        <w:r w:rsidRPr="00666FE2">
          <w:rPr>
            <w:rStyle w:val="Lienhypertexte"/>
            <w:color w:val="auto"/>
            <w:lang w:val="fr-FR"/>
          </w:rPr>
          <w:t xml:space="preserve"> </w:t>
        </w:r>
        <w:r w:rsidRPr="00666FE2">
          <w:rPr>
            <w:rStyle w:val="Lienhypertexte"/>
            <w:color w:val="auto"/>
            <w:lang w:val="fr-FR"/>
          </w:rPr>
          <w:t>NGS_THA_31885_E.pdf</w:t>
        </w:r>
      </w:hyperlink>
      <w:r w:rsidRPr="00666FE2">
        <w:rPr>
          <w:lang w:val="fr-FR"/>
        </w:rPr>
        <w:t>.</w:t>
      </w:r>
    </w:p>
  </w:footnote>
  <w:footnote w:id="6">
    <w:p w:rsidR="004414CE" w:rsidRPr="00666FE2" w:rsidRDefault="004414CE" w:rsidP="004414CE">
      <w:pPr>
        <w:pStyle w:val="Notedebasdepage"/>
        <w:rPr>
          <w:lang w:val="fr-FR"/>
        </w:rPr>
      </w:pPr>
      <w:r w:rsidRPr="00666FE2">
        <w:tab/>
      </w:r>
      <w:r w:rsidRPr="00666FE2">
        <w:rPr>
          <w:rStyle w:val="Appelnotedebasdep"/>
        </w:rPr>
        <w:footnoteRef/>
      </w:r>
      <w:r w:rsidRPr="00666FE2">
        <w:rPr>
          <w:lang w:val="fr-FR"/>
        </w:rPr>
        <w:tab/>
        <w:t xml:space="preserve">Voir </w:t>
      </w:r>
      <w:hyperlink r:id="rId4" w:history="1">
        <w:r w:rsidRPr="00666FE2">
          <w:rPr>
            <w:rStyle w:val="Lienhypertexte"/>
            <w:color w:val="auto"/>
            <w:lang w:val="fr-FR"/>
          </w:rPr>
          <w:t>https://tbinternet.ohchr.org/Treaties/CCPR/Sh</w:t>
        </w:r>
        <w:r w:rsidRPr="00666FE2">
          <w:rPr>
            <w:rStyle w:val="Lienhypertexte"/>
            <w:color w:val="auto"/>
            <w:lang w:val="fr-FR"/>
          </w:rPr>
          <w:t>a</w:t>
        </w:r>
        <w:r w:rsidRPr="00666FE2">
          <w:rPr>
            <w:rStyle w:val="Lienhypertexte"/>
            <w:color w:val="auto"/>
            <w:lang w:val="fr-FR"/>
          </w:rPr>
          <w:t>red%20Documents/THA/INT_CCPR_</w:t>
        </w:r>
        <w:r w:rsidRPr="00666FE2">
          <w:rPr>
            <w:rStyle w:val="Lienhypertexte"/>
            <w:color w:val="auto"/>
            <w:lang w:val="fr-FR"/>
          </w:rPr>
          <w:t xml:space="preserve"> </w:t>
        </w:r>
        <w:r w:rsidRPr="00666FE2">
          <w:rPr>
            <w:rStyle w:val="Lienhypertexte"/>
            <w:color w:val="auto"/>
            <w:lang w:val="fr-FR"/>
          </w:rPr>
          <w:t>NGS_THA_32130_E.pdf</w:t>
        </w:r>
      </w:hyperlink>
      <w:r w:rsidRPr="00666FE2">
        <w:rPr>
          <w:lang w:val="fr-FR"/>
        </w:rPr>
        <w:t>.</w:t>
      </w:r>
    </w:p>
  </w:footnote>
  <w:footnote w:id="7">
    <w:p w:rsidR="004414CE" w:rsidRPr="00666FE2" w:rsidRDefault="004414CE" w:rsidP="004414CE">
      <w:pPr>
        <w:pStyle w:val="Notedebasdepage"/>
        <w:rPr>
          <w:lang w:val="fr-FR"/>
        </w:rPr>
      </w:pPr>
      <w:r w:rsidRPr="00666FE2">
        <w:tab/>
      </w:r>
      <w:r w:rsidRPr="00666FE2">
        <w:rPr>
          <w:rStyle w:val="Appelnotedebasdep"/>
        </w:rPr>
        <w:footnoteRef/>
      </w:r>
      <w:r w:rsidRPr="00666FE2">
        <w:rPr>
          <w:lang w:val="fr-FR"/>
        </w:rPr>
        <w:tab/>
        <w:t xml:space="preserve">Voir </w:t>
      </w:r>
      <w:hyperlink r:id="rId5" w:history="1">
        <w:r w:rsidRPr="00666FE2">
          <w:rPr>
            <w:rStyle w:val="Lienhypertexte"/>
            <w:color w:val="auto"/>
            <w:lang w:val="fr-FR"/>
          </w:rPr>
          <w:t>https://tbinternet.ohchr.org/_layouts/15/tr</w:t>
        </w:r>
        <w:r w:rsidRPr="00666FE2">
          <w:rPr>
            <w:rStyle w:val="Lienhypertexte"/>
            <w:color w:val="auto"/>
            <w:lang w:val="fr-FR"/>
          </w:rPr>
          <w:t>e</w:t>
        </w:r>
        <w:r w:rsidRPr="00666FE2">
          <w:rPr>
            <w:rStyle w:val="Lienhypertexte"/>
            <w:color w:val="auto"/>
            <w:lang w:val="fr-FR"/>
          </w:rPr>
          <w:t>atybodyexternal/Download.aspx?symbolno=</w:t>
        </w:r>
        <w:r w:rsidRPr="00666FE2">
          <w:rPr>
            <w:rStyle w:val="Lienhypertexte"/>
            <w:color w:val="auto"/>
            <w:lang w:val="fr-FR"/>
          </w:rPr>
          <w:t xml:space="preserve"> </w:t>
        </w:r>
        <w:r w:rsidRPr="00666FE2">
          <w:rPr>
            <w:rStyle w:val="Lienhypertexte"/>
            <w:color w:val="auto"/>
            <w:lang w:val="fr-FR"/>
          </w:rPr>
          <w:t>INT%2fCCPR%2fNGS%2fTHA%2f42138&amp;Lang=</w:t>
        </w:r>
        <w:proofErr w:type="spellStart"/>
        <w:r w:rsidRPr="00666FE2">
          <w:rPr>
            <w:rStyle w:val="Lienhypertexte"/>
            <w:color w:val="auto"/>
            <w:lang w:val="fr-FR"/>
          </w:rPr>
          <w:t>fr</w:t>
        </w:r>
      </w:hyperlink>
      <w:r w:rsidRPr="00666FE2">
        <w:rPr>
          <w:lang w:val="fr-FR"/>
        </w:rPr>
        <w:t>.</w:t>
      </w:r>
      <w:proofErr w:type="spellEnd"/>
    </w:p>
  </w:footnote>
  <w:footnote w:id="8">
    <w:p w:rsidR="004414CE" w:rsidRPr="00666FE2" w:rsidRDefault="004414CE" w:rsidP="004414CE">
      <w:pPr>
        <w:pStyle w:val="Notedebasdepage"/>
        <w:rPr>
          <w:lang w:val="fr-FR"/>
        </w:rPr>
      </w:pPr>
      <w:r w:rsidRPr="00666FE2">
        <w:tab/>
      </w:r>
      <w:r w:rsidRPr="00666FE2">
        <w:rPr>
          <w:rStyle w:val="Appelnotedebasdep"/>
        </w:rPr>
        <w:footnoteRef/>
      </w:r>
      <w:r w:rsidRPr="00666FE2">
        <w:rPr>
          <w:lang w:val="fr-FR"/>
        </w:rPr>
        <w:tab/>
        <w:t xml:space="preserve">Voir </w:t>
      </w:r>
      <w:hyperlink r:id="rId6" w:history="1">
        <w:r w:rsidRPr="00666FE2">
          <w:rPr>
            <w:rStyle w:val="Lienhypertexte"/>
            <w:color w:val="auto"/>
            <w:lang w:val="fr-FR"/>
          </w:rPr>
          <w:t>https://tbinternet.ohchr.org/_layouts/15/treaty</w:t>
        </w:r>
        <w:r w:rsidRPr="00666FE2">
          <w:rPr>
            <w:rStyle w:val="Lienhypertexte"/>
            <w:color w:val="auto"/>
            <w:lang w:val="fr-FR"/>
          </w:rPr>
          <w:t>b</w:t>
        </w:r>
        <w:r w:rsidRPr="00666FE2">
          <w:rPr>
            <w:rStyle w:val="Lienhypertexte"/>
            <w:color w:val="auto"/>
            <w:lang w:val="fr-FR"/>
          </w:rPr>
          <w:t>odyexternal/Download.aspx?symbolno=</w:t>
        </w:r>
        <w:r w:rsidR="00E05147" w:rsidRPr="00666FE2">
          <w:rPr>
            <w:rStyle w:val="Lienhypertexte"/>
            <w:color w:val="auto"/>
            <w:lang w:val="fr-FR"/>
          </w:rPr>
          <w:t xml:space="preserve"> </w:t>
        </w:r>
        <w:r w:rsidRPr="00666FE2">
          <w:rPr>
            <w:rStyle w:val="Lienhypertexte"/>
            <w:color w:val="auto"/>
            <w:lang w:val="fr-FR"/>
          </w:rPr>
          <w:t>INT%2fCCPR%2fNGS%2fTHA%2f42185&amp;Lang=</w:t>
        </w:r>
        <w:proofErr w:type="spellStart"/>
        <w:r w:rsidRPr="00666FE2">
          <w:rPr>
            <w:rStyle w:val="Lienhypertexte"/>
            <w:color w:val="auto"/>
            <w:lang w:val="fr-FR"/>
          </w:rPr>
          <w:t>fr</w:t>
        </w:r>
      </w:hyperlink>
      <w:r w:rsidRPr="00666FE2">
        <w:rPr>
          <w:lang w:val="fr-FR"/>
        </w:rPr>
        <w:t>.</w:t>
      </w:r>
      <w:proofErr w:type="spellEnd"/>
    </w:p>
  </w:footnote>
  <w:footnote w:id="9">
    <w:p w:rsidR="004414CE" w:rsidRPr="00666FE2" w:rsidRDefault="004414CE" w:rsidP="004414CE">
      <w:pPr>
        <w:pStyle w:val="Notedebasdepage"/>
        <w:rPr>
          <w:lang w:val="fr-FR"/>
        </w:rPr>
      </w:pPr>
      <w:r w:rsidRPr="00666FE2">
        <w:tab/>
      </w:r>
      <w:r w:rsidRPr="00666FE2">
        <w:rPr>
          <w:rStyle w:val="Appelnotedebasdep"/>
        </w:rPr>
        <w:footnoteRef/>
      </w:r>
      <w:r w:rsidRPr="00666FE2">
        <w:rPr>
          <w:lang w:val="fr-FR"/>
        </w:rPr>
        <w:tab/>
        <w:t xml:space="preserve">Voir </w:t>
      </w:r>
      <w:hyperlink r:id="rId7" w:history="1">
        <w:r w:rsidRPr="00666FE2">
          <w:rPr>
            <w:rStyle w:val="Lienhypertexte"/>
            <w:color w:val="auto"/>
            <w:lang w:val="fr-FR"/>
          </w:rPr>
          <w:t>https://tbinternet.ohchr.org/_layouts/15/treatybodyexternal/Down</w:t>
        </w:r>
        <w:r w:rsidRPr="00666FE2">
          <w:rPr>
            <w:rStyle w:val="Lienhypertexte"/>
            <w:color w:val="auto"/>
            <w:lang w:val="fr-FR"/>
          </w:rPr>
          <w:t>l</w:t>
        </w:r>
        <w:r w:rsidRPr="00666FE2">
          <w:rPr>
            <w:rStyle w:val="Lienhypertexte"/>
            <w:color w:val="auto"/>
            <w:lang w:val="fr-FR"/>
          </w:rPr>
          <w:t>oad.aspx?symbolno=</w:t>
        </w:r>
        <w:r w:rsidR="00E05147" w:rsidRPr="00666FE2">
          <w:rPr>
            <w:rStyle w:val="Lienhypertexte"/>
            <w:color w:val="auto"/>
            <w:lang w:val="fr-FR"/>
          </w:rPr>
          <w:t xml:space="preserve"> </w:t>
        </w:r>
        <w:r w:rsidRPr="00666FE2">
          <w:rPr>
            <w:rStyle w:val="Lienhypertexte"/>
            <w:color w:val="auto"/>
            <w:lang w:val="fr-FR"/>
          </w:rPr>
          <w:t>INT%2fCCPR%2fNGS%2fTHA%2f42124&amp;Lang=</w:t>
        </w:r>
        <w:proofErr w:type="spellStart"/>
        <w:r w:rsidRPr="00666FE2">
          <w:rPr>
            <w:rStyle w:val="Lienhypertexte"/>
            <w:color w:val="auto"/>
            <w:lang w:val="fr-FR"/>
          </w:rPr>
          <w:t>fr</w:t>
        </w:r>
      </w:hyperlink>
      <w:r w:rsidRPr="00666FE2">
        <w:rPr>
          <w:lang w:val="fr-FR"/>
        </w:rPr>
        <w: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612" w:rsidRPr="00FA2846" w:rsidRDefault="00F97612">
    <w:pPr>
      <w:pStyle w:val="En-tte"/>
    </w:pPr>
    <w:fldSimple w:instr=" TITLE  \* MERGEFORMAT ">
      <w:r>
        <w:t>CCPR/C/129/2/Add.2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612" w:rsidRPr="00FA2846" w:rsidRDefault="00F97612" w:rsidP="00FA2846">
    <w:pPr>
      <w:pStyle w:val="En-tte"/>
      <w:jc w:val="right"/>
    </w:pPr>
    <w:fldSimple w:instr=" TITLE  \* MERGEFORMAT ">
      <w:r>
        <w:t>CCPR/C/129/2/Add.2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CE7069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E755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E983D67"/>
    <w:multiLevelType w:val="hybridMultilevel"/>
    <w:tmpl w:val="751E7C6A"/>
    <w:lvl w:ilvl="0" w:tplc="4656C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F5270DB"/>
    <w:multiLevelType w:val="hybridMultilevel"/>
    <w:tmpl w:val="925A0E70"/>
    <w:lvl w:ilvl="0" w:tplc="19C02408">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9" w15:restartNumberingAfterBreak="0">
    <w:nsid w:val="3FA862D1"/>
    <w:multiLevelType w:val="hybridMultilevel"/>
    <w:tmpl w:val="7DC8094A"/>
    <w:lvl w:ilvl="0" w:tplc="CCAA24D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950C9"/>
    <w:multiLevelType w:val="hybridMultilevel"/>
    <w:tmpl w:val="015C9042"/>
    <w:lvl w:ilvl="0" w:tplc="3224DC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545FA"/>
    <w:multiLevelType w:val="multilevel"/>
    <w:tmpl w:val="B9D48A2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F127F0"/>
    <w:multiLevelType w:val="hybridMultilevel"/>
    <w:tmpl w:val="3EF83C96"/>
    <w:lvl w:ilvl="0" w:tplc="C92E637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63752"/>
    <w:multiLevelType w:val="hybridMultilevel"/>
    <w:tmpl w:val="01127070"/>
    <w:lvl w:ilvl="0" w:tplc="56C2BF9A">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1"/>
  </w:num>
  <w:num w:numId="17">
    <w:abstractNumId w:val="22"/>
  </w:num>
  <w:num w:numId="18">
    <w:abstractNumId w:val="17"/>
  </w:num>
  <w:num w:numId="19">
    <w:abstractNumId w:val="11"/>
  </w:num>
  <w:num w:numId="20">
    <w:abstractNumId w:val="16"/>
  </w:num>
  <w:num w:numId="21">
    <w:abstractNumId w:val="13"/>
  </w:num>
  <w:num w:numId="22">
    <w:abstractNumId w:val="10"/>
  </w:num>
  <w:num w:numId="23">
    <w:abstractNumId w:val="14"/>
  </w:num>
  <w:num w:numId="24">
    <w:abstractNumId w:val="12"/>
  </w:num>
  <w:num w:numId="25">
    <w:abstractNumId w:val="24"/>
  </w:num>
  <w:num w:numId="26">
    <w:abstractNumId w:val="20"/>
  </w:num>
  <w:num w:numId="27">
    <w:abstractNumId w:val="23"/>
  </w:num>
  <w:num w:numId="28">
    <w:abstractNumId w:val="15"/>
  </w:num>
  <w:num w:numId="29">
    <w:abstractNumId w:val="19"/>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3777"/>
    <w:rsid w:val="00017F94"/>
    <w:rsid w:val="00023842"/>
    <w:rsid w:val="000334F9"/>
    <w:rsid w:val="0007796D"/>
    <w:rsid w:val="000B7790"/>
    <w:rsid w:val="000C2225"/>
    <w:rsid w:val="000F2DE4"/>
    <w:rsid w:val="00111F2F"/>
    <w:rsid w:val="0014365E"/>
    <w:rsid w:val="00176178"/>
    <w:rsid w:val="001B379B"/>
    <w:rsid w:val="001F525A"/>
    <w:rsid w:val="00223272"/>
    <w:rsid w:val="0024779E"/>
    <w:rsid w:val="00255D15"/>
    <w:rsid w:val="002B7BC7"/>
    <w:rsid w:val="002E2D46"/>
    <w:rsid w:val="0032225A"/>
    <w:rsid w:val="003402F1"/>
    <w:rsid w:val="00351332"/>
    <w:rsid w:val="003A6E96"/>
    <w:rsid w:val="0042648E"/>
    <w:rsid w:val="004414CE"/>
    <w:rsid w:val="00446FE5"/>
    <w:rsid w:val="00452396"/>
    <w:rsid w:val="005505B7"/>
    <w:rsid w:val="00573BE5"/>
    <w:rsid w:val="00586ED3"/>
    <w:rsid w:val="00596AA9"/>
    <w:rsid w:val="005F3777"/>
    <w:rsid w:val="00666FE2"/>
    <w:rsid w:val="006F7144"/>
    <w:rsid w:val="006F71EA"/>
    <w:rsid w:val="0071601D"/>
    <w:rsid w:val="00793E85"/>
    <w:rsid w:val="007A611C"/>
    <w:rsid w:val="007A62E6"/>
    <w:rsid w:val="007E2032"/>
    <w:rsid w:val="0080684C"/>
    <w:rsid w:val="008147A6"/>
    <w:rsid w:val="008560DB"/>
    <w:rsid w:val="00871C75"/>
    <w:rsid w:val="008776DC"/>
    <w:rsid w:val="008D4179"/>
    <w:rsid w:val="009705C8"/>
    <w:rsid w:val="009B1E6C"/>
    <w:rsid w:val="009E2C6A"/>
    <w:rsid w:val="00A12DB5"/>
    <w:rsid w:val="00A2710F"/>
    <w:rsid w:val="00A906BF"/>
    <w:rsid w:val="00A9151D"/>
    <w:rsid w:val="00AA6A35"/>
    <w:rsid w:val="00AC3823"/>
    <w:rsid w:val="00AE323C"/>
    <w:rsid w:val="00B00181"/>
    <w:rsid w:val="00B765F7"/>
    <w:rsid w:val="00BA0CA9"/>
    <w:rsid w:val="00C01ACF"/>
    <w:rsid w:val="00C02897"/>
    <w:rsid w:val="00C8688F"/>
    <w:rsid w:val="00CA7BC4"/>
    <w:rsid w:val="00D05667"/>
    <w:rsid w:val="00D3439C"/>
    <w:rsid w:val="00D744E5"/>
    <w:rsid w:val="00D83177"/>
    <w:rsid w:val="00D975AA"/>
    <w:rsid w:val="00DB1831"/>
    <w:rsid w:val="00DD3BFD"/>
    <w:rsid w:val="00DF6678"/>
    <w:rsid w:val="00E05147"/>
    <w:rsid w:val="00E85C42"/>
    <w:rsid w:val="00EC30D5"/>
    <w:rsid w:val="00EE1BD4"/>
    <w:rsid w:val="00F12152"/>
    <w:rsid w:val="00F46F41"/>
    <w:rsid w:val="00F660DF"/>
    <w:rsid w:val="00F95C08"/>
    <w:rsid w:val="00F97612"/>
    <w:rsid w:val="00FA2846"/>
    <w:rsid w:val="00FC1AA3"/>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87A650"/>
  <w15:docId w15:val="{211B4F07-C66E-481C-BE00-C69C4F0A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F97612"/>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C8688F"/>
    <w:rPr>
      <w:rFonts w:ascii="Times New Roman" w:eastAsiaTheme="minorHAnsi" w:hAnsi="Times New Roman" w:cs="Times New Roman"/>
      <w:sz w:val="20"/>
      <w:szCs w:val="20"/>
      <w:lang w:eastAsia="en-US"/>
    </w:rPr>
  </w:style>
  <w:style w:type="paragraph" w:styleId="Rvision">
    <w:name w:val="Revision"/>
    <w:hidden/>
    <w:uiPriority w:val="99"/>
    <w:semiHidden/>
    <w:rsid w:val="00C8688F"/>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441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Treaties/CCPR/Shared%20Documents/THA/INT_CCPR_NGS_THA_31885_E.pdf" TargetMode="External"/><Relationship Id="rId7" Type="http://schemas.openxmlformats.org/officeDocument/2006/relationships/hyperlink" Target="https://tbinternet.ohchr.org/_layouts/15/treatybodyexternal/Download.aspx?symbolno=INT%2fCCPR%2fNGS%2fTHA%2f42124&amp;Lang=fr" TargetMode="External"/><Relationship Id="rId2" Type="http://schemas.openxmlformats.org/officeDocument/2006/relationships/hyperlink" Target="https://tbinternet.ohchr.org/Treaties/CCPR/Shared%20Documents/THA/INT_CCPR_NGS_THA_30782_E.pdf" TargetMode="External"/><Relationship Id="rId1" Type="http://schemas.openxmlformats.org/officeDocument/2006/relationships/hyperlink" Target="https://tbinternet.ohchr.org/Treaties/CCPR/Shared%20Documents/THA/INT_CCPR_NGS_THA_30567_E.pdf" TargetMode="External"/><Relationship Id="rId6" Type="http://schemas.openxmlformats.org/officeDocument/2006/relationships/hyperlink" Target="https://tbinternet.ohchr.org/_layouts/15/treatybodyexternal/Download.aspx?symbolno=INT%2fCCPR%2fNGS%2fTHA%2f42185&amp;Lang=fr" TargetMode="External"/><Relationship Id="rId5" Type="http://schemas.openxmlformats.org/officeDocument/2006/relationships/hyperlink" Target="https://tbinternet.ohchr.org/_layouts/15/treatybodyexternal/Download.aspx?symbolno=INT%2fCCPR%2fNGS%2fTHA%2f42138&amp;Lang=fr" TargetMode="External"/><Relationship Id="rId4" Type="http://schemas.openxmlformats.org/officeDocument/2006/relationships/hyperlink" Target="https://tbinternet.ohchr.org/Treaties/CCPR/Shared%20Documents/THA/INT_CCPR_NGS_THA_32130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5417</Words>
  <Characters>31747</Characters>
  <Application>Microsoft Office Word</Application>
  <DocSecurity>0</DocSecurity>
  <Lines>2886</Lines>
  <Paragraphs>1238</Paragraphs>
  <ScaleCrop>false</ScaleCrop>
  <HeadingPairs>
    <vt:vector size="2" baseType="variant">
      <vt:variant>
        <vt:lpstr>Titre</vt:lpstr>
      </vt:variant>
      <vt:variant>
        <vt:i4>1</vt:i4>
      </vt:variant>
    </vt:vector>
  </HeadingPairs>
  <TitlesOfParts>
    <vt:vector size="1" baseType="lpstr">
      <vt:lpstr>CCPR/C/129/2/Add.2</vt:lpstr>
    </vt:vector>
  </TitlesOfParts>
  <Company>DCM</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CCPR/C/129/2/Add.2</dc:title>
  <dc:subject/>
  <dc:creator>Nathalie VITTOZ</dc:creator>
  <cp:keywords/>
  <cp:lastModifiedBy>Nathalie Vittoz</cp:lastModifiedBy>
  <cp:revision>2</cp:revision>
  <cp:lastPrinted>2014-05-14T10:59:00Z</cp:lastPrinted>
  <dcterms:created xsi:type="dcterms:W3CDTF">2020-10-26T14:18:00Z</dcterms:created>
  <dcterms:modified xsi:type="dcterms:W3CDTF">2020-10-26T14:18:00Z</dcterms:modified>
</cp:coreProperties>
</file>