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02FA" w14:textId="77777777" w:rsidR="000E7CD1" w:rsidRPr="00CB4BE3" w:rsidRDefault="000E7CD1" w:rsidP="000E7CD1">
      <w:pPr>
        <w:spacing w:line="240" w:lineRule="auto"/>
        <w:rPr>
          <w:sz w:val="2"/>
          <w:lang w:val="fr-FR"/>
        </w:rPr>
        <w:sectPr w:rsidR="000E7CD1" w:rsidRPr="00CB4BE3" w:rsidSect="00A04B7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CB4BE3">
        <w:rPr>
          <w:rStyle w:val="CommentReference"/>
          <w:lang w:val="fr-FR"/>
        </w:rPr>
        <w:commentReference w:id="0"/>
      </w:r>
    </w:p>
    <w:p w14:paraId="38988706" w14:textId="21D89BE6" w:rsidR="00A04B73" w:rsidRPr="00CB4BE3" w:rsidRDefault="00A04B73" w:rsidP="00B87D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rPr>
          <w:lang w:val="fr-FR"/>
        </w:rPr>
      </w:pPr>
      <w:r w:rsidRPr="00CB4BE3">
        <w:rPr>
          <w:lang w:val="fr-FR"/>
        </w:rPr>
        <w:t>Comité pour l</w:t>
      </w:r>
      <w:r w:rsidR="002C592B" w:rsidRPr="00CB4BE3">
        <w:rPr>
          <w:lang w:val="fr-FR"/>
        </w:rPr>
        <w:t>’</w:t>
      </w:r>
      <w:r w:rsidRPr="00CB4BE3">
        <w:rPr>
          <w:lang w:val="fr-FR"/>
        </w:rPr>
        <w:t>élimination de la discrimination à</w:t>
      </w:r>
      <w:r w:rsidR="002C592B" w:rsidRPr="00CB4BE3">
        <w:rPr>
          <w:lang w:val="fr-FR"/>
        </w:rPr>
        <w:t> </w:t>
      </w:r>
      <w:r w:rsidRPr="00CB4BE3">
        <w:rPr>
          <w:lang w:val="fr-FR"/>
        </w:rPr>
        <w:t>l</w:t>
      </w:r>
      <w:r w:rsidR="002C592B" w:rsidRPr="00CB4BE3">
        <w:rPr>
          <w:lang w:val="fr-FR"/>
        </w:rPr>
        <w:t>’</w:t>
      </w:r>
      <w:r w:rsidRPr="00CB4BE3">
        <w:rPr>
          <w:lang w:val="fr-FR"/>
        </w:rPr>
        <w:t>égard des femmes</w:t>
      </w:r>
    </w:p>
    <w:p w14:paraId="45CE23DC" w14:textId="10428CF6" w:rsidR="00A04B73" w:rsidRPr="00CB4BE3" w:rsidRDefault="00A04B73" w:rsidP="00A04B73">
      <w:pPr>
        <w:pStyle w:val="SingleTxt"/>
        <w:spacing w:after="0" w:line="120" w:lineRule="exact"/>
        <w:rPr>
          <w:sz w:val="10"/>
          <w:lang w:val="fr-FR"/>
        </w:rPr>
      </w:pPr>
    </w:p>
    <w:p w14:paraId="64266B44" w14:textId="3AC0AA4D" w:rsidR="00A04B73" w:rsidRPr="00CB4BE3" w:rsidRDefault="00A04B73" w:rsidP="00A04B73">
      <w:pPr>
        <w:pStyle w:val="SingleTxt"/>
        <w:spacing w:after="0" w:line="120" w:lineRule="exact"/>
        <w:rPr>
          <w:sz w:val="10"/>
          <w:lang w:val="fr-FR"/>
        </w:rPr>
      </w:pPr>
    </w:p>
    <w:p w14:paraId="0C522AE9" w14:textId="77777777" w:rsidR="00A04B73" w:rsidRPr="00CB4BE3" w:rsidRDefault="00A04B73" w:rsidP="00A04B73">
      <w:pPr>
        <w:pStyle w:val="SingleTxt"/>
        <w:spacing w:after="0" w:line="120" w:lineRule="exact"/>
        <w:rPr>
          <w:sz w:val="10"/>
          <w:lang w:val="fr-FR"/>
        </w:rPr>
      </w:pPr>
    </w:p>
    <w:p w14:paraId="4E80C22D" w14:textId="00660516" w:rsidR="00A04B73" w:rsidRPr="00CB4BE3" w:rsidRDefault="00A04B73" w:rsidP="00A04B73">
      <w:pPr>
        <w:pStyle w:val="TitleHCH"/>
        <w:ind w:right="1260"/>
        <w:rPr>
          <w:lang w:val="fr-FR"/>
        </w:rPr>
      </w:pPr>
      <w:r w:rsidRPr="00CB4BE3">
        <w:rPr>
          <w:lang w:val="fr-FR"/>
        </w:rPr>
        <w:tab/>
      </w:r>
      <w:r w:rsidRPr="00CB4BE3">
        <w:rPr>
          <w:lang w:val="fr-FR"/>
        </w:rPr>
        <w:tab/>
        <w:t>Observations finales concernant le rapport unique des</w:t>
      </w:r>
      <w:r w:rsidR="000E0872" w:rsidRPr="00CB4BE3">
        <w:rPr>
          <w:lang w:val="fr-FR"/>
        </w:rPr>
        <w:t> </w:t>
      </w:r>
      <w:r w:rsidRPr="00CB4BE3">
        <w:rPr>
          <w:lang w:val="fr-FR"/>
        </w:rPr>
        <w:t>États fédérés de Micronésie valant rapport initial et</w:t>
      </w:r>
      <w:r w:rsidR="000E0872" w:rsidRPr="00CB4BE3">
        <w:rPr>
          <w:lang w:val="fr-FR"/>
        </w:rPr>
        <w:t> </w:t>
      </w:r>
      <w:r w:rsidRPr="00CB4BE3">
        <w:rPr>
          <w:lang w:val="fr-FR"/>
        </w:rPr>
        <w:t>deuxième et troisième rapports périodiques</w:t>
      </w:r>
    </w:p>
    <w:p w14:paraId="2F49DBF1" w14:textId="3F876619" w:rsidR="00A04B73" w:rsidRPr="00CB4BE3" w:rsidRDefault="00A04B73" w:rsidP="00A04B73">
      <w:pPr>
        <w:spacing w:line="120" w:lineRule="exact"/>
        <w:rPr>
          <w:sz w:val="10"/>
          <w:lang w:val="fr-FR"/>
        </w:rPr>
      </w:pPr>
    </w:p>
    <w:p w14:paraId="486493BD" w14:textId="55849E83" w:rsidR="00A04B73" w:rsidRPr="00CB4BE3" w:rsidRDefault="00A04B73" w:rsidP="00A04B73">
      <w:pPr>
        <w:spacing w:line="120" w:lineRule="exact"/>
        <w:rPr>
          <w:sz w:val="10"/>
          <w:lang w:val="fr-FR"/>
        </w:rPr>
      </w:pPr>
    </w:p>
    <w:p w14:paraId="3CA61FC0" w14:textId="4744E571" w:rsidR="00A04B73" w:rsidRPr="00CB4BE3" w:rsidRDefault="00A04B73" w:rsidP="00A04B73">
      <w:pPr>
        <w:pStyle w:val="TitleH2"/>
        <w:ind w:right="1260"/>
        <w:rPr>
          <w:lang w:val="fr-FR"/>
        </w:rPr>
      </w:pPr>
      <w:r w:rsidRPr="00CB4BE3">
        <w:rPr>
          <w:lang w:val="fr-FR"/>
        </w:rPr>
        <w:tab/>
      </w:r>
      <w:r w:rsidRPr="00CB4BE3">
        <w:rPr>
          <w:lang w:val="fr-FR"/>
        </w:rPr>
        <w:tab/>
        <w:t>Additif</w:t>
      </w:r>
    </w:p>
    <w:p w14:paraId="3922EDC1" w14:textId="0C07C674" w:rsidR="00A04B73" w:rsidRPr="00CB4BE3" w:rsidRDefault="00A04B73" w:rsidP="00A04B73">
      <w:pPr>
        <w:spacing w:line="120" w:lineRule="exact"/>
        <w:rPr>
          <w:sz w:val="10"/>
          <w:lang w:val="fr-FR"/>
        </w:rPr>
      </w:pPr>
    </w:p>
    <w:p w14:paraId="3524C410" w14:textId="5E82663D" w:rsidR="00A04B73" w:rsidRPr="00CB4BE3" w:rsidRDefault="00A04B73" w:rsidP="00A04B73">
      <w:pPr>
        <w:spacing w:line="120" w:lineRule="exact"/>
        <w:rPr>
          <w:sz w:val="10"/>
          <w:lang w:val="fr-FR"/>
        </w:rPr>
      </w:pPr>
    </w:p>
    <w:p w14:paraId="4C1CD5B3" w14:textId="2DFD8CF9" w:rsidR="00A04B73" w:rsidRPr="00CB4BE3" w:rsidRDefault="00A04B73" w:rsidP="000E0872">
      <w:pPr>
        <w:pStyle w:val="TitleHCH"/>
        <w:ind w:right="1260"/>
        <w:rPr>
          <w:lang w:val="fr-FR"/>
        </w:rPr>
      </w:pPr>
      <w:r w:rsidRPr="00CB4BE3">
        <w:rPr>
          <w:lang w:val="fr-FR"/>
        </w:rPr>
        <w:tab/>
      </w:r>
      <w:r w:rsidRPr="00CB4BE3">
        <w:rPr>
          <w:lang w:val="fr-FR"/>
        </w:rPr>
        <w:tab/>
        <w:t>Renseignements reçus des États fédérés de Micronésie au</w:t>
      </w:r>
      <w:r w:rsidR="000E0872" w:rsidRPr="00CB4BE3">
        <w:rPr>
          <w:lang w:val="fr-FR"/>
        </w:rPr>
        <w:t> </w:t>
      </w:r>
      <w:r w:rsidRPr="00CB4BE3">
        <w:rPr>
          <w:lang w:val="fr-FR"/>
        </w:rPr>
        <w:t>sujet de la suite donnée aux observations finales</w:t>
      </w:r>
      <w:r w:rsidRPr="00CB4BE3">
        <w:rPr>
          <w:b w:val="0"/>
          <w:bCs/>
          <w:sz w:val="20"/>
          <w:szCs w:val="20"/>
          <w:lang w:val="fr-FR"/>
        </w:rPr>
        <w:t>*</w:t>
      </w:r>
    </w:p>
    <w:p w14:paraId="5E5377DD" w14:textId="432A3778" w:rsidR="000E0872" w:rsidRPr="00CB4BE3" w:rsidRDefault="000E0872" w:rsidP="000E0872">
      <w:pPr>
        <w:spacing w:line="120" w:lineRule="exact"/>
        <w:rPr>
          <w:sz w:val="10"/>
          <w:lang w:val="fr-FR"/>
        </w:rPr>
      </w:pPr>
    </w:p>
    <w:p w14:paraId="0C10E25C" w14:textId="10F3AFB7" w:rsidR="00A04B73" w:rsidRPr="00CB4BE3" w:rsidRDefault="00A04B73" w:rsidP="000E0872">
      <w:pPr>
        <w:framePr w:w="9792" w:h="432" w:hSpace="180" w:wrap="around" w:vAnchor="page" w:hAnchor="page" w:x="1252" w:y="135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CB4BE3">
        <w:rPr>
          <w:noProof/>
          <w:w w:val="100"/>
          <w:lang w:val="fr-FR"/>
        </w:rPr>
        <mc:AlternateContent>
          <mc:Choice Requires="wps">
            <w:drawing>
              <wp:anchor distT="0" distB="0" distL="114300" distR="114300" simplePos="0" relativeHeight="251659264" behindDoc="0" locked="0" layoutInCell="1" allowOverlap="1" wp14:anchorId="00A201E1" wp14:editId="37287EA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2DD4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CB4BE3">
        <w:rPr>
          <w:spacing w:val="5"/>
          <w:w w:val="104"/>
          <w:sz w:val="17"/>
          <w:szCs w:val="20"/>
          <w:lang w:val="fr-FR"/>
        </w:rPr>
        <w:tab/>
        <w:t>*</w:t>
      </w:r>
      <w:r w:rsidRPr="00CB4BE3">
        <w:rPr>
          <w:spacing w:val="5"/>
          <w:w w:val="104"/>
          <w:sz w:val="17"/>
          <w:szCs w:val="20"/>
          <w:lang w:val="fr-FR"/>
        </w:rPr>
        <w:tab/>
        <w:t>La version originale du présent document n</w:t>
      </w:r>
      <w:r w:rsidR="002C592B" w:rsidRPr="00CB4BE3">
        <w:rPr>
          <w:spacing w:val="5"/>
          <w:w w:val="104"/>
          <w:sz w:val="17"/>
          <w:szCs w:val="20"/>
          <w:lang w:val="fr-FR"/>
        </w:rPr>
        <w:t>’</w:t>
      </w:r>
      <w:r w:rsidRPr="00CB4BE3">
        <w:rPr>
          <w:spacing w:val="5"/>
          <w:w w:val="104"/>
          <w:sz w:val="17"/>
          <w:szCs w:val="20"/>
          <w:lang w:val="fr-FR"/>
        </w:rPr>
        <w:t>a pas été revue par les services d</w:t>
      </w:r>
      <w:r w:rsidR="002C592B" w:rsidRPr="00CB4BE3">
        <w:rPr>
          <w:spacing w:val="5"/>
          <w:w w:val="104"/>
          <w:sz w:val="17"/>
          <w:szCs w:val="20"/>
          <w:lang w:val="fr-FR"/>
        </w:rPr>
        <w:t>’</w:t>
      </w:r>
      <w:r w:rsidRPr="00CB4BE3">
        <w:rPr>
          <w:spacing w:val="5"/>
          <w:w w:val="104"/>
          <w:sz w:val="17"/>
          <w:szCs w:val="20"/>
          <w:lang w:val="fr-FR"/>
        </w:rPr>
        <w:t>édition.</w:t>
      </w:r>
      <w:r w:rsidRPr="00CB4BE3">
        <w:rPr>
          <w:noProof/>
          <w:w w:val="100"/>
          <w:lang w:val="fr-FR"/>
        </w:rPr>
        <mc:AlternateContent>
          <mc:Choice Requires="wps">
            <w:drawing>
              <wp:anchor distT="0" distB="0" distL="114300" distR="114300" simplePos="0" relativeHeight="251661312" behindDoc="0" locked="0" layoutInCell="1" allowOverlap="1" wp14:anchorId="25FF0353" wp14:editId="432F5F1E">
                <wp:simplePos x="0" y="0"/>
                <wp:positionH relativeFrom="column">
                  <wp:posOffset>767715</wp:posOffset>
                </wp:positionH>
                <wp:positionV relativeFrom="paragraph">
                  <wp:posOffset>8667115</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5C2F07F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" strokecolor="#010000" strokeweight=".25pt"/>
            </w:pict>
          </mc:Fallback>
        </mc:AlternateContent>
      </w:r>
    </w:p>
    <w:p w14:paraId="093F22C6" w14:textId="6FDB2D67" w:rsidR="00A04B73" w:rsidRPr="00A04B73" w:rsidRDefault="00A04B73" w:rsidP="00A04B73">
      <w:pPr>
        <w:pStyle w:val="SingleTxt"/>
        <w:jc w:val="right"/>
        <w:rPr>
          <w:lang w:val="fr-FR"/>
        </w:rPr>
      </w:pPr>
      <w:r w:rsidRPr="00A04B73">
        <w:rPr>
          <w:lang w:val="fr-FR"/>
        </w:rPr>
        <w:t>[Date de réception</w:t>
      </w:r>
      <w:r w:rsidR="002C592B" w:rsidRPr="00CB4BE3">
        <w:rPr>
          <w:lang w:val="fr-FR"/>
        </w:rPr>
        <w:t> :</w:t>
      </w:r>
      <w:r w:rsidRPr="00A04B73">
        <w:rPr>
          <w:lang w:val="fr-FR"/>
        </w:rPr>
        <w:t xml:space="preserve"> 15 novembre 2019]</w:t>
      </w:r>
    </w:p>
    <w:p w14:paraId="5E09581C" w14:textId="5BCE7055" w:rsidR="00A04B73" w:rsidRPr="00CB4BE3" w:rsidRDefault="00A04B73">
      <w:pPr>
        <w:spacing w:after="200" w:line="276" w:lineRule="auto"/>
        <w:rPr>
          <w:lang w:val="fr-FR"/>
        </w:rPr>
      </w:pPr>
      <w:r w:rsidRPr="00CB4BE3">
        <w:rPr>
          <w:lang w:val="fr-FR"/>
        </w:rPr>
        <w:br w:type="page"/>
      </w:r>
    </w:p>
    <w:p w14:paraId="6BC1E02F" w14:textId="7315FFB3" w:rsidR="000E0872" w:rsidRPr="00CB4BE3" w:rsidRDefault="000E0872" w:rsidP="000E08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lastRenderedPageBreak/>
        <w:tab/>
      </w:r>
      <w:r w:rsidRPr="00CB4BE3">
        <w:rPr>
          <w:lang w:val="fr-FR"/>
        </w:rPr>
        <w:tab/>
        <w:t>Introduction</w:t>
      </w:r>
    </w:p>
    <w:p w14:paraId="2DFF6EAA" w14:textId="3B453451" w:rsidR="000E0872" w:rsidRPr="00CB4BE3" w:rsidRDefault="000E0872" w:rsidP="000E0872">
      <w:pPr>
        <w:pStyle w:val="SingleTxt"/>
        <w:spacing w:after="0" w:line="120" w:lineRule="exact"/>
        <w:rPr>
          <w:sz w:val="10"/>
          <w:lang w:val="fr-FR"/>
        </w:rPr>
      </w:pPr>
    </w:p>
    <w:p w14:paraId="68F4E8FB" w14:textId="169AD20F" w:rsidR="000E0872" w:rsidRPr="00CB4BE3" w:rsidRDefault="000E0872" w:rsidP="000E0872">
      <w:pPr>
        <w:pStyle w:val="SingleTxt"/>
        <w:spacing w:after="0" w:line="120" w:lineRule="exact"/>
        <w:rPr>
          <w:sz w:val="10"/>
          <w:lang w:val="fr-FR"/>
        </w:rPr>
      </w:pPr>
    </w:p>
    <w:p w14:paraId="07C2668F" w14:textId="0BB2468E" w:rsidR="000E0872" w:rsidRPr="000E0872" w:rsidRDefault="000E0872" w:rsidP="000E0872">
      <w:pPr>
        <w:pStyle w:val="SingleTxt"/>
        <w:numPr>
          <w:ilvl w:val="0"/>
          <w:numId w:val="41"/>
        </w:numPr>
        <w:spacing w:line="240" w:lineRule="exact"/>
        <w:ind w:left="1267" w:firstLine="0"/>
        <w:rPr>
          <w:lang w:val="fr-FR"/>
        </w:rPr>
      </w:pPr>
      <w:r w:rsidRPr="000E0872">
        <w:rPr>
          <w:lang w:val="fr-FR"/>
        </w:rPr>
        <w:t>Les États fédérés de Micronésie présentent leur rapport de suivi au Comité pour l</w:t>
      </w:r>
      <w:r w:rsidR="002C592B" w:rsidRPr="00CB4BE3">
        <w:rPr>
          <w:lang w:val="fr-FR"/>
        </w:rPr>
        <w:t>’</w:t>
      </w:r>
      <w:r w:rsidRPr="000E0872">
        <w:rPr>
          <w:lang w:val="fr-FR"/>
        </w:rPr>
        <w:t>élimination de la discrimination à l</w:t>
      </w:r>
      <w:r w:rsidR="002C592B" w:rsidRPr="00CB4BE3">
        <w:rPr>
          <w:lang w:val="fr-FR"/>
        </w:rPr>
        <w:t>’</w:t>
      </w:r>
      <w:r w:rsidRPr="000E0872">
        <w:rPr>
          <w:lang w:val="fr-FR"/>
        </w:rPr>
        <w:t>égard des femmes (le Comité) en réponse au paragraphe 56 des observations finales concernant le rapport unique valant rapport initial et deuxième et troisième rapports périodiques, transmises le 9 mars 2017, et à une lettre de suivi datée du 9 septembre 2019 adressée par le rapporteur du Comité chargé du suivi.</w:t>
      </w:r>
    </w:p>
    <w:p w14:paraId="47E53C9D" w14:textId="5C60E792" w:rsidR="000E0872" w:rsidRPr="000E0872" w:rsidRDefault="000E0872" w:rsidP="000E0872">
      <w:pPr>
        <w:pStyle w:val="SingleTxt"/>
        <w:numPr>
          <w:ilvl w:val="0"/>
          <w:numId w:val="43"/>
        </w:numPr>
        <w:spacing w:line="240" w:lineRule="exact"/>
        <w:ind w:left="1267"/>
        <w:rPr>
          <w:lang w:val="fr-FR"/>
        </w:rPr>
      </w:pPr>
      <w:r w:rsidRPr="000E0872">
        <w:rPr>
          <w:lang w:val="fr-FR"/>
        </w:rPr>
        <w:t>Au paragraphe 56, «</w:t>
      </w:r>
      <w:r w:rsidR="002C592B" w:rsidRPr="00CB4BE3">
        <w:rPr>
          <w:lang w:val="fr-FR"/>
        </w:rPr>
        <w:t> </w:t>
      </w:r>
      <w:r w:rsidRPr="000E0872">
        <w:rPr>
          <w:lang w:val="fr-FR"/>
        </w:rPr>
        <w:t>le Comité [a] demand[é] à l</w:t>
      </w:r>
      <w:r w:rsidR="002C592B" w:rsidRPr="00CB4BE3">
        <w:rPr>
          <w:lang w:val="fr-FR"/>
        </w:rPr>
        <w:t>’</w:t>
      </w:r>
      <w:r w:rsidRPr="000E0872">
        <w:rPr>
          <w:lang w:val="fr-FR"/>
        </w:rPr>
        <w:t>État partie de lui fournir, dans un délai de deux ans, des informations écrites sur les mesures prises pour mettre en œuvre les recommandations énoncées aux paragraphes 9, 25 a), 27 b) et 37 b)</w:t>
      </w:r>
      <w:r w:rsidR="002C592B" w:rsidRPr="00CB4BE3">
        <w:rPr>
          <w:lang w:val="fr-FR"/>
        </w:rPr>
        <w:t> </w:t>
      </w:r>
      <w:r w:rsidRPr="000E0872">
        <w:rPr>
          <w:lang w:val="fr-FR"/>
        </w:rPr>
        <w:t>». Les États fédérés de Micronésie ont pris du retard dans la soumission de leur rapport, mais l</w:t>
      </w:r>
      <w:r w:rsidR="002C592B" w:rsidRPr="00CB4BE3">
        <w:rPr>
          <w:lang w:val="fr-FR"/>
        </w:rPr>
        <w:t>’</w:t>
      </w:r>
      <w:r w:rsidRPr="000E0872">
        <w:rPr>
          <w:lang w:val="fr-FR"/>
        </w:rPr>
        <w:t>invitation du rapporteur chargé des États fédérés de Micronésie à présenter ce rapport dans le mois suivant réception de sa lettre leur a fourni l</w:t>
      </w:r>
      <w:r w:rsidR="002C592B" w:rsidRPr="00CB4BE3">
        <w:rPr>
          <w:lang w:val="fr-FR"/>
        </w:rPr>
        <w:t>’</w:t>
      </w:r>
      <w:r w:rsidRPr="000E0872">
        <w:rPr>
          <w:lang w:val="fr-FR"/>
        </w:rPr>
        <w:t>impulsion nécessaire pour le faire.</w:t>
      </w:r>
    </w:p>
    <w:p w14:paraId="40532382" w14:textId="1AB9A7EC" w:rsidR="000E0872" w:rsidRPr="000E0872" w:rsidRDefault="000E0872" w:rsidP="000E0872">
      <w:pPr>
        <w:pStyle w:val="SingleTxt"/>
        <w:numPr>
          <w:ilvl w:val="0"/>
          <w:numId w:val="43"/>
        </w:numPr>
        <w:spacing w:line="240" w:lineRule="exact"/>
        <w:ind w:left="1267"/>
        <w:rPr>
          <w:lang w:val="fr-FR"/>
        </w:rPr>
      </w:pPr>
      <w:r w:rsidRPr="000E0872">
        <w:rPr>
          <w:lang w:val="fr-FR"/>
        </w:rPr>
        <w:t>Les observations finales au sujet desquelles il est demandé que des informations soient communiquées dans l</w:t>
      </w:r>
      <w:r w:rsidR="002C592B" w:rsidRPr="00CB4BE3">
        <w:rPr>
          <w:lang w:val="fr-FR"/>
        </w:rPr>
        <w:t>’</w:t>
      </w:r>
      <w:r w:rsidRPr="000E0872">
        <w:rPr>
          <w:lang w:val="fr-FR"/>
        </w:rPr>
        <w:t>examen à mi-parcours sont celles qui portent sur la levée de certaines réserves, sur la formation et la sensibilisation de la population, y compris des chefs traditionnels et religieux, à la Convention sur l</w:t>
      </w:r>
      <w:r w:rsidR="002C592B" w:rsidRPr="00CB4BE3">
        <w:rPr>
          <w:lang w:val="fr-FR"/>
        </w:rPr>
        <w:t>’</w:t>
      </w:r>
      <w:r w:rsidRPr="000E0872">
        <w:rPr>
          <w:lang w:val="fr-FR"/>
        </w:rPr>
        <w:t>élimination de toutes les formes de discrimination à l</w:t>
      </w:r>
      <w:r w:rsidR="002C592B" w:rsidRPr="00CB4BE3">
        <w:rPr>
          <w:lang w:val="fr-FR"/>
        </w:rPr>
        <w:t>’</w:t>
      </w:r>
      <w:r w:rsidRPr="000E0872">
        <w:rPr>
          <w:lang w:val="fr-FR"/>
        </w:rPr>
        <w:t>égard des femmes, sur la mise en place d</w:t>
      </w:r>
      <w:r w:rsidR="002C592B" w:rsidRPr="00CB4BE3">
        <w:rPr>
          <w:lang w:val="fr-FR"/>
        </w:rPr>
        <w:t>’</w:t>
      </w:r>
      <w:r w:rsidRPr="000E0872">
        <w:rPr>
          <w:lang w:val="fr-FR"/>
        </w:rPr>
        <w:t>une politique d</w:t>
      </w:r>
      <w:r w:rsidR="002C592B" w:rsidRPr="00CB4BE3">
        <w:rPr>
          <w:lang w:val="fr-FR"/>
        </w:rPr>
        <w:t>’</w:t>
      </w:r>
      <w:r w:rsidRPr="000E0872">
        <w:rPr>
          <w:lang w:val="fr-FR"/>
        </w:rPr>
        <w:t>élimination de la violence à l</w:t>
      </w:r>
      <w:r w:rsidR="002C592B" w:rsidRPr="00CB4BE3">
        <w:rPr>
          <w:lang w:val="fr-FR"/>
        </w:rPr>
        <w:t>’</w:t>
      </w:r>
      <w:r w:rsidRPr="000E0872">
        <w:rPr>
          <w:lang w:val="fr-FR"/>
        </w:rPr>
        <w:t xml:space="preserve">égard </w:t>
      </w:r>
      <w:r w:rsidR="00290018">
        <w:rPr>
          <w:lang w:val="fr-FR"/>
        </w:rPr>
        <w:t>des</w:t>
      </w:r>
      <w:r w:rsidRPr="000E0872">
        <w:rPr>
          <w:lang w:val="fr-FR"/>
        </w:rPr>
        <w:t xml:space="preserve"> femmes et sur la légalisation de l</w:t>
      </w:r>
      <w:r w:rsidR="002C592B" w:rsidRPr="00CB4BE3">
        <w:rPr>
          <w:lang w:val="fr-FR"/>
        </w:rPr>
        <w:t>’</w:t>
      </w:r>
      <w:r w:rsidRPr="000E0872">
        <w:rPr>
          <w:lang w:val="fr-FR"/>
        </w:rPr>
        <w:t>avortement.</w:t>
      </w:r>
    </w:p>
    <w:p w14:paraId="6822455D" w14:textId="0E433C65" w:rsidR="000E0872" w:rsidRPr="00CB4BE3" w:rsidRDefault="000E0872" w:rsidP="000E0872">
      <w:pPr>
        <w:pStyle w:val="SingleTxt"/>
        <w:numPr>
          <w:ilvl w:val="0"/>
          <w:numId w:val="43"/>
        </w:numPr>
        <w:spacing w:line="240" w:lineRule="exact"/>
        <w:ind w:left="1267"/>
        <w:rPr>
          <w:lang w:val="fr-FR"/>
        </w:rPr>
      </w:pPr>
      <w:r w:rsidRPr="000E0872">
        <w:rPr>
          <w:lang w:val="fr-FR"/>
        </w:rPr>
        <w:t>Les questions présentées ci-après sont toutefois considérées comme les priorités du présent examen à mi-parcours. Faute de temps et de ressources, les États fédérés de Micronésie n</w:t>
      </w:r>
      <w:r w:rsidR="002C592B" w:rsidRPr="00CB4BE3">
        <w:rPr>
          <w:lang w:val="fr-FR"/>
        </w:rPr>
        <w:t>’</w:t>
      </w:r>
      <w:r w:rsidRPr="000E0872">
        <w:rPr>
          <w:lang w:val="fr-FR"/>
        </w:rPr>
        <w:t>ont pu se pencher ni sur le retrait des réserves qu</w:t>
      </w:r>
      <w:r w:rsidR="002C592B" w:rsidRPr="00CB4BE3">
        <w:rPr>
          <w:lang w:val="fr-FR"/>
        </w:rPr>
        <w:t>’</w:t>
      </w:r>
      <w:r w:rsidRPr="000E0872">
        <w:rPr>
          <w:lang w:val="fr-FR"/>
        </w:rPr>
        <w:t>ils ont formulées à l</w:t>
      </w:r>
      <w:r w:rsidR="002C592B" w:rsidRPr="00CB4BE3">
        <w:rPr>
          <w:lang w:val="fr-FR"/>
        </w:rPr>
        <w:t>’</w:t>
      </w:r>
      <w:r w:rsidRPr="000E0872">
        <w:rPr>
          <w:lang w:val="fr-FR"/>
        </w:rPr>
        <w:t>égard de la Convention ni sur la légalisation de l</w:t>
      </w:r>
      <w:r w:rsidR="002C592B" w:rsidRPr="00CB4BE3">
        <w:rPr>
          <w:lang w:val="fr-FR"/>
        </w:rPr>
        <w:t>’</w:t>
      </w:r>
      <w:r w:rsidRPr="000E0872">
        <w:rPr>
          <w:lang w:val="fr-FR"/>
        </w:rPr>
        <w:t>avortement.</w:t>
      </w:r>
    </w:p>
    <w:p w14:paraId="6E838A25" w14:textId="32BC2382" w:rsidR="000E0872" w:rsidRPr="00CB4BE3" w:rsidRDefault="000E0872" w:rsidP="00D44992">
      <w:pPr>
        <w:pStyle w:val="SingleTxt"/>
        <w:spacing w:after="0" w:line="120" w:lineRule="exact"/>
        <w:rPr>
          <w:sz w:val="10"/>
          <w:lang w:val="fr-FR"/>
        </w:rPr>
      </w:pPr>
    </w:p>
    <w:p w14:paraId="76AB12F5" w14:textId="77777777" w:rsidR="00D44992" w:rsidRPr="000E0872" w:rsidRDefault="00D44992" w:rsidP="000E0872">
      <w:pPr>
        <w:pStyle w:val="SingleTxt"/>
        <w:spacing w:after="0" w:line="120" w:lineRule="exact"/>
        <w:rPr>
          <w:sz w:val="10"/>
          <w:lang w:val="fr-FR"/>
        </w:rPr>
      </w:pPr>
    </w:p>
    <w:p w14:paraId="4202746B" w14:textId="1C9AA7A1" w:rsidR="000E0872" w:rsidRPr="00CB4BE3" w:rsidRDefault="000E0872" w:rsidP="00D449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Campagnes d</w:t>
      </w:r>
      <w:r w:rsidR="002C592B" w:rsidRPr="00CB4BE3">
        <w:rPr>
          <w:lang w:val="fr-FR"/>
        </w:rPr>
        <w:t>’</w:t>
      </w:r>
      <w:r w:rsidRPr="00CB4BE3">
        <w:rPr>
          <w:lang w:val="fr-FR"/>
        </w:rPr>
        <w:t>éducation et de sensibilisation ciblant les hommes et</w:t>
      </w:r>
      <w:r w:rsidR="00046924">
        <w:rPr>
          <w:lang w:val="fr-FR"/>
        </w:rPr>
        <w:t> </w:t>
      </w:r>
      <w:r w:rsidRPr="00CB4BE3">
        <w:rPr>
          <w:lang w:val="fr-FR"/>
        </w:rPr>
        <w:t>les femmes, y compris les chefs traditionnels et religieux, relatives à la Convention sur l</w:t>
      </w:r>
      <w:r w:rsidR="002C592B" w:rsidRPr="00CB4BE3">
        <w:rPr>
          <w:lang w:val="fr-FR"/>
        </w:rPr>
        <w:t>’</w:t>
      </w:r>
      <w:r w:rsidRPr="00CB4BE3">
        <w:rPr>
          <w:lang w:val="fr-FR"/>
        </w:rPr>
        <w:t>élimination de toutes les formes de</w:t>
      </w:r>
      <w:r w:rsidR="00046924">
        <w:rPr>
          <w:lang w:val="fr-FR"/>
        </w:rPr>
        <w:t> </w:t>
      </w:r>
      <w:r w:rsidRPr="00CB4BE3">
        <w:rPr>
          <w:lang w:val="fr-FR"/>
        </w:rPr>
        <w:t>discrimination à l</w:t>
      </w:r>
      <w:r w:rsidR="002C592B" w:rsidRPr="00CB4BE3">
        <w:rPr>
          <w:lang w:val="fr-FR"/>
        </w:rPr>
        <w:t>’</w:t>
      </w:r>
      <w:r w:rsidRPr="00CB4BE3">
        <w:rPr>
          <w:lang w:val="fr-FR"/>
        </w:rPr>
        <w:t xml:space="preserve">égard des femmes </w:t>
      </w:r>
    </w:p>
    <w:p w14:paraId="1A9E5C8E" w14:textId="1C032DF4" w:rsidR="000E0872" w:rsidRPr="00CB4BE3" w:rsidRDefault="000E0872" w:rsidP="00D44992">
      <w:pPr>
        <w:pStyle w:val="SingleTxt"/>
        <w:spacing w:after="0" w:line="120" w:lineRule="exact"/>
        <w:rPr>
          <w:sz w:val="10"/>
          <w:lang w:val="fr-FR"/>
        </w:rPr>
      </w:pPr>
    </w:p>
    <w:p w14:paraId="4106A150" w14:textId="77777777" w:rsidR="00D44992" w:rsidRPr="00CB4BE3" w:rsidRDefault="00D44992" w:rsidP="000E0872">
      <w:pPr>
        <w:pStyle w:val="SingleTxt"/>
        <w:spacing w:after="0" w:line="120" w:lineRule="exact"/>
        <w:rPr>
          <w:sz w:val="10"/>
          <w:lang w:val="fr-FR"/>
        </w:rPr>
      </w:pPr>
    </w:p>
    <w:p w14:paraId="7338F2A0" w14:textId="14C02261" w:rsidR="000E0872" w:rsidRPr="00CB4BE3" w:rsidRDefault="000E0872" w:rsidP="000E0872">
      <w:pPr>
        <w:pStyle w:val="SingleTxt"/>
        <w:numPr>
          <w:ilvl w:val="0"/>
          <w:numId w:val="43"/>
        </w:numPr>
        <w:spacing w:line="240" w:lineRule="exact"/>
        <w:ind w:left="1267"/>
        <w:rPr>
          <w:lang w:val="fr-FR"/>
        </w:rPr>
      </w:pPr>
      <w:r w:rsidRPr="000E0872">
        <w:rPr>
          <w:lang w:val="fr-FR"/>
        </w:rPr>
        <w:t>Au paragraphe 25 a) des observations finales concernant le rapport unique valant rapport initial et deuxième et troisième rapports, le Comité a recommandé à l</w:t>
      </w:r>
      <w:r w:rsidR="002C592B" w:rsidRPr="00CB4BE3">
        <w:rPr>
          <w:lang w:val="fr-FR"/>
        </w:rPr>
        <w:t>’</w:t>
      </w:r>
      <w:r w:rsidRPr="000E0872">
        <w:rPr>
          <w:lang w:val="fr-FR"/>
        </w:rPr>
        <w:t>État partie de mettre en place, sans délai, une stratégie globale comportant des objectifs précis en vue de modifier ou d</w:t>
      </w:r>
      <w:r w:rsidR="002C592B" w:rsidRPr="00CB4BE3">
        <w:rPr>
          <w:lang w:val="fr-FR"/>
        </w:rPr>
        <w:t>’</w:t>
      </w:r>
      <w:r w:rsidRPr="000E0872">
        <w:rPr>
          <w:lang w:val="fr-FR"/>
        </w:rPr>
        <w:t>éliminer les stéréotypes discriminatoires concernant les rôles et les responsabilités des femmes et des hommes dans la famille et la société, conformément aux paragraphes f) et 5 a) de la Convention. Il lui a également recommandé à l</w:t>
      </w:r>
      <w:r w:rsidR="002C592B" w:rsidRPr="00CB4BE3">
        <w:rPr>
          <w:lang w:val="fr-FR"/>
        </w:rPr>
        <w:t>’</w:t>
      </w:r>
      <w:r w:rsidRPr="000E0872">
        <w:rPr>
          <w:lang w:val="fr-FR"/>
        </w:rPr>
        <w:t>alinéa a) de mener des campagnes d</w:t>
      </w:r>
      <w:r w:rsidR="002C592B" w:rsidRPr="00CB4BE3">
        <w:rPr>
          <w:lang w:val="fr-FR"/>
        </w:rPr>
        <w:t>’</w:t>
      </w:r>
      <w:r w:rsidRPr="000E0872">
        <w:rPr>
          <w:lang w:val="fr-FR"/>
        </w:rPr>
        <w:t>éducation et de sensibilisation ciblant les femmes et les hommes, y compris les chefs traditionnels et religieux, sur les droits des femmes et l</w:t>
      </w:r>
      <w:r w:rsidR="002C592B" w:rsidRPr="00CB4BE3">
        <w:rPr>
          <w:lang w:val="fr-FR"/>
        </w:rPr>
        <w:t>’</w:t>
      </w:r>
      <w:r w:rsidRPr="000E0872">
        <w:rPr>
          <w:lang w:val="fr-FR"/>
        </w:rPr>
        <w:t>égalité des genres pour promouvoir efficacement l</w:t>
      </w:r>
      <w:r w:rsidR="002C592B" w:rsidRPr="00CB4BE3">
        <w:rPr>
          <w:lang w:val="fr-FR"/>
        </w:rPr>
        <w:t>’</w:t>
      </w:r>
      <w:r w:rsidRPr="000E0872">
        <w:rPr>
          <w:lang w:val="fr-FR"/>
        </w:rPr>
        <w:t>égalité réelle des femmes et venir à bout des attitudes patriarcales et des stéréotypes discriminatoires profondément ancrés concernant les rôles et les responsabilités des femmes et des hommes dans la famille et la société.</w:t>
      </w:r>
    </w:p>
    <w:p w14:paraId="6E4E2F30" w14:textId="48753188" w:rsidR="000E0872" w:rsidRPr="00CB4BE3" w:rsidRDefault="000E0872" w:rsidP="000E0872">
      <w:pPr>
        <w:pStyle w:val="SingleTxt"/>
        <w:spacing w:after="0" w:line="120" w:lineRule="exact"/>
        <w:rPr>
          <w:sz w:val="10"/>
          <w:lang w:val="fr-FR"/>
        </w:rPr>
      </w:pPr>
    </w:p>
    <w:p w14:paraId="6AC0E872" w14:textId="631B3313" w:rsidR="000E0872" w:rsidRPr="00CB4BE3" w:rsidRDefault="000E0872" w:rsidP="000E08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Renseignements sur la suite donnée au paragraphe 25 a) des observations finales (</w:t>
      </w:r>
      <w:hyperlink r:id="rId15" w:history="1">
        <w:r w:rsidRPr="00CB4BE3">
          <w:rPr>
            <w:rStyle w:val="Hyperlink"/>
            <w:lang w:val="fr-FR"/>
          </w:rPr>
          <w:t>CEDAW/C/FSM/CO/1</w:t>
        </w:r>
        <w:r w:rsidR="002C592B" w:rsidRPr="00CB4BE3">
          <w:rPr>
            <w:rStyle w:val="Hyperlink"/>
            <w:lang w:val="fr-FR"/>
          </w:rPr>
          <w:t>-</w:t>
        </w:r>
        <w:r w:rsidRPr="00CB4BE3">
          <w:rPr>
            <w:rStyle w:val="Hyperlink"/>
            <w:lang w:val="fr-FR"/>
          </w:rPr>
          <w:t>3</w:t>
        </w:r>
      </w:hyperlink>
      <w:r w:rsidRPr="00CB4BE3">
        <w:rPr>
          <w:lang w:val="fr-FR"/>
        </w:rPr>
        <w:t>)</w:t>
      </w:r>
    </w:p>
    <w:p w14:paraId="583FCF19" w14:textId="22F8CD7F" w:rsidR="000E0872" w:rsidRPr="00CB4BE3" w:rsidRDefault="000E0872" w:rsidP="000E0872">
      <w:pPr>
        <w:pStyle w:val="SingleTxt"/>
        <w:spacing w:after="0" w:line="120" w:lineRule="exact"/>
        <w:rPr>
          <w:sz w:val="10"/>
          <w:lang w:val="fr-FR"/>
        </w:rPr>
      </w:pPr>
    </w:p>
    <w:p w14:paraId="05A2553A" w14:textId="088273C5" w:rsidR="000E0872" w:rsidRPr="000E0872" w:rsidRDefault="000E0872" w:rsidP="000E0872">
      <w:pPr>
        <w:pStyle w:val="SingleTxt"/>
        <w:numPr>
          <w:ilvl w:val="0"/>
          <w:numId w:val="44"/>
        </w:numPr>
        <w:spacing w:line="240" w:lineRule="exact"/>
        <w:ind w:left="1267"/>
        <w:rPr>
          <w:lang w:val="fr-FR"/>
        </w:rPr>
      </w:pPr>
      <w:r w:rsidRPr="000E0872">
        <w:rPr>
          <w:lang w:val="fr-FR"/>
        </w:rPr>
        <w:t>Grâce à l</w:t>
      </w:r>
      <w:r w:rsidR="002C592B" w:rsidRPr="00CB4BE3">
        <w:rPr>
          <w:lang w:val="fr-FR"/>
        </w:rPr>
        <w:t>’</w:t>
      </w:r>
      <w:r w:rsidRPr="000E0872">
        <w:rPr>
          <w:lang w:val="fr-FR"/>
        </w:rPr>
        <w:t>appui financier apporté par le Fonds canadien d</w:t>
      </w:r>
      <w:r w:rsidR="002C592B" w:rsidRPr="00CB4BE3">
        <w:rPr>
          <w:lang w:val="fr-FR"/>
        </w:rPr>
        <w:t>’</w:t>
      </w:r>
      <w:r w:rsidR="00CB4BE3" w:rsidRPr="000E0872">
        <w:rPr>
          <w:lang w:val="fr-FR"/>
        </w:rPr>
        <w:t>initiatives</w:t>
      </w:r>
      <w:r w:rsidRPr="000E0872">
        <w:rPr>
          <w:lang w:val="fr-FR"/>
        </w:rPr>
        <w:t xml:space="preserve"> locales, le Gouvernement a pu encourager les États fédérés de Micronésie, notamment les fonctionnaires, les groupes de la société civile et les organisations non gouvernementales, à mener des campagnes de sensibilisation sur les droits de la </w:t>
      </w:r>
      <w:r w:rsidRPr="000E0872">
        <w:rPr>
          <w:lang w:val="fr-FR"/>
        </w:rPr>
        <w:lastRenderedPageBreak/>
        <w:t>personne, l</w:t>
      </w:r>
      <w:r w:rsidR="002C592B" w:rsidRPr="00CB4BE3">
        <w:rPr>
          <w:lang w:val="fr-FR"/>
        </w:rPr>
        <w:t>’</w:t>
      </w:r>
      <w:r w:rsidRPr="000E0872">
        <w:rPr>
          <w:lang w:val="fr-FR"/>
        </w:rPr>
        <w:t>égalité des genres et la Convention sur l</w:t>
      </w:r>
      <w:r w:rsidR="002C592B" w:rsidRPr="00CB4BE3">
        <w:rPr>
          <w:lang w:val="fr-FR"/>
        </w:rPr>
        <w:t>’</w:t>
      </w:r>
      <w:r w:rsidRPr="000E0872">
        <w:rPr>
          <w:lang w:val="fr-FR"/>
        </w:rPr>
        <w:t>élimination de toutes les formes de discrimination à l</w:t>
      </w:r>
      <w:r w:rsidR="002C592B" w:rsidRPr="00CB4BE3">
        <w:rPr>
          <w:lang w:val="fr-FR"/>
        </w:rPr>
        <w:t>’</w:t>
      </w:r>
      <w:r w:rsidRPr="000E0872">
        <w:rPr>
          <w:lang w:val="fr-FR"/>
        </w:rPr>
        <w:t>égard des femmes. Cette initiative a permis, dans le cadre d</w:t>
      </w:r>
      <w:r w:rsidR="002C592B" w:rsidRPr="00CB4BE3">
        <w:rPr>
          <w:lang w:val="fr-FR"/>
        </w:rPr>
        <w:t>’</w:t>
      </w:r>
      <w:r w:rsidRPr="000E0872">
        <w:rPr>
          <w:lang w:val="fr-FR"/>
        </w:rPr>
        <w:t>assemblées publiques, de réunions locales et d</w:t>
      </w:r>
      <w:r w:rsidR="002C592B" w:rsidRPr="00CB4BE3">
        <w:rPr>
          <w:lang w:val="fr-FR"/>
        </w:rPr>
        <w:t>’</w:t>
      </w:r>
      <w:r w:rsidRPr="000E0872">
        <w:rPr>
          <w:lang w:val="fr-FR"/>
        </w:rPr>
        <w:t>ateliers adressés aux hommes, aux femmes, aux chefs religieux, aux chefs traditionnels, aux corps législatifs et au congrès, de sensibiliser près de 4</w:t>
      </w:r>
      <w:r w:rsidR="002C592B" w:rsidRPr="00CB4BE3">
        <w:rPr>
          <w:lang w:val="fr-FR"/>
        </w:rPr>
        <w:t> </w:t>
      </w:r>
      <w:r w:rsidRPr="000E0872">
        <w:rPr>
          <w:lang w:val="fr-FR"/>
        </w:rPr>
        <w:t>000 personnes issues des quatre États et du Gouvernement national.</w:t>
      </w:r>
    </w:p>
    <w:p w14:paraId="3FAC568E" w14:textId="77777777" w:rsidR="000E0872" w:rsidRPr="000E0872" w:rsidRDefault="000E0872" w:rsidP="000E0872">
      <w:pPr>
        <w:pStyle w:val="SingleTxt"/>
        <w:numPr>
          <w:ilvl w:val="0"/>
          <w:numId w:val="45"/>
        </w:numPr>
        <w:spacing w:line="240" w:lineRule="exact"/>
        <w:ind w:left="1267"/>
        <w:rPr>
          <w:lang w:val="fr-FR"/>
        </w:rPr>
      </w:pPr>
      <w:r w:rsidRPr="000E0872">
        <w:rPr>
          <w:lang w:val="fr-FR"/>
        </w:rPr>
        <w:t xml:space="preserve">Le Canada a financé des réunions individuelles qui ont donné lieu à des discussions plus approfondies et plus libres avec les groupes ciblés, notamment le congrès, les corps législatifs, les chefs religieux et les chefs traditionnels. </w:t>
      </w:r>
    </w:p>
    <w:p w14:paraId="5181602C" w14:textId="10446949" w:rsidR="000E0872" w:rsidRPr="00CB4BE3" w:rsidRDefault="000E0872" w:rsidP="000E0872">
      <w:pPr>
        <w:pStyle w:val="SingleTxt"/>
        <w:numPr>
          <w:ilvl w:val="0"/>
          <w:numId w:val="45"/>
        </w:numPr>
        <w:spacing w:line="240" w:lineRule="exact"/>
        <w:ind w:left="1267"/>
        <w:rPr>
          <w:lang w:val="fr-FR"/>
        </w:rPr>
      </w:pPr>
      <w:r w:rsidRPr="000E0872">
        <w:rPr>
          <w:lang w:val="fr-FR"/>
        </w:rPr>
        <w:t>Les activités de sensibilisation ont également contribué à la promotion de lois qui ont par la suite été adoptées, comme la loi relevant l</w:t>
      </w:r>
      <w:r w:rsidR="002C592B" w:rsidRPr="00CB4BE3">
        <w:rPr>
          <w:lang w:val="fr-FR"/>
        </w:rPr>
        <w:t>’</w:t>
      </w:r>
      <w:r w:rsidRPr="000E0872">
        <w:rPr>
          <w:lang w:val="fr-FR"/>
        </w:rPr>
        <w:t>âge du consentement et la loi sur la violence domestique dans l</w:t>
      </w:r>
      <w:r w:rsidR="002C592B" w:rsidRPr="00CB4BE3">
        <w:rPr>
          <w:lang w:val="fr-FR"/>
        </w:rPr>
        <w:t>’</w:t>
      </w:r>
      <w:r w:rsidRPr="000E0872">
        <w:rPr>
          <w:lang w:val="fr-FR"/>
        </w:rPr>
        <w:t>État de Pohnpei.</w:t>
      </w:r>
    </w:p>
    <w:p w14:paraId="4D202B78" w14:textId="36675254" w:rsidR="000E0872" w:rsidRPr="00CB4BE3" w:rsidRDefault="000E0872" w:rsidP="00D44992">
      <w:pPr>
        <w:pStyle w:val="SingleTxt"/>
        <w:spacing w:after="0" w:line="120" w:lineRule="exact"/>
        <w:rPr>
          <w:sz w:val="10"/>
          <w:lang w:val="fr-FR"/>
        </w:rPr>
      </w:pPr>
    </w:p>
    <w:p w14:paraId="34CE394F" w14:textId="77777777" w:rsidR="00D44992" w:rsidRPr="00CB4BE3" w:rsidRDefault="00D44992" w:rsidP="000E0872">
      <w:pPr>
        <w:pStyle w:val="SingleTxt"/>
        <w:spacing w:after="0" w:line="120" w:lineRule="exact"/>
        <w:rPr>
          <w:sz w:val="10"/>
          <w:lang w:val="fr-FR"/>
        </w:rPr>
      </w:pPr>
    </w:p>
    <w:p w14:paraId="6B5368F9" w14:textId="03D849F3" w:rsidR="000E0872" w:rsidRPr="00CB4BE3" w:rsidRDefault="000E0872" w:rsidP="00D449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Politique d</w:t>
      </w:r>
      <w:r w:rsidR="002C592B" w:rsidRPr="00CB4BE3">
        <w:rPr>
          <w:lang w:val="fr-FR"/>
        </w:rPr>
        <w:t>’</w:t>
      </w:r>
      <w:r w:rsidRPr="00CB4BE3">
        <w:rPr>
          <w:lang w:val="fr-FR"/>
        </w:rPr>
        <w:t>élimination de la violence à l</w:t>
      </w:r>
      <w:r w:rsidR="002C592B" w:rsidRPr="00CB4BE3">
        <w:rPr>
          <w:lang w:val="fr-FR"/>
        </w:rPr>
        <w:t>’</w:t>
      </w:r>
      <w:r w:rsidRPr="00CB4BE3">
        <w:rPr>
          <w:lang w:val="fr-FR"/>
        </w:rPr>
        <w:t>égard des femmes</w:t>
      </w:r>
    </w:p>
    <w:p w14:paraId="698FEB26" w14:textId="6679488A" w:rsidR="000E0872" w:rsidRPr="00CB4BE3" w:rsidRDefault="000E0872" w:rsidP="00D44992">
      <w:pPr>
        <w:pStyle w:val="SingleTxt"/>
        <w:spacing w:after="0" w:line="120" w:lineRule="exact"/>
        <w:rPr>
          <w:sz w:val="10"/>
          <w:lang w:val="fr-FR"/>
        </w:rPr>
      </w:pPr>
    </w:p>
    <w:p w14:paraId="55E0C2DA" w14:textId="77777777" w:rsidR="00D44992" w:rsidRPr="00CB4BE3" w:rsidRDefault="00D44992" w:rsidP="000E0872">
      <w:pPr>
        <w:pStyle w:val="SingleTxt"/>
        <w:spacing w:after="0" w:line="120" w:lineRule="exact"/>
        <w:rPr>
          <w:sz w:val="10"/>
          <w:lang w:val="fr-FR"/>
        </w:rPr>
      </w:pPr>
    </w:p>
    <w:p w14:paraId="79EF155C" w14:textId="5F6BBF81" w:rsidR="000E0872" w:rsidRPr="00CB4BE3" w:rsidRDefault="000E0872" w:rsidP="000E0872">
      <w:pPr>
        <w:pStyle w:val="SingleTxt"/>
        <w:numPr>
          <w:ilvl w:val="0"/>
          <w:numId w:val="45"/>
        </w:numPr>
        <w:spacing w:line="240" w:lineRule="exact"/>
        <w:ind w:left="1267"/>
        <w:rPr>
          <w:lang w:val="fr-FR"/>
        </w:rPr>
      </w:pPr>
      <w:r w:rsidRPr="000E0872">
        <w:rPr>
          <w:lang w:val="fr-FR"/>
        </w:rPr>
        <w:t>Conformément à sa recommandation générale n</w:t>
      </w:r>
      <w:r w:rsidR="002C592B" w:rsidRPr="00CB4BE3">
        <w:rPr>
          <w:vertAlign w:val="superscript"/>
          <w:lang w:val="fr-FR"/>
        </w:rPr>
        <w:t>o</w:t>
      </w:r>
      <w:r w:rsidR="002C592B" w:rsidRPr="00CB4BE3">
        <w:rPr>
          <w:lang w:val="fr-FR"/>
        </w:rPr>
        <w:t> </w:t>
      </w:r>
      <w:r w:rsidR="00CC5FF5" w:rsidRPr="00B87DEC">
        <w:rPr>
          <w:lang w:val="fr-FR"/>
        </w:rPr>
        <w:t>19 (1992)</w:t>
      </w:r>
      <w:r w:rsidRPr="000E0872">
        <w:rPr>
          <w:lang w:val="fr-FR"/>
        </w:rPr>
        <w:t xml:space="preserve"> sur la violence à l</w:t>
      </w:r>
      <w:r w:rsidR="002C592B" w:rsidRPr="00CB4BE3">
        <w:rPr>
          <w:lang w:val="fr-FR"/>
        </w:rPr>
        <w:t>’</w:t>
      </w:r>
      <w:r w:rsidRPr="000E0872">
        <w:rPr>
          <w:lang w:val="fr-FR"/>
        </w:rPr>
        <w:t>égard des femmes, le Comité a recommandé à l</w:t>
      </w:r>
      <w:r w:rsidR="002C592B" w:rsidRPr="00CB4BE3">
        <w:rPr>
          <w:lang w:val="fr-FR"/>
        </w:rPr>
        <w:t>’</w:t>
      </w:r>
      <w:r w:rsidRPr="000E0872">
        <w:rPr>
          <w:lang w:val="fr-FR"/>
        </w:rPr>
        <w:t>État partie d</w:t>
      </w:r>
      <w:r w:rsidR="002C592B" w:rsidRPr="00CB4BE3">
        <w:rPr>
          <w:lang w:val="fr-FR"/>
        </w:rPr>
        <w:t>’</w:t>
      </w:r>
      <w:r w:rsidRPr="000E0872">
        <w:rPr>
          <w:lang w:val="fr-FR"/>
        </w:rPr>
        <w:t>accorder une grande priorité à la mise en place de mesures complètes pour lutter contre toutes les formes de violence à l</w:t>
      </w:r>
      <w:r w:rsidR="002C592B" w:rsidRPr="00CB4BE3">
        <w:rPr>
          <w:lang w:val="fr-FR"/>
        </w:rPr>
        <w:t>’</w:t>
      </w:r>
      <w:r w:rsidRPr="000E0872">
        <w:rPr>
          <w:lang w:val="fr-FR"/>
        </w:rPr>
        <w:t>égard des femmes et des filles fondée sur le genre. Il lui a également recommandé au paragraphe 27 b) de mettre en place une politique nationale globale pour éliminer la violence à l</w:t>
      </w:r>
      <w:r w:rsidR="002C592B" w:rsidRPr="00CB4BE3">
        <w:rPr>
          <w:lang w:val="fr-FR"/>
        </w:rPr>
        <w:t>’</w:t>
      </w:r>
      <w:r w:rsidRPr="000E0872">
        <w:rPr>
          <w:lang w:val="fr-FR"/>
        </w:rPr>
        <w:t xml:space="preserve">égard des femmes fondée sur le genre, y compris la violence familiale, avec des ressources suffisantes pour sa mise en œuvre. </w:t>
      </w:r>
    </w:p>
    <w:p w14:paraId="6818FC1F" w14:textId="218D1AC3" w:rsidR="000E0872" w:rsidRPr="00CB4BE3" w:rsidRDefault="000E0872" w:rsidP="000E0872">
      <w:pPr>
        <w:pStyle w:val="SingleTxt"/>
        <w:spacing w:after="0" w:line="120" w:lineRule="exact"/>
        <w:rPr>
          <w:sz w:val="10"/>
          <w:lang w:val="fr-FR"/>
        </w:rPr>
      </w:pPr>
    </w:p>
    <w:p w14:paraId="641362D4" w14:textId="04111E12" w:rsidR="000E0872" w:rsidRPr="00CB4BE3" w:rsidRDefault="000E0872" w:rsidP="00D449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Renseignements sur la suite donnée au paragraphe 27 b) des observations finales</w:t>
      </w:r>
    </w:p>
    <w:p w14:paraId="3E563D7D" w14:textId="0D81A90C" w:rsidR="000E0872" w:rsidRPr="00CB4BE3" w:rsidRDefault="000E0872" w:rsidP="000E0872">
      <w:pPr>
        <w:pStyle w:val="SingleTxt"/>
        <w:spacing w:after="0" w:line="120" w:lineRule="exact"/>
        <w:rPr>
          <w:sz w:val="10"/>
          <w:lang w:val="fr-FR"/>
        </w:rPr>
      </w:pPr>
    </w:p>
    <w:p w14:paraId="56C35B52" w14:textId="69E7321B" w:rsidR="000E0872" w:rsidRPr="000E0872" w:rsidRDefault="000E0872" w:rsidP="000E0872">
      <w:pPr>
        <w:pStyle w:val="SingleTxt"/>
        <w:numPr>
          <w:ilvl w:val="0"/>
          <w:numId w:val="46"/>
        </w:numPr>
        <w:spacing w:line="240" w:lineRule="exact"/>
        <w:ind w:left="1267"/>
        <w:rPr>
          <w:lang w:val="fr-FR"/>
        </w:rPr>
      </w:pPr>
      <w:r w:rsidRPr="000E0872">
        <w:rPr>
          <w:lang w:val="fr-FR"/>
        </w:rPr>
        <w:t>Avec l</w:t>
      </w:r>
      <w:r w:rsidR="002C592B" w:rsidRPr="00CB4BE3">
        <w:rPr>
          <w:lang w:val="fr-FR"/>
        </w:rPr>
        <w:t>’</w:t>
      </w:r>
      <w:r w:rsidRPr="000E0872">
        <w:rPr>
          <w:lang w:val="fr-FR"/>
        </w:rPr>
        <w:t>appui technique du Fonds des Nations Unies pour la population et d</w:t>
      </w:r>
      <w:r w:rsidR="002C592B" w:rsidRPr="00CB4BE3">
        <w:rPr>
          <w:lang w:val="fr-FR"/>
        </w:rPr>
        <w:t>’</w:t>
      </w:r>
      <w:r w:rsidRPr="000E0872">
        <w:rPr>
          <w:lang w:val="fr-FR"/>
        </w:rPr>
        <w:t xml:space="preserve">autres partenaires, le Gouvernement national, Pacific Women Shaping Pacific </w:t>
      </w:r>
      <w:bookmarkStart w:id="1" w:name="_GoBack"/>
      <w:r w:rsidRPr="000E0872">
        <w:rPr>
          <w:lang w:val="fr-FR"/>
        </w:rPr>
        <w:t>Development</w:t>
      </w:r>
      <w:bookmarkEnd w:id="1"/>
      <w:r w:rsidRPr="000E0872">
        <w:rPr>
          <w:lang w:val="fr-FR"/>
        </w:rPr>
        <w:t xml:space="preserve"> et la Communauté du Pacifique ont collaboré avec les quatre États fédérés de Micronésie à l</w:t>
      </w:r>
      <w:r w:rsidR="002C592B" w:rsidRPr="00CB4BE3">
        <w:rPr>
          <w:lang w:val="fr-FR"/>
        </w:rPr>
        <w:t>’</w:t>
      </w:r>
      <w:r w:rsidRPr="000E0872">
        <w:rPr>
          <w:lang w:val="fr-FR"/>
        </w:rPr>
        <w:t>élaboration d</w:t>
      </w:r>
      <w:r w:rsidR="002C592B" w:rsidRPr="00CB4BE3">
        <w:rPr>
          <w:lang w:val="fr-FR"/>
        </w:rPr>
        <w:t>’</w:t>
      </w:r>
      <w:r w:rsidRPr="000E0872">
        <w:rPr>
          <w:lang w:val="fr-FR"/>
        </w:rPr>
        <w:t>un projet de politique d</w:t>
      </w:r>
      <w:r w:rsidR="002C592B" w:rsidRPr="00CB4BE3">
        <w:rPr>
          <w:lang w:val="fr-FR"/>
        </w:rPr>
        <w:t>’</w:t>
      </w:r>
      <w:r w:rsidRPr="000E0872">
        <w:rPr>
          <w:lang w:val="fr-FR"/>
        </w:rPr>
        <w:t>élimination de la violence à l</w:t>
      </w:r>
      <w:r w:rsidR="002C592B" w:rsidRPr="00CB4BE3">
        <w:rPr>
          <w:lang w:val="fr-FR"/>
        </w:rPr>
        <w:t>’</w:t>
      </w:r>
      <w:r w:rsidRPr="000E0872">
        <w:rPr>
          <w:lang w:val="fr-FR"/>
        </w:rPr>
        <w:t>égard des femmes. Parallèlement à cette initiative, chacun de ces États a également conçu son propre plan d</w:t>
      </w:r>
      <w:r w:rsidR="002C592B" w:rsidRPr="00CB4BE3">
        <w:rPr>
          <w:lang w:val="fr-FR"/>
        </w:rPr>
        <w:t>’</w:t>
      </w:r>
      <w:r w:rsidRPr="000E0872">
        <w:rPr>
          <w:lang w:val="fr-FR"/>
        </w:rPr>
        <w:t>action afin</w:t>
      </w:r>
      <w:r w:rsidRPr="000E0872">
        <w:rPr>
          <w:b/>
          <w:bCs/>
          <w:lang w:val="fr-FR"/>
        </w:rPr>
        <w:t xml:space="preserve"> </w:t>
      </w:r>
      <w:r w:rsidRPr="000E0872">
        <w:rPr>
          <w:lang w:val="fr-FR"/>
        </w:rPr>
        <w:t>de guider l</w:t>
      </w:r>
      <w:r w:rsidR="002C592B" w:rsidRPr="00CB4BE3">
        <w:rPr>
          <w:lang w:val="fr-FR"/>
        </w:rPr>
        <w:t>’</w:t>
      </w:r>
      <w:r w:rsidRPr="000E0872">
        <w:rPr>
          <w:lang w:val="fr-FR"/>
        </w:rPr>
        <w:t>action menée dans ce domaine. Bien qu</w:t>
      </w:r>
      <w:r w:rsidR="002C592B" w:rsidRPr="00CB4BE3">
        <w:rPr>
          <w:lang w:val="fr-FR"/>
        </w:rPr>
        <w:t>’</w:t>
      </w:r>
      <w:r w:rsidRPr="000E0872">
        <w:rPr>
          <w:lang w:val="fr-FR"/>
        </w:rPr>
        <w:t>en phase d</w:t>
      </w:r>
      <w:r w:rsidR="002C592B" w:rsidRPr="00CB4BE3">
        <w:rPr>
          <w:lang w:val="fr-FR"/>
        </w:rPr>
        <w:t>’</w:t>
      </w:r>
      <w:r w:rsidRPr="000E0872">
        <w:rPr>
          <w:lang w:val="fr-FR"/>
        </w:rPr>
        <w:t>examen et d</w:t>
      </w:r>
      <w:r w:rsidR="002C592B" w:rsidRPr="00CB4BE3">
        <w:rPr>
          <w:lang w:val="fr-FR"/>
        </w:rPr>
        <w:t>’</w:t>
      </w:r>
      <w:r w:rsidRPr="000E0872">
        <w:rPr>
          <w:lang w:val="fr-FR"/>
        </w:rPr>
        <w:t>approbation, la politique a déjà fourni aux États le cadre d</w:t>
      </w:r>
      <w:r w:rsidR="002C592B" w:rsidRPr="00CB4BE3">
        <w:rPr>
          <w:lang w:val="fr-FR"/>
        </w:rPr>
        <w:t>’</w:t>
      </w:r>
      <w:r w:rsidRPr="000E0872">
        <w:rPr>
          <w:lang w:val="fr-FR"/>
        </w:rPr>
        <w:t>orientation nécessaire aux fins de sa mise en œuvre. Des groupes de travail sont par exemple chargés de coordonner et de surveiller l</w:t>
      </w:r>
      <w:r w:rsidR="002C592B" w:rsidRPr="00CB4BE3">
        <w:rPr>
          <w:lang w:val="fr-FR"/>
        </w:rPr>
        <w:t>’</w:t>
      </w:r>
      <w:r w:rsidRPr="000E0872">
        <w:rPr>
          <w:lang w:val="fr-FR"/>
        </w:rPr>
        <w:t>exécution des plans d</w:t>
      </w:r>
      <w:r w:rsidR="002C592B" w:rsidRPr="00CB4BE3">
        <w:rPr>
          <w:lang w:val="fr-FR"/>
        </w:rPr>
        <w:t>’</w:t>
      </w:r>
      <w:r w:rsidRPr="000E0872">
        <w:rPr>
          <w:lang w:val="fr-FR"/>
        </w:rPr>
        <w:t>action et l</w:t>
      </w:r>
      <w:r w:rsidR="002C592B" w:rsidRPr="00CB4BE3">
        <w:rPr>
          <w:lang w:val="fr-FR"/>
        </w:rPr>
        <w:t>’</w:t>
      </w:r>
      <w:r w:rsidRPr="000E0872">
        <w:rPr>
          <w:lang w:val="fr-FR"/>
        </w:rPr>
        <w:t>élaboration des directives cliniques que doivent suivre les prestataires de soins de santé.</w:t>
      </w:r>
    </w:p>
    <w:p w14:paraId="1F933FBE" w14:textId="01FC5939" w:rsidR="000E0872" w:rsidRPr="00CB4BE3" w:rsidRDefault="000E0872" w:rsidP="000E0872">
      <w:pPr>
        <w:pStyle w:val="SingleTxt"/>
        <w:numPr>
          <w:ilvl w:val="0"/>
          <w:numId w:val="47"/>
        </w:numPr>
        <w:spacing w:line="240" w:lineRule="exact"/>
        <w:ind w:left="1267"/>
        <w:rPr>
          <w:u w:val="single"/>
          <w:lang w:val="fr-FR"/>
        </w:rPr>
      </w:pPr>
      <w:r w:rsidRPr="000E0872">
        <w:rPr>
          <w:lang w:val="fr-FR"/>
        </w:rPr>
        <w:t>La politique d</w:t>
      </w:r>
      <w:r w:rsidR="002C592B" w:rsidRPr="00CB4BE3">
        <w:rPr>
          <w:lang w:val="fr-FR"/>
        </w:rPr>
        <w:t>’</w:t>
      </w:r>
      <w:r w:rsidRPr="000E0872">
        <w:rPr>
          <w:lang w:val="fr-FR"/>
        </w:rPr>
        <w:t>élimination de la violence à l</w:t>
      </w:r>
      <w:r w:rsidR="002C592B" w:rsidRPr="00CB4BE3">
        <w:rPr>
          <w:lang w:val="fr-FR"/>
        </w:rPr>
        <w:t>’</w:t>
      </w:r>
      <w:r w:rsidRPr="000E0872">
        <w:rPr>
          <w:lang w:val="fr-FR"/>
        </w:rPr>
        <w:t>égard des femmes s</w:t>
      </w:r>
      <w:r w:rsidR="002C592B" w:rsidRPr="00CB4BE3">
        <w:rPr>
          <w:lang w:val="fr-FR"/>
        </w:rPr>
        <w:t>’</w:t>
      </w:r>
      <w:r w:rsidRPr="000E0872">
        <w:rPr>
          <w:lang w:val="fr-FR"/>
        </w:rPr>
        <w:t>inspire de ces approches et principes, qui sont inscrits dans le texte même de la politique.</w:t>
      </w:r>
    </w:p>
    <w:p w14:paraId="788196F2" w14:textId="1E88C591" w:rsidR="00D44992" w:rsidRPr="00CB4BE3" w:rsidRDefault="00D44992" w:rsidP="00D44992">
      <w:pPr>
        <w:pStyle w:val="SingleTxt"/>
        <w:spacing w:after="0" w:line="120" w:lineRule="exact"/>
        <w:rPr>
          <w:sz w:val="10"/>
          <w:lang w:val="fr-FR"/>
        </w:rPr>
      </w:pPr>
    </w:p>
    <w:p w14:paraId="6F012587" w14:textId="01910346" w:rsidR="000E0872" w:rsidRPr="00CB4BE3" w:rsidRDefault="000E0872" w:rsidP="00D449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Approche axée sur les personnes rescapées</w:t>
      </w:r>
    </w:p>
    <w:p w14:paraId="33374968" w14:textId="6B07EC05" w:rsidR="00D44992" w:rsidRPr="00CB4BE3" w:rsidRDefault="00D44992" w:rsidP="00D44992">
      <w:pPr>
        <w:pStyle w:val="SingleTxt"/>
        <w:spacing w:after="0" w:line="120" w:lineRule="exact"/>
        <w:rPr>
          <w:sz w:val="10"/>
          <w:lang w:val="fr-FR"/>
        </w:rPr>
      </w:pPr>
    </w:p>
    <w:p w14:paraId="1A098D27" w14:textId="5127E0EC" w:rsidR="000E0872" w:rsidRPr="00CB4BE3" w:rsidRDefault="000E0872" w:rsidP="00D44992">
      <w:pPr>
        <w:pStyle w:val="SingleTxt"/>
        <w:numPr>
          <w:ilvl w:val="0"/>
          <w:numId w:val="47"/>
        </w:numPr>
        <w:spacing w:line="240" w:lineRule="exact"/>
        <w:ind w:left="1267"/>
        <w:rPr>
          <w:lang w:val="fr-FR"/>
        </w:rPr>
      </w:pPr>
      <w:r w:rsidRPr="000E0872">
        <w:rPr>
          <w:lang w:val="fr-FR"/>
        </w:rPr>
        <w:t>L</w:t>
      </w:r>
      <w:r w:rsidR="002C592B" w:rsidRPr="00CB4BE3">
        <w:rPr>
          <w:lang w:val="fr-FR"/>
        </w:rPr>
        <w:t>’</w:t>
      </w:r>
      <w:r w:rsidRPr="000E0872">
        <w:rPr>
          <w:lang w:val="fr-FR"/>
        </w:rPr>
        <w:t>approche axée sur les personnes rescapées permet de créer un cadre d</w:t>
      </w:r>
      <w:r w:rsidR="002C592B" w:rsidRPr="00CB4BE3">
        <w:rPr>
          <w:lang w:val="fr-FR"/>
        </w:rPr>
        <w:t>’</w:t>
      </w:r>
      <w:r w:rsidRPr="000E0872">
        <w:rPr>
          <w:lang w:val="fr-FR"/>
        </w:rPr>
        <w:t>accompagnement où les droits et les désirs de ces personnes sont respectés, où leur sécurité est assurée et où elles sont traitées avec dignité et respect. Elle repose sur les principes directeurs suivants</w:t>
      </w:r>
      <w:r w:rsidR="002C592B" w:rsidRPr="00CB4BE3">
        <w:rPr>
          <w:lang w:val="fr-FR"/>
        </w:rPr>
        <w:t> :</w:t>
      </w:r>
    </w:p>
    <w:p w14:paraId="7BFFFA59" w14:textId="26342623" w:rsidR="00D44992" w:rsidRPr="00CB4BE3" w:rsidRDefault="00D44992" w:rsidP="00D44992">
      <w:pPr>
        <w:pStyle w:val="SingleTxt"/>
        <w:spacing w:after="0" w:line="120" w:lineRule="exact"/>
        <w:rPr>
          <w:sz w:val="10"/>
          <w:lang w:val="fr-FR"/>
        </w:rPr>
      </w:pPr>
    </w:p>
    <w:p w14:paraId="7B78D43A" w14:textId="439EAF99" w:rsidR="000E0872" w:rsidRPr="00CB4BE3" w:rsidRDefault="00D4499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r>
      <w:r w:rsidR="000E0872" w:rsidRPr="00CB4BE3">
        <w:rPr>
          <w:lang w:val="fr-FR"/>
        </w:rPr>
        <w:t>Sécurité</w:t>
      </w:r>
    </w:p>
    <w:p w14:paraId="2E8471AE" w14:textId="2A09EA04" w:rsidR="00D44992" w:rsidRPr="00CB4BE3" w:rsidRDefault="00D44992" w:rsidP="00D44992">
      <w:pPr>
        <w:pStyle w:val="SingleTxt"/>
        <w:spacing w:after="0" w:line="120" w:lineRule="exact"/>
        <w:rPr>
          <w:sz w:val="10"/>
          <w:lang w:val="fr-FR"/>
        </w:rPr>
      </w:pPr>
    </w:p>
    <w:p w14:paraId="6572A4B6" w14:textId="569A433D"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La sécurité et sûreté des personnes rescapées et de leurs enfants doit être la priorité absolue.</w:t>
      </w:r>
    </w:p>
    <w:p w14:paraId="6BC0A558" w14:textId="5894110F" w:rsidR="00D44992" w:rsidRPr="00CB4BE3" w:rsidRDefault="00D44992" w:rsidP="00D44992">
      <w:pPr>
        <w:pStyle w:val="SingleTxt"/>
        <w:spacing w:after="0" w:line="120" w:lineRule="exact"/>
        <w:ind w:left="1976"/>
        <w:rPr>
          <w:sz w:val="10"/>
          <w:lang w:val="fr-FR"/>
        </w:rPr>
      </w:pPr>
    </w:p>
    <w:p w14:paraId="7A25CCD4" w14:textId="39C36476" w:rsidR="000E0872" w:rsidRPr="00CB4BE3" w:rsidRDefault="00D4499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lastRenderedPageBreak/>
        <w:tab/>
      </w:r>
      <w:r w:rsidRPr="00CB4BE3">
        <w:rPr>
          <w:lang w:val="fr-FR"/>
        </w:rPr>
        <w:tab/>
      </w:r>
      <w:r w:rsidR="000E0872" w:rsidRPr="00CB4BE3">
        <w:rPr>
          <w:lang w:val="fr-FR"/>
        </w:rPr>
        <w:t>Confidentialité</w:t>
      </w:r>
    </w:p>
    <w:p w14:paraId="6D28E5DD" w14:textId="55073749" w:rsidR="00D44992" w:rsidRPr="00CB4BE3" w:rsidRDefault="00D44992" w:rsidP="00D44992">
      <w:pPr>
        <w:pStyle w:val="SingleTxt"/>
        <w:keepNext/>
        <w:spacing w:after="0" w:line="120" w:lineRule="exact"/>
        <w:rPr>
          <w:sz w:val="10"/>
          <w:lang w:val="fr-FR"/>
        </w:rPr>
      </w:pPr>
    </w:p>
    <w:p w14:paraId="172FE4BE" w14:textId="17F1E194"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Les personnes rescapées ont le droit de choisir à qui elles souhaitent raconter leur histoire, et les informations qu</w:t>
      </w:r>
      <w:r w:rsidR="002C592B" w:rsidRPr="00CB4BE3">
        <w:rPr>
          <w:lang w:val="fr-FR"/>
        </w:rPr>
        <w:t>’</w:t>
      </w:r>
      <w:r w:rsidR="000E0872" w:rsidRPr="000E0872">
        <w:rPr>
          <w:lang w:val="fr-FR"/>
        </w:rPr>
        <w:t>elles révèlent ne devraient être communiquées qu</w:t>
      </w:r>
      <w:r w:rsidR="002C592B" w:rsidRPr="00CB4BE3">
        <w:rPr>
          <w:lang w:val="fr-FR"/>
        </w:rPr>
        <w:t>’</w:t>
      </w:r>
      <w:r w:rsidR="000E0872" w:rsidRPr="000E0872">
        <w:rPr>
          <w:lang w:val="fr-FR"/>
        </w:rPr>
        <w:t>avec leur consentement éclairé.</w:t>
      </w:r>
    </w:p>
    <w:p w14:paraId="44152003" w14:textId="7979F624" w:rsidR="00D44992" w:rsidRPr="00CB4BE3" w:rsidRDefault="00D44992" w:rsidP="00D44992">
      <w:pPr>
        <w:pStyle w:val="SingleTxt"/>
        <w:spacing w:after="0" w:line="120" w:lineRule="exact"/>
        <w:ind w:left="1976"/>
        <w:rPr>
          <w:sz w:val="10"/>
          <w:lang w:val="fr-FR"/>
        </w:rPr>
      </w:pPr>
    </w:p>
    <w:p w14:paraId="23670D17" w14:textId="3567B505" w:rsidR="000E0872" w:rsidRPr="00CB4BE3" w:rsidRDefault="00D4499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r>
      <w:r w:rsidR="000E0872" w:rsidRPr="00CB4BE3">
        <w:rPr>
          <w:lang w:val="fr-FR"/>
        </w:rPr>
        <w:t>Respect</w:t>
      </w:r>
    </w:p>
    <w:p w14:paraId="7C80350E" w14:textId="5D806347" w:rsidR="00D44992" w:rsidRPr="00CB4BE3" w:rsidRDefault="00D44992" w:rsidP="00D44992">
      <w:pPr>
        <w:pStyle w:val="SingleTxt"/>
        <w:spacing w:after="0" w:line="120" w:lineRule="exact"/>
        <w:rPr>
          <w:sz w:val="10"/>
          <w:lang w:val="fr-FR"/>
        </w:rPr>
      </w:pPr>
    </w:p>
    <w:p w14:paraId="436DEA72" w14:textId="23D33ED0"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Toutes les mesures prises devraient être mues par le respect des choix, des souhaits, des droits et de la dignité des personnes rescapées. Le rôle de celles et ceux qui assistent ces dernières est de faciliter leur rétablissement et de leur fournir des ressources pour les aider.</w:t>
      </w:r>
    </w:p>
    <w:p w14:paraId="17630F99" w14:textId="4E5A2EA8" w:rsidR="00D44992" w:rsidRPr="00CB4BE3" w:rsidRDefault="00D44992" w:rsidP="00D44992">
      <w:pPr>
        <w:pStyle w:val="SingleTxt"/>
        <w:spacing w:after="0" w:line="120" w:lineRule="exact"/>
        <w:ind w:left="1976"/>
        <w:rPr>
          <w:sz w:val="10"/>
          <w:lang w:val="fr-FR"/>
        </w:rPr>
      </w:pPr>
    </w:p>
    <w:p w14:paraId="6AC7EF01" w14:textId="66985AE1" w:rsidR="000E0872" w:rsidRPr="00CB4BE3" w:rsidRDefault="000E087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Non-discrimination</w:t>
      </w:r>
    </w:p>
    <w:p w14:paraId="785B5FEF" w14:textId="647C52AD" w:rsidR="00D44992" w:rsidRPr="00CB4BE3" w:rsidRDefault="00D44992" w:rsidP="00D44992">
      <w:pPr>
        <w:pStyle w:val="SingleTxt"/>
        <w:spacing w:after="0" w:line="120" w:lineRule="exact"/>
        <w:rPr>
          <w:sz w:val="10"/>
          <w:lang w:val="fr-FR"/>
        </w:rPr>
      </w:pPr>
    </w:p>
    <w:p w14:paraId="1328E02B" w14:textId="25F9FE03"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Les personnes rescapées devraient recevoir un traitement égal et équitable, indépendamment de leur âge, genre, race, religion, nationalité, appartenance ethnique, orientation sexuelle, ou de toute autre caractéristique.</w:t>
      </w:r>
    </w:p>
    <w:p w14:paraId="36EE1DFB" w14:textId="6800E4F9" w:rsidR="00D44992" w:rsidRPr="00CB4BE3" w:rsidRDefault="00D44992" w:rsidP="00D44992">
      <w:pPr>
        <w:pStyle w:val="SingleTxt"/>
        <w:spacing w:after="0" w:line="120" w:lineRule="exact"/>
        <w:ind w:left="1976"/>
        <w:rPr>
          <w:sz w:val="10"/>
          <w:lang w:val="fr-FR"/>
        </w:rPr>
      </w:pPr>
    </w:p>
    <w:p w14:paraId="222C8D31" w14:textId="7DE35050" w:rsidR="000E0872" w:rsidRPr="00CB4BE3" w:rsidRDefault="000E087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Approche fondée sur les droits de la personne</w:t>
      </w:r>
    </w:p>
    <w:p w14:paraId="2B180964" w14:textId="542D0955" w:rsidR="00D44992" w:rsidRPr="00CB4BE3" w:rsidRDefault="00D44992" w:rsidP="00D44992">
      <w:pPr>
        <w:pStyle w:val="SingleTxt"/>
        <w:spacing w:after="0" w:line="120" w:lineRule="exact"/>
        <w:rPr>
          <w:sz w:val="10"/>
          <w:lang w:val="fr-FR"/>
        </w:rPr>
      </w:pPr>
    </w:p>
    <w:p w14:paraId="223153CA" w14:textId="410730D5"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w:t>
      </w:r>
      <w:r w:rsidR="002C592B" w:rsidRPr="00CB4BE3">
        <w:rPr>
          <w:lang w:val="fr-FR"/>
        </w:rPr>
        <w:t>’</w:t>
      </w:r>
      <w:r w:rsidR="000E0872" w:rsidRPr="000E0872">
        <w:rPr>
          <w:lang w:val="fr-FR"/>
        </w:rPr>
        <w:t>approche fondée sur les droits de la personne vise à analyser les causes profondes de la discrimination et de l</w:t>
      </w:r>
      <w:r w:rsidR="002C592B" w:rsidRPr="00CB4BE3">
        <w:rPr>
          <w:lang w:val="fr-FR"/>
        </w:rPr>
        <w:t>’</w:t>
      </w:r>
      <w:r w:rsidR="000E0872" w:rsidRPr="000E0872">
        <w:rPr>
          <w:lang w:val="fr-FR"/>
        </w:rPr>
        <w:t>inégalité et à s</w:t>
      </w:r>
      <w:r w:rsidR="002C592B" w:rsidRPr="00CB4BE3">
        <w:rPr>
          <w:lang w:val="fr-FR"/>
        </w:rPr>
        <w:t>’</w:t>
      </w:r>
      <w:r w:rsidR="000E0872" w:rsidRPr="000E0872">
        <w:rPr>
          <w:lang w:val="fr-FR"/>
        </w:rPr>
        <w:t>y attaquer pour faire en sorte que chacun et chacune, quels que soient son genre, son âge, son appartenance ethnique ou sa religion, ait le droit de vivre libre et dans la dignité, à l</w:t>
      </w:r>
      <w:r w:rsidR="002C592B" w:rsidRPr="00CB4BE3">
        <w:rPr>
          <w:lang w:val="fr-FR"/>
        </w:rPr>
        <w:t>’</w:t>
      </w:r>
      <w:r w:rsidR="000E0872" w:rsidRPr="000E0872">
        <w:rPr>
          <w:lang w:val="fr-FR"/>
        </w:rPr>
        <w:t>abri de la violence, de l</w:t>
      </w:r>
      <w:r w:rsidR="002C592B" w:rsidRPr="00CB4BE3">
        <w:rPr>
          <w:lang w:val="fr-FR"/>
        </w:rPr>
        <w:t>’</w:t>
      </w:r>
      <w:r w:rsidR="000E0872" w:rsidRPr="000E0872">
        <w:rPr>
          <w:lang w:val="fr-FR"/>
        </w:rPr>
        <w:t>exploitation et des mauvais traitements, conformément aux principes du droit des droits de l</w:t>
      </w:r>
      <w:r w:rsidR="002C592B" w:rsidRPr="00CB4BE3">
        <w:rPr>
          <w:lang w:val="fr-FR"/>
        </w:rPr>
        <w:t>’</w:t>
      </w:r>
      <w:r w:rsidR="000E0872" w:rsidRPr="000E0872">
        <w:rPr>
          <w:lang w:val="fr-FR"/>
        </w:rPr>
        <w:t>homme.</w:t>
      </w:r>
    </w:p>
    <w:p w14:paraId="586D8FFB" w14:textId="7E397C14" w:rsidR="00D44992" w:rsidRPr="00CB4BE3" w:rsidRDefault="00D44992" w:rsidP="00D44992">
      <w:pPr>
        <w:pStyle w:val="SingleTxt"/>
        <w:spacing w:after="0" w:line="120" w:lineRule="exact"/>
        <w:ind w:left="1976"/>
        <w:rPr>
          <w:sz w:val="10"/>
          <w:lang w:val="fr-FR"/>
        </w:rPr>
      </w:pPr>
    </w:p>
    <w:p w14:paraId="59682EB1" w14:textId="148D0074" w:rsidR="000E0872" w:rsidRPr="00CB4BE3" w:rsidRDefault="000E087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t>Approche axée sur la collectivité</w:t>
      </w:r>
    </w:p>
    <w:p w14:paraId="46505149" w14:textId="124B3B42" w:rsidR="00D44992" w:rsidRPr="00CB4BE3" w:rsidRDefault="00D44992" w:rsidP="00D44992">
      <w:pPr>
        <w:pStyle w:val="SingleTxt"/>
        <w:spacing w:after="0" w:line="120" w:lineRule="exact"/>
        <w:rPr>
          <w:sz w:val="10"/>
          <w:lang w:val="fr-FR"/>
        </w:rPr>
      </w:pPr>
    </w:p>
    <w:p w14:paraId="0CD432FE" w14:textId="78A21582" w:rsidR="000E0872" w:rsidRPr="00CB4BE3"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w:t>
      </w:r>
      <w:r w:rsidR="002C592B" w:rsidRPr="00CB4BE3">
        <w:rPr>
          <w:lang w:val="fr-FR"/>
        </w:rPr>
        <w:t>’</w:t>
      </w:r>
      <w:r w:rsidR="000E0872" w:rsidRPr="000E0872">
        <w:rPr>
          <w:lang w:val="fr-FR"/>
        </w:rPr>
        <w:t>approche axée sur la collectivité permet de s</w:t>
      </w:r>
      <w:r w:rsidR="002C592B" w:rsidRPr="00CB4BE3">
        <w:rPr>
          <w:lang w:val="fr-FR"/>
        </w:rPr>
        <w:t>’</w:t>
      </w:r>
      <w:r w:rsidR="000E0872" w:rsidRPr="000E0872">
        <w:rPr>
          <w:lang w:val="fr-FR"/>
        </w:rPr>
        <w:t>assurer que les populations touchées participent activement, en tant que partenaires, à l</w:t>
      </w:r>
      <w:r w:rsidR="002C592B" w:rsidRPr="00CB4BE3">
        <w:rPr>
          <w:lang w:val="fr-FR"/>
        </w:rPr>
        <w:t>’</w:t>
      </w:r>
      <w:r w:rsidR="000E0872" w:rsidRPr="000E0872">
        <w:rPr>
          <w:lang w:val="fr-FR"/>
        </w:rPr>
        <w:t>élaboration des stratégies destinées à les protéger de la violence, tant au niveau des mesures d</w:t>
      </w:r>
      <w:r w:rsidR="002C592B" w:rsidRPr="00CB4BE3">
        <w:rPr>
          <w:lang w:val="fr-FR"/>
        </w:rPr>
        <w:t>’</w:t>
      </w:r>
      <w:r w:rsidR="000E0872" w:rsidRPr="000E0872">
        <w:rPr>
          <w:lang w:val="fr-FR"/>
        </w:rPr>
        <w:t>intervention que des activités de prévention. Elle repose sur des consultations directes avec des femmes, des filles et d</w:t>
      </w:r>
      <w:r w:rsidR="002C592B" w:rsidRPr="00CB4BE3">
        <w:rPr>
          <w:lang w:val="fr-FR"/>
        </w:rPr>
        <w:t>’</w:t>
      </w:r>
      <w:r w:rsidR="000E0872" w:rsidRPr="000E0872">
        <w:rPr>
          <w:lang w:val="fr-FR"/>
        </w:rPr>
        <w:t>autres groupes à risque, qui permettent d</w:t>
      </w:r>
      <w:r w:rsidR="002C592B" w:rsidRPr="00CB4BE3">
        <w:rPr>
          <w:lang w:val="fr-FR"/>
        </w:rPr>
        <w:t>’</w:t>
      </w:r>
      <w:r w:rsidR="000E0872" w:rsidRPr="000E0872">
        <w:rPr>
          <w:lang w:val="fr-FR"/>
        </w:rPr>
        <w:t>appuyer les interventions du programme et de tirer parti des mécanismes de protection existant à l</w:t>
      </w:r>
      <w:r w:rsidR="002C592B" w:rsidRPr="00CB4BE3">
        <w:rPr>
          <w:lang w:val="fr-FR"/>
        </w:rPr>
        <w:t>’</w:t>
      </w:r>
      <w:r w:rsidR="000E0872" w:rsidRPr="000E0872">
        <w:rPr>
          <w:lang w:val="fr-FR"/>
        </w:rPr>
        <w:t>échelon local.</w:t>
      </w:r>
    </w:p>
    <w:p w14:paraId="11397B05" w14:textId="653123DD" w:rsidR="00D44992" w:rsidRPr="00CB4BE3" w:rsidRDefault="00D44992" w:rsidP="00D44992">
      <w:pPr>
        <w:pStyle w:val="SingleTxt"/>
        <w:spacing w:after="0" w:line="120" w:lineRule="exact"/>
        <w:ind w:left="1976"/>
        <w:rPr>
          <w:sz w:val="10"/>
          <w:lang w:val="fr-FR"/>
        </w:rPr>
      </w:pPr>
    </w:p>
    <w:p w14:paraId="43B4E2F6" w14:textId="0057317E" w:rsidR="000E0872" w:rsidRPr="00CB4BE3" w:rsidRDefault="00D44992" w:rsidP="00D449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4BE3">
        <w:rPr>
          <w:lang w:val="fr-FR"/>
        </w:rPr>
        <w:tab/>
      </w:r>
      <w:r w:rsidRPr="00CB4BE3">
        <w:rPr>
          <w:lang w:val="fr-FR"/>
        </w:rPr>
        <w:tab/>
      </w:r>
      <w:r w:rsidR="000E0872" w:rsidRPr="00CB4BE3">
        <w:rPr>
          <w:lang w:val="fr-FR"/>
        </w:rPr>
        <w:t>Principe visant à «</w:t>
      </w:r>
      <w:r w:rsidRPr="00CB4BE3">
        <w:rPr>
          <w:lang w:val="fr-FR"/>
        </w:rPr>
        <w:t> </w:t>
      </w:r>
      <w:r w:rsidR="000E0872" w:rsidRPr="00CB4BE3">
        <w:rPr>
          <w:lang w:val="fr-FR"/>
        </w:rPr>
        <w:t>ne pas nuire</w:t>
      </w:r>
      <w:r w:rsidRPr="00CB4BE3">
        <w:rPr>
          <w:lang w:val="fr-FR"/>
        </w:rPr>
        <w:t> </w:t>
      </w:r>
      <w:r w:rsidR="000E0872" w:rsidRPr="00CB4BE3">
        <w:rPr>
          <w:lang w:val="fr-FR"/>
        </w:rPr>
        <w:t>»</w:t>
      </w:r>
    </w:p>
    <w:p w14:paraId="272714D1" w14:textId="21565218" w:rsidR="00D44992" w:rsidRPr="00CB4BE3" w:rsidRDefault="00D44992" w:rsidP="00D44992">
      <w:pPr>
        <w:pStyle w:val="SingleTxt"/>
        <w:spacing w:after="0" w:line="120" w:lineRule="exact"/>
        <w:rPr>
          <w:sz w:val="10"/>
          <w:lang w:val="fr-FR"/>
        </w:rPr>
      </w:pPr>
    </w:p>
    <w:p w14:paraId="0D73C30C" w14:textId="68579CAE" w:rsidR="000E0872" w:rsidRPr="000E0872" w:rsidRDefault="00D44992" w:rsidP="00D44992">
      <w:pPr>
        <w:pStyle w:val="SingleTxt"/>
        <w:tabs>
          <w:tab w:val="right" w:pos="1685"/>
        </w:tabs>
        <w:ind w:left="1742" w:hanging="475"/>
        <w:rPr>
          <w:lang w:val="fr-FR"/>
        </w:rPr>
      </w:pPr>
      <w:r w:rsidRPr="00CB4BE3">
        <w:rPr>
          <w:lang w:val="fr-FR"/>
        </w:rPr>
        <w:tab/>
        <w:t>•</w:t>
      </w:r>
      <w:r w:rsidRPr="00CB4BE3">
        <w:rPr>
          <w:lang w:val="fr-FR"/>
        </w:rPr>
        <w:tab/>
      </w:r>
      <w:r w:rsidR="000E0872" w:rsidRPr="000E0872">
        <w:rPr>
          <w:lang w:val="fr-FR"/>
        </w:rPr>
        <w:t>L</w:t>
      </w:r>
      <w:r w:rsidR="002C592B" w:rsidRPr="00CB4BE3">
        <w:rPr>
          <w:lang w:val="fr-FR"/>
        </w:rPr>
        <w:t>’</w:t>
      </w:r>
      <w:r w:rsidR="000E0872" w:rsidRPr="000E0872">
        <w:rPr>
          <w:lang w:val="fr-FR"/>
        </w:rPr>
        <w:t>approche consistant à « ne pas nuire » suppose de prendre toutes les mesures nécessaires pour éviter d</w:t>
      </w:r>
      <w:r w:rsidR="002C592B" w:rsidRPr="00CB4BE3">
        <w:rPr>
          <w:lang w:val="fr-FR"/>
        </w:rPr>
        <w:t>’</w:t>
      </w:r>
      <w:r w:rsidR="000E0872" w:rsidRPr="000E0872">
        <w:rPr>
          <w:lang w:val="fr-FR"/>
        </w:rPr>
        <w:t>exposer les personnes à d</w:t>
      </w:r>
      <w:r w:rsidR="002C592B" w:rsidRPr="00CB4BE3">
        <w:rPr>
          <w:lang w:val="fr-FR"/>
        </w:rPr>
        <w:t>’</w:t>
      </w:r>
      <w:r w:rsidR="000E0872" w:rsidRPr="000E0872">
        <w:rPr>
          <w:lang w:val="fr-FR"/>
        </w:rPr>
        <w:t xml:space="preserve">autres préjudices du fait des activités menées par les prestataires de services. </w:t>
      </w:r>
    </w:p>
    <w:p w14:paraId="2D0E685F" w14:textId="1136B910" w:rsidR="000E0872" w:rsidRPr="000E0872" w:rsidRDefault="000E0872" w:rsidP="00D44992">
      <w:pPr>
        <w:pStyle w:val="SingleTxt"/>
        <w:numPr>
          <w:ilvl w:val="0"/>
          <w:numId w:val="48"/>
        </w:numPr>
        <w:spacing w:line="240" w:lineRule="exact"/>
        <w:ind w:left="1267"/>
        <w:rPr>
          <w:lang w:val="fr-FR"/>
        </w:rPr>
      </w:pPr>
      <w:r w:rsidRPr="000E0872">
        <w:rPr>
          <w:lang w:val="fr-FR"/>
        </w:rPr>
        <w:t>Avec l</w:t>
      </w:r>
      <w:r w:rsidR="002C592B" w:rsidRPr="00CB4BE3">
        <w:rPr>
          <w:lang w:val="fr-FR"/>
        </w:rPr>
        <w:t>’</w:t>
      </w:r>
      <w:r w:rsidRPr="000E0872">
        <w:rPr>
          <w:lang w:val="fr-FR"/>
        </w:rPr>
        <w:t>appui du Fonds des Nations Unies pour la population, le Gouvernement national des États fédérés de Micronésie a de nouveau fait appel à l</w:t>
      </w:r>
      <w:r w:rsidR="002C592B" w:rsidRPr="00CB4BE3">
        <w:rPr>
          <w:lang w:val="fr-FR"/>
        </w:rPr>
        <w:t>’</w:t>
      </w:r>
      <w:r w:rsidRPr="000E0872">
        <w:rPr>
          <w:lang w:val="fr-FR"/>
        </w:rPr>
        <w:t>expert qui avait procédé l</w:t>
      </w:r>
      <w:r w:rsidR="002C592B" w:rsidRPr="00CB4BE3">
        <w:rPr>
          <w:lang w:val="fr-FR"/>
        </w:rPr>
        <w:t>’</w:t>
      </w:r>
      <w:r w:rsidRPr="000E0872">
        <w:rPr>
          <w:lang w:val="fr-FR"/>
        </w:rPr>
        <w:t>année dernière à une évaluation de la prise en charge clinique de la violence sexuelle et dispensé une formation à ce sujet dans les administrations de santé des quatre États pour l</w:t>
      </w:r>
      <w:r w:rsidR="002C592B" w:rsidRPr="00CB4BE3">
        <w:rPr>
          <w:lang w:val="fr-FR"/>
        </w:rPr>
        <w:t>’</w:t>
      </w:r>
      <w:r w:rsidRPr="000E0872">
        <w:rPr>
          <w:lang w:val="fr-FR"/>
        </w:rPr>
        <w:t>aider à définir les directives relatives à cette prise en charge. Son intervention est prévue pour le dernier trimestre de 2019.</w:t>
      </w:r>
    </w:p>
    <w:p w14:paraId="19B853E8" w14:textId="38AE7A22" w:rsidR="000E7CD1" w:rsidRPr="00CB4BE3" w:rsidRDefault="00D44992" w:rsidP="00D44992">
      <w:pPr>
        <w:pStyle w:val="SingleTxt"/>
        <w:spacing w:after="0" w:line="240" w:lineRule="auto"/>
        <w:rPr>
          <w:lang w:val="fr-FR"/>
        </w:rPr>
      </w:pPr>
      <w:r w:rsidRPr="00CB4BE3">
        <w:rPr>
          <w:noProof/>
          <w:w w:val="100"/>
          <w:lang w:val="fr-FR"/>
        </w:rPr>
        <mc:AlternateContent>
          <mc:Choice Requires="wps">
            <w:drawing>
              <wp:anchor distT="0" distB="0" distL="114300" distR="114300" simplePos="0" relativeHeight="251662336" behindDoc="0" locked="0" layoutInCell="1" allowOverlap="1" wp14:anchorId="18904398" wp14:editId="43D72AC5">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3D592" id="Straight Connector 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E7CD1" w:rsidRPr="00CB4BE3" w:rsidSect="00854F63">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2T14:52:00Z" w:initials="Start">
    <w:p w14:paraId="5BB9A616" w14:textId="77777777" w:rsidR="000E7CD1" w:rsidRPr="00A04B73" w:rsidRDefault="000E7CD1">
      <w:pPr>
        <w:pStyle w:val="CommentText"/>
        <w:rPr>
          <w:lang w:val="en-US"/>
        </w:rPr>
      </w:pPr>
      <w:r>
        <w:fldChar w:fldCharType="begin"/>
      </w:r>
      <w:r w:rsidRPr="00A04B73">
        <w:rPr>
          <w:rStyle w:val="CommentReference"/>
          <w:lang w:val="en-US"/>
        </w:rPr>
        <w:instrText xml:space="preserve"> </w:instrText>
      </w:r>
      <w:r w:rsidRPr="00A04B73">
        <w:rPr>
          <w:lang w:val="en-US"/>
        </w:rPr>
        <w:instrText>PAGE \# "'Page: '#'</w:instrText>
      </w:r>
      <w:r w:rsidRPr="00A04B73">
        <w:rPr>
          <w:lang w:val="en-US"/>
        </w:rPr>
        <w:br/>
        <w:instrText>'"</w:instrText>
      </w:r>
      <w:r w:rsidRPr="00A04B73">
        <w:rPr>
          <w:rStyle w:val="CommentReference"/>
          <w:lang w:val="en-US"/>
        </w:rPr>
        <w:instrText xml:space="preserve"> </w:instrText>
      </w:r>
      <w:r>
        <w:fldChar w:fldCharType="end"/>
      </w:r>
      <w:r>
        <w:rPr>
          <w:rStyle w:val="CommentReference"/>
        </w:rPr>
        <w:annotationRef/>
      </w:r>
      <w:r w:rsidRPr="00A04B73">
        <w:rPr>
          <w:lang w:val="en-US"/>
        </w:rPr>
        <w:t>&lt;&lt;ODS JOB NO&gt;&gt;N1937191F&lt;&lt;ODS JOB NO&gt;&gt;</w:t>
      </w:r>
    </w:p>
    <w:p w14:paraId="7C2590E6" w14:textId="77777777" w:rsidR="000E7CD1" w:rsidRPr="00A04B73" w:rsidRDefault="000E7CD1">
      <w:pPr>
        <w:pStyle w:val="CommentText"/>
        <w:rPr>
          <w:lang w:val="en-US"/>
        </w:rPr>
      </w:pPr>
      <w:r w:rsidRPr="00A04B73">
        <w:rPr>
          <w:lang w:val="en-US"/>
        </w:rPr>
        <w:t>&lt;&lt;ODS DOC SYMBOL1&gt;&gt;CEDAW/C/FSM/CO/1-3/Add.1&lt;&lt;ODS DOC SYMBOL1&gt;&gt;</w:t>
      </w:r>
    </w:p>
    <w:p w14:paraId="4834D1DF" w14:textId="77777777" w:rsidR="000E7CD1" w:rsidRDefault="000E7CD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4D1D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6EBF" w14:textId="77777777" w:rsidR="00A8140F" w:rsidRDefault="00A8140F" w:rsidP="00101B18">
      <w:pPr>
        <w:spacing w:line="240" w:lineRule="auto"/>
      </w:pPr>
      <w:r>
        <w:separator/>
      </w:r>
    </w:p>
  </w:endnote>
  <w:endnote w:type="continuationSeparator" w:id="0">
    <w:p w14:paraId="45F7755B" w14:textId="77777777" w:rsidR="00A8140F" w:rsidRDefault="00A8140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7CD1" w14:paraId="7646E5AA" w14:textId="77777777" w:rsidTr="000E7CD1">
      <w:tc>
        <w:tcPr>
          <w:tcW w:w="4920" w:type="dxa"/>
          <w:shd w:val="clear" w:color="auto" w:fill="auto"/>
        </w:tcPr>
        <w:p w14:paraId="31F6267E" w14:textId="3C666AF1" w:rsidR="000E7CD1" w:rsidRPr="000E7CD1" w:rsidRDefault="000E7CD1" w:rsidP="000E7C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376">
            <w:rPr>
              <w:b w:val="0"/>
              <w:w w:val="103"/>
              <w:sz w:val="14"/>
            </w:rPr>
            <w:t>19-19910</w:t>
          </w:r>
          <w:r>
            <w:rPr>
              <w:b w:val="0"/>
              <w:w w:val="103"/>
              <w:sz w:val="14"/>
            </w:rPr>
            <w:fldChar w:fldCharType="end"/>
          </w:r>
        </w:p>
      </w:tc>
      <w:tc>
        <w:tcPr>
          <w:tcW w:w="4920" w:type="dxa"/>
          <w:shd w:val="clear" w:color="auto" w:fill="auto"/>
        </w:tcPr>
        <w:p w14:paraId="4B2F7276" w14:textId="77777777" w:rsidR="000E7CD1" w:rsidRPr="000E7CD1" w:rsidRDefault="000E7CD1" w:rsidP="000E7CD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E5B1EE" w14:textId="77777777" w:rsidR="000E7CD1" w:rsidRPr="000E7CD1" w:rsidRDefault="000E7CD1" w:rsidP="000E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7CD1" w14:paraId="2DCC18DA" w14:textId="77777777" w:rsidTr="000E7CD1">
      <w:tc>
        <w:tcPr>
          <w:tcW w:w="4920" w:type="dxa"/>
          <w:shd w:val="clear" w:color="auto" w:fill="auto"/>
        </w:tcPr>
        <w:p w14:paraId="5C7DDDDA" w14:textId="77777777" w:rsidR="000E7CD1" w:rsidRPr="000E7CD1" w:rsidRDefault="000E7CD1" w:rsidP="000E7CD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3B4E543" w14:textId="6065B58C" w:rsidR="000E7CD1" w:rsidRPr="000E7CD1" w:rsidRDefault="000E7CD1" w:rsidP="000E7C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376">
            <w:rPr>
              <w:b w:val="0"/>
              <w:w w:val="103"/>
              <w:sz w:val="14"/>
            </w:rPr>
            <w:t>19-19910</w:t>
          </w:r>
          <w:r>
            <w:rPr>
              <w:b w:val="0"/>
              <w:w w:val="103"/>
              <w:sz w:val="14"/>
            </w:rPr>
            <w:fldChar w:fldCharType="end"/>
          </w:r>
        </w:p>
      </w:tc>
    </w:tr>
  </w:tbl>
  <w:p w14:paraId="09E2310D" w14:textId="77777777" w:rsidR="000E7CD1" w:rsidRPr="000E7CD1" w:rsidRDefault="000E7CD1" w:rsidP="000E7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96E7" w14:textId="77777777" w:rsidR="000E7CD1" w:rsidRDefault="000E7CD1">
    <w:pPr>
      <w:pStyle w:val="Footer"/>
    </w:pPr>
    <w:r>
      <w:rPr>
        <w:noProof/>
      </w:rPr>
      <w:drawing>
        <wp:anchor distT="0" distB="0" distL="114300" distR="114300" simplePos="0" relativeHeight="251658240" behindDoc="0" locked="0" layoutInCell="1" allowOverlap="1" wp14:anchorId="38D9C7EA" wp14:editId="15D72BE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FSM/CO/1-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SM/CO/1-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E7CD1" w14:paraId="0F3F3D8E" w14:textId="77777777" w:rsidTr="000E7CD1">
      <w:tc>
        <w:tcPr>
          <w:tcW w:w="3758" w:type="dxa"/>
        </w:tcPr>
        <w:p w14:paraId="4B24D430" w14:textId="52174FA4" w:rsidR="000E7CD1" w:rsidRDefault="000E7CD1" w:rsidP="000E7CD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3376">
            <w:rPr>
              <w:b w:val="0"/>
              <w:sz w:val="20"/>
            </w:rPr>
            <w:t>19-19910 (F)</w:t>
          </w:r>
          <w:r>
            <w:rPr>
              <w:b w:val="0"/>
              <w:sz w:val="20"/>
            </w:rPr>
            <w:fldChar w:fldCharType="end"/>
          </w:r>
          <w:r>
            <w:rPr>
              <w:b w:val="0"/>
              <w:sz w:val="20"/>
            </w:rPr>
            <w:t xml:space="preserve">    021219    0</w:t>
          </w:r>
          <w:r w:rsidR="00A04B73">
            <w:rPr>
              <w:b w:val="0"/>
              <w:sz w:val="20"/>
            </w:rPr>
            <w:t>4</w:t>
          </w:r>
          <w:r>
            <w:rPr>
              <w:b w:val="0"/>
              <w:sz w:val="20"/>
            </w:rPr>
            <w:t>1219</w:t>
          </w:r>
        </w:p>
        <w:p w14:paraId="5EED1F16" w14:textId="2101F4DB" w:rsidR="000E7CD1" w:rsidRPr="000E7CD1" w:rsidRDefault="000E7CD1" w:rsidP="000E7CD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93376">
            <w:rPr>
              <w:rFonts w:ascii="Barcode 3 of 9 by request" w:hAnsi="Barcode 3 of 9 by request"/>
              <w:spacing w:val="0"/>
              <w:w w:val="100"/>
              <w:sz w:val="24"/>
            </w:rPr>
            <w:t>*1919910*</w:t>
          </w:r>
          <w:r>
            <w:rPr>
              <w:rFonts w:ascii="Barcode 3 of 9 by request" w:hAnsi="Barcode 3 of 9 by request"/>
              <w:spacing w:val="0"/>
              <w:w w:val="100"/>
              <w:sz w:val="24"/>
            </w:rPr>
            <w:fldChar w:fldCharType="end"/>
          </w:r>
        </w:p>
      </w:tc>
      <w:tc>
        <w:tcPr>
          <w:tcW w:w="4920" w:type="dxa"/>
        </w:tcPr>
        <w:p w14:paraId="49CE6D2D" w14:textId="77777777" w:rsidR="000E7CD1" w:rsidRDefault="000E7CD1" w:rsidP="000E7CD1">
          <w:pPr>
            <w:pStyle w:val="Footer"/>
            <w:spacing w:line="240" w:lineRule="atLeast"/>
            <w:jc w:val="right"/>
            <w:rPr>
              <w:b w:val="0"/>
              <w:sz w:val="20"/>
            </w:rPr>
          </w:pPr>
          <w:r>
            <w:rPr>
              <w:b w:val="0"/>
              <w:noProof/>
              <w:sz w:val="20"/>
            </w:rPr>
            <w:drawing>
              <wp:inline distT="0" distB="0" distL="0" distR="0" wp14:anchorId="7ABB48B3" wp14:editId="7DE105C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8291AC6" w14:textId="77777777" w:rsidR="000E7CD1" w:rsidRPr="000E7CD1" w:rsidRDefault="000E7CD1" w:rsidP="000E7CD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352C" w14:textId="77777777" w:rsidR="00A8140F" w:rsidRDefault="00A8140F" w:rsidP="00101B18">
      <w:pPr>
        <w:spacing w:line="240" w:lineRule="auto"/>
      </w:pPr>
      <w:r>
        <w:separator/>
      </w:r>
    </w:p>
  </w:footnote>
  <w:footnote w:type="continuationSeparator" w:id="0">
    <w:p w14:paraId="5E74A560" w14:textId="77777777" w:rsidR="00A8140F" w:rsidRDefault="00A8140F"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7CD1" w14:paraId="63F74E6B" w14:textId="77777777" w:rsidTr="000E7CD1">
      <w:trPr>
        <w:trHeight w:hRule="exact" w:val="864"/>
      </w:trPr>
      <w:tc>
        <w:tcPr>
          <w:tcW w:w="4920" w:type="dxa"/>
          <w:shd w:val="clear" w:color="auto" w:fill="auto"/>
          <w:vAlign w:val="bottom"/>
        </w:tcPr>
        <w:p w14:paraId="4BF6A857" w14:textId="11CFD7BD" w:rsidR="000E7CD1" w:rsidRPr="000E7CD1" w:rsidRDefault="000E7CD1" w:rsidP="000E7CD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3376">
            <w:rPr>
              <w:b/>
              <w:color w:val="000000"/>
            </w:rPr>
            <w:t>CEDAW/C/FSM/CO/1-3/Add.1</w:t>
          </w:r>
          <w:r>
            <w:rPr>
              <w:b/>
              <w:color w:val="000000"/>
            </w:rPr>
            <w:fldChar w:fldCharType="end"/>
          </w:r>
        </w:p>
      </w:tc>
      <w:tc>
        <w:tcPr>
          <w:tcW w:w="4920" w:type="dxa"/>
          <w:shd w:val="clear" w:color="auto" w:fill="auto"/>
          <w:vAlign w:val="bottom"/>
        </w:tcPr>
        <w:p w14:paraId="50A4F928" w14:textId="77777777" w:rsidR="000E7CD1" w:rsidRDefault="000E7CD1" w:rsidP="000E7CD1">
          <w:pPr>
            <w:pStyle w:val="Header"/>
          </w:pPr>
        </w:p>
      </w:tc>
    </w:tr>
  </w:tbl>
  <w:p w14:paraId="21884560" w14:textId="77777777" w:rsidR="000E7CD1" w:rsidRPr="000E7CD1" w:rsidRDefault="000E7CD1" w:rsidP="000E7CD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7CD1" w14:paraId="314A02A5" w14:textId="77777777" w:rsidTr="000E7CD1">
      <w:trPr>
        <w:trHeight w:hRule="exact" w:val="864"/>
      </w:trPr>
      <w:tc>
        <w:tcPr>
          <w:tcW w:w="4920" w:type="dxa"/>
          <w:shd w:val="clear" w:color="auto" w:fill="auto"/>
          <w:vAlign w:val="bottom"/>
        </w:tcPr>
        <w:p w14:paraId="65ED594B" w14:textId="77777777" w:rsidR="000E7CD1" w:rsidRDefault="000E7CD1" w:rsidP="000E7CD1">
          <w:pPr>
            <w:pStyle w:val="Header"/>
          </w:pPr>
        </w:p>
      </w:tc>
      <w:tc>
        <w:tcPr>
          <w:tcW w:w="4920" w:type="dxa"/>
          <w:shd w:val="clear" w:color="auto" w:fill="auto"/>
          <w:vAlign w:val="bottom"/>
        </w:tcPr>
        <w:p w14:paraId="5D87796C" w14:textId="651BC0A8" w:rsidR="000E7CD1" w:rsidRPr="000E7CD1" w:rsidRDefault="000E7CD1" w:rsidP="000E7CD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3376">
            <w:rPr>
              <w:b/>
              <w:color w:val="000000"/>
            </w:rPr>
            <w:t>CEDAW/C/FSM/CO/1-3/Add.1</w:t>
          </w:r>
          <w:r>
            <w:rPr>
              <w:b/>
              <w:color w:val="000000"/>
            </w:rPr>
            <w:fldChar w:fldCharType="end"/>
          </w:r>
        </w:p>
      </w:tc>
    </w:tr>
  </w:tbl>
  <w:p w14:paraId="7F5448AF" w14:textId="77777777" w:rsidR="000E7CD1" w:rsidRPr="000E7CD1" w:rsidRDefault="000E7CD1" w:rsidP="000E7CD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E7CD1" w:rsidRPr="00A04B73" w14:paraId="693A1548" w14:textId="77777777" w:rsidTr="000E7CD1">
      <w:trPr>
        <w:trHeight w:hRule="exact" w:val="864"/>
      </w:trPr>
      <w:tc>
        <w:tcPr>
          <w:tcW w:w="1267" w:type="dxa"/>
          <w:tcBorders>
            <w:bottom w:val="single" w:sz="4" w:space="0" w:color="auto"/>
          </w:tcBorders>
          <w:shd w:val="clear" w:color="auto" w:fill="auto"/>
          <w:vAlign w:val="bottom"/>
        </w:tcPr>
        <w:p w14:paraId="6A3AEF6F" w14:textId="77777777" w:rsidR="000E7CD1" w:rsidRDefault="000E7CD1" w:rsidP="000E7CD1">
          <w:pPr>
            <w:pStyle w:val="Header"/>
            <w:spacing w:after="120"/>
          </w:pPr>
        </w:p>
      </w:tc>
      <w:tc>
        <w:tcPr>
          <w:tcW w:w="2059" w:type="dxa"/>
          <w:tcBorders>
            <w:bottom w:val="single" w:sz="4" w:space="0" w:color="auto"/>
          </w:tcBorders>
          <w:shd w:val="clear" w:color="auto" w:fill="auto"/>
          <w:vAlign w:val="bottom"/>
        </w:tcPr>
        <w:p w14:paraId="72005455" w14:textId="77777777" w:rsidR="000E7CD1" w:rsidRPr="000E7CD1" w:rsidRDefault="000E7CD1" w:rsidP="000E7CD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1B02702" w14:textId="77777777" w:rsidR="000E7CD1" w:rsidRDefault="000E7CD1" w:rsidP="000E7CD1">
          <w:pPr>
            <w:pStyle w:val="Header"/>
            <w:spacing w:after="120"/>
          </w:pPr>
        </w:p>
      </w:tc>
      <w:tc>
        <w:tcPr>
          <w:tcW w:w="6466" w:type="dxa"/>
          <w:gridSpan w:val="3"/>
          <w:tcBorders>
            <w:bottom w:val="single" w:sz="4" w:space="0" w:color="auto"/>
          </w:tcBorders>
          <w:shd w:val="clear" w:color="auto" w:fill="auto"/>
          <w:vAlign w:val="bottom"/>
        </w:tcPr>
        <w:p w14:paraId="2DD54162" w14:textId="77777777" w:rsidR="000E7CD1" w:rsidRPr="00A04B73" w:rsidRDefault="000E7CD1" w:rsidP="000E7CD1">
          <w:pPr>
            <w:spacing w:after="80" w:line="240" w:lineRule="auto"/>
            <w:jc w:val="right"/>
            <w:rPr>
              <w:position w:val="-4"/>
              <w:lang w:val="en-US"/>
            </w:rPr>
          </w:pPr>
          <w:r w:rsidRPr="00A04B73">
            <w:rPr>
              <w:position w:val="-4"/>
              <w:sz w:val="40"/>
              <w:lang w:val="en-US"/>
            </w:rPr>
            <w:t>CEDAW</w:t>
          </w:r>
          <w:r w:rsidRPr="00A04B73">
            <w:rPr>
              <w:position w:val="-4"/>
              <w:lang w:val="en-US"/>
            </w:rPr>
            <w:t>/C/FSM/CO/1-3/Add.1</w:t>
          </w:r>
        </w:p>
      </w:tc>
    </w:tr>
    <w:tr w:rsidR="000E7CD1" w:rsidRPr="000E7CD1" w14:paraId="6D3BB9C9" w14:textId="77777777" w:rsidTr="000E7CD1">
      <w:trPr>
        <w:trHeight w:hRule="exact" w:val="2880"/>
      </w:trPr>
      <w:tc>
        <w:tcPr>
          <w:tcW w:w="1267" w:type="dxa"/>
          <w:tcBorders>
            <w:top w:val="single" w:sz="4" w:space="0" w:color="auto"/>
            <w:bottom w:val="single" w:sz="12" w:space="0" w:color="auto"/>
          </w:tcBorders>
          <w:shd w:val="clear" w:color="auto" w:fill="auto"/>
        </w:tcPr>
        <w:p w14:paraId="744F4C56" w14:textId="77777777" w:rsidR="000E7CD1" w:rsidRPr="000E7CD1" w:rsidRDefault="000E7CD1" w:rsidP="000E7CD1">
          <w:pPr>
            <w:pStyle w:val="Header"/>
            <w:spacing w:before="120" w:line="240" w:lineRule="auto"/>
            <w:ind w:left="-72"/>
            <w:jc w:val="center"/>
          </w:pPr>
          <w:r>
            <w:t xml:space="preserve">  </w:t>
          </w:r>
          <w:r>
            <w:rPr>
              <w:noProof/>
            </w:rPr>
            <w:drawing>
              <wp:inline distT="0" distB="0" distL="0" distR="0" wp14:anchorId="7D7847E2" wp14:editId="0A6AA8C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306FA3" w14:textId="0E8372D9" w:rsidR="000E7CD1" w:rsidRPr="000E7CD1" w:rsidRDefault="000E7CD1" w:rsidP="000E7CD1">
          <w:pPr>
            <w:pStyle w:val="XLarge"/>
            <w:spacing w:before="120" w:line="360" w:lineRule="exact"/>
            <w:rPr>
              <w:sz w:val="36"/>
            </w:rPr>
          </w:pPr>
          <w:r>
            <w:rPr>
              <w:sz w:val="36"/>
            </w:rPr>
            <w:t>Convention sur l</w:t>
          </w:r>
          <w:r w:rsidR="002C592B" w:rsidRPr="002C592B">
            <w:rPr>
              <w:sz w:val="36"/>
            </w:rPr>
            <w:t>’</w:t>
          </w:r>
          <w:r>
            <w:rPr>
              <w:sz w:val="36"/>
            </w:rPr>
            <w:t>élimination</w:t>
          </w:r>
          <w:r>
            <w:rPr>
              <w:sz w:val="36"/>
            </w:rPr>
            <w:br/>
            <w:t>de toutes les formes</w:t>
          </w:r>
          <w:r>
            <w:rPr>
              <w:sz w:val="36"/>
            </w:rPr>
            <w:br/>
            <w:t>de discrimination à l</w:t>
          </w:r>
          <w:r w:rsidR="002C592B" w:rsidRPr="002C592B">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A37855F" w14:textId="77777777" w:rsidR="000E7CD1" w:rsidRPr="00A04B73" w:rsidRDefault="000E7CD1" w:rsidP="000E7CD1">
          <w:pPr>
            <w:pStyle w:val="Header"/>
            <w:spacing w:before="109"/>
            <w:rPr>
              <w:lang w:val="fr-FR"/>
            </w:rPr>
          </w:pPr>
        </w:p>
      </w:tc>
      <w:tc>
        <w:tcPr>
          <w:tcW w:w="3110" w:type="dxa"/>
          <w:tcBorders>
            <w:top w:val="single" w:sz="4" w:space="0" w:color="auto"/>
            <w:bottom w:val="single" w:sz="12" w:space="0" w:color="auto"/>
          </w:tcBorders>
          <w:shd w:val="clear" w:color="auto" w:fill="auto"/>
        </w:tcPr>
        <w:p w14:paraId="1F048074" w14:textId="77777777" w:rsidR="000E7CD1" w:rsidRPr="00A04B73" w:rsidRDefault="000E7CD1" w:rsidP="000E7CD1">
          <w:pPr>
            <w:pStyle w:val="Distribution"/>
            <w:rPr>
              <w:color w:val="000000"/>
              <w:lang w:val="fr-FR"/>
            </w:rPr>
          </w:pPr>
          <w:r w:rsidRPr="00A04B73">
            <w:rPr>
              <w:color w:val="000000"/>
              <w:lang w:val="fr-FR"/>
            </w:rPr>
            <w:t>Distr. générale</w:t>
          </w:r>
        </w:p>
        <w:p w14:paraId="0AC0AE0C" w14:textId="77777777" w:rsidR="000E7CD1" w:rsidRPr="00A04B73" w:rsidRDefault="000E7CD1" w:rsidP="000E7CD1">
          <w:pPr>
            <w:pStyle w:val="Publication"/>
            <w:rPr>
              <w:color w:val="000000"/>
              <w:lang w:val="fr-FR"/>
            </w:rPr>
          </w:pPr>
          <w:r w:rsidRPr="00A04B73">
            <w:rPr>
              <w:color w:val="000000"/>
              <w:lang w:val="fr-FR"/>
            </w:rPr>
            <w:t>18 novembre 2019</w:t>
          </w:r>
        </w:p>
        <w:p w14:paraId="1CE1B5EA" w14:textId="77777777" w:rsidR="000E7CD1" w:rsidRPr="00A04B73" w:rsidRDefault="000E7CD1" w:rsidP="000E7CD1">
          <w:pPr>
            <w:rPr>
              <w:lang w:val="fr-FR"/>
            </w:rPr>
          </w:pPr>
          <w:r w:rsidRPr="00A04B73">
            <w:rPr>
              <w:lang w:val="fr-FR"/>
            </w:rPr>
            <w:t>Français</w:t>
          </w:r>
        </w:p>
        <w:p w14:paraId="112E6470" w14:textId="6281CD2D" w:rsidR="000E7CD1" w:rsidRDefault="000E7CD1" w:rsidP="000E7CD1">
          <w:pPr>
            <w:pStyle w:val="Original"/>
            <w:rPr>
              <w:color w:val="000000"/>
              <w:lang w:val="fr-FR"/>
            </w:rPr>
          </w:pPr>
          <w:r w:rsidRPr="00A04B73">
            <w:rPr>
              <w:color w:val="000000"/>
              <w:lang w:val="fr-FR"/>
            </w:rPr>
            <w:t>Original</w:t>
          </w:r>
          <w:r w:rsidR="002C592B" w:rsidRPr="002C592B">
            <w:rPr>
              <w:lang w:val="fr-FR"/>
            </w:rPr>
            <w:t> :</w:t>
          </w:r>
          <w:r w:rsidRPr="00A04B73">
            <w:rPr>
              <w:color w:val="000000"/>
              <w:lang w:val="fr-FR"/>
            </w:rPr>
            <w:t xml:space="preserve"> anglais</w:t>
          </w:r>
        </w:p>
        <w:p w14:paraId="1A0C844A" w14:textId="3BCFCA78" w:rsidR="00A04B73" w:rsidRPr="00A04B73" w:rsidRDefault="00A04B73" w:rsidP="00A04B73">
          <w:pPr>
            <w:rPr>
              <w:lang w:val="fr-FR"/>
            </w:rPr>
          </w:pPr>
          <w:r w:rsidRPr="00A04B73">
            <w:rPr>
              <w:lang w:val="fr-FR"/>
            </w:rPr>
            <w:t>Anglais, espagnol et français seulement</w:t>
          </w:r>
        </w:p>
      </w:tc>
    </w:tr>
  </w:tbl>
  <w:p w14:paraId="275348FC" w14:textId="77777777" w:rsidR="000E7CD1" w:rsidRPr="00A04B73" w:rsidRDefault="000E7CD1" w:rsidP="000E7CD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078F75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73205"/>
    <w:multiLevelType w:val="hybridMultilevel"/>
    <w:tmpl w:val="5C2802DC"/>
    <w:lvl w:ilvl="0" w:tplc="0809000F">
      <w:start w:val="1"/>
      <w:numFmt w:val="decimal"/>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lvlOverride w:ilvl="0">
      <w:lvl w:ilvl="0" w:tplc="0809000F">
        <w:start w:val="1"/>
        <w:numFmt w:val="decimal"/>
        <w:lvlText w:val="%1."/>
        <w:lvlJc w:val="left"/>
        <w:pPr>
          <w:ind w:left="1494" w:hanging="360"/>
        </w:pPr>
        <w:rPr>
          <w:rFonts w:hint="default"/>
        </w:rPr>
      </w:lvl>
    </w:lvlOverride>
  </w:num>
  <w:num w:numId="42">
    <w:abstractNumId w:val="3"/>
  </w:num>
  <w:num w:numId="43">
    <w:abstractNumId w:val="3"/>
    <w:lvlOverride w:ilvl="0">
      <w:lvl w:ilvl="0" w:tplc="0809000F">
        <w:start w:val="1"/>
        <w:numFmt w:val="decimal"/>
        <w:lvlRestart w:val="0"/>
        <w:lvlText w:val="%1."/>
        <w:lvlJc w:val="left"/>
        <w:pPr>
          <w:tabs>
            <w:tab w:val="num" w:pos="475"/>
          </w:tabs>
          <w:ind w:left="0" w:firstLine="0"/>
        </w:pPr>
        <w:rPr>
          <w:w w:val="100"/>
        </w:rPr>
      </w:lvl>
    </w:lvlOverride>
  </w:num>
  <w:num w:numId="44">
    <w:abstractNumId w:val="3"/>
    <w:lvlOverride w:ilvl="0">
      <w:lvl w:ilvl="0" w:tplc="0809000F">
        <w:start w:val="1"/>
        <w:numFmt w:val="decimal"/>
        <w:lvlRestart w:val="0"/>
        <w:lvlText w:val="%1."/>
        <w:lvlJc w:val="left"/>
        <w:pPr>
          <w:tabs>
            <w:tab w:val="num" w:pos="475"/>
          </w:tabs>
          <w:ind w:left="0" w:firstLine="0"/>
        </w:pPr>
        <w:rPr>
          <w:w w:val="100"/>
        </w:rPr>
      </w:lvl>
    </w:lvlOverride>
  </w:num>
  <w:num w:numId="45">
    <w:abstractNumId w:val="3"/>
    <w:lvlOverride w:ilvl="0">
      <w:lvl w:ilvl="0" w:tplc="0809000F">
        <w:start w:val="1"/>
        <w:numFmt w:val="decimal"/>
        <w:lvlRestart w:val="0"/>
        <w:lvlText w:val="%1."/>
        <w:lvlJc w:val="left"/>
        <w:pPr>
          <w:tabs>
            <w:tab w:val="num" w:pos="475"/>
          </w:tabs>
          <w:ind w:left="0" w:firstLine="0"/>
        </w:pPr>
        <w:rPr>
          <w:w w:val="100"/>
        </w:rPr>
      </w:lvl>
    </w:lvlOverride>
  </w:num>
  <w:num w:numId="46">
    <w:abstractNumId w:val="3"/>
    <w:lvlOverride w:ilvl="0">
      <w:lvl w:ilvl="0" w:tplc="0809000F">
        <w:start w:val="1"/>
        <w:numFmt w:val="decimal"/>
        <w:lvlRestart w:val="0"/>
        <w:lvlText w:val="%1."/>
        <w:lvlJc w:val="left"/>
        <w:pPr>
          <w:tabs>
            <w:tab w:val="num" w:pos="475"/>
          </w:tabs>
          <w:ind w:left="0" w:firstLine="0"/>
        </w:pPr>
        <w:rPr>
          <w:w w:val="100"/>
        </w:rPr>
      </w:lvl>
    </w:lvlOverride>
  </w:num>
  <w:num w:numId="47">
    <w:abstractNumId w:val="3"/>
    <w:lvlOverride w:ilvl="0">
      <w:lvl w:ilvl="0" w:tplc="0809000F">
        <w:start w:val="1"/>
        <w:numFmt w:val="decimal"/>
        <w:lvlRestart w:val="0"/>
        <w:lvlText w:val="%1."/>
        <w:lvlJc w:val="left"/>
        <w:pPr>
          <w:tabs>
            <w:tab w:val="num" w:pos="475"/>
          </w:tabs>
          <w:ind w:left="0" w:firstLine="0"/>
        </w:pPr>
        <w:rPr>
          <w:w w:val="100"/>
        </w:rPr>
      </w:lvl>
    </w:lvlOverride>
  </w:num>
  <w:num w:numId="48">
    <w:abstractNumId w:val="3"/>
    <w:lvlOverride w:ilvl="0">
      <w:lvl w:ilvl="0" w:tplc="0809000F">
        <w:start w:val="1"/>
        <w:numFmt w:val="decimal"/>
        <w:lvlRestart w:val="0"/>
        <w:lvlText w:val="%1."/>
        <w:lvlJc w:val="left"/>
        <w:pPr>
          <w:tabs>
            <w:tab w:val="num" w:pos="475"/>
          </w:tabs>
          <w:ind w:left="0" w:firstLine="0"/>
        </w:pPr>
        <w:rPr>
          <w:w w:val="100"/>
        </w:rPr>
      </w:lvl>
    </w:lvlOverride>
  </w:num>
  <w:num w:numId="49">
    <w:abstractNumId w:val="3"/>
    <w:lvlOverride w:ilvl="0">
      <w:lvl w:ilvl="0" w:tplc="0809000F">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910*"/>
    <w:docVar w:name="CreationDt" w:val="02/12/2019 2:52: PM"/>
    <w:docVar w:name="DocCategory" w:val="Doc"/>
    <w:docVar w:name="DocType" w:val="Final"/>
    <w:docVar w:name="DutyStation" w:val="New York"/>
    <w:docVar w:name="FooterJN" w:val="19-19910"/>
    <w:docVar w:name="jobn" w:val="19-19910 (F)"/>
    <w:docVar w:name="jobnDT" w:val="19-19910 (F)   021219"/>
    <w:docVar w:name="jobnDTDT" w:val="19-19910 (F)   021219   021219"/>
    <w:docVar w:name="JobNo" w:val="1919910F"/>
    <w:docVar w:name="JobNo2" w:val="1937191F"/>
    <w:docVar w:name="LocalDrive" w:val="0"/>
    <w:docVar w:name="OandT" w:val="AAD"/>
    <w:docVar w:name="sss1" w:val="CEDAW/C/FSM/CO/1-3/Add.1"/>
    <w:docVar w:name="sss2" w:val="-"/>
    <w:docVar w:name="Symbol1" w:val="CEDAW/C/FSM/CO/1-3/Add.1"/>
    <w:docVar w:name="Symbol2" w:val="-"/>
  </w:docVars>
  <w:rsids>
    <w:rsidRoot w:val="00A8140F"/>
    <w:rsid w:val="00002584"/>
    <w:rsid w:val="00046924"/>
    <w:rsid w:val="0006491F"/>
    <w:rsid w:val="00071D43"/>
    <w:rsid w:val="00071F83"/>
    <w:rsid w:val="00082144"/>
    <w:rsid w:val="000C6892"/>
    <w:rsid w:val="000E0872"/>
    <w:rsid w:val="000E7CD1"/>
    <w:rsid w:val="00101B18"/>
    <w:rsid w:val="001177E1"/>
    <w:rsid w:val="00122A56"/>
    <w:rsid w:val="0013109A"/>
    <w:rsid w:val="00134FEE"/>
    <w:rsid w:val="00146C6A"/>
    <w:rsid w:val="00166A0D"/>
    <w:rsid w:val="001E2379"/>
    <w:rsid w:val="001E4B50"/>
    <w:rsid w:val="00245107"/>
    <w:rsid w:val="00245FDC"/>
    <w:rsid w:val="002478A0"/>
    <w:rsid w:val="00251C92"/>
    <w:rsid w:val="00290018"/>
    <w:rsid w:val="002A5E20"/>
    <w:rsid w:val="002C592B"/>
    <w:rsid w:val="0030765E"/>
    <w:rsid w:val="00366D21"/>
    <w:rsid w:val="003A675A"/>
    <w:rsid w:val="003C23BF"/>
    <w:rsid w:val="003C536A"/>
    <w:rsid w:val="003E6A5D"/>
    <w:rsid w:val="003F61E1"/>
    <w:rsid w:val="00403DFD"/>
    <w:rsid w:val="00410BE8"/>
    <w:rsid w:val="00440C93"/>
    <w:rsid w:val="00472B7F"/>
    <w:rsid w:val="00480B84"/>
    <w:rsid w:val="004B25A0"/>
    <w:rsid w:val="004B64F9"/>
    <w:rsid w:val="004C1A25"/>
    <w:rsid w:val="004E491B"/>
    <w:rsid w:val="00515991"/>
    <w:rsid w:val="005225EC"/>
    <w:rsid w:val="00525097"/>
    <w:rsid w:val="0053249A"/>
    <w:rsid w:val="005509B6"/>
    <w:rsid w:val="00571235"/>
    <w:rsid w:val="00577A36"/>
    <w:rsid w:val="00580CF2"/>
    <w:rsid w:val="005B398E"/>
    <w:rsid w:val="005B573A"/>
    <w:rsid w:val="005C03A7"/>
    <w:rsid w:val="005C5330"/>
    <w:rsid w:val="005F1F5F"/>
    <w:rsid w:val="00632C10"/>
    <w:rsid w:val="00670782"/>
    <w:rsid w:val="00690698"/>
    <w:rsid w:val="006D79F5"/>
    <w:rsid w:val="006E4A4B"/>
    <w:rsid w:val="006E5107"/>
    <w:rsid w:val="006F370E"/>
    <w:rsid w:val="00703106"/>
    <w:rsid w:val="007459AE"/>
    <w:rsid w:val="007519DC"/>
    <w:rsid w:val="007531A5"/>
    <w:rsid w:val="00771C9E"/>
    <w:rsid w:val="007B770F"/>
    <w:rsid w:val="007E224F"/>
    <w:rsid w:val="00802FD5"/>
    <w:rsid w:val="0082045E"/>
    <w:rsid w:val="00820FAE"/>
    <w:rsid w:val="008222A3"/>
    <w:rsid w:val="00854F63"/>
    <w:rsid w:val="00876489"/>
    <w:rsid w:val="00883D3C"/>
    <w:rsid w:val="00886CF2"/>
    <w:rsid w:val="008D3879"/>
    <w:rsid w:val="008F3462"/>
    <w:rsid w:val="008F3DF4"/>
    <w:rsid w:val="009237A6"/>
    <w:rsid w:val="00935932"/>
    <w:rsid w:val="009547DC"/>
    <w:rsid w:val="00993CB7"/>
    <w:rsid w:val="00994877"/>
    <w:rsid w:val="009A352D"/>
    <w:rsid w:val="009C3BFE"/>
    <w:rsid w:val="009D0EE3"/>
    <w:rsid w:val="009E3220"/>
    <w:rsid w:val="009F40B9"/>
    <w:rsid w:val="00A04B73"/>
    <w:rsid w:val="00A2494D"/>
    <w:rsid w:val="00A536A1"/>
    <w:rsid w:val="00A8140F"/>
    <w:rsid w:val="00A93376"/>
    <w:rsid w:val="00AB0B7D"/>
    <w:rsid w:val="00AD5F2F"/>
    <w:rsid w:val="00AF2E72"/>
    <w:rsid w:val="00B858D5"/>
    <w:rsid w:val="00B87DEC"/>
    <w:rsid w:val="00BA2D2D"/>
    <w:rsid w:val="00C138C6"/>
    <w:rsid w:val="00CB06FB"/>
    <w:rsid w:val="00CB4BE3"/>
    <w:rsid w:val="00CB63C5"/>
    <w:rsid w:val="00CC5FF5"/>
    <w:rsid w:val="00CF5C1E"/>
    <w:rsid w:val="00D30EED"/>
    <w:rsid w:val="00D33FDC"/>
    <w:rsid w:val="00D44992"/>
    <w:rsid w:val="00D52C59"/>
    <w:rsid w:val="00DC7881"/>
    <w:rsid w:val="00E126C3"/>
    <w:rsid w:val="00E343A6"/>
    <w:rsid w:val="00E443AC"/>
    <w:rsid w:val="00E47A1E"/>
    <w:rsid w:val="00E7105F"/>
    <w:rsid w:val="00E7792F"/>
    <w:rsid w:val="00EE37EC"/>
    <w:rsid w:val="00EF2DFA"/>
    <w:rsid w:val="00F313F6"/>
    <w:rsid w:val="00F5012D"/>
    <w:rsid w:val="00F73093"/>
    <w:rsid w:val="00FA3D05"/>
    <w:rsid w:val="00FA5CC9"/>
    <w:rsid w:val="00FB0A2C"/>
    <w:rsid w:val="00FC59F1"/>
    <w:rsid w:val="00FE37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A825DF"/>
  <w15:chartTrackingRefBased/>
  <w15:docId w15:val="{79B78223-551E-46FE-9DBC-F6569E54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09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3109A"/>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3109A"/>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3109A"/>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3109A"/>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3109A"/>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3109A"/>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3109A"/>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3109A"/>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3109A"/>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3109A"/>
    <w:pPr>
      <w:keepNext/>
      <w:keepLines/>
      <w:suppressAutoHyphens/>
      <w:spacing w:line="270" w:lineRule="exact"/>
      <w:outlineLvl w:val="0"/>
    </w:pPr>
    <w:rPr>
      <w:b/>
      <w:sz w:val="24"/>
    </w:rPr>
  </w:style>
  <w:style w:type="paragraph" w:customStyle="1" w:styleId="HCH">
    <w:name w:val="_ H _CH"/>
    <w:basedOn w:val="H1"/>
    <w:next w:val="Normal"/>
    <w:qFormat/>
    <w:rsid w:val="0013109A"/>
    <w:pPr>
      <w:spacing w:line="300" w:lineRule="exact"/>
    </w:pPr>
    <w:rPr>
      <w:spacing w:val="-2"/>
      <w:sz w:val="28"/>
    </w:rPr>
  </w:style>
  <w:style w:type="paragraph" w:customStyle="1" w:styleId="HM">
    <w:name w:val="_ H __M"/>
    <w:basedOn w:val="HCH"/>
    <w:next w:val="Normal"/>
    <w:qFormat/>
    <w:rsid w:val="0013109A"/>
    <w:pPr>
      <w:spacing w:line="360" w:lineRule="exact"/>
    </w:pPr>
    <w:rPr>
      <w:spacing w:val="-3"/>
      <w:w w:val="99"/>
      <w:sz w:val="34"/>
    </w:rPr>
  </w:style>
  <w:style w:type="paragraph" w:customStyle="1" w:styleId="H23">
    <w:name w:val="_ H_2/3"/>
    <w:basedOn w:val="H1"/>
    <w:next w:val="SingleTxt"/>
    <w:qFormat/>
    <w:rsid w:val="0013109A"/>
    <w:pPr>
      <w:spacing w:line="240" w:lineRule="exact"/>
      <w:outlineLvl w:val="1"/>
    </w:pPr>
    <w:rPr>
      <w:spacing w:val="2"/>
      <w:sz w:val="20"/>
    </w:rPr>
  </w:style>
  <w:style w:type="paragraph" w:customStyle="1" w:styleId="H4">
    <w:name w:val="_ H_4"/>
    <w:basedOn w:val="Normal"/>
    <w:next w:val="SingleTxt"/>
    <w:qFormat/>
    <w:rsid w:val="0013109A"/>
    <w:pPr>
      <w:keepNext/>
      <w:keepLines/>
      <w:tabs>
        <w:tab w:val="right" w:pos="360"/>
      </w:tabs>
      <w:suppressAutoHyphens/>
      <w:outlineLvl w:val="3"/>
    </w:pPr>
    <w:rPr>
      <w:i/>
      <w:spacing w:val="3"/>
    </w:rPr>
  </w:style>
  <w:style w:type="paragraph" w:customStyle="1" w:styleId="H56">
    <w:name w:val="_ H_5/6"/>
    <w:basedOn w:val="Normal"/>
    <w:next w:val="Normal"/>
    <w:qFormat/>
    <w:rsid w:val="0013109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3109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3109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3109A"/>
    <w:pPr>
      <w:spacing w:line="540" w:lineRule="exact"/>
    </w:pPr>
    <w:rPr>
      <w:spacing w:val="-8"/>
      <w:w w:val="96"/>
      <w:sz w:val="57"/>
    </w:rPr>
  </w:style>
  <w:style w:type="paragraph" w:customStyle="1" w:styleId="SS">
    <w:name w:val="__S_S"/>
    <w:basedOn w:val="HCH"/>
    <w:next w:val="Normal"/>
    <w:qFormat/>
    <w:rsid w:val="0013109A"/>
    <w:pPr>
      <w:ind w:left="1267" w:right="1267"/>
    </w:pPr>
  </w:style>
  <w:style w:type="paragraph" w:customStyle="1" w:styleId="SingleTxt">
    <w:name w:val="__Single Txt"/>
    <w:basedOn w:val="Normal"/>
    <w:qFormat/>
    <w:rsid w:val="001310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3109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310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3109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310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109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3109A"/>
    <w:pPr>
      <w:numPr>
        <w:numId w:val="29"/>
      </w:numPr>
      <w:spacing w:after="120"/>
      <w:ind w:right="1267"/>
      <w:jc w:val="both"/>
    </w:pPr>
  </w:style>
  <w:style w:type="paragraph" w:customStyle="1" w:styleId="Bullet2">
    <w:name w:val="Bullet 2"/>
    <w:basedOn w:val="Normal"/>
    <w:qFormat/>
    <w:rsid w:val="0013109A"/>
    <w:pPr>
      <w:numPr>
        <w:numId w:val="30"/>
      </w:numPr>
      <w:spacing w:after="120"/>
      <w:ind w:right="1264"/>
      <w:jc w:val="both"/>
    </w:pPr>
  </w:style>
  <w:style w:type="paragraph" w:customStyle="1" w:styleId="Bullet3">
    <w:name w:val="Bullet 3"/>
    <w:basedOn w:val="SingleTxt"/>
    <w:qFormat/>
    <w:rsid w:val="0013109A"/>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3109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3109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3109A"/>
    <w:pPr>
      <w:spacing w:line="210" w:lineRule="exact"/>
    </w:pPr>
    <w:rPr>
      <w:sz w:val="17"/>
      <w:szCs w:val="20"/>
    </w:rPr>
  </w:style>
  <w:style w:type="character" w:customStyle="1" w:styleId="EndnoteTextChar">
    <w:name w:val="Endnote Text Char"/>
    <w:link w:val="EndnoteText"/>
    <w:uiPriority w:val="99"/>
    <w:semiHidden/>
    <w:rsid w:val="0013109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3109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3109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3109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3109A"/>
    <w:pPr>
      <w:spacing w:line="210" w:lineRule="exact"/>
    </w:pPr>
    <w:rPr>
      <w:sz w:val="17"/>
      <w:szCs w:val="20"/>
    </w:rPr>
  </w:style>
  <w:style w:type="character" w:customStyle="1" w:styleId="FootnoteTextChar">
    <w:name w:val="Footnote Text Char"/>
    <w:link w:val="FootnoteText"/>
    <w:uiPriority w:val="99"/>
    <w:rsid w:val="0013109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3109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3109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3109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3109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3109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3109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3109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3109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3109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3109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3109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3109A"/>
    <w:rPr>
      <w:sz w:val="14"/>
    </w:rPr>
  </w:style>
  <w:style w:type="paragraph" w:styleId="ListParagraph">
    <w:name w:val="List Paragraph"/>
    <w:basedOn w:val="Normal"/>
    <w:uiPriority w:val="34"/>
    <w:rsid w:val="0013109A"/>
    <w:pPr>
      <w:ind w:left="720"/>
      <w:contextualSpacing/>
    </w:pPr>
  </w:style>
  <w:style w:type="paragraph" w:styleId="NoSpacing">
    <w:name w:val="No Spacing"/>
    <w:uiPriority w:val="1"/>
    <w:rsid w:val="0013109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310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310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3109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3109A"/>
    <w:pPr>
      <w:tabs>
        <w:tab w:val="right" w:pos="9965"/>
      </w:tabs>
      <w:spacing w:line="210" w:lineRule="exact"/>
    </w:pPr>
    <w:rPr>
      <w:spacing w:val="5"/>
      <w:w w:val="104"/>
      <w:sz w:val="17"/>
    </w:rPr>
  </w:style>
  <w:style w:type="paragraph" w:customStyle="1" w:styleId="SmallX">
    <w:name w:val="SmallX"/>
    <w:basedOn w:val="Small"/>
    <w:next w:val="Normal"/>
    <w:qFormat/>
    <w:rsid w:val="0013109A"/>
    <w:pPr>
      <w:spacing w:line="180" w:lineRule="exact"/>
      <w:jc w:val="right"/>
    </w:pPr>
    <w:rPr>
      <w:spacing w:val="6"/>
      <w:w w:val="106"/>
      <w:sz w:val="14"/>
    </w:rPr>
  </w:style>
  <w:style w:type="character" w:styleId="Strong">
    <w:name w:val="Strong"/>
    <w:uiPriority w:val="22"/>
    <w:rsid w:val="0013109A"/>
    <w:rPr>
      <w:b/>
      <w:bCs/>
    </w:rPr>
  </w:style>
  <w:style w:type="paragraph" w:customStyle="1" w:styleId="Style1">
    <w:name w:val="Style1"/>
    <w:basedOn w:val="Normal"/>
    <w:qFormat/>
    <w:rsid w:val="0013109A"/>
  </w:style>
  <w:style w:type="paragraph" w:customStyle="1" w:styleId="Style2">
    <w:name w:val="Style2"/>
    <w:basedOn w:val="Normal"/>
    <w:autoRedefine/>
    <w:qFormat/>
    <w:rsid w:val="0013109A"/>
  </w:style>
  <w:style w:type="paragraph" w:customStyle="1" w:styleId="TitleHCH">
    <w:name w:val="Title_H_CH"/>
    <w:basedOn w:val="H1"/>
    <w:next w:val="Normal"/>
    <w:qFormat/>
    <w:rsid w:val="00131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310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3109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E7CD1"/>
    <w:rPr>
      <w:sz w:val="16"/>
      <w:szCs w:val="16"/>
    </w:rPr>
  </w:style>
  <w:style w:type="paragraph" w:styleId="CommentText">
    <w:name w:val="annotation text"/>
    <w:basedOn w:val="Normal"/>
    <w:link w:val="CommentTextChar"/>
    <w:uiPriority w:val="99"/>
    <w:semiHidden/>
    <w:unhideWhenUsed/>
    <w:rsid w:val="000E7CD1"/>
    <w:pPr>
      <w:spacing w:line="240" w:lineRule="auto"/>
    </w:pPr>
    <w:rPr>
      <w:szCs w:val="20"/>
    </w:rPr>
  </w:style>
  <w:style w:type="character" w:customStyle="1" w:styleId="CommentTextChar">
    <w:name w:val="Comment Text Char"/>
    <w:basedOn w:val="DefaultParagraphFont"/>
    <w:link w:val="CommentText"/>
    <w:uiPriority w:val="99"/>
    <w:semiHidden/>
    <w:rsid w:val="000E7CD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E7CD1"/>
    <w:rPr>
      <w:b/>
      <w:bCs/>
    </w:rPr>
  </w:style>
  <w:style w:type="character" w:customStyle="1" w:styleId="CommentSubjectChar">
    <w:name w:val="Comment Subject Char"/>
    <w:basedOn w:val="CommentTextChar"/>
    <w:link w:val="CommentSubject"/>
    <w:uiPriority w:val="99"/>
    <w:semiHidden/>
    <w:rsid w:val="000E7CD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C592B"/>
    <w:rPr>
      <w:color w:val="0000FF"/>
      <w:u w:val="none"/>
    </w:rPr>
  </w:style>
  <w:style w:type="character" w:styleId="UnresolvedMention">
    <w:name w:val="Unresolved Mention"/>
    <w:basedOn w:val="DefaultParagraphFont"/>
    <w:uiPriority w:val="99"/>
    <w:semiHidden/>
    <w:unhideWhenUsed/>
    <w:rsid w:val="002C592B"/>
    <w:rPr>
      <w:color w:val="605E5C"/>
      <w:shd w:val="clear" w:color="auto" w:fill="E1DFDD"/>
    </w:rPr>
  </w:style>
  <w:style w:type="character" w:styleId="FollowedHyperlink">
    <w:name w:val="FollowedHyperlink"/>
    <w:basedOn w:val="DefaultParagraphFont"/>
    <w:uiPriority w:val="99"/>
    <w:semiHidden/>
    <w:unhideWhenUsed/>
    <w:rsid w:val="002C592B"/>
    <w:rPr>
      <w:color w:val="0000FF"/>
      <w:u w:val="none"/>
    </w:rPr>
  </w:style>
  <w:style w:type="paragraph" w:styleId="Revision">
    <w:name w:val="Revision"/>
    <w:hidden/>
    <w:uiPriority w:val="99"/>
    <w:semiHidden/>
    <w:rsid w:val="00B87DE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FSM/CO/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Jean Michel Savre</cp:lastModifiedBy>
  <cp:revision>3</cp:revision>
  <cp:lastPrinted>2019-12-03T21:01:00Z</cp:lastPrinted>
  <dcterms:created xsi:type="dcterms:W3CDTF">2019-12-03T21:01:00Z</dcterms:created>
  <dcterms:modified xsi:type="dcterms:W3CDTF">2019-12-03T21:01:00Z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1919910F</vt:lpwstr>
  </property>
  <property fmtid="{D5CDD505-2E9C-101B-9397-08002B2CF9AE}" pid="3" name="ODSRefJobNo">
    <vt:lpwstr>1937191F</vt:lpwstr>
  </property>
  <property fmtid="{D5CDD505-2E9C-101B-9397-08002B2CF9AE}" pid="4" name="Symbol1">
    <vt:lpwstr>CEDAW/C/FSM/CO/1-3/Add.1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4</vt:lpwstr>
  </property>
  <property fmtid="{D5CDD505-2E9C-101B-9397-08002B2CF9AE}" pid="11" name="Operator">
    <vt:lpwstr>AAD</vt:lpwstr>
  </property>
  <property fmtid="{D5CDD505-2E9C-101B-9397-08002B2CF9AE}" pid="12" name="Release Date">
    <vt:lpwstr/>
  </property>
  <property fmtid="{D5CDD505-2E9C-101B-9397-08002B2CF9AE}" pid="13" name="Title1">
    <vt:lpwstr>		Observations finales concernant le rapport unique des États fédérés de Micronésie valant rapport initial et deuxième et troisième rapports périodiques_x000d_</vt:lpwstr>
  </property>
  <property fmtid="{D5CDD505-2E9C-101B-9397-08002B2CF9AE}" pid="14" name="Title2">
    <vt:lpwstr>		Additif_x000d_</vt:lpwstr>
  </property>
  <property fmtid="{D5CDD505-2E9C-101B-9397-08002B2CF9AE}" pid="15" name="Title3">
    <vt:lpwstr>		Renseignements reçus des États fédérés de Micronésie au sujet de la suite donnée aux observations finales*_x000d_</vt:lpwstr>
  </property>
</Properties>
</file>