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FD" w:rsidRDefault="00970EFD" w:rsidP="00970EFD">
      <w:pPr>
        <w:spacing w:line="60" w:lineRule="exact"/>
        <w:rPr>
          <w:sz w:val="6"/>
        </w:rPr>
        <w:sectPr w:rsidR="00970EFD" w:rsidSect="00970E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960C45" w:rsidRPr="00960C45" w:rsidRDefault="00960C45" w:rsidP="00960C45">
      <w:pPr>
        <w:tabs>
          <w:tab w:val="left" w:pos="431"/>
        </w:tabs>
        <w:overflowPunct w:val="0"/>
        <w:adjustRightInd w:val="0"/>
        <w:snapToGrid w:val="0"/>
        <w:spacing w:before="120"/>
        <w:rPr>
          <w:rFonts w:eastAsia="黑体"/>
          <w:snapToGrid w:val="0"/>
          <w:kern w:val="0"/>
          <w:sz w:val="24"/>
          <w:szCs w:val="24"/>
        </w:rPr>
      </w:pPr>
      <w:r w:rsidRPr="00960C45">
        <w:rPr>
          <w:rFonts w:eastAsia="黑体" w:hint="eastAsia"/>
          <w:snapToGrid w:val="0"/>
          <w:kern w:val="0"/>
          <w:sz w:val="24"/>
          <w:szCs w:val="24"/>
        </w:rPr>
        <w:lastRenderedPageBreak/>
        <w:t>消除对妇女歧视委员会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rFonts w:eastAsia="等线"/>
          <w:spacing w:val="4"/>
          <w:w w:val="103"/>
          <w:sz w:val="10"/>
          <w:lang w:val="en-GB"/>
        </w:rPr>
      </w:pPr>
    </w:p>
    <w:p w:rsidR="00960C45" w:rsidRPr="00485389"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rFonts w:eastAsia="等线"/>
          <w:spacing w:val="4"/>
          <w:w w:val="103"/>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rFonts w:eastAsia="等线"/>
          <w:spacing w:val="4"/>
          <w:w w:val="103"/>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400" w:lineRule="exact"/>
        <w:ind w:left="1934" w:right="1259" w:hangingChars="602" w:hanging="1934"/>
        <w:jc w:val="left"/>
        <w:outlineLvl w:val="0"/>
        <w:rPr>
          <w:rFonts w:eastAsia="黑体"/>
          <w:sz w:val="28"/>
          <w:szCs w:val="28"/>
          <w:lang w:val="en-GB"/>
        </w:rPr>
      </w:pPr>
      <w:r w:rsidRPr="00960C45">
        <w:rPr>
          <w:rFonts w:eastAsia="黑体"/>
          <w:b/>
          <w:sz w:val="32"/>
          <w:szCs w:val="24"/>
          <w:lang w:val="en-GB"/>
        </w:rPr>
        <w:tab/>
      </w:r>
      <w:r w:rsidRPr="00960C45">
        <w:rPr>
          <w:rFonts w:eastAsia="黑体"/>
          <w:b/>
          <w:sz w:val="24"/>
          <w:szCs w:val="21"/>
          <w:lang w:val="en-GB"/>
        </w:rPr>
        <w:tab/>
      </w:r>
      <w:r w:rsidRPr="00960C45">
        <w:rPr>
          <w:rFonts w:eastAsia="黑体" w:hint="eastAsia"/>
          <w:sz w:val="28"/>
          <w:lang w:val="en-GB"/>
        </w:rPr>
        <w:t>关于法国第七和第八次合并定期报告的结论性意见</w:t>
      </w:r>
      <w:r w:rsidRPr="00B11597">
        <w:rPr>
          <w:rFonts w:eastAsia="黑体"/>
          <w:color w:val="0000FF"/>
          <w:kern w:val="0"/>
          <w:position w:val="6"/>
          <w:szCs w:val="28"/>
          <w:vertAlign w:val="superscript"/>
          <w:lang w:val="en-GB"/>
        </w:rPr>
        <w:footnoteReference w:customMarkFollows="1" w:id="1"/>
        <w:t>*</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w:t>
      </w:r>
      <w:r w:rsidRPr="00960C45">
        <w:rPr>
          <w:lang w:val="en-GB"/>
        </w:rPr>
        <w:tab/>
      </w:r>
      <w:r w:rsidRPr="00960C45">
        <w:rPr>
          <w:rFonts w:hint="eastAsia"/>
          <w:lang w:val="en-GB"/>
        </w:rPr>
        <w:t>2</w:t>
      </w:r>
      <w:r w:rsidRPr="00B11597">
        <w:rPr>
          <w:rFonts w:hint="eastAsia"/>
          <w:spacing w:val="-4"/>
          <w:lang w:val="en-GB"/>
        </w:rPr>
        <w:t>016</w:t>
      </w:r>
      <w:r w:rsidRPr="00B11597">
        <w:rPr>
          <w:rFonts w:hint="eastAsia"/>
          <w:spacing w:val="-4"/>
          <w:lang w:val="en-GB"/>
        </w:rPr>
        <w:t>年</w:t>
      </w:r>
      <w:r w:rsidRPr="00B11597">
        <w:rPr>
          <w:rFonts w:hint="eastAsia"/>
          <w:spacing w:val="-4"/>
          <w:lang w:val="en-GB"/>
        </w:rPr>
        <w:t>7</w:t>
      </w:r>
      <w:r w:rsidRPr="00B11597">
        <w:rPr>
          <w:rFonts w:hint="eastAsia"/>
          <w:spacing w:val="-4"/>
          <w:lang w:val="en-GB"/>
        </w:rPr>
        <w:t>月</w:t>
      </w:r>
      <w:r w:rsidRPr="00B11597">
        <w:rPr>
          <w:rFonts w:hint="eastAsia"/>
          <w:spacing w:val="-4"/>
          <w:lang w:val="en-GB"/>
        </w:rPr>
        <w:t>8</w:t>
      </w:r>
      <w:r w:rsidRPr="00B11597">
        <w:rPr>
          <w:rFonts w:hint="eastAsia"/>
          <w:spacing w:val="-4"/>
          <w:lang w:val="en-GB"/>
        </w:rPr>
        <w:t>日委员会第</w:t>
      </w:r>
      <w:r w:rsidRPr="00B11597">
        <w:rPr>
          <w:rFonts w:hint="eastAsia"/>
          <w:spacing w:val="-4"/>
          <w:lang w:val="en-GB"/>
        </w:rPr>
        <w:t>1409</w:t>
      </w:r>
      <w:r w:rsidRPr="00B11597">
        <w:rPr>
          <w:rFonts w:hint="eastAsia"/>
          <w:spacing w:val="-4"/>
          <w:lang w:val="en-GB"/>
        </w:rPr>
        <w:t>和第</w:t>
      </w:r>
      <w:r w:rsidRPr="00B11597">
        <w:rPr>
          <w:rFonts w:hint="eastAsia"/>
          <w:spacing w:val="-4"/>
          <w:lang w:val="en-GB"/>
        </w:rPr>
        <w:t>1410</w:t>
      </w:r>
      <w:r w:rsidRPr="00B11597">
        <w:rPr>
          <w:rFonts w:hint="eastAsia"/>
          <w:spacing w:val="-4"/>
          <w:lang w:val="en-GB"/>
        </w:rPr>
        <w:t>次会议</w:t>
      </w:r>
      <w:r w:rsidR="00B11597" w:rsidRPr="00B11597">
        <w:rPr>
          <w:rFonts w:hint="eastAsia"/>
          <w:spacing w:val="-4"/>
          <w:lang w:val="en-GB"/>
        </w:rPr>
        <w:t>(</w:t>
      </w:r>
      <w:r w:rsidRPr="00B11597">
        <w:rPr>
          <w:rFonts w:hint="eastAsia"/>
          <w:spacing w:val="-4"/>
          <w:lang w:val="en-GB"/>
        </w:rPr>
        <w:t>见</w:t>
      </w:r>
      <w:hyperlink r:id="rId16" w:history="1">
        <w:r w:rsidRPr="00B11597">
          <w:rPr>
            <w:color w:val="0000FF"/>
            <w:spacing w:val="-4"/>
            <w:lang w:val="en-GB"/>
          </w:rPr>
          <w:t>CEDAW/C/SR.1409</w:t>
        </w:r>
      </w:hyperlink>
      <w:r w:rsidRPr="00B11597">
        <w:rPr>
          <w:rFonts w:hint="eastAsia"/>
          <w:spacing w:val="-4"/>
          <w:lang w:val="en-GB"/>
        </w:rPr>
        <w:t>和</w:t>
      </w:r>
      <w:r w:rsidRPr="00B11597">
        <w:rPr>
          <w:rFonts w:hint="eastAsia"/>
          <w:spacing w:val="-4"/>
          <w:lang w:val="en-GB"/>
        </w:rPr>
        <w:t>1410</w:t>
      </w:r>
      <w:r w:rsidR="00B11597" w:rsidRPr="00B11597">
        <w:rPr>
          <w:rFonts w:hint="eastAsia"/>
          <w:spacing w:val="-4"/>
          <w:lang w:val="en-GB"/>
        </w:rPr>
        <w:t>)</w:t>
      </w:r>
      <w:r w:rsidRPr="00B11597">
        <w:rPr>
          <w:rFonts w:hint="eastAsia"/>
          <w:spacing w:val="-4"/>
          <w:lang w:val="en-GB"/>
        </w:rPr>
        <w:t>审议了法国第七和第八次合并定期报告</w:t>
      </w:r>
      <w:r w:rsidR="00B11597" w:rsidRPr="00B11597">
        <w:rPr>
          <w:rFonts w:hint="eastAsia"/>
          <w:spacing w:val="-4"/>
          <w:lang w:val="en-GB"/>
        </w:rPr>
        <w:t>(</w:t>
      </w:r>
      <w:hyperlink r:id="rId17" w:history="1">
        <w:r w:rsidRPr="00B11597">
          <w:rPr>
            <w:color w:val="0000FF"/>
            <w:spacing w:val="-4"/>
            <w:lang w:val="en-GB"/>
          </w:rPr>
          <w:t>CEDAW/C/FRA/7-8</w:t>
        </w:r>
      </w:hyperlink>
      <w:r w:rsidR="00B11597" w:rsidRPr="00B11597">
        <w:rPr>
          <w:rFonts w:hint="eastAsia"/>
          <w:spacing w:val="-4"/>
          <w:lang w:val="en-GB"/>
        </w:rPr>
        <w:t>)</w:t>
      </w:r>
      <w:r w:rsidRPr="00B11597">
        <w:rPr>
          <w:rFonts w:hint="eastAsia"/>
          <w:spacing w:val="-4"/>
          <w:lang w:val="en-GB"/>
        </w:rPr>
        <w:t>。委员会的议题和问题清单载于</w:t>
      </w:r>
      <w:hyperlink r:id="rId18" w:history="1">
        <w:r w:rsidRPr="00B11597">
          <w:rPr>
            <w:color w:val="0000FF"/>
            <w:spacing w:val="-4"/>
            <w:lang w:val="en-GB"/>
          </w:rPr>
          <w:t>CEDAW/C/FRA/Q/7-8</w:t>
        </w:r>
      </w:hyperlink>
      <w:r w:rsidRPr="00B11597">
        <w:rPr>
          <w:rFonts w:hint="eastAsia"/>
          <w:spacing w:val="-4"/>
          <w:lang w:val="en-GB"/>
        </w:rPr>
        <w:t>，法国的答复载于</w:t>
      </w:r>
      <w:hyperlink r:id="rId19" w:history="1">
        <w:r w:rsidRPr="00B11597">
          <w:rPr>
            <w:color w:val="0000FF"/>
            <w:spacing w:val="-4"/>
            <w:lang w:val="en-GB"/>
          </w:rPr>
          <w:t>CEDAW/C/FRA/Q/7-8/Add.1</w:t>
        </w:r>
      </w:hyperlink>
      <w:r w:rsidRPr="00B11597">
        <w:rPr>
          <w:rFonts w:hint="eastAsia"/>
          <w:spacing w:val="-4"/>
          <w:lang w:val="en-GB"/>
        </w:rPr>
        <w:t>。</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0"/>
        <w:rPr>
          <w:rFonts w:eastAsia="黑体"/>
          <w:sz w:val="24"/>
          <w:lang w:val="en-GB"/>
        </w:rPr>
      </w:pPr>
      <w:r w:rsidRPr="00960C45">
        <w:rPr>
          <w:rFonts w:eastAsia="黑体"/>
          <w:sz w:val="24"/>
          <w:lang w:val="en-GB"/>
        </w:rPr>
        <w:tab/>
        <w:t>A.</w:t>
      </w:r>
      <w:r w:rsidRPr="00960C45">
        <w:rPr>
          <w:rFonts w:eastAsia="黑体"/>
          <w:sz w:val="24"/>
          <w:lang w:val="en-GB"/>
        </w:rPr>
        <w:tab/>
      </w:r>
      <w:r w:rsidRPr="00960C45">
        <w:rPr>
          <w:rFonts w:eastAsia="黑体" w:hint="eastAsia"/>
          <w:sz w:val="24"/>
          <w:lang w:val="en-GB"/>
        </w:rPr>
        <w:t>导言</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2.</w:t>
      </w:r>
      <w:r w:rsidRPr="00960C45">
        <w:rPr>
          <w:lang w:val="en-GB"/>
        </w:rPr>
        <w:tab/>
      </w:r>
      <w:r w:rsidRPr="00960C45">
        <w:rPr>
          <w:rFonts w:hint="eastAsia"/>
          <w:lang w:val="en-GB"/>
        </w:rPr>
        <w:t>委员会赞赏缔约国提交其第七和第八次合并定期报告。委员会还赞赏缔约国就会前工作组提出的议题和问题清单做出书面答复，并欢迎该代表团的口头介绍以及对委员会在对话期间口头提出的问题和在对话后以书面形式提出的问题所做的进一步说明。</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w:t>
      </w:r>
      <w:r w:rsidRPr="00960C45">
        <w:rPr>
          <w:lang w:val="en-GB"/>
        </w:rPr>
        <w:tab/>
      </w:r>
      <w:r w:rsidRPr="00960C45">
        <w:rPr>
          <w:rFonts w:hint="eastAsia"/>
          <w:lang w:val="en-GB"/>
        </w:rPr>
        <w:t>委员会赞扬缔约</w:t>
      </w:r>
      <w:r w:rsidRPr="00B11597">
        <w:rPr>
          <w:rFonts w:hint="eastAsia"/>
          <w:spacing w:val="-2"/>
          <w:lang w:val="en-GB"/>
        </w:rPr>
        <w:t>国派出由法国家庭、儿童和妇女权利部部长洛</w:t>
      </w:r>
      <w:r w:rsidRPr="00960C45">
        <w:rPr>
          <w:rFonts w:hint="eastAsia"/>
          <w:lang w:val="en-GB"/>
        </w:rPr>
        <w:t>朗丝·罗西涅尔率领的代表团，成员包括家庭、儿童和妇女权利部、社会事务和卫生部、外交和国际发展部、国民教育、高等教育和科研部、内政部、海外部、司法部、打击种族主义和反犹太主义部际代表团，以及法国常驻联合国日内瓦办事处和其他日内瓦国际组织代表团的代表。</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0"/>
        <w:rPr>
          <w:rFonts w:eastAsia="黑体"/>
          <w:sz w:val="24"/>
          <w:lang w:val="en-GB"/>
        </w:rPr>
      </w:pPr>
      <w:r w:rsidRPr="00960C45">
        <w:rPr>
          <w:rFonts w:eastAsia="黑体"/>
          <w:sz w:val="24"/>
          <w:lang w:val="en-GB"/>
        </w:rPr>
        <w:tab/>
        <w:t>B.</w:t>
      </w:r>
      <w:r w:rsidRPr="00960C45">
        <w:rPr>
          <w:rFonts w:eastAsia="黑体"/>
          <w:sz w:val="24"/>
          <w:lang w:val="en-GB"/>
        </w:rPr>
        <w:tab/>
      </w:r>
      <w:r w:rsidRPr="00960C45">
        <w:rPr>
          <w:rFonts w:eastAsia="黑体" w:hint="eastAsia"/>
          <w:sz w:val="24"/>
          <w:lang w:val="en-GB"/>
        </w:rPr>
        <w:t>积极方面</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w:t>
      </w:r>
      <w:r w:rsidRPr="00960C45">
        <w:rPr>
          <w:lang w:val="en-GB"/>
        </w:rPr>
        <w:tab/>
      </w:r>
      <w:r w:rsidRPr="00960C45">
        <w:rPr>
          <w:rFonts w:hint="eastAsia"/>
          <w:lang w:val="en-GB"/>
        </w:rPr>
        <w:t>委员会欢迎代表团在</w:t>
      </w:r>
      <w:r w:rsidRPr="00960C45">
        <w:rPr>
          <w:rFonts w:hint="eastAsia"/>
          <w:lang w:val="en-GB"/>
        </w:rPr>
        <w:t>2013</w:t>
      </w:r>
      <w:r w:rsidRPr="00960C45">
        <w:rPr>
          <w:rFonts w:hint="eastAsia"/>
          <w:lang w:val="en-GB"/>
        </w:rPr>
        <w:t>年撤回对《公约》的剩余保留。</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5.</w:t>
      </w:r>
      <w:r w:rsidRPr="00960C45">
        <w:rPr>
          <w:lang w:val="en-GB"/>
        </w:rPr>
        <w:tab/>
      </w:r>
      <w:r w:rsidRPr="00960C45">
        <w:rPr>
          <w:rFonts w:hint="eastAsia"/>
          <w:lang w:val="en-GB"/>
        </w:rPr>
        <w:t>委员会欢迎自</w:t>
      </w:r>
      <w:r w:rsidRPr="00960C45">
        <w:rPr>
          <w:rFonts w:hint="eastAsia"/>
          <w:lang w:val="en-GB"/>
        </w:rPr>
        <w:t>2008</w:t>
      </w:r>
      <w:r w:rsidRPr="00960C45">
        <w:rPr>
          <w:rFonts w:hint="eastAsia"/>
          <w:lang w:val="en-GB"/>
        </w:rPr>
        <w:t>年审议缔约国第六次定期报告</w:t>
      </w:r>
      <w:r w:rsidR="00B11597">
        <w:rPr>
          <w:rFonts w:hint="eastAsia"/>
          <w:lang w:val="en-GB"/>
        </w:rPr>
        <w:t>(</w:t>
      </w:r>
      <w:hyperlink r:id="rId20" w:history="1">
        <w:r w:rsidRPr="00960C45">
          <w:rPr>
            <w:color w:val="0000FF"/>
            <w:lang w:val="en-GB"/>
          </w:rPr>
          <w:t>CEDAW/C/FRA/6</w:t>
        </w:r>
      </w:hyperlink>
      <w:r w:rsidR="00B11597">
        <w:rPr>
          <w:rFonts w:hint="eastAsia"/>
          <w:lang w:val="en-GB"/>
        </w:rPr>
        <w:t>)</w:t>
      </w:r>
      <w:r w:rsidRPr="00960C45">
        <w:rPr>
          <w:rFonts w:hint="eastAsia"/>
          <w:lang w:val="en-GB"/>
        </w:rPr>
        <w:t>以来在开展立法改革方面取得的进展，特别是通过了以下法律：</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2014</w:t>
      </w:r>
      <w:r w:rsidRPr="00960C45">
        <w:rPr>
          <w:rFonts w:hint="eastAsia"/>
          <w:lang w:val="en-GB"/>
        </w:rPr>
        <w:t>年</w:t>
      </w:r>
      <w:r w:rsidRPr="00960C45">
        <w:rPr>
          <w:rFonts w:hint="eastAsia"/>
          <w:lang w:val="en-GB"/>
        </w:rPr>
        <w:t>8</w:t>
      </w:r>
      <w:r w:rsidRPr="00960C45">
        <w:rPr>
          <w:rFonts w:hint="eastAsia"/>
          <w:lang w:val="en-GB"/>
        </w:rPr>
        <w:t>月</w:t>
      </w:r>
      <w:r w:rsidRPr="00960C45">
        <w:rPr>
          <w:rFonts w:hint="eastAsia"/>
          <w:lang w:val="en-GB"/>
        </w:rPr>
        <w:t>4</w:t>
      </w:r>
      <w:r w:rsidRPr="00960C45">
        <w:rPr>
          <w:rFonts w:hint="eastAsia"/>
          <w:lang w:val="en-GB"/>
        </w:rPr>
        <w:t>日关于男女实质性平等的第</w:t>
      </w:r>
      <w:r w:rsidRPr="00960C45">
        <w:rPr>
          <w:rFonts w:hint="eastAsia"/>
          <w:lang w:val="en-GB"/>
        </w:rPr>
        <w:t>2014-873</w:t>
      </w:r>
      <w:r w:rsidRPr="00960C45">
        <w:rPr>
          <w:rFonts w:hint="eastAsia"/>
          <w:lang w:val="en-GB"/>
        </w:rPr>
        <w:t>号法令；</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lastRenderedPageBreak/>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2011</w:t>
      </w:r>
      <w:r w:rsidRPr="00960C45">
        <w:rPr>
          <w:rFonts w:hint="eastAsia"/>
          <w:lang w:val="en-GB"/>
        </w:rPr>
        <w:t>年</w:t>
      </w:r>
      <w:r w:rsidRPr="00960C45">
        <w:rPr>
          <w:rFonts w:hint="eastAsia"/>
          <w:lang w:val="en-GB"/>
        </w:rPr>
        <w:t>1</w:t>
      </w:r>
      <w:r w:rsidRPr="00960C45">
        <w:rPr>
          <w:rFonts w:hint="eastAsia"/>
          <w:lang w:val="en-GB"/>
        </w:rPr>
        <w:t>月</w:t>
      </w:r>
      <w:r w:rsidRPr="00960C45">
        <w:rPr>
          <w:rFonts w:hint="eastAsia"/>
          <w:lang w:val="en-GB"/>
        </w:rPr>
        <w:t>27</w:t>
      </w:r>
      <w:r w:rsidRPr="00960C45">
        <w:rPr>
          <w:rFonts w:hint="eastAsia"/>
          <w:lang w:val="en-GB"/>
        </w:rPr>
        <w:t>日关于男女在董事会和监理会中的平衡代表性和关于工作场所性别平等的第</w:t>
      </w:r>
      <w:r w:rsidRPr="00960C45">
        <w:rPr>
          <w:rFonts w:hint="eastAsia"/>
          <w:lang w:val="en-GB"/>
        </w:rPr>
        <w:t>2011-103</w:t>
      </w:r>
      <w:r w:rsidRPr="00960C45">
        <w:rPr>
          <w:rFonts w:hint="eastAsia"/>
          <w:lang w:val="en-GB"/>
        </w:rPr>
        <w:t>号法令；</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2010</w:t>
      </w:r>
      <w:r w:rsidRPr="00960C45">
        <w:rPr>
          <w:rFonts w:hint="eastAsia"/>
          <w:lang w:val="en-GB"/>
        </w:rPr>
        <w:t>年</w:t>
      </w:r>
      <w:r w:rsidRPr="00960C45">
        <w:rPr>
          <w:rFonts w:hint="eastAsia"/>
          <w:lang w:val="en-GB"/>
        </w:rPr>
        <w:t>7</w:t>
      </w:r>
      <w:r w:rsidRPr="00960C45">
        <w:rPr>
          <w:rFonts w:hint="eastAsia"/>
          <w:lang w:val="en-GB"/>
        </w:rPr>
        <w:t>月</w:t>
      </w:r>
      <w:r w:rsidRPr="00960C45">
        <w:rPr>
          <w:rFonts w:hint="eastAsia"/>
          <w:lang w:val="en-GB"/>
        </w:rPr>
        <w:t>9</w:t>
      </w:r>
      <w:r w:rsidRPr="00960C45">
        <w:rPr>
          <w:rFonts w:hint="eastAsia"/>
          <w:lang w:val="en-GB"/>
        </w:rPr>
        <w:t>日关于暴力侵害妇女以及婚姻暴力及其对儿童影响的第</w:t>
      </w:r>
      <w:r w:rsidRPr="00960C45">
        <w:rPr>
          <w:rFonts w:hint="eastAsia"/>
          <w:lang w:val="en-GB"/>
        </w:rPr>
        <w:t>2010-769</w:t>
      </w:r>
      <w:r w:rsidRPr="00960C45">
        <w:rPr>
          <w:rFonts w:hint="eastAsia"/>
          <w:lang w:val="en-GB"/>
        </w:rPr>
        <w:t>号法令。</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6.</w:t>
      </w:r>
      <w:r w:rsidRPr="00960C45">
        <w:rPr>
          <w:lang w:val="en-GB"/>
        </w:rPr>
        <w:tab/>
      </w:r>
      <w:r w:rsidRPr="00960C45">
        <w:rPr>
          <w:rFonts w:hint="eastAsia"/>
          <w:lang w:val="en-GB"/>
        </w:rPr>
        <w:t>委员会注意到</w:t>
      </w:r>
      <w:r w:rsidRPr="00960C45">
        <w:rPr>
          <w:rFonts w:hint="eastAsia"/>
          <w:lang w:val="en-GB"/>
        </w:rPr>
        <w:t>2013</w:t>
      </w:r>
      <w:r w:rsidRPr="00960C45">
        <w:rPr>
          <w:rFonts w:hint="eastAsia"/>
          <w:lang w:val="en-GB"/>
        </w:rPr>
        <w:t>年</w:t>
      </w:r>
      <w:r w:rsidRPr="00960C45">
        <w:rPr>
          <w:rFonts w:hint="eastAsia"/>
          <w:lang w:val="en-GB"/>
        </w:rPr>
        <w:t>5</w:t>
      </w:r>
      <w:r w:rsidRPr="00960C45">
        <w:rPr>
          <w:rFonts w:hint="eastAsia"/>
          <w:lang w:val="en-GB"/>
        </w:rPr>
        <w:t>月</w:t>
      </w:r>
      <w:r w:rsidRPr="00960C45">
        <w:rPr>
          <w:rFonts w:hint="eastAsia"/>
          <w:lang w:val="en-GB"/>
        </w:rPr>
        <w:t>17</w:t>
      </w:r>
      <w:r w:rsidRPr="00960C45">
        <w:rPr>
          <w:rFonts w:hint="eastAsia"/>
          <w:lang w:val="en-GB"/>
        </w:rPr>
        <w:t>日第</w:t>
      </w:r>
      <w:r w:rsidRPr="00960C45">
        <w:rPr>
          <w:rFonts w:hint="eastAsia"/>
          <w:lang w:val="en-GB"/>
        </w:rPr>
        <w:t>2013-404</w:t>
      </w:r>
      <w:r w:rsidRPr="00960C45">
        <w:rPr>
          <w:rFonts w:hint="eastAsia"/>
          <w:lang w:val="en-GB"/>
        </w:rPr>
        <w:t>号法令及其承认女同性恋、双性恋和变性妇女的结婚权利。</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7.</w:t>
      </w:r>
      <w:r w:rsidRPr="00960C45">
        <w:rPr>
          <w:lang w:val="en-GB"/>
        </w:rPr>
        <w:tab/>
      </w:r>
      <w:r w:rsidRPr="00960C45">
        <w:rPr>
          <w:rFonts w:hint="eastAsia"/>
          <w:lang w:val="en-GB"/>
        </w:rPr>
        <w:t>委员会欢迎</w:t>
      </w:r>
      <w:r w:rsidRPr="00960C45">
        <w:rPr>
          <w:lang w:val="en-GB"/>
        </w:rPr>
        <w:t>缔约国努力改进旨在</w:t>
      </w:r>
      <w:r w:rsidRPr="00960C45">
        <w:rPr>
          <w:rFonts w:hint="eastAsia"/>
          <w:lang w:val="en-GB"/>
        </w:rPr>
        <w:t>加快</w:t>
      </w:r>
      <w:r w:rsidRPr="00960C45">
        <w:rPr>
          <w:lang w:val="en-GB"/>
        </w:rPr>
        <w:t>消除对妇女</w:t>
      </w:r>
      <w:r w:rsidRPr="00960C45">
        <w:rPr>
          <w:rFonts w:hint="eastAsia"/>
          <w:lang w:val="en-GB"/>
        </w:rPr>
        <w:t>的</w:t>
      </w:r>
      <w:r w:rsidRPr="00960C45">
        <w:rPr>
          <w:lang w:val="en-GB"/>
        </w:rPr>
        <w:t>歧视</w:t>
      </w:r>
      <w:r w:rsidRPr="00960C45">
        <w:rPr>
          <w:rFonts w:hint="eastAsia"/>
          <w:lang w:val="en-GB"/>
        </w:rPr>
        <w:t>和促进</w:t>
      </w:r>
      <w:r w:rsidRPr="00960C45">
        <w:rPr>
          <w:lang w:val="en-GB"/>
        </w:rPr>
        <w:t>性别平等的</w:t>
      </w:r>
      <w:r w:rsidRPr="00960C45">
        <w:rPr>
          <w:rFonts w:hint="eastAsia"/>
          <w:lang w:val="en-GB"/>
        </w:rPr>
        <w:t>制度</w:t>
      </w:r>
      <w:r w:rsidRPr="00960C45">
        <w:rPr>
          <w:lang w:val="en-GB"/>
        </w:rPr>
        <w:t>和政策框架</w:t>
      </w:r>
      <w:r w:rsidRPr="00960C45">
        <w:rPr>
          <w:rFonts w:hint="eastAsia"/>
          <w:lang w:val="en-GB"/>
        </w:rPr>
        <w:t>，包括</w:t>
      </w:r>
      <w:r w:rsidRPr="00960C45">
        <w:rPr>
          <w:lang w:val="en-GB"/>
        </w:rPr>
        <w:t>通过或设立：</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防止和打击暴力侵害妇女行为的第四个部际计划，涵盖</w:t>
      </w:r>
      <w:r w:rsidRPr="00960C45">
        <w:rPr>
          <w:rFonts w:hint="eastAsia"/>
          <w:lang w:val="en-GB"/>
        </w:rPr>
        <w:t>2014-2016</w:t>
      </w:r>
      <w:r w:rsidRPr="00960C45">
        <w:rPr>
          <w:rFonts w:hint="eastAsia"/>
          <w:lang w:val="en-GB"/>
        </w:rPr>
        <w:t>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2014</w:t>
      </w:r>
      <w:r w:rsidRPr="00960C45">
        <w:rPr>
          <w:rFonts w:hint="eastAsia"/>
          <w:lang w:val="en-GB"/>
        </w:rPr>
        <w:t>年的女童和男童校内平等行动计划，以及涵盖</w:t>
      </w:r>
      <w:r w:rsidRPr="00960C45">
        <w:rPr>
          <w:rFonts w:hint="eastAsia"/>
          <w:lang w:val="en-GB"/>
        </w:rPr>
        <w:t>2013-2018</w:t>
      </w:r>
      <w:r w:rsidRPr="00960C45">
        <w:rPr>
          <w:rFonts w:hint="eastAsia"/>
          <w:lang w:val="en-GB"/>
        </w:rPr>
        <w:t>年的教育系统内女童和男童平等及男女平等部际协定；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2013</w:t>
      </w:r>
      <w:r w:rsidRPr="00960C45">
        <w:rPr>
          <w:rFonts w:hint="eastAsia"/>
          <w:lang w:val="en-GB"/>
        </w:rPr>
        <w:t>年性别平等高级理事会；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hint="eastAsia"/>
          <w:lang w:val="en-GB"/>
        </w:rPr>
        <w:t>2013</w:t>
      </w:r>
      <w:r w:rsidRPr="00960C45">
        <w:rPr>
          <w:rFonts w:hint="eastAsia"/>
          <w:lang w:val="en-GB"/>
        </w:rPr>
        <w:t>年发展妇女创业精神计划；</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e</w:t>
      </w:r>
      <w:r w:rsidR="00B11597">
        <w:rPr>
          <w:lang w:val="en-GB"/>
        </w:rPr>
        <w:t>)</w:t>
      </w:r>
      <w:r w:rsidRPr="00960C45">
        <w:rPr>
          <w:lang w:val="en-GB"/>
        </w:rPr>
        <w:tab/>
      </w:r>
      <w:r w:rsidRPr="00960C45">
        <w:rPr>
          <w:rFonts w:hint="eastAsia"/>
          <w:lang w:val="en-GB"/>
        </w:rPr>
        <w:t>2013</w:t>
      </w:r>
      <w:r w:rsidRPr="00960C45">
        <w:rPr>
          <w:rFonts w:hint="eastAsia"/>
          <w:lang w:val="en-GB"/>
        </w:rPr>
        <w:t>年保护妇女暴力受害者和打击贩运人口部际任务组。</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8.</w:t>
      </w:r>
      <w:r w:rsidRPr="00960C45">
        <w:rPr>
          <w:lang w:val="en-GB"/>
        </w:rPr>
        <w:tab/>
      </w:r>
      <w:r w:rsidRPr="00960C45">
        <w:rPr>
          <w:rFonts w:hint="eastAsia"/>
          <w:lang w:val="en-GB"/>
        </w:rPr>
        <w:t>委员会欢迎如下事实，自审议前一份报告以来，缔约国批准或加入了下列国际和地区文书：</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《儿童权利公约关于设定来文程序的任择议定书》，</w:t>
      </w:r>
      <w:r w:rsidRPr="00960C45">
        <w:rPr>
          <w:rFonts w:hint="eastAsia"/>
          <w:lang w:val="en-GB"/>
        </w:rPr>
        <w:t>2016</w:t>
      </w:r>
      <w:r w:rsidRPr="00960C45">
        <w:rPr>
          <w:rFonts w:hint="eastAsia"/>
          <w:lang w:val="en-GB"/>
        </w:rPr>
        <w:t>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《经济、社会、文化权利国际公约任择议定书》，</w:t>
      </w:r>
      <w:r w:rsidRPr="00960C45">
        <w:rPr>
          <w:rFonts w:hint="eastAsia"/>
          <w:lang w:val="en-GB"/>
        </w:rPr>
        <w:t>2015</w:t>
      </w:r>
      <w:r w:rsidRPr="00960C45">
        <w:rPr>
          <w:rFonts w:hint="eastAsia"/>
          <w:lang w:val="en-GB"/>
        </w:rPr>
        <w:t>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《残疾人权利公约》及其《任择议定书》，</w:t>
      </w:r>
      <w:r w:rsidRPr="00960C45">
        <w:rPr>
          <w:rFonts w:hint="eastAsia"/>
          <w:lang w:val="en-GB"/>
        </w:rPr>
        <w:t>2010</w:t>
      </w:r>
      <w:r w:rsidRPr="00960C45">
        <w:rPr>
          <w:rFonts w:hint="eastAsia"/>
          <w:lang w:val="en-GB"/>
        </w:rPr>
        <w:t>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hint="eastAsia"/>
          <w:lang w:val="en-GB"/>
        </w:rPr>
        <w:t>《欧</w:t>
      </w:r>
      <w:r w:rsidRPr="00B11597">
        <w:rPr>
          <w:rFonts w:hint="eastAsia"/>
          <w:spacing w:val="-4"/>
          <w:lang w:val="en-GB"/>
        </w:rPr>
        <w:t>洲委员会预防和打击暴力侵害妇女行为及家庭暴力公约》，</w:t>
      </w:r>
      <w:r w:rsidRPr="00B11597">
        <w:rPr>
          <w:rFonts w:hint="eastAsia"/>
          <w:spacing w:val="-4"/>
          <w:lang w:val="en-GB"/>
        </w:rPr>
        <w:t>2014</w:t>
      </w:r>
      <w:r w:rsidRPr="00B11597">
        <w:rPr>
          <w:rFonts w:hint="eastAsia"/>
          <w:spacing w:val="-4"/>
          <w:lang w:val="en-GB"/>
        </w:rPr>
        <w:t>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0"/>
        <w:rPr>
          <w:rFonts w:eastAsia="黑体"/>
          <w:sz w:val="24"/>
          <w:lang w:val="en-GB"/>
        </w:rPr>
      </w:pPr>
      <w:r w:rsidRPr="00960C45">
        <w:rPr>
          <w:rFonts w:eastAsia="黑体"/>
          <w:sz w:val="24"/>
          <w:lang w:val="en-GB"/>
        </w:rPr>
        <w:tab/>
        <w:t>C.</w:t>
      </w:r>
      <w:r w:rsidRPr="00960C45">
        <w:rPr>
          <w:rFonts w:eastAsia="黑体"/>
          <w:sz w:val="24"/>
          <w:lang w:val="en-GB"/>
        </w:rPr>
        <w:tab/>
      </w:r>
      <w:r w:rsidRPr="00960C45">
        <w:rPr>
          <w:rFonts w:eastAsia="黑体" w:hint="eastAsia"/>
          <w:sz w:val="24"/>
          <w:lang w:val="en-GB"/>
        </w:rPr>
        <w:t>主要关注领域和建议</w:t>
      </w: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议会</w:t>
      </w: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9.</w:t>
      </w:r>
      <w:r w:rsidRPr="00960C45">
        <w:rPr>
          <w:lang w:val="en-GB"/>
        </w:rPr>
        <w:tab/>
      </w:r>
      <w:r w:rsidRPr="00960C45">
        <w:rPr>
          <w:rFonts w:eastAsia="黑体" w:hint="eastAsia"/>
          <w:lang w:val="en-GB"/>
        </w:rPr>
        <w:t>委员会强调了立法机构在确保全面执行《公约》方面发挥的关键作用</w:t>
      </w:r>
      <w:r w:rsidR="00B11597">
        <w:rPr>
          <w:rFonts w:eastAsia="黑体" w:hint="eastAsia"/>
          <w:lang w:val="en-GB"/>
        </w:rPr>
        <w:t>(</w:t>
      </w:r>
      <w:r w:rsidRPr="00960C45">
        <w:rPr>
          <w:rFonts w:eastAsia="黑体" w:hint="eastAsia"/>
          <w:lang w:val="en-GB"/>
        </w:rPr>
        <w:t>见委员会关于其与国会议员的关系的声明，在</w:t>
      </w:r>
      <w:r w:rsidRPr="00960C45">
        <w:rPr>
          <w:rFonts w:eastAsia="黑体" w:hint="eastAsia"/>
          <w:lang w:val="en-GB"/>
        </w:rPr>
        <w:t>2010</w:t>
      </w:r>
      <w:r w:rsidRPr="00960C45">
        <w:rPr>
          <w:rFonts w:eastAsia="黑体" w:hint="eastAsia"/>
          <w:lang w:val="en-GB"/>
        </w:rPr>
        <w:t>年第四十五届会议上通过</w:t>
      </w:r>
      <w:r w:rsidR="00B11597">
        <w:rPr>
          <w:rFonts w:eastAsia="黑体" w:hint="eastAsia"/>
          <w:lang w:val="en-GB"/>
        </w:rPr>
        <w:t>)</w:t>
      </w:r>
      <w:r w:rsidRPr="00960C45">
        <w:rPr>
          <w:rFonts w:eastAsia="黑体" w:hint="eastAsia"/>
          <w:lang w:val="en-GB"/>
        </w:rPr>
        <w:t>。委员会邀请议会根据其任务授权，从现在起到下一次报告周期，依据《公约》采取必要步骤落实本结论性意见。</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难民和寻求庇护的妇女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10.</w:t>
      </w:r>
      <w:r w:rsidRPr="00960C45">
        <w:rPr>
          <w:lang w:val="en-GB"/>
        </w:rPr>
        <w:tab/>
      </w:r>
      <w:r w:rsidRPr="00960C45">
        <w:rPr>
          <w:rFonts w:hint="eastAsia"/>
          <w:lang w:val="en-GB"/>
        </w:rPr>
        <w:t>委员会欢迎</w:t>
      </w:r>
      <w:r w:rsidRPr="00960C45">
        <w:rPr>
          <w:rFonts w:hint="eastAsia"/>
          <w:lang w:val="en-GB"/>
        </w:rPr>
        <w:t>2015</w:t>
      </w:r>
      <w:r w:rsidRPr="00960C45">
        <w:rPr>
          <w:rFonts w:hint="eastAsia"/>
          <w:lang w:val="en-GB"/>
        </w:rPr>
        <w:t>年对关于庇护的法律框架的改进，为寻求庇护者分配住房、采取具体行动将某些脆弱的难民直接带至法国，以及为有需要的外国人提供医疗支助。但是，委员会关切的是，缔约国可能难以处理难民涌入问题并为他们提供体面住房，不安全的公共卫生和住房条件证明了这一点，缺乏有保障的获得食物、清洁饮用水、卫生设施、医疗服务、精神支助和法律咨询的手段，难民遭到暴力和剥削的风险高，特别是在加来的妇女和女童。委员会还关切庇护申请，尤其是来自所谓安全国家的妇女和</w:t>
      </w:r>
      <w:r w:rsidRPr="00960C45">
        <w:rPr>
          <w:rFonts w:hint="eastAsia"/>
          <w:lang w:val="en-GB"/>
        </w:rPr>
        <w:t>/</w:t>
      </w:r>
      <w:r w:rsidRPr="00960C45">
        <w:rPr>
          <w:rFonts w:hint="eastAsia"/>
          <w:lang w:val="en-GB"/>
        </w:rPr>
        <w:t>或位于等候区的妇女的申请被视为处于加速程序中，获得的保障较少，即使这些申请可以移回正常程序，以及关切安全国家名单可能在欧洲联盟内有所不同。</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11.</w:t>
      </w:r>
      <w:r w:rsidRPr="00960C45">
        <w:rPr>
          <w:lang w:val="en-GB"/>
        </w:rPr>
        <w:tab/>
      </w:r>
      <w:r w:rsidRPr="00960C45">
        <w:rPr>
          <w:rFonts w:eastAsia="黑体" w:hint="eastAsia"/>
          <w:lang w:val="en-GB"/>
        </w:rPr>
        <w:t>委员会依据其关于妇女的难民地位、庇护、国籍和无国籍状态与性别相关方面的第</w:t>
      </w:r>
      <w:r w:rsidRPr="00960C45">
        <w:rPr>
          <w:rFonts w:eastAsia="黑体" w:hint="eastAsia"/>
          <w:lang w:val="en-GB"/>
        </w:rPr>
        <w:t>32</w:t>
      </w:r>
      <w:r w:rsidR="00B11597">
        <w:rPr>
          <w:rFonts w:eastAsia="黑体" w:hint="eastAsia"/>
          <w:lang w:val="en-GB"/>
        </w:rPr>
        <w:t>(</w:t>
      </w:r>
      <w:r w:rsidRPr="00960C45">
        <w:rPr>
          <w:rFonts w:eastAsia="黑体"/>
          <w:lang w:val="en-GB"/>
        </w:rPr>
        <w:t>2014</w:t>
      </w:r>
      <w:r w:rsidR="00B11597">
        <w:rPr>
          <w:rFonts w:eastAsia="黑体" w:hint="eastAsia"/>
          <w:lang w:val="en-GB"/>
        </w:rPr>
        <w:t>)</w:t>
      </w:r>
      <w:r w:rsidRPr="00960C45">
        <w:rPr>
          <w:rFonts w:eastAsia="黑体" w:hint="eastAsia"/>
          <w:lang w:val="en-GB"/>
        </w:rPr>
        <w:t>号一般性建议以及关于冲突预防、冲突及冲突情况下的妇女问题的第</w:t>
      </w:r>
      <w:r w:rsidRPr="00960C45">
        <w:rPr>
          <w:rFonts w:eastAsia="黑体"/>
          <w:lang w:val="en-GB"/>
        </w:rPr>
        <w:t>30</w:t>
      </w:r>
      <w:r w:rsidR="00B11597">
        <w:rPr>
          <w:rFonts w:eastAsia="黑体" w:hint="eastAsia"/>
          <w:lang w:val="en-GB"/>
        </w:rPr>
        <w:t>(</w:t>
      </w:r>
      <w:r w:rsidRPr="00960C45">
        <w:rPr>
          <w:rFonts w:eastAsia="黑体"/>
          <w:lang w:val="en-GB"/>
        </w:rPr>
        <w:t>2013</w:t>
      </w:r>
      <w:r w:rsidR="00B11597">
        <w:rPr>
          <w:rFonts w:eastAsia="黑体" w:hint="eastAsia"/>
          <w:lang w:val="en-GB"/>
        </w:rPr>
        <w:t>)</w:t>
      </w:r>
      <w:r w:rsidRPr="00960C45">
        <w:rPr>
          <w:rFonts w:eastAsia="黑体" w:hint="eastAsia"/>
          <w:lang w:val="en-GB"/>
        </w:rPr>
        <w:t>号一般性建议，促请缔约国：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spacing w:val="-4"/>
          <w:lang w:val="en-GB"/>
        </w:rPr>
      </w:pPr>
      <w:r w:rsidRPr="00960C45">
        <w:rPr>
          <w:spacing w:val="-4"/>
          <w:lang w:val="en-GB"/>
        </w:rPr>
        <w:tab/>
      </w:r>
      <w:r w:rsidR="00B11597">
        <w:rPr>
          <w:spacing w:val="-4"/>
          <w:lang w:val="en-GB"/>
        </w:rPr>
        <w:t>(</w:t>
      </w:r>
      <w:r w:rsidRPr="00960C45">
        <w:rPr>
          <w:spacing w:val="-4"/>
          <w:lang w:val="en-GB"/>
        </w:rPr>
        <w:t>a</w:t>
      </w:r>
      <w:r w:rsidR="00B11597">
        <w:rPr>
          <w:spacing w:val="-4"/>
          <w:lang w:val="en-GB"/>
        </w:rPr>
        <w:t>)</w:t>
      </w:r>
      <w:r w:rsidRPr="00960C45">
        <w:rPr>
          <w:spacing w:val="-4"/>
          <w:lang w:val="en-GB"/>
        </w:rPr>
        <w:tab/>
      </w:r>
      <w:r w:rsidRPr="00960C45">
        <w:rPr>
          <w:rFonts w:eastAsia="黑体" w:hint="eastAsia"/>
          <w:spacing w:val="-4"/>
          <w:lang w:val="en-GB"/>
        </w:rPr>
        <w:t>依据关于寻求庇护者和难民的国际法执行其义务，诸如不驱回原则；</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在接收当前难民流入和审查庇护要求时采取对性别敏感的办法，从而确保作为优先事项解决抵达缔约国的寻求庇护和难民妇女和女童的需求；</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eastAsia="黑体" w:hint="eastAsia"/>
          <w:lang w:val="en-GB"/>
        </w:rPr>
        <w:t>确保全面审查妇女的庇护申请，当满足有待制定的明确标准时和当加速程序的广泛判断余地收窄时，将被视为处于加速程序中的案件移回正常程序；</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eastAsia="黑体" w:hint="eastAsia"/>
          <w:lang w:val="en-GB"/>
        </w:rPr>
        <w:t>鉴于安全国家名单的不确定性，对其使用情况进行审查。</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立法框架和诉诸法律</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12.</w:t>
      </w:r>
      <w:r w:rsidRPr="00960C45">
        <w:rPr>
          <w:lang w:val="en-GB"/>
        </w:rPr>
        <w:tab/>
      </w:r>
      <w:r w:rsidRPr="00960C45">
        <w:rPr>
          <w:rFonts w:hint="eastAsia"/>
          <w:lang w:val="en-GB"/>
        </w:rPr>
        <w:t>委员会赞赏缔约国详尽的反歧视法律框架，特别是鉴于在</w:t>
      </w:r>
      <w:r w:rsidRPr="00960C45">
        <w:rPr>
          <w:rFonts w:hint="eastAsia"/>
          <w:lang w:val="en-GB"/>
        </w:rPr>
        <w:t>2014</w:t>
      </w:r>
      <w:r w:rsidRPr="00960C45">
        <w:rPr>
          <w:rFonts w:hint="eastAsia"/>
          <w:lang w:val="en-GB"/>
        </w:rPr>
        <w:t>年通过关于男女实质性平等的第</w:t>
      </w:r>
      <w:r w:rsidRPr="00960C45">
        <w:rPr>
          <w:rFonts w:hint="eastAsia"/>
          <w:lang w:val="en-GB"/>
        </w:rPr>
        <w:t>2014-873</w:t>
      </w:r>
      <w:r w:rsidRPr="00960C45">
        <w:rPr>
          <w:rFonts w:hint="eastAsia"/>
          <w:lang w:val="en-GB"/>
        </w:rPr>
        <w:t>号法令，还赞扬负责监督该框架的强大机构。委员会也欢迎各种法律草案提出的关于法律框架的重要改进</w:t>
      </w:r>
      <w:r w:rsidR="00B11597">
        <w:rPr>
          <w:rFonts w:hint="eastAsia"/>
          <w:lang w:val="en-GB"/>
        </w:rPr>
        <w:t>(</w:t>
      </w:r>
      <w:r w:rsidRPr="00960C45">
        <w:rPr>
          <w:rFonts w:hint="eastAsia"/>
          <w:lang w:val="en-GB"/>
        </w:rPr>
        <w:t>在平等和公民身份以及司法现代化方面</w:t>
      </w:r>
      <w:r w:rsidR="00B11597">
        <w:rPr>
          <w:rFonts w:hint="eastAsia"/>
          <w:lang w:val="en-GB"/>
        </w:rPr>
        <w:t>)</w:t>
      </w:r>
      <w:r w:rsidRPr="00960C45">
        <w:rPr>
          <w:rFonts w:hint="eastAsia"/>
          <w:lang w:val="en-GB"/>
        </w:rPr>
        <w:t>。但委员会关切的是：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缔约国的反歧视立法的效果有限；</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缔约国不了解《公约》及其《任择议定书》，包括律师、法官和其他法律专业人士对《公约》的了解也不够，法院裁定中未提及《公约》</w:t>
      </w:r>
      <w:r w:rsidR="00B11597">
        <w:rPr>
          <w:rFonts w:hint="eastAsia"/>
          <w:lang w:val="en-GB"/>
        </w:rPr>
        <w:t>(</w:t>
      </w:r>
      <w:r w:rsidRPr="00960C45">
        <w:rPr>
          <w:rFonts w:hint="eastAsia"/>
          <w:lang w:val="en-GB"/>
        </w:rPr>
        <w:t>除了诉诸最高上诉法院或行政法院的一些行政或刑事案件外</w:t>
      </w:r>
      <w:r w:rsidR="00B11597">
        <w:rPr>
          <w:rFonts w:hint="eastAsia"/>
          <w:lang w:val="en-GB"/>
        </w:rPr>
        <w:t>)</w:t>
      </w:r>
      <w:r w:rsidRPr="00960C45">
        <w:rPr>
          <w:rFonts w:hint="eastAsia"/>
          <w:lang w:val="en-GB"/>
        </w:rPr>
        <w:t>，缺乏关于《公约》、性别平等和包括交叉形式的歧视在内的性别歧视的系统性认识提高和司法专业人员培训；</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由于不了解《公约》和《任择议定书》、费用、诉讼长度，缺乏法律援助，主张权利的妇女面临困难，对处于脆弱和贫困境况的妇女造成不相称的影响，并且交叉形式的歧视案件没有得到充分审理，因此阻碍了全面赔偿；</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hint="eastAsia"/>
          <w:lang w:val="en-GB"/>
        </w:rPr>
        <w:t>在缔约国整个领土，特别是在非都市区不平等地适用反歧视法律；</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e</w:t>
      </w:r>
      <w:r w:rsidR="00B11597">
        <w:rPr>
          <w:lang w:val="en-GB"/>
        </w:rPr>
        <w:t>)</w:t>
      </w:r>
      <w:r w:rsidRPr="00960C45">
        <w:rPr>
          <w:lang w:val="en-GB"/>
        </w:rPr>
        <w:tab/>
      </w:r>
      <w:r w:rsidRPr="00960C45">
        <w:rPr>
          <w:rFonts w:hint="eastAsia"/>
          <w:lang w:val="en-GB"/>
        </w:rPr>
        <w:t>法律中缺少关于性骚扰的全面定义，在工作场所以外犯下的性骚扰案件得不到民事补救；</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f</w:t>
      </w:r>
      <w:r w:rsidR="00B11597">
        <w:rPr>
          <w:lang w:val="en-GB"/>
        </w:rPr>
        <w:t>)</w:t>
      </w:r>
      <w:r w:rsidRPr="00960C45">
        <w:rPr>
          <w:lang w:val="en-GB"/>
        </w:rPr>
        <w:tab/>
      </w:r>
      <w:r w:rsidRPr="00960C45">
        <w:rPr>
          <w:rFonts w:hint="eastAsia"/>
          <w:lang w:val="en-GB"/>
        </w:rPr>
        <w:t>未充分将禁止交叉形式的歧视纳入公共政策。</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spacing w:val="-2"/>
          <w:kern w:val="0"/>
          <w:lang w:val="en-GB"/>
        </w:rPr>
      </w:pPr>
      <w:r w:rsidRPr="00960C45">
        <w:rPr>
          <w:spacing w:val="-2"/>
          <w:kern w:val="0"/>
          <w:lang w:val="en-GB"/>
        </w:rPr>
        <w:t>13.</w:t>
      </w:r>
      <w:r w:rsidRPr="00960C45">
        <w:rPr>
          <w:spacing w:val="-2"/>
          <w:kern w:val="0"/>
          <w:lang w:val="en-GB"/>
        </w:rPr>
        <w:tab/>
      </w:r>
      <w:r w:rsidRPr="00960C45">
        <w:rPr>
          <w:rFonts w:eastAsia="黑体" w:hint="eastAsia"/>
          <w:spacing w:val="-2"/>
          <w:kern w:val="0"/>
          <w:lang w:val="en-GB"/>
        </w:rPr>
        <w:t>依据关于妇女诉诸法律的第</w:t>
      </w:r>
      <w:r w:rsidRPr="00960C45">
        <w:rPr>
          <w:rFonts w:eastAsia="黑体" w:hint="eastAsia"/>
          <w:spacing w:val="-2"/>
          <w:kern w:val="0"/>
          <w:lang w:val="en-GB"/>
        </w:rPr>
        <w:t>33</w:t>
      </w:r>
      <w:r w:rsidR="00B11597">
        <w:rPr>
          <w:rFonts w:eastAsia="黑体" w:hint="eastAsia"/>
          <w:spacing w:val="-2"/>
          <w:kern w:val="0"/>
          <w:lang w:val="en-GB"/>
        </w:rPr>
        <w:t>(</w:t>
      </w:r>
      <w:r w:rsidRPr="00960C45">
        <w:rPr>
          <w:rFonts w:eastAsia="黑体" w:hint="eastAsia"/>
          <w:spacing w:val="-2"/>
          <w:kern w:val="0"/>
          <w:lang w:val="en-GB"/>
        </w:rPr>
        <w:t>2015</w:t>
      </w:r>
      <w:r w:rsidR="00B11597">
        <w:rPr>
          <w:rFonts w:eastAsia="黑体" w:hint="eastAsia"/>
          <w:spacing w:val="-2"/>
          <w:kern w:val="0"/>
          <w:lang w:val="en-GB"/>
        </w:rPr>
        <w:t>)</w:t>
      </w:r>
      <w:r w:rsidRPr="00960C45">
        <w:rPr>
          <w:rFonts w:eastAsia="黑体" w:hint="eastAsia"/>
          <w:spacing w:val="-2"/>
          <w:kern w:val="0"/>
          <w:lang w:val="en-GB"/>
        </w:rPr>
        <w:t>号一般性建议，委员会建议缔约国：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正如关于二十一世纪司法现代化的法律草案所计划的，引入小组行动，使其向共同关注性歧视的特设人员小组开放，设立基金以支持这类要求，以便减轻妇女的财政负担；</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eastAsia="黑体" w:hint="eastAsia"/>
          <w:lang w:val="en-GB"/>
        </w:rPr>
        <w:tab/>
      </w:r>
      <w:r w:rsidRPr="00960C45">
        <w:rPr>
          <w:rFonts w:eastAsia="黑体" w:hint="eastAsia"/>
          <w:lang w:val="en-GB"/>
        </w:rPr>
        <w:t>加速通过关于二十一世纪司法现代化的法律草案，简化原告，特别是交叉形式歧视的受害妇女的法律途径，协调违反反歧视法律的处罚和赔偿计划，为联合解决多重原因的歧视提供可能性；</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eastAsia="黑体" w:hint="eastAsia"/>
          <w:lang w:val="en-GB"/>
        </w:rPr>
        <w:tab/>
      </w:r>
      <w:r w:rsidRPr="00960C45">
        <w:rPr>
          <w:rFonts w:eastAsia="黑体" w:hint="eastAsia"/>
          <w:lang w:val="en-GB"/>
        </w:rPr>
        <w:t>确保法院充分处理交叉形式的歧视，为司法人员和律师提供培训，使他们能够处理并考虑到主张权利的原告的各种理由；</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eastAsia="黑体" w:hint="eastAsia"/>
          <w:lang w:val="en-GB"/>
        </w:rPr>
        <w:tab/>
      </w:r>
      <w:r w:rsidRPr="00960C45">
        <w:rPr>
          <w:rFonts w:eastAsia="黑体" w:hint="eastAsia"/>
          <w:lang w:val="en-GB"/>
        </w:rPr>
        <w:t>促进面向法官、检察官和律师和诸如执法官员、社会服务和庇护服务等其他专业人员的关于《公约》和《任择议定书》的额外能力建设方案；</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eastAsia="黑体" w:hint="eastAsia"/>
          <w:lang w:val="en-GB"/>
        </w:rPr>
        <w:tab/>
      </w:r>
      <w:r w:rsidRPr="00960C45">
        <w:rPr>
          <w:rFonts w:eastAsia="黑体" w:hint="eastAsia"/>
          <w:lang w:val="en-GB"/>
        </w:rPr>
        <w:t>执行权利维护者关于在有关平等和公民身份的法律草案中引入明确和准确的性骚扰定义和在有关二十一世纪司法现代化的法律草案中纳入法律条款的建议，使得能够在工作场所以外犯下的性骚扰案件中提供民事救济，并规定调整举证责任；</w:t>
      </w:r>
    </w:p>
    <w:p w:rsidR="00960C45" w:rsidRPr="00B11597"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eastAsia="黑体" w:hint="eastAsia"/>
          <w:lang w:val="en-GB"/>
        </w:rPr>
        <w:tab/>
      </w:r>
      <w:r w:rsidRPr="00960C45">
        <w:rPr>
          <w:rFonts w:eastAsia="黑体" w:hint="eastAsia"/>
          <w:lang w:val="en-GB"/>
        </w:rPr>
        <w:t>在重新分配关于平等和公民身份的法律草案规定的管辖权之后，确保地方政府，特别是非都市区的地方政府，有能力全面执行性别平等立法以及诸如计划和方案等其他措施。</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提高妇女地位的国家机制和性别问题主流化</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14.</w:t>
      </w:r>
      <w:r w:rsidRPr="00960C45">
        <w:rPr>
          <w:lang w:val="en-GB"/>
        </w:rPr>
        <w:tab/>
      </w:r>
      <w:r w:rsidRPr="00960C45">
        <w:rPr>
          <w:rFonts w:hint="eastAsia"/>
          <w:lang w:val="en-GB"/>
        </w:rPr>
        <w:t>委员会欢迎在</w:t>
      </w:r>
      <w:r w:rsidRPr="00960C45">
        <w:rPr>
          <w:rFonts w:hint="eastAsia"/>
          <w:lang w:val="en-GB"/>
        </w:rPr>
        <w:t>2013</w:t>
      </w:r>
      <w:r w:rsidRPr="00960C45">
        <w:rPr>
          <w:rFonts w:hint="eastAsia"/>
          <w:lang w:val="en-GB"/>
        </w:rPr>
        <w:t>年成立专门促进性别平等的性别平等高级理事会，作为总理办公室下的咨询机构。委员会赞赏高级理事会、权利维护者和国家人权协商委员会发挥的重要作用。还注意到部际委员会和高级性别顾问的复杂结构，特别是在大区和非都市区。但委员会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国家性别平等机制的地位和关注重点发生变化，从完整的部委降级为国家秘书处，然后作为新的家庭、儿童和妇女权利部下属部门恢复了部委级别；这些变化造成了不确定性，可被解读为在</w:t>
      </w:r>
      <w:r w:rsidRPr="00960C45">
        <w:rPr>
          <w:lang w:val="en-GB"/>
        </w:rPr>
        <w:t>以</w:t>
      </w:r>
      <w:r w:rsidRPr="00960C45">
        <w:rPr>
          <w:rFonts w:hint="eastAsia"/>
          <w:lang w:val="en-GB"/>
        </w:rPr>
        <w:t>妇女人权为</w:t>
      </w:r>
      <w:r w:rsidRPr="00960C45">
        <w:rPr>
          <w:lang w:val="en-GB"/>
        </w:rPr>
        <w:t>核心</w:t>
      </w:r>
      <w:r w:rsidRPr="00960C45">
        <w:rPr>
          <w:rFonts w:hint="eastAsia"/>
          <w:lang w:val="en-GB"/>
        </w:rPr>
        <w:t>方面的退步；</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相较于需要明确和连贯地协调和管理性别问题主流化努力，国家机制的组织架构复杂，并且缺乏全面的监督和影响评价措施；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向提高妇女地位的国家机制拨付的用于在领土全境</w:t>
      </w:r>
      <w:r w:rsidRPr="00960C45">
        <w:rPr>
          <w:lang w:val="en-GB"/>
        </w:rPr>
        <w:t>内</w:t>
      </w:r>
      <w:r w:rsidRPr="00960C45">
        <w:rPr>
          <w:rFonts w:hint="eastAsia"/>
          <w:lang w:val="en-GB"/>
        </w:rPr>
        <w:t>所有区域和所有政府级别有效协调性别平等计划、政策和方案的人力、技术和财政资源不足；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hint="eastAsia"/>
          <w:lang w:val="en-GB"/>
        </w:rPr>
        <w:t>未明确规定性别平等高级理事会、权利维护者和国家人权协商委员会的法定职能和权力；相较于权利维护者和国家人权协商委员会，分配给高级理事会的人力、技术和财政资源非常有限。</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15.</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确保继续由拥有强大任务授权以及在所有区域、所有政府级别有效协调性别平等计划、政策和方案所必需的人力、技术和财政资源的完整部委来处理性别平等问题；</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加强监督机制以全面和定期评估性别平等计划、政策和方案的执行进展，并评估这些努力的影响，以期采取补救行为；</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eastAsia="黑体" w:hint="eastAsia"/>
          <w:lang w:val="en-GB"/>
        </w:rPr>
        <w:t>加强在市和大区一级执行性别平等政策，确保所有相关政府机构的执行工作得到持续指导和支助，包括足够的人力、技术和财政资源；</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eastAsia="黑体" w:hint="eastAsia"/>
          <w:lang w:val="en-GB"/>
        </w:rPr>
        <w:t>向性别平等高级理事会分配足够的人力、技术和财政资源，以使其能够履行任务授权，加速通过关于平等和公民身份的法律草案，从而确立和确保高级理事会在机构形势方面的可持续性，并确保其他两个机构也获得必要手段，特别是，鉴于国家人权协商委员会得到的新职能</w:t>
      </w:r>
      <w:r w:rsidR="00B11597">
        <w:rPr>
          <w:rFonts w:eastAsia="黑体" w:hint="eastAsia"/>
          <w:lang w:val="en-GB"/>
        </w:rPr>
        <w:t>(</w:t>
      </w:r>
      <w:r w:rsidRPr="00960C45">
        <w:rPr>
          <w:rFonts w:eastAsia="黑体" w:hint="eastAsia"/>
          <w:lang w:val="en-GB"/>
        </w:rPr>
        <w:t>人口贩运和剥削问题报告员</w:t>
      </w:r>
      <w:r w:rsidR="00B11597">
        <w:rPr>
          <w:rFonts w:eastAsia="黑体" w:hint="eastAsia"/>
          <w:lang w:val="en-GB"/>
        </w:rPr>
        <w:t>)</w:t>
      </w:r>
      <w:r w:rsidRPr="00960C45">
        <w:rPr>
          <w:rFonts w:eastAsia="黑体" w:hint="eastAsia"/>
          <w:lang w:val="en-GB"/>
        </w:rPr>
        <w:t>，使其能够充分发挥作用。</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暂行特别措施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16.</w:t>
      </w:r>
      <w:r w:rsidRPr="00960C45">
        <w:rPr>
          <w:lang w:val="en-GB"/>
        </w:rPr>
        <w:tab/>
      </w:r>
      <w:r w:rsidRPr="00960C45">
        <w:rPr>
          <w:rFonts w:hint="eastAsia"/>
          <w:lang w:val="en-GB"/>
        </w:rPr>
        <w:t>促进所有议会的选举制度及所有公务员和公共部门高级别职位方面的性别均等，以及促进妇女参与上市公司董事会的详尽法律框架实际上不是暂行特别措施，委员会对此表示欢迎。委员会仍关切的是属于处境不利群体的妇女和女童在政治生活、教育、就业和卫生领域的脆弱状况。</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17.</w:t>
      </w:r>
      <w:r w:rsidRPr="00960C45">
        <w:rPr>
          <w:lang w:val="en-GB"/>
        </w:rPr>
        <w:tab/>
      </w:r>
      <w:r w:rsidRPr="00960C45">
        <w:rPr>
          <w:rFonts w:eastAsia="黑体" w:hint="eastAsia"/>
          <w:lang w:val="en-GB"/>
        </w:rPr>
        <w:t>委员会建议缔约国利用暂行特别措施解决属于处境不利的妇女在诸如政治生活、教育、就业和卫生领域的迫切需求。</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陈规定型观念和有害习俗</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18.</w:t>
      </w:r>
      <w:r w:rsidRPr="00960C45">
        <w:rPr>
          <w:lang w:val="en-GB"/>
        </w:rPr>
        <w:tab/>
      </w:r>
      <w:r w:rsidRPr="00960C45">
        <w:rPr>
          <w:rFonts w:hint="eastAsia"/>
          <w:lang w:val="en-GB"/>
        </w:rPr>
        <w:t>委员会欢迎缔约国努力打击歧视性的性别定型观念，包括通过提倡分担家务和育儿责任，特别是消除媒体中对妇女的定型描述，包括为此规定广播许可证和加强音像事务高级理事会的作用。委员会还欢迎为打击各种有害习俗而采取的立法和其他措施，包括童婚和强迫婚姻，残割女性生殖器以及以所谓名誉为名的犯罪。但是，委员会关注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关于妇女和男性在家庭和社会中的角色和责任的歧视性定型观念在缔约国持续存在；</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hint="eastAsia"/>
          <w:lang w:val="en-GB"/>
        </w:rPr>
        <w:tab/>
      </w:r>
      <w:r w:rsidRPr="00960C45">
        <w:rPr>
          <w:rFonts w:hint="eastAsia"/>
          <w:lang w:val="en-GB"/>
        </w:rPr>
        <w:t>由于其性别和宗教的交叉因素，穆斯林妇女和女童面临歧视和仇视伊斯兰和</w:t>
      </w:r>
      <w:r w:rsidRPr="00960C45">
        <w:rPr>
          <w:rFonts w:hint="eastAsia"/>
          <w:lang w:val="en-GB"/>
        </w:rPr>
        <w:t>/</w:t>
      </w:r>
      <w:r w:rsidRPr="00960C45">
        <w:rPr>
          <w:rFonts w:hint="eastAsia"/>
          <w:lang w:val="en-GB"/>
        </w:rPr>
        <w:t>或反穆斯林行为的风险更大，当前的社会和政治背景加剧了歧视风险；</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hint="eastAsia"/>
          <w:lang w:val="en-GB"/>
        </w:rPr>
        <w:tab/>
      </w:r>
      <w:r w:rsidRPr="00960C45">
        <w:rPr>
          <w:rFonts w:hint="eastAsia"/>
          <w:lang w:val="en-GB"/>
        </w:rPr>
        <w:t>媒体和广告部门继续传递有关妇女的陈规定型和具有性别</w:t>
      </w:r>
      <w:r w:rsidRPr="00960C45">
        <w:rPr>
          <w:lang w:val="en-GB"/>
        </w:rPr>
        <w:t>特征的</w:t>
      </w:r>
      <w:r w:rsidRPr="00960C45">
        <w:rPr>
          <w:rFonts w:hint="eastAsia"/>
          <w:lang w:val="en-GB"/>
        </w:rPr>
        <w:t>形象；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hint="eastAsia"/>
          <w:lang w:val="en-GB"/>
        </w:rPr>
        <w:t>缔约国色情制品泛滥和所谓公共领域性别特征化可能加剧性骚扰和基于性别的暴力侵害妇女和女童行为；</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hint="eastAsia"/>
          <w:lang w:val="en-GB"/>
        </w:rPr>
        <w:t>许多妇女不易获得关于缔约国的有害做法以及对抗这些做法的方式的资料；</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hint="eastAsia"/>
          <w:lang w:val="en-GB"/>
        </w:rPr>
        <w:tab/>
      </w:r>
      <w:r w:rsidRPr="00960C45">
        <w:rPr>
          <w:rFonts w:hint="eastAsia"/>
          <w:lang w:val="en-GB"/>
        </w:rPr>
        <w:t>正如儿童权利委员会和禁止酷刑委员会指出，通常对双性儿童进行医疗上不必要和不可逆的手术以及其他治疗。</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19.</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通过一项综合战略，以纠正或消除歧视妇女的重男轻女态度和陈规定型观念，特别关注属于少数群体的妇女，她们常常是仇恨言论和出于种族动机的暴力行为的目标。该战略应包括监测以评估所采取措施的影响，并便利设计补救行动，以确保其社会融合；</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打击对属于种族、民族、国家和宗教少数群体的妇女和女童，包括生活在敏感城市区域的妇女和女童的一切形式歧视行为，确保她们平等获得保健和教育、就业、住房以及公共和政治舞台，并加强共同和谐生活的意愿和能力；</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eastAsia="黑体" w:hint="eastAsia"/>
          <w:lang w:val="en-GB"/>
        </w:rPr>
        <w:t>与相关行为者协作并采取创新措施，包括必要时实施更严格的条</w:t>
      </w:r>
      <w:r w:rsidRPr="00960C45">
        <w:rPr>
          <w:rFonts w:eastAsia="黑体" w:hint="eastAsia"/>
          <w:lang w:val="en-GB"/>
        </w:rPr>
        <w:t xml:space="preserve"> </w:t>
      </w:r>
      <w:r w:rsidRPr="00960C45">
        <w:rPr>
          <w:rFonts w:eastAsia="黑体" w:hint="eastAsia"/>
          <w:lang w:val="en-GB"/>
        </w:rPr>
        <w:t>例，以促进媒体和广告对妇女进行正面和非定型的刻画；</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eastAsia="黑体" w:hint="eastAsia"/>
          <w:lang w:val="en-GB"/>
        </w:rPr>
        <w:tab/>
      </w:r>
      <w:r w:rsidRPr="00960C45">
        <w:rPr>
          <w:rFonts w:eastAsia="黑体" w:hint="eastAsia"/>
          <w:lang w:val="en-GB"/>
        </w:rPr>
        <w:t>研究缔约国媒体对女童和妇女过于性别特征化的表现以及色情制品泛滥可能对基于性别的暴力侵害妇女行为增加产生的影响；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eastAsia="黑体" w:hint="eastAsia"/>
          <w:lang w:val="en-GB"/>
        </w:rPr>
        <w:t>系统收集有关缔约国有害习俗的分类数据；</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eastAsia="黑体" w:hint="eastAsia"/>
          <w:lang w:val="en-GB"/>
        </w:rPr>
        <w:tab/>
      </w:r>
      <w:r w:rsidRPr="00960C45">
        <w:rPr>
          <w:rFonts w:eastAsia="黑体" w:hint="eastAsia"/>
          <w:lang w:val="en-GB"/>
        </w:rPr>
        <w:t>针对双性儿童制定并实施一项基于权利的医疗保健议定书，确保儿童及其父母适当知悉所有备选办法；确保让儿童尽可能参与关于其医疗干预的决策，确保其选择得到尊重；并确保儿童不接受不必要的手术或治疗，如禁止酷刑委员会</w:t>
      </w:r>
      <w:r w:rsidR="00B11597">
        <w:rPr>
          <w:rFonts w:eastAsia="黑体" w:hint="eastAsia"/>
          <w:lang w:val="en-GB"/>
        </w:rPr>
        <w:t>(</w:t>
      </w:r>
      <w:r w:rsidRPr="00960C45">
        <w:rPr>
          <w:rFonts w:eastAsia="黑体" w:hint="eastAsia"/>
          <w:lang w:val="en-GB"/>
        </w:rPr>
        <w:t>见</w:t>
      </w:r>
      <w:hyperlink r:id="rId21" w:history="1">
        <w:r w:rsidRPr="00960C45">
          <w:rPr>
            <w:rFonts w:eastAsia="黑体"/>
            <w:color w:val="0000FF"/>
            <w:lang w:val="en-GB"/>
          </w:rPr>
          <w:t>CAT/C/FRA/CO/7</w:t>
        </w:r>
      </w:hyperlink>
      <w:r w:rsidRPr="00960C45">
        <w:rPr>
          <w:rFonts w:eastAsia="黑体" w:hint="eastAsia"/>
          <w:lang w:val="en-GB"/>
        </w:rPr>
        <w:t>，第</w:t>
      </w:r>
      <w:r w:rsidRPr="00960C45">
        <w:rPr>
          <w:rFonts w:eastAsia="黑体" w:hint="eastAsia"/>
          <w:lang w:val="en-GB"/>
        </w:rPr>
        <w:t>35</w:t>
      </w:r>
      <w:r w:rsidRPr="00960C45">
        <w:rPr>
          <w:rFonts w:eastAsia="黑体" w:hint="eastAsia"/>
          <w:lang w:val="en-GB"/>
        </w:rPr>
        <w:t>段</w:t>
      </w:r>
      <w:r w:rsidR="00B11597">
        <w:rPr>
          <w:rFonts w:eastAsia="黑体" w:hint="eastAsia"/>
          <w:lang w:val="en-GB"/>
        </w:rPr>
        <w:t>)</w:t>
      </w:r>
      <w:r w:rsidRPr="00960C45">
        <w:rPr>
          <w:rFonts w:eastAsia="黑体" w:hint="eastAsia"/>
          <w:lang w:val="en-GB"/>
        </w:rPr>
        <w:t>和儿童权利委员会</w:t>
      </w:r>
      <w:r w:rsidR="00B11597">
        <w:rPr>
          <w:rFonts w:eastAsia="黑体" w:hint="eastAsia"/>
          <w:lang w:val="en-GB"/>
        </w:rPr>
        <w:t>(</w:t>
      </w:r>
      <w:r w:rsidRPr="00960C45">
        <w:rPr>
          <w:rFonts w:eastAsia="黑体" w:hint="eastAsia"/>
          <w:lang w:val="en-GB"/>
        </w:rPr>
        <w:t>见</w:t>
      </w:r>
      <w:hyperlink r:id="rId22" w:history="1">
        <w:r w:rsidRPr="00960C45">
          <w:rPr>
            <w:rFonts w:eastAsia="黑体"/>
            <w:color w:val="0000FF"/>
            <w:lang w:val="en-GB"/>
          </w:rPr>
          <w:t>CRC/C/FRA/CO/5</w:t>
        </w:r>
      </w:hyperlink>
      <w:r w:rsidRPr="00960C45">
        <w:rPr>
          <w:rFonts w:eastAsia="黑体" w:hint="eastAsia"/>
          <w:lang w:val="en-GB"/>
        </w:rPr>
        <w:t>，第</w:t>
      </w:r>
      <w:r w:rsidRPr="00960C45">
        <w:rPr>
          <w:rFonts w:eastAsia="黑体" w:hint="eastAsia"/>
          <w:lang w:val="en-GB"/>
        </w:rPr>
        <w:t>48</w:t>
      </w:r>
      <w:r w:rsidRPr="00960C45">
        <w:rPr>
          <w:rFonts w:eastAsia="黑体" w:hint="eastAsia"/>
          <w:lang w:val="en-GB"/>
        </w:rPr>
        <w:t>段</w:t>
      </w:r>
      <w:r w:rsidR="00B11597">
        <w:rPr>
          <w:rFonts w:eastAsia="黑体" w:hint="eastAsia"/>
          <w:lang w:val="en-GB"/>
        </w:rPr>
        <w:t>)</w:t>
      </w:r>
      <w:r w:rsidRPr="00960C45">
        <w:rPr>
          <w:rFonts w:eastAsia="黑体" w:hint="eastAsia"/>
          <w:lang w:val="en-GB"/>
        </w:rPr>
        <w:t>最近的建议。</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基于性别的暴力侵害妇女行为</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20.</w:t>
      </w:r>
      <w:r w:rsidRPr="00960C45">
        <w:rPr>
          <w:lang w:val="en-GB"/>
        </w:rPr>
        <w:tab/>
      </w:r>
      <w:r w:rsidRPr="00960C45">
        <w:rPr>
          <w:rFonts w:hint="eastAsia"/>
          <w:lang w:val="en-GB"/>
        </w:rPr>
        <w:t>委员会赞扬缔约国为解决基于性别的暴力侵害妇女行为而作出的努力。委员会注意到，缔约国目前正在制定部委间第五个防止和打击暴力侵害妇女计划</w:t>
      </w:r>
      <w:r w:rsidR="00B11597">
        <w:rPr>
          <w:rFonts w:hint="eastAsia"/>
          <w:lang w:val="en-GB"/>
        </w:rPr>
        <w:t>(</w:t>
      </w:r>
      <w:r w:rsidRPr="00960C45">
        <w:rPr>
          <w:rFonts w:hint="eastAsia"/>
          <w:lang w:val="en-GB"/>
        </w:rPr>
        <w:t>2016-2018</w:t>
      </w:r>
      <w:r w:rsidRPr="00960C45">
        <w:rPr>
          <w:rFonts w:hint="eastAsia"/>
          <w:lang w:val="en-GB"/>
        </w:rPr>
        <w:t>年</w:t>
      </w:r>
      <w:r w:rsidR="00B11597">
        <w:rPr>
          <w:rFonts w:hint="eastAsia"/>
          <w:lang w:val="en-GB"/>
        </w:rPr>
        <w:t>)</w:t>
      </w:r>
      <w:r w:rsidRPr="00960C45">
        <w:rPr>
          <w:rFonts w:hint="eastAsia"/>
          <w:lang w:val="en-GB"/>
        </w:rPr>
        <w:t>。然而，委员会深感关切的是，尽管采取了措施，但仍缺乏具体成果，且缔约国基于性别的暴力侵害妇女行为的发生率仍然很高。委员会还感到关切的是：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基于性别的暴力侵害妇女案件，包括强奸案件的告发率很低，起诉率和定罪率也很低，导致对犯罪者有罪不罚的现象；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rFonts w:hint="eastAsia"/>
          <w:lang w:val="en-GB"/>
        </w:rPr>
        <w:t>b</w:t>
      </w:r>
      <w:r w:rsidR="00B11597">
        <w:rPr>
          <w:lang w:val="en-GB"/>
        </w:rPr>
        <w:t>)</w:t>
      </w:r>
      <w:r w:rsidRPr="00960C45">
        <w:rPr>
          <w:lang w:val="en-GB"/>
        </w:rPr>
        <w:tab/>
      </w:r>
      <w:r w:rsidRPr="00960C45">
        <w:rPr>
          <w:rFonts w:hint="eastAsia"/>
          <w:lang w:val="en-GB"/>
        </w:rPr>
        <w:t>种族主义、仇外、反穆斯林和性别歧视行为交叉的基于性别的暴力侵害妇女和女童行为的影响；</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hint="eastAsia"/>
          <w:lang w:val="en-GB"/>
        </w:rPr>
        <w:tab/>
      </w:r>
      <w:r w:rsidRPr="00960C45">
        <w:rPr>
          <w:rFonts w:hint="eastAsia"/>
          <w:lang w:val="en-GB"/>
        </w:rPr>
        <w:t>区域和地方在为暴力侵害妇女行为受害者提供包括庇护所在</w:t>
      </w:r>
      <w:r w:rsidRPr="00960C45">
        <w:rPr>
          <w:lang w:val="en-GB"/>
        </w:rPr>
        <w:t>内的</w:t>
      </w:r>
      <w:r w:rsidRPr="00960C45">
        <w:rPr>
          <w:rFonts w:hint="eastAsia"/>
          <w:lang w:val="en-GB"/>
        </w:rPr>
        <w:t>高质量的援助和保护服务方面，以及在歧视属于少数群体的暴力侵害妇女行为受害者方面存在差异；</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spacing w:val="-4"/>
          <w:lang w:val="en-GB"/>
        </w:rPr>
      </w:pPr>
      <w:r w:rsidRPr="00960C45">
        <w:rPr>
          <w:rFonts w:hint="eastAsia"/>
          <w:spacing w:val="-4"/>
          <w:lang w:val="en-GB"/>
        </w:rPr>
        <w:tab/>
      </w:r>
      <w:r w:rsidR="00B11597">
        <w:rPr>
          <w:rFonts w:hint="eastAsia"/>
          <w:spacing w:val="-4"/>
          <w:lang w:val="en-GB"/>
        </w:rPr>
        <w:t>(</w:t>
      </w:r>
      <w:r w:rsidRPr="00960C45">
        <w:rPr>
          <w:rFonts w:hint="eastAsia"/>
          <w:spacing w:val="-4"/>
          <w:lang w:val="en-GB"/>
        </w:rPr>
        <w:t>d</w:t>
      </w:r>
      <w:r w:rsidR="00B11597">
        <w:rPr>
          <w:rFonts w:hint="eastAsia"/>
          <w:spacing w:val="-4"/>
          <w:lang w:val="en-GB"/>
        </w:rPr>
        <w:t>)</w:t>
      </w:r>
      <w:r w:rsidRPr="00960C45">
        <w:rPr>
          <w:rFonts w:hint="eastAsia"/>
          <w:spacing w:val="-4"/>
          <w:lang w:val="en-GB"/>
        </w:rPr>
        <w:tab/>
      </w:r>
      <w:r w:rsidRPr="00960C45">
        <w:rPr>
          <w:rFonts w:hint="eastAsia"/>
          <w:spacing w:val="-4"/>
          <w:lang w:val="en-GB"/>
        </w:rPr>
        <w:t>由于取得居留许可依靠其伴侣，许多移徙妇女不告发家庭暴力事件；</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hint="eastAsia"/>
          <w:lang w:val="en-GB"/>
        </w:rPr>
        <w:t>拨付给保护妇女暴力受害者和打击贩运人口部际任务组以履行其任务的人力、技术和资金资源不足。</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lang w:val="en-GB"/>
        </w:rPr>
        <w:t>21.</w:t>
      </w:r>
      <w:r w:rsidRPr="00960C45">
        <w:rPr>
          <w:lang w:val="en-GB"/>
        </w:rPr>
        <w:tab/>
      </w:r>
      <w:r w:rsidRPr="00960C45">
        <w:rPr>
          <w:rFonts w:eastAsia="黑体" w:hint="eastAsia"/>
          <w:lang w:val="en-GB"/>
        </w:rPr>
        <w:t>根据其</w:t>
      </w:r>
      <w:r w:rsidRPr="00B11597">
        <w:rPr>
          <w:rFonts w:eastAsia="黑体" w:hint="eastAsia"/>
          <w:spacing w:val="-6"/>
          <w:lang w:val="en-GB"/>
        </w:rPr>
        <w:t>关于暴力侵害妇女行为的第</w:t>
      </w:r>
      <w:r w:rsidRPr="00B11597">
        <w:rPr>
          <w:rFonts w:eastAsia="黑体" w:hint="eastAsia"/>
          <w:spacing w:val="-6"/>
          <w:lang w:val="en-GB"/>
        </w:rPr>
        <w:t>19</w:t>
      </w:r>
      <w:r w:rsidR="00B11597" w:rsidRPr="00B11597">
        <w:rPr>
          <w:rFonts w:eastAsia="黑体" w:hint="eastAsia"/>
          <w:spacing w:val="-6"/>
          <w:lang w:val="en-GB"/>
        </w:rPr>
        <w:t>(</w:t>
      </w:r>
      <w:r w:rsidRPr="00B11597">
        <w:rPr>
          <w:rFonts w:eastAsia="黑体" w:hint="eastAsia"/>
          <w:spacing w:val="-6"/>
          <w:lang w:val="en-GB"/>
        </w:rPr>
        <w:t>1992</w:t>
      </w:r>
      <w:r w:rsidR="00B11597" w:rsidRPr="00B11597">
        <w:rPr>
          <w:rFonts w:eastAsia="黑体" w:hint="eastAsia"/>
          <w:spacing w:val="-6"/>
          <w:lang w:val="en-GB"/>
        </w:rPr>
        <w:t>)</w:t>
      </w:r>
      <w:r w:rsidRPr="00B11597">
        <w:rPr>
          <w:rFonts w:eastAsia="黑体" w:hint="eastAsia"/>
          <w:spacing w:val="-6"/>
          <w:lang w:val="en-GB"/>
        </w:rPr>
        <w:t>号一般性建议，委员会建议缔约国：</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进一步研究基于性别的暴力侵害妇女案件告发率和定罪率低的根本原因，并加紧努力，消除一切阻碍妇女向警方报告暴力行为的障碍；</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lang w:val="en-GB"/>
        </w:rPr>
        <w:tab/>
      </w:r>
      <w:r w:rsidR="00B11597">
        <w:rPr>
          <w:lang w:val="en-GB"/>
        </w:rPr>
        <w:t>(</w:t>
      </w:r>
      <w:r w:rsidRPr="00960C45">
        <w:rPr>
          <w:rFonts w:hint="eastAsia"/>
          <w:lang w:val="en-GB"/>
        </w:rPr>
        <w:t>b</w:t>
      </w:r>
      <w:r w:rsidR="00B11597">
        <w:rPr>
          <w:lang w:val="en-GB"/>
        </w:rPr>
        <w:t>)</w:t>
      </w:r>
      <w:r w:rsidRPr="00960C45">
        <w:rPr>
          <w:lang w:val="en-GB"/>
        </w:rPr>
        <w:tab/>
      </w:r>
      <w:r w:rsidRPr="00960C45">
        <w:rPr>
          <w:rFonts w:eastAsia="黑体" w:hint="eastAsia"/>
          <w:lang w:val="en-GB"/>
        </w:rPr>
        <w:t>确保彻底调查和起诉种族主义、仇外、反穆斯林和性别歧视行为，对犯罪者施以与其行为严重程度相称的判决；</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eastAsia="黑体" w:hint="eastAsia"/>
          <w:lang w:val="en-GB"/>
        </w:rPr>
        <w:tab/>
      </w:r>
      <w:r w:rsidRPr="00960C45">
        <w:rPr>
          <w:rFonts w:eastAsia="黑体" w:hint="eastAsia"/>
          <w:lang w:val="en-GB"/>
        </w:rPr>
        <w:t>加强监测机制，以定期评估所采取的打击基于性别的暴力侵害妇女行为措施的效果，并采取补救行动；</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eastAsia="黑体" w:hint="eastAsia"/>
          <w:lang w:val="en-GB"/>
        </w:rPr>
        <w:t>评价警察和司法机关对性犯罪投诉的反应，并对法官、检察官、警官和其他执法官员开展强制能力建设，内容涉及对基于性别的暴力侵害妇女行为严格适用刑法规定以及在问询暴力行为妇女受害者时采取对性别敏感的程序；</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eastAsia="黑体" w:hint="eastAsia"/>
          <w:lang w:val="en-GB"/>
        </w:rPr>
        <w:tab/>
      </w:r>
      <w:r w:rsidRPr="00960C45">
        <w:rPr>
          <w:rFonts w:eastAsia="黑体" w:hint="eastAsia"/>
          <w:lang w:val="en-GB"/>
        </w:rPr>
        <w:t>加强向遭受暴力侵害的所有妇女受害者提供的援助和保护，包括为此加强庇护所和危机中心的接收能力，确保其无差别地满足所有受害者的需求，并配备充足的人力、技术和资金资源；</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eastAsia="黑体" w:hint="eastAsia"/>
          <w:lang w:val="en-GB"/>
        </w:rPr>
        <w:tab/>
      </w:r>
      <w:r w:rsidRPr="00960C45">
        <w:rPr>
          <w:rFonts w:eastAsia="黑体" w:hint="eastAsia"/>
          <w:lang w:val="en-GB"/>
        </w:rPr>
        <w:t>从性别角度出发，修订向依赖其施虐伴侣的移徙妇女授予临时居留证的条件；</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g</w:t>
      </w:r>
      <w:r w:rsidR="00B11597">
        <w:rPr>
          <w:rFonts w:hint="eastAsia"/>
          <w:lang w:val="en-GB"/>
        </w:rPr>
        <w:t>)</w:t>
      </w:r>
      <w:r w:rsidRPr="00960C45">
        <w:rPr>
          <w:rFonts w:eastAsia="黑体" w:hint="eastAsia"/>
          <w:lang w:val="en-GB"/>
        </w:rPr>
        <w:tab/>
      </w:r>
      <w:r w:rsidRPr="00960C45">
        <w:rPr>
          <w:rFonts w:eastAsia="黑体" w:hint="eastAsia"/>
          <w:lang w:val="en-GB"/>
        </w:rPr>
        <w:t>向保护妇女暴力受害者和打击贩运人口部际任务组拨付充足的人</w:t>
      </w:r>
      <w:r w:rsidRPr="00960C45">
        <w:rPr>
          <w:rFonts w:eastAsia="黑体" w:hint="eastAsia"/>
          <w:lang w:val="en-GB"/>
        </w:rPr>
        <w:t xml:space="preserve"> </w:t>
      </w:r>
      <w:r w:rsidRPr="00960C45">
        <w:rPr>
          <w:rFonts w:eastAsia="黑体" w:hint="eastAsia"/>
          <w:lang w:val="en-GB"/>
        </w:rPr>
        <w:t>力、技术和资金资源，以履行其任务。</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域外国家义务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22.</w:t>
      </w:r>
      <w:r w:rsidRPr="00960C45">
        <w:rPr>
          <w:lang w:val="en-GB"/>
        </w:rPr>
        <w:tab/>
      </w:r>
      <w:r w:rsidRPr="00960C45">
        <w:rPr>
          <w:rFonts w:hint="eastAsia"/>
          <w:lang w:val="en-GB"/>
        </w:rPr>
        <w:t>委员会对向武装冲突或有武装冲突风险的敏感国家转让武器可能对妇女权利产生的不利影响表示关切。</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23.</w:t>
      </w:r>
      <w:r w:rsidRPr="00960C45">
        <w:rPr>
          <w:lang w:val="en-GB"/>
        </w:rPr>
        <w:tab/>
      </w:r>
      <w:r w:rsidRPr="00960C45">
        <w:rPr>
          <w:rFonts w:eastAsia="黑体" w:hint="eastAsia"/>
          <w:lang w:val="en-GB"/>
        </w:rPr>
        <w:t>委员会建议缔约国在与采购法国武器的国家的战略对话中纳入性别方</w:t>
      </w:r>
      <w:r w:rsidRPr="00960C45">
        <w:rPr>
          <w:rFonts w:eastAsia="黑体" w:hint="eastAsia"/>
          <w:lang w:val="en-GB"/>
        </w:rPr>
        <w:t xml:space="preserve">  </w:t>
      </w:r>
      <w:r w:rsidRPr="00960C45">
        <w:rPr>
          <w:rFonts w:eastAsia="黑体" w:hint="eastAsia"/>
          <w:lang w:val="en-GB"/>
        </w:rPr>
        <w:t>面，并按照《武器贸易条约》，继续进行严格、透明和对性别问题有敏感认识的风险评估。</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24.</w:t>
      </w:r>
      <w:r w:rsidRPr="00960C45">
        <w:rPr>
          <w:lang w:val="en-GB"/>
        </w:rPr>
        <w:tab/>
      </w:r>
      <w:r w:rsidRPr="00960C45">
        <w:rPr>
          <w:rFonts w:hint="eastAsia"/>
          <w:lang w:val="en-GB"/>
        </w:rPr>
        <w:t>委员会感到关切的是，缔约国：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将法国国民在国外犯下的暴力侵害妇女行为、包括残割女性生殖器和强迫婚姻和</w:t>
      </w:r>
      <w:r w:rsidRPr="00960C45">
        <w:rPr>
          <w:rFonts w:hint="eastAsia"/>
          <w:lang w:val="en-GB"/>
        </w:rPr>
        <w:t>/</w:t>
      </w:r>
      <w:r w:rsidRPr="00960C45">
        <w:rPr>
          <w:rFonts w:hint="eastAsia"/>
          <w:lang w:val="en-GB"/>
        </w:rPr>
        <w:t>或童婚行为的起诉限于仅针对在犯罪地国不被定为刑事犯罪的行为的案件；</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hint="eastAsia"/>
          <w:lang w:val="en-GB"/>
        </w:rPr>
        <w:tab/>
      </w:r>
      <w:r w:rsidRPr="00960C45">
        <w:rPr>
          <w:rFonts w:hint="eastAsia"/>
          <w:lang w:val="en-GB"/>
        </w:rPr>
        <w:t>使对此类犯罪的起诉以受害人提出控告为条件；</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hint="eastAsia"/>
          <w:lang w:val="en-GB"/>
        </w:rPr>
        <w:tab/>
      </w:r>
      <w:r w:rsidRPr="00960C45">
        <w:rPr>
          <w:rFonts w:hint="eastAsia"/>
          <w:lang w:val="en-GB"/>
        </w:rPr>
        <w:t>不愿起诉法国永久居民在缔约国领土以外犯下的此种罪行。</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25.</w:t>
      </w:r>
      <w:r w:rsidRPr="00960C45">
        <w:rPr>
          <w:lang w:val="en-GB"/>
        </w:rPr>
        <w:tab/>
      </w:r>
      <w:r w:rsidRPr="00960C45">
        <w:rPr>
          <w:rFonts w:eastAsia="黑体" w:hint="eastAsia"/>
          <w:lang w:val="en-GB"/>
        </w:rPr>
        <w:t>委员会建议缔约国审查其有关域外起诉基于性别的暴力侵害妇女行为、包括残割女性生殖器和强迫婚姻和</w:t>
      </w:r>
      <w:r w:rsidRPr="00960C45">
        <w:rPr>
          <w:rFonts w:eastAsia="黑体" w:hint="eastAsia"/>
          <w:lang w:val="en-GB"/>
        </w:rPr>
        <w:t>/</w:t>
      </w:r>
      <w:r w:rsidRPr="00960C45">
        <w:rPr>
          <w:rFonts w:eastAsia="黑体" w:hint="eastAsia"/>
          <w:lang w:val="en-GB"/>
        </w:rPr>
        <w:t>或童婚行为的方法，确保在缔约国依职权起诉法国国民或永久居民犯下的这些罪行，无论具体罪行在犯罪地国是否被定为刑事犯罪。</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贩运人口和利用妇女卖淫营利</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lang w:val="en-GB"/>
        </w:rPr>
        <w:t>26.</w:t>
      </w:r>
      <w:r w:rsidRPr="00960C45">
        <w:rPr>
          <w:lang w:val="en-GB"/>
        </w:rPr>
        <w:tab/>
      </w:r>
      <w:r w:rsidRPr="00960C45">
        <w:rPr>
          <w:rFonts w:hint="eastAsia"/>
          <w:lang w:val="en-GB"/>
        </w:rPr>
        <w:t>委员会欢迎通过关于打击贩运人口的第一个国家行动计划</w:t>
      </w:r>
      <w:r w:rsidR="00B11597">
        <w:rPr>
          <w:rFonts w:hint="eastAsia"/>
          <w:lang w:val="en-GB"/>
        </w:rPr>
        <w:t>(</w:t>
      </w:r>
      <w:r w:rsidRPr="00960C45">
        <w:rPr>
          <w:rFonts w:hint="eastAsia"/>
          <w:lang w:val="en-GB"/>
        </w:rPr>
        <w:t>2014-2017</w:t>
      </w:r>
      <w:r w:rsidRPr="00960C45">
        <w:rPr>
          <w:rFonts w:hint="eastAsia"/>
          <w:lang w:val="en-GB"/>
        </w:rPr>
        <w:t>年</w:t>
      </w:r>
      <w:r w:rsidR="00B11597">
        <w:rPr>
          <w:rFonts w:hint="eastAsia"/>
          <w:lang w:val="en-GB"/>
        </w:rPr>
        <w:t>)</w:t>
      </w:r>
      <w:r w:rsidRPr="00960C45">
        <w:rPr>
          <w:rFonts w:hint="eastAsia"/>
          <w:lang w:val="en-GB"/>
        </w:rPr>
        <w:t>，欢迎指定国家人权咨询委员会为独立的国家报告员。但是，委员会关切的是：</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贩运人口案件的起诉和定罪率低；</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hint="eastAsia"/>
          <w:lang w:val="en-GB"/>
        </w:rPr>
        <w:tab/>
      </w:r>
      <w:r w:rsidRPr="00960C45">
        <w:rPr>
          <w:rFonts w:hint="eastAsia"/>
          <w:lang w:val="en-GB"/>
        </w:rPr>
        <w:t>缺乏适当机制，确认并转送需要保护的贩运人口受害者，尤其是未成年人往往被视为罪犯和非正规移民，而不是受害者，关于贩运人口受害者的数据不足；</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hint="eastAsia"/>
          <w:lang w:val="en-GB"/>
        </w:rPr>
        <w:tab/>
      </w:r>
      <w:r w:rsidRPr="00960C45">
        <w:rPr>
          <w:rFonts w:hint="eastAsia"/>
          <w:lang w:val="en-GB"/>
        </w:rPr>
        <w:t>对剥削问题缺乏关注，包括强迫劳动、奴役、奴隶制和类似做法，优先考虑贩卖人口和利用妇女卖淫营利问题；</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hint="eastAsia"/>
          <w:lang w:val="en-GB"/>
        </w:rPr>
        <w:t>国家行动计划协调不够，缺乏拨付的人力和财政资源，导致迟迟不能实施该计划，国家人权协商委员会缺乏资源，无法充分发挥其报告员的作用；</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hint="eastAsia"/>
          <w:lang w:val="en-GB"/>
        </w:rPr>
        <w:t>对于贩运人口受害者，缺乏系统安排的康复和重新融入社会措施，包括获得咨询、医疗、心理支助和补偿，包括赔偿，尤其是移徙妇女，除非与警方和司法当局合作，否则无权获得临时居住证；</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hint="eastAsia"/>
          <w:lang w:val="en-GB"/>
        </w:rPr>
        <w:tab/>
      </w:r>
      <w:r w:rsidRPr="00960C45">
        <w:rPr>
          <w:rFonts w:hint="eastAsia"/>
          <w:lang w:val="en-GB"/>
        </w:rPr>
        <w:t>将客户定罪可能会适得其反，增加卖淫者的安全和健康风险，未解决卖淫的根本原因，也不降低其普遍性；</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rFonts w:hint="eastAsia"/>
          <w:lang w:val="en-GB"/>
        </w:rPr>
        <w:tab/>
      </w:r>
      <w:r w:rsidR="00B11597">
        <w:rPr>
          <w:rFonts w:hint="eastAsia"/>
          <w:lang w:val="en-GB"/>
        </w:rPr>
        <w:t>(</w:t>
      </w:r>
      <w:r w:rsidRPr="00960C45">
        <w:rPr>
          <w:rFonts w:hint="eastAsia"/>
          <w:lang w:val="en-GB"/>
        </w:rPr>
        <w:t>g</w:t>
      </w:r>
      <w:r w:rsidR="00B11597">
        <w:rPr>
          <w:rFonts w:hint="eastAsia"/>
          <w:lang w:val="en-GB"/>
        </w:rPr>
        <w:t>)</w:t>
      </w:r>
      <w:r w:rsidRPr="00960C45">
        <w:rPr>
          <w:rFonts w:hint="eastAsia"/>
          <w:lang w:val="en-GB"/>
        </w:rPr>
        <w:tab/>
      </w:r>
      <w:r w:rsidRPr="00960C45">
        <w:rPr>
          <w:rFonts w:hint="eastAsia"/>
          <w:lang w:val="en-GB"/>
        </w:rPr>
        <w:t>预算款额不足，预期没收被定罪贩运者财产所获额外资源具有不确定性，难以支持那些为希望脱离卖淫业妇女实施的进程。</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lang w:val="en-GB"/>
        </w:rPr>
      </w:pPr>
      <w:r w:rsidRPr="00960C45">
        <w:rPr>
          <w:lang w:val="en-GB"/>
        </w:rPr>
        <w:t>27.</w:t>
      </w:r>
      <w:r w:rsidRPr="00960C45">
        <w:rPr>
          <w:lang w:val="en-GB"/>
        </w:rPr>
        <w:tab/>
      </w:r>
      <w:r w:rsidRPr="00960C45">
        <w:rPr>
          <w:rFonts w:eastAsia="黑体" w:hint="eastAsia"/>
          <w:lang w:val="en-GB"/>
        </w:rPr>
        <w:t>委员会建议缔约国：</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调查、起诉和惩罚所有贩运人口、尤其是贩运妇女和女童的案件，确保按罪行严重程度，对犯罪者判处相应的刑罚；</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eastAsia="黑体" w:hint="eastAsia"/>
          <w:lang w:val="en-GB"/>
        </w:rPr>
        <w:tab/>
      </w:r>
      <w:r w:rsidRPr="00960C45">
        <w:rPr>
          <w:rFonts w:eastAsia="黑体" w:hint="eastAsia"/>
          <w:lang w:val="en-GB"/>
        </w:rPr>
        <w:t>加强措施，确认和支持面临被贩运风险的妇女，尤其是未成年人；</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eastAsia="黑体" w:hint="eastAsia"/>
          <w:lang w:val="en-GB"/>
        </w:rPr>
        <w:tab/>
      </w:r>
      <w:r w:rsidRPr="00960C45">
        <w:rPr>
          <w:rFonts w:eastAsia="黑体" w:hint="eastAsia"/>
          <w:lang w:val="en-GB"/>
        </w:rPr>
        <w:t>改善获得关于按性别和年龄分列的人口贩运受害者的数据；</w:t>
      </w:r>
    </w:p>
    <w:p w:rsidR="00960C45" w:rsidRPr="00960C45" w:rsidRDefault="00960C45" w:rsidP="00B115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ind w:left="1264" w:right="1264"/>
        <w:rPr>
          <w:rFonts w:eastAsia="黑体"/>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eastAsia="黑体" w:hint="eastAsia"/>
          <w:lang w:val="en-GB"/>
        </w:rPr>
        <w:tab/>
      </w:r>
      <w:r w:rsidRPr="00960C45">
        <w:rPr>
          <w:rFonts w:eastAsia="黑体" w:hint="eastAsia"/>
          <w:lang w:val="en-GB"/>
        </w:rPr>
        <w:t>防止和打击其他各种类似贩运形式的剥削做法，特别是强迫劳动、奴役和奴隶制；</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eastAsia="黑体" w:hint="eastAsia"/>
          <w:lang w:val="en-GB"/>
        </w:rPr>
        <w:tab/>
      </w:r>
      <w:r w:rsidRPr="00960C45">
        <w:rPr>
          <w:rFonts w:eastAsia="黑体" w:hint="eastAsia"/>
          <w:lang w:val="en-GB"/>
        </w:rPr>
        <w:t>增加保护妇女暴力受害者和打击贩运人口部际任务组和全国人权咨询委员会的人力、技术和资金资源，以确保有效协调、监测和评估政府打击贩运人口和剥削的行动；</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hint="eastAsia"/>
          <w:lang w:val="en-GB"/>
        </w:rPr>
        <w:tab/>
      </w:r>
      <w:r w:rsidRPr="00960C45">
        <w:rPr>
          <w:rFonts w:eastAsia="黑体" w:hint="eastAsia"/>
          <w:lang w:val="en-GB"/>
        </w:rPr>
        <w:t>使贩运人口受害者充分获得医疗保健和咨询，并通过增加社会工作中心的人力、技术和资金资源，以及有针对性地培训社会工作者，加强此类服务；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g</w:t>
      </w:r>
      <w:r w:rsidR="00B11597">
        <w:rPr>
          <w:rFonts w:hint="eastAsia"/>
          <w:lang w:val="en-GB"/>
        </w:rPr>
        <w:t>)</w:t>
      </w:r>
      <w:r w:rsidRPr="00960C45">
        <w:rPr>
          <w:rFonts w:eastAsia="黑体" w:hint="eastAsia"/>
          <w:lang w:val="en-GB"/>
        </w:rPr>
        <w:tab/>
      </w:r>
      <w:r w:rsidRPr="00960C45">
        <w:rPr>
          <w:rFonts w:eastAsia="黑体" w:hint="eastAsia"/>
          <w:lang w:val="en-GB"/>
        </w:rPr>
        <w:t>确保所有贩运人口受害者，不论其种族、国籍和社会背景，都可获得有效保护和补救，包括康复和补偿；</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h</w:t>
      </w:r>
      <w:r w:rsidR="00B11597">
        <w:rPr>
          <w:rFonts w:hint="eastAsia"/>
          <w:lang w:val="en-GB"/>
        </w:rPr>
        <w:t>)</w:t>
      </w:r>
      <w:r w:rsidRPr="00960C45">
        <w:rPr>
          <w:rFonts w:eastAsia="黑体" w:hint="eastAsia"/>
          <w:lang w:val="en-GB"/>
        </w:rPr>
        <w:tab/>
      </w:r>
      <w:r w:rsidRPr="00960C45">
        <w:rPr>
          <w:rFonts w:eastAsia="黑体" w:hint="eastAsia"/>
          <w:lang w:val="en-GB"/>
        </w:rPr>
        <w:t>规划在三年内对第</w:t>
      </w:r>
      <w:r w:rsidRPr="00960C45">
        <w:rPr>
          <w:rFonts w:eastAsia="黑体" w:hint="eastAsia"/>
          <w:lang w:val="en-GB"/>
        </w:rPr>
        <w:t>2016-444</w:t>
      </w:r>
      <w:r w:rsidRPr="00960C45">
        <w:rPr>
          <w:rFonts w:eastAsia="黑体" w:hint="eastAsia"/>
          <w:lang w:val="en-GB"/>
        </w:rPr>
        <w:t>号法令的影响进行评价，包括卖淫和人口贩运的种类和范围，社会上对卖淫、购买性服务以及从事卖淫的妇女的看法；</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i</w:t>
      </w:r>
      <w:r w:rsidR="00B11597">
        <w:rPr>
          <w:rFonts w:hint="eastAsia"/>
          <w:lang w:val="en-GB"/>
        </w:rPr>
        <w:t>)</w:t>
      </w:r>
      <w:r w:rsidRPr="00960C45">
        <w:rPr>
          <w:rFonts w:eastAsia="黑体" w:hint="eastAsia"/>
          <w:lang w:val="en-GB"/>
        </w:rPr>
        <w:tab/>
      </w:r>
      <w:r w:rsidRPr="00960C45">
        <w:rPr>
          <w:rFonts w:eastAsia="黑体" w:hint="eastAsia"/>
          <w:lang w:val="en-GB"/>
        </w:rPr>
        <w:t>增加预算并增加向希望脱离卖淫活动的妇女和女童提供的援助，包括为此提供替代性创收机会。</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参与政治和公共生活</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28.</w:t>
      </w:r>
      <w:r w:rsidRPr="00960C45">
        <w:rPr>
          <w:lang w:val="en-GB"/>
        </w:rPr>
        <w:tab/>
      </w:r>
      <w:r w:rsidRPr="00960C45">
        <w:rPr>
          <w:rFonts w:hint="eastAsia"/>
          <w:lang w:val="en-GB"/>
        </w:rPr>
        <w:t>委员会赞扬缔约国采取许多立法和宪法措施，确保在政治和公共生活中性别平等。委员会指出，在内阁以及大区和省级委员会中已经实现了性别平等。委员会还欢迎在</w:t>
      </w:r>
      <w:r w:rsidRPr="00960C45">
        <w:rPr>
          <w:rFonts w:hint="eastAsia"/>
          <w:lang w:val="en-GB"/>
        </w:rPr>
        <w:t>2014</w:t>
      </w:r>
      <w:r w:rsidRPr="00960C45">
        <w:rPr>
          <w:rFonts w:hint="eastAsia"/>
          <w:lang w:val="en-GB"/>
        </w:rPr>
        <w:t>年地方选举后，大区和市议会中妇女代表明显增加。委员会注意到，</w:t>
      </w:r>
      <w:r w:rsidRPr="00960C45">
        <w:rPr>
          <w:rFonts w:hint="eastAsia"/>
          <w:lang w:val="en-GB"/>
        </w:rPr>
        <w:t>2014</w:t>
      </w:r>
      <w:r w:rsidRPr="00960C45">
        <w:rPr>
          <w:rFonts w:hint="eastAsia"/>
          <w:lang w:val="en-GB"/>
        </w:rPr>
        <w:t>年完成了国家</w:t>
      </w:r>
      <w:r w:rsidR="00B11597">
        <w:rPr>
          <w:rFonts w:hint="eastAsia"/>
          <w:lang w:val="en-GB"/>
        </w:rPr>
        <w:t>(</w:t>
      </w:r>
      <w:r w:rsidRPr="00960C45">
        <w:rPr>
          <w:rFonts w:hint="eastAsia"/>
          <w:lang w:val="en-GB"/>
        </w:rPr>
        <w:t>中央、大区、省和地方</w:t>
      </w:r>
      <w:r w:rsidR="00B11597">
        <w:rPr>
          <w:rFonts w:hint="eastAsia"/>
          <w:lang w:val="en-GB"/>
        </w:rPr>
        <w:t>)</w:t>
      </w:r>
      <w:r w:rsidRPr="00960C45">
        <w:rPr>
          <w:rFonts w:hint="eastAsia"/>
          <w:lang w:val="en-GB"/>
        </w:rPr>
        <w:t>各个层级促进性别平等的立法。但是，委员会仍然关注的是，由于一些政党似乎更倾向于被罚款，而不提名女性候选人参加选举，妇女在国民议会和参议院中的比例很低；妇女担任国家以下各级地方行政机关首长</w:t>
      </w:r>
      <w:r w:rsidR="00B11597">
        <w:rPr>
          <w:rFonts w:hint="eastAsia"/>
          <w:lang w:val="en-GB"/>
        </w:rPr>
        <w:t>(</w:t>
      </w:r>
      <w:r w:rsidRPr="00960C45">
        <w:rPr>
          <w:rFonts w:hint="eastAsia"/>
          <w:lang w:val="en-GB"/>
        </w:rPr>
        <w:t>如市长</w:t>
      </w:r>
      <w:r w:rsidRPr="00960C45">
        <w:rPr>
          <w:rFonts w:hint="eastAsia"/>
          <w:lang w:val="en-GB"/>
        </w:rPr>
        <w:t>16%</w:t>
      </w:r>
      <w:r w:rsidR="00B11597">
        <w:rPr>
          <w:rFonts w:hint="eastAsia"/>
          <w:lang w:val="en-GB"/>
        </w:rPr>
        <w:t>)</w:t>
      </w:r>
      <w:r w:rsidRPr="00960C45">
        <w:rPr>
          <w:rFonts w:hint="eastAsia"/>
          <w:lang w:val="en-GB"/>
        </w:rPr>
        <w:t>、各省省长</w:t>
      </w:r>
      <w:r w:rsidR="00B11597">
        <w:rPr>
          <w:rFonts w:hint="eastAsia"/>
          <w:lang w:val="en-GB"/>
        </w:rPr>
        <w:t>(</w:t>
      </w:r>
      <w:r w:rsidRPr="00960C45">
        <w:rPr>
          <w:rFonts w:hint="eastAsia"/>
          <w:lang w:val="en-GB"/>
        </w:rPr>
        <w:t>约</w:t>
      </w:r>
      <w:r w:rsidRPr="00960C45">
        <w:rPr>
          <w:rFonts w:hint="eastAsia"/>
          <w:lang w:val="en-GB"/>
        </w:rPr>
        <w:t>10%</w:t>
      </w:r>
      <w:r w:rsidR="00B11597">
        <w:rPr>
          <w:rFonts w:hint="eastAsia"/>
          <w:lang w:val="en-GB"/>
        </w:rPr>
        <w:t>)</w:t>
      </w:r>
      <w:r w:rsidRPr="00960C45">
        <w:rPr>
          <w:rFonts w:hint="eastAsia"/>
          <w:lang w:val="en-GB"/>
        </w:rPr>
        <w:t>、或大区首长</w:t>
      </w:r>
      <w:r w:rsidR="00B11597">
        <w:rPr>
          <w:rFonts w:hint="eastAsia"/>
          <w:lang w:val="en-GB"/>
        </w:rPr>
        <w:t>(</w:t>
      </w:r>
      <w:r w:rsidRPr="00960C45">
        <w:rPr>
          <w:rFonts w:hint="eastAsia"/>
          <w:lang w:val="en-GB"/>
        </w:rPr>
        <w:t>17.6%</w:t>
      </w:r>
      <w:r w:rsidR="00B11597">
        <w:rPr>
          <w:rFonts w:hint="eastAsia"/>
          <w:lang w:val="en-GB"/>
        </w:rPr>
        <w:t>)</w:t>
      </w:r>
      <w:r w:rsidRPr="00960C45">
        <w:rPr>
          <w:rFonts w:hint="eastAsia"/>
          <w:lang w:val="en-GB"/>
        </w:rPr>
        <w:t>的比例很低。委员会还注意到，妇女在董事会中的代表性有所进步。</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29.</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评价目前对国民议会和参议院选举所适用的处罚的影响，并在必要时采取更有力的措施，包括修改选举制度；</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eastAsia="黑体" w:hint="eastAsia"/>
          <w:lang w:val="en-GB"/>
        </w:rPr>
        <w:tab/>
      </w:r>
      <w:r w:rsidRPr="00960C45">
        <w:rPr>
          <w:rFonts w:eastAsia="黑体" w:hint="eastAsia"/>
          <w:lang w:val="en-GB"/>
        </w:rPr>
        <w:t>制定国家以下各级行政首长选任的创新模式。</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spacing w:val="-4"/>
          <w:lang w:val="en-GB"/>
        </w:rPr>
      </w:pPr>
      <w:r w:rsidRPr="00960C45">
        <w:rPr>
          <w:rFonts w:eastAsia="黑体" w:hint="eastAsia"/>
          <w:spacing w:val="-4"/>
          <w:lang w:val="en-GB"/>
        </w:rPr>
        <w:tab/>
      </w:r>
      <w:r w:rsidR="00B11597">
        <w:rPr>
          <w:rFonts w:hint="eastAsia"/>
          <w:spacing w:val="-4"/>
          <w:lang w:val="en-GB"/>
        </w:rPr>
        <w:t>(</w:t>
      </w:r>
      <w:r w:rsidRPr="00960C45">
        <w:rPr>
          <w:rFonts w:hint="eastAsia"/>
          <w:spacing w:val="-4"/>
          <w:lang w:val="en-GB"/>
        </w:rPr>
        <w:t>c</w:t>
      </w:r>
      <w:r w:rsidR="00B11597">
        <w:rPr>
          <w:rFonts w:hint="eastAsia"/>
          <w:spacing w:val="-4"/>
          <w:lang w:val="en-GB"/>
        </w:rPr>
        <w:t>)</w:t>
      </w:r>
      <w:r w:rsidRPr="00960C45">
        <w:rPr>
          <w:rFonts w:eastAsia="黑体" w:hint="eastAsia"/>
          <w:spacing w:val="-4"/>
          <w:lang w:val="en-GB"/>
        </w:rPr>
        <w:tab/>
      </w:r>
      <w:r w:rsidRPr="00960C45">
        <w:rPr>
          <w:rFonts w:eastAsia="黑体" w:hint="eastAsia"/>
          <w:spacing w:val="-4"/>
          <w:lang w:val="en-GB"/>
        </w:rPr>
        <w:t>继续努力，确保董事会和公共行政各个领域决策职位的平等代表权；</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eastAsia="黑体" w:hint="eastAsia"/>
          <w:lang w:val="en-GB"/>
        </w:rPr>
        <w:tab/>
      </w:r>
      <w:r w:rsidRPr="00960C45">
        <w:rPr>
          <w:rFonts w:eastAsia="黑体" w:hint="eastAsia"/>
          <w:lang w:val="en-GB"/>
        </w:rPr>
        <w:t>加强针对政治人物、记者、教师和公众的认识提高运动，以更好地认识到，妇女在与男子平等的基础上充分、平等、自由和民主地参与政治和公共生活，是充分执行妇女人权的要求。</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出生登记</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30.</w:t>
      </w:r>
      <w:r w:rsidRPr="00960C45">
        <w:rPr>
          <w:lang w:val="en-GB"/>
        </w:rPr>
        <w:tab/>
      </w:r>
      <w:r w:rsidRPr="00960C45">
        <w:rPr>
          <w:rFonts w:hint="eastAsia"/>
          <w:lang w:val="en-GB"/>
        </w:rPr>
        <w:t>委员会注意到，《民法》第</w:t>
      </w:r>
      <w:r w:rsidRPr="00960C45">
        <w:rPr>
          <w:rFonts w:hint="eastAsia"/>
          <w:lang w:val="en-GB"/>
        </w:rPr>
        <w:t>55</w:t>
      </w:r>
      <w:r w:rsidRPr="00960C45">
        <w:rPr>
          <w:rFonts w:hint="eastAsia"/>
          <w:lang w:val="en-GB"/>
        </w:rPr>
        <w:t>条规定的出生申报期限很短，未按期申报必须经过法院的司法程序，程序可能长达</w:t>
      </w:r>
      <w:r w:rsidRPr="00960C45">
        <w:rPr>
          <w:rFonts w:hint="eastAsia"/>
          <w:lang w:val="en-GB"/>
        </w:rPr>
        <w:t>18</w:t>
      </w:r>
      <w:r w:rsidRPr="00960C45">
        <w:rPr>
          <w:rFonts w:hint="eastAsia"/>
          <w:lang w:val="en-GB"/>
        </w:rPr>
        <w:t>个月，使儿童缺少关于其存在的法律证明，限制了他们享有人权。委员会关注的是，法属圭亚那大量土著和部落人口以及马约特岛一半人口没有出生证和身份证明文件，剥夺了他们获得基本服务、包括教育和医疗的手段。</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31.</w:t>
      </w:r>
      <w:r w:rsidRPr="00960C45">
        <w:rPr>
          <w:lang w:val="en-GB"/>
        </w:rPr>
        <w:tab/>
      </w:r>
      <w:r w:rsidRPr="00960C45">
        <w:rPr>
          <w:rFonts w:eastAsia="黑体" w:hint="eastAsia"/>
          <w:lang w:val="en-GB"/>
        </w:rPr>
        <w:t>委员会建议缔约国确保每个出生者都得到登记，确保为其管辖区内的每一个人提供出生证和身份证明文件，无论他们生活在何处。在这方面，建议缔约国按照</w:t>
      </w:r>
      <w:r w:rsidRPr="00960C45">
        <w:rPr>
          <w:rFonts w:eastAsia="黑体" w:hint="eastAsia"/>
          <w:lang w:val="en-GB"/>
        </w:rPr>
        <w:t>2015</w:t>
      </w:r>
      <w:r w:rsidRPr="00960C45">
        <w:rPr>
          <w:rFonts w:eastAsia="黑体" w:hint="eastAsia"/>
          <w:lang w:val="en-GB"/>
        </w:rPr>
        <w:t>年第</w:t>
      </w:r>
      <w:r w:rsidRPr="00960C45">
        <w:rPr>
          <w:rFonts w:eastAsia="黑体" w:hint="eastAsia"/>
          <w:lang w:val="en-GB"/>
        </w:rPr>
        <w:t>3204</w:t>
      </w:r>
      <w:r w:rsidRPr="00960C45">
        <w:rPr>
          <w:rFonts w:eastAsia="黑体" w:hint="eastAsia"/>
          <w:lang w:val="en-GB"/>
        </w:rPr>
        <w:t>号法律草案的设想，修订《民法》第</w:t>
      </w:r>
      <w:r w:rsidRPr="00960C45">
        <w:rPr>
          <w:rFonts w:eastAsia="黑体" w:hint="eastAsia"/>
          <w:lang w:val="en-GB"/>
        </w:rPr>
        <w:t>55</w:t>
      </w:r>
      <w:r w:rsidRPr="00960C45">
        <w:rPr>
          <w:rFonts w:eastAsia="黑体" w:hint="eastAsia"/>
          <w:lang w:val="en-GB"/>
        </w:rPr>
        <w:t>条，并考虑设想的延长</w:t>
      </w:r>
      <w:r w:rsidRPr="00960C45">
        <w:rPr>
          <w:rFonts w:eastAsia="黑体" w:hint="eastAsia"/>
          <w:lang w:val="en-GB"/>
        </w:rPr>
        <w:t>5</w:t>
      </w:r>
      <w:r w:rsidRPr="00960C45">
        <w:rPr>
          <w:rFonts w:eastAsia="黑体" w:hint="eastAsia"/>
          <w:lang w:val="en-GB"/>
        </w:rPr>
        <w:t>天时限，尤其是对偏远地区，并且简化设想的延迟申报情况下的申报程序。</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教育</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32.</w:t>
      </w:r>
      <w:r w:rsidRPr="00960C45">
        <w:rPr>
          <w:lang w:val="en-GB"/>
        </w:rPr>
        <w:tab/>
      </w:r>
      <w:r w:rsidRPr="00960C45">
        <w:rPr>
          <w:rFonts w:hint="eastAsia"/>
          <w:lang w:val="en-GB"/>
        </w:rPr>
        <w:t>委员会欢迎为确保各级教育性别平等和克服具有性别成见的教育和职业选择所采取的措施。但是，委员会关切地注意到：</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最近未对禁止在学校穿戴具有宗教象征的服饰的第</w:t>
      </w:r>
      <w:r w:rsidRPr="00960C45">
        <w:rPr>
          <w:rFonts w:hint="eastAsia"/>
          <w:lang w:val="en-GB"/>
        </w:rPr>
        <w:t>2004-228</w:t>
      </w:r>
      <w:r w:rsidRPr="00960C45">
        <w:rPr>
          <w:rFonts w:hint="eastAsia"/>
          <w:lang w:val="en-GB"/>
        </w:rPr>
        <w:t>号法令开展综合评价，结果认为其可能限制或剥夺了女童的受教育权利</w:t>
      </w:r>
      <w:r w:rsidR="00B11597">
        <w:rPr>
          <w:rFonts w:hint="eastAsia"/>
          <w:lang w:val="en-GB"/>
        </w:rPr>
        <w:t>(</w:t>
      </w:r>
      <w:r w:rsidRPr="00960C45">
        <w:rPr>
          <w:rFonts w:hint="eastAsia"/>
          <w:lang w:val="en-GB"/>
        </w:rPr>
        <w:t>见</w:t>
      </w:r>
      <w:hyperlink r:id="rId23" w:history="1">
        <w:r w:rsidRPr="00960C45">
          <w:rPr>
            <w:color w:val="0000FF"/>
            <w:lang w:val="en-GB"/>
          </w:rPr>
          <w:t>CEDAW/C/FRA/CO/6</w:t>
        </w:r>
      </w:hyperlink>
      <w:r w:rsidRPr="00960C45">
        <w:rPr>
          <w:rFonts w:hint="eastAsia"/>
          <w:lang w:val="en-GB"/>
        </w:rPr>
        <w:t>，第</w:t>
      </w:r>
      <w:r w:rsidRPr="00960C45">
        <w:rPr>
          <w:rFonts w:hint="eastAsia"/>
          <w:lang w:val="en-GB"/>
        </w:rPr>
        <w:t>20</w:t>
      </w:r>
      <w:r w:rsidRPr="00960C45">
        <w:rPr>
          <w:rFonts w:hint="eastAsia"/>
          <w:lang w:val="en-GB"/>
        </w:rPr>
        <w:t>段</w:t>
      </w:r>
      <w:r w:rsidR="00B11597">
        <w:rPr>
          <w:rFonts w:hint="eastAsia"/>
          <w:lang w:val="en-GB"/>
        </w:rPr>
        <w:t>)</w:t>
      </w:r>
      <w:r w:rsidRPr="00960C45">
        <w:rPr>
          <w:rFonts w:hint="eastAsia"/>
          <w:lang w:val="en-GB"/>
        </w:rPr>
        <w:t>，因此无法得知该法令对这些女童作为社会正式成员全面融入法国社会的影响，如果影响是负面的，那么将无法补救；</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妇女仍然集中在传统上女性占主导地位的研究领域和职业道路，而她们在职业培训和诸如数学、信息技术和科学等高等教育的某些领域代表性不足；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在妇女参与自然科学和技术相关研究方面，继续存在横向隔离；</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hint="eastAsia"/>
          <w:lang w:val="en-GB"/>
        </w:rPr>
        <w:t>学校性教育手段不足，看来无法满足女童和男童的需求，无益于履行缔约国在这方面的责任；</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hint="eastAsia"/>
          <w:lang w:val="en-GB"/>
        </w:rPr>
        <w:t>在学校遭受歧视和性骚扰的女童人数众多，人数不成比例的移徙</w:t>
      </w:r>
      <w:r w:rsidRPr="00960C45">
        <w:rPr>
          <w:rFonts w:hint="eastAsia"/>
          <w:lang w:val="en-GB"/>
        </w:rPr>
        <w:t xml:space="preserve"> </w:t>
      </w:r>
      <w:r w:rsidRPr="00960C45">
        <w:rPr>
          <w:rFonts w:hint="eastAsia"/>
          <w:lang w:val="en-GB"/>
        </w:rPr>
        <w:t>者、罗姆人、土著和自闭症女童以及属于少数群体的女童和残疾女童继续难以获得优质教育。</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33.</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授权开展综合研究，确定禁止在学校穿戴具有宗教象征的服饰的第</w:t>
      </w:r>
      <w:r w:rsidRPr="00960C45">
        <w:rPr>
          <w:rFonts w:hint="eastAsia"/>
          <w:lang w:val="en-GB"/>
        </w:rPr>
        <w:t>2004-228</w:t>
      </w:r>
      <w:r w:rsidRPr="00960C45">
        <w:rPr>
          <w:rFonts w:hint="eastAsia"/>
          <w:lang w:val="en-GB"/>
        </w:rPr>
        <w:t>号法令对女童受教育权的影响</w:t>
      </w:r>
      <w:r w:rsidR="00B11597">
        <w:rPr>
          <w:rFonts w:hint="eastAsia"/>
          <w:lang w:val="en-GB"/>
        </w:rPr>
        <w:t>(</w:t>
      </w:r>
      <w:r w:rsidRPr="00960C45">
        <w:rPr>
          <w:rFonts w:hint="eastAsia"/>
          <w:lang w:val="en-GB"/>
        </w:rPr>
        <w:t>见</w:t>
      </w:r>
      <w:hyperlink r:id="rId24" w:history="1">
        <w:r w:rsidRPr="00485389">
          <w:rPr>
            <w:rStyle w:val="ad"/>
            <w:lang w:val="en-GB"/>
          </w:rPr>
          <w:t>CEDAW/C/FRA/CO/</w:t>
        </w:r>
        <w:r w:rsidRPr="00485389">
          <w:rPr>
            <w:rStyle w:val="ad"/>
            <w:rFonts w:hint="eastAsia"/>
            <w:lang w:val="en-GB"/>
          </w:rPr>
          <w:t>6</w:t>
        </w:r>
      </w:hyperlink>
      <w:r w:rsidRPr="00960C45">
        <w:rPr>
          <w:rFonts w:hint="eastAsia"/>
          <w:lang w:val="en-GB"/>
        </w:rPr>
        <w:t>，第</w:t>
      </w:r>
      <w:r w:rsidRPr="00960C45">
        <w:rPr>
          <w:rFonts w:hint="eastAsia"/>
          <w:lang w:val="en-GB"/>
        </w:rPr>
        <w:t>20</w:t>
      </w:r>
      <w:r w:rsidRPr="00960C45">
        <w:rPr>
          <w:rFonts w:hint="eastAsia"/>
          <w:lang w:val="en-GB"/>
        </w:rPr>
        <w:t>段</w:t>
      </w:r>
      <w:r w:rsidR="00B11597">
        <w:rPr>
          <w:rFonts w:hint="eastAsia"/>
          <w:lang w:val="en-GB"/>
        </w:rPr>
        <w:t>)</w:t>
      </w:r>
      <w:r w:rsidRPr="00960C45">
        <w:rPr>
          <w:rFonts w:hint="eastAsia"/>
          <w:lang w:val="en-GB"/>
        </w:rPr>
        <w:t>和对这些女童作为社会正式成员全面融入法国社会的影响，并在必要时指出补救办法；</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加强其战略，以解决可能阻止女童进入诸如数学、信息技术和科学等传统上以男性为主导的学习领域的歧视性陈规定型观念和结构性障碍；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eastAsia="黑体" w:hint="eastAsia"/>
          <w:lang w:val="en-GB"/>
        </w:rPr>
        <w:tab/>
      </w:r>
      <w:r w:rsidRPr="00960C45">
        <w:rPr>
          <w:rFonts w:eastAsia="黑体" w:hint="eastAsia"/>
          <w:lang w:val="en-GB"/>
        </w:rPr>
        <w:t>确保在所有学校有效落实对暴力和骚扰的零容忍政策，其中包括咨询服务、提高认识努力和有效的报告机制；</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eastAsia="黑体" w:hint="eastAsia"/>
          <w:lang w:val="en-GB"/>
        </w:rPr>
        <w:tab/>
      </w:r>
      <w:r w:rsidRPr="00960C45">
        <w:rPr>
          <w:rFonts w:eastAsia="黑体" w:hint="eastAsia"/>
          <w:lang w:val="en-GB"/>
        </w:rPr>
        <w:t>确保所有学校的学校课程中纳入三个年度课时关于性和妇女人权的对性别问题有敏感认识的适龄教育，由受过培训的人员授课，不仅讲解生殖生物学、避孕和预防艾滋病毒</w:t>
      </w:r>
      <w:r w:rsidRPr="00960C45">
        <w:rPr>
          <w:rFonts w:eastAsia="黑体" w:hint="eastAsia"/>
          <w:lang w:val="en-GB"/>
        </w:rPr>
        <w:t>/</w:t>
      </w:r>
      <w:r w:rsidRPr="00960C45">
        <w:rPr>
          <w:rFonts w:eastAsia="黑体" w:hint="eastAsia"/>
          <w:lang w:val="en-GB"/>
        </w:rPr>
        <w:t>艾滋病，而且还包括性别平等、尊重、打击性别主义和性别暴力；</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eastAsia="黑体"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eastAsia="黑体" w:hint="eastAsia"/>
          <w:lang w:val="en-GB"/>
        </w:rPr>
        <w:tab/>
      </w:r>
      <w:r w:rsidRPr="00960C45">
        <w:rPr>
          <w:rFonts w:eastAsia="黑体" w:hint="eastAsia"/>
          <w:lang w:val="en-GB"/>
        </w:rPr>
        <w:t>继续消除在获得优质教育方面对弱势群体妇女和女童的歧视，包括采取暂行特别措施，并确保有效监测和评价这些努力的影响，以宣传补救行动。</w:t>
      </w:r>
    </w:p>
    <w:p w:rsidR="00B11597" w:rsidRDefault="00B11597">
      <w:pPr>
        <w:spacing w:line="240" w:lineRule="auto"/>
        <w:jc w:val="left"/>
        <w:rPr>
          <w:rFonts w:eastAsia="黑体"/>
          <w:lang w:val="en-GB"/>
        </w:rPr>
      </w:pPr>
      <w:r>
        <w:rPr>
          <w:rFonts w:eastAsia="黑体"/>
          <w:lang w:val="en-GB"/>
        </w:rPr>
        <w:br w:type="page"/>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就业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34.</w:t>
      </w:r>
      <w:r w:rsidRPr="00960C45">
        <w:rPr>
          <w:lang w:val="en-GB"/>
        </w:rPr>
        <w:tab/>
      </w:r>
      <w:r w:rsidRPr="00960C45">
        <w:rPr>
          <w:rFonts w:hint="eastAsia"/>
          <w:lang w:val="en-GB"/>
        </w:rPr>
        <w:t>委员会欢迎缔约国妇女普遍较高的劳动参与率，欢迎为促进劳动力市场性别平等采取的各种措施，包括为协调家庭和工作生活、增加非全日制工人的社会权利和减少妇女在这类工人中的比例、提高老年妇女的退休金和打破玻璃天花板而采取的措施。委员会还欢迎将对性骚扰和性别歧视行为的监管扩大到公共部门，如最近通过的关于公司和经济活动人口的新的自由和新的保护法</w:t>
      </w:r>
      <w:r w:rsidR="00B11597">
        <w:rPr>
          <w:rFonts w:hint="eastAsia"/>
          <w:lang w:val="en-GB"/>
        </w:rPr>
        <w:t>(</w:t>
      </w:r>
      <w:r w:rsidRPr="00960C45">
        <w:rPr>
          <w:rFonts w:hint="eastAsia"/>
          <w:lang w:val="en-GB"/>
        </w:rPr>
        <w:t>《库姆里法》</w:t>
      </w:r>
      <w:r w:rsidR="00B11597">
        <w:rPr>
          <w:rFonts w:hint="eastAsia"/>
          <w:lang w:val="en-GB"/>
        </w:rPr>
        <w:t>)</w:t>
      </w:r>
      <w:r w:rsidRPr="00960C45">
        <w:rPr>
          <w:rFonts w:hint="eastAsia"/>
          <w:lang w:val="en-GB"/>
        </w:rPr>
        <w:t>所规定的。但委员会关切的是：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持续的横向和纵向职业隔离，和妇女集中于非全日制和低薪工作，公共服务机构中采取关于管理职位的措施明显没有实现其目标；</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hint="eastAsia"/>
          <w:lang w:val="en-GB"/>
        </w:rPr>
        <w:tab/>
      </w:r>
      <w:r w:rsidRPr="00960C45">
        <w:rPr>
          <w:rFonts w:hint="eastAsia"/>
          <w:lang w:val="en-GB"/>
        </w:rPr>
        <w:t>没有实施同工同酬原则，公共和私营部门两性工资差距持续存在，对妇女的职业发展和养老金福利产生了不利影响；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hint="eastAsia"/>
          <w:lang w:val="en-GB"/>
        </w:rPr>
        <w:tab/>
      </w:r>
      <w:r w:rsidRPr="00960C45">
        <w:rPr>
          <w:rFonts w:hint="eastAsia"/>
          <w:lang w:val="en-GB"/>
        </w:rPr>
        <w:t>尽管进行了改革，但男子育儿假实际上仍然用得很少；</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hint="eastAsia"/>
          <w:lang w:val="en-GB"/>
        </w:rPr>
        <w:t>移徙者、难民、寻求庇护者和罗姆妇女、以及属于其他少数群体的妇女和残疾妇女进入劳动力市场的机会有限；</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hint="eastAsia"/>
          <w:lang w:val="en-GB"/>
        </w:rPr>
        <w:tab/>
      </w:r>
      <w:r w:rsidRPr="00960C45">
        <w:rPr>
          <w:rFonts w:hint="eastAsia"/>
          <w:lang w:val="en-GB"/>
        </w:rPr>
        <w:t>根据新的《库姆里法》，雇主有可能通过单方面决定，在企业内部规章中实行中立原则，这可能会对穆斯林妇女造成特别严重的影响，并进一步增加其在就业方面的脆弱性；</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hint="eastAsia"/>
          <w:lang w:val="en-GB"/>
        </w:rPr>
        <w:tab/>
      </w:r>
      <w:r w:rsidRPr="00960C45">
        <w:rPr>
          <w:rFonts w:hint="eastAsia"/>
          <w:lang w:val="en-GB"/>
        </w:rPr>
        <w:t>在书面资料中没有表示愿意批准国际劳工组织</w:t>
      </w:r>
      <w:r w:rsidRPr="00960C45">
        <w:rPr>
          <w:rFonts w:hint="eastAsia"/>
          <w:lang w:val="en-GB"/>
        </w:rPr>
        <w:t>2011</w:t>
      </w:r>
      <w:r w:rsidRPr="00960C45">
        <w:rPr>
          <w:rFonts w:hint="eastAsia"/>
          <w:lang w:val="en-GB"/>
        </w:rPr>
        <w:t>年《家庭工人公约》</w:t>
      </w:r>
      <w:r w:rsidR="00B11597">
        <w:rPr>
          <w:rFonts w:hint="eastAsia"/>
          <w:lang w:val="en-GB"/>
        </w:rPr>
        <w:t>(</w:t>
      </w:r>
      <w:r w:rsidRPr="00960C45">
        <w:rPr>
          <w:rFonts w:hint="eastAsia"/>
          <w:lang w:val="en-GB"/>
        </w:rPr>
        <w:t>第</w:t>
      </w:r>
      <w:r w:rsidRPr="00960C45">
        <w:rPr>
          <w:rFonts w:hint="eastAsia"/>
          <w:lang w:val="en-GB"/>
        </w:rPr>
        <w:t>189</w:t>
      </w:r>
      <w:r w:rsidRPr="00960C45">
        <w:rPr>
          <w:rFonts w:hint="eastAsia"/>
          <w:lang w:val="en-GB"/>
        </w:rPr>
        <w:t>号</w:t>
      </w:r>
      <w:r w:rsidR="00B11597">
        <w:rPr>
          <w:rFonts w:hint="eastAsia"/>
          <w:lang w:val="en-GB"/>
        </w:rPr>
        <w:t>)</w:t>
      </w:r>
      <w:r w:rsidRPr="00960C45">
        <w:rPr>
          <w:rFonts w:hint="eastAsia"/>
          <w:lang w:val="en-GB"/>
        </w:rPr>
        <w:t>。</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35.</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采取有效措施，包括技能培训、推动妇女在非传统领域工作的激励措施和暂行特别措施，实现男女在劳动市场的事实上的机会平等，在公共和私营部门消除横向和纵向职业隔离；并确保妇女管理职位的配额不因无效率核准而受到不利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b</w:t>
      </w:r>
      <w:r w:rsidR="00B11597">
        <w:rPr>
          <w:rFonts w:hint="eastAsia"/>
          <w:lang w:val="en-GB"/>
        </w:rPr>
        <w:t>)</w:t>
      </w:r>
      <w:r w:rsidRPr="00960C45">
        <w:rPr>
          <w:rFonts w:eastAsia="黑体" w:hint="eastAsia"/>
          <w:lang w:val="en-GB"/>
        </w:rPr>
        <w:tab/>
      </w:r>
      <w:r w:rsidRPr="00960C45">
        <w:rPr>
          <w:rFonts w:eastAsia="黑体" w:hint="eastAsia"/>
          <w:lang w:val="en-GB"/>
        </w:rPr>
        <w:t>采取措施，切实执行同工同酬原则，缩小和弥合两性工资差距，包括为此采用性别中立的分析性职业分类和评估方法，以及定期的薪酬调查，特别是在公务部门，并确保企业遵守法律义务，制定措施以促进集体谈判；</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c</w:t>
      </w:r>
      <w:r w:rsidR="00B11597">
        <w:rPr>
          <w:rFonts w:hint="eastAsia"/>
          <w:lang w:val="en-GB"/>
        </w:rPr>
        <w:t>)</w:t>
      </w:r>
      <w:r w:rsidRPr="00960C45">
        <w:rPr>
          <w:rFonts w:eastAsia="黑体" w:hint="eastAsia"/>
          <w:lang w:val="en-GB"/>
        </w:rPr>
        <w:tab/>
      </w:r>
      <w:r w:rsidRPr="00960C45">
        <w:rPr>
          <w:rFonts w:eastAsia="黑体" w:hint="eastAsia"/>
          <w:lang w:val="en-GB"/>
        </w:rPr>
        <w:t>为妇女创造更多的全职工作机会，包括提倡男女平等分担家务和家庭事务，提供更多更好的保育设施，增加激励措施，鼓励男子使用其育儿假权利；</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d</w:t>
      </w:r>
      <w:r w:rsidR="00B11597">
        <w:rPr>
          <w:rFonts w:hint="eastAsia"/>
          <w:lang w:val="en-GB"/>
        </w:rPr>
        <w:t>)</w:t>
      </w:r>
      <w:r w:rsidRPr="00960C45">
        <w:rPr>
          <w:rFonts w:hint="eastAsia"/>
          <w:lang w:val="en-GB"/>
        </w:rPr>
        <w:tab/>
      </w:r>
      <w:r w:rsidRPr="00960C45">
        <w:rPr>
          <w:rFonts w:eastAsia="黑体" w:hint="eastAsia"/>
          <w:lang w:val="en-GB"/>
        </w:rPr>
        <w:t>考虑到弱势群体妇女，尤其是移徙者、难民、寻求庇护者和罗姆妇女，以及属于少数群体的妇女和残疾妇女的需求，并考虑在这方面采取有针对性的措施，包括暂行特别措施，为这些群体创造更多的就业机会；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e</w:t>
      </w:r>
      <w:r w:rsidR="00B11597">
        <w:rPr>
          <w:rFonts w:hint="eastAsia"/>
          <w:lang w:val="en-GB"/>
        </w:rPr>
        <w:t>)</w:t>
      </w:r>
      <w:r w:rsidRPr="00960C45">
        <w:rPr>
          <w:rFonts w:eastAsia="黑体" w:hint="eastAsia"/>
          <w:lang w:val="en-GB"/>
        </w:rPr>
        <w:tab/>
      </w:r>
      <w:r w:rsidRPr="00960C45">
        <w:rPr>
          <w:rFonts w:eastAsia="黑体" w:hint="eastAsia"/>
          <w:lang w:val="en-GB"/>
        </w:rPr>
        <w:t>全面审查新的《库姆里法》的性别影响，以期修订可能间接歧视妇女的所有规定，特别是关于中立原则的规定，以保护妇女的权利并使其与先前各项性别平等立法保持一致；</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rFonts w:hint="eastAsia"/>
          <w:lang w:val="en-GB"/>
        </w:rPr>
        <w:tab/>
      </w:r>
      <w:r w:rsidR="00B11597">
        <w:rPr>
          <w:rFonts w:hint="eastAsia"/>
          <w:lang w:val="en-GB"/>
        </w:rPr>
        <w:t>(</w:t>
      </w:r>
      <w:r w:rsidRPr="00960C45">
        <w:rPr>
          <w:rFonts w:hint="eastAsia"/>
          <w:lang w:val="en-GB"/>
        </w:rPr>
        <w:t>f</w:t>
      </w:r>
      <w:r w:rsidR="00B11597">
        <w:rPr>
          <w:rFonts w:hint="eastAsia"/>
          <w:lang w:val="en-GB"/>
        </w:rPr>
        <w:t>)</w:t>
      </w:r>
      <w:r w:rsidRPr="00960C45">
        <w:rPr>
          <w:rFonts w:eastAsia="黑体" w:hint="eastAsia"/>
          <w:lang w:val="en-GB"/>
        </w:rPr>
        <w:tab/>
      </w:r>
      <w:r w:rsidRPr="00960C45">
        <w:rPr>
          <w:rFonts w:eastAsia="黑体" w:hint="eastAsia"/>
          <w:lang w:val="en-GB"/>
        </w:rPr>
        <w:t>批准国际劳工组织</w:t>
      </w:r>
      <w:r w:rsidRPr="00960C45">
        <w:rPr>
          <w:rFonts w:eastAsia="黑体" w:hint="eastAsia"/>
          <w:lang w:val="en-GB"/>
        </w:rPr>
        <w:t>2011</w:t>
      </w:r>
      <w:r w:rsidRPr="00960C45">
        <w:rPr>
          <w:rFonts w:eastAsia="黑体" w:hint="eastAsia"/>
          <w:lang w:val="en-GB"/>
        </w:rPr>
        <w:t>年《家庭工人公约》</w:t>
      </w:r>
      <w:r w:rsidR="00B11597">
        <w:rPr>
          <w:rFonts w:eastAsia="黑体" w:hint="eastAsia"/>
          <w:lang w:val="en-GB"/>
        </w:rPr>
        <w:t>(</w:t>
      </w:r>
      <w:r w:rsidRPr="00960C45">
        <w:rPr>
          <w:rFonts w:eastAsia="黑体" w:hint="eastAsia"/>
          <w:lang w:val="en-GB"/>
        </w:rPr>
        <w:t>第</w:t>
      </w:r>
      <w:r w:rsidRPr="00960C45">
        <w:rPr>
          <w:rFonts w:eastAsia="黑体" w:hint="eastAsia"/>
          <w:lang w:val="en-GB"/>
        </w:rPr>
        <w:t>189</w:t>
      </w:r>
      <w:r w:rsidRPr="00960C45">
        <w:rPr>
          <w:rFonts w:eastAsia="黑体" w:hint="eastAsia"/>
          <w:lang w:val="en-GB"/>
        </w:rPr>
        <w:t>号</w:t>
      </w:r>
      <w:r w:rsidR="00B11597">
        <w:rPr>
          <w:rFonts w:eastAsia="黑体" w:hint="eastAsia"/>
          <w:lang w:val="en-GB"/>
        </w:rPr>
        <w:t>)</w:t>
      </w:r>
      <w:r w:rsidRPr="00960C45">
        <w:rPr>
          <w:rFonts w:eastAsia="黑体" w:hint="eastAsia"/>
          <w:lang w:val="en-GB"/>
        </w:rPr>
        <w:t>。</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卫生</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36.</w:t>
      </w:r>
      <w:r w:rsidRPr="00960C45">
        <w:rPr>
          <w:lang w:val="en-GB"/>
        </w:rPr>
        <w:tab/>
      </w:r>
      <w:r w:rsidRPr="00960C45">
        <w:rPr>
          <w:rFonts w:hint="eastAsia"/>
          <w:lang w:val="en-GB"/>
        </w:rPr>
        <w:t>委员会欢迎缔约国采取立法措施以便利获得避孕和流产服务，包括全面保险保障，针对青少年的免费避孕服务以及学校护士提供的紧急避孕服务。但委员会关切的是：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在提供医疗保健服务方面的区域差异，这可能会对妇女和女童造成不相称的影响；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少女和</w:t>
      </w:r>
      <w:r w:rsidRPr="00960C45">
        <w:rPr>
          <w:rFonts w:hint="eastAsia"/>
          <w:lang w:val="en-GB"/>
        </w:rPr>
        <w:t>/</w:t>
      </w:r>
      <w:r w:rsidRPr="00960C45">
        <w:rPr>
          <w:rFonts w:hint="eastAsia"/>
          <w:lang w:val="en-GB"/>
        </w:rPr>
        <w:t>或意外怀孕比例，特别是在海外领地和处境不利的妇女群体中；</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hint="eastAsia"/>
          <w:lang w:val="en-GB"/>
        </w:rPr>
        <w:t>获得医疗保健服务的机会差异，这取决于妇女和女童的居住地；</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hint="eastAsia"/>
          <w:lang w:val="en-GB"/>
        </w:rPr>
        <w:t>马约特岛和法属圭亚那的孕产妇死亡率高，这主要归因于许多外籍妇女迟迟无法获得产科服务；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e</w:t>
      </w:r>
      <w:r w:rsidR="00B11597">
        <w:rPr>
          <w:lang w:val="en-GB"/>
        </w:rPr>
        <w:t>)</w:t>
      </w:r>
      <w:r w:rsidRPr="00960C45">
        <w:rPr>
          <w:lang w:val="en-GB"/>
        </w:rPr>
        <w:tab/>
      </w:r>
      <w:r w:rsidRPr="00960C45">
        <w:rPr>
          <w:rFonts w:hint="eastAsia"/>
          <w:lang w:val="en-GB"/>
        </w:rPr>
        <w:t>因采矿和非法采矿活动造成的水和土壤汞中毒，对法属圭亚那妇女和女童的健康造成不相称的影响；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f</w:t>
      </w:r>
      <w:r w:rsidR="00B11597">
        <w:rPr>
          <w:lang w:val="en-GB"/>
        </w:rPr>
        <w:t>)</w:t>
      </w:r>
      <w:r w:rsidRPr="00960C45">
        <w:rPr>
          <w:lang w:val="en-GB"/>
        </w:rPr>
        <w:tab/>
      </w:r>
      <w:r w:rsidRPr="00960C45">
        <w:rPr>
          <w:rFonts w:hint="eastAsia"/>
          <w:lang w:val="en-GB"/>
        </w:rPr>
        <w:t>缔约国未采取措施来解决法国</w:t>
      </w:r>
      <w:r w:rsidRPr="00960C45">
        <w:rPr>
          <w:rFonts w:hint="eastAsia"/>
          <w:lang w:val="en-GB"/>
        </w:rPr>
        <w:t>30</w:t>
      </w:r>
      <w:r w:rsidRPr="00960C45">
        <w:rPr>
          <w:rFonts w:hint="eastAsia"/>
          <w:lang w:val="en-GB"/>
        </w:rPr>
        <w:t>年核试验对法属波利尼西亚妇女和女童健康的影响。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37.</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确保在领土全面覆盖医疗保健服务，特别是性和生殖保健服务；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降低少女和</w:t>
      </w:r>
      <w:r w:rsidRPr="00960C45">
        <w:rPr>
          <w:rFonts w:eastAsia="黑体" w:hint="eastAsia"/>
          <w:lang w:val="en-GB"/>
        </w:rPr>
        <w:t>/</w:t>
      </w:r>
      <w:r w:rsidRPr="00960C45">
        <w:rPr>
          <w:rFonts w:eastAsia="黑体" w:hint="eastAsia"/>
          <w:lang w:val="en-GB"/>
        </w:rPr>
        <w:t>或意外怀孕的比例，包括为此提高包括计划生育信息和服务在内的性和生殖保健服务的可及性、可获性和承付能力，特别是在海外领地和处境不利的妇女群体中；</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960C45">
        <w:rPr>
          <w:rFonts w:eastAsia="黑体" w:hint="eastAsia"/>
          <w:lang w:val="en-GB"/>
        </w:rPr>
        <w:t>继续当前努力，确保能够在包括非都市区在内的整个领土获得包括门诊服务在内的优质医疗保健服务，同时专注于诸如老年妇女和残疾妇女等特别脆弱的妇女群体；</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d</w:t>
      </w:r>
      <w:r w:rsidR="00B11597">
        <w:rPr>
          <w:lang w:val="en-GB"/>
        </w:rPr>
        <w:t>)</w:t>
      </w:r>
      <w:r w:rsidRPr="00960C45">
        <w:rPr>
          <w:lang w:val="en-GB"/>
        </w:rPr>
        <w:tab/>
      </w:r>
      <w:r w:rsidRPr="00960C45">
        <w:rPr>
          <w:rFonts w:eastAsia="黑体" w:hint="eastAsia"/>
          <w:lang w:val="en-GB"/>
        </w:rPr>
        <w:t>加强努力以减少孕产妇死亡发生率，特别是在马约特岛和法属圭亚那，包括为此执行国家专家委员会的调查建议；</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e</w:t>
      </w:r>
      <w:r w:rsidR="00B11597">
        <w:rPr>
          <w:lang w:val="en-GB"/>
        </w:rPr>
        <w:t>)</w:t>
      </w:r>
      <w:r w:rsidRPr="00960C45">
        <w:rPr>
          <w:lang w:val="en-GB"/>
        </w:rPr>
        <w:tab/>
      </w:r>
      <w:r w:rsidRPr="00960C45">
        <w:rPr>
          <w:rFonts w:eastAsia="黑体" w:hint="eastAsia"/>
          <w:lang w:val="en-GB"/>
        </w:rPr>
        <w:t>确保规定对卖淫妇女的客户定罪的新法律不阻碍卖淫妇女获得优质的性和生殖保健服务和艾滋病毒</w:t>
      </w:r>
      <w:r w:rsidRPr="00960C45">
        <w:rPr>
          <w:rFonts w:eastAsia="黑体" w:hint="eastAsia"/>
          <w:lang w:val="en-GB"/>
        </w:rPr>
        <w:t>/</w:t>
      </w:r>
      <w:r w:rsidRPr="00960C45">
        <w:rPr>
          <w:rFonts w:eastAsia="黑体" w:hint="eastAsia"/>
          <w:lang w:val="en-GB"/>
        </w:rPr>
        <w:t>艾滋病治疗，包括保密服务；</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f</w:t>
      </w:r>
      <w:r w:rsidR="00B11597">
        <w:rPr>
          <w:lang w:val="en-GB"/>
        </w:rPr>
        <w:t>)</w:t>
      </w:r>
      <w:r w:rsidRPr="00960C45">
        <w:rPr>
          <w:lang w:val="en-GB"/>
        </w:rPr>
        <w:tab/>
      </w:r>
      <w:r w:rsidRPr="00960C45">
        <w:rPr>
          <w:rFonts w:eastAsia="黑体" w:hint="eastAsia"/>
          <w:lang w:val="en-GB"/>
        </w:rPr>
        <w:t>继续对法属圭亚那土著人口的汞中毒情况进行健康监测，调查、起诉和处罚对这种中毒事件负有责任的人并向受害者提供补救办法；</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g</w:t>
      </w:r>
      <w:r w:rsidR="00B11597">
        <w:rPr>
          <w:lang w:val="en-GB"/>
        </w:rPr>
        <w:t>)</w:t>
      </w:r>
      <w:r w:rsidRPr="00960C45">
        <w:rPr>
          <w:lang w:val="en-GB"/>
        </w:rPr>
        <w:tab/>
      </w:r>
      <w:r w:rsidRPr="00960C45">
        <w:rPr>
          <w:rFonts w:eastAsia="黑体" w:hint="eastAsia"/>
          <w:lang w:val="en-GB"/>
        </w:rPr>
        <w:t>就核试验对法属波利尼西亚妇女健康的影响展开严格、透明和对性别敏感的评估；并加快处理受害者索赔要求。</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增强妇女的经济权能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38.</w:t>
      </w:r>
      <w:r w:rsidRPr="00960C45">
        <w:rPr>
          <w:lang w:val="en-GB"/>
        </w:rPr>
        <w:tab/>
      </w:r>
      <w:r w:rsidRPr="00960C45">
        <w:rPr>
          <w:rFonts w:hint="eastAsia"/>
          <w:lang w:val="en-GB"/>
        </w:rPr>
        <w:t>委员会注意到</w:t>
      </w:r>
      <w:r w:rsidRPr="00960C45">
        <w:rPr>
          <w:rFonts w:hint="eastAsia"/>
          <w:lang w:val="en-GB"/>
        </w:rPr>
        <w:t>2013</w:t>
      </w:r>
      <w:r w:rsidRPr="00960C45">
        <w:rPr>
          <w:rFonts w:hint="eastAsia"/>
          <w:lang w:val="en-GB"/>
        </w:rPr>
        <w:t>年启动的妇女创业计划。但委员会关切的是：</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hint="eastAsia"/>
          <w:lang w:val="en-GB"/>
        </w:rPr>
        <w:t>已婚配偶或法定结合人士联合纳税制度可能阻碍妇女就业，取决于收入水平和配偶有酬工作分配，对配偶产生不平等影响；取决于配偶在税法和社会法中的公民身份，在配偶待遇方面存在差异：</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hint="eastAsia"/>
          <w:lang w:val="en-GB"/>
        </w:rPr>
        <w:t>妇女在体育联合会和文化机构中的代表性不足，分配给妇女体育竞赛和艺术活动的广播时间明显更少。</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39.</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修订税收制度并引入个体所得税，至少将其作为选项，并且废除或修改“家庭系数”，使所得税制度不分性别，而不是阻碍妇女参与劳动力市场；</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简化和协调税法和社会法中的配偶待遇，无论他们是否已婚，结成民事伴侣或处于事实结合状态；</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c</w:t>
      </w:r>
      <w:r w:rsidR="00B11597">
        <w:rPr>
          <w:lang w:val="en-GB"/>
        </w:rPr>
        <w:t>)</w:t>
      </w:r>
      <w:r w:rsidRPr="00960C45">
        <w:rPr>
          <w:lang w:val="en-GB"/>
        </w:rPr>
        <w:tab/>
      </w:r>
      <w:r w:rsidRPr="00B11597">
        <w:rPr>
          <w:rFonts w:eastAsia="黑体" w:hint="eastAsia"/>
          <w:spacing w:val="-5"/>
          <w:lang w:val="en-GB"/>
        </w:rPr>
        <w:t>继续努力实现纳入体育联合会和文化政策行为者的协定中的实质性平等。</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农村妇女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40.</w:t>
      </w:r>
      <w:r w:rsidRPr="00960C45">
        <w:rPr>
          <w:lang w:val="en-GB"/>
        </w:rPr>
        <w:tab/>
      </w:r>
      <w:r w:rsidRPr="00960C45">
        <w:rPr>
          <w:rFonts w:hint="eastAsia"/>
          <w:lang w:val="en-GB"/>
        </w:rPr>
        <w:t>委员会注意到领土和性别相关数据的产生以及农村综合概念，包括农业培训方案、妇女创业、农业旅游和提高农村地区妇女职业活动的多样性。委员会关切的是，这些领域需要长期措施。委员会还关切的是，缺乏措施来解决农村妇女的脆弱性，特别是海外领地的老年妇女因跨国采矿企业土地购置而产生的脆弱性，通常造成强迫迁离、妇女流离失所和缺乏充分补偿。</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41.</w:t>
      </w:r>
      <w:r w:rsidRPr="00960C45">
        <w:rPr>
          <w:lang w:val="en-GB"/>
        </w:rPr>
        <w:tab/>
      </w:r>
      <w:r w:rsidRPr="00960C45">
        <w:rPr>
          <w:rFonts w:eastAsia="黑体" w:hint="eastAsia"/>
          <w:lang w:val="en-GB"/>
        </w:rPr>
        <w:t>委员会建议缔约国：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ab/>
      </w:r>
      <w:r w:rsidR="00B11597">
        <w:rPr>
          <w:lang w:val="en-GB"/>
        </w:rPr>
        <w:t>(</w:t>
      </w:r>
      <w:r w:rsidRPr="00960C45">
        <w:rPr>
          <w:lang w:val="en-GB"/>
        </w:rPr>
        <w:t>a</w:t>
      </w:r>
      <w:r w:rsidR="00B11597">
        <w:rPr>
          <w:lang w:val="en-GB"/>
        </w:rPr>
        <w:t>)</w:t>
      </w:r>
      <w:r w:rsidRPr="00960C45">
        <w:rPr>
          <w:lang w:val="en-GB"/>
        </w:rPr>
        <w:tab/>
      </w:r>
      <w:r w:rsidRPr="00960C45">
        <w:rPr>
          <w:rFonts w:eastAsia="黑体" w:hint="eastAsia"/>
          <w:lang w:val="en-GB"/>
        </w:rPr>
        <w:t>以性别视角继续努力制定和执行综合农村政策，提供必要的长期资源以确保农村妇女的有效社会保护和增强农村妇女的权能；</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ab/>
      </w:r>
      <w:r w:rsidR="00B11597">
        <w:rPr>
          <w:lang w:val="en-GB"/>
        </w:rPr>
        <w:t>(</w:t>
      </w:r>
      <w:r w:rsidRPr="00960C45">
        <w:rPr>
          <w:lang w:val="en-GB"/>
        </w:rPr>
        <w:t>b</w:t>
      </w:r>
      <w:r w:rsidR="00B11597">
        <w:rPr>
          <w:lang w:val="en-GB"/>
        </w:rPr>
        <w:t>)</w:t>
      </w:r>
      <w:r w:rsidRPr="00960C45">
        <w:rPr>
          <w:lang w:val="en-GB"/>
        </w:rPr>
        <w:tab/>
      </w:r>
      <w:r w:rsidRPr="00960C45">
        <w:rPr>
          <w:rFonts w:eastAsia="黑体" w:hint="eastAsia"/>
          <w:lang w:val="en-GB"/>
        </w:rPr>
        <w:t>解决土地购置和长期租赁对海外领地农村妇女的负面影响，确保这些妇女参与土地租赁协定谈判，确保这些协定不对她们的生计产生负面影响。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处境不利的妇女群体</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3"/>
        <w:rPr>
          <w:rFonts w:eastAsia="楷体_GB2312"/>
          <w:lang w:val="en-GB"/>
        </w:rPr>
      </w:pPr>
      <w:r w:rsidRPr="00960C45">
        <w:rPr>
          <w:i/>
          <w:lang w:val="en-GB"/>
        </w:rPr>
        <w:tab/>
      </w:r>
      <w:r w:rsidRPr="00960C45">
        <w:rPr>
          <w:rFonts w:eastAsia="楷体_GB2312" w:hint="eastAsia"/>
          <w:lang w:val="en-GB"/>
        </w:rPr>
        <w:tab/>
      </w:r>
      <w:r w:rsidRPr="00960C45">
        <w:rPr>
          <w:rFonts w:eastAsia="楷体_GB2312" w:hint="eastAsia"/>
          <w:lang w:val="en-GB"/>
        </w:rPr>
        <w:t>移徙妇女和移徙来源的妇女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42.</w:t>
      </w:r>
      <w:r w:rsidRPr="00960C45">
        <w:rPr>
          <w:lang w:val="en-GB"/>
        </w:rPr>
        <w:tab/>
      </w:r>
      <w:r w:rsidRPr="00960C45">
        <w:rPr>
          <w:rFonts w:hint="eastAsia"/>
          <w:lang w:val="en-GB"/>
        </w:rPr>
        <w:t>委员会欢迎缔约国为使移徙妇女和女童以及移徙来源的妇女全面融入法国社会所付出的努力。但是，委员会对这些妇女在各个领域仍然面临的障碍表示关切。</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43.</w:t>
      </w:r>
      <w:r w:rsidRPr="00960C45">
        <w:rPr>
          <w:lang w:val="en-GB"/>
        </w:rPr>
        <w:tab/>
      </w:r>
      <w:r w:rsidRPr="00960C45">
        <w:rPr>
          <w:rFonts w:eastAsia="黑体" w:hint="eastAsia"/>
          <w:lang w:val="en-GB"/>
        </w:rPr>
        <w:t>委员会建议缔约国继续努力并在诸如城市政策等所有公共政策中，更广泛地说，在消除一切形式的歧视中，考虑到移徙妇女和移徙来源的妇女的具体情况。</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3"/>
        <w:rPr>
          <w:rFonts w:eastAsia="楷体_GB2312"/>
          <w:lang w:val="en-GB"/>
        </w:rPr>
      </w:pPr>
      <w:r w:rsidRPr="00960C45">
        <w:rPr>
          <w:rFonts w:eastAsia="楷体_GB2312" w:hint="eastAsia"/>
          <w:lang w:val="en-GB"/>
        </w:rPr>
        <w:tab/>
      </w:r>
      <w:r w:rsidRPr="00960C45">
        <w:rPr>
          <w:rFonts w:eastAsia="楷体_GB2312" w:hint="eastAsia"/>
          <w:lang w:val="en-GB"/>
        </w:rPr>
        <w:tab/>
      </w:r>
      <w:r w:rsidRPr="00960C45">
        <w:rPr>
          <w:rFonts w:eastAsia="楷体_GB2312" w:hint="eastAsia"/>
          <w:lang w:val="en-GB"/>
        </w:rPr>
        <w:t>被拘留的妇女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44.</w:t>
      </w:r>
      <w:r w:rsidRPr="00960C45">
        <w:rPr>
          <w:lang w:val="en-GB"/>
        </w:rPr>
        <w:tab/>
      </w:r>
      <w:r w:rsidRPr="00960C45">
        <w:rPr>
          <w:rFonts w:hint="eastAsia"/>
          <w:lang w:val="en-GB"/>
        </w:rPr>
        <w:t>委员会注意到妇女占被拘留人员的</w:t>
      </w:r>
      <w:r w:rsidRPr="00960C45">
        <w:rPr>
          <w:rFonts w:hint="eastAsia"/>
          <w:lang w:val="en-GB"/>
        </w:rPr>
        <w:t>3.23%</w:t>
      </w:r>
      <w:r w:rsidRPr="00960C45">
        <w:rPr>
          <w:rFonts w:hint="eastAsia"/>
          <w:lang w:val="en-GB"/>
        </w:rPr>
        <w:t>和被行政拘留人员的</w:t>
      </w:r>
      <w:r w:rsidRPr="00960C45">
        <w:rPr>
          <w:rFonts w:hint="eastAsia"/>
          <w:lang w:val="en-GB"/>
        </w:rPr>
        <w:t>6%</w:t>
      </w:r>
      <w:r w:rsidRPr="00960C45">
        <w:rPr>
          <w:rFonts w:hint="eastAsia"/>
          <w:lang w:val="en-GB"/>
        </w:rPr>
        <w:t>。委员会关切的是，监狱严重过度拥挤，基础设施陈旧、女子监狱内的少数囚犯因地理距离而与家庭隔绝、工作、培训和继续培训、获得卫生、社会和文化服务可能性较低，以及自杀和被迫住院治疗精神病的风险较高。</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45.</w:t>
      </w:r>
      <w:r w:rsidRPr="00960C45">
        <w:rPr>
          <w:rFonts w:hint="eastAsia"/>
          <w:lang w:val="en-GB"/>
        </w:rPr>
        <w:t xml:space="preserve">  </w:t>
      </w:r>
      <w:r w:rsidRPr="00960C45">
        <w:rPr>
          <w:rFonts w:eastAsia="黑体" w:hint="eastAsia"/>
          <w:lang w:val="en-GB"/>
        </w:rPr>
        <w:t>委员会建议缔约国执行主计长在其</w:t>
      </w:r>
      <w:r w:rsidRPr="00960C45">
        <w:rPr>
          <w:rFonts w:eastAsia="黑体" w:hint="eastAsia"/>
          <w:lang w:val="en-GB"/>
        </w:rPr>
        <w:t>2016</w:t>
      </w:r>
      <w:r w:rsidRPr="00960C45">
        <w:rPr>
          <w:rFonts w:eastAsia="黑体" w:hint="eastAsia"/>
          <w:lang w:val="en-GB"/>
        </w:rPr>
        <w:t>年报告中针对拘留所提出的建议，特别是关于这一特殊环境内的性别平等。</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婚姻和家庭关系</w:t>
      </w: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46.</w:t>
      </w:r>
      <w:r w:rsidRPr="00960C45">
        <w:rPr>
          <w:lang w:val="en-GB"/>
        </w:rPr>
        <w:tab/>
      </w:r>
      <w:r w:rsidRPr="00960C45">
        <w:rPr>
          <w:rFonts w:hint="eastAsia"/>
          <w:lang w:val="en-GB"/>
        </w:rPr>
        <w:t>委员会欢迎通过</w:t>
      </w:r>
      <w:r w:rsidRPr="00960C45">
        <w:rPr>
          <w:rFonts w:hint="eastAsia"/>
          <w:lang w:val="en-GB"/>
        </w:rPr>
        <w:t>2013</w:t>
      </w:r>
      <w:r w:rsidRPr="00960C45">
        <w:rPr>
          <w:rFonts w:hint="eastAsia"/>
          <w:lang w:val="en-GB"/>
        </w:rPr>
        <w:t>年</w:t>
      </w:r>
      <w:r w:rsidRPr="00960C45">
        <w:rPr>
          <w:rFonts w:hint="eastAsia"/>
          <w:lang w:val="en-GB"/>
        </w:rPr>
        <w:t>6</w:t>
      </w:r>
      <w:r w:rsidRPr="00960C45">
        <w:rPr>
          <w:rFonts w:hint="eastAsia"/>
          <w:lang w:val="en-GB"/>
        </w:rPr>
        <w:t>月</w:t>
      </w:r>
      <w:r w:rsidRPr="00960C45">
        <w:rPr>
          <w:rFonts w:hint="eastAsia"/>
          <w:lang w:val="en-GB"/>
        </w:rPr>
        <w:t>18</w:t>
      </w:r>
      <w:r w:rsidRPr="00960C45">
        <w:rPr>
          <w:rFonts w:hint="eastAsia"/>
          <w:lang w:val="en-GB"/>
        </w:rPr>
        <w:t>日第</w:t>
      </w:r>
      <w:r w:rsidRPr="00960C45">
        <w:rPr>
          <w:rFonts w:hint="eastAsia"/>
          <w:lang w:val="en-GB"/>
        </w:rPr>
        <w:t>2003-516</w:t>
      </w:r>
      <w:r w:rsidRPr="00960C45">
        <w:rPr>
          <w:rFonts w:hint="eastAsia"/>
          <w:lang w:val="en-GB"/>
        </w:rPr>
        <w:t>号法令，该法令确保在姓氏传递方面的平等权利。但是，委员会注意到，大多数儿童仍然仅继承父亲的姓名。委员会对希望改名的变性人必须满足的条件表示关切。</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47.</w:t>
      </w:r>
      <w:r w:rsidRPr="00960C45">
        <w:rPr>
          <w:lang w:val="en-GB"/>
        </w:rPr>
        <w:tab/>
      </w:r>
      <w:r w:rsidRPr="00960C45">
        <w:rPr>
          <w:rFonts w:eastAsia="黑体" w:hint="eastAsia"/>
          <w:lang w:val="en-GB"/>
        </w:rPr>
        <w:t>委员会建议缔约国采取措施向父母宣传男女在将自己的姓氏传递给子女方面具有平等权利，以及消除予以男性姓氏的家长优先权。委员会还建议简化变性人改名的司法程序，使他们能够向登记官员或公证人宣布改名。</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48.</w:t>
      </w:r>
      <w:r w:rsidRPr="00960C45">
        <w:rPr>
          <w:lang w:val="en-GB"/>
        </w:rPr>
        <w:tab/>
      </w:r>
      <w:r w:rsidRPr="00960C45">
        <w:rPr>
          <w:rFonts w:hint="eastAsia"/>
          <w:lang w:val="en-GB"/>
        </w:rPr>
        <w:t>委员会关切的是，在一些非都市领地生效的许多习惯法或做法含有婚姻和家庭关系方面的歧视性条款，不符合《公约》规定。</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49.</w:t>
      </w:r>
      <w:r w:rsidRPr="00960C45">
        <w:rPr>
          <w:lang w:val="en-GB"/>
        </w:rPr>
        <w:tab/>
      </w:r>
      <w:r w:rsidRPr="00960C45">
        <w:rPr>
          <w:rFonts w:eastAsia="黑体" w:hint="eastAsia"/>
          <w:lang w:val="en-GB"/>
        </w:rPr>
        <w:t>委员会建议缔约国支持习惯当局和土著妇女组织的努力，以确保快速审查与婚姻和家庭关系的歧视性条款，包括婚约、解除婚姻、儿童监护和继承方面条款，使其符合《公约》。</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数据收集和分析</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50.</w:t>
      </w:r>
      <w:r w:rsidRPr="00960C45">
        <w:rPr>
          <w:lang w:val="en-GB"/>
        </w:rPr>
        <w:tab/>
      </w:r>
      <w:r w:rsidRPr="00960C45">
        <w:rPr>
          <w:rFonts w:hint="eastAsia"/>
          <w:lang w:val="en-GB"/>
        </w:rPr>
        <w:t>委员会欢迎收集、分析和传播重要性别平等统计数据，但遗憾的是缔约国拒绝考虑收集按照种族或宗教分列的数据，虽然缺少这些数据阻碍其获得所需知识以衡量基于这些标准的歧视并制定措施克服这些歧视，特别是关于遭受交叉形式的歧视的妇女。</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51.</w:t>
      </w:r>
      <w:r w:rsidRPr="00960C45">
        <w:rPr>
          <w:lang w:val="en-GB"/>
        </w:rPr>
        <w:tab/>
      </w:r>
      <w:r w:rsidRPr="00960C45">
        <w:rPr>
          <w:rFonts w:eastAsia="黑体" w:hint="eastAsia"/>
          <w:lang w:val="en-GB"/>
        </w:rPr>
        <w:t>委员会鼓励审查数据收集系统，包括为此修订关于数据处理、数据归档和个体自由的</w:t>
      </w:r>
      <w:r w:rsidRPr="00960C45">
        <w:rPr>
          <w:rFonts w:eastAsia="黑体" w:hint="eastAsia"/>
          <w:lang w:val="en-GB"/>
        </w:rPr>
        <w:t>1978</w:t>
      </w:r>
      <w:r w:rsidRPr="00960C45">
        <w:rPr>
          <w:rFonts w:eastAsia="黑体" w:hint="eastAsia"/>
          <w:lang w:val="en-GB"/>
        </w:rPr>
        <w:t>年</w:t>
      </w:r>
      <w:r w:rsidRPr="00960C45">
        <w:rPr>
          <w:rFonts w:eastAsia="黑体" w:hint="eastAsia"/>
          <w:lang w:val="en-GB"/>
        </w:rPr>
        <w:t>1</w:t>
      </w:r>
      <w:r w:rsidRPr="00960C45">
        <w:rPr>
          <w:rFonts w:eastAsia="黑体" w:hint="eastAsia"/>
          <w:lang w:val="en-GB"/>
        </w:rPr>
        <w:t>月</w:t>
      </w:r>
      <w:r w:rsidRPr="00960C45">
        <w:rPr>
          <w:rFonts w:eastAsia="黑体" w:hint="eastAsia"/>
          <w:lang w:val="en-GB"/>
        </w:rPr>
        <w:t>6</w:t>
      </w:r>
      <w:r w:rsidRPr="00960C45">
        <w:rPr>
          <w:rFonts w:eastAsia="黑体" w:hint="eastAsia"/>
          <w:lang w:val="en-GB"/>
        </w:rPr>
        <w:t>日第</w:t>
      </w:r>
      <w:r w:rsidRPr="00960C45">
        <w:rPr>
          <w:rFonts w:eastAsia="黑体" w:hint="eastAsia"/>
          <w:lang w:val="en-GB"/>
        </w:rPr>
        <w:t>78-17</w:t>
      </w:r>
      <w:r w:rsidRPr="00960C45">
        <w:rPr>
          <w:rFonts w:eastAsia="黑体" w:hint="eastAsia"/>
          <w:lang w:val="en-GB"/>
        </w:rPr>
        <w:t>号法令，以收集基于种族和宗教的数据，从而加强为打击歧视而采取的措施。</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《北京宣言》和《行动纲要》</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52.</w:t>
      </w:r>
      <w:r w:rsidRPr="00960C45">
        <w:rPr>
          <w:lang w:val="en-GB"/>
        </w:rPr>
        <w:tab/>
      </w:r>
      <w:r w:rsidRPr="00960C45">
        <w:rPr>
          <w:rFonts w:eastAsia="黑体" w:hint="eastAsia"/>
          <w:lang w:val="en-GB"/>
        </w:rPr>
        <w:t>委员会呼吁缔约国在努力执行《公约》各项规定时利用《北京宣言》和《行动纲要》。</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w:t>
      </w:r>
      <w:r w:rsidRPr="00960C45">
        <w:rPr>
          <w:rFonts w:eastAsia="黑体" w:hint="eastAsia"/>
          <w:lang w:val="en-GB"/>
        </w:rPr>
        <w:t>2030</w:t>
      </w:r>
      <w:r w:rsidRPr="00960C45">
        <w:rPr>
          <w:rFonts w:eastAsia="黑体" w:hint="eastAsia"/>
          <w:lang w:val="en-GB"/>
        </w:rPr>
        <w:t>年可持续发展议程》</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53.</w:t>
      </w:r>
      <w:r w:rsidRPr="00960C45">
        <w:rPr>
          <w:rFonts w:hint="eastAsia"/>
          <w:lang w:val="en-GB"/>
        </w:rPr>
        <w:t xml:space="preserve">  </w:t>
      </w:r>
      <w:r w:rsidRPr="00960C45">
        <w:rPr>
          <w:rFonts w:eastAsia="黑体" w:hint="eastAsia"/>
          <w:lang w:val="en-GB"/>
        </w:rPr>
        <w:t>委员会呼吁在执行《</w:t>
      </w:r>
      <w:r w:rsidRPr="00960C45">
        <w:rPr>
          <w:rFonts w:eastAsia="黑体" w:hint="eastAsia"/>
          <w:lang w:val="en-GB"/>
        </w:rPr>
        <w:t>2030</w:t>
      </w:r>
      <w:r w:rsidRPr="00960C45">
        <w:rPr>
          <w:rFonts w:eastAsia="黑体" w:hint="eastAsia"/>
          <w:lang w:val="en-GB"/>
        </w:rPr>
        <w:t>年可持续发展议程》的整个过程中根据《公约》规定实现实质性的性别平等。</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传播</w:t>
      </w: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54.</w:t>
      </w:r>
      <w:r w:rsidRPr="00960C45">
        <w:rPr>
          <w:lang w:val="en-GB"/>
        </w:rPr>
        <w:tab/>
      </w:r>
      <w:r w:rsidRPr="00960C45">
        <w:rPr>
          <w:rFonts w:eastAsia="黑体" w:hint="eastAsia"/>
          <w:lang w:val="en-GB"/>
        </w:rPr>
        <w:t>委员会请缔约国确保以其官方语文向各级</w:t>
      </w:r>
      <w:r w:rsidR="00B11597">
        <w:rPr>
          <w:rFonts w:eastAsia="黑体" w:hint="eastAsia"/>
          <w:lang w:val="en-GB"/>
        </w:rPr>
        <w:t>(</w:t>
      </w:r>
      <w:r w:rsidRPr="00960C45">
        <w:rPr>
          <w:rFonts w:eastAsia="黑体" w:hint="eastAsia"/>
          <w:lang w:val="en-GB"/>
        </w:rPr>
        <w:t>国家、区域和地方</w:t>
      </w:r>
      <w:r w:rsidR="00B11597">
        <w:rPr>
          <w:rFonts w:eastAsia="黑体" w:hint="eastAsia"/>
          <w:lang w:val="en-GB"/>
        </w:rPr>
        <w:t>)</w:t>
      </w:r>
      <w:r w:rsidRPr="00960C45">
        <w:rPr>
          <w:rFonts w:eastAsia="黑体" w:hint="eastAsia"/>
          <w:lang w:val="en-GB"/>
        </w:rPr>
        <w:t>相关国家机构，特别是向政府、各部委、议会和司法机构及时传播本结论性意见，以便其得到全面执行。</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批准其他条约</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rFonts w:eastAsia="黑体"/>
          <w:lang w:val="en-GB"/>
        </w:rPr>
      </w:pPr>
      <w:r w:rsidRPr="00960C45">
        <w:rPr>
          <w:lang w:val="en-GB"/>
        </w:rPr>
        <w:t>55.</w:t>
      </w:r>
      <w:r w:rsidRPr="00960C45">
        <w:rPr>
          <w:lang w:val="en-GB"/>
        </w:rPr>
        <w:tab/>
      </w:r>
      <w:r w:rsidRPr="00960C45">
        <w:rPr>
          <w:rFonts w:eastAsia="黑体" w:hint="eastAsia"/>
          <w:lang w:val="en-GB"/>
        </w:rPr>
        <w:t>委员会注意到，缔约国遵守九项主要国际人权文书</w:t>
      </w:r>
      <w:r w:rsidRPr="00960C45">
        <w:rPr>
          <w:rFonts w:eastAsia="黑体"/>
          <w:vertAlign w:val="superscript"/>
          <w:lang w:val="en-GB" w:eastAsia="en-US"/>
        </w:rPr>
        <w:footnoteReference w:id="2"/>
      </w:r>
      <w:r w:rsidRPr="00960C45">
        <w:rPr>
          <w:rFonts w:eastAsia="黑体" w:hint="eastAsia"/>
          <w:lang w:val="en-GB"/>
        </w:rPr>
        <w:t>将使妇女在生活的所有方面享有人权和基本自由。因此，委员会鼓励缔约国考虑批准其尚未加入的《保护所有移徙工人及其家庭成员权利国际公约》。</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结论性意见的后续行动</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56.</w:t>
      </w:r>
      <w:r w:rsidRPr="00960C45">
        <w:rPr>
          <w:lang w:val="en-GB"/>
        </w:rPr>
        <w:tab/>
      </w:r>
      <w:r w:rsidRPr="00960C45">
        <w:rPr>
          <w:rFonts w:eastAsia="黑体" w:hint="eastAsia"/>
          <w:lang w:val="en-GB"/>
        </w:rPr>
        <w:t>委员会请该缔约国在两年内提供书面资料，说明为落实上文第</w:t>
      </w:r>
      <w:r w:rsidRPr="00960C45">
        <w:rPr>
          <w:rFonts w:eastAsia="黑体" w:hint="eastAsia"/>
          <w:lang w:val="en-GB"/>
        </w:rPr>
        <w:t>15</w:t>
      </w:r>
      <w:r w:rsidR="00B11597">
        <w:rPr>
          <w:rFonts w:eastAsia="黑体" w:hint="eastAsia"/>
          <w:lang w:val="en-GB"/>
        </w:rPr>
        <w:t>(</w:t>
      </w:r>
      <w:r w:rsidRPr="00960C45">
        <w:rPr>
          <w:rFonts w:eastAsia="黑体" w:hint="eastAsia"/>
          <w:lang w:val="en-GB"/>
        </w:rPr>
        <w:t>a</w:t>
      </w:r>
      <w:r w:rsidR="00B11597">
        <w:rPr>
          <w:rFonts w:eastAsia="黑体" w:hint="eastAsia"/>
          <w:lang w:val="en-GB"/>
        </w:rPr>
        <w:t>)</w:t>
      </w:r>
      <w:r w:rsidRPr="00960C45">
        <w:rPr>
          <w:rFonts w:eastAsia="黑体" w:hint="eastAsia"/>
          <w:lang w:val="en-GB"/>
        </w:rPr>
        <w:t>和</w:t>
      </w:r>
      <w:r w:rsidR="00B11597">
        <w:rPr>
          <w:rFonts w:eastAsia="黑体" w:hint="eastAsia"/>
          <w:lang w:val="en-GB"/>
        </w:rPr>
        <w:t>(</w:t>
      </w:r>
      <w:r w:rsidRPr="00960C45">
        <w:rPr>
          <w:rFonts w:eastAsia="黑体" w:hint="eastAsia"/>
          <w:lang w:val="en-GB"/>
        </w:rPr>
        <w:t>d</w:t>
      </w:r>
      <w:r w:rsidR="00B11597">
        <w:rPr>
          <w:rFonts w:eastAsia="黑体" w:hint="eastAsia"/>
          <w:lang w:val="en-GB"/>
        </w:rPr>
        <w:t>)</w:t>
      </w:r>
      <w:r w:rsidRPr="00960C45">
        <w:rPr>
          <w:rFonts w:eastAsia="黑体" w:hint="eastAsia"/>
          <w:lang w:val="en-GB"/>
        </w:rPr>
        <w:t>和</w:t>
      </w:r>
      <w:r w:rsidRPr="00960C45">
        <w:rPr>
          <w:rFonts w:eastAsia="黑体" w:hint="eastAsia"/>
          <w:lang w:val="en-GB"/>
        </w:rPr>
        <w:t>33</w:t>
      </w:r>
      <w:r w:rsidR="00B11597">
        <w:rPr>
          <w:rFonts w:eastAsia="黑体" w:hint="eastAsia"/>
          <w:lang w:val="en-GB"/>
        </w:rPr>
        <w:t>(</w:t>
      </w:r>
      <w:r w:rsidRPr="00960C45">
        <w:rPr>
          <w:rFonts w:eastAsia="黑体" w:hint="eastAsia"/>
          <w:lang w:val="en-GB"/>
        </w:rPr>
        <w:t>a</w:t>
      </w:r>
      <w:r w:rsidR="00B11597">
        <w:rPr>
          <w:rFonts w:eastAsia="黑体" w:hint="eastAsia"/>
          <w:lang w:val="en-GB"/>
        </w:rPr>
        <w:t>)</w:t>
      </w:r>
      <w:r w:rsidRPr="00960C45">
        <w:rPr>
          <w:rFonts w:eastAsia="黑体" w:hint="eastAsia"/>
          <w:lang w:val="en-GB"/>
        </w:rPr>
        <w:t>段所载建议而采取的步骤。</w:t>
      </w:r>
    </w:p>
    <w:p w:rsidR="00960C45" w:rsidRPr="00960C45" w:rsidRDefault="00960C45" w:rsidP="00960C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jc w:val="left"/>
        <w:outlineLvl w:val="1"/>
        <w:rPr>
          <w:rFonts w:eastAsia="黑体"/>
          <w:lang w:val="en-GB"/>
        </w:rPr>
      </w:pPr>
      <w:r w:rsidRPr="00960C45">
        <w:rPr>
          <w:rFonts w:eastAsia="黑体"/>
          <w:lang w:val="en-GB"/>
        </w:rPr>
        <w:tab/>
      </w:r>
      <w:r w:rsidRPr="00960C45">
        <w:rPr>
          <w:rFonts w:eastAsia="黑体"/>
          <w:lang w:val="en-GB"/>
        </w:rPr>
        <w:tab/>
      </w:r>
      <w:r w:rsidRPr="00960C45">
        <w:rPr>
          <w:rFonts w:eastAsia="黑体" w:hint="eastAsia"/>
          <w:lang w:val="en-GB"/>
        </w:rPr>
        <w:t>编写下一次报告</w:t>
      </w: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lang w:val="en-GB"/>
        </w:rPr>
      </w:pPr>
    </w:p>
    <w:p w:rsidR="00960C45" w:rsidRPr="00960C45" w:rsidRDefault="00960C45" w:rsidP="00960C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rPr>
          <w:lang w:val="en-GB"/>
        </w:rPr>
      </w:pPr>
      <w:r w:rsidRPr="00960C45">
        <w:rPr>
          <w:lang w:val="en-GB"/>
        </w:rPr>
        <w:t>57.</w:t>
      </w:r>
      <w:r w:rsidRPr="00960C45">
        <w:rPr>
          <w:lang w:val="en-GB"/>
        </w:rPr>
        <w:tab/>
      </w:r>
      <w:r w:rsidRPr="00960C45">
        <w:rPr>
          <w:rFonts w:eastAsia="黑体" w:hint="eastAsia"/>
          <w:lang w:val="en-GB"/>
        </w:rPr>
        <w:t>委员会请缔约国在</w:t>
      </w:r>
      <w:r w:rsidRPr="00960C45">
        <w:rPr>
          <w:rFonts w:eastAsia="黑体" w:hint="eastAsia"/>
          <w:lang w:val="en-GB"/>
        </w:rPr>
        <w:t>2020</w:t>
      </w:r>
      <w:r w:rsidRPr="00960C45">
        <w:rPr>
          <w:rFonts w:eastAsia="黑体" w:hint="eastAsia"/>
          <w:lang w:val="en-GB"/>
        </w:rPr>
        <w:t>年</w:t>
      </w:r>
      <w:r w:rsidRPr="00960C45">
        <w:rPr>
          <w:rFonts w:eastAsia="黑体" w:hint="eastAsia"/>
          <w:lang w:val="en-GB"/>
        </w:rPr>
        <w:t>7</w:t>
      </w:r>
      <w:r w:rsidRPr="00960C45">
        <w:rPr>
          <w:rFonts w:eastAsia="黑体" w:hint="eastAsia"/>
          <w:lang w:val="en-GB"/>
        </w:rPr>
        <w:t>月之前提交其第九次定期报告。</w:t>
      </w:r>
    </w:p>
    <w:p w:rsidR="00B31E9D" w:rsidRDefault="00960C45" w:rsidP="00960C45">
      <w:pPr>
        <w:pStyle w:val="SingleTxt"/>
        <w:rPr>
          <w:rFonts w:eastAsia="黑体"/>
          <w:lang w:val="en-GB"/>
        </w:rPr>
      </w:pPr>
      <w:r w:rsidRPr="00960C45">
        <w:rPr>
          <w:lang w:val="en-GB"/>
        </w:rPr>
        <w:t>58.</w:t>
      </w:r>
      <w:r w:rsidRPr="00960C45">
        <w:rPr>
          <w:lang w:val="en-GB"/>
        </w:rPr>
        <w:tab/>
      </w:r>
      <w:r w:rsidRPr="00960C45">
        <w:rPr>
          <w:rFonts w:eastAsia="黑体" w:hint="eastAsia"/>
          <w:lang w:val="en-GB"/>
        </w:rPr>
        <w:t>委员会请缔约国奉行包括共同核心文件和条约专要文件准则在内的根据国际人权条约统一提交报告准则</w:t>
      </w:r>
      <w:r w:rsidR="00B11597">
        <w:rPr>
          <w:rFonts w:eastAsia="黑体" w:hint="eastAsia"/>
          <w:lang w:val="en-GB"/>
        </w:rPr>
        <w:t>(</w:t>
      </w:r>
      <w:hyperlink r:id="rId25" w:history="1">
        <w:r w:rsidRPr="00485389">
          <w:rPr>
            <w:rStyle w:val="ad"/>
            <w:rFonts w:eastAsia="黑体" w:hint="eastAsia"/>
            <w:lang w:val="en-GB"/>
          </w:rPr>
          <w:t>HRI/GEN/2/Rev.6</w:t>
        </w:r>
      </w:hyperlink>
      <w:r w:rsidRPr="00960C45">
        <w:rPr>
          <w:rFonts w:eastAsia="黑体" w:hint="eastAsia"/>
          <w:lang w:val="en-GB"/>
        </w:rPr>
        <w:t>，第一章</w:t>
      </w:r>
      <w:r w:rsidR="00B11597">
        <w:rPr>
          <w:rFonts w:eastAsia="黑体" w:hint="eastAsia"/>
          <w:lang w:val="en-GB"/>
        </w:rPr>
        <w:t>)</w:t>
      </w:r>
      <w:r w:rsidRPr="00960C45">
        <w:rPr>
          <w:rFonts w:eastAsia="黑体" w:hint="eastAsia"/>
          <w:lang w:val="en-GB"/>
        </w:rPr>
        <w:t>。</w:t>
      </w:r>
    </w:p>
    <w:p w:rsidR="00960C45" w:rsidRPr="00960C45" w:rsidRDefault="00960C45" w:rsidP="00960C45">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6821D694" wp14:editId="7531DACE">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960C45" w:rsidRPr="00960C45" w:rsidSect="00970EFD">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07T14:53:00Z" w:initials="Start">
    <w:p w:rsidR="00970EFD" w:rsidRDefault="00970EFD">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485389">
        <w:rPr>
          <w:rFonts w:hint="eastAsia"/>
          <w:noProof/>
        </w:rPr>
        <w:t>页</w:t>
      </w:r>
      <w:r w:rsidR="00485389">
        <w:rPr>
          <w:rFonts w:hint="eastAsia"/>
          <w:noProof/>
        </w:rPr>
        <w:t xml:space="preserve">: </w:t>
      </w:r>
      <w:r w:rsidR="00485389">
        <w:rPr>
          <w:noProof/>
        </w:rPr>
        <w:t>1</w:t>
      </w:r>
      <w:r w:rsidR="00485389">
        <w:rPr>
          <w:rFonts w:hint="eastAsia"/>
          <w:noProof/>
        </w:rPr>
        <w:br/>
      </w:r>
      <w:r>
        <w:fldChar w:fldCharType="end"/>
      </w:r>
      <w:r>
        <w:rPr>
          <w:rStyle w:val="a9"/>
        </w:rPr>
        <w:annotationRef/>
      </w:r>
      <w:r>
        <w:t>&lt;&lt;ODS JOB NO&gt;&gt;N1623325C&lt;&lt;ODS JOB NO&gt;&gt;</w:t>
      </w:r>
    </w:p>
    <w:p w:rsidR="00970EFD" w:rsidRDefault="00970EFD">
      <w:pPr>
        <w:pStyle w:val="a7"/>
      </w:pPr>
      <w:r>
        <w:t>&lt;&lt;ODS DOC SYMBOL1&gt;&gt;CEDAW/C/FRA/CO/7-8&lt;&lt;ODS DOC SYMBOL1&gt;&gt;</w:t>
      </w:r>
    </w:p>
    <w:p w:rsidR="00970EFD" w:rsidRDefault="00970EFD">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B1" w:rsidRDefault="007558B1">
      <w:r>
        <w:separator/>
      </w:r>
    </w:p>
  </w:endnote>
  <w:endnote w:type="continuationSeparator" w:id="0">
    <w:p w:rsidR="007558B1" w:rsidRDefault="0075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70EFD" w:rsidTr="00970EFD">
      <w:tc>
        <w:tcPr>
          <w:tcW w:w="5028" w:type="dxa"/>
          <w:shd w:val="clear" w:color="auto" w:fill="auto"/>
        </w:tcPr>
        <w:p w:rsidR="00970EFD" w:rsidRPr="00970EFD" w:rsidRDefault="00970EFD" w:rsidP="00970EFD">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5389">
            <w:rPr>
              <w:b w:val="0"/>
              <w:w w:val="103"/>
              <w:sz w:val="14"/>
            </w:rPr>
            <w:t>16-12865 (C)</w:t>
          </w:r>
          <w:r>
            <w:rPr>
              <w:b w:val="0"/>
              <w:w w:val="103"/>
              <w:sz w:val="14"/>
            </w:rPr>
            <w:fldChar w:fldCharType="end"/>
          </w:r>
        </w:p>
      </w:tc>
      <w:tc>
        <w:tcPr>
          <w:tcW w:w="5028" w:type="dxa"/>
          <w:shd w:val="clear" w:color="auto" w:fill="auto"/>
        </w:tcPr>
        <w:p w:rsidR="00970EFD" w:rsidRPr="00970EFD" w:rsidRDefault="00970EFD" w:rsidP="00970EFD">
          <w:pPr>
            <w:pStyle w:val="ac"/>
            <w:jc w:val="left"/>
            <w:rPr>
              <w:w w:val="103"/>
            </w:rPr>
          </w:pPr>
          <w:r>
            <w:rPr>
              <w:w w:val="103"/>
            </w:rPr>
            <w:fldChar w:fldCharType="begin"/>
          </w:r>
          <w:r>
            <w:rPr>
              <w:w w:val="103"/>
            </w:rPr>
            <w:instrText xml:space="preserve"> PAGE  \* Arabic  \* MERGEFORMAT </w:instrText>
          </w:r>
          <w:r>
            <w:rPr>
              <w:w w:val="103"/>
            </w:rPr>
            <w:fldChar w:fldCharType="separate"/>
          </w:r>
          <w:r w:rsidR="00485389">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5389">
            <w:rPr>
              <w:w w:val="103"/>
            </w:rPr>
            <w:t>15</w:t>
          </w:r>
          <w:r>
            <w:rPr>
              <w:w w:val="103"/>
            </w:rPr>
            <w:fldChar w:fldCharType="end"/>
          </w:r>
        </w:p>
      </w:tc>
    </w:tr>
  </w:tbl>
  <w:p w:rsidR="00970EFD" w:rsidRPr="00970EFD" w:rsidRDefault="00970EFD" w:rsidP="00970EF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70EFD" w:rsidTr="00970EFD">
      <w:tc>
        <w:tcPr>
          <w:tcW w:w="5028" w:type="dxa"/>
          <w:shd w:val="clear" w:color="auto" w:fill="auto"/>
        </w:tcPr>
        <w:p w:rsidR="00970EFD" w:rsidRPr="00970EFD" w:rsidRDefault="00970EFD" w:rsidP="00970EFD">
          <w:pPr>
            <w:pStyle w:val="ac"/>
            <w:jc w:val="right"/>
          </w:pPr>
          <w:r>
            <w:fldChar w:fldCharType="begin"/>
          </w:r>
          <w:r>
            <w:instrText xml:space="preserve"> PAGE  \* Arabic  \* MERGEFORMAT </w:instrText>
          </w:r>
          <w:r>
            <w:fldChar w:fldCharType="separate"/>
          </w:r>
          <w:r w:rsidR="00485389">
            <w:t>15</w:t>
          </w:r>
          <w:r>
            <w:fldChar w:fldCharType="end"/>
          </w:r>
          <w:r>
            <w:t>/</w:t>
          </w:r>
          <w:fldSimple w:instr=" NUMPAGES  \* Arabic  \* MERGEFORMAT ">
            <w:r w:rsidR="00485389">
              <w:t>15</w:t>
            </w:r>
          </w:fldSimple>
        </w:p>
      </w:tc>
      <w:tc>
        <w:tcPr>
          <w:tcW w:w="5028" w:type="dxa"/>
          <w:shd w:val="clear" w:color="auto" w:fill="auto"/>
        </w:tcPr>
        <w:p w:rsidR="00970EFD" w:rsidRPr="00970EFD" w:rsidRDefault="00970EFD" w:rsidP="00970EFD">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5389">
            <w:rPr>
              <w:b w:val="0"/>
              <w:w w:val="103"/>
              <w:sz w:val="14"/>
            </w:rPr>
            <w:t>16-12865 (C)</w:t>
          </w:r>
          <w:r>
            <w:rPr>
              <w:b w:val="0"/>
              <w:w w:val="103"/>
              <w:sz w:val="14"/>
            </w:rPr>
            <w:fldChar w:fldCharType="end"/>
          </w:r>
        </w:p>
      </w:tc>
    </w:tr>
  </w:tbl>
  <w:p w:rsidR="00970EFD" w:rsidRPr="00970EFD" w:rsidRDefault="00970EFD" w:rsidP="00970EF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970EFD" w:rsidTr="00970EFD">
      <w:tc>
        <w:tcPr>
          <w:tcW w:w="3744" w:type="dxa"/>
        </w:tcPr>
        <w:p w:rsidR="00970EFD" w:rsidRDefault="00970EFD" w:rsidP="00970EFD">
          <w:pPr>
            <w:pStyle w:val="Release"/>
          </w:pPr>
          <w:r>
            <w:rPr>
              <w:noProof/>
            </w:rPr>
            <w:drawing>
              <wp:anchor distT="0" distB="0" distL="114300" distR="114300" simplePos="0" relativeHeight="251658240" behindDoc="0" locked="0" layoutInCell="1" allowOverlap="1" wp14:anchorId="1BC0D4DC" wp14:editId="4FB2CDE5">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FRA/CO/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RA/CO/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A2058" w:rsidRPr="00CA2058">
            <w:t xml:space="preserve">16-12865 X </w:t>
          </w:r>
          <w:r w:rsidR="00B11597">
            <w:t>(</w:t>
          </w:r>
          <w:r w:rsidR="00CA2058" w:rsidRPr="00CA2058">
            <w:t>C</w:t>
          </w:r>
          <w:r w:rsidR="00B11597">
            <w:t>)</w:t>
          </w:r>
          <w:r w:rsidR="00CA2058">
            <w:t xml:space="preserve">    070916    </w:t>
          </w:r>
          <w:r w:rsidR="00CA2058">
            <w:rPr>
              <w:rFonts w:hint="eastAsia"/>
            </w:rPr>
            <w:t>13</w:t>
          </w:r>
          <w:r>
            <w:t>0916</w:t>
          </w:r>
        </w:p>
        <w:p w:rsidR="00970EFD" w:rsidRPr="00970EFD" w:rsidRDefault="00970EFD" w:rsidP="00970EFD">
          <w:pPr>
            <w:spacing w:before="80" w:line="210" w:lineRule="exact"/>
            <w:rPr>
              <w:rFonts w:ascii="Barcode 3 of 9 by request" w:hAnsi="Barcode 3 of 9 by request"/>
              <w:sz w:val="24"/>
            </w:rPr>
          </w:pPr>
          <w:r>
            <w:rPr>
              <w:rFonts w:ascii="Barcode 3 of 9 by request" w:hAnsi="Barcode 3 of 9 by request"/>
              <w:sz w:val="24"/>
            </w:rPr>
            <w:t>*1612865*</w:t>
          </w:r>
        </w:p>
      </w:tc>
      <w:tc>
        <w:tcPr>
          <w:tcW w:w="5028" w:type="dxa"/>
        </w:tcPr>
        <w:p w:rsidR="00970EFD" w:rsidRDefault="00970EFD" w:rsidP="00970EFD">
          <w:pPr>
            <w:pStyle w:val="ac"/>
            <w:jc w:val="right"/>
            <w:rPr>
              <w:b w:val="0"/>
              <w:sz w:val="21"/>
            </w:rPr>
          </w:pPr>
          <w:r>
            <w:rPr>
              <w:b w:val="0"/>
              <w:sz w:val="21"/>
            </w:rPr>
            <w:drawing>
              <wp:inline distT="0" distB="0" distL="0" distR="0" wp14:anchorId="19919918" wp14:editId="01AAEB7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70EFD" w:rsidRPr="00970EFD" w:rsidRDefault="00970EFD" w:rsidP="00970EFD">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B1" w:rsidRPr="00960C45" w:rsidRDefault="00960C45" w:rsidP="00960C45">
      <w:pPr>
        <w:pStyle w:val="ac"/>
        <w:spacing w:after="80"/>
        <w:ind w:left="792"/>
        <w:rPr>
          <w:sz w:val="16"/>
        </w:rPr>
      </w:pPr>
      <w:r w:rsidRPr="00960C45">
        <w:rPr>
          <w:sz w:val="16"/>
        </w:rPr>
        <w:t>__________________</w:t>
      </w:r>
    </w:p>
  </w:footnote>
  <w:footnote w:type="continuationSeparator" w:id="0">
    <w:p w:rsidR="007558B1" w:rsidRPr="00960C45" w:rsidRDefault="00960C45" w:rsidP="00960C45">
      <w:pPr>
        <w:pStyle w:val="ac"/>
        <w:spacing w:after="80"/>
        <w:ind w:left="792"/>
        <w:rPr>
          <w:sz w:val="16"/>
        </w:rPr>
      </w:pPr>
      <w:r w:rsidRPr="00960C45">
        <w:rPr>
          <w:sz w:val="16"/>
        </w:rPr>
        <w:t>__________________</w:t>
      </w:r>
    </w:p>
  </w:footnote>
  <w:footnote w:id="1">
    <w:p w:rsidR="00960C45" w:rsidRDefault="00B11597" w:rsidP="00960C45">
      <w:pPr>
        <w:pStyle w:val="a5"/>
        <w:tabs>
          <w:tab w:val="clear" w:pos="418"/>
          <w:tab w:val="right" w:pos="1195"/>
          <w:tab w:val="left" w:pos="1264"/>
          <w:tab w:val="left" w:pos="1695"/>
          <w:tab w:val="left" w:pos="2126"/>
          <w:tab w:val="left" w:pos="2557"/>
        </w:tabs>
        <w:ind w:left="1264" w:right="1264" w:hanging="432"/>
      </w:pPr>
      <w:r>
        <w:tab/>
      </w:r>
      <w:r w:rsidR="00960C45">
        <w:rPr>
          <w:rStyle w:val="a3"/>
        </w:rPr>
        <w:t>*</w:t>
      </w:r>
      <w:r>
        <w:tab/>
      </w:r>
      <w:r w:rsidR="00960C45">
        <w:rPr>
          <w:rFonts w:hint="eastAsia"/>
        </w:rPr>
        <w:t>委员会第六十四</w:t>
      </w:r>
      <w:r w:rsidR="00960C45">
        <w:t>届会议通过</w:t>
      </w:r>
      <w:r>
        <w:t>(</w:t>
      </w:r>
      <w:r w:rsidR="00960C45">
        <w:rPr>
          <w:rFonts w:hint="eastAsia"/>
        </w:rPr>
        <w:t>2016</w:t>
      </w:r>
      <w:r w:rsidR="00960C45">
        <w:rPr>
          <w:rFonts w:hint="eastAsia"/>
        </w:rPr>
        <w:t>年</w:t>
      </w:r>
      <w:r w:rsidR="00960C45">
        <w:rPr>
          <w:rFonts w:hint="eastAsia"/>
        </w:rPr>
        <w:t>7</w:t>
      </w:r>
      <w:r w:rsidR="00960C45">
        <w:rPr>
          <w:rFonts w:hint="eastAsia"/>
        </w:rPr>
        <w:t>月</w:t>
      </w:r>
      <w:r w:rsidR="00960C45">
        <w:rPr>
          <w:rFonts w:hint="eastAsia"/>
        </w:rPr>
        <w:t>4</w:t>
      </w:r>
      <w:r w:rsidR="00960C45">
        <w:rPr>
          <w:rFonts w:hint="eastAsia"/>
        </w:rPr>
        <w:t>日</w:t>
      </w:r>
      <w:r w:rsidR="00960C45">
        <w:t>至</w:t>
      </w:r>
      <w:r w:rsidR="00960C45">
        <w:rPr>
          <w:rFonts w:hint="eastAsia"/>
        </w:rPr>
        <w:t>22</w:t>
      </w:r>
      <w:r w:rsidR="00960C45">
        <w:rPr>
          <w:rFonts w:hint="eastAsia"/>
        </w:rPr>
        <w:t>日</w:t>
      </w:r>
      <w:r>
        <w:t>)</w:t>
      </w:r>
      <w:r w:rsidR="00960C45">
        <w:rPr>
          <w:rFonts w:hint="eastAsia"/>
        </w:rPr>
        <w:t>。</w:t>
      </w:r>
    </w:p>
  </w:footnote>
  <w:footnote w:id="2">
    <w:p w:rsidR="00960C45" w:rsidRPr="00990400" w:rsidRDefault="00960C45" w:rsidP="00960C45">
      <w:pPr>
        <w:pStyle w:val="a5"/>
        <w:tabs>
          <w:tab w:val="clear" w:pos="418"/>
          <w:tab w:val="right" w:pos="1195"/>
          <w:tab w:val="left" w:pos="1264"/>
          <w:tab w:val="left" w:pos="1695"/>
          <w:tab w:val="left" w:pos="2126"/>
          <w:tab w:val="left" w:pos="2557"/>
        </w:tabs>
        <w:ind w:left="1264" w:right="1264" w:hanging="432"/>
      </w:pPr>
      <w:r>
        <w:tab/>
      </w:r>
      <w:r>
        <w:rPr>
          <w:rStyle w:val="a3"/>
        </w:rPr>
        <w:footnoteRef/>
      </w:r>
      <w:r>
        <w:rPr>
          <w:rFonts w:hint="eastAsia"/>
        </w:rPr>
        <w:tab/>
      </w:r>
      <w:r>
        <w:rPr>
          <w:rFonts w:hint="eastAsia"/>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70EFD" w:rsidTr="00970EFD">
      <w:trPr>
        <w:trHeight w:hRule="exact" w:val="864"/>
      </w:trPr>
      <w:tc>
        <w:tcPr>
          <w:tcW w:w="4838" w:type="dxa"/>
          <w:shd w:val="clear" w:color="auto" w:fill="auto"/>
          <w:vAlign w:val="bottom"/>
        </w:tcPr>
        <w:p w:rsidR="00970EFD" w:rsidRPr="00970EFD" w:rsidRDefault="00970EFD" w:rsidP="00970EFD">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85389">
            <w:rPr>
              <w:b/>
              <w:sz w:val="17"/>
            </w:rPr>
            <w:t>CEDAW/C/FRA/CO/7-8</w:t>
          </w:r>
          <w:r>
            <w:rPr>
              <w:b/>
              <w:sz w:val="17"/>
            </w:rPr>
            <w:fldChar w:fldCharType="end"/>
          </w:r>
        </w:p>
      </w:tc>
      <w:tc>
        <w:tcPr>
          <w:tcW w:w="5028" w:type="dxa"/>
          <w:shd w:val="clear" w:color="auto" w:fill="auto"/>
          <w:vAlign w:val="bottom"/>
        </w:tcPr>
        <w:p w:rsidR="00970EFD" w:rsidRDefault="00970EFD" w:rsidP="00970EFD">
          <w:pPr>
            <w:pStyle w:val="ab"/>
          </w:pPr>
        </w:p>
      </w:tc>
    </w:tr>
  </w:tbl>
  <w:p w:rsidR="00970EFD" w:rsidRPr="00970EFD" w:rsidRDefault="00970EFD" w:rsidP="00970EF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70EFD" w:rsidTr="00970EFD">
      <w:trPr>
        <w:trHeight w:hRule="exact" w:val="864"/>
      </w:trPr>
      <w:tc>
        <w:tcPr>
          <w:tcW w:w="4838" w:type="dxa"/>
          <w:shd w:val="clear" w:color="auto" w:fill="auto"/>
          <w:vAlign w:val="bottom"/>
        </w:tcPr>
        <w:p w:rsidR="00970EFD" w:rsidRDefault="00970EFD" w:rsidP="00970EFD">
          <w:pPr>
            <w:pStyle w:val="ab"/>
          </w:pPr>
        </w:p>
      </w:tc>
      <w:tc>
        <w:tcPr>
          <w:tcW w:w="5028" w:type="dxa"/>
          <w:shd w:val="clear" w:color="auto" w:fill="auto"/>
          <w:vAlign w:val="bottom"/>
        </w:tcPr>
        <w:p w:rsidR="00970EFD" w:rsidRPr="00970EFD" w:rsidRDefault="00970EFD" w:rsidP="00970EFD">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85389">
            <w:rPr>
              <w:b/>
              <w:sz w:val="17"/>
            </w:rPr>
            <w:t>CEDAW/C/FRA/CO/7-8</w:t>
          </w:r>
          <w:r>
            <w:rPr>
              <w:b/>
              <w:sz w:val="17"/>
            </w:rPr>
            <w:fldChar w:fldCharType="end"/>
          </w:r>
        </w:p>
      </w:tc>
    </w:tr>
  </w:tbl>
  <w:p w:rsidR="00970EFD" w:rsidRPr="00970EFD" w:rsidRDefault="00970EFD" w:rsidP="00970EF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70EFD" w:rsidTr="00970EFD">
      <w:trPr>
        <w:gridAfter w:val="1"/>
        <w:wAfter w:w="12" w:type="dxa"/>
        <w:trHeight w:hRule="exact" w:val="864"/>
      </w:trPr>
      <w:tc>
        <w:tcPr>
          <w:tcW w:w="1267" w:type="dxa"/>
          <w:tcBorders>
            <w:bottom w:val="single" w:sz="4" w:space="0" w:color="auto"/>
          </w:tcBorders>
          <w:shd w:val="clear" w:color="auto" w:fill="auto"/>
          <w:vAlign w:val="bottom"/>
        </w:tcPr>
        <w:p w:rsidR="00970EFD" w:rsidRDefault="00970EFD" w:rsidP="00970EFD">
          <w:pPr>
            <w:pStyle w:val="ab"/>
            <w:spacing w:after="120"/>
          </w:pPr>
        </w:p>
      </w:tc>
      <w:tc>
        <w:tcPr>
          <w:tcW w:w="1872" w:type="dxa"/>
          <w:tcBorders>
            <w:bottom w:val="single" w:sz="4" w:space="0" w:color="auto"/>
          </w:tcBorders>
          <w:shd w:val="clear" w:color="auto" w:fill="auto"/>
          <w:vAlign w:val="bottom"/>
        </w:tcPr>
        <w:p w:rsidR="00970EFD" w:rsidRPr="00970EFD" w:rsidRDefault="00970EFD" w:rsidP="00970EFD">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70EFD" w:rsidRDefault="00970EFD" w:rsidP="00970EFD">
          <w:pPr>
            <w:pStyle w:val="ab"/>
            <w:spacing w:after="120"/>
          </w:pPr>
        </w:p>
      </w:tc>
      <w:tc>
        <w:tcPr>
          <w:tcW w:w="6523" w:type="dxa"/>
          <w:gridSpan w:val="3"/>
          <w:tcBorders>
            <w:bottom w:val="single" w:sz="4" w:space="0" w:color="auto"/>
          </w:tcBorders>
          <w:shd w:val="clear" w:color="auto" w:fill="auto"/>
          <w:vAlign w:val="bottom"/>
        </w:tcPr>
        <w:p w:rsidR="00970EFD" w:rsidRPr="00970EFD" w:rsidRDefault="00970EFD" w:rsidP="00970EFD">
          <w:pPr>
            <w:spacing w:after="80" w:line="240" w:lineRule="auto"/>
            <w:jc w:val="right"/>
            <w:rPr>
              <w:position w:val="-4"/>
            </w:rPr>
          </w:pPr>
          <w:r>
            <w:rPr>
              <w:position w:val="-4"/>
              <w:sz w:val="40"/>
            </w:rPr>
            <w:t>CEDAW</w:t>
          </w:r>
          <w:r>
            <w:rPr>
              <w:position w:val="-4"/>
            </w:rPr>
            <w:t>/C/FRA/CO/7-8</w:t>
          </w:r>
        </w:p>
      </w:tc>
    </w:tr>
    <w:tr w:rsidR="00970EFD" w:rsidRPr="00970EFD" w:rsidTr="00970EFD">
      <w:trPr>
        <w:trHeight w:hRule="exact" w:val="2880"/>
      </w:trPr>
      <w:tc>
        <w:tcPr>
          <w:tcW w:w="1267" w:type="dxa"/>
          <w:tcBorders>
            <w:top w:val="single" w:sz="4" w:space="0" w:color="auto"/>
            <w:bottom w:val="single" w:sz="12" w:space="0" w:color="auto"/>
          </w:tcBorders>
          <w:shd w:val="clear" w:color="auto" w:fill="auto"/>
        </w:tcPr>
        <w:p w:rsidR="00970EFD" w:rsidRPr="00970EFD" w:rsidRDefault="00970EFD" w:rsidP="00970EFD">
          <w:pPr>
            <w:pStyle w:val="ab"/>
            <w:spacing w:before="109"/>
            <w:ind w:left="-72"/>
          </w:pPr>
          <w:r>
            <w:t xml:space="preserve"> </w:t>
          </w:r>
          <w:r>
            <w:drawing>
              <wp:inline distT="0" distB="0" distL="0" distR="0" wp14:anchorId="09E23079" wp14:editId="456A580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70EFD" w:rsidRPr="00970EFD" w:rsidRDefault="00970EFD" w:rsidP="00970EF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70EFD" w:rsidRPr="00970EFD" w:rsidRDefault="00970EFD" w:rsidP="00970EFD">
          <w:pPr>
            <w:pStyle w:val="ab"/>
            <w:spacing w:before="109"/>
          </w:pPr>
        </w:p>
      </w:tc>
      <w:tc>
        <w:tcPr>
          <w:tcW w:w="3180" w:type="dxa"/>
          <w:gridSpan w:val="2"/>
          <w:tcBorders>
            <w:top w:val="single" w:sz="4" w:space="0" w:color="auto"/>
            <w:bottom w:val="single" w:sz="12" w:space="0" w:color="auto"/>
          </w:tcBorders>
          <w:shd w:val="clear" w:color="auto" w:fill="auto"/>
        </w:tcPr>
        <w:p w:rsidR="00970EFD" w:rsidRDefault="00970EFD" w:rsidP="00970EFD">
          <w:pPr>
            <w:pStyle w:val="Distr"/>
          </w:pPr>
          <w:r>
            <w:t>Distr.: General</w:t>
          </w:r>
        </w:p>
        <w:p w:rsidR="00970EFD" w:rsidRDefault="00970EFD" w:rsidP="00970EFD">
          <w:pPr>
            <w:pStyle w:val="Publication"/>
          </w:pPr>
          <w:r>
            <w:t>25 July 2016</w:t>
          </w:r>
        </w:p>
        <w:p w:rsidR="00970EFD" w:rsidRDefault="00970EFD" w:rsidP="00970EFD">
          <w:pPr>
            <w:spacing w:line="240" w:lineRule="exact"/>
          </w:pPr>
          <w:r>
            <w:t>Chinese</w:t>
          </w:r>
        </w:p>
        <w:p w:rsidR="00970EFD" w:rsidRDefault="00970EFD" w:rsidP="00970EFD">
          <w:pPr>
            <w:pStyle w:val="Original"/>
          </w:pPr>
          <w:r>
            <w:t>Original: English</w:t>
          </w:r>
        </w:p>
        <w:p w:rsidR="00970EFD" w:rsidRPr="00970EFD" w:rsidRDefault="00970EFD" w:rsidP="00970EFD"/>
      </w:tc>
    </w:tr>
  </w:tbl>
  <w:p w:rsidR="00970EFD" w:rsidRPr="00970EFD" w:rsidRDefault="00970EFD" w:rsidP="00970EFD">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65*"/>
    <w:docVar w:name="CreationDt" w:val="07/09/2016 14:26:50"/>
    <w:docVar w:name="DocCategory" w:val="Doc"/>
    <w:docVar w:name="DocType" w:val="Final"/>
    <w:docVar w:name="DutyStation" w:val="New York"/>
    <w:docVar w:name="FooterJN" w:val="16-12865 (C)"/>
    <w:docVar w:name="jobn" w:val="16-12865 (C)"/>
    <w:docVar w:name="jobnDT" w:val="16-12865 (C)   070916"/>
    <w:docVar w:name="jobnDTDT" w:val="16-12865 (C)   070916   070916"/>
    <w:docVar w:name="JobNo" w:val="1612865C"/>
    <w:docVar w:name="LocalDrive" w:val="0"/>
    <w:docVar w:name="OandT" w:val="jia"/>
    <w:docVar w:name="PaperSize" w:val="Letter"/>
    <w:docVar w:name="sss1" w:val="CEDAW/C/FRA/CO/7-8"/>
    <w:docVar w:name="sss2" w:val="-"/>
    <w:docVar w:name="Symbol1" w:val="CEDAW/C/FRA/CO/7-8"/>
    <w:docVar w:name="Symbol2" w:val="-"/>
  </w:docVars>
  <w:rsids>
    <w:rsidRoot w:val="007558B1"/>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1754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3E59"/>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5389"/>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58B1"/>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328E"/>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0C45"/>
    <w:rsid w:val="0096193C"/>
    <w:rsid w:val="00970EFD"/>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1597"/>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058"/>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9E5"/>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basedOn w:val="a0"/>
    <w:rsid w:val="00960C45"/>
    <w:rPr>
      <w:rFonts w:ascii="Times New Roman" w:hAnsi="Times New Roman"/>
      <w:b/>
      <w:spacing w:val="0"/>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basedOn w:val="a0"/>
    <w:rsid w:val="00960C45"/>
    <w:rPr>
      <w:rFonts w:ascii="Times New Roman" w:hAnsi="Times New Roman"/>
      <w:b/>
      <w:spacing w:val="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FRA/Q/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CAT/C/FRA/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FRA/7" TargetMode="External"/><Relationship Id="rId25" Type="http://schemas.openxmlformats.org/officeDocument/2006/relationships/hyperlink" Target="http://undocs.org/ch/HRI/GEN/2/Rev.6" TargetMode="External"/><Relationship Id="rId2" Type="http://schemas.openxmlformats.org/officeDocument/2006/relationships/numbering" Target="numbering.xml"/><Relationship Id="rId16" Type="http://schemas.openxmlformats.org/officeDocument/2006/relationships/hyperlink" Target="http://undocs.org/CEDAW/C/SR.1409" TargetMode="External"/><Relationship Id="rId20" Type="http://schemas.openxmlformats.org/officeDocument/2006/relationships/hyperlink" Target="http://undocs.org/CEDAW/C/FRA/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CEDAW/C/FRA/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FRA/CO/6" TargetMode="External"/><Relationship Id="rId10" Type="http://schemas.openxmlformats.org/officeDocument/2006/relationships/header" Target="header2.xml"/><Relationship Id="rId19" Type="http://schemas.openxmlformats.org/officeDocument/2006/relationships/hyperlink" Target="http://undocs.org/CEDAW/C/FRA/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RC/C/FRA/CO/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81A3-6FF8-43D6-8389-F64C223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2031</Words>
  <Characters>11579</Characters>
  <Application>Microsoft Office Word</Application>
  <DocSecurity>0</DocSecurity>
  <Lines>96</Lines>
  <Paragraphs>27</Paragraphs>
  <ScaleCrop>false</ScaleCrop>
  <Company>United Nations</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Ctpu1</cp:lastModifiedBy>
  <cp:revision>11</cp:revision>
  <cp:lastPrinted>2016-09-07T18:53:00Z</cp:lastPrinted>
  <dcterms:created xsi:type="dcterms:W3CDTF">2016-09-07T16:01:00Z</dcterms:created>
  <dcterms:modified xsi:type="dcterms:W3CDTF">2016-09-07T18:57:00Z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1612865</vt:lpwstr>
  </property>
  <property fmtid="{D5CDD505-2E9C-101B-9397-08002B2CF9AE}" pid="3" name="ODSRefJobNo">
    <vt:lpwstr>1623325C</vt:lpwstr>
  </property>
  <property fmtid="{D5CDD505-2E9C-101B-9397-08002B2CF9AE}" pid="4" name="Symbol1">
    <vt:lpwstr>CEDAW/C/FRA/CO/7-8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2016</vt:lpwstr>
  </property>
  <property fmtid="{D5CDD505-2E9C-101B-9397-08002B2CF9AE}" pid="9" name="Original">
    <vt:lpwstr>English</vt:lpwstr>
  </property>
  <property fmtid="{D5CDD505-2E9C-101B-9397-08002B2CF9AE}" pid="10" name="Release Date">
    <vt:lpwstr>070916</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