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BB76A1" w:rsidRPr="005E0092" w:rsidTr="00FE47AD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BB76A1" w:rsidRPr="00635870" w:rsidRDefault="00BB76A1" w:rsidP="00FE47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BB76A1" w:rsidRPr="00A67FB1" w:rsidRDefault="00BB76A1" w:rsidP="00FE47AD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BB76A1" w:rsidRPr="005E0092" w:rsidRDefault="00BB76A1" w:rsidP="00FE47AD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>
              <w:rPr>
                <w:sz w:val="40"/>
                <w:szCs w:val="40"/>
                <w:lang w:val="en-US"/>
              </w:rPr>
              <w:t>ED</w:t>
            </w:r>
            <w:r w:rsidRPr="005E0092">
              <w:t>/</w:t>
            </w:r>
            <w:r>
              <w:fldChar w:fldCharType="begin"/>
            </w:r>
            <w:r>
              <w:instrText xml:space="preserve"> FILLIN  "Введите часть символа после C</w:instrText>
            </w:r>
            <w:r>
              <w:rPr>
                <w:lang w:val="en-US"/>
              </w:rPr>
              <w:instrText>ED</w:instrText>
            </w:r>
            <w:r>
              <w:instrText xml:space="preserve">/"  \* MERGEFORMAT </w:instrText>
            </w:r>
            <w:r>
              <w:fldChar w:fldCharType="separate"/>
            </w:r>
            <w:r w:rsidR="00EF26FB">
              <w:t>C/BIH/CO/1</w:t>
            </w:r>
            <w:r>
              <w:fldChar w:fldCharType="end"/>
            </w:r>
          </w:p>
        </w:tc>
      </w:tr>
      <w:tr w:rsidR="00BB76A1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BB76A1" w:rsidRPr="00635870" w:rsidRDefault="00BB76A1" w:rsidP="00FE47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544767" wp14:editId="2E43FDC8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B76A1" w:rsidRPr="008B759B" w:rsidRDefault="00BB76A1" w:rsidP="00FE47AD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w w:val="100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B76A1" w:rsidRPr="00CF2D5C" w:rsidRDefault="00BB76A1" w:rsidP="00FE47AD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A005C8">
              <w:fldChar w:fldCharType="separate"/>
            </w:r>
            <w:r w:rsidRPr="00CF2D5C">
              <w:fldChar w:fldCharType="end"/>
            </w:r>
          </w:p>
          <w:p w:rsidR="00BB76A1" w:rsidRPr="00CF2D5C" w:rsidRDefault="00BB76A1" w:rsidP="00FE47AD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Pr="00CF2D5C">
              <w:rPr>
                <w:lang w:val="en-US"/>
              </w:rPr>
              <w:fldChar w:fldCharType="separate"/>
            </w:r>
            <w:r w:rsidR="007529D6">
              <w:rPr>
                <w:lang w:val="en-US"/>
              </w:rPr>
              <w:t>3 November</w:t>
            </w:r>
            <w:r w:rsidR="00EF26FB">
              <w:rPr>
                <w:lang w:val="en-US"/>
              </w:rPr>
              <w:t xml:space="preserve"> 2016</w:t>
            </w:r>
            <w:r w:rsidRPr="00CF2D5C">
              <w:rPr>
                <w:lang w:val="en-US"/>
              </w:rPr>
              <w:fldChar w:fldCharType="end"/>
            </w:r>
          </w:p>
          <w:p w:rsidR="00BB76A1" w:rsidRPr="00CF2D5C" w:rsidRDefault="00BB76A1" w:rsidP="00FE47AD">
            <w:r w:rsidRPr="00CF2D5C">
              <w:rPr>
                <w:lang w:val="en-US"/>
              </w:rPr>
              <w:t>Russian</w:t>
            </w:r>
          </w:p>
          <w:p w:rsidR="00BB76A1" w:rsidRPr="00861C52" w:rsidRDefault="00BB76A1" w:rsidP="00FE47AD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A005C8">
              <w:fldChar w:fldCharType="separate"/>
            </w:r>
            <w:r w:rsidRPr="00CF2D5C">
              <w:fldChar w:fldCharType="end"/>
            </w:r>
          </w:p>
          <w:p w:rsidR="00BB76A1" w:rsidRPr="00635870" w:rsidRDefault="00BB76A1" w:rsidP="00FE47AD"/>
        </w:tc>
      </w:tr>
    </w:tbl>
    <w:p w:rsidR="00EF26FB" w:rsidRPr="00EF26FB" w:rsidRDefault="00EF26FB" w:rsidP="00EF26FB">
      <w:pPr>
        <w:spacing w:before="120"/>
        <w:rPr>
          <w:b/>
          <w:sz w:val="24"/>
          <w:szCs w:val="24"/>
        </w:rPr>
      </w:pPr>
      <w:bookmarkStart w:id="0" w:name="_GoBack"/>
      <w:bookmarkEnd w:id="0"/>
      <w:r w:rsidRPr="00EF26FB">
        <w:rPr>
          <w:b/>
          <w:sz w:val="24"/>
          <w:szCs w:val="24"/>
        </w:rPr>
        <w:t>Комитет по насильственным исчезновениям</w:t>
      </w:r>
    </w:p>
    <w:p w:rsidR="00EF26FB" w:rsidRPr="00EF26FB" w:rsidRDefault="00EF26FB" w:rsidP="00EF26FB">
      <w:pPr>
        <w:pStyle w:val="HChGR"/>
      </w:pPr>
      <w:r w:rsidRPr="00EF26FB">
        <w:tab/>
      </w:r>
      <w:r w:rsidRPr="00EF26FB">
        <w:tab/>
        <w:t>Заключительные замечания по докладу, представленному Боснией и Герцеговиной в</w:t>
      </w:r>
      <w:r w:rsidR="007529D6">
        <w:rPr>
          <w:lang w:val="en-US"/>
        </w:rPr>
        <w:t> </w:t>
      </w:r>
      <w:r w:rsidRPr="00EF26FB">
        <w:t>соответствии с пунктом 1 статьи 29 Конвенции</w:t>
      </w:r>
      <w:r w:rsidRPr="007529D6">
        <w:rPr>
          <w:b w:val="0"/>
          <w:bCs/>
          <w:sz w:val="20"/>
        </w:rPr>
        <w:footnoteReference w:customMarkFollows="1" w:id="1"/>
        <w:t>*</w:t>
      </w:r>
    </w:p>
    <w:p w:rsidR="00EF26FB" w:rsidRPr="00EF26FB" w:rsidRDefault="00EF26FB" w:rsidP="00EF26FB">
      <w:pPr>
        <w:pStyle w:val="SingleTxtGR"/>
      </w:pPr>
      <w:r w:rsidRPr="00EF26FB">
        <w:t>1.</w:t>
      </w:r>
      <w:r w:rsidRPr="00EF26FB">
        <w:tab/>
        <w:t>Комитет по насильственным исчезновениям рассмотрел доклад, пре</w:t>
      </w:r>
      <w:r w:rsidRPr="00EF26FB">
        <w:t>д</w:t>
      </w:r>
      <w:r w:rsidRPr="00EF26FB">
        <w:t>ставленный Боснией и Герцеговиной в соответствии с пунктом 1 статьи 29 Ко</w:t>
      </w:r>
      <w:r w:rsidRPr="00EF26FB">
        <w:t>н</w:t>
      </w:r>
      <w:r w:rsidRPr="00EF26FB">
        <w:t>венции (CED/C/BIH/1), на своих 180-м и 181-м заседаниях (CED/C/SR.180 и</w:t>
      </w:r>
      <w:r w:rsidR="007529D6">
        <w:rPr>
          <w:lang w:val="en-US"/>
        </w:rPr>
        <w:t> </w:t>
      </w:r>
      <w:r w:rsidRPr="00EF26FB">
        <w:t>181), состоявшихся 4 и 5 октября 2016 года. На своем 191-м заседании, сост</w:t>
      </w:r>
      <w:r w:rsidRPr="00EF26FB">
        <w:t>о</w:t>
      </w:r>
      <w:r w:rsidRPr="00EF26FB">
        <w:t>явшемся 12 октября 2016 года, он принял настоящие заключительные замеч</w:t>
      </w:r>
      <w:r w:rsidRPr="00EF26FB">
        <w:t>а</w:t>
      </w:r>
      <w:r w:rsidRPr="00EF26FB">
        <w:t>ния.</w:t>
      </w:r>
    </w:p>
    <w:p w:rsidR="00EF26FB" w:rsidRPr="00EF26FB" w:rsidRDefault="00EF26FB" w:rsidP="00EF26FB">
      <w:pPr>
        <w:pStyle w:val="H1GR"/>
      </w:pPr>
      <w:r w:rsidRPr="00EF26FB">
        <w:tab/>
        <w:t>A.</w:t>
      </w:r>
      <w:r w:rsidRPr="00EF26FB">
        <w:tab/>
        <w:t>Введение</w:t>
      </w:r>
    </w:p>
    <w:p w:rsidR="00EF26FB" w:rsidRPr="00EF26FB" w:rsidRDefault="00EF26FB" w:rsidP="00EF26FB">
      <w:pPr>
        <w:pStyle w:val="SingleTxtGR"/>
      </w:pPr>
      <w:r w:rsidRPr="00EF26FB">
        <w:t>2.</w:t>
      </w:r>
      <w:r w:rsidRPr="00EF26FB">
        <w:tab/>
        <w:t>Комитет приветствует доклад, представленный Боснией и Герцеговиной в соответствии с пунктом 1 статьи 29 Конвенции и подготовленный с учетом р</w:t>
      </w:r>
      <w:r w:rsidRPr="00EF26FB">
        <w:t>у</w:t>
      </w:r>
      <w:r w:rsidRPr="00EF26FB">
        <w:t>ководящих принципов представления докладов, а также содержащуюся в нем информацию. Комитет выражает признательность за откровенный и констру</w:t>
      </w:r>
      <w:r w:rsidRPr="00EF26FB">
        <w:t>к</w:t>
      </w:r>
      <w:r w:rsidRPr="00EF26FB">
        <w:t>тивный диалог, который состоялся с высокопоставленной делегацией госуда</w:t>
      </w:r>
      <w:r w:rsidRPr="00EF26FB">
        <w:t>р</w:t>
      </w:r>
      <w:r w:rsidRPr="00EF26FB">
        <w:t>ства-участника и был посвящен мерам, принятым в целях осуществления пол</w:t>
      </w:r>
      <w:r w:rsidRPr="00EF26FB">
        <w:t>о</w:t>
      </w:r>
      <w:r w:rsidRPr="00EF26FB">
        <w:t xml:space="preserve">жений Конвенции, благодаря чему удалось снять многие вопросы, вызывавшие у Комитета обеспокоенность. </w:t>
      </w:r>
    </w:p>
    <w:p w:rsidR="00EF26FB" w:rsidRPr="00EF26FB" w:rsidRDefault="00EF26FB" w:rsidP="00EF26FB">
      <w:pPr>
        <w:pStyle w:val="SingleTxtGR"/>
      </w:pPr>
      <w:r w:rsidRPr="00EF26FB">
        <w:t>3.</w:t>
      </w:r>
      <w:r w:rsidRPr="00EF26FB">
        <w:tab/>
        <w:t>Комитет также благодарит государство-участник за письменные ответы (CED/C/BIH/Q/1/Add.1) на его перечень вопросов (CED/C/BIH/Q/1).</w:t>
      </w:r>
    </w:p>
    <w:p w:rsidR="00EF26FB" w:rsidRPr="00EF26FB" w:rsidRDefault="00EF26FB" w:rsidP="007529D6">
      <w:pPr>
        <w:pStyle w:val="H1GR"/>
      </w:pPr>
      <w:r w:rsidRPr="00EF26FB">
        <w:tab/>
        <w:t>B.</w:t>
      </w:r>
      <w:r w:rsidRPr="00EF26FB">
        <w:tab/>
        <w:t>Позитивные аспекты</w:t>
      </w:r>
    </w:p>
    <w:p w:rsidR="00EF26FB" w:rsidRPr="00EF26FB" w:rsidRDefault="00EF26FB" w:rsidP="00EF26FB">
      <w:pPr>
        <w:pStyle w:val="SingleTxtGR"/>
      </w:pPr>
      <w:r w:rsidRPr="00EF26FB">
        <w:t>4.</w:t>
      </w:r>
      <w:r w:rsidRPr="00EF26FB">
        <w:tab/>
        <w:t>Комитет приветствует ратификацию государством-участником практич</w:t>
      </w:r>
      <w:r w:rsidRPr="00EF26FB">
        <w:t>е</w:t>
      </w:r>
      <w:r w:rsidRPr="00EF26FB">
        <w:t>ски всех основных договоров Организации Объединенных Наций по правам ч</w:t>
      </w:r>
      <w:r w:rsidRPr="00EF26FB">
        <w:t>е</w:t>
      </w:r>
      <w:r w:rsidRPr="00EF26FB">
        <w:t>ловека и факультативных протоколов к ним, а также Римского статута Межд</w:t>
      </w:r>
      <w:r w:rsidRPr="00EF26FB">
        <w:t>у</w:t>
      </w:r>
      <w:r w:rsidRPr="00EF26FB">
        <w:t>народного уголовного суда.</w:t>
      </w:r>
    </w:p>
    <w:p w:rsidR="00EF26FB" w:rsidRPr="00EF26FB" w:rsidRDefault="00EF26FB" w:rsidP="00EF26FB">
      <w:pPr>
        <w:pStyle w:val="SingleTxtGR"/>
      </w:pPr>
      <w:r w:rsidRPr="00EF26FB">
        <w:lastRenderedPageBreak/>
        <w:t>5.</w:t>
      </w:r>
      <w:r w:rsidRPr="00EF26FB">
        <w:tab/>
        <w:t>Комитет также с удовлетворением отмечает, что государство-участник признало его компетенцию согласно статьям 31 и 32 Конвенции в отношении индивидуальных и межгосударственных сообщений.</w:t>
      </w:r>
    </w:p>
    <w:p w:rsidR="00EF26FB" w:rsidRPr="00EF26FB" w:rsidRDefault="00EF26FB" w:rsidP="00EF26FB">
      <w:pPr>
        <w:pStyle w:val="SingleTxtGR"/>
      </w:pPr>
      <w:r w:rsidRPr="00EF26FB">
        <w:t>6.</w:t>
      </w:r>
      <w:r w:rsidRPr="00EF26FB">
        <w:tab/>
        <w:t>Комитет также приветствует меры, принятые государством-участником в соответствующих областях, в том числе:</w:t>
      </w:r>
    </w:p>
    <w:p w:rsidR="00EF26FB" w:rsidRPr="00EF26FB" w:rsidRDefault="007529D6" w:rsidP="00EF26FB">
      <w:pPr>
        <w:pStyle w:val="SingleTxtGR"/>
      </w:pPr>
      <w:r w:rsidRPr="00B63A92">
        <w:tab/>
      </w:r>
      <w:r w:rsidR="00EF26FB" w:rsidRPr="00EF26FB">
        <w:t>a)</w:t>
      </w:r>
      <w:r w:rsidR="00EF26FB" w:rsidRPr="00EF26FB">
        <w:tab/>
        <w:t>принятие Закона о пропавших без вести лицах, который вступил в силу в 2004 году и применяется в отношении лиц, пропавших без вести в пер</w:t>
      </w:r>
      <w:r w:rsidR="00EF26FB" w:rsidRPr="00EF26FB">
        <w:t>и</w:t>
      </w:r>
      <w:r w:rsidR="00EF26FB" w:rsidRPr="00EF26FB">
        <w:t>од с 30 апреля 1991 года по 14 февраля 1996 года;</w:t>
      </w:r>
    </w:p>
    <w:p w:rsidR="00EF26FB" w:rsidRPr="00EF26FB" w:rsidRDefault="007529D6" w:rsidP="00EF26FB">
      <w:pPr>
        <w:pStyle w:val="SingleTxtGR"/>
      </w:pPr>
      <w:r w:rsidRPr="00B63A92">
        <w:tab/>
      </w:r>
      <w:r w:rsidR="00EF26FB" w:rsidRPr="00EF26FB">
        <w:t>b)</w:t>
      </w:r>
      <w:r w:rsidR="00EF26FB" w:rsidRPr="00EF26FB">
        <w:tab/>
        <w:t>создание в 2008 году Института по делам пропавших без вести лиц;</w:t>
      </w:r>
    </w:p>
    <w:p w:rsidR="00EF26FB" w:rsidRPr="00EF26FB" w:rsidRDefault="007529D6" w:rsidP="00EF26FB">
      <w:pPr>
        <w:pStyle w:val="SingleTxtGR"/>
      </w:pPr>
      <w:r w:rsidRPr="00B63A92">
        <w:tab/>
      </w:r>
      <w:r w:rsidR="00EF26FB" w:rsidRPr="00EF26FB">
        <w:t>с)</w:t>
      </w:r>
      <w:r w:rsidR="00EF26FB" w:rsidRPr="00EF26FB">
        <w:tab/>
        <w:t>принятие в 2008 году национальной стратегии преследования за военные преступления;</w:t>
      </w:r>
    </w:p>
    <w:p w:rsidR="00EF26FB" w:rsidRPr="00EF26FB" w:rsidRDefault="007529D6" w:rsidP="00EF26FB">
      <w:pPr>
        <w:pStyle w:val="SingleTxtGR"/>
      </w:pPr>
      <w:r w:rsidRPr="00B63A92">
        <w:tab/>
      </w:r>
      <w:r w:rsidR="00EF26FB" w:rsidRPr="00EF26FB">
        <w:t>d)</w:t>
      </w:r>
      <w:r w:rsidR="00EF26FB" w:rsidRPr="00EF26FB">
        <w:tab/>
        <w:t>принятие в 2014 году Закона о программе защиты свидетелей в Боснии и Герцеговине;</w:t>
      </w:r>
    </w:p>
    <w:p w:rsidR="00EF26FB" w:rsidRPr="00EF26FB" w:rsidRDefault="007529D6" w:rsidP="00EF26FB">
      <w:pPr>
        <w:pStyle w:val="SingleTxtGR"/>
      </w:pPr>
      <w:r w:rsidRPr="00B63A92">
        <w:tab/>
      </w:r>
      <w:r w:rsidR="00EF26FB" w:rsidRPr="00EF26FB">
        <w:t>e)</w:t>
      </w:r>
      <w:r w:rsidR="00EF26FB" w:rsidRPr="00EF26FB">
        <w:tab/>
        <w:t>подписание различных двусторонних соглашений и документов о сотрудничестве с соседними странами в розыске пропавших без вести лиц и с</w:t>
      </w:r>
      <w:r w:rsidR="00EF26FB" w:rsidRPr="00EF26FB">
        <w:t>о</w:t>
      </w:r>
      <w:r w:rsidR="00EF26FB" w:rsidRPr="00EF26FB">
        <w:t>действии судебному преследованию предполагаемых правонарушителей.</w:t>
      </w:r>
    </w:p>
    <w:p w:rsidR="00EF26FB" w:rsidRPr="00EF26FB" w:rsidRDefault="00EF26FB" w:rsidP="00EF26FB">
      <w:pPr>
        <w:pStyle w:val="SingleTxtGR"/>
      </w:pPr>
      <w:r w:rsidRPr="00EF26FB">
        <w:t>7.</w:t>
      </w:r>
      <w:r w:rsidRPr="00EF26FB">
        <w:tab/>
        <w:t>Комитет с удовлетворением отмечает, что государство-участник направ</w:t>
      </w:r>
      <w:r w:rsidRPr="00EF26FB">
        <w:t>и</w:t>
      </w:r>
      <w:r w:rsidRPr="00EF26FB">
        <w:t>ло всем мандатариям специальных процедур Совета по правам человека откр</w:t>
      </w:r>
      <w:r w:rsidRPr="00EF26FB">
        <w:t>ы</w:t>
      </w:r>
      <w:r w:rsidRPr="00EF26FB">
        <w:t>тое приглашение посетить страну. В этой связи Комитет приветствует состоя</w:t>
      </w:r>
      <w:r w:rsidRPr="00EF26FB">
        <w:t>в</w:t>
      </w:r>
      <w:r w:rsidRPr="00EF26FB">
        <w:t>шееся в 2014 году посещение Боснии и Герцеговины Рабочей группой по насильственным или недобровольным исчезновениям и призывает государство-участник продолжать сотрудничать с этим механизмом в рамках его мандата.</w:t>
      </w:r>
    </w:p>
    <w:p w:rsidR="00EF26FB" w:rsidRPr="00EF26FB" w:rsidRDefault="00EF26FB" w:rsidP="007529D6">
      <w:pPr>
        <w:pStyle w:val="H1GR"/>
      </w:pPr>
      <w:r w:rsidRPr="00EF26FB">
        <w:tab/>
        <w:t>C.</w:t>
      </w:r>
      <w:r w:rsidRPr="00EF26FB">
        <w:tab/>
        <w:t>Основные вопросы, вызывающие обеспокоенность, и</w:t>
      </w:r>
      <w:r w:rsidR="007529D6">
        <w:rPr>
          <w:lang w:val="en-US"/>
        </w:rPr>
        <w:t> </w:t>
      </w:r>
      <w:r w:rsidRPr="00EF26FB">
        <w:t>рекомендации</w:t>
      </w:r>
    </w:p>
    <w:p w:rsidR="00EF26FB" w:rsidRPr="00EF26FB" w:rsidRDefault="00EF26FB" w:rsidP="00EF26FB">
      <w:pPr>
        <w:pStyle w:val="SingleTxtGR"/>
      </w:pPr>
      <w:r w:rsidRPr="00EF26FB">
        <w:t>8.</w:t>
      </w:r>
      <w:r w:rsidRPr="00EF26FB">
        <w:tab/>
        <w:t>Приветствуя меры, принятые государством-участником в связи с насил</w:t>
      </w:r>
      <w:r w:rsidRPr="00EF26FB">
        <w:t>ь</w:t>
      </w:r>
      <w:r w:rsidRPr="00EF26FB">
        <w:t>ственными исчезновениями, в том числе установление уголовной ответстве</w:t>
      </w:r>
      <w:r w:rsidRPr="00EF26FB">
        <w:t>н</w:t>
      </w:r>
      <w:r w:rsidRPr="00EF26FB">
        <w:t>ности за это преступление в Уголовном кодексе Боснии и Герцеговины, Ком</w:t>
      </w:r>
      <w:r w:rsidRPr="00EF26FB">
        <w:t>и</w:t>
      </w:r>
      <w:r w:rsidRPr="00EF26FB">
        <w:t>тет считает, что на момент принятия настоящих заключительных замечаний действующая в государстве-участнике нормативно-правовая основа, касающа</w:t>
      </w:r>
      <w:r w:rsidRPr="00EF26FB">
        <w:t>я</w:t>
      </w:r>
      <w:r w:rsidRPr="00EF26FB">
        <w:t>ся недопущения насильственных исчезновений и наказани</w:t>
      </w:r>
      <w:r w:rsidR="00C41EBE">
        <w:t>я</w:t>
      </w:r>
      <w:r w:rsidRPr="00EF26FB">
        <w:t xml:space="preserve"> за них, не в полной мере соответствовала обязательствам, возложенным на государства, ратифиц</w:t>
      </w:r>
      <w:r w:rsidRPr="00EF26FB">
        <w:t>и</w:t>
      </w:r>
      <w:r w:rsidRPr="00EF26FB">
        <w:t>ровавшие Конвенцию. Комитет призывает государство-участник к осуществл</w:t>
      </w:r>
      <w:r w:rsidRPr="00EF26FB">
        <w:t>е</w:t>
      </w:r>
      <w:r w:rsidRPr="00EF26FB">
        <w:t>нию его рекомендаций, вынесенных в конструктивном духе и в стремлении ок</w:t>
      </w:r>
      <w:r w:rsidRPr="00EF26FB">
        <w:t>а</w:t>
      </w:r>
      <w:r w:rsidRPr="00EF26FB">
        <w:t>зать помощь, с целью обеспечения того, чтобы существующая нормативно-правовая основа и действия по обеспечению ее соблюдения, предпринимаемые органами власти на уровне государства, энтитетов и округов, в полной мере с</w:t>
      </w:r>
      <w:r w:rsidRPr="00EF26FB">
        <w:t>о</w:t>
      </w:r>
      <w:r w:rsidRPr="00EF26FB">
        <w:t xml:space="preserve">ответствовали правам и обязательствам, предусмотренным Конвенцией. </w:t>
      </w:r>
    </w:p>
    <w:p w:rsidR="00EF26FB" w:rsidRPr="00EF26FB" w:rsidRDefault="00EF26FB" w:rsidP="00705BB9">
      <w:pPr>
        <w:pStyle w:val="H1GR"/>
      </w:pPr>
      <w:r w:rsidRPr="00EF26FB">
        <w:tab/>
      </w:r>
      <w:r w:rsidRPr="00EF26FB">
        <w:tab/>
        <w:t>Общая информация</w:t>
      </w:r>
    </w:p>
    <w:p w:rsidR="00EF26FB" w:rsidRPr="00EF26FB" w:rsidRDefault="00EF26FB" w:rsidP="00705BB9">
      <w:pPr>
        <w:pStyle w:val="H23GR"/>
      </w:pPr>
      <w:r w:rsidRPr="00EF26FB">
        <w:tab/>
      </w:r>
      <w:r w:rsidRPr="00EF26FB">
        <w:tab/>
        <w:t>Конституционное устройство государства-участника</w:t>
      </w:r>
    </w:p>
    <w:p w:rsidR="00EF26FB" w:rsidRPr="00EF26FB" w:rsidRDefault="00EF26FB" w:rsidP="00EF26FB">
      <w:pPr>
        <w:pStyle w:val="SingleTxtGR"/>
      </w:pPr>
      <w:r w:rsidRPr="00EF26FB">
        <w:t>9.</w:t>
      </w:r>
      <w:r w:rsidRPr="00EF26FB">
        <w:tab/>
        <w:t>При всем понимании трудностей, вызванных особенностями сложного конституционного устройства государства-участника, Комитет с обеспокоенн</w:t>
      </w:r>
      <w:r w:rsidRPr="00EF26FB">
        <w:t>о</w:t>
      </w:r>
      <w:r w:rsidRPr="00EF26FB">
        <w:t xml:space="preserve">стью отмечает, что в разных юрисдикциях, как в законодательном плане, так и на практике, степень выполнения установленных в Конвенции </w:t>
      </w:r>
      <w:r w:rsidR="00C41EBE">
        <w:t>обязательств</w:t>
      </w:r>
      <w:r w:rsidRPr="00EF26FB">
        <w:t xml:space="preserve"> н</w:t>
      </w:r>
      <w:r w:rsidRPr="00EF26FB">
        <w:t>е</w:t>
      </w:r>
      <w:r w:rsidRPr="00EF26FB">
        <w:t>одинакова. В этой связи Комитет отмечает, что в настоящее время принимаются меры по согласованию законодательства на уровне государства, энтитетов и округов, однако указывает, что в текущих условиях расхождения между уголо</w:t>
      </w:r>
      <w:r w:rsidRPr="00EF26FB">
        <w:t>в</w:t>
      </w:r>
      <w:r w:rsidRPr="00EF26FB">
        <w:t>ными кодексами могут привести к правовой неопределенности в отношении преступлений, их определений и мер наказания, связанных с ними, что может поставить под угрозу единообразное применение Конвенции на всей террит</w:t>
      </w:r>
      <w:r w:rsidRPr="00EF26FB">
        <w:t>о</w:t>
      </w:r>
      <w:r w:rsidRPr="00EF26FB">
        <w:t>рии страны.</w:t>
      </w:r>
    </w:p>
    <w:p w:rsidR="00EF26FB" w:rsidRPr="00EF26FB" w:rsidRDefault="00EF26FB" w:rsidP="00EF26FB">
      <w:pPr>
        <w:pStyle w:val="SingleTxtGR"/>
        <w:rPr>
          <w:b/>
          <w:bCs/>
        </w:rPr>
      </w:pPr>
      <w:r w:rsidRPr="00EF26FB">
        <w:t>10.</w:t>
      </w:r>
      <w:r w:rsidRPr="00EF26FB">
        <w:tab/>
      </w:r>
      <w:r w:rsidRPr="00EF26FB">
        <w:rPr>
          <w:b/>
          <w:bCs/>
        </w:rPr>
        <w:t>Ссылаясь на статью 41 Конвенции, Комитет рекомендует госуда</w:t>
      </w:r>
      <w:r w:rsidRPr="00EF26FB">
        <w:rPr>
          <w:b/>
          <w:bCs/>
        </w:rPr>
        <w:t>р</w:t>
      </w:r>
      <w:r w:rsidRPr="00EF26FB">
        <w:rPr>
          <w:b/>
          <w:bCs/>
        </w:rPr>
        <w:t>ству-участнику принять необходимые меры для обеспечения того, чтобы законодательство и практика на уровне государства, энтитетов и округов в полной мере соответствовали обязательствам, закрепленным в Конвенции.</w:t>
      </w:r>
    </w:p>
    <w:p w:rsidR="00EF26FB" w:rsidRPr="00EF26FB" w:rsidRDefault="00EF26FB" w:rsidP="00705BB9">
      <w:pPr>
        <w:pStyle w:val="H1GR"/>
      </w:pPr>
      <w:r w:rsidRPr="00EF26FB">
        <w:tab/>
      </w:r>
      <w:r w:rsidRPr="00EF26FB">
        <w:tab/>
        <w:t>Определение насильственного исчезновения и квалификация его в качестве уголовно наказуемого деяния (статьи 1–7)</w:t>
      </w:r>
    </w:p>
    <w:p w:rsidR="00EF26FB" w:rsidRPr="00EF26FB" w:rsidRDefault="00EF26FB" w:rsidP="00705BB9">
      <w:pPr>
        <w:pStyle w:val="H23GR"/>
      </w:pPr>
      <w:r w:rsidRPr="00EF26FB">
        <w:tab/>
      </w:r>
      <w:r w:rsidRPr="00EF26FB">
        <w:tab/>
        <w:t xml:space="preserve">Недопустимость отступления от запрета насильственных исчезновений </w:t>
      </w:r>
    </w:p>
    <w:p w:rsidR="00EF26FB" w:rsidRPr="00EF26FB" w:rsidRDefault="00EF26FB" w:rsidP="00EF26FB">
      <w:pPr>
        <w:pStyle w:val="SingleTxtGR"/>
      </w:pPr>
      <w:r w:rsidRPr="00EF26FB">
        <w:t>11.</w:t>
      </w:r>
      <w:r w:rsidRPr="00EF26FB">
        <w:tab/>
        <w:t>Комитет с обеспокоенностью отмечает, что во внутреннем законодател</w:t>
      </w:r>
      <w:r w:rsidRPr="00EF26FB">
        <w:t>ь</w:t>
      </w:r>
      <w:r w:rsidRPr="00EF26FB">
        <w:t>стве конкретно не предусматривается недопустимость отступления от запрета насильственных исчезновений при любых исключительных обстоятельствах (статья 1).</w:t>
      </w:r>
    </w:p>
    <w:p w:rsidR="00EF26FB" w:rsidRPr="00EF26FB" w:rsidRDefault="00EF26FB" w:rsidP="00EF26FB">
      <w:pPr>
        <w:pStyle w:val="SingleTxtGR"/>
        <w:rPr>
          <w:b/>
          <w:bCs/>
        </w:rPr>
      </w:pPr>
      <w:r w:rsidRPr="00EF26FB">
        <w:t>12.</w:t>
      </w:r>
      <w:r w:rsidRPr="00EF26FB">
        <w:tab/>
      </w:r>
      <w:r w:rsidRPr="00EF26FB">
        <w:rPr>
          <w:b/>
          <w:bCs/>
        </w:rPr>
        <w:t>Комитет рекомендует государству-участнику принять законодател</w:t>
      </w:r>
      <w:r w:rsidRPr="00EF26FB">
        <w:rPr>
          <w:b/>
          <w:bCs/>
        </w:rPr>
        <w:t>ь</w:t>
      </w:r>
      <w:r w:rsidRPr="00EF26FB">
        <w:rPr>
          <w:b/>
          <w:bCs/>
        </w:rPr>
        <w:t>ные меры, необходимые для того, чтобы конкретно включить во внутре</w:t>
      </w:r>
      <w:r w:rsidRPr="00EF26FB">
        <w:rPr>
          <w:b/>
          <w:bCs/>
        </w:rPr>
        <w:t>н</w:t>
      </w:r>
      <w:r w:rsidRPr="00EF26FB">
        <w:rPr>
          <w:b/>
          <w:bCs/>
        </w:rPr>
        <w:t>нее законодательство абсолютный запрет насильственных исчезновений в соответствии с пунктом 2 статьи 1 Конвенции.</w:t>
      </w:r>
    </w:p>
    <w:p w:rsidR="00EF26FB" w:rsidRPr="00EF26FB" w:rsidRDefault="00EF26FB" w:rsidP="00705BB9">
      <w:pPr>
        <w:pStyle w:val="H23GR"/>
      </w:pPr>
      <w:r w:rsidRPr="00EF26FB">
        <w:tab/>
      </w:r>
      <w:r w:rsidRPr="00EF26FB">
        <w:tab/>
        <w:t>Преступление, квалифицируемое как насильственное исчезновение</w:t>
      </w:r>
    </w:p>
    <w:p w:rsidR="00EF26FB" w:rsidRPr="00EF26FB" w:rsidRDefault="00EF26FB" w:rsidP="00EF26FB">
      <w:pPr>
        <w:pStyle w:val="SingleTxtGR"/>
      </w:pPr>
      <w:r w:rsidRPr="00EF26FB">
        <w:t>13.</w:t>
      </w:r>
      <w:r w:rsidRPr="00EF26FB">
        <w:tab/>
        <w:t>Комитет приветствует принятые в мае 2015 года поправки к Уголовному кодексу Боснии и Герцеговины, в соответствии с которыми в пункте а) ст</w:t>
      </w:r>
      <w:r w:rsidRPr="00EF26FB">
        <w:t>а</w:t>
      </w:r>
      <w:r w:rsidRPr="00EF26FB">
        <w:t>тьи</w:t>
      </w:r>
      <w:r w:rsidR="00C41EBE">
        <w:t> </w:t>
      </w:r>
      <w:r w:rsidRPr="00EF26FB">
        <w:t>190 преступление, состоящее в насильственном исчезновении, признается в качестве самостоятельного преступления, и принимает к сведению предста</w:t>
      </w:r>
      <w:r w:rsidRPr="00EF26FB">
        <w:t>в</w:t>
      </w:r>
      <w:r w:rsidRPr="00EF26FB">
        <w:t>ленную государством-участником информацию о том, что новое положение не охватывает ответственность должностных лиц на уровне энтитетов и округов. Комитет отмечает, что в ряде статей уголовных кодексов, действующих на уровне энтитетов и округов, содержатся элементы, связанные с насильственным исчезновением, но по-прежнему обеспокоен тем, что этих статей недостаточно для того, чтобы надлежащим образом охватить все составные элементы и усл</w:t>
      </w:r>
      <w:r w:rsidRPr="00EF26FB">
        <w:t>о</w:t>
      </w:r>
      <w:r w:rsidRPr="00EF26FB">
        <w:t>вия совершения насильственного исчезновения по смыслу статей 2 и 6 Конве</w:t>
      </w:r>
      <w:r w:rsidRPr="00EF26FB">
        <w:t>н</w:t>
      </w:r>
      <w:r w:rsidRPr="00EF26FB">
        <w:t>ции. В этой связи Комитет считает, что только квалификация насильственного исчезновения в качестве самостоятельного преступления в масштабах всей страны позволит государству-участнику выполнить обязательство, вытекающее из статьи 4 и тесно связанное с другими договорными обязательствами, каса</w:t>
      </w:r>
      <w:r w:rsidRPr="00EF26FB">
        <w:t>ю</w:t>
      </w:r>
      <w:r w:rsidRPr="00EF26FB">
        <w:t>щимися законодательства, в том числе обязательствами по статьям 6, 7 и 8 (ст</w:t>
      </w:r>
      <w:r w:rsidRPr="00EF26FB">
        <w:t>а</w:t>
      </w:r>
      <w:r w:rsidRPr="00EF26FB">
        <w:t>тьи 2 и 4</w:t>
      </w:r>
      <w:r w:rsidR="00CF395E" w:rsidRPr="00CF395E">
        <w:t>–</w:t>
      </w:r>
      <w:r w:rsidRPr="00EF26FB">
        <w:t>8).</w:t>
      </w:r>
    </w:p>
    <w:p w:rsidR="00EF26FB" w:rsidRPr="00EF26FB" w:rsidRDefault="00EF26FB" w:rsidP="00EF26FB">
      <w:pPr>
        <w:pStyle w:val="SingleTxtGR"/>
        <w:rPr>
          <w:b/>
          <w:bCs/>
        </w:rPr>
      </w:pPr>
      <w:r w:rsidRPr="00EF26FB">
        <w:t>14.</w:t>
      </w:r>
      <w:r w:rsidRPr="00EF26FB">
        <w:tab/>
      </w:r>
      <w:r w:rsidRPr="00EF26FB">
        <w:rPr>
          <w:b/>
          <w:bCs/>
        </w:rPr>
        <w:t>Комитет рекомендует государству-участнику принять необходимые законодательные меры для обеспечения того, чтобы насильственное исче</w:t>
      </w:r>
      <w:r w:rsidRPr="00EF26FB">
        <w:rPr>
          <w:b/>
          <w:bCs/>
        </w:rPr>
        <w:t>з</w:t>
      </w:r>
      <w:r w:rsidRPr="00EF26FB">
        <w:rPr>
          <w:b/>
          <w:bCs/>
        </w:rPr>
        <w:t>новение было включено в уголовные кодексы Федерации Боснии и Герц</w:t>
      </w:r>
      <w:r w:rsidRPr="00EF26FB">
        <w:rPr>
          <w:b/>
          <w:bCs/>
        </w:rPr>
        <w:t>е</w:t>
      </w:r>
      <w:r w:rsidRPr="00EF26FB">
        <w:rPr>
          <w:b/>
          <w:bCs/>
        </w:rPr>
        <w:t>говины, Республики Сербской и района Брчко в качестве самостоятельн</w:t>
      </w:r>
      <w:r w:rsidRPr="00EF26FB">
        <w:rPr>
          <w:b/>
          <w:bCs/>
        </w:rPr>
        <w:t>о</w:t>
      </w:r>
      <w:r w:rsidRPr="00EF26FB">
        <w:rPr>
          <w:b/>
          <w:bCs/>
        </w:rPr>
        <w:t>го правонарушения в соответствии с определением, содержащимся в ст</w:t>
      </w:r>
      <w:r w:rsidRPr="00EF26FB">
        <w:rPr>
          <w:b/>
          <w:bCs/>
        </w:rPr>
        <w:t>а</w:t>
      </w:r>
      <w:r w:rsidRPr="00EF26FB">
        <w:rPr>
          <w:b/>
          <w:bCs/>
        </w:rPr>
        <w:t>тье</w:t>
      </w:r>
      <w:r w:rsidR="00C41EBE">
        <w:rPr>
          <w:b/>
          <w:bCs/>
        </w:rPr>
        <w:t> </w:t>
      </w:r>
      <w:r w:rsidRPr="00EF26FB">
        <w:rPr>
          <w:b/>
          <w:bCs/>
        </w:rPr>
        <w:t>2 Конвенции. В этой связи государству-участнику следует: a) принять меры к тому, чтобы правонарушение влекло за собой соответствующие м</w:t>
      </w:r>
      <w:r w:rsidRPr="00EF26FB">
        <w:rPr>
          <w:b/>
          <w:bCs/>
        </w:rPr>
        <w:t>е</w:t>
      </w:r>
      <w:r w:rsidRPr="00EF26FB">
        <w:rPr>
          <w:b/>
          <w:bCs/>
        </w:rPr>
        <w:t>ры наказания с учетом его особо тяжкого характера; b) гарантировать, чтобы в случае применения срока давности к насильственным исчезнов</w:t>
      </w:r>
      <w:r w:rsidRPr="00EF26FB">
        <w:rPr>
          <w:b/>
          <w:bCs/>
        </w:rPr>
        <w:t>е</w:t>
      </w:r>
      <w:r w:rsidRPr="00EF26FB">
        <w:rPr>
          <w:b/>
          <w:bCs/>
        </w:rPr>
        <w:t>ниям такой срок был продолжительным и соразмерным особой тяжести этого правонарушения, а также, учитывая длящийся характер насил</w:t>
      </w:r>
      <w:r w:rsidRPr="00EF26FB">
        <w:rPr>
          <w:b/>
          <w:bCs/>
        </w:rPr>
        <w:t>ь</w:t>
      </w:r>
      <w:r w:rsidRPr="00EF26FB">
        <w:rPr>
          <w:b/>
          <w:bCs/>
        </w:rPr>
        <w:t>ственного исчезновения, чтобы он исчислялся с момента окончания такого преступления; и с) обеспечить, чтобы условия, предусмотренные в статье 6 Конвенции, были включены во все применимые законы.</w:t>
      </w:r>
    </w:p>
    <w:p w:rsidR="00EF26FB" w:rsidRPr="00EF26FB" w:rsidRDefault="00EF26FB" w:rsidP="00705BB9">
      <w:pPr>
        <w:pStyle w:val="H23GR"/>
      </w:pPr>
      <w:r w:rsidRPr="00EF26FB">
        <w:tab/>
      </w:r>
      <w:r w:rsidRPr="00EF26FB">
        <w:tab/>
        <w:t>Отягчающие и смягчающие ответственность обстоятельства</w:t>
      </w:r>
    </w:p>
    <w:p w:rsidR="00EF26FB" w:rsidRPr="00EF26FB" w:rsidRDefault="00EF26FB" w:rsidP="00EF26FB">
      <w:pPr>
        <w:pStyle w:val="SingleTxtGR"/>
      </w:pPr>
      <w:r w:rsidRPr="00EF26FB">
        <w:t>15.</w:t>
      </w:r>
      <w:r w:rsidRPr="00EF26FB">
        <w:tab/>
        <w:t>Принимая к сведению то, что в Уголовном кодексе Боснии и Герцеговины содержатся общие принципы определения мер наказания, Комитет отмечает, что государство-участник не включило конкретные положения, которые бы предусматривали смягчающие и отягчающие ответственность обстоятельства, применимые к актам насильственного исчезновения и перечисленные в по</w:t>
      </w:r>
      <w:r w:rsidRPr="00EF26FB">
        <w:t>д</w:t>
      </w:r>
      <w:r w:rsidRPr="00EF26FB">
        <w:t>пункте а) пункта 2 статьи 7 Конвенции (статья 7).</w:t>
      </w:r>
    </w:p>
    <w:p w:rsidR="00EF26FB" w:rsidRPr="00EF26FB" w:rsidRDefault="00EF26FB" w:rsidP="00EF26FB">
      <w:pPr>
        <w:pStyle w:val="SingleTxtGR"/>
        <w:rPr>
          <w:b/>
          <w:bCs/>
        </w:rPr>
      </w:pPr>
      <w:r w:rsidRPr="00EF26FB">
        <w:t>16.</w:t>
      </w:r>
      <w:r w:rsidRPr="00EF26FB">
        <w:tab/>
      </w:r>
      <w:r w:rsidRPr="00EF26FB">
        <w:rPr>
          <w:b/>
          <w:bCs/>
        </w:rPr>
        <w:t>Комитет рекомендует государству-участнику, принять необходимые законодательные меры для обеспечения того, чтобы в Уголовный кодекс были включены применимые к акту насильственного исчезновения смя</w:t>
      </w:r>
      <w:r w:rsidRPr="00EF26FB">
        <w:rPr>
          <w:b/>
          <w:bCs/>
        </w:rPr>
        <w:t>г</w:t>
      </w:r>
      <w:r w:rsidRPr="00EF26FB">
        <w:rPr>
          <w:b/>
          <w:bCs/>
        </w:rPr>
        <w:t>чающие и отягчающие ответственность обстоятельства, которые охват</w:t>
      </w:r>
      <w:r w:rsidRPr="00EF26FB">
        <w:rPr>
          <w:b/>
          <w:bCs/>
        </w:rPr>
        <w:t>ы</w:t>
      </w:r>
      <w:r w:rsidRPr="00EF26FB">
        <w:rPr>
          <w:b/>
          <w:bCs/>
        </w:rPr>
        <w:t>вали бы все элементы, предусмотренные в пункте 2 статьи 7 Конвенции.</w:t>
      </w:r>
    </w:p>
    <w:p w:rsidR="00EF26FB" w:rsidRPr="00EF26FB" w:rsidRDefault="00EF26FB" w:rsidP="00705BB9">
      <w:pPr>
        <w:pStyle w:val="H1GR"/>
      </w:pPr>
      <w:r w:rsidRPr="00EF26FB">
        <w:tab/>
      </w:r>
      <w:r w:rsidRPr="00EF26FB">
        <w:tab/>
        <w:t xml:space="preserve">Уголовная ответственность и сотрудничество судебных органов в связи с насильственными исчезновениями </w:t>
      </w:r>
      <w:r w:rsidR="00705BB9" w:rsidRPr="00705BB9">
        <w:br/>
      </w:r>
      <w:r w:rsidRPr="00EF26FB">
        <w:t>(статьи 8−15)</w:t>
      </w:r>
    </w:p>
    <w:p w:rsidR="00EF26FB" w:rsidRPr="00EF26FB" w:rsidRDefault="00EF26FB" w:rsidP="00705BB9">
      <w:pPr>
        <w:pStyle w:val="H23GR"/>
      </w:pPr>
      <w:r w:rsidRPr="00EF26FB">
        <w:tab/>
      </w:r>
      <w:r w:rsidRPr="00EF26FB">
        <w:tab/>
        <w:t>Расследование случаев насильственных исчезновений, совершенных в</w:t>
      </w:r>
      <w:r w:rsidR="00705BB9">
        <w:rPr>
          <w:lang w:val="en-US"/>
        </w:rPr>
        <w:t> </w:t>
      </w:r>
      <w:r w:rsidRPr="00EF26FB">
        <w:t>контексте вооруженных конфликтов в бывшей Югославии</w:t>
      </w:r>
    </w:p>
    <w:p w:rsidR="00EF26FB" w:rsidRPr="00EF26FB" w:rsidRDefault="00EF26FB" w:rsidP="00EF26FB">
      <w:pPr>
        <w:pStyle w:val="SingleTxtGR"/>
      </w:pPr>
      <w:r w:rsidRPr="00EF26FB">
        <w:t>17.</w:t>
      </w:r>
      <w:r w:rsidRPr="00EF26FB">
        <w:tab/>
        <w:t>Комитет приветствует весьма высокие показатели определения местон</w:t>
      </w:r>
      <w:r w:rsidRPr="00EF26FB">
        <w:t>а</w:t>
      </w:r>
      <w:r w:rsidRPr="00EF26FB">
        <w:t>хождения и установления личности лиц, которые числились пропавшими без вести в результате войны, и предпринятые в последнее время шаги для ускор</w:t>
      </w:r>
      <w:r w:rsidRPr="00EF26FB">
        <w:t>е</w:t>
      </w:r>
      <w:r w:rsidRPr="00EF26FB">
        <w:t>ния темпов расследований. Вместе с тем он отмечает, что по-прежнему неи</w:t>
      </w:r>
      <w:r w:rsidRPr="00EF26FB">
        <w:t>з</w:t>
      </w:r>
      <w:r w:rsidRPr="00EF26FB">
        <w:t>вестны судьба и местонахождение примерно трети из 30 000 лиц, которые чи</w:t>
      </w:r>
      <w:r w:rsidRPr="00EF26FB">
        <w:t>с</w:t>
      </w:r>
      <w:r w:rsidRPr="00EF26FB">
        <w:t>лятся пропавшими без вести в государстве-участнике в результате войны, и о</w:t>
      </w:r>
      <w:r w:rsidRPr="00EF26FB">
        <w:t>т</w:t>
      </w:r>
      <w:r w:rsidRPr="00EF26FB">
        <w:t>мечает также, что многие из этих людей, возможно, стали жертвами насил</w:t>
      </w:r>
      <w:r w:rsidRPr="00EF26FB">
        <w:t>ь</w:t>
      </w:r>
      <w:r w:rsidRPr="00EF26FB">
        <w:t>ственных исчезновений. В этой связи Комитет выражает обеспокоенность в связи с медленными темпами эксгумации и опознания останков, а также в связи с недостаточным объемом бюджетных ассигнований, выделяемых прокуратуре Боснии и Герцеговины, и отсутствием в государстве-участнике достаточного числа судебно-медицинских экспертов. Комитет обеспокоен тем, что процесс проверки данных, собранных в системе централизованного учета пропавших без вести лиц, замедлился в силу ряда проблем, включая политизацию процесса (статьи 12 и 24).</w:t>
      </w:r>
    </w:p>
    <w:p w:rsidR="00EF26FB" w:rsidRPr="00EF26FB" w:rsidRDefault="00EF26FB" w:rsidP="00EF26FB">
      <w:pPr>
        <w:pStyle w:val="SingleTxtGR"/>
        <w:rPr>
          <w:b/>
          <w:bCs/>
        </w:rPr>
      </w:pPr>
      <w:r w:rsidRPr="00EF26FB">
        <w:t>18.</w:t>
      </w:r>
      <w:r w:rsidRPr="00EF26FB">
        <w:tab/>
      </w:r>
      <w:r w:rsidRPr="00EF26FB">
        <w:rPr>
          <w:b/>
          <w:bCs/>
        </w:rPr>
        <w:t>Комитет рекомендует государству-участнику продолжать свои ус</w:t>
      </w:r>
      <w:r w:rsidRPr="00EF26FB">
        <w:rPr>
          <w:b/>
          <w:bCs/>
        </w:rPr>
        <w:t>и</w:t>
      </w:r>
      <w:r w:rsidRPr="00EF26FB">
        <w:rPr>
          <w:b/>
          <w:bCs/>
        </w:rPr>
        <w:t>лия, направленные на установление истины и выяснение судьбы и мест</w:t>
      </w:r>
      <w:r w:rsidRPr="00EF26FB">
        <w:rPr>
          <w:b/>
          <w:bCs/>
        </w:rPr>
        <w:t>о</w:t>
      </w:r>
      <w:r w:rsidRPr="00EF26FB">
        <w:rPr>
          <w:b/>
          <w:bCs/>
        </w:rPr>
        <w:t>нахождения всех лиц, числящихся пропавшими без вести, а в случае сме</w:t>
      </w:r>
      <w:r w:rsidRPr="00EF26FB">
        <w:rPr>
          <w:b/>
          <w:bCs/>
        </w:rPr>
        <w:t>р</w:t>
      </w:r>
      <w:r w:rsidRPr="00EF26FB">
        <w:rPr>
          <w:b/>
          <w:bCs/>
        </w:rPr>
        <w:t>ти − на опознание останков. В частности, Комитет рекомендует госуда</w:t>
      </w:r>
      <w:r w:rsidRPr="00EF26FB">
        <w:rPr>
          <w:b/>
          <w:bCs/>
        </w:rPr>
        <w:t>р</w:t>
      </w:r>
      <w:r w:rsidRPr="00EF26FB">
        <w:rPr>
          <w:b/>
          <w:bCs/>
        </w:rPr>
        <w:t>ству-участнику: a) предоставить прокуратуре Боснии и Герцеговины надлежащие кадровые и финансовые ресурсы и назначить дополнител</w:t>
      </w:r>
      <w:r w:rsidRPr="00EF26FB">
        <w:rPr>
          <w:b/>
          <w:bCs/>
        </w:rPr>
        <w:t>ь</w:t>
      </w:r>
      <w:r w:rsidRPr="00EF26FB">
        <w:rPr>
          <w:b/>
          <w:bCs/>
        </w:rPr>
        <w:t>ных судебно-медицинских экспертов для обеспечения того, чтобы при о</w:t>
      </w:r>
      <w:r w:rsidRPr="00EF26FB">
        <w:rPr>
          <w:b/>
          <w:bCs/>
        </w:rPr>
        <w:t>б</w:t>
      </w:r>
      <w:r w:rsidRPr="00EF26FB">
        <w:rPr>
          <w:b/>
          <w:bCs/>
        </w:rPr>
        <w:t>наружении останков как можно более оперативно проводились эксгумация и опознание; и b) ускорить процесс проверки данных системы централиз</w:t>
      </w:r>
      <w:r w:rsidRPr="00EF26FB">
        <w:rPr>
          <w:b/>
          <w:bCs/>
        </w:rPr>
        <w:t>о</w:t>
      </w:r>
      <w:r w:rsidRPr="00EF26FB">
        <w:rPr>
          <w:b/>
          <w:bCs/>
        </w:rPr>
        <w:t>ванного учета пропавших без вести лиц.</w:t>
      </w:r>
    </w:p>
    <w:p w:rsidR="00EF26FB" w:rsidRPr="00EF26FB" w:rsidRDefault="00EF26FB" w:rsidP="00705BB9">
      <w:pPr>
        <w:pStyle w:val="H23GR"/>
      </w:pPr>
      <w:r w:rsidRPr="00EF26FB">
        <w:tab/>
      </w:r>
      <w:r w:rsidRPr="00EF26FB">
        <w:tab/>
        <w:t>Институт по делам пропавших без вести лиц</w:t>
      </w:r>
    </w:p>
    <w:p w:rsidR="00EF26FB" w:rsidRPr="00EF26FB" w:rsidRDefault="00EF26FB" w:rsidP="00EF26FB">
      <w:pPr>
        <w:pStyle w:val="SingleTxtGR"/>
      </w:pPr>
      <w:r w:rsidRPr="00EF26FB">
        <w:t>19.</w:t>
      </w:r>
      <w:r w:rsidRPr="00EF26FB">
        <w:tab/>
        <w:t>Комитет с обеспокоенностью отмечает, что с момента создания Инстит</w:t>
      </w:r>
      <w:r w:rsidRPr="00EF26FB">
        <w:t>у</w:t>
      </w:r>
      <w:r w:rsidRPr="00EF26FB">
        <w:t>та по делам пропавших без вести лиц его бюджет вдвое сократился, несмотря на то, что Институту постепенно переходят функции Международной комиссии по пропавшим без вести лицам, и выражает сожаление в связи с тем, что И</w:t>
      </w:r>
      <w:r w:rsidRPr="00EF26FB">
        <w:t>н</w:t>
      </w:r>
      <w:r w:rsidRPr="00EF26FB">
        <w:t>ститут не был обеспечен всеми технологическими средствами, необходимыми для эффективного обнаружения захоронений и эксгумации останков. Кроме т</w:t>
      </w:r>
      <w:r w:rsidRPr="00EF26FB">
        <w:t>о</w:t>
      </w:r>
      <w:r w:rsidRPr="00EF26FB">
        <w:t>го, Комитет обеспокоен тем, что назначение членов Совета директоров ожид</w:t>
      </w:r>
      <w:r w:rsidRPr="00EF26FB">
        <w:t>а</w:t>
      </w:r>
      <w:r w:rsidRPr="00EF26FB">
        <w:t xml:space="preserve">ется с 2012 года, и приветствует предоставленную делегацией государства-участника информацию о том, что их назначение состоится в ближайшее время (статьи </w:t>
      </w:r>
      <w:r w:rsidR="00C41EBE">
        <w:t>1</w:t>
      </w:r>
      <w:r w:rsidRPr="00EF26FB">
        <w:t xml:space="preserve">2 и 24). </w:t>
      </w:r>
    </w:p>
    <w:p w:rsidR="00EF26FB" w:rsidRPr="00EF26FB" w:rsidRDefault="00EF26FB" w:rsidP="00EF26FB">
      <w:pPr>
        <w:pStyle w:val="SingleTxtGR"/>
        <w:rPr>
          <w:b/>
          <w:bCs/>
        </w:rPr>
      </w:pPr>
      <w:r w:rsidRPr="00EF26FB">
        <w:t>20.</w:t>
      </w:r>
      <w:r w:rsidRPr="00EF26FB">
        <w:tab/>
      </w:r>
      <w:r w:rsidRPr="00EF26FB">
        <w:rPr>
          <w:b/>
          <w:bCs/>
        </w:rPr>
        <w:t>Комитет рекомендует государству-участнику обеспечить Институт по делам пропавших без вести лиц финансовыми, кадровыми и технологич</w:t>
      </w:r>
      <w:r w:rsidRPr="00EF26FB">
        <w:rPr>
          <w:b/>
          <w:bCs/>
        </w:rPr>
        <w:t>е</w:t>
      </w:r>
      <w:r w:rsidRPr="00EF26FB">
        <w:rPr>
          <w:b/>
          <w:bCs/>
        </w:rPr>
        <w:t>скими ресурсами, необходимыми для надлежащего выполнения им своего мандата, и ускорить процесс назначения членов Совета директоров.</w:t>
      </w:r>
    </w:p>
    <w:p w:rsidR="00EF26FB" w:rsidRPr="00EF26FB" w:rsidRDefault="00EF26FB" w:rsidP="00705BB9">
      <w:pPr>
        <w:pStyle w:val="H23GR"/>
      </w:pPr>
      <w:r w:rsidRPr="00EF26FB">
        <w:tab/>
      </w:r>
      <w:r w:rsidRPr="00EF26FB">
        <w:tab/>
        <w:t>Судебное преследование в связи с делами о военных преступлениях</w:t>
      </w:r>
    </w:p>
    <w:p w:rsidR="00EF26FB" w:rsidRPr="00EF26FB" w:rsidRDefault="00EF26FB" w:rsidP="00EF26FB">
      <w:pPr>
        <w:pStyle w:val="SingleTxtGR"/>
      </w:pPr>
      <w:r w:rsidRPr="00EF26FB">
        <w:t>21.</w:t>
      </w:r>
      <w:r w:rsidRPr="00EF26FB">
        <w:tab/>
        <w:t>Комитет приветствует усилия, предпринятые на международном и наци</w:t>
      </w:r>
      <w:r w:rsidRPr="00EF26FB">
        <w:t>о</w:t>
      </w:r>
      <w:r w:rsidRPr="00EF26FB">
        <w:t>нальном уровнях в целях судебного преследования и наказания лиц, виновных в совершении связанных с войной преступлений. Вместе с тем он обеспокоен тем, что, несмотря на эти усилия, накопилось большее число нерассмотренных дел о военных преступлениях, а случаи судебного преследования и осуждения лиц, виновных в насильственных исчезновениях, по-прежнему крайне редки. Кроме того, Комитет принимает к сведению тот факт, что</w:t>
      </w:r>
      <w:r w:rsidR="00C41EBE" w:rsidRPr="00EF26FB">
        <w:t>,</w:t>
      </w:r>
      <w:r w:rsidRPr="00EF26FB">
        <w:t xml:space="preserve"> с тех пор как Евр</w:t>
      </w:r>
      <w:r w:rsidRPr="00EF26FB">
        <w:t>о</w:t>
      </w:r>
      <w:r w:rsidRPr="00EF26FB">
        <w:t>пейский суд по правам человека принял решение по делу</w:t>
      </w:r>
      <w:r w:rsidRPr="00EF26FB">
        <w:rPr>
          <w:i/>
          <w:iCs/>
        </w:rPr>
        <w:t xml:space="preserve"> Мактуфа и Дамьян</w:t>
      </w:r>
      <w:r w:rsidRPr="00EF26FB">
        <w:rPr>
          <w:i/>
          <w:iCs/>
        </w:rPr>
        <w:t>о</w:t>
      </w:r>
      <w:r w:rsidRPr="00EF26FB">
        <w:rPr>
          <w:i/>
          <w:iCs/>
        </w:rPr>
        <w:t xml:space="preserve">вича, </w:t>
      </w:r>
      <w:r w:rsidRPr="00EF26FB">
        <w:t>Конституционный суд Боснии и Герцеговины не проводил оценку ко</w:t>
      </w:r>
      <w:r w:rsidRPr="00EF26FB">
        <w:t>н</w:t>
      </w:r>
      <w:r w:rsidRPr="00EF26FB">
        <w:t>кретных обстоятельств каждого дела, в том числе с точки зрения тяжести с</w:t>
      </w:r>
      <w:r w:rsidRPr="00EF26FB">
        <w:t>о</w:t>
      </w:r>
      <w:r w:rsidRPr="00EF26FB">
        <w:t>вершенных преступлений, при вынесении решения об отмене приговоров</w:t>
      </w:r>
      <w:r w:rsidRPr="00EF26FB">
        <w:rPr>
          <w:vertAlign w:val="superscript"/>
        </w:rPr>
        <w:footnoteReference w:id="2"/>
      </w:r>
      <w:r w:rsidRPr="00EF26FB">
        <w:t>. К</w:t>
      </w:r>
      <w:r w:rsidRPr="00EF26FB">
        <w:t>о</w:t>
      </w:r>
      <w:r w:rsidRPr="00EF26FB">
        <w:t>митет глубоко обеспокоен тем, что возобновление производства по делам о в</w:t>
      </w:r>
      <w:r w:rsidRPr="00EF26FB">
        <w:t>о</w:t>
      </w:r>
      <w:r w:rsidRPr="00EF26FB">
        <w:t>енных преступлениях и геноциде привело к резкому сокращению сроков з</w:t>
      </w:r>
      <w:r w:rsidRPr="00EF26FB">
        <w:t>а</w:t>
      </w:r>
      <w:r w:rsidRPr="00EF26FB">
        <w:t>ключения, в том числе в случае лиц, виновных в насильственных исчезновен</w:t>
      </w:r>
      <w:r w:rsidRPr="00EF26FB">
        <w:t>и</w:t>
      </w:r>
      <w:r w:rsidRPr="00EF26FB">
        <w:t>ях, а также тем, что осужденные преступники были выпущены на свободу в ожидании повторного судебного разбирательства, что вызвало страх, чувство незащищенности и повторную виктимизацию отдельных лиц и подорвало дов</w:t>
      </w:r>
      <w:r w:rsidRPr="00EF26FB">
        <w:t>е</w:t>
      </w:r>
      <w:r w:rsidRPr="00EF26FB">
        <w:t>рие к системе правосудия (статьи 7, 8, 12, 24).</w:t>
      </w:r>
    </w:p>
    <w:p w:rsidR="00EF26FB" w:rsidRPr="00EF26FB" w:rsidRDefault="00EF26FB" w:rsidP="00EF26FB">
      <w:pPr>
        <w:pStyle w:val="SingleTxtGR"/>
        <w:rPr>
          <w:b/>
          <w:bCs/>
        </w:rPr>
      </w:pPr>
      <w:r w:rsidRPr="00EF26FB">
        <w:t>22.</w:t>
      </w:r>
      <w:r w:rsidRPr="00EF26FB">
        <w:tab/>
      </w:r>
      <w:r w:rsidRPr="00EF26FB">
        <w:rPr>
          <w:b/>
          <w:bCs/>
        </w:rPr>
        <w:t>Комитет ссылается на длящийся характер преступления насил</w:t>
      </w:r>
      <w:r w:rsidRPr="00EF26FB">
        <w:rPr>
          <w:b/>
          <w:bCs/>
        </w:rPr>
        <w:t>ь</w:t>
      </w:r>
      <w:r w:rsidRPr="00EF26FB">
        <w:rPr>
          <w:b/>
          <w:bCs/>
        </w:rPr>
        <w:t>ственного исчезновения и рекомендует государству-участнику активизир</w:t>
      </w:r>
      <w:r w:rsidRPr="00EF26FB">
        <w:rPr>
          <w:b/>
          <w:bCs/>
        </w:rPr>
        <w:t>о</w:t>
      </w:r>
      <w:r w:rsidRPr="00EF26FB">
        <w:rPr>
          <w:b/>
          <w:bCs/>
        </w:rPr>
        <w:t>вать свои усилия по осуществлению Национальной стратегии преследов</w:t>
      </w:r>
      <w:r w:rsidRPr="00EF26FB">
        <w:rPr>
          <w:b/>
          <w:bCs/>
        </w:rPr>
        <w:t>а</w:t>
      </w:r>
      <w:r w:rsidRPr="00EF26FB">
        <w:rPr>
          <w:b/>
          <w:bCs/>
        </w:rPr>
        <w:t>ния за военные преступления и обеспечить, чтобы в связи со всеми случ</w:t>
      </w:r>
      <w:r w:rsidRPr="00EF26FB">
        <w:rPr>
          <w:b/>
          <w:bCs/>
        </w:rPr>
        <w:t>а</w:t>
      </w:r>
      <w:r w:rsidRPr="00EF26FB">
        <w:rPr>
          <w:b/>
          <w:bCs/>
        </w:rPr>
        <w:t>ями насильственных исчезновений, которые могли быть совершены дол</w:t>
      </w:r>
      <w:r w:rsidRPr="00EF26FB">
        <w:rPr>
          <w:b/>
          <w:bCs/>
        </w:rPr>
        <w:t>ж</w:t>
      </w:r>
      <w:r w:rsidRPr="00EF26FB">
        <w:rPr>
          <w:b/>
          <w:bCs/>
        </w:rPr>
        <w:t>ностными лицами государства-участника или же лицами или группами лиц, действующими с их разрешения, при их поддержке или с их согласия в контексте вооруженных конфликтов в бывшей Югославии, без промедл</w:t>
      </w:r>
      <w:r w:rsidRPr="00EF26FB">
        <w:rPr>
          <w:b/>
          <w:bCs/>
        </w:rPr>
        <w:t>е</w:t>
      </w:r>
      <w:r w:rsidRPr="00EF26FB">
        <w:rPr>
          <w:b/>
          <w:bCs/>
        </w:rPr>
        <w:t>ния проводились тщательные и беспристрастные расследования, а лица, признанные виновными, в том числе командиры и руководители из числа гражданских лиц, несли наказание, соразмерное тяжести совершенных ими деяний.</w:t>
      </w:r>
    </w:p>
    <w:p w:rsidR="00EF26FB" w:rsidRPr="00EF26FB" w:rsidRDefault="00EF26FB" w:rsidP="00705BB9">
      <w:pPr>
        <w:pStyle w:val="H23GR"/>
      </w:pPr>
      <w:r w:rsidRPr="00EF26FB">
        <w:tab/>
      </w:r>
      <w:r w:rsidRPr="00EF26FB">
        <w:tab/>
        <w:t>Защита лиц, участвующих в расследовании</w:t>
      </w:r>
    </w:p>
    <w:p w:rsidR="00EF26FB" w:rsidRPr="00EF26FB" w:rsidRDefault="00EF26FB" w:rsidP="00EF26FB">
      <w:pPr>
        <w:pStyle w:val="SingleTxtGR"/>
      </w:pPr>
      <w:r w:rsidRPr="00EF26FB">
        <w:t>23.</w:t>
      </w:r>
      <w:r w:rsidRPr="00EF26FB">
        <w:tab/>
        <w:t>Приветствуя создание новых подразделений по оказанию поддержки св</w:t>
      </w:r>
      <w:r w:rsidRPr="00EF26FB">
        <w:t>и</w:t>
      </w:r>
      <w:r w:rsidRPr="00EF26FB">
        <w:t>детелям в ходе судебных процессов по делам о военных преступлениях, Ком</w:t>
      </w:r>
      <w:r w:rsidRPr="00EF26FB">
        <w:t>и</w:t>
      </w:r>
      <w:r w:rsidRPr="00EF26FB">
        <w:t>тет выражает обеспокоенность в связи a) со случаями запугивания и угроз в а</w:t>
      </w:r>
      <w:r w:rsidRPr="00EF26FB">
        <w:t>д</w:t>
      </w:r>
      <w:r w:rsidRPr="00EF26FB">
        <w:t>рес жертв и свидетелей насильственных исчезновений; b) с недостаточным п</w:t>
      </w:r>
      <w:r w:rsidRPr="00EF26FB">
        <w:t>о</w:t>
      </w:r>
      <w:r w:rsidRPr="00EF26FB">
        <w:t>тенциалом в области защиты свидетелей, включая отсутствие программ защиты свидетелей в энтитетах, на рассмотрение которым были переданы дела о вое</w:t>
      </w:r>
      <w:r w:rsidRPr="00EF26FB">
        <w:t>н</w:t>
      </w:r>
      <w:r w:rsidRPr="00EF26FB">
        <w:t>ных преступлениях; и с) с недостаточным и неравномерным уровнем услуг по оказанию помощи и психологической поддержки по стране в целом (статья 12).</w:t>
      </w:r>
    </w:p>
    <w:p w:rsidR="00EF26FB" w:rsidRPr="00EF26FB" w:rsidRDefault="00EF26FB" w:rsidP="00EF26FB">
      <w:pPr>
        <w:pStyle w:val="SingleTxtGR"/>
        <w:rPr>
          <w:b/>
          <w:bCs/>
        </w:rPr>
      </w:pPr>
      <w:r w:rsidRPr="00EF26FB">
        <w:t>24.</w:t>
      </w:r>
      <w:r w:rsidRPr="00EF26FB">
        <w:tab/>
      </w:r>
      <w:r w:rsidRPr="00EF26FB">
        <w:rPr>
          <w:b/>
          <w:bCs/>
        </w:rPr>
        <w:t>Комитет рекомендует государству-участнику:</w:t>
      </w:r>
    </w:p>
    <w:p w:rsidR="00EF26FB" w:rsidRPr="00EF26FB" w:rsidRDefault="00705BB9" w:rsidP="00EF26FB">
      <w:pPr>
        <w:pStyle w:val="SingleTxtGR"/>
        <w:rPr>
          <w:b/>
          <w:bCs/>
        </w:rPr>
      </w:pPr>
      <w:r>
        <w:rPr>
          <w:lang w:val="en-US"/>
        </w:rPr>
        <w:tab/>
      </w:r>
      <w:r w:rsidR="00EF26FB" w:rsidRPr="00705BB9">
        <w:rPr>
          <w:b/>
        </w:rPr>
        <w:t>a)</w:t>
      </w:r>
      <w:r w:rsidR="00EF26FB" w:rsidRPr="00EF26FB">
        <w:tab/>
      </w:r>
      <w:r w:rsidR="00EF26FB" w:rsidRPr="00EF26FB">
        <w:rPr>
          <w:b/>
          <w:bCs/>
        </w:rPr>
        <w:t>обеспечить, чтобы в связи со всеми утверждениями об угрозах или запугивании в отношении жертв или свидетелей, участвующих в с</w:t>
      </w:r>
      <w:r w:rsidR="00EF26FB" w:rsidRPr="00EF26FB">
        <w:rPr>
          <w:b/>
          <w:bCs/>
        </w:rPr>
        <w:t>у</w:t>
      </w:r>
      <w:r w:rsidR="00EF26FB" w:rsidRPr="00EF26FB">
        <w:rPr>
          <w:b/>
          <w:bCs/>
        </w:rPr>
        <w:t>дебных процессах по делам о военных преступлениях и насильственных исчезновениях, проводились оперативные, тщательные и беспристрастные расследования и чтобы предполагаемые виновные привлекались к отве</w:t>
      </w:r>
      <w:r w:rsidR="00EF26FB" w:rsidRPr="00EF26FB">
        <w:rPr>
          <w:b/>
          <w:bCs/>
        </w:rPr>
        <w:t>т</w:t>
      </w:r>
      <w:r w:rsidR="00EF26FB" w:rsidRPr="00EF26FB">
        <w:rPr>
          <w:b/>
          <w:bCs/>
        </w:rPr>
        <w:t>ственности и в случае признания их виновными несли соответствующие наказания;</w:t>
      </w:r>
    </w:p>
    <w:p w:rsidR="00EF26FB" w:rsidRPr="00EF26FB" w:rsidRDefault="00705BB9" w:rsidP="00EF26FB">
      <w:pPr>
        <w:pStyle w:val="SingleTxtGR"/>
        <w:rPr>
          <w:b/>
          <w:bCs/>
        </w:rPr>
      </w:pPr>
      <w:r w:rsidRPr="00B63A92">
        <w:tab/>
      </w:r>
      <w:r w:rsidR="00EF26FB" w:rsidRPr="00705BB9">
        <w:rPr>
          <w:b/>
        </w:rPr>
        <w:t>b)</w:t>
      </w:r>
      <w:r w:rsidR="00EF26FB" w:rsidRPr="00705BB9">
        <w:rPr>
          <w:b/>
        </w:rPr>
        <w:tab/>
      </w:r>
      <w:r w:rsidR="00EF26FB" w:rsidRPr="00EF26FB">
        <w:rPr>
          <w:b/>
          <w:bCs/>
        </w:rPr>
        <w:t>обеспечить, чтобы существующие меры защиты эффективно применялись в отношении всех лиц, упоминаемых в пункте 1 статьи 12 Конвенции, и чтобы лица, дающие показания в окружных, кантональных и других нижестоящих судах, имели доступ к мерам поддержки и защиты, аналогичным тем, которые предусмотрены в Законе 2014 года о программе защиты свидетелей;</w:t>
      </w:r>
    </w:p>
    <w:p w:rsidR="00EF26FB" w:rsidRPr="00EF26FB" w:rsidRDefault="00705BB9" w:rsidP="00EF26FB">
      <w:pPr>
        <w:pStyle w:val="SingleTxtGR"/>
        <w:rPr>
          <w:b/>
          <w:bCs/>
        </w:rPr>
      </w:pPr>
      <w:r w:rsidRPr="00B63A92">
        <w:tab/>
      </w:r>
      <w:r w:rsidR="00EF26FB" w:rsidRPr="00705BB9">
        <w:rPr>
          <w:b/>
        </w:rPr>
        <w:t>c)</w:t>
      </w:r>
      <w:r w:rsidR="00EF26FB" w:rsidRPr="00705BB9">
        <w:rPr>
          <w:b/>
        </w:rPr>
        <w:tab/>
      </w:r>
      <w:r w:rsidR="00EF26FB" w:rsidRPr="00705BB9">
        <w:rPr>
          <w:b/>
          <w:bCs/>
        </w:rPr>
        <w:t>о</w:t>
      </w:r>
      <w:r w:rsidR="00EF26FB" w:rsidRPr="00EF26FB">
        <w:rPr>
          <w:b/>
          <w:bCs/>
        </w:rPr>
        <w:t>казывать надлежащую и постоянную психологическую по</w:t>
      </w:r>
      <w:r w:rsidR="00EF26FB" w:rsidRPr="00EF26FB">
        <w:rPr>
          <w:b/>
          <w:bCs/>
        </w:rPr>
        <w:t>д</w:t>
      </w:r>
      <w:r w:rsidR="00EF26FB" w:rsidRPr="00EF26FB">
        <w:rPr>
          <w:b/>
          <w:bCs/>
        </w:rPr>
        <w:t>держку жертвам и свидетелям до, в ходе и после судебных разбирательств по делам о военных преступлениях.</w:t>
      </w:r>
    </w:p>
    <w:p w:rsidR="00EF26FB" w:rsidRPr="00EF26FB" w:rsidRDefault="00EF26FB" w:rsidP="00705BB9">
      <w:pPr>
        <w:pStyle w:val="H23GR"/>
      </w:pPr>
      <w:r w:rsidRPr="00EF26FB">
        <w:tab/>
      </w:r>
      <w:r w:rsidRPr="00EF26FB">
        <w:tab/>
        <w:t>Амнистия, помилование и иммунитет</w:t>
      </w:r>
    </w:p>
    <w:p w:rsidR="00EF26FB" w:rsidRPr="00EF26FB" w:rsidRDefault="00EF26FB" w:rsidP="00EF26FB">
      <w:pPr>
        <w:pStyle w:val="SingleTxtGR"/>
      </w:pPr>
      <w:r w:rsidRPr="00EF26FB">
        <w:t>25.</w:t>
      </w:r>
      <w:r w:rsidRPr="00EF26FB">
        <w:tab/>
        <w:t>Комитет обеспокоен тем, что: а) в пункте 2 статьи 118 Уголовного кодекса Боснии и Герцеговины предусматривается возможность предоставления амн</w:t>
      </w:r>
      <w:r w:rsidRPr="00EF26FB">
        <w:t>и</w:t>
      </w:r>
      <w:r w:rsidRPr="00EF26FB">
        <w:t>стии за международные преступления; b) существуют законодательные пре</w:t>
      </w:r>
      <w:r w:rsidRPr="00EF26FB">
        <w:t>д</w:t>
      </w:r>
      <w:r w:rsidRPr="00EF26FB">
        <w:t>ложения, в соответствии с которыми будет разрешено помиловать лиц, осу</w:t>
      </w:r>
      <w:r w:rsidRPr="00EF26FB">
        <w:t>ж</w:t>
      </w:r>
      <w:r w:rsidRPr="00EF26FB">
        <w:t>денных за совершение преступлений геноцида, военных преступлений и пр</w:t>
      </w:r>
      <w:r w:rsidRPr="00EF26FB">
        <w:t>е</w:t>
      </w:r>
      <w:r w:rsidRPr="00EF26FB">
        <w:t>ступлений против человечества, после отбытия ими трех пятых срока наказ</w:t>
      </w:r>
      <w:r w:rsidRPr="00EF26FB">
        <w:t>а</w:t>
      </w:r>
      <w:r w:rsidRPr="00EF26FB">
        <w:t>ния; с) иммунитет от судебного преследования может быть предоставлен в сл</w:t>
      </w:r>
      <w:r w:rsidRPr="00EF26FB">
        <w:t>у</w:t>
      </w:r>
      <w:r w:rsidRPr="00EF26FB">
        <w:t>чае заключения соглашения о признании вины/явки с повинной в обмен на предоставление информации об индивидуальных или массовых захоронениях (статьи 7, 11, 24).</w:t>
      </w:r>
    </w:p>
    <w:p w:rsidR="00EF26FB" w:rsidRPr="00EF26FB" w:rsidRDefault="00EF26FB" w:rsidP="00EF26FB">
      <w:pPr>
        <w:pStyle w:val="SingleTxtGR"/>
        <w:rPr>
          <w:b/>
          <w:bCs/>
        </w:rPr>
      </w:pPr>
      <w:r w:rsidRPr="00EF26FB">
        <w:t>26.</w:t>
      </w:r>
      <w:r w:rsidRPr="00EF26FB">
        <w:tab/>
      </w:r>
      <w:r w:rsidRPr="00EF26FB">
        <w:rPr>
          <w:b/>
          <w:bCs/>
        </w:rPr>
        <w:t>Комитет рекомендует государству-участнику отменить любые пол</w:t>
      </w:r>
      <w:r w:rsidRPr="00EF26FB">
        <w:rPr>
          <w:b/>
          <w:bCs/>
        </w:rPr>
        <w:t>о</w:t>
      </w:r>
      <w:r w:rsidRPr="00EF26FB">
        <w:rPr>
          <w:b/>
          <w:bCs/>
        </w:rPr>
        <w:t>жения, которые могут привести к освобождению от уголовного преслед</w:t>
      </w:r>
      <w:r w:rsidRPr="00EF26FB">
        <w:rPr>
          <w:b/>
          <w:bCs/>
        </w:rPr>
        <w:t>о</w:t>
      </w:r>
      <w:r w:rsidRPr="00EF26FB">
        <w:rPr>
          <w:b/>
          <w:bCs/>
        </w:rPr>
        <w:t>вания или наказания лиц, виновных в насильственных исчезновениях. В</w:t>
      </w:r>
      <w:r w:rsidR="004304C2">
        <w:rPr>
          <w:b/>
          <w:bCs/>
          <w:lang w:val="en-US"/>
        </w:rPr>
        <w:t> </w:t>
      </w:r>
      <w:r w:rsidRPr="00EF26FB">
        <w:rPr>
          <w:b/>
          <w:bCs/>
        </w:rPr>
        <w:t>частности, он рекомендует государству-участнику принять необходимые законодательные меры для: a) исключения возможности предоставления амнистии за международные преступления, включая насильственные и</w:t>
      </w:r>
      <w:r w:rsidRPr="00EF26FB">
        <w:rPr>
          <w:b/>
          <w:bCs/>
        </w:rPr>
        <w:t>с</w:t>
      </w:r>
      <w:r w:rsidRPr="00EF26FB">
        <w:rPr>
          <w:b/>
          <w:bCs/>
        </w:rPr>
        <w:t>чезновения; b) отзыва предложения о внесении изменений в Закон о пом</w:t>
      </w:r>
      <w:r w:rsidRPr="00EF26FB">
        <w:rPr>
          <w:b/>
          <w:bCs/>
        </w:rPr>
        <w:t>и</w:t>
      </w:r>
      <w:r w:rsidRPr="00EF26FB">
        <w:rPr>
          <w:b/>
          <w:bCs/>
        </w:rPr>
        <w:t>ловании Боснии и Герцеговины и обеспечения того, чтобы при рассмотр</w:t>
      </w:r>
      <w:r w:rsidRPr="00EF26FB">
        <w:rPr>
          <w:b/>
          <w:bCs/>
        </w:rPr>
        <w:t>е</w:t>
      </w:r>
      <w:r w:rsidRPr="00EF26FB">
        <w:rPr>
          <w:b/>
          <w:bCs/>
        </w:rPr>
        <w:t>нии возможности помилования учитывался особо тяжкий характер актов насильственного исчезновения; и с) обеспечения того, чтобы соглашения о признании вины и другие способы, используемые для выяснения обсто</w:t>
      </w:r>
      <w:r w:rsidRPr="00EF26FB">
        <w:rPr>
          <w:b/>
          <w:bCs/>
        </w:rPr>
        <w:t>я</w:t>
      </w:r>
      <w:r w:rsidRPr="00EF26FB">
        <w:rPr>
          <w:b/>
          <w:bCs/>
        </w:rPr>
        <w:t>тельств насильственного исчезновения или установления личности испо</w:t>
      </w:r>
      <w:r w:rsidRPr="00EF26FB">
        <w:rPr>
          <w:b/>
          <w:bCs/>
        </w:rPr>
        <w:t>л</w:t>
      </w:r>
      <w:r w:rsidRPr="00EF26FB">
        <w:rPr>
          <w:b/>
          <w:bCs/>
        </w:rPr>
        <w:t>нителей акта насильственного исчезновения, не препятствовали доступу жертв к правосудию и не приводили к безнаказанности.</w:t>
      </w:r>
    </w:p>
    <w:p w:rsidR="00EF26FB" w:rsidRPr="00EF26FB" w:rsidRDefault="00EF26FB" w:rsidP="00705BB9">
      <w:pPr>
        <w:pStyle w:val="H23GR"/>
      </w:pPr>
      <w:r w:rsidRPr="00EF26FB">
        <w:tab/>
      </w:r>
      <w:r w:rsidRPr="00EF26FB">
        <w:tab/>
        <w:t>Отстранение от исполнения служебных обязанностей и процедура проверки</w:t>
      </w:r>
    </w:p>
    <w:p w:rsidR="00EF26FB" w:rsidRPr="00EF26FB" w:rsidRDefault="00EF26FB" w:rsidP="00EF26FB">
      <w:pPr>
        <w:pStyle w:val="SingleTxtGR"/>
      </w:pPr>
      <w:r w:rsidRPr="00EF26FB">
        <w:t>27.</w:t>
      </w:r>
      <w:r w:rsidRPr="00EF26FB">
        <w:tab/>
        <w:t>Принимая к сведению то обстоятельство, что сотрудники полиции и гражданские служащие Боснии и Герцеговины, подозреваемые в совершении преступления, могут быть временно отстранены от исполнения служебных об</w:t>
      </w:r>
      <w:r w:rsidRPr="00EF26FB">
        <w:t>я</w:t>
      </w:r>
      <w:r w:rsidRPr="00EF26FB">
        <w:t>занностей на время проведения расследования, Комитет вместе с тем выражает обеспокоенность по поводу отсутствия ясности в отношении того, обеспечивает ли действующее законодательство на уровне энтитетов и округов те же самые гарантии и предусмотрены ли на всей территории страны процессуальные м</w:t>
      </w:r>
      <w:r w:rsidRPr="00EF26FB">
        <w:t>е</w:t>
      </w:r>
      <w:r w:rsidRPr="00EF26FB">
        <w:t>ханизмы, позволяющие отстранить ту или иную службу безопасности или пр</w:t>
      </w:r>
      <w:r w:rsidRPr="00EF26FB">
        <w:t>а</w:t>
      </w:r>
      <w:r w:rsidRPr="00EF26FB">
        <w:t>воохранительный орган от проведения расследования в связи со случаем насильственного исчезновения, когда одно или несколько из должностных лиц, входящих в их состав, обвиняются в совершении данного преступления (ст</w:t>
      </w:r>
      <w:r w:rsidRPr="00EF26FB">
        <w:t>а</w:t>
      </w:r>
      <w:r w:rsidRPr="00EF26FB">
        <w:t>тья</w:t>
      </w:r>
      <w:r w:rsidR="004304C2">
        <w:rPr>
          <w:lang w:val="en-US"/>
        </w:rPr>
        <w:t> </w:t>
      </w:r>
      <w:r w:rsidRPr="00EF26FB">
        <w:t>12).</w:t>
      </w:r>
    </w:p>
    <w:p w:rsidR="00EF26FB" w:rsidRPr="00EF26FB" w:rsidRDefault="00EF26FB" w:rsidP="00EF26FB">
      <w:pPr>
        <w:pStyle w:val="SingleTxtGR"/>
        <w:rPr>
          <w:b/>
          <w:bCs/>
        </w:rPr>
      </w:pPr>
      <w:r w:rsidRPr="00EF26FB">
        <w:t>28.</w:t>
      </w:r>
      <w:r w:rsidRPr="00EF26FB">
        <w:tab/>
      </w:r>
      <w:r w:rsidRPr="00EF26FB">
        <w:rPr>
          <w:b/>
          <w:bCs/>
        </w:rPr>
        <w:t>В целях укрепления существующей нормативно-правовой основы и обеспечения надлежащего применения пункта 4 статьи 12 Конвенции К</w:t>
      </w:r>
      <w:r w:rsidRPr="00EF26FB">
        <w:rPr>
          <w:b/>
          <w:bCs/>
        </w:rPr>
        <w:t>о</w:t>
      </w:r>
      <w:r w:rsidRPr="00EF26FB">
        <w:rPr>
          <w:b/>
          <w:bCs/>
        </w:rPr>
        <w:t>митет рекомендует государству-участнику принять на уровне государства, энтитетов и округов четкие правовые положения, прямо предусматрива</w:t>
      </w:r>
      <w:r w:rsidRPr="00EF26FB">
        <w:rPr>
          <w:b/>
          <w:bCs/>
        </w:rPr>
        <w:t>ю</w:t>
      </w:r>
      <w:r w:rsidRPr="00EF26FB">
        <w:rPr>
          <w:b/>
          <w:bCs/>
        </w:rPr>
        <w:t>щие: a) отстранение от должности любого сотрудника гражданских или в</w:t>
      </w:r>
      <w:r w:rsidRPr="00EF26FB">
        <w:rPr>
          <w:b/>
          <w:bCs/>
        </w:rPr>
        <w:t>о</w:t>
      </w:r>
      <w:r w:rsidRPr="00EF26FB">
        <w:rPr>
          <w:b/>
          <w:bCs/>
        </w:rPr>
        <w:t>енных государственных органов, подозреваемого в совершении преступл</w:t>
      </w:r>
      <w:r w:rsidRPr="00EF26FB">
        <w:rPr>
          <w:b/>
          <w:bCs/>
        </w:rPr>
        <w:t>е</w:t>
      </w:r>
      <w:r w:rsidRPr="00EF26FB">
        <w:rPr>
          <w:b/>
          <w:bCs/>
        </w:rPr>
        <w:t>ния насильственного исчезновения, на период проведения расследования; и b) создание механизма, позволяющего обеспечить, чтобы правоохран</w:t>
      </w:r>
      <w:r w:rsidRPr="00EF26FB">
        <w:rPr>
          <w:b/>
          <w:bCs/>
        </w:rPr>
        <w:t>и</w:t>
      </w:r>
      <w:r w:rsidRPr="00EF26FB">
        <w:rPr>
          <w:b/>
          <w:bCs/>
        </w:rPr>
        <w:t>тельные органы или службы безопасности, сотрудники которых подозр</w:t>
      </w:r>
      <w:r w:rsidRPr="00EF26FB">
        <w:rPr>
          <w:b/>
          <w:bCs/>
        </w:rPr>
        <w:t>е</w:t>
      </w:r>
      <w:r w:rsidRPr="00EF26FB">
        <w:rPr>
          <w:b/>
          <w:bCs/>
        </w:rPr>
        <w:t>ваются в совершении насильственного исчезновения, не были в состоянии прямо или косвенно влиять на ход расследования или мешать его провед</w:t>
      </w:r>
      <w:r w:rsidRPr="00EF26FB">
        <w:rPr>
          <w:b/>
          <w:bCs/>
        </w:rPr>
        <w:t>е</w:t>
      </w:r>
      <w:r w:rsidRPr="00EF26FB">
        <w:rPr>
          <w:b/>
          <w:bCs/>
        </w:rPr>
        <w:t>нию.</w:t>
      </w:r>
    </w:p>
    <w:p w:rsidR="00EF26FB" w:rsidRPr="00EF26FB" w:rsidRDefault="00EF26FB" w:rsidP="00705BB9">
      <w:pPr>
        <w:pStyle w:val="H1GR"/>
      </w:pPr>
      <w:r w:rsidRPr="00EF26FB">
        <w:tab/>
      </w:r>
      <w:r w:rsidRPr="00EF26FB">
        <w:tab/>
        <w:t>Меры по предотвращению насильственных исчезновений (статьи 16−23)</w:t>
      </w:r>
    </w:p>
    <w:p w:rsidR="00EF26FB" w:rsidRPr="00EF26FB" w:rsidRDefault="00EF26FB" w:rsidP="00705BB9">
      <w:pPr>
        <w:pStyle w:val="H23GR"/>
      </w:pPr>
      <w:r w:rsidRPr="00EF26FB">
        <w:tab/>
      </w:r>
      <w:r w:rsidRPr="00EF26FB">
        <w:tab/>
        <w:t>Невыдворение</w:t>
      </w:r>
    </w:p>
    <w:p w:rsidR="00EF26FB" w:rsidRPr="00EF26FB" w:rsidRDefault="00EF26FB" w:rsidP="00EF26FB">
      <w:pPr>
        <w:pStyle w:val="SingleTxtGR"/>
      </w:pPr>
      <w:r w:rsidRPr="00EF26FB">
        <w:t>29.</w:t>
      </w:r>
      <w:r w:rsidRPr="00EF26FB">
        <w:tab/>
        <w:t>Комитет отмечает, что национальное законодательство не содержит пр</w:t>
      </w:r>
      <w:r w:rsidRPr="00EF26FB">
        <w:t>я</w:t>
      </w:r>
      <w:r w:rsidRPr="00EF26FB">
        <w:t>мого запрета высылки, возвращения, передачи или выдачи в тех случаях, когда есть веские основания полагать, что лицу может угрожать опасность стать жертвой насильственного исчезновения (статья 16).</w:t>
      </w:r>
    </w:p>
    <w:p w:rsidR="00EF26FB" w:rsidRPr="00EF26FB" w:rsidRDefault="00EF26FB" w:rsidP="00EF26FB">
      <w:pPr>
        <w:pStyle w:val="SingleTxtGR"/>
        <w:rPr>
          <w:b/>
          <w:bCs/>
        </w:rPr>
      </w:pPr>
      <w:r w:rsidRPr="00EF26FB">
        <w:t>30.</w:t>
      </w:r>
      <w:r w:rsidRPr="00EF26FB">
        <w:tab/>
      </w:r>
      <w:r w:rsidRPr="00EF26FB">
        <w:rPr>
          <w:b/>
          <w:bCs/>
        </w:rPr>
        <w:t>Комитет рекомендует государству-участнику включить в свое вну</w:t>
      </w:r>
      <w:r w:rsidRPr="00EF26FB">
        <w:rPr>
          <w:b/>
          <w:bCs/>
        </w:rPr>
        <w:t>т</w:t>
      </w:r>
      <w:r w:rsidRPr="00EF26FB">
        <w:rPr>
          <w:b/>
          <w:bCs/>
        </w:rPr>
        <w:t>реннее законодательство конкретное положение, запрещающее высылку, возвращение, передачу или выдачу лица, если есть веские основания пол</w:t>
      </w:r>
      <w:r w:rsidRPr="00EF26FB">
        <w:rPr>
          <w:b/>
          <w:bCs/>
        </w:rPr>
        <w:t>а</w:t>
      </w:r>
      <w:r w:rsidRPr="00EF26FB">
        <w:rPr>
          <w:b/>
          <w:bCs/>
        </w:rPr>
        <w:t>гать, что ему может угрожать опасность стать жертвой насильственного исчезновения.</w:t>
      </w:r>
    </w:p>
    <w:p w:rsidR="00EF26FB" w:rsidRPr="00EF26FB" w:rsidRDefault="00705BB9" w:rsidP="00705BB9">
      <w:pPr>
        <w:pStyle w:val="H23GR"/>
      </w:pPr>
      <w:r w:rsidRPr="00B63A92">
        <w:tab/>
      </w:r>
      <w:r w:rsidRPr="00B63A92">
        <w:tab/>
      </w:r>
      <w:r w:rsidR="00EF26FB" w:rsidRPr="00EF26FB">
        <w:t>Национальный превентивный механизм</w:t>
      </w:r>
    </w:p>
    <w:p w:rsidR="00EF26FB" w:rsidRPr="00EF26FB" w:rsidRDefault="00EF26FB" w:rsidP="00EF26FB">
      <w:pPr>
        <w:pStyle w:val="SingleTxtGR"/>
      </w:pPr>
      <w:r w:rsidRPr="00EF26FB">
        <w:t>31.</w:t>
      </w:r>
      <w:r w:rsidRPr="00EF26FB">
        <w:tab/>
        <w:t>Комитет обеспокоен задержками с принятием закона о создании наци</w:t>
      </w:r>
      <w:r w:rsidRPr="00EF26FB">
        <w:t>о</w:t>
      </w:r>
      <w:r w:rsidRPr="00EF26FB">
        <w:t>нального превентивного механизма, который планируется включить в состав Управления омбудсмена. Он также с обеспокоенностью отмечает, что объем бюджетных средств, выделяемых Управлению омбудсмена, с 2010 года сокр</w:t>
      </w:r>
      <w:r w:rsidRPr="00EF26FB">
        <w:t>а</w:t>
      </w:r>
      <w:r w:rsidRPr="00EF26FB">
        <w:t>щается, несмотря на расширение его мандата (статья 17).</w:t>
      </w:r>
    </w:p>
    <w:p w:rsidR="00EF26FB" w:rsidRPr="00EF26FB" w:rsidRDefault="00EF26FB" w:rsidP="00EF26FB">
      <w:pPr>
        <w:pStyle w:val="SingleTxtGR"/>
        <w:rPr>
          <w:b/>
          <w:bCs/>
        </w:rPr>
      </w:pPr>
      <w:r w:rsidRPr="00EF26FB">
        <w:t>32.</w:t>
      </w:r>
      <w:r w:rsidRPr="00EF26FB">
        <w:tab/>
      </w:r>
      <w:r w:rsidRPr="00EF26FB">
        <w:rPr>
          <w:b/>
          <w:bCs/>
        </w:rPr>
        <w:t>Комитет рекомендует государству-участнику ускорить процесс созд</w:t>
      </w:r>
      <w:r w:rsidRPr="00EF26FB">
        <w:rPr>
          <w:b/>
          <w:bCs/>
        </w:rPr>
        <w:t>а</w:t>
      </w:r>
      <w:r w:rsidRPr="00EF26FB">
        <w:rPr>
          <w:b/>
          <w:bCs/>
        </w:rPr>
        <w:t>ния национального превентивного механизма, обеспечить его скорейшее полноценное функционирование и обеспечить его надлежащими кадров</w:t>
      </w:r>
      <w:r w:rsidRPr="00EF26FB">
        <w:rPr>
          <w:b/>
          <w:bCs/>
        </w:rPr>
        <w:t>ы</w:t>
      </w:r>
      <w:r w:rsidRPr="00EF26FB">
        <w:rPr>
          <w:b/>
          <w:bCs/>
        </w:rPr>
        <w:t>ми и финансовыми ресурсами.</w:t>
      </w:r>
    </w:p>
    <w:p w:rsidR="00EF26FB" w:rsidRPr="00EF26FB" w:rsidRDefault="00EF26FB" w:rsidP="00705BB9">
      <w:pPr>
        <w:pStyle w:val="H23GR"/>
      </w:pPr>
      <w:r w:rsidRPr="00EF26FB">
        <w:tab/>
      </w:r>
      <w:r w:rsidRPr="00EF26FB">
        <w:tab/>
        <w:t>Профессиональная подготовка по проблематике Конвенции</w:t>
      </w:r>
    </w:p>
    <w:p w:rsidR="00EF26FB" w:rsidRPr="00EF26FB" w:rsidRDefault="00EF26FB" w:rsidP="00EF26FB">
      <w:pPr>
        <w:pStyle w:val="SingleTxtGR"/>
      </w:pPr>
      <w:r w:rsidRPr="00EF26FB">
        <w:t>33.</w:t>
      </w:r>
      <w:r w:rsidRPr="00EF26FB">
        <w:tab/>
        <w:t>Отмечая, что среди различных государственных субъектов проводится подготовка по правам человека и другой проблематике, связанной с Конвенц</w:t>
      </w:r>
      <w:r w:rsidRPr="00EF26FB">
        <w:t>и</w:t>
      </w:r>
      <w:r w:rsidRPr="00EF26FB">
        <w:t>ей, Комитет выражает сожаление по поводу отсутствия специализированной и регулярной подготовки по положениям Конвенции (статья 23).</w:t>
      </w:r>
    </w:p>
    <w:p w:rsidR="00EF26FB" w:rsidRPr="00EF26FB" w:rsidRDefault="00EF26FB" w:rsidP="00EF26FB">
      <w:pPr>
        <w:pStyle w:val="SingleTxtGR"/>
        <w:rPr>
          <w:b/>
          <w:bCs/>
        </w:rPr>
      </w:pPr>
      <w:r w:rsidRPr="00EF26FB">
        <w:t>34.</w:t>
      </w:r>
      <w:r w:rsidRPr="00EF26FB">
        <w:tab/>
      </w:r>
      <w:r w:rsidRPr="00EF26FB">
        <w:rPr>
          <w:b/>
          <w:bCs/>
        </w:rPr>
        <w:t>Комитет рекомендует государству-участнику принять меры к тому, чтобы все сотрудники правоохранительных органов, как военные, так и гражданские, медицинские работники, государственные должностные л</w:t>
      </w:r>
      <w:r w:rsidRPr="00EF26FB">
        <w:rPr>
          <w:b/>
          <w:bCs/>
        </w:rPr>
        <w:t>и</w:t>
      </w:r>
      <w:r w:rsidRPr="00EF26FB">
        <w:rPr>
          <w:b/>
          <w:bCs/>
        </w:rPr>
        <w:t>ца, а также другие лица, которые могут иметь отношение к содержанию под стражей лиц, лишенных свободы, или обращению с такими лицами, включая судей, прокуроров и других судебных работников всех должнос</w:t>
      </w:r>
      <w:r w:rsidRPr="00EF26FB">
        <w:rPr>
          <w:b/>
          <w:bCs/>
        </w:rPr>
        <w:t>т</w:t>
      </w:r>
      <w:r w:rsidRPr="00EF26FB">
        <w:rPr>
          <w:b/>
          <w:bCs/>
        </w:rPr>
        <w:t>ных уровней, на регулярной основе проходили надлежащую подготовку по положениям Конвенции, как того требует статья 23.</w:t>
      </w:r>
    </w:p>
    <w:p w:rsidR="00EF26FB" w:rsidRPr="00EF26FB" w:rsidRDefault="00EF26FB" w:rsidP="00705BB9">
      <w:pPr>
        <w:pStyle w:val="H1GR"/>
      </w:pPr>
      <w:r w:rsidRPr="00EF26FB">
        <w:tab/>
      </w:r>
      <w:r w:rsidRPr="00EF26FB">
        <w:tab/>
        <w:t>Меры по возмещению ущерба и меры по защите детей от</w:t>
      </w:r>
      <w:r w:rsidR="00705BB9">
        <w:rPr>
          <w:lang w:val="en-US"/>
        </w:rPr>
        <w:t> </w:t>
      </w:r>
      <w:r w:rsidRPr="00EF26FB">
        <w:t>насильственных исчезновений (статьи 24 и 25)</w:t>
      </w:r>
    </w:p>
    <w:p w:rsidR="00EF26FB" w:rsidRPr="00EF26FB" w:rsidRDefault="00EF26FB" w:rsidP="00705BB9">
      <w:pPr>
        <w:pStyle w:val="H23GR"/>
      </w:pPr>
      <w:r w:rsidRPr="00EF26FB">
        <w:tab/>
      </w:r>
      <w:r w:rsidRPr="00EF26FB">
        <w:tab/>
        <w:t>Определение жертвы</w:t>
      </w:r>
    </w:p>
    <w:p w:rsidR="00EF26FB" w:rsidRPr="00EF26FB" w:rsidRDefault="00EF26FB" w:rsidP="00EF26FB">
      <w:pPr>
        <w:pStyle w:val="SingleTxtGR"/>
      </w:pPr>
      <w:r w:rsidRPr="00EF26FB">
        <w:t>35.</w:t>
      </w:r>
      <w:r w:rsidRPr="00EF26FB">
        <w:tab/>
        <w:t>Принимая к сведению заявление государства-участника о том, что пон</w:t>
      </w:r>
      <w:r w:rsidRPr="00EF26FB">
        <w:t>я</w:t>
      </w:r>
      <w:r w:rsidRPr="00EF26FB">
        <w:t xml:space="preserve">тие </w:t>
      </w:r>
      <w:r w:rsidR="00C41EBE">
        <w:t>«</w:t>
      </w:r>
      <w:r w:rsidRPr="00EF26FB">
        <w:t>потерпевшая сторона</w:t>
      </w:r>
      <w:r w:rsidR="00C41EBE">
        <w:t>»</w:t>
      </w:r>
      <w:r w:rsidRPr="00EF26FB">
        <w:t xml:space="preserve"> распространяется на любое лицо, прямо постр</w:t>
      </w:r>
      <w:r w:rsidRPr="00EF26FB">
        <w:t>а</w:t>
      </w:r>
      <w:r w:rsidRPr="00EF26FB">
        <w:t>давшее в результате насильственного исчезновения, Комитет выражает обесп</w:t>
      </w:r>
      <w:r w:rsidRPr="00EF26FB">
        <w:t>о</w:t>
      </w:r>
      <w:r w:rsidRPr="00EF26FB">
        <w:t>коенность в связи с тем, что во внутреннем законодательстве не предусматр</w:t>
      </w:r>
      <w:r w:rsidRPr="00EF26FB">
        <w:t>и</w:t>
      </w:r>
      <w:r w:rsidRPr="00EF26FB">
        <w:t>вается определение жертвы по смыслу пункта 1 статьи 24 Конвенции (ст</w:t>
      </w:r>
      <w:r w:rsidRPr="00EF26FB">
        <w:t>а</w:t>
      </w:r>
      <w:r w:rsidRPr="00EF26FB">
        <w:t>тья</w:t>
      </w:r>
      <w:r w:rsidR="004304C2">
        <w:rPr>
          <w:lang w:val="en-US"/>
        </w:rPr>
        <w:t> </w:t>
      </w:r>
      <w:r w:rsidRPr="00EF26FB">
        <w:t>24).</w:t>
      </w:r>
    </w:p>
    <w:p w:rsidR="00EF26FB" w:rsidRPr="00EF26FB" w:rsidRDefault="00EF26FB" w:rsidP="00EF26FB">
      <w:pPr>
        <w:pStyle w:val="SingleTxtGR"/>
        <w:rPr>
          <w:b/>
          <w:bCs/>
        </w:rPr>
      </w:pPr>
      <w:r w:rsidRPr="00EF26FB">
        <w:t>36.</w:t>
      </w:r>
      <w:r w:rsidRPr="00EF26FB">
        <w:tab/>
      </w:r>
      <w:r w:rsidRPr="00EF26FB">
        <w:rPr>
          <w:b/>
          <w:bCs/>
        </w:rPr>
        <w:t>Государству-участнику следует внести необходимые законодательные поправки, с тем чтобы принять определение жертвы, которое согласуется с определением, содержащимся в пункте 1 статьи 24 Конвенции.</w:t>
      </w:r>
    </w:p>
    <w:p w:rsidR="00EF26FB" w:rsidRPr="00EF26FB" w:rsidRDefault="00EF26FB" w:rsidP="00705BB9">
      <w:pPr>
        <w:pStyle w:val="H23GR"/>
      </w:pPr>
      <w:r w:rsidRPr="00EF26FB">
        <w:tab/>
      </w:r>
      <w:r w:rsidRPr="00EF26FB">
        <w:tab/>
        <w:t>Право на получение быстрого, справедливого и адекватного возмещения ущерба и компенсации</w:t>
      </w:r>
    </w:p>
    <w:p w:rsidR="00EF26FB" w:rsidRPr="00EF26FB" w:rsidRDefault="00EF26FB" w:rsidP="00EF26FB">
      <w:pPr>
        <w:pStyle w:val="SingleTxtGR"/>
      </w:pPr>
      <w:r w:rsidRPr="00EF26FB">
        <w:t>37.</w:t>
      </w:r>
      <w:r w:rsidRPr="00EF26FB">
        <w:tab/>
        <w:t>Комитет выражает обеспокоенность в связи с: а) отсутствием национал</w:t>
      </w:r>
      <w:r w:rsidRPr="00EF26FB">
        <w:t>ь</w:t>
      </w:r>
      <w:r w:rsidRPr="00EF26FB">
        <w:t>ной программы по возмещению ущерба, которая бы, в числе прочего, пред</w:t>
      </w:r>
      <w:r w:rsidRPr="00EF26FB">
        <w:t>у</w:t>
      </w:r>
      <w:r w:rsidRPr="00EF26FB">
        <w:t>сматривала меры компенсации, реституции, реабилитации, сатисфакции и г</w:t>
      </w:r>
      <w:r w:rsidRPr="00EF26FB">
        <w:t>а</w:t>
      </w:r>
      <w:r w:rsidRPr="00EF26FB">
        <w:t>рантии неповторения; b) тем, что неспособность учредить фонд для оказания поддержки семьям пропавших без вести, который должен был быть создан б</w:t>
      </w:r>
      <w:r w:rsidRPr="00EF26FB">
        <w:t>о</w:t>
      </w:r>
      <w:r w:rsidRPr="00EF26FB">
        <w:t xml:space="preserve">лее </w:t>
      </w:r>
      <w:r w:rsidR="00C41EBE">
        <w:t>10</w:t>
      </w:r>
      <w:r w:rsidRPr="00EF26FB">
        <w:t xml:space="preserve"> лет тому назад на основании Закона о пропавших без вести лицах, обе</w:t>
      </w:r>
      <w:r w:rsidRPr="00EF26FB">
        <w:t>р</w:t>
      </w:r>
      <w:r w:rsidRPr="00EF26FB">
        <w:t>нулась для родственников таких лиц отказом в праве на получение компенс</w:t>
      </w:r>
      <w:r w:rsidRPr="00EF26FB">
        <w:t>а</w:t>
      </w:r>
      <w:r w:rsidRPr="00EF26FB">
        <w:t>ции; с) отсутствием государственного закона о доступе родственников пропа</w:t>
      </w:r>
      <w:r w:rsidRPr="00EF26FB">
        <w:t>в</w:t>
      </w:r>
      <w:r w:rsidRPr="00EF26FB">
        <w:t>ших без вести лиц к социальным льготам; d) тем, что понятия возмещение ущерба и социальных пособий для жертв войны накладываются друг на друга, а также различиями в уровне доступа к социальным пособиям и другим мерам социальной поддержки и в размерах социальных пособий в зависимости от м</w:t>
      </w:r>
      <w:r w:rsidRPr="00EF26FB">
        <w:t>е</w:t>
      </w:r>
      <w:r w:rsidRPr="00EF26FB">
        <w:t>ста проживания; и е) тем, что в соответствии с рядом законодательных актов право на социальные пособия или другие формы компенсации для родственн</w:t>
      </w:r>
      <w:r w:rsidRPr="00EF26FB">
        <w:t>и</w:t>
      </w:r>
      <w:r w:rsidRPr="00EF26FB">
        <w:t>ков пропавшего без вести лица ставится в зависимость от объявления такого лица умершим. В этой связи Комитет приветствует информацию, представле</w:t>
      </w:r>
      <w:r w:rsidRPr="00EF26FB">
        <w:t>н</w:t>
      </w:r>
      <w:r w:rsidRPr="00EF26FB">
        <w:t>ную делегацией государства-участника по вопросу о мерах, принятых для вн</w:t>
      </w:r>
      <w:r w:rsidRPr="00EF26FB">
        <w:t>е</w:t>
      </w:r>
      <w:r w:rsidRPr="00EF26FB">
        <w:t>сения поправок в статью 27 Закона о пропавших без вести лицах, предусматр</w:t>
      </w:r>
      <w:r w:rsidRPr="00EF26FB">
        <w:t>и</w:t>
      </w:r>
      <w:r w:rsidRPr="00EF26FB">
        <w:t>вающую, что лица, которые зарегистрированы в качестве пропавших без вести и факт исчезновения которых был проверен в рамках системы централизова</w:t>
      </w:r>
      <w:r w:rsidRPr="00EF26FB">
        <w:t>н</w:t>
      </w:r>
      <w:r w:rsidRPr="00EF26FB">
        <w:t>ного учета пропавших без вести лиц, считаются умершими и регистрируются в качестве таковых в реестре смертей (статья 24).</w:t>
      </w:r>
    </w:p>
    <w:p w:rsidR="00EF26FB" w:rsidRPr="00EF26FB" w:rsidRDefault="00EF26FB" w:rsidP="00EF26FB">
      <w:pPr>
        <w:pStyle w:val="SingleTxtGR"/>
        <w:rPr>
          <w:b/>
        </w:rPr>
      </w:pPr>
      <w:r w:rsidRPr="00EF26FB">
        <w:t>38.</w:t>
      </w:r>
      <w:r w:rsidRPr="00EF26FB">
        <w:tab/>
      </w:r>
      <w:r w:rsidRPr="00EF26FB">
        <w:rPr>
          <w:b/>
          <w:bCs/>
        </w:rPr>
        <w:t>Государству-участнику следует гарантировать право на получение быстрого, справедливого и адекватного возмещения ущерба и компенсации для всех лиц, которым был нанесен прямой ущерб в результате насил</w:t>
      </w:r>
      <w:r w:rsidRPr="00EF26FB">
        <w:rPr>
          <w:b/>
          <w:bCs/>
        </w:rPr>
        <w:t>ь</w:t>
      </w:r>
      <w:r w:rsidRPr="00EF26FB">
        <w:rPr>
          <w:b/>
          <w:bCs/>
        </w:rPr>
        <w:t>ственного исчезновения, независимо от того, когда оно произошло, и даже в том случае, если в отношении возможных виновников не было возбуждено уголовное дело или они не были установлены. В этой связи Комитет рек</w:t>
      </w:r>
      <w:r w:rsidRPr="00EF26FB">
        <w:rPr>
          <w:b/>
          <w:bCs/>
        </w:rPr>
        <w:t>о</w:t>
      </w:r>
      <w:r w:rsidRPr="00EF26FB">
        <w:rPr>
          <w:b/>
          <w:bCs/>
        </w:rPr>
        <w:t>мендует государству-участнику: а) в первоочередном порядке создать вс</w:t>
      </w:r>
      <w:r w:rsidRPr="00EF26FB">
        <w:rPr>
          <w:b/>
          <w:bCs/>
        </w:rPr>
        <w:t>е</w:t>
      </w:r>
      <w:r w:rsidRPr="00EF26FB">
        <w:rPr>
          <w:b/>
          <w:bCs/>
        </w:rPr>
        <w:t>объемлющую и учитывающую гендерную специфику систему возмещения ущерба в полном соответствии с пунктами 4 и 5 статьи 24 Конвенции; b)</w:t>
      </w:r>
      <w:r w:rsidR="004304C2">
        <w:rPr>
          <w:b/>
          <w:bCs/>
          <w:lang w:val="en-US"/>
        </w:rPr>
        <w:t> </w:t>
      </w:r>
      <w:r w:rsidRPr="00EF26FB">
        <w:rPr>
          <w:b/>
          <w:bCs/>
        </w:rPr>
        <w:t>принять меры, позволяющие обойти препятствия на пути создания фо</w:t>
      </w:r>
      <w:r w:rsidRPr="00EF26FB">
        <w:rPr>
          <w:b/>
          <w:bCs/>
        </w:rPr>
        <w:t>н</w:t>
      </w:r>
      <w:r w:rsidRPr="00EF26FB">
        <w:rPr>
          <w:b/>
          <w:bCs/>
        </w:rPr>
        <w:t>да для оказания поддержки семьям пропавших без вести лиц; с) обесп</w:t>
      </w:r>
      <w:r w:rsidRPr="00EF26FB">
        <w:rPr>
          <w:b/>
          <w:bCs/>
        </w:rPr>
        <w:t>е</w:t>
      </w:r>
      <w:r w:rsidRPr="00EF26FB">
        <w:rPr>
          <w:b/>
          <w:bCs/>
        </w:rPr>
        <w:t>чить, чтобы родственники пропавших без вести лиц имели доступ к соц</w:t>
      </w:r>
      <w:r w:rsidRPr="00EF26FB">
        <w:rPr>
          <w:b/>
          <w:bCs/>
        </w:rPr>
        <w:t>и</w:t>
      </w:r>
      <w:r w:rsidRPr="00EF26FB">
        <w:rPr>
          <w:b/>
          <w:bCs/>
        </w:rPr>
        <w:t>альным пособиям и другим мерам социальной поддержки и чтобы условия предоставления таковых были согласованы между разными уровнями вл</w:t>
      </w:r>
      <w:r w:rsidRPr="00EF26FB">
        <w:rPr>
          <w:b/>
          <w:bCs/>
        </w:rPr>
        <w:t>а</w:t>
      </w:r>
      <w:r w:rsidRPr="00EF26FB">
        <w:rPr>
          <w:b/>
          <w:bCs/>
        </w:rPr>
        <w:t>сти; и d) отменить предусмотренное законом требование об объявлении пропавшего без вести лица умершим для получения доступа к социальным пособиям или другим формам компенсации и ускорить процесс внесения поправок в статью 27 Закона о пропавших без вести лицах, с тем чтобы отменить автоматическую презумпцию смерти лиц, факт исчезновения к</w:t>
      </w:r>
      <w:r w:rsidRPr="00EF26FB">
        <w:rPr>
          <w:b/>
          <w:bCs/>
        </w:rPr>
        <w:t>о</w:t>
      </w:r>
      <w:r w:rsidRPr="00EF26FB">
        <w:rPr>
          <w:b/>
          <w:bCs/>
        </w:rPr>
        <w:t>торых был проверен по системе централизованного учета пропавших без вести лиц.</w:t>
      </w:r>
    </w:p>
    <w:p w:rsidR="00EF26FB" w:rsidRPr="00EF26FB" w:rsidRDefault="00EF26FB" w:rsidP="00F83864">
      <w:pPr>
        <w:pStyle w:val="H23GR"/>
      </w:pPr>
      <w:r w:rsidRPr="00EF26FB">
        <w:tab/>
      </w:r>
      <w:r w:rsidRPr="00EF26FB">
        <w:tab/>
        <w:t>Законодательство в отношении неправомерного изъятия детей</w:t>
      </w:r>
    </w:p>
    <w:p w:rsidR="00EF26FB" w:rsidRPr="00EF26FB" w:rsidRDefault="00EF26FB" w:rsidP="00EF26FB">
      <w:pPr>
        <w:pStyle w:val="SingleTxtGR"/>
      </w:pPr>
      <w:r w:rsidRPr="00EF26FB">
        <w:t>39.</w:t>
      </w:r>
      <w:r w:rsidRPr="00EF26FB">
        <w:tab/>
        <w:t>Комитет обеспокоен тем, что в законодательстве отсутствуют положения, конкретно устанавливающие уголовную ответственность за действия по непр</w:t>
      </w:r>
      <w:r w:rsidRPr="00EF26FB">
        <w:t>а</w:t>
      </w:r>
      <w:r w:rsidRPr="00EF26FB">
        <w:t>вомерному изъятию детей, упоминаемые в пункте 1 статьи 25 Конвенции. Кр</w:t>
      </w:r>
      <w:r w:rsidRPr="00EF26FB">
        <w:t>о</w:t>
      </w:r>
      <w:r w:rsidRPr="00EF26FB">
        <w:t>ме того, Комитет с обеспокоенностью отмечает, что до сих пор не установлены судьба и местонахождение 94 детей, ставших жертвами насильственных исче</w:t>
      </w:r>
      <w:r w:rsidRPr="00EF26FB">
        <w:t>з</w:t>
      </w:r>
      <w:r w:rsidRPr="00EF26FB">
        <w:t>новений в 1995 году в Сребренице (статья 25).</w:t>
      </w:r>
    </w:p>
    <w:p w:rsidR="00EF26FB" w:rsidRPr="00EF26FB" w:rsidRDefault="00EF26FB" w:rsidP="00EF26FB">
      <w:pPr>
        <w:pStyle w:val="SingleTxtGR"/>
        <w:rPr>
          <w:b/>
          <w:bCs/>
        </w:rPr>
      </w:pPr>
      <w:r w:rsidRPr="00EF26FB">
        <w:t>40.</w:t>
      </w:r>
      <w:r w:rsidRPr="00EF26FB">
        <w:tab/>
      </w:r>
      <w:r w:rsidRPr="00EF26FB">
        <w:rPr>
          <w:b/>
          <w:bCs/>
        </w:rPr>
        <w:t>Комитет рекомендует государству-участнику принять необходимые законодательные меры в целях квали</w:t>
      </w:r>
      <w:r w:rsidR="00A005C8">
        <w:rPr>
          <w:b/>
          <w:bCs/>
        </w:rPr>
        <w:t>фикации действий, упоминаемых в </w:t>
      </w:r>
      <w:r w:rsidRPr="00EF26FB">
        <w:rPr>
          <w:b/>
          <w:bCs/>
        </w:rPr>
        <w:t>пункте 1 статьи 25 Конвенции, в качестве конкретных уголовно</w:t>
      </w:r>
      <w:r w:rsidR="00A005C8">
        <w:rPr>
          <w:b/>
          <w:bCs/>
        </w:rPr>
        <w:t xml:space="preserve"> </w:t>
      </w:r>
      <w:r w:rsidRPr="00EF26FB">
        <w:rPr>
          <w:b/>
          <w:bCs/>
        </w:rPr>
        <w:t>наказу</w:t>
      </w:r>
      <w:r w:rsidRPr="00EF26FB">
        <w:rPr>
          <w:b/>
          <w:bCs/>
        </w:rPr>
        <w:t>е</w:t>
      </w:r>
      <w:r w:rsidRPr="00EF26FB">
        <w:rPr>
          <w:b/>
          <w:bCs/>
        </w:rPr>
        <w:t>мых деяний и установления применительно к ним надлежащих мер нак</w:t>
      </w:r>
      <w:r w:rsidRPr="00EF26FB">
        <w:rPr>
          <w:b/>
          <w:bCs/>
        </w:rPr>
        <w:t>а</w:t>
      </w:r>
      <w:r w:rsidRPr="00EF26FB">
        <w:rPr>
          <w:b/>
          <w:bCs/>
        </w:rPr>
        <w:t>зания с учетом их особо тяжкого характера. Комитет также настоятельно призывает государство-участник продолжать свои усилия по розыску и установлению личности исчезнувших детей в соответствии с пунктом</w:t>
      </w:r>
      <w:r w:rsidR="00A005C8">
        <w:rPr>
          <w:b/>
          <w:bCs/>
        </w:rPr>
        <w:t> </w:t>
      </w:r>
      <w:r w:rsidRPr="00EF26FB">
        <w:rPr>
          <w:b/>
          <w:bCs/>
        </w:rPr>
        <w:t>2 статьи 25 Конвенции.</w:t>
      </w:r>
    </w:p>
    <w:p w:rsidR="00EF26FB" w:rsidRPr="00EF26FB" w:rsidRDefault="00EF26FB" w:rsidP="00F83864">
      <w:pPr>
        <w:pStyle w:val="H1GR"/>
      </w:pPr>
      <w:r w:rsidRPr="00EF26FB">
        <w:tab/>
        <w:t>D.</w:t>
      </w:r>
      <w:r w:rsidRPr="00EF26FB">
        <w:tab/>
        <w:t>Распространение информации и принятие последующих мер</w:t>
      </w:r>
    </w:p>
    <w:p w:rsidR="00EF26FB" w:rsidRPr="00EF26FB" w:rsidRDefault="00EF26FB" w:rsidP="00EF26FB">
      <w:pPr>
        <w:pStyle w:val="SingleTxtGR"/>
      </w:pPr>
      <w:r w:rsidRPr="00EF26FB">
        <w:t>41.</w:t>
      </w:r>
      <w:r w:rsidRPr="00EF26FB">
        <w:tab/>
        <w:t>Комитет хотел бы напомнить об обязательствах, взятых на себя госуда</w:t>
      </w:r>
      <w:r w:rsidRPr="00EF26FB">
        <w:t>р</w:t>
      </w:r>
      <w:r w:rsidRPr="00EF26FB">
        <w:t>ствами при присоединении к Конвенции, и в этой связи настоятельно призывает государство-участник обеспечить полное соответствие всех принимаемых им мер, независимо от характера таких мер и органа, распорядившегося об их пр</w:t>
      </w:r>
      <w:r w:rsidRPr="00EF26FB">
        <w:t>и</w:t>
      </w:r>
      <w:r w:rsidRPr="00EF26FB">
        <w:t>нятии, обязательствам, которые оно взяло на себя при присоединении к Ко</w:t>
      </w:r>
      <w:r w:rsidRPr="00EF26FB">
        <w:t>н</w:t>
      </w:r>
      <w:r w:rsidRPr="00EF26FB">
        <w:t>венции и другим соответствующим международным договорам. В частности, Комитет настоятельно призывает государство-участник гарантировать эффе</w:t>
      </w:r>
      <w:r w:rsidRPr="00EF26FB">
        <w:t>к</w:t>
      </w:r>
      <w:r w:rsidRPr="00EF26FB">
        <w:t>тивное расследование всех случаев насильственных исчезновений и полное обеспечение прав жертв, предусмотренных в Конвенции.</w:t>
      </w:r>
    </w:p>
    <w:p w:rsidR="00EF26FB" w:rsidRPr="00EF26FB" w:rsidRDefault="00EF26FB" w:rsidP="00EF26FB">
      <w:pPr>
        <w:pStyle w:val="SingleTxtGR"/>
      </w:pPr>
      <w:r w:rsidRPr="00EF26FB">
        <w:t>42.</w:t>
      </w:r>
      <w:r w:rsidRPr="00EF26FB">
        <w:tab/>
        <w:t>Комитет хочет также подчеркнуть особенно тяжелые последствия насильственных исчезновений для прав человека женщин и детей. Женщины, ставшие жертвами насильственных исчезновений, в наибольшей степени по</w:t>
      </w:r>
      <w:r w:rsidRPr="00EF26FB">
        <w:t>д</w:t>
      </w:r>
      <w:r w:rsidRPr="00EF26FB">
        <w:t>вержены сексуальному и другим видам гендерного насилия. Женщины, ро</w:t>
      </w:r>
      <w:r w:rsidRPr="00EF26FB">
        <w:t>д</w:t>
      </w:r>
      <w:r w:rsidRPr="00EF26FB">
        <w:t>ственники которых стали жертвами насильственного исчезновения, особенно подвержены риску столкнуться с неблагоприятными социально-экономи</w:t>
      </w:r>
      <w:r w:rsidR="00617F36">
        <w:t>-</w:t>
      </w:r>
      <w:r w:rsidRPr="00EF26FB">
        <w:t>ческими последствиями, а также с насилием, преследованиями и притеснени</w:t>
      </w:r>
      <w:r w:rsidRPr="00EF26FB">
        <w:t>я</w:t>
      </w:r>
      <w:r w:rsidRPr="00EF26FB">
        <w:t>ми в связи с их усилиями по установлению местонахождения своих близких. Дети, ставшие жертвами насильственного исчезновения, будь то в личном кач</w:t>
      </w:r>
      <w:r w:rsidRPr="00EF26FB">
        <w:t>е</w:t>
      </w:r>
      <w:r w:rsidRPr="00EF26FB">
        <w:t>стве или в результате исчезновения их родственников, особенно уязвимы для многочисленных нарушений их прав человека, в том числе подмены их подли</w:t>
      </w:r>
      <w:r w:rsidRPr="00EF26FB">
        <w:t>н</w:t>
      </w:r>
      <w:r w:rsidRPr="00EF26FB">
        <w:t>ной личности. В связи с этим Комитет особо подчеркивает необходимость уч</w:t>
      </w:r>
      <w:r w:rsidRPr="00EF26FB">
        <w:t>е</w:t>
      </w:r>
      <w:r w:rsidRPr="00EF26FB">
        <w:t>та государством-участником гендерных факторов и интересов детей при ос</w:t>
      </w:r>
      <w:r w:rsidRPr="00EF26FB">
        <w:t>у</w:t>
      </w:r>
      <w:r w:rsidRPr="00EF26FB">
        <w:t xml:space="preserve">ществлении прав и обязательств, закрепленных в Конвенции. </w:t>
      </w:r>
    </w:p>
    <w:p w:rsidR="00EF26FB" w:rsidRPr="00EF26FB" w:rsidRDefault="00EF26FB" w:rsidP="00EF26FB">
      <w:pPr>
        <w:pStyle w:val="SingleTxtGR"/>
      </w:pPr>
      <w:r w:rsidRPr="00EF26FB">
        <w:t>43.</w:t>
      </w:r>
      <w:r w:rsidRPr="00EF26FB">
        <w:tab/>
        <w:t>Государству-участнику предлагается обеспечить широкое распростран</w:t>
      </w:r>
      <w:r w:rsidRPr="00EF26FB">
        <w:t>е</w:t>
      </w:r>
      <w:r w:rsidRPr="00EF26FB">
        <w:t>ние текста Конвенции, его доклада, представленного в соответствии с пун</w:t>
      </w:r>
      <w:r w:rsidRPr="00EF26FB">
        <w:t>к</w:t>
      </w:r>
      <w:r w:rsidRPr="00EF26FB">
        <w:t>том</w:t>
      </w:r>
      <w:r w:rsidR="00617F36">
        <w:t> </w:t>
      </w:r>
      <w:r w:rsidRPr="00EF26FB">
        <w:t>1 статьи 29 Конвенции, письменных ответов на составленный Комитетом перечень вопросов и настоящих заключительных замечаний в целях повышения осведомленности судебных, законодательных и административных органов, гражданского общества и неправительственных организаций, действующих в государстве-участнике, и широких слоев населения. Комитет также призывает государство-участник поощрять участие гражданского общества в осуществл</w:t>
      </w:r>
      <w:r w:rsidRPr="00EF26FB">
        <w:t>е</w:t>
      </w:r>
      <w:r w:rsidRPr="00EF26FB">
        <w:t>нии мер в соответствии с настоящими заключительными замечаниями.</w:t>
      </w:r>
    </w:p>
    <w:p w:rsidR="00EF26FB" w:rsidRPr="00EF26FB" w:rsidRDefault="00EF26FB" w:rsidP="00EF26FB">
      <w:pPr>
        <w:pStyle w:val="SingleTxtGR"/>
      </w:pPr>
      <w:r w:rsidRPr="00EF26FB">
        <w:t>44.</w:t>
      </w:r>
      <w:r w:rsidRPr="00EF26FB">
        <w:tab/>
        <w:t>Согласно правилам процедуры Комитета государств</w:t>
      </w:r>
      <w:r w:rsidR="00617F36">
        <w:t>у</w:t>
      </w:r>
      <w:r w:rsidRPr="00EF26FB">
        <w:t>-участнику следует не позднее 14 октября 2017 года представить соответствующую информацию о выполнении рекомендаций Комитета, содержащихся в пунктах 18, 20 и 32.</w:t>
      </w:r>
    </w:p>
    <w:p w:rsidR="00BB76A1" w:rsidRPr="00B63A92" w:rsidRDefault="00EF26FB" w:rsidP="00EF26FB">
      <w:pPr>
        <w:pStyle w:val="SingleTxtGR"/>
      </w:pPr>
      <w:r w:rsidRPr="00EF26FB">
        <w:t>45.</w:t>
      </w:r>
      <w:r w:rsidRPr="00EF26FB">
        <w:tab/>
        <w:t>В соответствии с пунктом 4 статьи 29 Конвенции Комитет просит гос</w:t>
      </w:r>
      <w:r w:rsidRPr="00EF26FB">
        <w:t>у</w:t>
      </w:r>
      <w:r w:rsidRPr="00EF26FB">
        <w:t>дарство-участник представить не позднее 14 октября 2022 года конкретную о</w:t>
      </w:r>
      <w:r w:rsidRPr="00EF26FB">
        <w:t>б</w:t>
      </w:r>
      <w:r w:rsidRPr="00EF26FB">
        <w:t>новленную информацию, касающуюся выполнения всех его рекомендаций, а также любую другую новую информацию о выполнении обязательств, пред</w:t>
      </w:r>
      <w:r w:rsidRPr="00EF26FB">
        <w:t>у</w:t>
      </w:r>
      <w:r w:rsidRPr="00EF26FB">
        <w:t>смотренных Конвенцией, в документе, подготовленном в соответствии с рук</w:t>
      </w:r>
      <w:r w:rsidRPr="00EF26FB">
        <w:t>о</w:t>
      </w:r>
      <w:r w:rsidRPr="00EF26FB">
        <w:t>водящими принципами относительно формы и содержания докладов, которые должны быть представлены государствами</w:t>
      </w:r>
      <w:r w:rsidR="004F57D7" w:rsidRPr="004F57D7">
        <w:t xml:space="preserve"> – </w:t>
      </w:r>
      <w:r w:rsidRPr="00EF26FB">
        <w:t>участниками Конвенции в соо</w:t>
      </w:r>
      <w:r w:rsidRPr="00EF26FB">
        <w:t>т</w:t>
      </w:r>
      <w:r w:rsidRPr="00EF26FB">
        <w:t>ветствии со статьей 29 (</w:t>
      </w:r>
      <w:r w:rsidR="00617F36">
        <w:t xml:space="preserve">см. </w:t>
      </w:r>
      <w:r w:rsidRPr="00EF26FB">
        <w:t>CED/C/2, пункт 39). Комитет призывает госуда</w:t>
      </w:r>
      <w:r w:rsidRPr="00EF26FB">
        <w:t>р</w:t>
      </w:r>
      <w:r w:rsidRPr="00EF26FB">
        <w:t>ство-участник поощрять и поддерживать участие гражданского общества в по</w:t>
      </w:r>
      <w:r w:rsidRPr="00EF26FB">
        <w:t>д</w:t>
      </w:r>
      <w:r w:rsidRPr="00EF26FB">
        <w:t>готовке данной информации.</w:t>
      </w:r>
    </w:p>
    <w:p w:rsidR="00F83864" w:rsidRPr="00B63A92" w:rsidRDefault="00F83864" w:rsidP="00F83864">
      <w:pPr>
        <w:spacing w:before="240"/>
        <w:jc w:val="center"/>
        <w:rPr>
          <w:u w:val="single"/>
        </w:rPr>
      </w:pPr>
      <w:r w:rsidRPr="00B63A92">
        <w:rPr>
          <w:u w:val="single"/>
        </w:rPr>
        <w:tab/>
      </w:r>
      <w:r w:rsidRPr="00B63A92">
        <w:rPr>
          <w:u w:val="single"/>
        </w:rPr>
        <w:tab/>
      </w:r>
      <w:r w:rsidRPr="00B63A92">
        <w:rPr>
          <w:u w:val="single"/>
        </w:rPr>
        <w:tab/>
      </w:r>
    </w:p>
    <w:sectPr w:rsidR="00F83864" w:rsidRPr="00B63A92" w:rsidSect="00BB76A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FB" w:rsidRDefault="00EF26FB" w:rsidP="00B471C5">
      <w:r>
        <w:separator/>
      </w:r>
    </w:p>
  </w:endnote>
  <w:endnote w:type="continuationSeparator" w:id="0">
    <w:p w:rsidR="00EF26FB" w:rsidRDefault="00EF26F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BB76A1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005C8">
      <w:rPr>
        <w:rStyle w:val="a9"/>
        <w:noProof/>
      </w:rPr>
      <w:t>4</w:t>
    </w:r>
    <w:r>
      <w:rPr>
        <w:rStyle w:val="a9"/>
      </w:rPr>
      <w:fldChar w:fldCharType="end"/>
    </w:r>
    <w:r>
      <w:rPr>
        <w:lang w:val="en-US"/>
      </w:rPr>
      <w:tab/>
      <w:t>GE.16-</w:t>
    </w:r>
    <w:r w:rsidR="007529D6">
      <w:rPr>
        <w:lang w:val="en-US"/>
      </w:rPr>
      <w:t>19175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BB76A1">
    <w:pPr>
      <w:pStyle w:val="a7"/>
      <w:rPr>
        <w:lang w:val="en-US"/>
      </w:rPr>
    </w:pPr>
    <w:r>
      <w:rPr>
        <w:lang w:val="en-US"/>
      </w:rPr>
      <w:t>GE.16-</w:t>
    </w:r>
    <w:r w:rsidR="007529D6">
      <w:rPr>
        <w:lang w:val="en-US"/>
      </w:rPr>
      <w:t>19175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005C8">
      <w:rPr>
        <w:rStyle w:val="a9"/>
        <w:noProof/>
      </w:rPr>
      <w:t>5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C689C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C689C" w:rsidRPr="007529D6" w:rsidRDefault="00AC689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7529D6">
            <w:rPr>
              <w:lang w:val="en-US"/>
            </w:rPr>
            <w:t>GE.16-</w:t>
          </w:r>
          <w:r w:rsidR="007529D6">
            <w:rPr>
              <w:lang w:val="en-US"/>
            </w:rPr>
            <w:t>19175</w:t>
          </w:r>
          <w:r w:rsidRPr="007529D6">
            <w:rPr>
              <w:lang w:val="en-US"/>
            </w:rPr>
            <w:t xml:space="preserve"> (R)</w:t>
          </w:r>
          <w:r w:rsidR="007529D6">
            <w:rPr>
              <w:lang w:val="en-US"/>
            </w:rPr>
            <w:t xml:space="preserve">   091116   091116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C689C" w:rsidRDefault="00AC689C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2EC6C4E" wp14:editId="6303BA1C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C689C" w:rsidRDefault="007529D6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1025" cy="581025"/>
                <wp:effectExtent l="0" t="0" r="9525" b="9525"/>
                <wp:docPr id="3" name="Рисунок 3" descr="http://undocs.org/m2/QRCode.ashx?DS=CED/C/BIH/CO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ED/C/BIH/CO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689C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C689C" w:rsidRPr="007529D6" w:rsidRDefault="007529D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529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529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529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529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529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7529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529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529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529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C689C" w:rsidRDefault="00AC689C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C689C" w:rsidRDefault="00AC689C" w:rsidP="007B199D"/>
      </w:tc>
    </w:tr>
  </w:tbl>
  <w:p w:rsidR="00BD440F" w:rsidRDefault="00A005C8" w:rsidP="00BD440F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FB" w:rsidRPr="009141DC" w:rsidRDefault="00EF26F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F26FB" w:rsidRPr="00D1261C" w:rsidRDefault="00EF26F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F26FB" w:rsidRPr="005A6589" w:rsidRDefault="00EF26FB" w:rsidP="00EF26FB">
      <w:pPr>
        <w:pStyle w:val="aa"/>
        <w:rPr>
          <w:lang w:val="ru-RU"/>
        </w:rPr>
      </w:pPr>
      <w:r>
        <w:rPr>
          <w:lang w:val="ru-RU"/>
        </w:rPr>
        <w:tab/>
      </w:r>
      <w:r w:rsidRPr="007529D6">
        <w:rPr>
          <w:sz w:val="20"/>
          <w:lang w:val="ru-RU"/>
        </w:rPr>
        <w:t>*</w:t>
      </w:r>
      <w:r>
        <w:rPr>
          <w:lang w:val="ru-RU"/>
        </w:rPr>
        <w:tab/>
        <w:t>Приняты Комитетом на его одиннадцатой сессии (3–14 октября 2016 года).</w:t>
      </w:r>
    </w:p>
  </w:footnote>
  <w:footnote w:id="2">
    <w:p w:rsidR="00EF26FB" w:rsidRPr="005A6589" w:rsidRDefault="00EF26FB" w:rsidP="00EF26FB">
      <w:pPr>
        <w:pStyle w:val="aa"/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 xml:space="preserve">Европейский суд по правам человека, решение Большой палаты по делу </w:t>
      </w:r>
      <w:r w:rsidRPr="00AF186F">
        <w:rPr>
          <w:i/>
          <w:lang w:val="ru-RU"/>
        </w:rPr>
        <w:t>Мактуф и</w:t>
      </w:r>
      <w:r w:rsidR="00C41EBE">
        <w:rPr>
          <w:i/>
          <w:lang w:val="ru-RU"/>
        </w:rPr>
        <w:t> </w:t>
      </w:r>
      <w:r w:rsidRPr="00AF186F">
        <w:rPr>
          <w:i/>
          <w:lang w:val="ru-RU"/>
        </w:rPr>
        <w:t>Дамьянович против Боснии и Герцеговины</w:t>
      </w:r>
      <w:r>
        <w:rPr>
          <w:lang w:val="ru-RU"/>
        </w:rPr>
        <w:t xml:space="preserve"> (жалобы</w:t>
      </w:r>
      <w:r w:rsidR="00C41EBE">
        <w:rPr>
          <w:lang w:val="ru-RU"/>
        </w:rPr>
        <w:t xml:space="preserve"> № </w:t>
      </w:r>
      <w:r>
        <w:rPr>
          <w:lang w:val="ru-RU"/>
        </w:rPr>
        <w:t>2312/08 и 34179/08).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5E0092" w:rsidRDefault="00BB76A1">
    <w:pPr>
      <w:pStyle w:val="a3"/>
      <w:rPr>
        <w:lang w:val="en-US"/>
      </w:rPr>
    </w:pPr>
    <w:r>
      <w:rPr>
        <w:lang w:val="en-US"/>
      </w:rPr>
      <w:t>C</w:t>
    </w:r>
    <w:r w:rsidR="007529D6">
      <w:rPr>
        <w:lang w:val="en-US"/>
      </w:rPr>
      <w:t>ED</w:t>
    </w:r>
    <w:r>
      <w:rPr>
        <w:lang w:val="en-US"/>
      </w:rPr>
      <w:t>/</w:t>
    </w:r>
    <w:r w:rsidR="007529D6" w:rsidRPr="007529D6">
      <w:rPr>
        <w:lang w:val="en-US"/>
      </w:rPr>
      <w:t>C/BIH/CO/1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C" w:rsidRPr="009A6F4A" w:rsidRDefault="00BB76A1">
    <w:pPr>
      <w:pStyle w:val="a3"/>
      <w:rPr>
        <w:lang w:val="en-US"/>
      </w:rPr>
    </w:pPr>
    <w:r>
      <w:rPr>
        <w:lang w:val="en-US"/>
      </w:rPr>
      <w:tab/>
    </w:r>
    <w:r w:rsidR="007529D6">
      <w:rPr>
        <w:lang w:val="en-US"/>
      </w:rPr>
      <w:t>CED</w:t>
    </w:r>
    <w:r>
      <w:rPr>
        <w:lang w:val="en-US"/>
      </w:rPr>
      <w:t>/</w:t>
    </w:r>
    <w:r w:rsidR="007529D6" w:rsidRPr="007529D6">
      <w:rPr>
        <w:lang w:val="en-US"/>
      </w:rPr>
      <w:t>C/BIH/CO/1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FB"/>
    <w:rsid w:val="000450D1"/>
    <w:rsid w:val="000F2A4F"/>
    <w:rsid w:val="00203F84"/>
    <w:rsid w:val="00275188"/>
    <w:rsid w:val="0028687D"/>
    <w:rsid w:val="002B091C"/>
    <w:rsid w:val="002D0CCB"/>
    <w:rsid w:val="00345C79"/>
    <w:rsid w:val="00366A39"/>
    <w:rsid w:val="004304C2"/>
    <w:rsid w:val="0048005C"/>
    <w:rsid w:val="004E242B"/>
    <w:rsid w:val="004F57D7"/>
    <w:rsid w:val="00512304"/>
    <w:rsid w:val="00544379"/>
    <w:rsid w:val="0056384F"/>
    <w:rsid w:val="00566944"/>
    <w:rsid w:val="00573E8E"/>
    <w:rsid w:val="005D56BF"/>
    <w:rsid w:val="00617F36"/>
    <w:rsid w:val="00665D8D"/>
    <w:rsid w:val="006A7A3B"/>
    <w:rsid w:val="006B6B57"/>
    <w:rsid w:val="00705394"/>
    <w:rsid w:val="00705BB9"/>
    <w:rsid w:val="00743F62"/>
    <w:rsid w:val="007529D6"/>
    <w:rsid w:val="00760D3A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9D3E54"/>
    <w:rsid w:val="00A005C8"/>
    <w:rsid w:val="00A03FB7"/>
    <w:rsid w:val="00A75A11"/>
    <w:rsid w:val="00AC689C"/>
    <w:rsid w:val="00AD7EAD"/>
    <w:rsid w:val="00B35A32"/>
    <w:rsid w:val="00B432C6"/>
    <w:rsid w:val="00B471C5"/>
    <w:rsid w:val="00B63A92"/>
    <w:rsid w:val="00B6474A"/>
    <w:rsid w:val="00BB76A1"/>
    <w:rsid w:val="00BE1742"/>
    <w:rsid w:val="00C41EBE"/>
    <w:rsid w:val="00CF395E"/>
    <w:rsid w:val="00D1261C"/>
    <w:rsid w:val="00D75DCE"/>
    <w:rsid w:val="00DD35AC"/>
    <w:rsid w:val="00DD479F"/>
    <w:rsid w:val="00E15E48"/>
    <w:rsid w:val="00E26747"/>
    <w:rsid w:val="00EB0723"/>
    <w:rsid w:val="00EE6F37"/>
    <w:rsid w:val="00EF26FB"/>
    <w:rsid w:val="00F1599F"/>
    <w:rsid w:val="00F31EF2"/>
    <w:rsid w:val="00F33447"/>
    <w:rsid w:val="00F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A1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F26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26FB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26FB"/>
    <w:pPr>
      <w:suppressAutoHyphens/>
      <w:spacing w:line="240" w:lineRule="auto"/>
    </w:pPr>
    <w:rPr>
      <w:spacing w:val="0"/>
      <w:w w:val="100"/>
      <w:kern w:val="0"/>
      <w:lang w:val="en-GB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F26F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3">
    <w:name w:val="annotation reference"/>
    <w:uiPriority w:val="99"/>
    <w:semiHidden/>
    <w:unhideWhenUsed/>
    <w:rsid w:val="00EF26FB"/>
    <w:rPr>
      <w:sz w:val="16"/>
      <w:szCs w:val="16"/>
    </w:rPr>
  </w:style>
  <w:style w:type="character" w:styleId="af4">
    <w:name w:val="Hyperlink"/>
    <w:uiPriority w:val="99"/>
    <w:unhideWhenUsed/>
    <w:rsid w:val="00EF2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A1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F26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26FB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26FB"/>
    <w:pPr>
      <w:suppressAutoHyphens/>
      <w:spacing w:line="240" w:lineRule="auto"/>
    </w:pPr>
    <w:rPr>
      <w:spacing w:val="0"/>
      <w:w w:val="100"/>
      <w:kern w:val="0"/>
      <w:lang w:val="en-GB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F26F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3">
    <w:name w:val="annotation reference"/>
    <w:uiPriority w:val="99"/>
    <w:semiHidden/>
    <w:unhideWhenUsed/>
    <w:rsid w:val="00EF26FB"/>
    <w:rPr>
      <w:sz w:val="16"/>
      <w:szCs w:val="16"/>
    </w:rPr>
  </w:style>
  <w:style w:type="character" w:styleId="af4">
    <w:name w:val="Hyperlink"/>
    <w:uiPriority w:val="99"/>
    <w:unhideWhenUsed/>
    <w:rsid w:val="00EF2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E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F38D-9836-402D-A5A0-65387220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4</TotalTime>
  <Pages>10</Pages>
  <Words>3888</Words>
  <Characters>24809</Characters>
  <Application>Microsoft Office Word</Application>
  <DocSecurity>0</DocSecurity>
  <Lines>539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TPSRUS2</cp:lastModifiedBy>
  <cp:revision>4</cp:revision>
  <cp:lastPrinted>2016-11-09T16:16:00Z</cp:lastPrinted>
  <dcterms:created xsi:type="dcterms:W3CDTF">2016-11-09T16:15:00Z</dcterms:created>
  <dcterms:modified xsi:type="dcterms:W3CDTF">2016-11-09T16:34:00Z</dcterms:modified>
</cp:coreProperties>
</file>