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07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07AA9" w:rsidP="00007AA9">
            <w:pPr>
              <w:jc w:val="right"/>
            </w:pPr>
            <w:r w:rsidRPr="00007AA9">
              <w:rPr>
                <w:sz w:val="40"/>
              </w:rPr>
              <w:t>CRPD</w:t>
            </w:r>
            <w:r>
              <w:t>/C/BEL/QPR/2-3</w:t>
            </w:r>
          </w:p>
        </w:tc>
      </w:tr>
      <w:tr w:rsidR="002D5AAC" w:rsidRPr="00D8265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07AA9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07AA9" w:rsidRDefault="00007AA9" w:rsidP="00007A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April 2019</w:t>
            </w:r>
          </w:p>
          <w:p w:rsidR="00007AA9" w:rsidRDefault="00007AA9" w:rsidP="00007A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8265B" w:rsidRDefault="00007AA9" w:rsidP="00007A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007AA9" w:rsidRPr="008934D2" w:rsidRDefault="00D8265B" w:rsidP="00D8265B">
            <w:pPr>
              <w:spacing w:line="240" w:lineRule="exact"/>
              <w:rPr>
                <w:lang w:val="en-US"/>
              </w:rPr>
            </w:pPr>
            <w:r w:rsidRPr="00D8265B">
              <w:rPr>
                <w:lang w:val="en-US"/>
              </w:rPr>
              <w:t>English, French, Russian and Spanish only</w:t>
            </w:r>
          </w:p>
        </w:tc>
      </w:tr>
    </w:tbl>
    <w:p w:rsidR="00935FA9" w:rsidRPr="00935FA9" w:rsidRDefault="00935FA9" w:rsidP="00935FA9">
      <w:pPr>
        <w:spacing w:before="120"/>
        <w:rPr>
          <w:b/>
          <w:bCs/>
          <w:sz w:val="24"/>
          <w:szCs w:val="24"/>
        </w:rPr>
      </w:pPr>
      <w:r w:rsidRPr="00935FA9">
        <w:rPr>
          <w:b/>
          <w:bCs/>
          <w:sz w:val="24"/>
          <w:szCs w:val="24"/>
        </w:rPr>
        <w:t>Комитет по правам инвалидов</w:t>
      </w:r>
    </w:p>
    <w:p w:rsidR="00935FA9" w:rsidRPr="00935FA9" w:rsidRDefault="00935FA9" w:rsidP="00935FA9">
      <w:pPr>
        <w:pStyle w:val="HChG"/>
        <w:rPr>
          <w:b w:val="0"/>
          <w:sz w:val="20"/>
        </w:rPr>
      </w:pPr>
      <w:r w:rsidRPr="00935FA9">
        <w:tab/>
      </w:r>
      <w:r w:rsidRPr="00935FA9">
        <w:tab/>
        <w:t>Перечень вопросов, подготовленный до представления объединенных второго и третьего периодических докладов Бельгии</w:t>
      </w:r>
      <w:r w:rsidRPr="00935FA9">
        <w:rPr>
          <w:b w:val="0"/>
          <w:sz w:val="20"/>
        </w:rPr>
        <w:footnoteReference w:customMarkFollows="1" w:id="1"/>
        <w:t>*</w:t>
      </w:r>
    </w:p>
    <w:p w:rsidR="00935FA9" w:rsidRPr="00935FA9" w:rsidRDefault="00935FA9" w:rsidP="00935FA9">
      <w:pPr>
        <w:pStyle w:val="H1G"/>
      </w:pPr>
      <w:r w:rsidRPr="00935FA9">
        <w:tab/>
        <w:t>A.</w:t>
      </w:r>
      <w:r w:rsidRPr="00935FA9">
        <w:tab/>
        <w:t>Цель и общие обязательст</w:t>
      </w:r>
      <w:bookmarkStart w:id="0" w:name="_GoBack"/>
      <w:bookmarkEnd w:id="0"/>
      <w:r w:rsidRPr="00935FA9">
        <w:t>ва (статьи 1–4)</w:t>
      </w:r>
    </w:p>
    <w:p w:rsidR="00935FA9" w:rsidRPr="00935FA9" w:rsidRDefault="00935FA9" w:rsidP="00935FA9">
      <w:pPr>
        <w:pStyle w:val="SingleTxtG"/>
      </w:pPr>
      <w:r w:rsidRPr="00935FA9">
        <w:t>1.</w:t>
      </w:r>
      <w:r w:rsidRPr="00935FA9">
        <w:tab/>
        <w:t xml:space="preserve">Просьба сообщить о конкретных мерах, принятых государством-участником после рассмотрения его первоначального доклада в целях: 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>приведения своего законодательства в соответствие с обязательствами по Конвенции на федеральном, региональном и местном уровнях с обеспечением тесного взаимодействия между этими уровнями;</w:t>
      </w:r>
    </w:p>
    <w:p w:rsidR="00935FA9" w:rsidRPr="00935FA9" w:rsidRDefault="00935FA9" w:rsidP="00935FA9">
      <w:pPr>
        <w:pStyle w:val="SingleTxtG"/>
      </w:pPr>
      <w:r w:rsidRPr="00935FA9">
        <w:tab/>
      </w:r>
      <w:r w:rsidR="00612B31">
        <w:tab/>
      </w:r>
      <w:r w:rsidRPr="00935FA9">
        <w:t>b)</w:t>
      </w:r>
      <w:r w:rsidRPr="00935FA9">
        <w:tab/>
        <w:t>обеспечения того, чтобы нормативно-правовые положения, касающиеся инвалидов, и их осуществление соответствовали закрепленной в Конвенции правозащитной модели инвалидности;</w:t>
      </w:r>
    </w:p>
    <w:p w:rsidR="00935FA9" w:rsidRPr="00935FA9" w:rsidRDefault="00935FA9" w:rsidP="00935FA9">
      <w:pPr>
        <w:pStyle w:val="SingleTxtG"/>
      </w:pPr>
      <w:r w:rsidRPr="00935FA9">
        <w:tab/>
      </w:r>
      <w:r w:rsidR="00612B31">
        <w:tab/>
      </w:r>
      <w:r w:rsidRPr="00935FA9">
        <w:t>с)</w:t>
      </w:r>
      <w:r w:rsidRPr="00935FA9">
        <w:tab/>
        <w:t xml:space="preserve">обеспечения последовательности в трактовке понятия инвалидности на федеральном, региональном и местном уровнях и недопущения неравенства в доступе к правам и услугам на всей территории государства-участника. </w:t>
      </w:r>
    </w:p>
    <w:p w:rsidR="00935FA9" w:rsidRPr="00935FA9" w:rsidRDefault="00935FA9" w:rsidP="00935FA9">
      <w:pPr>
        <w:pStyle w:val="SingleTxtG"/>
      </w:pPr>
      <w:r w:rsidRPr="00935FA9">
        <w:t>2.</w:t>
      </w:r>
      <w:r w:rsidRPr="00935FA9">
        <w:tab/>
        <w:t>Просьба представить информацию о национальных планах или стратегиях, посвященных непосредственно правам инвалидов, и о тех из них, в которых учитываются вопросы инвалидности.</w:t>
      </w:r>
    </w:p>
    <w:p w:rsidR="00935FA9" w:rsidRPr="00935FA9" w:rsidRDefault="00935FA9" w:rsidP="00935FA9">
      <w:pPr>
        <w:pStyle w:val="SingleTxtG"/>
      </w:pPr>
      <w:r w:rsidRPr="00935FA9">
        <w:t>3.</w:t>
      </w:r>
      <w:r w:rsidRPr="00935FA9">
        <w:tab/>
        <w:t xml:space="preserve">Просьба представить информацию о мерах, принятых в целях обеспечения полного и эффективного участия инвалидов через организации, представляющие их интересы, в разработке, осуществлении и обзоре всех законов и стратегий, связанных с инвалидностью, а также в других процессах выработки политики и принятия решений на федеральном, региональном и местном уровнях. </w:t>
      </w:r>
    </w:p>
    <w:p w:rsidR="00935FA9" w:rsidRPr="00935FA9" w:rsidRDefault="00935FA9" w:rsidP="00935FA9">
      <w:pPr>
        <w:pStyle w:val="SingleTxtG"/>
      </w:pPr>
      <w:r w:rsidRPr="00935FA9">
        <w:t>4.</w:t>
      </w:r>
      <w:r w:rsidRPr="00935FA9">
        <w:tab/>
        <w:t>Просьба представить информацию о конкретных мерах, принятых с целью создания консультативных советов по делам инвалидов на федеральном, региональном и местном уровнях и выделения достаточных ресурсов на их деятельность (CRPD/C/BEL/CO/1, пункт 10).</w:t>
      </w:r>
    </w:p>
    <w:p w:rsidR="00935FA9" w:rsidRPr="00935FA9" w:rsidRDefault="00935FA9" w:rsidP="00612B31">
      <w:pPr>
        <w:pStyle w:val="H1G"/>
      </w:pPr>
      <w:r w:rsidRPr="00935FA9">
        <w:tab/>
        <w:t>B.</w:t>
      </w:r>
      <w:r w:rsidRPr="00935FA9">
        <w:tab/>
        <w:t>Конкретные права (статьи 5–30)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Равенство и недискриминация (статья 5)</w:t>
      </w:r>
    </w:p>
    <w:p w:rsidR="00935FA9" w:rsidRPr="00935FA9" w:rsidRDefault="00935FA9" w:rsidP="00935FA9">
      <w:pPr>
        <w:pStyle w:val="SingleTxtG"/>
      </w:pPr>
      <w:r w:rsidRPr="00935FA9">
        <w:t>5.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935FA9" w:rsidP="00935FA9">
      <w:pPr>
        <w:pStyle w:val="SingleTxtG"/>
      </w:pPr>
      <w:r w:rsidRPr="00935FA9">
        <w:lastRenderedPageBreak/>
        <w:tab/>
      </w:r>
      <w:r w:rsidR="00612B31">
        <w:tab/>
      </w:r>
      <w:r w:rsidRPr="00935FA9">
        <w:t>а)</w:t>
      </w:r>
      <w:r w:rsidRPr="00935FA9">
        <w:tab/>
        <w:t>укрепления законодательных положений, касающихся борьбы с дискриминацией, и улучшения их осуществления для борьбы со всеми формами дискриминации по признаку инвалидности, включая пересекающиеся и множественные формы дискриминации, косвенную дискриминацию и дискриминацию из-за наличия болезни;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пересмотра средств правовой защиты, предусмотренных в законе о запрете дискриминации (CRPD/C/BEL/CO/1, пункт 12), и обеспечения средств правовой защиты и компенсации для жертв дискриминации по признаку инвалидности, включая пересекающиеся и множественные формы дискриминации.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Женщины-инвалиды (статья 6)</w:t>
      </w:r>
    </w:p>
    <w:p w:rsidR="00935FA9" w:rsidRPr="00935FA9" w:rsidRDefault="00935FA9" w:rsidP="00935FA9">
      <w:pPr>
        <w:pStyle w:val="SingleTxtG"/>
      </w:pPr>
      <w:r w:rsidRPr="00935FA9">
        <w:t>6.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>предупреждения множественных форм дискриминации в отношении женщин-инвалидов и девочек-инвалидов, а также всестороннего учета гендерной проблематики в законодательстве и мерах политики, связанных с инвалидностью, и интересов инвалидов в законодательстве и мерах политики, касающихся женщин;</w:t>
      </w:r>
    </w:p>
    <w:p w:rsidR="00935FA9" w:rsidRPr="00935FA9" w:rsidRDefault="00935FA9" w:rsidP="00935FA9">
      <w:pPr>
        <w:pStyle w:val="SingleTxtG"/>
      </w:pPr>
      <w:r w:rsidRPr="00935FA9">
        <w:tab/>
      </w:r>
      <w:r w:rsidR="00612B31">
        <w:tab/>
      </w:r>
      <w:r w:rsidRPr="00935FA9">
        <w:t>b)</w:t>
      </w:r>
      <w:r w:rsidRPr="00935FA9">
        <w:tab/>
        <w:t>расширения прав и возможностей женщин-инвалидов и девочек-инвалидов на федеральном, региональном и местном уровнях, в том числе путем обеспечения их доступа к образованию и занятости.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Дети-инвалиды (статья 7)</w:t>
      </w:r>
    </w:p>
    <w:p w:rsidR="00935FA9" w:rsidRPr="00935FA9" w:rsidRDefault="00935FA9" w:rsidP="00935FA9">
      <w:pPr>
        <w:pStyle w:val="SingleTxtG"/>
      </w:pPr>
      <w:r w:rsidRPr="00935FA9">
        <w:t>7.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мерах, принятых для обеспечения соблюдения права детей-инвалидов на семейную жизнь, в том числе о мерах, направленных на поддержку детей с ограниченными возможностями в приемных семьях и доступа к услугам по раннему вмешательству и другим инклюзивным услугам;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числе детей-инвалидов, не проживающих со своими семьями, включая детей, помещенных в специализированные учреждения, а также о финансовых и других ресурсах, выделяемых на цели обеспечения их деинституционализации и перехода к жизни в местной общине.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Просветительно-воспитательная работа (статья 8)</w:t>
      </w:r>
    </w:p>
    <w:p w:rsidR="00935FA9" w:rsidRPr="00935FA9" w:rsidRDefault="00935FA9" w:rsidP="00935FA9">
      <w:pPr>
        <w:pStyle w:val="SingleTxtG"/>
      </w:pPr>
      <w:r w:rsidRPr="00935FA9">
        <w:t>8.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>принятии и осуществление планов действий и стратегий на федеральном, региональном и местном уровнях с целью повышения осведомленности о правах инвалидов и Конвенции;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конкретных мерах, принятых в целях содействия созданию позитивного образа инвалидов и искоренению ошибочных представлений и стереотипов в отношении таких лиц, в частности в средствах массовой информации;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том, каким образом организации инвалидов принимают участие в разработке и осуществлении планов и стратегий по повышению осведомленности, а также о результатах этих планов и стратегий.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Доступность (статья 9)</w:t>
      </w:r>
    </w:p>
    <w:p w:rsidR="00935FA9" w:rsidRPr="00935FA9" w:rsidRDefault="00935FA9" w:rsidP="00935FA9">
      <w:pPr>
        <w:pStyle w:val="SingleTxtG"/>
      </w:pPr>
      <w:r w:rsidRPr="00935FA9">
        <w:t>9.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>обеспечения доступности всех объектов и услуг, открытых или предоставляемых для населения на всех уровнях, особенно в сфере образования, здравоохранения и социальных услуг;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обеспечения того, чтобы все системы общественного транспорта и инфраструктура в городских и сельских районах были доступны для всех инвалидов, и сообщить о конкретных принимаемых мерах с указанием четких сроков, поддающихся измерению исходных параметров и показателей;</w:t>
      </w:r>
    </w:p>
    <w:p w:rsidR="00935FA9" w:rsidRPr="00935FA9" w:rsidRDefault="00612B31" w:rsidP="00935FA9">
      <w:pPr>
        <w:pStyle w:val="SingleTxtG"/>
      </w:pPr>
      <w:r>
        <w:lastRenderedPageBreak/>
        <w:tab/>
      </w:r>
      <w:r w:rsidR="00935FA9" w:rsidRPr="00935FA9">
        <w:tab/>
        <w:t>с)</w:t>
      </w:r>
      <w:r w:rsidR="00935FA9" w:rsidRPr="00935FA9">
        <w:tab/>
        <w:t xml:space="preserve">надлежащего мониторинга распределения средств, направленных на устранение барьеров, затрудняющих доступность, и организации постоянного обучения сотрудников, отвечающих за такой мониторинг; 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d)</w:t>
      </w:r>
      <w:r w:rsidR="00935FA9" w:rsidRPr="00935FA9">
        <w:tab/>
        <w:t>введения санкций, включая финансовые, за несоблюдение стандартов доступности в период после представления предыдущих заключительных замечаний;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e)</w:t>
      </w:r>
      <w:r w:rsidR="00935FA9" w:rsidRPr="00935FA9">
        <w:tab/>
        <w:t>включения непрерывного обучения по вопросам доступности с помощью универсального дизайна в обязательные програ</w:t>
      </w:r>
      <w:r w:rsidR="00DF3724">
        <w:t>ммы профессиональной подготовки </w:t>
      </w:r>
      <w:r w:rsidR="00935FA9" w:rsidRPr="00935FA9">
        <w:t>таких специалистов, как архитекторы, проектир</w:t>
      </w:r>
      <w:r w:rsidR="00DF3724">
        <w:t>овщики, инженеры и программисты.</w:t>
      </w:r>
    </w:p>
    <w:p w:rsidR="00935FA9" w:rsidRPr="00935FA9" w:rsidRDefault="00612B31" w:rsidP="00612B31">
      <w:pPr>
        <w:pStyle w:val="H23G"/>
      </w:pPr>
      <w:r>
        <w:tab/>
      </w:r>
      <w:r>
        <w:tab/>
      </w:r>
      <w:r w:rsidR="00935FA9" w:rsidRPr="00935FA9">
        <w:t>Ситуации риска и чрезвычайные гуманитарные ситуации (статья 11)</w:t>
      </w:r>
    </w:p>
    <w:p w:rsidR="00935FA9" w:rsidRPr="00935FA9" w:rsidRDefault="00935FA9" w:rsidP="00935FA9">
      <w:pPr>
        <w:pStyle w:val="SingleTxtG"/>
      </w:pPr>
      <w:r w:rsidRPr="00935FA9">
        <w:t>10.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>
        <w:tab/>
      </w:r>
      <w:r w:rsidR="00935FA9" w:rsidRPr="00935FA9">
        <w:t>a)</w:t>
      </w:r>
      <w:r w:rsidR="00935FA9" w:rsidRPr="00935FA9">
        <w:tab/>
        <w:t>обеспечения скорейшего выявления лиц, ищущих убежища, и беженцев-инвалидов в целях предоставления им доступного жилья и индивидуальной поддержки;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обеспечения того, чтобы процессы управления риском бедствий носили в полной мере доступный и инклюзивный с точки зрения инвалидности характер в соответствии с Сендайской рамочной программой по снижению риска бедствий на 2015–2030 годы;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обеспечения того, чтобы с организациями инвалидов проводились реальные консультации и их привлекали к участию в разработке и осуществлении стратегий и планов по уменьшению опасности бедствий и программ оказания гуманитарной помощи.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Равенство перед законом (статья 12)</w:t>
      </w:r>
    </w:p>
    <w:p w:rsidR="00935FA9" w:rsidRPr="00935FA9" w:rsidRDefault="00935FA9" w:rsidP="00935FA9">
      <w:pPr>
        <w:pStyle w:val="SingleTxtG"/>
      </w:pPr>
      <w:r w:rsidRPr="00935FA9">
        <w:t>11.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мерах, принятых для обеспечения того, чтобы законы государства-участника, в том числе недавно пересмотренный Закон от 17 марта 2013 года, и их осуществление гарантировали реализацию права на равенство перед законом и права на помощь в принятии решений;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конкретных мерах, принятых для обеспечения инвалидам помощи в принятии решений в соответствии с замечанием общего порядка Комитета № 1 (2014) о равенстве перед законом, в том числе путем предоставления финансовых и людских ресурсов для мировых судей;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обучении всех субъектов, действующих на федеральном, региональном и местном уровнях, в том числе гражданских служащих, судей и социальных работников, по вопросам обязательств государства-участника по Конвенции, особенно по статье 12.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Доступ к правосудию (статья 13)</w:t>
      </w:r>
    </w:p>
    <w:p w:rsidR="00935FA9" w:rsidRPr="00935FA9" w:rsidRDefault="00935FA9" w:rsidP="00935FA9">
      <w:pPr>
        <w:pStyle w:val="SingleTxtG"/>
      </w:pPr>
      <w:r w:rsidRPr="00935FA9">
        <w:t>12.</w:t>
      </w:r>
      <w:r w:rsidRPr="00935FA9">
        <w:tab/>
        <w:t>Просьба представить информацию о мерах, принятых на федеральном, региональном и местном уровнях в целях: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регулярного обучения персонала, работающего в сфере правосудия, включая адвокатов, прокуроров, судей и судебных работников, по вопросам прав инвалидов и правозащитной модели инвалидности;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оценки индивидуальных потребностей и оказания на индивидуальной основе помощи инвалидам, которые содержатся под стражей, и для обеспечения доступности для них соответствующей информации, с тем чтобы они могли участвовать в судебном разбирательстве;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 xml:space="preserve">обеспечения процессуальных коррективов для инвалидов в ходе судебных разбирательств. Просьба включить информацию о количестве имеющихся переводчиков жестового языка, физической доступности зданий судов и наличии </w:t>
      </w:r>
      <w:r w:rsidR="00935FA9" w:rsidRPr="00935FA9">
        <w:lastRenderedPageBreak/>
        <w:t>официальной информации в доступных форматах, в том числе с использованием азбуки Брайля и легкочитаемых форматов.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Свобода и личная неприкосновенность (статья 14)</w:t>
      </w:r>
    </w:p>
    <w:p w:rsidR="00935FA9" w:rsidRPr="00935FA9" w:rsidRDefault="00935FA9" w:rsidP="00935FA9">
      <w:pPr>
        <w:pStyle w:val="SingleTxtG"/>
      </w:pPr>
      <w:r w:rsidRPr="00935FA9">
        <w:t>13.</w:t>
      </w:r>
      <w:r w:rsidRPr="00935FA9">
        <w:tab/>
        <w:t>Просьба представить информацию о мерах, принятых для пересмотра положений законодательства, допускающих лишение свободы на основании инвалидности, включая Закон от 5 мая 2014 года и Закон о психическом здоровье от 1990 года, и для обеспечения того, чтобы медико-санитарные услуги, включая любые услуги по охране психического здоровья, предоставлялись при условии свободного и осознанного согласия соответствующего лица.</w:t>
      </w:r>
    </w:p>
    <w:p w:rsidR="00935FA9" w:rsidRPr="00935FA9" w:rsidRDefault="00935FA9" w:rsidP="00935FA9">
      <w:pPr>
        <w:pStyle w:val="SingleTxtG"/>
      </w:pPr>
      <w:r w:rsidRPr="00935FA9">
        <w:t>14.</w:t>
      </w:r>
      <w:r w:rsidRPr="00935FA9">
        <w:tab/>
        <w:t>Просьба представить информацию о позиции государства-участника в обсуждениях по вопросу о принятии проекта дополнительного протокола к Конвенции о защите прав и достоинства человека в связи с применением достижений биологии и медицины, озаглавленного «Защита прав и достоинства лиц с психическими расстройствами в связи с принудительным помещением в специализированные учреждения и принудительным лечением».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935FA9" w:rsidRPr="00935FA9" w:rsidRDefault="00935FA9" w:rsidP="00935FA9">
      <w:pPr>
        <w:pStyle w:val="SingleTxtG"/>
      </w:pPr>
      <w:r w:rsidRPr="00935FA9">
        <w:t>15.</w:t>
      </w:r>
      <w:r w:rsidRPr="00935FA9">
        <w:tab/>
        <w:t>Просьба представить информацию о мерах, принятых для искоренения практики использования средств усмирения, как физических, так и химических, и изоляции и другой принудительной практики в отношении лиц с умственными или психосоциальными расстройствами, особенно тех, кто по-прежнему содержится в психиатрических больницах и других учреждениях.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Свобода от эксплуатации, насилия и надругательства (статья 16)</w:t>
      </w:r>
    </w:p>
    <w:p w:rsidR="00935FA9" w:rsidRPr="00935FA9" w:rsidRDefault="00935FA9" w:rsidP="00935FA9">
      <w:pPr>
        <w:pStyle w:val="SingleTxtG"/>
      </w:pPr>
      <w:r w:rsidRPr="00935FA9">
        <w:t>16.</w:t>
      </w:r>
      <w:r w:rsidRPr="00935FA9">
        <w:tab/>
        <w:t>Просьба представить информацию о:</w:t>
      </w:r>
    </w:p>
    <w:p w:rsidR="00935FA9" w:rsidRPr="00935FA9" w:rsidRDefault="00935FA9" w:rsidP="00935FA9">
      <w:pPr>
        <w:pStyle w:val="SingleTxtG"/>
      </w:pPr>
      <w:r w:rsidRPr="00935FA9">
        <w:tab/>
      </w:r>
      <w:r w:rsidR="00612B31">
        <w:tab/>
      </w:r>
      <w:r w:rsidRPr="00935FA9">
        <w:t>а)</w:t>
      </w:r>
      <w:r w:rsidRPr="00935FA9">
        <w:tab/>
        <w:t>мерах, принятых для обеспечения защиты инвалидов, в частности женщин, детей и пожилых людей из числа инвали</w:t>
      </w:r>
      <w:r w:rsidR="00DF3724">
        <w:t>дов, от эксплуатации, насилия и </w:t>
      </w:r>
      <w:r w:rsidRPr="00935FA9">
        <w:t>жестокого обращения, включая все формы насилия в</w:t>
      </w:r>
      <w:r w:rsidR="00DF3724">
        <w:t xml:space="preserve"> семь</w:t>
      </w:r>
      <w:r w:rsidR="005B1C14">
        <w:t>е и в учреждениях по уходу;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разработке протоколов по раннему выявлению насилия, прежде всего в специализированных учреждениях, обеспечении процессуальных коррективов для сбора показаний жертв, судебном преследовании виновных и типе возмещения, которое получают инвалиды, ставшие жертвами насилия.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Защита личной целостности (статья 17)</w:t>
      </w:r>
    </w:p>
    <w:p w:rsidR="00935FA9" w:rsidRPr="00935FA9" w:rsidRDefault="00935FA9" w:rsidP="00935FA9">
      <w:pPr>
        <w:pStyle w:val="SingleTxtG"/>
      </w:pPr>
      <w:r w:rsidRPr="00935FA9">
        <w:t>17.</w:t>
      </w:r>
      <w:r w:rsidRPr="00935FA9">
        <w:tab/>
        <w:t>Просьба указать, какие меры принимаются для запрещения и предотвращения принудительного лечения, включая принудительную стерилизацию, в отношении лиц с ограниченными возможностями, и обеспечить защиту интерсексуалов от ненужных операций по изменению пола.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Самостоятельный образ жизни и вовлеченность в местное сообщество (статья</w:t>
      </w:r>
      <w:r w:rsidR="00612B31">
        <w:t> </w:t>
      </w:r>
      <w:r w:rsidRPr="00935FA9">
        <w:t>19)</w:t>
      </w:r>
    </w:p>
    <w:p w:rsidR="00935FA9" w:rsidRPr="00935FA9" w:rsidRDefault="00935FA9" w:rsidP="00935FA9">
      <w:pPr>
        <w:pStyle w:val="SingleTxtG"/>
      </w:pPr>
      <w:r w:rsidRPr="00935FA9">
        <w:t>18.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мерах, принятых в целях осуществления планов действий в области инвалидности на федеральном, региональном и местном уровнях, для обеспечения того, чтобы инвалиды могли пользоваться правом на самостоятельный образ жизни и вовлеченность в местное сообщество, и осуществления планов по устранению очередей для получения доступа к персональной помощи и другим услугам;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 xml:space="preserve">мерах, принятых для осуществления эффективной стратегии деинституционализации с указанием четких сроков в отношении всех лиц, помещенных в специализированные учреждения. Просьба указать число инвалидов, </w:t>
      </w:r>
      <w:r w:rsidR="00935FA9" w:rsidRPr="00935FA9">
        <w:lastRenderedPageBreak/>
        <w:t>покинувших специализированные учреждения к настоящему времени, и представить подробную информацию об их нынешней ситуации;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мерах, принятых для обеспечения лицам с любыми формами инвалидности возможности осуществлять свое право свободно выбирать место проживания наравне с другими и иметь доступ к полному спектру услуг на дому и других общественных услуг в повседневной жизни, включая персональную помощь;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d)</w:t>
      </w:r>
      <w:r w:rsidR="00935FA9" w:rsidRPr="00935FA9">
        <w:tab/>
        <w:t>использовании средств по линии европейских структурных и инвестиционных фондов и национальных фондов для оказания персональной помощи и обеспечения самостоятельной жизни. Просьба привести точные данные, в абсолютных и относительных показателях, о предоставляемых средствах.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Индивидуальная мобильность (статья 20)</w:t>
      </w:r>
    </w:p>
    <w:p w:rsidR="00935FA9" w:rsidRPr="00935FA9" w:rsidRDefault="00935FA9" w:rsidP="00935FA9">
      <w:pPr>
        <w:pStyle w:val="SingleTxtG"/>
      </w:pPr>
      <w:r w:rsidRPr="00935FA9">
        <w:t>19.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содействия индивидуальной мобильности всех инвалидов во всех сферах жизни, в том числе посредством индивидуальной поддержки и изменения условий проживания;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обеспечения того, чтобы инвалиды и их семьи имели доступ к необходимым им личным средствам, облегчающим мобильность, устройствам и ассистивным технологиям.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Свобода выражения мнения и убеждений и доступ к информации (статья 21)</w:t>
      </w:r>
    </w:p>
    <w:p w:rsidR="00935FA9" w:rsidRPr="00935FA9" w:rsidRDefault="00935FA9" w:rsidP="00935FA9">
      <w:pPr>
        <w:pStyle w:val="SingleTxtG"/>
      </w:pPr>
      <w:r w:rsidRPr="00935FA9">
        <w:t>20.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том, предоставляют ли власти на федеральном, региональном и местном уровнях официальную информацию во всех доступных формах;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 xml:space="preserve">программах профессиональной подготовки для переводчиков жестового языка и мерах, принятых для обеспечения инвалидам доступа к общественной информации и средствам массовой информации во всех доступных и приемлемых, в том числе с использованием азбуки Брайля, легкочитаемых форматов и простых формулировок, а также форматов для слепоглухих лиц, жестового языка, тифлокомментирования и субтитров. 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Уважение дома и семьи (статья 23)</w:t>
      </w:r>
    </w:p>
    <w:p w:rsidR="00935FA9" w:rsidRPr="00935FA9" w:rsidRDefault="00935FA9" w:rsidP="00935FA9">
      <w:pPr>
        <w:pStyle w:val="SingleTxtG"/>
      </w:pPr>
      <w:r w:rsidRPr="00935FA9">
        <w:t>21.</w:t>
      </w:r>
      <w:r w:rsidRPr="00935FA9">
        <w:tab/>
        <w:t>Просьба представить информацию о конкретных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оказания поддержки родителям детей-инвалидов, в особенности матерям, которым приходится бросать работу, чтобы заботиться о своих детях;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обеспечения того, чтобы инвалиды могли осуществлять свои права и выполнять свои обязанности в отношении отцовства и материнства и усыновления детей или аналогичных институтов наравне с другими;</w:t>
      </w:r>
    </w:p>
    <w:p w:rsidR="00935FA9" w:rsidRPr="00935FA9" w:rsidRDefault="00935FA9" w:rsidP="00935FA9">
      <w:pPr>
        <w:pStyle w:val="SingleTxtG"/>
      </w:pPr>
      <w:r w:rsidRPr="00935FA9">
        <w:tab/>
      </w:r>
      <w:r w:rsidR="00612B31">
        <w:tab/>
      </w:r>
      <w:r w:rsidRPr="00935FA9">
        <w:t>с)</w:t>
      </w:r>
      <w:r w:rsidRPr="00935FA9">
        <w:tab/>
        <w:t>обеспечения инвалидам доступа к соответствующей возрасту информации и образованию по вопросам сексуального и репродуктивного здоровья и прав, в том числе по вопросам планирования семьи.</w:t>
      </w:r>
    </w:p>
    <w:p w:rsidR="00935FA9" w:rsidRPr="00935FA9" w:rsidRDefault="00935FA9" w:rsidP="00612B31">
      <w:pPr>
        <w:pStyle w:val="H23G"/>
      </w:pPr>
      <w:r w:rsidRPr="00935FA9">
        <w:tab/>
      </w:r>
      <w:r w:rsidR="00612B31">
        <w:tab/>
      </w:r>
      <w:r w:rsidRPr="00935FA9">
        <w:tab/>
        <w:t>Образование (статья 24)</w:t>
      </w:r>
    </w:p>
    <w:p w:rsidR="00935FA9" w:rsidRPr="00935FA9" w:rsidRDefault="00935FA9" w:rsidP="00935FA9">
      <w:pPr>
        <w:pStyle w:val="SingleTxtG"/>
      </w:pPr>
      <w:r w:rsidRPr="00935FA9">
        <w:t>22.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 xml:space="preserve">мерах по принятию и осуществлению последовательной и всеобъемлющей стратегии в сфере образования во всех общинах в государстве-участнике в целях превращения системы образования, где сосуществуют параллельные направления, одним из которых является специальное образование, в инклюзивную систему, обеспечивающую оказание в рамках общей системы образования поддержки всем детям-инвалидам, включая детей с ограниченными умственными возможностями. Просьба включить информацию о контрольных </w:t>
      </w:r>
      <w:r w:rsidR="00935FA9" w:rsidRPr="00935FA9">
        <w:lastRenderedPageBreak/>
        <w:t>параметрах, исходных данных и показателях, используемых в этой стратегии, и о ресурсах, выделенных на ее осуществление;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финансовых, материальных и людских ресурсах, выделяемых на оказание индивидуальной поддержки учащимся-инвалидам, а также о соответствующих стандартах доступности в рамках системы инклюзивного образования;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мерах, принятых для поощрения и стимулирования подготовки и приема на работу учителей-инвалидов.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Здоровье (статья 25)</w:t>
      </w:r>
    </w:p>
    <w:p w:rsidR="00935FA9" w:rsidRPr="00935FA9" w:rsidRDefault="00935FA9" w:rsidP="00935FA9">
      <w:pPr>
        <w:pStyle w:val="SingleTxtG"/>
      </w:pPr>
      <w:r w:rsidRPr="00935FA9">
        <w:t>23.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обеспечения доступности и ценовой приемлемости медицинских учреждений и услуг, включая специализированные услуги, для всех инвалидов;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обучения медицинских работников и вспомогательного персонала по вопросам правозащитного подхода к инвалидности и мерам по искоренению дискриминационных и негативных представлений и стереотипов в отношении инвалидов, особенно лиц с психосоциальными или умственными нарушениями.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Абилитация и реабилитация (статья 26)</w:t>
      </w:r>
    </w:p>
    <w:p w:rsidR="00935FA9" w:rsidRPr="00935FA9" w:rsidRDefault="00935FA9" w:rsidP="00935FA9">
      <w:pPr>
        <w:pStyle w:val="SingleTxtG"/>
      </w:pPr>
      <w:r w:rsidRPr="00935FA9">
        <w:t>24.</w:t>
      </w:r>
      <w:r w:rsidRPr="00935FA9">
        <w:tab/>
        <w:t>Просьба представить информацию о мерах, принятых для обеспечения того, чтобы абилитационные и реабилитационные услуги: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разрабатывались и осуществлялись таким образом,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были доступными и недорогими и чтобы они предоставлялись инвалидам на недискриминационной основе и в соответствии с правозащитной моделью инвалидности.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Труд и занятость (статья 27)</w:t>
      </w:r>
    </w:p>
    <w:p w:rsidR="00935FA9" w:rsidRPr="00935FA9" w:rsidRDefault="00935FA9" w:rsidP="00935FA9">
      <w:pPr>
        <w:pStyle w:val="SingleTxtG"/>
      </w:pPr>
      <w:r w:rsidRPr="00935FA9">
        <w:t>25.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активизации программ по расширению занятости инвалидов, особенно женщин-инвалидов, как в частном, так и государственном секторах;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содействия переходу инвалидов от безработицы или работы в специальных мастерских для инвалидов к занятости на открытом рынке труда;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устранения препятствий и дискриминации в отношении инвалидов в процессе найма на работу и на рабочем месте, включая случаи, связанные с отсутствием разумного приспособления;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d)</w:t>
      </w:r>
      <w:r w:rsidR="00935FA9" w:rsidRPr="00935FA9">
        <w:tab/>
        <w:t>соблюдения положений Конвенции при решении задачи 8.5 Целей в области устойчивого развития.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Достаточный жизненный уровень и социальная защита (статья 28)</w:t>
      </w:r>
    </w:p>
    <w:p w:rsidR="00935FA9" w:rsidRPr="00935FA9" w:rsidRDefault="00935FA9" w:rsidP="00935FA9">
      <w:pPr>
        <w:pStyle w:val="SingleTxtG"/>
      </w:pPr>
      <w:r w:rsidRPr="00935FA9">
        <w:t>26.</w:t>
      </w:r>
      <w:r w:rsidRPr="00935FA9">
        <w:tab/>
        <w:t>Просьба рассказать о мерах, принятых в целях: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>обеспечения всестороннего учета проблем инвалидов в стратегиях сокращения масштабов нищеты и бездомности. Просьба уделить особое внимание положению женщин, детей и пожилых лиц из числа инвалидов;</w:t>
      </w:r>
    </w:p>
    <w:p w:rsidR="00935FA9" w:rsidRPr="00935FA9" w:rsidRDefault="00612B31" w:rsidP="00935FA9">
      <w:pPr>
        <w:pStyle w:val="SingleTxtG"/>
      </w:pPr>
      <w:r>
        <w:tab/>
      </w:r>
      <w:r>
        <w:tab/>
      </w:r>
      <w:r w:rsidR="00935FA9" w:rsidRPr="00935FA9">
        <w:t>b)</w:t>
      </w:r>
      <w:r w:rsidR="00935FA9" w:rsidRPr="00935FA9">
        <w:tab/>
        <w:t>обеспечения оказания инвалидам социальной защиты и поддержки с учетом дополнительных расходов, связанных с инвалидностью;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сокращения количества нерассмотренных заявлений о социальной защите, поданных в Главное управление по делам инвалидов Федеральной государственной службы социального обеспечения.</w:t>
      </w:r>
    </w:p>
    <w:p w:rsidR="00935FA9" w:rsidRPr="00935FA9" w:rsidRDefault="00935FA9" w:rsidP="00612B31">
      <w:pPr>
        <w:pStyle w:val="H23G"/>
      </w:pPr>
      <w:r w:rsidRPr="00935FA9">
        <w:lastRenderedPageBreak/>
        <w:tab/>
      </w:r>
      <w:r w:rsidRPr="00935FA9">
        <w:tab/>
        <w:t>Участие в политической и общественной жизни (статья 29)</w:t>
      </w:r>
    </w:p>
    <w:p w:rsidR="00935FA9" w:rsidRPr="00935FA9" w:rsidRDefault="00935FA9" w:rsidP="00935FA9">
      <w:pPr>
        <w:pStyle w:val="SingleTxtG"/>
      </w:pPr>
      <w:r w:rsidRPr="00935FA9">
        <w:t>27.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>гарантирования права всех инвалидов, включая лиц с умственными или психосоциальными нарушениями, принимать участие в политической и общественной жизни. Просьба включить информацию о пересмотре законодательных положений, таких как статьи 492 и 497 Гражданского кодекса и статьи 7 Избирательного кодекса, в которых предусмотрено временное лишение права голоса по причине инвалидности;</w:t>
      </w:r>
    </w:p>
    <w:p w:rsidR="00935FA9" w:rsidRPr="00935FA9" w:rsidRDefault="00612B31" w:rsidP="00935FA9">
      <w:pPr>
        <w:pStyle w:val="SingleTxtG"/>
      </w:pPr>
      <w:r>
        <w:tab/>
      </w:r>
      <w:r>
        <w:tab/>
      </w:r>
      <w:r w:rsidR="00935FA9" w:rsidRPr="00935FA9">
        <w:t>b)</w:t>
      </w:r>
      <w:r w:rsidR="00935FA9" w:rsidRPr="00935FA9">
        <w:tab/>
        <w:t>обеспечения того, чтобы условия голосования и избирательные материалы были полностью доступными и чтобы при оказании помощи избирателям-инвалидам обеспечивалось соблюдение тайны голосования;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с)</w:t>
      </w:r>
      <w:r w:rsidR="00935FA9" w:rsidRPr="00935FA9">
        <w:tab/>
        <w:t>обеспечения представленности инвалидов, особенно женщин-инвалидов, в политической и общественной жизни и на руководящих должностях на федеральном, региональном и местном уровнях.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Участие в культурной жизни, проведении досуга и отдыха и занятии спортом (статья 30)</w:t>
      </w:r>
    </w:p>
    <w:p w:rsidR="00935FA9" w:rsidRPr="00935FA9" w:rsidRDefault="00935FA9" w:rsidP="00935FA9">
      <w:pPr>
        <w:pStyle w:val="SingleTxtG"/>
      </w:pPr>
      <w:r w:rsidRPr="00935FA9">
        <w:t>28.</w:t>
      </w:r>
      <w:r w:rsidRPr="00935FA9">
        <w:tab/>
        <w:t>Просьба представить информацию о мерах, принятых с целью: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а)</w:t>
      </w:r>
      <w:r w:rsidR="00935FA9" w:rsidRPr="00935FA9">
        <w:tab/>
        <w:t>повышения уровня доступности спортивных объектов, музеев, объектов культурного и природного наследия и любых других мест, имеющих отношение к культурной жизни, для инвалидов;</w:t>
      </w:r>
    </w:p>
    <w:p w:rsidR="00935FA9" w:rsidRPr="00935FA9" w:rsidRDefault="00935FA9" w:rsidP="00935FA9">
      <w:pPr>
        <w:pStyle w:val="SingleTxtG"/>
      </w:pPr>
      <w:r w:rsidRPr="00935FA9">
        <w:tab/>
      </w:r>
      <w:r w:rsidR="00612B31">
        <w:tab/>
      </w:r>
      <w:r w:rsidRPr="00935FA9">
        <w:t>b)</w:t>
      </w:r>
      <w:r w:rsidRPr="00935FA9">
        <w:tab/>
        <w:t>выполнения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935FA9" w:rsidRPr="00935FA9" w:rsidRDefault="00935FA9" w:rsidP="00612B31">
      <w:pPr>
        <w:pStyle w:val="H1G"/>
      </w:pPr>
      <w:r w:rsidRPr="00935FA9">
        <w:tab/>
        <w:t>C.</w:t>
      </w:r>
      <w:r w:rsidRPr="00935FA9">
        <w:tab/>
        <w:t>Конкретные обязательства (статьи 31–33)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Статистика и сбор данных (статья 31)</w:t>
      </w:r>
    </w:p>
    <w:p w:rsidR="00935FA9" w:rsidRPr="00935FA9" w:rsidRDefault="00935FA9" w:rsidP="00935FA9">
      <w:pPr>
        <w:pStyle w:val="SingleTxtG"/>
      </w:pPr>
      <w:r w:rsidRPr="00935FA9">
        <w:t>29.</w:t>
      </w:r>
      <w:r w:rsidRPr="00935FA9">
        <w:tab/>
        <w:t>Просьба представить обновленную информацию о мерах, принятых государством-участником с целью систематизации сбора, анализа и распространения данных о правах инвалидов, более эффективной разработки государственной политики и принятия мер государственной политики, в том числе в разбивке по полу, возрасту, этнической принадлежности, типу инвалидности, образованию, занятости и полагающейся</w:t>
      </w:r>
      <w:r w:rsidR="005B1C14">
        <w:t xml:space="preserve"> социальной защиты, в частности</w:t>
      </w:r>
      <w:r w:rsidRPr="00935FA9">
        <w:t xml:space="preserve"> с учетом краткого вопросника Вашингтонской группы, касающегося инвалидности.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 xml:space="preserve">Международное сотрудничество (статья 32) </w:t>
      </w:r>
    </w:p>
    <w:p w:rsidR="00935FA9" w:rsidRPr="00935FA9" w:rsidRDefault="00935FA9" w:rsidP="00935FA9">
      <w:pPr>
        <w:pStyle w:val="SingleTxtG"/>
      </w:pPr>
      <w:r w:rsidRPr="00935FA9">
        <w:t>30.</w:t>
      </w:r>
      <w:r w:rsidRPr="00935FA9">
        <w:tab/>
        <w:t>Просьба представить информацию о мерах, принятых государством-участником для обеспечения инклюзивности и доступности для всех инвалидов всех его программ и мероприятий в области международного развития. Просьба принять во внимание взаимосвязь между эффективным осуществлением Конвенции и Повестки дня на период до 2030 года в интересах устойчивого развития.</w:t>
      </w:r>
    </w:p>
    <w:p w:rsidR="00935FA9" w:rsidRPr="00935FA9" w:rsidRDefault="00935FA9" w:rsidP="00612B31">
      <w:pPr>
        <w:pStyle w:val="H23G"/>
      </w:pPr>
      <w:r w:rsidRPr="00935FA9">
        <w:tab/>
      </w:r>
      <w:r w:rsidRPr="00935FA9">
        <w:tab/>
        <w:t>Национальное осуществление и мониторинг (статья 33)</w:t>
      </w:r>
    </w:p>
    <w:p w:rsidR="00935FA9" w:rsidRPr="00935FA9" w:rsidRDefault="00935FA9" w:rsidP="00935FA9">
      <w:pPr>
        <w:pStyle w:val="SingleTxtG"/>
      </w:pPr>
      <w:r w:rsidRPr="00935FA9">
        <w:t>31.</w:t>
      </w:r>
      <w:r w:rsidRPr="00935FA9">
        <w:tab/>
        <w:t>Просьба представить информацию о: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a)</w:t>
      </w:r>
      <w:r w:rsidR="00935FA9" w:rsidRPr="00935FA9">
        <w:tab/>
        <w:t xml:space="preserve">координации и взаимодействии между назначенными координационными центрами в разных регионах и на местах; </w:t>
      </w:r>
    </w:p>
    <w:p w:rsidR="00935FA9" w:rsidRPr="00935FA9" w:rsidRDefault="00612B31" w:rsidP="00935FA9">
      <w:pPr>
        <w:pStyle w:val="SingleTxtG"/>
      </w:pPr>
      <w:r>
        <w:tab/>
      </w:r>
      <w:r w:rsidR="00935FA9" w:rsidRPr="00935FA9">
        <w:tab/>
        <w:t>b)</w:t>
      </w:r>
      <w:r w:rsidR="00935FA9" w:rsidRPr="00935FA9">
        <w:tab/>
        <w:t>полномочиях и кадровых, фи</w:t>
      </w:r>
      <w:r w:rsidR="005B1C14">
        <w:t xml:space="preserve">нансовых и технических ресурсах </w:t>
      </w:r>
      <w:r w:rsidR="00935FA9" w:rsidRPr="00935FA9">
        <w:t xml:space="preserve">Межфедерального центра по обеспечению равенства возможностей «Уния», который назначен независимым механизмом мониторинга в </w:t>
      </w:r>
      <w:r>
        <w:t>соответствии с пунктом 2 статьи </w:t>
      </w:r>
      <w:r w:rsidR="00935FA9" w:rsidRPr="00935FA9">
        <w:t>33 Конвенции;</w:t>
      </w:r>
    </w:p>
    <w:p w:rsidR="00935FA9" w:rsidRDefault="00612B31" w:rsidP="00935FA9">
      <w:pPr>
        <w:pStyle w:val="SingleTxtG"/>
      </w:pPr>
      <w:r>
        <w:lastRenderedPageBreak/>
        <w:tab/>
      </w:r>
      <w:r w:rsidR="00935FA9" w:rsidRPr="00935FA9">
        <w:tab/>
        <w:t>с)</w:t>
      </w:r>
      <w:r w:rsidR="00935FA9" w:rsidRPr="00935FA9">
        <w:tab/>
        <w:t>мерах, принятых для обеспечения полного и эффективного участия инвалидов и представляющих их организаций в процессе мониторинга осуществления Конвенции.</w:t>
      </w:r>
    </w:p>
    <w:p w:rsidR="00935FA9" w:rsidRPr="00935FA9" w:rsidRDefault="00935FA9" w:rsidP="00935F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5FA9" w:rsidRPr="00935FA9" w:rsidSect="00007A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3D" w:rsidRPr="00A312BC" w:rsidRDefault="00045E3D" w:rsidP="00A312BC"/>
  </w:endnote>
  <w:endnote w:type="continuationSeparator" w:id="0">
    <w:p w:rsidR="00045E3D" w:rsidRPr="00A312BC" w:rsidRDefault="00045E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9" w:rsidRPr="00007AA9" w:rsidRDefault="00007AA9">
    <w:pPr>
      <w:pStyle w:val="Footer"/>
    </w:pPr>
    <w:r w:rsidRPr="00007AA9">
      <w:rPr>
        <w:b/>
        <w:sz w:val="18"/>
      </w:rPr>
      <w:fldChar w:fldCharType="begin"/>
    </w:r>
    <w:r w:rsidRPr="00007AA9">
      <w:rPr>
        <w:b/>
        <w:sz w:val="18"/>
      </w:rPr>
      <w:instrText xml:space="preserve"> PAGE  \* MERGEFORMAT </w:instrText>
    </w:r>
    <w:r w:rsidRPr="00007AA9">
      <w:rPr>
        <w:b/>
        <w:sz w:val="18"/>
      </w:rPr>
      <w:fldChar w:fldCharType="separate"/>
    </w:r>
    <w:r w:rsidR="006409E1">
      <w:rPr>
        <w:b/>
        <w:noProof/>
        <w:sz w:val="18"/>
      </w:rPr>
      <w:t>8</w:t>
    </w:r>
    <w:r w:rsidRPr="00007AA9">
      <w:rPr>
        <w:b/>
        <w:sz w:val="18"/>
      </w:rPr>
      <w:fldChar w:fldCharType="end"/>
    </w:r>
    <w:r>
      <w:rPr>
        <w:b/>
        <w:sz w:val="18"/>
      </w:rPr>
      <w:tab/>
    </w:r>
    <w:r>
      <w:t>GE.19-07011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9" w:rsidRPr="00007AA9" w:rsidRDefault="00007AA9" w:rsidP="00007AA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GE.19-07011</w:t>
    </w:r>
    <w:r>
      <w:tab/>
    </w:r>
    <w:r w:rsidRPr="00007AA9">
      <w:rPr>
        <w:b/>
        <w:sz w:val="18"/>
      </w:rPr>
      <w:fldChar w:fldCharType="begin"/>
    </w:r>
    <w:r w:rsidRPr="00007AA9">
      <w:rPr>
        <w:b/>
        <w:sz w:val="18"/>
      </w:rPr>
      <w:instrText xml:space="preserve"> PAGE  \* MERGEFORMAT </w:instrText>
    </w:r>
    <w:r w:rsidRPr="00007AA9">
      <w:rPr>
        <w:b/>
        <w:sz w:val="18"/>
      </w:rPr>
      <w:fldChar w:fldCharType="separate"/>
    </w:r>
    <w:r w:rsidR="006409E1">
      <w:rPr>
        <w:b/>
        <w:noProof/>
        <w:sz w:val="18"/>
      </w:rPr>
      <w:t>7</w:t>
    </w:r>
    <w:r w:rsidRPr="00007A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07AA9" w:rsidRDefault="00007AA9" w:rsidP="00007AA9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19-07011  (R)</w:t>
    </w:r>
    <w:r>
      <w:rPr>
        <w:lang w:val="en-US"/>
      </w:rPr>
      <w:t xml:space="preserve">  310519  030619</w:t>
    </w:r>
    <w:r>
      <w:br/>
    </w:r>
    <w:r w:rsidRPr="00007AA9">
      <w:rPr>
        <w:rFonts w:ascii="C39T30Lfz" w:hAnsi="C39T30Lfz"/>
        <w:kern w:val="14"/>
        <w:sz w:val="56"/>
      </w:rPr>
      <w:t></w:t>
    </w:r>
    <w:r w:rsidRPr="00007AA9">
      <w:rPr>
        <w:rFonts w:ascii="C39T30Lfz" w:hAnsi="C39T30Lfz"/>
        <w:kern w:val="14"/>
        <w:sz w:val="56"/>
      </w:rPr>
      <w:t></w:t>
    </w:r>
    <w:r w:rsidRPr="00007AA9">
      <w:rPr>
        <w:rFonts w:ascii="C39T30Lfz" w:hAnsi="C39T30Lfz"/>
        <w:kern w:val="14"/>
        <w:sz w:val="56"/>
      </w:rPr>
      <w:t></w:t>
    </w:r>
    <w:r w:rsidRPr="00007AA9">
      <w:rPr>
        <w:rFonts w:ascii="C39T30Lfz" w:hAnsi="C39T30Lfz"/>
        <w:kern w:val="14"/>
        <w:sz w:val="56"/>
      </w:rPr>
      <w:t></w:t>
    </w:r>
    <w:r w:rsidRPr="00007AA9">
      <w:rPr>
        <w:rFonts w:ascii="C39T30Lfz" w:hAnsi="C39T30Lfz"/>
        <w:kern w:val="14"/>
        <w:sz w:val="56"/>
      </w:rPr>
      <w:t></w:t>
    </w:r>
    <w:r w:rsidRPr="00007AA9">
      <w:rPr>
        <w:rFonts w:ascii="C39T30Lfz" w:hAnsi="C39T30Lfz"/>
        <w:kern w:val="14"/>
        <w:sz w:val="56"/>
      </w:rPr>
      <w:t></w:t>
    </w:r>
    <w:r w:rsidRPr="00007AA9">
      <w:rPr>
        <w:rFonts w:ascii="C39T30Lfz" w:hAnsi="C39T30Lfz"/>
        <w:kern w:val="14"/>
        <w:sz w:val="56"/>
      </w:rPr>
      <w:t></w:t>
    </w:r>
    <w:r w:rsidRPr="00007AA9">
      <w:rPr>
        <w:rFonts w:ascii="C39T30Lfz" w:hAnsi="C39T30Lfz"/>
        <w:kern w:val="14"/>
        <w:sz w:val="56"/>
      </w:rPr>
      <w:t></w:t>
    </w:r>
    <w:r w:rsidRPr="00007AA9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BEL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BEL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3D" w:rsidRPr="001075E9" w:rsidRDefault="00045E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5E3D" w:rsidRDefault="00045E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35FA9" w:rsidRPr="00212433" w:rsidRDefault="00935FA9" w:rsidP="00935FA9">
      <w:pPr>
        <w:pStyle w:val="FootnoteText"/>
      </w:pPr>
      <w:r>
        <w:tab/>
      </w:r>
      <w:r w:rsidRPr="00935FA9">
        <w:rPr>
          <w:sz w:val="20"/>
        </w:rPr>
        <w:t>*</w:t>
      </w:r>
      <w:r>
        <w:tab/>
        <w:t>Приняты Комитетом на его двадцать первой сессии (11 марта – 5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9" w:rsidRPr="00007AA9" w:rsidRDefault="0008051D">
    <w:pPr>
      <w:pStyle w:val="Header"/>
    </w:pPr>
    <w:fldSimple w:instr=" TITLE  \* MERGEFORMAT ">
      <w:r w:rsidR="006409E1">
        <w:t>CRPD/C/BEL/QPR/2-3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9" w:rsidRPr="00007AA9" w:rsidRDefault="0008051D" w:rsidP="00007AA9">
    <w:pPr>
      <w:pStyle w:val="Header"/>
      <w:jc w:val="right"/>
    </w:pPr>
    <w:fldSimple w:instr=" TITLE  \* MERGEFORMAT ">
      <w:r w:rsidR="006409E1">
        <w:t>CRPD/C/BEL/QPR/2-3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D"/>
    <w:rsid w:val="00007AA9"/>
    <w:rsid w:val="00011089"/>
    <w:rsid w:val="00026643"/>
    <w:rsid w:val="00033EE1"/>
    <w:rsid w:val="00042B72"/>
    <w:rsid w:val="00045E3D"/>
    <w:rsid w:val="000558BD"/>
    <w:rsid w:val="0008051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1C14"/>
    <w:rsid w:val="005D7914"/>
    <w:rsid w:val="005E2B41"/>
    <w:rsid w:val="005F0B42"/>
    <w:rsid w:val="00612B31"/>
    <w:rsid w:val="006409E1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52FFF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35FA9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AC7C7E"/>
    <w:rsid w:val="00B02FCB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265B"/>
    <w:rsid w:val="00D90028"/>
    <w:rsid w:val="00D90138"/>
    <w:rsid w:val="00DD78D1"/>
    <w:rsid w:val="00DE32CD"/>
    <w:rsid w:val="00DF3724"/>
    <w:rsid w:val="00DF71B9"/>
    <w:rsid w:val="00E30B7B"/>
    <w:rsid w:val="00E5656A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56EAE"/>
  <w15:docId w15:val="{A2A7DF59-46C5-4589-A90C-B178957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E92F1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E92F1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E92F1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92F1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E92F15"/>
  </w:style>
  <w:style w:type="character" w:customStyle="1" w:styleId="EndnoteTextChar">
    <w:name w:val="Endnote Text Char"/>
    <w:aliases w:val="2_G Char"/>
    <w:basedOn w:val="DefaultParagraphFont"/>
    <w:link w:val="EndnoteText"/>
    <w:rsid w:val="00E92F1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E92F15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E92F1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E92F1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0201-92EB-49AD-8BE6-230A82A5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8</Pages>
  <Words>2502</Words>
  <Characters>17217</Characters>
  <Application>Microsoft Office Word</Application>
  <DocSecurity>0</DocSecurity>
  <Lines>337</Lines>
  <Paragraphs>150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CRPD/C/BEL/QPR/2-3</vt:lpstr>
      <vt:lpstr>CRPD/C/BEL/QPR/2-3</vt:lpstr>
      <vt:lpstr>A/</vt:lpstr>
    </vt:vector>
  </TitlesOfParts>
  <Company>DCM</Company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CRPD/C/BEL/QPR/2-3</dc:title>
  <dc:subject/>
  <dc:creator>Elena IZOTOVA</dc:creator>
  <cp:keywords/>
  <cp:lastModifiedBy>Anna Blagodatskikh</cp:lastModifiedBy>
  <cp:revision>3</cp:revision>
  <cp:lastPrinted>2019-06-03T08:52:00Z</cp:lastPrinted>
  <dcterms:created xsi:type="dcterms:W3CDTF">2019-06-03T08:52:00Z</dcterms:created>
  <dcterms:modified xsi:type="dcterms:W3CDTF">2019-06-03T08:53:00Z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